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2C8D" w14:textId="77777777" w:rsidR="00D953C2" w:rsidRPr="0027660A" w:rsidRDefault="00D953C2" w:rsidP="000E600A">
      <w:pPr>
        <w:spacing w:line="240" w:lineRule="auto"/>
        <w:jc w:val="center"/>
        <w:rPr>
          <w:rFonts w:ascii="Times New Roman" w:hAnsi="Times New Roman" w:cs="Times New Roman"/>
          <w:b/>
          <w:bCs/>
          <w:sz w:val="52"/>
          <w:szCs w:val="52"/>
        </w:rPr>
      </w:pPr>
    </w:p>
    <w:p w14:paraId="33A8A5B3" w14:textId="77777777" w:rsidR="00D953C2" w:rsidRPr="00AA6AF4" w:rsidRDefault="00D953C2" w:rsidP="000E600A">
      <w:pPr>
        <w:spacing w:line="240" w:lineRule="auto"/>
        <w:jc w:val="center"/>
        <w:rPr>
          <w:rFonts w:ascii="Times New Roman" w:hAnsi="Times New Roman" w:cs="Times New Roman"/>
          <w:b/>
          <w:bCs/>
          <w:sz w:val="52"/>
          <w:szCs w:val="52"/>
          <w:lang w:val="en-GB"/>
        </w:rPr>
      </w:pPr>
    </w:p>
    <w:p w14:paraId="48E8EFDE" w14:textId="77777777" w:rsidR="00D953C2" w:rsidRPr="00CA35C0" w:rsidRDefault="00D953C2" w:rsidP="000E600A">
      <w:pPr>
        <w:spacing w:line="240" w:lineRule="auto"/>
        <w:jc w:val="center"/>
        <w:rPr>
          <w:rFonts w:ascii="Times New Roman" w:hAnsi="Times New Roman" w:cs="Times New Roman"/>
          <w:b/>
          <w:bCs/>
          <w:sz w:val="52"/>
          <w:szCs w:val="52"/>
          <w:lang w:val="en-GB"/>
        </w:rPr>
      </w:pPr>
    </w:p>
    <w:p w14:paraId="48B5B7F8" w14:textId="45E04CA3" w:rsidR="00C25DBB" w:rsidRPr="00CA35C0" w:rsidRDefault="00D953C2" w:rsidP="000E600A">
      <w:pPr>
        <w:spacing w:line="240" w:lineRule="auto"/>
        <w:jc w:val="center"/>
        <w:rPr>
          <w:rFonts w:ascii="Times New Roman" w:hAnsi="Times New Roman" w:cs="Times New Roman"/>
          <w:b/>
          <w:bCs/>
          <w:sz w:val="52"/>
          <w:szCs w:val="52"/>
          <w:lang w:val="en-GB"/>
        </w:rPr>
      </w:pPr>
      <w:r w:rsidRPr="00CA35C0">
        <w:rPr>
          <w:rFonts w:ascii="Times New Roman" w:hAnsi="Times New Roman" w:cs="Times New Roman"/>
          <w:b/>
          <w:bCs/>
          <w:sz w:val="52"/>
          <w:szCs w:val="52"/>
          <w:lang w:val="en-GB"/>
        </w:rPr>
        <w:t>SECOND REPORT</w:t>
      </w:r>
    </w:p>
    <w:p w14:paraId="10409649" w14:textId="4AACB476" w:rsidR="00D953C2" w:rsidRPr="00CA35C0" w:rsidRDefault="00D953C2" w:rsidP="000E600A">
      <w:pPr>
        <w:spacing w:line="240" w:lineRule="auto"/>
        <w:jc w:val="center"/>
        <w:rPr>
          <w:rFonts w:ascii="Times New Roman" w:hAnsi="Times New Roman" w:cs="Times New Roman"/>
          <w:b/>
          <w:bCs/>
          <w:sz w:val="52"/>
          <w:szCs w:val="52"/>
          <w:lang w:val="en-GB"/>
        </w:rPr>
      </w:pPr>
      <w:r w:rsidRPr="00CA35C0">
        <w:rPr>
          <w:rFonts w:ascii="Times New Roman" w:hAnsi="Times New Roman" w:cs="Times New Roman"/>
          <w:b/>
          <w:bCs/>
          <w:sz w:val="52"/>
          <w:szCs w:val="52"/>
          <w:lang w:val="en-GB"/>
        </w:rPr>
        <w:t>OF</w:t>
      </w:r>
    </w:p>
    <w:p w14:paraId="6B5A1405" w14:textId="6D3255B4" w:rsidR="00D953C2" w:rsidRPr="00CA35C0" w:rsidRDefault="00D953C2" w:rsidP="000E600A">
      <w:pPr>
        <w:spacing w:line="240" w:lineRule="auto"/>
        <w:jc w:val="center"/>
        <w:rPr>
          <w:rFonts w:ascii="Times New Roman" w:hAnsi="Times New Roman" w:cs="Times New Roman"/>
          <w:b/>
          <w:bCs/>
          <w:sz w:val="52"/>
          <w:szCs w:val="52"/>
          <w:lang w:val="en-GB"/>
        </w:rPr>
      </w:pPr>
      <w:r w:rsidRPr="00CA35C0">
        <w:rPr>
          <w:rFonts w:ascii="Times New Roman" w:hAnsi="Times New Roman" w:cs="Times New Roman"/>
          <w:b/>
          <w:bCs/>
          <w:sz w:val="52"/>
          <w:szCs w:val="52"/>
          <w:lang w:val="en-GB"/>
        </w:rPr>
        <w:t>THE NINTH FINANCE</w:t>
      </w:r>
    </w:p>
    <w:p w14:paraId="290AE3B6" w14:textId="3F0EC876" w:rsidR="00D953C2" w:rsidRPr="00CA35C0" w:rsidRDefault="00D953C2" w:rsidP="000E600A">
      <w:pPr>
        <w:spacing w:line="240" w:lineRule="auto"/>
        <w:jc w:val="center"/>
        <w:rPr>
          <w:rFonts w:ascii="Times New Roman" w:hAnsi="Times New Roman" w:cs="Times New Roman"/>
          <w:b/>
          <w:bCs/>
          <w:sz w:val="52"/>
          <w:szCs w:val="52"/>
          <w:lang w:val="en-GB"/>
        </w:rPr>
      </w:pPr>
      <w:r w:rsidRPr="00CA35C0">
        <w:rPr>
          <w:rFonts w:ascii="Times New Roman" w:hAnsi="Times New Roman" w:cs="Times New Roman"/>
          <w:b/>
          <w:bCs/>
          <w:sz w:val="52"/>
          <w:szCs w:val="52"/>
          <w:lang w:val="en-GB"/>
        </w:rPr>
        <w:t>COMMISSION</w:t>
      </w:r>
    </w:p>
    <w:p w14:paraId="4DD52EFF" w14:textId="77777777" w:rsidR="00D953C2" w:rsidRPr="00CA35C0" w:rsidRDefault="00D953C2" w:rsidP="000E600A">
      <w:pPr>
        <w:spacing w:line="240" w:lineRule="auto"/>
        <w:jc w:val="center"/>
        <w:rPr>
          <w:rFonts w:ascii="Times New Roman" w:hAnsi="Times New Roman" w:cs="Times New Roman"/>
          <w:b/>
          <w:bCs/>
          <w:sz w:val="52"/>
          <w:szCs w:val="52"/>
          <w:lang w:val="en-GB"/>
        </w:rPr>
      </w:pPr>
    </w:p>
    <w:p w14:paraId="64151476" w14:textId="7E2BD18E" w:rsidR="00D953C2" w:rsidRPr="00CA35C0" w:rsidRDefault="00D953C2" w:rsidP="000E600A">
      <w:pPr>
        <w:spacing w:line="240" w:lineRule="auto"/>
        <w:jc w:val="center"/>
        <w:rPr>
          <w:rFonts w:ascii="Times New Roman" w:hAnsi="Times New Roman" w:cs="Times New Roman"/>
          <w:b/>
          <w:bCs/>
          <w:sz w:val="36"/>
          <w:szCs w:val="36"/>
          <w:lang w:val="en-GB"/>
        </w:rPr>
      </w:pPr>
      <w:r w:rsidRPr="00CA35C0">
        <w:rPr>
          <w:rFonts w:ascii="Times New Roman" w:hAnsi="Times New Roman" w:cs="Times New Roman"/>
          <w:b/>
          <w:bCs/>
          <w:sz w:val="36"/>
          <w:szCs w:val="36"/>
          <w:lang w:val="en-GB"/>
        </w:rPr>
        <w:t>(FOR 1990-95)</w:t>
      </w:r>
    </w:p>
    <w:p w14:paraId="7CFB6564" w14:textId="77777777" w:rsidR="00790403" w:rsidRDefault="00D953C2" w:rsidP="00CA35C0">
      <w:pPr>
        <w:spacing w:line="240" w:lineRule="auto"/>
        <w:jc w:val="center"/>
        <w:rPr>
          <w:rFonts w:ascii="Times New Roman" w:hAnsi="Times New Roman" w:cs="Times New Roman"/>
          <w:b/>
          <w:bCs/>
          <w:sz w:val="28"/>
          <w:szCs w:val="28"/>
          <w:lang w:val="en-GB"/>
        </w:rPr>
      </w:pPr>
      <w:r w:rsidRPr="00CA35C0">
        <w:rPr>
          <w:rFonts w:ascii="Times New Roman" w:hAnsi="Times New Roman" w:cs="Times New Roman"/>
          <w:b/>
          <w:bCs/>
          <w:sz w:val="36"/>
          <w:szCs w:val="36"/>
          <w:lang w:val="en-GB"/>
        </w:rPr>
        <w:br w:type="page"/>
      </w:r>
      <w:r w:rsidR="00CA35C0" w:rsidRPr="00CA35C0">
        <w:rPr>
          <w:rFonts w:ascii="Times New Roman" w:hAnsi="Times New Roman" w:cs="Times New Roman"/>
          <w:b/>
          <w:bCs/>
          <w:sz w:val="28"/>
          <w:szCs w:val="28"/>
          <w:lang w:val="en-GB"/>
        </w:rPr>
        <w:lastRenderedPageBreak/>
        <w:t>CONTENTS</w:t>
      </w:r>
    </w:p>
    <w:p w14:paraId="29193F65" w14:textId="055D12CF" w:rsidR="008F1CA8" w:rsidRPr="00CA35C0" w:rsidRDefault="008F1CA8" w:rsidP="008F1CA8">
      <w:pPr>
        <w:pStyle w:val="Heading1"/>
        <w:numPr>
          <w:ilvl w:val="0"/>
          <w:numId w:val="0"/>
        </w:numPr>
        <w:spacing w:before="0" w:after="0"/>
        <w:jc w:val="left"/>
        <w:rPr>
          <w:color w:val="FFFFFF" w:themeColor="background1"/>
          <w:sz w:val="8"/>
          <w:szCs w:val="8"/>
          <w:lang w:val="en-GB"/>
        </w:rPr>
      </w:pPr>
      <w:bookmarkStart w:id="0" w:name="_Toc222399448"/>
      <w:r w:rsidRPr="00CA35C0">
        <w:rPr>
          <w:color w:val="FFFFFF" w:themeColor="background1"/>
          <w:sz w:val="8"/>
          <w:szCs w:val="8"/>
          <w:lang w:val="en-GB"/>
        </w:rPr>
        <w:t>Index</w:t>
      </w:r>
      <w:bookmarkEnd w:id="0"/>
    </w:p>
    <w:p w14:paraId="114A164D" w14:textId="6AC8B06A" w:rsidR="0097338C" w:rsidRPr="00CA35C0" w:rsidRDefault="00C14A52" w:rsidP="00CA35C0">
      <w:pPr>
        <w:pStyle w:val="TOC1"/>
        <w:rPr>
          <w:rFonts w:eastAsiaTheme="minorEastAsia"/>
          <w:noProof/>
          <w:szCs w:val="21"/>
          <w:lang w:val="en-IN" w:eastAsia="en-IN"/>
        </w:rPr>
      </w:pPr>
      <w:r w:rsidRPr="00CA35C0">
        <w:rPr>
          <w:i/>
          <w:iCs/>
        </w:rPr>
        <w:fldChar w:fldCharType="begin"/>
      </w:r>
      <w:r w:rsidRPr="00CA35C0">
        <w:instrText xml:space="preserve"> TOC \o "1-2" \h \z \u \t "Heading 5,3" </w:instrText>
      </w:r>
      <w:r w:rsidRPr="00CA35C0">
        <w:rPr>
          <w:i/>
          <w:iCs/>
        </w:rPr>
        <w:fldChar w:fldCharType="separate"/>
      </w:r>
      <w:hyperlink w:anchor="_Toc222399448" w:history="1">
        <w:r w:rsidR="0097338C" w:rsidRPr="00CA35C0">
          <w:rPr>
            <w:rStyle w:val="Hyperlink"/>
            <w:noProof/>
          </w:rPr>
          <w:t>Index</w:t>
        </w:r>
        <w:r w:rsidR="0097338C" w:rsidRPr="00CA35C0">
          <w:rPr>
            <w:noProof/>
            <w:webHidden/>
          </w:rPr>
          <w:tab/>
        </w:r>
        <w:r w:rsidR="002A02F4" w:rsidRPr="00CA35C0">
          <w:rPr>
            <w:noProof/>
            <w:webHidden/>
          </w:rPr>
          <w:tab/>
        </w:r>
        <w:r w:rsidR="0097338C" w:rsidRPr="00CA35C0">
          <w:rPr>
            <w:noProof/>
            <w:webHidden/>
          </w:rPr>
          <w:fldChar w:fldCharType="begin"/>
        </w:r>
        <w:r w:rsidR="0097338C" w:rsidRPr="00CA35C0">
          <w:rPr>
            <w:noProof/>
            <w:webHidden/>
          </w:rPr>
          <w:instrText xml:space="preserve"> PAGEREF _Toc222399448 \h </w:instrText>
        </w:r>
        <w:r w:rsidR="0097338C" w:rsidRPr="00CA35C0">
          <w:rPr>
            <w:noProof/>
            <w:webHidden/>
          </w:rPr>
        </w:r>
        <w:r w:rsidR="0097338C" w:rsidRPr="00CA35C0">
          <w:rPr>
            <w:noProof/>
            <w:webHidden/>
          </w:rPr>
          <w:fldChar w:fldCharType="separate"/>
        </w:r>
        <w:r w:rsidR="0097338C" w:rsidRPr="00CA35C0">
          <w:rPr>
            <w:noProof/>
            <w:webHidden/>
          </w:rPr>
          <w:t>i</w:t>
        </w:r>
        <w:r w:rsidR="0097338C" w:rsidRPr="00CA35C0">
          <w:rPr>
            <w:noProof/>
            <w:webHidden/>
          </w:rPr>
          <w:fldChar w:fldCharType="end"/>
        </w:r>
      </w:hyperlink>
    </w:p>
    <w:p w14:paraId="62463BB5" w14:textId="4541952C" w:rsidR="0097338C" w:rsidRPr="00CA35C0" w:rsidRDefault="0097338C" w:rsidP="00CA35C0">
      <w:pPr>
        <w:pStyle w:val="TOC1"/>
        <w:rPr>
          <w:rFonts w:eastAsiaTheme="minorEastAsia"/>
          <w:noProof/>
          <w:szCs w:val="21"/>
          <w:lang w:val="en-IN" w:eastAsia="en-IN"/>
        </w:rPr>
      </w:pPr>
      <w:hyperlink w:anchor="_Toc222399449" w:history="1">
        <w:r w:rsidRPr="00CA35C0">
          <w:rPr>
            <w:rStyle w:val="Hyperlink"/>
            <w:noProof/>
          </w:rPr>
          <w:t>CHAPTER 1</w:t>
        </w:r>
        <w:r w:rsidRPr="00CA35C0">
          <w:rPr>
            <w:rFonts w:eastAsiaTheme="minorEastAsia"/>
            <w:noProof/>
            <w:szCs w:val="21"/>
            <w:lang w:val="en-IN" w:eastAsia="en-IN"/>
          </w:rPr>
          <w:tab/>
        </w:r>
        <w:r w:rsidRPr="00CA35C0">
          <w:rPr>
            <w:rStyle w:val="Hyperlink"/>
            <w:noProof/>
          </w:rPr>
          <w:t>INTRODUCTION</w:t>
        </w:r>
        <w:r w:rsidRPr="00CA35C0">
          <w:rPr>
            <w:noProof/>
            <w:webHidden/>
          </w:rPr>
          <w:tab/>
        </w:r>
        <w:r w:rsidRPr="00CA35C0">
          <w:rPr>
            <w:noProof/>
            <w:webHidden/>
          </w:rPr>
          <w:fldChar w:fldCharType="begin"/>
        </w:r>
        <w:r w:rsidRPr="00CA35C0">
          <w:rPr>
            <w:noProof/>
            <w:webHidden/>
          </w:rPr>
          <w:instrText xml:space="preserve"> PAGEREF _Toc222399449 \h </w:instrText>
        </w:r>
        <w:r w:rsidRPr="00CA35C0">
          <w:rPr>
            <w:noProof/>
            <w:webHidden/>
          </w:rPr>
        </w:r>
        <w:r w:rsidRPr="00CA35C0">
          <w:rPr>
            <w:noProof/>
            <w:webHidden/>
          </w:rPr>
          <w:fldChar w:fldCharType="separate"/>
        </w:r>
        <w:r w:rsidRPr="00CA35C0">
          <w:rPr>
            <w:noProof/>
            <w:webHidden/>
          </w:rPr>
          <w:t>1</w:t>
        </w:r>
        <w:r w:rsidRPr="00CA35C0">
          <w:rPr>
            <w:noProof/>
            <w:webHidden/>
          </w:rPr>
          <w:fldChar w:fldCharType="end"/>
        </w:r>
      </w:hyperlink>
    </w:p>
    <w:p w14:paraId="3B6D8BFF" w14:textId="4BC64BB6" w:rsidR="0097338C" w:rsidRPr="00CA35C0" w:rsidRDefault="0097338C" w:rsidP="00CA35C0">
      <w:pPr>
        <w:pStyle w:val="TOC1"/>
        <w:rPr>
          <w:rFonts w:eastAsiaTheme="minorEastAsia"/>
          <w:noProof/>
          <w:szCs w:val="21"/>
          <w:lang w:val="en-IN" w:eastAsia="en-IN"/>
        </w:rPr>
      </w:pPr>
      <w:hyperlink w:anchor="_Toc222399450" w:history="1">
        <w:r w:rsidRPr="00CA35C0">
          <w:rPr>
            <w:rStyle w:val="Hyperlink"/>
            <w:noProof/>
          </w:rPr>
          <w:t>CHAPTER 2</w:t>
        </w:r>
        <w:r w:rsidRPr="00CA35C0">
          <w:rPr>
            <w:rFonts w:eastAsiaTheme="minorEastAsia"/>
            <w:noProof/>
            <w:szCs w:val="21"/>
            <w:lang w:val="en-IN" w:eastAsia="en-IN"/>
          </w:rPr>
          <w:tab/>
        </w:r>
        <w:r w:rsidRPr="00CA35C0">
          <w:rPr>
            <w:rStyle w:val="Hyperlink"/>
            <w:noProof/>
          </w:rPr>
          <w:t>THE APPROACH OF THE COMMISSION FOR THE PERIOD 1990-95</w:t>
        </w:r>
        <w:r w:rsidRPr="00CA35C0">
          <w:rPr>
            <w:noProof/>
            <w:webHidden/>
          </w:rPr>
          <w:tab/>
        </w:r>
        <w:r w:rsidRPr="00CA35C0">
          <w:rPr>
            <w:noProof/>
            <w:webHidden/>
          </w:rPr>
          <w:fldChar w:fldCharType="begin"/>
        </w:r>
        <w:r w:rsidRPr="00CA35C0">
          <w:rPr>
            <w:noProof/>
            <w:webHidden/>
          </w:rPr>
          <w:instrText xml:space="preserve"> PAGEREF _Toc222399450 \h </w:instrText>
        </w:r>
        <w:r w:rsidRPr="00CA35C0">
          <w:rPr>
            <w:noProof/>
            <w:webHidden/>
          </w:rPr>
        </w:r>
        <w:r w:rsidRPr="00CA35C0">
          <w:rPr>
            <w:noProof/>
            <w:webHidden/>
          </w:rPr>
          <w:fldChar w:fldCharType="separate"/>
        </w:r>
        <w:r w:rsidRPr="00CA35C0">
          <w:rPr>
            <w:noProof/>
            <w:webHidden/>
          </w:rPr>
          <w:t>3</w:t>
        </w:r>
        <w:r w:rsidRPr="00CA35C0">
          <w:rPr>
            <w:noProof/>
            <w:webHidden/>
          </w:rPr>
          <w:fldChar w:fldCharType="end"/>
        </w:r>
      </w:hyperlink>
    </w:p>
    <w:p w14:paraId="74A093BE" w14:textId="4591667F" w:rsidR="0097338C" w:rsidRPr="00CA35C0" w:rsidRDefault="0097338C" w:rsidP="00CA35C0">
      <w:pPr>
        <w:pStyle w:val="TOC1"/>
        <w:rPr>
          <w:rFonts w:eastAsiaTheme="minorEastAsia"/>
          <w:noProof/>
          <w:szCs w:val="21"/>
          <w:lang w:val="en-IN" w:eastAsia="en-IN"/>
        </w:rPr>
      </w:pPr>
      <w:hyperlink w:anchor="_Toc222399451" w:history="1">
        <w:r w:rsidRPr="00CA35C0">
          <w:rPr>
            <w:rStyle w:val="Hyperlink"/>
            <w:noProof/>
          </w:rPr>
          <w:t>CHAPTER 3</w:t>
        </w:r>
        <w:r w:rsidRPr="00CA35C0">
          <w:rPr>
            <w:rFonts w:eastAsiaTheme="minorEastAsia"/>
            <w:noProof/>
            <w:szCs w:val="21"/>
            <w:lang w:val="en-IN" w:eastAsia="en-IN"/>
          </w:rPr>
          <w:tab/>
        </w:r>
        <w:r w:rsidRPr="00CA35C0">
          <w:rPr>
            <w:rStyle w:val="Hyperlink"/>
            <w:noProof/>
          </w:rPr>
          <w:t>ASSESSMENT OF STATES' REVENUE RECEIPTS AND EXPENDITURES</w:t>
        </w:r>
        <w:r w:rsidRPr="00CA35C0">
          <w:rPr>
            <w:noProof/>
            <w:webHidden/>
          </w:rPr>
          <w:tab/>
        </w:r>
        <w:r w:rsidRPr="00CA35C0">
          <w:rPr>
            <w:noProof/>
            <w:webHidden/>
          </w:rPr>
          <w:fldChar w:fldCharType="begin"/>
        </w:r>
        <w:r w:rsidRPr="00CA35C0">
          <w:rPr>
            <w:noProof/>
            <w:webHidden/>
          </w:rPr>
          <w:instrText xml:space="preserve"> PAGEREF _Toc222399451 \h </w:instrText>
        </w:r>
        <w:r w:rsidRPr="00CA35C0">
          <w:rPr>
            <w:noProof/>
            <w:webHidden/>
          </w:rPr>
        </w:r>
        <w:r w:rsidRPr="00CA35C0">
          <w:rPr>
            <w:noProof/>
            <w:webHidden/>
          </w:rPr>
          <w:fldChar w:fldCharType="separate"/>
        </w:r>
        <w:r w:rsidRPr="00CA35C0">
          <w:rPr>
            <w:noProof/>
            <w:webHidden/>
          </w:rPr>
          <w:t>7</w:t>
        </w:r>
        <w:r w:rsidRPr="00CA35C0">
          <w:rPr>
            <w:noProof/>
            <w:webHidden/>
          </w:rPr>
          <w:fldChar w:fldCharType="end"/>
        </w:r>
      </w:hyperlink>
    </w:p>
    <w:p w14:paraId="4F50E59F" w14:textId="41DAE48C" w:rsidR="0097338C" w:rsidRPr="00CA35C0" w:rsidRDefault="0097338C" w:rsidP="00CA35C0">
      <w:pPr>
        <w:pStyle w:val="TOC1"/>
        <w:rPr>
          <w:rFonts w:eastAsiaTheme="minorEastAsia"/>
          <w:noProof/>
          <w:szCs w:val="21"/>
          <w:lang w:val="en-IN" w:eastAsia="en-IN"/>
        </w:rPr>
      </w:pPr>
      <w:hyperlink w:anchor="_Toc222399452" w:history="1">
        <w:r w:rsidRPr="00CA35C0">
          <w:rPr>
            <w:rStyle w:val="Hyperlink"/>
            <w:noProof/>
          </w:rPr>
          <w:t>CHAPTER 4</w:t>
        </w:r>
        <w:r w:rsidRPr="00CA35C0">
          <w:rPr>
            <w:rFonts w:eastAsiaTheme="minorEastAsia"/>
            <w:noProof/>
            <w:szCs w:val="21"/>
            <w:lang w:val="en-IN" w:eastAsia="en-IN"/>
          </w:rPr>
          <w:tab/>
        </w:r>
        <w:r w:rsidRPr="00CA35C0">
          <w:rPr>
            <w:rStyle w:val="Hyperlink"/>
            <w:noProof/>
          </w:rPr>
          <w:t>REASSESSMENT OF THE FORECAST OF THE CENTRAL GOVERNMENT</w:t>
        </w:r>
        <w:r w:rsidRPr="00CA35C0">
          <w:rPr>
            <w:noProof/>
            <w:webHidden/>
          </w:rPr>
          <w:tab/>
        </w:r>
        <w:r w:rsidRPr="00CA35C0">
          <w:rPr>
            <w:noProof/>
            <w:webHidden/>
          </w:rPr>
          <w:fldChar w:fldCharType="begin"/>
        </w:r>
        <w:r w:rsidRPr="00CA35C0">
          <w:rPr>
            <w:noProof/>
            <w:webHidden/>
          </w:rPr>
          <w:instrText xml:space="preserve"> PAGEREF _Toc222399452 \h </w:instrText>
        </w:r>
        <w:r w:rsidRPr="00CA35C0">
          <w:rPr>
            <w:noProof/>
            <w:webHidden/>
          </w:rPr>
        </w:r>
        <w:r w:rsidRPr="00CA35C0">
          <w:rPr>
            <w:noProof/>
            <w:webHidden/>
          </w:rPr>
          <w:fldChar w:fldCharType="separate"/>
        </w:r>
        <w:r w:rsidRPr="00CA35C0">
          <w:rPr>
            <w:noProof/>
            <w:webHidden/>
          </w:rPr>
          <w:t>15</w:t>
        </w:r>
        <w:r w:rsidRPr="00CA35C0">
          <w:rPr>
            <w:noProof/>
            <w:webHidden/>
          </w:rPr>
          <w:fldChar w:fldCharType="end"/>
        </w:r>
      </w:hyperlink>
    </w:p>
    <w:p w14:paraId="6D85D981" w14:textId="64464D4A" w:rsidR="0097338C" w:rsidRPr="00CA35C0" w:rsidRDefault="0097338C" w:rsidP="00CA35C0">
      <w:pPr>
        <w:pStyle w:val="TOC1"/>
        <w:rPr>
          <w:rFonts w:eastAsiaTheme="minorEastAsia"/>
          <w:noProof/>
          <w:szCs w:val="21"/>
          <w:lang w:val="en-IN" w:eastAsia="en-IN"/>
        </w:rPr>
      </w:pPr>
      <w:hyperlink w:anchor="_Toc222399453" w:history="1">
        <w:r w:rsidRPr="00CA35C0">
          <w:rPr>
            <w:rStyle w:val="Hyperlink"/>
            <w:noProof/>
          </w:rPr>
          <w:t>CHAPTER 5</w:t>
        </w:r>
        <w:r w:rsidRPr="00CA35C0">
          <w:rPr>
            <w:rFonts w:eastAsiaTheme="minorEastAsia"/>
            <w:noProof/>
            <w:szCs w:val="21"/>
            <w:lang w:val="en-IN" w:eastAsia="en-IN"/>
          </w:rPr>
          <w:tab/>
        </w:r>
        <w:r w:rsidRPr="00CA35C0">
          <w:rPr>
            <w:rStyle w:val="Hyperlink"/>
            <w:noProof/>
          </w:rPr>
          <w:t>DEVOLUTION OF TAXES, DISTRIBUTION OF ADDITIONAL EXCISE DUTIES AND GRANT IN LIEU OF TAX ON RAILWAY PASSENGER FARES</w:t>
        </w:r>
        <w:r w:rsidRPr="00CA35C0">
          <w:rPr>
            <w:noProof/>
            <w:webHidden/>
          </w:rPr>
          <w:tab/>
        </w:r>
        <w:r w:rsidRPr="00CA35C0">
          <w:rPr>
            <w:noProof/>
            <w:webHidden/>
          </w:rPr>
          <w:fldChar w:fldCharType="begin"/>
        </w:r>
        <w:r w:rsidRPr="00CA35C0">
          <w:rPr>
            <w:noProof/>
            <w:webHidden/>
          </w:rPr>
          <w:instrText xml:space="preserve"> PAGEREF _Toc222399453 \h </w:instrText>
        </w:r>
        <w:r w:rsidRPr="00CA35C0">
          <w:rPr>
            <w:noProof/>
            <w:webHidden/>
          </w:rPr>
        </w:r>
        <w:r w:rsidRPr="00CA35C0">
          <w:rPr>
            <w:noProof/>
            <w:webHidden/>
          </w:rPr>
          <w:fldChar w:fldCharType="separate"/>
        </w:r>
        <w:r w:rsidRPr="00CA35C0">
          <w:rPr>
            <w:noProof/>
            <w:webHidden/>
          </w:rPr>
          <w:t>18</w:t>
        </w:r>
        <w:r w:rsidRPr="00CA35C0">
          <w:rPr>
            <w:noProof/>
            <w:webHidden/>
          </w:rPr>
          <w:fldChar w:fldCharType="end"/>
        </w:r>
      </w:hyperlink>
    </w:p>
    <w:p w14:paraId="42F61469" w14:textId="15DC6C01" w:rsidR="0097338C" w:rsidRPr="00CA35C0" w:rsidRDefault="0097338C" w:rsidP="00CA35C0">
      <w:pPr>
        <w:pStyle w:val="TOC1"/>
        <w:rPr>
          <w:rFonts w:eastAsiaTheme="minorEastAsia"/>
          <w:noProof/>
          <w:szCs w:val="21"/>
          <w:lang w:val="en-IN" w:eastAsia="en-IN"/>
        </w:rPr>
      </w:pPr>
      <w:hyperlink w:anchor="_Toc222399454" w:history="1">
        <w:r w:rsidRPr="00CA35C0">
          <w:rPr>
            <w:rStyle w:val="Hyperlink"/>
            <w:noProof/>
          </w:rPr>
          <w:t>CHAPTER 6</w:t>
        </w:r>
        <w:r w:rsidRPr="00CA35C0">
          <w:rPr>
            <w:rFonts w:eastAsiaTheme="minorEastAsia"/>
            <w:noProof/>
            <w:szCs w:val="21"/>
            <w:lang w:val="en-IN" w:eastAsia="en-IN"/>
          </w:rPr>
          <w:tab/>
        </w:r>
        <w:r w:rsidRPr="00CA35C0">
          <w:rPr>
            <w:rStyle w:val="Hyperlink"/>
            <w:noProof/>
          </w:rPr>
          <w:t>FINANCING OF RELIEF EXPENDITURE</w:t>
        </w:r>
        <w:r w:rsidRPr="00CA35C0">
          <w:rPr>
            <w:noProof/>
            <w:webHidden/>
          </w:rPr>
          <w:tab/>
        </w:r>
        <w:r w:rsidRPr="00CA35C0">
          <w:rPr>
            <w:noProof/>
            <w:webHidden/>
          </w:rPr>
          <w:fldChar w:fldCharType="begin"/>
        </w:r>
        <w:r w:rsidRPr="00CA35C0">
          <w:rPr>
            <w:noProof/>
            <w:webHidden/>
          </w:rPr>
          <w:instrText xml:space="preserve"> PAGEREF _Toc222399454 \h </w:instrText>
        </w:r>
        <w:r w:rsidRPr="00CA35C0">
          <w:rPr>
            <w:noProof/>
            <w:webHidden/>
          </w:rPr>
        </w:r>
        <w:r w:rsidRPr="00CA35C0">
          <w:rPr>
            <w:noProof/>
            <w:webHidden/>
          </w:rPr>
          <w:fldChar w:fldCharType="separate"/>
        </w:r>
        <w:r w:rsidRPr="00CA35C0">
          <w:rPr>
            <w:noProof/>
            <w:webHidden/>
          </w:rPr>
          <w:t>23</w:t>
        </w:r>
        <w:r w:rsidRPr="00CA35C0">
          <w:rPr>
            <w:noProof/>
            <w:webHidden/>
          </w:rPr>
          <w:fldChar w:fldCharType="end"/>
        </w:r>
      </w:hyperlink>
    </w:p>
    <w:p w14:paraId="7579E55F" w14:textId="4F81BA4C" w:rsidR="0097338C" w:rsidRPr="00CA35C0" w:rsidRDefault="0097338C" w:rsidP="00CA35C0">
      <w:pPr>
        <w:pStyle w:val="TOC1"/>
        <w:rPr>
          <w:rFonts w:eastAsiaTheme="minorEastAsia"/>
          <w:noProof/>
          <w:szCs w:val="21"/>
          <w:lang w:val="en-IN" w:eastAsia="en-IN"/>
        </w:rPr>
      </w:pPr>
      <w:hyperlink w:anchor="_Toc222399455" w:history="1">
        <w:r w:rsidRPr="00CA35C0">
          <w:rPr>
            <w:rStyle w:val="Hyperlink"/>
            <w:noProof/>
          </w:rPr>
          <w:t>CHAPTER 7</w:t>
        </w:r>
        <w:r w:rsidRPr="00CA35C0">
          <w:rPr>
            <w:rFonts w:eastAsiaTheme="minorEastAsia"/>
            <w:noProof/>
            <w:szCs w:val="21"/>
            <w:lang w:val="en-IN" w:eastAsia="en-IN"/>
          </w:rPr>
          <w:tab/>
        </w:r>
        <w:r w:rsidRPr="00CA35C0">
          <w:rPr>
            <w:rStyle w:val="Hyperlink"/>
            <w:noProof/>
          </w:rPr>
          <w:t>GRANTS-IN-AID</w:t>
        </w:r>
        <w:r w:rsidRPr="00CA35C0">
          <w:rPr>
            <w:noProof/>
            <w:webHidden/>
          </w:rPr>
          <w:tab/>
        </w:r>
        <w:r w:rsidRPr="00CA35C0">
          <w:rPr>
            <w:noProof/>
            <w:webHidden/>
          </w:rPr>
          <w:fldChar w:fldCharType="begin"/>
        </w:r>
        <w:r w:rsidRPr="00CA35C0">
          <w:rPr>
            <w:noProof/>
            <w:webHidden/>
          </w:rPr>
          <w:instrText xml:space="preserve"> PAGEREF _Toc222399455 \h </w:instrText>
        </w:r>
        <w:r w:rsidRPr="00CA35C0">
          <w:rPr>
            <w:noProof/>
            <w:webHidden/>
          </w:rPr>
        </w:r>
        <w:r w:rsidRPr="00CA35C0">
          <w:rPr>
            <w:noProof/>
            <w:webHidden/>
          </w:rPr>
          <w:fldChar w:fldCharType="separate"/>
        </w:r>
        <w:r w:rsidRPr="00CA35C0">
          <w:rPr>
            <w:noProof/>
            <w:webHidden/>
          </w:rPr>
          <w:t>27</w:t>
        </w:r>
        <w:r w:rsidRPr="00CA35C0">
          <w:rPr>
            <w:noProof/>
            <w:webHidden/>
          </w:rPr>
          <w:fldChar w:fldCharType="end"/>
        </w:r>
      </w:hyperlink>
    </w:p>
    <w:p w14:paraId="6061568F" w14:textId="04750879" w:rsidR="0097338C" w:rsidRPr="00CA35C0" w:rsidRDefault="0097338C" w:rsidP="00CA35C0">
      <w:pPr>
        <w:pStyle w:val="TOC1"/>
        <w:rPr>
          <w:rFonts w:eastAsiaTheme="minorEastAsia"/>
          <w:noProof/>
          <w:szCs w:val="21"/>
          <w:lang w:val="en-IN" w:eastAsia="en-IN"/>
        </w:rPr>
      </w:pPr>
      <w:hyperlink w:anchor="_Toc222399456" w:history="1">
        <w:r w:rsidRPr="00CA35C0">
          <w:rPr>
            <w:rStyle w:val="Hyperlink"/>
            <w:noProof/>
          </w:rPr>
          <w:t>CHAPTER 8</w:t>
        </w:r>
        <w:r w:rsidRPr="00CA35C0">
          <w:rPr>
            <w:rFonts w:eastAsiaTheme="minorEastAsia"/>
            <w:noProof/>
            <w:szCs w:val="21"/>
            <w:lang w:val="en-IN" w:eastAsia="en-IN"/>
          </w:rPr>
          <w:tab/>
        </w:r>
        <w:r w:rsidRPr="00CA35C0">
          <w:rPr>
            <w:rStyle w:val="Hyperlink"/>
            <w:noProof/>
          </w:rPr>
          <w:t>MERGER OF ADDITIONAL DUTIES OF EXCISE WITH BASIC DUTIES OF EXCISE</w:t>
        </w:r>
        <w:r w:rsidRPr="00CA35C0">
          <w:rPr>
            <w:noProof/>
            <w:webHidden/>
          </w:rPr>
          <w:tab/>
        </w:r>
        <w:r w:rsidRPr="00CA35C0">
          <w:rPr>
            <w:noProof/>
            <w:webHidden/>
          </w:rPr>
          <w:fldChar w:fldCharType="begin"/>
        </w:r>
        <w:r w:rsidRPr="00CA35C0">
          <w:rPr>
            <w:noProof/>
            <w:webHidden/>
          </w:rPr>
          <w:instrText xml:space="preserve"> PAGEREF _Toc222399456 \h </w:instrText>
        </w:r>
        <w:r w:rsidRPr="00CA35C0">
          <w:rPr>
            <w:noProof/>
            <w:webHidden/>
          </w:rPr>
        </w:r>
        <w:r w:rsidRPr="00CA35C0">
          <w:rPr>
            <w:noProof/>
            <w:webHidden/>
          </w:rPr>
          <w:fldChar w:fldCharType="separate"/>
        </w:r>
        <w:r w:rsidRPr="00CA35C0">
          <w:rPr>
            <w:noProof/>
            <w:webHidden/>
          </w:rPr>
          <w:t>33</w:t>
        </w:r>
        <w:r w:rsidRPr="00CA35C0">
          <w:rPr>
            <w:noProof/>
            <w:webHidden/>
          </w:rPr>
          <w:fldChar w:fldCharType="end"/>
        </w:r>
      </w:hyperlink>
    </w:p>
    <w:p w14:paraId="11429F44" w14:textId="65B4B446" w:rsidR="0097338C" w:rsidRPr="00CA35C0" w:rsidRDefault="0097338C" w:rsidP="00CA35C0">
      <w:pPr>
        <w:pStyle w:val="TOC1"/>
        <w:rPr>
          <w:rFonts w:eastAsiaTheme="minorEastAsia"/>
          <w:noProof/>
          <w:szCs w:val="21"/>
          <w:lang w:val="en-IN" w:eastAsia="en-IN"/>
        </w:rPr>
      </w:pPr>
      <w:hyperlink w:anchor="_Toc222399457" w:history="1">
        <w:r w:rsidRPr="00CA35C0">
          <w:rPr>
            <w:rStyle w:val="Hyperlink"/>
            <w:noProof/>
          </w:rPr>
          <w:t>CHAPTER 9</w:t>
        </w:r>
        <w:r w:rsidRPr="00CA35C0">
          <w:rPr>
            <w:rFonts w:eastAsiaTheme="minorEastAsia"/>
            <w:noProof/>
            <w:szCs w:val="21"/>
            <w:lang w:val="en-IN" w:eastAsia="en-IN"/>
          </w:rPr>
          <w:tab/>
        </w:r>
        <w:r w:rsidRPr="00CA35C0">
          <w:rPr>
            <w:rStyle w:val="Hyperlink"/>
            <w:noProof/>
          </w:rPr>
          <w:t>DEBT POSITION OF THE STATES AND CORRECTIVE MEASURES</w:t>
        </w:r>
        <w:r w:rsidRPr="00CA35C0">
          <w:rPr>
            <w:noProof/>
            <w:webHidden/>
          </w:rPr>
          <w:tab/>
        </w:r>
        <w:r w:rsidRPr="00CA35C0">
          <w:rPr>
            <w:noProof/>
            <w:webHidden/>
          </w:rPr>
          <w:fldChar w:fldCharType="begin"/>
        </w:r>
        <w:r w:rsidRPr="00CA35C0">
          <w:rPr>
            <w:noProof/>
            <w:webHidden/>
          </w:rPr>
          <w:instrText xml:space="preserve"> PAGEREF _Toc222399457 \h </w:instrText>
        </w:r>
        <w:r w:rsidRPr="00CA35C0">
          <w:rPr>
            <w:noProof/>
            <w:webHidden/>
          </w:rPr>
        </w:r>
        <w:r w:rsidRPr="00CA35C0">
          <w:rPr>
            <w:noProof/>
            <w:webHidden/>
          </w:rPr>
          <w:fldChar w:fldCharType="separate"/>
        </w:r>
        <w:r w:rsidRPr="00CA35C0">
          <w:rPr>
            <w:noProof/>
            <w:webHidden/>
          </w:rPr>
          <w:t>35</w:t>
        </w:r>
        <w:r w:rsidRPr="00CA35C0">
          <w:rPr>
            <w:noProof/>
            <w:webHidden/>
          </w:rPr>
          <w:fldChar w:fldCharType="end"/>
        </w:r>
      </w:hyperlink>
    </w:p>
    <w:p w14:paraId="43E4BC15" w14:textId="7B1E4244" w:rsidR="0097338C" w:rsidRPr="00CA35C0" w:rsidRDefault="0097338C" w:rsidP="00CA35C0">
      <w:pPr>
        <w:pStyle w:val="TOC1"/>
        <w:rPr>
          <w:rFonts w:eastAsiaTheme="minorEastAsia"/>
          <w:noProof/>
          <w:szCs w:val="21"/>
          <w:lang w:val="en-IN" w:eastAsia="en-IN"/>
        </w:rPr>
      </w:pPr>
      <w:hyperlink w:anchor="_Toc222399458" w:history="1">
        <w:r w:rsidRPr="00CA35C0">
          <w:rPr>
            <w:rStyle w:val="Hyperlink"/>
            <w:noProof/>
          </w:rPr>
          <w:t>CHAPTER 10</w:t>
        </w:r>
        <w:r w:rsidRPr="00CA35C0">
          <w:rPr>
            <w:rFonts w:eastAsiaTheme="minorEastAsia"/>
            <w:noProof/>
            <w:szCs w:val="21"/>
            <w:lang w:val="en-IN" w:eastAsia="en-IN"/>
          </w:rPr>
          <w:tab/>
        </w:r>
        <w:r w:rsidRPr="00CA35C0">
          <w:rPr>
            <w:rStyle w:val="Hyperlink"/>
            <w:noProof/>
          </w:rPr>
          <w:t>CONCLUDING OBSERVATIONS</w:t>
        </w:r>
        <w:r w:rsidRPr="00CA35C0">
          <w:rPr>
            <w:noProof/>
            <w:webHidden/>
          </w:rPr>
          <w:tab/>
        </w:r>
        <w:r w:rsidRPr="00CA35C0">
          <w:rPr>
            <w:noProof/>
            <w:webHidden/>
          </w:rPr>
          <w:fldChar w:fldCharType="begin"/>
        </w:r>
        <w:r w:rsidRPr="00CA35C0">
          <w:rPr>
            <w:noProof/>
            <w:webHidden/>
          </w:rPr>
          <w:instrText xml:space="preserve"> PAGEREF _Toc222399458 \h </w:instrText>
        </w:r>
        <w:r w:rsidRPr="00CA35C0">
          <w:rPr>
            <w:noProof/>
            <w:webHidden/>
          </w:rPr>
        </w:r>
        <w:r w:rsidRPr="00CA35C0">
          <w:rPr>
            <w:noProof/>
            <w:webHidden/>
          </w:rPr>
          <w:fldChar w:fldCharType="separate"/>
        </w:r>
        <w:r w:rsidRPr="00CA35C0">
          <w:rPr>
            <w:noProof/>
            <w:webHidden/>
          </w:rPr>
          <w:t>40</w:t>
        </w:r>
        <w:r w:rsidRPr="00CA35C0">
          <w:rPr>
            <w:noProof/>
            <w:webHidden/>
          </w:rPr>
          <w:fldChar w:fldCharType="end"/>
        </w:r>
      </w:hyperlink>
    </w:p>
    <w:p w14:paraId="39105D4D" w14:textId="241DCDAF" w:rsidR="0097338C" w:rsidRPr="00CA35C0" w:rsidRDefault="0097338C" w:rsidP="00CA35C0">
      <w:pPr>
        <w:pStyle w:val="TOC1"/>
        <w:rPr>
          <w:rFonts w:eastAsiaTheme="minorEastAsia"/>
          <w:noProof/>
          <w:szCs w:val="21"/>
          <w:lang w:val="en-IN" w:eastAsia="en-IN"/>
        </w:rPr>
      </w:pPr>
      <w:hyperlink w:anchor="_Toc222399459" w:history="1">
        <w:r w:rsidRPr="00CA35C0">
          <w:rPr>
            <w:rStyle w:val="Hyperlink"/>
            <w:noProof/>
          </w:rPr>
          <w:t>CHAPTER 11</w:t>
        </w:r>
        <w:r w:rsidRPr="00CA35C0">
          <w:rPr>
            <w:rFonts w:eastAsiaTheme="minorEastAsia"/>
            <w:noProof/>
            <w:szCs w:val="21"/>
            <w:lang w:val="en-IN" w:eastAsia="en-IN"/>
          </w:rPr>
          <w:tab/>
        </w:r>
        <w:r w:rsidRPr="00CA35C0">
          <w:rPr>
            <w:rStyle w:val="Hyperlink"/>
            <w:noProof/>
          </w:rPr>
          <w:t>SUMMARY OF IMPORTANT RECOMMENDATIONS AND OBSERVATIONS</w:t>
        </w:r>
        <w:r w:rsidRPr="00CA35C0">
          <w:rPr>
            <w:noProof/>
            <w:webHidden/>
          </w:rPr>
          <w:tab/>
        </w:r>
        <w:r w:rsidRPr="00CA35C0">
          <w:rPr>
            <w:noProof/>
            <w:webHidden/>
          </w:rPr>
          <w:fldChar w:fldCharType="begin"/>
        </w:r>
        <w:r w:rsidRPr="00CA35C0">
          <w:rPr>
            <w:noProof/>
            <w:webHidden/>
          </w:rPr>
          <w:instrText xml:space="preserve"> PAGEREF _Toc222399459 \h </w:instrText>
        </w:r>
        <w:r w:rsidRPr="00CA35C0">
          <w:rPr>
            <w:noProof/>
            <w:webHidden/>
          </w:rPr>
        </w:r>
        <w:r w:rsidRPr="00CA35C0">
          <w:rPr>
            <w:noProof/>
            <w:webHidden/>
          </w:rPr>
          <w:fldChar w:fldCharType="separate"/>
        </w:r>
        <w:r w:rsidRPr="00CA35C0">
          <w:rPr>
            <w:noProof/>
            <w:webHidden/>
          </w:rPr>
          <w:t>43</w:t>
        </w:r>
        <w:r w:rsidRPr="00CA35C0">
          <w:rPr>
            <w:noProof/>
            <w:webHidden/>
          </w:rPr>
          <w:fldChar w:fldCharType="end"/>
        </w:r>
      </w:hyperlink>
    </w:p>
    <w:p w14:paraId="43D82D7C" w14:textId="116FCC3F" w:rsidR="0097338C" w:rsidRPr="00CA35C0" w:rsidRDefault="0097338C" w:rsidP="00CA35C0">
      <w:pPr>
        <w:pStyle w:val="TOC1"/>
        <w:rPr>
          <w:rFonts w:eastAsiaTheme="minorEastAsia"/>
          <w:noProof/>
          <w:szCs w:val="21"/>
          <w:lang w:val="en-IN" w:eastAsia="en-IN"/>
        </w:rPr>
      </w:pPr>
      <w:hyperlink w:anchor="_Toc222399460" w:history="1">
        <w:r w:rsidRPr="00CA35C0">
          <w:rPr>
            <w:rStyle w:val="Hyperlink"/>
            <w:noProof/>
          </w:rPr>
          <w:t>NOTE OF DISSENT AND GENERAL OBSERVATIONS BY SHRI JUSTICE A. S. QURESHI (MEMBER)</w:t>
        </w:r>
        <w:r w:rsidRPr="00CA35C0">
          <w:rPr>
            <w:noProof/>
            <w:webHidden/>
          </w:rPr>
          <w:tab/>
        </w:r>
        <w:r w:rsidRPr="00CA35C0">
          <w:rPr>
            <w:noProof/>
            <w:webHidden/>
          </w:rPr>
          <w:fldChar w:fldCharType="begin"/>
        </w:r>
        <w:r w:rsidRPr="00CA35C0">
          <w:rPr>
            <w:noProof/>
            <w:webHidden/>
          </w:rPr>
          <w:instrText xml:space="preserve"> PAGEREF _Toc222399460 \h </w:instrText>
        </w:r>
        <w:r w:rsidRPr="00CA35C0">
          <w:rPr>
            <w:noProof/>
            <w:webHidden/>
          </w:rPr>
        </w:r>
        <w:r w:rsidRPr="00CA35C0">
          <w:rPr>
            <w:noProof/>
            <w:webHidden/>
          </w:rPr>
          <w:fldChar w:fldCharType="separate"/>
        </w:r>
        <w:r w:rsidRPr="00CA35C0">
          <w:rPr>
            <w:noProof/>
            <w:webHidden/>
          </w:rPr>
          <w:t>47</w:t>
        </w:r>
        <w:r w:rsidRPr="00CA35C0">
          <w:rPr>
            <w:noProof/>
            <w:webHidden/>
          </w:rPr>
          <w:fldChar w:fldCharType="end"/>
        </w:r>
      </w:hyperlink>
    </w:p>
    <w:p w14:paraId="5755D812" w14:textId="2B98CDAC" w:rsidR="0097338C" w:rsidRPr="00CA35C0" w:rsidRDefault="0097338C" w:rsidP="00CA35C0">
      <w:pPr>
        <w:pStyle w:val="TOC1"/>
        <w:rPr>
          <w:rFonts w:eastAsiaTheme="minorEastAsia"/>
          <w:noProof/>
          <w:szCs w:val="21"/>
          <w:lang w:val="en-IN" w:eastAsia="en-IN"/>
        </w:rPr>
      </w:pPr>
      <w:hyperlink w:anchor="_Toc222399461" w:history="1">
        <w:r w:rsidRPr="00CA35C0">
          <w:rPr>
            <w:rStyle w:val="Hyperlink"/>
            <w:noProof/>
          </w:rPr>
          <w:t>NOTE BY THE MAJORITY</w:t>
        </w:r>
        <w:r w:rsidRPr="00CA35C0">
          <w:rPr>
            <w:noProof/>
            <w:webHidden/>
          </w:rPr>
          <w:tab/>
        </w:r>
        <w:r w:rsidRPr="00CA35C0">
          <w:rPr>
            <w:noProof/>
            <w:webHidden/>
          </w:rPr>
          <w:fldChar w:fldCharType="begin"/>
        </w:r>
        <w:r w:rsidRPr="00CA35C0">
          <w:rPr>
            <w:noProof/>
            <w:webHidden/>
          </w:rPr>
          <w:instrText xml:space="preserve"> PAGEREF _Toc222399461 \h </w:instrText>
        </w:r>
        <w:r w:rsidRPr="00CA35C0">
          <w:rPr>
            <w:noProof/>
            <w:webHidden/>
          </w:rPr>
        </w:r>
        <w:r w:rsidRPr="00CA35C0">
          <w:rPr>
            <w:noProof/>
            <w:webHidden/>
          </w:rPr>
          <w:fldChar w:fldCharType="separate"/>
        </w:r>
        <w:r w:rsidRPr="00CA35C0">
          <w:rPr>
            <w:noProof/>
            <w:webHidden/>
          </w:rPr>
          <w:t>57</w:t>
        </w:r>
        <w:r w:rsidRPr="00CA35C0">
          <w:rPr>
            <w:noProof/>
            <w:webHidden/>
          </w:rPr>
          <w:fldChar w:fldCharType="end"/>
        </w:r>
      </w:hyperlink>
    </w:p>
    <w:p w14:paraId="134F0535" w14:textId="2EA11471" w:rsidR="0097338C" w:rsidRPr="00CA35C0" w:rsidRDefault="0097338C" w:rsidP="00CA35C0">
      <w:pPr>
        <w:pStyle w:val="TOC1"/>
        <w:rPr>
          <w:rFonts w:eastAsiaTheme="minorEastAsia"/>
          <w:noProof/>
          <w:szCs w:val="21"/>
          <w:lang w:val="en-IN" w:eastAsia="en-IN"/>
        </w:rPr>
      </w:pPr>
      <w:hyperlink w:anchor="_Toc222399462" w:history="1">
        <w:r w:rsidRPr="00CA35C0">
          <w:rPr>
            <w:rStyle w:val="Hyperlink"/>
            <w:noProof/>
          </w:rPr>
          <w:t>NOTE BY SHRI N.K.P. SALVE, CHAIRMAN, DR. RAJA J. CHELLIAH, MEMBER AND SHRI R. KEISHING, MEMBER.</w:t>
        </w:r>
        <w:r w:rsidRPr="00CA35C0">
          <w:rPr>
            <w:noProof/>
            <w:webHidden/>
          </w:rPr>
          <w:tab/>
        </w:r>
        <w:r w:rsidRPr="00CA35C0">
          <w:rPr>
            <w:noProof/>
            <w:webHidden/>
          </w:rPr>
          <w:fldChar w:fldCharType="begin"/>
        </w:r>
        <w:r w:rsidRPr="00CA35C0">
          <w:rPr>
            <w:noProof/>
            <w:webHidden/>
          </w:rPr>
          <w:instrText xml:space="preserve"> PAGEREF _Toc222399462 \h </w:instrText>
        </w:r>
        <w:r w:rsidRPr="00CA35C0">
          <w:rPr>
            <w:noProof/>
            <w:webHidden/>
          </w:rPr>
        </w:r>
        <w:r w:rsidRPr="00CA35C0">
          <w:rPr>
            <w:noProof/>
            <w:webHidden/>
          </w:rPr>
          <w:fldChar w:fldCharType="separate"/>
        </w:r>
        <w:r w:rsidRPr="00CA35C0">
          <w:rPr>
            <w:noProof/>
            <w:webHidden/>
          </w:rPr>
          <w:t>57</w:t>
        </w:r>
        <w:r w:rsidRPr="00CA35C0">
          <w:rPr>
            <w:noProof/>
            <w:webHidden/>
          </w:rPr>
          <w:fldChar w:fldCharType="end"/>
        </w:r>
      </w:hyperlink>
    </w:p>
    <w:p w14:paraId="59876D7C" w14:textId="528ED3C9"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3" w:history="1">
        <w:r w:rsidRPr="00CA35C0">
          <w:rPr>
            <w:rStyle w:val="Hyperlink"/>
            <w:rFonts w:ascii="Times New Roman" w:hAnsi="Times New Roman" w:cs="Times New Roman"/>
            <w:b w:val="0"/>
            <w:bCs w:val="0"/>
            <w:noProof/>
          </w:rPr>
          <w:t>ANNEXURE I.1  President's Order Dated 13th June, 1989.</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_Toc222399463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61</w:t>
        </w:r>
        <w:r w:rsidRPr="00CA35C0">
          <w:rPr>
            <w:rFonts w:ascii="Times New Roman" w:hAnsi="Times New Roman" w:cs="Times New Roman"/>
            <w:b w:val="0"/>
            <w:bCs w:val="0"/>
            <w:noProof/>
            <w:webHidden/>
          </w:rPr>
          <w:fldChar w:fldCharType="end"/>
        </w:r>
      </w:hyperlink>
    </w:p>
    <w:p w14:paraId="3B8026D5" w14:textId="0F4A6125"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4" w:history="1">
        <w:r w:rsidRPr="00CA35C0">
          <w:rPr>
            <w:rStyle w:val="Hyperlink"/>
            <w:rFonts w:ascii="Times New Roman" w:hAnsi="Times New Roman" w:cs="Times New Roman"/>
            <w:b w:val="0"/>
            <w:bCs w:val="0"/>
            <w:noProof/>
          </w:rPr>
          <w:t>ANNEXURE I.2 List Of Experts Invited For Discussion On February 24, 1988.</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_Toc222399464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62</w:t>
        </w:r>
        <w:r w:rsidRPr="00CA35C0">
          <w:rPr>
            <w:rFonts w:ascii="Times New Roman" w:hAnsi="Times New Roman" w:cs="Times New Roman"/>
            <w:b w:val="0"/>
            <w:bCs w:val="0"/>
            <w:noProof/>
            <w:webHidden/>
          </w:rPr>
          <w:fldChar w:fldCharType="end"/>
        </w:r>
      </w:hyperlink>
    </w:p>
    <w:p w14:paraId="3E5E8BBA" w14:textId="6F6C7F06"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5" w:history="1">
        <w:r w:rsidRPr="00CA35C0">
          <w:rPr>
            <w:rStyle w:val="Hyperlink"/>
            <w:rFonts w:ascii="Times New Roman" w:hAnsi="Times New Roman" w:cs="Times New Roman"/>
            <w:b w:val="0"/>
            <w:bCs w:val="0"/>
            <w:noProof/>
          </w:rPr>
          <w:t>ANNEXURE I.3  List Of Economists Whose Views Were Sought On The Devolution Formula And The Composite Index Of Backwardness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_Toc222399465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62</w:t>
        </w:r>
        <w:r w:rsidRPr="00CA35C0">
          <w:rPr>
            <w:rFonts w:ascii="Times New Roman" w:hAnsi="Times New Roman" w:cs="Times New Roman"/>
            <w:b w:val="0"/>
            <w:bCs w:val="0"/>
            <w:noProof/>
            <w:webHidden/>
          </w:rPr>
          <w:fldChar w:fldCharType="end"/>
        </w:r>
      </w:hyperlink>
    </w:p>
    <w:p w14:paraId="4C2329F3" w14:textId="55085451"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6" w:history="1">
        <w:r w:rsidRPr="00CA35C0">
          <w:rPr>
            <w:rStyle w:val="Hyperlink"/>
            <w:rFonts w:ascii="Times New Roman" w:hAnsi="Times New Roman" w:cs="Times New Roman"/>
            <w:b w:val="0"/>
            <w:bCs w:val="0"/>
            <w:noProof/>
          </w:rPr>
          <w:t>ANNEXURE I.4 List Of Economists Who Met The Commission On 23rd June 1989</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_Toc222399466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62</w:t>
        </w:r>
        <w:r w:rsidRPr="00CA35C0">
          <w:rPr>
            <w:rFonts w:ascii="Times New Roman" w:hAnsi="Times New Roman" w:cs="Times New Roman"/>
            <w:b w:val="0"/>
            <w:bCs w:val="0"/>
            <w:noProof/>
            <w:webHidden/>
          </w:rPr>
          <w:fldChar w:fldCharType="end"/>
        </w:r>
      </w:hyperlink>
    </w:p>
    <w:p w14:paraId="7C0D1EC6" w14:textId="3CF68E82"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7" w:history="1">
        <w:r w:rsidRPr="00CA35C0">
          <w:rPr>
            <w:rStyle w:val="Hyperlink"/>
            <w:rFonts w:ascii="Times New Roman" w:hAnsi="Times New Roman" w:cs="Times New Roman"/>
            <w:b w:val="0"/>
            <w:bCs w:val="0"/>
            <w:noProof/>
          </w:rPr>
          <w:t>ANNEXURE I.5 List Of Economists Who Met The Commission On 16th October 1989</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_Toc222399467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62</w:t>
        </w:r>
        <w:r w:rsidRPr="00CA35C0">
          <w:rPr>
            <w:rFonts w:ascii="Times New Roman" w:hAnsi="Times New Roman" w:cs="Times New Roman"/>
            <w:b w:val="0"/>
            <w:bCs w:val="0"/>
            <w:noProof/>
            <w:webHidden/>
          </w:rPr>
          <w:fldChar w:fldCharType="end"/>
        </w:r>
      </w:hyperlink>
    </w:p>
    <w:p w14:paraId="1E62876B" w14:textId="164B3A35"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8" w:history="1">
        <w:r w:rsidRPr="00CA35C0">
          <w:rPr>
            <w:rStyle w:val="Hyperlink"/>
            <w:rFonts w:ascii="Times New Roman" w:hAnsi="Times New Roman" w:cs="Times New Roman"/>
            <w:b w:val="0"/>
            <w:bCs w:val="0"/>
            <w:noProof/>
          </w:rPr>
          <w:t>ANNEXURE I.6 Dates Of Discussions With The State Governments At State Headquarters/Field Visits Undertaken In The State</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_Toc222399468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62</w:t>
        </w:r>
        <w:r w:rsidRPr="00CA35C0">
          <w:rPr>
            <w:rFonts w:ascii="Times New Roman" w:hAnsi="Times New Roman" w:cs="Times New Roman"/>
            <w:b w:val="0"/>
            <w:bCs w:val="0"/>
            <w:noProof/>
            <w:webHidden/>
          </w:rPr>
          <w:fldChar w:fldCharType="end"/>
        </w:r>
      </w:hyperlink>
    </w:p>
    <w:p w14:paraId="44F1E684" w14:textId="5507FCE7"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69" w:history="1">
        <w:r w:rsidRPr="00CA35C0">
          <w:rPr>
            <w:rStyle w:val="Hyperlink"/>
            <w:rFonts w:ascii="Times New Roman" w:hAnsi="Times New Roman" w:cs="Times New Roman"/>
            <w:b w:val="0"/>
            <w:bCs w:val="0"/>
            <w:noProof/>
          </w:rPr>
          <w:t>ANNEXURE I.7 List Of Secretaries To The Government Of India Who Met The Commission</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_Toc222399469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63</w:t>
        </w:r>
        <w:r w:rsidRPr="00CA35C0">
          <w:rPr>
            <w:rFonts w:ascii="Times New Roman" w:hAnsi="Times New Roman" w:cs="Times New Roman"/>
            <w:b w:val="0"/>
            <w:bCs w:val="0"/>
            <w:noProof/>
            <w:webHidden/>
          </w:rPr>
          <w:fldChar w:fldCharType="end"/>
        </w:r>
      </w:hyperlink>
    </w:p>
    <w:p w14:paraId="0F253D35" w14:textId="3617BBFB"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0" w:history="1">
        <w:r w:rsidRPr="00CA35C0">
          <w:rPr>
            <w:rStyle w:val="Hyperlink"/>
            <w:rFonts w:ascii="Times New Roman" w:hAnsi="Times New Roman" w:cs="Times New Roman"/>
            <w:b w:val="0"/>
            <w:bCs w:val="0"/>
            <w:noProof/>
          </w:rPr>
          <w:t>ANNEXURE I.8 Names With Designation Of The Officers In The Commission's Secretariat.</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_Toc222399470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63</w:t>
        </w:r>
        <w:r w:rsidRPr="00CA35C0">
          <w:rPr>
            <w:rFonts w:ascii="Times New Roman" w:hAnsi="Times New Roman" w:cs="Times New Roman"/>
            <w:b w:val="0"/>
            <w:bCs w:val="0"/>
            <w:noProof/>
            <w:webHidden/>
          </w:rPr>
          <w:fldChar w:fldCharType="end"/>
        </w:r>
      </w:hyperlink>
    </w:p>
    <w:p w14:paraId="22A9D945" w14:textId="7D505F41"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1" w:history="1">
        <w:r w:rsidRPr="00CA35C0">
          <w:rPr>
            <w:rStyle w:val="Hyperlink"/>
            <w:rFonts w:ascii="Times New Roman" w:hAnsi="Times New Roman" w:cs="Times New Roman"/>
            <w:b w:val="0"/>
            <w:bCs w:val="0"/>
            <w:noProof/>
          </w:rPr>
          <w:t>ANNEXURE II.1 Revenue Receipts and Revenue Expenditure of Central and State Governments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_Toc222399471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64</w:t>
        </w:r>
        <w:r w:rsidRPr="00CA35C0">
          <w:rPr>
            <w:rFonts w:ascii="Times New Roman" w:hAnsi="Times New Roman" w:cs="Times New Roman"/>
            <w:b w:val="0"/>
            <w:bCs w:val="0"/>
            <w:noProof/>
            <w:webHidden/>
          </w:rPr>
          <w:fldChar w:fldCharType="end"/>
        </w:r>
      </w:hyperlink>
    </w:p>
    <w:p w14:paraId="6900FCB0" w14:textId="6AE8E40E"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2" w:history="1">
        <w:r w:rsidRPr="00CA35C0">
          <w:rPr>
            <w:rStyle w:val="Hyperlink"/>
            <w:rFonts w:ascii="Times New Roman" w:hAnsi="Times New Roman" w:cs="Times New Roman"/>
            <w:b w:val="0"/>
            <w:bCs w:val="0"/>
            <w:noProof/>
          </w:rPr>
          <w:t>ANNEXURE II.2 Revenue Surplus/Deficit Of Central And State Governments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_Toc222399472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64</w:t>
        </w:r>
        <w:r w:rsidRPr="00CA35C0">
          <w:rPr>
            <w:rFonts w:ascii="Times New Roman" w:hAnsi="Times New Roman" w:cs="Times New Roman"/>
            <w:b w:val="0"/>
            <w:bCs w:val="0"/>
            <w:noProof/>
            <w:webHidden/>
          </w:rPr>
          <w:fldChar w:fldCharType="end"/>
        </w:r>
      </w:hyperlink>
    </w:p>
    <w:p w14:paraId="65EAD6DC" w14:textId="2A3124F0"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3" w:history="1">
        <w:r w:rsidRPr="00CA35C0">
          <w:rPr>
            <w:rStyle w:val="Hyperlink"/>
            <w:rFonts w:ascii="Times New Roman" w:hAnsi="Times New Roman" w:cs="Times New Roman"/>
            <w:b w:val="0"/>
            <w:bCs w:val="0"/>
            <w:noProof/>
          </w:rPr>
          <w:t>ANNEXURE II.3 Indebtedness Of The Centre And States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_Toc222399473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64</w:t>
        </w:r>
        <w:r w:rsidRPr="00CA35C0">
          <w:rPr>
            <w:rFonts w:ascii="Times New Roman" w:hAnsi="Times New Roman" w:cs="Times New Roman"/>
            <w:b w:val="0"/>
            <w:bCs w:val="0"/>
            <w:noProof/>
            <w:webHidden/>
          </w:rPr>
          <w:fldChar w:fldCharType="end"/>
        </w:r>
      </w:hyperlink>
    </w:p>
    <w:p w14:paraId="7D41977A" w14:textId="7F2FACC1"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4" w:history="1">
        <w:r w:rsidRPr="00CA35C0">
          <w:rPr>
            <w:rStyle w:val="Hyperlink"/>
            <w:rFonts w:ascii="Times New Roman" w:hAnsi="Times New Roman" w:cs="Times New Roman"/>
            <w:b w:val="0"/>
            <w:bCs w:val="0"/>
            <w:noProof/>
          </w:rPr>
          <w:t>ANNEXURE III.1 Share Capital Investment In State Public Undertakings At the End of 1989-90</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_Toc222399474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65</w:t>
        </w:r>
        <w:r w:rsidRPr="00CA35C0">
          <w:rPr>
            <w:rFonts w:ascii="Times New Roman" w:hAnsi="Times New Roman" w:cs="Times New Roman"/>
            <w:b w:val="0"/>
            <w:bCs w:val="0"/>
            <w:noProof/>
            <w:webHidden/>
          </w:rPr>
          <w:fldChar w:fldCharType="end"/>
        </w:r>
      </w:hyperlink>
    </w:p>
    <w:p w14:paraId="585D1031" w14:textId="14782098"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5" w:history="1">
        <w:r w:rsidRPr="00CA35C0">
          <w:rPr>
            <w:rStyle w:val="Hyperlink"/>
            <w:rFonts w:ascii="Times New Roman" w:hAnsi="Times New Roman" w:cs="Times New Roman"/>
            <w:b w:val="0"/>
            <w:bCs w:val="0"/>
            <w:noProof/>
          </w:rPr>
          <w:t>ANNEXURE III.2 Dividend From State Governments' Investment In Public Enterprises : 1990-91 And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_Toc222399475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65</w:t>
        </w:r>
        <w:r w:rsidRPr="00CA35C0">
          <w:rPr>
            <w:rFonts w:ascii="Times New Roman" w:hAnsi="Times New Roman" w:cs="Times New Roman"/>
            <w:b w:val="0"/>
            <w:bCs w:val="0"/>
            <w:noProof/>
            <w:webHidden/>
          </w:rPr>
          <w:fldChar w:fldCharType="end"/>
        </w:r>
      </w:hyperlink>
    </w:p>
    <w:p w14:paraId="0542FECC" w14:textId="5C7417B5"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6" w:history="1">
        <w:r w:rsidRPr="00CA35C0">
          <w:rPr>
            <w:rStyle w:val="Hyperlink"/>
            <w:rFonts w:ascii="Times New Roman" w:hAnsi="Times New Roman" w:cs="Times New Roman"/>
            <w:b w:val="0"/>
            <w:bCs w:val="0"/>
            <w:noProof/>
          </w:rPr>
          <w:t>ANNEXURE III.3 Investments In Co-operative Institutions At The End Of 1989-90 And Estimated Dividend In 1990-91 And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_Toc222399476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65</w:t>
        </w:r>
        <w:r w:rsidRPr="00CA35C0">
          <w:rPr>
            <w:rFonts w:ascii="Times New Roman" w:hAnsi="Times New Roman" w:cs="Times New Roman"/>
            <w:b w:val="0"/>
            <w:bCs w:val="0"/>
            <w:noProof/>
            <w:webHidden/>
          </w:rPr>
          <w:fldChar w:fldCharType="end"/>
        </w:r>
      </w:hyperlink>
    </w:p>
    <w:p w14:paraId="76358729" w14:textId="5D63F584"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7" w:history="1">
        <w:r w:rsidRPr="00CA35C0">
          <w:rPr>
            <w:rStyle w:val="Hyperlink"/>
            <w:rFonts w:ascii="Times New Roman" w:hAnsi="Times New Roman" w:cs="Times New Roman"/>
            <w:b w:val="0"/>
            <w:bCs w:val="0"/>
            <w:noProof/>
          </w:rPr>
          <w:t>ANNEXURE III.4 State Electricity Boards Estimates Of State Governments' Loans Outstanding As On 31.03.1990</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_Toc222399477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66</w:t>
        </w:r>
        <w:r w:rsidRPr="00CA35C0">
          <w:rPr>
            <w:rFonts w:ascii="Times New Roman" w:hAnsi="Times New Roman" w:cs="Times New Roman"/>
            <w:b w:val="0"/>
            <w:bCs w:val="0"/>
            <w:noProof/>
            <w:webHidden/>
          </w:rPr>
          <w:fldChar w:fldCharType="end"/>
        </w:r>
      </w:hyperlink>
    </w:p>
    <w:p w14:paraId="7E8F32CA" w14:textId="3D445DFF"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8" w:history="1">
        <w:r w:rsidRPr="00CA35C0">
          <w:rPr>
            <w:rStyle w:val="Hyperlink"/>
            <w:rFonts w:ascii="Times New Roman" w:hAnsi="Times New Roman" w:cs="Times New Roman"/>
            <w:b w:val="0"/>
            <w:bCs w:val="0"/>
            <w:noProof/>
          </w:rPr>
          <w:t>ANNEXURE III.5 Net Return On Investments In State Electricity Boards : 1990-91 To 1994-95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_Toc222399478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66</w:t>
        </w:r>
        <w:r w:rsidRPr="00CA35C0">
          <w:rPr>
            <w:rFonts w:ascii="Times New Roman" w:hAnsi="Times New Roman" w:cs="Times New Roman"/>
            <w:b w:val="0"/>
            <w:bCs w:val="0"/>
            <w:noProof/>
            <w:webHidden/>
          </w:rPr>
          <w:fldChar w:fldCharType="end"/>
        </w:r>
      </w:hyperlink>
    </w:p>
    <w:p w14:paraId="569C7C2C" w14:textId="09111B99"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79" w:history="1">
        <w:r w:rsidRPr="00CA35C0">
          <w:rPr>
            <w:rStyle w:val="Hyperlink"/>
            <w:rFonts w:ascii="Times New Roman" w:hAnsi="Times New Roman" w:cs="Times New Roman"/>
            <w:b w:val="0"/>
            <w:bCs w:val="0"/>
            <w:noProof/>
          </w:rPr>
          <w:t>ANNEXURE III.6 Financial Performance Of The State Road Transport Corporations/Undertakings (1987-88)</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_Toc222399479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67</w:t>
        </w:r>
        <w:r w:rsidRPr="00CA35C0">
          <w:rPr>
            <w:rFonts w:ascii="Times New Roman" w:hAnsi="Times New Roman" w:cs="Times New Roman"/>
            <w:b w:val="0"/>
            <w:bCs w:val="0"/>
            <w:noProof/>
            <w:webHidden/>
          </w:rPr>
          <w:fldChar w:fldCharType="end"/>
        </w:r>
      </w:hyperlink>
    </w:p>
    <w:p w14:paraId="4C548983" w14:textId="248BE065"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0" w:history="1">
        <w:r w:rsidRPr="00CA35C0">
          <w:rPr>
            <w:rStyle w:val="Hyperlink"/>
            <w:rFonts w:ascii="Times New Roman" w:hAnsi="Times New Roman" w:cs="Times New Roman"/>
            <w:b w:val="0"/>
            <w:bCs w:val="0"/>
            <w:noProof/>
          </w:rPr>
          <w:t>ANNEXURE III.7 Physical Performance Of State Road Transport Corporations/Undertakings :  1987-88</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_Toc222399480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68</w:t>
        </w:r>
        <w:r w:rsidRPr="00CA35C0">
          <w:rPr>
            <w:rFonts w:ascii="Times New Roman" w:hAnsi="Times New Roman" w:cs="Times New Roman"/>
            <w:b w:val="0"/>
            <w:bCs w:val="0"/>
            <w:noProof/>
            <w:webHidden/>
          </w:rPr>
          <w:fldChar w:fldCharType="end"/>
        </w:r>
      </w:hyperlink>
    </w:p>
    <w:p w14:paraId="622C4526" w14:textId="2D7A1209"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1" w:history="1">
        <w:r w:rsidRPr="00CA35C0">
          <w:rPr>
            <w:rStyle w:val="Hyperlink"/>
            <w:rFonts w:ascii="Times New Roman" w:hAnsi="Times New Roman" w:cs="Times New Roman"/>
            <w:b w:val="0"/>
            <w:bCs w:val="0"/>
            <w:noProof/>
          </w:rPr>
          <w:t>ANNEXURE III.8 Return Assessed At Graduated Rates On State Governments' Investment In Road Transport Undertakings (1990-91 to 1094-95)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_Toc222399481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69</w:t>
        </w:r>
        <w:r w:rsidRPr="00CA35C0">
          <w:rPr>
            <w:rFonts w:ascii="Times New Roman" w:hAnsi="Times New Roman" w:cs="Times New Roman"/>
            <w:b w:val="0"/>
            <w:bCs w:val="0"/>
            <w:noProof/>
            <w:webHidden/>
          </w:rPr>
          <w:fldChar w:fldCharType="end"/>
        </w:r>
      </w:hyperlink>
    </w:p>
    <w:p w14:paraId="5765A57C" w14:textId="48F9DA5E"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2" w:history="1">
        <w:r w:rsidRPr="00CA35C0">
          <w:rPr>
            <w:rStyle w:val="Hyperlink"/>
            <w:rFonts w:ascii="Times New Roman" w:hAnsi="Times New Roman" w:cs="Times New Roman"/>
            <w:b w:val="0"/>
            <w:bCs w:val="0"/>
            <w:noProof/>
          </w:rPr>
          <w:t>ANNEXURE III.9 Return On State Governments' Investments In Inland Water Transport Undertakings (1990-91 to 1994-95)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_Toc222399482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69</w:t>
        </w:r>
        <w:r w:rsidRPr="00CA35C0">
          <w:rPr>
            <w:rFonts w:ascii="Times New Roman" w:hAnsi="Times New Roman" w:cs="Times New Roman"/>
            <w:b w:val="0"/>
            <w:bCs w:val="0"/>
            <w:noProof/>
            <w:webHidden/>
          </w:rPr>
          <w:fldChar w:fldCharType="end"/>
        </w:r>
      </w:hyperlink>
    </w:p>
    <w:p w14:paraId="718A685A" w14:textId="5A6E85C6"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3" w:history="1">
        <w:r w:rsidRPr="00CA35C0">
          <w:rPr>
            <w:rStyle w:val="Hyperlink"/>
            <w:rFonts w:ascii="Times New Roman" w:hAnsi="Times New Roman" w:cs="Times New Roman"/>
            <w:b w:val="0"/>
            <w:bCs w:val="0"/>
            <w:noProof/>
          </w:rPr>
          <w:t>ANNEXURE III.10 Major And Medium Irrigation Schemes - Potential Created And Utilisation</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_Toc222399483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69</w:t>
        </w:r>
        <w:r w:rsidRPr="00CA35C0">
          <w:rPr>
            <w:rFonts w:ascii="Times New Roman" w:hAnsi="Times New Roman" w:cs="Times New Roman"/>
            <w:b w:val="0"/>
            <w:bCs w:val="0"/>
            <w:noProof/>
            <w:webHidden/>
          </w:rPr>
          <w:fldChar w:fldCharType="end"/>
        </w:r>
      </w:hyperlink>
    </w:p>
    <w:p w14:paraId="65D22A85" w14:textId="1D0198DD"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4" w:history="1">
        <w:r w:rsidRPr="00CA35C0">
          <w:rPr>
            <w:rStyle w:val="Hyperlink"/>
            <w:rFonts w:ascii="Times New Roman" w:hAnsi="Times New Roman" w:cs="Times New Roman"/>
            <w:b w:val="0"/>
            <w:bCs w:val="0"/>
            <w:noProof/>
          </w:rPr>
          <w:t>ANNEXURE III.11 Financial Returns From Major And Medium Irrigation Schemes (Excluding Flood Control Schemes) During The Five-Year Period 1990-91 To 1994-95.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_Toc222399484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70</w:t>
        </w:r>
        <w:r w:rsidRPr="00CA35C0">
          <w:rPr>
            <w:rFonts w:ascii="Times New Roman" w:hAnsi="Times New Roman" w:cs="Times New Roman"/>
            <w:b w:val="0"/>
            <w:bCs w:val="0"/>
            <w:noProof/>
            <w:webHidden/>
          </w:rPr>
          <w:fldChar w:fldCharType="end"/>
        </w:r>
      </w:hyperlink>
    </w:p>
    <w:p w14:paraId="4AB62AD3" w14:textId="23478FC6"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5" w:history="1">
        <w:r w:rsidRPr="00CA35C0">
          <w:rPr>
            <w:rStyle w:val="Hyperlink"/>
            <w:rFonts w:ascii="Times New Roman" w:hAnsi="Times New Roman" w:cs="Times New Roman"/>
            <w:b w:val="0"/>
            <w:bCs w:val="0"/>
            <w:noProof/>
          </w:rPr>
          <w:t>ANNEXURE III.12 Provision For Maintenance Of Flood Control Works: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_Toc222399485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71</w:t>
        </w:r>
        <w:r w:rsidRPr="00CA35C0">
          <w:rPr>
            <w:rFonts w:ascii="Times New Roman" w:hAnsi="Times New Roman" w:cs="Times New Roman"/>
            <w:b w:val="0"/>
            <w:bCs w:val="0"/>
            <w:noProof/>
            <w:webHidden/>
          </w:rPr>
          <w:fldChar w:fldCharType="end"/>
        </w:r>
      </w:hyperlink>
    </w:p>
    <w:p w14:paraId="4995B9D1" w14:textId="7D882400"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6" w:history="1">
        <w:r w:rsidRPr="00CA35C0">
          <w:rPr>
            <w:rStyle w:val="Hyperlink"/>
            <w:rFonts w:ascii="Times New Roman" w:hAnsi="Times New Roman" w:cs="Times New Roman"/>
            <w:b w:val="0"/>
            <w:bCs w:val="0"/>
            <w:noProof/>
          </w:rPr>
          <w:t>ANNEXURE III.13 Norms For Maintenance Of Roads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_Toc222399486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71</w:t>
        </w:r>
        <w:r w:rsidRPr="00CA35C0">
          <w:rPr>
            <w:rFonts w:ascii="Times New Roman" w:hAnsi="Times New Roman" w:cs="Times New Roman"/>
            <w:b w:val="0"/>
            <w:bCs w:val="0"/>
            <w:noProof/>
            <w:webHidden/>
          </w:rPr>
          <w:fldChar w:fldCharType="end"/>
        </w:r>
      </w:hyperlink>
    </w:p>
    <w:p w14:paraId="1006669D" w14:textId="4A37ACCB"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7" w:history="1">
        <w:r w:rsidRPr="00CA35C0">
          <w:rPr>
            <w:rStyle w:val="Hyperlink"/>
            <w:rFonts w:ascii="Times New Roman" w:hAnsi="Times New Roman" w:cs="Times New Roman"/>
            <w:b w:val="0"/>
            <w:bCs w:val="0"/>
            <w:noProof/>
          </w:rPr>
          <w:t>ANNEXURE III.14 Provision For Maintenance Of Roads :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_Toc222399487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71</w:t>
        </w:r>
        <w:r w:rsidRPr="00CA35C0">
          <w:rPr>
            <w:rFonts w:ascii="Times New Roman" w:hAnsi="Times New Roman" w:cs="Times New Roman"/>
            <w:b w:val="0"/>
            <w:bCs w:val="0"/>
            <w:noProof/>
            <w:webHidden/>
          </w:rPr>
          <w:fldChar w:fldCharType="end"/>
        </w:r>
      </w:hyperlink>
    </w:p>
    <w:p w14:paraId="609B46C9" w14:textId="1B581752"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8" w:history="1">
        <w:r w:rsidRPr="00CA35C0">
          <w:rPr>
            <w:rStyle w:val="Hyperlink"/>
            <w:rFonts w:ascii="Times New Roman" w:hAnsi="Times New Roman" w:cs="Times New Roman"/>
            <w:b w:val="0"/>
            <w:bCs w:val="0"/>
            <w:noProof/>
          </w:rPr>
          <w:t>ANNEXURE III.15A Plinth Area Rates For Civil Engineering Maintenance</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_Toc222399488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72</w:t>
        </w:r>
        <w:r w:rsidRPr="00CA35C0">
          <w:rPr>
            <w:rFonts w:ascii="Times New Roman" w:hAnsi="Times New Roman" w:cs="Times New Roman"/>
            <w:b w:val="0"/>
            <w:bCs w:val="0"/>
            <w:noProof/>
            <w:webHidden/>
          </w:rPr>
          <w:fldChar w:fldCharType="end"/>
        </w:r>
      </w:hyperlink>
    </w:p>
    <w:p w14:paraId="3FF77E3D" w14:textId="53CF6F83"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89" w:history="1">
        <w:r w:rsidRPr="00CA35C0">
          <w:rPr>
            <w:rStyle w:val="Hyperlink"/>
            <w:rFonts w:ascii="Times New Roman" w:hAnsi="Times New Roman" w:cs="Times New Roman"/>
            <w:b w:val="0"/>
            <w:bCs w:val="0"/>
            <w:noProof/>
          </w:rPr>
          <w:t>ANNEXURE III.15B Plinth Area Rates For Electrical Engineering Maintenance</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_Toc222399489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72</w:t>
        </w:r>
        <w:r w:rsidRPr="00CA35C0">
          <w:rPr>
            <w:rFonts w:ascii="Times New Roman" w:hAnsi="Times New Roman" w:cs="Times New Roman"/>
            <w:b w:val="0"/>
            <w:bCs w:val="0"/>
            <w:noProof/>
            <w:webHidden/>
          </w:rPr>
          <w:fldChar w:fldCharType="end"/>
        </w:r>
      </w:hyperlink>
    </w:p>
    <w:p w14:paraId="14B2AF3F" w14:textId="0BC965F7"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0" w:history="1">
        <w:r w:rsidRPr="00CA35C0">
          <w:rPr>
            <w:rStyle w:val="Hyperlink"/>
            <w:rFonts w:ascii="Times New Roman" w:hAnsi="Times New Roman" w:cs="Times New Roman"/>
            <w:b w:val="0"/>
            <w:bCs w:val="0"/>
            <w:noProof/>
          </w:rPr>
          <w:t>ANNEXURE III.16 Provision Assessed for Maintenance of Buildings: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_Toc222399490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72</w:t>
        </w:r>
        <w:r w:rsidRPr="00CA35C0">
          <w:rPr>
            <w:rFonts w:ascii="Times New Roman" w:hAnsi="Times New Roman" w:cs="Times New Roman"/>
            <w:b w:val="0"/>
            <w:bCs w:val="0"/>
            <w:noProof/>
            <w:webHidden/>
          </w:rPr>
          <w:fldChar w:fldCharType="end"/>
        </w:r>
      </w:hyperlink>
    </w:p>
    <w:p w14:paraId="25F9C97F" w14:textId="288C901A"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1" w:history="1">
        <w:r w:rsidRPr="00CA35C0">
          <w:rPr>
            <w:rStyle w:val="Hyperlink"/>
            <w:rFonts w:ascii="Times New Roman" w:hAnsi="Times New Roman" w:cs="Times New Roman"/>
            <w:b w:val="0"/>
            <w:bCs w:val="0"/>
            <w:noProof/>
          </w:rPr>
          <w:t>ANNEXURE III.17 Methodology Adopted For Working Out The Provision For Parity Of Pay Between The Centre And The States.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_Toc222399491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73</w:t>
        </w:r>
        <w:r w:rsidRPr="00CA35C0">
          <w:rPr>
            <w:rFonts w:ascii="Times New Roman" w:hAnsi="Times New Roman" w:cs="Times New Roman"/>
            <w:b w:val="0"/>
            <w:bCs w:val="0"/>
            <w:noProof/>
            <w:webHidden/>
          </w:rPr>
          <w:fldChar w:fldCharType="end"/>
        </w:r>
      </w:hyperlink>
    </w:p>
    <w:p w14:paraId="7AB3DD28" w14:textId="75182486"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2" w:history="1">
        <w:r w:rsidRPr="00CA35C0">
          <w:rPr>
            <w:rStyle w:val="Hyperlink"/>
            <w:rFonts w:ascii="Times New Roman" w:hAnsi="Times New Roman" w:cs="Times New Roman"/>
            <w:b w:val="0"/>
            <w:bCs w:val="0"/>
            <w:noProof/>
          </w:rPr>
          <w:t xml:space="preserve">ANNEXURE III.18:  </w:t>
        </w:r>
        <w:r w:rsidRPr="00CA35C0">
          <w:rPr>
            <w:rStyle w:val="Hyperlink"/>
            <w:rFonts w:ascii="Times New Roman" w:hAnsi="Times New Roman" w:cs="Times New Roman"/>
            <w:b w:val="0"/>
            <w:bCs w:val="0"/>
            <w:noProof/>
            <w:lang w:bidi="ar-SA"/>
          </w:rPr>
          <w:t>Surplus or Deficit or Revenue Account: 1990-95</w:t>
        </w:r>
        <w:r w:rsidRPr="00CA35C0">
          <w:rPr>
            <w:rStyle w:val="Hyperlink"/>
            <w:rFonts w:ascii="Times New Roman" w:hAnsi="Times New Roman" w:cs="Times New Roman"/>
            <w:b w:val="0"/>
            <w:bCs w:val="0"/>
            <w:noProof/>
          </w:rPr>
          <w:t xml:space="preserve"> </w:t>
        </w:r>
        <w:r w:rsidRPr="00CA35C0">
          <w:rPr>
            <w:rStyle w:val="Hyperlink"/>
            <w:rFonts w:ascii="Times New Roman" w:hAnsi="Times New Roman" w:cs="Times New Roman"/>
            <w:b w:val="0"/>
            <w:bCs w:val="0"/>
            <w:noProof/>
            <w:lang w:bidi="ar-SA"/>
          </w:rPr>
          <w:t>(Before Finance Commission Transfers)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_Toc222399492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76</w:t>
        </w:r>
        <w:r w:rsidRPr="00CA35C0">
          <w:rPr>
            <w:rFonts w:ascii="Times New Roman" w:hAnsi="Times New Roman" w:cs="Times New Roman"/>
            <w:b w:val="0"/>
            <w:bCs w:val="0"/>
            <w:noProof/>
            <w:webHidden/>
          </w:rPr>
          <w:fldChar w:fldCharType="end"/>
        </w:r>
      </w:hyperlink>
    </w:p>
    <w:p w14:paraId="6138476F" w14:textId="79B3E5E3"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3" w:history="1">
        <w:r w:rsidRPr="00CA35C0">
          <w:rPr>
            <w:rStyle w:val="Hyperlink"/>
            <w:rFonts w:ascii="Times New Roman" w:hAnsi="Times New Roman" w:cs="Times New Roman"/>
            <w:b w:val="0"/>
            <w:bCs w:val="0"/>
            <w:noProof/>
          </w:rPr>
          <w:t>ANNEXURE III.19 Comparison Of Normative Estimates With Conventional Estimates Of Tax Revenue And Expenditure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_Toc222399493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78</w:t>
        </w:r>
        <w:r w:rsidRPr="00CA35C0">
          <w:rPr>
            <w:rFonts w:ascii="Times New Roman" w:hAnsi="Times New Roman" w:cs="Times New Roman"/>
            <w:b w:val="0"/>
            <w:bCs w:val="0"/>
            <w:noProof/>
            <w:webHidden/>
          </w:rPr>
          <w:fldChar w:fldCharType="end"/>
        </w:r>
      </w:hyperlink>
    </w:p>
    <w:p w14:paraId="47194990" w14:textId="2BC179DF"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4" w:history="1">
        <w:r w:rsidRPr="00CA35C0">
          <w:rPr>
            <w:rStyle w:val="Hyperlink"/>
            <w:rFonts w:ascii="Times New Roman" w:hAnsi="Times New Roman" w:cs="Times New Roman"/>
            <w:b w:val="0"/>
            <w:bCs w:val="0"/>
            <w:noProof/>
          </w:rPr>
          <w:t>ANNEXURE IV.1 Summary Of The Central Government's Forecast By The Ministry Of Finance And As Reassessed For The Period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_Toc222399494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78</w:t>
        </w:r>
        <w:r w:rsidRPr="00CA35C0">
          <w:rPr>
            <w:rFonts w:ascii="Times New Roman" w:hAnsi="Times New Roman" w:cs="Times New Roman"/>
            <w:b w:val="0"/>
            <w:bCs w:val="0"/>
            <w:noProof/>
            <w:webHidden/>
          </w:rPr>
          <w:fldChar w:fldCharType="end"/>
        </w:r>
      </w:hyperlink>
    </w:p>
    <w:p w14:paraId="3027E3CB" w14:textId="4F8266B0"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5" w:history="1">
        <w:r w:rsidRPr="00CA35C0">
          <w:rPr>
            <w:rStyle w:val="Hyperlink"/>
            <w:rFonts w:ascii="Times New Roman" w:hAnsi="Times New Roman" w:cs="Times New Roman"/>
            <w:b w:val="0"/>
            <w:bCs w:val="0"/>
            <w:noProof/>
          </w:rPr>
          <w:t>ANNEXURE V.1 Statewise Assessment Of Income Tax (Excluding Tax On Union Emoluments) For The Years 1985-86, 1986-87 And 1987-88</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_Toc222399495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78</w:t>
        </w:r>
        <w:r w:rsidRPr="00CA35C0">
          <w:rPr>
            <w:rFonts w:ascii="Times New Roman" w:hAnsi="Times New Roman" w:cs="Times New Roman"/>
            <w:b w:val="0"/>
            <w:bCs w:val="0"/>
            <w:noProof/>
            <w:webHidden/>
          </w:rPr>
          <w:fldChar w:fldCharType="end"/>
        </w:r>
      </w:hyperlink>
    </w:p>
    <w:p w14:paraId="055AAB5B" w14:textId="19313C37"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6" w:history="1">
        <w:r w:rsidRPr="00CA35C0">
          <w:rPr>
            <w:rStyle w:val="Hyperlink"/>
            <w:rFonts w:ascii="Times New Roman" w:hAnsi="Times New Roman" w:cs="Times New Roman"/>
            <w:b w:val="0"/>
            <w:bCs w:val="0"/>
            <w:noProof/>
          </w:rPr>
          <w:t>ANNEXURE V.2 States Arranged In Descending Order Of Per Capita State Domestic Product : New Series (Average of three years, 1982-85, at current prices)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_Toc222399496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79</w:t>
        </w:r>
        <w:r w:rsidRPr="00CA35C0">
          <w:rPr>
            <w:rFonts w:ascii="Times New Roman" w:hAnsi="Times New Roman" w:cs="Times New Roman"/>
            <w:b w:val="0"/>
            <w:bCs w:val="0"/>
            <w:noProof/>
            <w:webHidden/>
          </w:rPr>
          <w:fldChar w:fldCharType="end"/>
        </w:r>
      </w:hyperlink>
    </w:p>
    <w:p w14:paraId="026C75EA" w14:textId="74D287E3"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7" w:history="1">
        <w:r w:rsidRPr="00CA35C0">
          <w:rPr>
            <w:rStyle w:val="Hyperlink"/>
            <w:rFonts w:ascii="Times New Roman" w:hAnsi="Times New Roman" w:cs="Times New Roman"/>
            <w:b w:val="0"/>
            <w:bCs w:val="0"/>
            <w:noProof/>
          </w:rPr>
          <w:t xml:space="preserve">ANNEXURE V.3A Composite Index Of Backwardness </w:t>
        </w:r>
        <w:r w:rsidRPr="00CA35C0">
          <w:rPr>
            <w:rStyle w:val="Hyperlink"/>
            <w:rFonts w:ascii="Times New Roman" w:hAnsi="Times New Roman" w:cs="Times New Roman"/>
            <w:b w:val="0"/>
            <w:bCs w:val="0"/>
            <w:i/>
            <w:iCs/>
            <w:noProof/>
          </w:rPr>
          <w:t>(All India)</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_Toc222399497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79</w:t>
        </w:r>
        <w:r w:rsidRPr="00CA35C0">
          <w:rPr>
            <w:rFonts w:ascii="Times New Roman" w:hAnsi="Times New Roman" w:cs="Times New Roman"/>
            <w:b w:val="0"/>
            <w:bCs w:val="0"/>
            <w:noProof/>
            <w:webHidden/>
          </w:rPr>
          <w:fldChar w:fldCharType="end"/>
        </w:r>
      </w:hyperlink>
    </w:p>
    <w:p w14:paraId="15F439CC" w14:textId="51E471AB"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8" w:history="1">
        <w:r w:rsidRPr="00CA35C0">
          <w:rPr>
            <w:rStyle w:val="Hyperlink"/>
            <w:rFonts w:ascii="Times New Roman" w:hAnsi="Times New Roman" w:cs="Times New Roman"/>
            <w:b w:val="0"/>
            <w:bCs w:val="0"/>
            <w:noProof/>
          </w:rPr>
          <w:t>ANNEXURE V.38 Composite Index Of Backwardness (All States)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_Toc222399498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80</w:t>
        </w:r>
        <w:r w:rsidRPr="00CA35C0">
          <w:rPr>
            <w:rFonts w:ascii="Times New Roman" w:hAnsi="Times New Roman" w:cs="Times New Roman"/>
            <w:b w:val="0"/>
            <w:bCs w:val="0"/>
            <w:noProof/>
            <w:webHidden/>
          </w:rPr>
          <w:fldChar w:fldCharType="end"/>
        </w:r>
      </w:hyperlink>
    </w:p>
    <w:p w14:paraId="555A0BE5" w14:textId="726F6B94"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499" w:history="1">
        <w:r w:rsidRPr="00CA35C0">
          <w:rPr>
            <w:rStyle w:val="Hyperlink"/>
            <w:rFonts w:ascii="Times New Roman" w:hAnsi="Times New Roman" w:cs="Times New Roman"/>
            <w:b w:val="0"/>
            <w:bCs w:val="0"/>
            <w:noProof/>
          </w:rPr>
          <w:t>ANNEXURE V.4 Comparable Estimates Of Net State Domestic Product At Current Prices (1982-83 To 1984-85) - New Series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_Toc222399499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80</w:t>
        </w:r>
        <w:r w:rsidRPr="00CA35C0">
          <w:rPr>
            <w:rFonts w:ascii="Times New Roman" w:hAnsi="Times New Roman" w:cs="Times New Roman"/>
            <w:b w:val="0"/>
            <w:bCs w:val="0"/>
            <w:noProof/>
            <w:webHidden/>
          </w:rPr>
          <w:fldChar w:fldCharType="end"/>
        </w:r>
      </w:hyperlink>
    </w:p>
    <w:p w14:paraId="7A87374A" w14:textId="1D2D59C8"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0" w:history="1">
        <w:r w:rsidRPr="00CA35C0">
          <w:rPr>
            <w:rStyle w:val="Hyperlink"/>
            <w:rFonts w:ascii="Times New Roman" w:hAnsi="Times New Roman" w:cs="Times New Roman"/>
            <w:b w:val="0"/>
            <w:bCs w:val="0"/>
            <w:noProof/>
          </w:rPr>
          <w:t>ANNEXURE V.5 Population</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_Toc222399500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81</w:t>
        </w:r>
        <w:r w:rsidRPr="00CA35C0">
          <w:rPr>
            <w:rFonts w:ascii="Times New Roman" w:hAnsi="Times New Roman" w:cs="Times New Roman"/>
            <w:b w:val="0"/>
            <w:bCs w:val="0"/>
            <w:noProof/>
            <w:webHidden/>
          </w:rPr>
          <w:fldChar w:fldCharType="end"/>
        </w:r>
      </w:hyperlink>
    </w:p>
    <w:p w14:paraId="30610FB0" w14:textId="1ACBD71E"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1" w:history="1">
        <w:r w:rsidRPr="00CA35C0">
          <w:rPr>
            <w:rStyle w:val="Hyperlink"/>
            <w:rFonts w:ascii="Times New Roman" w:hAnsi="Times New Roman" w:cs="Times New Roman"/>
            <w:b w:val="0"/>
            <w:bCs w:val="0"/>
            <w:noProof/>
          </w:rPr>
          <w:t>ANNEXURE V.6 State-wise Passenger Earnings On The Basis Of The Originating Stations Located In Each State Fo The Years 1984-85 To 1987-88</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_Toc222399501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81</w:t>
        </w:r>
        <w:r w:rsidRPr="00CA35C0">
          <w:rPr>
            <w:rFonts w:ascii="Times New Roman" w:hAnsi="Times New Roman" w:cs="Times New Roman"/>
            <w:b w:val="0"/>
            <w:bCs w:val="0"/>
            <w:noProof/>
            <w:webHidden/>
          </w:rPr>
          <w:fldChar w:fldCharType="end"/>
        </w:r>
      </w:hyperlink>
    </w:p>
    <w:p w14:paraId="16A3ABE1" w14:textId="73053A13"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2" w:history="1">
        <w:r w:rsidRPr="00CA35C0">
          <w:rPr>
            <w:rStyle w:val="Hyperlink"/>
            <w:rFonts w:ascii="Times New Roman" w:hAnsi="Times New Roman" w:cs="Times New Roman"/>
            <w:b w:val="0"/>
            <w:bCs w:val="0"/>
            <w:noProof/>
          </w:rPr>
          <w:t>ANNEXURE VI.I Assistance Sought By the State and the Ceilings Approved By the government of India during the year (1979-80 to 1988-89)</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_Toc222399502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82</w:t>
        </w:r>
        <w:r w:rsidRPr="00CA35C0">
          <w:rPr>
            <w:rFonts w:ascii="Times New Roman" w:hAnsi="Times New Roman" w:cs="Times New Roman"/>
            <w:b w:val="0"/>
            <w:bCs w:val="0"/>
            <w:noProof/>
            <w:webHidden/>
          </w:rPr>
          <w:fldChar w:fldCharType="end"/>
        </w:r>
      </w:hyperlink>
    </w:p>
    <w:p w14:paraId="2005A185" w14:textId="368E6F41"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3" w:history="1">
        <w:r w:rsidRPr="00CA35C0">
          <w:rPr>
            <w:rStyle w:val="Hyperlink"/>
            <w:rFonts w:ascii="Times New Roman" w:hAnsi="Times New Roman" w:cs="Times New Roman"/>
            <w:b w:val="0"/>
            <w:bCs w:val="0"/>
            <w:noProof/>
          </w:rPr>
          <w:t>ANNEXURE VII.1 States' Revenue Plan Financing</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_Toc222399503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84</w:t>
        </w:r>
        <w:r w:rsidRPr="00CA35C0">
          <w:rPr>
            <w:rFonts w:ascii="Times New Roman" w:hAnsi="Times New Roman" w:cs="Times New Roman"/>
            <w:b w:val="0"/>
            <w:bCs w:val="0"/>
            <w:noProof/>
            <w:webHidden/>
          </w:rPr>
          <w:fldChar w:fldCharType="end"/>
        </w:r>
      </w:hyperlink>
    </w:p>
    <w:p w14:paraId="1312296F" w14:textId="17608589"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4" w:history="1">
        <w:r w:rsidRPr="00CA35C0">
          <w:rPr>
            <w:rStyle w:val="Hyperlink"/>
            <w:rFonts w:ascii="Times New Roman" w:hAnsi="Times New Roman" w:cs="Times New Roman"/>
            <w:b w:val="0"/>
            <w:bCs w:val="0"/>
            <w:noProof/>
          </w:rPr>
          <w:t>ANNEXURE VII. 2 States' Revenue Plan Financing</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_Toc222399504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84</w:t>
        </w:r>
        <w:r w:rsidRPr="00CA35C0">
          <w:rPr>
            <w:rFonts w:ascii="Times New Roman" w:hAnsi="Times New Roman" w:cs="Times New Roman"/>
            <w:b w:val="0"/>
            <w:bCs w:val="0"/>
            <w:noProof/>
            <w:webHidden/>
          </w:rPr>
          <w:fldChar w:fldCharType="end"/>
        </w:r>
      </w:hyperlink>
    </w:p>
    <w:p w14:paraId="3ACC510E" w14:textId="407ED50C"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5" w:history="1">
        <w:r w:rsidRPr="00CA35C0">
          <w:rPr>
            <w:rStyle w:val="Hyperlink"/>
            <w:rFonts w:ascii="Times New Roman" w:hAnsi="Times New Roman" w:cs="Times New Roman"/>
            <w:b w:val="0"/>
            <w:bCs w:val="0"/>
            <w:noProof/>
          </w:rPr>
          <w:t>ANNEXURE VII.3 Revenue Account Position Of Central Government Resources :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_Toc222399505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84</w:t>
        </w:r>
        <w:r w:rsidRPr="00CA35C0">
          <w:rPr>
            <w:rFonts w:ascii="Times New Roman" w:hAnsi="Times New Roman" w:cs="Times New Roman"/>
            <w:b w:val="0"/>
            <w:bCs w:val="0"/>
            <w:noProof/>
            <w:webHidden/>
          </w:rPr>
          <w:fldChar w:fldCharType="end"/>
        </w:r>
      </w:hyperlink>
    </w:p>
    <w:p w14:paraId="4B4E55BC" w14:textId="4B0CA1CA"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6" w:history="1">
        <w:r w:rsidRPr="00CA35C0">
          <w:rPr>
            <w:rStyle w:val="Hyperlink"/>
            <w:rFonts w:ascii="Times New Roman" w:hAnsi="Times New Roman" w:cs="Times New Roman"/>
            <w:b w:val="0"/>
            <w:bCs w:val="0"/>
            <w:noProof/>
          </w:rPr>
          <w:t>ANNEXURE VII.4 OVERALL REVENUE ACCOUNT POSITION</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_Toc222399506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85</w:t>
        </w:r>
        <w:r w:rsidRPr="00CA35C0">
          <w:rPr>
            <w:rFonts w:ascii="Times New Roman" w:hAnsi="Times New Roman" w:cs="Times New Roman"/>
            <w:b w:val="0"/>
            <w:bCs w:val="0"/>
            <w:noProof/>
            <w:webHidden/>
          </w:rPr>
          <w:fldChar w:fldCharType="end"/>
        </w:r>
      </w:hyperlink>
    </w:p>
    <w:p w14:paraId="173BEA5C" w14:textId="3F774480"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7" w:history="1">
        <w:r w:rsidRPr="00CA35C0">
          <w:rPr>
            <w:rStyle w:val="Hyperlink"/>
            <w:rFonts w:ascii="Times New Roman" w:hAnsi="Times New Roman" w:cs="Times New Roman"/>
            <w:b w:val="0"/>
            <w:bCs w:val="0"/>
            <w:noProof/>
          </w:rPr>
          <w:t>ANNEXURE IX.1 COMPOSITION OF STATE GOVERNMENTS DEBT AS ON 31.03.1989</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_Toc222399507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88</w:t>
        </w:r>
        <w:r w:rsidRPr="00CA35C0">
          <w:rPr>
            <w:rFonts w:ascii="Times New Roman" w:hAnsi="Times New Roman" w:cs="Times New Roman"/>
            <w:b w:val="0"/>
            <w:bCs w:val="0"/>
            <w:noProof/>
            <w:webHidden/>
          </w:rPr>
          <w:fldChar w:fldCharType="end"/>
        </w:r>
      </w:hyperlink>
    </w:p>
    <w:p w14:paraId="709A95D3" w14:textId="536C36CC"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8" w:history="1">
        <w:r w:rsidRPr="00CA35C0">
          <w:rPr>
            <w:rStyle w:val="Hyperlink"/>
            <w:rFonts w:ascii="Times New Roman" w:hAnsi="Times New Roman" w:cs="Times New Roman"/>
            <w:b w:val="0"/>
            <w:bCs w:val="0"/>
            <w:noProof/>
          </w:rPr>
          <w:t>ANNEXURE IX.2 Outstandings of Central Loans As At The End Of 1988-89</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_Toc222399508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89</w:t>
        </w:r>
        <w:r w:rsidRPr="00CA35C0">
          <w:rPr>
            <w:rFonts w:ascii="Times New Roman" w:hAnsi="Times New Roman" w:cs="Times New Roman"/>
            <w:b w:val="0"/>
            <w:bCs w:val="0"/>
            <w:noProof/>
            <w:webHidden/>
          </w:rPr>
          <w:fldChar w:fldCharType="end"/>
        </w:r>
      </w:hyperlink>
    </w:p>
    <w:p w14:paraId="7572A7A6" w14:textId="18FB48F8"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09" w:history="1">
        <w:r w:rsidRPr="00CA35C0">
          <w:rPr>
            <w:rStyle w:val="Hyperlink"/>
            <w:rFonts w:ascii="Times New Roman" w:hAnsi="Times New Roman" w:cs="Times New Roman"/>
            <w:b w:val="0"/>
            <w:bCs w:val="0"/>
            <w:noProof/>
          </w:rPr>
          <w:t>ANNEXURE IX.3 Repayment Of Central Loans During 1990-95 On Existing Basis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_Toc222399509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90</w:t>
        </w:r>
        <w:r w:rsidRPr="00CA35C0">
          <w:rPr>
            <w:rFonts w:ascii="Times New Roman" w:hAnsi="Times New Roman" w:cs="Times New Roman"/>
            <w:b w:val="0"/>
            <w:bCs w:val="0"/>
            <w:noProof/>
            <w:webHidden/>
          </w:rPr>
          <w:fldChar w:fldCharType="end"/>
        </w:r>
      </w:hyperlink>
    </w:p>
    <w:p w14:paraId="4A969001" w14:textId="403BD8C6"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10" w:history="1">
        <w:r w:rsidRPr="00CA35C0">
          <w:rPr>
            <w:rStyle w:val="Hyperlink"/>
            <w:rFonts w:ascii="Times New Roman" w:hAnsi="Times New Roman" w:cs="Times New Roman"/>
            <w:b w:val="0"/>
            <w:bCs w:val="0"/>
            <w:noProof/>
          </w:rPr>
          <w:t>ANNEXURE IX.4 Ratio Of Repayments Of Principal To Fresh Loans From Centre</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_Toc222399510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91</w:t>
        </w:r>
        <w:r w:rsidRPr="00CA35C0">
          <w:rPr>
            <w:rFonts w:ascii="Times New Roman" w:hAnsi="Times New Roman" w:cs="Times New Roman"/>
            <w:b w:val="0"/>
            <w:bCs w:val="0"/>
            <w:noProof/>
            <w:webHidden/>
          </w:rPr>
          <w:fldChar w:fldCharType="end"/>
        </w:r>
      </w:hyperlink>
    </w:p>
    <w:p w14:paraId="0D1F4438" w14:textId="10B22A84"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11" w:history="1">
        <w:r w:rsidRPr="00CA35C0">
          <w:rPr>
            <w:rStyle w:val="Hyperlink"/>
            <w:rFonts w:ascii="Times New Roman" w:hAnsi="Times New Roman" w:cs="Times New Roman"/>
            <w:b w:val="0"/>
            <w:bCs w:val="0"/>
            <w:noProof/>
          </w:rPr>
          <w:t>ANNEXURE IX.5 General Debt Relief Scheme for State Plan Loans</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_Toc222399511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91</w:t>
        </w:r>
        <w:r w:rsidRPr="00CA35C0">
          <w:rPr>
            <w:rFonts w:ascii="Times New Roman" w:hAnsi="Times New Roman" w:cs="Times New Roman"/>
            <w:b w:val="0"/>
            <w:bCs w:val="0"/>
            <w:noProof/>
            <w:webHidden/>
          </w:rPr>
          <w:fldChar w:fldCharType="end"/>
        </w:r>
      </w:hyperlink>
    </w:p>
    <w:p w14:paraId="0388C142" w14:textId="42BABA83" w:rsidR="0097338C" w:rsidRPr="00CA35C0" w:rsidRDefault="0097338C">
      <w:pPr>
        <w:pStyle w:val="TOC2"/>
        <w:tabs>
          <w:tab w:val="right" w:leader="dot" w:pos="9016"/>
        </w:tabs>
        <w:rPr>
          <w:rFonts w:ascii="Times New Roman" w:eastAsiaTheme="minorEastAsia" w:hAnsi="Times New Roman" w:cs="Times New Roman"/>
          <w:b w:val="0"/>
          <w:bCs w:val="0"/>
          <w:noProof/>
          <w:sz w:val="24"/>
          <w:szCs w:val="21"/>
          <w:lang w:eastAsia="en-IN"/>
        </w:rPr>
      </w:pPr>
      <w:hyperlink w:anchor="_Toc222399512" w:history="1">
        <w:r w:rsidRPr="00CA35C0">
          <w:rPr>
            <w:rStyle w:val="Hyperlink"/>
            <w:rFonts w:ascii="Times New Roman" w:hAnsi="Times New Roman" w:cs="Times New Roman"/>
            <w:b w:val="0"/>
            <w:bCs w:val="0"/>
            <w:noProof/>
          </w:rPr>
          <w:t>ANNEXURE IX.6  Summary of Debt Relief During 1990-95</w:t>
        </w:r>
        <w:r w:rsidRPr="00CA35C0">
          <w:rPr>
            <w:rFonts w:ascii="Times New Roman" w:hAnsi="Times New Roman" w:cs="Times New Roman"/>
            <w:b w:val="0"/>
            <w:bCs w:val="0"/>
            <w:noProof/>
            <w:webHidden/>
          </w:rPr>
          <w:tab/>
        </w:r>
        <w:r w:rsidRPr="00CA35C0">
          <w:rPr>
            <w:rFonts w:ascii="Times New Roman" w:hAnsi="Times New Roman" w:cs="Times New Roman"/>
            <w:b w:val="0"/>
            <w:bCs w:val="0"/>
            <w:noProof/>
            <w:webHidden/>
          </w:rPr>
          <w:fldChar w:fldCharType="begin"/>
        </w:r>
        <w:r w:rsidRPr="00CA35C0">
          <w:rPr>
            <w:rFonts w:ascii="Times New Roman" w:hAnsi="Times New Roman" w:cs="Times New Roman"/>
            <w:b w:val="0"/>
            <w:bCs w:val="0"/>
            <w:noProof/>
            <w:webHidden/>
          </w:rPr>
          <w:instrText xml:space="preserve"> PAGEREF _Toc222399512 \h </w:instrText>
        </w:r>
        <w:r w:rsidRPr="00CA35C0">
          <w:rPr>
            <w:rFonts w:ascii="Times New Roman" w:hAnsi="Times New Roman" w:cs="Times New Roman"/>
            <w:b w:val="0"/>
            <w:bCs w:val="0"/>
            <w:noProof/>
            <w:webHidden/>
          </w:rPr>
        </w:r>
        <w:r w:rsidRPr="00CA35C0">
          <w:rPr>
            <w:rFonts w:ascii="Times New Roman" w:hAnsi="Times New Roman" w:cs="Times New Roman"/>
            <w:b w:val="0"/>
            <w:bCs w:val="0"/>
            <w:noProof/>
            <w:webHidden/>
          </w:rPr>
          <w:fldChar w:fldCharType="separate"/>
        </w:r>
        <w:r w:rsidRPr="00CA35C0">
          <w:rPr>
            <w:rFonts w:ascii="Times New Roman" w:hAnsi="Times New Roman" w:cs="Times New Roman"/>
            <w:b w:val="0"/>
            <w:bCs w:val="0"/>
            <w:noProof/>
            <w:webHidden/>
          </w:rPr>
          <w:t>92</w:t>
        </w:r>
        <w:r w:rsidRPr="00CA35C0">
          <w:rPr>
            <w:rFonts w:ascii="Times New Roman" w:hAnsi="Times New Roman" w:cs="Times New Roman"/>
            <w:b w:val="0"/>
            <w:bCs w:val="0"/>
            <w:noProof/>
            <w:webHidden/>
          </w:rPr>
          <w:fldChar w:fldCharType="end"/>
        </w:r>
      </w:hyperlink>
    </w:p>
    <w:p w14:paraId="306ABB32" w14:textId="4F5078AA" w:rsidR="0097338C" w:rsidRPr="00CA35C0" w:rsidRDefault="0097338C" w:rsidP="00CA35C0">
      <w:pPr>
        <w:pStyle w:val="TOC1"/>
        <w:rPr>
          <w:rFonts w:eastAsiaTheme="minorEastAsia"/>
          <w:noProof/>
          <w:szCs w:val="21"/>
          <w:lang w:val="en-IN" w:eastAsia="en-IN"/>
        </w:rPr>
      </w:pPr>
      <w:hyperlink w:anchor="_Toc222399513" w:history="1">
        <w:r w:rsidRPr="00CA35C0">
          <w:rPr>
            <w:rStyle w:val="Hyperlink"/>
            <w:noProof/>
          </w:rPr>
          <w:t>APPENDICES</w:t>
        </w:r>
        <w:r w:rsidRPr="00CA35C0">
          <w:rPr>
            <w:noProof/>
            <w:webHidden/>
          </w:rPr>
          <w:tab/>
        </w:r>
        <w:r w:rsidRPr="00CA35C0">
          <w:rPr>
            <w:noProof/>
            <w:webHidden/>
          </w:rPr>
          <w:fldChar w:fldCharType="begin"/>
        </w:r>
        <w:r w:rsidRPr="00CA35C0">
          <w:rPr>
            <w:noProof/>
            <w:webHidden/>
          </w:rPr>
          <w:instrText xml:space="preserve"> PAGEREF _Toc222399513 \h </w:instrText>
        </w:r>
        <w:r w:rsidRPr="00CA35C0">
          <w:rPr>
            <w:noProof/>
            <w:webHidden/>
          </w:rPr>
        </w:r>
        <w:r w:rsidRPr="00CA35C0">
          <w:rPr>
            <w:noProof/>
            <w:webHidden/>
          </w:rPr>
          <w:fldChar w:fldCharType="separate"/>
        </w:r>
        <w:r w:rsidRPr="00CA35C0">
          <w:rPr>
            <w:noProof/>
            <w:webHidden/>
          </w:rPr>
          <w:t>93</w:t>
        </w:r>
        <w:r w:rsidRPr="00CA35C0">
          <w:rPr>
            <w:noProof/>
            <w:webHidden/>
          </w:rPr>
          <w:fldChar w:fldCharType="end"/>
        </w:r>
      </w:hyperlink>
    </w:p>
    <w:p w14:paraId="099C4C2D" w14:textId="6A99DCDF"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14" w:history="1">
        <w:r w:rsidRPr="00CA35C0">
          <w:rPr>
            <w:rStyle w:val="Hyperlink"/>
            <w:rFonts w:ascii="Times New Roman" w:hAnsi="Times New Roman" w:cs="Times New Roman"/>
            <w:noProof/>
          </w:rPr>
          <w:t>APPENDIX 1</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List Of Organisations And Individuals Who Submitted Memoranda To The Finance Commission</w:t>
        </w:r>
        <w:r w:rsidRPr="00CA35C0">
          <w:rPr>
            <w:rFonts w:ascii="Times New Roman" w:hAnsi="Times New Roman" w:cs="Times New Roman"/>
            <w:noProof/>
            <w:webHidden/>
          </w:rPr>
          <w:tab/>
        </w:r>
        <w:r w:rsid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_Toc222399514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95</w:t>
        </w:r>
        <w:r w:rsidRPr="00CA35C0">
          <w:rPr>
            <w:rFonts w:ascii="Times New Roman" w:hAnsi="Times New Roman" w:cs="Times New Roman"/>
            <w:noProof/>
            <w:webHidden/>
          </w:rPr>
          <w:fldChar w:fldCharType="end"/>
        </w:r>
      </w:hyperlink>
    </w:p>
    <w:p w14:paraId="4C231A1C" w14:textId="795C724D"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15" w:history="1">
        <w:r w:rsidRPr="00CA35C0">
          <w:rPr>
            <w:rStyle w:val="Hyperlink"/>
            <w:rFonts w:ascii="Times New Roman" w:hAnsi="Times New Roman" w:cs="Times New Roman"/>
            <w:noProof/>
          </w:rPr>
          <w:t>APPENDIX 2</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List Of Organisations And Individuals Who Submitted Memoranda To The Finance Commission</w:t>
        </w:r>
        <w:r w:rsidRPr="00CA35C0">
          <w:rPr>
            <w:rFonts w:ascii="Times New Roman" w:hAnsi="Times New Roman" w:cs="Times New Roman"/>
            <w:noProof/>
            <w:webHidden/>
          </w:rPr>
          <w:tab/>
        </w:r>
        <w:r w:rsid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_Toc222399515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99</w:t>
        </w:r>
        <w:r w:rsidRPr="00CA35C0">
          <w:rPr>
            <w:rFonts w:ascii="Times New Roman" w:hAnsi="Times New Roman" w:cs="Times New Roman"/>
            <w:noProof/>
            <w:webHidden/>
          </w:rPr>
          <w:fldChar w:fldCharType="end"/>
        </w:r>
      </w:hyperlink>
    </w:p>
    <w:p w14:paraId="79AD941D" w14:textId="47B2ECDE"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16" w:history="1">
        <w:r w:rsidRPr="00CA35C0">
          <w:rPr>
            <w:rStyle w:val="Hyperlink"/>
            <w:rFonts w:ascii="Times New Roman" w:hAnsi="Times New Roman" w:cs="Times New Roman"/>
            <w:noProof/>
          </w:rPr>
          <w:t>APPENDIX 3</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TRENDS IN CENTRAL AND STATE FINANCES</w:t>
        </w:r>
        <w:r w:rsidRP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_Toc222399516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102</w:t>
        </w:r>
        <w:r w:rsidRPr="00CA35C0">
          <w:rPr>
            <w:rFonts w:ascii="Times New Roman" w:hAnsi="Times New Roman" w:cs="Times New Roman"/>
            <w:noProof/>
            <w:webHidden/>
          </w:rPr>
          <w:fldChar w:fldCharType="end"/>
        </w:r>
      </w:hyperlink>
    </w:p>
    <w:p w14:paraId="1318049D" w14:textId="64FAD15C"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17" w:history="1">
        <w:r w:rsidRPr="00CA35C0">
          <w:rPr>
            <w:rStyle w:val="Hyperlink"/>
            <w:rFonts w:ascii="Times New Roman" w:hAnsi="Times New Roman" w:cs="Times New Roman"/>
            <w:noProof/>
          </w:rPr>
          <w:t>APPENDIX 4</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ESTIMATION OF RELATIVE TAXABLE CAPACITY - A METHODOLOGICAL NOTE</w:t>
        </w:r>
        <w:r w:rsidRPr="00CA35C0">
          <w:rPr>
            <w:rFonts w:ascii="Times New Roman" w:hAnsi="Times New Roman" w:cs="Times New Roman"/>
            <w:noProof/>
            <w:webHidden/>
          </w:rPr>
          <w:tab/>
        </w:r>
        <w:r w:rsid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_Toc222399517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105</w:t>
        </w:r>
        <w:r w:rsidRPr="00CA35C0">
          <w:rPr>
            <w:rFonts w:ascii="Times New Roman" w:hAnsi="Times New Roman" w:cs="Times New Roman"/>
            <w:noProof/>
            <w:webHidden/>
          </w:rPr>
          <w:fldChar w:fldCharType="end"/>
        </w:r>
      </w:hyperlink>
    </w:p>
    <w:p w14:paraId="1B75BA0D" w14:textId="4F4A8851"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18" w:history="1">
        <w:r w:rsidRPr="00CA35C0">
          <w:rPr>
            <w:rStyle w:val="Hyperlink"/>
            <w:rFonts w:ascii="Times New Roman" w:hAnsi="Times New Roman" w:cs="Times New Roman"/>
            <w:noProof/>
          </w:rPr>
          <w:t>APPENDIX 5</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ESTIMATION OF NON-PLAN REVENUE EXPENDITURENEEDS OF THE STATE</w:t>
        </w:r>
        <w:r w:rsidRPr="00CA35C0">
          <w:rPr>
            <w:rFonts w:ascii="Times New Roman" w:hAnsi="Times New Roman" w:cs="Times New Roman"/>
            <w:noProof/>
            <w:webHidden/>
          </w:rPr>
          <w:tab/>
        </w:r>
        <w:r w:rsidR="00CA35C0">
          <w:rPr>
            <w:rFonts w:ascii="Times New Roman" w:hAnsi="Times New Roman" w:cs="Times New Roman"/>
            <w:noProof/>
            <w:webHidden/>
          </w:rPr>
          <w:tab/>
        </w:r>
        <w:r w:rsid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_Toc222399518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115</w:t>
        </w:r>
        <w:r w:rsidRPr="00CA35C0">
          <w:rPr>
            <w:rFonts w:ascii="Times New Roman" w:hAnsi="Times New Roman" w:cs="Times New Roman"/>
            <w:noProof/>
            <w:webHidden/>
          </w:rPr>
          <w:fldChar w:fldCharType="end"/>
        </w:r>
      </w:hyperlink>
    </w:p>
    <w:p w14:paraId="0E6F5559" w14:textId="3D5A29DF"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19" w:history="1">
        <w:r w:rsidRPr="00CA35C0">
          <w:rPr>
            <w:rStyle w:val="Hyperlink"/>
            <w:rFonts w:ascii="Times New Roman" w:hAnsi="Times New Roman" w:cs="Times New Roman"/>
            <w:noProof/>
          </w:rPr>
          <w:t>APPENDIX 6</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A NOTE ON SOURCES OF AND METHOD OF ADJUSTMENT IN THE DATA</w:t>
        </w:r>
        <w:r w:rsidRP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_Toc222399519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137</w:t>
        </w:r>
        <w:r w:rsidRPr="00CA35C0">
          <w:rPr>
            <w:rFonts w:ascii="Times New Roman" w:hAnsi="Times New Roman" w:cs="Times New Roman"/>
            <w:noProof/>
            <w:webHidden/>
          </w:rPr>
          <w:fldChar w:fldCharType="end"/>
        </w:r>
      </w:hyperlink>
    </w:p>
    <w:p w14:paraId="6029FBE4" w14:textId="539AE6EC" w:rsidR="0097338C" w:rsidRPr="00CA35C0" w:rsidRDefault="0097338C">
      <w:pPr>
        <w:pStyle w:val="TOC3"/>
        <w:tabs>
          <w:tab w:val="left" w:pos="1920"/>
          <w:tab w:val="right" w:leader="dot" w:pos="9016"/>
        </w:tabs>
        <w:rPr>
          <w:rFonts w:ascii="Times New Roman" w:eastAsiaTheme="minorEastAsia" w:hAnsi="Times New Roman" w:cs="Times New Roman"/>
          <w:noProof/>
          <w:sz w:val="24"/>
          <w:szCs w:val="21"/>
          <w:lang w:eastAsia="en-IN"/>
        </w:rPr>
      </w:pPr>
      <w:hyperlink w:anchor="_Toc222399520" w:history="1">
        <w:r w:rsidRPr="00CA35C0">
          <w:rPr>
            <w:rStyle w:val="Hyperlink"/>
            <w:rFonts w:ascii="Times New Roman" w:hAnsi="Times New Roman" w:cs="Times New Roman"/>
            <w:noProof/>
          </w:rPr>
          <w:t>APPENDIX 7</w:t>
        </w:r>
        <w:r w:rsidRPr="00CA35C0">
          <w:rPr>
            <w:rFonts w:ascii="Times New Roman" w:eastAsiaTheme="minorEastAsia" w:hAnsi="Times New Roman" w:cs="Times New Roman"/>
            <w:noProof/>
            <w:sz w:val="24"/>
            <w:szCs w:val="21"/>
            <w:lang w:eastAsia="en-IN"/>
          </w:rPr>
          <w:tab/>
        </w:r>
        <w:r w:rsidRPr="00CA35C0">
          <w:rPr>
            <w:rStyle w:val="Hyperlink"/>
            <w:rFonts w:ascii="Times New Roman" w:hAnsi="Times New Roman" w:cs="Times New Roman"/>
            <w:noProof/>
          </w:rPr>
          <w:t>DETERMINATION OF MINIMUM LEVELS OF PLAN REVENUE EXPENDITURE OF THE STATES</w:t>
        </w:r>
        <w:r w:rsidR="009419F4">
          <w:rPr>
            <w:rStyle w:val="Hyperlink"/>
            <w:rFonts w:ascii="Times New Roman" w:hAnsi="Times New Roman" w:cs="Times New Roman"/>
            <w:noProof/>
          </w:rPr>
          <w:tab/>
        </w:r>
        <w:r w:rsidRPr="00CA35C0">
          <w:rPr>
            <w:rFonts w:ascii="Times New Roman" w:hAnsi="Times New Roman" w:cs="Times New Roman"/>
            <w:noProof/>
            <w:webHidden/>
          </w:rPr>
          <w:tab/>
        </w:r>
        <w:r w:rsidRPr="00CA35C0">
          <w:rPr>
            <w:rFonts w:ascii="Times New Roman" w:hAnsi="Times New Roman" w:cs="Times New Roman"/>
            <w:noProof/>
            <w:webHidden/>
          </w:rPr>
          <w:fldChar w:fldCharType="begin"/>
        </w:r>
        <w:r w:rsidRPr="00CA35C0">
          <w:rPr>
            <w:rFonts w:ascii="Times New Roman" w:hAnsi="Times New Roman" w:cs="Times New Roman"/>
            <w:noProof/>
            <w:webHidden/>
          </w:rPr>
          <w:instrText xml:space="preserve"> PAGEREF _Toc222399520 \h </w:instrText>
        </w:r>
        <w:r w:rsidRPr="00CA35C0">
          <w:rPr>
            <w:rFonts w:ascii="Times New Roman" w:hAnsi="Times New Roman" w:cs="Times New Roman"/>
            <w:noProof/>
            <w:webHidden/>
          </w:rPr>
        </w:r>
        <w:r w:rsidRPr="00CA35C0">
          <w:rPr>
            <w:rFonts w:ascii="Times New Roman" w:hAnsi="Times New Roman" w:cs="Times New Roman"/>
            <w:noProof/>
            <w:webHidden/>
          </w:rPr>
          <w:fldChar w:fldCharType="separate"/>
        </w:r>
        <w:r w:rsidRPr="00CA35C0">
          <w:rPr>
            <w:rFonts w:ascii="Times New Roman" w:hAnsi="Times New Roman" w:cs="Times New Roman"/>
            <w:noProof/>
            <w:webHidden/>
          </w:rPr>
          <w:t>139</w:t>
        </w:r>
        <w:r w:rsidRPr="00CA35C0">
          <w:rPr>
            <w:rFonts w:ascii="Times New Roman" w:hAnsi="Times New Roman" w:cs="Times New Roman"/>
            <w:noProof/>
            <w:webHidden/>
          </w:rPr>
          <w:fldChar w:fldCharType="end"/>
        </w:r>
      </w:hyperlink>
    </w:p>
    <w:p w14:paraId="2A87170B" w14:textId="45B13B62" w:rsidR="00790403" w:rsidRPr="008F1CA8" w:rsidRDefault="00C14A52" w:rsidP="008F1CA8">
      <w:pPr>
        <w:spacing w:line="240" w:lineRule="auto"/>
        <w:rPr>
          <w:rFonts w:ascii="Times New Roman" w:hAnsi="Times New Roman" w:cs="Times New Roman"/>
          <w:b/>
          <w:bCs/>
          <w:szCs w:val="24"/>
          <w:lang w:val="en-GB"/>
        </w:rPr>
        <w:sectPr w:rsidR="00790403" w:rsidRPr="008F1CA8" w:rsidSect="00790403">
          <w:pgSz w:w="11906" w:h="16838"/>
          <w:pgMar w:top="567" w:right="1440" w:bottom="993" w:left="1440" w:header="708" w:footer="708" w:gutter="0"/>
          <w:pgNumType w:fmt="lowerRoman" w:start="1"/>
          <w:cols w:space="708"/>
          <w:docGrid w:linePitch="360"/>
        </w:sectPr>
      </w:pPr>
      <w:r w:rsidRPr="00CA35C0">
        <w:rPr>
          <w:rFonts w:ascii="Times New Roman" w:hAnsi="Times New Roman" w:cs="Times New Roman"/>
          <w:b/>
          <w:bCs/>
          <w:szCs w:val="24"/>
          <w:lang w:val="en-GB"/>
        </w:rPr>
        <w:fldChar w:fldCharType="end"/>
      </w:r>
    </w:p>
    <w:p w14:paraId="0CB076AC" w14:textId="165EDA37" w:rsidR="00D953C2" w:rsidRPr="00AA6AF4" w:rsidRDefault="00186E55" w:rsidP="009141DF">
      <w:pPr>
        <w:pStyle w:val="Heading1"/>
        <w:spacing w:before="120" w:line="240" w:lineRule="exact"/>
        <w:ind w:left="0" w:firstLine="0"/>
        <w:rPr>
          <w:sz w:val="24"/>
          <w:szCs w:val="24"/>
        </w:rPr>
      </w:pPr>
      <w:r w:rsidRPr="00AA6AF4">
        <w:rPr>
          <w:sz w:val="24"/>
          <w:szCs w:val="24"/>
        </w:rPr>
        <w:lastRenderedPageBreak/>
        <w:br/>
      </w:r>
      <w:bookmarkStart w:id="1" w:name="_Toc221292957"/>
      <w:bookmarkStart w:id="2" w:name="_Toc222399449"/>
      <w:r w:rsidR="0025087B" w:rsidRPr="00AA6AF4">
        <w:rPr>
          <w:sz w:val="24"/>
          <w:szCs w:val="24"/>
        </w:rPr>
        <w:t>INTR</w:t>
      </w:r>
      <w:r w:rsidR="00D953C2" w:rsidRPr="00AA6AF4">
        <w:rPr>
          <w:sz w:val="24"/>
          <w:szCs w:val="24"/>
        </w:rPr>
        <w:t>ODUCTION</w:t>
      </w:r>
      <w:bookmarkEnd w:id="1"/>
      <w:bookmarkEnd w:id="2"/>
    </w:p>
    <w:p w14:paraId="10B418D1" w14:textId="77777777" w:rsidR="0025087B" w:rsidRPr="00AA6AF4" w:rsidRDefault="0025087B" w:rsidP="004D6B2D">
      <w:pPr>
        <w:spacing w:line="240" w:lineRule="exact"/>
        <w:jc w:val="both"/>
        <w:rPr>
          <w:rFonts w:ascii="Times New Roman" w:hAnsi="Times New Roman" w:cs="Times New Roman"/>
          <w:sz w:val="20"/>
          <w:szCs w:val="20"/>
        </w:rPr>
        <w:sectPr w:rsidR="0025087B" w:rsidRPr="00AA6AF4" w:rsidSect="00790403">
          <w:headerReference w:type="default" r:id="rId8"/>
          <w:pgSz w:w="11906" w:h="16838"/>
          <w:pgMar w:top="567" w:right="1440" w:bottom="993" w:left="1440" w:header="708" w:footer="708" w:gutter="0"/>
          <w:pgNumType w:start="1"/>
          <w:cols w:space="708"/>
          <w:docGrid w:linePitch="360"/>
        </w:sectPr>
      </w:pPr>
    </w:p>
    <w:p w14:paraId="68C555C9" w14:textId="0D852229" w:rsidR="00D953C2" w:rsidRPr="0079032D" w:rsidRDefault="00D953C2" w:rsidP="0079032D">
      <w:pPr>
        <w:pStyle w:val="Heading3"/>
        <w:spacing w:after="0"/>
        <w:rPr>
          <w:sz w:val="19"/>
          <w:szCs w:val="19"/>
        </w:rPr>
      </w:pPr>
      <w:r w:rsidRPr="0079032D">
        <w:rPr>
          <w:sz w:val="19"/>
          <w:szCs w:val="19"/>
        </w:rPr>
        <w:t xml:space="preserve">This Finance Commission, the ninth since the commencement al the Constitution, was constituted by the President by his Order (SO No. 581 (E) dated the 17th June, 1987), which is reproduced </w:t>
      </w:r>
      <w:r w:rsidR="009A0972" w:rsidRPr="0079032D">
        <w:rPr>
          <w:sz w:val="19"/>
          <w:szCs w:val="19"/>
        </w:rPr>
        <w:t>below: -</w:t>
      </w:r>
    </w:p>
    <w:p w14:paraId="56FC482D" w14:textId="40B5685C" w:rsidR="009A0972" w:rsidRPr="0079032D" w:rsidRDefault="00D953C2" w:rsidP="0079032D">
      <w:pPr>
        <w:spacing w:after="0" w:line="220" w:lineRule="exact"/>
        <w:jc w:val="both"/>
        <w:rPr>
          <w:rFonts w:ascii="Times New Roman" w:eastAsiaTheme="majorEastAsia" w:hAnsi="Times New Roman" w:cs="Times New Roman"/>
          <w:sz w:val="19"/>
          <w:szCs w:val="19"/>
        </w:rPr>
      </w:pPr>
      <w:r w:rsidRPr="0079032D">
        <w:rPr>
          <w:rFonts w:ascii="Times New Roman" w:hAnsi="Times New Roman" w:cs="Times New Roman"/>
          <w:sz w:val="19"/>
          <w:szCs w:val="19"/>
        </w:rPr>
        <w:t>"</w:t>
      </w:r>
      <w:r w:rsidRPr="0079032D">
        <w:rPr>
          <w:rFonts w:ascii="Times New Roman" w:eastAsiaTheme="majorEastAsia" w:hAnsi="Times New Roman" w:cs="Times New Roman"/>
          <w:sz w:val="19"/>
          <w:szCs w:val="19"/>
        </w:rPr>
        <w:t xml:space="preserve">In pursuance of the provisions of article 280 of the Constitution of India, and of the Finance Commission (Miscellaneous Provisions) Act, 1951 (33 of 1951), the President is pleased to constitute a Finance Commission consisting of Shri N.K.P. Salve, Member of Parliament, as the Chairman and the following four other Members, </w:t>
      </w:r>
      <w:r w:rsidR="009A0972" w:rsidRPr="0079032D">
        <w:rPr>
          <w:rFonts w:ascii="Times New Roman" w:eastAsiaTheme="majorEastAsia" w:hAnsi="Times New Roman" w:cs="Times New Roman"/>
          <w:sz w:val="19"/>
          <w:szCs w:val="19"/>
        </w:rPr>
        <w:t>namely: -</w:t>
      </w:r>
    </w:p>
    <w:p w14:paraId="52487113" w14:textId="6704F819" w:rsidR="009A0972" w:rsidRPr="0079032D" w:rsidRDefault="00D953C2" w:rsidP="0079032D">
      <w:pPr>
        <w:numPr>
          <w:ilvl w:val="0"/>
          <w:numId w:val="1"/>
        </w:numPr>
        <w:tabs>
          <w:tab w:val="clear" w:pos="502"/>
          <w:tab w:val="num" w:pos="1297"/>
        </w:tabs>
        <w:spacing w:after="0" w:line="220" w:lineRule="exact"/>
        <w:ind w:left="1297" w:hanging="283"/>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Shri</w:t>
      </w:r>
      <w:r w:rsidR="008145B6"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Justice</w:t>
      </w:r>
      <w:r w:rsidR="008145B6"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Abdus</w:t>
      </w:r>
      <w:r w:rsidR="008145B6"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Sattar</w:t>
      </w:r>
      <w:r w:rsidR="008145B6"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Qureshi,</w:t>
      </w:r>
      <w:r w:rsidRPr="0079032D">
        <w:rPr>
          <w:rFonts w:ascii="Times New Roman" w:eastAsiaTheme="majorEastAsia" w:hAnsi="Times New Roman" w:cs="Times New Roman"/>
          <w:sz w:val="19"/>
          <w:szCs w:val="19"/>
        </w:rPr>
        <w:br/>
        <w:t>Judge, Gujarat High Court</w:t>
      </w:r>
      <w:r w:rsidRPr="0079032D">
        <w:rPr>
          <w:rFonts w:ascii="Times New Roman" w:eastAsiaTheme="majorEastAsia" w:hAnsi="Times New Roman" w:cs="Times New Roman"/>
          <w:sz w:val="19"/>
          <w:szCs w:val="19"/>
        </w:rPr>
        <w:tab/>
      </w:r>
      <w:r w:rsidR="0025087B" w:rsidRPr="0079032D">
        <w:rPr>
          <w:rFonts w:ascii="Times New Roman" w:eastAsiaTheme="majorEastAsia" w:hAnsi="Times New Roman" w:cs="Times New Roman"/>
          <w:sz w:val="19"/>
          <w:szCs w:val="19"/>
        </w:rPr>
        <w:t xml:space="preserve">          </w:t>
      </w:r>
      <w:r w:rsidR="00B415E0" w:rsidRPr="0079032D">
        <w:rPr>
          <w:rFonts w:ascii="Times New Roman" w:eastAsiaTheme="majorEastAsia" w:hAnsi="Times New Roman" w:cs="Times New Roman"/>
          <w:sz w:val="19"/>
          <w:szCs w:val="19"/>
        </w:rPr>
        <w:t xml:space="preserve">                 </w:t>
      </w:r>
      <w:r w:rsidR="0025087B"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-Member</w:t>
      </w:r>
    </w:p>
    <w:p w14:paraId="2BEF72AB" w14:textId="308A0874" w:rsidR="009A0972" w:rsidRPr="0079032D" w:rsidRDefault="00D953C2" w:rsidP="0079032D">
      <w:pPr>
        <w:numPr>
          <w:ilvl w:val="0"/>
          <w:numId w:val="2"/>
        </w:numPr>
        <w:tabs>
          <w:tab w:val="clear" w:pos="720"/>
          <w:tab w:val="num" w:pos="1308"/>
        </w:tabs>
        <w:spacing w:after="0" w:line="220" w:lineRule="exact"/>
        <w:ind w:left="1308"/>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Dr.</w:t>
      </w:r>
      <w:r w:rsidR="008145B6"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Raja</w:t>
      </w:r>
      <w:r w:rsidR="007164BE"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J. Chelliah,</w:t>
      </w:r>
      <w:r w:rsidRPr="0079032D">
        <w:rPr>
          <w:rFonts w:ascii="Times New Roman" w:eastAsiaTheme="majorEastAsia" w:hAnsi="Times New Roman" w:cs="Times New Roman"/>
          <w:sz w:val="19"/>
          <w:szCs w:val="19"/>
        </w:rPr>
        <w:br/>
        <w:t xml:space="preserve">Member, Planning Commission </w:t>
      </w:r>
      <w:r w:rsidRPr="0079032D">
        <w:rPr>
          <w:rFonts w:ascii="Times New Roman" w:eastAsiaTheme="majorEastAsia" w:hAnsi="Times New Roman" w:cs="Times New Roman"/>
          <w:sz w:val="19"/>
          <w:szCs w:val="19"/>
        </w:rPr>
        <w:tab/>
      </w:r>
      <w:r w:rsidR="0025087B" w:rsidRPr="0079032D">
        <w:rPr>
          <w:rFonts w:ascii="Times New Roman" w:eastAsiaTheme="majorEastAsia" w:hAnsi="Times New Roman" w:cs="Times New Roman"/>
          <w:sz w:val="19"/>
          <w:szCs w:val="19"/>
        </w:rPr>
        <w:t xml:space="preserve">           </w:t>
      </w:r>
      <w:r w:rsidR="00B415E0"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-Member</w:t>
      </w:r>
    </w:p>
    <w:p w14:paraId="7FA2E4B0" w14:textId="08519B5C" w:rsidR="009A0972" w:rsidRPr="0079032D" w:rsidRDefault="00D953C2" w:rsidP="0079032D">
      <w:pPr>
        <w:numPr>
          <w:ilvl w:val="0"/>
          <w:numId w:val="3"/>
        </w:numPr>
        <w:tabs>
          <w:tab w:val="clear" w:pos="720"/>
          <w:tab w:val="num" w:pos="1308"/>
        </w:tabs>
        <w:spacing w:after="0" w:line="220" w:lineRule="exact"/>
        <w:ind w:left="1308"/>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 xml:space="preserve">Shri Lal </w:t>
      </w:r>
      <w:proofErr w:type="spellStart"/>
      <w:r w:rsidRPr="0079032D">
        <w:rPr>
          <w:rFonts w:ascii="Times New Roman" w:eastAsiaTheme="majorEastAsia" w:hAnsi="Times New Roman" w:cs="Times New Roman"/>
          <w:sz w:val="19"/>
          <w:szCs w:val="19"/>
        </w:rPr>
        <w:t>Thanhawla</w:t>
      </w:r>
      <w:proofErr w:type="spellEnd"/>
      <w:r w:rsidRPr="0079032D">
        <w:rPr>
          <w:rFonts w:ascii="Times New Roman" w:eastAsiaTheme="majorEastAsia" w:hAnsi="Times New Roman" w:cs="Times New Roman"/>
          <w:sz w:val="19"/>
          <w:szCs w:val="19"/>
        </w:rPr>
        <w:br/>
        <w:t>Former Chief Minister of Mizoram.</w:t>
      </w:r>
      <w:r w:rsidR="0025087B"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 xml:space="preserve"> </w:t>
      </w:r>
      <w:r w:rsidR="00B415E0"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-Member</w:t>
      </w:r>
    </w:p>
    <w:p w14:paraId="0EC86B88" w14:textId="4D47FEA8" w:rsidR="009A0972" w:rsidRPr="0079032D" w:rsidRDefault="00D953C2" w:rsidP="0079032D">
      <w:pPr>
        <w:numPr>
          <w:ilvl w:val="0"/>
          <w:numId w:val="4"/>
        </w:numPr>
        <w:tabs>
          <w:tab w:val="clear" w:pos="720"/>
          <w:tab w:val="num" w:pos="1308"/>
        </w:tabs>
        <w:spacing w:after="0" w:line="220" w:lineRule="exact"/>
        <w:ind w:left="1308"/>
        <w:rPr>
          <w:rFonts w:ascii="Times New Roman" w:hAnsi="Times New Roman" w:cs="Times New Roman"/>
          <w:sz w:val="19"/>
          <w:szCs w:val="19"/>
        </w:rPr>
      </w:pPr>
      <w:r w:rsidRPr="0079032D">
        <w:rPr>
          <w:rFonts w:ascii="Times New Roman" w:eastAsiaTheme="majorEastAsia" w:hAnsi="Times New Roman" w:cs="Times New Roman"/>
          <w:sz w:val="19"/>
          <w:szCs w:val="19"/>
        </w:rPr>
        <w:t>Shri Mahesh Prasad</w:t>
      </w:r>
      <w:r w:rsidRPr="0079032D">
        <w:rPr>
          <w:rFonts w:ascii="Times New Roman" w:eastAsiaTheme="majorEastAsia" w:hAnsi="Times New Roman" w:cs="Times New Roman"/>
          <w:sz w:val="19"/>
          <w:szCs w:val="19"/>
        </w:rPr>
        <w:tab/>
      </w:r>
      <w:r w:rsidR="0025087B"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 xml:space="preserve">     </w:t>
      </w:r>
      <w:r w:rsidR="00B415E0" w:rsidRPr="0079032D">
        <w:rPr>
          <w:rFonts w:ascii="Times New Roman" w:eastAsiaTheme="majorEastAsia" w:hAnsi="Times New Roman" w:cs="Times New Roman"/>
          <w:sz w:val="19"/>
          <w:szCs w:val="19"/>
        </w:rPr>
        <w:t xml:space="preserve">    </w:t>
      </w:r>
      <w:r w:rsidRPr="0079032D">
        <w:rPr>
          <w:rFonts w:ascii="Times New Roman" w:eastAsiaTheme="majorEastAsia" w:hAnsi="Times New Roman" w:cs="Times New Roman"/>
          <w:sz w:val="19"/>
          <w:szCs w:val="19"/>
        </w:rPr>
        <w:t xml:space="preserve"> -Member Secretary</w:t>
      </w:r>
    </w:p>
    <w:p w14:paraId="4B51CBA2" w14:textId="77777777" w:rsidR="00D953C2" w:rsidRPr="0079032D" w:rsidRDefault="00D953C2" w:rsidP="0079032D">
      <w:pPr>
        <w:numPr>
          <w:ilvl w:val="0"/>
          <w:numId w:val="5"/>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Chairman and the other Members of the Commission shall hold office from the date on which they respectively assume office upto the 30th day of June, 1989.</w:t>
      </w:r>
    </w:p>
    <w:p w14:paraId="1BFDD5A7" w14:textId="77777777" w:rsidR="00D953C2" w:rsidRPr="0079032D" w:rsidRDefault="00D953C2" w:rsidP="0079032D">
      <w:pPr>
        <w:numPr>
          <w:ilvl w:val="0"/>
          <w:numId w:val="5"/>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 xml:space="preserve">The Commission shall make recommendations as to the following </w:t>
      </w:r>
      <w:proofErr w:type="gramStart"/>
      <w:r w:rsidRPr="0079032D">
        <w:rPr>
          <w:rFonts w:ascii="Times New Roman" w:eastAsiaTheme="majorEastAsia" w:hAnsi="Times New Roman" w:cs="Times New Roman"/>
          <w:sz w:val="19"/>
          <w:szCs w:val="19"/>
        </w:rPr>
        <w:t>matters:-</w:t>
      </w:r>
      <w:proofErr w:type="gramEnd"/>
    </w:p>
    <w:p w14:paraId="73FA2C4D" w14:textId="1F8F5DA3" w:rsidR="00D953C2" w:rsidRPr="0079032D" w:rsidRDefault="00D953C2">
      <w:pPr>
        <w:pStyle w:val="ListParagraph"/>
        <w:numPr>
          <w:ilvl w:val="1"/>
          <w:numId w:val="25"/>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distribution between the Union and the States of the net proceeds of taxes which are to be, or may be, divided between them under Chapter I of Part XII of the Constitution and the allocation between the States of the respective shares of such proceeds;</w:t>
      </w:r>
    </w:p>
    <w:p w14:paraId="3181A12F" w14:textId="648B10E2" w:rsidR="0079032D" w:rsidRPr="0079032D" w:rsidRDefault="00D953C2">
      <w:pPr>
        <w:pStyle w:val="ListParagraph"/>
        <w:numPr>
          <w:ilvl w:val="1"/>
          <w:numId w:val="25"/>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principles which should govern the grants-in-aid of the revenues of the States out of the Consolidated Fund of India and the sums to be paid to the States which are in need of assistance by way of grants-in-aid of their revenues under article 275 of the Constitution for purposes other than those specified in the provisos to clause (1) of that article.</w:t>
      </w:r>
    </w:p>
    <w:p w14:paraId="29D5E6F7" w14:textId="77777777" w:rsidR="00D953C2" w:rsidRPr="0079032D" w:rsidRDefault="00D953C2" w:rsidP="0079032D">
      <w:pPr>
        <w:numPr>
          <w:ilvl w:val="0"/>
          <w:numId w:val="5"/>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In making its recommendations, the Commission shall-</w:t>
      </w:r>
    </w:p>
    <w:p w14:paraId="0E0A49A1" w14:textId="77777777" w:rsidR="00D953C2" w:rsidRPr="0079032D" w:rsidRDefault="00D953C2" w:rsidP="0079032D">
      <w:pPr>
        <w:spacing w:after="0" w:line="220" w:lineRule="exact"/>
        <w:ind w:left="720"/>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(I) adopt a normative approach in assessing the receipts and expenditures on the revenue account of the States and the Centre and, in doing so, keep in view the special problems of each State, if any, and the special requirements of the Centre such as defence, security, debt servicing and other committed expenditure or liabilities;</w:t>
      </w:r>
    </w:p>
    <w:p w14:paraId="3BB76C4C" w14:textId="77777777" w:rsidR="00D953C2" w:rsidRPr="0079032D" w:rsidRDefault="00D953C2" w:rsidP="0079032D">
      <w:pPr>
        <w:spacing w:after="0" w:line="220" w:lineRule="exact"/>
        <w:ind w:left="720"/>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(II) have due regard to the need for providing adequate incentives for better resource mobilisation and financial discipline as well as closer linking of expenditure and revenue-raising decisions;</w:t>
      </w:r>
    </w:p>
    <w:p w14:paraId="06C26C0A" w14:textId="77777777" w:rsidR="00D953C2" w:rsidRPr="0079032D" w:rsidRDefault="00D953C2" w:rsidP="0079032D">
      <w:pPr>
        <w:spacing w:after="0" w:line="220" w:lineRule="exact"/>
        <w:ind w:left="720"/>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(III) take into account the need for speed, efficiency and effectiveness of Government functioning and of delivery systems for Government programmes; and</w:t>
      </w:r>
    </w:p>
    <w:p w14:paraId="6BB77999" w14:textId="49779FC0" w:rsidR="00D953C2" w:rsidRPr="0079032D" w:rsidRDefault="00D953C2" w:rsidP="0079032D">
      <w:pPr>
        <w:spacing w:after="0" w:line="220" w:lineRule="exact"/>
        <w:ind w:left="720"/>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 xml:space="preserve">(IV) keep in view the objective of not only balancing the receipts and expenditure on revenue account of both the States and the </w:t>
      </w:r>
      <w:r w:rsidR="00D030F7" w:rsidRPr="0079032D">
        <w:rPr>
          <w:rFonts w:ascii="Times New Roman" w:eastAsiaTheme="majorEastAsia" w:hAnsi="Times New Roman" w:cs="Times New Roman"/>
          <w:sz w:val="19"/>
          <w:szCs w:val="19"/>
        </w:rPr>
        <w:t>Centre, but</w:t>
      </w:r>
      <w:r w:rsidRPr="0079032D">
        <w:rPr>
          <w:rFonts w:ascii="Times New Roman" w:eastAsiaTheme="majorEastAsia" w:hAnsi="Times New Roman" w:cs="Times New Roman"/>
          <w:sz w:val="19"/>
          <w:szCs w:val="19"/>
        </w:rPr>
        <w:t xml:space="preserve"> also generating surpluses for capital investment.</w:t>
      </w:r>
    </w:p>
    <w:p w14:paraId="78C0C4BC" w14:textId="77777777" w:rsidR="00D953C2" w:rsidRPr="0079032D" w:rsidRDefault="00D953C2" w:rsidP="0079032D">
      <w:pPr>
        <w:numPr>
          <w:ilvl w:val="0"/>
          <w:numId w:val="6"/>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Commission may suggest changes, if any, to be made in the principles governing the distribution among the States of -</w:t>
      </w:r>
    </w:p>
    <w:p w14:paraId="16485EB4" w14:textId="77777777" w:rsidR="00D953C2" w:rsidRPr="0079032D" w:rsidRDefault="00D953C2" w:rsidP="0079032D">
      <w:pPr>
        <w:spacing w:after="0" w:line="220" w:lineRule="exact"/>
        <w:ind w:left="720"/>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(a) the net proceeds in any financial year of the additional duties of excise leviable under the Additional Duties of Excise (Goods of Special Importance) Act, 1957 (58 of 1957), and</w:t>
      </w:r>
    </w:p>
    <w:p w14:paraId="7165E359" w14:textId="77777777" w:rsidR="00D953C2" w:rsidRPr="0079032D" w:rsidRDefault="00D953C2" w:rsidP="0079032D">
      <w:pPr>
        <w:spacing w:after="0" w:line="220" w:lineRule="exact"/>
        <w:ind w:left="720"/>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(b) the grants to be made available to the States in lieu of the tax under the repealed Railway Passenger Fares Tax Act, 1957 (25 of 1957).</w:t>
      </w:r>
    </w:p>
    <w:p w14:paraId="6CCFC3DE" w14:textId="77777777" w:rsidR="00D953C2" w:rsidRPr="0079032D" w:rsidRDefault="00D953C2" w:rsidP="0079032D">
      <w:pPr>
        <w:numPr>
          <w:ilvl w:val="0"/>
          <w:numId w:val="7"/>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In making its recommendations on the various matters aforesaid, the Commission shall adopt the population figures of 1971 in all cases where population is regarded as a factor for determination of devolution of taxes and duties and grants-in-aid.</w:t>
      </w:r>
    </w:p>
    <w:p w14:paraId="799A0345" w14:textId="77777777" w:rsidR="00D953C2" w:rsidRPr="0079032D" w:rsidRDefault="00D953C2" w:rsidP="0079032D">
      <w:pPr>
        <w:numPr>
          <w:ilvl w:val="0"/>
          <w:numId w:val="7"/>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Commission may examine the feasibility of the merger of additional duties of excise in lieu of sales tax with basic duties of excise and evolve a suitable formula for allocating a part of the duties of excise in respect of the goods described in column (3) of the First Schedule to the Additional Duties of Excise (Goods of Special Importance) Act, 1957 (58 of 1957) for distribution among the States, in lieu of sales tax.</w:t>
      </w:r>
    </w:p>
    <w:p w14:paraId="247C765D" w14:textId="77777777" w:rsidR="00D953C2" w:rsidRPr="0079032D" w:rsidRDefault="00D953C2" w:rsidP="0079032D">
      <w:pPr>
        <w:numPr>
          <w:ilvl w:val="0"/>
          <w:numId w:val="7"/>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Commission may make an assessment of the debt position of the States as on the 31st day of March, 1989 and suggest such corrective measures as deemed necessary keeping in view the financial requirements of the Centre. The corrective measures will be with particular reference to investments made in infrastructure projects and shall have linkage with improvements in financial and managerial efficiency.</w:t>
      </w:r>
    </w:p>
    <w:p w14:paraId="55D590D8" w14:textId="77777777" w:rsidR="00D953C2" w:rsidRPr="0079032D" w:rsidRDefault="00D953C2" w:rsidP="0079032D">
      <w:pPr>
        <w:numPr>
          <w:ilvl w:val="0"/>
          <w:numId w:val="7"/>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Commission may review the policy and arrangements in regard to the financing of relief expenditure by the States affected by natural calamities and suggest such modifications as it considers appropriate, in the existing arrangements, having regard, among other considerations, to the need for avoidance of wasteful expenditure. The Commission may examine, inter-alia, the feasibility of establishing a national insurance fund to which the State Governments may contribute a percentage of their revenue receipts.</w:t>
      </w:r>
    </w:p>
    <w:p w14:paraId="7D229E1C" w14:textId="77777777" w:rsidR="00D953C2" w:rsidRPr="0079032D" w:rsidRDefault="00D953C2" w:rsidP="0079032D">
      <w:pPr>
        <w:numPr>
          <w:ilvl w:val="0"/>
          <w:numId w:val="7"/>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On the matters aforesaid, the Commission shall make two reports, the first report covering a period of one year commencing on the 1st day of April, 1989, by the 30th June, 1988, and the second report covering a period of five years commencing on the 1st day of April, 1990, by the 30th June, 1989.</w:t>
      </w:r>
    </w:p>
    <w:p w14:paraId="34188ABD" w14:textId="77777777" w:rsidR="00D953C2" w:rsidRPr="0079032D" w:rsidRDefault="00D953C2" w:rsidP="0079032D">
      <w:pPr>
        <w:numPr>
          <w:ilvl w:val="0"/>
          <w:numId w:val="7"/>
        </w:numPr>
        <w:spacing w:after="0" w:line="220" w:lineRule="exact"/>
        <w:jc w:val="both"/>
        <w:rPr>
          <w:rFonts w:ascii="Times New Roman" w:eastAsiaTheme="majorEastAsia" w:hAnsi="Times New Roman" w:cs="Times New Roman"/>
          <w:sz w:val="19"/>
          <w:szCs w:val="19"/>
        </w:rPr>
      </w:pPr>
      <w:r w:rsidRPr="0079032D">
        <w:rPr>
          <w:rFonts w:ascii="Times New Roman" w:eastAsiaTheme="majorEastAsia" w:hAnsi="Times New Roman" w:cs="Times New Roman"/>
          <w:sz w:val="19"/>
          <w:szCs w:val="19"/>
        </w:rPr>
        <w:t>The Commission shall indicate the basis on which it has arrived at the findings and make available the State-wise estimates of receipts and expenditures.</w:t>
      </w:r>
    </w:p>
    <w:p w14:paraId="31E3ED30" w14:textId="77777777" w:rsidR="006B4BE3" w:rsidRPr="0079032D" w:rsidRDefault="006B4BE3" w:rsidP="0079032D">
      <w:pPr>
        <w:pStyle w:val="Heading3"/>
        <w:spacing w:after="0"/>
        <w:rPr>
          <w:sz w:val="19"/>
          <w:szCs w:val="19"/>
        </w:rPr>
      </w:pPr>
      <w:r w:rsidRPr="0079032D">
        <w:rPr>
          <w:sz w:val="19"/>
          <w:szCs w:val="19"/>
        </w:rPr>
        <w:t xml:space="preserve">On his taking over as Chief Minister of Mizoram Shri Lal </w:t>
      </w:r>
      <w:proofErr w:type="spellStart"/>
      <w:r w:rsidRPr="0079032D">
        <w:rPr>
          <w:sz w:val="19"/>
          <w:szCs w:val="19"/>
        </w:rPr>
        <w:t>Thanhawla</w:t>
      </w:r>
      <w:proofErr w:type="spellEnd"/>
      <w:r w:rsidRPr="0079032D">
        <w:rPr>
          <w:sz w:val="19"/>
          <w:szCs w:val="19"/>
        </w:rPr>
        <w:t xml:space="preserve"> resigned his membership of the Commission and his resignation was accepted by the President with effect from the 24th day of January, 1989. Shri S. </w:t>
      </w:r>
      <w:proofErr w:type="spellStart"/>
      <w:r w:rsidRPr="0079032D">
        <w:rPr>
          <w:sz w:val="19"/>
          <w:szCs w:val="19"/>
        </w:rPr>
        <w:t>Venkitaramanan</w:t>
      </w:r>
      <w:proofErr w:type="spellEnd"/>
      <w:r w:rsidRPr="0079032D">
        <w:rPr>
          <w:sz w:val="19"/>
          <w:szCs w:val="19"/>
        </w:rPr>
        <w:t xml:space="preserve">, Adviser to the Prime Minister, was appointed as a Member of the Commission, in place of Shri Lal Thanhawla, vide the President's Order of the 3rd May, 1989. Shri S. </w:t>
      </w:r>
      <w:proofErr w:type="spellStart"/>
      <w:r w:rsidRPr="0079032D">
        <w:rPr>
          <w:sz w:val="19"/>
          <w:szCs w:val="19"/>
        </w:rPr>
        <w:t>Venkitaramanan</w:t>
      </w:r>
      <w:proofErr w:type="spellEnd"/>
      <w:r w:rsidRPr="0079032D">
        <w:rPr>
          <w:sz w:val="19"/>
          <w:szCs w:val="19"/>
        </w:rPr>
        <w:t xml:space="preserve"> resigned his membership of the Commission on his appointment as Adviser to the Governor of Karnataka. On his appointment as Secretary, Ministry of Environment and Forests, Shri Mahesh Prasad resigned his membership of the Commission and Shri K.V.R. Nair was appointed the Member Secretary of the Commission from the 13th July, 1989. Shri R. </w:t>
      </w:r>
      <w:proofErr w:type="spellStart"/>
      <w:r w:rsidRPr="0079032D">
        <w:rPr>
          <w:sz w:val="19"/>
          <w:szCs w:val="19"/>
        </w:rPr>
        <w:t>Keishing</w:t>
      </w:r>
      <w:proofErr w:type="spellEnd"/>
      <w:r w:rsidRPr="0079032D">
        <w:rPr>
          <w:sz w:val="19"/>
          <w:szCs w:val="19"/>
        </w:rPr>
        <w:t>, former Chief Minister of Manipur, assumed charge as part-time Member of the Commission on Saturday the 25th November, 1989.</w:t>
      </w:r>
    </w:p>
    <w:p w14:paraId="1B3B463A" w14:textId="4C45362F" w:rsidR="00D030F7" w:rsidRPr="0079032D" w:rsidRDefault="00D030F7" w:rsidP="0079032D">
      <w:pPr>
        <w:pStyle w:val="Heading3"/>
        <w:spacing w:after="0"/>
        <w:rPr>
          <w:sz w:val="19"/>
          <w:szCs w:val="19"/>
        </w:rPr>
      </w:pPr>
      <w:r w:rsidRPr="0079032D">
        <w:rPr>
          <w:sz w:val="19"/>
          <w:szCs w:val="19"/>
        </w:rPr>
        <w:lastRenderedPageBreak/>
        <w:t>Shri N.K.P. Salve, Chairman, and Dr. Raja J. Chelliah, Member, continued to render part-time service. Shri Justice A.S. Qureshi, Member, rendered part-time service upto the 3rd August, 1989, whereafter he became a full-time Member.</w:t>
      </w:r>
    </w:p>
    <w:p w14:paraId="4C01D23F" w14:textId="2C76DE3A" w:rsidR="00D030F7" w:rsidRPr="0079032D" w:rsidRDefault="00D030F7" w:rsidP="0079032D">
      <w:pPr>
        <w:pStyle w:val="Heading3"/>
        <w:spacing w:after="0"/>
        <w:rPr>
          <w:sz w:val="19"/>
          <w:szCs w:val="19"/>
        </w:rPr>
      </w:pPr>
      <w:r w:rsidRPr="0079032D">
        <w:rPr>
          <w:sz w:val="19"/>
          <w:szCs w:val="19"/>
        </w:rPr>
        <w:t>Paragraph 10 of the Order dated 17th June, 1987, required the Commission to make two reports, the first report covering a period of one year commencing on the 1st day of April, 1989, and the second report covering a period of five years commencing on the 1st day of April, 1990. The President having accepted our request to extend the date for its submission to 31st July, 1988, our first report for 1989-90 was presented to the President on 29th July, 1988. Although the work on both the reports was taken up concurrently, it was possible to attend to the major issues and undertake the detailed exercises relating to the second report only after the presentation of the first report. A review of the progress of work made by us in April/May, 1989, convinced us that it would not be possible to submit the second report by 30th June, 1989. We sought extension of time upto 31st December, 1989. Our request was accepted by the President in his Order dated 13th June, 1989. This Order is reproduced in Annexure I.1.</w:t>
      </w:r>
    </w:p>
    <w:p w14:paraId="7CEB970C" w14:textId="2586A324" w:rsidR="00D030F7" w:rsidRPr="0079032D" w:rsidRDefault="00D030F7" w:rsidP="0079032D">
      <w:pPr>
        <w:pStyle w:val="Heading3"/>
        <w:spacing w:after="0"/>
        <w:rPr>
          <w:sz w:val="19"/>
          <w:szCs w:val="19"/>
        </w:rPr>
      </w:pPr>
      <w:r w:rsidRPr="0079032D">
        <w:rPr>
          <w:sz w:val="19"/>
          <w:szCs w:val="19"/>
        </w:rPr>
        <w:t>The Commission attached great importance to its detailed interaction with the State Governments. The Commission further felt that it would benefit from consultations with experts in the fields of public finance and econometrics. A meeting was held on 24th February, 1988, at New Delhi with some eminent economists and econometricians (list in Annexure I.2). This was followed by another meeting on 22nd April, 1988, with the State Finance Secretaries and representatives of the Union Finance Ministry in which certain conceptual and methodological issues relating to the normative assessment of receipts and expenditures for the period 1990-95 were discussed. The Chairman wrote to all the State Chief Ministers and some eminent economists (list in Annexure I.3) on 11th November, 1988, requesting them for their views and suggestions about the feasibility of formulating a suitable composite index of backwardness. With a view to bringing greater clarity on some of these issues, meetings were held with economists and experts on 23rd June, 1989, (list in Annexure I.4) and 16th October, 1989, (list in Annexure I.5). We also convened an all-State Finance Ministers' meet at New Delhi on 24th July, 1989, to involve them in the examination of some of the important issues and to seek their advice and guidance before finalising our views. We thank all those who replied to our letters and attended these meetings and willingly gave us their valuable advice.</w:t>
      </w:r>
    </w:p>
    <w:p w14:paraId="750E913B" w14:textId="7666AEE2" w:rsidR="00D030F7" w:rsidRPr="0079032D" w:rsidRDefault="00D030F7" w:rsidP="0079032D">
      <w:pPr>
        <w:pStyle w:val="Heading3"/>
        <w:spacing w:after="0"/>
        <w:rPr>
          <w:sz w:val="19"/>
          <w:szCs w:val="19"/>
        </w:rPr>
      </w:pPr>
      <w:r w:rsidRPr="0079032D">
        <w:rPr>
          <w:sz w:val="19"/>
          <w:szCs w:val="19"/>
        </w:rPr>
        <w:t xml:space="preserve">While most of the exercises were done in-house, some studies were also commissioned. The National Institute of Public Finance and Policy, New Delhi, submitted the results of the study assigned to it by the Commission on "Estimation of Relative Taxable Capacities of the States" using the "Representative Tax System Approach". Prof. B.B. Bhattacharya of the Institute of Economic Growth, Delhi, who was engaged as a </w:t>
      </w:r>
      <w:proofErr w:type="gramStart"/>
      <w:r w:rsidRPr="0079032D">
        <w:rPr>
          <w:sz w:val="19"/>
          <w:szCs w:val="19"/>
        </w:rPr>
        <w:t>Consultant</w:t>
      </w:r>
      <w:proofErr w:type="gramEnd"/>
      <w:r w:rsidRPr="0079032D">
        <w:rPr>
          <w:sz w:val="19"/>
          <w:szCs w:val="19"/>
        </w:rPr>
        <w:t>, gave his report on government borrowing with special reference to States' indebtedness to the Centre. The Institute of Public Enterprises, Hyderabad, undertook a study for us on the investments made by the State Governments in the various State Public Enterprises and their financial performance. The National Institute of Urban Affairs prepared for us a report on Municipal services and Municipal finances.</w:t>
      </w:r>
    </w:p>
    <w:p w14:paraId="4AE67799" w14:textId="3B1B36EC" w:rsidR="00D030F7" w:rsidRPr="0079032D" w:rsidRDefault="00D030F7" w:rsidP="0079032D">
      <w:pPr>
        <w:pStyle w:val="Heading3"/>
        <w:spacing w:after="0"/>
        <w:rPr>
          <w:sz w:val="19"/>
          <w:szCs w:val="19"/>
        </w:rPr>
      </w:pPr>
      <w:r w:rsidRPr="0079032D">
        <w:rPr>
          <w:sz w:val="19"/>
          <w:szCs w:val="19"/>
        </w:rPr>
        <w:t xml:space="preserve">The Commission was able to visit most all the States at least once during its entire term, except Mizoram, Nagaland, Sikkim and Tripura (Annexure I.6). We had programmed a visit to Sikkim on 20th and 21st September, 1989. The Commission, however, could not proceed beyond Siliguri, despite all its efforts, because of inclement weather in Sikkim and land-slides </w:t>
      </w:r>
      <w:proofErr w:type="spellStart"/>
      <w:r w:rsidRPr="0079032D">
        <w:rPr>
          <w:sz w:val="19"/>
          <w:szCs w:val="19"/>
        </w:rPr>
        <w:t>en</w:t>
      </w:r>
      <w:proofErr w:type="spellEnd"/>
      <w:r w:rsidRPr="0079032D">
        <w:rPr>
          <w:sz w:val="19"/>
          <w:szCs w:val="19"/>
        </w:rPr>
        <w:t xml:space="preserve"> route to Gangtok. The Chief Ministers of Tripura, Mizoram and Nagaland were kind enough to make it convenient to visit Delhi and have detailed discussions with the Commission on the 8th, 17th and 29th November, 1989, respectively. We found visits to the States of immense value specially because of the open and free discussions with the State Chief Ministers, their Cabinet colleagues and officials. During these visits the State Governments also arranged some field visits and we could avail of the opportunity to gain </w:t>
      </w:r>
      <w:proofErr w:type="spellStart"/>
      <w:r w:rsidRPr="0079032D">
        <w:rPr>
          <w:sz w:val="19"/>
          <w:szCs w:val="19"/>
        </w:rPr>
        <w:t>first hand</w:t>
      </w:r>
      <w:proofErr w:type="spellEnd"/>
      <w:r w:rsidRPr="0079032D">
        <w:rPr>
          <w:sz w:val="19"/>
          <w:szCs w:val="19"/>
        </w:rPr>
        <w:t xml:space="preserve"> knowledge of the ground conditions and other factors affecting delivery of social and economic services and consequently expenditure needs of the State. These discussions and visits enabled us to have a better understanding and appreciation of the problems of the States. During these visits to the States, the Commission also had some very useful meetings with Leaders of the Opposition, Members of Parliament, Members of State Legislatures, representatives from Chambers of Commerce and Industry, Associations and Federations of State Employees, economists and other eminent personalities. We are grateful to all the State Governments we visited for having made meticulous arrangements for our visits and for the cooperation extended by them in full measure to the Commission and its secretariat. We deeply regret the inconvenience caused to some of the States when the programme of our visit had to be called off more than once at short notice, invariably for reasons beyond our control.</w:t>
      </w:r>
    </w:p>
    <w:p w14:paraId="06870978" w14:textId="1540BDED" w:rsidR="00D030F7" w:rsidRPr="0079032D" w:rsidRDefault="00D030F7" w:rsidP="0079032D">
      <w:pPr>
        <w:pStyle w:val="Heading3"/>
        <w:spacing w:after="0"/>
        <w:rPr>
          <w:sz w:val="19"/>
          <w:szCs w:val="19"/>
        </w:rPr>
      </w:pPr>
      <w:r w:rsidRPr="0079032D">
        <w:rPr>
          <w:sz w:val="19"/>
          <w:szCs w:val="19"/>
        </w:rPr>
        <w:t>The Commission had useful rounds of discussions with the Secretaries in charge of various Ministries and Departments of the Government of India (Annexure I.7). This gave us valuable insight into the perceptions of the Government on financial issues having a bearing on the finances of the Centre.</w:t>
      </w:r>
    </w:p>
    <w:p w14:paraId="0582EEC1" w14:textId="605E5F51" w:rsidR="00D030F7" w:rsidRPr="0079032D" w:rsidRDefault="00D030F7" w:rsidP="0079032D">
      <w:pPr>
        <w:pStyle w:val="Heading3"/>
        <w:spacing w:after="0"/>
        <w:rPr>
          <w:sz w:val="19"/>
          <w:szCs w:val="19"/>
        </w:rPr>
      </w:pPr>
      <w:r w:rsidRPr="0079032D">
        <w:rPr>
          <w:sz w:val="19"/>
          <w:szCs w:val="19"/>
        </w:rPr>
        <w:t xml:space="preserve">At our request, the Comptroller and Auditor General of India issued instructions to all the State Accountants General to render such assistance as required by us in the course of our work. The State Accountants-General cooperated in full measure and supplied the required information and clarifications. We record our appreciation for the services rendered to the Commission. We would also like to thank four eminent jurists, namely, Shri N.A. </w:t>
      </w:r>
      <w:proofErr w:type="spellStart"/>
      <w:r w:rsidRPr="0079032D">
        <w:rPr>
          <w:sz w:val="19"/>
          <w:szCs w:val="19"/>
        </w:rPr>
        <w:t>Palkhivala</w:t>
      </w:r>
      <w:proofErr w:type="spellEnd"/>
      <w:r w:rsidRPr="0079032D">
        <w:rPr>
          <w:sz w:val="19"/>
          <w:szCs w:val="19"/>
        </w:rPr>
        <w:t xml:space="preserve">, Shri K.K. Venugopal, Shri A.G. Noorani and Prof. B. </w:t>
      </w:r>
      <w:proofErr w:type="spellStart"/>
      <w:r w:rsidRPr="0079032D">
        <w:rPr>
          <w:sz w:val="19"/>
          <w:szCs w:val="19"/>
        </w:rPr>
        <w:t>Errabbi</w:t>
      </w:r>
      <w:proofErr w:type="spellEnd"/>
      <w:r w:rsidRPr="0079032D">
        <w:rPr>
          <w:sz w:val="19"/>
          <w:szCs w:val="19"/>
        </w:rPr>
        <w:t>, whom we consulted to ascertain the implications and scope of Articles 275 and 282 of the Constitution.</w:t>
      </w:r>
    </w:p>
    <w:p w14:paraId="0B0E1166" w14:textId="4B7FB4F5" w:rsidR="00D030F7" w:rsidRPr="0079032D" w:rsidRDefault="00D030F7" w:rsidP="0079032D">
      <w:pPr>
        <w:pStyle w:val="Heading3"/>
        <w:spacing w:after="0"/>
        <w:rPr>
          <w:sz w:val="19"/>
          <w:szCs w:val="19"/>
        </w:rPr>
      </w:pPr>
      <w:r w:rsidRPr="0079032D">
        <w:rPr>
          <w:sz w:val="19"/>
          <w:szCs w:val="19"/>
        </w:rPr>
        <w:t>We would like to acknowledge the efficient and painstaking work put in by the officers and members of our staff. The terms of reference of our Commission were far wider than those of any previous Commission and we had to submit two separate reports relating to two separate periods. All this called for greater effort and work on the part of our secretariat. Voluminous data and information had to be collected and studies conducted. (The list of the names and the designation of officers who constituted our secretariat is given in Annexure I.8).</w:t>
      </w:r>
    </w:p>
    <w:p w14:paraId="35BE1AC5" w14:textId="549B1286" w:rsidR="00D030F7" w:rsidRPr="0079032D" w:rsidRDefault="00D030F7" w:rsidP="0079032D">
      <w:pPr>
        <w:pStyle w:val="Heading3"/>
        <w:spacing w:after="0"/>
        <w:rPr>
          <w:sz w:val="19"/>
          <w:szCs w:val="19"/>
        </w:rPr>
      </w:pPr>
      <w:r w:rsidRPr="0079032D">
        <w:rPr>
          <w:sz w:val="19"/>
          <w:szCs w:val="19"/>
        </w:rPr>
        <w:t>The Commission is thankful to the National Informatics Centre which provided the computer facilities in the Commission's office. This facilitated the handling and an in-depth analysis of the mass of data compiled by the Commission.</w:t>
      </w:r>
    </w:p>
    <w:p w14:paraId="5915D18E" w14:textId="06CB5DF7" w:rsidR="00D030F7" w:rsidRPr="0079032D" w:rsidRDefault="00D030F7" w:rsidP="0079032D">
      <w:pPr>
        <w:pStyle w:val="Heading3"/>
        <w:spacing w:after="0"/>
        <w:rPr>
          <w:sz w:val="19"/>
          <w:szCs w:val="19"/>
        </w:rPr>
      </w:pPr>
      <w:r w:rsidRPr="0079032D">
        <w:rPr>
          <w:sz w:val="19"/>
          <w:szCs w:val="19"/>
        </w:rPr>
        <w:t xml:space="preserve">It is not possible to give the names of all those in our Secretariat who worked and contributed to the completion of the task assigned to us. We are fully aware of the </w:t>
      </w:r>
      <w:r w:rsidR="00613036" w:rsidRPr="0079032D">
        <w:rPr>
          <w:sz w:val="19"/>
          <w:szCs w:val="19"/>
        </w:rPr>
        <w:t>long hours</w:t>
      </w:r>
      <w:r w:rsidRPr="0079032D">
        <w:rPr>
          <w:sz w:val="19"/>
          <w:szCs w:val="19"/>
        </w:rPr>
        <w:t xml:space="preserve"> put </w:t>
      </w:r>
      <w:r w:rsidR="00613036" w:rsidRPr="0079032D">
        <w:rPr>
          <w:sz w:val="19"/>
          <w:szCs w:val="19"/>
        </w:rPr>
        <w:t>in by</w:t>
      </w:r>
      <w:r w:rsidRPr="0079032D">
        <w:rPr>
          <w:sz w:val="19"/>
          <w:szCs w:val="19"/>
        </w:rPr>
        <w:t xml:space="preserve"> them and several times, at considerable personal inconvenience to themselves. We thank the Superintendents, Programme Assistants, Economic Investigators, Technical Assistants, Personal Assistants, Stenographers, Typists and others for their cooperation and assistance extended to us in full measure. Each of us would also like to add that our personal staff performed their duties to our entire satisfaction.</w:t>
      </w:r>
    </w:p>
    <w:p w14:paraId="5718C6FB" w14:textId="77777777" w:rsidR="0025087B" w:rsidRPr="00AA6AF4" w:rsidRDefault="0025087B" w:rsidP="004D6B2D">
      <w:pPr>
        <w:spacing w:line="240" w:lineRule="auto"/>
        <w:rPr>
          <w:rFonts w:ascii="Times New Roman" w:hAnsi="Times New Roman" w:cs="Times New Roman"/>
          <w:szCs w:val="24"/>
        </w:rPr>
        <w:sectPr w:rsidR="0025087B" w:rsidRPr="00AA6AF4" w:rsidSect="0079032D">
          <w:type w:val="continuous"/>
          <w:pgSz w:w="11906" w:h="16838"/>
          <w:pgMar w:top="0" w:right="849" w:bottom="709" w:left="709" w:header="708" w:footer="708" w:gutter="0"/>
          <w:pgNumType w:start="1"/>
          <w:cols w:space="567"/>
          <w:docGrid w:linePitch="360"/>
        </w:sectPr>
      </w:pPr>
    </w:p>
    <w:p w14:paraId="4A93D50A" w14:textId="77777777" w:rsidR="00DD0803" w:rsidRPr="00AA6AF4" w:rsidRDefault="00DD0803" w:rsidP="004D6B2D">
      <w:pPr>
        <w:rPr>
          <w:rFonts w:ascii="Times New Roman" w:eastAsiaTheme="majorEastAsia" w:hAnsi="Times New Roman" w:cs="Times New Roman"/>
          <w:sz w:val="20"/>
          <w:szCs w:val="20"/>
        </w:rPr>
      </w:pPr>
      <w:r w:rsidRPr="00AA6AF4">
        <w:rPr>
          <w:rFonts w:ascii="Times New Roman" w:hAnsi="Times New Roman" w:cs="Times New Roman"/>
          <w:sz w:val="20"/>
          <w:szCs w:val="20"/>
        </w:rPr>
        <w:br w:type="page"/>
      </w:r>
    </w:p>
    <w:p w14:paraId="461DF1EE" w14:textId="7BDD0DCC" w:rsidR="00DD0803" w:rsidRPr="00AA4076" w:rsidRDefault="004D6B2D" w:rsidP="009141DF">
      <w:pPr>
        <w:pStyle w:val="Heading1"/>
        <w:ind w:left="142" w:firstLine="0"/>
        <w:rPr>
          <w:sz w:val="24"/>
          <w:szCs w:val="24"/>
        </w:rPr>
      </w:pPr>
      <w:r w:rsidRPr="00AA6AF4">
        <w:lastRenderedPageBreak/>
        <w:br/>
      </w:r>
      <w:bookmarkStart w:id="3" w:name="_Toc221292958"/>
      <w:bookmarkStart w:id="4" w:name="_Toc222399450"/>
      <w:r w:rsidR="00DD0803" w:rsidRPr="00AA4076">
        <w:rPr>
          <w:sz w:val="24"/>
          <w:szCs w:val="24"/>
        </w:rPr>
        <w:t>THE APPROACH OF THE COMMISSION FOR THE PERIOD 1990-95</w:t>
      </w:r>
      <w:bookmarkEnd w:id="3"/>
      <w:bookmarkEnd w:id="4"/>
    </w:p>
    <w:p w14:paraId="25C29407" w14:textId="3189DE4A" w:rsidR="00DD0803" w:rsidRPr="00FE738E" w:rsidRDefault="00DD0803" w:rsidP="00083F5E">
      <w:pPr>
        <w:pStyle w:val="Heading3"/>
        <w:spacing w:line="200" w:lineRule="exact"/>
        <w:rPr>
          <w:sz w:val="19"/>
          <w:szCs w:val="19"/>
        </w:rPr>
      </w:pPr>
      <w:r w:rsidRPr="00FE738E">
        <w:rPr>
          <w:sz w:val="19"/>
          <w:szCs w:val="19"/>
        </w:rPr>
        <w:t xml:space="preserve">In outlining the </w:t>
      </w:r>
      <w:proofErr w:type="gramStart"/>
      <w:r w:rsidRPr="00FE738E">
        <w:rPr>
          <w:sz w:val="19"/>
          <w:szCs w:val="19"/>
        </w:rPr>
        <w:t>approach</w:t>
      </w:r>
      <w:proofErr w:type="gramEnd"/>
      <w:r w:rsidRPr="00FE738E">
        <w:rPr>
          <w:sz w:val="19"/>
          <w:szCs w:val="19"/>
        </w:rPr>
        <w:t xml:space="preserve"> we proposed to adopt in the first report for 1989-90, we had referred to the nature of the federal finance problem</w:t>
      </w:r>
      <w:r w:rsidR="008F2E46" w:rsidRPr="00FE738E">
        <w:rPr>
          <w:rStyle w:val="FootnoteReference"/>
          <w:sz w:val="19"/>
          <w:szCs w:val="19"/>
        </w:rPr>
        <w:footnoteReference w:id="1"/>
      </w:r>
      <w:r w:rsidRPr="00FE738E">
        <w:rPr>
          <w:sz w:val="19"/>
          <w:szCs w:val="19"/>
        </w:rPr>
        <w:t xml:space="preserve">. We had also indicated that an adequate volume of assistance in the form of federal transfers must be made available to the States in the light of the respective responsibilities assigned to them and the Union Government under the Constitution. The principles nonetheless upon which the transfers are </w:t>
      </w:r>
      <w:proofErr w:type="gramStart"/>
      <w:r w:rsidRPr="00FE738E">
        <w:rPr>
          <w:sz w:val="19"/>
          <w:szCs w:val="19"/>
        </w:rPr>
        <w:t>effected</w:t>
      </w:r>
      <w:proofErr w:type="gramEnd"/>
      <w:r w:rsidRPr="00FE738E">
        <w:rPr>
          <w:sz w:val="19"/>
          <w:szCs w:val="19"/>
        </w:rPr>
        <w:t xml:space="preserve"> must be such as to ensure that the linking of revenue and expenditure decisions and fiscal responsibility are not unduly weakened and that higher levels of expenditure than what is to be provided for on the basis of national criteria would have to be met out of the efforts of the government concerned. In this connection, we had quoted, with approval, the observation of the First Finance </w:t>
      </w:r>
      <w:proofErr w:type="gramStart"/>
      <w:r w:rsidRPr="00FE738E">
        <w:rPr>
          <w:sz w:val="19"/>
          <w:szCs w:val="19"/>
        </w:rPr>
        <w:t>Commission :</w:t>
      </w:r>
      <w:proofErr w:type="gramEnd"/>
      <w:r w:rsidRPr="00FE738E">
        <w:rPr>
          <w:sz w:val="19"/>
          <w:szCs w:val="19"/>
        </w:rPr>
        <w:t xml:space="preserve"> "The method of extending financial assistance should be such as to avoid any suggestion that the Central Government have taken upon themselves the responsibility for helping the States to balance their budgets from year to year" (p.97). The federal transfers must, however, be adequate in the context of legitimate budgetary needs of the States while being full and fair to minimise the vertical and horizontal imbalance within the constraints of available resources.</w:t>
      </w:r>
    </w:p>
    <w:p w14:paraId="34B594F4" w14:textId="77777777" w:rsidR="00DD0803" w:rsidRPr="00FE738E" w:rsidRDefault="00DD0803" w:rsidP="00083F5E">
      <w:pPr>
        <w:pStyle w:val="Heading3"/>
        <w:spacing w:line="200" w:lineRule="exact"/>
        <w:rPr>
          <w:sz w:val="19"/>
          <w:szCs w:val="19"/>
        </w:rPr>
      </w:pPr>
      <w:r w:rsidRPr="00FE738E">
        <w:rPr>
          <w:sz w:val="19"/>
          <w:szCs w:val="19"/>
        </w:rPr>
        <w:t> In fashioning our approach in the report for the period 1990-95, we have, in line with the above, kept in view two basic principles: (a) a fair apportionment of revenue resources between the Centre and the States, given their constitutional responsibilities and the overall limitation of resources; and (b) the manner of transfer of resources to be such as to preserve fiscal autonomy of the States and to promote fiscal responsibility on the part of both the Centre and the States. Central transfers inevitably involve questions of inter-State equity and such equity can be attained in the scheme of federal transfers only if fiscal prudence, tax effort and growth impulses are not penalised.</w:t>
      </w:r>
    </w:p>
    <w:p w14:paraId="35202843" w14:textId="77777777" w:rsidR="00DD0803" w:rsidRPr="00FE738E" w:rsidRDefault="00DD0803" w:rsidP="00083F5E">
      <w:pPr>
        <w:pStyle w:val="Heading3"/>
        <w:spacing w:line="200" w:lineRule="exact"/>
        <w:rPr>
          <w:sz w:val="19"/>
          <w:szCs w:val="19"/>
        </w:rPr>
      </w:pPr>
      <w:r w:rsidRPr="00FE738E">
        <w:rPr>
          <w:sz w:val="19"/>
          <w:szCs w:val="19"/>
        </w:rPr>
        <w:t xml:space="preserve">Apart from these basic considerations, our approach has been influenced also by the steadily deteriorating fiscal scenario in the country. The trends in Central and State finances on revenue account (with which we are primarily concerned) are described in Appendix 3 and the figures of revenue receipts and revenue expenditures are presented in Annexure II.1; trends in revenue deficits/surpluses are given in Annexure II.2. It is noticed that at both the Central and State levels, revenue expenditures have been growing faster than revenue receipts. Over the period 1974-75 to 1986-87, while the revenue receipts of the Union Government grew at 14.4 per cent per annum, its revenue expenditures grew at 16.8 per cent; over the same period, the revenue expenditures of the States grew at 17.1 per cent, and their revenue receipts at a lower rate of 15.7 per cent. As a result of the gap between the rates of growth of receipts and expenditures, the latter being higher, revenue deficits have emerged. The Central Government has been incurring a revenue deficit in all the years since 1979-80, and the States as a whole since 1984-85 (except for 1985-86). The revenue deficit of the Centre has been continuously increasing since 1981-82; the revenue surplus of the States as a whole started declining from the same year, and since 1986-87, the States as a whole have also been incurring a revenue deficit which is estimated to have risen to Rs. 4,451 </w:t>
      </w:r>
      <w:proofErr w:type="gramStart"/>
      <w:r w:rsidRPr="00FE738E">
        <w:rPr>
          <w:sz w:val="19"/>
          <w:szCs w:val="19"/>
        </w:rPr>
        <w:t>crore</w:t>
      </w:r>
      <w:proofErr w:type="gramEnd"/>
      <w:r w:rsidRPr="00FE738E">
        <w:rPr>
          <w:sz w:val="19"/>
          <w:szCs w:val="19"/>
        </w:rPr>
        <w:t xml:space="preserve"> in 1988-89. In that year, the revenue deficit of the Centre is budgeted at Rs. 7,012 </w:t>
      </w:r>
      <w:proofErr w:type="gramStart"/>
      <w:r w:rsidRPr="00FE738E">
        <w:rPr>
          <w:sz w:val="19"/>
          <w:szCs w:val="19"/>
        </w:rPr>
        <w:t>crore</w:t>
      </w:r>
      <w:proofErr w:type="gramEnd"/>
      <w:r w:rsidRPr="00FE738E">
        <w:rPr>
          <w:sz w:val="19"/>
          <w:szCs w:val="19"/>
        </w:rPr>
        <w:t>. The total estimated revenue deficit of the Centre and the States in the year 1988-89 would thus be around 3.9 per cent of GDP.</w:t>
      </w:r>
    </w:p>
    <w:p w14:paraId="2DB56117" w14:textId="364D80C7" w:rsidR="00DD0803" w:rsidRPr="00FE738E" w:rsidRDefault="00DD0803" w:rsidP="00083F5E">
      <w:pPr>
        <w:pStyle w:val="Heading3"/>
        <w:spacing w:line="200" w:lineRule="exact"/>
        <w:rPr>
          <w:sz w:val="19"/>
          <w:szCs w:val="19"/>
        </w:rPr>
      </w:pPr>
      <w:r w:rsidRPr="00FE738E">
        <w:rPr>
          <w:sz w:val="19"/>
          <w:szCs w:val="19"/>
        </w:rPr>
        <w:t xml:space="preserve">The incurring of revenue deficits on a </w:t>
      </w:r>
      <w:proofErr w:type="gramStart"/>
      <w:r w:rsidRPr="00FE738E">
        <w:rPr>
          <w:sz w:val="19"/>
          <w:szCs w:val="19"/>
        </w:rPr>
        <w:t>large scale</w:t>
      </w:r>
      <w:proofErr w:type="gramEnd"/>
      <w:r w:rsidRPr="00FE738E">
        <w:rPr>
          <w:sz w:val="19"/>
          <w:szCs w:val="19"/>
        </w:rPr>
        <w:t xml:space="preserve"> year after year implies an infraction of one of the fundamental principles of sound public finance in any economy, particularly in a developing economy. A large revenue deficit implies dissaving on government account (though the amount of dissaving according to national accounting may be somewhat different from the figure of revenue deficit) and the use of the savings of the other domestic sectors or savings borrowed from abroad for financing government's consumption expenditure. In fact, an important principle of fiscal policy enunciated at the very beginning of the planning era was that there should be positive and rising savings on government account, i.e., increasing surplus in the revenue budget in order that government also could contribute to raising the rate of savings in the economy. Thus, the First Plan stated: "...... public savings, as distinguished from private savings, personal or corporate, must be developed steadily. The financing of investment through public savings would help to ensure a pattern of development in consonance with accepted social criteria" (pp. 41-42). The very principle was reiterated in the document of the Second Plan. The massive increases in taxation that have been brought about through successive Plans were intended to implement the above-mentioned principle of financing a part of public investment through the creation of revenue surpluses. However, we note that the principle has been gradually eroded by allowing revenue expenditures to grow faster than revenue receipts in spite of the steadily increasing tax ratio.</w:t>
      </w:r>
    </w:p>
    <w:p w14:paraId="225A8586" w14:textId="6B8146D6" w:rsidR="00DD0803" w:rsidRPr="00FE738E" w:rsidRDefault="00DD0803" w:rsidP="00083F5E">
      <w:pPr>
        <w:pStyle w:val="Heading3"/>
        <w:spacing w:line="200" w:lineRule="exact"/>
        <w:rPr>
          <w:sz w:val="19"/>
          <w:szCs w:val="19"/>
        </w:rPr>
      </w:pPr>
      <w:r w:rsidRPr="00FE738E">
        <w:rPr>
          <w:sz w:val="19"/>
          <w:szCs w:val="19"/>
        </w:rPr>
        <w:t>Another related disquieting feature of recent public finances in India is the rapidly growing public debt. A large part of investment by departmental and non-departmental enterprises financed by the government did not yield sufficient returns but in fact resulted in losses</w:t>
      </w:r>
      <w:r w:rsidR="008F2E46" w:rsidRPr="00FE738E">
        <w:rPr>
          <w:rStyle w:val="FootnoteReference"/>
          <w:sz w:val="19"/>
          <w:szCs w:val="19"/>
        </w:rPr>
        <w:footnoteReference w:id="2"/>
      </w:r>
      <w:r w:rsidRPr="00FE738E">
        <w:rPr>
          <w:sz w:val="19"/>
          <w:szCs w:val="19"/>
        </w:rPr>
        <w:t xml:space="preserve">. In addition, the practice of the government taking over loss-making private enterprises to prevent their closure and then financing them through public borrowing, the growing revenue deficits and the non-recovery of a substantial part of loans to public enterprises and others on which even interest is often not collected have together led to an alarmingly rapid growth of public debt, especially in recent years. And in the process if the social objectives have been served at all, the cost has been highly disproportionate. Annexure II.3 shows the growth of the public debt in India. The total debt of the Central Government (internal and external) has grown from Rs. 19,193 </w:t>
      </w:r>
      <w:proofErr w:type="gramStart"/>
      <w:r w:rsidRPr="00FE738E">
        <w:rPr>
          <w:sz w:val="19"/>
          <w:szCs w:val="19"/>
        </w:rPr>
        <w:t>crore</w:t>
      </w:r>
      <w:proofErr w:type="gramEnd"/>
      <w:r w:rsidRPr="00FE738E">
        <w:rPr>
          <w:sz w:val="19"/>
          <w:szCs w:val="19"/>
        </w:rPr>
        <w:t xml:space="preserve"> on 31st March, 1971, to Rs. 2,28,241 </w:t>
      </w:r>
      <w:proofErr w:type="gramStart"/>
      <w:r w:rsidRPr="00FE738E">
        <w:rPr>
          <w:sz w:val="19"/>
          <w:szCs w:val="19"/>
        </w:rPr>
        <w:t>crore</w:t>
      </w:r>
      <w:proofErr w:type="gramEnd"/>
      <w:r w:rsidRPr="00FE738E">
        <w:rPr>
          <w:sz w:val="19"/>
          <w:szCs w:val="19"/>
        </w:rPr>
        <w:t xml:space="preserve"> on 31st March, 1989 (R.E.); it is expected to rise to Rs. 2,59,729 </w:t>
      </w:r>
      <w:proofErr w:type="gramStart"/>
      <w:r w:rsidRPr="00FE738E">
        <w:rPr>
          <w:sz w:val="19"/>
          <w:szCs w:val="19"/>
        </w:rPr>
        <w:t>crore</w:t>
      </w:r>
      <w:proofErr w:type="gramEnd"/>
      <w:r w:rsidRPr="00FE738E">
        <w:rPr>
          <w:sz w:val="19"/>
          <w:szCs w:val="19"/>
        </w:rPr>
        <w:t xml:space="preserve"> by the end of 1989-90 (B.E.). Of this, Rs. 2,31,692 </w:t>
      </w:r>
      <w:proofErr w:type="gramStart"/>
      <w:r w:rsidRPr="00FE738E">
        <w:rPr>
          <w:sz w:val="19"/>
          <w:szCs w:val="19"/>
        </w:rPr>
        <w:t>crore</w:t>
      </w:r>
      <w:proofErr w:type="gramEnd"/>
      <w:r w:rsidRPr="00FE738E">
        <w:rPr>
          <w:sz w:val="19"/>
          <w:szCs w:val="19"/>
        </w:rPr>
        <w:t xml:space="preserve"> would constitute internal debt. The indebtedness of the States has increased from only Rs. 8,749 </w:t>
      </w:r>
      <w:proofErr w:type="gramStart"/>
      <w:r w:rsidRPr="00FE738E">
        <w:rPr>
          <w:sz w:val="19"/>
          <w:szCs w:val="19"/>
        </w:rPr>
        <w:t>crore</w:t>
      </w:r>
      <w:proofErr w:type="gramEnd"/>
      <w:r w:rsidRPr="00FE738E">
        <w:rPr>
          <w:sz w:val="19"/>
          <w:szCs w:val="19"/>
        </w:rPr>
        <w:t xml:space="preserve"> as on 31st March, 1971, to Rs. 91,053 </w:t>
      </w:r>
      <w:proofErr w:type="gramStart"/>
      <w:r w:rsidRPr="00FE738E">
        <w:rPr>
          <w:sz w:val="19"/>
          <w:szCs w:val="19"/>
        </w:rPr>
        <w:t>crore</w:t>
      </w:r>
      <w:proofErr w:type="gramEnd"/>
      <w:r w:rsidRPr="00FE738E">
        <w:rPr>
          <w:sz w:val="19"/>
          <w:szCs w:val="19"/>
        </w:rPr>
        <w:t xml:space="preserve"> by 31st March, 1989 (R.E.). This total includes Rs. 55,538 </w:t>
      </w:r>
      <w:proofErr w:type="gramStart"/>
      <w:r w:rsidRPr="00FE738E">
        <w:rPr>
          <w:sz w:val="19"/>
          <w:szCs w:val="19"/>
        </w:rPr>
        <w:t>crore</w:t>
      </w:r>
      <w:proofErr w:type="gramEnd"/>
      <w:r w:rsidRPr="00FE738E">
        <w:rPr>
          <w:sz w:val="19"/>
          <w:szCs w:val="19"/>
        </w:rPr>
        <w:t xml:space="preserve"> of loans from the Centre. Excluding this, the combined indebtedness of the Centre and the States amounted to Rs. 2,63,758 </w:t>
      </w:r>
      <w:proofErr w:type="gramStart"/>
      <w:r w:rsidRPr="00FE738E">
        <w:rPr>
          <w:sz w:val="19"/>
          <w:szCs w:val="19"/>
        </w:rPr>
        <w:t>crore</w:t>
      </w:r>
      <w:proofErr w:type="gramEnd"/>
      <w:r w:rsidRPr="00FE738E">
        <w:rPr>
          <w:sz w:val="19"/>
          <w:szCs w:val="19"/>
        </w:rPr>
        <w:t xml:space="preserve"> at the end of 1988-89. Since 1984-85, the debts have been growing rapidly. In the last few years, they have been growing at the rate of Rs. 35,000 to 40,000 crore per year. The ratio of public debt to GDP which stood at 48.9 per cent on 31st March, 1981, rose to 54.9 per cent on 31st March 1985, and is estimated to have risen to 76.9 per cent on 31st March, 1989.  </w:t>
      </w:r>
    </w:p>
    <w:p w14:paraId="1CBD3BF2" w14:textId="5A2737AD" w:rsidR="004172DF" w:rsidRPr="00FE738E" w:rsidRDefault="008145B6" w:rsidP="00083F5E">
      <w:pPr>
        <w:pStyle w:val="Heading3"/>
        <w:spacing w:line="200" w:lineRule="exact"/>
        <w:rPr>
          <w:sz w:val="19"/>
          <w:szCs w:val="19"/>
        </w:rPr>
      </w:pPr>
      <w:r w:rsidRPr="00FE738E">
        <w:rPr>
          <w:sz w:val="19"/>
          <w:szCs w:val="19"/>
        </w:rPr>
        <w:t>As a result of the growth of debt on the one hand and inadequate returns from the use of the borrowings on the other, the burden of interest payments on the budget has naturally been rising. Between 1974-75 and 1986-87, Interest payments increased at 16.9 per cent per annum in the case of the States and at 20.9 per cent in the case of the Centre. (The debt of the States has been growing at 15.4 per cent per annum and that of the Centre at 18.9 per cent.) As of 1988-89, net interest payments constituted 30.4 per cent of net borrowings for the States and 37.4 per cent for the Centre. In 1989-90, the proportion of net interest</w:t>
      </w:r>
      <w:r w:rsidR="00B84FA6" w:rsidRPr="00FE738E">
        <w:rPr>
          <w:sz w:val="19"/>
          <w:szCs w:val="19"/>
        </w:rPr>
        <w:t xml:space="preserve"> </w:t>
      </w:r>
      <w:r w:rsidRPr="00FE738E">
        <w:rPr>
          <w:sz w:val="19"/>
          <w:szCs w:val="19"/>
        </w:rPr>
        <w:t xml:space="preserve">payments to net borrowings at the Centre is estimated to amount to 48.5 per cent. The vicious circle of excessive growth in revenue expenditure, meagre or negative returns from public enterprises, </w:t>
      </w:r>
      <w:r w:rsidRPr="00FE738E">
        <w:rPr>
          <w:sz w:val="19"/>
          <w:szCs w:val="19"/>
        </w:rPr>
        <w:lastRenderedPageBreak/>
        <w:t xml:space="preserve">growing revenue deficit and </w:t>
      </w:r>
      <w:proofErr w:type="gramStart"/>
      <w:r w:rsidRPr="00FE738E">
        <w:rPr>
          <w:sz w:val="19"/>
          <w:szCs w:val="19"/>
        </w:rPr>
        <w:t>large scale</w:t>
      </w:r>
      <w:proofErr w:type="gramEnd"/>
      <w:r w:rsidRPr="00FE738E">
        <w:rPr>
          <w:sz w:val="19"/>
          <w:szCs w:val="19"/>
        </w:rPr>
        <w:t xml:space="preserve"> public borrowing resulting in a massive rise in interest burden and in turn, accentuating the revenue deficit leading to higher borrowing, must be broken. The first task must, therefore, be to restore balance in the revenue budget. The suggestion contained in one of the terms of reference given to the Commission, that the Commission should 'keep in view the objective of not only balancing the receipts and expenditure on revenue account of both the States and the Centre, but also generating surpluses for capital investment' is in line with this objective. As rightly pointed out in the Second Five Year Plan document, once expenditure is classified as revenue and capital items, revenue resources must be found to meet the recurrent needs. In our system where Finance Commissions appointed every five years recommend appropriate revenue transfers to States, large and continuing revenue deficits are indefensible either on principle or on practical grounds.</w:t>
      </w:r>
    </w:p>
    <w:p w14:paraId="25F62434" w14:textId="1B401E75" w:rsidR="008145B6" w:rsidRPr="00FE738E" w:rsidRDefault="008145B6" w:rsidP="00083F5E">
      <w:pPr>
        <w:pStyle w:val="Heading3"/>
        <w:spacing w:line="200" w:lineRule="exact"/>
        <w:rPr>
          <w:sz w:val="19"/>
          <w:szCs w:val="19"/>
        </w:rPr>
      </w:pPr>
      <w:r w:rsidRPr="00FE738E">
        <w:rPr>
          <w:sz w:val="19"/>
          <w:szCs w:val="19"/>
        </w:rPr>
        <w:t xml:space="preserve">The tasks of the Commission have to be approached against the backdrop of phasing out the revenue deficits. This means that not only the growth of revenue expenditures that we postulate must be governed by the feasible rate of growth of revenues but also the manner in which Centre-State financial relations are moulded by the recommendations of the Commission should provide incentives, to the extent possible, for each government to make attempts to move towards a </w:t>
      </w:r>
      <w:proofErr w:type="gramStart"/>
      <w:r w:rsidRPr="00FE738E">
        <w:rPr>
          <w:sz w:val="19"/>
          <w:szCs w:val="19"/>
        </w:rPr>
        <w:t>more healthy</w:t>
      </w:r>
      <w:proofErr w:type="gramEnd"/>
      <w:r w:rsidRPr="00FE738E">
        <w:rPr>
          <w:sz w:val="19"/>
          <w:szCs w:val="19"/>
        </w:rPr>
        <w:t xml:space="preserve"> fiscal situation.</w:t>
      </w:r>
    </w:p>
    <w:p w14:paraId="6ED79C54" w14:textId="223F501F" w:rsidR="008145B6" w:rsidRPr="00FE738E" w:rsidRDefault="008145B6" w:rsidP="00083F5E">
      <w:pPr>
        <w:pStyle w:val="Heading3"/>
        <w:spacing w:line="200" w:lineRule="exact"/>
        <w:rPr>
          <w:sz w:val="19"/>
          <w:szCs w:val="19"/>
        </w:rPr>
      </w:pPr>
      <w:r w:rsidRPr="00FE738E">
        <w:rPr>
          <w:sz w:val="19"/>
          <w:szCs w:val="19"/>
        </w:rPr>
        <w:t>The problem of Central transfers to States cannot be looked upon merely as a matter of the Centre versus the States and/or largely as a question of which level gets more. Basic principles of inter-State equity, fiscal responsibility and efficiency in the use of resources are also involved. As we indicated earlier, the manner of transfer of resources should not tend to weaken fiscal responsibility and should ensure inter-State equity, i.e., the genuine basic needs of all the States should be taken into account along with differences in taxable capacity. Once assistance is granted on such a basis, it would be the responsibility of each government to balance its revenue budget.</w:t>
      </w:r>
    </w:p>
    <w:p w14:paraId="6095409E" w14:textId="461F576A" w:rsidR="008145B6" w:rsidRPr="00FE738E" w:rsidRDefault="008145B6" w:rsidP="00083F5E">
      <w:pPr>
        <w:pStyle w:val="Heading3"/>
        <w:spacing w:line="200" w:lineRule="exact"/>
        <w:rPr>
          <w:sz w:val="19"/>
          <w:szCs w:val="19"/>
        </w:rPr>
      </w:pPr>
      <w:r w:rsidRPr="00FE738E">
        <w:rPr>
          <w:sz w:val="19"/>
          <w:szCs w:val="19"/>
        </w:rPr>
        <w:t>To sum up, the basic objectives underlying the Commission's approach and methodology are: (a) phasing out the revenue deficit of the Centre and the States in such a manner that the deficit is reduced to zero or a relatively small figure by March 31, 1995; (b) equity in the distribution of fiscal resources both vertically and horizontally; and (c) promotion of fiscal discipline and efficiency in the utilisation of resources.</w:t>
      </w:r>
    </w:p>
    <w:p w14:paraId="58DCE236" w14:textId="3705CD3D" w:rsidR="008145B6" w:rsidRPr="00FE738E" w:rsidRDefault="008145B6" w:rsidP="00083F5E">
      <w:pPr>
        <w:pStyle w:val="Heading3"/>
        <w:spacing w:line="200" w:lineRule="exact"/>
        <w:rPr>
          <w:sz w:val="19"/>
          <w:szCs w:val="19"/>
        </w:rPr>
      </w:pPr>
      <w:r w:rsidRPr="00FE738E">
        <w:rPr>
          <w:sz w:val="19"/>
          <w:szCs w:val="19"/>
        </w:rPr>
        <w:t> The implementation of these principles has naturally led us to the normative approach according to which "needs" and "capacities" of different governments are assessed normatively and such normative assessments are then taken as the basis for determining the volume and pattern of federal transfers. This is the first basic departure this Commission made from the practice of the previous Commissions. We indicated in the first report that in respect of the five-year period (1990-95), we shall not take for granted the base year figures either on the receipts or on the expenditure side as the "right" figures on which to proceed. We also indicated the basic considerations governing the normative approach. The relevant passage may be quoted here for convenience:</w:t>
      </w:r>
    </w:p>
    <w:p w14:paraId="2CDF1247" w14:textId="77777777" w:rsidR="008145B6" w:rsidRPr="00FE738E" w:rsidRDefault="008145B6" w:rsidP="00083F5E">
      <w:pPr>
        <w:spacing w:after="0" w:line="200" w:lineRule="exact"/>
        <w:ind w:left="720"/>
        <w:jc w:val="both"/>
        <w:rPr>
          <w:rFonts w:ascii="Times New Roman" w:hAnsi="Times New Roman" w:cs="Times New Roman"/>
          <w:sz w:val="19"/>
          <w:szCs w:val="19"/>
        </w:rPr>
      </w:pPr>
      <w:r w:rsidRPr="00FE738E">
        <w:rPr>
          <w:rFonts w:ascii="Times New Roman" w:hAnsi="Times New Roman" w:cs="Times New Roman"/>
          <w:sz w:val="19"/>
          <w:szCs w:val="19"/>
        </w:rPr>
        <w:t>"First, the distribution of revenues between the Centre and the States must be made in such a way that the two layers of government are enabled to fulfil their respective obligations satisfactorily as enjoined in the Constitution. The norms applied should not be discriminatory as between the Centre and the States. Second, the distribution of revenues among the States should be equitable so that every State is enabled over time to provide a specified minimum standard of basic public services. That is, the States with less capacity should be able to improve their relative standards in respect of essential services. Third, the assessment of revenues and expenditures should be done in such a manner that incentives for greater revenue effort and economy in spending are not curtailed. Fourth, the States should be free to provide more public services and defray their costs through additional levies on their respective citizens. Finally, the norms adopted should be consistent with our overall objective of balancing the revenue accounts of the Centre and the States" (paragraph 2.35).</w:t>
      </w:r>
    </w:p>
    <w:p w14:paraId="04CCED69" w14:textId="574E86DC" w:rsidR="008145B6" w:rsidRPr="00FE738E" w:rsidRDefault="008145B6" w:rsidP="00083F5E">
      <w:pPr>
        <w:pStyle w:val="Heading3"/>
        <w:spacing w:line="200" w:lineRule="exact"/>
        <w:rPr>
          <w:sz w:val="19"/>
          <w:szCs w:val="19"/>
        </w:rPr>
      </w:pPr>
      <w:r w:rsidRPr="00FE738E">
        <w:rPr>
          <w:sz w:val="19"/>
          <w:szCs w:val="19"/>
        </w:rPr>
        <w:t> If the Commission's labours are to result in a rapid movement towards the restoration of balance in the revenue budgets of the Centre and the States, it becomes necessary to consider the revenue budget as a whole comprising the non-Plan and Plan parts. This is the second basic departure this Commission thought fit to make. Our approach here is in keeping with the terms of reference and is in full conformity with the constitutional position regarding the scope of work of the Finance Commission. While thus determining the area of our work, we have kept in view the traditional and important role played by the Planning Commission and the arrangements that have been established, on the basis of consensus in the National Development Council, for financing the revenue and capital plans of the States in an integrated manner. We have attempted to work out an approach which, while enabling us to perform our legitimate constitutional role, would not prove detrimental to the planning process or to the role played by the Planning Commission in that process.</w:t>
      </w:r>
    </w:p>
    <w:p w14:paraId="44BC90CA" w14:textId="5F2C9158" w:rsidR="008145B6" w:rsidRPr="00FE738E" w:rsidRDefault="008145B6" w:rsidP="00083F5E">
      <w:pPr>
        <w:pStyle w:val="Heading3"/>
        <w:spacing w:line="200" w:lineRule="exact"/>
        <w:rPr>
          <w:sz w:val="19"/>
          <w:szCs w:val="19"/>
        </w:rPr>
      </w:pPr>
      <w:r w:rsidRPr="00FE738E">
        <w:rPr>
          <w:sz w:val="19"/>
          <w:szCs w:val="19"/>
        </w:rPr>
        <w:t>The normative approach must be applied as much to the assessment of Central receipts and expenditures as to that of State receipts and expenditures. Whatever norms are chosen must be applied with the same degree of rigidity in both cases. But the norms themselves cannot be uniform or identical. This is because in the distribution of transfers from the Centre among the States, questions of inter-State equity and the apportionment of burdens and benefits among the taxpayers of the different States are involved, whereas in the apportionment of revenue resources between the Centre and the States, the interests of two different groups of taxpayers are not involved. What needs to be considered is rather the question whether the relative levels of revenues raised by the Centre and the States are commensurate with the distribution of taxing powers under the Constitution and what could be the total combined tax intake that would be adequate and also acceptable to the people. On the expenditure side again, the average cannot be used as a norm for the Centre as can be done in assessing the relative needs of the States, because the services provided by the Centre are in most cases different from those provided by the States; hence, a broad judgement has to be exercised regarding the justifiability of the existing levels of Central expenditure, and the system of transfers must contain elements which would induce the Centre to exercise economy in its expenditure and to restrain its growth.</w:t>
      </w:r>
    </w:p>
    <w:p w14:paraId="110B5F57" w14:textId="2E1940E1" w:rsidR="008145B6" w:rsidRPr="00FE738E" w:rsidRDefault="008145B6" w:rsidP="00083F5E">
      <w:pPr>
        <w:pStyle w:val="Heading3"/>
        <w:spacing w:line="200" w:lineRule="exact"/>
        <w:rPr>
          <w:sz w:val="19"/>
          <w:szCs w:val="19"/>
        </w:rPr>
      </w:pPr>
      <w:r w:rsidRPr="00FE738E">
        <w:rPr>
          <w:sz w:val="19"/>
          <w:szCs w:val="19"/>
        </w:rPr>
        <w:t>The principles and methodology of the normative assessment of tax revenues and non-Plan revenue expenditures of the State Governments are detailed in Appendices 4 and 5 respectively.</w:t>
      </w:r>
    </w:p>
    <w:p w14:paraId="7C554ACB" w14:textId="6615F75D" w:rsidR="008145B6" w:rsidRPr="00FE738E" w:rsidRDefault="008145B6" w:rsidP="00083F5E">
      <w:pPr>
        <w:pStyle w:val="Heading3"/>
        <w:spacing w:line="200" w:lineRule="exact"/>
        <w:rPr>
          <w:sz w:val="19"/>
          <w:szCs w:val="19"/>
        </w:rPr>
      </w:pPr>
      <w:r w:rsidRPr="00FE738E">
        <w:rPr>
          <w:sz w:val="19"/>
          <w:szCs w:val="19"/>
        </w:rPr>
        <w:t> Briefly, on the revenue side, normative estimates have been derived separately for tax and non-tax revenues. In respect of taxes, a modified representative tax system approach has been applied, in order to determine what a particular State would be able to raise by way of tax revenue, had it exploited its tax bases to an average extent. Such "tax capacity" figures have been derived for a base yea</w:t>
      </w:r>
      <w:r w:rsidR="00244F24" w:rsidRPr="00FE738E">
        <w:rPr>
          <w:sz w:val="19"/>
          <w:szCs w:val="19"/>
        </w:rPr>
        <w:t>r</w:t>
      </w:r>
      <w:r w:rsidR="00244F24" w:rsidRPr="00FE738E">
        <w:rPr>
          <w:rStyle w:val="FootnoteReference"/>
          <w:sz w:val="19"/>
          <w:szCs w:val="19"/>
        </w:rPr>
        <w:footnoteReference w:id="3"/>
      </w:r>
      <w:r w:rsidRPr="00FE738E">
        <w:rPr>
          <w:sz w:val="19"/>
          <w:szCs w:val="19"/>
        </w:rPr>
        <w:t xml:space="preserve"> and are then projected to the year 1989-90. As regards non-tax revenues, while actuals have been used in the case of fees and user charges, in the case of dividends and interest to be received by the government, normative rates of return have been used. Thus, total normative estimates of revenue are arrived at for the year 1989-90.</w:t>
      </w:r>
    </w:p>
    <w:p w14:paraId="503C8557" w14:textId="6861CA59" w:rsidR="007879F9" w:rsidRPr="00FE738E" w:rsidRDefault="008145B6" w:rsidP="00083F5E">
      <w:pPr>
        <w:pStyle w:val="Heading3"/>
        <w:spacing w:line="200" w:lineRule="exact"/>
        <w:rPr>
          <w:sz w:val="19"/>
          <w:szCs w:val="19"/>
        </w:rPr>
      </w:pPr>
      <w:r w:rsidRPr="00FE738E">
        <w:rPr>
          <w:sz w:val="19"/>
          <w:szCs w:val="19"/>
        </w:rPr>
        <w:t>As in the case of revenues, in regard to a substantial part of non-Plan revenue expenditures, the average behaviour has been taken as the norm. Thus, the normative estimates,</w:t>
      </w:r>
      <w:r w:rsidR="00104E50" w:rsidRPr="00FE738E">
        <w:rPr>
          <w:sz w:val="19"/>
          <w:szCs w:val="19"/>
        </w:rPr>
        <w:t xml:space="preserve"> </w:t>
      </w:r>
      <w:r w:rsidR="007879F9" w:rsidRPr="00FE738E">
        <w:rPr>
          <w:sz w:val="19"/>
          <w:szCs w:val="19"/>
        </w:rPr>
        <w:t xml:space="preserve">which may be called the "expenditure needs", in the case of general services, have been defined as the justifiable costs of providing an average standard of service. In respect of social and economic services, needs are taken to be the </w:t>
      </w:r>
      <w:r w:rsidR="007879F9" w:rsidRPr="00FE738E">
        <w:rPr>
          <w:sz w:val="19"/>
          <w:szCs w:val="19"/>
        </w:rPr>
        <w:lastRenderedPageBreak/>
        <w:t>justifiable costs of providing the existing level of services. Here, justifiable costs are also based on the norm of an average but with due allowance for what may be called "cost disability" factors</w:t>
      </w:r>
      <w:r w:rsidR="00244F24" w:rsidRPr="00FE738E">
        <w:rPr>
          <w:rStyle w:val="FootnoteReference"/>
          <w:sz w:val="19"/>
          <w:szCs w:val="19"/>
        </w:rPr>
        <w:footnoteReference w:id="4"/>
      </w:r>
      <w:r w:rsidR="007879F9" w:rsidRPr="00FE738E">
        <w:rPr>
          <w:sz w:val="19"/>
          <w:szCs w:val="19"/>
        </w:rPr>
        <w:t>. In regard to expenditure on the maintenance of assets, engineering norms have been applied in a graded scale assuming that the full norms will come into operation in the last year of the report period. Certain other items of expenditure such as on elections have been computed on the basis of estimated costs; while expenditure on social welfare schemes have been fixed at certain uniform levels in order to ensure inter-State equity.</w:t>
      </w:r>
    </w:p>
    <w:p w14:paraId="3CD433C5" w14:textId="2BB728C1" w:rsidR="007879F9" w:rsidRPr="00FE738E" w:rsidRDefault="007879F9" w:rsidP="00083F5E">
      <w:pPr>
        <w:pStyle w:val="Heading3"/>
        <w:spacing w:line="200" w:lineRule="exact"/>
        <w:rPr>
          <w:sz w:val="19"/>
          <w:szCs w:val="19"/>
        </w:rPr>
      </w:pPr>
      <w:r w:rsidRPr="00FE738E">
        <w:rPr>
          <w:sz w:val="19"/>
          <w:szCs w:val="19"/>
        </w:rPr>
        <w:t xml:space="preserve">The implications of computing the budgetary positions of the State Governments on the basis of normative estimates as calculated above may be spelt out. While the actual performance of the States as a whole is kept in view (through the use of the average) the non-Plan revenue deficit or surplus of any one State computed by us is not dependant on its actual behaviour. Thus, if a State is raising revenues more than the norm, it would not be penalised; conversely, if it raises less than the norm, it would either lose or be not rewarded. Any excess revenue over and above the norm which a </w:t>
      </w:r>
      <w:proofErr w:type="gramStart"/>
      <w:r w:rsidRPr="00FE738E">
        <w:rPr>
          <w:sz w:val="19"/>
          <w:szCs w:val="19"/>
        </w:rPr>
        <w:t>State</w:t>
      </w:r>
      <w:proofErr w:type="gramEnd"/>
      <w:r w:rsidRPr="00FE738E">
        <w:rPr>
          <w:sz w:val="19"/>
          <w:szCs w:val="19"/>
        </w:rPr>
        <w:t xml:space="preserve"> raises can be used by it for purposes of its own choice thus giving the State freedom of action without affecting its entitlements to Central transfers. On the side of expenditures, since "needs" are reckoned on the basis of norms, differences in standards of services among the States attributable to differences in revenue capacities would not be frozen. On the contrary, a process of equalisation would be initiated. Again, if a State observes economy in expenditure and achieves lower costs in providing a given standard of services, it would not be penalised. On the other hand, a State which wishes to provide a standard of services higher than the norm in the case of general and administrative services would not be prevented from doing so but would have to do it on the basis of "extra" resources it raises.</w:t>
      </w:r>
    </w:p>
    <w:p w14:paraId="33D2EC40" w14:textId="62378E49" w:rsidR="007879F9" w:rsidRPr="00FE738E" w:rsidRDefault="007879F9" w:rsidP="00083F5E">
      <w:pPr>
        <w:pStyle w:val="Heading3"/>
        <w:spacing w:line="200" w:lineRule="exact"/>
        <w:rPr>
          <w:sz w:val="19"/>
          <w:szCs w:val="19"/>
        </w:rPr>
      </w:pPr>
      <w:r w:rsidRPr="00FE738E">
        <w:rPr>
          <w:sz w:val="19"/>
          <w:szCs w:val="19"/>
        </w:rPr>
        <w:t>It is to be emphasised that the methodology applied by the Commission implies no interference with the right of a State Government to raise resources and incur expenditures at such levels and in such manner as desired by its people and its Legislature. The norms are relevant only in arriving at the relative entitlements to Central transfers and are so designed as to ensure inter-State equity in working out such entitlements. This may be illustrated by reference to the normative rate of return applied for deriving estimates of dividends from State public enterprises. Representatives of a number of State Governments argued before us that no significant returns can be expected from Road Transport Corporations or Electricity Undertakings given their special difficulties or that it was necessary to subsidise services of such enterprises in the public interest, as was being done in several countries of the world. Apart from special difficulties for which, of course, allowances have to be made, the proposition that the actual positive or negative rates of return earned by different State Governments on their investments in State enterprises should be included in the base for judging their entitlements to Central transfers would not only tend to reward inefficiency but also imply (since actual differing rates of returns, positive or negative, will be used) that the citizens of one State using the concerned services would be subsidised by the taxpayers of all States. Thus, the question is not just whether a State Government should be heavily or partially subsidising road transport or power services; it is more a question of who should pay for the subsidies</w:t>
      </w:r>
      <w:r w:rsidR="00072CF4">
        <w:rPr>
          <w:sz w:val="19"/>
          <w:szCs w:val="19"/>
        </w:rPr>
        <w:t>:</w:t>
      </w:r>
      <w:r w:rsidRPr="00FE738E">
        <w:rPr>
          <w:sz w:val="19"/>
          <w:szCs w:val="19"/>
        </w:rPr>
        <w:t xml:space="preserve"> the taxpayers of the State concerned or the national taxpayers. To take care of this problem, the Commission has, as was done by earlier Commissions, specified uniform rates of return for all the States so that to the extent that these rates of return are lower than the normally acceptable commercial rates of return, there would be scope for subsidisation by the Centre on a uniform basis. However, in order to give further time for adjustment to the States, we have stipulated that even these lower normative rates of return should be achieved to the full extent only in the last year of the reference period.</w:t>
      </w:r>
    </w:p>
    <w:p w14:paraId="3DBE2B5E" w14:textId="0DBBBAC4" w:rsidR="007879F9" w:rsidRPr="00FE738E" w:rsidRDefault="007879F9" w:rsidP="00083F5E">
      <w:pPr>
        <w:pStyle w:val="Heading3"/>
        <w:spacing w:line="200" w:lineRule="exact"/>
        <w:rPr>
          <w:sz w:val="19"/>
          <w:szCs w:val="19"/>
        </w:rPr>
      </w:pPr>
      <w:r w:rsidRPr="00FE738E">
        <w:rPr>
          <w:sz w:val="19"/>
          <w:szCs w:val="19"/>
        </w:rPr>
        <w:t>Although we had observed in our first report that in our approach for the period 1990-95, we intended to adopt a fully normative basis, in deference to pleas made by several State Governments that the application of norms should be spread over a period of years, we have moderated the application of norms in some ways as specified in Chapter III.</w:t>
      </w:r>
    </w:p>
    <w:p w14:paraId="43928000" w14:textId="429F5983" w:rsidR="007879F9" w:rsidRPr="00FE738E" w:rsidRDefault="007879F9" w:rsidP="00083F5E">
      <w:pPr>
        <w:pStyle w:val="Heading3"/>
        <w:spacing w:line="200" w:lineRule="exact"/>
        <w:rPr>
          <w:sz w:val="19"/>
          <w:szCs w:val="19"/>
        </w:rPr>
      </w:pPr>
      <w:r w:rsidRPr="00FE738E">
        <w:rPr>
          <w:sz w:val="19"/>
          <w:szCs w:val="19"/>
        </w:rPr>
        <w:t>In regard to Special Category States, the Commission decided that keeping in view their relative under-development and the nature of their special problems, no systematic norms could be applied at the present stage. Therefore, the basis of projections of receipts and expenditures for these States are more or less the actuals.</w:t>
      </w:r>
    </w:p>
    <w:p w14:paraId="66456B72" w14:textId="51752D21" w:rsidR="007879F9" w:rsidRPr="00FE738E" w:rsidRDefault="007879F9" w:rsidP="00083F5E">
      <w:pPr>
        <w:pStyle w:val="Heading3"/>
        <w:spacing w:line="200" w:lineRule="exact"/>
        <w:rPr>
          <w:sz w:val="19"/>
          <w:szCs w:val="19"/>
        </w:rPr>
      </w:pPr>
      <w:r w:rsidRPr="00FE738E">
        <w:rPr>
          <w:sz w:val="19"/>
          <w:szCs w:val="19"/>
        </w:rPr>
        <w:t>It may be pointed out that since the average has been used as the norm in respect of the revenue receipts and a substantial part of the non-Plan revenue expenditures of the States, if the normative estimates are added up, we would derive a figure which would be equal to the total of the actuals</w:t>
      </w:r>
      <w:r w:rsidR="00244F24" w:rsidRPr="00FE738E">
        <w:rPr>
          <w:rStyle w:val="FootnoteReference"/>
          <w:sz w:val="19"/>
          <w:szCs w:val="19"/>
        </w:rPr>
        <w:footnoteReference w:id="5"/>
      </w:r>
      <w:r w:rsidRPr="00FE738E">
        <w:rPr>
          <w:sz w:val="19"/>
          <w:szCs w:val="19"/>
        </w:rPr>
        <w:t xml:space="preserve">. </w:t>
      </w:r>
      <w:proofErr w:type="gramStart"/>
      <w:r w:rsidRPr="00FE738E">
        <w:rPr>
          <w:sz w:val="19"/>
          <w:szCs w:val="19"/>
        </w:rPr>
        <w:t>Thus</w:t>
      </w:r>
      <w:proofErr w:type="gramEnd"/>
      <w:r w:rsidRPr="00FE738E">
        <w:rPr>
          <w:sz w:val="19"/>
          <w:szCs w:val="19"/>
        </w:rPr>
        <w:t xml:space="preserve"> for the States as a whole, the base chosen is not much different from the actuals, although there would be a difference between the norm and the actual in relation to any one State. The normative estimates could not be computed for the year 1989-90 or 1988-89, for lack of the necessary data. They were worked out for an earlier base year and then projected to 1989-90 at appropriate rates of growth. In doing so, on the expenditure side, adequate provision has been added on account of revision of emoluments on par with Central Government scales.</w:t>
      </w:r>
    </w:p>
    <w:p w14:paraId="1037E064" w14:textId="050DFCCC" w:rsidR="007879F9" w:rsidRPr="00FE738E" w:rsidRDefault="007879F9" w:rsidP="00083F5E">
      <w:pPr>
        <w:pStyle w:val="Heading3"/>
        <w:spacing w:line="200" w:lineRule="exact"/>
        <w:rPr>
          <w:sz w:val="19"/>
          <w:szCs w:val="19"/>
        </w:rPr>
      </w:pPr>
      <w:r w:rsidRPr="00FE738E">
        <w:rPr>
          <w:sz w:val="19"/>
          <w:szCs w:val="19"/>
        </w:rPr>
        <w:t>For the purpose of assessing Central revenue receipts and non-Plan revenue expenditures, we have taken 1989-90 budget estimates as the base, except for estimates of dividend and interest income for which normative rates of returns have been used, as in the case of the States. Since the sum total of the normative estimates for the States tends to equal the "actuals", there has been broad similarity in our treatment of the Centre and the States. The difference is that for the Centre, instead of taking the 1986-87 actuals and projecting them to 1989-90 at trend rates of growth or adjusted trend rates of growth, we have adopted the 1989-90 budget estimates as the base. We find that the Centre's non-Plan revenue expenditure, (excluding interest payments) in 1989-90 would be higher than the budget estimates if we proceeded from 1986-87 actuals. This is obviously because of the restraint shown by the Centre in formulating the budget estimates of 1989-90. We are of the view that this was a step in the right direction and that we should build our projections on that lower base only.</w:t>
      </w:r>
    </w:p>
    <w:p w14:paraId="4AA805FD" w14:textId="0BE8454B" w:rsidR="007879F9" w:rsidRPr="00FE738E" w:rsidRDefault="007879F9" w:rsidP="00083F5E">
      <w:pPr>
        <w:pStyle w:val="Heading3"/>
        <w:spacing w:line="200" w:lineRule="exact"/>
        <w:rPr>
          <w:sz w:val="19"/>
          <w:szCs w:val="19"/>
        </w:rPr>
      </w:pPr>
      <w:r w:rsidRPr="00FE738E">
        <w:rPr>
          <w:sz w:val="19"/>
          <w:szCs w:val="19"/>
        </w:rPr>
        <w:t xml:space="preserve">We had indicated that for judging the relative tax performance of the Centre and the States, we have to consider the relative levels of revenue raised in the light of the constitutional division of tax powers. The major productive sources of revenue have been assigned to the Centre and hence the Central Government has the responsibility for raising the major part of the tax revenues. We find that, in recent years, the Centre has been raising 66-67 per cent of the combined tax revenues of the Centre and the States, i.e., around 2/3rds, with the total tax revenue/GDP ratio being near 17.5 per cent. While there is no way of definitively determining whether this magnitude of the relative share of taxes raised indicates an adequate relative use of </w:t>
      </w:r>
      <w:bookmarkStart w:id="5" w:name="_Hlk219281566"/>
      <w:r w:rsidRPr="00FE738E">
        <w:rPr>
          <w:sz w:val="19"/>
          <w:szCs w:val="19"/>
        </w:rPr>
        <w:t>tax powers, it is seen that the Centre is raising much the larger part of tax revenues.</w:t>
      </w:r>
    </w:p>
    <w:p w14:paraId="7E56E289" w14:textId="646C5C9B" w:rsidR="007879F9" w:rsidRPr="00FE738E" w:rsidRDefault="007879F9" w:rsidP="00083F5E">
      <w:pPr>
        <w:pStyle w:val="Heading3"/>
        <w:spacing w:line="200" w:lineRule="exact"/>
        <w:rPr>
          <w:sz w:val="19"/>
          <w:szCs w:val="19"/>
        </w:rPr>
      </w:pPr>
      <w:r w:rsidRPr="00FE738E">
        <w:rPr>
          <w:sz w:val="19"/>
          <w:szCs w:val="19"/>
        </w:rPr>
        <w:t> For our present purpose, we are proceeding on the basis of the broad approach to fiscal policy being evolved by the Planning Commission in relation to the Eighth Plan. With an average GDP growth rate of 6 per cent per annum, the Planning Commission is envisaging a significant increase in the tax ratio to be brought about mainly through tax rationalisation and</w:t>
      </w:r>
      <w:r w:rsidR="00244F24" w:rsidRPr="00FE738E">
        <w:rPr>
          <w:sz w:val="19"/>
          <w:szCs w:val="19"/>
        </w:rPr>
        <w:t xml:space="preserve"> </w:t>
      </w:r>
      <w:r w:rsidRPr="00FE738E">
        <w:rPr>
          <w:sz w:val="19"/>
          <w:szCs w:val="19"/>
        </w:rPr>
        <w:t xml:space="preserve">better enforcement. In view of </w:t>
      </w:r>
      <w:r w:rsidRPr="00FE738E">
        <w:rPr>
          <w:sz w:val="19"/>
          <w:szCs w:val="19"/>
        </w:rPr>
        <w:lastRenderedPageBreak/>
        <w:t>this, we are assuming that revenues will, and can be made to, grow faster than GDP. Allowing for a 5 per</w:t>
      </w:r>
      <w:r w:rsidR="00925918" w:rsidRPr="00FE738E">
        <w:rPr>
          <w:sz w:val="19"/>
          <w:szCs w:val="19"/>
        </w:rPr>
        <w:t xml:space="preserve"> </w:t>
      </w:r>
      <w:r w:rsidRPr="00FE738E">
        <w:rPr>
          <w:sz w:val="19"/>
          <w:szCs w:val="19"/>
        </w:rPr>
        <w:t xml:space="preserve">cent increase in prices per annum (in conformity with the present thinking in the Planning Commission), we assume GDP to be growing at 11 per cent per annum in nominal terms. On this assumption, we postulate </w:t>
      </w:r>
      <w:bookmarkEnd w:id="5"/>
      <w:r w:rsidRPr="00FE738E">
        <w:rPr>
          <w:sz w:val="19"/>
          <w:szCs w:val="19"/>
        </w:rPr>
        <w:t xml:space="preserve">an increase in the tax revenues of the States as a whole at 11.5 per cent per annum in nominal terms and that of the tax revenues of the Centre, at 12.8 per cent per annum. A higher rate of increase has been postulated for the Centre, because over the period 1974-75 to 1986-87, the share of taxes raised by the Centre in the combined tax revenues of the Centre and the States has fallen slightly. These rates of growth of revenue </w:t>
      </w:r>
      <w:r w:rsidR="00925918" w:rsidRPr="00FE738E">
        <w:rPr>
          <w:sz w:val="19"/>
          <w:szCs w:val="19"/>
        </w:rPr>
        <w:t>subsume</w:t>
      </w:r>
      <w:r w:rsidRPr="00FE738E">
        <w:rPr>
          <w:sz w:val="19"/>
          <w:szCs w:val="19"/>
        </w:rPr>
        <w:t xml:space="preserve"> a certain amount of additional tax effort. This has been done because we are including a minimum level of revenue Plan expenditure and to derive a balance on revenue account. Non-tax revenues of the Centre and the States have been projected using similar methods; while normative rates of return have been used in respect of income from investments, reasonable rates of growth (5-6 per cent per annum) have been applied to the base year figures of fees and other user charges.</w:t>
      </w:r>
    </w:p>
    <w:p w14:paraId="663DA1F8" w14:textId="51F12FAE" w:rsidR="007879F9" w:rsidRPr="00FE738E" w:rsidRDefault="007879F9" w:rsidP="00083F5E">
      <w:pPr>
        <w:pStyle w:val="Heading3"/>
        <w:spacing w:line="200" w:lineRule="exact"/>
        <w:rPr>
          <w:sz w:val="19"/>
          <w:szCs w:val="19"/>
        </w:rPr>
      </w:pPr>
      <w:r w:rsidRPr="00FE738E">
        <w:rPr>
          <w:sz w:val="19"/>
          <w:szCs w:val="19"/>
        </w:rPr>
        <w:t> In view of the large revenue deficit in the base year, the above-mentioned orders of increase in revenues would imply strict control of the growth of revenue expenditure, particularly non-Plan revenue expenditure, if the revenue deficit is to be phased out according to our scheme. Accordingly, we are postulating an annual average increase of 7 per cent in non-Plan revenue expenditure in nominal terms. Since full neutralisation of price rise is not granted in the revision of dearness allowance and the prices of goods bought by the government do not generally rise as fast as the wholesale price index which includes the prices of capital goods and intermediates with higher deflators, a 7 per cent increase in nominal terms should allow for a 3 per cent increase in expenditure in real terms. Increase in interest payments, however, have been allowed on the basis of likely actuals on the assumption of a slower rate of growth of public debt than in the past.</w:t>
      </w:r>
    </w:p>
    <w:p w14:paraId="657B9F34" w14:textId="6D57FB0C" w:rsidR="007879F9" w:rsidRPr="00FE738E" w:rsidRDefault="007879F9" w:rsidP="00083F5E">
      <w:pPr>
        <w:pStyle w:val="Heading3"/>
        <w:spacing w:line="200" w:lineRule="exact"/>
        <w:rPr>
          <w:sz w:val="19"/>
          <w:szCs w:val="19"/>
        </w:rPr>
      </w:pPr>
      <w:r w:rsidRPr="00FE738E">
        <w:rPr>
          <w:sz w:val="19"/>
          <w:szCs w:val="19"/>
        </w:rPr>
        <w:t xml:space="preserve">As indicated earlier in paragraph 2.11, the Commission has assessed, on the expenditure side, the entire requirements of revenue account, Plan and non-Plan. The manner in which estimates of revenue Plan expenditure have been derived is indicated in Chapter VII. Under our approach, once the revenue expenditures, non-Plan and Plan, of the State Governments and the Centre are normatively determined and given the total revenues that could </w:t>
      </w:r>
      <w:r w:rsidR="005730D6" w:rsidRPr="00FE738E">
        <w:rPr>
          <w:sz w:val="19"/>
          <w:szCs w:val="19"/>
        </w:rPr>
        <w:t>justifiably</w:t>
      </w:r>
      <w:r w:rsidRPr="00FE738E">
        <w:rPr>
          <w:sz w:val="19"/>
          <w:szCs w:val="19"/>
        </w:rPr>
        <w:t xml:space="preserve"> be expected to be raised by them during the report period, federal transfers should be such as to ensure that each government can undertake the expenditures normatively determined for it, if it raises the norms for raising revenues. It follows that the volume and criteria of the distribution of Central shareable taxes and of grants-in-aid must be such as to subserve this basic objective. Most of the earlier Finance Commissions confined the scope of their work to non-Plan revenue expenditures and revenue receipts excluding the proceeds of additional resource mobilisation effort. They did not, therefore, concern themselves with what levels of revenue Plan expenditure the different States could have or how such expenditures would be financed; they were content with ensuring that each State Government would at least balance its estimated non-Plan revenue expenditure. With this approach, our predecessors developed </w:t>
      </w:r>
      <w:r w:rsidR="005730D6" w:rsidRPr="00FE738E">
        <w:rPr>
          <w:sz w:val="19"/>
          <w:szCs w:val="19"/>
        </w:rPr>
        <w:t>criteria</w:t>
      </w:r>
      <w:r w:rsidRPr="00FE738E">
        <w:rPr>
          <w:sz w:val="19"/>
          <w:szCs w:val="19"/>
        </w:rPr>
        <w:t xml:space="preserve"> for the distribution of shareable taxes which were quite independent of their assessment of the budgetary needs of the States. It was rather through the raising of the volume of devolution than through </w:t>
      </w:r>
      <w:r w:rsidR="00E164BF" w:rsidRPr="00FE738E">
        <w:rPr>
          <w:sz w:val="19"/>
          <w:szCs w:val="19"/>
        </w:rPr>
        <w:t>a tailored</w:t>
      </w:r>
      <w:r w:rsidRPr="00FE738E">
        <w:rPr>
          <w:sz w:val="19"/>
          <w:szCs w:val="19"/>
        </w:rPr>
        <w:t xml:space="preserve"> </w:t>
      </w:r>
      <w:r w:rsidR="00E164BF" w:rsidRPr="00FE738E">
        <w:rPr>
          <w:sz w:val="19"/>
          <w:szCs w:val="19"/>
        </w:rPr>
        <w:t>distribution</w:t>
      </w:r>
      <w:r w:rsidRPr="00FE738E">
        <w:rPr>
          <w:sz w:val="19"/>
          <w:szCs w:val="19"/>
        </w:rPr>
        <w:t xml:space="preserve"> </w:t>
      </w:r>
      <w:proofErr w:type="gramStart"/>
      <w:r w:rsidRPr="00FE738E">
        <w:rPr>
          <w:sz w:val="19"/>
          <w:szCs w:val="19"/>
        </w:rPr>
        <w:t>of</w:t>
      </w:r>
      <w:r w:rsidR="00E164BF" w:rsidRPr="00FE738E">
        <w:rPr>
          <w:sz w:val="19"/>
          <w:szCs w:val="19"/>
        </w:rPr>
        <w:t xml:space="preserve"> </w:t>
      </w:r>
      <w:r w:rsidRPr="00FE738E">
        <w:rPr>
          <w:sz w:val="19"/>
          <w:szCs w:val="19"/>
        </w:rPr>
        <w:t xml:space="preserve"> shared</w:t>
      </w:r>
      <w:proofErr w:type="gramEnd"/>
      <w:r w:rsidRPr="00FE738E">
        <w:rPr>
          <w:sz w:val="19"/>
          <w:szCs w:val="19"/>
        </w:rPr>
        <w:t xml:space="preserve"> taxes that they attempted to cover the </w:t>
      </w:r>
      <w:r w:rsidR="00324EE0" w:rsidRPr="00FE738E">
        <w:rPr>
          <w:sz w:val="19"/>
          <w:szCs w:val="19"/>
        </w:rPr>
        <w:t>pre-devolution</w:t>
      </w:r>
      <w:r w:rsidRPr="00FE738E">
        <w:rPr>
          <w:sz w:val="19"/>
          <w:szCs w:val="19"/>
        </w:rPr>
        <w:t xml:space="preserve"> revenue gaps of the States. This and the fact that the predominant criterion of devolution of the Eighth Finance Commission, for example, was population</w:t>
      </w:r>
      <w:r w:rsidR="0004055B" w:rsidRPr="00FE738E">
        <w:rPr>
          <w:rStyle w:val="FootnoteReference"/>
          <w:sz w:val="19"/>
          <w:szCs w:val="19"/>
        </w:rPr>
        <w:footnoteReference w:id="6"/>
      </w:r>
      <w:r w:rsidRPr="00FE738E">
        <w:rPr>
          <w:sz w:val="19"/>
          <w:szCs w:val="19"/>
        </w:rPr>
        <w:t xml:space="preserve"> and the general grants-in-aid of revenue were just sufficient to close the revenue gaps remaining after devolution, meant that the Finance Commission's recommendations left the different State Governments with varying levels of per capita non-Plan revenue surpluses ranging from fairly large figures to zero. Under our approach, the volume as well as distribution of Central transfers must be aligned to the need to enable the States to incur, at least to a significant extent, the expenditures normatively determined for them. Also, it would seem proper that there should be a degree of equalisation in the capacity of the different State Governments to undertake revenue Plan expenditures.</w:t>
      </w:r>
    </w:p>
    <w:p w14:paraId="52976E3F" w14:textId="1CE9124F" w:rsidR="007879F9" w:rsidRPr="00FE738E" w:rsidRDefault="007879F9" w:rsidP="00083F5E">
      <w:pPr>
        <w:pStyle w:val="Heading3"/>
        <w:spacing w:line="200" w:lineRule="exact"/>
        <w:rPr>
          <w:sz w:val="19"/>
          <w:szCs w:val="19"/>
        </w:rPr>
      </w:pPr>
      <w:r w:rsidRPr="00FE738E">
        <w:rPr>
          <w:sz w:val="19"/>
          <w:szCs w:val="19"/>
        </w:rPr>
        <w:t xml:space="preserve">The volume of Central transfers has to be determined on the one hand by the estimated needs of the States and on the other by the estimated needs of the Central Government; and the total expenditures to be provided on revenue account (for the Centre and the States together) would depend on the total revenues they could be expected to raise and the pace at which the revenue deficit is to be phased out. In arriving at the final estimates of feasible levels of Central Government expenditures, we have kept in view an important condition, namely, that fiscal transfers from the Centre to the States under our recommendations should not be less than what they are now as a percentage of estimated Central revenues. The fiscal situation at the Centre being what it is, they cannot be substantially higher. If the total volume of transfers is thus determined, larger transfers to deficit States (taking non-Plan and Plan expenditures together) through grants-in-aid would necessarily mean a reduction in the relative weight of </w:t>
      </w:r>
      <w:proofErr w:type="gramStart"/>
      <w:r w:rsidRPr="00FE738E">
        <w:rPr>
          <w:sz w:val="19"/>
          <w:szCs w:val="19"/>
        </w:rPr>
        <w:t>formula based</w:t>
      </w:r>
      <w:proofErr w:type="gramEnd"/>
      <w:r w:rsidRPr="00FE738E">
        <w:rPr>
          <w:sz w:val="19"/>
          <w:szCs w:val="19"/>
        </w:rPr>
        <w:t xml:space="preserve"> devolution as compared to the past. While we consider that the move towards equalisation that we are recommending is in the right direction, we are conscious that too radical a departure would not be feasible. We are, therefore, recommending only a moderate step in this direction to begin with. In course of time, a greater degree of equalisation could be attempted.</w:t>
      </w:r>
    </w:p>
    <w:p w14:paraId="166D575B" w14:textId="5178A77D" w:rsidR="007879F9" w:rsidRPr="00FE738E" w:rsidRDefault="007879F9" w:rsidP="00083F5E">
      <w:pPr>
        <w:pStyle w:val="Heading3"/>
        <w:spacing w:line="200" w:lineRule="exact"/>
        <w:rPr>
          <w:sz w:val="19"/>
          <w:szCs w:val="19"/>
        </w:rPr>
      </w:pPr>
      <w:r w:rsidRPr="00FE738E">
        <w:rPr>
          <w:sz w:val="19"/>
          <w:szCs w:val="19"/>
        </w:rPr>
        <w:t>We have retained the level of devolution prescribed by the Eighth Finance Commission, that is, 85 per cent of Income Tax and 45 per cent of Union Excise Duties (basic plus special). The share of Income Tax is to be distributed among all the States according to the criteria evolved by us. A portion of the shareable Union Excise Duties (16.5 per cent), however, is to be linked to our normative assessment of non-Plan budgetary needs; the rest will be distributed according to the formula applicable to all the States. The normative gaps on non-Plan revenue account remaining after devolution are filled by grants-in-aid under Article 275.</w:t>
      </w:r>
    </w:p>
    <w:p w14:paraId="7BBD0A2F" w14:textId="508221BB" w:rsidR="007879F9" w:rsidRPr="00FE738E" w:rsidRDefault="007879F9" w:rsidP="00083F5E">
      <w:pPr>
        <w:pStyle w:val="Heading3"/>
        <w:spacing w:line="200" w:lineRule="exact"/>
        <w:rPr>
          <w:sz w:val="19"/>
          <w:szCs w:val="19"/>
        </w:rPr>
      </w:pPr>
      <w:r w:rsidRPr="00FE738E">
        <w:rPr>
          <w:sz w:val="19"/>
          <w:szCs w:val="19"/>
        </w:rPr>
        <w:t>Our normative assessment of revenue expenditures on economic and social services revealed that a number of States were providing standards of services below the average. In order to bring about a degree of equalisation in standards of these services, we are recommending development grants to the States whose non-plan revenue surpluses are found inadequate according to a formula evolved by us</w:t>
      </w:r>
      <w:r w:rsidR="0004055B" w:rsidRPr="00FE738E">
        <w:rPr>
          <w:rStyle w:val="FootnoteReference"/>
          <w:sz w:val="19"/>
          <w:szCs w:val="19"/>
        </w:rPr>
        <w:footnoteReference w:id="7"/>
      </w:r>
      <w:r w:rsidRPr="00FE738E">
        <w:rPr>
          <w:sz w:val="19"/>
          <w:szCs w:val="19"/>
        </w:rPr>
        <w:t>. These development grants are being recommended under Article 275 and will be in addition to those that a State will get for Plan purposes under the modified Gadgil formula. The use of the development grants recommended by us will be determined in consultation with the Planning Commission.</w:t>
      </w:r>
    </w:p>
    <w:p w14:paraId="51ADB3DD" w14:textId="7E4A4E80" w:rsidR="0060548C" w:rsidRPr="00FE738E" w:rsidRDefault="007879F9" w:rsidP="00FE738E">
      <w:pPr>
        <w:spacing w:after="0" w:line="200" w:lineRule="exact"/>
        <w:jc w:val="both"/>
        <w:rPr>
          <w:rFonts w:ascii="Times New Roman" w:hAnsi="Times New Roman" w:cs="Times New Roman"/>
          <w:sz w:val="19"/>
          <w:szCs w:val="19"/>
        </w:rPr>
        <w:sectPr w:rsidR="0060548C" w:rsidRPr="00FE738E" w:rsidSect="00FE738E">
          <w:type w:val="continuous"/>
          <w:pgSz w:w="11906" w:h="16838"/>
          <w:pgMar w:top="567" w:right="707" w:bottom="993" w:left="709" w:header="708" w:footer="708" w:gutter="0"/>
          <w:cols w:space="709"/>
          <w:docGrid w:linePitch="360"/>
        </w:sectPr>
      </w:pPr>
      <w:r w:rsidRPr="00FE738E">
        <w:rPr>
          <w:rFonts w:ascii="Times New Roman" w:hAnsi="Times New Roman" w:cs="Times New Roman"/>
          <w:sz w:val="19"/>
          <w:szCs w:val="19"/>
        </w:rPr>
        <w:t>2.29 Thus, subject to the overall constraint of resources, we have endeavoured to bring about a greater degree of inter-State equity through the partial linking of the distribution of Union excise duties to normative assessment and through the recommendation of development grants to help weaker States afford a higher level of development expendit</w:t>
      </w:r>
      <w:r w:rsidR="00072CF4">
        <w:rPr>
          <w:rFonts w:ascii="Times New Roman" w:hAnsi="Times New Roman" w:cs="Times New Roman"/>
          <w:sz w:val="19"/>
          <w:szCs w:val="19"/>
        </w:rPr>
        <w:t>ure.</w:t>
      </w:r>
    </w:p>
    <w:p w14:paraId="52426023" w14:textId="7F1D7AC4" w:rsidR="0004055B" w:rsidRPr="00FE738E" w:rsidRDefault="00FE738E" w:rsidP="009141DF">
      <w:pPr>
        <w:pStyle w:val="Heading1"/>
        <w:ind w:left="0" w:firstLine="0"/>
      </w:pPr>
      <w:bookmarkStart w:id="6" w:name="_Toc221292959"/>
      <w:r>
        <w:lastRenderedPageBreak/>
        <w:br/>
      </w:r>
      <w:bookmarkStart w:id="7" w:name="_Toc222399451"/>
      <w:r w:rsidR="0004055B" w:rsidRPr="00FE738E">
        <w:t>ASSESSMENT OF STATES' REVENUE RECEIPTS AND EXPENDITURES</w:t>
      </w:r>
      <w:bookmarkEnd w:id="6"/>
      <w:bookmarkEnd w:id="7"/>
    </w:p>
    <w:p w14:paraId="576EFEC6" w14:textId="77777777" w:rsidR="0004055B" w:rsidRPr="00673C11" w:rsidRDefault="0004055B" w:rsidP="00673C11">
      <w:pPr>
        <w:spacing w:after="0" w:line="240" w:lineRule="auto"/>
        <w:jc w:val="center"/>
        <w:rPr>
          <w:rFonts w:ascii="Times New Roman" w:hAnsi="Times New Roman" w:cs="Times New Roman"/>
          <w:b/>
          <w:bCs/>
          <w:sz w:val="19"/>
          <w:szCs w:val="19"/>
        </w:rPr>
      </w:pPr>
      <w:r w:rsidRPr="00673C11">
        <w:rPr>
          <w:rFonts w:ascii="Times New Roman" w:hAnsi="Times New Roman" w:cs="Times New Roman"/>
          <w:b/>
          <w:bCs/>
          <w:sz w:val="19"/>
          <w:szCs w:val="19"/>
        </w:rPr>
        <w:t>Tax Revenues</w:t>
      </w:r>
    </w:p>
    <w:p w14:paraId="5830C686" w14:textId="76276D30" w:rsidR="0004055B" w:rsidRPr="00673C11" w:rsidRDefault="0004055B" w:rsidP="00673C11">
      <w:pPr>
        <w:pStyle w:val="Heading3"/>
        <w:spacing w:after="0" w:line="200" w:lineRule="exact"/>
        <w:rPr>
          <w:sz w:val="19"/>
          <w:szCs w:val="19"/>
        </w:rPr>
      </w:pPr>
      <w:r w:rsidRPr="00673C11">
        <w:rPr>
          <w:sz w:val="19"/>
          <w:szCs w:val="19"/>
        </w:rPr>
        <w:t xml:space="preserve">The basic approach governing the assessment of the States' revenue receipts and expenditure has already been outlined in the preceding chapter. As indicated in our first report for 1989-90, the National Institute of Public Finance and Policy was entrusted with a study for estimating taxable capacities by the "Representative Tax System" approach. However, the complexity in the tax systems prevailing in the States and the non-availability of data on tax bases at the required level of disaggregation led them to use a mix of regression and representative tax system methods. Considering the weaknesses in the data and methodology used in the </w:t>
      </w:r>
      <w:proofErr w:type="gramStart"/>
      <w:r w:rsidRPr="00673C11">
        <w:rPr>
          <w:sz w:val="19"/>
          <w:szCs w:val="19"/>
        </w:rPr>
        <w:t>study,</w:t>
      </w:r>
      <w:proofErr w:type="gramEnd"/>
      <w:r w:rsidRPr="00673C11">
        <w:rPr>
          <w:sz w:val="19"/>
          <w:szCs w:val="19"/>
        </w:rPr>
        <w:t xml:space="preserve"> after holding detailed discussions with some leading economists (Annexure I.5), we preferred to estimate taxable capacities of the States using a modified representative tax system method. Accordingly, revenue from each of the major taxes is regressed on relevant tax bases or their proxies to determine the regression average effective rates. By applying these average rates on the bases of the relevant taxes in the different States, taxable capacity was derived. To determine the average rates, however, we have employed a </w:t>
      </w:r>
      <w:r w:rsidR="00673C11" w:rsidRPr="00673C11">
        <w:rPr>
          <w:sz w:val="19"/>
          <w:szCs w:val="19"/>
        </w:rPr>
        <w:t>covariance model pooling cross-section observation</w:t>
      </w:r>
      <w:r w:rsidRPr="00673C11">
        <w:rPr>
          <w:sz w:val="19"/>
          <w:szCs w:val="19"/>
        </w:rPr>
        <w:t xml:space="preserve"> over time. The analysis has been done for each of the major State taxes except agricultural taxes and miscellaneous taxes levied by the States for which no meaningful functional relationship could be established. In the case of these two taxes, no normative estimates have been made. In the case of Sales Tax, Motor Vehicles Tax and Stamp Duties and Registration Fees, the regression-based effective rates were determined separately for high income, middle income and </w:t>
      </w:r>
      <w:proofErr w:type="gramStart"/>
      <w:r w:rsidRPr="00673C11">
        <w:rPr>
          <w:sz w:val="19"/>
          <w:szCs w:val="19"/>
        </w:rPr>
        <w:t>low income</w:t>
      </w:r>
      <w:proofErr w:type="gramEnd"/>
      <w:r w:rsidRPr="00673C11">
        <w:rPr>
          <w:sz w:val="19"/>
          <w:szCs w:val="19"/>
        </w:rPr>
        <w:t xml:space="preserve"> categories of States. For State Excise Duties, as there are only 13 States in the sample due to the prohibition policy in vogue in Gujarat, the effective rates have been determined separately for the States grouped into two categories only. The detailed methodology adopted for the estimation is given in the Appendix 4. We may add that the estimates of taxable capacity on the basis of this method have been made only for the 14 Major States. The methodology used for projecting the tax revenues of the Special Category States is outlined later in the chapter.</w:t>
      </w:r>
    </w:p>
    <w:p w14:paraId="272BCCAF" w14:textId="5EB1AC2A" w:rsidR="008E221C" w:rsidRPr="00673C11" w:rsidRDefault="0004055B" w:rsidP="00673C11">
      <w:pPr>
        <w:pStyle w:val="Heading3"/>
        <w:spacing w:after="0" w:line="200" w:lineRule="exact"/>
        <w:rPr>
          <w:sz w:val="19"/>
          <w:szCs w:val="19"/>
        </w:rPr>
      </w:pPr>
      <w:r w:rsidRPr="00673C11">
        <w:rPr>
          <w:sz w:val="19"/>
          <w:szCs w:val="19"/>
        </w:rPr>
        <w:t xml:space="preserve"> The taxable capacity estimated for the initial year has to be projected first to the base year and then for the period of our recommendations. In the case of revenues from agricultural taxes and other miscellaneous levies, the "actuals" in 1986-87 were projected using the past trends of growth. In the case of other taxes, normative estimates for the initial year were projected to 1989-90 using the historical growth rates. For the period 1990-95, State tax revenues have been normatively projected to grow at 11.5 per cent keeping in view the targeted GDP growth rate of 6 per cent and allowing for a price rise of 5 per cent per annum. The rate of increase in the yield of different taxes has been derived from the above projection of aggregate tax revenue, using as a base </w:t>
      </w:r>
      <w:proofErr w:type="gramStart"/>
      <w:r w:rsidRPr="00673C11">
        <w:rPr>
          <w:sz w:val="19"/>
          <w:szCs w:val="19"/>
        </w:rPr>
        <w:t>their respective growth rates</w:t>
      </w:r>
      <w:proofErr w:type="gramEnd"/>
      <w:r w:rsidRPr="00673C11">
        <w:rPr>
          <w:sz w:val="19"/>
          <w:szCs w:val="19"/>
        </w:rPr>
        <w:t xml:space="preserve"> in the past which were pro-rat</w:t>
      </w:r>
      <w:r w:rsidR="008E221C" w:rsidRPr="00673C11">
        <w:rPr>
          <w:sz w:val="19"/>
          <w:szCs w:val="19"/>
        </w:rPr>
        <w:t>a</w:t>
      </w:r>
      <w:r w:rsidRPr="00673C11">
        <w:rPr>
          <w:sz w:val="19"/>
          <w:szCs w:val="19"/>
        </w:rPr>
        <w:t xml:space="preserve"> </w:t>
      </w:r>
      <w:r w:rsidR="008E221C" w:rsidRPr="00673C11">
        <w:rPr>
          <w:sz w:val="19"/>
          <w:szCs w:val="19"/>
        </w:rPr>
        <w:t>adjusted.</w:t>
      </w:r>
    </w:p>
    <w:p w14:paraId="623CDF4A" w14:textId="7B10EA0E" w:rsidR="0004055B" w:rsidRPr="00673C11" w:rsidRDefault="008E221C" w:rsidP="00673C11">
      <w:pPr>
        <w:pStyle w:val="Heading3"/>
        <w:spacing w:after="0" w:line="200" w:lineRule="exact"/>
        <w:rPr>
          <w:sz w:val="19"/>
          <w:szCs w:val="19"/>
        </w:rPr>
      </w:pPr>
      <w:r w:rsidRPr="00673C11">
        <w:rPr>
          <w:sz w:val="19"/>
          <w:szCs w:val="19"/>
        </w:rPr>
        <w:t xml:space="preserve">The above exercise </w:t>
      </w:r>
      <w:proofErr w:type="gramStart"/>
      <w:r w:rsidRPr="00673C11">
        <w:rPr>
          <w:sz w:val="19"/>
          <w:szCs w:val="19"/>
        </w:rPr>
        <w:t>give</w:t>
      </w:r>
      <w:proofErr w:type="gramEnd"/>
      <w:r w:rsidRPr="00673C11">
        <w:rPr>
          <w:sz w:val="19"/>
          <w:szCs w:val="19"/>
        </w:rPr>
        <w:t xml:space="preserve"> us the level of Normative tax revenue for each year 1990-91 to 1994-95. In order to provided adequate time for adjustment to states which were found to be under taxing at the beginning of this period, we have taken for the year 1989-90 not the </w:t>
      </w:r>
      <w:r w:rsidR="0004055B" w:rsidRPr="00673C11">
        <w:rPr>
          <w:sz w:val="19"/>
          <w:szCs w:val="19"/>
        </w:rPr>
        <w:t xml:space="preserve">Normative estimates </w:t>
      </w:r>
      <w:r w:rsidR="00F82049" w:rsidRPr="00673C11">
        <w:rPr>
          <w:sz w:val="19"/>
          <w:szCs w:val="19"/>
        </w:rPr>
        <w:t>but the trend level estimates for all the States and have worked out the rate of growth of tax revenues required during the period to reach the normative levels by 1994-95. In other words, the normative approach to the assessment of tax revenues has been moderated.</w:t>
      </w:r>
    </w:p>
    <w:p w14:paraId="544F0734" w14:textId="1A5FFC9D" w:rsidR="0004055B" w:rsidRPr="00673C11" w:rsidRDefault="0004055B" w:rsidP="00673C11">
      <w:pPr>
        <w:pStyle w:val="Heading3"/>
        <w:spacing w:after="0" w:line="200" w:lineRule="exact"/>
        <w:rPr>
          <w:sz w:val="19"/>
          <w:szCs w:val="19"/>
        </w:rPr>
      </w:pPr>
      <w:r w:rsidRPr="00673C11">
        <w:rPr>
          <w:sz w:val="19"/>
          <w:szCs w:val="19"/>
        </w:rPr>
        <w:t xml:space="preserve"> The prohibition policy followed by certain States like Gujarat and Tamil Nadu is an issue which we have taken note of. We had made a limited allowance in our normative estimate on this account in 1989-90. The concerned State Governments, however, have again impressed upon us that the loss of tax revenue attributable to the prohibition policy should be totally excluded from the revenue receipts of the State Governments. This was all the more necessary as the prohibition policy emanated from the Directive Principles of State Policy as enshrined in the Constitution. The States pleaded that they should not be penalised on this account. We believe that this is a question that should be settled at the national level. The Central Government should formulate a policy in this regard and make it clear to what extent and for how long the Centre would compensate those States which lose revenue on account of prohibition, taking into account the various aspects of the matter including the possibility that the States adopting prohibition would in course of time, be raising additional revenues through other taxes both because of higher productivity and higher income and also because money diverted from drinks would be spent on other taxable commodities. We find considerable merit in these submissions of the States and therefore, on reconsideration of the matter, think that States which have taken courage to </w:t>
      </w:r>
      <w:r w:rsidR="00240392" w:rsidRPr="00673C11">
        <w:rPr>
          <w:sz w:val="19"/>
          <w:szCs w:val="19"/>
        </w:rPr>
        <w:t>clamp</w:t>
      </w:r>
      <w:r w:rsidRPr="00673C11">
        <w:rPr>
          <w:sz w:val="19"/>
          <w:szCs w:val="19"/>
        </w:rPr>
        <w:t xml:space="preserve"> full or partial prohibition should not be unduly penalised. Therefore, we have not included the full taxable capacity on account of excise on liquor for the normative estimates of States which have adopted prohibition; we have taken into account only </w:t>
      </w:r>
      <w:r w:rsidR="00240392" w:rsidRPr="00673C11">
        <w:rPr>
          <w:sz w:val="19"/>
          <w:szCs w:val="19"/>
        </w:rPr>
        <w:t>3</w:t>
      </w:r>
      <w:r w:rsidRPr="00673C11">
        <w:rPr>
          <w:sz w:val="19"/>
          <w:szCs w:val="19"/>
        </w:rPr>
        <w:t>0 per cent of the estimated revenue that would have accrued to Gujarat and Tamil Nadu, had prohibition not been in force.</w:t>
      </w:r>
    </w:p>
    <w:p w14:paraId="76D43040" w14:textId="20DBFF85" w:rsidR="0004055B" w:rsidRPr="00673C11" w:rsidRDefault="0004055B" w:rsidP="00673C11">
      <w:pPr>
        <w:pStyle w:val="Heading3"/>
        <w:spacing w:after="0" w:line="200" w:lineRule="exact"/>
        <w:rPr>
          <w:sz w:val="19"/>
          <w:szCs w:val="19"/>
        </w:rPr>
      </w:pPr>
      <w:r w:rsidRPr="00673C11">
        <w:rPr>
          <w:sz w:val="19"/>
          <w:szCs w:val="19"/>
        </w:rPr>
        <w:t>The States of Nagaland and Mizoram have introduced prohibition from 1989-90. Considering the weak financial base of these States, we have, in their case, allowed for the full loss of revenue on this account.</w:t>
      </w:r>
    </w:p>
    <w:p w14:paraId="454C09B3"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Non-Tax Revenues</w:t>
      </w:r>
    </w:p>
    <w:p w14:paraId="111CFB03" w14:textId="07C62515" w:rsidR="0004055B" w:rsidRPr="00673C11" w:rsidRDefault="0004055B" w:rsidP="00673C11">
      <w:pPr>
        <w:pStyle w:val="Heading3"/>
        <w:spacing w:after="0" w:line="200" w:lineRule="exact"/>
        <w:rPr>
          <w:sz w:val="19"/>
          <w:szCs w:val="19"/>
        </w:rPr>
      </w:pPr>
      <w:r w:rsidRPr="00673C11">
        <w:rPr>
          <w:sz w:val="19"/>
          <w:szCs w:val="19"/>
        </w:rPr>
        <w:t>The major sources of non-tax revenues are interest receipts and dividends, receipts from forests, mines and minerals and irrigation works, and receipts from departmentally run commercial schemes like water supply schemes, milk schemes and industrial schemes.</w:t>
      </w:r>
    </w:p>
    <w:p w14:paraId="1FD6538B"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w:t>
      </w:r>
      <w:proofErr w:type="spellStart"/>
      <w:r w:rsidRPr="00673C11">
        <w:rPr>
          <w:rFonts w:ascii="Times New Roman" w:hAnsi="Times New Roman" w:cs="Times New Roman"/>
          <w:b/>
          <w:bCs/>
          <w:sz w:val="19"/>
          <w:szCs w:val="19"/>
        </w:rPr>
        <w:t>i</w:t>
      </w:r>
      <w:proofErr w:type="spellEnd"/>
      <w:r w:rsidRPr="00673C11">
        <w:rPr>
          <w:rFonts w:ascii="Times New Roman" w:hAnsi="Times New Roman" w:cs="Times New Roman"/>
          <w:b/>
          <w:bCs/>
          <w:sz w:val="19"/>
          <w:szCs w:val="19"/>
        </w:rPr>
        <w:t>) Interest Receipts</w:t>
      </w:r>
    </w:p>
    <w:p w14:paraId="7C4FD0D6" w14:textId="11C95764" w:rsidR="0004055B" w:rsidRPr="00673C11" w:rsidRDefault="0004055B" w:rsidP="00673C11">
      <w:pPr>
        <w:pStyle w:val="Heading3"/>
        <w:spacing w:after="0" w:line="200" w:lineRule="exact"/>
        <w:rPr>
          <w:sz w:val="19"/>
          <w:szCs w:val="19"/>
        </w:rPr>
      </w:pPr>
      <w:r w:rsidRPr="00673C11">
        <w:rPr>
          <w:sz w:val="19"/>
          <w:szCs w:val="19"/>
        </w:rPr>
        <w:t xml:space="preserve">Interest receipts from institutions other than the State Electricity Boards and Road Transport Corporations have been </w:t>
      </w:r>
      <w:r w:rsidR="00E14F02" w:rsidRPr="00673C11">
        <w:rPr>
          <w:sz w:val="19"/>
          <w:szCs w:val="19"/>
        </w:rPr>
        <w:t>assumed</w:t>
      </w:r>
      <w:r w:rsidRPr="00673C11">
        <w:rPr>
          <w:sz w:val="19"/>
          <w:szCs w:val="19"/>
        </w:rPr>
        <w:t xml:space="preserve"> at rates rising gradually from 2 per cent in 1990-91 and reaching 6 per cent in 1994-95 on loans outstanding as on 31.3.1990. In the case of loans to </w:t>
      </w:r>
      <w:r w:rsidR="00E14F02" w:rsidRPr="00673C11">
        <w:rPr>
          <w:sz w:val="19"/>
          <w:szCs w:val="19"/>
        </w:rPr>
        <w:t>agriculturist</w:t>
      </w:r>
      <w:r w:rsidRPr="00673C11">
        <w:rPr>
          <w:sz w:val="19"/>
          <w:szCs w:val="19"/>
        </w:rPr>
        <w:t>, only half of the normative rate has been assumed.</w:t>
      </w:r>
    </w:p>
    <w:p w14:paraId="1D0B9DAD"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(ii) Dividends</w:t>
      </w:r>
    </w:p>
    <w:p w14:paraId="79048FA3" w14:textId="230DCAA3" w:rsidR="0004055B" w:rsidRPr="00673C11" w:rsidRDefault="0004055B" w:rsidP="00673C11">
      <w:pPr>
        <w:pStyle w:val="Heading3"/>
        <w:spacing w:after="0" w:line="200" w:lineRule="exact"/>
        <w:rPr>
          <w:sz w:val="19"/>
          <w:szCs w:val="19"/>
        </w:rPr>
      </w:pPr>
      <w:r w:rsidRPr="00673C11">
        <w:rPr>
          <w:sz w:val="19"/>
          <w:szCs w:val="19"/>
        </w:rPr>
        <w:t xml:space="preserve">The equity investment of </w:t>
      </w:r>
      <w:r w:rsidR="00E14F02" w:rsidRPr="00673C11">
        <w:rPr>
          <w:sz w:val="19"/>
          <w:szCs w:val="19"/>
        </w:rPr>
        <w:t>the</w:t>
      </w:r>
      <w:r w:rsidRPr="00673C11">
        <w:rPr>
          <w:sz w:val="19"/>
          <w:szCs w:val="19"/>
        </w:rPr>
        <w:t xml:space="preserve"> State </w:t>
      </w:r>
      <w:r w:rsidR="00E14F02" w:rsidRPr="00673C11">
        <w:rPr>
          <w:sz w:val="19"/>
          <w:szCs w:val="19"/>
        </w:rPr>
        <w:t>is</w:t>
      </w:r>
      <w:r w:rsidRPr="00673C11">
        <w:rPr>
          <w:sz w:val="19"/>
          <w:szCs w:val="19"/>
        </w:rPr>
        <w:t xml:space="preserve"> in </w:t>
      </w:r>
      <w:r w:rsidR="00E14F02" w:rsidRPr="00673C11">
        <w:rPr>
          <w:sz w:val="19"/>
          <w:szCs w:val="19"/>
        </w:rPr>
        <w:t xml:space="preserve">as many as </w:t>
      </w:r>
      <w:r w:rsidRPr="00673C11">
        <w:rPr>
          <w:sz w:val="19"/>
          <w:szCs w:val="19"/>
        </w:rPr>
        <w:t>823 enterprises (other than the State Electricity Boards and State</w:t>
      </w:r>
      <w:r w:rsidR="00637D8C" w:rsidRPr="00673C11">
        <w:rPr>
          <w:sz w:val="19"/>
          <w:szCs w:val="19"/>
        </w:rPr>
        <w:t xml:space="preserve"> </w:t>
      </w:r>
      <w:r w:rsidRPr="00673C11">
        <w:rPr>
          <w:sz w:val="19"/>
          <w:szCs w:val="19"/>
        </w:rPr>
        <w:t>Road Transport Corporations) aggregates to Rs. 5046.82 crore at the end of 1989-90. The successive Finance Commissions have taken the view that the large investments made in the enterprises cannot be allowed to languish without adequate return. We share their anxiety and concern. We are of the view that, with growing expenditure responsibilities and developmental commitments devolving on the State Governments, the State enterprises should not be a burden on the State exchequer any longer. Having regard to the fact that the enterprises are incurring huge losses, the Eighth Commission evolved a realistic norm assuming dividends at different rates from different categories of enterprises. Promotional enterprises were required to meet all their expenses and not to provide any return on equity considering the nature of the responsibilities assigned to them, while financial and commercial enterprises were expected to yield a return of 3 per cent and 5 per cent, respectively, on their equity capital. We stipulated the same pattern of returns as laid down by the Eighth Commission in our first report for 1989-90.</w:t>
      </w:r>
    </w:p>
    <w:p w14:paraId="3F07631D" w14:textId="617624FF" w:rsidR="0004055B" w:rsidRPr="00673C11" w:rsidRDefault="0004055B" w:rsidP="00673C11">
      <w:pPr>
        <w:pStyle w:val="Heading3"/>
        <w:spacing w:after="0" w:line="200" w:lineRule="exact"/>
        <w:rPr>
          <w:sz w:val="19"/>
          <w:szCs w:val="19"/>
        </w:rPr>
      </w:pPr>
      <w:r w:rsidRPr="00673C11">
        <w:rPr>
          <w:sz w:val="19"/>
          <w:szCs w:val="19"/>
        </w:rPr>
        <w:t xml:space="preserve">We accept the classification of State enterprises adopted by the Seventh and the Eighth Finance Commissions. The classification of enterprises into promotional, financial and commercial ones seems proper. We also accept the logic behind the </w:t>
      </w:r>
      <w:r w:rsidRPr="00673C11">
        <w:rPr>
          <w:sz w:val="19"/>
          <w:szCs w:val="19"/>
        </w:rPr>
        <w:lastRenderedPageBreak/>
        <w:t xml:space="preserve">differential rates of dividends as prescribed by the Eighth Commission. Considering the higher losses being incurred by a large number of enterprises in almost all the States, it would not be realistic - much as we would like - to improve on the rates of dividends laid down by the previous Commission. </w:t>
      </w:r>
      <w:proofErr w:type="gramStart"/>
      <w:r w:rsidRPr="00673C11">
        <w:rPr>
          <w:sz w:val="19"/>
          <w:szCs w:val="19"/>
        </w:rPr>
        <w:t>Thus</w:t>
      </w:r>
      <w:proofErr w:type="gramEnd"/>
      <w:r w:rsidRPr="00673C11">
        <w:rPr>
          <w:sz w:val="19"/>
          <w:szCs w:val="19"/>
        </w:rPr>
        <w:t xml:space="preserve"> we treat the promotional enterprises as basic to the community and dedicated to provide service and infrastructure facilities. For this </w:t>
      </w:r>
      <w:proofErr w:type="gramStart"/>
      <w:r w:rsidRPr="00673C11">
        <w:rPr>
          <w:sz w:val="19"/>
          <w:szCs w:val="19"/>
        </w:rPr>
        <w:t>reason</w:t>
      </w:r>
      <w:proofErr w:type="gramEnd"/>
      <w:r w:rsidRPr="00673C11">
        <w:rPr>
          <w:sz w:val="19"/>
          <w:szCs w:val="19"/>
        </w:rPr>
        <w:t xml:space="preserve"> we are not assuming any return on their operations. Financial institutions, however, are in a separate category and we expect them to provide a minimum return of 3 per cent on the investments made in them. Commercial enterprises must generate a higher return and we assume in their case a minimum return of 5 per cent. We have, therefore, worked out dividends at zero per cent, 3 per cent and 5 per cent for promotional, financial and commercial enterprises respectively. Like our predecessors, we have assumed the same absolute amounts of return in each of the five years of the period of our report. </w:t>
      </w:r>
      <w:proofErr w:type="spellStart"/>
      <w:r w:rsidRPr="00673C11">
        <w:rPr>
          <w:sz w:val="19"/>
          <w:szCs w:val="19"/>
        </w:rPr>
        <w:t>Statewise</w:t>
      </w:r>
      <w:proofErr w:type="spellEnd"/>
      <w:r w:rsidRPr="00673C11">
        <w:rPr>
          <w:sz w:val="19"/>
          <w:szCs w:val="19"/>
        </w:rPr>
        <w:t xml:space="preserve"> break-up of the enterprises, the </w:t>
      </w:r>
      <w:proofErr w:type="gramStart"/>
      <w:r w:rsidRPr="00673C11">
        <w:rPr>
          <w:sz w:val="19"/>
          <w:szCs w:val="19"/>
        </w:rPr>
        <w:t>amount</w:t>
      </w:r>
      <w:proofErr w:type="gramEnd"/>
      <w:r w:rsidRPr="00673C11">
        <w:rPr>
          <w:sz w:val="19"/>
          <w:szCs w:val="19"/>
        </w:rPr>
        <w:t xml:space="preserve"> of investments made upto the end of 1989-90 and the amounts of dividends calculated by us in the five-year period 1990-95 are given in Annexures III.1 and III.2 respectively.</w:t>
      </w:r>
    </w:p>
    <w:p w14:paraId="197235F7" w14:textId="6E01B0F2" w:rsidR="0004055B" w:rsidRPr="00673C11" w:rsidRDefault="0004055B" w:rsidP="00673C11">
      <w:pPr>
        <w:pStyle w:val="Heading3"/>
        <w:spacing w:after="0" w:line="200" w:lineRule="exact"/>
        <w:rPr>
          <w:sz w:val="19"/>
          <w:szCs w:val="19"/>
        </w:rPr>
      </w:pPr>
      <w:r w:rsidRPr="00673C11">
        <w:rPr>
          <w:sz w:val="19"/>
          <w:szCs w:val="19"/>
        </w:rPr>
        <w:t>In regard to the estimation of dividends from cooperative institutions, we propose to stick to the broad methodology of the Eighth Finance Commission. That Commission recommended that cooperative banks, credit societies, sugar mills, spinning mills and other industrial cooperative institutions, should yield a minimum average return of 5 per cent. We too recommend the same as this would ensure recycling of funds and encourage their productive use. Investments in societies which are engaged in processing, warehousing, marketing and housing activities and Consumers' Societies were required to provide a minimum return of 3 per cent by the Eighth Commission. Given the nature of activities of these bodies, we consider this rate as reasonable and apply the same to these institutions. We do not assume any dividends from investments in the cooperative institutions which have been set up to promote certain socially desirable and welfare related activities arising out of State policies. Falling in this category are the societies engaged in activities such as dairy farming, fishermen's cooperatives, labour cooperatives and cooperative bodies set up as part of Tribal Areas sub-Plan programmes. The intention is that they should continue to subserve the promotional and social welfare policies of the State Governments. The resources which they may generate may be made use of for improving the quality of their services.</w:t>
      </w:r>
    </w:p>
    <w:p w14:paraId="4D8D03D2" w14:textId="5C232A5D" w:rsidR="0004055B" w:rsidRPr="00673C11" w:rsidRDefault="0004055B" w:rsidP="00673C11">
      <w:pPr>
        <w:pStyle w:val="Heading3"/>
        <w:spacing w:after="0" w:line="200" w:lineRule="exact"/>
        <w:rPr>
          <w:sz w:val="19"/>
          <w:szCs w:val="19"/>
        </w:rPr>
      </w:pPr>
      <w:r w:rsidRPr="00673C11">
        <w:rPr>
          <w:sz w:val="19"/>
          <w:szCs w:val="19"/>
        </w:rPr>
        <w:t>We have accordingly classified the societies into these three broad categories and assessed the dividends from them in 1990-91. As in the case of State public enterprises, we assume the same absolute amounts of dividends in each of the years of the period of our report. The details are given in Annexure III.3.</w:t>
      </w:r>
    </w:p>
    <w:p w14:paraId="35D866E2"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(iii) Revenue from Forests</w:t>
      </w:r>
    </w:p>
    <w:p w14:paraId="49EFAC8A" w14:textId="79A83A3D" w:rsidR="0004055B" w:rsidRPr="00673C11" w:rsidRDefault="0004055B" w:rsidP="00673C11">
      <w:pPr>
        <w:pStyle w:val="Heading3"/>
        <w:spacing w:after="0" w:line="200" w:lineRule="exact"/>
        <w:rPr>
          <w:sz w:val="19"/>
          <w:szCs w:val="19"/>
        </w:rPr>
      </w:pPr>
      <w:r w:rsidRPr="00673C11">
        <w:rPr>
          <w:sz w:val="19"/>
          <w:szCs w:val="19"/>
        </w:rPr>
        <w:t xml:space="preserve">Most of the State Governments pleaded before us that due to the restrictions contained in the Forest (Conservation) Act, 1980 and the guidelines issued thereunder, they would not be able to generate revenues from the forests in line with past trends. In fact, some of them were of the view that the revenues from forests, excepting </w:t>
      </w:r>
      <w:proofErr w:type="gramStart"/>
      <w:r w:rsidRPr="00673C11">
        <w:rPr>
          <w:sz w:val="19"/>
          <w:szCs w:val="19"/>
        </w:rPr>
        <w:t>those receivable</w:t>
      </w:r>
      <w:proofErr w:type="gramEnd"/>
      <w:r w:rsidRPr="00673C11">
        <w:rPr>
          <w:sz w:val="19"/>
          <w:szCs w:val="19"/>
        </w:rPr>
        <w:t xml:space="preserve"> from minor forest produce, should be taken as zero over the </w:t>
      </w:r>
      <w:proofErr w:type="gramStart"/>
      <w:r w:rsidRPr="00673C11">
        <w:rPr>
          <w:sz w:val="19"/>
          <w:szCs w:val="19"/>
        </w:rPr>
        <w:t>five year</w:t>
      </w:r>
      <w:proofErr w:type="gramEnd"/>
      <w:r w:rsidRPr="00673C11">
        <w:rPr>
          <w:sz w:val="19"/>
          <w:szCs w:val="19"/>
        </w:rPr>
        <w:t xml:space="preserve"> period. We also had a meeting with the Union Ministry of Environment and Forests before finalising our views in this matter. With a view to conserving our precious forest resources, we have not envisaged any growth in the receipts during the period of our report excepting for the growth due to increases in prices by the postulated 5 per cent per annum. In other words, we have frozen the receipts in real terms at the 1988-89 levels.</w:t>
      </w:r>
    </w:p>
    <w:p w14:paraId="0ABB0C11"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(iv) Mines and Minerals</w:t>
      </w:r>
    </w:p>
    <w:p w14:paraId="44CAAB29" w14:textId="0B3465DB" w:rsidR="0004055B" w:rsidRPr="00673C11" w:rsidRDefault="0004055B" w:rsidP="00673C11">
      <w:pPr>
        <w:pStyle w:val="Heading3"/>
        <w:spacing w:after="0" w:line="200" w:lineRule="exact"/>
        <w:rPr>
          <w:sz w:val="19"/>
          <w:szCs w:val="19"/>
        </w:rPr>
      </w:pPr>
      <w:r w:rsidRPr="00673C11">
        <w:rPr>
          <w:sz w:val="19"/>
          <w:szCs w:val="19"/>
        </w:rPr>
        <w:t>In the case of receipts from items other than natural gas and petroleum we have assumed 1989-90 budget estimates as the base and applied a growth rate of 8 per cent for the forecast period. In the case of receipts from natural gas and petroleum, the estimates obtained from the Ministry of Petroleum and Natural Gas have been adopted.</w:t>
      </w:r>
    </w:p>
    <w:p w14:paraId="2E152C92"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(v) Irrigation Receipts</w:t>
      </w:r>
    </w:p>
    <w:p w14:paraId="7D5BAD5C" w14:textId="775E0450" w:rsidR="0004055B" w:rsidRPr="00673C11" w:rsidRDefault="0004055B" w:rsidP="00673C11">
      <w:pPr>
        <w:pStyle w:val="Heading3"/>
        <w:spacing w:after="0" w:line="200" w:lineRule="exact"/>
        <w:rPr>
          <w:sz w:val="19"/>
          <w:szCs w:val="19"/>
        </w:rPr>
      </w:pPr>
      <w:r w:rsidRPr="00673C11">
        <w:rPr>
          <w:sz w:val="19"/>
          <w:szCs w:val="19"/>
        </w:rPr>
        <w:t xml:space="preserve">The Eighth Finance Commission commented adversely on the increasing losses incurred by the irrigation projects. Though it did not assume any return on investments in those projects, it expected the State Governments to make efforts so as to ensure that the receipts covered at least the cost of maintenance. The position has since worsened. The losses of the irrigation projects which amounted to Rs. 66 </w:t>
      </w:r>
      <w:proofErr w:type="gramStart"/>
      <w:r w:rsidRPr="00673C11">
        <w:rPr>
          <w:sz w:val="19"/>
          <w:szCs w:val="19"/>
        </w:rPr>
        <w:t>crore</w:t>
      </w:r>
      <w:proofErr w:type="gramEnd"/>
      <w:r w:rsidRPr="00673C11">
        <w:rPr>
          <w:sz w:val="19"/>
          <w:szCs w:val="19"/>
        </w:rPr>
        <w:t xml:space="preserve"> in 1981-82 shot up to Rs. 327 </w:t>
      </w:r>
      <w:proofErr w:type="gramStart"/>
      <w:r w:rsidRPr="00673C11">
        <w:rPr>
          <w:sz w:val="19"/>
          <w:szCs w:val="19"/>
        </w:rPr>
        <w:t>crore</w:t>
      </w:r>
      <w:proofErr w:type="gramEnd"/>
      <w:r w:rsidRPr="00673C11">
        <w:rPr>
          <w:sz w:val="19"/>
          <w:szCs w:val="19"/>
        </w:rPr>
        <w:t xml:space="preserve"> in 1987-88. In view of this dismal performance, we feel that assuming a positive return on investments from these projects during the five-year period 1990-95 will be quite unrealistic. We have, therefore, adopted the norm of the Eighth Finance Commission, namely, that the receipts should cover at least the cost of maintenance, except in the case of Hill States where a somewhat liberal norm has been adopted which is explained later in this chapter.</w:t>
      </w:r>
    </w:p>
    <w:p w14:paraId="411697D6"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(vi) Minor Irrigation</w:t>
      </w:r>
    </w:p>
    <w:p w14:paraId="1ACBB87F" w14:textId="03C0C9D1" w:rsidR="0004055B" w:rsidRPr="00673C11" w:rsidRDefault="0004055B" w:rsidP="00673C11">
      <w:pPr>
        <w:pStyle w:val="Heading3"/>
        <w:spacing w:after="0" w:line="200" w:lineRule="exact"/>
        <w:rPr>
          <w:sz w:val="19"/>
          <w:szCs w:val="19"/>
        </w:rPr>
      </w:pPr>
      <w:r w:rsidRPr="00673C11">
        <w:rPr>
          <w:sz w:val="19"/>
          <w:szCs w:val="19"/>
        </w:rPr>
        <w:t>We have assumed that the losses incurred in 1986-87, will be brought down gradually to one-fourth by the year 1994-95. Provision for maintenance expenditure has been made separately on the basis of norms discussed later in this chapter.</w:t>
      </w:r>
    </w:p>
    <w:p w14:paraId="1471AC1E"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(vii) Receipts from other Departmental Schemes</w:t>
      </w:r>
    </w:p>
    <w:p w14:paraId="67E4B56A" w14:textId="4ADB20BC" w:rsidR="0004055B" w:rsidRPr="00673C11" w:rsidRDefault="0004055B" w:rsidP="00673C11">
      <w:pPr>
        <w:pStyle w:val="Heading3"/>
        <w:spacing w:after="0" w:line="200" w:lineRule="exact"/>
        <w:rPr>
          <w:sz w:val="19"/>
          <w:szCs w:val="19"/>
        </w:rPr>
      </w:pPr>
      <w:r w:rsidRPr="00673C11">
        <w:rPr>
          <w:sz w:val="19"/>
          <w:szCs w:val="19"/>
        </w:rPr>
        <w:t xml:space="preserve">The States continue to incur losses on the departmentally run water supply schemes, milk schemes and industrial schemes. The objective in this area should be to recover the full cost of these services by charging an appropriate price from the beneficiaries. It would, however, be unrealistic at this stage to make projections on the basis of this assumption considering the current operating conditions. We would, however, like these undertakings to take earnest measures to reduce the losses gradually. We have, accordingly, assumed that in the case of water supply schemes the losses should be reduced gradually by 1994-95 to one-fourth of those in 1986-87. The milk supply schemes, being of a semi-commercial nature, have been treated somewhat differently. In their case, it has been assumed that they should break even by 1994-95. In the case of industrial </w:t>
      </w:r>
      <w:proofErr w:type="gramStart"/>
      <w:r w:rsidRPr="00673C11">
        <w:rPr>
          <w:sz w:val="19"/>
          <w:szCs w:val="19"/>
        </w:rPr>
        <w:t>schemes</w:t>
      </w:r>
      <w:proofErr w:type="gramEnd"/>
      <w:r w:rsidRPr="00673C11">
        <w:rPr>
          <w:sz w:val="19"/>
          <w:szCs w:val="19"/>
        </w:rPr>
        <w:t xml:space="preserve"> we have assumed a positive return of 5 per cent by 1994-95.</w:t>
      </w:r>
    </w:p>
    <w:p w14:paraId="65A8B578" w14:textId="144699BC" w:rsidR="00637D8C" w:rsidRPr="00673C11" w:rsidRDefault="00637D8C"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(viii) Returns from Investments in Power Projects</w:t>
      </w:r>
    </w:p>
    <w:p w14:paraId="6CC61FFF" w14:textId="1D29D207" w:rsidR="0004055B" w:rsidRPr="00673C11" w:rsidRDefault="0004055B" w:rsidP="00673C11">
      <w:pPr>
        <w:pStyle w:val="Heading3"/>
        <w:spacing w:after="0" w:line="200" w:lineRule="exact"/>
        <w:rPr>
          <w:b/>
          <w:bCs/>
          <w:sz w:val="19"/>
          <w:szCs w:val="19"/>
        </w:rPr>
      </w:pPr>
      <w:r w:rsidRPr="00673C11">
        <w:rPr>
          <w:sz w:val="19"/>
          <w:szCs w:val="19"/>
        </w:rPr>
        <w:t>The financial performance of power utilities, particularly the State Electricity Boards, has been a matter of deep concern. The poor performance stems from a wide variety of factors including poor operating efficiency, lop-sided tariff structure, disproportionately high transmission and distribution losses, and</w:t>
      </w:r>
      <w:r w:rsidR="00637D8C" w:rsidRPr="00673C11">
        <w:rPr>
          <w:sz w:val="19"/>
          <w:szCs w:val="19"/>
        </w:rPr>
        <w:t xml:space="preserve"> delays in the construction and commissioning of the power projects. A number of Boards has been incurring heavy losses year after year. These utilities in which the States have invested vast resources cannot afford to continue with such losses. This affects not merely their viability but even the overall availability of resources required to fund the steadily growing Plan programmes in the Power sector</w:t>
      </w:r>
      <w:r w:rsidR="00954A67" w:rsidRPr="00673C11">
        <w:rPr>
          <w:sz w:val="19"/>
          <w:szCs w:val="19"/>
        </w:rPr>
        <w:t>.</w:t>
      </w:r>
    </w:p>
    <w:p w14:paraId="613AA183" w14:textId="0D3E362D" w:rsidR="0004055B" w:rsidRPr="00673C11" w:rsidRDefault="0004055B" w:rsidP="00673C11">
      <w:pPr>
        <w:pStyle w:val="Heading3"/>
        <w:spacing w:after="0" w:line="200" w:lineRule="exact"/>
        <w:rPr>
          <w:sz w:val="19"/>
          <w:szCs w:val="19"/>
        </w:rPr>
      </w:pPr>
      <w:r w:rsidRPr="00673C11">
        <w:rPr>
          <w:sz w:val="19"/>
          <w:szCs w:val="19"/>
        </w:rPr>
        <w:t>We are aware that it is necessary to keep in view the capital intensity of the power projects and the long gestation period that their construction and commissioning involve. We have also noted that the Boards have an unfavourable capital structure without any equity component. However, we regard the Boards as commercial undertakings liable to provide a return on their investments. This is in line with the latest amendment in the Electricity (Supply) Act, 1948, which stipulates that the Board shall leave such surplus as is not less than 3 per cent or a higher percentage on its net fixed assets in service after meeting its depreciation and interest liabilities.</w:t>
      </w:r>
    </w:p>
    <w:p w14:paraId="2152F6DC" w14:textId="27AE49EC" w:rsidR="0004055B" w:rsidRPr="00673C11" w:rsidRDefault="0004055B" w:rsidP="00673C11">
      <w:pPr>
        <w:pStyle w:val="Heading3"/>
        <w:spacing w:after="0" w:line="200" w:lineRule="exact"/>
        <w:rPr>
          <w:sz w:val="19"/>
          <w:szCs w:val="19"/>
        </w:rPr>
      </w:pPr>
      <w:r w:rsidRPr="00673C11">
        <w:rPr>
          <w:sz w:val="19"/>
          <w:szCs w:val="19"/>
        </w:rPr>
        <w:t>As mentioned earlier, we expect the State Electricity Boards, Central Sector Undertakings and State Departmental Undertakings to run on commercial principles and to yield a minimum rate of return on their capital investment. But the minimum rate of return we prescribe should not be unrealistic given the situation at the start.</w:t>
      </w:r>
    </w:p>
    <w:p w14:paraId="06D5085A" w14:textId="6CCA04DF" w:rsidR="0004055B" w:rsidRPr="00673C11" w:rsidRDefault="0004055B" w:rsidP="00673C11">
      <w:pPr>
        <w:pStyle w:val="Heading3"/>
        <w:spacing w:after="0" w:line="200" w:lineRule="exact"/>
        <w:rPr>
          <w:sz w:val="19"/>
          <w:szCs w:val="19"/>
        </w:rPr>
      </w:pPr>
      <w:r w:rsidRPr="00673C11">
        <w:rPr>
          <w:sz w:val="19"/>
          <w:szCs w:val="19"/>
        </w:rPr>
        <w:t xml:space="preserve">While examining the finances of the Boards as they are structured today, we cannot ignore the fact that a sizeable segment of the programmes currently being undertaken by them, particularly in the rural areas, is virtually directed towards the fulfilment </w:t>
      </w:r>
      <w:r w:rsidRPr="00673C11">
        <w:rPr>
          <w:sz w:val="19"/>
          <w:szCs w:val="19"/>
        </w:rPr>
        <w:lastRenderedPageBreak/>
        <w:t>of certain socially desirable objectives. As such they are unlikely to generate sufficiently remunerative returns. Taking all the relevant factors into consideration, we have, firstly, for working out the return, reduced the outstanding loans as on 31.3.1990 by the amount tied up with works-in-progress (with 10 per cent of the value as on 31.3.1990 added on to the net outstanding loans in each year presuming the overall gestation period of the project to be 10 years) and by that attributable to rural electrification schemes. Secondly, we have prescribed a gradually rising rate of return starting from 3 per cent in 1990-91, increasing by 1 percentage point in each succeeding year and reaching the maximum of 7 per cent in the terminal year of the five-year period (1990-95).</w:t>
      </w:r>
    </w:p>
    <w:p w14:paraId="35AE218A" w14:textId="4902278C" w:rsidR="0004055B" w:rsidRPr="00673C11" w:rsidRDefault="0004055B" w:rsidP="00673C11">
      <w:pPr>
        <w:pStyle w:val="Heading3"/>
        <w:spacing w:after="0" w:line="200" w:lineRule="exact"/>
        <w:rPr>
          <w:sz w:val="19"/>
          <w:szCs w:val="19"/>
        </w:rPr>
      </w:pPr>
      <w:r w:rsidRPr="00673C11">
        <w:rPr>
          <w:sz w:val="19"/>
          <w:szCs w:val="19"/>
        </w:rPr>
        <w:t>Besides the State Electricity Boards, there are at present seven departmentally-run power undertakings in Arunachal Pradesh, Goa, Manipur, Mizoram, Nagaland, Sikkim and Tripura. These undertakings are still fairly small in terms of the scale of their operations. In some of the North-Eastern States, the level of indigenous generation is almost insignificant and they have to import power from the neighbouring States at a fairly high cost. The problems are further compounded by the low load scattered over a vast geographical area. We have also taken note of the inherent disabilities in the operations of electricity undertakings in the hill States. The cost of operations in the hill States is high in view of the insignificant load, difficult terrain and widely dispersed population. Considering their handicaps and taking into account the fledgling status of the operations in some of these States, we consider it appropriate not to prescribe any rate of return in their cases. This applies to the departmentally-run power undertakings in Arunachal Pradesh, Goa, Manipur, Mizoram, Nagaland, Sikkim and Tripura and the Boards in the Special Category States of Jammu and Kashmir, Himachal Pradesh, Meghalaya and Assam. Estimates of State Government loans to the State Electricity Boards outstanding at the end of 1989-90 are shown in Annexure III.4. The amounts of return worked out on the basis indicated above are shown in Annexure III.5.</w:t>
      </w:r>
    </w:p>
    <w:p w14:paraId="7449717D"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Returns from Investments in Road Transport Undertakings</w:t>
      </w:r>
    </w:p>
    <w:p w14:paraId="4093B7C1" w14:textId="0B875EC3" w:rsidR="0004055B" w:rsidRPr="00673C11" w:rsidRDefault="0004055B" w:rsidP="00673C11">
      <w:pPr>
        <w:pStyle w:val="Heading3"/>
        <w:spacing w:after="0" w:line="200" w:lineRule="exact"/>
        <w:rPr>
          <w:sz w:val="19"/>
          <w:szCs w:val="19"/>
        </w:rPr>
      </w:pPr>
      <w:r w:rsidRPr="00673C11">
        <w:rPr>
          <w:sz w:val="19"/>
          <w:szCs w:val="19"/>
        </w:rPr>
        <w:t>The State Governments have made substantial investments in Road Transport Undertakings. Most of the Undertakings in the States have been set up under the Road Transport Corporation Act, 1950, although there are a few departmental undertakings and, as in Tamil Nadu, there are also some government companies. For our purpose we have treated all such undertakings on par.</w:t>
      </w:r>
    </w:p>
    <w:p w14:paraId="7DFD3DF4" w14:textId="204BE95F" w:rsidR="0004055B" w:rsidRPr="00673C11" w:rsidRDefault="0004055B" w:rsidP="00673C11">
      <w:pPr>
        <w:pStyle w:val="Heading3"/>
        <w:spacing w:after="0" w:line="200" w:lineRule="exact"/>
        <w:rPr>
          <w:sz w:val="19"/>
          <w:szCs w:val="19"/>
        </w:rPr>
      </w:pPr>
      <w:r w:rsidRPr="00673C11">
        <w:rPr>
          <w:sz w:val="19"/>
          <w:szCs w:val="19"/>
        </w:rPr>
        <w:t>Section 22 of the Road Transport Corporation Act stipulates that the Corporations should carry on their activities on "business principles". This requirement has not been fulfilled by most of the Corporations. We have noticed that many of them are not able to produce sufficient surpluses to provide for depreciation and pay interest and taxes. Some of the Undertakings are not in a position to cover even their working expenses. A certain measure of contribution is expected of these Undertakings for reinvestment through generation of surpluses, but this is not forthcoming at all. Barring a few exceptions such as the Andhra Pradesh State Road Transport Corporation and the Haryana Roadways which have been making sustained surpluses and the Corporations of Maharashtra, Rajasthan and Uttar Pradesh which have shown profits during 1987-88, all other Undertakings, by and large, have been showing dismal results; their total losses in 1987-88 amount to Rs. 82.65 crore. The details are brought out in Annexure III.6.</w:t>
      </w:r>
    </w:p>
    <w:p w14:paraId="773EA77C" w14:textId="740DAA32" w:rsidR="0004055B" w:rsidRPr="00673C11" w:rsidRDefault="0004055B" w:rsidP="00673C11">
      <w:pPr>
        <w:pStyle w:val="Heading3"/>
        <w:spacing w:after="0" w:line="200" w:lineRule="exact"/>
        <w:rPr>
          <w:sz w:val="19"/>
          <w:szCs w:val="19"/>
        </w:rPr>
      </w:pPr>
      <w:r w:rsidRPr="00673C11">
        <w:rPr>
          <w:sz w:val="19"/>
          <w:szCs w:val="19"/>
        </w:rPr>
        <w:t>Several reasons have been adduced for the losses of these Undertakings. Our attention has been drawn, in particular, to factors like unrealistic fare structure, increased cost of inputs, growing burden of interest on loans and the compulsion of "socially oriented" concessions which the Undertakings are obliged to provide. In the hill States the Undertakings have to bear the additional burden on account of greater wear and tear to the rolling stock and higher operating costs. On the other hand, it is argued that, as a matter of policy, the fares cannot be built high enough to cover costs so that the means of transport remain cheap for the common man.</w:t>
      </w:r>
    </w:p>
    <w:p w14:paraId="39AC24FA" w14:textId="59C10A4F" w:rsidR="0004055B" w:rsidRPr="00673C11" w:rsidRDefault="0004055B" w:rsidP="00673C11">
      <w:pPr>
        <w:pStyle w:val="Heading3"/>
        <w:spacing w:after="0" w:line="200" w:lineRule="exact"/>
        <w:rPr>
          <w:sz w:val="19"/>
          <w:szCs w:val="19"/>
        </w:rPr>
      </w:pPr>
      <w:r w:rsidRPr="00673C11">
        <w:rPr>
          <w:sz w:val="19"/>
          <w:szCs w:val="19"/>
        </w:rPr>
        <w:t>These constraints are too well-known. However, it is a recognised fact that operations of Road Transport Corporations are less complex than those of the power system. Investments in road transport have a much shorter gestation period. Moreover, there is greater scope for manoeuvre in their operations to meet temporary or even day-to-day situations. Though, sometimes, a fare hike may become unavoidable, it would be clearly incorrect to assume that improvement in the financial performance in most of the Undertakings is possible only through an upward revision of the fares. As a matter of fact, we notice that there are several avenues available for effecting structural and operational improvements in each of the Undertakings. Annexure III.7 identifies the areas of improvement and the possible means. For instance, most of the Undertakings in the States have in-house maintenance facilities at the depot, divisional or central levels. It should, therefore, be possible to control the down-time of the buses with proper and efficient monitoring of rolling stock with consequent improvement in their fleet utilisation. Similarly, the load factor/occupancy ratio could be improved by remunerative charting of bus routes and adequate scheduling of services. The staff-bus ratio also can be brought down through an appropriate deployment of staff. With suitable improvement and proper control of the physical performance of traffic operations, it is possible to secure higher earnings and reduce operating costs.</w:t>
      </w:r>
    </w:p>
    <w:p w14:paraId="1C135813" w14:textId="605696A3" w:rsidR="0004055B" w:rsidRPr="00673C11" w:rsidRDefault="0004055B" w:rsidP="00673C11">
      <w:pPr>
        <w:pStyle w:val="Heading3"/>
        <w:spacing w:after="0" w:line="200" w:lineRule="exact"/>
        <w:rPr>
          <w:sz w:val="19"/>
          <w:szCs w:val="19"/>
        </w:rPr>
      </w:pPr>
      <w:r w:rsidRPr="00673C11">
        <w:rPr>
          <w:sz w:val="19"/>
          <w:szCs w:val="19"/>
        </w:rPr>
        <w:t xml:space="preserve">We have noted that even though most of the Undertakings are running at losses, there exist large variations in the individual performances in terms of certain identifiable parameters such as staff-bus ratio, fleet utilisation, load factor and revenue earning </w:t>
      </w:r>
      <w:proofErr w:type="spellStart"/>
      <w:r w:rsidRPr="00673C11">
        <w:rPr>
          <w:sz w:val="19"/>
          <w:szCs w:val="19"/>
        </w:rPr>
        <w:t>kilometerage</w:t>
      </w:r>
      <w:proofErr w:type="spellEnd"/>
      <w:r w:rsidRPr="00673C11">
        <w:rPr>
          <w:sz w:val="19"/>
          <w:szCs w:val="19"/>
        </w:rPr>
        <w:t xml:space="preserve"> per vehicle per day. While acknowledging the fact that there are constraints within which the Undertakings have to operate, we observe that, to a considerable extent, inefficient management and outmoded financial practices are responsible for their present plight. Despite exhortations of the previous Commissions and the approach adopted by the Seventh Commission - which assumed a phased increase in returns on investments of the State Governments in these Undertakings, no serious effort appears to have been made to improve their operations. Since most States have no revenue surplus for capital investment, the capital contribution to the Undertakings comes mainly out of borrowed funds which is becoming costlier year after year. We are aware of the difficulties faced by the Undertakings and also the increased cost of borrowings in recent years. </w:t>
      </w:r>
      <w:proofErr w:type="gramStart"/>
      <w:r w:rsidRPr="00673C11">
        <w:rPr>
          <w:sz w:val="19"/>
          <w:szCs w:val="19"/>
        </w:rPr>
        <w:t>Hence</w:t>
      </w:r>
      <w:proofErr w:type="gramEnd"/>
      <w:r w:rsidRPr="00673C11">
        <w:rPr>
          <w:sz w:val="19"/>
          <w:szCs w:val="19"/>
        </w:rPr>
        <w:t xml:space="preserve"> we recommend that the Undertakings should achieve a return of </w:t>
      </w:r>
      <w:r w:rsidR="005416DE" w:rsidRPr="00673C11">
        <w:rPr>
          <w:sz w:val="19"/>
          <w:szCs w:val="19"/>
        </w:rPr>
        <w:t>6</w:t>
      </w:r>
      <w:r w:rsidRPr="00673C11">
        <w:rPr>
          <w:sz w:val="19"/>
          <w:szCs w:val="19"/>
        </w:rPr>
        <w:t xml:space="preserve">.5 per cent in a graduated manner. That is, we are postulating that the Road Transport Undertakings in the non-Hill States should give a return on the investments at the rate of at least 1 per cent in 1990-91, 2 per cent in 1991-92, 3 per cent in 1992-93, 4.5 per cent in 1993-94 and </w:t>
      </w:r>
      <w:r w:rsidR="005416DE" w:rsidRPr="00673C11">
        <w:rPr>
          <w:sz w:val="19"/>
          <w:szCs w:val="19"/>
        </w:rPr>
        <w:t>6</w:t>
      </w:r>
      <w:r w:rsidRPr="00673C11">
        <w:rPr>
          <w:sz w:val="19"/>
          <w:szCs w:val="19"/>
        </w:rPr>
        <w:t>.5 per cent in 1994-95. The returns on the investments made by the Governments of Goa, Gujarat, Kerala and West Bengal in their Inland Water Transport Undertakings have been assessed in the same way.</w:t>
      </w:r>
    </w:p>
    <w:p w14:paraId="2D268ECB" w14:textId="4FB81FE8" w:rsidR="0004055B" w:rsidRPr="00673C11" w:rsidRDefault="0004055B" w:rsidP="00673C11">
      <w:pPr>
        <w:pStyle w:val="Heading3"/>
        <w:spacing w:after="0" w:line="200" w:lineRule="exact"/>
        <w:rPr>
          <w:sz w:val="19"/>
          <w:szCs w:val="19"/>
        </w:rPr>
      </w:pPr>
      <w:r w:rsidRPr="00673C11">
        <w:rPr>
          <w:sz w:val="19"/>
          <w:szCs w:val="19"/>
        </w:rPr>
        <w:t xml:space="preserve">As regards Hill States and hill areas of the non-Hill States, we have to keep in view the difficult operating conditions leading to higher operating costs. We, therefore, recommend that the </w:t>
      </w:r>
      <w:r w:rsidR="0049520F" w:rsidRPr="00673C11">
        <w:rPr>
          <w:sz w:val="19"/>
          <w:szCs w:val="19"/>
        </w:rPr>
        <w:t xml:space="preserve">Road </w:t>
      </w:r>
      <w:r w:rsidRPr="00673C11">
        <w:rPr>
          <w:sz w:val="19"/>
          <w:szCs w:val="19"/>
        </w:rPr>
        <w:t>Transport Undertakings in these States, and those catering to the hill areas in other States, should at least provide for depreciation in full, after meeting their working expenses.</w:t>
      </w:r>
    </w:p>
    <w:p w14:paraId="3B40DCEF" w14:textId="718B80F6" w:rsidR="0004055B" w:rsidRPr="00673C11" w:rsidRDefault="0004055B" w:rsidP="00673C11">
      <w:pPr>
        <w:pStyle w:val="Heading3"/>
        <w:spacing w:after="0" w:line="200" w:lineRule="exact"/>
        <w:rPr>
          <w:sz w:val="19"/>
          <w:szCs w:val="19"/>
        </w:rPr>
      </w:pPr>
      <w:r w:rsidRPr="00673C11">
        <w:rPr>
          <w:sz w:val="19"/>
          <w:szCs w:val="19"/>
        </w:rPr>
        <w:t>The returns on investments assessed on the above basis for the period 1990-91 to 1994-95 are shown in Annexures III.8 and III.9.</w:t>
      </w:r>
    </w:p>
    <w:p w14:paraId="10A4BDAE" w14:textId="77777777" w:rsidR="00673C11" w:rsidRDefault="00673C11" w:rsidP="00673C11">
      <w:pPr>
        <w:spacing w:after="0" w:line="200" w:lineRule="exact"/>
        <w:jc w:val="center"/>
        <w:rPr>
          <w:rFonts w:ascii="Times New Roman" w:hAnsi="Times New Roman" w:cs="Times New Roman"/>
          <w:b/>
          <w:bCs/>
          <w:sz w:val="19"/>
          <w:szCs w:val="19"/>
        </w:rPr>
      </w:pPr>
    </w:p>
    <w:p w14:paraId="426898D6" w14:textId="3E4C4FF8"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Grants-in-aid from the Centre</w:t>
      </w:r>
    </w:p>
    <w:p w14:paraId="41BC25AE" w14:textId="711B4E07" w:rsidR="0004055B" w:rsidRPr="00673C11" w:rsidRDefault="0004055B" w:rsidP="00673C11">
      <w:pPr>
        <w:pStyle w:val="Heading3"/>
        <w:spacing w:after="0" w:line="200" w:lineRule="exact"/>
        <w:rPr>
          <w:sz w:val="19"/>
          <w:szCs w:val="19"/>
        </w:rPr>
      </w:pPr>
      <w:r w:rsidRPr="00673C11">
        <w:rPr>
          <w:sz w:val="19"/>
          <w:szCs w:val="19"/>
        </w:rPr>
        <w:t xml:space="preserve">The Central Government gives grants-in-aid to the States for meeting expenditure on a number of non-Plan heads. We have assumed that all </w:t>
      </w:r>
      <w:r w:rsidR="00346C05" w:rsidRPr="00673C11">
        <w:rPr>
          <w:sz w:val="19"/>
          <w:szCs w:val="19"/>
        </w:rPr>
        <w:t>these</w:t>
      </w:r>
      <w:r w:rsidRPr="00673C11">
        <w:rPr>
          <w:sz w:val="19"/>
          <w:szCs w:val="19"/>
        </w:rPr>
        <w:t xml:space="preserve"> grants would continue to flow to the States on the existing basis. Accordingly, in our assessment of the revenues of the States, we have taken credit for these grants-in-aid by providing for expenditures corresponding to them. However, the grants which are given for meeting expenditure of a capital nature such as on border and strategic roads have been omitted by us.</w:t>
      </w:r>
    </w:p>
    <w:p w14:paraId="69FE592D" w14:textId="77777777" w:rsidR="0004055B" w:rsidRPr="00673C11" w:rsidRDefault="0004055B"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lastRenderedPageBreak/>
        <w:t>Special Category States</w:t>
      </w:r>
    </w:p>
    <w:p w14:paraId="5DB012CD" w14:textId="715B67C4" w:rsidR="0004055B" w:rsidRPr="00673C11" w:rsidRDefault="0004055B" w:rsidP="00673C11">
      <w:pPr>
        <w:pStyle w:val="Heading3"/>
        <w:spacing w:after="0" w:line="200" w:lineRule="exact"/>
        <w:rPr>
          <w:sz w:val="19"/>
          <w:szCs w:val="19"/>
        </w:rPr>
      </w:pPr>
      <w:r w:rsidRPr="00673C11">
        <w:rPr>
          <w:sz w:val="19"/>
          <w:szCs w:val="19"/>
        </w:rPr>
        <w:t xml:space="preserve">The States of Arunachal Pradesh, Himachal Pradesh, Jammu and Kashmir, Manipur, Meghalaya, Mizoram, Nagaland, Sikkim and Tripura and also Assam form a distinct group requiring somewhat different treatment from what we have accorded to the non-Special States. This applies to the state of Goa as well. Keeping in view the special features of the Special Category States and the historical background in which these States came to be constituted, we have adopted a liberal approach in assessing their receipts as well as expenditures. We have firmed up their estimated receipts and expenditures for the base year 1989-90 by taking into consideration the budget estimates or the latest estimates received from these States. In some </w:t>
      </w:r>
      <w:proofErr w:type="gramStart"/>
      <w:r w:rsidRPr="00673C11">
        <w:rPr>
          <w:sz w:val="19"/>
          <w:szCs w:val="19"/>
        </w:rPr>
        <w:t>cases</w:t>
      </w:r>
      <w:proofErr w:type="gramEnd"/>
      <w:r w:rsidRPr="00673C11">
        <w:rPr>
          <w:sz w:val="19"/>
          <w:szCs w:val="19"/>
        </w:rPr>
        <w:t xml:space="preserve"> the intended purpose was served better by taking the actuals of the latest year for which they were available and projecting to the base year 1989-90 by adopting State-specific past growth rates. Having provided adequately for the base year 1989-90, the projection of revenue receipts and expenditure for the forecast period has been done at the rate of 11.5 per cent and 7 per cent per annum, respectively. Wherever norms have been applied, they are on a more liberal basis than for the non-Special Category States. </w:t>
      </w:r>
      <w:proofErr w:type="gramStart"/>
      <w:r w:rsidRPr="00673C11">
        <w:rPr>
          <w:sz w:val="19"/>
          <w:szCs w:val="19"/>
        </w:rPr>
        <w:t>However</w:t>
      </w:r>
      <w:proofErr w:type="gramEnd"/>
      <w:r w:rsidRPr="00673C11">
        <w:rPr>
          <w:sz w:val="19"/>
          <w:szCs w:val="19"/>
        </w:rPr>
        <w:t xml:space="preserve"> the need for </w:t>
      </w:r>
      <w:r w:rsidR="0031399F" w:rsidRPr="00673C11">
        <w:rPr>
          <w:sz w:val="19"/>
          <w:szCs w:val="19"/>
        </w:rPr>
        <w:t>overall</w:t>
      </w:r>
      <w:r w:rsidRPr="00673C11">
        <w:rPr>
          <w:sz w:val="19"/>
          <w:szCs w:val="19"/>
        </w:rPr>
        <w:t xml:space="preserve"> fiscal discipline on the part of the Special Category States is as necessary as in the case of other States. The States must take effective corrective measures to reverse the current trend of growing deficits. There is urgent need to augment the revenue receipts and </w:t>
      </w:r>
      <w:r w:rsidR="0031399F" w:rsidRPr="00673C11">
        <w:rPr>
          <w:sz w:val="19"/>
          <w:szCs w:val="19"/>
        </w:rPr>
        <w:t>cut down the</w:t>
      </w:r>
      <w:r w:rsidRPr="00673C11">
        <w:rPr>
          <w:sz w:val="19"/>
          <w:szCs w:val="19"/>
        </w:rPr>
        <w:t xml:space="preserve"> disproportionately high growth in expenditure. Keeping them in view, on the base arrived at for 1989-90, revenue have been projected to increase at 11.5 per cent per annum during the period 19</w:t>
      </w:r>
      <w:r w:rsidR="00D43D0B" w:rsidRPr="00673C11">
        <w:rPr>
          <w:sz w:val="19"/>
          <w:szCs w:val="19"/>
        </w:rPr>
        <w:t>8</w:t>
      </w:r>
      <w:r w:rsidRPr="00673C11">
        <w:rPr>
          <w:sz w:val="19"/>
          <w:szCs w:val="19"/>
        </w:rPr>
        <w:t>0-95.</w:t>
      </w:r>
    </w:p>
    <w:p w14:paraId="3DEFB651" w14:textId="586592F0"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Non-Plan Revenue Expenditure</w:t>
      </w:r>
      <w:r w:rsidR="00D0639A" w:rsidRPr="00673C11">
        <w:rPr>
          <w:rFonts w:ascii="Times New Roman" w:hAnsi="Times New Roman" w:cs="Times New Roman"/>
          <w:b/>
          <w:bCs/>
          <w:sz w:val="19"/>
          <w:szCs w:val="19"/>
        </w:rPr>
        <w:t>s</w:t>
      </w:r>
    </w:p>
    <w:p w14:paraId="30322216" w14:textId="5CADBE95" w:rsidR="00990109" w:rsidRPr="00673C11" w:rsidRDefault="00990109" w:rsidP="00673C11">
      <w:pPr>
        <w:pStyle w:val="Heading3"/>
        <w:spacing w:after="0" w:line="200" w:lineRule="exact"/>
        <w:rPr>
          <w:sz w:val="19"/>
          <w:szCs w:val="19"/>
        </w:rPr>
      </w:pPr>
      <w:r w:rsidRPr="00673C11">
        <w:rPr>
          <w:sz w:val="19"/>
          <w:szCs w:val="19"/>
        </w:rPr>
        <w:t xml:space="preserve">We have assessed the non-Plan revenue expenditure on the basis of normative assessment of "needs". Such an approach is expected to help determine whether States provide their people with a </w:t>
      </w:r>
      <w:proofErr w:type="gramStart"/>
      <w:r w:rsidRPr="00673C11">
        <w:rPr>
          <w:sz w:val="19"/>
          <w:szCs w:val="19"/>
        </w:rPr>
        <w:t>certain minimum standards of services</w:t>
      </w:r>
      <w:proofErr w:type="gramEnd"/>
      <w:r w:rsidRPr="00673C11">
        <w:rPr>
          <w:sz w:val="19"/>
          <w:szCs w:val="19"/>
        </w:rPr>
        <w:t>.</w:t>
      </w:r>
    </w:p>
    <w:p w14:paraId="0E52659C" w14:textId="7FFC477F" w:rsidR="00990109" w:rsidRPr="00673C11" w:rsidRDefault="00990109" w:rsidP="00673C11">
      <w:pPr>
        <w:pStyle w:val="Heading3"/>
        <w:spacing w:after="0" w:line="200" w:lineRule="exact"/>
        <w:rPr>
          <w:sz w:val="19"/>
          <w:szCs w:val="19"/>
        </w:rPr>
      </w:pPr>
      <w:r w:rsidRPr="00673C11">
        <w:rPr>
          <w:sz w:val="19"/>
          <w:szCs w:val="19"/>
        </w:rPr>
        <w:t xml:space="preserve">The </w:t>
      </w:r>
      <w:r w:rsidR="003416F9" w:rsidRPr="00673C11">
        <w:rPr>
          <w:sz w:val="19"/>
          <w:szCs w:val="19"/>
        </w:rPr>
        <w:t>estimation</w:t>
      </w:r>
      <w:r w:rsidRPr="00673C11">
        <w:rPr>
          <w:sz w:val="19"/>
          <w:szCs w:val="19"/>
        </w:rPr>
        <w:t xml:space="preserve"> of normative non-Plan revenue expenditure for the period 1990-91 to 1994-95 involves two distinct steps. The first is the estimation of expenditure needs of the States in a base year and, second, making projections for the period 1990-91 to 1994-95. The estimation of expenditure needs was found to be extremely difficult as it involved the quantification of the units of public service provided and the unit cost of providing them. The non-excludability and non-</w:t>
      </w:r>
      <w:r w:rsidR="003416F9" w:rsidRPr="00673C11">
        <w:rPr>
          <w:sz w:val="19"/>
          <w:szCs w:val="19"/>
        </w:rPr>
        <w:t>marketability</w:t>
      </w:r>
      <w:r w:rsidRPr="00673C11">
        <w:rPr>
          <w:sz w:val="19"/>
          <w:szCs w:val="19"/>
        </w:rPr>
        <w:t xml:space="preserve"> of public goods make it difficult both to assess the demand for these goods and to measure the standard public services supplied. The output of public services is, therefore, generally </w:t>
      </w:r>
      <w:r w:rsidR="006B2360" w:rsidRPr="00673C11">
        <w:rPr>
          <w:sz w:val="19"/>
          <w:szCs w:val="19"/>
        </w:rPr>
        <w:t>attempted</w:t>
      </w:r>
      <w:r w:rsidRPr="00673C11">
        <w:rPr>
          <w:sz w:val="19"/>
          <w:szCs w:val="19"/>
        </w:rPr>
        <w:t xml:space="preserve"> to be measured by taking input proxies which have gone into their provision.</w:t>
      </w:r>
    </w:p>
    <w:p w14:paraId="41A16661" w14:textId="76BA999F" w:rsidR="00990109" w:rsidRPr="00673C11" w:rsidRDefault="00990109" w:rsidP="00673C11">
      <w:pPr>
        <w:pStyle w:val="Heading3"/>
        <w:spacing w:after="0" w:line="200" w:lineRule="exact"/>
        <w:rPr>
          <w:sz w:val="19"/>
          <w:szCs w:val="19"/>
        </w:rPr>
      </w:pPr>
      <w:r w:rsidRPr="00673C11">
        <w:rPr>
          <w:sz w:val="19"/>
          <w:szCs w:val="19"/>
        </w:rPr>
        <w:t xml:space="preserve">For the purpose of </w:t>
      </w:r>
      <w:r w:rsidR="00E74565" w:rsidRPr="00673C11">
        <w:rPr>
          <w:sz w:val="19"/>
          <w:szCs w:val="19"/>
        </w:rPr>
        <w:t>assessing</w:t>
      </w:r>
      <w:r w:rsidRPr="00673C11">
        <w:rPr>
          <w:sz w:val="19"/>
          <w:szCs w:val="19"/>
        </w:rPr>
        <w:t xml:space="preserve"> non-Plan expenditure needs of the States on a normative basis, we have classified the expenditures into three categories:</w:t>
      </w:r>
    </w:p>
    <w:p w14:paraId="67E17BCA" w14:textId="77777777" w:rsidR="00990109" w:rsidRPr="00673C11" w:rsidRDefault="00990109" w:rsidP="00673C11">
      <w:pPr>
        <w:spacing w:after="0" w:line="200" w:lineRule="exact"/>
        <w:jc w:val="both"/>
        <w:rPr>
          <w:rFonts w:ascii="Times New Roman" w:hAnsi="Times New Roman" w:cs="Times New Roman"/>
          <w:sz w:val="19"/>
          <w:szCs w:val="19"/>
        </w:rPr>
      </w:pPr>
      <w:r w:rsidRPr="00673C11">
        <w:rPr>
          <w:rFonts w:ascii="Times New Roman" w:hAnsi="Times New Roman" w:cs="Times New Roman"/>
          <w:sz w:val="19"/>
          <w:szCs w:val="19"/>
        </w:rPr>
        <w:t>(I) Those items of expenditure which depend upon either the stock of monetary liabilities, such as interest payments, or the stock of physical assets, such as maintenance expenditures on roads, buildings and irrigation works;</w:t>
      </w:r>
    </w:p>
    <w:p w14:paraId="5056EB71" w14:textId="77777777" w:rsidR="00990109" w:rsidRPr="00673C11" w:rsidRDefault="00990109" w:rsidP="00673C11">
      <w:pPr>
        <w:spacing w:after="0" w:line="200" w:lineRule="exact"/>
        <w:jc w:val="both"/>
        <w:rPr>
          <w:rFonts w:ascii="Times New Roman" w:hAnsi="Times New Roman" w:cs="Times New Roman"/>
          <w:sz w:val="19"/>
          <w:szCs w:val="19"/>
        </w:rPr>
      </w:pPr>
      <w:r w:rsidRPr="00673C11">
        <w:rPr>
          <w:rFonts w:ascii="Times New Roman" w:hAnsi="Times New Roman" w:cs="Times New Roman"/>
          <w:sz w:val="19"/>
          <w:szCs w:val="19"/>
        </w:rPr>
        <w:t>(II) Those items of regular and recurring expenditure whose level of service can be measured by making statistical analysis of the revenue expenditure; and</w:t>
      </w:r>
    </w:p>
    <w:p w14:paraId="31933FF1" w14:textId="77777777" w:rsidR="00990109" w:rsidRPr="00673C11" w:rsidRDefault="00990109" w:rsidP="00673C11">
      <w:pPr>
        <w:spacing w:after="0" w:line="200" w:lineRule="exact"/>
        <w:jc w:val="both"/>
        <w:rPr>
          <w:rFonts w:ascii="Times New Roman" w:hAnsi="Times New Roman" w:cs="Times New Roman"/>
          <w:sz w:val="19"/>
          <w:szCs w:val="19"/>
        </w:rPr>
      </w:pPr>
      <w:r w:rsidRPr="00673C11">
        <w:rPr>
          <w:rFonts w:ascii="Times New Roman" w:hAnsi="Times New Roman" w:cs="Times New Roman"/>
          <w:sz w:val="19"/>
          <w:szCs w:val="19"/>
        </w:rPr>
        <w:t>(III) Those items of revenue expenditures which can be reckoned neither on the basis of statistical analysis nor on the basis of engineering norms.</w:t>
      </w:r>
    </w:p>
    <w:p w14:paraId="7908DDFC" w14:textId="695C2126" w:rsidR="00990109" w:rsidRPr="00673C11" w:rsidRDefault="00990109" w:rsidP="00673C11">
      <w:pPr>
        <w:pStyle w:val="Heading3"/>
        <w:spacing w:after="0" w:line="200" w:lineRule="exact"/>
        <w:rPr>
          <w:sz w:val="19"/>
          <w:szCs w:val="19"/>
        </w:rPr>
      </w:pPr>
      <w:r w:rsidRPr="00673C11">
        <w:rPr>
          <w:sz w:val="19"/>
          <w:szCs w:val="19"/>
        </w:rPr>
        <w:t xml:space="preserve">We </w:t>
      </w:r>
      <w:r w:rsidR="00E74565" w:rsidRPr="00673C11">
        <w:rPr>
          <w:sz w:val="19"/>
          <w:szCs w:val="19"/>
        </w:rPr>
        <w:t>have to</w:t>
      </w:r>
      <w:r w:rsidRPr="00673C11">
        <w:rPr>
          <w:sz w:val="19"/>
          <w:szCs w:val="19"/>
        </w:rPr>
        <w:t xml:space="preserve"> mention that we were considerably handicapped in our work on account of paucity of data on a wide variety of subjects despite our persistent efforts to obtain the same. We, therefore, had to rely upon the use of second best, alternative techniques for our analysis. These are discussed below:</w:t>
      </w:r>
    </w:p>
    <w:p w14:paraId="6438F9CA"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Category (I)</w:t>
      </w:r>
    </w:p>
    <w:p w14:paraId="78D3B44A" w14:textId="1180E2D6" w:rsidR="00990109" w:rsidRPr="00673C11" w:rsidRDefault="00990109" w:rsidP="00673C11">
      <w:pPr>
        <w:pStyle w:val="Heading3"/>
        <w:spacing w:after="0" w:line="200" w:lineRule="exact"/>
        <w:rPr>
          <w:sz w:val="19"/>
          <w:szCs w:val="19"/>
        </w:rPr>
      </w:pPr>
      <w:r w:rsidRPr="00673C11">
        <w:rPr>
          <w:sz w:val="19"/>
          <w:szCs w:val="19"/>
        </w:rPr>
        <w:t>The major items of expenditure falling in this category are interest payments and maintenance of capital assets.</w:t>
      </w:r>
    </w:p>
    <w:p w14:paraId="6CB86906"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Interest Payments</w:t>
      </w:r>
    </w:p>
    <w:p w14:paraId="79A20BFA" w14:textId="0CB0F22E" w:rsidR="00990109" w:rsidRPr="00673C11" w:rsidRDefault="00990109" w:rsidP="00673C11">
      <w:pPr>
        <w:pStyle w:val="Heading3"/>
        <w:spacing w:after="0" w:line="200" w:lineRule="exact"/>
        <w:rPr>
          <w:sz w:val="19"/>
          <w:szCs w:val="19"/>
        </w:rPr>
      </w:pPr>
      <w:r w:rsidRPr="00673C11">
        <w:rPr>
          <w:sz w:val="19"/>
          <w:szCs w:val="19"/>
        </w:rPr>
        <w:t xml:space="preserve">Interest payments by the State Governments have been compiled in two stages. In the first stage, interest settlement due in 1990-91 with respect to the </w:t>
      </w:r>
      <w:r w:rsidR="00D41FDF" w:rsidRPr="00673C11">
        <w:rPr>
          <w:sz w:val="19"/>
          <w:szCs w:val="19"/>
        </w:rPr>
        <w:t>borrowing upto the end of</w:t>
      </w:r>
      <w:r w:rsidRPr="00673C11">
        <w:rPr>
          <w:sz w:val="19"/>
          <w:szCs w:val="19"/>
        </w:rPr>
        <w:t xml:space="preserve"> </w:t>
      </w:r>
      <w:r w:rsidR="00D41FDF" w:rsidRPr="00673C11">
        <w:rPr>
          <w:sz w:val="19"/>
          <w:szCs w:val="19"/>
        </w:rPr>
        <w:t xml:space="preserve">1989-90 have </w:t>
      </w:r>
      <w:r w:rsidRPr="00673C11">
        <w:rPr>
          <w:sz w:val="19"/>
          <w:szCs w:val="19"/>
        </w:rPr>
        <w:t xml:space="preserve">been worked out with </w:t>
      </w:r>
      <w:r w:rsidR="00D41FDF" w:rsidRPr="00673C11">
        <w:rPr>
          <w:sz w:val="19"/>
          <w:szCs w:val="19"/>
        </w:rPr>
        <w:t>reference</w:t>
      </w:r>
      <w:r w:rsidRPr="00673C11">
        <w:rPr>
          <w:sz w:val="19"/>
          <w:szCs w:val="19"/>
        </w:rPr>
        <w:t xml:space="preserve"> to the actual terms thereof. Thereafter, in the second stage, we have in</w:t>
      </w:r>
      <w:r w:rsidR="00D41FDF" w:rsidRPr="00673C11">
        <w:rPr>
          <w:sz w:val="19"/>
          <w:szCs w:val="19"/>
        </w:rPr>
        <w:t>ducted</w:t>
      </w:r>
      <w:r w:rsidRPr="00673C11">
        <w:rPr>
          <w:sz w:val="19"/>
          <w:szCs w:val="19"/>
        </w:rPr>
        <w:t xml:space="preserve"> a normative element in respect of </w:t>
      </w:r>
      <w:r w:rsidR="00FE781E" w:rsidRPr="00673C11">
        <w:rPr>
          <w:sz w:val="19"/>
          <w:szCs w:val="19"/>
        </w:rPr>
        <w:t>interest payment</w:t>
      </w:r>
      <w:r w:rsidRPr="00673C11">
        <w:rPr>
          <w:sz w:val="19"/>
          <w:szCs w:val="19"/>
        </w:rPr>
        <w:t xml:space="preserve"> for the period 1991-92 to 1994-95. </w:t>
      </w:r>
      <w:r w:rsidR="001C1E03" w:rsidRPr="00673C11">
        <w:rPr>
          <w:sz w:val="19"/>
          <w:szCs w:val="19"/>
        </w:rPr>
        <w:t xml:space="preserve">In the past, borrowings have been resorted to by the States in a liberal manner and, at times, on quite stringent terms to meet their immediate requirements, disregarding their long-term effects. Against this background, we consider it appropriate to apply a growth rate of 12 per cent only on the estimated interest payments in 1990–91 for the next four years, i.e., 1991–95. This would cover the liability on account of the fresh loans during the five-year 1990–95. While deciding the normative growth rate of interest payment, we have been guided by the consideration that in our scheme of dispensation the States are better placed in meeting their expenditure requirements. </w:t>
      </w:r>
      <w:r w:rsidR="005322B5" w:rsidRPr="00673C11">
        <w:rPr>
          <w:sz w:val="19"/>
          <w:szCs w:val="19"/>
        </w:rPr>
        <w:t>What</w:t>
      </w:r>
      <w:r w:rsidR="001C1E03" w:rsidRPr="00673C11">
        <w:rPr>
          <w:sz w:val="19"/>
          <w:szCs w:val="19"/>
        </w:rPr>
        <w:t xml:space="preserve"> is, however, more important is that we expect the States to exercise </w:t>
      </w:r>
      <w:r w:rsidR="005322B5" w:rsidRPr="00673C11">
        <w:rPr>
          <w:sz w:val="19"/>
          <w:szCs w:val="19"/>
        </w:rPr>
        <w:t>much greater</w:t>
      </w:r>
      <w:r w:rsidR="001C1E03" w:rsidRPr="00673C11">
        <w:rPr>
          <w:sz w:val="19"/>
          <w:szCs w:val="19"/>
        </w:rPr>
        <w:t xml:space="preserve"> restraint in the future in the matter of borrowings. The States themselves should raise adequate revenue resources so as to finance at least their current requirements in full measure.</w:t>
      </w:r>
    </w:p>
    <w:p w14:paraId="58B27F50"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Maintenance of Capital Assets</w:t>
      </w:r>
    </w:p>
    <w:p w14:paraId="5A2D6033" w14:textId="4F04F01A" w:rsidR="00990109" w:rsidRPr="00673C11" w:rsidRDefault="007A0F93" w:rsidP="00673C11">
      <w:pPr>
        <w:pStyle w:val="Heading3"/>
        <w:spacing w:after="0" w:line="200" w:lineRule="exact"/>
        <w:rPr>
          <w:sz w:val="19"/>
          <w:szCs w:val="19"/>
        </w:rPr>
      </w:pPr>
      <w:r w:rsidRPr="00673C11">
        <w:rPr>
          <w:sz w:val="19"/>
          <w:szCs w:val="19"/>
        </w:rPr>
        <w:t xml:space="preserve">The provisions made by us for the maintenance of capital assets like irrigation works, buildings, roads, etc., are based on engineering norms obtained from the concerned Central organisations. These provisions are restricted to assets </w:t>
      </w:r>
      <w:r w:rsidR="00990109" w:rsidRPr="00673C11">
        <w:rPr>
          <w:sz w:val="19"/>
          <w:szCs w:val="19"/>
        </w:rPr>
        <w:t>Created upto 1989-90 as the assets created thereafter would, under the present system, be maintained on Plan account. As indicated earlier, the norms have been applied in a graduated manner.</w:t>
      </w:r>
    </w:p>
    <w:p w14:paraId="19D0712D"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 Major and Medium Irrigation Works</w:t>
      </w:r>
    </w:p>
    <w:p w14:paraId="6C928D5B" w14:textId="39FF35DD" w:rsidR="00990109" w:rsidRPr="00673C11" w:rsidRDefault="00990109" w:rsidP="00673C11">
      <w:pPr>
        <w:pStyle w:val="Heading3"/>
        <w:spacing w:after="0" w:line="200" w:lineRule="exact"/>
        <w:rPr>
          <w:sz w:val="19"/>
          <w:szCs w:val="19"/>
        </w:rPr>
      </w:pPr>
      <w:r w:rsidRPr="00673C11">
        <w:rPr>
          <w:sz w:val="19"/>
          <w:szCs w:val="19"/>
        </w:rPr>
        <w:t>For the maintenance of irrigation works, the Eighth Finance Commission adopted a norm of Rs.100 per hectare for the utilised potential (including special repairs and regular establishment) and Rs.30 per hectare for the unutilised potential, with an increase of 30 per cent thereon for hill States.</w:t>
      </w:r>
    </w:p>
    <w:p w14:paraId="4D45DD3C" w14:textId="13D1A83E" w:rsidR="00990109" w:rsidRPr="00673C11" w:rsidRDefault="00990109" w:rsidP="00673C11">
      <w:pPr>
        <w:pStyle w:val="Heading3"/>
        <w:spacing w:after="0" w:line="200" w:lineRule="exact"/>
        <w:rPr>
          <w:sz w:val="19"/>
          <w:szCs w:val="19"/>
        </w:rPr>
      </w:pPr>
      <w:r w:rsidRPr="00673C11">
        <w:rPr>
          <w:sz w:val="19"/>
          <w:szCs w:val="19"/>
        </w:rPr>
        <w:t>The Ministry of Water Resources recommended to us a basic norm of Rs.180 per hectare for the maintenance of the utilised potential. In addition, it recommended Rs.65 per hectare for regular establishment and Rs.36 per hectare for special repairs (with Rs.25 per hectare extra for areas having drainage problems). With this, the total cost comes to Rs.281 per hectare. The Ministry suggested that the maintenance expenditure should be updated annually for escalation in cost. As regards the unutilised potential, the norm suggested by the Ministry is Rs.60 per hectare.</w:t>
      </w:r>
    </w:p>
    <w:p w14:paraId="0C452655" w14:textId="226F3892" w:rsidR="00990109" w:rsidRPr="00673C11" w:rsidRDefault="00990109" w:rsidP="00673C11">
      <w:pPr>
        <w:pStyle w:val="Heading3"/>
        <w:spacing w:after="0" w:line="200" w:lineRule="exact"/>
        <w:rPr>
          <w:sz w:val="19"/>
          <w:szCs w:val="19"/>
        </w:rPr>
      </w:pPr>
      <w:r w:rsidRPr="00673C11">
        <w:rPr>
          <w:sz w:val="19"/>
          <w:szCs w:val="19"/>
        </w:rPr>
        <w:t>The norms suggested by the Ministry for the utilised potential are found to be on the very high side, being nearly three times the norms adopted by the last Commission. Taking into account escalation in the cost of labour and material, a norm of Rs.180 per hectare appears reasonable to us in the case of utilised potential. As for the unutilised potential, we have accepted the rate of Rs.60 per hectare recommended by the Ministry. We have also provided for a price increase at the rate of 5 per cent per annum. Having regard to the low level of current maintenance expenditure, the normative expenditure level has been projected to be reached in a graduated manner by the end of the period.</w:t>
      </w:r>
    </w:p>
    <w:p w14:paraId="53DC550F" w14:textId="3E4CD2EE" w:rsidR="00990109" w:rsidRPr="00673C11" w:rsidRDefault="00990109" w:rsidP="00673C11">
      <w:pPr>
        <w:pStyle w:val="Heading3"/>
        <w:spacing w:after="0" w:line="200" w:lineRule="exact"/>
        <w:rPr>
          <w:sz w:val="19"/>
          <w:szCs w:val="19"/>
        </w:rPr>
      </w:pPr>
      <w:r w:rsidRPr="00673C11">
        <w:rPr>
          <w:sz w:val="19"/>
          <w:szCs w:val="19"/>
        </w:rPr>
        <w:t>On the basis of the data obtained from the Planning Commission, we worked out for each State the extent of utilisation of the irrigation potential likely to be created upto 1989-90. Annexure-III-10 gives the irrigation potential and its utilisation in 1987-88 and 1989-90</w:t>
      </w:r>
      <w:r w:rsidR="000C2DD3" w:rsidRPr="00673C11">
        <w:rPr>
          <w:sz w:val="19"/>
          <w:szCs w:val="19"/>
        </w:rPr>
        <w:t xml:space="preserve"> </w:t>
      </w:r>
      <w:r w:rsidRPr="00673C11">
        <w:rPr>
          <w:sz w:val="19"/>
          <w:szCs w:val="19"/>
        </w:rPr>
        <w:t>(Estimated).</w:t>
      </w:r>
    </w:p>
    <w:p w14:paraId="46B7F38B" w14:textId="278DA642" w:rsidR="00990109" w:rsidRPr="00673C11" w:rsidRDefault="00990109" w:rsidP="00673C11">
      <w:pPr>
        <w:pStyle w:val="Heading3"/>
        <w:spacing w:after="0" w:line="200" w:lineRule="exact"/>
        <w:rPr>
          <w:sz w:val="19"/>
          <w:szCs w:val="19"/>
        </w:rPr>
      </w:pPr>
      <w:r w:rsidRPr="00673C11">
        <w:rPr>
          <w:sz w:val="19"/>
          <w:szCs w:val="19"/>
        </w:rPr>
        <w:t xml:space="preserve"> We find that the extent of utilisation of the potential is extremely poor in some States. We share the concern of the last Commission in this matter and urge the States to bring the utilised potential into use as expeditiously as possible. For this purpose, </w:t>
      </w:r>
      <w:r w:rsidRPr="00673C11">
        <w:rPr>
          <w:sz w:val="19"/>
          <w:szCs w:val="19"/>
        </w:rPr>
        <w:lastRenderedPageBreak/>
        <w:t>we have divided the States into three categories, viz.(</w:t>
      </w:r>
      <w:proofErr w:type="spellStart"/>
      <w:r w:rsidRPr="00673C11">
        <w:rPr>
          <w:sz w:val="19"/>
          <w:szCs w:val="19"/>
        </w:rPr>
        <w:t>i</w:t>
      </w:r>
      <w:proofErr w:type="spellEnd"/>
      <w:r w:rsidRPr="00673C11">
        <w:rPr>
          <w:sz w:val="19"/>
          <w:szCs w:val="19"/>
        </w:rPr>
        <w:t>) the States where the extent of unutilised potential is less than 10 per cent (Andhra Pradesh, Karnataka, Kerala, Orissa, Punjab, Tamil Nadu and West Bengal); (ii) the States where the unutilised potential varies from 10 to 25 per cent (Bihar, Haryana, Madhya Pradesh, Rajasthan, Uttar Pradesh, Jammu and Kashmir and Manipur); and (iii) the States in which the extent of non-utilisation is over 25 per cent (Assam, Goa, Gujarat, Himachal Pradesh, Maharashtra). We have, in our assessment assumed that in the case of States falling in category (</w:t>
      </w:r>
      <w:proofErr w:type="spellStart"/>
      <w:r w:rsidRPr="00673C11">
        <w:rPr>
          <w:sz w:val="19"/>
          <w:szCs w:val="19"/>
        </w:rPr>
        <w:t>i</w:t>
      </w:r>
      <w:proofErr w:type="spellEnd"/>
      <w:r w:rsidRPr="00673C11">
        <w:rPr>
          <w:sz w:val="19"/>
          <w:szCs w:val="19"/>
        </w:rPr>
        <w:t>), the potential estimated to be created at the end of 1989-90 will be fully utilised by the end of 1994-95, and that in the case of States falling in categories (ii) and (iii) the unutilised potential would be reduced to 5 per cent and 10 per cent, respectively, by the end of 1994-95.</w:t>
      </w:r>
    </w:p>
    <w:p w14:paraId="1A070632" w14:textId="1543C0E7" w:rsidR="00990109" w:rsidRPr="00673C11" w:rsidRDefault="00990109" w:rsidP="00673C11">
      <w:pPr>
        <w:pStyle w:val="Heading3"/>
        <w:spacing w:after="0" w:line="200" w:lineRule="exact"/>
        <w:rPr>
          <w:sz w:val="19"/>
          <w:szCs w:val="19"/>
        </w:rPr>
      </w:pPr>
      <w:r w:rsidRPr="00673C11">
        <w:rPr>
          <w:sz w:val="19"/>
          <w:szCs w:val="19"/>
        </w:rPr>
        <w:t>As stated earlier, we have assumed gross receipts from the major and medium irrigation works to be equal to the maintenance expenditure provided by us on the basis of norms in respect of the utilised potential only. However, in regard to the hill States, though the norm for maintenance expenditure has been raised by 30 per cent, the receipts in their case have been limited to cover the normal expenditure only. No receipts have been assumed in the case of unutilised potential. Annexure III.11 shows the gross receipts, working expenses and net returns in the case of each State as assessed by us over the period 1990-95.</w:t>
      </w:r>
    </w:p>
    <w:p w14:paraId="1A8578D1" w14:textId="2E050DFE" w:rsidR="00990109" w:rsidRPr="00673C11" w:rsidRDefault="00990109" w:rsidP="00673C11">
      <w:pPr>
        <w:pStyle w:val="Heading3"/>
        <w:spacing w:after="0" w:line="200" w:lineRule="exact"/>
        <w:rPr>
          <w:sz w:val="19"/>
          <w:szCs w:val="19"/>
        </w:rPr>
      </w:pPr>
      <w:r w:rsidRPr="00673C11">
        <w:rPr>
          <w:sz w:val="19"/>
          <w:szCs w:val="19"/>
        </w:rPr>
        <w:t xml:space="preserve">While providing for maintenance of major and medium irrigation projects, we felt that </w:t>
      </w:r>
      <w:proofErr w:type="spellStart"/>
      <w:r w:rsidRPr="00673C11">
        <w:rPr>
          <w:sz w:val="19"/>
          <w:szCs w:val="19"/>
        </w:rPr>
        <w:t>Loktak</w:t>
      </w:r>
      <w:proofErr w:type="spellEnd"/>
      <w:r w:rsidRPr="00673C11">
        <w:rPr>
          <w:sz w:val="19"/>
          <w:szCs w:val="19"/>
        </w:rPr>
        <w:t xml:space="preserve"> lake in Manipur which is the largest natural lake in eastern India requires additional funds over and above the level of expenditure already provided by us. We have, therefore, provided an additional sum of Rs.15 crore for the maintenance and preservation of the </w:t>
      </w:r>
      <w:proofErr w:type="spellStart"/>
      <w:r w:rsidRPr="00673C11">
        <w:rPr>
          <w:sz w:val="19"/>
          <w:szCs w:val="19"/>
        </w:rPr>
        <w:t>Loktak</w:t>
      </w:r>
      <w:proofErr w:type="spellEnd"/>
      <w:r w:rsidRPr="00673C11">
        <w:rPr>
          <w:sz w:val="19"/>
          <w:szCs w:val="19"/>
        </w:rPr>
        <w:t xml:space="preserve"> lake.</w:t>
      </w:r>
    </w:p>
    <w:p w14:paraId="0D78BCCD"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(ii) Flood Control Works</w:t>
      </w:r>
    </w:p>
    <w:p w14:paraId="6BEFB3E6" w14:textId="3005AC4B" w:rsidR="00990109" w:rsidRPr="00673C11" w:rsidRDefault="00990109" w:rsidP="00673C11">
      <w:pPr>
        <w:pStyle w:val="Heading3"/>
        <w:spacing w:after="0" w:line="200" w:lineRule="exact"/>
        <w:rPr>
          <w:sz w:val="19"/>
          <w:szCs w:val="19"/>
        </w:rPr>
      </w:pPr>
      <w:r w:rsidRPr="00673C11">
        <w:rPr>
          <w:sz w:val="19"/>
          <w:szCs w:val="19"/>
        </w:rPr>
        <w:t>On the basis of data on length, height and age of the embankments and the discharge capacity of the drainage channels which it could obtain, the Ministry of Water Resources, gave us at our request, suggestions regarding the level of maintenance expenditure required in the year 1989-90 in accordance with the norms recommended by the Expert Committee appointed by the Ministry. However, as the Ministry could not get the data from all the States and the data received were also not up to the mark, we decided to have a parallel exercise conducted in order to work out the maintenance expenditure in respect of flood control works on the lines attempted by the Eighth Finance Commission. For this purpose, we derived the expenditure in the base year 1989-90 by applying a growth rate of 10 per cent to the actual non-Plan expenditure on this account for the year 1987-88. Having done that, we made a comparison of the two sets of figures for 1989-90 and adopted the higher of the two. The projections for the next five years have been done on the basis of a growth rate of 7 per cent per annum and are shown in Annexure III.12.</w:t>
      </w:r>
    </w:p>
    <w:p w14:paraId="65D57DEE" w14:textId="3980DFF0" w:rsidR="00990109" w:rsidRPr="00673C11" w:rsidRDefault="00990109" w:rsidP="00673C11">
      <w:pPr>
        <w:pStyle w:val="Heading3"/>
        <w:spacing w:after="0" w:line="200" w:lineRule="exact"/>
        <w:rPr>
          <w:sz w:val="19"/>
          <w:szCs w:val="19"/>
        </w:rPr>
      </w:pPr>
      <w:r w:rsidRPr="00673C11">
        <w:rPr>
          <w:sz w:val="19"/>
          <w:szCs w:val="19"/>
        </w:rPr>
        <w:t xml:space="preserve">The recurrence of floods in North Bihar creates havoc to the State's economy and this was brought to our notice quite tellingly during our field visit. The State Government has already prepared a </w:t>
      </w:r>
      <w:proofErr w:type="gramStart"/>
      <w:r w:rsidRPr="00673C11">
        <w:rPr>
          <w:sz w:val="19"/>
          <w:szCs w:val="19"/>
        </w:rPr>
        <w:t>long term</w:t>
      </w:r>
      <w:proofErr w:type="gramEnd"/>
      <w:r w:rsidRPr="00673C11">
        <w:rPr>
          <w:sz w:val="19"/>
          <w:szCs w:val="19"/>
        </w:rPr>
        <w:t xml:space="preserve"> Plan involving construction of a reservoir in the catchment areas of the river in Nepal. As a </w:t>
      </w:r>
      <w:proofErr w:type="gramStart"/>
      <w:r w:rsidRPr="00673C11">
        <w:rPr>
          <w:sz w:val="19"/>
          <w:szCs w:val="19"/>
        </w:rPr>
        <w:t>medium term</w:t>
      </w:r>
      <w:proofErr w:type="gramEnd"/>
      <w:r w:rsidRPr="00673C11">
        <w:rPr>
          <w:sz w:val="19"/>
          <w:szCs w:val="19"/>
        </w:rPr>
        <w:t xml:space="preserve"> solution, the State Government suggested the strengthening and controlling of embankments. The </w:t>
      </w:r>
      <w:proofErr w:type="gramStart"/>
      <w:r w:rsidRPr="00673C11">
        <w:rPr>
          <w:sz w:val="19"/>
          <w:szCs w:val="19"/>
        </w:rPr>
        <w:t>long term</w:t>
      </w:r>
      <w:proofErr w:type="gramEnd"/>
      <w:r w:rsidRPr="00673C11">
        <w:rPr>
          <w:sz w:val="19"/>
          <w:szCs w:val="19"/>
        </w:rPr>
        <w:t xml:space="preserve"> project for the drainage scheme prepared by the State Government is already with the Planning Commission. The project merits the support of the Planning Commission. We have made adequate provision for the maintenance of the flood control works in North Bihar.</w:t>
      </w:r>
    </w:p>
    <w:p w14:paraId="4A4D0B92"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(iii) Minor Irrigation</w:t>
      </w:r>
    </w:p>
    <w:p w14:paraId="08C1C067" w14:textId="453A5242" w:rsidR="00990109" w:rsidRPr="00673C11" w:rsidRDefault="00990109" w:rsidP="00673C11">
      <w:pPr>
        <w:pStyle w:val="Heading3"/>
        <w:spacing w:after="0" w:line="200" w:lineRule="exact"/>
        <w:rPr>
          <w:rStyle w:val="Heading3Char"/>
          <w:sz w:val="19"/>
          <w:szCs w:val="19"/>
        </w:rPr>
      </w:pPr>
      <w:r w:rsidRPr="00673C11">
        <w:rPr>
          <w:rStyle w:val="Heading3Char"/>
          <w:sz w:val="19"/>
          <w:szCs w:val="19"/>
        </w:rPr>
        <w:t>We could not adopt a normative approach in making provision for the maintenance of minor irrigation for want of the requisite data. We, therefore, worked out the estimated requirements for 1989-90 by applying a growth rate of 10 per cent to the actual non-Plan expenditure for the year 1986-87. The level of expenditure for 1989-90 so derived was further stepped up at the rate of 7 per cent per annum for the period of our report.</w:t>
      </w:r>
    </w:p>
    <w:p w14:paraId="0BFED32A"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(iv) Maintenance of Roads</w:t>
      </w:r>
    </w:p>
    <w:p w14:paraId="49F79805" w14:textId="43A4D1F2" w:rsidR="00990109" w:rsidRPr="00673C11" w:rsidRDefault="00990109" w:rsidP="00673C11">
      <w:pPr>
        <w:pStyle w:val="Heading3"/>
        <w:spacing w:after="0" w:line="200" w:lineRule="exact"/>
        <w:rPr>
          <w:sz w:val="19"/>
          <w:szCs w:val="19"/>
        </w:rPr>
      </w:pPr>
      <w:r w:rsidRPr="00673C11">
        <w:rPr>
          <w:sz w:val="19"/>
          <w:szCs w:val="19"/>
        </w:rPr>
        <w:t>Provision was made by the Eighth Finance Commission for the maintenance of State highways and other roads, on the basis of the norms recommended by the Expert Committee (1968) and the Malhotra Committee (1978) respectively. In May, 1988 the Ministry of Surface Transport appointed a Study Group to update the norms recommended by those two committees. Based on the prices of chips and other materials used for the maintenance of roads, this Group divided the country into six zones and recommended separate maintenance norms for each zone. These norms as set out in Annexure III-13 were approved by the Transport Development Council.</w:t>
      </w:r>
    </w:p>
    <w:p w14:paraId="3A8FE6A3" w14:textId="1BDC6BCA" w:rsidR="00990109" w:rsidRPr="00673C11" w:rsidRDefault="00990109" w:rsidP="00673C11">
      <w:pPr>
        <w:pStyle w:val="Heading3"/>
        <w:spacing w:after="0" w:line="200" w:lineRule="exact"/>
        <w:rPr>
          <w:sz w:val="19"/>
          <w:szCs w:val="19"/>
        </w:rPr>
      </w:pPr>
      <w:r w:rsidRPr="00673C11">
        <w:rPr>
          <w:sz w:val="19"/>
          <w:szCs w:val="19"/>
        </w:rPr>
        <w:t>We obtained from the State Governments information as to the length of State highways, major district roads and other roads. The data received was updated to 1989-90 by following the State-specific trend registered during 1982-86. Applying the norms of the Study Group to the road length in different States, we derived estimates of maintenance expenditure in respect of roads.</w:t>
      </w:r>
    </w:p>
    <w:p w14:paraId="53D503E6" w14:textId="71171DC1" w:rsidR="00990109" w:rsidRPr="00673C11" w:rsidRDefault="00990109" w:rsidP="00673C11">
      <w:pPr>
        <w:pStyle w:val="Heading3"/>
        <w:spacing w:after="0" w:line="200" w:lineRule="exact"/>
        <w:rPr>
          <w:sz w:val="19"/>
          <w:szCs w:val="19"/>
        </w:rPr>
      </w:pPr>
      <w:r w:rsidRPr="00673C11">
        <w:rPr>
          <w:sz w:val="19"/>
          <w:szCs w:val="19"/>
        </w:rPr>
        <w:t xml:space="preserve">Since the norms recommended by the Study Group were at 1987-88 prices, the provisions for maintenance based thereon were augmented appropriately to make allowance for the subsequent price increases. The cost of establishment and tools and plants </w:t>
      </w:r>
      <w:proofErr w:type="gramStart"/>
      <w:r w:rsidRPr="00673C11">
        <w:rPr>
          <w:sz w:val="19"/>
          <w:szCs w:val="19"/>
        </w:rPr>
        <w:t>has</w:t>
      </w:r>
      <w:proofErr w:type="gramEnd"/>
      <w:r w:rsidRPr="00673C11">
        <w:rPr>
          <w:sz w:val="19"/>
          <w:szCs w:val="19"/>
        </w:rPr>
        <w:t xml:space="preserve"> been added to the above estimates at the rate of 16 per cent and 4 per cent of the expenditure, respectively, in each year</w:t>
      </w:r>
      <w:r w:rsidR="000C2DD3" w:rsidRPr="00673C11">
        <w:rPr>
          <w:sz w:val="19"/>
          <w:szCs w:val="19"/>
        </w:rPr>
        <w:t>.</w:t>
      </w:r>
    </w:p>
    <w:p w14:paraId="2E037EF3" w14:textId="78374ADD" w:rsidR="00990109" w:rsidRPr="00673C11" w:rsidRDefault="00990109" w:rsidP="00673C11">
      <w:pPr>
        <w:pStyle w:val="Heading3"/>
        <w:spacing w:after="0" w:line="200" w:lineRule="exact"/>
        <w:rPr>
          <w:sz w:val="19"/>
          <w:szCs w:val="19"/>
        </w:rPr>
      </w:pPr>
      <w:r w:rsidRPr="00673C11">
        <w:rPr>
          <w:sz w:val="19"/>
          <w:szCs w:val="19"/>
        </w:rPr>
        <w:t xml:space="preserve">The estimates of provisions for maintenance of roads worked out in the manner described above came out to be much higher than the present levels. Such higher levels cannot, in any case, be reached in a short span of time. Hence, we restricted the provisions for 1994-95 to a maximum of 220 per cent of the amounts allowed by the Eighth Finance Commission for 1988-89. As these provisions were at 1989-90 prices, we made an allowance of 5 per cent per annum to account for the effect of price rise during the next </w:t>
      </w:r>
      <w:proofErr w:type="gramStart"/>
      <w:r w:rsidRPr="00673C11">
        <w:rPr>
          <w:sz w:val="19"/>
          <w:szCs w:val="19"/>
        </w:rPr>
        <w:t>five year</w:t>
      </w:r>
      <w:proofErr w:type="gramEnd"/>
      <w:r w:rsidRPr="00673C11">
        <w:rPr>
          <w:sz w:val="19"/>
          <w:szCs w:val="19"/>
        </w:rPr>
        <w:t xml:space="preserve"> period. The provision thus worked out for 1994-95 has been assumed to be reached in graduated steps, keeping in view the current level of expenditure. Annexure III.14 shows the provisions allowed to each State for the maintenance of roads over the period 1990-95. These include the provision for maintenance of the roads of local bodies as well.</w:t>
      </w:r>
    </w:p>
    <w:p w14:paraId="5729F56F"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(v) Maintenance of Buildings</w:t>
      </w:r>
    </w:p>
    <w:p w14:paraId="7162B8CE" w14:textId="126DE1C8" w:rsidR="00990109" w:rsidRPr="00673C11" w:rsidRDefault="00990109" w:rsidP="00673C11">
      <w:pPr>
        <w:pStyle w:val="Heading3"/>
        <w:spacing w:after="0" w:line="200" w:lineRule="exact"/>
        <w:rPr>
          <w:sz w:val="19"/>
          <w:szCs w:val="19"/>
        </w:rPr>
      </w:pPr>
      <w:r w:rsidRPr="00673C11">
        <w:rPr>
          <w:sz w:val="19"/>
          <w:szCs w:val="19"/>
        </w:rPr>
        <w:t>We obtained from the State Governments data on the plinth area of buildings at the end of March, 1989 by three broad age groups viz., 0 to 20 years, 20 to 40 years and over 40 years. The data were scaled up to March, 1990 by applying the trends witnessed in the preceding years. As the Central Public Works Department maintains the Central Government buildings throughout the country, we thought it proper to make provisions for the maintenance of State Government buildings also on the basis of the same norms as are followed by the CPWD with suitable allowance for price increases. These norms are shown at Annexures III-15A and III-15B.</w:t>
      </w:r>
    </w:p>
    <w:p w14:paraId="0DC67A9C" w14:textId="3B1BE5E5" w:rsidR="00990109" w:rsidRPr="00673C11" w:rsidRDefault="00990109" w:rsidP="00673C11">
      <w:pPr>
        <w:pStyle w:val="Heading3"/>
        <w:spacing w:after="0" w:line="200" w:lineRule="exact"/>
        <w:rPr>
          <w:sz w:val="19"/>
          <w:szCs w:val="19"/>
        </w:rPr>
      </w:pPr>
      <w:r w:rsidRPr="00673C11">
        <w:rPr>
          <w:sz w:val="19"/>
          <w:szCs w:val="19"/>
        </w:rPr>
        <w:t>The norms for the hill States have been adjusted upward to the extent of 50 per cent for residential buildings and 25 per cent for non-residential buildings. Additional provisions of 16 per cent and 4 per cent of the expenditure worked out on the basis of norms have been allowed for establishment charges and tools and plant, respectively.</w:t>
      </w:r>
    </w:p>
    <w:p w14:paraId="125A664D" w14:textId="1D0706F3" w:rsidR="00990109" w:rsidRPr="00673C11" w:rsidRDefault="00990109" w:rsidP="00673C11">
      <w:pPr>
        <w:pStyle w:val="Heading3"/>
        <w:spacing w:after="0" w:line="200" w:lineRule="exact"/>
        <w:rPr>
          <w:sz w:val="19"/>
          <w:szCs w:val="19"/>
        </w:rPr>
      </w:pPr>
      <w:r w:rsidRPr="00673C11">
        <w:rPr>
          <w:sz w:val="19"/>
          <w:szCs w:val="19"/>
        </w:rPr>
        <w:t xml:space="preserve"> We found that the annual provision worked out in the above-mentioned manner came out to be either very low or very high in some States. We, therefore, decided to moderate it so as to ensure that no State would be provided in 1994-95 less than 180 per cent and more than 220 per cent of the annual provision made for this purpose by the Eighth Finance Commission. On this a price increase at the rate of 5 per cent per annum has also been allowed. However, in view of the low level of current maintenance expenditure, the normative expenditure has been allowed to increase in a graduated manner during the forecast period. The provisions made on this basis for the five years 1990-95 are given in Annexure III.16.</w:t>
      </w:r>
    </w:p>
    <w:p w14:paraId="31135138"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Monitoring of the Maintenance Expenditure</w:t>
      </w:r>
    </w:p>
    <w:p w14:paraId="4D1FA27E" w14:textId="0A1A5D20" w:rsidR="00990109" w:rsidRPr="00673C11" w:rsidRDefault="00990109" w:rsidP="00673C11">
      <w:pPr>
        <w:pStyle w:val="Heading3"/>
        <w:spacing w:after="0" w:line="200" w:lineRule="exact"/>
        <w:rPr>
          <w:rStyle w:val="Heading3Char"/>
          <w:sz w:val="19"/>
          <w:szCs w:val="19"/>
        </w:rPr>
      </w:pPr>
      <w:r w:rsidRPr="00673C11">
        <w:rPr>
          <w:rStyle w:val="Heading3Char"/>
          <w:sz w:val="19"/>
          <w:szCs w:val="19"/>
        </w:rPr>
        <w:lastRenderedPageBreak/>
        <w:t>We find that successive Finance Commissions have made provision for maintenance expenditure based on certain engineering norms, but the expenditure incurred in actual practice by the States has been far too low relative to the norms as well as the requirements for the maintenance of the assets even on a minimum basis. There appears to be a strong preference for the creation of additional assets with little attention being paid to the maintenance of assets already created. In the process, the quality of the assets and their useful life span decline steeply. The neglect of maintenance is an unhealthy practice and must be discouraged. The amount required for the maintenance of the existing assets should be the first charge on the resources of the States. We would even suggest that the Planning Commission should be given a special responsibility for ensuring that the maintenance of the existing assets in the States is in no way compromised. At the time of assessing the resources for the State Plan, the Planning Commission should take special care to ensure that the maintenance expenditures are fully provided for.</w:t>
      </w:r>
    </w:p>
    <w:p w14:paraId="51A98ABF"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Category (II)</w:t>
      </w:r>
    </w:p>
    <w:p w14:paraId="703CAC75" w14:textId="19DFD1EA" w:rsidR="00990109" w:rsidRPr="00673C11" w:rsidRDefault="00990109" w:rsidP="00673C11">
      <w:pPr>
        <w:pStyle w:val="Heading3"/>
        <w:spacing w:after="0" w:line="200" w:lineRule="exact"/>
        <w:rPr>
          <w:sz w:val="19"/>
          <w:szCs w:val="19"/>
        </w:rPr>
      </w:pPr>
      <w:r w:rsidRPr="00673C11">
        <w:rPr>
          <w:sz w:val="19"/>
          <w:szCs w:val="19"/>
        </w:rPr>
        <w:t>In the case of items of expenditure falling under this category, we could estimate cost functions using regression analysis. The detailed methodology for assessing the expenditure needs using this analysis is given in Appendix 5.</w:t>
      </w:r>
    </w:p>
    <w:p w14:paraId="62B0F3FF" w14:textId="5BB220E9" w:rsidR="00990109" w:rsidRPr="00673C11" w:rsidRDefault="00990109" w:rsidP="00673C11">
      <w:pPr>
        <w:pStyle w:val="Heading3"/>
        <w:spacing w:after="0" w:line="200" w:lineRule="exact"/>
        <w:rPr>
          <w:sz w:val="19"/>
          <w:szCs w:val="19"/>
        </w:rPr>
      </w:pPr>
      <w:r w:rsidRPr="00673C11">
        <w:rPr>
          <w:sz w:val="19"/>
          <w:szCs w:val="19"/>
        </w:rPr>
        <w:t>In order to estimate the non-Plan revenue expenditure "needs", we have attempted to estimate the cost functions of non-Plan expenditures classified into suitable categories under general, social and economic services. Expenditure "needs" under general services have been defined as the justifiable costs of providing the average standards of services. In the case of social and economic services, however, the justifiable costs of providing the existing standards of services have been taken to represent "needs". Thus "needs" so estimated give us the normative assessments.</w:t>
      </w:r>
    </w:p>
    <w:p w14:paraId="398D6244" w14:textId="4B90E73E" w:rsidR="00990109" w:rsidRPr="00673C11" w:rsidRDefault="00990109" w:rsidP="00673C11">
      <w:pPr>
        <w:pStyle w:val="Heading3"/>
        <w:spacing w:after="0" w:line="200" w:lineRule="exact"/>
        <w:rPr>
          <w:sz w:val="19"/>
          <w:szCs w:val="19"/>
        </w:rPr>
      </w:pPr>
      <w:r w:rsidRPr="00673C11">
        <w:rPr>
          <w:sz w:val="19"/>
          <w:szCs w:val="19"/>
        </w:rPr>
        <w:t xml:space="preserve"> Since expenditure needs have been derived on the basis of the estimated cost functions, expenditure variations among the States are attributable to differences in the quantity of public service provided and in the costs of providing them. Here, we have tried to separate the cost factors within the control of the State Governments and those beyond their control.</w:t>
      </w:r>
    </w:p>
    <w:p w14:paraId="7FFFA25E" w14:textId="02D28D2C" w:rsidR="00990109" w:rsidRPr="00673C11" w:rsidRDefault="00990109" w:rsidP="00673C11">
      <w:pPr>
        <w:pStyle w:val="Heading3"/>
        <w:spacing w:after="0" w:line="200" w:lineRule="exact"/>
        <w:rPr>
          <w:sz w:val="19"/>
          <w:szCs w:val="19"/>
        </w:rPr>
      </w:pPr>
      <w:r w:rsidRPr="00673C11">
        <w:rPr>
          <w:sz w:val="19"/>
          <w:szCs w:val="19"/>
        </w:rPr>
        <w:t>After estimating the effects of various quantify and cost variables on the expenditures of the States, we made normative estimates of the expenditures for the year 1986-87. As stated above for general services, the estimates represent expenditures that would be required to provide the average standards of services and for social and economic services, they show the requirements of providing the existing standards of services on the basis of the quantified behavioural relationship.</w:t>
      </w:r>
    </w:p>
    <w:p w14:paraId="0D04DDEC"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Provision for Parity of Pay Scales</w:t>
      </w:r>
    </w:p>
    <w:p w14:paraId="0EC25E42" w14:textId="49863339" w:rsidR="00990109" w:rsidRPr="00673C11" w:rsidRDefault="00990109" w:rsidP="00673C11">
      <w:pPr>
        <w:pStyle w:val="Heading3"/>
        <w:spacing w:after="0" w:line="200" w:lineRule="exact"/>
        <w:rPr>
          <w:sz w:val="19"/>
          <w:szCs w:val="19"/>
        </w:rPr>
      </w:pPr>
      <w:r w:rsidRPr="00673C11">
        <w:rPr>
          <w:sz w:val="19"/>
          <w:szCs w:val="19"/>
        </w:rPr>
        <w:t>We may mention here that the expenditure estimates derived on the basis mentioned above take into account the salary revisions done by the States only up to 1986-87. Many State Governments undertook salary revisions for their employees subsequently following the implementation of the recommendations of the Fourth Central Pay Commission by the Government of India. Almost all the State Governments and a number of employees' associations in different States made strong representations to us emphasising the need to bring about parity in the pay scales of State Government and Union Government employees.</w:t>
      </w:r>
    </w:p>
    <w:p w14:paraId="51A6D44E" w14:textId="49A4795A" w:rsidR="00990109" w:rsidRPr="00673C11" w:rsidRDefault="00990109" w:rsidP="00673C11">
      <w:pPr>
        <w:pStyle w:val="Heading3"/>
        <w:spacing w:after="0" w:line="200" w:lineRule="exact"/>
        <w:rPr>
          <w:sz w:val="19"/>
          <w:szCs w:val="19"/>
        </w:rPr>
      </w:pPr>
      <w:r w:rsidRPr="00673C11">
        <w:rPr>
          <w:sz w:val="19"/>
          <w:szCs w:val="19"/>
        </w:rPr>
        <w:t>Parity in pay scales is a subject of considerable discussion and debate. Pay parity, however, should not be viewed in total isolation. The frequency and the periodicity of pay revision must also be kept in view. It is necessary to mention here that although the scales of pay in some States are lower than the comparable Central scales, the total emoluments of a comparable State employee could be higher than his counter-part in the Central Government due to the frequent revision of scales in the former. The emoluments that an employee gets is a function not merely of scales of pay but also the frequency of pay revision, the weightage and fixation benefits given to the employee at the time of each pay revision, the existence of automatic grade promotion, revision of other allowances consequent on the revision of pay and proportions of promotions post to the feeder posts. We have made provision for parity only in terms of basic pay. This has been done by taking into account the difference in the scales of pay prevailing at the Union and the State Governments levels for representative categories of employees. We made a comparison of basic pay of selected categories of employees in different States with that under the Union Government by notionally adjusting them to the CPI level of 608 to which the pay scales of the Central Government employees, as revised by the Fourth Central Pay Commission, are related. Wherever these notionally adjusted amounts were lower than the basic pay under the Central Government, additional provisions have been made in the manner as explained in Annexure III.17.</w:t>
      </w:r>
    </w:p>
    <w:p w14:paraId="0DCF3DF3" w14:textId="1DB8BABA" w:rsidR="00990109" w:rsidRPr="00673C11" w:rsidRDefault="00990109" w:rsidP="00673C11">
      <w:pPr>
        <w:pStyle w:val="Heading3"/>
        <w:spacing w:after="0" w:line="200" w:lineRule="exact"/>
        <w:rPr>
          <w:sz w:val="19"/>
          <w:szCs w:val="19"/>
        </w:rPr>
      </w:pPr>
      <w:r w:rsidRPr="00673C11">
        <w:rPr>
          <w:sz w:val="19"/>
          <w:szCs w:val="19"/>
        </w:rPr>
        <w:t>The estimated expenditure on pay parity was then adjusted to conform to our normative expenditure estimates. For this purpose, we first segregated the non-Plan component by proportionately adjusting the total provision on the basis of the expenditure and normative expenditure in each of the major States in 1986-87.</w:t>
      </w:r>
    </w:p>
    <w:p w14:paraId="62883FDC" w14:textId="3A1F216A" w:rsidR="00990109" w:rsidRPr="00673C11" w:rsidRDefault="00990109" w:rsidP="00673C11">
      <w:pPr>
        <w:pStyle w:val="Heading3"/>
        <w:spacing w:after="0" w:line="200" w:lineRule="exact"/>
        <w:rPr>
          <w:sz w:val="19"/>
          <w:szCs w:val="19"/>
        </w:rPr>
      </w:pPr>
      <w:r w:rsidRPr="00673C11">
        <w:rPr>
          <w:sz w:val="19"/>
          <w:szCs w:val="19"/>
        </w:rPr>
        <w:t>The expenditure needs thus estimated for 1986-87 were required to be projected to the period of our recommendations. This has been done in two stages. In the first phase the normative expenditures have been projected to the base year 1989-90 by applying the average historical growth rates for all States adjusted partially for periodic revision in the salaries by the States. It should be noted that unlike in the case of the Central Government where the salary revision subsequent to the recommendation of the Fourth Pay Commission was done after thirteen years, in a majority of States, the scales have been revised more frequently contributing to the growth of expenditure by a substantial margin.</w:t>
      </w:r>
    </w:p>
    <w:p w14:paraId="2006B7AF" w14:textId="713F11AA" w:rsidR="00990109" w:rsidRPr="00673C11" w:rsidRDefault="00990109" w:rsidP="00673C11">
      <w:pPr>
        <w:pStyle w:val="Heading3"/>
        <w:spacing w:after="0" w:line="200" w:lineRule="exact"/>
        <w:rPr>
          <w:sz w:val="19"/>
          <w:szCs w:val="19"/>
        </w:rPr>
      </w:pPr>
      <w:r w:rsidRPr="00673C11">
        <w:rPr>
          <w:sz w:val="19"/>
          <w:szCs w:val="19"/>
        </w:rPr>
        <w:t>As the provision for parity in the pay scales has been made separately, the rate of growth of expenditures had to be adjusted to exclude partially the effect of periodic revision of pay scales in the States. We, therefore, applied the growth rate of 13 per cent per year on the normative expenditures estimated for 1986-87 (historical growth-rate being 14.5 per cent), to estimate the expenditures in 1989-90. The salary revision as computed by us was added to this provision.</w:t>
      </w:r>
    </w:p>
    <w:p w14:paraId="3CC18978" w14:textId="0BB3D63B" w:rsidR="00990109" w:rsidRPr="00673C11" w:rsidRDefault="00990109" w:rsidP="00673C11">
      <w:pPr>
        <w:pStyle w:val="Heading3"/>
        <w:spacing w:after="0" w:line="200" w:lineRule="exact"/>
        <w:rPr>
          <w:sz w:val="19"/>
          <w:szCs w:val="19"/>
        </w:rPr>
      </w:pPr>
      <w:r w:rsidRPr="00673C11">
        <w:rPr>
          <w:sz w:val="19"/>
          <w:szCs w:val="19"/>
        </w:rPr>
        <w:t>The normative estimates of expenditure arrived at for 1989-90 thus constitute the expenditures at justifiable costs. At the same time in the case of general administrative services, the cost of providing the average standards of services has been taken into account. We must state in this connection that the overall effect of expenditure assessment has been to reckon the non-Plan expenditures of less developed States at a level higher than their actual level. Thus, the overall effect of the application of the norms has been equitable as may be seen from the details given in Appendix 5.</w:t>
      </w:r>
    </w:p>
    <w:p w14:paraId="67C392B7" w14:textId="35DE6BC9" w:rsidR="00990109" w:rsidRPr="00673C11" w:rsidRDefault="00990109" w:rsidP="00673C11">
      <w:pPr>
        <w:pStyle w:val="Heading3"/>
        <w:spacing w:after="0" w:line="200" w:lineRule="exact"/>
        <w:rPr>
          <w:sz w:val="19"/>
          <w:szCs w:val="19"/>
        </w:rPr>
      </w:pPr>
      <w:r w:rsidRPr="00673C11">
        <w:rPr>
          <w:sz w:val="19"/>
          <w:szCs w:val="19"/>
        </w:rPr>
        <w:t>In the second stage, the normative estimate of expenditure arrived at for the base year was projected to the period 1990-91 to 1994-95. In making projections, we have been guided by the consideration of phasing out revenue deficits by the terminal year of the period of our Report. This would require restricting the rate of growth in non-Plan expenditure so that the imbalance between the growth of revenues and expenditures is eliminated. Achieving overall balance in the revenue account is possible only when we succeed in limiting the rate of growth of expenditures. This means that the State Governments can ill afford to increase their expenditures substantially in real terms.</w:t>
      </w:r>
    </w:p>
    <w:p w14:paraId="54E05351" w14:textId="07B1FD2F" w:rsidR="00990109" w:rsidRPr="00673C11" w:rsidRDefault="00990109" w:rsidP="00673C11">
      <w:pPr>
        <w:pStyle w:val="Heading3"/>
        <w:spacing w:after="0" w:line="200" w:lineRule="exact"/>
        <w:rPr>
          <w:sz w:val="19"/>
          <w:szCs w:val="19"/>
        </w:rPr>
      </w:pPr>
      <w:r w:rsidRPr="00673C11">
        <w:rPr>
          <w:sz w:val="19"/>
          <w:szCs w:val="19"/>
        </w:rPr>
        <w:t>Considering these factors, we have provided for only moderate increases in real expenditures. Given the overall assumption of 5 per cent increase in prices, provision for increase in prices alone would result in the growth of expenditures by 4 per cent, as the major component of expenditures, i.e., wages and salaries, was found to increase by 0.75 per cent for every one per cent increase in prices in the past. In addition, we have assumed that the expenditures should increase at a rate marginally higher than the increase in population, considering that the public services, by and large, are meant to serve the entire population. Therefore, we have assumed 3 per cent growth of expenditure in real terms. Thus, we have projected the non-Plan expenditure for the period 1990-91 to 1994-95 assuming a growth rate of 7 per cent per annum.</w:t>
      </w:r>
    </w:p>
    <w:p w14:paraId="3CE9264A" w14:textId="22AB0030" w:rsidR="00990109" w:rsidRPr="00673C11" w:rsidRDefault="00990109" w:rsidP="00673C11">
      <w:pPr>
        <w:pStyle w:val="Heading3"/>
        <w:spacing w:after="0" w:line="200" w:lineRule="exact"/>
        <w:rPr>
          <w:sz w:val="19"/>
          <w:szCs w:val="19"/>
        </w:rPr>
      </w:pPr>
      <w:r w:rsidRPr="00673C11">
        <w:rPr>
          <w:sz w:val="19"/>
          <w:szCs w:val="19"/>
        </w:rPr>
        <w:lastRenderedPageBreak/>
        <w:t>It is necessary to mention here that achieving the normative levels of expenditure right from the first year of our recommendation may not be feasible. In the case of those States for which normative levels were reckoned lower than the level of their actual expenditures, severe hardship would result if the normative levels were to be assumed from the first year itself. Similarly, in the case of the States whose actual expenditures fell short of the normative levels, it might not be realistic to assume that within a year the normative levels would be achieved. We have, therefore, phased out the expenditures so as to reach the normative levels by 1994-95. For this purpose, we have restricted the difference between actuals and normative estimates by one-half in 1989-90. Taking these as the base year estimates, we have phased the expenditure growth to reach the targeted level in 1994-95.</w:t>
      </w:r>
    </w:p>
    <w:p w14:paraId="576EB2E2" w14:textId="51999110" w:rsidR="00990109" w:rsidRPr="00673C11" w:rsidRDefault="00990109" w:rsidP="00673C11">
      <w:pPr>
        <w:pStyle w:val="Heading3"/>
        <w:spacing w:after="0" w:line="200" w:lineRule="exact"/>
        <w:rPr>
          <w:sz w:val="19"/>
          <w:szCs w:val="19"/>
        </w:rPr>
      </w:pPr>
      <w:r w:rsidRPr="00673C11">
        <w:rPr>
          <w:sz w:val="19"/>
          <w:szCs w:val="19"/>
        </w:rPr>
        <w:t xml:space="preserve">While finalising the level of non-Plan revenue expenditure, we have not made any exclusive allocation for upgradation of such administrative services as Training, Jails, Judiciary, Police and Revenue Administration. We do realise the essentiality of these services and the need for their improvement and upgradation. We have, however, not recommended any specific grants-in-aid for such upgradation, because the need for upgrading these services in States where they are below average level has been taken care of in the norms which we have adopted. Our experience is that these sectors are generally starved of funds in a zeal to conserve resources for the Plan. It is desirable, no doubt, to make economy in non-Plan expenditure and to make resources available for financing a larger Plan. We feel, however, that it would not be advisable to do so at the cost of the efficiency of the basic administrative services. The requirements of these services should be met in adequate measure. We, therefore, suggest that a </w:t>
      </w:r>
      <w:proofErr w:type="gramStart"/>
      <w:r w:rsidRPr="00673C11">
        <w:rPr>
          <w:sz w:val="19"/>
          <w:szCs w:val="19"/>
        </w:rPr>
        <w:t>Committee</w:t>
      </w:r>
      <w:proofErr w:type="gramEnd"/>
      <w:r w:rsidRPr="00673C11">
        <w:rPr>
          <w:sz w:val="19"/>
          <w:szCs w:val="19"/>
        </w:rPr>
        <w:t xml:space="preserve"> may be constituted in each State under the Chairmanship of the Chief Secretary to ensure that the legitimate requirements of these basic services are adequately met.</w:t>
      </w:r>
    </w:p>
    <w:p w14:paraId="4CD16550"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Category (III)</w:t>
      </w:r>
    </w:p>
    <w:p w14:paraId="18288668" w14:textId="4361894D" w:rsidR="00990109" w:rsidRPr="00673C11" w:rsidRDefault="00990109" w:rsidP="00673C11">
      <w:pPr>
        <w:pStyle w:val="Heading3"/>
        <w:spacing w:after="0" w:line="200" w:lineRule="exact"/>
        <w:rPr>
          <w:sz w:val="19"/>
          <w:szCs w:val="19"/>
        </w:rPr>
      </w:pPr>
      <w:r w:rsidRPr="00673C11">
        <w:rPr>
          <w:sz w:val="19"/>
          <w:szCs w:val="19"/>
        </w:rPr>
        <w:t>The notable items of expenditure which fall in this category are elections, pensions and retirement benefits and social security and welfare.</w:t>
      </w:r>
    </w:p>
    <w:p w14:paraId="65B8FD2D"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Elections</w:t>
      </w:r>
    </w:p>
    <w:p w14:paraId="04D58670" w14:textId="5C5E2BEF" w:rsidR="00990109" w:rsidRPr="00673C11" w:rsidRDefault="00990109" w:rsidP="00673C11">
      <w:pPr>
        <w:pStyle w:val="Heading3"/>
        <w:spacing w:after="0" w:line="200" w:lineRule="exact"/>
        <w:rPr>
          <w:sz w:val="19"/>
          <w:szCs w:val="19"/>
        </w:rPr>
      </w:pPr>
      <w:r w:rsidRPr="00673C11">
        <w:rPr>
          <w:sz w:val="19"/>
          <w:szCs w:val="19"/>
        </w:rPr>
        <w:t>Provision has been made for expenditure on regular election machinery. We have also provided fully for the conduct of State assembly elections wherever it will become due during the report period. This has been done on the basis of the information obtained from the Office of the Election Commission. Full allowance has been made to accommodate the additional cost arising from the enlargement of the electorate following the recent lowering of the voting age.</w:t>
      </w:r>
    </w:p>
    <w:p w14:paraId="0E93170F"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Pension and Retirement Benefits</w:t>
      </w:r>
    </w:p>
    <w:p w14:paraId="3BE85FE9" w14:textId="4F13C217" w:rsidR="00990109" w:rsidRPr="00673C11" w:rsidRDefault="00990109" w:rsidP="00673C11">
      <w:pPr>
        <w:pStyle w:val="Heading3"/>
        <w:spacing w:after="0" w:line="200" w:lineRule="exact"/>
        <w:rPr>
          <w:sz w:val="19"/>
          <w:szCs w:val="19"/>
        </w:rPr>
      </w:pPr>
      <w:r w:rsidRPr="00673C11">
        <w:rPr>
          <w:sz w:val="19"/>
          <w:szCs w:val="19"/>
        </w:rPr>
        <w:t>In the case of pensions, no data are available about the number of pensioners in different pension ranges. Most of the States have already revised their scales of pay and the impact of the revision on pension and other retirement benefits would be reflected in the pension figures in the budget estimates for 1989-90. We have, therefore, projected the provisions in the budget estimates for 1989-90 by applying a growth rate of 7 per cent to work out the estimates for each year of the report period. The impact on account of revision of pay scales subsequent to the presentation of the budget has also been taken care of.</w:t>
      </w:r>
    </w:p>
    <w:p w14:paraId="5CB42FBB"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Social Security and Welfare</w:t>
      </w:r>
    </w:p>
    <w:p w14:paraId="0797FAB8" w14:textId="60E41EC8" w:rsidR="00990109" w:rsidRPr="00673C11" w:rsidRDefault="00990109" w:rsidP="00673C11">
      <w:pPr>
        <w:pStyle w:val="Heading3"/>
        <w:spacing w:after="0" w:line="200" w:lineRule="exact"/>
        <w:rPr>
          <w:sz w:val="19"/>
          <w:szCs w:val="19"/>
        </w:rPr>
      </w:pPr>
      <w:r w:rsidRPr="00673C11">
        <w:rPr>
          <w:sz w:val="19"/>
          <w:szCs w:val="19"/>
        </w:rPr>
        <w:t>Provision for old-age pension has been made by allowing a pension of Rs.100/- per month to 0.2 per cent of the population of each State as per the 1981 Census. In the case of Special Nutrition Programme and food subsidy in States like Andhra Pradesh, Gujarat, Kerala and Tamil Nadu, the expenditure as provided in budget estimates for 1989-90 has been adopted as the base and projected at the rate of 7 per cent per annum. The expenditures on other programmes have been worked out by taking the actuals of 1986-87 and projecting the same at the annual rate of 10 per cent till 1989-90 and 7 per cent over the subsequent period of our Report.</w:t>
      </w:r>
    </w:p>
    <w:p w14:paraId="6C7A19E4"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Other Expenditures</w:t>
      </w:r>
    </w:p>
    <w:p w14:paraId="234030BF" w14:textId="6242AB7B" w:rsidR="00990109" w:rsidRPr="00673C11" w:rsidRDefault="00990109" w:rsidP="00673C11">
      <w:pPr>
        <w:pStyle w:val="Heading3"/>
        <w:spacing w:after="0" w:line="200" w:lineRule="exact"/>
        <w:rPr>
          <w:sz w:val="19"/>
          <w:szCs w:val="19"/>
        </w:rPr>
      </w:pPr>
      <w:r w:rsidRPr="00673C11">
        <w:rPr>
          <w:sz w:val="19"/>
          <w:szCs w:val="19"/>
        </w:rPr>
        <w:t>Some of the north-eastern States represented to us that for want of funds they had not been able to build accommodation for housing their capital. They requested us to consider giving grants for construction of secretariat, high court building, government residential buildings and similar other facilities. We urge the Government of India to consider the entire matter and provide appropriate assistance.</w:t>
      </w:r>
    </w:p>
    <w:p w14:paraId="2C833C6F" w14:textId="28145068" w:rsidR="00990109" w:rsidRPr="00673C11" w:rsidRDefault="00990109" w:rsidP="00673C11">
      <w:pPr>
        <w:pStyle w:val="Heading3"/>
        <w:spacing w:after="0" w:line="200" w:lineRule="exact"/>
        <w:rPr>
          <w:sz w:val="19"/>
          <w:szCs w:val="19"/>
        </w:rPr>
      </w:pPr>
      <w:r w:rsidRPr="00673C11">
        <w:rPr>
          <w:sz w:val="19"/>
          <w:szCs w:val="19"/>
        </w:rPr>
        <w:t xml:space="preserve">To commemorate the memory of the entry of the INA and Netaji Subash Chandra Bose on the Indian soil, the citizens of </w:t>
      </w:r>
      <w:proofErr w:type="spellStart"/>
      <w:r w:rsidRPr="00673C11">
        <w:rPr>
          <w:sz w:val="19"/>
          <w:szCs w:val="19"/>
        </w:rPr>
        <w:t>Moirang</w:t>
      </w:r>
      <w:proofErr w:type="spellEnd"/>
      <w:r w:rsidRPr="00673C11">
        <w:rPr>
          <w:sz w:val="19"/>
          <w:szCs w:val="19"/>
        </w:rPr>
        <w:t xml:space="preserve"> (Manipur) erected a memorial in 1956. The memorial consists of a modest museum-cum-library, a life size statue of Netaji and a pillar in honour of Indian National Army. This memorial is managed by the Government of Manipur. The Commission feels that this national heritage needs to be conserved, improved and fostered as befitting the memory of Netaji and INA. The Commission would suggest that the Government of India undertake the expenditure in this regard which may amount to Rs. 10 </w:t>
      </w:r>
      <w:proofErr w:type="gramStart"/>
      <w:r w:rsidRPr="00673C11">
        <w:rPr>
          <w:sz w:val="19"/>
          <w:szCs w:val="19"/>
        </w:rPr>
        <w:t>crore</w:t>
      </w:r>
      <w:proofErr w:type="gramEnd"/>
      <w:r w:rsidRPr="00673C11">
        <w:rPr>
          <w:sz w:val="19"/>
          <w:szCs w:val="19"/>
        </w:rPr>
        <w:t xml:space="preserve">. We are confident that our assessment of non-Plan revenue expenditure of the Centre can easily accommodate a provision of Rs. 10 </w:t>
      </w:r>
      <w:proofErr w:type="gramStart"/>
      <w:r w:rsidRPr="00673C11">
        <w:rPr>
          <w:sz w:val="19"/>
          <w:szCs w:val="19"/>
        </w:rPr>
        <w:t>crore</w:t>
      </w:r>
      <w:proofErr w:type="gramEnd"/>
      <w:r w:rsidRPr="00673C11">
        <w:rPr>
          <w:sz w:val="19"/>
          <w:szCs w:val="19"/>
        </w:rPr>
        <w:t xml:space="preserve"> in this regard.</w:t>
      </w:r>
    </w:p>
    <w:p w14:paraId="41B23DE6" w14:textId="524A38EE" w:rsidR="00990109" w:rsidRPr="00673C11" w:rsidRDefault="00990109" w:rsidP="00673C11">
      <w:pPr>
        <w:pStyle w:val="Heading3"/>
        <w:spacing w:after="0" w:line="200" w:lineRule="exact"/>
        <w:rPr>
          <w:sz w:val="19"/>
          <w:szCs w:val="19"/>
        </w:rPr>
      </w:pPr>
      <w:r w:rsidRPr="00673C11">
        <w:rPr>
          <w:sz w:val="19"/>
          <w:szCs w:val="19"/>
        </w:rPr>
        <w:t xml:space="preserve"> It was represented to us by the Government of Manipur inter alia that a time bound comprehensive and integrated project be taken up to solve the problem of jhoom cultivation. The estimate given to us for undertaking this programme was Rs. 45 </w:t>
      </w:r>
      <w:proofErr w:type="gramStart"/>
      <w:r w:rsidRPr="00673C11">
        <w:rPr>
          <w:sz w:val="19"/>
          <w:szCs w:val="19"/>
        </w:rPr>
        <w:t>crore</w:t>
      </w:r>
      <w:proofErr w:type="gramEnd"/>
      <w:r w:rsidRPr="00673C11">
        <w:rPr>
          <w:sz w:val="19"/>
          <w:szCs w:val="19"/>
        </w:rPr>
        <w:t xml:space="preserve"> at the rate of Rs. 28,000 per family. This problem, in fact, is not peculiar to Manipur alone as it obtains in all the north-eastern States. We understand that schemes to tackle this problem are being taken up as part of the Plan exercise. In view of the imperative necessity to meet this problem, we expect that Planning Commission and the State Governments together would draw up and implement a comprehensive Plan.</w:t>
      </w:r>
    </w:p>
    <w:p w14:paraId="6DFD8225" w14:textId="7431D807" w:rsidR="00990109" w:rsidRPr="00673C11" w:rsidRDefault="00990109" w:rsidP="00673C11">
      <w:pPr>
        <w:pStyle w:val="Heading3"/>
        <w:spacing w:after="0" w:line="200" w:lineRule="exact"/>
        <w:rPr>
          <w:sz w:val="19"/>
          <w:szCs w:val="19"/>
        </w:rPr>
      </w:pPr>
      <w:r w:rsidRPr="00673C11">
        <w:rPr>
          <w:sz w:val="19"/>
          <w:szCs w:val="19"/>
        </w:rPr>
        <w:t>The Government of Sikkim approached us with a proposal for assistance for construction of an airstrip, which, according to them, was vital for the State in view of its strategic location, difficult terrain and frequent landslides disrupting communication link with the rest of the country. We are convinced of the justness of the State Government's demand. While proceeding to Gangtok, we ourselves got stranded because of a massive landslide on the way. We would strongly urge the Government of India to take up the construction of an airstrip in the State.</w:t>
      </w:r>
    </w:p>
    <w:p w14:paraId="3176C904" w14:textId="77777777" w:rsidR="00990109" w:rsidRPr="00673C11" w:rsidRDefault="00990109" w:rsidP="00673C11">
      <w:pPr>
        <w:spacing w:after="0" w:line="200" w:lineRule="exact"/>
        <w:jc w:val="center"/>
        <w:rPr>
          <w:rFonts w:ascii="Times New Roman" w:hAnsi="Times New Roman" w:cs="Times New Roman"/>
          <w:b/>
          <w:bCs/>
          <w:sz w:val="19"/>
          <w:szCs w:val="19"/>
        </w:rPr>
      </w:pPr>
      <w:r w:rsidRPr="00673C11">
        <w:rPr>
          <w:rFonts w:ascii="Times New Roman" w:hAnsi="Times New Roman" w:cs="Times New Roman"/>
          <w:b/>
          <w:bCs/>
          <w:sz w:val="19"/>
          <w:szCs w:val="19"/>
        </w:rPr>
        <w:t>Committee Liability</w:t>
      </w:r>
    </w:p>
    <w:p w14:paraId="350A76CB" w14:textId="06CEE416" w:rsidR="00990109" w:rsidRPr="00673C11" w:rsidRDefault="00990109" w:rsidP="00673C11">
      <w:pPr>
        <w:pStyle w:val="Heading3"/>
        <w:spacing w:after="0" w:line="200" w:lineRule="exact"/>
        <w:rPr>
          <w:sz w:val="19"/>
          <w:szCs w:val="19"/>
        </w:rPr>
      </w:pPr>
      <w:r w:rsidRPr="00673C11">
        <w:rPr>
          <w:sz w:val="19"/>
          <w:szCs w:val="19"/>
        </w:rPr>
        <w:t xml:space="preserve">In the assessment of non-Plan revenue expenditure of States, we have provided for committed liability of the Seventh Plan Schemes. This departure from the practice adopted so far is intended to correct what we consider to be an unsatisfactory way of providing for this liability. As repeatedly stated by the previous Finance Commissions, it is extremely difficult to correctly estimate the committed liability. </w:t>
      </w:r>
      <w:proofErr w:type="gramStart"/>
      <w:r w:rsidRPr="00673C11">
        <w:rPr>
          <w:sz w:val="19"/>
          <w:szCs w:val="19"/>
        </w:rPr>
        <w:t>So</w:t>
      </w:r>
      <w:proofErr w:type="gramEnd"/>
      <w:r w:rsidRPr="00673C11">
        <w:rPr>
          <w:sz w:val="19"/>
          <w:szCs w:val="19"/>
        </w:rPr>
        <w:t xml:space="preserve"> the previous Commissions adopted an overall percentage of the revenue expenditure of the base year State Plan as a reasonable estimate of committed liability. As those Commissions dealt only with non-Plan revenue account, they had to assess the committed liability in some manner and they followed a method reasonable and feasible in that situation. However, the Ninth Commission is in a better position in the sense that our terms of reference imply assessment of the entire revenue account including Plan expenditure. Therefore, we have examined whether there is a better way to tackle the issue of committed liability. The result of our analysis in this regard is the finding that to deal with committed liability in an isolated manner without a linkage to new revenue expenditure can be misleading. What is worse is that such an exercise could lead to wasteful expenditure. A substantial part of the Plan revenue expenditure is on staff and allied items. The expenditure in the last year of a Plan is the cumulative expenditure built up over the five years of that Plan. If all that staff and allied expenditure are transferred to non-Plan </w:t>
      </w:r>
      <w:r w:rsidRPr="00673C11">
        <w:rPr>
          <w:sz w:val="19"/>
          <w:szCs w:val="19"/>
        </w:rPr>
        <w:lastRenderedPageBreak/>
        <w:t xml:space="preserve">side when the new Plan starts, the expenditure for the same item (many of such schemes continue from Plan to Plan with or without some alterations) should, in the first year, be substantially less than that of the final year of the previous Plan. But in actual practice, in most cases, the first year's Plan is higher than the Plan outlay of the previous year and each Union Ministry or State Government Department insists on getting a corresponding increase in their share of that outlay also. In any case, the system in its totality does not </w:t>
      </w:r>
      <w:r w:rsidR="00B244B1" w:rsidRPr="00673C11">
        <w:rPr>
          <w:sz w:val="19"/>
          <w:szCs w:val="19"/>
        </w:rPr>
        <w:t>have</w:t>
      </w:r>
      <w:r w:rsidRPr="00673C11">
        <w:rPr>
          <w:sz w:val="19"/>
          <w:szCs w:val="19"/>
        </w:rPr>
        <w:t xml:space="preserve"> the resources to transfer a substantial part of the revenue expenditure of the terminal year of a Plan to the non-Plan side and provide, in addition, a higher amount for the revenue expenditure of the first year of the new Plan. This is particularly true of programmes under Education, Family Welfare, Extension Schemes in Agriculture, etc.</w:t>
      </w:r>
    </w:p>
    <w:p w14:paraId="6D7C2981" w14:textId="5EFA5C91" w:rsidR="00990109" w:rsidRPr="00673C11" w:rsidRDefault="00990109" w:rsidP="00673C11">
      <w:pPr>
        <w:pStyle w:val="Heading3"/>
        <w:spacing w:after="0" w:line="200" w:lineRule="exact"/>
        <w:rPr>
          <w:sz w:val="19"/>
          <w:szCs w:val="19"/>
        </w:rPr>
      </w:pPr>
      <w:r w:rsidRPr="00673C11">
        <w:rPr>
          <w:sz w:val="19"/>
          <w:szCs w:val="19"/>
        </w:rPr>
        <w:t>From this analysis, we have come to the view that what is required is to provide funds for normal gradual increase in the revenue expenditure of the last year of a Plan into the next Plan as a whole. How much of that provision should be actually transferred to non-Plan and how much should be retained as part of Plan should be decided by the States and Centre (for Central Plan) in consultation with the Planning Commission. This should be based on a close scrutiny of the schemes with substantial revenue expenditure component and not on the basis of a rough overall percentage. In a fiscal exercise like ours, that type of detailed analysis is not possible nor is it necessary provided we ensure adequate provision for total revenue expenditure.</w:t>
      </w:r>
    </w:p>
    <w:p w14:paraId="4F5118F2" w14:textId="3FE8B5D0" w:rsidR="00990109" w:rsidRPr="00673C11" w:rsidRDefault="00990109" w:rsidP="00673C11">
      <w:pPr>
        <w:pStyle w:val="Heading3"/>
        <w:spacing w:after="0" w:line="200" w:lineRule="exact"/>
        <w:rPr>
          <w:sz w:val="19"/>
          <w:szCs w:val="19"/>
        </w:rPr>
      </w:pPr>
      <w:r w:rsidRPr="00673C11">
        <w:rPr>
          <w:sz w:val="19"/>
          <w:szCs w:val="19"/>
        </w:rPr>
        <w:t>Consistent with this perception, we have not provided separately for committed liability, but we are providing (as explained in Chapter VII) for reasonable growth in Plan expenditure of both the States and Centre, by corresponding outlays, from the first year of the Eighth Plan onwards.</w:t>
      </w:r>
    </w:p>
    <w:p w14:paraId="7536E915" w14:textId="105A77D2" w:rsidR="00990109" w:rsidRPr="00673C11" w:rsidRDefault="00990109" w:rsidP="00673C11">
      <w:pPr>
        <w:pStyle w:val="Heading3"/>
        <w:spacing w:after="0" w:line="200" w:lineRule="exact"/>
        <w:rPr>
          <w:sz w:val="19"/>
          <w:szCs w:val="19"/>
        </w:rPr>
      </w:pPr>
      <w:r w:rsidRPr="00673C11">
        <w:rPr>
          <w:sz w:val="19"/>
          <w:szCs w:val="19"/>
        </w:rPr>
        <w:t xml:space="preserve">Before we conclude this Chapter, we would like to mention that the Commission's Secretariat had prepared two alternative sets of exercises to project the tax revenues and non-Plan revenue expenditures over the period covered in our second report. The details of the first exercise are available in Appendices 4 and 5 of the report. A separate exercise was also done to estimate the tax revenues and the non-Plan expenditures of each State in the traditional manner. For this exercise, the data for the base year (1989-90) was firmed up by applying to the actuals of 1986-87, duly cleaned for non-recurring and abnormal items, the State-specific </w:t>
      </w:r>
      <w:proofErr w:type="gramStart"/>
      <w:r w:rsidRPr="00673C11">
        <w:rPr>
          <w:sz w:val="19"/>
          <w:szCs w:val="19"/>
        </w:rPr>
        <w:t>long term</w:t>
      </w:r>
      <w:proofErr w:type="gramEnd"/>
      <w:r w:rsidRPr="00673C11">
        <w:rPr>
          <w:sz w:val="19"/>
          <w:szCs w:val="19"/>
        </w:rPr>
        <w:t xml:space="preserve"> rates of growth and keeping fully in view the budget and the latest estimates for the year 1989-90 as received from the States. The latest developments which came to our notice following our meeting with the State Governments were also taken into consideration in finalising the base for 1989-90. The projection for the five-year period of our report was worked out by giving the tax revenues (excepting Land Revenue) in the base year (1989-90) an annual growth rate of 11.5 per cent. The non-Plan revenue expenditure of the base year was stepped up by projecting it at an annual rate of 7 per cent, except in the case of Compensation and Assignment to local Bodies which was increased by 9 per cent. The final figures of receipts and expenditure resulting from both the sets of exercises for each State are set out in Annexure III: 18.</w:t>
      </w:r>
    </w:p>
    <w:p w14:paraId="5698BD6B" w14:textId="07C5E825" w:rsidR="00990109" w:rsidRPr="00673C11" w:rsidRDefault="00990109" w:rsidP="00673C11">
      <w:pPr>
        <w:pStyle w:val="Heading3"/>
        <w:spacing w:after="0" w:line="200" w:lineRule="exact"/>
        <w:rPr>
          <w:sz w:val="19"/>
          <w:szCs w:val="19"/>
        </w:rPr>
      </w:pPr>
      <w:r w:rsidRPr="00673C11">
        <w:rPr>
          <w:sz w:val="19"/>
          <w:szCs w:val="19"/>
        </w:rPr>
        <w:t>The approaches detailed in Appendices 4 and 5 has been attempted by the Finance Commission for the first time. The inherent logic of this approach is inescapable. Finance Commissions in the future may bring about further sophistication and refinement in this exercise. As this exercise is unique and is being attempted for the first time by the Finance Commission, we have made certain adjustments in the final estimate resulting from this exercise. It would be seen that the estimate flowing from this exercise either show higher surpluses or lower deficit than those resulting from the alternative more traditional exercise in the case of 10 of the 14 major States, excluding Madhya Pradesh, Orissa, Rajasthan and Uttar Pradesh. These differences arise because of deviations at the trends from the norms adopted by us. As a matter of abundant caution and as a measure of concession to the States, we have reduced by 50 per cent the net improvement in the budget position shown by the normative exercise (Annexure III.19).</w:t>
      </w:r>
    </w:p>
    <w:p w14:paraId="3CA79633" w14:textId="427CB990" w:rsidR="00990109" w:rsidRPr="00673C11" w:rsidRDefault="00990109" w:rsidP="00673C11">
      <w:pPr>
        <w:pStyle w:val="Heading3"/>
        <w:spacing w:after="0" w:line="200" w:lineRule="exact"/>
        <w:rPr>
          <w:sz w:val="19"/>
          <w:szCs w:val="19"/>
        </w:rPr>
      </w:pPr>
      <w:r w:rsidRPr="00673C11">
        <w:rPr>
          <w:sz w:val="19"/>
          <w:szCs w:val="19"/>
        </w:rPr>
        <w:t xml:space="preserve">Shri Justice A.S. </w:t>
      </w:r>
      <w:proofErr w:type="spellStart"/>
      <w:r w:rsidRPr="00673C11">
        <w:rPr>
          <w:sz w:val="19"/>
          <w:szCs w:val="19"/>
        </w:rPr>
        <w:t>Qureeshi</w:t>
      </w:r>
      <w:proofErr w:type="spellEnd"/>
      <w:r w:rsidRPr="00673C11">
        <w:rPr>
          <w:sz w:val="19"/>
          <w:szCs w:val="19"/>
        </w:rPr>
        <w:t xml:space="preserve"> is of the view that the methodology adopted for applying the normative approach is not</w:t>
      </w:r>
      <w:r w:rsidR="00B244B1" w:rsidRPr="00673C11">
        <w:rPr>
          <w:sz w:val="19"/>
          <w:szCs w:val="19"/>
        </w:rPr>
        <w:t xml:space="preserve"> satisfactory he as explained his view in the note of dissent.</w:t>
      </w:r>
    </w:p>
    <w:p w14:paraId="043A04B0" w14:textId="38976BA1" w:rsidR="00990109" w:rsidRPr="00673C11" w:rsidRDefault="00990109" w:rsidP="00673C11">
      <w:pPr>
        <w:pStyle w:val="Heading3"/>
        <w:numPr>
          <w:ilvl w:val="0"/>
          <w:numId w:val="0"/>
        </w:numPr>
        <w:spacing w:after="0" w:line="200" w:lineRule="exact"/>
        <w:rPr>
          <w:sz w:val="19"/>
          <w:szCs w:val="19"/>
        </w:rPr>
      </w:pPr>
    </w:p>
    <w:p w14:paraId="10095FF2" w14:textId="0F220631" w:rsidR="00990109" w:rsidRPr="00A12082" w:rsidRDefault="000142D5" w:rsidP="00A12082">
      <w:pPr>
        <w:pStyle w:val="Heading1"/>
        <w:ind w:left="0" w:firstLine="0"/>
        <w:rPr>
          <w:sz w:val="24"/>
          <w:szCs w:val="24"/>
        </w:rPr>
      </w:pPr>
      <w:r w:rsidRPr="00AA6AF4">
        <w:br w:type="page"/>
      </w:r>
      <w:r w:rsidR="00A12082" w:rsidRPr="00A12082">
        <w:rPr>
          <w:sz w:val="24"/>
          <w:szCs w:val="24"/>
        </w:rPr>
        <w:lastRenderedPageBreak/>
        <w:br/>
      </w:r>
      <w:bookmarkStart w:id="8" w:name="_Toc222399452"/>
      <w:r w:rsidR="00A12082" w:rsidRPr="00A12082">
        <w:rPr>
          <w:sz w:val="24"/>
          <w:szCs w:val="24"/>
        </w:rPr>
        <w:t>REASSESSMENT OF THE FORECAST OF THE CENTRAL GOVERNMENT</w:t>
      </w:r>
      <w:bookmarkEnd w:id="8"/>
      <w:r w:rsidR="006A026C" w:rsidRPr="00A12082">
        <w:rPr>
          <w:sz w:val="24"/>
          <w:szCs w:val="24"/>
        </w:rPr>
        <w:br/>
      </w:r>
    </w:p>
    <w:p w14:paraId="52B28B66" w14:textId="50BFD148" w:rsidR="00990109" w:rsidRPr="00CE48A1" w:rsidRDefault="00990109" w:rsidP="006A026C">
      <w:pPr>
        <w:pStyle w:val="Heading3"/>
        <w:rPr>
          <w:sz w:val="19"/>
          <w:szCs w:val="19"/>
        </w:rPr>
      </w:pPr>
      <w:r w:rsidRPr="00CE48A1">
        <w:rPr>
          <w:sz w:val="19"/>
          <w:szCs w:val="19"/>
        </w:rPr>
        <w:t>According to our terms of reference, we have to adopt a normative approach in assessing the receipts and expenditure on revenue account of the Centre and in doing so, keep in view its special requirements such as defence, security, debt servicing and other committed expenditure or liabilities. In making our recommendations we are required to keep in view the objective of not only balancing the revenue receipts and expenditure but also generating surpluses for capital investment.</w:t>
      </w:r>
    </w:p>
    <w:p w14:paraId="269AA2A5" w14:textId="2C49121C" w:rsidR="00990109" w:rsidRPr="00CE48A1" w:rsidRDefault="00990109" w:rsidP="00775B19">
      <w:pPr>
        <w:pStyle w:val="Heading3"/>
        <w:rPr>
          <w:sz w:val="19"/>
          <w:szCs w:val="19"/>
        </w:rPr>
      </w:pPr>
      <w:r w:rsidRPr="00CE48A1">
        <w:rPr>
          <w:sz w:val="19"/>
          <w:szCs w:val="19"/>
        </w:rPr>
        <w:t xml:space="preserve">We had requested the Ministry of Finance to furnish the forecast of receipts and expenditure of the Centre under the revenue account for 1990-95. The forecast sent to us assumed 1989-90 rates of taxation, tariffs, prices, emoluments and an increase of 6 per cent in GDP during 1990-95. As we thought that it would be appropriate to reassess the revenue receipts and expenditure at current rates and </w:t>
      </w:r>
      <w:proofErr w:type="gramStart"/>
      <w:r w:rsidRPr="00CE48A1">
        <w:rPr>
          <w:sz w:val="19"/>
          <w:szCs w:val="19"/>
        </w:rPr>
        <w:t>prices</w:t>
      </w:r>
      <w:proofErr w:type="gramEnd"/>
      <w:r w:rsidRPr="00CE48A1">
        <w:rPr>
          <w:sz w:val="19"/>
          <w:szCs w:val="19"/>
        </w:rPr>
        <w:t xml:space="preserve"> we sought from the Ministry a revised forecast assuming 6 per cent annual growth in GDP and 5 per cent rise in prices. Based on the revised forecast, we also held discussions with the officials of the Ministry of Finance.</w:t>
      </w:r>
    </w:p>
    <w:p w14:paraId="4DA89EBF" w14:textId="5889A6FF" w:rsidR="00775B19" w:rsidRPr="00CE48A1" w:rsidRDefault="00990109" w:rsidP="00775B19">
      <w:pPr>
        <w:pStyle w:val="Heading3"/>
        <w:rPr>
          <w:sz w:val="19"/>
          <w:szCs w:val="19"/>
        </w:rPr>
      </w:pPr>
      <w:r w:rsidRPr="00CE48A1">
        <w:rPr>
          <w:sz w:val="19"/>
          <w:szCs w:val="19"/>
        </w:rPr>
        <w:t>The forecast received from the Ministry of Finance is summarised below:</w:t>
      </w:r>
    </w:p>
    <w:p w14:paraId="0D6B5653" w14:textId="79019B1D" w:rsidR="000142D5" w:rsidRPr="00CE48A1" w:rsidRDefault="000142D5" w:rsidP="00CE48A1">
      <w:pPr>
        <w:pStyle w:val="Heading3"/>
        <w:numPr>
          <w:ilvl w:val="0"/>
          <w:numId w:val="0"/>
        </w:numPr>
        <w:ind w:left="5313" w:firstLine="447"/>
        <w:jc w:val="center"/>
        <w:rPr>
          <w:sz w:val="19"/>
          <w:szCs w:val="19"/>
        </w:rPr>
      </w:pPr>
      <w:r w:rsidRPr="00CE48A1">
        <w:rPr>
          <w:i/>
          <w:iCs/>
          <w:sz w:val="19"/>
          <w:szCs w:val="19"/>
        </w:rPr>
        <w:t>(Rs. Crore)</w:t>
      </w:r>
    </w:p>
    <w:tbl>
      <w:tblPr>
        <w:tblStyle w:val="TableGrid"/>
        <w:tblW w:w="7225" w:type="dxa"/>
        <w:jc w:val="center"/>
        <w:tblLook w:val="04A0" w:firstRow="1" w:lastRow="0" w:firstColumn="1" w:lastColumn="0" w:noHBand="0" w:noVBand="1"/>
      </w:tblPr>
      <w:tblGrid>
        <w:gridCol w:w="3256"/>
        <w:gridCol w:w="1842"/>
        <w:gridCol w:w="2127"/>
      </w:tblGrid>
      <w:tr w:rsidR="000142D5" w:rsidRPr="00CE48A1" w14:paraId="2C0C9F13" w14:textId="77777777" w:rsidTr="00CE48A1">
        <w:trPr>
          <w:trHeight w:val="20"/>
          <w:jc w:val="center"/>
        </w:trPr>
        <w:tc>
          <w:tcPr>
            <w:tcW w:w="3256" w:type="dxa"/>
            <w:hideMark/>
          </w:tcPr>
          <w:p w14:paraId="605EDD94" w14:textId="77777777" w:rsidR="00990109" w:rsidRPr="00CE48A1" w:rsidRDefault="00990109" w:rsidP="000142D5">
            <w:pPr>
              <w:pStyle w:val="NoSpacing"/>
              <w:rPr>
                <w:rFonts w:ascii="Times New Roman" w:hAnsi="Times New Roman" w:cs="Times New Roman"/>
                <w:b/>
                <w:bCs/>
                <w:sz w:val="19"/>
                <w:szCs w:val="19"/>
              </w:rPr>
            </w:pPr>
            <w:r w:rsidRPr="00CE48A1">
              <w:rPr>
                <w:rFonts w:ascii="Times New Roman" w:hAnsi="Times New Roman" w:cs="Times New Roman"/>
                <w:b/>
                <w:bCs/>
                <w:sz w:val="19"/>
                <w:szCs w:val="19"/>
              </w:rPr>
              <w:t>Item</w:t>
            </w:r>
          </w:p>
        </w:tc>
        <w:tc>
          <w:tcPr>
            <w:tcW w:w="1842" w:type="dxa"/>
          </w:tcPr>
          <w:p w14:paraId="32676F1A" w14:textId="0069055F" w:rsidR="00990109" w:rsidRPr="00CE48A1" w:rsidRDefault="00990109" w:rsidP="000142D5">
            <w:pPr>
              <w:pStyle w:val="NoSpacing"/>
              <w:rPr>
                <w:rFonts w:ascii="Times New Roman" w:hAnsi="Times New Roman" w:cs="Times New Roman"/>
                <w:sz w:val="19"/>
                <w:szCs w:val="19"/>
              </w:rPr>
            </w:pPr>
          </w:p>
        </w:tc>
        <w:tc>
          <w:tcPr>
            <w:tcW w:w="2127" w:type="dxa"/>
          </w:tcPr>
          <w:p w14:paraId="451E0758" w14:textId="65476E8D" w:rsidR="00990109" w:rsidRPr="00CE48A1" w:rsidRDefault="00990109" w:rsidP="000142D5">
            <w:pPr>
              <w:pStyle w:val="NoSpacing"/>
              <w:rPr>
                <w:rFonts w:ascii="Times New Roman" w:hAnsi="Times New Roman" w:cs="Times New Roman"/>
                <w:sz w:val="19"/>
                <w:szCs w:val="19"/>
              </w:rPr>
            </w:pPr>
          </w:p>
        </w:tc>
      </w:tr>
      <w:tr w:rsidR="000142D5" w:rsidRPr="00CE48A1" w14:paraId="1BF215FD" w14:textId="77777777" w:rsidTr="00CE48A1">
        <w:trPr>
          <w:trHeight w:val="20"/>
          <w:jc w:val="center"/>
        </w:trPr>
        <w:tc>
          <w:tcPr>
            <w:tcW w:w="3256" w:type="dxa"/>
            <w:hideMark/>
          </w:tcPr>
          <w:p w14:paraId="7B3F6926"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 xml:space="preserve">I. </w:t>
            </w:r>
            <w:r w:rsidRPr="00CE48A1">
              <w:rPr>
                <w:rFonts w:ascii="Times New Roman" w:hAnsi="Times New Roman" w:cs="Times New Roman"/>
                <w:b/>
                <w:bCs/>
                <w:sz w:val="19"/>
                <w:szCs w:val="19"/>
              </w:rPr>
              <w:t>Revenue Receipts</w:t>
            </w:r>
          </w:p>
        </w:tc>
        <w:tc>
          <w:tcPr>
            <w:tcW w:w="1842" w:type="dxa"/>
            <w:hideMark/>
          </w:tcPr>
          <w:p w14:paraId="4AB1E16C" w14:textId="2D6B1BFB"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1989-90(BE)</w:t>
            </w:r>
          </w:p>
        </w:tc>
        <w:tc>
          <w:tcPr>
            <w:tcW w:w="2127" w:type="dxa"/>
            <w:hideMark/>
          </w:tcPr>
          <w:p w14:paraId="2521C793" w14:textId="5AD208D3"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1990-95</w:t>
            </w:r>
          </w:p>
        </w:tc>
      </w:tr>
      <w:tr w:rsidR="000142D5" w:rsidRPr="00CE48A1" w14:paraId="26FD82BA" w14:textId="77777777" w:rsidTr="00CE48A1">
        <w:trPr>
          <w:trHeight w:val="20"/>
          <w:jc w:val="center"/>
        </w:trPr>
        <w:tc>
          <w:tcPr>
            <w:tcW w:w="3256" w:type="dxa"/>
            <w:hideMark/>
          </w:tcPr>
          <w:p w14:paraId="31425E9B"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1. Tax Revenues</w:t>
            </w:r>
          </w:p>
        </w:tc>
        <w:tc>
          <w:tcPr>
            <w:tcW w:w="1842" w:type="dxa"/>
            <w:hideMark/>
          </w:tcPr>
          <w:p w14:paraId="5A343606"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50875</w:t>
            </w:r>
          </w:p>
        </w:tc>
        <w:tc>
          <w:tcPr>
            <w:tcW w:w="2127" w:type="dxa"/>
            <w:hideMark/>
          </w:tcPr>
          <w:p w14:paraId="20097C97"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337344</w:t>
            </w:r>
          </w:p>
        </w:tc>
      </w:tr>
      <w:tr w:rsidR="000142D5" w:rsidRPr="00CE48A1" w14:paraId="76744D75" w14:textId="77777777" w:rsidTr="00CE48A1">
        <w:trPr>
          <w:trHeight w:val="20"/>
          <w:jc w:val="center"/>
        </w:trPr>
        <w:tc>
          <w:tcPr>
            <w:tcW w:w="3256" w:type="dxa"/>
            <w:hideMark/>
          </w:tcPr>
          <w:p w14:paraId="668CD330"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2. Non-tax Revenues</w:t>
            </w:r>
          </w:p>
        </w:tc>
        <w:tc>
          <w:tcPr>
            <w:tcW w:w="1842" w:type="dxa"/>
            <w:hideMark/>
          </w:tcPr>
          <w:p w14:paraId="438ECC6D"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15831</w:t>
            </w:r>
          </w:p>
        </w:tc>
        <w:tc>
          <w:tcPr>
            <w:tcW w:w="2127" w:type="dxa"/>
            <w:hideMark/>
          </w:tcPr>
          <w:p w14:paraId="58455254"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84044</w:t>
            </w:r>
          </w:p>
        </w:tc>
      </w:tr>
      <w:tr w:rsidR="000142D5" w:rsidRPr="00CE48A1" w14:paraId="220F80FA" w14:textId="77777777" w:rsidTr="00CE48A1">
        <w:trPr>
          <w:trHeight w:val="20"/>
          <w:jc w:val="center"/>
        </w:trPr>
        <w:tc>
          <w:tcPr>
            <w:tcW w:w="3256" w:type="dxa"/>
            <w:hideMark/>
          </w:tcPr>
          <w:p w14:paraId="66CC85C0"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3. Total Revenue Receipts</w:t>
            </w:r>
          </w:p>
        </w:tc>
        <w:tc>
          <w:tcPr>
            <w:tcW w:w="1842" w:type="dxa"/>
            <w:hideMark/>
          </w:tcPr>
          <w:p w14:paraId="4F340784"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66706</w:t>
            </w:r>
          </w:p>
        </w:tc>
        <w:tc>
          <w:tcPr>
            <w:tcW w:w="2127" w:type="dxa"/>
            <w:hideMark/>
          </w:tcPr>
          <w:p w14:paraId="1A113AF5"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421388</w:t>
            </w:r>
          </w:p>
        </w:tc>
      </w:tr>
      <w:tr w:rsidR="000142D5" w:rsidRPr="00CE48A1" w14:paraId="0CA0E642" w14:textId="77777777" w:rsidTr="00CE48A1">
        <w:trPr>
          <w:trHeight w:val="20"/>
          <w:jc w:val="center"/>
        </w:trPr>
        <w:tc>
          <w:tcPr>
            <w:tcW w:w="3256" w:type="dxa"/>
            <w:hideMark/>
          </w:tcPr>
          <w:p w14:paraId="47D3C499"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 xml:space="preserve">II. </w:t>
            </w:r>
            <w:r w:rsidRPr="00CE48A1">
              <w:rPr>
                <w:rFonts w:ascii="Times New Roman" w:hAnsi="Times New Roman" w:cs="Times New Roman"/>
                <w:b/>
                <w:bCs/>
                <w:sz w:val="19"/>
                <w:szCs w:val="19"/>
              </w:rPr>
              <w:t>Non-Plan Revenue Expenditure</w:t>
            </w:r>
          </w:p>
        </w:tc>
        <w:tc>
          <w:tcPr>
            <w:tcW w:w="1842" w:type="dxa"/>
            <w:hideMark/>
          </w:tcPr>
          <w:p w14:paraId="2229E9E4" w14:textId="77777777" w:rsidR="000142D5" w:rsidRPr="00CE48A1" w:rsidRDefault="000142D5" w:rsidP="00775B19">
            <w:pPr>
              <w:pStyle w:val="NoSpacing"/>
              <w:jc w:val="center"/>
              <w:rPr>
                <w:rFonts w:ascii="Times New Roman" w:hAnsi="Times New Roman" w:cs="Times New Roman"/>
                <w:sz w:val="19"/>
                <w:szCs w:val="19"/>
              </w:rPr>
            </w:pPr>
          </w:p>
        </w:tc>
        <w:tc>
          <w:tcPr>
            <w:tcW w:w="2127" w:type="dxa"/>
            <w:hideMark/>
          </w:tcPr>
          <w:p w14:paraId="3CFE8E2B" w14:textId="77777777" w:rsidR="000142D5" w:rsidRPr="00CE48A1" w:rsidRDefault="000142D5" w:rsidP="00775B19">
            <w:pPr>
              <w:pStyle w:val="NoSpacing"/>
              <w:jc w:val="center"/>
              <w:rPr>
                <w:rFonts w:ascii="Times New Roman" w:hAnsi="Times New Roman" w:cs="Times New Roman"/>
                <w:sz w:val="19"/>
                <w:szCs w:val="19"/>
              </w:rPr>
            </w:pPr>
          </w:p>
        </w:tc>
      </w:tr>
      <w:tr w:rsidR="000142D5" w:rsidRPr="00CE48A1" w14:paraId="4C58B1A6" w14:textId="77777777" w:rsidTr="00CE48A1">
        <w:trPr>
          <w:trHeight w:val="20"/>
          <w:jc w:val="center"/>
        </w:trPr>
        <w:tc>
          <w:tcPr>
            <w:tcW w:w="3256" w:type="dxa"/>
            <w:hideMark/>
          </w:tcPr>
          <w:p w14:paraId="13AE3544"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1. Interest Payments</w:t>
            </w:r>
          </w:p>
        </w:tc>
        <w:tc>
          <w:tcPr>
            <w:tcW w:w="1842" w:type="dxa"/>
            <w:hideMark/>
          </w:tcPr>
          <w:p w14:paraId="1D3E2987"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17000</w:t>
            </w:r>
          </w:p>
        </w:tc>
        <w:tc>
          <w:tcPr>
            <w:tcW w:w="2127" w:type="dxa"/>
            <w:hideMark/>
          </w:tcPr>
          <w:p w14:paraId="74CBDFE1"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151255</w:t>
            </w:r>
          </w:p>
        </w:tc>
      </w:tr>
      <w:tr w:rsidR="000142D5" w:rsidRPr="00CE48A1" w14:paraId="63FFEE66" w14:textId="77777777" w:rsidTr="00CE48A1">
        <w:trPr>
          <w:trHeight w:val="20"/>
          <w:jc w:val="center"/>
        </w:trPr>
        <w:tc>
          <w:tcPr>
            <w:tcW w:w="3256" w:type="dxa"/>
            <w:hideMark/>
          </w:tcPr>
          <w:p w14:paraId="01A41157"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2. Major Subsidies</w:t>
            </w:r>
          </w:p>
        </w:tc>
        <w:tc>
          <w:tcPr>
            <w:tcW w:w="1842" w:type="dxa"/>
            <w:hideMark/>
          </w:tcPr>
          <w:p w14:paraId="0E39D687"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7472</w:t>
            </w:r>
          </w:p>
        </w:tc>
        <w:tc>
          <w:tcPr>
            <w:tcW w:w="2127" w:type="dxa"/>
            <w:hideMark/>
          </w:tcPr>
          <w:p w14:paraId="5BE7BB0E"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58433</w:t>
            </w:r>
          </w:p>
        </w:tc>
      </w:tr>
      <w:tr w:rsidR="000142D5" w:rsidRPr="00CE48A1" w14:paraId="323AE6E5" w14:textId="77777777" w:rsidTr="00CE48A1">
        <w:trPr>
          <w:trHeight w:val="20"/>
          <w:jc w:val="center"/>
        </w:trPr>
        <w:tc>
          <w:tcPr>
            <w:tcW w:w="3256" w:type="dxa"/>
            <w:hideMark/>
          </w:tcPr>
          <w:p w14:paraId="6C69AD32"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3. Other non-Plan Expenditure</w:t>
            </w:r>
          </w:p>
        </w:tc>
        <w:tc>
          <w:tcPr>
            <w:tcW w:w="1842" w:type="dxa"/>
            <w:hideMark/>
          </w:tcPr>
          <w:p w14:paraId="2D2657D1"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23070</w:t>
            </w:r>
          </w:p>
        </w:tc>
        <w:tc>
          <w:tcPr>
            <w:tcW w:w="2127" w:type="dxa"/>
            <w:hideMark/>
          </w:tcPr>
          <w:p w14:paraId="3303C21F"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165306</w:t>
            </w:r>
          </w:p>
        </w:tc>
      </w:tr>
      <w:tr w:rsidR="000142D5" w:rsidRPr="00CE48A1" w14:paraId="3246B456" w14:textId="77777777" w:rsidTr="00CE48A1">
        <w:trPr>
          <w:trHeight w:val="20"/>
          <w:jc w:val="center"/>
        </w:trPr>
        <w:tc>
          <w:tcPr>
            <w:tcW w:w="3256" w:type="dxa"/>
            <w:hideMark/>
          </w:tcPr>
          <w:p w14:paraId="18B8AB8C" w14:textId="77777777" w:rsidR="000142D5" w:rsidRPr="00CE48A1" w:rsidRDefault="000142D5" w:rsidP="000142D5">
            <w:pPr>
              <w:pStyle w:val="NoSpacing"/>
              <w:rPr>
                <w:rFonts w:ascii="Times New Roman" w:hAnsi="Times New Roman" w:cs="Times New Roman"/>
                <w:sz w:val="19"/>
                <w:szCs w:val="19"/>
              </w:rPr>
            </w:pPr>
            <w:r w:rsidRPr="00CE48A1">
              <w:rPr>
                <w:rFonts w:ascii="Times New Roman" w:hAnsi="Times New Roman" w:cs="Times New Roman"/>
                <w:sz w:val="19"/>
                <w:szCs w:val="19"/>
              </w:rPr>
              <w:t>4. Total non-Plan Expenditure</w:t>
            </w:r>
          </w:p>
        </w:tc>
        <w:tc>
          <w:tcPr>
            <w:tcW w:w="1842" w:type="dxa"/>
            <w:hideMark/>
          </w:tcPr>
          <w:p w14:paraId="7F99D0DA"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47542</w:t>
            </w:r>
          </w:p>
        </w:tc>
        <w:tc>
          <w:tcPr>
            <w:tcW w:w="2127" w:type="dxa"/>
            <w:hideMark/>
          </w:tcPr>
          <w:p w14:paraId="4AEE47D6" w14:textId="77777777" w:rsidR="000142D5" w:rsidRPr="00CE48A1" w:rsidRDefault="000142D5" w:rsidP="00775B19">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374994</w:t>
            </w:r>
          </w:p>
        </w:tc>
      </w:tr>
    </w:tbl>
    <w:p w14:paraId="4C835B54" w14:textId="77777777" w:rsidR="000142D5" w:rsidRPr="00CE48A1" w:rsidRDefault="000142D5" w:rsidP="00775B19">
      <w:pPr>
        <w:spacing w:after="0" w:line="240" w:lineRule="auto"/>
        <w:jc w:val="both"/>
        <w:rPr>
          <w:rFonts w:ascii="Times New Roman" w:hAnsi="Times New Roman" w:cs="Times New Roman"/>
          <w:sz w:val="19"/>
          <w:szCs w:val="19"/>
        </w:rPr>
      </w:pPr>
    </w:p>
    <w:p w14:paraId="3A108025" w14:textId="555793B3" w:rsidR="00990109" w:rsidRPr="00CE48A1" w:rsidRDefault="00990109" w:rsidP="00775B19">
      <w:pPr>
        <w:pStyle w:val="Heading3"/>
        <w:spacing w:after="0"/>
        <w:rPr>
          <w:sz w:val="19"/>
          <w:szCs w:val="19"/>
        </w:rPr>
      </w:pPr>
      <w:r w:rsidRPr="00CE48A1">
        <w:rPr>
          <w:sz w:val="19"/>
          <w:szCs w:val="19"/>
        </w:rPr>
        <w:t xml:space="preserve">The details of the forecast contain some very disturbing features. After excluding Railways, Postal and Telecommunication Services, the non-Plan revenue expenditure in 1989-90 (BE) is about 71 per cent of the total revenue receipts. As per the forecast, in 1994-95, the expenditure will rise to nearly 97 percent of total revenue receipts. The percentage of expenditure other than major subsidies and interest payments goes up from about 35 percent of revenue receipts in 1989-90 to nearly 40 percent in 1994-95. Major subsidies which account for about 11 per cent in 1989-90 will be nearly 15 percent of all revenue receipts by 1994-95. But the biggest increase is in interest payments. From the level of Rs. 17,000 </w:t>
      </w:r>
      <w:proofErr w:type="gramStart"/>
      <w:r w:rsidRPr="00CE48A1">
        <w:rPr>
          <w:sz w:val="19"/>
          <w:szCs w:val="19"/>
        </w:rPr>
        <w:t>crore</w:t>
      </w:r>
      <w:proofErr w:type="gramEnd"/>
      <w:r w:rsidRPr="00CE48A1">
        <w:rPr>
          <w:sz w:val="19"/>
          <w:szCs w:val="19"/>
        </w:rPr>
        <w:t xml:space="preserve"> in 1989-90, it will increase to nearly Rs. 42,200 </w:t>
      </w:r>
      <w:proofErr w:type="gramStart"/>
      <w:r w:rsidRPr="00CE48A1">
        <w:rPr>
          <w:sz w:val="19"/>
          <w:szCs w:val="19"/>
        </w:rPr>
        <w:t>crore</w:t>
      </w:r>
      <w:proofErr w:type="gramEnd"/>
      <w:r w:rsidRPr="00CE48A1">
        <w:rPr>
          <w:sz w:val="19"/>
          <w:szCs w:val="19"/>
        </w:rPr>
        <w:t xml:space="preserve"> in 1994-95. That will be 42 per cent of all revenue receipts in 1994-95 against 25 per cent in 1989-90. By 1994-95 interest payments will be about 125 per cent of the total proceeds from Union Excise Duties. In 1989-90, it is 75 per cent of excise revenue. As a result of this increasing imbalance between revenue receipts and non-Plan revenue expenditure as per the forecast, the Central Government will have to borrow not only for meeting its own Plan revenue expenditure and Plan grants to States but also for giving statutory grants to States under Article 275 of the Constitution. In fact, according to the forecast, total non-Plan revenue surplus available in 1994-95 will be less than the States' share of the mandatorily shareable Income Tax receipts at current levels.</w:t>
      </w:r>
    </w:p>
    <w:p w14:paraId="2610CE6E" w14:textId="282E887D" w:rsidR="00990109" w:rsidRPr="00CE48A1" w:rsidRDefault="00990109" w:rsidP="00775B19">
      <w:pPr>
        <w:pStyle w:val="Heading3"/>
        <w:rPr>
          <w:sz w:val="19"/>
          <w:szCs w:val="19"/>
        </w:rPr>
      </w:pPr>
      <w:r w:rsidRPr="00CE48A1">
        <w:rPr>
          <w:sz w:val="19"/>
          <w:szCs w:val="19"/>
        </w:rPr>
        <w:t>We have also attempted a preliminary exercise to assess the likely overall revenue deficit of the Centre based on the forecast and assuming the Finance Commission transfers to States, Plan grants and Central Plan on revenue account broadly at current levels. The revenue deficit for each of the years from 1990-91 to 1994-95 emerges as follows:</w:t>
      </w:r>
    </w:p>
    <w:tbl>
      <w:tblPr>
        <w:tblStyle w:val="TableGrid"/>
        <w:tblW w:w="8642" w:type="dxa"/>
        <w:jc w:val="center"/>
        <w:tblLook w:val="04A0" w:firstRow="1" w:lastRow="0" w:firstColumn="1" w:lastColumn="0" w:noHBand="0" w:noVBand="1"/>
      </w:tblPr>
      <w:tblGrid>
        <w:gridCol w:w="2405"/>
        <w:gridCol w:w="1276"/>
        <w:gridCol w:w="992"/>
        <w:gridCol w:w="992"/>
        <w:gridCol w:w="993"/>
        <w:gridCol w:w="992"/>
        <w:gridCol w:w="992"/>
      </w:tblGrid>
      <w:tr w:rsidR="000142D5" w:rsidRPr="00CE48A1" w14:paraId="0779EE72" w14:textId="77777777" w:rsidTr="00CE48A1">
        <w:trPr>
          <w:trHeight w:val="241"/>
          <w:jc w:val="center"/>
        </w:trPr>
        <w:tc>
          <w:tcPr>
            <w:tcW w:w="2405" w:type="dxa"/>
            <w:hideMark/>
          </w:tcPr>
          <w:p w14:paraId="6DCC1445"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Year</w:t>
            </w:r>
          </w:p>
        </w:tc>
        <w:tc>
          <w:tcPr>
            <w:tcW w:w="1276" w:type="dxa"/>
            <w:hideMark/>
          </w:tcPr>
          <w:p w14:paraId="493291C1"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1989-90(BE)</w:t>
            </w:r>
          </w:p>
        </w:tc>
        <w:tc>
          <w:tcPr>
            <w:tcW w:w="992" w:type="dxa"/>
            <w:hideMark/>
          </w:tcPr>
          <w:p w14:paraId="340E682A"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1990-91</w:t>
            </w:r>
          </w:p>
        </w:tc>
        <w:tc>
          <w:tcPr>
            <w:tcW w:w="992" w:type="dxa"/>
            <w:hideMark/>
          </w:tcPr>
          <w:p w14:paraId="27BEDEF0"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1991-92</w:t>
            </w:r>
          </w:p>
        </w:tc>
        <w:tc>
          <w:tcPr>
            <w:tcW w:w="993" w:type="dxa"/>
            <w:hideMark/>
          </w:tcPr>
          <w:p w14:paraId="607B6232"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1992-93</w:t>
            </w:r>
          </w:p>
        </w:tc>
        <w:tc>
          <w:tcPr>
            <w:tcW w:w="992" w:type="dxa"/>
            <w:hideMark/>
          </w:tcPr>
          <w:p w14:paraId="7872FD2A"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1993-94</w:t>
            </w:r>
          </w:p>
        </w:tc>
        <w:tc>
          <w:tcPr>
            <w:tcW w:w="992" w:type="dxa"/>
            <w:hideMark/>
          </w:tcPr>
          <w:p w14:paraId="6E672EC3" w14:textId="77777777" w:rsidR="00990109" w:rsidRPr="00CE48A1" w:rsidRDefault="00990109" w:rsidP="00775B19">
            <w:pPr>
              <w:pStyle w:val="NoSpacing"/>
              <w:jc w:val="center"/>
              <w:rPr>
                <w:rFonts w:ascii="Times New Roman" w:hAnsi="Times New Roman" w:cs="Times New Roman"/>
                <w:b/>
                <w:bCs/>
                <w:sz w:val="19"/>
                <w:szCs w:val="19"/>
              </w:rPr>
            </w:pPr>
            <w:r w:rsidRPr="00CE48A1">
              <w:rPr>
                <w:rFonts w:ascii="Times New Roman" w:hAnsi="Times New Roman" w:cs="Times New Roman"/>
                <w:b/>
                <w:bCs/>
                <w:sz w:val="19"/>
                <w:szCs w:val="19"/>
              </w:rPr>
              <w:t>1994-95</w:t>
            </w:r>
          </w:p>
        </w:tc>
      </w:tr>
      <w:tr w:rsidR="000142D5" w:rsidRPr="00CE48A1" w14:paraId="0C3366B3" w14:textId="77777777" w:rsidTr="00CE48A1">
        <w:trPr>
          <w:trHeight w:val="246"/>
          <w:jc w:val="center"/>
        </w:trPr>
        <w:tc>
          <w:tcPr>
            <w:tcW w:w="2405" w:type="dxa"/>
            <w:hideMark/>
          </w:tcPr>
          <w:p w14:paraId="6BBD4BC6" w14:textId="77777777" w:rsidR="00990109" w:rsidRPr="00CE48A1" w:rsidRDefault="00990109" w:rsidP="00D8496D">
            <w:pPr>
              <w:pStyle w:val="NoSpacing"/>
              <w:rPr>
                <w:rFonts w:ascii="Times New Roman" w:hAnsi="Times New Roman" w:cs="Times New Roman"/>
                <w:sz w:val="19"/>
                <w:szCs w:val="19"/>
              </w:rPr>
            </w:pPr>
            <w:r w:rsidRPr="00CE48A1">
              <w:rPr>
                <w:rFonts w:ascii="Times New Roman" w:hAnsi="Times New Roman" w:cs="Times New Roman"/>
                <w:sz w:val="19"/>
                <w:szCs w:val="19"/>
              </w:rPr>
              <w:t>Revenue Deficit (Rs. Crore)</w:t>
            </w:r>
          </w:p>
        </w:tc>
        <w:tc>
          <w:tcPr>
            <w:tcW w:w="1276" w:type="dxa"/>
            <w:hideMark/>
          </w:tcPr>
          <w:p w14:paraId="5810EC41" w14:textId="77777777" w:rsidR="00990109" w:rsidRPr="00CE48A1" w:rsidRDefault="00990109" w:rsidP="00D8496D">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(-)7,012</w:t>
            </w:r>
          </w:p>
        </w:tc>
        <w:tc>
          <w:tcPr>
            <w:tcW w:w="992" w:type="dxa"/>
            <w:hideMark/>
          </w:tcPr>
          <w:p w14:paraId="1C44673C" w14:textId="77777777" w:rsidR="00990109" w:rsidRPr="00CE48A1" w:rsidRDefault="00990109" w:rsidP="00D8496D">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(-)14,500</w:t>
            </w:r>
          </w:p>
        </w:tc>
        <w:tc>
          <w:tcPr>
            <w:tcW w:w="992" w:type="dxa"/>
            <w:hideMark/>
          </w:tcPr>
          <w:p w14:paraId="073938AD" w14:textId="77777777" w:rsidR="00990109" w:rsidRPr="00CE48A1" w:rsidRDefault="00990109" w:rsidP="00D8496D">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(-)17,700</w:t>
            </w:r>
          </w:p>
        </w:tc>
        <w:tc>
          <w:tcPr>
            <w:tcW w:w="993" w:type="dxa"/>
            <w:hideMark/>
          </w:tcPr>
          <w:p w14:paraId="393FEA16" w14:textId="77777777" w:rsidR="00990109" w:rsidRPr="00CE48A1" w:rsidRDefault="00990109" w:rsidP="00D8496D">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(-)21,700</w:t>
            </w:r>
          </w:p>
        </w:tc>
        <w:tc>
          <w:tcPr>
            <w:tcW w:w="992" w:type="dxa"/>
            <w:hideMark/>
          </w:tcPr>
          <w:p w14:paraId="64043265" w14:textId="77777777" w:rsidR="00990109" w:rsidRPr="00CE48A1" w:rsidRDefault="00990109" w:rsidP="00D8496D">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(-)27,600</w:t>
            </w:r>
          </w:p>
        </w:tc>
        <w:tc>
          <w:tcPr>
            <w:tcW w:w="992" w:type="dxa"/>
            <w:hideMark/>
          </w:tcPr>
          <w:p w14:paraId="100E35D2" w14:textId="77777777" w:rsidR="00990109" w:rsidRPr="00CE48A1" w:rsidRDefault="00990109" w:rsidP="00D8496D">
            <w:pPr>
              <w:pStyle w:val="NoSpacing"/>
              <w:jc w:val="center"/>
              <w:rPr>
                <w:rFonts w:ascii="Times New Roman" w:hAnsi="Times New Roman" w:cs="Times New Roman"/>
                <w:sz w:val="19"/>
                <w:szCs w:val="19"/>
              </w:rPr>
            </w:pPr>
            <w:r w:rsidRPr="00CE48A1">
              <w:rPr>
                <w:rFonts w:ascii="Times New Roman" w:hAnsi="Times New Roman" w:cs="Times New Roman"/>
                <w:sz w:val="19"/>
                <w:szCs w:val="19"/>
              </w:rPr>
              <w:t>(-)33,900</w:t>
            </w:r>
          </w:p>
        </w:tc>
      </w:tr>
    </w:tbl>
    <w:p w14:paraId="2AF7975A" w14:textId="625E691E" w:rsidR="00990109" w:rsidRPr="00CE48A1" w:rsidRDefault="00990109" w:rsidP="00775B19">
      <w:pPr>
        <w:pStyle w:val="Heading3"/>
        <w:spacing w:before="240"/>
        <w:rPr>
          <w:sz w:val="19"/>
          <w:szCs w:val="19"/>
        </w:rPr>
      </w:pPr>
      <w:r w:rsidRPr="00CE48A1">
        <w:rPr>
          <w:sz w:val="19"/>
          <w:szCs w:val="19"/>
        </w:rPr>
        <w:t xml:space="preserve">It is obvious that with this order of revenue deficit in the Central Budget, the entire system of budgeting and financial management of the Central Government would face a crisis situation during the Eighth Plan period. It is equally clear that such a trend is totally inconsistent with the objective of balancing the revenue account of the Central Government. In our discussions with the officials of the Ministry of </w:t>
      </w:r>
      <w:proofErr w:type="gramStart"/>
      <w:r w:rsidRPr="00CE48A1">
        <w:rPr>
          <w:sz w:val="19"/>
          <w:szCs w:val="19"/>
        </w:rPr>
        <w:t>Finance</w:t>
      </w:r>
      <w:proofErr w:type="gramEnd"/>
      <w:r w:rsidRPr="00CE48A1">
        <w:rPr>
          <w:sz w:val="19"/>
          <w:szCs w:val="19"/>
        </w:rPr>
        <w:t xml:space="preserve"> we raised this basic issue. Their response, broadly stated, was that the projections were based on existing rates of taxation, current levels of expenditure commitments and assuming continuation of the current policy positions. They agreed that the non-Plan surplus should be significantly positive and added that the Centre had already taken certain measures in this direction. The budget of 1989-90 reflected lower revenue deficit as well as lower growth rates of consumption expenditure of the Central Government. They also stated that any guidelines the Commission might outline would be helpful to them in improving the position further.</w:t>
      </w:r>
    </w:p>
    <w:p w14:paraId="7776259E" w14:textId="047B7779" w:rsidR="00990109" w:rsidRPr="00CE48A1" w:rsidRDefault="00990109" w:rsidP="00775B19">
      <w:pPr>
        <w:pStyle w:val="Heading3"/>
        <w:rPr>
          <w:sz w:val="19"/>
          <w:szCs w:val="19"/>
        </w:rPr>
      </w:pPr>
      <w:r w:rsidRPr="00CE48A1">
        <w:rPr>
          <w:sz w:val="19"/>
          <w:szCs w:val="19"/>
        </w:rPr>
        <w:t xml:space="preserve">It is against this background that we have reassessed the Centre's forecast. We are of the definite view that the forecast supplies vivid and unassailable justification to the contention that a determined effort is essential which cannot brook any delay whatsoever. While we do not want to set too optimistic goals in revenue collection or expenditure control, in revising the forecast we do assume on the part of the Central Government a reasonable degree of effort involving some not-too-soft options. If this were not to be done, the Commission could well terminate its labours without analysing the forecast at all and conclude that Central Government finances have moved beyond the possibility of corrective action. Such a conclusion is certainly not warranted. It is clear that the Central Government is keen to start a process of stabilisation of the budget, particularly the revenue account, as is evident from the budget estimates of 1989-90. As pointed out by the officials of the Ministry of Finance during the discussions, the </w:t>
      </w:r>
      <w:r w:rsidRPr="00CE48A1">
        <w:rPr>
          <w:sz w:val="19"/>
          <w:szCs w:val="19"/>
        </w:rPr>
        <w:lastRenderedPageBreak/>
        <w:t>trend of increasing revenue deficits has been reversed. We urge that this effort should continue and in our reassessment of the Centre's forecast we propose to indicate the dimensions of improvement reasonably attainable.</w:t>
      </w:r>
    </w:p>
    <w:p w14:paraId="0A8E1B02" w14:textId="243D9AE0" w:rsidR="00990109" w:rsidRPr="00CE48A1" w:rsidRDefault="00990109" w:rsidP="00775B19">
      <w:pPr>
        <w:pStyle w:val="Heading3"/>
        <w:rPr>
          <w:sz w:val="19"/>
          <w:szCs w:val="19"/>
        </w:rPr>
      </w:pPr>
      <w:r w:rsidRPr="00CE48A1">
        <w:rPr>
          <w:sz w:val="19"/>
          <w:szCs w:val="19"/>
        </w:rPr>
        <w:t>The objective criteria constituting our approach in assessing the Centre's revenue receipts and non-Plan revenue expenditure are the following:</w:t>
      </w:r>
    </w:p>
    <w:p w14:paraId="25CA53FF" w14:textId="4D90B45E"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The Centre should set an example to the States;</w:t>
      </w:r>
    </w:p>
    <w:p w14:paraId="3EE22DC6" w14:textId="647B36EF"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The Centre should improve on its own past performance;</w:t>
      </w:r>
    </w:p>
    <w:p w14:paraId="7C16EA1D" w14:textId="2B72EA47"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The price rise assumed (5 per cent) should be fully captured in tax buoyancy;</w:t>
      </w:r>
    </w:p>
    <w:p w14:paraId="25E380FB" w14:textId="52517F99"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The real growth rate of GDP assumed (6 per cent) should be reflected fully in the tax yield;</w:t>
      </w:r>
    </w:p>
    <w:p w14:paraId="3E8559C1" w14:textId="2DEDE4DA"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The Centre should move towards the objective of eliminating revenue deficit. The tax revenue yield should reflect some further increase resulting from better efficiency in taxation policy and administration;</w:t>
      </w:r>
    </w:p>
    <w:p w14:paraId="36D5BD59" w14:textId="783DE29A"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General items of non-tax revenue receipts should, at least partly, reflect general price rise which increases the cost of services rendered;</w:t>
      </w:r>
    </w:p>
    <w:p w14:paraId="428C15D0" w14:textId="0D8C5891"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Increase in non-Plan revenue expenditure consequent on general price rise should be marginally below the rate of price rise;</w:t>
      </w:r>
    </w:p>
    <w:p w14:paraId="16B4F0BD" w14:textId="00D90887" w:rsidR="00775B1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The real increase (over and above the effect of price rise) in non-Plan expenditure should be less than the rate of growth in GDP. This would imply an overall nominal rate of increase (real increase plus price rise effect) of non-Plan revenue expenditure of around 9 per cent per annum; and</w:t>
      </w:r>
    </w:p>
    <w:p w14:paraId="08AED1E7" w14:textId="1A75C09C" w:rsidR="00990109" w:rsidRPr="00CE48A1" w:rsidRDefault="00990109">
      <w:pPr>
        <w:pStyle w:val="ListParagraph"/>
        <w:numPr>
          <w:ilvl w:val="0"/>
          <w:numId w:val="26"/>
        </w:numPr>
        <w:spacing w:after="0" w:line="240" w:lineRule="auto"/>
        <w:jc w:val="both"/>
        <w:rPr>
          <w:rFonts w:ascii="Times New Roman" w:hAnsi="Times New Roman" w:cs="Times New Roman"/>
          <w:sz w:val="19"/>
          <w:szCs w:val="19"/>
        </w:rPr>
      </w:pPr>
      <w:r w:rsidRPr="00CE48A1">
        <w:rPr>
          <w:rFonts w:ascii="Times New Roman" w:hAnsi="Times New Roman" w:cs="Times New Roman"/>
          <w:sz w:val="19"/>
          <w:szCs w:val="19"/>
        </w:rPr>
        <w:t>Within that level of overall rate of increase, the higher growth needs of interest payments and other unavoidable expenditure should be accommodated by downward adjustment of rates of increase in other items of non-Plan revenue expenditure.</w:t>
      </w:r>
    </w:p>
    <w:p w14:paraId="35B74AE8" w14:textId="77777777" w:rsidR="00990109" w:rsidRPr="00CE48A1" w:rsidRDefault="00990109" w:rsidP="00CE48A1">
      <w:pPr>
        <w:spacing w:line="240" w:lineRule="auto"/>
        <w:ind w:firstLine="709"/>
        <w:jc w:val="both"/>
        <w:rPr>
          <w:rFonts w:ascii="Times New Roman" w:hAnsi="Times New Roman" w:cs="Times New Roman"/>
          <w:sz w:val="19"/>
          <w:szCs w:val="19"/>
        </w:rPr>
      </w:pPr>
      <w:r w:rsidRPr="00CE48A1">
        <w:rPr>
          <w:rFonts w:ascii="Times New Roman" w:hAnsi="Times New Roman" w:cs="Times New Roman"/>
          <w:sz w:val="19"/>
          <w:szCs w:val="19"/>
        </w:rPr>
        <w:t>Our re-assessment of the forecast presented by the Ministry of Finance has been made applying these criteria and adjusting their effect in respect of each major item keeping also in view the other relevant factors germane to the issues.</w:t>
      </w:r>
    </w:p>
    <w:p w14:paraId="171406DC" w14:textId="77777777" w:rsidR="00AA13AE" w:rsidRPr="00CE48A1" w:rsidRDefault="00AA13AE" w:rsidP="00AA13AE">
      <w:pPr>
        <w:spacing w:line="240" w:lineRule="auto"/>
        <w:jc w:val="center"/>
        <w:rPr>
          <w:rFonts w:ascii="Times New Roman" w:hAnsi="Times New Roman" w:cs="Times New Roman"/>
          <w:b/>
          <w:bCs/>
          <w:sz w:val="19"/>
          <w:szCs w:val="19"/>
        </w:rPr>
      </w:pPr>
      <w:r w:rsidRPr="00CE48A1">
        <w:rPr>
          <w:rFonts w:ascii="Times New Roman" w:hAnsi="Times New Roman" w:cs="Times New Roman"/>
          <w:b/>
          <w:bCs/>
          <w:sz w:val="19"/>
          <w:szCs w:val="19"/>
        </w:rPr>
        <w:t>Tax Revenue</w:t>
      </w:r>
    </w:p>
    <w:p w14:paraId="7657EF20" w14:textId="111A956D" w:rsidR="00AA13AE" w:rsidRPr="00CE48A1" w:rsidRDefault="00AA13AE" w:rsidP="00775B19">
      <w:pPr>
        <w:pStyle w:val="Heading3"/>
        <w:rPr>
          <w:sz w:val="19"/>
          <w:szCs w:val="19"/>
        </w:rPr>
      </w:pPr>
      <w:r w:rsidRPr="00CE48A1">
        <w:rPr>
          <w:sz w:val="19"/>
          <w:szCs w:val="19"/>
        </w:rPr>
        <w:t xml:space="preserve">The revised forecast of the Ministry of Finance assumes different growth rates for the Central taxes: 10.5 per cent and 10 percent for Income Tax and Corporation Tax, respectively, (after adjusting for surcharges levied in 1989-90), 8.3 per cent for Union Excise Duties, 12 per cent for Customs Duties and 4.8 per cent for other taxes. The overall growth rate of tax revenues as given in the forecast is roughly 10 per cent. As against this, the long-term trend growth rates for the period 1974-75 to 1989-90(BE) are 10.19 per cent for Income Tax, 12.88 per cent for Corporation Tax, 13.39 per cent for Union Excise Duties and 20.42 per cent for Customs Duties. The overall growth rate of tax revenues comes to 14.64 per cent. However, we are not adopting those rates in our projections as the price rise and rate of growth of GDP assumed by us are different from those observed during the past. In our reassessment, the overall growth rate of tax revenue works out to 12.8 per cent per annum for the period 1990-91 to 1994-95. The total tax revenue receipts for the five-year period estimated by us aggregate to Rs. 3, 70,014 </w:t>
      </w:r>
      <w:proofErr w:type="gramStart"/>
      <w:r w:rsidRPr="00CE48A1">
        <w:rPr>
          <w:sz w:val="19"/>
          <w:szCs w:val="19"/>
        </w:rPr>
        <w:t>crore</w:t>
      </w:r>
      <w:proofErr w:type="gramEnd"/>
      <w:r w:rsidRPr="00CE48A1">
        <w:rPr>
          <w:sz w:val="19"/>
          <w:szCs w:val="19"/>
        </w:rPr>
        <w:t xml:space="preserve">, as against the estimate of Rs. 3,37,344 </w:t>
      </w:r>
      <w:proofErr w:type="gramStart"/>
      <w:r w:rsidRPr="00CE48A1">
        <w:rPr>
          <w:sz w:val="19"/>
          <w:szCs w:val="19"/>
        </w:rPr>
        <w:t>crore</w:t>
      </w:r>
      <w:proofErr w:type="gramEnd"/>
      <w:r w:rsidRPr="00CE48A1">
        <w:rPr>
          <w:sz w:val="19"/>
          <w:szCs w:val="19"/>
        </w:rPr>
        <w:t xml:space="preserve"> supplied by the Ministry of Finance.</w:t>
      </w:r>
    </w:p>
    <w:p w14:paraId="267D8A39" w14:textId="42AFAB02" w:rsidR="00AA13AE" w:rsidRPr="00CE48A1" w:rsidRDefault="00AA13AE" w:rsidP="00775B19">
      <w:pPr>
        <w:pStyle w:val="Heading3"/>
        <w:rPr>
          <w:sz w:val="19"/>
          <w:szCs w:val="19"/>
        </w:rPr>
      </w:pPr>
      <w:r w:rsidRPr="00CE48A1">
        <w:rPr>
          <w:sz w:val="19"/>
          <w:szCs w:val="19"/>
        </w:rPr>
        <w:t xml:space="preserve">The gross receipts of Income Tax and Corporation Tax have been assessed at Rs. 28,508 crore and Rs. 33,836 </w:t>
      </w:r>
      <w:proofErr w:type="gramStart"/>
      <w:r w:rsidRPr="00CE48A1">
        <w:rPr>
          <w:sz w:val="19"/>
          <w:szCs w:val="19"/>
        </w:rPr>
        <w:t>crore</w:t>
      </w:r>
      <w:proofErr w:type="gramEnd"/>
      <w:r w:rsidRPr="00CE48A1">
        <w:rPr>
          <w:sz w:val="19"/>
          <w:szCs w:val="19"/>
        </w:rPr>
        <w:t xml:space="preserve">, respectively, as compared to Rs. 27,359 crore and Rs. 30,191 </w:t>
      </w:r>
      <w:proofErr w:type="gramStart"/>
      <w:r w:rsidRPr="00CE48A1">
        <w:rPr>
          <w:sz w:val="19"/>
          <w:szCs w:val="19"/>
        </w:rPr>
        <w:t>crore</w:t>
      </w:r>
      <w:proofErr w:type="gramEnd"/>
      <w:r w:rsidRPr="00CE48A1">
        <w:rPr>
          <w:sz w:val="19"/>
          <w:szCs w:val="19"/>
        </w:rPr>
        <w:t xml:space="preserve"> in the forecast. Our reassessment of the Excise Duty collection is Rs. 1,61,526 </w:t>
      </w:r>
      <w:proofErr w:type="gramStart"/>
      <w:r w:rsidRPr="00CE48A1">
        <w:rPr>
          <w:sz w:val="19"/>
          <w:szCs w:val="19"/>
        </w:rPr>
        <w:t>crore</w:t>
      </w:r>
      <w:proofErr w:type="gramEnd"/>
      <w:r w:rsidRPr="00CE48A1">
        <w:rPr>
          <w:sz w:val="19"/>
          <w:szCs w:val="19"/>
        </w:rPr>
        <w:t xml:space="preserve"> against a forecast of Rs. 1,45,103 </w:t>
      </w:r>
      <w:proofErr w:type="gramStart"/>
      <w:r w:rsidRPr="00CE48A1">
        <w:rPr>
          <w:sz w:val="19"/>
          <w:szCs w:val="19"/>
        </w:rPr>
        <w:t>crore</w:t>
      </w:r>
      <w:proofErr w:type="gramEnd"/>
      <w:r w:rsidRPr="00CE48A1">
        <w:rPr>
          <w:sz w:val="19"/>
          <w:szCs w:val="19"/>
        </w:rPr>
        <w:t xml:space="preserve">. The amounts transferred to the States from Income Tax and Union Excise Duties depend upon realised collections from these taxes. If these taxes are projected at high rates, which might not be realised, it would adversely affect the revenue deficit States. We have kept this in view in our reassessment of these two taxes. The reassessed figure of Customs Duties comes to Rs. 1,36,674 </w:t>
      </w:r>
      <w:proofErr w:type="gramStart"/>
      <w:r w:rsidRPr="00CE48A1">
        <w:rPr>
          <w:sz w:val="19"/>
          <w:szCs w:val="19"/>
        </w:rPr>
        <w:t>crore</w:t>
      </w:r>
      <w:proofErr w:type="gramEnd"/>
      <w:r w:rsidRPr="00CE48A1">
        <w:rPr>
          <w:sz w:val="19"/>
          <w:szCs w:val="19"/>
        </w:rPr>
        <w:t xml:space="preserve"> against the forecast of Rs. 1,27,221 </w:t>
      </w:r>
      <w:proofErr w:type="gramStart"/>
      <w:r w:rsidRPr="00CE48A1">
        <w:rPr>
          <w:sz w:val="19"/>
          <w:szCs w:val="19"/>
        </w:rPr>
        <w:t>crore</w:t>
      </w:r>
      <w:proofErr w:type="gramEnd"/>
      <w:r w:rsidRPr="00CE48A1">
        <w:rPr>
          <w:sz w:val="19"/>
          <w:szCs w:val="19"/>
        </w:rPr>
        <w:t>.</w:t>
      </w:r>
    </w:p>
    <w:p w14:paraId="392C8041" w14:textId="77777777" w:rsidR="00AA13AE" w:rsidRPr="00CE48A1" w:rsidRDefault="00AA13AE" w:rsidP="00AA13AE">
      <w:pPr>
        <w:spacing w:line="240" w:lineRule="auto"/>
        <w:jc w:val="center"/>
        <w:rPr>
          <w:rFonts w:ascii="Times New Roman" w:hAnsi="Times New Roman" w:cs="Times New Roman"/>
          <w:b/>
          <w:bCs/>
          <w:sz w:val="19"/>
          <w:szCs w:val="19"/>
        </w:rPr>
      </w:pPr>
      <w:r w:rsidRPr="00CE48A1">
        <w:rPr>
          <w:rFonts w:ascii="Times New Roman" w:hAnsi="Times New Roman" w:cs="Times New Roman"/>
          <w:b/>
          <w:bCs/>
          <w:sz w:val="19"/>
          <w:szCs w:val="19"/>
        </w:rPr>
        <w:t>Non-Tax Revenue</w:t>
      </w:r>
    </w:p>
    <w:p w14:paraId="7B410564" w14:textId="7E48A5A8" w:rsidR="00AA13AE" w:rsidRPr="00CE48A1" w:rsidRDefault="00AA13AE" w:rsidP="00775B19">
      <w:pPr>
        <w:pStyle w:val="Heading3"/>
        <w:rPr>
          <w:sz w:val="19"/>
          <w:szCs w:val="19"/>
        </w:rPr>
      </w:pPr>
      <w:r w:rsidRPr="00CE48A1">
        <w:rPr>
          <w:sz w:val="19"/>
          <w:szCs w:val="19"/>
        </w:rPr>
        <w:t xml:space="preserve"> Non-tax revenues mainly comprise receipts from interest on loans advanced by the Central Government, dividends and profits from the public sector enterprises, fees and other receipts on account of services rendered by the government and its agencies and other transactions of a commercial nature.</w:t>
      </w:r>
    </w:p>
    <w:p w14:paraId="0878CDFC" w14:textId="38E4C832" w:rsidR="00AA13AE" w:rsidRPr="00CE48A1" w:rsidRDefault="00AA13AE" w:rsidP="00775B19">
      <w:pPr>
        <w:pStyle w:val="Heading3"/>
        <w:rPr>
          <w:sz w:val="19"/>
          <w:szCs w:val="19"/>
        </w:rPr>
      </w:pPr>
      <w:r w:rsidRPr="00CE48A1">
        <w:rPr>
          <w:sz w:val="19"/>
          <w:szCs w:val="19"/>
        </w:rPr>
        <w:t xml:space="preserve"> The Ministry of Finance has estimated the interest receipts at Rs. 52,457 </w:t>
      </w:r>
      <w:proofErr w:type="gramStart"/>
      <w:r w:rsidRPr="00CE48A1">
        <w:rPr>
          <w:sz w:val="19"/>
          <w:szCs w:val="19"/>
        </w:rPr>
        <w:t>crore</w:t>
      </w:r>
      <w:proofErr w:type="gramEnd"/>
      <w:r w:rsidRPr="00CE48A1">
        <w:rPr>
          <w:sz w:val="19"/>
          <w:szCs w:val="19"/>
        </w:rPr>
        <w:t xml:space="preserve"> whereas our reassessment is Rs. 57,214 </w:t>
      </w:r>
      <w:proofErr w:type="gramStart"/>
      <w:r w:rsidRPr="00CE48A1">
        <w:rPr>
          <w:sz w:val="19"/>
          <w:szCs w:val="19"/>
        </w:rPr>
        <w:t>crore</w:t>
      </w:r>
      <w:proofErr w:type="gramEnd"/>
      <w:r w:rsidRPr="00CE48A1">
        <w:rPr>
          <w:sz w:val="19"/>
          <w:szCs w:val="19"/>
        </w:rPr>
        <w:t>. This is after providing for a 7.5 percent rate of return on the loans outstanding with the non-financial public sector enterprises as against 7 per cent adopted in our first report. Our projection of interest receipts is based on an annual growth rate of 12 per cent over the 1989-90 budget estimates. As the cost of borrowing is going up, there should be corresponding improvement in interest receipts.</w:t>
      </w:r>
    </w:p>
    <w:p w14:paraId="1D82EB61" w14:textId="219F81AE" w:rsidR="00AA13AE" w:rsidRPr="00CE48A1" w:rsidRDefault="00AA13AE" w:rsidP="00775B19">
      <w:pPr>
        <w:pStyle w:val="Heading3"/>
        <w:rPr>
          <w:sz w:val="19"/>
          <w:szCs w:val="19"/>
        </w:rPr>
      </w:pPr>
      <w:r w:rsidRPr="00CE48A1">
        <w:rPr>
          <w:sz w:val="19"/>
          <w:szCs w:val="19"/>
        </w:rPr>
        <w:t xml:space="preserve">Dividends from public sector undertakings have been projected by assuming a normative rate of return of 6 percent on investments in those undertakings. The outstanding investments during the forecast period have been projected at a rate of 5 per cent per annum. Dividends from other investments are assumed to increase at 5 per cent over 1989-90(BE). On this basis, we reassessed dividend receipts at Rs. 13,257 </w:t>
      </w:r>
      <w:proofErr w:type="gramStart"/>
      <w:r w:rsidRPr="00CE48A1">
        <w:rPr>
          <w:sz w:val="19"/>
          <w:szCs w:val="19"/>
        </w:rPr>
        <w:t>crore</w:t>
      </w:r>
      <w:proofErr w:type="gramEnd"/>
      <w:r w:rsidRPr="00CE48A1">
        <w:rPr>
          <w:sz w:val="19"/>
          <w:szCs w:val="19"/>
        </w:rPr>
        <w:t xml:space="preserve"> as compared to Rs. 7,626 </w:t>
      </w:r>
      <w:proofErr w:type="gramStart"/>
      <w:r w:rsidRPr="00CE48A1">
        <w:rPr>
          <w:sz w:val="19"/>
          <w:szCs w:val="19"/>
        </w:rPr>
        <w:t>crore</w:t>
      </w:r>
      <w:proofErr w:type="gramEnd"/>
      <w:r w:rsidRPr="00CE48A1">
        <w:rPr>
          <w:sz w:val="19"/>
          <w:szCs w:val="19"/>
        </w:rPr>
        <w:t xml:space="preserve"> in the forecast. The budget estimate of dividends for 1989-90 shows that the government is aware of the need for and the possibility of increasing its receipts under this head. We urge that this trend may be maintained and improved upon. Government budget should receive as dividends or contribution a reasonable share of public sector profits, a major part of which is the result of either the government policy of administered prices or the near monopoly status of these public sector enterprises. If that is ensured, dividend receipts as assessed by us can be substantially realised even starting from the current level of profit earned by public sector enterprises.</w:t>
      </w:r>
    </w:p>
    <w:p w14:paraId="428CAFDF" w14:textId="2F9F28D1" w:rsidR="00AA13AE" w:rsidRPr="00CE48A1" w:rsidRDefault="00AA13AE" w:rsidP="00775B19">
      <w:pPr>
        <w:pStyle w:val="Heading3"/>
        <w:rPr>
          <w:sz w:val="19"/>
          <w:szCs w:val="19"/>
        </w:rPr>
      </w:pPr>
      <w:r w:rsidRPr="00CE48A1">
        <w:rPr>
          <w:sz w:val="19"/>
          <w:szCs w:val="19"/>
        </w:rPr>
        <w:t xml:space="preserve">Other non-tax receipts have been projected by assuming an annual growth rate of 6 percent applied to 1989-90 (BE) of Rs. 4,354 </w:t>
      </w:r>
      <w:proofErr w:type="gramStart"/>
      <w:r w:rsidRPr="00CE48A1">
        <w:rPr>
          <w:sz w:val="19"/>
          <w:szCs w:val="19"/>
        </w:rPr>
        <w:t>crore</w:t>
      </w:r>
      <w:proofErr w:type="gramEnd"/>
      <w:r w:rsidRPr="00CE48A1">
        <w:rPr>
          <w:sz w:val="19"/>
          <w:szCs w:val="19"/>
        </w:rPr>
        <w:t>.</w:t>
      </w:r>
    </w:p>
    <w:p w14:paraId="2A43CA5E" w14:textId="0FE9ECEB" w:rsidR="00AA13AE" w:rsidRPr="00CE48A1" w:rsidRDefault="00AA13AE" w:rsidP="00775B19">
      <w:pPr>
        <w:pStyle w:val="Heading3"/>
        <w:rPr>
          <w:sz w:val="19"/>
          <w:szCs w:val="19"/>
        </w:rPr>
      </w:pPr>
      <w:r w:rsidRPr="00CE48A1">
        <w:rPr>
          <w:sz w:val="19"/>
          <w:szCs w:val="19"/>
        </w:rPr>
        <w:t xml:space="preserve">In all, the estimate of Rs. 84,044 </w:t>
      </w:r>
      <w:r w:rsidR="00CE48A1" w:rsidRPr="00CE48A1">
        <w:rPr>
          <w:sz w:val="19"/>
          <w:szCs w:val="19"/>
        </w:rPr>
        <w:t>crores</w:t>
      </w:r>
      <w:r w:rsidRPr="00CE48A1">
        <w:rPr>
          <w:sz w:val="19"/>
          <w:szCs w:val="19"/>
        </w:rPr>
        <w:t xml:space="preserve"> of total non-tax receipts given in the forecast by the Ministry of Finance has been reassessed at Rs. 96,488 </w:t>
      </w:r>
      <w:proofErr w:type="gramStart"/>
      <w:r w:rsidRPr="00CE48A1">
        <w:rPr>
          <w:sz w:val="19"/>
          <w:szCs w:val="19"/>
        </w:rPr>
        <w:t>crore</w:t>
      </w:r>
      <w:proofErr w:type="gramEnd"/>
      <w:r w:rsidRPr="00CE48A1">
        <w:rPr>
          <w:sz w:val="19"/>
          <w:szCs w:val="19"/>
        </w:rPr>
        <w:t>.</w:t>
      </w:r>
    </w:p>
    <w:p w14:paraId="05B72F26" w14:textId="4F0C69F0" w:rsidR="00AA13AE" w:rsidRPr="00CE48A1" w:rsidRDefault="00AA13AE" w:rsidP="00775B19">
      <w:pPr>
        <w:pStyle w:val="Heading3"/>
        <w:rPr>
          <w:sz w:val="19"/>
          <w:szCs w:val="19"/>
        </w:rPr>
      </w:pPr>
      <w:r w:rsidRPr="00CE48A1">
        <w:rPr>
          <w:sz w:val="19"/>
          <w:szCs w:val="19"/>
        </w:rPr>
        <w:lastRenderedPageBreak/>
        <w:t xml:space="preserve">On this basis the total revenue receipts of the Central Government during the period 1990-95 have been reassessed by us at Rs. 4,66,502 </w:t>
      </w:r>
      <w:proofErr w:type="gramStart"/>
      <w:r w:rsidRPr="00CE48A1">
        <w:rPr>
          <w:sz w:val="19"/>
          <w:szCs w:val="19"/>
        </w:rPr>
        <w:t>crore</w:t>
      </w:r>
      <w:proofErr w:type="gramEnd"/>
      <w:r w:rsidRPr="00CE48A1">
        <w:rPr>
          <w:sz w:val="19"/>
          <w:szCs w:val="19"/>
        </w:rPr>
        <w:t xml:space="preserve">. This is against the estimate of Rs. 4,21,388 </w:t>
      </w:r>
      <w:proofErr w:type="gramStart"/>
      <w:r w:rsidRPr="00CE48A1">
        <w:rPr>
          <w:sz w:val="19"/>
          <w:szCs w:val="19"/>
        </w:rPr>
        <w:t>crore</w:t>
      </w:r>
      <w:proofErr w:type="gramEnd"/>
      <w:r w:rsidRPr="00CE48A1">
        <w:rPr>
          <w:sz w:val="19"/>
          <w:szCs w:val="19"/>
        </w:rPr>
        <w:t xml:space="preserve"> given in the forecast of the Ministry of Finance.</w:t>
      </w:r>
    </w:p>
    <w:p w14:paraId="5F9884B8" w14:textId="77777777" w:rsidR="00AA13AE" w:rsidRPr="00CE48A1" w:rsidRDefault="00AA13AE" w:rsidP="00AA13AE">
      <w:pPr>
        <w:spacing w:line="240" w:lineRule="auto"/>
        <w:jc w:val="center"/>
        <w:rPr>
          <w:rFonts w:ascii="Times New Roman" w:hAnsi="Times New Roman" w:cs="Times New Roman"/>
          <w:b/>
          <w:bCs/>
          <w:sz w:val="19"/>
          <w:szCs w:val="19"/>
        </w:rPr>
      </w:pPr>
      <w:r w:rsidRPr="00CE48A1">
        <w:rPr>
          <w:rFonts w:ascii="Times New Roman" w:hAnsi="Times New Roman" w:cs="Times New Roman"/>
          <w:b/>
          <w:bCs/>
          <w:sz w:val="19"/>
          <w:szCs w:val="19"/>
        </w:rPr>
        <w:t>Revenue Expenditure</w:t>
      </w:r>
    </w:p>
    <w:p w14:paraId="517BE02A" w14:textId="1FF521B1" w:rsidR="00AA13AE" w:rsidRPr="00CE48A1" w:rsidRDefault="00AA13AE" w:rsidP="00775B19">
      <w:pPr>
        <w:pStyle w:val="Heading3"/>
        <w:rPr>
          <w:sz w:val="19"/>
          <w:szCs w:val="19"/>
        </w:rPr>
      </w:pPr>
      <w:r w:rsidRPr="00CE48A1">
        <w:rPr>
          <w:sz w:val="19"/>
          <w:szCs w:val="19"/>
        </w:rPr>
        <w:t>The forecast of the Ministry of Finance assumes a growth rate of non-Plan revenue expenditure of 18.41 percent for 1990-91 over 1989-90. Growth rates ranging from 13.79 percent to 15.71 per cent have been assumed for the rest of the years. This is against the long-term growth rate of 17.04 per cent observed during the period 1974-75 to 1989-90. If the revenue account of the Central budget is ever to be balanced at all, the real effort should come by way of effective control of non-Plan expenditure. We feel that, in this context, at least during the transitional period of reversing the trend of increasing revenue deficits, the Ministry of Finance should effectively resist the increasing demands for items like staff sanctions, subsidies, and housekeeping expenses. The fact that this can be done is evident</w:t>
      </w:r>
      <w:r w:rsidR="00B34196" w:rsidRPr="00CE48A1">
        <w:rPr>
          <w:sz w:val="19"/>
          <w:szCs w:val="19"/>
        </w:rPr>
        <w:t xml:space="preserve"> </w:t>
      </w:r>
      <w:r w:rsidRPr="00CE48A1">
        <w:rPr>
          <w:sz w:val="19"/>
          <w:szCs w:val="19"/>
        </w:rPr>
        <w:t>in the budget estimates of 1989-90. The overall growth in non-Plan revenue expenditure in 1989-90(BE) over 1988-89(RE) is only 10.56 per cent. Our reassessment of non-Plan revenue expenditure for 1990-95 gives a 9.75 per cent growth rate (assuming a price rise of 5 per cent) which implies only a reasonable acceleration of the process of correction attempted in the 1989-90 budget estimates. The growth rates adopted by us in respect of major items of revenue expenditure may be viewed in this background.</w:t>
      </w:r>
    </w:p>
    <w:p w14:paraId="18537990" w14:textId="6BC78E63" w:rsidR="00AA13AE" w:rsidRPr="00CE48A1" w:rsidRDefault="00AA13AE" w:rsidP="00775B19">
      <w:pPr>
        <w:pStyle w:val="Heading3"/>
        <w:rPr>
          <w:sz w:val="19"/>
          <w:szCs w:val="19"/>
        </w:rPr>
      </w:pPr>
      <w:r w:rsidRPr="00CE48A1">
        <w:rPr>
          <w:sz w:val="19"/>
          <w:szCs w:val="19"/>
        </w:rPr>
        <w:t>The Central Government's forecast of non-Plan revenue expenditure on defence was based on annual growth rates ranging from 10.17 per cent to 10.22 per cent. We have made our projections on a uniform annual step-up of 10 per cent over 1989-90(BE).</w:t>
      </w:r>
    </w:p>
    <w:p w14:paraId="556B35AB" w14:textId="1C16F875" w:rsidR="00AA13AE" w:rsidRPr="00CE48A1" w:rsidRDefault="00AA13AE" w:rsidP="00775B19">
      <w:pPr>
        <w:pStyle w:val="Heading3"/>
        <w:rPr>
          <w:sz w:val="19"/>
          <w:szCs w:val="19"/>
        </w:rPr>
      </w:pPr>
      <w:r w:rsidRPr="00CE48A1">
        <w:rPr>
          <w:sz w:val="19"/>
          <w:szCs w:val="19"/>
        </w:rPr>
        <w:t xml:space="preserve">The Ministry of Finance has placed the estimate of interest payments at Rs. 1,51,255 </w:t>
      </w:r>
      <w:proofErr w:type="gramStart"/>
      <w:r w:rsidRPr="00CE48A1">
        <w:rPr>
          <w:sz w:val="19"/>
          <w:szCs w:val="19"/>
        </w:rPr>
        <w:t>crore</w:t>
      </w:r>
      <w:proofErr w:type="gramEnd"/>
      <w:r w:rsidRPr="00CE48A1">
        <w:rPr>
          <w:sz w:val="19"/>
          <w:szCs w:val="19"/>
        </w:rPr>
        <w:t xml:space="preserve">. This is an item of expenditure for which we consider that stringent norms should be applied if a dent is to be made in the Centre's revenue deficit. If an annual step-up of 10 per cent is allowed over the 1989-90 budget estimates of total capital expenditure adjusted for recovery of loans (the approximate borrowing requirements), with the rate of interest of 10 per cent per annum going up by 0.25 per cent annually, the total interest outgo on the additional borrowing requirements during the period 1990-95 works out to Rs. 32,400 </w:t>
      </w:r>
      <w:proofErr w:type="gramStart"/>
      <w:r w:rsidRPr="00CE48A1">
        <w:rPr>
          <w:sz w:val="19"/>
          <w:szCs w:val="19"/>
        </w:rPr>
        <w:t>crore</w:t>
      </w:r>
      <w:proofErr w:type="gramEnd"/>
      <w:r w:rsidRPr="00CE48A1">
        <w:rPr>
          <w:sz w:val="19"/>
          <w:szCs w:val="19"/>
        </w:rPr>
        <w:t xml:space="preserve">. If interest outgo on account of annual revenue deficits estimated by us during the forecast period and on the outstanding interest-bearing liabilities at the end of 1989-90 is added, the burden of total interest payments in five years comes to Rs. 1,22,500 </w:t>
      </w:r>
      <w:proofErr w:type="gramStart"/>
      <w:r w:rsidRPr="00CE48A1">
        <w:rPr>
          <w:sz w:val="19"/>
          <w:szCs w:val="19"/>
        </w:rPr>
        <w:t>crore</w:t>
      </w:r>
      <w:proofErr w:type="gramEnd"/>
      <w:r w:rsidRPr="00CE48A1">
        <w:rPr>
          <w:sz w:val="19"/>
          <w:szCs w:val="19"/>
        </w:rPr>
        <w:t xml:space="preserve">. After reassessment we have provided an amount of Rs. 1,23,880 </w:t>
      </w:r>
      <w:proofErr w:type="gramStart"/>
      <w:r w:rsidRPr="00CE48A1">
        <w:rPr>
          <w:sz w:val="19"/>
          <w:szCs w:val="19"/>
        </w:rPr>
        <w:t>crore</w:t>
      </w:r>
      <w:proofErr w:type="gramEnd"/>
      <w:r w:rsidRPr="00CE48A1">
        <w:rPr>
          <w:sz w:val="19"/>
          <w:szCs w:val="19"/>
        </w:rPr>
        <w:t xml:space="preserve"> towards interest payments assuming an annual growth rate of 12 per cent on the base level estimate of Rs. 19,500 </w:t>
      </w:r>
      <w:proofErr w:type="gramStart"/>
      <w:r w:rsidRPr="00CE48A1">
        <w:rPr>
          <w:sz w:val="19"/>
          <w:szCs w:val="19"/>
        </w:rPr>
        <w:t>crore</w:t>
      </w:r>
      <w:proofErr w:type="gramEnd"/>
      <w:r w:rsidRPr="00CE48A1">
        <w:rPr>
          <w:sz w:val="19"/>
          <w:szCs w:val="19"/>
        </w:rPr>
        <w:t xml:space="preserve"> in 1990-91 [the 1989-90 (BE) stands at Rs. 17,000 </w:t>
      </w:r>
      <w:proofErr w:type="gramStart"/>
      <w:r w:rsidRPr="00CE48A1">
        <w:rPr>
          <w:sz w:val="19"/>
          <w:szCs w:val="19"/>
        </w:rPr>
        <w:t>crore</w:t>
      </w:r>
      <w:proofErr w:type="gramEnd"/>
      <w:r w:rsidRPr="00CE48A1">
        <w:rPr>
          <w:sz w:val="19"/>
          <w:szCs w:val="19"/>
        </w:rPr>
        <w:t>]. We are confident that the provision made by us is adequate to meet the normal budgetary support to the Central Plan, besides ensuring reasonable levels of disbursement of Plan loans to States. We will revert to this aspect later in the report.</w:t>
      </w:r>
    </w:p>
    <w:p w14:paraId="0CF6CF58" w14:textId="73BBF8FD" w:rsidR="00AA13AE" w:rsidRPr="00CE48A1" w:rsidRDefault="00AA13AE" w:rsidP="00775B19">
      <w:pPr>
        <w:pStyle w:val="Heading3"/>
        <w:rPr>
          <w:sz w:val="19"/>
          <w:szCs w:val="19"/>
        </w:rPr>
      </w:pPr>
      <w:r w:rsidRPr="00CE48A1">
        <w:rPr>
          <w:sz w:val="19"/>
          <w:szCs w:val="19"/>
        </w:rPr>
        <w:t xml:space="preserve"> The Ministry of Finance has placed the total estimate of expenditure on subsidies on food, fertilisers and exports at Rs. 58,433 </w:t>
      </w:r>
      <w:proofErr w:type="gramStart"/>
      <w:r w:rsidRPr="00CE48A1">
        <w:rPr>
          <w:sz w:val="19"/>
          <w:szCs w:val="19"/>
        </w:rPr>
        <w:t>crore</w:t>
      </w:r>
      <w:proofErr w:type="gramEnd"/>
      <w:r w:rsidRPr="00CE48A1">
        <w:rPr>
          <w:sz w:val="19"/>
          <w:szCs w:val="19"/>
        </w:rPr>
        <w:t xml:space="preserve">. The Ministry's forecast does not indicate the details of expenditure on other subsidies. The Ministry's estimates for the major subsidies are based on different growth rates; 4.55 per cent to 6.39 per cent for food, 4.10 per cent to 27.44 per cent for fertilisers and 25 per cent for exports. We are quite conscious that the expenditure on subsidies is an important component of Central Government's non-Plan revenue expenditure and we have to be careful in making the provisions under this head. While the legitimate expenditure needs under this head must be met, one has to be careful that the tendency to overspend is contained. This is essential to curtail the revenue deficit. In this background we have applied a uniform annual growth rate of 8 per cent in calculating the </w:t>
      </w:r>
      <w:proofErr w:type="gramStart"/>
      <w:r w:rsidRPr="00CE48A1">
        <w:rPr>
          <w:sz w:val="19"/>
          <w:szCs w:val="19"/>
        </w:rPr>
        <w:t>amount</w:t>
      </w:r>
      <w:proofErr w:type="gramEnd"/>
      <w:r w:rsidRPr="00CE48A1">
        <w:rPr>
          <w:sz w:val="19"/>
          <w:szCs w:val="19"/>
        </w:rPr>
        <w:t xml:space="preserve"> of subsidies for 1990-95. We are of the opinion that the expenditure on subsidies should be contained within the overall ceiling growth rate of 8 per cent.</w:t>
      </w:r>
    </w:p>
    <w:p w14:paraId="737D1DDC" w14:textId="2DA14219" w:rsidR="00AA13AE" w:rsidRPr="00CE48A1" w:rsidRDefault="00AA13AE" w:rsidP="00775B19">
      <w:pPr>
        <w:pStyle w:val="Heading3"/>
        <w:rPr>
          <w:sz w:val="19"/>
          <w:szCs w:val="19"/>
        </w:rPr>
      </w:pPr>
      <w:r w:rsidRPr="00CE48A1">
        <w:rPr>
          <w:sz w:val="19"/>
          <w:szCs w:val="19"/>
        </w:rPr>
        <w:t>As the subsidy commitment on fertilizers is growing fast, we feel that the retention pricing scheme as well as its working should be subjected to a close scrutiny. As they rely substantially on subsidies from the general taxpayers, the fertiliser companies have a responsibility to manage their operations and finances with optimum efficiency and economy. We wonder whether the government is able to ensure that no part of the subsidy goes to finance extravagance and inefficiency. To ensure this, it is necessary that the retention price should be based more on norms rather than the present combination of norms and actuals, particularly when certain items constituting the retention price are outside governmental control. Another area for review is the cost of inputs, such as gas, high speed diesel oil. There does not seem to be justification for adding to the fertilizer subsidies and generating increased surpluses for certain public sector units which have the benefit of administered prices substantially above economic prices.</w:t>
      </w:r>
    </w:p>
    <w:p w14:paraId="21EF7849" w14:textId="0561464F" w:rsidR="00AA13AE" w:rsidRPr="00CE48A1" w:rsidRDefault="00AA13AE" w:rsidP="00775B19">
      <w:pPr>
        <w:pStyle w:val="Heading3"/>
        <w:rPr>
          <w:sz w:val="19"/>
          <w:szCs w:val="19"/>
        </w:rPr>
      </w:pPr>
      <w:r w:rsidRPr="00CE48A1">
        <w:rPr>
          <w:sz w:val="19"/>
          <w:szCs w:val="19"/>
        </w:rPr>
        <w:t xml:space="preserve"> We have provided for an annual growth rate of 7 per cent for other non-Plan revenue expenditure. The total non-Plan expenditure including this item but excluding interest and major subsidies has been reassessed by us at Rs. 1,46,013 </w:t>
      </w:r>
      <w:proofErr w:type="gramStart"/>
      <w:r w:rsidRPr="00CE48A1">
        <w:rPr>
          <w:sz w:val="19"/>
          <w:szCs w:val="19"/>
        </w:rPr>
        <w:t>crore</w:t>
      </w:r>
      <w:proofErr w:type="gramEnd"/>
      <w:r w:rsidRPr="00CE48A1">
        <w:rPr>
          <w:sz w:val="19"/>
          <w:szCs w:val="19"/>
        </w:rPr>
        <w:t xml:space="preserve"> as against Rs. 1,65,306 </w:t>
      </w:r>
      <w:proofErr w:type="gramStart"/>
      <w:r w:rsidRPr="00CE48A1">
        <w:rPr>
          <w:sz w:val="19"/>
          <w:szCs w:val="19"/>
        </w:rPr>
        <w:t>crore</w:t>
      </w:r>
      <w:proofErr w:type="gramEnd"/>
      <w:r w:rsidRPr="00CE48A1">
        <w:rPr>
          <w:sz w:val="19"/>
          <w:szCs w:val="19"/>
        </w:rPr>
        <w:t xml:space="preserve"> in the forecast. In our projections we have not included provision for assistance on account of natural calamities to the States [Rs. 200 </w:t>
      </w:r>
      <w:proofErr w:type="gramStart"/>
      <w:r w:rsidRPr="00CE48A1">
        <w:rPr>
          <w:sz w:val="19"/>
          <w:szCs w:val="19"/>
        </w:rPr>
        <w:t>crore</w:t>
      </w:r>
      <w:proofErr w:type="gramEnd"/>
      <w:r w:rsidRPr="00CE48A1">
        <w:rPr>
          <w:sz w:val="19"/>
          <w:szCs w:val="19"/>
        </w:rPr>
        <w:t xml:space="preserve"> in 1989-90 (BE)] as we are dealing with this issue separately. We have not provided for committed expenditure on Plan schemes as explained earlier in Chapter III.</w:t>
      </w:r>
    </w:p>
    <w:p w14:paraId="7AE649A1" w14:textId="526C7759" w:rsidR="00AA13AE" w:rsidRPr="00CE48A1" w:rsidRDefault="00AA13AE" w:rsidP="00775B19">
      <w:pPr>
        <w:pStyle w:val="Heading3"/>
        <w:rPr>
          <w:sz w:val="19"/>
          <w:szCs w:val="19"/>
        </w:rPr>
      </w:pPr>
      <w:r w:rsidRPr="00CE48A1">
        <w:rPr>
          <w:sz w:val="19"/>
          <w:szCs w:val="19"/>
        </w:rPr>
        <w:t xml:space="preserve">On the basis of the foregoing assessment, the total non-Plan revenue expenditure of the Central Government during 1990-95 reassessed by us is placed at Rs. 3,17,231 </w:t>
      </w:r>
      <w:proofErr w:type="gramStart"/>
      <w:r w:rsidRPr="00CE48A1">
        <w:rPr>
          <w:sz w:val="19"/>
          <w:szCs w:val="19"/>
        </w:rPr>
        <w:t>crore</w:t>
      </w:r>
      <w:proofErr w:type="gramEnd"/>
      <w:r w:rsidRPr="00CE48A1">
        <w:rPr>
          <w:sz w:val="19"/>
          <w:szCs w:val="19"/>
        </w:rPr>
        <w:t xml:space="preserve">. This is against Rs. 3,74,994 </w:t>
      </w:r>
      <w:proofErr w:type="gramStart"/>
      <w:r w:rsidRPr="00CE48A1">
        <w:rPr>
          <w:sz w:val="19"/>
          <w:szCs w:val="19"/>
        </w:rPr>
        <w:t>crore</w:t>
      </w:r>
      <w:proofErr w:type="gramEnd"/>
      <w:r w:rsidRPr="00CE48A1">
        <w:rPr>
          <w:sz w:val="19"/>
          <w:szCs w:val="19"/>
        </w:rPr>
        <w:t xml:space="preserve"> in the forecast of the Union Government. </w:t>
      </w:r>
      <w:proofErr w:type="gramStart"/>
      <w:r w:rsidRPr="00CE48A1">
        <w:rPr>
          <w:sz w:val="19"/>
          <w:szCs w:val="19"/>
        </w:rPr>
        <w:t>Thus</w:t>
      </w:r>
      <w:proofErr w:type="gramEnd"/>
      <w:r w:rsidRPr="00CE48A1">
        <w:rPr>
          <w:sz w:val="19"/>
          <w:szCs w:val="19"/>
        </w:rPr>
        <w:t xml:space="preserve"> we are allowing non-Plan revenue expenditure at the level of about 85 per cent of what the Ministry of Finance has indicated in its forecast. On the side of revenue receipts our assessment raises the Ministry's estimate by only 10.7 per cent. We have deliberately moderated our reassessment of the Centre's forecast. This is because we know that the initial stages of correcting a trend that has been in vogue for a long time will be extremely difficult and we do not want to set too high a target for that effort. We, therefore, expect that the Central Government would be able to achieve the reasonable target of Rs. 1,49,271 </w:t>
      </w:r>
      <w:proofErr w:type="gramStart"/>
      <w:r w:rsidRPr="00CE48A1">
        <w:rPr>
          <w:sz w:val="19"/>
          <w:szCs w:val="19"/>
        </w:rPr>
        <w:t>crore</w:t>
      </w:r>
      <w:proofErr w:type="gramEnd"/>
      <w:r w:rsidRPr="00CE48A1">
        <w:rPr>
          <w:sz w:val="19"/>
          <w:szCs w:val="19"/>
        </w:rPr>
        <w:t xml:space="preserve"> of non-Plan pre-devolution revenue surplus for the Eighth Plan period. A summary of our reassessment of the Central Government's forecast is given in Annexure IV.1.</w:t>
      </w:r>
    </w:p>
    <w:p w14:paraId="48250143" w14:textId="526DB194" w:rsidR="00AA13AE" w:rsidRPr="00AA6AF4" w:rsidRDefault="00AA13AE">
      <w:pPr>
        <w:rPr>
          <w:rFonts w:ascii="Times New Roman" w:hAnsi="Times New Roman" w:cs="Times New Roman"/>
          <w:szCs w:val="24"/>
        </w:rPr>
      </w:pPr>
      <w:r w:rsidRPr="00AA6AF4">
        <w:rPr>
          <w:rFonts w:ascii="Times New Roman" w:hAnsi="Times New Roman" w:cs="Times New Roman"/>
          <w:szCs w:val="24"/>
        </w:rPr>
        <w:br w:type="page"/>
      </w:r>
    </w:p>
    <w:p w14:paraId="05A680A0" w14:textId="3B3BB84A" w:rsidR="00AA13AE" w:rsidRPr="00AA4076" w:rsidRDefault="00AA4076" w:rsidP="007526EE">
      <w:pPr>
        <w:pStyle w:val="Heading1"/>
        <w:spacing w:line="220" w:lineRule="exact"/>
        <w:ind w:left="0" w:hanging="6"/>
        <w:rPr>
          <w:sz w:val="24"/>
          <w:szCs w:val="24"/>
        </w:rPr>
      </w:pPr>
      <w:r>
        <w:lastRenderedPageBreak/>
        <w:br/>
      </w:r>
      <w:bookmarkStart w:id="9" w:name="_Toc221292961"/>
      <w:bookmarkStart w:id="10" w:name="_Toc222399453"/>
      <w:r w:rsidR="00AA13AE" w:rsidRPr="00AA4076">
        <w:rPr>
          <w:sz w:val="24"/>
          <w:szCs w:val="24"/>
        </w:rPr>
        <w:t>DEVOLUTION OF TAXES, DISTRIBUTION OF ADDITIONAL EXCISE DUTIES AND GRANT IN LIEU OF TAX ON RAILWAY PASSENGER FARES</w:t>
      </w:r>
      <w:bookmarkEnd w:id="9"/>
      <w:bookmarkEnd w:id="10"/>
    </w:p>
    <w:p w14:paraId="5FA11D7D" w14:textId="16688532" w:rsidR="00AA13AE" w:rsidRPr="00CE48A1" w:rsidRDefault="00AA13AE" w:rsidP="000F1069">
      <w:pPr>
        <w:pStyle w:val="Heading3"/>
        <w:spacing w:after="0" w:line="180" w:lineRule="exact"/>
        <w:rPr>
          <w:sz w:val="19"/>
          <w:szCs w:val="19"/>
        </w:rPr>
      </w:pPr>
      <w:r w:rsidRPr="00CE48A1">
        <w:rPr>
          <w:sz w:val="19"/>
          <w:szCs w:val="19"/>
        </w:rPr>
        <w:t>In this Chapter we make our recommendations regarding the distribution between the Union and the States of the net proceeds of taxes which are to be, or may be, divided between them under Chapter I of Part XII of the Constitution and the allocation between the States of their respective shares of such proceeds. This Chapter also includes our recommendations on two additional issues, namely,</w:t>
      </w:r>
    </w:p>
    <w:p w14:paraId="42F53A6C" w14:textId="77777777" w:rsidR="00AA13AE" w:rsidRPr="00CE48A1" w:rsidRDefault="00AA13AE" w:rsidP="000F1069">
      <w:pPr>
        <w:spacing w:after="0" w:line="180" w:lineRule="exact"/>
        <w:ind w:left="709"/>
        <w:jc w:val="both"/>
        <w:rPr>
          <w:rFonts w:ascii="Times New Roman" w:hAnsi="Times New Roman" w:cs="Times New Roman"/>
          <w:sz w:val="19"/>
          <w:szCs w:val="19"/>
        </w:rPr>
      </w:pPr>
      <w:r w:rsidRPr="00CE48A1">
        <w:rPr>
          <w:rFonts w:ascii="Times New Roman" w:hAnsi="Times New Roman" w:cs="Times New Roman"/>
          <w:sz w:val="19"/>
          <w:szCs w:val="19"/>
        </w:rPr>
        <w:t xml:space="preserve">(I) The principles on which the shares of the net proceeds of Additional Duties of Excise in lieu of Sales Tax should be distributed among the States and </w:t>
      </w:r>
      <w:proofErr w:type="gramStart"/>
      <w:r w:rsidRPr="00CE48A1">
        <w:rPr>
          <w:rFonts w:ascii="Times New Roman" w:hAnsi="Times New Roman" w:cs="Times New Roman"/>
          <w:sz w:val="19"/>
          <w:szCs w:val="19"/>
        </w:rPr>
        <w:t>their</w:t>
      </w:r>
      <w:proofErr w:type="gramEnd"/>
      <w:r w:rsidRPr="00CE48A1">
        <w:rPr>
          <w:rFonts w:ascii="Times New Roman" w:hAnsi="Times New Roman" w:cs="Times New Roman"/>
          <w:sz w:val="19"/>
          <w:szCs w:val="19"/>
        </w:rPr>
        <w:t xml:space="preserve"> inter se shares therefrom; and</w:t>
      </w:r>
    </w:p>
    <w:p w14:paraId="54CF1E4B" w14:textId="77777777" w:rsidR="00AA13AE" w:rsidRPr="00CE48A1" w:rsidRDefault="00AA13AE" w:rsidP="000F1069">
      <w:pPr>
        <w:spacing w:after="0" w:line="180" w:lineRule="exact"/>
        <w:ind w:left="709"/>
        <w:jc w:val="both"/>
        <w:rPr>
          <w:rFonts w:ascii="Times New Roman" w:hAnsi="Times New Roman" w:cs="Times New Roman"/>
          <w:sz w:val="19"/>
          <w:szCs w:val="19"/>
        </w:rPr>
      </w:pPr>
      <w:r w:rsidRPr="00CE48A1">
        <w:rPr>
          <w:rFonts w:ascii="Times New Roman" w:hAnsi="Times New Roman" w:cs="Times New Roman"/>
          <w:sz w:val="19"/>
          <w:szCs w:val="19"/>
        </w:rPr>
        <w:t>(II) The principles which should govern the distribution among the States of grants to be made available to them in lieu of the repealed Railway Passenger Fares Tax Act, 1957, and all related issues.</w:t>
      </w:r>
    </w:p>
    <w:p w14:paraId="28CA1404" w14:textId="77777777" w:rsidR="00AA13AE" w:rsidRPr="00CE48A1" w:rsidRDefault="00AA13AE" w:rsidP="000F1069">
      <w:pPr>
        <w:spacing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Income Tax</w:t>
      </w:r>
    </w:p>
    <w:p w14:paraId="6B6E9F17" w14:textId="508A34CC" w:rsidR="00AA13AE" w:rsidRPr="00CE48A1" w:rsidRDefault="00AA13AE" w:rsidP="000F1069">
      <w:pPr>
        <w:pStyle w:val="Heading3"/>
        <w:spacing w:after="0" w:line="180" w:lineRule="exact"/>
        <w:rPr>
          <w:sz w:val="19"/>
          <w:szCs w:val="19"/>
        </w:rPr>
      </w:pPr>
      <w:r w:rsidRPr="00CE48A1">
        <w:rPr>
          <w:sz w:val="19"/>
          <w:szCs w:val="19"/>
        </w:rPr>
        <w:t xml:space="preserve">Under paragraph 3(a) of our terms of </w:t>
      </w:r>
      <w:proofErr w:type="gramStart"/>
      <w:r w:rsidRPr="00CE48A1">
        <w:rPr>
          <w:sz w:val="19"/>
          <w:szCs w:val="19"/>
        </w:rPr>
        <w:t>reference</w:t>
      </w:r>
      <w:proofErr w:type="gramEnd"/>
      <w:r w:rsidRPr="00CE48A1">
        <w:rPr>
          <w:sz w:val="19"/>
          <w:szCs w:val="19"/>
        </w:rPr>
        <w:t xml:space="preserve"> we are required to make recommendation as to the distribution of the net proceeds of Income Tax between the Union and the States, the allocation of shares among the States inter se and the determination of the net proceeds attributable to the Union Territories.</w:t>
      </w:r>
    </w:p>
    <w:p w14:paraId="0DDA13B2" w14:textId="4C94BFDD" w:rsidR="00AA13AE" w:rsidRPr="00CE48A1" w:rsidRDefault="00AA13AE" w:rsidP="000F1069">
      <w:pPr>
        <w:pStyle w:val="Heading3"/>
        <w:spacing w:after="0" w:line="180" w:lineRule="exact"/>
        <w:rPr>
          <w:sz w:val="19"/>
          <w:szCs w:val="19"/>
        </w:rPr>
      </w:pPr>
      <w:r w:rsidRPr="00CE48A1">
        <w:rPr>
          <w:sz w:val="19"/>
          <w:szCs w:val="19"/>
        </w:rPr>
        <w:t xml:space="preserve">Since the submission of our first report, we have had further discussions with the States and have also taken into consideration the additional submissions which some of the States had made to us. </w:t>
      </w:r>
      <w:proofErr w:type="gramStart"/>
      <w:r w:rsidRPr="00CE48A1">
        <w:rPr>
          <w:sz w:val="19"/>
          <w:szCs w:val="19"/>
        </w:rPr>
        <w:t>Consequently</w:t>
      </w:r>
      <w:proofErr w:type="gramEnd"/>
      <w:r w:rsidRPr="00CE48A1">
        <w:rPr>
          <w:sz w:val="19"/>
          <w:szCs w:val="19"/>
        </w:rPr>
        <w:t xml:space="preserve"> the recommendations we are making now are somewhat different from those we have made in our first report.</w:t>
      </w:r>
    </w:p>
    <w:p w14:paraId="02323B28" w14:textId="2618A7DA" w:rsidR="00AA13AE" w:rsidRPr="00CE48A1" w:rsidRDefault="00AA13AE" w:rsidP="000F1069">
      <w:pPr>
        <w:pStyle w:val="Heading3"/>
        <w:spacing w:after="0" w:line="180" w:lineRule="exact"/>
        <w:rPr>
          <w:sz w:val="19"/>
          <w:szCs w:val="19"/>
        </w:rPr>
      </w:pPr>
      <w:r w:rsidRPr="00CE48A1">
        <w:rPr>
          <w:sz w:val="19"/>
          <w:szCs w:val="19"/>
        </w:rPr>
        <w:t>With the enactment of the Finance Act, 1989, the extension of the Income Tax Act, 1961, to Sikkim from the assessment year 1990-91 onwards has been formalised. Therefore, the State-wise shares of Income Tax that we prescribe include the share of Sikkim also.</w:t>
      </w:r>
    </w:p>
    <w:p w14:paraId="5C141671" w14:textId="018A5DF5" w:rsidR="00AA13AE" w:rsidRPr="00CE48A1" w:rsidRDefault="00AA13AE" w:rsidP="000F1069">
      <w:pPr>
        <w:pStyle w:val="Heading3"/>
        <w:spacing w:after="0" w:line="180" w:lineRule="exact"/>
        <w:rPr>
          <w:sz w:val="19"/>
          <w:szCs w:val="19"/>
        </w:rPr>
      </w:pPr>
      <w:r w:rsidRPr="00CE48A1">
        <w:rPr>
          <w:sz w:val="19"/>
          <w:szCs w:val="19"/>
        </w:rPr>
        <w:t>We have to prescribe the shares of the Union Territories in the divisible pool of Income Tax under Article 270(3) of the Constitution. As regards the allocation of shares to Union Territories, we propose to follow the same procedure as we did in the first report. All the Union Territories would be treated notionally together as one unit for the purpose of our scheme of devolution and we prescribe the share of Union Territories at 1.437 per cent.</w:t>
      </w:r>
    </w:p>
    <w:p w14:paraId="09ADCDA4" w14:textId="456004F7" w:rsidR="00AA13AE" w:rsidRPr="00CE48A1" w:rsidRDefault="00AA13AE" w:rsidP="000F1069">
      <w:pPr>
        <w:pStyle w:val="Heading3"/>
        <w:spacing w:after="0" w:line="180" w:lineRule="exact"/>
        <w:rPr>
          <w:sz w:val="19"/>
          <w:szCs w:val="19"/>
        </w:rPr>
      </w:pPr>
      <w:r w:rsidRPr="00CE48A1">
        <w:rPr>
          <w:sz w:val="19"/>
          <w:szCs w:val="19"/>
        </w:rPr>
        <w:t xml:space="preserve">In our first report we had retained the States' share at 85 per cent of the divisible pool. We had pointed out </w:t>
      </w:r>
      <w:proofErr w:type="spellStart"/>
      <w:r w:rsidRPr="00CE48A1">
        <w:rPr>
          <w:sz w:val="19"/>
          <w:szCs w:val="19"/>
        </w:rPr>
        <w:t>therein</w:t>
      </w:r>
      <w:proofErr w:type="spellEnd"/>
      <w:r w:rsidRPr="00CE48A1">
        <w:rPr>
          <w:sz w:val="19"/>
          <w:szCs w:val="19"/>
        </w:rPr>
        <w:t xml:space="preserve"> that almost all State Governments had asked for the enlargement of the States' share beyond the present level of 85 per cent. We have duly considered the suggestions made by the State Governments but we do not consider it necessary to increase the States' share beyond 85 per cent.</w:t>
      </w:r>
    </w:p>
    <w:p w14:paraId="6BB6B5DC" w14:textId="3D970DA1" w:rsidR="00AA13AE" w:rsidRPr="00CE48A1" w:rsidRDefault="00AA13AE" w:rsidP="000F1069">
      <w:pPr>
        <w:pStyle w:val="Heading3"/>
        <w:spacing w:after="0" w:line="180" w:lineRule="exact"/>
        <w:rPr>
          <w:sz w:val="19"/>
          <w:szCs w:val="19"/>
        </w:rPr>
      </w:pPr>
      <w:r w:rsidRPr="00CE48A1">
        <w:rPr>
          <w:sz w:val="19"/>
          <w:szCs w:val="19"/>
        </w:rPr>
        <w:t xml:space="preserve">Among the criteria to be adopted for the distribution of Income Tax among the States, we had assigned a weight of 10 per cent to 'contribution' in our first report. While the opinion on giving weight to 'contribution' was divided among the States, we cannot ignore the fact that the State Governments do play a role in providing infrastructural wherewithal and facilities and services. It is also to be borne in mind that States which move forward economically tend to gain on the basis of this criterion, while "deficit" States do not lose, given the basic logic underlying our scheme of transfers. On a balance of </w:t>
      </w:r>
      <w:proofErr w:type="gramStart"/>
      <w:r w:rsidRPr="00CE48A1">
        <w:rPr>
          <w:sz w:val="19"/>
          <w:szCs w:val="19"/>
        </w:rPr>
        <w:t>considerations</w:t>
      </w:r>
      <w:proofErr w:type="gramEnd"/>
      <w:r w:rsidRPr="00CE48A1">
        <w:rPr>
          <w:sz w:val="19"/>
          <w:szCs w:val="19"/>
        </w:rPr>
        <w:t xml:space="preserve"> we, therefore, propose to retain the weight of 10 per cent to 'contribution'. The relevant data relating to Income Tax assessments for the latest three years 1985-86 to 1987-88 have been obtained by us from the Union Finance Ministry (Annexure V.1).</w:t>
      </w:r>
    </w:p>
    <w:p w14:paraId="5B6BBC58" w14:textId="28E66C64" w:rsidR="00AA13AE" w:rsidRPr="00CE48A1" w:rsidRDefault="00AA13AE" w:rsidP="000F1069">
      <w:pPr>
        <w:pStyle w:val="Heading3"/>
        <w:spacing w:after="0" w:line="180" w:lineRule="exact"/>
        <w:rPr>
          <w:sz w:val="19"/>
          <w:szCs w:val="19"/>
        </w:rPr>
      </w:pPr>
      <w:r w:rsidRPr="00CE48A1">
        <w:rPr>
          <w:sz w:val="19"/>
          <w:szCs w:val="19"/>
        </w:rPr>
        <w:t xml:space="preserve">We had given pronounced weight to the "distance" of the per capita income of the State from that of the State with the highest per capita income multiplied by the population of the concerned State in 1971. There was no controversy attached to this factor which was considered quite progressive and was welcomed widely by the States and the general body of professional experts. We propose to retain "distance" as a factor and assign to it a weight of 48 per cent. The per capita SDP data which we are using relate to 1982-85 as in the first report but are based on the new revised SDP series which we have obtained from the Central Statistical Organisation. The per capita SDP data are given in Annexure V.2. The methodology adopted for arriving at the "distance" of various States is the same as that prescribed in our first report. Goa has the highest per capita income according to the data available with us. We, however, find it difficult to consider Goa as a representative State for measuring the "distance" of per capita income among the States because it is too small in area and in population. </w:t>
      </w:r>
      <w:proofErr w:type="gramStart"/>
      <w:r w:rsidRPr="00CE48A1">
        <w:rPr>
          <w:sz w:val="19"/>
          <w:szCs w:val="19"/>
        </w:rPr>
        <w:t>Also</w:t>
      </w:r>
      <w:proofErr w:type="gramEnd"/>
      <w:r w:rsidRPr="00CE48A1">
        <w:rPr>
          <w:sz w:val="19"/>
          <w:szCs w:val="19"/>
        </w:rPr>
        <w:t xml:space="preserve"> the data for the State of Goa are available only for a few years. We have, therefore, chosen Punjab which has the next highest per capita income for purposes of measuring the "distance" factor. In order, however, to protect the interests of Goa and Punjab and to give these States too this benefit, we have adopted the "distance" of the next highest income State which is Maharashtra for measuring the notional "distance" of three states, namely, Goa, Punjab and Maharashtra and also the share of the Union Territories. The "distance" so derived for each State is multiplied by the population of 1971, and the products give the relative shares of the States in the devolution portion (45%) assigned to the factor of "distance".</w:t>
      </w:r>
    </w:p>
    <w:p w14:paraId="4F256CE3" w14:textId="1CBC6572" w:rsidR="00AA13AE" w:rsidRPr="00CE48A1" w:rsidRDefault="00AA13AE" w:rsidP="000F1069">
      <w:pPr>
        <w:pStyle w:val="Heading3"/>
        <w:spacing w:after="0" w:line="180" w:lineRule="exact"/>
        <w:rPr>
          <w:sz w:val="19"/>
          <w:szCs w:val="19"/>
        </w:rPr>
      </w:pPr>
      <w:r w:rsidRPr="00CE48A1">
        <w:rPr>
          <w:sz w:val="19"/>
          <w:szCs w:val="19"/>
        </w:rPr>
        <w:t>Population as a factor for the distribution of taxes has been given different weights by successive Finance Commissions. The previous Finance Commission assigned 22.5 per cent weight to this factor in the distribution of the share. Population is considered to be a significant determinant of the needs of the people. However, since population is used as a scale factor in applying the "distance" and the "inverse of per capita income" criteria, even with a separate weight of only 22.5 per cent to population, it gets a much higher weight in the overall scheme. Therefore, the weight currently being assigned to population, namely, 22.5 per cent (25 per cent of the 90 per cent) in the devolution of Income Tax would remain unchanged.</w:t>
      </w:r>
    </w:p>
    <w:p w14:paraId="6E39BE00" w14:textId="4EA5CA8C" w:rsidR="00B9660F" w:rsidRPr="00CE48A1" w:rsidRDefault="00AA13AE" w:rsidP="000F1069">
      <w:pPr>
        <w:pStyle w:val="Heading3"/>
        <w:spacing w:after="0" w:line="180" w:lineRule="exact"/>
        <w:rPr>
          <w:sz w:val="19"/>
          <w:szCs w:val="19"/>
        </w:rPr>
      </w:pPr>
      <w:r w:rsidRPr="00CE48A1">
        <w:rPr>
          <w:sz w:val="19"/>
          <w:szCs w:val="19"/>
        </w:rPr>
        <w:t>In our first report we had assigned a weight of 11.25 per cent to the inverse of per capita income of the State multiplied by 1971 population and an identical weight to the proportion of poor people in the State to the total number of poor people in the country. In our first report, we had said that the consensus in the Commission was "that the exclusive use of per capita income in addition to population would also not be appropriate because this measure does not adequately capture or reflect the state of well-being or otherwise among the majority of population of the States". We had also taken note of the argument adduced by some, that if a criterion in addition to per capita income and population should be used, it should be some other appropriate</w:t>
      </w:r>
      <w:r w:rsidR="008D1685" w:rsidRPr="00CE48A1">
        <w:rPr>
          <w:sz w:val="19"/>
          <w:szCs w:val="19"/>
        </w:rPr>
        <w:t xml:space="preserve"> </w:t>
      </w:r>
      <w:r w:rsidR="00B9660F" w:rsidRPr="00CE48A1">
        <w:rPr>
          <w:sz w:val="19"/>
          <w:szCs w:val="19"/>
        </w:rPr>
        <w:t>indicator of backwardness and not the relative number of poor people in a State. As indicated in the first report, we had a dialogue with the State Governments on this matter and also consulted leading economists and other experts. Several States did not approve of the introduction of the index of population below the poverty line in the devolution formula. They felt that State-wise data on the number of poor people below the poverty line were not statistically reliable. The argument was also advanced that the methodology of measurement was not conceptually sound because it had assumed the same amount of calorie requirement in all places regardless of terrain and climate and had also ignored price differentials. Some of the economists also felt that the degree of poverty as such was not a relevant criterion in deciding upon budgetary allocations. Since, even the backward States such as Madhya Pradesh, Orissa, Rajasthan and Uttar Pradesh did not favour the use of the criterion of people below the poverty line in the devolution formula, we have decided to drop it. However, in order to supplement the use of per capita SDP, we have evolved a composite index of backwardness based on more sturdy data. The composite index of backwardness evolved by us comprises a combination of two indices, namely, population of Scheduled Castes and Scheduled Tribes and the number of agricultural labourers in different States, as revealed in the census for 1981. We feel that these two indicators would serve to reflect poverty and backwardness in large measure. An additional reason for adopting this criterion in the formula of devolution is to reduce the very high weight given to the factor of population, directly and indirectly. We have assigned equal weight in our computation to the two factors. The States having larger share of these two components are required to bear substantial expenditure responsibilities. The census data for Assam for 1981 are not available and, therefore, the figures have been derived by taking the 1971 data and by applying thereto the past growth rates of population. To this new criterion the data relating to which are shown in Annexures V.3A and V.3B we assign a weight of 11.25 percent.</w:t>
      </w:r>
    </w:p>
    <w:p w14:paraId="383AFB1D" w14:textId="198D9DDE" w:rsidR="00B9660F" w:rsidRPr="00CE48A1" w:rsidRDefault="00B9660F" w:rsidP="000F1069">
      <w:pPr>
        <w:pStyle w:val="Heading3"/>
        <w:spacing w:after="0" w:line="180" w:lineRule="exact"/>
        <w:rPr>
          <w:sz w:val="19"/>
          <w:szCs w:val="19"/>
        </w:rPr>
      </w:pPr>
      <w:r w:rsidRPr="00CE48A1">
        <w:rPr>
          <w:sz w:val="19"/>
          <w:szCs w:val="19"/>
        </w:rPr>
        <w:lastRenderedPageBreak/>
        <w:t>We propose to retain the weight of 11.25 percent to the factor of inverse of per capita income multiplied by the population of the State for 1971.</w:t>
      </w:r>
    </w:p>
    <w:p w14:paraId="49C05DC7" w14:textId="5206D17C" w:rsidR="00B9660F" w:rsidRPr="00CE48A1" w:rsidRDefault="00B9660F" w:rsidP="000F1069">
      <w:pPr>
        <w:pStyle w:val="Heading3"/>
        <w:spacing w:after="0" w:line="180" w:lineRule="exact"/>
        <w:rPr>
          <w:sz w:val="19"/>
          <w:szCs w:val="19"/>
        </w:rPr>
      </w:pPr>
      <w:r w:rsidRPr="00CE48A1">
        <w:rPr>
          <w:sz w:val="19"/>
          <w:szCs w:val="19"/>
        </w:rPr>
        <w:t xml:space="preserve"> To sum up, we recommend that the shareable proceeds of Income Tax be distributed among the States in the following manner:</w:t>
      </w:r>
    </w:p>
    <w:p w14:paraId="73DA77C0" w14:textId="72778699" w:rsidR="00B9660F" w:rsidRPr="00CE48A1" w:rsidRDefault="00B9660F">
      <w:pPr>
        <w:pStyle w:val="ListParagraph"/>
        <w:numPr>
          <w:ilvl w:val="0"/>
          <w:numId w:val="27"/>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10 per cent on the basis of "contribution" as measured by the assessment of Income Tax for the years 1985-86 to 1987-88.</w:t>
      </w:r>
    </w:p>
    <w:p w14:paraId="1F310680" w14:textId="29FF847E" w:rsidR="00B9660F" w:rsidRPr="00CE48A1" w:rsidRDefault="00B9660F">
      <w:pPr>
        <w:pStyle w:val="ListParagraph"/>
        <w:numPr>
          <w:ilvl w:val="0"/>
          <w:numId w:val="27"/>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45 per cent on the basis of "distance" of the per capita income of a State from that of the State with the highest per capita income multiplied by the 1971 population of the State concerned as indicated in paragraph 5.8.</w:t>
      </w:r>
    </w:p>
    <w:p w14:paraId="36D318D1" w14:textId="2F9FDBF7" w:rsidR="00B9660F" w:rsidRPr="00CE48A1" w:rsidRDefault="00B9660F">
      <w:pPr>
        <w:pStyle w:val="ListParagraph"/>
        <w:numPr>
          <w:ilvl w:val="0"/>
          <w:numId w:val="27"/>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22.5 per cent on the basis of the population of the State in 1971.</w:t>
      </w:r>
    </w:p>
    <w:p w14:paraId="5B6BEC3B" w14:textId="541C58B4" w:rsidR="00B9660F" w:rsidRPr="00CE48A1" w:rsidRDefault="00B9660F">
      <w:pPr>
        <w:pStyle w:val="ListParagraph"/>
        <w:numPr>
          <w:ilvl w:val="0"/>
          <w:numId w:val="27"/>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11.25 per cent on the basis of a composite index of backwardness compiled by us.</w:t>
      </w:r>
    </w:p>
    <w:p w14:paraId="56527943" w14:textId="77EEE07C" w:rsidR="00B9660F" w:rsidRPr="00CE48A1" w:rsidRDefault="00B9660F">
      <w:pPr>
        <w:pStyle w:val="ListParagraph"/>
        <w:numPr>
          <w:ilvl w:val="0"/>
          <w:numId w:val="27"/>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11.25 per cent on the basis of the inverse of per capita income multiplied by the population of the State in 1971.</w:t>
      </w:r>
    </w:p>
    <w:p w14:paraId="3502D369" w14:textId="5EE9A0A2" w:rsidR="00B9660F" w:rsidRPr="00CE48A1" w:rsidRDefault="00B9660F" w:rsidP="000F1069">
      <w:pPr>
        <w:pStyle w:val="Heading3"/>
        <w:spacing w:after="0" w:line="180" w:lineRule="exact"/>
        <w:rPr>
          <w:sz w:val="19"/>
          <w:szCs w:val="19"/>
        </w:rPr>
      </w:pPr>
      <w:r w:rsidRPr="00CE48A1">
        <w:rPr>
          <w:sz w:val="19"/>
          <w:szCs w:val="19"/>
        </w:rPr>
        <w:t>To conclude, we recommend that for the period 1990-91 to 1994-95:</w:t>
      </w:r>
    </w:p>
    <w:p w14:paraId="48753557" w14:textId="0AE5B459" w:rsidR="00B9660F" w:rsidRPr="00CE48A1" w:rsidRDefault="00B9660F">
      <w:pPr>
        <w:pStyle w:val="ListParagraph"/>
        <w:numPr>
          <w:ilvl w:val="0"/>
          <w:numId w:val="28"/>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Out of the net distributable proceeds of Income Tax, a sum equal to 1.437 per cent shall be deemed to represent the proceeds attributable to Union Territories;</w:t>
      </w:r>
    </w:p>
    <w:p w14:paraId="538C2E69" w14:textId="4932E7BA" w:rsidR="00B9660F" w:rsidRPr="00CE48A1" w:rsidRDefault="00B9660F">
      <w:pPr>
        <w:pStyle w:val="ListParagraph"/>
        <w:numPr>
          <w:ilvl w:val="0"/>
          <w:numId w:val="28"/>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the share of net Income Tax proceeds assigned to the States should be 85 per cent; and</w:t>
      </w:r>
    </w:p>
    <w:p w14:paraId="43DD49E3" w14:textId="04E62063" w:rsidR="00B9660F" w:rsidRDefault="00B9660F">
      <w:pPr>
        <w:pStyle w:val="ListParagraph"/>
        <w:numPr>
          <w:ilvl w:val="0"/>
          <w:numId w:val="28"/>
        </w:numPr>
        <w:spacing w:after="0" w:line="180" w:lineRule="exact"/>
        <w:jc w:val="both"/>
        <w:rPr>
          <w:rFonts w:ascii="Times New Roman" w:hAnsi="Times New Roman" w:cs="Times New Roman"/>
          <w:sz w:val="19"/>
          <w:szCs w:val="19"/>
        </w:rPr>
      </w:pPr>
      <w:r w:rsidRPr="00CE48A1">
        <w:rPr>
          <w:rFonts w:ascii="Times New Roman" w:hAnsi="Times New Roman" w:cs="Times New Roman"/>
          <w:sz w:val="19"/>
          <w:szCs w:val="19"/>
        </w:rPr>
        <w:t xml:space="preserve">the distribution among the States of the share assigned to each of them in each financial year should be on the basis of the percentages shown in the table </w:t>
      </w:r>
      <w:r w:rsidR="00CE48A1" w:rsidRPr="00CE48A1">
        <w:rPr>
          <w:rFonts w:ascii="Times New Roman" w:hAnsi="Times New Roman" w:cs="Times New Roman"/>
          <w:sz w:val="19"/>
          <w:szCs w:val="19"/>
        </w:rPr>
        <w:t>below:</w:t>
      </w:r>
      <w:r w:rsidR="00CE48A1">
        <w:rPr>
          <w:rFonts w:ascii="Times New Roman" w:hAnsi="Times New Roman" w:cs="Times New Roman"/>
          <w:sz w:val="19"/>
          <w:szCs w:val="19"/>
        </w:rPr>
        <w:t xml:space="preserve"> -</w:t>
      </w:r>
    </w:p>
    <w:p w14:paraId="609DA7DA" w14:textId="77777777" w:rsidR="00CE48A1" w:rsidRPr="00CE48A1" w:rsidRDefault="00CE48A1" w:rsidP="000F1069">
      <w:pPr>
        <w:pStyle w:val="ListParagraph"/>
        <w:spacing w:after="0" w:line="180" w:lineRule="exact"/>
        <w:ind w:left="1080"/>
        <w:jc w:val="both"/>
        <w:rPr>
          <w:rFonts w:ascii="Times New Roman" w:hAnsi="Times New Roman" w:cs="Times New Roman"/>
          <w:sz w:val="19"/>
          <w:szCs w:val="19"/>
        </w:rPr>
      </w:pPr>
    </w:p>
    <w:p w14:paraId="71B76179" w14:textId="77777777" w:rsidR="00B9660F" w:rsidRPr="00CE48A1" w:rsidRDefault="00B9660F" w:rsidP="000F1069">
      <w:pPr>
        <w:spacing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Share of States from Income Tax: 1990-91 to 1994-95</w:t>
      </w:r>
    </w:p>
    <w:tbl>
      <w:tblPr>
        <w:tblStyle w:val="TableGrid"/>
        <w:tblW w:w="5240" w:type="dxa"/>
        <w:jc w:val="center"/>
        <w:tblLook w:val="04A0" w:firstRow="1" w:lastRow="0" w:firstColumn="1" w:lastColumn="0" w:noHBand="0" w:noVBand="1"/>
      </w:tblPr>
      <w:tblGrid>
        <w:gridCol w:w="1129"/>
        <w:gridCol w:w="1985"/>
        <w:gridCol w:w="2126"/>
      </w:tblGrid>
      <w:tr w:rsidR="00B9660F" w:rsidRPr="00CE48A1" w14:paraId="4C86AD19" w14:textId="77777777" w:rsidTr="000F1069">
        <w:trPr>
          <w:trHeight w:val="20"/>
          <w:jc w:val="center"/>
        </w:trPr>
        <w:tc>
          <w:tcPr>
            <w:tcW w:w="1129" w:type="dxa"/>
            <w:hideMark/>
          </w:tcPr>
          <w:p w14:paraId="232346A9" w14:textId="77777777" w:rsidR="00B9660F" w:rsidRPr="00CE48A1" w:rsidRDefault="00B9660F" w:rsidP="000F1069">
            <w:pPr>
              <w:pStyle w:val="NoSpacing"/>
              <w:spacing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S. No.</w:t>
            </w:r>
          </w:p>
        </w:tc>
        <w:tc>
          <w:tcPr>
            <w:tcW w:w="1985" w:type="dxa"/>
            <w:hideMark/>
          </w:tcPr>
          <w:p w14:paraId="1B5A83DC" w14:textId="77777777" w:rsidR="00B9660F" w:rsidRPr="00CE48A1" w:rsidRDefault="00B9660F" w:rsidP="000F1069">
            <w:pPr>
              <w:pStyle w:val="NoSpacing"/>
              <w:spacing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States</w:t>
            </w:r>
          </w:p>
        </w:tc>
        <w:tc>
          <w:tcPr>
            <w:tcW w:w="2126" w:type="dxa"/>
            <w:hideMark/>
          </w:tcPr>
          <w:p w14:paraId="7A8146D1" w14:textId="77777777" w:rsidR="00B9660F" w:rsidRPr="00CE48A1" w:rsidRDefault="00B9660F" w:rsidP="000F1069">
            <w:pPr>
              <w:pStyle w:val="NoSpacing"/>
              <w:spacing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Percentage Share</w:t>
            </w:r>
          </w:p>
        </w:tc>
      </w:tr>
      <w:tr w:rsidR="00B9660F" w:rsidRPr="00CE48A1" w14:paraId="6DFB1131" w14:textId="77777777" w:rsidTr="000F1069">
        <w:trPr>
          <w:trHeight w:val="20"/>
          <w:jc w:val="center"/>
        </w:trPr>
        <w:tc>
          <w:tcPr>
            <w:tcW w:w="1129" w:type="dxa"/>
            <w:hideMark/>
          </w:tcPr>
          <w:p w14:paraId="65AB6495"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w:t>
            </w:r>
          </w:p>
        </w:tc>
        <w:tc>
          <w:tcPr>
            <w:tcW w:w="1985" w:type="dxa"/>
            <w:hideMark/>
          </w:tcPr>
          <w:p w14:paraId="7B3E936C"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Andhra Pradesh</w:t>
            </w:r>
          </w:p>
        </w:tc>
        <w:tc>
          <w:tcPr>
            <w:tcW w:w="2126" w:type="dxa"/>
            <w:hideMark/>
          </w:tcPr>
          <w:p w14:paraId="2AAA9AA2"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8.208</w:t>
            </w:r>
          </w:p>
        </w:tc>
      </w:tr>
      <w:tr w:rsidR="00B9660F" w:rsidRPr="00CE48A1" w14:paraId="0D6FC89B" w14:textId="77777777" w:rsidTr="000F1069">
        <w:trPr>
          <w:trHeight w:val="20"/>
          <w:jc w:val="center"/>
        </w:trPr>
        <w:tc>
          <w:tcPr>
            <w:tcW w:w="1129" w:type="dxa"/>
            <w:hideMark/>
          </w:tcPr>
          <w:p w14:paraId="53CF648F"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w:t>
            </w:r>
          </w:p>
        </w:tc>
        <w:tc>
          <w:tcPr>
            <w:tcW w:w="1985" w:type="dxa"/>
            <w:hideMark/>
          </w:tcPr>
          <w:p w14:paraId="5651A12F"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Arunachal Pradesh</w:t>
            </w:r>
          </w:p>
        </w:tc>
        <w:tc>
          <w:tcPr>
            <w:tcW w:w="2126" w:type="dxa"/>
            <w:hideMark/>
          </w:tcPr>
          <w:p w14:paraId="14A15CBF"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0.073</w:t>
            </w:r>
          </w:p>
        </w:tc>
      </w:tr>
      <w:tr w:rsidR="00B9660F" w:rsidRPr="00CE48A1" w14:paraId="6E276A17" w14:textId="77777777" w:rsidTr="000F1069">
        <w:trPr>
          <w:trHeight w:val="20"/>
          <w:jc w:val="center"/>
        </w:trPr>
        <w:tc>
          <w:tcPr>
            <w:tcW w:w="1129" w:type="dxa"/>
            <w:hideMark/>
          </w:tcPr>
          <w:p w14:paraId="146FA526"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3.</w:t>
            </w:r>
          </w:p>
        </w:tc>
        <w:tc>
          <w:tcPr>
            <w:tcW w:w="1985" w:type="dxa"/>
            <w:hideMark/>
          </w:tcPr>
          <w:p w14:paraId="1A1F572F"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Assam</w:t>
            </w:r>
          </w:p>
        </w:tc>
        <w:tc>
          <w:tcPr>
            <w:tcW w:w="2126" w:type="dxa"/>
            <w:hideMark/>
          </w:tcPr>
          <w:p w14:paraId="3F605847"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2.631</w:t>
            </w:r>
          </w:p>
        </w:tc>
      </w:tr>
      <w:tr w:rsidR="00B9660F" w:rsidRPr="00CE48A1" w14:paraId="2760D701" w14:textId="77777777" w:rsidTr="000F1069">
        <w:trPr>
          <w:trHeight w:val="20"/>
          <w:jc w:val="center"/>
        </w:trPr>
        <w:tc>
          <w:tcPr>
            <w:tcW w:w="1129" w:type="dxa"/>
            <w:hideMark/>
          </w:tcPr>
          <w:p w14:paraId="791DED70"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4.</w:t>
            </w:r>
          </w:p>
        </w:tc>
        <w:tc>
          <w:tcPr>
            <w:tcW w:w="1985" w:type="dxa"/>
            <w:hideMark/>
          </w:tcPr>
          <w:p w14:paraId="0C2ACFE9"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Bihar</w:t>
            </w:r>
          </w:p>
        </w:tc>
        <w:tc>
          <w:tcPr>
            <w:tcW w:w="2126" w:type="dxa"/>
            <w:hideMark/>
          </w:tcPr>
          <w:p w14:paraId="6176D89D"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12.418</w:t>
            </w:r>
          </w:p>
        </w:tc>
      </w:tr>
      <w:tr w:rsidR="00B9660F" w:rsidRPr="00CE48A1" w14:paraId="23F2755A" w14:textId="77777777" w:rsidTr="000F1069">
        <w:trPr>
          <w:trHeight w:val="20"/>
          <w:jc w:val="center"/>
        </w:trPr>
        <w:tc>
          <w:tcPr>
            <w:tcW w:w="1129" w:type="dxa"/>
            <w:hideMark/>
          </w:tcPr>
          <w:p w14:paraId="4924FE48"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5.</w:t>
            </w:r>
          </w:p>
        </w:tc>
        <w:tc>
          <w:tcPr>
            <w:tcW w:w="1985" w:type="dxa"/>
            <w:hideMark/>
          </w:tcPr>
          <w:p w14:paraId="2B3BDD7C"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Goa</w:t>
            </w:r>
          </w:p>
        </w:tc>
        <w:tc>
          <w:tcPr>
            <w:tcW w:w="2126" w:type="dxa"/>
            <w:hideMark/>
          </w:tcPr>
          <w:p w14:paraId="32ACA2E8"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0.110</w:t>
            </w:r>
          </w:p>
        </w:tc>
      </w:tr>
      <w:tr w:rsidR="00B9660F" w:rsidRPr="00CE48A1" w14:paraId="0DBDB85B" w14:textId="77777777" w:rsidTr="000F1069">
        <w:trPr>
          <w:trHeight w:val="20"/>
          <w:jc w:val="center"/>
        </w:trPr>
        <w:tc>
          <w:tcPr>
            <w:tcW w:w="1129" w:type="dxa"/>
            <w:hideMark/>
          </w:tcPr>
          <w:p w14:paraId="278CB3B8"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6.</w:t>
            </w:r>
          </w:p>
        </w:tc>
        <w:tc>
          <w:tcPr>
            <w:tcW w:w="1985" w:type="dxa"/>
            <w:hideMark/>
          </w:tcPr>
          <w:p w14:paraId="5BD77242"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Gujarat</w:t>
            </w:r>
          </w:p>
        </w:tc>
        <w:tc>
          <w:tcPr>
            <w:tcW w:w="2126" w:type="dxa"/>
            <w:hideMark/>
          </w:tcPr>
          <w:p w14:paraId="734734B3"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4.550</w:t>
            </w:r>
          </w:p>
        </w:tc>
      </w:tr>
      <w:tr w:rsidR="00B9660F" w:rsidRPr="00CE48A1" w14:paraId="23D4E1D0" w14:textId="77777777" w:rsidTr="000F1069">
        <w:trPr>
          <w:trHeight w:val="20"/>
          <w:jc w:val="center"/>
        </w:trPr>
        <w:tc>
          <w:tcPr>
            <w:tcW w:w="1129" w:type="dxa"/>
            <w:hideMark/>
          </w:tcPr>
          <w:p w14:paraId="42564251"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7.</w:t>
            </w:r>
          </w:p>
        </w:tc>
        <w:tc>
          <w:tcPr>
            <w:tcW w:w="1985" w:type="dxa"/>
            <w:hideMark/>
          </w:tcPr>
          <w:p w14:paraId="023AED4E"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Haryana</w:t>
            </w:r>
          </w:p>
        </w:tc>
        <w:tc>
          <w:tcPr>
            <w:tcW w:w="2126" w:type="dxa"/>
            <w:hideMark/>
          </w:tcPr>
          <w:p w14:paraId="29AE6E94"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1.244</w:t>
            </w:r>
          </w:p>
        </w:tc>
      </w:tr>
      <w:tr w:rsidR="00B9660F" w:rsidRPr="00CE48A1" w14:paraId="758CC797" w14:textId="77777777" w:rsidTr="000F1069">
        <w:trPr>
          <w:trHeight w:val="20"/>
          <w:jc w:val="center"/>
        </w:trPr>
        <w:tc>
          <w:tcPr>
            <w:tcW w:w="1129" w:type="dxa"/>
            <w:hideMark/>
          </w:tcPr>
          <w:p w14:paraId="38E79BF7"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8.</w:t>
            </w:r>
          </w:p>
        </w:tc>
        <w:tc>
          <w:tcPr>
            <w:tcW w:w="1985" w:type="dxa"/>
            <w:hideMark/>
          </w:tcPr>
          <w:p w14:paraId="28571D70"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Himachal Pradesh</w:t>
            </w:r>
          </w:p>
        </w:tc>
        <w:tc>
          <w:tcPr>
            <w:tcW w:w="2126" w:type="dxa"/>
            <w:hideMark/>
          </w:tcPr>
          <w:p w14:paraId="311108D6"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0.595</w:t>
            </w:r>
          </w:p>
        </w:tc>
      </w:tr>
      <w:tr w:rsidR="00B9660F" w:rsidRPr="00CE48A1" w14:paraId="2E94373C" w14:textId="77777777" w:rsidTr="000F1069">
        <w:trPr>
          <w:trHeight w:val="20"/>
          <w:jc w:val="center"/>
        </w:trPr>
        <w:tc>
          <w:tcPr>
            <w:tcW w:w="1129" w:type="dxa"/>
            <w:hideMark/>
          </w:tcPr>
          <w:p w14:paraId="34D1E17E"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9.</w:t>
            </w:r>
          </w:p>
        </w:tc>
        <w:tc>
          <w:tcPr>
            <w:tcW w:w="1985" w:type="dxa"/>
            <w:hideMark/>
          </w:tcPr>
          <w:p w14:paraId="72C47F81"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Jammu and Kashmir</w:t>
            </w:r>
          </w:p>
        </w:tc>
        <w:tc>
          <w:tcPr>
            <w:tcW w:w="2126" w:type="dxa"/>
            <w:hideMark/>
          </w:tcPr>
          <w:p w14:paraId="775C64CE"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0.695</w:t>
            </w:r>
          </w:p>
        </w:tc>
      </w:tr>
      <w:tr w:rsidR="00B9660F" w:rsidRPr="00CE48A1" w14:paraId="14966CBB" w14:textId="77777777" w:rsidTr="000F1069">
        <w:trPr>
          <w:trHeight w:val="20"/>
          <w:jc w:val="center"/>
        </w:trPr>
        <w:tc>
          <w:tcPr>
            <w:tcW w:w="1129" w:type="dxa"/>
            <w:hideMark/>
          </w:tcPr>
          <w:p w14:paraId="0717D124"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10.</w:t>
            </w:r>
          </w:p>
        </w:tc>
        <w:tc>
          <w:tcPr>
            <w:tcW w:w="1985" w:type="dxa"/>
            <w:hideMark/>
          </w:tcPr>
          <w:p w14:paraId="37BF0B79"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Karnataka</w:t>
            </w:r>
          </w:p>
        </w:tc>
        <w:tc>
          <w:tcPr>
            <w:tcW w:w="2126" w:type="dxa"/>
            <w:hideMark/>
          </w:tcPr>
          <w:p w14:paraId="3728000B"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4.928</w:t>
            </w:r>
          </w:p>
        </w:tc>
      </w:tr>
      <w:tr w:rsidR="00B9660F" w:rsidRPr="00CE48A1" w14:paraId="582B3F50" w14:textId="77777777" w:rsidTr="000F1069">
        <w:trPr>
          <w:trHeight w:val="20"/>
          <w:jc w:val="center"/>
        </w:trPr>
        <w:tc>
          <w:tcPr>
            <w:tcW w:w="1129" w:type="dxa"/>
            <w:hideMark/>
          </w:tcPr>
          <w:p w14:paraId="69D60764"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11.</w:t>
            </w:r>
          </w:p>
        </w:tc>
        <w:tc>
          <w:tcPr>
            <w:tcW w:w="1985" w:type="dxa"/>
            <w:hideMark/>
          </w:tcPr>
          <w:p w14:paraId="52E66FC7"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Kerala</w:t>
            </w:r>
          </w:p>
        </w:tc>
        <w:tc>
          <w:tcPr>
            <w:tcW w:w="2126" w:type="dxa"/>
            <w:hideMark/>
          </w:tcPr>
          <w:p w14:paraId="6D5B0712"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3.729</w:t>
            </w:r>
          </w:p>
        </w:tc>
      </w:tr>
      <w:tr w:rsidR="00B9660F" w:rsidRPr="00CE48A1" w14:paraId="736AD390" w14:textId="77777777" w:rsidTr="000F1069">
        <w:trPr>
          <w:trHeight w:val="20"/>
          <w:jc w:val="center"/>
        </w:trPr>
        <w:tc>
          <w:tcPr>
            <w:tcW w:w="1129" w:type="dxa"/>
            <w:hideMark/>
          </w:tcPr>
          <w:p w14:paraId="0E28D0FC"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12.</w:t>
            </w:r>
          </w:p>
        </w:tc>
        <w:tc>
          <w:tcPr>
            <w:tcW w:w="1985" w:type="dxa"/>
            <w:hideMark/>
          </w:tcPr>
          <w:p w14:paraId="4EE5FCC2"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Madhya Pradesh</w:t>
            </w:r>
          </w:p>
        </w:tc>
        <w:tc>
          <w:tcPr>
            <w:tcW w:w="2126" w:type="dxa"/>
            <w:hideMark/>
          </w:tcPr>
          <w:p w14:paraId="681E7491"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8.185</w:t>
            </w:r>
          </w:p>
        </w:tc>
      </w:tr>
      <w:tr w:rsidR="00B9660F" w:rsidRPr="00CE48A1" w14:paraId="44482CB6" w14:textId="77777777" w:rsidTr="000F1069">
        <w:trPr>
          <w:trHeight w:val="20"/>
          <w:jc w:val="center"/>
        </w:trPr>
        <w:tc>
          <w:tcPr>
            <w:tcW w:w="1129" w:type="dxa"/>
            <w:hideMark/>
          </w:tcPr>
          <w:p w14:paraId="644322F0"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13.</w:t>
            </w:r>
          </w:p>
        </w:tc>
        <w:tc>
          <w:tcPr>
            <w:tcW w:w="1985" w:type="dxa"/>
            <w:hideMark/>
          </w:tcPr>
          <w:p w14:paraId="7EA0331E"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Maharashtra</w:t>
            </w:r>
          </w:p>
        </w:tc>
        <w:tc>
          <w:tcPr>
            <w:tcW w:w="2126" w:type="dxa"/>
            <w:hideMark/>
          </w:tcPr>
          <w:p w14:paraId="62D5EF3F"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8.191</w:t>
            </w:r>
          </w:p>
        </w:tc>
      </w:tr>
      <w:tr w:rsidR="00B9660F" w:rsidRPr="00CE48A1" w14:paraId="1512AB5A" w14:textId="77777777" w:rsidTr="000F1069">
        <w:trPr>
          <w:trHeight w:val="20"/>
          <w:jc w:val="center"/>
        </w:trPr>
        <w:tc>
          <w:tcPr>
            <w:tcW w:w="1129" w:type="dxa"/>
            <w:hideMark/>
          </w:tcPr>
          <w:p w14:paraId="1FE82061"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14.</w:t>
            </w:r>
          </w:p>
        </w:tc>
        <w:tc>
          <w:tcPr>
            <w:tcW w:w="1985" w:type="dxa"/>
            <w:hideMark/>
          </w:tcPr>
          <w:p w14:paraId="272EF00C"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Manipur</w:t>
            </w:r>
          </w:p>
        </w:tc>
        <w:tc>
          <w:tcPr>
            <w:tcW w:w="2126" w:type="dxa"/>
            <w:hideMark/>
          </w:tcPr>
          <w:p w14:paraId="4EBBC8C9"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0.171</w:t>
            </w:r>
          </w:p>
        </w:tc>
      </w:tr>
      <w:tr w:rsidR="00B9660F" w:rsidRPr="00CE48A1" w14:paraId="1CB7EDF8" w14:textId="77777777" w:rsidTr="000F1069">
        <w:trPr>
          <w:trHeight w:val="20"/>
          <w:jc w:val="center"/>
        </w:trPr>
        <w:tc>
          <w:tcPr>
            <w:tcW w:w="1129" w:type="dxa"/>
            <w:hideMark/>
          </w:tcPr>
          <w:p w14:paraId="0844577E"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15.</w:t>
            </w:r>
          </w:p>
        </w:tc>
        <w:tc>
          <w:tcPr>
            <w:tcW w:w="1985" w:type="dxa"/>
            <w:hideMark/>
          </w:tcPr>
          <w:p w14:paraId="40DD2E4D"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Meghalaya</w:t>
            </w:r>
          </w:p>
        </w:tc>
        <w:tc>
          <w:tcPr>
            <w:tcW w:w="2126" w:type="dxa"/>
            <w:hideMark/>
          </w:tcPr>
          <w:p w14:paraId="00461C4A"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0.208</w:t>
            </w:r>
          </w:p>
        </w:tc>
      </w:tr>
      <w:tr w:rsidR="00B9660F" w:rsidRPr="00CE48A1" w14:paraId="7E94A57C" w14:textId="77777777" w:rsidTr="000F1069">
        <w:trPr>
          <w:trHeight w:val="20"/>
          <w:jc w:val="center"/>
        </w:trPr>
        <w:tc>
          <w:tcPr>
            <w:tcW w:w="1129" w:type="dxa"/>
            <w:hideMark/>
          </w:tcPr>
          <w:p w14:paraId="57310794"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16.</w:t>
            </w:r>
          </w:p>
        </w:tc>
        <w:tc>
          <w:tcPr>
            <w:tcW w:w="1985" w:type="dxa"/>
            <w:hideMark/>
          </w:tcPr>
          <w:p w14:paraId="0EFCA1BE"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Mizoram</w:t>
            </w:r>
          </w:p>
        </w:tc>
        <w:tc>
          <w:tcPr>
            <w:tcW w:w="2126" w:type="dxa"/>
            <w:hideMark/>
          </w:tcPr>
          <w:p w14:paraId="0CD5BBDC"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0.073</w:t>
            </w:r>
          </w:p>
        </w:tc>
      </w:tr>
      <w:tr w:rsidR="00B9660F" w:rsidRPr="00CE48A1" w14:paraId="030EBC5E" w14:textId="77777777" w:rsidTr="000F1069">
        <w:trPr>
          <w:trHeight w:val="20"/>
          <w:jc w:val="center"/>
        </w:trPr>
        <w:tc>
          <w:tcPr>
            <w:tcW w:w="1129" w:type="dxa"/>
            <w:hideMark/>
          </w:tcPr>
          <w:p w14:paraId="279D7997"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17.</w:t>
            </w:r>
          </w:p>
        </w:tc>
        <w:tc>
          <w:tcPr>
            <w:tcW w:w="1985" w:type="dxa"/>
            <w:hideMark/>
          </w:tcPr>
          <w:p w14:paraId="5F4E4CED"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Nagaland</w:t>
            </w:r>
          </w:p>
        </w:tc>
        <w:tc>
          <w:tcPr>
            <w:tcW w:w="2126" w:type="dxa"/>
            <w:hideMark/>
          </w:tcPr>
          <w:p w14:paraId="59EA0D58"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0.096</w:t>
            </w:r>
          </w:p>
        </w:tc>
      </w:tr>
      <w:tr w:rsidR="00B9660F" w:rsidRPr="00CE48A1" w14:paraId="028CC156" w14:textId="77777777" w:rsidTr="000F1069">
        <w:trPr>
          <w:trHeight w:val="20"/>
          <w:jc w:val="center"/>
        </w:trPr>
        <w:tc>
          <w:tcPr>
            <w:tcW w:w="1129" w:type="dxa"/>
            <w:hideMark/>
          </w:tcPr>
          <w:p w14:paraId="675D1BFE"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18.</w:t>
            </w:r>
          </w:p>
        </w:tc>
        <w:tc>
          <w:tcPr>
            <w:tcW w:w="1985" w:type="dxa"/>
            <w:hideMark/>
          </w:tcPr>
          <w:p w14:paraId="7A07C1CE"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Orissa</w:t>
            </w:r>
          </w:p>
        </w:tc>
        <w:tc>
          <w:tcPr>
            <w:tcW w:w="2126" w:type="dxa"/>
            <w:hideMark/>
          </w:tcPr>
          <w:p w14:paraId="16A2E736"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4.326</w:t>
            </w:r>
          </w:p>
        </w:tc>
      </w:tr>
      <w:tr w:rsidR="00B9660F" w:rsidRPr="00CE48A1" w14:paraId="472949F0" w14:textId="77777777" w:rsidTr="000F1069">
        <w:trPr>
          <w:trHeight w:val="20"/>
          <w:jc w:val="center"/>
        </w:trPr>
        <w:tc>
          <w:tcPr>
            <w:tcW w:w="1129" w:type="dxa"/>
            <w:hideMark/>
          </w:tcPr>
          <w:p w14:paraId="6CE1B4FD"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19.</w:t>
            </w:r>
          </w:p>
        </w:tc>
        <w:tc>
          <w:tcPr>
            <w:tcW w:w="1985" w:type="dxa"/>
            <w:hideMark/>
          </w:tcPr>
          <w:p w14:paraId="29E94952"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Punjab</w:t>
            </w:r>
          </w:p>
        </w:tc>
        <w:tc>
          <w:tcPr>
            <w:tcW w:w="2126" w:type="dxa"/>
            <w:hideMark/>
          </w:tcPr>
          <w:p w14:paraId="75AE9F7C"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1.706</w:t>
            </w:r>
          </w:p>
        </w:tc>
      </w:tr>
      <w:tr w:rsidR="00B9660F" w:rsidRPr="00CE48A1" w14:paraId="11966B79" w14:textId="77777777" w:rsidTr="000F1069">
        <w:trPr>
          <w:trHeight w:val="20"/>
          <w:jc w:val="center"/>
        </w:trPr>
        <w:tc>
          <w:tcPr>
            <w:tcW w:w="1129" w:type="dxa"/>
            <w:hideMark/>
          </w:tcPr>
          <w:p w14:paraId="160659A0"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20.</w:t>
            </w:r>
          </w:p>
        </w:tc>
        <w:tc>
          <w:tcPr>
            <w:tcW w:w="1985" w:type="dxa"/>
            <w:hideMark/>
          </w:tcPr>
          <w:p w14:paraId="0CA91603"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Rajasthan</w:t>
            </w:r>
          </w:p>
        </w:tc>
        <w:tc>
          <w:tcPr>
            <w:tcW w:w="2126" w:type="dxa"/>
            <w:hideMark/>
          </w:tcPr>
          <w:p w14:paraId="4DBE1E1F"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4.836</w:t>
            </w:r>
          </w:p>
        </w:tc>
      </w:tr>
      <w:tr w:rsidR="00B9660F" w:rsidRPr="00CE48A1" w14:paraId="5271D14A" w14:textId="77777777" w:rsidTr="000F1069">
        <w:trPr>
          <w:trHeight w:val="20"/>
          <w:jc w:val="center"/>
        </w:trPr>
        <w:tc>
          <w:tcPr>
            <w:tcW w:w="1129" w:type="dxa"/>
            <w:hideMark/>
          </w:tcPr>
          <w:p w14:paraId="52A5BD20"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21.</w:t>
            </w:r>
          </w:p>
        </w:tc>
        <w:tc>
          <w:tcPr>
            <w:tcW w:w="1985" w:type="dxa"/>
            <w:hideMark/>
          </w:tcPr>
          <w:p w14:paraId="3B5548FF"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Sikkim</w:t>
            </w:r>
          </w:p>
        </w:tc>
        <w:tc>
          <w:tcPr>
            <w:tcW w:w="2126" w:type="dxa"/>
            <w:hideMark/>
          </w:tcPr>
          <w:p w14:paraId="51DE2658"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0.030</w:t>
            </w:r>
          </w:p>
        </w:tc>
      </w:tr>
      <w:tr w:rsidR="00B9660F" w:rsidRPr="00CE48A1" w14:paraId="45D65655" w14:textId="77777777" w:rsidTr="000F1069">
        <w:trPr>
          <w:trHeight w:val="20"/>
          <w:jc w:val="center"/>
        </w:trPr>
        <w:tc>
          <w:tcPr>
            <w:tcW w:w="1129" w:type="dxa"/>
            <w:hideMark/>
          </w:tcPr>
          <w:p w14:paraId="7376DD1F"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22.</w:t>
            </w:r>
          </w:p>
        </w:tc>
        <w:tc>
          <w:tcPr>
            <w:tcW w:w="1985" w:type="dxa"/>
            <w:hideMark/>
          </w:tcPr>
          <w:p w14:paraId="320DD4EA"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Tamil Nadu</w:t>
            </w:r>
          </w:p>
        </w:tc>
        <w:tc>
          <w:tcPr>
            <w:tcW w:w="2126" w:type="dxa"/>
            <w:hideMark/>
          </w:tcPr>
          <w:p w14:paraId="57ADE927"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7.931</w:t>
            </w:r>
          </w:p>
        </w:tc>
      </w:tr>
      <w:tr w:rsidR="00B9660F" w:rsidRPr="00CE48A1" w14:paraId="36EB9316" w14:textId="77777777" w:rsidTr="000F1069">
        <w:trPr>
          <w:trHeight w:val="20"/>
          <w:jc w:val="center"/>
        </w:trPr>
        <w:tc>
          <w:tcPr>
            <w:tcW w:w="1129" w:type="dxa"/>
            <w:hideMark/>
          </w:tcPr>
          <w:p w14:paraId="4ABADA90"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23.</w:t>
            </w:r>
          </w:p>
        </w:tc>
        <w:tc>
          <w:tcPr>
            <w:tcW w:w="1985" w:type="dxa"/>
            <w:hideMark/>
          </w:tcPr>
          <w:p w14:paraId="7D5F9E6D"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Tripura</w:t>
            </w:r>
          </w:p>
        </w:tc>
        <w:tc>
          <w:tcPr>
            <w:tcW w:w="2126" w:type="dxa"/>
            <w:hideMark/>
          </w:tcPr>
          <w:p w14:paraId="584DACD0"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0.303</w:t>
            </w:r>
          </w:p>
        </w:tc>
      </w:tr>
      <w:tr w:rsidR="00B9660F" w:rsidRPr="00CE48A1" w14:paraId="5C4FEFDF" w14:textId="77777777" w:rsidTr="000F1069">
        <w:trPr>
          <w:trHeight w:val="20"/>
          <w:jc w:val="center"/>
        </w:trPr>
        <w:tc>
          <w:tcPr>
            <w:tcW w:w="1129" w:type="dxa"/>
            <w:hideMark/>
          </w:tcPr>
          <w:p w14:paraId="06767F93"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24.</w:t>
            </w:r>
          </w:p>
        </w:tc>
        <w:tc>
          <w:tcPr>
            <w:tcW w:w="1985" w:type="dxa"/>
            <w:hideMark/>
          </w:tcPr>
          <w:p w14:paraId="0B08CFF2"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Uttar Pradesh</w:t>
            </w:r>
          </w:p>
        </w:tc>
        <w:tc>
          <w:tcPr>
            <w:tcW w:w="2126" w:type="dxa"/>
            <w:hideMark/>
          </w:tcPr>
          <w:p w14:paraId="6C1E2A76"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16.787</w:t>
            </w:r>
          </w:p>
        </w:tc>
      </w:tr>
      <w:tr w:rsidR="00B9660F" w:rsidRPr="00CE48A1" w14:paraId="1C154DB3" w14:textId="77777777" w:rsidTr="000F1069">
        <w:trPr>
          <w:trHeight w:val="20"/>
          <w:jc w:val="center"/>
        </w:trPr>
        <w:tc>
          <w:tcPr>
            <w:tcW w:w="1129" w:type="dxa"/>
            <w:hideMark/>
          </w:tcPr>
          <w:p w14:paraId="01B2135C"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25.</w:t>
            </w:r>
          </w:p>
        </w:tc>
        <w:tc>
          <w:tcPr>
            <w:tcW w:w="1985" w:type="dxa"/>
            <w:hideMark/>
          </w:tcPr>
          <w:p w14:paraId="279D5FA1"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West Bengal</w:t>
            </w:r>
          </w:p>
        </w:tc>
        <w:tc>
          <w:tcPr>
            <w:tcW w:w="2126" w:type="dxa"/>
            <w:hideMark/>
          </w:tcPr>
          <w:p w14:paraId="5B6A6799"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7.976</w:t>
            </w:r>
          </w:p>
        </w:tc>
      </w:tr>
      <w:tr w:rsidR="00B9660F" w:rsidRPr="00CE48A1" w14:paraId="2521070F" w14:textId="77777777" w:rsidTr="000F1069">
        <w:trPr>
          <w:trHeight w:val="20"/>
          <w:jc w:val="center"/>
        </w:trPr>
        <w:tc>
          <w:tcPr>
            <w:tcW w:w="1129" w:type="dxa"/>
            <w:hideMark/>
          </w:tcPr>
          <w:p w14:paraId="78527BD4" w14:textId="77777777" w:rsidR="00B9660F" w:rsidRPr="00CE48A1" w:rsidRDefault="00B9660F" w:rsidP="000F1069">
            <w:pPr>
              <w:pStyle w:val="NoSpacing"/>
              <w:spacing w:line="180" w:lineRule="exact"/>
              <w:rPr>
                <w:rFonts w:ascii="Times New Roman" w:hAnsi="Times New Roman" w:cs="Times New Roman"/>
                <w:sz w:val="19"/>
                <w:szCs w:val="19"/>
              </w:rPr>
            </w:pPr>
          </w:p>
        </w:tc>
        <w:tc>
          <w:tcPr>
            <w:tcW w:w="1985" w:type="dxa"/>
            <w:hideMark/>
          </w:tcPr>
          <w:p w14:paraId="0F656FE0" w14:textId="77777777" w:rsidR="00B9660F" w:rsidRPr="00CE48A1" w:rsidRDefault="00B9660F" w:rsidP="000F1069">
            <w:pPr>
              <w:pStyle w:val="NoSpacing"/>
              <w:spacing w:line="180" w:lineRule="exact"/>
              <w:rPr>
                <w:rFonts w:ascii="Times New Roman" w:hAnsi="Times New Roman" w:cs="Times New Roman"/>
                <w:sz w:val="19"/>
                <w:szCs w:val="19"/>
              </w:rPr>
            </w:pPr>
            <w:r w:rsidRPr="00CE48A1">
              <w:rPr>
                <w:rFonts w:ascii="Times New Roman" w:hAnsi="Times New Roman" w:cs="Times New Roman"/>
                <w:sz w:val="19"/>
                <w:szCs w:val="19"/>
              </w:rPr>
              <w:t>Total</w:t>
            </w:r>
          </w:p>
        </w:tc>
        <w:tc>
          <w:tcPr>
            <w:tcW w:w="2126" w:type="dxa"/>
            <w:hideMark/>
          </w:tcPr>
          <w:p w14:paraId="4181A197" w14:textId="77777777" w:rsidR="00B9660F" w:rsidRPr="00CE48A1" w:rsidRDefault="00B9660F" w:rsidP="000F1069">
            <w:pPr>
              <w:pStyle w:val="NoSpacing"/>
              <w:spacing w:line="180" w:lineRule="exact"/>
              <w:jc w:val="center"/>
              <w:rPr>
                <w:rFonts w:ascii="Times New Roman" w:hAnsi="Times New Roman" w:cs="Times New Roman"/>
                <w:sz w:val="19"/>
                <w:szCs w:val="19"/>
              </w:rPr>
            </w:pPr>
            <w:r w:rsidRPr="00CE48A1">
              <w:rPr>
                <w:rFonts w:ascii="Times New Roman" w:hAnsi="Times New Roman" w:cs="Times New Roman"/>
                <w:sz w:val="19"/>
                <w:szCs w:val="19"/>
              </w:rPr>
              <w:t>100.000</w:t>
            </w:r>
          </w:p>
        </w:tc>
      </w:tr>
    </w:tbl>
    <w:p w14:paraId="1468F7BE" w14:textId="77777777" w:rsidR="00B9660F" w:rsidRPr="00CE48A1" w:rsidRDefault="00B9660F" w:rsidP="000F1069">
      <w:pPr>
        <w:spacing w:after="0" w:line="180" w:lineRule="exact"/>
        <w:jc w:val="both"/>
        <w:rPr>
          <w:rFonts w:ascii="Times New Roman" w:hAnsi="Times New Roman" w:cs="Times New Roman"/>
          <w:sz w:val="19"/>
          <w:szCs w:val="19"/>
        </w:rPr>
      </w:pPr>
    </w:p>
    <w:p w14:paraId="211302AB" w14:textId="50EC1A79" w:rsidR="00B9660F" w:rsidRPr="00CE48A1" w:rsidRDefault="00B9660F" w:rsidP="000F1069">
      <w:pPr>
        <w:pStyle w:val="Heading3"/>
        <w:spacing w:after="0" w:line="180" w:lineRule="exact"/>
        <w:rPr>
          <w:sz w:val="19"/>
          <w:szCs w:val="19"/>
        </w:rPr>
      </w:pPr>
      <w:r w:rsidRPr="00CE48A1">
        <w:rPr>
          <w:sz w:val="19"/>
          <w:szCs w:val="19"/>
        </w:rPr>
        <w:t>Shri Justice A.S. Qureshi, Member, does not agree with the sharing of the proceeds of Income Tax as outlined above. He is of the view that the receipts from Corporation Tax should also be made part of the divisible pool and shared with the States. His views in the matter have been given separately in his note of dissent.</w:t>
      </w:r>
    </w:p>
    <w:p w14:paraId="715A0F18" w14:textId="77777777" w:rsidR="00B9660F" w:rsidRPr="00CE48A1" w:rsidRDefault="00B9660F" w:rsidP="000F1069">
      <w:pPr>
        <w:spacing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 xml:space="preserve">Distribution of Additional Excise Duties </w:t>
      </w:r>
      <w:proofErr w:type="gramStart"/>
      <w:r w:rsidRPr="00CE48A1">
        <w:rPr>
          <w:rFonts w:ascii="Times New Roman" w:hAnsi="Times New Roman" w:cs="Times New Roman"/>
          <w:b/>
          <w:bCs/>
          <w:sz w:val="19"/>
          <w:szCs w:val="19"/>
        </w:rPr>
        <w:t>in Lieu of</w:t>
      </w:r>
      <w:proofErr w:type="gramEnd"/>
      <w:r w:rsidRPr="00CE48A1">
        <w:rPr>
          <w:rFonts w:ascii="Times New Roman" w:hAnsi="Times New Roman" w:cs="Times New Roman"/>
          <w:b/>
          <w:bCs/>
          <w:sz w:val="19"/>
          <w:szCs w:val="19"/>
        </w:rPr>
        <w:t xml:space="preserve"> Sales Tax</w:t>
      </w:r>
    </w:p>
    <w:p w14:paraId="48E6D9CD" w14:textId="43FB32EA" w:rsidR="00B9660F" w:rsidRPr="00CE48A1" w:rsidRDefault="00B9660F" w:rsidP="000F1069">
      <w:pPr>
        <w:pStyle w:val="Heading3"/>
        <w:spacing w:after="0" w:line="180" w:lineRule="exact"/>
        <w:rPr>
          <w:sz w:val="19"/>
          <w:szCs w:val="19"/>
        </w:rPr>
      </w:pPr>
      <w:r w:rsidRPr="00CE48A1">
        <w:rPr>
          <w:sz w:val="19"/>
          <w:szCs w:val="19"/>
        </w:rPr>
        <w:t xml:space="preserve">We now examine the principles governing the distribution of the net proceeds of Additional Duties of Excise among the States as required under paragraph 5(a) of our terms of reference. We had discussed at length in our first report the recommendations of the previous Finance Commissions and the points made to us by the different States regarding the principles of distribution. We maintain the view expressed in our first report that since the Additional Duties of Excise are levied in lieu of sales tax which itself is a tax on consumption, the shares of various States should correspond to their shares in the consumption of these commodities. Direct and reliable data of State-wise consumption of these commodities, however, could not be obtained, all our efforts since the submission of our first report to secure the same notwithstanding. The most comprehensive source of data we could have used is the National Sample Survey (NSS) data. We found that the NSS 38th round survey data, for which computer sheets were ready, suffered from the same infirmities as we had mentioned in detail in our first report. We were in no position to use these data as there were discrepancies between the description of the articles on which Additional Excise Duties were leviable and those included in the 38th round. Also, it was felt that the NSS data did not capture fully the expenditure made by the higher income groups on the specified items. The data from the 43rd round were not available in time for our use. The search for the figures of consumption led us to other sources as well. We enquired from the Textile Committee under the Ministry of Textiles whether they could supply us the required data relating to textiles. We found that the publications which the Textile Committee brought out did not have the State-wise consumption data which we could make use of. We also checked and found that the various Textile Research associations like the South India Textile Research Association, the Bombay Textile Research Association and the Ahmadabad Textile Industries Research Association also did not maintain the type of data that we required. Likewise, no State-wise consumption figures </w:t>
      </w:r>
      <w:proofErr w:type="gramStart"/>
      <w:r w:rsidRPr="00CE48A1">
        <w:rPr>
          <w:sz w:val="19"/>
          <w:szCs w:val="19"/>
        </w:rPr>
        <w:t>in</w:t>
      </w:r>
      <w:r w:rsidR="008D1685" w:rsidRPr="00CE48A1">
        <w:rPr>
          <w:sz w:val="19"/>
          <w:szCs w:val="19"/>
        </w:rPr>
        <w:t xml:space="preserve"> </w:t>
      </w:r>
      <w:r w:rsidR="00961F6A" w:rsidRPr="00CE48A1">
        <w:rPr>
          <w:sz w:val="19"/>
          <w:szCs w:val="19"/>
        </w:rPr>
        <w:t xml:space="preserve"> </w:t>
      </w:r>
      <w:r w:rsidRPr="00CE48A1">
        <w:rPr>
          <w:sz w:val="19"/>
          <w:szCs w:val="19"/>
        </w:rPr>
        <w:t>respect</w:t>
      </w:r>
      <w:proofErr w:type="gramEnd"/>
      <w:r w:rsidRPr="00CE48A1">
        <w:rPr>
          <w:sz w:val="19"/>
          <w:szCs w:val="19"/>
        </w:rPr>
        <w:t xml:space="preserve"> of tobacco could be obtained by us. This is not surprising in view of the nature of the product.</w:t>
      </w:r>
    </w:p>
    <w:p w14:paraId="17557738" w14:textId="39AB62B1" w:rsidR="00B9660F" w:rsidRPr="00CE48A1" w:rsidRDefault="00B9660F" w:rsidP="000F1069">
      <w:pPr>
        <w:pStyle w:val="Heading3"/>
        <w:spacing w:after="0" w:line="180" w:lineRule="exact"/>
        <w:rPr>
          <w:sz w:val="19"/>
          <w:szCs w:val="19"/>
        </w:rPr>
      </w:pPr>
      <w:r w:rsidRPr="00CE48A1">
        <w:rPr>
          <w:sz w:val="19"/>
          <w:szCs w:val="19"/>
        </w:rPr>
        <w:t>The Government of India does not compile State-wise consumption data in respect of sugar. Only the despatch figures of sugar to individual States (both levy and free sale) are available. We did not feel inclined to use them as proxies for the figures of State-wise consumption of sugar for the obvious reason that while inter-State movement of levy sugar is banned, there is no such restriction in respect of sugar meant for free sale. Moreover, we cannot ignore the fact that the markets of one State often serve the requirements of people in other States. The figures of despatch to a State do not necessarily represent the levels of consumption in that State. We also considered whether our purpose could be served by the data of production of these three commodity groups in the respective States. We concluded that since we were looking for consumption data (as Sales Tax is mainly a tax on consumption) and production figures in a State cannot be taken to indicate consumption therein, it would be unfair to the consuming States with little or no production if we use production data.</w:t>
      </w:r>
    </w:p>
    <w:p w14:paraId="44CB5059" w14:textId="636C76F5" w:rsidR="00B9660F" w:rsidRPr="00CE48A1" w:rsidRDefault="00B9660F" w:rsidP="000F1069">
      <w:pPr>
        <w:pStyle w:val="Heading3"/>
        <w:spacing w:after="0" w:line="180" w:lineRule="exact"/>
        <w:rPr>
          <w:sz w:val="19"/>
          <w:szCs w:val="19"/>
        </w:rPr>
      </w:pPr>
      <w:r w:rsidRPr="00CE48A1">
        <w:rPr>
          <w:sz w:val="19"/>
          <w:szCs w:val="19"/>
        </w:rPr>
        <w:t xml:space="preserve">This leaves us in no better position than we were before submission of our first report. Hence, for this report also we have relied on proxies, namely, SDP and population of the respective States. We have assigned equal weights to SDP and population in </w:t>
      </w:r>
      <w:r w:rsidRPr="00CE48A1">
        <w:rPr>
          <w:sz w:val="19"/>
          <w:szCs w:val="19"/>
        </w:rPr>
        <w:lastRenderedPageBreak/>
        <w:t>determining the shares of the individual States in the net proceeds of Additional Duties of Excise. We have used the New Series of comparable estimates of SDP averaged for three years 1982-83 to 1984-85 (Annexure V.4).</w:t>
      </w:r>
    </w:p>
    <w:p w14:paraId="46D64F3B" w14:textId="1A0CB647" w:rsidR="00B9660F" w:rsidRPr="00CE48A1" w:rsidRDefault="00B9660F" w:rsidP="000F1069">
      <w:pPr>
        <w:pStyle w:val="Heading3"/>
        <w:spacing w:after="0" w:line="180" w:lineRule="exact"/>
        <w:rPr>
          <w:sz w:val="19"/>
          <w:szCs w:val="19"/>
        </w:rPr>
      </w:pPr>
      <w:r w:rsidRPr="00CE48A1">
        <w:rPr>
          <w:sz w:val="19"/>
          <w:szCs w:val="19"/>
        </w:rPr>
        <w:t>As far as population is concerned, we are making a departure from our first report. Earlier we had adopted the 1971 population for calculating the shares of the States. We have re-considered at length whether for calculating the shares of the States in the net proceeds of Additional Duties of Excise, the 1971 or the 1981 census figures of population should be used. Paragraph 6 of the terms of reference, no doubt, lays down that this Commission should adopt the population of 1971 in all cases where population is regarded as a factor for determination of devolution of taxes and duties and grants-in-aid. But the question is whether distribution of Additional Duties of Excise is really devolution or grant.</w:t>
      </w:r>
    </w:p>
    <w:p w14:paraId="26AA6FAA" w14:textId="418D4DE6" w:rsidR="00B9660F" w:rsidRPr="00CE48A1" w:rsidRDefault="00B9660F" w:rsidP="000F1069">
      <w:pPr>
        <w:pStyle w:val="Heading3"/>
        <w:spacing w:after="0" w:line="180" w:lineRule="exact"/>
        <w:rPr>
          <w:sz w:val="19"/>
          <w:szCs w:val="19"/>
        </w:rPr>
      </w:pPr>
      <w:r w:rsidRPr="00CE48A1">
        <w:rPr>
          <w:sz w:val="19"/>
          <w:szCs w:val="19"/>
        </w:rPr>
        <w:t>The fact that the proceeds of Additional Excise Duties are distributed only in pursuance of a tax rental arrangement between the Centre and the States (which has its origin in the National Development Council meeting of 1956) would clearly imply that this distribution cannot be treated as devolution or grant-in-aid in the sense that these terms are normally understood. The terms of reference would, therefore, not bind us to use the 1971 population for computing the States' share of Additional Excise Duties. But for the tax rental arrangement, the States would have been collecting Sales Tax on the current consumption of the relevant commodities. Since population is being used only as a proxy for consumption along with SDP, we consider it as only logical that any criterion which links the shares of the States nearest to the consumption of the relevant items in the individual States should be preferred. Viewed from this angle, one would be justified in calculating the shares even on the basis of the projected population of each year of the period of our report. However, we felt that it might not be safe to use projections which could go wrong. It was preferable to use the 1981 census figures of population (the latest available) for computing the States' shares of Additional Duties of Excise. We have, therefore, used the New Series of comparable estimates of SDP averaged for three years 1982-83 to 1984-85, along with the 1981 census figures of population in determining the shares of the States inter se in the net proceeds of Additional Duties of Excise (Annexure V.5).</w:t>
      </w:r>
    </w:p>
    <w:p w14:paraId="2967CF39" w14:textId="5C7E44B6" w:rsidR="00B9660F" w:rsidRPr="00CE48A1" w:rsidRDefault="00B9660F" w:rsidP="000F1069">
      <w:pPr>
        <w:pStyle w:val="Heading3"/>
        <w:spacing w:after="0" w:line="180" w:lineRule="exact"/>
        <w:rPr>
          <w:sz w:val="19"/>
          <w:szCs w:val="19"/>
        </w:rPr>
      </w:pPr>
      <w:r w:rsidRPr="00CE48A1">
        <w:rPr>
          <w:sz w:val="19"/>
          <w:szCs w:val="19"/>
        </w:rPr>
        <w:t>For working out their share, the Union Territories should be treated notionally as one unit and the share determined on the same basis as applicable to the States. The share of the Union Territories which amounts to 1.903 per cent should be retained by the Central Government. The balance would be distributed among the States in each year in accordance with the percentage shares given in the table below:</w:t>
      </w:r>
    </w:p>
    <w:p w14:paraId="17FAAACB" w14:textId="77777777" w:rsidR="00B9660F" w:rsidRPr="00CE48A1" w:rsidRDefault="00B9660F" w:rsidP="000F1069">
      <w:pPr>
        <w:spacing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 xml:space="preserve">Share of States from Additional Excise Duties </w:t>
      </w:r>
      <w:proofErr w:type="gramStart"/>
      <w:r w:rsidRPr="00CE48A1">
        <w:rPr>
          <w:rFonts w:ascii="Times New Roman" w:hAnsi="Times New Roman" w:cs="Times New Roman"/>
          <w:b/>
          <w:bCs/>
          <w:sz w:val="19"/>
          <w:szCs w:val="19"/>
        </w:rPr>
        <w:t>in Lieu of</w:t>
      </w:r>
      <w:proofErr w:type="gramEnd"/>
      <w:r w:rsidRPr="00CE48A1">
        <w:rPr>
          <w:rFonts w:ascii="Times New Roman" w:hAnsi="Times New Roman" w:cs="Times New Roman"/>
          <w:b/>
          <w:bCs/>
          <w:sz w:val="19"/>
          <w:szCs w:val="19"/>
        </w:rPr>
        <w:t xml:space="preserve"> Sales Tax, 1990-91 to 1994-95</w:t>
      </w:r>
    </w:p>
    <w:tbl>
      <w:tblPr>
        <w:tblStyle w:val="TableGrid"/>
        <w:tblW w:w="5098" w:type="dxa"/>
        <w:jc w:val="center"/>
        <w:tblLook w:val="04A0" w:firstRow="1" w:lastRow="0" w:firstColumn="1" w:lastColumn="0" w:noHBand="0" w:noVBand="1"/>
      </w:tblPr>
      <w:tblGrid>
        <w:gridCol w:w="988"/>
        <w:gridCol w:w="1984"/>
        <w:gridCol w:w="2126"/>
      </w:tblGrid>
      <w:tr w:rsidR="00B9660F" w:rsidRPr="00CE48A1" w14:paraId="3034C20C" w14:textId="77777777" w:rsidTr="00CE48A1">
        <w:trPr>
          <w:trHeight w:val="20"/>
          <w:jc w:val="center"/>
        </w:trPr>
        <w:tc>
          <w:tcPr>
            <w:tcW w:w="988" w:type="dxa"/>
            <w:hideMark/>
          </w:tcPr>
          <w:p w14:paraId="0676EA38" w14:textId="77777777" w:rsidR="00B9660F" w:rsidRPr="00CE48A1" w:rsidRDefault="00B9660F" w:rsidP="000F1069">
            <w:pPr>
              <w:pStyle w:val="NoSpacing"/>
              <w:spacing w:line="180" w:lineRule="exact"/>
              <w:jc w:val="center"/>
              <w:rPr>
                <w:rFonts w:ascii="Times New Roman" w:hAnsi="Times New Roman" w:cs="Times New Roman"/>
                <w:b/>
                <w:bCs/>
                <w:sz w:val="18"/>
                <w:szCs w:val="18"/>
              </w:rPr>
            </w:pPr>
            <w:r w:rsidRPr="00CE48A1">
              <w:rPr>
                <w:rFonts w:ascii="Times New Roman" w:hAnsi="Times New Roman" w:cs="Times New Roman"/>
                <w:b/>
                <w:bCs/>
                <w:sz w:val="18"/>
                <w:szCs w:val="18"/>
              </w:rPr>
              <w:t>S. No.</w:t>
            </w:r>
          </w:p>
        </w:tc>
        <w:tc>
          <w:tcPr>
            <w:tcW w:w="1984" w:type="dxa"/>
            <w:hideMark/>
          </w:tcPr>
          <w:p w14:paraId="1B0409DD" w14:textId="77777777" w:rsidR="00B9660F" w:rsidRPr="00CE48A1" w:rsidRDefault="00B9660F" w:rsidP="000F1069">
            <w:pPr>
              <w:pStyle w:val="NoSpacing"/>
              <w:spacing w:line="180" w:lineRule="exact"/>
              <w:jc w:val="center"/>
              <w:rPr>
                <w:rFonts w:ascii="Times New Roman" w:hAnsi="Times New Roman" w:cs="Times New Roman"/>
                <w:b/>
                <w:bCs/>
                <w:sz w:val="18"/>
                <w:szCs w:val="18"/>
              </w:rPr>
            </w:pPr>
            <w:r w:rsidRPr="00CE48A1">
              <w:rPr>
                <w:rFonts w:ascii="Times New Roman" w:hAnsi="Times New Roman" w:cs="Times New Roman"/>
                <w:b/>
                <w:bCs/>
                <w:sz w:val="18"/>
                <w:szCs w:val="18"/>
              </w:rPr>
              <w:t>States</w:t>
            </w:r>
          </w:p>
        </w:tc>
        <w:tc>
          <w:tcPr>
            <w:tcW w:w="2126" w:type="dxa"/>
            <w:hideMark/>
          </w:tcPr>
          <w:p w14:paraId="04FB1A83" w14:textId="77777777" w:rsidR="00B9660F" w:rsidRPr="00CE48A1" w:rsidRDefault="00B9660F" w:rsidP="000F1069">
            <w:pPr>
              <w:pStyle w:val="NoSpacing"/>
              <w:spacing w:line="180" w:lineRule="exact"/>
              <w:jc w:val="center"/>
              <w:rPr>
                <w:rFonts w:ascii="Times New Roman" w:hAnsi="Times New Roman" w:cs="Times New Roman"/>
                <w:b/>
                <w:bCs/>
                <w:sz w:val="18"/>
                <w:szCs w:val="18"/>
              </w:rPr>
            </w:pPr>
            <w:r w:rsidRPr="00CE48A1">
              <w:rPr>
                <w:rFonts w:ascii="Times New Roman" w:hAnsi="Times New Roman" w:cs="Times New Roman"/>
                <w:b/>
                <w:bCs/>
                <w:sz w:val="18"/>
                <w:szCs w:val="18"/>
              </w:rPr>
              <w:t>Percentage Share</w:t>
            </w:r>
          </w:p>
        </w:tc>
      </w:tr>
      <w:tr w:rsidR="00B9660F" w:rsidRPr="00CE48A1" w14:paraId="7E100C98" w14:textId="77777777" w:rsidTr="00CE48A1">
        <w:trPr>
          <w:trHeight w:val="20"/>
          <w:jc w:val="center"/>
        </w:trPr>
        <w:tc>
          <w:tcPr>
            <w:tcW w:w="988" w:type="dxa"/>
            <w:hideMark/>
          </w:tcPr>
          <w:p w14:paraId="73051182"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w:t>
            </w:r>
          </w:p>
        </w:tc>
        <w:tc>
          <w:tcPr>
            <w:tcW w:w="1984" w:type="dxa"/>
            <w:hideMark/>
          </w:tcPr>
          <w:p w14:paraId="247DAF8D"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Andhra Pradesh</w:t>
            </w:r>
          </w:p>
        </w:tc>
        <w:tc>
          <w:tcPr>
            <w:tcW w:w="2126" w:type="dxa"/>
            <w:hideMark/>
          </w:tcPr>
          <w:p w14:paraId="04C46980"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7.680</w:t>
            </w:r>
          </w:p>
        </w:tc>
      </w:tr>
      <w:tr w:rsidR="00B9660F" w:rsidRPr="00CE48A1" w14:paraId="29DE195E" w14:textId="77777777" w:rsidTr="00CE48A1">
        <w:trPr>
          <w:trHeight w:val="20"/>
          <w:jc w:val="center"/>
        </w:trPr>
        <w:tc>
          <w:tcPr>
            <w:tcW w:w="988" w:type="dxa"/>
            <w:hideMark/>
          </w:tcPr>
          <w:p w14:paraId="48C00CCB"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w:t>
            </w:r>
          </w:p>
        </w:tc>
        <w:tc>
          <w:tcPr>
            <w:tcW w:w="1984" w:type="dxa"/>
            <w:hideMark/>
          </w:tcPr>
          <w:p w14:paraId="0AB79F0B"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Arunachal Pradesh</w:t>
            </w:r>
          </w:p>
        </w:tc>
        <w:tc>
          <w:tcPr>
            <w:tcW w:w="2126" w:type="dxa"/>
            <w:hideMark/>
          </w:tcPr>
          <w:p w14:paraId="415D0D90"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0.107</w:t>
            </w:r>
          </w:p>
        </w:tc>
      </w:tr>
      <w:tr w:rsidR="00B9660F" w:rsidRPr="00CE48A1" w14:paraId="0D382AA5" w14:textId="77777777" w:rsidTr="00CE48A1">
        <w:trPr>
          <w:trHeight w:val="20"/>
          <w:jc w:val="center"/>
        </w:trPr>
        <w:tc>
          <w:tcPr>
            <w:tcW w:w="988" w:type="dxa"/>
            <w:hideMark/>
          </w:tcPr>
          <w:p w14:paraId="487FECA3"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3.</w:t>
            </w:r>
          </w:p>
        </w:tc>
        <w:tc>
          <w:tcPr>
            <w:tcW w:w="1984" w:type="dxa"/>
            <w:hideMark/>
          </w:tcPr>
          <w:p w14:paraId="6EA5F99C"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Assam</w:t>
            </w:r>
          </w:p>
        </w:tc>
        <w:tc>
          <w:tcPr>
            <w:tcW w:w="2126" w:type="dxa"/>
            <w:hideMark/>
          </w:tcPr>
          <w:p w14:paraId="7065D20D"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2.743</w:t>
            </w:r>
          </w:p>
        </w:tc>
      </w:tr>
      <w:tr w:rsidR="00B9660F" w:rsidRPr="00CE48A1" w14:paraId="09E0715C" w14:textId="77777777" w:rsidTr="00CE48A1">
        <w:trPr>
          <w:trHeight w:val="20"/>
          <w:jc w:val="center"/>
        </w:trPr>
        <w:tc>
          <w:tcPr>
            <w:tcW w:w="988" w:type="dxa"/>
            <w:hideMark/>
          </w:tcPr>
          <w:p w14:paraId="3EC8C166"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4.</w:t>
            </w:r>
          </w:p>
        </w:tc>
        <w:tc>
          <w:tcPr>
            <w:tcW w:w="1984" w:type="dxa"/>
            <w:hideMark/>
          </w:tcPr>
          <w:p w14:paraId="36B04E81"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Bihar</w:t>
            </w:r>
          </w:p>
        </w:tc>
        <w:tc>
          <w:tcPr>
            <w:tcW w:w="2126" w:type="dxa"/>
            <w:hideMark/>
          </w:tcPr>
          <w:p w14:paraId="24C08CA6"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8.317</w:t>
            </w:r>
          </w:p>
        </w:tc>
      </w:tr>
      <w:tr w:rsidR="00B9660F" w:rsidRPr="00CE48A1" w14:paraId="25BACABC" w14:textId="77777777" w:rsidTr="00CE48A1">
        <w:trPr>
          <w:trHeight w:val="20"/>
          <w:jc w:val="center"/>
        </w:trPr>
        <w:tc>
          <w:tcPr>
            <w:tcW w:w="988" w:type="dxa"/>
            <w:hideMark/>
          </w:tcPr>
          <w:p w14:paraId="02697A9E"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5.</w:t>
            </w:r>
          </w:p>
        </w:tc>
        <w:tc>
          <w:tcPr>
            <w:tcW w:w="1984" w:type="dxa"/>
            <w:hideMark/>
          </w:tcPr>
          <w:p w14:paraId="2391A89C"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Goa</w:t>
            </w:r>
          </w:p>
        </w:tc>
        <w:tc>
          <w:tcPr>
            <w:tcW w:w="2126" w:type="dxa"/>
            <w:hideMark/>
          </w:tcPr>
          <w:p w14:paraId="25FE3EC5"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0.228</w:t>
            </w:r>
          </w:p>
        </w:tc>
      </w:tr>
      <w:tr w:rsidR="00B9660F" w:rsidRPr="00CE48A1" w14:paraId="098AF13F" w14:textId="77777777" w:rsidTr="00CE48A1">
        <w:trPr>
          <w:trHeight w:val="20"/>
          <w:jc w:val="center"/>
        </w:trPr>
        <w:tc>
          <w:tcPr>
            <w:tcW w:w="988" w:type="dxa"/>
            <w:hideMark/>
          </w:tcPr>
          <w:p w14:paraId="0A00467F"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6.</w:t>
            </w:r>
          </w:p>
        </w:tc>
        <w:tc>
          <w:tcPr>
            <w:tcW w:w="1984" w:type="dxa"/>
            <w:hideMark/>
          </w:tcPr>
          <w:p w14:paraId="479D3274"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Gujarat</w:t>
            </w:r>
          </w:p>
        </w:tc>
        <w:tc>
          <w:tcPr>
            <w:tcW w:w="2126" w:type="dxa"/>
            <w:hideMark/>
          </w:tcPr>
          <w:p w14:paraId="74A56E72"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5.905</w:t>
            </w:r>
          </w:p>
        </w:tc>
      </w:tr>
      <w:tr w:rsidR="00B9660F" w:rsidRPr="00CE48A1" w14:paraId="55698B01" w14:textId="77777777" w:rsidTr="00CE48A1">
        <w:trPr>
          <w:trHeight w:val="20"/>
          <w:jc w:val="center"/>
        </w:trPr>
        <w:tc>
          <w:tcPr>
            <w:tcW w:w="988" w:type="dxa"/>
            <w:hideMark/>
          </w:tcPr>
          <w:p w14:paraId="3255ABAB"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7.</w:t>
            </w:r>
          </w:p>
        </w:tc>
        <w:tc>
          <w:tcPr>
            <w:tcW w:w="1984" w:type="dxa"/>
            <w:hideMark/>
          </w:tcPr>
          <w:p w14:paraId="1BA7984A"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Haryana</w:t>
            </w:r>
          </w:p>
        </w:tc>
        <w:tc>
          <w:tcPr>
            <w:tcW w:w="2126" w:type="dxa"/>
            <w:hideMark/>
          </w:tcPr>
          <w:p w14:paraId="078A0835"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2.317</w:t>
            </w:r>
          </w:p>
        </w:tc>
      </w:tr>
      <w:tr w:rsidR="00B9660F" w:rsidRPr="00CE48A1" w14:paraId="378C16E1" w14:textId="77777777" w:rsidTr="00CE48A1">
        <w:trPr>
          <w:trHeight w:val="20"/>
          <w:jc w:val="center"/>
        </w:trPr>
        <w:tc>
          <w:tcPr>
            <w:tcW w:w="988" w:type="dxa"/>
            <w:hideMark/>
          </w:tcPr>
          <w:p w14:paraId="4D069694"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8.</w:t>
            </w:r>
          </w:p>
        </w:tc>
        <w:tc>
          <w:tcPr>
            <w:tcW w:w="1984" w:type="dxa"/>
            <w:hideMark/>
          </w:tcPr>
          <w:p w14:paraId="10CB9737"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Himachal Pradesh</w:t>
            </w:r>
          </w:p>
        </w:tc>
        <w:tc>
          <w:tcPr>
            <w:tcW w:w="2126" w:type="dxa"/>
            <w:hideMark/>
          </w:tcPr>
          <w:p w14:paraId="6D74DE96" w14:textId="47F4540B"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w:t>
            </w:r>
            <w:r w:rsidR="00961F6A" w:rsidRPr="00CE48A1">
              <w:rPr>
                <w:rFonts w:ascii="Times New Roman" w:hAnsi="Times New Roman" w:cs="Times New Roman"/>
                <w:sz w:val="18"/>
                <w:szCs w:val="18"/>
              </w:rPr>
              <w:t>6</w:t>
            </w:r>
            <w:r w:rsidRPr="00CE48A1">
              <w:rPr>
                <w:rFonts w:ascii="Times New Roman" w:hAnsi="Times New Roman" w:cs="Times New Roman"/>
                <w:sz w:val="18"/>
                <w:szCs w:val="18"/>
              </w:rPr>
              <w:t>21</w:t>
            </w:r>
          </w:p>
        </w:tc>
      </w:tr>
      <w:tr w:rsidR="00B9660F" w:rsidRPr="00CE48A1" w14:paraId="15D468AF" w14:textId="77777777" w:rsidTr="00CE48A1">
        <w:trPr>
          <w:trHeight w:val="20"/>
          <w:jc w:val="center"/>
        </w:trPr>
        <w:tc>
          <w:tcPr>
            <w:tcW w:w="988" w:type="dxa"/>
            <w:hideMark/>
          </w:tcPr>
          <w:p w14:paraId="14568F48"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9.</w:t>
            </w:r>
          </w:p>
        </w:tc>
        <w:tc>
          <w:tcPr>
            <w:tcW w:w="1984" w:type="dxa"/>
            <w:hideMark/>
          </w:tcPr>
          <w:p w14:paraId="57C372F4"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Jammu and Kashmir</w:t>
            </w:r>
          </w:p>
        </w:tc>
        <w:tc>
          <w:tcPr>
            <w:tcW w:w="2126" w:type="dxa"/>
            <w:hideMark/>
          </w:tcPr>
          <w:p w14:paraId="001DE485"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0.929</w:t>
            </w:r>
          </w:p>
        </w:tc>
      </w:tr>
      <w:tr w:rsidR="00B9660F" w:rsidRPr="00CE48A1" w14:paraId="2657BD69" w14:textId="77777777" w:rsidTr="00CE48A1">
        <w:trPr>
          <w:trHeight w:val="20"/>
          <w:jc w:val="center"/>
        </w:trPr>
        <w:tc>
          <w:tcPr>
            <w:tcW w:w="988" w:type="dxa"/>
            <w:hideMark/>
          </w:tcPr>
          <w:p w14:paraId="10C0B50E"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10.</w:t>
            </w:r>
          </w:p>
        </w:tc>
        <w:tc>
          <w:tcPr>
            <w:tcW w:w="1984" w:type="dxa"/>
            <w:hideMark/>
          </w:tcPr>
          <w:p w14:paraId="4BEE93C3"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Karnataka</w:t>
            </w:r>
          </w:p>
        </w:tc>
        <w:tc>
          <w:tcPr>
            <w:tcW w:w="2126" w:type="dxa"/>
            <w:hideMark/>
          </w:tcPr>
          <w:p w14:paraId="1AA77C49"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5.865</w:t>
            </w:r>
          </w:p>
        </w:tc>
      </w:tr>
      <w:tr w:rsidR="00B9660F" w:rsidRPr="00CE48A1" w14:paraId="3F912DEF" w14:textId="77777777" w:rsidTr="00CE48A1">
        <w:trPr>
          <w:trHeight w:val="20"/>
          <w:jc w:val="center"/>
        </w:trPr>
        <w:tc>
          <w:tcPr>
            <w:tcW w:w="988" w:type="dxa"/>
            <w:hideMark/>
          </w:tcPr>
          <w:p w14:paraId="0F0A242A"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11.</w:t>
            </w:r>
          </w:p>
        </w:tc>
        <w:tc>
          <w:tcPr>
            <w:tcW w:w="1984" w:type="dxa"/>
            <w:hideMark/>
          </w:tcPr>
          <w:p w14:paraId="131A0985"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Kerala</w:t>
            </w:r>
          </w:p>
        </w:tc>
        <w:tc>
          <w:tcPr>
            <w:tcW w:w="2126" w:type="dxa"/>
            <w:hideMark/>
          </w:tcPr>
          <w:p w14:paraId="68EBF7E0"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3.723</w:t>
            </w:r>
          </w:p>
        </w:tc>
      </w:tr>
      <w:tr w:rsidR="00B9660F" w:rsidRPr="00CE48A1" w14:paraId="214B499C" w14:textId="77777777" w:rsidTr="00CE48A1">
        <w:trPr>
          <w:trHeight w:val="20"/>
          <w:jc w:val="center"/>
        </w:trPr>
        <w:tc>
          <w:tcPr>
            <w:tcW w:w="988" w:type="dxa"/>
            <w:hideMark/>
          </w:tcPr>
          <w:p w14:paraId="3F9BF055"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12.</w:t>
            </w:r>
          </w:p>
        </w:tc>
        <w:tc>
          <w:tcPr>
            <w:tcW w:w="1984" w:type="dxa"/>
            <w:hideMark/>
          </w:tcPr>
          <w:p w14:paraId="5C5FC3CB"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Madhya Pradesh</w:t>
            </w:r>
          </w:p>
        </w:tc>
        <w:tc>
          <w:tcPr>
            <w:tcW w:w="2126" w:type="dxa"/>
            <w:hideMark/>
          </w:tcPr>
          <w:p w14:paraId="60E7378F"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7.164</w:t>
            </w:r>
          </w:p>
        </w:tc>
      </w:tr>
      <w:tr w:rsidR="00B9660F" w:rsidRPr="00CE48A1" w14:paraId="2011AA31" w14:textId="77777777" w:rsidTr="00CE48A1">
        <w:trPr>
          <w:trHeight w:val="20"/>
          <w:jc w:val="center"/>
        </w:trPr>
        <w:tc>
          <w:tcPr>
            <w:tcW w:w="988" w:type="dxa"/>
            <w:hideMark/>
          </w:tcPr>
          <w:p w14:paraId="6053A549"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13.</w:t>
            </w:r>
          </w:p>
        </w:tc>
        <w:tc>
          <w:tcPr>
            <w:tcW w:w="1984" w:type="dxa"/>
            <w:hideMark/>
          </w:tcPr>
          <w:p w14:paraId="03F8C388"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Maharashtra</w:t>
            </w:r>
          </w:p>
        </w:tc>
        <w:tc>
          <w:tcPr>
            <w:tcW w:w="2126" w:type="dxa"/>
            <w:hideMark/>
          </w:tcPr>
          <w:p w14:paraId="7971DBFE"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11.886</w:t>
            </w:r>
          </w:p>
        </w:tc>
      </w:tr>
      <w:tr w:rsidR="00B9660F" w:rsidRPr="00CE48A1" w14:paraId="3C92858C" w14:textId="77777777" w:rsidTr="00CE48A1">
        <w:trPr>
          <w:trHeight w:val="20"/>
          <w:jc w:val="center"/>
        </w:trPr>
        <w:tc>
          <w:tcPr>
            <w:tcW w:w="988" w:type="dxa"/>
            <w:hideMark/>
          </w:tcPr>
          <w:p w14:paraId="60BAEAA6"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14.</w:t>
            </w:r>
          </w:p>
        </w:tc>
        <w:tc>
          <w:tcPr>
            <w:tcW w:w="1984" w:type="dxa"/>
            <w:hideMark/>
          </w:tcPr>
          <w:p w14:paraId="7DC8BBC4"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Manipur</w:t>
            </w:r>
          </w:p>
        </w:tc>
        <w:tc>
          <w:tcPr>
            <w:tcW w:w="2126" w:type="dxa"/>
            <w:hideMark/>
          </w:tcPr>
          <w:p w14:paraId="18D849C3"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0.213</w:t>
            </w:r>
          </w:p>
        </w:tc>
      </w:tr>
      <w:tr w:rsidR="00B9660F" w:rsidRPr="00CE48A1" w14:paraId="67BD8E9A" w14:textId="77777777" w:rsidTr="00CE48A1">
        <w:trPr>
          <w:trHeight w:val="20"/>
          <w:jc w:val="center"/>
        </w:trPr>
        <w:tc>
          <w:tcPr>
            <w:tcW w:w="988" w:type="dxa"/>
            <w:hideMark/>
          </w:tcPr>
          <w:p w14:paraId="5C1A1F2E"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15.</w:t>
            </w:r>
          </w:p>
        </w:tc>
        <w:tc>
          <w:tcPr>
            <w:tcW w:w="1984" w:type="dxa"/>
            <w:hideMark/>
          </w:tcPr>
          <w:p w14:paraId="712B00F3"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Meghalaya</w:t>
            </w:r>
          </w:p>
        </w:tc>
        <w:tc>
          <w:tcPr>
            <w:tcW w:w="2126" w:type="dxa"/>
            <w:hideMark/>
          </w:tcPr>
          <w:p w14:paraId="19D050EF"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0.190</w:t>
            </w:r>
          </w:p>
        </w:tc>
      </w:tr>
      <w:tr w:rsidR="00B9660F" w:rsidRPr="00CE48A1" w14:paraId="09284C64" w14:textId="77777777" w:rsidTr="00CE48A1">
        <w:trPr>
          <w:trHeight w:val="20"/>
          <w:jc w:val="center"/>
        </w:trPr>
        <w:tc>
          <w:tcPr>
            <w:tcW w:w="988" w:type="dxa"/>
            <w:hideMark/>
          </w:tcPr>
          <w:p w14:paraId="6E14A979"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16.</w:t>
            </w:r>
          </w:p>
        </w:tc>
        <w:tc>
          <w:tcPr>
            <w:tcW w:w="1984" w:type="dxa"/>
            <w:hideMark/>
          </w:tcPr>
          <w:p w14:paraId="29B666A4"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Mizoram</w:t>
            </w:r>
          </w:p>
        </w:tc>
        <w:tc>
          <w:tcPr>
            <w:tcW w:w="2126" w:type="dxa"/>
            <w:hideMark/>
          </w:tcPr>
          <w:p w14:paraId="558C79C5"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0.068</w:t>
            </w:r>
          </w:p>
        </w:tc>
      </w:tr>
      <w:tr w:rsidR="00B9660F" w:rsidRPr="00CE48A1" w14:paraId="0FFD0B20" w14:textId="77777777" w:rsidTr="00CE48A1">
        <w:trPr>
          <w:trHeight w:val="20"/>
          <w:jc w:val="center"/>
        </w:trPr>
        <w:tc>
          <w:tcPr>
            <w:tcW w:w="988" w:type="dxa"/>
            <w:hideMark/>
          </w:tcPr>
          <w:p w14:paraId="6A07594A"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17.</w:t>
            </w:r>
          </w:p>
        </w:tc>
        <w:tc>
          <w:tcPr>
            <w:tcW w:w="1984" w:type="dxa"/>
            <w:hideMark/>
          </w:tcPr>
          <w:p w14:paraId="36F9583B"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Nagaland</w:t>
            </w:r>
          </w:p>
        </w:tc>
        <w:tc>
          <w:tcPr>
            <w:tcW w:w="2126" w:type="dxa"/>
            <w:hideMark/>
          </w:tcPr>
          <w:p w14:paraId="16BA9BF0"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0.120</w:t>
            </w:r>
          </w:p>
        </w:tc>
      </w:tr>
      <w:tr w:rsidR="00B9660F" w:rsidRPr="00CE48A1" w14:paraId="78F94D33" w14:textId="77777777" w:rsidTr="00CE48A1">
        <w:trPr>
          <w:trHeight w:val="20"/>
          <w:jc w:val="center"/>
        </w:trPr>
        <w:tc>
          <w:tcPr>
            <w:tcW w:w="988" w:type="dxa"/>
            <w:hideMark/>
          </w:tcPr>
          <w:p w14:paraId="79A0824B"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18.</w:t>
            </w:r>
          </w:p>
        </w:tc>
        <w:tc>
          <w:tcPr>
            <w:tcW w:w="1984" w:type="dxa"/>
            <w:hideMark/>
          </w:tcPr>
          <w:p w14:paraId="1DB375E1"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Orissa</w:t>
            </w:r>
          </w:p>
        </w:tc>
        <w:tc>
          <w:tcPr>
            <w:tcW w:w="2126" w:type="dxa"/>
            <w:hideMark/>
          </w:tcPr>
          <w:p w14:paraId="08BDEB52"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3.486</w:t>
            </w:r>
          </w:p>
        </w:tc>
      </w:tr>
      <w:tr w:rsidR="00B9660F" w:rsidRPr="00CE48A1" w14:paraId="7C854EEF" w14:textId="77777777" w:rsidTr="00CE48A1">
        <w:trPr>
          <w:trHeight w:val="20"/>
          <w:jc w:val="center"/>
        </w:trPr>
        <w:tc>
          <w:tcPr>
            <w:tcW w:w="988" w:type="dxa"/>
            <w:hideMark/>
          </w:tcPr>
          <w:p w14:paraId="0F13A85F"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19.</w:t>
            </w:r>
          </w:p>
        </w:tc>
        <w:tc>
          <w:tcPr>
            <w:tcW w:w="1984" w:type="dxa"/>
            <w:hideMark/>
          </w:tcPr>
          <w:p w14:paraId="002F0E52"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Punjab</w:t>
            </w:r>
          </w:p>
        </w:tc>
        <w:tc>
          <w:tcPr>
            <w:tcW w:w="2126" w:type="dxa"/>
            <w:hideMark/>
          </w:tcPr>
          <w:p w14:paraId="2845100B"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3.533</w:t>
            </w:r>
          </w:p>
        </w:tc>
      </w:tr>
      <w:tr w:rsidR="00B9660F" w:rsidRPr="00CE48A1" w14:paraId="684878B1" w14:textId="77777777" w:rsidTr="00CE48A1">
        <w:trPr>
          <w:trHeight w:val="20"/>
          <w:jc w:val="center"/>
        </w:trPr>
        <w:tc>
          <w:tcPr>
            <w:tcW w:w="988" w:type="dxa"/>
            <w:hideMark/>
          </w:tcPr>
          <w:p w14:paraId="2132265B"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20.</w:t>
            </w:r>
          </w:p>
        </w:tc>
        <w:tc>
          <w:tcPr>
            <w:tcW w:w="1984" w:type="dxa"/>
            <w:hideMark/>
          </w:tcPr>
          <w:p w14:paraId="1BF62A88"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Rajasthan</w:t>
            </w:r>
          </w:p>
        </w:tc>
        <w:tc>
          <w:tcPr>
            <w:tcW w:w="2126" w:type="dxa"/>
            <w:hideMark/>
          </w:tcPr>
          <w:p w14:paraId="4DCA6318"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4.689</w:t>
            </w:r>
          </w:p>
        </w:tc>
      </w:tr>
      <w:tr w:rsidR="00B9660F" w:rsidRPr="00CE48A1" w14:paraId="0234F5FC" w14:textId="77777777" w:rsidTr="00CE48A1">
        <w:trPr>
          <w:trHeight w:val="20"/>
          <w:jc w:val="center"/>
        </w:trPr>
        <w:tc>
          <w:tcPr>
            <w:tcW w:w="988" w:type="dxa"/>
            <w:hideMark/>
          </w:tcPr>
          <w:p w14:paraId="3F4B0A7F"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21.</w:t>
            </w:r>
          </w:p>
        </w:tc>
        <w:tc>
          <w:tcPr>
            <w:tcW w:w="1984" w:type="dxa"/>
            <w:hideMark/>
          </w:tcPr>
          <w:p w14:paraId="3CDE8F11"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Sikkim</w:t>
            </w:r>
          </w:p>
        </w:tc>
        <w:tc>
          <w:tcPr>
            <w:tcW w:w="2126" w:type="dxa"/>
            <w:hideMark/>
          </w:tcPr>
          <w:p w14:paraId="41234C5A"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0.052</w:t>
            </w:r>
          </w:p>
        </w:tc>
      </w:tr>
      <w:tr w:rsidR="00B9660F" w:rsidRPr="00CE48A1" w14:paraId="5D1C9AD1" w14:textId="77777777" w:rsidTr="00CE48A1">
        <w:trPr>
          <w:trHeight w:val="20"/>
          <w:jc w:val="center"/>
        </w:trPr>
        <w:tc>
          <w:tcPr>
            <w:tcW w:w="988" w:type="dxa"/>
            <w:hideMark/>
          </w:tcPr>
          <w:p w14:paraId="44CD7D7E"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22.</w:t>
            </w:r>
          </w:p>
        </w:tc>
        <w:tc>
          <w:tcPr>
            <w:tcW w:w="1984" w:type="dxa"/>
            <w:hideMark/>
          </w:tcPr>
          <w:p w14:paraId="1A54266A"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Tamil Nadu</w:t>
            </w:r>
          </w:p>
        </w:tc>
        <w:tc>
          <w:tcPr>
            <w:tcW w:w="2126" w:type="dxa"/>
            <w:hideMark/>
          </w:tcPr>
          <w:p w14:paraId="2952809C"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7.064</w:t>
            </w:r>
          </w:p>
        </w:tc>
      </w:tr>
      <w:tr w:rsidR="00B9660F" w:rsidRPr="00CE48A1" w14:paraId="19EF6B91" w14:textId="77777777" w:rsidTr="00CE48A1">
        <w:trPr>
          <w:trHeight w:val="20"/>
          <w:jc w:val="center"/>
        </w:trPr>
        <w:tc>
          <w:tcPr>
            <w:tcW w:w="988" w:type="dxa"/>
            <w:hideMark/>
          </w:tcPr>
          <w:p w14:paraId="2D6C1BF8"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23.</w:t>
            </w:r>
          </w:p>
        </w:tc>
        <w:tc>
          <w:tcPr>
            <w:tcW w:w="1984" w:type="dxa"/>
            <w:hideMark/>
          </w:tcPr>
          <w:p w14:paraId="2779BCFB"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Tripura</w:t>
            </w:r>
          </w:p>
        </w:tc>
        <w:tc>
          <w:tcPr>
            <w:tcW w:w="2126" w:type="dxa"/>
            <w:hideMark/>
          </w:tcPr>
          <w:p w14:paraId="0453B264"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0.278</w:t>
            </w:r>
          </w:p>
        </w:tc>
      </w:tr>
      <w:tr w:rsidR="00B9660F" w:rsidRPr="00CE48A1" w14:paraId="2D85E455" w14:textId="77777777" w:rsidTr="00CE48A1">
        <w:trPr>
          <w:trHeight w:val="20"/>
          <w:jc w:val="center"/>
        </w:trPr>
        <w:tc>
          <w:tcPr>
            <w:tcW w:w="988" w:type="dxa"/>
            <w:hideMark/>
          </w:tcPr>
          <w:p w14:paraId="10FE46DC"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24.</w:t>
            </w:r>
          </w:p>
        </w:tc>
        <w:tc>
          <w:tcPr>
            <w:tcW w:w="1984" w:type="dxa"/>
            <w:hideMark/>
          </w:tcPr>
          <w:p w14:paraId="05F12DB5"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Uttar Pradesh</w:t>
            </w:r>
          </w:p>
        </w:tc>
        <w:tc>
          <w:tcPr>
            <w:tcW w:w="2126" w:type="dxa"/>
            <w:hideMark/>
          </w:tcPr>
          <w:p w14:paraId="10732CAF"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14.657</w:t>
            </w:r>
          </w:p>
        </w:tc>
      </w:tr>
      <w:tr w:rsidR="00B9660F" w:rsidRPr="00CE48A1" w14:paraId="69F6CD23" w14:textId="77777777" w:rsidTr="00CE48A1">
        <w:trPr>
          <w:trHeight w:val="20"/>
          <w:jc w:val="center"/>
        </w:trPr>
        <w:tc>
          <w:tcPr>
            <w:tcW w:w="988" w:type="dxa"/>
            <w:hideMark/>
          </w:tcPr>
          <w:p w14:paraId="0495518C"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25.</w:t>
            </w:r>
          </w:p>
        </w:tc>
        <w:tc>
          <w:tcPr>
            <w:tcW w:w="1984" w:type="dxa"/>
            <w:hideMark/>
          </w:tcPr>
          <w:p w14:paraId="6F6611F7" w14:textId="77777777" w:rsidR="00B9660F" w:rsidRPr="00CE48A1" w:rsidRDefault="00B9660F" w:rsidP="000F1069">
            <w:pPr>
              <w:pStyle w:val="NoSpacing"/>
              <w:spacing w:line="180" w:lineRule="exact"/>
              <w:rPr>
                <w:rFonts w:ascii="Times New Roman" w:hAnsi="Times New Roman" w:cs="Times New Roman"/>
                <w:sz w:val="18"/>
                <w:szCs w:val="18"/>
              </w:rPr>
            </w:pPr>
            <w:r w:rsidRPr="00CE48A1">
              <w:rPr>
                <w:rFonts w:ascii="Times New Roman" w:hAnsi="Times New Roman" w:cs="Times New Roman"/>
                <w:sz w:val="18"/>
                <w:szCs w:val="18"/>
              </w:rPr>
              <w:t>West Bengal</w:t>
            </w:r>
          </w:p>
        </w:tc>
        <w:tc>
          <w:tcPr>
            <w:tcW w:w="2126" w:type="dxa"/>
            <w:hideMark/>
          </w:tcPr>
          <w:p w14:paraId="39CC3415" w14:textId="77777777" w:rsidR="00B9660F" w:rsidRPr="00CE48A1" w:rsidRDefault="00B9660F" w:rsidP="000F1069">
            <w:pPr>
              <w:pStyle w:val="NoSpacing"/>
              <w:spacing w:line="180" w:lineRule="exact"/>
              <w:jc w:val="center"/>
              <w:rPr>
                <w:rFonts w:ascii="Times New Roman" w:hAnsi="Times New Roman" w:cs="Times New Roman"/>
                <w:sz w:val="18"/>
                <w:szCs w:val="18"/>
              </w:rPr>
            </w:pPr>
            <w:r w:rsidRPr="00CE48A1">
              <w:rPr>
                <w:rFonts w:ascii="Times New Roman" w:hAnsi="Times New Roman" w:cs="Times New Roman"/>
                <w:sz w:val="18"/>
                <w:szCs w:val="18"/>
              </w:rPr>
              <w:t>8.165</w:t>
            </w:r>
          </w:p>
        </w:tc>
      </w:tr>
      <w:tr w:rsidR="00B9660F" w:rsidRPr="00CE48A1" w14:paraId="2C2E97DB" w14:textId="77777777" w:rsidTr="00CE48A1">
        <w:trPr>
          <w:trHeight w:val="20"/>
          <w:jc w:val="center"/>
        </w:trPr>
        <w:tc>
          <w:tcPr>
            <w:tcW w:w="988" w:type="dxa"/>
            <w:hideMark/>
          </w:tcPr>
          <w:p w14:paraId="3C28AACE" w14:textId="77777777" w:rsidR="00B9660F" w:rsidRPr="00CE48A1" w:rsidRDefault="00B9660F" w:rsidP="000F1069">
            <w:pPr>
              <w:pStyle w:val="NoSpacing"/>
              <w:spacing w:line="180" w:lineRule="exact"/>
              <w:jc w:val="center"/>
              <w:rPr>
                <w:rFonts w:ascii="Times New Roman" w:hAnsi="Times New Roman" w:cs="Times New Roman"/>
                <w:sz w:val="18"/>
                <w:szCs w:val="18"/>
              </w:rPr>
            </w:pPr>
          </w:p>
        </w:tc>
        <w:tc>
          <w:tcPr>
            <w:tcW w:w="1984" w:type="dxa"/>
            <w:hideMark/>
          </w:tcPr>
          <w:p w14:paraId="7F2D7AAC" w14:textId="77777777" w:rsidR="00B9660F" w:rsidRPr="00CE48A1" w:rsidRDefault="00B9660F" w:rsidP="000F1069">
            <w:pPr>
              <w:pStyle w:val="NoSpacing"/>
              <w:spacing w:line="180" w:lineRule="exact"/>
              <w:rPr>
                <w:rFonts w:ascii="Times New Roman" w:hAnsi="Times New Roman" w:cs="Times New Roman"/>
                <w:b/>
                <w:bCs/>
                <w:sz w:val="18"/>
                <w:szCs w:val="18"/>
              </w:rPr>
            </w:pPr>
            <w:r w:rsidRPr="00CE48A1">
              <w:rPr>
                <w:rFonts w:ascii="Times New Roman" w:hAnsi="Times New Roman" w:cs="Times New Roman"/>
                <w:b/>
                <w:bCs/>
                <w:sz w:val="18"/>
                <w:szCs w:val="18"/>
              </w:rPr>
              <w:t>Total</w:t>
            </w:r>
          </w:p>
        </w:tc>
        <w:tc>
          <w:tcPr>
            <w:tcW w:w="2126" w:type="dxa"/>
            <w:hideMark/>
          </w:tcPr>
          <w:p w14:paraId="0EC81086" w14:textId="77777777" w:rsidR="00B9660F" w:rsidRPr="00CE48A1" w:rsidRDefault="00B9660F" w:rsidP="000F1069">
            <w:pPr>
              <w:pStyle w:val="NoSpacing"/>
              <w:spacing w:line="180" w:lineRule="exact"/>
              <w:jc w:val="center"/>
              <w:rPr>
                <w:rFonts w:ascii="Times New Roman" w:hAnsi="Times New Roman" w:cs="Times New Roman"/>
                <w:b/>
                <w:bCs/>
                <w:sz w:val="18"/>
                <w:szCs w:val="18"/>
              </w:rPr>
            </w:pPr>
            <w:r w:rsidRPr="00CE48A1">
              <w:rPr>
                <w:rFonts w:ascii="Times New Roman" w:hAnsi="Times New Roman" w:cs="Times New Roman"/>
                <w:b/>
                <w:bCs/>
                <w:sz w:val="18"/>
                <w:szCs w:val="18"/>
              </w:rPr>
              <w:t>100.000</w:t>
            </w:r>
          </w:p>
        </w:tc>
      </w:tr>
    </w:tbl>
    <w:p w14:paraId="128488B9" w14:textId="77777777" w:rsidR="00B9660F" w:rsidRPr="00CE48A1" w:rsidRDefault="00B9660F" w:rsidP="000F1069">
      <w:pPr>
        <w:spacing w:before="240"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Grant in Lieu of Tax on Railway Passenger Fares</w:t>
      </w:r>
    </w:p>
    <w:p w14:paraId="017DE4B9" w14:textId="7825C78B" w:rsidR="00B9660F" w:rsidRPr="00CE48A1" w:rsidRDefault="00B9660F" w:rsidP="000F1069">
      <w:pPr>
        <w:pStyle w:val="Heading3"/>
        <w:spacing w:after="0" w:line="180" w:lineRule="exact"/>
        <w:rPr>
          <w:sz w:val="19"/>
          <w:szCs w:val="19"/>
        </w:rPr>
      </w:pPr>
      <w:r w:rsidRPr="00CE48A1">
        <w:rPr>
          <w:sz w:val="19"/>
          <w:szCs w:val="19"/>
        </w:rPr>
        <w:t xml:space="preserve">Tax on Railway Passenger Fares is one of the items mentioned in Article 269 of the Constitution. In terms of paragraph 5(b) of our terms of </w:t>
      </w:r>
      <w:proofErr w:type="gramStart"/>
      <w:r w:rsidRPr="00CE48A1">
        <w:rPr>
          <w:sz w:val="19"/>
          <w:szCs w:val="19"/>
        </w:rPr>
        <w:t>reference</w:t>
      </w:r>
      <w:proofErr w:type="gramEnd"/>
      <w:r w:rsidRPr="00CE48A1">
        <w:rPr>
          <w:sz w:val="19"/>
          <w:szCs w:val="19"/>
        </w:rPr>
        <w:t xml:space="preserve"> we are required to suggest changes, if any, in the principles governing the distribution of the grant in lieu of the tax under the repealed Railway Passenger Fares Tax Act, 1957.</w:t>
      </w:r>
    </w:p>
    <w:p w14:paraId="55BC3392" w14:textId="5B0CD140" w:rsidR="00B9660F" w:rsidRPr="00CE48A1" w:rsidRDefault="00B9660F" w:rsidP="000F1069">
      <w:pPr>
        <w:pStyle w:val="Heading3"/>
        <w:spacing w:after="0" w:line="180" w:lineRule="exact"/>
        <w:rPr>
          <w:sz w:val="19"/>
          <w:szCs w:val="19"/>
        </w:rPr>
      </w:pPr>
      <w:r w:rsidRPr="00CE48A1">
        <w:rPr>
          <w:sz w:val="19"/>
          <w:szCs w:val="19"/>
        </w:rPr>
        <w:t>The historical background leading to the practice of giving grants to the States in place of the repealed tax on Railway Passenger Fares has been given in our first report. Briefly, the tax which was first imposed in 1957 was repealed in 1961. In fact, the tax was merged with the basic fare and the grant was introduced only to compensate the States for the consequential loss of revenue. The tax was revived in 1971 and again repealed in 1973.</w:t>
      </w:r>
    </w:p>
    <w:p w14:paraId="301341E1" w14:textId="2E4C0FB5" w:rsidR="00B9660F" w:rsidRPr="00CE48A1" w:rsidRDefault="00B9660F" w:rsidP="000F1069">
      <w:pPr>
        <w:pStyle w:val="Heading3"/>
        <w:spacing w:after="0" w:line="180" w:lineRule="exact"/>
        <w:rPr>
          <w:sz w:val="19"/>
          <w:szCs w:val="19"/>
        </w:rPr>
      </w:pPr>
      <w:r w:rsidRPr="00CE48A1">
        <w:rPr>
          <w:sz w:val="19"/>
          <w:szCs w:val="19"/>
        </w:rPr>
        <w:t>The principles on the basis of which the earlier Finance Commissions distributed the grants have been summarised and examined in our first report. The Seventh Commission adopted the formula of distribution of the grant in proportion to the non-suburban passenger earnings from traffic originating in each State. The Eighth Commission endorsed this practice. That Commission found it only logical that the taxable event being the payment of fare, the States should get the grant on the basis of the fare paid within their boundaries. The route or the length of the journey was not material. In our first report, we found the logic adopted by the Seventh and the Eighth Commissions to be sound. We see no reason to change our view.</w:t>
      </w:r>
    </w:p>
    <w:p w14:paraId="6DD331DF" w14:textId="16A20221" w:rsidR="00B9660F" w:rsidRPr="00CE48A1" w:rsidRDefault="00B9660F" w:rsidP="000F1069">
      <w:pPr>
        <w:pStyle w:val="Heading3"/>
        <w:spacing w:after="0" w:line="180" w:lineRule="exact"/>
        <w:rPr>
          <w:sz w:val="19"/>
          <w:szCs w:val="19"/>
        </w:rPr>
      </w:pPr>
      <w:r w:rsidRPr="00CE48A1">
        <w:rPr>
          <w:sz w:val="19"/>
          <w:szCs w:val="19"/>
        </w:rPr>
        <w:t>Our terms of reference do not directly enjoin upon us to make any recommendation about the quantum of the grant. We are of the view that it would not be particularly meaningful to consider the principles of distribution of the grant without going into its size - that would be an exercise in vacuum. On this, some States have demanded that the grant should be 10.7 per cent of the non-suburban railway passenger earnings (because this was the incidence when the tax was in force) and that this proportion should be maintained in each of the years 1990-95. In other words, the grant should be 10.7 per cent of railway passenger earnings in each of the future years.</w:t>
      </w:r>
    </w:p>
    <w:p w14:paraId="2C765E62" w14:textId="365B9783" w:rsidR="00B9660F" w:rsidRPr="00CE48A1" w:rsidRDefault="00B9660F" w:rsidP="000F1069">
      <w:pPr>
        <w:pStyle w:val="Heading3"/>
        <w:spacing w:after="0" w:line="180" w:lineRule="exact"/>
        <w:rPr>
          <w:sz w:val="19"/>
          <w:szCs w:val="19"/>
        </w:rPr>
      </w:pPr>
      <w:r w:rsidRPr="00CE48A1">
        <w:rPr>
          <w:sz w:val="19"/>
          <w:szCs w:val="19"/>
        </w:rPr>
        <w:t xml:space="preserve">The Railways have again strongly pleaded that increasing the amount of the grant beyond its current size of Rs. 95 </w:t>
      </w:r>
      <w:proofErr w:type="gramStart"/>
      <w:r w:rsidRPr="00CE48A1">
        <w:rPr>
          <w:sz w:val="19"/>
          <w:szCs w:val="19"/>
        </w:rPr>
        <w:t>crore</w:t>
      </w:r>
      <w:proofErr w:type="gramEnd"/>
      <w:r w:rsidRPr="00CE48A1">
        <w:rPr>
          <w:sz w:val="19"/>
          <w:szCs w:val="19"/>
        </w:rPr>
        <w:t xml:space="preserve"> annually would put their developmental efforts in jeopardy. They have again drawn our attention to the fact that they are subsidising not only passenger traffic but also freight traffic. In a communication sent to us for our second report, they have stated that the impact of social obligations borne by them in 1987-88 (estimated) was close to Rs. 1,760 </w:t>
      </w:r>
      <w:proofErr w:type="gramStart"/>
      <w:r w:rsidRPr="00CE48A1">
        <w:rPr>
          <w:sz w:val="19"/>
          <w:szCs w:val="19"/>
        </w:rPr>
        <w:t>crore</w:t>
      </w:r>
      <w:proofErr w:type="gramEnd"/>
      <w:r w:rsidRPr="00CE48A1">
        <w:rPr>
          <w:sz w:val="19"/>
          <w:szCs w:val="19"/>
        </w:rPr>
        <w:t xml:space="preserve"> by way of subsidisation of passenger fares and tariff on low-rated commodities. Their case is that Railway receipts should not be treated on par with Central Government's general tax revenues, part of which devolves on the States. The Railways have to find adequate resources to provide a modern and </w:t>
      </w:r>
      <w:r w:rsidRPr="00CE48A1">
        <w:rPr>
          <w:sz w:val="19"/>
          <w:szCs w:val="19"/>
        </w:rPr>
        <w:lastRenderedPageBreak/>
        <w:t>efficient transport infrastructure to meet the demands of a growing economy which is acquiring further complexity and sophistication.</w:t>
      </w:r>
    </w:p>
    <w:p w14:paraId="540FAF4B" w14:textId="38481CAB" w:rsidR="00B9660F" w:rsidRPr="00CE48A1" w:rsidRDefault="00B9660F" w:rsidP="000F1069">
      <w:pPr>
        <w:pStyle w:val="Heading3"/>
        <w:spacing w:after="0" w:line="180" w:lineRule="exact"/>
        <w:rPr>
          <w:sz w:val="19"/>
          <w:szCs w:val="19"/>
        </w:rPr>
      </w:pPr>
      <w:r w:rsidRPr="00CE48A1">
        <w:rPr>
          <w:sz w:val="19"/>
          <w:szCs w:val="19"/>
        </w:rPr>
        <w:t xml:space="preserve">In paragraph 8.22 of our first report, we had stated that we would, for the purpose of our second report, revert to the question of the size of the grant. Having said this, we have examined it on the basis of Railways' accounts, balance-sheet and budget documents. We have come to the conclusion that the Railways cannot bear the burden of 10.7 per cent incidence of the grant on non-suburban passenger fares without their finances and performance being seriously affected. The alternative of raising the railway fares in order to pay more to the States does not appeal to us. At the same time, we are of the opinion that the quantum cannot remain pegged at Rs. 95 </w:t>
      </w:r>
      <w:proofErr w:type="gramStart"/>
      <w:r w:rsidRPr="00CE48A1">
        <w:rPr>
          <w:sz w:val="19"/>
          <w:szCs w:val="19"/>
        </w:rPr>
        <w:t>crore</w:t>
      </w:r>
      <w:proofErr w:type="gramEnd"/>
      <w:r w:rsidRPr="00CE48A1">
        <w:rPr>
          <w:sz w:val="19"/>
          <w:szCs w:val="19"/>
        </w:rPr>
        <w:t>. Considering all aspects of the matter and the interest of the States as well as of the Railways, we feel that it would be reasonable and fair to fix the grant at a lumpsum amount of Rs. 150 crore per annum for each year of the period of the report, 1990-95. On the subject of quantum, Shri Justice A.S. Qureshi, Member, feels that the fair and equitable approach to the matter was to fully compensate the States for the loss as though there was no repeal of the Act. The Railway Passenger Fares Tax when in force amounted to 10.7 per cent of Railways' non-suburban passenger fare earning and grant equivalent to this be paid to the States in each of the years 1990-95. Since the incidence of this amount would be around 3 per cent of Railways' total revenues from goods and passenger earnings, he feels that it could be borne by the Railways instead of any part of it being made up from the General Revenues of the Union Government as in the past. He also feels that the abolition of the tax without the consent of the States was not a correct step. Dr. Raja J. Chelliah, Member, is of the view that the case for increasing the grant in lieu of the repealed Railway Passenger Fares Tax is implicitly based on the earlier approach to the devolution of taxes whereby the principles of distribution were determined on the basis of criteria, all of which were independent of the assessments of the State Governments' revenues and expenditures. Under the new approach that this Commission has initiated, devolution and grants-in-aid have to be linked to the normatively assessed budgetary positions of the different States. This has required some reduction in the relative weight of devolution based on independent criteria. This being so, if more is given by way of grant in lieu of Railway Passenger Fares Tax, correspondingly less might have to be given by way of other shareable taxes. The States as a whole would not gain while the Railways might be put to difficulty. Furthermore, if the amount of the above grant is to be increased substantially, one would have to put the principles of its distribution on par with those of other shareable taxes; in fact, it is not clear why a proxy for passenger earnings in each State is being used now, when there is no tax rental arrangement involved. However, Dr. Chelliah does not wish to press this issue because the total amount involved is relatively small.</w:t>
      </w:r>
    </w:p>
    <w:p w14:paraId="78C4AAFB" w14:textId="1795D38D" w:rsidR="00B9660F" w:rsidRPr="00CE48A1" w:rsidRDefault="00B9660F" w:rsidP="000F1069">
      <w:pPr>
        <w:pStyle w:val="Heading3"/>
        <w:spacing w:after="0" w:line="180" w:lineRule="exact"/>
        <w:rPr>
          <w:sz w:val="19"/>
          <w:szCs w:val="19"/>
        </w:rPr>
      </w:pPr>
      <w:r w:rsidRPr="00CE48A1">
        <w:rPr>
          <w:sz w:val="19"/>
          <w:szCs w:val="19"/>
        </w:rPr>
        <w:t>We are aware that in recent years the Railways have shown good performance in the field of freight traffic, wagon utilization, traffic density, track renewals, railway electrification, etc. Their inventory turn-</w:t>
      </w:r>
      <w:proofErr w:type="spellStart"/>
      <w:r w:rsidRPr="00CE48A1">
        <w:rPr>
          <w:sz w:val="19"/>
          <w:szCs w:val="19"/>
        </w:rPr>
        <w:t>over</w:t>
      </w:r>
      <w:proofErr w:type="spellEnd"/>
      <w:r w:rsidRPr="00CE48A1">
        <w:rPr>
          <w:sz w:val="19"/>
          <w:szCs w:val="19"/>
        </w:rPr>
        <w:t xml:space="preserve"> ratio and energy consumption have also shown favourable trends. Even then, we cannot ignore the fact that there is great scope to improve Railways' efficiency parameters, such as control of staff, better utilisation of rolling stock, checking of ticketless travel, prevention of wasteful expenditure and greater productivity of investments by not taking up too many schemes and programmes whose inadequate funding leads to time and cost over-runs. The scope for curtailing staff and effecting savings would be much greater following the </w:t>
      </w:r>
      <w:proofErr w:type="gramStart"/>
      <w:r w:rsidRPr="00CE48A1">
        <w:rPr>
          <w:sz w:val="19"/>
          <w:szCs w:val="19"/>
        </w:rPr>
        <w:t>large scale</w:t>
      </w:r>
      <w:proofErr w:type="gramEnd"/>
      <w:r w:rsidRPr="00CE48A1">
        <w:rPr>
          <w:sz w:val="19"/>
          <w:szCs w:val="19"/>
        </w:rPr>
        <w:t xml:space="preserve"> computerisation undertaken by the Railways in recent years. All these should improve the developmental and modernisation work besides meeting the obligation of the grant to the States.</w:t>
      </w:r>
    </w:p>
    <w:p w14:paraId="2BE05E1D" w14:textId="444D822F" w:rsidR="00B9660F" w:rsidRPr="00CE48A1" w:rsidRDefault="00B9660F" w:rsidP="000F1069">
      <w:pPr>
        <w:pStyle w:val="Heading3"/>
        <w:spacing w:after="0" w:line="180" w:lineRule="exact"/>
        <w:rPr>
          <w:sz w:val="19"/>
          <w:szCs w:val="19"/>
        </w:rPr>
      </w:pPr>
      <w:r w:rsidRPr="00CE48A1">
        <w:rPr>
          <w:sz w:val="19"/>
          <w:szCs w:val="19"/>
        </w:rPr>
        <w:t>In our first report, we had also considered the suggestions of the States regarding the principles of distribution of the grant. In that report, following the recommendations of the Seventh and the Eighth Finance Commissions, we had recommended that the grant should be distributed among the States in proportion to the non-suburban passenger earnings from traffic originating in each State. We consider that the logic of our recommendation in the first report was sound and hence we do not find any reason to deviate from it in our second report.</w:t>
      </w:r>
    </w:p>
    <w:p w14:paraId="59874CFC" w14:textId="25AB3C48" w:rsidR="00B9660F" w:rsidRPr="00CE48A1" w:rsidRDefault="00B9660F" w:rsidP="000F1069">
      <w:pPr>
        <w:pStyle w:val="Heading3"/>
        <w:spacing w:after="0" w:line="180" w:lineRule="exact"/>
        <w:rPr>
          <w:sz w:val="19"/>
          <w:szCs w:val="19"/>
        </w:rPr>
      </w:pPr>
      <w:r w:rsidRPr="00CE48A1">
        <w:rPr>
          <w:sz w:val="19"/>
          <w:szCs w:val="19"/>
        </w:rPr>
        <w:t>We have obtained from the Ministry of Railways the latest actuals of non-suburban passenger earnings in respect of each State for the period 1984-85 to 1987-88, except for Mizoram which does not have a railway line or an out agency (Annexure V.6).</w:t>
      </w:r>
    </w:p>
    <w:p w14:paraId="36A14035" w14:textId="16529773" w:rsidR="00B9660F" w:rsidRPr="00CE48A1" w:rsidRDefault="00B9660F" w:rsidP="000F1069">
      <w:pPr>
        <w:pStyle w:val="Heading3"/>
        <w:spacing w:after="0" w:line="180" w:lineRule="exact"/>
        <w:rPr>
          <w:sz w:val="19"/>
          <w:szCs w:val="19"/>
        </w:rPr>
      </w:pPr>
      <w:r w:rsidRPr="00CE48A1">
        <w:rPr>
          <w:sz w:val="19"/>
          <w:szCs w:val="19"/>
        </w:rPr>
        <w:t>Summing up, we recommend as below:</w:t>
      </w:r>
    </w:p>
    <w:p w14:paraId="6328F0DE" w14:textId="0639CC90" w:rsidR="00B9660F" w:rsidRPr="000F1069" w:rsidRDefault="00B9660F">
      <w:pPr>
        <w:pStyle w:val="ListParagraph"/>
        <w:numPr>
          <w:ilvl w:val="0"/>
          <w:numId w:val="29"/>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 xml:space="preserve">The quantum of the grant in lieu of Railway Passenger Fares Tax for 1990-95 should be Rs. 150 </w:t>
      </w:r>
      <w:proofErr w:type="gramStart"/>
      <w:r w:rsidRPr="000F1069">
        <w:rPr>
          <w:rFonts w:ascii="Times New Roman" w:hAnsi="Times New Roman" w:cs="Times New Roman"/>
          <w:sz w:val="19"/>
          <w:szCs w:val="19"/>
        </w:rPr>
        <w:t>crore</w:t>
      </w:r>
      <w:proofErr w:type="gramEnd"/>
      <w:r w:rsidRPr="000F1069">
        <w:rPr>
          <w:rFonts w:ascii="Times New Roman" w:hAnsi="Times New Roman" w:cs="Times New Roman"/>
          <w:sz w:val="19"/>
          <w:szCs w:val="19"/>
        </w:rPr>
        <w:t xml:space="preserve"> annually.</w:t>
      </w:r>
    </w:p>
    <w:p w14:paraId="6F878375" w14:textId="5FEB5BF6" w:rsidR="00895995" w:rsidRPr="000F1069" w:rsidRDefault="00B9660F">
      <w:pPr>
        <w:pStyle w:val="ListParagraph"/>
        <w:numPr>
          <w:ilvl w:val="0"/>
          <w:numId w:val="29"/>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The shares of the States in the grant in lieu of the repealed Tax on Railway Passenger Fares be allocated in the same proportion as the average of the non-suburban passenger earnings in each State in the years 1984-85 to 1987-88 bears to the average of the aggregate non-suburban earnings of all the States in those years. On this basis, the shares of the States in each year during 1990-95 would be as follows:</w:t>
      </w:r>
    </w:p>
    <w:p w14:paraId="0B9D7CA1" w14:textId="77777777" w:rsidR="009F1E18" w:rsidRPr="00CE48A1" w:rsidRDefault="009F1E18" w:rsidP="000F1069">
      <w:pPr>
        <w:spacing w:after="0" w:line="180" w:lineRule="exact"/>
        <w:ind w:left="709" w:hanging="283"/>
        <w:jc w:val="both"/>
        <w:rPr>
          <w:rFonts w:ascii="Times New Roman" w:hAnsi="Times New Roman" w:cs="Times New Roman"/>
          <w:sz w:val="19"/>
          <w:szCs w:val="19"/>
        </w:rPr>
      </w:pPr>
    </w:p>
    <w:p w14:paraId="322E9747" w14:textId="464210B3" w:rsidR="008772B7" w:rsidRPr="00CE48A1" w:rsidRDefault="008772B7" w:rsidP="000F1069">
      <w:pPr>
        <w:spacing w:after="0" w:line="180" w:lineRule="exact"/>
        <w:ind w:left="-142"/>
        <w:jc w:val="center"/>
        <w:rPr>
          <w:rFonts w:ascii="Times New Roman" w:hAnsi="Times New Roman" w:cs="Times New Roman"/>
          <w:b/>
          <w:bCs/>
          <w:sz w:val="19"/>
          <w:szCs w:val="19"/>
        </w:rPr>
      </w:pPr>
      <w:r w:rsidRPr="00CE48A1">
        <w:rPr>
          <w:rFonts w:ascii="Times New Roman" w:hAnsi="Times New Roman" w:cs="Times New Roman"/>
          <w:b/>
          <w:bCs/>
          <w:sz w:val="19"/>
          <w:szCs w:val="19"/>
        </w:rPr>
        <w:t>Share of States from the Grant in Lieu of Tax on Railway Passenger Fares: 1990-91 to 1994-95</w:t>
      </w:r>
    </w:p>
    <w:tbl>
      <w:tblPr>
        <w:tblStyle w:val="TableGrid"/>
        <w:tblW w:w="5807" w:type="dxa"/>
        <w:jc w:val="center"/>
        <w:tblLook w:val="04A0" w:firstRow="1" w:lastRow="0" w:firstColumn="1" w:lastColumn="0" w:noHBand="0" w:noVBand="1"/>
      </w:tblPr>
      <w:tblGrid>
        <w:gridCol w:w="988"/>
        <w:gridCol w:w="1842"/>
        <w:gridCol w:w="2977"/>
      </w:tblGrid>
      <w:tr w:rsidR="008772B7" w:rsidRPr="000F1069" w14:paraId="21E62183" w14:textId="77777777" w:rsidTr="000F1069">
        <w:trPr>
          <w:trHeight w:val="20"/>
          <w:jc w:val="center"/>
        </w:trPr>
        <w:tc>
          <w:tcPr>
            <w:tcW w:w="988" w:type="dxa"/>
            <w:hideMark/>
          </w:tcPr>
          <w:p w14:paraId="406E5C9A" w14:textId="77777777" w:rsidR="008772B7" w:rsidRPr="000F1069" w:rsidRDefault="008772B7" w:rsidP="000F1069">
            <w:pPr>
              <w:pStyle w:val="NoSpacing"/>
              <w:spacing w:line="180" w:lineRule="exact"/>
              <w:jc w:val="center"/>
              <w:rPr>
                <w:rFonts w:ascii="Times New Roman" w:hAnsi="Times New Roman" w:cs="Times New Roman"/>
                <w:b/>
                <w:bCs/>
                <w:sz w:val="18"/>
                <w:szCs w:val="18"/>
              </w:rPr>
            </w:pPr>
            <w:r w:rsidRPr="000F1069">
              <w:rPr>
                <w:rFonts w:ascii="Times New Roman" w:hAnsi="Times New Roman" w:cs="Times New Roman"/>
                <w:b/>
                <w:bCs/>
                <w:sz w:val="18"/>
                <w:szCs w:val="18"/>
              </w:rPr>
              <w:t>S. No.</w:t>
            </w:r>
          </w:p>
        </w:tc>
        <w:tc>
          <w:tcPr>
            <w:tcW w:w="1842" w:type="dxa"/>
            <w:hideMark/>
          </w:tcPr>
          <w:p w14:paraId="64E369AB" w14:textId="77777777" w:rsidR="008772B7" w:rsidRPr="000F1069" w:rsidRDefault="008772B7" w:rsidP="000F1069">
            <w:pPr>
              <w:pStyle w:val="NoSpacing"/>
              <w:spacing w:line="180" w:lineRule="exact"/>
              <w:rPr>
                <w:rFonts w:ascii="Times New Roman" w:hAnsi="Times New Roman" w:cs="Times New Roman"/>
                <w:b/>
                <w:bCs/>
                <w:sz w:val="18"/>
                <w:szCs w:val="18"/>
              </w:rPr>
            </w:pPr>
            <w:r w:rsidRPr="000F1069">
              <w:rPr>
                <w:rFonts w:ascii="Times New Roman" w:hAnsi="Times New Roman" w:cs="Times New Roman"/>
                <w:b/>
                <w:bCs/>
                <w:sz w:val="18"/>
                <w:szCs w:val="18"/>
              </w:rPr>
              <w:t>States</w:t>
            </w:r>
          </w:p>
        </w:tc>
        <w:tc>
          <w:tcPr>
            <w:tcW w:w="2977" w:type="dxa"/>
            <w:hideMark/>
          </w:tcPr>
          <w:p w14:paraId="0359AA47" w14:textId="77777777" w:rsidR="008772B7" w:rsidRPr="000F1069" w:rsidRDefault="008772B7" w:rsidP="000F1069">
            <w:pPr>
              <w:pStyle w:val="NoSpacing"/>
              <w:spacing w:line="180" w:lineRule="exact"/>
              <w:jc w:val="center"/>
              <w:rPr>
                <w:rFonts w:ascii="Times New Roman" w:hAnsi="Times New Roman" w:cs="Times New Roman"/>
                <w:b/>
                <w:bCs/>
                <w:sz w:val="18"/>
                <w:szCs w:val="18"/>
              </w:rPr>
            </w:pPr>
            <w:r w:rsidRPr="000F1069">
              <w:rPr>
                <w:rFonts w:ascii="Times New Roman" w:hAnsi="Times New Roman" w:cs="Times New Roman"/>
                <w:b/>
                <w:bCs/>
                <w:sz w:val="18"/>
                <w:szCs w:val="18"/>
              </w:rPr>
              <w:t>Percentage Share</w:t>
            </w:r>
          </w:p>
        </w:tc>
      </w:tr>
      <w:tr w:rsidR="008772B7" w:rsidRPr="000F1069" w14:paraId="7D963D9E" w14:textId="77777777" w:rsidTr="000F1069">
        <w:trPr>
          <w:trHeight w:val="20"/>
          <w:jc w:val="center"/>
        </w:trPr>
        <w:tc>
          <w:tcPr>
            <w:tcW w:w="988" w:type="dxa"/>
            <w:hideMark/>
          </w:tcPr>
          <w:p w14:paraId="14A06F84"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w:t>
            </w:r>
          </w:p>
        </w:tc>
        <w:tc>
          <w:tcPr>
            <w:tcW w:w="1842" w:type="dxa"/>
            <w:hideMark/>
          </w:tcPr>
          <w:p w14:paraId="69E2D50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Andhra Pradesh</w:t>
            </w:r>
          </w:p>
        </w:tc>
        <w:tc>
          <w:tcPr>
            <w:tcW w:w="2977" w:type="dxa"/>
            <w:hideMark/>
          </w:tcPr>
          <w:p w14:paraId="3E131841"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7.484</w:t>
            </w:r>
          </w:p>
        </w:tc>
      </w:tr>
      <w:tr w:rsidR="008772B7" w:rsidRPr="000F1069" w14:paraId="00FA9EBC" w14:textId="77777777" w:rsidTr="000F1069">
        <w:trPr>
          <w:trHeight w:val="20"/>
          <w:jc w:val="center"/>
        </w:trPr>
        <w:tc>
          <w:tcPr>
            <w:tcW w:w="988" w:type="dxa"/>
            <w:hideMark/>
          </w:tcPr>
          <w:p w14:paraId="07C6C599"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w:t>
            </w:r>
          </w:p>
        </w:tc>
        <w:tc>
          <w:tcPr>
            <w:tcW w:w="1842" w:type="dxa"/>
            <w:hideMark/>
          </w:tcPr>
          <w:p w14:paraId="6F9720F9"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Arunachal Pradesh</w:t>
            </w:r>
          </w:p>
        </w:tc>
        <w:tc>
          <w:tcPr>
            <w:tcW w:w="2977" w:type="dxa"/>
            <w:hideMark/>
          </w:tcPr>
          <w:p w14:paraId="13D8D89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0.008</w:t>
            </w:r>
          </w:p>
        </w:tc>
      </w:tr>
      <w:tr w:rsidR="008772B7" w:rsidRPr="000F1069" w14:paraId="508DE358" w14:textId="77777777" w:rsidTr="000F1069">
        <w:trPr>
          <w:trHeight w:val="20"/>
          <w:jc w:val="center"/>
        </w:trPr>
        <w:tc>
          <w:tcPr>
            <w:tcW w:w="988" w:type="dxa"/>
            <w:hideMark/>
          </w:tcPr>
          <w:p w14:paraId="29A83F6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w:t>
            </w:r>
          </w:p>
        </w:tc>
        <w:tc>
          <w:tcPr>
            <w:tcW w:w="1842" w:type="dxa"/>
            <w:hideMark/>
          </w:tcPr>
          <w:p w14:paraId="36953999"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Assam</w:t>
            </w:r>
          </w:p>
        </w:tc>
        <w:tc>
          <w:tcPr>
            <w:tcW w:w="2977" w:type="dxa"/>
            <w:hideMark/>
          </w:tcPr>
          <w:p w14:paraId="15CF662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1.509</w:t>
            </w:r>
          </w:p>
        </w:tc>
      </w:tr>
      <w:tr w:rsidR="008772B7" w:rsidRPr="000F1069" w14:paraId="451248A3" w14:textId="77777777" w:rsidTr="000F1069">
        <w:trPr>
          <w:trHeight w:val="20"/>
          <w:jc w:val="center"/>
        </w:trPr>
        <w:tc>
          <w:tcPr>
            <w:tcW w:w="988" w:type="dxa"/>
            <w:hideMark/>
          </w:tcPr>
          <w:p w14:paraId="6E577B4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4.</w:t>
            </w:r>
          </w:p>
        </w:tc>
        <w:tc>
          <w:tcPr>
            <w:tcW w:w="1842" w:type="dxa"/>
            <w:hideMark/>
          </w:tcPr>
          <w:p w14:paraId="2D20A07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Bihar</w:t>
            </w:r>
          </w:p>
        </w:tc>
        <w:tc>
          <w:tcPr>
            <w:tcW w:w="2977" w:type="dxa"/>
            <w:hideMark/>
          </w:tcPr>
          <w:p w14:paraId="57B7E67E" w14:textId="31C22E88"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8.2</w:t>
            </w:r>
            <w:r w:rsidR="00C53ED7" w:rsidRPr="000F1069">
              <w:rPr>
                <w:rFonts w:ascii="Times New Roman" w:hAnsi="Times New Roman" w:cs="Times New Roman"/>
                <w:sz w:val="18"/>
                <w:szCs w:val="18"/>
              </w:rPr>
              <w:t>66</w:t>
            </w:r>
          </w:p>
        </w:tc>
      </w:tr>
      <w:tr w:rsidR="008772B7" w:rsidRPr="000F1069" w14:paraId="43D5A327" w14:textId="77777777" w:rsidTr="000F1069">
        <w:trPr>
          <w:trHeight w:val="20"/>
          <w:jc w:val="center"/>
        </w:trPr>
        <w:tc>
          <w:tcPr>
            <w:tcW w:w="988" w:type="dxa"/>
            <w:hideMark/>
          </w:tcPr>
          <w:p w14:paraId="69797F6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5.</w:t>
            </w:r>
          </w:p>
        </w:tc>
        <w:tc>
          <w:tcPr>
            <w:tcW w:w="1842" w:type="dxa"/>
            <w:hideMark/>
          </w:tcPr>
          <w:p w14:paraId="7518E190"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Goa</w:t>
            </w:r>
          </w:p>
        </w:tc>
        <w:tc>
          <w:tcPr>
            <w:tcW w:w="2977" w:type="dxa"/>
            <w:hideMark/>
          </w:tcPr>
          <w:p w14:paraId="5692410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0.133</w:t>
            </w:r>
          </w:p>
        </w:tc>
      </w:tr>
      <w:tr w:rsidR="008772B7" w:rsidRPr="000F1069" w14:paraId="31289408" w14:textId="77777777" w:rsidTr="000F1069">
        <w:trPr>
          <w:trHeight w:val="20"/>
          <w:jc w:val="center"/>
        </w:trPr>
        <w:tc>
          <w:tcPr>
            <w:tcW w:w="988" w:type="dxa"/>
            <w:hideMark/>
          </w:tcPr>
          <w:p w14:paraId="75E0E17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6.</w:t>
            </w:r>
          </w:p>
        </w:tc>
        <w:tc>
          <w:tcPr>
            <w:tcW w:w="1842" w:type="dxa"/>
            <w:hideMark/>
          </w:tcPr>
          <w:p w14:paraId="4F357076"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Gujarat</w:t>
            </w:r>
          </w:p>
        </w:tc>
        <w:tc>
          <w:tcPr>
            <w:tcW w:w="2977" w:type="dxa"/>
            <w:hideMark/>
          </w:tcPr>
          <w:p w14:paraId="5028329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5.717</w:t>
            </w:r>
          </w:p>
        </w:tc>
      </w:tr>
      <w:tr w:rsidR="008772B7" w:rsidRPr="000F1069" w14:paraId="6B87B20F" w14:textId="77777777" w:rsidTr="000F1069">
        <w:trPr>
          <w:trHeight w:val="20"/>
          <w:jc w:val="center"/>
        </w:trPr>
        <w:tc>
          <w:tcPr>
            <w:tcW w:w="988" w:type="dxa"/>
            <w:hideMark/>
          </w:tcPr>
          <w:p w14:paraId="7CC3C8F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7.</w:t>
            </w:r>
          </w:p>
        </w:tc>
        <w:tc>
          <w:tcPr>
            <w:tcW w:w="1842" w:type="dxa"/>
            <w:hideMark/>
          </w:tcPr>
          <w:p w14:paraId="7E010E8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Haryana</w:t>
            </w:r>
          </w:p>
        </w:tc>
        <w:tc>
          <w:tcPr>
            <w:tcW w:w="2977" w:type="dxa"/>
            <w:hideMark/>
          </w:tcPr>
          <w:p w14:paraId="0996715D"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1.637</w:t>
            </w:r>
          </w:p>
        </w:tc>
      </w:tr>
      <w:tr w:rsidR="008772B7" w:rsidRPr="000F1069" w14:paraId="6F872F08" w14:textId="77777777" w:rsidTr="000F1069">
        <w:trPr>
          <w:trHeight w:val="20"/>
          <w:jc w:val="center"/>
        </w:trPr>
        <w:tc>
          <w:tcPr>
            <w:tcW w:w="988" w:type="dxa"/>
            <w:hideMark/>
          </w:tcPr>
          <w:p w14:paraId="4FC6C8E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8.</w:t>
            </w:r>
          </w:p>
        </w:tc>
        <w:tc>
          <w:tcPr>
            <w:tcW w:w="1842" w:type="dxa"/>
            <w:hideMark/>
          </w:tcPr>
          <w:p w14:paraId="18165602"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Himachal Pradesh</w:t>
            </w:r>
          </w:p>
        </w:tc>
        <w:tc>
          <w:tcPr>
            <w:tcW w:w="2977" w:type="dxa"/>
            <w:hideMark/>
          </w:tcPr>
          <w:p w14:paraId="2BEE4985"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0.098</w:t>
            </w:r>
          </w:p>
        </w:tc>
      </w:tr>
      <w:tr w:rsidR="008772B7" w:rsidRPr="000F1069" w14:paraId="2E43322B" w14:textId="77777777" w:rsidTr="000F1069">
        <w:trPr>
          <w:trHeight w:val="20"/>
          <w:jc w:val="center"/>
        </w:trPr>
        <w:tc>
          <w:tcPr>
            <w:tcW w:w="988" w:type="dxa"/>
            <w:hideMark/>
          </w:tcPr>
          <w:p w14:paraId="30243D3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9.</w:t>
            </w:r>
          </w:p>
        </w:tc>
        <w:tc>
          <w:tcPr>
            <w:tcW w:w="1842" w:type="dxa"/>
            <w:hideMark/>
          </w:tcPr>
          <w:p w14:paraId="794C613B"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Jammu and Kashmir</w:t>
            </w:r>
          </w:p>
        </w:tc>
        <w:tc>
          <w:tcPr>
            <w:tcW w:w="2977" w:type="dxa"/>
            <w:hideMark/>
          </w:tcPr>
          <w:p w14:paraId="023B0BE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0.520</w:t>
            </w:r>
          </w:p>
        </w:tc>
      </w:tr>
      <w:tr w:rsidR="008772B7" w:rsidRPr="000F1069" w14:paraId="6FF5DB06" w14:textId="77777777" w:rsidTr="000F1069">
        <w:trPr>
          <w:trHeight w:val="20"/>
          <w:jc w:val="center"/>
        </w:trPr>
        <w:tc>
          <w:tcPr>
            <w:tcW w:w="988" w:type="dxa"/>
            <w:hideMark/>
          </w:tcPr>
          <w:p w14:paraId="62E8726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10.</w:t>
            </w:r>
          </w:p>
        </w:tc>
        <w:tc>
          <w:tcPr>
            <w:tcW w:w="1842" w:type="dxa"/>
            <w:hideMark/>
          </w:tcPr>
          <w:p w14:paraId="0A793DD9"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Karnataka</w:t>
            </w:r>
          </w:p>
        </w:tc>
        <w:tc>
          <w:tcPr>
            <w:tcW w:w="2977" w:type="dxa"/>
            <w:hideMark/>
          </w:tcPr>
          <w:p w14:paraId="6846674D"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3.271</w:t>
            </w:r>
          </w:p>
        </w:tc>
      </w:tr>
      <w:tr w:rsidR="008772B7" w:rsidRPr="000F1069" w14:paraId="56E7618C" w14:textId="77777777" w:rsidTr="000F1069">
        <w:trPr>
          <w:trHeight w:val="20"/>
          <w:jc w:val="center"/>
        </w:trPr>
        <w:tc>
          <w:tcPr>
            <w:tcW w:w="988" w:type="dxa"/>
            <w:hideMark/>
          </w:tcPr>
          <w:p w14:paraId="45E05E27"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11.</w:t>
            </w:r>
          </w:p>
        </w:tc>
        <w:tc>
          <w:tcPr>
            <w:tcW w:w="1842" w:type="dxa"/>
            <w:hideMark/>
          </w:tcPr>
          <w:p w14:paraId="4B88EA70"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Kerala</w:t>
            </w:r>
          </w:p>
        </w:tc>
        <w:tc>
          <w:tcPr>
            <w:tcW w:w="2977" w:type="dxa"/>
            <w:hideMark/>
          </w:tcPr>
          <w:p w14:paraId="5E96B695"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3.562</w:t>
            </w:r>
          </w:p>
        </w:tc>
      </w:tr>
      <w:tr w:rsidR="008772B7" w:rsidRPr="000F1069" w14:paraId="52AC6670" w14:textId="77777777" w:rsidTr="000F1069">
        <w:trPr>
          <w:trHeight w:val="20"/>
          <w:jc w:val="center"/>
        </w:trPr>
        <w:tc>
          <w:tcPr>
            <w:tcW w:w="988" w:type="dxa"/>
            <w:hideMark/>
          </w:tcPr>
          <w:p w14:paraId="05961586"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12.</w:t>
            </w:r>
          </w:p>
        </w:tc>
        <w:tc>
          <w:tcPr>
            <w:tcW w:w="1842" w:type="dxa"/>
            <w:hideMark/>
          </w:tcPr>
          <w:p w14:paraId="69C46B1A"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Madhya Pradesh</w:t>
            </w:r>
          </w:p>
        </w:tc>
        <w:tc>
          <w:tcPr>
            <w:tcW w:w="2977" w:type="dxa"/>
            <w:hideMark/>
          </w:tcPr>
          <w:p w14:paraId="2F4DB1D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6.061</w:t>
            </w:r>
          </w:p>
        </w:tc>
      </w:tr>
      <w:tr w:rsidR="008772B7" w:rsidRPr="000F1069" w14:paraId="1755512C" w14:textId="77777777" w:rsidTr="000F1069">
        <w:trPr>
          <w:trHeight w:val="20"/>
          <w:jc w:val="center"/>
        </w:trPr>
        <w:tc>
          <w:tcPr>
            <w:tcW w:w="988" w:type="dxa"/>
            <w:hideMark/>
          </w:tcPr>
          <w:p w14:paraId="3AE2AEA7"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13.</w:t>
            </w:r>
          </w:p>
        </w:tc>
        <w:tc>
          <w:tcPr>
            <w:tcW w:w="1842" w:type="dxa"/>
            <w:hideMark/>
          </w:tcPr>
          <w:p w14:paraId="25531FF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Maharashtra</w:t>
            </w:r>
          </w:p>
        </w:tc>
        <w:tc>
          <w:tcPr>
            <w:tcW w:w="2977" w:type="dxa"/>
            <w:hideMark/>
          </w:tcPr>
          <w:p w14:paraId="00FD7A9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22.634</w:t>
            </w:r>
          </w:p>
        </w:tc>
      </w:tr>
      <w:tr w:rsidR="008772B7" w:rsidRPr="000F1069" w14:paraId="50345C8E" w14:textId="77777777" w:rsidTr="000F1069">
        <w:trPr>
          <w:trHeight w:val="20"/>
          <w:jc w:val="center"/>
        </w:trPr>
        <w:tc>
          <w:tcPr>
            <w:tcW w:w="988" w:type="dxa"/>
            <w:hideMark/>
          </w:tcPr>
          <w:p w14:paraId="3F17B5B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14.</w:t>
            </w:r>
          </w:p>
        </w:tc>
        <w:tc>
          <w:tcPr>
            <w:tcW w:w="1842" w:type="dxa"/>
            <w:hideMark/>
          </w:tcPr>
          <w:p w14:paraId="0BA208D4"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Manipur</w:t>
            </w:r>
          </w:p>
        </w:tc>
        <w:tc>
          <w:tcPr>
            <w:tcW w:w="2977" w:type="dxa"/>
            <w:hideMark/>
          </w:tcPr>
          <w:p w14:paraId="62396DC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0.013</w:t>
            </w:r>
          </w:p>
        </w:tc>
      </w:tr>
      <w:tr w:rsidR="008772B7" w:rsidRPr="000F1069" w14:paraId="11AF1419" w14:textId="77777777" w:rsidTr="000F1069">
        <w:trPr>
          <w:trHeight w:val="20"/>
          <w:jc w:val="center"/>
        </w:trPr>
        <w:tc>
          <w:tcPr>
            <w:tcW w:w="988" w:type="dxa"/>
            <w:hideMark/>
          </w:tcPr>
          <w:p w14:paraId="03CF8C74"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15.</w:t>
            </w:r>
          </w:p>
        </w:tc>
        <w:tc>
          <w:tcPr>
            <w:tcW w:w="1842" w:type="dxa"/>
            <w:hideMark/>
          </w:tcPr>
          <w:p w14:paraId="4C4C01F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Meghalaya</w:t>
            </w:r>
          </w:p>
        </w:tc>
        <w:tc>
          <w:tcPr>
            <w:tcW w:w="2977" w:type="dxa"/>
            <w:hideMark/>
          </w:tcPr>
          <w:p w14:paraId="1AF3AFE1"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0.040</w:t>
            </w:r>
          </w:p>
        </w:tc>
      </w:tr>
      <w:tr w:rsidR="008772B7" w:rsidRPr="000F1069" w14:paraId="124FA25A" w14:textId="77777777" w:rsidTr="000F1069">
        <w:trPr>
          <w:trHeight w:val="20"/>
          <w:jc w:val="center"/>
        </w:trPr>
        <w:tc>
          <w:tcPr>
            <w:tcW w:w="988" w:type="dxa"/>
            <w:hideMark/>
          </w:tcPr>
          <w:p w14:paraId="04A2AFE5"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16.</w:t>
            </w:r>
          </w:p>
        </w:tc>
        <w:tc>
          <w:tcPr>
            <w:tcW w:w="1842" w:type="dxa"/>
            <w:hideMark/>
          </w:tcPr>
          <w:p w14:paraId="7042892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Mizoram</w:t>
            </w:r>
          </w:p>
        </w:tc>
        <w:tc>
          <w:tcPr>
            <w:tcW w:w="2977" w:type="dxa"/>
            <w:hideMark/>
          </w:tcPr>
          <w:p w14:paraId="4393A5E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w:t>
            </w:r>
          </w:p>
        </w:tc>
      </w:tr>
      <w:tr w:rsidR="008772B7" w:rsidRPr="000F1069" w14:paraId="07AC29FC" w14:textId="77777777" w:rsidTr="000F1069">
        <w:trPr>
          <w:trHeight w:val="20"/>
          <w:jc w:val="center"/>
        </w:trPr>
        <w:tc>
          <w:tcPr>
            <w:tcW w:w="988" w:type="dxa"/>
            <w:hideMark/>
          </w:tcPr>
          <w:p w14:paraId="1414029B"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17.</w:t>
            </w:r>
          </w:p>
        </w:tc>
        <w:tc>
          <w:tcPr>
            <w:tcW w:w="1842" w:type="dxa"/>
            <w:hideMark/>
          </w:tcPr>
          <w:p w14:paraId="5EB4B8B7"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Nagaland</w:t>
            </w:r>
          </w:p>
        </w:tc>
        <w:tc>
          <w:tcPr>
            <w:tcW w:w="2977" w:type="dxa"/>
            <w:hideMark/>
          </w:tcPr>
          <w:p w14:paraId="561F3E76"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0.165</w:t>
            </w:r>
          </w:p>
        </w:tc>
      </w:tr>
      <w:tr w:rsidR="008772B7" w:rsidRPr="000F1069" w14:paraId="338C3DA7" w14:textId="77777777" w:rsidTr="000F1069">
        <w:trPr>
          <w:trHeight w:val="20"/>
          <w:jc w:val="center"/>
        </w:trPr>
        <w:tc>
          <w:tcPr>
            <w:tcW w:w="988" w:type="dxa"/>
            <w:hideMark/>
          </w:tcPr>
          <w:p w14:paraId="72D35859"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18.</w:t>
            </w:r>
          </w:p>
        </w:tc>
        <w:tc>
          <w:tcPr>
            <w:tcW w:w="1842" w:type="dxa"/>
            <w:hideMark/>
          </w:tcPr>
          <w:p w14:paraId="30F14A3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Orissa</w:t>
            </w:r>
          </w:p>
        </w:tc>
        <w:tc>
          <w:tcPr>
            <w:tcW w:w="2977" w:type="dxa"/>
            <w:hideMark/>
          </w:tcPr>
          <w:p w14:paraId="33B7F705"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1.614</w:t>
            </w:r>
          </w:p>
        </w:tc>
      </w:tr>
      <w:tr w:rsidR="008772B7" w:rsidRPr="000F1069" w14:paraId="6212BD92" w14:textId="77777777" w:rsidTr="000F1069">
        <w:trPr>
          <w:trHeight w:val="20"/>
          <w:jc w:val="center"/>
        </w:trPr>
        <w:tc>
          <w:tcPr>
            <w:tcW w:w="988" w:type="dxa"/>
            <w:hideMark/>
          </w:tcPr>
          <w:p w14:paraId="26260A6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19.</w:t>
            </w:r>
          </w:p>
        </w:tc>
        <w:tc>
          <w:tcPr>
            <w:tcW w:w="1842" w:type="dxa"/>
            <w:hideMark/>
          </w:tcPr>
          <w:p w14:paraId="1C6A1059"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Punjab</w:t>
            </w:r>
          </w:p>
        </w:tc>
        <w:tc>
          <w:tcPr>
            <w:tcW w:w="2977" w:type="dxa"/>
            <w:hideMark/>
          </w:tcPr>
          <w:p w14:paraId="2C01F4A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3.110</w:t>
            </w:r>
          </w:p>
        </w:tc>
      </w:tr>
      <w:tr w:rsidR="008772B7" w:rsidRPr="000F1069" w14:paraId="4FBA2E39" w14:textId="77777777" w:rsidTr="000F1069">
        <w:trPr>
          <w:trHeight w:val="20"/>
          <w:jc w:val="center"/>
        </w:trPr>
        <w:tc>
          <w:tcPr>
            <w:tcW w:w="988" w:type="dxa"/>
            <w:hideMark/>
          </w:tcPr>
          <w:p w14:paraId="03FF784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20.</w:t>
            </w:r>
          </w:p>
        </w:tc>
        <w:tc>
          <w:tcPr>
            <w:tcW w:w="1842" w:type="dxa"/>
            <w:hideMark/>
          </w:tcPr>
          <w:p w14:paraId="7AB55D3B"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Rajasthan</w:t>
            </w:r>
          </w:p>
        </w:tc>
        <w:tc>
          <w:tcPr>
            <w:tcW w:w="2977" w:type="dxa"/>
            <w:hideMark/>
          </w:tcPr>
          <w:p w14:paraId="1AC697C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4.579</w:t>
            </w:r>
          </w:p>
        </w:tc>
      </w:tr>
      <w:tr w:rsidR="008772B7" w:rsidRPr="000F1069" w14:paraId="3E7E6077" w14:textId="77777777" w:rsidTr="000F1069">
        <w:trPr>
          <w:trHeight w:val="20"/>
          <w:jc w:val="center"/>
        </w:trPr>
        <w:tc>
          <w:tcPr>
            <w:tcW w:w="988" w:type="dxa"/>
            <w:hideMark/>
          </w:tcPr>
          <w:p w14:paraId="348C14A1"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21.</w:t>
            </w:r>
          </w:p>
        </w:tc>
        <w:tc>
          <w:tcPr>
            <w:tcW w:w="1842" w:type="dxa"/>
            <w:hideMark/>
          </w:tcPr>
          <w:p w14:paraId="7D0028BF"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Sikkim</w:t>
            </w:r>
          </w:p>
        </w:tc>
        <w:tc>
          <w:tcPr>
            <w:tcW w:w="2977" w:type="dxa"/>
            <w:hideMark/>
          </w:tcPr>
          <w:p w14:paraId="0A28137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0.004</w:t>
            </w:r>
          </w:p>
        </w:tc>
      </w:tr>
      <w:tr w:rsidR="008772B7" w:rsidRPr="000F1069" w14:paraId="7B0AE0B4" w14:textId="77777777" w:rsidTr="000F1069">
        <w:trPr>
          <w:trHeight w:val="20"/>
          <w:jc w:val="center"/>
        </w:trPr>
        <w:tc>
          <w:tcPr>
            <w:tcW w:w="988" w:type="dxa"/>
            <w:hideMark/>
          </w:tcPr>
          <w:p w14:paraId="11479897"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22.</w:t>
            </w:r>
          </w:p>
        </w:tc>
        <w:tc>
          <w:tcPr>
            <w:tcW w:w="1842" w:type="dxa"/>
            <w:hideMark/>
          </w:tcPr>
          <w:p w14:paraId="02B586CA"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Tamil Nadu</w:t>
            </w:r>
          </w:p>
        </w:tc>
        <w:tc>
          <w:tcPr>
            <w:tcW w:w="2977" w:type="dxa"/>
            <w:hideMark/>
          </w:tcPr>
          <w:p w14:paraId="0900B42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6.893</w:t>
            </w:r>
          </w:p>
        </w:tc>
      </w:tr>
      <w:tr w:rsidR="008772B7" w:rsidRPr="000F1069" w14:paraId="6AC5C764" w14:textId="77777777" w:rsidTr="000F1069">
        <w:trPr>
          <w:trHeight w:val="20"/>
          <w:jc w:val="center"/>
        </w:trPr>
        <w:tc>
          <w:tcPr>
            <w:tcW w:w="988" w:type="dxa"/>
            <w:hideMark/>
          </w:tcPr>
          <w:p w14:paraId="6B5B493F"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23.</w:t>
            </w:r>
          </w:p>
        </w:tc>
        <w:tc>
          <w:tcPr>
            <w:tcW w:w="1842" w:type="dxa"/>
            <w:hideMark/>
          </w:tcPr>
          <w:p w14:paraId="2815EE26"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Tripura</w:t>
            </w:r>
          </w:p>
        </w:tc>
        <w:tc>
          <w:tcPr>
            <w:tcW w:w="2977" w:type="dxa"/>
            <w:hideMark/>
          </w:tcPr>
          <w:p w14:paraId="6C5DEFCF"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0.042</w:t>
            </w:r>
          </w:p>
        </w:tc>
      </w:tr>
      <w:tr w:rsidR="008772B7" w:rsidRPr="000F1069" w14:paraId="5BF2DD11" w14:textId="77777777" w:rsidTr="000F1069">
        <w:trPr>
          <w:trHeight w:val="20"/>
          <w:jc w:val="center"/>
        </w:trPr>
        <w:tc>
          <w:tcPr>
            <w:tcW w:w="988" w:type="dxa"/>
            <w:hideMark/>
          </w:tcPr>
          <w:p w14:paraId="407F367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24.</w:t>
            </w:r>
          </w:p>
        </w:tc>
        <w:tc>
          <w:tcPr>
            <w:tcW w:w="1842" w:type="dxa"/>
            <w:hideMark/>
          </w:tcPr>
          <w:p w14:paraId="6B589BA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Uttar Pradesh</w:t>
            </w:r>
          </w:p>
        </w:tc>
        <w:tc>
          <w:tcPr>
            <w:tcW w:w="2977" w:type="dxa"/>
            <w:hideMark/>
          </w:tcPr>
          <w:p w14:paraId="4157AF74"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15.437</w:t>
            </w:r>
          </w:p>
        </w:tc>
      </w:tr>
      <w:tr w:rsidR="008772B7" w:rsidRPr="000F1069" w14:paraId="25D46FFD" w14:textId="77777777" w:rsidTr="000F1069">
        <w:trPr>
          <w:trHeight w:val="20"/>
          <w:jc w:val="center"/>
        </w:trPr>
        <w:tc>
          <w:tcPr>
            <w:tcW w:w="988" w:type="dxa"/>
            <w:hideMark/>
          </w:tcPr>
          <w:p w14:paraId="0F17AC8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25.</w:t>
            </w:r>
          </w:p>
        </w:tc>
        <w:tc>
          <w:tcPr>
            <w:tcW w:w="1842" w:type="dxa"/>
            <w:hideMark/>
          </w:tcPr>
          <w:p w14:paraId="1A43226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West Bengal</w:t>
            </w:r>
          </w:p>
        </w:tc>
        <w:tc>
          <w:tcPr>
            <w:tcW w:w="2977" w:type="dxa"/>
            <w:hideMark/>
          </w:tcPr>
          <w:p w14:paraId="1C8B44A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7.203</w:t>
            </w:r>
          </w:p>
        </w:tc>
      </w:tr>
      <w:tr w:rsidR="008772B7" w:rsidRPr="000F1069" w14:paraId="5EDE7A45" w14:textId="77777777" w:rsidTr="000F1069">
        <w:trPr>
          <w:trHeight w:val="20"/>
          <w:jc w:val="center"/>
        </w:trPr>
        <w:tc>
          <w:tcPr>
            <w:tcW w:w="988" w:type="dxa"/>
            <w:hideMark/>
          </w:tcPr>
          <w:p w14:paraId="61D909C9" w14:textId="77777777" w:rsidR="008772B7" w:rsidRPr="000F1069" w:rsidRDefault="008772B7" w:rsidP="000F1069">
            <w:pPr>
              <w:pStyle w:val="NoSpacing"/>
              <w:spacing w:line="180" w:lineRule="exact"/>
              <w:jc w:val="center"/>
              <w:rPr>
                <w:rFonts w:ascii="Times New Roman" w:hAnsi="Times New Roman" w:cs="Times New Roman"/>
                <w:sz w:val="18"/>
                <w:szCs w:val="18"/>
              </w:rPr>
            </w:pPr>
          </w:p>
        </w:tc>
        <w:tc>
          <w:tcPr>
            <w:tcW w:w="1842" w:type="dxa"/>
            <w:hideMark/>
          </w:tcPr>
          <w:p w14:paraId="5E594BCB" w14:textId="77777777" w:rsidR="008772B7" w:rsidRPr="000F1069" w:rsidRDefault="008772B7" w:rsidP="000F1069">
            <w:pPr>
              <w:pStyle w:val="NoSpacing"/>
              <w:spacing w:line="180" w:lineRule="exact"/>
              <w:rPr>
                <w:rFonts w:ascii="Times New Roman" w:hAnsi="Times New Roman" w:cs="Times New Roman"/>
                <w:b/>
                <w:bCs/>
                <w:sz w:val="18"/>
                <w:szCs w:val="18"/>
              </w:rPr>
            </w:pPr>
            <w:r w:rsidRPr="000F1069">
              <w:rPr>
                <w:rFonts w:ascii="Times New Roman" w:hAnsi="Times New Roman" w:cs="Times New Roman"/>
                <w:b/>
                <w:bCs/>
                <w:sz w:val="18"/>
                <w:szCs w:val="18"/>
              </w:rPr>
              <w:t>Total</w:t>
            </w:r>
          </w:p>
        </w:tc>
        <w:tc>
          <w:tcPr>
            <w:tcW w:w="2977" w:type="dxa"/>
            <w:hideMark/>
          </w:tcPr>
          <w:p w14:paraId="22BD9A8B" w14:textId="77777777" w:rsidR="008772B7" w:rsidRPr="000F1069" w:rsidRDefault="008772B7" w:rsidP="000F1069">
            <w:pPr>
              <w:pStyle w:val="NoSpacing"/>
              <w:spacing w:line="180" w:lineRule="exact"/>
              <w:jc w:val="center"/>
              <w:rPr>
                <w:rFonts w:ascii="Times New Roman" w:hAnsi="Times New Roman" w:cs="Times New Roman"/>
                <w:b/>
                <w:bCs/>
                <w:sz w:val="18"/>
                <w:szCs w:val="18"/>
              </w:rPr>
            </w:pPr>
            <w:r w:rsidRPr="000F1069">
              <w:rPr>
                <w:rFonts w:ascii="Times New Roman" w:hAnsi="Times New Roman" w:cs="Times New Roman"/>
                <w:b/>
                <w:bCs/>
                <w:sz w:val="18"/>
                <w:szCs w:val="18"/>
              </w:rPr>
              <w:t>100.000</w:t>
            </w:r>
          </w:p>
        </w:tc>
      </w:tr>
    </w:tbl>
    <w:p w14:paraId="55C37C27" w14:textId="77777777" w:rsidR="009F1E18" w:rsidRPr="00CE48A1" w:rsidRDefault="009F1E18" w:rsidP="000F1069">
      <w:pPr>
        <w:spacing w:after="0" w:line="180" w:lineRule="exact"/>
        <w:jc w:val="both"/>
        <w:rPr>
          <w:rFonts w:ascii="Times New Roman" w:hAnsi="Times New Roman" w:cs="Times New Roman"/>
          <w:sz w:val="19"/>
          <w:szCs w:val="19"/>
        </w:rPr>
      </w:pPr>
    </w:p>
    <w:p w14:paraId="1805969D" w14:textId="33C2DDCB" w:rsidR="008772B7" w:rsidRPr="00CE48A1" w:rsidRDefault="008772B7" w:rsidP="000F1069">
      <w:pPr>
        <w:spacing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Union Excise Duties</w:t>
      </w:r>
    </w:p>
    <w:p w14:paraId="49284F89" w14:textId="29999031" w:rsidR="008772B7" w:rsidRPr="00CE48A1" w:rsidRDefault="008772B7" w:rsidP="000F1069">
      <w:pPr>
        <w:pStyle w:val="Heading3"/>
        <w:spacing w:after="0" w:line="180" w:lineRule="exact"/>
        <w:rPr>
          <w:sz w:val="19"/>
          <w:szCs w:val="19"/>
        </w:rPr>
      </w:pPr>
      <w:r w:rsidRPr="00CE48A1">
        <w:rPr>
          <w:sz w:val="19"/>
          <w:szCs w:val="19"/>
        </w:rPr>
        <w:t>Now we take up the issue relating to the distribution, between the Union and the States, of the net proceeds of Union Excise Duties and the allocation among the States of such</w:t>
      </w:r>
      <w:r w:rsidR="00C53ED7" w:rsidRPr="00CE48A1">
        <w:rPr>
          <w:sz w:val="19"/>
          <w:szCs w:val="19"/>
        </w:rPr>
        <w:t xml:space="preserve"> </w:t>
      </w:r>
      <w:r w:rsidRPr="00CE48A1">
        <w:rPr>
          <w:sz w:val="19"/>
          <w:szCs w:val="19"/>
        </w:rPr>
        <w:t>proceeds, as required under paragraph 3(a) of our terms of reference.</w:t>
      </w:r>
    </w:p>
    <w:p w14:paraId="2A8020F9" w14:textId="0A58648D" w:rsidR="008772B7" w:rsidRPr="00CE48A1" w:rsidRDefault="008772B7" w:rsidP="000F1069">
      <w:pPr>
        <w:pStyle w:val="Heading3"/>
        <w:spacing w:after="0" w:line="180" w:lineRule="exact"/>
        <w:rPr>
          <w:sz w:val="19"/>
          <w:szCs w:val="19"/>
        </w:rPr>
      </w:pPr>
      <w:r w:rsidRPr="00CE48A1">
        <w:rPr>
          <w:sz w:val="19"/>
          <w:szCs w:val="19"/>
        </w:rPr>
        <w:lastRenderedPageBreak/>
        <w:t xml:space="preserve">Over the years, Finance Commissions have increasingly depended on Union Excise Duties in meeting the revenue needs of the States. This is </w:t>
      </w:r>
      <w:proofErr w:type="spellStart"/>
      <w:r w:rsidRPr="00CE48A1">
        <w:rPr>
          <w:sz w:val="19"/>
          <w:szCs w:val="19"/>
        </w:rPr>
        <w:t>inspite</w:t>
      </w:r>
      <w:proofErr w:type="spellEnd"/>
      <w:r w:rsidRPr="00CE48A1">
        <w:rPr>
          <w:sz w:val="19"/>
          <w:szCs w:val="19"/>
        </w:rPr>
        <w:t xml:space="preserve"> of the fact that Excise Duties are not compulsorily shareable under the Constitution. The modalities of sharing Union Excise Duties have, however, varied. The details were given in our first report. It also contained the views of the State Governments on different aspects of sharing the Union Excise Duties as also our observations on certain important issues having a bearing on the scheme of devolution. Since the submission of the first </w:t>
      </w:r>
      <w:proofErr w:type="gramStart"/>
      <w:r w:rsidRPr="00CE48A1">
        <w:rPr>
          <w:sz w:val="19"/>
          <w:szCs w:val="19"/>
        </w:rPr>
        <w:t>report</w:t>
      </w:r>
      <w:proofErr w:type="gramEnd"/>
      <w:r w:rsidRPr="00CE48A1">
        <w:rPr>
          <w:sz w:val="19"/>
          <w:szCs w:val="19"/>
        </w:rPr>
        <w:t xml:space="preserve"> we received further suggestions from some State Governments and we have considered them also.</w:t>
      </w:r>
    </w:p>
    <w:p w14:paraId="107DC102" w14:textId="47DE18A8" w:rsidR="008772B7" w:rsidRPr="00CE48A1" w:rsidRDefault="008772B7" w:rsidP="000F1069">
      <w:pPr>
        <w:pStyle w:val="Heading3"/>
        <w:spacing w:after="0" w:line="180" w:lineRule="exact"/>
        <w:rPr>
          <w:sz w:val="19"/>
          <w:szCs w:val="19"/>
        </w:rPr>
      </w:pPr>
      <w:r w:rsidRPr="00CE48A1">
        <w:rPr>
          <w:sz w:val="19"/>
          <w:szCs w:val="19"/>
        </w:rPr>
        <w:t>Coming to the actual scheme of devolution we do not make any deviation from our earlier recommendation that the divisible pool of Excise Duties should include the net proceeds of all Excise Duties including Special Excise Duties but exclude duties collected under the Additional Duties of Excise (Textiles and Textile Articles) Act, 1978, and the earmarked cesses.</w:t>
      </w:r>
    </w:p>
    <w:p w14:paraId="43622751" w14:textId="5EA1B262" w:rsidR="008772B7" w:rsidRPr="00CE48A1" w:rsidRDefault="008772B7" w:rsidP="000F1069">
      <w:pPr>
        <w:pStyle w:val="Heading3"/>
        <w:spacing w:after="0" w:line="180" w:lineRule="exact"/>
        <w:rPr>
          <w:sz w:val="19"/>
          <w:szCs w:val="19"/>
        </w:rPr>
      </w:pPr>
      <w:r w:rsidRPr="00CE48A1">
        <w:rPr>
          <w:sz w:val="19"/>
          <w:szCs w:val="19"/>
        </w:rPr>
        <w:t>In our first report, we had recommended that 40 per cent of the net proceeds of Excise Duties should be distributed among all the States to take care of the revenue needs of the States in general. Another 5 per cent was earmarked to help the deficit States so that their non-Plan revenue deficits could be reduced. We are making a departure from this in that we propose to distribute the entire amount of 45 per cent as a consolidated amount without dividing it into two components of 40 percent and 5 per cent.</w:t>
      </w:r>
    </w:p>
    <w:p w14:paraId="278B341B" w14:textId="41553014" w:rsidR="008772B7" w:rsidRPr="00CE48A1" w:rsidRDefault="008772B7" w:rsidP="000F1069">
      <w:pPr>
        <w:pStyle w:val="Heading3"/>
        <w:spacing w:after="0" w:line="180" w:lineRule="exact"/>
        <w:rPr>
          <w:sz w:val="19"/>
          <w:szCs w:val="19"/>
        </w:rPr>
      </w:pPr>
      <w:r w:rsidRPr="00CE48A1">
        <w:rPr>
          <w:sz w:val="19"/>
          <w:szCs w:val="19"/>
        </w:rPr>
        <w:t>We are also revising the formula of devolution adopted in our first report. While we are retaining the weights of population and IATP at the levels of 25 per cent and 12.5 per cent, respectively, we are reducing the weight for "distance" from 50 per cent to 33.5 per cent. In view of the poor quality of available data and for the reasons stated in paragraph 5.10, we are doing away with the poverty ratio. As in the case of the formula for devolution of Income Tax, 12.5 per cent weight is being given to backwardness in place of poverty ratio. On these criteria 83.5 per cent of the State's share of Union Excise Duties is allocated among all the States. In our first report, we had adopted the approach of the Eighth Finance Commission that the scheme of devolution should, inter alia, take account of the revenue deficits of the States. On this basis 5 per cent of the net proceeds of Union Excise Duties was set aside for the deficit States. The normative approach adopted by us in this report in reassessing the revenue receipts and expenditure has much wider coverage than what was adopted by the earlier Commissions. As pointed out in Chapter II, under a scheme of normative assessment it is only equitable that the resultant deficits are also considered in the broad scheme of devolution itself. This can be ensured, more appropriately, while formulating the scheme of sharing of Union Excise Duties, which is discretionary unlike Income Tax, under the Constitution. On this basis the remaining net proceeds of 16.5 per cent will be distributed among the States which will have a non-Plan revenue deficit after taking into account their shares from the devolution of all taxes and duties, including the shares of Excise Duties, as indicated above, and also the grants in lieu of the repealed Tax on Railway Passenger Fares. Distribution should be done on the basis of the proportion of deficit of each State to the total of all States' deficits worked out by us.</w:t>
      </w:r>
    </w:p>
    <w:p w14:paraId="225AB5F2" w14:textId="3ED93B6C" w:rsidR="008772B7" w:rsidRPr="00CE48A1" w:rsidRDefault="008772B7" w:rsidP="000F1069">
      <w:pPr>
        <w:pStyle w:val="Heading3"/>
        <w:spacing w:after="0" w:line="180" w:lineRule="exact"/>
        <w:rPr>
          <w:sz w:val="19"/>
          <w:szCs w:val="19"/>
        </w:rPr>
      </w:pPr>
      <w:r w:rsidRPr="00CE48A1">
        <w:rPr>
          <w:sz w:val="19"/>
          <w:szCs w:val="19"/>
        </w:rPr>
        <w:t>Accordingly, we recommend that the distribution among the States in 1990-95 of 45 per cent of the net proceeds of Union Excise Duties should be done in the following manner:</w:t>
      </w:r>
    </w:p>
    <w:p w14:paraId="7D8D3114" w14:textId="338A9341" w:rsidR="008772B7" w:rsidRPr="000F1069" w:rsidRDefault="008772B7">
      <w:pPr>
        <w:pStyle w:val="ListParagraph"/>
        <w:numPr>
          <w:ilvl w:val="0"/>
          <w:numId w:val="30"/>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25 per cent should be distributed among the States on the basis of 1971 population.</w:t>
      </w:r>
    </w:p>
    <w:p w14:paraId="2CA0D264" w14:textId="35B41CE8" w:rsidR="008772B7" w:rsidRPr="000F1069" w:rsidRDefault="008772B7">
      <w:pPr>
        <w:pStyle w:val="ListParagraph"/>
        <w:numPr>
          <w:ilvl w:val="0"/>
          <w:numId w:val="30"/>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12.5 percent should be distributed among the States on the basis of Income Adjusted Total Population (IATP). For calculating IATP, the 1971 population of the States should be weighted with the inverse of the average per capita income as per the New Series for the triennium 1982-83 to 1984-85. The share of a State is to be determined by the percentage of the Income Adjusted Total Population of that State to the aggregate of the income adjusted total population of all States.</w:t>
      </w:r>
    </w:p>
    <w:p w14:paraId="30B3FF33" w14:textId="68AC8E13" w:rsidR="008772B7" w:rsidRPr="000F1069" w:rsidRDefault="008772B7">
      <w:pPr>
        <w:pStyle w:val="ListParagraph"/>
        <w:numPr>
          <w:ilvl w:val="0"/>
          <w:numId w:val="30"/>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12.5 per cent should be distributed on the basis of the index of backwardness.</w:t>
      </w:r>
    </w:p>
    <w:p w14:paraId="04521C33" w14:textId="16E88FB4" w:rsidR="008772B7" w:rsidRPr="000F1069" w:rsidRDefault="008772B7">
      <w:pPr>
        <w:pStyle w:val="ListParagraph"/>
        <w:numPr>
          <w:ilvl w:val="0"/>
          <w:numId w:val="30"/>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33.5 per cent should be distributed on the basis of "distance" of per capita income (New Series) of a State during the triennium 1982-83 to 1984-85 from that of the State having the highest per capita income, i.e., Punjab, as indicated in paragraph 5.8, multiplied by its 1971 population.</w:t>
      </w:r>
    </w:p>
    <w:p w14:paraId="5D108DBE" w14:textId="494FC0AA" w:rsidR="008772B7" w:rsidRPr="000F1069" w:rsidRDefault="008772B7">
      <w:pPr>
        <w:pStyle w:val="ListParagraph"/>
        <w:numPr>
          <w:ilvl w:val="0"/>
          <w:numId w:val="30"/>
        </w:numPr>
        <w:spacing w:after="0" w:line="180" w:lineRule="exact"/>
        <w:jc w:val="both"/>
        <w:rPr>
          <w:rFonts w:ascii="Times New Roman" w:hAnsi="Times New Roman" w:cs="Times New Roman"/>
          <w:sz w:val="19"/>
          <w:szCs w:val="19"/>
        </w:rPr>
      </w:pPr>
      <w:r w:rsidRPr="000F1069">
        <w:rPr>
          <w:rFonts w:ascii="Times New Roman" w:hAnsi="Times New Roman" w:cs="Times New Roman"/>
          <w:sz w:val="19"/>
          <w:szCs w:val="19"/>
        </w:rPr>
        <w:t>The remaining 16.5 per cent should be distributed among the States with deficits, after taking into account their shares from the Income Tax, Excise Duties under clauses (</w:t>
      </w:r>
      <w:proofErr w:type="spellStart"/>
      <w:r w:rsidRPr="000F1069">
        <w:rPr>
          <w:rFonts w:ascii="Times New Roman" w:hAnsi="Times New Roman" w:cs="Times New Roman"/>
          <w:sz w:val="19"/>
          <w:szCs w:val="19"/>
        </w:rPr>
        <w:t>i</w:t>
      </w:r>
      <w:proofErr w:type="spellEnd"/>
      <w:r w:rsidRPr="000F1069">
        <w:rPr>
          <w:rFonts w:ascii="Times New Roman" w:hAnsi="Times New Roman" w:cs="Times New Roman"/>
          <w:sz w:val="19"/>
          <w:szCs w:val="19"/>
        </w:rPr>
        <w:t xml:space="preserve">) to (iv) above, Additional Excise Duties </w:t>
      </w:r>
      <w:proofErr w:type="gramStart"/>
      <w:r w:rsidRPr="000F1069">
        <w:rPr>
          <w:rFonts w:ascii="Times New Roman" w:hAnsi="Times New Roman" w:cs="Times New Roman"/>
          <w:sz w:val="19"/>
          <w:szCs w:val="19"/>
        </w:rPr>
        <w:t>in lieu of</w:t>
      </w:r>
      <w:proofErr w:type="gramEnd"/>
      <w:r w:rsidRPr="000F1069">
        <w:rPr>
          <w:rFonts w:ascii="Times New Roman" w:hAnsi="Times New Roman" w:cs="Times New Roman"/>
          <w:sz w:val="19"/>
          <w:szCs w:val="19"/>
        </w:rPr>
        <w:t xml:space="preserve"> Sales Tax and the grant in lieu of the repealed Tax on Railway Passenger Fares. Distribution should take place on the basis of the proportion of deficit of each State to the total of all States' deficits worked out by us.</w:t>
      </w:r>
    </w:p>
    <w:p w14:paraId="5F1A9B39" w14:textId="48CBF006" w:rsidR="008772B7" w:rsidRPr="00CE48A1" w:rsidRDefault="008772B7" w:rsidP="000F1069">
      <w:pPr>
        <w:pStyle w:val="Heading3"/>
        <w:spacing w:after="0" w:line="180" w:lineRule="exact"/>
        <w:rPr>
          <w:sz w:val="19"/>
          <w:szCs w:val="19"/>
        </w:rPr>
      </w:pPr>
      <w:r w:rsidRPr="00CE48A1">
        <w:rPr>
          <w:sz w:val="19"/>
          <w:szCs w:val="19"/>
        </w:rPr>
        <w:t>The percentage share of each State as worked out by us for the Union Excise Duties during each year of 1990-95 is given in the table below:</w:t>
      </w:r>
    </w:p>
    <w:p w14:paraId="65A27B4C" w14:textId="77777777" w:rsidR="008772B7" w:rsidRPr="00CE48A1" w:rsidRDefault="008772B7" w:rsidP="000F1069">
      <w:pPr>
        <w:spacing w:after="0" w:line="180" w:lineRule="exact"/>
        <w:jc w:val="center"/>
        <w:rPr>
          <w:rFonts w:ascii="Times New Roman" w:hAnsi="Times New Roman" w:cs="Times New Roman"/>
          <w:b/>
          <w:bCs/>
          <w:sz w:val="19"/>
          <w:szCs w:val="19"/>
        </w:rPr>
      </w:pPr>
      <w:r w:rsidRPr="00CE48A1">
        <w:rPr>
          <w:rFonts w:ascii="Times New Roman" w:hAnsi="Times New Roman" w:cs="Times New Roman"/>
          <w:b/>
          <w:bCs/>
          <w:sz w:val="19"/>
          <w:szCs w:val="19"/>
        </w:rPr>
        <w:t>Share of States from Union Excise Duties: 1990-91 to 1994-95</w:t>
      </w:r>
    </w:p>
    <w:tbl>
      <w:tblPr>
        <w:tblStyle w:val="TableGrid"/>
        <w:tblW w:w="4531" w:type="dxa"/>
        <w:jc w:val="center"/>
        <w:tblLook w:val="04A0" w:firstRow="1" w:lastRow="0" w:firstColumn="1" w:lastColumn="0" w:noHBand="0" w:noVBand="1"/>
      </w:tblPr>
      <w:tblGrid>
        <w:gridCol w:w="704"/>
        <w:gridCol w:w="2126"/>
        <w:gridCol w:w="1701"/>
      </w:tblGrid>
      <w:tr w:rsidR="008772B7" w:rsidRPr="000F1069" w14:paraId="030CFFB6" w14:textId="77777777" w:rsidTr="000F1069">
        <w:trPr>
          <w:trHeight w:val="25"/>
          <w:jc w:val="center"/>
        </w:trPr>
        <w:tc>
          <w:tcPr>
            <w:tcW w:w="704" w:type="dxa"/>
            <w:hideMark/>
          </w:tcPr>
          <w:p w14:paraId="25610939" w14:textId="77777777" w:rsidR="008772B7" w:rsidRPr="000F1069" w:rsidRDefault="008772B7" w:rsidP="000F1069">
            <w:pPr>
              <w:pStyle w:val="NoSpacing"/>
              <w:spacing w:line="180" w:lineRule="exact"/>
              <w:jc w:val="center"/>
              <w:rPr>
                <w:rFonts w:ascii="Times New Roman" w:hAnsi="Times New Roman" w:cs="Times New Roman"/>
                <w:b/>
                <w:bCs/>
                <w:sz w:val="18"/>
                <w:szCs w:val="18"/>
              </w:rPr>
            </w:pPr>
            <w:r w:rsidRPr="000F1069">
              <w:rPr>
                <w:rFonts w:ascii="Times New Roman" w:hAnsi="Times New Roman" w:cs="Times New Roman"/>
                <w:b/>
                <w:bCs/>
                <w:sz w:val="18"/>
                <w:szCs w:val="18"/>
              </w:rPr>
              <w:t>S. No.</w:t>
            </w:r>
          </w:p>
        </w:tc>
        <w:tc>
          <w:tcPr>
            <w:tcW w:w="2126" w:type="dxa"/>
            <w:hideMark/>
          </w:tcPr>
          <w:p w14:paraId="16AB97CA" w14:textId="77777777" w:rsidR="008772B7" w:rsidRPr="000F1069" w:rsidRDefault="008772B7" w:rsidP="000F1069">
            <w:pPr>
              <w:pStyle w:val="NoSpacing"/>
              <w:spacing w:line="180" w:lineRule="exact"/>
              <w:rPr>
                <w:rFonts w:ascii="Times New Roman" w:hAnsi="Times New Roman" w:cs="Times New Roman"/>
                <w:b/>
                <w:bCs/>
                <w:sz w:val="18"/>
                <w:szCs w:val="18"/>
              </w:rPr>
            </w:pPr>
            <w:r w:rsidRPr="000F1069">
              <w:rPr>
                <w:rFonts w:ascii="Times New Roman" w:hAnsi="Times New Roman" w:cs="Times New Roman"/>
                <w:b/>
                <w:bCs/>
                <w:sz w:val="18"/>
                <w:szCs w:val="18"/>
              </w:rPr>
              <w:t>States</w:t>
            </w:r>
          </w:p>
        </w:tc>
        <w:tc>
          <w:tcPr>
            <w:tcW w:w="1701" w:type="dxa"/>
            <w:hideMark/>
          </w:tcPr>
          <w:p w14:paraId="4FEAF02E" w14:textId="77777777" w:rsidR="008772B7" w:rsidRPr="000F1069" w:rsidRDefault="008772B7" w:rsidP="000F1069">
            <w:pPr>
              <w:pStyle w:val="NoSpacing"/>
              <w:spacing w:line="180" w:lineRule="exact"/>
              <w:jc w:val="center"/>
              <w:rPr>
                <w:rFonts w:ascii="Times New Roman" w:hAnsi="Times New Roman" w:cs="Times New Roman"/>
                <w:b/>
                <w:bCs/>
                <w:sz w:val="18"/>
                <w:szCs w:val="18"/>
              </w:rPr>
            </w:pPr>
            <w:r w:rsidRPr="000F1069">
              <w:rPr>
                <w:rFonts w:ascii="Times New Roman" w:hAnsi="Times New Roman" w:cs="Times New Roman"/>
                <w:b/>
                <w:bCs/>
                <w:sz w:val="18"/>
                <w:szCs w:val="18"/>
              </w:rPr>
              <w:t>Percentage Share</w:t>
            </w:r>
          </w:p>
        </w:tc>
      </w:tr>
      <w:tr w:rsidR="008772B7" w:rsidRPr="000F1069" w14:paraId="1350EA9C" w14:textId="77777777" w:rsidTr="000F1069">
        <w:trPr>
          <w:trHeight w:val="25"/>
          <w:jc w:val="center"/>
        </w:trPr>
        <w:tc>
          <w:tcPr>
            <w:tcW w:w="704" w:type="dxa"/>
            <w:hideMark/>
          </w:tcPr>
          <w:p w14:paraId="24BAAB4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w:t>
            </w:r>
          </w:p>
        </w:tc>
        <w:tc>
          <w:tcPr>
            <w:tcW w:w="2126" w:type="dxa"/>
            <w:hideMark/>
          </w:tcPr>
          <w:p w14:paraId="2849AB8C"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Andhra Pradesh</w:t>
            </w:r>
          </w:p>
        </w:tc>
        <w:tc>
          <w:tcPr>
            <w:tcW w:w="1701" w:type="dxa"/>
            <w:hideMark/>
          </w:tcPr>
          <w:p w14:paraId="2D46E1CB"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7.170</w:t>
            </w:r>
          </w:p>
        </w:tc>
      </w:tr>
      <w:tr w:rsidR="008772B7" w:rsidRPr="000F1069" w14:paraId="62348F14" w14:textId="77777777" w:rsidTr="000F1069">
        <w:trPr>
          <w:trHeight w:val="25"/>
          <w:jc w:val="center"/>
        </w:trPr>
        <w:tc>
          <w:tcPr>
            <w:tcW w:w="704" w:type="dxa"/>
            <w:hideMark/>
          </w:tcPr>
          <w:p w14:paraId="22452F8D"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w:t>
            </w:r>
          </w:p>
        </w:tc>
        <w:tc>
          <w:tcPr>
            <w:tcW w:w="2126" w:type="dxa"/>
            <w:hideMark/>
          </w:tcPr>
          <w:p w14:paraId="533DF5A2"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Arunachal Pradesh</w:t>
            </w:r>
          </w:p>
        </w:tc>
        <w:tc>
          <w:tcPr>
            <w:tcW w:w="1701" w:type="dxa"/>
            <w:hideMark/>
          </w:tcPr>
          <w:p w14:paraId="0B0537A6"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0.897</w:t>
            </w:r>
          </w:p>
        </w:tc>
      </w:tr>
      <w:tr w:rsidR="008772B7" w:rsidRPr="000F1069" w14:paraId="0A32B575" w14:textId="77777777" w:rsidTr="000F1069">
        <w:trPr>
          <w:trHeight w:val="25"/>
          <w:jc w:val="center"/>
        </w:trPr>
        <w:tc>
          <w:tcPr>
            <w:tcW w:w="704" w:type="dxa"/>
            <w:hideMark/>
          </w:tcPr>
          <w:p w14:paraId="1561DFD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w:t>
            </w:r>
          </w:p>
        </w:tc>
        <w:tc>
          <w:tcPr>
            <w:tcW w:w="2126" w:type="dxa"/>
            <w:hideMark/>
          </w:tcPr>
          <w:p w14:paraId="66D3F777"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Assam</w:t>
            </w:r>
          </w:p>
        </w:tc>
        <w:tc>
          <w:tcPr>
            <w:tcW w:w="1701" w:type="dxa"/>
            <w:hideMark/>
          </w:tcPr>
          <w:p w14:paraId="6CC98651"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3.810</w:t>
            </w:r>
          </w:p>
        </w:tc>
      </w:tr>
      <w:tr w:rsidR="008772B7" w:rsidRPr="000F1069" w14:paraId="49D937AD" w14:textId="77777777" w:rsidTr="000F1069">
        <w:trPr>
          <w:trHeight w:val="25"/>
          <w:jc w:val="center"/>
        </w:trPr>
        <w:tc>
          <w:tcPr>
            <w:tcW w:w="704" w:type="dxa"/>
            <w:hideMark/>
          </w:tcPr>
          <w:p w14:paraId="56680FD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4.</w:t>
            </w:r>
          </w:p>
        </w:tc>
        <w:tc>
          <w:tcPr>
            <w:tcW w:w="2126" w:type="dxa"/>
            <w:hideMark/>
          </w:tcPr>
          <w:p w14:paraId="71355A4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Bihar</w:t>
            </w:r>
          </w:p>
        </w:tc>
        <w:tc>
          <w:tcPr>
            <w:tcW w:w="1701" w:type="dxa"/>
            <w:hideMark/>
          </w:tcPr>
          <w:p w14:paraId="26D4B966"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11.028</w:t>
            </w:r>
          </w:p>
        </w:tc>
      </w:tr>
      <w:tr w:rsidR="008772B7" w:rsidRPr="000F1069" w14:paraId="221872FD" w14:textId="77777777" w:rsidTr="000F1069">
        <w:trPr>
          <w:trHeight w:val="25"/>
          <w:jc w:val="center"/>
        </w:trPr>
        <w:tc>
          <w:tcPr>
            <w:tcW w:w="704" w:type="dxa"/>
            <w:hideMark/>
          </w:tcPr>
          <w:p w14:paraId="2D39B57A"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5.</w:t>
            </w:r>
          </w:p>
        </w:tc>
        <w:tc>
          <w:tcPr>
            <w:tcW w:w="2126" w:type="dxa"/>
            <w:hideMark/>
          </w:tcPr>
          <w:p w14:paraId="19F3C3B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Goa</w:t>
            </w:r>
          </w:p>
        </w:tc>
        <w:tc>
          <w:tcPr>
            <w:tcW w:w="1701" w:type="dxa"/>
            <w:hideMark/>
          </w:tcPr>
          <w:p w14:paraId="37A723E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0.523</w:t>
            </w:r>
          </w:p>
        </w:tc>
      </w:tr>
      <w:tr w:rsidR="008772B7" w:rsidRPr="000F1069" w14:paraId="1F774661" w14:textId="77777777" w:rsidTr="000F1069">
        <w:trPr>
          <w:trHeight w:val="25"/>
          <w:jc w:val="center"/>
        </w:trPr>
        <w:tc>
          <w:tcPr>
            <w:tcW w:w="704" w:type="dxa"/>
            <w:hideMark/>
          </w:tcPr>
          <w:p w14:paraId="1F001E3E"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6.</w:t>
            </w:r>
          </w:p>
        </w:tc>
        <w:tc>
          <w:tcPr>
            <w:tcW w:w="2126" w:type="dxa"/>
            <w:hideMark/>
          </w:tcPr>
          <w:p w14:paraId="6294EB3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Gujarat</w:t>
            </w:r>
          </w:p>
        </w:tc>
        <w:tc>
          <w:tcPr>
            <w:tcW w:w="1701" w:type="dxa"/>
            <w:hideMark/>
          </w:tcPr>
          <w:p w14:paraId="060F994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3.183</w:t>
            </w:r>
          </w:p>
        </w:tc>
      </w:tr>
      <w:tr w:rsidR="008772B7" w:rsidRPr="000F1069" w14:paraId="61655B39" w14:textId="77777777" w:rsidTr="000F1069">
        <w:trPr>
          <w:trHeight w:val="25"/>
          <w:jc w:val="center"/>
        </w:trPr>
        <w:tc>
          <w:tcPr>
            <w:tcW w:w="704" w:type="dxa"/>
            <w:hideMark/>
          </w:tcPr>
          <w:p w14:paraId="3DD3C311"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7.</w:t>
            </w:r>
          </w:p>
        </w:tc>
        <w:tc>
          <w:tcPr>
            <w:tcW w:w="2126" w:type="dxa"/>
            <w:hideMark/>
          </w:tcPr>
          <w:p w14:paraId="7FEF361E"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Haryana</w:t>
            </w:r>
          </w:p>
        </w:tc>
        <w:tc>
          <w:tcPr>
            <w:tcW w:w="1701" w:type="dxa"/>
            <w:hideMark/>
          </w:tcPr>
          <w:p w14:paraId="16FC2007"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1.099</w:t>
            </w:r>
          </w:p>
        </w:tc>
      </w:tr>
      <w:tr w:rsidR="008772B7" w:rsidRPr="000F1069" w14:paraId="40A3DE2A" w14:textId="77777777" w:rsidTr="000F1069">
        <w:trPr>
          <w:trHeight w:val="25"/>
          <w:jc w:val="center"/>
        </w:trPr>
        <w:tc>
          <w:tcPr>
            <w:tcW w:w="704" w:type="dxa"/>
            <w:hideMark/>
          </w:tcPr>
          <w:p w14:paraId="086979C5"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8.</w:t>
            </w:r>
          </w:p>
        </w:tc>
        <w:tc>
          <w:tcPr>
            <w:tcW w:w="2126" w:type="dxa"/>
            <w:hideMark/>
          </w:tcPr>
          <w:p w14:paraId="517128CC"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Himachal Pradesh</w:t>
            </w:r>
          </w:p>
        </w:tc>
        <w:tc>
          <w:tcPr>
            <w:tcW w:w="1701" w:type="dxa"/>
            <w:hideMark/>
          </w:tcPr>
          <w:p w14:paraId="7D36F6B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1.943</w:t>
            </w:r>
          </w:p>
        </w:tc>
      </w:tr>
      <w:tr w:rsidR="008772B7" w:rsidRPr="000F1069" w14:paraId="20A03CB6" w14:textId="77777777" w:rsidTr="000F1069">
        <w:trPr>
          <w:trHeight w:val="25"/>
          <w:jc w:val="center"/>
        </w:trPr>
        <w:tc>
          <w:tcPr>
            <w:tcW w:w="704" w:type="dxa"/>
            <w:hideMark/>
          </w:tcPr>
          <w:p w14:paraId="698ECBB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9.</w:t>
            </w:r>
          </w:p>
        </w:tc>
        <w:tc>
          <w:tcPr>
            <w:tcW w:w="2126" w:type="dxa"/>
            <w:hideMark/>
          </w:tcPr>
          <w:p w14:paraId="26294EB9"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Jammu and Kashmir</w:t>
            </w:r>
          </w:p>
        </w:tc>
        <w:tc>
          <w:tcPr>
            <w:tcW w:w="1701" w:type="dxa"/>
            <w:hideMark/>
          </w:tcPr>
          <w:p w14:paraId="19BDC7A1"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3.548</w:t>
            </w:r>
          </w:p>
        </w:tc>
      </w:tr>
      <w:tr w:rsidR="008772B7" w:rsidRPr="000F1069" w14:paraId="7950F4D7" w14:textId="77777777" w:rsidTr="000F1069">
        <w:trPr>
          <w:trHeight w:val="25"/>
          <w:jc w:val="center"/>
        </w:trPr>
        <w:tc>
          <w:tcPr>
            <w:tcW w:w="704" w:type="dxa"/>
            <w:hideMark/>
          </w:tcPr>
          <w:p w14:paraId="3E45E80F"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10.</w:t>
            </w:r>
          </w:p>
        </w:tc>
        <w:tc>
          <w:tcPr>
            <w:tcW w:w="2126" w:type="dxa"/>
            <w:hideMark/>
          </w:tcPr>
          <w:p w14:paraId="1AE46E67"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Karnataka</w:t>
            </w:r>
          </w:p>
        </w:tc>
        <w:tc>
          <w:tcPr>
            <w:tcW w:w="1701" w:type="dxa"/>
            <w:hideMark/>
          </w:tcPr>
          <w:p w14:paraId="486C2EE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4.104</w:t>
            </w:r>
          </w:p>
        </w:tc>
      </w:tr>
      <w:tr w:rsidR="008772B7" w:rsidRPr="000F1069" w14:paraId="70146D64" w14:textId="77777777" w:rsidTr="000F1069">
        <w:trPr>
          <w:trHeight w:val="25"/>
          <w:jc w:val="center"/>
        </w:trPr>
        <w:tc>
          <w:tcPr>
            <w:tcW w:w="704" w:type="dxa"/>
            <w:hideMark/>
          </w:tcPr>
          <w:p w14:paraId="31CDC58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11.</w:t>
            </w:r>
          </w:p>
        </w:tc>
        <w:tc>
          <w:tcPr>
            <w:tcW w:w="2126" w:type="dxa"/>
            <w:hideMark/>
          </w:tcPr>
          <w:p w14:paraId="3E1FBBC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Kerala</w:t>
            </w:r>
          </w:p>
        </w:tc>
        <w:tc>
          <w:tcPr>
            <w:tcW w:w="1701" w:type="dxa"/>
            <w:hideMark/>
          </w:tcPr>
          <w:p w14:paraId="6272FB0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3.087</w:t>
            </w:r>
          </w:p>
        </w:tc>
      </w:tr>
      <w:tr w:rsidR="008772B7" w:rsidRPr="000F1069" w14:paraId="1DC7086C" w14:textId="77777777" w:rsidTr="000F1069">
        <w:trPr>
          <w:trHeight w:val="25"/>
          <w:jc w:val="center"/>
        </w:trPr>
        <w:tc>
          <w:tcPr>
            <w:tcW w:w="704" w:type="dxa"/>
            <w:hideMark/>
          </w:tcPr>
          <w:p w14:paraId="5AB5843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12.</w:t>
            </w:r>
          </w:p>
        </w:tc>
        <w:tc>
          <w:tcPr>
            <w:tcW w:w="2126" w:type="dxa"/>
            <w:hideMark/>
          </w:tcPr>
          <w:p w14:paraId="009E51F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Madhya Pradesh</w:t>
            </w:r>
          </w:p>
        </w:tc>
        <w:tc>
          <w:tcPr>
            <w:tcW w:w="1701" w:type="dxa"/>
            <w:hideMark/>
          </w:tcPr>
          <w:p w14:paraId="54BACFE9"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7.224</w:t>
            </w:r>
          </w:p>
        </w:tc>
      </w:tr>
      <w:tr w:rsidR="008772B7" w:rsidRPr="000F1069" w14:paraId="1D714F5A" w14:textId="77777777" w:rsidTr="000F1069">
        <w:trPr>
          <w:trHeight w:val="25"/>
          <w:jc w:val="center"/>
        </w:trPr>
        <w:tc>
          <w:tcPr>
            <w:tcW w:w="704" w:type="dxa"/>
            <w:hideMark/>
          </w:tcPr>
          <w:p w14:paraId="779ACFF4"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13.</w:t>
            </w:r>
          </w:p>
        </w:tc>
        <w:tc>
          <w:tcPr>
            <w:tcW w:w="2126" w:type="dxa"/>
            <w:hideMark/>
          </w:tcPr>
          <w:p w14:paraId="0928B0BD"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Maharashtra</w:t>
            </w:r>
          </w:p>
        </w:tc>
        <w:tc>
          <w:tcPr>
            <w:tcW w:w="1701" w:type="dxa"/>
            <w:hideMark/>
          </w:tcPr>
          <w:p w14:paraId="7911081E"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5.185</w:t>
            </w:r>
          </w:p>
        </w:tc>
      </w:tr>
      <w:tr w:rsidR="008772B7" w:rsidRPr="000F1069" w14:paraId="7C12E15B" w14:textId="77777777" w:rsidTr="000F1069">
        <w:trPr>
          <w:trHeight w:val="25"/>
          <w:jc w:val="center"/>
        </w:trPr>
        <w:tc>
          <w:tcPr>
            <w:tcW w:w="704" w:type="dxa"/>
            <w:hideMark/>
          </w:tcPr>
          <w:p w14:paraId="1EFDEB44"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14.</w:t>
            </w:r>
          </w:p>
        </w:tc>
        <w:tc>
          <w:tcPr>
            <w:tcW w:w="2126" w:type="dxa"/>
            <w:hideMark/>
          </w:tcPr>
          <w:p w14:paraId="0E3752B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Manipur</w:t>
            </w:r>
          </w:p>
        </w:tc>
        <w:tc>
          <w:tcPr>
            <w:tcW w:w="1701" w:type="dxa"/>
            <w:hideMark/>
          </w:tcPr>
          <w:p w14:paraId="7B6C129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1.174</w:t>
            </w:r>
          </w:p>
        </w:tc>
      </w:tr>
      <w:tr w:rsidR="008772B7" w:rsidRPr="000F1069" w14:paraId="78C4A178" w14:textId="77777777" w:rsidTr="000F1069">
        <w:trPr>
          <w:trHeight w:val="25"/>
          <w:jc w:val="center"/>
        </w:trPr>
        <w:tc>
          <w:tcPr>
            <w:tcW w:w="704" w:type="dxa"/>
            <w:hideMark/>
          </w:tcPr>
          <w:p w14:paraId="7B5C5578"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15.</w:t>
            </w:r>
          </w:p>
        </w:tc>
        <w:tc>
          <w:tcPr>
            <w:tcW w:w="2126" w:type="dxa"/>
            <w:hideMark/>
          </w:tcPr>
          <w:p w14:paraId="2047CEB6"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Meghalaya</w:t>
            </w:r>
          </w:p>
        </w:tc>
        <w:tc>
          <w:tcPr>
            <w:tcW w:w="1701" w:type="dxa"/>
            <w:hideMark/>
          </w:tcPr>
          <w:p w14:paraId="7DD1E82A"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0.891</w:t>
            </w:r>
          </w:p>
        </w:tc>
      </w:tr>
      <w:tr w:rsidR="008772B7" w:rsidRPr="000F1069" w14:paraId="56418855" w14:textId="77777777" w:rsidTr="000F1069">
        <w:trPr>
          <w:trHeight w:val="25"/>
          <w:jc w:val="center"/>
        </w:trPr>
        <w:tc>
          <w:tcPr>
            <w:tcW w:w="704" w:type="dxa"/>
            <w:hideMark/>
          </w:tcPr>
          <w:p w14:paraId="2A736F8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16.</w:t>
            </w:r>
          </w:p>
        </w:tc>
        <w:tc>
          <w:tcPr>
            <w:tcW w:w="2126" w:type="dxa"/>
            <w:hideMark/>
          </w:tcPr>
          <w:p w14:paraId="29898BE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Mizoram</w:t>
            </w:r>
          </w:p>
        </w:tc>
        <w:tc>
          <w:tcPr>
            <w:tcW w:w="1701" w:type="dxa"/>
            <w:hideMark/>
          </w:tcPr>
          <w:p w14:paraId="1CC8967A"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1.109</w:t>
            </w:r>
          </w:p>
        </w:tc>
      </w:tr>
      <w:tr w:rsidR="008772B7" w:rsidRPr="000F1069" w14:paraId="292D07D5" w14:textId="77777777" w:rsidTr="000F1069">
        <w:trPr>
          <w:trHeight w:val="25"/>
          <w:jc w:val="center"/>
        </w:trPr>
        <w:tc>
          <w:tcPr>
            <w:tcW w:w="704" w:type="dxa"/>
            <w:hideMark/>
          </w:tcPr>
          <w:p w14:paraId="2B17FFB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17.</w:t>
            </w:r>
          </w:p>
        </w:tc>
        <w:tc>
          <w:tcPr>
            <w:tcW w:w="2126" w:type="dxa"/>
            <w:hideMark/>
          </w:tcPr>
          <w:p w14:paraId="52B908D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Nagaland</w:t>
            </w:r>
          </w:p>
        </w:tc>
        <w:tc>
          <w:tcPr>
            <w:tcW w:w="1701" w:type="dxa"/>
            <w:hideMark/>
          </w:tcPr>
          <w:p w14:paraId="1F94C3E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1.348</w:t>
            </w:r>
          </w:p>
        </w:tc>
      </w:tr>
      <w:tr w:rsidR="008772B7" w:rsidRPr="000F1069" w14:paraId="6E4EA27F" w14:textId="77777777" w:rsidTr="000F1069">
        <w:trPr>
          <w:trHeight w:val="25"/>
          <w:jc w:val="center"/>
        </w:trPr>
        <w:tc>
          <w:tcPr>
            <w:tcW w:w="704" w:type="dxa"/>
            <w:hideMark/>
          </w:tcPr>
          <w:p w14:paraId="3F923AB7"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18.</w:t>
            </w:r>
          </w:p>
        </w:tc>
        <w:tc>
          <w:tcPr>
            <w:tcW w:w="2126" w:type="dxa"/>
            <w:hideMark/>
          </w:tcPr>
          <w:p w14:paraId="67E34B21"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Orissa</w:t>
            </w:r>
          </w:p>
        </w:tc>
        <w:tc>
          <w:tcPr>
            <w:tcW w:w="1701" w:type="dxa"/>
            <w:hideMark/>
          </w:tcPr>
          <w:p w14:paraId="15C62A3A"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5.358</w:t>
            </w:r>
          </w:p>
        </w:tc>
      </w:tr>
      <w:tr w:rsidR="008772B7" w:rsidRPr="000F1069" w14:paraId="251F2D12" w14:textId="77777777" w:rsidTr="000F1069">
        <w:trPr>
          <w:trHeight w:val="25"/>
          <w:jc w:val="center"/>
        </w:trPr>
        <w:tc>
          <w:tcPr>
            <w:tcW w:w="704" w:type="dxa"/>
            <w:hideMark/>
          </w:tcPr>
          <w:p w14:paraId="59BCE18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19.</w:t>
            </w:r>
          </w:p>
        </w:tc>
        <w:tc>
          <w:tcPr>
            <w:tcW w:w="2126" w:type="dxa"/>
            <w:hideMark/>
          </w:tcPr>
          <w:p w14:paraId="3E2456B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Punjab</w:t>
            </w:r>
          </w:p>
        </w:tc>
        <w:tc>
          <w:tcPr>
            <w:tcW w:w="1701" w:type="dxa"/>
            <w:hideMark/>
          </w:tcPr>
          <w:p w14:paraId="131EF16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1.362</w:t>
            </w:r>
          </w:p>
        </w:tc>
      </w:tr>
      <w:tr w:rsidR="008772B7" w:rsidRPr="000F1069" w14:paraId="611B2989" w14:textId="77777777" w:rsidTr="000F1069">
        <w:trPr>
          <w:trHeight w:val="25"/>
          <w:jc w:val="center"/>
        </w:trPr>
        <w:tc>
          <w:tcPr>
            <w:tcW w:w="704" w:type="dxa"/>
            <w:hideMark/>
          </w:tcPr>
          <w:p w14:paraId="3810D7AB"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20.</w:t>
            </w:r>
          </w:p>
        </w:tc>
        <w:tc>
          <w:tcPr>
            <w:tcW w:w="2126" w:type="dxa"/>
            <w:hideMark/>
          </w:tcPr>
          <w:p w14:paraId="792E8393"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Rajasthan</w:t>
            </w:r>
          </w:p>
        </w:tc>
        <w:tc>
          <w:tcPr>
            <w:tcW w:w="1701" w:type="dxa"/>
            <w:hideMark/>
          </w:tcPr>
          <w:p w14:paraId="087A910C"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5.524</w:t>
            </w:r>
          </w:p>
        </w:tc>
      </w:tr>
      <w:tr w:rsidR="008772B7" w:rsidRPr="000F1069" w14:paraId="48A8FF2C" w14:textId="77777777" w:rsidTr="000F1069">
        <w:trPr>
          <w:trHeight w:val="25"/>
          <w:jc w:val="center"/>
        </w:trPr>
        <w:tc>
          <w:tcPr>
            <w:tcW w:w="704" w:type="dxa"/>
            <w:hideMark/>
          </w:tcPr>
          <w:p w14:paraId="6A15651A"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21.</w:t>
            </w:r>
          </w:p>
        </w:tc>
        <w:tc>
          <w:tcPr>
            <w:tcW w:w="2126" w:type="dxa"/>
            <w:hideMark/>
          </w:tcPr>
          <w:p w14:paraId="51D48BB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Sikkim</w:t>
            </w:r>
          </w:p>
        </w:tc>
        <w:tc>
          <w:tcPr>
            <w:tcW w:w="1701" w:type="dxa"/>
            <w:hideMark/>
          </w:tcPr>
          <w:p w14:paraId="620082DB"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0.260</w:t>
            </w:r>
          </w:p>
        </w:tc>
      </w:tr>
      <w:tr w:rsidR="008772B7" w:rsidRPr="000F1069" w14:paraId="3E6507E8" w14:textId="77777777" w:rsidTr="000F1069">
        <w:trPr>
          <w:trHeight w:val="25"/>
          <w:jc w:val="center"/>
        </w:trPr>
        <w:tc>
          <w:tcPr>
            <w:tcW w:w="704" w:type="dxa"/>
            <w:hideMark/>
          </w:tcPr>
          <w:p w14:paraId="16521F3E"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22.</w:t>
            </w:r>
          </w:p>
        </w:tc>
        <w:tc>
          <w:tcPr>
            <w:tcW w:w="2126" w:type="dxa"/>
            <w:hideMark/>
          </w:tcPr>
          <w:p w14:paraId="67854259"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Tamil Nadu</w:t>
            </w:r>
          </w:p>
        </w:tc>
        <w:tc>
          <w:tcPr>
            <w:tcW w:w="1701" w:type="dxa"/>
            <w:hideMark/>
          </w:tcPr>
          <w:p w14:paraId="7E4F2C57"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6.379</w:t>
            </w:r>
          </w:p>
        </w:tc>
      </w:tr>
      <w:tr w:rsidR="008772B7" w:rsidRPr="000F1069" w14:paraId="7C68343A" w14:textId="77777777" w:rsidTr="000F1069">
        <w:trPr>
          <w:trHeight w:val="25"/>
          <w:jc w:val="center"/>
        </w:trPr>
        <w:tc>
          <w:tcPr>
            <w:tcW w:w="704" w:type="dxa"/>
            <w:hideMark/>
          </w:tcPr>
          <w:p w14:paraId="44ED2453"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23.</w:t>
            </w:r>
          </w:p>
        </w:tc>
        <w:tc>
          <w:tcPr>
            <w:tcW w:w="2126" w:type="dxa"/>
            <w:hideMark/>
          </w:tcPr>
          <w:p w14:paraId="58976436"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Tripura</w:t>
            </w:r>
          </w:p>
        </w:tc>
        <w:tc>
          <w:tcPr>
            <w:tcW w:w="1701" w:type="dxa"/>
            <w:hideMark/>
          </w:tcPr>
          <w:p w14:paraId="42EC4036"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1.556</w:t>
            </w:r>
          </w:p>
        </w:tc>
      </w:tr>
      <w:tr w:rsidR="008772B7" w:rsidRPr="000F1069" w14:paraId="61F04CC2" w14:textId="77777777" w:rsidTr="000F1069">
        <w:trPr>
          <w:trHeight w:val="25"/>
          <w:jc w:val="center"/>
        </w:trPr>
        <w:tc>
          <w:tcPr>
            <w:tcW w:w="704" w:type="dxa"/>
            <w:hideMark/>
          </w:tcPr>
          <w:p w14:paraId="44A88264"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24.</w:t>
            </w:r>
          </w:p>
        </w:tc>
        <w:tc>
          <w:tcPr>
            <w:tcW w:w="2126" w:type="dxa"/>
            <w:hideMark/>
          </w:tcPr>
          <w:p w14:paraId="0F9F10C5"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Uttar Pradesh</w:t>
            </w:r>
          </w:p>
        </w:tc>
        <w:tc>
          <w:tcPr>
            <w:tcW w:w="1701" w:type="dxa"/>
            <w:hideMark/>
          </w:tcPr>
          <w:p w14:paraId="64531242"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15.638</w:t>
            </w:r>
          </w:p>
        </w:tc>
      </w:tr>
      <w:tr w:rsidR="008772B7" w:rsidRPr="000F1069" w14:paraId="727B8DAD" w14:textId="77777777" w:rsidTr="000F1069">
        <w:trPr>
          <w:trHeight w:val="25"/>
          <w:jc w:val="center"/>
        </w:trPr>
        <w:tc>
          <w:tcPr>
            <w:tcW w:w="704" w:type="dxa"/>
            <w:hideMark/>
          </w:tcPr>
          <w:p w14:paraId="5ABDA61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25.</w:t>
            </w:r>
          </w:p>
        </w:tc>
        <w:tc>
          <w:tcPr>
            <w:tcW w:w="2126" w:type="dxa"/>
            <w:hideMark/>
          </w:tcPr>
          <w:p w14:paraId="389889C2" w14:textId="77777777" w:rsidR="008772B7" w:rsidRPr="000F1069" w:rsidRDefault="008772B7" w:rsidP="000F1069">
            <w:pPr>
              <w:pStyle w:val="NoSpacing"/>
              <w:spacing w:line="180" w:lineRule="exact"/>
              <w:rPr>
                <w:rFonts w:ascii="Times New Roman" w:hAnsi="Times New Roman" w:cs="Times New Roman"/>
                <w:sz w:val="18"/>
                <w:szCs w:val="18"/>
              </w:rPr>
            </w:pPr>
            <w:r w:rsidRPr="000F1069">
              <w:rPr>
                <w:rFonts w:ascii="Times New Roman" w:hAnsi="Times New Roman" w:cs="Times New Roman"/>
                <w:sz w:val="18"/>
                <w:szCs w:val="18"/>
              </w:rPr>
              <w:t>West Bengal</w:t>
            </w:r>
          </w:p>
        </w:tc>
        <w:tc>
          <w:tcPr>
            <w:tcW w:w="1701" w:type="dxa"/>
            <w:hideMark/>
          </w:tcPr>
          <w:p w14:paraId="4EE99810" w14:textId="77777777" w:rsidR="008772B7" w:rsidRPr="000F1069" w:rsidRDefault="008772B7" w:rsidP="000F1069">
            <w:pPr>
              <w:pStyle w:val="NoSpacing"/>
              <w:spacing w:line="180" w:lineRule="exact"/>
              <w:jc w:val="center"/>
              <w:rPr>
                <w:rFonts w:ascii="Times New Roman" w:hAnsi="Times New Roman" w:cs="Times New Roman"/>
                <w:sz w:val="18"/>
                <w:szCs w:val="18"/>
              </w:rPr>
            </w:pPr>
            <w:r w:rsidRPr="000F1069">
              <w:rPr>
                <w:rFonts w:ascii="Times New Roman" w:hAnsi="Times New Roman" w:cs="Times New Roman"/>
                <w:sz w:val="18"/>
                <w:szCs w:val="18"/>
              </w:rPr>
              <w:t>6.600</w:t>
            </w:r>
          </w:p>
        </w:tc>
      </w:tr>
      <w:tr w:rsidR="008772B7" w:rsidRPr="000F1069" w14:paraId="515C8586" w14:textId="77777777" w:rsidTr="000F1069">
        <w:trPr>
          <w:trHeight w:val="25"/>
          <w:jc w:val="center"/>
        </w:trPr>
        <w:tc>
          <w:tcPr>
            <w:tcW w:w="704" w:type="dxa"/>
            <w:hideMark/>
          </w:tcPr>
          <w:p w14:paraId="08F72D52" w14:textId="77777777" w:rsidR="008772B7" w:rsidRPr="000F1069" w:rsidRDefault="008772B7" w:rsidP="000F1069">
            <w:pPr>
              <w:pStyle w:val="NoSpacing"/>
              <w:spacing w:line="180" w:lineRule="exact"/>
              <w:jc w:val="center"/>
              <w:rPr>
                <w:rFonts w:ascii="Times New Roman" w:hAnsi="Times New Roman" w:cs="Times New Roman"/>
                <w:sz w:val="18"/>
                <w:szCs w:val="18"/>
              </w:rPr>
            </w:pPr>
          </w:p>
        </w:tc>
        <w:tc>
          <w:tcPr>
            <w:tcW w:w="2126" w:type="dxa"/>
            <w:hideMark/>
          </w:tcPr>
          <w:p w14:paraId="0D9265DA" w14:textId="77777777" w:rsidR="008772B7" w:rsidRPr="000F1069" w:rsidRDefault="008772B7" w:rsidP="000F1069">
            <w:pPr>
              <w:pStyle w:val="NoSpacing"/>
              <w:spacing w:line="180" w:lineRule="exact"/>
              <w:rPr>
                <w:rFonts w:ascii="Times New Roman" w:hAnsi="Times New Roman" w:cs="Times New Roman"/>
                <w:b/>
                <w:bCs/>
                <w:sz w:val="18"/>
                <w:szCs w:val="18"/>
              </w:rPr>
            </w:pPr>
            <w:r w:rsidRPr="000F1069">
              <w:rPr>
                <w:rFonts w:ascii="Times New Roman" w:hAnsi="Times New Roman" w:cs="Times New Roman"/>
                <w:b/>
                <w:bCs/>
                <w:sz w:val="18"/>
                <w:szCs w:val="18"/>
              </w:rPr>
              <w:t>Total</w:t>
            </w:r>
          </w:p>
        </w:tc>
        <w:tc>
          <w:tcPr>
            <w:tcW w:w="1701" w:type="dxa"/>
            <w:hideMark/>
          </w:tcPr>
          <w:p w14:paraId="445A257A" w14:textId="77777777" w:rsidR="008772B7" w:rsidRPr="000F1069" w:rsidRDefault="008772B7" w:rsidP="000F1069">
            <w:pPr>
              <w:pStyle w:val="NoSpacing"/>
              <w:spacing w:line="180" w:lineRule="exact"/>
              <w:jc w:val="center"/>
              <w:rPr>
                <w:rFonts w:ascii="Times New Roman" w:hAnsi="Times New Roman" w:cs="Times New Roman"/>
                <w:b/>
                <w:bCs/>
                <w:sz w:val="18"/>
                <w:szCs w:val="18"/>
              </w:rPr>
            </w:pPr>
            <w:r w:rsidRPr="000F1069">
              <w:rPr>
                <w:rFonts w:ascii="Times New Roman" w:hAnsi="Times New Roman" w:cs="Times New Roman"/>
                <w:b/>
                <w:bCs/>
                <w:sz w:val="18"/>
                <w:szCs w:val="18"/>
              </w:rPr>
              <w:t>100.000</w:t>
            </w:r>
          </w:p>
        </w:tc>
      </w:tr>
    </w:tbl>
    <w:p w14:paraId="3951B9D9" w14:textId="77777777" w:rsidR="007526EE" w:rsidRDefault="007526EE" w:rsidP="007526EE">
      <w:bookmarkStart w:id="11" w:name="_Toc221292962"/>
    </w:p>
    <w:p w14:paraId="3FDC38AD" w14:textId="77777777" w:rsidR="007526EE" w:rsidRDefault="007526EE" w:rsidP="007526EE"/>
    <w:p w14:paraId="16EC09AF" w14:textId="77777777" w:rsidR="007526EE" w:rsidRDefault="007526EE" w:rsidP="007526EE"/>
    <w:p w14:paraId="7C36C23B" w14:textId="632CB349" w:rsidR="003B0AE1" w:rsidRPr="007526EE" w:rsidRDefault="007526EE" w:rsidP="007526EE">
      <w:pPr>
        <w:pStyle w:val="Heading1"/>
        <w:ind w:left="0" w:firstLine="0"/>
      </w:pPr>
      <w:r>
        <w:lastRenderedPageBreak/>
        <w:br/>
      </w:r>
      <w:bookmarkStart w:id="12" w:name="_Toc222399454"/>
      <w:r w:rsidR="003B0AE1" w:rsidRPr="007526EE">
        <w:t>FINANCING OF RELIEF EXPENDITURE</w:t>
      </w:r>
      <w:bookmarkEnd w:id="11"/>
      <w:bookmarkEnd w:id="12"/>
    </w:p>
    <w:p w14:paraId="5BC659E0" w14:textId="075EBBBF" w:rsidR="003B0AE1" w:rsidRPr="0004184B" w:rsidRDefault="003B0AE1" w:rsidP="00F63018">
      <w:pPr>
        <w:pStyle w:val="Heading3"/>
        <w:spacing w:after="0"/>
      </w:pPr>
      <w:r w:rsidRPr="0004184B">
        <w:t>Paragraph 9 of the President's Order requires us to review the policy and arrangements in regard to the financing of relief expenditure by the States affected by natural calamities. We have been called upon to suggest appropriate modifications in the existing arrangements, having regard, among other considerations, to the need for avoidance of wasteful expenditure. The President's Order also requires us to examine the feasibility of establishing a national Insurance fund to which the State Governments may contribute a percentage of their revenue receipts. The mandate is much wider than in the past. Pending the detailed examination of all the inter-related matters we had recommended in our first report the extension of the scheme of the Eighth Finance Commission to 1989-90 with the amount of margin money revised and updated. We will now examine in this report the entire gamut of the issues referred to us in paragraph 9 of the said Order.</w:t>
      </w:r>
    </w:p>
    <w:p w14:paraId="6372DDBC" w14:textId="5A2CE4DC" w:rsidR="003B0AE1" w:rsidRPr="0004184B" w:rsidRDefault="003B0AE1" w:rsidP="00F63018">
      <w:pPr>
        <w:pStyle w:val="Heading3"/>
        <w:spacing w:after="0"/>
      </w:pPr>
      <w:r w:rsidRPr="0004184B">
        <w:t>The existing policy and arrangements for meeting the relief expenditure are, by and large, based on the observations and recommendations of the successive Finance Commissions. All the Finance Commissions from the Second Commission onwards have accepted the concept of margin money which is built into the expenditure forecast of each State. The Seventh Finance Commission, for the first time, made a distinction between different calamities. It distinguished droughts from floods, cyclones and earthquakes. The distinction was made on the grounds of differences in the nature of the calamity and the consequent difference in the measures required for relief of distress. That Commission recognised the fact that the necessity for relief in the event of floods, cyclones and earthquakes was immediate and the needed action could brook no delay. The incidence of droughts, on the other hand, was something which could be foreseen and which also permitted certain margin of time for planning relief works. In fact, while a flood destroys, drought offers the opportunity of creating productive assets for the community through relief works, provided a shelf of development projects to be executed at the local level is kept prepared in advance. There is no loss of immovable property in drought even though there is considerable loss of production of food and fodder. Drought leads to erosion of employment and wages, migration of cattle, distress sales, malnutrition and serious diminution in the availability of drinking water. As against this, when floods, cyclones or earthquakes occur, there is loss of both human and cattle lives accompanied by damage to public and private property. Floods may cause damage to standing crops - they may even lead to salinity or sand-spilling in certain cases - but quite often, the next crop, invigorated by the deposit of fresh silt, is healthy and luxuriant. The Eighth Finance Commission considered the damage caused by fire as well to be treated on the same footing as floods, cyclones and earthquakes.</w:t>
      </w:r>
    </w:p>
    <w:p w14:paraId="48B15CB3" w14:textId="021E2998" w:rsidR="003B0AE1" w:rsidRPr="0004184B" w:rsidRDefault="003B0AE1" w:rsidP="00F63018">
      <w:pPr>
        <w:pStyle w:val="Heading3"/>
        <w:spacing w:after="0"/>
      </w:pPr>
      <w:r w:rsidRPr="0004184B">
        <w:t xml:space="preserve">The pattern of funding of the relief expenditure has been evolved over the years on the basis of the recommendations of the Finance Commissions. The margin money for each State was calculated by averaging the non-plan expenditure (excluding advance Plan assistance and expenditures of a Plan nature) booked over the years under the heads accommodating the relief expenditure. The Seventh Finance Commission, while fixing the margin money, took into consideration the fact that the expenditure on public works damaged by a natural calamity constituted a heavy burden on the finances of the States and, therefore, it included an element on this account too in the margin money. The expenditure on relief employment, however, was kept outside the purview of margin money. That Commission also improved by 15 percent the average calculated for 9 years (1969-70 to 1977-78) to allow for the increase in price levels. The Seventh Commission stipulated that in the event of drought, the expenditure, over and above the margin money, should be met by the State out of the contribution from its Plan outlay. Normally, such a contribution was not supposed to exceed 5 per cent of the annual Plan outlay of the State. This contribution by the State was to be covered by release of "advance Plan assistance" by the Government of India adjustable within five years following the end of the drought. The assistance was released in the form of 70 per cent loan and 30 percent grant to all </w:t>
      </w:r>
      <w:proofErr w:type="spellStart"/>
      <w:proofErr w:type="gramStart"/>
      <w:r w:rsidRPr="0004184B">
        <w:t>non Special</w:t>
      </w:r>
      <w:proofErr w:type="spellEnd"/>
      <w:proofErr w:type="gramEnd"/>
      <w:r w:rsidRPr="0004184B">
        <w:t xml:space="preserve"> Category States, Assam and Jammu and Kashmir and 10 per cent loan and 90 per cent grant to Special Category States excluding Assam and Jammu and Kashmir. In those cases, however, where the drought was so severe that the expenditure could not be restricted to 5 percent of the annual Plan of the States, the Seventh Finance Commission recommended that the expenditure should be taken as an indication of the special severity of the calamity which would justify the Central Government assisting the State to the full extent of the extra expenditure. This extra assistance was to be made available by the Central Government on more liberal terms i.e., half as grant and half as loan. As regards expenditure in excess of margin money on repairs and restoration of public works following floods, cyclones and earthquakes, the Central assistance was to be made available as non-plan grant not adjustable against the Plan. The non-plan grant was to be given to the extent of 75 per cent of the total approved ceiling of expenditure in excess of the margin money. The remaining 25 per cent was to be borne by the State. The Seventh Finance Commission had also observed that where a calamity was of "rare severity", the Central Government could extend assistance to the State concerned even beyond the schemes suggested by the Commission.</w:t>
      </w:r>
    </w:p>
    <w:p w14:paraId="573E0BFA" w14:textId="623FE803" w:rsidR="003B0AE1" w:rsidRPr="0004184B" w:rsidRDefault="003B0AE1" w:rsidP="00F63018">
      <w:pPr>
        <w:pStyle w:val="Heading3"/>
        <w:spacing w:after="0"/>
      </w:pPr>
      <w:r w:rsidRPr="0004184B">
        <w:t>The Eighth Finance Commission recommended the continuance of the scheme suggested by the Seventh Finance Commission, increased the quantum of margin money for all States to Rs. 240.75 crore per year and suggested that the margin money should be shared on a matching basis between the Centre and the States. That Commission further stipulated that the margin money should cover items of direct relief expenditure and expenditure on repairs and restoration of public assets. The expenditure on relief employment was disallowed, except to the extent where additional staff was specifically recruited for the purpose of relief operations.</w:t>
      </w:r>
    </w:p>
    <w:p w14:paraId="46ADC157" w14:textId="1EF26149" w:rsidR="003B0AE1" w:rsidRPr="0004184B" w:rsidRDefault="003B0AE1" w:rsidP="00F63018">
      <w:pPr>
        <w:pStyle w:val="Heading3"/>
        <w:spacing w:after="0"/>
      </w:pPr>
      <w:r w:rsidRPr="0004184B">
        <w:t>Let us now examine the views of the States in the matter. Almost all the States felt that there were deficiencies in the present arrangements and pointed out the operational problems that the scheme gave rise to. Uttar Pradesh, Madhya Pradesh, Maharashtra, Manipur etc., would like the present distinction between droughts and floods to be done away with. All non-plan expenditure on drought relief in excess of the margin money is expected to be borne by the State Governments. The advance Plan assistance is available to accommodate Plan expenditure but this assistance is adjustable against future Plan assistance. This pattern of funding obviously cuts into the size of the Plan for subsequent years and poses problems of inter-sectoral adjustments. The States, therefore, by and large, do not relish the linkage of relief expenditure to the adjustment from Plan assistance which eventually reduces the size of the Plan. In their view, the entire expenditure should be met by the Central Government in the form of non-Plan grants. Further, State</w:t>
      </w:r>
      <w:r w:rsidR="008E281C" w:rsidRPr="0004184B">
        <w:t xml:space="preserve"> </w:t>
      </w:r>
      <w:r w:rsidRPr="0004184B">
        <w:t xml:space="preserve">Governments have argued that Central teams which visit the States after the calamity do not allow some items of expenditure on which expenses have already been incurred by the States and that they also do not have very clear idea about the norms for different items of expenditure on drought and flood relief. A number of suggestions have been made for increasing the level of expenditure. Bihar, Gujarat and Maharashtra have suggested increase in the quantum of cash doles given to the aged and the handicapped. Other suggestions include admissibility of overhead expenditure, purchase of capital equipment and payment to skilled workers with a view to creating permanent assets through employment generation programmes. Some of the States have also requested that they should be allowed a free hand in incurring expenditure on heads other than those approved by </w:t>
      </w:r>
      <w:r w:rsidRPr="0004184B">
        <w:lastRenderedPageBreak/>
        <w:t>the Central teams with the stipulation that the total ceiling should not be exceeded. They have also suggested that the loans advanced by the Centre for financing the relief expenditure in the past and remaining outstanding should be written off.</w:t>
      </w:r>
    </w:p>
    <w:p w14:paraId="12DF06BE" w14:textId="433D6F40" w:rsidR="003B0AE1" w:rsidRPr="0004184B" w:rsidRDefault="003B0AE1" w:rsidP="00F63018">
      <w:pPr>
        <w:pStyle w:val="Heading3"/>
        <w:spacing w:after="0"/>
      </w:pPr>
      <w:r w:rsidRPr="0004184B">
        <w:t xml:space="preserve">The States have also referred to the current procedure for sanction of relief assistance by the Government of India which, according to them, is somewhat cumbersome and time consuming. In actual practice considerable time is taken before final indication is received about the quantum of assistance available from the Government of India. States argue that they are handicapped by the fact that they do not know at all as to why their claims for Central assistance are disallowed and why the size of the assistance is drastically curtailed relative to the demand put forth by them. The Central teams constituted at short notice and comprising officers drawn from different disciplines are said to have no effective means of checking the data personally and their recommendations which are usually endorsed by the </w:t>
      </w:r>
      <w:proofErr w:type="gramStart"/>
      <w:r w:rsidRPr="0004184B">
        <w:t>High Level</w:t>
      </w:r>
      <w:proofErr w:type="gramEnd"/>
      <w:r w:rsidRPr="0004184B">
        <w:t xml:space="preserve"> Committee on Relief are based mostly on impressions gathered during brief visits to some sites.</w:t>
      </w:r>
    </w:p>
    <w:p w14:paraId="11125C3A" w14:textId="439665AA" w:rsidR="003B0AE1" w:rsidRPr="0004184B" w:rsidRDefault="003B0AE1" w:rsidP="00F63018">
      <w:pPr>
        <w:pStyle w:val="Heading3"/>
        <w:spacing w:after="0"/>
      </w:pPr>
      <w:r w:rsidRPr="0004184B">
        <w:t>We feel that the present system in which any assistance in excess of the margin money is made conditional on the assessment of the Central team carried out at short notice would lead, by its very nature, to dissatisfaction on the part of the States and at the same time induce them to make exaggerated claims. On the other hand, since the quantum of assistance is based on quick and rather cursory surveys, there could be substantial underassessment of the damage to be compensated for. We must, therefore, look for an alternative system.</w:t>
      </w:r>
    </w:p>
    <w:p w14:paraId="0868CF33" w14:textId="0AF1AE86" w:rsidR="003B0AE1" w:rsidRPr="0004184B" w:rsidRDefault="003B0AE1" w:rsidP="00F63018">
      <w:pPr>
        <w:pStyle w:val="Heading3"/>
        <w:spacing w:after="0"/>
      </w:pPr>
      <w:r w:rsidRPr="0004184B">
        <w:t>The Sixth Finance Commission had a mandate under the President's Order to examine the feasibility of establishing a national fund somewhat similar to what has been assigned to us. That Commission gave careful thought to the pros and cons of the setting up of such a fund. It recognised the fact that the provision of relief was a sensitive issue and any fund set up outside the Government would find it difficult to deal successfully with issues having political implications. In the event of a wide-spread natural calamity the Central Government would come under strong pressure to go all out and provide assistance to the affected State. In such a situation, the availability or otherwise of resources in the national fund would cease to be relevant in determining the quantum of assistance. The concept of national fund would thus break down completely in the event of a major calamity. At the same time, the States would view the assistance from the national fund as legitimately due to them, at least, to the extent of their contribution. There was thus a risk of the fund being depleted even in the normal years, while in years of adversity, it might prove wholly inadequate. That Commission also felt that there were serious operational difficulties in the constitution of such a fund. The determination of the contribution of individual States to the fund would pose conceptual and practical problems. No formula, however carefully designed, would be acknowledged as fair by all the States. Some of the States would be called upon to contribute appreciably more to the pool than they were ever likely to draw from it. The question of States' contribution to the fund - the Commission felt - might become yet another irritant in Centre-State relations. The Sixth Finance Commission, therefore, came to the conclusion that the establishment of such a national fund was neither feasible nor desirable.</w:t>
      </w:r>
    </w:p>
    <w:p w14:paraId="37E19EDC" w14:textId="6F3FD0AC" w:rsidR="003B0AE1" w:rsidRPr="0004184B" w:rsidRDefault="003B0AE1" w:rsidP="00F63018">
      <w:pPr>
        <w:pStyle w:val="Heading3"/>
        <w:spacing w:after="0"/>
      </w:pPr>
      <w:r w:rsidRPr="0004184B">
        <w:t>The feasibility of establishing a national Insurance fund to which States may contribute a percentage of their revenue receipts has also been referred to us under the President's Order. In this connection we had discussions with the Life Insurance Corporation of India (LIC) and the General Insurance Corporation of India (GIC). These institutions operate a number of schemes which cover, wholly or partly, some of the items for which relief is provided. Both LIC and GIC were asked to examine the possibility of formulating a comprehensive umbrella scheme which could cover the whole range of natural calamities for which relief is currently admissible. The LIC indicated that it would be possible for them to cover only one item viz., ex gratia payment to a bereaved family under the insurance scheme. It further mentioned that due to certain legal constraints it would not be possible for it to cover death attributable only to natural calamity. The insurance cover would include deaths ascribable to other factors as well. The insurance cover could be had under the group insurance scheme of the LIC covering groups of persons taken together under one master policy. It further stated that since a natural calamity might affect many categories of people in many geographical locations of the country, the only effective way was to cover the entire population of India within the age group of 18-60 years for an assured sum of Rs. 1000 per person. The premium on such an insurance was tentatively estimated to cost Rs. 400 crore per annum and this we considered to be too colossal a sum for the limited benefits provided. In any case, it hardly bore any relation to the maximum expenditure of Rs. 84.5 lakhs incurred by the States for the loss of life during any one year of the last five years. The proposal submitted by LIC was beset with other limitations as well. The scheme, by and large, covered only the principal bread-winner of the family and the population below 18 years and above 60 years was outside its purview. The LIC would also not be in a position to operate even a limited scheme of this nature entirely on its own strength. It would call for heavy dependence on the administrative machinery of the State without which the settlement of the claims was likely to get inordinately delayed. We felt, therefore, that the proposal submitted by LIC was unlikely to meet the purpose which we had in mind.</w:t>
      </w:r>
    </w:p>
    <w:p w14:paraId="659834C3" w14:textId="1D2451D5" w:rsidR="003B0AE1" w:rsidRPr="0004184B" w:rsidRDefault="003B0AE1" w:rsidP="00F63018">
      <w:pPr>
        <w:pStyle w:val="Heading3"/>
        <w:spacing w:after="0"/>
      </w:pPr>
      <w:r w:rsidRPr="0004184B">
        <w:t xml:space="preserve">The General Insurance Corporation of India (GIC) also operates its business of general insurance on the principles of insurable interest and indemnity. Most of the items for which assistance is now being provided by the States do not lend themselves to the concept of general insurance as transacted by the GIC. Only a few of the items fall under the categories now being insured by the GIC. It was found that the items which the GIC was prepared to insure did not account for even 20 percent of the total ceilings of expenditure approved for relief during the </w:t>
      </w:r>
      <w:proofErr w:type="gramStart"/>
      <w:r w:rsidRPr="0004184B">
        <w:t>five year</w:t>
      </w:r>
      <w:proofErr w:type="gramEnd"/>
      <w:r w:rsidRPr="0004184B">
        <w:t xml:space="preserve"> period 1982-87. In any case, both the LIC and the GIC do not have field organisations of their own down to the block and village levels which could take up the task of assessing losses and damages resulting from natural calamities. The insurance cover provided by them is also of a limited nature and the bulk of the items on which relief is being given today fall outside their purview. The LIC and GIC have further averred that given the magnitude of the problem, they could operate any such scheme, like the Crop Insurance Scheme, not as insurance bodies but as agents of the Government. In other words, government would have to provide budgetary support to meet any gap between the premium collected and claims paid. We found it difficult to evolve an appropriate insurance scheme which could be operated independently of the government. The formulation of an insurance scheme would hinge on determination of experience-rated premia for different types of risk whose incidence and intensity would vary widely from State to State and, indeed, from area to area within each State. There would be serious imponderables in working out the premium rates and getting the same accepted by all the States.</w:t>
      </w:r>
    </w:p>
    <w:p w14:paraId="1B2D0AB0" w14:textId="1637C7FC" w:rsidR="003B0AE1" w:rsidRPr="0004184B" w:rsidRDefault="003B0AE1" w:rsidP="00F63018">
      <w:pPr>
        <w:pStyle w:val="Heading3"/>
        <w:spacing w:after="0"/>
      </w:pPr>
      <w:r w:rsidRPr="0004184B">
        <w:t>The source of calamity, by its very nature and magnitude, would pose problems which no agency, outside government, can tackle exclusively and in full measure. The process of assessing the loss by an external agency is bound to be a lot more complicated and time-consuming. It would largely defeat the purpose of providing timely succour to the people stricken by calamity. Besides, the greatest sufferers in a natural calamity are the poor and the have-nots at the bottom of the social and economic pyramid who have precious little to insure. Apart from this, it must be remembered that in the case of floods and cyclones, much of the damage is caused to public assets such as roads, embankments, bridges and government buildings. The States have to be helped to rebuild them. This liability to rebuild cannot easily be measured as an insurable risk, particularly when the physical conditions and the sources of risk vary vastly between States. It would, therefore, seem that the concept of an insurance fund for disaster relief is not a viable one and a scheme based on the insurance concept will run into serious practical problems.</w:t>
      </w:r>
    </w:p>
    <w:p w14:paraId="2BC55B5E" w14:textId="5216BFD7" w:rsidR="00A55EFE" w:rsidRPr="0004184B" w:rsidRDefault="00A55EFE" w:rsidP="00F63018">
      <w:pPr>
        <w:pStyle w:val="Heading3"/>
        <w:spacing w:after="0"/>
      </w:pPr>
      <w:r w:rsidRPr="0004184B">
        <w:lastRenderedPageBreak/>
        <w:t>It is not possible to run away from the basic fact that the primary responsibility for providing relief to the persons affected by natural calamities is that of the government. No corporate body or agency independent of government can ever cope with the multitude of problems left by a natural calamity in its trail. The execution of the relief programme, therefore, cannot be delinked from governmental responsibility.</w:t>
      </w:r>
    </w:p>
    <w:p w14:paraId="4D4EF4A6" w14:textId="4444C2DE" w:rsidR="00A55EFE" w:rsidRPr="0004184B" w:rsidRDefault="00A55EFE" w:rsidP="00F63018">
      <w:pPr>
        <w:pStyle w:val="Heading3"/>
        <w:spacing w:after="0"/>
      </w:pPr>
      <w:r w:rsidRPr="0004184B">
        <w:t>We, therefore, share the misgivings expressed by the Sixth Finance Commission in full measure. The majority of the States have also opposed the setting up of such a fund. Having heard the States and after having given serious thought to the entire gamut of inter-related issues we also feel that the establishment of a national insurance fund is not feasible.</w:t>
      </w:r>
    </w:p>
    <w:p w14:paraId="690C536D" w14:textId="4566A140" w:rsidR="00A55EFE" w:rsidRPr="0004184B" w:rsidRDefault="00A55EFE" w:rsidP="00F63018">
      <w:pPr>
        <w:pStyle w:val="Heading3"/>
        <w:spacing w:after="0"/>
      </w:pPr>
      <w:r w:rsidRPr="0004184B">
        <w:t xml:space="preserve">It is seen that in the last ten years (1979 to 1989) the total of ceilings of expenditure allowed on relief on account of natural calamities comes to Rs. 7930 </w:t>
      </w:r>
      <w:proofErr w:type="gramStart"/>
      <w:r w:rsidRPr="0004184B">
        <w:t>crore</w:t>
      </w:r>
      <w:proofErr w:type="gramEnd"/>
      <w:r w:rsidRPr="0004184B">
        <w:t xml:space="preserve">. While there has been a continuous increase in the ceilings of expenditure on account of relief, it is seen that no asset of any significance could be created within the parameters of the relief programmes - both under floods and drought nor could any long-term corrective action be undertaken. The assets created were negligible as the scheme of financing of drought relief work did not allow for expenditure on material components or for employment of skilled staff to guide the unskilled workers who could create durable assets. It was mostly </w:t>
      </w:r>
      <w:proofErr w:type="gramStart"/>
      <w:r w:rsidRPr="0004184B">
        <w:t>test</w:t>
      </w:r>
      <w:proofErr w:type="gramEnd"/>
      <w:r w:rsidRPr="0004184B">
        <w:t xml:space="preserve"> relief type of work which was undertaken. Further, the scale of assistance allowed was not enough to meet the actual expenditure required for the restoration of the assets. No purpose was served by such assistance. The Commission feels that it would have been a more constructive approach if this money had been given as seed money to enable individuals or a group of people to get help from financial institutions and build pucca houses. A similar approach is also called for in the construction of the roads damaged by a natural calamity.</w:t>
      </w:r>
    </w:p>
    <w:p w14:paraId="18E9759C" w14:textId="4594A6AB" w:rsidR="00A55EFE" w:rsidRPr="0004184B" w:rsidRDefault="00A55EFE" w:rsidP="00F63018">
      <w:pPr>
        <w:pStyle w:val="Heading3"/>
        <w:spacing w:after="0"/>
      </w:pPr>
      <w:r w:rsidRPr="0004184B">
        <w:t xml:space="preserve">While formulating our recommendations on the financing of relief expenditure and suggesting a suitable scheme, we must keep in view certain basic considerations to ensure the success and viability of the scheme. The first concerns the level of assistance to be provided for. An analysis of the operation of the scheme during the recommendation period of the Eighth Finance Commission would clearly show that the ceiling for the margin money prescribed by the Eighth Commission proved to be quite inadequate for the levels of relief expenditure sanctioned by the Central Government in each year of the recommendation period. The total ceilings of expenditure approved by the Government of India during the five-year period 1984-89 were Rs. 512.89, Rs. 1006.32, Rs. 1023.89, Rs. 1658.92 and Rs. 1084.29 crore, respectively, against the annual margin money of Rs. 240.75 crore fixed by the Eighth Commission. This large difference between the margin money fixed and the actual ceilings of expenditure was due to the fact that the margin money was calculated excluding the expenditure incurred by the States on items of plan nature for which advance Plan assistance was given, whereas the actual ceilings of expenditure included also advance Plan assistance consisting of both grants and loans. The expenditure level allowed should be calculated in such a manner as to reflect the current realities as closely as possible. Second, the present system of assessment of the damage and the mechanism of giving Central assistance leads to delay in extending help and succour to the people affected by the natural calamities which should be avoided. Quickness of response should be a basic feature of the scheme. Third, we must take note of the fact that, quite often, the catalogue of demands presented by the States is inflated in character presumably under the impression that the claim, regardless of how realistically it has been formulated, would, in any case, be cut down heavily by the Government of India. The compulsions of public opinion in the State may also lead to such demands so that the State Governments could avoid being criticised for alleged underestimation of relief requirements. Any scheme of financing the relief expenditure, therefore, should contain a built-in mechanism to discourage such claims which are either not necessary or not fully supported by facts. Fourth, the scheme should be so designed as to ensure against profligacy and wastefulness. As observed by the previous Commissions, the big increase in expenditure in terms of approved ceilings from Rs. 49.88 crore in 1974-75 to Rs. 1084.29 crore in 1988-89 cannot be explained purely in terms of the growing severity of natural calamities. True, the environmental degradation, deforestation, climatic changes as a consequence of the greenhouse effect, rapid population growth forcing settlement and cultivation of marginal lands in the river beds and storm water channels have all contributed to the phenomenal growth in relief expenditure. At the same time, increased expenditure on relief diverts precious resources from investment in projects needed for the </w:t>
      </w:r>
      <w:proofErr w:type="gramStart"/>
      <w:r w:rsidRPr="0004184B">
        <w:t>long term</w:t>
      </w:r>
      <w:proofErr w:type="gramEnd"/>
      <w:r w:rsidRPr="0004184B">
        <w:t xml:space="preserve"> growth of the economy. The scheme should aim at providing incentives for economy in expenditure. Fifth, the States should be able to take care of the problems and expenses caused by the occurrence of the usual type of natural calamities of normal magnitude. That is, the money already provided in advance should be more or less sufficient for the purpose of relief expenditure except when there is a serious disaster. Keeping these considerations in mind and also taking into account the various suggestions made by the State Governments, we recommend as follows.</w:t>
      </w:r>
    </w:p>
    <w:p w14:paraId="4F51A28F" w14:textId="74702AD9" w:rsidR="00A55EFE" w:rsidRPr="0004184B" w:rsidRDefault="00A55EFE" w:rsidP="00F63018">
      <w:pPr>
        <w:pStyle w:val="Heading3"/>
        <w:spacing w:after="0"/>
      </w:pPr>
      <w:r w:rsidRPr="0004184B">
        <w:t>The present arrangement for financing relief expenditure should be replaced by a new one where greater autonomy, accountability and responsibility are placed upon the States and they are provided adequate means and wherewithal to carry out the same. Once this is done, the States would be expected to follow the path of self-reliance and would not have to look up to the Centre. This would also be in conformity with the views of previous Commissions and the constitutional position that the primary responsibility for relief is that of the States.</w:t>
      </w:r>
    </w:p>
    <w:p w14:paraId="4569722C" w14:textId="4D45BB71" w:rsidR="00F63018" w:rsidRPr="0004184B" w:rsidRDefault="00A55EFE" w:rsidP="00F63018">
      <w:pPr>
        <w:pStyle w:val="Heading3"/>
        <w:spacing w:after="0"/>
      </w:pPr>
      <w:r w:rsidRPr="0004184B">
        <w:t xml:space="preserve">We propose to replace the present scheme involving the provision of margin money, preparation of States' memoranda, visits of Central teams, etc. by a scheme which is qualitatively different in the sense that generous funds are placed at the disposal of the States and they are expected to look after themselves in almost all situations. We have taken the average of actual ceiling of expenditure approved during the last ten years ending in 1988-89 and rounded it off to the nearest crore thus completely changing the concept of margin money followed hitherto. On this basis, the aggregate average for all the States, taken together, works out to Rs. 804 </w:t>
      </w:r>
      <w:proofErr w:type="gramStart"/>
      <w:r w:rsidRPr="0004184B">
        <w:t>crore</w:t>
      </w:r>
      <w:proofErr w:type="gramEnd"/>
      <w:r w:rsidRPr="0004184B">
        <w:t xml:space="preserve">. We, therefore, recommend that a total of Rs. 804 </w:t>
      </w:r>
      <w:proofErr w:type="gramStart"/>
      <w:r w:rsidRPr="0004184B">
        <w:t>crore</w:t>
      </w:r>
      <w:proofErr w:type="gramEnd"/>
      <w:r w:rsidRPr="0004184B">
        <w:t xml:space="preserve"> should be available each year to States as funds earmarked for relief on account of natural calamities. This amount does not represent just the margin money (both Centre's and States' shares) as understood so far but the average of ceilings of expenditures approved in the last ten years which include margin money, advance Plan assistance (grant and loan), special Central assistance (50:50 loan and grant) for relief of natural calamities and the State's own share of 25 per cent in flood relief. The Centre will be required to pay 75 per cent (Rs. 603 crore) to a Calamity Relief Fund for all the States together for each year of the </w:t>
      </w:r>
      <w:proofErr w:type="gramStart"/>
      <w:r w:rsidRPr="0004184B">
        <w:t>five year</w:t>
      </w:r>
      <w:proofErr w:type="gramEnd"/>
      <w:r w:rsidRPr="0004184B">
        <w:t xml:space="preserve"> period covered by our report. The State-wise shares are shown in Annexure VI.1. The States would have to deal with natural calamities and manage their affairs without the need for any reference to or authorisation from the Centre within the amounts so provided. The other features of the scheme would be as under:</w:t>
      </w:r>
    </w:p>
    <w:p w14:paraId="7895C023" w14:textId="490858AA"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 xml:space="preserve">A Calamity Relief Fund should be constituted for each state with the amount allocated to the State. This fund would have an existence separate from the general revenues of the State and contributions to this fund would be made by the Centre and the State concerned in the course of the year in equal quarterly instalments. The fund will be kept in a nationalised bank and administered by a </w:t>
      </w:r>
      <w:proofErr w:type="gramStart"/>
      <w:r w:rsidRPr="0004184B">
        <w:rPr>
          <w:rFonts w:ascii="Times New Roman" w:hAnsi="Times New Roman" w:cs="Times New Roman"/>
          <w:sz w:val="18"/>
          <w:szCs w:val="18"/>
        </w:rPr>
        <w:t>Committee</w:t>
      </w:r>
      <w:proofErr w:type="gramEnd"/>
      <w:r w:rsidRPr="0004184B">
        <w:rPr>
          <w:rFonts w:ascii="Times New Roman" w:hAnsi="Times New Roman" w:cs="Times New Roman"/>
          <w:sz w:val="18"/>
          <w:szCs w:val="18"/>
        </w:rPr>
        <w:t>.</w:t>
      </w:r>
    </w:p>
    <w:p w14:paraId="23F8E9A4" w14:textId="34DE0830"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lastRenderedPageBreak/>
        <w:t>Contribution to the fund would be made by the Government of India to the extent of 75 per cent in the form of non-Plan grant. The balance of 25 per cent shall be contributed by the State Government out of its own resources.</w:t>
      </w:r>
    </w:p>
    <w:p w14:paraId="1F27F3D9" w14:textId="787BDEC0"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 xml:space="preserve">The fund would be operated under the control of a </w:t>
      </w:r>
      <w:r w:rsidR="0004184B" w:rsidRPr="0004184B">
        <w:rPr>
          <w:rFonts w:ascii="Times New Roman" w:hAnsi="Times New Roman" w:cs="Times New Roman"/>
          <w:sz w:val="18"/>
          <w:szCs w:val="18"/>
        </w:rPr>
        <w:t>committee</w:t>
      </w:r>
      <w:r w:rsidRPr="0004184B">
        <w:rPr>
          <w:rFonts w:ascii="Times New Roman" w:hAnsi="Times New Roman" w:cs="Times New Roman"/>
          <w:sz w:val="18"/>
          <w:szCs w:val="18"/>
        </w:rPr>
        <w:t xml:space="preserve"> headed by the Chief Secretary of the State. The Committee would consist of officials who are normally connected with relief work and experts in various fields in the State affected by natural calamities. The Committee will be nominated by the State Government.</w:t>
      </w:r>
    </w:p>
    <w:p w14:paraId="5AC2994E" w14:textId="72E69A09"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The State Level Committee shall decide on all matters connected with the financing of the relief expenditure.</w:t>
      </w:r>
    </w:p>
    <w:p w14:paraId="76803E7E" w14:textId="408D43BC"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Following the creation of this fund, it will be the responsibility of the State Governments to meet all expenditures arising out of natural calamities. The yearly additions to the fund as well as the accrual of interest thereon should be used to meet the requirements. No further Central assistance would be available for this purpose.</w:t>
      </w:r>
    </w:p>
    <w:p w14:paraId="30EA5CF6" w14:textId="11D737F0"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The money put into the fund in a year and remaining unspent in that year or in subsequent years would be available to the State at the end of the 5th year or thereafter for being used as a resource for the next Plan.</w:t>
      </w:r>
    </w:p>
    <w:p w14:paraId="29FD2681" w14:textId="1DFF2B64"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The State Level Committee will decide all the variations in the norms of assistance as it may not always be realistic to have one uniform norm throughout the country.</w:t>
      </w:r>
    </w:p>
    <w:p w14:paraId="6FBAF43C" w14:textId="2A602958" w:rsidR="00A55EFE" w:rsidRPr="0004184B" w:rsidRDefault="00A55EFE">
      <w:pPr>
        <w:pStyle w:val="ListParagraph"/>
        <w:numPr>
          <w:ilvl w:val="0"/>
          <w:numId w:val="31"/>
        </w:numPr>
        <w:tabs>
          <w:tab w:val="left" w:pos="709"/>
        </w:tabs>
        <w:spacing w:after="0" w:line="240" w:lineRule="auto"/>
        <w:ind w:left="709" w:hanging="425"/>
        <w:jc w:val="both"/>
        <w:rPr>
          <w:rFonts w:ascii="Times New Roman" w:hAnsi="Times New Roman" w:cs="Times New Roman"/>
          <w:sz w:val="18"/>
          <w:szCs w:val="18"/>
        </w:rPr>
      </w:pPr>
      <w:r w:rsidRPr="0004184B">
        <w:rPr>
          <w:rFonts w:ascii="Times New Roman" w:hAnsi="Times New Roman" w:cs="Times New Roman"/>
          <w:sz w:val="18"/>
          <w:szCs w:val="18"/>
        </w:rPr>
        <w:t>If it is found by the State Level Committee that in a particular year the amount required is more than the same available in the fund, it may draw 25 per cent of the funds due to them in the following year from the Centre to be adjusted against the dues of the subsequent year. The Central Govt. may, however, at its discretion, allow a higher percentage of advance from the State's entitlement in the next year.</w:t>
      </w:r>
    </w:p>
    <w:p w14:paraId="723885AC" w14:textId="7CE85019"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 xml:space="preserve">The State Level Committee may keep the Union Ministry of Agriculture, informed of the </w:t>
      </w:r>
      <w:proofErr w:type="gramStart"/>
      <w:r w:rsidRPr="0004184B">
        <w:rPr>
          <w:rFonts w:ascii="Times New Roman" w:hAnsi="Times New Roman" w:cs="Times New Roman"/>
          <w:sz w:val="18"/>
          <w:szCs w:val="18"/>
        </w:rPr>
        <w:t>amount</w:t>
      </w:r>
      <w:proofErr w:type="gramEnd"/>
      <w:r w:rsidRPr="0004184B">
        <w:rPr>
          <w:rFonts w:ascii="Times New Roman" w:hAnsi="Times New Roman" w:cs="Times New Roman"/>
          <w:sz w:val="18"/>
          <w:szCs w:val="18"/>
        </w:rPr>
        <w:t xml:space="preserve"> of damages due to drought, floods, etc. as well as the broad details of the relief work undertaken.</w:t>
      </w:r>
    </w:p>
    <w:p w14:paraId="7D6D1CA1" w14:textId="098DA136"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The present arrangements for coordinating relief work at the Centre in the Ministry of Agriculture may continue so that the assistance from Defence forces, Railways as also supply of seeds, etc., which may be required in times of natural calamities could be coordinated.</w:t>
      </w:r>
    </w:p>
    <w:p w14:paraId="5DF04426" w14:textId="5709A22D"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The Commission also recommends that all calamities such as drought, floods, cyclone, fire, etc., which have so far been covered by the relief schemes of the previous Commissions for purpose of relief assistance should continue to be covered in the present scheme also and the distinction between drought on the one hand, and floods, cyclone, fire, etc., on the other, be done away with.</w:t>
      </w:r>
    </w:p>
    <w:p w14:paraId="657342CA" w14:textId="33A602B2" w:rsidR="00A55EFE" w:rsidRPr="0004184B" w:rsidRDefault="00A55EFE">
      <w:pPr>
        <w:pStyle w:val="ListParagraph"/>
        <w:numPr>
          <w:ilvl w:val="0"/>
          <w:numId w:val="31"/>
        </w:numPr>
        <w:spacing w:after="0" w:line="240" w:lineRule="auto"/>
        <w:jc w:val="both"/>
        <w:rPr>
          <w:rFonts w:ascii="Times New Roman" w:hAnsi="Times New Roman" w:cs="Times New Roman"/>
          <w:sz w:val="18"/>
          <w:szCs w:val="18"/>
        </w:rPr>
      </w:pPr>
      <w:r w:rsidRPr="0004184B">
        <w:rPr>
          <w:rFonts w:ascii="Times New Roman" w:hAnsi="Times New Roman" w:cs="Times New Roman"/>
          <w:sz w:val="18"/>
          <w:szCs w:val="18"/>
        </w:rPr>
        <w:t>The Centre should constitute an Expert Group to monitor the relief work done in the States utilising the Calamity Relief Fund. Acknowledged Experts in various relevant disciplines should be involved in this work of monitoring. The result of their work should be communicated to the State Government concerned. The Group may also give such advice as it deems appropriate to the States' agencies involved in relief work. We expect that the work of this Group and the reports it prepares would enable the next Finance Commission to review the working of the new scheme we have recommended.</w:t>
      </w:r>
    </w:p>
    <w:p w14:paraId="11D6292F" w14:textId="2758E501" w:rsidR="00A55EFE" w:rsidRPr="0004184B" w:rsidRDefault="00A55EFE" w:rsidP="00F63018">
      <w:pPr>
        <w:pStyle w:val="Heading3"/>
        <w:spacing w:after="0"/>
      </w:pPr>
      <w:r w:rsidRPr="0004184B">
        <w:t>During the period covered by our Report, if any region faces a calamity of such dimensions and severity as to warrant its handling at the national level, we are confident that the Centre will take appropriate action as the situation demands and incur the necessary expenditure.</w:t>
      </w:r>
    </w:p>
    <w:p w14:paraId="5FF6B5D5" w14:textId="77777777" w:rsidR="00A55EFE" w:rsidRPr="0004184B" w:rsidRDefault="00A55EFE" w:rsidP="00F63018">
      <w:pPr>
        <w:spacing w:after="0" w:line="240" w:lineRule="auto"/>
        <w:jc w:val="center"/>
        <w:rPr>
          <w:rFonts w:ascii="Times New Roman" w:hAnsi="Times New Roman" w:cs="Times New Roman"/>
          <w:b/>
          <w:bCs/>
          <w:sz w:val="18"/>
          <w:szCs w:val="18"/>
        </w:rPr>
      </w:pPr>
      <w:r w:rsidRPr="0004184B">
        <w:rPr>
          <w:rFonts w:ascii="Times New Roman" w:hAnsi="Times New Roman" w:cs="Times New Roman"/>
          <w:b/>
          <w:bCs/>
          <w:sz w:val="18"/>
          <w:szCs w:val="18"/>
        </w:rPr>
        <w:t>BHOPAL GAS LEAK TRAGEDY</w:t>
      </w:r>
    </w:p>
    <w:p w14:paraId="16AA8A58" w14:textId="0FC4C5AD" w:rsidR="00A55EFE" w:rsidRPr="0004184B" w:rsidRDefault="00A55EFE" w:rsidP="00F63018">
      <w:pPr>
        <w:pStyle w:val="Heading3"/>
        <w:spacing w:after="0"/>
      </w:pPr>
      <w:r w:rsidRPr="0004184B">
        <w:t>We propose to deal with Bhopal Gas Leak Tragedy also in this Chapter although this tragedy was industrial and man-made and quite distinct from a natural calamity. This tragedy was by far the worst industrial disaster of its kind. We had observed in the first report that a crisis of this magnitude could not legitimately be construed as the exclusive responsibility of the State Government. The Supreme Court of India has since given its decision and pursuant to the same the Union Carbide Limited has deposited a sum of US $ 470 million with the Reserve Bank of India. We believe that the amount available from the Union Carbide Limited is dedicated entirely to the victims of the gas tragedy and the compensation money would not lend itself to any adjustment against the sum already spent or required to be spent in future for this purpose either by the Government of India or by the State Government. An assurance to this effect has also been given to the Supreme Court by the Government of India.</w:t>
      </w:r>
    </w:p>
    <w:p w14:paraId="2789FCE8" w14:textId="40E92134" w:rsidR="00A55EFE" w:rsidRPr="0004184B" w:rsidRDefault="00A55EFE" w:rsidP="00F63018">
      <w:pPr>
        <w:pStyle w:val="Heading3"/>
        <w:spacing w:after="0"/>
      </w:pPr>
      <w:r w:rsidRPr="0004184B">
        <w:t>It would be worthwhile to remember in this context that the Government of India enacted a Bhopal Gas Leak Disaster (Processing of Claims) Act, 1985 under which the Central Government assumed the exclusive responsibility to represent all the victims and the claimants of the gas tragedy. The Government of India assumed the role of "</w:t>
      </w:r>
      <w:proofErr w:type="spellStart"/>
      <w:r w:rsidRPr="0004184B">
        <w:t>parens</w:t>
      </w:r>
      <w:proofErr w:type="spellEnd"/>
      <w:r w:rsidRPr="0004184B">
        <w:t xml:space="preserve"> patriae" on behalf of the victims of the tragedy. This adds considerably to the responsibility of the Government of India as regards its duties and obligations to the victims.</w:t>
      </w:r>
    </w:p>
    <w:p w14:paraId="73B806D4" w14:textId="545C230B" w:rsidR="00A55EFE" w:rsidRPr="0004184B" w:rsidRDefault="00A55EFE" w:rsidP="00F63018">
      <w:pPr>
        <w:pStyle w:val="Heading3"/>
        <w:spacing w:after="0"/>
      </w:pPr>
      <w:r w:rsidRPr="0004184B">
        <w:t xml:space="preserve">The Government of Madhya Pradesh had earlier submitted an "Action Plan" involving an amount of Rs. 371.29 crores likely to be spent on relief and rehabilitation during the period from 1988-89 to 1994-95. It is learnt that the size of the Action Plan, following its scrutiny by Government of India, has since been reduced to Rs. 163 crores. We, therefore, </w:t>
      </w:r>
      <w:r w:rsidR="0004184B" w:rsidRPr="0004184B">
        <w:t>recommend: -</w:t>
      </w:r>
    </w:p>
    <w:p w14:paraId="75EAD5D8" w14:textId="77777777" w:rsidR="00A55EFE" w:rsidRPr="0004184B" w:rsidRDefault="00A55EFE" w:rsidP="00F63018">
      <w:pPr>
        <w:spacing w:after="0" w:line="240" w:lineRule="auto"/>
        <w:ind w:left="426"/>
        <w:jc w:val="both"/>
        <w:rPr>
          <w:rFonts w:ascii="Times New Roman" w:hAnsi="Times New Roman" w:cs="Times New Roman"/>
          <w:sz w:val="18"/>
          <w:szCs w:val="18"/>
        </w:rPr>
      </w:pPr>
      <w:r w:rsidRPr="0004184B">
        <w:rPr>
          <w:rFonts w:ascii="Times New Roman" w:hAnsi="Times New Roman" w:cs="Times New Roman"/>
          <w:sz w:val="18"/>
          <w:szCs w:val="18"/>
        </w:rPr>
        <w:t xml:space="preserve">(a) that the entire amount of </w:t>
      </w:r>
      <w:proofErr w:type="gramStart"/>
      <w:r w:rsidRPr="0004184B">
        <w:rPr>
          <w:rFonts w:ascii="Times New Roman" w:hAnsi="Times New Roman" w:cs="Times New Roman"/>
          <w:sz w:val="18"/>
          <w:szCs w:val="18"/>
        </w:rPr>
        <w:t>medium term</w:t>
      </w:r>
      <w:proofErr w:type="gramEnd"/>
      <w:r w:rsidRPr="0004184B">
        <w:rPr>
          <w:rFonts w:ascii="Times New Roman" w:hAnsi="Times New Roman" w:cs="Times New Roman"/>
          <w:sz w:val="18"/>
          <w:szCs w:val="18"/>
        </w:rPr>
        <w:t xml:space="preserve"> loan of Rs. 91.62 crore given by the Government of India to the State Government, together with the interest thereon, should be written off. A special reference to this has been made later in the Chapter on Debt Relief.</w:t>
      </w:r>
    </w:p>
    <w:p w14:paraId="4D1AAFC9" w14:textId="77777777" w:rsidR="00A55EFE" w:rsidRPr="0004184B" w:rsidRDefault="00A55EFE" w:rsidP="00F63018">
      <w:pPr>
        <w:spacing w:after="0" w:line="240" w:lineRule="auto"/>
        <w:ind w:left="426"/>
        <w:jc w:val="both"/>
        <w:rPr>
          <w:rFonts w:ascii="Times New Roman" w:hAnsi="Times New Roman" w:cs="Times New Roman"/>
          <w:sz w:val="18"/>
          <w:szCs w:val="18"/>
        </w:rPr>
      </w:pPr>
      <w:r w:rsidRPr="0004184B">
        <w:rPr>
          <w:rFonts w:ascii="Times New Roman" w:hAnsi="Times New Roman" w:cs="Times New Roman"/>
          <w:sz w:val="18"/>
          <w:szCs w:val="18"/>
        </w:rPr>
        <w:t xml:space="preserve">(b) the future requirement of fund in the forecast period towards the relief and rehabilitation of the victims which has now been reduced to Rs. 163 </w:t>
      </w:r>
      <w:proofErr w:type="gramStart"/>
      <w:r w:rsidRPr="0004184B">
        <w:rPr>
          <w:rFonts w:ascii="Times New Roman" w:hAnsi="Times New Roman" w:cs="Times New Roman"/>
          <w:sz w:val="18"/>
          <w:szCs w:val="18"/>
        </w:rPr>
        <w:t>crore</w:t>
      </w:r>
      <w:proofErr w:type="gramEnd"/>
      <w:r w:rsidRPr="0004184B">
        <w:rPr>
          <w:rFonts w:ascii="Times New Roman" w:hAnsi="Times New Roman" w:cs="Times New Roman"/>
          <w:sz w:val="18"/>
          <w:szCs w:val="18"/>
        </w:rPr>
        <w:t xml:space="preserve"> should be met by the Government of India and the State Government in the ratio of 3:1. The share of the Government of India which works out to 75 per cent of the entire amount should be given to the State Government by way of outright grant. The balance of 25 per cent should be met by the State Government out of its own resources for which a suitable provision has been built into our assessment for Madhya Pradesh. The amount mentioned here is over and above the amount allocated to the State for financing its other relief expenditure.</w:t>
      </w:r>
    </w:p>
    <w:p w14:paraId="4D480207" w14:textId="33C9B4BB" w:rsidR="00A55EFE" w:rsidRPr="00AA6AF4" w:rsidRDefault="00A55EFE" w:rsidP="00D55C02">
      <w:pPr>
        <w:rPr>
          <w:rFonts w:ascii="Times New Roman" w:hAnsi="Times New Roman" w:cs="Times New Roman"/>
          <w:szCs w:val="24"/>
        </w:rPr>
      </w:pPr>
      <w:r w:rsidRPr="00AA6AF4">
        <w:rPr>
          <w:rFonts w:ascii="Times New Roman" w:hAnsi="Times New Roman" w:cs="Times New Roman"/>
          <w:szCs w:val="24"/>
        </w:rPr>
        <w:br w:type="page"/>
      </w:r>
    </w:p>
    <w:p w14:paraId="3677386C" w14:textId="4097585D" w:rsidR="00A55EFE" w:rsidRPr="00D55C02" w:rsidRDefault="00D55C02" w:rsidP="007526EE">
      <w:pPr>
        <w:pStyle w:val="Heading1"/>
        <w:ind w:left="0" w:firstLine="0"/>
        <w:rPr>
          <w:sz w:val="24"/>
          <w:szCs w:val="24"/>
        </w:rPr>
      </w:pPr>
      <w:r>
        <w:lastRenderedPageBreak/>
        <w:br/>
      </w:r>
      <w:bookmarkStart w:id="13" w:name="_Toc221292963"/>
      <w:bookmarkStart w:id="14" w:name="_Toc222399455"/>
      <w:r w:rsidR="00A55EFE" w:rsidRPr="00D55C02">
        <w:rPr>
          <w:sz w:val="24"/>
          <w:szCs w:val="24"/>
        </w:rPr>
        <w:t>GRANTS-IN-AID</w:t>
      </w:r>
      <w:bookmarkEnd w:id="13"/>
      <w:bookmarkEnd w:id="14"/>
    </w:p>
    <w:p w14:paraId="16BC4BCC" w14:textId="2251E17E" w:rsidR="00A55EFE" w:rsidRPr="00AA6AF4" w:rsidRDefault="00A55EFE" w:rsidP="004E6F59">
      <w:pPr>
        <w:pStyle w:val="Heading3"/>
        <w:spacing w:after="0" w:line="180" w:lineRule="exact"/>
      </w:pPr>
      <w:r w:rsidRPr="00AA6AF4">
        <w:t>Article 280 of the Constitution lays down that it shall be the duty of the Finance Commission to make recommendations as to the principles which should govern the grants-in-aid of the revenues of the States out of the Consolidated Fund of India. In responding to this mandate, the first task of the Commission is to assess the dimensions of the aid required by each State to supplement its revenues including its share in shareable Central taxes.</w:t>
      </w:r>
    </w:p>
    <w:p w14:paraId="50B48C4D" w14:textId="658471D2" w:rsidR="00A55EFE" w:rsidRPr="00AA6AF4" w:rsidRDefault="00A55EFE" w:rsidP="004E6F59">
      <w:pPr>
        <w:pStyle w:val="Heading3"/>
        <w:spacing w:after="0" w:line="180" w:lineRule="exact"/>
      </w:pPr>
      <w:r w:rsidRPr="00AA6AF4">
        <w:t>In Chapter III, we have narrated in some detail the manner in which the States' non-Plan revenue receipts and non-Plan revenue expenditure for the period between 1.4.1990 and 31.3.1995 have been assessed. In Chapter V, we have formulated our recommendations regarding devolution of shares of Central taxes to States and amongst States. The non-Plan revenue account position of States for the period 1990-95 emerging from these two exercises is summarised in Table 1.</w:t>
      </w:r>
    </w:p>
    <w:p w14:paraId="24EA63D8" w14:textId="7672D0B2" w:rsidR="00D55C02" w:rsidRPr="00794BCE" w:rsidRDefault="00A55EFE" w:rsidP="004E6F59">
      <w:pPr>
        <w:pStyle w:val="Heading4"/>
        <w:spacing w:after="0" w:line="180" w:lineRule="exact"/>
        <w:ind w:left="0"/>
        <w:rPr>
          <w:sz w:val="18"/>
          <w:szCs w:val="18"/>
        </w:rPr>
      </w:pPr>
      <w:r w:rsidRPr="00794BCE">
        <w:rPr>
          <w:sz w:val="18"/>
          <w:szCs w:val="18"/>
        </w:rPr>
        <w:t>TABLE 1</w:t>
      </w:r>
      <w:r w:rsidR="00C721FD" w:rsidRPr="00794BCE">
        <w:rPr>
          <w:sz w:val="18"/>
          <w:szCs w:val="18"/>
        </w:rPr>
        <w:br/>
      </w:r>
      <w:r w:rsidRPr="00794BCE">
        <w:rPr>
          <w:sz w:val="18"/>
          <w:szCs w:val="18"/>
        </w:rPr>
        <w:t>Net Non-Plan Revenue Surplus(+)/</w:t>
      </w:r>
      <w:proofErr w:type="gramStart"/>
      <w:r w:rsidRPr="00794BCE">
        <w:rPr>
          <w:sz w:val="18"/>
          <w:szCs w:val="18"/>
        </w:rPr>
        <w:t>Deficit(</w:t>
      </w:r>
      <w:proofErr w:type="gramEnd"/>
      <w:r w:rsidRPr="00794BCE">
        <w:rPr>
          <w:sz w:val="18"/>
          <w:szCs w:val="18"/>
        </w:rPr>
        <w:t>-</w:t>
      </w:r>
      <w:proofErr w:type="gramStart"/>
      <w:r w:rsidRPr="00794BCE">
        <w:rPr>
          <w:sz w:val="18"/>
          <w:szCs w:val="18"/>
        </w:rPr>
        <w:t>) :</w:t>
      </w:r>
      <w:proofErr w:type="gramEnd"/>
      <w:r w:rsidRPr="00794BCE">
        <w:rPr>
          <w:sz w:val="18"/>
          <w:szCs w:val="18"/>
        </w:rPr>
        <w:t xml:space="preserve"> 1990-95</w:t>
      </w:r>
    </w:p>
    <w:p w14:paraId="149F476B" w14:textId="71E2CD49" w:rsidR="00A55EFE" w:rsidRPr="00D55C02" w:rsidRDefault="00A55EFE" w:rsidP="004E6F59">
      <w:pPr>
        <w:spacing w:after="0" w:line="180" w:lineRule="exact"/>
        <w:ind w:left="7920"/>
        <w:rPr>
          <w:rFonts w:ascii="Times New Roman" w:hAnsi="Times New Roman" w:cs="Times New Roman"/>
          <w:i/>
          <w:iCs/>
          <w:sz w:val="18"/>
          <w:szCs w:val="18"/>
        </w:rPr>
      </w:pPr>
      <w:r w:rsidRPr="00D55C02">
        <w:rPr>
          <w:rFonts w:ascii="Times New Roman" w:hAnsi="Times New Roman" w:cs="Times New Roman"/>
          <w:i/>
          <w:iCs/>
          <w:sz w:val="18"/>
          <w:szCs w:val="18"/>
        </w:rPr>
        <w:t>(Rs. Crore)</w:t>
      </w:r>
    </w:p>
    <w:tbl>
      <w:tblPr>
        <w:tblStyle w:val="TableGrid"/>
        <w:tblW w:w="8784" w:type="dxa"/>
        <w:jc w:val="center"/>
        <w:tblLook w:val="04A0" w:firstRow="1" w:lastRow="0" w:firstColumn="1" w:lastColumn="0" w:noHBand="0" w:noVBand="1"/>
      </w:tblPr>
      <w:tblGrid>
        <w:gridCol w:w="416"/>
        <w:gridCol w:w="1564"/>
        <w:gridCol w:w="2268"/>
        <w:gridCol w:w="2268"/>
        <w:gridCol w:w="2268"/>
      </w:tblGrid>
      <w:tr w:rsidR="00477237" w:rsidRPr="00D55C02" w14:paraId="3B5D66E3" w14:textId="77777777" w:rsidTr="00794BCE">
        <w:trPr>
          <w:trHeight w:val="20"/>
          <w:jc w:val="center"/>
        </w:trPr>
        <w:tc>
          <w:tcPr>
            <w:tcW w:w="0" w:type="auto"/>
            <w:hideMark/>
          </w:tcPr>
          <w:p w14:paraId="3D838E2A" w14:textId="637AE51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br/>
            </w:r>
          </w:p>
        </w:tc>
        <w:tc>
          <w:tcPr>
            <w:tcW w:w="1564" w:type="dxa"/>
            <w:hideMark/>
          </w:tcPr>
          <w:p w14:paraId="7AF1C73B" w14:textId="10910DE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States</w:t>
            </w:r>
          </w:p>
        </w:tc>
        <w:tc>
          <w:tcPr>
            <w:tcW w:w="2268" w:type="dxa"/>
            <w:hideMark/>
          </w:tcPr>
          <w:p w14:paraId="28752ACE" w14:textId="4EB180A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 xml:space="preserve">Net Non-Plan Revenue Position Without Devolution </w:t>
            </w:r>
            <w:proofErr w:type="gramStart"/>
            <w:r w:rsidRPr="00D55C02">
              <w:rPr>
                <w:rFonts w:ascii="Times New Roman" w:hAnsi="Times New Roman" w:cs="Times New Roman"/>
                <w:b/>
                <w:bCs/>
                <w:sz w:val="16"/>
                <w:szCs w:val="16"/>
              </w:rPr>
              <w:t>Of</w:t>
            </w:r>
            <w:proofErr w:type="gramEnd"/>
            <w:r w:rsidRPr="00D55C02">
              <w:rPr>
                <w:rFonts w:ascii="Times New Roman" w:hAnsi="Times New Roman" w:cs="Times New Roman"/>
                <w:b/>
                <w:bCs/>
                <w:sz w:val="16"/>
                <w:szCs w:val="16"/>
              </w:rPr>
              <w:t xml:space="preserve"> Taxes </w:t>
            </w:r>
            <w:proofErr w:type="gramStart"/>
            <w:r w:rsidRPr="00D55C02">
              <w:rPr>
                <w:rFonts w:ascii="Times New Roman" w:hAnsi="Times New Roman" w:cs="Times New Roman"/>
                <w:b/>
                <w:bCs/>
                <w:sz w:val="16"/>
                <w:szCs w:val="16"/>
              </w:rPr>
              <w:t>And</w:t>
            </w:r>
            <w:proofErr w:type="gramEnd"/>
            <w:r w:rsidRPr="00D55C02">
              <w:rPr>
                <w:rFonts w:ascii="Times New Roman" w:hAnsi="Times New Roman" w:cs="Times New Roman"/>
                <w:b/>
                <w:bCs/>
                <w:sz w:val="16"/>
                <w:szCs w:val="16"/>
              </w:rPr>
              <w:t xml:space="preserve"> Duties</w:t>
            </w:r>
          </w:p>
        </w:tc>
        <w:tc>
          <w:tcPr>
            <w:tcW w:w="2268" w:type="dxa"/>
            <w:hideMark/>
          </w:tcPr>
          <w:p w14:paraId="31F7EACB" w14:textId="54AAF9A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 xml:space="preserve">Net Non-Plan Revenue Surplus After Devolution </w:t>
            </w:r>
            <w:proofErr w:type="gramStart"/>
            <w:r w:rsidRPr="00D55C02">
              <w:rPr>
                <w:rFonts w:ascii="Times New Roman" w:hAnsi="Times New Roman" w:cs="Times New Roman"/>
                <w:b/>
                <w:bCs/>
                <w:sz w:val="16"/>
                <w:szCs w:val="16"/>
              </w:rPr>
              <w:t>Of</w:t>
            </w:r>
            <w:proofErr w:type="gramEnd"/>
            <w:r w:rsidRPr="00D55C02">
              <w:rPr>
                <w:rFonts w:ascii="Times New Roman" w:hAnsi="Times New Roman" w:cs="Times New Roman"/>
                <w:b/>
                <w:bCs/>
                <w:sz w:val="16"/>
                <w:szCs w:val="16"/>
              </w:rPr>
              <w:t xml:space="preserve"> Taxes </w:t>
            </w:r>
            <w:proofErr w:type="gramStart"/>
            <w:r w:rsidRPr="00D55C02">
              <w:rPr>
                <w:rFonts w:ascii="Times New Roman" w:hAnsi="Times New Roman" w:cs="Times New Roman"/>
                <w:b/>
                <w:bCs/>
                <w:sz w:val="16"/>
                <w:szCs w:val="16"/>
              </w:rPr>
              <w:t>And</w:t>
            </w:r>
            <w:proofErr w:type="gramEnd"/>
            <w:r w:rsidRPr="00D55C02">
              <w:rPr>
                <w:rFonts w:ascii="Times New Roman" w:hAnsi="Times New Roman" w:cs="Times New Roman"/>
                <w:b/>
                <w:bCs/>
                <w:sz w:val="16"/>
                <w:szCs w:val="16"/>
              </w:rPr>
              <w:t xml:space="preserve"> Duties</w:t>
            </w:r>
          </w:p>
        </w:tc>
        <w:tc>
          <w:tcPr>
            <w:tcW w:w="2268" w:type="dxa"/>
            <w:hideMark/>
          </w:tcPr>
          <w:p w14:paraId="0EF72BF1" w14:textId="7C6CA8C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 xml:space="preserve">Net Non-Plan Revenue Deficit After Devolution </w:t>
            </w:r>
            <w:proofErr w:type="gramStart"/>
            <w:r w:rsidRPr="00D55C02">
              <w:rPr>
                <w:rFonts w:ascii="Times New Roman" w:hAnsi="Times New Roman" w:cs="Times New Roman"/>
                <w:b/>
                <w:bCs/>
                <w:sz w:val="16"/>
                <w:szCs w:val="16"/>
              </w:rPr>
              <w:t>Of</w:t>
            </w:r>
            <w:proofErr w:type="gramEnd"/>
            <w:r w:rsidRPr="00D55C02">
              <w:rPr>
                <w:rFonts w:ascii="Times New Roman" w:hAnsi="Times New Roman" w:cs="Times New Roman"/>
                <w:b/>
                <w:bCs/>
                <w:sz w:val="16"/>
                <w:szCs w:val="16"/>
              </w:rPr>
              <w:t xml:space="preserve"> Taxes </w:t>
            </w:r>
            <w:proofErr w:type="gramStart"/>
            <w:r w:rsidRPr="00D55C02">
              <w:rPr>
                <w:rFonts w:ascii="Times New Roman" w:hAnsi="Times New Roman" w:cs="Times New Roman"/>
                <w:b/>
                <w:bCs/>
                <w:sz w:val="16"/>
                <w:szCs w:val="16"/>
              </w:rPr>
              <w:t>And</w:t>
            </w:r>
            <w:proofErr w:type="gramEnd"/>
            <w:r w:rsidRPr="00D55C02">
              <w:rPr>
                <w:rFonts w:ascii="Times New Roman" w:hAnsi="Times New Roman" w:cs="Times New Roman"/>
                <w:b/>
                <w:bCs/>
                <w:sz w:val="16"/>
                <w:szCs w:val="16"/>
              </w:rPr>
              <w:t xml:space="preserve"> Duties</w:t>
            </w:r>
          </w:p>
        </w:tc>
      </w:tr>
      <w:tr w:rsidR="00477237" w:rsidRPr="00D55C02" w14:paraId="02B81617" w14:textId="77777777" w:rsidTr="00794BCE">
        <w:trPr>
          <w:trHeight w:val="20"/>
          <w:jc w:val="center"/>
        </w:trPr>
        <w:tc>
          <w:tcPr>
            <w:tcW w:w="0" w:type="auto"/>
            <w:hideMark/>
          </w:tcPr>
          <w:p w14:paraId="0940DDFF" w14:textId="23EAADD9"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w:t>
            </w:r>
          </w:p>
        </w:tc>
        <w:tc>
          <w:tcPr>
            <w:tcW w:w="1564" w:type="dxa"/>
            <w:hideMark/>
          </w:tcPr>
          <w:p w14:paraId="189136B6" w14:textId="3E00D99F"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Andhra Pradesh</w:t>
            </w:r>
          </w:p>
        </w:tc>
        <w:tc>
          <w:tcPr>
            <w:tcW w:w="2268" w:type="dxa"/>
            <w:vAlign w:val="center"/>
            <w:hideMark/>
          </w:tcPr>
          <w:p w14:paraId="15ECAB01" w14:textId="211507D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2286.25</w:t>
            </w:r>
          </w:p>
        </w:tc>
        <w:tc>
          <w:tcPr>
            <w:tcW w:w="2268" w:type="dxa"/>
            <w:vAlign w:val="center"/>
            <w:hideMark/>
          </w:tcPr>
          <w:p w14:paraId="3368F265" w14:textId="484CBDEB"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4289.22</w:t>
            </w:r>
          </w:p>
        </w:tc>
        <w:tc>
          <w:tcPr>
            <w:tcW w:w="2268" w:type="dxa"/>
            <w:vAlign w:val="center"/>
            <w:hideMark/>
          </w:tcPr>
          <w:p w14:paraId="5C27ECE6" w14:textId="431EB052"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26186705" w14:textId="77777777" w:rsidTr="00794BCE">
        <w:trPr>
          <w:trHeight w:val="20"/>
          <w:jc w:val="center"/>
        </w:trPr>
        <w:tc>
          <w:tcPr>
            <w:tcW w:w="0" w:type="auto"/>
            <w:hideMark/>
          </w:tcPr>
          <w:p w14:paraId="6B341E5C" w14:textId="586A05B4"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w:t>
            </w:r>
          </w:p>
        </w:tc>
        <w:tc>
          <w:tcPr>
            <w:tcW w:w="1564" w:type="dxa"/>
            <w:hideMark/>
          </w:tcPr>
          <w:p w14:paraId="497D9D7E" w14:textId="50270213"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Arunachal Pradesh</w:t>
            </w:r>
          </w:p>
        </w:tc>
        <w:tc>
          <w:tcPr>
            <w:tcW w:w="2268" w:type="dxa"/>
            <w:vAlign w:val="center"/>
            <w:hideMark/>
          </w:tcPr>
          <w:p w14:paraId="730FD518" w14:textId="007CE30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827.38</w:t>
            </w:r>
          </w:p>
        </w:tc>
        <w:tc>
          <w:tcPr>
            <w:tcW w:w="2268" w:type="dxa"/>
            <w:vAlign w:val="center"/>
            <w:hideMark/>
          </w:tcPr>
          <w:p w14:paraId="416EF041" w14:textId="521D5DE0"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5803D53D" w14:textId="6ACCC51F"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302.79</w:t>
            </w:r>
          </w:p>
        </w:tc>
      </w:tr>
      <w:tr w:rsidR="00477237" w:rsidRPr="00D55C02" w14:paraId="7E109FC5" w14:textId="77777777" w:rsidTr="00794BCE">
        <w:trPr>
          <w:trHeight w:val="20"/>
          <w:jc w:val="center"/>
        </w:trPr>
        <w:tc>
          <w:tcPr>
            <w:tcW w:w="0" w:type="auto"/>
            <w:hideMark/>
          </w:tcPr>
          <w:p w14:paraId="1134E6D6" w14:textId="0D917AC8"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3.</w:t>
            </w:r>
          </w:p>
        </w:tc>
        <w:tc>
          <w:tcPr>
            <w:tcW w:w="1564" w:type="dxa"/>
            <w:hideMark/>
          </w:tcPr>
          <w:p w14:paraId="3588662D" w14:textId="62935976"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Assam</w:t>
            </w:r>
          </w:p>
        </w:tc>
        <w:tc>
          <w:tcPr>
            <w:tcW w:w="2268" w:type="dxa"/>
            <w:vAlign w:val="center"/>
            <w:hideMark/>
          </w:tcPr>
          <w:p w14:paraId="4CC49C4C" w14:textId="179AE37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3529.89</w:t>
            </w:r>
          </w:p>
        </w:tc>
        <w:tc>
          <w:tcPr>
            <w:tcW w:w="2268" w:type="dxa"/>
            <w:vAlign w:val="center"/>
            <w:hideMark/>
          </w:tcPr>
          <w:p w14:paraId="2DACE22F" w14:textId="2C150C85"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5C6DDEFE" w14:textId="6D2DAE4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560.32</w:t>
            </w:r>
          </w:p>
        </w:tc>
      </w:tr>
      <w:tr w:rsidR="00477237" w:rsidRPr="00D55C02" w14:paraId="6E2B62BA" w14:textId="77777777" w:rsidTr="00794BCE">
        <w:trPr>
          <w:trHeight w:val="20"/>
          <w:jc w:val="center"/>
        </w:trPr>
        <w:tc>
          <w:tcPr>
            <w:tcW w:w="0" w:type="auto"/>
            <w:hideMark/>
          </w:tcPr>
          <w:p w14:paraId="5ECE3F2D" w14:textId="46EAC0A4"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w:t>
            </w:r>
          </w:p>
        </w:tc>
        <w:tc>
          <w:tcPr>
            <w:tcW w:w="1564" w:type="dxa"/>
            <w:hideMark/>
          </w:tcPr>
          <w:p w14:paraId="295A8FDE" w14:textId="43CED539"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Bihar</w:t>
            </w:r>
          </w:p>
        </w:tc>
        <w:tc>
          <w:tcPr>
            <w:tcW w:w="2268" w:type="dxa"/>
            <w:vAlign w:val="center"/>
            <w:hideMark/>
          </w:tcPr>
          <w:p w14:paraId="124E0E6B" w14:textId="7C9BA40D"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7095.38</w:t>
            </w:r>
          </w:p>
        </w:tc>
        <w:tc>
          <w:tcPr>
            <w:tcW w:w="2268" w:type="dxa"/>
            <w:vAlign w:val="center"/>
            <w:hideMark/>
          </w:tcPr>
          <w:p w14:paraId="578BDF62" w14:textId="40D50F3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2575.15</w:t>
            </w:r>
          </w:p>
        </w:tc>
        <w:tc>
          <w:tcPr>
            <w:tcW w:w="2268" w:type="dxa"/>
            <w:vAlign w:val="center"/>
            <w:hideMark/>
          </w:tcPr>
          <w:p w14:paraId="2C059B81" w14:textId="48B5EF86"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7ACC05F4" w14:textId="77777777" w:rsidTr="00794BCE">
        <w:trPr>
          <w:trHeight w:val="20"/>
          <w:jc w:val="center"/>
        </w:trPr>
        <w:tc>
          <w:tcPr>
            <w:tcW w:w="0" w:type="auto"/>
            <w:hideMark/>
          </w:tcPr>
          <w:p w14:paraId="1177629F" w14:textId="123582D0"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5.</w:t>
            </w:r>
          </w:p>
        </w:tc>
        <w:tc>
          <w:tcPr>
            <w:tcW w:w="1564" w:type="dxa"/>
            <w:hideMark/>
          </w:tcPr>
          <w:p w14:paraId="2C0F3AB7" w14:textId="470FD213"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Goa</w:t>
            </w:r>
          </w:p>
        </w:tc>
        <w:tc>
          <w:tcPr>
            <w:tcW w:w="2268" w:type="dxa"/>
            <w:vAlign w:val="center"/>
            <w:hideMark/>
          </w:tcPr>
          <w:p w14:paraId="5F4C46DC" w14:textId="6A63065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505.12</w:t>
            </w:r>
          </w:p>
        </w:tc>
        <w:tc>
          <w:tcPr>
            <w:tcW w:w="2268" w:type="dxa"/>
            <w:vAlign w:val="center"/>
            <w:hideMark/>
          </w:tcPr>
          <w:p w14:paraId="0C475199" w14:textId="73F73748"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27120EBC" w14:textId="11A74C3F"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166.58</w:t>
            </w:r>
          </w:p>
        </w:tc>
      </w:tr>
      <w:tr w:rsidR="00477237" w:rsidRPr="00D55C02" w14:paraId="262000C9" w14:textId="77777777" w:rsidTr="00794BCE">
        <w:trPr>
          <w:trHeight w:val="20"/>
          <w:jc w:val="center"/>
        </w:trPr>
        <w:tc>
          <w:tcPr>
            <w:tcW w:w="0" w:type="auto"/>
            <w:hideMark/>
          </w:tcPr>
          <w:p w14:paraId="000D62AC" w14:textId="4DE08DDF"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6.</w:t>
            </w:r>
          </w:p>
        </w:tc>
        <w:tc>
          <w:tcPr>
            <w:tcW w:w="1564" w:type="dxa"/>
            <w:hideMark/>
          </w:tcPr>
          <w:p w14:paraId="1C8F0BDF" w14:textId="7B3691F3"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Gujarat</w:t>
            </w:r>
          </w:p>
        </w:tc>
        <w:tc>
          <w:tcPr>
            <w:tcW w:w="2268" w:type="dxa"/>
            <w:vAlign w:val="center"/>
            <w:hideMark/>
          </w:tcPr>
          <w:p w14:paraId="36C72402" w14:textId="0483402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563.26</w:t>
            </w:r>
          </w:p>
        </w:tc>
        <w:tc>
          <w:tcPr>
            <w:tcW w:w="2268" w:type="dxa"/>
            <w:vAlign w:val="center"/>
            <w:hideMark/>
          </w:tcPr>
          <w:p w14:paraId="10BD3879" w14:textId="7239192D"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3957.94</w:t>
            </w:r>
          </w:p>
        </w:tc>
        <w:tc>
          <w:tcPr>
            <w:tcW w:w="2268" w:type="dxa"/>
            <w:vAlign w:val="center"/>
            <w:hideMark/>
          </w:tcPr>
          <w:p w14:paraId="462C21F8" w14:textId="1387C46B"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5FB6CF46" w14:textId="77777777" w:rsidTr="00794BCE">
        <w:trPr>
          <w:trHeight w:val="20"/>
          <w:jc w:val="center"/>
        </w:trPr>
        <w:tc>
          <w:tcPr>
            <w:tcW w:w="0" w:type="auto"/>
            <w:hideMark/>
          </w:tcPr>
          <w:p w14:paraId="34CAE2C1" w14:textId="064F118B"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7.</w:t>
            </w:r>
          </w:p>
        </w:tc>
        <w:tc>
          <w:tcPr>
            <w:tcW w:w="1564" w:type="dxa"/>
            <w:hideMark/>
          </w:tcPr>
          <w:p w14:paraId="6669E7BE" w14:textId="70D81F79"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Haryana</w:t>
            </w:r>
          </w:p>
        </w:tc>
        <w:tc>
          <w:tcPr>
            <w:tcW w:w="2268" w:type="dxa"/>
            <w:vAlign w:val="center"/>
            <w:hideMark/>
          </w:tcPr>
          <w:p w14:paraId="07EC57DE" w14:textId="5E40E4CB"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1374.00</w:t>
            </w:r>
          </w:p>
        </w:tc>
        <w:tc>
          <w:tcPr>
            <w:tcW w:w="2268" w:type="dxa"/>
            <w:vAlign w:val="center"/>
            <w:hideMark/>
          </w:tcPr>
          <w:p w14:paraId="10F38C16" w14:textId="70038BC0"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2505.06</w:t>
            </w:r>
          </w:p>
        </w:tc>
        <w:tc>
          <w:tcPr>
            <w:tcW w:w="2268" w:type="dxa"/>
            <w:vAlign w:val="center"/>
            <w:hideMark/>
          </w:tcPr>
          <w:p w14:paraId="6A51D074" w14:textId="53153691"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5C1B30D2" w14:textId="77777777" w:rsidTr="00794BCE">
        <w:trPr>
          <w:trHeight w:val="20"/>
          <w:jc w:val="center"/>
        </w:trPr>
        <w:tc>
          <w:tcPr>
            <w:tcW w:w="0" w:type="auto"/>
            <w:hideMark/>
          </w:tcPr>
          <w:p w14:paraId="033AA82B" w14:textId="46AF495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8.</w:t>
            </w:r>
          </w:p>
        </w:tc>
        <w:tc>
          <w:tcPr>
            <w:tcW w:w="1564" w:type="dxa"/>
            <w:hideMark/>
          </w:tcPr>
          <w:p w14:paraId="7C523722" w14:textId="06A04F00"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Himachal Pradesh</w:t>
            </w:r>
          </w:p>
        </w:tc>
        <w:tc>
          <w:tcPr>
            <w:tcW w:w="2268" w:type="dxa"/>
            <w:vAlign w:val="center"/>
            <w:hideMark/>
          </w:tcPr>
          <w:p w14:paraId="791A186C" w14:textId="531FC9BB"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1792.52</w:t>
            </w:r>
          </w:p>
        </w:tc>
        <w:tc>
          <w:tcPr>
            <w:tcW w:w="2268" w:type="dxa"/>
            <w:vAlign w:val="center"/>
            <w:hideMark/>
          </w:tcPr>
          <w:p w14:paraId="7927EEED" w14:textId="058ADF15"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0C05F881" w14:textId="0B9AEAA6"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523.09</w:t>
            </w:r>
          </w:p>
        </w:tc>
      </w:tr>
      <w:tr w:rsidR="00477237" w:rsidRPr="00D55C02" w14:paraId="1BC802BA" w14:textId="77777777" w:rsidTr="00794BCE">
        <w:trPr>
          <w:trHeight w:val="20"/>
          <w:jc w:val="center"/>
        </w:trPr>
        <w:tc>
          <w:tcPr>
            <w:tcW w:w="0" w:type="auto"/>
            <w:hideMark/>
          </w:tcPr>
          <w:p w14:paraId="1A2CDED4" w14:textId="1CC4CE4E"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9.</w:t>
            </w:r>
          </w:p>
        </w:tc>
        <w:tc>
          <w:tcPr>
            <w:tcW w:w="1564" w:type="dxa"/>
            <w:hideMark/>
          </w:tcPr>
          <w:p w14:paraId="466D2C21" w14:textId="28F933D8"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Jammu and Kashmir</w:t>
            </w:r>
          </w:p>
        </w:tc>
        <w:tc>
          <w:tcPr>
            <w:tcW w:w="2268" w:type="dxa"/>
            <w:vAlign w:val="center"/>
            <w:hideMark/>
          </w:tcPr>
          <w:p w14:paraId="6542C1E8" w14:textId="62AD7C50"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3300.44</w:t>
            </w:r>
          </w:p>
        </w:tc>
        <w:tc>
          <w:tcPr>
            <w:tcW w:w="2268" w:type="dxa"/>
            <w:vAlign w:val="center"/>
            <w:hideMark/>
          </w:tcPr>
          <w:p w14:paraId="4D15CBE7" w14:textId="3486E54D"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583C48F7" w14:textId="3F677BBF"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1083.12</w:t>
            </w:r>
          </w:p>
        </w:tc>
      </w:tr>
      <w:tr w:rsidR="00477237" w:rsidRPr="00D55C02" w14:paraId="3B348191" w14:textId="77777777" w:rsidTr="00794BCE">
        <w:trPr>
          <w:trHeight w:val="20"/>
          <w:jc w:val="center"/>
        </w:trPr>
        <w:tc>
          <w:tcPr>
            <w:tcW w:w="0" w:type="auto"/>
            <w:hideMark/>
          </w:tcPr>
          <w:p w14:paraId="631D48A0" w14:textId="14396A19"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10.</w:t>
            </w:r>
          </w:p>
        </w:tc>
        <w:tc>
          <w:tcPr>
            <w:tcW w:w="1564" w:type="dxa"/>
            <w:hideMark/>
          </w:tcPr>
          <w:p w14:paraId="7577FEA9" w14:textId="3DF5F392"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Karnataka</w:t>
            </w:r>
          </w:p>
        </w:tc>
        <w:tc>
          <w:tcPr>
            <w:tcW w:w="2268" w:type="dxa"/>
            <w:vAlign w:val="center"/>
            <w:hideMark/>
          </w:tcPr>
          <w:p w14:paraId="17717FC0" w14:textId="26FED9FF"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708.77</w:t>
            </w:r>
          </w:p>
        </w:tc>
        <w:tc>
          <w:tcPr>
            <w:tcW w:w="2268" w:type="dxa"/>
            <w:vAlign w:val="center"/>
            <w:hideMark/>
          </w:tcPr>
          <w:p w14:paraId="783EA105" w14:textId="3A7C2076"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4870.79</w:t>
            </w:r>
          </w:p>
        </w:tc>
        <w:tc>
          <w:tcPr>
            <w:tcW w:w="2268" w:type="dxa"/>
            <w:vAlign w:val="center"/>
            <w:hideMark/>
          </w:tcPr>
          <w:p w14:paraId="15B42678" w14:textId="46F621D0"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44C8E86C" w14:textId="77777777" w:rsidTr="00794BCE">
        <w:trPr>
          <w:trHeight w:val="20"/>
          <w:jc w:val="center"/>
        </w:trPr>
        <w:tc>
          <w:tcPr>
            <w:tcW w:w="0" w:type="auto"/>
            <w:hideMark/>
          </w:tcPr>
          <w:p w14:paraId="685B6573" w14:textId="0FE5160D"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11.</w:t>
            </w:r>
          </w:p>
        </w:tc>
        <w:tc>
          <w:tcPr>
            <w:tcW w:w="1564" w:type="dxa"/>
            <w:hideMark/>
          </w:tcPr>
          <w:p w14:paraId="154FDB73" w14:textId="2101D765"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Kerala</w:t>
            </w:r>
          </w:p>
        </w:tc>
        <w:tc>
          <w:tcPr>
            <w:tcW w:w="2268" w:type="dxa"/>
            <w:vAlign w:val="center"/>
            <w:hideMark/>
          </w:tcPr>
          <w:p w14:paraId="33A2891E" w14:textId="44D053E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2916.81</w:t>
            </w:r>
          </w:p>
        </w:tc>
        <w:tc>
          <w:tcPr>
            <w:tcW w:w="2268" w:type="dxa"/>
            <w:vAlign w:val="center"/>
            <w:hideMark/>
          </w:tcPr>
          <w:p w14:paraId="7D732288" w14:textId="5A23C3C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2.29</w:t>
            </w:r>
          </w:p>
        </w:tc>
        <w:tc>
          <w:tcPr>
            <w:tcW w:w="2268" w:type="dxa"/>
            <w:vAlign w:val="center"/>
            <w:hideMark/>
          </w:tcPr>
          <w:p w14:paraId="4500A50E" w14:textId="2919F179"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3B9FE3A8" w14:textId="77777777" w:rsidTr="00794BCE">
        <w:trPr>
          <w:trHeight w:val="20"/>
          <w:jc w:val="center"/>
        </w:trPr>
        <w:tc>
          <w:tcPr>
            <w:tcW w:w="0" w:type="auto"/>
            <w:hideMark/>
          </w:tcPr>
          <w:p w14:paraId="6A894502" w14:textId="481F811F"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12.</w:t>
            </w:r>
          </w:p>
        </w:tc>
        <w:tc>
          <w:tcPr>
            <w:tcW w:w="1564" w:type="dxa"/>
            <w:hideMark/>
          </w:tcPr>
          <w:p w14:paraId="2F294C66" w14:textId="29989621"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Madhya Pradesh</w:t>
            </w:r>
          </w:p>
        </w:tc>
        <w:tc>
          <w:tcPr>
            <w:tcW w:w="2268" w:type="dxa"/>
            <w:vAlign w:val="center"/>
            <w:hideMark/>
          </w:tcPr>
          <w:p w14:paraId="5E64A365" w14:textId="4D0F2A2C"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5306.50</w:t>
            </w:r>
          </w:p>
        </w:tc>
        <w:tc>
          <w:tcPr>
            <w:tcW w:w="2268" w:type="dxa"/>
            <w:vAlign w:val="center"/>
            <w:hideMark/>
          </w:tcPr>
          <w:p w14:paraId="55DD3853" w14:textId="5D093608"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1227.98</w:t>
            </w:r>
          </w:p>
        </w:tc>
        <w:tc>
          <w:tcPr>
            <w:tcW w:w="2268" w:type="dxa"/>
            <w:vAlign w:val="center"/>
            <w:hideMark/>
          </w:tcPr>
          <w:p w14:paraId="22C6B1CE" w14:textId="456AA773"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0E766FF7" w14:textId="77777777" w:rsidTr="00794BCE">
        <w:trPr>
          <w:trHeight w:val="20"/>
          <w:jc w:val="center"/>
        </w:trPr>
        <w:tc>
          <w:tcPr>
            <w:tcW w:w="0" w:type="auto"/>
            <w:hideMark/>
          </w:tcPr>
          <w:p w14:paraId="7FED8A3B" w14:textId="420A6CA6"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13.</w:t>
            </w:r>
          </w:p>
        </w:tc>
        <w:tc>
          <w:tcPr>
            <w:tcW w:w="1564" w:type="dxa"/>
            <w:hideMark/>
          </w:tcPr>
          <w:p w14:paraId="56DCF058" w14:textId="32D78966"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Maharashtra</w:t>
            </w:r>
          </w:p>
        </w:tc>
        <w:tc>
          <w:tcPr>
            <w:tcW w:w="2268" w:type="dxa"/>
            <w:vAlign w:val="center"/>
            <w:hideMark/>
          </w:tcPr>
          <w:p w14:paraId="74FD43FF" w14:textId="5FA2DE1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5489.20</w:t>
            </w:r>
          </w:p>
        </w:tc>
        <w:tc>
          <w:tcPr>
            <w:tcW w:w="2268" w:type="dxa"/>
            <w:vAlign w:val="center"/>
            <w:hideMark/>
          </w:tcPr>
          <w:p w14:paraId="33267A49" w14:textId="63A0CF70"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11525.56</w:t>
            </w:r>
          </w:p>
        </w:tc>
        <w:tc>
          <w:tcPr>
            <w:tcW w:w="2268" w:type="dxa"/>
            <w:vAlign w:val="center"/>
            <w:hideMark/>
          </w:tcPr>
          <w:p w14:paraId="662E04AE" w14:textId="2B42F705"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2765DB25" w14:textId="77777777" w:rsidTr="00794BCE">
        <w:trPr>
          <w:trHeight w:val="20"/>
          <w:jc w:val="center"/>
        </w:trPr>
        <w:tc>
          <w:tcPr>
            <w:tcW w:w="0" w:type="auto"/>
            <w:hideMark/>
          </w:tcPr>
          <w:p w14:paraId="70B207A8" w14:textId="249EC400"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14.</w:t>
            </w:r>
          </w:p>
        </w:tc>
        <w:tc>
          <w:tcPr>
            <w:tcW w:w="1564" w:type="dxa"/>
            <w:hideMark/>
          </w:tcPr>
          <w:p w14:paraId="78DCA952" w14:textId="050600DC"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Manipur</w:t>
            </w:r>
          </w:p>
        </w:tc>
        <w:tc>
          <w:tcPr>
            <w:tcW w:w="2268" w:type="dxa"/>
            <w:vAlign w:val="center"/>
            <w:hideMark/>
          </w:tcPr>
          <w:p w14:paraId="4458A134" w14:textId="1F3BD73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1081.72</w:t>
            </w:r>
          </w:p>
        </w:tc>
        <w:tc>
          <w:tcPr>
            <w:tcW w:w="2268" w:type="dxa"/>
            <w:vAlign w:val="center"/>
            <w:hideMark/>
          </w:tcPr>
          <w:p w14:paraId="172D2FD2" w14:textId="55BC1EE3"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3B903C4B" w14:textId="07A176D8"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371.65</w:t>
            </w:r>
          </w:p>
        </w:tc>
      </w:tr>
      <w:tr w:rsidR="00477237" w:rsidRPr="00D55C02" w14:paraId="591E8505" w14:textId="77777777" w:rsidTr="00794BCE">
        <w:trPr>
          <w:trHeight w:val="20"/>
          <w:jc w:val="center"/>
        </w:trPr>
        <w:tc>
          <w:tcPr>
            <w:tcW w:w="0" w:type="auto"/>
            <w:hideMark/>
          </w:tcPr>
          <w:p w14:paraId="0994E260" w14:textId="678C81FD"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15.</w:t>
            </w:r>
          </w:p>
        </w:tc>
        <w:tc>
          <w:tcPr>
            <w:tcW w:w="1564" w:type="dxa"/>
            <w:hideMark/>
          </w:tcPr>
          <w:p w14:paraId="2FBD3EBD" w14:textId="5008F5AB"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Meghalaya</w:t>
            </w:r>
          </w:p>
        </w:tc>
        <w:tc>
          <w:tcPr>
            <w:tcW w:w="2268" w:type="dxa"/>
            <w:vAlign w:val="center"/>
            <w:hideMark/>
          </w:tcPr>
          <w:p w14:paraId="0A1CA58A" w14:textId="6CC32445"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814.39</w:t>
            </w:r>
          </w:p>
        </w:tc>
        <w:tc>
          <w:tcPr>
            <w:tcW w:w="2268" w:type="dxa"/>
            <w:vAlign w:val="center"/>
            <w:hideMark/>
          </w:tcPr>
          <w:p w14:paraId="0807608D" w14:textId="15535EC3"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1E0FA44B" w14:textId="1F86FB7B"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256.18</w:t>
            </w:r>
          </w:p>
        </w:tc>
      </w:tr>
      <w:tr w:rsidR="00477237" w:rsidRPr="00D55C02" w14:paraId="36854B5D" w14:textId="77777777" w:rsidTr="00794BCE">
        <w:trPr>
          <w:trHeight w:val="20"/>
          <w:jc w:val="center"/>
        </w:trPr>
        <w:tc>
          <w:tcPr>
            <w:tcW w:w="0" w:type="auto"/>
            <w:hideMark/>
          </w:tcPr>
          <w:p w14:paraId="02E1FE5E" w14:textId="419BA4DC"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16.</w:t>
            </w:r>
          </w:p>
        </w:tc>
        <w:tc>
          <w:tcPr>
            <w:tcW w:w="1564" w:type="dxa"/>
            <w:hideMark/>
          </w:tcPr>
          <w:p w14:paraId="32E7FEB1" w14:textId="0F78B760"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Mizoram</w:t>
            </w:r>
          </w:p>
        </w:tc>
        <w:tc>
          <w:tcPr>
            <w:tcW w:w="2268" w:type="dxa"/>
            <w:vAlign w:val="center"/>
            <w:hideMark/>
          </w:tcPr>
          <w:p w14:paraId="09229C08" w14:textId="4A4296E6"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1017.26</w:t>
            </w:r>
          </w:p>
        </w:tc>
        <w:tc>
          <w:tcPr>
            <w:tcW w:w="2268" w:type="dxa"/>
            <w:vAlign w:val="center"/>
            <w:hideMark/>
          </w:tcPr>
          <w:p w14:paraId="0FC88D37" w14:textId="77A3C3B4"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1BDE3433" w14:textId="38026D62"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379.79</w:t>
            </w:r>
          </w:p>
        </w:tc>
      </w:tr>
      <w:tr w:rsidR="00477237" w:rsidRPr="00D55C02" w14:paraId="47B99402" w14:textId="77777777" w:rsidTr="00794BCE">
        <w:trPr>
          <w:trHeight w:val="20"/>
          <w:jc w:val="center"/>
        </w:trPr>
        <w:tc>
          <w:tcPr>
            <w:tcW w:w="0" w:type="auto"/>
            <w:hideMark/>
          </w:tcPr>
          <w:p w14:paraId="32A90986" w14:textId="1F2BD960"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17.</w:t>
            </w:r>
          </w:p>
        </w:tc>
        <w:tc>
          <w:tcPr>
            <w:tcW w:w="1564" w:type="dxa"/>
            <w:hideMark/>
          </w:tcPr>
          <w:p w14:paraId="19DF323F" w14:textId="3B69EFC1"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Nagaland</w:t>
            </w:r>
          </w:p>
        </w:tc>
        <w:tc>
          <w:tcPr>
            <w:tcW w:w="2268" w:type="dxa"/>
            <w:vAlign w:val="center"/>
            <w:hideMark/>
          </w:tcPr>
          <w:p w14:paraId="22976930" w14:textId="55BAC2A9"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1240.55</w:t>
            </w:r>
          </w:p>
        </w:tc>
        <w:tc>
          <w:tcPr>
            <w:tcW w:w="2268" w:type="dxa"/>
            <w:vAlign w:val="center"/>
            <w:hideMark/>
          </w:tcPr>
          <w:p w14:paraId="25AB2929" w14:textId="78CABA90"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3256D1C0" w14:textId="5F23DEC6"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458.67</w:t>
            </w:r>
          </w:p>
        </w:tc>
      </w:tr>
      <w:tr w:rsidR="00477237" w:rsidRPr="00D55C02" w14:paraId="66AB8219" w14:textId="77777777" w:rsidTr="00794BCE">
        <w:trPr>
          <w:trHeight w:val="20"/>
          <w:jc w:val="center"/>
        </w:trPr>
        <w:tc>
          <w:tcPr>
            <w:tcW w:w="0" w:type="auto"/>
            <w:hideMark/>
          </w:tcPr>
          <w:p w14:paraId="356FE1BA" w14:textId="1AA907E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18.</w:t>
            </w:r>
          </w:p>
        </w:tc>
        <w:tc>
          <w:tcPr>
            <w:tcW w:w="1564" w:type="dxa"/>
            <w:hideMark/>
          </w:tcPr>
          <w:p w14:paraId="20335D9C" w14:textId="5C96A4D3"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Orissa</w:t>
            </w:r>
          </w:p>
        </w:tc>
        <w:tc>
          <w:tcPr>
            <w:tcW w:w="2268" w:type="dxa"/>
            <w:vAlign w:val="center"/>
            <w:hideMark/>
          </w:tcPr>
          <w:p w14:paraId="6D9AF69F" w14:textId="5B60793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4792.29</w:t>
            </w:r>
          </w:p>
        </w:tc>
        <w:tc>
          <w:tcPr>
            <w:tcW w:w="2268" w:type="dxa"/>
            <w:vAlign w:val="center"/>
            <w:hideMark/>
          </w:tcPr>
          <w:p w14:paraId="6CF42081" w14:textId="1F168700"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6C8FE0AF" w14:textId="16D3E709"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528.48</w:t>
            </w:r>
          </w:p>
        </w:tc>
      </w:tr>
      <w:tr w:rsidR="00477237" w:rsidRPr="00D55C02" w14:paraId="72B2CEC6" w14:textId="77777777" w:rsidTr="00794BCE">
        <w:trPr>
          <w:trHeight w:val="20"/>
          <w:jc w:val="center"/>
        </w:trPr>
        <w:tc>
          <w:tcPr>
            <w:tcW w:w="0" w:type="auto"/>
            <w:hideMark/>
          </w:tcPr>
          <w:p w14:paraId="5CAAE1E8" w14:textId="3D6FBB1E"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19.</w:t>
            </w:r>
          </w:p>
        </w:tc>
        <w:tc>
          <w:tcPr>
            <w:tcW w:w="1564" w:type="dxa"/>
            <w:hideMark/>
          </w:tcPr>
          <w:p w14:paraId="22A95F8B" w14:textId="41D354E5"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Punjab</w:t>
            </w:r>
          </w:p>
        </w:tc>
        <w:tc>
          <w:tcPr>
            <w:tcW w:w="2268" w:type="dxa"/>
            <w:vAlign w:val="center"/>
            <w:hideMark/>
          </w:tcPr>
          <w:p w14:paraId="56C31E4D" w14:textId="5941E89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114.77</w:t>
            </w:r>
          </w:p>
        </w:tc>
        <w:tc>
          <w:tcPr>
            <w:tcW w:w="2268" w:type="dxa"/>
            <w:vAlign w:val="center"/>
            <w:hideMark/>
          </w:tcPr>
          <w:p w14:paraId="166E62C4" w14:textId="7B28EA6E"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1400.45</w:t>
            </w:r>
          </w:p>
        </w:tc>
        <w:tc>
          <w:tcPr>
            <w:tcW w:w="2268" w:type="dxa"/>
            <w:vAlign w:val="center"/>
            <w:hideMark/>
          </w:tcPr>
          <w:p w14:paraId="23CFB72C" w14:textId="6BB6814F"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28767249" w14:textId="77777777" w:rsidTr="00794BCE">
        <w:trPr>
          <w:trHeight w:val="20"/>
          <w:jc w:val="center"/>
        </w:trPr>
        <w:tc>
          <w:tcPr>
            <w:tcW w:w="0" w:type="auto"/>
            <w:hideMark/>
          </w:tcPr>
          <w:p w14:paraId="50B3802F" w14:textId="2E28DD35"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20.</w:t>
            </w:r>
          </w:p>
        </w:tc>
        <w:tc>
          <w:tcPr>
            <w:tcW w:w="1564" w:type="dxa"/>
            <w:hideMark/>
          </w:tcPr>
          <w:p w14:paraId="11496777" w14:textId="4F4A4494"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Rajasthan</w:t>
            </w:r>
          </w:p>
        </w:tc>
        <w:tc>
          <w:tcPr>
            <w:tcW w:w="2268" w:type="dxa"/>
            <w:vAlign w:val="center"/>
            <w:hideMark/>
          </w:tcPr>
          <w:p w14:paraId="4812F248" w14:textId="7B6AFAF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5100.22</w:t>
            </w:r>
          </w:p>
        </w:tc>
        <w:tc>
          <w:tcPr>
            <w:tcW w:w="2268" w:type="dxa"/>
            <w:vAlign w:val="center"/>
            <w:hideMark/>
          </w:tcPr>
          <w:p w14:paraId="19E59AE3" w14:textId="522B48B9"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1873AB11" w14:textId="2F1D88E5"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486.39</w:t>
            </w:r>
          </w:p>
        </w:tc>
      </w:tr>
      <w:tr w:rsidR="00477237" w:rsidRPr="00D55C02" w14:paraId="04499F07" w14:textId="77777777" w:rsidTr="00794BCE">
        <w:trPr>
          <w:trHeight w:val="20"/>
          <w:jc w:val="center"/>
        </w:trPr>
        <w:tc>
          <w:tcPr>
            <w:tcW w:w="0" w:type="auto"/>
            <w:hideMark/>
          </w:tcPr>
          <w:p w14:paraId="630B1C74" w14:textId="3C954953"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21.</w:t>
            </w:r>
          </w:p>
        </w:tc>
        <w:tc>
          <w:tcPr>
            <w:tcW w:w="1564" w:type="dxa"/>
            <w:hideMark/>
          </w:tcPr>
          <w:p w14:paraId="3C4F8859" w14:textId="71934C1E"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Sikkim</w:t>
            </w:r>
          </w:p>
        </w:tc>
        <w:tc>
          <w:tcPr>
            <w:tcW w:w="2268" w:type="dxa"/>
            <w:vAlign w:val="center"/>
            <w:hideMark/>
          </w:tcPr>
          <w:p w14:paraId="522EA1FC" w14:textId="2792D702"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240.93</w:t>
            </w:r>
          </w:p>
        </w:tc>
        <w:tc>
          <w:tcPr>
            <w:tcW w:w="2268" w:type="dxa"/>
            <w:vAlign w:val="center"/>
            <w:hideMark/>
          </w:tcPr>
          <w:p w14:paraId="620930B6" w14:textId="474F205F"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159EB31A" w14:textId="42CCD728"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84.68</w:t>
            </w:r>
          </w:p>
        </w:tc>
      </w:tr>
      <w:tr w:rsidR="00477237" w:rsidRPr="00D55C02" w14:paraId="49966470" w14:textId="77777777" w:rsidTr="00794BCE">
        <w:trPr>
          <w:trHeight w:val="20"/>
          <w:jc w:val="center"/>
        </w:trPr>
        <w:tc>
          <w:tcPr>
            <w:tcW w:w="0" w:type="auto"/>
            <w:hideMark/>
          </w:tcPr>
          <w:p w14:paraId="176673F6" w14:textId="55B57C9C"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22.</w:t>
            </w:r>
          </w:p>
        </w:tc>
        <w:tc>
          <w:tcPr>
            <w:tcW w:w="1564" w:type="dxa"/>
            <w:hideMark/>
          </w:tcPr>
          <w:p w14:paraId="507B627B" w14:textId="2742BAFC"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Tamil Nadu</w:t>
            </w:r>
          </w:p>
        </w:tc>
        <w:tc>
          <w:tcPr>
            <w:tcW w:w="2268" w:type="dxa"/>
            <w:vAlign w:val="center"/>
            <w:hideMark/>
          </w:tcPr>
          <w:p w14:paraId="287DF8C7" w14:textId="57DCB02D"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1712.12</w:t>
            </w:r>
          </w:p>
        </w:tc>
        <w:tc>
          <w:tcPr>
            <w:tcW w:w="2268" w:type="dxa"/>
            <w:vAlign w:val="center"/>
            <w:hideMark/>
          </w:tcPr>
          <w:p w14:paraId="03BDB9F2" w14:textId="169ECC9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4296.04</w:t>
            </w:r>
          </w:p>
        </w:tc>
        <w:tc>
          <w:tcPr>
            <w:tcW w:w="2268" w:type="dxa"/>
            <w:vAlign w:val="center"/>
            <w:hideMark/>
          </w:tcPr>
          <w:p w14:paraId="20932F9D" w14:textId="651B88C2"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4257B94D" w14:textId="77777777" w:rsidTr="00794BCE">
        <w:trPr>
          <w:trHeight w:val="20"/>
          <w:jc w:val="center"/>
        </w:trPr>
        <w:tc>
          <w:tcPr>
            <w:tcW w:w="0" w:type="auto"/>
            <w:hideMark/>
          </w:tcPr>
          <w:p w14:paraId="299804B1" w14:textId="606458F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23.</w:t>
            </w:r>
          </w:p>
        </w:tc>
        <w:tc>
          <w:tcPr>
            <w:tcW w:w="1564" w:type="dxa"/>
            <w:hideMark/>
          </w:tcPr>
          <w:p w14:paraId="47F8B246" w14:textId="53E25941"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Tripura</w:t>
            </w:r>
          </w:p>
        </w:tc>
        <w:tc>
          <w:tcPr>
            <w:tcW w:w="2268" w:type="dxa"/>
            <w:vAlign w:val="center"/>
            <w:hideMark/>
          </w:tcPr>
          <w:p w14:paraId="2ADBF535" w14:textId="2EA8131A"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1422.67</w:t>
            </w:r>
          </w:p>
        </w:tc>
        <w:tc>
          <w:tcPr>
            <w:tcW w:w="2268" w:type="dxa"/>
            <w:vAlign w:val="center"/>
            <w:hideMark/>
          </w:tcPr>
          <w:p w14:paraId="535ABA8F" w14:textId="00F1ABAF"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5AB3E4A7" w14:textId="7C98C95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466.01</w:t>
            </w:r>
          </w:p>
        </w:tc>
      </w:tr>
      <w:tr w:rsidR="00477237" w:rsidRPr="00D55C02" w14:paraId="0DC752D4" w14:textId="77777777" w:rsidTr="00794BCE">
        <w:trPr>
          <w:trHeight w:val="20"/>
          <w:jc w:val="center"/>
        </w:trPr>
        <w:tc>
          <w:tcPr>
            <w:tcW w:w="0" w:type="auto"/>
            <w:hideMark/>
          </w:tcPr>
          <w:p w14:paraId="3A6CA89F" w14:textId="4418CE27"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24.</w:t>
            </w:r>
          </w:p>
        </w:tc>
        <w:tc>
          <w:tcPr>
            <w:tcW w:w="1564" w:type="dxa"/>
            <w:hideMark/>
          </w:tcPr>
          <w:p w14:paraId="758DB9F2" w14:textId="2F2CF969"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Uttar Pradesh</w:t>
            </w:r>
          </w:p>
        </w:tc>
        <w:tc>
          <w:tcPr>
            <w:tcW w:w="2268" w:type="dxa"/>
            <w:vAlign w:val="center"/>
            <w:hideMark/>
          </w:tcPr>
          <w:p w14:paraId="59235F1D" w14:textId="369265D5"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14225.14</w:t>
            </w:r>
          </w:p>
        </w:tc>
        <w:tc>
          <w:tcPr>
            <w:tcW w:w="2268" w:type="dxa"/>
            <w:vAlign w:val="center"/>
            <w:hideMark/>
          </w:tcPr>
          <w:p w14:paraId="3D04D272" w14:textId="29597B2A" w:rsidR="00477237" w:rsidRPr="00D55C02" w:rsidRDefault="00477237" w:rsidP="004E6F59">
            <w:pPr>
              <w:pStyle w:val="NoSpacing"/>
              <w:spacing w:line="180" w:lineRule="exact"/>
              <w:jc w:val="center"/>
              <w:rPr>
                <w:rFonts w:ascii="Times New Roman" w:hAnsi="Times New Roman" w:cs="Times New Roman"/>
                <w:sz w:val="16"/>
                <w:szCs w:val="16"/>
              </w:rPr>
            </w:pPr>
          </w:p>
        </w:tc>
        <w:tc>
          <w:tcPr>
            <w:tcW w:w="2268" w:type="dxa"/>
            <w:vAlign w:val="center"/>
            <w:hideMark/>
          </w:tcPr>
          <w:p w14:paraId="7D0A435D" w14:textId="134903A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348.60</w:t>
            </w:r>
          </w:p>
        </w:tc>
      </w:tr>
      <w:tr w:rsidR="00477237" w:rsidRPr="00D55C02" w14:paraId="2A9C6244" w14:textId="77777777" w:rsidTr="00794BCE">
        <w:trPr>
          <w:trHeight w:val="20"/>
          <w:jc w:val="center"/>
        </w:trPr>
        <w:tc>
          <w:tcPr>
            <w:tcW w:w="0" w:type="auto"/>
            <w:hideMark/>
          </w:tcPr>
          <w:p w14:paraId="32C15539" w14:textId="3965E0C5"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25.</w:t>
            </w:r>
          </w:p>
        </w:tc>
        <w:tc>
          <w:tcPr>
            <w:tcW w:w="1564" w:type="dxa"/>
            <w:hideMark/>
          </w:tcPr>
          <w:p w14:paraId="3DEF4D1D" w14:textId="2C117DC8"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sz w:val="16"/>
                <w:szCs w:val="16"/>
              </w:rPr>
              <w:t>West Bengal</w:t>
            </w:r>
          </w:p>
        </w:tc>
        <w:tc>
          <w:tcPr>
            <w:tcW w:w="2268" w:type="dxa"/>
            <w:vAlign w:val="center"/>
            <w:hideMark/>
          </w:tcPr>
          <w:p w14:paraId="206E3079" w14:textId="17C4EC8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 4678.98</w:t>
            </w:r>
          </w:p>
        </w:tc>
        <w:tc>
          <w:tcPr>
            <w:tcW w:w="2268" w:type="dxa"/>
            <w:vAlign w:val="center"/>
            <w:hideMark/>
          </w:tcPr>
          <w:p w14:paraId="3E464AC1" w14:textId="5A6F251E"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sz w:val="16"/>
                <w:szCs w:val="16"/>
              </w:rPr>
              <w:t>1581.77</w:t>
            </w:r>
          </w:p>
        </w:tc>
        <w:tc>
          <w:tcPr>
            <w:tcW w:w="2268" w:type="dxa"/>
            <w:vAlign w:val="center"/>
            <w:hideMark/>
          </w:tcPr>
          <w:p w14:paraId="29AE9BD1" w14:textId="74EFC889" w:rsidR="00477237" w:rsidRPr="00D55C02" w:rsidRDefault="00477237" w:rsidP="004E6F59">
            <w:pPr>
              <w:pStyle w:val="NoSpacing"/>
              <w:spacing w:line="180" w:lineRule="exact"/>
              <w:jc w:val="center"/>
              <w:rPr>
                <w:rFonts w:ascii="Times New Roman" w:hAnsi="Times New Roman" w:cs="Times New Roman"/>
                <w:sz w:val="16"/>
                <w:szCs w:val="16"/>
              </w:rPr>
            </w:pPr>
          </w:p>
        </w:tc>
      </w:tr>
      <w:tr w:rsidR="00477237" w:rsidRPr="00D55C02" w14:paraId="392CD2E2" w14:textId="77777777" w:rsidTr="00794BCE">
        <w:trPr>
          <w:trHeight w:val="20"/>
          <w:jc w:val="center"/>
        </w:trPr>
        <w:tc>
          <w:tcPr>
            <w:tcW w:w="0" w:type="auto"/>
            <w:hideMark/>
          </w:tcPr>
          <w:p w14:paraId="4C728D2A" w14:textId="77777777" w:rsidR="00477237" w:rsidRPr="00D55C02" w:rsidRDefault="00477237" w:rsidP="004E6F59">
            <w:pPr>
              <w:pStyle w:val="NoSpacing"/>
              <w:spacing w:line="180" w:lineRule="exact"/>
              <w:jc w:val="center"/>
              <w:rPr>
                <w:rFonts w:ascii="Times New Roman" w:hAnsi="Times New Roman" w:cs="Times New Roman"/>
                <w:sz w:val="16"/>
                <w:szCs w:val="16"/>
              </w:rPr>
            </w:pPr>
          </w:p>
        </w:tc>
        <w:tc>
          <w:tcPr>
            <w:tcW w:w="1564" w:type="dxa"/>
            <w:hideMark/>
          </w:tcPr>
          <w:p w14:paraId="619E6284" w14:textId="7EA6DD2A" w:rsidR="00477237" w:rsidRPr="00D55C02" w:rsidRDefault="00477237" w:rsidP="004E6F59">
            <w:pPr>
              <w:pStyle w:val="NoSpacing"/>
              <w:spacing w:line="180" w:lineRule="exact"/>
              <w:rPr>
                <w:rFonts w:ascii="Times New Roman" w:hAnsi="Times New Roman" w:cs="Times New Roman"/>
                <w:sz w:val="16"/>
                <w:szCs w:val="16"/>
              </w:rPr>
            </w:pPr>
            <w:r w:rsidRPr="00D55C02">
              <w:rPr>
                <w:rFonts w:ascii="Times New Roman" w:hAnsi="Times New Roman" w:cs="Times New Roman"/>
                <w:b/>
                <w:bCs/>
                <w:sz w:val="16"/>
                <w:szCs w:val="16"/>
              </w:rPr>
              <w:t>Total</w:t>
            </w:r>
          </w:p>
        </w:tc>
        <w:tc>
          <w:tcPr>
            <w:tcW w:w="2268" w:type="dxa"/>
            <w:vAlign w:val="center"/>
            <w:hideMark/>
          </w:tcPr>
          <w:p w14:paraId="4918CEC7" w14:textId="77777777" w:rsidR="00477237" w:rsidRPr="00D55C02" w:rsidRDefault="00477237" w:rsidP="004E6F59">
            <w:pPr>
              <w:pStyle w:val="NoSpacing"/>
              <w:spacing w:line="180" w:lineRule="exact"/>
              <w:jc w:val="center"/>
              <w:rPr>
                <w:rFonts w:ascii="Times New Roman" w:hAnsi="Times New Roman" w:cs="Times New Roman"/>
                <w:b/>
                <w:bCs/>
                <w:sz w:val="16"/>
                <w:szCs w:val="16"/>
              </w:rPr>
            </w:pPr>
            <w:r w:rsidRPr="00D55C02">
              <w:rPr>
                <w:rFonts w:ascii="Times New Roman" w:hAnsi="Times New Roman" w:cs="Times New Roman"/>
                <w:b/>
                <w:bCs/>
                <w:sz w:val="16"/>
                <w:szCs w:val="16"/>
              </w:rPr>
              <w:t>(-) 64001.33</w:t>
            </w:r>
          </w:p>
          <w:p w14:paraId="14364F20" w14:textId="2A77984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 8135.23</w:t>
            </w:r>
          </w:p>
        </w:tc>
        <w:tc>
          <w:tcPr>
            <w:tcW w:w="2268" w:type="dxa"/>
            <w:vAlign w:val="center"/>
            <w:hideMark/>
          </w:tcPr>
          <w:p w14:paraId="02864B0E" w14:textId="0EDACBC1"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38032.25</w:t>
            </w:r>
          </w:p>
        </w:tc>
        <w:tc>
          <w:tcPr>
            <w:tcW w:w="2268" w:type="dxa"/>
            <w:vAlign w:val="center"/>
            <w:hideMark/>
          </w:tcPr>
          <w:p w14:paraId="74FA160C" w14:textId="4E61EE92" w:rsidR="00477237" w:rsidRPr="00D55C02" w:rsidRDefault="00477237" w:rsidP="004E6F59">
            <w:pPr>
              <w:pStyle w:val="NoSpacing"/>
              <w:spacing w:line="180" w:lineRule="exact"/>
              <w:jc w:val="center"/>
              <w:rPr>
                <w:rFonts w:ascii="Times New Roman" w:hAnsi="Times New Roman" w:cs="Times New Roman"/>
                <w:sz w:val="16"/>
                <w:szCs w:val="16"/>
              </w:rPr>
            </w:pPr>
            <w:r w:rsidRPr="00D55C02">
              <w:rPr>
                <w:rFonts w:ascii="Times New Roman" w:hAnsi="Times New Roman" w:cs="Times New Roman"/>
                <w:b/>
                <w:bCs/>
                <w:sz w:val="16"/>
                <w:szCs w:val="16"/>
              </w:rPr>
              <w:t>6016.35</w:t>
            </w:r>
          </w:p>
        </w:tc>
      </w:tr>
    </w:tbl>
    <w:p w14:paraId="77A824F0" w14:textId="1A2FBAD2" w:rsidR="00A55EFE" w:rsidRPr="00794BCE" w:rsidRDefault="00A55EFE" w:rsidP="004E6F59">
      <w:pPr>
        <w:spacing w:after="0" w:line="180" w:lineRule="exact"/>
        <w:ind w:left="720" w:firstLine="720"/>
        <w:jc w:val="both"/>
        <w:rPr>
          <w:rFonts w:ascii="Times New Roman" w:hAnsi="Times New Roman" w:cs="Times New Roman"/>
          <w:sz w:val="16"/>
          <w:szCs w:val="16"/>
        </w:rPr>
      </w:pPr>
      <w:proofErr w:type="gramStart"/>
      <w:r w:rsidRPr="00794BCE">
        <w:rPr>
          <w:rFonts w:ascii="Times New Roman" w:hAnsi="Times New Roman" w:cs="Times New Roman"/>
          <w:sz w:val="16"/>
          <w:szCs w:val="16"/>
        </w:rPr>
        <w:t>Note:-</w:t>
      </w:r>
      <w:proofErr w:type="gramEnd"/>
      <w:r w:rsidRPr="00794BCE">
        <w:rPr>
          <w:rFonts w:ascii="Times New Roman" w:hAnsi="Times New Roman" w:cs="Times New Roman"/>
          <w:sz w:val="16"/>
          <w:szCs w:val="16"/>
        </w:rPr>
        <w:t xml:space="preserve"> Surplus/Deficit of each year has been netted to arrive at the five- year position.</w:t>
      </w:r>
    </w:p>
    <w:p w14:paraId="07A2F0B6" w14:textId="1D32196B" w:rsidR="00A55EFE" w:rsidRPr="00AA6AF4" w:rsidRDefault="00A55EFE" w:rsidP="004E6F59">
      <w:pPr>
        <w:pStyle w:val="Heading3"/>
        <w:spacing w:after="0" w:line="180" w:lineRule="exact"/>
      </w:pPr>
      <w:r w:rsidRPr="00AA6AF4">
        <w:t>If our assessment of the needs of States for grants-in-aid of revenues is to be confined to the non-Plan revenue account, we could determine the amount required to fill the gross deficit of each year and recommend those amounts as grants. But that would leave the entire Plan revenue account outside the scope of the exercise, thereby depriving the needy States of the full benefit of Article 275 of the Constitution. This would also make it impossible to work towards the objective of balancing the revenue account and generating surplus for investment, as indicated in our terms of reference.</w:t>
      </w:r>
    </w:p>
    <w:p w14:paraId="10F929F9" w14:textId="7ECFF389" w:rsidR="00A55EFE" w:rsidRPr="00AA6AF4" w:rsidRDefault="00A55EFE" w:rsidP="004E6F59">
      <w:pPr>
        <w:pStyle w:val="Heading3"/>
        <w:spacing w:after="0" w:line="180" w:lineRule="exact"/>
      </w:pPr>
      <w:r w:rsidRPr="00AA6AF4">
        <w:t>However, we have severe limitations in assessing the Plan expenditure on revenue account. The Eighth Plan is still in the stage of formulation and neither the Central Government, nor the State Governments could give us a clear idea of the likely Plan expenditure for the period 1990-95. We, therefore, had to attempt determination of this item of need based on available data, past trends and our normative approach. For this purpose, we have taken all non-Special Category States other than Goa as one group and Special Category States and Goa as another group.</w:t>
      </w:r>
    </w:p>
    <w:p w14:paraId="41CBDD3F" w14:textId="4A460B75" w:rsidR="00A55EFE" w:rsidRPr="00AA6AF4" w:rsidRDefault="00A55EFE" w:rsidP="004E6F59">
      <w:pPr>
        <w:pStyle w:val="Heading3"/>
        <w:spacing w:after="0" w:line="180" w:lineRule="exact"/>
      </w:pPr>
      <w:r w:rsidRPr="00AA6AF4">
        <w:t xml:space="preserve"> For the first group we have already assessed, on a normative basis, their non-Plan revenue expenditure till 1994-95. In regard to social and economic services, we have projected expenditure needs to conform to the standards of services already achieved at justifiable costs. That exercise revealed the wide disparity among states in respect of the levels (standards) of expenditure of those services. While all the States have to improve on those services from existing levels, those who are relatively backward in this respect should move at a faster pace. Based on this premise, we have worked out the ratios of expenditure in each non-Special Category State. The methodology is explained in Appendix 7.</w:t>
      </w:r>
    </w:p>
    <w:p w14:paraId="3F4591BA" w14:textId="06826036" w:rsidR="00794BCE" w:rsidRDefault="00A55EFE" w:rsidP="009221CD">
      <w:pPr>
        <w:pStyle w:val="Heading3"/>
        <w:spacing w:after="0" w:line="180" w:lineRule="exact"/>
      </w:pPr>
      <w:r w:rsidRPr="00AA6AF4">
        <w:t xml:space="preserve">The next stage is to determine what amount can be set apart for fresh expenditure on social and economic services during the 1990-95 period for this group of States. In 1989-90 these fourteen States together have a Plan outlay of around Rs. 7,200 </w:t>
      </w:r>
      <w:proofErr w:type="gramStart"/>
      <w:r w:rsidRPr="00AA6AF4">
        <w:t>crore</w:t>
      </w:r>
      <w:proofErr w:type="gramEnd"/>
      <w:r w:rsidRPr="00AA6AF4">
        <w:t xml:space="preserve"> in the revenue account (This includes State Plan schemes expenditure as well as States' share of Centrally-sponsored schemes). A part of this expenditure is tied to externally aided projects, hill area development, etc. Excluding those items on a rough assessment, we have taken the base as Rs. 6,500 </w:t>
      </w:r>
      <w:proofErr w:type="gramStart"/>
      <w:r w:rsidRPr="00AA6AF4">
        <w:t>crore</w:t>
      </w:r>
      <w:proofErr w:type="gramEnd"/>
      <w:r w:rsidRPr="00AA6AF4">
        <w:t xml:space="preserve"> in 1989-90. Allowing a growth rate of 7 per cent per annum on that base, we have assessed that the revenue Plan expenditure that can be provided to attempt a moderate correction of the disparities in social and economic services will be Rs. 40,000 </w:t>
      </w:r>
      <w:proofErr w:type="gramStart"/>
      <w:r w:rsidRPr="00AA6AF4">
        <w:t>crore</w:t>
      </w:r>
      <w:proofErr w:type="gramEnd"/>
      <w:r w:rsidRPr="00AA6AF4">
        <w:t xml:space="preserve"> during 1990-95 in the fourteen States of the first group (non-Special Category States other than Goa). That level of expenditure should cover not only such expenditure during the Eighth Plan period but also the committed expenditure on Seventh Plan schemes. (Our analysis of the question of committed liability has been given in paragraph 3.78 in Chapter III). This amount of Rs. 40,000 crore is distributed among the fourteen States in the ratio (vide paragraph 87.8 of Appendix 7) worked out by us. For the purpose of our recommendations, we take these amounts as the minimum revenue Plan expenditure of each of the States. The outlay for each State is given in Table 2.</w:t>
      </w:r>
    </w:p>
    <w:p w14:paraId="1B9FA0A4" w14:textId="48389F56" w:rsidR="00A55EFE" w:rsidRPr="00D55C02" w:rsidRDefault="00A55EFE" w:rsidP="004E6F59">
      <w:pPr>
        <w:pStyle w:val="Heading4"/>
        <w:spacing w:after="0" w:line="180" w:lineRule="exact"/>
        <w:ind w:left="0"/>
      </w:pPr>
      <w:r w:rsidRPr="00D55C02">
        <w:t>TABLE 2</w:t>
      </w:r>
      <w:r w:rsidR="00C721FD">
        <w:br/>
      </w:r>
      <w:r w:rsidRPr="00D55C02">
        <w:t>Minimum Revenue Plan Expenditure: 1990-95</w:t>
      </w:r>
    </w:p>
    <w:tbl>
      <w:tblPr>
        <w:tblStyle w:val="TableGrid"/>
        <w:tblW w:w="4106" w:type="dxa"/>
        <w:jc w:val="center"/>
        <w:tblLook w:val="04A0" w:firstRow="1" w:lastRow="0" w:firstColumn="1" w:lastColumn="0" w:noHBand="0" w:noVBand="1"/>
      </w:tblPr>
      <w:tblGrid>
        <w:gridCol w:w="762"/>
        <w:gridCol w:w="1643"/>
        <w:gridCol w:w="1701"/>
      </w:tblGrid>
      <w:tr w:rsidR="00FE2F53" w:rsidRPr="00980308" w14:paraId="3D1D76BA" w14:textId="5E2F7CFA" w:rsidTr="004F48AC">
        <w:trPr>
          <w:trHeight w:val="20"/>
          <w:jc w:val="center"/>
        </w:trPr>
        <w:tc>
          <w:tcPr>
            <w:tcW w:w="762" w:type="dxa"/>
            <w:hideMark/>
          </w:tcPr>
          <w:p w14:paraId="68BE2360" w14:textId="4A3B1BA4" w:rsidR="00FE2F53" w:rsidRPr="00980308" w:rsidRDefault="00FE2F53" w:rsidP="004F48AC">
            <w:pPr>
              <w:pStyle w:val="NoSpacing"/>
              <w:spacing w:line="180" w:lineRule="exact"/>
              <w:rPr>
                <w:rFonts w:ascii="Times New Roman" w:hAnsi="Times New Roman" w:cs="Times New Roman"/>
                <w:sz w:val="18"/>
                <w:szCs w:val="18"/>
              </w:rPr>
            </w:pPr>
          </w:p>
        </w:tc>
        <w:tc>
          <w:tcPr>
            <w:tcW w:w="1643" w:type="dxa"/>
          </w:tcPr>
          <w:p w14:paraId="61600E9D" w14:textId="58A0518C" w:rsidR="00FE2F53" w:rsidRPr="00980308" w:rsidRDefault="00FE2F53" w:rsidP="004F48AC">
            <w:pPr>
              <w:pStyle w:val="NoSpacing"/>
              <w:spacing w:line="180" w:lineRule="exact"/>
              <w:jc w:val="center"/>
              <w:rPr>
                <w:rFonts w:ascii="Times New Roman" w:hAnsi="Times New Roman" w:cs="Times New Roman"/>
                <w:b/>
                <w:bCs/>
                <w:sz w:val="18"/>
                <w:szCs w:val="18"/>
              </w:rPr>
            </w:pPr>
            <w:r w:rsidRPr="00980308">
              <w:rPr>
                <w:rFonts w:ascii="Times New Roman" w:hAnsi="Times New Roman" w:cs="Times New Roman"/>
                <w:b/>
                <w:bCs/>
                <w:sz w:val="18"/>
                <w:szCs w:val="18"/>
              </w:rPr>
              <w:t>States</w:t>
            </w:r>
          </w:p>
        </w:tc>
        <w:tc>
          <w:tcPr>
            <w:tcW w:w="1701" w:type="dxa"/>
          </w:tcPr>
          <w:p w14:paraId="5EDA6A38" w14:textId="7EC92FE7" w:rsidR="00FE2F53" w:rsidRPr="004F48AC" w:rsidRDefault="00FE2F53" w:rsidP="004F48AC">
            <w:pPr>
              <w:spacing w:line="180" w:lineRule="exact"/>
              <w:rPr>
                <w:rFonts w:ascii="Times New Roman" w:hAnsi="Times New Roman" w:cs="Times New Roman"/>
                <w:i/>
                <w:iCs/>
                <w:sz w:val="18"/>
                <w:szCs w:val="18"/>
              </w:rPr>
            </w:pPr>
            <w:r w:rsidRPr="00980308">
              <w:rPr>
                <w:rFonts w:ascii="Times New Roman" w:hAnsi="Times New Roman" w:cs="Times New Roman"/>
                <w:b/>
                <w:bCs/>
                <w:sz w:val="18"/>
                <w:szCs w:val="18"/>
              </w:rPr>
              <w:t>Amount</w:t>
            </w:r>
            <w:r w:rsidR="004F48AC">
              <w:rPr>
                <w:rFonts w:ascii="Times New Roman" w:hAnsi="Times New Roman" w:cs="Times New Roman"/>
                <w:b/>
                <w:bCs/>
                <w:sz w:val="18"/>
                <w:szCs w:val="18"/>
              </w:rPr>
              <w:t xml:space="preserve"> </w:t>
            </w:r>
            <w:r w:rsidR="004F48AC" w:rsidRPr="00D55C02">
              <w:rPr>
                <w:rFonts w:ascii="Times New Roman" w:hAnsi="Times New Roman" w:cs="Times New Roman"/>
                <w:i/>
                <w:iCs/>
                <w:sz w:val="18"/>
                <w:szCs w:val="18"/>
              </w:rPr>
              <w:t>(Rs. crore)</w:t>
            </w:r>
          </w:p>
        </w:tc>
      </w:tr>
      <w:tr w:rsidR="00FE2F53" w:rsidRPr="00980308" w14:paraId="00A6ED93" w14:textId="4802AA5A" w:rsidTr="004F48AC">
        <w:trPr>
          <w:trHeight w:val="20"/>
          <w:jc w:val="center"/>
        </w:trPr>
        <w:tc>
          <w:tcPr>
            <w:tcW w:w="762" w:type="dxa"/>
            <w:hideMark/>
          </w:tcPr>
          <w:p w14:paraId="2E60814F"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1.</w:t>
            </w:r>
          </w:p>
        </w:tc>
        <w:tc>
          <w:tcPr>
            <w:tcW w:w="1643" w:type="dxa"/>
            <w:hideMark/>
          </w:tcPr>
          <w:p w14:paraId="474D6EF8"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Andhra Pradesh</w:t>
            </w:r>
          </w:p>
        </w:tc>
        <w:tc>
          <w:tcPr>
            <w:tcW w:w="1701" w:type="dxa"/>
          </w:tcPr>
          <w:p w14:paraId="294E0F78" w14:textId="5ACDAF74"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3345.20</w:t>
            </w:r>
          </w:p>
        </w:tc>
      </w:tr>
      <w:tr w:rsidR="00FE2F53" w:rsidRPr="00980308" w14:paraId="60802F50" w14:textId="3A91020C" w:rsidTr="004F48AC">
        <w:trPr>
          <w:trHeight w:val="20"/>
          <w:jc w:val="center"/>
        </w:trPr>
        <w:tc>
          <w:tcPr>
            <w:tcW w:w="762" w:type="dxa"/>
            <w:hideMark/>
          </w:tcPr>
          <w:p w14:paraId="1EF4CCD6"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2.</w:t>
            </w:r>
          </w:p>
        </w:tc>
        <w:tc>
          <w:tcPr>
            <w:tcW w:w="1643" w:type="dxa"/>
            <w:hideMark/>
          </w:tcPr>
          <w:p w14:paraId="3062FC92"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Bihar</w:t>
            </w:r>
          </w:p>
        </w:tc>
        <w:tc>
          <w:tcPr>
            <w:tcW w:w="1701" w:type="dxa"/>
          </w:tcPr>
          <w:p w14:paraId="68085448" w14:textId="46C7585B"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5045.60</w:t>
            </w:r>
          </w:p>
        </w:tc>
      </w:tr>
      <w:tr w:rsidR="00FE2F53" w:rsidRPr="00980308" w14:paraId="1A3F6E4B" w14:textId="19A6D8E6" w:rsidTr="004F48AC">
        <w:trPr>
          <w:trHeight w:val="20"/>
          <w:jc w:val="center"/>
        </w:trPr>
        <w:tc>
          <w:tcPr>
            <w:tcW w:w="762" w:type="dxa"/>
            <w:hideMark/>
          </w:tcPr>
          <w:p w14:paraId="30A3F016"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3.</w:t>
            </w:r>
          </w:p>
        </w:tc>
        <w:tc>
          <w:tcPr>
            <w:tcW w:w="1643" w:type="dxa"/>
            <w:hideMark/>
          </w:tcPr>
          <w:p w14:paraId="1C3E39E3"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Gujarat</w:t>
            </w:r>
          </w:p>
        </w:tc>
        <w:tc>
          <w:tcPr>
            <w:tcW w:w="1701" w:type="dxa"/>
          </w:tcPr>
          <w:p w14:paraId="30DBA0EF" w14:textId="41C3C746"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1779.20</w:t>
            </w:r>
          </w:p>
        </w:tc>
      </w:tr>
      <w:tr w:rsidR="00FE2F53" w:rsidRPr="00980308" w14:paraId="388747F5" w14:textId="108C126E" w:rsidTr="004F48AC">
        <w:trPr>
          <w:trHeight w:val="20"/>
          <w:jc w:val="center"/>
        </w:trPr>
        <w:tc>
          <w:tcPr>
            <w:tcW w:w="762" w:type="dxa"/>
            <w:hideMark/>
          </w:tcPr>
          <w:p w14:paraId="0E76E8E6"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4.</w:t>
            </w:r>
          </w:p>
        </w:tc>
        <w:tc>
          <w:tcPr>
            <w:tcW w:w="1643" w:type="dxa"/>
            <w:hideMark/>
          </w:tcPr>
          <w:p w14:paraId="02D17522"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Haryana</w:t>
            </w:r>
          </w:p>
        </w:tc>
        <w:tc>
          <w:tcPr>
            <w:tcW w:w="1701" w:type="dxa"/>
          </w:tcPr>
          <w:p w14:paraId="68ABB1DE" w14:textId="7FE44EE8"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844.40</w:t>
            </w:r>
          </w:p>
        </w:tc>
      </w:tr>
      <w:tr w:rsidR="00FE2F53" w:rsidRPr="00980308" w14:paraId="14A576DC" w14:textId="197704A1" w:rsidTr="004F48AC">
        <w:trPr>
          <w:trHeight w:val="20"/>
          <w:jc w:val="center"/>
        </w:trPr>
        <w:tc>
          <w:tcPr>
            <w:tcW w:w="762" w:type="dxa"/>
            <w:hideMark/>
          </w:tcPr>
          <w:p w14:paraId="38E05B19"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lastRenderedPageBreak/>
              <w:t>5.</w:t>
            </w:r>
          </w:p>
        </w:tc>
        <w:tc>
          <w:tcPr>
            <w:tcW w:w="1643" w:type="dxa"/>
            <w:hideMark/>
          </w:tcPr>
          <w:p w14:paraId="12139771"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Karnataka</w:t>
            </w:r>
          </w:p>
        </w:tc>
        <w:tc>
          <w:tcPr>
            <w:tcW w:w="1701" w:type="dxa"/>
          </w:tcPr>
          <w:p w14:paraId="05F94366" w14:textId="5ADFCBFD"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2206.40</w:t>
            </w:r>
          </w:p>
        </w:tc>
      </w:tr>
      <w:tr w:rsidR="00FE2F53" w:rsidRPr="00980308" w14:paraId="2C374531" w14:textId="196BCFE6" w:rsidTr="004F48AC">
        <w:trPr>
          <w:trHeight w:val="20"/>
          <w:jc w:val="center"/>
        </w:trPr>
        <w:tc>
          <w:tcPr>
            <w:tcW w:w="762" w:type="dxa"/>
            <w:hideMark/>
          </w:tcPr>
          <w:p w14:paraId="2ACDA13A"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6.</w:t>
            </w:r>
          </w:p>
        </w:tc>
        <w:tc>
          <w:tcPr>
            <w:tcW w:w="1643" w:type="dxa"/>
            <w:hideMark/>
          </w:tcPr>
          <w:p w14:paraId="2DAEF69A"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Kerala</w:t>
            </w:r>
          </w:p>
        </w:tc>
        <w:tc>
          <w:tcPr>
            <w:tcW w:w="1701" w:type="dxa"/>
          </w:tcPr>
          <w:p w14:paraId="5813752F" w14:textId="765F58F2"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1312.00</w:t>
            </w:r>
          </w:p>
        </w:tc>
      </w:tr>
      <w:tr w:rsidR="00FE2F53" w:rsidRPr="00980308" w14:paraId="26E62CAF" w14:textId="46374DCB" w:rsidTr="004F48AC">
        <w:trPr>
          <w:trHeight w:val="20"/>
          <w:jc w:val="center"/>
        </w:trPr>
        <w:tc>
          <w:tcPr>
            <w:tcW w:w="762" w:type="dxa"/>
            <w:hideMark/>
          </w:tcPr>
          <w:p w14:paraId="5F663B12"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7.</w:t>
            </w:r>
          </w:p>
        </w:tc>
        <w:tc>
          <w:tcPr>
            <w:tcW w:w="1643" w:type="dxa"/>
            <w:hideMark/>
          </w:tcPr>
          <w:p w14:paraId="6FF50C4F"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Madhya Pradesh</w:t>
            </w:r>
          </w:p>
        </w:tc>
        <w:tc>
          <w:tcPr>
            <w:tcW w:w="1701" w:type="dxa"/>
          </w:tcPr>
          <w:p w14:paraId="52B04853" w14:textId="5F915E02" w:rsidR="00FE2F53" w:rsidRPr="00980308" w:rsidRDefault="00FE2F53"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3528.80</w:t>
            </w:r>
          </w:p>
        </w:tc>
      </w:tr>
      <w:tr w:rsidR="00FE2F53" w:rsidRPr="00980308" w14:paraId="2717B149" w14:textId="2CDFCCA3" w:rsidTr="004F48AC">
        <w:trPr>
          <w:trHeight w:val="20"/>
          <w:jc w:val="center"/>
        </w:trPr>
        <w:tc>
          <w:tcPr>
            <w:tcW w:w="762" w:type="dxa"/>
            <w:hideMark/>
          </w:tcPr>
          <w:p w14:paraId="674D0452"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8.</w:t>
            </w:r>
          </w:p>
        </w:tc>
        <w:tc>
          <w:tcPr>
            <w:tcW w:w="1643" w:type="dxa"/>
            <w:hideMark/>
          </w:tcPr>
          <w:p w14:paraId="10ABBA53" w14:textId="77777777" w:rsidR="00FE2F53" w:rsidRPr="00980308" w:rsidRDefault="00FE2F53"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Maharashtra</w:t>
            </w:r>
          </w:p>
        </w:tc>
        <w:tc>
          <w:tcPr>
            <w:tcW w:w="1701" w:type="dxa"/>
          </w:tcPr>
          <w:p w14:paraId="20BA4635" w14:textId="32DD2629" w:rsidR="00FE2F53"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3555.60</w:t>
            </w:r>
          </w:p>
        </w:tc>
      </w:tr>
      <w:tr w:rsidR="004850B0" w:rsidRPr="00980308" w14:paraId="1FF263FD" w14:textId="5F8399C1" w:rsidTr="004F48AC">
        <w:trPr>
          <w:trHeight w:val="20"/>
          <w:jc w:val="center"/>
        </w:trPr>
        <w:tc>
          <w:tcPr>
            <w:tcW w:w="762" w:type="dxa"/>
            <w:hideMark/>
          </w:tcPr>
          <w:p w14:paraId="52F8FAA9"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9.</w:t>
            </w:r>
          </w:p>
        </w:tc>
        <w:tc>
          <w:tcPr>
            <w:tcW w:w="1643" w:type="dxa"/>
            <w:hideMark/>
          </w:tcPr>
          <w:p w14:paraId="34B507A0"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Orissa</w:t>
            </w:r>
          </w:p>
        </w:tc>
        <w:tc>
          <w:tcPr>
            <w:tcW w:w="1701" w:type="dxa"/>
          </w:tcPr>
          <w:p w14:paraId="56AE5D46" w14:textId="7BC4CB54" w:rsidR="004850B0"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1602.00</w:t>
            </w:r>
          </w:p>
        </w:tc>
      </w:tr>
      <w:tr w:rsidR="004850B0" w:rsidRPr="00980308" w14:paraId="06A80C03" w14:textId="525B608E" w:rsidTr="004F48AC">
        <w:trPr>
          <w:trHeight w:val="20"/>
          <w:jc w:val="center"/>
        </w:trPr>
        <w:tc>
          <w:tcPr>
            <w:tcW w:w="762" w:type="dxa"/>
            <w:hideMark/>
          </w:tcPr>
          <w:p w14:paraId="30F292BD"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10.</w:t>
            </w:r>
          </w:p>
        </w:tc>
        <w:tc>
          <w:tcPr>
            <w:tcW w:w="1643" w:type="dxa"/>
            <w:hideMark/>
          </w:tcPr>
          <w:p w14:paraId="64F42E7B"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Punjab</w:t>
            </w:r>
          </w:p>
        </w:tc>
        <w:tc>
          <w:tcPr>
            <w:tcW w:w="1701" w:type="dxa"/>
          </w:tcPr>
          <w:p w14:paraId="1693FC1C" w14:textId="47B94E86" w:rsidR="004850B0"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926.00</w:t>
            </w:r>
          </w:p>
        </w:tc>
      </w:tr>
      <w:tr w:rsidR="004850B0" w:rsidRPr="00980308" w14:paraId="186848CB" w14:textId="521B4C0D" w:rsidTr="004F48AC">
        <w:trPr>
          <w:trHeight w:val="20"/>
          <w:jc w:val="center"/>
        </w:trPr>
        <w:tc>
          <w:tcPr>
            <w:tcW w:w="762" w:type="dxa"/>
            <w:hideMark/>
          </w:tcPr>
          <w:p w14:paraId="77E19512"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11.</w:t>
            </w:r>
          </w:p>
        </w:tc>
        <w:tc>
          <w:tcPr>
            <w:tcW w:w="1643" w:type="dxa"/>
            <w:hideMark/>
          </w:tcPr>
          <w:p w14:paraId="2420C668"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Rajasthan</w:t>
            </w:r>
          </w:p>
        </w:tc>
        <w:tc>
          <w:tcPr>
            <w:tcW w:w="1701" w:type="dxa"/>
          </w:tcPr>
          <w:p w14:paraId="7C416842" w14:textId="2B065202" w:rsidR="004850B0"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2472.80</w:t>
            </w:r>
          </w:p>
        </w:tc>
      </w:tr>
      <w:tr w:rsidR="004850B0" w:rsidRPr="00980308" w14:paraId="62892F69" w14:textId="2F651B5E" w:rsidTr="004F48AC">
        <w:trPr>
          <w:trHeight w:val="20"/>
          <w:jc w:val="center"/>
        </w:trPr>
        <w:tc>
          <w:tcPr>
            <w:tcW w:w="762" w:type="dxa"/>
            <w:hideMark/>
          </w:tcPr>
          <w:p w14:paraId="73BD5262"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12.</w:t>
            </w:r>
          </w:p>
        </w:tc>
        <w:tc>
          <w:tcPr>
            <w:tcW w:w="1643" w:type="dxa"/>
            <w:hideMark/>
          </w:tcPr>
          <w:p w14:paraId="410E741C"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Tamil Nadu</w:t>
            </w:r>
          </w:p>
        </w:tc>
        <w:tc>
          <w:tcPr>
            <w:tcW w:w="1701" w:type="dxa"/>
          </w:tcPr>
          <w:p w14:paraId="54D7A9A2" w14:textId="2C84DCB6" w:rsidR="004850B0"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2454.00</w:t>
            </w:r>
          </w:p>
        </w:tc>
      </w:tr>
      <w:tr w:rsidR="004850B0" w:rsidRPr="00980308" w14:paraId="0C74020A" w14:textId="10C92AB9" w:rsidTr="004F48AC">
        <w:trPr>
          <w:trHeight w:val="20"/>
          <w:jc w:val="center"/>
        </w:trPr>
        <w:tc>
          <w:tcPr>
            <w:tcW w:w="762" w:type="dxa"/>
            <w:hideMark/>
          </w:tcPr>
          <w:p w14:paraId="43ECB5CC"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13.</w:t>
            </w:r>
          </w:p>
        </w:tc>
        <w:tc>
          <w:tcPr>
            <w:tcW w:w="1643" w:type="dxa"/>
            <w:hideMark/>
          </w:tcPr>
          <w:p w14:paraId="6B07271A"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Uttar Pradesh</w:t>
            </w:r>
          </w:p>
        </w:tc>
        <w:tc>
          <w:tcPr>
            <w:tcW w:w="1701" w:type="dxa"/>
          </w:tcPr>
          <w:p w14:paraId="1078B0DC" w14:textId="030EB904" w:rsidR="004850B0"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7664.00</w:t>
            </w:r>
          </w:p>
        </w:tc>
      </w:tr>
      <w:tr w:rsidR="004850B0" w:rsidRPr="00980308" w14:paraId="3F24274E" w14:textId="5C5C8BF0" w:rsidTr="004F48AC">
        <w:trPr>
          <w:trHeight w:val="20"/>
          <w:jc w:val="center"/>
        </w:trPr>
        <w:tc>
          <w:tcPr>
            <w:tcW w:w="762" w:type="dxa"/>
            <w:hideMark/>
          </w:tcPr>
          <w:p w14:paraId="597EFB32"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14.</w:t>
            </w:r>
          </w:p>
        </w:tc>
        <w:tc>
          <w:tcPr>
            <w:tcW w:w="1643" w:type="dxa"/>
            <w:hideMark/>
          </w:tcPr>
          <w:p w14:paraId="77778487" w14:textId="77777777" w:rsidR="004850B0" w:rsidRPr="00980308" w:rsidRDefault="004850B0" w:rsidP="004F48AC">
            <w:pPr>
              <w:pStyle w:val="NoSpacing"/>
              <w:spacing w:line="180" w:lineRule="exact"/>
              <w:rPr>
                <w:rFonts w:ascii="Times New Roman" w:hAnsi="Times New Roman" w:cs="Times New Roman"/>
                <w:sz w:val="18"/>
                <w:szCs w:val="18"/>
              </w:rPr>
            </w:pPr>
            <w:r w:rsidRPr="00980308">
              <w:rPr>
                <w:rFonts w:ascii="Times New Roman" w:hAnsi="Times New Roman" w:cs="Times New Roman"/>
                <w:sz w:val="18"/>
                <w:szCs w:val="18"/>
              </w:rPr>
              <w:t>West Bengal</w:t>
            </w:r>
          </w:p>
        </w:tc>
        <w:tc>
          <w:tcPr>
            <w:tcW w:w="1701" w:type="dxa"/>
          </w:tcPr>
          <w:p w14:paraId="65715352" w14:textId="01EA32D9" w:rsidR="004850B0" w:rsidRPr="00980308" w:rsidRDefault="004850B0" w:rsidP="004F48AC">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3264.00</w:t>
            </w:r>
          </w:p>
        </w:tc>
      </w:tr>
      <w:tr w:rsidR="004850B0" w:rsidRPr="00980308" w14:paraId="4C65943A" w14:textId="2C4AB503" w:rsidTr="004F48AC">
        <w:trPr>
          <w:trHeight w:val="20"/>
          <w:jc w:val="center"/>
        </w:trPr>
        <w:tc>
          <w:tcPr>
            <w:tcW w:w="762" w:type="dxa"/>
            <w:hideMark/>
          </w:tcPr>
          <w:p w14:paraId="6904A357" w14:textId="77777777" w:rsidR="004850B0" w:rsidRPr="00980308" w:rsidRDefault="004850B0" w:rsidP="004F48AC">
            <w:pPr>
              <w:pStyle w:val="NoSpacing"/>
              <w:spacing w:line="180" w:lineRule="exact"/>
              <w:rPr>
                <w:rFonts w:ascii="Times New Roman" w:hAnsi="Times New Roman" w:cs="Times New Roman"/>
                <w:sz w:val="18"/>
                <w:szCs w:val="18"/>
              </w:rPr>
            </w:pPr>
          </w:p>
        </w:tc>
        <w:tc>
          <w:tcPr>
            <w:tcW w:w="1643" w:type="dxa"/>
            <w:hideMark/>
          </w:tcPr>
          <w:p w14:paraId="71FB2FCC" w14:textId="77777777" w:rsidR="004850B0" w:rsidRPr="00980308" w:rsidRDefault="004850B0" w:rsidP="004F48AC">
            <w:pPr>
              <w:pStyle w:val="NoSpacing"/>
              <w:spacing w:line="180" w:lineRule="exact"/>
              <w:rPr>
                <w:rFonts w:ascii="Times New Roman" w:hAnsi="Times New Roman" w:cs="Times New Roman"/>
                <w:b/>
                <w:bCs/>
                <w:sz w:val="18"/>
                <w:szCs w:val="18"/>
              </w:rPr>
            </w:pPr>
            <w:r w:rsidRPr="00980308">
              <w:rPr>
                <w:rFonts w:ascii="Times New Roman" w:hAnsi="Times New Roman" w:cs="Times New Roman"/>
                <w:b/>
                <w:bCs/>
                <w:sz w:val="18"/>
                <w:szCs w:val="18"/>
              </w:rPr>
              <w:t>Total</w:t>
            </w:r>
          </w:p>
        </w:tc>
        <w:tc>
          <w:tcPr>
            <w:tcW w:w="1701" w:type="dxa"/>
          </w:tcPr>
          <w:p w14:paraId="490F0EFA" w14:textId="5A1609B9" w:rsidR="004850B0" w:rsidRPr="00980308" w:rsidRDefault="004850B0" w:rsidP="004F48AC">
            <w:pPr>
              <w:pStyle w:val="NoSpacing"/>
              <w:spacing w:line="180" w:lineRule="exact"/>
              <w:jc w:val="center"/>
              <w:rPr>
                <w:rFonts w:ascii="Times New Roman" w:hAnsi="Times New Roman" w:cs="Times New Roman"/>
                <w:b/>
                <w:bCs/>
                <w:sz w:val="18"/>
                <w:szCs w:val="18"/>
              </w:rPr>
            </w:pPr>
            <w:r w:rsidRPr="00980308">
              <w:rPr>
                <w:rFonts w:ascii="Times New Roman" w:hAnsi="Times New Roman" w:cs="Times New Roman"/>
                <w:b/>
                <w:bCs/>
                <w:sz w:val="18"/>
                <w:szCs w:val="18"/>
              </w:rPr>
              <w:t>40000.00</w:t>
            </w:r>
          </w:p>
        </w:tc>
      </w:tr>
    </w:tbl>
    <w:p w14:paraId="5051AC1A" w14:textId="1B0B59E1" w:rsidR="008C23D5" w:rsidRPr="0004184B" w:rsidRDefault="00A55EFE" w:rsidP="004F48AC">
      <w:pPr>
        <w:pStyle w:val="Heading3"/>
        <w:spacing w:after="0" w:line="180" w:lineRule="exact"/>
        <w:ind w:firstLine="272"/>
      </w:pPr>
      <w:r w:rsidRPr="0004184B">
        <w:t xml:space="preserve">For the Special Category States and Goa, we are not in a position to follow the same methodology and assess the minimum revenue Plan expenditure. Non-Plan expenditure estimates of </w:t>
      </w:r>
      <w:r w:rsidR="008C23D5" w:rsidRPr="0004184B">
        <w:t xml:space="preserve">The Special Category States have not been done on a normative basis and so the ratios worked out for reducing inter-State disparities cannot be applied in their case. Further, their problems as well as their stage of development are such that, even for the limited purpose of evolving a total financing scheme for the revenue account, it will not be safe to apply a general formula. So in respect of these </w:t>
      </w:r>
      <w:proofErr w:type="gramStart"/>
      <w:r w:rsidR="008C23D5" w:rsidRPr="0004184B">
        <w:t>States</w:t>
      </w:r>
      <w:proofErr w:type="gramEnd"/>
      <w:r w:rsidR="008C23D5" w:rsidRPr="0004184B">
        <w:t xml:space="preserve"> we have made the assessment of Plan expenditure on the basis of 1989-90 revenue Plan expenditure and projected it at the rate of growth of 7 per cent per annum. The total five-year expenditure for these eleven States so projected comes to Rs. 6,570 </w:t>
      </w:r>
      <w:proofErr w:type="gramStart"/>
      <w:r w:rsidR="008C23D5" w:rsidRPr="0004184B">
        <w:t>crore</w:t>
      </w:r>
      <w:proofErr w:type="gramEnd"/>
      <w:r w:rsidR="008C23D5" w:rsidRPr="0004184B">
        <w:t>. As in the case of the first group of States this should include committed liability of the Seventh Plan schemes also.</w:t>
      </w:r>
    </w:p>
    <w:p w14:paraId="68444D7D" w14:textId="08E00816" w:rsidR="008C23D5" w:rsidRPr="00AA6AF4" w:rsidRDefault="008C23D5" w:rsidP="004E6F59">
      <w:pPr>
        <w:pStyle w:val="Heading3"/>
        <w:spacing w:after="0" w:line="180" w:lineRule="exact"/>
      </w:pPr>
      <w:r w:rsidRPr="00AA6AF4">
        <w:t>At this stage we should make it quite clear that we are not determining the Plan (revenue) outlay of the States. We are only estimating the likely minimum revenue expenditure in the Eighth Plan of each State and that too on an overall basis. In doing so, the only targeting we have attempted is a moderate correction of the disparities in social and economic services expenditure in the different non-Special Category States. For other States we are simply going by the base year (1989-90) figures as determined by the Planning Commission. This would adequately serve our limited purpose of assessing the total revenue expenditure and determining the needs of each State for grants under Article 275. The actual determination of each State’s Plan outlay including the outlay on the revenue account, its distribution among the different sectors will all have to be done, as before, by the Planning Commission.</w:t>
      </w:r>
    </w:p>
    <w:p w14:paraId="1F5DB1C4" w14:textId="28967CDF" w:rsidR="008C23D5" w:rsidRPr="00AA6AF4" w:rsidRDefault="008C23D5" w:rsidP="004E6F59">
      <w:pPr>
        <w:pStyle w:val="Heading3"/>
        <w:spacing w:after="0" w:line="180" w:lineRule="exact"/>
      </w:pPr>
      <w:r w:rsidRPr="00AA6AF4">
        <w:t xml:space="preserve">Coming to the determination of each State’s need for aid under Article 275, we must make it clear that under this Article, the Finance Commission is obliged to recommend the grants-in-aid of revenue to States and, therefore, the grants for financing the State Plans are very much within the purview of the Commission under the said Article. In </w:t>
      </w:r>
      <w:proofErr w:type="gramStart"/>
      <w:r w:rsidRPr="00AA6AF4">
        <w:t>fact</w:t>
      </w:r>
      <w:proofErr w:type="gramEnd"/>
      <w:r w:rsidRPr="00AA6AF4">
        <w:t xml:space="preserve"> there is a view that all grants to the States could be channelled through Article 275 only. Mr. K. K. Venugopal, an expert on Constitutional law opined before us that Article 282 is clear and unambiguous and unless the Article is re-written, the addition and subtraction of words it would not be possible to arrive at a conclusion that Article 282 is an independent source of power vesting in the Central Government at discretion to make grants to States for special purposes. As against this, Mr. N. A. </w:t>
      </w:r>
      <w:proofErr w:type="spellStart"/>
      <w:r w:rsidRPr="00AA6AF4">
        <w:t>Palkhivala</w:t>
      </w:r>
      <w:proofErr w:type="spellEnd"/>
      <w:r w:rsidRPr="00AA6AF4">
        <w:t xml:space="preserve"> opined:</w:t>
      </w:r>
    </w:p>
    <w:p w14:paraId="6879819F" w14:textId="77777777" w:rsidR="008C23D5" w:rsidRPr="00980308" w:rsidRDefault="008C23D5" w:rsidP="004E6F59">
      <w:pPr>
        <w:spacing w:after="0" w:line="180" w:lineRule="exact"/>
        <w:ind w:firstLine="284"/>
        <w:jc w:val="both"/>
        <w:rPr>
          <w:rFonts w:ascii="Times New Roman" w:hAnsi="Times New Roman" w:cs="Times New Roman"/>
          <w:sz w:val="18"/>
          <w:szCs w:val="18"/>
        </w:rPr>
      </w:pPr>
      <w:r w:rsidRPr="00980308">
        <w:rPr>
          <w:rFonts w:ascii="Times New Roman" w:hAnsi="Times New Roman" w:cs="Times New Roman"/>
          <w:sz w:val="18"/>
          <w:szCs w:val="18"/>
        </w:rPr>
        <w:t>“Article 282 is not intended to enable the Union to make such grants as fall properly under Article 275. Article 282 embodies merely a residuary power which enables the Union or a State to make any grant for any public purpose, irrespective of the question whether the purpose is one over which the grantor has legislative competence.”</w:t>
      </w:r>
    </w:p>
    <w:p w14:paraId="186E8D4D" w14:textId="77777777" w:rsidR="008C23D5" w:rsidRPr="00980308" w:rsidRDefault="008C23D5" w:rsidP="004E6F59">
      <w:pPr>
        <w:spacing w:after="0" w:line="180" w:lineRule="exact"/>
        <w:ind w:firstLine="284"/>
        <w:jc w:val="both"/>
        <w:rPr>
          <w:rFonts w:ascii="Times New Roman" w:hAnsi="Times New Roman" w:cs="Times New Roman"/>
          <w:sz w:val="18"/>
          <w:szCs w:val="18"/>
        </w:rPr>
      </w:pPr>
      <w:r w:rsidRPr="00980308">
        <w:rPr>
          <w:rFonts w:ascii="Times New Roman" w:hAnsi="Times New Roman" w:cs="Times New Roman"/>
          <w:sz w:val="18"/>
          <w:szCs w:val="18"/>
        </w:rPr>
        <w:t xml:space="preserve">Thus, according to Mr. </w:t>
      </w:r>
      <w:proofErr w:type="spellStart"/>
      <w:r w:rsidRPr="00980308">
        <w:rPr>
          <w:rFonts w:ascii="Times New Roman" w:hAnsi="Times New Roman" w:cs="Times New Roman"/>
          <w:sz w:val="18"/>
          <w:szCs w:val="18"/>
        </w:rPr>
        <w:t>Palkhivala</w:t>
      </w:r>
      <w:proofErr w:type="spellEnd"/>
      <w:r w:rsidRPr="00980308">
        <w:rPr>
          <w:rFonts w:ascii="Times New Roman" w:hAnsi="Times New Roman" w:cs="Times New Roman"/>
          <w:sz w:val="18"/>
          <w:szCs w:val="18"/>
        </w:rPr>
        <w:t xml:space="preserve"> residuary power of grants for public purposes vests under Article 282 in the Union and the State Governments. We may also refer to the commentary of Dr. D. D. Basu on Constitution of India, 6th Edition, Volume ‘K’, page 312.</w:t>
      </w:r>
    </w:p>
    <w:p w14:paraId="642F82F6" w14:textId="77777777" w:rsidR="008C23D5" w:rsidRPr="00980308" w:rsidRDefault="008C23D5" w:rsidP="004E6F59">
      <w:pPr>
        <w:spacing w:after="0" w:line="180" w:lineRule="exact"/>
        <w:ind w:firstLine="284"/>
        <w:jc w:val="both"/>
        <w:rPr>
          <w:rFonts w:ascii="Times New Roman" w:hAnsi="Times New Roman" w:cs="Times New Roman"/>
          <w:sz w:val="18"/>
          <w:szCs w:val="18"/>
        </w:rPr>
      </w:pPr>
      <w:r w:rsidRPr="00980308">
        <w:rPr>
          <w:rFonts w:ascii="Times New Roman" w:hAnsi="Times New Roman" w:cs="Times New Roman"/>
          <w:sz w:val="18"/>
          <w:szCs w:val="18"/>
        </w:rPr>
        <w:t xml:space="preserve">“There is no limit on the grants which can be made by the Union under Article 282 and, in fact, the volume of grants to the States under Article 282 vie with those made under Article 275. Thus, in 1979-80, while the States received Rs. 375 </w:t>
      </w:r>
      <w:proofErr w:type="gramStart"/>
      <w:r w:rsidRPr="00980308">
        <w:rPr>
          <w:rFonts w:ascii="Times New Roman" w:hAnsi="Times New Roman" w:cs="Times New Roman"/>
          <w:sz w:val="18"/>
          <w:szCs w:val="18"/>
        </w:rPr>
        <w:t>crore</w:t>
      </w:r>
      <w:proofErr w:type="gramEnd"/>
      <w:r w:rsidRPr="00980308">
        <w:rPr>
          <w:rFonts w:ascii="Times New Roman" w:hAnsi="Times New Roman" w:cs="Times New Roman"/>
          <w:sz w:val="18"/>
          <w:szCs w:val="18"/>
        </w:rPr>
        <w:t xml:space="preserve"> through the Finance Commission, the sum received through the Planning Commission amounted to Rs. 3,159 </w:t>
      </w:r>
      <w:proofErr w:type="gramStart"/>
      <w:r w:rsidRPr="00980308">
        <w:rPr>
          <w:rFonts w:ascii="Times New Roman" w:hAnsi="Times New Roman" w:cs="Times New Roman"/>
          <w:sz w:val="18"/>
          <w:szCs w:val="18"/>
        </w:rPr>
        <w:t>crore</w:t>
      </w:r>
      <w:proofErr w:type="gramEnd"/>
      <w:r w:rsidRPr="00980308">
        <w:rPr>
          <w:rFonts w:ascii="Times New Roman" w:hAnsi="Times New Roman" w:cs="Times New Roman"/>
          <w:sz w:val="18"/>
          <w:szCs w:val="18"/>
        </w:rPr>
        <w:t>. This is striking in view of the fact that Article 282 is a residuary provision regarding Grants-in-aid.”</w:t>
      </w:r>
    </w:p>
    <w:p w14:paraId="0DBFF5DB" w14:textId="77777777" w:rsidR="008C23D5" w:rsidRPr="00980308" w:rsidRDefault="008C23D5" w:rsidP="004E6F59">
      <w:pPr>
        <w:spacing w:after="0" w:line="180" w:lineRule="exact"/>
        <w:ind w:firstLine="284"/>
        <w:jc w:val="both"/>
        <w:rPr>
          <w:rFonts w:ascii="Times New Roman" w:hAnsi="Times New Roman" w:cs="Times New Roman"/>
          <w:sz w:val="18"/>
          <w:szCs w:val="18"/>
        </w:rPr>
      </w:pPr>
      <w:proofErr w:type="gramStart"/>
      <w:r w:rsidRPr="00980308">
        <w:rPr>
          <w:rFonts w:ascii="Times New Roman" w:hAnsi="Times New Roman" w:cs="Times New Roman"/>
          <w:sz w:val="18"/>
          <w:szCs w:val="18"/>
        </w:rPr>
        <w:t>Thus</w:t>
      </w:r>
      <w:proofErr w:type="gramEnd"/>
      <w:r w:rsidRPr="00980308">
        <w:rPr>
          <w:rFonts w:ascii="Times New Roman" w:hAnsi="Times New Roman" w:cs="Times New Roman"/>
          <w:sz w:val="18"/>
          <w:szCs w:val="18"/>
        </w:rPr>
        <w:t xml:space="preserve"> opinions on this issue differ widely. The Commission considers it unnecessary to involve itself in the controversy relating to the precise limits on the scope of Article 282 vis-à-vis Article 275. But we are quite certain that if our Constitutional obligations under Article 280 read with Article 275 require us to enlarge the scope of grants beyond the non-Plan account limitations, we should not hesitate to do so. We are convinced that such a situation exists now. This is the result of a combination of two major factors. The first is the vast disparity among States in the size of the non-Plan revenue account position. The other is the fact that the Gadgil formula has no linkage to the non-Plan revenue account position or the overall financial position of State Governments. As yet, there is no formal channel through which additional assistance could be extended to those States whose non-Plan revenue accounts have no surplus and whose shares of Gadgil formula grants are substantially less than their approved Plan revenue expenditures. Such States have to divert their borrowings to meet a good part of their revenue Plan requirements and this sets in motion a vicious circle which, ultimately, may invalidate the very concept of balanced regional development. We propose to introduce a mechanism to correct this basic flaw in the present system of federal fiscal transfers. We are clear in our mind that Article 275 provides full Constitutional support for such a new arrangement.</w:t>
      </w:r>
    </w:p>
    <w:p w14:paraId="184787E9" w14:textId="77777777" w:rsidR="008C23D5" w:rsidRPr="00980308" w:rsidRDefault="008C23D5" w:rsidP="004E6F59">
      <w:pPr>
        <w:spacing w:after="0" w:line="180" w:lineRule="exact"/>
        <w:ind w:firstLine="284"/>
        <w:jc w:val="both"/>
        <w:rPr>
          <w:rFonts w:ascii="Times New Roman" w:hAnsi="Times New Roman" w:cs="Times New Roman"/>
          <w:sz w:val="18"/>
          <w:szCs w:val="18"/>
        </w:rPr>
      </w:pPr>
      <w:r w:rsidRPr="00980308">
        <w:rPr>
          <w:rFonts w:ascii="Times New Roman" w:hAnsi="Times New Roman" w:cs="Times New Roman"/>
          <w:sz w:val="18"/>
          <w:szCs w:val="18"/>
        </w:rPr>
        <w:t xml:space="preserve">Shri Justice A. S. </w:t>
      </w:r>
      <w:proofErr w:type="spellStart"/>
      <w:r w:rsidRPr="00980308">
        <w:rPr>
          <w:rFonts w:ascii="Times New Roman" w:hAnsi="Times New Roman" w:cs="Times New Roman"/>
          <w:sz w:val="18"/>
          <w:szCs w:val="18"/>
        </w:rPr>
        <w:t>Guresh</w:t>
      </w:r>
      <w:proofErr w:type="spellEnd"/>
      <w:r w:rsidRPr="00980308">
        <w:rPr>
          <w:rFonts w:ascii="Times New Roman" w:hAnsi="Times New Roman" w:cs="Times New Roman"/>
          <w:sz w:val="18"/>
          <w:szCs w:val="18"/>
        </w:rPr>
        <w:t>, Member, has opined that Article 275 is the only source for giving grants-in-aid to States. He has elaborated his view on this issue in his Note of Dissent.</w:t>
      </w:r>
    </w:p>
    <w:p w14:paraId="0B35B5B6" w14:textId="2AB24619" w:rsidR="008C23D5" w:rsidRPr="00AA6AF4" w:rsidRDefault="008C23D5" w:rsidP="004E6F59">
      <w:pPr>
        <w:pStyle w:val="Heading3"/>
        <w:spacing w:after="0" w:line="180" w:lineRule="exact"/>
      </w:pPr>
      <w:r w:rsidRPr="00AA6AF4">
        <w:t xml:space="preserve">Our assessment of non-Plan revenue account leaves net deficits in some and net surpluses in other States, after accounting for their share of Central taxes. It is obvious that the surplus will be used for financing their Plans. It is also clear that both types of States will get assistance as per the Gadgil formula. Our scheme for additional help to non-Special Category States takes into account these two facts. We assume that Gadgil formula assistance (total for all the 14 States) will grow at least at 10 per cent per annum from the 1989-90 base of Rs. 1,450 </w:t>
      </w:r>
      <w:proofErr w:type="gramStart"/>
      <w:r w:rsidRPr="00AA6AF4">
        <w:t>crore</w:t>
      </w:r>
      <w:proofErr w:type="gramEnd"/>
      <w:r w:rsidRPr="00AA6AF4">
        <w:t xml:space="preserve">. We have calculated that on that basis, these States can be expected to get Rs. 10,000 crore </w:t>
      </w:r>
      <w:proofErr w:type="gramStart"/>
      <w:r w:rsidRPr="00AA6AF4">
        <w:t>grant</w:t>
      </w:r>
      <w:proofErr w:type="gramEnd"/>
      <w:r w:rsidRPr="00AA6AF4">
        <w:t xml:space="preserve"> under Gadgil formula (excluding ad-hoc items like grant portion of additionality for externally aided schemes, hill area programmes, etc.) in the Eighth Plan period. We have divided that amount among the 14 States in the same ratio as the Gadgil formula rate as applied to the Seventh Plan allocation (excluding the weight of 10 per cent given to special problems). We have taken the amounts so arrived at as approximate receipts available for the States’ revenue Plans. To that we have added 40 per cent of the non-Plan revenue surplus of each of the States having such surpluses. The total of these two amounts (only the Gadgil formula amount for deficit States) is set off against the minimum revenue Plan expenditure of each State in the total Plan revenue account of Rs. 40,000 </w:t>
      </w:r>
      <w:proofErr w:type="gramStart"/>
      <w:r w:rsidRPr="00AA6AF4">
        <w:t>crore</w:t>
      </w:r>
      <w:proofErr w:type="gramEnd"/>
      <w:r w:rsidRPr="00AA6AF4">
        <w:t>. The difference between the two shows each State’s deficit in the Plan revenue account. Fifty per cent of that deficit will, in our scheme, be given as grants under Article 275 for States which have non-Plan deficits also, the total grant under Article 275 will be the amount to meet the net revenue account deficit plus half of the Plan revenue account gap. Annexure VII.1 gives the financing pattern for revenue Plan expenditure of the 14 non-Special Category States determined accordingly.</w:t>
      </w:r>
    </w:p>
    <w:p w14:paraId="340479FD" w14:textId="5BEAF56A" w:rsidR="00980308" w:rsidRDefault="008C23D5" w:rsidP="004F48AC">
      <w:pPr>
        <w:pStyle w:val="Heading3"/>
        <w:spacing w:after="0" w:line="180" w:lineRule="exact"/>
      </w:pPr>
      <w:r w:rsidRPr="00AA6AF4">
        <w:t xml:space="preserve">We have already explained how, in assessing revenue Plan expenditure, we have adopted a method for Special Category States (and Goa) different from what we adopted for the 14 non-Special Category States. Some difference is unavoidable in the matter of financing also. Here the basic factor is that special category States with an Assam and Jammu and Kashmir in their Plan assistance in the ratio of 90:10 as grant and loans during this Plan period, go to meet capital expenditure also. During our discussions we had with them, these States have requested that the Finance Commission's recommendations regarding grants may not be allowed to adversely affect their Plan assistance in the ratio of Central assistance. We concede this point. We do not propose to link the likely revenue Plan expenditure of these States to their Plan grants. </w:t>
      </w:r>
      <w:proofErr w:type="gramStart"/>
      <w:r w:rsidRPr="00AA6AF4">
        <w:t>So</w:t>
      </w:r>
      <w:proofErr w:type="gramEnd"/>
      <w:r w:rsidRPr="00AA6AF4">
        <w:t xml:space="preserve"> we are not recommending any grants under Article 275 for Plan financing for Special Category States other than Assam and Jammu and Kashmir in order to ensure that they continue to enjoy the special assistance in regards to Plan grants. We have built into our estimates of the Central Government's revenue expenditure adequate amount for growth rate of 15 per cent per annum (as against 10 per cent growth in other cases) for providing Plan grants to these </w:t>
      </w:r>
      <w:r w:rsidR="004F48AC">
        <w:t>e</w:t>
      </w:r>
      <w:r w:rsidR="00C31384" w:rsidRPr="00AA6AF4">
        <w:t xml:space="preserve">ight </w:t>
      </w:r>
      <w:r w:rsidR="00C31384" w:rsidRPr="004F48AC">
        <w:t>Special Category States. The amounts are given below.</w:t>
      </w:r>
    </w:p>
    <w:tbl>
      <w:tblPr>
        <w:tblStyle w:val="TableGrid"/>
        <w:tblW w:w="6799" w:type="dxa"/>
        <w:jc w:val="center"/>
        <w:tblLook w:val="04A0" w:firstRow="1" w:lastRow="0" w:firstColumn="1" w:lastColumn="0" w:noHBand="0" w:noVBand="1"/>
      </w:tblPr>
      <w:tblGrid>
        <w:gridCol w:w="988"/>
        <w:gridCol w:w="850"/>
        <w:gridCol w:w="1134"/>
        <w:gridCol w:w="992"/>
        <w:gridCol w:w="851"/>
        <w:gridCol w:w="992"/>
        <w:gridCol w:w="992"/>
      </w:tblGrid>
      <w:tr w:rsidR="00FC0808" w:rsidRPr="00703C54" w14:paraId="30F5466D" w14:textId="77777777" w:rsidTr="0004184B">
        <w:trPr>
          <w:trHeight w:val="20"/>
          <w:jc w:val="center"/>
        </w:trPr>
        <w:tc>
          <w:tcPr>
            <w:tcW w:w="988" w:type="dxa"/>
            <w:hideMark/>
          </w:tcPr>
          <w:p w14:paraId="5EFE7CA8"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1989-90</w:t>
            </w:r>
          </w:p>
        </w:tc>
        <w:tc>
          <w:tcPr>
            <w:tcW w:w="850" w:type="dxa"/>
            <w:hideMark/>
          </w:tcPr>
          <w:p w14:paraId="640118F0"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1990-91</w:t>
            </w:r>
          </w:p>
        </w:tc>
        <w:tc>
          <w:tcPr>
            <w:tcW w:w="1134" w:type="dxa"/>
            <w:hideMark/>
          </w:tcPr>
          <w:p w14:paraId="19269C36"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1991-92</w:t>
            </w:r>
          </w:p>
        </w:tc>
        <w:tc>
          <w:tcPr>
            <w:tcW w:w="992" w:type="dxa"/>
            <w:hideMark/>
          </w:tcPr>
          <w:p w14:paraId="7943821B"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1992-93</w:t>
            </w:r>
          </w:p>
        </w:tc>
        <w:tc>
          <w:tcPr>
            <w:tcW w:w="851" w:type="dxa"/>
            <w:hideMark/>
          </w:tcPr>
          <w:p w14:paraId="2DE33262"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1993-94</w:t>
            </w:r>
          </w:p>
        </w:tc>
        <w:tc>
          <w:tcPr>
            <w:tcW w:w="992" w:type="dxa"/>
            <w:hideMark/>
          </w:tcPr>
          <w:p w14:paraId="001094B9"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1994-95</w:t>
            </w:r>
          </w:p>
        </w:tc>
        <w:tc>
          <w:tcPr>
            <w:tcW w:w="992" w:type="dxa"/>
            <w:hideMark/>
          </w:tcPr>
          <w:p w14:paraId="17263CC0" w14:textId="77777777" w:rsidR="00FC0808" w:rsidRPr="00703C54" w:rsidRDefault="00FC0808" w:rsidP="004E6F59">
            <w:pPr>
              <w:pStyle w:val="NoSpacing"/>
              <w:spacing w:line="180" w:lineRule="exact"/>
              <w:jc w:val="center"/>
              <w:rPr>
                <w:rFonts w:ascii="Times New Roman" w:hAnsi="Times New Roman" w:cs="Times New Roman"/>
                <w:b/>
                <w:bCs/>
                <w:sz w:val="18"/>
                <w:szCs w:val="18"/>
              </w:rPr>
            </w:pPr>
            <w:r w:rsidRPr="00703C54">
              <w:rPr>
                <w:rFonts w:ascii="Times New Roman" w:hAnsi="Times New Roman" w:cs="Times New Roman"/>
                <w:b/>
                <w:bCs/>
                <w:sz w:val="18"/>
                <w:szCs w:val="18"/>
              </w:rPr>
              <w:t>1990-95</w:t>
            </w:r>
          </w:p>
        </w:tc>
      </w:tr>
      <w:tr w:rsidR="00FC0808" w:rsidRPr="00703C54" w14:paraId="78D6059A" w14:textId="77777777" w:rsidTr="0004184B">
        <w:trPr>
          <w:trHeight w:val="20"/>
          <w:jc w:val="center"/>
        </w:trPr>
        <w:tc>
          <w:tcPr>
            <w:tcW w:w="988" w:type="dxa"/>
            <w:hideMark/>
          </w:tcPr>
          <w:p w14:paraId="4C9B9F54"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891</w:t>
            </w:r>
          </w:p>
        </w:tc>
        <w:tc>
          <w:tcPr>
            <w:tcW w:w="850" w:type="dxa"/>
            <w:hideMark/>
          </w:tcPr>
          <w:p w14:paraId="093C3814"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1025</w:t>
            </w:r>
          </w:p>
        </w:tc>
        <w:tc>
          <w:tcPr>
            <w:tcW w:w="1134" w:type="dxa"/>
            <w:hideMark/>
          </w:tcPr>
          <w:p w14:paraId="66401395"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1179</w:t>
            </w:r>
          </w:p>
        </w:tc>
        <w:tc>
          <w:tcPr>
            <w:tcW w:w="992" w:type="dxa"/>
            <w:hideMark/>
          </w:tcPr>
          <w:p w14:paraId="433C1D6F"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1355</w:t>
            </w:r>
          </w:p>
        </w:tc>
        <w:tc>
          <w:tcPr>
            <w:tcW w:w="851" w:type="dxa"/>
            <w:hideMark/>
          </w:tcPr>
          <w:p w14:paraId="74421126"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1559</w:t>
            </w:r>
          </w:p>
        </w:tc>
        <w:tc>
          <w:tcPr>
            <w:tcW w:w="992" w:type="dxa"/>
            <w:hideMark/>
          </w:tcPr>
          <w:p w14:paraId="2598D93D"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1792</w:t>
            </w:r>
          </w:p>
        </w:tc>
        <w:tc>
          <w:tcPr>
            <w:tcW w:w="992" w:type="dxa"/>
            <w:hideMark/>
          </w:tcPr>
          <w:p w14:paraId="73D2CB81" w14:textId="77777777" w:rsidR="00FC0808" w:rsidRPr="00703C54" w:rsidRDefault="00FC0808" w:rsidP="004E6F59">
            <w:pPr>
              <w:pStyle w:val="NoSpacing"/>
              <w:spacing w:line="180" w:lineRule="exact"/>
              <w:jc w:val="center"/>
              <w:rPr>
                <w:rFonts w:ascii="Times New Roman" w:hAnsi="Times New Roman" w:cs="Times New Roman"/>
                <w:sz w:val="18"/>
                <w:szCs w:val="18"/>
              </w:rPr>
            </w:pPr>
            <w:r w:rsidRPr="00703C54">
              <w:rPr>
                <w:rFonts w:ascii="Times New Roman" w:hAnsi="Times New Roman" w:cs="Times New Roman"/>
                <w:sz w:val="18"/>
                <w:szCs w:val="18"/>
              </w:rPr>
              <w:t>6910</w:t>
            </w:r>
          </w:p>
        </w:tc>
      </w:tr>
    </w:tbl>
    <w:p w14:paraId="78FD6AEE" w14:textId="2AD847A0" w:rsidR="00FC0808" w:rsidRPr="00980308" w:rsidRDefault="00FC0808" w:rsidP="004E6F59">
      <w:pPr>
        <w:spacing w:after="0" w:line="180" w:lineRule="exact"/>
        <w:jc w:val="both"/>
        <w:rPr>
          <w:rFonts w:ascii="Times New Roman" w:hAnsi="Times New Roman" w:cs="Times New Roman"/>
          <w:sz w:val="18"/>
          <w:szCs w:val="18"/>
        </w:rPr>
      </w:pPr>
      <w:r w:rsidRPr="00980308">
        <w:rPr>
          <w:rFonts w:ascii="Times New Roman" w:hAnsi="Times New Roman" w:cs="Times New Roman"/>
          <w:sz w:val="18"/>
          <w:szCs w:val="18"/>
        </w:rPr>
        <w:lastRenderedPageBreak/>
        <w:t>As in respect of other States, these do not include assistance for externally aided projects, etc.</w:t>
      </w:r>
    </w:p>
    <w:p w14:paraId="53E32B41" w14:textId="311D71FC" w:rsidR="00FC0808" w:rsidRPr="00AA6AF4" w:rsidRDefault="00FC0808" w:rsidP="004E6F59">
      <w:pPr>
        <w:pStyle w:val="Heading3"/>
        <w:spacing w:after="0" w:line="180" w:lineRule="exact"/>
      </w:pPr>
      <w:r w:rsidRPr="00AA6AF4">
        <w:t>For Assam, Goa and Jammu and Kashmir we have followed the same pattern as for the 14 non-Special Category States. The scheme of financing their revenue account Plan is at Annexure VII.2.</w:t>
      </w:r>
    </w:p>
    <w:p w14:paraId="4CFF3195" w14:textId="7E7E1168" w:rsidR="00FC0808" w:rsidRPr="00AA6AF4" w:rsidRDefault="00FC0808" w:rsidP="004E6F59">
      <w:pPr>
        <w:pStyle w:val="Heading3"/>
        <w:spacing w:after="0" w:line="180" w:lineRule="exact"/>
      </w:pPr>
      <w:r w:rsidRPr="00AA6AF4">
        <w:t>Previous Finance Commissions determined the gap grants under Article 275 equal to each State's deficit each year so that all States' non-Plan revenue accounts were balanced (or left with a surplus) every year. This was necessary as those Commissions were dealing only with the non-Plan revenue account. This Commission is not only dealing with the total revenue account but is also expected to work towards eliminating deficits in revenue account. Keeping these aspects in view, the net deficit (after adjustment of deficits and surpluses of different years) has been taken for assessing the need for grants. Similarly, the actual payment of grants under Article 275 is also proposed to be phased in a manner not necessarily linked to each year's deficit in the revenue account. The total grants have been distributed as follows in the case of non-Special Category States other than Goa.</w:t>
      </w:r>
    </w:p>
    <w:tbl>
      <w:tblPr>
        <w:tblStyle w:val="TableGrid"/>
        <w:tblW w:w="5406" w:type="dxa"/>
        <w:jc w:val="center"/>
        <w:tblLook w:val="04A0" w:firstRow="1" w:lastRow="0" w:firstColumn="1" w:lastColumn="0" w:noHBand="0" w:noVBand="1"/>
      </w:tblPr>
      <w:tblGrid>
        <w:gridCol w:w="2473"/>
        <w:gridCol w:w="2933"/>
      </w:tblGrid>
      <w:tr w:rsidR="00FC0808" w:rsidRPr="00980308" w14:paraId="34EF8EB0" w14:textId="77777777" w:rsidTr="00980308">
        <w:trPr>
          <w:trHeight w:val="25"/>
          <w:jc w:val="center"/>
        </w:trPr>
        <w:tc>
          <w:tcPr>
            <w:tcW w:w="0" w:type="auto"/>
            <w:vAlign w:val="center"/>
            <w:hideMark/>
          </w:tcPr>
          <w:p w14:paraId="751DFA37" w14:textId="77777777" w:rsidR="00FC0808" w:rsidRPr="00C721FD" w:rsidRDefault="00FC0808" w:rsidP="004E6F59">
            <w:pPr>
              <w:pStyle w:val="NoSpacing"/>
              <w:spacing w:line="180" w:lineRule="exact"/>
              <w:jc w:val="center"/>
              <w:rPr>
                <w:rFonts w:ascii="Times New Roman" w:hAnsi="Times New Roman" w:cs="Times New Roman"/>
                <w:b/>
                <w:bCs/>
                <w:sz w:val="18"/>
                <w:szCs w:val="18"/>
              </w:rPr>
            </w:pPr>
            <w:r w:rsidRPr="00C721FD">
              <w:rPr>
                <w:rFonts w:ascii="Times New Roman" w:hAnsi="Times New Roman" w:cs="Times New Roman"/>
                <w:b/>
                <w:bCs/>
                <w:sz w:val="18"/>
                <w:szCs w:val="18"/>
              </w:rPr>
              <w:t>Year</w:t>
            </w:r>
          </w:p>
        </w:tc>
        <w:tc>
          <w:tcPr>
            <w:tcW w:w="0" w:type="auto"/>
            <w:vAlign w:val="center"/>
            <w:hideMark/>
          </w:tcPr>
          <w:p w14:paraId="1A150F10" w14:textId="77777777" w:rsidR="00FC0808" w:rsidRPr="00C721FD" w:rsidRDefault="00FC0808" w:rsidP="004E6F59">
            <w:pPr>
              <w:pStyle w:val="NoSpacing"/>
              <w:spacing w:line="180" w:lineRule="exact"/>
              <w:jc w:val="center"/>
              <w:rPr>
                <w:rFonts w:ascii="Times New Roman" w:hAnsi="Times New Roman" w:cs="Times New Roman"/>
                <w:b/>
                <w:bCs/>
                <w:sz w:val="18"/>
                <w:szCs w:val="18"/>
              </w:rPr>
            </w:pPr>
            <w:r w:rsidRPr="00C721FD">
              <w:rPr>
                <w:rFonts w:ascii="Times New Roman" w:hAnsi="Times New Roman" w:cs="Times New Roman"/>
                <w:b/>
                <w:bCs/>
                <w:sz w:val="18"/>
                <w:szCs w:val="18"/>
              </w:rPr>
              <w:t>(Per cent)</w:t>
            </w:r>
          </w:p>
        </w:tc>
      </w:tr>
      <w:tr w:rsidR="00FC0808" w:rsidRPr="00980308" w14:paraId="06FCCF8A" w14:textId="77777777" w:rsidTr="00980308">
        <w:trPr>
          <w:trHeight w:val="25"/>
          <w:jc w:val="center"/>
        </w:trPr>
        <w:tc>
          <w:tcPr>
            <w:tcW w:w="0" w:type="auto"/>
            <w:vAlign w:val="center"/>
            <w:hideMark/>
          </w:tcPr>
          <w:p w14:paraId="6541C06A"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1990-91</w:t>
            </w:r>
          </w:p>
        </w:tc>
        <w:tc>
          <w:tcPr>
            <w:tcW w:w="0" w:type="auto"/>
            <w:vAlign w:val="center"/>
            <w:hideMark/>
          </w:tcPr>
          <w:p w14:paraId="267F917A"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13.5</w:t>
            </w:r>
          </w:p>
        </w:tc>
      </w:tr>
      <w:tr w:rsidR="00FC0808" w:rsidRPr="00980308" w14:paraId="363DE06A" w14:textId="77777777" w:rsidTr="00980308">
        <w:trPr>
          <w:trHeight w:val="25"/>
          <w:jc w:val="center"/>
        </w:trPr>
        <w:tc>
          <w:tcPr>
            <w:tcW w:w="0" w:type="auto"/>
            <w:vAlign w:val="center"/>
            <w:hideMark/>
          </w:tcPr>
          <w:p w14:paraId="2BB288EC"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1991-92</w:t>
            </w:r>
          </w:p>
        </w:tc>
        <w:tc>
          <w:tcPr>
            <w:tcW w:w="0" w:type="auto"/>
            <w:vAlign w:val="center"/>
            <w:hideMark/>
          </w:tcPr>
          <w:p w14:paraId="7B3B8A84"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16.0</w:t>
            </w:r>
          </w:p>
        </w:tc>
      </w:tr>
      <w:tr w:rsidR="00FC0808" w:rsidRPr="00980308" w14:paraId="64CFBDE9" w14:textId="77777777" w:rsidTr="00980308">
        <w:trPr>
          <w:trHeight w:val="25"/>
          <w:jc w:val="center"/>
        </w:trPr>
        <w:tc>
          <w:tcPr>
            <w:tcW w:w="0" w:type="auto"/>
            <w:vAlign w:val="center"/>
            <w:hideMark/>
          </w:tcPr>
          <w:p w14:paraId="7ED72316"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1992-93</w:t>
            </w:r>
          </w:p>
        </w:tc>
        <w:tc>
          <w:tcPr>
            <w:tcW w:w="0" w:type="auto"/>
            <w:vAlign w:val="center"/>
            <w:hideMark/>
          </w:tcPr>
          <w:p w14:paraId="1E6A085E"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19.5</w:t>
            </w:r>
          </w:p>
        </w:tc>
      </w:tr>
      <w:tr w:rsidR="00FC0808" w:rsidRPr="00980308" w14:paraId="14C414FB" w14:textId="77777777" w:rsidTr="00980308">
        <w:trPr>
          <w:trHeight w:val="25"/>
          <w:jc w:val="center"/>
        </w:trPr>
        <w:tc>
          <w:tcPr>
            <w:tcW w:w="0" w:type="auto"/>
            <w:vAlign w:val="center"/>
            <w:hideMark/>
          </w:tcPr>
          <w:p w14:paraId="10B58397"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1993-94</w:t>
            </w:r>
          </w:p>
        </w:tc>
        <w:tc>
          <w:tcPr>
            <w:tcW w:w="0" w:type="auto"/>
            <w:vAlign w:val="center"/>
            <w:hideMark/>
          </w:tcPr>
          <w:p w14:paraId="1E85F992"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23.0</w:t>
            </w:r>
          </w:p>
        </w:tc>
      </w:tr>
      <w:tr w:rsidR="00FC0808" w:rsidRPr="00980308" w14:paraId="65D87A33" w14:textId="77777777" w:rsidTr="00980308">
        <w:trPr>
          <w:trHeight w:val="25"/>
          <w:jc w:val="center"/>
        </w:trPr>
        <w:tc>
          <w:tcPr>
            <w:tcW w:w="0" w:type="auto"/>
            <w:vAlign w:val="center"/>
            <w:hideMark/>
          </w:tcPr>
          <w:p w14:paraId="4165AAD7"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1994-95</w:t>
            </w:r>
          </w:p>
        </w:tc>
        <w:tc>
          <w:tcPr>
            <w:tcW w:w="0" w:type="auto"/>
            <w:vAlign w:val="center"/>
            <w:hideMark/>
          </w:tcPr>
          <w:p w14:paraId="7457C2C8" w14:textId="77777777" w:rsidR="00FC0808" w:rsidRPr="00980308" w:rsidRDefault="00FC0808" w:rsidP="004E6F59">
            <w:pPr>
              <w:pStyle w:val="NoSpacing"/>
              <w:spacing w:line="180" w:lineRule="exact"/>
              <w:jc w:val="center"/>
              <w:rPr>
                <w:rFonts w:ascii="Times New Roman" w:hAnsi="Times New Roman" w:cs="Times New Roman"/>
                <w:sz w:val="18"/>
                <w:szCs w:val="18"/>
              </w:rPr>
            </w:pPr>
            <w:r w:rsidRPr="00980308">
              <w:rPr>
                <w:rFonts w:ascii="Times New Roman" w:hAnsi="Times New Roman" w:cs="Times New Roman"/>
                <w:sz w:val="18"/>
                <w:szCs w:val="18"/>
              </w:rPr>
              <w:t>28.0</w:t>
            </w:r>
          </w:p>
        </w:tc>
      </w:tr>
    </w:tbl>
    <w:p w14:paraId="3CD4E6FF" w14:textId="32E523CB" w:rsidR="00FC0808" w:rsidRPr="00AA6AF4" w:rsidRDefault="00FC0808" w:rsidP="004E6F59">
      <w:pPr>
        <w:pStyle w:val="Heading3"/>
        <w:spacing w:after="0" w:line="180" w:lineRule="exact"/>
      </w:pPr>
      <w:r w:rsidRPr="00AA6AF4">
        <w:t>Consequent on the assessment detailed so far in this Chapter we recommend grants-in-aid to States in each of the five years from 1990-91 to 1994-95, as shown in Table 3.</w:t>
      </w:r>
    </w:p>
    <w:p w14:paraId="0111753F" w14:textId="77777777" w:rsidR="00EE5540" w:rsidRPr="0004184B" w:rsidRDefault="00C721FD" w:rsidP="004E6F59">
      <w:pPr>
        <w:spacing w:after="0"/>
        <w:jc w:val="center"/>
        <w:rPr>
          <w:rFonts w:ascii="Times New Roman" w:hAnsi="Times New Roman" w:cs="Times New Roman"/>
          <w:b/>
          <w:bCs/>
          <w:sz w:val="18"/>
          <w:szCs w:val="18"/>
        </w:rPr>
      </w:pPr>
      <w:r w:rsidRPr="0004184B">
        <w:rPr>
          <w:rFonts w:ascii="Times New Roman" w:hAnsi="Times New Roman" w:cs="Times New Roman"/>
          <w:b/>
          <w:bCs/>
          <w:sz w:val="18"/>
          <w:szCs w:val="18"/>
        </w:rPr>
        <w:t xml:space="preserve">TABLE 3 </w:t>
      </w:r>
      <w:r w:rsidRPr="0004184B">
        <w:rPr>
          <w:rFonts w:ascii="Times New Roman" w:hAnsi="Times New Roman" w:cs="Times New Roman"/>
          <w:b/>
          <w:bCs/>
          <w:sz w:val="18"/>
          <w:szCs w:val="18"/>
        </w:rPr>
        <w:br/>
      </w:r>
      <w:r w:rsidR="008E2CAA" w:rsidRPr="0004184B">
        <w:rPr>
          <w:rFonts w:ascii="Times New Roman" w:hAnsi="Times New Roman" w:cs="Times New Roman"/>
          <w:b/>
          <w:bCs/>
          <w:sz w:val="18"/>
          <w:szCs w:val="18"/>
        </w:rPr>
        <w:t xml:space="preserve">Grants-In-Aid </w:t>
      </w:r>
      <w:proofErr w:type="gramStart"/>
      <w:r w:rsidR="008E2CAA" w:rsidRPr="0004184B">
        <w:rPr>
          <w:rFonts w:ascii="Times New Roman" w:hAnsi="Times New Roman" w:cs="Times New Roman"/>
          <w:b/>
          <w:bCs/>
          <w:sz w:val="18"/>
          <w:szCs w:val="18"/>
        </w:rPr>
        <w:t>To</w:t>
      </w:r>
      <w:proofErr w:type="gramEnd"/>
      <w:r w:rsidR="008E2CAA" w:rsidRPr="0004184B">
        <w:rPr>
          <w:rFonts w:ascii="Times New Roman" w:hAnsi="Times New Roman" w:cs="Times New Roman"/>
          <w:b/>
          <w:bCs/>
          <w:sz w:val="18"/>
          <w:szCs w:val="18"/>
        </w:rPr>
        <w:t xml:space="preserve"> States: 1990-95</w:t>
      </w:r>
    </w:p>
    <w:p w14:paraId="5C18EEFA" w14:textId="092C3C49" w:rsidR="008E2CAA" w:rsidRPr="00EE5540" w:rsidRDefault="008E2CAA" w:rsidP="004E6F59">
      <w:pPr>
        <w:pStyle w:val="Heading4"/>
        <w:spacing w:after="0" w:line="180" w:lineRule="exact"/>
        <w:ind w:left="7200" w:firstLine="720"/>
        <w:rPr>
          <w:b w:val="0"/>
          <w:bCs w:val="0"/>
        </w:rPr>
      </w:pPr>
      <w:r w:rsidRPr="00EE5540">
        <w:rPr>
          <w:b w:val="0"/>
          <w:bCs w:val="0"/>
          <w:i/>
          <w:iCs/>
          <w:sz w:val="18"/>
          <w:szCs w:val="18"/>
        </w:rPr>
        <w:t>(Rs. Crore)</w:t>
      </w:r>
    </w:p>
    <w:tbl>
      <w:tblPr>
        <w:tblStyle w:val="TableGrid"/>
        <w:tblW w:w="9067" w:type="dxa"/>
        <w:jc w:val="center"/>
        <w:tblLook w:val="04A0" w:firstRow="1" w:lastRow="0" w:firstColumn="1" w:lastColumn="0" w:noHBand="0" w:noVBand="1"/>
      </w:tblPr>
      <w:tblGrid>
        <w:gridCol w:w="1980"/>
        <w:gridCol w:w="992"/>
        <w:gridCol w:w="992"/>
        <w:gridCol w:w="1276"/>
        <w:gridCol w:w="1276"/>
        <w:gridCol w:w="1276"/>
        <w:gridCol w:w="1275"/>
      </w:tblGrid>
      <w:tr w:rsidR="008E2CAA" w:rsidRPr="0004184B" w14:paraId="75758494" w14:textId="77777777" w:rsidTr="0004184B">
        <w:trPr>
          <w:trHeight w:val="54"/>
          <w:jc w:val="center"/>
        </w:trPr>
        <w:tc>
          <w:tcPr>
            <w:tcW w:w="1980" w:type="dxa"/>
            <w:vAlign w:val="center"/>
            <w:hideMark/>
          </w:tcPr>
          <w:p w14:paraId="4394D113" w14:textId="77777777"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States</w:t>
            </w:r>
          </w:p>
        </w:tc>
        <w:tc>
          <w:tcPr>
            <w:tcW w:w="992" w:type="dxa"/>
            <w:vAlign w:val="center"/>
            <w:hideMark/>
          </w:tcPr>
          <w:p w14:paraId="3F25A117" w14:textId="320E9338"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1990-91</w:t>
            </w:r>
          </w:p>
        </w:tc>
        <w:tc>
          <w:tcPr>
            <w:tcW w:w="992" w:type="dxa"/>
            <w:vAlign w:val="center"/>
            <w:hideMark/>
          </w:tcPr>
          <w:p w14:paraId="21A1CB5F" w14:textId="74328DF4"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1991-92</w:t>
            </w:r>
          </w:p>
        </w:tc>
        <w:tc>
          <w:tcPr>
            <w:tcW w:w="1276" w:type="dxa"/>
            <w:vAlign w:val="center"/>
            <w:hideMark/>
          </w:tcPr>
          <w:p w14:paraId="5703B116" w14:textId="527CB5D6"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1992-93</w:t>
            </w:r>
          </w:p>
        </w:tc>
        <w:tc>
          <w:tcPr>
            <w:tcW w:w="1276" w:type="dxa"/>
            <w:vAlign w:val="center"/>
            <w:hideMark/>
          </w:tcPr>
          <w:p w14:paraId="43AD6DF6" w14:textId="1558B7AC"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1993-94</w:t>
            </w:r>
          </w:p>
        </w:tc>
        <w:tc>
          <w:tcPr>
            <w:tcW w:w="1276" w:type="dxa"/>
            <w:vAlign w:val="center"/>
            <w:hideMark/>
          </w:tcPr>
          <w:p w14:paraId="6F604F74" w14:textId="078B0EAA"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1994-95</w:t>
            </w:r>
          </w:p>
        </w:tc>
        <w:tc>
          <w:tcPr>
            <w:tcW w:w="1275" w:type="dxa"/>
            <w:vAlign w:val="center"/>
            <w:hideMark/>
          </w:tcPr>
          <w:p w14:paraId="5CD51438" w14:textId="7CBE46AD"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Total 1990-95</w:t>
            </w:r>
          </w:p>
        </w:tc>
      </w:tr>
      <w:tr w:rsidR="00EE248A" w:rsidRPr="0004184B" w14:paraId="69F85482" w14:textId="77777777" w:rsidTr="0004184B">
        <w:trPr>
          <w:trHeight w:val="54"/>
          <w:jc w:val="center"/>
        </w:trPr>
        <w:tc>
          <w:tcPr>
            <w:tcW w:w="1980" w:type="dxa"/>
            <w:vAlign w:val="center"/>
          </w:tcPr>
          <w:p w14:paraId="46AC8B9D" w14:textId="77777777" w:rsidR="00EE248A" w:rsidRPr="0004184B" w:rsidRDefault="00EE248A" w:rsidP="004E6F59">
            <w:pPr>
              <w:pStyle w:val="NoSpacing"/>
              <w:spacing w:line="180" w:lineRule="exact"/>
              <w:rPr>
                <w:rFonts w:ascii="Times New Roman" w:hAnsi="Times New Roman" w:cs="Times New Roman"/>
                <w:b/>
                <w:bCs/>
                <w:sz w:val="18"/>
                <w:szCs w:val="18"/>
              </w:rPr>
            </w:pPr>
          </w:p>
        </w:tc>
        <w:tc>
          <w:tcPr>
            <w:tcW w:w="992" w:type="dxa"/>
            <w:vAlign w:val="center"/>
          </w:tcPr>
          <w:p w14:paraId="6474E724" w14:textId="535D6C46" w:rsidR="00EE248A" w:rsidRPr="0004184B" w:rsidRDefault="00EE248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w:t>
            </w:r>
          </w:p>
        </w:tc>
        <w:tc>
          <w:tcPr>
            <w:tcW w:w="992" w:type="dxa"/>
            <w:vAlign w:val="center"/>
          </w:tcPr>
          <w:p w14:paraId="73D43980" w14:textId="2D9D8781" w:rsidR="00EE248A" w:rsidRPr="0004184B" w:rsidRDefault="00EE248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(2)</w:t>
            </w:r>
          </w:p>
        </w:tc>
        <w:tc>
          <w:tcPr>
            <w:tcW w:w="1276" w:type="dxa"/>
            <w:vAlign w:val="center"/>
          </w:tcPr>
          <w:p w14:paraId="2FAED325" w14:textId="162B4219" w:rsidR="00EE248A" w:rsidRPr="0004184B" w:rsidRDefault="00EE248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(3)</w:t>
            </w:r>
          </w:p>
        </w:tc>
        <w:tc>
          <w:tcPr>
            <w:tcW w:w="1276" w:type="dxa"/>
            <w:vAlign w:val="center"/>
          </w:tcPr>
          <w:p w14:paraId="60E6FECB" w14:textId="077490CF" w:rsidR="00EE248A" w:rsidRPr="0004184B" w:rsidRDefault="00EE248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(4)</w:t>
            </w:r>
          </w:p>
        </w:tc>
        <w:tc>
          <w:tcPr>
            <w:tcW w:w="1276" w:type="dxa"/>
            <w:vAlign w:val="center"/>
          </w:tcPr>
          <w:p w14:paraId="18C98F1C" w14:textId="2339FF25" w:rsidR="00EE248A" w:rsidRPr="0004184B" w:rsidRDefault="00EE248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(5)</w:t>
            </w:r>
          </w:p>
        </w:tc>
        <w:tc>
          <w:tcPr>
            <w:tcW w:w="1275" w:type="dxa"/>
            <w:vAlign w:val="center"/>
          </w:tcPr>
          <w:p w14:paraId="0783E517" w14:textId="648BE97E" w:rsidR="00EE248A" w:rsidRPr="0004184B" w:rsidRDefault="00EE248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(6)</w:t>
            </w:r>
          </w:p>
        </w:tc>
      </w:tr>
      <w:tr w:rsidR="008E2CAA" w:rsidRPr="0004184B" w14:paraId="67E685D2" w14:textId="77777777" w:rsidTr="0004184B">
        <w:trPr>
          <w:trHeight w:val="54"/>
          <w:jc w:val="center"/>
        </w:trPr>
        <w:tc>
          <w:tcPr>
            <w:tcW w:w="1980" w:type="dxa"/>
            <w:vAlign w:val="center"/>
            <w:hideMark/>
          </w:tcPr>
          <w:p w14:paraId="386C129C"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 Andhra Pradesh</w:t>
            </w:r>
          </w:p>
        </w:tc>
        <w:tc>
          <w:tcPr>
            <w:tcW w:w="992" w:type="dxa"/>
            <w:vAlign w:val="center"/>
            <w:hideMark/>
          </w:tcPr>
          <w:p w14:paraId="2512B36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46.07</w:t>
            </w:r>
          </w:p>
        </w:tc>
        <w:tc>
          <w:tcPr>
            <w:tcW w:w="992" w:type="dxa"/>
            <w:vAlign w:val="center"/>
            <w:hideMark/>
          </w:tcPr>
          <w:p w14:paraId="597A44BF"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54.60</w:t>
            </w:r>
          </w:p>
        </w:tc>
        <w:tc>
          <w:tcPr>
            <w:tcW w:w="1276" w:type="dxa"/>
            <w:vAlign w:val="center"/>
            <w:hideMark/>
          </w:tcPr>
          <w:p w14:paraId="42AC3FA9"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66.54</w:t>
            </w:r>
          </w:p>
        </w:tc>
        <w:tc>
          <w:tcPr>
            <w:tcW w:w="1276" w:type="dxa"/>
            <w:vAlign w:val="center"/>
            <w:hideMark/>
          </w:tcPr>
          <w:p w14:paraId="6512FBE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78.49</w:t>
            </w:r>
          </w:p>
        </w:tc>
        <w:tc>
          <w:tcPr>
            <w:tcW w:w="1276" w:type="dxa"/>
            <w:vAlign w:val="center"/>
            <w:hideMark/>
          </w:tcPr>
          <w:p w14:paraId="2457A28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95.55</w:t>
            </w:r>
          </w:p>
        </w:tc>
        <w:tc>
          <w:tcPr>
            <w:tcW w:w="1275" w:type="dxa"/>
            <w:vAlign w:val="center"/>
            <w:hideMark/>
          </w:tcPr>
          <w:p w14:paraId="51027F9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341.25</w:t>
            </w:r>
          </w:p>
        </w:tc>
      </w:tr>
      <w:tr w:rsidR="008E2CAA" w:rsidRPr="0004184B" w14:paraId="3AE45B3F" w14:textId="77777777" w:rsidTr="0004184B">
        <w:trPr>
          <w:trHeight w:val="54"/>
          <w:jc w:val="center"/>
        </w:trPr>
        <w:tc>
          <w:tcPr>
            <w:tcW w:w="1980" w:type="dxa"/>
            <w:vAlign w:val="center"/>
            <w:hideMark/>
          </w:tcPr>
          <w:p w14:paraId="11A8B6B0"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2. Arunachal Pradesh</w:t>
            </w:r>
          </w:p>
        </w:tc>
        <w:tc>
          <w:tcPr>
            <w:tcW w:w="992" w:type="dxa"/>
            <w:vAlign w:val="center"/>
            <w:hideMark/>
          </w:tcPr>
          <w:p w14:paraId="107538E9"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57.65</w:t>
            </w:r>
          </w:p>
        </w:tc>
        <w:tc>
          <w:tcPr>
            <w:tcW w:w="992" w:type="dxa"/>
            <w:vAlign w:val="center"/>
            <w:hideMark/>
          </w:tcPr>
          <w:p w14:paraId="7C14F43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59.45</w:t>
            </w:r>
          </w:p>
        </w:tc>
        <w:tc>
          <w:tcPr>
            <w:tcW w:w="1276" w:type="dxa"/>
            <w:vAlign w:val="center"/>
            <w:hideMark/>
          </w:tcPr>
          <w:p w14:paraId="4AEAF82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60.76</w:t>
            </w:r>
          </w:p>
        </w:tc>
        <w:tc>
          <w:tcPr>
            <w:tcW w:w="1276" w:type="dxa"/>
            <w:vAlign w:val="center"/>
            <w:hideMark/>
          </w:tcPr>
          <w:p w14:paraId="333F5706"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61.48</w:t>
            </w:r>
          </w:p>
        </w:tc>
        <w:tc>
          <w:tcPr>
            <w:tcW w:w="1276" w:type="dxa"/>
            <w:vAlign w:val="center"/>
            <w:hideMark/>
          </w:tcPr>
          <w:p w14:paraId="1FFA4D0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63.45</w:t>
            </w:r>
          </w:p>
        </w:tc>
        <w:tc>
          <w:tcPr>
            <w:tcW w:w="1275" w:type="dxa"/>
            <w:vAlign w:val="center"/>
            <w:hideMark/>
          </w:tcPr>
          <w:p w14:paraId="606918A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302.79</w:t>
            </w:r>
          </w:p>
        </w:tc>
      </w:tr>
      <w:tr w:rsidR="008E2CAA" w:rsidRPr="0004184B" w14:paraId="20CF321C" w14:textId="77777777" w:rsidTr="0004184B">
        <w:trPr>
          <w:trHeight w:val="54"/>
          <w:jc w:val="center"/>
        </w:trPr>
        <w:tc>
          <w:tcPr>
            <w:tcW w:w="1980" w:type="dxa"/>
            <w:vAlign w:val="center"/>
            <w:hideMark/>
          </w:tcPr>
          <w:p w14:paraId="658D54C7"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3. Assam</w:t>
            </w:r>
          </w:p>
        </w:tc>
        <w:tc>
          <w:tcPr>
            <w:tcW w:w="992" w:type="dxa"/>
            <w:vAlign w:val="center"/>
            <w:hideMark/>
          </w:tcPr>
          <w:p w14:paraId="79FA4EC6"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205.61</w:t>
            </w:r>
          </w:p>
        </w:tc>
        <w:tc>
          <w:tcPr>
            <w:tcW w:w="992" w:type="dxa"/>
            <w:vAlign w:val="center"/>
            <w:hideMark/>
          </w:tcPr>
          <w:p w14:paraId="12AD052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179.68</w:t>
            </w:r>
          </w:p>
        </w:tc>
        <w:tc>
          <w:tcPr>
            <w:tcW w:w="1276" w:type="dxa"/>
            <w:vAlign w:val="center"/>
            <w:hideMark/>
          </w:tcPr>
          <w:p w14:paraId="12AA9EE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172.87</w:t>
            </w:r>
          </w:p>
        </w:tc>
        <w:tc>
          <w:tcPr>
            <w:tcW w:w="1276" w:type="dxa"/>
            <w:vAlign w:val="center"/>
            <w:hideMark/>
          </w:tcPr>
          <w:p w14:paraId="369FBF1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161.42</w:t>
            </w:r>
          </w:p>
        </w:tc>
        <w:tc>
          <w:tcPr>
            <w:tcW w:w="1276" w:type="dxa"/>
            <w:vAlign w:val="center"/>
            <w:hideMark/>
          </w:tcPr>
          <w:p w14:paraId="2971C844"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154.65</w:t>
            </w:r>
          </w:p>
        </w:tc>
        <w:tc>
          <w:tcPr>
            <w:tcW w:w="1275" w:type="dxa"/>
            <w:vAlign w:val="center"/>
            <w:hideMark/>
          </w:tcPr>
          <w:p w14:paraId="0D1CB16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874.23</w:t>
            </w:r>
          </w:p>
        </w:tc>
      </w:tr>
      <w:tr w:rsidR="008E2CAA" w:rsidRPr="0004184B" w14:paraId="6908E358" w14:textId="77777777" w:rsidTr="0004184B">
        <w:trPr>
          <w:trHeight w:val="54"/>
          <w:jc w:val="center"/>
        </w:trPr>
        <w:tc>
          <w:tcPr>
            <w:tcW w:w="1980" w:type="dxa"/>
            <w:vAlign w:val="center"/>
            <w:hideMark/>
          </w:tcPr>
          <w:p w14:paraId="47C226A7"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4. Bihar</w:t>
            </w:r>
          </w:p>
        </w:tc>
        <w:tc>
          <w:tcPr>
            <w:tcW w:w="992" w:type="dxa"/>
            <w:vAlign w:val="center"/>
            <w:hideMark/>
          </w:tcPr>
          <w:p w14:paraId="7E519D4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185.53</w:t>
            </w:r>
          </w:p>
        </w:tc>
        <w:tc>
          <w:tcPr>
            <w:tcW w:w="992" w:type="dxa"/>
            <w:vAlign w:val="center"/>
            <w:hideMark/>
          </w:tcPr>
          <w:p w14:paraId="1C0B60A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219.88</w:t>
            </w:r>
          </w:p>
        </w:tc>
        <w:tc>
          <w:tcPr>
            <w:tcW w:w="1276" w:type="dxa"/>
            <w:vAlign w:val="center"/>
            <w:hideMark/>
          </w:tcPr>
          <w:p w14:paraId="7B87681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267.98</w:t>
            </w:r>
          </w:p>
        </w:tc>
        <w:tc>
          <w:tcPr>
            <w:tcW w:w="1276" w:type="dxa"/>
            <w:vAlign w:val="center"/>
            <w:hideMark/>
          </w:tcPr>
          <w:p w14:paraId="14B1258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316.08</w:t>
            </w:r>
          </w:p>
        </w:tc>
        <w:tc>
          <w:tcPr>
            <w:tcW w:w="1276" w:type="dxa"/>
            <w:vAlign w:val="center"/>
            <w:hideMark/>
          </w:tcPr>
          <w:p w14:paraId="6AF8961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384.80</w:t>
            </w:r>
          </w:p>
        </w:tc>
        <w:tc>
          <w:tcPr>
            <w:tcW w:w="1275" w:type="dxa"/>
            <w:vAlign w:val="center"/>
            <w:hideMark/>
          </w:tcPr>
          <w:p w14:paraId="5DA39E9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1374.27</w:t>
            </w:r>
          </w:p>
        </w:tc>
      </w:tr>
      <w:tr w:rsidR="008E2CAA" w:rsidRPr="0004184B" w14:paraId="5221F279" w14:textId="77777777" w:rsidTr="0004184B">
        <w:trPr>
          <w:trHeight w:val="54"/>
          <w:jc w:val="center"/>
        </w:trPr>
        <w:tc>
          <w:tcPr>
            <w:tcW w:w="1980" w:type="dxa"/>
            <w:vAlign w:val="center"/>
            <w:hideMark/>
          </w:tcPr>
          <w:p w14:paraId="15069FE8"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5. Goa</w:t>
            </w:r>
          </w:p>
        </w:tc>
        <w:tc>
          <w:tcPr>
            <w:tcW w:w="992" w:type="dxa"/>
            <w:vAlign w:val="center"/>
            <w:hideMark/>
          </w:tcPr>
          <w:p w14:paraId="3A314134"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33.66</w:t>
            </w:r>
          </w:p>
        </w:tc>
        <w:tc>
          <w:tcPr>
            <w:tcW w:w="992" w:type="dxa"/>
            <w:vAlign w:val="center"/>
            <w:hideMark/>
          </w:tcPr>
          <w:p w14:paraId="0E9F2B0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33.31</w:t>
            </w:r>
          </w:p>
        </w:tc>
        <w:tc>
          <w:tcPr>
            <w:tcW w:w="1276" w:type="dxa"/>
            <w:vAlign w:val="center"/>
            <w:hideMark/>
          </w:tcPr>
          <w:p w14:paraId="0B427BC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33.06</w:t>
            </w:r>
          </w:p>
        </w:tc>
        <w:tc>
          <w:tcPr>
            <w:tcW w:w="1276" w:type="dxa"/>
            <w:vAlign w:val="center"/>
            <w:hideMark/>
          </w:tcPr>
          <w:p w14:paraId="1093E2D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32.88</w:t>
            </w:r>
          </w:p>
        </w:tc>
        <w:tc>
          <w:tcPr>
            <w:tcW w:w="1276" w:type="dxa"/>
            <w:vAlign w:val="center"/>
            <w:hideMark/>
          </w:tcPr>
          <w:p w14:paraId="1471AED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33.67</w:t>
            </w:r>
          </w:p>
        </w:tc>
        <w:tc>
          <w:tcPr>
            <w:tcW w:w="1275" w:type="dxa"/>
            <w:vAlign w:val="center"/>
            <w:hideMark/>
          </w:tcPr>
          <w:p w14:paraId="684C4C8F"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166.58</w:t>
            </w:r>
          </w:p>
        </w:tc>
      </w:tr>
      <w:tr w:rsidR="008E2CAA" w:rsidRPr="0004184B" w14:paraId="444DA9BF" w14:textId="77777777" w:rsidTr="0004184B">
        <w:trPr>
          <w:trHeight w:val="54"/>
          <w:jc w:val="center"/>
        </w:trPr>
        <w:tc>
          <w:tcPr>
            <w:tcW w:w="1980" w:type="dxa"/>
            <w:vAlign w:val="center"/>
            <w:hideMark/>
          </w:tcPr>
          <w:p w14:paraId="7B5FF4B4"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6. Himachal Pradesh</w:t>
            </w:r>
          </w:p>
        </w:tc>
        <w:tc>
          <w:tcPr>
            <w:tcW w:w="992" w:type="dxa"/>
            <w:vAlign w:val="center"/>
            <w:hideMark/>
          </w:tcPr>
          <w:p w14:paraId="2B3B9B0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113.75</w:t>
            </w:r>
          </w:p>
        </w:tc>
        <w:tc>
          <w:tcPr>
            <w:tcW w:w="992" w:type="dxa"/>
            <w:vAlign w:val="center"/>
            <w:hideMark/>
          </w:tcPr>
          <w:p w14:paraId="28B7E65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109.67</w:t>
            </w:r>
          </w:p>
        </w:tc>
        <w:tc>
          <w:tcPr>
            <w:tcW w:w="1276" w:type="dxa"/>
            <w:vAlign w:val="center"/>
            <w:hideMark/>
          </w:tcPr>
          <w:p w14:paraId="320D50CF"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104.50</w:t>
            </w:r>
          </w:p>
        </w:tc>
        <w:tc>
          <w:tcPr>
            <w:tcW w:w="1276" w:type="dxa"/>
            <w:vAlign w:val="center"/>
            <w:hideMark/>
          </w:tcPr>
          <w:p w14:paraId="43E1D29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98.32</w:t>
            </w:r>
          </w:p>
        </w:tc>
        <w:tc>
          <w:tcPr>
            <w:tcW w:w="1276" w:type="dxa"/>
            <w:vAlign w:val="center"/>
            <w:hideMark/>
          </w:tcPr>
          <w:p w14:paraId="4957D573"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96.85</w:t>
            </w:r>
          </w:p>
        </w:tc>
        <w:tc>
          <w:tcPr>
            <w:tcW w:w="1275" w:type="dxa"/>
            <w:vAlign w:val="center"/>
            <w:hideMark/>
          </w:tcPr>
          <w:p w14:paraId="49A46F46"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523.09</w:t>
            </w:r>
          </w:p>
        </w:tc>
      </w:tr>
      <w:tr w:rsidR="008E2CAA" w:rsidRPr="0004184B" w14:paraId="5DCC4F0C" w14:textId="77777777" w:rsidTr="0004184B">
        <w:trPr>
          <w:trHeight w:val="54"/>
          <w:jc w:val="center"/>
        </w:trPr>
        <w:tc>
          <w:tcPr>
            <w:tcW w:w="1980" w:type="dxa"/>
            <w:vAlign w:val="center"/>
            <w:hideMark/>
          </w:tcPr>
          <w:p w14:paraId="7275CBA4"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7. Jammu and Kashmir</w:t>
            </w:r>
          </w:p>
        </w:tc>
        <w:tc>
          <w:tcPr>
            <w:tcW w:w="992" w:type="dxa"/>
            <w:vAlign w:val="center"/>
            <w:hideMark/>
          </w:tcPr>
          <w:p w14:paraId="2C1248D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210.99</w:t>
            </w:r>
          </w:p>
        </w:tc>
        <w:tc>
          <w:tcPr>
            <w:tcW w:w="992" w:type="dxa"/>
            <w:vAlign w:val="center"/>
            <w:hideMark/>
          </w:tcPr>
          <w:p w14:paraId="548045A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213.60</w:t>
            </w:r>
          </w:p>
        </w:tc>
        <w:tc>
          <w:tcPr>
            <w:tcW w:w="1276" w:type="dxa"/>
            <w:vAlign w:val="center"/>
            <w:hideMark/>
          </w:tcPr>
          <w:p w14:paraId="57FDF030"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224.35</w:t>
            </w:r>
          </w:p>
        </w:tc>
        <w:tc>
          <w:tcPr>
            <w:tcW w:w="1276" w:type="dxa"/>
            <w:vAlign w:val="center"/>
            <w:hideMark/>
          </w:tcPr>
          <w:p w14:paraId="43F4425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220.87</w:t>
            </w:r>
          </w:p>
        </w:tc>
        <w:tc>
          <w:tcPr>
            <w:tcW w:w="1276" w:type="dxa"/>
            <w:vAlign w:val="center"/>
            <w:hideMark/>
          </w:tcPr>
          <w:p w14:paraId="0CA11850"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226.61</w:t>
            </w:r>
          </w:p>
        </w:tc>
        <w:tc>
          <w:tcPr>
            <w:tcW w:w="1275" w:type="dxa"/>
            <w:vAlign w:val="center"/>
            <w:hideMark/>
          </w:tcPr>
          <w:p w14:paraId="1B2E645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1096.42</w:t>
            </w:r>
          </w:p>
        </w:tc>
      </w:tr>
      <w:tr w:rsidR="008E2CAA" w:rsidRPr="0004184B" w14:paraId="6A0422B8" w14:textId="77777777" w:rsidTr="0004184B">
        <w:trPr>
          <w:trHeight w:val="54"/>
          <w:jc w:val="center"/>
        </w:trPr>
        <w:tc>
          <w:tcPr>
            <w:tcW w:w="1980" w:type="dxa"/>
            <w:vAlign w:val="center"/>
            <w:hideMark/>
          </w:tcPr>
          <w:p w14:paraId="0201595A"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8. Kerala</w:t>
            </w:r>
          </w:p>
        </w:tc>
        <w:tc>
          <w:tcPr>
            <w:tcW w:w="992" w:type="dxa"/>
            <w:vAlign w:val="center"/>
            <w:hideMark/>
          </w:tcPr>
          <w:p w14:paraId="08CD8AF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55.69</w:t>
            </w:r>
          </w:p>
        </w:tc>
        <w:tc>
          <w:tcPr>
            <w:tcW w:w="992" w:type="dxa"/>
            <w:vAlign w:val="center"/>
            <w:hideMark/>
          </w:tcPr>
          <w:p w14:paraId="505810B3"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66.01</w:t>
            </w:r>
          </w:p>
        </w:tc>
        <w:tc>
          <w:tcPr>
            <w:tcW w:w="1276" w:type="dxa"/>
            <w:vAlign w:val="center"/>
            <w:hideMark/>
          </w:tcPr>
          <w:p w14:paraId="5D8588F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80.45</w:t>
            </w:r>
          </w:p>
        </w:tc>
        <w:tc>
          <w:tcPr>
            <w:tcW w:w="1276" w:type="dxa"/>
            <w:vAlign w:val="center"/>
            <w:hideMark/>
          </w:tcPr>
          <w:p w14:paraId="66E5715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94.88</w:t>
            </w:r>
          </w:p>
        </w:tc>
        <w:tc>
          <w:tcPr>
            <w:tcW w:w="1276" w:type="dxa"/>
            <w:vAlign w:val="center"/>
            <w:hideMark/>
          </w:tcPr>
          <w:p w14:paraId="0B3A9E4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115.51</w:t>
            </w:r>
          </w:p>
        </w:tc>
        <w:tc>
          <w:tcPr>
            <w:tcW w:w="1275" w:type="dxa"/>
            <w:vAlign w:val="center"/>
            <w:hideMark/>
          </w:tcPr>
          <w:p w14:paraId="62D6EB0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412.54</w:t>
            </w:r>
          </w:p>
        </w:tc>
      </w:tr>
      <w:tr w:rsidR="008E2CAA" w:rsidRPr="0004184B" w14:paraId="79A9BDD7" w14:textId="77777777" w:rsidTr="0004184B">
        <w:trPr>
          <w:trHeight w:val="54"/>
          <w:jc w:val="center"/>
        </w:trPr>
        <w:tc>
          <w:tcPr>
            <w:tcW w:w="1980" w:type="dxa"/>
            <w:vAlign w:val="center"/>
            <w:hideMark/>
          </w:tcPr>
          <w:p w14:paraId="3BB4D43F"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9. Madhya Pradesh</w:t>
            </w:r>
          </w:p>
        </w:tc>
        <w:tc>
          <w:tcPr>
            <w:tcW w:w="992" w:type="dxa"/>
            <w:vAlign w:val="center"/>
            <w:hideMark/>
          </w:tcPr>
          <w:p w14:paraId="233F41D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141.45</w:t>
            </w:r>
          </w:p>
        </w:tc>
        <w:tc>
          <w:tcPr>
            <w:tcW w:w="992" w:type="dxa"/>
            <w:vAlign w:val="center"/>
            <w:hideMark/>
          </w:tcPr>
          <w:p w14:paraId="4CCD9D7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167.65</w:t>
            </w:r>
          </w:p>
        </w:tc>
        <w:tc>
          <w:tcPr>
            <w:tcW w:w="1276" w:type="dxa"/>
            <w:vAlign w:val="center"/>
            <w:hideMark/>
          </w:tcPr>
          <w:p w14:paraId="071F89B9"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204.32</w:t>
            </w:r>
          </w:p>
        </w:tc>
        <w:tc>
          <w:tcPr>
            <w:tcW w:w="1276" w:type="dxa"/>
            <w:vAlign w:val="center"/>
            <w:hideMark/>
          </w:tcPr>
          <w:p w14:paraId="5FF3325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241.00</w:t>
            </w:r>
          </w:p>
        </w:tc>
        <w:tc>
          <w:tcPr>
            <w:tcW w:w="1276" w:type="dxa"/>
            <w:vAlign w:val="center"/>
            <w:hideMark/>
          </w:tcPr>
          <w:p w14:paraId="0FDFB716"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293.39</w:t>
            </w:r>
          </w:p>
        </w:tc>
        <w:tc>
          <w:tcPr>
            <w:tcW w:w="1275" w:type="dxa"/>
            <w:vAlign w:val="center"/>
            <w:hideMark/>
          </w:tcPr>
          <w:p w14:paraId="147F7B4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1047.81</w:t>
            </w:r>
          </w:p>
        </w:tc>
      </w:tr>
      <w:tr w:rsidR="008E2CAA" w:rsidRPr="0004184B" w14:paraId="09146D69" w14:textId="77777777" w:rsidTr="0004184B">
        <w:trPr>
          <w:trHeight w:val="54"/>
          <w:jc w:val="center"/>
        </w:trPr>
        <w:tc>
          <w:tcPr>
            <w:tcW w:w="1980" w:type="dxa"/>
            <w:vAlign w:val="center"/>
            <w:hideMark/>
          </w:tcPr>
          <w:p w14:paraId="7FE4D9E3"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10. Manipur</w:t>
            </w:r>
          </w:p>
        </w:tc>
        <w:tc>
          <w:tcPr>
            <w:tcW w:w="992" w:type="dxa"/>
            <w:vAlign w:val="center"/>
            <w:hideMark/>
          </w:tcPr>
          <w:p w14:paraId="0987D22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74.92</w:t>
            </w:r>
          </w:p>
        </w:tc>
        <w:tc>
          <w:tcPr>
            <w:tcW w:w="992" w:type="dxa"/>
            <w:vAlign w:val="center"/>
            <w:hideMark/>
          </w:tcPr>
          <w:p w14:paraId="3A96D3C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74.90</w:t>
            </w:r>
          </w:p>
        </w:tc>
        <w:tc>
          <w:tcPr>
            <w:tcW w:w="1276" w:type="dxa"/>
            <w:vAlign w:val="center"/>
            <w:hideMark/>
          </w:tcPr>
          <w:p w14:paraId="474835F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74.40</w:t>
            </w:r>
          </w:p>
        </w:tc>
        <w:tc>
          <w:tcPr>
            <w:tcW w:w="1276" w:type="dxa"/>
            <w:vAlign w:val="center"/>
            <w:hideMark/>
          </w:tcPr>
          <w:p w14:paraId="384A298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73.32</w:t>
            </w:r>
          </w:p>
        </w:tc>
        <w:tc>
          <w:tcPr>
            <w:tcW w:w="1276" w:type="dxa"/>
            <w:vAlign w:val="center"/>
            <w:hideMark/>
          </w:tcPr>
          <w:p w14:paraId="1028FF9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74.11</w:t>
            </w:r>
          </w:p>
        </w:tc>
        <w:tc>
          <w:tcPr>
            <w:tcW w:w="1275" w:type="dxa"/>
            <w:vAlign w:val="center"/>
            <w:hideMark/>
          </w:tcPr>
          <w:p w14:paraId="0FE2C10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371.65</w:t>
            </w:r>
          </w:p>
        </w:tc>
      </w:tr>
      <w:tr w:rsidR="008E2CAA" w:rsidRPr="0004184B" w14:paraId="3B07C10F" w14:textId="77777777" w:rsidTr="0004184B">
        <w:trPr>
          <w:trHeight w:val="54"/>
          <w:jc w:val="center"/>
        </w:trPr>
        <w:tc>
          <w:tcPr>
            <w:tcW w:w="1980" w:type="dxa"/>
            <w:vAlign w:val="center"/>
            <w:hideMark/>
          </w:tcPr>
          <w:p w14:paraId="6FB60146"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11. Meghalaya</w:t>
            </w:r>
          </w:p>
        </w:tc>
        <w:tc>
          <w:tcPr>
            <w:tcW w:w="992" w:type="dxa"/>
            <w:vAlign w:val="center"/>
            <w:hideMark/>
          </w:tcPr>
          <w:p w14:paraId="345BDA1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58.88</w:t>
            </w:r>
          </w:p>
        </w:tc>
        <w:tc>
          <w:tcPr>
            <w:tcW w:w="992" w:type="dxa"/>
            <w:vAlign w:val="center"/>
            <w:hideMark/>
          </w:tcPr>
          <w:p w14:paraId="42CB2B6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50.32</w:t>
            </w:r>
          </w:p>
        </w:tc>
        <w:tc>
          <w:tcPr>
            <w:tcW w:w="1276" w:type="dxa"/>
            <w:vAlign w:val="center"/>
            <w:hideMark/>
          </w:tcPr>
          <w:p w14:paraId="074DEAD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51.27</w:t>
            </w:r>
          </w:p>
        </w:tc>
        <w:tc>
          <w:tcPr>
            <w:tcW w:w="1276" w:type="dxa"/>
            <w:vAlign w:val="center"/>
            <w:hideMark/>
          </w:tcPr>
          <w:p w14:paraId="5336DF5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48.54</w:t>
            </w:r>
          </w:p>
        </w:tc>
        <w:tc>
          <w:tcPr>
            <w:tcW w:w="1276" w:type="dxa"/>
            <w:vAlign w:val="center"/>
            <w:hideMark/>
          </w:tcPr>
          <w:p w14:paraId="7B23175F"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47.17</w:t>
            </w:r>
          </w:p>
        </w:tc>
        <w:tc>
          <w:tcPr>
            <w:tcW w:w="1275" w:type="dxa"/>
            <w:vAlign w:val="center"/>
            <w:hideMark/>
          </w:tcPr>
          <w:p w14:paraId="0C4480A4"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256.18</w:t>
            </w:r>
          </w:p>
        </w:tc>
      </w:tr>
      <w:tr w:rsidR="008E2CAA" w:rsidRPr="0004184B" w14:paraId="66BBD445" w14:textId="77777777" w:rsidTr="0004184B">
        <w:trPr>
          <w:trHeight w:val="54"/>
          <w:jc w:val="center"/>
        </w:trPr>
        <w:tc>
          <w:tcPr>
            <w:tcW w:w="1980" w:type="dxa"/>
            <w:vAlign w:val="center"/>
            <w:hideMark/>
          </w:tcPr>
          <w:p w14:paraId="3386401B"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12. Mizoram</w:t>
            </w:r>
          </w:p>
        </w:tc>
        <w:tc>
          <w:tcPr>
            <w:tcW w:w="992" w:type="dxa"/>
            <w:vAlign w:val="center"/>
            <w:hideMark/>
          </w:tcPr>
          <w:p w14:paraId="4056159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74.75</w:t>
            </w:r>
          </w:p>
        </w:tc>
        <w:tc>
          <w:tcPr>
            <w:tcW w:w="992" w:type="dxa"/>
            <w:vAlign w:val="center"/>
            <w:hideMark/>
          </w:tcPr>
          <w:p w14:paraId="4187FEA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76.22</w:t>
            </w:r>
          </w:p>
        </w:tc>
        <w:tc>
          <w:tcPr>
            <w:tcW w:w="1276" w:type="dxa"/>
            <w:vAlign w:val="center"/>
            <w:hideMark/>
          </w:tcPr>
          <w:p w14:paraId="1941259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76.16</w:t>
            </w:r>
          </w:p>
        </w:tc>
        <w:tc>
          <w:tcPr>
            <w:tcW w:w="1276" w:type="dxa"/>
            <w:vAlign w:val="center"/>
            <w:hideMark/>
          </w:tcPr>
          <w:p w14:paraId="734C9C73"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76.43</w:t>
            </w:r>
          </w:p>
        </w:tc>
        <w:tc>
          <w:tcPr>
            <w:tcW w:w="1276" w:type="dxa"/>
            <w:vAlign w:val="center"/>
            <w:hideMark/>
          </w:tcPr>
          <w:p w14:paraId="5D1ACC4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76.23</w:t>
            </w:r>
          </w:p>
        </w:tc>
        <w:tc>
          <w:tcPr>
            <w:tcW w:w="1275" w:type="dxa"/>
            <w:vAlign w:val="center"/>
            <w:hideMark/>
          </w:tcPr>
          <w:p w14:paraId="681AC9C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379.79</w:t>
            </w:r>
          </w:p>
        </w:tc>
      </w:tr>
      <w:tr w:rsidR="008E2CAA" w:rsidRPr="0004184B" w14:paraId="3C9299BB" w14:textId="77777777" w:rsidTr="0004184B">
        <w:trPr>
          <w:trHeight w:val="54"/>
          <w:jc w:val="center"/>
        </w:trPr>
        <w:tc>
          <w:tcPr>
            <w:tcW w:w="1980" w:type="dxa"/>
            <w:vAlign w:val="center"/>
            <w:hideMark/>
          </w:tcPr>
          <w:p w14:paraId="4ECB5A5E"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13. Nagaland</w:t>
            </w:r>
          </w:p>
        </w:tc>
        <w:tc>
          <w:tcPr>
            <w:tcW w:w="992" w:type="dxa"/>
            <w:vAlign w:val="center"/>
            <w:hideMark/>
          </w:tcPr>
          <w:p w14:paraId="6A56B94A"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92.26</w:t>
            </w:r>
          </w:p>
        </w:tc>
        <w:tc>
          <w:tcPr>
            <w:tcW w:w="992" w:type="dxa"/>
            <w:vAlign w:val="center"/>
            <w:hideMark/>
          </w:tcPr>
          <w:p w14:paraId="1C0F305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92.48</w:t>
            </w:r>
          </w:p>
        </w:tc>
        <w:tc>
          <w:tcPr>
            <w:tcW w:w="1276" w:type="dxa"/>
            <w:vAlign w:val="center"/>
            <w:hideMark/>
          </w:tcPr>
          <w:p w14:paraId="0DBF298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93.88</w:t>
            </w:r>
          </w:p>
        </w:tc>
        <w:tc>
          <w:tcPr>
            <w:tcW w:w="1276" w:type="dxa"/>
            <w:vAlign w:val="center"/>
            <w:hideMark/>
          </w:tcPr>
          <w:p w14:paraId="79A87C99"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90.54</w:t>
            </w:r>
          </w:p>
        </w:tc>
        <w:tc>
          <w:tcPr>
            <w:tcW w:w="1276" w:type="dxa"/>
            <w:vAlign w:val="center"/>
            <w:hideMark/>
          </w:tcPr>
          <w:p w14:paraId="4FC0FD0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89.51</w:t>
            </w:r>
          </w:p>
        </w:tc>
        <w:tc>
          <w:tcPr>
            <w:tcW w:w="1275" w:type="dxa"/>
            <w:vAlign w:val="center"/>
            <w:hideMark/>
          </w:tcPr>
          <w:p w14:paraId="39B7004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458.67</w:t>
            </w:r>
          </w:p>
        </w:tc>
      </w:tr>
      <w:tr w:rsidR="008E2CAA" w:rsidRPr="0004184B" w14:paraId="13C6A6F5" w14:textId="77777777" w:rsidTr="0004184B">
        <w:trPr>
          <w:trHeight w:val="54"/>
          <w:jc w:val="center"/>
        </w:trPr>
        <w:tc>
          <w:tcPr>
            <w:tcW w:w="1980" w:type="dxa"/>
            <w:vAlign w:val="center"/>
            <w:hideMark/>
          </w:tcPr>
          <w:p w14:paraId="5F207106"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14. Orissa</w:t>
            </w:r>
          </w:p>
        </w:tc>
        <w:tc>
          <w:tcPr>
            <w:tcW w:w="992" w:type="dxa"/>
            <w:vAlign w:val="center"/>
            <w:hideMark/>
          </w:tcPr>
          <w:p w14:paraId="7A9CE81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146.20</w:t>
            </w:r>
          </w:p>
        </w:tc>
        <w:tc>
          <w:tcPr>
            <w:tcW w:w="992" w:type="dxa"/>
            <w:vAlign w:val="center"/>
            <w:hideMark/>
          </w:tcPr>
          <w:p w14:paraId="707FBBC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173.28</w:t>
            </w:r>
          </w:p>
        </w:tc>
        <w:tc>
          <w:tcPr>
            <w:tcW w:w="1276" w:type="dxa"/>
            <w:vAlign w:val="center"/>
            <w:hideMark/>
          </w:tcPr>
          <w:p w14:paraId="6F54896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211.18</w:t>
            </w:r>
          </w:p>
        </w:tc>
        <w:tc>
          <w:tcPr>
            <w:tcW w:w="1276" w:type="dxa"/>
            <w:vAlign w:val="center"/>
            <w:hideMark/>
          </w:tcPr>
          <w:p w14:paraId="19281DD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249.09</w:t>
            </w:r>
          </w:p>
        </w:tc>
        <w:tc>
          <w:tcPr>
            <w:tcW w:w="1276" w:type="dxa"/>
            <w:vAlign w:val="center"/>
            <w:hideMark/>
          </w:tcPr>
          <w:p w14:paraId="330DB0D3"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303.23</w:t>
            </w:r>
          </w:p>
        </w:tc>
        <w:tc>
          <w:tcPr>
            <w:tcW w:w="1275" w:type="dxa"/>
            <w:vAlign w:val="center"/>
            <w:hideMark/>
          </w:tcPr>
          <w:p w14:paraId="2F4561D3"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1082.98</w:t>
            </w:r>
          </w:p>
        </w:tc>
      </w:tr>
      <w:tr w:rsidR="008E2CAA" w:rsidRPr="0004184B" w14:paraId="5D1FCDFB" w14:textId="77777777" w:rsidTr="0004184B">
        <w:trPr>
          <w:trHeight w:val="54"/>
          <w:jc w:val="center"/>
        </w:trPr>
        <w:tc>
          <w:tcPr>
            <w:tcW w:w="1980" w:type="dxa"/>
            <w:vAlign w:val="center"/>
            <w:hideMark/>
          </w:tcPr>
          <w:p w14:paraId="46FFCD89"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15. Punjab</w:t>
            </w:r>
          </w:p>
        </w:tc>
        <w:tc>
          <w:tcPr>
            <w:tcW w:w="992" w:type="dxa"/>
            <w:vAlign w:val="center"/>
            <w:hideMark/>
          </w:tcPr>
          <w:p w14:paraId="5E7CD403"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7.28</w:t>
            </w:r>
          </w:p>
        </w:tc>
        <w:tc>
          <w:tcPr>
            <w:tcW w:w="992" w:type="dxa"/>
            <w:vAlign w:val="center"/>
            <w:hideMark/>
          </w:tcPr>
          <w:p w14:paraId="75DE6FB9"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8.63</w:t>
            </w:r>
          </w:p>
        </w:tc>
        <w:tc>
          <w:tcPr>
            <w:tcW w:w="1276" w:type="dxa"/>
            <w:vAlign w:val="center"/>
            <w:hideMark/>
          </w:tcPr>
          <w:p w14:paraId="7170F6FA"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10.51</w:t>
            </w:r>
          </w:p>
        </w:tc>
        <w:tc>
          <w:tcPr>
            <w:tcW w:w="1276" w:type="dxa"/>
            <w:vAlign w:val="center"/>
            <w:hideMark/>
          </w:tcPr>
          <w:p w14:paraId="15BFCEE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12.40</w:t>
            </w:r>
          </w:p>
        </w:tc>
        <w:tc>
          <w:tcPr>
            <w:tcW w:w="1276" w:type="dxa"/>
            <w:vAlign w:val="center"/>
            <w:hideMark/>
          </w:tcPr>
          <w:p w14:paraId="7A70638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15.09</w:t>
            </w:r>
          </w:p>
        </w:tc>
        <w:tc>
          <w:tcPr>
            <w:tcW w:w="1275" w:type="dxa"/>
            <w:vAlign w:val="center"/>
            <w:hideMark/>
          </w:tcPr>
          <w:p w14:paraId="44A7316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53.91</w:t>
            </w:r>
          </w:p>
        </w:tc>
      </w:tr>
      <w:tr w:rsidR="008E2CAA" w:rsidRPr="0004184B" w14:paraId="5166CC69" w14:textId="77777777" w:rsidTr="0004184B">
        <w:trPr>
          <w:trHeight w:val="54"/>
          <w:jc w:val="center"/>
        </w:trPr>
        <w:tc>
          <w:tcPr>
            <w:tcW w:w="1980" w:type="dxa"/>
            <w:vAlign w:val="center"/>
            <w:hideMark/>
          </w:tcPr>
          <w:p w14:paraId="282DF68B"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16. Rajasthan</w:t>
            </w:r>
          </w:p>
        </w:tc>
        <w:tc>
          <w:tcPr>
            <w:tcW w:w="992" w:type="dxa"/>
            <w:vAlign w:val="center"/>
            <w:hideMark/>
          </w:tcPr>
          <w:p w14:paraId="0657FC9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195.32</w:t>
            </w:r>
          </w:p>
        </w:tc>
        <w:tc>
          <w:tcPr>
            <w:tcW w:w="992" w:type="dxa"/>
            <w:vAlign w:val="center"/>
            <w:hideMark/>
          </w:tcPr>
          <w:p w14:paraId="78826C1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231.49</w:t>
            </w:r>
          </w:p>
        </w:tc>
        <w:tc>
          <w:tcPr>
            <w:tcW w:w="1276" w:type="dxa"/>
            <w:vAlign w:val="center"/>
            <w:hideMark/>
          </w:tcPr>
          <w:p w14:paraId="3E78DD5C"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282.12</w:t>
            </w:r>
          </w:p>
        </w:tc>
        <w:tc>
          <w:tcPr>
            <w:tcW w:w="1276" w:type="dxa"/>
            <w:vAlign w:val="center"/>
            <w:hideMark/>
          </w:tcPr>
          <w:p w14:paraId="3DD0DEC6"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332.76</w:t>
            </w:r>
          </w:p>
        </w:tc>
        <w:tc>
          <w:tcPr>
            <w:tcW w:w="1276" w:type="dxa"/>
            <w:vAlign w:val="center"/>
            <w:hideMark/>
          </w:tcPr>
          <w:p w14:paraId="10FF2F4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405.10</w:t>
            </w:r>
          </w:p>
        </w:tc>
        <w:tc>
          <w:tcPr>
            <w:tcW w:w="1275" w:type="dxa"/>
            <w:vAlign w:val="center"/>
            <w:hideMark/>
          </w:tcPr>
          <w:p w14:paraId="28C61029"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1446.79</w:t>
            </w:r>
          </w:p>
        </w:tc>
      </w:tr>
      <w:tr w:rsidR="008E2CAA" w:rsidRPr="0004184B" w14:paraId="0D5084A2" w14:textId="77777777" w:rsidTr="0004184B">
        <w:trPr>
          <w:trHeight w:val="54"/>
          <w:jc w:val="center"/>
        </w:trPr>
        <w:tc>
          <w:tcPr>
            <w:tcW w:w="1980" w:type="dxa"/>
            <w:vAlign w:val="center"/>
            <w:hideMark/>
          </w:tcPr>
          <w:p w14:paraId="6FBCB7FA"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17. Sikkim</w:t>
            </w:r>
          </w:p>
        </w:tc>
        <w:tc>
          <w:tcPr>
            <w:tcW w:w="992" w:type="dxa"/>
            <w:vAlign w:val="center"/>
            <w:hideMark/>
          </w:tcPr>
          <w:p w14:paraId="35EAD7E0"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17.59</w:t>
            </w:r>
          </w:p>
        </w:tc>
        <w:tc>
          <w:tcPr>
            <w:tcW w:w="992" w:type="dxa"/>
            <w:vAlign w:val="center"/>
            <w:hideMark/>
          </w:tcPr>
          <w:p w14:paraId="0D686F24"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17.37</w:t>
            </w:r>
          </w:p>
        </w:tc>
        <w:tc>
          <w:tcPr>
            <w:tcW w:w="1276" w:type="dxa"/>
            <w:vAlign w:val="center"/>
            <w:hideMark/>
          </w:tcPr>
          <w:p w14:paraId="7A7C657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17.03</w:t>
            </w:r>
          </w:p>
        </w:tc>
        <w:tc>
          <w:tcPr>
            <w:tcW w:w="1276" w:type="dxa"/>
            <w:vAlign w:val="center"/>
            <w:hideMark/>
          </w:tcPr>
          <w:p w14:paraId="114E22B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16.50</w:t>
            </w:r>
          </w:p>
        </w:tc>
        <w:tc>
          <w:tcPr>
            <w:tcW w:w="1276" w:type="dxa"/>
            <w:vAlign w:val="center"/>
            <w:hideMark/>
          </w:tcPr>
          <w:p w14:paraId="7D97544B"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16.19</w:t>
            </w:r>
          </w:p>
        </w:tc>
        <w:tc>
          <w:tcPr>
            <w:tcW w:w="1275" w:type="dxa"/>
            <w:vAlign w:val="center"/>
            <w:hideMark/>
          </w:tcPr>
          <w:p w14:paraId="3189C4D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84.68</w:t>
            </w:r>
          </w:p>
        </w:tc>
      </w:tr>
      <w:tr w:rsidR="008E2CAA" w:rsidRPr="0004184B" w14:paraId="78120338" w14:textId="77777777" w:rsidTr="0004184B">
        <w:trPr>
          <w:trHeight w:val="54"/>
          <w:jc w:val="center"/>
        </w:trPr>
        <w:tc>
          <w:tcPr>
            <w:tcW w:w="1980" w:type="dxa"/>
            <w:vAlign w:val="center"/>
            <w:hideMark/>
          </w:tcPr>
          <w:p w14:paraId="64FCF43F"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18. Tamil Nadu</w:t>
            </w:r>
          </w:p>
        </w:tc>
        <w:tc>
          <w:tcPr>
            <w:tcW w:w="992" w:type="dxa"/>
            <w:vAlign w:val="center"/>
            <w:hideMark/>
          </w:tcPr>
          <w:p w14:paraId="5732F3F8"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5.91</w:t>
            </w:r>
          </w:p>
        </w:tc>
        <w:tc>
          <w:tcPr>
            <w:tcW w:w="992" w:type="dxa"/>
            <w:vAlign w:val="center"/>
            <w:hideMark/>
          </w:tcPr>
          <w:p w14:paraId="58C65E30"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7.01</w:t>
            </w:r>
          </w:p>
        </w:tc>
        <w:tc>
          <w:tcPr>
            <w:tcW w:w="1276" w:type="dxa"/>
            <w:vAlign w:val="center"/>
            <w:hideMark/>
          </w:tcPr>
          <w:p w14:paraId="4D18434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8.54</w:t>
            </w:r>
          </w:p>
        </w:tc>
        <w:tc>
          <w:tcPr>
            <w:tcW w:w="1276" w:type="dxa"/>
            <w:vAlign w:val="center"/>
            <w:hideMark/>
          </w:tcPr>
          <w:p w14:paraId="36D9236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10.07</w:t>
            </w:r>
          </w:p>
        </w:tc>
        <w:tc>
          <w:tcPr>
            <w:tcW w:w="1276" w:type="dxa"/>
            <w:vAlign w:val="center"/>
            <w:hideMark/>
          </w:tcPr>
          <w:p w14:paraId="4330EE6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12.26</w:t>
            </w:r>
          </w:p>
        </w:tc>
        <w:tc>
          <w:tcPr>
            <w:tcW w:w="1275" w:type="dxa"/>
            <w:vAlign w:val="center"/>
            <w:hideMark/>
          </w:tcPr>
          <w:p w14:paraId="4735DAA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43.79</w:t>
            </w:r>
          </w:p>
        </w:tc>
      </w:tr>
      <w:tr w:rsidR="008E2CAA" w:rsidRPr="0004184B" w14:paraId="779C2878" w14:textId="77777777" w:rsidTr="0004184B">
        <w:trPr>
          <w:trHeight w:val="54"/>
          <w:jc w:val="center"/>
        </w:trPr>
        <w:tc>
          <w:tcPr>
            <w:tcW w:w="1980" w:type="dxa"/>
            <w:vAlign w:val="center"/>
            <w:hideMark/>
          </w:tcPr>
          <w:p w14:paraId="66127147"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19. Tripura</w:t>
            </w:r>
          </w:p>
        </w:tc>
        <w:tc>
          <w:tcPr>
            <w:tcW w:w="992" w:type="dxa"/>
            <w:vAlign w:val="center"/>
            <w:hideMark/>
          </w:tcPr>
          <w:p w14:paraId="6C90AD6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101.19</w:t>
            </w:r>
          </w:p>
        </w:tc>
        <w:tc>
          <w:tcPr>
            <w:tcW w:w="992" w:type="dxa"/>
            <w:vAlign w:val="center"/>
            <w:hideMark/>
          </w:tcPr>
          <w:p w14:paraId="0558FE8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101.27</w:t>
            </w:r>
          </w:p>
        </w:tc>
        <w:tc>
          <w:tcPr>
            <w:tcW w:w="1276" w:type="dxa"/>
            <w:vAlign w:val="center"/>
            <w:hideMark/>
          </w:tcPr>
          <w:p w14:paraId="4228ED7D"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96.52</w:t>
            </w:r>
          </w:p>
        </w:tc>
        <w:tc>
          <w:tcPr>
            <w:tcW w:w="1276" w:type="dxa"/>
            <w:vAlign w:val="center"/>
            <w:hideMark/>
          </w:tcPr>
          <w:p w14:paraId="372B9E9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87.25</w:t>
            </w:r>
          </w:p>
        </w:tc>
        <w:tc>
          <w:tcPr>
            <w:tcW w:w="1276" w:type="dxa"/>
            <w:vAlign w:val="center"/>
            <w:hideMark/>
          </w:tcPr>
          <w:p w14:paraId="1F6FD9F4"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79.78</w:t>
            </w:r>
          </w:p>
        </w:tc>
        <w:tc>
          <w:tcPr>
            <w:tcW w:w="1275" w:type="dxa"/>
            <w:vAlign w:val="center"/>
            <w:hideMark/>
          </w:tcPr>
          <w:p w14:paraId="210929FA"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466.01</w:t>
            </w:r>
          </w:p>
        </w:tc>
      </w:tr>
      <w:tr w:rsidR="008E2CAA" w:rsidRPr="0004184B" w14:paraId="499E7F79" w14:textId="77777777" w:rsidTr="0004184B">
        <w:trPr>
          <w:trHeight w:val="54"/>
          <w:jc w:val="center"/>
        </w:trPr>
        <w:tc>
          <w:tcPr>
            <w:tcW w:w="1980" w:type="dxa"/>
            <w:vAlign w:val="center"/>
            <w:hideMark/>
          </w:tcPr>
          <w:p w14:paraId="3CC97CD4"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20. Uttar Pradesh</w:t>
            </w:r>
          </w:p>
        </w:tc>
        <w:tc>
          <w:tcPr>
            <w:tcW w:w="992" w:type="dxa"/>
            <w:vAlign w:val="center"/>
            <w:hideMark/>
          </w:tcPr>
          <w:p w14:paraId="18C6A6F6"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436.74</w:t>
            </w:r>
          </w:p>
        </w:tc>
        <w:tc>
          <w:tcPr>
            <w:tcW w:w="992" w:type="dxa"/>
            <w:vAlign w:val="center"/>
            <w:hideMark/>
          </w:tcPr>
          <w:p w14:paraId="17FFEBF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517.62</w:t>
            </w:r>
          </w:p>
        </w:tc>
        <w:tc>
          <w:tcPr>
            <w:tcW w:w="1276" w:type="dxa"/>
            <w:vAlign w:val="center"/>
            <w:hideMark/>
          </w:tcPr>
          <w:p w14:paraId="500BDF8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630.84</w:t>
            </w:r>
          </w:p>
        </w:tc>
        <w:tc>
          <w:tcPr>
            <w:tcW w:w="1276" w:type="dxa"/>
            <w:vAlign w:val="center"/>
            <w:hideMark/>
          </w:tcPr>
          <w:p w14:paraId="728A5F55"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744.07</w:t>
            </w:r>
          </w:p>
        </w:tc>
        <w:tc>
          <w:tcPr>
            <w:tcW w:w="1276" w:type="dxa"/>
            <w:vAlign w:val="center"/>
            <w:hideMark/>
          </w:tcPr>
          <w:p w14:paraId="4178294E"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905.83</w:t>
            </w:r>
          </w:p>
        </w:tc>
        <w:tc>
          <w:tcPr>
            <w:tcW w:w="1275" w:type="dxa"/>
            <w:vAlign w:val="center"/>
            <w:hideMark/>
          </w:tcPr>
          <w:p w14:paraId="39D55EB1"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3235.10</w:t>
            </w:r>
          </w:p>
        </w:tc>
      </w:tr>
      <w:tr w:rsidR="008E2CAA" w:rsidRPr="0004184B" w14:paraId="706A06F2" w14:textId="77777777" w:rsidTr="0004184B">
        <w:trPr>
          <w:trHeight w:val="54"/>
          <w:jc w:val="center"/>
        </w:trPr>
        <w:tc>
          <w:tcPr>
            <w:tcW w:w="1980" w:type="dxa"/>
            <w:vAlign w:val="center"/>
            <w:hideMark/>
          </w:tcPr>
          <w:p w14:paraId="608D1042" w14:textId="77777777" w:rsidR="008E2CAA" w:rsidRPr="0004184B" w:rsidRDefault="008E2CAA" w:rsidP="004E6F59">
            <w:pPr>
              <w:pStyle w:val="NoSpacing"/>
              <w:spacing w:line="180" w:lineRule="exact"/>
              <w:rPr>
                <w:rFonts w:ascii="Times New Roman" w:hAnsi="Times New Roman" w:cs="Times New Roman"/>
                <w:sz w:val="18"/>
                <w:szCs w:val="18"/>
              </w:rPr>
            </w:pPr>
            <w:r w:rsidRPr="0004184B">
              <w:rPr>
                <w:rFonts w:ascii="Times New Roman" w:hAnsi="Times New Roman" w:cs="Times New Roman"/>
                <w:sz w:val="18"/>
                <w:szCs w:val="18"/>
              </w:rPr>
              <w:t>21. West Bengal</w:t>
            </w:r>
          </w:p>
        </w:tc>
        <w:tc>
          <w:tcPr>
            <w:tcW w:w="992" w:type="dxa"/>
            <w:vAlign w:val="center"/>
            <w:hideMark/>
          </w:tcPr>
          <w:p w14:paraId="1EB5A2DF"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134.82</w:t>
            </w:r>
          </w:p>
        </w:tc>
        <w:tc>
          <w:tcPr>
            <w:tcW w:w="992" w:type="dxa"/>
            <w:vAlign w:val="center"/>
            <w:hideMark/>
          </w:tcPr>
          <w:p w14:paraId="39361842"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159.78</w:t>
            </w:r>
          </w:p>
        </w:tc>
        <w:tc>
          <w:tcPr>
            <w:tcW w:w="1276" w:type="dxa"/>
            <w:vAlign w:val="center"/>
            <w:hideMark/>
          </w:tcPr>
          <w:p w14:paraId="6B4D6E3F"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194.74</w:t>
            </w:r>
          </w:p>
        </w:tc>
        <w:tc>
          <w:tcPr>
            <w:tcW w:w="1276" w:type="dxa"/>
            <w:vAlign w:val="center"/>
            <w:hideMark/>
          </w:tcPr>
          <w:p w14:paraId="148B51AA"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229.69</w:t>
            </w:r>
          </w:p>
        </w:tc>
        <w:tc>
          <w:tcPr>
            <w:tcW w:w="1276" w:type="dxa"/>
            <w:vAlign w:val="center"/>
            <w:hideMark/>
          </w:tcPr>
          <w:p w14:paraId="3FC89417"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279.62</w:t>
            </w:r>
          </w:p>
        </w:tc>
        <w:tc>
          <w:tcPr>
            <w:tcW w:w="1275" w:type="dxa"/>
            <w:vAlign w:val="center"/>
            <w:hideMark/>
          </w:tcPr>
          <w:p w14:paraId="0CE60C14" w14:textId="77777777" w:rsidR="008E2CAA" w:rsidRPr="0004184B" w:rsidRDefault="008E2CAA" w:rsidP="004E6F59">
            <w:pPr>
              <w:pStyle w:val="NoSpacing"/>
              <w:spacing w:line="180" w:lineRule="exact"/>
              <w:jc w:val="center"/>
              <w:rPr>
                <w:rFonts w:ascii="Times New Roman" w:hAnsi="Times New Roman" w:cs="Times New Roman"/>
                <w:sz w:val="18"/>
                <w:szCs w:val="18"/>
              </w:rPr>
            </w:pPr>
            <w:r w:rsidRPr="0004184B">
              <w:rPr>
                <w:rFonts w:ascii="Times New Roman" w:hAnsi="Times New Roman" w:cs="Times New Roman"/>
                <w:sz w:val="18"/>
                <w:szCs w:val="18"/>
              </w:rPr>
              <w:t>998.65</w:t>
            </w:r>
          </w:p>
        </w:tc>
      </w:tr>
      <w:tr w:rsidR="008E2CAA" w:rsidRPr="0004184B" w14:paraId="4FA87F67" w14:textId="77777777" w:rsidTr="0004184B">
        <w:trPr>
          <w:trHeight w:val="54"/>
          <w:jc w:val="center"/>
        </w:trPr>
        <w:tc>
          <w:tcPr>
            <w:tcW w:w="1980" w:type="dxa"/>
            <w:vAlign w:val="center"/>
            <w:hideMark/>
          </w:tcPr>
          <w:p w14:paraId="2E996E26" w14:textId="77777777" w:rsidR="008E2CAA" w:rsidRPr="0004184B" w:rsidRDefault="008E2CAA" w:rsidP="004E6F59">
            <w:pPr>
              <w:pStyle w:val="NoSpacing"/>
              <w:spacing w:line="180" w:lineRule="exact"/>
              <w:rPr>
                <w:rFonts w:ascii="Times New Roman" w:hAnsi="Times New Roman" w:cs="Times New Roman"/>
                <w:b/>
                <w:bCs/>
                <w:sz w:val="18"/>
                <w:szCs w:val="18"/>
              </w:rPr>
            </w:pPr>
            <w:r w:rsidRPr="0004184B">
              <w:rPr>
                <w:rFonts w:ascii="Times New Roman" w:hAnsi="Times New Roman" w:cs="Times New Roman"/>
                <w:b/>
                <w:bCs/>
                <w:sz w:val="18"/>
                <w:szCs w:val="18"/>
              </w:rPr>
              <w:t>Total</w:t>
            </w:r>
          </w:p>
        </w:tc>
        <w:tc>
          <w:tcPr>
            <w:tcW w:w="992" w:type="dxa"/>
            <w:vAlign w:val="center"/>
            <w:hideMark/>
          </w:tcPr>
          <w:p w14:paraId="4F236193" w14:textId="77777777"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2396.26</w:t>
            </w:r>
          </w:p>
        </w:tc>
        <w:tc>
          <w:tcPr>
            <w:tcW w:w="992" w:type="dxa"/>
            <w:vAlign w:val="center"/>
            <w:hideMark/>
          </w:tcPr>
          <w:p w14:paraId="1B631FF8" w14:textId="77777777"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2614.22</w:t>
            </w:r>
          </w:p>
        </w:tc>
        <w:tc>
          <w:tcPr>
            <w:tcW w:w="1276" w:type="dxa"/>
            <w:vAlign w:val="center"/>
            <w:hideMark/>
          </w:tcPr>
          <w:p w14:paraId="44CE1F39" w14:textId="7731FE6F"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29</w:t>
            </w:r>
            <w:r w:rsidR="00DD6239" w:rsidRPr="0004184B">
              <w:rPr>
                <w:rFonts w:ascii="Times New Roman" w:hAnsi="Times New Roman" w:cs="Times New Roman"/>
                <w:b/>
                <w:bCs/>
                <w:sz w:val="18"/>
                <w:szCs w:val="18"/>
              </w:rPr>
              <w:t>62</w:t>
            </w:r>
            <w:r w:rsidRPr="0004184B">
              <w:rPr>
                <w:rFonts w:ascii="Times New Roman" w:hAnsi="Times New Roman" w:cs="Times New Roman"/>
                <w:b/>
                <w:bCs/>
                <w:sz w:val="18"/>
                <w:szCs w:val="18"/>
              </w:rPr>
              <w:t>.02</w:t>
            </w:r>
          </w:p>
        </w:tc>
        <w:tc>
          <w:tcPr>
            <w:tcW w:w="1276" w:type="dxa"/>
            <w:vAlign w:val="center"/>
            <w:hideMark/>
          </w:tcPr>
          <w:p w14:paraId="3290950A" w14:textId="77777777"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3276.08</w:t>
            </w:r>
          </w:p>
        </w:tc>
        <w:tc>
          <w:tcPr>
            <w:tcW w:w="1276" w:type="dxa"/>
            <w:vAlign w:val="center"/>
            <w:hideMark/>
          </w:tcPr>
          <w:p w14:paraId="6FB27779" w14:textId="77777777"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3768.60</w:t>
            </w:r>
          </w:p>
        </w:tc>
        <w:tc>
          <w:tcPr>
            <w:tcW w:w="1275" w:type="dxa"/>
            <w:vAlign w:val="center"/>
            <w:hideMark/>
          </w:tcPr>
          <w:p w14:paraId="2C9E4ACE" w14:textId="77777777" w:rsidR="008E2CAA" w:rsidRPr="0004184B" w:rsidRDefault="008E2CAA" w:rsidP="004E6F59">
            <w:pPr>
              <w:pStyle w:val="NoSpacing"/>
              <w:spacing w:line="180" w:lineRule="exact"/>
              <w:jc w:val="center"/>
              <w:rPr>
                <w:rFonts w:ascii="Times New Roman" w:hAnsi="Times New Roman" w:cs="Times New Roman"/>
                <w:b/>
                <w:bCs/>
                <w:sz w:val="18"/>
                <w:szCs w:val="18"/>
              </w:rPr>
            </w:pPr>
            <w:r w:rsidRPr="0004184B">
              <w:rPr>
                <w:rFonts w:ascii="Times New Roman" w:hAnsi="Times New Roman" w:cs="Times New Roman"/>
                <w:b/>
                <w:bCs/>
                <w:sz w:val="18"/>
                <w:szCs w:val="18"/>
              </w:rPr>
              <w:t>15017.18</w:t>
            </w:r>
          </w:p>
        </w:tc>
      </w:tr>
    </w:tbl>
    <w:p w14:paraId="0C9F413F" w14:textId="3B3C3F2B" w:rsidR="008E2CAA" w:rsidRDefault="00AA02B8" w:rsidP="009221CD">
      <w:pPr>
        <w:pStyle w:val="Heading3"/>
        <w:spacing w:after="0" w:line="180" w:lineRule="exact"/>
        <w:rPr>
          <w:szCs w:val="24"/>
        </w:rPr>
      </w:pPr>
      <w:r w:rsidRPr="00C721FD">
        <w:rPr>
          <w:rStyle w:val="Heading3Char"/>
        </w:rPr>
        <w:t xml:space="preserve">Grants towards meeting relief expenditure as recommended in Chapter VI will be in addition to the grants indicated in Table 3. Total estimated transfers to States during the </w:t>
      </w:r>
      <w:proofErr w:type="gramStart"/>
      <w:r w:rsidRPr="00C721FD">
        <w:rPr>
          <w:rStyle w:val="Heading3Char"/>
        </w:rPr>
        <w:t>five year</w:t>
      </w:r>
      <w:proofErr w:type="gramEnd"/>
      <w:r w:rsidRPr="00C721FD">
        <w:rPr>
          <w:rStyle w:val="Heading3Char"/>
        </w:rPr>
        <w:t xml:space="preserve"> period are given in Table 4</w:t>
      </w:r>
      <w:r w:rsidRPr="00AA6AF4">
        <w:rPr>
          <w:szCs w:val="24"/>
        </w:rPr>
        <w:t>.</w:t>
      </w:r>
    </w:p>
    <w:p w14:paraId="19A5045B" w14:textId="22B8F5B5" w:rsidR="00F63CD1" w:rsidRPr="00794BCE" w:rsidRDefault="00C721FD" w:rsidP="004E6F59">
      <w:pPr>
        <w:pStyle w:val="Heading4"/>
        <w:spacing w:after="0" w:line="180" w:lineRule="exact"/>
        <w:ind w:left="-142" w:firstLine="142"/>
        <w:rPr>
          <w:sz w:val="18"/>
          <w:szCs w:val="18"/>
        </w:rPr>
      </w:pPr>
      <w:r w:rsidRPr="00794BCE">
        <w:rPr>
          <w:sz w:val="18"/>
          <w:szCs w:val="18"/>
        </w:rPr>
        <w:t xml:space="preserve">TABLE 4 </w:t>
      </w:r>
      <w:r w:rsidR="00F63CD1" w:rsidRPr="00794BCE">
        <w:rPr>
          <w:sz w:val="18"/>
          <w:szCs w:val="18"/>
        </w:rPr>
        <w:br/>
      </w:r>
      <w:r w:rsidRPr="00794BCE">
        <w:rPr>
          <w:sz w:val="18"/>
          <w:szCs w:val="18"/>
        </w:rPr>
        <w:t>Total transfers To States: 1990-95</w:t>
      </w:r>
    </w:p>
    <w:p w14:paraId="7EB89F53" w14:textId="1948D1CA" w:rsidR="00F63CD1" w:rsidRPr="00794BCE" w:rsidRDefault="00F63CD1" w:rsidP="004E6F59">
      <w:pPr>
        <w:pStyle w:val="Heading4"/>
        <w:spacing w:after="0" w:line="180" w:lineRule="exact"/>
        <w:jc w:val="right"/>
        <w:rPr>
          <w:b w:val="0"/>
          <w:bCs w:val="0"/>
          <w:i/>
          <w:iCs/>
          <w:sz w:val="18"/>
          <w:szCs w:val="18"/>
        </w:rPr>
      </w:pPr>
      <w:r w:rsidRPr="00794BCE">
        <w:rPr>
          <w:b w:val="0"/>
          <w:bCs w:val="0"/>
          <w:i/>
          <w:iCs/>
          <w:sz w:val="18"/>
          <w:szCs w:val="18"/>
        </w:rPr>
        <w:t>(Rs. Crore)</w:t>
      </w:r>
    </w:p>
    <w:tbl>
      <w:tblPr>
        <w:tblStyle w:val="TableGrid"/>
        <w:tblW w:w="10910" w:type="dxa"/>
        <w:jc w:val="center"/>
        <w:tblLayout w:type="fixed"/>
        <w:tblLook w:val="04A0" w:firstRow="1" w:lastRow="0" w:firstColumn="1" w:lastColumn="0" w:noHBand="0" w:noVBand="1"/>
      </w:tblPr>
      <w:tblGrid>
        <w:gridCol w:w="1413"/>
        <w:gridCol w:w="850"/>
        <w:gridCol w:w="993"/>
        <w:gridCol w:w="708"/>
        <w:gridCol w:w="851"/>
        <w:gridCol w:w="850"/>
        <w:gridCol w:w="851"/>
        <w:gridCol w:w="850"/>
        <w:gridCol w:w="851"/>
        <w:gridCol w:w="992"/>
        <w:gridCol w:w="851"/>
        <w:gridCol w:w="850"/>
      </w:tblGrid>
      <w:tr w:rsidR="0081795D" w:rsidRPr="0081795D" w14:paraId="08BE6076" w14:textId="77777777" w:rsidTr="00794BCE">
        <w:trPr>
          <w:trHeight w:val="57"/>
          <w:jc w:val="center"/>
        </w:trPr>
        <w:tc>
          <w:tcPr>
            <w:tcW w:w="1413" w:type="dxa"/>
            <w:vAlign w:val="center"/>
            <w:hideMark/>
          </w:tcPr>
          <w:p w14:paraId="5173FFC3" w14:textId="77777777" w:rsidR="00AA02B8" w:rsidRPr="0081795D" w:rsidRDefault="00AA02B8" w:rsidP="004E6F59">
            <w:pPr>
              <w:pStyle w:val="NoSpacing"/>
              <w:spacing w:line="180" w:lineRule="exact"/>
              <w:rPr>
                <w:rFonts w:ascii="Times New Roman" w:hAnsi="Times New Roman" w:cs="Times New Roman"/>
                <w:sz w:val="16"/>
                <w:szCs w:val="16"/>
              </w:rPr>
            </w:pPr>
          </w:p>
        </w:tc>
        <w:tc>
          <w:tcPr>
            <w:tcW w:w="4252" w:type="dxa"/>
            <w:gridSpan w:val="5"/>
            <w:vAlign w:val="center"/>
            <w:hideMark/>
          </w:tcPr>
          <w:p w14:paraId="1C4A2EAB" w14:textId="334130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 xml:space="preserve">Share Of Taxes </w:t>
            </w:r>
            <w:proofErr w:type="gramStart"/>
            <w:r w:rsidRPr="0081795D">
              <w:rPr>
                <w:rFonts w:ascii="Times New Roman" w:hAnsi="Times New Roman" w:cs="Times New Roman"/>
                <w:b/>
                <w:bCs/>
                <w:sz w:val="16"/>
                <w:szCs w:val="16"/>
              </w:rPr>
              <w:t>And</w:t>
            </w:r>
            <w:proofErr w:type="gramEnd"/>
            <w:r w:rsidRPr="0081795D">
              <w:rPr>
                <w:rFonts w:ascii="Times New Roman" w:hAnsi="Times New Roman" w:cs="Times New Roman"/>
                <w:b/>
                <w:bCs/>
                <w:sz w:val="16"/>
                <w:szCs w:val="16"/>
              </w:rPr>
              <w:t xml:space="preserve"> Duties</w:t>
            </w:r>
          </w:p>
        </w:tc>
        <w:tc>
          <w:tcPr>
            <w:tcW w:w="3544" w:type="dxa"/>
            <w:gridSpan w:val="4"/>
            <w:vAlign w:val="center"/>
            <w:hideMark/>
          </w:tcPr>
          <w:p w14:paraId="6B34F965" w14:textId="6EA44F44"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Grants-In-Aid</w:t>
            </w:r>
          </w:p>
        </w:tc>
        <w:tc>
          <w:tcPr>
            <w:tcW w:w="851" w:type="dxa"/>
            <w:vMerge w:val="restart"/>
            <w:vAlign w:val="center"/>
            <w:hideMark/>
          </w:tcPr>
          <w:p w14:paraId="6A508B87" w14:textId="401E0483"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 xml:space="preserve"> Grants Towards Meeting Relief Expenditure</w:t>
            </w:r>
          </w:p>
        </w:tc>
        <w:tc>
          <w:tcPr>
            <w:tcW w:w="850" w:type="dxa"/>
            <w:vMerge w:val="restart"/>
            <w:vAlign w:val="center"/>
            <w:hideMark/>
          </w:tcPr>
          <w:p w14:paraId="2F05B35A" w14:textId="5B207D3A"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 xml:space="preserve"> Total Transfer (Col.9+10)</w:t>
            </w:r>
          </w:p>
        </w:tc>
      </w:tr>
      <w:tr w:rsidR="0081795D" w:rsidRPr="0081795D" w14:paraId="46DA59D6" w14:textId="77777777" w:rsidTr="00794BCE">
        <w:trPr>
          <w:trHeight w:val="57"/>
          <w:jc w:val="center"/>
        </w:trPr>
        <w:tc>
          <w:tcPr>
            <w:tcW w:w="1413" w:type="dxa"/>
            <w:vAlign w:val="center"/>
            <w:hideMark/>
          </w:tcPr>
          <w:p w14:paraId="0A873D67"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States</w:t>
            </w:r>
          </w:p>
        </w:tc>
        <w:tc>
          <w:tcPr>
            <w:tcW w:w="850" w:type="dxa"/>
            <w:vAlign w:val="center"/>
            <w:hideMark/>
          </w:tcPr>
          <w:p w14:paraId="014B442E" w14:textId="0376963D"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Income Tax</w:t>
            </w:r>
          </w:p>
        </w:tc>
        <w:tc>
          <w:tcPr>
            <w:tcW w:w="993" w:type="dxa"/>
            <w:vAlign w:val="center"/>
            <w:hideMark/>
          </w:tcPr>
          <w:p w14:paraId="3F834F2F" w14:textId="675FDC6D"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Basic Excise Duties</w:t>
            </w:r>
          </w:p>
        </w:tc>
        <w:tc>
          <w:tcPr>
            <w:tcW w:w="708" w:type="dxa"/>
            <w:vAlign w:val="center"/>
            <w:hideMark/>
          </w:tcPr>
          <w:p w14:paraId="2B8199F0" w14:textId="602C51D6"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 xml:space="preserve">Additional Duties </w:t>
            </w:r>
            <w:proofErr w:type="gramStart"/>
            <w:r w:rsidRPr="0081795D">
              <w:rPr>
                <w:rFonts w:ascii="Times New Roman" w:hAnsi="Times New Roman" w:cs="Times New Roman"/>
                <w:b/>
                <w:bCs/>
                <w:sz w:val="16"/>
                <w:szCs w:val="16"/>
              </w:rPr>
              <w:t>Of</w:t>
            </w:r>
            <w:proofErr w:type="gramEnd"/>
            <w:r w:rsidRPr="0081795D">
              <w:rPr>
                <w:rFonts w:ascii="Times New Roman" w:hAnsi="Times New Roman" w:cs="Times New Roman"/>
                <w:b/>
                <w:bCs/>
                <w:sz w:val="16"/>
                <w:szCs w:val="16"/>
              </w:rPr>
              <w:t xml:space="preserve"> Excise</w:t>
            </w:r>
          </w:p>
        </w:tc>
        <w:tc>
          <w:tcPr>
            <w:tcW w:w="851" w:type="dxa"/>
            <w:vAlign w:val="center"/>
            <w:hideMark/>
          </w:tcPr>
          <w:p w14:paraId="25FB65A7" w14:textId="2FF5F0E1"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 xml:space="preserve"> Tax On Railway Passenger Fares</w:t>
            </w:r>
          </w:p>
        </w:tc>
        <w:tc>
          <w:tcPr>
            <w:tcW w:w="850" w:type="dxa"/>
            <w:vAlign w:val="center"/>
            <w:hideMark/>
          </w:tcPr>
          <w:p w14:paraId="38778CDD" w14:textId="79EA3E54"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Total</w:t>
            </w:r>
          </w:p>
        </w:tc>
        <w:tc>
          <w:tcPr>
            <w:tcW w:w="851" w:type="dxa"/>
            <w:vAlign w:val="center"/>
            <w:hideMark/>
          </w:tcPr>
          <w:p w14:paraId="5D63C1EA" w14:textId="1967C172"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Non-Plan Deficit</w:t>
            </w:r>
          </w:p>
        </w:tc>
        <w:tc>
          <w:tcPr>
            <w:tcW w:w="850" w:type="dxa"/>
            <w:vAlign w:val="center"/>
            <w:hideMark/>
          </w:tcPr>
          <w:p w14:paraId="571320B9" w14:textId="6E66876A"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Plan Deficit</w:t>
            </w:r>
          </w:p>
        </w:tc>
        <w:tc>
          <w:tcPr>
            <w:tcW w:w="851" w:type="dxa"/>
            <w:vAlign w:val="center"/>
            <w:hideMark/>
          </w:tcPr>
          <w:p w14:paraId="13DB3692" w14:textId="572CF2BF"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 xml:space="preserve"> Total</w:t>
            </w:r>
          </w:p>
        </w:tc>
        <w:tc>
          <w:tcPr>
            <w:tcW w:w="992" w:type="dxa"/>
            <w:vAlign w:val="center"/>
            <w:hideMark/>
          </w:tcPr>
          <w:p w14:paraId="5BC93EF4" w14:textId="1123772B"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 xml:space="preserve"> Total (Col.5+8)</w:t>
            </w:r>
          </w:p>
        </w:tc>
        <w:tc>
          <w:tcPr>
            <w:tcW w:w="851" w:type="dxa"/>
            <w:vMerge/>
            <w:vAlign w:val="center"/>
            <w:hideMark/>
          </w:tcPr>
          <w:p w14:paraId="5280EE28" w14:textId="543DE5C6" w:rsidR="00AA02B8" w:rsidRPr="0081795D" w:rsidRDefault="00AA02B8" w:rsidP="004E6F59">
            <w:pPr>
              <w:pStyle w:val="NoSpacing"/>
              <w:spacing w:line="180" w:lineRule="exact"/>
              <w:jc w:val="center"/>
              <w:rPr>
                <w:rFonts w:ascii="Times New Roman" w:hAnsi="Times New Roman" w:cs="Times New Roman"/>
                <w:sz w:val="16"/>
                <w:szCs w:val="16"/>
              </w:rPr>
            </w:pPr>
          </w:p>
        </w:tc>
        <w:tc>
          <w:tcPr>
            <w:tcW w:w="850" w:type="dxa"/>
            <w:vMerge/>
            <w:vAlign w:val="center"/>
            <w:hideMark/>
          </w:tcPr>
          <w:p w14:paraId="373D545E" w14:textId="4CF2F409" w:rsidR="00AA02B8" w:rsidRPr="0081795D" w:rsidRDefault="00AA02B8" w:rsidP="004E6F59">
            <w:pPr>
              <w:pStyle w:val="NoSpacing"/>
              <w:spacing w:line="180" w:lineRule="exact"/>
              <w:jc w:val="center"/>
              <w:rPr>
                <w:rFonts w:ascii="Times New Roman" w:hAnsi="Times New Roman" w:cs="Times New Roman"/>
                <w:sz w:val="16"/>
                <w:szCs w:val="16"/>
              </w:rPr>
            </w:pPr>
          </w:p>
        </w:tc>
      </w:tr>
      <w:tr w:rsidR="0081795D" w:rsidRPr="0081795D" w14:paraId="54480685" w14:textId="77777777" w:rsidTr="00794BCE">
        <w:trPr>
          <w:trHeight w:val="57"/>
          <w:jc w:val="center"/>
        </w:trPr>
        <w:tc>
          <w:tcPr>
            <w:tcW w:w="1413" w:type="dxa"/>
            <w:vAlign w:val="center"/>
          </w:tcPr>
          <w:p w14:paraId="6B1AAC49" w14:textId="77777777" w:rsidR="0004184B" w:rsidRPr="0081795D" w:rsidRDefault="0004184B" w:rsidP="004E6F59">
            <w:pPr>
              <w:pStyle w:val="NoSpacing"/>
              <w:spacing w:line="180" w:lineRule="exact"/>
              <w:rPr>
                <w:rFonts w:ascii="Times New Roman" w:hAnsi="Times New Roman" w:cs="Times New Roman"/>
                <w:b/>
                <w:bCs/>
                <w:sz w:val="16"/>
                <w:szCs w:val="16"/>
              </w:rPr>
            </w:pPr>
          </w:p>
        </w:tc>
        <w:tc>
          <w:tcPr>
            <w:tcW w:w="850" w:type="dxa"/>
            <w:vAlign w:val="center"/>
          </w:tcPr>
          <w:p w14:paraId="79505AA9" w14:textId="6A2EFFBE"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1</w:t>
            </w:r>
          </w:p>
        </w:tc>
        <w:tc>
          <w:tcPr>
            <w:tcW w:w="993" w:type="dxa"/>
            <w:vAlign w:val="center"/>
          </w:tcPr>
          <w:p w14:paraId="1AB30633" w14:textId="28161DA7"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2</w:t>
            </w:r>
          </w:p>
        </w:tc>
        <w:tc>
          <w:tcPr>
            <w:tcW w:w="708" w:type="dxa"/>
            <w:vAlign w:val="center"/>
          </w:tcPr>
          <w:p w14:paraId="61018F4B" w14:textId="737C4C48"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3</w:t>
            </w:r>
          </w:p>
        </w:tc>
        <w:tc>
          <w:tcPr>
            <w:tcW w:w="851" w:type="dxa"/>
            <w:vAlign w:val="center"/>
          </w:tcPr>
          <w:p w14:paraId="13E31600" w14:textId="02876457"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4</w:t>
            </w:r>
          </w:p>
        </w:tc>
        <w:tc>
          <w:tcPr>
            <w:tcW w:w="850" w:type="dxa"/>
            <w:vAlign w:val="center"/>
          </w:tcPr>
          <w:p w14:paraId="09CFCB1B" w14:textId="1F210C96"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5</w:t>
            </w:r>
          </w:p>
        </w:tc>
        <w:tc>
          <w:tcPr>
            <w:tcW w:w="851" w:type="dxa"/>
            <w:vAlign w:val="center"/>
          </w:tcPr>
          <w:p w14:paraId="03AF7AC4" w14:textId="51ECAC10"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6</w:t>
            </w:r>
          </w:p>
        </w:tc>
        <w:tc>
          <w:tcPr>
            <w:tcW w:w="850" w:type="dxa"/>
            <w:vAlign w:val="center"/>
          </w:tcPr>
          <w:p w14:paraId="7E056E44" w14:textId="7F91BCEC"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7</w:t>
            </w:r>
          </w:p>
        </w:tc>
        <w:tc>
          <w:tcPr>
            <w:tcW w:w="851" w:type="dxa"/>
            <w:vAlign w:val="center"/>
          </w:tcPr>
          <w:p w14:paraId="31642855" w14:textId="1509A525"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8</w:t>
            </w:r>
          </w:p>
        </w:tc>
        <w:tc>
          <w:tcPr>
            <w:tcW w:w="992" w:type="dxa"/>
            <w:vAlign w:val="center"/>
          </w:tcPr>
          <w:p w14:paraId="6A6C01A5" w14:textId="2E113636" w:rsidR="0004184B" w:rsidRPr="0081795D" w:rsidRDefault="0004184B" w:rsidP="004E6F59">
            <w:pPr>
              <w:pStyle w:val="NoSpacing"/>
              <w:spacing w:line="180" w:lineRule="exact"/>
              <w:jc w:val="center"/>
              <w:rPr>
                <w:rFonts w:ascii="Times New Roman" w:hAnsi="Times New Roman" w:cs="Times New Roman"/>
                <w:b/>
                <w:bCs/>
                <w:sz w:val="16"/>
                <w:szCs w:val="16"/>
              </w:rPr>
            </w:pPr>
            <w:r w:rsidRPr="0081795D">
              <w:rPr>
                <w:rFonts w:ascii="Times New Roman" w:hAnsi="Times New Roman" w:cs="Times New Roman"/>
                <w:b/>
                <w:bCs/>
                <w:sz w:val="16"/>
                <w:szCs w:val="16"/>
              </w:rPr>
              <w:t>9</w:t>
            </w:r>
          </w:p>
        </w:tc>
        <w:tc>
          <w:tcPr>
            <w:tcW w:w="851" w:type="dxa"/>
            <w:vAlign w:val="center"/>
          </w:tcPr>
          <w:p w14:paraId="4C87FCB2" w14:textId="38236A34" w:rsidR="0004184B" w:rsidRPr="0081795D" w:rsidRDefault="0004184B"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w:t>
            </w:r>
          </w:p>
        </w:tc>
        <w:tc>
          <w:tcPr>
            <w:tcW w:w="850" w:type="dxa"/>
            <w:vAlign w:val="center"/>
          </w:tcPr>
          <w:p w14:paraId="17F605C5" w14:textId="4E4AA58C" w:rsidR="0004184B" w:rsidRPr="0081795D" w:rsidRDefault="0004184B"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w:t>
            </w:r>
          </w:p>
        </w:tc>
      </w:tr>
      <w:tr w:rsidR="0081795D" w:rsidRPr="0081795D" w14:paraId="1135E4F0" w14:textId="77777777" w:rsidTr="00794BCE">
        <w:trPr>
          <w:trHeight w:val="57"/>
          <w:jc w:val="center"/>
        </w:trPr>
        <w:tc>
          <w:tcPr>
            <w:tcW w:w="1413" w:type="dxa"/>
            <w:vAlign w:val="center"/>
            <w:hideMark/>
          </w:tcPr>
          <w:p w14:paraId="41B54FB8"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 Andhra Pradesh</w:t>
            </w:r>
          </w:p>
        </w:tc>
        <w:tc>
          <w:tcPr>
            <w:tcW w:w="850" w:type="dxa"/>
            <w:vAlign w:val="center"/>
            <w:hideMark/>
          </w:tcPr>
          <w:p w14:paraId="63C00BA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1717.52</w:t>
            </w:r>
          </w:p>
        </w:tc>
        <w:tc>
          <w:tcPr>
            <w:tcW w:w="993" w:type="dxa"/>
            <w:vAlign w:val="center"/>
            <w:hideMark/>
          </w:tcPr>
          <w:p w14:paraId="598CD0C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3976.81</w:t>
            </w:r>
          </w:p>
        </w:tc>
        <w:tc>
          <w:tcPr>
            <w:tcW w:w="708" w:type="dxa"/>
            <w:vAlign w:val="center"/>
            <w:hideMark/>
          </w:tcPr>
          <w:p w14:paraId="0A322F7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824.99</w:t>
            </w:r>
          </w:p>
        </w:tc>
        <w:tc>
          <w:tcPr>
            <w:tcW w:w="851" w:type="dxa"/>
            <w:vAlign w:val="center"/>
            <w:hideMark/>
          </w:tcPr>
          <w:p w14:paraId="4253EBE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56.15</w:t>
            </w:r>
          </w:p>
        </w:tc>
        <w:tc>
          <w:tcPr>
            <w:tcW w:w="850" w:type="dxa"/>
            <w:vAlign w:val="center"/>
            <w:hideMark/>
          </w:tcPr>
          <w:p w14:paraId="288CF60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6575.47</w:t>
            </w:r>
          </w:p>
        </w:tc>
        <w:tc>
          <w:tcPr>
            <w:tcW w:w="851" w:type="dxa"/>
            <w:vAlign w:val="center"/>
            <w:hideMark/>
          </w:tcPr>
          <w:p w14:paraId="42C805F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0E9AE71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341.25</w:t>
            </w:r>
          </w:p>
        </w:tc>
        <w:tc>
          <w:tcPr>
            <w:tcW w:w="851" w:type="dxa"/>
            <w:vAlign w:val="center"/>
            <w:hideMark/>
          </w:tcPr>
          <w:p w14:paraId="67A06D4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341.25</w:t>
            </w:r>
          </w:p>
        </w:tc>
        <w:tc>
          <w:tcPr>
            <w:tcW w:w="992" w:type="dxa"/>
            <w:vAlign w:val="center"/>
            <w:hideMark/>
          </w:tcPr>
          <w:p w14:paraId="108DAD7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6916.72</w:t>
            </w:r>
          </w:p>
        </w:tc>
        <w:tc>
          <w:tcPr>
            <w:tcW w:w="851" w:type="dxa"/>
            <w:vAlign w:val="center"/>
            <w:hideMark/>
          </w:tcPr>
          <w:p w14:paraId="2644723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322.50</w:t>
            </w:r>
          </w:p>
        </w:tc>
        <w:tc>
          <w:tcPr>
            <w:tcW w:w="850" w:type="dxa"/>
            <w:vAlign w:val="center"/>
            <w:hideMark/>
          </w:tcPr>
          <w:p w14:paraId="2ADD91F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7239.22</w:t>
            </w:r>
          </w:p>
        </w:tc>
      </w:tr>
      <w:tr w:rsidR="0081795D" w:rsidRPr="0081795D" w14:paraId="350B4384" w14:textId="77777777" w:rsidTr="00794BCE">
        <w:trPr>
          <w:trHeight w:val="57"/>
          <w:jc w:val="center"/>
        </w:trPr>
        <w:tc>
          <w:tcPr>
            <w:tcW w:w="1413" w:type="dxa"/>
            <w:vAlign w:val="center"/>
            <w:hideMark/>
          </w:tcPr>
          <w:p w14:paraId="5B9C78BE"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 Arunachal Pradesh</w:t>
            </w:r>
          </w:p>
        </w:tc>
        <w:tc>
          <w:tcPr>
            <w:tcW w:w="850" w:type="dxa"/>
            <w:vAlign w:val="center"/>
            <w:hideMark/>
          </w:tcPr>
          <w:p w14:paraId="1CD0FBA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15.28</w:t>
            </w:r>
          </w:p>
        </w:tc>
        <w:tc>
          <w:tcPr>
            <w:tcW w:w="993" w:type="dxa"/>
            <w:vAlign w:val="center"/>
            <w:hideMark/>
          </w:tcPr>
          <w:p w14:paraId="1852D4F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497.76</w:t>
            </w:r>
          </w:p>
        </w:tc>
        <w:tc>
          <w:tcPr>
            <w:tcW w:w="708" w:type="dxa"/>
            <w:vAlign w:val="center"/>
            <w:hideMark/>
          </w:tcPr>
          <w:p w14:paraId="3CC1C4E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11.50</w:t>
            </w:r>
          </w:p>
        </w:tc>
        <w:tc>
          <w:tcPr>
            <w:tcW w:w="851" w:type="dxa"/>
            <w:vAlign w:val="center"/>
            <w:hideMark/>
          </w:tcPr>
          <w:p w14:paraId="70ABA75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0.05</w:t>
            </w:r>
          </w:p>
        </w:tc>
        <w:tc>
          <w:tcPr>
            <w:tcW w:w="850" w:type="dxa"/>
            <w:vAlign w:val="center"/>
            <w:hideMark/>
          </w:tcPr>
          <w:p w14:paraId="043F6AC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524.59</w:t>
            </w:r>
          </w:p>
        </w:tc>
        <w:tc>
          <w:tcPr>
            <w:tcW w:w="851" w:type="dxa"/>
            <w:vAlign w:val="center"/>
            <w:hideMark/>
          </w:tcPr>
          <w:p w14:paraId="0FF03AB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302.79</w:t>
            </w:r>
          </w:p>
        </w:tc>
        <w:tc>
          <w:tcPr>
            <w:tcW w:w="850" w:type="dxa"/>
            <w:vAlign w:val="center"/>
            <w:hideMark/>
          </w:tcPr>
          <w:p w14:paraId="0E098A4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1F0B5D3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302.79</w:t>
            </w:r>
          </w:p>
        </w:tc>
        <w:tc>
          <w:tcPr>
            <w:tcW w:w="992" w:type="dxa"/>
            <w:vAlign w:val="center"/>
            <w:hideMark/>
          </w:tcPr>
          <w:p w14:paraId="1203545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827.38</w:t>
            </w:r>
          </w:p>
        </w:tc>
        <w:tc>
          <w:tcPr>
            <w:tcW w:w="851" w:type="dxa"/>
            <w:vAlign w:val="center"/>
            <w:hideMark/>
          </w:tcPr>
          <w:p w14:paraId="24C6FC7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7.50</w:t>
            </w:r>
          </w:p>
        </w:tc>
        <w:tc>
          <w:tcPr>
            <w:tcW w:w="850" w:type="dxa"/>
            <w:vAlign w:val="center"/>
            <w:hideMark/>
          </w:tcPr>
          <w:p w14:paraId="00CF8AC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834.88</w:t>
            </w:r>
          </w:p>
        </w:tc>
      </w:tr>
      <w:tr w:rsidR="0081795D" w:rsidRPr="0081795D" w14:paraId="68180BF6" w14:textId="77777777" w:rsidTr="00794BCE">
        <w:trPr>
          <w:trHeight w:val="57"/>
          <w:jc w:val="center"/>
        </w:trPr>
        <w:tc>
          <w:tcPr>
            <w:tcW w:w="1413" w:type="dxa"/>
            <w:vAlign w:val="center"/>
            <w:hideMark/>
          </w:tcPr>
          <w:p w14:paraId="0C29EF48"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3. Assam</w:t>
            </w:r>
          </w:p>
        </w:tc>
        <w:tc>
          <w:tcPr>
            <w:tcW w:w="850" w:type="dxa"/>
            <w:vAlign w:val="center"/>
            <w:hideMark/>
          </w:tcPr>
          <w:p w14:paraId="3FCD515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550.54</w:t>
            </w:r>
          </w:p>
        </w:tc>
        <w:tc>
          <w:tcPr>
            <w:tcW w:w="993" w:type="dxa"/>
            <w:vAlign w:val="center"/>
            <w:hideMark/>
          </w:tcPr>
          <w:p w14:paraId="42B6774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2113.07</w:t>
            </w:r>
          </w:p>
        </w:tc>
        <w:tc>
          <w:tcPr>
            <w:tcW w:w="708" w:type="dxa"/>
            <w:vAlign w:val="center"/>
            <w:hideMark/>
          </w:tcPr>
          <w:p w14:paraId="6D0B63F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294.66</w:t>
            </w:r>
          </w:p>
        </w:tc>
        <w:tc>
          <w:tcPr>
            <w:tcW w:w="851" w:type="dxa"/>
            <w:vAlign w:val="center"/>
            <w:hideMark/>
          </w:tcPr>
          <w:p w14:paraId="6907E8C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11.30</w:t>
            </w:r>
          </w:p>
        </w:tc>
        <w:tc>
          <w:tcPr>
            <w:tcW w:w="850" w:type="dxa"/>
            <w:vAlign w:val="center"/>
            <w:hideMark/>
          </w:tcPr>
          <w:p w14:paraId="6F791A1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2969.57</w:t>
            </w:r>
          </w:p>
        </w:tc>
        <w:tc>
          <w:tcPr>
            <w:tcW w:w="851" w:type="dxa"/>
            <w:vAlign w:val="center"/>
            <w:hideMark/>
          </w:tcPr>
          <w:p w14:paraId="13EAC65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560.32</w:t>
            </w:r>
          </w:p>
        </w:tc>
        <w:tc>
          <w:tcPr>
            <w:tcW w:w="850" w:type="dxa"/>
            <w:vAlign w:val="center"/>
            <w:hideMark/>
          </w:tcPr>
          <w:p w14:paraId="30C8A7B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313.91</w:t>
            </w:r>
          </w:p>
        </w:tc>
        <w:tc>
          <w:tcPr>
            <w:tcW w:w="851" w:type="dxa"/>
            <w:vAlign w:val="center"/>
            <w:hideMark/>
          </w:tcPr>
          <w:p w14:paraId="1CD7E23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874.23</w:t>
            </w:r>
          </w:p>
        </w:tc>
        <w:tc>
          <w:tcPr>
            <w:tcW w:w="992" w:type="dxa"/>
            <w:vAlign w:val="center"/>
            <w:hideMark/>
          </w:tcPr>
          <w:p w14:paraId="210E28A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3843.80</w:t>
            </w:r>
          </w:p>
        </w:tc>
        <w:tc>
          <w:tcPr>
            <w:tcW w:w="851" w:type="dxa"/>
            <w:vAlign w:val="center"/>
            <w:hideMark/>
          </w:tcPr>
          <w:p w14:paraId="373B66B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112.50</w:t>
            </w:r>
          </w:p>
        </w:tc>
        <w:tc>
          <w:tcPr>
            <w:tcW w:w="850" w:type="dxa"/>
            <w:vAlign w:val="center"/>
            <w:hideMark/>
          </w:tcPr>
          <w:p w14:paraId="7CE13E1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3956.30</w:t>
            </w:r>
          </w:p>
        </w:tc>
      </w:tr>
      <w:tr w:rsidR="0081795D" w:rsidRPr="0081795D" w14:paraId="63F8EB0D" w14:textId="77777777" w:rsidTr="00794BCE">
        <w:trPr>
          <w:trHeight w:val="57"/>
          <w:jc w:val="center"/>
        </w:trPr>
        <w:tc>
          <w:tcPr>
            <w:tcW w:w="1413" w:type="dxa"/>
            <w:vAlign w:val="center"/>
            <w:hideMark/>
          </w:tcPr>
          <w:p w14:paraId="7D8FD646"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4. Bihar</w:t>
            </w:r>
          </w:p>
        </w:tc>
        <w:tc>
          <w:tcPr>
            <w:tcW w:w="850" w:type="dxa"/>
            <w:vAlign w:val="center"/>
            <w:hideMark/>
          </w:tcPr>
          <w:p w14:paraId="121C299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2598.47</w:t>
            </w:r>
          </w:p>
        </w:tc>
        <w:tc>
          <w:tcPr>
            <w:tcW w:w="993" w:type="dxa"/>
            <w:vAlign w:val="center"/>
            <w:hideMark/>
          </w:tcPr>
          <w:p w14:paraId="5D73C6D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6116.65</w:t>
            </w:r>
          </w:p>
        </w:tc>
        <w:tc>
          <w:tcPr>
            <w:tcW w:w="708" w:type="dxa"/>
            <w:vAlign w:val="center"/>
            <w:hideMark/>
          </w:tcPr>
          <w:p w14:paraId="3DA0092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893.41</w:t>
            </w:r>
          </w:p>
        </w:tc>
        <w:tc>
          <w:tcPr>
            <w:tcW w:w="851" w:type="dxa"/>
            <w:vAlign w:val="center"/>
            <w:hideMark/>
          </w:tcPr>
          <w:p w14:paraId="3F8C48A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62.00</w:t>
            </w:r>
          </w:p>
        </w:tc>
        <w:tc>
          <w:tcPr>
            <w:tcW w:w="850" w:type="dxa"/>
            <w:vAlign w:val="center"/>
            <w:hideMark/>
          </w:tcPr>
          <w:p w14:paraId="03CD0C7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9670.53</w:t>
            </w:r>
          </w:p>
        </w:tc>
        <w:tc>
          <w:tcPr>
            <w:tcW w:w="851" w:type="dxa"/>
            <w:vAlign w:val="center"/>
            <w:hideMark/>
          </w:tcPr>
          <w:p w14:paraId="6C62D44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26761BA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1374.27</w:t>
            </w:r>
          </w:p>
        </w:tc>
        <w:tc>
          <w:tcPr>
            <w:tcW w:w="851" w:type="dxa"/>
            <w:vAlign w:val="center"/>
            <w:hideMark/>
          </w:tcPr>
          <w:p w14:paraId="1C0FC5B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1374.27</w:t>
            </w:r>
          </w:p>
        </w:tc>
        <w:tc>
          <w:tcPr>
            <w:tcW w:w="992" w:type="dxa"/>
            <w:vAlign w:val="center"/>
            <w:hideMark/>
          </w:tcPr>
          <w:p w14:paraId="241FB99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11044.80</w:t>
            </w:r>
          </w:p>
        </w:tc>
        <w:tc>
          <w:tcPr>
            <w:tcW w:w="851" w:type="dxa"/>
            <w:vAlign w:val="center"/>
            <w:hideMark/>
          </w:tcPr>
          <w:p w14:paraId="7020C39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131.25</w:t>
            </w:r>
          </w:p>
        </w:tc>
        <w:tc>
          <w:tcPr>
            <w:tcW w:w="850" w:type="dxa"/>
            <w:vAlign w:val="center"/>
            <w:hideMark/>
          </w:tcPr>
          <w:p w14:paraId="33FBF52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11176.05</w:t>
            </w:r>
          </w:p>
        </w:tc>
      </w:tr>
      <w:tr w:rsidR="0081795D" w:rsidRPr="0081795D" w14:paraId="4AAAF9D2" w14:textId="77777777" w:rsidTr="00794BCE">
        <w:trPr>
          <w:trHeight w:val="57"/>
          <w:jc w:val="center"/>
        </w:trPr>
        <w:tc>
          <w:tcPr>
            <w:tcW w:w="1413" w:type="dxa"/>
            <w:vAlign w:val="center"/>
            <w:hideMark/>
          </w:tcPr>
          <w:p w14:paraId="5F5E44A9"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5. Goa</w:t>
            </w:r>
          </w:p>
        </w:tc>
        <w:tc>
          <w:tcPr>
            <w:tcW w:w="850" w:type="dxa"/>
            <w:vAlign w:val="center"/>
            <w:hideMark/>
          </w:tcPr>
          <w:p w14:paraId="3E7CF9A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23.02</w:t>
            </w:r>
          </w:p>
        </w:tc>
        <w:tc>
          <w:tcPr>
            <w:tcW w:w="993" w:type="dxa"/>
            <w:vAlign w:val="center"/>
            <w:hideMark/>
          </w:tcPr>
          <w:p w14:paraId="5B82A24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290.01</w:t>
            </w:r>
          </w:p>
        </w:tc>
        <w:tc>
          <w:tcPr>
            <w:tcW w:w="708" w:type="dxa"/>
            <w:vAlign w:val="center"/>
            <w:hideMark/>
          </w:tcPr>
          <w:p w14:paraId="3D99895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24.51</w:t>
            </w:r>
          </w:p>
        </w:tc>
        <w:tc>
          <w:tcPr>
            <w:tcW w:w="851" w:type="dxa"/>
            <w:vAlign w:val="center"/>
            <w:hideMark/>
          </w:tcPr>
          <w:p w14:paraId="4636A3E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1.00</w:t>
            </w:r>
          </w:p>
        </w:tc>
        <w:tc>
          <w:tcPr>
            <w:tcW w:w="850" w:type="dxa"/>
            <w:vAlign w:val="center"/>
            <w:hideMark/>
          </w:tcPr>
          <w:p w14:paraId="393996F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338.54</w:t>
            </w:r>
          </w:p>
        </w:tc>
        <w:tc>
          <w:tcPr>
            <w:tcW w:w="851" w:type="dxa"/>
            <w:vAlign w:val="center"/>
            <w:hideMark/>
          </w:tcPr>
          <w:p w14:paraId="7161BD0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166.58</w:t>
            </w:r>
          </w:p>
        </w:tc>
        <w:tc>
          <w:tcPr>
            <w:tcW w:w="850" w:type="dxa"/>
            <w:vAlign w:val="center"/>
            <w:hideMark/>
          </w:tcPr>
          <w:p w14:paraId="4D9E797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53A6605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166.58</w:t>
            </w:r>
          </w:p>
        </w:tc>
        <w:tc>
          <w:tcPr>
            <w:tcW w:w="992" w:type="dxa"/>
            <w:vAlign w:val="center"/>
            <w:hideMark/>
          </w:tcPr>
          <w:p w14:paraId="30CA8D1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505.12</w:t>
            </w:r>
          </w:p>
        </w:tc>
        <w:tc>
          <w:tcPr>
            <w:tcW w:w="851" w:type="dxa"/>
            <w:vAlign w:val="center"/>
            <w:hideMark/>
          </w:tcPr>
          <w:p w14:paraId="6594BBD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3.75</w:t>
            </w:r>
          </w:p>
        </w:tc>
        <w:tc>
          <w:tcPr>
            <w:tcW w:w="850" w:type="dxa"/>
            <w:vAlign w:val="center"/>
            <w:hideMark/>
          </w:tcPr>
          <w:p w14:paraId="15F748A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508.87</w:t>
            </w:r>
          </w:p>
        </w:tc>
      </w:tr>
      <w:tr w:rsidR="0081795D" w:rsidRPr="0081795D" w14:paraId="598D9F78" w14:textId="77777777" w:rsidTr="00794BCE">
        <w:trPr>
          <w:trHeight w:val="57"/>
          <w:jc w:val="center"/>
        </w:trPr>
        <w:tc>
          <w:tcPr>
            <w:tcW w:w="1413" w:type="dxa"/>
            <w:vAlign w:val="center"/>
            <w:hideMark/>
          </w:tcPr>
          <w:p w14:paraId="1C3ECE40"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6. Gujarat</w:t>
            </w:r>
          </w:p>
        </w:tc>
        <w:tc>
          <w:tcPr>
            <w:tcW w:w="850" w:type="dxa"/>
            <w:vAlign w:val="center"/>
            <w:hideMark/>
          </w:tcPr>
          <w:p w14:paraId="307B226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952.09</w:t>
            </w:r>
          </w:p>
        </w:tc>
        <w:tc>
          <w:tcPr>
            <w:tcW w:w="993" w:type="dxa"/>
            <w:vAlign w:val="center"/>
            <w:hideMark/>
          </w:tcPr>
          <w:p w14:paraId="7EE28E6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1765.43</w:t>
            </w:r>
          </w:p>
        </w:tc>
        <w:tc>
          <w:tcPr>
            <w:tcW w:w="708" w:type="dxa"/>
            <w:vAlign w:val="center"/>
            <w:hideMark/>
          </w:tcPr>
          <w:p w14:paraId="547DAA8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634.31</w:t>
            </w:r>
          </w:p>
        </w:tc>
        <w:tc>
          <w:tcPr>
            <w:tcW w:w="851" w:type="dxa"/>
            <w:vAlign w:val="center"/>
            <w:hideMark/>
          </w:tcPr>
          <w:p w14:paraId="740313C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42.85</w:t>
            </w:r>
          </w:p>
        </w:tc>
        <w:tc>
          <w:tcPr>
            <w:tcW w:w="850" w:type="dxa"/>
            <w:vAlign w:val="center"/>
            <w:hideMark/>
          </w:tcPr>
          <w:p w14:paraId="351A3E8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3394.68</w:t>
            </w:r>
          </w:p>
        </w:tc>
        <w:tc>
          <w:tcPr>
            <w:tcW w:w="851" w:type="dxa"/>
            <w:vAlign w:val="center"/>
            <w:hideMark/>
          </w:tcPr>
          <w:p w14:paraId="4ADE032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422CEDC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50A9CA1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w:t>
            </w:r>
          </w:p>
        </w:tc>
        <w:tc>
          <w:tcPr>
            <w:tcW w:w="992" w:type="dxa"/>
            <w:vAlign w:val="center"/>
            <w:hideMark/>
          </w:tcPr>
          <w:p w14:paraId="1CBBEC4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3394.68</w:t>
            </w:r>
          </w:p>
        </w:tc>
        <w:tc>
          <w:tcPr>
            <w:tcW w:w="851" w:type="dxa"/>
            <w:vAlign w:val="center"/>
            <w:hideMark/>
          </w:tcPr>
          <w:p w14:paraId="7063C0D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318.75</w:t>
            </w:r>
          </w:p>
        </w:tc>
        <w:tc>
          <w:tcPr>
            <w:tcW w:w="850" w:type="dxa"/>
            <w:vAlign w:val="center"/>
            <w:hideMark/>
          </w:tcPr>
          <w:p w14:paraId="3DEA1DF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3713.43</w:t>
            </w:r>
          </w:p>
        </w:tc>
      </w:tr>
      <w:tr w:rsidR="0081795D" w:rsidRPr="0081795D" w14:paraId="423DCB6C" w14:textId="77777777" w:rsidTr="00794BCE">
        <w:trPr>
          <w:trHeight w:val="57"/>
          <w:jc w:val="center"/>
        </w:trPr>
        <w:tc>
          <w:tcPr>
            <w:tcW w:w="1413" w:type="dxa"/>
            <w:vAlign w:val="center"/>
            <w:hideMark/>
          </w:tcPr>
          <w:p w14:paraId="292BA4A6"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7. Haryana</w:t>
            </w:r>
          </w:p>
        </w:tc>
        <w:tc>
          <w:tcPr>
            <w:tcW w:w="850" w:type="dxa"/>
            <w:vAlign w:val="center"/>
            <w:hideMark/>
          </w:tcPr>
          <w:p w14:paraId="0A5836E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260.31</w:t>
            </w:r>
          </w:p>
        </w:tc>
        <w:tc>
          <w:tcPr>
            <w:tcW w:w="993" w:type="dxa"/>
            <w:vAlign w:val="center"/>
            <w:hideMark/>
          </w:tcPr>
          <w:p w14:paraId="753F9B3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609.56</w:t>
            </w:r>
          </w:p>
        </w:tc>
        <w:tc>
          <w:tcPr>
            <w:tcW w:w="708" w:type="dxa"/>
            <w:vAlign w:val="center"/>
            <w:hideMark/>
          </w:tcPr>
          <w:p w14:paraId="2431FED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248.89</w:t>
            </w:r>
          </w:p>
        </w:tc>
        <w:tc>
          <w:tcPr>
            <w:tcW w:w="851" w:type="dxa"/>
            <w:vAlign w:val="center"/>
            <w:hideMark/>
          </w:tcPr>
          <w:p w14:paraId="2D098B8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12.30</w:t>
            </w:r>
          </w:p>
        </w:tc>
        <w:tc>
          <w:tcPr>
            <w:tcW w:w="850" w:type="dxa"/>
            <w:vAlign w:val="center"/>
            <w:hideMark/>
          </w:tcPr>
          <w:p w14:paraId="623B116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1131.06</w:t>
            </w:r>
          </w:p>
        </w:tc>
        <w:tc>
          <w:tcPr>
            <w:tcW w:w="851" w:type="dxa"/>
            <w:vAlign w:val="center"/>
            <w:hideMark/>
          </w:tcPr>
          <w:p w14:paraId="0F16DE2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7B555A2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147172A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w:t>
            </w:r>
          </w:p>
        </w:tc>
        <w:tc>
          <w:tcPr>
            <w:tcW w:w="992" w:type="dxa"/>
            <w:vAlign w:val="center"/>
            <w:hideMark/>
          </w:tcPr>
          <w:p w14:paraId="5F481F5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1131.06</w:t>
            </w:r>
          </w:p>
        </w:tc>
        <w:tc>
          <w:tcPr>
            <w:tcW w:w="851" w:type="dxa"/>
            <w:vAlign w:val="center"/>
            <w:hideMark/>
          </w:tcPr>
          <w:p w14:paraId="6CE7796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63.75</w:t>
            </w:r>
          </w:p>
        </w:tc>
        <w:tc>
          <w:tcPr>
            <w:tcW w:w="850" w:type="dxa"/>
            <w:vAlign w:val="center"/>
            <w:hideMark/>
          </w:tcPr>
          <w:p w14:paraId="0728C5E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1194.81</w:t>
            </w:r>
          </w:p>
        </w:tc>
      </w:tr>
      <w:tr w:rsidR="0081795D" w:rsidRPr="0081795D" w14:paraId="2949985B" w14:textId="77777777" w:rsidTr="00794BCE">
        <w:trPr>
          <w:trHeight w:val="57"/>
          <w:jc w:val="center"/>
        </w:trPr>
        <w:tc>
          <w:tcPr>
            <w:tcW w:w="1413" w:type="dxa"/>
            <w:vAlign w:val="center"/>
            <w:hideMark/>
          </w:tcPr>
          <w:p w14:paraId="57B1BC29"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8. Himachal Pradesh</w:t>
            </w:r>
          </w:p>
        </w:tc>
        <w:tc>
          <w:tcPr>
            <w:tcW w:w="850" w:type="dxa"/>
            <w:vAlign w:val="center"/>
            <w:hideMark/>
          </w:tcPr>
          <w:p w14:paraId="588C472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124.50</w:t>
            </w:r>
          </w:p>
        </w:tc>
        <w:tc>
          <w:tcPr>
            <w:tcW w:w="993" w:type="dxa"/>
            <w:vAlign w:val="center"/>
            <w:hideMark/>
          </w:tcPr>
          <w:p w14:paraId="1891E62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1077.48</w:t>
            </w:r>
          </w:p>
        </w:tc>
        <w:tc>
          <w:tcPr>
            <w:tcW w:w="708" w:type="dxa"/>
            <w:vAlign w:val="center"/>
            <w:hideMark/>
          </w:tcPr>
          <w:p w14:paraId="30382BB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66.70</w:t>
            </w:r>
          </w:p>
        </w:tc>
        <w:tc>
          <w:tcPr>
            <w:tcW w:w="851" w:type="dxa"/>
            <w:vAlign w:val="center"/>
            <w:hideMark/>
          </w:tcPr>
          <w:p w14:paraId="75F2878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0.75</w:t>
            </w:r>
          </w:p>
        </w:tc>
        <w:tc>
          <w:tcPr>
            <w:tcW w:w="850" w:type="dxa"/>
            <w:vAlign w:val="center"/>
            <w:hideMark/>
          </w:tcPr>
          <w:p w14:paraId="7446947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1269.43</w:t>
            </w:r>
          </w:p>
        </w:tc>
        <w:tc>
          <w:tcPr>
            <w:tcW w:w="851" w:type="dxa"/>
            <w:vAlign w:val="center"/>
            <w:hideMark/>
          </w:tcPr>
          <w:p w14:paraId="52BAA99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523.09</w:t>
            </w:r>
          </w:p>
        </w:tc>
        <w:tc>
          <w:tcPr>
            <w:tcW w:w="850" w:type="dxa"/>
            <w:vAlign w:val="center"/>
            <w:hideMark/>
          </w:tcPr>
          <w:p w14:paraId="5E09ED2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3DDB304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523.09</w:t>
            </w:r>
          </w:p>
        </w:tc>
        <w:tc>
          <w:tcPr>
            <w:tcW w:w="992" w:type="dxa"/>
            <w:vAlign w:val="center"/>
            <w:hideMark/>
          </w:tcPr>
          <w:p w14:paraId="1CD8087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1792.52</w:t>
            </w:r>
          </w:p>
        </w:tc>
        <w:tc>
          <w:tcPr>
            <w:tcW w:w="851" w:type="dxa"/>
            <w:vAlign w:val="center"/>
            <w:hideMark/>
          </w:tcPr>
          <w:p w14:paraId="26C9433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67.50</w:t>
            </w:r>
          </w:p>
        </w:tc>
        <w:tc>
          <w:tcPr>
            <w:tcW w:w="850" w:type="dxa"/>
            <w:vAlign w:val="center"/>
            <w:hideMark/>
          </w:tcPr>
          <w:p w14:paraId="1224CFE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1860.02</w:t>
            </w:r>
          </w:p>
        </w:tc>
      </w:tr>
      <w:tr w:rsidR="0081795D" w:rsidRPr="0081795D" w14:paraId="2A186108" w14:textId="77777777" w:rsidTr="00794BCE">
        <w:trPr>
          <w:trHeight w:val="57"/>
          <w:jc w:val="center"/>
        </w:trPr>
        <w:tc>
          <w:tcPr>
            <w:tcW w:w="1413" w:type="dxa"/>
            <w:vAlign w:val="center"/>
            <w:hideMark/>
          </w:tcPr>
          <w:p w14:paraId="0766AC0F"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9. Jammu and Kashmir</w:t>
            </w:r>
          </w:p>
        </w:tc>
        <w:tc>
          <w:tcPr>
            <w:tcW w:w="850" w:type="dxa"/>
            <w:vAlign w:val="center"/>
            <w:hideMark/>
          </w:tcPr>
          <w:p w14:paraId="08E37C7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145.43</w:t>
            </w:r>
          </w:p>
        </w:tc>
        <w:tc>
          <w:tcPr>
            <w:tcW w:w="993" w:type="dxa"/>
            <w:vAlign w:val="center"/>
            <w:hideMark/>
          </w:tcPr>
          <w:p w14:paraId="1A2B945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1968.20</w:t>
            </w:r>
          </w:p>
        </w:tc>
        <w:tc>
          <w:tcPr>
            <w:tcW w:w="708" w:type="dxa"/>
            <w:vAlign w:val="center"/>
            <w:hideMark/>
          </w:tcPr>
          <w:p w14:paraId="14E77C2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99.79</w:t>
            </w:r>
          </w:p>
        </w:tc>
        <w:tc>
          <w:tcPr>
            <w:tcW w:w="851" w:type="dxa"/>
            <w:vAlign w:val="center"/>
            <w:hideMark/>
          </w:tcPr>
          <w:p w14:paraId="0F9342E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3.90</w:t>
            </w:r>
          </w:p>
        </w:tc>
        <w:tc>
          <w:tcPr>
            <w:tcW w:w="850" w:type="dxa"/>
            <w:vAlign w:val="center"/>
            <w:hideMark/>
          </w:tcPr>
          <w:p w14:paraId="1F7B7EF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2217.32</w:t>
            </w:r>
          </w:p>
        </w:tc>
        <w:tc>
          <w:tcPr>
            <w:tcW w:w="851" w:type="dxa"/>
            <w:vAlign w:val="center"/>
            <w:hideMark/>
          </w:tcPr>
          <w:p w14:paraId="5FC3007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1083.12</w:t>
            </w:r>
          </w:p>
        </w:tc>
        <w:tc>
          <w:tcPr>
            <w:tcW w:w="850" w:type="dxa"/>
            <w:vAlign w:val="center"/>
            <w:hideMark/>
          </w:tcPr>
          <w:p w14:paraId="56F6495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13.30</w:t>
            </w:r>
          </w:p>
        </w:tc>
        <w:tc>
          <w:tcPr>
            <w:tcW w:w="851" w:type="dxa"/>
            <w:vAlign w:val="center"/>
            <w:hideMark/>
          </w:tcPr>
          <w:p w14:paraId="4168ACE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1096.42</w:t>
            </w:r>
          </w:p>
        </w:tc>
        <w:tc>
          <w:tcPr>
            <w:tcW w:w="992" w:type="dxa"/>
            <w:vAlign w:val="center"/>
            <w:hideMark/>
          </w:tcPr>
          <w:p w14:paraId="67BEF8E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3313.74</w:t>
            </w:r>
          </w:p>
        </w:tc>
        <w:tc>
          <w:tcPr>
            <w:tcW w:w="851" w:type="dxa"/>
            <w:vAlign w:val="center"/>
            <w:hideMark/>
          </w:tcPr>
          <w:p w14:paraId="245EC87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45.00</w:t>
            </w:r>
          </w:p>
        </w:tc>
        <w:tc>
          <w:tcPr>
            <w:tcW w:w="850" w:type="dxa"/>
            <w:vAlign w:val="center"/>
            <w:hideMark/>
          </w:tcPr>
          <w:p w14:paraId="633CAF2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3358.74</w:t>
            </w:r>
          </w:p>
        </w:tc>
      </w:tr>
      <w:tr w:rsidR="0081795D" w:rsidRPr="0081795D" w14:paraId="68F0D172" w14:textId="77777777" w:rsidTr="00794BCE">
        <w:trPr>
          <w:trHeight w:val="57"/>
          <w:jc w:val="center"/>
        </w:trPr>
        <w:tc>
          <w:tcPr>
            <w:tcW w:w="1413" w:type="dxa"/>
            <w:vAlign w:val="center"/>
            <w:hideMark/>
          </w:tcPr>
          <w:p w14:paraId="044F3F09"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10. Karnataka</w:t>
            </w:r>
          </w:p>
        </w:tc>
        <w:tc>
          <w:tcPr>
            <w:tcW w:w="850" w:type="dxa"/>
            <w:vAlign w:val="center"/>
            <w:hideMark/>
          </w:tcPr>
          <w:p w14:paraId="6F31E88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1031.18</w:t>
            </w:r>
          </w:p>
        </w:tc>
        <w:tc>
          <w:tcPr>
            <w:tcW w:w="993" w:type="dxa"/>
            <w:vAlign w:val="center"/>
            <w:hideMark/>
          </w:tcPr>
          <w:p w14:paraId="68B3507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2276.27</w:t>
            </w:r>
          </w:p>
        </w:tc>
        <w:tc>
          <w:tcPr>
            <w:tcW w:w="708" w:type="dxa"/>
            <w:vAlign w:val="center"/>
            <w:hideMark/>
          </w:tcPr>
          <w:p w14:paraId="4223177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630.02</w:t>
            </w:r>
          </w:p>
        </w:tc>
        <w:tc>
          <w:tcPr>
            <w:tcW w:w="851" w:type="dxa"/>
            <w:vAlign w:val="center"/>
            <w:hideMark/>
          </w:tcPr>
          <w:p w14:paraId="5748CE9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24.55</w:t>
            </w:r>
          </w:p>
        </w:tc>
        <w:tc>
          <w:tcPr>
            <w:tcW w:w="850" w:type="dxa"/>
            <w:vAlign w:val="center"/>
            <w:hideMark/>
          </w:tcPr>
          <w:p w14:paraId="1F2AF2F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3962.02</w:t>
            </w:r>
          </w:p>
        </w:tc>
        <w:tc>
          <w:tcPr>
            <w:tcW w:w="851" w:type="dxa"/>
            <w:vAlign w:val="center"/>
            <w:hideMark/>
          </w:tcPr>
          <w:p w14:paraId="4DB8B63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423341C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4370764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w:t>
            </w:r>
          </w:p>
        </w:tc>
        <w:tc>
          <w:tcPr>
            <w:tcW w:w="992" w:type="dxa"/>
            <w:vAlign w:val="center"/>
            <w:hideMark/>
          </w:tcPr>
          <w:p w14:paraId="4C76074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3962.02</w:t>
            </w:r>
          </w:p>
        </w:tc>
        <w:tc>
          <w:tcPr>
            <w:tcW w:w="851" w:type="dxa"/>
            <w:vAlign w:val="center"/>
            <w:hideMark/>
          </w:tcPr>
          <w:p w14:paraId="6701792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101.25</w:t>
            </w:r>
          </w:p>
        </w:tc>
        <w:tc>
          <w:tcPr>
            <w:tcW w:w="850" w:type="dxa"/>
            <w:vAlign w:val="center"/>
            <w:hideMark/>
          </w:tcPr>
          <w:p w14:paraId="3E91582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4063.27</w:t>
            </w:r>
          </w:p>
        </w:tc>
      </w:tr>
      <w:tr w:rsidR="0081795D" w:rsidRPr="0081795D" w14:paraId="1A3066CD" w14:textId="77777777" w:rsidTr="00794BCE">
        <w:trPr>
          <w:trHeight w:val="57"/>
          <w:jc w:val="center"/>
        </w:trPr>
        <w:tc>
          <w:tcPr>
            <w:tcW w:w="1413" w:type="dxa"/>
            <w:vAlign w:val="center"/>
            <w:hideMark/>
          </w:tcPr>
          <w:p w14:paraId="79A00277"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11. Kerala</w:t>
            </w:r>
          </w:p>
        </w:tc>
        <w:tc>
          <w:tcPr>
            <w:tcW w:w="850" w:type="dxa"/>
            <w:vAlign w:val="center"/>
            <w:hideMark/>
          </w:tcPr>
          <w:p w14:paraId="0A8B795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780.29</w:t>
            </w:r>
          </w:p>
        </w:tc>
        <w:tc>
          <w:tcPr>
            <w:tcW w:w="993" w:type="dxa"/>
            <w:vAlign w:val="center"/>
            <w:hideMark/>
          </w:tcPr>
          <w:p w14:paraId="23BA6D2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1712.19</w:t>
            </w:r>
          </w:p>
        </w:tc>
        <w:tc>
          <w:tcPr>
            <w:tcW w:w="708" w:type="dxa"/>
            <w:vAlign w:val="center"/>
            <w:hideMark/>
          </w:tcPr>
          <w:p w14:paraId="41FA184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399.92</w:t>
            </w:r>
          </w:p>
        </w:tc>
        <w:tc>
          <w:tcPr>
            <w:tcW w:w="851" w:type="dxa"/>
            <w:vAlign w:val="center"/>
            <w:hideMark/>
          </w:tcPr>
          <w:p w14:paraId="328254F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26.70</w:t>
            </w:r>
          </w:p>
        </w:tc>
        <w:tc>
          <w:tcPr>
            <w:tcW w:w="850" w:type="dxa"/>
            <w:vAlign w:val="center"/>
            <w:hideMark/>
          </w:tcPr>
          <w:p w14:paraId="4D01E37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2919.10</w:t>
            </w:r>
          </w:p>
        </w:tc>
        <w:tc>
          <w:tcPr>
            <w:tcW w:w="851" w:type="dxa"/>
            <w:vAlign w:val="center"/>
            <w:hideMark/>
          </w:tcPr>
          <w:p w14:paraId="5C80295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3BBFCC8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412.54</w:t>
            </w:r>
          </w:p>
        </w:tc>
        <w:tc>
          <w:tcPr>
            <w:tcW w:w="851" w:type="dxa"/>
            <w:vAlign w:val="center"/>
            <w:hideMark/>
          </w:tcPr>
          <w:p w14:paraId="4815EE3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412.54</w:t>
            </w:r>
          </w:p>
        </w:tc>
        <w:tc>
          <w:tcPr>
            <w:tcW w:w="992" w:type="dxa"/>
            <w:vAlign w:val="center"/>
            <w:hideMark/>
          </w:tcPr>
          <w:p w14:paraId="0C5FD2E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3331.64</w:t>
            </w:r>
          </w:p>
        </w:tc>
        <w:tc>
          <w:tcPr>
            <w:tcW w:w="851" w:type="dxa"/>
            <w:vAlign w:val="center"/>
            <w:hideMark/>
          </w:tcPr>
          <w:p w14:paraId="5329A5A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116.25</w:t>
            </w:r>
          </w:p>
        </w:tc>
        <w:tc>
          <w:tcPr>
            <w:tcW w:w="850" w:type="dxa"/>
            <w:vAlign w:val="center"/>
            <w:hideMark/>
          </w:tcPr>
          <w:p w14:paraId="7FC3EB8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3447.89</w:t>
            </w:r>
          </w:p>
        </w:tc>
      </w:tr>
      <w:tr w:rsidR="0081795D" w:rsidRPr="0081795D" w14:paraId="25825067" w14:textId="77777777" w:rsidTr="00794BCE">
        <w:trPr>
          <w:trHeight w:val="57"/>
          <w:jc w:val="center"/>
        </w:trPr>
        <w:tc>
          <w:tcPr>
            <w:tcW w:w="1413" w:type="dxa"/>
            <w:vAlign w:val="center"/>
            <w:hideMark/>
          </w:tcPr>
          <w:p w14:paraId="4DE49393"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12. Madhya Pradesh</w:t>
            </w:r>
          </w:p>
        </w:tc>
        <w:tc>
          <w:tcPr>
            <w:tcW w:w="850" w:type="dxa"/>
            <w:vAlign w:val="center"/>
            <w:hideMark/>
          </w:tcPr>
          <w:p w14:paraId="54FE44B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1712.71</w:t>
            </w:r>
          </w:p>
        </w:tc>
        <w:tc>
          <w:tcPr>
            <w:tcW w:w="993" w:type="dxa"/>
            <w:vAlign w:val="center"/>
            <w:hideMark/>
          </w:tcPr>
          <w:p w14:paraId="399F2A4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4006.76</w:t>
            </w:r>
          </w:p>
        </w:tc>
        <w:tc>
          <w:tcPr>
            <w:tcW w:w="708" w:type="dxa"/>
            <w:vAlign w:val="center"/>
            <w:hideMark/>
          </w:tcPr>
          <w:p w14:paraId="2A259AB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769.56</w:t>
            </w:r>
          </w:p>
        </w:tc>
        <w:tc>
          <w:tcPr>
            <w:tcW w:w="851" w:type="dxa"/>
            <w:vAlign w:val="center"/>
            <w:hideMark/>
          </w:tcPr>
          <w:p w14:paraId="7FAC5B4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45.45</w:t>
            </w:r>
          </w:p>
        </w:tc>
        <w:tc>
          <w:tcPr>
            <w:tcW w:w="850" w:type="dxa"/>
            <w:vAlign w:val="center"/>
            <w:hideMark/>
          </w:tcPr>
          <w:p w14:paraId="1236B0F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6534.48</w:t>
            </w:r>
          </w:p>
        </w:tc>
        <w:tc>
          <w:tcPr>
            <w:tcW w:w="851" w:type="dxa"/>
            <w:vAlign w:val="center"/>
            <w:hideMark/>
          </w:tcPr>
          <w:p w14:paraId="573015C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6AC12F0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1047.81</w:t>
            </w:r>
          </w:p>
        </w:tc>
        <w:tc>
          <w:tcPr>
            <w:tcW w:w="851" w:type="dxa"/>
            <w:vAlign w:val="center"/>
            <w:hideMark/>
          </w:tcPr>
          <w:p w14:paraId="10367D1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1047.81</w:t>
            </w:r>
          </w:p>
        </w:tc>
        <w:tc>
          <w:tcPr>
            <w:tcW w:w="992" w:type="dxa"/>
            <w:vAlign w:val="center"/>
            <w:hideMark/>
          </w:tcPr>
          <w:p w14:paraId="156A52E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7582.29</w:t>
            </w:r>
          </w:p>
        </w:tc>
        <w:tc>
          <w:tcPr>
            <w:tcW w:w="851" w:type="dxa"/>
            <w:vAlign w:val="center"/>
            <w:hideMark/>
          </w:tcPr>
          <w:p w14:paraId="2AFBE09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261.00*</w:t>
            </w:r>
          </w:p>
        </w:tc>
        <w:tc>
          <w:tcPr>
            <w:tcW w:w="850" w:type="dxa"/>
            <w:vAlign w:val="center"/>
            <w:hideMark/>
          </w:tcPr>
          <w:p w14:paraId="1BE46EF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7843.29</w:t>
            </w:r>
          </w:p>
        </w:tc>
      </w:tr>
      <w:tr w:rsidR="0081795D" w:rsidRPr="0081795D" w14:paraId="154C60AE" w14:textId="77777777" w:rsidTr="00794BCE">
        <w:trPr>
          <w:trHeight w:val="57"/>
          <w:jc w:val="center"/>
        </w:trPr>
        <w:tc>
          <w:tcPr>
            <w:tcW w:w="1413" w:type="dxa"/>
            <w:vAlign w:val="center"/>
            <w:hideMark/>
          </w:tcPr>
          <w:p w14:paraId="13534242"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13. Maharashtra</w:t>
            </w:r>
          </w:p>
        </w:tc>
        <w:tc>
          <w:tcPr>
            <w:tcW w:w="850" w:type="dxa"/>
            <w:vAlign w:val="center"/>
            <w:hideMark/>
          </w:tcPr>
          <w:p w14:paraId="7C21925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1713.97</w:t>
            </w:r>
          </w:p>
        </w:tc>
        <w:tc>
          <w:tcPr>
            <w:tcW w:w="993" w:type="dxa"/>
            <w:vAlign w:val="center"/>
            <w:hideMark/>
          </w:tcPr>
          <w:p w14:paraId="2EF85F4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2875.85</w:t>
            </w:r>
          </w:p>
        </w:tc>
        <w:tc>
          <w:tcPr>
            <w:tcW w:w="708" w:type="dxa"/>
            <w:vAlign w:val="center"/>
            <w:hideMark/>
          </w:tcPr>
          <w:p w14:paraId="096B5BC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1276.79</w:t>
            </w:r>
          </w:p>
        </w:tc>
        <w:tc>
          <w:tcPr>
            <w:tcW w:w="851" w:type="dxa"/>
            <w:vAlign w:val="center"/>
            <w:hideMark/>
          </w:tcPr>
          <w:p w14:paraId="76AD350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169.75</w:t>
            </w:r>
          </w:p>
        </w:tc>
        <w:tc>
          <w:tcPr>
            <w:tcW w:w="850" w:type="dxa"/>
            <w:vAlign w:val="center"/>
            <w:hideMark/>
          </w:tcPr>
          <w:p w14:paraId="6DD8A69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6036.36</w:t>
            </w:r>
          </w:p>
        </w:tc>
        <w:tc>
          <w:tcPr>
            <w:tcW w:w="851" w:type="dxa"/>
            <w:vAlign w:val="center"/>
            <w:hideMark/>
          </w:tcPr>
          <w:p w14:paraId="2B7C90C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64CA0D1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3665D29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w:t>
            </w:r>
          </w:p>
        </w:tc>
        <w:tc>
          <w:tcPr>
            <w:tcW w:w="992" w:type="dxa"/>
            <w:vAlign w:val="center"/>
            <w:hideMark/>
          </w:tcPr>
          <w:p w14:paraId="7B4C1E5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6036.36</w:t>
            </w:r>
          </w:p>
        </w:tc>
        <w:tc>
          <w:tcPr>
            <w:tcW w:w="851" w:type="dxa"/>
            <w:vAlign w:val="center"/>
            <w:hideMark/>
          </w:tcPr>
          <w:p w14:paraId="3235517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165.00</w:t>
            </w:r>
          </w:p>
        </w:tc>
        <w:tc>
          <w:tcPr>
            <w:tcW w:w="850" w:type="dxa"/>
            <w:vAlign w:val="center"/>
            <w:hideMark/>
          </w:tcPr>
          <w:p w14:paraId="4282218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6201.36</w:t>
            </w:r>
          </w:p>
        </w:tc>
      </w:tr>
      <w:tr w:rsidR="0081795D" w:rsidRPr="0081795D" w14:paraId="75F083A0" w14:textId="77777777" w:rsidTr="00794BCE">
        <w:trPr>
          <w:trHeight w:val="57"/>
          <w:jc w:val="center"/>
        </w:trPr>
        <w:tc>
          <w:tcPr>
            <w:tcW w:w="1413" w:type="dxa"/>
            <w:vAlign w:val="center"/>
            <w:hideMark/>
          </w:tcPr>
          <w:p w14:paraId="2E25AEA1"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14. Manipur</w:t>
            </w:r>
          </w:p>
        </w:tc>
        <w:tc>
          <w:tcPr>
            <w:tcW w:w="850" w:type="dxa"/>
            <w:vAlign w:val="center"/>
            <w:hideMark/>
          </w:tcPr>
          <w:p w14:paraId="76A931E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35.78</w:t>
            </w:r>
          </w:p>
        </w:tc>
        <w:tc>
          <w:tcPr>
            <w:tcW w:w="993" w:type="dxa"/>
            <w:vAlign w:val="center"/>
            <w:hideMark/>
          </w:tcPr>
          <w:p w14:paraId="53EC357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651.31</w:t>
            </w:r>
          </w:p>
        </w:tc>
        <w:tc>
          <w:tcPr>
            <w:tcW w:w="708" w:type="dxa"/>
            <w:vAlign w:val="center"/>
            <w:hideMark/>
          </w:tcPr>
          <w:p w14:paraId="27CC329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22.88</w:t>
            </w:r>
          </w:p>
        </w:tc>
        <w:tc>
          <w:tcPr>
            <w:tcW w:w="851" w:type="dxa"/>
            <w:vAlign w:val="center"/>
            <w:hideMark/>
          </w:tcPr>
          <w:p w14:paraId="5FBE415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0.10</w:t>
            </w:r>
          </w:p>
        </w:tc>
        <w:tc>
          <w:tcPr>
            <w:tcW w:w="850" w:type="dxa"/>
            <w:vAlign w:val="center"/>
            <w:hideMark/>
          </w:tcPr>
          <w:p w14:paraId="20DEA3E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710.07</w:t>
            </w:r>
          </w:p>
        </w:tc>
        <w:tc>
          <w:tcPr>
            <w:tcW w:w="851" w:type="dxa"/>
            <w:vAlign w:val="center"/>
            <w:hideMark/>
          </w:tcPr>
          <w:p w14:paraId="1843300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371.65</w:t>
            </w:r>
          </w:p>
        </w:tc>
        <w:tc>
          <w:tcPr>
            <w:tcW w:w="850" w:type="dxa"/>
            <w:vAlign w:val="center"/>
            <w:hideMark/>
          </w:tcPr>
          <w:p w14:paraId="64959B0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5A6A829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371.65</w:t>
            </w:r>
          </w:p>
        </w:tc>
        <w:tc>
          <w:tcPr>
            <w:tcW w:w="992" w:type="dxa"/>
            <w:vAlign w:val="center"/>
            <w:hideMark/>
          </w:tcPr>
          <w:p w14:paraId="4320A32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1081.72</w:t>
            </w:r>
          </w:p>
        </w:tc>
        <w:tc>
          <w:tcPr>
            <w:tcW w:w="851" w:type="dxa"/>
            <w:vAlign w:val="center"/>
            <w:hideMark/>
          </w:tcPr>
          <w:p w14:paraId="5620409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3.75</w:t>
            </w:r>
          </w:p>
        </w:tc>
        <w:tc>
          <w:tcPr>
            <w:tcW w:w="850" w:type="dxa"/>
            <w:vAlign w:val="center"/>
            <w:hideMark/>
          </w:tcPr>
          <w:p w14:paraId="2E5B0C3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1085.47</w:t>
            </w:r>
          </w:p>
        </w:tc>
      </w:tr>
      <w:tr w:rsidR="0081795D" w:rsidRPr="0081795D" w14:paraId="0DA2A32B" w14:textId="77777777" w:rsidTr="00794BCE">
        <w:trPr>
          <w:trHeight w:val="57"/>
          <w:jc w:val="center"/>
        </w:trPr>
        <w:tc>
          <w:tcPr>
            <w:tcW w:w="1413" w:type="dxa"/>
            <w:vAlign w:val="center"/>
            <w:hideMark/>
          </w:tcPr>
          <w:p w14:paraId="26F695AD"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15. Meghalaya</w:t>
            </w:r>
          </w:p>
        </w:tc>
        <w:tc>
          <w:tcPr>
            <w:tcW w:w="850" w:type="dxa"/>
            <w:vAlign w:val="center"/>
            <w:hideMark/>
          </w:tcPr>
          <w:p w14:paraId="5CD8CDC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43.52</w:t>
            </w:r>
          </w:p>
        </w:tc>
        <w:tc>
          <w:tcPr>
            <w:tcW w:w="993" w:type="dxa"/>
            <w:vAlign w:val="center"/>
            <w:hideMark/>
          </w:tcPr>
          <w:p w14:paraId="045A895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493.98</w:t>
            </w:r>
          </w:p>
        </w:tc>
        <w:tc>
          <w:tcPr>
            <w:tcW w:w="708" w:type="dxa"/>
            <w:vAlign w:val="center"/>
            <w:hideMark/>
          </w:tcPr>
          <w:p w14:paraId="205447E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20.41</w:t>
            </w:r>
          </w:p>
        </w:tc>
        <w:tc>
          <w:tcPr>
            <w:tcW w:w="851" w:type="dxa"/>
            <w:vAlign w:val="center"/>
            <w:hideMark/>
          </w:tcPr>
          <w:p w14:paraId="5C56DBE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0.30</w:t>
            </w:r>
          </w:p>
        </w:tc>
        <w:tc>
          <w:tcPr>
            <w:tcW w:w="850" w:type="dxa"/>
            <w:vAlign w:val="center"/>
            <w:hideMark/>
          </w:tcPr>
          <w:p w14:paraId="0B3E2FB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558.21</w:t>
            </w:r>
          </w:p>
        </w:tc>
        <w:tc>
          <w:tcPr>
            <w:tcW w:w="851" w:type="dxa"/>
            <w:vAlign w:val="center"/>
            <w:hideMark/>
          </w:tcPr>
          <w:p w14:paraId="6BB9455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256.18</w:t>
            </w:r>
          </w:p>
        </w:tc>
        <w:tc>
          <w:tcPr>
            <w:tcW w:w="850" w:type="dxa"/>
            <w:vAlign w:val="center"/>
            <w:hideMark/>
          </w:tcPr>
          <w:p w14:paraId="3DA4F2F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7C0AC78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256.18</w:t>
            </w:r>
          </w:p>
        </w:tc>
        <w:tc>
          <w:tcPr>
            <w:tcW w:w="992" w:type="dxa"/>
            <w:vAlign w:val="center"/>
            <w:hideMark/>
          </w:tcPr>
          <w:p w14:paraId="449543E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814.39</w:t>
            </w:r>
          </w:p>
        </w:tc>
        <w:tc>
          <w:tcPr>
            <w:tcW w:w="851" w:type="dxa"/>
            <w:vAlign w:val="center"/>
            <w:hideMark/>
          </w:tcPr>
          <w:p w14:paraId="2D5C032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7.50</w:t>
            </w:r>
          </w:p>
        </w:tc>
        <w:tc>
          <w:tcPr>
            <w:tcW w:w="850" w:type="dxa"/>
            <w:vAlign w:val="center"/>
            <w:hideMark/>
          </w:tcPr>
          <w:p w14:paraId="3DF225D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821.89</w:t>
            </w:r>
          </w:p>
        </w:tc>
      </w:tr>
      <w:tr w:rsidR="0081795D" w:rsidRPr="0081795D" w14:paraId="20C0AC27" w14:textId="77777777" w:rsidTr="00794BCE">
        <w:trPr>
          <w:trHeight w:val="57"/>
          <w:jc w:val="center"/>
        </w:trPr>
        <w:tc>
          <w:tcPr>
            <w:tcW w:w="1413" w:type="dxa"/>
            <w:vAlign w:val="center"/>
            <w:hideMark/>
          </w:tcPr>
          <w:p w14:paraId="335A57FA"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16. Mizoram</w:t>
            </w:r>
          </w:p>
        </w:tc>
        <w:tc>
          <w:tcPr>
            <w:tcW w:w="850" w:type="dxa"/>
            <w:vAlign w:val="center"/>
            <w:hideMark/>
          </w:tcPr>
          <w:p w14:paraId="2BEDE3D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15.28</w:t>
            </w:r>
          </w:p>
        </w:tc>
        <w:tc>
          <w:tcPr>
            <w:tcW w:w="993" w:type="dxa"/>
            <w:vAlign w:val="center"/>
            <w:hideMark/>
          </w:tcPr>
          <w:p w14:paraId="604B918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614.88</w:t>
            </w:r>
          </w:p>
        </w:tc>
        <w:tc>
          <w:tcPr>
            <w:tcW w:w="708" w:type="dxa"/>
            <w:vAlign w:val="center"/>
            <w:hideMark/>
          </w:tcPr>
          <w:p w14:paraId="4E1A54F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7.31</w:t>
            </w:r>
          </w:p>
        </w:tc>
        <w:tc>
          <w:tcPr>
            <w:tcW w:w="851" w:type="dxa"/>
            <w:vAlign w:val="center"/>
            <w:hideMark/>
          </w:tcPr>
          <w:p w14:paraId="633948D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27AB344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637.47</w:t>
            </w:r>
          </w:p>
        </w:tc>
        <w:tc>
          <w:tcPr>
            <w:tcW w:w="851" w:type="dxa"/>
            <w:vAlign w:val="center"/>
            <w:hideMark/>
          </w:tcPr>
          <w:p w14:paraId="6E020E3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379.79</w:t>
            </w:r>
          </w:p>
        </w:tc>
        <w:tc>
          <w:tcPr>
            <w:tcW w:w="850" w:type="dxa"/>
            <w:vAlign w:val="center"/>
            <w:hideMark/>
          </w:tcPr>
          <w:p w14:paraId="5FE74BA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474F695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379.79</w:t>
            </w:r>
          </w:p>
        </w:tc>
        <w:tc>
          <w:tcPr>
            <w:tcW w:w="992" w:type="dxa"/>
            <w:vAlign w:val="center"/>
            <w:hideMark/>
          </w:tcPr>
          <w:p w14:paraId="4C89169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1017.26</w:t>
            </w:r>
          </w:p>
        </w:tc>
        <w:tc>
          <w:tcPr>
            <w:tcW w:w="851" w:type="dxa"/>
            <w:vAlign w:val="center"/>
            <w:hideMark/>
          </w:tcPr>
          <w:p w14:paraId="423516A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3.75</w:t>
            </w:r>
          </w:p>
        </w:tc>
        <w:tc>
          <w:tcPr>
            <w:tcW w:w="850" w:type="dxa"/>
            <w:vAlign w:val="center"/>
            <w:hideMark/>
          </w:tcPr>
          <w:p w14:paraId="09B285B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1021.01</w:t>
            </w:r>
          </w:p>
        </w:tc>
      </w:tr>
      <w:tr w:rsidR="0081795D" w:rsidRPr="0081795D" w14:paraId="36093111" w14:textId="77777777" w:rsidTr="00794BCE">
        <w:trPr>
          <w:trHeight w:val="57"/>
          <w:jc w:val="center"/>
        </w:trPr>
        <w:tc>
          <w:tcPr>
            <w:tcW w:w="1413" w:type="dxa"/>
            <w:vAlign w:val="center"/>
            <w:hideMark/>
          </w:tcPr>
          <w:p w14:paraId="1A991283"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lastRenderedPageBreak/>
              <w:t>17. Nagaland</w:t>
            </w:r>
          </w:p>
        </w:tc>
        <w:tc>
          <w:tcPr>
            <w:tcW w:w="850" w:type="dxa"/>
            <w:vAlign w:val="center"/>
            <w:hideMark/>
          </w:tcPr>
          <w:p w14:paraId="7D67E3D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20.09</w:t>
            </w:r>
          </w:p>
        </w:tc>
        <w:tc>
          <w:tcPr>
            <w:tcW w:w="993" w:type="dxa"/>
            <w:vAlign w:val="center"/>
            <w:hideMark/>
          </w:tcPr>
          <w:p w14:paraId="159D589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747.65</w:t>
            </w:r>
          </w:p>
        </w:tc>
        <w:tc>
          <w:tcPr>
            <w:tcW w:w="708" w:type="dxa"/>
            <w:vAlign w:val="center"/>
            <w:hideMark/>
          </w:tcPr>
          <w:p w14:paraId="505BB76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12.89</w:t>
            </w:r>
          </w:p>
        </w:tc>
        <w:tc>
          <w:tcPr>
            <w:tcW w:w="851" w:type="dxa"/>
            <w:vAlign w:val="center"/>
            <w:hideMark/>
          </w:tcPr>
          <w:p w14:paraId="6996ABA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1.25</w:t>
            </w:r>
          </w:p>
        </w:tc>
        <w:tc>
          <w:tcPr>
            <w:tcW w:w="850" w:type="dxa"/>
            <w:vAlign w:val="center"/>
            <w:hideMark/>
          </w:tcPr>
          <w:p w14:paraId="5443EDF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781.88</w:t>
            </w:r>
          </w:p>
        </w:tc>
        <w:tc>
          <w:tcPr>
            <w:tcW w:w="851" w:type="dxa"/>
            <w:vAlign w:val="center"/>
            <w:hideMark/>
          </w:tcPr>
          <w:p w14:paraId="4D0D4E2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458.67</w:t>
            </w:r>
          </w:p>
        </w:tc>
        <w:tc>
          <w:tcPr>
            <w:tcW w:w="850" w:type="dxa"/>
            <w:vAlign w:val="center"/>
            <w:hideMark/>
          </w:tcPr>
          <w:p w14:paraId="127C598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478379B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458.67</w:t>
            </w:r>
          </w:p>
        </w:tc>
        <w:tc>
          <w:tcPr>
            <w:tcW w:w="992" w:type="dxa"/>
            <w:vAlign w:val="center"/>
            <w:hideMark/>
          </w:tcPr>
          <w:p w14:paraId="19E0597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1240.55</w:t>
            </w:r>
          </w:p>
        </w:tc>
        <w:tc>
          <w:tcPr>
            <w:tcW w:w="851" w:type="dxa"/>
            <w:vAlign w:val="center"/>
            <w:hideMark/>
          </w:tcPr>
          <w:p w14:paraId="4ED5D04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3.75</w:t>
            </w:r>
          </w:p>
        </w:tc>
        <w:tc>
          <w:tcPr>
            <w:tcW w:w="850" w:type="dxa"/>
            <w:vAlign w:val="center"/>
            <w:hideMark/>
          </w:tcPr>
          <w:p w14:paraId="7BA2F7C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1244.30</w:t>
            </w:r>
          </w:p>
        </w:tc>
      </w:tr>
      <w:tr w:rsidR="0081795D" w:rsidRPr="0081795D" w14:paraId="33F5539B" w14:textId="77777777" w:rsidTr="00794BCE">
        <w:trPr>
          <w:trHeight w:val="57"/>
          <w:jc w:val="center"/>
        </w:trPr>
        <w:tc>
          <w:tcPr>
            <w:tcW w:w="1413" w:type="dxa"/>
            <w:vAlign w:val="center"/>
            <w:hideMark/>
          </w:tcPr>
          <w:p w14:paraId="19AC18A5"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18. Orissa</w:t>
            </w:r>
          </w:p>
        </w:tc>
        <w:tc>
          <w:tcPr>
            <w:tcW w:w="850" w:type="dxa"/>
            <w:vAlign w:val="center"/>
            <w:hideMark/>
          </w:tcPr>
          <w:p w14:paraId="7A3A1FA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905.21</w:t>
            </w:r>
          </w:p>
        </w:tc>
        <w:tc>
          <w:tcPr>
            <w:tcW w:w="993" w:type="dxa"/>
            <w:vAlign w:val="center"/>
            <w:hideMark/>
          </w:tcPr>
          <w:p w14:paraId="22DCF58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2972.03</w:t>
            </w:r>
          </w:p>
        </w:tc>
        <w:tc>
          <w:tcPr>
            <w:tcW w:w="708" w:type="dxa"/>
            <w:vAlign w:val="center"/>
            <w:hideMark/>
          </w:tcPr>
          <w:p w14:paraId="11C3136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374.47</w:t>
            </w:r>
          </w:p>
        </w:tc>
        <w:tc>
          <w:tcPr>
            <w:tcW w:w="851" w:type="dxa"/>
            <w:vAlign w:val="center"/>
            <w:hideMark/>
          </w:tcPr>
          <w:p w14:paraId="03CB4EF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12.10</w:t>
            </w:r>
          </w:p>
        </w:tc>
        <w:tc>
          <w:tcPr>
            <w:tcW w:w="850" w:type="dxa"/>
            <w:vAlign w:val="center"/>
            <w:hideMark/>
          </w:tcPr>
          <w:p w14:paraId="29A08A8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4263.81</w:t>
            </w:r>
          </w:p>
        </w:tc>
        <w:tc>
          <w:tcPr>
            <w:tcW w:w="851" w:type="dxa"/>
            <w:vAlign w:val="center"/>
            <w:hideMark/>
          </w:tcPr>
          <w:p w14:paraId="0EEF5D7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528.48</w:t>
            </w:r>
          </w:p>
        </w:tc>
        <w:tc>
          <w:tcPr>
            <w:tcW w:w="850" w:type="dxa"/>
            <w:vAlign w:val="center"/>
            <w:hideMark/>
          </w:tcPr>
          <w:p w14:paraId="0FE1AB2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554.50</w:t>
            </w:r>
          </w:p>
        </w:tc>
        <w:tc>
          <w:tcPr>
            <w:tcW w:w="851" w:type="dxa"/>
            <w:vAlign w:val="center"/>
            <w:hideMark/>
          </w:tcPr>
          <w:p w14:paraId="5F70840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1082.98</w:t>
            </w:r>
          </w:p>
        </w:tc>
        <w:tc>
          <w:tcPr>
            <w:tcW w:w="992" w:type="dxa"/>
            <w:vAlign w:val="center"/>
            <w:hideMark/>
          </w:tcPr>
          <w:p w14:paraId="7A85367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5346.79</w:t>
            </w:r>
          </w:p>
        </w:tc>
        <w:tc>
          <w:tcPr>
            <w:tcW w:w="851" w:type="dxa"/>
            <w:vAlign w:val="center"/>
            <w:hideMark/>
          </w:tcPr>
          <w:p w14:paraId="63864E3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176.25</w:t>
            </w:r>
          </w:p>
        </w:tc>
        <w:tc>
          <w:tcPr>
            <w:tcW w:w="850" w:type="dxa"/>
            <w:vAlign w:val="center"/>
            <w:hideMark/>
          </w:tcPr>
          <w:p w14:paraId="3274553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5523.04</w:t>
            </w:r>
          </w:p>
        </w:tc>
      </w:tr>
      <w:tr w:rsidR="0081795D" w:rsidRPr="0081795D" w14:paraId="323D3EC2" w14:textId="77777777" w:rsidTr="00794BCE">
        <w:trPr>
          <w:trHeight w:val="57"/>
          <w:jc w:val="center"/>
        </w:trPr>
        <w:tc>
          <w:tcPr>
            <w:tcW w:w="1413" w:type="dxa"/>
            <w:vAlign w:val="center"/>
            <w:hideMark/>
          </w:tcPr>
          <w:p w14:paraId="65951F1F"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19. Punjab</w:t>
            </w:r>
          </w:p>
        </w:tc>
        <w:tc>
          <w:tcPr>
            <w:tcW w:w="850" w:type="dxa"/>
            <w:vAlign w:val="center"/>
            <w:hideMark/>
          </w:tcPr>
          <w:p w14:paraId="24D7E2D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356.98</w:t>
            </w:r>
          </w:p>
        </w:tc>
        <w:tc>
          <w:tcPr>
            <w:tcW w:w="993" w:type="dxa"/>
            <w:vAlign w:val="center"/>
            <w:hideMark/>
          </w:tcPr>
          <w:p w14:paraId="0926589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755.43</w:t>
            </w:r>
          </w:p>
        </w:tc>
        <w:tc>
          <w:tcPr>
            <w:tcW w:w="708" w:type="dxa"/>
            <w:vAlign w:val="center"/>
            <w:hideMark/>
          </w:tcPr>
          <w:p w14:paraId="1F21E78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379.51</w:t>
            </w:r>
          </w:p>
        </w:tc>
        <w:tc>
          <w:tcPr>
            <w:tcW w:w="851" w:type="dxa"/>
            <w:vAlign w:val="center"/>
            <w:hideMark/>
          </w:tcPr>
          <w:p w14:paraId="72BB3EB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23.30</w:t>
            </w:r>
          </w:p>
        </w:tc>
        <w:tc>
          <w:tcPr>
            <w:tcW w:w="850" w:type="dxa"/>
            <w:vAlign w:val="center"/>
            <w:hideMark/>
          </w:tcPr>
          <w:p w14:paraId="1461E02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1515.22</w:t>
            </w:r>
          </w:p>
        </w:tc>
        <w:tc>
          <w:tcPr>
            <w:tcW w:w="851" w:type="dxa"/>
            <w:vAlign w:val="center"/>
            <w:hideMark/>
          </w:tcPr>
          <w:p w14:paraId="09E1F53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3C88204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53.91</w:t>
            </w:r>
          </w:p>
        </w:tc>
        <w:tc>
          <w:tcPr>
            <w:tcW w:w="851" w:type="dxa"/>
            <w:vAlign w:val="center"/>
            <w:hideMark/>
          </w:tcPr>
          <w:p w14:paraId="4D4B4EE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53.91</w:t>
            </w:r>
          </w:p>
        </w:tc>
        <w:tc>
          <w:tcPr>
            <w:tcW w:w="992" w:type="dxa"/>
            <w:vAlign w:val="center"/>
            <w:hideMark/>
          </w:tcPr>
          <w:p w14:paraId="5D200C6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1569.13</w:t>
            </w:r>
          </w:p>
        </w:tc>
        <w:tc>
          <w:tcPr>
            <w:tcW w:w="851" w:type="dxa"/>
            <w:vAlign w:val="center"/>
            <w:hideMark/>
          </w:tcPr>
          <w:p w14:paraId="3189972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105.00</w:t>
            </w:r>
          </w:p>
        </w:tc>
        <w:tc>
          <w:tcPr>
            <w:tcW w:w="850" w:type="dxa"/>
            <w:vAlign w:val="center"/>
            <w:hideMark/>
          </w:tcPr>
          <w:p w14:paraId="0677853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1674.13</w:t>
            </w:r>
          </w:p>
        </w:tc>
      </w:tr>
      <w:tr w:rsidR="0081795D" w:rsidRPr="0081795D" w14:paraId="16615180" w14:textId="77777777" w:rsidTr="00794BCE">
        <w:trPr>
          <w:trHeight w:val="57"/>
          <w:jc w:val="center"/>
        </w:trPr>
        <w:tc>
          <w:tcPr>
            <w:tcW w:w="1413" w:type="dxa"/>
            <w:vAlign w:val="center"/>
            <w:hideMark/>
          </w:tcPr>
          <w:p w14:paraId="729D546B"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20. Rajasthan</w:t>
            </w:r>
          </w:p>
        </w:tc>
        <w:tc>
          <w:tcPr>
            <w:tcW w:w="850" w:type="dxa"/>
            <w:vAlign w:val="center"/>
            <w:hideMark/>
          </w:tcPr>
          <w:p w14:paraId="18BC72B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1011.93</w:t>
            </w:r>
          </w:p>
        </w:tc>
        <w:tc>
          <w:tcPr>
            <w:tcW w:w="993" w:type="dxa"/>
            <w:vAlign w:val="center"/>
            <w:hideMark/>
          </w:tcPr>
          <w:p w14:paraId="1089112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3063.87</w:t>
            </w:r>
          </w:p>
        </w:tc>
        <w:tc>
          <w:tcPr>
            <w:tcW w:w="708" w:type="dxa"/>
            <w:vAlign w:val="center"/>
            <w:hideMark/>
          </w:tcPr>
          <w:p w14:paraId="75649E2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503.68</w:t>
            </w:r>
          </w:p>
        </w:tc>
        <w:tc>
          <w:tcPr>
            <w:tcW w:w="851" w:type="dxa"/>
            <w:vAlign w:val="center"/>
            <w:hideMark/>
          </w:tcPr>
          <w:p w14:paraId="3013F77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34.35</w:t>
            </w:r>
          </w:p>
        </w:tc>
        <w:tc>
          <w:tcPr>
            <w:tcW w:w="850" w:type="dxa"/>
            <w:vAlign w:val="center"/>
            <w:hideMark/>
          </w:tcPr>
          <w:p w14:paraId="090A4E9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4613.83</w:t>
            </w:r>
          </w:p>
        </w:tc>
        <w:tc>
          <w:tcPr>
            <w:tcW w:w="851" w:type="dxa"/>
            <w:vAlign w:val="center"/>
            <w:hideMark/>
          </w:tcPr>
          <w:p w14:paraId="6B763BC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486.39</w:t>
            </w:r>
          </w:p>
        </w:tc>
        <w:tc>
          <w:tcPr>
            <w:tcW w:w="850" w:type="dxa"/>
            <w:vAlign w:val="center"/>
            <w:hideMark/>
          </w:tcPr>
          <w:p w14:paraId="31DFB58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960.40</w:t>
            </w:r>
          </w:p>
        </w:tc>
        <w:tc>
          <w:tcPr>
            <w:tcW w:w="851" w:type="dxa"/>
            <w:vAlign w:val="center"/>
            <w:hideMark/>
          </w:tcPr>
          <w:p w14:paraId="6E43E87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1446.79</w:t>
            </w:r>
          </w:p>
        </w:tc>
        <w:tc>
          <w:tcPr>
            <w:tcW w:w="992" w:type="dxa"/>
            <w:vAlign w:val="center"/>
            <w:hideMark/>
          </w:tcPr>
          <w:p w14:paraId="3E39F0B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6060.62</w:t>
            </w:r>
          </w:p>
        </w:tc>
        <w:tc>
          <w:tcPr>
            <w:tcW w:w="851" w:type="dxa"/>
            <w:vAlign w:val="center"/>
            <w:hideMark/>
          </w:tcPr>
          <w:p w14:paraId="4FD3EA5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465.00</w:t>
            </w:r>
          </w:p>
        </w:tc>
        <w:tc>
          <w:tcPr>
            <w:tcW w:w="850" w:type="dxa"/>
            <w:vAlign w:val="center"/>
            <w:hideMark/>
          </w:tcPr>
          <w:p w14:paraId="0FD26B0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6525.62</w:t>
            </w:r>
          </w:p>
        </w:tc>
      </w:tr>
      <w:tr w:rsidR="0081795D" w:rsidRPr="0081795D" w14:paraId="284E2CEF" w14:textId="77777777" w:rsidTr="00794BCE">
        <w:trPr>
          <w:trHeight w:val="57"/>
          <w:jc w:val="center"/>
        </w:trPr>
        <w:tc>
          <w:tcPr>
            <w:tcW w:w="1413" w:type="dxa"/>
            <w:vAlign w:val="center"/>
            <w:hideMark/>
          </w:tcPr>
          <w:p w14:paraId="2E80606F"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21. Sikkim</w:t>
            </w:r>
          </w:p>
        </w:tc>
        <w:tc>
          <w:tcPr>
            <w:tcW w:w="850" w:type="dxa"/>
            <w:vAlign w:val="center"/>
            <w:hideMark/>
          </w:tcPr>
          <w:p w14:paraId="0E00605D"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6.28</w:t>
            </w:r>
          </w:p>
        </w:tc>
        <w:tc>
          <w:tcPr>
            <w:tcW w:w="993" w:type="dxa"/>
            <w:vAlign w:val="center"/>
            <w:hideMark/>
          </w:tcPr>
          <w:p w14:paraId="3F7D81B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144.34</w:t>
            </w:r>
          </w:p>
        </w:tc>
        <w:tc>
          <w:tcPr>
            <w:tcW w:w="708" w:type="dxa"/>
            <w:vAlign w:val="center"/>
            <w:hideMark/>
          </w:tcPr>
          <w:p w14:paraId="4CE515B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5.58</w:t>
            </w:r>
          </w:p>
        </w:tc>
        <w:tc>
          <w:tcPr>
            <w:tcW w:w="851" w:type="dxa"/>
            <w:vAlign w:val="center"/>
            <w:hideMark/>
          </w:tcPr>
          <w:p w14:paraId="0B7F63C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0.05</w:t>
            </w:r>
          </w:p>
        </w:tc>
        <w:tc>
          <w:tcPr>
            <w:tcW w:w="850" w:type="dxa"/>
            <w:vAlign w:val="center"/>
            <w:hideMark/>
          </w:tcPr>
          <w:p w14:paraId="31238FA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156.25</w:t>
            </w:r>
          </w:p>
        </w:tc>
        <w:tc>
          <w:tcPr>
            <w:tcW w:w="851" w:type="dxa"/>
            <w:vAlign w:val="center"/>
            <w:hideMark/>
          </w:tcPr>
          <w:p w14:paraId="3C4AC2A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84.68</w:t>
            </w:r>
          </w:p>
        </w:tc>
        <w:tc>
          <w:tcPr>
            <w:tcW w:w="850" w:type="dxa"/>
            <w:vAlign w:val="center"/>
            <w:hideMark/>
          </w:tcPr>
          <w:p w14:paraId="1B1A310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56D6868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84.68</w:t>
            </w:r>
          </w:p>
        </w:tc>
        <w:tc>
          <w:tcPr>
            <w:tcW w:w="992" w:type="dxa"/>
            <w:vAlign w:val="center"/>
            <w:hideMark/>
          </w:tcPr>
          <w:p w14:paraId="7EF46F83"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240.93</w:t>
            </w:r>
          </w:p>
        </w:tc>
        <w:tc>
          <w:tcPr>
            <w:tcW w:w="851" w:type="dxa"/>
            <w:vAlign w:val="center"/>
            <w:hideMark/>
          </w:tcPr>
          <w:p w14:paraId="0266FFD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11.25</w:t>
            </w:r>
          </w:p>
        </w:tc>
        <w:tc>
          <w:tcPr>
            <w:tcW w:w="850" w:type="dxa"/>
            <w:vAlign w:val="center"/>
            <w:hideMark/>
          </w:tcPr>
          <w:p w14:paraId="44706E8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252.18</w:t>
            </w:r>
          </w:p>
        </w:tc>
      </w:tr>
      <w:tr w:rsidR="0081795D" w:rsidRPr="0081795D" w14:paraId="4CB0BB30" w14:textId="77777777" w:rsidTr="00794BCE">
        <w:trPr>
          <w:trHeight w:val="57"/>
          <w:jc w:val="center"/>
        </w:trPr>
        <w:tc>
          <w:tcPr>
            <w:tcW w:w="1413" w:type="dxa"/>
            <w:vAlign w:val="center"/>
            <w:hideMark/>
          </w:tcPr>
          <w:p w14:paraId="5A1E9428"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22. Tamil Nadu</w:t>
            </w:r>
          </w:p>
        </w:tc>
        <w:tc>
          <w:tcPr>
            <w:tcW w:w="850" w:type="dxa"/>
            <w:vAlign w:val="center"/>
            <w:hideMark/>
          </w:tcPr>
          <w:p w14:paraId="6226995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1659.56</w:t>
            </w:r>
          </w:p>
        </w:tc>
        <w:tc>
          <w:tcPr>
            <w:tcW w:w="993" w:type="dxa"/>
            <w:vAlign w:val="center"/>
            <w:hideMark/>
          </w:tcPr>
          <w:p w14:paraId="7DD6BF5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3538.09</w:t>
            </w:r>
          </w:p>
        </w:tc>
        <w:tc>
          <w:tcPr>
            <w:tcW w:w="708" w:type="dxa"/>
            <w:vAlign w:val="center"/>
            <w:hideMark/>
          </w:tcPr>
          <w:p w14:paraId="3277EAD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758.81</w:t>
            </w:r>
          </w:p>
        </w:tc>
        <w:tc>
          <w:tcPr>
            <w:tcW w:w="851" w:type="dxa"/>
            <w:vAlign w:val="center"/>
            <w:hideMark/>
          </w:tcPr>
          <w:p w14:paraId="3D78F96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51.70</w:t>
            </w:r>
          </w:p>
        </w:tc>
        <w:tc>
          <w:tcPr>
            <w:tcW w:w="850" w:type="dxa"/>
            <w:vAlign w:val="center"/>
            <w:hideMark/>
          </w:tcPr>
          <w:p w14:paraId="65056A5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6008.16</w:t>
            </w:r>
          </w:p>
        </w:tc>
        <w:tc>
          <w:tcPr>
            <w:tcW w:w="851" w:type="dxa"/>
            <w:vAlign w:val="center"/>
            <w:hideMark/>
          </w:tcPr>
          <w:p w14:paraId="1BCE729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5A0EC78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43.79</w:t>
            </w:r>
          </w:p>
        </w:tc>
        <w:tc>
          <w:tcPr>
            <w:tcW w:w="851" w:type="dxa"/>
            <w:vAlign w:val="center"/>
            <w:hideMark/>
          </w:tcPr>
          <w:p w14:paraId="040A24A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43.79</w:t>
            </w:r>
          </w:p>
        </w:tc>
        <w:tc>
          <w:tcPr>
            <w:tcW w:w="992" w:type="dxa"/>
            <w:vAlign w:val="center"/>
            <w:hideMark/>
          </w:tcPr>
          <w:p w14:paraId="142C9F2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6051.95</w:t>
            </w:r>
          </w:p>
        </w:tc>
        <w:tc>
          <w:tcPr>
            <w:tcW w:w="851" w:type="dxa"/>
            <w:vAlign w:val="center"/>
            <w:hideMark/>
          </w:tcPr>
          <w:p w14:paraId="0EE2E43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146.25</w:t>
            </w:r>
          </w:p>
        </w:tc>
        <w:tc>
          <w:tcPr>
            <w:tcW w:w="850" w:type="dxa"/>
            <w:vAlign w:val="center"/>
            <w:hideMark/>
          </w:tcPr>
          <w:p w14:paraId="31595F7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6198.20</w:t>
            </w:r>
          </w:p>
        </w:tc>
      </w:tr>
      <w:tr w:rsidR="0081795D" w:rsidRPr="0081795D" w14:paraId="2FA7D6EB" w14:textId="77777777" w:rsidTr="00794BCE">
        <w:trPr>
          <w:trHeight w:val="57"/>
          <w:jc w:val="center"/>
        </w:trPr>
        <w:tc>
          <w:tcPr>
            <w:tcW w:w="1413" w:type="dxa"/>
            <w:vAlign w:val="center"/>
            <w:hideMark/>
          </w:tcPr>
          <w:p w14:paraId="330A018C"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23. Tripura</w:t>
            </w:r>
          </w:p>
        </w:tc>
        <w:tc>
          <w:tcPr>
            <w:tcW w:w="850" w:type="dxa"/>
            <w:vAlign w:val="center"/>
            <w:hideMark/>
          </w:tcPr>
          <w:p w14:paraId="21EA1AE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63.40</w:t>
            </w:r>
          </w:p>
        </w:tc>
        <w:tc>
          <w:tcPr>
            <w:tcW w:w="993" w:type="dxa"/>
            <w:vAlign w:val="center"/>
            <w:hideMark/>
          </w:tcPr>
          <w:p w14:paraId="2D17990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863.09</w:t>
            </w:r>
          </w:p>
        </w:tc>
        <w:tc>
          <w:tcPr>
            <w:tcW w:w="708" w:type="dxa"/>
            <w:vAlign w:val="center"/>
            <w:hideMark/>
          </w:tcPr>
          <w:p w14:paraId="7D55FAA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29.87</w:t>
            </w:r>
          </w:p>
        </w:tc>
        <w:tc>
          <w:tcPr>
            <w:tcW w:w="851" w:type="dxa"/>
            <w:vAlign w:val="center"/>
            <w:hideMark/>
          </w:tcPr>
          <w:p w14:paraId="667DCE7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0.30</w:t>
            </w:r>
          </w:p>
        </w:tc>
        <w:tc>
          <w:tcPr>
            <w:tcW w:w="850" w:type="dxa"/>
            <w:vAlign w:val="center"/>
            <w:hideMark/>
          </w:tcPr>
          <w:p w14:paraId="036626A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956.66</w:t>
            </w:r>
          </w:p>
        </w:tc>
        <w:tc>
          <w:tcPr>
            <w:tcW w:w="851" w:type="dxa"/>
            <w:vAlign w:val="center"/>
            <w:hideMark/>
          </w:tcPr>
          <w:p w14:paraId="00E5F82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466.01</w:t>
            </w:r>
          </w:p>
        </w:tc>
        <w:tc>
          <w:tcPr>
            <w:tcW w:w="850" w:type="dxa"/>
            <w:vAlign w:val="center"/>
            <w:hideMark/>
          </w:tcPr>
          <w:p w14:paraId="116E23C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1" w:type="dxa"/>
            <w:vAlign w:val="center"/>
            <w:hideMark/>
          </w:tcPr>
          <w:p w14:paraId="495F257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466.01</w:t>
            </w:r>
          </w:p>
        </w:tc>
        <w:tc>
          <w:tcPr>
            <w:tcW w:w="992" w:type="dxa"/>
            <w:vAlign w:val="center"/>
            <w:hideMark/>
          </w:tcPr>
          <w:p w14:paraId="622D36F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1422.67</w:t>
            </w:r>
          </w:p>
        </w:tc>
        <w:tc>
          <w:tcPr>
            <w:tcW w:w="851" w:type="dxa"/>
            <w:vAlign w:val="center"/>
            <w:hideMark/>
          </w:tcPr>
          <w:p w14:paraId="7BA24CB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11.25</w:t>
            </w:r>
          </w:p>
        </w:tc>
        <w:tc>
          <w:tcPr>
            <w:tcW w:w="850" w:type="dxa"/>
            <w:vAlign w:val="center"/>
            <w:hideMark/>
          </w:tcPr>
          <w:p w14:paraId="1C66D28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1433.92</w:t>
            </w:r>
          </w:p>
        </w:tc>
      </w:tr>
      <w:tr w:rsidR="0081795D" w:rsidRPr="0081795D" w14:paraId="751BF234" w14:textId="77777777" w:rsidTr="00794BCE">
        <w:trPr>
          <w:trHeight w:val="57"/>
          <w:jc w:val="center"/>
        </w:trPr>
        <w:tc>
          <w:tcPr>
            <w:tcW w:w="1413" w:type="dxa"/>
            <w:vAlign w:val="center"/>
            <w:hideMark/>
          </w:tcPr>
          <w:p w14:paraId="54ECC698"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24. Uttar Pradesh</w:t>
            </w:r>
          </w:p>
        </w:tc>
        <w:tc>
          <w:tcPr>
            <w:tcW w:w="850" w:type="dxa"/>
            <w:vAlign w:val="center"/>
            <w:hideMark/>
          </w:tcPr>
          <w:p w14:paraId="1A8B8B2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3512.68</w:t>
            </w:r>
          </w:p>
        </w:tc>
        <w:tc>
          <w:tcPr>
            <w:tcW w:w="993" w:type="dxa"/>
            <w:vAlign w:val="center"/>
            <w:hideMark/>
          </w:tcPr>
          <w:p w14:paraId="76668AD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8673.61</w:t>
            </w:r>
          </w:p>
        </w:tc>
        <w:tc>
          <w:tcPr>
            <w:tcW w:w="708" w:type="dxa"/>
            <w:vAlign w:val="center"/>
            <w:hideMark/>
          </w:tcPr>
          <w:p w14:paraId="56E9705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1574.45</w:t>
            </w:r>
          </w:p>
        </w:tc>
        <w:tc>
          <w:tcPr>
            <w:tcW w:w="851" w:type="dxa"/>
            <w:vAlign w:val="center"/>
            <w:hideMark/>
          </w:tcPr>
          <w:p w14:paraId="5487746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115.80</w:t>
            </w:r>
          </w:p>
        </w:tc>
        <w:tc>
          <w:tcPr>
            <w:tcW w:w="850" w:type="dxa"/>
            <w:vAlign w:val="center"/>
            <w:hideMark/>
          </w:tcPr>
          <w:p w14:paraId="6B8A43A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13876.54</w:t>
            </w:r>
          </w:p>
        </w:tc>
        <w:tc>
          <w:tcPr>
            <w:tcW w:w="851" w:type="dxa"/>
            <w:vAlign w:val="center"/>
            <w:hideMark/>
          </w:tcPr>
          <w:p w14:paraId="32513CA6"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348.60</w:t>
            </w:r>
          </w:p>
        </w:tc>
        <w:tc>
          <w:tcPr>
            <w:tcW w:w="850" w:type="dxa"/>
            <w:vAlign w:val="center"/>
            <w:hideMark/>
          </w:tcPr>
          <w:p w14:paraId="719078F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2886.50</w:t>
            </w:r>
          </w:p>
        </w:tc>
        <w:tc>
          <w:tcPr>
            <w:tcW w:w="851" w:type="dxa"/>
            <w:vAlign w:val="center"/>
            <w:hideMark/>
          </w:tcPr>
          <w:p w14:paraId="4E7D21E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3235.10</w:t>
            </w:r>
          </w:p>
        </w:tc>
        <w:tc>
          <w:tcPr>
            <w:tcW w:w="992" w:type="dxa"/>
            <w:vAlign w:val="center"/>
            <w:hideMark/>
          </w:tcPr>
          <w:p w14:paraId="3189645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17111.64</w:t>
            </w:r>
          </w:p>
        </w:tc>
        <w:tc>
          <w:tcPr>
            <w:tcW w:w="851" w:type="dxa"/>
            <w:vAlign w:val="center"/>
            <w:hideMark/>
          </w:tcPr>
          <w:p w14:paraId="7EDA5E6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337.50</w:t>
            </w:r>
          </w:p>
        </w:tc>
        <w:tc>
          <w:tcPr>
            <w:tcW w:w="850" w:type="dxa"/>
            <w:vAlign w:val="center"/>
            <w:hideMark/>
          </w:tcPr>
          <w:p w14:paraId="1A6378B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17449.14</w:t>
            </w:r>
          </w:p>
        </w:tc>
      </w:tr>
      <w:tr w:rsidR="0081795D" w:rsidRPr="0081795D" w14:paraId="262DBF80" w14:textId="77777777" w:rsidTr="00794BCE">
        <w:trPr>
          <w:trHeight w:val="57"/>
          <w:jc w:val="center"/>
        </w:trPr>
        <w:tc>
          <w:tcPr>
            <w:tcW w:w="1413" w:type="dxa"/>
            <w:vAlign w:val="center"/>
            <w:hideMark/>
          </w:tcPr>
          <w:p w14:paraId="4C27A548"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25. West Bengal</w:t>
            </w:r>
          </w:p>
        </w:tc>
        <w:tc>
          <w:tcPr>
            <w:tcW w:w="850" w:type="dxa"/>
            <w:vAlign w:val="center"/>
            <w:hideMark/>
          </w:tcPr>
          <w:p w14:paraId="27FCA6AE"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1668.98</w:t>
            </w:r>
          </w:p>
        </w:tc>
        <w:tc>
          <w:tcPr>
            <w:tcW w:w="993" w:type="dxa"/>
            <w:vAlign w:val="center"/>
            <w:hideMark/>
          </w:tcPr>
          <w:p w14:paraId="22932DC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3660.68</w:t>
            </w:r>
          </w:p>
        </w:tc>
        <w:tc>
          <w:tcPr>
            <w:tcW w:w="708" w:type="dxa"/>
            <w:vAlign w:val="center"/>
            <w:hideMark/>
          </w:tcPr>
          <w:p w14:paraId="03506A4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877.09</w:t>
            </w:r>
          </w:p>
        </w:tc>
        <w:tc>
          <w:tcPr>
            <w:tcW w:w="851" w:type="dxa"/>
            <w:vAlign w:val="center"/>
            <w:hideMark/>
          </w:tcPr>
          <w:p w14:paraId="3F0A4C6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54.00</w:t>
            </w:r>
          </w:p>
        </w:tc>
        <w:tc>
          <w:tcPr>
            <w:tcW w:w="850" w:type="dxa"/>
            <w:vAlign w:val="center"/>
            <w:hideMark/>
          </w:tcPr>
          <w:p w14:paraId="092316F8"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6260.75</w:t>
            </w:r>
          </w:p>
        </w:tc>
        <w:tc>
          <w:tcPr>
            <w:tcW w:w="851" w:type="dxa"/>
            <w:vAlign w:val="center"/>
            <w:hideMark/>
          </w:tcPr>
          <w:p w14:paraId="2234EE0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w:t>
            </w:r>
          </w:p>
        </w:tc>
        <w:tc>
          <w:tcPr>
            <w:tcW w:w="850" w:type="dxa"/>
            <w:vAlign w:val="center"/>
            <w:hideMark/>
          </w:tcPr>
          <w:p w14:paraId="639B61E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998.65</w:t>
            </w:r>
          </w:p>
        </w:tc>
        <w:tc>
          <w:tcPr>
            <w:tcW w:w="851" w:type="dxa"/>
            <w:vAlign w:val="center"/>
            <w:hideMark/>
          </w:tcPr>
          <w:p w14:paraId="5B077D9C"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998.65</w:t>
            </w:r>
          </w:p>
        </w:tc>
        <w:tc>
          <w:tcPr>
            <w:tcW w:w="992" w:type="dxa"/>
            <w:vAlign w:val="center"/>
            <w:hideMark/>
          </w:tcPr>
          <w:p w14:paraId="496AA755"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7259.40</w:t>
            </w:r>
          </w:p>
        </w:tc>
        <w:tc>
          <w:tcPr>
            <w:tcW w:w="851" w:type="dxa"/>
            <w:vAlign w:val="center"/>
            <w:hideMark/>
          </w:tcPr>
          <w:p w14:paraId="1BA243AB"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sz w:val="16"/>
                <w:szCs w:val="16"/>
              </w:rPr>
              <w:t>150.00</w:t>
            </w:r>
          </w:p>
        </w:tc>
        <w:tc>
          <w:tcPr>
            <w:tcW w:w="850" w:type="dxa"/>
            <w:vAlign w:val="center"/>
            <w:hideMark/>
          </w:tcPr>
          <w:p w14:paraId="3B0ABE27"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7409.40</w:t>
            </w:r>
          </w:p>
        </w:tc>
      </w:tr>
      <w:tr w:rsidR="0081795D" w:rsidRPr="0081795D" w14:paraId="6BE64F83" w14:textId="77777777" w:rsidTr="00794BCE">
        <w:trPr>
          <w:trHeight w:val="57"/>
          <w:jc w:val="center"/>
        </w:trPr>
        <w:tc>
          <w:tcPr>
            <w:tcW w:w="1413" w:type="dxa"/>
            <w:vAlign w:val="center"/>
            <w:hideMark/>
          </w:tcPr>
          <w:p w14:paraId="44186977" w14:textId="77777777" w:rsidR="00AA02B8" w:rsidRPr="0081795D" w:rsidRDefault="00AA02B8" w:rsidP="004E6F59">
            <w:pPr>
              <w:pStyle w:val="NoSpacing"/>
              <w:spacing w:line="180" w:lineRule="exact"/>
              <w:rPr>
                <w:rFonts w:ascii="Times New Roman" w:hAnsi="Times New Roman" w:cs="Times New Roman"/>
                <w:sz w:val="16"/>
                <w:szCs w:val="16"/>
              </w:rPr>
            </w:pPr>
            <w:r w:rsidRPr="0081795D">
              <w:rPr>
                <w:rFonts w:ascii="Times New Roman" w:hAnsi="Times New Roman" w:cs="Times New Roman"/>
                <w:b/>
                <w:bCs/>
                <w:sz w:val="16"/>
                <w:szCs w:val="16"/>
              </w:rPr>
              <w:t>Total</w:t>
            </w:r>
          </w:p>
        </w:tc>
        <w:tc>
          <w:tcPr>
            <w:tcW w:w="850" w:type="dxa"/>
            <w:vAlign w:val="center"/>
            <w:hideMark/>
          </w:tcPr>
          <w:p w14:paraId="7792DD8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20925.00</w:t>
            </w:r>
          </w:p>
        </w:tc>
        <w:tc>
          <w:tcPr>
            <w:tcW w:w="993" w:type="dxa"/>
            <w:vAlign w:val="center"/>
            <w:hideMark/>
          </w:tcPr>
          <w:p w14:paraId="5848B7E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55465.00</w:t>
            </w:r>
          </w:p>
        </w:tc>
        <w:tc>
          <w:tcPr>
            <w:tcW w:w="708" w:type="dxa"/>
            <w:vAlign w:val="center"/>
            <w:hideMark/>
          </w:tcPr>
          <w:p w14:paraId="78C4773A"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10742.00</w:t>
            </w:r>
          </w:p>
        </w:tc>
        <w:tc>
          <w:tcPr>
            <w:tcW w:w="851" w:type="dxa"/>
            <w:vAlign w:val="center"/>
            <w:hideMark/>
          </w:tcPr>
          <w:p w14:paraId="241EE981"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750.00</w:t>
            </w:r>
          </w:p>
        </w:tc>
        <w:tc>
          <w:tcPr>
            <w:tcW w:w="850" w:type="dxa"/>
            <w:vAlign w:val="center"/>
            <w:hideMark/>
          </w:tcPr>
          <w:p w14:paraId="50F0B00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87882.00</w:t>
            </w:r>
          </w:p>
        </w:tc>
        <w:tc>
          <w:tcPr>
            <w:tcW w:w="851" w:type="dxa"/>
            <w:vAlign w:val="center"/>
            <w:hideMark/>
          </w:tcPr>
          <w:p w14:paraId="3C9E2F9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6016.35</w:t>
            </w:r>
          </w:p>
        </w:tc>
        <w:tc>
          <w:tcPr>
            <w:tcW w:w="850" w:type="dxa"/>
            <w:vAlign w:val="center"/>
            <w:hideMark/>
          </w:tcPr>
          <w:p w14:paraId="1B95C540"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9000.83</w:t>
            </w:r>
          </w:p>
        </w:tc>
        <w:tc>
          <w:tcPr>
            <w:tcW w:w="851" w:type="dxa"/>
            <w:vAlign w:val="center"/>
            <w:hideMark/>
          </w:tcPr>
          <w:p w14:paraId="5BBCDD99"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15017.18</w:t>
            </w:r>
          </w:p>
        </w:tc>
        <w:tc>
          <w:tcPr>
            <w:tcW w:w="992" w:type="dxa"/>
            <w:vAlign w:val="center"/>
            <w:hideMark/>
          </w:tcPr>
          <w:p w14:paraId="778E1D02"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102899.18</w:t>
            </w:r>
          </w:p>
        </w:tc>
        <w:tc>
          <w:tcPr>
            <w:tcW w:w="851" w:type="dxa"/>
            <w:vAlign w:val="center"/>
            <w:hideMark/>
          </w:tcPr>
          <w:p w14:paraId="21FBBB2F"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3137.25</w:t>
            </w:r>
          </w:p>
        </w:tc>
        <w:tc>
          <w:tcPr>
            <w:tcW w:w="850" w:type="dxa"/>
            <w:vAlign w:val="center"/>
            <w:hideMark/>
          </w:tcPr>
          <w:p w14:paraId="5148AB74" w14:textId="77777777" w:rsidR="00AA02B8" w:rsidRPr="0081795D" w:rsidRDefault="00AA02B8" w:rsidP="004E6F59">
            <w:pPr>
              <w:pStyle w:val="NoSpacing"/>
              <w:spacing w:line="180" w:lineRule="exact"/>
              <w:jc w:val="center"/>
              <w:rPr>
                <w:rFonts w:ascii="Times New Roman" w:hAnsi="Times New Roman" w:cs="Times New Roman"/>
                <w:sz w:val="16"/>
                <w:szCs w:val="16"/>
              </w:rPr>
            </w:pPr>
            <w:r w:rsidRPr="0081795D">
              <w:rPr>
                <w:rFonts w:ascii="Times New Roman" w:hAnsi="Times New Roman" w:cs="Times New Roman"/>
                <w:b/>
                <w:bCs/>
                <w:sz w:val="16"/>
                <w:szCs w:val="16"/>
              </w:rPr>
              <w:t>106036.43</w:t>
            </w:r>
          </w:p>
        </w:tc>
      </w:tr>
    </w:tbl>
    <w:p w14:paraId="40A16DB5" w14:textId="1BF3829A" w:rsidR="00AA02B8" w:rsidRPr="0081795D" w:rsidRDefault="00FA60CC" w:rsidP="004E6F59">
      <w:pPr>
        <w:spacing w:after="0" w:line="180" w:lineRule="exact"/>
        <w:jc w:val="both"/>
        <w:rPr>
          <w:rFonts w:ascii="Times New Roman" w:hAnsi="Times New Roman" w:cs="Times New Roman"/>
          <w:sz w:val="16"/>
          <w:szCs w:val="16"/>
        </w:rPr>
      </w:pPr>
      <w:r w:rsidRPr="00AA6AF4">
        <w:rPr>
          <w:rFonts w:ascii="Times New Roman" w:hAnsi="Times New Roman" w:cs="Times New Roman"/>
          <w:sz w:val="14"/>
          <w:szCs w:val="14"/>
        </w:rPr>
        <w:t>*Includers Rs 122.25 crore for Bhopal gas leak tragedy</w:t>
      </w:r>
      <w:r w:rsidR="003719BA" w:rsidRPr="00AA6AF4">
        <w:rPr>
          <w:rFonts w:ascii="Times New Roman" w:hAnsi="Times New Roman" w:cs="Times New Roman"/>
          <w:sz w:val="14"/>
          <w:szCs w:val="14"/>
        </w:rPr>
        <w:t>.</w:t>
      </w:r>
    </w:p>
    <w:p w14:paraId="0E3E1B40" w14:textId="59AF317D" w:rsidR="001B7DA6" w:rsidRPr="00AA6AF4" w:rsidRDefault="001B7DA6" w:rsidP="004E6F59">
      <w:pPr>
        <w:pStyle w:val="Heading3"/>
        <w:spacing w:after="0" w:line="180" w:lineRule="exact"/>
      </w:pPr>
      <w:r w:rsidRPr="00AA6AF4">
        <w:t xml:space="preserve">As per our terms of reference, we have to assess the Centre's revenue receipts and expenditure. In Chapter IV we have assessed its revenue receipts and non-Plan pre-devolution expenditure for 1990-95. We have also recommended transfers to States as indicated in Table 4. Now, we proceed to assess the Centre's Plan expenditure including assistance to States and Union Territories for their Plans as well as grants for Central schemes and </w:t>
      </w:r>
      <w:proofErr w:type="gramStart"/>
      <w:r w:rsidRPr="00AA6AF4">
        <w:t>Centrally</w:t>
      </w:r>
      <w:proofErr w:type="gramEnd"/>
      <w:r w:rsidRPr="00AA6AF4">
        <w:t xml:space="preserve"> sponsored schemes.</w:t>
      </w:r>
    </w:p>
    <w:p w14:paraId="7FA81587" w14:textId="5DFC8A45" w:rsidR="001B7DA6" w:rsidRPr="00AA6AF4" w:rsidRDefault="001B7DA6" w:rsidP="004E6F59">
      <w:pPr>
        <w:pStyle w:val="Heading3"/>
        <w:spacing w:after="0" w:line="180" w:lineRule="exact"/>
      </w:pPr>
      <w:r w:rsidRPr="00AA6AF4">
        <w:t xml:space="preserve">For reasons explained earlier in the report, we have not provided for committed liability on the Seventh Plan schemes in our non-Plan expenditure projections. Therefore, we are projecting all Plan expenditure using 1989-90 (BE) as the base year figure so that our projections, though shown fully as Plan expenditure, will contain reasonable provision for the committed liability of Seventh Plan schemes also. The rate of growth adopted in our projections is 7 per cent per annum for Centre's own Plan expenditure on revenue account (other than Central schemes and </w:t>
      </w:r>
      <w:proofErr w:type="gramStart"/>
      <w:r w:rsidRPr="00AA6AF4">
        <w:t>Centrally</w:t>
      </w:r>
      <w:proofErr w:type="gramEnd"/>
      <w:r w:rsidRPr="00AA6AF4">
        <w:t xml:space="preserve"> sponsored schemes expenditure) and for Union Territory Plans. For Central assistance to States, we have first made a projection at 10 per cent growth per annum after excluding the grant portion of advance Plan assistance from the base year figure (as our scheme for relief expenditure does not involve such a commitment for the Centre). To the assessment so made, we have added the amount required for an extra five per cent growth (Rs. 925 crore) in the basic Central assistance grant to Special Category States other than Assam and Jammu and Kashmir. For assistance to Union Territories, the growth rate is 10 per cent. For Central schemes and </w:t>
      </w:r>
      <w:proofErr w:type="gramStart"/>
      <w:r w:rsidRPr="00AA6AF4">
        <w:t>Centrally</w:t>
      </w:r>
      <w:proofErr w:type="gramEnd"/>
      <w:r w:rsidRPr="00AA6AF4">
        <w:t xml:space="preserve"> sponsored schemes we are providing a growth rate of 7 per cent per annum over 1989-90 (BE). We are, however, of the view that the present level of provision for Centrally sponsored schemes is too high and that determined efforts should be made to gradually reduce the proportion of this type of expenditure and add the savings to the amount of Central assistance for States and Union Territory Plans.</w:t>
      </w:r>
    </w:p>
    <w:p w14:paraId="602DE82F" w14:textId="4C655079" w:rsidR="001B7DA6" w:rsidRPr="009221CD" w:rsidRDefault="001B7DA6" w:rsidP="009221CD">
      <w:pPr>
        <w:pStyle w:val="Heading3"/>
        <w:spacing w:after="0" w:line="180" w:lineRule="exact"/>
        <w:jc w:val="left"/>
        <w:rPr>
          <w:b/>
          <w:bCs/>
        </w:rPr>
      </w:pPr>
      <w:r w:rsidRPr="00AA6AF4">
        <w:t xml:space="preserve">Table 5 gives the revenue account position of the Central Government for the </w:t>
      </w:r>
      <w:proofErr w:type="gramStart"/>
      <w:r w:rsidRPr="00AA6AF4">
        <w:t>five year</w:t>
      </w:r>
      <w:proofErr w:type="gramEnd"/>
      <w:r w:rsidRPr="00AA6AF4">
        <w:t xml:space="preserve"> period. (Year-wise projections are given in Annexure VII.3).</w:t>
      </w:r>
      <w:r w:rsidR="009221CD">
        <w:t xml:space="preserve"> </w:t>
      </w:r>
      <w:r w:rsidR="009221CD">
        <w:tab/>
      </w:r>
      <w:r w:rsidR="009221CD">
        <w:tab/>
      </w:r>
      <w:r w:rsidR="009221CD">
        <w:tab/>
      </w:r>
      <w:r w:rsidR="009221CD">
        <w:tab/>
      </w:r>
      <w:r w:rsidRPr="009221CD">
        <w:rPr>
          <w:b/>
          <w:bCs/>
        </w:rPr>
        <w:t>TABLE 5</w:t>
      </w:r>
      <w:r w:rsidR="00F63CD1" w:rsidRPr="009221CD">
        <w:rPr>
          <w:b/>
          <w:bCs/>
        </w:rPr>
        <w:br/>
      </w:r>
      <w:r w:rsidR="009221CD" w:rsidRPr="009221CD">
        <w:rPr>
          <w:b/>
          <w:bCs/>
        </w:rPr>
        <w:t xml:space="preserve"> </w:t>
      </w:r>
      <w:r w:rsidR="009221CD" w:rsidRPr="009221CD">
        <w:rPr>
          <w:b/>
          <w:bCs/>
        </w:rPr>
        <w:tab/>
      </w:r>
      <w:r w:rsidR="009221CD" w:rsidRPr="009221CD">
        <w:rPr>
          <w:b/>
          <w:bCs/>
        </w:rPr>
        <w:tab/>
      </w:r>
      <w:r w:rsidR="009221CD" w:rsidRPr="009221CD">
        <w:rPr>
          <w:b/>
          <w:bCs/>
        </w:rPr>
        <w:tab/>
      </w:r>
      <w:r w:rsidRPr="009221CD">
        <w:rPr>
          <w:b/>
          <w:bCs/>
        </w:rPr>
        <w:t xml:space="preserve">Revenue Account Position </w:t>
      </w:r>
      <w:proofErr w:type="gramStart"/>
      <w:r w:rsidRPr="009221CD">
        <w:rPr>
          <w:b/>
          <w:bCs/>
        </w:rPr>
        <w:t>Of</w:t>
      </w:r>
      <w:proofErr w:type="gramEnd"/>
      <w:r w:rsidRPr="009221CD">
        <w:rPr>
          <w:b/>
          <w:bCs/>
        </w:rPr>
        <w:t xml:space="preserve"> </w:t>
      </w:r>
      <w:proofErr w:type="gramStart"/>
      <w:r w:rsidRPr="009221CD">
        <w:rPr>
          <w:b/>
          <w:bCs/>
        </w:rPr>
        <w:t>The</w:t>
      </w:r>
      <w:proofErr w:type="gramEnd"/>
      <w:r w:rsidRPr="009221CD">
        <w:rPr>
          <w:b/>
          <w:bCs/>
        </w:rPr>
        <w:t xml:space="preserve"> Central Government: 1990-95</w:t>
      </w:r>
      <w:r w:rsidR="00794BCE" w:rsidRPr="009221CD">
        <w:rPr>
          <w:b/>
          <w:bCs/>
        </w:rPr>
        <w:t xml:space="preserve"> </w:t>
      </w:r>
      <w:r w:rsidRPr="009221CD">
        <w:rPr>
          <w:b/>
          <w:bCs/>
          <w:i/>
          <w:iCs/>
          <w:szCs w:val="24"/>
        </w:rPr>
        <w:t>(Rs. Crore)</w:t>
      </w:r>
    </w:p>
    <w:tbl>
      <w:tblPr>
        <w:tblStyle w:val="TableGrid"/>
        <w:tblW w:w="7083" w:type="dxa"/>
        <w:jc w:val="center"/>
        <w:tblLook w:val="04A0" w:firstRow="1" w:lastRow="0" w:firstColumn="1" w:lastColumn="0" w:noHBand="0" w:noVBand="1"/>
      </w:tblPr>
      <w:tblGrid>
        <w:gridCol w:w="5411"/>
        <w:gridCol w:w="1672"/>
      </w:tblGrid>
      <w:tr w:rsidR="001B7DA6" w:rsidRPr="00794BCE" w14:paraId="53CCC5BC" w14:textId="77777777" w:rsidTr="00794BCE">
        <w:trPr>
          <w:trHeight w:val="20"/>
          <w:jc w:val="center"/>
        </w:trPr>
        <w:tc>
          <w:tcPr>
            <w:tcW w:w="5365" w:type="dxa"/>
            <w:vAlign w:val="center"/>
            <w:hideMark/>
          </w:tcPr>
          <w:p w14:paraId="5C3140B1" w14:textId="77777777" w:rsidR="001B7DA6" w:rsidRPr="00794BCE" w:rsidRDefault="001B7DA6" w:rsidP="004E6F59">
            <w:pPr>
              <w:pStyle w:val="NoSpacing"/>
              <w:spacing w:line="180" w:lineRule="exact"/>
              <w:rPr>
                <w:rFonts w:ascii="Times New Roman" w:hAnsi="Times New Roman" w:cs="Times New Roman"/>
                <w:sz w:val="18"/>
                <w:szCs w:val="16"/>
              </w:rPr>
            </w:pPr>
          </w:p>
        </w:tc>
        <w:tc>
          <w:tcPr>
            <w:tcW w:w="1718" w:type="dxa"/>
            <w:vAlign w:val="center"/>
            <w:hideMark/>
          </w:tcPr>
          <w:p w14:paraId="688BBC89" w14:textId="77777777" w:rsidR="001B7DA6" w:rsidRPr="00794BCE" w:rsidRDefault="001B7DA6" w:rsidP="004E6F59">
            <w:pPr>
              <w:pStyle w:val="NoSpacing"/>
              <w:spacing w:line="180" w:lineRule="exact"/>
              <w:jc w:val="center"/>
              <w:rPr>
                <w:rFonts w:ascii="Times New Roman" w:hAnsi="Times New Roman" w:cs="Times New Roman"/>
                <w:sz w:val="18"/>
                <w:szCs w:val="16"/>
              </w:rPr>
            </w:pPr>
          </w:p>
        </w:tc>
      </w:tr>
      <w:tr w:rsidR="001B7DA6" w:rsidRPr="00794BCE" w14:paraId="6E5F6103" w14:textId="77777777" w:rsidTr="00794BCE">
        <w:trPr>
          <w:trHeight w:val="20"/>
          <w:jc w:val="center"/>
        </w:trPr>
        <w:tc>
          <w:tcPr>
            <w:tcW w:w="0" w:type="auto"/>
            <w:vAlign w:val="center"/>
            <w:hideMark/>
          </w:tcPr>
          <w:p w14:paraId="71CAA1B3"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I Non-Plan Revenue Surplus</w:t>
            </w:r>
          </w:p>
        </w:tc>
        <w:tc>
          <w:tcPr>
            <w:tcW w:w="1718" w:type="dxa"/>
            <w:vAlign w:val="center"/>
            <w:hideMark/>
          </w:tcPr>
          <w:p w14:paraId="05AA3928"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149271</w:t>
            </w:r>
          </w:p>
        </w:tc>
      </w:tr>
      <w:tr w:rsidR="001B7DA6" w:rsidRPr="00794BCE" w14:paraId="7D567E28" w14:textId="77777777" w:rsidTr="00794BCE">
        <w:trPr>
          <w:trHeight w:val="20"/>
          <w:jc w:val="center"/>
        </w:trPr>
        <w:tc>
          <w:tcPr>
            <w:tcW w:w="0" w:type="auto"/>
            <w:vAlign w:val="center"/>
            <w:hideMark/>
          </w:tcPr>
          <w:p w14:paraId="5C1993BE"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 xml:space="preserve">II Transfers </w:t>
            </w:r>
            <w:proofErr w:type="gramStart"/>
            <w:r w:rsidRPr="00794BCE">
              <w:rPr>
                <w:rFonts w:ascii="Times New Roman" w:hAnsi="Times New Roman" w:cs="Times New Roman"/>
                <w:sz w:val="18"/>
                <w:szCs w:val="16"/>
              </w:rPr>
              <w:t>By</w:t>
            </w:r>
            <w:proofErr w:type="gramEnd"/>
            <w:r w:rsidRPr="00794BCE">
              <w:rPr>
                <w:rFonts w:ascii="Times New Roman" w:hAnsi="Times New Roman" w:cs="Times New Roman"/>
                <w:sz w:val="18"/>
                <w:szCs w:val="16"/>
              </w:rPr>
              <w:t xml:space="preserve"> Finance Commission</w:t>
            </w:r>
          </w:p>
        </w:tc>
        <w:tc>
          <w:tcPr>
            <w:tcW w:w="1718" w:type="dxa"/>
            <w:vAlign w:val="center"/>
            <w:hideMark/>
          </w:tcPr>
          <w:p w14:paraId="5C45D057"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106062</w:t>
            </w:r>
          </w:p>
        </w:tc>
      </w:tr>
      <w:tr w:rsidR="001B7DA6" w:rsidRPr="00794BCE" w14:paraId="29A839C5" w14:textId="77777777" w:rsidTr="00794BCE">
        <w:trPr>
          <w:trHeight w:val="20"/>
          <w:jc w:val="center"/>
        </w:trPr>
        <w:tc>
          <w:tcPr>
            <w:tcW w:w="0" w:type="auto"/>
            <w:vAlign w:val="center"/>
            <w:hideMark/>
          </w:tcPr>
          <w:p w14:paraId="7A32BB97"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1. States' share of Income Tax</w:t>
            </w:r>
          </w:p>
        </w:tc>
        <w:tc>
          <w:tcPr>
            <w:tcW w:w="1718" w:type="dxa"/>
            <w:vAlign w:val="center"/>
            <w:hideMark/>
          </w:tcPr>
          <w:p w14:paraId="075381D3"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20925</w:t>
            </w:r>
          </w:p>
        </w:tc>
      </w:tr>
      <w:tr w:rsidR="001B7DA6" w:rsidRPr="00794BCE" w14:paraId="43CF6C0A" w14:textId="77777777" w:rsidTr="00794BCE">
        <w:trPr>
          <w:trHeight w:val="20"/>
          <w:jc w:val="center"/>
        </w:trPr>
        <w:tc>
          <w:tcPr>
            <w:tcW w:w="0" w:type="auto"/>
            <w:vAlign w:val="center"/>
            <w:hideMark/>
          </w:tcPr>
          <w:p w14:paraId="35BD044C"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2. States' share of Excise Duties</w:t>
            </w:r>
          </w:p>
        </w:tc>
        <w:tc>
          <w:tcPr>
            <w:tcW w:w="1718" w:type="dxa"/>
            <w:vAlign w:val="center"/>
            <w:hideMark/>
          </w:tcPr>
          <w:p w14:paraId="2F5AA742"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66207</w:t>
            </w:r>
          </w:p>
        </w:tc>
      </w:tr>
      <w:tr w:rsidR="001B7DA6" w:rsidRPr="00794BCE" w14:paraId="71320866" w14:textId="77777777" w:rsidTr="00794BCE">
        <w:trPr>
          <w:trHeight w:val="20"/>
          <w:jc w:val="center"/>
        </w:trPr>
        <w:tc>
          <w:tcPr>
            <w:tcW w:w="0" w:type="auto"/>
            <w:vAlign w:val="center"/>
            <w:hideMark/>
          </w:tcPr>
          <w:p w14:paraId="0770860A"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3. Grant in lieu of Tax on Railway Passenger Fares</w:t>
            </w:r>
          </w:p>
        </w:tc>
        <w:tc>
          <w:tcPr>
            <w:tcW w:w="1718" w:type="dxa"/>
            <w:vAlign w:val="center"/>
            <w:hideMark/>
          </w:tcPr>
          <w:p w14:paraId="02D2EF46"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750</w:t>
            </w:r>
          </w:p>
        </w:tc>
      </w:tr>
      <w:tr w:rsidR="001B7DA6" w:rsidRPr="00794BCE" w14:paraId="00C4B378" w14:textId="77777777" w:rsidTr="00794BCE">
        <w:trPr>
          <w:trHeight w:val="20"/>
          <w:jc w:val="center"/>
        </w:trPr>
        <w:tc>
          <w:tcPr>
            <w:tcW w:w="0" w:type="auto"/>
            <w:vAlign w:val="center"/>
            <w:hideMark/>
          </w:tcPr>
          <w:p w14:paraId="27792533"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4. Grants under Article 275(1)</w:t>
            </w:r>
          </w:p>
        </w:tc>
        <w:tc>
          <w:tcPr>
            <w:tcW w:w="1718" w:type="dxa"/>
            <w:vAlign w:val="center"/>
            <w:hideMark/>
          </w:tcPr>
          <w:p w14:paraId="6D94CE8C"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18180</w:t>
            </w:r>
          </w:p>
        </w:tc>
      </w:tr>
      <w:tr w:rsidR="001B7DA6" w:rsidRPr="00794BCE" w14:paraId="16CA1C53" w14:textId="77777777" w:rsidTr="00794BCE">
        <w:trPr>
          <w:trHeight w:val="20"/>
          <w:jc w:val="center"/>
        </w:trPr>
        <w:tc>
          <w:tcPr>
            <w:tcW w:w="0" w:type="auto"/>
            <w:vAlign w:val="center"/>
            <w:hideMark/>
          </w:tcPr>
          <w:p w14:paraId="1525B792"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III. Plan Expenditure on Revenue Account</w:t>
            </w:r>
          </w:p>
        </w:tc>
        <w:tc>
          <w:tcPr>
            <w:tcW w:w="1718" w:type="dxa"/>
            <w:vAlign w:val="center"/>
            <w:hideMark/>
          </w:tcPr>
          <w:p w14:paraId="63001FA0"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73847</w:t>
            </w:r>
          </w:p>
        </w:tc>
      </w:tr>
      <w:tr w:rsidR="001B7DA6" w:rsidRPr="00794BCE" w14:paraId="0E9941DF" w14:textId="77777777" w:rsidTr="00794BCE">
        <w:trPr>
          <w:trHeight w:val="20"/>
          <w:jc w:val="center"/>
        </w:trPr>
        <w:tc>
          <w:tcPr>
            <w:tcW w:w="0" w:type="auto"/>
            <w:vAlign w:val="center"/>
            <w:hideMark/>
          </w:tcPr>
          <w:p w14:paraId="62AD5A31"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1. Centre's own Plan</w:t>
            </w:r>
          </w:p>
        </w:tc>
        <w:tc>
          <w:tcPr>
            <w:tcW w:w="1718" w:type="dxa"/>
            <w:vAlign w:val="center"/>
            <w:hideMark/>
          </w:tcPr>
          <w:p w14:paraId="2F69F2ED"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20046</w:t>
            </w:r>
          </w:p>
        </w:tc>
      </w:tr>
      <w:tr w:rsidR="001B7DA6" w:rsidRPr="00794BCE" w14:paraId="5F09C2DD" w14:textId="77777777" w:rsidTr="00794BCE">
        <w:trPr>
          <w:trHeight w:val="20"/>
          <w:jc w:val="center"/>
        </w:trPr>
        <w:tc>
          <w:tcPr>
            <w:tcW w:w="0" w:type="auto"/>
            <w:vAlign w:val="center"/>
            <w:hideMark/>
          </w:tcPr>
          <w:p w14:paraId="2880BE56"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2. Union Territory Plans</w:t>
            </w:r>
          </w:p>
        </w:tc>
        <w:tc>
          <w:tcPr>
            <w:tcW w:w="1718" w:type="dxa"/>
            <w:vAlign w:val="center"/>
            <w:hideMark/>
          </w:tcPr>
          <w:p w14:paraId="6E12B72A"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1742</w:t>
            </w:r>
          </w:p>
        </w:tc>
      </w:tr>
      <w:tr w:rsidR="001B7DA6" w:rsidRPr="00794BCE" w14:paraId="3FA3AC10" w14:textId="77777777" w:rsidTr="00794BCE">
        <w:trPr>
          <w:trHeight w:val="20"/>
          <w:jc w:val="center"/>
        </w:trPr>
        <w:tc>
          <w:tcPr>
            <w:tcW w:w="0" w:type="auto"/>
            <w:vAlign w:val="center"/>
            <w:hideMark/>
          </w:tcPr>
          <w:p w14:paraId="148574D3"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3. Grants to States for State Plans</w:t>
            </w:r>
          </w:p>
        </w:tc>
        <w:tc>
          <w:tcPr>
            <w:tcW w:w="1718" w:type="dxa"/>
            <w:vAlign w:val="center"/>
            <w:hideMark/>
          </w:tcPr>
          <w:p w14:paraId="5EDF82A4"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25285</w:t>
            </w:r>
          </w:p>
        </w:tc>
      </w:tr>
      <w:tr w:rsidR="001B7DA6" w:rsidRPr="00794BCE" w14:paraId="3CD78543" w14:textId="77777777" w:rsidTr="00794BCE">
        <w:trPr>
          <w:trHeight w:val="20"/>
          <w:jc w:val="center"/>
        </w:trPr>
        <w:tc>
          <w:tcPr>
            <w:tcW w:w="0" w:type="auto"/>
            <w:vAlign w:val="center"/>
            <w:hideMark/>
          </w:tcPr>
          <w:p w14:paraId="050CBD87"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4. Grants for Union Territory Plans</w:t>
            </w:r>
          </w:p>
        </w:tc>
        <w:tc>
          <w:tcPr>
            <w:tcW w:w="1718" w:type="dxa"/>
            <w:vAlign w:val="center"/>
            <w:hideMark/>
          </w:tcPr>
          <w:p w14:paraId="54CFA41B"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248</w:t>
            </w:r>
          </w:p>
        </w:tc>
      </w:tr>
      <w:tr w:rsidR="001B7DA6" w:rsidRPr="00794BCE" w14:paraId="6872DB45" w14:textId="77777777" w:rsidTr="00794BCE">
        <w:trPr>
          <w:trHeight w:val="20"/>
          <w:jc w:val="center"/>
        </w:trPr>
        <w:tc>
          <w:tcPr>
            <w:tcW w:w="0" w:type="auto"/>
            <w:vAlign w:val="center"/>
            <w:hideMark/>
          </w:tcPr>
          <w:p w14:paraId="332032EF"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5. Grants to States for Central and Centrally sponsored schemes</w:t>
            </w:r>
          </w:p>
        </w:tc>
        <w:tc>
          <w:tcPr>
            <w:tcW w:w="1718" w:type="dxa"/>
            <w:vAlign w:val="center"/>
            <w:hideMark/>
          </w:tcPr>
          <w:p w14:paraId="754EBB42"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26350</w:t>
            </w:r>
          </w:p>
        </w:tc>
      </w:tr>
      <w:tr w:rsidR="001B7DA6" w:rsidRPr="00794BCE" w14:paraId="1EC98B4A" w14:textId="77777777" w:rsidTr="00794BCE">
        <w:trPr>
          <w:trHeight w:val="20"/>
          <w:jc w:val="center"/>
        </w:trPr>
        <w:tc>
          <w:tcPr>
            <w:tcW w:w="0" w:type="auto"/>
            <w:vAlign w:val="center"/>
            <w:hideMark/>
          </w:tcPr>
          <w:p w14:paraId="1952CF7E"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6. Grants to Union Territories for Central and Centrally sponsored schemes</w:t>
            </w:r>
          </w:p>
        </w:tc>
        <w:tc>
          <w:tcPr>
            <w:tcW w:w="1718" w:type="dxa"/>
            <w:vAlign w:val="center"/>
            <w:hideMark/>
          </w:tcPr>
          <w:p w14:paraId="18EEDE0E"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176</w:t>
            </w:r>
          </w:p>
        </w:tc>
      </w:tr>
      <w:tr w:rsidR="001B7DA6" w:rsidRPr="00794BCE" w14:paraId="3EAC5B53" w14:textId="77777777" w:rsidTr="00794BCE">
        <w:trPr>
          <w:trHeight w:val="20"/>
          <w:jc w:val="center"/>
        </w:trPr>
        <w:tc>
          <w:tcPr>
            <w:tcW w:w="0" w:type="auto"/>
            <w:vAlign w:val="center"/>
            <w:hideMark/>
          </w:tcPr>
          <w:p w14:paraId="34F1654F" w14:textId="77777777" w:rsidR="001B7DA6" w:rsidRPr="00794BCE" w:rsidRDefault="001B7DA6" w:rsidP="004E6F59">
            <w:pPr>
              <w:pStyle w:val="NoSpacing"/>
              <w:spacing w:line="180" w:lineRule="exact"/>
              <w:rPr>
                <w:rFonts w:ascii="Times New Roman" w:hAnsi="Times New Roman" w:cs="Times New Roman"/>
                <w:sz w:val="18"/>
                <w:szCs w:val="16"/>
              </w:rPr>
            </w:pPr>
            <w:r w:rsidRPr="00794BCE">
              <w:rPr>
                <w:rFonts w:ascii="Times New Roman" w:hAnsi="Times New Roman" w:cs="Times New Roman"/>
                <w:sz w:val="18"/>
                <w:szCs w:val="16"/>
              </w:rPr>
              <w:t>IV. Surplus (+)/</w:t>
            </w:r>
            <w:proofErr w:type="gramStart"/>
            <w:r w:rsidRPr="00794BCE">
              <w:rPr>
                <w:rFonts w:ascii="Times New Roman" w:hAnsi="Times New Roman" w:cs="Times New Roman"/>
                <w:sz w:val="18"/>
                <w:szCs w:val="16"/>
              </w:rPr>
              <w:t>Deficit(</w:t>
            </w:r>
            <w:proofErr w:type="gramEnd"/>
            <w:r w:rsidRPr="00794BCE">
              <w:rPr>
                <w:rFonts w:ascii="Times New Roman" w:hAnsi="Times New Roman" w:cs="Times New Roman"/>
                <w:sz w:val="18"/>
                <w:szCs w:val="16"/>
              </w:rPr>
              <w:t>-) on Revenue Account (I-II-III)</w:t>
            </w:r>
          </w:p>
        </w:tc>
        <w:tc>
          <w:tcPr>
            <w:tcW w:w="1718" w:type="dxa"/>
            <w:vAlign w:val="center"/>
            <w:hideMark/>
          </w:tcPr>
          <w:p w14:paraId="2BC84FDB" w14:textId="77777777" w:rsidR="001B7DA6" w:rsidRPr="00794BCE" w:rsidRDefault="001B7DA6" w:rsidP="004E6F59">
            <w:pPr>
              <w:pStyle w:val="NoSpacing"/>
              <w:spacing w:line="180" w:lineRule="exact"/>
              <w:jc w:val="center"/>
              <w:rPr>
                <w:rFonts w:ascii="Times New Roman" w:hAnsi="Times New Roman" w:cs="Times New Roman"/>
                <w:sz w:val="18"/>
                <w:szCs w:val="16"/>
              </w:rPr>
            </w:pPr>
            <w:r w:rsidRPr="00794BCE">
              <w:rPr>
                <w:rFonts w:ascii="Times New Roman" w:hAnsi="Times New Roman" w:cs="Times New Roman"/>
                <w:sz w:val="18"/>
                <w:szCs w:val="16"/>
              </w:rPr>
              <w:t>(-)30638</w:t>
            </w:r>
          </w:p>
        </w:tc>
      </w:tr>
    </w:tbl>
    <w:p w14:paraId="75386607" w14:textId="64CD65C3" w:rsidR="001B7DA6" w:rsidRPr="00AA6AF4" w:rsidRDefault="001B7DA6" w:rsidP="009221CD">
      <w:pPr>
        <w:pStyle w:val="Heading3"/>
        <w:spacing w:after="0" w:line="180" w:lineRule="exact"/>
      </w:pPr>
      <w:r w:rsidRPr="00AA6AF4">
        <w:t>We have attempted an assessment of the impact of our recommendations regarding transfers to States on the revenue account of the Central budget. Table 6 gives the percentages of each major item to Central Government's revenue receipts for the five years from 1985-86 to 1989-90 and the corresponding estimated transfers for the period 1990-95.</w:t>
      </w:r>
    </w:p>
    <w:p w14:paraId="0FAF0372" w14:textId="3B3B65AA" w:rsidR="001B7DA6" w:rsidRPr="004E6F59" w:rsidRDefault="001B7DA6" w:rsidP="004E6F59">
      <w:pPr>
        <w:pStyle w:val="Heading4"/>
        <w:spacing w:after="0" w:line="180" w:lineRule="exact"/>
        <w:ind w:left="0"/>
        <w:rPr>
          <w:sz w:val="18"/>
          <w:szCs w:val="18"/>
        </w:rPr>
      </w:pPr>
      <w:r w:rsidRPr="00794BCE">
        <w:rPr>
          <w:sz w:val="18"/>
          <w:szCs w:val="18"/>
        </w:rPr>
        <w:t>TABLE 6</w:t>
      </w:r>
      <w:r w:rsidR="00F63CD1" w:rsidRPr="00794BCE">
        <w:rPr>
          <w:sz w:val="18"/>
          <w:szCs w:val="18"/>
        </w:rPr>
        <w:br/>
      </w:r>
      <w:r w:rsidR="004E6F59">
        <w:rPr>
          <w:sz w:val="18"/>
          <w:szCs w:val="18"/>
        </w:rPr>
        <w:t xml:space="preserve"> </w:t>
      </w:r>
      <w:r w:rsidR="004E6F59">
        <w:rPr>
          <w:sz w:val="18"/>
          <w:szCs w:val="18"/>
        </w:rPr>
        <w:tab/>
      </w:r>
      <w:r w:rsidR="004E6F59">
        <w:rPr>
          <w:sz w:val="18"/>
          <w:szCs w:val="18"/>
        </w:rPr>
        <w:tab/>
      </w:r>
      <w:r w:rsidR="004E6F59">
        <w:rPr>
          <w:sz w:val="18"/>
          <w:szCs w:val="18"/>
        </w:rPr>
        <w:tab/>
      </w:r>
      <w:r w:rsidR="004E6F59">
        <w:rPr>
          <w:sz w:val="18"/>
          <w:szCs w:val="18"/>
        </w:rPr>
        <w:tab/>
      </w:r>
      <w:r w:rsidR="004E6F59">
        <w:rPr>
          <w:sz w:val="18"/>
          <w:szCs w:val="18"/>
        </w:rPr>
        <w:tab/>
      </w:r>
      <w:r w:rsidRPr="00794BCE">
        <w:rPr>
          <w:sz w:val="18"/>
          <w:szCs w:val="18"/>
        </w:rPr>
        <w:t xml:space="preserve">Transfers </w:t>
      </w:r>
      <w:proofErr w:type="gramStart"/>
      <w:r w:rsidRPr="00794BCE">
        <w:rPr>
          <w:sz w:val="18"/>
          <w:szCs w:val="18"/>
        </w:rPr>
        <w:t>To</w:t>
      </w:r>
      <w:proofErr w:type="gramEnd"/>
      <w:r w:rsidRPr="00794BCE">
        <w:rPr>
          <w:sz w:val="18"/>
          <w:szCs w:val="18"/>
        </w:rPr>
        <w:t xml:space="preserve"> States</w:t>
      </w:r>
      <w:r w:rsidR="004E6F59">
        <w:rPr>
          <w:sz w:val="18"/>
          <w:szCs w:val="18"/>
        </w:rPr>
        <w:t xml:space="preserve"> </w:t>
      </w:r>
      <w:r w:rsidR="004E6F59">
        <w:rPr>
          <w:sz w:val="18"/>
          <w:szCs w:val="18"/>
        </w:rPr>
        <w:tab/>
      </w:r>
      <w:r w:rsidR="004E6F59">
        <w:rPr>
          <w:sz w:val="18"/>
          <w:szCs w:val="18"/>
        </w:rPr>
        <w:tab/>
      </w:r>
      <w:r w:rsidR="004E6F59">
        <w:rPr>
          <w:sz w:val="18"/>
          <w:szCs w:val="18"/>
        </w:rPr>
        <w:tab/>
      </w:r>
      <w:r w:rsidR="004E6F59">
        <w:rPr>
          <w:sz w:val="18"/>
          <w:szCs w:val="18"/>
        </w:rPr>
        <w:tab/>
      </w:r>
      <w:r w:rsidRPr="00F63CD1">
        <w:rPr>
          <w:b w:val="0"/>
          <w:bCs w:val="0"/>
          <w:i/>
          <w:iCs/>
          <w:sz w:val="18"/>
          <w:szCs w:val="18"/>
        </w:rPr>
        <w:t>(Rs. Crore)</w:t>
      </w:r>
    </w:p>
    <w:tbl>
      <w:tblPr>
        <w:tblStyle w:val="TableGrid"/>
        <w:tblW w:w="9067" w:type="dxa"/>
        <w:jc w:val="center"/>
        <w:tblLook w:val="04A0" w:firstRow="1" w:lastRow="0" w:firstColumn="1" w:lastColumn="0" w:noHBand="0" w:noVBand="1"/>
      </w:tblPr>
      <w:tblGrid>
        <w:gridCol w:w="6658"/>
        <w:gridCol w:w="1134"/>
        <w:gridCol w:w="1275"/>
      </w:tblGrid>
      <w:tr w:rsidR="001B7DA6" w:rsidRPr="00703C54" w14:paraId="740659DF" w14:textId="77777777" w:rsidTr="00794BCE">
        <w:trPr>
          <w:trHeight w:val="20"/>
          <w:jc w:val="center"/>
        </w:trPr>
        <w:tc>
          <w:tcPr>
            <w:tcW w:w="6658" w:type="dxa"/>
            <w:vAlign w:val="center"/>
            <w:hideMark/>
          </w:tcPr>
          <w:p w14:paraId="4823EB47" w14:textId="77777777" w:rsidR="001B7DA6" w:rsidRPr="00703C54" w:rsidRDefault="001B7DA6" w:rsidP="004E6F59">
            <w:pPr>
              <w:pStyle w:val="NoSpacing"/>
              <w:spacing w:line="180" w:lineRule="exact"/>
              <w:rPr>
                <w:rFonts w:ascii="Times New Roman" w:hAnsi="Times New Roman" w:cs="Times New Roman"/>
                <w:sz w:val="18"/>
                <w:szCs w:val="16"/>
              </w:rPr>
            </w:pPr>
          </w:p>
        </w:tc>
        <w:tc>
          <w:tcPr>
            <w:tcW w:w="1134" w:type="dxa"/>
            <w:vAlign w:val="center"/>
            <w:hideMark/>
          </w:tcPr>
          <w:p w14:paraId="2505EBD8" w14:textId="77777777" w:rsidR="001B7DA6" w:rsidRPr="00703C54" w:rsidRDefault="001B7DA6"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1985-90</w:t>
            </w:r>
          </w:p>
        </w:tc>
        <w:tc>
          <w:tcPr>
            <w:tcW w:w="1275" w:type="dxa"/>
            <w:vAlign w:val="center"/>
            <w:hideMark/>
          </w:tcPr>
          <w:p w14:paraId="6F358A45" w14:textId="77777777" w:rsidR="001B7DA6" w:rsidRPr="00703C54" w:rsidRDefault="001B7DA6"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1990-95</w:t>
            </w:r>
          </w:p>
        </w:tc>
      </w:tr>
      <w:tr w:rsidR="001B7DA6" w:rsidRPr="00703C54" w14:paraId="4C8DFD50" w14:textId="77777777" w:rsidTr="00794BCE">
        <w:trPr>
          <w:trHeight w:val="20"/>
          <w:jc w:val="center"/>
        </w:trPr>
        <w:tc>
          <w:tcPr>
            <w:tcW w:w="6658" w:type="dxa"/>
            <w:vAlign w:val="center"/>
            <w:hideMark/>
          </w:tcPr>
          <w:p w14:paraId="32B2B3ED"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 Total Revenue Receipts</w:t>
            </w:r>
          </w:p>
        </w:tc>
        <w:tc>
          <w:tcPr>
            <w:tcW w:w="1134" w:type="dxa"/>
            <w:vAlign w:val="center"/>
            <w:hideMark/>
          </w:tcPr>
          <w:p w14:paraId="0CAD64F1"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249419</w:t>
            </w:r>
          </w:p>
        </w:tc>
        <w:tc>
          <w:tcPr>
            <w:tcW w:w="1275" w:type="dxa"/>
            <w:vAlign w:val="center"/>
            <w:hideMark/>
          </w:tcPr>
          <w:p w14:paraId="73061CDB"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466502</w:t>
            </w:r>
          </w:p>
        </w:tc>
      </w:tr>
      <w:tr w:rsidR="001B7DA6" w:rsidRPr="00703C54" w14:paraId="7EC133E2" w14:textId="77777777" w:rsidTr="00794BCE">
        <w:trPr>
          <w:trHeight w:val="20"/>
          <w:jc w:val="center"/>
        </w:trPr>
        <w:tc>
          <w:tcPr>
            <w:tcW w:w="6658" w:type="dxa"/>
            <w:vAlign w:val="center"/>
            <w:hideMark/>
          </w:tcPr>
          <w:p w14:paraId="7E3BB45C"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2. States' share of Taxes</w:t>
            </w:r>
          </w:p>
        </w:tc>
        <w:tc>
          <w:tcPr>
            <w:tcW w:w="1134" w:type="dxa"/>
            <w:vAlign w:val="center"/>
            <w:hideMark/>
          </w:tcPr>
          <w:p w14:paraId="53832681"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49145</w:t>
            </w:r>
          </w:p>
        </w:tc>
        <w:tc>
          <w:tcPr>
            <w:tcW w:w="1275" w:type="dxa"/>
            <w:vAlign w:val="center"/>
            <w:hideMark/>
          </w:tcPr>
          <w:p w14:paraId="69691115"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87882</w:t>
            </w:r>
          </w:p>
        </w:tc>
      </w:tr>
      <w:tr w:rsidR="001B7DA6" w:rsidRPr="00703C54" w14:paraId="5E679816" w14:textId="77777777" w:rsidTr="00794BCE">
        <w:trPr>
          <w:trHeight w:val="20"/>
          <w:jc w:val="center"/>
        </w:trPr>
        <w:tc>
          <w:tcPr>
            <w:tcW w:w="6658" w:type="dxa"/>
            <w:vAlign w:val="center"/>
            <w:hideMark/>
          </w:tcPr>
          <w:p w14:paraId="54F05C76"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3. Grants under Article 275(1) except margin money grant and net interest liability grant.</w:t>
            </w:r>
          </w:p>
        </w:tc>
        <w:tc>
          <w:tcPr>
            <w:tcW w:w="1134" w:type="dxa"/>
            <w:vAlign w:val="center"/>
            <w:hideMark/>
          </w:tcPr>
          <w:p w14:paraId="24180258"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4199</w:t>
            </w:r>
          </w:p>
        </w:tc>
        <w:tc>
          <w:tcPr>
            <w:tcW w:w="1275" w:type="dxa"/>
            <w:vAlign w:val="center"/>
            <w:hideMark/>
          </w:tcPr>
          <w:p w14:paraId="481EBDE3"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15030</w:t>
            </w:r>
          </w:p>
        </w:tc>
      </w:tr>
      <w:tr w:rsidR="001B7DA6" w:rsidRPr="00703C54" w14:paraId="07C69A09" w14:textId="77777777" w:rsidTr="00794BCE">
        <w:trPr>
          <w:trHeight w:val="20"/>
          <w:jc w:val="center"/>
        </w:trPr>
        <w:tc>
          <w:tcPr>
            <w:tcW w:w="6658" w:type="dxa"/>
            <w:vAlign w:val="center"/>
            <w:hideMark/>
          </w:tcPr>
          <w:p w14:paraId="4742700A"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4. Net Interest Liability Grant</w:t>
            </w:r>
          </w:p>
        </w:tc>
        <w:tc>
          <w:tcPr>
            <w:tcW w:w="1134" w:type="dxa"/>
            <w:vAlign w:val="center"/>
            <w:hideMark/>
          </w:tcPr>
          <w:p w14:paraId="5AD106A0"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1333</w:t>
            </w:r>
          </w:p>
        </w:tc>
        <w:tc>
          <w:tcPr>
            <w:tcW w:w="1275" w:type="dxa"/>
            <w:vAlign w:val="center"/>
            <w:hideMark/>
          </w:tcPr>
          <w:p w14:paraId="1FF7FD8C"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w:t>
            </w:r>
          </w:p>
        </w:tc>
      </w:tr>
      <w:tr w:rsidR="001B7DA6" w:rsidRPr="00703C54" w14:paraId="74B7BF31" w14:textId="77777777" w:rsidTr="00794BCE">
        <w:trPr>
          <w:trHeight w:val="20"/>
          <w:jc w:val="center"/>
        </w:trPr>
        <w:tc>
          <w:tcPr>
            <w:tcW w:w="6658" w:type="dxa"/>
            <w:vAlign w:val="center"/>
            <w:hideMark/>
          </w:tcPr>
          <w:p w14:paraId="69100B42"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5. Total (2 to 4)</w:t>
            </w:r>
          </w:p>
        </w:tc>
        <w:tc>
          <w:tcPr>
            <w:tcW w:w="1134" w:type="dxa"/>
            <w:vAlign w:val="center"/>
            <w:hideMark/>
          </w:tcPr>
          <w:p w14:paraId="278CC177"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54677</w:t>
            </w:r>
          </w:p>
        </w:tc>
        <w:tc>
          <w:tcPr>
            <w:tcW w:w="1275" w:type="dxa"/>
            <w:vAlign w:val="center"/>
            <w:hideMark/>
          </w:tcPr>
          <w:p w14:paraId="5DE6A794"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102912</w:t>
            </w:r>
          </w:p>
        </w:tc>
      </w:tr>
      <w:tr w:rsidR="001B7DA6" w:rsidRPr="00703C54" w14:paraId="3223A604" w14:textId="77777777" w:rsidTr="00794BCE">
        <w:trPr>
          <w:trHeight w:val="20"/>
          <w:jc w:val="center"/>
        </w:trPr>
        <w:tc>
          <w:tcPr>
            <w:tcW w:w="6658" w:type="dxa"/>
            <w:vAlign w:val="center"/>
            <w:hideMark/>
          </w:tcPr>
          <w:p w14:paraId="482EA041"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6. a) Margin Money</w:t>
            </w:r>
          </w:p>
        </w:tc>
        <w:tc>
          <w:tcPr>
            <w:tcW w:w="1134" w:type="dxa"/>
            <w:vAlign w:val="center"/>
            <w:hideMark/>
          </w:tcPr>
          <w:p w14:paraId="3FC6B55B"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651</w:t>
            </w:r>
          </w:p>
        </w:tc>
        <w:tc>
          <w:tcPr>
            <w:tcW w:w="1275" w:type="dxa"/>
            <w:vAlign w:val="center"/>
            <w:hideMark/>
          </w:tcPr>
          <w:p w14:paraId="4528326F" w14:textId="77777777" w:rsidR="001B7DA6" w:rsidRPr="00703C54" w:rsidRDefault="001B7DA6" w:rsidP="004E6F59">
            <w:pPr>
              <w:pStyle w:val="NoSpacing"/>
              <w:spacing w:line="180" w:lineRule="exact"/>
              <w:jc w:val="center"/>
              <w:rPr>
                <w:rFonts w:ascii="Times New Roman" w:hAnsi="Times New Roman" w:cs="Times New Roman"/>
                <w:sz w:val="18"/>
                <w:szCs w:val="16"/>
              </w:rPr>
            </w:pPr>
          </w:p>
        </w:tc>
      </w:tr>
      <w:tr w:rsidR="001B7DA6" w:rsidRPr="00703C54" w14:paraId="24482E67" w14:textId="77777777" w:rsidTr="00794BCE">
        <w:trPr>
          <w:trHeight w:val="20"/>
          <w:jc w:val="center"/>
        </w:trPr>
        <w:tc>
          <w:tcPr>
            <w:tcW w:w="6658" w:type="dxa"/>
            <w:vAlign w:val="center"/>
            <w:hideMark/>
          </w:tcPr>
          <w:p w14:paraId="1CA4AB31"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b) Grant for relief expenditure</w:t>
            </w:r>
          </w:p>
        </w:tc>
        <w:tc>
          <w:tcPr>
            <w:tcW w:w="1134" w:type="dxa"/>
            <w:vAlign w:val="center"/>
            <w:hideMark/>
          </w:tcPr>
          <w:p w14:paraId="74483211"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1163</w:t>
            </w:r>
          </w:p>
        </w:tc>
        <w:tc>
          <w:tcPr>
            <w:tcW w:w="1275" w:type="dxa"/>
            <w:vAlign w:val="center"/>
            <w:hideMark/>
          </w:tcPr>
          <w:p w14:paraId="10B5AA05" w14:textId="77777777" w:rsidR="001B7DA6" w:rsidRPr="00703C54" w:rsidRDefault="001B7DA6" w:rsidP="004E6F59">
            <w:pPr>
              <w:pStyle w:val="NoSpacing"/>
              <w:spacing w:line="180" w:lineRule="exact"/>
              <w:jc w:val="center"/>
              <w:rPr>
                <w:rFonts w:ascii="Times New Roman" w:hAnsi="Times New Roman" w:cs="Times New Roman"/>
                <w:sz w:val="18"/>
                <w:szCs w:val="16"/>
              </w:rPr>
            </w:pPr>
          </w:p>
        </w:tc>
      </w:tr>
      <w:tr w:rsidR="001B7DA6" w:rsidRPr="00703C54" w14:paraId="41CBA65E" w14:textId="77777777" w:rsidTr="00794BCE">
        <w:trPr>
          <w:trHeight w:val="20"/>
          <w:jc w:val="center"/>
        </w:trPr>
        <w:tc>
          <w:tcPr>
            <w:tcW w:w="6658" w:type="dxa"/>
            <w:vAlign w:val="center"/>
            <w:hideMark/>
          </w:tcPr>
          <w:p w14:paraId="0028DBD2"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Total (6)</w:t>
            </w:r>
          </w:p>
        </w:tc>
        <w:tc>
          <w:tcPr>
            <w:tcW w:w="1134" w:type="dxa"/>
            <w:vAlign w:val="center"/>
            <w:hideMark/>
          </w:tcPr>
          <w:p w14:paraId="3A85B5D2"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1814</w:t>
            </w:r>
          </w:p>
        </w:tc>
        <w:tc>
          <w:tcPr>
            <w:tcW w:w="1275" w:type="dxa"/>
            <w:vAlign w:val="center"/>
            <w:hideMark/>
          </w:tcPr>
          <w:p w14:paraId="369D0B6A"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3150</w:t>
            </w:r>
          </w:p>
        </w:tc>
      </w:tr>
      <w:tr w:rsidR="001B7DA6" w:rsidRPr="00703C54" w14:paraId="7FBD8209" w14:textId="77777777" w:rsidTr="00794BCE">
        <w:trPr>
          <w:trHeight w:val="20"/>
          <w:jc w:val="center"/>
        </w:trPr>
        <w:tc>
          <w:tcPr>
            <w:tcW w:w="6658" w:type="dxa"/>
            <w:vAlign w:val="center"/>
            <w:hideMark/>
          </w:tcPr>
          <w:p w14:paraId="3CBA3B37"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7. Total Transfers</w:t>
            </w:r>
          </w:p>
        </w:tc>
        <w:tc>
          <w:tcPr>
            <w:tcW w:w="1134" w:type="dxa"/>
            <w:vAlign w:val="center"/>
            <w:hideMark/>
          </w:tcPr>
          <w:p w14:paraId="4F7E895E"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56491</w:t>
            </w:r>
          </w:p>
        </w:tc>
        <w:tc>
          <w:tcPr>
            <w:tcW w:w="1275" w:type="dxa"/>
            <w:vAlign w:val="center"/>
            <w:hideMark/>
          </w:tcPr>
          <w:p w14:paraId="4468B390"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106062</w:t>
            </w:r>
          </w:p>
        </w:tc>
      </w:tr>
      <w:tr w:rsidR="001B7DA6" w:rsidRPr="00703C54" w14:paraId="55212BC9" w14:textId="77777777" w:rsidTr="00794BCE">
        <w:trPr>
          <w:trHeight w:val="20"/>
          <w:jc w:val="center"/>
        </w:trPr>
        <w:tc>
          <w:tcPr>
            <w:tcW w:w="6658" w:type="dxa"/>
            <w:vAlign w:val="center"/>
            <w:hideMark/>
          </w:tcPr>
          <w:p w14:paraId="24329499"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8. Item 5 as percentage of item 1</w:t>
            </w:r>
          </w:p>
        </w:tc>
        <w:tc>
          <w:tcPr>
            <w:tcW w:w="1134" w:type="dxa"/>
            <w:vAlign w:val="center"/>
            <w:hideMark/>
          </w:tcPr>
          <w:p w14:paraId="437B78D7"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21.92</w:t>
            </w:r>
          </w:p>
        </w:tc>
        <w:tc>
          <w:tcPr>
            <w:tcW w:w="1275" w:type="dxa"/>
            <w:vAlign w:val="center"/>
            <w:hideMark/>
          </w:tcPr>
          <w:p w14:paraId="72D79FFA"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22.06</w:t>
            </w:r>
          </w:p>
        </w:tc>
      </w:tr>
      <w:tr w:rsidR="001B7DA6" w:rsidRPr="00703C54" w14:paraId="6A798FB0" w14:textId="77777777" w:rsidTr="00794BCE">
        <w:trPr>
          <w:trHeight w:val="20"/>
          <w:jc w:val="center"/>
        </w:trPr>
        <w:tc>
          <w:tcPr>
            <w:tcW w:w="6658" w:type="dxa"/>
            <w:vAlign w:val="center"/>
            <w:hideMark/>
          </w:tcPr>
          <w:p w14:paraId="7499A27F"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9. Item 6 as percentage of item 1</w:t>
            </w:r>
          </w:p>
        </w:tc>
        <w:tc>
          <w:tcPr>
            <w:tcW w:w="1134" w:type="dxa"/>
            <w:vAlign w:val="center"/>
            <w:hideMark/>
          </w:tcPr>
          <w:p w14:paraId="44FBD23B"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0.73</w:t>
            </w:r>
          </w:p>
        </w:tc>
        <w:tc>
          <w:tcPr>
            <w:tcW w:w="1275" w:type="dxa"/>
            <w:vAlign w:val="center"/>
            <w:hideMark/>
          </w:tcPr>
          <w:p w14:paraId="0BBCF116"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0.68</w:t>
            </w:r>
          </w:p>
        </w:tc>
      </w:tr>
      <w:tr w:rsidR="001B7DA6" w:rsidRPr="00703C54" w14:paraId="1D187189" w14:textId="77777777" w:rsidTr="00794BCE">
        <w:trPr>
          <w:trHeight w:val="20"/>
          <w:jc w:val="center"/>
        </w:trPr>
        <w:tc>
          <w:tcPr>
            <w:tcW w:w="6658" w:type="dxa"/>
            <w:vAlign w:val="center"/>
            <w:hideMark/>
          </w:tcPr>
          <w:p w14:paraId="548A43B4" w14:textId="77777777" w:rsidR="001B7DA6" w:rsidRPr="00703C54" w:rsidRDefault="001B7DA6"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10. Item 7 as percentage of item 1</w:t>
            </w:r>
          </w:p>
        </w:tc>
        <w:tc>
          <w:tcPr>
            <w:tcW w:w="1134" w:type="dxa"/>
            <w:vAlign w:val="center"/>
            <w:hideMark/>
          </w:tcPr>
          <w:p w14:paraId="57543864"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22.65</w:t>
            </w:r>
          </w:p>
        </w:tc>
        <w:tc>
          <w:tcPr>
            <w:tcW w:w="1275" w:type="dxa"/>
            <w:vAlign w:val="center"/>
            <w:hideMark/>
          </w:tcPr>
          <w:p w14:paraId="550432A9" w14:textId="77777777" w:rsidR="001B7DA6" w:rsidRPr="00703C54" w:rsidRDefault="001B7DA6"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22.74</w:t>
            </w:r>
          </w:p>
        </w:tc>
      </w:tr>
    </w:tbl>
    <w:p w14:paraId="4DC85D13" w14:textId="77777777" w:rsidR="001B7DA6" w:rsidRPr="00794BCE" w:rsidRDefault="001B7DA6" w:rsidP="004E6F59">
      <w:pPr>
        <w:spacing w:after="0" w:line="180" w:lineRule="exact"/>
        <w:ind w:firstLine="720"/>
        <w:jc w:val="both"/>
        <w:rPr>
          <w:rFonts w:ascii="Times New Roman" w:hAnsi="Times New Roman" w:cs="Times New Roman"/>
          <w:sz w:val="16"/>
          <w:szCs w:val="16"/>
        </w:rPr>
      </w:pPr>
      <w:r w:rsidRPr="00794BCE">
        <w:rPr>
          <w:rFonts w:ascii="Times New Roman" w:hAnsi="Times New Roman" w:cs="Times New Roman"/>
          <w:b/>
          <w:bCs/>
          <w:sz w:val="16"/>
          <w:szCs w:val="16"/>
        </w:rPr>
        <w:t xml:space="preserve">Note - </w:t>
      </w:r>
      <w:r w:rsidRPr="00794BCE">
        <w:rPr>
          <w:rFonts w:ascii="Times New Roman" w:hAnsi="Times New Roman" w:cs="Times New Roman"/>
          <w:sz w:val="16"/>
          <w:szCs w:val="16"/>
        </w:rPr>
        <w:t>Difference in figures in this table and those in table 4 is due to rounding.</w:t>
      </w:r>
    </w:p>
    <w:p w14:paraId="1AA7869C" w14:textId="5E4D72B4" w:rsidR="001B7DA6" w:rsidRPr="00AA6AF4" w:rsidRDefault="001B7DA6" w:rsidP="004E6F59">
      <w:pPr>
        <w:pStyle w:val="Heading3"/>
        <w:spacing w:after="0" w:line="180" w:lineRule="exact"/>
      </w:pPr>
      <w:r w:rsidRPr="00AA6AF4">
        <w:t>It will be seen from Table 6 that as percentages of total revenue receipts of the Centre, the transfers to States recommended by us do not involve any substantial difference.</w:t>
      </w:r>
    </w:p>
    <w:p w14:paraId="27E3C6F2" w14:textId="1E3587FC" w:rsidR="001B7DA6" w:rsidRPr="00AA6AF4" w:rsidRDefault="001B7DA6" w:rsidP="004E6F59">
      <w:pPr>
        <w:pStyle w:val="Heading3"/>
        <w:spacing w:after="0" w:line="180" w:lineRule="exact"/>
      </w:pPr>
      <w:r w:rsidRPr="00AA6AF4">
        <w:t xml:space="preserve">We now come to the question whether the transfers recommended by us result in a situation where the Centre cannot have a reasonable outlay on the Eighth Plan. Our projections show that the total budget support to Central Plan in the revenue account will be Rs. 46572 </w:t>
      </w:r>
      <w:proofErr w:type="gramStart"/>
      <w:r w:rsidRPr="00AA6AF4">
        <w:t>crore</w:t>
      </w:r>
      <w:proofErr w:type="gramEnd"/>
      <w:r w:rsidRPr="00AA6AF4">
        <w:t xml:space="preserve"> at current prices. (For reasons we have explained earlier in the report, we have not provided separately for committed liability on Seventh Plan schemes). Our projections of interest payments imply net borrowings adequate to finance 10 per cent per annum growth in capital expenditure (adjusted for recovery of loans). Centre's capital expenditure includes non-Plan expenditure, capital portion of Central assistance to States as well as Centre's own Plan in the capital account. When Centre's total capital expenditure increases by 10 per cent per annum over 1989-90 base, the capital portion of budget support to Central Plan should increase at least at the same rate. On that basis we have worked out that the total budget support to Central Plan in the capital account during 1990-95 can be Rs. 63,097 </w:t>
      </w:r>
      <w:proofErr w:type="gramStart"/>
      <w:r w:rsidRPr="00AA6AF4">
        <w:t>crore</w:t>
      </w:r>
      <w:proofErr w:type="gramEnd"/>
      <w:r w:rsidRPr="00AA6AF4">
        <w:t xml:space="preserve">. Including the revenue component of Rs. 46,572 </w:t>
      </w:r>
      <w:proofErr w:type="gramStart"/>
      <w:r w:rsidRPr="00AA6AF4">
        <w:t>crore</w:t>
      </w:r>
      <w:proofErr w:type="gramEnd"/>
      <w:r w:rsidRPr="00AA6AF4">
        <w:t xml:space="preserve"> mentioned above, the total budgetary support to Central Plan at current prices for the Eighth Plan is estimated at Rs. 1,09,669 </w:t>
      </w:r>
      <w:proofErr w:type="gramStart"/>
      <w:r w:rsidRPr="00AA6AF4">
        <w:t>crore</w:t>
      </w:r>
      <w:proofErr w:type="gramEnd"/>
      <w:r w:rsidRPr="00AA6AF4">
        <w:t xml:space="preserve">. Adjusted for 5 per cent price rise assumed by us the total budgetary support to Plan at 1989-90 prices works out to Rs. 94,191 </w:t>
      </w:r>
      <w:proofErr w:type="gramStart"/>
      <w:r w:rsidRPr="00AA6AF4">
        <w:t>crore</w:t>
      </w:r>
      <w:proofErr w:type="gramEnd"/>
      <w:r w:rsidRPr="00AA6AF4">
        <w:t xml:space="preserve"> as indicated in Table 7.</w:t>
      </w:r>
    </w:p>
    <w:p w14:paraId="6853F533" w14:textId="250D2555" w:rsidR="001B7DA6" w:rsidRPr="004E6F59" w:rsidRDefault="001B7DA6" w:rsidP="004E6F59">
      <w:pPr>
        <w:pStyle w:val="Heading4"/>
        <w:spacing w:after="0" w:line="180" w:lineRule="exact"/>
        <w:ind w:left="273"/>
        <w:rPr>
          <w:sz w:val="18"/>
          <w:szCs w:val="18"/>
        </w:rPr>
      </w:pPr>
      <w:r w:rsidRPr="00794BCE">
        <w:rPr>
          <w:sz w:val="18"/>
          <w:szCs w:val="18"/>
        </w:rPr>
        <w:lastRenderedPageBreak/>
        <w:t>TABLE 7</w:t>
      </w:r>
      <w:r w:rsidR="00F63CD1" w:rsidRPr="00794BCE">
        <w:rPr>
          <w:sz w:val="18"/>
          <w:szCs w:val="18"/>
        </w:rPr>
        <w:br/>
      </w:r>
      <w:r w:rsidR="004E6F59">
        <w:rPr>
          <w:sz w:val="18"/>
          <w:szCs w:val="18"/>
        </w:rPr>
        <w:t xml:space="preserve"> </w:t>
      </w:r>
      <w:r w:rsidR="004E6F59">
        <w:rPr>
          <w:sz w:val="18"/>
          <w:szCs w:val="18"/>
        </w:rPr>
        <w:tab/>
      </w:r>
      <w:r w:rsidR="004E6F59">
        <w:rPr>
          <w:sz w:val="18"/>
          <w:szCs w:val="18"/>
        </w:rPr>
        <w:tab/>
      </w:r>
      <w:r w:rsidR="004E6F59">
        <w:rPr>
          <w:sz w:val="18"/>
          <w:szCs w:val="18"/>
        </w:rPr>
        <w:tab/>
      </w:r>
      <w:r w:rsidRPr="00794BCE">
        <w:rPr>
          <w:sz w:val="18"/>
          <w:szCs w:val="18"/>
        </w:rPr>
        <w:t xml:space="preserve">Budgetary Support </w:t>
      </w:r>
      <w:proofErr w:type="gramStart"/>
      <w:r w:rsidRPr="00794BCE">
        <w:rPr>
          <w:sz w:val="18"/>
          <w:szCs w:val="18"/>
        </w:rPr>
        <w:t>To</w:t>
      </w:r>
      <w:proofErr w:type="gramEnd"/>
      <w:r w:rsidRPr="00794BCE">
        <w:rPr>
          <w:sz w:val="18"/>
          <w:szCs w:val="18"/>
        </w:rPr>
        <w:t xml:space="preserve"> Central </w:t>
      </w:r>
      <w:proofErr w:type="gramStart"/>
      <w:r w:rsidRPr="00794BCE">
        <w:rPr>
          <w:sz w:val="18"/>
          <w:szCs w:val="18"/>
        </w:rPr>
        <w:t>Plan :</w:t>
      </w:r>
      <w:proofErr w:type="gramEnd"/>
      <w:r w:rsidRPr="00794BCE">
        <w:rPr>
          <w:sz w:val="18"/>
          <w:szCs w:val="18"/>
        </w:rPr>
        <w:t xml:space="preserve"> 1990-95</w:t>
      </w:r>
      <w:r w:rsidR="004E6F59">
        <w:rPr>
          <w:sz w:val="18"/>
          <w:szCs w:val="18"/>
        </w:rPr>
        <w:t xml:space="preserve"> </w:t>
      </w:r>
      <w:r w:rsidR="004E6F59">
        <w:rPr>
          <w:sz w:val="18"/>
          <w:szCs w:val="18"/>
        </w:rPr>
        <w:tab/>
        <w:t xml:space="preserve">        </w:t>
      </w:r>
      <w:r w:rsidR="004E6F59">
        <w:rPr>
          <w:sz w:val="18"/>
          <w:szCs w:val="18"/>
        </w:rPr>
        <w:tab/>
      </w:r>
      <w:r w:rsidRPr="00F63CD1">
        <w:rPr>
          <w:i/>
          <w:iCs/>
          <w:sz w:val="18"/>
          <w:szCs w:val="18"/>
        </w:rPr>
        <w:t>(Rs. Crore)</w:t>
      </w:r>
    </w:p>
    <w:tbl>
      <w:tblPr>
        <w:tblStyle w:val="TableGrid"/>
        <w:tblW w:w="7933" w:type="dxa"/>
        <w:jc w:val="center"/>
        <w:tblLook w:val="04A0" w:firstRow="1" w:lastRow="0" w:firstColumn="1" w:lastColumn="0" w:noHBand="0" w:noVBand="1"/>
      </w:tblPr>
      <w:tblGrid>
        <w:gridCol w:w="5524"/>
        <w:gridCol w:w="2409"/>
      </w:tblGrid>
      <w:tr w:rsidR="001B7DA6" w:rsidRPr="00AA6AF4" w14:paraId="6458F156" w14:textId="77777777" w:rsidTr="00794BCE">
        <w:trPr>
          <w:trHeight w:val="113"/>
          <w:jc w:val="center"/>
        </w:trPr>
        <w:tc>
          <w:tcPr>
            <w:tcW w:w="5524" w:type="dxa"/>
            <w:vAlign w:val="center"/>
            <w:hideMark/>
          </w:tcPr>
          <w:p w14:paraId="77F283B6" w14:textId="77777777" w:rsidR="001B7DA6" w:rsidRPr="004E4144" w:rsidRDefault="001B7DA6" w:rsidP="004E6F59">
            <w:pPr>
              <w:pStyle w:val="NoSpacing"/>
              <w:spacing w:line="180" w:lineRule="exact"/>
              <w:rPr>
                <w:rFonts w:ascii="Times New Roman" w:hAnsi="Times New Roman" w:cs="Times New Roman"/>
                <w:sz w:val="18"/>
                <w:szCs w:val="16"/>
              </w:rPr>
            </w:pPr>
          </w:p>
        </w:tc>
        <w:tc>
          <w:tcPr>
            <w:tcW w:w="2409" w:type="dxa"/>
            <w:vAlign w:val="center"/>
            <w:hideMark/>
          </w:tcPr>
          <w:p w14:paraId="2DB3C352" w14:textId="77777777" w:rsidR="001B7DA6" w:rsidRPr="00AA6AF4" w:rsidRDefault="001B7DA6" w:rsidP="004E6F59">
            <w:pPr>
              <w:pStyle w:val="NoSpacing"/>
              <w:spacing w:line="180" w:lineRule="exact"/>
              <w:jc w:val="center"/>
              <w:rPr>
                <w:rFonts w:ascii="Times New Roman" w:hAnsi="Times New Roman" w:cs="Times New Roman"/>
              </w:rPr>
            </w:pPr>
          </w:p>
        </w:tc>
      </w:tr>
      <w:tr w:rsidR="001B7DA6" w:rsidRPr="00AA6AF4" w14:paraId="55740F9A" w14:textId="77777777" w:rsidTr="00794BCE">
        <w:trPr>
          <w:trHeight w:val="113"/>
          <w:jc w:val="center"/>
        </w:trPr>
        <w:tc>
          <w:tcPr>
            <w:tcW w:w="5524" w:type="dxa"/>
            <w:vAlign w:val="center"/>
            <w:hideMark/>
          </w:tcPr>
          <w:p w14:paraId="432F5432"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1. Capital Expenditure on - (Plan)</w:t>
            </w:r>
          </w:p>
        </w:tc>
        <w:tc>
          <w:tcPr>
            <w:tcW w:w="2409" w:type="dxa"/>
            <w:vAlign w:val="center"/>
            <w:hideMark/>
          </w:tcPr>
          <w:p w14:paraId="09BDE7D8"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107767</w:t>
            </w:r>
          </w:p>
        </w:tc>
      </w:tr>
      <w:tr w:rsidR="001B7DA6" w:rsidRPr="00AA6AF4" w14:paraId="27BE3ED1" w14:textId="77777777" w:rsidTr="00794BCE">
        <w:trPr>
          <w:trHeight w:val="113"/>
          <w:jc w:val="center"/>
        </w:trPr>
        <w:tc>
          <w:tcPr>
            <w:tcW w:w="5524" w:type="dxa"/>
            <w:vAlign w:val="center"/>
            <w:hideMark/>
          </w:tcPr>
          <w:p w14:paraId="60876162"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2. Loans to States out of 1 for State Plans</w:t>
            </w:r>
          </w:p>
        </w:tc>
        <w:tc>
          <w:tcPr>
            <w:tcW w:w="2409" w:type="dxa"/>
            <w:vAlign w:val="center"/>
            <w:hideMark/>
          </w:tcPr>
          <w:p w14:paraId="44AFCFA8"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41051</w:t>
            </w:r>
          </w:p>
        </w:tc>
      </w:tr>
      <w:tr w:rsidR="001B7DA6" w:rsidRPr="00AA6AF4" w14:paraId="3A944257" w14:textId="77777777" w:rsidTr="00794BCE">
        <w:trPr>
          <w:trHeight w:val="113"/>
          <w:jc w:val="center"/>
        </w:trPr>
        <w:tc>
          <w:tcPr>
            <w:tcW w:w="5524" w:type="dxa"/>
            <w:vAlign w:val="center"/>
            <w:hideMark/>
          </w:tcPr>
          <w:p w14:paraId="487CA926"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3. Loans to Union Territories for Union Territory Plans</w:t>
            </w:r>
          </w:p>
        </w:tc>
        <w:tc>
          <w:tcPr>
            <w:tcW w:w="2409" w:type="dxa"/>
            <w:vAlign w:val="center"/>
            <w:hideMark/>
          </w:tcPr>
          <w:p w14:paraId="7171ECBF"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3619</w:t>
            </w:r>
          </w:p>
        </w:tc>
      </w:tr>
      <w:tr w:rsidR="001B7DA6" w:rsidRPr="00AA6AF4" w14:paraId="792D3CFF" w14:textId="77777777" w:rsidTr="00794BCE">
        <w:trPr>
          <w:trHeight w:val="113"/>
          <w:jc w:val="center"/>
        </w:trPr>
        <w:tc>
          <w:tcPr>
            <w:tcW w:w="5524" w:type="dxa"/>
            <w:vAlign w:val="center"/>
            <w:hideMark/>
          </w:tcPr>
          <w:p w14:paraId="64C1CD42"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4. Balance (Capital part of Budgetary Support to Central Plan)</w:t>
            </w:r>
          </w:p>
        </w:tc>
        <w:tc>
          <w:tcPr>
            <w:tcW w:w="2409" w:type="dxa"/>
            <w:vAlign w:val="center"/>
            <w:hideMark/>
          </w:tcPr>
          <w:p w14:paraId="79EC4C04"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63097</w:t>
            </w:r>
          </w:p>
        </w:tc>
      </w:tr>
      <w:tr w:rsidR="001B7DA6" w:rsidRPr="00AA6AF4" w14:paraId="50F28583" w14:textId="77777777" w:rsidTr="00794BCE">
        <w:trPr>
          <w:trHeight w:val="113"/>
          <w:jc w:val="center"/>
        </w:trPr>
        <w:tc>
          <w:tcPr>
            <w:tcW w:w="5524" w:type="dxa"/>
            <w:vAlign w:val="center"/>
            <w:hideMark/>
          </w:tcPr>
          <w:p w14:paraId="5789F31A"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5. Revenue Expenditure (Plan)</w:t>
            </w:r>
          </w:p>
        </w:tc>
        <w:tc>
          <w:tcPr>
            <w:tcW w:w="2409" w:type="dxa"/>
            <w:vAlign w:val="center"/>
            <w:hideMark/>
          </w:tcPr>
          <w:p w14:paraId="62401F02"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73847</w:t>
            </w:r>
          </w:p>
        </w:tc>
      </w:tr>
      <w:tr w:rsidR="001B7DA6" w:rsidRPr="00AA6AF4" w14:paraId="6A166F10" w14:textId="77777777" w:rsidTr="00794BCE">
        <w:trPr>
          <w:trHeight w:val="113"/>
          <w:jc w:val="center"/>
        </w:trPr>
        <w:tc>
          <w:tcPr>
            <w:tcW w:w="5524" w:type="dxa"/>
            <w:vAlign w:val="center"/>
            <w:hideMark/>
          </w:tcPr>
          <w:p w14:paraId="02F8E11D"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6. Plan Grants to States and Union Territories and Union Territory Plans.</w:t>
            </w:r>
          </w:p>
        </w:tc>
        <w:tc>
          <w:tcPr>
            <w:tcW w:w="2409" w:type="dxa"/>
            <w:vAlign w:val="center"/>
            <w:hideMark/>
          </w:tcPr>
          <w:p w14:paraId="20E0C5F1"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27275</w:t>
            </w:r>
          </w:p>
        </w:tc>
      </w:tr>
      <w:tr w:rsidR="001B7DA6" w:rsidRPr="00AA6AF4" w14:paraId="01471D9B" w14:textId="77777777" w:rsidTr="00794BCE">
        <w:trPr>
          <w:trHeight w:val="113"/>
          <w:jc w:val="center"/>
        </w:trPr>
        <w:tc>
          <w:tcPr>
            <w:tcW w:w="5524" w:type="dxa"/>
            <w:vAlign w:val="center"/>
            <w:hideMark/>
          </w:tcPr>
          <w:p w14:paraId="79AFB8B6"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7. Balance (i.e. Revenue Part of Budgetary Support to Central Plan)</w:t>
            </w:r>
          </w:p>
        </w:tc>
        <w:tc>
          <w:tcPr>
            <w:tcW w:w="2409" w:type="dxa"/>
            <w:vAlign w:val="center"/>
            <w:hideMark/>
          </w:tcPr>
          <w:p w14:paraId="654E20A4"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46572</w:t>
            </w:r>
          </w:p>
        </w:tc>
      </w:tr>
      <w:tr w:rsidR="001B7DA6" w:rsidRPr="00AA6AF4" w14:paraId="3AA0CDFD" w14:textId="77777777" w:rsidTr="00794BCE">
        <w:trPr>
          <w:trHeight w:val="113"/>
          <w:jc w:val="center"/>
        </w:trPr>
        <w:tc>
          <w:tcPr>
            <w:tcW w:w="5524" w:type="dxa"/>
            <w:vAlign w:val="center"/>
            <w:hideMark/>
          </w:tcPr>
          <w:p w14:paraId="2047779C"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8. Total Budgetary Support to Central Plan (4+7)</w:t>
            </w:r>
          </w:p>
        </w:tc>
        <w:tc>
          <w:tcPr>
            <w:tcW w:w="2409" w:type="dxa"/>
            <w:vAlign w:val="center"/>
            <w:hideMark/>
          </w:tcPr>
          <w:p w14:paraId="70C46D44"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109669</w:t>
            </w:r>
          </w:p>
        </w:tc>
      </w:tr>
      <w:tr w:rsidR="001B7DA6" w:rsidRPr="00AA6AF4" w14:paraId="0E28B521" w14:textId="77777777" w:rsidTr="00794BCE">
        <w:trPr>
          <w:trHeight w:val="113"/>
          <w:jc w:val="center"/>
        </w:trPr>
        <w:tc>
          <w:tcPr>
            <w:tcW w:w="5524" w:type="dxa"/>
            <w:vAlign w:val="center"/>
            <w:hideMark/>
          </w:tcPr>
          <w:p w14:paraId="460B43F1" w14:textId="77777777" w:rsidR="001B7DA6" w:rsidRPr="00EB7DB1" w:rsidRDefault="001B7DA6" w:rsidP="004E6F59">
            <w:pPr>
              <w:pStyle w:val="NoSpacing"/>
              <w:spacing w:line="180" w:lineRule="exact"/>
              <w:rPr>
                <w:rFonts w:ascii="Times New Roman" w:hAnsi="Times New Roman" w:cs="Times New Roman"/>
                <w:sz w:val="18"/>
                <w:szCs w:val="16"/>
              </w:rPr>
            </w:pPr>
            <w:r w:rsidRPr="00EB7DB1">
              <w:rPr>
                <w:rFonts w:ascii="Times New Roman" w:hAnsi="Times New Roman" w:cs="Times New Roman"/>
                <w:sz w:val="18"/>
                <w:szCs w:val="16"/>
              </w:rPr>
              <w:t>9. Total Budgetary Support to Central Plan at 1989-90 Prices</w:t>
            </w:r>
          </w:p>
        </w:tc>
        <w:tc>
          <w:tcPr>
            <w:tcW w:w="2409" w:type="dxa"/>
            <w:vAlign w:val="center"/>
            <w:hideMark/>
          </w:tcPr>
          <w:p w14:paraId="393A5702" w14:textId="77777777" w:rsidR="001B7DA6" w:rsidRPr="00EB7DB1" w:rsidRDefault="001B7DA6" w:rsidP="004E6F59">
            <w:pPr>
              <w:pStyle w:val="NoSpacing"/>
              <w:spacing w:line="180" w:lineRule="exact"/>
              <w:jc w:val="center"/>
              <w:rPr>
                <w:rFonts w:ascii="Times New Roman" w:hAnsi="Times New Roman" w:cs="Times New Roman"/>
                <w:sz w:val="18"/>
                <w:szCs w:val="16"/>
              </w:rPr>
            </w:pPr>
            <w:r w:rsidRPr="00EB7DB1">
              <w:rPr>
                <w:rFonts w:ascii="Times New Roman" w:hAnsi="Times New Roman" w:cs="Times New Roman"/>
                <w:sz w:val="18"/>
                <w:szCs w:val="16"/>
              </w:rPr>
              <w:t>94191</w:t>
            </w:r>
          </w:p>
        </w:tc>
      </w:tr>
    </w:tbl>
    <w:p w14:paraId="305C4A2B" w14:textId="6DBE3E94" w:rsidR="001E0A99" w:rsidRPr="00AA6AF4" w:rsidRDefault="001B7DA6" w:rsidP="004E6F59">
      <w:pPr>
        <w:pStyle w:val="Heading3"/>
        <w:spacing w:after="0" w:line="180" w:lineRule="exact"/>
      </w:pPr>
      <w:r w:rsidRPr="00AA6AF4">
        <w:t xml:space="preserve">Around Rs. 94,200 </w:t>
      </w:r>
      <w:proofErr w:type="gramStart"/>
      <w:r w:rsidRPr="00AA6AF4">
        <w:t>crore</w:t>
      </w:r>
      <w:proofErr w:type="gramEnd"/>
      <w:r w:rsidRPr="00AA6AF4">
        <w:t xml:space="preserve"> of budget support to Central Plan at 1989-90 prices should be possible during 1990-95 with revenue deficit contained within reasonable level as projected by us. To limit Centre's revenue deficit at such a level, it is necessary that the remaining part of Centre's Eighth Plan resources are</w:t>
      </w:r>
      <w:r w:rsidR="003719BA" w:rsidRPr="00AA6AF4">
        <w:t xml:space="preserve"> </w:t>
      </w:r>
      <w:r w:rsidR="001E0A99" w:rsidRPr="00AA6AF4">
        <w:t>raised by and invested in the public sector unless the Centre can raise net revenue resources at levels higher than what we have projected. The policy implications of this approach have been indicated in our concluding remarks in Chapter X.</w:t>
      </w:r>
    </w:p>
    <w:p w14:paraId="5F961867" w14:textId="62C618BF" w:rsidR="001E0A99" w:rsidRPr="00AA6AF4" w:rsidRDefault="001E0A99" w:rsidP="004E6F59">
      <w:pPr>
        <w:pStyle w:val="Heading3"/>
        <w:spacing w:after="0" w:line="180" w:lineRule="exact"/>
      </w:pPr>
      <w:r w:rsidRPr="00AA6AF4">
        <w:t xml:space="preserve">On the States' side, we have provided for a minimum Plan expenditure of Rs. 40,000 </w:t>
      </w:r>
      <w:proofErr w:type="gramStart"/>
      <w:r w:rsidRPr="00AA6AF4">
        <w:t>crore</w:t>
      </w:r>
      <w:proofErr w:type="gramEnd"/>
      <w:r w:rsidRPr="00AA6AF4">
        <w:t xml:space="preserve"> on the revenue account including committed liability. States' total Plan expenditure on revenue account will obviously be higher as we have left out of our assessment the revenue Plan expenditure on externally aided schemes, hill area programmes, etc. Further, States with surpluses available may spend more on their revenue account Plan. However, these types of additions to outlay in the revenue account need not add to revenue deficit as they are matched by grants or revenue surplus available. As we have fully provided grants for Centrally sponsored schemes in the Centre's forecast, on that item also there should be no additional revenue deficit. (States' share of Centrally sponsored schemes is included in the base year 1989-90 figure we have adopted for projecting the minimum Plan expenditure of Rs. 40,000 crore). As we have stated earlier, determining each State's Plan including its revenue component as well as the allocation of sectoral outlays is obviously the task of the Planning Commission and we do not enter into that area at all.</w:t>
      </w:r>
    </w:p>
    <w:p w14:paraId="1C331DE2" w14:textId="0DF3CA52" w:rsidR="001E0A99" w:rsidRPr="00AA6AF4" w:rsidRDefault="001E0A99" w:rsidP="004E6F59">
      <w:pPr>
        <w:pStyle w:val="Heading3"/>
        <w:spacing w:after="0" w:line="180" w:lineRule="exact"/>
      </w:pPr>
      <w:r w:rsidRPr="00AA6AF4">
        <w:t>Before we proceed to assess the final revenue account position of the States and the Centre, we would like to see whether the overall result of our recommendations is consistent with the objective of helping all States in general and the relatively more needy States in particular. Table 8 gives per capita transfers recommended by us to non-Special Category States (other than Goa) and the ratio of each State's per capita transfers to its per capita income.</w:t>
      </w:r>
    </w:p>
    <w:p w14:paraId="700E213E" w14:textId="122B620F" w:rsidR="001E0A99" w:rsidRPr="001E6408" w:rsidRDefault="001E0A99" w:rsidP="004E6F59">
      <w:pPr>
        <w:pStyle w:val="Heading4"/>
        <w:spacing w:after="0" w:line="180" w:lineRule="exact"/>
        <w:ind w:left="0"/>
        <w:rPr>
          <w:sz w:val="18"/>
          <w:szCs w:val="18"/>
        </w:rPr>
      </w:pPr>
      <w:r w:rsidRPr="001E6408">
        <w:rPr>
          <w:sz w:val="18"/>
          <w:szCs w:val="18"/>
        </w:rPr>
        <w:t>TABLE 8</w:t>
      </w:r>
      <w:r w:rsidR="004E4144" w:rsidRPr="001E6408">
        <w:rPr>
          <w:sz w:val="18"/>
          <w:szCs w:val="18"/>
        </w:rPr>
        <w:br/>
      </w:r>
      <w:r w:rsidRPr="001E6408">
        <w:rPr>
          <w:sz w:val="18"/>
          <w:szCs w:val="18"/>
        </w:rPr>
        <w:t xml:space="preserve">Per Capita Transfer </w:t>
      </w:r>
      <w:proofErr w:type="gramStart"/>
      <w:r w:rsidRPr="001E6408">
        <w:rPr>
          <w:sz w:val="18"/>
          <w:szCs w:val="18"/>
        </w:rPr>
        <w:t>And</w:t>
      </w:r>
      <w:proofErr w:type="gramEnd"/>
      <w:r w:rsidRPr="001E6408">
        <w:rPr>
          <w:sz w:val="18"/>
          <w:szCs w:val="18"/>
        </w:rPr>
        <w:t xml:space="preserve"> Its Ratio </w:t>
      </w:r>
      <w:proofErr w:type="gramStart"/>
      <w:r w:rsidRPr="001E6408">
        <w:rPr>
          <w:sz w:val="18"/>
          <w:szCs w:val="18"/>
        </w:rPr>
        <w:t>With</w:t>
      </w:r>
      <w:proofErr w:type="gramEnd"/>
      <w:r w:rsidRPr="001E6408">
        <w:rPr>
          <w:sz w:val="18"/>
          <w:szCs w:val="18"/>
        </w:rPr>
        <w:t xml:space="preserve"> Per Capita Income-Non-Special Category States: 1990-95</w:t>
      </w:r>
    </w:p>
    <w:tbl>
      <w:tblPr>
        <w:tblStyle w:val="TableGrid"/>
        <w:tblW w:w="8926" w:type="dxa"/>
        <w:jc w:val="center"/>
        <w:tblLook w:val="04A0" w:firstRow="1" w:lastRow="0" w:firstColumn="1" w:lastColumn="0" w:noHBand="0" w:noVBand="1"/>
      </w:tblPr>
      <w:tblGrid>
        <w:gridCol w:w="1696"/>
        <w:gridCol w:w="1276"/>
        <w:gridCol w:w="2268"/>
        <w:gridCol w:w="1843"/>
        <w:gridCol w:w="1843"/>
      </w:tblGrid>
      <w:tr w:rsidR="004E4144" w:rsidRPr="00EB7DB1" w14:paraId="228785D1" w14:textId="77777777" w:rsidTr="001E6408">
        <w:trPr>
          <w:trHeight w:val="828"/>
          <w:jc w:val="center"/>
        </w:trPr>
        <w:tc>
          <w:tcPr>
            <w:tcW w:w="1696" w:type="dxa"/>
            <w:vAlign w:val="center"/>
            <w:hideMark/>
          </w:tcPr>
          <w:p w14:paraId="691E45ED" w14:textId="77777777" w:rsidR="004E4144" w:rsidRPr="00EB7DB1" w:rsidRDefault="004E4144" w:rsidP="004E6F59">
            <w:pPr>
              <w:pStyle w:val="NoSpacing"/>
              <w:spacing w:line="180" w:lineRule="exact"/>
              <w:rPr>
                <w:rFonts w:ascii="Times New Roman" w:hAnsi="Times New Roman" w:cs="Times New Roman"/>
                <w:sz w:val="16"/>
                <w:szCs w:val="14"/>
              </w:rPr>
            </w:pPr>
          </w:p>
        </w:tc>
        <w:tc>
          <w:tcPr>
            <w:tcW w:w="1276" w:type="dxa"/>
            <w:vAlign w:val="center"/>
            <w:hideMark/>
          </w:tcPr>
          <w:p w14:paraId="39417A1F" w14:textId="77777777" w:rsidR="004E4144" w:rsidRPr="00EB7DB1" w:rsidRDefault="004E4144" w:rsidP="004E6F59">
            <w:pPr>
              <w:pStyle w:val="NoSpacing"/>
              <w:spacing w:line="180" w:lineRule="exact"/>
              <w:jc w:val="center"/>
              <w:rPr>
                <w:rFonts w:ascii="Times New Roman" w:hAnsi="Times New Roman" w:cs="Times New Roman"/>
                <w:b/>
                <w:bCs/>
                <w:sz w:val="16"/>
                <w:szCs w:val="14"/>
              </w:rPr>
            </w:pPr>
            <w:r w:rsidRPr="00EB7DB1">
              <w:rPr>
                <w:rFonts w:ascii="Times New Roman" w:hAnsi="Times New Roman" w:cs="Times New Roman"/>
                <w:b/>
                <w:bCs/>
                <w:sz w:val="16"/>
                <w:szCs w:val="14"/>
              </w:rPr>
              <w:t>Per Capita</w:t>
            </w:r>
          </w:p>
          <w:p w14:paraId="496D7F6C" w14:textId="1FF6C291" w:rsidR="004E4144" w:rsidRPr="00EB7DB1" w:rsidRDefault="004E4144" w:rsidP="004E6F59">
            <w:pPr>
              <w:pStyle w:val="NoSpacing"/>
              <w:spacing w:line="180" w:lineRule="exact"/>
              <w:jc w:val="center"/>
              <w:rPr>
                <w:rFonts w:ascii="Times New Roman" w:hAnsi="Times New Roman" w:cs="Times New Roman"/>
                <w:b/>
                <w:bCs/>
                <w:sz w:val="16"/>
                <w:szCs w:val="14"/>
              </w:rPr>
            </w:pPr>
            <w:r w:rsidRPr="00EB7DB1">
              <w:rPr>
                <w:rFonts w:ascii="Times New Roman" w:hAnsi="Times New Roman" w:cs="Times New Roman"/>
                <w:b/>
                <w:bCs/>
                <w:sz w:val="16"/>
                <w:szCs w:val="14"/>
              </w:rPr>
              <w:t>Based On 1981 Population</w:t>
            </w:r>
          </w:p>
        </w:tc>
        <w:tc>
          <w:tcPr>
            <w:tcW w:w="2268" w:type="dxa"/>
            <w:vAlign w:val="center"/>
            <w:hideMark/>
          </w:tcPr>
          <w:p w14:paraId="08BE2269" w14:textId="29C4835B" w:rsidR="004E4144" w:rsidRPr="00EB7DB1" w:rsidRDefault="001E6408" w:rsidP="004F48AC">
            <w:pPr>
              <w:pStyle w:val="NoSpacing"/>
              <w:spacing w:line="180" w:lineRule="exact"/>
              <w:rPr>
                <w:rFonts w:ascii="Times New Roman" w:hAnsi="Times New Roman" w:cs="Times New Roman"/>
                <w:b/>
                <w:bCs/>
                <w:sz w:val="16"/>
                <w:szCs w:val="14"/>
              </w:rPr>
            </w:pPr>
            <w:r>
              <w:rPr>
                <w:rFonts w:ascii="Times New Roman" w:hAnsi="Times New Roman" w:cs="Times New Roman"/>
                <w:b/>
                <w:bCs/>
                <w:sz w:val="16"/>
                <w:szCs w:val="14"/>
              </w:rPr>
              <w:t>*</w:t>
            </w:r>
            <w:r w:rsidR="004E4144" w:rsidRPr="00EB7DB1">
              <w:rPr>
                <w:rFonts w:ascii="Times New Roman" w:hAnsi="Times New Roman" w:cs="Times New Roman"/>
                <w:b/>
                <w:bCs/>
                <w:sz w:val="16"/>
                <w:szCs w:val="14"/>
              </w:rPr>
              <w:t>Transfers (Rs.)</w:t>
            </w:r>
            <w:r w:rsidR="004F48AC">
              <w:rPr>
                <w:rFonts w:ascii="Times New Roman" w:hAnsi="Times New Roman" w:cs="Times New Roman"/>
                <w:b/>
                <w:bCs/>
                <w:sz w:val="16"/>
                <w:szCs w:val="14"/>
              </w:rPr>
              <w:t xml:space="preserve"> </w:t>
            </w:r>
            <w:r w:rsidR="004E4144" w:rsidRPr="00EB7DB1">
              <w:rPr>
                <w:rFonts w:ascii="Times New Roman" w:hAnsi="Times New Roman" w:cs="Times New Roman"/>
                <w:b/>
                <w:bCs/>
                <w:sz w:val="16"/>
                <w:szCs w:val="14"/>
              </w:rPr>
              <w:t>Based On 1982-85 Average Population</w:t>
            </w:r>
          </w:p>
        </w:tc>
        <w:tc>
          <w:tcPr>
            <w:tcW w:w="1843" w:type="dxa"/>
            <w:vAlign w:val="center"/>
            <w:hideMark/>
          </w:tcPr>
          <w:p w14:paraId="35A0AFCC" w14:textId="77777777" w:rsidR="004E4144" w:rsidRPr="00EB7DB1" w:rsidRDefault="004E4144" w:rsidP="004E6F59">
            <w:pPr>
              <w:pStyle w:val="NoSpacing"/>
              <w:spacing w:line="180" w:lineRule="exact"/>
              <w:jc w:val="center"/>
              <w:rPr>
                <w:rFonts w:ascii="Times New Roman" w:hAnsi="Times New Roman" w:cs="Times New Roman"/>
                <w:b/>
                <w:bCs/>
                <w:sz w:val="16"/>
                <w:szCs w:val="14"/>
              </w:rPr>
            </w:pPr>
            <w:r w:rsidRPr="00EB7DB1">
              <w:rPr>
                <w:rFonts w:ascii="Times New Roman" w:hAnsi="Times New Roman" w:cs="Times New Roman"/>
                <w:b/>
                <w:bCs/>
                <w:sz w:val="16"/>
                <w:szCs w:val="14"/>
              </w:rPr>
              <w:t>Per Capita</w:t>
            </w:r>
          </w:p>
          <w:p w14:paraId="013AD743" w14:textId="708503AB" w:rsidR="004E4144" w:rsidRPr="00EB7DB1" w:rsidRDefault="004E4144" w:rsidP="004E6F59">
            <w:pPr>
              <w:pStyle w:val="NoSpacing"/>
              <w:spacing w:line="180" w:lineRule="exact"/>
              <w:jc w:val="center"/>
              <w:rPr>
                <w:rFonts w:ascii="Times New Roman" w:hAnsi="Times New Roman" w:cs="Times New Roman"/>
                <w:b/>
                <w:bCs/>
                <w:sz w:val="16"/>
                <w:szCs w:val="14"/>
              </w:rPr>
            </w:pPr>
            <w:r w:rsidRPr="00EB7DB1">
              <w:rPr>
                <w:rFonts w:ascii="Times New Roman" w:hAnsi="Times New Roman" w:cs="Times New Roman"/>
                <w:b/>
                <w:bCs/>
                <w:sz w:val="16"/>
                <w:szCs w:val="14"/>
              </w:rPr>
              <w:t>SDP (New Series) Average 1982-85 (Rs.)</w:t>
            </w:r>
          </w:p>
        </w:tc>
        <w:tc>
          <w:tcPr>
            <w:tcW w:w="1843" w:type="dxa"/>
            <w:vAlign w:val="center"/>
            <w:hideMark/>
          </w:tcPr>
          <w:p w14:paraId="3F04B100" w14:textId="77777777" w:rsidR="004E4144" w:rsidRPr="00EB7DB1" w:rsidRDefault="004E4144" w:rsidP="004E6F59">
            <w:pPr>
              <w:pStyle w:val="NoSpacing"/>
              <w:spacing w:line="180" w:lineRule="exact"/>
              <w:jc w:val="center"/>
              <w:rPr>
                <w:rFonts w:ascii="Times New Roman" w:hAnsi="Times New Roman" w:cs="Times New Roman"/>
                <w:b/>
                <w:bCs/>
                <w:sz w:val="16"/>
                <w:szCs w:val="14"/>
              </w:rPr>
            </w:pPr>
            <w:r w:rsidRPr="00EB7DB1">
              <w:rPr>
                <w:rFonts w:ascii="Times New Roman" w:hAnsi="Times New Roman" w:cs="Times New Roman"/>
                <w:b/>
                <w:bCs/>
                <w:sz w:val="16"/>
                <w:szCs w:val="14"/>
              </w:rPr>
              <w:t>Ratio Of Per</w:t>
            </w:r>
          </w:p>
          <w:p w14:paraId="4960D2E5" w14:textId="32073261" w:rsidR="004E4144" w:rsidRPr="00EB7DB1" w:rsidRDefault="004E4144" w:rsidP="004E6F59">
            <w:pPr>
              <w:pStyle w:val="NoSpacing"/>
              <w:spacing w:line="180" w:lineRule="exact"/>
              <w:jc w:val="center"/>
              <w:rPr>
                <w:rFonts w:ascii="Times New Roman" w:hAnsi="Times New Roman" w:cs="Times New Roman"/>
                <w:b/>
                <w:bCs/>
                <w:sz w:val="16"/>
                <w:szCs w:val="14"/>
              </w:rPr>
            </w:pPr>
            <w:r w:rsidRPr="00EB7DB1">
              <w:rPr>
                <w:rFonts w:ascii="Times New Roman" w:hAnsi="Times New Roman" w:cs="Times New Roman"/>
                <w:b/>
                <w:bCs/>
                <w:sz w:val="16"/>
                <w:szCs w:val="14"/>
              </w:rPr>
              <w:t xml:space="preserve">Capita Transfer </w:t>
            </w:r>
            <w:proofErr w:type="gramStart"/>
            <w:r w:rsidRPr="00EB7DB1">
              <w:rPr>
                <w:rFonts w:ascii="Times New Roman" w:hAnsi="Times New Roman" w:cs="Times New Roman"/>
                <w:b/>
                <w:bCs/>
                <w:sz w:val="16"/>
                <w:szCs w:val="14"/>
              </w:rPr>
              <w:t>And</w:t>
            </w:r>
            <w:proofErr w:type="gramEnd"/>
            <w:r w:rsidRPr="00EB7DB1">
              <w:rPr>
                <w:rFonts w:ascii="Times New Roman" w:hAnsi="Times New Roman" w:cs="Times New Roman"/>
                <w:b/>
                <w:bCs/>
                <w:sz w:val="16"/>
                <w:szCs w:val="14"/>
              </w:rPr>
              <w:t xml:space="preserve"> Per Capita Income @</w:t>
            </w:r>
          </w:p>
        </w:tc>
      </w:tr>
      <w:tr w:rsidR="001E0A99" w:rsidRPr="00EB7DB1" w14:paraId="6F0BF1F4" w14:textId="77777777" w:rsidTr="001E6408">
        <w:trPr>
          <w:trHeight w:val="20"/>
          <w:jc w:val="center"/>
        </w:trPr>
        <w:tc>
          <w:tcPr>
            <w:tcW w:w="1696" w:type="dxa"/>
            <w:vAlign w:val="center"/>
            <w:hideMark/>
          </w:tcPr>
          <w:p w14:paraId="76DDFF6E"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States</w:t>
            </w:r>
          </w:p>
        </w:tc>
        <w:tc>
          <w:tcPr>
            <w:tcW w:w="1276" w:type="dxa"/>
            <w:vAlign w:val="center"/>
            <w:hideMark/>
          </w:tcPr>
          <w:p w14:paraId="3D9D1BDE"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w:t>
            </w:r>
          </w:p>
        </w:tc>
        <w:tc>
          <w:tcPr>
            <w:tcW w:w="2268" w:type="dxa"/>
            <w:vAlign w:val="center"/>
            <w:hideMark/>
          </w:tcPr>
          <w:p w14:paraId="4F42E5B2"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w:t>
            </w:r>
          </w:p>
        </w:tc>
        <w:tc>
          <w:tcPr>
            <w:tcW w:w="1843" w:type="dxa"/>
            <w:vAlign w:val="center"/>
            <w:hideMark/>
          </w:tcPr>
          <w:p w14:paraId="5472B388"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(3)</w:t>
            </w:r>
          </w:p>
        </w:tc>
        <w:tc>
          <w:tcPr>
            <w:tcW w:w="1843" w:type="dxa"/>
            <w:vAlign w:val="center"/>
            <w:hideMark/>
          </w:tcPr>
          <w:p w14:paraId="4F5E486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(4)</w:t>
            </w:r>
          </w:p>
        </w:tc>
      </w:tr>
      <w:tr w:rsidR="001E0A99" w:rsidRPr="00EB7DB1" w14:paraId="3B4348A3" w14:textId="77777777" w:rsidTr="001E6408">
        <w:trPr>
          <w:trHeight w:val="20"/>
          <w:jc w:val="center"/>
        </w:trPr>
        <w:tc>
          <w:tcPr>
            <w:tcW w:w="1696" w:type="dxa"/>
            <w:vAlign w:val="center"/>
            <w:hideMark/>
          </w:tcPr>
          <w:p w14:paraId="384DFE60"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1. Andhra Pradesh</w:t>
            </w:r>
          </w:p>
        </w:tc>
        <w:tc>
          <w:tcPr>
            <w:tcW w:w="1276" w:type="dxa"/>
            <w:vAlign w:val="center"/>
            <w:hideMark/>
          </w:tcPr>
          <w:p w14:paraId="23246F89"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1292</w:t>
            </w:r>
          </w:p>
        </w:tc>
        <w:tc>
          <w:tcPr>
            <w:tcW w:w="2268" w:type="dxa"/>
            <w:vAlign w:val="center"/>
            <w:hideMark/>
          </w:tcPr>
          <w:p w14:paraId="47D79942"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1229</w:t>
            </w:r>
          </w:p>
        </w:tc>
        <w:tc>
          <w:tcPr>
            <w:tcW w:w="1843" w:type="dxa"/>
            <w:vAlign w:val="center"/>
            <w:hideMark/>
          </w:tcPr>
          <w:p w14:paraId="351F658C"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2053</w:t>
            </w:r>
          </w:p>
        </w:tc>
        <w:tc>
          <w:tcPr>
            <w:tcW w:w="1843" w:type="dxa"/>
            <w:vAlign w:val="center"/>
            <w:hideMark/>
          </w:tcPr>
          <w:p w14:paraId="10878D45"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0.5986</w:t>
            </w:r>
          </w:p>
        </w:tc>
      </w:tr>
      <w:tr w:rsidR="001E0A99" w:rsidRPr="00EB7DB1" w14:paraId="28FF9B53" w14:textId="77777777" w:rsidTr="001E6408">
        <w:trPr>
          <w:trHeight w:val="20"/>
          <w:jc w:val="center"/>
        </w:trPr>
        <w:tc>
          <w:tcPr>
            <w:tcW w:w="1696" w:type="dxa"/>
            <w:vAlign w:val="center"/>
            <w:hideMark/>
          </w:tcPr>
          <w:p w14:paraId="1F467460"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2. Bihar</w:t>
            </w:r>
          </w:p>
        </w:tc>
        <w:tc>
          <w:tcPr>
            <w:tcW w:w="1276" w:type="dxa"/>
            <w:vAlign w:val="center"/>
            <w:hideMark/>
          </w:tcPr>
          <w:p w14:paraId="6CEB5493"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1580</w:t>
            </w:r>
          </w:p>
        </w:tc>
        <w:tc>
          <w:tcPr>
            <w:tcW w:w="2268" w:type="dxa"/>
            <w:vAlign w:val="center"/>
            <w:hideMark/>
          </w:tcPr>
          <w:p w14:paraId="1B18731B"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1495</w:t>
            </w:r>
          </w:p>
        </w:tc>
        <w:tc>
          <w:tcPr>
            <w:tcW w:w="1843" w:type="dxa"/>
            <w:vAlign w:val="center"/>
            <w:hideMark/>
          </w:tcPr>
          <w:p w14:paraId="14049546"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1323</w:t>
            </w:r>
          </w:p>
        </w:tc>
        <w:tc>
          <w:tcPr>
            <w:tcW w:w="1843" w:type="dxa"/>
            <w:vAlign w:val="center"/>
            <w:hideMark/>
          </w:tcPr>
          <w:p w14:paraId="0EDF565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1.1300</w:t>
            </w:r>
          </w:p>
        </w:tc>
      </w:tr>
      <w:tr w:rsidR="001E0A99" w:rsidRPr="00EB7DB1" w14:paraId="6871A81A" w14:textId="77777777" w:rsidTr="001E6408">
        <w:trPr>
          <w:trHeight w:val="20"/>
          <w:jc w:val="center"/>
        </w:trPr>
        <w:tc>
          <w:tcPr>
            <w:tcW w:w="1696" w:type="dxa"/>
            <w:vAlign w:val="center"/>
            <w:hideMark/>
          </w:tcPr>
          <w:p w14:paraId="70F68B94"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3. Gujarat</w:t>
            </w:r>
          </w:p>
        </w:tc>
        <w:tc>
          <w:tcPr>
            <w:tcW w:w="1276" w:type="dxa"/>
            <w:vAlign w:val="center"/>
            <w:hideMark/>
          </w:tcPr>
          <w:p w14:paraId="3D559118"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996</w:t>
            </w:r>
          </w:p>
        </w:tc>
        <w:tc>
          <w:tcPr>
            <w:tcW w:w="2268" w:type="dxa"/>
            <w:vAlign w:val="center"/>
            <w:hideMark/>
          </w:tcPr>
          <w:p w14:paraId="16AC27F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943</w:t>
            </w:r>
          </w:p>
        </w:tc>
        <w:tc>
          <w:tcPr>
            <w:tcW w:w="1843" w:type="dxa"/>
            <w:vAlign w:val="center"/>
            <w:hideMark/>
          </w:tcPr>
          <w:p w14:paraId="65857422"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2919</w:t>
            </w:r>
          </w:p>
        </w:tc>
        <w:tc>
          <w:tcPr>
            <w:tcW w:w="1843" w:type="dxa"/>
            <w:vAlign w:val="center"/>
            <w:hideMark/>
          </w:tcPr>
          <w:p w14:paraId="4BC53AE8"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0.3231</w:t>
            </w:r>
          </w:p>
        </w:tc>
      </w:tr>
      <w:tr w:rsidR="001E0A99" w:rsidRPr="00EB7DB1" w14:paraId="07137AE6" w14:textId="77777777" w:rsidTr="001E6408">
        <w:trPr>
          <w:trHeight w:val="20"/>
          <w:jc w:val="center"/>
        </w:trPr>
        <w:tc>
          <w:tcPr>
            <w:tcW w:w="1696" w:type="dxa"/>
            <w:vAlign w:val="center"/>
            <w:hideMark/>
          </w:tcPr>
          <w:p w14:paraId="6B4AD4C5"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4. Haryana</w:t>
            </w:r>
          </w:p>
        </w:tc>
        <w:tc>
          <w:tcPr>
            <w:tcW w:w="1276" w:type="dxa"/>
            <w:vAlign w:val="center"/>
            <w:hideMark/>
          </w:tcPr>
          <w:p w14:paraId="30D175EA"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875</w:t>
            </w:r>
          </w:p>
        </w:tc>
        <w:tc>
          <w:tcPr>
            <w:tcW w:w="2268" w:type="dxa"/>
            <w:vAlign w:val="center"/>
            <w:hideMark/>
          </w:tcPr>
          <w:p w14:paraId="6EA55EA8"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814</w:t>
            </w:r>
          </w:p>
        </w:tc>
        <w:tc>
          <w:tcPr>
            <w:tcW w:w="1843" w:type="dxa"/>
            <w:vAlign w:val="center"/>
            <w:hideMark/>
          </w:tcPr>
          <w:p w14:paraId="592D4C4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3043</w:t>
            </w:r>
          </w:p>
        </w:tc>
        <w:tc>
          <w:tcPr>
            <w:tcW w:w="1843" w:type="dxa"/>
            <w:vAlign w:val="center"/>
            <w:hideMark/>
          </w:tcPr>
          <w:p w14:paraId="39D3A2A6"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0.2675</w:t>
            </w:r>
          </w:p>
        </w:tc>
      </w:tr>
      <w:tr w:rsidR="001E0A99" w:rsidRPr="00EB7DB1" w14:paraId="204905B3" w14:textId="77777777" w:rsidTr="001E6408">
        <w:trPr>
          <w:trHeight w:val="20"/>
          <w:jc w:val="center"/>
        </w:trPr>
        <w:tc>
          <w:tcPr>
            <w:tcW w:w="1696" w:type="dxa"/>
            <w:vAlign w:val="center"/>
            <w:hideMark/>
          </w:tcPr>
          <w:p w14:paraId="115E6CB3"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5. Karnataka</w:t>
            </w:r>
          </w:p>
        </w:tc>
        <w:tc>
          <w:tcPr>
            <w:tcW w:w="1276" w:type="dxa"/>
            <w:vAlign w:val="center"/>
            <w:hideMark/>
          </w:tcPr>
          <w:p w14:paraId="6E7CC9C5"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1067</w:t>
            </w:r>
          </w:p>
        </w:tc>
        <w:tc>
          <w:tcPr>
            <w:tcW w:w="2268" w:type="dxa"/>
            <w:vAlign w:val="center"/>
            <w:hideMark/>
          </w:tcPr>
          <w:p w14:paraId="445573FE"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1008</w:t>
            </w:r>
          </w:p>
        </w:tc>
        <w:tc>
          <w:tcPr>
            <w:tcW w:w="1843" w:type="dxa"/>
            <w:vAlign w:val="center"/>
            <w:hideMark/>
          </w:tcPr>
          <w:p w14:paraId="1D4FA0A1"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2461</w:t>
            </w:r>
          </w:p>
        </w:tc>
        <w:tc>
          <w:tcPr>
            <w:tcW w:w="1843" w:type="dxa"/>
            <w:vAlign w:val="center"/>
            <w:hideMark/>
          </w:tcPr>
          <w:p w14:paraId="12D213A9"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0.4096</w:t>
            </w:r>
          </w:p>
        </w:tc>
      </w:tr>
      <w:tr w:rsidR="001E0A99" w:rsidRPr="00EB7DB1" w14:paraId="40D92424" w14:textId="77777777" w:rsidTr="001E6408">
        <w:trPr>
          <w:trHeight w:val="20"/>
          <w:jc w:val="center"/>
        </w:trPr>
        <w:tc>
          <w:tcPr>
            <w:tcW w:w="1696" w:type="dxa"/>
            <w:vAlign w:val="center"/>
            <w:hideMark/>
          </w:tcPr>
          <w:p w14:paraId="2C6C6C8F"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6. Kerala</w:t>
            </w:r>
          </w:p>
        </w:tc>
        <w:tc>
          <w:tcPr>
            <w:tcW w:w="1276" w:type="dxa"/>
            <w:vAlign w:val="center"/>
            <w:hideMark/>
          </w:tcPr>
          <w:p w14:paraId="568D7D32"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1309</w:t>
            </w:r>
          </w:p>
        </w:tc>
        <w:tc>
          <w:tcPr>
            <w:tcW w:w="2268" w:type="dxa"/>
            <w:vAlign w:val="center"/>
            <w:hideMark/>
          </w:tcPr>
          <w:p w14:paraId="0D08B970"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1250</w:t>
            </w:r>
          </w:p>
        </w:tc>
        <w:tc>
          <w:tcPr>
            <w:tcW w:w="1843" w:type="dxa"/>
            <w:vAlign w:val="center"/>
            <w:hideMark/>
          </w:tcPr>
          <w:p w14:paraId="22BEC219"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2144</w:t>
            </w:r>
          </w:p>
        </w:tc>
        <w:tc>
          <w:tcPr>
            <w:tcW w:w="1843" w:type="dxa"/>
            <w:vAlign w:val="center"/>
            <w:hideMark/>
          </w:tcPr>
          <w:p w14:paraId="0B290CB5"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0.5830</w:t>
            </w:r>
          </w:p>
        </w:tc>
      </w:tr>
      <w:tr w:rsidR="001E0A99" w:rsidRPr="00EB7DB1" w14:paraId="5D107E25" w14:textId="77777777" w:rsidTr="001E6408">
        <w:trPr>
          <w:trHeight w:val="20"/>
          <w:jc w:val="center"/>
        </w:trPr>
        <w:tc>
          <w:tcPr>
            <w:tcW w:w="1696" w:type="dxa"/>
            <w:vAlign w:val="center"/>
            <w:hideMark/>
          </w:tcPr>
          <w:p w14:paraId="654C4F3E"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7. Madhya Pradesh</w:t>
            </w:r>
          </w:p>
        </w:tc>
        <w:tc>
          <w:tcPr>
            <w:tcW w:w="1276" w:type="dxa"/>
            <w:vAlign w:val="center"/>
            <w:hideMark/>
          </w:tcPr>
          <w:p w14:paraId="3B88F961"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1453</w:t>
            </w:r>
          </w:p>
        </w:tc>
        <w:tc>
          <w:tcPr>
            <w:tcW w:w="2268" w:type="dxa"/>
            <w:vAlign w:val="center"/>
            <w:hideMark/>
          </w:tcPr>
          <w:p w14:paraId="10D3E1BF"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1373</w:t>
            </w:r>
          </w:p>
        </w:tc>
        <w:tc>
          <w:tcPr>
            <w:tcW w:w="1843" w:type="dxa"/>
            <w:vAlign w:val="center"/>
            <w:hideMark/>
          </w:tcPr>
          <w:p w14:paraId="2B881842"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1860</w:t>
            </w:r>
          </w:p>
        </w:tc>
        <w:tc>
          <w:tcPr>
            <w:tcW w:w="1843" w:type="dxa"/>
            <w:vAlign w:val="center"/>
            <w:hideMark/>
          </w:tcPr>
          <w:p w14:paraId="1F17547A"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0.7382</w:t>
            </w:r>
          </w:p>
        </w:tc>
      </w:tr>
      <w:tr w:rsidR="001E0A99" w:rsidRPr="00EB7DB1" w14:paraId="6805938C" w14:textId="77777777" w:rsidTr="001E6408">
        <w:trPr>
          <w:trHeight w:val="20"/>
          <w:jc w:val="center"/>
        </w:trPr>
        <w:tc>
          <w:tcPr>
            <w:tcW w:w="1696" w:type="dxa"/>
            <w:vAlign w:val="center"/>
            <w:hideMark/>
          </w:tcPr>
          <w:p w14:paraId="5CC449A0"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8. Maharashtra</w:t>
            </w:r>
          </w:p>
        </w:tc>
        <w:tc>
          <w:tcPr>
            <w:tcW w:w="1276" w:type="dxa"/>
            <w:vAlign w:val="center"/>
            <w:hideMark/>
          </w:tcPr>
          <w:p w14:paraId="71496673"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961</w:t>
            </w:r>
          </w:p>
        </w:tc>
        <w:tc>
          <w:tcPr>
            <w:tcW w:w="2268" w:type="dxa"/>
            <w:vAlign w:val="center"/>
            <w:hideMark/>
          </w:tcPr>
          <w:p w14:paraId="27EC3620"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909</w:t>
            </w:r>
          </w:p>
        </w:tc>
        <w:tc>
          <w:tcPr>
            <w:tcW w:w="1843" w:type="dxa"/>
            <w:vAlign w:val="center"/>
            <w:hideMark/>
          </w:tcPr>
          <w:p w14:paraId="2BE53647"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3384</w:t>
            </w:r>
          </w:p>
        </w:tc>
        <w:tc>
          <w:tcPr>
            <w:tcW w:w="1843" w:type="dxa"/>
            <w:vAlign w:val="center"/>
            <w:hideMark/>
          </w:tcPr>
          <w:p w14:paraId="136014AB"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0.2686</w:t>
            </w:r>
          </w:p>
        </w:tc>
      </w:tr>
      <w:tr w:rsidR="001E0A99" w:rsidRPr="00EB7DB1" w14:paraId="743471C6" w14:textId="77777777" w:rsidTr="001E6408">
        <w:trPr>
          <w:trHeight w:val="20"/>
          <w:jc w:val="center"/>
        </w:trPr>
        <w:tc>
          <w:tcPr>
            <w:tcW w:w="1696" w:type="dxa"/>
            <w:vAlign w:val="center"/>
            <w:hideMark/>
          </w:tcPr>
          <w:p w14:paraId="38FA613D"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9. Orissa</w:t>
            </w:r>
          </w:p>
        </w:tc>
        <w:tc>
          <w:tcPr>
            <w:tcW w:w="1276" w:type="dxa"/>
            <w:vAlign w:val="center"/>
            <w:hideMark/>
          </w:tcPr>
          <w:p w14:paraId="787132E7"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2028</w:t>
            </w:r>
          </w:p>
        </w:tc>
        <w:tc>
          <w:tcPr>
            <w:tcW w:w="2268" w:type="dxa"/>
            <w:vAlign w:val="center"/>
            <w:hideMark/>
          </w:tcPr>
          <w:p w14:paraId="29BACEA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1936</w:t>
            </w:r>
          </w:p>
        </w:tc>
        <w:tc>
          <w:tcPr>
            <w:tcW w:w="1843" w:type="dxa"/>
            <w:vAlign w:val="center"/>
            <w:hideMark/>
          </w:tcPr>
          <w:p w14:paraId="7E9633D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1728</w:t>
            </w:r>
          </w:p>
        </w:tc>
        <w:tc>
          <w:tcPr>
            <w:tcW w:w="1843" w:type="dxa"/>
            <w:vAlign w:val="center"/>
            <w:hideMark/>
          </w:tcPr>
          <w:p w14:paraId="634F4C71"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1.1204</w:t>
            </w:r>
          </w:p>
        </w:tc>
      </w:tr>
      <w:tr w:rsidR="001E0A99" w:rsidRPr="00EB7DB1" w14:paraId="7090EBD0" w14:textId="77777777" w:rsidTr="001E6408">
        <w:trPr>
          <w:trHeight w:val="20"/>
          <w:jc w:val="center"/>
        </w:trPr>
        <w:tc>
          <w:tcPr>
            <w:tcW w:w="1696" w:type="dxa"/>
            <w:vAlign w:val="center"/>
            <w:hideMark/>
          </w:tcPr>
          <w:p w14:paraId="1AFDBA42"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10. Punjab</w:t>
            </w:r>
          </w:p>
        </w:tc>
        <w:tc>
          <w:tcPr>
            <w:tcW w:w="1276" w:type="dxa"/>
            <w:vAlign w:val="center"/>
            <w:hideMark/>
          </w:tcPr>
          <w:p w14:paraId="12DF3D3D"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935</w:t>
            </w:r>
          </w:p>
        </w:tc>
        <w:tc>
          <w:tcPr>
            <w:tcW w:w="2268" w:type="dxa"/>
            <w:vAlign w:val="center"/>
            <w:hideMark/>
          </w:tcPr>
          <w:p w14:paraId="193CF6AC"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886</w:t>
            </w:r>
          </w:p>
        </w:tc>
        <w:tc>
          <w:tcPr>
            <w:tcW w:w="1843" w:type="dxa"/>
            <w:vAlign w:val="center"/>
            <w:hideMark/>
          </w:tcPr>
          <w:p w14:paraId="52CFF016"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4013</w:t>
            </w:r>
          </w:p>
        </w:tc>
        <w:tc>
          <w:tcPr>
            <w:tcW w:w="1843" w:type="dxa"/>
            <w:vAlign w:val="center"/>
            <w:hideMark/>
          </w:tcPr>
          <w:p w14:paraId="0E3A6066"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0.2208</w:t>
            </w:r>
          </w:p>
        </w:tc>
      </w:tr>
      <w:tr w:rsidR="001E0A99" w:rsidRPr="00EB7DB1" w14:paraId="300ADC35" w14:textId="77777777" w:rsidTr="001E6408">
        <w:trPr>
          <w:trHeight w:val="20"/>
          <w:jc w:val="center"/>
        </w:trPr>
        <w:tc>
          <w:tcPr>
            <w:tcW w:w="1696" w:type="dxa"/>
            <w:vAlign w:val="center"/>
            <w:hideMark/>
          </w:tcPr>
          <w:p w14:paraId="02B384B3"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11. Rajasthan</w:t>
            </w:r>
          </w:p>
        </w:tc>
        <w:tc>
          <w:tcPr>
            <w:tcW w:w="1276" w:type="dxa"/>
            <w:vAlign w:val="center"/>
            <w:hideMark/>
          </w:tcPr>
          <w:p w14:paraId="3BF67D80"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1769</w:t>
            </w:r>
          </w:p>
        </w:tc>
        <w:tc>
          <w:tcPr>
            <w:tcW w:w="2268" w:type="dxa"/>
            <w:vAlign w:val="center"/>
            <w:hideMark/>
          </w:tcPr>
          <w:p w14:paraId="7A39735C"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1647</w:t>
            </w:r>
          </w:p>
        </w:tc>
        <w:tc>
          <w:tcPr>
            <w:tcW w:w="1843" w:type="dxa"/>
            <w:vAlign w:val="center"/>
            <w:hideMark/>
          </w:tcPr>
          <w:p w14:paraId="090B9BCB"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1820</w:t>
            </w:r>
          </w:p>
        </w:tc>
        <w:tc>
          <w:tcPr>
            <w:tcW w:w="1843" w:type="dxa"/>
            <w:vAlign w:val="center"/>
            <w:hideMark/>
          </w:tcPr>
          <w:p w14:paraId="1D646888"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0.9049</w:t>
            </w:r>
          </w:p>
        </w:tc>
      </w:tr>
      <w:tr w:rsidR="001E0A99" w:rsidRPr="00EB7DB1" w14:paraId="360978ED" w14:textId="77777777" w:rsidTr="001E6408">
        <w:trPr>
          <w:trHeight w:val="20"/>
          <w:jc w:val="center"/>
        </w:trPr>
        <w:tc>
          <w:tcPr>
            <w:tcW w:w="1696" w:type="dxa"/>
            <w:vAlign w:val="center"/>
            <w:hideMark/>
          </w:tcPr>
          <w:p w14:paraId="2BAEBCF0"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12. Tamil Nadu</w:t>
            </w:r>
          </w:p>
        </w:tc>
        <w:tc>
          <w:tcPr>
            <w:tcW w:w="1276" w:type="dxa"/>
            <w:vAlign w:val="center"/>
            <w:hideMark/>
          </w:tcPr>
          <w:p w14:paraId="69931B4D"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1250</w:t>
            </w:r>
          </w:p>
        </w:tc>
        <w:tc>
          <w:tcPr>
            <w:tcW w:w="2268" w:type="dxa"/>
            <w:vAlign w:val="center"/>
            <w:hideMark/>
          </w:tcPr>
          <w:p w14:paraId="4B8B4A30"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1198</w:t>
            </w:r>
          </w:p>
        </w:tc>
        <w:tc>
          <w:tcPr>
            <w:tcW w:w="1843" w:type="dxa"/>
            <w:vAlign w:val="center"/>
            <w:hideMark/>
          </w:tcPr>
          <w:p w14:paraId="39A9FEE3"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2142</w:t>
            </w:r>
          </w:p>
        </w:tc>
        <w:tc>
          <w:tcPr>
            <w:tcW w:w="1843" w:type="dxa"/>
            <w:vAlign w:val="center"/>
            <w:hideMark/>
          </w:tcPr>
          <w:p w14:paraId="49A41013"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0.5593</w:t>
            </w:r>
          </w:p>
        </w:tc>
      </w:tr>
      <w:tr w:rsidR="001E0A99" w:rsidRPr="00EB7DB1" w14:paraId="0612D892" w14:textId="77777777" w:rsidTr="001E6408">
        <w:trPr>
          <w:trHeight w:val="20"/>
          <w:jc w:val="center"/>
        </w:trPr>
        <w:tc>
          <w:tcPr>
            <w:tcW w:w="1696" w:type="dxa"/>
            <w:vAlign w:val="center"/>
            <w:hideMark/>
          </w:tcPr>
          <w:p w14:paraId="2470F5A4"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13. Uttar Pradesh</w:t>
            </w:r>
          </w:p>
        </w:tc>
        <w:tc>
          <w:tcPr>
            <w:tcW w:w="1276" w:type="dxa"/>
            <w:vAlign w:val="center"/>
            <w:hideMark/>
          </w:tcPr>
          <w:p w14:paraId="1C8C4A61"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1544</w:t>
            </w:r>
          </w:p>
        </w:tc>
        <w:tc>
          <w:tcPr>
            <w:tcW w:w="2268" w:type="dxa"/>
            <w:vAlign w:val="center"/>
            <w:hideMark/>
          </w:tcPr>
          <w:p w14:paraId="4D0E2EC0"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1461</w:t>
            </w:r>
          </w:p>
        </w:tc>
        <w:tc>
          <w:tcPr>
            <w:tcW w:w="1843" w:type="dxa"/>
            <w:vAlign w:val="center"/>
            <w:hideMark/>
          </w:tcPr>
          <w:p w14:paraId="3424487A"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1713</w:t>
            </w:r>
          </w:p>
        </w:tc>
        <w:tc>
          <w:tcPr>
            <w:tcW w:w="1843" w:type="dxa"/>
            <w:vAlign w:val="center"/>
            <w:hideMark/>
          </w:tcPr>
          <w:p w14:paraId="6EFD4A28"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0.8529</w:t>
            </w:r>
          </w:p>
        </w:tc>
      </w:tr>
      <w:tr w:rsidR="001E0A99" w:rsidRPr="00EB7DB1" w14:paraId="432CD979" w14:textId="77777777" w:rsidTr="001E6408">
        <w:trPr>
          <w:trHeight w:val="20"/>
          <w:jc w:val="center"/>
        </w:trPr>
        <w:tc>
          <w:tcPr>
            <w:tcW w:w="1696" w:type="dxa"/>
            <w:vAlign w:val="center"/>
            <w:hideMark/>
          </w:tcPr>
          <w:p w14:paraId="1C0B0C38" w14:textId="77777777" w:rsidR="001E0A99" w:rsidRPr="00EB7DB1" w:rsidRDefault="001E0A99" w:rsidP="004E6F59">
            <w:pPr>
              <w:pStyle w:val="NoSpacing"/>
              <w:spacing w:line="180" w:lineRule="exact"/>
              <w:rPr>
                <w:rFonts w:ascii="Times New Roman" w:hAnsi="Times New Roman" w:cs="Times New Roman"/>
                <w:sz w:val="16"/>
                <w:szCs w:val="14"/>
              </w:rPr>
            </w:pPr>
            <w:r w:rsidRPr="00EB7DB1">
              <w:rPr>
                <w:rFonts w:ascii="Times New Roman" w:hAnsi="Times New Roman" w:cs="Times New Roman"/>
                <w:sz w:val="16"/>
                <w:szCs w:val="14"/>
              </w:rPr>
              <w:t>14. West Bengal</w:t>
            </w:r>
          </w:p>
        </w:tc>
        <w:tc>
          <w:tcPr>
            <w:tcW w:w="1276" w:type="dxa"/>
            <w:vAlign w:val="center"/>
            <w:hideMark/>
          </w:tcPr>
          <w:p w14:paraId="6EE0762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1330</w:t>
            </w:r>
          </w:p>
        </w:tc>
        <w:tc>
          <w:tcPr>
            <w:tcW w:w="2268" w:type="dxa"/>
            <w:vAlign w:val="center"/>
            <w:hideMark/>
          </w:tcPr>
          <w:p w14:paraId="34212CF4"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1263</w:t>
            </w:r>
          </w:p>
        </w:tc>
        <w:tc>
          <w:tcPr>
            <w:tcW w:w="1843" w:type="dxa"/>
            <w:vAlign w:val="center"/>
            <w:hideMark/>
          </w:tcPr>
          <w:p w14:paraId="77C65970"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2230</w:t>
            </w:r>
          </w:p>
        </w:tc>
        <w:tc>
          <w:tcPr>
            <w:tcW w:w="1843" w:type="dxa"/>
            <w:vAlign w:val="center"/>
            <w:hideMark/>
          </w:tcPr>
          <w:p w14:paraId="0F6224DD" w14:textId="77777777" w:rsidR="001E0A99" w:rsidRPr="00EB7DB1" w:rsidRDefault="001E0A99" w:rsidP="004E6F59">
            <w:pPr>
              <w:pStyle w:val="NoSpacing"/>
              <w:spacing w:line="180" w:lineRule="exact"/>
              <w:jc w:val="center"/>
              <w:rPr>
                <w:rFonts w:ascii="Times New Roman" w:hAnsi="Times New Roman" w:cs="Times New Roman"/>
                <w:sz w:val="16"/>
                <w:szCs w:val="14"/>
              </w:rPr>
            </w:pPr>
            <w:r w:rsidRPr="00EB7DB1">
              <w:rPr>
                <w:rFonts w:ascii="Times New Roman" w:hAnsi="Times New Roman" w:cs="Times New Roman"/>
                <w:sz w:val="16"/>
                <w:szCs w:val="14"/>
              </w:rPr>
              <w:t>0.5664</w:t>
            </w:r>
          </w:p>
        </w:tc>
      </w:tr>
    </w:tbl>
    <w:p w14:paraId="2831CA2B" w14:textId="41F445D5" w:rsidR="001E6408" w:rsidRPr="004E6F59" w:rsidRDefault="001E0A99" w:rsidP="004E6F59">
      <w:pPr>
        <w:spacing w:after="0" w:line="180" w:lineRule="exact"/>
        <w:ind w:left="720"/>
        <w:rPr>
          <w:rFonts w:ascii="Times New Roman" w:hAnsi="Times New Roman" w:cs="Times New Roman"/>
          <w:i/>
          <w:iCs/>
          <w:sz w:val="16"/>
          <w:szCs w:val="16"/>
        </w:rPr>
      </w:pPr>
      <w:r w:rsidRPr="001E6408">
        <w:rPr>
          <w:rFonts w:ascii="Times New Roman" w:hAnsi="Times New Roman" w:cs="Times New Roman"/>
          <w:sz w:val="16"/>
          <w:szCs w:val="16"/>
        </w:rPr>
        <w:t>* Excluding grants for Relief Expenditure</w:t>
      </w:r>
      <w:r w:rsidRPr="001E6408">
        <w:rPr>
          <w:rFonts w:ascii="Times New Roman" w:hAnsi="Times New Roman" w:cs="Times New Roman"/>
          <w:sz w:val="16"/>
          <w:szCs w:val="16"/>
        </w:rPr>
        <w:br/>
        <w:t>@ Based on per capita transfers as in col. 2 and average of per capita income as in col. 3</w:t>
      </w:r>
      <w:r w:rsidRPr="001E6408">
        <w:rPr>
          <w:rFonts w:ascii="Times New Roman" w:hAnsi="Times New Roman" w:cs="Times New Roman"/>
          <w:i/>
          <w:iCs/>
          <w:sz w:val="16"/>
          <w:szCs w:val="16"/>
        </w:rPr>
        <w:t>.</w:t>
      </w:r>
    </w:p>
    <w:p w14:paraId="501713E9" w14:textId="3704E280" w:rsidR="001E0A99" w:rsidRPr="00AA6AF4" w:rsidRDefault="001E0A99" w:rsidP="004E6F59">
      <w:pPr>
        <w:pStyle w:val="Heading3"/>
        <w:spacing w:after="0" w:line="180" w:lineRule="exact"/>
      </w:pPr>
      <w:r w:rsidRPr="00AA6AF4">
        <w:t xml:space="preserve"> The per capita shares of transfers to Special Category States (and Goa) are indicated</w:t>
      </w:r>
      <w:r w:rsidRPr="00AA6AF4">
        <w:rPr>
          <w:b/>
          <w:bCs/>
        </w:rPr>
        <w:t xml:space="preserve"> in </w:t>
      </w:r>
      <w:r w:rsidRPr="00AA6AF4">
        <w:t>Table 9.</w:t>
      </w:r>
    </w:p>
    <w:p w14:paraId="477F0F40" w14:textId="28B692B4" w:rsidR="001E0A99" w:rsidRPr="001E6408" w:rsidRDefault="001E0A99" w:rsidP="004E6F59">
      <w:pPr>
        <w:pStyle w:val="Heading4"/>
        <w:spacing w:after="0" w:line="180" w:lineRule="exact"/>
        <w:ind w:left="0"/>
        <w:rPr>
          <w:sz w:val="18"/>
          <w:szCs w:val="18"/>
        </w:rPr>
      </w:pPr>
      <w:r w:rsidRPr="001E6408">
        <w:rPr>
          <w:sz w:val="18"/>
          <w:szCs w:val="18"/>
        </w:rPr>
        <w:t>TABLE 9</w:t>
      </w:r>
      <w:r w:rsidR="004E4144" w:rsidRPr="001E6408">
        <w:rPr>
          <w:sz w:val="18"/>
          <w:szCs w:val="18"/>
        </w:rPr>
        <w:br/>
      </w:r>
      <w:r w:rsidRPr="001E6408">
        <w:rPr>
          <w:sz w:val="18"/>
          <w:szCs w:val="18"/>
        </w:rPr>
        <w:t xml:space="preserve">Per Capita Transfers </w:t>
      </w:r>
      <w:r w:rsidR="001E6408" w:rsidRPr="001E6408">
        <w:rPr>
          <w:sz w:val="18"/>
          <w:szCs w:val="18"/>
        </w:rPr>
        <w:t>to</w:t>
      </w:r>
      <w:r w:rsidRPr="001E6408">
        <w:rPr>
          <w:sz w:val="18"/>
          <w:szCs w:val="18"/>
        </w:rPr>
        <w:t xml:space="preserve"> Special Category States </w:t>
      </w:r>
      <w:r w:rsidR="001E6408" w:rsidRPr="001E6408">
        <w:rPr>
          <w:sz w:val="18"/>
          <w:szCs w:val="18"/>
        </w:rPr>
        <w:t>and</w:t>
      </w:r>
      <w:r w:rsidRPr="001E6408">
        <w:rPr>
          <w:sz w:val="18"/>
          <w:szCs w:val="18"/>
        </w:rPr>
        <w:t xml:space="preserve"> Goa 1990-95</w:t>
      </w:r>
    </w:p>
    <w:p w14:paraId="2063AF28" w14:textId="658F5A10" w:rsidR="001E0A99" w:rsidRPr="00EE5540" w:rsidRDefault="001E0A99" w:rsidP="004E6F59">
      <w:pPr>
        <w:spacing w:after="0" w:line="180" w:lineRule="exact"/>
        <w:ind w:left="6480" w:firstLine="720"/>
        <w:jc w:val="center"/>
        <w:rPr>
          <w:rFonts w:ascii="Times New Roman" w:hAnsi="Times New Roman" w:cs="Times New Roman"/>
          <w:sz w:val="18"/>
          <w:szCs w:val="18"/>
        </w:rPr>
      </w:pPr>
      <w:r w:rsidRPr="00EE5540">
        <w:rPr>
          <w:rFonts w:ascii="Times New Roman" w:hAnsi="Times New Roman" w:cs="Times New Roman"/>
          <w:i/>
          <w:iCs/>
          <w:sz w:val="18"/>
          <w:szCs w:val="18"/>
        </w:rPr>
        <w:t>(Rupees)</w:t>
      </w:r>
    </w:p>
    <w:tbl>
      <w:tblPr>
        <w:tblStyle w:val="TableGrid"/>
        <w:tblW w:w="9067" w:type="dxa"/>
        <w:jc w:val="center"/>
        <w:tblLook w:val="04A0" w:firstRow="1" w:lastRow="0" w:firstColumn="1" w:lastColumn="0" w:noHBand="0" w:noVBand="1"/>
      </w:tblPr>
      <w:tblGrid>
        <w:gridCol w:w="3031"/>
        <w:gridCol w:w="2634"/>
        <w:gridCol w:w="3402"/>
      </w:tblGrid>
      <w:tr w:rsidR="003719BA" w:rsidRPr="00703C54" w14:paraId="3DFB6C03" w14:textId="77777777" w:rsidTr="001E6408">
        <w:trPr>
          <w:trHeight w:val="20"/>
          <w:jc w:val="center"/>
        </w:trPr>
        <w:tc>
          <w:tcPr>
            <w:tcW w:w="3031" w:type="dxa"/>
            <w:vAlign w:val="center"/>
            <w:hideMark/>
          </w:tcPr>
          <w:p w14:paraId="2B435F62" w14:textId="77777777" w:rsidR="003719BA" w:rsidRPr="00703C54" w:rsidRDefault="003719BA" w:rsidP="004E6F59">
            <w:pPr>
              <w:pStyle w:val="NoSpacing"/>
              <w:spacing w:line="180" w:lineRule="exact"/>
              <w:rPr>
                <w:rFonts w:ascii="Times New Roman" w:hAnsi="Times New Roman" w:cs="Times New Roman"/>
                <w:b/>
                <w:bCs/>
                <w:sz w:val="18"/>
                <w:szCs w:val="16"/>
              </w:rPr>
            </w:pPr>
          </w:p>
        </w:tc>
        <w:tc>
          <w:tcPr>
            <w:tcW w:w="6036" w:type="dxa"/>
            <w:gridSpan w:val="2"/>
            <w:vAlign w:val="center"/>
            <w:hideMark/>
          </w:tcPr>
          <w:p w14:paraId="1EE7CEF6" w14:textId="29DB92AC" w:rsidR="003719BA" w:rsidRPr="00703C54" w:rsidRDefault="003719BA"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Per Capita Transfers *</w:t>
            </w:r>
          </w:p>
        </w:tc>
      </w:tr>
      <w:tr w:rsidR="001E0A99" w:rsidRPr="00703C54" w14:paraId="3153F93F" w14:textId="77777777" w:rsidTr="001E6408">
        <w:trPr>
          <w:trHeight w:val="20"/>
          <w:jc w:val="center"/>
        </w:trPr>
        <w:tc>
          <w:tcPr>
            <w:tcW w:w="3031" w:type="dxa"/>
            <w:vAlign w:val="center"/>
            <w:hideMark/>
          </w:tcPr>
          <w:p w14:paraId="716B9537" w14:textId="77777777" w:rsidR="001E0A99" w:rsidRPr="00703C54" w:rsidRDefault="001E0A99" w:rsidP="004E6F59">
            <w:pPr>
              <w:pStyle w:val="NoSpacing"/>
              <w:spacing w:line="180" w:lineRule="exact"/>
              <w:rPr>
                <w:rFonts w:ascii="Times New Roman" w:hAnsi="Times New Roman" w:cs="Times New Roman"/>
                <w:b/>
                <w:bCs/>
                <w:sz w:val="18"/>
                <w:szCs w:val="16"/>
              </w:rPr>
            </w:pPr>
            <w:r w:rsidRPr="00703C54">
              <w:rPr>
                <w:rFonts w:ascii="Times New Roman" w:hAnsi="Times New Roman" w:cs="Times New Roman"/>
                <w:b/>
                <w:bCs/>
                <w:sz w:val="18"/>
                <w:szCs w:val="16"/>
              </w:rPr>
              <w:t>States</w:t>
            </w:r>
          </w:p>
        </w:tc>
        <w:tc>
          <w:tcPr>
            <w:tcW w:w="2634" w:type="dxa"/>
            <w:vAlign w:val="center"/>
            <w:hideMark/>
          </w:tcPr>
          <w:p w14:paraId="47484EEC" w14:textId="77777777" w:rsidR="001E0A99" w:rsidRPr="00703C54" w:rsidRDefault="001E0A99"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Based On 1981 Population</w:t>
            </w:r>
          </w:p>
        </w:tc>
        <w:tc>
          <w:tcPr>
            <w:tcW w:w="3402" w:type="dxa"/>
            <w:vAlign w:val="center"/>
            <w:hideMark/>
          </w:tcPr>
          <w:p w14:paraId="3C089BF6" w14:textId="77777777" w:rsidR="001E0A99" w:rsidRPr="00703C54" w:rsidRDefault="001E0A99"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Based On 1982-85 Average Population</w:t>
            </w:r>
          </w:p>
        </w:tc>
      </w:tr>
      <w:tr w:rsidR="001E0A99" w:rsidRPr="00703C54" w14:paraId="12DB2822" w14:textId="77777777" w:rsidTr="001E6408">
        <w:trPr>
          <w:trHeight w:val="20"/>
          <w:jc w:val="center"/>
        </w:trPr>
        <w:tc>
          <w:tcPr>
            <w:tcW w:w="3031" w:type="dxa"/>
            <w:vAlign w:val="center"/>
            <w:hideMark/>
          </w:tcPr>
          <w:p w14:paraId="7D8DA74C"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 Arunachal Pradesh</w:t>
            </w:r>
          </w:p>
        </w:tc>
        <w:tc>
          <w:tcPr>
            <w:tcW w:w="2634" w:type="dxa"/>
            <w:vAlign w:val="center"/>
            <w:hideMark/>
          </w:tcPr>
          <w:p w14:paraId="3E57FE67"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13091</w:t>
            </w:r>
          </w:p>
        </w:tc>
        <w:tc>
          <w:tcPr>
            <w:tcW w:w="3402" w:type="dxa"/>
            <w:vAlign w:val="center"/>
            <w:hideMark/>
          </w:tcPr>
          <w:p w14:paraId="50C78F8E"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12158</w:t>
            </w:r>
          </w:p>
        </w:tc>
      </w:tr>
      <w:tr w:rsidR="001E0A99" w:rsidRPr="00703C54" w14:paraId="75C518BB" w14:textId="77777777" w:rsidTr="001E6408">
        <w:trPr>
          <w:trHeight w:val="20"/>
          <w:jc w:val="center"/>
        </w:trPr>
        <w:tc>
          <w:tcPr>
            <w:tcW w:w="3031" w:type="dxa"/>
            <w:vAlign w:val="center"/>
            <w:hideMark/>
          </w:tcPr>
          <w:p w14:paraId="7C9F6941"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2. Assam</w:t>
            </w:r>
          </w:p>
        </w:tc>
        <w:tc>
          <w:tcPr>
            <w:tcW w:w="2634" w:type="dxa"/>
            <w:vAlign w:val="center"/>
            <w:hideMark/>
          </w:tcPr>
          <w:p w14:paraId="0A95D8B4"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1932</w:t>
            </w:r>
          </w:p>
        </w:tc>
        <w:tc>
          <w:tcPr>
            <w:tcW w:w="3402" w:type="dxa"/>
            <w:vAlign w:val="center"/>
            <w:hideMark/>
          </w:tcPr>
          <w:p w14:paraId="31A72F0F"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1815</w:t>
            </w:r>
          </w:p>
        </w:tc>
      </w:tr>
      <w:tr w:rsidR="001E0A99" w:rsidRPr="00703C54" w14:paraId="65AA13B1" w14:textId="77777777" w:rsidTr="001E6408">
        <w:trPr>
          <w:trHeight w:val="20"/>
          <w:jc w:val="center"/>
        </w:trPr>
        <w:tc>
          <w:tcPr>
            <w:tcW w:w="3031" w:type="dxa"/>
            <w:vAlign w:val="center"/>
            <w:hideMark/>
          </w:tcPr>
          <w:p w14:paraId="2552A650"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3. Goa</w:t>
            </w:r>
          </w:p>
        </w:tc>
        <w:tc>
          <w:tcPr>
            <w:tcW w:w="2634" w:type="dxa"/>
            <w:vAlign w:val="center"/>
            <w:hideMark/>
          </w:tcPr>
          <w:p w14:paraId="6EC2FF96"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5016</w:t>
            </w:r>
          </w:p>
        </w:tc>
        <w:tc>
          <w:tcPr>
            <w:tcW w:w="3402" w:type="dxa"/>
            <w:vAlign w:val="center"/>
            <w:hideMark/>
          </w:tcPr>
          <w:p w14:paraId="49D403FE"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4715</w:t>
            </w:r>
          </w:p>
        </w:tc>
      </w:tr>
      <w:tr w:rsidR="001E0A99" w:rsidRPr="00703C54" w14:paraId="5C8285E2" w14:textId="77777777" w:rsidTr="001E6408">
        <w:trPr>
          <w:trHeight w:val="20"/>
          <w:jc w:val="center"/>
        </w:trPr>
        <w:tc>
          <w:tcPr>
            <w:tcW w:w="3031" w:type="dxa"/>
            <w:vAlign w:val="center"/>
            <w:hideMark/>
          </w:tcPr>
          <w:p w14:paraId="48C26722"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4. Himachal Pradesh</w:t>
            </w:r>
          </w:p>
        </w:tc>
        <w:tc>
          <w:tcPr>
            <w:tcW w:w="2634" w:type="dxa"/>
            <w:vAlign w:val="center"/>
            <w:hideMark/>
          </w:tcPr>
          <w:p w14:paraId="64FB6A87"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4187</w:t>
            </w:r>
          </w:p>
        </w:tc>
        <w:tc>
          <w:tcPr>
            <w:tcW w:w="3402" w:type="dxa"/>
            <w:vAlign w:val="center"/>
            <w:hideMark/>
          </w:tcPr>
          <w:p w14:paraId="1C329B75"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3983</w:t>
            </w:r>
          </w:p>
        </w:tc>
      </w:tr>
      <w:tr w:rsidR="001E0A99" w:rsidRPr="00703C54" w14:paraId="4EF98D86" w14:textId="77777777" w:rsidTr="001E6408">
        <w:trPr>
          <w:trHeight w:val="20"/>
          <w:jc w:val="center"/>
        </w:trPr>
        <w:tc>
          <w:tcPr>
            <w:tcW w:w="3031" w:type="dxa"/>
            <w:vAlign w:val="center"/>
            <w:hideMark/>
          </w:tcPr>
          <w:p w14:paraId="165719A7"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5. Jammu And Kashmir</w:t>
            </w:r>
          </w:p>
        </w:tc>
        <w:tc>
          <w:tcPr>
            <w:tcW w:w="2634" w:type="dxa"/>
            <w:vAlign w:val="center"/>
            <w:hideMark/>
          </w:tcPr>
          <w:p w14:paraId="267FDA63"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5535</w:t>
            </w:r>
          </w:p>
        </w:tc>
        <w:tc>
          <w:tcPr>
            <w:tcW w:w="3402" w:type="dxa"/>
            <w:vAlign w:val="center"/>
            <w:hideMark/>
          </w:tcPr>
          <w:p w14:paraId="11E9BCB8"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5230</w:t>
            </w:r>
          </w:p>
        </w:tc>
      </w:tr>
      <w:tr w:rsidR="001E0A99" w:rsidRPr="00703C54" w14:paraId="7EFDEA06" w14:textId="77777777" w:rsidTr="001E6408">
        <w:trPr>
          <w:trHeight w:val="20"/>
          <w:jc w:val="center"/>
        </w:trPr>
        <w:tc>
          <w:tcPr>
            <w:tcW w:w="3031" w:type="dxa"/>
            <w:vAlign w:val="center"/>
            <w:hideMark/>
          </w:tcPr>
          <w:p w14:paraId="56B72DBD"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6. Manipur</w:t>
            </w:r>
          </w:p>
        </w:tc>
        <w:tc>
          <w:tcPr>
            <w:tcW w:w="2634" w:type="dxa"/>
            <w:vAlign w:val="center"/>
            <w:hideMark/>
          </w:tcPr>
          <w:p w14:paraId="4C628041"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7612</w:t>
            </w:r>
          </w:p>
        </w:tc>
        <w:tc>
          <w:tcPr>
            <w:tcW w:w="3402" w:type="dxa"/>
            <w:vAlign w:val="center"/>
            <w:hideMark/>
          </w:tcPr>
          <w:p w14:paraId="79DF1A39"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7125</w:t>
            </w:r>
          </w:p>
        </w:tc>
      </w:tr>
      <w:tr w:rsidR="001E0A99" w:rsidRPr="00703C54" w14:paraId="535320E6" w14:textId="77777777" w:rsidTr="001E6408">
        <w:trPr>
          <w:trHeight w:val="20"/>
          <w:jc w:val="center"/>
        </w:trPr>
        <w:tc>
          <w:tcPr>
            <w:tcW w:w="3031" w:type="dxa"/>
            <w:vAlign w:val="center"/>
            <w:hideMark/>
          </w:tcPr>
          <w:p w14:paraId="6E07E8FB"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7. Meghalaya</w:t>
            </w:r>
          </w:p>
        </w:tc>
        <w:tc>
          <w:tcPr>
            <w:tcW w:w="2634" w:type="dxa"/>
            <w:vAlign w:val="center"/>
            <w:hideMark/>
          </w:tcPr>
          <w:p w14:paraId="4081C850"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6096</w:t>
            </w:r>
          </w:p>
        </w:tc>
        <w:tc>
          <w:tcPr>
            <w:tcW w:w="3402" w:type="dxa"/>
            <w:vAlign w:val="center"/>
            <w:hideMark/>
          </w:tcPr>
          <w:p w14:paraId="4DEE8AE4" w14:textId="16428FAB"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56</w:t>
            </w:r>
            <w:r w:rsidR="003719BA" w:rsidRPr="00703C54">
              <w:rPr>
                <w:rFonts w:ascii="Times New Roman" w:hAnsi="Times New Roman" w:cs="Times New Roman"/>
                <w:sz w:val="18"/>
                <w:szCs w:val="16"/>
              </w:rPr>
              <w:t>6</w:t>
            </w:r>
            <w:r w:rsidRPr="00703C54">
              <w:rPr>
                <w:rFonts w:ascii="Times New Roman" w:hAnsi="Times New Roman" w:cs="Times New Roman"/>
                <w:sz w:val="18"/>
                <w:szCs w:val="16"/>
              </w:rPr>
              <w:t>7</w:t>
            </w:r>
          </w:p>
        </w:tc>
      </w:tr>
      <w:tr w:rsidR="001E0A99" w:rsidRPr="00703C54" w14:paraId="5044E5E4" w14:textId="77777777" w:rsidTr="001E6408">
        <w:trPr>
          <w:trHeight w:val="20"/>
          <w:jc w:val="center"/>
        </w:trPr>
        <w:tc>
          <w:tcPr>
            <w:tcW w:w="3031" w:type="dxa"/>
            <w:vAlign w:val="center"/>
            <w:hideMark/>
          </w:tcPr>
          <w:p w14:paraId="3721E9C0"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8. Mizoram</w:t>
            </w:r>
          </w:p>
        </w:tc>
        <w:tc>
          <w:tcPr>
            <w:tcW w:w="2634" w:type="dxa"/>
            <w:vAlign w:val="center"/>
            <w:hideMark/>
          </w:tcPr>
          <w:p w14:paraId="2B114E8E"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20592</w:t>
            </w:r>
          </w:p>
        </w:tc>
        <w:tc>
          <w:tcPr>
            <w:tcW w:w="3402" w:type="dxa"/>
            <w:vAlign w:val="center"/>
            <w:hideMark/>
          </w:tcPr>
          <w:p w14:paraId="51FF7554"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18519</w:t>
            </w:r>
          </w:p>
        </w:tc>
      </w:tr>
      <w:tr w:rsidR="001E0A99" w:rsidRPr="00703C54" w14:paraId="50783F89" w14:textId="77777777" w:rsidTr="001E6408">
        <w:trPr>
          <w:trHeight w:val="20"/>
          <w:jc w:val="center"/>
        </w:trPr>
        <w:tc>
          <w:tcPr>
            <w:tcW w:w="3031" w:type="dxa"/>
            <w:vAlign w:val="center"/>
            <w:hideMark/>
          </w:tcPr>
          <w:p w14:paraId="7E343584"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9. Nagaland</w:t>
            </w:r>
          </w:p>
        </w:tc>
        <w:tc>
          <w:tcPr>
            <w:tcW w:w="2634" w:type="dxa"/>
            <w:vAlign w:val="center"/>
            <w:hideMark/>
          </w:tcPr>
          <w:p w14:paraId="33F5F30D"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16007</w:t>
            </w:r>
          </w:p>
        </w:tc>
        <w:tc>
          <w:tcPr>
            <w:tcW w:w="3402" w:type="dxa"/>
            <w:vAlign w:val="center"/>
            <w:hideMark/>
          </w:tcPr>
          <w:p w14:paraId="7D7A1B5A"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14368</w:t>
            </w:r>
          </w:p>
        </w:tc>
      </w:tr>
      <w:tr w:rsidR="001E0A99" w:rsidRPr="00703C54" w14:paraId="79C19FFD" w14:textId="77777777" w:rsidTr="001E6408">
        <w:trPr>
          <w:trHeight w:val="20"/>
          <w:jc w:val="center"/>
        </w:trPr>
        <w:tc>
          <w:tcPr>
            <w:tcW w:w="3031" w:type="dxa"/>
            <w:vAlign w:val="center"/>
            <w:hideMark/>
          </w:tcPr>
          <w:p w14:paraId="302A3DB7"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10. Sikkim</w:t>
            </w:r>
          </w:p>
        </w:tc>
        <w:tc>
          <w:tcPr>
            <w:tcW w:w="2634" w:type="dxa"/>
            <w:vAlign w:val="center"/>
            <w:hideMark/>
          </w:tcPr>
          <w:p w14:paraId="5F8E723D"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7624</w:t>
            </w:r>
          </w:p>
        </w:tc>
        <w:tc>
          <w:tcPr>
            <w:tcW w:w="3402" w:type="dxa"/>
            <w:vAlign w:val="center"/>
            <w:hideMark/>
          </w:tcPr>
          <w:p w14:paraId="76C1896A"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6894</w:t>
            </w:r>
          </w:p>
        </w:tc>
      </w:tr>
      <w:tr w:rsidR="001E0A99" w:rsidRPr="00703C54" w14:paraId="1738372C" w14:textId="77777777" w:rsidTr="001E6408">
        <w:trPr>
          <w:trHeight w:val="20"/>
          <w:jc w:val="center"/>
        </w:trPr>
        <w:tc>
          <w:tcPr>
            <w:tcW w:w="3031" w:type="dxa"/>
            <w:vAlign w:val="center"/>
            <w:hideMark/>
          </w:tcPr>
          <w:p w14:paraId="1423B01D" w14:textId="77777777" w:rsidR="001E0A99" w:rsidRPr="00703C54" w:rsidRDefault="001E0A99"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11. Tripura</w:t>
            </w:r>
          </w:p>
        </w:tc>
        <w:tc>
          <w:tcPr>
            <w:tcW w:w="2634" w:type="dxa"/>
            <w:vAlign w:val="center"/>
            <w:hideMark/>
          </w:tcPr>
          <w:p w14:paraId="3827FE1C"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6930</w:t>
            </w:r>
          </w:p>
        </w:tc>
        <w:tc>
          <w:tcPr>
            <w:tcW w:w="3402" w:type="dxa"/>
            <w:vAlign w:val="center"/>
            <w:hideMark/>
          </w:tcPr>
          <w:p w14:paraId="714C4D23" w14:textId="77777777" w:rsidR="001E0A99" w:rsidRPr="00703C54" w:rsidRDefault="001E0A99"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6476</w:t>
            </w:r>
          </w:p>
        </w:tc>
      </w:tr>
    </w:tbl>
    <w:p w14:paraId="62A94569" w14:textId="77777777" w:rsidR="001E0A99" w:rsidRPr="004E4144" w:rsidRDefault="001E0A99" w:rsidP="004F48AC">
      <w:pPr>
        <w:spacing w:after="0" w:line="180" w:lineRule="exact"/>
        <w:ind w:left="273"/>
        <w:jc w:val="both"/>
        <w:rPr>
          <w:rFonts w:ascii="Times New Roman" w:hAnsi="Times New Roman" w:cs="Times New Roman"/>
          <w:sz w:val="18"/>
          <w:szCs w:val="18"/>
        </w:rPr>
      </w:pPr>
      <w:r w:rsidRPr="004E4144">
        <w:rPr>
          <w:rFonts w:ascii="Times New Roman" w:hAnsi="Times New Roman" w:cs="Times New Roman"/>
          <w:sz w:val="18"/>
          <w:szCs w:val="18"/>
        </w:rPr>
        <w:t>* </w:t>
      </w:r>
      <w:r w:rsidRPr="001A43EB">
        <w:rPr>
          <w:rFonts w:ascii="Times New Roman" w:hAnsi="Times New Roman" w:cs="Times New Roman"/>
          <w:sz w:val="14"/>
          <w:szCs w:val="14"/>
        </w:rPr>
        <w:t>Excluding grants for Relief Expenditure</w:t>
      </w:r>
    </w:p>
    <w:p w14:paraId="12D8B05A" w14:textId="50F27ECF" w:rsidR="001E0A99" w:rsidRPr="00AA6AF4" w:rsidRDefault="001E0A99" w:rsidP="004E6F59">
      <w:pPr>
        <w:pStyle w:val="Heading3"/>
        <w:spacing w:after="0" w:line="180" w:lineRule="exact"/>
      </w:pPr>
      <w:r w:rsidRPr="00AA6AF4">
        <w:t>As we have mentioned in different contexts earlier in this report, our terms of reference require that we keep in view the objective of not only balancing the receipts and expenditure of both the States and the Centre, but also generating surpluses for capital investment. No specific time-frame for achieving this objective has been indicated in the terms of reference. We have tried to determine how much improvement can be reasonably achieved during the five-year period 1990-95. While our assessment does assume an effort on the part of both the States and the Centre, we have taken care to make reasonable adjustments in our normative assessment so that the revenue account position we have assessed is not too difficult to reach.</w:t>
      </w:r>
    </w:p>
    <w:p w14:paraId="1DF2330E" w14:textId="40EFF1B7" w:rsidR="001E0A99" w:rsidRPr="00AA6AF4" w:rsidRDefault="001E0A99" w:rsidP="004E6F59">
      <w:pPr>
        <w:pStyle w:val="Heading3"/>
        <w:spacing w:after="0" w:line="180" w:lineRule="exact"/>
      </w:pPr>
      <w:r w:rsidRPr="00AA6AF4">
        <w:t xml:space="preserve"> The following table gives the net result of the overall revenue account position of States as assessed by us.</w:t>
      </w:r>
    </w:p>
    <w:p w14:paraId="6F9D6910" w14:textId="77777777" w:rsidR="001E0A99" w:rsidRPr="004E4144" w:rsidRDefault="001E0A99" w:rsidP="004E6F59">
      <w:pPr>
        <w:spacing w:after="0" w:line="180" w:lineRule="exact"/>
        <w:ind w:left="709"/>
        <w:rPr>
          <w:rFonts w:ascii="Times New Roman" w:hAnsi="Times New Roman" w:cs="Times New Roman"/>
          <w:sz w:val="18"/>
          <w:szCs w:val="18"/>
        </w:rPr>
      </w:pPr>
      <w:r w:rsidRPr="004E4144">
        <w:rPr>
          <w:rFonts w:ascii="Times New Roman" w:hAnsi="Times New Roman" w:cs="Times New Roman"/>
          <w:sz w:val="18"/>
          <w:szCs w:val="18"/>
        </w:rPr>
        <w:t>Each State's position is given in Annexure VII.4.</w:t>
      </w:r>
    </w:p>
    <w:p w14:paraId="0CA45D5D" w14:textId="77777777" w:rsidR="004E4144" w:rsidRPr="001E6408" w:rsidRDefault="001E0A99" w:rsidP="004E6F59">
      <w:pPr>
        <w:spacing w:after="0" w:line="180" w:lineRule="exact"/>
        <w:jc w:val="center"/>
        <w:rPr>
          <w:rFonts w:ascii="Times New Roman" w:hAnsi="Times New Roman" w:cs="Times New Roman"/>
          <w:sz w:val="22"/>
          <w:szCs w:val="22"/>
        </w:rPr>
      </w:pPr>
      <w:r w:rsidRPr="001E6408">
        <w:rPr>
          <w:rStyle w:val="Heading4Char"/>
          <w:sz w:val="18"/>
          <w:szCs w:val="18"/>
        </w:rPr>
        <w:lastRenderedPageBreak/>
        <w:t>TABLE 10</w:t>
      </w:r>
      <w:r w:rsidR="004E4144" w:rsidRPr="001E6408">
        <w:rPr>
          <w:rStyle w:val="Heading4Char"/>
          <w:sz w:val="18"/>
          <w:szCs w:val="18"/>
        </w:rPr>
        <w:br/>
      </w:r>
      <w:r w:rsidRPr="001E6408">
        <w:rPr>
          <w:rStyle w:val="Heading4Char"/>
          <w:sz w:val="18"/>
          <w:szCs w:val="18"/>
        </w:rPr>
        <w:t>Overall Revenue Account Position of States: 1990-95</w:t>
      </w:r>
    </w:p>
    <w:p w14:paraId="04D487DF" w14:textId="4036AD55" w:rsidR="001E0A99" w:rsidRPr="00AA6AF4" w:rsidRDefault="001E0A99" w:rsidP="004E6F59">
      <w:pPr>
        <w:spacing w:after="0" w:line="180" w:lineRule="exact"/>
        <w:jc w:val="right"/>
        <w:rPr>
          <w:rFonts w:ascii="Times New Roman" w:hAnsi="Times New Roman" w:cs="Times New Roman"/>
          <w:b/>
          <w:bCs/>
          <w:szCs w:val="24"/>
        </w:rPr>
      </w:pPr>
      <w:r w:rsidRPr="004E4144">
        <w:rPr>
          <w:rFonts w:ascii="Times New Roman" w:hAnsi="Times New Roman" w:cs="Times New Roman"/>
          <w:i/>
          <w:iCs/>
          <w:sz w:val="18"/>
          <w:szCs w:val="18"/>
        </w:rPr>
        <w:t>(Rs. Crore)</w:t>
      </w:r>
    </w:p>
    <w:tbl>
      <w:tblPr>
        <w:tblStyle w:val="TableGrid"/>
        <w:tblW w:w="9918" w:type="dxa"/>
        <w:jc w:val="center"/>
        <w:tblLook w:val="04A0" w:firstRow="1" w:lastRow="0" w:firstColumn="1" w:lastColumn="0" w:noHBand="0" w:noVBand="1"/>
      </w:tblPr>
      <w:tblGrid>
        <w:gridCol w:w="3248"/>
        <w:gridCol w:w="992"/>
        <w:gridCol w:w="1134"/>
        <w:gridCol w:w="1134"/>
        <w:gridCol w:w="1023"/>
        <w:gridCol w:w="1023"/>
        <w:gridCol w:w="1364"/>
      </w:tblGrid>
      <w:tr w:rsidR="009B1083" w:rsidRPr="004E4144" w14:paraId="69378B5A" w14:textId="77777777" w:rsidTr="001E6408">
        <w:trPr>
          <w:trHeight w:val="24"/>
          <w:jc w:val="center"/>
        </w:trPr>
        <w:tc>
          <w:tcPr>
            <w:tcW w:w="3248" w:type="dxa"/>
            <w:vAlign w:val="center"/>
            <w:hideMark/>
          </w:tcPr>
          <w:p w14:paraId="23797C71" w14:textId="77777777" w:rsidR="001E0A99" w:rsidRPr="004E4144" w:rsidRDefault="001E0A99" w:rsidP="004E6F59">
            <w:pPr>
              <w:pStyle w:val="NoSpacing"/>
              <w:spacing w:line="180" w:lineRule="exact"/>
              <w:rPr>
                <w:rFonts w:ascii="Times New Roman" w:hAnsi="Times New Roman" w:cs="Times New Roman"/>
                <w:sz w:val="18"/>
                <w:szCs w:val="18"/>
              </w:rPr>
            </w:pPr>
          </w:p>
          <w:p w14:paraId="686D2FA1" w14:textId="77777777" w:rsidR="009B1083" w:rsidRPr="004E4144" w:rsidRDefault="009B1083" w:rsidP="004E6F59">
            <w:pPr>
              <w:pStyle w:val="NoSpacing"/>
              <w:spacing w:line="180" w:lineRule="exact"/>
              <w:rPr>
                <w:rFonts w:ascii="Times New Roman" w:hAnsi="Times New Roman" w:cs="Times New Roman"/>
                <w:sz w:val="18"/>
                <w:szCs w:val="18"/>
              </w:rPr>
            </w:pPr>
          </w:p>
        </w:tc>
        <w:tc>
          <w:tcPr>
            <w:tcW w:w="992" w:type="dxa"/>
            <w:vAlign w:val="center"/>
            <w:hideMark/>
          </w:tcPr>
          <w:p w14:paraId="3FC9277A" w14:textId="77777777" w:rsidR="001E0A99" w:rsidRPr="004E4144" w:rsidRDefault="001E0A99" w:rsidP="004E6F59">
            <w:pPr>
              <w:pStyle w:val="NoSpacing"/>
              <w:spacing w:line="180" w:lineRule="exact"/>
              <w:jc w:val="center"/>
              <w:rPr>
                <w:rFonts w:ascii="Times New Roman" w:hAnsi="Times New Roman" w:cs="Times New Roman"/>
                <w:b/>
                <w:bCs/>
                <w:sz w:val="18"/>
                <w:szCs w:val="18"/>
              </w:rPr>
            </w:pPr>
            <w:r w:rsidRPr="004E4144">
              <w:rPr>
                <w:rFonts w:ascii="Times New Roman" w:hAnsi="Times New Roman" w:cs="Times New Roman"/>
                <w:b/>
                <w:bCs/>
                <w:sz w:val="18"/>
                <w:szCs w:val="18"/>
              </w:rPr>
              <w:t>1990-91</w:t>
            </w:r>
          </w:p>
        </w:tc>
        <w:tc>
          <w:tcPr>
            <w:tcW w:w="1134" w:type="dxa"/>
            <w:vAlign w:val="center"/>
            <w:hideMark/>
          </w:tcPr>
          <w:p w14:paraId="22FC540E" w14:textId="77777777" w:rsidR="001E0A99" w:rsidRPr="004E4144" w:rsidRDefault="001E0A99" w:rsidP="004E6F59">
            <w:pPr>
              <w:pStyle w:val="NoSpacing"/>
              <w:spacing w:line="180" w:lineRule="exact"/>
              <w:jc w:val="center"/>
              <w:rPr>
                <w:rFonts w:ascii="Times New Roman" w:hAnsi="Times New Roman" w:cs="Times New Roman"/>
                <w:b/>
                <w:bCs/>
                <w:sz w:val="18"/>
                <w:szCs w:val="18"/>
              </w:rPr>
            </w:pPr>
            <w:r w:rsidRPr="004E4144">
              <w:rPr>
                <w:rFonts w:ascii="Times New Roman" w:hAnsi="Times New Roman" w:cs="Times New Roman"/>
                <w:b/>
                <w:bCs/>
                <w:sz w:val="18"/>
                <w:szCs w:val="18"/>
              </w:rPr>
              <w:t>1991-92</w:t>
            </w:r>
          </w:p>
        </w:tc>
        <w:tc>
          <w:tcPr>
            <w:tcW w:w="1134" w:type="dxa"/>
            <w:vAlign w:val="center"/>
            <w:hideMark/>
          </w:tcPr>
          <w:p w14:paraId="453163AB" w14:textId="77777777" w:rsidR="001E0A99" w:rsidRPr="004E4144" w:rsidRDefault="001E0A99" w:rsidP="004E6F59">
            <w:pPr>
              <w:pStyle w:val="NoSpacing"/>
              <w:spacing w:line="180" w:lineRule="exact"/>
              <w:jc w:val="center"/>
              <w:rPr>
                <w:rFonts w:ascii="Times New Roman" w:hAnsi="Times New Roman" w:cs="Times New Roman"/>
                <w:b/>
                <w:bCs/>
                <w:sz w:val="18"/>
                <w:szCs w:val="18"/>
              </w:rPr>
            </w:pPr>
            <w:r w:rsidRPr="004E4144">
              <w:rPr>
                <w:rFonts w:ascii="Times New Roman" w:hAnsi="Times New Roman" w:cs="Times New Roman"/>
                <w:b/>
                <w:bCs/>
                <w:sz w:val="18"/>
                <w:szCs w:val="18"/>
              </w:rPr>
              <w:t>1992-93</w:t>
            </w:r>
          </w:p>
        </w:tc>
        <w:tc>
          <w:tcPr>
            <w:tcW w:w="1023" w:type="dxa"/>
            <w:vAlign w:val="center"/>
            <w:hideMark/>
          </w:tcPr>
          <w:p w14:paraId="12C97502" w14:textId="77777777" w:rsidR="001E0A99" w:rsidRPr="004E4144" w:rsidRDefault="001E0A99" w:rsidP="004E6F59">
            <w:pPr>
              <w:pStyle w:val="NoSpacing"/>
              <w:spacing w:line="180" w:lineRule="exact"/>
              <w:jc w:val="center"/>
              <w:rPr>
                <w:rFonts w:ascii="Times New Roman" w:hAnsi="Times New Roman" w:cs="Times New Roman"/>
                <w:b/>
                <w:bCs/>
                <w:sz w:val="18"/>
                <w:szCs w:val="18"/>
              </w:rPr>
            </w:pPr>
            <w:r w:rsidRPr="004E4144">
              <w:rPr>
                <w:rFonts w:ascii="Times New Roman" w:hAnsi="Times New Roman" w:cs="Times New Roman"/>
                <w:b/>
                <w:bCs/>
                <w:sz w:val="18"/>
                <w:szCs w:val="18"/>
              </w:rPr>
              <w:t>1993-94</w:t>
            </w:r>
          </w:p>
        </w:tc>
        <w:tc>
          <w:tcPr>
            <w:tcW w:w="1023" w:type="dxa"/>
            <w:vAlign w:val="center"/>
            <w:hideMark/>
          </w:tcPr>
          <w:p w14:paraId="559A980E" w14:textId="77777777" w:rsidR="001E0A99" w:rsidRPr="004E4144" w:rsidRDefault="001E0A99" w:rsidP="004E6F59">
            <w:pPr>
              <w:pStyle w:val="NoSpacing"/>
              <w:spacing w:line="180" w:lineRule="exact"/>
              <w:jc w:val="center"/>
              <w:rPr>
                <w:rFonts w:ascii="Times New Roman" w:hAnsi="Times New Roman" w:cs="Times New Roman"/>
                <w:b/>
                <w:bCs/>
                <w:sz w:val="18"/>
                <w:szCs w:val="18"/>
              </w:rPr>
            </w:pPr>
            <w:r w:rsidRPr="004E4144">
              <w:rPr>
                <w:rFonts w:ascii="Times New Roman" w:hAnsi="Times New Roman" w:cs="Times New Roman"/>
                <w:b/>
                <w:bCs/>
                <w:sz w:val="18"/>
                <w:szCs w:val="18"/>
              </w:rPr>
              <w:t>1994-95</w:t>
            </w:r>
          </w:p>
        </w:tc>
        <w:tc>
          <w:tcPr>
            <w:tcW w:w="1364" w:type="dxa"/>
            <w:vAlign w:val="center"/>
            <w:hideMark/>
          </w:tcPr>
          <w:p w14:paraId="26C8321F" w14:textId="77777777" w:rsidR="001E0A99" w:rsidRPr="004E4144" w:rsidRDefault="001E0A99" w:rsidP="004E6F59">
            <w:pPr>
              <w:pStyle w:val="NoSpacing"/>
              <w:spacing w:line="180" w:lineRule="exact"/>
              <w:jc w:val="center"/>
              <w:rPr>
                <w:rFonts w:ascii="Times New Roman" w:hAnsi="Times New Roman" w:cs="Times New Roman"/>
                <w:b/>
                <w:bCs/>
                <w:sz w:val="18"/>
                <w:szCs w:val="18"/>
              </w:rPr>
            </w:pPr>
            <w:r w:rsidRPr="004E4144">
              <w:rPr>
                <w:rFonts w:ascii="Times New Roman" w:hAnsi="Times New Roman" w:cs="Times New Roman"/>
                <w:b/>
                <w:bCs/>
                <w:sz w:val="18"/>
                <w:szCs w:val="18"/>
              </w:rPr>
              <w:t>Total 1990-95</w:t>
            </w:r>
          </w:p>
        </w:tc>
      </w:tr>
      <w:tr w:rsidR="009B1083" w:rsidRPr="004E4144" w14:paraId="38B3B00A" w14:textId="77777777" w:rsidTr="001E6408">
        <w:trPr>
          <w:trHeight w:val="24"/>
          <w:jc w:val="center"/>
        </w:trPr>
        <w:tc>
          <w:tcPr>
            <w:tcW w:w="3248" w:type="dxa"/>
            <w:vAlign w:val="center"/>
            <w:hideMark/>
          </w:tcPr>
          <w:p w14:paraId="12E9EF76"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I. Non-Special Category States</w:t>
            </w:r>
          </w:p>
        </w:tc>
        <w:tc>
          <w:tcPr>
            <w:tcW w:w="992" w:type="dxa"/>
            <w:vAlign w:val="center"/>
            <w:hideMark/>
          </w:tcPr>
          <w:p w14:paraId="33944DB2"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5B75789C"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44A0D56F"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6928D837"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5EFBAE77"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364" w:type="dxa"/>
            <w:vAlign w:val="center"/>
            <w:hideMark/>
          </w:tcPr>
          <w:p w14:paraId="7860E810"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r>
      <w:tr w:rsidR="009B1083" w:rsidRPr="004E4144" w14:paraId="552E2B54" w14:textId="77777777" w:rsidTr="001E6408">
        <w:trPr>
          <w:trHeight w:val="24"/>
          <w:jc w:val="center"/>
        </w:trPr>
        <w:tc>
          <w:tcPr>
            <w:tcW w:w="3248" w:type="dxa"/>
            <w:vAlign w:val="center"/>
            <w:hideMark/>
          </w:tcPr>
          <w:p w14:paraId="60753DC8"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a) Gross Surplus</w:t>
            </w:r>
          </w:p>
        </w:tc>
        <w:tc>
          <w:tcPr>
            <w:tcW w:w="992" w:type="dxa"/>
            <w:vAlign w:val="center"/>
            <w:hideMark/>
          </w:tcPr>
          <w:p w14:paraId="0CD00CCF"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2107.59</w:t>
            </w:r>
          </w:p>
        </w:tc>
        <w:tc>
          <w:tcPr>
            <w:tcW w:w="1134" w:type="dxa"/>
            <w:vAlign w:val="center"/>
            <w:hideMark/>
          </w:tcPr>
          <w:p w14:paraId="24880AF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3089.09</w:t>
            </w:r>
          </w:p>
        </w:tc>
        <w:tc>
          <w:tcPr>
            <w:tcW w:w="1134" w:type="dxa"/>
            <w:vAlign w:val="center"/>
            <w:hideMark/>
          </w:tcPr>
          <w:p w14:paraId="1218535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4268.72</w:t>
            </w:r>
          </w:p>
        </w:tc>
        <w:tc>
          <w:tcPr>
            <w:tcW w:w="1023" w:type="dxa"/>
            <w:vAlign w:val="center"/>
            <w:hideMark/>
          </w:tcPr>
          <w:p w14:paraId="4A41BBEB"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5978.71</w:t>
            </w:r>
          </w:p>
        </w:tc>
        <w:tc>
          <w:tcPr>
            <w:tcW w:w="1023" w:type="dxa"/>
            <w:vAlign w:val="center"/>
            <w:hideMark/>
          </w:tcPr>
          <w:p w14:paraId="56D3109E"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7807.76</w:t>
            </w:r>
          </w:p>
        </w:tc>
        <w:tc>
          <w:tcPr>
            <w:tcW w:w="1364" w:type="dxa"/>
            <w:vAlign w:val="center"/>
            <w:hideMark/>
          </w:tcPr>
          <w:p w14:paraId="7A316CF7"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23251.87</w:t>
            </w:r>
          </w:p>
        </w:tc>
      </w:tr>
      <w:tr w:rsidR="009B1083" w:rsidRPr="004E4144" w14:paraId="055EC755" w14:textId="77777777" w:rsidTr="001E6408">
        <w:trPr>
          <w:trHeight w:val="24"/>
          <w:jc w:val="center"/>
        </w:trPr>
        <w:tc>
          <w:tcPr>
            <w:tcW w:w="3248" w:type="dxa"/>
            <w:vAlign w:val="center"/>
            <w:hideMark/>
          </w:tcPr>
          <w:p w14:paraId="6741090F"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b) Gross Deficit</w:t>
            </w:r>
          </w:p>
        </w:tc>
        <w:tc>
          <w:tcPr>
            <w:tcW w:w="992" w:type="dxa"/>
            <w:vAlign w:val="center"/>
            <w:hideMark/>
          </w:tcPr>
          <w:p w14:paraId="45057298"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2424.18</w:t>
            </w:r>
          </w:p>
        </w:tc>
        <w:tc>
          <w:tcPr>
            <w:tcW w:w="1134" w:type="dxa"/>
            <w:vAlign w:val="center"/>
            <w:hideMark/>
          </w:tcPr>
          <w:p w14:paraId="7D0A0B81"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1742.41</w:t>
            </w:r>
          </w:p>
        </w:tc>
        <w:tc>
          <w:tcPr>
            <w:tcW w:w="1134" w:type="dxa"/>
            <w:vAlign w:val="center"/>
            <w:hideMark/>
          </w:tcPr>
          <w:p w14:paraId="05684F59"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1095.53</w:t>
            </w:r>
          </w:p>
        </w:tc>
        <w:tc>
          <w:tcPr>
            <w:tcW w:w="1023" w:type="dxa"/>
            <w:vAlign w:val="center"/>
            <w:hideMark/>
          </w:tcPr>
          <w:p w14:paraId="0DB8CA0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690.81</w:t>
            </w:r>
          </w:p>
        </w:tc>
        <w:tc>
          <w:tcPr>
            <w:tcW w:w="1023" w:type="dxa"/>
            <w:vAlign w:val="center"/>
            <w:hideMark/>
          </w:tcPr>
          <w:p w14:paraId="052A0C1D"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593.07</w:t>
            </w:r>
          </w:p>
        </w:tc>
        <w:tc>
          <w:tcPr>
            <w:tcW w:w="1364" w:type="dxa"/>
            <w:vAlign w:val="center"/>
            <w:hideMark/>
          </w:tcPr>
          <w:p w14:paraId="391F6B29"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6546.00</w:t>
            </w:r>
          </w:p>
        </w:tc>
      </w:tr>
      <w:tr w:rsidR="009B1083" w:rsidRPr="004E4144" w14:paraId="3FA6721C" w14:textId="77777777" w:rsidTr="001E6408">
        <w:trPr>
          <w:trHeight w:val="24"/>
          <w:jc w:val="center"/>
        </w:trPr>
        <w:tc>
          <w:tcPr>
            <w:tcW w:w="3248" w:type="dxa"/>
            <w:vAlign w:val="center"/>
            <w:hideMark/>
          </w:tcPr>
          <w:p w14:paraId="2011CDA4"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c) Net Surplus (+) or Deficit (-)</w:t>
            </w:r>
          </w:p>
        </w:tc>
        <w:tc>
          <w:tcPr>
            <w:tcW w:w="992" w:type="dxa"/>
            <w:vAlign w:val="center"/>
            <w:hideMark/>
          </w:tcPr>
          <w:p w14:paraId="660AC42C"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(-)316.59</w:t>
            </w:r>
          </w:p>
        </w:tc>
        <w:tc>
          <w:tcPr>
            <w:tcW w:w="1134" w:type="dxa"/>
            <w:vAlign w:val="center"/>
            <w:hideMark/>
          </w:tcPr>
          <w:p w14:paraId="4614C3A5"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(+)1346.68</w:t>
            </w:r>
          </w:p>
        </w:tc>
        <w:tc>
          <w:tcPr>
            <w:tcW w:w="1134" w:type="dxa"/>
            <w:vAlign w:val="center"/>
            <w:hideMark/>
          </w:tcPr>
          <w:p w14:paraId="25A26DDB"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(+)3173.19</w:t>
            </w:r>
          </w:p>
        </w:tc>
        <w:tc>
          <w:tcPr>
            <w:tcW w:w="1023" w:type="dxa"/>
            <w:vAlign w:val="center"/>
            <w:hideMark/>
          </w:tcPr>
          <w:p w14:paraId="635D270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(+)5287.90</w:t>
            </w:r>
          </w:p>
        </w:tc>
        <w:tc>
          <w:tcPr>
            <w:tcW w:w="1023" w:type="dxa"/>
            <w:vAlign w:val="center"/>
            <w:hideMark/>
          </w:tcPr>
          <w:p w14:paraId="07AF016D"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(+)7214.69</w:t>
            </w:r>
          </w:p>
        </w:tc>
        <w:tc>
          <w:tcPr>
            <w:tcW w:w="1364" w:type="dxa"/>
            <w:vAlign w:val="center"/>
            <w:hideMark/>
          </w:tcPr>
          <w:p w14:paraId="5FD669D1"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(+)16705.87</w:t>
            </w:r>
          </w:p>
        </w:tc>
      </w:tr>
      <w:tr w:rsidR="009B1083" w:rsidRPr="004E4144" w14:paraId="6C4A32CE" w14:textId="77777777" w:rsidTr="001E6408">
        <w:trPr>
          <w:trHeight w:val="24"/>
          <w:jc w:val="center"/>
        </w:trPr>
        <w:tc>
          <w:tcPr>
            <w:tcW w:w="3248" w:type="dxa"/>
            <w:vAlign w:val="center"/>
            <w:hideMark/>
          </w:tcPr>
          <w:p w14:paraId="6F746753"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II. Three Special Category States (Assam, Jammu and Kashmir, Goa)</w:t>
            </w:r>
          </w:p>
        </w:tc>
        <w:tc>
          <w:tcPr>
            <w:tcW w:w="992" w:type="dxa"/>
            <w:vAlign w:val="center"/>
            <w:hideMark/>
          </w:tcPr>
          <w:p w14:paraId="5FACBC1C"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00B959D0"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61B739A8"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4D2BCB9B"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242EDBFE"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364" w:type="dxa"/>
            <w:vAlign w:val="center"/>
            <w:hideMark/>
          </w:tcPr>
          <w:p w14:paraId="34BA5B38"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r>
      <w:tr w:rsidR="009B1083" w:rsidRPr="004E4144" w14:paraId="7F0FC16F" w14:textId="77777777" w:rsidTr="001E6408">
        <w:trPr>
          <w:trHeight w:val="24"/>
          <w:jc w:val="center"/>
        </w:trPr>
        <w:tc>
          <w:tcPr>
            <w:tcW w:w="3248" w:type="dxa"/>
            <w:vAlign w:val="center"/>
            <w:hideMark/>
          </w:tcPr>
          <w:p w14:paraId="758C0344"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a) Gross Surplus</w:t>
            </w:r>
          </w:p>
        </w:tc>
        <w:tc>
          <w:tcPr>
            <w:tcW w:w="992" w:type="dxa"/>
            <w:vAlign w:val="center"/>
            <w:hideMark/>
          </w:tcPr>
          <w:p w14:paraId="1766406A"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0.74</w:t>
            </w:r>
          </w:p>
        </w:tc>
        <w:tc>
          <w:tcPr>
            <w:tcW w:w="1134" w:type="dxa"/>
            <w:vAlign w:val="center"/>
            <w:hideMark/>
          </w:tcPr>
          <w:p w14:paraId="48C1EDF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1.78</w:t>
            </w:r>
          </w:p>
        </w:tc>
        <w:tc>
          <w:tcPr>
            <w:tcW w:w="1134" w:type="dxa"/>
            <w:vAlign w:val="center"/>
            <w:hideMark/>
          </w:tcPr>
          <w:p w14:paraId="52D2CCD5"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2.99</w:t>
            </w:r>
          </w:p>
        </w:tc>
        <w:tc>
          <w:tcPr>
            <w:tcW w:w="1023" w:type="dxa"/>
            <w:vAlign w:val="center"/>
            <w:hideMark/>
          </w:tcPr>
          <w:p w14:paraId="7C08F8BE"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7.00</w:t>
            </w:r>
          </w:p>
        </w:tc>
        <w:tc>
          <w:tcPr>
            <w:tcW w:w="1023" w:type="dxa"/>
            <w:vAlign w:val="center"/>
            <w:hideMark/>
          </w:tcPr>
          <w:p w14:paraId="7F3B8A67"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16.10</w:t>
            </w:r>
          </w:p>
        </w:tc>
        <w:tc>
          <w:tcPr>
            <w:tcW w:w="1364" w:type="dxa"/>
            <w:vAlign w:val="center"/>
            <w:hideMark/>
          </w:tcPr>
          <w:p w14:paraId="2A399B83"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28.61</w:t>
            </w:r>
          </w:p>
        </w:tc>
      </w:tr>
      <w:tr w:rsidR="009B1083" w:rsidRPr="004E4144" w14:paraId="66A1AC2C" w14:textId="77777777" w:rsidTr="001E6408">
        <w:trPr>
          <w:trHeight w:val="24"/>
          <w:jc w:val="center"/>
        </w:trPr>
        <w:tc>
          <w:tcPr>
            <w:tcW w:w="3248" w:type="dxa"/>
            <w:vAlign w:val="center"/>
            <w:hideMark/>
          </w:tcPr>
          <w:p w14:paraId="1A7CBF28"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b) Gross Deficit</w:t>
            </w:r>
          </w:p>
        </w:tc>
        <w:tc>
          <w:tcPr>
            <w:tcW w:w="992" w:type="dxa"/>
            <w:vAlign w:val="center"/>
            <w:hideMark/>
          </w:tcPr>
          <w:p w14:paraId="3EBE1083"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92.80</w:t>
            </w:r>
          </w:p>
        </w:tc>
        <w:tc>
          <w:tcPr>
            <w:tcW w:w="1134" w:type="dxa"/>
            <w:vAlign w:val="center"/>
            <w:hideMark/>
          </w:tcPr>
          <w:p w14:paraId="1C8C4729"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82.92</w:t>
            </w:r>
          </w:p>
        </w:tc>
        <w:tc>
          <w:tcPr>
            <w:tcW w:w="1134" w:type="dxa"/>
            <w:vAlign w:val="center"/>
            <w:hideMark/>
          </w:tcPr>
          <w:p w14:paraId="4C92B401"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68.54</w:t>
            </w:r>
          </w:p>
        </w:tc>
        <w:tc>
          <w:tcPr>
            <w:tcW w:w="1023" w:type="dxa"/>
            <w:vAlign w:val="center"/>
            <w:hideMark/>
          </w:tcPr>
          <w:p w14:paraId="33106879"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55.28</w:t>
            </w:r>
          </w:p>
        </w:tc>
        <w:tc>
          <w:tcPr>
            <w:tcW w:w="1023" w:type="dxa"/>
            <w:vAlign w:val="center"/>
            <w:hideMark/>
          </w:tcPr>
          <w:p w14:paraId="1784C932"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40.33</w:t>
            </w:r>
          </w:p>
        </w:tc>
        <w:tc>
          <w:tcPr>
            <w:tcW w:w="1364" w:type="dxa"/>
            <w:vAlign w:val="center"/>
            <w:hideMark/>
          </w:tcPr>
          <w:p w14:paraId="5C273178"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339.87</w:t>
            </w:r>
          </w:p>
        </w:tc>
      </w:tr>
      <w:tr w:rsidR="009B1083" w:rsidRPr="004E4144" w14:paraId="238625D3" w14:textId="77777777" w:rsidTr="001E6408">
        <w:trPr>
          <w:trHeight w:val="24"/>
          <w:jc w:val="center"/>
        </w:trPr>
        <w:tc>
          <w:tcPr>
            <w:tcW w:w="3248" w:type="dxa"/>
            <w:vAlign w:val="center"/>
            <w:hideMark/>
          </w:tcPr>
          <w:p w14:paraId="6356FD2F"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c) Net Surplus (+) or Deficit (-)</w:t>
            </w:r>
          </w:p>
        </w:tc>
        <w:tc>
          <w:tcPr>
            <w:tcW w:w="992" w:type="dxa"/>
            <w:vAlign w:val="center"/>
            <w:hideMark/>
          </w:tcPr>
          <w:p w14:paraId="1B3BCED1"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(-)92.06</w:t>
            </w:r>
          </w:p>
        </w:tc>
        <w:tc>
          <w:tcPr>
            <w:tcW w:w="1134" w:type="dxa"/>
            <w:vAlign w:val="center"/>
            <w:hideMark/>
          </w:tcPr>
          <w:p w14:paraId="6079DA2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(-)81.14</w:t>
            </w:r>
          </w:p>
        </w:tc>
        <w:tc>
          <w:tcPr>
            <w:tcW w:w="1134" w:type="dxa"/>
            <w:vAlign w:val="center"/>
            <w:hideMark/>
          </w:tcPr>
          <w:p w14:paraId="3DB1F24A"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(-)65.55</w:t>
            </w:r>
          </w:p>
        </w:tc>
        <w:tc>
          <w:tcPr>
            <w:tcW w:w="1023" w:type="dxa"/>
            <w:vAlign w:val="center"/>
            <w:hideMark/>
          </w:tcPr>
          <w:p w14:paraId="6EA8D39A"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(-)48.28</w:t>
            </w:r>
          </w:p>
        </w:tc>
        <w:tc>
          <w:tcPr>
            <w:tcW w:w="1023" w:type="dxa"/>
            <w:vAlign w:val="center"/>
            <w:hideMark/>
          </w:tcPr>
          <w:p w14:paraId="5DCAA92A"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(-)24.23</w:t>
            </w:r>
          </w:p>
        </w:tc>
        <w:tc>
          <w:tcPr>
            <w:tcW w:w="1364" w:type="dxa"/>
            <w:vAlign w:val="center"/>
            <w:hideMark/>
          </w:tcPr>
          <w:p w14:paraId="42C89197"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(-)311.26</w:t>
            </w:r>
          </w:p>
        </w:tc>
      </w:tr>
      <w:tr w:rsidR="009B1083" w:rsidRPr="004E4144" w14:paraId="5EFDE450" w14:textId="77777777" w:rsidTr="001E6408">
        <w:trPr>
          <w:trHeight w:val="24"/>
          <w:jc w:val="center"/>
        </w:trPr>
        <w:tc>
          <w:tcPr>
            <w:tcW w:w="3248" w:type="dxa"/>
            <w:vAlign w:val="center"/>
            <w:hideMark/>
          </w:tcPr>
          <w:p w14:paraId="6C65CC91"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III. Other Special Category States</w:t>
            </w:r>
          </w:p>
        </w:tc>
        <w:tc>
          <w:tcPr>
            <w:tcW w:w="992" w:type="dxa"/>
            <w:vAlign w:val="center"/>
            <w:hideMark/>
          </w:tcPr>
          <w:p w14:paraId="1865CA5E"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14113D03"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745E4CCA"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60B4E422"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16A0C4D8"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364" w:type="dxa"/>
            <w:vAlign w:val="center"/>
            <w:hideMark/>
          </w:tcPr>
          <w:p w14:paraId="30AC59CD"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r>
      <w:tr w:rsidR="009B1083" w:rsidRPr="004E4144" w14:paraId="3682E5D8" w14:textId="77777777" w:rsidTr="001E6408">
        <w:trPr>
          <w:trHeight w:val="24"/>
          <w:jc w:val="center"/>
        </w:trPr>
        <w:tc>
          <w:tcPr>
            <w:tcW w:w="3248" w:type="dxa"/>
            <w:vAlign w:val="center"/>
            <w:hideMark/>
          </w:tcPr>
          <w:p w14:paraId="4D2CBEE8"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a) Gross Surplus</w:t>
            </w:r>
          </w:p>
        </w:tc>
        <w:tc>
          <w:tcPr>
            <w:tcW w:w="992" w:type="dxa"/>
            <w:vAlign w:val="center"/>
            <w:hideMark/>
          </w:tcPr>
          <w:p w14:paraId="48A4AF0F"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427.87</w:t>
            </w:r>
          </w:p>
        </w:tc>
        <w:tc>
          <w:tcPr>
            <w:tcW w:w="1134" w:type="dxa"/>
            <w:vAlign w:val="center"/>
            <w:hideMark/>
          </w:tcPr>
          <w:p w14:paraId="70DCB80D"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539.80</w:t>
            </w:r>
          </w:p>
        </w:tc>
        <w:tc>
          <w:tcPr>
            <w:tcW w:w="1134" w:type="dxa"/>
            <w:vAlign w:val="center"/>
            <w:hideMark/>
          </w:tcPr>
          <w:p w14:paraId="5E8DB04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671.87</w:t>
            </w:r>
          </w:p>
        </w:tc>
        <w:tc>
          <w:tcPr>
            <w:tcW w:w="1023" w:type="dxa"/>
            <w:vAlign w:val="center"/>
            <w:hideMark/>
          </w:tcPr>
          <w:p w14:paraId="7CAF65E2"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827.34</w:t>
            </w:r>
          </w:p>
        </w:tc>
        <w:tc>
          <w:tcPr>
            <w:tcW w:w="1023" w:type="dxa"/>
            <w:vAlign w:val="center"/>
            <w:hideMark/>
          </w:tcPr>
          <w:p w14:paraId="6FE478BF"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1009.93</w:t>
            </w:r>
          </w:p>
        </w:tc>
        <w:tc>
          <w:tcPr>
            <w:tcW w:w="1364" w:type="dxa"/>
            <w:vAlign w:val="center"/>
            <w:hideMark/>
          </w:tcPr>
          <w:p w14:paraId="2AF93C1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3476.81</w:t>
            </w:r>
          </w:p>
        </w:tc>
      </w:tr>
      <w:tr w:rsidR="009B1083" w:rsidRPr="004E4144" w14:paraId="59BA43EE" w14:textId="77777777" w:rsidTr="001E6408">
        <w:trPr>
          <w:trHeight w:val="24"/>
          <w:jc w:val="center"/>
        </w:trPr>
        <w:tc>
          <w:tcPr>
            <w:tcW w:w="3248" w:type="dxa"/>
            <w:vAlign w:val="center"/>
            <w:hideMark/>
          </w:tcPr>
          <w:p w14:paraId="56B85EBE"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b) Gross Deficit</w:t>
            </w:r>
          </w:p>
        </w:tc>
        <w:tc>
          <w:tcPr>
            <w:tcW w:w="992" w:type="dxa"/>
            <w:vAlign w:val="center"/>
            <w:hideMark/>
          </w:tcPr>
          <w:p w14:paraId="7A177F9A"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w:t>
            </w:r>
          </w:p>
        </w:tc>
        <w:tc>
          <w:tcPr>
            <w:tcW w:w="1134" w:type="dxa"/>
            <w:vAlign w:val="center"/>
            <w:hideMark/>
          </w:tcPr>
          <w:p w14:paraId="72873C51"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w:t>
            </w:r>
          </w:p>
        </w:tc>
        <w:tc>
          <w:tcPr>
            <w:tcW w:w="1134" w:type="dxa"/>
            <w:vAlign w:val="center"/>
            <w:hideMark/>
          </w:tcPr>
          <w:p w14:paraId="4921D58E"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w:t>
            </w:r>
          </w:p>
        </w:tc>
        <w:tc>
          <w:tcPr>
            <w:tcW w:w="1023" w:type="dxa"/>
            <w:vAlign w:val="center"/>
            <w:hideMark/>
          </w:tcPr>
          <w:p w14:paraId="320A723E"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w:t>
            </w:r>
          </w:p>
        </w:tc>
        <w:tc>
          <w:tcPr>
            <w:tcW w:w="1023" w:type="dxa"/>
            <w:vAlign w:val="center"/>
            <w:hideMark/>
          </w:tcPr>
          <w:p w14:paraId="55CD7D34"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w:t>
            </w:r>
          </w:p>
        </w:tc>
        <w:tc>
          <w:tcPr>
            <w:tcW w:w="1364" w:type="dxa"/>
            <w:vAlign w:val="center"/>
            <w:hideMark/>
          </w:tcPr>
          <w:p w14:paraId="47491513"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w:t>
            </w:r>
          </w:p>
        </w:tc>
      </w:tr>
      <w:tr w:rsidR="009B1083" w:rsidRPr="004E4144" w14:paraId="1D5E5794" w14:textId="77777777" w:rsidTr="001E6408">
        <w:trPr>
          <w:trHeight w:val="24"/>
          <w:jc w:val="center"/>
        </w:trPr>
        <w:tc>
          <w:tcPr>
            <w:tcW w:w="3248" w:type="dxa"/>
            <w:vAlign w:val="center"/>
            <w:hideMark/>
          </w:tcPr>
          <w:p w14:paraId="59CCECFB"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c) Net Surplus (+) or Deficit (-)</w:t>
            </w:r>
          </w:p>
        </w:tc>
        <w:tc>
          <w:tcPr>
            <w:tcW w:w="992" w:type="dxa"/>
            <w:vAlign w:val="center"/>
            <w:hideMark/>
          </w:tcPr>
          <w:p w14:paraId="25AC4C2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(+)427.87</w:t>
            </w:r>
          </w:p>
        </w:tc>
        <w:tc>
          <w:tcPr>
            <w:tcW w:w="1134" w:type="dxa"/>
            <w:vAlign w:val="center"/>
            <w:hideMark/>
          </w:tcPr>
          <w:p w14:paraId="5DF13387"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(+)539.80</w:t>
            </w:r>
          </w:p>
        </w:tc>
        <w:tc>
          <w:tcPr>
            <w:tcW w:w="1134" w:type="dxa"/>
            <w:vAlign w:val="center"/>
            <w:hideMark/>
          </w:tcPr>
          <w:p w14:paraId="09529BF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(+)671.87</w:t>
            </w:r>
          </w:p>
        </w:tc>
        <w:tc>
          <w:tcPr>
            <w:tcW w:w="1023" w:type="dxa"/>
            <w:vAlign w:val="center"/>
            <w:hideMark/>
          </w:tcPr>
          <w:p w14:paraId="4135DEA5"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(+)827.34</w:t>
            </w:r>
          </w:p>
        </w:tc>
        <w:tc>
          <w:tcPr>
            <w:tcW w:w="1023" w:type="dxa"/>
            <w:vAlign w:val="center"/>
            <w:hideMark/>
          </w:tcPr>
          <w:p w14:paraId="4AAB353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(+)1009.93</w:t>
            </w:r>
          </w:p>
        </w:tc>
        <w:tc>
          <w:tcPr>
            <w:tcW w:w="1364" w:type="dxa"/>
            <w:vAlign w:val="center"/>
            <w:hideMark/>
          </w:tcPr>
          <w:p w14:paraId="25252738"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(+)3476.81</w:t>
            </w:r>
          </w:p>
        </w:tc>
      </w:tr>
      <w:tr w:rsidR="009B1083" w:rsidRPr="004E4144" w14:paraId="743AA07E" w14:textId="77777777" w:rsidTr="001E6408">
        <w:trPr>
          <w:trHeight w:val="24"/>
          <w:jc w:val="center"/>
        </w:trPr>
        <w:tc>
          <w:tcPr>
            <w:tcW w:w="3248" w:type="dxa"/>
            <w:vAlign w:val="center"/>
            <w:hideMark/>
          </w:tcPr>
          <w:p w14:paraId="47528023"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IV. Total</w:t>
            </w:r>
          </w:p>
        </w:tc>
        <w:tc>
          <w:tcPr>
            <w:tcW w:w="992" w:type="dxa"/>
            <w:vAlign w:val="center"/>
            <w:hideMark/>
          </w:tcPr>
          <w:p w14:paraId="430AA178"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09E161DF"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134" w:type="dxa"/>
            <w:vAlign w:val="center"/>
            <w:hideMark/>
          </w:tcPr>
          <w:p w14:paraId="2674635B"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5A146E80"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023" w:type="dxa"/>
            <w:vAlign w:val="center"/>
            <w:hideMark/>
          </w:tcPr>
          <w:p w14:paraId="5CE01989"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c>
          <w:tcPr>
            <w:tcW w:w="1364" w:type="dxa"/>
            <w:vAlign w:val="center"/>
            <w:hideMark/>
          </w:tcPr>
          <w:p w14:paraId="1C409256" w14:textId="77777777" w:rsidR="001E0A99" w:rsidRPr="004E4144" w:rsidRDefault="001E0A99" w:rsidP="004E6F59">
            <w:pPr>
              <w:pStyle w:val="NoSpacing"/>
              <w:spacing w:line="180" w:lineRule="exact"/>
              <w:jc w:val="center"/>
              <w:rPr>
                <w:rFonts w:ascii="Times New Roman" w:hAnsi="Times New Roman" w:cs="Times New Roman"/>
                <w:sz w:val="18"/>
                <w:szCs w:val="18"/>
              </w:rPr>
            </w:pPr>
          </w:p>
        </w:tc>
      </w:tr>
      <w:tr w:rsidR="009B1083" w:rsidRPr="004E4144" w14:paraId="5BC7771B" w14:textId="77777777" w:rsidTr="001E6408">
        <w:trPr>
          <w:trHeight w:val="24"/>
          <w:jc w:val="center"/>
        </w:trPr>
        <w:tc>
          <w:tcPr>
            <w:tcW w:w="3248" w:type="dxa"/>
            <w:vAlign w:val="center"/>
            <w:hideMark/>
          </w:tcPr>
          <w:p w14:paraId="082BE4E8"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a) Gross Surplus</w:t>
            </w:r>
          </w:p>
        </w:tc>
        <w:tc>
          <w:tcPr>
            <w:tcW w:w="992" w:type="dxa"/>
            <w:vAlign w:val="center"/>
            <w:hideMark/>
          </w:tcPr>
          <w:p w14:paraId="16F957C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2536.20</w:t>
            </w:r>
          </w:p>
        </w:tc>
        <w:tc>
          <w:tcPr>
            <w:tcW w:w="1134" w:type="dxa"/>
            <w:vAlign w:val="center"/>
            <w:hideMark/>
          </w:tcPr>
          <w:p w14:paraId="76A80E74"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3630.67</w:t>
            </w:r>
          </w:p>
        </w:tc>
        <w:tc>
          <w:tcPr>
            <w:tcW w:w="1134" w:type="dxa"/>
            <w:vAlign w:val="center"/>
            <w:hideMark/>
          </w:tcPr>
          <w:p w14:paraId="283F70B4"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4943.58</w:t>
            </w:r>
          </w:p>
        </w:tc>
        <w:tc>
          <w:tcPr>
            <w:tcW w:w="1023" w:type="dxa"/>
            <w:vAlign w:val="center"/>
            <w:hideMark/>
          </w:tcPr>
          <w:p w14:paraId="24D366E9"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6813.05</w:t>
            </w:r>
          </w:p>
        </w:tc>
        <w:tc>
          <w:tcPr>
            <w:tcW w:w="1023" w:type="dxa"/>
            <w:vAlign w:val="center"/>
            <w:hideMark/>
          </w:tcPr>
          <w:p w14:paraId="5D1FB0FD"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8833.79</w:t>
            </w:r>
          </w:p>
        </w:tc>
        <w:tc>
          <w:tcPr>
            <w:tcW w:w="1364" w:type="dxa"/>
            <w:vAlign w:val="center"/>
            <w:hideMark/>
          </w:tcPr>
          <w:p w14:paraId="23D5CA88"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26757.29</w:t>
            </w:r>
          </w:p>
        </w:tc>
      </w:tr>
      <w:tr w:rsidR="009B1083" w:rsidRPr="004E4144" w14:paraId="6E73EA06" w14:textId="77777777" w:rsidTr="001E6408">
        <w:trPr>
          <w:trHeight w:val="24"/>
          <w:jc w:val="center"/>
        </w:trPr>
        <w:tc>
          <w:tcPr>
            <w:tcW w:w="3248" w:type="dxa"/>
            <w:vAlign w:val="center"/>
            <w:hideMark/>
          </w:tcPr>
          <w:p w14:paraId="0E312D64"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b) Gross Deficit</w:t>
            </w:r>
          </w:p>
        </w:tc>
        <w:tc>
          <w:tcPr>
            <w:tcW w:w="992" w:type="dxa"/>
            <w:vAlign w:val="center"/>
            <w:hideMark/>
          </w:tcPr>
          <w:p w14:paraId="0FA6FBFF"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2516.98</w:t>
            </w:r>
          </w:p>
        </w:tc>
        <w:tc>
          <w:tcPr>
            <w:tcW w:w="1134" w:type="dxa"/>
            <w:vAlign w:val="center"/>
            <w:hideMark/>
          </w:tcPr>
          <w:p w14:paraId="141E0EA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1825.33</w:t>
            </w:r>
          </w:p>
        </w:tc>
        <w:tc>
          <w:tcPr>
            <w:tcW w:w="1134" w:type="dxa"/>
            <w:vAlign w:val="center"/>
            <w:hideMark/>
          </w:tcPr>
          <w:p w14:paraId="6023D150"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1164.07</w:t>
            </w:r>
          </w:p>
        </w:tc>
        <w:tc>
          <w:tcPr>
            <w:tcW w:w="1023" w:type="dxa"/>
            <w:vAlign w:val="center"/>
            <w:hideMark/>
          </w:tcPr>
          <w:p w14:paraId="5921C4F3"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746.09</w:t>
            </w:r>
          </w:p>
        </w:tc>
        <w:tc>
          <w:tcPr>
            <w:tcW w:w="1023" w:type="dxa"/>
            <w:vAlign w:val="center"/>
            <w:hideMark/>
          </w:tcPr>
          <w:p w14:paraId="7F8D84C7"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633.40</w:t>
            </w:r>
          </w:p>
        </w:tc>
        <w:tc>
          <w:tcPr>
            <w:tcW w:w="1364" w:type="dxa"/>
            <w:vAlign w:val="center"/>
            <w:hideMark/>
          </w:tcPr>
          <w:p w14:paraId="732BB2B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6885.87</w:t>
            </w:r>
          </w:p>
        </w:tc>
      </w:tr>
      <w:tr w:rsidR="009B1083" w:rsidRPr="004E4144" w14:paraId="424B60F6" w14:textId="77777777" w:rsidTr="001E6408">
        <w:trPr>
          <w:trHeight w:val="24"/>
          <w:jc w:val="center"/>
        </w:trPr>
        <w:tc>
          <w:tcPr>
            <w:tcW w:w="3248" w:type="dxa"/>
            <w:vAlign w:val="center"/>
            <w:hideMark/>
          </w:tcPr>
          <w:p w14:paraId="6FE5D666" w14:textId="77777777" w:rsidR="001E0A99" w:rsidRPr="004E4144" w:rsidRDefault="001E0A99" w:rsidP="004E6F59">
            <w:pPr>
              <w:pStyle w:val="NoSpacing"/>
              <w:spacing w:line="180" w:lineRule="exact"/>
              <w:rPr>
                <w:rFonts w:ascii="Times New Roman" w:hAnsi="Times New Roman" w:cs="Times New Roman"/>
                <w:sz w:val="18"/>
                <w:szCs w:val="18"/>
              </w:rPr>
            </w:pPr>
            <w:r w:rsidRPr="004E4144">
              <w:rPr>
                <w:rFonts w:ascii="Times New Roman" w:hAnsi="Times New Roman" w:cs="Times New Roman"/>
                <w:sz w:val="18"/>
                <w:szCs w:val="18"/>
              </w:rPr>
              <w:t>c) Net Surplus (+) or Deficit (-)</w:t>
            </w:r>
          </w:p>
        </w:tc>
        <w:tc>
          <w:tcPr>
            <w:tcW w:w="992" w:type="dxa"/>
            <w:vAlign w:val="center"/>
            <w:hideMark/>
          </w:tcPr>
          <w:p w14:paraId="5F5EE863"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(+)19.22</w:t>
            </w:r>
          </w:p>
        </w:tc>
        <w:tc>
          <w:tcPr>
            <w:tcW w:w="1134" w:type="dxa"/>
            <w:vAlign w:val="center"/>
            <w:hideMark/>
          </w:tcPr>
          <w:p w14:paraId="5705F601"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(+)1805.34</w:t>
            </w:r>
          </w:p>
        </w:tc>
        <w:tc>
          <w:tcPr>
            <w:tcW w:w="1134" w:type="dxa"/>
            <w:vAlign w:val="center"/>
            <w:hideMark/>
          </w:tcPr>
          <w:p w14:paraId="1ABB6E9D"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(+)3779.51</w:t>
            </w:r>
          </w:p>
        </w:tc>
        <w:tc>
          <w:tcPr>
            <w:tcW w:w="1023" w:type="dxa"/>
            <w:vAlign w:val="center"/>
            <w:hideMark/>
          </w:tcPr>
          <w:p w14:paraId="238F463E"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(+)6066.96</w:t>
            </w:r>
          </w:p>
        </w:tc>
        <w:tc>
          <w:tcPr>
            <w:tcW w:w="1023" w:type="dxa"/>
            <w:vAlign w:val="center"/>
            <w:hideMark/>
          </w:tcPr>
          <w:p w14:paraId="4A867DC2"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(+)8200.39</w:t>
            </w:r>
          </w:p>
        </w:tc>
        <w:tc>
          <w:tcPr>
            <w:tcW w:w="1364" w:type="dxa"/>
            <w:vAlign w:val="center"/>
            <w:hideMark/>
          </w:tcPr>
          <w:p w14:paraId="24934F06" w14:textId="77777777" w:rsidR="001E0A99" w:rsidRPr="004E4144" w:rsidRDefault="001E0A99" w:rsidP="004E6F59">
            <w:pPr>
              <w:pStyle w:val="NoSpacing"/>
              <w:spacing w:line="180" w:lineRule="exact"/>
              <w:jc w:val="center"/>
              <w:rPr>
                <w:rFonts w:ascii="Times New Roman" w:hAnsi="Times New Roman" w:cs="Times New Roman"/>
                <w:sz w:val="18"/>
                <w:szCs w:val="18"/>
              </w:rPr>
            </w:pPr>
            <w:r w:rsidRPr="004E4144">
              <w:rPr>
                <w:rFonts w:ascii="Times New Roman" w:hAnsi="Times New Roman" w:cs="Times New Roman"/>
                <w:sz w:val="18"/>
                <w:szCs w:val="18"/>
              </w:rPr>
              <w:t>(+)19871.42</w:t>
            </w:r>
          </w:p>
        </w:tc>
      </w:tr>
    </w:tbl>
    <w:p w14:paraId="7CAEBCCC" w14:textId="49864D85" w:rsidR="009B1083" w:rsidRPr="004E4144" w:rsidRDefault="009B1083" w:rsidP="004E6F59">
      <w:pPr>
        <w:pStyle w:val="Heading3"/>
        <w:spacing w:before="240" w:after="0" w:line="180" w:lineRule="exact"/>
      </w:pPr>
      <w:r w:rsidRPr="004E4144">
        <w:t>We have already indicated (vide Tables 8 and 9) that our scheme of transfers gives special consideration to weaker States. This may raise the question whether the other States have been given a less than fair treatment. Table 11 gives the per capita surplus/deficit in the overall revenue account of each non-Special Category State (except Goa) emerging from our assessment and recommendations.</w:t>
      </w:r>
    </w:p>
    <w:p w14:paraId="014465E3" w14:textId="77777777" w:rsidR="004E4144" w:rsidRPr="004E6F59" w:rsidRDefault="009B1083" w:rsidP="004E6F59">
      <w:pPr>
        <w:spacing w:after="0" w:line="180" w:lineRule="exact"/>
        <w:jc w:val="center"/>
        <w:rPr>
          <w:rFonts w:ascii="Times New Roman" w:hAnsi="Times New Roman" w:cs="Times New Roman"/>
          <w:b/>
          <w:bCs/>
          <w:sz w:val="22"/>
          <w:szCs w:val="22"/>
        </w:rPr>
      </w:pPr>
      <w:r w:rsidRPr="004E6F59">
        <w:rPr>
          <w:rStyle w:val="Heading4Char"/>
          <w:sz w:val="18"/>
          <w:szCs w:val="18"/>
        </w:rPr>
        <w:t>TABLE 11</w:t>
      </w:r>
      <w:r w:rsidR="004E4144" w:rsidRPr="004E6F59">
        <w:rPr>
          <w:rStyle w:val="Heading4Char"/>
          <w:sz w:val="18"/>
          <w:szCs w:val="18"/>
        </w:rPr>
        <w:br/>
      </w:r>
      <w:r w:rsidRPr="004E6F59">
        <w:rPr>
          <w:rStyle w:val="Heading4Char"/>
          <w:sz w:val="18"/>
          <w:szCs w:val="18"/>
        </w:rPr>
        <w:t xml:space="preserve">Per Capita Revenue Surplus/Deficit After Transfers </w:t>
      </w:r>
      <w:proofErr w:type="gramStart"/>
      <w:r w:rsidRPr="004E6F59">
        <w:rPr>
          <w:rStyle w:val="Heading4Char"/>
          <w:sz w:val="18"/>
          <w:szCs w:val="18"/>
        </w:rPr>
        <w:t>In</w:t>
      </w:r>
      <w:proofErr w:type="gramEnd"/>
      <w:r w:rsidRPr="004E6F59">
        <w:rPr>
          <w:rStyle w:val="Heading4Char"/>
          <w:sz w:val="18"/>
          <w:szCs w:val="18"/>
        </w:rPr>
        <w:t xml:space="preserve"> Non-Special Category States (Excluding Goa): 1990-95</w:t>
      </w:r>
    </w:p>
    <w:p w14:paraId="568DEB46" w14:textId="68362C0A" w:rsidR="009B1083" w:rsidRPr="004F48AC" w:rsidRDefault="009B1083" w:rsidP="004E6F59">
      <w:pPr>
        <w:spacing w:after="0" w:line="180" w:lineRule="exact"/>
        <w:ind w:left="2160" w:firstLine="720"/>
        <w:jc w:val="center"/>
        <w:rPr>
          <w:rFonts w:ascii="Times New Roman" w:hAnsi="Times New Roman" w:cs="Times New Roman"/>
          <w:szCs w:val="24"/>
        </w:rPr>
      </w:pPr>
      <w:r w:rsidRPr="004F48AC">
        <w:rPr>
          <w:rFonts w:ascii="Times New Roman" w:hAnsi="Times New Roman" w:cs="Times New Roman"/>
          <w:i/>
          <w:iCs/>
          <w:sz w:val="18"/>
          <w:szCs w:val="18"/>
        </w:rPr>
        <w:t>(Rupees)</w:t>
      </w:r>
    </w:p>
    <w:tbl>
      <w:tblPr>
        <w:tblStyle w:val="TableGrid"/>
        <w:tblW w:w="3681" w:type="dxa"/>
        <w:jc w:val="center"/>
        <w:tblLook w:val="04A0" w:firstRow="1" w:lastRow="0" w:firstColumn="1" w:lastColumn="0" w:noHBand="0" w:noVBand="1"/>
      </w:tblPr>
      <w:tblGrid>
        <w:gridCol w:w="1696"/>
        <w:gridCol w:w="1985"/>
      </w:tblGrid>
      <w:tr w:rsidR="009B1083" w:rsidRPr="00703C54" w14:paraId="1323463F" w14:textId="77777777" w:rsidTr="004E6F59">
        <w:trPr>
          <w:trHeight w:val="20"/>
          <w:jc w:val="center"/>
        </w:trPr>
        <w:tc>
          <w:tcPr>
            <w:tcW w:w="1696" w:type="dxa"/>
            <w:vAlign w:val="center"/>
            <w:hideMark/>
          </w:tcPr>
          <w:p w14:paraId="1D87BE5D"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States</w:t>
            </w:r>
          </w:p>
        </w:tc>
        <w:tc>
          <w:tcPr>
            <w:tcW w:w="1985" w:type="dxa"/>
            <w:vAlign w:val="center"/>
            <w:hideMark/>
          </w:tcPr>
          <w:p w14:paraId="7B9EB8C5"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Surplus/Deficit</w:t>
            </w:r>
          </w:p>
        </w:tc>
      </w:tr>
      <w:tr w:rsidR="009B1083" w:rsidRPr="00703C54" w14:paraId="3F2B02AC" w14:textId="77777777" w:rsidTr="004E6F59">
        <w:trPr>
          <w:trHeight w:val="20"/>
          <w:jc w:val="center"/>
        </w:trPr>
        <w:tc>
          <w:tcPr>
            <w:tcW w:w="1696" w:type="dxa"/>
            <w:vAlign w:val="center"/>
            <w:hideMark/>
          </w:tcPr>
          <w:p w14:paraId="4B4A88EC"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 Andhra Pradesh</w:t>
            </w:r>
          </w:p>
        </w:tc>
        <w:tc>
          <w:tcPr>
            <w:tcW w:w="1985" w:type="dxa"/>
            <w:vAlign w:val="center"/>
            <w:hideMark/>
          </w:tcPr>
          <w:p w14:paraId="05739BC2"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417</w:t>
            </w:r>
          </w:p>
        </w:tc>
      </w:tr>
      <w:tr w:rsidR="009B1083" w:rsidRPr="00703C54" w14:paraId="4AC2D2F7" w14:textId="77777777" w:rsidTr="004E6F59">
        <w:trPr>
          <w:trHeight w:val="20"/>
          <w:jc w:val="center"/>
        </w:trPr>
        <w:tc>
          <w:tcPr>
            <w:tcW w:w="1696" w:type="dxa"/>
            <w:vAlign w:val="center"/>
            <w:hideMark/>
          </w:tcPr>
          <w:p w14:paraId="701245DE"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2. Bihar</w:t>
            </w:r>
          </w:p>
        </w:tc>
        <w:tc>
          <w:tcPr>
            <w:tcW w:w="1985" w:type="dxa"/>
            <w:vAlign w:val="center"/>
            <w:hideMark/>
          </w:tcPr>
          <w:p w14:paraId="080F3722"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24</w:t>
            </w:r>
          </w:p>
        </w:tc>
      </w:tr>
      <w:tr w:rsidR="009B1083" w:rsidRPr="00703C54" w14:paraId="5E577E96" w14:textId="77777777" w:rsidTr="004E6F59">
        <w:trPr>
          <w:trHeight w:val="20"/>
          <w:jc w:val="center"/>
        </w:trPr>
        <w:tc>
          <w:tcPr>
            <w:tcW w:w="1696" w:type="dxa"/>
            <w:vAlign w:val="center"/>
            <w:hideMark/>
          </w:tcPr>
          <w:p w14:paraId="2F242FBD"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3. Gujarat</w:t>
            </w:r>
          </w:p>
        </w:tc>
        <w:tc>
          <w:tcPr>
            <w:tcW w:w="1985" w:type="dxa"/>
            <w:vAlign w:val="center"/>
            <w:hideMark/>
          </w:tcPr>
          <w:p w14:paraId="1A482F9E"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767</w:t>
            </w:r>
          </w:p>
        </w:tc>
      </w:tr>
      <w:tr w:rsidR="009B1083" w:rsidRPr="00703C54" w14:paraId="59AA4BF8" w14:textId="77777777" w:rsidTr="004E6F59">
        <w:trPr>
          <w:trHeight w:val="20"/>
          <w:jc w:val="center"/>
        </w:trPr>
        <w:tc>
          <w:tcPr>
            <w:tcW w:w="1696" w:type="dxa"/>
            <w:vAlign w:val="center"/>
            <w:hideMark/>
          </w:tcPr>
          <w:p w14:paraId="5DA0378D"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4. Haryana</w:t>
            </w:r>
          </w:p>
        </w:tc>
        <w:tc>
          <w:tcPr>
            <w:tcW w:w="1985" w:type="dxa"/>
            <w:vAlign w:val="center"/>
            <w:hideMark/>
          </w:tcPr>
          <w:p w14:paraId="66800E1D"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1454</w:t>
            </w:r>
          </w:p>
        </w:tc>
      </w:tr>
      <w:tr w:rsidR="009B1083" w:rsidRPr="00703C54" w14:paraId="647AAF48" w14:textId="77777777" w:rsidTr="004E6F59">
        <w:trPr>
          <w:trHeight w:val="20"/>
          <w:jc w:val="center"/>
        </w:trPr>
        <w:tc>
          <w:tcPr>
            <w:tcW w:w="1696" w:type="dxa"/>
            <w:vAlign w:val="center"/>
            <w:hideMark/>
          </w:tcPr>
          <w:p w14:paraId="75315656"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5. Karnataka</w:t>
            </w:r>
          </w:p>
        </w:tc>
        <w:tc>
          <w:tcPr>
            <w:tcW w:w="1985" w:type="dxa"/>
            <w:vAlign w:val="center"/>
            <w:hideMark/>
          </w:tcPr>
          <w:p w14:paraId="00CA1B01"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792</w:t>
            </w:r>
          </w:p>
        </w:tc>
      </w:tr>
      <w:tr w:rsidR="009B1083" w:rsidRPr="00703C54" w14:paraId="7B0A3D72" w14:textId="77777777" w:rsidTr="004E6F59">
        <w:trPr>
          <w:trHeight w:val="20"/>
          <w:jc w:val="center"/>
        </w:trPr>
        <w:tc>
          <w:tcPr>
            <w:tcW w:w="1696" w:type="dxa"/>
            <w:vAlign w:val="center"/>
            <w:hideMark/>
          </w:tcPr>
          <w:p w14:paraId="51A346A8"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6. Kerala</w:t>
            </w:r>
          </w:p>
        </w:tc>
        <w:tc>
          <w:tcPr>
            <w:tcW w:w="1985" w:type="dxa"/>
            <w:vAlign w:val="center"/>
            <w:hideMark/>
          </w:tcPr>
          <w:p w14:paraId="7FDA76BD"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162</w:t>
            </w:r>
          </w:p>
        </w:tc>
      </w:tr>
      <w:tr w:rsidR="009B1083" w:rsidRPr="00703C54" w14:paraId="6E11C3BD" w14:textId="77777777" w:rsidTr="004E6F59">
        <w:trPr>
          <w:trHeight w:val="20"/>
          <w:jc w:val="center"/>
        </w:trPr>
        <w:tc>
          <w:tcPr>
            <w:tcW w:w="1696" w:type="dxa"/>
            <w:vAlign w:val="center"/>
            <w:hideMark/>
          </w:tcPr>
          <w:p w14:paraId="52E44A4E"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7. Madhya Pradesh</w:t>
            </w:r>
          </w:p>
        </w:tc>
        <w:tc>
          <w:tcPr>
            <w:tcW w:w="1985" w:type="dxa"/>
            <w:vAlign w:val="center"/>
            <w:hideMark/>
          </w:tcPr>
          <w:p w14:paraId="1B0370F9"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60</w:t>
            </w:r>
          </w:p>
        </w:tc>
      </w:tr>
      <w:tr w:rsidR="009B1083" w:rsidRPr="00703C54" w14:paraId="0AFE71ED" w14:textId="77777777" w:rsidTr="004E6F59">
        <w:trPr>
          <w:trHeight w:val="20"/>
          <w:jc w:val="center"/>
        </w:trPr>
        <w:tc>
          <w:tcPr>
            <w:tcW w:w="1696" w:type="dxa"/>
            <w:vAlign w:val="center"/>
            <w:hideMark/>
          </w:tcPr>
          <w:p w14:paraId="3A8F2E35"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8. Maharashtra</w:t>
            </w:r>
          </w:p>
        </w:tc>
        <w:tc>
          <w:tcPr>
            <w:tcW w:w="1985" w:type="dxa"/>
            <w:vAlign w:val="center"/>
            <w:hideMark/>
          </w:tcPr>
          <w:p w14:paraId="21EC8D88"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1389</w:t>
            </w:r>
          </w:p>
        </w:tc>
      </w:tr>
      <w:tr w:rsidR="009B1083" w:rsidRPr="00703C54" w14:paraId="35A6028C" w14:textId="77777777" w:rsidTr="004E6F59">
        <w:trPr>
          <w:trHeight w:val="20"/>
          <w:jc w:val="center"/>
        </w:trPr>
        <w:tc>
          <w:tcPr>
            <w:tcW w:w="1696" w:type="dxa"/>
            <w:vAlign w:val="center"/>
            <w:hideMark/>
          </w:tcPr>
          <w:p w14:paraId="5E654A91"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9. Orissa</w:t>
            </w:r>
          </w:p>
        </w:tc>
        <w:tc>
          <w:tcPr>
            <w:tcW w:w="1985" w:type="dxa"/>
            <w:vAlign w:val="center"/>
            <w:hideMark/>
          </w:tcPr>
          <w:p w14:paraId="6EEA82BA"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210</w:t>
            </w:r>
          </w:p>
        </w:tc>
      </w:tr>
      <w:tr w:rsidR="009B1083" w:rsidRPr="00703C54" w14:paraId="1C9DB781" w14:textId="77777777" w:rsidTr="004E6F59">
        <w:trPr>
          <w:trHeight w:val="20"/>
          <w:jc w:val="center"/>
        </w:trPr>
        <w:tc>
          <w:tcPr>
            <w:tcW w:w="1696" w:type="dxa"/>
            <w:vAlign w:val="center"/>
            <w:hideMark/>
          </w:tcPr>
          <w:p w14:paraId="3CBC7AC5"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10. Punjab</w:t>
            </w:r>
          </w:p>
        </w:tc>
        <w:tc>
          <w:tcPr>
            <w:tcW w:w="1985" w:type="dxa"/>
            <w:vAlign w:val="center"/>
            <w:hideMark/>
          </w:tcPr>
          <w:p w14:paraId="25BE9D1A"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468</w:t>
            </w:r>
          </w:p>
        </w:tc>
      </w:tr>
      <w:tr w:rsidR="009B1083" w:rsidRPr="00703C54" w14:paraId="471FFF9B" w14:textId="77777777" w:rsidTr="004E6F59">
        <w:trPr>
          <w:trHeight w:val="20"/>
          <w:jc w:val="center"/>
        </w:trPr>
        <w:tc>
          <w:tcPr>
            <w:tcW w:w="1696" w:type="dxa"/>
            <w:vAlign w:val="center"/>
            <w:hideMark/>
          </w:tcPr>
          <w:p w14:paraId="69958728"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11. Rajasthan</w:t>
            </w:r>
          </w:p>
        </w:tc>
        <w:tc>
          <w:tcPr>
            <w:tcW w:w="1985" w:type="dxa"/>
            <w:vAlign w:val="center"/>
            <w:hideMark/>
          </w:tcPr>
          <w:p w14:paraId="286F0BAF"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280</w:t>
            </w:r>
          </w:p>
        </w:tc>
      </w:tr>
      <w:tr w:rsidR="009B1083" w:rsidRPr="00703C54" w14:paraId="31BBC4C7" w14:textId="77777777" w:rsidTr="004E6F59">
        <w:trPr>
          <w:trHeight w:val="20"/>
          <w:jc w:val="center"/>
        </w:trPr>
        <w:tc>
          <w:tcPr>
            <w:tcW w:w="1696" w:type="dxa"/>
            <w:vAlign w:val="center"/>
            <w:hideMark/>
          </w:tcPr>
          <w:p w14:paraId="319DBEA4"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12. Tamil Nadu</w:t>
            </w:r>
          </w:p>
        </w:tc>
        <w:tc>
          <w:tcPr>
            <w:tcW w:w="1985" w:type="dxa"/>
            <w:vAlign w:val="center"/>
            <w:hideMark/>
          </w:tcPr>
          <w:p w14:paraId="0BA7718C"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523</w:t>
            </w:r>
          </w:p>
        </w:tc>
      </w:tr>
      <w:tr w:rsidR="009B1083" w:rsidRPr="00703C54" w14:paraId="08A48DD5" w14:textId="77777777" w:rsidTr="004E6F59">
        <w:trPr>
          <w:trHeight w:val="20"/>
          <w:jc w:val="center"/>
        </w:trPr>
        <w:tc>
          <w:tcPr>
            <w:tcW w:w="1696" w:type="dxa"/>
            <w:vAlign w:val="center"/>
            <w:hideMark/>
          </w:tcPr>
          <w:p w14:paraId="0B78D39F"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13. Uttar Pradesh</w:t>
            </w:r>
          </w:p>
        </w:tc>
        <w:tc>
          <w:tcPr>
            <w:tcW w:w="1985" w:type="dxa"/>
            <w:vAlign w:val="center"/>
            <w:hideMark/>
          </w:tcPr>
          <w:p w14:paraId="355B3F9F"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260</w:t>
            </w:r>
          </w:p>
        </w:tc>
      </w:tr>
      <w:tr w:rsidR="009B1083" w:rsidRPr="00703C54" w14:paraId="7F42C71A" w14:textId="77777777" w:rsidTr="004E6F59">
        <w:trPr>
          <w:trHeight w:val="20"/>
          <w:jc w:val="center"/>
        </w:trPr>
        <w:tc>
          <w:tcPr>
            <w:tcW w:w="1696" w:type="dxa"/>
            <w:vAlign w:val="center"/>
            <w:hideMark/>
          </w:tcPr>
          <w:p w14:paraId="2BE1DA67"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14. West Bengal</w:t>
            </w:r>
          </w:p>
        </w:tc>
        <w:tc>
          <w:tcPr>
            <w:tcW w:w="1985" w:type="dxa"/>
            <w:vAlign w:val="center"/>
            <w:hideMark/>
          </w:tcPr>
          <w:p w14:paraId="128479D6"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 9</w:t>
            </w:r>
          </w:p>
        </w:tc>
      </w:tr>
    </w:tbl>
    <w:p w14:paraId="3FDD31C6" w14:textId="77777777" w:rsidR="009B1083" w:rsidRPr="004E6F59" w:rsidRDefault="009B1083" w:rsidP="004E6F59">
      <w:pPr>
        <w:spacing w:after="0" w:line="180" w:lineRule="exact"/>
        <w:ind w:left="2880" w:firstLine="720"/>
        <w:jc w:val="both"/>
        <w:rPr>
          <w:rFonts w:ascii="Times New Roman" w:hAnsi="Times New Roman" w:cs="Times New Roman"/>
          <w:sz w:val="16"/>
          <w:szCs w:val="16"/>
        </w:rPr>
      </w:pPr>
      <w:proofErr w:type="gramStart"/>
      <w:r w:rsidRPr="004E6F59">
        <w:rPr>
          <w:rFonts w:ascii="Times New Roman" w:hAnsi="Times New Roman" w:cs="Times New Roman"/>
          <w:sz w:val="16"/>
          <w:szCs w:val="16"/>
        </w:rPr>
        <w:t>Note :</w:t>
      </w:r>
      <w:proofErr w:type="gramEnd"/>
      <w:r w:rsidRPr="004E6F59">
        <w:rPr>
          <w:rFonts w:ascii="Times New Roman" w:hAnsi="Times New Roman" w:cs="Times New Roman"/>
          <w:sz w:val="16"/>
          <w:szCs w:val="16"/>
        </w:rPr>
        <w:t xml:space="preserve"> Based on 1981 population.</w:t>
      </w:r>
    </w:p>
    <w:p w14:paraId="4B4F90B4" w14:textId="5B6161DD" w:rsidR="00703C54" w:rsidRPr="004E6F59" w:rsidRDefault="009B1083" w:rsidP="004E6F59">
      <w:pPr>
        <w:pStyle w:val="Heading3"/>
        <w:spacing w:after="0" w:line="180" w:lineRule="exact"/>
        <w:jc w:val="left"/>
      </w:pPr>
      <w:r w:rsidRPr="00AA6AF4">
        <w:t>The assessment of the Centre's revenue account position, year-wise, is given in Annexure VII.3. The deficit of the Centre each year is given in Table 12.</w:t>
      </w:r>
      <w:r w:rsidR="004E6F59">
        <w:t xml:space="preserve"> </w:t>
      </w:r>
      <w:r w:rsidR="004E6F59">
        <w:tab/>
      </w:r>
      <w:r w:rsidR="004E6F59">
        <w:tab/>
      </w:r>
      <w:r w:rsidR="004E6F59">
        <w:tab/>
      </w:r>
      <w:r w:rsidR="004E6F59">
        <w:tab/>
      </w:r>
      <w:r w:rsidRPr="004E6F59">
        <w:rPr>
          <w:rStyle w:val="Heading4Char"/>
          <w:sz w:val="18"/>
          <w:szCs w:val="18"/>
        </w:rPr>
        <w:t>TABLE 12</w:t>
      </w:r>
      <w:r w:rsidR="00703C54" w:rsidRPr="004E6F59">
        <w:rPr>
          <w:rStyle w:val="Heading4Char"/>
          <w:sz w:val="18"/>
          <w:szCs w:val="18"/>
        </w:rPr>
        <w:br/>
      </w:r>
      <w:r w:rsidR="004E6F59">
        <w:rPr>
          <w:rStyle w:val="Heading4Char"/>
          <w:sz w:val="18"/>
          <w:szCs w:val="18"/>
        </w:rPr>
        <w:t xml:space="preserve"> </w:t>
      </w:r>
      <w:r w:rsidR="004E6F59">
        <w:rPr>
          <w:rStyle w:val="Heading4Char"/>
          <w:sz w:val="18"/>
          <w:szCs w:val="18"/>
        </w:rPr>
        <w:tab/>
      </w:r>
      <w:r w:rsidR="004E6F59">
        <w:rPr>
          <w:rStyle w:val="Heading4Char"/>
          <w:sz w:val="18"/>
          <w:szCs w:val="18"/>
        </w:rPr>
        <w:tab/>
      </w:r>
      <w:r w:rsidR="004E6F59">
        <w:rPr>
          <w:rStyle w:val="Heading4Char"/>
          <w:sz w:val="18"/>
          <w:szCs w:val="18"/>
        </w:rPr>
        <w:tab/>
      </w:r>
      <w:r w:rsidR="004E6F59">
        <w:rPr>
          <w:rStyle w:val="Heading4Char"/>
          <w:sz w:val="18"/>
          <w:szCs w:val="18"/>
        </w:rPr>
        <w:tab/>
      </w:r>
      <w:r w:rsidRPr="004E6F59">
        <w:rPr>
          <w:rStyle w:val="Heading4Char"/>
          <w:sz w:val="18"/>
          <w:szCs w:val="18"/>
        </w:rPr>
        <w:t>Revenue Deficit of Central Government: 1990-95</w:t>
      </w:r>
    </w:p>
    <w:p w14:paraId="476A4150" w14:textId="27FB7F62" w:rsidR="009B1083" w:rsidRPr="00AA6AF4" w:rsidRDefault="00703C54" w:rsidP="004E6F59">
      <w:pPr>
        <w:spacing w:after="0" w:line="180" w:lineRule="exact"/>
        <w:jc w:val="center"/>
        <w:rPr>
          <w:rFonts w:ascii="Times New Roman" w:hAnsi="Times New Roman" w:cs="Times New Roman"/>
          <w:b/>
          <w:bCs/>
          <w:szCs w:val="24"/>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sidR="009B1083" w:rsidRPr="00703C54">
        <w:rPr>
          <w:rFonts w:ascii="Times New Roman" w:hAnsi="Times New Roman" w:cs="Times New Roman"/>
          <w:i/>
          <w:iCs/>
          <w:sz w:val="18"/>
          <w:szCs w:val="18"/>
        </w:rPr>
        <w:t>(Rs. crore</w:t>
      </w:r>
      <w:r w:rsidR="009B1083" w:rsidRPr="00703C54">
        <w:rPr>
          <w:rFonts w:ascii="Times New Roman" w:hAnsi="Times New Roman" w:cs="Times New Roman"/>
          <w:b/>
          <w:bCs/>
          <w:i/>
          <w:iCs/>
          <w:sz w:val="18"/>
          <w:szCs w:val="18"/>
        </w:rPr>
        <w:t>)</w:t>
      </w:r>
    </w:p>
    <w:tbl>
      <w:tblPr>
        <w:tblStyle w:val="TableGrid"/>
        <w:tblW w:w="5240" w:type="dxa"/>
        <w:jc w:val="center"/>
        <w:tblLook w:val="04A0" w:firstRow="1" w:lastRow="0" w:firstColumn="1" w:lastColumn="0" w:noHBand="0" w:noVBand="1"/>
      </w:tblPr>
      <w:tblGrid>
        <w:gridCol w:w="1555"/>
        <w:gridCol w:w="3685"/>
      </w:tblGrid>
      <w:tr w:rsidR="009B1083" w:rsidRPr="00703C54" w14:paraId="6EEF8104" w14:textId="77777777" w:rsidTr="004E6F59">
        <w:trPr>
          <w:trHeight w:val="20"/>
          <w:jc w:val="center"/>
        </w:trPr>
        <w:tc>
          <w:tcPr>
            <w:tcW w:w="1555" w:type="dxa"/>
            <w:vAlign w:val="center"/>
            <w:hideMark/>
          </w:tcPr>
          <w:p w14:paraId="525865AA"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Year</w:t>
            </w:r>
          </w:p>
        </w:tc>
        <w:tc>
          <w:tcPr>
            <w:tcW w:w="3685" w:type="dxa"/>
            <w:vAlign w:val="center"/>
            <w:hideMark/>
          </w:tcPr>
          <w:p w14:paraId="24410F2A"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Revenue Deficit</w:t>
            </w:r>
          </w:p>
        </w:tc>
      </w:tr>
      <w:tr w:rsidR="009B1083" w:rsidRPr="00703C54" w14:paraId="407EFD74" w14:textId="77777777" w:rsidTr="004E6F59">
        <w:trPr>
          <w:trHeight w:val="20"/>
          <w:jc w:val="center"/>
        </w:trPr>
        <w:tc>
          <w:tcPr>
            <w:tcW w:w="1555" w:type="dxa"/>
            <w:vAlign w:val="center"/>
            <w:hideMark/>
          </w:tcPr>
          <w:p w14:paraId="75357095"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1990-91</w:t>
            </w:r>
          </w:p>
        </w:tc>
        <w:tc>
          <w:tcPr>
            <w:tcW w:w="3685" w:type="dxa"/>
            <w:vAlign w:val="center"/>
            <w:hideMark/>
          </w:tcPr>
          <w:p w14:paraId="1E2D0755"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8520</w:t>
            </w:r>
          </w:p>
        </w:tc>
      </w:tr>
      <w:tr w:rsidR="009B1083" w:rsidRPr="00703C54" w14:paraId="1961020F" w14:textId="77777777" w:rsidTr="004E6F59">
        <w:trPr>
          <w:trHeight w:val="20"/>
          <w:jc w:val="center"/>
        </w:trPr>
        <w:tc>
          <w:tcPr>
            <w:tcW w:w="1555" w:type="dxa"/>
            <w:vAlign w:val="center"/>
            <w:hideMark/>
          </w:tcPr>
          <w:p w14:paraId="62CE201C"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1991-92</w:t>
            </w:r>
          </w:p>
        </w:tc>
        <w:tc>
          <w:tcPr>
            <w:tcW w:w="3685" w:type="dxa"/>
            <w:vAlign w:val="center"/>
            <w:hideMark/>
          </w:tcPr>
          <w:p w14:paraId="18B2AB44"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7600</w:t>
            </w:r>
          </w:p>
        </w:tc>
      </w:tr>
      <w:tr w:rsidR="009B1083" w:rsidRPr="00703C54" w14:paraId="34FF8875" w14:textId="77777777" w:rsidTr="004E6F59">
        <w:trPr>
          <w:trHeight w:val="20"/>
          <w:jc w:val="center"/>
        </w:trPr>
        <w:tc>
          <w:tcPr>
            <w:tcW w:w="1555" w:type="dxa"/>
            <w:vAlign w:val="center"/>
            <w:hideMark/>
          </w:tcPr>
          <w:p w14:paraId="3998AF53"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1992-93</w:t>
            </w:r>
          </w:p>
        </w:tc>
        <w:tc>
          <w:tcPr>
            <w:tcW w:w="3685" w:type="dxa"/>
            <w:vAlign w:val="center"/>
            <w:hideMark/>
          </w:tcPr>
          <w:p w14:paraId="318ACDA2"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6480</w:t>
            </w:r>
          </w:p>
        </w:tc>
      </w:tr>
      <w:tr w:rsidR="009B1083" w:rsidRPr="00703C54" w14:paraId="1190756D" w14:textId="77777777" w:rsidTr="004E6F59">
        <w:trPr>
          <w:trHeight w:val="20"/>
          <w:jc w:val="center"/>
        </w:trPr>
        <w:tc>
          <w:tcPr>
            <w:tcW w:w="1555" w:type="dxa"/>
            <w:vAlign w:val="center"/>
            <w:hideMark/>
          </w:tcPr>
          <w:p w14:paraId="4A22CAB8"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1993-94</w:t>
            </w:r>
          </w:p>
        </w:tc>
        <w:tc>
          <w:tcPr>
            <w:tcW w:w="3685" w:type="dxa"/>
            <w:vAlign w:val="center"/>
            <w:hideMark/>
          </w:tcPr>
          <w:p w14:paraId="33C7C2FF"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4935</w:t>
            </w:r>
          </w:p>
        </w:tc>
      </w:tr>
      <w:tr w:rsidR="009B1083" w:rsidRPr="00703C54" w14:paraId="55F93701" w14:textId="77777777" w:rsidTr="004E6F59">
        <w:trPr>
          <w:trHeight w:val="20"/>
          <w:jc w:val="center"/>
        </w:trPr>
        <w:tc>
          <w:tcPr>
            <w:tcW w:w="1555" w:type="dxa"/>
            <w:vAlign w:val="center"/>
            <w:hideMark/>
          </w:tcPr>
          <w:p w14:paraId="6DF58055"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1994-95</w:t>
            </w:r>
          </w:p>
        </w:tc>
        <w:tc>
          <w:tcPr>
            <w:tcW w:w="3685" w:type="dxa"/>
            <w:vAlign w:val="center"/>
            <w:hideMark/>
          </w:tcPr>
          <w:p w14:paraId="7E491D62"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3103</w:t>
            </w:r>
          </w:p>
        </w:tc>
      </w:tr>
      <w:tr w:rsidR="009B1083" w:rsidRPr="00703C54" w14:paraId="51552CA6" w14:textId="77777777" w:rsidTr="004E6F59">
        <w:trPr>
          <w:trHeight w:val="20"/>
          <w:jc w:val="center"/>
        </w:trPr>
        <w:tc>
          <w:tcPr>
            <w:tcW w:w="1555" w:type="dxa"/>
            <w:vAlign w:val="center"/>
            <w:hideMark/>
          </w:tcPr>
          <w:p w14:paraId="54C00BB0"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Total</w:t>
            </w:r>
          </w:p>
        </w:tc>
        <w:tc>
          <w:tcPr>
            <w:tcW w:w="3685" w:type="dxa"/>
            <w:vAlign w:val="center"/>
            <w:hideMark/>
          </w:tcPr>
          <w:p w14:paraId="668D2F1C"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30638</w:t>
            </w:r>
          </w:p>
        </w:tc>
      </w:tr>
    </w:tbl>
    <w:p w14:paraId="77C3AF5C" w14:textId="77777777" w:rsidR="009B1083" w:rsidRPr="00AA6AF4" w:rsidRDefault="009B1083" w:rsidP="004E6F59">
      <w:pPr>
        <w:spacing w:after="0" w:line="180" w:lineRule="exact"/>
        <w:rPr>
          <w:rFonts w:ascii="Times New Roman" w:hAnsi="Times New Roman" w:cs="Times New Roman"/>
          <w:b/>
          <w:bCs/>
          <w:szCs w:val="24"/>
        </w:rPr>
      </w:pPr>
    </w:p>
    <w:p w14:paraId="21DB6555" w14:textId="778C70E3" w:rsidR="009B1083" w:rsidRPr="00AA6AF4" w:rsidRDefault="009B1083" w:rsidP="004E6F59">
      <w:pPr>
        <w:pStyle w:val="Heading3"/>
        <w:spacing w:after="0" w:line="180" w:lineRule="exact"/>
      </w:pPr>
      <w:r w:rsidRPr="00AA6AF4">
        <w:t>The overall (States and Centre together) position is given in Table 13.</w:t>
      </w:r>
    </w:p>
    <w:p w14:paraId="1E730445" w14:textId="77777777" w:rsidR="00703C54" w:rsidRPr="004E6F59" w:rsidRDefault="009B1083" w:rsidP="004E6F59">
      <w:pPr>
        <w:spacing w:after="0" w:line="180" w:lineRule="exact"/>
        <w:jc w:val="center"/>
        <w:rPr>
          <w:rFonts w:ascii="Times New Roman" w:hAnsi="Times New Roman" w:cs="Times New Roman"/>
          <w:sz w:val="22"/>
          <w:szCs w:val="22"/>
        </w:rPr>
      </w:pPr>
      <w:r w:rsidRPr="004E6F59">
        <w:rPr>
          <w:rStyle w:val="Heading4Char"/>
          <w:sz w:val="18"/>
          <w:szCs w:val="18"/>
        </w:rPr>
        <w:t>TABLE 13</w:t>
      </w:r>
      <w:r w:rsidR="00703C54" w:rsidRPr="004E6F59">
        <w:rPr>
          <w:rStyle w:val="Heading4Char"/>
          <w:sz w:val="18"/>
          <w:szCs w:val="18"/>
        </w:rPr>
        <w:br/>
      </w:r>
      <w:r w:rsidRPr="004E6F59">
        <w:rPr>
          <w:rStyle w:val="Heading4Char"/>
          <w:sz w:val="18"/>
          <w:szCs w:val="18"/>
        </w:rPr>
        <w:t xml:space="preserve">Overall Revenue Position </w:t>
      </w:r>
      <w:proofErr w:type="gramStart"/>
      <w:r w:rsidRPr="004E6F59">
        <w:rPr>
          <w:rStyle w:val="Heading4Char"/>
          <w:sz w:val="18"/>
          <w:szCs w:val="18"/>
        </w:rPr>
        <w:t>Of</w:t>
      </w:r>
      <w:proofErr w:type="gramEnd"/>
      <w:r w:rsidRPr="004E6F59">
        <w:rPr>
          <w:rStyle w:val="Heading4Char"/>
          <w:sz w:val="18"/>
          <w:szCs w:val="18"/>
        </w:rPr>
        <w:t xml:space="preserve"> States </w:t>
      </w:r>
      <w:proofErr w:type="gramStart"/>
      <w:r w:rsidRPr="004E6F59">
        <w:rPr>
          <w:rStyle w:val="Heading4Char"/>
          <w:sz w:val="18"/>
          <w:szCs w:val="18"/>
        </w:rPr>
        <w:t>And</w:t>
      </w:r>
      <w:proofErr w:type="gramEnd"/>
      <w:r w:rsidRPr="004E6F59">
        <w:rPr>
          <w:rStyle w:val="Heading4Char"/>
          <w:sz w:val="18"/>
          <w:szCs w:val="18"/>
        </w:rPr>
        <w:t xml:space="preserve"> Centre: 1990-95</w:t>
      </w:r>
    </w:p>
    <w:p w14:paraId="78CB338F" w14:textId="6844475F" w:rsidR="009B1083" w:rsidRPr="00AA6AF4" w:rsidRDefault="009B1083" w:rsidP="004E6F59">
      <w:pPr>
        <w:spacing w:after="0" w:line="180" w:lineRule="exact"/>
        <w:ind w:left="7920"/>
        <w:rPr>
          <w:rFonts w:ascii="Times New Roman" w:hAnsi="Times New Roman" w:cs="Times New Roman"/>
          <w:szCs w:val="24"/>
        </w:rPr>
      </w:pPr>
      <w:r w:rsidRPr="00703C54">
        <w:rPr>
          <w:rFonts w:ascii="Times New Roman" w:hAnsi="Times New Roman" w:cs="Times New Roman"/>
          <w:i/>
          <w:iCs/>
          <w:sz w:val="18"/>
          <w:szCs w:val="18"/>
        </w:rPr>
        <w:t>(Rs. Crore)</w:t>
      </w:r>
    </w:p>
    <w:tbl>
      <w:tblPr>
        <w:tblStyle w:val="TableGrid"/>
        <w:tblW w:w="8500" w:type="dxa"/>
        <w:jc w:val="center"/>
        <w:tblLook w:val="04A0" w:firstRow="1" w:lastRow="0" w:firstColumn="1" w:lastColumn="0" w:noHBand="0" w:noVBand="1"/>
      </w:tblPr>
      <w:tblGrid>
        <w:gridCol w:w="2262"/>
        <w:gridCol w:w="852"/>
        <w:gridCol w:w="992"/>
        <w:gridCol w:w="992"/>
        <w:gridCol w:w="1134"/>
        <w:gridCol w:w="993"/>
        <w:gridCol w:w="1275"/>
      </w:tblGrid>
      <w:tr w:rsidR="009B1083" w:rsidRPr="00703C54" w14:paraId="02D567B0" w14:textId="77777777" w:rsidTr="004E6F59">
        <w:trPr>
          <w:trHeight w:val="20"/>
          <w:jc w:val="center"/>
        </w:trPr>
        <w:tc>
          <w:tcPr>
            <w:tcW w:w="2262" w:type="dxa"/>
            <w:vAlign w:val="center"/>
            <w:hideMark/>
          </w:tcPr>
          <w:p w14:paraId="2685F24E" w14:textId="77777777" w:rsidR="009B1083" w:rsidRPr="00703C54" w:rsidRDefault="009B1083" w:rsidP="004E6F59">
            <w:pPr>
              <w:pStyle w:val="NoSpacing"/>
              <w:spacing w:line="180" w:lineRule="exact"/>
              <w:rPr>
                <w:rFonts w:ascii="Times New Roman" w:hAnsi="Times New Roman" w:cs="Times New Roman"/>
                <w:sz w:val="18"/>
                <w:szCs w:val="16"/>
              </w:rPr>
            </w:pPr>
          </w:p>
        </w:tc>
        <w:tc>
          <w:tcPr>
            <w:tcW w:w="852" w:type="dxa"/>
            <w:vAlign w:val="center"/>
            <w:hideMark/>
          </w:tcPr>
          <w:p w14:paraId="7BAD6FD3"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1990-91</w:t>
            </w:r>
          </w:p>
        </w:tc>
        <w:tc>
          <w:tcPr>
            <w:tcW w:w="992" w:type="dxa"/>
            <w:vAlign w:val="center"/>
            <w:hideMark/>
          </w:tcPr>
          <w:p w14:paraId="47A7FB85"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1991-92</w:t>
            </w:r>
          </w:p>
        </w:tc>
        <w:tc>
          <w:tcPr>
            <w:tcW w:w="992" w:type="dxa"/>
            <w:vAlign w:val="center"/>
            <w:hideMark/>
          </w:tcPr>
          <w:p w14:paraId="1268FF8D"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1992-93</w:t>
            </w:r>
          </w:p>
        </w:tc>
        <w:tc>
          <w:tcPr>
            <w:tcW w:w="1134" w:type="dxa"/>
            <w:vAlign w:val="center"/>
            <w:hideMark/>
          </w:tcPr>
          <w:p w14:paraId="61207CB8"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1993-94</w:t>
            </w:r>
          </w:p>
        </w:tc>
        <w:tc>
          <w:tcPr>
            <w:tcW w:w="993" w:type="dxa"/>
            <w:vAlign w:val="center"/>
            <w:hideMark/>
          </w:tcPr>
          <w:p w14:paraId="365D7709"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1994-95</w:t>
            </w:r>
          </w:p>
        </w:tc>
        <w:tc>
          <w:tcPr>
            <w:tcW w:w="1275" w:type="dxa"/>
            <w:vAlign w:val="center"/>
            <w:hideMark/>
          </w:tcPr>
          <w:p w14:paraId="3AAC6618" w14:textId="77777777" w:rsidR="009B1083" w:rsidRPr="00703C54" w:rsidRDefault="009B1083" w:rsidP="004E6F59">
            <w:pPr>
              <w:pStyle w:val="NoSpacing"/>
              <w:spacing w:line="180" w:lineRule="exact"/>
              <w:jc w:val="center"/>
              <w:rPr>
                <w:rFonts w:ascii="Times New Roman" w:hAnsi="Times New Roman" w:cs="Times New Roman"/>
                <w:b/>
                <w:bCs/>
                <w:sz w:val="18"/>
                <w:szCs w:val="16"/>
              </w:rPr>
            </w:pPr>
            <w:r w:rsidRPr="00703C54">
              <w:rPr>
                <w:rFonts w:ascii="Times New Roman" w:hAnsi="Times New Roman" w:cs="Times New Roman"/>
                <w:b/>
                <w:bCs/>
                <w:sz w:val="18"/>
                <w:szCs w:val="16"/>
              </w:rPr>
              <w:t>Total 1990-95</w:t>
            </w:r>
          </w:p>
        </w:tc>
      </w:tr>
      <w:tr w:rsidR="009B1083" w:rsidRPr="00703C54" w14:paraId="17A87DD5" w14:textId="77777777" w:rsidTr="004E6F59">
        <w:trPr>
          <w:trHeight w:val="20"/>
          <w:jc w:val="center"/>
        </w:trPr>
        <w:tc>
          <w:tcPr>
            <w:tcW w:w="2262" w:type="dxa"/>
            <w:vAlign w:val="center"/>
            <w:hideMark/>
          </w:tcPr>
          <w:p w14:paraId="4FF76A8E"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1. States' Gross Surplus (+)</w:t>
            </w:r>
          </w:p>
        </w:tc>
        <w:tc>
          <w:tcPr>
            <w:tcW w:w="852" w:type="dxa"/>
            <w:vAlign w:val="center"/>
            <w:hideMark/>
          </w:tcPr>
          <w:p w14:paraId="61BFBC74"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2536</w:t>
            </w:r>
          </w:p>
        </w:tc>
        <w:tc>
          <w:tcPr>
            <w:tcW w:w="992" w:type="dxa"/>
            <w:vAlign w:val="center"/>
            <w:hideMark/>
          </w:tcPr>
          <w:p w14:paraId="13AD8A15"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3631</w:t>
            </w:r>
          </w:p>
        </w:tc>
        <w:tc>
          <w:tcPr>
            <w:tcW w:w="992" w:type="dxa"/>
            <w:vAlign w:val="center"/>
            <w:hideMark/>
          </w:tcPr>
          <w:p w14:paraId="0396F63D"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4943</w:t>
            </w:r>
          </w:p>
        </w:tc>
        <w:tc>
          <w:tcPr>
            <w:tcW w:w="1134" w:type="dxa"/>
            <w:vAlign w:val="center"/>
            <w:hideMark/>
          </w:tcPr>
          <w:p w14:paraId="517134E3"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6813</w:t>
            </w:r>
          </w:p>
        </w:tc>
        <w:tc>
          <w:tcPr>
            <w:tcW w:w="993" w:type="dxa"/>
            <w:vAlign w:val="center"/>
            <w:hideMark/>
          </w:tcPr>
          <w:p w14:paraId="7F06C12D"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8834</w:t>
            </w:r>
          </w:p>
        </w:tc>
        <w:tc>
          <w:tcPr>
            <w:tcW w:w="1275" w:type="dxa"/>
            <w:vAlign w:val="center"/>
            <w:hideMark/>
          </w:tcPr>
          <w:p w14:paraId="412DDDF3"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26757</w:t>
            </w:r>
          </w:p>
        </w:tc>
      </w:tr>
      <w:tr w:rsidR="009B1083" w:rsidRPr="00703C54" w14:paraId="2A108951" w14:textId="77777777" w:rsidTr="004E6F59">
        <w:trPr>
          <w:trHeight w:val="20"/>
          <w:jc w:val="center"/>
        </w:trPr>
        <w:tc>
          <w:tcPr>
            <w:tcW w:w="2262" w:type="dxa"/>
            <w:vAlign w:val="center"/>
            <w:hideMark/>
          </w:tcPr>
          <w:p w14:paraId="35F023F4"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2. States' Gross Deficit (-)</w:t>
            </w:r>
          </w:p>
        </w:tc>
        <w:tc>
          <w:tcPr>
            <w:tcW w:w="852" w:type="dxa"/>
            <w:vAlign w:val="center"/>
            <w:hideMark/>
          </w:tcPr>
          <w:p w14:paraId="58A01DBB"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2517</w:t>
            </w:r>
          </w:p>
        </w:tc>
        <w:tc>
          <w:tcPr>
            <w:tcW w:w="992" w:type="dxa"/>
            <w:vAlign w:val="center"/>
            <w:hideMark/>
          </w:tcPr>
          <w:p w14:paraId="11A183D3"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1825</w:t>
            </w:r>
          </w:p>
        </w:tc>
        <w:tc>
          <w:tcPr>
            <w:tcW w:w="992" w:type="dxa"/>
            <w:vAlign w:val="center"/>
            <w:hideMark/>
          </w:tcPr>
          <w:p w14:paraId="7C4AF6E9"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1164</w:t>
            </w:r>
          </w:p>
        </w:tc>
        <w:tc>
          <w:tcPr>
            <w:tcW w:w="1134" w:type="dxa"/>
            <w:vAlign w:val="center"/>
            <w:hideMark/>
          </w:tcPr>
          <w:p w14:paraId="62EF50DD"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746</w:t>
            </w:r>
          </w:p>
        </w:tc>
        <w:tc>
          <w:tcPr>
            <w:tcW w:w="993" w:type="dxa"/>
            <w:vAlign w:val="center"/>
            <w:hideMark/>
          </w:tcPr>
          <w:p w14:paraId="11FE10D2"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633</w:t>
            </w:r>
          </w:p>
        </w:tc>
        <w:tc>
          <w:tcPr>
            <w:tcW w:w="1275" w:type="dxa"/>
            <w:vAlign w:val="center"/>
            <w:hideMark/>
          </w:tcPr>
          <w:p w14:paraId="5AD7F64B"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6885</w:t>
            </w:r>
          </w:p>
        </w:tc>
      </w:tr>
      <w:tr w:rsidR="009B1083" w:rsidRPr="00703C54" w14:paraId="55D2348B" w14:textId="77777777" w:rsidTr="004E6F59">
        <w:trPr>
          <w:trHeight w:val="20"/>
          <w:jc w:val="center"/>
        </w:trPr>
        <w:tc>
          <w:tcPr>
            <w:tcW w:w="2262" w:type="dxa"/>
            <w:vAlign w:val="center"/>
            <w:hideMark/>
          </w:tcPr>
          <w:p w14:paraId="5770BBBF"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3. Centre's Deficit (-)</w:t>
            </w:r>
          </w:p>
        </w:tc>
        <w:tc>
          <w:tcPr>
            <w:tcW w:w="852" w:type="dxa"/>
            <w:vAlign w:val="center"/>
            <w:hideMark/>
          </w:tcPr>
          <w:p w14:paraId="1ADF67A1"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8520</w:t>
            </w:r>
          </w:p>
        </w:tc>
        <w:tc>
          <w:tcPr>
            <w:tcW w:w="992" w:type="dxa"/>
            <w:vAlign w:val="center"/>
            <w:hideMark/>
          </w:tcPr>
          <w:p w14:paraId="07974BC8"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7600</w:t>
            </w:r>
          </w:p>
        </w:tc>
        <w:tc>
          <w:tcPr>
            <w:tcW w:w="992" w:type="dxa"/>
            <w:vAlign w:val="center"/>
            <w:hideMark/>
          </w:tcPr>
          <w:p w14:paraId="5242E549"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6480</w:t>
            </w:r>
          </w:p>
        </w:tc>
        <w:tc>
          <w:tcPr>
            <w:tcW w:w="1134" w:type="dxa"/>
            <w:vAlign w:val="center"/>
            <w:hideMark/>
          </w:tcPr>
          <w:p w14:paraId="6B63131C"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4935</w:t>
            </w:r>
          </w:p>
        </w:tc>
        <w:tc>
          <w:tcPr>
            <w:tcW w:w="993" w:type="dxa"/>
            <w:vAlign w:val="center"/>
            <w:hideMark/>
          </w:tcPr>
          <w:p w14:paraId="52E10119"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3103</w:t>
            </w:r>
          </w:p>
        </w:tc>
        <w:tc>
          <w:tcPr>
            <w:tcW w:w="1275" w:type="dxa"/>
            <w:vAlign w:val="center"/>
            <w:hideMark/>
          </w:tcPr>
          <w:p w14:paraId="1CF3F387"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30638</w:t>
            </w:r>
          </w:p>
        </w:tc>
      </w:tr>
      <w:tr w:rsidR="009B1083" w:rsidRPr="00703C54" w14:paraId="44849A1A" w14:textId="77777777" w:rsidTr="004E6F59">
        <w:trPr>
          <w:trHeight w:val="20"/>
          <w:jc w:val="center"/>
        </w:trPr>
        <w:tc>
          <w:tcPr>
            <w:tcW w:w="2262" w:type="dxa"/>
            <w:vAlign w:val="center"/>
            <w:hideMark/>
          </w:tcPr>
          <w:p w14:paraId="7C36A2AB" w14:textId="77777777" w:rsidR="009B1083" w:rsidRPr="00703C54" w:rsidRDefault="009B1083" w:rsidP="004E6F59">
            <w:pPr>
              <w:pStyle w:val="NoSpacing"/>
              <w:spacing w:line="180" w:lineRule="exact"/>
              <w:rPr>
                <w:rFonts w:ascii="Times New Roman" w:hAnsi="Times New Roman" w:cs="Times New Roman"/>
                <w:sz w:val="18"/>
                <w:szCs w:val="16"/>
              </w:rPr>
            </w:pPr>
            <w:r w:rsidRPr="00703C54">
              <w:rPr>
                <w:rFonts w:ascii="Times New Roman" w:hAnsi="Times New Roman" w:cs="Times New Roman"/>
                <w:sz w:val="18"/>
                <w:szCs w:val="16"/>
              </w:rPr>
              <w:t>4 Net Total</w:t>
            </w:r>
          </w:p>
        </w:tc>
        <w:tc>
          <w:tcPr>
            <w:tcW w:w="852" w:type="dxa"/>
            <w:vAlign w:val="center"/>
            <w:hideMark/>
          </w:tcPr>
          <w:p w14:paraId="570B62B8"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(-)850</w:t>
            </w:r>
          </w:p>
        </w:tc>
        <w:tc>
          <w:tcPr>
            <w:tcW w:w="992" w:type="dxa"/>
            <w:vAlign w:val="center"/>
            <w:hideMark/>
          </w:tcPr>
          <w:p w14:paraId="6AD71C8F"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(-)5794</w:t>
            </w:r>
          </w:p>
        </w:tc>
        <w:tc>
          <w:tcPr>
            <w:tcW w:w="992" w:type="dxa"/>
            <w:vAlign w:val="center"/>
            <w:hideMark/>
          </w:tcPr>
          <w:p w14:paraId="596F937B"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(-)2701</w:t>
            </w:r>
          </w:p>
        </w:tc>
        <w:tc>
          <w:tcPr>
            <w:tcW w:w="1134" w:type="dxa"/>
            <w:vAlign w:val="center"/>
            <w:hideMark/>
          </w:tcPr>
          <w:p w14:paraId="2879C780"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(+)1132</w:t>
            </w:r>
          </w:p>
        </w:tc>
        <w:tc>
          <w:tcPr>
            <w:tcW w:w="993" w:type="dxa"/>
            <w:vAlign w:val="center"/>
            <w:hideMark/>
          </w:tcPr>
          <w:p w14:paraId="62E74FF7"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(+)5098</w:t>
            </w:r>
          </w:p>
        </w:tc>
        <w:tc>
          <w:tcPr>
            <w:tcW w:w="1275" w:type="dxa"/>
            <w:vAlign w:val="center"/>
            <w:hideMark/>
          </w:tcPr>
          <w:p w14:paraId="5EF3A818" w14:textId="77777777" w:rsidR="009B1083" w:rsidRPr="00703C54" w:rsidRDefault="009B1083" w:rsidP="004E6F59">
            <w:pPr>
              <w:pStyle w:val="NoSpacing"/>
              <w:spacing w:line="180" w:lineRule="exact"/>
              <w:jc w:val="center"/>
              <w:rPr>
                <w:rFonts w:ascii="Times New Roman" w:hAnsi="Times New Roman" w:cs="Times New Roman"/>
                <w:sz w:val="18"/>
                <w:szCs w:val="16"/>
              </w:rPr>
            </w:pPr>
            <w:r w:rsidRPr="00703C54">
              <w:rPr>
                <w:rFonts w:ascii="Times New Roman" w:hAnsi="Times New Roman" w:cs="Times New Roman"/>
                <w:sz w:val="18"/>
                <w:szCs w:val="16"/>
              </w:rPr>
              <w:t>(-)10766</w:t>
            </w:r>
          </w:p>
        </w:tc>
      </w:tr>
    </w:tbl>
    <w:p w14:paraId="2E18BB2D" w14:textId="77777777" w:rsidR="009B1083" w:rsidRPr="00703C54" w:rsidRDefault="009B1083" w:rsidP="004E6F59">
      <w:pPr>
        <w:spacing w:before="240" w:after="0" w:line="180" w:lineRule="exact"/>
        <w:ind w:left="284"/>
        <w:jc w:val="both"/>
        <w:rPr>
          <w:rFonts w:ascii="Times New Roman" w:hAnsi="Times New Roman" w:cs="Times New Roman"/>
          <w:sz w:val="18"/>
          <w:szCs w:val="18"/>
        </w:rPr>
      </w:pPr>
      <w:r w:rsidRPr="00703C54">
        <w:rPr>
          <w:rFonts w:ascii="Times New Roman" w:hAnsi="Times New Roman" w:cs="Times New Roman"/>
          <w:sz w:val="18"/>
          <w:szCs w:val="18"/>
        </w:rPr>
        <w:t xml:space="preserve">Both in the States and the Centre, deficit levels are estimated to come down steadily. In the last two years of the Eighth Plan, there will be net surplus in the overall revenue account. In 1994-95, the net surplus consists of gross surplus of Rs. 8834 </w:t>
      </w:r>
      <w:proofErr w:type="gramStart"/>
      <w:r w:rsidRPr="00703C54">
        <w:rPr>
          <w:rFonts w:ascii="Times New Roman" w:hAnsi="Times New Roman" w:cs="Times New Roman"/>
          <w:sz w:val="18"/>
          <w:szCs w:val="18"/>
        </w:rPr>
        <w:t>crore</w:t>
      </w:r>
      <w:proofErr w:type="gramEnd"/>
      <w:r w:rsidRPr="00703C54">
        <w:rPr>
          <w:rFonts w:ascii="Times New Roman" w:hAnsi="Times New Roman" w:cs="Times New Roman"/>
          <w:sz w:val="18"/>
          <w:szCs w:val="18"/>
        </w:rPr>
        <w:t xml:space="preserve"> in 21 States, gross deficit of Rs. 633 </w:t>
      </w:r>
      <w:proofErr w:type="gramStart"/>
      <w:r w:rsidRPr="00703C54">
        <w:rPr>
          <w:rFonts w:ascii="Times New Roman" w:hAnsi="Times New Roman" w:cs="Times New Roman"/>
          <w:sz w:val="18"/>
          <w:szCs w:val="18"/>
        </w:rPr>
        <w:t>crore</w:t>
      </w:r>
      <w:proofErr w:type="gramEnd"/>
      <w:r w:rsidRPr="00703C54">
        <w:rPr>
          <w:rFonts w:ascii="Times New Roman" w:hAnsi="Times New Roman" w:cs="Times New Roman"/>
          <w:sz w:val="18"/>
          <w:szCs w:val="18"/>
        </w:rPr>
        <w:t xml:space="preserve"> in 4 States, and a deficit of Rs. 3,103 </w:t>
      </w:r>
      <w:proofErr w:type="gramStart"/>
      <w:r w:rsidRPr="00703C54">
        <w:rPr>
          <w:rFonts w:ascii="Times New Roman" w:hAnsi="Times New Roman" w:cs="Times New Roman"/>
          <w:sz w:val="18"/>
          <w:szCs w:val="18"/>
        </w:rPr>
        <w:t>crore</w:t>
      </w:r>
      <w:proofErr w:type="gramEnd"/>
      <w:r w:rsidRPr="00703C54">
        <w:rPr>
          <w:rFonts w:ascii="Times New Roman" w:hAnsi="Times New Roman" w:cs="Times New Roman"/>
          <w:sz w:val="18"/>
          <w:szCs w:val="18"/>
        </w:rPr>
        <w:t xml:space="preserve"> in the Centre's revenue account.</w:t>
      </w:r>
    </w:p>
    <w:p w14:paraId="05D17E20" w14:textId="380D2314" w:rsidR="009B1083" w:rsidRPr="00AA6AF4" w:rsidRDefault="009B1083" w:rsidP="004E6F59">
      <w:pPr>
        <w:pStyle w:val="Heading3"/>
        <w:spacing w:after="0" w:line="180" w:lineRule="exact"/>
      </w:pPr>
      <w:r w:rsidRPr="00AA6AF4">
        <w:t xml:space="preserve">It may be seen that the net overall revenue deficit in the States and the Centre together for the five-year period (1990-95) is Rs. 10,766 </w:t>
      </w:r>
      <w:proofErr w:type="gramStart"/>
      <w:r w:rsidRPr="00AA6AF4">
        <w:t>crore</w:t>
      </w:r>
      <w:proofErr w:type="gramEnd"/>
      <w:r w:rsidRPr="00AA6AF4">
        <w:t>. We have noted the fact that the States which have deficits will have to divert their borrowings to meet their part of the revenue deficit. However, the position that emerges from our recommendations (particularly regarding developmental grants to partly meet Plan deficit) is substantially better than the position those States would find themselves in if, as before, only non-Plan deficits were tackled by the Finance Commission. Therefore, it is reasonable to expect the deficit States to make some extra efforts to fill their remaining overall revenue account gap. If they do that and reduce their revenue deficits substantially from the levels assessed by us, the Planning Commission may consider giving them special long-term loans to cover a part of the remaining revenue deficit so that only a minor part of the overall revenue deficits of those States will have to be met by diverting their normal borrowings.</w:t>
      </w:r>
    </w:p>
    <w:p w14:paraId="1B025190" w14:textId="292B5F53" w:rsidR="009B1083" w:rsidRPr="00AA6AF4" w:rsidRDefault="009B1083" w:rsidP="00703C54">
      <w:pPr>
        <w:spacing w:line="180" w:lineRule="exact"/>
        <w:rPr>
          <w:rFonts w:ascii="Times New Roman" w:hAnsi="Times New Roman" w:cs="Times New Roman"/>
          <w:b/>
          <w:bCs/>
          <w:szCs w:val="24"/>
        </w:rPr>
      </w:pPr>
      <w:r w:rsidRPr="00AA6AF4">
        <w:rPr>
          <w:rFonts w:ascii="Times New Roman" w:hAnsi="Times New Roman" w:cs="Times New Roman"/>
          <w:b/>
          <w:bCs/>
          <w:szCs w:val="24"/>
        </w:rPr>
        <w:br w:type="page"/>
      </w:r>
    </w:p>
    <w:p w14:paraId="5B511D8A" w14:textId="594FADA8" w:rsidR="00D4360D" w:rsidRPr="00AA6AF4" w:rsidRDefault="00703C54" w:rsidP="007526EE">
      <w:pPr>
        <w:pStyle w:val="Heading1"/>
        <w:ind w:left="0" w:firstLine="0"/>
      </w:pPr>
      <w:r>
        <w:lastRenderedPageBreak/>
        <w:br/>
      </w:r>
      <w:bookmarkStart w:id="15" w:name="_Toc221292964"/>
      <w:bookmarkStart w:id="16" w:name="_Toc222399456"/>
      <w:r w:rsidR="00D4360D" w:rsidRPr="00703C54">
        <w:rPr>
          <w:sz w:val="24"/>
          <w:szCs w:val="24"/>
        </w:rPr>
        <w:t>MERGER OF</w:t>
      </w:r>
      <w:r w:rsidR="00D4360D" w:rsidRPr="00AA6AF4">
        <w:t xml:space="preserve"> </w:t>
      </w:r>
      <w:r w:rsidR="00D4360D" w:rsidRPr="00703C54">
        <w:rPr>
          <w:sz w:val="24"/>
          <w:szCs w:val="24"/>
        </w:rPr>
        <w:t>ADDITIONAL DUTIES OF EXCISE WITH BASIC DUTIES OF EXCISE</w:t>
      </w:r>
      <w:bookmarkEnd w:id="15"/>
      <w:bookmarkEnd w:id="16"/>
    </w:p>
    <w:p w14:paraId="51E72880" w14:textId="08EC7AE3" w:rsidR="00D4360D" w:rsidRPr="00904ADF" w:rsidRDefault="00D4360D" w:rsidP="00BC6497">
      <w:pPr>
        <w:pStyle w:val="Heading3"/>
        <w:spacing w:line="180" w:lineRule="exact"/>
        <w:ind w:firstLine="272"/>
        <w:rPr>
          <w:sz w:val="20"/>
          <w:szCs w:val="20"/>
        </w:rPr>
      </w:pPr>
      <w:r w:rsidRPr="00904ADF">
        <w:rPr>
          <w:sz w:val="20"/>
          <w:szCs w:val="20"/>
        </w:rPr>
        <w:t>Under paragraph 7 of the terms of reference we are required to examine the feasibility of the merger of Additional Duties of Excise in lieu of Sales Tax with Basic Duties of Excise and evolve a suitable formula for allocating a part of the duties of excise in respect of goods described in column 3 of the First Schedule to the Additional Duties of Excise (Goods of Special Importance) Act, 1957, for distribution among the States. We did not make any recommendation on the feasibility of the suggested merger in our first report as we wanted to examine the issue in greater depth and complete our discussions with all the States. We were also keen that before we considered this matter, the outstanding issues relating to the operation of the tax rental arrangement should be sorted out to the extent possible in order to create an environment for a dispassionate approach to the issue by the States. We have since completed our discussions with the States and we are now better aware of their views on this matter.</w:t>
      </w:r>
    </w:p>
    <w:p w14:paraId="2C098986" w14:textId="01DFED04" w:rsidR="00D4360D" w:rsidRPr="00904ADF" w:rsidRDefault="00D4360D" w:rsidP="00BC6497">
      <w:pPr>
        <w:pStyle w:val="Heading3"/>
        <w:spacing w:line="180" w:lineRule="exact"/>
        <w:ind w:firstLine="272"/>
        <w:rPr>
          <w:sz w:val="20"/>
          <w:szCs w:val="20"/>
        </w:rPr>
      </w:pPr>
      <w:r w:rsidRPr="00904ADF">
        <w:rPr>
          <w:sz w:val="20"/>
          <w:szCs w:val="20"/>
        </w:rPr>
        <w:t xml:space="preserve">The concept of merger was mentioned in the </w:t>
      </w:r>
      <w:proofErr w:type="gramStart"/>
      <w:r w:rsidRPr="00904ADF">
        <w:rPr>
          <w:sz w:val="20"/>
          <w:szCs w:val="20"/>
        </w:rPr>
        <w:t>Long Term</w:t>
      </w:r>
      <w:proofErr w:type="gramEnd"/>
      <w:r w:rsidRPr="00904ADF">
        <w:rPr>
          <w:sz w:val="20"/>
          <w:szCs w:val="20"/>
        </w:rPr>
        <w:t xml:space="preserve"> Fiscal Policy (LTFP) announcement of the Central Government. As a measure of simplification of the assessment procedures under Central Excise law, it was suggested in the policy document that Special Excise Duties which were levied as a percentage of the </w:t>
      </w:r>
      <w:proofErr w:type="gramStart"/>
      <w:r w:rsidRPr="00904ADF">
        <w:rPr>
          <w:sz w:val="20"/>
          <w:szCs w:val="20"/>
        </w:rPr>
        <w:t>amount</w:t>
      </w:r>
      <w:proofErr w:type="gramEnd"/>
      <w:r w:rsidRPr="00904ADF">
        <w:rPr>
          <w:sz w:val="20"/>
          <w:szCs w:val="20"/>
        </w:rPr>
        <w:t xml:space="preserve"> of basic duties should be merged with them. The policy document also indicated that the merger of additional duties with basic duties was desirable, though not feasible immediately. There was a commitment to refer the matter to the next Finance Commission. It would be worth mentioning here that the proposed merger of Basic and Special Excise Duties was carried out through the budgetary changes of 1986-87 and 1987-88. In the Budget of 1988-89, however, the Special Excise Duties were brought back as a separate levy.</w:t>
      </w:r>
    </w:p>
    <w:p w14:paraId="04ED970D" w14:textId="266F0E7C" w:rsidR="00D4360D" w:rsidRPr="00904ADF" w:rsidRDefault="00D4360D" w:rsidP="00BC6497">
      <w:pPr>
        <w:pStyle w:val="Heading3"/>
        <w:spacing w:line="180" w:lineRule="exact"/>
        <w:ind w:firstLine="272"/>
        <w:rPr>
          <w:sz w:val="20"/>
          <w:szCs w:val="20"/>
        </w:rPr>
      </w:pPr>
      <w:r w:rsidRPr="00904ADF">
        <w:rPr>
          <w:sz w:val="20"/>
          <w:szCs w:val="20"/>
        </w:rPr>
        <w:t>Let us turn now to the views of the States. All the States except Arunachal Pradesh, Mizoram, Meghalaya and Goa have opposed the concept of merger. Arunachal Pradesh, Mizoram and Goa are erstwhile Union Territories and the first two are not levying even Sales Tax. States like Andhra Pradesh, Bihar, Haryana, Tamil Nadu and Uttar Pradesh opposed the very inclusion of this subject in the terms of reference assigned to us. The opposition was based on the ground that since Additional Duties of Excise were levied pursuant to the decision of the National Development Council (NDC) in 1956, the matter, in all fairness, should have been first referred to it. Maharashtra also questioned the competence of the Union Government to refer the question to the Finance Commission unilaterally, without the concurrence of the States or the endorsement of NDC. States like Andhra Pradesh, Bihar, Gujarat, Madhya Pradesh and West Bengal also apprehend that the proposed merger would remove completely the identity of Additional Duties of Excise as a separate levy and this would prejudice the interests of the States, Gujarat, Orissa, and Punjab apprehend that the inherent right of the States to re-impose Sales Tax on any of the commodities would be lost totally in the event of the merger.</w:t>
      </w:r>
    </w:p>
    <w:p w14:paraId="29C87822" w14:textId="2541B27D" w:rsidR="00D4360D" w:rsidRPr="00904ADF" w:rsidRDefault="00D4360D" w:rsidP="00BC6497">
      <w:pPr>
        <w:pStyle w:val="Heading3"/>
        <w:spacing w:line="180" w:lineRule="exact"/>
        <w:ind w:firstLine="272"/>
        <w:rPr>
          <w:sz w:val="20"/>
          <w:szCs w:val="20"/>
        </w:rPr>
      </w:pPr>
      <w:r w:rsidRPr="00904ADF">
        <w:rPr>
          <w:sz w:val="20"/>
          <w:szCs w:val="20"/>
        </w:rPr>
        <w:t xml:space="preserve">Much of the opposition against merger stems from the manner in which the tax rental arrangement was administered in the past. The States referred particularly to the decision of the National Development Council in December, 1970, under which, within a period of two to three years, the proceeds from Additional Duties of Excise were scheduled to attain a level of 10.8 per cent of the value of clearances and the ratio between the yields from Basic Duties of Excise and Additional Duties of Excise on the three commodities was intended to be brought up to 2:1. While the latter commitment was fulfilled in recent years, the first, which was required to be done within, say, three years of the meeting of the National Development Council in 1970, still remains unrealised. There has been a further complaint that, apart from the fact that the Government of India did not </w:t>
      </w:r>
      <w:proofErr w:type="spellStart"/>
      <w:r w:rsidRPr="00904ADF">
        <w:rPr>
          <w:sz w:val="20"/>
          <w:szCs w:val="20"/>
        </w:rPr>
        <w:t>fulfill</w:t>
      </w:r>
      <w:proofErr w:type="spellEnd"/>
      <w:r w:rsidRPr="00904ADF">
        <w:rPr>
          <w:sz w:val="20"/>
          <w:szCs w:val="20"/>
        </w:rPr>
        <w:t xml:space="preserve"> its promises in regard to realisations from this levy, it had unduly expanded the coverage of the goods by resorting to definitional changes precluding thereby larger areas from the levy of Sales Tax. Many commodities were also subjected to 'nil' rate of duty. These commodities, therefore, were free not merely from the levy of Additional Duties of Excise but they also escaped the liability to Sales Tax which the States were prevented from imposing for fear of forfeiting their share in the proceeds from Additional Duties of Excise. In the context of their unhappy experience with the implementation of tax rental arrangement in the past, some States went to the extent of urging that the arrangement for the levy of Additional Duties of Excise in lieu of Sales Tax should be scrapped altogether and status quo ante restored.</w:t>
      </w:r>
    </w:p>
    <w:p w14:paraId="0AB582DA" w14:textId="5F2D04B7" w:rsidR="00D4360D" w:rsidRPr="00904ADF" w:rsidRDefault="00D4360D" w:rsidP="00BC6497">
      <w:pPr>
        <w:pStyle w:val="Heading3"/>
        <w:spacing w:line="180" w:lineRule="exact"/>
        <w:ind w:firstLine="272"/>
        <w:rPr>
          <w:sz w:val="20"/>
          <w:szCs w:val="20"/>
        </w:rPr>
      </w:pPr>
      <w:r w:rsidRPr="00904ADF">
        <w:rPr>
          <w:sz w:val="20"/>
          <w:szCs w:val="20"/>
        </w:rPr>
        <w:t xml:space="preserve">Most of the States also felt strongly about the low yield from Additional Duties of Excise. Punjab wanted to be compensated for the delay in achieving the incidence of 10.8 per cent of the value of clearances. Andhra Pradesh complained that its Sales Tax revenue increased </w:t>
      </w:r>
      <w:proofErr w:type="gramStart"/>
      <w:r w:rsidRPr="00904ADF">
        <w:rPr>
          <w:sz w:val="20"/>
          <w:szCs w:val="20"/>
        </w:rPr>
        <w:t>sixty nine</w:t>
      </w:r>
      <w:proofErr w:type="gramEnd"/>
      <w:r w:rsidRPr="00904ADF">
        <w:rPr>
          <w:sz w:val="20"/>
          <w:szCs w:val="20"/>
        </w:rPr>
        <w:t xml:space="preserve"> times during 1959-60 to 1986-87 against a three-time growth in its share of Additional Duties of Excise. The position is not much different in the case of Tripura as well, where, according to the State Government, the increase in revenues from Sales Tax in the last 10 years was sixteen times whereas the same from Additional Duties of Excise was three times. Haryana recited a similar experience and, in fact, suggested the scrapping of this tax rental arrangement. From our discussions with the States and also from the memoranda received on this matter it was clear that almost all the States - barring a few exceptions - were opposed to the idea of merger.</w:t>
      </w:r>
    </w:p>
    <w:p w14:paraId="70699825" w14:textId="39FC2B2F" w:rsidR="00D4360D" w:rsidRPr="00904ADF" w:rsidRDefault="00D4360D" w:rsidP="00BC6497">
      <w:pPr>
        <w:pStyle w:val="Heading3"/>
        <w:spacing w:line="180" w:lineRule="exact"/>
        <w:ind w:firstLine="272"/>
        <w:rPr>
          <w:sz w:val="20"/>
          <w:szCs w:val="20"/>
        </w:rPr>
      </w:pPr>
      <w:r w:rsidRPr="00904ADF">
        <w:rPr>
          <w:sz w:val="20"/>
          <w:szCs w:val="20"/>
        </w:rPr>
        <w:t xml:space="preserve">As stated before, the issue of merger has been referred to us with a view to bringing about a certain measure of simplification of and streamlining in the assessment procedure under the Central Excise law. The case for the merger, however, gets substantially weakened when one takes into consideration the fact that the Union Government itself has not made any serious effort to reduce the multiplicity of levies. The Special Excise Duties which were merged with Basic Duties of Excise in 1986-87 and 1987-88 were brought back as a separate levy in 1988-89. The revival of Special Excise Duties as a separate levy after its merger in earlier years robs the concept of merger of its rationale as a tax reform measure. One cannot also ignore that even if the merger is </w:t>
      </w:r>
      <w:proofErr w:type="gramStart"/>
      <w:r w:rsidRPr="00904ADF">
        <w:rPr>
          <w:sz w:val="20"/>
          <w:szCs w:val="20"/>
        </w:rPr>
        <w:t>effected</w:t>
      </w:r>
      <w:proofErr w:type="gramEnd"/>
      <w:r w:rsidRPr="00904ADF">
        <w:rPr>
          <w:sz w:val="20"/>
          <w:szCs w:val="20"/>
        </w:rPr>
        <w:t>, separate imposts in the form of cess would still be leviable on sugar and bidis by virtue of the Sugar Cess Act, 1982, and the Bidi Workers Welfare Cess Act, 1976, for raising resources for the development of the sugar industry and the welfare of bidi workers, respectively. In respect of fabrics, there would be not one, but two other levies, namely, Handloom Cess and the Additional Duties of Excise (Textile and Textile Articles). We note that while the Eighth Finance Commission recommended the containment of these cesses and the LTFP proclaimed the Government's intention to reduce their number no concrete step appears to have been taken in this regard.</w:t>
      </w:r>
    </w:p>
    <w:p w14:paraId="1DFEB110" w14:textId="7E13FB84" w:rsidR="00D4360D" w:rsidRPr="00904ADF" w:rsidRDefault="00D4360D" w:rsidP="00BC6497">
      <w:pPr>
        <w:pStyle w:val="Heading3"/>
        <w:spacing w:line="180" w:lineRule="exact"/>
        <w:ind w:firstLine="272"/>
        <w:rPr>
          <w:sz w:val="20"/>
          <w:szCs w:val="20"/>
        </w:rPr>
      </w:pPr>
      <w:r w:rsidRPr="00904ADF">
        <w:rPr>
          <w:sz w:val="20"/>
          <w:szCs w:val="20"/>
        </w:rPr>
        <w:t>As the tax rental arrangement was brought into being with the consent of the States, any major modification in the arrangement should also be brought about with the consent of all the parties. But almost all the States have strongly opposed the issue of merger. As a matter of fact, the proposal for merger is perceived by the States as a threat to their financial interests and a further irritant in the Centre-State fiscal relations. The reservations of the States on this point were also expressed at the meeting of the Chief Ministers on financial matters convened by the Union Government on February 9-10, 1989, at New Delhi. We, therefore, do not recommend the merger of Additional Duties of Excise with Basic Duties of Excise.</w:t>
      </w:r>
    </w:p>
    <w:p w14:paraId="4EDB82C3" w14:textId="01DA1749" w:rsidR="00D4360D" w:rsidRPr="00904ADF" w:rsidRDefault="00D4360D" w:rsidP="00BC6497">
      <w:pPr>
        <w:pStyle w:val="Heading3"/>
        <w:spacing w:line="180" w:lineRule="exact"/>
        <w:ind w:firstLine="272"/>
        <w:rPr>
          <w:sz w:val="20"/>
          <w:szCs w:val="20"/>
        </w:rPr>
      </w:pPr>
      <w:r w:rsidRPr="00904ADF">
        <w:rPr>
          <w:sz w:val="20"/>
          <w:szCs w:val="20"/>
        </w:rPr>
        <w:t>We would like to now touch upon the issue of the incidence of Additional Excise Duties. The incidence of Additional Excise Duties should be brought up to 10.8 per cent by the end of 1989-90. We have been informed by the Ministry of Finance that the incidence had reached 10.7 per cent at the end of 1988-89. We would expect that the committed level of 10.8 per cent would be actually achieved by the end of 1989-90. We recommend that during the report period, if in any year the ad valorem incidence of Additional Duties of Excise falls short of the level of 10.8 per cent of the value of clearances, the shortfall should be made good (as soon as accounts are available) by Government of India by providing equivalent amount by way of grant-in-aid to be distributed amongst the States and the Union Territories in the same manner as worked out for sharing the proceeds in paragraph 5.20.</w:t>
      </w:r>
    </w:p>
    <w:p w14:paraId="2E57AD6E" w14:textId="7A54FCC1" w:rsidR="00D4360D" w:rsidRPr="00904ADF" w:rsidRDefault="00D4360D" w:rsidP="00BC6497">
      <w:pPr>
        <w:pStyle w:val="Heading3"/>
        <w:spacing w:line="180" w:lineRule="exact"/>
        <w:ind w:firstLine="272"/>
        <w:rPr>
          <w:sz w:val="20"/>
          <w:szCs w:val="20"/>
        </w:rPr>
      </w:pPr>
      <w:r w:rsidRPr="00904ADF">
        <w:rPr>
          <w:sz w:val="20"/>
          <w:szCs w:val="20"/>
        </w:rPr>
        <w:lastRenderedPageBreak/>
        <w:t>As a follow-up of our recommendation in paragraph 7.16 of our first report, the Central Government has asked the National Institute of Public Finance and Policy to conduct a study to assess the revenue loss suffered by the States on account of exemptions of Additional Duties of Excise allowed by the Central Government. It has also undertaken to review these exemptions to ascertain whether there is adequate justification to continue them. The feasibility of converting the rates of Additional Duties of Excise which are now specific into ad valorem is also under examination by the Central Government. We have no doubt that appropriate action, in due course, will be taken by Government of India to redress the grievances of the States.</w:t>
      </w:r>
    </w:p>
    <w:p w14:paraId="45C17562" w14:textId="77777777" w:rsidR="00D4360D" w:rsidRPr="00AA6AF4" w:rsidRDefault="00D4360D" w:rsidP="00BC6497">
      <w:pPr>
        <w:pStyle w:val="Heading3"/>
        <w:spacing w:line="180" w:lineRule="exact"/>
        <w:ind w:firstLine="272"/>
        <w:rPr>
          <w:b/>
          <w:bCs/>
        </w:rPr>
      </w:pPr>
      <w:r w:rsidRPr="00AA6AF4">
        <w:rPr>
          <w:b/>
          <w:bCs/>
        </w:rPr>
        <w:br w:type="page"/>
      </w:r>
    </w:p>
    <w:p w14:paraId="7C9A4754" w14:textId="4D752749" w:rsidR="00D4360D" w:rsidRPr="00BC6497" w:rsidRDefault="00BC6497" w:rsidP="007526EE">
      <w:pPr>
        <w:pStyle w:val="Heading1"/>
        <w:ind w:left="0" w:hanging="6"/>
      </w:pPr>
      <w:r>
        <w:lastRenderedPageBreak/>
        <w:br/>
      </w:r>
      <w:bookmarkStart w:id="17" w:name="_Toc221292965"/>
      <w:bookmarkStart w:id="18" w:name="_Toc222399457"/>
      <w:r w:rsidR="00D4360D" w:rsidRPr="00BC6497">
        <w:rPr>
          <w:sz w:val="24"/>
          <w:szCs w:val="24"/>
        </w:rPr>
        <w:t>DEBT POSITION OF THE STATES AND CORRECTIVE MEASURES</w:t>
      </w:r>
      <w:bookmarkEnd w:id="17"/>
      <w:bookmarkEnd w:id="18"/>
    </w:p>
    <w:p w14:paraId="45AF5009" w14:textId="5712C845" w:rsidR="00D4360D" w:rsidRPr="006E32B1" w:rsidRDefault="00D4360D" w:rsidP="006E32B1">
      <w:pPr>
        <w:pStyle w:val="Heading3"/>
        <w:spacing w:after="0" w:line="190" w:lineRule="exact"/>
        <w:rPr>
          <w:sz w:val="19"/>
          <w:szCs w:val="19"/>
        </w:rPr>
      </w:pPr>
      <w:r w:rsidRPr="006E32B1">
        <w:rPr>
          <w:sz w:val="19"/>
          <w:szCs w:val="19"/>
        </w:rPr>
        <w:t xml:space="preserve">Paragraph 8 of the President's Order constituting the Commission reads as </w:t>
      </w:r>
      <w:proofErr w:type="gramStart"/>
      <w:r w:rsidRPr="006E32B1">
        <w:rPr>
          <w:sz w:val="19"/>
          <w:szCs w:val="19"/>
        </w:rPr>
        <w:t>follows :</w:t>
      </w:r>
      <w:proofErr w:type="gramEnd"/>
    </w:p>
    <w:p w14:paraId="719E401C" w14:textId="77777777" w:rsidR="00D4360D" w:rsidRPr="006E32B1" w:rsidRDefault="00D4360D" w:rsidP="006E32B1">
      <w:pPr>
        <w:spacing w:after="0" w:line="190" w:lineRule="exact"/>
        <w:ind w:firstLine="426"/>
        <w:jc w:val="both"/>
        <w:rPr>
          <w:rFonts w:ascii="Times New Roman" w:hAnsi="Times New Roman" w:cs="Times New Roman"/>
          <w:sz w:val="19"/>
          <w:szCs w:val="19"/>
        </w:rPr>
      </w:pPr>
      <w:r w:rsidRPr="006E32B1">
        <w:rPr>
          <w:rFonts w:ascii="Times New Roman" w:hAnsi="Times New Roman" w:cs="Times New Roman"/>
          <w:sz w:val="19"/>
          <w:szCs w:val="19"/>
        </w:rPr>
        <w:t>"The Commission may make an assessment of the debt position of the States as on the 31st day of March, 1989 and suggest such corrective measures as deemed necessary keeping in view the financial requirements of the Centre. The corrective measures will be with particular reference to investments made in infrastructure projects and shall have linkage with improvements in financial and managerial efficiency."</w:t>
      </w:r>
    </w:p>
    <w:p w14:paraId="5F0E6004" w14:textId="58D1E575" w:rsidR="00D4360D" w:rsidRPr="006E32B1" w:rsidRDefault="00D4360D" w:rsidP="006E32B1">
      <w:pPr>
        <w:pStyle w:val="Heading3"/>
        <w:spacing w:after="0" w:line="190" w:lineRule="exact"/>
        <w:rPr>
          <w:sz w:val="19"/>
          <w:szCs w:val="19"/>
        </w:rPr>
      </w:pPr>
      <w:r w:rsidRPr="006E32B1">
        <w:rPr>
          <w:sz w:val="19"/>
          <w:szCs w:val="19"/>
        </w:rPr>
        <w:t>This term of reference differs significantly from that given to the Sixth, Seventh and the Eighth Finance Commissions. Unlike in the case of the Eighth Commission, we have not been asked to estimate the likely non-Plan capital gap of the States at the end of the period under our consideration. Second, we have been asked to review the entire debt position of the States, and not "the States' debt position with particular reference to Central loans advanced to them". Third, instead of "appropriate measures to deal with the non-Plan capital gap", this Commission has been asked to suggest corrective measures with particular reference to investments in infrastructure projects and improvements in their performance.</w:t>
      </w:r>
    </w:p>
    <w:p w14:paraId="45865E62" w14:textId="35EC0403" w:rsidR="00D4360D" w:rsidRPr="006E32B1" w:rsidRDefault="00D4360D" w:rsidP="006E32B1">
      <w:pPr>
        <w:pStyle w:val="Heading3"/>
        <w:spacing w:after="0" w:line="190" w:lineRule="exact"/>
        <w:rPr>
          <w:sz w:val="19"/>
          <w:szCs w:val="19"/>
        </w:rPr>
      </w:pPr>
      <w:r w:rsidRPr="006E32B1">
        <w:rPr>
          <w:sz w:val="19"/>
          <w:szCs w:val="19"/>
        </w:rPr>
        <w:t xml:space="preserve"> Since this subject has been referred to us under Article 280(3)(c), we shall determine the scope of our work strictly in accordance with the term of reference. We shall not deal with the non-Plan capital gaps of the States, although as background to our work we did make a rough estimate of the likely gaps during the period 1990-95. We shall make a review of the debt position of the States as on 31.3.1989 and then go on to recommend measures that would prevent the recurrence of "the debt problem" in the long-term context. While the long-term solutions would be our main concern, we shall also indicate some short-term corrective measures by way of relief.</w:t>
      </w:r>
    </w:p>
    <w:p w14:paraId="4EDFA2C7" w14:textId="77777777" w:rsidR="00D4360D" w:rsidRPr="006E32B1" w:rsidRDefault="00D4360D" w:rsidP="006E32B1">
      <w:pPr>
        <w:spacing w:after="0" w:line="190" w:lineRule="exact"/>
        <w:jc w:val="center"/>
        <w:rPr>
          <w:rFonts w:ascii="Times New Roman" w:hAnsi="Times New Roman" w:cs="Times New Roman"/>
          <w:b/>
          <w:bCs/>
          <w:sz w:val="19"/>
          <w:szCs w:val="19"/>
        </w:rPr>
      </w:pPr>
      <w:r w:rsidRPr="006E32B1">
        <w:rPr>
          <w:rFonts w:ascii="Times New Roman" w:hAnsi="Times New Roman" w:cs="Times New Roman"/>
          <w:b/>
          <w:bCs/>
          <w:sz w:val="19"/>
          <w:szCs w:val="19"/>
        </w:rPr>
        <w:t xml:space="preserve">Debt Position </w:t>
      </w:r>
      <w:proofErr w:type="gramStart"/>
      <w:r w:rsidRPr="006E32B1">
        <w:rPr>
          <w:rFonts w:ascii="Times New Roman" w:hAnsi="Times New Roman" w:cs="Times New Roman"/>
          <w:b/>
          <w:bCs/>
          <w:sz w:val="19"/>
          <w:szCs w:val="19"/>
        </w:rPr>
        <w:t>Of</w:t>
      </w:r>
      <w:proofErr w:type="gramEnd"/>
      <w:r w:rsidRPr="006E32B1">
        <w:rPr>
          <w:rFonts w:ascii="Times New Roman" w:hAnsi="Times New Roman" w:cs="Times New Roman"/>
          <w:b/>
          <w:bCs/>
          <w:sz w:val="19"/>
          <w:szCs w:val="19"/>
        </w:rPr>
        <w:t xml:space="preserve"> </w:t>
      </w:r>
      <w:proofErr w:type="gramStart"/>
      <w:r w:rsidRPr="006E32B1">
        <w:rPr>
          <w:rFonts w:ascii="Times New Roman" w:hAnsi="Times New Roman" w:cs="Times New Roman"/>
          <w:b/>
          <w:bCs/>
          <w:sz w:val="19"/>
          <w:szCs w:val="19"/>
        </w:rPr>
        <w:t>The</w:t>
      </w:r>
      <w:proofErr w:type="gramEnd"/>
      <w:r w:rsidRPr="006E32B1">
        <w:rPr>
          <w:rFonts w:ascii="Times New Roman" w:hAnsi="Times New Roman" w:cs="Times New Roman"/>
          <w:b/>
          <w:bCs/>
          <w:sz w:val="19"/>
          <w:szCs w:val="19"/>
        </w:rPr>
        <w:t xml:space="preserve"> States</w:t>
      </w:r>
    </w:p>
    <w:p w14:paraId="74748993" w14:textId="69F9F410" w:rsidR="00D4360D" w:rsidRPr="006E32B1" w:rsidRDefault="00D4360D" w:rsidP="006E32B1">
      <w:pPr>
        <w:pStyle w:val="Heading3"/>
        <w:spacing w:after="0" w:line="190" w:lineRule="exact"/>
        <w:rPr>
          <w:sz w:val="19"/>
          <w:szCs w:val="19"/>
        </w:rPr>
      </w:pPr>
      <w:r w:rsidRPr="006E32B1">
        <w:rPr>
          <w:sz w:val="19"/>
          <w:szCs w:val="19"/>
        </w:rPr>
        <w:t xml:space="preserve">Total debt of State Governments is estimated to be Rs. 89,461 </w:t>
      </w:r>
      <w:proofErr w:type="gramStart"/>
      <w:r w:rsidRPr="006E32B1">
        <w:rPr>
          <w:sz w:val="19"/>
          <w:szCs w:val="19"/>
        </w:rPr>
        <w:t>crore</w:t>
      </w:r>
      <w:proofErr w:type="gramEnd"/>
      <w:r w:rsidRPr="006E32B1">
        <w:rPr>
          <w:sz w:val="19"/>
          <w:szCs w:val="19"/>
        </w:rPr>
        <w:t>, as on 31.3.1989, of which liabilities to the Central Government form about 63 per cent (Annexure IX.1). Provident funds, reserve funds and deposits are the next largest source of debt financing, amounting to 23 per cent of the States' total debt. Market loans constitute almost 12 per cent of the debt, and the residual is negotiated loans from public financial institutions and others. About 11 per cent of the total debt is short-term (ways and means advances, reserve funds and deposits).</w:t>
      </w:r>
    </w:p>
    <w:p w14:paraId="35CED213" w14:textId="39D326B1" w:rsidR="00D4360D" w:rsidRPr="006E32B1" w:rsidRDefault="00D4360D" w:rsidP="006E32B1">
      <w:pPr>
        <w:pStyle w:val="Heading3"/>
        <w:spacing w:after="0" w:line="190" w:lineRule="exact"/>
        <w:rPr>
          <w:sz w:val="19"/>
          <w:szCs w:val="19"/>
        </w:rPr>
      </w:pPr>
      <w:r w:rsidRPr="006E32B1">
        <w:rPr>
          <w:sz w:val="19"/>
          <w:szCs w:val="19"/>
        </w:rPr>
        <w:t>The previous Finance Commissions excluded this short-term component in assessing the overall debt position of the States. For comparative purposes, the table below gives the estimated debt excluding short-term liabilities as at the end of 1978-79, 1983-84 and 1988-</w:t>
      </w:r>
      <w:proofErr w:type="gramStart"/>
      <w:r w:rsidRPr="006E32B1">
        <w:rPr>
          <w:sz w:val="19"/>
          <w:szCs w:val="19"/>
        </w:rPr>
        <w:t>89 :</w:t>
      </w:r>
      <w:proofErr w:type="gramEnd"/>
    </w:p>
    <w:p w14:paraId="15524074" w14:textId="77777777" w:rsidR="00BC6497" w:rsidRPr="006E32B1" w:rsidRDefault="00D4360D" w:rsidP="006E32B1">
      <w:pPr>
        <w:spacing w:after="0" w:line="190" w:lineRule="exact"/>
        <w:jc w:val="center"/>
        <w:rPr>
          <w:rFonts w:ascii="Times New Roman" w:hAnsi="Times New Roman" w:cs="Times New Roman"/>
          <w:b/>
          <w:bCs/>
          <w:sz w:val="19"/>
          <w:szCs w:val="19"/>
        </w:rPr>
      </w:pPr>
      <w:r w:rsidRPr="006E32B1">
        <w:rPr>
          <w:rFonts w:ascii="Times New Roman" w:hAnsi="Times New Roman" w:cs="Times New Roman"/>
          <w:b/>
          <w:bCs/>
          <w:sz w:val="19"/>
          <w:szCs w:val="19"/>
        </w:rPr>
        <w:t xml:space="preserve">Estimated Outstanding Debt </w:t>
      </w:r>
      <w:proofErr w:type="gramStart"/>
      <w:r w:rsidRPr="006E32B1">
        <w:rPr>
          <w:rFonts w:ascii="Times New Roman" w:hAnsi="Times New Roman" w:cs="Times New Roman"/>
          <w:b/>
          <w:bCs/>
          <w:sz w:val="19"/>
          <w:szCs w:val="19"/>
        </w:rPr>
        <w:t>Of</w:t>
      </w:r>
      <w:proofErr w:type="gramEnd"/>
      <w:r w:rsidRPr="006E32B1">
        <w:rPr>
          <w:rFonts w:ascii="Times New Roman" w:hAnsi="Times New Roman" w:cs="Times New Roman"/>
          <w:b/>
          <w:bCs/>
          <w:sz w:val="19"/>
          <w:szCs w:val="19"/>
        </w:rPr>
        <w:t xml:space="preserve"> </w:t>
      </w:r>
      <w:proofErr w:type="gramStart"/>
      <w:r w:rsidRPr="006E32B1">
        <w:rPr>
          <w:rFonts w:ascii="Times New Roman" w:hAnsi="Times New Roman" w:cs="Times New Roman"/>
          <w:b/>
          <w:bCs/>
          <w:sz w:val="19"/>
          <w:szCs w:val="19"/>
        </w:rPr>
        <w:t>The</w:t>
      </w:r>
      <w:proofErr w:type="gramEnd"/>
      <w:r w:rsidRPr="006E32B1">
        <w:rPr>
          <w:rFonts w:ascii="Times New Roman" w:hAnsi="Times New Roman" w:cs="Times New Roman"/>
          <w:b/>
          <w:bCs/>
          <w:sz w:val="19"/>
          <w:szCs w:val="19"/>
        </w:rPr>
        <w:t xml:space="preserve"> State Governments</w:t>
      </w:r>
    </w:p>
    <w:p w14:paraId="5A5DFE8A" w14:textId="216F0EE6" w:rsidR="00D4360D" w:rsidRPr="006E32B1" w:rsidRDefault="00D4360D" w:rsidP="006E32B1">
      <w:pPr>
        <w:spacing w:after="0" w:line="190" w:lineRule="exact"/>
        <w:ind w:left="6480" w:firstLine="720"/>
        <w:rPr>
          <w:rFonts w:ascii="Times New Roman" w:hAnsi="Times New Roman" w:cs="Times New Roman"/>
          <w:b/>
          <w:bCs/>
          <w:sz w:val="19"/>
          <w:szCs w:val="19"/>
        </w:rPr>
      </w:pPr>
      <w:r w:rsidRPr="006E32B1">
        <w:rPr>
          <w:rFonts w:ascii="Times New Roman" w:hAnsi="Times New Roman" w:cs="Times New Roman"/>
          <w:b/>
          <w:bCs/>
          <w:i/>
          <w:iCs/>
          <w:sz w:val="19"/>
          <w:szCs w:val="19"/>
        </w:rPr>
        <w:t>(Amount in Rs. Crore)</w:t>
      </w:r>
    </w:p>
    <w:tbl>
      <w:tblPr>
        <w:tblStyle w:val="TableGrid"/>
        <w:tblW w:w="8784" w:type="dxa"/>
        <w:jc w:val="center"/>
        <w:tblLook w:val="04A0" w:firstRow="1" w:lastRow="0" w:firstColumn="1" w:lastColumn="0" w:noHBand="0" w:noVBand="1"/>
      </w:tblPr>
      <w:tblGrid>
        <w:gridCol w:w="1696"/>
        <w:gridCol w:w="1134"/>
        <w:gridCol w:w="1134"/>
        <w:gridCol w:w="1276"/>
        <w:gridCol w:w="1276"/>
        <w:gridCol w:w="1276"/>
        <w:gridCol w:w="992"/>
      </w:tblGrid>
      <w:tr w:rsidR="00D4360D" w:rsidRPr="006E32B1" w14:paraId="5CB4BEA8" w14:textId="77777777" w:rsidTr="006E32B1">
        <w:trPr>
          <w:trHeight w:val="38"/>
          <w:jc w:val="center"/>
        </w:trPr>
        <w:tc>
          <w:tcPr>
            <w:tcW w:w="1696" w:type="dxa"/>
            <w:vAlign w:val="center"/>
            <w:hideMark/>
          </w:tcPr>
          <w:p w14:paraId="62FAD397" w14:textId="77777777" w:rsidR="00D4360D" w:rsidRPr="006E32B1" w:rsidRDefault="00D4360D" w:rsidP="006E32B1">
            <w:pPr>
              <w:pStyle w:val="NoSpacing"/>
              <w:spacing w:line="190" w:lineRule="exact"/>
              <w:rPr>
                <w:rFonts w:ascii="Times New Roman" w:hAnsi="Times New Roman" w:cs="Times New Roman"/>
                <w:sz w:val="18"/>
                <w:szCs w:val="18"/>
              </w:rPr>
            </w:pPr>
          </w:p>
        </w:tc>
        <w:tc>
          <w:tcPr>
            <w:tcW w:w="2268" w:type="dxa"/>
            <w:gridSpan w:val="2"/>
            <w:vAlign w:val="center"/>
            <w:hideMark/>
          </w:tcPr>
          <w:p w14:paraId="4B94316E" w14:textId="0F7F53AC" w:rsidR="00D4360D" w:rsidRPr="006E32B1" w:rsidRDefault="00D4360D"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At the end of 1978-79</w:t>
            </w:r>
          </w:p>
        </w:tc>
        <w:tc>
          <w:tcPr>
            <w:tcW w:w="2552" w:type="dxa"/>
            <w:gridSpan w:val="2"/>
            <w:vAlign w:val="center"/>
            <w:hideMark/>
          </w:tcPr>
          <w:p w14:paraId="0F39202E" w14:textId="79DD0DE9" w:rsidR="00D4360D" w:rsidRPr="006E32B1" w:rsidRDefault="00D4360D"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At the end of 1983-84</w:t>
            </w:r>
          </w:p>
        </w:tc>
        <w:tc>
          <w:tcPr>
            <w:tcW w:w="2268" w:type="dxa"/>
            <w:gridSpan w:val="2"/>
            <w:vAlign w:val="center"/>
            <w:hideMark/>
          </w:tcPr>
          <w:p w14:paraId="1D9448AC" w14:textId="77777777" w:rsidR="00D4360D" w:rsidRPr="006E32B1" w:rsidRDefault="00D4360D"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At the end of 1988-89</w:t>
            </w:r>
          </w:p>
        </w:tc>
      </w:tr>
      <w:tr w:rsidR="00AD7FCC" w:rsidRPr="006E32B1" w14:paraId="33B8A6EA" w14:textId="5DD07E24" w:rsidTr="006E32B1">
        <w:trPr>
          <w:trHeight w:val="38"/>
          <w:jc w:val="center"/>
        </w:trPr>
        <w:tc>
          <w:tcPr>
            <w:tcW w:w="1696" w:type="dxa"/>
            <w:vAlign w:val="center"/>
            <w:hideMark/>
          </w:tcPr>
          <w:p w14:paraId="1D031A82" w14:textId="77777777" w:rsidR="00AD7FCC" w:rsidRPr="006E32B1" w:rsidRDefault="00AD7FCC" w:rsidP="006E32B1">
            <w:pPr>
              <w:pStyle w:val="NoSpacing"/>
              <w:spacing w:line="190" w:lineRule="exact"/>
              <w:rPr>
                <w:rFonts w:ascii="Times New Roman" w:hAnsi="Times New Roman" w:cs="Times New Roman"/>
                <w:sz w:val="18"/>
                <w:szCs w:val="18"/>
              </w:rPr>
            </w:pPr>
          </w:p>
        </w:tc>
        <w:tc>
          <w:tcPr>
            <w:tcW w:w="1134" w:type="dxa"/>
            <w:vAlign w:val="center"/>
            <w:hideMark/>
          </w:tcPr>
          <w:p w14:paraId="1B1CC126" w14:textId="59A5CFD8" w:rsidR="00AD7FCC" w:rsidRPr="006E32B1" w:rsidRDefault="00AD7FCC"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Amount*</w:t>
            </w:r>
          </w:p>
        </w:tc>
        <w:tc>
          <w:tcPr>
            <w:tcW w:w="1134" w:type="dxa"/>
            <w:vAlign w:val="center"/>
          </w:tcPr>
          <w:p w14:paraId="0EF64C18" w14:textId="22D3FD1F" w:rsidR="00AD7FCC" w:rsidRPr="006E32B1" w:rsidRDefault="00AD7FCC"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%age</w:t>
            </w:r>
          </w:p>
        </w:tc>
        <w:tc>
          <w:tcPr>
            <w:tcW w:w="1276" w:type="dxa"/>
            <w:vAlign w:val="center"/>
          </w:tcPr>
          <w:p w14:paraId="392A9311" w14:textId="2DCCBE52" w:rsidR="00AD7FCC" w:rsidRPr="006E32B1" w:rsidRDefault="00AD7FCC"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Amount</w:t>
            </w:r>
            <w:r w:rsidR="004F48AC">
              <w:rPr>
                <w:rFonts w:ascii="Times New Roman" w:hAnsi="Times New Roman" w:cs="Times New Roman"/>
                <w:b/>
                <w:bCs/>
                <w:sz w:val="18"/>
                <w:szCs w:val="18"/>
              </w:rPr>
              <w:t>#</w:t>
            </w:r>
          </w:p>
        </w:tc>
        <w:tc>
          <w:tcPr>
            <w:tcW w:w="1276" w:type="dxa"/>
            <w:vAlign w:val="center"/>
          </w:tcPr>
          <w:p w14:paraId="51F1F393" w14:textId="0318D0D2" w:rsidR="00AD7FCC" w:rsidRPr="006E32B1" w:rsidRDefault="00AD7FCC"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%age</w:t>
            </w:r>
          </w:p>
        </w:tc>
        <w:tc>
          <w:tcPr>
            <w:tcW w:w="1276" w:type="dxa"/>
            <w:vAlign w:val="center"/>
          </w:tcPr>
          <w:p w14:paraId="3158B8DC" w14:textId="784257AB" w:rsidR="00AD7FCC" w:rsidRPr="006E32B1" w:rsidRDefault="00AD7FCC"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Amount*</w:t>
            </w:r>
          </w:p>
        </w:tc>
        <w:tc>
          <w:tcPr>
            <w:tcW w:w="992" w:type="dxa"/>
            <w:vAlign w:val="center"/>
          </w:tcPr>
          <w:p w14:paraId="22840226" w14:textId="242A2B5E" w:rsidR="00AD7FCC" w:rsidRPr="006E32B1" w:rsidRDefault="00AD7FCC" w:rsidP="006E32B1">
            <w:pPr>
              <w:pStyle w:val="NoSpacing"/>
              <w:spacing w:line="190" w:lineRule="exact"/>
              <w:jc w:val="center"/>
              <w:rPr>
                <w:rFonts w:ascii="Times New Roman" w:hAnsi="Times New Roman" w:cs="Times New Roman"/>
                <w:b/>
                <w:bCs/>
                <w:sz w:val="18"/>
                <w:szCs w:val="18"/>
              </w:rPr>
            </w:pPr>
            <w:r w:rsidRPr="006E32B1">
              <w:rPr>
                <w:rFonts w:ascii="Times New Roman" w:hAnsi="Times New Roman" w:cs="Times New Roman"/>
                <w:b/>
                <w:bCs/>
                <w:sz w:val="18"/>
                <w:szCs w:val="18"/>
              </w:rPr>
              <w:t>%age</w:t>
            </w:r>
          </w:p>
        </w:tc>
      </w:tr>
      <w:tr w:rsidR="00AD7FCC" w:rsidRPr="006E32B1" w14:paraId="02586417" w14:textId="7614B5D4" w:rsidTr="006E32B1">
        <w:trPr>
          <w:trHeight w:val="38"/>
          <w:jc w:val="center"/>
        </w:trPr>
        <w:tc>
          <w:tcPr>
            <w:tcW w:w="1696" w:type="dxa"/>
            <w:vAlign w:val="center"/>
            <w:hideMark/>
          </w:tcPr>
          <w:p w14:paraId="4DE8346D" w14:textId="77777777" w:rsidR="00AD7FCC" w:rsidRPr="006E32B1" w:rsidRDefault="00AD7FCC" w:rsidP="006E32B1">
            <w:pPr>
              <w:pStyle w:val="NoSpacing"/>
              <w:spacing w:line="190" w:lineRule="exact"/>
              <w:rPr>
                <w:rFonts w:ascii="Times New Roman" w:hAnsi="Times New Roman" w:cs="Times New Roman"/>
                <w:sz w:val="18"/>
                <w:szCs w:val="18"/>
              </w:rPr>
            </w:pPr>
            <w:r w:rsidRPr="006E32B1">
              <w:rPr>
                <w:rFonts w:ascii="Times New Roman" w:hAnsi="Times New Roman" w:cs="Times New Roman"/>
                <w:sz w:val="18"/>
                <w:szCs w:val="18"/>
              </w:rPr>
              <w:t>1. Internal Debt</w:t>
            </w:r>
          </w:p>
        </w:tc>
        <w:tc>
          <w:tcPr>
            <w:tcW w:w="1134" w:type="dxa"/>
            <w:vAlign w:val="center"/>
            <w:hideMark/>
          </w:tcPr>
          <w:p w14:paraId="60301622" w14:textId="77777777" w:rsidR="00AD7FCC" w:rsidRPr="006E32B1" w:rsidRDefault="00AD7FCC" w:rsidP="006E32B1">
            <w:pPr>
              <w:pStyle w:val="NoSpacing"/>
              <w:spacing w:line="190" w:lineRule="exact"/>
              <w:jc w:val="center"/>
              <w:rPr>
                <w:rFonts w:ascii="Times New Roman" w:hAnsi="Times New Roman" w:cs="Times New Roman"/>
                <w:sz w:val="18"/>
                <w:szCs w:val="18"/>
              </w:rPr>
            </w:pPr>
          </w:p>
        </w:tc>
        <w:tc>
          <w:tcPr>
            <w:tcW w:w="1134" w:type="dxa"/>
            <w:vAlign w:val="center"/>
          </w:tcPr>
          <w:p w14:paraId="2557016F" w14:textId="77777777" w:rsidR="00AD7FCC" w:rsidRPr="006E32B1" w:rsidRDefault="00AD7FCC" w:rsidP="006E32B1">
            <w:pPr>
              <w:pStyle w:val="NoSpacing"/>
              <w:spacing w:line="190" w:lineRule="exact"/>
              <w:jc w:val="center"/>
              <w:rPr>
                <w:rFonts w:ascii="Times New Roman" w:hAnsi="Times New Roman" w:cs="Times New Roman"/>
                <w:sz w:val="18"/>
                <w:szCs w:val="18"/>
              </w:rPr>
            </w:pPr>
          </w:p>
        </w:tc>
        <w:tc>
          <w:tcPr>
            <w:tcW w:w="1276" w:type="dxa"/>
            <w:vAlign w:val="center"/>
          </w:tcPr>
          <w:p w14:paraId="2FCDFCB4" w14:textId="21ED3D57" w:rsidR="00AD7FCC" w:rsidRPr="006E32B1" w:rsidRDefault="00AD7FCC" w:rsidP="006E32B1">
            <w:pPr>
              <w:pStyle w:val="NoSpacing"/>
              <w:spacing w:line="190" w:lineRule="exact"/>
              <w:jc w:val="center"/>
              <w:rPr>
                <w:rFonts w:ascii="Times New Roman" w:hAnsi="Times New Roman" w:cs="Times New Roman"/>
                <w:sz w:val="18"/>
                <w:szCs w:val="18"/>
              </w:rPr>
            </w:pPr>
          </w:p>
        </w:tc>
        <w:tc>
          <w:tcPr>
            <w:tcW w:w="1276" w:type="dxa"/>
            <w:vAlign w:val="center"/>
          </w:tcPr>
          <w:p w14:paraId="58091665" w14:textId="77777777" w:rsidR="00AD7FCC" w:rsidRPr="006E32B1" w:rsidRDefault="00AD7FCC" w:rsidP="006E32B1">
            <w:pPr>
              <w:pStyle w:val="NoSpacing"/>
              <w:spacing w:line="190" w:lineRule="exact"/>
              <w:jc w:val="center"/>
              <w:rPr>
                <w:rFonts w:ascii="Times New Roman" w:hAnsi="Times New Roman" w:cs="Times New Roman"/>
                <w:sz w:val="18"/>
                <w:szCs w:val="18"/>
              </w:rPr>
            </w:pPr>
          </w:p>
        </w:tc>
        <w:tc>
          <w:tcPr>
            <w:tcW w:w="1276" w:type="dxa"/>
            <w:vAlign w:val="center"/>
          </w:tcPr>
          <w:p w14:paraId="0C6463E1" w14:textId="6CC4E16D" w:rsidR="00AD7FCC" w:rsidRPr="006E32B1" w:rsidRDefault="00AD7FCC" w:rsidP="006E32B1">
            <w:pPr>
              <w:pStyle w:val="NoSpacing"/>
              <w:spacing w:line="190" w:lineRule="exact"/>
              <w:jc w:val="center"/>
              <w:rPr>
                <w:rFonts w:ascii="Times New Roman" w:hAnsi="Times New Roman" w:cs="Times New Roman"/>
                <w:sz w:val="18"/>
                <w:szCs w:val="18"/>
              </w:rPr>
            </w:pPr>
          </w:p>
        </w:tc>
        <w:tc>
          <w:tcPr>
            <w:tcW w:w="992" w:type="dxa"/>
            <w:vAlign w:val="center"/>
          </w:tcPr>
          <w:p w14:paraId="13908300" w14:textId="77777777" w:rsidR="00AD7FCC" w:rsidRPr="006E32B1" w:rsidRDefault="00AD7FCC" w:rsidP="006E32B1">
            <w:pPr>
              <w:pStyle w:val="NoSpacing"/>
              <w:spacing w:line="190" w:lineRule="exact"/>
              <w:jc w:val="center"/>
              <w:rPr>
                <w:rFonts w:ascii="Times New Roman" w:hAnsi="Times New Roman" w:cs="Times New Roman"/>
                <w:sz w:val="18"/>
                <w:szCs w:val="18"/>
              </w:rPr>
            </w:pPr>
          </w:p>
        </w:tc>
      </w:tr>
      <w:tr w:rsidR="00AD7FCC" w:rsidRPr="006E32B1" w14:paraId="7A1ECB04" w14:textId="6BDDC593" w:rsidTr="006E32B1">
        <w:trPr>
          <w:trHeight w:val="38"/>
          <w:jc w:val="center"/>
        </w:trPr>
        <w:tc>
          <w:tcPr>
            <w:tcW w:w="1696" w:type="dxa"/>
            <w:vAlign w:val="center"/>
            <w:hideMark/>
          </w:tcPr>
          <w:p w14:paraId="1404866C" w14:textId="77777777" w:rsidR="00AD7FCC" w:rsidRPr="006E32B1" w:rsidRDefault="00AD7FCC" w:rsidP="006E32B1">
            <w:pPr>
              <w:pStyle w:val="NoSpacing"/>
              <w:spacing w:line="190" w:lineRule="exact"/>
              <w:rPr>
                <w:rFonts w:ascii="Times New Roman" w:hAnsi="Times New Roman" w:cs="Times New Roman"/>
                <w:sz w:val="18"/>
                <w:szCs w:val="18"/>
              </w:rPr>
            </w:pPr>
            <w:r w:rsidRPr="006E32B1">
              <w:rPr>
                <w:rFonts w:ascii="Times New Roman" w:hAnsi="Times New Roman" w:cs="Times New Roman"/>
                <w:sz w:val="18"/>
                <w:szCs w:val="18"/>
              </w:rPr>
              <w:t>(a) Market Loans</w:t>
            </w:r>
          </w:p>
        </w:tc>
        <w:tc>
          <w:tcPr>
            <w:tcW w:w="1134" w:type="dxa"/>
            <w:vAlign w:val="center"/>
            <w:hideMark/>
          </w:tcPr>
          <w:p w14:paraId="0CA59C54" w14:textId="7777777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2572</w:t>
            </w:r>
          </w:p>
        </w:tc>
        <w:tc>
          <w:tcPr>
            <w:tcW w:w="1134" w:type="dxa"/>
            <w:vAlign w:val="center"/>
          </w:tcPr>
          <w:p w14:paraId="2D5B7FB2" w14:textId="43725AA3"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13.7</w:t>
            </w:r>
          </w:p>
        </w:tc>
        <w:tc>
          <w:tcPr>
            <w:tcW w:w="1276" w:type="dxa"/>
            <w:vAlign w:val="center"/>
          </w:tcPr>
          <w:p w14:paraId="486B0ABF" w14:textId="2CA35F95"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4236</w:t>
            </w:r>
          </w:p>
        </w:tc>
        <w:tc>
          <w:tcPr>
            <w:tcW w:w="1276" w:type="dxa"/>
            <w:vAlign w:val="center"/>
          </w:tcPr>
          <w:p w14:paraId="5D886E89" w14:textId="66347AEF"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11.3</w:t>
            </w:r>
          </w:p>
        </w:tc>
        <w:tc>
          <w:tcPr>
            <w:tcW w:w="1276" w:type="dxa"/>
            <w:vAlign w:val="center"/>
          </w:tcPr>
          <w:p w14:paraId="4D881F1F" w14:textId="0DD12B3A"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10411</w:t>
            </w:r>
          </w:p>
        </w:tc>
        <w:tc>
          <w:tcPr>
            <w:tcW w:w="992" w:type="dxa"/>
            <w:vAlign w:val="center"/>
          </w:tcPr>
          <w:p w14:paraId="35F18C8B" w14:textId="62C1AF96"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3.1</w:t>
            </w:r>
          </w:p>
        </w:tc>
      </w:tr>
      <w:tr w:rsidR="00AD7FCC" w:rsidRPr="006E32B1" w14:paraId="34E22938" w14:textId="2119136B" w:rsidTr="006E32B1">
        <w:trPr>
          <w:trHeight w:val="38"/>
          <w:jc w:val="center"/>
        </w:trPr>
        <w:tc>
          <w:tcPr>
            <w:tcW w:w="1696" w:type="dxa"/>
            <w:vAlign w:val="center"/>
            <w:hideMark/>
          </w:tcPr>
          <w:p w14:paraId="0A5F41BB" w14:textId="77777777" w:rsidR="00AD7FCC" w:rsidRPr="006E32B1" w:rsidRDefault="00AD7FCC" w:rsidP="006E32B1">
            <w:pPr>
              <w:pStyle w:val="NoSpacing"/>
              <w:spacing w:line="190" w:lineRule="exact"/>
              <w:rPr>
                <w:rFonts w:ascii="Times New Roman" w:hAnsi="Times New Roman" w:cs="Times New Roman"/>
                <w:sz w:val="18"/>
                <w:szCs w:val="18"/>
              </w:rPr>
            </w:pPr>
            <w:r w:rsidRPr="006E32B1">
              <w:rPr>
                <w:rFonts w:ascii="Times New Roman" w:hAnsi="Times New Roman" w:cs="Times New Roman"/>
                <w:sz w:val="18"/>
                <w:szCs w:val="18"/>
              </w:rPr>
              <w:t>(b) Other Loans</w:t>
            </w:r>
          </w:p>
        </w:tc>
        <w:tc>
          <w:tcPr>
            <w:tcW w:w="1134" w:type="dxa"/>
            <w:vAlign w:val="center"/>
            <w:hideMark/>
          </w:tcPr>
          <w:p w14:paraId="03695E5B" w14:textId="7777777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776</w:t>
            </w:r>
          </w:p>
        </w:tc>
        <w:tc>
          <w:tcPr>
            <w:tcW w:w="1134" w:type="dxa"/>
            <w:vAlign w:val="center"/>
          </w:tcPr>
          <w:p w14:paraId="62FE1F96" w14:textId="150BF922"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4.1</w:t>
            </w:r>
          </w:p>
        </w:tc>
        <w:tc>
          <w:tcPr>
            <w:tcW w:w="1276" w:type="dxa"/>
            <w:vAlign w:val="center"/>
          </w:tcPr>
          <w:p w14:paraId="7C557E1B" w14:textId="12968F41"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1724</w:t>
            </w:r>
          </w:p>
        </w:tc>
        <w:tc>
          <w:tcPr>
            <w:tcW w:w="1276" w:type="dxa"/>
            <w:vAlign w:val="center"/>
          </w:tcPr>
          <w:p w14:paraId="32D79070" w14:textId="3C76D912"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4.6</w:t>
            </w:r>
          </w:p>
        </w:tc>
        <w:tc>
          <w:tcPr>
            <w:tcW w:w="1276" w:type="dxa"/>
            <w:vAlign w:val="center"/>
          </w:tcPr>
          <w:p w14:paraId="76D3C2B9" w14:textId="72B527C9"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2032</w:t>
            </w:r>
          </w:p>
        </w:tc>
        <w:tc>
          <w:tcPr>
            <w:tcW w:w="992" w:type="dxa"/>
            <w:vAlign w:val="center"/>
          </w:tcPr>
          <w:p w14:paraId="5A0AA25F" w14:textId="5B7985B8"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2.5</w:t>
            </w:r>
          </w:p>
        </w:tc>
      </w:tr>
      <w:tr w:rsidR="00AD7FCC" w:rsidRPr="006E32B1" w14:paraId="1B31F54F" w14:textId="7CB68CF3" w:rsidTr="006E32B1">
        <w:trPr>
          <w:trHeight w:val="38"/>
          <w:jc w:val="center"/>
        </w:trPr>
        <w:tc>
          <w:tcPr>
            <w:tcW w:w="1696" w:type="dxa"/>
            <w:vAlign w:val="center"/>
            <w:hideMark/>
          </w:tcPr>
          <w:p w14:paraId="6354267A" w14:textId="77777777" w:rsidR="00AD7FCC" w:rsidRPr="006E32B1" w:rsidRDefault="00AD7FCC" w:rsidP="006E32B1">
            <w:pPr>
              <w:pStyle w:val="NoSpacing"/>
              <w:spacing w:line="190" w:lineRule="exact"/>
              <w:rPr>
                <w:rFonts w:ascii="Times New Roman" w:hAnsi="Times New Roman" w:cs="Times New Roman"/>
                <w:sz w:val="18"/>
                <w:szCs w:val="18"/>
              </w:rPr>
            </w:pPr>
            <w:r w:rsidRPr="006E32B1">
              <w:rPr>
                <w:rFonts w:ascii="Times New Roman" w:hAnsi="Times New Roman" w:cs="Times New Roman"/>
                <w:sz w:val="18"/>
                <w:szCs w:val="18"/>
              </w:rPr>
              <w:t>2. Central Loans</w:t>
            </w:r>
          </w:p>
        </w:tc>
        <w:tc>
          <w:tcPr>
            <w:tcW w:w="1134" w:type="dxa"/>
            <w:vAlign w:val="center"/>
            <w:hideMark/>
          </w:tcPr>
          <w:p w14:paraId="2E550E0F" w14:textId="7777777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13463</w:t>
            </w:r>
          </w:p>
        </w:tc>
        <w:tc>
          <w:tcPr>
            <w:tcW w:w="1134" w:type="dxa"/>
            <w:vAlign w:val="center"/>
          </w:tcPr>
          <w:p w14:paraId="6259B9B1" w14:textId="07613FA2"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71.7</w:t>
            </w:r>
          </w:p>
        </w:tc>
        <w:tc>
          <w:tcPr>
            <w:tcW w:w="1276" w:type="dxa"/>
            <w:vAlign w:val="center"/>
          </w:tcPr>
          <w:p w14:paraId="100912F8" w14:textId="350265F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27059</w:t>
            </w:r>
          </w:p>
        </w:tc>
        <w:tc>
          <w:tcPr>
            <w:tcW w:w="1276" w:type="dxa"/>
            <w:vAlign w:val="center"/>
          </w:tcPr>
          <w:p w14:paraId="4E4D748F" w14:textId="00F2597C"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72.4</w:t>
            </w:r>
          </w:p>
        </w:tc>
        <w:tc>
          <w:tcPr>
            <w:tcW w:w="1276" w:type="dxa"/>
            <w:vAlign w:val="center"/>
          </w:tcPr>
          <w:p w14:paraId="47296C71" w14:textId="5E3C3952"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56052</w:t>
            </w:r>
          </w:p>
        </w:tc>
        <w:tc>
          <w:tcPr>
            <w:tcW w:w="992" w:type="dxa"/>
            <w:vAlign w:val="center"/>
          </w:tcPr>
          <w:p w14:paraId="024A4044" w14:textId="76C3EF64"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70.4</w:t>
            </w:r>
          </w:p>
        </w:tc>
      </w:tr>
      <w:tr w:rsidR="00AD7FCC" w:rsidRPr="006E32B1" w14:paraId="2A238F9F" w14:textId="217B8AB9" w:rsidTr="006E32B1">
        <w:trPr>
          <w:trHeight w:val="38"/>
          <w:jc w:val="center"/>
        </w:trPr>
        <w:tc>
          <w:tcPr>
            <w:tcW w:w="1696" w:type="dxa"/>
            <w:vAlign w:val="center"/>
            <w:hideMark/>
          </w:tcPr>
          <w:p w14:paraId="669C8B66" w14:textId="77777777" w:rsidR="00AD7FCC" w:rsidRPr="006E32B1" w:rsidRDefault="00AD7FCC" w:rsidP="006E32B1">
            <w:pPr>
              <w:pStyle w:val="NoSpacing"/>
              <w:spacing w:line="190" w:lineRule="exact"/>
              <w:rPr>
                <w:rFonts w:ascii="Times New Roman" w:hAnsi="Times New Roman" w:cs="Times New Roman"/>
                <w:sz w:val="18"/>
                <w:szCs w:val="18"/>
              </w:rPr>
            </w:pPr>
            <w:r w:rsidRPr="006E32B1">
              <w:rPr>
                <w:rFonts w:ascii="Times New Roman" w:hAnsi="Times New Roman" w:cs="Times New Roman"/>
                <w:sz w:val="18"/>
                <w:szCs w:val="18"/>
              </w:rPr>
              <w:t>3. Unfunded Debt</w:t>
            </w:r>
          </w:p>
        </w:tc>
        <w:tc>
          <w:tcPr>
            <w:tcW w:w="1134" w:type="dxa"/>
            <w:vAlign w:val="center"/>
            <w:hideMark/>
          </w:tcPr>
          <w:p w14:paraId="1E9CAEA2" w14:textId="7777777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1974</w:t>
            </w:r>
          </w:p>
        </w:tc>
        <w:tc>
          <w:tcPr>
            <w:tcW w:w="1134" w:type="dxa"/>
            <w:vAlign w:val="center"/>
          </w:tcPr>
          <w:p w14:paraId="70810DDC" w14:textId="38D2D8C2"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10.5</w:t>
            </w:r>
          </w:p>
        </w:tc>
        <w:tc>
          <w:tcPr>
            <w:tcW w:w="1276" w:type="dxa"/>
            <w:vAlign w:val="center"/>
          </w:tcPr>
          <w:p w14:paraId="7BE449E0" w14:textId="380E74CC"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4387</w:t>
            </w:r>
          </w:p>
        </w:tc>
        <w:tc>
          <w:tcPr>
            <w:tcW w:w="1276" w:type="dxa"/>
            <w:vAlign w:val="center"/>
          </w:tcPr>
          <w:p w14:paraId="5907F7B0" w14:textId="6497B508"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11.7</w:t>
            </w:r>
          </w:p>
        </w:tc>
        <w:tc>
          <w:tcPr>
            <w:tcW w:w="1276" w:type="dxa"/>
            <w:vAlign w:val="center"/>
          </w:tcPr>
          <w:p w14:paraId="7FF30C15" w14:textId="521BEDE4"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11148</w:t>
            </w:r>
          </w:p>
        </w:tc>
        <w:tc>
          <w:tcPr>
            <w:tcW w:w="992" w:type="dxa"/>
            <w:vAlign w:val="center"/>
          </w:tcPr>
          <w:p w14:paraId="1B858EFC" w14:textId="5CC3EC95"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14.0</w:t>
            </w:r>
          </w:p>
        </w:tc>
      </w:tr>
      <w:tr w:rsidR="00AD7FCC" w:rsidRPr="006E32B1" w14:paraId="577D6138" w14:textId="1155DA2F" w:rsidTr="006E32B1">
        <w:trPr>
          <w:trHeight w:val="38"/>
          <w:jc w:val="center"/>
        </w:trPr>
        <w:tc>
          <w:tcPr>
            <w:tcW w:w="1696" w:type="dxa"/>
            <w:vAlign w:val="center"/>
            <w:hideMark/>
          </w:tcPr>
          <w:p w14:paraId="31498255" w14:textId="77777777" w:rsidR="00AD7FCC" w:rsidRPr="006E32B1" w:rsidRDefault="00AD7FCC" w:rsidP="006E32B1">
            <w:pPr>
              <w:pStyle w:val="NoSpacing"/>
              <w:spacing w:line="190" w:lineRule="exact"/>
              <w:rPr>
                <w:rFonts w:ascii="Times New Roman" w:hAnsi="Times New Roman" w:cs="Times New Roman"/>
                <w:sz w:val="18"/>
                <w:szCs w:val="18"/>
              </w:rPr>
            </w:pPr>
            <w:r w:rsidRPr="006E32B1">
              <w:rPr>
                <w:rFonts w:ascii="Times New Roman" w:hAnsi="Times New Roman" w:cs="Times New Roman"/>
                <w:sz w:val="18"/>
                <w:szCs w:val="18"/>
              </w:rPr>
              <w:t>Total</w:t>
            </w:r>
          </w:p>
        </w:tc>
        <w:tc>
          <w:tcPr>
            <w:tcW w:w="1134" w:type="dxa"/>
            <w:vAlign w:val="center"/>
            <w:hideMark/>
          </w:tcPr>
          <w:p w14:paraId="6C19B9DD" w14:textId="7777777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18785</w:t>
            </w:r>
          </w:p>
        </w:tc>
        <w:tc>
          <w:tcPr>
            <w:tcW w:w="1134" w:type="dxa"/>
            <w:vAlign w:val="center"/>
          </w:tcPr>
          <w:p w14:paraId="0AE1F005" w14:textId="0BD25914"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100.0</w:t>
            </w:r>
          </w:p>
        </w:tc>
        <w:tc>
          <w:tcPr>
            <w:tcW w:w="1276" w:type="dxa"/>
            <w:vAlign w:val="center"/>
          </w:tcPr>
          <w:p w14:paraId="31FC3BF6" w14:textId="1DA37534"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37406</w:t>
            </w:r>
          </w:p>
        </w:tc>
        <w:tc>
          <w:tcPr>
            <w:tcW w:w="1276" w:type="dxa"/>
            <w:vAlign w:val="center"/>
          </w:tcPr>
          <w:p w14:paraId="750804AD" w14:textId="5C9293C7"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100.0</w:t>
            </w:r>
          </w:p>
        </w:tc>
        <w:tc>
          <w:tcPr>
            <w:tcW w:w="1276" w:type="dxa"/>
            <w:vAlign w:val="center"/>
          </w:tcPr>
          <w:p w14:paraId="34951CC4" w14:textId="3B9BD62D"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79643</w:t>
            </w:r>
          </w:p>
        </w:tc>
        <w:tc>
          <w:tcPr>
            <w:tcW w:w="992" w:type="dxa"/>
            <w:vAlign w:val="center"/>
          </w:tcPr>
          <w:p w14:paraId="259FFE90" w14:textId="605A543C" w:rsidR="00AD7FCC" w:rsidRPr="006E32B1" w:rsidRDefault="00AD7FCC" w:rsidP="006E32B1">
            <w:pPr>
              <w:pStyle w:val="NoSpacing"/>
              <w:spacing w:line="190" w:lineRule="exact"/>
              <w:jc w:val="center"/>
              <w:rPr>
                <w:rFonts w:ascii="Times New Roman" w:hAnsi="Times New Roman" w:cs="Times New Roman"/>
                <w:sz w:val="18"/>
                <w:szCs w:val="18"/>
              </w:rPr>
            </w:pPr>
            <w:r w:rsidRPr="006E32B1">
              <w:rPr>
                <w:rFonts w:ascii="Times New Roman" w:hAnsi="Times New Roman" w:cs="Times New Roman"/>
                <w:sz w:val="18"/>
                <w:szCs w:val="18"/>
              </w:rPr>
              <w:t>100.0</w:t>
            </w:r>
          </w:p>
        </w:tc>
      </w:tr>
    </w:tbl>
    <w:p w14:paraId="00078F45" w14:textId="77777777" w:rsidR="00D4360D" w:rsidRPr="006E32B1" w:rsidRDefault="00D4360D" w:rsidP="006E32B1">
      <w:pPr>
        <w:spacing w:after="0" w:line="190" w:lineRule="exact"/>
        <w:ind w:left="1440"/>
        <w:rPr>
          <w:rFonts w:ascii="Times New Roman" w:hAnsi="Times New Roman" w:cs="Times New Roman"/>
          <w:sz w:val="16"/>
          <w:szCs w:val="16"/>
        </w:rPr>
      </w:pPr>
      <w:r w:rsidRPr="006E32B1">
        <w:rPr>
          <w:rFonts w:ascii="Times New Roman" w:hAnsi="Times New Roman" w:cs="Times New Roman"/>
          <w:sz w:val="16"/>
          <w:szCs w:val="16"/>
        </w:rPr>
        <w:t>* Seventh Finance Commission Report, Chapter II.</w:t>
      </w:r>
      <w:r w:rsidRPr="006E32B1">
        <w:rPr>
          <w:rFonts w:ascii="Times New Roman" w:hAnsi="Times New Roman" w:cs="Times New Roman"/>
          <w:sz w:val="16"/>
          <w:szCs w:val="16"/>
        </w:rPr>
        <w:br/>
        <w:t># Eighth Finance Commission Report, Chapter XIV.</w:t>
      </w:r>
    </w:p>
    <w:p w14:paraId="3D0FE916" w14:textId="77777777" w:rsidR="00D4360D" w:rsidRPr="006E32B1" w:rsidRDefault="00D4360D" w:rsidP="006E32B1">
      <w:pPr>
        <w:spacing w:after="0" w:line="190" w:lineRule="exact"/>
        <w:ind w:firstLine="720"/>
        <w:jc w:val="both"/>
        <w:rPr>
          <w:rFonts w:ascii="Times New Roman" w:hAnsi="Times New Roman" w:cs="Times New Roman"/>
          <w:sz w:val="19"/>
          <w:szCs w:val="19"/>
        </w:rPr>
      </w:pPr>
      <w:r w:rsidRPr="006E32B1">
        <w:rPr>
          <w:rFonts w:ascii="Times New Roman" w:hAnsi="Times New Roman" w:cs="Times New Roman"/>
          <w:sz w:val="19"/>
          <w:szCs w:val="19"/>
        </w:rPr>
        <w:t>It is seen that the estimated gross debt of the States as a whole more than doubled (in nominal terms) between 31.3.1984 and 31.3.1989. We notice a shift in the sources of the debt. Although loans and advances from the Centre still account for the bulk of the States' outstanding debt, there has been a marginal decline in the share of Central loans by 2 percentage points since the end of 1983-84, accounted for by increases in the shares of unfunded debt and market loans. Nevertheless, even now loans from the Centre constitute 70 per cent of the total indebtedness of the State Governments (excluding short-term debt).</w:t>
      </w:r>
    </w:p>
    <w:p w14:paraId="266DD27A" w14:textId="26AD5DA8" w:rsidR="00D4360D" w:rsidRPr="006E32B1" w:rsidRDefault="00D4360D" w:rsidP="006E32B1">
      <w:pPr>
        <w:pStyle w:val="Heading3"/>
        <w:spacing w:after="0" w:line="190" w:lineRule="exact"/>
        <w:rPr>
          <w:sz w:val="19"/>
          <w:szCs w:val="19"/>
        </w:rPr>
      </w:pPr>
      <w:r w:rsidRPr="006E32B1">
        <w:rPr>
          <w:sz w:val="19"/>
          <w:szCs w:val="19"/>
        </w:rPr>
        <w:t xml:space="preserve">As stated earlier, the Central loans account for bulk of the States' indebtedness. As at the end of 1988-89, out of the total indebtedness aggregating Rs. 89,460.77 crore, as much as Rs. 56,051.92 crore was in the form of Central loans. Over the five-year period 1990-95, repayments of Rs. 15,528.59 crore will fall due in respect of these outstandings. Taking all States together, the position in regard to the outstandings as at the end of 1988-89 and repayments falling due during the five years 1990-95 for the major components of the Central loans is shown </w:t>
      </w:r>
      <w:r w:rsidR="006E32B1" w:rsidRPr="006E32B1">
        <w:rPr>
          <w:sz w:val="19"/>
          <w:szCs w:val="19"/>
        </w:rPr>
        <w:t>below: -</w:t>
      </w:r>
    </w:p>
    <w:p w14:paraId="06B67EE5" w14:textId="77777777" w:rsidR="00BC6497" w:rsidRPr="006E32B1" w:rsidRDefault="00D4360D" w:rsidP="006E32B1">
      <w:pPr>
        <w:spacing w:after="0" w:line="190" w:lineRule="exact"/>
        <w:jc w:val="center"/>
        <w:rPr>
          <w:rFonts w:ascii="Times New Roman" w:hAnsi="Times New Roman" w:cs="Times New Roman"/>
          <w:sz w:val="19"/>
          <w:szCs w:val="19"/>
        </w:rPr>
      </w:pPr>
      <w:r w:rsidRPr="006E32B1">
        <w:rPr>
          <w:rStyle w:val="Heading4Char"/>
          <w:sz w:val="19"/>
          <w:szCs w:val="19"/>
        </w:rPr>
        <w:t>Table 2</w:t>
      </w:r>
      <w:r w:rsidR="00BC6497" w:rsidRPr="006E32B1">
        <w:rPr>
          <w:rStyle w:val="Heading4Char"/>
          <w:sz w:val="19"/>
          <w:szCs w:val="19"/>
        </w:rPr>
        <w:br/>
      </w:r>
      <w:r w:rsidRPr="006E32B1">
        <w:rPr>
          <w:rStyle w:val="Heading4Char"/>
          <w:sz w:val="19"/>
          <w:szCs w:val="19"/>
        </w:rPr>
        <w:t xml:space="preserve">Outstandings </w:t>
      </w:r>
      <w:proofErr w:type="gramStart"/>
      <w:r w:rsidRPr="006E32B1">
        <w:rPr>
          <w:rStyle w:val="Heading4Char"/>
          <w:sz w:val="19"/>
          <w:szCs w:val="19"/>
        </w:rPr>
        <w:t>Of</w:t>
      </w:r>
      <w:proofErr w:type="gramEnd"/>
      <w:r w:rsidRPr="006E32B1">
        <w:rPr>
          <w:rStyle w:val="Heading4Char"/>
          <w:sz w:val="19"/>
          <w:szCs w:val="19"/>
        </w:rPr>
        <w:t xml:space="preserve"> Central Loans </w:t>
      </w:r>
      <w:proofErr w:type="gramStart"/>
      <w:r w:rsidRPr="006E32B1">
        <w:rPr>
          <w:rStyle w:val="Heading4Char"/>
          <w:sz w:val="19"/>
          <w:szCs w:val="19"/>
        </w:rPr>
        <w:t>And</w:t>
      </w:r>
      <w:proofErr w:type="gramEnd"/>
      <w:r w:rsidRPr="006E32B1">
        <w:rPr>
          <w:rStyle w:val="Heading4Char"/>
          <w:sz w:val="19"/>
          <w:szCs w:val="19"/>
        </w:rPr>
        <w:t xml:space="preserve"> Repayments</w:t>
      </w:r>
    </w:p>
    <w:p w14:paraId="5E305F7F" w14:textId="3E6368C1" w:rsidR="00D4360D" w:rsidRPr="006E32B1" w:rsidRDefault="00D4360D" w:rsidP="006E32B1">
      <w:pPr>
        <w:spacing w:after="0" w:line="190" w:lineRule="exact"/>
        <w:ind w:left="7920"/>
        <w:rPr>
          <w:rFonts w:ascii="Times New Roman" w:hAnsi="Times New Roman" w:cs="Times New Roman"/>
          <w:b/>
          <w:bCs/>
          <w:sz w:val="19"/>
          <w:szCs w:val="19"/>
        </w:rPr>
      </w:pPr>
      <w:r w:rsidRPr="006E32B1">
        <w:rPr>
          <w:rFonts w:ascii="Times New Roman" w:hAnsi="Times New Roman" w:cs="Times New Roman"/>
          <w:b/>
          <w:bCs/>
          <w:i/>
          <w:iCs/>
          <w:sz w:val="19"/>
          <w:szCs w:val="19"/>
        </w:rPr>
        <w:t>(Rs. Crore)</w:t>
      </w:r>
    </w:p>
    <w:tbl>
      <w:tblPr>
        <w:tblStyle w:val="TableGrid"/>
        <w:tblW w:w="0" w:type="auto"/>
        <w:jc w:val="center"/>
        <w:tblLook w:val="04A0" w:firstRow="1" w:lastRow="0" w:firstColumn="1" w:lastColumn="0" w:noHBand="0" w:noVBand="1"/>
      </w:tblPr>
      <w:tblGrid>
        <w:gridCol w:w="3964"/>
        <w:gridCol w:w="2127"/>
        <w:gridCol w:w="2268"/>
      </w:tblGrid>
      <w:tr w:rsidR="00D4360D" w:rsidRPr="005A0588" w14:paraId="12D2F947" w14:textId="77777777" w:rsidTr="006E32B1">
        <w:trPr>
          <w:trHeight w:val="20"/>
          <w:jc w:val="center"/>
        </w:trPr>
        <w:tc>
          <w:tcPr>
            <w:tcW w:w="3964" w:type="dxa"/>
            <w:vAlign w:val="center"/>
            <w:hideMark/>
          </w:tcPr>
          <w:p w14:paraId="00CC686D" w14:textId="77777777" w:rsidR="00D4360D" w:rsidRPr="005A0588" w:rsidRDefault="00D4360D" w:rsidP="006E32B1">
            <w:pPr>
              <w:pStyle w:val="NoSpacing"/>
              <w:spacing w:line="190" w:lineRule="exact"/>
              <w:rPr>
                <w:rFonts w:ascii="Times New Roman" w:hAnsi="Times New Roman" w:cs="Times New Roman"/>
                <w:sz w:val="18"/>
                <w:szCs w:val="18"/>
              </w:rPr>
            </w:pPr>
          </w:p>
        </w:tc>
        <w:tc>
          <w:tcPr>
            <w:tcW w:w="2127" w:type="dxa"/>
            <w:vAlign w:val="center"/>
            <w:hideMark/>
          </w:tcPr>
          <w:p w14:paraId="3CCED68B" w14:textId="77777777" w:rsidR="00D4360D" w:rsidRPr="005A0588" w:rsidRDefault="00D4360D"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Outstandings as on 31.3.1989</w:t>
            </w:r>
          </w:p>
        </w:tc>
        <w:tc>
          <w:tcPr>
            <w:tcW w:w="2268" w:type="dxa"/>
            <w:vAlign w:val="center"/>
            <w:hideMark/>
          </w:tcPr>
          <w:p w14:paraId="66096E22" w14:textId="77777777" w:rsidR="00D4360D" w:rsidRPr="005A0588" w:rsidRDefault="00D4360D"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Repayments falling due during 1990-95</w:t>
            </w:r>
          </w:p>
        </w:tc>
      </w:tr>
      <w:tr w:rsidR="00D4360D" w:rsidRPr="005A0588" w14:paraId="77CF65D4" w14:textId="77777777" w:rsidTr="006E32B1">
        <w:trPr>
          <w:trHeight w:val="20"/>
          <w:jc w:val="center"/>
        </w:trPr>
        <w:tc>
          <w:tcPr>
            <w:tcW w:w="3964" w:type="dxa"/>
            <w:vAlign w:val="center"/>
            <w:hideMark/>
          </w:tcPr>
          <w:p w14:paraId="42B1D3FD"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1. Loans received upto 1983-84 and consolidated by the previous Finance Commissions</w:t>
            </w:r>
          </w:p>
        </w:tc>
        <w:tc>
          <w:tcPr>
            <w:tcW w:w="2127" w:type="dxa"/>
            <w:vAlign w:val="center"/>
            <w:hideMark/>
          </w:tcPr>
          <w:p w14:paraId="3B1E576B" w14:textId="77777777" w:rsidR="00D4360D" w:rsidRPr="005A0588" w:rsidRDefault="00D4360D" w:rsidP="006E32B1">
            <w:pPr>
              <w:pStyle w:val="NoSpacing"/>
              <w:spacing w:line="190" w:lineRule="exact"/>
              <w:jc w:val="center"/>
              <w:rPr>
                <w:rFonts w:ascii="Times New Roman" w:hAnsi="Times New Roman" w:cs="Times New Roman"/>
                <w:sz w:val="18"/>
                <w:szCs w:val="18"/>
              </w:rPr>
            </w:pPr>
          </w:p>
        </w:tc>
        <w:tc>
          <w:tcPr>
            <w:tcW w:w="2268" w:type="dxa"/>
            <w:vAlign w:val="center"/>
            <w:hideMark/>
          </w:tcPr>
          <w:p w14:paraId="160C7ACA" w14:textId="77777777" w:rsidR="00D4360D" w:rsidRPr="005A0588" w:rsidRDefault="00D4360D" w:rsidP="006E32B1">
            <w:pPr>
              <w:pStyle w:val="NoSpacing"/>
              <w:spacing w:line="190" w:lineRule="exact"/>
              <w:jc w:val="center"/>
              <w:rPr>
                <w:rFonts w:ascii="Times New Roman" w:hAnsi="Times New Roman" w:cs="Times New Roman"/>
                <w:sz w:val="18"/>
                <w:szCs w:val="18"/>
              </w:rPr>
            </w:pPr>
          </w:p>
        </w:tc>
      </w:tr>
      <w:tr w:rsidR="00D4360D" w:rsidRPr="005A0588" w14:paraId="6FEAA0ED" w14:textId="77777777" w:rsidTr="006E32B1">
        <w:trPr>
          <w:trHeight w:val="20"/>
          <w:jc w:val="center"/>
        </w:trPr>
        <w:tc>
          <w:tcPr>
            <w:tcW w:w="3964" w:type="dxa"/>
            <w:vAlign w:val="center"/>
            <w:hideMark/>
          </w:tcPr>
          <w:p w14:paraId="6A827D09" w14:textId="603E74C4"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 xml:space="preserve">a) </w:t>
            </w:r>
            <w:r w:rsidR="006E32B1" w:rsidRPr="005A0588">
              <w:rPr>
                <w:rFonts w:ascii="Times New Roman" w:hAnsi="Times New Roman" w:cs="Times New Roman"/>
                <w:sz w:val="18"/>
                <w:szCs w:val="18"/>
              </w:rPr>
              <w:t>15-year</w:t>
            </w:r>
            <w:r w:rsidRPr="005A0588">
              <w:rPr>
                <w:rFonts w:ascii="Times New Roman" w:hAnsi="Times New Roman" w:cs="Times New Roman"/>
                <w:sz w:val="18"/>
                <w:szCs w:val="18"/>
              </w:rPr>
              <w:t xml:space="preserve"> loans</w:t>
            </w:r>
          </w:p>
        </w:tc>
        <w:tc>
          <w:tcPr>
            <w:tcW w:w="2127" w:type="dxa"/>
            <w:vAlign w:val="center"/>
            <w:hideMark/>
          </w:tcPr>
          <w:p w14:paraId="2B03A866"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1650.61</w:t>
            </w:r>
          </w:p>
        </w:tc>
        <w:tc>
          <w:tcPr>
            <w:tcW w:w="2268" w:type="dxa"/>
            <w:vAlign w:val="center"/>
            <w:hideMark/>
          </w:tcPr>
          <w:p w14:paraId="46601AA2"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962.00</w:t>
            </w:r>
          </w:p>
        </w:tc>
      </w:tr>
      <w:tr w:rsidR="00D4360D" w:rsidRPr="005A0588" w14:paraId="11DB2050" w14:textId="77777777" w:rsidTr="006E32B1">
        <w:trPr>
          <w:trHeight w:val="20"/>
          <w:jc w:val="center"/>
        </w:trPr>
        <w:tc>
          <w:tcPr>
            <w:tcW w:w="3964" w:type="dxa"/>
            <w:vAlign w:val="center"/>
            <w:hideMark/>
          </w:tcPr>
          <w:p w14:paraId="172C8967" w14:textId="7900A43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 xml:space="preserve">b) </w:t>
            </w:r>
            <w:r w:rsidR="006E32B1" w:rsidRPr="005A0588">
              <w:rPr>
                <w:rFonts w:ascii="Times New Roman" w:hAnsi="Times New Roman" w:cs="Times New Roman"/>
                <w:sz w:val="18"/>
                <w:szCs w:val="18"/>
              </w:rPr>
              <w:t>20-year</w:t>
            </w:r>
            <w:r w:rsidRPr="005A0588">
              <w:rPr>
                <w:rFonts w:ascii="Times New Roman" w:hAnsi="Times New Roman" w:cs="Times New Roman"/>
                <w:sz w:val="18"/>
                <w:szCs w:val="18"/>
              </w:rPr>
              <w:t xml:space="preserve"> loans</w:t>
            </w:r>
          </w:p>
        </w:tc>
        <w:tc>
          <w:tcPr>
            <w:tcW w:w="2127" w:type="dxa"/>
            <w:vAlign w:val="center"/>
            <w:hideMark/>
          </w:tcPr>
          <w:p w14:paraId="229FFE13"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430.48</w:t>
            </w:r>
          </w:p>
        </w:tc>
        <w:tc>
          <w:tcPr>
            <w:tcW w:w="2268" w:type="dxa"/>
            <w:vAlign w:val="center"/>
            <w:hideMark/>
          </w:tcPr>
          <w:p w14:paraId="6EE2E795"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134.53</w:t>
            </w:r>
          </w:p>
        </w:tc>
      </w:tr>
      <w:tr w:rsidR="00D4360D" w:rsidRPr="005A0588" w14:paraId="431E3B88" w14:textId="77777777" w:rsidTr="006E32B1">
        <w:trPr>
          <w:trHeight w:val="20"/>
          <w:jc w:val="center"/>
        </w:trPr>
        <w:tc>
          <w:tcPr>
            <w:tcW w:w="3964" w:type="dxa"/>
            <w:vAlign w:val="center"/>
            <w:hideMark/>
          </w:tcPr>
          <w:p w14:paraId="1E73672B" w14:textId="6BDF917F"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 xml:space="preserve">c) </w:t>
            </w:r>
            <w:r w:rsidR="006E32B1" w:rsidRPr="005A0588">
              <w:rPr>
                <w:rFonts w:ascii="Times New Roman" w:hAnsi="Times New Roman" w:cs="Times New Roman"/>
                <w:sz w:val="18"/>
                <w:szCs w:val="18"/>
              </w:rPr>
              <w:t>25-year</w:t>
            </w:r>
            <w:r w:rsidRPr="005A0588">
              <w:rPr>
                <w:rFonts w:ascii="Times New Roman" w:hAnsi="Times New Roman" w:cs="Times New Roman"/>
                <w:sz w:val="18"/>
                <w:szCs w:val="18"/>
              </w:rPr>
              <w:t xml:space="preserve"> loans</w:t>
            </w:r>
          </w:p>
        </w:tc>
        <w:tc>
          <w:tcPr>
            <w:tcW w:w="2127" w:type="dxa"/>
            <w:vAlign w:val="center"/>
            <w:hideMark/>
          </w:tcPr>
          <w:p w14:paraId="4C49A8BF"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2883.68</w:t>
            </w:r>
          </w:p>
        </w:tc>
        <w:tc>
          <w:tcPr>
            <w:tcW w:w="2268" w:type="dxa"/>
            <w:vAlign w:val="center"/>
            <w:hideMark/>
          </w:tcPr>
          <w:p w14:paraId="40DB9635"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686.59</w:t>
            </w:r>
          </w:p>
        </w:tc>
      </w:tr>
      <w:tr w:rsidR="00D4360D" w:rsidRPr="005A0588" w14:paraId="5ABE5D94" w14:textId="77777777" w:rsidTr="006E32B1">
        <w:trPr>
          <w:trHeight w:val="20"/>
          <w:jc w:val="center"/>
        </w:trPr>
        <w:tc>
          <w:tcPr>
            <w:tcW w:w="3964" w:type="dxa"/>
            <w:vAlign w:val="center"/>
            <w:hideMark/>
          </w:tcPr>
          <w:p w14:paraId="79DEA6CC" w14:textId="2452157F"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 xml:space="preserve">d) </w:t>
            </w:r>
            <w:r w:rsidR="006E32B1" w:rsidRPr="005A0588">
              <w:rPr>
                <w:rFonts w:ascii="Times New Roman" w:hAnsi="Times New Roman" w:cs="Times New Roman"/>
                <w:sz w:val="18"/>
                <w:szCs w:val="18"/>
              </w:rPr>
              <w:t>30-year</w:t>
            </w:r>
            <w:r w:rsidRPr="005A0588">
              <w:rPr>
                <w:rFonts w:ascii="Times New Roman" w:hAnsi="Times New Roman" w:cs="Times New Roman"/>
                <w:sz w:val="18"/>
                <w:szCs w:val="18"/>
              </w:rPr>
              <w:t xml:space="preserve"> loans</w:t>
            </w:r>
          </w:p>
        </w:tc>
        <w:tc>
          <w:tcPr>
            <w:tcW w:w="2127" w:type="dxa"/>
            <w:vAlign w:val="center"/>
            <w:hideMark/>
          </w:tcPr>
          <w:p w14:paraId="6DB1CA81"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8357.15</w:t>
            </w:r>
          </w:p>
        </w:tc>
        <w:tc>
          <w:tcPr>
            <w:tcW w:w="2268" w:type="dxa"/>
            <w:vAlign w:val="center"/>
            <w:hideMark/>
          </w:tcPr>
          <w:p w14:paraId="58B2B45E"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1717.33</w:t>
            </w:r>
          </w:p>
        </w:tc>
      </w:tr>
      <w:tr w:rsidR="00D4360D" w:rsidRPr="005A0588" w14:paraId="500D5A7B" w14:textId="77777777" w:rsidTr="006E32B1">
        <w:trPr>
          <w:trHeight w:val="20"/>
          <w:jc w:val="center"/>
        </w:trPr>
        <w:tc>
          <w:tcPr>
            <w:tcW w:w="3964" w:type="dxa"/>
            <w:vAlign w:val="center"/>
            <w:hideMark/>
          </w:tcPr>
          <w:p w14:paraId="5418D207"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2. Plan loans received during 1984-89</w:t>
            </w:r>
          </w:p>
        </w:tc>
        <w:tc>
          <w:tcPr>
            <w:tcW w:w="2127" w:type="dxa"/>
            <w:vAlign w:val="center"/>
            <w:hideMark/>
          </w:tcPr>
          <w:p w14:paraId="573E3986"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17955.24</w:t>
            </w:r>
          </w:p>
        </w:tc>
        <w:tc>
          <w:tcPr>
            <w:tcW w:w="2268" w:type="dxa"/>
            <w:vAlign w:val="center"/>
            <w:hideMark/>
          </w:tcPr>
          <w:p w14:paraId="0931A180"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6863.86</w:t>
            </w:r>
          </w:p>
        </w:tc>
      </w:tr>
      <w:tr w:rsidR="00D4360D" w:rsidRPr="005A0588" w14:paraId="1B02F4AA" w14:textId="77777777" w:rsidTr="006E32B1">
        <w:trPr>
          <w:trHeight w:val="20"/>
          <w:jc w:val="center"/>
        </w:trPr>
        <w:tc>
          <w:tcPr>
            <w:tcW w:w="3964" w:type="dxa"/>
            <w:vAlign w:val="center"/>
            <w:hideMark/>
          </w:tcPr>
          <w:p w14:paraId="2B54F641"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3. Small Savings loans</w:t>
            </w:r>
          </w:p>
        </w:tc>
        <w:tc>
          <w:tcPr>
            <w:tcW w:w="2127" w:type="dxa"/>
            <w:vAlign w:val="center"/>
            <w:hideMark/>
          </w:tcPr>
          <w:p w14:paraId="7577DFB8"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20345.04</w:t>
            </w:r>
          </w:p>
        </w:tc>
        <w:tc>
          <w:tcPr>
            <w:tcW w:w="2268" w:type="dxa"/>
            <w:vAlign w:val="center"/>
            <w:hideMark/>
          </w:tcPr>
          <w:p w14:paraId="12CE9A52"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3727.26</w:t>
            </w:r>
          </w:p>
        </w:tc>
      </w:tr>
      <w:tr w:rsidR="00D4360D" w:rsidRPr="005A0588" w14:paraId="23BA93C8" w14:textId="77777777" w:rsidTr="006E32B1">
        <w:trPr>
          <w:trHeight w:val="20"/>
          <w:jc w:val="center"/>
        </w:trPr>
        <w:tc>
          <w:tcPr>
            <w:tcW w:w="3964" w:type="dxa"/>
            <w:vAlign w:val="center"/>
            <w:hideMark/>
          </w:tcPr>
          <w:p w14:paraId="5B70CC10"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4. Relief and rehabilitation loans</w:t>
            </w:r>
          </w:p>
        </w:tc>
        <w:tc>
          <w:tcPr>
            <w:tcW w:w="2127" w:type="dxa"/>
            <w:vAlign w:val="center"/>
            <w:hideMark/>
          </w:tcPr>
          <w:p w14:paraId="11516565"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39.94</w:t>
            </w:r>
          </w:p>
        </w:tc>
        <w:tc>
          <w:tcPr>
            <w:tcW w:w="2268" w:type="dxa"/>
            <w:vAlign w:val="center"/>
            <w:hideMark/>
          </w:tcPr>
          <w:p w14:paraId="7AAB9686"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12.38</w:t>
            </w:r>
          </w:p>
        </w:tc>
      </w:tr>
      <w:tr w:rsidR="00D4360D" w:rsidRPr="005A0588" w14:paraId="2CD58FD6" w14:textId="77777777" w:rsidTr="006E32B1">
        <w:trPr>
          <w:trHeight w:val="20"/>
          <w:jc w:val="center"/>
        </w:trPr>
        <w:tc>
          <w:tcPr>
            <w:tcW w:w="3964" w:type="dxa"/>
            <w:vAlign w:val="center"/>
            <w:hideMark/>
          </w:tcPr>
          <w:p w14:paraId="47C4384C"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5. Loans to clear overdraft</w:t>
            </w:r>
          </w:p>
        </w:tc>
        <w:tc>
          <w:tcPr>
            <w:tcW w:w="2127" w:type="dxa"/>
            <w:vAlign w:val="center"/>
            <w:hideMark/>
          </w:tcPr>
          <w:p w14:paraId="4DB090E1"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696.65</w:t>
            </w:r>
          </w:p>
        </w:tc>
        <w:tc>
          <w:tcPr>
            <w:tcW w:w="2268" w:type="dxa"/>
            <w:vAlign w:val="center"/>
            <w:hideMark/>
          </w:tcPr>
          <w:p w14:paraId="09B2D657"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132.40</w:t>
            </w:r>
          </w:p>
        </w:tc>
      </w:tr>
      <w:tr w:rsidR="00D4360D" w:rsidRPr="005A0588" w14:paraId="304C470E" w14:textId="77777777" w:rsidTr="006E32B1">
        <w:trPr>
          <w:trHeight w:val="20"/>
          <w:jc w:val="center"/>
        </w:trPr>
        <w:tc>
          <w:tcPr>
            <w:tcW w:w="3964" w:type="dxa"/>
            <w:vAlign w:val="center"/>
            <w:hideMark/>
          </w:tcPr>
          <w:p w14:paraId="17FBE27B"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6. Loans to cover gap in resources</w:t>
            </w:r>
          </w:p>
        </w:tc>
        <w:tc>
          <w:tcPr>
            <w:tcW w:w="2127" w:type="dxa"/>
            <w:vAlign w:val="center"/>
            <w:hideMark/>
          </w:tcPr>
          <w:p w14:paraId="352C4514"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248.34</w:t>
            </w:r>
          </w:p>
        </w:tc>
        <w:tc>
          <w:tcPr>
            <w:tcW w:w="2268" w:type="dxa"/>
            <w:vAlign w:val="center"/>
            <w:hideMark/>
          </w:tcPr>
          <w:p w14:paraId="7E62D32C"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172.25</w:t>
            </w:r>
          </w:p>
        </w:tc>
      </w:tr>
      <w:tr w:rsidR="00D4360D" w:rsidRPr="005A0588" w14:paraId="71FE4A5E" w14:textId="77777777" w:rsidTr="006E32B1">
        <w:trPr>
          <w:trHeight w:val="20"/>
          <w:jc w:val="center"/>
        </w:trPr>
        <w:tc>
          <w:tcPr>
            <w:tcW w:w="3964" w:type="dxa"/>
            <w:vAlign w:val="center"/>
            <w:hideMark/>
          </w:tcPr>
          <w:p w14:paraId="794EB887"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7. Drought loans</w:t>
            </w:r>
          </w:p>
        </w:tc>
        <w:tc>
          <w:tcPr>
            <w:tcW w:w="2127" w:type="dxa"/>
            <w:vAlign w:val="center"/>
            <w:hideMark/>
          </w:tcPr>
          <w:p w14:paraId="5C0A0814"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519.57</w:t>
            </w:r>
          </w:p>
        </w:tc>
        <w:tc>
          <w:tcPr>
            <w:tcW w:w="2268" w:type="dxa"/>
            <w:vAlign w:val="center"/>
            <w:hideMark/>
          </w:tcPr>
          <w:p w14:paraId="07E4DCFB"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198.88</w:t>
            </w:r>
          </w:p>
        </w:tc>
      </w:tr>
      <w:tr w:rsidR="00D4360D" w:rsidRPr="005A0588" w14:paraId="682C3216" w14:textId="77777777" w:rsidTr="006E32B1">
        <w:trPr>
          <w:trHeight w:val="20"/>
          <w:jc w:val="center"/>
        </w:trPr>
        <w:tc>
          <w:tcPr>
            <w:tcW w:w="3964" w:type="dxa"/>
            <w:vAlign w:val="center"/>
            <w:hideMark/>
          </w:tcPr>
          <w:p w14:paraId="4377F966"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8. Special loans</w:t>
            </w:r>
          </w:p>
        </w:tc>
        <w:tc>
          <w:tcPr>
            <w:tcW w:w="2127" w:type="dxa"/>
            <w:vAlign w:val="center"/>
            <w:hideMark/>
          </w:tcPr>
          <w:p w14:paraId="6CA7A4A1"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2384.53*</w:t>
            </w:r>
          </w:p>
        </w:tc>
        <w:tc>
          <w:tcPr>
            <w:tcW w:w="2268" w:type="dxa"/>
            <w:vAlign w:val="center"/>
            <w:hideMark/>
          </w:tcPr>
          <w:p w14:paraId="7663A7E0"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850.57</w:t>
            </w:r>
          </w:p>
        </w:tc>
      </w:tr>
      <w:tr w:rsidR="00D4360D" w:rsidRPr="005A0588" w14:paraId="18A7EF13" w14:textId="77777777" w:rsidTr="006E32B1">
        <w:trPr>
          <w:trHeight w:val="20"/>
          <w:jc w:val="center"/>
        </w:trPr>
        <w:tc>
          <w:tcPr>
            <w:tcW w:w="3964" w:type="dxa"/>
            <w:vAlign w:val="center"/>
            <w:hideMark/>
          </w:tcPr>
          <w:p w14:paraId="028A5D9F"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9. Loans for Hirakud Project</w:t>
            </w:r>
          </w:p>
        </w:tc>
        <w:tc>
          <w:tcPr>
            <w:tcW w:w="2127" w:type="dxa"/>
            <w:vAlign w:val="center"/>
            <w:hideMark/>
          </w:tcPr>
          <w:p w14:paraId="11365842"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80.80</w:t>
            </w:r>
          </w:p>
        </w:tc>
        <w:tc>
          <w:tcPr>
            <w:tcW w:w="2268" w:type="dxa"/>
            <w:vAlign w:val="center"/>
            <w:hideMark/>
          </w:tcPr>
          <w:p w14:paraId="6CE497FE"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8.10</w:t>
            </w:r>
          </w:p>
        </w:tc>
      </w:tr>
      <w:tr w:rsidR="00D4360D" w:rsidRPr="005A0588" w14:paraId="2EE414F5" w14:textId="77777777" w:rsidTr="006E32B1">
        <w:trPr>
          <w:trHeight w:val="20"/>
          <w:jc w:val="center"/>
        </w:trPr>
        <w:tc>
          <w:tcPr>
            <w:tcW w:w="3964" w:type="dxa"/>
            <w:vAlign w:val="center"/>
            <w:hideMark/>
          </w:tcPr>
          <w:p w14:paraId="7D8B72DB" w14:textId="77777777" w:rsidR="00D4360D" w:rsidRPr="005A0588" w:rsidRDefault="00D4360D"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10. Other loans</w:t>
            </w:r>
          </w:p>
        </w:tc>
        <w:tc>
          <w:tcPr>
            <w:tcW w:w="2127" w:type="dxa"/>
            <w:vAlign w:val="center"/>
            <w:hideMark/>
          </w:tcPr>
          <w:p w14:paraId="69C23C48"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459.89</w:t>
            </w:r>
          </w:p>
        </w:tc>
        <w:tc>
          <w:tcPr>
            <w:tcW w:w="2268" w:type="dxa"/>
            <w:vAlign w:val="center"/>
            <w:hideMark/>
          </w:tcPr>
          <w:p w14:paraId="5B8F98C1" w14:textId="77777777" w:rsidR="00D4360D" w:rsidRPr="005A0588" w:rsidRDefault="00D4360D"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62.44</w:t>
            </w:r>
          </w:p>
        </w:tc>
      </w:tr>
      <w:tr w:rsidR="00D4360D" w:rsidRPr="005A0588" w14:paraId="2F061542" w14:textId="77777777" w:rsidTr="006E32B1">
        <w:trPr>
          <w:trHeight w:val="20"/>
          <w:jc w:val="center"/>
        </w:trPr>
        <w:tc>
          <w:tcPr>
            <w:tcW w:w="3964" w:type="dxa"/>
            <w:vAlign w:val="center"/>
            <w:hideMark/>
          </w:tcPr>
          <w:p w14:paraId="7F04C39B" w14:textId="77777777" w:rsidR="00D4360D" w:rsidRPr="005A0588" w:rsidRDefault="00D4360D"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Total</w:t>
            </w:r>
          </w:p>
        </w:tc>
        <w:tc>
          <w:tcPr>
            <w:tcW w:w="2127" w:type="dxa"/>
            <w:vAlign w:val="center"/>
            <w:hideMark/>
          </w:tcPr>
          <w:p w14:paraId="74D111E2" w14:textId="77777777" w:rsidR="00D4360D" w:rsidRPr="005A0588" w:rsidRDefault="00D4360D"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56051.92</w:t>
            </w:r>
          </w:p>
        </w:tc>
        <w:tc>
          <w:tcPr>
            <w:tcW w:w="2268" w:type="dxa"/>
            <w:vAlign w:val="center"/>
            <w:hideMark/>
          </w:tcPr>
          <w:p w14:paraId="13A7FF9E" w14:textId="77777777" w:rsidR="00D4360D" w:rsidRPr="005A0588" w:rsidRDefault="00D4360D"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15528.59</w:t>
            </w:r>
          </w:p>
        </w:tc>
      </w:tr>
    </w:tbl>
    <w:p w14:paraId="176A5C0C" w14:textId="1997AF3B" w:rsidR="00D4360D" w:rsidRPr="006E32B1" w:rsidRDefault="00D4360D" w:rsidP="004F48AC">
      <w:pPr>
        <w:spacing w:after="0" w:line="190" w:lineRule="exact"/>
        <w:ind w:left="709" w:right="851"/>
        <w:jc w:val="both"/>
        <w:rPr>
          <w:rFonts w:ascii="Times New Roman" w:hAnsi="Times New Roman" w:cs="Times New Roman"/>
          <w:i/>
          <w:iCs/>
          <w:sz w:val="16"/>
          <w:szCs w:val="16"/>
        </w:rPr>
      </w:pPr>
      <w:r w:rsidRPr="006E32B1">
        <w:rPr>
          <w:rFonts w:ascii="Times New Roman" w:hAnsi="Times New Roman" w:cs="Times New Roman"/>
          <w:i/>
          <w:iCs/>
          <w:sz w:val="16"/>
          <w:szCs w:val="16"/>
        </w:rPr>
        <w:t xml:space="preserve">* </w:t>
      </w:r>
      <w:r w:rsidRPr="006E32B1">
        <w:rPr>
          <w:rFonts w:ascii="Times New Roman" w:hAnsi="Times New Roman" w:cs="Times New Roman"/>
          <w:sz w:val="16"/>
          <w:szCs w:val="16"/>
        </w:rPr>
        <w:t xml:space="preserve">Includes loans of Rs. 2,300.91 crore to Punjab and Rs. 83.62 crore (net of repayment of Rs. 8 </w:t>
      </w:r>
      <w:proofErr w:type="gramStart"/>
      <w:r w:rsidRPr="006E32B1">
        <w:rPr>
          <w:rFonts w:ascii="Times New Roman" w:hAnsi="Times New Roman" w:cs="Times New Roman"/>
          <w:sz w:val="16"/>
          <w:szCs w:val="16"/>
        </w:rPr>
        <w:t>crore</w:t>
      </w:r>
      <w:proofErr w:type="gramEnd"/>
      <w:r w:rsidRPr="006E32B1">
        <w:rPr>
          <w:rFonts w:ascii="Times New Roman" w:hAnsi="Times New Roman" w:cs="Times New Roman"/>
          <w:sz w:val="16"/>
          <w:szCs w:val="16"/>
        </w:rPr>
        <w:t xml:space="preserve"> in 1986-87)</w:t>
      </w:r>
      <w:r w:rsidR="006E32B1">
        <w:rPr>
          <w:rFonts w:ascii="Times New Roman" w:hAnsi="Times New Roman" w:cs="Times New Roman"/>
          <w:i/>
          <w:iCs/>
          <w:sz w:val="16"/>
          <w:szCs w:val="16"/>
        </w:rPr>
        <w:t xml:space="preserve"> </w:t>
      </w:r>
      <w:r w:rsidRPr="006E32B1">
        <w:rPr>
          <w:rFonts w:ascii="Times New Roman" w:hAnsi="Times New Roman" w:cs="Times New Roman"/>
          <w:sz w:val="16"/>
          <w:szCs w:val="16"/>
        </w:rPr>
        <w:t>to Madhya Pradesh for relief of Bhopal Gas Leak Tragedy.</w:t>
      </w:r>
    </w:p>
    <w:p w14:paraId="29A4FF9F" w14:textId="77777777" w:rsidR="006E32B1" w:rsidRDefault="006E32B1" w:rsidP="006E32B1">
      <w:pPr>
        <w:spacing w:after="0" w:line="190" w:lineRule="exact"/>
        <w:ind w:left="720"/>
        <w:rPr>
          <w:rFonts w:ascii="Times New Roman" w:hAnsi="Times New Roman" w:cs="Times New Roman"/>
          <w:sz w:val="19"/>
          <w:szCs w:val="19"/>
        </w:rPr>
      </w:pPr>
    </w:p>
    <w:p w14:paraId="2C307E6A" w14:textId="77777777" w:rsidR="006E32B1" w:rsidRDefault="006E32B1" w:rsidP="006E32B1">
      <w:pPr>
        <w:spacing w:after="0" w:line="190" w:lineRule="exact"/>
        <w:ind w:left="720"/>
        <w:rPr>
          <w:rFonts w:ascii="Times New Roman" w:hAnsi="Times New Roman" w:cs="Times New Roman"/>
          <w:sz w:val="19"/>
          <w:szCs w:val="19"/>
        </w:rPr>
      </w:pPr>
    </w:p>
    <w:p w14:paraId="6659EE61" w14:textId="39EF4B82" w:rsidR="00D4360D" w:rsidRDefault="00D4360D" w:rsidP="006E32B1">
      <w:pPr>
        <w:spacing w:after="0" w:line="190" w:lineRule="exact"/>
        <w:ind w:left="720"/>
        <w:rPr>
          <w:rFonts w:ascii="Times New Roman" w:hAnsi="Times New Roman" w:cs="Times New Roman"/>
          <w:sz w:val="19"/>
          <w:szCs w:val="19"/>
        </w:rPr>
      </w:pPr>
      <w:proofErr w:type="spellStart"/>
      <w:r w:rsidRPr="006E32B1">
        <w:rPr>
          <w:rFonts w:ascii="Times New Roman" w:hAnsi="Times New Roman" w:cs="Times New Roman"/>
          <w:sz w:val="19"/>
          <w:szCs w:val="19"/>
        </w:rPr>
        <w:lastRenderedPageBreak/>
        <w:t>Statewise</w:t>
      </w:r>
      <w:proofErr w:type="spellEnd"/>
      <w:r w:rsidRPr="006E32B1">
        <w:rPr>
          <w:rFonts w:ascii="Times New Roman" w:hAnsi="Times New Roman" w:cs="Times New Roman"/>
          <w:sz w:val="19"/>
          <w:szCs w:val="19"/>
        </w:rPr>
        <w:t xml:space="preserve"> position of outstanding loans is given in Annexure IX.2 and of repayments due in Annexure IX.3</w:t>
      </w:r>
    </w:p>
    <w:p w14:paraId="357AD0D2" w14:textId="77777777" w:rsidR="006E32B1" w:rsidRPr="006E32B1" w:rsidRDefault="006E32B1" w:rsidP="006E32B1">
      <w:pPr>
        <w:spacing w:after="0" w:line="190" w:lineRule="exact"/>
        <w:ind w:left="720"/>
        <w:rPr>
          <w:rFonts w:ascii="Times New Roman" w:hAnsi="Times New Roman" w:cs="Times New Roman"/>
          <w:sz w:val="19"/>
          <w:szCs w:val="19"/>
        </w:rPr>
      </w:pPr>
    </w:p>
    <w:p w14:paraId="491E8DFB" w14:textId="0F68F11E" w:rsidR="00D4360D" w:rsidRPr="006E32B1" w:rsidRDefault="00D4360D" w:rsidP="006E32B1">
      <w:pPr>
        <w:pStyle w:val="Heading3"/>
        <w:spacing w:after="0" w:line="190" w:lineRule="exact"/>
        <w:rPr>
          <w:sz w:val="19"/>
          <w:szCs w:val="19"/>
        </w:rPr>
      </w:pPr>
      <w:r w:rsidRPr="006E32B1">
        <w:rPr>
          <w:sz w:val="19"/>
          <w:szCs w:val="19"/>
        </w:rPr>
        <w:t xml:space="preserve">The major cause for the rapid rise in States' indebtedness is the key role of borrowing in financing investments under the Plan. Money is borrowed by the States not only to finance government sector investments (schools, roads, bridges, etc.) but also to finance investments by departmental and non-departmental enterprises (irrigation works, State Electricity Boards, State Road Transport Corporations and a large number of other enterprises). As seen earlier, more recently, borrowed funds have been used also to cover part of the revenue expenditure. Except for such a diversion of borrowings, growth in indebtedness should not cause any worry if investments yield adequate returns to meet interest and for amortization. In </w:t>
      </w:r>
      <w:proofErr w:type="spellStart"/>
      <w:r w:rsidRPr="006E32B1">
        <w:rPr>
          <w:sz w:val="19"/>
          <w:szCs w:val="19"/>
        </w:rPr>
        <w:t>respectof</w:t>
      </w:r>
      <w:proofErr w:type="spellEnd"/>
      <w:r w:rsidRPr="006E32B1">
        <w:rPr>
          <w:sz w:val="19"/>
          <w:szCs w:val="19"/>
        </w:rPr>
        <w:t xml:space="preserve"> government owned assets, depreciation or amortization funds are not maintained and hence borrowings contracted for the creation of such assets have to be repaid out of fresh borrowings. As regards investments by State Governments in enterprises by way of loan or equity, the source of trouble in most cases is the extremely poor performance of the enterprises. Because of such performance resulting in meagre or negative returns and insufficient or nil amortization/depreciation, almost the entire burden of servicing the debt contracted on enterprises' account has fallen on the Government budget. While the growing interest burden reduces the amount available for incurring important categories of revenue expenditure, repayment obligations tend to continuously reduce the ratio of net borrowings to gross borrowings. This process was arrested or slowed down as a result of the rescheduling of repayments to the Centre by the previous Finance Commissions. However, the same trend continues operating on the new base after rescheduling.</w:t>
      </w:r>
    </w:p>
    <w:p w14:paraId="3439B26C" w14:textId="15D5DE40" w:rsidR="00D4360D" w:rsidRPr="006E32B1" w:rsidRDefault="00D4360D" w:rsidP="006E32B1">
      <w:pPr>
        <w:pStyle w:val="Heading3"/>
        <w:spacing w:after="0" w:line="190" w:lineRule="exact"/>
        <w:rPr>
          <w:sz w:val="19"/>
          <w:szCs w:val="19"/>
        </w:rPr>
      </w:pPr>
      <w:r w:rsidRPr="006E32B1">
        <w:rPr>
          <w:sz w:val="19"/>
          <w:szCs w:val="19"/>
        </w:rPr>
        <w:t xml:space="preserve">As far as market borrowings are concerned, under each </w:t>
      </w:r>
      <w:proofErr w:type="gramStart"/>
      <w:r w:rsidRPr="006E32B1">
        <w:rPr>
          <w:sz w:val="19"/>
          <w:szCs w:val="19"/>
        </w:rPr>
        <w:t>Five Year</w:t>
      </w:r>
      <w:proofErr w:type="gramEnd"/>
      <w:r w:rsidRPr="006E32B1">
        <w:rPr>
          <w:sz w:val="19"/>
          <w:szCs w:val="19"/>
        </w:rPr>
        <w:t xml:space="preserve"> Plan, each State is allocated a share on a net basis, i.e., the States' gross borrowing is fixed by the Reserve Bank of India so as to yield the pre-determined net loan after deducting any repayments due to the market in the concerned year. The State does not have to find resources of its own to meet repayment obligations and so it does not feel any immediate pressure; however, more and more of the gross borrowing is absorbed by repayments and the interest burden grows as the 'old' as well as the 'new' loans have to be serviced.</w:t>
      </w:r>
    </w:p>
    <w:p w14:paraId="247EA3B7" w14:textId="76826B11" w:rsidR="00D4360D" w:rsidRPr="006E32B1" w:rsidRDefault="00D4360D" w:rsidP="006E32B1">
      <w:pPr>
        <w:pStyle w:val="Heading3"/>
        <w:spacing w:after="0" w:line="190" w:lineRule="exact"/>
        <w:rPr>
          <w:sz w:val="19"/>
          <w:szCs w:val="19"/>
        </w:rPr>
      </w:pPr>
      <w:r w:rsidRPr="006E32B1">
        <w:rPr>
          <w:sz w:val="19"/>
          <w:szCs w:val="19"/>
        </w:rPr>
        <w:t>Central loans, as part of Plan assistance or for any other purpose, are determined and granted on a gross basis. The entire amount is intended to be used for Plan financing or for any other specific purpose agreed upon. The repayment of outstanding Central loans (contracted earlier) is supposed to be met out of other sources. However, as stated above, no amortization funds are established in respect of government sector investments; and loans to Electricity Boards, which constitute around 66 per cent of loans advanced by State Governments, are given in perpetuity. Hence the only funds available for repayment of loans from the Centre are recoveries of loans and advances by the State Governments and net miscellaneous capital receipts. These do not cover more than a small part of repayment obligations. Therefore, repayment obligations tend to cut into Plan resources to a substantial extent.</w:t>
      </w:r>
    </w:p>
    <w:p w14:paraId="295B6C16" w14:textId="4D639427" w:rsidR="00D4360D" w:rsidRPr="006E32B1" w:rsidRDefault="00D4360D" w:rsidP="006E32B1">
      <w:pPr>
        <w:pStyle w:val="Heading3"/>
        <w:spacing w:after="0" w:line="190" w:lineRule="exact"/>
        <w:rPr>
          <w:sz w:val="19"/>
          <w:szCs w:val="19"/>
        </w:rPr>
      </w:pPr>
      <w:r w:rsidRPr="006E32B1">
        <w:rPr>
          <w:sz w:val="19"/>
          <w:szCs w:val="19"/>
        </w:rPr>
        <w:t>This has led to the complaint by the State Governments that their repayment obligations to the Centre are absorbing a large and ever-increasing proportion of fresh loans. Hence, the demand for relief by way of rescheduling and write-off. We note that as of 1989-90, repayments to the Centre are expected to constitute 32 per cent of fresh loans on the average, with the percentage varying from 18.2 for Punjab to 116.3 for Arunachal Pradesh. (Annexure IX.4)</w:t>
      </w:r>
    </w:p>
    <w:p w14:paraId="334E6235" w14:textId="28555C46" w:rsidR="00D4360D" w:rsidRPr="006E32B1" w:rsidRDefault="00D4360D" w:rsidP="006E32B1">
      <w:pPr>
        <w:pStyle w:val="Heading3"/>
        <w:spacing w:after="0" w:line="190" w:lineRule="exact"/>
        <w:rPr>
          <w:sz w:val="19"/>
          <w:szCs w:val="19"/>
        </w:rPr>
      </w:pPr>
      <w:r w:rsidRPr="006E32B1">
        <w:rPr>
          <w:sz w:val="19"/>
          <w:szCs w:val="19"/>
        </w:rPr>
        <w:t>The resources for financing State Plans are derived from (a) balance from current revenues, (b) Plan grants and loans from the Centre, (c) net market borrowing, (d) institutional loans and (e) unfunded debt (accrual of provident funds, etc.). On the non-Plan capital side are reckoned repayment of loans to the Centre and institutions (outgoings) and recoveries of loans and advances. The difference between repayments and recoveries has been termed the non-Plan capital gap (negative). The non-Plan gaps tended to absorb a substantial part of Plan resources in the case of most of the States, which then could not have what were considered adequate Plans. Presumably, it is this consideration which led to the three previous Commissions being asked to assess the non-Plan capital gaps of the States and to suggest appropriate measures to deal with those gaps. The "appropriate measures" recommended by the Seventh and Eighth Commissions consisted largely of rescheduling of repayments supplemented by some "write-off". The measures recommended by the Commissions have not led to any improvement in the debt burden faced by the States. Thus, the rough estimate of the total non-Plan capital gaps of the States for the period 1990-95 that we worked out is substantially higher than the estimate of the gaps for the period 1984-89 made by the Eighth Commission (Rs. 6,806 crore).</w:t>
      </w:r>
    </w:p>
    <w:p w14:paraId="611A5967" w14:textId="65E7B4C8" w:rsidR="00D4360D" w:rsidRPr="006E32B1" w:rsidRDefault="00D4360D" w:rsidP="006E32B1">
      <w:pPr>
        <w:pStyle w:val="Heading3"/>
        <w:spacing w:after="0" w:line="190" w:lineRule="exact"/>
        <w:rPr>
          <w:sz w:val="19"/>
          <w:szCs w:val="19"/>
        </w:rPr>
      </w:pPr>
      <w:r w:rsidRPr="006E32B1">
        <w:rPr>
          <w:sz w:val="19"/>
          <w:szCs w:val="19"/>
        </w:rPr>
        <w:t>This Commission has not been asked to estimate the non-Plan capital gaps of the States, or to suggest measures to deal with those gaps. We refer to this matter only to show that unless some basic changes in policy are adopted, large non-Plan gaps would continue to emerge at the State level and successive Finance Commissions would have to reschedule/write-off loans every five years. That is, loans will first be granted by the Centre at certain rates of interest and with pre-determined maturity periods; but later, some of the loans or part of the total debt will be converted to a grant or the maturity period will be lengthened. The rates of interest might also be changed, as was done by the Seventh and the Eighth Commissions. Such a sequence of policy actions, to be repeated at regular intervals, will neither bespeak an orderly management of financial affairs nor be conducive to the efficient use of funds. We feel that this chain should be broken.</w:t>
      </w:r>
    </w:p>
    <w:p w14:paraId="4AE4AF91" w14:textId="77777777" w:rsidR="00D4360D" w:rsidRPr="006E32B1" w:rsidRDefault="00D4360D" w:rsidP="006E32B1">
      <w:pPr>
        <w:spacing w:after="0" w:line="190" w:lineRule="exact"/>
        <w:jc w:val="center"/>
        <w:rPr>
          <w:rFonts w:ascii="Times New Roman" w:hAnsi="Times New Roman" w:cs="Times New Roman"/>
          <w:b/>
          <w:bCs/>
          <w:sz w:val="20"/>
          <w:szCs w:val="20"/>
        </w:rPr>
      </w:pPr>
      <w:r w:rsidRPr="006E32B1">
        <w:rPr>
          <w:rFonts w:ascii="Times New Roman" w:hAnsi="Times New Roman" w:cs="Times New Roman"/>
          <w:b/>
          <w:bCs/>
          <w:sz w:val="20"/>
          <w:szCs w:val="20"/>
        </w:rPr>
        <w:t xml:space="preserve">Views Of </w:t>
      </w:r>
      <w:proofErr w:type="gramStart"/>
      <w:r w:rsidRPr="006E32B1">
        <w:rPr>
          <w:rFonts w:ascii="Times New Roman" w:hAnsi="Times New Roman" w:cs="Times New Roman"/>
          <w:b/>
          <w:bCs/>
          <w:sz w:val="20"/>
          <w:szCs w:val="20"/>
        </w:rPr>
        <w:t>The</w:t>
      </w:r>
      <w:proofErr w:type="gramEnd"/>
      <w:r w:rsidRPr="006E32B1">
        <w:rPr>
          <w:rFonts w:ascii="Times New Roman" w:hAnsi="Times New Roman" w:cs="Times New Roman"/>
          <w:b/>
          <w:bCs/>
          <w:sz w:val="20"/>
          <w:szCs w:val="20"/>
        </w:rPr>
        <w:t xml:space="preserve"> State Governments</w:t>
      </w:r>
    </w:p>
    <w:p w14:paraId="42301DC6" w14:textId="0B71B7F0" w:rsidR="00D4360D" w:rsidRPr="006E32B1" w:rsidRDefault="00D4360D" w:rsidP="006E32B1">
      <w:pPr>
        <w:pStyle w:val="Heading3"/>
        <w:spacing w:after="0" w:line="190" w:lineRule="exact"/>
        <w:rPr>
          <w:sz w:val="19"/>
          <w:szCs w:val="19"/>
        </w:rPr>
      </w:pPr>
      <w:r w:rsidRPr="006E32B1">
        <w:rPr>
          <w:sz w:val="19"/>
          <w:szCs w:val="19"/>
        </w:rPr>
        <w:t>In their memoranda to us, several State Governments have made suggestions for reducing their debt, and, in particular, the repayment burden during the period covered by our recommendations. While some States have requested a write-off of some types of debt, others have suggested longer repayment and grace periods. The major suggestions made by the State Governments are as follows:</w:t>
      </w:r>
    </w:p>
    <w:p w14:paraId="0FD71237"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a. The repayment burden during the period covered by our recommendations should be reduced.</w:t>
      </w:r>
    </w:p>
    <w:p w14:paraId="7CE401FB"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b. Central loans should have longer maturity periods.</w:t>
      </w:r>
    </w:p>
    <w:p w14:paraId="350BA0D0"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c. Loans given and utilised for socially desirable but financially unremunerative projects and for investments in public utilities including power projects should be fully or partially written off.</w:t>
      </w:r>
    </w:p>
    <w:p w14:paraId="61E70AB5"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d. The rate of interest charged to the States should be related to the cost of borrowing to the Centre and in general, much lower rates should be charged than those at present.</w:t>
      </w:r>
    </w:p>
    <w:p w14:paraId="3B77CB1C"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e. Loans against small savings should be converted into loans in perpetuity.</w:t>
      </w:r>
    </w:p>
    <w:p w14:paraId="664FE70E"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f. The pattern of Central Plan assistance should be changed to have a higher proportion of grants, e.g., 50:50 as against 30:70 proportion of grants to loans.</w:t>
      </w:r>
    </w:p>
    <w:p w14:paraId="014FF495"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g. The terms of loans relating to externally-aided projects should be changed to be more in line with the terms on which the Central Government obtains assistance from external agencies.</w:t>
      </w:r>
    </w:p>
    <w:p w14:paraId="5F623D1D" w14:textId="77777777" w:rsidR="00322126" w:rsidRPr="006E32B1" w:rsidRDefault="00D4360D" w:rsidP="006E32B1">
      <w:pPr>
        <w:spacing w:after="0" w:line="190" w:lineRule="exact"/>
        <w:ind w:left="284"/>
        <w:jc w:val="both"/>
        <w:rPr>
          <w:rFonts w:ascii="Times New Roman" w:hAnsi="Times New Roman" w:cs="Times New Roman"/>
          <w:sz w:val="19"/>
          <w:szCs w:val="19"/>
        </w:rPr>
      </w:pPr>
      <w:r w:rsidRPr="006E32B1">
        <w:rPr>
          <w:rFonts w:ascii="Times New Roman" w:hAnsi="Times New Roman" w:cs="Times New Roman"/>
          <w:sz w:val="19"/>
          <w:szCs w:val="19"/>
        </w:rPr>
        <w:t>h. Loans given to Arunachal Pradesh, Goa and Mizoram prior to their becoming full-fledged States should be written off.</w:t>
      </w:r>
    </w:p>
    <w:p w14:paraId="4AF31570" w14:textId="458A22B4" w:rsidR="00D4360D" w:rsidRPr="006E32B1" w:rsidRDefault="00D4360D" w:rsidP="006E32B1">
      <w:pPr>
        <w:spacing w:after="0" w:line="190" w:lineRule="exact"/>
        <w:ind w:left="284"/>
        <w:jc w:val="both"/>
        <w:rPr>
          <w:rFonts w:ascii="Times New Roman" w:hAnsi="Times New Roman" w:cs="Times New Roman"/>
          <w:sz w:val="19"/>
          <w:szCs w:val="19"/>
        </w:rPr>
      </w:pPr>
      <w:proofErr w:type="spellStart"/>
      <w:r w:rsidRPr="006E32B1">
        <w:rPr>
          <w:rFonts w:ascii="Times New Roman" w:hAnsi="Times New Roman" w:cs="Times New Roman"/>
          <w:sz w:val="19"/>
          <w:szCs w:val="19"/>
        </w:rPr>
        <w:t>i</w:t>
      </w:r>
      <w:proofErr w:type="spellEnd"/>
      <w:r w:rsidRPr="006E32B1">
        <w:rPr>
          <w:rFonts w:ascii="Times New Roman" w:hAnsi="Times New Roman" w:cs="Times New Roman"/>
          <w:sz w:val="19"/>
          <w:szCs w:val="19"/>
        </w:rPr>
        <w:t xml:space="preserve">. The loan component of drought assistance should be written </w:t>
      </w:r>
      <w:proofErr w:type="spellStart"/>
      <w:r w:rsidRPr="006E32B1">
        <w:rPr>
          <w:rFonts w:ascii="Times New Roman" w:hAnsi="Times New Roman" w:cs="Times New Roman"/>
          <w:sz w:val="19"/>
          <w:szCs w:val="19"/>
        </w:rPr>
        <w:t>of</w:t>
      </w:r>
      <w:proofErr w:type="spellEnd"/>
      <w:r w:rsidRPr="006E32B1">
        <w:rPr>
          <w:rFonts w:ascii="Times New Roman" w:hAnsi="Times New Roman" w:cs="Times New Roman"/>
          <w:sz w:val="19"/>
          <w:szCs w:val="19"/>
        </w:rPr>
        <w:t xml:space="preserve"> </w:t>
      </w:r>
      <w:r w:rsidR="00544161" w:rsidRPr="006E32B1">
        <w:rPr>
          <w:rStyle w:val="FootnoteReference"/>
          <w:rFonts w:ascii="Times New Roman" w:hAnsi="Times New Roman" w:cs="Times New Roman"/>
          <w:sz w:val="19"/>
          <w:szCs w:val="19"/>
        </w:rPr>
        <w:footnoteReference w:id="8"/>
      </w:r>
      <w:r w:rsidRPr="006E32B1">
        <w:rPr>
          <w:rFonts w:ascii="Times New Roman" w:hAnsi="Times New Roman" w:cs="Times New Roman"/>
          <w:sz w:val="19"/>
          <w:szCs w:val="19"/>
        </w:rPr>
        <w:t>.</w:t>
      </w:r>
    </w:p>
    <w:p w14:paraId="1CBF805F" w14:textId="466C4E86" w:rsidR="00D4360D" w:rsidRPr="006E32B1" w:rsidRDefault="00D4360D" w:rsidP="006E32B1">
      <w:pPr>
        <w:pStyle w:val="Heading3"/>
        <w:spacing w:after="0" w:line="190" w:lineRule="exact"/>
        <w:rPr>
          <w:sz w:val="19"/>
          <w:szCs w:val="19"/>
        </w:rPr>
      </w:pPr>
      <w:r w:rsidRPr="006E32B1">
        <w:rPr>
          <w:sz w:val="19"/>
          <w:szCs w:val="19"/>
        </w:rPr>
        <w:t>These suggestions are based mainly on considerations relating to reasonableness of maturity periods, justifiability of interest rates charged, repaying capacity, appropriate mix of grants and loans, the treatment of loans against small savings and special problems. We shall give due consideration to the suggestions made by the State Governments and accommodate them insofar as they are in conformity with the principles on which we shall base our recommendations. The entire matter relating to Central loans to the States and their repayment must be considered in the light of certain fundamental principles having a bearing on equity, efficiency, financial responsibility and the long-term impact on the economy. It would have been desirable, had it</w:t>
      </w:r>
      <w:r w:rsidR="006D4516" w:rsidRPr="006E32B1">
        <w:rPr>
          <w:sz w:val="19"/>
          <w:szCs w:val="19"/>
        </w:rPr>
        <w:t xml:space="preserve"> </w:t>
      </w:r>
      <w:r w:rsidRPr="006E32B1">
        <w:rPr>
          <w:sz w:val="19"/>
          <w:szCs w:val="19"/>
        </w:rPr>
        <w:t xml:space="preserve">been possible, to </w:t>
      </w:r>
      <w:r w:rsidRPr="006E32B1">
        <w:rPr>
          <w:sz w:val="19"/>
          <w:szCs w:val="19"/>
        </w:rPr>
        <w:lastRenderedPageBreak/>
        <w:t>get a part of government investment financed through surplus of revenues over government's current expenditures. In the present situation, when there are large revenue deficits in the Centre and most of the States, this is not possible. Capital investment has to be financed almost solely through borrowed funds.</w:t>
      </w:r>
    </w:p>
    <w:p w14:paraId="79AC900E" w14:textId="069F1F05" w:rsidR="00D4360D" w:rsidRPr="006E32B1" w:rsidRDefault="00D4360D" w:rsidP="006E32B1">
      <w:pPr>
        <w:pStyle w:val="Heading3"/>
        <w:spacing w:after="0" w:line="190" w:lineRule="exact"/>
        <w:rPr>
          <w:sz w:val="19"/>
          <w:szCs w:val="19"/>
        </w:rPr>
      </w:pPr>
      <w:r w:rsidRPr="006E32B1">
        <w:rPr>
          <w:sz w:val="19"/>
          <w:szCs w:val="19"/>
        </w:rPr>
        <w:t>When the Central Government borrows from the market and lends to the State Governments, it is, of course, not acting just as an agent through whom the funds are routed. It can and does bring about an allocation of capital funds amongst the States which favours the weaker States; had the monies been borrowed by all the States directly from the market, the richer States would have gained in competition. Second, the allocation of funds gets closely linked with the approval of projects by the Planning Commission. Third, wherever considered appropriate (i.e., in special circumstances), the terms of lending by the Centre could be made softer than the ones at which it borrows funds so that the national taxpayer will bear part of the burden to the benefit of taxpayers in particular States. But in doing so, as in the case of current transfers, the aspect of inter-State equity and the extent to which and the grounds on which the national taxpayer can be asked to shoulder additional burdens for the benefit of taxpayers in the weaker States or in a particular State, must be carefully considered.</w:t>
      </w:r>
    </w:p>
    <w:p w14:paraId="6C1F573A" w14:textId="51E7FDAA" w:rsidR="00D4360D" w:rsidRPr="006E32B1" w:rsidRDefault="00D4360D" w:rsidP="006E32B1">
      <w:pPr>
        <w:pStyle w:val="Heading3"/>
        <w:spacing w:after="0" w:line="190" w:lineRule="exact"/>
        <w:rPr>
          <w:sz w:val="19"/>
          <w:szCs w:val="19"/>
        </w:rPr>
      </w:pPr>
      <w:r w:rsidRPr="006E32B1">
        <w:rPr>
          <w:sz w:val="19"/>
          <w:szCs w:val="19"/>
        </w:rPr>
        <w:t xml:space="preserve">It could be argued that since the Central Government has greater taxing powers, it could bear part of the cost of borrowing on behalf of the State Governments. There could be a case for this but, correspondingly, the amounts available for making direct transfers to the States would be reduced. </w:t>
      </w:r>
      <w:proofErr w:type="gramStart"/>
      <w:r w:rsidRPr="006E32B1">
        <w:rPr>
          <w:sz w:val="19"/>
          <w:szCs w:val="19"/>
        </w:rPr>
        <w:t>Also</w:t>
      </w:r>
      <w:proofErr w:type="gramEnd"/>
      <w:r w:rsidRPr="006E32B1">
        <w:rPr>
          <w:sz w:val="19"/>
          <w:szCs w:val="19"/>
        </w:rPr>
        <w:t xml:space="preserve"> very low rates of interest often lead to uneconomic use of funds.</w:t>
      </w:r>
    </w:p>
    <w:p w14:paraId="09624CE0" w14:textId="3E57E9E6" w:rsidR="00D4360D" w:rsidRPr="006E32B1" w:rsidRDefault="00D4360D" w:rsidP="006E32B1">
      <w:pPr>
        <w:pStyle w:val="Heading3"/>
        <w:spacing w:after="0" w:line="190" w:lineRule="exact"/>
        <w:rPr>
          <w:sz w:val="19"/>
          <w:szCs w:val="19"/>
        </w:rPr>
      </w:pPr>
      <w:r w:rsidRPr="006E32B1">
        <w:rPr>
          <w:sz w:val="19"/>
          <w:szCs w:val="19"/>
        </w:rPr>
        <w:t xml:space="preserve">We may sum up by saying that the Central Government is not acting merely as a financial agent on behalf of the States in order to reap economies of scale in obtaining funds from the market, but also aims to </w:t>
      </w:r>
      <w:proofErr w:type="spellStart"/>
      <w:r w:rsidRPr="006E32B1">
        <w:rPr>
          <w:sz w:val="19"/>
          <w:szCs w:val="19"/>
        </w:rPr>
        <w:t>fulfill</w:t>
      </w:r>
      <w:proofErr w:type="spellEnd"/>
      <w:r w:rsidRPr="006E32B1">
        <w:rPr>
          <w:sz w:val="19"/>
          <w:szCs w:val="19"/>
        </w:rPr>
        <w:t xml:space="preserve"> certain national purposes such as promoting development and helping weaker States. However, in lending money to the States it is, in fact, </w:t>
      </w:r>
      <w:proofErr w:type="spellStart"/>
      <w:r w:rsidRPr="006E32B1">
        <w:rPr>
          <w:sz w:val="19"/>
          <w:szCs w:val="19"/>
        </w:rPr>
        <w:t>channeling</w:t>
      </w:r>
      <w:proofErr w:type="spellEnd"/>
      <w:r w:rsidRPr="006E32B1">
        <w:rPr>
          <w:sz w:val="19"/>
          <w:szCs w:val="19"/>
        </w:rPr>
        <w:t xml:space="preserve"> a part of private sector savings for investment by the States. The latter fact requires that the funds must be used efficiently and for productive purposes and also that loans must be repaid so that the Central Government can keep down its own gross borrowing correspondingly and re-cycle the returned funds for future </w:t>
      </w:r>
      <w:proofErr w:type="spellStart"/>
      <w:r w:rsidRPr="006E32B1">
        <w:rPr>
          <w:sz w:val="19"/>
          <w:szCs w:val="19"/>
        </w:rPr>
        <w:t>lendings</w:t>
      </w:r>
      <w:proofErr w:type="spellEnd"/>
      <w:r w:rsidRPr="006E32B1">
        <w:rPr>
          <w:sz w:val="19"/>
          <w:szCs w:val="19"/>
        </w:rPr>
        <w:t xml:space="preserve"> for further investment</w:t>
      </w:r>
      <w:r w:rsidR="00544161" w:rsidRPr="006E32B1">
        <w:rPr>
          <w:rStyle w:val="FootnoteReference"/>
          <w:sz w:val="19"/>
          <w:szCs w:val="19"/>
        </w:rPr>
        <w:footnoteReference w:id="9"/>
      </w:r>
      <w:r w:rsidRPr="006E32B1">
        <w:rPr>
          <w:sz w:val="19"/>
          <w:szCs w:val="19"/>
        </w:rPr>
        <w:t>.</w:t>
      </w:r>
    </w:p>
    <w:p w14:paraId="1B2BEA25" w14:textId="7ECD52DE" w:rsidR="00D4360D" w:rsidRPr="006E32B1" w:rsidRDefault="00D4360D" w:rsidP="006E32B1">
      <w:pPr>
        <w:pStyle w:val="Heading3"/>
        <w:spacing w:after="0" w:line="190" w:lineRule="exact"/>
        <w:rPr>
          <w:sz w:val="19"/>
          <w:szCs w:val="19"/>
        </w:rPr>
      </w:pPr>
      <w:r w:rsidRPr="006E32B1">
        <w:rPr>
          <w:sz w:val="19"/>
          <w:szCs w:val="19"/>
        </w:rPr>
        <w:t>In principle, rescheduling of repayments and write-off of debt are undesirable; instead, the terms on which loans are made must be reasonable and fair taking into account all relevant circumstances, including the terms on which the Central Government obtains funds from the market at home or from abroad. A write-off may be considered only under exceptional circumstances such as when the borrowing State has been plagued by severe natural calamities. Conversions of debt into grants except under special circumstances would not be conducive to the promotion of fiscal discipline. Rescheduling of debt, when the terms of repayment are not unreasonable, also tends to promote uneconomic use of funds and indifference towards the need to make most productive use of the borrowed funds so as to obtain high returns and wherewithal to repay the debt. Besides, as already stated, issues of inter-State equity are also involved, since any scheme of rescheduling tends to favour particular States more than the others (States with higher per capita indebtedness will gain).</w:t>
      </w:r>
    </w:p>
    <w:p w14:paraId="7EC24CD4" w14:textId="77777777" w:rsidR="00D4360D" w:rsidRPr="006E32B1" w:rsidRDefault="00D4360D" w:rsidP="006E32B1">
      <w:pPr>
        <w:spacing w:after="0" w:line="190" w:lineRule="exact"/>
        <w:jc w:val="center"/>
        <w:rPr>
          <w:rFonts w:ascii="Times New Roman" w:hAnsi="Times New Roman" w:cs="Times New Roman"/>
          <w:b/>
          <w:bCs/>
          <w:sz w:val="20"/>
          <w:szCs w:val="20"/>
        </w:rPr>
      </w:pPr>
      <w:r w:rsidRPr="006E32B1">
        <w:rPr>
          <w:rFonts w:ascii="Times New Roman" w:hAnsi="Times New Roman" w:cs="Times New Roman"/>
          <w:b/>
          <w:bCs/>
          <w:sz w:val="20"/>
          <w:szCs w:val="20"/>
        </w:rPr>
        <w:t xml:space="preserve">Our Recommendations </w:t>
      </w:r>
      <w:proofErr w:type="gramStart"/>
      <w:r w:rsidRPr="006E32B1">
        <w:rPr>
          <w:rFonts w:ascii="Times New Roman" w:hAnsi="Times New Roman" w:cs="Times New Roman"/>
          <w:b/>
          <w:bCs/>
          <w:sz w:val="20"/>
          <w:szCs w:val="20"/>
        </w:rPr>
        <w:t>On</w:t>
      </w:r>
      <w:proofErr w:type="gramEnd"/>
      <w:r w:rsidRPr="006E32B1">
        <w:rPr>
          <w:rFonts w:ascii="Times New Roman" w:hAnsi="Times New Roman" w:cs="Times New Roman"/>
          <w:b/>
          <w:bCs/>
          <w:sz w:val="20"/>
          <w:szCs w:val="20"/>
        </w:rPr>
        <w:t xml:space="preserve"> Corrective Measures</w:t>
      </w:r>
    </w:p>
    <w:p w14:paraId="7F0A547A" w14:textId="3800E5EE" w:rsidR="00D4360D" w:rsidRPr="006E32B1" w:rsidRDefault="00D4360D" w:rsidP="006E32B1">
      <w:pPr>
        <w:pStyle w:val="Heading3"/>
        <w:spacing w:after="0" w:line="190" w:lineRule="exact"/>
        <w:rPr>
          <w:sz w:val="19"/>
          <w:szCs w:val="19"/>
        </w:rPr>
      </w:pPr>
      <w:r w:rsidRPr="006E32B1">
        <w:rPr>
          <w:sz w:val="19"/>
          <w:szCs w:val="19"/>
        </w:rPr>
        <w:t>Ultimately, the solution to the government debt problem lies in borrowed funds (a) not being used for financing revenue expenditure and (b) being used efficiently and productively for capital expenditure so as to earn returns and/or increase productivity of the economy resulting in increased governmental revenues. In order that the capital stock of the country may be maintained intact, there should be adequate depreciation provision or loans should be repaid out of amortization fund. In future, rescheduling of the loans must be avoided. At the same time, the terms on which funds are lent by the Centre to the States must be reasonable and equitable. They should have relation to (a) the maturity period of loans obtained by the Centre, (b) rate of interest thereon, (c) other charges, if any, which the Centre has to bear, and (d) the gestation period of the projects to be financed.</w:t>
      </w:r>
    </w:p>
    <w:p w14:paraId="4A57C913" w14:textId="3E0B9CC5" w:rsidR="00D4360D" w:rsidRPr="006E32B1" w:rsidRDefault="00D4360D" w:rsidP="006E32B1">
      <w:pPr>
        <w:pStyle w:val="Heading3"/>
        <w:spacing w:after="0" w:line="190" w:lineRule="exact"/>
        <w:rPr>
          <w:sz w:val="19"/>
          <w:szCs w:val="19"/>
        </w:rPr>
      </w:pPr>
      <w:r w:rsidRPr="006E32B1">
        <w:rPr>
          <w:sz w:val="19"/>
          <w:szCs w:val="19"/>
        </w:rPr>
        <w:t>Keeping these principles in view, we make the following recommendations:</w:t>
      </w:r>
    </w:p>
    <w:p w14:paraId="24C9C861" w14:textId="76C96AA1" w:rsidR="00D4360D" w:rsidRPr="006E32B1" w:rsidRDefault="00D4360D">
      <w:pPr>
        <w:pStyle w:val="ListParagraph"/>
        <w:numPr>
          <w:ilvl w:val="0"/>
          <w:numId w:val="32"/>
        </w:num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While we do not think that a substantial part of government investment can be financed through tax revenues and, therefore, cannot recommend that Plan assistance by the Centre to the non-Special Category States may be given in the ratio of 50 per cent grant and 50 per cent loan as suggested by some State Governments, we feel there would be merit in limiting loans from the Centre as part of Plan assistance to non-Special Category States to 100 per cent of Plan grants. The additional amount which a non-Special Category State is now getting from the Centre under the 70:30 formula may be made available to it as additional market borrowing. In other words, the modified Gadgil formula as well as the 70:30 rule will continue to operate, but part of the loan assistance would now be shifted to the market</w:t>
      </w:r>
      <w:r w:rsidR="00544161" w:rsidRPr="006E32B1">
        <w:rPr>
          <w:rStyle w:val="FootnoteReference"/>
          <w:rFonts w:ascii="Times New Roman" w:hAnsi="Times New Roman" w:cs="Times New Roman"/>
          <w:sz w:val="19"/>
          <w:szCs w:val="19"/>
        </w:rPr>
        <w:footnoteReference w:id="10"/>
      </w:r>
      <w:r w:rsidRPr="006E32B1">
        <w:rPr>
          <w:rFonts w:ascii="Times New Roman" w:hAnsi="Times New Roman" w:cs="Times New Roman"/>
          <w:sz w:val="19"/>
          <w:szCs w:val="19"/>
        </w:rPr>
        <w:t>. In order to avoid growth of the indebtedness of the States to the market while the assets created out of the loans would be depreciating, the Reserve Bank of India should work out a suitable formula according to which the States would be required to maintain amortization funds to the extent considered necessary by the Bank. The arrangements we have suggested would serve to reduce the rate of growth of States' indebtedness to the Centre and, in turn, reduce the relative magnitude of the Central Government borrowing, which would serve to slow down the growth of its own debt. Also, the States would enjoy greater flexibility in regard to repayments. We want to make it clear that the new arrangement suggested by us should not result in any reduction in the overall Central assistance to States. Assessment of Centre's resources, determination of Central assistance out of that and State-wise allocation of Central assistance as per Gadgil formula should be done as at present. The only change recommended by us is that a portion of the Centre's market borrowings, taken into account while assessing Centre's resources, will not actually be raised by the Central Government but directly by the States as additional market borrowing over and above their normal market borrowing.</w:t>
      </w:r>
    </w:p>
    <w:p w14:paraId="6C18E8FC" w14:textId="57550705" w:rsidR="00D4360D" w:rsidRPr="006E32B1" w:rsidRDefault="00D4360D">
      <w:pPr>
        <w:pStyle w:val="ListParagraph"/>
        <w:numPr>
          <w:ilvl w:val="0"/>
          <w:numId w:val="32"/>
        </w:num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We note that the Central Government is now floating loans in the market with 20 years maturity. We, therefore, recommend that direct Central Government loans to the States for financing their Plans from 1990-91 onwards should have a maturity period of 20 years. Besides, fifty per cent of these loans should be granted a five-year initial grace period, after which repayments should be spread over fifteen years. The grace period would take care of gestation of the capital projects.</w:t>
      </w:r>
    </w:p>
    <w:p w14:paraId="12AEEAC9" w14:textId="6FE71A58" w:rsidR="00D4360D" w:rsidRPr="006E32B1" w:rsidRDefault="00D4360D">
      <w:pPr>
        <w:pStyle w:val="ListParagraph"/>
        <w:numPr>
          <w:ilvl w:val="0"/>
          <w:numId w:val="32"/>
        </w:num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We do not recommend any change in the terms and conditions relating to Central loans against small savings collections. The present terms, viz., five-year grace period and thereafter repayments to be spread over twenty years are reasonable.</w:t>
      </w:r>
    </w:p>
    <w:p w14:paraId="5B71CF66" w14:textId="62B52760" w:rsidR="00D4360D" w:rsidRPr="006E32B1" w:rsidRDefault="00D4360D">
      <w:pPr>
        <w:pStyle w:val="ListParagraph"/>
        <w:numPr>
          <w:ilvl w:val="0"/>
          <w:numId w:val="32"/>
        </w:num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As regards assistance in relation to externally aided projects, we suggest the following:</w:t>
      </w:r>
    </w:p>
    <w:p w14:paraId="7AA673C6" w14:textId="77777777" w:rsidR="005A2010" w:rsidRPr="006E32B1" w:rsidRDefault="005A2010" w:rsidP="006E32B1">
      <w:pPr>
        <w:spacing w:after="0" w:line="190" w:lineRule="exact"/>
        <w:ind w:left="426"/>
        <w:jc w:val="both"/>
        <w:rPr>
          <w:rFonts w:ascii="Times New Roman" w:hAnsi="Times New Roman" w:cs="Times New Roman"/>
          <w:sz w:val="19"/>
          <w:szCs w:val="19"/>
        </w:rPr>
      </w:pPr>
    </w:p>
    <w:p w14:paraId="0968AE4B" w14:textId="36A34C86" w:rsidR="00D4360D" w:rsidRPr="006E32B1" w:rsidRDefault="00D4360D">
      <w:pPr>
        <w:pStyle w:val="ListParagraph"/>
        <w:numPr>
          <w:ilvl w:val="0"/>
          <w:numId w:val="33"/>
        </w:numPr>
        <w:spacing w:after="0" w:line="190" w:lineRule="exact"/>
        <w:rPr>
          <w:rFonts w:ascii="Times New Roman" w:hAnsi="Times New Roman" w:cs="Times New Roman"/>
          <w:sz w:val="19"/>
          <w:szCs w:val="19"/>
        </w:rPr>
      </w:pPr>
      <w:r w:rsidRPr="006E32B1">
        <w:rPr>
          <w:rFonts w:ascii="Times New Roman" w:hAnsi="Times New Roman" w:cs="Times New Roman"/>
          <w:sz w:val="19"/>
          <w:szCs w:val="19"/>
        </w:rPr>
        <w:t xml:space="preserve">At present, assistance to States for externally aided projects is outside the allocation made on the basis of the modified Gadgil formula. The "assistance" granted by external agencies amounts to 50 to 60 per cent of the cost of the projects. Since only 70 per cent of this assistance for such projects is passed on to the States except for assistance for socially oriented projects from 1989-90, the States in effect get assistance for externally aided projects only to the extent of 35 to </w:t>
      </w:r>
      <w:r w:rsidRPr="006E32B1">
        <w:rPr>
          <w:rFonts w:ascii="Times New Roman" w:hAnsi="Times New Roman" w:cs="Times New Roman"/>
          <w:sz w:val="19"/>
          <w:szCs w:val="19"/>
        </w:rPr>
        <w:lastRenderedPageBreak/>
        <w:t>42 per cent of the total cost of such projects. We recommend that 100 per cent of assistance should be passed on in all cases. There is no logic in the Centre withholding a part of funds given exclusively for projects.</w:t>
      </w:r>
    </w:p>
    <w:p w14:paraId="0FF32CF2" w14:textId="7FCAE784" w:rsidR="00D4360D" w:rsidRPr="006E32B1" w:rsidRDefault="00D4360D">
      <w:pPr>
        <w:pStyle w:val="ListParagraph"/>
        <w:numPr>
          <w:ilvl w:val="0"/>
          <w:numId w:val="33"/>
        </w:num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The terms of the assistance given to States for externally aided projects are the same as for the assistance under the Gadgil formula. Thus, they get 70 per cent of this assistance in the form of loans and 30 per cent in the form of grants. The rate of interest on the loans and the period of repayment thereof are also the same as for the Plan loans (9.75 per cent and 15 years). These bear no close relation to the terms of assistance granted by the external funding agencies such as IDA and the World Bank. We recommend that World Bank "assistance" be passed on to the States as of now, i.e., 30 per cent in the form of grant and 70 per cent in the form of loans. The rate of interest charged may also be the same as applicable to other Plan loans. The present interest rate of 9.75 per cent actually works out to only 6.8 per cent of total assistance including the grant component. But the repayment period should be the same as prescribed by the World Bank.</w:t>
      </w:r>
    </w:p>
    <w:p w14:paraId="7F0FEE24" w14:textId="0D856C7C" w:rsidR="00D4360D" w:rsidRPr="006E32B1" w:rsidRDefault="00D4360D">
      <w:pPr>
        <w:pStyle w:val="ListParagraph"/>
        <w:numPr>
          <w:ilvl w:val="0"/>
          <w:numId w:val="33"/>
        </w:num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 xml:space="preserve">IDA assistance is granted to the country as a loan on very soft terms: 0.75 per cent service charge per annum, ten-year grace period and a forty-year repayment period (that is money is to be repaid only within fifty years). The Government of India, however, has to bear the risk of exchange rate fluctuation/depreciation. While, therefore, IDA assistance cannot be passed on as loans without interest, we think that the Central Government should fix a rate of interest to be paid by the recipient States at a level of six per cent per annum which would provide a substantial cover against the risk of exchange rate fluctuations. The entire amount may be passed off as loan having a maturity period of 30 years including a grace period of 5 years. (iv) It has been argued that assistance given to a particular State for externally aided projects represents "an additionality", i.e., an addition to "normal" Plan assistance. Not all States had projects partly financed by external assistance. This is presumably the reason why 30 per cent of what was received from external agencies was retained by the Centre. We understand from the Ministry of Finance that for some years now there is a greater spread among the States of externally aided projects. Some States which may not have externally aided projects under their Plans may nevertheless be benefiting from the location of externally aided Central projects within their borders. Taking all flows into account, if it is found that the share of some weaker States </w:t>
      </w:r>
      <w:proofErr w:type="gramStart"/>
      <w:r w:rsidRPr="006E32B1">
        <w:rPr>
          <w:rFonts w:ascii="Times New Roman" w:hAnsi="Times New Roman" w:cs="Times New Roman"/>
          <w:sz w:val="19"/>
          <w:szCs w:val="19"/>
        </w:rPr>
        <w:t>are</w:t>
      </w:r>
      <w:proofErr w:type="gramEnd"/>
      <w:r w:rsidRPr="006E32B1">
        <w:rPr>
          <w:rFonts w:ascii="Times New Roman" w:hAnsi="Times New Roman" w:cs="Times New Roman"/>
          <w:sz w:val="19"/>
          <w:szCs w:val="19"/>
        </w:rPr>
        <w:t xml:space="preserve"> unduly low, they should be compensated in some other way. We, therefore, recommend that a larger share of the 10 per cent of Plan assistance reserved for special problems be allocated to such States.</w:t>
      </w:r>
    </w:p>
    <w:p w14:paraId="212FDE0E" w14:textId="77777777" w:rsidR="00D4360D" w:rsidRPr="005A0588" w:rsidRDefault="00D4360D" w:rsidP="006E32B1">
      <w:pPr>
        <w:spacing w:after="0" w:line="190" w:lineRule="exact"/>
        <w:jc w:val="center"/>
        <w:rPr>
          <w:rFonts w:ascii="Times New Roman" w:hAnsi="Times New Roman" w:cs="Times New Roman"/>
          <w:b/>
          <w:bCs/>
          <w:sz w:val="20"/>
          <w:szCs w:val="20"/>
        </w:rPr>
      </w:pPr>
      <w:r w:rsidRPr="005A0588">
        <w:rPr>
          <w:rFonts w:ascii="Times New Roman" w:hAnsi="Times New Roman" w:cs="Times New Roman"/>
          <w:b/>
          <w:bCs/>
          <w:sz w:val="20"/>
          <w:szCs w:val="20"/>
        </w:rPr>
        <w:t xml:space="preserve">Loan Liabilities </w:t>
      </w:r>
      <w:proofErr w:type="gramStart"/>
      <w:r w:rsidRPr="005A0588">
        <w:rPr>
          <w:rFonts w:ascii="Times New Roman" w:hAnsi="Times New Roman" w:cs="Times New Roman"/>
          <w:b/>
          <w:bCs/>
          <w:sz w:val="20"/>
          <w:szCs w:val="20"/>
        </w:rPr>
        <w:t>Of</w:t>
      </w:r>
      <w:proofErr w:type="gramEnd"/>
      <w:r w:rsidRPr="005A0588">
        <w:rPr>
          <w:rFonts w:ascii="Times New Roman" w:hAnsi="Times New Roman" w:cs="Times New Roman"/>
          <w:b/>
          <w:bCs/>
          <w:sz w:val="20"/>
          <w:szCs w:val="20"/>
        </w:rPr>
        <w:t xml:space="preserve"> Erstwhile Union territories</w:t>
      </w:r>
    </w:p>
    <w:p w14:paraId="4466860B" w14:textId="71010A2C" w:rsidR="00D4360D" w:rsidRPr="006E32B1" w:rsidRDefault="00D4360D" w:rsidP="006E32B1">
      <w:pPr>
        <w:pStyle w:val="Heading3"/>
        <w:spacing w:after="0" w:line="190" w:lineRule="exact"/>
        <w:rPr>
          <w:sz w:val="19"/>
          <w:szCs w:val="19"/>
        </w:rPr>
      </w:pPr>
      <w:r w:rsidRPr="006E32B1">
        <w:rPr>
          <w:sz w:val="19"/>
          <w:szCs w:val="19"/>
        </w:rPr>
        <w:t xml:space="preserve">The Union Territories of Arunachal Pradesh, Mizoram and Goa were constituted as full-fledged States in 1987. Prior to this, as Union Territories they received grants to meet their revenue gap and loans to cover their capital gap. However, under the present pattern, most of the Special Category States get 90 per cent of the Plan assistance by way of grants and the remaining 10 per cent only as loans, while the non-Special Category States get Central assistance in the form of grants and loans in the ratio of 30 to 70. Arunachal Pradesh and Mizoram have been designated Special Category States and Goa as a Non-Special Category State. It is recommended that the excess of the Central loans received by each of these three States for its Plans, upto 1986-87, as Union Territories (and outstanding as on 31.3.90) over what it would have received if it had been a full-fledged State, be written off - the write-off being restricted to the outstandings of such loans as on 31.3.1990. The loans remaining outstanding, if any, after this write-off, as on 31.3.1990, against each State may be consolidated into one loan with a reasonable maturity period and rate of interest. This is estimated to give a relief of Rs. 191 </w:t>
      </w:r>
      <w:proofErr w:type="gramStart"/>
      <w:r w:rsidRPr="006E32B1">
        <w:rPr>
          <w:sz w:val="19"/>
          <w:szCs w:val="19"/>
        </w:rPr>
        <w:t>crore</w:t>
      </w:r>
      <w:proofErr w:type="gramEnd"/>
      <w:r w:rsidRPr="006E32B1">
        <w:rPr>
          <w:sz w:val="19"/>
          <w:szCs w:val="19"/>
        </w:rPr>
        <w:t xml:space="preserve"> to the three States during the period 1990-95, as shown below:</w:t>
      </w:r>
    </w:p>
    <w:p w14:paraId="4D6545D3" w14:textId="026CA044" w:rsidR="00544161" w:rsidRPr="004F48AC" w:rsidRDefault="003E2EF6" w:rsidP="005A0588">
      <w:pPr>
        <w:spacing w:after="0" w:line="190" w:lineRule="exact"/>
        <w:ind w:left="7200" w:firstLine="720"/>
        <w:rPr>
          <w:rFonts w:ascii="Times New Roman" w:hAnsi="Times New Roman" w:cs="Times New Roman"/>
          <w:i/>
          <w:iCs/>
          <w:sz w:val="19"/>
          <w:szCs w:val="19"/>
        </w:rPr>
      </w:pPr>
      <w:r w:rsidRPr="004F48AC">
        <w:rPr>
          <w:rFonts w:ascii="Times New Roman" w:hAnsi="Times New Roman" w:cs="Times New Roman"/>
          <w:i/>
          <w:iCs/>
          <w:sz w:val="19"/>
          <w:szCs w:val="19"/>
        </w:rPr>
        <w:t>(</w:t>
      </w:r>
      <w:r w:rsidR="00544161" w:rsidRPr="004F48AC">
        <w:rPr>
          <w:rFonts w:ascii="Times New Roman" w:hAnsi="Times New Roman" w:cs="Times New Roman"/>
          <w:i/>
          <w:iCs/>
          <w:sz w:val="19"/>
          <w:szCs w:val="19"/>
        </w:rPr>
        <w:t>Rs. Crore)</w:t>
      </w:r>
    </w:p>
    <w:tbl>
      <w:tblPr>
        <w:tblStyle w:val="TableGrid"/>
        <w:tblW w:w="0" w:type="auto"/>
        <w:jc w:val="center"/>
        <w:tblLayout w:type="fixed"/>
        <w:tblLook w:val="04A0" w:firstRow="1" w:lastRow="0" w:firstColumn="1" w:lastColumn="0" w:noHBand="0" w:noVBand="1"/>
      </w:tblPr>
      <w:tblGrid>
        <w:gridCol w:w="1838"/>
        <w:gridCol w:w="1735"/>
        <w:gridCol w:w="755"/>
        <w:gridCol w:w="1337"/>
        <w:gridCol w:w="1560"/>
        <w:gridCol w:w="1559"/>
      </w:tblGrid>
      <w:tr w:rsidR="00544161" w:rsidRPr="005A0588" w14:paraId="7864B672" w14:textId="77777777" w:rsidTr="005A0588">
        <w:trPr>
          <w:trHeight w:val="227"/>
          <w:jc w:val="center"/>
        </w:trPr>
        <w:tc>
          <w:tcPr>
            <w:tcW w:w="1838" w:type="dxa"/>
            <w:vAlign w:val="center"/>
            <w:hideMark/>
          </w:tcPr>
          <w:p w14:paraId="41349974" w14:textId="4478A3C6" w:rsidR="00544161" w:rsidRPr="005A0588" w:rsidRDefault="00544161" w:rsidP="006E32B1">
            <w:pPr>
              <w:pStyle w:val="NoSpacing"/>
              <w:spacing w:line="190" w:lineRule="exact"/>
              <w:rPr>
                <w:rFonts w:ascii="Times New Roman" w:hAnsi="Times New Roman" w:cs="Times New Roman"/>
                <w:sz w:val="18"/>
                <w:szCs w:val="18"/>
              </w:rPr>
            </w:pPr>
          </w:p>
        </w:tc>
        <w:tc>
          <w:tcPr>
            <w:tcW w:w="1735" w:type="dxa"/>
            <w:vAlign w:val="center"/>
            <w:hideMark/>
          </w:tcPr>
          <w:p w14:paraId="19EFBCE7" w14:textId="77777777" w:rsidR="00544161" w:rsidRPr="005A0588" w:rsidRDefault="00544161"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 xml:space="preserve">Plan Loans Outstanding </w:t>
            </w:r>
            <w:proofErr w:type="gramStart"/>
            <w:r w:rsidRPr="005A0588">
              <w:rPr>
                <w:rFonts w:ascii="Times New Roman" w:hAnsi="Times New Roman" w:cs="Times New Roman"/>
                <w:b/>
                <w:bCs/>
                <w:sz w:val="18"/>
                <w:szCs w:val="18"/>
              </w:rPr>
              <w:t>As</w:t>
            </w:r>
            <w:proofErr w:type="gramEnd"/>
            <w:r w:rsidRPr="005A0588">
              <w:rPr>
                <w:rFonts w:ascii="Times New Roman" w:hAnsi="Times New Roman" w:cs="Times New Roman"/>
                <w:b/>
                <w:bCs/>
                <w:sz w:val="18"/>
                <w:szCs w:val="18"/>
              </w:rPr>
              <w:t xml:space="preserve"> On 31.3.1990*</w:t>
            </w:r>
          </w:p>
        </w:tc>
        <w:tc>
          <w:tcPr>
            <w:tcW w:w="755" w:type="dxa"/>
            <w:vAlign w:val="center"/>
            <w:hideMark/>
          </w:tcPr>
          <w:p w14:paraId="1D2EA184" w14:textId="77777777" w:rsidR="00544161" w:rsidRPr="005A0588" w:rsidRDefault="00544161"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Excess</w:t>
            </w:r>
          </w:p>
        </w:tc>
        <w:tc>
          <w:tcPr>
            <w:tcW w:w="1337" w:type="dxa"/>
            <w:vAlign w:val="center"/>
            <w:hideMark/>
          </w:tcPr>
          <w:p w14:paraId="20F71641" w14:textId="77777777" w:rsidR="00544161" w:rsidRPr="005A0588" w:rsidRDefault="00544161"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Amounts To Be Written Off</w:t>
            </w:r>
          </w:p>
        </w:tc>
        <w:tc>
          <w:tcPr>
            <w:tcW w:w="1560" w:type="dxa"/>
            <w:vAlign w:val="center"/>
            <w:hideMark/>
          </w:tcPr>
          <w:p w14:paraId="421D7229" w14:textId="77777777" w:rsidR="00544161" w:rsidRPr="005A0588" w:rsidRDefault="00544161"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 xml:space="preserve">Adjusted Outstanding </w:t>
            </w:r>
            <w:proofErr w:type="gramStart"/>
            <w:r w:rsidRPr="005A0588">
              <w:rPr>
                <w:rFonts w:ascii="Times New Roman" w:hAnsi="Times New Roman" w:cs="Times New Roman"/>
                <w:b/>
                <w:bCs/>
                <w:sz w:val="18"/>
                <w:szCs w:val="18"/>
              </w:rPr>
              <w:t>As</w:t>
            </w:r>
            <w:proofErr w:type="gramEnd"/>
            <w:r w:rsidRPr="005A0588">
              <w:rPr>
                <w:rFonts w:ascii="Times New Roman" w:hAnsi="Times New Roman" w:cs="Times New Roman"/>
                <w:b/>
                <w:bCs/>
                <w:sz w:val="18"/>
                <w:szCs w:val="18"/>
              </w:rPr>
              <w:t xml:space="preserve"> On 31.3.1990*</w:t>
            </w:r>
          </w:p>
        </w:tc>
        <w:tc>
          <w:tcPr>
            <w:tcW w:w="1559" w:type="dxa"/>
            <w:vAlign w:val="center"/>
            <w:hideMark/>
          </w:tcPr>
          <w:p w14:paraId="7EB171B9" w14:textId="77777777" w:rsidR="00544161" w:rsidRPr="005A0588" w:rsidRDefault="00544161"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Relief In Repayment During 1990-95</w:t>
            </w:r>
          </w:p>
        </w:tc>
      </w:tr>
      <w:tr w:rsidR="00544161" w:rsidRPr="005A0588" w14:paraId="11BA2782" w14:textId="77777777" w:rsidTr="005A0588">
        <w:trPr>
          <w:trHeight w:val="227"/>
          <w:jc w:val="center"/>
        </w:trPr>
        <w:tc>
          <w:tcPr>
            <w:tcW w:w="1838" w:type="dxa"/>
            <w:vAlign w:val="center"/>
            <w:hideMark/>
          </w:tcPr>
          <w:p w14:paraId="4AB83783" w14:textId="77777777" w:rsidR="00544161" w:rsidRPr="005A0588" w:rsidRDefault="00544161"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1. Arunachal Pradesh</w:t>
            </w:r>
          </w:p>
        </w:tc>
        <w:tc>
          <w:tcPr>
            <w:tcW w:w="1735" w:type="dxa"/>
            <w:vAlign w:val="center"/>
            <w:hideMark/>
          </w:tcPr>
          <w:p w14:paraId="18367F6C"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227.44</w:t>
            </w:r>
          </w:p>
        </w:tc>
        <w:tc>
          <w:tcPr>
            <w:tcW w:w="755" w:type="dxa"/>
            <w:vAlign w:val="center"/>
            <w:hideMark/>
          </w:tcPr>
          <w:p w14:paraId="7DC31C1C"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229.30</w:t>
            </w:r>
          </w:p>
        </w:tc>
        <w:tc>
          <w:tcPr>
            <w:tcW w:w="1337" w:type="dxa"/>
            <w:vAlign w:val="center"/>
            <w:hideMark/>
          </w:tcPr>
          <w:p w14:paraId="411A621F"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227.44</w:t>
            </w:r>
          </w:p>
        </w:tc>
        <w:tc>
          <w:tcPr>
            <w:tcW w:w="1560" w:type="dxa"/>
            <w:vAlign w:val="center"/>
            <w:hideMark/>
          </w:tcPr>
          <w:p w14:paraId="2C331428"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w:t>
            </w:r>
          </w:p>
        </w:tc>
        <w:tc>
          <w:tcPr>
            <w:tcW w:w="1559" w:type="dxa"/>
            <w:vAlign w:val="center"/>
            <w:hideMark/>
          </w:tcPr>
          <w:p w14:paraId="3E9914A7"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116.48</w:t>
            </w:r>
          </w:p>
        </w:tc>
      </w:tr>
      <w:tr w:rsidR="00544161" w:rsidRPr="005A0588" w14:paraId="0CEC4EFF" w14:textId="77777777" w:rsidTr="005A0588">
        <w:trPr>
          <w:trHeight w:val="227"/>
          <w:jc w:val="center"/>
        </w:trPr>
        <w:tc>
          <w:tcPr>
            <w:tcW w:w="1838" w:type="dxa"/>
            <w:vAlign w:val="center"/>
            <w:hideMark/>
          </w:tcPr>
          <w:p w14:paraId="2D8A5BBA" w14:textId="77777777" w:rsidR="00544161" w:rsidRPr="005A0588" w:rsidRDefault="00544161"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2. Mizoram</w:t>
            </w:r>
          </w:p>
        </w:tc>
        <w:tc>
          <w:tcPr>
            <w:tcW w:w="1735" w:type="dxa"/>
            <w:vAlign w:val="center"/>
            <w:hideMark/>
          </w:tcPr>
          <w:p w14:paraId="2FEDBC92"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120.59</w:t>
            </w:r>
          </w:p>
        </w:tc>
        <w:tc>
          <w:tcPr>
            <w:tcW w:w="755" w:type="dxa"/>
            <w:vAlign w:val="center"/>
            <w:hideMark/>
          </w:tcPr>
          <w:p w14:paraId="4E680A40"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110.49</w:t>
            </w:r>
          </w:p>
        </w:tc>
        <w:tc>
          <w:tcPr>
            <w:tcW w:w="1337" w:type="dxa"/>
            <w:vAlign w:val="center"/>
            <w:hideMark/>
          </w:tcPr>
          <w:p w14:paraId="085E1198"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110.49</w:t>
            </w:r>
          </w:p>
        </w:tc>
        <w:tc>
          <w:tcPr>
            <w:tcW w:w="1560" w:type="dxa"/>
            <w:vAlign w:val="center"/>
            <w:hideMark/>
          </w:tcPr>
          <w:p w14:paraId="1BD5AD9E"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10.10</w:t>
            </w:r>
          </w:p>
        </w:tc>
        <w:tc>
          <w:tcPr>
            <w:tcW w:w="1559" w:type="dxa"/>
            <w:vAlign w:val="center"/>
            <w:hideMark/>
          </w:tcPr>
          <w:p w14:paraId="6F723F1E"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51.20</w:t>
            </w:r>
          </w:p>
        </w:tc>
      </w:tr>
      <w:tr w:rsidR="00544161" w:rsidRPr="005A0588" w14:paraId="4DFFE004" w14:textId="77777777" w:rsidTr="005A0588">
        <w:trPr>
          <w:trHeight w:val="227"/>
          <w:jc w:val="center"/>
        </w:trPr>
        <w:tc>
          <w:tcPr>
            <w:tcW w:w="1838" w:type="dxa"/>
            <w:vAlign w:val="center"/>
            <w:hideMark/>
          </w:tcPr>
          <w:p w14:paraId="609F5218" w14:textId="77777777" w:rsidR="00544161" w:rsidRPr="005A0588" w:rsidRDefault="00544161"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3. Goa</w:t>
            </w:r>
          </w:p>
        </w:tc>
        <w:tc>
          <w:tcPr>
            <w:tcW w:w="1735" w:type="dxa"/>
            <w:vAlign w:val="center"/>
            <w:hideMark/>
          </w:tcPr>
          <w:p w14:paraId="5B1D4B2B"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284.01</w:t>
            </w:r>
          </w:p>
        </w:tc>
        <w:tc>
          <w:tcPr>
            <w:tcW w:w="755" w:type="dxa"/>
            <w:vAlign w:val="center"/>
            <w:hideMark/>
          </w:tcPr>
          <w:p w14:paraId="0DD99268"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22.27</w:t>
            </w:r>
          </w:p>
        </w:tc>
        <w:tc>
          <w:tcPr>
            <w:tcW w:w="1337" w:type="dxa"/>
            <w:vAlign w:val="center"/>
            <w:hideMark/>
          </w:tcPr>
          <w:p w14:paraId="6ED254D4"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22.27</w:t>
            </w:r>
          </w:p>
        </w:tc>
        <w:tc>
          <w:tcPr>
            <w:tcW w:w="1560" w:type="dxa"/>
            <w:vAlign w:val="center"/>
            <w:hideMark/>
          </w:tcPr>
          <w:p w14:paraId="160D39EF"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261.64</w:t>
            </w:r>
          </w:p>
        </w:tc>
        <w:tc>
          <w:tcPr>
            <w:tcW w:w="1559" w:type="dxa"/>
            <w:vAlign w:val="center"/>
            <w:hideMark/>
          </w:tcPr>
          <w:p w14:paraId="1474557A" w14:textId="77777777" w:rsidR="00544161" w:rsidRPr="005A0588" w:rsidRDefault="00544161"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23.32</w:t>
            </w:r>
          </w:p>
        </w:tc>
      </w:tr>
      <w:tr w:rsidR="00544161" w:rsidRPr="005A0588" w14:paraId="62B529B4" w14:textId="77777777" w:rsidTr="005A0588">
        <w:trPr>
          <w:trHeight w:val="227"/>
          <w:jc w:val="center"/>
        </w:trPr>
        <w:tc>
          <w:tcPr>
            <w:tcW w:w="1838" w:type="dxa"/>
            <w:vAlign w:val="center"/>
            <w:hideMark/>
          </w:tcPr>
          <w:p w14:paraId="6C41EA38" w14:textId="77777777" w:rsidR="00544161" w:rsidRPr="005A0588" w:rsidRDefault="00544161"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Total</w:t>
            </w:r>
          </w:p>
        </w:tc>
        <w:tc>
          <w:tcPr>
            <w:tcW w:w="1735" w:type="dxa"/>
            <w:vAlign w:val="center"/>
            <w:hideMark/>
          </w:tcPr>
          <w:p w14:paraId="37C34E58" w14:textId="77777777" w:rsidR="00544161" w:rsidRPr="005A0588" w:rsidRDefault="00544161" w:rsidP="006E32B1">
            <w:pPr>
              <w:pStyle w:val="NoSpacing"/>
              <w:spacing w:line="190" w:lineRule="exact"/>
              <w:jc w:val="center"/>
              <w:rPr>
                <w:rFonts w:ascii="Times New Roman" w:hAnsi="Times New Roman" w:cs="Times New Roman"/>
                <w:sz w:val="18"/>
                <w:szCs w:val="18"/>
              </w:rPr>
            </w:pPr>
          </w:p>
        </w:tc>
        <w:tc>
          <w:tcPr>
            <w:tcW w:w="755" w:type="dxa"/>
            <w:vAlign w:val="center"/>
            <w:hideMark/>
          </w:tcPr>
          <w:p w14:paraId="5AA1644D" w14:textId="77777777" w:rsidR="00544161" w:rsidRPr="005A0588" w:rsidRDefault="00544161" w:rsidP="006E32B1">
            <w:pPr>
              <w:pStyle w:val="NoSpacing"/>
              <w:spacing w:line="190" w:lineRule="exact"/>
              <w:jc w:val="center"/>
              <w:rPr>
                <w:rFonts w:ascii="Times New Roman" w:hAnsi="Times New Roman" w:cs="Times New Roman"/>
                <w:sz w:val="18"/>
                <w:szCs w:val="18"/>
              </w:rPr>
            </w:pPr>
          </w:p>
        </w:tc>
        <w:tc>
          <w:tcPr>
            <w:tcW w:w="1337" w:type="dxa"/>
            <w:vAlign w:val="center"/>
            <w:hideMark/>
          </w:tcPr>
          <w:p w14:paraId="7C91D21C" w14:textId="77777777" w:rsidR="00544161" w:rsidRPr="005A0588" w:rsidRDefault="00544161" w:rsidP="006E32B1">
            <w:pPr>
              <w:pStyle w:val="NoSpacing"/>
              <w:spacing w:line="190" w:lineRule="exact"/>
              <w:jc w:val="center"/>
              <w:rPr>
                <w:rFonts w:ascii="Times New Roman" w:hAnsi="Times New Roman" w:cs="Times New Roman"/>
                <w:sz w:val="18"/>
                <w:szCs w:val="18"/>
              </w:rPr>
            </w:pPr>
          </w:p>
        </w:tc>
        <w:tc>
          <w:tcPr>
            <w:tcW w:w="1560" w:type="dxa"/>
            <w:vAlign w:val="center"/>
            <w:hideMark/>
          </w:tcPr>
          <w:p w14:paraId="01366AD8" w14:textId="77777777" w:rsidR="00544161" w:rsidRPr="005A0588" w:rsidRDefault="00544161" w:rsidP="006E32B1">
            <w:pPr>
              <w:pStyle w:val="NoSpacing"/>
              <w:spacing w:line="190" w:lineRule="exact"/>
              <w:jc w:val="center"/>
              <w:rPr>
                <w:rFonts w:ascii="Times New Roman" w:hAnsi="Times New Roman" w:cs="Times New Roman"/>
                <w:sz w:val="18"/>
                <w:szCs w:val="18"/>
              </w:rPr>
            </w:pPr>
          </w:p>
        </w:tc>
        <w:tc>
          <w:tcPr>
            <w:tcW w:w="1559" w:type="dxa"/>
            <w:vAlign w:val="center"/>
            <w:hideMark/>
          </w:tcPr>
          <w:p w14:paraId="1FAD9EE3" w14:textId="612D2A29" w:rsidR="00544161"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191.00</w:t>
            </w:r>
          </w:p>
        </w:tc>
      </w:tr>
    </w:tbl>
    <w:p w14:paraId="75CC5B81" w14:textId="2C91D449" w:rsidR="00D4360D" w:rsidRPr="005A0588" w:rsidRDefault="00D4360D" w:rsidP="005A0588">
      <w:pPr>
        <w:spacing w:after="0" w:line="190" w:lineRule="exact"/>
        <w:ind w:left="720" w:firstLine="720"/>
        <w:jc w:val="both"/>
        <w:rPr>
          <w:rFonts w:ascii="Times New Roman" w:hAnsi="Times New Roman" w:cs="Times New Roman"/>
          <w:sz w:val="16"/>
          <w:szCs w:val="16"/>
        </w:rPr>
      </w:pPr>
      <w:r w:rsidRPr="005A0588">
        <w:rPr>
          <w:rFonts w:ascii="Times New Roman" w:hAnsi="Times New Roman" w:cs="Times New Roman"/>
          <w:sz w:val="16"/>
          <w:szCs w:val="16"/>
        </w:rPr>
        <w:t>* These relate to the loans received upto 1986-87.</w:t>
      </w:r>
    </w:p>
    <w:p w14:paraId="3BDF6D22" w14:textId="77777777" w:rsidR="00D4360D" w:rsidRPr="005A0588" w:rsidRDefault="00D4360D" w:rsidP="006E32B1">
      <w:pPr>
        <w:spacing w:after="0" w:line="190" w:lineRule="exact"/>
        <w:jc w:val="center"/>
        <w:rPr>
          <w:rFonts w:ascii="Times New Roman" w:hAnsi="Times New Roman" w:cs="Times New Roman"/>
          <w:b/>
          <w:bCs/>
          <w:sz w:val="20"/>
          <w:szCs w:val="20"/>
        </w:rPr>
      </w:pPr>
      <w:r w:rsidRPr="005A0588">
        <w:rPr>
          <w:rFonts w:ascii="Times New Roman" w:hAnsi="Times New Roman" w:cs="Times New Roman"/>
          <w:b/>
          <w:bCs/>
          <w:sz w:val="20"/>
          <w:szCs w:val="20"/>
        </w:rPr>
        <w:t xml:space="preserve">Drought Loans </w:t>
      </w:r>
      <w:proofErr w:type="gramStart"/>
      <w:r w:rsidRPr="005A0588">
        <w:rPr>
          <w:rFonts w:ascii="Times New Roman" w:hAnsi="Times New Roman" w:cs="Times New Roman"/>
          <w:b/>
          <w:bCs/>
          <w:sz w:val="20"/>
          <w:szCs w:val="20"/>
        </w:rPr>
        <w:t>To</w:t>
      </w:r>
      <w:proofErr w:type="gramEnd"/>
      <w:r w:rsidRPr="005A0588">
        <w:rPr>
          <w:rFonts w:ascii="Times New Roman" w:hAnsi="Times New Roman" w:cs="Times New Roman"/>
          <w:b/>
          <w:bCs/>
          <w:sz w:val="20"/>
          <w:szCs w:val="20"/>
        </w:rPr>
        <w:t xml:space="preserve"> States During 1986-89</w:t>
      </w:r>
    </w:p>
    <w:p w14:paraId="6211B7FD" w14:textId="04D46DB5" w:rsidR="00D4360D" w:rsidRPr="006E32B1" w:rsidRDefault="00D4360D" w:rsidP="006E32B1">
      <w:pPr>
        <w:pStyle w:val="Heading3"/>
        <w:spacing w:after="0" w:line="190" w:lineRule="exact"/>
        <w:rPr>
          <w:sz w:val="19"/>
          <w:szCs w:val="19"/>
        </w:rPr>
      </w:pPr>
      <w:r w:rsidRPr="006E32B1">
        <w:rPr>
          <w:sz w:val="19"/>
          <w:szCs w:val="19"/>
        </w:rPr>
        <w:t>Some States suffered enormously on account of unprecedented droughts during 1986-87 to 1988-89. Additional assistance was provided to them for approved relief expenditure over and above five per cent of annual Plan outlays, which is not adjusted against Plan assistance. Fifty per cent of this additional assistance was given in the form of loans. We feel that the burden of drought relief should not be cast upon the States, as we have indicated in Chapter VI on Financing of Relief Expenditure. We recommend that outstanding loans on account of drought may be written off entirely. This will result in the States having a relief of Rs. 198.88 crore over the five years, 1990-95, as shown below:</w:t>
      </w:r>
    </w:p>
    <w:p w14:paraId="26DE6DEC" w14:textId="77777777" w:rsidR="003E2EF6" w:rsidRPr="004F48AC" w:rsidRDefault="003E2EF6" w:rsidP="005A0588">
      <w:pPr>
        <w:spacing w:after="0" w:line="190" w:lineRule="exact"/>
        <w:ind w:left="5760"/>
        <w:jc w:val="center"/>
        <w:rPr>
          <w:rFonts w:ascii="Times New Roman" w:hAnsi="Times New Roman" w:cs="Times New Roman"/>
          <w:i/>
          <w:iCs/>
          <w:sz w:val="19"/>
          <w:szCs w:val="19"/>
        </w:rPr>
      </w:pPr>
      <w:r w:rsidRPr="004F48AC">
        <w:rPr>
          <w:rFonts w:ascii="Times New Roman" w:hAnsi="Times New Roman" w:cs="Times New Roman"/>
          <w:i/>
          <w:iCs/>
          <w:sz w:val="19"/>
          <w:szCs w:val="19"/>
        </w:rPr>
        <w:t>(Rs. Crore)</w:t>
      </w:r>
    </w:p>
    <w:tbl>
      <w:tblPr>
        <w:tblStyle w:val="TableGrid"/>
        <w:tblW w:w="7225" w:type="dxa"/>
        <w:jc w:val="center"/>
        <w:tblLook w:val="04A0" w:firstRow="1" w:lastRow="0" w:firstColumn="1" w:lastColumn="0" w:noHBand="0" w:noVBand="1"/>
      </w:tblPr>
      <w:tblGrid>
        <w:gridCol w:w="2115"/>
        <w:gridCol w:w="2700"/>
        <w:gridCol w:w="2410"/>
      </w:tblGrid>
      <w:tr w:rsidR="003E2EF6" w:rsidRPr="005A0588" w14:paraId="154F5F23" w14:textId="77777777" w:rsidTr="005A0588">
        <w:trPr>
          <w:trHeight w:val="20"/>
          <w:jc w:val="center"/>
        </w:trPr>
        <w:tc>
          <w:tcPr>
            <w:tcW w:w="0" w:type="auto"/>
            <w:vAlign w:val="center"/>
            <w:hideMark/>
          </w:tcPr>
          <w:p w14:paraId="3E2BC20A" w14:textId="77777777" w:rsidR="003E2EF6" w:rsidRPr="005A0588" w:rsidRDefault="003E2EF6" w:rsidP="006E32B1">
            <w:pPr>
              <w:pStyle w:val="NoSpacing"/>
              <w:spacing w:line="190" w:lineRule="exact"/>
              <w:rPr>
                <w:rFonts w:ascii="Times New Roman" w:hAnsi="Times New Roman" w:cs="Times New Roman"/>
                <w:b/>
                <w:bCs/>
                <w:sz w:val="18"/>
                <w:szCs w:val="18"/>
              </w:rPr>
            </w:pPr>
            <w:r w:rsidRPr="005A0588">
              <w:rPr>
                <w:rFonts w:ascii="Times New Roman" w:hAnsi="Times New Roman" w:cs="Times New Roman"/>
                <w:b/>
                <w:bCs/>
                <w:sz w:val="18"/>
                <w:szCs w:val="18"/>
              </w:rPr>
              <w:t>States</w:t>
            </w:r>
          </w:p>
        </w:tc>
        <w:tc>
          <w:tcPr>
            <w:tcW w:w="2700" w:type="dxa"/>
            <w:vAlign w:val="center"/>
            <w:hideMark/>
          </w:tcPr>
          <w:p w14:paraId="2FBFC22A" w14:textId="77777777" w:rsidR="003E2EF6" w:rsidRPr="005A0588" w:rsidRDefault="003E2EF6"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 xml:space="preserve">Drought Loans Outstanding </w:t>
            </w:r>
            <w:proofErr w:type="gramStart"/>
            <w:r w:rsidRPr="005A0588">
              <w:rPr>
                <w:rFonts w:ascii="Times New Roman" w:hAnsi="Times New Roman" w:cs="Times New Roman"/>
                <w:b/>
                <w:bCs/>
                <w:sz w:val="18"/>
                <w:szCs w:val="18"/>
              </w:rPr>
              <w:t>As</w:t>
            </w:r>
            <w:proofErr w:type="gramEnd"/>
            <w:r w:rsidRPr="005A0588">
              <w:rPr>
                <w:rFonts w:ascii="Times New Roman" w:hAnsi="Times New Roman" w:cs="Times New Roman"/>
                <w:b/>
                <w:bCs/>
                <w:sz w:val="18"/>
                <w:szCs w:val="18"/>
              </w:rPr>
              <w:t xml:space="preserve"> On 31.3.1989</w:t>
            </w:r>
          </w:p>
        </w:tc>
        <w:tc>
          <w:tcPr>
            <w:tcW w:w="2410" w:type="dxa"/>
            <w:vAlign w:val="center"/>
            <w:hideMark/>
          </w:tcPr>
          <w:p w14:paraId="6A889880" w14:textId="77777777" w:rsidR="003E2EF6" w:rsidRPr="005A0588" w:rsidRDefault="003E2EF6"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Relief In Repayment During 1990-95</w:t>
            </w:r>
          </w:p>
        </w:tc>
      </w:tr>
      <w:tr w:rsidR="003E2EF6" w:rsidRPr="005A0588" w14:paraId="6B849B61" w14:textId="77777777" w:rsidTr="005A0588">
        <w:trPr>
          <w:trHeight w:val="20"/>
          <w:jc w:val="center"/>
        </w:trPr>
        <w:tc>
          <w:tcPr>
            <w:tcW w:w="0" w:type="auto"/>
            <w:vAlign w:val="center"/>
            <w:hideMark/>
          </w:tcPr>
          <w:p w14:paraId="21018620"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1. Andhra Pradesh</w:t>
            </w:r>
          </w:p>
        </w:tc>
        <w:tc>
          <w:tcPr>
            <w:tcW w:w="2700" w:type="dxa"/>
            <w:vAlign w:val="center"/>
            <w:hideMark/>
          </w:tcPr>
          <w:p w14:paraId="52834D3F"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5.02</w:t>
            </w:r>
          </w:p>
        </w:tc>
        <w:tc>
          <w:tcPr>
            <w:tcW w:w="2410" w:type="dxa"/>
            <w:vAlign w:val="center"/>
            <w:hideMark/>
          </w:tcPr>
          <w:p w14:paraId="123738A4"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2.09</w:t>
            </w:r>
          </w:p>
        </w:tc>
      </w:tr>
      <w:tr w:rsidR="003E2EF6" w:rsidRPr="005A0588" w14:paraId="25D5FBF1" w14:textId="77777777" w:rsidTr="005A0588">
        <w:trPr>
          <w:trHeight w:val="20"/>
          <w:jc w:val="center"/>
        </w:trPr>
        <w:tc>
          <w:tcPr>
            <w:tcW w:w="0" w:type="auto"/>
            <w:vAlign w:val="center"/>
            <w:hideMark/>
          </w:tcPr>
          <w:p w14:paraId="5949D418"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2. Gujarat</w:t>
            </w:r>
          </w:p>
        </w:tc>
        <w:tc>
          <w:tcPr>
            <w:tcW w:w="2700" w:type="dxa"/>
            <w:vAlign w:val="center"/>
            <w:hideMark/>
          </w:tcPr>
          <w:p w14:paraId="005A804D"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165.31</w:t>
            </w:r>
          </w:p>
        </w:tc>
        <w:tc>
          <w:tcPr>
            <w:tcW w:w="2410" w:type="dxa"/>
            <w:vAlign w:val="center"/>
            <w:hideMark/>
          </w:tcPr>
          <w:p w14:paraId="2AF8CCCF"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63.56</w:t>
            </w:r>
          </w:p>
        </w:tc>
      </w:tr>
      <w:tr w:rsidR="003E2EF6" w:rsidRPr="005A0588" w14:paraId="3B0D8739" w14:textId="77777777" w:rsidTr="005A0588">
        <w:trPr>
          <w:trHeight w:val="20"/>
          <w:jc w:val="center"/>
        </w:trPr>
        <w:tc>
          <w:tcPr>
            <w:tcW w:w="0" w:type="auto"/>
            <w:vAlign w:val="center"/>
            <w:hideMark/>
          </w:tcPr>
          <w:p w14:paraId="1D2F0D24"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3. Haryana</w:t>
            </w:r>
          </w:p>
        </w:tc>
        <w:tc>
          <w:tcPr>
            <w:tcW w:w="2700" w:type="dxa"/>
            <w:vAlign w:val="center"/>
            <w:hideMark/>
          </w:tcPr>
          <w:p w14:paraId="3117E796"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4.81</w:t>
            </w:r>
          </w:p>
        </w:tc>
        <w:tc>
          <w:tcPr>
            <w:tcW w:w="2410" w:type="dxa"/>
            <w:vAlign w:val="center"/>
            <w:hideMark/>
          </w:tcPr>
          <w:p w14:paraId="7D1C203C"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1.85</w:t>
            </w:r>
          </w:p>
        </w:tc>
      </w:tr>
      <w:tr w:rsidR="003E2EF6" w:rsidRPr="005A0588" w14:paraId="3550DCBA" w14:textId="77777777" w:rsidTr="005A0588">
        <w:trPr>
          <w:trHeight w:val="20"/>
          <w:jc w:val="center"/>
        </w:trPr>
        <w:tc>
          <w:tcPr>
            <w:tcW w:w="0" w:type="auto"/>
            <w:vAlign w:val="center"/>
            <w:hideMark/>
          </w:tcPr>
          <w:p w14:paraId="11095F11"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4. Himachal Pradesh</w:t>
            </w:r>
          </w:p>
        </w:tc>
        <w:tc>
          <w:tcPr>
            <w:tcW w:w="2700" w:type="dxa"/>
            <w:vAlign w:val="center"/>
            <w:hideMark/>
          </w:tcPr>
          <w:p w14:paraId="2F90BBFC"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2.80</w:t>
            </w:r>
          </w:p>
        </w:tc>
        <w:tc>
          <w:tcPr>
            <w:tcW w:w="2410" w:type="dxa"/>
            <w:vAlign w:val="center"/>
            <w:hideMark/>
          </w:tcPr>
          <w:p w14:paraId="5E887DD9"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1.08</w:t>
            </w:r>
          </w:p>
        </w:tc>
      </w:tr>
      <w:tr w:rsidR="003E2EF6" w:rsidRPr="005A0588" w14:paraId="59AFAC8C" w14:textId="77777777" w:rsidTr="005A0588">
        <w:trPr>
          <w:trHeight w:val="20"/>
          <w:jc w:val="center"/>
        </w:trPr>
        <w:tc>
          <w:tcPr>
            <w:tcW w:w="0" w:type="auto"/>
            <w:vAlign w:val="center"/>
            <w:hideMark/>
          </w:tcPr>
          <w:p w14:paraId="7A309ED0"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5. Karnataka</w:t>
            </w:r>
          </w:p>
        </w:tc>
        <w:tc>
          <w:tcPr>
            <w:tcW w:w="2700" w:type="dxa"/>
            <w:vAlign w:val="center"/>
            <w:hideMark/>
          </w:tcPr>
          <w:p w14:paraId="36498A33"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5.05</w:t>
            </w:r>
          </w:p>
        </w:tc>
        <w:tc>
          <w:tcPr>
            <w:tcW w:w="2410" w:type="dxa"/>
            <w:vAlign w:val="center"/>
            <w:hideMark/>
          </w:tcPr>
          <w:p w14:paraId="3E478B16"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2.06</w:t>
            </w:r>
          </w:p>
        </w:tc>
      </w:tr>
      <w:tr w:rsidR="003E2EF6" w:rsidRPr="005A0588" w14:paraId="2BE23AAD" w14:textId="77777777" w:rsidTr="005A0588">
        <w:trPr>
          <w:trHeight w:val="20"/>
          <w:jc w:val="center"/>
        </w:trPr>
        <w:tc>
          <w:tcPr>
            <w:tcW w:w="0" w:type="auto"/>
            <w:vAlign w:val="center"/>
            <w:hideMark/>
          </w:tcPr>
          <w:p w14:paraId="437B63BB"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6. Kerala</w:t>
            </w:r>
          </w:p>
        </w:tc>
        <w:tc>
          <w:tcPr>
            <w:tcW w:w="2700" w:type="dxa"/>
            <w:vAlign w:val="center"/>
            <w:hideMark/>
          </w:tcPr>
          <w:p w14:paraId="6FADD3D9"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10.08</w:t>
            </w:r>
          </w:p>
        </w:tc>
        <w:tc>
          <w:tcPr>
            <w:tcW w:w="2410" w:type="dxa"/>
            <w:vAlign w:val="center"/>
            <w:hideMark/>
          </w:tcPr>
          <w:p w14:paraId="7AA520A4"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3.88</w:t>
            </w:r>
          </w:p>
        </w:tc>
      </w:tr>
      <w:tr w:rsidR="003E2EF6" w:rsidRPr="005A0588" w14:paraId="78EFC334" w14:textId="77777777" w:rsidTr="005A0588">
        <w:trPr>
          <w:trHeight w:val="20"/>
          <w:jc w:val="center"/>
        </w:trPr>
        <w:tc>
          <w:tcPr>
            <w:tcW w:w="0" w:type="auto"/>
            <w:vAlign w:val="center"/>
            <w:hideMark/>
          </w:tcPr>
          <w:p w14:paraId="20F1C582"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7. Rajasthan</w:t>
            </w:r>
          </w:p>
        </w:tc>
        <w:tc>
          <w:tcPr>
            <w:tcW w:w="2700" w:type="dxa"/>
            <w:vAlign w:val="center"/>
            <w:hideMark/>
          </w:tcPr>
          <w:p w14:paraId="7632CAB7"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324.35</w:t>
            </w:r>
          </w:p>
        </w:tc>
        <w:tc>
          <w:tcPr>
            <w:tcW w:w="2410" w:type="dxa"/>
            <w:vAlign w:val="center"/>
            <w:hideMark/>
          </w:tcPr>
          <w:p w14:paraId="1597BB0E"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123.53</w:t>
            </w:r>
          </w:p>
        </w:tc>
      </w:tr>
      <w:tr w:rsidR="003E2EF6" w:rsidRPr="005A0588" w14:paraId="2E992F0D" w14:textId="77777777" w:rsidTr="005A0588">
        <w:trPr>
          <w:trHeight w:val="20"/>
          <w:jc w:val="center"/>
        </w:trPr>
        <w:tc>
          <w:tcPr>
            <w:tcW w:w="0" w:type="auto"/>
            <w:vAlign w:val="center"/>
            <w:hideMark/>
          </w:tcPr>
          <w:p w14:paraId="212087CC" w14:textId="77777777" w:rsidR="003E2EF6" w:rsidRPr="005A0588" w:rsidRDefault="003E2EF6" w:rsidP="006E32B1">
            <w:pPr>
              <w:pStyle w:val="NoSpacing"/>
              <w:spacing w:line="190" w:lineRule="exact"/>
              <w:rPr>
                <w:rFonts w:ascii="Times New Roman" w:hAnsi="Times New Roman" w:cs="Times New Roman"/>
                <w:sz w:val="18"/>
                <w:szCs w:val="18"/>
              </w:rPr>
            </w:pPr>
            <w:r w:rsidRPr="005A0588">
              <w:rPr>
                <w:rFonts w:ascii="Times New Roman" w:hAnsi="Times New Roman" w:cs="Times New Roman"/>
                <w:sz w:val="18"/>
                <w:szCs w:val="18"/>
              </w:rPr>
              <w:t>8. Uttar Pradesh</w:t>
            </w:r>
          </w:p>
        </w:tc>
        <w:tc>
          <w:tcPr>
            <w:tcW w:w="2700" w:type="dxa"/>
            <w:vAlign w:val="center"/>
            <w:hideMark/>
          </w:tcPr>
          <w:p w14:paraId="780651C8"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2.15</w:t>
            </w:r>
          </w:p>
        </w:tc>
        <w:tc>
          <w:tcPr>
            <w:tcW w:w="2410" w:type="dxa"/>
            <w:vAlign w:val="center"/>
            <w:hideMark/>
          </w:tcPr>
          <w:p w14:paraId="257C5A19" w14:textId="77777777" w:rsidR="003E2EF6" w:rsidRPr="005A0588" w:rsidRDefault="003E2EF6" w:rsidP="006E32B1">
            <w:pPr>
              <w:pStyle w:val="NoSpacing"/>
              <w:spacing w:line="190" w:lineRule="exact"/>
              <w:jc w:val="center"/>
              <w:rPr>
                <w:rFonts w:ascii="Times New Roman" w:hAnsi="Times New Roman" w:cs="Times New Roman"/>
                <w:sz w:val="18"/>
                <w:szCs w:val="18"/>
              </w:rPr>
            </w:pPr>
            <w:r w:rsidRPr="005A0588">
              <w:rPr>
                <w:rFonts w:ascii="Times New Roman" w:hAnsi="Times New Roman" w:cs="Times New Roman"/>
                <w:sz w:val="18"/>
                <w:szCs w:val="18"/>
              </w:rPr>
              <w:t>0.83</w:t>
            </w:r>
          </w:p>
        </w:tc>
      </w:tr>
      <w:tr w:rsidR="003E2EF6" w:rsidRPr="005A0588" w14:paraId="2A66781B" w14:textId="77777777" w:rsidTr="005A0588">
        <w:trPr>
          <w:trHeight w:val="20"/>
          <w:jc w:val="center"/>
        </w:trPr>
        <w:tc>
          <w:tcPr>
            <w:tcW w:w="0" w:type="auto"/>
            <w:vAlign w:val="center"/>
            <w:hideMark/>
          </w:tcPr>
          <w:p w14:paraId="45AEC184" w14:textId="77777777" w:rsidR="003E2EF6" w:rsidRPr="005A0588" w:rsidRDefault="003E2EF6" w:rsidP="006E32B1">
            <w:pPr>
              <w:pStyle w:val="NoSpacing"/>
              <w:spacing w:line="190" w:lineRule="exact"/>
              <w:rPr>
                <w:rFonts w:ascii="Times New Roman" w:hAnsi="Times New Roman" w:cs="Times New Roman"/>
                <w:b/>
                <w:bCs/>
                <w:sz w:val="18"/>
                <w:szCs w:val="18"/>
              </w:rPr>
            </w:pPr>
            <w:r w:rsidRPr="005A0588">
              <w:rPr>
                <w:rFonts w:ascii="Times New Roman" w:hAnsi="Times New Roman" w:cs="Times New Roman"/>
                <w:b/>
                <w:bCs/>
                <w:sz w:val="18"/>
                <w:szCs w:val="18"/>
              </w:rPr>
              <w:t>Total</w:t>
            </w:r>
          </w:p>
        </w:tc>
        <w:tc>
          <w:tcPr>
            <w:tcW w:w="2700" w:type="dxa"/>
            <w:vAlign w:val="center"/>
            <w:hideMark/>
          </w:tcPr>
          <w:p w14:paraId="5C42BCD8" w14:textId="77777777" w:rsidR="003E2EF6" w:rsidRPr="005A0588" w:rsidRDefault="003E2EF6"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519.57</w:t>
            </w:r>
          </w:p>
        </w:tc>
        <w:tc>
          <w:tcPr>
            <w:tcW w:w="2410" w:type="dxa"/>
            <w:vAlign w:val="center"/>
            <w:hideMark/>
          </w:tcPr>
          <w:p w14:paraId="075386C9" w14:textId="77777777" w:rsidR="003E2EF6" w:rsidRPr="005A0588" w:rsidRDefault="003E2EF6" w:rsidP="006E32B1">
            <w:pPr>
              <w:pStyle w:val="NoSpacing"/>
              <w:spacing w:line="190" w:lineRule="exact"/>
              <w:jc w:val="center"/>
              <w:rPr>
                <w:rFonts w:ascii="Times New Roman" w:hAnsi="Times New Roman" w:cs="Times New Roman"/>
                <w:b/>
                <w:bCs/>
                <w:sz w:val="18"/>
                <w:szCs w:val="18"/>
              </w:rPr>
            </w:pPr>
            <w:r w:rsidRPr="005A0588">
              <w:rPr>
                <w:rFonts w:ascii="Times New Roman" w:hAnsi="Times New Roman" w:cs="Times New Roman"/>
                <w:b/>
                <w:bCs/>
                <w:sz w:val="18"/>
                <w:szCs w:val="18"/>
              </w:rPr>
              <w:t>198.88</w:t>
            </w:r>
          </w:p>
        </w:tc>
      </w:tr>
    </w:tbl>
    <w:p w14:paraId="5CCC6077" w14:textId="77777777" w:rsidR="00D4360D" w:rsidRPr="00294F49" w:rsidRDefault="00D4360D" w:rsidP="00294F49">
      <w:pPr>
        <w:spacing w:after="0" w:line="190" w:lineRule="exact"/>
        <w:jc w:val="center"/>
        <w:rPr>
          <w:rFonts w:ascii="Times New Roman" w:hAnsi="Times New Roman" w:cs="Times New Roman"/>
          <w:b/>
          <w:bCs/>
          <w:sz w:val="20"/>
          <w:szCs w:val="20"/>
        </w:rPr>
      </w:pPr>
      <w:r w:rsidRPr="00294F49">
        <w:rPr>
          <w:rFonts w:ascii="Times New Roman" w:hAnsi="Times New Roman" w:cs="Times New Roman"/>
          <w:b/>
          <w:bCs/>
          <w:sz w:val="20"/>
          <w:szCs w:val="20"/>
        </w:rPr>
        <w:t xml:space="preserve">Loans For Relief Works Relating </w:t>
      </w:r>
      <w:proofErr w:type="gramStart"/>
      <w:r w:rsidRPr="00294F49">
        <w:rPr>
          <w:rFonts w:ascii="Times New Roman" w:hAnsi="Times New Roman" w:cs="Times New Roman"/>
          <w:b/>
          <w:bCs/>
          <w:sz w:val="20"/>
          <w:szCs w:val="20"/>
        </w:rPr>
        <w:t>To</w:t>
      </w:r>
      <w:proofErr w:type="gramEnd"/>
      <w:r w:rsidRPr="00294F49">
        <w:rPr>
          <w:rFonts w:ascii="Times New Roman" w:hAnsi="Times New Roman" w:cs="Times New Roman"/>
          <w:b/>
          <w:bCs/>
          <w:sz w:val="20"/>
          <w:szCs w:val="20"/>
        </w:rPr>
        <w:t xml:space="preserve"> Bhopal Gas Leak Tragedy</w:t>
      </w:r>
    </w:p>
    <w:p w14:paraId="337439E8" w14:textId="29AA9543" w:rsidR="003E2EF6" w:rsidRPr="00294F49" w:rsidRDefault="00D4360D" w:rsidP="006E32B1">
      <w:pPr>
        <w:pStyle w:val="Heading3"/>
        <w:spacing w:after="0" w:line="190" w:lineRule="exact"/>
        <w:rPr>
          <w:sz w:val="20"/>
          <w:szCs w:val="20"/>
        </w:rPr>
      </w:pPr>
      <w:r w:rsidRPr="006E32B1">
        <w:rPr>
          <w:sz w:val="19"/>
          <w:szCs w:val="19"/>
        </w:rPr>
        <w:t>During 1984-89, the Central Government gave loans totalling Rs. 91.62 crore to the Government of Madhya Pradesh to meet some of the immediate medical and rehabilitation needs of gas victims. It is recommended that all these loans may be written off. Since the entire loans have been recommended to be written off, payments already made by the State Government by way of repayment of principal and interest payment in respect of these loans may be adjusted against other payments due from the Government of Madhya Pradesh.</w:t>
      </w:r>
    </w:p>
    <w:p w14:paraId="3B957098" w14:textId="77777777" w:rsidR="00D4360D" w:rsidRPr="00294F49" w:rsidRDefault="00D4360D" w:rsidP="006E32B1">
      <w:pPr>
        <w:spacing w:after="0" w:line="190" w:lineRule="exact"/>
        <w:jc w:val="center"/>
        <w:rPr>
          <w:rFonts w:ascii="Times New Roman" w:hAnsi="Times New Roman" w:cs="Times New Roman"/>
          <w:b/>
          <w:bCs/>
          <w:sz w:val="20"/>
          <w:szCs w:val="20"/>
        </w:rPr>
      </w:pPr>
      <w:r w:rsidRPr="00294F49">
        <w:rPr>
          <w:rFonts w:ascii="Times New Roman" w:hAnsi="Times New Roman" w:cs="Times New Roman"/>
          <w:b/>
          <w:bCs/>
          <w:sz w:val="20"/>
          <w:szCs w:val="20"/>
        </w:rPr>
        <w:t xml:space="preserve">Special Loans </w:t>
      </w:r>
      <w:proofErr w:type="gramStart"/>
      <w:r w:rsidRPr="00294F49">
        <w:rPr>
          <w:rFonts w:ascii="Times New Roman" w:hAnsi="Times New Roman" w:cs="Times New Roman"/>
          <w:b/>
          <w:bCs/>
          <w:sz w:val="20"/>
          <w:szCs w:val="20"/>
        </w:rPr>
        <w:t>To</w:t>
      </w:r>
      <w:proofErr w:type="gramEnd"/>
      <w:r w:rsidRPr="00294F49">
        <w:rPr>
          <w:rFonts w:ascii="Times New Roman" w:hAnsi="Times New Roman" w:cs="Times New Roman"/>
          <w:b/>
          <w:bCs/>
          <w:sz w:val="20"/>
          <w:szCs w:val="20"/>
        </w:rPr>
        <w:t xml:space="preserve"> Punjab</w:t>
      </w:r>
    </w:p>
    <w:p w14:paraId="6F0D5D7E" w14:textId="72599959" w:rsidR="00D4360D" w:rsidRPr="006E32B1" w:rsidRDefault="00D4360D" w:rsidP="006E32B1">
      <w:pPr>
        <w:pStyle w:val="Heading3"/>
        <w:spacing w:after="0" w:line="190" w:lineRule="exact"/>
        <w:rPr>
          <w:sz w:val="19"/>
          <w:szCs w:val="19"/>
        </w:rPr>
      </w:pPr>
      <w:r w:rsidRPr="006E32B1">
        <w:rPr>
          <w:sz w:val="19"/>
          <w:szCs w:val="19"/>
        </w:rPr>
        <w:t xml:space="preserve">Special loans to the tune of Rs. 2,300 </w:t>
      </w:r>
      <w:proofErr w:type="gramStart"/>
      <w:r w:rsidRPr="006E32B1">
        <w:rPr>
          <w:sz w:val="19"/>
          <w:szCs w:val="19"/>
        </w:rPr>
        <w:t>crore</w:t>
      </w:r>
      <w:proofErr w:type="gramEnd"/>
      <w:r w:rsidRPr="006E32B1">
        <w:rPr>
          <w:sz w:val="19"/>
          <w:szCs w:val="19"/>
        </w:rPr>
        <w:t xml:space="preserve"> were given to Punjab during 1984-89. An amount of Rs. 766.95 crore in respect of these loans is due for repayment during 1990-95. It is seen that the indebtedness of Punjab has been rising rapidly due to Plan and non-Plan loans of the order of Rs. 600 to Rs. 700 crore a year flowing to it from the Centre. These loans became necessary because of three factors, namely, (a) the high cost of combating terrorism, (b) the power tariff policy on account of which the State Electricity Board, though otherwise performing well, is losing Rs. 300 to Rs. 400 crore a year due to highly concessional tariff, and (c) the State wishing to have a Plan far bigger than what its resources could sustain.</w:t>
      </w:r>
    </w:p>
    <w:p w14:paraId="6EC8A8A7" w14:textId="77777777" w:rsidR="00D4360D" w:rsidRPr="006E32B1" w:rsidRDefault="00D4360D" w:rsidP="006E32B1">
      <w:p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lastRenderedPageBreak/>
        <w:t xml:space="preserve">The special circumstances prevailing in the State might be inhibiting the administration from raising resources. And the State certainly has had to bear a high burden in terms of expenditure on law and order. As this case is of a special nature, we recommend a moratorium of two years on repayment of principal and interest. We further recommend that the Central Government, meanwhile, work out a suitable package of measures including debt relief in order to put Punjab's finances on a </w:t>
      </w:r>
      <w:proofErr w:type="gramStart"/>
      <w:r w:rsidRPr="006E32B1">
        <w:rPr>
          <w:rFonts w:ascii="Times New Roman" w:hAnsi="Times New Roman" w:cs="Times New Roman"/>
          <w:sz w:val="19"/>
          <w:szCs w:val="19"/>
        </w:rPr>
        <w:t>more sound</w:t>
      </w:r>
      <w:proofErr w:type="gramEnd"/>
      <w:r w:rsidRPr="006E32B1">
        <w:rPr>
          <w:rFonts w:ascii="Times New Roman" w:hAnsi="Times New Roman" w:cs="Times New Roman"/>
          <w:sz w:val="19"/>
          <w:szCs w:val="19"/>
        </w:rPr>
        <w:t xml:space="preserve"> footing.</w:t>
      </w:r>
    </w:p>
    <w:p w14:paraId="22FAEE81" w14:textId="77777777" w:rsidR="00D4360D" w:rsidRPr="00294F49" w:rsidRDefault="00D4360D" w:rsidP="006E32B1">
      <w:pPr>
        <w:spacing w:after="0" w:line="190" w:lineRule="exact"/>
        <w:jc w:val="center"/>
        <w:rPr>
          <w:rFonts w:ascii="Times New Roman" w:hAnsi="Times New Roman" w:cs="Times New Roman"/>
          <w:b/>
          <w:bCs/>
          <w:sz w:val="20"/>
          <w:szCs w:val="20"/>
        </w:rPr>
      </w:pPr>
      <w:r w:rsidRPr="00294F49">
        <w:rPr>
          <w:rFonts w:ascii="Times New Roman" w:hAnsi="Times New Roman" w:cs="Times New Roman"/>
          <w:b/>
          <w:bCs/>
          <w:sz w:val="20"/>
          <w:szCs w:val="20"/>
        </w:rPr>
        <w:t>Scheme For General Debt Relief</w:t>
      </w:r>
    </w:p>
    <w:p w14:paraId="0F9C8AA1" w14:textId="5EC292C5" w:rsidR="00D4360D" w:rsidRPr="006E32B1" w:rsidRDefault="00D4360D" w:rsidP="006E32B1">
      <w:pPr>
        <w:pStyle w:val="Heading3"/>
        <w:spacing w:after="0" w:line="190" w:lineRule="exact"/>
        <w:rPr>
          <w:sz w:val="19"/>
          <w:szCs w:val="19"/>
        </w:rPr>
      </w:pPr>
      <w:r w:rsidRPr="006E32B1">
        <w:rPr>
          <w:sz w:val="19"/>
          <w:szCs w:val="19"/>
        </w:rPr>
        <w:t xml:space="preserve"> If the changes in terms of lending by the Central Government to the States are modified in accordance with our recommendations and the investment policies of the governments at both levels are also improved along the lines suggested, it would be possible for the Centre to reduce the rate of growth of its debt and for the States to take care of their liabilities. In future, therefore, there should be no need, as a rule, for debt rescheduling or write-off. However, as regards existing repayment obligations, it might be desirable to grant some relief. In doing so, we need to keep in mind the terms of reference which require us to suggest corrective measures with particular reference to investments made in infrastructure projects and linked to improvements in financial and managerial efficiency. We propose to grant some relief in relation to Plan loans received by the State Governments during the five years 1984-89 and outstanding as on 31.3.1990 after adjusting repayments during 1989-90. Central loans to States outstanding at the end of 1983-84 have been covered by the scheme of debt relief recommended by the Eighth Finance Commission; as such we do not propose to grant relief in relation to them. We propose to link the extent of relief to the performance of the States in respect of their investments in two important sectors, namely, power and road transport. We worked out the rate of return on investments in these two sectors. For this </w:t>
      </w:r>
      <w:proofErr w:type="gramStart"/>
      <w:r w:rsidRPr="006E32B1">
        <w:rPr>
          <w:sz w:val="19"/>
          <w:szCs w:val="19"/>
        </w:rPr>
        <w:t>purpose</w:t>
      </w:r>
      <w:proofErr w:type="gramEnd"/>
      <w:r w:rsidRPr="006E32B1">
        <w:rPr>
          <w:sz w:val="19"/>
          <w:szCs w:val="19"/>
        </w:rPr>
        <w:t xml:space="preserve"> we defined the rate of returns to equal the gross operating surplus after depreciation as a percentage of total (cumulative) investments. While total actual investments were taken in the case of road transport, investments in power sector have been taken after excluding the portion attributable to rural electrification and works-in-progress. On this basis, the States are divided into three categories:</w:t>
      </w:r>
    </w:p>
    <w:p w14:paraId="79077D5B" w14:textId="77777777" w:rsidR="00294F49" w:rsidRDefault="00D4360D">
      <w:pPr>
        <w:pStyle w:val="ListParagraph"/>
        <w:numPr>
          <w:ilvl w:val="0"/>
          <w:numId w:val="34"/>
        </w:numPr>
        <w:spacing w:after="0" w:line="190" w:lineRule="exact"/>
        <w:rPr>
          <w:rFonts w:ascii="Times New Roman" w:hAnsi="Times New Roman" w:cs="Times New Roman"/>
          <w:sz w:val="19"/>
          <w:szCs w:val="19"/>
        </w:rPr>
      </w:pPr>
      <w:r w:rsidRPr="00294F49">
        <w:rPr>
          <w:rFonts w:ascii="Times New Roman" w:hAnsi="Times New Roman" w:cs="Times New Roman"/>
          <w:sz w:val="19"/>
          <w:szCs w:val="19"/>
        </w:rPr>
        <w:t>those where the rate of return was above 15 per cent (Andhra Pradesh, Karnataka, Madhya Pradesh, Maharashtra, Orissa and Tamil Nadu);</w:t>
      </w:r>
    </w:p>
    <w:p w14:paraId="064DE086" w14:textId="77777777" w:rsidR="00294F49" w:rsidRDefault="00D4360D">
      <w:pPr>
        <w:pStyle w:val="ListParagraph"/>
        <w:numPr>
          <w:ilvl w:val="0"/>
          <w:numId w:val="34"/>
        </w:numPr>
        <w:spacing w:after="0" w:line="190" w:lineRule="exact"/>
        <w:rPr>
          <w:rFonts w:ascii="Times New Roman" w:hAnsi="Times New Roman" w:cs="Times New Roman"/>
          <w:sz w:val="19"/>
          <w:szCs w:val="19"/>
        </w:rPr>
      </w:pPr>
      <w:r w:rsidRPr="00294F49">
        <w:rPr>
          <w:rFonts w:ascii="Times New Roman" w:hAnsi="Times New Roman" w:cs="Times New Roman"/>
          <w:sz w:val="19"/>
          <w:szCs w:val="19"/>
        </w:rPr>
        <w:t>those where the rate of return varied between 10 and 15 per cent (Gujarat, Rajasthan and Uttar Pradesh); and</w:t>
      </w:r>
    </w:p>
    <w:p w14:paraId="037F0C12" w14:textId="1017EE06" w:rsidR="00D4360D" w:rsidRPr="00294F49" w:rsidRDefault="00D4360D">
      <w:pPr>
        <w:pStyle w:val="ListParagraph"/>
        <w:numPr>
          <w:ilvl w:val="0"/>
          <w:numId w:val="34"/>
        </w:numPr>
        <w:spacing w:after="0" w:line="190" w:lineRule="exact"/>
        <w:rPr>
          <w:rFonts w:ascii="Times New Roman" w:hAnsi="Times New Roman" w:cs="Times New Roman"/>
          <w:sz w:val="19"/>
          <w:szCs w:val="19"/>
        </w:rPr>
      </w:pPr>
      <w:r w:rsidRPr="00294F49">
        <w:rPr>
          <w:rFonts w:ascii="Times New Roman" w:hAnsi="Times New Roman" w:cs="Times New Roman"/>
          <w:sz w:val="19"/>
          <w:szCs w:val="19"/>
        </w:rPr>
        <w:t>those where the rate of return was below 10 per cent (Bihar, Haryana, Kerala, Punjab and West Bengal).</w:t>
      </w:r>
    </w:p>
    <w:p w14:paraId="482D5DAD" w14:textId="0CE178D8" w:rsidR="003E2EF6" w:rsidRPr="006E32B1" w:rsidRDefault="00D4360D" w:rsidP="006E32B1">
      <w:pPr>
        <w:spacing w:after="0" w:line="190" w:lineRule="exact"/>
        <w:jc w:val="both"/>
        <w:rPr>
          <w:rFonts w:ascii="Times New Roman" w:hAnsi="Times New Roman" w:cs="Times New Roman"/>
          <w:sz w:val="19"/>
          <w:szCs w:val="19"/>
        </w:rPr>
      </w:pPr>
      <w:r w:rsidRPr="006E32B1">
        <w:rPr>
          <w:rFonts w:ascii="Times New Roman" w:hAnsi="Times New Roman" w:cs="Times New Roman"/>
          <w:sz w:val="19"/>
          <w:szCs w:val="19"/>
        </w:rPr>
        <w:t>The above classification of States has been worked out on the basis of the data obtained from the Planning Commission and the State Governments. It has been found in the past that the data received from the State Governments and from the Boards and Transport Corporations were not always consistent. We would, therefore, suggest that the Government of India, while implementing the scheme, have the data checked up once more with a view to ensuring their accuracy for the purpose of classification.</w:t>
      </w:r>
    </w:p>
    <w:p w14:paraId="39880C8E" w14:textId="7E450DC2" w:rsidR="00D4360D" w:rsidRPr="006E32B1" w:rsidRDefault="00D4360D" w:rsidP="006E32B1">
      <w:pPr>
        <w:pStyle w:val="Heading3"/>
        <w:spacing w:after="0" w:line="190" w:lineRule="exact"/>
        <w:rPr>
          <w:sz w:val="19"/>
          <w:szCs w:val="19"/>
        </w:rPr>
      </w:pPr>
      <w:r w:rsidRPr="006E32B1">
        <w:rPr>
          <w:sz w:val="19"/>
          <w:szCs w:val="19"/>
        </w:rPr>
        <w:t xml:space="preserve">We recommend relief in repayment of 1984-89 State Plan loans due during the years 1990-95, to the extent of 10 per cent for the first category of States, 7.5 per cent for the second category of States and 5 per cent for the third category of States. We recommend relief to the extent of 10 per cent uniformly for the Special Category States and Goa. The loans which remain outstanding after this relief, at the end of 1994-95, should be made repayable in 10 equal instalments. In other words, the State Plan loans advanced to States during the five years 1984-89 and outstanding as on 31st March, 1990, should be consolidated and re-scheduled to 15 years in the case of all the States. In the first five years of this </w:t>
      </w:r>
      <w:proofErr w:type="gramStart"/>
      <w:r w:rsidRPr="006E32B1">
        <w:rPr>
          <w:sz w:val="19"/>
          <w:szCs w:val="19"/>
        </w:rPr>
        <w:t>15 year</w:t>
      </w:r>
      <w:proofErr w:type="gramEnd"/>
      <w:r w:rsidRPr="006E32B1">
        <w:rPr>
          <w:sz w:val="19"/>
          <w:szCs w:val="19"/>
        </w:rPr>
        <w:t xml:space="preserve"> period (i.e., during 1990-95), the repayment should be 10 per cent, 7.5 per cent or 5 per cent less, as the case may be, than that due on the existing basis. The balance of the loan should be repayable in the remaining 10 years (1995-2005). This is estimated to provide relief in repayment to the extent of Rs. 494 </w:t>
      </w:r>
      <w:proofErr w:type="gramStart"/>
      <w:r w:rsidRPr="006E32B1">
        <w:rPr>
          <w:sz w:val="19"/>
          <w:szCs w:val="19"/>
        </w:rPr>
        <w:t>crore</w:t>
      </w:r>
      <w:proofErr w:type="gramEnd"/>
      <w:r w:rsidRPr="006E32B1">
        <w:rPr>
          <w:sz w:val="19"/>
          <w:szCs w:val="19"/>
        </w:rPr>
        <w:t xml:space="preserve"> to States during the five-year period 1990-95. Annexure IX.5 shows the </w:t>
      </w:r>
      <w:proofErr w:type="spellStart"/>
      <w:r w:rsidRPr="006E32B1">
        <w:rPr>
          <w:sz w:val="19"/>
          <w:szCs w:val="19"/>
        </w:rPr>
        <w:t>Statewise</w:t>
      </w:r>
      <w:proofErr w:type="spellEnd"/>
      <w:r w:rsidRPr="006E32B1">
        <w:rPr>
          <w:sz w:val="19"/>
          <w:szCs w:val="19"/>
        </w:rPr>
        <w:t xml:space="preserve"> position of the relief.</w:t>
      </w:r>
    </w:p>
    <w:p w14:paraId="33566D3E" w14:textId="23EFF89C" w:rsidR="00D4360D" w:rsidRPr="006E32B1" w:rsidRDefault="00D4360D" w:rsidP="006E32B1">
      <w:pPr>
        <w:pStyle w:val="Heading3"/>
        <w:spacing w:after="0" w:line="190" w:lineRule="exact"/>
        <w:rPr>
          <w:sz w:val="19"/>
          <w:szCs w:val="19"/>
        </w:rPr>
      </w:pPr>
      <w:r w:rsidRPr="006E32B1">
        <w:rPr>
          <w:sz w:val="19"/>
          <w:szCs w:val="19"/>
        </w:rPr>
        <w:t>It is recommended that the 1984-89 loans consolidated in the above manner for 15 years should carry a rate of interest of 9.0 per cent per annum.</w:t>
      </w:r>
    </w:p>
    <w:p w14:paraId="15A9AC35" w14:textId="16990C67" w:rsidR="00D4360D" w:rsidRPr="006E32B1" w:rsidRDefault="00D4360D" w:rsidP="006E32B1">
      <w:pPr>
        <w:pStyle w:val="Heading3"/>
        <w:spacing w:after="0" w:line="190" w:lineRule="exact"/>
        <w:rPr>
          <w:sz w:val="19"/>
          <w:szCs w:val="19"/>
        </w:rPr>
      </w:pPr>
      <w:r w:rsidRPr="006E32B1">
        <w:rPr>
          <w:sz w:val="19"/>
          <w:szCs w:val="19"/>
        </w:rPr>
        <w:t xml:space="preserve"> The total debt relief on all accounts to each State during 1990-95 under our scheme in respect of the loans outstanding at the end of 1989-90 comes to Rs. 975.62 crore as per details in Annexure IX.6.</w:t>
      </w:r>
    </w:p>
    <w:p w14:paraId="29402813" w14:textId="229F8C48" w:rsidR="00D4360D" w:rsidRPr="006E32B1" w:rsidRDefault="00D4360D" w:rsidP="006E32B1">
      <w:pPr>
        <w:pStyle w:val="Heading3"/>
        <w:spacing w:after="0" w:line="190" w:lineRule="exact"/>
        <w:rPr>
          <w:sz w:val="19"/>
          <w:szCs w:val="19"/>
        </w:rPr>
      </w:pPr>
      <w:r w:rsidRPr="006E32B1">
        <w:rPr>
          <w:sz w:val="19"/>
          <w:szCs w:val="19"/>
        </w:rPr>
        <w:t xml:space="preserve">This quantum of relief is less than what the Eighth Finance Commission recommended. However, in this context, the basic difference between the relevant terms of reference of the Eighth and Ninth Commissions has to be kept in view. Unlike the Eighth Commission, we have not been asked to suggest measures to deal with the non-Plan capital gap. We are required to review States' debt position as on 31.3.1989 and suggest corrective measures. This is a matter referred to us under Article 280(3) (c) of the Constitution and, therefore, we have to confine ourselves strictly to the President's Order on this subject which was not the same before the Eighth Finance Commission. As explained earlier in this chapter, the practice of writing off and rescheduling of Central loans in order to cover a part of the non-Plan capital gap has failed to provide a durable solution to the problem of States' indebtedness. The thrust should rather be on corrective measures which would prevent accumulation of excessive debt burden on States. This can be achieved only by suitable changes in the terms and conditions governing Central loans. We have suggested some measures in this new direction. While it is difficult to assess the exact quantum of consequent relief to States during 1990-95, a rough estimate would put it around Rs. 2,000 </w:t>
      </w:r>
      <w:proofErr w:type="gramStart"/>
      <w:r w:rsidRPr="006E32B1">
        <w:rPr>
          <w:sz w:val="19"/>
          <w:szCs w:val="19"/>
        </w:rPr>
        <w:t>crore</w:t>
      </w:r>
      <w:proofErr w:type="gramEnd"/>
      <w:r w:rsidRPr="006E32B1">
        <w:rPr>
          <w:sz w:val="19"/>
          <w:szCs w:val="19"/>
        </w:rPr>
        <w:t xml:space="preserve"> (excluding amortization). However, the net adverse impact on Central budget is likely to be less in view of our suggestion regarding additional market borrowings by States in lieu of a part of Central Plan loans. Our recommendations also aim at recognising the financial and managerial efficiency as indicated in the terms of reference.</w:t>
      </w:r>
    </w:p>
    <w:p w14:paraId="1D4E2AEF" w14:textId="131CF20F" w:rsidR="00D4360D" w:rsidRPr="006E32B1" w:rsidRDefault="00D4360D" w:rsidP="006E32B1">
      <w:pPr>
        <w:pStyle w:val="Heading3"/>
        <w:spacing w:after="0" w:line="190" w:lineRule="exact"/>
        <w:rPr>
          <w:sz w:val="19"/>
          <w:szCs w:val="19"/>
        </w:rPr>
      </w:pPr>
      <w:r w:rsidRPr="006E32B1">
        <w:rPr>
          <w:sz w:val="19"/>
          <w:szCs w:val="19"/>
        </w:rPr>
        <w:t>Shri Justice A.S. Qureshi, Member, does not agree with this scheme of general debt relief for the reasons explained in his Note of Dissent given separately.</w:t>
      </w:r>
    </w:p>
    <w:p w14:paraId="465D42BB" w14:textId="0F6F8700" w:rsidR="003E2EF6" w:rsidRPr="00AA6AF4" w:rsidRDefault="003E2EF6" w:rsidP="005A2010">
      <w:pPr>
        <w:pStyle w:val="Heading3"/>
        <w:spacing w:line="190" w:lineRule="exact"/>
      </w:pPr>
      <w:r w:rsidRPr="00AA6AF4">
        <w:br w:type="page"/>
      </w:r>
    </w:p>
    <w:p w14:paraId="32C58E18" w14:textId="55BAD04E" w:rsidR="00B469EA" w:rsidRPr="00AA6AF4" w:rsidRDefault="00B469EA" w:rsidP="007526EE">
      <w:pPr>
        <w:pStyle w:val="Heading1"/>
        <w:ind w:left="284" w:firstLine="0"/>
      </w:pPr>
      <w:r w:rsidRPr="00AA6AF4">
        <w:lastRenderedPageBreak/>
        <w:br/>
      </w:r>
      <w:bookmarkStart w:id="19" w:name="_Toc221292966"/>
      <w:bookmarkStart w:id="20" w:name="_Toc222399458"/>
      <w:r w:rsidRPr="005A2010">
        <w:rPr>
          <w:sz w:val="24"/>
          <w:szCs w:val="24"/>
        </w:rPr>
        <w:t>CONCLUDING OBSERVATIONS</w:t>
      </w:r>
      <w:bookmarkEnd w:id="19"/>
      <w:bookmarkEnd w:id="20"/>
    </w:p>
    <w:p w14:paraId="5FE90542" w14:textId="4872C2FF" w:rsidR="00B469EA" w:rsidRPr="001C13E6" w:rsidRDefault="00B469EA" w:rsidP="005A2010">
      <w:pPr>
        <w:pStyle w:val="Heading3"/>
        <w:rPr>
          <w:sz w:val="20"/>
          <w:szCs w:val="20"/>
        </w:rPr>
      </w:pPr>
      <w:r w:rsidRPr="001C13E6">
        <w:rPr>
          <w:sz w:val="20"/>
          <w:szCs w:val="20"/>
        </w:rPr>
        <w:t>The task of a Finance Commission is a difficult one under any circumstances, as it involves judging the claims, needs and resources of the Centre and the States and on that basis working out a judicious scheme of transfers that would result in the balancing of needs and resources of the different governments. This Commission's task was rendered doubly difficult because of the grim and deteriorating fiscal scenario which we faced as we started our labours. It was a matter for concern that while the economy was doing well in many respects, the budgetary situation was far from satisfactory and was likely to hamper growth. There was a large and growing deficit on revenue account at the Centre and in the budgets of several States. In such a situation, any attempt to work out a scheme of Central transfers on the assumption that past trends would or could continue was a futile exercise. We were thus led to adopt a normative approach which had also been suggested in our terms of reference.</w:t>
      </w:r>
    </w:p>
    <w:p w14:paraId="097BAD51" w14:textId="66A1FF7D" w:rsidR="00B469EA" w:rsidRPr="001C13E6" w:rsidRDefault="00B469EA" w:rsidP="005A2010">
      <w:pPr>
        <w:pStyle w:val="Heading3"/>
        <w:rPr>
          <w:sz w:val="20"/>
          <w:szCs w:val="20"/>
        </w:rPr>
      </w:pPr>
      <w:r w:rsidRPr="001C13E6">
        <w:rPr>
          <w:sz w:val="20"/>
          <w:szCs w:val="20"/>
        </w:rPr>
        <w:t>As this was the first time that a systematic normative approach to the assessment of revenue receipts and expenditure was being attempted, we had to develop first the basic principles of a normative approach and then work out the specific methods of assessing revenue receipts and revenue expenditure. It is in working out the methodologies of the normative assessment and applying them in practice that we had to face the greatest difficulty. Not much work had been done by Indian scholars in this area, particularly in relation to the normative assessment. We could get some guidance from studies conducted in certain other federations such as Australia and from practices in those countries. However, since the federal finance situation in our country has its own peculiar features, we had to work out for ourselves the entire methodology of normative assessment using certain relevant principles developed abroad with due adaptation.</w:t>
      </w:r>
    </w:p>
    <w:p w14:paraId="68B4A4F6" w14:textId="02C7EFA2" w:rsidR="00B469EA" w:rsidRPr="001C13E6" w:rsidRDefault="00B469EA" w:rsidP="005A2010">
      <w:pPr>
        <w:pStyle w:val="Heading3"/>
        <w:rPr>
          <w:sz w:val="20"/>
          <w:szCs w:val="20"/>
        </w:rPr>
      </w:pPr>
      <w:r w:rsidRPr="001C13E6">
        <w:rPr>
          <w:sz w:val="20"/>
          <w:szCs w:val="20"/>
        </w:rPr>
        <w:t>The broad methodologies that could be applied in practice depended on the availability of data. A major source of difficulty has been in relation to obtaining relevant detailed data on a number of economic variables and other factors needed as base for making the normative assessments. Even when a methodology requiring less data was chosen, there was often difficulty in getting even such minimum data. Thus, we found that sufficient and reliable information was not available on tax bases or on the net yield of additional tax measures undertaken in various years. On the expenditure side, we could not find any authoritative or reliable studies on, for example, cost effectiveness of defence expenditure, the cost justification and distribution of benefits of subsidies of various kinds, etc. The Commission itself did not have time or resources to gather primary data or to undertake original research studies. The methodologies of normative assessments and their applications suffer from some imperfections traceable to data limitations.</w:t>
      </w:r>
    </w:p>
    <w:p w14:paraId="75295578" w14:textId="62D301BF" w:rsidR="00B469EA" w:rsidRPr="001C13E6" w:rsidRDefault="00B469EA" w:rsidP="005A2010">
      <w:pPr>
        <w:pStyle w:val="Heading3"/>
        <w:rPr>
          <w:sz w:val="20"/>
          <w:szCs w:val="20"/>
        </w:rPr>
      </w:pPr>
      <w:r w:rsidRPr="001C13E6">
        <w:rPr>
          <w:sz w:val="20"/>
          <w:szCs w:val="20"/>
        </w:rPr>
        <w:t xml:space="preserve">It is also to be borne in mind that we were initiating a new approach with no precedence to build upon. In course of time, further experimentation should be possible and improvements in methodology could be </w:t>
      </w:r>
      <w:proofErr w:type="gramStart"/>
      <w:r w:rsidRPr="001C13E6">
        <w:rPr>
          <w:sz w:val="20"/>
          <w:szCs w:val="20"/>
        </w:rPr>
        <w:t>effected</w:t>
      </w:r>
      <w:proofErr w:type="gramEnd"/>
      <w:r w:rsidRPr="001C13E6">
        <w:rPr>
          <w:sz w:val="20"/>
          <w:szCs w:val="20"/>
        </w:rPr>
        <w:t>. Apart from the limitations arising from the paucity of data, we also have had to make allowance for the fact that State finances were being subjected to a full-fledged normative assessment for the first time by a Finance Commission, and, hence, we have thought fit to moderate the results of the normative assessment. As indicated in the relevant places, we have also been quite liberal in making assessments in respect of the Special Category States. Notwithstanding this liberality and the moderation of the results of normative assessment of the revenue receipts and expenditure of the non-Special Category States, we have taken care to ensure that the intended impact of normative assessment will be felt by the different States and the Centre and the signals generated by the principles underlying our scheme of Central transfers would serve to induce fiscal prudence without impinging in any way on fiscal autonomy.</w:t>
      </w:r>
    </w:p>
    <w:p w14:paraId="4DC0D035" w14:textId="27E64540" w:rsidR="00B469EA" w:rsidRPr="001C13E6" w:rsidRDefault="00B469EA" w:rsidP="005A2010">
      <w:pPr>
        <w:pStyle w:val="Heading3"/>
        <w:rPr>
          <w:sz w:val="20"/>
          <w:szCs w:val="20"/>
        </w:rPr>
      </w:pPr>
      <w:r w:rsidRPr="001C13E6">
        <w:rPr>
          <w:sz w:val="20"/>
          <w:szCs w:val="20"/>
        </w:rPr>
        <w:t>The State Governments had argued before us that while it was desirable to adopt a normative approach, it was at the same time necessary to give adequate time for them to make the adjustments. The moderation of norms we have introduced is partly in response to the plea by the State Governments. The States had also urged that the normative assessment should be equally applied to the States and the Centre. We have indicated in Chapter II, the manner in which we have applied the normative approach to the assessment of Central revenues for the period 1990-95. In regard to Centre's revenue expenditure, we have sought to restrain its rate of growth. We have allowed for an overall growth in non-Plan revenue expenditure of the Centre over the base of the budget estimates of 1989-90 at only 9.7 per cent per annum in nominal terms (on the assumption of a 5 per cent rate of inflation) as against the long-term rate of growth of 17.0 per cent during the period 1974-75 to 1989-90. This represents an acceleration of the process of correction attempted in 1989-90 Budget wherein the increase in non-Plan revenue expenditure over the level in the 1988-89 revised estimates was 10.6 per cent. Of the total increase, interest payments are taken to grow at 12 per cent per annum as against 23.4 per cent in the eighties. This assumes a considerably reduced rate of growth of indebtedness which is expected to be achieved, inter alia, by taking a part of the financing of public investment out of the budget.</w:t>
      </w:r>
    </w:p>
    <w:p w14:paraId="79006594" w14:textId="78CB14BF" w:rsidR="00B469EA" w:rsidRPr="001C13E6" w:rsidRDefault="00B469EA" w:rsidP="005A2010">
      <w:pPr>
        <w:pStyle w:val="Heading3"/>
        <w:rPr>
          <w:sz w:val="20"/>
          <w:szCs w:val="20"/>
        </w:rPr>
      </w:pPr>
      <w:r w:rsidRPr="001C13E6">
        <w:rPr>
          <w:sz w:val="20"/>
          <w:szCs w:val="20"/>
        </w:rPr>
        <w:t>The rate of growth of Central Government expenditure has thus been determined normatively, keeping it well below the postulated rate of growth of revenues, as has been done in the case of the States. It could, however, be argued that the Commission should have considered the justifiable cost of providing a given standard of services in the case of the Centre too. In fact, it has been pointed out to us that the Central Government was spending large amounts of money in areas and subjects which belong properly to the jurisdiction of the State Governments under the Constitution, for example, agriculture. The strength of staff in Departments and Ministries dealing with the subjects falling largely or wholly within the jurisdiction of the States is considered by some to be unduly large. The Commission did not have the resources to undertake in depth studies in order to examine such issues. For example, while the requirements of defence will have to be assessed by military experts and the Government, it would be desirable to aim at minimisation of the cost of providing a given degree of military capability and deterrence. We had no way of judging the present level of defence expenditure on the basis of the above criterion.</w:t>
      </w:r>
    </w:p>
    <w:p w14:paraId="1F45E74A" w14:textId="5C52A127" w:rsidR="00B469EA" w:rsidRPr="001C13E6" w:rsidRDefault="00B469EA" w:rsidP="005A2010">
      <w:pPr>
        <w:pStyle w:val="Heading3"/>
        <w:rPr>
          <w:sz w:val="20"/>
          <w:szCs w:val="20"/>
        </w:rPr>
      </w:pPr>
      <w:r w:rsidRPr="001C13E6">
        <w:rPr>
          <w:sz w:val="20"/>
          <w:szCs w:val="20"/>
        </w:rPr>
        <w:t xml:space="preserve">Most of the data we collected have been computerised and will be passed on to the Ministry of Finance. In the very difficult </w:t>
      </w:r>
      <w:proofErr w:type="gramStart"/>
      <w:r w:rsidRPr="001C13E6">
        <w:rPr>
          <w:sz w:val="20"/>
          <w:szCs w:val="20"/>
        </w:rPr>
        <w:t>task</w:t>
      </w:r>
      <w:proofErr w:type="gramEnd"/>
      <w:r w:rsidRPr="001C13E6">
        <w:rPr>
          <w:sz w:val="20"/>
          <w:szCs w:val="20"/>
        </w:rPr>
        <w:t xml:space="preserve"> we were assigned to carry on, and in the context of the disconcerting fiscal scenario we felt hamstrung by non-</w:t>
      </w:r>
      <w:r w:rsidRPr="001C13E6">
        <w:rPr>
          <w:sz w:val="20"/>
          <w:szCs w:val="20"/>
        </w:rPr>
        <w:lastRenderedPageBreak/>
        <w:t>availability of ready, adequate and reliable data. We, therefore, recommend that between the end of the life of one Finance Commission and the appointment of the next Finance Commission, in the interregnum, active and imaginative studies and projects on different topics relevant for the working of the Finance Commission be undertaken by the Finance Ministry to facilitate the work of the incoming Finance Commission. We strongly suggest that the present Division in the Finance Ministry which looks after the work of the Finance Commission, in the interregnum, be entrusted with this task. The Division, however, needs to be substantially strengthened and should function under a separate Senior Joint Secretary assisted by adequate number of officials and technical staff trained to collect and analyse the data and material, necessary for the Finance Commission. It may also be worthwhile examining constituting an Advisory Committee headed by a person well conversant with the intricacies of the public finances in India, which should guide this particular Division in its work and functions. One of our Members, Shri Justice A.S. Qureshi, however, in his dissenting note has suggested a different approach on this point. He opines, that Clause 1 of Article 280 of the Constitution envisages a permanent Finance Commission to be reconstituted every five years.</w:t>
      </w:r>
    </w:p>
    <w:p w14:paraId="57C6B38F" w14:textId="61514BAC" w:rsidR="00B469EA" w:rsidRPr="001C13E6" w:rsidRDefault="00B469EA" w:rsidP="005A2010">
      <w:pPr>
        <w:pStyle w:val="Heading3"/>
        <w:rPr>
          <w:sz w:val="20"/>
          <w:szCs w:val="20"/>
        </w:rPr>
      </w:pPr>
      <w:r w:rsidRPr="001C13E6">
        <w:rPr>
          <w:sz w:val="20"/>
          <w:szCs w:val="20"/>
        </w:rPr>
        <w:t>We would like to refer here to a complaint made by several State Governments, that while the Finance Commission wishes to impose, and might succeed in imposing, fiscal discipline on the State Governments, a similar discipline could not be imposed on the Central Government. The Central Government, they argued, has access to credit from the Reserve Bank of India (on which limitations could be placed only out of Central Government's own volition), which meant not only that the Centre could incur expenditure in excess of whatever norms were prescribed, but also that an inflationary rise in prices was generated which threw the budgets of the States out of equilibrium.</w:t>
      </w:r>
    </w:p>
    <w:p w14:paraId="7CE35F32" w14:textId="4E1C90CD" w:rsidR="00B469EA" w:rsidRPr="001C13E6" w:rsidRDefault="00B469EA" w:rsidP="005A2010">
      <w:pPr>
        <w:pStyle w:val="Heading3"/>
        <w:rPr>
          <w:sz w:val="20"/>
          <w:szCs w:val="20"/>
        </w:rPr>
      </w:pPr>
      <w:r w:rsidRPr="001C13E6">
        <w:rPr>
          <w:sz w:val="20"/>
          <w:szCs w:val="20"/>
        </w:rPr>
        <w:t>The approach adopted by this Commission would result in a degree of discipline being imposed on the budgetary operations of the State Governments in the following manner. First, the volume of Central transfers has been determined on the basis of a normative assessment of revenue receipts and revenue expenditure and this places a limit on possible increases in expenditure without additional resources being mobilised. Second, this Commission has not attempted to fully close the non-Plan capital gaps of the States and as such the States would have to observe extreme caution in incurring additional debt, especially for financing revenue expenditure. Third, the overdraft facility with Reserve Bank of India to the State Governments has already been strictly limited. As against this, the fact that the Union Government has virtually unlimited "overdraft facility" with Reserve Bank of India means that it can incur additional debt to finance expenditures in excess of norms without raising additional revenue resources of its own. We have earlier urged that the Central and State Governments should be treated in a similar manner with regard to fiscal discipline. We recommend that a convention should, therefore, be developed limiting the extent of deficit financing by Central Government, in any given year, to an amount to be determined in consultation with the Governor of the Reserve Bank of India on the basis of certain objective economic criteria to be clearly laid down in advance. We would urge that suitable guidelines and criteria for determining the permissible amount of net RBI credit to Government be devised jointly by the Union Ministry of Finance and the Reserve Bank of India. It will also be necessary to predetermine the permissible peak level of RBI credit to Central Government at any point of time, in the course of the year.</w:t>
      </w:r>
    </w:p>
    <w:p w14:paraId="39C7F0BC" w14:textId="0D00042C" w:rsidR="00B469EA" w:rsidRPr="001C13E6" w:rsidRDefault="00B469EA" w:rsidP="001C13E6">
      <w:pPr>
        <w:pStyle w:val="Heading3"/>
        <w:tabs>
          <w:tab w:val="left" w:pos="851"/>
        </w:tabs>
        <w:rPr>
          <w:sz w:val="20"/>
          <w:szCs w:val="20"/>
        </w:rPr>
      </w:pPr>
      <w:r w:rsidRPr="001C13E6">
        <w:rPr>
          <w:sz w:val="20"/>
          <w:szCs w:val="20"/>
        </w:rPr>
        <w:t xml:space="preserve">In our first report, we had stated that in the report for the period 1990-95, we shall indicate in some detail the changes in fiscal policy and practices needed to bring about a situation of balance in the revenue budgets. Fiscal experts are agreed that the sine qua non for controlling the growth of revenue expenditure is the avoidance of inflation. This in turn requires strict limits to be placed on deficit financing in the sense of net RBI credit to the Central Government. Therefore, the first basic change in fiscal policy required is that the extent of deficit financing permissible in </w:t>
      </w:r>
      <w:proofErr w:type="gramStart"/>
      <w:r w:rsidRPr="001C13E6">
        <w:rPr>
          <w:sz w:val="20"/>
          <w:szCs w:val="20"/>
        </w:rPr>
        <w:t>an</w:t>
      </w:r>
      <w:proofErr w:type="gramEnd"/>
      <w:r w:rsidRPr="001C13E6">
        <w:rPr>
          <w:sz w:val="20"/>
          <w:szCs w:val="20"/>
        </w:rPr>
        <w:t xml:space="preserve"> year should be first determined in the manner we have suggested in paragraph 10.9 above. If under certain extraordinary circumstances the agreed upon limits of credit from RBI are to be exceeded, the matter should be discussed in Parliament and its approval obtained.</w:t>
      </w:r>
    </w:p>
    <w:p w14:paraId="466B219B" w14:textId="03209B4D" w:rsidR="00B469EA" w:rsidRPr="001C13E6" w:rsidRDefault="00B469EA" w:rsidP="001C13E6">
      <w:pPr>
        <w:pStyle w:val="Heading3"/>
        <w:tabs>
          <w:tab w:val="left" w:pos="851"/>
          <w:tab w:val="left" w:pos="1418"/>
        </w:tabs>
        <w:rPr>
          <w:sz w:val="20"/>
          <w:szCs w:val="20"/>
        </w:rPr>
      </w:pPr>
      <w:r w:rsidRPr="001C13E6">
        <w:rPr>
          <w:sz w:val="20"/>
          <w:szCs w:val="20"/>
        </w:rPr>
        <w:t>Second, the criterion of efficiency must be given a much larger weight in the pursuit of fiscal policy. Accessibility to funds without conditions or definite limits based on economic principles which we have referred to earlier in our report leads to erosion of responsibility and efficiency. It is, therefore, necessary to link performance with accessibility to funds.</w:t>
      </w:r>
    </w:p>
    <w:p w14:paraId="16F511D3" w14:textId="13D30EAA" w:rsidR="00B469EA" w:rsidRPr="001C13E6" w:rsidRDefault="00B469EA" w:rsidP="001C13E6">
      <w:pPr>
        <w:pStyle w:val="Heading3"/>
        <w:tabs>
          <w:tab w:val="left" w:pos="851"/>
        </w:tabs>
        <w:rPr>
          <w:sz w:val="20"/>
          <w:szCs w:val="20"/>
        </w:rPr>
      </w:pPr>
      <w:r w:rsidRPr="001C13E6">
        <w:rPr>
          <w:sz w:val="20"/>
          <w:szCs w:val="20"/>
        </w:rPr>
        <w:t>Third, we suggest certain specific steps for bringing down the rate of growth of revenue expenditure in the immediate future:</w:t>
      </w:r>
    </w:p>
    <w:p w14:paraId="52B98F50" w14:textId="3DCA8C04" w:rsidR="00B469EA" w:rsidRPr="001C13E6" w:rsidRDefault="00B469EA">
      <w:pPr>
        <w:pStyle w:val="ListParagraph"/>
        <w:numPr>
          <w:ilvl w:val="0"/>
          <w:numId w:val="35"/>
        </w:numPr>
        <w:spacing w:after="0" w:line="240" w:lineRule="auto"/>
        <w:jc w:val="both"/>
        <w:rPr>
          <w:rFonts w:ascii="Times New Roman" w:hAnsi="Times New Roman" w:cs="Times New Roman"/>
          <w:sz w:val="20"/>
          <w:szCs w:val="20"/>
        </w:rPr>
      </w:pPr>
      <w:r w:rsidRPr="001C13E6">
        <w:rPr>
          <w:rFonts w:ascii="Times New Roman" w:hAnsi="Times New Roman" w:cs="Times New Roman"/>
          <w:sz w:val="20"/>
          <w:szCs w:val="20"/>
        </w:rPr>
        <w:t>As the budgets are over-burdened and resources are scarce, government would have to shed some activities. This calls for the application of zero-based budgeting. Each Ministry/Department at the Centre and State be asked to order its activities according to its own scheme of priorities keeping in view certain guidelines to be issued by the respective Cabinets. Five per cent of each Department's work (measured in terms of share of revenue expenditure) which is of the lowest priority according to its own evaluation should be given up. The surplus staff created by this procedure would be kept available for re-location in other areas where activities might have to be expanded.</w:t>
      </w:r>
    </w:p>
    <w:p w14:paraId="41F15FC3" w14:textId="14205F68" w:rsidR="00B469EA" w:rsidRPr="001C13E6" w:rsidRDefault="00B469EA">
      <w:pPr>
        <w:pStyle w:val="ListParagraph"/>
        <w:numPr>
          <w:ilvl w:val="0"/>
          <w:numId w:val="35"/>
        </w:numPr>
        <w:spacing w:after="0" w:line="240" w:lineRule="auto"/>
        <w:jc w:val="both"/>
        <w:rPr>
          <w:rFonts w:ascii="Times New Roman" w:hAnsi="Times New Roman" w:cs="Times New Roman"/>
          <w:sz w:val="20"/>
          <w:szCs w:val="20"/>
        </w:rPr>
      </w:pPr>
      <w:r w:rsidRPr="001C13E6">
        <w:rPr>
          <w:rFonts w:ascii="Times New Roman" w:hAnsi="Times New Roman" w:cs="Times New Roman"/>
          <w:sz w:val="20"/>
          <w:szCs w:val="20"/>
        </w:rPr>
        <w:t>There has been a fairly fast growth of employment in the government sector, particularly at the State level. Between 1979-80 and 1988-89, employment in the government sector, taking all States together, grew at the rate of 3.6 per cent (for the major States alone, the corresponding figure is 3.3 per cent). The result has been burgeoning increase in the salary bills. Therefore, it is essential to prevent the growth of government sector employment. There should be no increase in employment in the government sector (Centre and States) during the Eighth Plan period and the revenue Plan expenditure of the Eighth Plan should consist only of expenditure on materials except in relation to additional schools and hospitals to be started under the Plan. If expenditure on additional staff is incurred in respect of such Plan schemes, that must be adjusted within the non-Plan budget.</w:t>
      </w:r>
    </w:p>
    <w:p w14:paraId="0085092D" w14:textId="34E9AB46" w:rsidR="00B469EA" w:rsidRPr="001C13E6" w:rsidRDefault="00B469EA">
      <w:pPr>
        <w:pStyle w:val="ListParagraph"/>
        <w:numPr>
          <w:ilvl w:val="0"/>
          <w:numId w:val="35"/>
        </w:numPr>
        <w:spacing w:after="0" w:line="240" w:lineRule="auto"/>
        <w:jc w:val="both"/>
        <w:rPr>
          <w:rFonts w:ascii="Times New Roman" w:hAnsi="Times New Roman" w:cs="Times New Roman"/>
          <w:sz w:val="20"/>
          <w:szCs w:val="20"/>
        </w:rPr>
      </w:pPr>
      <w:r w:rsidRPr="001C13E6">
        <w:rPr>
          <w:rFonts w:ascii="Times New Roman" w:hAnsi="Times New Roman" w:cs="Times New Roman"/>
          <w:sz w:val="20"/>
          <w:szCs w:val="20"/>
        </w:rPr>
        <w:t>Special efforts must be made to plug leakages in the Departments incurring heavy expenditure on materials such as P.W.D., Water Supply, Medical and Public Health. Considerable money could also be saved through economy in inventories and stores.</w:t>
      </w:r>
    </w:p>
    <w:p w14:paraId="0ABDAB4A" w14:textId="1E246D57" w:rsidR="00B469EA" w:rsidRPr="001C13E6" w:rsidRDefault="00B469EA">
      <w:pPr>
        <w:pStyle w:val="ListParagraph"/>
        <w:numPr>
          <w:ilvl w:val="0"/>
          <w:numId w:val="35"/>
        </w:numPr>
        <w:spacing w:after="0" w:line="240" w:lineRule="auto"/>
        <w:jc w:val="both"/>
        <w:rPr>
          <w:rFonts w:ascii="Times New Roman" w:hAnsi="Times New Roman" w:cs="Times New Roman"/>
          <w:sz w:val="20"/>
          <w:szCs w:val="20"/>
        </w:rPr>
      </w:pPr>
      <w:r w:rsidRPr="001C13E6">
        <w:rPr>
          <w:rFonts w:ascii="Times New Roman" w:hAnsi="Times New Roman" w:cs="Times New Roman"/>
          <w:sz w:val="20"/>
          <w:szCs w:val="20"/>
        </w:rPr>
        <w:t xml:space="preserve">The phasing out of the revenue deficit would reduce the rate of growth of public debt and, hence, the rate of growth of interest payments. In addition, some other measures are needed to slow down the growth of public debt. One is </w:t>
      </w:r>
      <w:r w:rsidRPr="001C13E6">
        <w:rPr>
          <w:rFonts w:ascii="Times New Roman" w:hAnsi="Times New Roman" w:cs="Times New Roman"/>
          <w:sz w:val="20"/>
          <w:szCs w:val="20"/>
        </w:rPr>
        <w:lastRenderedPageBreak/>
        <w:t>to reduce budgetary support to public enterprises, i.e., financing of public enterprises should be taken out of the budget as far as possible. Budget support would, of course, have to be extended to key infrastructure sectors like the railways; but even in such cases, part of the financing could be met through borrowing from the market with some interest subsidy from the budget. Methods of financing of the investment by other public enterprises through funds obtained outside the budget would have to be worked out. Public enterprises which are performing efficiently and are showing satisfactory financial results can be allowed by the Controller of Capital Issues to issue debentures as is done in respect of private enterprises. It would be desirable if Corporations in large cities are allowed to borrow funds against debentures with appropriate interest subsidy, to undertake slum clearance and other developmental activities. Another way of reducing the load on the public sector is to share with the private sector the task of expanding capacity in some areas such as power.</w:t>
      </w:r>
    </w:p>
    <w:p w14:paraId="67BB405C" w14:textId="59BBEAFA" w:rsidR="00093449" w:rsidRPr="001C13E6" w:rsidRDefault="00B469EA">
      <w:pPr>
        <w:pStyle w:val="ListParagraph"/>
        <w:numPr>
          <w:ilvl w:val="0"/>
          <w:numId w:val="35"/>
        </w:numPr>
        <w:spacing w:after="0" w:line="240" w:lineRule="auto"/>
        <w:jc w:val="both"/>
        <w:rPr>
          <w:rFonts w:ascii="Times New Roman" w:hAnsi="Times New Roman" w:cs="Times New Roman"/>
          <w:sz w:val="20"/>
          <w:szCs w:val="20"/>
        </w:rPr>
      </w:pPr>
      <w:r w:rsidRPr="001C13E6">
        <w:rPr>
          <w:rFonts w:ascii="Times New Roman" w:hAnsi="Times New Roman" w:cs="Times New Roman"/>
          <w:sz w:val="20"/>
          <w:szCs w:val="20"/>
        </w:rPr>
        <w:t>In Chapter II, we referred to the low rates of return being obtained from public enterprises as a whole (excluding the petroleum sector) and to the fact that several of them are making losses. At the State level, most public enterprises including State Electricity Boards and State Road Transport Corporations are suffering losses. There is little justification for continuing to own and operate enterprises outside the core sector</w:t>
      </w:r>
      <w:r w:rsidRPr="001C13E6">
        <w:rPr>
          <w:rStyle w:val="FootnoteReference"/>
          <w:rFonts w:ascii="Times New Roman" w:hAnsi="Times New Roman" w:cs="Times New Roman"/>
          <w:sz w:val="20"/>
          <w:szCs w:val="20"/>
        </w:rPr>
        <w:footnoteReference w:id="11"/>
      </w:r>
      <w:r w:rsidRPr="001C13E6">
        <w:rPr>
          <w:rFonts w:ascii="Times New Roman" w:hAnsi="Times New Roman" w:cs="Times New Roman"/>
          <w:sz w:val="20"/>
          <w:szCs w:val="20"/>
        </w:rPr>
        <w:t xml:space="preserve"> which are continually making losses and which, according to reasonable expectations, cannot be revived and turned around. At present, these enterprises are being sustained largely through loans from the budget and, to some extent, through grants. Major budgetary savings can be </w:t>
      </w:r>
      <w:proofErr w:type="gramStart"/>
      <w:r w:rsidRPr="001C13E6">
        <w:rPr>
          <w:rFonts w:ascii="Times New Roman" w:hAnsi="Times New Roman" w:cs="Times New Roman"/>
          <w:sz w:val="20"/>
          <w:szCs w:val="20"/>
        </w:rPr>
        <w:t>effected</w:t>
      </w:r>
      <w:proofErr w:type="gramEnd"/>
      <w:r w:rsidRPr="001C13E6">
        <w:rPr>
          <w:rFonts w:ascii="Times New Roman" w:hAnsi="Times New Roman" w:cs="Times New Roman"/>
          <w:sz w:val="20"/>
          <w:szCs w:val="20"/>
        </w:rPr>
        <w:t xml:space="preserve"> if a way can be found to cut out such loan or grant subsidy. Those enterprises which can be rehabilitated with a reasonable infusion of funds should be brought back to health with the help of public financing institutions or the private sector; others would have to be merged with larger enterprises or closed down with adequate care taken to safeguard the interest of displaced labour. (We understand that part of the staff displaced could be absorbed in large number of vacancies normally arising in the government itself).</w:t>
      </w:r>
    </w:p>
    <w:p w14:paraId="5C70A2A4" w14:textId="3E03EF77" w:rsidR="00B469EA" w:rsidRPr="001C13E6" w:rsidRDefault="00B469EA" w:rsidP="001C13E6">
      <w:pPr>
        <w:pStyle w:val="Heading3"/>
        <w:tabs>
          <w:tab w:val="left" w:pos="851"/>
        </w:tabs>
        <w:rPr>
          <w:sz w:val="20"/>
          <w:szCs w:val="20"/>
        </w:rPr>
      </w:pPr>
      <w:r w:rsidRPr="001C13E6">
        <w:rPr>
          <w:sz w:val="20"/>
          <w:szCs w:val="20"/>
        </w:rPr>
        <w:t xml:space="preserve">Subsidies are an item of expenditure in the Central Government Budget that has been rising rapidly. The rate of growth witnessed in recent years is not sustainable. Food, fertilizer and export subsidies account for by far the major proportion of total subsidies in the Central Budget. Food subsidies might have to be targeted in future towards the poor only, and with only a moderate rate of inflation, it would be possible to adjust issue prices when procurement prices are raised. We feel that not only the manner of determining and granting fertilizer subsidy, but the entire philosophy and approach would have to be re-examined, as otherwise with increasing fertilizer production on the basis of higher and higher costs due to increased capital costs, fertilizer subsidy would grow unbearably large in the </w:t>
      </w:r>
      <w:proofErr w:type="gramStart"/>
      <w:r w:rsidRPr="001C13E6">
        <w:rPr>
          <w:sz w:val="20"/>
          <w:szCs w:val="20"/>
        </w:rPr>
        <w:t>not so distant</w:t>
      </w:r>
      <w:proofErr w:type="gramEnd"/>
      <w:r w:rsidRPr="001C13E6">
        <w:rPr>
          <w:sz w:val="20"/>
          <w:szCs w:val="20"/>
        </w:rPr>
        <w:t xml:space="preserve"> future. Export subsidies are, of course, necessary but the increase in the quantum of subsidy could be reduced if the competitiveness of Indian exports could be ensured in other ways.</w:t>
      </w:r>
    </w:p>
    <w:p w14:paraId="681C6559" w14:textId="17BB4F89" w:rsidR="00B469EA" w:rsidRPr="001C13E6" w:rsidRDefault="00B469EA" w:rsidP="001C13E6">
      <w:pPr>
        <w:pStyle w:val="Heading3"/>
        <w:tabs>
          <w:tab w:val="left" w:pos="851"/>
        </w:tabs>
        <w:rPr>
          <w:sz w:val="20"/>
          <w:szCs w:val="20"/>
        </w:rPr>
      </w:pPr>
      <w:r w:rsidRPr="001C13E6">
        <w:rPr>
          <w:sz w:val="20"/>
          <w:szCs w:val="20"/>
        </w:rPr>
        <w:t>We urge that the above suggestions for policy changes we have made be given the utmost consideration by the Central and State Governments so that fiscal equilibrium is restored at least by the end of the period of our report.</w:t>
      </w:r>
    </w:p>
    <w:p w14:paraId="246901EB" w14:textId="2E27ED4C" w:rsidR="00B469EA" w:rsidRPr="001C13E6" w:rsidRDefault="00B469EA" w:rsidP="001C13E6">
      <w:pPr>
        <w:pStyle w:val="Heading3"/>
        <w:tabs>
          <w:tab w:val="left" w:pos="851"/>
        </w:tabs>
        <w:rPr>
          <w:sz w:val="20"/>
          <w:szCs w:val="20"/>
        </w:rPr>
      </w:pPr>
      <w:r w:rsidRPr="001C13E6">
        <w:rPr>
          <w:sz w:val="20"/>
          <w:szCs w:val="20"/>
        </w:rPr>
        <w:t xml:space="preserve"> Before concluding this report, it is pertinent to point out that the methodology of normative assessment which we have applied to the revenues and expenditures of the State Governments affects only inter-State transfers and has no role in determining the total volume of transfers from the Centre to the States as a whole. The methodology is so designed as to favour the States with lower revenue capacities and lower than average standard of services at justifiable costs. This is the major departure made by this Commission. As far as the projections for the 5-year period 1990-95 are concerned, we have followed almost the same approach as the earlier Commissions; that is, normative rates of growth of revenues and expenditures have been applied to base year figures and the base year figures are closely related to the actuals for the Centre as well as for the States taken as a whole.</w:t>
      </w:r>
    </w:p>
    <w:p w14:paraId="6B7B4E23" w14:textId="7112E66D" w:rsidR="00B469EA" w:rsidRPr="001C13E6" w:rsidRDefault="00B469EA" w:rsidP="001C13E6">
      <w:pPr>
        <w:pStyle w:val="Heading3"/>
        <w:tabs>
          <w:tab w:val="left" w:pos="851"/>
        </w:tabs>
        <w:rPr>
          <w:sz w:val="20"/>
          <w:szCs w:val="20"/>
        </w:rPr>
      </w:pPr>
      <w:r w:rsidRPr="001C13E6">
        <w:rPr>
          <w:sz w:val="20"/>
          <w:szCs w:val="20"/>
        </w:rPr>
        <w:t xml:space="preserve">The annexures included in this report contain only such summary tables as are essential for explaining our recommendations. A supplementary volume containing the detailed explanations will be submitted in a few </w:t>
      </w:r>
      <w:proofErr w:type="spellStart"/>
      <w:r w:rsidRPr="001C13E6">
        <w:rPr>
          <w:sz w:val="20"/>
          <w:szCs w:val="20"/>
        </w:rPr>
        <w:t>days time</w:t>
      </w:r>
      <w:proofErr w:type="spellEnd"/>
      <w:r w:rsidRPr="001C13E6">
        <w:rPr>
          <w:sz w:val="20"/>
          <w:szCs w:val="20"/>
        </w:rPr>
        <w:t>.</w:t>
      </w:r>
    </w:p>
    <w:p w14:paraId="449AB39C" w14:textId="780CC7C1" w:rsidR="00B469EA" w:rsidRPr="00AA6AF4" w:rsidRDefault="00B469EA">
      <w:pPr>
        <w:rPr>
          <w:rFonts w:ascii="Times New Roman" w:hAnsi="Times New Roman" w:cs="Times New Roman"/>
          <w:szCs w:val="24"/>
        </w:rPr>
      </w:pPr>
      <w:r w:rsidRPr="00AA6AF4">
        <w:rPr>
          <w:rFonts w:ascii="Times New Roman" w:hAnsi="Times New Roman" w:cs="Times New Roman"/>
          <w:szCs w:val="24"/>
        </w:rPr>
        <w:br w:type="page"/>
      </w:r>
    </w:p>
    <w:p w14:paraId="6E2EB765" w14:textId="013646EF" w:rsidR="00340829" w:rsidRPr="00806D4E" w:rsidRDefault="00093449" w:rsidP="00806D4E">
      <w:pPr>
        <w:pStyle w:val="Heading1"/>
        <w:ind w:left="0" w:firstLine="284"/>
        <w:rPr>
          <w:sz w:val="24"/>
          <w:szCs w:val="24"/>
        </w:rPr>
      </w:pPr>
      <w:r>
        <w:lastRenderedPageBreak/>
        <w:br/>
      </w:r>
      <w:bookmarkStart w:id="21" w:name="_Toc221292967"/>
      <w:bookmarkStart w:id="22" w:name="_Toc222399459"/>
      <w:r w:rsidR="00340829" w:rsidRPr="00806D4E">
        <w:rPr>
          <w:sz w:val="24"/>
          <w:szCs w:val="24"/>
        </w:rPr>
        <w:t>SUMMARY OF IMPORTANT RECOMMENDATIONS AND OBSERVATIONS</w:t>
      </w:r>
      <w:bookmarkEnd w:id="21"/>
      <w:bookmarkEnd w:id="22"/>
    </w:p>
    <w:p w14:paraId="113E7F7A" w14:textId="136EEA1E" w:rsidR="00340829" w:rsidRPr="00806D4E" w:rsidRDefault="00340829" w:rsidP="00445823">
      <w:pPr>
        <w:pStyle w:val="Heading3"/>
        <w:spacing w:line="160" w:lineRule="exact"/>
        <w:rPr>
          <w:sz w:val="19"/>
          <w:szCs w:val="19"/>
        </w:rPr>
      </w:pPr>
      <w:r w:rsidRPr="00806D4E">
        <w:rPr>
          <w:sz w:val="19"/>
          <w:szCs w:val="19"/>
        </w:rPr>
        <w:t>Our important recommendations and observations are set out below:</w:t>
      </w:r>
    </w:p>
    <w:p w14:paraId="25AD2072" w14:textId="77777777" w:rsidR="00340829" w:rsidRPr="00806D4E" w:rsidRDefault="00340829" w:rsidP="00806D4E">
      <w:pPr>
        <w:pStyle w:val="NoSpacing"/>
        <w:jc w:val="center"/>
        <w:rPr>
          <w:rFonts w:ascii="Times New Roman" w:hAnsi="Times New Roman" w:cs="Times New Roman"/>
          <w:b/>
          <w:bCs/>
          <w:sz w:val="19"/>
          <w:szCs w:val="19"/>
        </w:rPr>
      </w:pPr>
      <w:r w:rsidRPr="00806D4E">
        <w:rPr>
          <w:rFonts w:ascii="Times New Roman" w:hAnsi="Times New Roman" w:cs="Times New Roman"/>
          <w:b/>
          <w:bCs/>
          <w:sz w:val="19"/>
          <w:szCs w:val="19"/>
        </w:rPr>
        <w:t>I. INCOME TAX</w:t>
      </w:r>
    </w:p>
    <w:p w14:paraId="7DC286EF" w14:textId="6A5B1D3E" w:rsidR="00340829" w:rsidRPr="00806D4E" w:rsidRDefault="00806D4E" w:rsidP="00445823">
      <w:pPr>
        <w:pStyle w:val="Heading3"/>
        <w:spacing w:line="160" w:lineRule="exact"/>
        <w:rPr>
          <w:sz w:val="19"/>
          <w:szCs w:val="19"/>
        </w:rPr>
      </w:pPr>
      <w:r w:rsidRPr="00806D4E">
        <w:rPr>
          <w:b/>
          <w:bCs/>
          <w:sz w:val="19"/>
          <w:szCs w:val="19"/>
        </w:rPr>
        <w:t xml:space="preserve">    </w:t>
      </w:r>
      <w:r w:rsidR="00340829" w:rsidRPr="00806D4E">
        <w:rPr>
          <w:b/>
          <w:bCs/>
          <w:sz w:val="19"/>
          <w:szCs w:val="19"/>
        </w:rPr>
        <w:t xml:space="preserve"> (1)</w:t>
      </w:r>
      <w:r w:rsidR="00340829" w:rsidRPr="00806D4E">
        <w:rPr>
          <w:sz w:val="19"/>
          <w:szCs w:val="19"/>
        </w:rPr>
        <w:t> Out of net distributable proceeds, a sum equal to 1.437 per cent shall be deemed to represent the proceeds attributable to the Union Territories (para. 5.5);</w:t>
      </w:r>
    </w:p>
    <w:p w14:paraId="2ABF70A4" w14:textId="75B86C14" w:rsidR="00340829" w:rsidRPr="00806D4E" w:rsidRDefault="00340829">
      <w:pPr>
        <w:pStyle w:val="ListParagraph"/>
        <w:numPr>
          <w:ilvl w:val="0"/>
          <w:numId w:val="36"/>
        </w:numPr>
        <w:spacing w:line="160" w:lineRule="exact"/>
        <w:jc w:val="both"/>
        <w:rPr>
          <w:rFonts w:ascii="Times New Roman" w:hAnsi="Times New Roman" w:cs="Times New Roman"/>
          <w:sz w:val="19"/>
          <w:szCs w:val="19"/>
        </w:rPr>
      </w:pPr>
      <w:r w:rsidRPr="00806D4E">
        <w:rPr>
          <w:rFonts w:ascii="Times New Roman" w:hAnsi="Times New Roman" w:cs="Times New Roman"/>
          <w:sz w:val="19"/>
          <w:szCs w:val="19"/>
        </w:rPr>
        <w:t>Eighty-five per cent of the divisible pool of Income Tax should be assigned to the States (para. 5.6); and</w:t>
      </w:r>
    </w:p>
    <w:p w14:paraId="0D511A20" w14:textId="0AA73942" w:rsidR="00340829" w:rsidRPr="00806D4E" w:rsidRDefault="00340829">
      <w:pPr>
        <w:pStyle w:val="ListParagraph"/>
        <w:numPr>
          <w:ilvl w:val="0"/>
          <w:numId w:val="36"/>
        </w:numPr>
        <w:spacing w:after="0" w:line="160" w:lineRule="exact"/>
        <w:jc w:val="both"/>
        <w:rPr>
          <w:rFonts w:ascii="Times New Roman" w:hAnsi="Times New Roman" w:cs="Times New Roman"/>
          <w:sz w:val="19"/>
          <w:szCs w:val="19"/>
        </w:rPr>
      </w:pPr>
      <w:r w:rsidRPr="00806D4E">
        <w:rPr>
          <w:rFonts w:ascii="Times New Roman" w:hAnsi="Times New Roman" w:cs="Times New Roman"/>
          <w:sz w:val="19"/>
          <w:szCs w:val="19"/>
        </w:rPr>
        <w:t xml:space="preserve">The distribution amongst the States </w:t>
      </w:r>
      <w:proofErr w:type="gramStart"/>
      <w:r w:rsidRPr="00806D4E">
        <w:rPr>
          <w:rFonts w:ascii="Times New Roman" w:hAnsi="Times New Roman" w:cs="Times New Roman"/>
          <w:sz w:val="19"/>
          <w:szCs w:val="19"/>
        </w:rPr>
        <w:t>inter</w:t>
      </w:r>
      <w:proofErr w:type="gramEnd"/>
      <w:r w:rsidRPr="00806D4E">
        <w:rPr>
          <w:rFonts w:ascii="Times New Roman" w:hAnsi="Times New Roman" w:cs="Times New Roman"/>
          <w:sz w:val="19"/>
          <w:szCs w:val="19"/>
        </w:rPr>
        <w:t xml:space="preserve"> se of the share assigned to the States in each financial year during 1990-95 should be on the basis of the percentages shown in table below:</w:t>
      </w:r>
    </w:p>
    <w:tbl>
      <w:tblPr>
        <w:tblStyle w:val="TableGrid"/>
        <w:tblW w:w="4531" w:type="dxa"/>
        <w:jc w:val="center"/>
        <w:tblLook w:val="04A0" w:firstRow="1" w:lastRow="0" w:firstColumn="1" w:lastColumn="0" w:noHBand="0" w:noVBand="1"/>
      </w:tblPr>
      <w:tblGrid>
        <w:gridCol w:w="460"/>
        <w:gridCol w:w="2087"/>
        <w:gridCol w:w="1984"/>
      </w:tblGrid>
      <w:tr w:rsidR="00340829" w:rsidRPr="004877FC" w14:paraId="69A13BB0" w14:textId="77777777" w:rsidTr="004877FC">
        <w:trPr>
          <w:trHeight w:val="20"/>
          <w:jc w:val="center"/>
        </w:trPr>
        <w:tc>
          <w:tcPr>
            <w:tcW w:w="460" w:type="dxa"/>
            <w:vAlign w:val="center"/>
            <w:hideMark/>
          </w:tcPr>
          <w:p w14:paraId="7B63E93B" w14:textId="77777777" w:rsidR="00340829" w:rsidRPr="004877FC" w:rsidRDefault="00340829" w:rsidP="004877FC">
            <w:pPr>
              <w:pStyle w:val="NoSpacing"/>
              <w:rPr>
                <w:sz w:val="16"/>
                <w:szCs w:val="16"/>
              </w:rPr>
            </w:pPr>
          </w:p>
        </w:tc>
        <w:tc>
          <w:tcPr>
            <w:tcW w:w="2087" w:type="dxa"/>
            <w:vAlign w:val="center"/>
            <w:hideMark/>
          </w:tcPr>
          <w:p w14:paraId="42F771B2" w14:textId="77777777" w:rsidR="00340829" w:rsidRPr="004877FC" w:rsidRDefault="00340829" w:rsidP="004877FC">
            <w:pPr>
              <w:pStyle w:val="NoSpacing"/>
              <w:rPr>
                <w:b/>
                <w:bCs/>
                <w:sz w:val="16"/>
                <w:szCs w:val="16"/>
              </w:rPr>
            </w:pPr>
            <w:r w:rsidRPr="004877FC">
              <w:rPr>
                <w:b/>
                <w:bCs/>
                <w:sz w:val="16"/>
                <w:szCs w:val="16"/>
              </w:rPr>
              <w:t>States</w:t>
            </w:r>
          </w:p>
        </w:tc>
        <w:tc>
          <w:tcPr>
            <w:tcW w:w="1984" w:type="dxa"/>
            <w:vAlign w:val="center"/>
            <w:hideMark/>
          </w:tcPr>
          <w:p w14:paraId="29D19DD8" w14:textId="77777777" w:rsidR="00340829" w:rsidRPr="004877FC" w:rsidRDefault="00340829" w:rsidP="004877FC">
            <w:pPr>
              <w:pStyle w:val="NoSpacing"/>
              <w:rPr>
                <w:b/>
                <w:bCs/>
                <w:sz w:val="16"/>
                <w:szCs w:val="16"/>
              </w:rPr>
            </w:pPr>
            <w:r w:rsidRPr="004877FC">
              <w:rPr>
                <w:b/>
                <w:bCs/>
                <w:sz w:val="16"/>
                <w:szCs w:val="16"/>
              </w:rPr>
              <w:t>Percentage Share</w:t>
            </w:r>
          </w:p>
        </w:tc>
      </w:tr>
      <w:tr w:rsidR="00340829" w:rsidRPr="004877FC" w14:paraId="06825086" w14:textId="77777777" w:rsidTr="004877FC">
        <w:trPr>
          <w:trHeight w:val="20"/>
          <w:jc w:val="center"/>
        </w:trPr>
        <w:tc>
          <w:tcPr>
            <w:tcW w:w="460" w:type="dxa"/>
            <w:vAlign w:val="center"/>
            <w:hideMark/>
          </w:tcPr>
          <w:p w14:paraId="697BAF11" w14:textId="77777777" w:rsidR="00340829" w:rsidRPr="004877FC" w:rsidRDefault="00340829" w:rsidP="004877FC">
            <w:pPr>
              <w:pStyle w:val="NoSpacing"/>
              <w:rPr>
                <w:sz w:val="16"/>
                <w:szCs w:val="16"/>
              </w:rPr>
            </w:pPr>
            <w:r w:rsidRPr="004877FC">
              <w:rPr>
                <w:sz w:val="16"/>
                <w:szCs w:val="16"/>
              </w:rPr>
              <w:t>1.</w:t>
            </w:r>
          </w:p>
        </w:tc>
        <w:tc>
          <w:tcPr>
            <w:tcW w:w="2087" w:type="dxa"/>
            <w:vAlign w:val="center"/>
            <w:hideMark/>
          </w:tcPr>
          <w:p w14:paraId="48F8211A" w14:textId="77777777" w:rsidR="00340829" w:rsidRPr="004877FC" w:rsidRDefault="00340829" w:rsidP="004877FC">
            <w:pPr>
              <w:pStyle w:val="NoSpacing"/>
              <w:rPr>
                <w:sz w:val="16"/>
                <w:szCs w:val="16"/>
              </w:rPr>
            </w:pPr>
            <w:r w:rsidRPr="004877FC">
              <w:rPr>
                <w:sz w:val="16"/>
                <w:szCs w:val="16"/>
              </w:rPr>
              <w:t>Andhra Pradesh</w:t>
            </w:r>
          </w:p>
        </w:tc>
        <w:tc>
          <w:tcPr>
            <w:tcW w:w="1984" w:type="dxa"/>
            <w:vAlign w:val="center"/>
            <w:hideMark/>
          </w:tcPr>
          <w:p w14:paraId="721ABAEF" w14:textId="77777777" w:rsidR="00340829" w:rsidRPr="004877FC" w:rsidRDefault="00340829" w:rsidP="004877FC">
            <w:pPr>
              <w:pStyle w:val="NoSpacing"/>
              <w:jc w:val="center"/>
              <w:rPr>
                <w:sz w:val="16"/>
                <w:szCs w:val="16"/>
              </w:rPr>
            </w:pPr>
            <w:r w:rsidRPr="004877FC">
              <w:rPr>
                <w:sz w:val="16"/>
                <w:szCs w:val="16"/>
              </w:rPr>
              <w:t>8.208</w:t>
            </w:r>
          </w:p>
        </w:tc>
      </w:tr>
      <w:tr w:rsidR="00340829" w:rsidRPr="004877FC" w14:paraId="0DCF2C46" w14:textId="77777777" w:rsidTr="004877FC">
        <w:trPr>
          <w:trHeight w:val="20"/>
          <w:jc w:val="center"/>
        </w:trPr>
        <w:tc>
          <w:tcPr>
            <w:tcW w:w="460" w:type="dxa"/>
            <w:vAlign w:val="center"/>
            <w:hideMark/>
          </w:tcPr>
          <w:p w14:paraId="5057D528" w14:textId="77777777" w:rsidR="00340829" w:rsidRPr="004877FC" w:rsidRDefault="00340829" w:rsidP="004877FC">
            <w:pPr>
              <w:pStyle w:val="NoSpacing"/>
              <w:rPr>
                <w:sz w:val="16"/>
                <w:szCs w:val="16"/>
              </w:rPr>
            </w:pPr>
            <w:r w:rsidRPr="004877FC">
              <w:rPr>
                <w:sz w:val="16"/>
                <w:szCs w:val="16"/>
              </w:rPr>
              <w:t>2.</w:t>
            </w:r>
          </w:p>
        </w:tc>
        <w:tc>
          <w:tcPr>
            <w:tcW w:w="2087" w:type="dxa"/>
            <w:vAlign w:val="center"/>
            <w:hideMark/>
          </w:tcPr>
          <w:p w14:paraId="54994D60" w14:textId="77777777" w:rsidR="00340829" w:rsidRPr="004877FC" w:rsidRDefault="00340829" w:rsidP="004877FC">
            <w:pPr>
              <w:pStyle w:val="NoSpacing"/>
              <w:rPr>
                <w:sz w:val="16"/>
                <w:szCs w:val="16"/>
              </w:rPr>
            </w:pPr>
            <w:r w:rsidRPr="004877FC">
              <w:rPr>
                <w:sz w:val="16"/>
                <w:szCs w:val="16"/>
              </w:rPr>
              <w:t>Arunachal Pradesh</w:t>
            </w:r>
          </w:p>
        </w:tc>
        <w:tc>
          <w:tcPr>
            <w:tcW w:w="1984" w:type="dxa"/>
            <w:vAlign w:val="center"/>
            <w:hideMark/>
          </w:tcPr>
          <w:p w14:paraId="183A40A8" w14:textId="77777777" w:rsidR="00340829" w:rsidRPr="004877FC" w:rsidRDefault="00340829" w:rsidP="004877FC">
            <w:pPr>
              <w:pStyle w:val="NoSpacing"/>
              <w:jc w:val="center"/>
              <w:rPr>
                <w:sz w:val="16"/>
                <w:szCs w:val="16"/>
              </w:rPr>
            </w:pPr>
            <w:r w:rsidRPr="004877FC">
              <w:rPr>
                <w:sz w:val="16"/>
                <w:szCs w:val="16"/>
              </w:rPr>
              <w:t>0.073</w:t>
            </w:r>
          </w:p>
        </w:tc>
      </w:tr>
      <w:tr w:rsidR="00340829" w:rsidRPr="004877FC" w14:paraId="4E663BC3" w14:textId="77777777" w:rsidTr="004877FC">
        <w:trPr>
          <w:trHeight w:val="20"/>
          <w:jc w:val="center"/>
        </w:trPr>
        <w:tc>
          <w:tcPr>
            <w:tcW w:w="460" w:type="dxa"/>
            <w:vAlign w:val="center"/>
            <w:hideMark/>
          </w:tcPr>
          <w:p w14:paraId="5FE23898" w14:textId="77777777" w:rsidR="00340829" w:rsidRPr="004877FC" w:rsidRDefault="00340829" w:rsidP="004877FC">
            <w:pPr>
              <w:pStyle w:val="NoSpacing"/>
              <w:rPr>
                <w:sz w:val="16"/>
                <w:szCs w:val="16"/>
              </w:rPr>
            </w:pPr>
            <w:r w:rsidRPr="004877FC">
              <w:rPr>
                <w:sz w:val="16"/>
                <w:szCs w:val="16"/>
              </w:rPr>
              <w:t>3.</w:t>
            </w:r>
          </w:p>
        </w:tc>
        <w:tc>
          <w:tcPr>
            <w:tcW w:w="2087" w:type="dxa"/>
            <w:vAlign w:val="center"/>
            <w:hideMark/>
          </w:tcPr>
          <w:p w14:paraId="04A1FDC8" w14:textId="77777777" w:rsidR="00340829" w:rsidRPr="004877FC" w:rsidRDefault="00340829" w:rsidP="004877FC">
            <w:pPr>
              <w:pStyle w:val="NoSpacing"/>
              <w:rPr>
                <w:sz w:val="16"/>
                <w:szCs w:val="16"/>
              </w:rPr>
            </w:pPr>
            <w:r w:rsidRPr="004877FC">
              <w:rPr>
                <w:sz w:val="16"/>
                <w:szCs w:val="16"/>
              </w:rPr>
              <w:t>Assam</w:t>
            </w:r>
          </w:p>
        </w:tc>
        <w:tc>
          <w:tcPr>
            <w:tcW w:w="1984" w:type="dxa"/>
            <w:vAlign w:val="center"/>
            <w:hideMark/>
          </w:tcPr>
          <w:p w14:paraId="55919DF9" w14:textId="77777777" w:rsidR="00340829" w:rsidRPr="004877FC" w:rsidRDefault="00340829" w:rsidP="004877FC">
            <w:pPr>
              <w:pStyle w:val="NoSpacing"/>
              <w:jc w:val="center"/>
              <w:rPr>
                <w:sz w:val="16"/>
                <w:szCs w:val="16"/>
              </w:rPr>
            </w:pPr>
            <w:r w:rsidRPr="004877FC">
              <w:rPr>
                <w:sz w:val="16"/>
                <w:szCs w:val="16"/>
              </w:rPr>
              <w:t>2.631</w:t>
            </w:r>
          </w:p>
        </w:tc>
      </w:tr>
      <w:tr w:rsidR="00340829" w:rsidRPr="004877FC" w14:paraId="5CE6D471" w14:textId="77777777" w:rsidTr="004877FC">
        <w:trPr>
          <w:trHeight w:val="20"/>
          <w:jc w:val="center"/>
        </w:trPr>
        <w:tc>
          <w:tcPr>
            <w:tcW w:w="460" w:type="dxa"/>
            <w:vAlign w:val="center"/>
            <w:hideMark/>
          </w:tcPr>
          <w:p w14:paraId="430F8DAB" w14:textId="77777777" w:rsidR="00340829" w:rsidRPr="004877FC" w:rsidRDefault="00340829" w:rsidP="004877FC">
            <w:pPr>
              <w:pStyle w:val="NoSpacing"/>
              <w:rPr>
                <w:sz w:val="16"/>
                <w:szCs w:val="16"/>
              </w:rPr>
            </w:pPr>
            <w:r w:rsidRPr="004877FC">
              <w:rPr>
                <w:sz w:val="16"/>
                <w:szCs w:val="16"/>
              </w:rPr>
              <w:t>4.</w:t>
            </w:r>
          </w:p>
        </w:tc>
        <w:tc>
          <w:tcPr>
            <w:tcW w:w="2087" w:type="dxa"/>
            <w:vAlign w:val="center"/>
            <w:hideMark/>
          </w:tcPr>
          <w:p w14:paraId="46BAAD31" w14:textId="77777777" w:rsidR="00340829" w:rsidRPr="004877FC" w:rsidRDefault="00340829" w:rsidP="004877FC">
            <w:pPr>
              <w:pStyle w:val="NoSpacing"/>
              <w:rPr>
                <w:sz w:val="16"/>
                <w:szCs w:val="16"/>
              </w:rPr>
            </w:pPr>
            <w:r w:rsidRPr="004877FC">
              <w:rPr>
                <w:sz w:val="16"/>
                <w:szCs w:val="16"/>
              </w:rPr>
              <w:t>Bihar</w:t>
            </w:r>
          </w:p>
        </w:tc>
        <w:tc>
          <w:tcPr>
            <w:tcW w:w="1984" w:type="dxa"/>
            <w:vAlign w:val="center"/>
            <w:hideMark/>
          </w:tcPr>
          <w:p w14:paraId="02930300" w14:textId="77777777" w:rsidR="00340829" w:rsidRPr="004877FC" w:rsidRDefault="00340829" w:rsidP="004877FC">
            <w:pPr>
              <w:pStyle w:val="NoSpacing"/>
              <w:jc w:val="center"/>
              <w:rPr>
                <w:sz w:val="16"/>
                <w:szCs w:val="16"/>
              </w:rPr>
            </w:pPr>
            <w:r w:rsidRPr="004877FC">
              <w:rPr>
                <w:sz w:val="16"/>
                <w:szCs w:val="16"/>
              </w:rPr>
              <w:t>12.418</w:t>
            </w:r>
          </w:p>
        </w:tc>
      </w:tr>
      <w:tr w:rsidR="00340829" w:rsidRPr="004877FC" w14:paraId="007792D0" w14:textId="77777777" w:rsidTr="004877FC">
        <w:trPr>
          <w:trHeight w:val="20"/>
          <w:jc w:val="center"/>
        </w:trPr>
        <w:tc>
          <w:tcPr>
            <w:tcW w:w="460" w:type="dxa"/>
            <w:vAlign w:val="center"/>
            <w:hideMark/>
          </w:tcPr>
          <w:p w14:paraId="1E70CACC" w14:textId="77777777" w:rsidR="00340829" w:rsidRPr="004877FC" w:rsidRDefault="00340829" w:rsidP="004877FC">
            <w:pPr>
              <w:pStyle w:val="NoSpacing"/>
              <w:rPr>
                <w:sz w:val="16"/>
                <w:szCs w:val="16"/>
              </w:rPr>
            </w:pPr>
            <w:r w:rsidRPr="004877FC">
              <w:rPr>
                <w:sz w:val="16"/>
                <w:szCs w:val="16"/>
              </w:rPr>
              <w:t>5.</w:t>
            </w:r>
          </w:p>
        </w:tc>
        <w:tc>
          <w:tcPr>
            <w:tcW w:w="2087" w:type="dxa"/>
            <w:vAlign w:val="center"/>
            <w:hideMark/>
          </w:tcPr>
          <w:p w14:paraId="6820B31F" w14:textId="77777777" w:rsidR="00340829" w:rsidRPr="004877FC" w:rsidRDefault="00340829" w:rsidP="004877FC">
            <w:pPr>
              <w:pStyle w:val="NoSpacing"/>
              <w:rPr>
                <w:sz w:val="16"/>
                <w:szCs w:val="16"/>
              </w:rPr>
            </w:pPr>
            <w:r w:rsidRPr="004877FC">
              <w:rPr>
                <w:sz w:val="16"/>
                <w:szCs w:val="16"/>
              </w:rPr>
              <w:t>Goa</w:t>
            </w:r>
          </w:p>
        </w:tc>
        <w:tc>
          <w:tcPr>
            <w:tcW w:w="1984" w:type="dxa"/>
            <w:vAlign w:val="center"/>
            <w:hideMark/>
          </w:tcPr>
          <w:p w14:paraId="4984A33F" w14:textId="77777777" w:rsidR="00340829" w:rsidRPr="004877FC" w:rsidRDefault="00340829" w:rsidP="004877FC">
            <w:pPr>
              <w:pStyle w:val="NoSpacing"/>
              <w:jc w:val="center"/>
              <w:rPr>
                <w:sz w:val="16"/>
                <w:szCs w:val="16"/>
              </w:rPr>
            </w:pPr>
            <w:r w:rsidRPr="004877FC">
              <w:rPr>
                <w:sz w:val="16"/>
                <w:szCs w:val="16"/>
              </w:rPr>
              <w:t>0.110</w:t>
            </w:r>
          </w:p>
        </w:tc>
      </w:tr>
      <w:tr w:rsidR="00340829" w:rsidRPr="004877FC" w14:paraId="044FEBD8" w14:textId="77777777" w:rsidTr="004877FC">
        <w:trPr>
          <w:trHeight w:val="20"/>
          <w:jc w:val="center"/>
        </w:trPr>
        <w:tc>
          <w:tcPr>
            <w:tcW w:w="460" w:type="dxa"/>
            <w:vAlign w:val="center"/>
            <w:hideMark/>
          </w:tcPr>
          <w:p w14:paraId="0647F0C2" w14:textId="77777777" w:rsidR="00340829" w:rsidRPr="004877FC" w:rsidRDefault="00340829" w:rsidP="004877FC">
            <w:pPr>
              <w:pStyle w:val="NoSpacing"/>
              <w:rPr>
                <w:sz w:val="16"/>
                <w:szCs w:val="16"/>
              </w:rPr>
            </w:pPr>
            <w:r w:rsidRPr="004877FC">
              <w:rPr>
                <w:sz w:val="16"/>
                <w:szCs w:val="16"/>
              </w:rPr>
              <w:t>6.</w:t>
            </w:r>
          </w:p>
        </w:tc>
        <w:tc>
          <w:tcPr>
            <w:tcW w:w="2087" w:type="dxa"/>
            <w:vAlign w:val="center"/>
            <w:hideMark/>
          </w:tcPr>
          <w:p w14:paraId="10EC08FD" w14:textId="77777777" w:rsidR="00340829" w:rsidRPr="004877FC" w:rsidRDefault="00340829" w:rsidP="004877FC">
            <w:pPr>
              <w:pStyle w:val="NoSpacing"/>
              <w:rPr>
                <w:sz w:val="16"/>
                <w:szCs w:val="16"/>
              </w:rPr>
            </w:pPr>
            <w:r w:rsidRPr="004877FC">
              <w:rPr>
                <w:sz w:val="16"/>
                <w:szCs w:val="16"/>
              </w:rPr>
              <w:t>Gujarat</w:t>
            </w:r>
          </w:p>
        </w:tc>
        <w:tc>
          <w:tcPr>
            <w:tcW w:w="1984" w:type="dxa"/>
            <w:vAlign w:val="center"/>
            <w:hideMark/>
          </w:tcPr>
          <w:p w14:paraId="4A218DF6" w14:textId="77777777" w:rsidR="00340829" w:rsidRPr="004877FC" w:rsidRDefault="00340829" w:rsidP="004877FC">
            <w:pPr>
              <w:pStyle w:val="NoSpacing"/>
              <w:jc w:val="center"/>
              <w:rPr>
                <w:sz w:val="16"/>
                <w:szCs w:val="16"/>
              </w:rPr>
            </w:pPr>
            <w:r w:rsidRPr="004877FC">
              <w:rPr>
                <w:sz w:val="16"/>
                <w:szCs w:val="16"/>
              </w:rPr>
              <w:t>4.550</w:t>
            </w:r>
          </w:p>
        </w:tc>
      </w:tr>
      <w:tr w:rsidR="00340829" w:rsidRPr="004877FC" w14:paraId="4716CFC6" w14:textId="77777777" w:rsidTr="004877FC">
        <w:trPr>
          <w:trHeight w:val="20"/>
          <w:jc w:val="center"/>
        </w:trPr>
        <w:tc>
          <w:tcPr>
            <w:tcW w:w="460" w:type="dxa"/>
            <w:vAlign w:val="center"/>
            <w:hideMark/>
          </w:tcPr>
          <w:p w14:paraId="0917827B" w14:textId="77777777" w:rsidR="00340829" w:rsidRPr="004877FC" w:rsidRDefault="00340829" w:rsidP="004877FC">
            <w:pPr>
              <w:pStyle w:val="NoSpacing"/>
              <w:rPr>
                <w:sz w:val="16"/>
                <w:szCs w:val="16"/>
              </w:rPr>
            </w:pPr>
            <w:r w:rsidRPr="004877FC">
              <w:rPr>
                <w:sz w:val="16"/>
                <w:szCs w:val="16"/>
              </w:rPr>
              <w:t>7.</w:t>
            </w:r>
          </w:p>
        </w:tc>
        <w:tc>
          <w:tcPr>
            <w:tcW w:w="2087" w:type="dxa"/>
            <w:vAlign w:val="center"/>
            <w:hideMark/>
          </w:tcPr>
          <w:p w14:paraId="65F56752" w14:textId="77777777" w:rsidR="00340829" w:rsidRPr="004877FC" w:rsidRDefault="00340829" w:rsidP="004877FC">
            <w:pPr>
              <w:pStyle w:val="NoSpacing"/>
              <w:rPr>
                <w:sz w:val="16"/>
                <w:szCs w:val="16"/>
              </w:rPr>
            </w:pPr>
            <w:r w:rsidRPr="004877FC">
              <w:rPr>
                <w:sz w:val="16"/>
                <w:szCs w:val="16"/>
              </w:rPr>
              <w:t>Haryana</w:t>
            </w:r>
          </w:p>
        </w:tc>
        <w:tc>
          <w:tcPr>
            <w:tcW w:w="1984" w:type="dxa"/>
            <w:vAlign w:val="center"/>
            <w:hideMark/>
          </w:tcPr>
          <w:p w14:paraId="1289AF4D" w14:textId="77777777" w:rsidR="00340829" w:rsidRPr="004877FC" w:rsidRDefault="00340829" w:rsidP="004877FC">
            <w:pPr>
              <w:pStyle w:val="NoSpacing"/>
              <w:jc w:val="center"/>
              <w:rPr>
                <w:sz w:val="16"/>
                <w:szCs w:val="16"/>
              </w:rPr>
            </w:pPr>
            <w:r w:rsidRPr="004877FC">
              <w:rPr>
                <w:sz w:val="16"/>
                <w:szCs w:val="16"/>
              </w:rPr>
              <w:t>1.244</w:t>
            </w:r>
          </w:p>
        </w:tc>
      </w:tr>
      <w:tr w:rsidR="00340829" w:rsidRPr="004877FC" w14:paraId="2C0B2F44" w14:textId="77777777" w:rsidTr="004877FC">
        <w:trPr>
          <w:trHeight w:val="20"/>
          <w:jc w:val="center"/>
        </w:trPr>
        <w:tc>
          <w:tcPr>
            <w:tcW w:w="460" w:type="dxa"/>
            <w:vAlign w:val="center"/>
            <w:hideMark/>
          </w:tcPr>
          <w:p w14:paraId="512DBE9D" w14:textId="77777777" w:rsidR="00340829" w:rsidRPr="004877FC" w:rsidRDefault="00340829" w:rsidP="004877FC">
            <w:pPr>
              <w:pStyle w:val="NoSpacing"/>
              <w:rPr>
                <w:sz w:val="16"/>
                <w:szCs w:val="16"/>
              </w:rPr>
            </w:pPr>
            <w:r w:rsidRPr="004877FC">
              <w:rPr>
                <w:sz w:val="16"/>
                <w:szCs w:val="16"/>
              </w:rPr>
              <w:t>8.</w:t>
            </w:r>
          </w:p>
        </w:tc>
        <w:tc>
          <w:tcPr>
            <w:tcW w:w="2087" w:type="dxa"/>
            <w:vAlign w:val="center"/>
            <w:hideMark/>
          </w:tcPr>
          <w:p w14:paraId="62F66526" w14:textId="77777777" w:rsidR="00340829" w:rsidRPr="004877FC" w:rsidRDefault="00340829" w:rsidP="004877FC">
            <w:pPr>
              <w:pStyle w:val="NoSpacing"/>
              <w:rPr>
                <w:sz w:val="16"/>
                <w:szCs w:val="16"/>
              </w:rPr>
            </w:pPr>
            <w:r w:rsidRPr="004877FC">
              <w:rPr>
                <w:sz w:val="16"/>
                <w:szCs w:val="16"/>
              </w:rPr>
              <w:t>Himachal Pradesh</w:t>
            </w:r>
          </w:p>
        </w:tc>
        <w:tc>
          <w:tcPr>
            <w:tcW w:w="1984" w:type="dxa"/>
            <w:vAlign w:val="center"/>
            <w:hideMark/>
          </w:tcPr>
          <w:p w14:paraId="21935406" w14:textId="77777777" w:rsidR="00340829" w:rsidRPr="004877FC" w:rsidRDefault="00340829" w:rsidP="004877FC">
            <w:pPr>
              <w:pStyle w:val="NoSpacing"/>
              <w:jc w:val="center"/>
              <w:rPr>
                <w:sz w:val="16"/>
                <w:szCs w:val="16"/>
              </w:rPr>
            </w:pPr>
            <w:r w:rsidRPr="004877FC">
              <w:rPr>
                <w:sz w:val="16"/>
                <w:szCs w:val="16"/>
              </w:rPr>
              <w:t>0.595</w:t>
            </w:r>
          </w:p>
        </w:tc>
      </w:tr>
      <w:tr w:rsidR="00340829" w:rsidRPr="004877FC" w14:paraId="6CFBD091" w14:textId="77777777" w:rsidTr="004877FC">
        <w:trPr>
          <w:trHeight w:val="20"/>
          <w:jc w:val="center"/>
        </w:trPr>
        <w:tc>
          <w:tcPr>
            <w:tcW w:w="460" w:type="dxa"/>
            <w:vAlign w:val="center"/>
            <w:hideMark/>
          </w:tcPr>
          <w:p w14:paraId="44210950" w14:textId="77777777" w:rsidR="00340829" w:rsidRPr="004877FC" w:rsidRDefault="00340829" w:rsidP="004877FC">
            <w:pPr>
              <w:pStyle w:val="NoSpacing"/>
              <w:rPr>
                <w:sz w:val="16"/>
                <w:szCs w:val="16"/>
              </w:rPr>
            </w:pPr>
            <w:r w:rsidRPr="004877FC">
              <w:rPr>
                <w:sz w:val="16"/>
                <w:szCs w:val="16"/>
              </w:rPr>
              <w:t>9.</w:t>
            </w:r>
          </w:p>
        </w:tc>
        <w:tc>
          <w:tcPr>
            <w:tcW w:w="2087" w:type="dxa"/>
            <w:vAlign w:val="center"/>
            <w:hideMark/>
          </w:tcPr>
          <w:p w14:paraId="426F1216" w14:textId="77777777" w:rsidR="00340829" w:rsidRPr="004877FC" w:rsidRDefault="00340829" w:rsidP="004877FC">
            <w:pPr>
              <w:pStyle w:val="NoSpacing"/>
              <w:rPr>
                <w:sz w:val="16"/>
                <w:szCs w:val="16"/>
              </w:rPr>
            </w:pPr>
            <w:r w:rsidRPr="004877FC">
              <w:rPr>
                <w:sz w:val="16"/>
                <w:szCs w:val="16"/>
              </w:rPr>
              <w:t>Jammu and Kashmir</w:t>
            </w:r>
          </w:p>
        </w:tc>
        <w:tc>
          <w:tcPr>
            <w:tcW w:w="1984" w:type="dxa"/>
            <w:vAlign w:val="center"/>
            <w:hideMark/>
          </w:tcPr>
          <w:p w14:paraId="3A15AF88" w14:textId="77777777" w:rsidR="00340829" w:rsidRPr="004877FC" w:rsidRDefault="00340829" w:rsidP="004877FC">
            <w:pPr>
              <w:pStyle w:val="NoSpacing"/>
              <w:jc w:val="center"/>
              <w:rPr>
                <w:sz w:val="16"/>
                <w:szCs w:val="16"/>
              </w:rPr>
            </w:pPr>
            <w:r w:rsidRPr="004877FC">
              <w:rPr>
                <w:sz w:val="16"/>
                <w:szCs w:val="16"/>
              </w:rPr>
              <w:t>0.695</w:t>
            </w:r>
          </w:p>
        </w:tc>
      </w:tr>
      <w:tr w:rsidR="00340829" w:rsidRPr="004877FC" w14:paraId="75038775" w14:textId="77777777" w:rsidTr="004877FC">
        <w:trPr>
          <w:trHeight w:val="20"/>
          <w:jc w:val="center"/>
        </w:trPr>
        <w:tc>
          <w:tcPr>
            <w:tcW w:w="460" w:type="dxa"/>
            <w:vAlign w:val="center"/>
            <w:hideMark/>
          </w:tcPr>
          <w:p w14:paraId="137D348D" w14:textId="77777777" w:rsidR="00340829" w:rsidRPr="004877FC" w:rsidRDefault="00340829" w:rsidP="004877FC">
            <w:pPr>
              <w:pStyle w:val="NoSpacing"/>
              <w:rPr>
                <w:sz w:val="16"/>
                <w:szCs w:val="16"/>
              </w:rPr>
            </w:pPr>
            <w:r w:rsidRPr="004877FC">
              <w:rPr>
                <w:sz w:val="16"/>
                <w:szCs w:val="16"/>
              </w:rPr>
              <w:t>10.</w:t>
            </w:r>
          </w:p>
        </w:tc>
        <w:tc>
          <w:tcPr>
            <w:tcW w:w="2087" w:type="dxa"/>
            <w:vAlign w:val="center"/>
            <w:hideMark/>
          </w:tcPr>
          <w:p w14:paraId="4555D206" w14:textId="77777777" w:rsidR="00340829" w:rsidRPr="004877FC" w:rsidRDefault="00340829" w:rsidP="004877FC">
            <w:pPr>
              <w:pStyle w:val="NoSpacing"/>
              <w:rPr>
                <w:sz w:val="16"/>
                <w:szCs w:val="16"/>
              </w:rPr>
            </w:pPr>
            <w:r w:rsidRPr="004877FC">
              <w:rPr>
                <w:sz w:val="16"/>
                <w:szCs w:val="16"/>
              </w:rPr>
              <w:t>Karnataka</w:t>
            </w:r>
          </w:p>
        </w:tc>
        <w:tc>
          <w:tcPr>
            <w:tcW w:w="1984" w:type="dxa"/>
            <w:vAlign w:val="center"/>
            <w:hideMark/>
          </w:tcPr>
          <w:p w14:paraId="086710FE" w14:textId="77777777" w:rsidR="00340829" w:rsidRPr="004877FC" w:rsidRDefault="00340829" w:rsidP="004877FC">
            <w:pPr>
              <w:pStyle w:val="NoSpacing"/>
              <w:jc w:val="center"/>
              <w:rPr>
                <w:sz w:val="16"/>
                <w:szCs w:val="16"/>
              </w:rPr>
            </w:pPr>
            <w:r w:rsidRPr="004877FC">
              <w:rPr>
                <w:sz w:val="16"/>
                <w:szCs w:val="16"/>
              </w:rPr>
              <w:t>4.928</w:t>
            </w:r>
          </w:p>
        </w:tc>
      </w:tr>
      <w:tr w:rsidR="00340829" w:rsidRPr="004877FC" w14:paraId="0E3509B8" w14:textId="77777777" w:rsidTr="004877FC">
        <w:trPr>
          <w:trHeight w:val="20"/>
          <w:jc w:val="center"/>
        </w:trPr>
        <w:tc>
          <w:tcPr>
            <w:tcW w:w="460" w:type="dxa"/>
            <w:vAlign w:val="center"/>
            <w:hideMark/>
          </w:tcPr>
          <w:p w14:paraId="237093A2" w14:textId="77777777" w:rsidR="00340829" w:rsidRPr="004877FC" w:rsidRDefault="00340829" w:rsidP="004877FC">
            <w:pPr>
              <w:pStyle w:val="NoSpacing"/>
              <w:rPr>
                <w:sz w:val="16"/>
                <w:szCs w:val="16"/>
              </w:rPr>
            </w:pPr>
            <w:r w:rsidRPr="004877FC">
              <w:rPr>
                <w:sz w:val="16"/>
                <w:szCs w:val="16"/>
              </w:rPr>
              <w:t>11.</w:t>
            </w:r>
          </w:p>
        </w:tc>
        <w:tc>
          <w:tcPr>
            <w:tcW w:w="2087" w:type="dxa"/>
            <w:vAlign w:val="center"/>
            <w:hideMark/>
          </w:tcPr>
          <w:p w14:paraId="30DC78B5" w14:textId="77777777" w:rsidR="00340829" w:rsidRPr="004877FC" w:rsidRDefault="00340829" w:rsidP="004877FC">
            <w:pPr>
              <w:pStyle w:val="NoSpacing"/>
              <w:rPr>
                <w:sz w:val="16"/>
                <w:szCs w:val="16"/>
              </w:rPr>
            </w:pPr>
            <w:r w:rsidRPr="004877FC">
              <w:rPr>
                <w:sz w:val="16"/>
                <w:szCs w:val="16"/>
              </w:rPr>
              <w:t>Kerala</w:t>
            </w:r>
          </w:p>
        </w:tc>
        <w:tc>
          <w:tcPr>
            <w:tcW w:w="1984" w:type="dxa"/>
            <w:vAlign w:val="center"/>
            <w:hideMark/>
          </w:tcPr>
          <w:p w14:paraId="150F7CD7" w14:textId="77777777" w:rsidR="00340829" w:rsidRPr="004877FC" w:rsidRDefault="00340829" w:rsidP="004877FC">
            <w:pPr>
              <w:pStyle w:val="NoSpacing"/>
              <w:jc w:val="center"/>
              <w:rPr>
                <w:sz w:val="16"/>
                <w:szCs w:val="16"/>
              </w:rPr>
            </w:pPr>
            <w:r w:rsidRPr="004877FC">
              <w:rPr>
                <w:sz w:val="16"/>
                <w:szCs w:val="16"/>
              </w:rPr>
              <w:t>3.729</w:t>
            </w:r>
          </w:p>
        </w:tc>
      </w:tr>
      <w:tr w:rsidR="00340829" w:rsidRPr="004877FC" w14:paraId="025AF9CB" w14:textId="77777777" w:rsidTr="004877FC">
        <w:trPr>
          <w:trHeight w:val="20"/>
          <w:jc w:val="center"/>
        </w:trPr>
        <w:tc>
          <w:tcPr>
            <w:tcW w:w="460" w:type="dxa"/>
            <w:vAlign w:val="center"/>
            <w:hideMark/>
          </w:tcPr>
          <w:p w14:paraId="23C28182" w14:textId="77777777" w:rsidR="00340829" w:rsidRPr="004877FC" w:rsidRDefault="00340829" w:rsidP="004877FC">
            <w:pPr>
              <w:pStyle w:val="NoSpacing"/>
              <w:rPr>
                <w:sz w:val="16"/>
                <w:szCs w:val="16"/>
              </w:rPr>
            </w:pPr>
            <w:r w:rsidRPr="004877FC">
              <w:rPr>
                <w:sz w:val="16"/>
                <w:szCs w:val="16"/>
              </w:rPr>
              <w:t>12.</w:t>
            </w:r>
          </w:p>
        </w:tc>
        <w:tc>
          <w:tcPr>
            <w:tcW w:w="2087" w:type="dxa"/>
            <w:vAlign w:val="center"/>
            <w:hideMark/>
          </w:tcPr>
          <w:p w14:paraId="77EF0B66" w14:textId="77777777" w:rsidR="00340829" w:rsidRPr="004877FC" w:rsidRDefault="00340829" w:rsidP="004877FC">
            <w:pPr>
              <w:pStyle w:val="NoSpacing"/>
              <w:rPr>
                <w:sz w:val="16"/>
                <w:szCs w:val="16"/>
              </w:rPr>
            </w:pPr>
            <w:r w:rsidRPr="004877FC">
              <w:rPr>
                <w:sz w:val="16"/>
                <w:szCs w:val="16"/>
              </w:rPr>
              <w:t>Madhya Pradesh</w:t>
            </w:r>
          </w:p>
        </w:tc>
        <w:tc>
          <w:tcPr>
            <w:tcW w:w="1984" w:type="dxa"/>
            <w:vAlign w:val="center"/>
            <w:hideMark/>
          </w:tcPr>
          <w:p w14:paraId="28954A95" w14:textId="77777777" w:rsidR="00340829" w:rsidRPr="004877FC" w:rsidRDefault="00340829" w:rsidP="004877FC">
            <w:pPr>
              <w:pStyle w:val="NoSpacing"/>
              <w:jc w:val="center"/>
              <w:rPr>
                <w:sz w:val="16"/>
                <w:szCs w:val="16"/>
              </w:rPr>
            </w:pPr>
            <w:r w:rsidRPr="004877FC">
              <w:rPr>
                <w:sz w:val="16"/>
                <w:szCs w:val="16"/>
              </w:rPr>
              <w:t>8.185</w:t>
            </w:r>
          </w:p>
        </w:tc>
      </w:tr>
      <w:tr w:rsidR="00340829" w:rsidRPr="004877FC" w14:paraId="4492933E" w14:textId="77777777" w:rsidTr="004877FC">
        <w:trPr>
          <w:trHeight w:val="20"/>
          <w:jc w:val="center"/>
        </w:trPr>
        <w:tc>
          <w:tcPr>
            <w:tcW w:w="460" w:type="dxa"/>
            <w:vAlign w:val="center"/>
            <w:hideMark/>
          </w:tcPr>
          <w:p w14:paraId="772D950B" w14:textId="77777777" w:rsidR="00340829" w:rsidRPr="004877FC" w:rsidRDefault="00340829" w:rsidP="004877FC">
            <w:pPr>
              <w:pStyle w:val="NoSpacing"/>
              <w:rPr>
                <w:sz w:val="16"/>
                <w:szCs w:val="16"/>
              </w:rPr>
            </w:pPr>
            <w:r w:rsidRPr="004877FC">
              <w:rPr>
                <w:sz w:val="16"/>
                <w:szCs w:val="16"/>
              </w:rPr>
              <w:t>13.</w:t>
            </w:r>
          </w:p>
        </w:tc>
        <w:tc>
          <w:tcPr>
            <w:tcW w:w="2087" w:type="dxa"/>
            <w:vAlign w:val="center"/>
            <w:hideMark/>
          </w:tcPr>
          <w:p w14:paraId="2ABBBEF6" w14:textId="77777777" w:rsidR="00340829" w:rsidRPr="004877FC" w:rsidRDefault="00340829" w:rsidP="004877FC">
            <w:pPr>
              <w:pStyle w:val="NoSpacing"/>
              <w:rPr>
                <w:sz w:val="16"/>
                <w:szCs w:val="16"/>
              </w:rPr>
            </w:pPr>
            <w:r w:rsidRPr="004877FC">
              <w:rPr>
                <w:sz w:val="16"/>
                <w:szCs w:val="16"/>
              </w:rPr>
              <w:t>Maharashtra</w:t>
            </w:r>
          </w:p>
        </w:tc>
        <w:tc>
          <w:tcPr>
            <w:tcW w:w="1984" w:type="dxa"/>
            <w:vAlign w:val="center"/>
            <w:hideMark/>
          </w:tcPr>
          <w:p w14:paraId="7F99A66D" w14:textId="77777777" w:rsidR="00340829" w:rsidRPr="004877FC" w:rsidRDefault="00340829" w:rsidP="004877FC">
            <w:pPr>
              <w:pStyle w:val="NoSpacing"/>
              <w:jc w:val="center"/>
              <w:rPr>
                <w:sz w:val="16"/>
                <w:szCs w:val="16"/>
              </w:rPr>
            </w:pPr>
            <w:r w:rsidRPr="004877FC">
              <w:rPr>
                <w:sz w:val="16"/>
                <w:szCs w:val="16"/>
              </w:rPr>
              <w:t>8.191</w:t>
            </w:r>
          </w:p>
        </w:tc>
      </w:tr>
      <w:tr w:rsidR="00340829" w:rsidRPr="004877FC" w14:paraId="01D237FF" w14:textId="77777777" w:rsidTr="004877FC">
        <w:trPr>
          <w:trHeight w:val="20"/>
          <w:jc w:val="center"/>
        </w:trPr>
        <w:tc>
          <w:tcPr>
            <w:tcW w:w="460" w:type="dxa"/>
            <w:vAlign w:val="center"/>
            <w:hideMark/>
          </w:tcPr>
          <w:p w14:paraId="46277DE0" w14:textId="77777777" w:rsidR="00340829" w:rsidRPr="004877FC" w:rsidRDefault="00340829" w:rsidP="004877FC">
            <w:pPr>
              <w:pStyle w:val="NoSpacing"/>
              <w:rPr>
                <w:sz w:val="16"/>
                <w:szCs w:val="16"/>
              </w:rPr>
            </w:pPr>
            <w:r w:rsidRPr="004877FC">
              <w:rPr>
                <w:sz w:val="16"/>
                <w:szCs w:val="16"/>
              </w:rPr>
              <w:t>14.</w:t>
            </w:r>
          </w:p>
        </w:tc>
        <w:tc>
          <w:tcPr>
            <w:tcW w:w="2087" w:type="dxa"/>
            <w:vAlign w:val="center"/>
            <w:hideMark/>
          </w:tcPr>
          <w:p w14:paraId="7414D7BC" w14:textId="77777777" w:rsidR="00340829" w:rsidRPr="004877FC" w:rsidRDefault="00340829" w:rsidP="004877FC">
            <w:pPr>
              <w:pStyle w:val="NoSpacing"/>
              <w:rPr>
                <w:sz w:val="16"/>
                <w:szCs w:val="16"/>
              </w:rPr>
            </w:pPr>
            <w:r w:rsidRPr="004877FC">
              <w:rPr>
                <w:sz w:val="16"/>
                <w:szCs w:val="16"/>
              </w:rPr>
              <w:t>Manipur</w:t>
            </w:r>
          </w:p>
        </w:tc>
        <w:tc>
          <w:tcPr>
            <w:tcW w:w="1984" w:type="dxa"/>
            <w:vAlign w:val="center"/>
            <w:hideMark/>
          </w:tcPr>
          <w:p w14:paraId="5EA52D93" w14:textId="77777777" w:rsidR="00340829" w:rsidRPr="004877FC" w:rsidRDefault="00340829" w:rsidP="004877FC">
            <w:pPr>
              <w:pStyle w:val="NoSpacing"/>
              <w:jc w:val="center"/>
              <w:rPr>
                <w:sz w:val="16"/>
                <w:szCs w:val="16"/>
              </w:rPr>
            </w:pPr>
            <w:r w:rsidRPr="004877FC">
              <w:rPr>
                <w:sz w:val="16"/>
                <w:szCs w:val="16"/>
              </w:rPr>
              <w:t>0.171</w:t>
            </w:r>
          </w:p>
        </w:tc>
      </w:tr>
      <w:tr w:rsidR="00340829" w:rsidRPr="004877FC" w14:paraId="25BE088B" w14:textId="77777777" w:rsidTr="004877FC">
        <w:trPr>
          <w:trHeight w:val="20"/>
          <w:jc w:val="center"/>
        </w:trPr>
        <w:tc>
          <w:tcPr>
            <w:tcW w:w="460" w:type="dxa"/>
            <w:vAlign w:val="center"/>
            <w:hideMark/>
          </w:tcPr>
          <w:p w14:paraId="78BAF212" w14:textId="77777777" w:rsidR="00340829" w:rsidRPr="004877FC" w:rsidRDefault="00340829" w:rsidP="004877FC">
            <w:pPr>
              <w:pStyle w:val="NoSpacing"/>
              <w:rPr>
                <w:sz w:val="16"/>
                <w:szCs w:val="16"/>
              </w:rPr>
            </w:pPr>
            <w:r w:rsidRPr="004877FC">
              <w:rPr>
                <w:sz w:val="16"/>
                <w:szCs w:val="16"/>
              </w:rPr>
              <w:t>15.</w:t>
            </w:r>
          </w:p>
        </w:tc>
        <w:tc>
          <w:tcPr>
            <w:tcW w:w="2087" w:type="dxa"/>
            <w:vAlign w:val="center"/>
            <w:hideMark/>
          </w:tcPr>
          <w:p w14:paraId="36E5A4D6" w14:textId="77777777" w:rsidR="00340829" w:rsidRPr="004877FC" w:rsidRDefault="00340829" w:rsidP="004877FC">
            <w:pPr>
              <w:pStyle w:val="NoSpacing"/>
              <w:rPr>
                <w:sz w:val="16"/>
                <w:szCs w:val="16"/>
              </w:rPr>
            </w:pPr>
            <w:r w:rsidRPr="004877FC">
              <w:rPr>
                <w:sz w:val="16"/>
                <w:szCs w:val="16"/>
              </w:rPr>
              <w:t>Meghalaya</w:t>
            </w:r>
          </w:p>
        </w:tc>
        <w:tc>
          <w:tcPr>
            <w:tcW w:w="1984" w:type="dxa"/>
            <w:vAlign w:val="center"/>
            <w:hideMark/>
          </w:tcPr>
          <w:p w14:paraId="22F17FBC" w14:textId="77777777" w:rsidR="00340829" w:rsidRPr="004877FC" w:rsidRDefault="00340829" w:rsidP="004877FC">
            <w:pPr>
              <w:pStyle w:val="NoSpacing"/>
              <w:jc w:val="center"/>
              <w:rPr>
                <w:sz w:val="16"/>
                <w:szCs w:val="16"/>
              </w:rPr>
            </w:pPr>
            <w:r w:rsidRPr="004877FC">
              <w:rPr>
                <w:sz w:val="16"/>
                <w:szCs w:val="16"/>
              </w:rPr>
              <w:t>0.208</w:t>
            </w:r>
          </w:p>
        </w:tc>
      </w:tr>
      <w:tr w:rsidR="00340829" w:rsidRPr="004877FC" w14:paraId="2DB303C3" w14:textId="77777777" w:rsidTr="004877FC">
        <w:trPr>
          <w:trHeight w:val="20"/>
          <w:jc w:val="center"/>
        </w:trPr>
        <w:tc>
          <w:tcPr>
            <w:tcW w:w="460" w:type="dxa"/>
            <w:vAlign w:val="center"/>
            <w:hideMark/>
          </w:tcPr>
          <w:p w14:paraId="065A8DA6" w14:textId="77777777" w:rsidR="00340829" w:rsidRPr="004877FC" w:rsidRDefault="00340829" w:rsidP="004877FC">
            <w:pPr>
              <w:pStyle w:val="NoSpacing"/>
              <w:rPr>
                <w:sz w:val="16"/>
                <w:szCs w:val="16"/>
              </w:rPr>
            </w:pPr>
            <w:r w:rsidRPr="004877FC">
              <w:rPr>
                <w:sz w:val="16"/>
                <w:szCs w:val="16"/>
              </w:rPr>
              <w:t>16.</w:t>
            </w:r>
          </w:p>
        </w:tc>
        <w:tc>
          <w:tcPr>
            <w:tcW w:w="2087" w:type="dxa"/>
            <w:vAlign w:val="center"/>
            <w:hideMark/>
          </w:tcPr>
          <w:p w14:paraId="5AF8C1EA" w14:textId="77777777" w:rsidR="00340829" w:rsidRPr="004877FC" w:rsidRDefault="00340829" w:rsidP="004877FC">
            <w:pPr>
              <w:pStyle w:val="NoSpacing"/>
              <w:rPr>
                <w:sz w:val="16"/>
                <w:szCs w:val="16"/>
              </w:rPr>
            </w:pPr>
            <w:r w:rsidRPr="004877FC">
              <w:rPr>
                <w:sz w:val="16"/>
                <w:szCs w:val="16"/>
              </w:rPr>
              <w:t>Mizoram</w:t>
            </w:r>
          </w:p>
        </w:tc>
        <w:tc>
          <w:tcPr>
            <w:tcW w:w="1984" w:type="dxa"/>
            <w:vAlign w:val="center"/>
            <w:hideMark/>
          </w:tcPr>
          <w:p w14:paraId="14341915" w14:textId="77777777" w:rsidR="00340829" w:rsidRPr="004877FC" w:rsidRDefault="00340829" w:rsidP="004877FC">
            <w:pPr>
              <w:pStyle w:val="NoSpacing"/>
              <w:jc w:val="center"/>
              <w:rPr>
                <w:sz w:val="16"/>
                <w:szCs w:val="16"/>
              </w:rPr>
            </w:pPr>
            <w:r w:rsidRPr="004877FC">
              <w:rPr>
                <w:sz w:val="16"/>
                <w:szCs w:val="16"/>
              </w:rPr>
              <w:t>0.073</w:t>
            </w:r>
          </w:p>
        </w:tc>
      </w:tr>
      <w:tr w:rsidR="00340829" w:rsidRPr="004877FC" w14:paraId="41A8B175" w14:textId="77777777" w:rsidTr="004877FC">
        <w:trPr>
          <w:trHeight w:val="20"/>
          <w:jc w:val="center"/>
        </w:trPr>
        <w:tc>
          <w:tcPr>
            <w:tcW w:w="460" w:type="dxa"/>
            <w:vAlign w:val="center"/>
            <w:hideMark/>
          </w:tcPr>
          <w:p w14:paraId="47A40E1B" w14:textId="77777777" w:rsidR="00340829" w:rsidRPr="004877FC" w:rsidRDefault="00340829" w:rsidP="004877FC">
            <w:pPr>
              <w:pStyle w:val="NoSpacing"/>
              <w:rPr>
                <w:sz w:val="16"/>
                <w:szCs w:val="16"/>
              </w:rPr>
            </w:pPr>
            <w:r w:rsidRPr="004877FC">
              <w:rPr>
                <w:sz w:val="16"/>
                <w:szCs w:val="16"/>
              </w:rPr>
              <w:t>17.</w:t>
            </w:r>
          </w:p>
        </w:tc>
        <w:tc>
          <w:tcPr>
            <w:tcW w:w="2087" w:type="dxa"/>
            <w:vAlign w:val="center"/>
            <w:hideMark/>
          </w:tcPr>
          <w:p w14:paraId="7BBDF979" w14:textId="77777777" w:rsidR="00340829" w:rsidRPr="004877FC" w:rsidRDefault="00340829" w:rsidP="004877FC">
            <w:pPr>
              <w:pStyle w:val="NoSpacing"/>
              <w:rPr>
                <w:sz w:val="16"/>
                <w:szCs w:val="16"/>
              </w:rPr>
            </w:pPr>
            <w:r w:rsidRPr="004877FC">
              <w:rPr>
                <w:sz w:val="16"/>
                <w:szCs w:val="16"/>
              </w:rPr>
              <w:t>Nagaland</w:t>
            </w:r>
          </w:p>
        </w:tc>
        <w:tc>
          <w:tcPr>
            <w:tcW w:w="1984" w:type="dxa"/>
            <w:vAlign w:val="center"/>
            <w:hideMark/>
          </w:tcPr>
          <w:p w14:paraId="421884BA" w14:textId="77777777" w:rsidR="00340829" w:rsidRPr="004877FC" w:rsidRDefault="00340829" w:rsidP="004877FC">
            <w:pPr>
              <w:pStyle w:val="NoSpacing"/>
              <w:jc w:val="center"/>
              <w:rPr>
                <w:sz w:val="16"/>
                <w:szCs w:val="16"/>
              </w:rPr>
            </w:pPr>
            <w:r w:rsidRPr="004877FC">
              <w:rPr>
                <w:sz w:val="16"/>
                <w:szCs w:val="16"/>
              </w:rPr>
              <w:t>0.096</w:t>
            </w:r>
          </w:p>
        </w:tc>
      </w:tr>
      <w:tr w:rsidR="00340829" w:rsidRPr="004877FC" w14:paraId="385F6E38" w14:textId="77777777" w:rsidTr="004877FC">
        <w:trPr>
          <w:trHeight w:val="20"/>
          <w:jc w:val="center"/>
        </w:trPr>
        <w:tc>
          <w:tcPr>
            <w:tcW w:w="460" w:type="dxa"/>
            <w:vAlign w:val="center"/>
            <w:hideMark/>
          </w:tcPr>
          <w:p w14:paraId="7FAC9FD4" w14:textId="77777777" w:rsidR="00340829" w:rsidRPr="004877FC" w:rsidRDefault="00340829" w:rsidP="004877FC">
            <w:pPr>
              <w:pStyle w:val="NoSpacing"/>
              <w:rPr>
                <w:sz w:val="16"/>
                <w:szCs w:val="16"/>
              </w:rPr>
            </w:pPr>
            <w:r w:rsidRPr="004877FC">
              <w:rPr>
                <w:sz w:val="16"/>
                <w:szCs w:val="16"/>
              </w:rPr>
              <w:t>18.</w:t>
            </w:r>
          </w:p>
        </w:tc>
        <w:tc>
          <w:tcPr>
            <w:tcW w:w="2087" w:type="dxa"/>
            <w:vAlign w:val="center"/>
            <w:hideMark/>
          </w:tcPr>
          <w:p w14:paraId="1C7C8F6A" w14:textId="77777777" w:rsidR="00340829" w:rsidRPr="004877FC" w:rsidRDefault="00340829" w:rsidP="004877FC">
            <w:pPr>
              <w:pStyle w:val="NoSpacing"/>
              <w:rPr>
                <w:sz w:val="16"/>
                <w:szCs w:val="16"/>
              </w:rPr>
            </w:pPr>
            <w:r w:rsidRPr="004877FC">
              <w:rPr>
                <w:sz w:val="16"/>
                <w:szCs w:val="16"/>
              </w:rPr>
              <w:t>Orissa</w:t>
            </w:r>
          </w:p>
        </w:tc>
        <w:tc>
          <w:tcPr>
            <w:tcW w:w="1984" w:type="dxa"/>
            <w:vAlign w:val="center"/>
            <w:hideMark/>
          </w:tcPr>
          <w:p w14:paraId="719691AC" w14:textId="77777777" w:rsidR="00340829" w:rsidRPr="004877FC" w:rsidRDefault="00340829" w:rsidP="004877FC">
            <w:pPr>
              <w:pStyle w:val="NoSpacing"/>
              <w:jc w:val="center"/>
              <w:rPr>
                <w:sz w:val="16"/>
                <w:szCs w:val="16"/>
              </w:rPr>
            </w:pPr>
            <w:r w:rsidRPr="004877FC">
              <w:rPr>
                <w:sz w:val="16"/>
                <w:szCs w:val="16"/>
              </w:rPr>
              <w:t>4.326</w:t>
            </w:r>
          </w:p>
        </w:tc>
      </w:tr>
      <w:tr w:rsidR="00340829" w:rsidRPr="004877FC" w14:paraId="7E88C7DA" w14:textId="77777777" w:rsidTr="004877FC">
        <w:trPr>
          <w:trHeight w:val="20"/>
          <w:jc w:val="center"/>
        </w:trPr>
        <w:tc>
          <w:tcPr>
            <w:tcW w:w="460" w:type="dxa"/>
            <w:vAlign w:val="center"/>
            <w:hideMark/>
          </w:tcPr>
          <w:p w14:paraId="40142233" w14:textId="77777777" w:rsidR="00340829" w:rsidRPr="004877FC" w:rsidRDefault="00340829" w:rsidP="004877FC">
            <w:pPr>
              <w:pStyle w:val="NoSpacing"/>
              <w:rPr>
                <w:sz w:val="16"/>
                <w:szCs w:val="16"/>
              </w:rPr>
            </w:pPr>
            <w:r w:rsidRPr="004877FC">
              <w:rPr>
                <w:sz w:val="16"/>
                <w:szCs w:val="16"/>
              </w:rPr>
              <w:t>19.</w:t>
            </w:r>
          </w:p>
        </w:tc>
        <w:tc>
          <w:tcPr>
            <w:tcW w:w="2087" w:type="dxa"/>
            <w:vAlign w:val="center"/>
            <w:hideMark/>
          </w:tcPr>
          <w:p w14:paraId="5F70DFC8" w14:textId="77777777" w:rsidR="00340829" w:rsidRPr="004877FC" w:rsidRDefault="00340829" w:rsidP="004877FC">
            <w:pPr>
              <w:pStyle w:val="NoSpacing"/>
              <w:rPr>
                <w:sz w:val="16"/>
                <w:szCs w:val="16"/>
              </w:rPr>
            </w:pPr>
            <w:r w:rsidRPr="004877FC">
              <w:rPr>
                <w:sz w:val="16"/>
                <w:szCs w:val="16"/>
              </w:rPr>
              <w:t>Punjab</w:t>
            </w:r>
          </w:p>
        </w:tc>
        <w:tc>
          <w:tcPr>
            <w:tcW w:w="1984" w:type="dxa"/>
            <w:vAlign w:val="center"/>
            <w:hideMark/>
          </w:tcPr>
          <w:p w14:paraId="0845F305" w14:textId="77777777" w:rsidR="00340829" w:rsidRPr="004877FC" w:rsidRDefault="00340829" w:rsidP="004877FC">
            <w:pPr>
              <w:pStyle w:val="NoSpacing"/>
              <w:jc w:val="center"/>
              <w:rPr>
                <w:sz w:val="16"/>
                <w:szCs w:val="16"/>
              </w:rPr>
            </w:pPr>
            <w:r w:rsidRPr="004877FC">
              <w:rPr>
                <w:sz w:val="16"/>
                <w:szCs w:val="16"/>
              </w:rPr>
              <w:t>1.706</w:t>
            </w:r>
          </w:p>
        </w:tc>
      </w:tr>
      <w:tr w:rsidR="00340829" w:rsidRPr="004877FC" w14:paraId="05C7429C" w14:textId="77777777" w:rsidTr="004877FC">
        <w:trPr>
          <w:trHeight w:val="20"/>
          <w:jc w:val="center"/>
        </w:trPr>
        <w:tc>
          <w:tcPr>
            <w:tcW w:w="460" w:type="dxa"/>
            <w:vAlign w:val="center"/>
            <w:hideMark/>
          </w:tcPr>
          <w:p w14:paraId="6067E982" w14:textId="77777777" w:rsidR="00340829" w:rsidRPr="004877FC" w:rsidRDefault="00340829" w:rsidP="004877FC">
            <w:pPr>
              <w:pStyle w:val="NoSpacing"/>
              <w:rPr>
                <w:sz w:val="16"/>
                <w:szCs w:val="16"/>
              </w:rPr>
            </w:pPr>
            <w:r w:rsidRPr="004877FC">
              <w:rPr>
                <w:sz w:val="16"/>
                <w:szCs w:val="16"/>
              </w:rPr>
              <w:t>20.</w:t>
            </w:r>
          </w:p>
        </w:tc>
        <w:tc>
          <w:tcPr>
            <w:tcW w:w="2087" w:type="dxa"/>
            <w:vAlign w:val="center"/>
            <w:hideMark/>
          </w:tcPr>
          <w:p w14:paraId="0D760F0D" w14:textId="77777777" w:rsidR="00340829" w:rsidRPr="004877FC" w:rsidRDefault="00340829" w:rsidP="004877FC">
            <w:pPr>
              <w:pStyle w:val="NoSpacing"/>
              <w:rPr>
                <w:sz w:val="16"/>
                <w:szCs w:val="16"/>
              </w:rPr>
            </w:pPr>
            <w:r w:rsidRPr="004877FC">
              <w:rPr>
                <w:sz w:val="16"/>
                <w:szCs w:val="16"/>
              </w:rPr>
              <w:t>Rajasthan</w:t>
            </w:r>
          </w:p>
        </w:tc>
        <w:tc>
          <w:tcPr>
            <w:tcW w:w="1984" w:type="dxa"/>
            <w:vAlign w:val="center"/>
            <w:hideMark/>
          </w:tcPr>
          <w:p w14:paraId="052C0BA4" w14:textId="77777777" w:rsidR="00340829" w:rsidRPr="004877FC" w:rsidRDefault="00340829" w:rsidP="004877FC">
            <w:pPr>
              <w:pStyle w:val="NoSpacing"/>
              <w:jc w:val="center"/>
              <w:rPr>
                <w:sz w:val="16"/>
                <w:szCs w:val="16"/>
              </w:rPr>
            </w:pPr>
            <w:r w:rsidRPr="004877FC">
              <w:rPr>
                <w:sz w:val="16"/>
                <w:szCs w:val="16"/>
              </w:rPr>
              <w:t>4.836</w:t>
            </w:r>
          </w:p>
        </w:tc>
      </w:tr>
      <w:tr w:rsidR="00340829" w:rsidRPr="004877FC" w14:paraId="6D0D6F27" w14:textId="77777777" w:rsidTr="004877FC">
        <w:trPr>
          <w:trHeight w:val="20"/>
          <w:jc w:val="center"/>
        </w:trPr>
        <w:tc>
          <w:tcPr>
            <w:tcW w:w="460" w:type="dxa"/>
            <w:vAlign w:val="center"/>
            <w:hideMark/>
          </w:tcPr>
          <w:p w14:paraId="48531EB5" w14:textId="77777777" w:rsidR="00340829" w:rsidRPr="004877FC" w:rsidRDefault="00340829" w:rsidP="004877FC">
            <w:pPr>
              <w:pStyle w:val="NoSpacing"/>
              <w:rPr>
                <w:sz w:val="16"/>
                <w:szCs w:val="16"/>
              </w:rPr>
            </w:pPr>
            <w:r w:rsidRPr="004877FC">
              <w:rPr>
                <w:sz w:val="16"/>
                <w:szCs w:val="16"/>
              </w:rPr>
              <w:t>21.</w:t>
            </w:r>
          </w:p>
        </w:tc>
        <w:tc>
          <w:tcPr>
            <w:tcW w:w="2087" w:type="dxa"/>
            <w:vAlign w:val="center"/>
            <w:hideMark/>
          </w:tcPr>
          <w:p w14:paraId="37CDDCE5" w14:textId="77777777" w:rsidR="00340829" w:rsidRPr="004877FC" w:rsidRDefault="00340829" w:rsidP="004877FC">
            <w:pPr>
              <w:pStyle w:val="NoSpacing"/>
              <w:rPr>
                <w:sz w:val="16"/>
                <w:szCs w:val="16"/>
              </w:rPr>
            </w:pPr>
            <w:r w:rsidRPr="004877FC">
              <w:rPr>
                <w:sz w:val="16"/>
                <w:szCs w:val="16"/>
              </w:rPr>
              <w:t>Sikkim</w:t>
            </w:r>
          </w:p>
        </w:tc>
        <w:tc>
          <w:tcPr>
            <w:tcW w:w="1984" w:type="dxa"/>
            <w:vAlign w:val="center"/>
            <w:hideMark/>
          </w:tcPr>
          <w:p w14:paraId="6FA0208B" w14:textId="77777777" w:rsidR="00340829" w:rsidRPr="004877FC" w:rsidRDefault="00340829" w:rsidP="004877FC">
            <w:pPr>
              <w:pStyle w:val="NoSpacing"/>
              <w:jc w:val="center"/>
              <w:rPr>
                <w:sz w:val="16"/>
                <w:szCs w:val="16"/>
              </w:rPr>
            </w:pPr>
            <w:r w:rsidRPr="004877FC">
              <w:rPr>
                <w:sz w:val="16"/>
                <w:szCs w:val="16"/>
              </w:rPr>
              <w:t>0.030</w:t>
            </w:r>
          </w:p>
        </w:tc>
      </w:tr>
      <w:tr w:rsidR="00340829" w:rsidRPr="004877FC" w14:paraId="5139129F" w14:textId="77777777" w:rsidTr="004877FC">
        <w:trPr>
          <w:trHeight w:val="20"/>
          <w:jc w:val="center"/>
        </w:trPr>
        <w:tc>
          <w:tcPr>
            <w:tcW w:w="460" w:type="dxa"/>
            <w:vAlign w:val="center"/>
            <w:hideMark/>
          </w:tcPr>
          <w:p w14:paraId="376E1258" w14:textId="77777777" w:rsidR="00340829" w:rsidRPr="004877FC" w:rsidRDefault="00340829" w:rsidP="004877FC">
            <w:pPr>
              <w:pStyle w:val="NoSpacing"/>
              <w:rPr>
                <w:sz w:val="16"/>
                <w:szCs w:val="16"/>
              </w:rPr>
            </w:pPr>
            <w:r w:rsidRPr="004877FC">
              <w:rPr>
                <w:sz w:val="16"/>
                <w:szCs w:val="16"/>
              </w:rPr>
              <w:t>22.</w:t>
            </w:r>
          </w:p>
        </w:tc>
        <w:tc>
          <w:tcPr>
            <w:tcW w:w="2087" w:type="dxa"/>
            <w:vAlign w:val="center"/>
            <w:hideMark/>
          </w:tcPr>
          <w:p w14:paraId="14C29875" w14:textId="77777777" w:rsidR="00340829" w:rsidRPr="004877FC" w:rsidRDefault="00340829" w:rsidP="004877FC">
            <w:pPr>
              <w:pStyle w:val="NoSpacing"/>
              <w:rPr>
                <w:sz w:val="16"/>
                <w:szCs w:val="16"/>
              </w:rPr>
            </w:pPr>
            <w:r w:rsidRPr="004877FC">
              <w:rPr>
                <w:sz w:val="16"/>
                <w:szCs w:val="16"/>
              </w:rPr>
              <w:t>Tamil Nadu</w:t>
            </w:r>
          </w:p>
        </w:tc>
        <w:tc>
          <w:tcPr>
            <w:tcW w:w="1984" w:type="dxa"/>
            <w:vAlign w:val="center"/>
            <w:hideMark/>
          </w:tcPr>
          <w:p w14:paraId="085F75DB" w14:textId="77777777" w:rsidR="00340829" w:rsidRPr="004877FC" w:rsidRDefault="00340829" w:rsidP="004877FC">
            <w:pPr>
              <w:pStyle w:val="NoSpacing"/>
              <w:jc w:val="center"/>
              <w:rPr>
                <w:sz w:val="16"/>
                <w:szCs w:val="16"/>
              </w:rPr>
            </w:pPr>
            <w:r w:rsidRPr="004877FC">
              <w:rPr>
                <w:sz w:val="16"/>
                <w:szCs w:val="16"/>
              </w:rPr>
              <w:t>7.931</w:t>
            </w:r>
          </w:p>
        </w:tc>
      </w:tr>
      <w:tr w:rsidR="00340829" w:rsidRPr="004877FC" w14:paraId="587D3109" w14:textId="77777777" w:rsidTr="004877FC">
        <w:trPr>
          <w:trHeight w:val="20"/>
          <w:jc w:val="center"/>
        </w:trPr>
        <w:tc>
          <w:tcPr>
            <w:tcW w:w="460" w:type="dxa"/>
            <w:vAlign w:val="center"/>
            <w:hideMark/>
          </w:tcPr>
          <w:p w14:paraId="158C4338" w14:textId="77777777" w:rsidR="00340829" w:rsidRPr="004877FC" w:rsidRDefault="00340829" w:rsidP="004877FC">
            <w:pPr>
              <w:pStyle w:val="NoSpacing"/>
              <w:rPr>
                <w:sz w:val="16"/>
                <w:szCs w:val="16"/>
              </w:rPr>
            </w:pPr>
            <w:r w:rsidRPr="004877FC">
              <w:rPr>
                <w:sz w:val="16"/>
                <w:szCs w:val="16"/>
              </w:rPr>
              <w:t>23.</w:t>
            </w:r>
          </w:p>
        </w:tc>
        <w:tc>
          <w:tcPr>
            <w:tcW w:w="2087" w:type="dxa"/>
            <w:vAlign w:val="center"/>
            <w:hideMark/>
          </w:tcPr>
          <w:p w14:paraId="40FB6C92" w14:textId="77777777" w:rsidR="00340829" w:rsidRPr="004877FC" w:rsidRDefault="00340829" w:rsidP="004877FC">
            <w:pPr>
              <w:pStyle w:val="NoSpacing"/>
              <w:rPr>
                <w:sz w:val="16"/>
                <w:szCs w:val="16"/>
              </w:rPr>
            </w:pPr>
            <w:r w:rsidRPr="004877FC">
              <w:rPr>
                <w:sz w:val="16"/>
                <w:szCs w:val="16"/>
              </w:rPr>
              <w:t>Tripura</w:t>
            </w:r>
          </w:p>
        </w:tc>
        <w:tc>
          <w:tcPr>
            <w:tcW w:w="1984" w:type="dxa"/>
            <w:vAlign w:val="center"/>
            <w:hideMark/>
          </w:tcPr>
          <w:p w14:paraId="088103D8" w14:textId="77777777" w:rsidR="00340829" w:rsidRPr="004877FC" w:rsidRDefault="00340829" w:rsidP="004877FC">
            <w:pPr>
              <w:pStyle w:val="NoSpacing"/>
              <w:jc w:val="center"/>
              <w:rPr>
                <w:sz w:val="16"/>
                <w:szCs w:val="16"/>
              </w:rPr>
            </w:pPr>
            <w:r w:rsidRPr="004877FC">
              <w:rPr>
                <w:sz w:val="16"/>
                <w:szCs w:val="16"/>
              </w:rPr>
              <w:t>0.303</w:t>
            </w:r>
          </w:p>
        </w:tc>
      </w:tr>
      <w:tr w:rsidR="00340829" w:rsidRPr="004877FC" w14:paraId="4D16F61F" w14:textId="77777777" w:rsidTr="004877FC">
        <w:trPr>
          <w:trHeight w:val="20"/>
          <w:jc w:val="center"/>
        </w:trPr>
        <w:tc>
          <w:tcPr>
            <w:tcW w:w="460" w:type="dxa"/>
            <w:vAlign w:val="center"/>
            <w:hideMark/>
          </w:tcPr>
          <w:p w14:paraId="55CF0F9E" w14:textId="77777777" w:rsidR="00340829" w:rsidRPr="004877FC" w:rsidRDefault="00340829" w:rsidP="004877FC">
            <w:pPr>
              <w:pStyle w:val="NoSpacing"/>
              <w:rPr>
                <w:sz w:val="16"/>
                <w:szCs w:val="16"/>
              </w:rPr>
            </w:pPr>
            <w:r w:rsidRPr="004877FC">
              <w:rPr>
                <w:sz w:val="16"/>
                <w:szCs w:val="16"/>
              </w:rPr>
              <w:t>24.</w:t>
            </w:r>
          </w:p>
        </w:tc>
        <w:tc>
          <w:tcPr>
            <w:tcW w:w="2087" w:type="dxa"/>
            <w:vAlign w:val="center"/>
            <w:hideMark/>
          </w:tcPr>
          <w:p w14:paraId="03970914" w14:textId="77777777" w:rsidR="00340829" w:rsidRPr="004877FC" w:rsidRDefault="00340829" w:rsidP="004877FC">
            <w:pPr>
              <w:pStyle w:val="NoSpacing"/>
              <w:rPr>
                <w:sz w:val="16"/>
                <w:szCs w:val="16"/>
              </w:rPr>
            </w:pPr>
            <w:r w:rsidRPr="004877FC">
              <w:rPr>
                <w:sz w:val="16"/>
                <w:szCs w:val="16"/>
              </w:rPr>
              <w:t>Uttar Pradesh</w:t>
            </w:r>
          </w:p>
        </w:tc>
        <w:tc>
          <w:tcPr>
            <w:tcW w:w="1984" w:type="dxa"/>
            <w:vAlign w:val="center"/>
            <w:hideMark/>
          </w:tcPr>
          <w:p w14:paraId="5443EE39" w14:textId="77777777" w:rsidR="00340829" w:rsidRPr="004877FC" w:rsidRDefault="00340829" w:rsidP="004877FC">
            <w:pPr>
              <w:pStyle w:val="NoSpacing"/>
              <w:jc w:val="center"/>
              <w:rPr>
                <w:sz w:val="16"/>
                <w:szCs w:val="16"/>
              </w:rPr>
            </w:pPr>
            <w:r w:rsidRPr="004877FC">
              <w:rPr>
                <w:sz w:val="16"/>
                <w:szCs w:val="16"/>
              </w:rPr>
              <w:t>16.787</w:t>
            </w:r>
          </w:p>
        </w:tc>
      </w:tr>
      <w:tr w:rsidR="00340829" w:rsidRPr="004877FC" w14:paraId="00A0A6CA" w14:textId="77777777" w:rsidTr="004877FC">
        <w:trPr>
          <w:trHeight w:val="20"/>
          <w:jc w:val="center"/>
        </w:trPr>
        <w:tc>
          <w:tcPr>
            <w:tcW w:w="460" w:type="dxa"/>
            <w:vAlign w:val="center"/>
            <w:hideMark/>
          </w:tcPr>
          <w:p w14:paraId="04ECCEF1" w14:textId="77777777" w:rsidR="00340829" w:rsidRPr="004877FC" w:rsidRDefault="00340829" w:rsidP="004877FC">
            <w:pPr>
              <w:pStyle w:val="NoSpacing"/>
              <w:rPr>
                <w:sz w:val="16"/>
                <w:szCs w:val="16"/>
              </w:rPr>
            </w:pPr>
            <w:r w:rsidRPr="004877FC">
              <w:rPr>
                <w:sz w:val="16"/>
                <w:szCs w:val="16"/>
              </w:rPr>
              <w:t>25.</w:t>
            </w:r>
          </w:p>
        </w:tc>
        <w:tc>
          <w:tcPr>
            <w:tcW w:w="2087" w:type="dxa"/>
            <w:vAlign w:val="center"/>
            <w:hideMark/>
          </w:tcPr>
          <w:p w14:paraId="0BCBB890" w14:textId="77777777" w:rsidR="00340829" w:rsidRPr="004877FC" w:rsidRDefault="00340829" w:rsidP="004877FC">
            <w:pPr>
              <w:pStyle w:val="NoSpacing"/>
              <w:rPr>
                <w:sz w:val="16"/>
                <w:szCs w:val="16"/>
              </w:rPr>
            </w:pPr>
            <w:r w:rsidRPr="004877FC">
              <w:rPr>
                <w:sz w:val="16"/>
                <w:szCs w:val="16"/>
              </w:rPr>
              <w:t>West Bengal</w:t>
            </w:r>
          </w:p>
        </w:tc>
        <w:tc>
          <w:tcPr>
            <w:tcW w:w="1984" w:type="dxa"/>
            <w:vAlign w:val="center"/>
            <w:hideMark/>
          </w:tcPr>
          <w:p w14:paraId="21742AF4" w14:textId="77777777" w:rsidR="00340829" w:rsidRPr="004877FC" w:rsidRDefault="00340829" w:rsidP="004877FC">
            <w:pPr>
              <w:pStyle w:val="NoSpacing"/>
              <w:jc w:val="center"/>
              <w:rPr>
                <w:sz w:val="16"/>
                <w:szCs w:val="16"/>
              </w:rPr>
            </w:pPr>
            <w:r w:rsidRPr="004877FC">
              <w:rPr>
                <w:sz w:val="16"/>
                <w:szCs w:val="16"/>
              </w:rPr>
              <w:t>7.976</w:t>
            </w:r>
          </w:p>
        </w:tc>
      </w:tr>
      <w:tr w:rsidR="00340829" w:rsidRPr="004877FC" w14:paraId="27BFE82F" w14:textId="77777777" w:rsidTr="004877FC">
        <w:trPr>
          <w:trHeight w:val="20"/>
          <w:jc w:val="center"/>
        </w:trPr>
        <w:tc>
          <w:tcPr>
            <w:tcW w:w="460" w:type="dxa"/>
            <w:vAlign w:val="center"/>
            <w:hideMark/>
          </w:tcPr>
          <w:p w14:paraId="2E2B4630" w14:textId="77777777" w:rsidR="00340829" w:rsidRPr="004877FC" w:rsidRDefault="00340829" w:rsidP="004877FC">
            <w:pPr>
              <w:pStyle w:val="NoSpacing"/>
              <w:rPr>
                <w:sz w:val="16"/>
                <w:szCs w:val="16"/>
              </w:rPr>
            </w:pPr>
          </w:p>
        </w:tc>
        <w:tc>
          <w:tcPr>
            <w:tcW w:w="2087" w:type="dxa"/>
            <w:vAlign w:val="center"/>
            <w:hideMark/>
          </w:tcPr>
          <w:p w14:paraId="4D3058C2" w14:textId="77777777" w:rsidR="00340829" w:rsidRPr="004877FC" w:rsidRDefault="00340829" w:rsidP="004877FC">
            <w:pPr>
              <w:pStyle w:val="NoSpacing"/>
              <w:rPr>
                <w:sz w:val="16"/>
                <w:szCs w:val="16"/>
              </w:rPr>
            </w:pPr>
            <w:r w:rsidRPr="004877FC">
              <w:rPr>
                <w:b/>
                <w:bCs/>
                <w:sz w:val="16"/>
                <w:szCs w:val="16"/>
              </w:rPr>
              <w:t>Total</w:t>
            </w:r>
          </w:p>
        </w:tc>
        <w:tc>
          <w:tcPr>
            <w:tcW w:w="1984" w:type="dxa"/>
            <w:vAlign w:val="center"/>
            <w:hideMark/>
          </w:tcPr>
          <w:p w14:paraId="52C9EE18" w14:textId="6807B4C1" w:rsidR="00340829" w:rsidRPr="004877FC" w:rsidRDefault="00340829" w:rsidP="004877FC">
            <w:pPr>
              <w:pStyle w:val="NoSpacing"/>
              <w:jc w:val="center"/>
              <w:rPr>
                <w:sz w:val="16"/>
                <w:szCs w:val="16"/>
              </w:rPr>
            </w:pPr>
            <w:r w:rsidRPr="004877FC">
              <w:rPr>
                <w:b/>
                <w:bCs/>
                <w:sz w:val="16"/>
                <w:szCs w:val="16"/>
              </w:rPr>
              <w:t xml:space="preserve">100.000 </w:t>
            </w:r>
          </w:p>
        </w:tc>
      </w:tr>
    </w:tbl>
    <w:p w14:paraId="5A5ABB78" w14:textId="65D6DA63" w:rsidR="005242D4" w:rsidRPr="005242D4" w:rsidRDefault="005242D4" w:rsidP="005242D4">
      <w:pPr>
        <w:pStyle w:val="NoSpacing"/>
        <w:ind w:left="3600"/>
        <w:jc w:val="center"/>
        <w:rPr>
          <w:rFonts w:ascii="Times New Roman" w:hAnsi="Times New Roman" w:cs="Times New Roman"/>
          <w:sz w:val="20"/>
          <w:szCs w:val="20"/>
        </w:rPr>
      </w:pPr>
      <w:r w:rsidRPr="005242D4">
        <w:rPr>
          <w:sz w:val="16"/>
          <w:szCs w:val="16"/>
        </w:rPr>
        <w:t>(</w:t>
      </w:r>
      <w:proofErr w:type="gramStart"/>
      <w:r w:rsidRPr="005242D4">
        <w:rPr>
          <w:sz w:val="16"/>
          <w:szCs w:val="16"/>
        </w:rPr>
        <w:t>para</w:t>
      </w:r>
      <w:proofErr w:type="gramEnd"/>
      <w:r w:rsidRPr="005242D4">
        <w:rPr>
          <w:sz w:val="16"/>
          <w:szCs w:val="16"/>
        </w:rPr>
        <w:t>. 5.13)</w:t>
      </w:r>
    </w:p>
    <w:p w14:paraId="083B2845" w14:textId="0AAE435B" w:rsidR="00340829" w:rsidRPr="00806D4E" w:rsidRDefault="00340829" w:rsidP="004877FC">
      <w:pPr>
        <w:pStyle w:val="NoSpacing"/>
        <w:jc w:val="center"/>
        <w:rPr>
          <w:rFonts w:ascii="Times New Roman" w:hAnsi="Times New Roman" w:cs="Times New Roman"/>
          <w:b/>
          <w:bCs/>
          <w:sz w:val="20"/>
          <w:szCs w:val="20"/>
        </w:rPr>
      </w:pPr>
      <w:r w:rsidRPr="00806D4E">
        <w:rPr>
          <w:rFonts w:ascii="Times New Roman" w:hAnsi="Times New Roman" w:cs="Times New Roman"/>
          <w:b/>
          <w:bCs/>
          <w:sz w:val="20"/>
          <w:szCs w:val="20"/>
        </w:rPr>
        <w:t>II. ADDITIONAL DUTIES OF EXCISE IN LIEU OF SALES TAX</w:t>
      </w:r>
    </w:p>
    <w:p w14:paraId="6084A6B2" w14:textId="4E5E001F" w:rsidR="00340829" w:rsidRPr="004877FC" w:rsidRDefault="00340829" w:rsidP="00445823">
      <w:pPr>
        <w:pStyle w:val="Heading3"/>
        <w:spacing w:line="160" w:lineRule="exact"/>
        <w:rPr>
          <w:sz w:val="19"/>
          <w:szCs w:val="19"/>
        </w:rPr>
      </w:pPr>
      <w:r w:rsidRPr="004877FC">
        <w:rPr>
          <w:sz w:val="19"/>
          <w:szCs w:val="19"/>
        </w:rPr>
        <w:t>The net proceeds of Additional Excise Duties on Textiles, sugar and tobacco should be distributed on the following basis:</w:t>
      </w:r>
    </w:p>
    <w:p w14:paraId="5BFBED61" w14:textId="48D0F6F5" w:rsidR="00340829" w:rsidRPr="004877FC" w:rsidRDefault="00340829">
      <w:pPr>
        <w:pStyle w:val="ListParagraph"/>
        <w:numPr>
          <w:ilvl w:val="0"/>
          <w:numId w:val="37"/>
        </w:numPr>
        <w:spacing w:after="0" w:line="160" w:lineRule="exact"/>
        <w:jc w:val="both"/>
        <w:rPr>
          <w:rFonts w:ascii="Times New Roman" w:hAnsi="Times New Roman" w:cs="Times New Roman"/>
          <w:sz w:val="19"/>
          <w:szCs w:val="19"/>
        </w:rPr>
      </w:pPr>
      <w:r w:rsidRPr="004877FC">
        <w:rPr>
          <w:rFonts w:ascii="Times New Roman" w:hAnsi="Times New Roman" w:cs="Times New Roman"/>
          <w:sz w:val="19"/>
          <w:szCs w:val="19"/>
        </w:rPr>
        <w:t>A sum equal to 1.903 per cent of such net proceeds be retained by the Central Government as attributable to the Union Territories (para. 5.20).</w:t>
      </w:r>
    </w:p>
    <w:p w14:paraId="6ACE7F99" w14:textId="4826629A" w:rsidR="00340829" w:rsidRPr="004877FC" w:rsidRDefault="00340829">
      <w:pPr>
        <w:pStyle w:val="ListParagraph"/>
        <w:numPr>
          <w:ilvl w:val="0"/>
          <w:numId w:val="37"/>
        </w:numPr>
        <w:spacing w:after="0" w:line="160" w:lineRule="exact"/>
        <w:jc w:val="both"/>
        <w:rPr>
          <w:rFonts w:ascii="Times New Roman" w:hAnsi="Times New Roman" w:cs="Times New Roman"/>
          <w:sz w:val="19"/>
          <w:szCs w:val="19"/>
        </w:rPr>
      </w:pPr>
      <w:r w:rsidRPr="004877FC">
        <w:rPr>
          <w:rFonts w:ascii="Times New Roman" w:hAnsi="Times New Roman" w:cs="Times New Roman"/>
          <w:sz w:val="19"/>
          <w:szCs w:val="19"/>
        </w:rPr>
        <w:t>The balance should be distributed amongst the States in accordance with the percentages given below:</w:t>
      </w:r>
    </w:p>
    <w:tbl>
      <w:tblPr>
        <w:tblStyle w:val="TableGrid"/>
        <w:tblW w:w="4248" w:type="dxa"/>
        <w:jc w:val="center"/>
        <w:tblLook w:val="04A0" w:firstRow="1" w:lastRow="0" w:firstColumn="1" w:lastColumn="0" w:noHBand="0" w:noVBand="1"/>
      </w:tblPr>
      <w:tblGrid>
        <w:gridCol w:w="562"/>
        <w:gridCol w:w="1985"/>
        <w:gridCol w:w="1701"/>
      </w:tblGrid>
      <w:tr w:rsidR="00340829" w:rsidRPr="00674843" w14:paraId="79219B42" w14:textId="77777777" w:rsidTr="004877FC">
        <w:trPr>
          <w:trHeight w:val="20"/>
          <w:jc w:val="center"/>
        </w:trPr>
        <w:tc>
          <w:tcPr>
            <w:tcW w:w="562" w:type="dxa"/>
            <w:vAlign w:val="center"/>
            <w:hideMark/>
          </w:tcPr>
          <w:p w14:paraId="0F01F6DD" w14:textId="77777777" w:rsidR="00340829" w:rsidRPr="00674843" w:rsidRDefault="00340829" w:rsidP="00445823">
            <w:pPr>
              <w:pStyle w:val="NoSpacing"/>
              <w:spacing w:line="160" w:lineRule="exact"/>
              <w:jc w:val="center"/>
              <w:rPr>
                <w:rFonts w:ascii="Times New Roman" w:hAnsi="Times New Roman" w:cs="Times New Roman"/>
                <w:sz w:val="16"/>
                <w:szCs w:val="14"/>
              </w:rPr>
            </w:pPr>
          </w:p>
        </w:tc>
        <w:tc>
          <w:tcPr>
            <w:tcW w:w="1985" w:type="dxa"/>
            <w:vAlign w:val="center"/>
            <w:hideMark/>
          </w:tcPr>
          <w:p w14:paraId="59682D83" w14:textId="77777777" w:rsidR="00340829" w:rsidRPr="00674843" w:rsidRDefault="00340829" w:rsidP="00445823">
            <w:pPr>
              <w:pStyle w:val="NoSpacing"/>
              <w:spacing w:line="160" w:lineRule="exact"/>
              <w:rPr>
                <w:rFonts w:ascii="Times New Roman" w:hAnsi="Times New Roman" w:cs="Times New Roman"/>
                <w:b/>
                <w:bCs/>
                <w:sz w:val="16"/>
                <w:szCs w:val="14"/>
              </w:rPr>
            </w:pPr>
            <w:r w:rsidRPr="00674843">
              <w:rPr>
                <w:rFonts w:ascii="Times New Roman" w:hAnsi="Times New Roman" w:cs="Times New Roman"/>
                <w:b/>
                <w:bCs/>
                <w:sz w:val="16"/>
                <w:szCs w:val="14"/>
              </w:rPr>
              <w:t>States</w:t>
            </w:r>
          </w:p>
        </w:tc>
        <w:tc>
          <w:tcPr>
            <w:tcW w:w="1701" w:type="dxa"/>
            <w:vAlign w:val="center"/>
            <w:hideMark/>
          </w:tcPr>
          <w:p w14:paraId="0CA6E165" w14:textId="77777777" w:rsidR="00340829" w:rsidRPr="00674843" w:rsidRDefault="00340829" w:rsidP="00445823">
            <w:pPr>
              <w:pStyle w:val="NoSpacing"/>
              <w:spacing w:line="160" w:lineRule="exact"/>
              <w:jc w:val="center"/>
              <w:rPr>
                <w:rFonts w:ascii="Times New Roman" w:hAnsi="Times New Roman" w:cs="Times New Roman"/>
                <w:b/>
                <w:bCs/>
                <w:sz w:val="16"/>
                <w:szCs w:val="14"/>
              </w:rPr>
            </w:pPr>
            <w:r w:rsidRPr="00674843">
              <w:rPr>
                <w:rFonts w:ascii="Times New Roman" w:hAnsi="Times New Roman" w:cs="Times New Roman"/>
                <w:b/>
                <w:bCs/>
                <w:sz w:val="16"/>
                <w:szCs w:val="14"/>
              </w:rPr>
              <w:t>Percentage Share</w:t>
            </w:r>
          </w:p>
        </w:tc>
      </w:tr>
      <w:tr w:rsidR="00340829" w:rsidRPr="00674843" w14:paraId="323B7170" w14:textId="77777777" w:rsidTr="004877FC">
        <w:trPr>
          <w:trHeight w:val="20"/>
          <w:jc w:val="center"/>
        </w:trPr>
        <w:tc>
          <w:tcPr>
            <w:tcW w:w="562" w:type="dxa"/>
            <w:vAlign w:val="center"/>
            <w:hideMark/>
          </w:tcPr>
          <w:p w14:paraId="194E1C54"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w:t>
            </w:r>
          </w:p>
        </w:tc>
        <w:tc>
          <w:tcPr>
            <w:tcW w:w="1985" w:type="dxa"/>
            <w:vAlign w:val="center"/>
            <w:hideMark/>
          </w:tcPr>
          <w:p w14:paraId="64A184FA"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Andhra Pradesh</w:t>
            </w:r>
          </w:p>
        </w:tc>
        <w:tc>
          <w:tcPr>
            <w:tcW w:w="1701" w:type="dxa"/>
            <w:vAlign w:val="center"/>
            <w:hideMark/>
          </w:tcPr>
          <w:p w14:paraId="23774915"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7.680</w:t>
            </w:r>
          </w:p>
        </w:tc>
      </w:tr>
      <w:tr w:rsidR="00340829" w:rsidRPr="00674843" w14:paraId="0CA20D18" w14:textId="77777777" w:rsidTr="004877FC">
        <w:trPr>
          <w:trHeight w:val="20"/>
          <w:jc w:val="center"/>
        </w:trPr>
        <w:tc>
          <w:tcPr>
            <w:tcW w:w="562" w:type="dxa"/>
            <w:vAlign w:val="center"/>
            <w:hideMark/>
          </w:tcPr>
          <w:p w14:paraId="2D7BA21E"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w:t>
            </w:r>
          </w:p>
        </w:tc>
        <w:tc>
          <w:tcPr>
            <w:tcW w:w="1985" w:type="dxa"/>
            <w:vAlign w:val="center"/>
            <w:hideMark/>
          </w:tcPr>
          <w:p w14:paraId="7B0716DC"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Arunachal Pradesh</w:t>
            </w:r>
          </w:p>
        </w:tc>
        <w:tc>
          <w:tcPr>
            <w:tcW w:w="1701" w:type="dxa"/>
            <w:vAlign w:val="center"/>
            <w:hideMark/>
          </w:tcPr>
          <w:p w14:paraId="5A04FE71"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0.107</w:t>
            </w:r>
          </w:p>
        </w:tc>
      </w:tr>
      <w:tr w:rsidR="00340829" w:rsidRPr="00674843" w14:paraId="340C01FC" w14:textId="77777777" w:rsidTr="004877FC">
        <w:trPr>
          <w:trHeight w:val="20"/>
          <w:jc w:val="center"/>
        </w:trPr>
        <w:tc>
          <w:tcPr>
            <w:tcW w:w="562" w:type="dxa"/>
            <w:vAlign w:val="center"/>
            <w:hideMark/>
          </w:tcPr>
          <w:p w14:paraId="3FDD159B"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3.</w:t>
            </w:r>
          </w:p>
        </w:tc>
        <w:tc>
          <w:tcPr>
            <w:tcW w:w="1985" w:type="dxa"/>
            <w:vAlign w:val="center"/>
            <w:hideMark/>
          </w:tcPr>
          <w:p w14:paraId="1F92A484"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Assam</w:t>
            </w:r>
          </w:p>
        </w:tc>
        <w:tc>
          <w:tcPr>
            <w:tcW w:w="1701" w:type="dxa"/>
            <w:vAlign w:val="center"/>
            <w:hideMark/>
          </w:tcPr>
          <w:p w14:paraId="57BE2130"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2.743</w:t>
            </w:r>
          </w:p>
        </w:tc>
      </w:tr>
      <w:tr w:rsidR="00340829" w:rsidRPr="00674843" w14:paraId="1D14F6AB" w14:textId="77777777" w:rsidTr="004877FC">
        <w:trPr>
          <w:trHeight w:val="20"/>
          <w:jc w:val="center"/>
        </w:trPr>
        <w:tc>
          <w:tcPr>
            <w:tcW w:w="562" w:type="dxa"/>
            <w:vAlign w:val="center"/>
            <w:hideMark/>
          </w:tcPr>
          <w:p w14:paraId="4BB4E854"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4.</w:t>
            </w:r>
          </w:p>
        </w:tc>
        <w:tc>
          <w:tcPr>
            <w:tcW w:w="1985" w:type="dxa"/>
            <w:vAlign w:val="center"/>
            <w:hideMark/>
          </w:tcPr>
          <w:p w14:paraId="7641B8CD"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Bihar</w:t>
            </w:r>
          </w:p>
        </w:tc>
        <w:tc>
          <w:tcPr>
            <w:tcW w:w="1701" w:type="dxa"/>
            <w:vAlign w:val="center"/>
            <w:hideMark/>
          </w:tcPr>
          <w:p w14:paraId="525B8BF4"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8.317</w:t>
            </w:r>
          </w:p>
        </w:tc>
      </w:tr>
      <w:tr w:rsidR="00340829" w:rsidRPr="00674843" w14:paraId="4BCB7A0F" w14:textId="77777777" w:rsidTr="004877FC">
        <w:trPr>
          <w:trHeight w:val="20"/>
          <w:jc w:val="center"/>
        </w:trPr>
        <w:tc>
          <w:tcPr>
            <w:tcW w:w="562" w:type="dxa"/>
            <w:vAlign w:val="center"/>
            <w:hideMark/>
          </w:tcPr>
          <w:p w14:paraId="4847CE9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5.</w:t>
            </w:r>
          </w:p>
        </w:tc>
        <w:tc>
          <w:tcPr>
            <w:tcW w:w="1985" w:type="dxa"/>
            <w:vAlign w:val="center"/>
            <w:hideMark/>
          </w:tcPr>
          <w:p w14:paraId="05CD7A35"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Goa</w:t>
            </w:r>
          </w:p>
        </w:tc>
        <w:tc>
          <w:tcPr>
            <w:tcW w:w="1701" w:type="dxa"/>
            <w:vAlign w:val="center"/>
            <w:hideMark/>
          </w:tcPr>
          <w:p w14:paraId="36D606B1"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0.228</w:t>
            </w:r>
          </w:p>
        </w:tc>
      </w:tr>
      <w:tr w:rsidR="00340829" w:rsidRPr="00674843" w14:paraId="2DD25F33" w14:textId="77777777" w:rsidTr="004877FC">
        <w:trPr>
          <w:trHeight w:val="20"/>
          <w:jc w:val="center"/>
        </w:trPr>
        <w:tc>
          <w:tcPr>
            <w:tcW w:w="562" w:type="dxa"/>
            <w:vAlign w:val="center"/>
            <w:hideMark/>
          </w:tcPr>
          <w:p w14:paraId="58166F6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6.</w:t>
            </w:r>
          </w:p>
        </w:tc>
        <w:tc>
          <w:tcPr>
            <w:tcW w:w="1985" w:type="dxa"/>
            <w:vAlign w:val="center"/>
            <w:hideMark/>
          </w:tcPr>
          <w:p w14:paraId="6FBCE070"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Gujarat</w:t>
            </w:r>
          </w:p>
        </w:tc>
        <w:tc>
          <w:tcPr>
            <w:tcW w:w="1701" w:type="dxa"/>
            <w:vAlign w:val="center"/>
            <w:hideMark/>
          </w:tcPr>
          <w:p w14:paraId="3BFB2BF6"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5.905</w:t>
            </w:r>
          </w:p>
        </w:tc>
      </w:tr>
      <w:tr w:rsidR="00340829" w:rsidRPr="00674843" w14:paraId="1E43D71F" w14:textId="77777777" w:rsidTr="004877FC">
        <w:trPr>
          <w:trHeight w:val="20"/>
          <w:jc w:val="center"/>
        </w:trPr>
        <w:tc>
          <w:tcPr>
            <w:tcW w:w="562" w:type="dxa"/>
            <w:vAlign w:val="center"/>
            <w:hideMark/>
          </w:tcPr>
          <w:p w14:paraId="7A9AF167"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7.</w:t>
            </w:r>
          </w:p>
        </w:tc>
        <w:tc>
          <w:tcPr>
            <w:tcW w:w="1985" w:type="dxa"/>
            <w:vAlign w:val="center"/>
            <w:hideMark/>
          </w:tcPr>
          <w:p w14:paraId="252C005E"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Haryana</w:t>
            </w:r>
          </w:p>
        </w:tc>
        <w:tc>
          <w:tcPr>
            <w:tcW w:w="1701" w:type="dxa"/>
            <w:vAlign w:val="center"/>
            <w:hideMark/>
          </w:tcPr>
          <w:p w14:paraId="2416EB0B"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2.317</w:t>
            </w:r>
          </w:p>
        </w:tc>
      </w:tr>
      <w:tr w:rsidR="00340829" w:rsidRPr="00674843" w14:paraId="4F6EAE67" w14:textId="77777777" w:rsidTr="004877FC">
        <w:trPr>
          <w:trHeight w:val="20"/>
          <w:jc w:val="center"/>
        </w:trPr>
        <w:tc>
          <w:tcPr>
            <w:tcW w:w="562" w:type="dxa"/>
            <w:vAlign w:val="center"/>
            <w:hideMark/>
          </w:tcPr>
          <w:p w14:paraId="2BA076BC"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8.</w:t>
            </w:r>
          </w:p>
        </w:tc>
        <w:tc>
          <w:tcPr>
            <w:tcW w:w="1985" w:type="dxa"/>
            <w:vAlign w:val="center"/>
            <w:hideMark/>
          </w:tcPr>
          <w:p w14:paraId="45F7E629"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Himachal Pradesh</w:t>
            </w:r>
          </w:p>
        </w:tc>
        <w:tc>
          <w:tcPr>
            <w:tcW w:w="1701" w:type="dxa"/>
            <w:vAlign w:val="center"/>
            <w:hideMark/>
          </w:tcPr>
          <w:p w14:paraId="524580E5"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0.621</w:t>
            </w:r>
          </w:p>
        </w:tc>
      </w:tr>
      <w:tr w:rsidR="00340829" w:rsidRPr="00674843" w14:paraId="4FC403D5" w14:textId="77777777" w:rsidTr="004877FC">
        <w:trPr>
          <w:trHeight w:val="20"/>
          <w:jc w:val="center"/>
        </w:trPr>
        <w:tc>
          <w:tcPr>
            <w:tcW w:w="562" w:type="dxa"/>
            <w:vAlign w:val="center"/>
            <w:hideMark/>
          </w:tcPr>
          <w:p w14:paraId="64257DC2"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9.</w:t>
            </w:r>
          </w:p>
        </w:tc>
        <w:tc>
          <w:tcPr>
            <w:tcW w:w="1985" w:type="dxa"/>
            <w:vAlign w:val="center"/>
            <w:hideMark/>
          </w:tcPr>
          <w:p w14:paraId="0D565B3D"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Jammu and Kashmir</w:t>
            </w:r>
          </w:p>
        </w:tc>
        <w:tc>
          <w:tcPr>
            <w:tcW w:w="1701" w:type="dxa"/>
            <w:vAlign w:val="center"/>
            <w:hideMark/>
          </w:tcPr>
          <w:p w14:paraId="44F6EBE2"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0.929</w:t>
            </w:r>
          </w:p>
        </w:tc>
      </w:tr>
      <w:tr w:rsidR="00340829" w:rsidRPr="00674843" w14:paraId="790F795B" w14:textId="77777777" w:rsidTr="004877FC">
        <w:trPr>
          <w:trHeight w:val="20"/>
          <w:jc w:val="center"/>
        </w:trPr>
        <w:tc>
          <w:tcPr>
            <w:tcW w:w="562" w:type="dxa"/>
            <w:vAlign w:val="center"/>
            <w:hideMark/>
          </w:tcPr>
          <w:p w14:paraId="2DD3EE34"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10.</w:t>
            </w:r>
          </w:p>
        </w:tc>
        <w:tc>
          <w:tcPr>
            <w:tcW w:w="1985" w:type="dxa"/>
            <w:vAlign w:val="center"/>
            <w:hideMark/>
          </w:tcPr>
          <w:p w14:paraId="366602FA"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Karnataka</w:t>
            </w:r>
          </w:p>
        </w:tc>
        <w:tc>
          <w:tcPr>
            <w:tcW w:w="1701" w:type="dxa"/>
            <w:vAlign w:val="center"/>
            <w:hideMark/>
          </w:tcPr>
          <w:p w14:paraId="028D129B"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5.865</w:t>
            </w:r>
          </w:p>
        </w:tc>
      </w:tr>
      <w:tr w:rsidR="00340829" w:rsidRPr="00674843" w14:paraId="2E699FFB" w14:textId="77777777" w:rsidTr="004877FC">
        <w:trPr>
          <w:trHeight w:val="20"/>
          <w:jc w:val="center"/>
        </w:trPr>
        <w:tc>
          <w:tcPr>
            <w:tcW w:w="562" w:type="dxa"/>
            <w:vAlign w:val="center"/>
            <w:hideMark/>
          </w:tcPr>
          <w:p w14:paraId="61AF88FA"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11.</w:t>
            </w:r>
          </w:p>
        </w:tc>
        <w:tc>
          <w:tcPr>
            <w:tcW w:w="1985" w:type="dxa"/>
            <w:vAlign w:val="center"/>
            <w:hideMark/>
          </w:tcPr>
          <w:p w14:paraId="2626C566"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Kerala</w:t>
            </w:r>
          </w:p>
        </w:tc>
        <w:tc>
          <w:tcPr>
            <w:tcW w:w="1701" w:type="dxa"/>
            <w:vAlign w:val="center"/>
            <w:hideMark/>
          </w:tcPr>
          <w:p w14:paraId="386FA715"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3.723</w:t>
            </w:r>
          </w:p>
        </w:tc>
      </w:tr>
      <w:tr w:rsidR="00340829" w:rsidRPr="00674843" w14:paraId="3338FB03" w14:textId="77777777" w:rsidTr="004877FC">
        <w:trPr>
          <w:trHeight w:val="20"/>
          <w:jc w:val="center"/>
        </w:trPr>
        <w:tc>
          <w:tcPr>
            <w:tcW w:w="562" w:type="dxa"/>
            <w:vAlign w:val="center"/>
            <w:hideMark/>
          </w:tcPr>
          <w:p w14:paraId="252B2160"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12.</w:t>
            </w:r>
          </w:p>
        </w:tc>
        <w:tc>
          <w:tcPr>
            <w:tcW w:w="1985" w:type="dxa"/>
            <w:vAlign w:val="center"/>
            <w:hideMark/>
          </w:tcPr>
          <w:p w14:paraId="02AC1467"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Madhya Pradesh</w:t>
            </w:r>
          </w:p>
        </w:tc>
        <w:tc>
          <w:tcPr>
            <w:tcW w:w="1701" w:type="dxa"/>
            <w:vAlign w:val="center"/>
            <w:hideMark/>
          </w:tcPr>
          <w:p w14:paraId="1E97738F"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7.164</w:t>
            </w:r>
          </w:p>
        </w:tc>
      </w:tr>
      <w:tr w:rsidR="00340829" w:rsidRPr="00674843" w14:paraId="33C2BC86" w14:textId="77777777" w:rsidTr="004877FC">
        <w:trPr>
          <w:trHeight w:val="20"/>
          <w:jc w:val="center"/>
        </w:trPr>
        <w:tc>
          <w:tcPr>
            <w:tcW w:w="562" w:type="dxa"/>
            <w:vAlign w:val="center"/>
            <w:hideMark/>
          </w:tcPr>
          <w:p w14:paraId="2C026634"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13.</w:t>
            </w:r>
          </w:p>
        </w:tc>
        <w:tc>
          <w:tcPr>
            <w:tcW w:w="1985" w:type="dxa"/>
            <w:vAlign w:val="center"/>
            <w:hideMark/>
          </w:tcPr>
          <w:p w14:paraId="731790A2"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Maharashtra</w:t>
            </w:r>
          </w:p>
        </w:tc>
        <w:tc>
          <w:tcPr>
            <w:tcW w:w="1701" w:type="dxa"/>
            <w:vAlign w:val="center"/>
            <w:hideMark/>
          </w:tcPr>
          <w:p w14:paraId="6A149C72"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11.886</w:t>
            </w:r>
          </w:p>
        </w:tc>
      </w:tr>
      <w:tr w:rsidR="00340829" w:rsidRPr="00674843" w14:paraId="4E41BD9A" w14:textId="77777777" w:rsidTr="004877FC">
        <w:trPr>
          <w:trHeight w:val="20"/>
          <w:jc w:val="center"/>
        </w:trPr>
        <w:tc>
          <w:tcPr>
            <w:tcW w:w="562" w:type="dxa"/>
            <w:vAlign w:val="center"/>
            <w:hideMark/>
          </w:tcPr>
          <w:p w14:paraId="50C724DD"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14.</w:t>
            </w:r>
          </w:p>
        </w:tc>
        <w:tc>
          <w:tcPr>
            <w:tcW w:w="1985" w:type="dxa"/>
            <w:vAlign w:val="center"/>
            <w:hideMark/>
          </w:tcPr>
          <w:p w14:paraId="02DE175E"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Manipur</w:t>
            </w:r>
          </w:p>
        </w:tc>
        <w:tc>
          <w:tcPr>
            <w:tcW w:w="1701" w:type="dxa"/>
            <w:vAlign w:val="center"/>
            <w:hideMark/>
          </w:tcPr>
          <w:p w14:paraId="1D3325E7"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0.213</w:t>
            </w:r>
          </w:p>
        </w:tc>
      </w:tr>
      <w:tr w:rsidR="00340829" w:rsidRPr="00674843" w14:paraId="3CA8FCCA" w14:textId="77777777" w:rsidTr="004877FC">
        <w:trPr>
          <w:trHeight w:val="20"/>
          <w:jc w:val="center"/>
        </w:trPr>
        <w:tc>
          <w:tcPr>
            <w:tcW w:w="562" w:type="dxa"/>
            <w:vAlign w:val="center"/>
            <w:hideMark/>
          </w:tcPr>
          <w:p w14:paraId="4B138DA5"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15.</w:t>
            </w:r>
          </w:p>
        </w:tc>
        <w:tc>
          <w:tcPr>
            <w:tcW w:w="1985" w:type="dxa"/>
            <w:vAlign w:val="center"/>
            <w:hideMark/>
          </w:tcPr>
          <w:p w14:paraId="482DBE78"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Meghalaya</w:t>
            </w:r>
          </w:p>
        </w:tc>
        <w:tc>
          <w:tcPr>
            <w:tcW w:w="1701" w:type="dxa"/>
            <w:vAlign w:val="center"/>
            <w:hideMark/>
          </w:tcPr>
          <w:p w14:paraId="1DF0DF0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0.190</w:t>
            </w:r>
          </w:p>
        </w:tc>
      </w:tr>
      <w:tr w:rsidR="00340829" w:rsidRPr="00674843" w14:paraId="5E1B2A46" w14:textId="77777777" w:rsidTr="004877FC">
        <w:trPr>
          <w:trHeight w:val="20"/>
          <w:jc w:val="center"/>
        </w:trPr>
        <w:tc>
          <w:tcPr>
            <w:tcW w:w="562" w:type="dxa"/>
            <w:vAlign w:val="center"/>
            <w:hideMark/>
          </w:tcPr>
          <w:p w14:paraId="39F6A4C7"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16.</w:t>
            </w:r>
          </w:p>
        </w:tc>
        <w:tc>
          <w:tcPr>
            <w:tcW w:w="1985" w:type="dxa"/>
            <w:vAlign w:val="center"/>
            <w:hideMark/>
          </w:tcPr>
          <w:p w14:paraId="461C4680"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Mizoram</w:t>
            </w:r>
          </w:p>
        </w:tc>
        <w:tc>
          <w:tcPr>
            <w:tcW w:w="1701" w:type="dxa"/>
            <w:vAlign w:val="center"/>
            <w:hideMark/>
          </w:tcPr>
          <w:p w14:paraId="45C97F0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0.068</w:t>
            </w:r>
          </w:p>
        </w:tc>
      </w:tr>
      <w:tr w:rsidR="00340829" w:rsidRPr="00674843" w14:paraId="403EB8B2" w14:textId="77777777" w:rsidTr="004877FC">
        <w:trPr>
          <w:trHeight w:val="20"/>
          <w:jc w:val="center"/>
        </w:trPr>
        <w:tc>
          <w:tcPr>
            <w:tcW w:w="562" w:type="dxa"/>
            <w:vAlign w:val="center"/>
            <w:hideMark/>
          </w:tcPr>
          <w:p w14:paraId="5331AD80"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17.</w:t>
            </w:r>
          </w:p>
        </w:tc>
        <w:tc>
          <w:tcPr>
            <w:tcW w:w="1985" w:type="dxa"/>
            <w:vAlign w:val="center"/>
            <w:hideMark/>
          </w:tcPr>
          <w:p w14:paraId="33D9DAD2"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Nagaland</w:t>
            </w:r>
          </w:p>
        </w:tc>
        <w:tc>
          <w:tcPr>
            <w:tcW w:w="1701" w:type="dxa"/>
            <w:vAlign w:val="center"/>
            <w:hideMark/>
          </w:tcPr>
          <w:p w14:paraId="47AC8387"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0.120</w:t>
            </w:r>
          </w:p>
        </w:tc>
      </w:tr>
      <w:tr w:rsidR="00340829" w:rsidRPr="00674843" w14:paraId="55566C4E" w14:textId="77777777" w:rsidTr="004877FC">
        <w:trPr>
          <w:trHeight w:val="20"/>
          <w:jc w:val="center"/>
        </w:trPr>
        <w:tc>
          <w:tcPr>
            <w:tcW w:w="562" w:type="dxa"/>
            <w:vAlign w:val="center"/>
            <w:hideMark/>
          </w:tcPr>
          <w:p w14:paraId="414058A9"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18.</w:t>
            </w:r>
          </w:p>
        </w:tc>
        <w:tc>
          <w:tcPr>
            <w:tcW w:w="1985" w:type="dxa"/>
            <w:vAlign w:val="center"/>
            <w:hideMark/>
          </w:tcPr>
          <w:p w14:paraId="5C96169F"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Orissa</w:t>
            </w:r>
          </w:p>
        </w:tc>
        <w:tc>
          <w:tcPr>
            <w:tcW w:w="1701" w:type="dxa"/>
            <w:vAlign w:val="center"/>
            <w:hideMark/>
          </w:tcPr>
          <w:p w14:paraId="04EEB9B1" w14:textId="3E9F4CA2"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3.48</w:t>
            </w:r>
            <w:r w:rsidR="00F76D77" w:rsidRPr="00674843">
              <w:rPr>
                <w:rFonts w:ascii="Times New Roman" w:hAnsi="Times New Roman" w:cs="Times New Roman"/>
                <w:sz w:val="16"/>
                <w:szCs w:val="14"/>
              </w:rPr>
              <w:t>6</w:t>
            </w:r>
          </w:p>
        </w:tc>
      </w:tr>
      <w:tr w:rsidR="00340829" w:rsidRPr="00674843" w14:paraId="1C1B0D10" w14:textId="77777777" w:rsidTr="004877FC">
        <w:trPr>
          <w:trHeight w:val="20"/>
          <w:jc w:val="center"/>
        </w:trPr>
        <w:tc>
          <w:tcPr>
            <w:tcW w:w="562" w:type="dxa"/>
            <w:vAlign w:val="center"/>
            <w:hideMark/>
          </w:tcPr>
          <w:p w14:paraId="6F85BE3B"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19.</w:t>
            </w:r>
          </w:p>
        </w:tc>
        <w:tc>
          <w:tcPr>
            <w:tcW w:w="1985" w:type="dxa"/>
            <w:vAlign w:val="center"/>
            <w:hideMark/>
          </w:tcPr>
          <w:p w14:paraId="78DFCBBA"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Punjab</w:t>
            </w:r>
          </w:p>
        </w:tc>
        <w:tc>
          <w:tcPr>
            <w:tcW w:w="1701" w:type="dxa"/>
            <w:vAlign w:val="center"/>
            <w:hideMark/>
          </w:tcPr>
          <w:p w14:paraId="3C9786CC"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3.533</w:t>
            </w:r>
          </w:p>
        </w:tc>
      </w:tr>
      <w:tr w:rsidR="00340829" w:rsidRPr="00674843" w14:paraId="05B48F9F" w14:textId="77777777" w:rsidTr="004877FC">
        <w:trPr>
          <w:trHeight w:val="20"/>
          <w:jc w:val="center"/>
        </w:trPr>
        <w:tc>
          <w:tcPr>
            <w:tcW w:w="562" w:type="dxa"/>
            <w:vAlign w:val="center"/>
            <w:hideMark/>
          </w:tcPr>
          <w:p w14:paraId="54D0E731"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20.</w:t>
            </w:r>
          </w:p>
        </w:tc>
        <w:tc>
          <w:tcPr>
            <w:tcW w:w="1985" w:type="dxa"/>
            <w:vAlign w:val="center"/>
            <w:hideMark/>
          </w:tcPr>
          <w:p w14:paraId="6D422E78"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Rajasthan</w:t>
            </w:r>
          </w:p>
        </w:tc>
        <w:tc>
          <w:tcPr>
            <w:tcW w:w="1701" w:type="dxa"/>
            <w:vAlign w:val="center"/>
            <w:hideMark/>
          </w:tcPr>
          <w:p w14:paraId="1EFDB279" w14:textId="7FC21DC5"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4.</w:t>
            </w:r>
            <w:r w:rsidR="00B83B55" w:rsidRPr="00674843">
              <w:rPr>
                <w:rFonts w:ascii="Times New Roman" w:hAnsi="Times New Roman" w:cs="Times New Roman"/>
                <w:sz w:val="16"/>
                <w:szCs w:val="14"/>
              </w:rPr>
              <w:t>6</w:t>
            </w:r>
            <w:r w:rsidRPr="00674843">
              <w:rPr>
                <w:rFonts w:ascii="Times New Roman" w:hAnsi="Times New Roman" w:cs="Times New Roman"/>
                <w:sz w:val="16"/>
                <w:szCs w:val="14"/>
              </w:rPr>
              <w:t>89</w:t>
            </w:r>
          </w:p>
        </w:tc>
      </w:tr>
      <w:tr w:rsidR="00340829" w:rsidRPr="00674843" w14:paraId="0D0E98E5" w14:textId="77777777" w:rsidTr="004877FC">
        <w:trPr>
          <w:trHeight w:val="20"/>
          <w:jc w:val="center"/>
        </w:trPr>
        <w:tc>
          <w:tcPr>
            <w:tcW w:w="562" w:type="dxa"/>
            <w:vAlign w:val="center"/>
            <w:hideMark/>
          </w:tcPr>
          <w:p w14:paraId="7AF67B0F"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21.</w:t>
            </w:r>
          </w:p>
        </w:tc>
        <w:tc>
          <w:tcPr>
            <w:tcW w:w="1985" w:type="dxa"/>
            <w:vAlign w:val="center"/>
            <w:hideMark/>
          </w:tcPr>
          <w:p w14:paraId="5CDBE668"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Sikkim</w:t>
            </w:r>
          </w:p>
        </w:tc>
        <w:tc>
          <w:tcPr>
            <w:tcW w:w="1701" w:type="dxa"/>
            <w:vAlign w:val="center"/>
            <w:hideMark/>
          </w:tcPr>
          <w:p w14:paraId="7B231CA3"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0.052</w:t>
            </w:r>
          </w:p>
        </w:tc>
      </w:tr>
      <w:tr w:rsidR="00340829" w:rsidRPr="00674843" w14:paraId="6573B878" w14:textId="77777777" w:rsidTr="004877FC">
        <w:trPr>
          <w:trHeight w:val="20"/>
          <w:jc w:val="center"/>
        </w:trPr>
        <w:tc>
          <w:tcPr>
            <w:tcW w:w="562" w:type="dxa"/>
            <w:vAlign w:val="center"/>
            <w:hideMark/>
          </w:tcPr>
          <w:p w14:paraId="040C5074"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22.</w:t>
            </w:r>
          </w:p>
        </w:tc>
        <w:tc>
          <w:tcPr>
            <w:tcW w:w="1985" w:type="dxa"/>
            <w:vAlign w:val="center"/>
            <w:hideMark/>
          </w:tcPr>
          <w:p w14:paraId="67771BA6"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Tamil Nadu</w:t>
            </w:r>
          </w:p>
        </w:tc>
        <w:tc>
          <w:tcPr>
            <w:tcW w:w="1701" w:type="dxa"/>
            <w:vAlign w:val="center"/>
            <w:hideMark/>
          </w:tcPr>
          <w:p w14:paraId="5F6CA145" w14:textId="08B9C983"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7.0</w:t>
            </w:r>
            <w:r w:rsidR="00B83B55" w:rsidRPr="00674843">
              <w:rPr>
                <w:rFonts w:ascii="Times New Roman" w:hAnsi="Times New Roman" w:cs="Times New Roman"/>
                <w:sz w:val="16"/>
                <w:szCs w:val="14"/>
              </w:rPr>
              <w:t>6</w:t>
            </w:r>
            <w:r w:rsidRPr="00674843">
              <w:rPr>
                <w:rFonts w:ascii="Times New Roman" w:hAnsi="Times New Roman" w:cs="Times New Roman"/>
                <w:sz w:val="16"/>
                <w:szCs w:val="14"/>
              </w:rPr>
              <w:t>4</w:t>
            </w:r>
          </w:p>
        </w:tc>
      </w:tr>
      <w:tr w:rsidR="00340829" w:rsidRPr="00674843" w14:paraId="16544023" w14:textId="77777777" w:rsidTr="004877FC">
        <w:trPr>
          <w:trHeight w:val="20"/>
          <w:jc w:val="center"/>
        </w:trPr>
        <w:tc>
          <w:tcPr>
            <w:tcW w:w="562" w:type="dxa"/>
            <w:vAlign w:val="center"/>
            <w:hideMark/>
          </w:tcPr>
          <w:p w14:paraId="2378BCB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23.</w:t>
            </w:r>
          </w:p>
        </w:tc>
        <w:tc>
          <w:tcPr>
            <w:tcW w:w="1985" w:type="dxa"/>
            <w:vAlign w:val="center"/>
            <w:hideMark/>
          </w:tcPr>
          <w:p w14:paraId="69ECB29D"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Tripura</w:t>
            </w:r>
          </w:p>
        </w:tc>
        <w:tc>
          <w:tcPr>
            <w:tcW w:w="1701" w:type="dxa"/>
            <w:vAlign w:val="center"/>
            <w:hideMark/>
          </w:tcPr>
          <w:p w14:paraId="388D0DB9"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0.278</w:t>
            </w:r>
          </w:p>
        </w:tc>
      </w:tr>
      <w:tr w:rsidR="00340829" w:rsidRPr="00674843" w14:paraId="4F5974D3" w14:textId="77777777" w:rsidTr="004877FC">
        <w:trPr>
          <w:trHeight w:val="20"/>
          <w:jc w:val="center"/>
        </w:trPr>
        <w:tc>
          <w:tcPr>
            <w:tcW w:w="562" w:type="dxa"/>
            <w:vAlign w:val="center"/>
            <w:hideMark/>
          </w:tcPr>
          <w:p w14:paraId="392D2E9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24.</w:t>
            </w:r>
          </w:p>
        </w:tc>
        <w:tc>
          <w:tcPr>
            <w:tcW w:w="1985" w:type="dxa"/>
            <w:vAlign w:val="center"/>
            <w:hideMark/>
          </w:tcPr>
          <w:p w14:paraId="156159AF"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Uttar Pradesh</w:t>
            </w:r>
          </w:p>
        </w:tc>
        <w:tc>
          <w:tcPr>
            <w:tcW w:w="1701" w:type="dxa"/>
            <w:vAlign w:val="center"/>
            <w:hideMark/>
          </w:tcPr>
          <w:p w14:paraId="52BA4798"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14.657</w:t>
            </w:r>
          </w:p>
        </w:tc>
      </w:tr>
      <w:tr w:rsidR="00340829" w:rsidRPr="00674843" w14:paraId="5BB1FE31" w14:textId="77777777" w:rsidTr="004877FC">
        <w:trPr>
          <w:trHeight w:val="20"/>
          <w:jc w:val="center"/>
        </w:trPr>
        <w:tc>
          <w:tcPr>
            <w:tcW w:w="562" w:type="dxa"/>
            <w:vAlign w:val="center"/>
            <w:hideMark/>
          </w:tcPr>
          <w:p w14:paraId="35E39DFE"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25.</w:t>
            </w:r>
          </w:p>
        </w:tc>
        <w:tc>
          <w:tcPr>
            <w:tcW w:w="1985" w:type="dxa"/>
            <w:vAlign w:val="center"/>
            <w:hideMark/>
          </w:tcPr>
          <w:p w14:paraId="7830DCDB"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sz w:val="16"/>
                <w:szCs w:val="14"/>
              </w:rPr>
              <w:t>West Bengal</w:t>
            </w:r>
          </w:p>
        </w:tc>
        <w:tc>
          <w:tcPr>
            <w:tcW w:w="1701" w:type="dxa"/>
            <w:vAlign w:val="center"/>
            <w:hideMark/>
          </w:tcPr>
          <w:p w14:paraId="0595B79F" w14:textId="77777777"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sz w:val="16"/>
                <w:szCs w:val="14"/>
              </w:rPr>
              <w:t>8.165</w:t>
            </w:r>
          </w:p>
        </w:tc>
      </w:tr>
      <w:tr w:rsidR="00340829" w:rsidRPr="00674843" w14:paraId="53C13F92" w14:textId="77777777" w:rsidTr="004877FC">
        <w:trPr>
          <w:trHeight w:val="20"/>
          <w:jc w:val="center"/>
        </w:trPr>
        <w:tc>
          <w:tcPr>
            <w:tcW w:w="562" w:type="dxa"/>
            <w:vAlign w:val="center"/>
            <w:hideMark/>
          </w:tcPr>
          <w:p w14:paraId="567176D1" w14:textId="77777777" w:rsidR="00340829" w:rsidRPr="00674843" w:rsidRDefault="00340829" w:rsidP="00445823">
            <w:pPr>
              <w:pStyle w:val="NoSpacing"/>
              <w:spacing w:line="160" w:lineRule="exact"/>
              <w:jc w:val="center"/>
              <w:rPr>
                <w:rFonts w:ascii="Times New Roman" w:hAnsi="Times New Roman" w:cs="Times New Roman"/>
                <w:sz w:val="16"/>
                <w:szCs w:val="14"/>
              </w:rPr>
            </w:pPr>
          </w:p>
        </w:tc>
        <w:tc>
          <w:tcPr>
            <w:tcW w:w="1985" w:type="dxa"/>
            <w:vAlign w:val="center"/>
            <w:hideMark/>
          </w:tcPr>
          <w:p w14:paraId="59E801AC" w14:textId="77777777" w:rsidR="00340829" w:rsidRPr="00674843" w:rsidRDefault="00340829" w:rsidP="00445823">
            <w:pPr>
              <w:pStyle w:val="NoSpacing"/>
              <w:spacing w:line="160" w:lineRule="exact"/>
              <w:rPr>
                <w:rFonts w:ascii="Times New Roman" w:hAnsi="Times New Roman" w:cs="Times New Roman"/>
                <w:sz w:val="16"/>
                <w:szCs w:val="14"/>
              </w:rPr>
            </w:pPr>
            <w:r w:rsidRPr="00674843">
              <w:rPr>
                <w:rFonts w:ascii="Times New Roman" w:hAnsi="Times New Roman" w:cs="Times New Roman"/>
                <w:b/>
                <w:bCs/>
                <w:sz w:val="16"/>
                <w:szCs w:val="14"/>
              </w:rPr>
              <w:t>Total</w:t>
            </w:r>
          </w:p>
        </w:tc>
        <w:tc>
          <w:tcPr>
            <w:tcW w:w="1701" w:type="dxa"/>
            <w:vAlign w:val="center"/>
            <w:hideMark/>
          </w:tcPr>
          <w:p w14:paraId="349503D8" w14:textId="7EAA9553" w:rsidR="00340829" w:rsidRPr="00674843" w:rsidRDefault="00340829" w:rsidP="00445823">
            <w:pPr>
              <w:pStyle w:val="NoSpacing"/>
              <w:spacing w:line="160" w:lineRule="exact"/>
              <w:jc w:val="center"/>
              <w:rPr>
                <w:rFonts w:ascii="Times New Roman" w:hAnsi="Times New Roman" w:cs="Times New Roman"/>
                <w:sz w:val="16"/>
                <w:szCs w:val="14"/>
              </w:rPr>
            </w:pPr>
            <w:r w:rsidRPr="00674843">
              <w:rPr>
                <w:rFonts w:ascii="Times New Roman" w:hAnsi="Times New Roman" w:cs="Times New Roman"/>
                <w:b/>
                <w:bCs/>
                <w:sz w:val="16"/>
                <w:szCs w:val="14"/>
              </w:rPr>
              <w:t xml:space="preserve">100.000 </w:t>
            </w:r>
          </w:p>
        </w:tc>
      </w:tr>
    </w:tbl>
    <w:p w14:paraId="563FDC22" w14:textId="6AECEE26" w:rsidR="005242D4" w:rsidRPr="005242D4" w:rsidRDefault="005242D4" w:rsidP="005242D4">
      <w:pPr>
        <w:pStyle w:val="NoSpacing"/>
        <w:ind w:left="3600"/>
        <w:jc w:val="center"/>
        <w:rPr>
          <w:rFonts w:ascii="Times New Roman" w:hAnsi="Times New Roman" w:cs="Times New Roman"/>
          <w:sz w:val="20"/>
          <w:szCs w:val="20"/>
        </w:rPr>
      </w:pPr>
      <w:r w:rsidRPr="005242D4">
        <w:rPr>
          <w:rFonts w:ascii="Times New Roman" w:hAnsi="Times New Roman" w:cs="Times New Roman"/>
          <w:sz w:val="16"/>
          <w:szCs w:val="14"/>
        </w:rPr>
        <w:t>(</w:t>
      </w:r>
      <w:proofErr w:type="gramStart"/>
      <w:r w:rsidRPr="005242D4">
        <w:rPr>
          <w:rFonts w:ascii="Times New Roman" w:hAnsi="Times New Roman" w:cs="Times New Roman"/>
          <w:sz w:val="16"/>
          <w:szCs w:val="14"/>
        </w:rPr>
        <w:t>para</w:t>
      </w:r>
      <w:proofErr w:type="gramEnd"/>
      <w:r w:rsidRPr="005242D4">
        <w:rPr>
          <w:rFonts w:ascii="Times New Roman" w:hAnsi="Times New Roman" w:cs="Times New Roman"/>
          <w:sz w:val="16"/>
          <w:szCs w:val="14"/>
        </w:rPr>
        <w:t>. 5.20)</w:t>
      </w:r>
    </w:p>
    <w:p w14:paraId="37B0B688" w14:textId="4077FD5E" w:rsidR="00340829" w:rsidRPr="004877FC" w:rsidRDefault="00340829" w:rsidP="004877FC">
      <w:pPr>
        <w:pStyle w:val="NoSpacing"/>
        <w:jc w:val="center"/>
        <w:rPr>
          <w:rFonts w:ascii="Times New Roman" w:hAnsi="Times New Roman" w:cs="Times New Roman"/>
          <w:b/>
          <w:bCs/>
          <w:sz w:val="20"/>
          <w:szCs w:val="20"/>
        </w:rPr>
      </w:pPr>
      <w:r w:rsidRPr="004877FC">
        <w:rPr>
          <w:rFonts w:ascii="Times New Roman" w:hAnsi="Times New Roman" w:cs="Times New Roman"/>
          <w:b/>
          <w:bCs/>
          <w:sz w:val="20"/>
          <w:szCs w:val="20"/>
        </w:rPr>
        <w:t>III. GRANTS IN LIEU OF TAX ON RAILWAY PASSENGER FARES</w:t>
      </w:r>
    </w:p>
    <w:p w14:paraId="115747DD" w14:textId="654A09DD" w:rsidR="00340829" w:rsidRDefault="00340829" w:rsidP="00445823">
      <w:pPr>
        <w:pStyle w:val="Heading3"/>
        <w:spacing w:line="160" w:lineRule="exact"/>
      </w:pPr>
      <w:r w:rsidRPr="00AA6AF4">
        <w:rPr>
          <w:b/>
          <w:bCs/>
        </w:rPr>
        <w:t>(1)</w:t>
      </w:r>
      <w:r w:rsidRPr="00AA6AF4">
        <w:t xml:space="preserve"> The annual quantum of the grant in lieu of the repealed Tax on Railway Passenger Fares should be fixed at Rs. 150 </w:t>
      </w:r>
      <w:proofErr w:type="gramStart"/>
      <w:r w:rsidRPr="00AA6AF4">
        <w:t>crore</w:t>
      </w:r>
      <w:proofErr w:type="gramEnd"/>
      <w:r w:rsidRPr="00AA6AF4">
        <w:t xml:space="preserve"> in each of the years 1990-91 to 1994-95 (para. 5.26).</w:t>
      </w:r>
    </w:p>
    <w:p w14:paraId="5C6CB590" w14:textId="00A6A025" w:rsidR="00340829" w:rsidRPr="004877FC" w:rsidRDefault="00340829">
      <w:pPr>
        <w:pStyle w:val="ListParagraph"/>
        <w:numPr>
          <w:ilvl w:val="0"/>
          <w:numId w:val="38"/>
        </w:numPr>
        <w:spacing w:after="0" w:line="160" w:lineRule="exact"/>
        <w:jc w:val="both"/>
        <w:rPr>
          <w:rFonts w:ascii="Times New Roman" w:hAnsi="Times New Roman" w:cs="Times New Roman"/>
          <w:sz w:val="18"/>
          <w:szCs w:val="18"/>
        </w:rPr>
      </w:pPr>
      <w:r w:rsidRPr="004877FC">
        <w:rPr>
          <w:rFonts w:ascii="Times New Roman" w:hAnsi="Times New Roman" w:cs="Times New Roman"/>
          <w:sz w:val="18"/>
          <w:szCs w:val="18"/>
        </w:rPr>
        <w:t>The grant to be made available be distributed amongst the States as under:</w:t>
      </w:r>
    </w:p>
    <w:tbl>
      <w:tblPr>
        <w:tblStyle w:val="TableGrid"/>
        <w:tblW w:w="4248" w:type="dxa"/>
        <w:jc w:val="center"/>
        <w:tblLook w:val="04A0" w:firstRow="1" w:lastRow="0" w:firstColumn="1" w:lastColumn="0" w:noHBand="0" w:noVBand="1"/>
      </w:tblPr>
      <w:tblGrid>
        <w:gridCol w:w="562"/>
        <w:gridCol w:w="1843"/>
        <w:gridCol w:w="1843"/>
      </w:tblGrid>
      <w:tr w:rsidR="00340829" w:rsidRPr="009C5E16" w14:paraId="1BE9361D" w14:textId="77777777" w:rsidTr="004877FC">
        <w:trPr>
          <w:trHeight w:val="20"/>
          <w:jc w:val="center"/>
        </w:trPr>
        <w:tc>
          <w:tcPr>
            <w:tcW w:w="562" w:type="dxa"/>
            <w:vAlign w:val="center"/>
            <w:hideMark/>
          </w:tcPr>
          <w:p w14:paraId="517E2BB4" w14:textId="77777777" w:rsidR="00340829" w:rsidRPr="009C5E16" w:rsidRDefault="00340829" w:rsidP="00445823">
            <w:pPr>
              <w:pStyle w:val="NoSpacing"/>
              <w:spacing w:line="160" w:lineRule="exact"/>
              <w:jc w:val="center"/>
              <w:rPr>
                <w:rFonts w:ascii="Times New Roman" w:hAnsi="Times New Roman" w:cs="Times New Roman"/>
                <w:sz w:val="16"/>
                <w:szCs w:val="16"/>
              </w:rPr>
            </w:pPr>
          </w:p>
        </w:tc>
        <w:tc>
          <w:tcPr>
            <w:tcW w:w="1843" w:type="dxa"/>
            <w:vAlign w:val="center"/>
            <w:hideMark/>
          </w:tcPr>
          <w:p w14:paraId="705F82C9" w14:textId="77777777" w:rsidR="00340829" w:rsidRPr="009C5E16" w:rsidRDefault="00340829" w:rsidP="00445823">
            <w:pPr>
              <w:pStyle w:val="NoSpacing"/>
              <w:spacing w:line="160" w:lineRule="exact"/>
              <w:rPr>
                <w:rFonts w:ascii="Times New Roman" w:hAnsi="Times New Roman" w:cs="Times New Roman"/>
                <w:b/>
                <w:bCs/>
                <w:sz w:val="16"/>
                <w:szCs w:val="16"/>
              </w:rPr>
            </w:pPr>
            <w:r w:rsidRPr="009C5E16">
              <w:rPr>
                <w:rFonts w:ascii="Times New Roman" w:hAnsi="Times New Roman" w:cs="Times New Roman"/>
                <w:b/>
                <w:bCs/>
                <w:sz w:val="16"/>
                <w:szCs w:val="16"/>
              </w:rPr>
              <w:t>States</w:t>
            </w:r>
          </w:p>
        </w:tc>
        <w:tc>
          <w:tcPr>
            <w:tcW w:w="1843" w:type="dxa"/>
            <w:vAlign w:val="center"/>
            <w:hideMark/>
          </w:tcPr>
          <w:p w14:paraId="1B295687" w14:textId="77777777" w:rsidR="00340829" w:rsidRPr="009C5E16" w:rsidRDefault="00340829" w:rsidP="00445823">
            <w:pPr>
              <w:pStyle w:val="NoSpacing"/>
              <w:spacing w:line="160" w:lineRule="exact"/>
              <w:jc w:val="center"/>
              <w:rPr>
                <w:rFonts w:ascii="Times New Roman" w:hAnsi="Times New Roman" w:cs="Times New Roman"/>
                <w:b/>
                <w:bCs/>
                <w:sz w:val="16"/>
                <w:szCs w:val="16"/>
              </w:rPr>
            </w:pPr>
            <w:r w:rsidRPr="009C5E16">
              <w:rPr>
                <w:rFonts w:ascii="Times New Roman" w:hAnsi="Times New Roman" w:cs="Times New Roman"/>
                <w:b/>
                <w:bCs/>
                <w:sz w:val="16"/>
                <w:szCs w:val="16"/>
              </w:rPr>
              <w:t>Percentage Share</w:t>
            </w:r>
          </w:p>
        </w:tc>
      </w:tr>
      <w:tr w:rsidR="00340829" w:rsidRPr="009C5E16" w14:paraId="5626D983" w14:textId="77777777" w:rsidTr="004877FC">
        <w:trPr>
          <w:trHeight w:val="20"/>
          <w:jc w:val="center"/>
        </w:trPr>
        <w:tc>
          <w:tcPr>
            <w:tcW w:w="562" w:type="dxa"/>
            <w:vAlign w:val="center"/>
            <w:hideMark/>
          </w:tcPr>
          <w:p w14:paraId="5CCDAB6F"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w:t>
            </w:r>
          </w:p>
        </w:tc>
        <w:tc>
          <w:tcPr>
            <w:tcW w:w="1843" w:type="dxa"/>
            <w:vAlign w:val="center"/>
            <w:hideMark/>
          </w:tcPr>
          <w:p w14:paraId="5936A44E"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Andhra Pradesh</w:t>
            </w:r>
          </w:p>
        </w:tc>
        <w:tc>
          <w:tcPr>
            <w:tcW w:w="1843" w:type="dxa"/>
            <w:vAlign w:val="center"/>
            <w:hideMark/>
          </w:tcPr>
          <w:p w14:paraId="204A1C27"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7.484</w:t>
            </w:r>
          </w:p>
        </w:tc>
      </w:tr>
      <w:tr w:rsidR="00340829" w:rsidRPr="009C5E16" w14:paraId="7CEFE230" w14:textId="77777777" w:rsidTr="004877FC">
        <w:trPr>
          <w:trHeight w:val="20"/>
          <w:jc w:val="center"/>
        </w:trPr>
        <w:tc>
          <w:tcPr>
            <w:tcW w:w="562" w:type="dxa"/>
            <w:vAlign w:val="center"/>
            <w:hideMark/>
          </w:tcPr>
          <w:p w14:paraId="2B734C29"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w:t>
            </w:r>
          </w:p>
        </w:tc>
        <w:tc>
          <w:tcPr>
            <w:tcW w:w="1843" w:type="dxa"/>
            <w:vAlign w:val="center"/>
            <w:hideMark/>
          </w:tcPr>
          <w:p w14:paraId="013D8502"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Arunachal Pradesh</w:t>
            </w:r>
          </w:p>
        </w:tc>
        <w:tc>
          <w:tcPr>
            <w:tcW w:w="1843" w:type="dxa"/>
            <w:vAlign w:val="center"/>
            <w:hideMark/>
          </w:tcPr>
          <w:p w14:paraId="30245579"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0.008</w:t>
            </w:r>
          </w:p>
        </w:tc>
      </w:tr>
      <w:tr w:rsidR="00340829" w:rsidRPr="009C5E16" w14:paraId="101F83E3" w14:textId="77777777" w:rsidTr="004877FC">
        <w:trPr>
          <w:trHeight w:val="20"/>
          <w:jc w:val="center"/>
        </w:trPr>
        <w:tc>
          <w:tcPr>
            <w:tcW w:w="562" w:type="dxa"/>
            <w:vAlign w:val="center"/>
            <w:hideMark/>
          </w:tcPr>
          <w:p w14:paraId="19C551F9"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lastRenderedPageBreak/>
              <w:t>3.</w:t>
            </w:r>
          </w:p>
        </w:tc>
        <w:tc>
          <w:tcPr>
            <w:tcW w:w="1843" w:type="dxa"/>
            <w:vAlign w:val="center"/>
            <w:hideMark/>
          </w:tcPr>
          <w:p w14:paraId="41E6895C"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Assam</w:t>
            </w:r>
          </w:p>
        </w:tc>
        <w:tc>
          <w:tcPr>
            <w:tcW w:w="1843" w:type="dxa"/>
            <w:vAlign w:val="center"/>
            <w:hideMark/>
          </w:tcPr>
          <w:p w14:paraId="44306856"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1.509</w:t>
            </w:r>
          </w:p>
        </w:tc>
      </w:tr>
      <w:tr w:rsidR="00340829" w:rsidRPr="009C5E16" w14:paraId="33ADF1F1" w14:textId="77777777" w:rsidTr="004877FC">
        <w:trPr>
          <w:trHeight w:val="20"/>
          <w:jc w:val="center"/>
        </w:trPr>
        <w:tc>
          <w:tcPr>
            <w:tcW w:w="562" w:type="dxa"/>
            <w:vAlign w:val="center"/>
            <w:hideMark/>
          </w:tcPr>
          <w:p w14:paraId="24134A5F"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4.</w:t>
            </w:r>
          </w:p>
        </w:tc>
        <w:tc>
          <w:tcPr>
            <w:tcW w:w="1843" w:type="dxa"/>
            <w:vAlign w:val="center"/>
            <w:hideMark/>
          </w:tcPr>
          <w:p w14:paraId="1318ED1D"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Bihar</w:t>
            </w:r>
          </w:p>
        </w:tc>
        <w:tc>
          <w:tcPr>
            <w:tcW w:w="1843" w:type="dxa"/>
            <w:vAlign w:val="center"/>
            <w:hideMark/>
          </w:tcPr>
          <w:p w14:paraId="3E4D39C4"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8.266</w:t>
            </w:r>
          </w:p>
        </w:tc>
      </w:tr>
      <w:tr w:rsidR="00340829" w:rsidRPr="009C5E16" w14:paraId="73A5D1DD" w14:textId="77777777" w:rsidTr="004877FC">
        <w:trPr>
          <w:trHeight w:val="20"/>
          <w:jc w:val="center"/>
        </w:trPr>
        <w:tc>
          <w:tcPr>
            <w:tcW w:w="562" w:type="dxa"/>
            <w:vAlign w:val="center"/>
            <w:hideMark/>
          </w:tcPr>
          <w:p w14:paraId="332766F2"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5.</w:t>
            </w:r>
          </w:p>
        </w:tc>
        <w:tc>
          <w:tcPr>
            <w:tcW w:w="1843" w:type="dxa"/>
            <w:vAlign w:val="center"/>
            <w:hideMark/>
          </w:tcPr>
          <w:p w14:paraId="09A514D4"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Goa</w:t>
            </w:r>
          </w:p>
        </w:tc>
        <w:tc>
          <w:tcPr>
            <w:tcW w:w="1843" w:type="dxa"/>
            <w:vAlign w:val="center"/>
            <w:hideMark/>
          </w:tcPr>
          <w:p w14:paraId="1D1CC45C"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0.133</w:t>
            </w:r>
          </w:p>
        </w:tc>
      </w:tr>
      <w:tr w:rsidR="00340829" w:rsidRPr="009C5E16" w14:paraId="158542C3" w14:textId="77777777" w:rsidTr="004877FC">
        <w:trPr>
          <w:trHeight w:val="20"/>
          <w:jc w:val="center"/>
        </w:trPr>
        <w:tc>
          <w:tcPr>
            <w:tcW w:w="562" w:type="dxa"/>
            <w:vAlign w:val="center"/>
            <w:hideMark/>
          </w:tcPr>
          <w:p w14:paraId="3B710053"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6.</w:t>
            </w:r>
          </w:p>
        </w:tc>
        <w:tc>
          <w:tcPr>
            <w:tcW w:w="1843" w:type="dxa"/>
            <w:vAlign w:val="center"/>
            <w:hideMark/>
          </w:tcPr>
          <w:p w14:paraId="79263F80"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Gujarat</w:t>
            </w:r>
          </w:p>
        </w:tc>
        <w:tc>
          <w:tcPr>
            <w:tcW w:w="1843" w:type="dxa"/>
            <w:vAlign w:val="center"/>
            <w:hideMark/>
          </w:tcPr>
          <w:p w14:paraId="4B5EF90D"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5.717</w:t>
            </w:r>
          </w:p>
        </w:tc>
      </w:tr>
      <w:tr w:rsidR="00340829" w:rsidRPr="009C5E16" w14:paraId="338D3B2A" w14:textId="77777777" w:rsidTr="004877FC">
        <w:trPr>
          <w:trHeight w:val="20"/>
          <w:jc w:val="center"/>
        </w:trPr>
        <w:tc>
          <w:tcPr>
            <w:tcW w:w="562" w:type="dxa"/>
            <w:vAlign w:val="center"/>
            <w:hideMark/>
          </w:tcPr>
          <w:p w14:paraId="345F00EB"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7.</w:t>
            </w:r>
          </w:p>
        </w:tc>
        <w:tc>
          <w:tcPr>
            <w:tcW w:w="1843" w:type="dxa"/>
            <w:vAlign w:val="center"/>
            <w:hideMark/>
          </w:tcPr>
          <w:p w14:paraId="3BB2F530"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Haryana</w:t>
            </w:r>
          </w:p>
        </w:tc>
        <w:tc>
          <w:tcPr>
            <w:tcW w:w="1843" w:type="dxa"/>
            <w:vAlign w:val="center"/>
            <w:hideMark/>
          </w:tcPr>
          <w:p w14:paraId="5B7506A8"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1.637</w:t>
            </w:r>
          </w:p>
        </w:tc>
      </w:tr>
      <w:tr w:rsidR="00340829" w:rsidRPr="009C5E16" w14:paraId="2708DCC1" w14:textId="77777777" w:rsidTr="004877FC">
        <w:trPr>
          <w:trHeight w:val="20"/>
          <w:jc w:val="center"/>
        </w:trPr>
        <w:tc>
          <w:tcPr>
            <w:tcW w:w="562" w:type="dxa"/>
            <w:vAlign w:val="center"/>
            <w:hideMark/>
          </w:tcPr>
          <w:p w14:paraId="4C2395D2"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8.</w:t>
            </w:r>
          </w:p>
        </w:tc>
        <w:tc>
          <w:tcPr>
            <w:tcW w:w="1843" w:type="dxa"/>
            <w:vAlign w:val="center"/>
            <w:hideMark/>
          </w:tcPr>
          <w:p w14:paraId="0C3771C8"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Himachal Pradesh</w:t>
            </w:r>
          </w:p>
        </w:tc>
        <w:tc>
          <w:tcPr>
            <w:tcW w:w="1843" w:type="dxa"/>
            <w:vAlign w:val="center"/>
            <w:hideMark/>
          </w:tcPr>
          <w:p w14:paraId="4614CCFD"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0.098</w:t>
            </w:r>
          </w:p>
        </w:tc>
      </w:tr>
      <w:tr w:rsidR="00340829" w:rsidRPr="009C5E16" w14:paraId="5F7793B0" w14:textId="77777777" w:rsidTr="004877FC">
        <w:trPr>
          <w:trHeight w:val="20"/>
          <w:jc w:val="center"/>
        </w:trPr>
        <w:tc>
          <w:tcPr>
            <w:tcW w:w="562" w:type="dxa"/>
            <w:vAlign w:val="center"/>
            <w:hideMark/>
          </w:tcPr>
          <w:p w14:paraId="1A099F99"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9.</w:t>
            </w:r>
          </w:p>
        </w:tc>
        <w:tc>
          <w:tcPr>
            <w:tcW w:w="1843" w:type="dxa"/>
            <w:vAlign w:val="center"/>
            <w:hideMark/>
          </w:tcPr>
          <w:p w14:paraId="7E3C6EFE"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Jammu and Kashmir</w:t>
            </w:r>
          </w:p>
        </w:tc>
        <w:tc>
          <w:tcPr>
            <w:tcW w:w="1843" w:type="dxa"/>
            <w:vAlign w:val="center"/>
            <w:hideMark/>
          </w:tcPr>
          <w:p w14:paraId="6F7B123D"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0.520</w:t>
            </w:r>
          </w:p>
        </w:tc>
      </w:tr>
      <w:tr w:rsidR="00340829" w:rsidRPr="009C5E16" w14:paraId="35F1E477" w14:textId="77777777" w:rsidTr="004877FC">
        <w:trPr>
          <w:trHeight w:val="20"/>
          <w:jc w:val="center"/>
        </w:trPr>
        <w:tc>
          <w:tcPr>
            <w:tcW w:w="562" w:type="dxa"/>
            <w:vAlign w:val="center"/>
            <w:hideMark/>
          </w:tcPr>
          <w:p w14:paraId="0969A593"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10.</w:t>
            </w:r>
          </w:p>
        </w:tc>
        <w:tc>
          <w:tcPr>
            <w:tcW w:w="1843" w:type="dxa"/>
            <w:vAlign w:val="center"/>
            <w:hideMark/>
          </w:tcPr>
          <w:p w14:paraId="3501BBB0"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Karnataka</w:t>
            </w:r>
          </w:p>
        </w:tc>
        <w:tc>
          <w:tcPr>
            <w:tcW w:w="1843" w:type="dxa"/>
            <w:vAlign w:val="center"/>
            <w:hideMark/>
          </w:tcPr>
          <w:p w14:paraId="1E8A2D2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3.271</w:t>
            </w:r>
          </w:p>
        </w:tc>
      </w:tr>
      <w:tr w:rsidR="00340829" w:rsidRPr="009C5E16" w14:paraId="3EA301CF" w14:textId="77777777" w:rsidTr="004877FC">
        <w:trPr>
          <w:trHeight w:val="20"/>
          <w:jc w:val="center"/>
        </w:trPr>
        <w:tc>
          <w:tcPr>
            <w:tcW w:w="562" w:type="dxa"/>
            <w:vAlign w:val="center"/>
            <w:hideMark/>
          </w:tcPr>
          <w:p w14:paraId="1BD679C8"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11.</w:t>
            </w:r>
          </w:p>
        </w:tc>
        <w:tc>
          <w:tcPr>
            <w:tcW w:w="1843" w:type="dxa"/>
            <w:vAlign w:val="center"/>
            <w:hideMark/>
          </w:tcPr>
          <w:p w14:paraId="0E0AAB40"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Kerala</w:t>
            </w:r>
          </w:p>
        </w:tc>
        <w:tc>
          <w:tcPr>
            <w:tcW w:w="1843" w:type="dxa"/>
            <w:vAlign w:val="center"/>
            <w:hideMark/>
          </w:tcPr>
          <w:p w14:paraId="4A58759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3.562</w:t>
            </w:r>
          </w:p>
        </w:tc>
      </w:tr>
      <w:tr w:rsidR="00340829" w:rsidRPr="009C5E16" w14:paraId="6463B96A" w14:textId="77777777" w:rsidTr="004877FC">
        <w:trPr>
          <w:trHeight w:val="20"/>
          <w:jc w:val="center"/>
        </w:trPr>
        <w:tc>
          <w:tcPr>
            <w:tcW w:w="562" w:type="dxa"/>
            <w:vAlign w:val="center"/>
            <w:hideMark/>
          </w:tcPr>
          <w:p w14:paraId="0E893CA4"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12.</w:t>
            </w:r>
          </w:p>
        </w:tc>
        <w:tc>
          <w:tcPr>
            <w:tcW w:w="1843" w:type="dxa"/>
            <w:vAlign w:val="center"/>
            <w:hideMark/>
          </w:tcPr>
          <w:p w14:paraId="41E81C45"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Madhya Pradesh</w:t>
            </w:r>
          </w:p>
        </w:tc>
        <w:tc>
          <w:tcPr>
            <w:tcW w:w="1843" w:type="dxa"/>
            <w:vAlign w:val="center"/>
            <w:hideMark/>
          </w:tcPr>
          <w:p w14:paraId="009161DB"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6.061</w:t>
            </w:r>
          </w:p>
        </w:tc>
      </w:tr>
      <w:tr w:rsidR="00340829" w:rsidRPr="009C5E16" w14:paraId="444BE0E2" w14:textId="77777777" w:rsidTr="004877FC">
        <w:trPr>
          <w:trHeight w:val="20"/>
          <w:jc w:val="center"/>
        </w:trPr>
        <w:tc>
          <w:tcPr>
            <w:tcW w:w="562" w:type="dxa"/>
            <w:vAlign w:val="center"/>
            <w:hideMark/>
          </w:tcPr>
          <w:p w14:paraId="60CD13D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13.</w:t>
            </w:r>
          </w:p>
        </w:tc>
        <w:tc>
          <w:tcPr>
            <w:tcW w:w="1843" w:type="dxa"/>
            <w:vAlign w:val="center"/>
            <w:hideMark/>
          </w:tcPr>
          <w:p w14:paraId="367E04FB"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Maharashtra</w:t>
            </w:r>
          </w:p>
        </w:tc>
        <w:tc>
          <w:tcPr>
            <w:tcW w:w="1843" w:type="dxa"/>
            <w:vAlign w:val="center"/>
            <w:hideMark/>
          </w:tcPr>
          <w:p w14:paraId="1B91D2AC"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22.634</w:t>
            </w:r>
          </w:p>
        </w:tc>
      </w:tr>
      <w:tr w:rsidR="00340829" w:rsidRPr="009C5E16" w14:paraId="664C00F7" w14:textId="77777777" w:rsidTr="004877FC">
        <w:trPr>
          <w:trHeight w:val="20"/>
          <w:jc w:val="center"/>
        </w:trPr>
        <w:tc>
          <w:tcPr>
            <w:tcW w:w="562" w:type="dxa"/>
            <w:vAlign w:val="center"/>
            <w:hideMark/>
          </w:tcPr>
          <w:p w14:paraId="2DFF141F"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14.</w:t>
            </w:r>
          </w:p>
        </w:tc>
        <w:tc>
          <w:tcPr>
            <w:tcW w:w="1843" w:type="dxa"/>
            <w:vAlign w:val="center"/>
            <w:hideMark/>
          </w:tcPr>
          <w:p w14:paraId="2DB3B0D2"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Manipur</w:t>
            </w:r>
          </w:p>
        </w:tc>
        <w:tc>
          <w:tcPr>
            <w:tcW w:w="1843" w:type="dxa"/>
            <w:vAlign w:val="center"/>
            <w:hideMark/>
          </w:tcPr>
          <w:p w14:paraId="61932DAC"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0.013</w:t>
            </w:r>
          </w:p>
        </w:tc>
      </w:tr>
      <w:tr w:rsidR="00340829" w:rsidRPr="009C5E16" w14:paraId="75A11018" w14:textId="77777777" w:rsidTr="004877FC">
        <w:trPr>
          <w:trHeight w:val="20"/>
          <w:jc w:val="center"/>
        </w:trPr>
        <w:tc>
          <w:tcPr>
            <w:tcW w:w="562" w:type="dxa"/>
            <w:vAlign w:val="center"/>
            <w:hideMark/>
          </w:tcPr>
          <w:p w14:paraId="0CCDE9A3"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15.</w:t>
            </w:r>
          </w:p>
        </w:tc>
        <w:tc>
          <w:tcPr>
            <w:tcW w:w="1843" w:type="dxa"/>
            <w:vAlign w:val="center"/>
            <w:hideMark/>
          </w:tcPr>
          <w:p w14:paraId="5288C6E3"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Meghalaya</w:t>
            </w:r>
          </w:p>
        </w:tc>
        <w:tc>
          <w:tcPr>
            <w:tcW w:w="1843" w:type="dxa"/>
            <w:vAlign w:val="center"/>
            <w:hideMark/>
          </w:tcPr>
          <w:p w14:paraId="6442E6E7"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0.040</w:t>
            </w:r>
          </w:p>
        </w:tc>
      </w:tr>
      <w:tr w:rsidR="00340829" w:rsidRPr="009C5E16" w14:paraId="4E0F2900" w14:textId="77777777" w:rsidTr="004877FC">
        <w:trPr>
          <w:trHeight w:val="20"/>
          <w:jc w:val="center"/>
        </w:trPr>
        <w:tc>
          <w:tcPr>
            <w:tcW w:w="562" w:type="dxa"/>
            <w:vAlign w:val="center"/>
            <w:hideMark/>
          </w:tcPr>
          <w:p w14:paraId="3EF3634D"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16.</w:t>
            </w:r>
          </w:p>
        </w:tc>
        <w:tc>
          <w:tcPr>
            <w:tcW w:w="1843" w:type="dxa"/>
            <w:vAlign w:val="center"/>
            <w:hideMark/>
          </w:tcPr>
          <w:p w14:paraId="1A35611C"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Mizoram</w:t>
            </w:r>
          </w:p>
        </w:tc>
        <w:tc>
          <w:tcPr>
            <w:tcW w:w="1843" w:type="dxa"/>
            <w:vAlign w:val="center"/>
            <w:hideMark/>
          </w:tcPr>
          <w:p w14:paraId="0CDB246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w:t>
            </w:r>
          </w:p>
        </w:tc>
      </w:tr>
      <w:tr w:rsidR="00340829" w:rsidRPr="009C5E16" w14:paraId="65B0F3AE" w14:textId="77777777" w:rsidTr="004877FC">
        <w:trPr>
          <w:trHeight w:val="20"/>
          <w:jc w:val="center"/>
        </w:trPr>
        <w:tc>
          <w:tcPr>
            <w:tcW w:w="562" w:type="dxa"/>
            <w:vAlign w:val="center"/>
            <w:hideMark/>
          </w:tcPr>
          <w:p w14:paraId="36A4D2B2"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17.</w:t>
            </w:r>
          </w:p>
        </w:tc>
        <w:tc>
          <w:tcPr>
            <w:tcW w:w="1843" w:type="dxa"/>
            <w:vAlign w:val="center"/>
            <w:hideMark/>
          </w:tcPr>
          <w:p w14:paraId="6C33CD81"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Nagaland</w:t>
            </w:r>
          </w:p>
        </w:tc>
        <w:tc>
          <w:tcPr>
            <w:tcW w:w="1843" w:type="dxa"/>
            <w:vAlign w:val="center"/>
            <w:hideMark/>
          </w:tcPr>
          <w:p w14:paraId="1A5FBBB6"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0.165</w:t>
            </w:r>
          </w:p>
        </w:tc>
      </w:tr>
      <w:tr w:rsidR="00340829" w:rsidRPr="009C5E16" w14:paraId="4753DD67" w14:textId="77777777" w:rsidTr="004877FC">
        <w:trPr>
          <w:trHeight w:val="20"/>
          <w:jc w:val="center"/>
        </w:trPr>
        <w:tc>
          <w:tcPr>
            <w:tcW w:w="562" w:type="dxa"/>
            <w:vAlign w:val="center"/>
            <w:hideMark/>
          </w:tcPr>
          <w:p w14:paraId="50814DC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18.</w:t>
            </w:r>
          </w:p>
        </w:tc>
        <w:tc>
          <w:tcPr>
            <w:tcW w:w="1843" w:type="dxa"/>
            <w:vAlign w:val="center"/>
            <w:hideMark/>
          </w:tcPr>
          <w:p w14:paraId="0B909C0A"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Orissa</w:t>
            </w:r>
          </w:p>
        </w:tc>
        <w:tc>
          <w:tcPr>
            <w:tcW w:w="1843" w:type="dxa"/>
            <w:vAlign w:val="center"/>
            <w:hideMark/>
          </w:tcPr>
          <w:p w14:paraId="45BEE494"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1.614</w:t>
            </w:r>
          </w:p>
        </w:tc>
      </w:tr>
      <w:tr w:rsidR="00340829" w:rsidRPr="009C5E16" w14:paraId="011D060C" w14:textId="77777777" w:rsidTr="004877FC">
        <w:trPr>
          <w:trHeight w:val="20"/>
          <w:jc w:val="center"/>
        </w:trPr>
        <w:tc>
          <w:tcPr>
            <w:tcW w:w="562" w:type="dxa"/>
            <w:vAlign w:val="center"/>
            <w:hideMark/>
          </w:tcPr>
          <w:p w14:paraId="776197E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19.</w:t>
            </w:r>
          </w:p>
        </w:tc>
        <w:tc>
          <w:tcPr>
            <w:tcW w:w="1843" w:type="dxa"/>
            <w:vAlign w:val="center"/>
            <w:hideMark/>
          </w:tcPr>
          <w:p w14:paraId="760C55F2"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Punjab</w:t>
            </w:r>
          </w:p>
        </w:tc>
        <w:tc>
          <w:tcPr>
            <w:tcW w:w="1843" w:type="dxa"/>
            <w:vAlign w:val="center"/>
            <w:hideMark/>
          </w:tcPr>
          <w:p w14:paraId="524A2291"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3.110</w:t>
            </w:r>
          </w:p>
        </w:tc>
      </w:tr>
      <w:tr w:rsidR="00340829" w:rsidRPr="009C5E16" w14:paraId="426A1A8B" w14:textId="77777777" w:rsidTr="004877FC">
        <w:trPr>
          <w:trHeight w:val="20"/>
          <w:jc w:val="center"/>
        </w:trPr>
        <w:tc>
          <w:tcPr>
            <w:tcW w:w="562" w:type="dxa"/>
            <w:vAlign w:val="center"/>
            <w:hideMark/>
          </w:tcPr>
          <w:p w14:paraId="517DA704"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20.</w:t>
            </w:r>
          </w:p>
        </w:tc>
        <w:tc>
          <w:tcPr>
            <w:tcW w:w="1843" w:type="dxa"/>
            <w:vAlign w:val="center"/>
            <w:hideMark/>
          </w:tcPr>
          <w:p w14:paraId="5C7D282F"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Rajasthan</w:t>
            </w:r>
          </w:p>
        </w:tc>
        <w:tc>
          <w:tcPr>
            <w:tcW w:w="1843" w:type="dxa"/>
            <w:vAlign w:val="center"/>
            <w:hideMark/>
          </w:tcPr>
          <w:p w14:paraId="487B6F5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4.579</w:t>
            </w:r>
          </w:p>
        </w:tc>
      </w:tr>
      <w:tr w:rsidR="00340829" w:rsidRPr="009C5E16" w14:paraId="196FFEA5" w14:textId="77777777" w:rsidTr="004877FC">
        <w:trPr>
          <w:trHeight w:val="20"/>
          <w:jc w:val="center"/>
        </w:trPr>
        <w:tc>
          <w:tcPr>
            <w:tcW w:w="562" w:type="dxa"/>
            <w:vAlign w:val="center"/>
            <w:hideMark/>
          </w:tcPr>
          <w:p w14:paraId="7B890F19"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21.</w:t>
            </w:r>
          </w:p>
        </w:tc>
        <w:tc>
          <w:tcPr>
            <w:tcW w:w="1843" w:type="dxa"/>
            <w:vAlign w:val="center"/>
            <w:hideMark/>
          </w:tcPr>
          <w:p w14:paraId="541532A8"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Sikkim</w:t>
            </w:r>
          </w:p>
        </w:tc>
        <w:tc>
          <w:tcPr>
            <w:tcW w:w="1843" w:type="dxa"/>
            <w:vAlign w:val="center"/>
            <w:hideMark/>
          </w:tcPr>
          <w:p w14:paraId="4C454B8B"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0.004</w:t>
            </w:r>
          </w:p>
        </w:tc>
      </w:tr>
      <w:tr w:rsidR="00340829" w:rsidRPr="009C5E16" w14:paraId="4E150225" w14:textId="77777777" w:rsidTr="004877FC">
        <w:trPr>
          <w:trHeight w:val="20"/>
          <w:jc w:val="center"/>
        </w:trPr>
        <w:tc>
          <w:tcPr>
            <w:tcW w:w="562" w:type="dxa"/>
            <w:vAlign w:val="center"/>
            <w:hideMark/>
          </w:tcPr>
          <w:p w14:paraId="7888D009"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22.</w:t>
            </w:r>
          </w:p>
        </w:tc>
        <w:tc>
          <w:tcPr>
            <w:tcW w:w="1843" w:type="dxa"/>
            <w:vAlign w:val="center"/>
            <w:hideMark/>
          </w:tcPr>
          <w:p w14:paraId="33A1F024"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Tamil Nadu</w:t>
            </w:r>
          </w:p>
        </w:tc>
        <w:tc>
          <w:tcPr>
            <w:tcW w:w="1843" w:type="dxa"/>
            <w:vAlign w:val="center"/>
            <w:hideMark/>
          </w:tcPr>
          <w:p w14:paraId="66866D1E"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6.893</w:t>
            </w:r>
          </w:p>
        </w:tc>
      </w:tr>
      <w:tr w:rsidR="00340829" w:rsidRPr="009C5E16" w14:paraId="4668F2E2" w14:textId="77777777" w:rsidTr="004877FC">
        <w:trPr>
          <w:trHeight w:val="20"/>
          <w:jc w:val="center"/>
        </w:trPr>
        <w:tc>
          <w:tcPr>
            <w:tcW w:w="562" w:type="dxa"/>
            <w:vAlign w:val="center"/>
            <w:hideMark/>
          </w:tcPr>
          <w:p w14:paraId="17003503"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23.</w:t>
            </w:r>
          </w:p>
        </w:tc>
        <w:tc>
          <w:tcPr>
            <w:tcW w:w="1843" w:type="dxa"/>
            <w:vAlign w:val="center"/>
            <w:hideMark/>
          </w:tcPr>
          <w:p w14:paraId="7DFE7952"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Tripura</w:t>
            </w:r>
          </w:p>
        </w:tc>
        <w:tc>
          <w:tcPr>
            <w:tcW w:w="1843" w:type="dxa"/>
            <w:vAlign w:val="center"/>
            <w:hideMark/>
          </w:tcPr>
          <w:p w14:paraId="268138B3"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0.042</w:t>
            </w:r>
          </w:p>
        </w:tc>
      </w:tr>
      <w:tr w:rsidR="00340829" w:rsidRPr="009C5E16" w14:paraId="00FCB163" w14:textId="77777777" w:rsidTr="004877FC">
        <w:trPr>
          <w:trHeight w:val="20"/>
          <w:jc w:val="center"/>
        </w:trPr>
        <w:tc>
          <w:tcPr>
            <w:tcW w:w="562" w:type="dxa"/>
            <w:vAlign w:val="center"/>
            <w:hideMark/>
          </w:tcPr>
          <w:p w14:paraId="433AA95C"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24.</w:t>
            </w:r>
          </w:p>
        </w:tc>
        <w:tc>
          <w:tcPr>
            <w:tcW w:w="1843" w:type="dxa"/>
            <w:vAlign w:val="center"/>
            <w:hideMark/>
          </w:tcPr>
          <w:p w14:paraId="3C7FFF6B"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Uttar Pradesh</w:t>
            </w:r>
          </w:p>
        </w:tc>
        <w:tc>
          <w:tcPr>
            <w:tcW w:w="1843" w:type="dxa"/>
            <w:vAlign w:val="center"/>
            <w:hideMark/>
          </w:tcPr>
          <w:p w14:paraId="15769346"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15.437</w:t>
            </w:r>
          </w:p>
        </w:tc>
      </w:tr>
      <w:tr w:rsidR="00340829" w:rsidRPr="009C5E16" w14:paraId="10064098" w14:textId="77777777" w:rsidTr="004877FC">
        <w:trPr>
          <w:trHeight w:val="20"/>
          <w:jc w:val="center"/>
        </w:trPr>
        <w:tc>
          <w:tcPr>
            <w:tcW w:w="562" w:type="dxa"/>
            <w:vAlign w:val="center"/>
            <w:hideMark/>
          </w:tcPr>
          <w:p w14:paraId="792DC4FB"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25.</w:t>
            </w:r>
          </w:p>
        </w:tc>
        <w:tc>
          <w:tcPr>
            <w:tcW w:w="1843" w:type="dxa"/>
            <w:vAlign w:val="center"/>
            <w:hideMark/>
          </w:tcPr>
          <w:p w14:paraId="6BEABCDB"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sz w:val="16"/>
                <w:szCs w:val="16"/>
              </w:rPr>
              <w:t>West Bengal</w:t>
            </w:r>
          </w:p>
        </w:tc>
        <w:tc>
          <w:tcPr>
            <w:tcW w:w="1843" w:type="dxa"/>
            <w:vAlign w:val="center"/>
            <w:hideMark/>
          </w:tcPr>
          <w:p w14:paraId="275C03B0" w14:textId="77777777"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sz w:val="16"/>
                <w:szCs w:val="16"/>
              </w:rPr>
              <w:t>7.203</w:t>
            </w:r>
          </w:p>
        </w:tc>
      </w:tr>
      <w:tr w:rsidR="00340829" w:rsidRPr="009C5E16" w14:paraId="4CA69A76" w14:textId="77777777" w:rsidTr="004877FC">
        <w:trPr>
          <w:trHeight w:val="20"/>
          <w:jc w:val="center"/>
        </w:trPr>
        <w:tc>
          <w:tcPr>
            <w:tcW w:w="562" w:type="dxa"/>
            <w:vAlign w:val="center"/>
            <w:hideMark/>
          </w:tcPr>
          <w:p w14:paraId="5AE8CFE6" w14:textId="77777777" w:rsidR="00340829" w:rsidRPr="009C5E16" w:rsidRDefault="00340829" w:rsidP="00445823">
            <w:pPr>
              <w:pStyle w:val="NoSpacing"/>
              <w:spacing w:line="160" w:lineRule="exact"/>
              <w:jc w:val="center"/>
              <w:rPr>
                <w:rFonts w:ascii="Times New Roman" w:hAnsi="Times New Roman" w:cs="Times New Roman"/>
                <w:sz w:val="16"/>
                <w:szCs w:val="16"/>
              </w:rPr>
            </w:pPr>
          </w:p>
        </w:tc>
        <w:tc>
          <w:tcPr>
            <w:tcW w:w="1843" w:type="dxa"/>
            <w:vAlign w:val="center"/>
            <w:hideMark/>
          </w:tcPr>
          <w:p w14:paraId="307C8BBD" w14:textId="77777777" w:rsidR="00340829" w:rsidRPr="009C5E16" w:rsidRDefault="00340829" w:rsidP="00445823">
            <w:pPr>
              <w:pStyle w:val="NoSpacing"/>
              <w:spacing w:line="160" w:lineRule="exact"/>
              <w:rPr>
                <w:rFonts w:ascii="Times New Roman" w:hAnsi="Times New Roman" w:cs="Times New Roman"/>
                <w:sz w:val="16"/>
                <w:szCs w:val="16"/>
              </w:rPr>
            </w:pPr>
            <w:r w:rsidRPr="009C5E16">
              <w:rPr>
                <w:rFonts w:ascii="Times New Roman" w:hAnsi="Times New Roman" w:cs="Times New Roman"/>
                <w:b/>
                <w:bCs/>
                <w:sz w:val="16"/>
                <w:szCs w:val="16"/>
              </w:rPr>
              <w:t>Total</w:t>
            </w:r>
          </w:p>
        </w:tc>
        <w:tc>
          <w:tcPr>
            <w:tcW w:w="1843" w:type="dxa"/>
            <w:vAlign w:val="center"/>
            <w:hideMark/>
          </w:tcPr>
          <w:p w14:paraId="35099BB1" w14:textId="2748759E" w:rsidR="00340829" w:rsidRPr="009C5E16" w:rsidRDefault="00340829" w:rsidP="00445823">
            <w:pPr>
              <w:pStyle w:val="NoSpacing"/>
              <w:spacing w:line="160" w:lineRule="exact"/>
              <w:jc w:val="center"/>
              <w:rPr>
                <w:rFonts w:ascii="Times New Roman" w:hAnsi="Times New Roman" w:cs="Times New Roman"/>
                <w:sz w:val="16"/>
                <w:szCs w:val="16"/>
              </w:rPr>
            </w:pPr>
            <w:r w:rsidRPr="009C5E16">
              <w:rPr>
                <w:rFonts w:ascii="Times New Roman" w:hAnsi="Times New Roman" w:cs="Times New Roman"/>
                <w:b/>
                <w:bCs/>
                <w:sz w:val="16"/>
                <w:szCs w:val="16"/>
              </w:rPr>
              <w:t xml:space="preserve">100.000 </w:t>
            </w:r>
          </w:p>
        </w:tc>
      </w:tr>
    </w:tbl>
    <w:p w14:paraId="04819FA6" w14:textId="7BD6434C" w:rsidR="005242D4" w:rsidRPr="005242D4" w:rsidRDefault="005242D4" w:rsidP="005242D4">
      <w:pPr>
        <w:pStyle w:val="NoSpacing"/>
        <w:ind w:left="3600"/>
        <w:jc w:val="center"/>
        <w:rPr>
          <w:rFonts w:ascii="Times New Roman" w:hAnsi="Times New Roman" w:cs="Times New Roman"/>
          <w:sz w:val="20"/>
          <w:szCs w:val="20"/>
        </w:rPr>
      </w:pPr>
      <w:r w:rsidRPr="005242D4">
        <w:rPr>
          <w:rFonts w:ascii="Times New Roman" w:hAnsi="Times New Roman" w:cs="Times New Roman"/>
          <w:sz w:val="16"/>
          <w:szCs w:val="16"/>
        </w:rPr>
        <w:t>(</w:t>
      </w:r>
      <w:proofErr w:type="gramStart"/>
      <w:r w:rsidRPr="005242D4">
        <w:rPr>
          <w:rFonts w:ascii="Times New Roman" w:hAnsi="Times New Roman" w:cs="Times New Roman"/>
          <w:sz w:val="16"/>
          <w:szCs w:val="16"/>
        </w:rPr>
        <w:t>para</w:t>
      </w:r>
      <w:proofErr w:type="gramEnd"/>
      <w:r w:rsidRPr="005242D4">
        <w:rPr>
          <w:rFonts w:ascii="Times New Roman" w:hAnsi="Times New Roman" w:cs="Times New Roman"/>
          <w:sz w:val="16"/>
          <w:szCs w:val="16"/>
        </w:rPr>
        <w:t>. 5.30)</w:t>
      </w:r>
    </w:p>
    <w:p w14:paraId="2AAB96E8" w14:textId="21D50731" w:rsidR="00340829" w:rsidRPr="004877FC" w:rsidRDefault="00340829" w:rsidP="004877FC">
      <w:pPr>
        <w:pStyle w:val="NoSpacing"/>
        <w:jc w:val="center"/>
        <w:rPr>
          <w:rFonts w:ascii="Times New Roman" w:hAnsi="Times New Roman" w:cs="Times New Roman"/>
          <w:b/>
          <w:bCs/>
          <w:sz w:val="20"/>
          <w:szCs w:val="20"/>
        </w:rPr>
      </w:pPr>
      <w:r w:rsidRPr="004877FC">
        <w:rPr>
          <w:rFonts w:ascii="Times New Roman" w:hAnsi="Times New Roman" w:cs="Times New Roman"/>
          <w:b/>
          <w:bCs/>
          <w:sz w:val="20"/>
          <w:szCs w:val="20"/>
        </w:rPr>
        <w:t>IV UNION DUTIES OF EXCISE</w:t>
      </w:r>
    </w:p>
    <w:p w14:paraId="13C902DF" w14:textId="2304AA6A" w:rsidR="00340829" w:rsidRPr="00AA6AF4" w:rsidRDefault="00340829" w:rsidP="00445823">
      <w:pPr>
        <w:pStyle w:val="Heading3"/>
        <w:spacing w:line="160" w:lineRule="exact"/>
      </w:pPr>
      <w:r w:rsidRPr="004877FC">
        <w:rPr>
          <w:b/>
          <w:bCs/>
        </w:rPr>
        <w:t>(</w:t>
      </w:r>
      <w:r w:rsidR="004877FC" w:rsidRPr="004877FC">
        <w:rPr>
          <w:b/>
          <w:bCs/>
        </w:rPr>
        <w:t>1)</w:t>
      </w:r>
      <w:r w:rsidR="004877FC" w:rsidRPr="00AA6AF4">
        <w:t xml:space="preserve"> The</w:t>
      </w:r>
      <w:r w:rsidRPr="00AA6AF4">
        <w:t xml:space="preserve"> divisible pool of Union Duties of Excise should include the net proceeds of all Excise Duties including Special Excise Duties but excluding duties collected under the Additional Duties of Excise (Textiles and Textile Articles) Act, 1978, and the earmarked cesses (para. 5.33).</w:t>
      </w:r>
    </w:p>
    <w:p w14:paraId="217FEE85" w14:textId="7F10A777" w:rsidR="00340829" w:rsidRPr="004877FC" w:rsidRDefault="00340829">
      <w:pPr>
        <w:pStyle w:val="ListParagraph"/>
        <w:numPr>
          <w:ilvl w:val="0"/>
          <w:numId w:val="39"/>
        </w:numPr>
        <w:spacing w:after="0" w:line="160" w:lineRule="exact"/>
        <w:jc w:val="both"/>
        <w:rPr>
          <w:rFonts w:ascii="Times New Roman" w:hAnsi="Times New Roman" w:cs="Times New Roman"/>
          <w:sz w:val="18"/>
          <w:szCs w:val="18"/>
        </w:rPr>
      </w:pPr>
      <w:r w:rsidRPr="004877FC">
        <w:rPr>
          <w:rFonts w:ascii="Times New Roman" w:hAnsi="Times New Roman" w:cs="Times New Roman"/>
          <w:sz w:val="18"/>
          <w:szCs w:val="18"/>
        </w:rPr>
        <w:t>The States' share in the net proceeds of shareable Union Excise Duties shall be 45 per cent (para. 5.34).</w:t>
      </w:r>
    </w:p>
    <w:p w14:paraId="43EE1F0F" w14:textId="2AC47205" w:rsidR="00340829" w:rsidRPr="004877FC" w:rsidRDefault="00340829">
      <w:pPr>
        <w:pStyle w:val="ListParagraph"/>
        <w:numPr>
          <w:ilvl w:val="0"/>
          <w:numId w:val="39"/>
        </w:numPr>
        <w:spacing w:after="0" w:line="160" w:lineRule="exact"/>
        <w:jc w:val="both"/>
        <w:rPr>
          <w:rFonts w:ascii="Times New Roman" w:hAnsi="Times New Roman" w:cs="Times New Roman"/>
          <w:sz w:val="18"/>
          <w:szCs w:val="18"/>
        </w:rPr>
      </w:pPr>
      <w:r w:rsidRPr="004877FC">
        <w:rPr>
          <w:rFonts w:ascii="Times New Roman" w:hAnsi="Times New Roman" w:cs="Times New Roman"/>
          <w:sz w:val="18"/>
          <w:szCs w:val="18"/>
        </w:rPr>
        <w:t>The percentage share of each State in the shareable Excise Duties in each of the years 1990-91 to 1994-95 should be as given below:</w:t>
      </w:r>
    </w:p>
    <w:tbl>
      <w:tblPr>
        <w:tblStyle w:val="TableGrid"/>
        <w:tblW w:w="4673" w:type="dxa"/>
        <w:jc w:val="center"/>
        <w:tblLook w:val="04A0" w:firstRow="1" w:lastRow="0" w:firstColumn="1" w:lastColumn="0" w:noHBand="0" w:noVBand="1"/>
      </w:tblPr>
      <w:tblGrid>
        <w:gridCol w:w="704"/>
        <w:gridCol w:w="1985"/>
        <w:gridCol w:w="1984"/>
      </w:tblGrid>
      <w:tr w:rsidR="00340829" w:rsidRPr="004877FC" w14:paraId="4B1A034C" w14:textId="77777777" w:rsidTr="004877FC">
        <w:trPr>
          <w:trHeight w:val="20"/>
          <w:jc w:val="center"/>
        </w:trPr>
        <w:tc>
          <w:tcPr>
            <w:tcW w:w="704" w:type="dxa"/>
            <w:vAlign w:val="center"/>
            <w:hideMark/>
          </w:tcPr>
          <w:p w14:paraId="212A6BE0" w14:textId="77777777" w:rsidR="00340829" w:rsidRPr="004877FC" w:rsidRDefault="00340829" w:rsidP="00445823">
            <w:pPr>
              <w:pStyle w:val="NoSpacing"/>
              <w:spacing w:line="160" w:lineRule="exact"/>
              <w:jc w:val="center"/>
              <w:rPr>
                <w:rFonts w:ascii="Times New Roman" w:hAnsi="Times New Roman" w:cs="Times New Roman"/>
                <w:sz w:val="16"/>
                <w:szCs w:val="16"/>
              </w:rPr>
            </w:pPr>
          </w:p>
        </w:tc>
        <w:tc>
          <w:tcPr>
            <w:tcW w:w="1985" w:type="dxa"/>
            <w:vAlign w:val="center"/>
            <w:hideMark/>
          </w:tcPr>
          <w:p w14:paraId="737939A7" w14:textId="77777777" w:rsidR="00340829" w:rsidRPr="004877FC" w:rsidRDefault="00340829" w:rsidP="00445823">
            <w:pPr>
              <w:pStyle w:val="NoSpacing"/>
              <w:spacing w:line="160" w:lineRule="exact"/>
              <w:rPr>
                <w:rFonts w:ascii="Times New Roman" w:hAnsi="Times New Roman" w:cs="Times New Roman"/>
                <w:b/>
                <w:bCs/>
                <w:sz w:val="16"/>
                <w:szCs w:val="16"/>
              </w:rPr>
            </w:pPr>
            <w:r w:rsidRPr="004877FC">
              <w:rPr>
                <w:rFonts w:ascii="Times New Roman" w:hAnsi="Times New Roman" w:cs="Times New Roman"/>
                <w:b/>
                <w:bCs/>
                <w:sz w:val="16"/>
                <w:szCs w:val="16"/>
              </w:rPr>
              <w:t>States</w:t>
            </w:r>
          </w:p>
        </w:tc>
        <w:tc>
          <w:tcPr>
            <w:tcW w:w="1984" w:type="dxa"/>
            <w:vAlign w:val="center"/>
            <w:hideMark/>
          </w:tcPr>
          <w:p w14:paraId="0CA5AE3D" w14:textId="77777777" w:rsidR="00340829" w:rsidRPr="004877FC" w:rsidRDefault="00340829" w:rsidP="00445823">
            <w:pPr>
              <w:pStyle w:val="NoSpacing"/>
              <w:spacing w:line="160" w:lineRule="exact"/>
              <w:jc w:val="center"/>
              <w:rPr>
                <w:rFonts w:ascii="Times New Roman" w:hAnsi="Times New Roman" w:cs="Times New Roman"/>
                <w:b/>
                <w:bCs/>
                <w:sz w:val="16"/>
                <w:szCs w:val="16"/>
              </w:rPr>
            </w:pPr>
            <w:r w:rsidRPr="004877FC">
              <w:rPr>
                <w:rFonts w:ascii="Times New Roman" w:hAnsi="Times New Roman" w:cs="Times New Roman"/>
                <w:b/>
                <w:bCs/>
                <w:sz w:val="16"/>
                <w:szCs w:val="16"/>
              </w:rPr>
              <w:t>Percentage Share</w:t>
            </w:r>
          </w:p>
        </w:tc>
      </w:tr>
      <w:tr w:rsidR="00340829" w:rsidRPr="004877FC" w14:paraId="2741ED01" w14:textId="77777777" w:rsidTr="004877FC">
        <w:trPr>
          <w:trHeight w:val="20"/>
          <w:jc w:val="center"/>
        </w:trPr>
        <w:tc>
          <w:tcPr>
            <w:tcW w:w="704" w:type="dxa"/>
            <w:vAlign w:val="center"/>
            <w:hideMark/>
          </w:tcPr>
          <w:p w14:paraId="3FFD49BC"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w:t>
            </w:r>
          </w:p>
        </w:tc>
        <w:tc>
          <w:tcPr>
            <w:tcW w:w="1985" w:type="dxa"/>
            <w:vAlign w:val="center"/>
            <w:hideMark/>
          </w:tcPr>
          <w:p w14:paraId="730283F1"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Andhra Pradesh</w:t>
            </w:r>
          </w:p>
        </w:tc>
        <w:tc>
          <w:tcPr>
            <w:tcW w:w="1984" w:type="dxa"/>
            <w:vAlign w:val="center"/>
            <w:hideMark/>
          </w:tcPr>
          <w:p w14:paraId="428C9BCD"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7.170</w:t>
            </w:r>
          </w:p>
        </w:tc>
      </w:tr>
      <w:tr w:rsidR="00340829" w:rsidRPr="004877FC" w14:paraId="0AC7AE94" w14:textId="77777777" w:rsidTr="004877FC">
        <w:trPr>
          <w:trHeight w:val="20"/>
          <w:jc w:val="center"/>
        </w:trPr>
        <w:tc>
          <w:tcPr>
            <w:tcW w:w="704" w:type="dxa"/>
            <w:vAlign w:val="center"/>
            <w:hideMark/>
          </w:tcPr>
          <w:p w14:paraId="272DF790"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w:t>
            </w:r>
          </w:p>
        </w:tc>
        <w:tc>
          <w:tcPr>
            <w:tcW w:w="1985" w:type="dxa"/>
            <w:vAlign w:val="center"/>
            <w:hideMark/>
          </w:tcPr>
          <w:p w14:paraId="297F0BA2"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Arunachal Pradesh</w:t>
            </w:r>
          </w:p>
        </w:tc>
        <w:tc>
          <w:tcPr>
            <w:tcW w:w="1984" w:type="dxa"/>
            <w:vAlign w:val="center"/>
            <w:hideMark/>
          </w:tcPr>
          <w:p w14:paraId="09EE01CC"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0.897</w:t>
            </w:r>
          </w:p>
        </w:tc>
      </w:tr>
      <w:tr w:rsidR="00340829" w:rsidRPr="004877FC" w14:paraId="12010034" w14:textId="77777777" w:rsidTr="004877FC">
        <w:trPr>
          <w:trHeight w:val="20"/>
          <w:jc w:val="center"/>
        </w:trPr>
        <w:tc>
          <w:tcPr>
            <w:tcW w:w="704" w:type="dxa"/>
            <w:vAlign w:val="center"/>
            <w:hideMark/>
          </w:tcPr>
          <w:p w14:paraId="29811179"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3.</w:t>
            </w:r>
          </w:p>
        </w:tc>
        <w:tc>
          <w:tcPr>
            <w:tcW w:w="1985" w:type="dxa"/>
            <w:vAlign w:val="center"/>
            <w:hideMark/>
          </w:tcPr>
          <w:p w14:paraId="57882127"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Assam</w:t>
            </w:r>
          </w:p>
        </w:tc>
        <w:tc>
          <w:tcPr>
            <w:tcW w:w="1984" w:type="dxa"/>
            <w:vAlign w:val="center"/>
            <w:hideMark/>
          </w:tcPr>
          <w:p w14:paraId="1C6CB8FA"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3.810</w:t>
            </w:r>
          </w:p>
        </w:tc>
      </w:tr>
      <w:tr w:rsidR="00340829" w:rsidRPr="004877FC" w14:paraId="10FC346A" w14:textId="77777777" w:rsidTr="004877FC">
        <w:trPr>
          <w:trHeight w:val="20"/>
          <w:jc w:val="center"/>
        </w:trPr>
        <w:tc>
          <w:tcPr>
            <w:tcW w:w="704" w:type="dxa"/>
            <w:vAlign w:val="center"/>
            <w:hideMark/>
          </w:tcPr>
          <w:p w14:paraId="4B7172E7"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4.</w:t>
            </w:r>
          </w:p>
        </w:tc>
        <w:tc>
          <w:tcPr>
            <w:tcW w:w="1985" w:type="dxa"/>
            <w:vAlign w:val="center"/>
            <w:hideMark/>
          </w:tcPr>
          <w:p w14:paraId="5A51E19B"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Bihar</w:t>
            </w:r>
          </w:p>
        </w:tc>
        <w:tc>
          <w:tcPr>
            <w:tcW w:w="1984" w:type="dxa"/>
            <w:vAlign w:val="center"/>
            <w:hideMark/>
          </w:tcPr>
          <w:p w14:paraId="1248E169"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11.028</w:t>
            </w:r>
          </w:p>
        </w:tc>
      </w:tr>
      <w:tr w:rsidR="00340829" w:rsidRPr="004877FC" w14:paraId="70E033E1" w14:textId="77777777" w:rsidTr="004877FC">
        <w:trPr>
          <w:trHeight w:val="20"/>
          <w:jc w:val="center"/>
        </w:trPr>
        <w:tc>
          <w:tcPr>
            <w:tcW w:w="704" w:type="dxa"/>
            <w:vAlign w:val="center"/>
            <w:hideMark/>
          </w:tcPr>
          <w:p w14:paraId="367393FC"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5.</w:t>
            </w:r>
          </w:p>
        </w:tc>
        <w:tc>
          <w:tcPr>
            <w:tcW w:w="1985" w:type="dxa"/>
            <w:vAlign w:val="center"/>
            <w:hideMark/>
          </w:tcPr>
          <w:p w14:paraId="0B00FD59"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Goa</w:t>
            </w:r>
          </w:p>
        </w:tc>
        <w:tc>
          <w:tcPr>
            <w:tcW w:w="1984" w:type="dxa"/>
            <w:vAlign w:val="center"/>
            <w:hideMark/>
          </w:tcPr>
          <w:p w14:paraId="4003E7CB"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0.523</w:t>
            </w:r>
          </w:p>
        </w:tc>
      </w:tr>
      <w:tr w:rsidR="00340829" w:rsidRPr="004877FC" w14:paraId="68DA2B2C" w14:textId="77777777" w:rsidTr="004877FC">
        <w:trPr>
          <w:trHeight w:val="20"/>
          <w:jc w:val="center"/>
        </w:trPr>
        <w:tc>
          <w:tcPr>
            <w:tcW w:w="704" w:type="dxa"/>
            <w:vAlign w:val="center"/>
            <w:hideMark/>
          </w:tcPr>
          <w:p w14:paraId="64333679"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6.</w:t>
            </w:r>
          </w:p>
        </w:tc>
        <w:tc>
          <w:tcPr>
            <w:tcW w:w="1985" w:type="dxa"/>
            <w:vAlign w:val="center"/>
            <w:hideMark/>
          </w:tcPr>
          <w:p w14:paraId="1BBDA3FD"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Gujarat</w:t>
            </w:r>
          </w:p>
        </w:tc>
        <w:tc>
          <w:tcPr>
            <w:tcW w:w="1984" w:type="dxa"/>
            <w:vAlign w:val="center"/>
            <w:hideMark/>
          </w:tcPr>
          <w:p w14:paraId="5548E731"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3.183</w:t>
            </w:r>
          </w:p>
        </w:tc>
      </w:tr>
      <w:tr w:rsidR="00340829" w:rsidRPr="004877FC" w14:paraId="484EE22C" w14:textId="77777777" w:rsidTr="004877FC">
        <w:trPr>
          <w:trHeight w:val="20"/>
          <w:jc w:val="center"/>
        </w:trPr>
        <w:tc>
          <w:tcPr>
            <w:tcW w:w="704" w:type="dxa"/>
            <w:vAlign w:val="center"/>
            <w:hideMark/>
          </w:tcPr>
          <w:p w14:paraId="14B7382A"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7.</w:t>
            </w:r>
          </w:p>
        </w:tc>
        <w:tc>
          <w:tcPr>
            <w:tcW w:w="1985" w:type="dxa"/>
            <w:vAlign w:val="center"/>
            <w:hideMark/>
          </w:tcPr>
          <w:p w14:paraId="53F25C6D"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Haryana</w:t>
            </w:r>
          </w:p>
        </w:tc>
        <w:tc>
          <w:tcPr>
            <w:tcW w:w="1984" w:type="dxa"/>
            <w:vAlign w:val="center"/>
            <w:hideMark/>
          </w:tcPr>
          <w:p w14:paraId="13D0B225"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1.099</w:t>
            </w:r>
          </w:p>
        </w:tc>
      </w:tr>
      <w:tr w:rsidR="00340829" w:rsidRPr="004877FC" w14:paraId="2ECB4C7F" w14:textId="77777777" w:rsidTr="004877FC">
        <w:trPr>
          <w:trHeight w:val="20"/>
          <w:jc w:val="center"/>
        </w:trPr>
        <w:tc>
          <w:tcPr>
            <w:tcW w:w="704" w:type="dxa"/>
            <w:vAlign w:val="center"/>
            <w:hideMark/>
          </w:tcPr>
          <w:p w14:paraId="15479CAF"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8.</w:t>
            </w:r>
          </w:p>
        </w:tc>
        <w:tc>
          <w:tcPr>
            <w:tcW w:w="1985" w:type="dxa"/>
            <w:vAlign w:val="center"/>
            <w:hideMark/>
          </w:tcPr>
          <w:p w14:paraId="7752B239"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Himachal Pradesh</w:t>
            </w:r>
          </w:p>
        </w:tc>
        <w:tc>
          <w:tcPr>
            <w:tcW w:w="1984" w:type="dxa"/>
            <w:vAlign w:val="center"/>
            <w:hideMark/>
          </w:tcPr>
          <w:p w14:paraId="3A8C2DF1"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1.943</w:t>
            </w:r>
          </w:p>
        </w:tc>
      </w:tr>
      <w:tr w:rsidR="00340829" w:rsidRPr="004877FC" w14:paraId="677D6D26" w14:textId="77777777" w:rsidTr="004877FC">
        <w:trPr>
          <w:trHeight w:val="20"/>
          <w:jc w:val="center"/>
        </w:trPr>
        <w:tc>
          <w:tcPr>
            <w:tcW w:w="704" w:type="dxa"/>
            <w:vAlign w:val="center"/>
            <w:hideMark/>
          </w:tcPr>
          <w:p w14:paraId="484264BA"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9.</w:t>
            </w:r>
          </w:p>
        </w:tc>
        <w:tc>
          <w:tcPr>
            <w:tcW w:w="1985" w:type="dxa"/>
            <w:vAlign w:val="center"/>
            <w:hideMark/>
          </w:tcPr>
          <w:p w14:paraId="361EFD13"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Jammu and Kashmir</w:t>
            </w:r>
          </w:p>
        </w:tc>
        <w:tc>
          <w:tcPr>
            <w:tcW w:w="1984" w:type="dxa"/>
            <w:vAlign w:val="center"/>
            <w:hideMark/>
          </w:tcPr>
          <w:p w14:paraId="5DDFA30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3.548</w:t>
            </w:r>
          </w:p>
        </w:tc>
      </w:tr>
      <w:tr w:rsidR="00340829" w:rsidRPr="004877FC" w14:paraId="03A205D5" w14:textId="77777777" w:rsidTr="004877FC">
        <w:trPr>
          <w:trHeight w:val="20"/>
          <w:jc w:val="center"/>
        </w:trPr>
        <w:tc>
          <w:tcPr>
            <w:tcW w:w="704" w:type="dxa"/>
            <w:vAlign w:val="center"/>
            <w:hideMark/>
          </w:tcPr>
          <w:p w14:paraId="51D13A7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10.</w:t>
            </w:r>
          </w:p>
        </w:tc>
        <w:tc>
          <w:tcPr>
            <w:tcW w:w="1985" w:type="dxa"/>
            <w:vAlign w:val="center"/>
            <w:hideMark/>
          </w:tcPr>
          <w:p w14:paraId="62BC19FA"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Karnataka</w:t>
            </w:r>
          </w:p>
        </w:tc>
        <w:tc>
          <w:tcPr>
            <w:tcW w:w="1984" w:type="dxa"/>
            <w:vAlign w:val="center"/>
            <w:hideMark/>
          </w:tcPr>
          <w:p w14:paraId="653D819B"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4.104</w:t>
            </w:r>
          </w:p>
        </w:tc>
      </w:tr>
      <w:tr w:rsidR="00340829" w:rsidRPr="004877FC" w14:paraId="2CBB8A70" w14:textId="77777777" w:rsidTr="004877FC">
        <w:trPr>
          <w:trHeight w:val="20"/>
          <w:jc w:val="center"/>
        </w:trPr>
        <w:tc>
          <w:tcPr>
            <w:tcW w:w="704" w:type="dxa"/>
            <w:vAlign w:val="center"/>
            <w:hideMark/>
          </w:tcPr>
          <w:p w14:paraId="79C66CC8"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11.</w:t>
            </w:r>
          </w:p>
        </w:tc>
        <w:tc>
          <w:tcPr>
            <w:tcW w:w="1985" w:type="dxa"/>
            <w:vAlign w:val="center"/>
            <w:hideMark/>
          </w:tcPr>
          <w:p w14:paraId="4C481B88"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Kerala</w:t>
            </w:r>
          </w:p>
        </w:tc>
        <w:tc>
          <w:tcPr>
            <w:tcW w:w="1984" w:type="dxa"/>
            <w:vAlign w:val="center"/>
            <w:hideMark/>
          </w:tcPr>
          <w:p w14:paraId="0555196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3.087</w:t>
            </w:r>
          </w:p>
        </w:tc>
      </w:tr>
      <w:tr w:rsidR="00340829" w:rsidRPr="004877FC" w14:paraId="571F806E" w14:textId="77777777" w:rsidTr="004877FC">
        <w:trPr>
          <w:trHeight w:val="20"/>
          <w:jc w:val="center"/>
        </w:trPr>
        <w:tc>
          <w:tcPr>
            <w:tcW w:w="704" w:type="dxa"/>
            <w:vAlign w:val="center"/>
            <w:hideMark/>
          </w:tcPr>
          <w:p w14:paraId="31BAA941"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12.</w:t>
            </w:r>
          </w:p>
        </w:tc>
        <w:tc>
          <w:tcPr>
            <w:tcW w:w="1985" w:type="dxa"/>
            <w:vAlign w:val="center"/>
            <w:hideMark/>
          </w:tcPr>
          <w:p w14:paraId="60FBEFCA"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Madhya Pradesh</w:t>
            </w:r>
          </w:p>
        </w:tc>
        <w:tc>
          <w:tcPr>
            <w:tcW w:w="1984" w:type="dxa"/>
            <w:vAlign w:val="center"/>
            <w:hideMark/>
          </w:tcPr>
          <w:p w14:paraId="3C2AF5AB"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7.224</w:t>
            </w:r>
          </w:p>
        </w:tc>
      </w:tr>
      <w:tr w:rsidR="00340829" w:rsidRPr="004877FC" w14:paraId="3923D54A" w14:textId="77777777" w:rsidTr="004877FC">
        <w:trPr>
          <w:trHeight w:val="20"/>
          <w:jc w:val="center"/>
        </w:trPr>
        <w:tc>
          <w:tcPr>
            <w:tcW w:w="704" w:type="dxa"/>
            <w:vAlign w:val="center"/>
            <w:hideMark/>
          </w:tcPr>
          <w:p w14:paraId="6E8ED799"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13.</w:t>
            </w:r>
          </w:p>
        </w:tc>
        <w:tc>
          <w:tcPr>
            <w:tcW w:w="1985" w:type="dxa"/>
            <w:vAlign w:val="center"/>
            <w:hideMark/>
          </w:tcPr>
          <w:p w14:paraId="78F1E80A"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Maharashtra</w:t>
            </w:r>
          </w:p>
        </w:tc>
        <w:tc>
          <w:tcPr>
            <w:tcW w:w="1984" w:type="dxa"/>
            <w:vAlign w:val="center"/>
            <w:hideMark/>
          </w:tcPr>
          <w:p w14:paraId="735FB15B"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5.185</w:t>
            </w:r>
          </w:p>
        </w:tc>
      </w:tr>
      <w:tr w:rsidR="00340829" w:rsidRPr="004877FC" w14:paraId="5F53DDC3" w14:textId="77777777" w:rsidTr="004877FC">
        <w:trPr>
          <w:trHeight w:val="20"/>
          <w:jc w:val="center"/>
        </w:trPr>
        <w:tc>
          <w:tcPr>
            <w:tcW w:w="704" w:type="dxa"/>
            <w:vAlign w:val="center"/>
            <w:hideMark/>
          </w:tcPr>
          <w:p w14:paraId="2EBA3AA5"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14.</w:t>
            </w:r>
          </w:p>
        </w:tc>
        <w:tc>
          <w:tcPr>
            <w:tcW w:w="1985" w:type="dxa"/>
            <w:vAlign w:val="center"/>
            <w:hideMark/>
          </w:tcPr>
          <w:p w14:paraId="39689FB6"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Manipur</w:t>
            </w:r>
          </w:p>
        </w:tc>
        <w:tc>
          <w:tcPr>
            <w:tcW w:w="1984" w:type="dxa"/>
            <w:vAlign w:val="center"/>
            <w:hideMark/>
          </w:tcPr>
          <w:p w14:paraId="7DC3E5CD"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1.174</w:t>
            </w:r>
          </w:p>
        </w:tc>
      </w:tr>
      <w:tr w:rsidR="00340829" w:rsidRPr="004877FC" w14:paraId="5D14EC44" w14:textId="77777777" w:rsidTr="004877FC">
        <w:trPr>
          <w:trHeight w:val="20"/>
          <w:jc w:val="center"/>
        </w:trPr>
        <w:tc>
          <w:tcPr>
            <w:tcW w:w="704" w:type="dxa"/>
            <w:vAlign w:val="center"/>
            <w:hideMark/>
          </w:tcPr>
          <w:p w14:paraId="2F6F5815"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15.</w:t>
            </w:r>
          </w:p>
        </w:tc>
        <w:tc>
          <w:tcPr>
            <w:tcW w:w="1985" w:type="dxa"/>
            <w:vAlign w:val="center"/>
            <w:hideMark/>
          </w:tcPr>
          <w:p w14:paraId="5D92FA17"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Meghalaya</w:t>
            </w:r>
          </w:p>
        </w:tc>
        <w:tc>
          <w:tcPr>
            <w:tcW w:w="1984" w:type="dxa"/>
            <w:vAlign w:val="center"/>
            <w:hideMark/>
          </w:tcPr>
          <w:p w14:paraId="6A9123BD"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0.891</w:t>
            </w:r>
          </w:p>
        </w:tc>
      </w:tr>
      <w:tr w:rsidR="00340829" w:rsidRPr="004877FC" w14:paraId="3D6CF872" w14:textId="77777777" w:rsidTr="004877FC">
        <w:trPr>
          <w:trHeight w:val="20"/>
          <w:jc w:val="center"/>
        </w:trPr>
        <w:tc>
          <w:tcPr>
            <w:tcW w:w="704" w:type="dxa"/>
            <w:vAlign w:val="center"/>
            <w:hideMark/>
          </w:tcPr>
          <w:p w14:paraId="06B8C80B"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16.</w:t>
            </w:r>
          </w:p>
        </w:tc>
        <w:tc>
          <w:tcPr>
            <w:tcW w:w="1985" w:type="dxa"/>
            <w:vAlign w:val="center"/>
            <w:hideMark/>
          </w:tcPr>
          <w:p w14:paraId="79DF1194"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Mizoram</w:t>
            </w:r>
          </w:p>
        </w:tc>
        <w:tc>
          <w:tcPr>
            <w:tcW w:w="1984" w:type="dxa"/>
            <w:vAlign w:val="center"/>
            <w:hideMark/>
          </w:tcPr>
          <w:p w14:paraId="7DB254D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1.109</w:t>
            </w:r>
          </w:p>
        </w:tc>
      </w:tr>
      <w:tr w:rsidR="00340829" w:rsidRPr="004877FC" w14:paraId="5C0405D7" w14:textId="77777777" w:rsidTr="004877FC">
        <w:trPr>
          <w:trHeight w:val="20"/>
          <w:jc w:val="center"/>
        </w:trPr>
        <w:tc>
          <w:tcPr>
            <w:tcW w:w="704" w:type="dxa"/>
            <w:vAlign w:val="center"/>
            <w:hideMark/>
          </w:tcPr>
          <w:p w14:paraId="1884068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17.</w:t>
            </w:r>
          </w:p>
        </w:tc>
        <w:tc>
          <w:tcPr>
            <w:tcW w:w="1985" w:type="dxa"/>
            <w:vAlign w:val="center"/>
            <w:hideMark/>
          </w:tcPr>
          <w:p w14:paraId="1BFA5B95"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Nagaland</w:t>
            </w:r>
          </w:p>
        </w:tc>
        <w:tc>
          <w:tcPr>
            <w:tcW w:w="1984" w:type="dxa"/>
            <w:vAlign w:val="center"/>
            <w:hideMark/>
          </w:tcPr>
          <w:p w14:paraId="6E981900"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1.348</w:t>
            </w:r>
          </w:p>
        </w:tc>
      </w:tr>
      <w:tr w:rsidR="00340829" w:rsidRPr="004877FC" w14:paraId="3C7DB3EA" w14:textId="77777777" w:rsidTr="004877FC">
        <w:trPr>
          <w:trHeight w:val="20"/>
          <w:jc w:val="center"/>
        </w:trPr>
        <w:tc>
          <w:tcPr>
            <w:tcW w:w="704" w:type="dxa"/>
            <w:vAlign w:val="center"/>
            <w:hideMark/>
          </w:tcPr>
          <w:p w14:paraId="2160F83A"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18.</w:t>
            </w:r>
          </w:p>
        </w:tc>
        <w:tc>
          <w:tcPr>
            <w:tcW w:w="1985" w:type="dxa"/>
            <w:vAlign w:val="center"/>
            <w:hideMark/>
          </w:tcPr>
          <w:p w14:paraId="201F8ADC"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Orissa</w:t>
            </w:r>
          </w:p>
        </w:tc>
        <w:tc>
          <w:tcPr>
            <w:tcW w:w="1984" w:type="dxa"/>
            <w:vAlign w:val="center"/>
            <w:hideMark/>
          </w:tcPr>
          <w:p w14:paraId="751EDFD4"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5.358</w:t>
            </w:r>
          </w:p>
        </w:tc>
      </w:tr>
      <w:tr w:rsidR="00340829" w:rsidRPr="004877FC" w14:paraId="7D4F4F7E" w14:textId="77777777" w:rsidTr="004877FC">
        <w:trPr>
          <w:trHeight w:val="20"/>
          <w:jc w:val="center"/>
        </w:trPr>
        <w:tc>
          <w:tcPr>
            <w:tcW w:w="704" w:type="dxa"/>
            <w:vAlign w:val="center"/>
            <w:hideMark/>
          </w:tcPr>
          <w:p w14:paraId="3D6BE110"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19.</w:t>
            </w:r>
          </w:p>
        </w:tc>
        <w:tc>
          <w:tcPr>
            <w:tcW w:w="1985" w:type="dxa"/>
            <w:vAlign w:val="center"/>
            <w:hideMark/>
          </w:tcPr>
          <w:p w14:paraId="6EA60078"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Punjab</w:t>
            </w:r>
          </w:p>
        </w:tc>
        <w:tc>
          <w:tcPr>
            <w:tcW w:w="1984" w:type="dxa"/>
            <w:vAlign w:val="center"/>
            <w:hideMark/>
          </w:tcPr>
          <w:p w14:paraId="716CFDBE"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1.362</w:t>
            </w:r>
          </w:p>
        </w:tc>
      </w:tr>
      <w:tr w:rsidR="00340829" w:rsidRPr="004877FC" w14:paraId="2B693DE5" w14:textId="77777777" w:rsidTr="004877FC">
        <w:trPr>
          <w:trHeight w:val="20"/>
          <w:jc w:val="center"/>
        </w:trPr>
        <w:tc>
          <w:tcPr>
            <w:tcW w:w="704" w:type="dxa"/>
            <w:vAlign w:val="center"/>
            <w:hideMark/>
          </w:tcPr>
          <w:p w14:paraId="66A97D26"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20.</w:t>
            </w:r>
          </w:p>
        </w:tc>
        <w:tc>
          <w:tcPr>
            <w:tcW w:w="1985" w:type="dxa"/>
            <w:vAlign w:val="center"/>
            <w:hideMark/>
          </w:tcPr>
          <w:p w14:paraId="0F32F5B2"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Rajasthan</w:t>
            </w:r>
          </w:p>
        </w:tc>
        <w:tc>
          <w:tcPr>
            <w:tcW w:w="1984" w:type="dxa"/>
            <w:vAlign w:val="center"/>
            <w:hideMark/>
          </w:tcPr>
          <w:p w14:paraId="31086DCE"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5.524</w:t>
            </w:r>
          </w:p>
        </w:tc>
      </w:tr>
      <w:tr w:rsidR="00340829" w:rsidRPr="004877FC" w14:paraId="5F715E64" w14:textId="77777777" w:rsidTr="004877FC">
        <w:trPr>
          <w:trHeight w:val="20"/>
          <w:jc w:val="center"/>
        </w:trPr>
        <w:tc>
          <w:tcPr>
            <w:tcW w:w="704" w:type="dxa"/>
            <w:vAlign w:val="center"/>
            <w:hideMark/>
          </w:tcPr>
          <w:p w14:paraId="7F784DA8"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21.</w:t>
            </w:r>
          </w:p>
        </w:tc>
        <w:tc>
          <w:tcPr>
            <w:tcW w:w="1985" w:type="dxa"/>
            <w:vAlign w:val="center"/>
            <w:hideMark/>
          </w:tcPr>
          <w:p w14:paraId="45483392"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Sikkim</w:t>
            </w:r>
          </w:p>
        </w:tc>
        <w:tc>
          <w:tcPr>
            <w:tcW w:w="1984" w:type="dxa"/>
            <w:vAlign w:val="center"/>
            <w:hideMark/>
          </w:tcPr>
          <w:p w14:paraId="7DEF4685"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0.260</w:t>
            </w:r>
          </w:p>
        </w:tc>
      </w:tr>
      <w:tr w:rsidR="00340829" w:rsidRPr="004877FC" w14:paraId="18EF6282" w14:textId="77777777" w:rsidTr="004877FC">
        <w:trPr>
          <w:trHeight w:val="20"/>
          <w:jc w:val="center"/>
        </w:trPr>
        <w:tc>
          <w:tcPr>
            <w:tcW w:w="704" w:type="dxa"/>
            <w:vAlign w:val="center"/>
            <w:hideMark/>
          </w:tcPr>
          <w:p w14:paraId="1B3F08C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22.</w:t>
            </w:r>
          </w:p>
        </w:tc>
        <w:tc>
          <w:tcPr>
            <w:tcW w:w="1985" w:type="dxa"/>
            <w:vAlign w:val="center"/>
            <w:hideMark/>
          </w:tcPr>
          <w:p w14:paraId="5C3FB991"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Tamil Nadu</w:t>
            </w:r>
          </w:p>
        </w:tc>
        <w:tc>
          <w:tcPr>
            <w:tcW w:w="1984" w:type="dxa"/>
            <w:vAlign w:val="center"/>
            <w:hideMark/>
          </w:tcPr>
          <w:p w14:paraId="13BEC745"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6.379</w:t>
            </w:r>
          </w:p>
        </w:tc>
      </w:tr>
      <w:tr w:rsidR="00340829" w:rsidRPr="004877FC" w14:paraId="40B59D04" w14:textId="77777777" w:rsidTr="004877FC">
        <w:trPr>
          <w:trHeight w:val="20"/>
          <w:jc w:val="center"/>
        </w:trPr>
        <w:tc>
          <w:tcPr>
            <w:tcW w:w="704" w:type="dxa"/>
            <w:vAlign w:val="center"/>
            <w:hideMark/>
          </w:tcPr>
          <w:p w14:paraId="32A2D0CC"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23.</w:t>
            </w:r>
          </w:p>
        </w:tc>
        <w:tc>
          <w:tcPr>
            <w:tcW w:w="1985" w:type="dxa"/>
            <w:vAlign w:val="center"/>
            <w:hideMark/>
          </w:tcPr>
          <w:p w14:paraId="2B30E519"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Tripura</w:t>
            </w:r>
          </w:p>
        </w:tc>
        <w:tc>
          <w:tcPr>
            <w:tcW w:w="1984" w:type="dxa"/>
            <w:vAlign w:val="center"/>
            <w:hideMark/>
          </w:tcPr>
          <w:p w14:paraId="0DD1B266"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1.556</w:t>
            </w:r>
          </w:p>
        </w:tc>
      </w:tr>
      <w:tr w:rsidR="00340829" w:rsidRPr="004877FC" w14:paraId="15D723F2" w14:textId="77777777" w:rsidTr="004877FC">
        <w:trPr>
          <w:trHeight w:val="20"/>
          <w:jc w:val="center"/>
        </w:trPr>
        <w:tc>
          <w:tcPr>
            <w:tcW w:w="704" w:type="dxa"/>
            <w:vAlign w:val="center"/>
            <w:hideMark/>
          </w:tcPr>
          <w:p w14:paraId="12557181"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24.</w:t>
            </w:r>
          </w:p>
        </w:tc>
        <w:tc>
          <w:tcPr>
            <w:tcW w:w="1985" w:type="dxa"/>
            <w:vAlign w:val="center"/>
            <w:hideMark/>
          </w:tcPr>
          <w:p w14:paraId="72F02D8A"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Uttar Pradesh</w:t>
            </w:r>
          </w:p>
        </w:tc>
        <w:tc>
          <w:tcPr>
            <w:tcW w:w="1984" w:type="dxa"/>
            <w:vAlign w:val="center"/>
            <w:hideMark/>
          </w:tcPr>
          <w:p w14:paraId="030FF282"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15.638</w:t>
            </w:r>
          </w:p>
        </w:tc>
      </w:tr>
      <w:tr w:rsidR="00340829" w:rsidRPr="004877FC" w14:paraId="7114D32C" w14:textId="77777777" w:rsidTr="004877FC">
        <w:trPr>
          <w:trHeight w:val="20"/>
          <w:jc w:val="center"/>
        </w:trPr>
        <w:tc>
          <w:tcPr>
            <w:tcW w:w="704" w:type="dxa"/>
            <w:vAlign w:val="center"/>
            <w:hideMark/>
          </w:tcPr>
          <w:p w14:paraId="798AAFAA"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25.</w:t>
            </w:r>
          </w:p>
        </w:tc>
        <w:tc>
          <w:tcPr>
            <w:tcW w:w="1985" w:type="dxa"/>
            <w:vAlign w:val="center"/>
            <w:hideMark/>
          </w:tcPr>
          <w:p w14:paraId="5881F8CE"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sz w:val="16"/>
                <w:szCs w:val="16"/>
              </w:rPr>
              <w:t>West Bengal</w:t>
            </w:r>
          </w:p>
        </w:tc>
        <w:tc>
          <w:tcPr>
            <w:tcW w:w="1984" w:type="dxa"/>
            <w:vAlign w:val="center"/>
            <w:hideMark/>
          </w:tcPr>
          <w:p w14:paraId="0D32CDFB" w14:textId="7777777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sz w:val="16"/>
                <w:szCs w:val="16"/>
              </w:rPr>
              <w:t>6.600</w:t>
            </w:r>
          </w:p>
        </w:tc>
      </w:tr>
      <w:tr w:rsidR="00340829" w:rsidRPr="004877FC" w14:paraId="6921326C" w14:textId="77777777" w:rsidTr="004877FC">
        <w:trPr>
          <w:trHeight w:val="20"/>
          <w:jc w:val="center"/>
        </w:trPr>
        <w:tc>
          <w:tcPr>
            <w:tcW w:w="704" w:type="dxa"/>
            <w:vAlign w:val="center"/>
            <w:hideMark/>
          </w:tcPr>
          <w:p w14:paraId="46F639A4" w14:textId="77777777" w:rsidR="00340829" w:rsidRPr="004877FC" w:rsidRDefault="00340829" w:rsidP="00445823">
            <w:pPr>
              <w:pStyle w:val="NoSpacing"/>
              <w:spacing w:line="160" w:lineRule="exact"/>
              <w:jc w:val="center"/>
              <w:rPr>
                <w:rFonts w:ascii="Times New Roman" w:hAnsi="Times New Roman" w:cs="Times New Roman"/>
                <w:sz w:val="16"/>
                <w:szCs w:val="16"/>
              </w:rPr>
            </w:pPr>
          </w:p>
        </w:tc>
        <w:tc>
          <w:tcPr>
            <w:tcW w:w="1985" w:type="dxa"/>
            <w:vAlign w:val="center"/>
            <w:hideMark/>
          </w:tcPr>
          <w:p w14:paraId="6F0E2FC0" w14:textId="77777777" w:rsidR="00340829" w:rsidRPr="004877FC" w:rsidRDefault="00340829" w:rsidP="00445823">
            <w:pPr>
              <w:pStyle w:val="NoSpacing"/>
              <w:spacing w:line="160" w:lineRule="exact"/>
              <w:rPr>
                <w:rFonts w:ascii="Times New Roman" w:hAnsi="Times New Roman" w:cs="Times New Roman"/>
                <w:sz w:val="16"/>
                <w:szCs w:val="16"/>
              </w:rPr>
            </w:pPr>
            <w:r w:rsidRPr="004877FC">
              <w:rPr>
                <w:rFonts w:ascii="Times New Roman" w:hAnsi="Times New Roman" w:cs="Times New Roman"/>
                <w:b/>
                <w:bCs/>
                <w:sz w:val="16"/>
                <w:szCs w:val="16"/>
              </w:rPr>
              <w:t>Total</w:t>
            </w:r>
          </w:p>
        </w:tc>
        <w:tc>
          <w:tcPr>
            <w:tcW w:w="1984" w:type="dxa"/>
            <w:vAlign w:val="center"/>
            <w:hideMark/>
          </w:tcPr>
          <w:p w14:paraId="0E4ADD87" w14:textId="42857887" w:rsidR="00340829" w:rsidRPr="004877FC" w:rsidRDefault="00340829" w:rsidP="00445823">
            <w:pPr>
              <w:pStyle w:val="NoSpacing"/>
              <w:spacing w:line="160" w:lineRule="exact"/>
              <w:jc w:val="center"/>
              <w:rPr>
                <w:rFonts w:ascii="Times New Roman" w:hAnsi="Times New Roman" w:cs="Times New Roman"/>
                <w:sz w:val="16"/>
                <w:szCs w:val="16"/>
              </w:rPr>
            </w:pPr>
            <w:r w:rsidRPr="004877FC">
              <w:rPr>
                <w:rFonts w:ascii="Times New Roman" w:hAnsi="Times New Roman" w:cs="Times New Roman"/>
                <w:b/>
                <w:bCs/>
                <w:sz w:val="16"/>
                <w:szCs w:val="16"/>
              </w:rPr>
              <w:t xml:space="preserve">100.000 </w:t>
            </w:r>
          </w:p>
        </w:tc>
      </w:tr>
    </w:tbl>
    <w:p w14:paraId="2D3798A2" w14:textId="48E75C23" w:rsidR="005242D4" w:rsidRPr="005242D4" w:rsidRDefault="005242D4" w:rsidP="005242D4">
      <w:pPr>
        <w:pStyle w:val="NoSpacing"/>
        <w:ind w:left="3600"/>
        <w:jc w:val="center"/>
        <w:rPr>
          <w:rFonts w:ascii="Times New Roman" w:hAnsi="Times New Roman" w:cs="Times New Roman"/>
          <w:sz w:val="20"/>
          <w:szCs w:val="20"/>
        </w:rPr>
      </w:pPr>
      <w:r w:rsidRPr="005242D4">
        <w:rPr>
          <w:rFonts w:ascii="Times New Roman" w:hAnsi="Times New Roman" w:cs="Times New Roman"/>
          <w:sz w:val="16"/>
          <w:szCs w:val="16"/>
        </w:rPr>
        <w:t>(para 5.37)</w:t>
      </w:r>
    </w:p>
    <w:p w14:paraId="399843C8" w14:textId="156DB7F9" w:rsidR="00340829" w:rsidRPr="004877FC" w:rsidRDefault="00340829" w:rsidP="004877FC">
      <w:pPr>
        <w:pStyle w:val="NoSpacing"/>
        <w:jc w:val="center"/>
        <w:rPr>
          <w:rFonts w:ascii="Times New Roman" w:hAnsi="Times New Roman" w:cs="Times New Roman"/>
          <w:b/>
          <w:bCs/>
          <w:sz w:val="20"/>
          <w:szCs w:val="20"/>
        </w:rPr>
      </w:pPr>
      <w:r w:rsidRPr="004877FC">
        <w:rPr>
          <w:rFonts w:ascii="Times New Roman" w:hAnsi="Times New Roman" w:cs="Times New Roman"/>
          <w:b/>
          <w:bCs/>
          <w:sz w:val="20"/>
          <w:szCs w:val="20"/>
        </w:rPr>
        <w:t>V. FINANCING OF RELIEF EXPENDITURE</w:t>
      </w:r>
    </w:p>
    <w:p w14:paraId="216D34BD" w14:textId="29B8B2AB" w:rsidR="00340829" w:rsidRPr="00AA6AF4" w:rsidRDefault="00340829" w:rsidP="00445823">
      <w:pPr>
        <w:pStyle w:val="Heading3"/>
        <w:spacing w:line="160" w:lineRule="exact"/>
      </w:pPr>
      <w:r w:rsidRPr="004877FC">
        <w:rPr>
          <w:b/>
          <w:bCs/>
        </w:rPr>
        <w:t>(1)</w:t>
      </w:r>
      <w:r w:rsidRPr="00AA6AF4">
        <w:t xml:space="preserve"> The existing arrangements for financing relief expenditure should be replaced by a new one under which the States will have much greater autonomy and accountability (para. 6.16).</w:t>
      </w:r>
    </w:p>
    <w:p w14:paraId="758CEB68" w14:textId="6EC85900" w:rsidR="00340829" w:rsidRPr="004877FC" w:rsidRDefault="00340829">
      <w:pPr>
        <w:pStyle w:val="ListParagraph"/>
        <w:numPr>
          <w:ilvl w:val="0"/>
          <w:numId w:val="40"/>
        </w:numPr>
        <w:spacing w:after="0" w:line="160" w:lineRule="exact"/>
        <w:jc w:val="both"/>
        <w:rPr>
          <w:rFonts w:ascii="Times New Roman" w:hAnsi="Times New Roman" w:cs="Times New Roman"/>
          <w:sz w:val="18"/>
          <w:szCs w:val="18"/>
        </w:rPr>
      </w:pPr>
      <w:r w:rsidRPr="004877FC">
        <w:rPr>
          <w:rFonts w:ascii="Times New Roman" w:hAnsi="Times New Roman" w:cs="Times New Roman"/>
          <w:sz w:val="18"/>
          <w:szCs w:val="18"/>
        </w:rPr>
        <w:t>A Calamity Relief Fund should be constituted for each State with the following amount in each year.</w:t>
      </w:r>
    </w:p>
    <w:p w14:paraId="3A2FF030" w14:textId="77777777" w:rsidR="00340829" w:rsidRPr="00AA6AF4" w:rsidRDefault="00340829" w:rsidP="005242D4">
      <w:pPr>
        <w:spacing w:after="0" w:line="160" w:lineRule="exact"/>
        <w:ind w:left="2880"/>
        <w:jc w:val="center"/>
        <w:rPr>
          <w:rFonts w:ascii="Times New Roman" w:hAnsi="Times New Roman" w:cs="Times New Roman"/>
          <w:szCs w:val="24"/>
        </w:rPr>
      </w:pPr>
      <w:r w:rsidRPr="00093449">
        <w:rPr>
          <w:rFonts w:ascii="Times New Roman" w:hAnsi="Times New Roman" w:cs="Times New Roman"/>
          <w:i/>
          <w:iCs/>
          <w:sz w:val="18"/>
          <w:szCs w:val="18"/>
        </w:rPr>
        <w:t>(Rs. Crore)</w:t>
      </w:r>
    </w:p>
    <w:tbl>
      <w:tblPr>
        <w:tblStyle w:val="TableGrid"/>
        <w:tblW w:w="3964" w:type="dxa"/>
        <w:jc w:val="center"/>
        <w:tblLook w:val="04A0" w:firstRow="1" w:lastRow="0" w:firstColumn="1" w:lastColumn="0" w:noHBand="0" w:noVBand="1"/>
      </w:tblPr>
      <w:tblGrid>
        <w:gridCol w:w="421"/>
        <w:gridCol w:w="2126"/>
        <w:gridCol w:w="1417"/>
      </w:tblGrid>
      <w:tr w:rsidR="00340829" w:rsidRPr="00632146" w14:paraId="05A32D06" w14:textId="77777777" w:rsidTr="00632146">
        <w:trPr>
          <w:trHeight w:val="20"/>
          <w:jc w:val="center"/>
        </w:trPr>
        <w:tc>
          <w:tcPr>
            <w:tcW w:w="421" w:type="dxa"/>
            <w:vAlign w:val="center"/>
            <w:hideMark/>
          </w:tcPr>
          <w:p w14:paraId="5C1E4192" w14:textId="77777777" w:rsidR="00340829" w:rsidRPr="00632146" w:rsidRDefault="00340829" w:rsidP="00445823">
            <w:pPr>
              <w:pStyle w:val="NoSpacing"/>
              <w:spacing w:line="160" w:lineRule="exact"/>
              <w:jc w:val="center"/>
              <w:rPr>
                <w:rFonts w:ascii="Times New Roman" w:hAnsi="Times New Roman" w:cs="Times New Roman"/>
                <w:sz w:val="16"/>
                <w:szCs w:val="16"/>
              </w:rPr>
            </w:pPr>
          </w:p>
        </w:tc>
        <w:tc>
          <w:tcPr>
            <w:tcW w:w="2126" w:type="dxa"/>
            <w:vAlign w:val="center"/>
            <w:hideMark/>
          </w:tcPr>
          <w:p w14:paraId="0FC6599B" w14:textId="77777777" w:rsidR="00340829" w:rsidRPr="00632146" w:rsidRDefault="00340829" w:rsidP="00445823">
            <w:pPr>
              <w:pStyle w:val="NoSpacing"/>
              <w:spacing w:line="160" w:lineRule="exact"/>
              <w:rPr>
                <w:rFonts w:ascii="Times New Roman" w:hAnsi="Times New Roman" w:cs="Times New Roman"/>
                <w:b/>
                <w:bCs/>
                <w:sz w:val="16"/>
                <w:szCs w:val="16"/>
              </w:rPr>
            </w:pPr>
            <w:r w:rsidRPr="00632146">
              <w:rPr>
                <w:rFonts w:ascii="Times New Roman" w:hAnsi="Times New Roman" w:cs="Times New Roman"/>
                <w:b/>
                <w:bCs/>
                <w:sz w:val="16"/>
                <w:szCs w:val="16"/>
              </w:rPr>
              <w:t>States</w:t>
            </w:r>
          </w:p>
        </w:tc>
        <w:tc>
          <w:tcPr>
            <w:tcW w:w="1417" w:type="dxa"/>
            <w:vAlign w:val="center"/>
            <w:hideMark/>
          </w:tcPr>
          <w:p w14:paraId="4768416F" w14:textId="77777777" w:rsidR="00340829" w:rsidRPr="00632146" w:rsidRDefault="00340829" w:rsidP="00445823">
            <w:pPr>
              <w:pStyle w:val="NoSpacing"/>
              <w:spacing w:line="160" w:lineRule="exact"/>
              <w:jc w:val="center"/>
              <w:rPr>
                <w:rFonts w:ascii="Times New Roman" w:hAnsi="Times New Roman" w:cs="Times New Roman"/>
                <w:b/>
                <w:bCs/>
                <w:sz w:val="16"/>
                <w:szCs w:val="16"/>
              </w:rPr>
            </w:pPr>
            <w:r w:rsidRPr="00632146">
              <w:rPr>
                <w:rFonts w:ascii="Times New Roman" w:hAnsi="Times New Roman" w:cs="Times New Roman"/>
                <w:b/>
                <w:bCs/>
                <w:sz w:val="16"/>
                <w:szCs w:val="16"/>
              </w:rPr>
              <w:t>Amount</w:t>
            </w:r>
          </w:p>
        </w:tc>
      </w:tr>
      <w:tr w:rsidR="00340829" w:rsidRPr="00632146" w14:paraId="605AB0D8" w14:textId="77777777" w:rsidTr="00632146">
        <w:trPr>
          <w:trHeight w:val="20"/>
          <w:jc w:val="center"/>
        </w:trPr>
        <w:tc>
          <w:tcPr>
            <w:tcW w:w="421" w:type="dxa"/>
            <w:vAlign w:val="center"/>
            <w:hideMark/>
          </w:tcPr>
          <w:p w14:paraId="6002EFA8"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w:t>
            </w:r>
          </w:p>
        </w:tc>
        <w:tc>
          <w:tcPr>
            <w:tcW w:w="2126" w:type="dxa"/>
            <w:vAlign w:val="center"/>
            <w:hideMark/>
          </w:tcPr>
          <w:p w14:paraId="6BB0EDE0"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Andhra Pradesh</w:t>
            </w:r>
          </w:p>
        </w:tc>
        <w:tc>
          <w:tcPr>
            <w:tcW w:w="1417" w:type="dxa"/>
            <w:vAlign w:val="center"/>
            <w:hideMark/>
          </w:tcPr>
          <w:p w14:paraId="7DA28F26"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86</w:t>
            </w:r>
          </w:p>
        </w:tc>
      </w:tr>
      <w:tr w:rsidR="00340829" w:rsidRPr="00632146" w14:paraId="2E8A0FD6" w14:textId="77777777" w:rsidTr="00632146">
        <w:trPr>
          <w:trHeight w:val="20"/>
          <w:jc w:val="center"/>
        </w:trPr>
        <w:tc>
          <w:tcPr>
            <w:tcW w:w="421" w:type="dxa"/>
            <w:vAlign w:val="center"/>
            <w:hideMark/>
          </w:tcPr>
          <w:p w14:paraId="123F3B0B"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w:t>
            </w:r>
          </w:p>
        </w:tc>
        <w:tc>
          <w:tcPr>
            <w:tcW w:w="2126" w:type="dxa"/>
            <w:vAlign w:val="center"/>
            <w:hideMark/>
          </w:tcPr>
          <w:p w14:paraId="1EC8D00B"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Arunachal Pradesh</w:t>
            </w:r>
          </w:p>
        </w:tc>
        <w:tc>
          <w:tcPr>
            <w:tcW w:w="1417" w:type="dxa"/>
            <w:vAlign w:val="center"/>
            <w:hideMark/>
          </w:tcPr>
          <w:p w14:paraId="18E1EE9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w:t>
            </w:r>
          </w:p>
        </w:tc>
      </w:tr>
      <w:tr w:rsidR="00340829" w:rsidRPr="00632146" w14:paraId="725DC720" w14:textId="77777777" w:rsidTr="00632146">
        <w:trPr>
          <w:trHeight w:val="20"/>
          <w:jc w:val="center"/>
        </w:trPr>
        <w:tc>
          <w:tcPr>
            <w:tcW w:w="421" w:type="dxa"/>
            <w:vAlign w:val="center"/>
            <w:hideMark/>
          </w:tcPr>
          <w:p w14:paraId="018E527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w:t>
            </w:r>
          </w:p>
        </w:tc>
        <w:tc>
          <w:tcPr>
            <w:tcW w:w="2126" w:type="dxa"/>
            <w:vAlign w:val="center"/>
            <w:hideMark/>
          </w:tcPr>
          <w:p w14:paraId="4BFDA0C0"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Assam</w:t>
            </w:r>
          </w:p>
        </w:tc>
        <w:tc>
          <w:tcPr>
            <w:tcW w:w="1417" w:type="dxa"/>
            <w:vAlign w:val="center"/>
            <w:hideMark/>
          </w:tcPr>
          <w:p w14:paraId="5C0CCE93"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30</w:t>
            </w:r>
          </w:p>
        </w:tc>
      </w:tr>
      <w:tr w:rsidR="00340829" w:rsidRPr="00632146" w14:paraId="64100852" w14:textId="77777777" w:rsidTr="00632146">
        <w:trPr>
          <w:trHeight w:val="20"/>
          <w:jc w:val="center"/>
        </w:trPr>
        <w:tc>
          <w:tcPr>
            <w:tcW w:w="421" w:type="dxa"/>
            <w:vAlign w:val="center"/>
            <w:hideMark/>
          </w:tcPr>
          <w:p w14:paraId="12ACFBC8"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4.</w:t>
            </w:r>
          </w:p>
        </w:tc>
        <w:tc>
          <w:tcPr>
            <w:tcW w:w="2126" w:type="dxa"/>
            <w:vAlign w:val="center"/>
            <w:hideMark/>
          </w:tcPr>
          <w:p w14:paraId="1143E387"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Bihar</w:t>
            </w:r>
          </w:p>
        </w:tc>
        <w:tc>
          <w:tcPr>
            <w:tcW w:w="1417" w:type="dxa"/>
            <w:vAlign w:val="center"/>
            <w:hideMark/>
          </w:tcPr>
          <w:p w14:paraId="747C6A89"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35</w:t>
            </w:r>
          </w:p>
        </w:tc>
      </w:tr>
      <w:tr w:rsidR="00340829" w:rsidRPr="00632146" w14:paraId="4A897011" w14:textId="77777777" w:rsidTr="00632146">
        <w:trPr>
          <w:trHeight w:val="20"/>
          <w:jc w:val="center"/>
        </w:trPr>
        <w:tc>
          <w:tcPr>
            <w:tcW w:w="421" w:type="dxa"/>
            <w:vAlign w:val="center"/>
            <w:hideMark/>
          </w:tcPr>
          <w:p w14:paraId="561C2A0C"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5.</w:t>
            </w:r>
          </w:p>
        </w:tc>
        <w:tc>
          <w:tcPr>
            <w:tcW w:w="2126" w:type="dxa"/>
            <w:vAlign w:val="center"/>
            <w:hideMark/>
          </w:tcPr>
          <w:p w14:paraId="1185FCA8"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Goa</w:t>
            </w:r>
          </w:p>
        </w:tc>
        <w:tc>
          <w:tcPr>
            <w:tcW w:w="1417" w:type="dxa"/>
            <w:vAlign w:val="center"/>
            <w:hideMark/>
          </w:tcPr>
          <w:p w14:paraId="5C3A7AE4"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w:t>
            </w:r>
          </w:p>
        </w:tc>
      </w:tr>
      <w:tr w:rsidR="00340829" w:rsidRPr="00632146" w14:paraId="36300F65" w14:textId="77777777" w:rsidTr="00632146">
        <w:trPr>
          <w:trHeight w:val="20"/>
          <w:jc w:val="center"/>
        </w:trPr>
        <w:tc>
          <w:tcPr>
            <w:tcW w:w="421" w:type="dxa"/>
            <w:vAlign w:val="center"/>
            <w:hideMark/>
          </w:tcPr>
          <w:p w14:paraId="159D23F4"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6.</w:t>
            </w:r>
          </w:p>
        </w:tc>
        <w:tc>
          <w:tcPr>
            <w:tcW w:w="2126" w:type="dxa"/>
            <w:vAlign w:val="center"/>
            <w:hideMark/>
          </w:tcPr>
          <w:p w14:paraId="48791112"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Gujarat</w:t>
            </w:r>
          </w:p>
        </w:tc>
        <w:tc>
          <w:tcPr>
            <w:tcW w:w="1417" w:type="dxa"/>
            <w:vAlign w:val="center"/>
            <w:hideMark/>
          </w:tcPr>
          <w:p w14:paraId="6790B9AD"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85</w:t>
            </w:r>
          </w:p>
        </w:tc>
      </w:tr>
      <w:tr w:rsidR="00340829" w:rsidRPr="00632146" w14:paraId="4901DB6E" w14:textId="77777777" w:rsidTr="00632146">
        <w:trPr>
          <w:trHeight w:val="20"/>
          <w:jc w:val="center"/>
        </w:trPr>
        <w:tc>
          <w:tcPr>
            <w:tcW w:w="421" w:type="dxa"/>
            <w:vAlign w:val="center"/>
            <w:hideMark/>
          </w:tcPr>
          <w:p w14:paraId="6CCB5E98"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7.</w:t>
            </w:r>
          </w:p>
        </w:tc>
        <w:tc>
          <w:tcPr>
            <w:tcW w:w="2126" w:type="dxa"/>
            <w:vAlign w:val="center"/>
            <w:hideMark/>
          </w:tcPr>
          <w:p w14:paraId="50F8E34E"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Haryana</w:t>
            </w:r>
          </w:p>
        </w:tc>
        <w:tc>
          <w:tcPr>
            <w:tcW w:w="1417" w:type="dxa"/>
            <w:vAlign w:val="center"/>
            <w:hideMark/>
          </w:tcPr>
          <w:p w14:paraId="77350B5D"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17</w:t>
            </w:r>
          </w:p>
        </w:tc>
      </w:tr>
      <w:tr w:rsidR="00340829" w:rsidRPr="00632146" w14:paraId="5CCD4358" w14:textId="77777777" w:rsidTr="00632146">
        <w:trPr>
          <w:trHeight w:val="20"/>
          <w:jc w:val="center"/>
        </w:trPr>
        <w:tc>
          <w:tcPr>
            <w:tcW w:w="421" w:type="dxa"/>
            <w:vAlign w:val="center"/>
            <w:hideMark/>
          </w:tcPr>
          <w:p w14:paraId="674BF37C"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8.</w:t>
            </w:r>
          </w:p>
        </w:tc>
        <w:tc>
          <w:tcPr>
            <w:tcW w:w="2126" w:type="dxa"/>
            <w:vAlign w:val="center"/>
            <w:hideMark/>
          </w:tcPr>
          <w:p w14:paraId="67C8C4CB"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Himachal Pradesh</w:t>
            </w:r>
          </w:p>
        </w:tc>
        <w:tc>
          <w:tcPr>
            <w:tcW w:w="1417" w:type="dxa"/>
            <w:vAlign w:val="center"/>
            <w:hideMark/>
          </w:tcPr>
          <w:p w14:paraId="1C329D67"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18</w:t>
            </w:r>
          </w:p>
        </w:tc>
      </w:tr>
      <w:tr w:rsidR="00340829" w:rsidRPr="00632146" w14:paraId="72459A26" w14:textId="77777777" w:rsidTr="00632146">
        <w:trPr>
          <w:trHeight w:val="20"/>
          <w:jc w:val="center"/>
        </w:trPr>
        <w:tc>
          <w:tcPr>
            <w:tcW w:w="421" w:type="dxa"/>
            <w:vAlign w:val="center"/>
            <w:hideMark/>
          </w:tcPr>
          <w:p w14:paraId="499D796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9.</w:t>
            </w:r>
          </w:p>
        </w:tc>
        <w:tc>
          <w:tcPr>
            <w:tcW w:w="2126" w:type="dxa"/>
            <w:vAlign w:val="center"/>
            <w:hideMark/>
          </w:tcPr>
          <w:p w14:paraId="39468C74"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Jammu and Kashmir</w:t>
            </w:r>
          </w:p>
        </w:tc>
        <w:tc>
          <w:tcPr>
            <w:tcW w:w="1417" w:type="dxa"/>
            <w:vAlign w:val="center"/>
            <w:hideMark/>
          </w:tcPr>
          <w:p w14:paraId="62870E89"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12</w:t>
            </w:r>
          </w:p>
        </w:tc>
      </w:tr>
      <w:tr w:rsidR="00340829" w:rsidRPr="00632146" w14:paraId="1D97D7EE" w14:textId="77777777" w:rsidTr="00632146">
        <w:trPr>
          <w:trHeight w:val="20"/>
          <w:jc w:val="center"/>
        </w:trPr>
        <w:tc>
          <w:tcPr>
            <w:tcW w:w="421" w:type="dxa"/>
            <w:vAlign w:val="center"/>
            <w:hideMark/>
          </w:tcPr>
          <w:p w14:paraId="733791B9"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10.</w:t>
            </w:r>
          </w:p>
        </w:tc>
        <w:tc>
          <w:tcPr>
            <w:tcW w:w="2126" w:type="dxa"/>
            <w:vAlign w:val="center"/>
            <w:hideMark/>
          </w:tcPr>
          <w:p w14:paraId="35DE5208"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Karnataka</w:t>
            </w:r>
          </w:p>
        </w:tc>
        <w:tc>
          <w:tcPr>
            <w:tcW w:w="1417" w:type="dxa"/>
            <w:vAlign w:val="center"/>
            <w:hideMark/>
          </w:tcPr>
          <w:p w14:paraId="2CFDBF1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27</w:t>
            </w:r>
          </w:p>
        </w:tc>
      </w:tr>
      <w:tr w:rsidR="00340829" w:rsidRPr="00632146" w14:paraId="04A77166" w14:textId="77777777" w:rsidTr="00632146">
        <w:trPr>
          <w:trHeight w:val="20"/>
          <w:jc w:val="center"/>
        </w:trPr>
        <w:tc>
          <w:tcPr>
            <w:tcW w:w="421" w:type="dxa"/>
            <w:vAlign w:val="center"/>
            <w:hideMark/>
          </w:tcPr>
          <w:p w14:paraId="65437663"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11.</w:t>
            </w:r>
          </w:p>
        </w:tc>
        <w:tc>
          <w:tcPr>
            <w:tcW w:w="2126" w:type="dxa"/>
            <w:vAlign w:val="center"/>
            <w:hideMark/>
          </w:tcPr>
          <w:p w14:paraId="6821A541"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Kerala</w:t>
            </w:r>
          </w:p>
        </w:tc>
        <w:tc>
          <w:tcPr>
            <w:tcW w:w="1417" w:type="dxa"/>
            <w:vAlign w:val="center"/>
            <w:hideMark/>
          </w:tcPr>
          <w:p w14:paraId="6DCDA107"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31</w:t>
            </w:r>
          </w:p>
        </w:tc>
      </w:tr>
      <w:tr w:rsidR="00340829" w:rsidRPr="00632146" w14:paraId="714ED21C" w14:textId="77777777" w:rsidTr="00632146">
        <w:trPr>
          <w:trHeight w:val="20"/>
          <w:jc w:val="center"/>
        </w:trPr>
        <w:tc>
          <w:tcPr>
            <w:tcW w:w="421" w:type="dxa"/>
            <w:vAlign w:val="center"/>
            <w:hideMark/>
          </w:tcPr>
          <w:p w14:paraId="26B6003E"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12.</w:t>
            </w:r>
          </w:p>
        </w:tc>
        <w:tc>
          <w:tcPr>
            <w:tcW w:w="2126" w:type="dxa"/>
            <w:vAlign w:val="center"/>
            <w:hideMark/>
          </w:tcPr>
          <w:p w14:paraId="2F34081E"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Madhya Pradesh</w:t>
            </w:r>
          </w:p>
        </w:tc>
        <w:tc>
          <w:tcPr>
            <w:tcW w:w="1417" w:type="dxa"/>
            <w:vAlign w:val="center"/>
            <w:hideMark/>
          </w:tcPr>
          <w:p w14:paraId="7A282636"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37</w:t>
            </w:r>
          </w:p>
        </w:tc>
      </w:tr>
      <w:tr w:rsidR="00340829" w:rsidRPr="00632146" w14:paraId="528174DC" w14:textId="77777777" w:rsidTr="00632146">
        <w:trPr>
          <w:trHeight w:val="20"/>
          <w:jc w:val="center"/>
        </w:trPr>
        <w:tc>
          <w:tcPr>
            <w:tcW w:w="421" w:type="dxa"/>
            <w:vAlign w:val="center"/>
            <w:hideMark/>
          </w:tcPr>
          <w:p w14:paraId="77DF7CF8"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13.</w:t>
            </w:r>
          </w:p>
        </w:tc>
        <w:tc>
          <w:tcPr>
            <w:tcW w:w="2126" w:type="dxa"/>
            <w:vAlign w:val="center"/>
            <w:hideMark/>
          </w:tcPr>
          <w:p w14:paraId="53CA3F96"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Maharashtra</w:t>
            </w:r>
          </w:p>
        </w:tc>
        <w:tc>
          <w:tcPr>
            <w:tcW w:w="1417" w:type="dxa"/>
            <w:vAlign w:val="center"/>
            <w:hideMark/>
          </w:tcPr>
          <w:p w14:paraId="10F64353"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44</w:t>
            </w:r>
          </w:p>
        </w:tc>
      </w:tr>
      <w:tr w:rsidR="00340829" w:rsidRPr="00632146" w14:paraId="529F6BBA" w14:textId="77777777" w:rsidTr="00632146">
        <w:trPr>
          <w:trHeight w:val="20"/>
          <w:jc w:val="center"/>
        </w:trPr>
        <w:tc>
          <w:tcPr>
            <w:tcW w:w="421" w:type="dxa"/>
            <w:vAlign w:val="center"/>
            <w:hideMark/>
          </w:tcPr>
          <w:p w14:paraId="4B6CEE1E"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14.</w:t>
            </w:r>
          </w:p>
        </w:tc>
        <w:tc>
          <w:tcPr>
            <w:tcW w:w="2126" w:type="dxa"/>
            <w:vAlign w:val="center"/>
            <w:hideMark/>
          </w:tcPr>
          <w:p w14:paraId="2CF7D8B4"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Manipur</w:t>
            </w:r>
          </w:p>
        </w:tc>
        <w:tc>
          <w:tcPr>
            <w:tcW w:w="1417" w:type="dxa"/>
            <w:vAlign w:val="center"/>
            <w:hideMark/>
          </w:tcPr>
          <w:p w14:paraId="3B41492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w:t>
            </w:r>
          </w:p>
        </w:tc>
      </w:tr>
      <w:tr w:rsidR="00340829" w:rsidRPr="00632146" w14:paraId="5DF89D3E" w14:textId="77777777" w:rsidTr="00632146">
        <w:trPr>
          <w:trHeight w:val="20"/>
          <w:jc w:val="center"/>
        </w:trPr>
        <w:tc>
          <w:tcPr>
            <w:tcW w:w="421" w:type="dxa"/>
            <w:vAlign w:val="center"/>
            <w:hideMark/>
          </w:tcPr>
          <w:p w14:paraId="48F4984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15.</w:t>
            </w:r>
          </w:p>
        </w:tc>
        <w:tc>
          <w:tcPr>
            <w:tcW w:w="2126" w:type="dxa"/>
            <w:vAlign w:val="center"/>
            <w:hideMark/>
          </w:tcPr>
          <w:p w14:paraId="6A820613"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Meghalaya</w:t>
            </w:r>
          </w:p>
        </w:tc>
        <w:tc>
          <w:tcPr>
            <w:tcW w:w="1417" w:type="dxa"/>
            <w:vAlign w:val="center"/>
            <w:hideMark/>
          </w:tcPr>
          <w:p w14:paraId="192FE889"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w:t>
            </w:r>
          </w:p>
        </w:tc>
      </w:tr>
      <w:tr w:rsidR="00340829" w:rsidRPr="00632146" w14:paraId="4069BB2C" w14:textId="77777777" w:rsidTr="00632146">
        <w:trPr>
          <w:trHeight w:val="20"/>
          <w:jc w:val="center"/>
        </w:trPr>
        <w:tc>
          <w:tcPr>
            <w:tcW w:w="421" w:type="dxa"/>
            <w:vAlign w:val="center"/>
            <w:hideMark/>
          </w:tcPr>
          <w:p w14:paraId="25B54CAF"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16.</w:t>
            </w:r>
          </w:p>
        </w:tc>
        <w:tc>
          <w:tcPr>
            <w:tcW w:w="2126" w:type="dxa"/>
            <w:vAlign w:val="center"/>
            <w:hideMark/>
          </w:tcPr>
          <w:p w14:paraId="374BA466"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Mizoram</w:t>
            </w:r>
          </w:p>
        </w:tc>
        <w:tc>
          <w:tcPr>
            <w:tcW w:w="1417" w:type="dxa"/>
            <w:vAlign w:val="center"/>
            <w:hideMark/>
          </w:tcPr>
          <w:p w14:paraId="6BEEBA30"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w:t>
            </w:r>
          </w:p>
        </w:tc>
      </w:tr>
      <w:tr w:rsidR="00340829" w:rsidRPr="00632146" w14:paraId="047D9360" w14:textId="77777777" w:rsidTr="00632146">
        <w:trPr>
          <w:trHeight w:val="20"/>
          <w:jc w:val="center"/>
        </w:trPr>
        <w:tc>
          <w:tcPr>
            <w:tcW w:w="421" w:type="dxa"/>
            <w:vAlign w:val="center"/>
            <w:hideMark/>
          </w:tcPr>
          <w:p w14:paraId="333E6B04"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17.</w:t>
            </w:r>
          </w:p>
        </w:tc>
        <w:tc>
          <w:tcPr>
            <w:tcW w:w="2126" w:type="dxa"/>
            <w:vAlign w:val="center"/>
            <w:hideMark/>
          </w:tcPr>
          <w:p w14:paraId="7C9C3EBC"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Nagaland</w:t>
            </w:r>
          </w:p>
        </w:tc>
        <w:tc>
          <w:tcPr>
            <w:tcW w:w="1417" w:type="dxa"/>
            <w:vAlign w:val="center"/>
            <w:hideMark/>
          </w:tcPr>
          <w:p w14:paraId="111F9AAD"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w:t>
            </w:r>
          </w:p>
        </w:tc>
      </w:tr>
      <w:tr w:rsidR="00340829" w:rsidRPr="00632146" w14:paraId="6963F0A0" w14:textId="77777777" w:rsidTr="00632146">
        <w:trPr>
          <w:trHeight w:val="20"/>
          <w:jc w:val="center"/>
        </w:trPr>
        <w:tc>
          <w:tcPr>
            <w:tcW w:w="421" w:type="dxa"/>
            <w:vAlign w:val="center"/>
            <w:hideMark/>
          </w:tcPr>
          <w:p w14:paraId="608B8A03"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18.</w:t>
            </w:r>
          </w:p>
        </w:tc>
        <w:tc>
          <w:tcPr>
            <w:tcW w:w="2126" w:type="dxa"/>
            <w:vAlign w:val="center"/>
            <w:hideMark/>
          </w:tcPr>
          <w:p w14:paraId="643A8182"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Orissa</w:t>
            </w:r>
          </w:p>
        </w:tc>
        <w:tc>
          <w:tcPr>
            <w:tcW w:w="1417" w:type="dxa"/>
            <w:vAlign w:val="center"/>
            <w:hideMark/>
          </w:tcPr>
          <w:p w14:paraId="33875210"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47</w:t>
            </w:r>
          </w:p>
        </w:tc>
      </w:tr>
      <w:tr w:rsidR="00340829" w:rsidRPr="00632146" w14:paraId="756963CA" w14:textId="77777777" w:rsidTr="00632146">
        <w:trPr>
          <w:trHeight w:val="20"/>
          <w:jc w:val="center"/>
        </w:trPr>
        <w:tc>
          <w:tcPr>
            <w:tcW w:w="421" w:type="dxa"/>
            <w:vAlign w:val="center"/>
            <w:hideMark/>
          </w:tcPr>
          <w:p w14:paraId="3A130889"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19.</w:t>
            </w:r>
          </w:p>
        </w:tc>
        <w:tc>
          <w:tcPr>
            <w:tcW w:w="2126" w:type="dxa"/>
            <w:vAlign w:val="center"/>
            <w:hideMark/>
          </w:tcPr>
          <w:p w14:paraId="073B4484"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Punjab</w:t>
            </w:r>
          </w:p>
        </w:tc>
        <w:tc>
          <w:tcPr>
            <w:tcW w:w="1417" w:type="dxa"/>
            <w:vAlign w:val="center"/>
            <w:hideMark/>
          </w:tcPr>
          <w:p w14:paraId="07C04024"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28</w:t>
            </w:r>
          </w:p>
        </w:tc>
      </w:tr>
      <w:tr w:rsidR="00340829" w:rsidRPr="00632146" w14:paraId="68F4EDFA" w14:textId="77777777" w:rsidTr="00632146">
        <w:trPr>
          <w:trHeight w:val="20"/>
          <w:jc w:val="center"/>
        </w:trPr>
        <w:tc>
          <w:tcPr>
            <w:tcW w:w="421" w:type="dxa"/>
            <w:vAlign w:val="center"/>
            <w:hideMark/>
          </w:tcPr>
          <w:p w14:paraId="67263DDB"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20.</w:t>
            </w:r>
          </w:p>
        </w:tc>
        <w:tc>
          <w:tcPr>
            <w:tcW w:w="2126" w:type="dxa"/>
            <w:vAlign w:val="center"/>
            <w:hideMark/>
          </w:tcPr>
          <w:p w14:paraId="411FF5F7"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Rajasthan</w:t>
            </w:r>
          </w:p>
        </w:tc>
        <w:tc>
          <w:tcPr>
            <w:tcW w:w="1417" w:type="dxa"/>
            <w:vAlign w:val="center"/>
            <w:hideMark/>
          </w:tcPr>
          <w:p w14:paraId="022BE4CB"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124</w:t>
            </w:r>
          </w:p>
        </w:tc>
      </w:tr>
      <w:tr w:rsidR="00340829" w:rsidRPr="00632146" w14:paraId="2840E7D7" w14:textId="77777777" w:rsidTr="00632146">
        <w:trPr>
          <w:trHeight w:val="20"/>
          <w:jc w:val="center"/>
        </w:trPr>
        <w:tc>
          <w:tcPr>
            <w:tcW w:w="421" w:type="dxa"/>
            <w:vAlign w:val="center"/>
            <w:hideMark/>
          </w:tcPr>
          <w:p w14:paraId="175A6C70"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lastRenderedPageBreak/>
              <w:t>21.</w:t>
            </w:r>
          </w:p>
        </w:tc>
        <w:tc>
          <w:tcPr>
            <w:tcW w:w="2126" w:type="dxa"/>
            <w:vAlign w:val="center"/>
            <w:hideMark/>
          </w:tcPr>
          <w:p w14:paraId="02FEBC4A"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Sikkim</w:t>
            </w:r>
          </w:p>
        </w:tc>
        <w:tc>
          <w:tcPr>
            <w:tcW w:w="1417" w:type="dxa"/>
            <w:vAlign w:val="center"/>
            <w:hideMark/>
          </w:tcPr>
          <w:p w14:paraId="018A0DD2"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w:t>
            </w:r>
          </w:p>
        </w:tc>
      </w:tr>
      <w:tr w:rsidR="00340829" w:rsidRPr="00632146" w14:paraId="5C04B412" w14:textId="77777777" w:rsidTr="00632146">
        <w:trPr>
          <w:trHeight w:val="20"/>
          <w:jc w:val="center"/>
        </w:trPr>
        <w:tc>
          <w:tcPr>
            <w:tcW w:w="421" w:type="dxa"/>
            <w:vAlign w:val="center"/>
            <w:hideMark/>
          </w:tcPr>
          <w:p w14:paraId="5D0AF691"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22.</w:t>
            </w:r>
          </w:p>
        </w:tc>
        <w:tc>
          <w:tcPr>
            <w:tcW w:w="2126" w:type="dxa"/>
            <w:vAlign w:val="center"/>
            <w:hideMark/>
          </w:tcPr>
          <w:p w14:paraId="08A21313"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Tamil Nadu</w:t>
            </w:r>
          </w:p>
        </w:tc>
        <w:tc>
          <w:tcPr>
            <w:tcW w:w="1417" w:type="dxa"/>
            <w:vAlign w:val="center"/>
            <w:hideMark/>
          </w:tcPr>
          <w:p w14:paraId="4CC27B65"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39</w:t>
            </w:r>
          </w:p>
        </w:tc>
      </w:tr>
      <w:tr w:rsidR="00340829" w:rsidRPr="00632146" w14:paraId="09C7F8CC" w14:textId="77777777" w:rsidTr="00632146">
        <w:trPr>
          <w:trHeight w:val="20"/>
          <w:jc w:val="center"/>
        </w:trPr>
        <w:tc>
          <w:tcPr>
            <w:tcW w:w="421" w:type="dxa"/>
            <w:vAlign w:val="center"/>
            <w:hideMark/>
          </w:tcPr>
          <w:p w14:paraId="3B7D0356"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23.</w:t>
            </w:r>
          </w:p>
        </w:tc>
        <w:tc>
          <w:tcPr>
            <w:tcW w:w="2126" w:type="dxa"/>
            <w:vAlign w:val="center"/>
            <w:hideMark/>
          </w:tcPr>
          <w:p w14:paraId="45F5CA31"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Tripura</w:t>
            </w:r>
          </w:p>
        </w:tc>
        <w:tc>
          <w:tcPr>
            <w:tcW w:w="1417" w:type="dxa"/>
            <w:vAlign w:val="center"/>
            <w:hideMark/>
          </w:tcPr>
          <w:p w14:paraId="015A8C60"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3</w:t>
            </w:r>
          </w:p>
        </w:tc>
      </w:tr>
      <w:tr w:rsidR="00340829" w:rsidRPr="00632146" w14:paraId="5095A80F" w14:textId="77777777" w:rsidTr="00632146">
        <w:trPr>
          <w:trHeight w:val="20"/>
          <w:jc w:val="center"/>
        </w:trPr>
        <w:tc>
          <w:tcPr>
            <w:tcW w:w="421" w:type="dxa"/>
            <w:vAlign w:val="center"/>
            <w:hideMark/>
          </w:tcPr>
          <w:p w14:paraId="57A06D3F"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24.</w:t>
            </w:r>
          </w:p>
        </w:tc>
        <w:tc>
          <w:tcPr>
            <w:tcW w:w="2126" w:type="dxa"/>
            <w:vAlign w:val="center"/>
            <w:hideMark/>
          </w:tcPr>
          <w:p w14:paraId="408BE5A3"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Uttar Pradesh</w:t>
            </w:r>
          </w:p>
        </w:tc>
        <w:tc>
          <w:tcPr>
            <w:tcW w:w="1417" w:type="dxa"/>
            <w:vAlign w:val="center"/>
            <w:hideMark/>
          </w:tcPr>
          <w:p w14:paraId="51F574FB"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90</w:t>
            </w:r>
          </w:p>
        </w:tc>
      </w:tr>
      <w:tr w:rsidR="00340829" w:rsidRPr="00632146" w14:paraId="10E9AACE" w14:textId="77777777" w:rsidTr="00632146">
        <w:trPr>
          <w:trHeight w:val="20"/>
          <w:jc w:val="center"/>
        </w:trPr>
        <w:tc>
          <w:tcPr>
            <w:tcW w:w="421" w:type="dxa"/>
            <w:vAlign w:val="center"/>
            <w:hideMark/>
          </w:tcPr>
          <w:p w14:paraId="185D305A"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25.</w:t>
            </w:r>
          </w:p>
        </w:tc>
        <w:tc>
          <w:tcPr>
            <w:tcW w:w="2126" w:type="dxa"/>
            <w:vAlign w:val="center"/>
            <w:hideMark/>
          </w:tcPr>
          <w:p w14:paraId="4A14AB8F"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sz w:val="16"/>
                <w:szCs w:val="16"/>
              </w:rPr>
              <w:t>West Bengal</w:t>
            </w:r>
          </w:p>
        </w:tc>
        <w:tc>
          <w:tcPr>
            <w:tcW w:w="1417" w:type="dxa"/>
            <w:vAlign w:val="center"/>
            <w:hideMark/>
          </w:tcPr>
          <w:p w14:paraId="16067600"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sz w:val="16"/>
                <w:szCs w:val="16"/>
              </w:rPr>
              <w:t>40</w:t>
            </w:r>
          </w:p>
        </w:tc>
      </w:tr>
      <w:tr w:rsidR="00340829" w:rsidRPr="00632146" w14:paraId="052B63E5" w14:textId="77777777" w:rsidTr="00632146">
        <w:trPr>
          <w:trHeight w:val="20"/>
          <w:jc w:val="center"/>
        </w:trPr>
        <w:tc>
          <w:tcPr>
            <w:tcW w:w="421" w:type="dxa"/>
            <w:vAlign w:val="center"/>
            <w:hideMark/>
          </w:tcPr>
          <w:p w14:paraId="6F4A5B47" w14:textId="77777777" w:rsidR="00340829" w:rsidRPr="00632146" w:rsidRDefault="00340829" w:rsidP="00445823">
            <w:pPr>
              <w:pStyle w:val="NoSpacing"/>
              <w:spacing w:line="160" w:lineRule="exact"/>
              <w:jc w:val="center"/>
              <w:rPr>
                <w:rFonts w:ascii="Times New Roman" w:hAnsi="Times New Roman" w:cs="Times New Roman"/>
                <w:sz w:val="16"/>
                <w:szCs w:val="16"/>
              </w:rPr>
            </w:pPr>
          </w:p>
        </w:tc>
        <w:tc>
          <w:tcPr>
            <w:tcW w:w="2126" w:type="dxa"/>
            <w:vAlign w:val="center"/>
            <w:hideMark/>
          </w:tcPr>
          <w:p w14:paraId="129CA6B6" w14:textId="77777777" w:rsidR="00340829" w:rsidRPr="00632146" w:rsidRDefault="00340829" w:rsidP="00445823">
            <w:pPr>
              <w:pStyle w:val="NoSpacing"/>
              <w:spacing w:line="160" w:lineRule="exact"/>
              <w:rPr>
                <w:rFonts w:ascii="Times New Roman" w:hAnsi="Times New Roman" w:cs="Times New Roman"/>
                <w:sz w:val="16"/>
                <w:szCs w:val="16"/>
              </w:rPr>
            </w:pPr>
            <w:r w:rsidRPr="00632146">
              <w:rPr>
                <w:rFonts w:ascii="Times New Roman" w:hAnsi="Times New Roman" w:cs="Times New Roman"/>
                <w:b/>
                <w:bCs/>
                <w:sz w:val="16"/>
                <w:szCs w:val="16"/>
              </w:rPr>
              <w:t>Total</w:t>
            </w:r>
          </w:p>
        </w:tc>
        <w:tc>
          <w:tcPr>
            <w:tcW w:w="1417" w:type="dxa"/>
            <w:vAlign w:val="center"/>
            <w:hideMark/>
          </w:tcPr>
          <w:p w14:paraId="1EB44798" w14:textId="77777777" w:rsidR="00340829" w:rsidRPr="00632146" w:rsidRDefault="00340829" w:rsidP="00445823">
            <w:pPr>
              <w:pStyle w:val="NoSpacing"/>
              <w:spacing w:line="160" w:lineRule="exact"/>
              <w:jc w:val="center"/>
              <w:rPr>
                <w:rFonts w:ascii="Times New Roman" w:hAnsi="Times New Roman" w:cs="Times New Roman"/>
                <w:sz w:val="16"/>
                <w:szCs w:val="16"/>
              </w:rPr>
            </w:pPr>
            <w:r w:rsidRPr="00632146">
              <w:rPr>
                <w:rFonts w:ascii="Times New Roman" w:hAnsi="Times New Roman" w:cs="Times New Roman"/>
                <w:b/>
                <w:bCs/>
                <w:sz w:val="16"/>
                <w:szCs w:val="16"/>
              </w:rPr>
              <w:t>804</w:t>
            </w:r>
          </w:p>
        </w:tc>
      </w:tr>
    </w:tbl>
    <w:p w14:paraId="6A9F7C9A" w14:textId="037C18A9" w:rsidR="005242D4" w:rsidRPr="005242D4" w:rsidRDefault="005242D4" w:rsidP="005242D4">
      <w:pPr>
        <w:pStyle w:val="ListParagraph"/>
        <w:spacing w:after="0" w:line="160" w:lineRule="exact"/>
        <w:ind w:left="2160"/>
        <w:jc w:val="center"/>
        <w:rPr>
          <w:rFonts w:ascii="Times New Roman" w:hAnsi="Times New Roman" w:cs="Times New Roman"/>
          <w:sz w:val="18"/>
          <w:szCs w:val="18"/>
        </w:rPr>
      </w:pPr>
      <w:r w:rsidRPr="005242D4">
        <w:rPr>
          <w:rFonts w:ascii="Times New Roman" w:hAnsi="Times New Roman" w:cs="Times New Roman"/>
          <w:sz w:val="16"/>
          <w:szCs w:val="16"/>
        </w:rPr>
        <w:t>(Para. 6.17 and Annexure VI.1)</w:t>
      </w:r>
    </w:p>
    <w:p w14:paraId="77918616" w14:textId="716C810B"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C5E16">
        <w:rPr>
          <w:rFonts w:ascii="Times New Roman" w:hAnsi="Times New Roman" w:cs="Times New Roman"/>
          <w:sz w:val="18"/>
          <w:szCs w:val="18"/>
        </w:rPr>
        <w:t>Government of India shall contribute to the Calamity Relief Fund of each State to the extent of 75 per cent in the form of non-Plan grant. The balance 25 per cent shall be contributed by each State out of its own resources. The contribution to the Fund will be made by Governments in quarterly instalments (para 6.17).</w:t>
      </w:r>
    </w:p>
    <w:p w14:paraId="24D1F4F4" w14:textId="7F5B9F86"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The Relief Fund would have existence outside the general revenues of the State and will be deposited in a nationalised bank (para. 6.17).</w:t>
      </w:r>
    </w:p>
    <w:p w14:paraId="25AEEAF7" w14:textId="5B422380"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A State-level Committee headed by the Chief Secretary of the State and consisting of officials connected with the relief work and other experts shall be constituted by the State Government to administer the Calamity Relief Fund. The Committee will decide all matters connected with the financing of the relief expenditure, including variations in the norms of assistance (para. 6.17).</w:t>
      </w:r>
    </w:p>
    <w:p w14:paraId="4278D3A8" w14:textId="52DB651D"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The yearly accretion to the Fund together with the interest accruing thereon would be used to meet all expenditure on calamities. No further Central assistance would be made available for the purpose. However, if in a particular year the money required is more than the balance available in the Fund, the State may draw 25 per cent of the Centre's contribution due to it in the following year in advance. (The Central Government may, at its discretion, allow higher percentage of advance also) (para. 6.17).</w:t>
      </w:r>
    </w:p>
    <w:p w14:paraId="305CAA46" w14:textId="37F5157E"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The balance left in the Fund unspent at the end of fifth year (i.e. 1994-95) will be available for being used as a Plan resource (para. 6.17).</w:t>
      </w:r>
    </w:p>
    <w:p w14:paraId="6DFD1BE4" w14:textId="7481E872"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All calamities such as drought, flood, cyclone and fire which qualified for relief assistance in the past will continue to be covered in the present scheme. The distinction between drought and other calamities like flood, cyclone etc. will be dispensed with (para. 6.17).</w:t>
      </w:r>
    </w:p>
    <w:p w14:paraId="2223D937" w14:textId="09F32174" w:rsidR="00340829"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The Centre should constitute an Expert Group to monitor relief work done in States utilising the Calamity Relief Fund and also to give such advice as it deems appropriate to the State agencies involved in relief work (para. 6.17).</w:t>
      </w:r>
    </w:p>
    <w:p w14:paraId="5450CF4C" w14:textId="7ABE49A1" w:rsidR="00340829" w:rsidRPr="00947732" w:rsidRDefault="00340829">
      <w:pPr>
        <w:pStyle w:val="ListParagraph"/>
        <w:numPr>
          <w:ilvl w:val="0"/>
          <w:numId w:val="40"/>
        </w:numPr>
        <w:spacing w:after="0" w:line="160" w:lineRule="exact"/>
        <w:jc w:val="both"/>
        <w:rPr>
          <w:rFonts w:ascii="Times New Roman" w:hAnsi="Times New Roman" w:cs="Times New Roman"/>
          <w:sz w:val="18"/>
          <w:szCs w:val="18"/>
        </w:rPr>
      </w:pPr>
      <w:r w:rsidRPr="00947732">
        <w:rPr>
          <w:rFonts w:ascii="Times New Roman" w:hAnsi="Times New Roman" w:cs="Times New Roman"/>
          <w:sz w:val="18"/>
          <w:szCs w:val="18"/>
        </w:rPr>
        <w:t xml:space="preserve">The Centre should contribute 75 per cent of the relief expenditure (over and above its contribution to the Calamity Relief Fund) of Rs. 163 </w:t>
      </w:r>
      <w:proofErr w:type="gramStart"/>
      <w:r w:rsidRPr="00947732">
        <w:rPr>
          <w:rFonts w:ascii="Times New Roman" w:hAnsi="Times New Roman" w:cs="Times New Roman"/>
          <w:sz w:val="18"/>
          <w:szCs w:val="18"/>
        </w:rPr>
        <w:t>crore</w:t>
      </w:r>
      <w:proofErr w:type="gramEnd"/>
      <w:r w:rsidRPr="00947732">
        <w:rPr>
          <w:rFonts w:ascii="Times New Roman" w:hAnsi="Times New Roman" w:cs="Times New Roman"/>
          <w:sz w:val="18"/>
          <w:szCs w:val="18"/>
        </w:rPr>
        <w:t xml:space="preserve"> on relief and rehabilitation of gas victims in Bhopal, during 1990-95 by way of non-Plan grant. The balance 25 per cent will be borne by the Government of Madhya Pradesh (para. 6.21).</w:t>
      </w:r>
    </w:p>
    <w:p w14:paraId="275054B7" w14:textId="77777777" w:rsidR="002612A5" w:rsidRPr="0043555B" w:rsidRDefault="002612A5" w:rsidP="0043555B">
      <w:pPr>
        <w:pStyle w:val="NoSpacing"/>
        <w:jc w:val="center"/>
        <w:rPr>
          <w:rFonts w:ascii="Times New Roman" w:hAnsi="Times New Roman" w:cs="Times New Roman"/>
          <w:b/>
          <w:bCs/>
          <w:sz w:val="20"/>
          <w:szCs w:val="20"/>
        </w:rPr>
      </w:pPr>
      <w:r w:rsidRPr="0043555B">
        <w:rPr>
          <w:rFonts w:ascii="Times New Roman" w:hAnsi="Times New Roman" w:cs="Times New Roman"/>
          <w:b/>
          <w:bCs/>
          <w:sz w:val="20"/>
          <w:szCs w:val="20"/>
        </w:rPr>
        <w:t>VI. GRANTS-IN-AID</w:t>
      </w:r>
    </w:p>
    <w:p w14:paraId="047396DE" w14:textId="19321D30" w:rsidR="00C37AC8" w:rsidRPr="00AA6AF4" w:rsidRDefault="002612A5" w:rsidP="0043555B">
      <w:pPr>
        <w:pStyle w:val="Heading3"/>
        <w:spacing w:after="0" w:line="160" w:lineRule="exact"/>
      </w:pPr>
      <w:r w:rsidRPr="00AA6AF4">
        <w:t>(1) To cover the net five-year (1990-95) deficits on non-Plan revenue account and part of the deficits on plan revenue account, the following States be paid the sums specified against each of them as grants-in-aid of their revenues in the</w:t>
      </w:r>
      <w:r w:rsidR="008B7766" w:rsidRPr="00AA6AF4">
        <w:t xml:space="preserve"> </w:t>
      </w:r>
      <w:r w:rsidR="00C37AC8" w:rsidRPr="00AA6AF4">
        <w:t>respective years indicated in the table below, under the substantive part of Clause (1) of Article 275 of the Constitution:</w:t>
      </w:r>
    </w:p>
    <w:p w14:paraId="616F74C6" w14:textId="77777777" w:rsidR="00C37AC8" w:rsidRPr="009C5E16" w:rsidRDefault="00C37AC8" w:rsidP="0043555B">
      <w:pPr>
        <w:spacing w:after="0" w:line="160" w:lineRule="exact"/>
        <w:ind w:left="7200" w:firstLine="720"/>
        <w:rPr>
          <w:rFonts w:ascii="Times New Roman" w:hAnsi="Times New Roman" w:cs="Times New Roman"/>
          <w:sz w:val="18"/>
          <w:szCs w:val="18"/>
        </w:rPr>
      </w:pPr>
      <w:r w:rsidRPr="009C5E16">
        <w:rPr>
          <w:rFonts w:ascii="Times New Roman" w:hAnsi="Times New Roman" w:cs="Times New Roman"/>
          <w:i/>
          <w:iCs/>
          <w:sz w:val="18"/>
          <w:szCs w:val="18"/>
        </w:rPr>
        <w:t>(Rs. Crore)</w:t>
      </w:r>
    </w:p>
    <w:tbl>
      <w:tblPr>
        <w:tblStyle w:val="TableGrid"/>
        <w:tblW w:w="7792" w:type="dxa"/>
        <w:jc w:val="center"/>
        <w:tblLook w:val="04A0" w:firstRow="1" w:lastRow="0" w:firstColumn="1" w:lastColumn="0" w:noHBand="0" w:noVBand="1"/>
      </w:tblPr>
      <w:tblGrid>
        <w:gridCol w:w="1694"/>
        <w:gridCol w:w="1153"/>
        <w:gridCol w:w="1062"/>
        <w:gridCol w:w="1069"/>
        <w:gridCol w:w="971"/>
        <w:gridCol w:w="850"/>
        <w:gridCol w:w="993"/>
      </w:tblGrid>
      <w:tr w:rsidR="0043555B" w:rsidRPr="0043555B" w14:paraId="7EB33676" w14:textId="77777777" w:rsidTr="0043555B">
        <w:trPr>
          <w:trHeight w:val="20"/>
          <w:jc w:val="center"/>
        </w:trPr>
        <w:tc>
          <w:tcPr>
            <w:tcW w:w="1694" w:type="dxa"/>
            <w:vAlign w:val="center"/>
            <w:hideMark/>
          </w:tcPr>
          <w:p w14:paraId="0BDFBDA1" w14:textId="77777777" w:rsidR="0043555B" w:rsidRPr="0043555B" w:rsidRDefault="0043555B" w:rsidP="00445823">
            <w:pPr>
              <w:pStyle w:val="NoSpacing"/>
              <w:spacing w:line="160" w:lineRule="exact"/>
              <w:rPr>
                <w:rFonts w:ascii="Times New Roman" w:hAnsi="Times New Roman" w:cs="Times New Roman"/>
                <w:sz w:val="16"/>
                <w:szCs w:val="16"/>
              </w:rPr>
            </w:pPr>
          </w:p>
        </w:tc>
        <w:tc>
          <w:tcPr>
            <w:tcW w:w="6098" w:type="dxa"/>
            <w:gridSpan w:val="6"/>
            <w:vAlign w:val="center"/>
            <w:hideMark/>
          </w:tcPr>
          <w:p w14:paraId="14B4FF4F" w14:textId="690C0B18" w:rsidR="0043555B" w:rsidRPr="0043555B" w:rsidRDefault="0043555B"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Total</w:t>
            </w:r>
          </w:p>
        </w:tc>
      </w:tr>
      <w:tr w:rsidR="00C37AC8" w:rsidRPr="0043555B" w14:paraId="35A8D4D6" w14:textId="77777777" w:rsidTr="0043555B">
        <w:trPr>
          <w:trHeight w:val="20"/>
          <w:jc w:val="center"/>
        </w:trPr>
        <w:tc>
          <w:tcPr>
            <w:tcW w:w="1694" w:type="dxa"/>
            <w:vAlign w:val="center"/>
            <w:hideMark/>
          </w:tcPr>
          <w:p w14:paraId="3C3D58FC"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b/>
                <w:bCs/>
                <w:sz w:val="16"/>
                <w:szCs w:val="16"/>
              </w:rPr>
              <w:t>States</w:t>
            </w:r>
          </w:p>
        </w:tc>
        <w:tc>
          <w:tcPr>
            <w:tcW w:w="1153" w:type="dxa"/>
            <w:vAlign w:val="center"/>
            <w:hideMark/>
          </w:tcPr>
          <w:p w14:paraId="188B88C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1990-95</w:t>
            </w:r>
          </w:p>
        </w:tc>
        <w:tc>
          <w:tcPr>
            <w:tcW w:w="1062" w:type="dxa"/>
            <w:vAlign w:val="center"/>
            <w:hideMark/>
          </w:tcPr>
          <w:p w14:paraId="3C0BDE5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1990-91</w:t>
            </w:r>
          </w:p>
        </w:tc>
        <w:tc>
          <w:tcPr>
            <w:tcW w:w="1069" w:type="dxa"/>
            <w:vAlign w:val="center"/>
            <w:hideMark/>
          </w:tcPr>
          <w:p w14:paraId="2E5E70F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1991-92</w:t>
            </w:r>
          </w:p>
        </w:tc>
        <w:tc>
          <w:tcPr>
            <w:tcW w:w="971" w:type="dxa"/>
            <w:vAlign w:val="center"/>
            <w:hideMark/>
          </w:tcPr>
          <w:p w14:paraId="7820DC7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1992-93</w:t>
            </w:r>
          </w:p>
        </w:tc>
        <w:tc>
          <w:tcPr>
            <w:tcW w:w="850" w:type="dxa"/>
            <w:vAlign w:val="center"/>
            <w:hideMark/>
          </w:tcPr>
          <w:p w14:paraId="1FB6C38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1993-94</w:t>
            </w:r>
          </w:p>
        </w:tc>
        <w:tc>
          <w:tcPr>
            <w:tcW w:w="993" w:type="dxa"/>
            <w:vAlign w:val="center"/>
            <w:hideMark/>
          </w:tcPr>
          <w:p w14:paraId="41780D7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1994-95</w:t>
            </w:r>
          </w:p>
        </w:tc>
      </w:tr>
      <w:tr w:rsidR="00C37AC8" w:rsidRPr="0043555B" w14:paraId="66DCF0E6" w14:textId="77777777" w:rsidTr="0043555B">
        <w:trPr>
          <w:trHeight w:val="20"/>
          <w:jc w:val="center"/>
        </w:trPr>
        <w:tc>
          <w:tcPr>
            <w:tcW w:w="1694" w:type="dxa"/>
            <w:vAlign w:val="center"/>
            <w:hideMark/>
          </w:tcPr>
          <w:p w14:paraId="28F9EA57" w14:textId="77777777" w:rsidR="00C37AC8" w:rsidRPr="0043555B" w:rsidRDefault="00C37AC8" w:rsidP="00445823">
            <w:pPr>
              <w:pStyle w:val="NoSpacing"/>
              <w:spacing w:line="160" w:lineRule="exact"/>
              <w:rPr>
                <w:rFonts w:ascii="Times New Roman" w:hAnsi="Times New Roman" w:cs="Times New Roman"/>
                <w:sz w:val="16"/>
                <w:szCs w:val="16"/>
              </w:rPr>
            </w:pPr>
          </w:p>
        </w:tc>
        <w:tc>
          <w:tcPr>
            <w:tcW w:w="1153" w:type="dxa"/>
            <w:vAlign w:val="center"/>
            <w:hideMark/>
          </w:tcPr>
          <w:p w14:paraId="169FC1D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w:t>
            </w:r>
          </w:p>
        </w:tc>
        <w:tc>
          <w:tcPr>
            <w:tcW w:w="1062" w:type="dxa"/>
            <w:vAlign w:val="center"/>
            <w:hideMark/>
          </w:tcPr>
          <w:p w14:paraId="09DCB58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(2)</w:t>
            </w:r>
          </w:p>
        </w:tc>
        <w:tc>
          <w:tcPr>
            <w:tcW w:w="1069" w:type="dxa"/>
            <w:vAlign w:val="center"/>
            <w:hideMark/>
          </w:tcPr>
          <w:p w14:paraId="732C6350"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(3)</w:t>
            </w:r>
          </w:p>
        </w:tc>
        <w:tc>
          <w:tcPr>
            <w:tcW w:w="971" w:type="dxa"/>
            <w:vAlign w:val="center"/>
            <w:hideMark/>
          </w:tcPr>
          <w:p w14:paraId="08EAF68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(4)</w:t>
            </w:r>
          </w:p>
        </w:tc>
        <w:tc>
          <w:tcPr>
            <w:tcW w:w="850" w:type="dxa"/>
            <w:vAlign w:val="center"/>
            <w:hideMark/>
          </w:tcPr>
          <w:p w14:paraId="38FFE29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(5)</w:t>
            </w:r>
          </w:p>
        </w:tc>
        <w:tc>
          <w:tcPr>
            <w:tcW w:w="993" w:type="dxa"/>
            <w:vAlign w:val="center"/>
            <w:hideMark/>
          </w:tcPr>
          <w:p w14:paraId="4BA3D2D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(6)</w:t>
            </w:r>
          </w:p>
        </w:tc>
      </w:tr>
      <w:tr w:rsidR="00C37AC8" w:rsidRPr="0043555B" w14:paraId="02BF4DB5" w14:textId="77777777" w:rsidTr="0043555B">
        <w:trPr>
          <w:trHeight w:val="20"/>
          <w:jc w:val="center"/>
        </w:trPr>
        <w:tc>
          <w:tcPr>
            <w:tcW w:w="1694" w:type="dxa"/>
            <w:vAlign w:val="center"/>
            <w:hideMark/>
          </w:tcPr>
          <w:p w14:paraId="4512A37C"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 Andhra Pradesh</w:t>
            </w:r>
          </w:p>
        </w:tc>
        <w:tc>
          <w:tcPr>
            <w:tcW w:w="1153" w:type="dxa"/>
            <w:vAlign w:val="center"/>
            <w:hideMark/>
          </w:tcPr>
          <w:p w14:paraId="7716B68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341.25</w:t>
            </w:r>
          </w:p>
        </w:tc>
        <w:tc>
          <w:tcPr>
            <w:tcW w:w="1062" w:type="dxa"/>
            <w:vAlign w:val="center"/>
            <w:hideMark/>
          </w:tcPr>
          <w:p w14:paraId="3D64EA6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46.07</w:t>
            </w:r>
          </w:p>
        </w:tc>
        <w:tc>
          <w:tcPr>
            <w:tcW w:w="1069" w:type="dxa"/>
            <w:vAlign w:val="center"/>
            <w:hideMark/>
          </w:tcPr>
          <w:p w14:paraId="638236D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54.60</w:t>
            </w:r>
          </w:p>
        </w:tc>
        <w:tc>
          <w:tcPr>
            <w:tcW w:w="971" w:type="dxa"/>
            <w:vAlign w:val="center"/>
            <w:hideMark/>
          </w:tcPr>
          <w:p w14:paraId="157E5E0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66.54</w:t>
            </w:r>
          </w:p>
        </w:tc>
        <w:tc>
          <w:tcPr>
            <w:tcW w:w="850" w:type="dxa"/>
            <w:vAlign w:val="center"/>
            <w:hideMark/>
          </w:tcPr>
          <w:p w14:paraId="2BEAD5F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78.49</w:t>
            </w:r>
          </w:p>
        </w:tc>
        <w:tc>
          <w:tcPr>
            <w:tcW w:w="993" w:type="dxa"/>
            <w:vAlign w:val="center"/>
            <w:hideMark/>
          </w:tcPr>
          <w:p w14:paraId="6B1E416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95.55</w:t>
            </w:r>
          </w:p>
        </w:tc>
      </w:tr>
      <w:tr w:rsidR="00C37AC8" w:rsidRPr="0043555B" w14:paraId="5D25B26F" w14:textId="77777777" w:rsidTr="0043555B">
        <w:trPr>
          <w:trHeight w:val="20"/>
          <w:jc w:val="center"/>
        </w:trPr>
        <w:tc>
          <w:tcPr>
            <w:tcW w:w="1694" w:type="dxa"/>
            <w:vAlign w:val="center"/>
            <w:hideMark/>
          </w:tcPr>
          <w:p w14:paraId="0014CB09"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2. Arunachal Pradesh</w:t>
            </w:r>
          </w:p>
        </w:tc>
        <w:tc>
          <w:tcPr>
            <w:tcW w:w="1153" w:type="dxa"/>
            <w:vAlign w:val="center"/>
            <w:hideMark/>
          </w:tcPr>
          <w:p w14:paraId="38BDC72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302.79</w:t>
            </w:r>
          </w:p>
        </w:tc>
        <w:tc>
          <w:tcPr>
            <w:tcW w:w="1062" w:type="dxa"/>
            <w:vAlign w:val="center"/>
            <w:hideMark/>
          </w:tcPr>
          <w:p w14:paraId="638EEEF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57.65</w:t>
            </w:r>
          </w:p>
        </w:tc>
        <w:tc>
          <w:tcPr>
            <w:tcW w:w="1069" w:type="dxa"/>
            <w:vAlign w:val="center"/>
            <w:hideMark/>
          </w:tcPr>
          <w:p w14:paraId="7D718E8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59.45</w:t>
            </w:r>
          </w:p>
        </w:tc>
        <w:tc>
          <w:tcPr>
            <w:tcW w:w="971" w:type="dxa"/>
            <w:vAlign w:val="center"/>
            <w:hideMark/>
          </w:tcPr>
          <w:p w14:paraId="0874EDD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60.76</w:t>
            </w:r>
          </w:p>
        </w:tc>
        <w:tc>
          <w:tcPr>
            <w:tcW w:w="850" w:type="dxa"/>
            <w:vAlign w:val="center"/>
            <w:hideMark/>
          </w:tcPr>
          <w:p w14:paraId="08D5181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61.48</w:t>
            </w:r>
          </w:p>
        </w:tc>
        <w:tc>
          <w:tcPr>
            <w:tcW w:w="993" w:type="dxa"/>
            <w:vAlign w:val="center"/>
            <w:hideMark/>
          </w:tcPr>
          <w:p w14:paraId="7208F82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63.45</w:t>
            </w:r>
          </w:p>
        </w:tc>
      </w:tr>
      <w:tr w:rsidR="00C37AC8" w:rsidRPr="0043555B" w14:paraId="0609AD79" w14:textId="77777777" w:rsidTr="0043555B">
        <w:trPr>
          <w:trHeight w:val="20"/>
          <w:jc w:val="center"/>
        </w:trPr>
        <w:tc>
          <w:tcPr>
            <w:tcW w:w="1694" w:type="dxa"/>
            <w:vAlign w:val="center"/>
            <w:hideMark/>
          </w:tcPr>
          <w:p w14:paraId="0A3B2F4F"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3. Assam</w:t>
            </w:r>
          </w:p>
        </w:tc>
        <w:tc>
          <w:tcPr>
            <w:tcW w:w="1153" w:type="dxa"/>
            <w:vAlign w:val="center"/>
            <w:hideMark/>
          </w:tcPr>
          <w:p w14:paraId="1B929B2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874.23</w:t>
            </w:r>
          </w:p>
        </w:tc>
        <w:tc>
          <w:tcPr>
            <w:tcW w:w="1062" w:type="dxa"/>
            <w:vAlign w:val="center"/>
            <w:hideMark/>
          </w:tcPr>
          <w:p w14:paraId="6256FC8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205.61</w:t>
            </w:r>
          </w:p>
        </w:tc>
        <w:tc>
          <w:tcPr>
            <w:tcW w:w="1069" w:type="dxa"/>
            <w:vAlign w:val="center"/>
            <w:hideMark/>
          </w:tcPr>
          <w:p w14:paraId="3E22032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179.68</w:t>
            </w:r>
          </w:p>
        </w:tc>
        <w:tc>
          <w:tcPr>
            <w:tcW w:w="971" w:type="dxa"/>
            <w:vAlign w:val="center"/>
            <w:hideMark/>
          </w:tcPr>
          <w:p w14:paraId="39E0000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172.87</w:t>
            </w:r>
          </w:p>
        </w:tc>
        <w:tc>
          <w:tcPr>
            <w:tcW w:w="850" w:type="dxa"/>
            <w:vAlign w:val="center"/>
            <w:hideMark/>
          </w:tcPr>
          <w:p w14:paraId="616D047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161.42</w:t>
            </w:r>
          </w:p>
        </w:tc>
        <w:tc>
          <w:tcPr>
            <w:tcW w:w="993" w:type="dxa"/>
            <w:vAlign w:val="center"/>
            <w:hideMark/>
          </w:tcPr>
          <w:p w14:paraId="2E51753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154.65</w:t>
            </w:r>
          </w:p>
        </w:tc>
      </w:tr>
      <w:tr w:rsidR="00C37AC8" w:rsidRPr="0043555B" w14:paraId="557964E2" w14:textId="77777777" w:rsidTr="0043555B">
        <w:trPr>
          <w:trHeight w:val="20"/>
          <w:jc w:val="center"/>
        </w:trPr>
        <w:tc>
          <w:tcPr>
            <w:tcW w:w="1694" w:type="dxa"/>
            <w:vAlign w:val="center"/>
            <w:hideMark/>
          </w:tcPr>
          <w:p w14:paraId="3C50B82D"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4. Bihar</w:t>
            </w:r>
          </w:p>
        </w:tc>
        <w:tc>
          <w:tcPr>
            <w:tcW w:w="1153" w:type="dxa"/>
            <w:vAlign w:val="center"/>
            <w:hideMark/>
          </w:tcPr>
          <w:p w14:paraId="7FB6592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1374.27</w:t>
            </w:r>
          </w:p>
        </w:tc>
        <w:tc>
          <w:tcPr>
            <w:tcW w:w="1062" w:type="dxa"/>
            <w:vAlign w:val="center"/>
            <w:hideMark/>
          </w:tcPr>
          <w:p w14:paraId="11883AD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185.53</w:t>
            </w:r>
          </w:p>
        </w:tc>
        <w:tc>
          <w:tcPr>
            <w:tcW w:w="1069" w:type="dxa"/>
            <w:vAlign w:val="center"/>
            <w:hideMark/>
          </w:tcPr>
          <w:p w14:paraId="3245163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219.88</w:t>
            </w:r>
          </w:p>
        </w:tc>
        <w:tc>
          <w:tcPr>
            <w:tcW w:w="971" w:type="dxa"/>
            <w:vAlign w:val="center"/>
            <w:hideMark/>
          </w:tcPr>
          <w:p w14:paraId="1F719E2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267.98</w:t>
            </w:r>
          </w:p>
        </w:tc>
        <w:tc>
          <w:tcPr>
            <w:tcW w:w="850" w:type="dxa"/>
            <w:vAlign w:val="center"/>
            <w:hideMark/>
          </w:tcPr>
          <w:p w14:paraId="64CD597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316.08</w:t>
            </w:r>
          </w:p>
        </w:tc>
        <w:tc>
          <w:tcPr>
            <w:tcW w:w="993" w:type="dxa"/>
            <w:vAlign w:val="center"/>
            <w:hideMark/>
          </w:tcPr>
          <w:p w14:paraId="34EF255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384.80</w:t>
            </w:r>
          </w:p>
        </w:tc>
      </w:tr>
      <w:tr w:rsidR="00C37AC8" w:rsidRPr="0043555B" w14:paraId="43999CAD" w14:textId="77777777" w:rsidTr="0043555B">
        <w:trPr>
          <w:trHeight w:val="20"/>
          <w:jc w:val="center"/>
        </w:trPr>
        <w:tc>
          <w:tcPr>
            <w:tcW w:w="1694" w:type="dxa"/>
            <w:vAlign w:val="center"/>
            <w:hideMark/>
          </w:tcPr>
          <w:p w14:paraId="2D2014DC"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5. Goa</w:t>
            </w:r>
          </w:p>
        </w:tc>
        <w:tc>
          <w:tcPr>
            <w:tcW w:w="1153" w:type="dxa"/>
            <w:vAlign w:val="center"/>
            <w:hideMark/>
          </w:tcPr>
          <w:p w14:paraId="42CCFED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166.58</w:t>
            </w:r>
          </w:p>
        </w:tc>
        <w:tc>
          <w:tcPr>
            <w:tcW w:w="1062" w:type="dxa"/>
            <w:vAlign w:val="center"/>
            <w:hideMark/>
          </w:tcPr>
          <w:p w14:paraId="4D591316"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33.66</w:t>
            </w:r>
          </w:p>
        </w:tc>
        <w:tc>
          <w:tcPr>
            <w:tcW w:w="1069" w:type="dxa"/>
            <w:vAlign w:val="center"/>
            <w:hideMark/>
          </w:tcPr>
          <w:p w14:paraId="6D3E076F"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33.31</w:t>
            </w:r>
          </w:p>
        </w:tc>
        <w:tc>
          <w:tcPr>
            <w:tcW w:w="971" w:type="dxa"/>
            <w:vAlign w:val="center"/>
            <w:hideMark/>
          </w:tcPr>
          <w:p w14:paraId="7FB0225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33.06</w:t>
            </w:r>
          </w:p>
        </w:tc>
        <w:tc>
          <w:tcPr>
            <w:tcW w:w="850" w:type="dxa"/>
            <w:vAlign w:val="center"/>
            <w:hideMark/>
          </w:tcPr>
          <w:p w14:paraId="2323192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32.88</w:t>
            </w:r>
          </w:p>
        </w:tc>
        <w:tc>
          <w:tcPr>
            <w:tcW w:w="993" w:type="dxa"/>
            <w:vAlign w:val="center"/>
            <w:hideMark/>
          </w:tcPr>
          <w:p w14:paraId="148814F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33.67</w:t>
            </w:r>
          </w:p>
        </w:tc>
      </w:tr>
      <w:tr w:rsidR="00C37AC8" w:rsidRPr="0043555B" w14:paraId="62434739" w14:textId="77777777" w:rsidTr="0043555B">
        <w:trPr>
          <w:trHeight w:val="20"/>
          <w:jc w:val="center"/>
        </w:trPr>
        <w:tc>
          <w:tcPr>
            <w:tcW w:w="1694" w:type="dxa"/>
            <w:vAlign w:val="center"/>
            <w:hideMark/>
          </w:tcPr>
          <w:p w14:paraId="771C7B3A"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6. Himachal Pradesh</w:t>
            </w:r>
          </w:p>
        </w:tc>
        <w:tc>
          <w:tcPr>
            <w:tcW w:w="1153" w:type="dxa"/>
            <w:vAlign w:val="center"/>
            <w:hideMark/>
          </w:tcPr>
          <w:p w14:paraId="1AB04CD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523.09</w:t>
            </w:r>
          </w:p>
        </w:tc>
        <w:tc>
          <w:tcPr>
            <w:tcW w:w="1062" w:type="dxa"/>
            <w:vAlign w:val="center"/>
            <w:hideMark/>
          </w:tcPr>
          <w:p w14:paraId="7881B09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113.75</w:t>
            </w:r>
          </w:p>
        </w:tc>
        <w:tc>
          <w:tcPr>
            <w:tcW w:w="1069" w:type="dxa"/>
            <w:vAlign w:val="center"/>
            <w:hideMark/>
          </w:tcPr>
          <w:p w14:paraId="2260B02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109.67</w:t>
            </w:r>
          </w:p>
        </w:tc>
        <w:tc>
          <w:tcPr>
            <w:tcW w:w="971" w:type="dxa"/>
            <w:vAlign w:val="center"/>
            <w:hideMark/>
          </w:tcPr>
          <w:p w14:paraId="7252A89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104.50</w:t>
            </w:r>
          </w:p>
        </w:tc>
        <w:tc>
          <w:tcPr>
            <w:tcW w:w="850" w:type="dxa"/>
            <w:vAlign w:val="center"/>
            <w:hideMark/>
          </w:tcPr>
          <w:p w14:paraId="681AED0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98.32</w:t>
            </w:r>
          </w:p>
        </w:tc>
        <w:tc>
          <w:tcPr>
            <w:tcW w:w="993" w:type="dxa"/>
            <w:vAlign w:val="center"/>
            <w:hideMark/>
          </w:tcPr>
          <w:p w14:paraId="6C03A0F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96.85</w:t>
            </w:r>
          </w:p>
        </w:tc>
      </w:tr>
      <w:tr w:rsidR="00C37AC8" w:rsidRPr="0043555B" w14:paraId="30EAC749" w14:textId="77777777" w:rsidTr="0043555B">
        <w:trPr>
          <w:trHeight w:val="20"/>
          <w:jc w:val="center"/>
        </w:trPr>
        <w:tc>
          <w:tcPr>
            <w:tcW w:w="1694" w:type="dxa"/>
            <w:vAlign w:val="center"/>
            <w:hideMark/>
          </w:tcPr>
          <w:p w14:paraId="4A103CBC"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7. Jammu &amp; Kashmir</w:t>
            </w:r>
          </w:p>
        </w:tc>
        <w:tc>
          <w:tcPr>
            <w:tcW w:w="1153" w:type="dxa"/>
            <w:vAlign w:val="center"/>
            <w:hideMark/>
          </w:tcPr>
          <w:p w14:paraId="6BF6C8C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1096.42</w:t>
            </w:r>
          </w:p>
        </w:tc>
        <w:tc>
          <w:tcPr>
            <w:tcW w:w="1062" w:type="dxa"/>
            <w:vAlign w:val="center"/>
            <w:hideMark/>
          </w:tcPr>
          <w:p w14:paraId="75810A8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210.99</w:t>
            </w:r>
          </w:p>
        </w:tc>
        <w:tc>
          <w:tcPr>
            <w:tcW w:w="1069" w:type="dxa"/>
            <w:vAlign w:val="center"/>
            <w:hideMark/>
          </w:tcPr>
          <w:p w14:paraId="727EAD1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213.60</w:t>
            </w:r>
          </w:p>
        </w:tc>
        <w:tc>
          <w:tcPr>
            <w:tcW w:w="971" w:type="dxa"/>
            <w:vAlign w:val="center"/>
            <w:hideMark/>
          </w:tcPr>
          <w:p w14:paraId="00C364E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224.35</w:t>
            </w:r>
          </w:p>
        </w:tc>
        <w:tc>
          <w:tcPr>
            <w:tcW w:w="850" w:type="dxa"/>
            <w:vAlign w:val="center"/>
            <w:hideMark/>
          </w:tcPr>
          <w:p w14:paraId="630212F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220.87</w:t>
            </w:r>
          </w:p>
        </w:tc>
        <w:tc>
          <w:tcPr>
            <w:tcW w:w="993" w:type="dxa"/>
            <w:vAlign w:val="center"/>
            <w:hideMark/>
          </w:tcPr>
          <w:p w14:paraId="619F221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226.61</w:t>
            </w:r>
          </w:p>
        </w:tc>
      </w:tr>
      <w:tr w:rsidR="00C37AC8" w:rsidRPr="0043555B" w14:paraId="3C4804CB" w14:textId="77777777" w:rsidTr="0043555B">
        <w:trPr>
          <w:trHeight w:val="20"/>
          <w:jc w:val="center"/>
        </w:trPr>
        <w:tc>
          <w:tcPr>
            <w:tcW w:w="1694" w:type="dxa"/>
            <w:vAlign w:val="center"/>
            <w:hideMark/>
          </w:tcPr>
          <w:p w14:paraId="39EBFE95"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8. Kerala</w:t>
            </w:r>
          </w:p>
        </w:tc>
        <w:tc>
          <w:tcPr>
            <w:tcW w:w="1153" w:type="dxa"/>
            <w:vAlign w:val="center"/>
            <w:hideMark/>
          </w:tcPr>
          <w:p w14:paraId="2D92636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412.54</w:t>
            </w:r>
          </w:p>
        </w:tc>
        <w:tc>
          <w:tcPr>
            <w:tcW w:w="1062" w:type="dxa"/>
            <w:vAlign w:val="center"/>
            <w:hideMark/>
          </w:tcPr>
          <w:p w14:paraId="63FC7F5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55.69</w:t>
            </w:r>
          </w:p>
        </w:tc>
        <w:tc>
          <w:tcPr>
            <w:tcW w:w="1069" w:type="dxa"/>
            <w:vAlign w:val="center"/>
            <w:hideMark/>
          </w:tcPr>
          <w:p w14:paraId="68AE48C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66.01</w:t>
            </w:r>
          </w:p>
        </w:tc>
        <w:tc>
          <w:tcPr>
            <w:tcW w:w="971" w:type="dxa"/>
            <w:vAlign w:val="center"/>
            <w:hideMark/>
          </w:tcPr>
          <w:p w14:paraId="012A02A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80.45</w:t>
            </w:r>
          </w:p>
        </w:tc>
        <w:tc>
          <w:tcPr>
            <w:tcW w:w="850" w:type="dxa"/>
            <w:vAlign w:val="center"/>
            <w:hideMark/>
          </w:tcPr>
          <w:p w14:paraId="43B3D79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94.88</w:t>
            </w:r>
          </w:p>
        </w:tc>
        <w:tc>
          <w:tcPr>
            <w:tcW w:w="993" w:type="dxa"/>
            <w:vAlign w:val="center"/>
            <w:hideMark/>
          </w:tcPr>
          <w:p w14:paraId="6563AF46"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115.51</w:t>
            </w:r>
          </w:p>
        </w:tc>
      </w:tr>
      <w:tr w:rsidR="00C37AC8" w:rsidRPr="0043555B" w14:paraId="02621641" w14:textId="77777777" w:rsidTr="0043555B">
        <w:trPr>
          <w:trHeight w:val="20"/>
          <w:jc w:val="center"/>
        </w:trPr>
        <w:tc>
          <w:tcPr>
            <w:tcW w:w="1694" w:type="dxa"/>
            <w:vAlign w:val="center"/>
            <w:hideMark/>
          </w:tcPr>
          <w:p w14:paraId="31ECBCF5"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9. Madhya Pradesh</w:t>
            </w:r>
          </w:p>
        </w:tc>
        <w:tc>
          <w:tcPr>
            <w:tcW w:w="1153" w:type="dxa"/>
            <w:vAlign w:val="center"/>
            <w:hideMark/>
          </w:tcPr>
          <w:p w14:paraId="6219DB5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1047.81</w:t>
            </w:r>
          </w:p>
        </w:tc>
        <w:tc>
          <w:tcPr>
            <w:tcW w:w="1062" w:type="dxa"/>
            <w:vAlign w:val="center"/>
            <w:hideMark/>
          </w:tcPr>
          <w:p w14:paraId="15009EB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141.45</w:t>
            </w:r>
          </w:p>
        </w:tc>
        <w:tc>
          <w:tcPr>
            <w:tcW w:w="1069" w:type="dxa"/>
            <w:vAlign w:val="center"/>
            <w:hideMark/>
          </w:tcPr>
          <w:p w14:paraId="53D624A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167.65</w:t>
            </w:r>
          </w:p>
        </w:tc>
        <w:tc>
          <w:tcPr>
            <w:tcW w:w="971" w:type="dxa"/>
            <w:vAlign w:val="center"/>
            <w:hideMark/>
          </w:tcPr>
          <w:p w14:paraId="594907C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204.32</w:t>
            </w:r>
          </w:p>
        </w:tc>
        <w:tc>
          <w:tcPr>
            <w:tcW w:w="850" w:type="dxa"/>
            <w:vAlign w:val="center"/>
            <w:hideMark/>
          </w:tcPr>
          <w:p w14:paraId="61BBAFA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241.00</w:t>
            </w:r>
          </w:p>
        </w:tc>
        <w:tc>
          <w:tcPr>
            <w:tcW w:w="993" w:type="dxa"/>
            <w:vAlign w:val="center"/>
            <w:hideMark/>
          </w:tcPr>
          <w:p w14:paraId="784ECED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293.39</w:t>
            </w:r>
          </w:p>
        </w:tc>
      </w:tr>
      <w:tr w:rsidR="00C37AC8" w:rsidRPr="0043555B" w14:paraId="2A21117E" w14:textId="77777777" w:rsidTr="0043555B">
        <w:trPr>
          <w:trHeight w:val="20"/>
          <w:jc w:val="center"/>
        </w:trPr>
        <w:tc>
          <w:tcPr>
            <w:tcW w:w="1694" w:type="dxa"/>
            <w:vAlign w:val="center"/>
            <w:hideMark/>
          </w:tcPr>
          <w:p w14:paraId="07FC70BE"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10. Manipur</w:t>
            </w:r>
          </w:p>
        </w:tc>
        <w:tc>
          <w:tcPr>
            <w:tcW w:w="1153" w:type="dxa"/>
            <w:vAlign w:val="center"/>
            <w:hideMark/>
          </w:tcPr>
          <w:p w14:paraId="7A7DD42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371.65</w:t>
            </w:r>
          </w:p>
        </w:tc>
        <w:tc>
          <w:tcPr>
            <w:tcW w:w="1062" w:type="dxa"/>
            <w:vAlign w:val="center"/>
            <w:hideMark/>
          </w:tcPr>
          <w:p w14:paraId="4841F18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74.92</w:t>
            </w:r>
          </w:p>
        </w:tc>
        <w:tc>
          <w:tcPr>
            <w:tcW w:w="1069" w:type="dxa"/>
            <w:vAlign w:val="center"/>
            <w:hideMark/>
          </w:tcPr>
          <w:p w14:paraId="24DB5FF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74.90</w:t>
            </w:r>
          </w:p>
        </w:tc>
        <w:tc>
          <w:tcPr>
            <w:tcW w:w="971" w:type="dxa"/>
            <w:vAlign w:val="center"/>
            <w:hideMark/>
          </w:tcPr>
          <w:p w14:paraId="0EFC9E9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74.40</w:t>
            </w:r>
          </w:p>
        </w:tc>
        <w:tc>
          <w:tcPr>
            <w:tcW w:w="850" w:type="dxa"/>
            <w:vAlign w:val="center"/>
            <w:hideMark/>
          </w:tcPr>
          <w:p w14:paraId="0C5C818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73.32</w:t>
            </w:r>
          </w:p>
        </w:tc>
        <w:tc>
          <w:tcPr>
            <w:tcW w:w="993" w:type="dxa"/>
            <w:vAlign w:val="center"/>
            <w:hideMark/>
          </w:tcPr>
          <w:p w14:paraId="53E2429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74.11</w:t>
            </w:r>
          </w:p>
        </w:tc>
      </w:tr>
      <w:tr w:rsidR="00C37AC8" w:rsidRPr="0043555B" w14:paraId="46F8F30C" w14:textId="77777777" w:rsidTr="0043555B">
        <w:trPr>
          <w:trHeight w:val="20"/>
          <w:jc w:val="center"/>
        </w:trPr>
        <w:tc>
          <w:tcPr>
            <w:tcW w:w="1694" w:type="dxa"/>
            <w:vAlign w:val="center"/>
            <w:hideMark/>
          </w:tcPr>
          <w:p w14:paraId="51A8CD90"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11. Meghalaya</w:t>
            </w:r>
          </w:p>
        </w:tc>
        <w:tc>
          <w:tcPr>
            <w:tcW w:w="1153" w:type="dxa"/>
            <w:vAlign w:val="center"/>
            <w:hideMark/>
          </w:tcPr>
          <w:p w14:paraId="53E2EF6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256.18</w:t>
            </w:r>
          </w:p>
        </w:tc>
        <w:tc>
          <w:tcPr>
            <w:tcW w:w="1062" w:type="dxa"/>
            <w:vAlign w:val="center"/>
            <w:hideMark/>
          </w:tcPr>
          <w:p w14:paraId="4406C69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58.88</w:t>
            </w:r>
          </w:p>
        </w:tc>
        <w:tc>
          <w:tcPr>
            <w:tcW w:w="1069" w:type="dxa"/>
            <w:vAlign w:val="center"/>
            <w:hideMark/>
          </w:tcPr>
          <w:p w14:paraId="52FE557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50.32</w:t>
            </w:r>
          </w:p>
        </w:tc>
        <w:tc>
          <w:tcPr>
            <w:tcW w:w="971" w:type="dxa"/>
            <w:vAlign w:val="center"/>
            <w:hideMark/>
          </w:tcPr>
          <w:p w14:paraId="0221ADA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51.27</w:t>
            </w:r>
          </w:p>
        </w:tc>
        <w:tc>
          <w:tcPr>
            <w:tcW w:w="850" w:type="dxa"/>
            <w:vAlign w:val="center"/>
            <w:hideMark/>
          </w:tcPr>
          <w:p w14:paraId="61104120"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48.54</w:t>
            </w:r>
          </w:p>
        </w:tc>
        <w:tc>
          <w:tcPr>
            <w:tcW w:w="993" w:type="dxa"/>
            <w:vAlign w:val="center"/>
            <w:hideMark/>
          </w:tcPr>
          <w:p w14:paraId="479F57D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47.17</w:t>
            </w:r>
          </w:p>
        </w:tc>
      </w:tr>
      <w:tr w:rsidR="00C37AC8" w:rsidRPr="0043555B" w14:paraId="13707F94" w14:textId="77777777" w:rsidTr="0043555B">
        <w:trPr>
          <w:trHeight w:val="20"/>
          <w:jc w:val="center"/>
        </w:trPr>
        <w:tc>
          <w:tcPr>
            <w:tcW w:w="1694" w:type="dxa"/>
            <w:vAlign w:val="center"/>
            <w:hideMark/>
          </w:tcPr>
          <w:p w14:paraId="5790F271"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12. Mizoram</w:t>
            </w:r>
          </w:p>
        </w:tc>
        <w:tc>
          <w:tcPr>
            <w:tcW w:w="1153" w:type="dxa"/>
            <w:vAlign w:val="center"/>
            <w:hideMark/>
          </w:tcPr>
          <w:p w14:paraId="6EB1C62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379.79</w:t>
            </w:r>
          </w:p>
        </w:tc>
        <w:tc>
          <w:tcPr>
            <w:tcW w:w="1062" w:type="dxa"/>
            <w:vAlign w:val="center"/>
            <w:hideMark/>
          </w:tcPr>
          <w:p w14:paraId="350B654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74.75</w:t>
            </w:r>
          </w:p>
        </w:tc>
        <w:tc>
          <w:tcPr>
            <w:tcW w:w="1069" w:type="dxa"/>
            <w:vAlign w:val="center"/>
            <w:hideMark/>
          </w:tcPr>
          <w:p w14:paraId="1138A3D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76.22</w:t>
            </w:r>
          </w:p>
        </w:tc>
        <w:tc>
          <w:tcPr>
            <w:tcW w:w="971" w:type="dxa"/>
            <w:vAlign w:val="center"/>
            <w:hideMark/>
          </w:tcPr>
          <w:p w14:paraId="44F33E0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76.16</w:t>
            </w:r>
          </w:p>
        </w:tc>
        <w:tc>
          <w:tcPr>
            <w:tcW w:w="850" w:type="dxa"/>
            <w:vAlign w:val="center"/>
            <w:hideMark/>
          </w:tcPr>
          <w:p w14:paraId="429FB690"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76.43</w:t>
            </w:r>
          </w:p>
        </w:tc>
        <w:tc>
          <w:tcPr>
            <w:tcW w:w="993" w:type="dxa"/>
            <w:vAlign w:val="center"/>
            <w:hideMark/>
          </w:tcPr>
          <w:p w14:paraId="042B7D3F"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76.23</w:t>
            </w:r>
          </w:p>
        </w:tc>
      </w:tr>
      <w:tr w:rsidR="00C37AC8" w:rsidRPr="0043555B" w14:paraId="04A9F91E" w14:textId="77777777" w:rsidTr="0043555B">
        <w:trPr>
          <w:trHeight w:val="20"/>
          <w:jc w:val="center"/>
        </w:trPr>
        <w:tc>
          <w:tcPr>
            <w:tcW w:w="1694" w:type="dxa"/>
            <w:vAlign w:val="center"/>
            <w:hideMark/>
          </w:tcPr>
          <w:p w14:paraId="5DDB1240"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13. Nagaland</w:t>
            </w:r>
          </w:p>
        </w:tc>
        <w:tc>
          <w:tcPr>
            <w:tcW w:w="1153" w:type="dxa"/>
            <w:vAlign w:val="center"/>
            <w:hideMark/>
          </w:tcPr>
          <w:p w14:paraId="3858180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458.67</w:t>
            </w:r>
          </w:p>
        </w:tc>
        <w:tc>
          <w:tcPr>
            <w:tcW w:w="1062" w:type="dxa"/>
            <w:vAlign w:val="center"/>
            <w:hideMark/>
          </w:tcPr>
          <w:p w14:paraId="269E011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92.26</w:t>
            </w:r>
          </w:p>
        </w:tc>
        <w:tc>
          <w:tcPr>
            <w:tcW w:w="1069" w:type="dxa"/>
            <w:vAlign w:val="center"/>
            <w:hideMark/>
          </w:tcPr>
          <w:p w14:paraId="169D56B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92.48</w:t>
            </w:r>
          </w:p>
        </w:tc>
        <w:tc>
          <w:tcPr>
            <w:tcW w:w="971" w:type="dxa"/>
            <w:vAlign w:val="center"/>
            <w:hideMark/>
          </w:tcPr>
          <w:p w14:paraId="2D15095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93.88</w:t>
            </w:r>
          </w:p>
        </w:tc>
        <w:tc>
          <w:tcPr>
            <w:tcW w:w="850" w:type="dxa"/>
            <w:vAlign w:val="center"/>
            <w:hideMark/>
          </w:tcPr>
          <w:p w14:paraId="1B1349E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90.54</w:t>
            </w:r>
          </w:p>
        </w:tc>
        <w:tc>
          <w:tcPr>
            <w:tcW w:w="993" w:type="dxa"/>
            <w:vAlign w:val="center"/>
            <w:hideMark/>
          </w:tcPr>
          <w:p w14:paraId="4E072F2F"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89.51</w:t>
            </w:r>
          </w:p>
        </w:tc>
      </w:tr>
      <w:tr w:rsidR="00C37AC8" w:rsidRPr="0043555B" w14:paraId="52485B39" w14:textId="77777777" w:rsidTr="0043555B">
        <w:trPr>
          <w:trHeight w:val="20"/>
          <w:jc w:val="center"/>
        </w:trPr>
        <w:tc>
          <w:tcPr>
            <w:tcW w:w="1694" w:type="dxa"/>
            <w:vAlign w:val="center"/>
            <w:hideMark/>
          </w:tcPr>
          <w:p w14:paraId="07C69B9D"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14. Orissa</w:t>
            </w:r>
          </w:p>
        </w:tc>
        <w:tc>
          <w:tcPr>
            <w:tcW w:w="1153" w:type="dxa"/>
            <w:vAlign w:val="center"/>
            <w:hideMark/>
          </w:tcPr>
          <w:p w14:paraId="694C93D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1082.98</w:t>
            </w:r>
          </w:p>
        </w:tc>
        <w:tc>
          <w:tcPr>
            <w:tcW w:w="1062" w:type="dxa"/>
            <w:vAlign w:val="center"/>
            <w:hideMark/>
          </w:tcPr>
          <w:p w14:paraId="39D0E66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146.20</w:t>
            </w:r>
          </w:p>
        </w:tc>
        <w:tc>
          <w:tcPr>
            <w:tcW w:w="1069" w:type="dxa"/>
            <w:vAlign w:val="center"/>
            <w:hideMark/>
          </w:tcPr>
          <w:p w14:paraId="1E2450A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173.28</w:t>
            </w:r>
          </w:p>
        </w:tc>
        <w:tc>
          <w:tcPr>
            <w:tcW w:w="971" w:type="dxa"/>
            <w:vAlign w:val="center"/>
            <w:hideMark/>
          </w:tcPr>
          <w:p w14:paraId="72367F2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211.18</w:t>
            </w:r>
          </w:p>
        </w:tc>
        <w:tc>
          <w:tcPr>
            <w:tcW w:w="850" w:type="dxa"/>
            <w:vAlign w:val="center"/>
            <w:hideMark/>
          </w:tcPr>
          <w:p w14:paraId="2FB8609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249.09</w:t>
            </w:r>
          </w:p>
        </w:tc>
        <w:tc>
          <w:tcPr>
            <w:tcW w:w="993" w:type="dxa"/>
            <w:vAlign w:val="center"/>
            <w:hideMark/>
          </w:tcPr>
          <w:p w14:paraId="4F5D887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303.23</w:t>
            </w:r>
          </w:p>
        </w:tc>
      </w:tr>
      <w:tr w:rsidR="00C37AC8" w:rsidRPr="0043555B" w14:paraId="7702CF54" w14:textId="77777777" w:rsidTr="0043555B">
        <w:trPr>
          <w:trHeight w:val="20"/>
          <w:jc w:val="center"/>
        </w:trPr>
        <w:tc>
          <w:tcPr>
            <w:tcW w:w="1694" w:type="dxa"/>
            <w:vAlign w:val="center"/>
            <w:hideMark/>
          </w:tcPr>
          <w:p w14:paraId="3CE0836E"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15. Punjab</w:t>
            </w:r>
          </w:p>
        </w:tc>
        <w:tc>
          <w:tcPr>
            <w:tcW w:w="1153" w:type="dxa"/>
            <w:vAlign w:val="center"/>
            <w:hideMark/>
          </w:tcPr>
          <w:p w14:paraId="0C1EF81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53.91</w:t>
            </w:r>
          </w:p>
        </w:tc>
        <w:tc>
          <w:tcPr>
            <w:tcW w:w="1062" w:type="dxa"/>
            <w:vAlign w:val="center"/>
            <w:hideMark/>
          </w:tcPr>
          <w:p w14:paraId="1B21529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7.28</w:t>
            </w:r>
          </w:p>
        </w:tc>
        <w:tc>
          <w:tcPr>
            <w:tcW w:w="1069" w:type="dxa"/>
            <w:vAlign w:val="center"/>
            <w:hideMark/>
          </w:tcPr>
          <w:p w14:paraId="686B485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8.63</w:t>
            </w:r>
          </w:p>
        </w:tc>
        <w:tc>
          <w:tcPr>
            <w:tcW w:w="971" w:type="dxa"/>
            <w:vAlign w:val="center"/>
            <w:hideMark/>
          </w:tcPr>
          <w:p w14:paraId="76C2523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10.51</w:t>
            </w:r>
          </w:p>
        </w:tc>
        <w:tc>
          <w:tcPr>
            <w:tcW w:w="850" w:type="dxa"/>
            <w:vAlign w:val="center"/>
            <w:hideMark/>
          </w:tcPr>
          <w:p w14:paraId="17D925C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12.40</w:t>
            </w:r>
          </w:p>
        </w:tc>
        <w:tc>
          <w:tcPr>
            <w:tcW w:w="993" w:type="dxa"/>
            <w:vAlign w:val="center"/>
            <w:hideMark/>
          </w:tcPr>
          <w:p w14:paraId="008B31D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15.09</w:t>
            </w:r>
          </w:p>
        </w:tc>
      </w:tr>
      <w:tr w:rsidR="00C37AC8" w:rsidRPr="0043555B" w14:paraId="65D6896E" w14:textId="77777777" w:rsidTr="0043555B">
        <w:trPr>
          <w:trHeight w:val="20"/>
          <w:jc w:val="center"/>
        </w:trPr>
        <w:tc>
          <w:tcPr>
            <w:tcW w:w="1694" w:type="dxa"/>
            <w:vAlign w:val="center"/>
            <w:hideMark/>
          </w:tcPr>
          <w:p w14:paraId="41D8B065"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16. Rajasthan</w:t>
            </w:r>
          </w:p>
        </w:tc>
        <w:tc>
          <w:tcPr>
            <w:tcW w:w="1153" w:type="dxa"/>
            <w:vAlign w:val="center"/>
            <w:hideMark/>
          </w:tcPr>
          <w:p w14:paraId="30F3E0D8"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1446.79</w:t>
            </w:r>
          </w:p>
        </w:tc>
        <w:tc>
          <w:tcPr>
            <w:tcW w:w="1062" w:type="dxa"/>
            <w:vAlign w:val="center"/>
            <w:hideMark/>
          </w:tcPr>
          <w:p w14:paraId="1705834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195.32</w:t>
            </w:r>
          </w:p>
        </w:tc>
        <w:tc>
          <w:tcPr>
            <w:tcW w:w="1069" w:type="dxa"/>
            <w:vAlign w:val="center"/>
            <w:hideMark/>
          </w:tcPr>
          <w:p w14:paraId="498924B6"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231.49</w:t>
            </w:r>
          </w:p>
        </w:tc>
        <w:tc>
          <w:tcPr>
            <w:tcW w:w="971" w:type="dxa"/>
            <w:vAlign w:val="center"/>
            <w:hideMark/>
          </w:tcPr>
          <w:p w14:paraId="2D523AA0"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282.12</w:t>
            </w:r>
          </w:p>
        </w:tc>
        <w:tc>
          <w:tcPr>
            <w:tcW w:w="850" w:type="dxa"/>
            <w:vAlign w:val="center"/>
            <w:hideMark/>
          </w:tcPr>
          <w:p w14:paraId="469FE42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332.76</w:t>
            </w:r>
          </w:p>
        </w:tc>
        <w:tc>
          <w:tcPr>
            <w:tcW w:w="993" w:type="dxa"/>
            <w:vAlign w:val="center"/>
            <w:hideMark/>
          </w:tcPr>
          <w:p w14:paraId="7F01098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405.10</w:t>
            </w:r>
          </w:p>
        </w:tc>
      </w:tr>
      <w:tr w:rsidR="00C37AC8" w:rsidRPr="0043555B" w14:paraId="556966EB" w14:textId="77777777" w:rsidTr="0043555B">
        <w:trPr>
          <w:trHeight w:val="20"/>
          <w:jc w:val="center"/>
        </w:trPr>
        <w:tc>
          <w:tcPr>
            <w:tcW w:w="1694" w:type="dxa"/>
            <w:vAlign w:val="center"/>
            <w:hideMark/>
          </w:tcPr>
          <w:p w14:paraId="72632CA1"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17. Sikkim</w:t>
            </w:r>
          </w:p>
        </w:tc>
        <w:tc>
          <w:tcPr>
            <w:tcW w:w="1153" w:type="dxa"/>
            <w:vAlign w:val="center"/>
            <w:hideMark/>
          </w:tcPr>
          <w:p w14:paraId="61B41D5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84.68</w:t>
            </w:r>
          </w:p>
        </w:tc>
        <w:tc>
          <w:tcPr>
            <w:tcW w:w="1062" w:type="dxa"/>
            <w:vAlign w:val="center"/>
            <w:hideMark/>
          </w:tcPr>
          <w:p w14:paraId="55D762CF"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17.59</w:t>
            </w:r>
          </w:p>
        </w:tc>
        <w:tc>
          <w:tcPr>
            <w:tcW w:w="1069" w:type="dxa"/>
            <w:vAlign w:val="center"/>
            <w:hideMark/>
          </w:tcPr>
          <w:p w14:paraId="42F679D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17.37</w:t>
            </w:r>
          </w:p>
        </w:tc>
        <w:tc>
          <w:tcPr>
            <w:tcW w:w="971" w:type="dxa"/>
            <w:vAlign w:val="center"/>
            <w:hideMark/>
          </w:tcPr>
          <w:p w14:paraId="04ADE4E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17.03</w:t>
            </w:r>
          </w:p>
        </w:tc>
        <w:tc>
          <w:tcPr>
            <w:tcW w:w="850" w:type="dxa"/>
            <w:vAlign w:val="center"/>
            <w:hideMark/>
          </w:tcPr>
          <w:p w14:paraId="1E328486"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16.50</w:t>
            </w:r>
          </w:p>
        </w:tc>
        <w:tc>
          <w:tcPr>
            <w:tcW w:w="993" w:type="dxa"/>
            <w:vAlign w:val="center"/>
            <w:hideMark/>
          </w:tcPr>
          <w:p w14:paraId="1312DB0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16.19</w:t>
            </w:r>
          </w:p>
        </w:tc>
      </w:tr>
      <w:tr w:rsidR="00C37AC8" w:rsidRPr="0043555B" w14:paraId="6F710826" w14:textId="77777777" w:rsidTr="0043555B">
        <w:trPr>
          <w:trHeight w:val="20"/>
          <w:jc w:val="center"/>
        </w:trPr>
        <w:tc>
          <w:tcPr>
            <w:tcW w:w="1694" w:type="dxa"/>
            <w:vAlign w:val="center"/>
            <w:hideMark/>
          </w:tcPr>
          <w:p w14:paraId="479E3B3C"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18. Tamil Nadu</w:t>
            </w:r>
          </w:p>
        </w:tc>
        <w:tc>
          <w:tcPr>
            <w:tcW w:w="1153" w:type="dxa"/>
            <w:vAlign w:val="center"/>
            <w:hideMark/>
          </w:tcPr>
          <w:p w14:paraId="1C533BE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43.79</w:t>
            </w:r>
          </w:p>
        </w:tc>
        <w:tc>
          <w:tcPr>
            <w:tcW w:w="1062" w:type="dxa"/>
            <w:vAlign w:val="center"/>
            <w:hideMark/>
          </w:tcPr>
          <w:p w14:paraId="402E9F6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5.91</w:t>
            </w:r>
          </w:p>
        </w:tc>
        <w:tc>
          <w:tcPr>
            <w:tcW w:w="1069" w:type="dxa"/>
            <w:vAlign w:val="center"/>
            <w:hideMark/>
          </w:tcPr>
          <w:p w14:paraId="57A5337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7.01</w:t>
            </w:r>
          </w:p>
        </w:tc>
        <w:tc>
          <w:tcPr>
            <w:tcW w:w="971" w:type="dxa"/>
            <w:vAlign w:val="center"/>
            <w:hideMark/>
          </w:tcPr>
          <w:p w14:paraId="77B527C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8.54</w:t>
            </w:r>
          </w:p>
        </w:tc>
        <w:tc>
          <w:tcPr>
            <w:tcW w:w="850" w:type="dxa"/>
            <w:vAlign w:val="center"/>
            <w:hideMark/>
          </w:tcPr>
          <w:p w14:paraId="7BC4410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10.07</w:t>
            </w:r>
          </w:p>
        </w:tc>
        <w:tc>
          <w:tcPr>
            <w:tcW w:w="993" w:type="dxa"/>
            <w:vAlign w:val="center"/>
            <w:hideMark/>
          </w:tcPr>
          <w:p w14:paraId="32FEAE49"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12.26</w:t>
            </w:r>
          </w:p>
        </w:tc>
      </w:tr>
      <w:tr w:rsidR="00C37AC8" w:rsidRPr="0043555B" w14:paraId="7C4C79B7" w14:textId="77777777" w:rsidTr="0043555B">
        <w:trPr>
          <w:trHeight w:val="20"/>
          <w:jc w:val="center"/>
        </w:trPr>
        <w:tc>
          <w:tcPr>
            <w:tcW w:w="1694" w:type="dxa"/>
            <w:vAlign w:val="center"/>
            <w:hideMark/>
          </w:tcPr>
          <w:p w14:paraId="5E528DA4"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19. Tripura</w:t>
            </w:r>
          </w:p>
        </w:tc>
        <w:tc>
          <w:tcPr>
            <w:tcW w:w="1153" w:type="dxa"/>
            <w:vAlign w:val="center"/>
            <w:hideMark/>
          </w:tcPr>
          <w:p w14:paraId="2010C5E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466.01</w:t>
            </w:r>
          </w:p>
        </w:tc>
        <w:tc>
          <w:tcPr>
            <w:tcW w:w="1062" w:type="dxa"/>
            <w:vAlign w:val="center"/>
            <w:hideMark/>
          </w:tcPr>
          <w:p w14:paraId="3E84723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101.19</w:t>
            </w:r>
          </w:p>
        </w:tc>
        <w:tc>
          <w:tcPr>
            <w:tcW w:w="1069" w:type="dxa"/>
            <w:vAlign w:val="center"/>
            <w:hideMark/>
          </w:tcPr>
          <w:p w14:paraId="7A1EEFF6"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101.27</w:t>
            </w:r>
          </w:p>
        </w:tc>
        <w:tc>
          <w:tcPr>
            <w:tcW w:w="971" w:type="dxa"/>
            <w:vAlign w:val="center"/>
            <w:hideMark/>
          </w:tcPr>
          <w:p w14:paraId="0FE8A8DB"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96.52</w:t>
            </w:r>
          </w:p>
        </w:tc>
        <w:tc>
          <w:tcPr>
            <w:tcW w:w="850" w:type="dxa"/>
            <w:vAlign w:val="center"/>
            <w:hideMark/>
          </w:tcPr>
          <w:p w14:paraId="6BA2900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87.25</w:t>
            </w:r>
          </w:p>
        </w:tc>
        <w:tc>
          <w:tcPr>
            <w:tcW w:w="993" w:type="dxa"/>
            <w:vAlign w:val="center"/>
            <w:hideMark/>
          </w:tcPr>
          <w:p w14:paraId="567C5EC4"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79.78</w:t>
            </w:r>
          </w:p>
        </w:tc>
      </w:tr>
      <w:tr w:rsidR="00C37AC8" w:rsidRPr="0043555B" w14:paraId="416FE2AE" w14:textId="77777777" w:rsidTr="0043555B">
        <w:trPr>
          <w:trHeight w:val="20"/>
          <w:jc w:val="center"/>
        </w:trPr>
        <w:tc>
          <w:tcPr>
            <w:tcW w:w="1694" w:type="dxa"/>
            <w:vAlign w:val="center"/>
            <w:hideMark/>
          </w:tcPr>
          <w:p w14:paraId="1CE64CA1"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20. Uttar Pradesh</w:t>
            </w:r>
          </w:p>
        </w:tc>
        <w:tc>
          <w:tcPr>
            <w:tcW w:w="1153" w:type="dxa"/>
            <w:vAlign w:val="center"/>
            <w:hideMark/>
          </w:tcPr>
          <w:p w14:paraId="4A168CB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3235.10</w:t>
            </w:r>
          </w:p>
        </w:tc>
        <w:tc>
          <w:tcPr>
            <w:tcW w:w="1062" w:type="dxa"/>
            <w:vAlign w:val="center"/>
            <w:hideMark/>
          </w:tcPr>
          <w:p w14:paraId="5E21F6B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436.74</w:t>
            </w:r>
          </w:p>
        </w:tc>
        <w:tc>
          <w:tcPr>
            <w:tcW w:w="1069" w:type="dxa"/>
            <w:vAlign w:val="center"/>
            <w:hideMark/>
          </w:tcPr>
          <w:p w14:paraId="5803A6D2"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517.62</w:t>
            </w:r>
          </w:p>
        </w:tc>
        <w:tc>
          <w:tcPr>
            <w:tcW w:w="971" w:type="dxa"/>
            <w:vAlign w:val="center"/>
            <w:hideMark/>
          </w:tcPr>
          <w:p w14:paraId="1F23B14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630.84</w:t>
            </w:r>
          </w:p>
        </w:tc>
        <w:tc>
          <w:tcPr>
            <w:tcW w:w="850" w:type="dxa"/>
            <w:vAlign w:val="center"/>
            <w:hideMark/>
          </w:tcPr>
          <w:p w14:paraId="3755260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744.07</w:t>
            </w:r>
          </w:p>
        </w:tc>
        <w:tc>
          <w:tcPr>
            <w:tcW w:w="993" w:type="dxa"/>
            <w:vAlign w:val="center"/>
            <w:hideMark/>
          </w:tcPr>
          <w:p w14:paraId="58A15CBF"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905.83</w:t>
            </w:r>
          </w:p>
        </w:tc>
      </w:tr>
      <w:tr w:rsidR="00C37AC8" w:rsidRPr="0043555B" w14:paraId="420C9BC2" w14:textId="77777777" w:rsidTr="0043555B">
        <w:trPr>
          <w:trHeight w:val="20"/>
          <w:jc w:val="center"/>
        </w:trPr>
        <w:tc>
          <w:tcPr>
            <w:tcW w:w="1694" w:type="dxa"/>
            <w:vAlign w:val="center"/>
            <w:hideMark/>
          </w:tcPr>
          <w:p w14:paraId="7C57F823"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sz w:val="16"/>
                <w:szCs w:val="16"/>
              </w:rPr>
              <w:t>21. West Bengal</w:t>
            </w:r>
          </w:p>
        </w:tc>
        <w:tc>
          <w:tcPr>
            <w:tcW w:w="1153" w:type="dxa"/>
            <w:vAlign w:val="center"/>
            <w:hideMark/>
          </w:tcPr>
          <w:p w14:paraId="55D74921"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998.65</w:t>
            </w:r>
          </w:p>
        </w:tc>
        <w:tc>
          <w:tcPr>
            <w:tcW w:w="1062" w:type="dxa"/>
            <w:vAlign w:val="center"/>
            <w:hideMark/>
          </w:tcPr>
          <w:p w14:paraId="3F1D5EE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134.82</w:t>
            </w:r>
          </w:p>
        </w:tc>
        <w:tc>
          <w:tcPr>
            <w:tcW w:w="1069" w:type="dxa"/>
            <w:vAlign w:val="center"/>
            <w:hideMark/>
          </w:tcPr>
          <w:p w14:paraId="64CF0E5F"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159.78</w:t>
            </w:r>
          </w:p>
        </w:tc>
        <w:tc>
          <w:tcPr>
            <w:tcW w:w="971" w:type="dxa"/>
            <w:vAlign w:val="center"/>
            <w:hideMark/>
          </w:tcPr>
          <w:p w14:paraId="76674AC5"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194.74</w:t>
            </w:r>
          </w:p>
        </w:tc>
        <w:tc>
          <w:tcPr>
            <w:tcW w:w="850" w:type="dxa"/>
            <w:vAlign w:val="center"/>
            <w:hideMark/>
          </w:tcPr>
          <w:p w14:paraId="73AC55DC"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229.69</w:t>
            </w:r>
          </w:p>
        </w:tc>
        <w:tc>
          <w:tcPr>
            <w:tcW w:w="993" w:type="dxa"/>
            <w:vAlign w:val="center"/>
            <w:hideMark/>
          </w:tcPr>
          <w:p w14:paraId="3566C126"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sz w:val="16"/>
                <w:szCs w:val="16"/>
              </w:rPr>
              <w:t>279.62</w:t>
            </w:r>
          </w:p>
        </w:tc>
      </w:tr>
      <w:tr w:rsidR="00C37AC8" w:rsidRPr="0043555B" w14:paraId="3345C13E" w14:textId="77777777" w:rsidTr="0043555B">
        <w:trPr>
          <w:trHeight w:val="20"/>
          <w:jc w:val="center"/>
        </w:trPr>
        <w:tc>
          <w:tcPr>
            <w:tcW w:w="1694" w:type="dxa"/>
            <w:vAlign w:val="center"/>
            <w:hideMark/>
          </w:tcPr>
          <w:p w14:paraId="78C029DB" w14:textId="77777777" w:rsidR="00C37AC8" w:rsidRPr="0043555B" w:rsidRDefault="00C37AC8" w:rsidP="00445823">
            <w:pPr>
              <w:pStyle w:val="NoSpacing"/>
              <w:spacing w:line="160" w:lineRule="exact"/>
              <w:rPr>
                <w:rFonts w:ascii="Times New Roman" w:hAnsi="Times New Roman" w:cs="Times New Roman"/>
                <w:sz w:val="16"/>
                <w:szCs w:val="16"/>
              </w:rPr>
            </w:pPr>
            <w:r w:rsidRPr="0043555B">
              <w:rPr>
                <w:rFonts w:ascii="Times New Roman" w:hAnsi="Times New Roman" w:cs="Times New Roman"/>
                <w:b/>
                <w:bCs/>
                <w:sz w:val="16"/>
                <w:szCs w:val="16"/>
              </w:rPr>
              <w:t>Total</w:t>
            </w:r>
          </w:p>
        </w:tc>
        <w:tc>
          <w:tcPr>
            <w:tcW w:w="1153" w:type="dxa"/>
            <w:vAlign w:val="center"/>
            <w:hideMark/>
          </w:tcPr>
          <w:p w14:paraId="7F12A23A"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15017.16</w:t>
            </w:r>
          </w:p>
        </w:tc>
        <w:tc>
          <w:tcPr>
            <w:tcW w:w="1062" w:type="dxa"/>
            <w:vAlign w:val="center"/>
            <w:hideMark/>
          </w:tcPr>
          <w:p w14:paraId="08E68C07"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2396.26</w:t>
            </w:r>
          </w:p>
        </w:tc>
        <w:tc>
          <w:tcPr>
            <w:tcW w:w="1069" w:type="dxa"/>
            <w:vAlign w:val="center"/>
            <w:hideMark/>
          </w:tcPr>
          <w:p w14:paraId="0F968CE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2614.22</w:t>
            </w:r>
          </w:p>
        </w:tc>
        <w:tc>
          <w:tcPr>
            <w:tcW w:w="971" w:type="dxa"/>
            <w:vAlign w:val="center"/>
            <w:hideMark/>
          </w:tcPr>
          <w:p w14:paraId="1DA7979D"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2962.02</w:t>
            </w:r>
          </w:p>
        </w:tc>
        <w:tc>
          <w:tcPr>
            <w:tcW w:w="850" w:type="dxa"/>
            <w:vAlign w:val="center"/>
            <w:hideMark/>
          </w:tcPr>
          <w:p w14:paraId="41702FE3"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3276.06</w:t>
            </w:r>
          </w:p>
        </w:tc>
        <w:tc>
          <w:tcPr>
            <w:tcW w:w="993" w:type="dxa"/>
            <w:vAlign w:val="center"/>
            <w:hideMark/>
          </w:tcPr>
          <w:p w14:paraId="07E9E6BE" w14:textId="77777777" w:rsidR="00C37AC8" w:rsidRPr="0043555B" w:rsidRDefault="00C37AC8" w:rsidP="00445823">
            <w:pPr>
              <w:pStyle w:val="NoSpacing"/>
              <w:spacing w:line="160" w:lineRule="exact"/>
              <w:jc w:val="center"/>
              <w:rPr>
                <w:rFonts w:ascii="Times New Roman" w:hAnsi="Times New Roman" w:cs="Times New Roman"/>
                <w:sz w:val="16"/>
                <w:szCs w:val="16"/>
              </w:rPr>
            </w:pPr>
            <w:r w:rsidRPr="0043555B">
              <w:rPr>
                <w:rFonts w:ascii="Times New Roman" w:hAnsi="Times New Roman" w:cs="Times New Roman"/>
                <w:b/>
                <w:bCs/>
                <w:sz w:val="16"/>
                <w:szCs w:val="16"/>
              </w:rPr>
              <w:t>3768.60</w:t>
            </w:r>
          </w:p>
        </w:tc>
      </w:tr>
    </w:tbl>
    <w:p w14:paraId="679CDF25" w14:textId="667D4B37" w:rsidR="009C5E16" w:rsidRPr="0043555B" w:rsidRDefault="009C5E16" w:rsidP="0043555B">
      <w:pPr>
        <w:pStyle w:val="NoSpacing"/>
        <w:ind w:left="7920" w:firstLine="720"/>
        <w:rPr>
          <w:rFonts w:ascii="Times New Roman" w:hAnsi="Times New Roman" w:cs="Times New Roman"/>
          <w:sz w:val="20"/>
          <w:szCs w:val="18"/>
        </w:rPr>
      </w:pPr>
      <w:r w:rsidRPr="0043555B">
        <w:rPr>
          <w:rFonts w:ascii="Times New Roman" w:hAnsi="Times New Roman" w:cs="Times New Roman"/>
          <w:sz w:val="20"/>
          <w:szCs w:val="18"/>
        </w:rPr>
        <w:t>(para.7.14)</w:t>
      </w:r>
    </w:p>
    <w:p w14:paraId="663C175A" w14:textId="318CB7DA" w:rsidR="00FA363E" w:rsidRPr="00947732" w:rsidRDefault="00C37AC8">
      <w:pPr>
        <w:pStyle w:val="ListParagraph"/>
        <w:numPr>
          <w:ilvl w:val="0"/>
          <w:numId w:val="41"/>
        </w:numPr>
        <w:spacing w:after="0" w:line="160" w:lineRule="exact"/>
        <w:rPr>
          <w:rFonts w:ascii="Times New Roman" w:hAnsi="Times New Roman" w:cs="Times New Roman"/>
          <w:sz w:val="18"/>
          <w:szCs w:val="18"/>
        </w:rPr>
      </w:pPr>
      <w:r w:rsidRPr="009C5E16">
        <w:rPr>
          <w:rFonts w:ascii="Times New Roman" w:hAnsi="Times New Roman" w:cs="Times New Roman"/>
          <w:sz w:val="18"/>
          <w:szCs w:val="18"/>
        </w:rPr>
        <w:t>The following grants-in-aid may be paid to States in each of the five years commencing from 1st April, 1990, under the substantive portion of Clause (1) of Article 275 of the Constitution, towards the Centre's contribution to the Calamity Relief Fund.</w:t>
      </w:r>
      <w:r w:rsidR="00947732">
        <w:rPr>
          <w:rFonts w:ascii="Times New Roman" w:hAnsi="Times New Roman" w:cs="Times New Roman"/>
          <w:sz w:val="18"/>
          <w:szCs w:val="18"/>
        </w:rPr>
        <w:t xml:space="preserve"> </w:t>
      </w:r>
      <w:r w:rsidR="00947732">
        <w:rPr>
          <w:rFonts w:ascii="Times New Roman" w:hAnsi="Times New Roman" w:cs="Times New Roman"/>
          <w:sz w:val="18"/>
          <w:szCs w:val="18"/>
        </w:rPr>
        <w:tab/>
      </w:r>
      <w:r w:rsidR="00947732">
        <w:rPr>
          <w:rFonts w:ascii="Times New Roman" w:hAnsi="Times New Roman" w:cs="Times New Roman"/>
          <w:sz w:val="18"/>
          <w:szCs w:val="18"/>
        </w:rPr>
        <w:tab/>
      </w:r>
      <w:r w:rsidR="00947732">
        <w:rPr>
          <w:rFonts w:ascii="Times New Roman" w:hAnsi="Times New Roman" w:cs="Times New Roman"/>
          <w:sz w:val="18"/>
          <w:szCs w:val="18"/>
        </w:rPr>
        <w:tab/>
      </w:r>
      <w:r w:rsidR="00947732">
        <w:rPr>
          <w:rFonts w:ascii="Times New Roman" w:hAnsi="Times New Roman" w:cs="Times New Roman"/>
          <w:sz w:val="18"/>
          <w:szCs w:val="18"/>
        </w:rPr>
        <w:tab/>
      </w:r>
      <w:r w:rsidR="00947732">
        <w:rPr>
          <w:rFonts w:ascii="Times New Roman" w:hAnsi="Times New Roman" w:cs="Times New Roman"/>
          <w:sz w:val="18"/>
          <w:szCs w:val="18"/>
        </w:rPr>
        <w:tab/>
      </w:r>
      <w:r w:rsidR="00947732">
        <w:rPr>
          <w:rFonts w:ascii="Times New Roman" w:hAnsi="Times New Roman" w:cs="Times New Roman"/>
          <w:sz w:val="18"/>
          <w:szCs w:val="18"/>
        </w:rPr>
        <w:tab/>
      </w:r>
      <w:r w:rsidR="00FA363E" w:rsidRPr="00947732">
        <w:rPr>
          <w:rFonts w:ascii="Times New Roman" w:hAnsi="Times New Roman" w:cs="Times New Roman"/>
          <w:i/>
          <w:iCs/>
          <w:sz w:val="18"/>
          <w:szCs w:val="18"/>
        </w:rPr>
        <w:t>(Rs. Crore)</w:t>
      </w:r>
    </w:p>
    <w:tbl>
      <w:tblPr>
        <w:tblStyle w:val="TableGrid"/>
        <w:tblW w:w="4106" w:type="dxa"/>
        <w:jc w:val="center"/>
        <w:tblLook w:val="04A0" w:firstRow="1" w:lastRow="0" w:firstColumn="1" w:lastColumn="0" w:noHBand="0" w:noVBand="1"/>
      </w:tblPr>
      <w:tblGrid>
        <w:gridCol w:w="846"/>
        <w:gridCol w:w="1559"/>
        <w:gridCol w:w="1701"/>
      </w:tblGrid>
      <w:tr w:rsidR="00FA363E" w:rsidRPr="009C5E16" w14:paraId="78FDDEF6" w14:textId="77777777" w:rsidTr="0043555B">
        <w:trPr>
          <w:trHeight w:val="20"/>
          <w:jc w:val="center"/>
        </w:trPr>
        <w:tc>
          <w:tcPr>
            <w:tcW w:w="846" w:type="dxa"/>
            <w:vAlign w:val="center"/>
            <w:hideMark/>
          </w:tcPr>
          <w:p w14:paraId="2A58BEB9" w14:textId="77777777" w:rsidR="00FA363E" w:rsidRPr="009C5E16" w:rsidRDefault="00FA363E" w:rsidP="00445823">
            <w:pPr>
              <w:pStyle w:val="NoSpacing"/>
              <w:spacing w:line="160" w:lineRule="exact"/>
              <w:jc w:val="center"/>
              <w:rPr>
                <w:rFonts w:ascii="Times New Roman" w:hAnsi="Times New Roman" w:cs="Times New Roman"/>
                <w:sz w:val="16"/>
                <w:szCs w:val="14"/>
              </w:rPr>
            </w:pPr>
            <w:proofErr w:type="spellStart"/>
            <w:r w:rsidRPr="009C5E16">
              <w:rPr>
                <w:rFonts w:ascii="Times New Roman" w:hAnsi="Times New Roman" w:cs="Times New Roman"/>
                <w:sz w:val="16"/>
                <w:szCs w:val="14"/>
              </w:rPr>
              <w:t>S.No</w:t>
            </w:r>
            <w:proofErr w:type="spellEnd"/>
            <w:r w:rsidRPr="009C5E16">
              <w:rPr>
                <w:rFonts w:ascii="Times New Roman" w:hAnsi="Times New Roman" w:cs="Times New Roman"/>
                <w:sz w:val="16"/>
                <w:szCs w:val="14"/>
              </w:rPr>
              <w:t>.</w:t>
            </w:r>
          </w:p>
        </w:tc>
        <w:tc>
          <w:tcPr>
            <w:tcW w:w="1559" w:type="dxa"/>
            <w:vAlign w:val="center"/>
            <w:hideMark/>
          </w:tcPr>
          <w:p w14:paraId="29998FAF"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States</w:t>
            </w:r>
          </w:p>
        </w:tc>
        <w:tc>
          <w:tcPr>
            <w:tcW w:w="1701" w:type="dxa"/>
            <w:vAlign w:val="center"/>
            <w:hideMark/>
          </w:tcPr>
          <w:p w14:paraId="0329E333"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Amount of Grant</w:t>
            </w:r>
          </w:p>
        </w:tc>
      </w:tr>
      <w:tr w:rsidR="00FA363E" w:rsidRPr="009C5E16" w14:paraId="40B7E38B" w14:textId="77777777" w:rsidTr="0043555B">
        <w:trPr>
          <w:trHeight w:val="20"/>
          <w:jc w:val="center"/>
        </w:trPr>
        <w:tc>
          <w:tcPr>
            <w:tcW w:w="846" w:type="dxa"/>
            <w:vAlign w:val="center"/>
            <w:hideMark/>
          </w:tcPr>
          <w:p w14:paraId="3E5F6F7E"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w:t>
            </w:r>
          </w:p>
        </w:tc>
        <w:tc>
          <w:tcPr>
            <w:tcW w:w="1559" w:type="dxa"/>
            <w:vAlign w:val="center"/>
            <w:hideMark/>
          </w:tcPr>
          <w:p w14:paraId="6E45035F"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Andhra Pradesh</w:t>
            </w:r>
          </w:p>
        </w:tc>
        <w:tc>
          <w:tcPr>
            <w:tcW w:w="1701" w:type="dxa"/>
            <w:vAlign w:val="center"/>
            <w:hideMark/>
          </w:tcPr>
          <w:p w14:paraId="689F421B"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64.50</w:t>
            </w:r>
          </w:p>
        </w:tc>
      </w:tr>
      <w:tr w:rsidR="00FA363E" w:rsidRPr="009C5E16" w14:paraId="21D96E69" w14:textId="77777777" w:rsidTr="0043555B">
        <w:trPr>
          <w:trHeight w:val="20"/>
          <w:jc w:val="center"/>
        </w:trPr>
        <w:tc>
          <w:tcPr>
            <w:tcW w:w="846" w:type="dxa"/>
            <w:vAlign w:val="center"/>
            <w:hideMark/>
          </w:tcPr>
          <w:p w14:paraId="69A12E40"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w:t>
            </w:r>
          </w:p>
        </w:tc>
        <w:tc>
          <w:tcPr>
            <w:tcW w:w="1559" w:type="dxa"/>
            <w:vAlign w:val="center"/>
            <w:hideMark/>
          </w:tcPr>
          <w:p w14:paraId="67783686"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Arunachal Pradesh</w:t>
            </w:r>
          </w:p>
        </w:tc>
        <w:tc>
          <w:tcPr>
            <w:tcW w:w="1701" w:type="dxa"/>
            <w:vAlign w:val="center"/>
            <w:hideMark/>
          </w:tcPr>
          <w:p w14:paraId="09D09464"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1.50</w:t>
            </w:r>
          </w:p>
        </w:tc>
      </w:tr>
      <w:tr w:rsidR="00FA363E" w:rsidRPr="009C5E16" w14:paraId="13F72950" w14:textId="77777777" w:rsidTr="0043555B">
        <w:trPr>
          <w:trHeight w:val="20"/>
          <w:jc w:val="center"/>
        </w:trPr>
        <w:tc>
          <w:tcPr>
            <w:tcW w:w="846" w:type="dxa"/>
            <w:vAlign w:val="center"/>
            <w:hideMark/>
          </w:tcPr>
          <w:p w14:paraId="2D6D80D2"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3.</w:t>
            </w:r>
          </w:p>
        </w:tc>
        <w:tc>
          <w:tcPr>
            <w:tcW w:w="1559" w:type="dxa"/>
            <w:vAlign w:val="center"/>
            <w:hideMark/>
          </w:tcPr>
          <w:p w14:paraId="5CF3C77D"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Assam</w:t>
            </w:r>
          </w:p>
        </w:tc>
        <w:tc>
          <w:tcPr>
            <w:tcW w:w="1701" w:type="dxa"/>
            <w:vAlign w:val="center"/>
            <w:hideMark/>
          </w:tcPr>
          <w:p w14:paraId="0F38E007"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22.50</w:t>
            </w:r>
          </w:p>
        </w:tc>
      </w:tr>
      <w:tr w:rsidR="00FA363E" w:rsidRPr="009C5E16" w14:paraId="0BFFC78A" w14:textId="77777777" w:rsidTr="0043555B">
        <w:trPr>
          <w:trHeight w:val="20"/>
          <w:jc w:val="center"/>
        </w:trPr>
        <w:tc>
          <w:tcPr>
            <w:tcW w:w="846" w:type="dxa"/>
            <w:vAlign w:val="center"/>
            <w:hideMark/>
          </w:tcPr>
          <w:p w14:paraId="0BF8A175"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4.</w:t>
            </w:r>
          </w:p>
        </w:tc>
        <w:tc>
          <w:tcPr>
            <w:tcW w:w="1559" w:type="dxa"/>
            <w:vAlign w:val="center"/>
            <w:hideMark/>
          </w:tcPr>
          <w:p w14:paraId="5C56AC3E"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Bihar</w:t>
            </w:r>
          </w:p>
        </w:tc>
        <w:tc>
          <w:tcPr>
            <w:tcW w:w="1701" w:type="dxa"/>
            <w:vAlign w:val="center"/>
            <w:hideMark/>
          </w:tcPr>
          <w:p w14:paraId="041A9CD8"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26.25</w:t>
            </w:r>
          </w:p>
        </w:tc>
      </w:tr>
      <w:tr w:rsidR="00FA363E" w:rsidRPr="009C5E16" w14:paraId="09394E60" w14:textId="77777777" w:rsidTr="0043555B">
        <w:trPr>
          <w:trHeight w:val="20"/>
          <w:jc w:val="center"/>
        </w:trPr>
        <w:tc>
          <w:tcPr>
            <w:tcW w:w="846" w:type="dxa"/>
            <w:vAlign w:val="center"/>
            <w:hideMark/>
          </w:tcPr>
          <w:p w14:paraId="6E96AE08"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5.</w:t>
            </w:r>
          </w:p>
        </w:tc>
        <w:tc>
          <w:tcPr>
            <w:tcW w:w="1559" w:type="dxa"/>
            <w:vAlign w:val="center"/>
            <w:hideMark/>
          </w:tcPr>
          <w:p w14:paraId="259F4BE3"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Goa</w:t>
            </w:r>
          </w:p>
        </w:tc>
        <w:tc>
          <w:tcPr>
            <w:tcW w:w="1701" w:type="dxa"/>
            <w:vAlign w:val="center"/>
            <w:hideMark/>
          </w:tcPr>
          <w:p w14:paraId="6B2F1B5A"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0.75</w:t>
            </w:r>
          </w:p>
        </w:tc>
      </w:tr>
      <w:tr w:rsidR="00FA363E" w:rsidRPr="009C5E16" w14:paraId="10265265" w14:textId="77777777" w:rsidTr="0043555B">
        <w:trPr>
          <w:trHeight w:val="20"/>
          <w:jc w:val="center"/>
        </w:trPr>
        <w:tc>
          <w:tcPr>
            <w:tcW w:w="846" w:type="dxa"/>
            <w:vAlign w:val="center"/>
            <w:hideMark/>
          </w:tcPr>
          <w:p w14:paraId="768063F5"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6.</w:t>
            </w:r>
          </w:p>
        </w:tc>
        <w:tc>
          <w:tcPr>
            <w:tcW w:w="1559" w:type="dxa"/>
            <w:vAlign w:val="center"/>
            <w:hideMark/>
          </w:tcPr>
          <w:p w14:paraId="368798DA"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Gujarat</w:t>
            </w:r>
          </w:p>
        </w:tc>
        <w:tc>
          <w:tcPr>
            <w:tcW w:w="1701" w:type="dxa"/>
            <w:vAlign w:val="center"/>
            <w:hideMark/>
          </w:tcPr>
          <w:p w14:paraId="0AFFBDF0"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63.75</w:t>
            </w:r>
          </w:p>
        </w:tc>
      </w:tr>
      <w:tr w:rsidR="00FA363E" w:rsidRPr="009C5E16" w14:paraId="04D9B538" w14:textId="77777777" w:rsidTr="0043555B">
        <w:trPr>
          <w:trHeight w:val="20"/>
          <w:jc w:val="center"/>
        </w:trPr>
        <w:tc>
          <w:tcPr>
            <w:tcW w:w="846" w:type="dxa"/>
            <w:vAlign w:val="center"/>
            <w:hideMark/>
          </w:tcPr>
          <w:p w14:paraId="293394A1"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7.</w:t>
            </w:r>
          </w:p>
        </w:tc>
        <w:tc>
          <w:tcPr>
            <w:tcW w:w="1559" w:type="dxa"/>
            <w:vAlign w:val="center"/>
            <w:hideMark/>
          </w:tcPr>
          <w:p w14:paraId="3AD9B736"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Haryana</w:t>
            </w:r>
          </w:p>
        </w:tc>
        <w:tc>
          <w:tcPr>
            <w:tcW w:w="1701" w:type="dxa"/>
            <w:vAlign w:val="center"/>
            <w:hideMark/>
          </w:tcPr>
          <w:p w14:paraId="4D565A79"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12.75</w:t>
            </w:r>
          </w:p>
        </w:tc>
      </w:tr>
      <w:tr w:rsidR="00FA363E" w:rsidRPr="009C5E16" w14:paraId="7AAB8FC6" w14:textId="77777777" w:rsidTr="0043555B">
        <w:trPr>
          <w:trHeight w:val="20"/>
          <w:jc w:val="center"/>
        </w:trPr>
        <w:tc>
          <w:tcPr>
            <w:tcW w:w="846" w:type="dxa"/>
            <w:vAlign w:val="center"/>
            <w:hideMark/>
          </w:tcPr>
          <w:p w14:paraId="2F09CFFB"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8.</w:t>
            </w:r>
          </w:p>
        </w:tc>
        <w:tc>
          <w:tcPr>
            <w:tcW w:w="1559" w:type="dxa"/>
            <w:vAlign w:val="center"/>
            <w:hideMark/>
          </w:tcPr>
          <w:p w14:paraId="267C9139"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Himachal Pradesh</w:t>
            </w:r>
          </w:p>
        </w:tc>
        <w:tc>
          <w:tcPr>
            <w:tcW w:w="1701" w:type="dxa"/>
            <w:vAlign w:val="center"/>
            <w:hideMark/>
          </w:tcPr>
          <w:p w14:paraId="13DC04A9"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13.50</w:t>
            </w:r>
          </w:p>
        </w:tc>
      </w:tr>
      <w:tr w:rsidR="00FA363E" w:rsidRPr="009C5E16" w14:paraId="1FB47999" w14:textId="77777777" w:rsidTr="0043555B">
        <w:trPr>
          <w:trHeight w:val="20"/>
          <w:jc w:val="center"/>
        </w:trPr>
        <w:tc>
          <w:tcPr>
            <w:tcW w:w="846" w:type="dxa"/>
            <w:vAlign w:val="center"/>
            <w:hideMark/>
          </w:tcPr>
          <w:p w14:paraId="22B78A9B"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9.</w:t>
            </w:r>
          </w:p>
        </w:tc>
        <w:tc>
          <w:tcPr>
            <w:tcW w:w="1559" w:type="dxa"/>
            <w:vAlign w:val="center"/>
            <w:hideMark/>
          </w:tcPr>
          <w:p w14:paraId="764D1088"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Jammu and Kashmir</w:t>
            </w:r>
          </w:p>
        </w:tc>
        <w:tc>
          <w:tcPr>
            <w:tcW w:w="1701" w:type="dxa"/>
            <w:vAlign w:val="center"/>
            <w:hideMark/>
          </w:tcPr>
          <w:p w14:paraId="05802267"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9.00</w:t>
            </w:r>
          </w:p>
        </w:tc>
      </w:tr>
      <w:tr w:rsidR="00FA363E" w:rsidRPr="009C5E16" w14:paraId="0469646C" w14:textId="77777777" w:rsidTr="0043555B">
        <w:trPr>
          <w:trHeight w:val="20"/>
          <w:jc w:val="center"/>
        </w:trPr>
        <w:tc>
          <w:tcPr>
            <w:tcW w:w="846" w:type="dxa"/>
            <w:vAlign w:val="center"/>
            <w:hideMark/>
          </w:tcPr>
          <w:p w14:paraId="69A9B48D"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10.</w:t>
            </w:r>
          </w:p>
        </w:tc>
        <w:tc>
          <w:tcPr>
            <w:tcW w:w="1559" w:type="dxa"/>
            <w:vAlign w:val="center"/>
            <w:hideMark/>
          </w:tcPr>
          <w:p w14:paraId="2E807A7D"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Karnataka</w:t>
            </w:r>
          </w:p>
        </w:tc>
        <w:tc>
          <w:tcPr>
            <w:tcW w:w="1701" w:type="dxa"/>
            <w:vAlign w:val="center"/>
            <w:hideMark/>
          </w:tcPr>
          <w:p w14:paraId="11E7CB27"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20.25</w:t>
            </w:r>
          </w:p>
        </w:tc>
      </w:tr>
      <w:tr w:rsidR="00FA363E" w:rsidRPr="009C5E16" w14:paraId="1E940957" w14:textId="77777777" w:rsidTr="0043555B">
        <w:trPr>
          <w:trHeight w:val="20"/>
          <w:jc w:val="center"/>
        </w:trPr>
        <w:tc>
          <w:tcPr>
            <w:tcW w:w="846" w:type="dxa"/>
            <w:vAlign w:val="center"/>
            <w:hideMark/>
          </w:tcPr>
          <w:p w14:paraId="5A3E4120"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11.</w:t>
            </w:r>
          </w:p>
        </w:tc>
        <w:tc>
          <w:tcPr>
            <w:tcW w:w="1559" w:type="dxa"/>
            <w:vAlign w:val="center"/>
            <w:hideMark/>
          </w:tcPr>
          <w:p w14:paraId="215543D1"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Kerala</w:t>
            </w:r>
          </w:p>
        </w:tc>
        <w:tc>
          <w:tcPr>
            <w:tcW w:w="1701" w:type="dxa"/>
            <w:vAlign w:val="center"/>
            <w:hideMark/>
          </w:tcPr>
          <w:p w14:paraId="5F175E93"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23.25</w:t>
            </w:r>
          </w:p>
        </w:tc>
      </w:tr>
      <w:tr w:rsidR="00FA363E" w:rsidRPr="009C5E16" w14:paraId="366FB8A6" w14:textId="77777777" w:rsidTr="0043555B">
        <w:trPr>
          <w:trHeight w:val="20"/>
          <w:jc w:val="center"/>
        </w:trPr>
        <w:tc>
          <w:tcPr>
            <w:tcW w:w="846" w:type="dxa"/>
            <w:vAlign w:val="center"/>
            <w:hideMark/>
          </w:tcPr>
          <w:p w14:paraId="30372393"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12.</w:t>
            </w:r>
          </w:p>
        </w:tc>
        <w:tc>
          <w:tcPr>
            <w:tcW w:w="1559" w:type="dxa"/>
            <w:vAlign w:val="center"/>
            <w:hideMark/>
          </w:tcPr>
          <w:p w14:paraId="4E5C977E"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Madhya Pradesh</w:t>
            </w:r>
          </w:p>
        </w:tc>
        <w:tc>
          <w:tcPr>
            <w:tcW w:w="1701" w:type="dxa"/>
            <w:vAlign w:val="center"/>
            <w:hideMark/>
          </w:tcPr>
          <w:p w14:paraId="512C957D"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27.75</w:t>
            </w:r>
          </w:p>
        </w:tc>
      </w:tr>
      <w:tr w:rsidR="00FA363E" w:rsidRPr="009C5E16" w14:paraId="3FF9A4A0" w14:textId="77777777" w:rsidTr="0043555B">
        <w:trPr>
          <w:trHeight w:val="20"/>
          <w:jc w:val="center"/>
        </w:trPr>
        <w:tc>
          <w:tcPr>
            <w:tcW w:w="846" w:type="dxa"/>
            <w:vAlign w:val="center"/>
            <w:hideMark/>
          </w:tcPr>
          <w:p w14:paraId="770B82C8"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13.</w:t>
            </w:r>
          </w:p>
        </w:tc>
        <w:tc>
          <w:tcPr>
            <w:tcW w:w="1559" w:type="dxa"/>
            <w:vAlign w:val="center"/>
            <w:hideMark/>
          </w:tcPr>
          <w:p w14:paraId="0FA521A1"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Maharashtra</w:t>
            </w:r>
          </w:p>
        </w:tc>
        <w:tc>
          <w:tcPr>
            <w:tcW w:w="1701" w:type="dxa"/>
            <w:vAlign w:val="center"/>
            <w:hideMark/>
          </w:tcPr>
          <w:p w14:paraId="4D07D16A"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33.00</w:t>
            </w:r>
          </w:p>
        </w:tc>
      </w:tr>
      <w:tr w:rsidR="00FA363E" w:rsidRPr="009C5E16" w14:paraId="5C555F1C" w14:textId="77777777" w:rsidTr="0043555B">
        <w:trPr>
          <w:trHeight w:val="20"/>
          <w:jc w:val="center"/>
        </w:trPr>
        <w:tc>
          <w:tcPr>
            <w:tcW w:w="846" w:type="dxa"/>
            <w:vAlign w:val="center"/>
            <w:hideMark/>
          </w:tcPr>
          <w:p w14:paraId="672D7526"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14.</w:t>
            </w:r>
          </w:p>
        </w:tc>
        <w:tc>
          <w:tcPr>
            <w:tcW w:w="1559" w:type="dxa"/>
            <w:vAlign w:val="center"/>
            <w:hideMark/>
          </w:tcPr>
          <w:p w14:paraId="55F429A4"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Manipur</w:t>
            </w:r>
          </w:p>
        </w:tc>
        <w:tc>
          <w:tcPr>
            <w:tcW w:w="1701" w:type="dxa"/>
            <w:vAlign w:val="center"/>
            <w:hideMark/>
          </w:tcPr>
          <w:p w14:paraId="12EE5591"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0.75</w:t>
            </w:r>
          </w:p>
        </w:tc>
      </w:tr>
      <w:tr w:rsidR="00FA363E" w:rsidRPr="009C5E16" w14:paraId="7905D021" w14:textId="77777777" w:rsidTr="0043555B">
        <w:trPr>
          <w:trHeight w:val="20"/>
          <w:jc w:val="center"/>
        </w:trPr>
        <w:tc>
          <w:tcPr>
            <w:tcW w:w="846" w:type="dxa"/>
            <w:vAlign w:val="center"/>
            <w:hideMark/>
          </w:tcPr>
          <w:p w14:paraId="522EA14B"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15.</w:t>
            </w:r>
          </w:p>
        </w:tc>
        <w:tc>
          <w:tcPr>
            <w:tcW w:w="1559" w:type="dxa"/>
            <w:vAlign w:val="center"/>
            <w:hideMark/>
          </w:tcPr>
          <w:p w14:paraId="61EE9834"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Meghalaya</w:t>
            </w:r>
          </w:p>
        </w:tc>
        <w:tc>
          <w:tcPr>
            <w:tcW w:w="1701" w:type="dxa"/>
            <w:vAlign w:val="center"/>
            <w:hideMark/>
          </w:tcPr>
          <w:p w14:paraId="1951FA8E"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1.50</w:t>
            </w:r>
          </w:p>
        </w:tc>
      </w:tr>
      <w:tr w:rsidR="00FA363E" w:rsidRPr="009C5E16" w14:paraId="6B9DF0A6" w14:textId="77777777" w:rsidTr="0043555B">
        <w:trPr>
          <w:trHeight w:val="20"/>
          <w:jc w:val="center"/>
        </w:trPr>
        <w:tc>
          <w:tcPr>
            <w:tcW w:w="846" w:type="dxa"/>
            <w:vAlign w:val="center"/>
            <w:hideMark/>
          </w:tcPr>
          <w:p w14:paraId="6F0E8B2E"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16.</w:t>
            </w:r>
          </w:p>
        </w:tc>
        <w:tc>
          <w:tcPr>
            <w:tcW w:w="1559" w:type="dxa"/>
            <w:vAlign w:val="center"/>
            <w:hideMark/>
          </w:tcPr>
          <w:p w14:paraId="1BFE5408"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Mizoram</w:t>
            </w:r>
          </w:p>
        </w:tc>
        <w:tc>
          <w:tcPr>
            <w:tcW w:w="1701" w:type="dxa"/>
            <w:vAlign w:val="center"/>
            <w:hideMark/>
          </w:tcPr>
          <w:p w14:paraId="06EA752D"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0.75</w:t>
            </w:r>
          </w:p>
        </w:tc>
      </w:tr>
      <w:tr w:rsidR="00FA363E" w:rsidRPr="009C5E16" w14:paraId="42E87626" w14:textId="77777777" w:rsidTr="0043555B">
        <w:trPr>
          <w:trHeight w:val="20"/>
          <w:jc w:val="center"/>
        </w:trPr>
        <w:tc>
          <w:tcPr>
            <w:tcW w:w="846" w:type="dxa"/>
            <w:vAlign w:val="center"/>
            <w:hideMark/>
          </w:tcPr>
          <w:p w14:paraId="2525FE14"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17.</w:t>
            </w:r>
          </w:p>
        </w:tc>
        <w:tc>
          <w:tcPr>
            <w:tcW w:w="1559" w:type="dxa"/>
            <w:vAlign w:val="center"/>
            <w:hideMark/>
          </w:tcPr>
          <w:p w14:paraId="3D90FCCA"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Nagaland</w:t>
            </w:r>
          </w:p>
        </w:tc>
        <w:tc>
          <w:tcPr>
            <w:tcW w:w="1701" w:type="dxa"/>
            <w:vAlign w:val="center"/>
            <w:hideMark/>
          </w:tcPr>
          <w:p w14:paraId="7E3E9BB5"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0.75</w:t>
            </w:r>
          </w:p>
        </w:tc>
      </w:tr>
      <w:tr w:rsidR="00FA363E" w:rsidRPr="009C5E16" w14:paraId="157E4B17" w14:textId="77777777" w:rsidTr="0043555B">
        <w:trPr>
          <w:trHeight w:val="20"/>
          <w:jc w:val="center"/>
        </w:trPr>
        <w:tc>
          <w:tcPr>
            <w:tcW w:w="846" w:type="dxa"/>
            <w:vAlign w:val="center"/>
            <w:hideMark/>
          </w:tcPr>
          <w:p w14:paraId="6B097255"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18.</w:t>
            </w:r>
          </w:p>
        </w:tc>
        <w:tc>
          <w:tcPr>
            <w:tcW w:w="1559" w:type="dxa"/>
            <w:vAlign w:val="center"/>
            <w:hideMark/>
          </w:tcPr>
          <w:p w14:paraId="6474219C"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Orissa</w:t>
            </w:r>
          </w:p>
        </w:tc>
        <w:tc>
          <w:tcPr>
            <w:tcW w:w="1701" w:type="dxa"/>
            <w:vAlign w:val="center"/>
            <w:hideMark/>
          </w:tcPr>
          <w:p w14:paraId="563A4BE4"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35.25</w:t>
            </w:r>
          </w:p>
        </w:tc>
      </w:tr>
      <w:tr w:rsidR="00FA363E" w:rsidRPr="009C5E16" w14:paraId="5CB6A3D5" w14:textId="77777777" w:rsidTr="0043555B">
        <w:trPr>
          <w:trHeight w:val="20"/>
          <w:jc w:val="center"/>
        </w:trPr>
        <w:tc>
          <w:tcPr>
            <w:tcW w:w="846" w:type="dxa"/>
            <w:vAlign w:val="center"/>
            <w:hideMark/>
          </w:tcPr>
          <w:p w14:paraId="29135BFE"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19.</w:t>
            </w:r>
          </w:p>
        </w:tc>
        <w:tc>
          <w:tcPr>
            <w:tcW w:w="1559" w:type="dxa"/>
            <w:vAlign w:val="center"/>
            <w:hideMark/>
          </w:tcPr>
          <w:p w14:paraId="66BCE04F"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Punjab</w:t>
            </w:r>
          </w:p>
        </w:tc>
        <w:tc>
          <w:tcPr>
            <w:tcW w:w="1701" w:type="dxa"/>
            <w:vAlign w:val="center"/>
            <w:hideMark/>
          </w:tcPr>
          <w:p w14:paraId="76F62A03"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21.00</w:t>
            </w:r>
          </w:p>
        </w:tc>
      </w:tr>
      <w:tr w:rsidR="00FA363E" w:rsidRPr="009C5E16" w14:paraId="2984195C" w14:textId="77777777" w:rsidTr="0043555B">
        <w:trPr>
          <w:trHeight w:val="20"/>
          <w:jc w:val="center"/>
        </w:trPr>
        <w:tc>
          <w:tcPr>
            <w:tcW w:w="846" w:type="dxa"/>
            <w:vAlign w:val="center"/>
            <w:hideMark/>
          </w:tcPr>
          <w:p w14:paraId="65B80E33"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20.</w:t>
            </w:r>
          </w:p>
        </w:tc>
        <w:tc>
          <w:tcPr>
            <w:tcW w:w="1559" w:type="dxa"/>
            <w:vAlign w:val="center"/>
            <w:hideMark/>
          </w:tcPr>
          <w:p w14:paraId="6105A2FA"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Rajasthan</w:t>
            </w:r>
          </w:p>
        </w:tc>
        <w:tc>
          <w:tcPr>
            <w:tcW w:w="1701" w:type="dxa"/>
            <w:vAlign w:val="center"/>
            <w:hideMark/>
          </w:tcPr>
          <w:p w14:paraId="304A329A"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93.00</w:t>
            </w:r>
          </w:p>
        </w:tc>
      </w:tr>
      <w:tr w:rsidR="00FA363E" w:rsidRPr="009C5E16" w14:paraId="6B8F438B" w14:textId="77777777" w:rsidTr="0043555B">
        <w:trPr>
          <w:trHeight w:val="20"/>
          <w:jc w:val="center"/>
        </w:trPr>
        <w:tc>
          <w:tcPr>
            <w:tcW w:w="846" w:type="dxa"/>
            <w:vAlign w:val="center"/>
            <w:hideMark/>
          </w:tcPr>
          <w:p w14:paraId="4BCDA8FA"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21.</w:t>
            </w:r>
          </w:p>
        </w:tc>
        <w:tc>
          <w:tcPr>
            <w:tcW w:w="1559" w:type="dxa"/>
            <w:vAlign w:val="center"/>
            <w:hideMark/>
          </w:tcPr>
          <w:p w14:paraId="2BD84E65"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Sikkim</w:t>
            </w:r>
          </w:p>
        </w:tc>
        <w:tc>
          <w:tcPr>
            <w:tcW w:w="1701" w:type="dxa"/>
            <w:vAlign w:val="center"/>
            <w:hideMark/>
          </w:tcPr>
          <w:p w14:paraId="24444EC9"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2.25</w:t>
            </w:r>
          </w:p>
        </w:tc>
      </w:tr>
      <w:tr w:rsidR="00FA363E" w:rsidRPr="009C5E16" w14:paraId="07F8755B" w14:textId="77777777" w:rsidTr="0043555B">
        <w:trPr>
          <w:trHeight w:val="20"/>
          <w:jc w:val="center"/>
        </w:trPr>
        <w:tc>
          <w:tcPr>
            <w:tcW w:w="846" w:type="dxa"/>
            <w:vAlign w:val="center"/>
            <w:hideMark/>
          </w:tcPr>
          <w:p w14:paraId="721F131F"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22.</w:t>
            </w:r>
          </w:p>
        </w:tc>
        <w:tc>
          <w:tcPr>
            <w:tcW w:w="1559" w:type="dxa"/>
            <w:vAlign w:val="center"/>
            <w:hideMark/>
          </w:tcPr>
          <w:p w14:paraId="2D2D6E32"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Tamil Nadu</w:t>
            </w:r>
          </w:p>
        </w:tc>
        <w:tc>
          <w:tcPr>
            <w:tcW w:w="1701" w:type="dxa"/>
            <w:vAlign w:val="center"/>
            <w:hideMark/>
          </w:tcPr>
          <w:p w14:paraId="42E9373A"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29.25</w:t>
            </w:r>
          </w:p>
        </w:tc>
      </w:tr>
      <w:tr w:rsidR="00FA363E" w:rsidRPr="009C5E16" w14:paraId="70E0745F" w14:textId="77777777" w:rsidTr="0043555B">
        <w:trPr>
          <w:trHeight w:val="20"/>
          <w:jc w:val="center"/>
        </w:trPr>
        <w:tc>
          <w:tcPr>
            <w:tcW w:w="846" w:type="dxa"/>
            <w:vAlign w:val="center"/>
            <w:hideMark/>
          </w:tcPr>
          <w:p w14:paraId="61BAC9E5"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23.</w:t>
            </w:r>
          </w:p>
        </w:tc>
        <w:tc>
          <w:tcPr>
            <w:tcW w:w="1559" w:type="dxa"/>
            <w:vAlign w:val="center"/>
            <w:hideMark/>
          </w:tcPr>
          <w:p w14:paraId="55E04BFA"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Tripura</w:t>
            </w:r>
          </w:p>
        </w:tc>
        <w:tc>
          <w:tcPr>
            <w:tcW w:w="1701" w:type="dxa"/>
            <w:vAlign w:val="center"/>
            <w:hideMark/>
          </w:tcPr>
          <w:p w14:paraId="18CFA458"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2.25</w:t>
            </w:r>
          </w:p>
        </w:tc>
      </w:tr>
      <w:tr w:rsidR="00FA363E" w:rsidRPr="009C5E16" w14:paraId="4D6B7C66" w14:textId="77777777" w:rsidTr="0043555B">
        <w:trPr>
          <w:trHeight w:val="20"/>
          <w:jc w:val="center"/>
        </w:trPr>
        <w:tc>
          <w:tcPr>
            <w:tcW w:w="846" w:type="dxa"/>
            <w:vAlign w:val="center"/>
            <w:hideMark/>
          </w:tcPr>
          <w:p w14:paraId="6DDD4763"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lastRenderedPageBreak/>
              <w:t>24.</w:t>
            </w:r>
          </w:p>
        </w:tc>
        <w:tc>
          <w:tcPr>
            <w:tcW w:w="1559" w:type="dxa"/>
            <w:vAlign w:val="center"/>
            <w:hideMark/>
          </w:tcPr>
          <w:p w14:paraId="5D0889F0"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Uttar Pradesh</w:t>
            </w:r>
          </w:p>
        </w:tc>
        <w:tc>
          <w:tcPr>
            <w:tcW w:w="1701" w:type="dxa"/>
            <w:vAlign w:val="center"/>
            <w:hideMark/>
          </w:tcPr>
          <w:p w14:paraId="2BA0A876"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67.50</w:t>
            </w:r>
          </w:p>
        </w:tc>
      </w:tr>
      <w:tr w:rsidR="00FA363E" w:rsidRPr="009C5E16" w14:paraId="013A4879" w14:textId="77777777" w:rsidTr="0043555B">
        <w:trPr>
          <w:trHeight w:val="20"/>
          <w:jc w:val="center"/>
        </w:trPr>
        <w:tc>
          <w:tcPr>
            <w:tcW w:w="846" w:type="dxa"/>
            <w:vAlign w:val="center"/>
            <w:hideMark/>
          </w:tcPr>
          <w:p w14:paraId="2F904479"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25.</w:t>
            </w:r>
          </w:p>
        </w:tc>
        <w:tc>
          <w:tcPr>
            <w:tcW w:w="1559" w:type="dxa"/>
            <w:vAlign w:val="center"/>
            <w:hideMark/>
          </w:tcPr>
          <w:p w14:paraId="4C9FB39E"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West Bengal</w:t>
            </w:r>
          </w:p>
        </w:tc>
        <w:tc>
          <w:tcPr>
            <w:tcW w:w="1701" w:type="dxa"/>
            <w:vAlign w:val="center"/>
            <w:hideMark/>
          </w:tcPr>
          <w:p w14:paraId="25BA9030"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30.00</w:t>
            </w:r>
          </w:p>
        </w:tc>
      </w:tr>
      <w:tr w:rsidR="00FA363E" w:rsidRPr="009C5E16" w14:paraId="5218773B" w14:textId="77777777" w:rsidTr="0043555B">
        <w:trPr>
          <w:trHeight w:val="20"/>
          <w:jc w:val="center"/>
        </w:trPr>
        <w:tc>
          <w:tcPr>
            <w:tcW w:w="846" w:type="dxa"/>
            <w:vAlign w:val="center"/>
            <w:hideMark/>
          </w:tcPr>
          <w:p w14:paraId="33FB04ED" w14:textId="77777777" w:rsidR="00FA363E" w:rsidRPr="009C5E16" w:rsidRDefault="00FA363E" w:rsidP="00445823">
            <w:pPr>
              <w:pStyle w:val="NoSpacing"/>
              <w:spacing w:line="160" w:lineRule="exact"/>
              <w:jc w:val="center"/>
              <w:rPr>
                <w:rFonts w:ascii="Times New Roman" w:hAnsi="Times New Roman" w:cs="Times New Roman"/>
                <w:sz w:val="16"/>
                <w:szCs w:val="14"/>
              </w:rPr>
            </w:pPr>
          </w:p>
        </w:tc>
        <w:tc>
          <w:tcPr>
            <w:tcW w:w="1559" w:type="dxa"/>
            <w:vAlign w:val="center"/>
            <w:hideMark/>
          </w:tcPr>
          <w:p w14:paraId="3FF8D011" w14:textId="77777777" w:rsidR="00FA363E" w:rsidRPr="009C5E16" w:rsidRDefault="00FA363E" w:rsidP="00445823">
            <w:pPr>
              <w:pStyle w:val="NoSpacing"/>
              <w:spacing w:line="160" w:lineRule="exact"/>
              <w:rPr>
                <w:rFonts w:ascii="Times New Roman" w:hAnsi="Times New Roman" w:cs="Times New Roman"/>
                <w:sz w:val="16"/>
                <w:szCs w:val="14"/>
              </w:rPr>
            </w:pPr>
            <w:r w:rsidRPr="009C5E16">
              <w:rPr>
                <w:rFonts w:ascii="Times New Roman" w:hAnsi="Times New Roman" w:cs="Times New Roman"/>
                <w:sz w:val="16"/>
                <w:szCs w:val="14"/>
              </w:rPr>
              <w:t>Total</w:t>
            </w:r>
          </w:p>
        </w:tc>
        <w:tc>
          <w:tcPr>
            <w:tcW w:w="1701" w:type="dxa"/>
            <w:vAlign w:val="center"/>
            <w:hideMark/>
          </w:tcPr>
          <w:p w14:paraId="4752E498" w14:textId="77777777" w:rsidR="00FA363E" w:rsidRPr="009C5E16" w:rsidRDefault="00FA363E" w:rsidP="00445823">
            <w:pPr>
              <w:pStyle w:val="NoSpacing"/>
              <w:spacing w:line="160" w:lineRule="exact"/>
              <w:jc w:val="center"/>
              <w:rPr>
                <w:rFonts w:ascii="Times New Roman" w:hAnsi="Times New Roman" w:cs="Times New Roman"/>
                <w:sz w:val="16"/>
                <w:szCs w:val="14"/>
              </w:rPr>
            </w:pPr>
            <w:r w:rsidRPr="009C5E16">
              <w:rPr>
                <w:rFonts w:ascii="Times New Roman" w:hAnsi="Times New Roman" w:cs="Times New Roman"/>
                <w:sz w:val="16"/>
                <w:szCs w:val="14"/>
              </w:rPr>
              <w:t>603.00</w:t>
            </w:r>
          </w:p>
        </w:tc>
      </w:tr>
    </w:tbl>
    <w:p w14:paraId="06B96827" w14:textId="0B8C1A22" w:rsidR="00AA02B8" w:rsidRPr="0043555B" w:rsidRDefault="00FA363E" w:rsidP="0043555B">
      <w:pPr>
        <w:pStyle w:val="NoSpacing"/>
        <w:ind w:left="5040" w:firstLine="720"/>
        <w:rPr>
          <w:sz w:val="18"/>
          <w:szCs w:val="16"/>
        </w:rPr>
      </w:pPr>
      <w:r w:rsidRPr="0043555B">
        <w:rPr>
          <w:sz w:val="18"/>
          <w:szCs w:val="16"/>
        </w:rPr>
        <w:t>(para 7.15 and Annexure VI.1)</w:t>
      </w:r>
    </w:p>
    <w:p w14:paraId="6EEE63F3" w14:textId="765F7879" w:rsidR="007E45C6" w:rsidRPr="0043555B" w:rsidRDefault="007E45C6" w:rsidP="005242D4">
      <w:pPr>
        <w:pStyle w:val="ListParagraph"/>
        <w:numPr>
          <w:ilvl w:val="0"/>
          <w:numId w:val="41"/>
        </w:numPr>
        <w:spacing w:line="160" w:lineRule="exact"/>
        <w:jc w:val="both"/>
        <w:rPr>
          <w:rFonts w:ascii="Times New Roman" w:hAnsi="Times New Roman" w:cs="Times New Roman"/>
          <w:sz w:val="18"/>
          <w:szCs w:val="18"/>
        </w:rPr>
      </w:pPr>
      <w:r w:rsidRPr="0043555B">
        <w:rPr>
          <w:rFonts w:ascii="Times New Roman" w:hAnsi="Times New Roman" w:cs="Times New Roman"/>
          <w:sz w:val="18"/>
          <w:szCs w:val="18"/>
        </w:rPr>
        <w:t>An amount of Rs. 122.25 crore be paid to Madhya Pradesh by way of grants-in-aid of revenue in five equal instalments commencing from 1st April, 1990, under the substantive portion of Clause (1) of Article 275 of the Constitution, towards the expenditure on rehabilitation and relief of victims of Bhopal Gas Leak Tragedy. (</w:t>
      </w:r>
      <w:proofErr w:type="gramStart"/>
      <w:r w:rsidRPr="0043555B">
        <w:rPr>
          <w:rFonts w:ascii="Times New Roman" w:hAnsi="Times New Roman" w:cs="Times New Roman"/>
          <w:sz w:val="18"/>
          <w:szCs w:val="18"/>
        </w:rPr>
        <w:t>para</w:t>
      </w:r>
      <w:proofErr w:type="gramEnd"/>
      <w:r w:rsidRPr="0043555B">
        <w:rPr>
          <w:rFonts w:ascii="Times New Roman" w:hAnsi="Times New Roman" w:cs="Times New Roman"/>
          <w:sz w:val="18"/>
          <w:szCs w:val="18"/>
        </w:rPr>
        <w:t>. 7.15)</w:t>
      </w:r>
    </w:p>
    <w:p w14:paraId="4A7D574A" w14:textId="526105ED" w:rsidR="007E45C6" w:rsidRPr="0043555B" w:rsidRDefault="007E45C6" w:rsidP="005242D4">
      <w:pPr>
        <w:pStyle w:val="ListParagraph"/>
        <w:numPr>
          <w:ilvl w:val="0"/>
          <w:numId w:val="41"/>
        </w:numPr>
        <w:spacing w:line="160" w:lineRule="exact"/>
        <w:jc w:val="both"/>
        <w:rPr>
          <w:rFonts w:ascii="Times New Roman" w:hAnsi="Times New Roman" w:cs="Times New Roman"/>
          <w:sz w:val="18"/>
          <w:szCs w:val="18"/>
        </w:rPr>
      </w:pPr>
      <w:r w:rsidRPr="0043555B">
        <w:rPr>
          <w:rFonts w:ascii="Times New Roman" w:hAnsi="Times New Roman" w:cs="Times New Roman"/>
          <w:sz w:val="18"/>
          <w:szCs w:val="18"/>
        </w:rPr>
        <w:t>The present level of provision for Centrally Sponsored schemes is too high and efforts should be made to reduce gradually the proportion of this type of expenditure and add the savings to the amount of Central assistance for State and Union Territory Plans. (</w:t>
      </w:r>
      <w:proofErr w:type="gramStart"/>
      <w:r w:rsidRPr="0043555B">
        <w:rPr>
          <w:rFonts w:ascii="Times New Roman" w:hAnsi="Times New Roman" w:cs="Times New Roman"/>
          <w:sz w:val="18"/>
          <w:szCs w:val="18"/>
        </w:rPr>
        <w:t>para</w:t>
      </w:r>
      <w:proofErr w:type="gramEnd"/>
      <w:r w:rsidRPr="0043555B">
        <w:rPr>
          <w:rFonts w:ascii="Times New Roman" w:hAnsi="Times New Roman" w:cs="Times New Roman"/>
          <w:sz w:val="18"/>
          <w:szCs w:val="18"/>
        </w:rPr>
        <w:t>. 7.17).</w:t>
      </w:r>
    </w:p>
    <w:p w14:paraId="458A8F05" w14:textId="77777777" w:rsidR="007E45C6" w:rsidRPr="0043555B" w:rsidRDefault="007E45C6" w:rsidP="0043555B">
      <w:pPr>
        <w:pStyle w:val="NoSpacing"/>
        <w:jc w:val="center"/>
        <w:rPr>
          <w:rFonts w:ascii="Times New Roman" w:hAnsi="Times New Roman" w:cs="Times New Roman"/>
          <w:b/>
          <w:bCs/>
          <w:sz w:val="20"/>
          <w:szCs w:val="18"/>
        </w:rPr>
      </w:pPr>
      <w:r w:rsidRPr="0043555B">
        <w:rPr>
          <w:rFonts w:ascii="Times New Roman" w:hAnsi="Times New Roman" w:cs="Times New Roman"/>
          <w:b/>
          <w:bCs/>
          <w:sz w:val="20"/>
          <w:szCs w:val="18"/>
        </w:rPr>
        <w:t>VII. MERGER OF ADDITIONAL DUTIES OF EXCISE WITH BASIC DUTIES OF EXCISE</w:t>
      </w:r>
    </w:p>
    <w:p w14:paraId="6F9D8430" w14:textId="2D1B56C1" w:rsidR="007E45C6" w:rsidRPr="00AA6AF4" w:rsidRDefault="007E45C6" w:rsidP="005242D4">
      <w:pPr>
        <w:pStyle w:val="Heading3"/>
        <w:spacing w:line="160" w:lineRule="exact"/>
      </w:pPr>
      <w:r w:rsidRPr="00AA6AF4">
        <w:rPr>
          <w:b/>
          <w:bCs/>
        </w:rPr>
        <w:t>(1)</w:t>
      </w:r>
      <w:r w:rsidRPr="00AA6AF4">
        <w:t> The merger of Additional Duties of Excise with Basic Duties of Excise is not recommended, having regard to serious objections raised by almost all the major States to this proposal. As the tax rental arrangement was brought into being with the consent of the States, any major modification in the arrangements should also be brought about only with the consent of all the parties (para. 8.7).</w:t>
      </w:r>
    </w:p>
    <w:p w14:paraId="08E50952" w14:textId="04F125BB" w:rsidR="007E45C6" w:rsidRPr="009C5E16" w:rsidRDefault="007E45C6" w:rsidP="005242D4">
      <w:pPr>
        <w:pStyle w:val="ListParagraph"/>
        <w:numPr>
          <w:ilvl w:val="0"/>
          <w:numId w:val="42"/>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During the report period, if in any year the ad valorem incidence of Additional Excise Duties falls short of the level of 10.8 per cent of the value of clearances, the short-fall should be made good by Government of India by providing equivalent amount by way of grant-in-aid to be distributed in the same manner as worked out for sharing the proceeds of Additional Duties of Excise in paragraph 5.20 (para. 8.8).</w:t>
      </w:r>
    </w:p>
    <w:p w14:paraId="55A34736" w14:textId="77777777" w:rsidR="007E45C6" w:rsidRPr="0043555B" w:rsidRDefault="007E45C6" w:rsidP="0043555B">
      <w:pPr>
        <w:pStyle w:val="NoSpacing"/>
        <w:jc w:val="center"/>
        <w:rPr>
          <w:rFonts w:ascii="Times New Roman" w:hAnsi="Times New Roman" w:cs="Times New Roman"/>
          <w:b/>
          <w:bCs/>
          <w:sz w:val="20"/>
          <w:szCs w:val="20"/>
        </w:rPr>
      </w:pPr>
      <w:r w:rsidRPr="0043555B">
        <w:rPr>
          <w:rFonts w:ascii="Times New Roman" w:hAnsi="Times New Roman" w:cs="Times New Roman"/>
          <w:b/>
          <w:bCs/>
          <w:sz w:val="20"/>
          <w:szCs w:val="20"/>
        </w:rPr>
        <w:t>VIII. DEBT RELIEF</w:t>
      </w:r>
    </w:p>
    <w:p w14:paraId="73EFB3D6" w14:textId="0F8AA21C" w:rsidR="007E45C6" w:rsidRPr="00AA6AF4" w:rsidRDefault="007E45C6" w:rsidP="005242D4">
      <w:pPr>
        <w:pStyle w:val="Heading3"/>
        <w:spacing w:line="160" w:lineRule="exact"/>
      </w:pPr>
      <w:r w:rsidRPr="00AA6AF4">
        <w:rPr>
          <w:b/>
          <w:bCs/>
        </w:rPr>
        <w:t>(1)</w:t>
      </w:r>
      <w:r w:rsidRPr="00AA6AF4">
        <w:t> The formula of 70:30 for the apportionment of the Plan assistance in the case of non-Special Category States may be continued. But the loan component so worked out may be contributed from two sources - an amount equal to the grant portion may come in the form of Central loan and the balance may be made available by way of additional market borrowings (para. 9.20).</w:t>
      </w:r>
    </w:p>
    <w:p w14:paraId="4DD3150C" w14:textId="15391BB7" w:rsidR="007E45C6" w:rsidRPr="009C5E16" w:rsidRDefault="007E45C6"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Reserve Bank of India may work out a formula for amortisation of States' market borrowings (para. 9.20).</w:t>
      </w:r>
    </w:p>
    <w:p w14:paraId="35DB5463" w14:textId="338F39A2" w:rsidR="007E45C6" w:rsidRPr="009C5E16" w:rsidRDefault="007E45C6"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From 1990-91, the direct Central loans for State Plans should have a maturity period of 20 years with 50 per cent of the loans enjoying grace period of 5 years (para. 9.20).</w:t>
      </w:r>
    </w:p>
    <w:p w14:paraId="3A412A70" w14:textId="1682436A" w:rsidR="007E45C6" w:rsidRPr="009C5E16" w:rsidRDefault="007E45C6"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There should be no change in the terms and conditions relating to the Central loans against the small savings collections (para. 9.20).</w:t>
      </w:r>
    </w:p>
    <w:p w14:paraId="7105E7AC" w14:textId="02309F67" w:rsidR="007E45C6" w:rsidRPr="009C5E16" w:rsidRDefault="007E45C6"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entire external assistance received for externally-aided projects should, in all cases, be passed on to the States implementing those projects. No part of funds received exclusively for such projects should be withheld by the Centre (para. 9.20).</w:t>
      </w:r>
    </w:p>
    <w:p w14:paraId="0A959B49" w14:textId="0D000927" w:rsidR="007E45C6" w:rsidRPr="009C5E16" w:rsidRDefault="007E45C6"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loan and grant portion of the World Bank assistance to be passed on to States should also be in the ratio of 70:30 as in the case of general Plan assistance. However, while the loan portion should carry the same rate of interest as applicable to other Plan loans, the repayment period should be the same as applicable to the assistance received from the Bank (para. 9.20).</w:t>
      </w:r>
    </w:p>
    <w:p w14:paraId="28730548" w14:textId="6CFBE69E" w:rsidR="007E45C6" w:rsidRPr="009C5E16" w:rsidRDefault="007E45C6"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entire amount of IDA assistance shall be passed on to States as loans carrying a rate of interest of 6 per cent per annum and repayment period of 30 years including a grace period of 5 years (para. 9.21).</w:t>
      </w:r>
    </w:p>
    <w:p w14:paraId="5FA4B181" w14:textId="072E431D" w:rsidR="00E25DA2" w:rsidRPr="009C5E16" w:rsidRDefault="00E25DA2"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States with unduly low share in assistance for externally aided projects should be allocated a larger share of the 10 per cent of the Plan assistance reserved for 'Special problems' under the modified Gadgil formula (para. 9.20).</w:t>
      </w:r>
    </w:p>
    <w:p w14:paraId="4C3A9A7F" w14:textId="58CF1629" w:rsidR="00E25DA2" w:rsidRPr="009C5E16" w:rsidRDefault="00E25DA2"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Central loans obtained on Plan account by each of the three newly constituted States of Arunachal Pradesh, Goa and Mizoram, upto 1986-87 as Union Territories (as outstanding on 31st March 1990), in excess of what it would have received during that period by way of loan on the basis of the 90:10 or 30:70 formula applicable to States, should be written off (para. 9.21).</w:t>
      </w:r>
    </w:p>
    <w:p w14:paraId="7F45E4E8" w14:textId="267B91F6" w:rsidR="00E25DA2" w:rsidRPr="009C5E16" w:rsidRDefault="00E25DA2"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loans of given to States on account of drought during 1986-89 as outstanding on 31st March, 1989 shall be written off (para. 9.22).</w:t>
      </w:r>
    </w:p>
    <w:p w14:paraId="376B9244" w14:textId="36EB0B40" w:rsidR="00E25DA2" w:rsidRPr="009C5E16" w:rsidRDefault="00E25DA2"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loans of Rs. 91.62 crore given to Madhya Pradesh during 1984-89 in connection with the Bhopal Gas Leak Tragedy shall be written off and repayment or payment on account thereof made already by the State Government by way of principal and interest shall be adjusted against other payments due from the State Government (para. 9.23).</w:t>
      </w:r>
    </w:p>
    <w:p w14:paraId="34D70974" w14:textId="287A1B5A" w:rsidR="00E25DA2" w:rsidRPr="009C5E16" w:rsidRDefault="00E25DA2"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A moratorium of 2 years (1990-92) on repayment of principal and payment of interest should be granted in respect of the special loans given to Punjab during 1984-89. Meanwhile, the Central Government should work out a suitable package of relief measures for the State (para. 9.24).</w:t>
      </w:r>
    </w:p>
    <w:p w14:paraId="38927D4F" w14:textId="3C16CBF9" w:rsidR="00E25DA2" w:rsidRPr="009C5E16" w:rsidRDefault="00E25DA2" w:rsidP="005242D4">
      <w:pPr>
        <w:pStyle w:val="ListParagraph"/>
        <w:numPr>
          <w:ilvl w:val="0"/>
          <w:numId w:val="43"/>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The State Plan loans advanced to States during the 5 years 1984-89 and outstanding as on 31st March, 1990 should be consolidated and rescheduled to 15 years in the case of all the States. During the first 5 years 1990-95, repayments should be less than due on existing basis to the extent of 10 per cent in the case of Andhra Pradesh, Karnataka, Madhya Pradesh, Maharashtra, Orissa, Tamil Nadu, Goa and Special Category States, 7.5 per cent in the case of Gujarat, Rajasthan and Uttar Pradesh and 5 per cent in the case of Bihar, Haryana, Kerala, Punjab and West Bengal (para. 9.25 and 9.26).</w:t>
      </w:r>
    </w:p>
    <w:p w14:paraId="66DE1531" w14:textId="77777777" w:rsidR="00E25DA2" w:rsidRPr="009C5E16" w:rsidRDefault="00E25DA2" w:rsidP="00947732">
      <w:pPr>
        <w:spacing w:after="0" w:line="180" w:lineRule="exact"/>
        <w:jc w:val="center"/>
        <w:rPr>
          <w:rFonts w:ascii="Times New Roman" w:hAnsi="Times New Roman" w:cs="Times New Roman"/>
          <w:sz w:val="20"/>
          <w:szCs w:val="20"/>
        </w:rPr>
      </w:pPr>
      <w:r w:rsidRPr="009C5E16">
        <w:rPr>
          <w:rFonts w:ascii="Times New Roman" w:hAnsi="Times New Roman" w:cs="Times New Roman"/>
          <w:b/>
          <w:bCs/>
          <w:sz w:val="20"/>
          <w:szCs w:val="20"/>
        </w:rPr>
        <w:t>IX CONCLUDING OBSERVATIONS</w:t>
      </w:r>
    </w:p>
    <w:p w14:paraId="70DFDC4E" w14:textId="5F2C307D" w:rsidR="00E25DA2" w:rsidRPr="00AA6AF4" w:rsidRDefault="00E25DA2" w:rsidP="005242D4">
      <w:pPr>
        <w:pStyle w:val="Heading3"/>
        <w:spacing w:after="0" w:line="160" w:lineRule="exact"/>
      </w:pPr>
      <w:r w:rsidRPr="00AA6AF4">
        <w:rPr>
          <w:b/>
          <w:bCs/>
        </w:rPr>
        <w:t>(1)</w:t>
      </w:r>
      <w:r w:rsidRPr="00AA6AF4">
        <w:t> In the interregnum between two Finance Commissions, the present Finance Commission Division should be entrusted with studies and projects on different topics relevant to the work of the Finance Commission. For this purpose, the Division should be substantially strengthened (para. 10.7).</w:t>
      </w:r>
    </w:p>
    <w:p w14:paraId="57137E91" w14:textId="245ECB3C" w:rsidR="00E25DA2" w:rsidRDefault="00E25DA2" w:rsidP="005242D4">
      <w:pPr>
        <w:pStyle w:val="ListParagraph"/>
        <w:numPr>
          <w:ilvl w:val="0"/>
          <w:numId w:val="44"/>
        </w:numPr>
        <w:spacing w:line="160" w:lineRule="exact"/>
        <w:jc w:val="both"/>
        <w:rPr>
          <w:rFonts w:ascii="Times New Roman" w:hAnsi="Times New Roman" w:cs="Times New Roman"/>
          <w:sz w:val="18"/>
          <w:szCs w:val="18"/>
        </w:rPr>
      </w:pPr>
      <w:r w:rsidRPr="009C5E16">
        <w:rPr>
          <w:rFonts w:ascii="Times New Roman" w:hAnsi="Times New Roman" w:cs="Times New Roman"/>
          <w:sz w:val="18"/>
          <w:szCs w:val="18"/>
        </w:rPr>
        <w:t>An advisory Committee should be constituted to guide the Finance Commission Division in its work and functions (para. 10.7).</w:t>
      </w:r>
    </w:p>
    <w:p w14:paraId="21EB5F9D" w14:textId="645E0D4A" w:rsidR="00E25DA2" w:rsidRDefault="00E25DA2" w:rsidP="005242D4">
      <w:pPr>
        <w:pStyle w:val="ListParagraph"/>
        <w:numPr>
          <w:ilvl w:val="0"/>
          <w:numId w:val="44"/>
        </w:numPr>
        <w:spacing w:line="160" w:lineRule="exact"/>
        <w:jc w:val="both"/>
        <w:rPr>
          <w:rFonts w:ascii="Times New Roman" w:hAnsi="Times New Roman" w:cs="Times New Roman"/>
          <w:sz w:val="18"/>
          <w:szCs w:val="18"/>
        </w:rPr>
      </w:pPr>
      <w:r w:rsidRPr="00947732">
        <w:rPr>
          <w:rFonts w:ascii="Times New Roman" w:hAnsi="Times New Roman" w:cs="Times New Roman"/>
          <w:sz w:val="18"/>
          <w:szCs w:val="18"/>
        </w:rPr>
        <w:t>With a view to treat Central and State Governments in a similar manner with regard to fiscal discipline, a convention should be developed limiting the extent of deficit financing by the Central Government, in any given year, to an amount determined in advance in consultation with the Reserve Bank of India. If under certain extraordinary circumstances the agreed upon limits are to be exceeded, the matter should be discussed in Parliament and its approval obtained (para. 10.8).</w:t>
      </w:r>
    </w:p>
    <w:p w14:paraId="5DBFC2D4" w14:textId="488899A9" w:rsidR="00E25DA2" w:rsidRDefault="00E25DA2" w:rsidP="005242D4">
      <w:pPr>
        <w:pStyle w:val="ListParagraph"/>
        <w:numPr>
          <w:ilvl w:val="0"/>
          <w:numId w:val="44"/>
        </w:numPr>
        <w:spacing w:line="160" w:lineRule="exact"/>
        <w:jc w:val="both"/>
        <w:rPr>
          <w:rFonts w:ascii="Times New Roman" w:hAnsi="Times New Roman" w:cs="Times New Roman"/>
          <w:sz w:val="18"/>
          <w:szCs w:val="18"/>
        </w:rPr>
      </w:pPr>
      <w:r w:rsidRPr="00947732">
        <w:rPr>
          <w:rFonts w:ascii="Times New Roman" w:hAnsi="Times New Roman" w:cs="Times New Roman"/>
          <w:sz w:val="18"/>
          <w:szCs w:val="18"/>
        </w:rPr>
        <w:t>Specific steps should be taken to bring down the rate of growth of revenue expenditure in the immediate future. The policy regarding major subsidies should be reviewed (para. 10.12 and 10.13).</w:t>
      </w:r>
    </w:p>
    <w:p w14:paraId="20A23315" w14:textId="49ACD152" w:rsidR="00E25DA2" w:rsidRDefault="00E25DA2" w:rsidP="005242D4">
      <w:pPr>
        <w:pStyle w:val="ListParagraph"/>
        <w:numPr>
          <w:ilvl w:val="0"/>
          <w:numId w:val="44"/>
        </w:numPr>
        <w:spacing w:line="160" w:lineRule="exact"/>
        <w:jc w:val="both"/>
        <w:rPr>
          <w:rFonts w:ascii="Times New Roman" w:hAnsi="Times New Roman" w:cs="Times New Roman"/>
          <w:sz w:val="18"/>
          <w:szCs w:val="18"/>
        </w:rPr>
      </w:pPr>
      <w:r w:rsidRPr="00947732">
        <w:rPr>
          <w:rFonts w:ascii="Times New Roman" w:hAnsi="Times New Roman" w:cs="Times New Roman"/>
          <w:sz w:val="18"/>
          <w:szCs w:val="18"/>
        </w:rPr>
        <w:t>Measures should be taken to slow down the growth of public debt. Funds for investment in public enterprises other than those in the key infrastructure sectors like the Railways, should, to the extent possible, be obtained from outside the budget (para. 10.12).</w:t>
      </w:r>
    </w:p>
    <w:p w14:paraId="098E6DF8" w14:textId="42C5E99D" w:rsidR="00E25DA2" w:rsidRPr="00947732" w:rsidRDefault="00E25DA2" w:rsidP="005242D4">
      <w:pPr>
        <w:pStyle w:val="ListParagraph"/>
        <w:numPr>
          <w:ilvl w:val="0"/>
          <w:numId w:val="44"/>
        </w:numPr>
        <w:spacing w:line="160" w:lineRule="exact"/>
        <w:jc w:val="both"/>
        <w:rPr>
          <w:rFonts w:ascii="Times New Roman" w:hAnsi="Times New Roman" w:cs="Times New Roman"/>
          <w:sz w:val="18"/>
          <w:szCs w:val="18"/>
        </w:rPr>
      </w:pPr>
      <w:r w:rsidRPr="00947732">
        <w:rPr>
          <w:rFonts w:ascii="Times New Roman" w:hAnsi="Times New Roman" w:cs="Times New Roman"/>
          <w:sz w:val="18"/>
          <w:szCs w:val="18"/>
        </w:rPr>
        <w:t>A way may be found to cut out loans, grants and subsidies to the public enterprises which are continually making losses and which, according to reasonable expectations, cannot be revived and turned around (para. 10.13).</w:t>
      </w:r>
    </w:p>
    <w:p w14:paraId="50FD0BE2" w14:textId="3B8D7D81" w:rsidR="000F5411" w:rsidRPr="00947732" w:rsidRDefault="000F5411" w:rsidP="00551646">
      <w:pPr>
        <w:spacing w:line="240" w:lineRule="exact"/>
        <w:jc w:val="center"/>
        <w:rPr>
          <w:rFonts w:ascii="Times New Roman" w:hAnsi="Times New Roman" w:cs="Times New Roman"/>
          <w:sz w:val="18"/>
          <w:szCs w:val="18"/>
        </w:rPr>
      </w:pPr>
      <w:r w:rsidRPr="00947732">
        <w:rPr>
          <w:rFonts w:ascii="Times New Roman" w:hAnsi="Times New Roman" w:cs="Times New Roman"/>
          <w:b/>
          <w:bCs/>
          <w:sz w:val="18"/>
          <w:szCs w:val="18"/>
        </w:rPr>
        <w:t>(N. K. P. Salve)</w:t>
      </w:r>
      <w:r w:rsidRPr="00947732">
        <w:rPr>
          <w:rFonts w:ascii="Times New Roman" w:hAnsi="Times New Roman" w:cs="Times New Roman"/>
          <w:sz w:val="18"/>
          <w:szCs w:val="18"/>
        </w:rPr>
        <w:br/>
      </w:r>
      <w:r w:rsidRPr="00947732">
        <w:rPr>
          <w:rFonts w:ascii="Times New Roman" w:hAnsi="Times New Roman" w:cs="Times New Roman"/>
          <w:i/>
          <w:iCs/>
          <w:sz w:val="18"/>
          <w:szCs w:val="18"/>
        </w:rPr>
        <w:t>Chairman</w:t>
      </w:r>
    </w:p>
    <w:p w14:paraId="28D80DD3" w14:textId="73D9AA36" w:rsidR="000F5411" w:rsidRPr="00947732" w:rsidRDefault="000F5411" w:rsidP="00551646">
      <w:pPr>
        <w:spacing w:after="0" w:line="240" w:lineRule="exact"/>
        <w:rPr>
          <w:rFonts w:ascii="Times New Roman" w:hAnsi="Times New Roman" w:cs="Times New Roman"/>
          <w:b/>
          <w:bCs/>
          <w:sz w:val="18"/>
          <w:szCs w:val="18"/>
        </w:rPr>
      </w:pPr>
      <w:r w:rsidRPr="00947732">
        <w:rPr>
          <w:rFonts w:ascii="Times New Roman" w:hAnsi="Times New Roman" w:cs="Times New Roman"/>
          <w:b/>
          <w:bCs/>
          <w:sz w:val="18"/>
          <w:szCs w:val="18"/>
        </w:rPr>
        <w:t>(Raja J. Chelliah)</w:t>
      </w:r>
      <w:r w:rsidR="00EE5540" w:rsidRPr="00947732">
        <w:rPr>
          <w:rFonts w:ascii="Times New Roman" w:hAnsi="Times New Roman" w:cs="Times New Roman"/>
          <w:b/>
          <w:bCs/>
          <w:sz w:val="18"/>
          <w:szCs w:val="18"/>
        </w:rPr>
        <w:t xml:space="preserve"> </w:t>
      </w:r>
      <w:r w:rsidR="00EE5540" w:rsidRPr="00947732">
        <w:rPr>
          <w:rFonts w:ascii="Times New Roman" w:hAnsi="Times New Roman" w:cs="Times New Roman"/>
          <w:b/>
          <w:bCs/>
          <w:sz w:val="18"/>
          <w:szCs w:val="18"/>
        </w:rPr>
        <w:tab/>
      </w:r>
      <w:r w:rsidR="00EE5540" w:rsidRPr="00947732">
        <w:rPr>
          <w:rFonts w:ascii="Times New Roman" w:hAnsi="Times New Roman" w:cs="Times New Roman"/>
          <w:b/>
          <w:bCs/>
          <w:sz w:val="18"/>
          <w:szCs w:val="18"/>
        </w:rPr>
        <w:tab/>
      </w:r>
      <w:r w:rsidR="00EE5540" w:rsidRPr="00947732">
        <w:rPr>
          <w:rFonts w:ascii="Times New Roman" w:hAnsi="Times New Roman" w:cs="Times New Roman"/>
          <w:b/>
          <w:bCs/>
          <w:sz w:val="18"/>
          <w:szCs w:val="18"/>
        </w:rPr>
        <w:tab/>
        <w:t>(Abdus Sattar Qureshi)</w:t>
      </w:r>
      <w:r w:rsidR="00EE5540" w:rsidRPr="00947732">
        <w:rPr>
          <w:rFonts w:ascii="Times New Roman" w:hAnsi="Times New Roman" w:cs="Times New Roman"/>
          <w:b/>
          <w:bCs/>
          <w:sz w:val="18"/>
          <w:szCs w:val="18"/>
        </w:rPr>
        <w:tab/>
      </w:r>
      <w:r w:rsidR="00EE5540" w:rsidRPr="00947732">
        <w:rPr>
          <w:rFonts w:ascii="Times New Roman" w:hAnsi="Times New Roman" w:cs="Times New Roman"/>
          <w:b/>
          <w:bCs/>
          <w:sz w:val="18"/>
          <w:szCs w:val="18"/>
        </w:rPr>
        <w:tab/>
      </w:r>
      <w:r w:rsidR="00EE5540" w:rsidRPr="00947732">
        <w:rPr>
          <w:rFonts w:ascii="Times New Roman" w:hAnsi="Times New Roman" w:cs="Times New Roman"/>
          <w:b/>
          <w:bCs/>
          <w:sz w:val="18"/>
          <w:szCs w:val="18"/>
        </w:rPr>
        <w:tab/>
        <w:t xml:space="preserve"> (R. </w:t>
      </w:r>
      <w:proofErr w:type="spellStart"/>
      <w:r w:rsidR="00EE5540" w:rsidRPr="00947732">
        <w:rPr>
          <w:rFonts w:ascii="Times New Roman" w:hAnsi="Times New Roman" w:cs="Times New Roman"/>
          <w:b/>
          <w:bCs/>
          <w:sz w:val="18"/>
          <w:szCs w:val="18"/>
        </w:rPr>
        <w:t>Keishing</w:t>
      </w:r>
      <w:proofErr w:type="spellEnd"/>
      <w:r w:rsidR="00EE5540" w:rsidRPr="00947732">
        <w:rPr>
          <w:rFonts w:ascii="Times New Roman" w:hAnsi="Times New Roman" w:cs="Times New Roman"/>
          <w:b/>
          <w:bCs/>
          <w:sz w:val="18"/>
          <w:szCs w:val="18"/>
        </w:rPr>
        <w:t>)</w:t>
      </w:r>
      <w:r w:rsidR="00947732">
        <w:rPr>
          <w:rFonts w:ascii="Times New Roman" w:hAnsi="Times New Roman" w:cs="Times New Roman"/>
          <w:b/>
          <w:bCs/>
          <w:sz w:val="18"/>
          <w:szCs w:val="18"/>
        </w:rPr>
        <w:tab/>
      </w:r>
      <w:r w:rsidR="00947732">
        <w:rPr>
          <w:rFonts w:ascii="Times New Roman" w:hAnsi="Times New Roman" w:cs="Times New Roman"/>
          <w:b/>
          <w:bCs/>
          <w:sz w:val="18"/>
          <w:szCs w:val="18"/>
        </w:rPr>
        <w:tab/>
      </w:r>
      <w:r w:rsidR="00947732" w:rsidRPr="00947732">
        <w:rPr>
          <w:rFonts w:ascii="Times New Roman" w:hAnsi="Times New Roman" w:cs="Times New Roman"/>
          <w:b/>
          <w:bCs/>
          <w:sz w:val="18"/>
          <w:szCs w:val="18"/>
        </w:rPr>
        <w:t>(K. V. R. Nair)</w:t>
      </w:r>
    </w:p>
    <w:p w14:paraId="1D8365E8" w14:textId="3F7BCC93" w:rsidR="000F5411" w:rsidRPr="00947732" w:rsidRDefault="000F5411" w:rsidP="00551646">
      <w:pPr>
        <w:spacing w:after="0" w:line="240" w:lineRule="exact"/>
        <w:rPr>
          <w:rFonts w:ascii="Times New Roman" w:hAnsi="Times New Roman" w:cs="Times New Roman"/>
          <w:sz w:val="18"/>
          <w:szCs w:val="18"/>
        </w:rPr>
      </w:pPr>
      <w:r w:rsidRPr="00947732">
        <w:rPr>
          <w:rFonts w:ascii="Times New Roman" w:hAnsi="Times New Roman" w:cs="Times New Roman"/>
          <w:i/>
          <w:iCs/>
          <w:sz w:val="18"/>
          <w:szCs w:val="18"/>
        </w:rPr>
        <w:t>Member</w:t>
      </w:r>
      <w:r w:rsidR="00EE5540" w:rsidRPr="00947732">
        <w:rPr>
          <w:rFonts w:ascii="Times New Roman" w:hAnsi="Times New Roman" w:cs="Times New Roman"/>
          <w:i/>
          <w:iCs/>
          <w:sz w:val="18"/>
          <w:szCs w:val="18"/>
        </w:rPr>
        <w:t xml:space="preserve"> </w:t>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r>
      <w:proofErr w:type="spellStart"/>
      <w:r w:rsidR="00EE5540" w:rsidRPr="00947732">
        <w:rPr>
          <w:rFonts w:ascii="Times New Roman" w:hAnsi="Times New Roman" w:cs="Times New Roman"/>
          <w:i/>
          <w:iCs/>
          <w:sz w:val="18"/>
          <w:szCs w:val="18"/>
        </w:rPr>
        <w:t>Member</w:t>
      </w:r>
      <w:proofErr w:type="spellEnd"/>
      <w:r w:rsidR="00EE5540" w:rsidRPr="00947732">
        <w:rPr>
          <w:rFonts w:ascii="Times New Roman" w:hAnsi="Times New Roman" w:cs="Times New Roman"/>
          <w:i/>
          <w:iCs/>
          <w:sz w:val="18"/>
          <w:szCs w:val="18"/>
        </w:rPr>
        <w:t xml:space="preserve"> </w:t>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r>
      <w:r w:rsidR="00EE5540" w:rsidRPr="00947732">
        <w:rPr>
          <w:rFonts w:ascii="Times New Roman" w:hAnsi="Times New Roman" w:cs="Times New Roman"/>
          <w:i/>
          <w:iCs/>
          <w:sz w:val="18"/>
          <w:szCs w:val="18"/>
        </w:rPr>
        <w:tab/>
        <w:t xml:space="preserve">       </w:t>
      </w:r>
      <w:proofErr w:type="spellStart"/>
      <w:r w:rsidR="00EE5540" w:rsidRPr="00947732">
        <w:rPr>
          <w:rFonts w:ascii="Times New Roman" w:hAnsi="Times New Roman" w:cs="Times New Roman"/>
          <w:i/>
          <w:iCs/>
          <w:sz w:val="18"/>
          <w:szCs w:val="18"/>
        </w:rPr>
        <w:t>Member</w:t>
      </w:r>
      <w:proofErr w:type="spellEnd"/>
      <w:r w:rsidR="00947732">
        <w:rPr>
          <w:rFonts w:ascii="Times New Roman" w:hAnsi="Times New Roman" w:cs="Times New Roman"/>
          <w:i/>
          <w:iCs/>
          <w:sz w:val="18"/>
          <w:szCs w:val="18"/>
        </w:rPr>
        <w:tab/>
      </w:r>
      <w:r w:rsidR="00947732">
        <w:rPr>
          <w:rFonts w:ascii="Times New Roman" w:hAnsi="Times New Roman" w:cs="Times New Roman"/>
          <w:i/>
          <w:iCs/>
          <w:sz w:val="18"/>
          <w:szCs w:val="18"/>
        </w:rPr>
        <w:tab/>
      </w:r>
      <w:proofErr w:type="spellStart"/>
      <w:r w:rsidR="00947732" w:rsidRPr="00947732">
        <w:rPr>
          <w:rFonts w:ascii="Times New Roman" w:hAnsi="Times New Roman" w:cs="Times New Roman"/>
          <w:i/>
          <w:iCs/>
          <w:sz w:val="18"/>
          <w:szCs w:val="18"/>
        </w:rPr>
        <w:t>Member</w:t>
      </w:r>
      <w:proofErr w:type="spellEnd"/>
      <w:r w:rsidR="00947732" w:rsidRPr="00947732">
        <w:rPr>
          <w:rFonts w:ascii="Times New Roman" w:hAnsi="Times New Roman" w:cs="Times New Roman"/>
          <w:i/>
          <w:iCs/>
          <w:sz w:val="18"/>
          <w:szCs w:val="18"/>
        </w:rPr>
        <w:t xml:space="preserve"> Secretary</w:t>
      </w:r>
    </w:p>
    <w:p w14:paraId="2380B429" w14:textId="20E69937" w:rsidR="00F41328" w:rsidRPr="00947732" w:rsidRDefault="00947732" w:rsidP="00947732">
      <w:pPr>
        <w:spacing w:line="240" w:lineRule="exact"/>
        <w:rPr>
          <w:rFonts w:ascii="Times New Roman" w:hAnsi="Times New Roman" w:cs="Times New Roman"/>
          <w:b/>
          <w:bCs/>
          <w:sz w:val="18"/>
          <w:szCs w:val="18"/>
        </w:rPr>
      </w:pPr>
      <w:r w:rsidRPr="00947732">
        <w:rPr>
          <w:rFonts w:ascii="Times New Roman" w:hAnsi="Times New Roman" w:cs="Times New Roman"/>
          <w:b/>
          <w:bCs/>
          <w:sz w:val="18"/>
          <w:szCs w:val="18"/>
        </w:rPr>
        <w:t>New Delhi, December, 1989.</w:t>
      </w:r>
      <w:r w:rsidRPr="00947732">
        <w:rPr>
          <w:rFonts w:ascii="Times New Roman" w:hAnsi="Times New Roman" w:cs="Times New Roman"/>
          <w:b/>
          <w:bCs/>
          <w:sz w:val="18"/>
          <w:szCs w:val="18"/>
        </w:rPr>
        <w:tab/>
      </w:r>
      <w:r w:rsidRPr="00947732">
        <w:rPr>
          <w:rFonts w:ascii="Times New Roman" w:hAnsi="Times New Roman" w:cs="Times New Roman"/>
          <w:sz w:val="18"/>
          <w:szCs w:val="18"/>
        </w:rPr>
        <w:br/>
      </w:r>
    </w:p>
    <w:p w14:paraId="1A110356" w14:textId="77777777" w:rsidR="00F41328" w:rsidRPr="00EB7DB1" w:rsidRDefault="00F41328" w:rsidP="00445823">
      <w:pPr>
        <w:pStyle w:val="Heading1"/>
        <w:numPr>
          <w:ilvl w:val="0"/>
          <w:numId w:val="0"/>
        </w:numPr>
        <w:ind w:left="284"/>
        <w:rPr>
          <w:sz w:val="24"/>
          <w:szCs w:val="24"/>
        </w:rPr>
      </w:pPr>
      <w:bookmarkStart w:id="23" w:name="_Toc221292968"/>
      <w:bookmarkStart w:id="24" w:name="_Toc222399460"/>
      <w:r w:rsidRPr="00EB7DB1">
        <w:rPr>
          <w:sz w:val="24"/>
          <w:szCs w:val="24"/>
        </w:rPr>
        <w:lastRenderedPageBreak/>
        <w:t>NOTE OF DISSENT AND GENERAL OBSERVATIONS BY SHRI JUSTICE A. S. QURESHI (MEMBER)</w:t>
      </w:r>
      <w:bookmarkEnd w:id="23"/>
      <w:bookmarkEnd w:id="24"/>
    </w:p>
    <w:p w14:paraId="19B9C77F" w14:textId="77777777" w:rsidR="00F41328" w:rsidRPr="00EB7DB1" w:rsidRDefault="00F41328" w:rsidP="00287E78">
      <w:pPr>
        <w:spacing w:before="40" w:after="0" w:line="200" w:lineRule="exact"/>
        <w:ind w:firstLine="426"/>
        <w:contextualSpacing/>
        <w:jc w:val="both"/>
        <w:rPr>
          <w:rFonts w:ascii="Times New Roman" w:hAnsi="Times New Roman" w:cs="Times New Roman"/>
          <w:sz w:val="18"/>
          <w:szCs w:val="18"/>
        </w:rPr>
      </w:pPr>
      <w:r w:rsidRPr="00EB7DB1">
        <w:rPr>
          <w:rFonts w:ascii="Times New Roman" w:hAnsi="Times New Roman" w:cs="Times New Roman"/>
          <w:sz w:val="18"/>
          <w:szCs w:val="18"/>
        </w:rPr>
        <w:t>It is my misfortune that I am unable to agree with the views of my esteemed colleagues in the Ninth Finance Commission on certain crucial issues. Hence, I am writing this Dissent Note expressing my views on those points. My signature to the main report is subject to this Note of Dissent and General Observations.</w:t>
      </w:r>
    </w:p>
    <w:p w14:paraId="07271108" w14:textId="77777777" w:rsidR="00F41328" w:rsidRPr="00EB7DB1" w:rsidRDefault="00F41328" w:rsidP="00287E78">
      <w:pPr>
        <w:spacing w:before="40" w:after="0" w:line="200" w:lineRule="exact"/>
        <w:ind w:left="426"/>
        <w:contextualSpacing/>
        <w:jc w:val="both"/>
        <w:rPr>
          <w:rFonts w:ascii="Times New Roman" w:hAnsi="Times New Roman" w:cs="Times New Roman"/>
          <w:sz w:val="20"/>
          <w:szCs w:val="20"/>
        </w:rPr>
      </w:pPr>
      <w:r w:rsidRPr="00EB7DB1">
        <w:rPr>
          <w:rFonts w:ascii="Times New Roman" w:hAnsi="Times New Roman" w:cs="Times New Roman"/>
          <w:b/>
          <w:bCs/>
          <w:sz w:val="20"/>
          <w:szCs w:val="20"/>
        </w:rPr>
        <w:t>1. PERMANENT FINANCE COMMISSION</w:t>
      </w:r>
    </w:p>
    <w:p w14:paraId="31CFB001" w14:textId="4ACAB069" w:rsidR="00EB7DB1" w:rsidRPr="00F47786"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F47786">
        <w:rPr>
          <w:rFonts w:ascii="Times New Roman" w:hAnsi="Times New Roman" w:cs="Times New Roman"/>
          <w:sz w:val="18"/>
          <w:szCs w:val="18"/>
        </w:rPr>
        <w:t xml:space="preserve">At the outset, I must say that Article 280 of the Constitution of India under which a Finance Commission is constituted is misunderstood and misconstrued right </w:t>
      </w:r>
      <w:proofErr w:type="spellStart"/>
      <w:r w:rsidRPr="00F47786">
        <w:rPr>
          <w:rFonts w:ascii="Times New Roman" w:hAnsi="Times New Roman" w:cs="Times New Roman"/>
          <w:sz w:val="18"/>
          <w:szCs w:val="18"/>
        </w:rPr>
        <w:t>form</w:t>
      </w:r>
      <w:proofErr w:type="spellEnd"/>
      <w:r w:rsidRPr="00F47786">
        <w:rPr>
          <w:rFonts w:ascii="Times New Roman" w:hAnsi="Times New Roman" w:cs="Times New Roman"/>
          <w:sz w:val="18"/>
          <w:szCs w:val="18"/>
        </w:rPr>
        <w:t xml:space="preserve"> the beginning. In my opinion, Article 280(1) envisages a permanent Finance Commission to be reconstituted every five years, unless for some reason, it ceases to exist before the expiry of its full tenure of five years. This interpretation is in consonance with the scheme of Chapter I of Part XII and other provisions of the Constitution of India. The founding fathers of our Constitution had intended Finance Commission to be an independent, impartial and semi-judicial body to arbitrate and adjudicate between the Union and the States in the matter of distribution of shareable taxes which are to be, or may be, divided between them and also to allocate to the States their respective shares of such proceeds. The Commission also has to lay down principles which should govern the grants-in-aid of the revenues of the States which are in need of assistance, out of the Consolidated Fund of India. Moreover, the President may refer to the Finance Commission any other matter in the interests of sound finance. These duties are such that they can be properly and effectively discharged only by a permanent Finance Commission on a continuous basis. Because of the complexities involved, it is not possible to estimate correctly at a stretch the revenue receipts and expenditures of the States for several years in the future. In fact, the situation is such that the Finance Commission must not only make assessments of receipts and expenditures on a </w:t>
      </w:r>
      <w:proofErr w:type="gramStart"/>
      <w:r w:rsidRPr="00F47786">
        <w:rPr>
          <w:rFonts w:ascii="Times New Roman" w:hAnsi="Times New Roman" w:cs="Times New Roman"/>
          <w:sz w:val="18"/>
          <w:szCs w:val="18"/>
        </w:rPr>
        <w:t>year to year</w:t>
      </w:r>
      <w:proofErr w:type="gramEnd"/>
      <w:r w:rsidRPr="00F47786">
        <w:rPr>
          <w:rFonts w:ascii="Times New Roman" w:hAnsi="Times New Roman" w:cs="Times New Roman"/>
          <w:sz w:val="18"/>
          <w:szCs w:val="18"/>
        </w:rPr>
        <w:t xml:space="preserve"> basis but also make changes and adjustments in the assessment from time to time during the year itself. Moreover, a permanent Finance Commission must also monitor the implementation of its recommendations by the Centre and the States and from </w:t>
      </w:r>
      <w:proofErr w:type="gramStart"/>
      <w:r w:rsidRPr="00F47786">
        <w:rPr>
          <w:rFonts w:ascii="Times New Roman" w:hAnsi="Times New Roman" w:cs="Times New Roman"/>
          <w:sz w:val="18"/>
          <w:szCs w:val="18"/>
        </w:rPr>
        <w:t>time to time</w:t>
      </w:r>
      <w:proofErr w:type="gramEnd"/>
      <w:r w:rsidRPr="00F47786">
        <w:rPr>
          <w:rFonts w:ascii="Times New Roman" w:hAnsi="Times New Roman" w:cs="Times New Roman"/>
          <w:sz w:val="18"/>
          <w:szCs w:val="18"/>
        </w:rPr>
        <w:t xml:space="preserve"> caution or even warn them when they are found erring. Thus, the Finance Commission, as originally conceived, could have been a powerful instrument to bring financial discipline in the Centre and the States. </w:t>
      </w:r>
      <w:proofErr w:type="gramStart"/>
      <w:r w:rsidRPr="00F47786">
        <w:rPr>
          <w:rFonts w:ascii="Times New Roman" w:hAnsi="Times New Roman" w:cs="Times New Roman"/>
          <w:sz w:val="18"/>
          <w:szCs w:val="18"/>
        </w:rPr>
        <w:t>But,</w:t>
      </w:r>
      <w:proofErr w:type="gramEnd"/>
      <w:r w:rsidRPr="00F47786">
        <w:rPr>
          <w:rFonts w:ascii="Times New Roman" w:hAnsi="Times New Roman" w:cs="Times New Roman"/>
          <w:sz w:val="18"/>
          <w:szCs w:val="18"/>
        </w:rPr>
        <w:t xml:space="preserve"> it is a pity that such an important institution is devalued, downgraded and rendered ineffective due to the Centre's growing hunger for amassing more and more power and authority in its own hands. This has led to the avoidable friction in the Centre-State relations. </w:t>
      </w:r>
      <w:proofErr w:type="gramStart"/>
      <w:r w:rsidRPr="00F47786">
        <w:rPr>
          <w:rFonts w:ascii="Times New Roman" w:hAnsi="Times New Roman" w:cs="Times New Roman"/>
          <w:sz w:val="18"/>
          <w:szCs w:val="18"/>
        </w:rPr>
        <w:t>Consequently</w:t>
      </w:r>
      <w:proofErr w:type="gramEnd"/>
      <w:r w:rsidRPr="00F47786">
        <w:rPr>
          <w:rFonts w:ascii="Times New Roman" w:hAnsi="Times New Roman" w:cs="Times New Roman"/>
          <w:sz w:val="18"/>
          <w:szCs w:val="18"/>
        </w:rPr>
        <w:t xml:space="preserve"> regionalism has increased rapidly and poses a threat to the unity and integrity of the country. The founding fathers had</w:t>
      </w:r>
      <w:r w:rsidR="005242D4">
        <w:rPr>
          <w:rFonts w:ascii="Times New Roman" w:hAnsi="Times New Roman" w:cs="Times New Roman"/>
          <w:sz w:val="18"/>
          <w:szCs w:val="18"/>
        </w:rPr>
        <w:t xml:space="preserve"> </w:t>
      </w:r>
      <w:r w:rsidRPr="00F47786">
        <w:rPr>
          <w:rFonts w:ascii="Times New Roman" w:hAnsi="Times New Roman" w:cs="Times New Roman"/>
          <w:sz w:val="18"/>
          <w:szCs w:val="18"/>
        </w:rPr>
        <w:t>perhaps visualized this and hence they provided for the Finance Commission.</w:t>
      </w:r>
    </w:p>
    <w:p w14:paraId="23B925F3" w14:textId="7C2EE606"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Article 280 of the Constitution does not envisage the appointment of a Finance Commission for one or two years, as it has been done so far. If the framers of the Constitution had intended the Commission to be a transitory body they would have provided for the exercise of its jurisdiction, powers and authority by some other body during its non-existence. The fact that there is no such provision clearly shows that those powers were intended to be exercised by the Finance Commission alone and none else. It also means that the Commission has to be in existence at all the time. No interregnum between the two transitory Finance Commissions is contemplated. By misinterpreting Article 280, the Union Government appoints Finance Commission for one or two years and thereafter, unconstitutionally exercises its jurisdiction, powers and authority through the Planning Commission, Finance Ministry or some other agency, till next Finance Commission is appointed after several years. This amounts to gross violation of the provisions of Chapter I of Part XII of the Constitution.</w:t>
      </w:r>
    </w:p>
    <w:p w14:paraId="10F190DB" w14:textId="1E47C312"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xml:space="preserve">This interpretation of Article 280 is supported by the fact that nowhere in the Constitution it is stated that the Finance Commission shall submit its report for the next five years. Indeed, it could not say so because the revenue receipts and expenditures of the Centre and the States have considerable fluctuations from year to year. It is, therefore, reasonable and proper to interpret that the Finance Commission should do its work on the </w:t>
      </w:r>
      <w:proofErr w:type="gramStart"/>
      <w:r w:rsidRPr="00EB7DB1">
        <w:rPr>
          <w:rFonts w:ascii="Times New Roman" w:hAnsi="Times New Roman" w:cs="Times New Roman"/>
          <w:sz w:val="18"/>
          <w:szCs w:val="18"/>
        </w:rPr>
        <w:t>year to year</w:t>
      </w:r>
      <w:proofErr w:type="gramEnd"/>
      <w:r w:rsidRPr="00EB7DB1">
        <w:rPr>
          <w:rFonts w:ascii="Times New Roman" w:hAnsi="Times New Roman" w:cs="Times New Roman"/>
          <w:sz w:val="18"/>
          <w:szCs w:val="18"/>
        </w:rPr>
        <w:t xml:space="preserve"> basis and take into account the latest available data rather than the projections and forecasts for the next five years. The forecasts are mainly conjectures. The dependence on forecasts of receipts and expenditures of the Centre and the States for the next five years may not only be factually incorrect and unrealistic but also it may actually do injustice either to the Centre or, to all or some of the States. Therefore, I am of the opinion that the Finance Commission's reports should be on the annual basis and not on the five-year basis. Actually, this Commission has been asked to make recommendations for as many as six years i.e. for 1989-90 and for 1990-95. Even if the five-year calculations on the basis of projections and forecasts are to be carried out with a view to assist the planning process, such projected calculations must be corrected every year in the light of the actuals, which in turn would facilitate the annual Plans of the Centre and the States.</w:t>
      </w:r>
    </w:p>
    <w:p w14:paraId="1E4EDBAB" w14:textId="261AA38A"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The wrong interpretation of Article 280(1) is probably due to the words, "at the expiration of every fifth year or at such earlier time as the President considers necessary", used therein. These words are used presumably to cover a contingency where the Finance Commission ceases to exist before the expiry of its full tenure of five years due to death, disqualification or resignation of its Members or for any other reason. In that event the Finance Commission may be reconstituted earlier, i.e. before the expiration of the five-year period. The aforesaid words do not imply that the Finance Commission can be constituted at any time during the five-year period. The five-year tenure of the Finance Commission is in consonance with similar tenures for the President, the Lok Sabha, etc.</w:t>
      </w:r>
    </w:p>
    <w:p w14:paraId="524DF07F" w14:textId="602E5D31"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Looking to the important functions of the Finance Commission, the ambit of its authority and jurisdiction should have been expanded by referring to it under Article 280(3)(c) many more matters pertaining to the public finance. Moreover, conventions should have been built to refer to the Finance Commission all matters pertaining to financial discipline and disputes regarding financial matters between the Centre and the States and the States inter se. Instead of expanding the authority and functions of the Finance Commission they are systematically curtailed. Even the functions already assigned under the Constitution were gradually taken out and exercised by the Centre in clear violation of the Constitutional provisions.</w:t>
      </w:r>
    </w:p>
    <w:p w14:paraId="13101144" w14:textId="28D9DAB9"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xml:space="preserve">To discharge its functions as envisaged in the Constitution, the Finance Commission should consist of a whole-time Chairman and four whole-time members. The Section 7 of the Finance Commission (Miscellaneous Provisions) Act, 1951 provides that the Members of the Commission shall render whole-time or part-time service. The provision allowing part-time Chairman and Members, in my opinion, is quite wrong and needs to be amended immediately. The nature and extent of the Finance Commission's work, as envisaged in the Constitution, is such that it can be discharged only if the Finance Commission consists of the whole-time Chairman and Members. Our own experience in this Commission is not quite a happy one in this regard. The Chairman and three Members were part-time Members. Only the Member Secretary was full-time. Hence, the Commission's meetings could not be held as and when required and the work continued to pile up. Moreover, the Commission could not visit all the </w:t>
      </w:r>
      <w:proofErr w:type="gramStart"/>
      <w:r w:rsidRPr="00EB7DB1">
        <w:rPr>
          <w:rFonts w:ascii="Times New Roman" w:hAnsi="Times New Roman" w:cs="Times New Roman"/>
          <w:sz w:val="18"/>
          <w:szCs w:val="18"/>
        </w:rPr>
        <w:t>twenty five</w:t>
      </w:r>
      <w:proofErr w:type="gramEnd"/>
      <w:r w:rsidRPr="00EB7DB1">
        <w:rPr>
          <w:rFonts w:ascii="Times New Roman" w:hAnsi="Times New Roman" w:cs="Times New Roman"/>
          <w:sz w:val="18"/>
          <w:szCs w:val="18"/>
        </w:rPr>
        <w:t xml:space="preserve"> States even in our two and a half years tenure. We could not visit Sikkim, Nagaland, Mizoram and Tripura. This is quite unfair to these States as we could not see for ourselves their special problems and hold discussions with the Ministers, higher officials and representatives of different sections of the society. Only three Chief Ministers came here with a few officials. But to the non-availability of the part-time Chairman and part-time Members the progress was very slow. As a result, the Commission had to seek extension of six months beyond June, 1989 for submission of its second report. Even then, we have not been able to discuss some important points in detail. </w:t>
      </w:r>
      <w:proofErr w:type="gramStart"/>
      <w:r w:rsidRPr="00EB7DB1">
        <w:rPr>
          <w:rFonts w:ascii="Times New Roman" w:hAnsi="Times New Roman" w:cs="Times New Roman"/>
          <w:sz w:val="18"/>
          <w:szCs w:val="18"/>
        </w:rPr>
        <w:t>Thus</w:t>
      </w:r>
      <w:proofErr w:type="gramEnd"/>
      <w:r w:rsidRPr="00EB7DB1">
        <w:rPr>
          <w:rFonts w:ascii="Times New Roman" w:hAnsi="Times New Roman" w:cs="Times New Roman"/>
          <w:sz w:val="18"/>
          <w:szCs w:val="18"/>
        </w:rPr>
        <w:t xml:space="preserve"> the work is not completed satisfactorily. Given the normal working </w:t>
      </w:r>
      <w:proofErr w:type="gramStart"/>
      <w:r w:rsidRPr="00EB7DB1">
        <w:rPr>
          <w:rFonts w:ascii="Times New Roman" w:hAnsi="Times New Roman" w:cs="Times New Roman"/>
          <w:sz w:val="18"/>
          <w:szCs w:val="18"/>
        </w:rPr>
        <w:t>conditions</w:t>
      </w:r>
      <w:proofErr w:type="gramEnd"/>
      <w:r w:rsidRPr="00EB7DB1">
        <w:rPr>
          <w:rFonts w:ascii="Times New Roman" w:hAnsi="Times New Roman" w:cs="Times New Roman"/>
          <w:sz w:val="18"/>
          <w:szCs w:val="18"/>
        </w:rPr>
        <w:t xml:space="preserve"> it could have at the minimum taken another two to three months to complete the work satisfactorily. Therefore, I am of the opinion that not only the Finance Commission should be permanent but also that the Chairman and all its </w:t>
      </w:r>
      <w:proofErr w:type="gramStart"/>
      <w:r w:rsidRPr="00EB7DB1">
        <w:rPr>
          <w:rFonts w:ascii="Times New Roman" w:hAnsi="Times New Roman" w:cs="Times New Roman"/>
          <w:sz w:val="18"/>
          <w:szCs w:val="18"/>
        </w:rPr>
        <w:t>Members</w:t>
      </w:r>
      <w:proofErr w:type="gramEnd"/>
      <w:r w:rsidRPr="00EB7DB1">
        <w:rPr>
          <w:rFonts w:ascii="Times New Roman" w:hAnsi="Times New Roman" w:cs="Times New Roman"/>
          <w:sz w:val="18"/>
          <w:szCs w:val="18"/>
        </w:rPr>
        <w:t xml:space="preserve"> should be on the whole-time and not on the part-time basis.</w:t>
      </w:r>
    </w:p>
    <w:p w14:paraId="6A7326AE" w14:textId="08B4152B"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lastRenderedPageBreak/>
        <w:t xml:space="preserve">The work of the Finance Commission is semi-judicial in nature. Hence it needs a great deal of objectivity and impartiality. To ensure that the Finance Commission performs its functions as required by the Constitution, it is necessary to appoint on it the persons who are truly independent, impartial and objective. To achieve this objective, a convention should be built not to appoint any active politician or a serving civil servant to the Commission. A further convention should be built to see that the Chairman of the Finance Commission has judicial background. Out of the remaining four Members also, if one of them has judicial background, it would further strengthen independence, impartiality and objectivity to a considerable extent. It is unfortunate that in the past, the Union Government has taken care to appoint to the Finance Commission some persons whom it regarded as favourable to it. Such appointments would reduce the credibility of the Finance Commission. The Finance Commission is a very important and useful institution for the Centre-State financial relations and for enforcing fiscal discipline on the Centre and the States. Therefore, care should be taken to preserve, nurture and strengthen it. It should not be interfered with, </w:t>
      </w:r>
      <w:proofErr w:type="spellStart"/>
      <w:r w:rsidRPr="00EB7DB1">
        <w:rPr>
          <w:rFonts w:ascii="Times New Roman" w:hAnsi="Times New Roman" w:cs="Times New Roman"/>
          <w:sz w:val="18"/>
          <w:szCs w:val="18"/>
        </w:rPr>
        <w:t>down graded</w:t>
      </w:r>
      <w:proofErr w:type="spellEnd"/>
      <w:r w:rsidRPr="00EB7DB1">
        <w:rPr>
          <w:rFonts w:ascii="Times New Roman" w:hAnsi="Times New Roman" w:cs="Times New Roman"/>
          <w:sz w:val="18"/>
          <w:szCs w:val="18"/>
        </w:rPr>
        <w:t xml:space="preserve"> and rendered ineffective. If the Centre has nothing to hide in its financial dealings with the States and if it wants to be fair and just to them, it should not be afraid of being judged by the truly impartial Finance Commission. Appointment of pliable-</w:t>
      </w:r>
      <w:proofErr w:type="spellStart"/>
      <w:r w:rsidRPr="00EB7DB1">
        <w:rPr>
          <w:rFonts w:ascii="Times New Roman" w:hAnsi="Times New Roman" w:cs="Times New Roman"/>
          <w:sz w:val="18"/>
          <w:szCs w:val="18"/>
        </w:rPr>
        <w:t>yesmen</w:t>
      </w:r>
      <w:proofErr w:type="spellEnd"/>
      <w:r w:rsidRPr="00EB7DB1">
        <w:rPr>
          <w:rFonts w:ascii="Times New Roman" w:hAnsi="Times New Roman" w:cs="Times New Roman"/>
          <w:sz w:val="18"/>
          <w:szCs w:val="18"/>
        </w:rPr>
        <w:t xml:space="preserve"> and favour-seekers to the Finance Commission may imply a guilty conscience. It is earnestly hoped that in future due care will be taken in the appointment of persons to the Finance Commission who are known to be truly independent, impartial, objective, fair and just.</w:t>
      </w:r>
    </w:p>
    <w:p w14:paraId="5E9FDE44" w14:textId="38BD29DA"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It is also necessary that healthy conventions should be built to have informal consultations between the Centre and the States on the composition of the Finance Commission and on the terms of reference under Article 280(1)(c). This is necessary because the recommendations of Finance Commission greatly affect the finances of the States. Therefore, the States should have full confidence in the Chairman and Members of the Finance Commission. The unilateral action of the Union Government in the selection of persons to be appointed to the Finance Commission and in deciding the terms of reference without consulting the States may lead to misunderstanding and suspicion amongst at least some of the States. This would create avoidable friction between the Centre and the aggrieved States. The informal consultations in this regard can be held in the National Development Council or some other forum.</w:t>
      </w:r>
    </w:p>
    <w:p w14:paraId="361EB69D" w14:textId="65D60479"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xml:space="preserve"> To perform its duties fully and effectively as required by the Constitution the Finance Commission should have a permanent Secretariat. It should be large and commensurate with the enormous task it has to undertake. In the past, the Finance Commissions had solely depended upon the data supplied by the Centre and the States regarding the estimated receipts and expenditures and the forecasts for future. Much of such data supplied by the Centre and the States is quite unreliable because the figures are deliberately inflated or deflated with ulterior motives. Such data is required to be cross-checked, enquired into and corrected to arrive at the true financial position. Besides this, some special studies also have to be undertaken by the Finance Commission. This Commission with its staff of nearly two hundred persons was unable to carry out certain studies, e.g., Taxable capacity and Tax Effort of States, Upgrading Municipal Services - Norms and Financial Implications, Indebtedness of Central and State Governments, etc. It had to entrust such studies to individuals and institutions. Even after spending several lakhs of rupees on such </w:t>
      </w:r>
      <w:proofErr w:type="gramStart"/>
      <w:r w:rsidRPr="00EB7DB1">
        <w:rPr>
          <w:rFonts w:ascii="Times New Roman" w:hAnsi="Times New Roman" w:cs="Times New Roman"/>
          <w:sz w:val="18"/>
          <w:szCs w:val="18"/>
        </w:rPr>
        <w:t>farmed out</w:t>
      </w:r>
      <w:proofErr w:type="gramEnd"/>
      <w:r w:rsidRPr="00EB7DB1">
        <w:rPr>
          <w:rFonts w:ascii="Times New Roman" w:hAnsi="Times New Roman" w:cs="Times New Roman"/>
          <w:sz w:val="18"/>
          <w:szCs w:val="18"/>
        </w:rPr>
        <w:t xml:space="preserve"> studies, the results were found not quite useful and most of these had to be discarded. The Commission should be able to carry out such work through its own Secretariat, if it is permanent and has qualified persons. The work of the Finance Commission will further increase because, henceforth it will go into plan grants and plan expenditure also which is lawfully within its jurisdiction but so far wrongly excluded from its jurisdiction. Moreover, it is also necessary that the Commission's Secretariat should monitor the implementations of the Commission's recommendations by the Centre and the States. The Commission should also from time to time point out to the Centre and the States the financial deviation if any and may suggest corrective measures to the erring party when it is found necessary to do so. To enforce financial discipline on the Centre and the States is not only a difficult and delicate task but also it requires constant vigil. Hence also a permanent Finance Commission with a permanent Secretariat is the sine qua non for fiscal discipline at the Centre and in the States. I am unable to agree with the majority recommendation regarding establishing the Finance Commission Division in the Finance Ministry to look after the Finance Commission's work during the interregnum between the two Finance Commissions, because it is wholly inconsistent with the Constitutional provisions.</w:t>
      </w:r>
    </w:p>
    <w:p w14:paraId="53506BB1" w14:textId="55E21F22"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xml:space="preserve">The future Finance Commissions should have a </w:t>
      </w:r>
      <w:proofErr w:type="gramStart"/>
      <w:r w:rsidRPr="00EB7DB1">
        <w:rPr>
          <w:rFonts w:ascii="Times New Roman" w:hAnsi="Times New Roman" w:cs="Times New Roman"/>
          <w:sz w:val="18"/>
          <w:szCs w:val="18"/>
        </w:rPr>
        <w:t>Chairman</w:t>
      </w:r>
      <w:proofErr w:type="gramEnd"/>
      <w:r w:rsidRPr="00EB7DB1">
        <w:rPr>
          <w:rFonts w:ascii="Times New Roman" w:hAnsi="Times New Roman" w:cs="Times New Roman"/>
          <w:sz w:val="18"/>
          <w:szCs w:val="18"/>
        </w:rPr>
        <w:t xml:space="preserve"> and four full-fledged Members. There should be no Member Secretary. </w:t>
      </w:r>
      <w:proofErr w:type="gramStart"/>
      <w:r w:rsidRPr="00EB7DB1">
        <w:rPr>
          <w:rFonts w:ascii="Times New Roman" w:hAnsi="Times New Roman" w:cs="Times New Roman"/>
          <w:sz w:val="18"/>
          <w:szCs w:val="18"/>
        </w:rPr>
        <w:t>Instead</w:t>
      </w:r>
      <w:proofErr w:type="gramEnd"/>
      <w:r w:rsidRPr="00EB7DB1">
        <w:rPr>
          <w:rFonts w:ascii="Times New Roman" w:hAnsi="Times New Roman" w:cs="Times New Roman"/>
          <w:sz w:val="18"/>
          <w:szCs w:val="18"/>
        </w:rPr>
        <w:t xml:space="preserve"> there should be a non-Member, Secretary to the Commission to look after secretarial work. The secretarial work is so heavy and time-consuming that the Member Secretary is not able to give his full and undivided attention to the Commission's work. Therefore, he should be either a </w:t>
      </w:r>
      <w:proofErr w:type="gramStart"/>
      <w:r w:rsidRPr="00EB7DB1">
        <w:rPr>
          <w:rFonts w:ascii="Times New Roman" w:hAnsi="Times New Roman" w:cs="Times New Roman"/>
          <w:sz w:val="18"/>
          <w:szCs w:val="18"/>
        </w:rPr>
        <w:t>Member</w:t>
      </w:r>
      <w:proofErr w:type="gramEnd"/>
      <w:r w:rsidRPr="00EB7DB1">
        <w:rPr>
          <w:rFonts w:ascii="Times New Roman" w:hAnsi="Times New Roman" w:cs="Times New Roman"/>
          <w:sz w:val="18"/>
          <w:szCs w:val="18"/>
        </w:rPr>
        <w:t xml:space="preserve"> or a Secretary but not, both at the same time. Moreover, the Commission's work is of semi-judicial nature. Hence, all its </w:t>
      </w:r>
      <w:proofErr w:type="gramStart"/>
      <w:r w:rsidRPr="00EB7DB1">
        <w:rPr>
          <w:rFonts w:ascii="Times New Roman" w:hAnsi="Times New Roman" w:cs="Times New Roman"/>
          <w:sz w:val="18"/>
          <w:szCs w:val="18"/>
        </w:rPr>
        <w:t>Members</w:t>
      </w:r>
      <w:proofErr w:type="gramEnd"/>
      <w:r w:rsidRPr="00EB7DB1">
        <w:rPr>
          <w:rFonts w:ascii="Times New Roman" w:hAnsi="Times New Roman" w:cs="Times New Roman"/>
          <w:sz w:val="18"/>
          <w:szCs w:val="18"/>
        </w:rPr>
        <w:t xml:space="preserve"> should be able to concentrate on the Commission's work only. This was the position in the Eighth Finance Commission which had a non-Member Secretary. Why this practice is departed from in this Commission is difficult to understand.</w:t>
      </w:r>
    </w:p>
    <w:p w14:paraId="4F404A27" w14:textId="5807C58A" w:rsidR="00F41328" w:rsidRPr="00EB7DB1" w:rsidRDefault="00F41328"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Finance Commission has been treated as an adjunct of the Finance Ministry and subservient to it. The Finance Commission has no independence in the matter of even the appointments of its staff or managing its own finances. The Finance Commission has to go to the Finance Ministry for every trivial thing. The Commission should have complete freedom in dealing with its administrative and financial matters. It should not be required to go to the Finance Ministry or any other Union Government Department to seek sanction or approval of anything. Such an arrangement would be conducive to bring independence, impartiality, objectivity and fair dealing in the discharge of the Commission's Constitutional obligations. The Finance Commission should be a completely independent institution more or less on the lines of the judiciary. The second point I would like to emphasise is the way in which the staff is recruited in the Commission's secretariat. Most of the staff taken is on deputation from the Finance Ministry, Planning Commission or other Union Government offices. The Member Secretary also is usually from the Finance Ministry or some other government establishment. In the interest of independence and objectivity in the working of the Finance Commission's Secretariat, I feel it would be appropriate that as much of the staff as possible should be taken through the direct recruitment. If some competent and qualified officers are available in the State Government departments, they could also be inducted in the Commission's secretariat. This may create a sense of involvement in the State Governments and win their confidence. Thirdly, I may emphasise that the maintenance of confidentiality of the deliberations of the Finance Commission is of utmost importance to avoid pressures on it from outside. I am sorry to say that till a few months ago the position in this regard was most unsatisfactory causing considerable embarrassment to the Commission.</w:t>
      </w:r>
    </w:p>
    <w:p w14:paraId="7435C7C8" w14:textId="4A5A3A78" w:rsidR="00366612" w:rsidRPr="00EB7DB1" w:rsidRDefault="00366612"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 xml:space="preserve">Although in the Constitution, the word used is 'recommendation', in reality, the Finance Commission's recommendations are not mere recommendations, which can be accepted wholly or partially. It is a decision by an independent, impartial and semi-judicial body which distributes divisible revenue between the Centre and the States and recommends grants-in-aid of revenues to the States. This is within the exclusive jurisdiction of the Finance Commission as laid down in the Constitution. It also creates a vested right in the States to receive the amounts recommended to be transferred. Hence, these recommendations are in the nature of 'award' of a tribunal or an impartial arbitrator. Hence, the recommendations of the Finance Commission must be accepted and implemented faithfully and in letter and spirit. Not doing so would amount to contravention of the Constitutional provisions. In theory, the President (in effect the Union Government) has power not to accept them or adopt the dilatory tactics to forward it to the Planning Commission with the remark "to bear it in mind" as it did with our First Report (for 1989-90). But the theoretical power to reject the Finance Commission's recommendations cannot be exercised without committing the breach of the Constitutional provisions. Moreover, no other body is empowered to recommend on the devolution of taxes and grants. Hence, the rejection of the recommendations of the Finance Commission would be tantamount to violation of letter and spirit of the Constitutional provisions. </w:t>
      </w:r>
      <w:proofErr w:type="gramStart"/>
      <w:r w:rsidRPr="00EB7DB1">
        <w:rPr>
          <w:rFonts w:ascii="Times New Roman" w:hAnsi="Times New Roman" w:cs="Times New Roman"/>
          <w:sz w:val="18"/>
          <w:szCs w:val="18"/>
        </w:rPr>
        <w:t>Indeed</w:t>
      </w:r>
      <w:proofErr w:type="gramEnd"/>
      <w:r w:rsidRPr="00EB7DB1">
        <w:rPr>
          <w:rFonts w:ascii="Times New Roman" w:hAnsi="Times New Roman" w:cs="Times New Roman"/>
          <w:sz w:val="18"/>
          <w:szCs w:val="18"/>
        </w:rPr>
        <w:t xml:space="preserve"> in the scheme of Chapter I of Part XII of the Constitution, the Finance </w:t>
      </w:r>
      <w:r w:rsidRPr="00EB7DB1">
        <w:rPr>
          <w:rFonts w:ascii="Times New Roman" w:hAnsi="Times New Roman" w:cs="Times New Roman"/>
          <w:sz w:val="18"/>
          <w:szCs w:val="18"/>
        </w:rPr>
        <w:lastRenderedPageBreak/>
        <w:t>Commission is virtually like the financial Supreme Court and its recommendations should be given effect to as an award and should be treated as final and non-justiciable.</w:t>
      </w:r>
    </w:p>
    <w:p w14:paraId="4E3E2CEE" w14:textId="490D3590" w:rsidR="00366612" w:rsidRPr="00EB7DB1" w:rsidRDefault="00366612" w:rsidP="00287E78">
      <w:pPr>
        <w:pStyle w:val="ListParagraph"/>
        <w:numPr>
          <w:ilvl w:val="1"/>
          <w:numId w:val="24"/>
        </w:numPr>
        <w:spacing w:before="40" w:after="0" w:line="200" w:lineRule="exact"/>
        <w:ind w:left="0" w:firstLine="284"/>
        <w:jc w:val="both"/>
        <w:rPr>
          <w:rFonts w:ascii="Times New Roman" w:hAnsi="Times New Roman" w:cs="Times New Roman"/>
          <w:sz w:val="18"/>
          <w:szCs w:val="18"/>
        </w:rPr>
      </w:pPr>
      <w:r w:rsidRPr="00EB7DB1">
        <w:rPr>
          <w:rFonts w:ascii="Times New Roman" w:hAnsi="Times New Roman" w:cs="Times New Roman"/>
          <w:sz w:val="18"/>
          <w:szCs w:val="18"/>
        </w:rPr>
        <w:t>For the above reasons, I would recommend to the President of India that –</w:t>
      </w:r>
    </w:p>
    <w:p w14:paraId="424E883E" w14:textId="445515AA"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jurisdiction, powers and authority of the finance Commission, as laid down in Chapter I of Part XII of the Constitution, should be restored, with immediate effect;</w:t>
      </w:r>
    </w:p>
    <w:p w14:paraId="59CD8DEF" w14:textId="3E9807DB"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A permanent Finance Commission should be appointed immediately, initially for a period of five years and may be reconstituted at the expiration of every fifth year or earlier, if for whatever reason, it ceases to exist before the expiry of its full tenure of five years;</w:t>
      </w:r>
    </w:p>
    <w:p w14:paraId="3DCAFABE" w14:textId="7EA74B1A"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Finance Commission should consist of a whole-time Chairman and four whole-time members;</w:t>
      </w:r>
    </w:p>
    <w:p w14:paraId="2F021A99" w14:textId="702EB755"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Chairman should be a retired judge of the Supreme Court or a High Court. A sitting judge may be appointed as Chairman only if he is willing to resign judgeship and take up the Finance Commission's Chairmanship on a whole-time basis. It is also desirable that one of the four members should have judicial background;</w:t>
      </w:r>
    </w:p>
    <w:p w14:paraId="7EC335AC" w14:textId="7FA796F4"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No active politician or a serving Civil servant be appointed to the Finance Commission;</w:t>
      </w:r>
    </w:p>
    <w:p w14:paraId="21EEFC60" w14:textId="04C18746"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Commission's report should be on the annual basis and on the realistic appraisal of the financial position of the Centre and each State;</w:t>
      </w:r>
    </w:p>
    <w:p w14:paraId="6854B023" w14:textId="3DE65DEB"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Finance Commission should have a permanent Secretariat with adequate staff commensurate with its constitutional obligations and other functions which the Commission may be required to perform under Article 280(1)(c) and for monitoring the implementation of its recommendations and also for enforcing financial discipline on the Centre and the States;</w:t>
      </w:r>
    </w:p>
    <w:p w14:paraId="13F61093" w14:textId="4F32B5D0"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Finance Commission should be totally independent of the Union government, especially the Finance Ministry. The Finance Commission should have complete control of its own finances and to appoint its staff. It should not be under the control of the Finance Ministry or any other ministry for anything whatsoever;</w:t>
      </w:r>
    </w:p>
    <w:p w14:paraId="61E6936B" w14:textId="0EF51380"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The Finance Commission's recommendations should be made binding on the Centre and the States and should be implemented in the letter and spirit. The recommendations should be treated like an award and should be made final and non-justiciable;</w:t>
      </w:r>
    </w:p>
    <w:p w14:paraId="65B25CAA" w14:textId="102EE5B6" w:rsidR="00366612" w:rsidRPr="00947732" w:rsidRDefault="00366612" w:rsidP="00287E78">
      <w:pPr>
        <w:pStyle w:val="ListParagraph"/>
        <w:numPr>
          <w:ilvl w:val="0"/>
          <w:numId w:val="45"/>
        </w:numPr>
        <w:spacing w:before="40" w:after="0" w:line="200" w:lineRule="exact"/>
        <w:jc w:val="both"/>
        <w:rPr>
          <w:rFonts w:ascii="Times New Roman" w:hAnsi="Times New Roman" w:cs="Times New Roman"/>
          <w:sz w:val="18"/>
          <w:szCs w:val="18"/>
        </w:rPr>
      </w:pPr>
      <w:r w:rsidRPr="00947732">
        <w:rPr>
          <w:rFonts w:ascii="Times New Roman" w:hAnsi="Times New Roman" w:cs="Times New Roman"/>
          <w:sz w:val="18"/>
          <w:szCs w:val="18"/>
        </w:rPr>
        <w:t>To achieve the aforesaid objectives, if necessary, the relevant provisions of the Constitution and of the Finance Commission (Miscellaneous Provisions) Act, 1951, may be suitably amended.</w:t>
      </w:r>
    </w:p>
    <w:p w14:paraId="0699DC13" w14:textId="77777777" w:rsidR="00366612" w:rsidRPr="00EB7DB1" w:rsidRDefault="00366612" w:rsidP="00287E78">
      <w:pPr>
        <w:spacing w:before="40" w:after="0" w:line="200" w:lineRule="exact"/>
        <w:contextualSpacing/>
        <w:jc w:val="center"/>
        <w:rPr>
          <w:rFonts w:ascii="Times New Roman" w:hAnsi="Times New Roman" w:cs="Times New Roman"/>
          <w:sz w:val="18"/>
          <w:szCs w:val="18"/>
        </w:rPr>
      </w:pPr>
      <w:r w:rsidRPr="00EB7DB1">
        <w:rPr>
          <w:rFonts w:ascii="Times New Roman" w:hAnsi="Times New Roman" w:cs="Times New Roman"/>
          <w:b/>
          <w:bCs/>
          <w:sz w:val="18"/>
          <w:szCs w:val="18"/>
        </w:rPr>
        <w:t>2. GRANTS-IN-AID WITH SPECIAL REFERENCE TO ARTICLE 275 AND ARTICLE 282</w:t>
      </w:r>
    </w:p>
    <w:p w14:paraId="0813556A" w14:textId="68C077E2" w:rsidR="00F47786" w:rsidRPr="00EB7DB1" w:rsidRDefault="00366612"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2.1</w:t>
      </w:r>
      <w:r w:rsidRPr="00EB7DB1">
        <w:rPr>
          <w:rFonts w:ascii="Times New Roman" w:hAnsi="Times New Roman" w:cs="Times New Roman"/>
          <w:sz w:val="18"/>
          <w:szCs w:val="18"/>
        </w:rPr>
        <w:t> The scheme of Chapter 1 of Part XII of the Constitution is that all regular fiscal transfers from the Centre to the States by way of grants are covered under Article 275. There is no distinction made between the plan and non-plan receipts and expenditures, while making the assessment of the needs of the States. Nor does Article 275 make any distinction on the capital and revenue accounts. The Finance Commission alone has the jurisdiction, powers and authority to make regular transfers from the Centre to the States under Articles 275. The said scheme envisages that the Finance Commission appointed under Article 280 would be an independent, impartial, objective and semi-judicial body to adjudicate and arbitrate between the Centre and the States in the matter of fiscal transfers, on the principles of equity, justice and fair dealing. By misinterpreting the provisions of Articles 275 and 280, the Centre has, in the past, curtailed the Finance Commissions' jurisdiction, powers and authority, by making regular discretionary grants to the States for their plan and non-plan expenditures.</w:t>
      </w:r>
    </w:p>
    <w:p w14:paraId="27AC1F75" w14:textId="5CDE7BA4" w:rsidR="00366612" w:rsidRPr="00EB7DB1" w:rsidRDefault="00366612"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2.2</w:t>
      </w:r>
      <w:r w:rsidRPr="00EB7DB1">
        <w:rPr>
          <w:rFonts w:ascii="Times New Roman" w:hAnsi="Times New Roman" w:cs="Times New Roman"/>
          <w:sz w:val="18"/>
          <w:szCs w:val="18"/>
        </w:rPr>
        <w:t> The plan grants and expenditures were in the past expressly excluded from the purview of the Finance Commissions by their terms of reference. In total contravention of the Constitu</w:t>
      </w:r>
      <w:r w:rsidR="005242D4">
        <w:rPr>
          <w:rFonts w:ascii="Times New Roman" w:hAnsi="Times New Roman" w:cs="Times New Roman"/>
          <w:sz w:val="18"/>
          <w:szCs w:val="18"/>
        </w:rPr>
        <w:t>t</w:t>
      </w:r>
      <w:r w:rsidRPr="00EB7DB1">
        <w:rPr>
          <w:rFonts w:ascii="Times New Roman" w:hAnsi="Times New Roman" w:cs="Times New Roman"/>
          <w:sz w:val="18"/>
          <w:szCs w:val="18"/>
        </w:rPr>
        <w:t>ional provisions the plan grants were given to the States by the Union Government through the Planning Commission, which is an extra-Constitutional body. The Planning Commission not only gave plan grants but also gave even the grants-in-aid of the revenues of the States to fill the budgetary gaps, on the ground that there was no Finance Commission in existence at that time. This is gross violation of the Constitutional provisions and amounts to the subversion of an important Constitutional body like the Finance Commission.</w:t>
      </w:r>
    </w:p>
    <w:p w14:paraId="6D300218" w14:textId="7A85B6D2" w:rsidR="00366612" w:rsidRPr="00EB7DB1" w:rsidRDefault="00366612"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2.3</w:t>
      </w:r>
      <w:r w:rsidRPr="00EB7DB1">
        <w:rPr>
          <w:rFonts w:ascii="Times New Roman" w:hAnsi="Times New Roman" w:cs="Times New Roman"/>
          <w:sz w:val="18"/>
          <w:szCs w:val="18"/>
        </w:rPr>
        <w:t xml:space="preserve"> The Centre has not expressly stated under what provisions of the Constitution does it give the discretionary plan grants to the States. </w:t>
      </w:r>
      <w:proofErr w:type="gramStart"/>
      <w:r w:rsidRPr="00EB7DB1">
        <w:rPr>
          <w:rFonts w:ascii="Times New Roman" w:hAnsi="Times New Roman" w:cs="Times New Roman"/>
          <w:sz w:val="18"/>
          <w:szCs w:val="18"/>
        </w:rPr>
        <w:t>But,</w:t>
      </w:r>
      <w:proofErr w:type="gramEnd"/>
      <w:r w:rsidRPr="00EB7DB1">
        <w:rPr>
          <w:rFonts w:ascii="Times New Roman" w:hAnsi="Times New Roman" w:cs="Times New Roman"/>
          <w:sz w:val="18"/>
          <w:szCs w:val="18"/>
        </w:rPr>
        <w:t xml:space="preserve"> it can be safely assumed that it must be under Article 282 because there is no other provision in the Constitution which confers power on the Centre to make discretionary grants to the States. Although apparently the language of Article 282 appears to be wide enough to cover all grants so long as they are for public purpose. But the apparent width of power has to be understood in its context. The power under Article 282 cannot be construed to mean that the Centre can give grants to States on a regular basis. The regular grants from the Centre to the States can be given only under Article 275 and only through the Finance Commission recommendations. If the power under Article 282 is interpreted to mean that it is an alternative channel of regular transfers from the Centre to the States it would disrupt the delicate and judicious fiscal equilibrium which the Finance Commission is expected to bring about through the regular channel under Article 275. The Constitution makers could not have intended to bring about such a disruption. If Article 282 was intended to be a second channel for regular transfers from the Centre to the States that Article would have been grouped together with Articles 268 to 281 under the heading, "Distribution of Revenues between the Union and the States". The fact that Article 282 is separated from those Articles and put under a separate heading, "Miscellaneous Financial Provisions" shows that it is not intended to be used as a second channel of transfers from the Centre to the States. Moreover, the marginal note on Article 282 is: "Expenditure defrayable by the Union or a State out of its revenues" clearly indicates that it is an expenditure to be met by the Union or a State to meet a particular situation provided that it is for a public purpose. Article 282 permits the Centre and the States to incur expenditure even on subjects which are not within the legislative competence of the Centre or the States as the case may be. Under Article 73, the Union's executive power to give grants extends to the matters with respect</w:t>
      </w:r>
      <w:r w:rsidR="00813F18" w:rsidRPr="00EB7DB1">
        <w:rPr>
          <w:rFonts w:ascii="Times New Roman" w:hAnsi="Times New Roman" w:cs="Times New Roman"/>
          <w:sz w:val="18"/>
          <w:szCs w:val="18"/>
        </w:rPr>
        <w:t xml:space="preserve"> </w:t>
      </w:r>
      <w:r w:rsidRPr="00EB7DB1">
        <w:rPr>
          <w:rFonts w:ascii="Times New Roman" w:hAnsi="Times New Roman" w:cs="Times New Roman"/>
          <w:sz w:val="18"/>
          <w:szCs w:val="18"/>
        </w:rPr>
        <w:t>to which the Parliament has the power to make laws. This is an embargo on the Centre's power to give dis</w:t>
      </w:r>
      <w:r w:rsidR="005242D4">
        <w:rPr>
          <w:rFonts w:ascii="Times New Roman" w:hAnsi="Times New Roman" w:cs="Times New Roman"/>
          <w:sz w:val="18"/>
          <w:szCs w:val="18"/>
        </w:rPr>
        <w:t>c</w:t>
      </w:r>
      <w:r w:rsidRPr="00EB7DB1">
        <w:rPr>
          <w:rFonts w:ascii="Times New Roman" w:hAnsi="Times New Roman" w:cs="Times New Roman"/>
          <w:sz w:val="18"/>
          <w:szCs w:val="18"/>
        </w:rPr>
        <w:t>retionary grants to the States. This embargo is lifted by the non-</w:t>
      </w:r>
      <w:proofErr w:type="spellStart"/>
      <w:r w:rsidRPr="00EB7DB1">
        <w:rPr>
          <w:rFonts w:ascii="Times New Roman" w:hAnsi="Times New Roman" w:cs="Times New Roman"/>
          <w:sz w:val="18"/>
          <w:szCs w:val="18"/>
        </w:rPr>
        <w:t>obstant</w:t>
      </w:r>
      <w:proofErr w:type="spellEnd"/>
      <w:r w:rsidRPr="00EB7DB1">
        <w:rPr>
          <w:rFonts w:ascii="Times New Roman" w:hAnsi="Times New Roman" w:cs="Times New Roman"/>
          <w:sz w:val="18"/>
          <w:szCs w:val="18"/>
        </w:rPr>
        <w:t xml:space="preserve"> clause in Article 282 whereby the Centre can give discretionary grants to the States even when it has no legislative power on the subject. The lifting of the embargo clearly suggests that the power to give grants under Article 282 is an "emergency power" to be used in exceptional circumstances only. This is so for another reason also namely, the power under Article 282 can also be exercised by any State to give grants to the Centre or to another State which must necessarily be in emergency or exceptional circumstances. Moreover, Article 282 does not lay down as to whom such grants can be given. The only condition in the Article is that it must be for a 'public purpose'. It means that so long as the purpose is public and not private, it can be given even to voluntary organisations or institutions irrespective of whether they are controlled by the Centre or any States. It must also be remembered that any expansion of the scope of Article 282 would necessarily result in the corresponding abridgement of the scope of Article 275, which could not have been intended by the Constitution makers.</w:t>
      </w:r>
    </w:p>
    <w:p w14:paraId="68FADF17" w14:textId="77777777" w:rsidR="009C544B" w:rsidRPr="00EB7DB1" w:rsidRDefault="009C544B"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2.4</w:t>
      </w:r>
      <w:r w:rsidRPr="00EB7DB1">
        <w:rPr>
          <w:rFonts w:ascii="Times New Roman" w:hAnsi="Times New Roman" w:cs="Times New Roman"/>
          <w:sz w:val="18"/>
          <w:szCs w:val="18"/>
        </w:rPr>
        <w:t xml:space="preserve"> Article 282 is virtually a reproduction of a similar provision contained in Section 150 (2) of the Government of India Act, 1935. In that Act also this provision was meant for granting special assistance by the federal government to the provincial governments in emergency conditions or to meet exceptional situations. That power was not used until 1943. In 1943-44 during the unprecedented Bengal famine, it was used for the first time. After some years, it was again used for post-war reconstruction, relief and rehabilitation, etc. All these were undoubtedly emergencies and the grants were given to meet exceptional circumstances. The non-user of the power for several years clearly shows that it was to be used in really exceptional circumstances. Secondly, that section was also put under the heading, "Miscellaneous </w:t>
      </w:r>
      <w:r w:rsidRPr="00EB7DB1">
        <w:rPr>
          <w:rFonts w:ascii="Times New Roman" w:hAnsi="Times New Roman" w:cs="Times New Roman"/>
          <w:sz w:val="18"/>
          <w:szCs w:val="18"/>
        </w:rPr>
        <w:lastRenderedPageBreak/>
        <w:t>Financial Provisions". In Article 282 the retention of the heading "Miscellaneous Financial Provisions" and the marginal note, "Expenditure defrayable by the Union or a State out of its revenues" and separating it from the other Articles dealing with the regular transfers, cumulatively suggest that the Article 282 was not intended by the Constitution makers to be a regular channel of transfer from the Centre to the States as done in the past. The heading and the marginal note of Article 282 cannot be treated as relics of the past and ignored as suggested by the eminent jurist, Shri M.C. Setalvad in his report of the Study Team of the Administrative Reforms Commission on Centre-State Relationships. The framers of the Constitution had retained them after giving proper thought.</w:t>
      </w:r>
    </w:p>
    <w:p w14:paraId="7B4D67C5" w14:textId="77777777" w:rsidR="009C544B" w:rsidRPr="00EB7DB1" w:rsidRDefault="009C544B"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2.5</w:t>
      </w:r>
      <w:r w:rsidRPr="00EB7DB1">
        <w:rPr>
          <w:rFonts w:ascii="Times New Roman" w:hAnsi="Times New Roman" w:cs="Times New Roman"/>
          <w:sz w:val="18"/>
          <w:szCs w:val="18"/>
        </w:rPr>
        <w:t> While enacting Article 275 and Article 282 the framers of the Constitution must have considered the practical aspect also. They must have realised that in the matter of giving regular grants from the Centre to the States it is desirable that these should be given on the basis of justice, equity and fair-dealing and not on the ground of political compulsions or demands of expediency. They must have also felt that if the power to make discretionary grants is to be exercisable by the Union Government there is a possibility of such power being exercised arbitrarily and on extraneous considerations or on questionable grounds. Apart from such a possibility, some States may feel that they have been discriminated against and that some other States have benefitted at their cost. Hence it is reasonable to assume that the founding fathers had on the practical grounds also intended that all the regular grants should be covered under Article 275 and given by the Finance Commission rather than those be covered under Article 282 and given to the States by the Union Government.</w:t>
      </w:r>
    </w:p>
    <w:p w14:paraId="6392D86A" w14:textId="79B6FC30" w:rsidR="009C544B" w:rsidRPr="00EB7DB1" w:rsidRDefault="009C544B"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2.6</w:t>
      </w:r>
      <w:r w:rsidRPr="00EB7DB1">
        <w:rPr>
          <w:rFonts w:ascii="Times New Roman" w:hAnsi="Times New Roman" w:cs="Times New Roman"/>
          <w:sz w:val="18"/>
          <w:szCs w:val="18"/>
        </w:rPr>
        <w:t xml:space="preserve"> In the majority recommendation on this point, there is a quotation from the eminent jurist, Shri N.A. </w:t>
      </w:r>
      <w:proofErr w:type="spellStart"/>
      <w:r w:rsidRPr="00EB7DB1">
        <w:rPr>
          <w:rFonts w:ascii="Times New Roman" w:hAnsi="Times New Roman" w:cs="Times New Roman"/>
          <w:sz w:val="18"/>
          <w:szCs w:val="18"/>
        </w:rPr>
        <w:t>Palkhivala</w:t>
      </w:r>
      <w:proofErr w:type="spellEnd"/>
      <w:r w:rsidRPr="00EB7DB1">
        <w:rPr>
          <w:rFonts w:ascii="Times New Roman" w:hAnsi="Times New Roman" w:cs="Times New Roman"/>
          <w:sz w:val="18"/>
          <w:szCs w:val="18"/>
        </w:rPr>
        <w:t xml:space="preserve"> to the effect that the power under Article 282 is a 'residuary' power. Taken out of context the quotation may create a wrong impression that the power is 'residuary' in the sense that over and above the grants under Article 275 there is 'residuary' power under Article 282 also give such grants. This is not true. Shri </w:t>
      </w:r>
      <w:proofErr w:type="spellStart"/>
      <w:r w:rsidRPr="00EB7DB1">
        <w:rPr>
          <w:rFonts w:ascii="Times New Roman" w:hAnsi="Times New Roman" w:cs="Times New Roman"/>
          <w:sz w:val="18"/>
          <w:szCs w:val="18"/>
        </w:rPr>
        <w:t>Palkhivala</w:t>
      </w:r>
      <w:proofErr w:type="spellEnd"/>
      <w:r w:rsidRPr="00EB7DB1">
        <w:rPr>
          <w:rFonts w:ascii="Times New Roman" w:hAnsi="Times New Roman" w:cs="Times New Roman"/>
          <w:sz w:val="18"/>
          <w:szCs w:val="18"/>
        </w:rPr>
        <w:t xml:space="preserve"> has </w:t>
      </w:r>
      <w:r w:rsidR="005242D4">
        <w:rPr>
          <w:rFonts w:ascii="Times New Roman" w:hAnsi="Times New Roman" w:cs="Times New Roman"/>
          <w:sz w:val="18"/>
          <w:szCs w:val="18"/>
        </w:rPr>
        <w:t>cate</w:t>
      </w:r>
      <w:r w:rsidRPr="00EB7DB1">
        <w:rPr>
          <w:rFonts w:ascii="Times New Roman" w:hAnsi="Times New Roman" w:cs="Times New Roman"/>
          <w:sz w:val="18"/>
          <w:szCs w:val="18"/>
        </w:rPr>
        <w:t>gorically opined that regular grants from the Centre to the States do not come under Article 282. He has also stated in his written opinion that the regular grants for plan and non-plan expenditures on capital as well as revenue accounts can come only under Article 275 and it is within the jurisdiction of the Finance Commission only.</w:t>
      </w:r>
    </w:p>
    <w:p w14:paraId="1385516C" w14:textId="77777777" w:rsidR="009C544B" w:rsidRPr="00EB7DB1" w:rsidRDefault="009C544B" w:rsidP="00287E78">
      <w:pPr>
        <w:spacing w:before="40" w:after="0" w:line="200" w:lineRule="exact"/>
        <w:ind w:firstLine="284"/>
        <w:contextualSpacing/>
        <w:jc w:val="both"/>
        <w:rPr>
          <w:rFonts w:ascii="Times New Roman" w:hAnsi="Times New Roman" w:cs="Times New Roman"/>
          <w:sz w:val="18"/>
          <w:szCs w:val="18"/>
        </w:rPr>
      </w:pPr>
      <w:r w:rsidRPr="00EB7DB1">
        <w:rPr>
          <w:rFonts w:ascii="Times New Roman" w:hAnsi="Times New Roman" w:cs="Times New Roman"/>
          <w:b/>
          <w:bCs/>
          <w:sz w:val="18"/>
          <w:szCs w:val="18"/>
        </w:rPr>
        <w:t>2.7</w:t>
      </w:r>
      <w:r w:rsidRPr="00EB7DB1">
        <w:rPr>
          <w:rFonts w:ascii="Times New Roman" w:hAnsi="Times New Roman" w:cs="Times New Roman"/>
          <w:sz w:val="18"/>
          <w:szCs w:val="18"/>
        </w:rPr>
        <w:t xml:space="preserve"> In the Commission's meeting a suggestion was made by a </w:t>
      </w:r>
      <w:proofErr w:type="gramStart"/>
      <w:r w:rsidRPr="00EB7DB1">
        <w:rPr>
          <w:rFonts w:ascii="Times New Roman" w:hAnsi="Times New Roman" w:cs="Times New Roman"/>
          <w:sz w:val="18"/>
          <w:szCs w:val="18"/>
        </w:rPr>
        <w:t>Member</w:t>
      </w:r>
      <w:proofErr w:type="gramEnd"/>
      <w:r w:rsidRPr="00EB7DB1">
        <w:rPr>
          <w:rFonts w:ascii="Times New Roman" w:hAnsi="Times New Roman" w:cs="Times New Roman"/>
          <w:sz w:val="18"/>
          <w:szCs w:val="18"/>
        </w:rPr>
        <w:t xml:space="preserve"> that the discretionary plan grants given by the Centre to the States through the Planning Commission do not fall either under Article 275 or under Article 282. It was further stated that the Union Government has power under Articles 112 to 114 to appropriate funds for its own expenditure, a part of which it can use for giving discretionary grants to the States. In my opinion this view is not correct. The sums appropriated by the Union Government for its own expenditure cannot be transferred to the States as discretionary grants because it would run counter to the jurisdiction, powers and authority of the Finance Commission to give grants-in-aid under Article 275 and would upset the fiscal balance brought about by the Finance Commission on the principles of justice, equity and fair play. The discretionary grants could be arbitrary, unfair and unjust, favouring some States at the cost of others. The discretionary grants by the Centre for plan or non-plan expenditure, either on capital account or revenue account under Article 282 or Articles 112 to 114 or under any other provision of the Constitution would disrupt the whole scheme of Chapter I of Part XII of the Constitution. It is incumbent on all concerned that the provision of the Constitution should be read in a harmonious manner because the Constitution is an organic document and therefore, its different parts must be understood, interpreted and acted upon so as to bring about harmony, and no disruption.</w:t>
      </w:r>
    </w:p>
    <w:p w14:paraId="7C9159D2" w14:textId="1165BDA3" w:rsidR="009C544B" w:rsidRPr="00121AF5" w:rsidRDefault="009C544B" w:rsidP="00287E78">
      <w:pPr>
        <w:spacing w:before="40" w:after="0" w:line="200" w:lineRule="exact"/>
        <w:ind w:firstLine="284"/>
        <w:contextualSpacing/>
        <w:jc w:val="both"/>
        <w:rPr>
          <w:rFonts w:ascii="Times New Roman" w:hAnsi="Times New Roman" w:cs="Times New Roman"/>
          <w:sz w:val="14"/>
          <w:szCs w:val="14"/>
        </w:rPr>
      </w:pPr>
      <w:r w:rsidRPr="00EB7DB1">
        <w:rPr>
          <w:rFonts w:ascii="Times New Roman" w:hAnsi="Times New Roman" w:cs="Times New Roman"/>
          <w:b/>
          <w:bCs/>
          <w:sz w:val="18"/>
          <w:szCs w:val="18"/>
        </w:rPr>
        <w:t>2.8</w:t>
      </w:r>
      <w:r w:rsidRPr="00EB7DB1">
        <w:rPr>
          <w:rFonts w:ascii="Times New Roman" w:hAnsi="Times New Roman" w:cs="Times New Roman"/>
          <w:sz w:val="18"/>
          <w:szCs w:val="18"/>
        </w:rPr>
        <w:t> The Union Government has consistently misconstrued and misused the emergency power under Article 282 almost since the Constitution came into force. Consequently, larger and larger unauthorised and unconstitutional transfers have been made to the States and in the process curtailed the jurisdiction, powers and authority of the Finance Commission to give to the States the grants under Article 275. The following table illustrates th</w:t>
      </w:r>
      <w:r w:rsidR="00813F18" w:rsidRPr="00EB7DB1">
        <w:rPr>
          <w:rFonts w:ascii="Times New Roman" w:hAnsi="Times New Roman" w:cs="Times New Roman"/>
          <w:sz w:val="18"/>
          <w:szCs w:val="18"/>
        </w:rPr>
        <w:t>is</w:t>
      </w:r>
      <w:r w:rsidRPr="00EB7DB1">
        <w:rPr>
          <w:rFonts w:ascii="Times New Roman" w:hAnsi="Times New Roman" w:cs="Times New Roman"/>
          <w:sz w:val="18"/>
          <w:szCs w:val="18"/>
        </w:rPr>
        <w:t xml:space="preserve"> fact:</w:t>
      </w:r>
    </w:p>
    <w:p w14:paraId="4825A411" w14:textId="77777777" w:rsidR="00121AF5" w:rsidRDefault="009C544B" w:rsidP="00121AF5">
      <w:pPr>
        <w:spacing w:after="0" w:line="240" w:lineRule="auto"/>
        <w:jc w:val="center"/>
        <w:rPr>
          <w:rFonts w:ascii="Times New Roman" w:hAnsi="Times New Roman" w:cs="Times New Roman"/>
          <w:sz w:val="20"/>
          <w:szCs w:val="20"/>
        </w:rPr>
      </w:pPr>
      <w:r w:rsidRPr="00121AF5">
        <w:rPr>
          <w:rFonts w:ascii="Times New Roman" w:hAnsi="Times New Roman" w:cs="Times New Roman"/>
          <w:b/>
          <w:bCs/>
          <w:sz w:val="20"/>
          <w:szCs w:val="20"/>
        </w:rPr>
        <w:t>Grants from the Centre to the States</w:t>
      </w:r>
    </w:p>
    <w:p w14:paraId="6F2FD954" w14:textId="5252A8E1" w:rsidR="009C544B" w:rsidRPr="00121AF5" w:rsidRDefault="009C544B" w:rsidP="00947732">
      <w:pPr>
        <w:spacing w:after="0" w:line="240" w:lineRule="auto"/>
        <w:ind w:left="7920" w:firstLine="720"/>
        <w:rPr>
          <w:rFonts w:ascii="Times New Roman" w:hAnsi="Times New Roman" w:cs="Times New Roman"/>
          <w:sz w:val="20"/>
          <w:szCs w:val="20"/>
        </w:rPr>
      </w:pPr>
      <w:r w:rsidRPr="00445823">
        <w:rPr>
          <w:rFonts w:ascii="Times New Roman" w:hAnsi="Times New Roman" w:cs="Times New Roman"/>
          <w:i/>
          <w:iCs/>
          <w:sz w:val="18"/>
          <w:szCs w:val="18"/>
        </w:rPr>
        <w:t>(Rs. crore)</w:t>
      </w:r>
    </w:p>
    <w:tbl>
      <w:tblPr>
        <w:tblStyle w:val="TableGrid"/>
        <w:tblW w:w="0" w:type="auto"/>
        <w:jc w:val="center"/>
        <w:tblLook w:val="04A0" w:firstRow="1" w:lastRow="0" w:firstColumn="1" w:lastColumn="0" w:noHBand="0" w:noVBand="1"/>
      </w:tblPr>
      <w:tblGrid>
        <w:gridCol w:w="2340"/>
        <w:gridCol w:w="1483"/>
        <w:gridCol w:w="1275"/>
        <w:gridCol w:w="993"/>
        <w:gridCol w:w="1275"/>
        <w:gridCol w:w="1276"/>
      </w:tblGrid>
      <w:tr w:rsidR="00947732" w:rsidRPr="00445823" w14:paraId="3D6DA7A7" w14:textId="77777777" w:rsidTr="00947732">
        <w:trPr>
          <w:trHeight w:val="20"/>
          <w:jc w:val="center"/>
        </w:trPr>
        <w:tc>
          <w:tcPr>
            <w:tcW w:w="2340" w:type="dxa"/>
            <w:vAlign w:val="center"/>
            <w:hideMark/>
          </w:tcPr>
          <w:p w14:paraId="19B15817" w14:textId="77777777"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Period</w:t>
            </w:r>
          </w:p>
        </w:tc>
        <w:tc>
          <w:tcPr>
            <w:tcW w:w="2758" w:type="dxa"/>
            <w:gridSpan w:val="2"/>
            <w:vAlign w:val="center"/>
            <w:hideMark/>
          </w:tcPr>
          <w:p w14:paraId="18E378DD" w14:textId="31C97FF5"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Grants under Art. 275(I)</w:t>
            </w:r>
          </w:p>
        </w:tc>
        <w:tc>
          <w:tcPr>
            <w:tcW w:w="2268" w:type="dxa"/>
            <w:gridSpan w:val="2"/>
            <w:vAlign w:val="center"/>
            <w:hideMark/>
          </w:tcPr>
          <w:p w14:paraId="4A342D71" w14:textId="1B89DB9A"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Other Grants</w:t>
            </w:r>
          </w:p>
        </w:tc>
        <w:tc>
          <w:tcPr>
            <w:tcW w:w="1276" w:type="dxa"/>
            <w:vMerge w:val="restart"/>
            <w:vAlign w:val="center"/>
            <w:hideMark/>
          </w:tcPr>
          <w:p w14:paraId="4EC02C3B" w14:textId="77777777"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Total Grants</w:t>
            </w:r>
          </w:p>
        </w:tc>
      </w:tr>
      <w:tr w:rsidR="00947732" w:rsidRPr="00445823" w14:paraId="17D054EB" w14:textId="77777777" w:rsidTr="00947732">
        <w:trPr>
          <w:trHeight w:val="20"/>
          <w:jc w:val="center"/>
        </w:trPr>
        <w:tc>
          <w:tcPr>
            <w:tcW w:w="2340" w:type="dxa"/>
            <w:vAlign w:val="center"/>
            <w:hideMark/>
          </w:tcPr>
          <w:p w14:paraId="32C591CD" w14:textId="77777777" w:rsidR="00947732" w:rsidRPr="00445823" w:rsidRDefault="00947732" w:rsidP="00445823">
            <w:pPr>
              <w:pStyle w:val="NoSpacing"/>
              <w:jc w:val="center"/>
              <w:rPr>
                <w:rFonts w:ascii="Times New Roman" w:hAnsi="Times New Roman" w:cs="Times New Roman"/>
                <w:b/>
                <w:bCs/>
                <w:sz w:val="18"/>
                <w:szCs w:val="16"/>
              </w:rPr>
            </w:pPr>
          </w:p>
        </w:tc>
        <w:tc>
          <w:tcPr>
            <w:tcW w:w="1483" w:type="dxa"/>
            <w:vAlign w:val="center"/>
            <w:hideMark/>
          </w:tcPr>
          <w:p w14:paraId="60774109" w14:textId="77777777"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Amount</w:t>
            </w:r>
          </w:p>
        </w:tc>
        <w:tc>
          <w:tcPr>
            <w:tcW w:w="1275" w:type="dxa"/>
            <w:vAlign w:val="center"/>
            <w:hideMark/>
          </w:tcPr>
          <w:p w14:paraId="5A06CEC2" w14:textId="77777777"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Per cent to Total Grants</w:t>
            </w:r>
          </w:p>
        </w:tc>
        <w:tc>
          <w:tcPr>
            <w:tcW w:w="993" w:type="dxa"/>
            <w:vAlign w:val="center"/>
            <w:hideMark/>
          </w:tcPr>
          <w:p w14:paraId="5236D62C" w14:textId="77777777"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Amount</w:t>
            </w:r>
          </w:p>
        </w:tc>
        <w:tc>
          <w:tcPr>
            <w:tcW w:w="1275" w:type="dxa"/>
            <w:vAlign w:val="center"/>
            <w:hideMark/>
          </w:tcPr>
          <w:p w14:paraId="1CC32CD4" w14:textId="77777777" w:rsidR="00947732" w:rsidRPr="00445823" w:rsidRDefault="00947732"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Per cent to Total Grants</w:t>
            </w:r>
          </w:p>
        </w:tc>
        <w:tc>
          <w:tcPr>
            <w:tcW w:w="1276" w:type="dxa"/>
            <w:vMerge/>
            <w:vAlign w:val="center"/>
            <w:hideMark/>
          </w:tcPr>
          <w:p w14:paraId="069B8880" w14:textId="77777777" w:rsidR="00947732" w:rsidRPr="00445823" w:rsidRDefault="00947732" w:rsidP="00445823">
            <w:pPr>
              <w:pStyle w:val="NoSpacing"/>
              <w:jc w:val="center"/>
              <w:rPr>
                <w:rFonts w:ascii="Times New Roman" w:hAnsi="Times New Roman" w:cs="Times New Roman"/>
                <w:b/>
                <w:bCs/>
                <w:sz w:val="18"/>
                <w:szCs w:val="16"/>
              </w:rPr>
            </w:pPr>
          </w:p>
        </w:tc>
      </w:tr>
      <w:tr w:rsidR="009C544B" w:rsidRPr="00445823" w14:paraId="6ACB03C2" w14:textId="77777777" w:rsidTr="00947732">
        <w:trPr>
          <w:trHeight w:val="20"/>
          <w:jc w:val="center"/>
        </w:trPr>
        <w:tc>
          <w:tcPr>
            <w:tcW w:w="2340" w:type="dxa"/>
            <w:vAlign w:val="center"/>
            <w:hideMark/>
          </w:tcPr>
          <w:p w14:paraId="2E567A9D" w14:textId="77777777" w:rsidR="009C544B" w:rsidRPr="00947732" w:rsidRDefault="009C544B" w:rsidP="00947732">
            <w:pPr>
              <w:pStyle w:val="NoSpacing"/>
              <w:jc w:val="center"/>
              <w:rPr>
                <w:rFonts w:ascii="Times New Roman" w:hAnsi="Times New Roman" w:cs="Times New Roman"/>
                <w:b/>
                <w:bCs/>
                <w:sz w:val="18"/>
                <w:szCs w:val="16"/>
              </w:rPr>
            </w:pPr>
            <w:r w:rsidRPr="00947732">
              <w:rPr>
                <w:rFonts w:ascii="Times New Roman" w:hAnsi="Times New Roman" w:cs="Times New Roman"/>
                <w:b/>
                <w:bCs/>
                <w:sz w:val="18"/>
                <w:szCs w:val="16"/>
              </w:rPr>
              <w:t>(0)</w:t>
            </w:r>
          </w:p>
        </w:tc>
        <w:tc>
          <w:tcPr>
            <w:tcW w:w="1483" w:type="dxa"/>
            <w:vAlign w:val="center"/>
            <w:hideMark/>
          </w:tcPr>
          <w:p w14:paraId="46AA9833" w14:textId="77777777" w:rsidR="009C544B" w:rsidRPr="00947732" w:rsidRDefault="009C544B" w:rsidP="00947732">
            <w:pPr>
              <w:pStyle w:val="NoSpacing"/>
              <w:jc w:val="center"/>
              <w:rPr>
                <w:rFonts w:ascii="Times New Roman" w:hAnsi="Times New Roman" w:cs="Times New Roman"/>
                <w:b/>
                <w:bCs/>
                <w:sz w:val="18"/>
                <w:szCs w:val="16"/>
              </w:rPr>
            </w:pPr>
            <w:r w:rsidRPr="00947732">
              <w:rPr>
                <w:rFonts w:ascii="Times New Roman" w:hAnsi="Times New Roman" w:cs="Times New Roman"/>
                <w:b/>
                <w:bCs/>
                <w:sz w:val="18"/>
                <w:szCs w:val="16"/>
              </w:rPr>
              <w:t>(1)</w:t>
            </w:r>
          </w:p>
        </w:tc>
        <w:tc>
          <w:tcPr>
            <w:tcW w:w="1275" w:type="dxa"/>
            <w:vAlign w:val="center"/>
            <w:hideMark/>
          </w:tcPr>
          <w:p w14:paraId="199DBB17" w14:textId="77777777" w:rsidR="009C544B" w:rsidRPr="00947732" w:rsidRDefault="009C544B" w:rsidP="00947732">
            <w:pPr>
              <w:pStyle w:val="NoSpacing"/>
              <w:jc w:val="center"/>
              <w:rPr>
                <w:rFonts w:ascii="Times New Roman" w:hAnsi="Times New Roman" w:cs="Times New Roman"/>
                <w:b/>
                <w:bCs/>
                <w:sz w:val="18"/>
                <w:szCs w:val="16"/>
              </w:rPr>
            </w:pPr>
            <w:r w:rsidRPr="00947732">
              <w:rPr>
                <w:rFonts w:ascii="Times New Roman" w:hAnsi="Times New Roman" w:cs="Times New Roman"/>
                <w:b/>
                <w:bCs/>
                <w:sz w:val="18"/>
                <w:szCs w:val="16"/>
              </w:rPr>
              <w:t>(2)</w:t>
            </w:r>
          </w:p>
        </w:tc>
        <w:tc>
          <w:tcPr>
            <w:tcW w:w="993" w:type="dxa"/>
            <w:vAlign w:val="center"/>
            <w:hideMark/>
          </w:tcPr>
          <w:p w14:paraId="531F1DAC" w14:textId="77777777" w:rsidR="009C544B" w:rsidRPr="00947732" w:rsidRDefault="009C544B" w:rsidP="00947732">
            <w:pPr>
              <w:pStyle w:val="NoSpacing"/>
              <w:jc w:val="center"/>
              <w:rPr>
                <w:rFonts w:ascii="Times New Roman" w:hAnsi="Times New Roman" w:cs="Times New Roman"/>
                <w:b/>
                <w:bCs/>
                <w:sz w:val="18"/>
                <w:szCs w:val="16"/>
              </w:rPr>
            </w:pPr>
            <w:r w:rsidRPr="00947732">
              <w:rPr>
                <w:rFonts w:ascii="Times New Roman" w:hAnsi="Times New Roman" w:cs="Times New Roman"/>
                <w:b/>
                <w:bCs/>
                <w:sz w:val="18"/>
                <w:szCs w:val="16"/>
              </w:rPr>
              <w:t>(3)</w:t>
            </w:r>
          </w:p>
        </w:tc>
        <w:tc>
          <w:tcPr>
            <w:tcW w:w="1275" w:type="dxa"/>
            <w:vAlign w:val="center"/>
            <w:hideMark/>
          </w:tcPr>
          <w:p w14:paraId="6BC231CA" w14:textId="77777777" w:rsidR="009C544B" w:rsidRPr="00947732" w:rsidRDefault="009C544B" w:rsidP="00947732">
            <w:pPr>
              <w:pStyle w:val="NoSpacing"/>
              <w:jc w:val="center"/>
              <w:rPr>
                <w:rFonts w:ascii="Times New Roman" w:hAnsi="Times New Roman" w:cs="Times New Roman"/>
                <w:b/>
                <w:bCs/>
                <w:sz w:val="18"/>
                <w:szCs w:val="16"/>
              </w:rPr>
            </w:pPr>
            <w:r w:rsidRPr="00947732">
              <w:rPr>
                <w:rFonts w:ascii="Times New Roman" w:hAnsi="Times New Roman" w:cs="Times New Roman"/>
                <w:b/>
                <w:bCs/>
                <w:sz w:val="18"/>
                <w:szCs w:val="16"/>
              </w:rPr>
              <w:t>(4)</w:t>
            </w:r>
          </w:p>
        </w:tc>
        <w:tc>
          <w:tcPr>
            <w:tcW w:w="1276" w:type="dxa"/>
            <w:vAlign w:val="center"/>
            <w:hideMark/>
          </w:tcPr>
          <w:p w14:paraId="13FCF837" w14:textId="44E1029E" w:rsidR="009C544B" w:rsidRPr="00947732" w:rsidRDefault="00A90653" w:rsidP="00947732">
            <w:pPr>
              <w:pStyle w:val="NoSpacing"/>
              <w:jc w:val="center"/>
              <w:rPr>
                <w:rFonts w:ascii="Times New Roman" w:hAnsi="Times New Roman" w:cs="Times New Roman"/>
                <w:b/>
                <w:bCs/>
                <w:sz w:val="18"/>
                <w:szCs w:val="16"/>
              </w:rPr>
            </w:pPr>
            <w:r w:rsidRPr="00947732">
              <w:rPr>
                <w:rFonts w:ascii="Times New Roman" w:hAnsi="Times New Roman" w:cs="Times New Roman"/>
                <w:b/>
                <w:bCs/>
                <w:sz w:val="18"/>
                <w:szCs w:val="16"/>
              </w:rPr>
              <w:t>(5)</w:t>
            </w:r>
          </w:p>
        </w:tc>
      </w:tr>
      <w:tr w:rsidR="009C544B" w:rsidRPr="00445823" w14:paraId="04283EAA" w14:textId="77777777" w:rsidTr="00947732">
        <w:trPr>
          <w:trHeight w:val="20"/>
          <w:jc w:val="center"/>
        </w:trPr>
        <w:tc>
          <w:tcPr>
            <w:tcW w:w="2340" w:type="dxa"/>
            <w:vAlign w:val="center"/>
            <w:hideMark/>
          </w:tcPr>
          <w:p w14:paraId="095C2902"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1. I Plan (1951-56)</w:t>
            </w:r>
          </w:p>
        </w:tc>
        <w:tc>
          <w:tcPr>
            <w:tcW w:w="1483" w:type="dxa"/>
            <w:vAlign w:val="center"/>
            <w:hideMark/>
          </w:tcPr>
          <w:p w14:paraId="2F9DEB33"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24</w:t>
            </w:r>
          </w:p>
        </w:tc>
        <w:tc>
          <w:tcPr>
            <w:tcW w:w="1275" w:type="dxa"/>
            <w:vAlign w:val="center"/>
            <w:hideMark/>
          </w:tcPr>
          <w:p w14:paraId="5854C337"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12.6</w:t>
            </w:r>
          </w:p>
        </w:tc>
        <w:tc>
          <w:tcPr>
            <w:tcW w:w="993" w:type="dxa"/>
            <w:vAlign w:val="center"/>
            <w:hideMark/>
          </w:tcPr>
          <w:p w14:paraId="46D1FDF4"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166</w:t>
            </w:r>
          </w:p>
        </w:tc>
        <w:tc>
          <w:tcPr>
            <w:tcW w:w="1275" w:type="dxa"/>
            <w:vAlign w:val="center"/>
            <w:hideMark/>
          </w:tcPr>
          <w:p w14:paraId="010865D7"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87.4</w:t>
            </w:r>
          </w:p>
        </w:tc>
        <w:tc>
          <w:tcPr>
            <w:tcW w:w="1276" w:type="dxa"/>
            <w:vAlign w:val="center"/>
            <w:hideMark/>
          </w:tcPr>
          <w:p w14:paraId="3A37A7A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190</w:t>
            </w:r>
          </w:p>
        </w:tc>
      </w:tr>
      <w:tr w:rsidR="009C544B" w:rsidRPr="00445823" w14:paraId="170AA7D8" w14:textId="77777777" w:rsidTr="00947732">
        <w:trPr>
          <w:trHeight w:val="20"/>
          <w:jc w:val="center"/>
        </w:trPr>
        <w:tc>
          <w:tcPr>
            <w:tcW w:w="2340" w:type="dxa"/>
            <w:vAlign w:val="center"/>
            <w:hideMark/>
          </w:tcPr>
          <w:p w14:paraId="16F8C226"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2. II Plan (1956-61)</w:t>
            </w:r>
          </w:p>
        </w:tc>
        <w:tc>
          <w:tcPr>
            <w:tcW w:w="1483" w:type="dxa"/>
            <w:vAlign w:val="center"/>
            <w:hideMark/>
          </w:tcPr>
          <w:p w14:paraId="603CDCBB"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153</w:t>
            </w:r>
          </w:p>
        </w:tc>
        <w:tc>
          <w:tcPr>
            <w:tcW w:w="1275" w:type="dxa"/>
            <w:vAlign w:val="center"/>
            <w:hideMark/>
          </w:tcPr>
          <w:p w14:paraId="19ECE33A"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21.5</w:t>
            </w:r>
          </w:p>
        </w:tc>
        <w:tc>
          <w:tcPr>
            <w:tcW w:w="993" w:type="dxa"/>
            <w:vAlign w:val="center"/>
            <w:hideMark/>
          </w:tcPr>
          <w:p w14:paraId="2FD5F42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558</w:t>
            </w:r>
          </w:p>
        </w:tc>
        <w:tc>
          <w:tcPr>
            <w:tcW w:w="1275" w:type="dxa"/>
            <w:vAlign w:val="center"/>
            <w:hideMark/>
          </w:tcPr>
          <w:p w14:paraId="3E03311D"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78.5</w:t>
            </w:r>
          </w:p>
        </w:tc>
        <w:tc>
          <w:tcPr>
            <w:tcW w:w="1276" w:type="dxa"/>
            <w:vAlign w:val="center"/>
            <w:hideMark/>
          </w:tcPr>
          <w:p w14:paraId="1B7FF5F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711</w:t>
            </w:r>
          </w:p>
        </w:tc>
      </w:tr>
      <w:tr w:rsidR="009C544B" w:rsidRPr="00445823" w14:paraId="23AA456D" w14:textId="77777777" w:rsidTr="00947732">
        <w:trPr>
          <w:trHeight w:val="20"/>
          <w:jc w:val="center"/>
        </w:trPr>
        <w:tc>
          <w:tcPr>
            <w:tcW w:w="2340" w:type="dxa"/>
            <w:vAlign w:val="center"/>
            <w:hideMark/>
          </w:tcPr>
          <w:p w14:paraId="0ED5D107"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3. III Plan (1961-66)</w:t>
            </w:r>
          </w:p>
        </w:tc>
        <w:tc>
          <w:tcPr>
            <w:tcW w:w="1483" w:type="dxa"/>
            <w:vAlign w:val="center"/>
            <w:hideMark/>
          </w:tcPr>
          <w:p w14:paraId="3BC0BEED"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292</w:t>
            </w:r>
          </w:p>
        </w:tc>
        <w:tc>
          <w:tcPr>
            <w:tcW w:w="1275" w:type="dxa"/>
            <w:vAlign w:val="center"/>
            <w:hideMark/>
          </w:tcPr>
          <w:p w14:paraId="6C696B94"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22.2</w:t>
            </w:r>
          </w:p>
        </w:tc>
        <w:tc>
          <w:tcPr>
            <w:tcW w:w="993" w:type="dxa"/>
            <w:vAlign w:val="center"/>
            <w:hideMark/>
          </w:tcPr>
          <w:p w14:paraId="2350F2A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1023</w:t>
            </w:r>
          </w:p>
        </w:tc>
        <w:tc>
          <w:tcPr>
            <w:tcW w:w="1275" w:type="dxa"/>
            <w:vAlign w:val="center"/>
            <w:hideMark/>
          </w:tcPr>
          <w:p w14:paraId="737A652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77.8</w:t>
            </w:r>
          </w:p>
        </w:tc>
        <w:tc>
          <w:tcPr>
            <w:tcW w:w="1276" w:type="dxa"/>
            <w:vAlign w:val="center"/>
            <w:hideMark/>
          </w:tcPr>
          <w:p w14:paraId="3987A3F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1315</w:t>
            </w:r>
          </w:p>
        </w:tc>
      </w:tr>
      <w:tr w:rsidR="009C544B" w:rsidRPr="00445823" w14:paraId="1A295540" w14:textId="77777777" w:rsidTr="00947732">
        <w:trPr>
          <w:trHeight w:val="20"/>
          <w:jc w:val="center"/>
        </w:trPr>
        <w:tc>
          <w:tcPr>
            <w:tcW w:w="2340" w:type="dxa"/>
            <w:vAlign w:val="center"/>
            <w:hideMark/>
          </w:tcPr>
          <w:p w14:paraId="56362264"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4. Three Annual Plans (1966-69)</w:t>
            </w:r>
          </w:p>
        </w:tc>
        <w:tc>
          <w:tcPr>
            <w:tcW w:w="1483" w:type="dxa"/>
            <w:vAlign w:val="center"/>
            <w:hideMark/>
          </w:tcPr>
          <w:p w14:paraId="75D22E37"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422</w:t>
            </w:r>
          </w:p>
        </w:tc>
        <w:tc>
          <w:tcPr>
            <w:tcW w:w="1275" w:type="dxa"/>
            <w:vAlign w:val="center"/>
            <w:hideMark/>
          </w:tcPr>
          <w:p w14:paraId="1B43F6A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27.7</w:t>
            </w:r>
          </w:p>
        </w:tc>
        <w:tc>
          <w:tcPr>
            <w:tcW w:w="993" w:type="dxa"/>
            <w:vAlign w:val="center"/>
            <w:hideMark/>
          </w:tcPr>
          <w:p w14:paraId="195A5C7B"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1100</w:t>
            </w:r>
          </w:p>
        </w:tc>
        <w:tc>
          <w:tcPr>
            <w:tcW w:w="1275" w:type="dxa"/>
            <w:vAlign w:val="center"/>
            <w:hideMark/>
          </w:tcPr>
          <w:p w14:paraId="3A9A9F2B"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72.3</w:t>
            </w:r>
          </w:p>
        </w:tc>
        <w:tc>
          <w:tcPr>
            <w:tcW w:w="1276" w:type="dxa"/>
            <w:vAlign w:val="center"/>
            <w:hideMark/>
          </w:tcPr>
          <w:p w14:paraId="58D90F35"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1522</w:t>
            </w:r>
          </w:p>
        </w:tc>
      </w:tr>
      <w:tr w:rsidR="009C544B" w:rsidRPr="00445823" w14:paraId="3767669D" w14:textId="77777777" w:rsidTr="00947732">
        <w:trPr>
          <w:trHeight w:val="20"/>
          <w:jc w:val="center"/>
        </w:trPr>
        <w:tc>
          <w:tcPr>
            <w:tcW w:w="2340" w:type="dxa"/>
            <w:vAlign w:val="center"/>
            <w:hideMark/>
          </w:tcPr>
          <w:p w14:paraId="3EB8286E"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5. IV Plan (1969-74)</w:t>
            </w:r>
          </w:p>
        </w:tc>
        <w:tc>
          <w:tcPr>
            <w:tcW w:w="1483" w:type="dxa"/>
            <w:vAlign w:val="center"/>
            <w:hideMark/>
          </w:tcPr>
          <w:p w14:paraId="39F3D5EF"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737</w:t>
            </w:r>
          </w:p>
        </w:tc>
        <w:tc>
          <w:tcPr>
            <w:tcW w:w="1275" w:type="dxa"/>
            <w:vAlign w:val="center"/>
            <w:hideMark/>
          </w:tcPr>
          <w:p w14:paraId="5A6300B9"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18.9</w:t>
            </w:r>
          </w:p>
        </w:tc>
        <w:tc>
          <w:tcPr>
            <w:tcW w:w="993" w:type="dxa"/>
            <w:vAlign w:val="center"/>
            <w:hideMark/>
          </w:tcPr>
          <w:p w14:paraId="231F9D5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3166</w:t>
            </w:r>
          </w:p>
        </w:tc>
        <w:tc>
          <w:tcPr>
            <w:tcW w:w="1275" w:type="dxa"/>
            <w:vAlign w:val="center"/>
            <w:hideMark/>
          </w:tcPr>
          <w:p w14:paraId="0EE2D351"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81.1</w:t>
            </w:r>
          </w:p>
        </w:tc>
        <w:tc>
          <w:tcPr>
            <w:tcW w:w="1276" w:type="dxa"/>
            <w:vAlign w:val="center"/>
            <w:hideMark/>
          </w:tcPr>
          <w:p w14:paraId="2ED18851"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3903</w:t>
            </w:r>
          </w:p>
        </w:tc>
      </w:tr>
      <w:tr w:rsidR="009C544B" w:rsidRPr="00445823" w14:paraId="1AC5A09A" w14:textId="77777777" w:rsidTr="00947732">
        <w:trPr>
          <w:trHeight w:val="20"/>
          <w:jc w:val="center"/>
        </w:trPr>
        <w:tc>
          <w:tcPr>
            <w:tcW w:w="2340" w:type="dxa"/>
            <w:vAlign w:val="center"/>
            <w:hideMark/>
          </w:tcPr>
          <w:p w14:paraId="14D8710D"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6. V Plan (1974-78)</w:t>
            </w:r>
          </w:p>
        </w:tc>
        <w:tc>
          <w:tcPr>
            <w:tcW w:w="1483" w:type="dxa"/>
            <w:vAlign w:val="center"/>
            <w:hideMark/>
          </w:tcPr>
          <w:p w14:paraId="4E75B54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2068</w:t>
            </w:r>
          </w:p>
        </w:tc>
        <w:tc>
          <w:tcPr>
            <w:tcW w:w="1275" w:type="dxa"/>
            <w:vAlign w:val="center"/>
            <w:hideMark/>
          </w:tcPr>
          <w:p w14:paraId="14B8F995"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35.8</w:t>
            </w:r>
          </w:p>
        </w:tc>
        <w:tc>
          <w:tcPr>
            <w:tcW w:w="993" w:type="dxa"/>
            <w:vAlign w:val="center"/>
            <w:hideMark/>
          </w:tcPr>
          <w:p w14:paraId="174B7BD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3703</w:t>
            </w:r>
          </w:p>
        </w:tc>
        <w:tc>
          <w:tcPr>
            <w:tcW w:w="1275" w:type="dxa"/>
            <w:vAlign w:val="center"/>
            <w:hideMark/>
          </w:tcPr>
          <w:p w14:paraId="45DB5946"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64.2</w:t>
            </w:r>
          </w:p>
        </w:tc>
        <w:tc>
          <w:tcPr>
            <w:tcW w:w="1276" w:type="dxa"/>
            <w:vAlign w:val="center"/>
            <w:hideMark/>
          </w:tcPr>
          <w:p w14:paraId="0AFCAEA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5771</w:t>
            </w:r>
          </w:p>
        </w:tc>
      </w:tr>
      <w:tr w:rsidR="009C544B" w:rsidRPr="00445823" w14:paraId="52E70D59" w14:textId="77777777" w:rsidTr="00947732">
        <w:trPr>
          <w:trHeight w:val="20"/>
          <w:jc w:val="center"/>
        </w:trPr>
        <w:tc>
          <w:tcPr>
            <w:tcW w:w="2340" w:type="dxa"/>
            <w:vAlign w:val="center"/>
            <w:hideMark/>
          </w:tcPr>
          <w:p w14:paraId="2AAEFC8D"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7. Two Annual Plans (1978-80)</w:t>
            </w:r>
          </w:p>
        </w:tc>
        <w:tc>
          <w:tcPr>
            <w:tcW w:w="1483" w:type="dxa"/>
            <w:vAlign w:val="center"/>
            <w:hideMark/>
          </w:tcPr>
          <w:p w14:paraId="161B877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927</w:t>
            </w:r>
          </w:p>
        </w:tc>
        <w:tc>
          <w:tcPr>
            <w:tcW w:w="1275" w:type="dxa"/>
            <w:vAlign w:val="center"/>
            <w:hideMark/>
          </w:tcPr>
          <w:p w14:paraId="3927A1D7"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19.6</w:t>
            </w:r>
          </w:p>
        </w:tc>
        <w:tc>
          <w:tcPr>
            <w:tcW w:w="993" w:type="dxa"/>
            <w:vAlign w:val="center"/>
            <w:hideMark/>
          </w:tcPr>
          <w:p w14:paraId="407879E4"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3808</w:t>
            </w:r>
          </w:p>
        </w:tc>
        <w:tc>
          <w:tcPr>
            <w:tcW w:w="1275" w:type="dxa"/>
            <w:vAlign w:val="center"/>
            <w:hideMark/>
          </w:tcPr>
          <w:p w14:paraId="68E8EFED"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80.4</w:t>
            </w:r>
          </w:p>
        </w:tc>
        <w:tc>
          <w:tcPr>
            <w:tcW w:w="1276" w:type="dxa"/>
            <w:vAlign w:val="center"/>
            <w:hideMark/>
          </w:tcPr>
          <w:p w14:paraId="4B49379B"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4735</w:t>
            </w:r>
          </w:p>
        </w:tc>
      </w:tr>
      <w:tr w:rsidR="009C544B" w:rsidRPr="00445823" w14:paraId="025F596A" w14:textId="77777777" w:rsidTr="00947732">
        <w:trPr>
          <w:trHeight w:val="20"/>
          <w:jc w:val="center"/>
        </w:trPr>
        <w:tc>
          <w:tcPr>
            <w:tcW w:w="2340" w:type="dxa"/>
            <w:vAlign w:val="center"/>
            <w:hideMark/>
          </w:tcPr>
          <w:p w14:paraId="04F7F996"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8. VI Plan (1980-85)</w:t>
            </w:r>
          </w:p>
        </w:tc>
        <w:tc>
          <w:tcPr>
            <w:tcW w:w="1483" w:type="dxa"/>
            <w:vAlign w:val="center"/>
            <w:hideMark/>
          </w:tcPr>
          <w:p w14:paraId="382E9256"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2020</w:t>
            </w:r>
          </w:p>
        </w:tc>
        <w:tc>
          <w:tcPr>
            <w:tcW w:w="1275" w:type="dxa"/>
            <w:vAlign w:val="center"/>
            <w:hideMark/>
          </w:tcPr>
          <w:p w14:paraId="6DB0B279"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11.0</w:t>
            </w:r>
          </w:p>
        </w:tc>
        <w:tc>
          <w:tcPr>
            <w:tcW w:w="993" w:type="dxa"/>
            <w:vAlign w:val="center"/>
            <w:hideMark/>
          </w:tcPr>
          <w:p w14:paraId="2EBBC5DE"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16408</w:t>
            </w:r>
          </w:p>
        </w:tc>
        <w:tc>
          <w:tcPr>
            <w:tcW w:w="1275" w:type="dxa"/>
            <w:vAlign w:val="center"/>
            <w:hideMark/>
          </w:tcPr>
          <w:p w14:paraId="74A29D8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89.0</w:t>
            </w:r>
          </w:p>
        </w:tc>
        <w:tc>
          <w:tcPr>
            <w:tcW w:w="1276" w:type="dxa"/>
            <w:vAlign w:val="center"/>
            <w:hideMark/>
          </w:tcPr>
          <w:p w14:paraId="1D813F1F"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18428</w:t>
            </w:r>
          </w:p>
        </w:tc>
      </w:tr>
      <w:tr w:rsidR="009C544B" w:rsidRPr="00445823" w14:paraId="7E5DFE85" w14:textId="77777777" w:rsidTr="00947732">
        <w:trPr>
          <w:trHeight w:val="20"/>
          <w:jc w:val="center"/>
        </w:trPr>
        <w:tc>
          <w:tcPr>
            <w:tcW w:w="2340" w:type="dxa"/>
            <w:vAlign w:val="center"/>
            <w:hideMark/>
          </w:tcPr>
          <w:p w14:paraId="1EF5E01F"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9. VII Plan (1985-90)</w:t>
            </w:r>
          </w:p>
        </w:tc>
        <w:tc>
          <w:tcPr>
            <w:tcW w:w="1483" w:type="dxa"/>
            <w:vAlign w:val="center"/>
            <w:hideMark/>
          </w:tcPr>
          <w:p w14:paraId="59A3C9F9"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6182</w:t>
            </w:r>
          </w:p>
        </w:tc>
        <w:tc>
          <w:tcPr>
            <w:tcW w:w="1275" w:type="dxa"/>
            <w:vAlign w:val="center"/>
            <w:hideMark/>
          </w:tcPr>
          <w:p w14:paraId="7B883596"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14.1</w:t>
            </w:r>
          </w:p>
        </w:tc>
        <w:tc>
          <w:tcPr>
            <w:tcW w:w="993" w:type="dxa"/>
            <w:vAlign w:val="center"/>
            <w:hideMark/>
          </w:tcPr>
          <w:p w14:paraId="337CBD6B"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37565</w:t>
            </w:r>
          </w:p>
        </w:tc>
        <w:tc>
          <w:tcPr>
            <w:tcW w:w="1275" w:type="dxa"/>
            <w:vAlign w:val="center"/>
            <w:hideMark/>
          </w:tcPr>
          <w:p w14:paraId="537B8A83"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85.9</w:t>
            </w:r>
          </w:p>
        </w:tc>
        <w:tc>
          <w:tcPr>
            <w:tcW w:w="1276" w:type="dxa"/>
            <w:vAlign w:val="center"/>
            <w:hideMark/>
          </w:tcPr>
          <w:p w14:paraId="457D98D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43747</w:t>
            </w:r>
          </w:p>
        </w:tc>
      </w:tr>
      <w:tr w:rsidR="009C544B" w:rsidRPr="00445823" w14:paraId="67E7FC82" w14:textId="77777777" w:rsidTr="00947732">
        <w:trPr>
          <w:trHeight w:val="20"/>
          <w:jc w:val="center"/>
        </w:trPr>
        <w:tc>
          <w:tcPr>
            <w:tcW w:w="2340" w:type="dxa"/>
            <w:vAlign w:val="center"/>
            <w:hideMark/>
          </w:tcPr>
          <w:p w14:paraId="76FA22E8"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w:t>
            </w:r>
            <w:proofErr w:type="spellStart"/>
            <w:r w:rsidRPr="00445823">
              <w:rPr>
                <w:rFonts w:ascii="Times New Roman" w:hAnsi="Times New Roman" w:cs="Times New Roman"/>
                <w:sz w:val="18"/>
                <w:szCs w:val="16"/>
              </w:rPr>
              <w:t>i</w:t>
            </w:r>
            <w:proofErr w:type="spellEnd"/>
            <w:r w:rsidRPr="00445823">
              <w:rPr>
                <w:rFonts w:ascii="Times New Roman" w:hAnsi="Times New Roman" w:cs="Times New Roman"/>
                <w:sz w:val="18"/>
                <w:szCs w:val="16"/>
              </w:rPr>
              <w:t>) 1985-86</w:t>
            </w:r>
          </w:p>
        </w:tc>
        <w:tc>
          <w:tcPr>
            <w:tcW w:w="1483" w:type="dxa"/>
            <w:vAlign w:val="center"/>
            <w:hideMark/>
          </w:tcPr>
          <w:p w14:paraId="751A226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975</w:t>
            </w:r>
          </w:p>
        </w:tc>
        <w:tc>
          <w:tcPr>
            <w:tcW w:w="1275" w:type="dxa"/>
            <w:vAlign w:val="center"/>
            <w:hideMark/>
          </w:tcPr>
          <w:p w14:paraId="06A5C613"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14.8</w:t>
            </w:r>
          </w:p>
        </w:tc>
        <w:tc>
          <w:tcPr>
            <w:tcW w:w="993" w:type="dxa"/>
            <w:vAlign w:val="center"/>
            <w:hideMark/>
          </w:tcPr>
          <w:p w14:paraId="20AC6A7F"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5634</w:t>
            </w:r>
          </w:p>
        </w:tc>
        <w:tc>
          <w:tcPr>
            <w:tcW w:w="1275" w:type="dxa"/>
            <w:vAlign w:val="center"/>
            <w:hideMark/>
          </w:tcPr>
          <w:p w14:paraId="117E4855"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85.2</w:t>
            </w:r>
          </w:p>
        </w:tc>
        <w:tc>
          <w:tcPr>
            <w:tcW w:w="1276" w:type="dxa"/>
            <w:vAlign w:val="center"/>
            <w:hideMark/>
          </w:tcPr>
          <w:p w14:paraId="34A98F37"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6609</w:t>
            </w:r>
          </w:p>
        </w:tc>
      </w:tr>
      <w:tr w:rsidR="009C544B" w:rsidRPr="00445823" w14:paraId="059DDA53" w14:textId="77777777" w:rsidTr="00947732">
        <w:trPr>
          <w:trHeight w:val="20"/>
          <w:jc w:val="center"/>
        </w:trPr>
        <w:tc>
          <w:tcPr>
            <w:tcW w:w="2340" w:type="dxa"/>
            <w:vAlign w:val="center"/>
            <w:hideMark/>
          </w:tcPr>
          <w:p w14:paraId="49CEE4A9"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(ii) 1986-87</w:t>
            </w:r>
          </w:p>
        </w:tc>
        <w:tc>
          <w:tcPr>
            <w:tcW w:w="1483" w:type="dxa"/>
            <w:vAlign w:val="center"/>
            <w:hideMark/>
          </w:tcPr>
          <w:p w14:paraId="212714A4"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869</w:t>
            </w:r>
          </w:p>
        </w:tc>
        <w:tc>
          <w:tcPr>
            <w:tcW w:w="1275" w:type="dxa"/>
            <w:vAlign w:val="center"/>
            <w:hideMark/>
          </w:tcPr>
          <w:p w14:paraId="734FAAF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12.0</w:t>
            </w:r>
          </w:p>
        </w:tc>
        <w:tc>
          <w:tcPr>
            <w:tcW w:w="993" w:type="dxa"/>
            <w:vAlign w:val="center"/>
            <w:hideMark/>
          </w:tcPr>
          <w:p w14:paraId="525EF2AA"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6389</w:t>
            </w:r>
          </w:p>
        </w:tc>
        <w:tc>
          <w:tcPr>
            <w:tcW w:w="1275" w:type="dxa"/>
            <w:vAlign w:val="center"/>
            <w:hideMark/>
          </w:tcPr>
          <w:p w14:paraId="1F90464A"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88.0</w:t>
            </w:r>
          </w:p>
        </w:tc>
        <w:tc>
          <w:tcPr>
            <w:tcW w:w="1276" w:type="dxa"/>
            <w:vAlign w:val="center"/>
            <w:hideMark/>
          </w:tcPr>
          <w:p w14:paraId="7CE55940"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7258</w:t>
            </w:r>
          </w:p>
        </w:tc>
      </w:tr>
      <w:tr w:rsidR="009C544B" w:rsidRPr="00445823" w14:paraId="3CAC7B77" w14:textId="77777777" w:rsidTr="00947732">
        <w:trPr>
          <w:trHeight w:val="20"/>
          <w:jc w:val="center"/>
        </w:trPr>
        <w:tc>
          <w:tcPr>
            <w:tcW w:w="2340" w:type="dxa"/>
            <w:vAlign w:val="center"/>
            <w:hideMark/>
          </w:tcPr>
          <w:p w14:paraId="13CD4F30"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(iii) 1987-88</w:t>
            </w:r>
          </w:p>
        </w:tc>
        <w:tc>
          <w:tcPr>
            <w:tcW w:w="1483" w:type="dxa"/>
            <w:vAlign w:val="center"/>
            <w:hideMark/>
          </w:tcPr>
          <w:p w14:paraId="46639E4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1195</w:t>
            </w:r>
          </w:p>
        </w:tc>
        <w:tc>
          <w:tcPr>
            <w:tcW w:w="1275" w:type="dxa"/>
            <w:vAlign w:val="center"/>
            <w:hideMark/>
          </w:tcPr>
          <w:p w14:paraId="76BC12AF"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13.2</w:t>
            </w:r>
          </w:p>
        </w:tc>
        <w:tc>
          <w:tcPr>
            <w:tcW w:w="993" w:type="dxa"/>
            <w:vAlign w:val="center"/>
            <w:hideMark/>
          </w:tcPr>
          <w:p w14:paraId="2825BE4F"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7846</w:t>
            </w:r>
          </w:p>
        </w:tc>
        <w:tc>
          <w:tcPr>
            <w:tcW w:w="1275" w:type="dxa"/>
            <w:vAlign w:val="center"/>
            <w:hideMark/>
          </w:tcPr>
          <w:p w14:paraId="4B02A48E"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86.8</w:t>
            </w:r>
          </w:p>
        </w:tc>
        <w:tc>
          <w:tcPr>
            <w:tcW w:w="1276" w:type="dxa"/>
            <w:vAlign w:val="center"/>
            <w:hideMark/>
          </w:tcPr>
          <w:p w14:paraId="3F6FBCD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9041</w:t>
            </w:r>
          </w:p>
        </w:tc>
      </w:tr>
      <w:tr w:rsidR="009C544B" w:rsidRPr="00445823" w14:paraId="4631B3F6" w14:textId="77777777" w:rsidTr="00947732">
        <w:trPr>
          <w:trHeight w:val="20"/>
          <w:jc w:val="center"/>
        </w:trPr>
        <w:tc>
          <w:tcPr>
            <w:tcW w:w="2340" w:type="dxa"/>
            <w:vAlign w:val="center"/>
            <w:hideMark/>
          </w:tcPr>
          <w:p w14:paraId="40096BA2"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(iv) 1988-89 (RE)</w:t>
            </w:r>
          </w:p>
        </w:tc>
        <w:tc>
          <w:tcPr>
            <w:tcW w:w="1483" w:type="dxa"/>
            <w:vAlign w:val="center"/>
            <w:hideMark/>
          </w:tcPr>
          <w:p w14:paraId="4472F2CE"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1266</w:t>
            </w:r>
          </w:p>
        </w:tc>
        <w:tc>
          <w:tcPr>
            <w:tcW w:w="1275" w:type="dxa"/>
            <w:vAlign w:val="center"/>
            <w:hideMark/>
          </w:tcPr>
          <w:p w14:paraId="08D9913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12.7</w:t>
            </w:r>
          </w:p>
        </w:tc>
        <w:tc>
          <w:tcPr>
            <w:tcW w:w="993" w:type="dxa"/>
            <w:vAlign w:val="center"/>
            <w:hideMark/>
          </w:tcPr>
          <w:p w14:paraId="1DA4D6A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8673</w:t>
            </w:r>
          </w:p>
        </w:tc>
        <w:tc>
          <w:tcPr>
            <w:tcW w:w="1275" w:type="dxa"/>
            <w:vAlign w:val="center"/>
            <w:hideMark/>
          </w:tcPr>
          <w:p w14:paraId="57CB9F2E"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87.3</w:t>
            </w:r>
          </w:p>
        </w:tc>
        <w:tc>
          <w:tcPr>
            <w:tcW w:w="1276" w:type="dxa"/>
            <w:vAlign w:val="center"/>
            <w:hideMark/>
          </w:tcPr>
          <w:p w14:paraId="39A691BC"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9939</w:t>
            </w:r>
          </w:p>
        </w:tc>
      </w:tr>
      <w:tr w:rsidR="009C544B" w:rsidRPr="00445823" w14:paraId="3507CE16" w14:textId="77777777" w:rsidTr="00947732">
        <w:trPr>
          <w:trHeight w:val="20"/>
          <w:jc w:val="center"/>
        </w:trPr>
        <w:tc>
          <w:tcPr>
            <w:tcW w:w="2340" w:type="dxa"/>
            <w:vAlign w:val="center"/>
            <w:hideMark/>
          </w:tcPr>
          <w:p w14:paraId="7BD1B5F6" w14:textId="77777777" w:rsidR="009C544B" w:rsidRPr="00445823" w:rsidRDefault="009C544B" w:rsidP="00445823">
            <w:pPr>
              <w:pStyle w:val="NoSpacing"/>
              <w:rPr>
                <w:rFonts w:ascii="Times New Roman" w:hAnsi="Times New Roman" w:cs="Times New Roman"/>
                <w:sz w:val="18"/>
                <w:szCs w:val="16"/>
              </w:rPr>
            </w:pPr>
            <w:r w:rsidRPr="00445823">
              <w:rPr>
                <w:rFonts w:ascii="Times New Roman" w:hAnsi="Times New Roman" w:cs="Times New Roman"/>
                <w:sz w:val="18"/>
                <w:szCs w:val="16"/>
              </w:rPr>
              <w:t>(v) 1989-90 (BE)</w:t>
            </w:r>
          </w:p>
        </w:tc>
        <w:tc>
          <w:tcPr>
            <w:tcW w:w="1483" w:type="dxa"/>
            <w:vAlign w:val="center"/>
            <w:hideMark/>
          </w:tcPr>
          <w:p w14:paraId="373E9727"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1877</w:t>
            </w:r>
          </w:p>
        </w:tc>
        <w:tc>
          <w:tcPr>
            <w:tcW w:w="1275" w:type="dxa"/>
            <w:vAlign w:val="center"/>
            <w:hideMark/>
          </w:tcPr>
          <w:p w14:paraId="77398583"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17.2</w:t>
            </w:r>
          </w:p>
        </w:tc>
        <w:tc>
          <w:tcPr>
            <w:tcW w:w="993" w:type="dxa"/>
            <w:vAlign w:val="center"/>
            <w:hideMark/>
          </w:tcPr>
          <w:p w14:paraId="74C3E454"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9023</w:t>
            </w:r>
          </w:p>
        </w:tc>
        <w:tc>
          <w:tcPr>
            <w:tcW w:w="1275" w:type="dxa"/>
            <w:vAlign w:val="center"/>
            <w:hideMark/>
          </w:tcPr>
          <w:p w14:paraId="1A1B6088"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82.8</w:t>
            </w:r>
          </w:p>
        </w:tc>
        <w:tc>
          <w:tcPr>
            <w:tcW w:w="1276" w:type="dxa"/>
            <w:vAlign w:val="center"/>
            <w:hideMark/>
          </w:tcPr>
          <w:p w14:paraId="2752F82E" w14:textId="77777777" w:rsidR="009C544B" w:rsidRPr="00445823" w:rsidRDefault="009C544B" w:rsidP="00445823">
            <w:pPr>
              <w:pStyle w:val="NoSpacing"/>
              <w:jc w:val="center"/>
              <w:rPr>
                <w:rFonts w:ascii="Times New Roman" w:hAnsi="Times New Roman" w:cs="Times New Roman"/>
                <w:sz w:val="18"/>
                <w:szCs w:val="16"/>
              </w:rPr>
            </w:pPr>
            <w:r w:rsidRPr="00445823">
              <w:rPr>
                <w:rFonts w:ascii="Times New Roman" w:hAnsi="Times New Roman" w:cs="Times New Roman"/>
                <w:sz w:val="18"/>
                <w:szCs w:val="16"/>
              </w:rPr>
              <w:t>10900</w:t>
            </w:r>
          </w:p>
        </w:tc>
      </w:tr>
      <w:tr w:rsidR="009C544B" w:rsidRPr="00445823" w14:paraId="34EEA951" w14:textId="77777777" w:rsidTr="00947732">
        <w:trPr>
          <w:trHeight w:val="20"/>
          <w:jc w:val="center"/>
        </w:trPr>
        <w:tc>
          <w:tcPr>
            <w:tcW w:w="2340" w:type="dxa"/>
            <w:vAlign w:val="center"/>
            <w:hideMark/>
          </w:tcPr>
          <w:p w14:paraId="0779DF83" w14:textId="77777777" w:rsidR="009C544B" w:rsidRPr="00445823" w:rsidRDefault="009C544B" w:rsidP="00445823">
            <w:pPr>
              <w:pStyle w:val="NoSpacing"/>
              <w:rPr>
                <w:rFonts w:ascii="Times New Roman" w:hAnsi="Times New Roman" w:cs="Times New Roman"/>
                <w:b/>
                <w:bCs/>
                <w:sz w:val="18"/>
                <w:szCs w:val="16"/>
              </w:rPr>
            </w:pPr>
            <w:r w:rsidRPr="00445823">
              <w:rPr>
                <w:rFonts w:ascii="Times New Roman" w:hAnsi="Times New Roman" w:cs="Times New Roman"/>
                <w:b/>
                <w:bCs/>
                <w:sz w:val="18"/>
                <w:szCs w:val="16"/>
              </w:rPr>
              <w:t>Total (1951-90)</w:t>
            </w:r>
          </w:p>
        </w:tc>
        <w:tc>
          <w:tcPr>
            <w:tcW w:w="1483" w:type="dxa"/>
            <w:vAlign w:val="center"/>
            <w:hideMark/>
          </w:tcPr>
          <w:p w14:paraId="69805CEF" w14:textId="77777777" w:rsidR="009C544B" w:rsidRPr="00445823" w:rsidRDefault="009C544B"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12825</w:t>
            </w:r>
          </w:p>
        </w:tc>
        <w:tc>
          <w:tcPr>
            <w:tcW w:w="1275" w:type="dxa"/>
            <w:vAlign w:val="center"/>
            <w:hideMark/>
          </w:tcPr>
          <w:p w14:paraId="7C7A2D70" w14:textId="77777777" w:rsidR="009C544B" w:rsidRPr="00445823" w:rsidRDefault="009C544B"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16.0</w:t>
            </w:r>
          </w:p>
        </w:tc>
        <w:tc>
          <w:tcPr>
            <w:tcW w:w="993" w:type="dxa"/>
            <w:vAlign w:val="center"/>
            <w:hideMark/>
          </w:tcPr>
          <w:p w14:paraId="762E221D" w14:textId="77777777" w:rsidR="009C544B" w:rsidRPr="00445823" w:rsidRDefault="009C544B"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67497</w:t>
            </w:r>
          </w:p>
        </w:tc>
        <w:tc>
          <w:tcPr>
            <w:tcW w:w="1275" w:type="dxa"/>
            <w:vAlign w:val="center"/>
            <w:hideMark/>
          </w:tcPr>
          <w:p w14:paraId="62DF9943" w14:textId="77777777" w:rsidR="009C544B" w:rsidRPr="00445823" w:rsidRDefault="009C544B"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84.0</w:t>
            </w:r>
          </w:p>
        </w:tc>
        <w:tc>
          <w:tcPr>
            <w:tcW w:w="1276" w:type="dxa"/>
            <w:vAlign w:val="center"/>
            <w:hideMark/>
          </w:tcPr>
          <w:p w14:paraId="37077A61" w14:textId="77777777" w:rsidR="009C544B" w:rsidRPr="00445823" w:rsidRDefault="009C544B" w:rsidP="00445823">
            <w:pPr>
              <w:pStyle w:val="NoSpacing"/>
              <w:jc w:val="center"/>
              <w:rPr>
                <w:rFonts w:ascii="Times New Roman" w:hAnsi="Times New Roman" w:cs="Times New Roman"/>
                <w:b/>
                <w:bCs/>
                <w:sz w:val="18"/>
                <w:szCs w:val="16"/>
              </w:rPr>
            </w:pPr>
            <w:r w:rsidRPr="00445823">
              <w:rPr>
                <w:rFonts w:ascii="Times New Roman" w:hAnsi="Times New Roman" w:cs="Times New Roman"/>
                <w:b/>
                <w:bCs/>
                <w:sz w:val="18"/>
                <w:szCs w:val="16"/>
              </w:rPr>
              <w:t>80322</w:t>
            </w:r>
          </w:p>
        </w:tc>
      </w:tr>
    </w:tbl>
    <w:p w14:paraId="799158E6" w14:textId="77777777" w:rsidR="00A90653" w:rsidRPr="00947732" w:rsidRDefault="009C544B" w:rsidP="00947732">
      <w:pPr>
        <w:spacing w:line="240" w:lineRule="auto"/>
        <w:ind w:left="720" w:firstLine="720"/>
        <w:jc w:val="both"/>
        <w:rPr>
          <w:rFonts w:ascii="Times New Roman" w:hAnsi="Times New Roman" w:cs="Times New Roman"/>
          <w:sz w:val="16"/>
          <w:szCs w:val="16"/>
        </w:rPr>
      </w:pPr>
      <w:r w:rsidRPr="00947732">
        <w:rPr>
          <w:rFonts w:ascii="Times New Roman" w:hAnsi="Times New Roman" w:cs="Times New Roman"/>
          <w:b/>
          <w:bCs/>
          <w:sz w:val="16"/>
          <w:szCs w:val="16"/>
        </w:rPr>
        <w:t>Note:</w:t>
      </w:r>
      <w:r w:rsidRPr="00947732">
        <w:rPr>
          <w:rFonts w:ascii="Times New Roman" w:hAnsi="Times New Roman" w:cs="Times New Roman"/>
          <w:sz w:val="16"/>
          <w:szCs w:val="16"/>
        </w:rPr>
        <w:t> Compensatory grants in lieu of the repealed Tax on Railway Passenger Fares are not included.</w:t>
      </w:r>
    </w:p>
    <w:p w14:paraId="7DD035B1" w14:textId="0C811FC4" w:rsidR="00EB236F" w:rsidRPr="00F47786" w:rsidRDefault="00EB236F" w:rsidP="00287E78">
      <w:pPr>
        <w:spacing w:before="40" w:after="0" w:line="200" w:lineRule="exact"/>
        <w:jc w:val="both"/>
        <w:rPr>
          <w:rFonts w:ascii="Times New Roman" w:hAnsi="Times New Roman" w:cs="Times New Roman"/>
          <w:sz w:val="18"/>
          <w:szCs w:val="18"/>
        </w:rPr>
      </w:pPr>
      <w:r w:rsidRPr="00F47786">
        <w:rPr>
          <w:rFonts w:ascii="Times New Roman" w:hAnsi="Times New Roman" w:cs="Times New Roman"/>
          <w:sz w:val="18"/>
          <w:szCs w:val="18"/>
        </w:rPr>
        <w:t>The above table clearly shows that since 1951-52 to 1989-90</w:t>
      </w:r>
      <w:r w:rsidR="00A90653" w:rsidRPr="00F47786">
        <w:rPr>
          <w:rFonts w:ascii="Times New Roman" w:hAnsi="Times New Roman" w:cs="Times New Roman"/>
          <w:sz w:val="18"/>
          <w:szCs w:val="18"/>
        </w:rPr>
        <w:t xml:space="preserve"> (BE),</w:t>
      </w:r>
      <w:r w:rsidRPr="00F47786">
        <w:rPr>
          <w:rFonts w:ascii="Times New Roman" w:hAnsi="Times New Roman" w:cs="Times New Roman"/>
          <w:sz w:val="18"/>
          <w:szCs w:val="18"/>
        </w:rPr>
        <w:t xml:space="preserve"> Rs. 12,825 crore (16.0%) were transferred under Article 275 on the basis of the Finance Commissions' recommendations whereas a much larger amount of Rs. 67,497 crores (84.0%) were transferred as discretionary grants by the Centre outside the recommendations of successive Finance Commissions.</w:t>
      </w:r>
    </w:p>
    <w:p w14:paraId="37A8D058"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2.9</w:t>
      </w:r>
      <w:r w:rsidRPr="00F47786">
        <w:rPr>
          <w:rFonts w:ascii="Times New Roman" w:hAnsi="Times New Roman" w:cs="Times New Roman"/>
          <w:sz w:val="18"/>
          <w:szCs w:val="18"/>
        </w:rPr>
        <w:t xml:space="preserve"> While using the power to give discretionary grants to the States under Article 282, the Centre has used the Planning Commission as the medium. The Planning Commission is an extra-Constitutional body and has no basis either in the Constitution or in any legislative enactment. It is purely a creation of the Union government by a resolution. Its functions are not defined nor is there any limit to the number of its members. Its duration also is not fixed. The Prime Minister is its ex-officio Chairman and there are Cabinet Ministers among its Members. Members are picked and chosen to suit the requirements of the Union government. From its composition it can be described as a quasi-political body. It enjoys vast authority and prestige. It has undoubtedly a very crucial role to play in the planned and orderly development of the country. </w:t>
      </w:r>
      <w:proofErr w:type="gramStart"/>
      <w:r w:rsidRPr="00F47786">
        <w:rPr>
          <w:rFonts w:ascii="Times New Roman" w:hAnsi="Times New Roman" w:cs="Times New Roman"/>
          <w:sz w:val="18"/>
          <w:szCs w:val="18"/>
        </w:rPr>
        <w:t>But,</w:t>
      </w:r>
      <w:proofErr w:type="gramEnd"/>
      <w:r w:rsidRPr="00F47786">
        <w:rPr>
          <w:rFonts w:ascii="Times New Roman" w:hAnsi="Times New Roman" w:cs="Times New Roman"/>
          <w:sz w:val="18"/>
          <w:szCs w:val="18"/>
        </w:rPr>
        <w:t xml:space="preserve"> even such a high-powered body cannot take over and exercise, the jurisdiction, powers and authority of the purely Constitutional body like the Finance Commission. The Planning Commission cannot be expected to discharge quasi-judicial functions envisaged in Chapter I of Part XII of the Constitution. In our discussions in the Commission a point of view was expressed that </w:t>
      </w:r>
      <w:r w:rsidRPr="00F47786">
        <w:rPr>
          <w:rFonts w:ascii="Times New Roman" w:hAnsi="Times New Roman" w:cs="Times New Roman"/>
          <w:sz w:val="18"/>
          <w:szCs w:val="18"/>
        </w:rPr>
        <w:lastRenderedPageBreak/>
        <w:t>if the Finance Commission exercises its powers of going into plan expenditure and giving plan grants, it would disrupt the planning process. I do not agree with that view point. It is not correct to say that the Planning Commission can work only if it has power to give discretionary grants to the States. Even without such a power it can and should function effectively. In my opinion, the Finance Commission and the Planning Commission have independent and distinct roles to play. Neither need impinge on the other's authority or functions. I am of the view that under the scheme of Chapter I of Part XII of the Constitution, the Finance Commission has to decide the parameters of resources available through its judicious distribution between the Centre and the States for plan and non-plan expenditures, on the capital account as well as revenue account. The Finance Commission has to do this on the principles of justice, equity and fair-play, so as to maintain fiscal equilibrium between the Centre and the States as well as between one State and another. In other words, the Finance Commission has to maintain the fiscal balance, vertically and horizontally. After the resource position of the Centre and the States is determined by the Finance Commission, the role of the Planning Commission begins in determining the priorities for the planned development. Where to spend and how to spend the available re-resources is within the respective spheres of the Centre and the States, who may with the help and guidance of the Planning Commission set out priorities and make the best use of the allocated funds. This is the sphere where the Planning Commission has an important role to play. The Finance Commission is not concerned with it at all.</w:t>
      </w:r>
    </w:p>
    <w:p w14:paraId="624DA259"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2.10</w:t>
      </w:r>
      <w:r w:rsidRPr="00F47786">
        <w:rPr>
          <w:rFonts w:ascii="Times New Roman" w:hAnsi="Times New Roman" w:cs="Times New Roman"/>
          <w:sz w:val="18"/>
          <w:szCs w:val="18"/>
        </w:rPr>
        <w:t xml:space="preserve"> The grants which the States get through the Finance Commission under Article 275 are given as a matter of Constitutional right; whereas the discretionary plan grants which they get from the Centre through the Planning Commission are mere bounty depending on the munificence of the Centre. The Centre alone decides whom to give and how much to give. The receiving State does not get it as a matter of right. It is highly unfair and unjust for the Centre to appear to give to the States plan and non-plan grants as a charity under Article 282, what is theirs as a matter of Constitutional right under Article 275. It is surprising that for the past four decades the States have not appreciated this aspect of the matter. They have not claimed what is theirs by right and have chosen to come as supplicants, seeking assistance from the Centre through the Planning Commission. Perhaps some of the State governments might have been finding it more convenient and beneficial, because in the Planning Commission the assistance is determined not so much on the basis of inter State equity, justice and fair-play, as on the basis of supplication, bargaining, haggling and even brow-beating or using political clout. In any case the States are interested in getting from the Centre as large sums as possible through whatever channel, Finance Commission, Planning Commission, Union Ministries or any other. Hence, they do not seem to bother much about enforcing the Constitutional rights rather than seeking charity. The size of the plans of the Centre and the States should not solely depend on the allocations by the Finance Commission. If the States want bigger and better </w:t>
      </w:r>
      <w:proofErr w:type="gramStart"/>
      <w:r w:rsidRPr="00F47786">
        <w:rPr>
          <w:rFonts w:ascii="Times New Roman" w:hAnsi="Times New Roman" w:cs="Times New Roman"/>
          <w:sz w:val="18"/>
          <w:szCs w:val="18"/>
        </w:rPr>
        <w:t>plans</w:t>
      </w:r>
      <w:proofErr w:type="gramEnd"/>
      <w:r w:rsidRPr="00F47786">
        <w:rPr>
          <w:rFonts w:ascii="Times New Roman" w:hAnsi="Times New Roman" w:cs="Times New Roman"/>
          <w:sz w:val="18"/>
          <w:szCs w:val="18"/>
        </w:rPr>
        <w:t xml:space="preserve"> they are free to mobilise additional resources over and above the transfers by the Finance Commission.</w:t>
      </w:r>
    </w:p>
    <w:p w14:paraId="575A1D20"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2.11</w:t>
      </w:r>
      <w:r w:rsidRPr="00F47786">
        <w:rPr>
          <w:rFonts w:ascii="Times New Roman" w:hAnsi="Times New Roman" w:cs="Times New Roman"/>
          <w:sz w:val="18"/>
          <w:szCs w:val="18"/>
        </w:rPr>
        <w:t> The question regarding giving regular plan grants under Article 282 is a very important matter which goes to the very root of the jurisdiction of the Finance Commission. It was, therefore, necessary and proper for this Commission to go into that question in its report. I, therefore, do not agree with the majority view that we should not go into that question or express an opinion on it. The Commission has discussed this point in considerable details. We had sought and obtained written opinion from a number of eminent Constitutional experts. We had also invited a number of experts from the legal profession and academic institutions, who expressed their learned opinions, from which we have benefitted quite a lot. After putting in so much effort, it would, in my opinion, be improper to brush aside the question and skirt the issue. Speaking for myself after having gone into the question in some depth I am fully convinced that the above interpretation of Article 282 vis-a-vis Article 275 is correct.</w:t>
      </w:r>
    </w:p>
    <w:p w14:paraId="371C4AF0"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2.12</w:t>
      </w:r>
      <w:r w:rsidRPr="00F47786">
        <w:rPr>
          <w:rFonts w:ascii="Times New Roman" w:hAnsi="Times New Roman" w:cs="Times New Roman"/>
          <w:sz w:val="18"/>
          <w:szCs w:val="18"/>
        </w:rPr>
        <w:t> I would therefore recommend to the President that-</w:t>
      </w:r>
    </w:p>
    <w:p w14:paraId="5373ABC2" w14:textId="4E4ACEB1" w:rsidR="00EB236F" w:rsidRPr="008E4980" w:rsidRDefault="00EB236F" w:rsidP="00287E78">
      <w:pPr>
        <w:pStyle w:val="ListParagraph"/>
        <w:numPr>
          <w:ilvl w:val="0"/>
          <w:numId w:val="46"/>
        </w:numPr>
        <w:spacing w:before="40" w:after="0" w:line="200" w:lineRule="exact"/>
        <w:contextualSpacing w:val="0"/>
        <w:jc w:val="both"/>
        <w:rPr>
          <w:rFonts w:ascii="Times New Roman" w:hAnsi="Times New Roman" w:cs="Times New Roman"/>
          <w:sz w:val="18"/>
          <w:szCs w:val="18"/>
        </w:rPr>
      </w:pPr>
      <w:r w:rsidRPr="008E4980">
        <w:rPr>
          <w:rFonts w:ascii="Times New Roman" w:hAnsi="Times New Roman" w:cs="Times New Roman"/>
          <w:sz w:val="18"/>
          <w:szCs w:val="18"/>
        </w:rPr>
        <w:t>The scope of the recommendations of the Finance Commission should not be restricted to the non-Plan revenue and expenditure accounts only as done in the past. The Commission should be left free to cover plan and non-plan, revenue as well as capital expenditures and general as well as capital grants under Article 275;</w:t>
      </w:r>
    </w:p>
    <w:p w14:paraId="179111C3" w14:textId="0A93C293" w:rsidR="00EB236F" w:rsidRPr="008E4980" w:rsidRDefault="00EB236F" w:rsidP="00287E78">
      <w:pPr>
        <w:pStyle w:val="ListParagraph"/>
        <w:numPr>
          <w:ilvl w:val="0"/>
          <w:numId w:val="46"/>
        </w:numPr>
        <w:spacing w:before="40" w:after="0" w:line="200" w:lineRule="exact"/>
        <w:contextualSpacing w:val="0"/>
        <w:jc w:val="both"/>
        <w:rPr>
          <w:rFonts w:ascii="Times New Roman" w:hAnsi="Times New Roman" w:cs="Times New Roman"/>
          <w:sz w:val="18"/>
          <w:szCs w:val="18"/>
        </w:rPr>
      </w:pPr>
      <w:r w:rsidRPr="008E4980">
        <w:rPr>
          <w:rFonts w:ascii="Times New Roman" w:hAnsi="Times New Roman" w:cs="Times New Roman"/>
          <w:sz w:val="18"/>
          <w:szCs w:val="18"/>
        </w:rPr>
        <w:t>No restriction direct or indirect should be put on the jurisdiction, powers and authority of the Finance Commissions, which are conferred by Chapter I of Part XII of the Constitution;</w:t>
      </w:r>
    </w:p>
    <w:p w14:paraId="336328FA" w14:textId="30021AF5" w:rsidR="00EB236F" w:rsidRPr="008E4980" w:rsidRDefault="00EB236F" w:rsidP="00287E78">
      <w:pPr>
        <w:pStyle w:val="ListParagraph"/>
        <w:numPr>
          <w:ilvl w:val="0"/>
          <w:numId w:val="46"/>
        </w:numPr>
        <w:spacing w:before="40" w:after="0" w:line="200" w:lineRule="exact"/>
        <w:contextualSpacing w:val="0"/>
        <w:jc w:val="both"/>
        <w:rPr>
          <w:rFonts w:ascii="Times New Roman" w:hAnsi="Times New Roman" w:cs="Times New Roman"/>
          <w:sz w:val="18"/>
          <w:szCs w:val="18"/>
        </w:rPr>
      </w:pPr>
      <w:r w:rsidRPr="008E4980">
        <w:rPr>
          <w:rFonts w:ascii="Times New Roman" w:hAnsi="Times New Roman" w:cs="Times New Roman"/>
          <w:sz w:val="18"/>
          <w:szCs w:val="18"/>
        </w:rPr>
        <w:t>That the Union Government should not give any plan or non-plan grants to the States on a regular basis which can be given only by the Finance Commission under Article 275;</w:t>
      </w:r>
    </w:p>
    <w:p w14:paraId="7E27CF11" w14:textId="4684A39C" w:rsidR="00EB236F" w:rsidRPr="008E4980" w:rsidRDefault="00EB236F" w:rsidP="00287E78">
      <w:pPr>
        <w:pStyle w:val="ListParagraph"/>
        <w:numPr>
          <w:ilvl w:val="0"/>
          <w:numId w:val="46"/>
        </w:numPr>
        <w:spacing w:before="40" w:after="0" w:line="200" w:lineRule="exact"/>
        <w:contextualSpacing w:val="0"/>
        <w:jc w:val="both"/>
        <w:rPr>
          <w:rFonts w:ascii="Times New Roman" w:hAnsi="Times New Roman" w:cs="Times New Roman"/>
          <w:sz w:val="18"/>
          <w:szCs w:val="18"/>
        </w:rPr>
      </w:pPr>
      <w:r w:rsidRPr="008E4980">
        <w:rPr>
          <w:rFonts w:ascii="Times New Roman" w:hAnsi="Times New Roman" w:cs="Times New Roman"/>
          <w:sz w:val="18"/>
          <w:szCs w:val="18"/>
        </w:rPr>
        <w:t>The special public purpose grants under Article 282 may be given by the Centre on </w:t>
      </w:r>
      <w:r w:rsidRPr="008E4980">
        <w:rPr>
          <w:rFonts w:ascii="Times New Roman" w:hAnsi="Times New Roman" w:cs="Times New Roman"/>
          <w:i/>
          <w:iCs/>
          <w:sz w:val="18"/>
          <w:szCs w:val="18"/>
        </w:rPr>
        <w:t>ad hoc</w:t>
      </w:r>
      <w:r w:rsidRPr="008E4980">
        <w:rPr>
          <w:rFonts w:ascii="Times New Roman" w:hAnsi="Times New Roman" w:cs="Times New Roman"/>
          <w:sz w:val="18"/>
          <w:szCs w:val="18"/>
        </w:rPr>
        <w:t> basis only, to meet exceptional or emergency situations and not as a regular alternative channel of Central transfers to the States;</w:t>
      </w:r>
    </w:p>
    <w:p w14:paraId="583FAD9E" w14:textId="05958AB6" w:rsidR="00EB236F" w:rsidRPr="008E4980" w:rsidRDefault="00EB236F" w:rsidP="00287E78">
      <w:pPr>
        <w:pStyle w:val="ListParagraph"/>
        <w:numPr>
          <w:ilvl w:val="0"/>
          <w:numId w:val="46"/>
        </w:numPr>
        <w:spacing w:before="40" w:after="0" w:line="200" w:lineRule="exact"/>
        <w:contextualSpacing w:val="0"/>
        <w:jc w:val="both"/>
        <w:rPr>
          <w:rFonts w:ascii="Times New Roman" w:hAnsi="Times New Roman" w:cs="Times New Roman"/>
          <w:sz w:val="18"/>
          <w:szCs w:val="18"/>
        </w:rPr>
      </w:pPr>
      <w:r w:rsidRPr="008E4980">
        <w:rPr>
          <w:rFonts w:ascii="Times New Roman" w:hAnsi="Times New Roman" w:cs="Times New Roman"/>
          <w:sz w:val="18"/>
          <w:szCs w:val="18"/>
        </w:rPr>
        <w:t>The Union Government should not exercise the jurisdiction, powers and authority of the Finance Commission through the Planning Commission, Finance Ministry or any of its other organs under the pretext that the Finance Commission is not in existence at that time.</w:t>
      </w:r>
    </w:p>
    <w:p w14:paraId="4F970B72" w14:textId="77777777" w:rsidR="00EB236F" w:rsidRPr="00121AF5" w:rsidRDefault="00EB236F" w:rsidP="00287E78">
      <w:pPr>
        <w:spacing w:before="40" w:after="0" w:line="200" w:lineRule="exact"/>
        <w:jc w:val="center"/>
        <w:rPr>
          <w:rFonts w:ascii="Times New Roman" w:hAnsi="Times New Roman" w:cs="Times New Roman"/>
          <w:sz w:val="20"/>
          <w:szCs w:val="20"/>
        </w:rPr>
      </w:pPr>
      <w:r w:rsidRPr="00121AF5">
        <w:rPr>
          <w:rFonts w:ascii="Times New Roman" w:hAnsi="Times New Roman" w:cs="Times New Roman"/>
          <w:b/>
          <w:bCs/>
          <w:sz w:val="20"/>
          <w:szCs w:val="20"/>
        </w:rPr>
        <w:t>3. DISTRIBUTION OF TAXES</w:t>
      </w:r>
    </w:p>
    <w:p w14:paraId="709EE1E3"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w:t>
      </w:r>
      <w:r w:rsidRPr="00F47786">
        <w:rPr>
          <w:rFonts w:ascii="Times New Roman" w:hAnsi="Times New Roman" w:cs="Times New Roman"/>
          <w:sz w:val="18"/>
          <w:szCs w:val="18"/>
        </w:rPr>
        <w:t> In the matter of distribution of the proceeds from the taxes, the Centre has not always been fair to the States. There are instances, where the States have been wrongfully deprived of their legitimate shares by dubious means. A striking example is that of income tax revenue. Before the year 1959, the entire collections of income tax paid by individuals as well as companies was divisible and shared between the Centre and the States. In 1959, the income tax paid by the companies was abolished and the rates of corporation tax raised. The latter being non-shareable with the States, they suffered loss in their share of income tax earlier paid by the companies.</w:t>
      </w:r>
    </w:p>
    <w:p w14:paraId="312AA050"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3.2</w:t>
      </w:r>
      <w:r w:rsidRPr="00F47786">
        <w:rPr>
          <w:rFonts w:ascii="Times New Roman" w:hAnsi="Times New Roman" w:cs="Times New Roman"/>
          <w:sz w:val="18"/>
          <w:szCs w:val="18"/>
        </w:rPr>
        <w:t xml:space="preserve"> The </w:t>
      </w:r>
      <w:proofErr w:type="gramStart"/>
      <w:r w:rsidRPr="00F47786">
        <w:rPr>
          <w:rFonts w:ascii="Times New Roman" w:hAnsi="Times New Roman" w:cs="Times New Roman"/>
          <w:sz w:val="18"/>
          <w:szCs w:val="18"/>
        </w:rPr>
        <w:t>Finance Minister</w:t>
      </w:r>
      <w:proofErr w:type="gramEnd"/>
      <w:r w:rsidRPr="00F47786">
        <w:rPr>
          <w:rFonts w:ascii="Times New Roman" w:hAnsi="Times New Roman" w:cs="Times New Roman"/>
          <w:sz w:val="18"/>
          <w:szCs w:val="18"/>
        </w:rPr>
        <w:t xml:space="preserve"> was conscious of the fact that the States will strongly resent and will not easily reconcile to this recurring heavy financial loss. Hence, he announced in his budget speech in February, 1959 that the States will be compensated for this loss by some other means. This assurance was implemented by paying to the States compensatory ad-hoc grants-in-aid of revenue for the years 1959-60, 1960-61 and 1961-62 to make good their loss in the income tax share.</w:t>
      </w:r>
    </w:p>
    <w:p w14:paraId="4B54EECF"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3.3</w:t>
      </w:r>
      <w:r w:rsidRPr="00F47786">
        <w:rPr>
          <w:rFonts w:ascii="Times New Roman" w:hAnsi="Times New Roman" w:cs="Times New Roman"/>
          <w:sz w:val="18"/>
          <w:szCs w:val="18"/>
        </w:rPr>
        <w:t xml:space="preserve"> When the Third Finance Commission was constituted in 1960, this question was referred to it. </w:t>
      </w:r>
      <w:proofErr w:type="gramStart"/>
      <w:r w:rsidRPr="00F47786">
        <w:rPr>
          <w:rFonts w:ascii="Times New Roman" w:hAnsi="Times New Roman" w:cs="Times New Roman"/>
          <w:sz w:val="18"/>
          <w:szCs w:val="18"/>
        </w:rPr>
        <w:t>But,</w:t>
      </w:r>
      <w:proofErr w:type="gramEnd"/>
      <w:r w:rsidRPr="00F47786">
        <w:rPr>
          <w:rFonts w:ascii="Times New Roman" w:hAnsi="Times New Roman" w:cs="Times New Roman"/>
          <w:sz w:val="18"/>
          <w:szCs w:val="18"/>
        </w:rPr>
        <w:t xml:space="preserve"> that Finance Commission regretted its inability to fully compensate the states on the ground that the Commission was bound by the relevant Constitutional provision and the terms of reference in the Presidential Order of appointment of the Commission. However, the Commission recommended the increase in the States share of individual income tax from 60 per cent to 66 2/3 per cent. Thus, the fact that the States were deprived of their legitimate share in the entire income tax collections was acknowledged by both, the Finance Commission and the Union Government.</w:t>
      </w:r>
    </w:p>
    <w:p w14:paraId="145A5B8F"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3.4</w:t>
      </w:r>
      <w:r w:rsidRPr="00F47786">
        <w:rPr>
          <w:rFonts w:ascii="Times New Roman" w:hAnsi="Times New Roman" w:cs="Times New Roman"/>
          <w:sz w:val="18"/>
          <w:szCs w:val="18"/>
        </w:rPr>
        <w:t> Since then successive Finance Commissions have increased the States' share in the individual income tax which now stands at 85 per cent, leaving the remaining 15 per cent for the Centre. Consequently, the Centre's interest in collection of individual income tax, appears to have considerably reduced, which can be seen from a number of tax deductions it has allowed in respect of the individual income tax and the frequent exemptions granted.</w:t>
      </w:r>
    </w:p>
    <w:p w14:paraId="6977470D"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3.5</w:t>
      </w:r>
      <w:r w:rsidRPr="00F47786">
        <w:rPr>
          <w:rFonts w:ascii="Times New Roman" w:hAnsi="Times New Roman" w:cs="Times New Roman"/>
          <w:sz w:val="18"/>
          <w:szCs w:val="18"/>
        </w:rPr>
        <w:t> By making the company income tax (i.e. the corporation tax) non-shareable, the Centre has deprived the States of sharing in an expanding source of revenue. On the scrutiny of the income tax collection figures for individuals and companies and the respective shares of the Centre and the States, it becomes evident that the Centre gets too big a share and the States get a small share. The following table shows the comparative figures of income tax collections and the shares of the Centre and the States from 1950-51 to 1989-90 (BE):</w:t>
      </w:r>
    </w:p>
    <w:p w14:paraId="1FEDB037" w14:textId="77777777" w:rsidR="00EB236F" w:rsidRPr="001E5D54" w:rsidRDefault="00EB236F" w:rsidP="00287E78">
      <w:pPr>
        <w:spacing w:before="40" w:after="0" w:line="200" w:lineRule="exact"/>
        <w:jc w:val="center"/>
        <w:rPr>
          <w:rFonts w:ascii="Times New Roman" w:hAnsi="Times New Roman" w:cs="Times New Roman"/>
          <w:sz w:val="20"/>
          <w:szCs w:val="20"/>
        </w:rPr>
      </w:pPr>
      <w:r w:rsidRPr="001E5D54">
        <w:rPr>
          <w:rFonts w:ascii="Times New Roman" w:hAnsi="Times New Roman" w:cs="Times New Roman"/>
          <w:b/>
          <w:bCs/>
          <w:sz w:val="20"/>
          <w:szCs w:val="20"/>
        </w:rPr>
        <w:lastRenderedPageBreak/>
        <w:t>TAX COLLECTION ON INCOMES:</w:t>
      </w:r>
      <w:r w:rsidRPr="001E5D54">
        <w:rPr>
          <w:rFonts w:ascii="Times New Roman" w:hAnsi="Times New Roman" w:cs="Times New Roman"/>
          <w:sz w:val="20"/>
          <w:szCs w:val="20"/>
        </w:rPr>
        <w:br/>
      </w:r>
      <w:r w:rsidRPr="001E5D54">
        <w:rPr>
          <w:rFonts w:ascii="Times New Roman" w:hAnsi="Times New Roman" w:cs="Times New Roman"/>
          <w:b/>
          <w:bCs/>
          <w:sz w:val="20"/>
          <w:szCs w:val="20"/>
        </w:rPr>
        <w:t>INDIVIDUALS AND COMPANIES</w:t>
      </w:r>
    </w:p>
    <w:p w14:paraId="7C8DF66F" w14:textId="77777777" w:rsidR="00EB236F" w:rsidRPr="008E4980" w:rsidRDefault="00EB236F" w:rsidP="008E4980">
      <w:pPr>
        <w:spacing w:after="0" w:line="240" w:lineRule="auto"/>
        <w:ind w:left="7200"/>
        <w:rPr>
          <w:rFonts w:ascii="Times New Roman" w:hAnsi="Times New Roman" w:cs="Times New Roman"/>
          <w:b/>
          <w:bCs/>
          <w:i/>
          <w:iCs/>
          <w:sz w:val="18"/>
          <w:szCs w:val="18"/>
        </w:rPr>
      </w:pPr>
      <w:r w:rsidRPr="008E4980">
        <w:rPr>
          <w:rFonts w:ascii="Times New Roman" w:hAnsi="Times New Roman" w:cs="Times New Roman"/>
          <w:b/>
          <w:bCs/>
          <w:i/>
          <w:iCs/>
          <w:sz w:val="18"/>
          <w:szCs w:val="18"/>
        </w:rPr>
        <w:t>(Rs. crores)</w:t>
      </w:r>
    </w:p>
    <w:tbl>
      <w:tblPr>
        <w:tblW w:w="7508" w:type="dxa"/>
        <w:jc w:val="center"/>
        <w:tblLook w:val="04A0" w:firstRow="1" w:lastRow="0" w:firstColumn="1" w:lastColumn="0" w:noHBand="0" w:noVBand="1"/>
      </w:tblPr>
      <w:tblGrid>
        <w:gridCol w:w="1119"/>
        <w:gridCol w:w="1087"/>
        <w:gridCol w:w="1131"/>
        <w:gridCol w:w="1389"/>
        <w:gridCol w:w="1392"/>
        <w:gridCol w:w="1390"/>
      </w:tblGrid>
      <w:tr w:rsidR="008E4980" w:rsidRPr="001E5D54" w14:paraId="4F56D5CE" w14:textId="77777777" w:rsidTr="008E4980">
        <w:trPr>
          <w:trHeight w:val="20"/>
          <w:jc w:val="center"/>
        </w:trPr>
        <w:tc>
          <w:tcPr>
            <w:tcW w:w="1119" w:type="dxa"/>
            <w:tcBorders>
              <w:top w:val="single" w:sz="4" w:space="0" w:color="auto"/>
              <w:left w:val="single" w:sz="4" w:space="0" w:color="auto"/>
              <w:bottom w:val="single" w:sz="4" w:space="0" w:color="auto"/>
              <w:right w:val="single" w:sz="4" w:space="0" w:color="auto"/>
            </w:tcBorders>
            <w:vAlign w:val="center"/>
            <w:hideMark/>
          </w:tcPr>
          <w:p w14:paraId="5DA597EF" w14:textId="77777777" w:rsidR="008E4980" w:rsidRPr="001E5D54" w:rsidRDefault="008E4980" w:rsidP="008E4980">
            <w:pPr>
              <w:spacing w:after="0" w:line="240" w:lineRule="auto"/>
              <w:jc w:val="center"/>
              <w:rPr>
                <w:rFonts w:ascii="Aptos" w:eastAsia="Times New Roman" w:hAnsi="Aptos" w:cs="Times New Roman"/>
                <w:color w:val="000000"/>
                <w:kern w:val="0"/>
                <w:szCs w:val="24"/>
                <w:lang w:eastAsia="en-IN" w:bidi="ar-SA"/>
                <w14:ligatures w14:val="none"/>
              </w:rPr>
            </w:pPr>
            <w:r w:rsidRPr="001E5D54">
              <w:rPr>
                <w:rFonts w:ascii="Aptos" w:eastAsia="Times New Roman" w:hAnsi="Aptos" w:cs="Times New Roman"/>
                <w:color w:val="000000"/>
                <w:kern w:val="0"/>
                <w:szCs w:val="24"/>
                <w:lang w:eastAsia="en-IN" w:bidi="ar-SA"/>
                <w14:ligatures w14:val="none"/>
              </w:rPr>
              <w:t> </w:t>
            </w:r>
          </w:p>
        </w:tc>
        <w:tc>
          <w:tcPr>
            <w:tcW w:w="2218" w:type="dxa"/>
            <w:gridSpan w:val="2"/>
            <w:tcBorders>
              <w:top w:val="single" w:sz="4" w:space="0" w:color="auto"/>
              <w:left w:val="nil"/>
              <w:bottom w:val="single" w:sz="4" w:space="0" w:color="auto"/>
              <w:right w:val="single" w:sz="4" w:space="0" w:color="auto"/>
            </w:tcBorders>
            <w:vAlign w:val="center"/>
            <w:hideMark/>
          </w:tcPr>
          <w:p w14:paraId="2A2C0747" w14:textId="2A266A9D" w:rsidR="008E4980" w:rsidRPr="008E4980" w:rsidRDefault="008E4980" w:rsidP="008E4980">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Income Tax paid by</w:t>
            </w:r>
          </w:p>
        </w:tc>
        <w:tc>
          <w:tcPr>
            <w:tcW w:w="1389" w:type="dxa"/>
            <w:vMerge w:val="restart"/>
            <w:tcBorders>
              <w:top w:val="single" w:sz="4" w:space="0" w:color="auto"/>
              <w:left w:val="nil"/>
              <w:right w:val="single" w:sz="4" w:space="0" w:color="auto"/>
            </w:tcBorders>
            <w:vAlign w:val="center"/>
            <w:hideMark/>
          </w:tcPr>
          <w:p w14:paraId="4A343E22" w14:textId="77777777" w:rsidR="008E4980" w:rsidRPr="001E5D54" w:rsidRDefault="008E4980" w:rsidP="008E4980">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Total</w:t>
            </w:r>
          </w:p>
          <w:p w14:paraId="76200269" w14:textId="5140750B"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Income Tax</w:t>
            </w:r>
          </w:p>
        </w:tc>
        <w:tc>
          <w:tcPr>
            <w:tcW w:w="1392" w:type="dxa"/>
            <w:vMerge w:val="restart"/>
            <w:tcBorders>
              <w:top w:val="single" w:sz="4" w:space="0" w:color="auto"/>
              <w:left w:val="nil"/>
              <w:right w:val="single" w:sz="4" w:space="0" w:color="auto"/>
            </w:tcBorders>
            <w:vAlign w:val="center"/>
            <w:hideMark/>
          </w:tcPr>
          <w:p w14:paraId="79F3D401" w14:textId="77777777" w:rsidR="008E4980" w:rsidRPr="001E5D54" w:rsidRDefault="008E4980" w:rsidP="008E4980">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Amount</w:t>
            </w:r>
          </w:p>
          <w:p w14:paraId="45096B42" w14:textId="1A192FE3"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of States' Share</w:t>
            </w:r>
          </w:p>
        </w:tc>
        <w:tc>
          <w:tcPr>
            <w:tcW w:w="1390" w:type="dxa"/>
            <w:vMerge w:val="restart"/>
            <w:tcBorders>
              <w:top w:val="single" w:sz="4" w:space="0" w:color="auto"/>
              <w:left w:val="nil"/>
              <w:right w:val="single" w:sz="4" w:space="0" w:color="auto"/>
            </w:tcBorders>
            <w:vAlign w:val="center"/>
            <w:hideMark/>
          </w:tcPr>
          <w:p w14:paraId="3E4EEACD" w14:textId="77777777" w:rsidR="008E4980" w:rsidRPr="001E5D54" w:rsidRDefault="008E4980" w:rsidP="008E4980">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Percentage</w:t>
            </w:r>
          </w:p>
          <w:p w14:paraId="15649939" w14:textId="74928BB1"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of States' Share</w:t>
            </w:r>
          </w:p>
        </w:tc>
      </w:tr>
      <w:tr w:rsidR="008E4980" w:rsidRPr="001E5D54" w14:paraId="656C7980"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51551F38" w14:textId="77777777"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Year</w:t>
            </w:r>
          </w:p>
        </w:tc>
        <w:tc>
          <w:tcPr>
            <w:tcW w:w="1087" w:type="dxa"/>
            <w:tcBorders>
              <w:top w:val="nil"/>
              <w:left w:val="nil"/>
              <w:bottom w:val="single" w:sz="4" w:space="0" w:color="auto"/>
              <w:right w:val="single" w:sz="4" w:space="0" w:color="auto"/>
            </w:tcBorders>
            <w:vAlign w:val="center"/>
            <w:hideMark/>
          </w:tcPr>
          <w:p w14:paraId="499B89F3" w14:textId="77777777"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Individuals</w:t>
            </w:r>
          </w:p>
        </w:tc>
        <w:tc>
          <w:tcPr>
            <w:tcW w:w="1131" w:type="dxa"/>
            <w:tcBorders>
              <w:top w:val="nil"/>
              <w:left w:val="nil"/>
              <w:bottom w:val="single" w:sz="4" w:space="0" w:color="auto"/>
              <w:right w:val="single" w:sz="4" w:space="0" w:color="auto"/>
            </w:tcBorders>
            <w:vAlign w:val="center"/>
            <w:hideMark/>
          </w:tcPr>
          <w:p w14:paraId="6F080A9D" w14:textId="77777777"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1E5D54">
              <w:rPr>
                <w:rFonts w:ascii="Times New Roman" w:eastAsia="Times New Roman" w:hAnsi="Times New Roman" w:cs="Times New Roman"/>
                <w:b/>
                <w:bCs/>
                <w:color w:val="000000"/>
                <w:kern w:val="0"/>
                <w:sz w:val="18"/>
                <w:szCs w:val="16"/>
                <w:lang w:eastAsia="en-IN" w:bidi="ar-SA"/>
                <w14:ligatures w14:val="none"/>
              </w:rPr>
              <w:t>Companies</w:t>
            </w:r>
          </w:p>
        </w:tc>
        <w:tc>
          <w:tcPr>
            <w:tcW w:w="1389" w:type="dxa"/>
            <w:vMerge/>
            <w:tcBorders>
              <w:left w:val="nil"/>
              <w:bottom w:val="single" w:sz="4" w:space="0" w:color="auto"/>
              <w:right w:val="single" w:sz="4" w:space="0" w:color="auto"/>
            </w:tcBorders>
            <w:vAlign w:val="center"/>
            <w:hideMark/>
          </w:tcPr>
          <w:p w14:paraId="228C12FC" w14:textId="4D2CC952"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p>
        </w:tc>
        <w:tc>
          <w:tcPr>
            <w:tcW w:w="1392" w:type="dxa"/>
            <w:vMerge/>
            <w:tcBorders>
              <w:left w:val="nil"/>
              <w:bottom w:val="single" w:sz="4" w:space="0" w:color="auto"/>
              <w:right w:val="single" w:sz="4" w:space="0" w:color="auto"/>
            </w:tcBorders>
            <w:vAlign w:val="center"/>
            <w:hideMark/>
          </w:tcPr>
          <w:p w14:paraId="72C12164" w14:textId="434CF22F"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p>
        </w:tc>
        <w:tc>
          <w:tcPr>
            <w:tcW w:w="1390" w:type="dxa"/>
            <w:vMerge/>
            <w:tcBorders>
              <w:left w:val="nil"/>
              <w:bottom w:val="single" w:sz="4" w:space="0" w:color="auto"/>
              <w:right w:val="single" w:sz="4" w:space="0" w:color="auto"/>
            </w:tcBorders>
            <w:vAlign w:val="center"/>
            <w:hideMark/>
          </w:tcPr>
          <w:p w14:paraId="762ADCFB" w14:textId="1E18F3D5" w:rsidR="008E4980" w:rsidRPr="001E5D54" w:rsidRDefault="008E4980" w:rsidP="001E5D54">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p>
        </w:tc>
      </w:tr>
      <w:tr w:rsidR="001E5D54" w:rsidRPr="001E5D54" w14:paraId="08D68BFD"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D7E082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w:t>
            </w:r>
          </w:p>
        </w:tc>
        <w:tc>
          <w:tcPr>
            <w:tcW w:w="1087" w:type="dxa"/>
            <w:tcBorders>
              <w:top w:val="nil"/>
              <w:left w:val="nil"/>
              <w:bottom w:val="single" w:sz="4" w:space="0" w:color="auto"/>
              <w:right w:val="single" w:sz="4" w:space="0" w:color="auto"/>
            </w:tcBorders>
            <w:vAlign w:val="center"/>
            <w:hideMark/>
          </w:tcPr>
          <w:p w14:paraId="370AB1A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w:t>
            </w:r>
          </w:p>
        </w:tc>
        <w:tc>
          <w:tcPr>
            <w:tcW w:w="1131" w:type="dxa"/>
            <w:tcBorders>
              <w:top w:val="nil"/>
              <w:left w:val="nil"/>
              <w:bottom w:val="single" w:sz="4" w:space="0" w:color="auto"/>
              <w:right w:val="single" w:sz="4" w:space="0" w:color="auto"/>
            </w:tcBorders>
            <w:vAlign w:val="center"/>
            <w:hideMark/>
          </w:tcPr>
          <w:p w14:paraId="304E417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w:t>
            </w:r>
          </w:p>
        </w:tc>
        <w:tc>
          <w:tcPr>
            <w:tcW w:w="1389" w:type="dxa"/>
            <w:tcBorders>
              <w:top w:val="nil"/>
              <w:left w:val="nil"/>
              <w:bottom w:val="single" w:sz="4" w:space="0" w:color="auto"/>
              <w:right w:val="single" w:sz="4" w:space="0" w:color="auto"/>
            </w:tcBorders>
            <w:vAlign w:val="center"/>
            <w:hideMark/>
          </w:tcPr>
          <w:p w14:paraId="4531437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w:t>
            </w:r>
          </w:p>
        </w:tc>
        <w:tc>
          <w:tcPr>
            <w:tcW w:w="1392" w:type="dxa"/>
            <w:tcBorders>
              <w:top w:val="nil"/>
              <w:left w:val="nil"/>
              <w:bottom w:val="single" w:sz="4" w:space="0" w:color="auto"/>
              <w:right w:val="single" w:sz="4" w:space="0" w:color="auto"/>
            </w:tcBorders>
            <w:vAlign w:val="center"/>
            <w:hideMark/>
          </w:tcPr>
          <w:p w14:paraId="0DF748D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w:t>
            </w:r>
          </w:p>
        </w:tc>
        <w:tc>
          <w:tcPr>
            <w:tcW w:w="1390" w:type="dxa"/>
            <w:tcBorders>
              <w:top w:val="nil"/>
              <w:left w:val="nil"/>
              <w:bottom w:val="single" w:sz="4" w:space="0" w:color="auto"/>
              <w:right w:val="single" w:sz="4" w:space="0" w:color="auto"/>
            </w:tcBorders>
            <w:vAlign w:val="center"/>
            <w:hideMark/>
          </w:tcPr>
          <w:p w14:paraId="62B3051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w:t>
            </w:r>
          </w:p>
        </w:tc>
      </w:tr>
      <w:tr w:rsidR="001E5D54" w:rsidRPr="001E5D54" w14:paraId="575F63F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29C51379"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1950-51</w:t>
            </w:r>
          </w:p>
        </w:tc>
        <w:tc>
          <w:tcPr>
            <w:tcW w:w="1087" w:type="dxa"/>
            <w:tcBorders>
              <w:top w:val="nil"/>
              <w:left w:val="nil"/>
              <w:bottom w:val="single" w:sz="4" w:space="0" w:color="auto"/>
              <w:right w:val="single" w:sz="4" w:space="0" w:color="auto"/>
            </w:tcBorders>
            <w:vAlign w:val="center"/>
            <w:hideMark/>
          </w:tcPr>
          <w:p w14:paraId="0888C30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134</w:t>
            </w:r>
          </w:p>
        </w:tc>
        <w:tc>
          <w:tcPr>
            <w:tcW w:w="1131" w:type="dxa"/>
            <w:tcBorders>
              <w:top w:val="nil"/>
              <w:left w:val="nil"/>
              <w:bottom w:val="single" w:sz="4" w:space="0" w:color="auto"/>
              <w:right w:val="single" w:sz="4" w:space="0" w:color="auto"/>
            </w:tcBorders>
            <w:vAlign w:val="center"/>
            <w:hideMark/>
          </w:tcPr>
          <w:p w14:paraId="01AEB49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39</w:t>
            </w:r>
          </w:p>
        </w:tc>
        <w:tc>
          <w:tcPr>
            <w:tcW w:w="1389" w:type="dxa"/>
            <w:tcBorders>
              <w:top w:val="nil"/>
              <w:left w:val="nil"/>
              <w:bottom w:val="single" w:sz="4" w:space="0" w:color="auto"/>
              <w:right w:val="single" w:sz="4" w:space="0" w:color="auto"/>
            </w:tcBorders>
            <w:vAlign w:val="center"/>
            <w:hideMark/>
          </w:tcPr>
          <w:p w14:paraId="2653D96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173</w:t>
            </w:r>
          </w:p>
        </w:tc>
        <w:tc>
          <w:tcPr>
            <w:tcW w:w="1392" w:type="dxa"/>
            <w:tcBorders>
              <w:top w:val="nil"/>
              <w:left w:val="nil"/>
              <w:bottom w:val="single" w:sz="4" w:space="0" w:color="auto"/>
              <w:right w:val="single" w:sz="4" w:space="0" w:color="auto"/>
            </w:tcBorders>
            <w:vAlign w:val="center"/>
            <w:hideMark/>
          </w:tcPr>
          <w:p w14:paraId="79C8339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47</w:t>
            </w:r>
          </w:p>
        </w:tc>
        <w:tc>
          <w:tcPr>
            <w:tcW w:w="1390" w:type="dxa"/>
            <w:tcBorders>
              <w:top w:val="nil"/>
              <w:left w:val="nil"/>
              <w:bottom w:val="single" w:sz="4" w:space="0" w:color="auto"/>
              <w:right w:val="single" w:sz="4" w:space="0" w:color="auto"/>
            </w:tcBorders>
            <w:vAlign w:val="center"/>
            <w:hideMark/>
          </w:tcPr>
          <w:p w14:paraId="1070EDC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27.4</w:t>
            </w:r>
          </w:p>
        </w:tc>
      </w:tr>
      <w:tr w:rsidR="001E5D54" w:rsidRPr="001E5D54" w14:paraId="58F7CB32"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18B68DB"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1951-52</w:t>
            </w:r>
          </w:p>
        </w:tc>
        <w:tc>
          <w:tcPr>
            <w:tcW w:w="1087" w:type="dxa"/>
            <w:tcBorders>
              <w:top w:val="nil"/>
              <w:left w:val="nil"/>
              <w:bottom w:val="single" w:sz="4" w:space="0" w:color="auto"/>
              <w:right w:val="single" w:sz="4" w:space="0" w:color="auto"/>
            </w:tcBorders>
            <w:vAlign w:val="center"/>
            <w:hideMark/>
          </w:tcPr>
          <w:p w14:paraId="5C4256C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147</w:t>
            </w:r>
          </w:p>
        </w:tc>
        <w:tc>
          <w:tcPr>
            <w:tcW w:w="1131" w:type="dxa"/>
            <w:tcBorders>
              <w:top w:val="nil"/>
              <w:left w:val="nil"/>
              <w:bottom w:val="single" w:sz="4" w:space="0" w:color="auto"/>
              <w:right w:val="single" w:sz="4" w:space="0" w:color="auto"/>
            </w:tcBorders>
            <w:vAlign w:val="center"/>
            <w:hideMark/>
          </w:tcPr>
          <w:p w14:paraId="7807D32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41</w:t>
            </w:r>
          </w:p>
        </w:tc>
        <w:tc>
          <w:tcPr>
            <w:tcW w:w="1389" w:type="dxa"/>
            <w:tcBorders>
              <w:top w:val="nil"/>
              <w:left w:val="nil"/>
              <w:bottom w:val="single" w:sz="4" w:space="0" w:color="auto"/>
              <w:right w:val="single" w:sz="4" w:space="0" w:color="auto"/>
            </w:tcBorders>
            <w:vAlign w:val="center"/>
            <w:hideMark/>
          </w:tcPr>
          <w:p w14:paraId="5F3B7F3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187</w:t>
            </w:r>
          </w:p>
        </w:tc>
        <w:tc>
          <w:tcPr>
            <w:tcW w:w="1392" w:type="dxa"/>
            <w:tcBorders>
              <w:top w:val="nil"/>
              <w:left w:val="nil"/>
              <w:bottom w:val="single" w:sz="4" w:space="0" w:color="auto"/>
              <w:right w:val="single" w:sz="4" w:space="0" w:color="auto"/>
            </w:tcBorders>
            <w:vAlign w:val="center"/>
            <w:hideMark/>
          </w:tcPr>
          <w:p w14:paraId="088B4B5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53</w:t>
            </w:r>
          </w:p>
        </w:tc>
        <w:tc>
          <w:tcPr>
            <w:tcW w:w="1390" w:type="dxa"/>
            <w:tcBorders>
              <w:top w:val="nil"/>
              <w:left w:val="nil"/>
              <w:bottom w:val="single" w:sz="4" w:space="0" w:color="auto"/>
              <w:right w:val="single" w:sz="4" w:space="0" w:color="auto"/>
            </w:tcBorders>
            <w:vAlign w:val="center"/>
            <w:hideMark/>
          </w:tcPr>
          <w:p w14:paraId="62D6794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w:t>
            </w:r>
          </w:p>
        </w:tc>
      </w:tr>
      <w:tr w:rsidR="001E5D54" w:rsidRPr="001E5D54" w14:paraId="57FCFDCD"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353B29A9"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1952-53</w:t>
            </w:r>
          </w:p>
        </w:tc>
        <w:tc>
          <w:tcPr>
            <w:tcW w:w="1087" w:type="dxa"/>
            <w:tcBorders>
              <w:top w:val="nil"/>
              <w:left w:val="nil"/>
              <w:bottom w:val="single" w:sz="4" w:space="0" w:color="auto"/>
              <w:right w:val="single" w:sz="4" w:space="0" w:color="auto"/>
            </w:tcBorders>
            <w:vAlign w:val="center"/>
            <w:hideMark/>
          </w:tcPr>
          <w:p w14:paraId="39BA12D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143</w:t>
            </w:r>
          </w:p>
        </w:tc>
        <w:tc>
          <w:tcPr>
            <w:tcW w:w="1131" w:type="dxa"/>
            <w:tcBorders>
              <w:top w:val="nil"/>
              <w:left w:val="nil"/>
              <w:bottom w:val="single" w:sz="4" w:space="0" w:color="auto"/>
              <w:right w:val="single" w:sz="4" w:space="0" w:color="auto"/>
            </w:tcBorders>
            <w:vAlign w:val="center"/>
            <w:hideMark/>
          </w:tcPr>
          <w:p w14:paraId="3271586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43</w:t>
            </w:r>
          </w:p>
        </w:tc>
        <w:tc>
          <w:tcPr>
            <w:tcW w:w="1389" w:type="dxa"/>
            <w:tcBorders>
              <w:top w:val="nil"/>
              <w:left w:val="nil"/>
              <w:bottom w:val="single" w:sz="4" w:space="0" w:color="auto"/>
              <w:right w:val="single" w:sz="4" w:space="0" w:color="auto"/>
            </w:tcBorders>
            <w:vAlign w:val="center"/>
            <w:hideMark/>
          </w:tcPr>
          <w:p w14:paraId="415A791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186</w:t>
            </w:r>
          </w:p>
        </w:tc>
        <w:tc>
          <w:tcPr>
            <w:tcW w:w="1392" w:type="dxa"/>
            <w:tcBorders>
              <w:top w:val="nil"/>
              <w:left w:val="nil"/>
              <w:bottom w:val="single" w:sz="4" w:space="0" w:color="auto"/>
              <w:right w:val="single" w:sz="4" w:space="0" w:color="auto"/>
            </w:tcBorders>
            <w:vAlign w:val="center"/>
            <w:hideMark/>
          </w:tcPr>
          <w:p w14:paraId="46E4F86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57</w:t>
            </w:r>
          </w:p>
        </w:tc>
        <w:tc>
          <w:tcPr>
            <w:tcW w:w="1390" w:type="dxa"/>
            <w:tcBorders>
              <w:top w:val="nil"/>
              <w:left w:val="nil"/>
              <w:bottom w:val="single" w:sz="4" w:space="0" w:color="auto"/>
              <w:right w:val="single" w:sz="4" w:space="0" w:color="auto"/>
            </w:tcBorders>
            <w:vAlign w:val="center"/>
            <w:hideMark/>
          </w:tcPr>
          <w:p w14:paraId="591A10A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30.6</w:t>
            </w:r>
          </w:p>
        </w:tc>
      </w:tr>
      <w:tr w:rsidR="001E5D54" w:rsidRPr="001E5D54" w14:paraId="212DC078"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1FA19158"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1953-54</w:t>
            </w:r>
          </w:p>
        </w:tc>
        <w:tc>
          <w:tcPr>
            <w:tcW w:w="1087" w:type="dxa"/>
            <w:tcBorders>
              <w:top w:val="nil"/>
              <w:left w:val="nil"/>
              <w:bottom w:val="single" w:sz="4" w:space="0" w:color="auto"/>
              <w:right w:val="single" w:sz="4" w:space="0" w:color="auto"/>
            </w:tcBorders>
            <w:vAlign w:val="center"/>
            <w:hideMark/>
          </w:tcPr>
          <w:p w14:paraId="145197B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124</w:t>
            </w:r>
          </w:p>
        </w:tc>
        <w:tc>
          <w:tcPr>
            <w:tcW w:w="1131" w:type="dxa"/>
            <w:tcBorders>
              <w:top w:val="nil"/>
              <w:left w:val="nil"/>
              <w:bottom w:val="single" w:sz="4" w:space="0" w:color="auto"/>
              <w:right w:val="single" w:sz="4" w:space="0" w:color="auto"/>
            </w:tcBorders>
            <w:vAlign w:val="center"/>
            <w:hideMark/>
          </w:tcPr>
          <w:p w14:paraId="19360A8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40</w:t>
            </w:r>
          </w:p>
        </w:tc>
        <w:tc>
          <w:tcPr>
            <w:tcW w:w="1389" w:type="dxa"/>
            <w:tcBorders>
              <w:top w:val="nil"/>
              <w:left w:val="nil"/>
              <w:bottom w:val="single" w:sz="4" w:space="0" w:color="auto"/>
              <w:right w:val="single" w:sz="4" w:space="0" w:color="auto"/>
            </w:tcBorders>
            <w:vAlign w:val="center"/>
            <w:hideMark/>
          </w:tcPr>
          <w:p w14:paraId="493F3FC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164</w:t>
            </w:r>
          </w:p>
        </w:tc>
        <w:tc>
          <w:tcPr>
            <w:tcW w:w="1392" w:type="dxa"/>
            <w:tcBorders>
              <w:top w:val="nil"/>
              <w:left w:val="nil"/>
              <w:bottom w:val="single" w:sz="4" w:space="0" w:color="auto"/>
              <w:right w:val="single" w:sz="4" w:space="0" w:color="auto"/>
            </w:tcBorders>
            <w:vAlign w:val="center"/>
            <w:hideMark/>
          </w:tcPr>
          <w:p w14:paraId="1A7E817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57</w:t>
            </w:r>
          </w:p>
        </w:tc>
        <w:tc>
          <w:tcPr>
            <w:tcW w:w="1390" w:type="dxa"/>
            <w:tcBorders>
              <w:top w:val="nil"/>
              <w:left w:val="nil"/>
              <w:bottom w:val="single" w:sz="4" w:space="0" w:color="auto"/>
              <w:right w:val="single" w:sz="4" w:space="0" w:color="auto"/>
            </w:tcBorders>
            <w:vAlign w:val="center"/>
            <w:hideMark/>
          </w:tcPr>
          <w:p w14:paraId="023AB49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34.9</w:t>
            </w:r>
          </w:p>
        </w:tc>
      </w:tr>
      <w:tr w:rsidR="001E5D54" w:rsidRPr="001E5D54" w14:paraId="293B4608"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33D925C"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1954-55</w:t>
            </w:r>
          </w:p>
        </w:tc>
        <w:tc>
          <w:tcPr>
            <w:tcW w:w="1087" w:type="dxa"/>
            <w:tcBorders>
              <w:top w:val="nil"/>
              <w:left w:val="nil"/>
              <w:bottom w:val="single" w:sz="4" w:space="0" w:color="auto"/>
              <w:right w:val="single" w:sz="4" w:space="0" w:color="auto"/>
            </w:tcBorders>
            <w:vAlign w:val="center"/>
            <w:hideMark/>
          </w:tcPr>
          <w:p w14:paraId="1C24D14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123</w:t>
            </w:r>
          </w:p>
        </w:tc>
        <w:tc>
          <w:tcPr>
            <w:tcW w:w="1131" w:type="dxa"/>
            <w:tcBorders>
              <w:top w:val="nil"/>
              <w:left w:val="nil"/>
              <w:bottom w:val="single" w:sz="4" w:space="0" w:color="auto"/>
              <w:right w:val="single" w:sz="4" w:space="0" w:color="auto"/>
            </w:tcBorders>
            <w:vAlign w:val="center"/>
            <w:hideMark/>
          </w:tcPr>
          <w:p w14:paraId="4B7E56C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36</w:t>
            </w:r>
          </w:p>
        </w:tc>
        <w:tc>
          <w:tcPr>
            <w:tcW w:w="1389" w:type="dxa"/>
            <w:tcBorders>
              <w:top w:val="nil"/>
              <w:left w:val="nil"/>
              <w:bottom w:val="single" w:sz="4" w:space="0" w:color="auto"/>
              <w:right w:val="single" w:sz="4" w:space="0" w:color="auto"/>
            </w:tcBorders>
            <w:vAlign w:val="center"/>
            <w:hideMark/>
          </w:tcPr>
          <w:p w14:paraId="48D502E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159</w:t>
            </w:r>
          </w:p>
        </w:tc>
        <w:tc>
          <w:tcPr>
            <w:tcW w:w="1392" w:type="dxa"/>
            <w:tcBorders>
              <w:top w:val="nil"/>
              <w:left w:val="nil"/>
              <w:bottom w:val="single" w:sz="4" w:space="0" w:color="auto"/>
              <w:right w:val="single" w:sz="4" w:space="0" w:color="auto"/>
            </w:tcBorders>
            <w:vAlign w:val="center"/>
            <w:hideMark/>
          </w:tcPr>
          <w:p w14:paraId="2EDCA77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56</w:t>
            </w:r>
          </w:p>
        </w:tc>
        <w:tc>
          <w:tcPr>
            <w:tcW w:w="1390" w:type="dxa"/>
            <w:tcBorders>
              <w:top w:val="nil"/>
              <w:left w:val="nil"/>
              <w:bottom w:val="single" w:sz="4" w:space="0" w:color="auto"/>
              <w:right w:val="single" w:sz="4" w:space="0" w:color="auto"/>
            </w:tcBorders>
            <w:vAlign w:val="center"/>
            <w:hideMark/>
          </w:tcPr>
          <w:p w14:paraId="62105FE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35</w:t>
            </w:r>
          </w:p>
        </w:tc>
      </w:tr>
      <w:tr w:rsidR="001E5D54" w:rsidRPr="001E5D54" w14:paraId="798C5AC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61FA6E15"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1955-56</w:t>
            </w:r>
          </w:p>
        </w:tc>
        <w:tc>
          <w:tcPr>
            <w:tcW w:w="1087" w:type="dxa"/>
            <w:tcBorders>
              <w:top w:val="nil"/>
              <w:left w:val="nil"/>
              <w:bottom w:val="single" w:sz="4" w:space="0" w:color="auto"/>
              <w:right w:val="single" w:sz="4" w:space="0" w:color="auto"/>
            </w:tcBorders>
            <w:vAlign w:val="center"/>
            <w:hideMark/>
          </w:tcPr>
          <w:p w14:paraId="5F5DF8E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132</w:t>
            </w:r>
          </w:p>
        </w:tc>
        <w:tc>
          <w:tcPr>
            <w:tcW w:w="1131" w:type="dxa"/>
            <w:tcBorders>
              <w:top w:val="nil"/>
              <w:left w:val="nil"/>
              <w:bottom w:val="single" w:sz="4" w:space="0" w:color="auto"/>
              <w:right w:val="single" w:sz="4" w:space="0" w:color="auto"/>
            </w:tcBorders>
            <w:vAlign w:val="center"/>
            <w:hideMark/>
          </w:tcPr>
          <w:p w14:paraId="3323085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37</w:t>
            </w:r>
          </w:p>
        </w:tc>
        <w:tc>
          <w:tcPr>
            <w:tcW w:w="1389" w:type="dxa"/>
            <w:tcBorders>
              <w:top w:val="nil"/>
              <w:left w:val="nil"/>
              <w:bottom w:val="single" w:sz="4" w:space="0" w:color="auto"/>
              <w:right w:val="single" w:sz="4" w:space="0" w:color="auto"/>
            </w:tcBorders>
            <w:vAlign w:val="center"/>
            <w:hideMark/>
          </w:tcPr>
          <w:p w14:paraId="6202E71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169</w:t>
            </w:r>
          </w:p>
        </w:tc>
        <w:tc>
          <w:tcPr>
            <w:tcW w:w="1392" w:type="dxa"/>
            <w:tcBorders>
              <w:top w:val="nil"/>
              <w:left w:val="nil"/>
              <w:bottom w:val="single" w:sz="4" w:space="0" w:color="auto"/>
              <w:right w:val="single" w:sz="4" w:space="0" w:color="auto"/>
            </w:tcBorders>
            <w:vAlign w:val="center"/>
            <w:hideMark/>
          </w:tcPr>
          <w:p w14:paraId="2467304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58</w:t>
            </w:r>
          </w:p>
        </w:tc>
        <w:tc>
          <w:tcPr>
            <w:tcW w:w="1390" w:type="dxa"/>
            <w:tcBorders>
              <w:top w:val="nil"/>
              <w:left w:val="nil"/>
              <w:bottom w:val="single" w:sz="4" w:space="0" w:color="auto"/>
              <w:right w:val="single" w:sz="4" w:space="0" w:color="auto"/>
            </w:tcBorders>
            <w:vAlign w:val="center"/>
            <w:hideMark/>
          </w:tcPr>
          <w:p w14:paraId="25B3B0A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34.6</w:t>
            </w:r>
          </w:p>
        </w:tc>
      </w:tr>
      <w:tr w:rsidR="001E5D54" w:rsidRPr="001E5D54" w14:paraId="6F4FE4A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18840812"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1956-57</w:t>
            </w:r>
          </w:p>
        </w:tc>
        <w:tc>
          <w:tcPr>
            <w:tcW w:w="1087" w:type="dxa"/>
            <w:tcBorders>
              <w:top w:val="nil"/>
              <w:left w:val="nil"/>
              <w:bottom w:val="single" w:sz="4" w:space="0" w:color="auto"/>
              <w:right w:val="single" w:sz="4" w:space="0" w:color="auto"/>
            </w:tcBorders>
            <w:vAlign w:val="center"/>
            <w:hideMark/>
          </w:tcPr>
          <w:p w14:paraId="1C366AC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151</w:t>
            </w:r>
          </w:p>
        </w:tc>
        <w:tc>
          <w:tcPr>
            <w:tcW w:w="1131" w:type="dxa"/>
            <w:tcBorders>
              <w:top w:val="nil"/>
              <w:left w:val="nil"/>
              <w:bottom w:val="single" w:sz="4" w:space="0" w:color="auto"/>
              <w:right w:val="single" w:sz="4" w:space="0" w:color="auto"/>
            </w:tcBorders>
            <w:vAlign w:val="center"/>
            <w:hideMark/>
          </w:tcPr>
          <w:p w14:paraId="6EAB8F7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50</w:t>
            </w:r>
          </w:p>
        </w:tc>
        <w:tc>
          <w:tcPr>
            <w:tcW w:w="1389" w:type="dxa"/>
            <w:tcBorders>
              <w:top w:val="nil"/>
              <w:left w:val="nil"/>
              <w:bottom w:val="single" w:sz="4" w:space="0" w:color="auto"/>
              <w:right w:val="single" w:sz="4" w:space="0" w:color="auto"/>
            </w:tcBorders>
            <w:vAlign w:val="center"/>
            <w:hideMark/>
          </w:tcPr>
          <w:p w14:paraId="46AB980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202</w:t>
            </w:r>
          </w:p>
        </w:tc>
        <w:tc>
          <w:tcPr>
            <w:tcW w:w="1392" w:type="dxa"/>
            <w:tcBorders>
              <w:top w:val="nil"/>
              <w:left w:val="nil"/>
              <w:bottom w:val="single" w:sz="4" w:space="0" w:color="auto"/>
              <w:right w:val="single" w:sz="4" w:space="0" w:color="auto"/>
            </w:tcBorders>
            <w:vAlign w:val="center"/>
            <w:hideMark/>
          </w:tcPr>
          <w:p w14:paraId="3FF42F9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58</w:t>
            </w:r>
          </w:p>
        </w:tc>
        <w:tc>
          <w:tcPr>
            <w:tcW w:w="1390" w:type="dxa"/>
            <w:tcBorders>
              <w:top w:val="nil"/>
              <w:left w:val="nil"/>
              <w:bottom w:val="single" w:sz="4" w:space="0" w:color="auto"/>
              <w:right w:val="single" w:sz="4" w:space="0" w:color="auto"/>
            </w:tcBorders>
            <w:vAlign w:val="center"/>
            <w:hideMark/>
          </w:tcPr>
          <w:p w14:paraId="15D3898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28.7</w:t>
            </w:r>
          </w:p>
        </w:tc>
      </w:tr>
      <w:tr w:rsidR="001E5D54" w:rsidRPr="001E5D54" w14:paraId="7A9DFF92"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67047226"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1957-58</w:t>
            </w:r>
          </w:p>
        </w:tc>
        <w:tc>
          <w:tcPr>
            <w:tcW w:w="1087" w:type="dxa"/>
            <w:tcBorders>
              <w:top w:val="nil"/>
              <w:left w:val="nil"/>
              <w:bottom w:val="single" w:sz="4" w:space="0" w:color="auto"/>
              <w:right w:val="single" w:sz="4" w:space="0" w:color="auto"/>
            </w:tcBorders>
            <w:vAlign w:val="center"/>
            <w:hideMark/>
          </w:tcPr>
          <w:p w14:paraId="309C09B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165</w:t>
            </w:r>
          </w:p>
        </w:tc>
        <w:tc>
          <w:tcPr>
            <w:tcW w:w="1131" w:type="dxa"/>
            <w:tcBorders>
              <w:top w:val="nil"/>
              <w:left w:val="nil"/>
              <w:bottom w:val="single" w:sz="4" w:space="0" w:color="auto"/>
              <w:right w:val="single" w:sz="4" w:space="0" w:color="auto"/>
            </w:tcBorders>
            <w:vAlign w:val="center"/>
            <w:hideMark/>
          </w:tcPr>
          <w:p w14:paraId="6D2DE9F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55</w:t>
            </w:r>
          </w:p>
        </w:tc>
        <w:tc>
          <w:tcPr>
            <w:tcW w:w="1389" w:type="dxa"/>
            <w:tcBorders>
              <w:top w:val="nil"/>
              <w:left w:val="nil"/>
              <w:bottom w:val="single" w:sz="4" w:space="0" w:color="auto"/>
              <w:right w:val="single" w:sz="4" w:space="0" w:color="auto"/>
            </w:tcBorders>
            <w:vAlign w:val="center"/>
            <w:hideMark/>
          </w:tcPr>
          <w:p w14:paraId="1575172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220</w:t>
            </w:r>
          </w:p>
        </w:tc>
        <w:tc>
          <w:tcPr>
            <w:tcW w:w="1392" w:type="dxa"/>
            <w:tcBorders>
              <w:top w:val="nil"/>
              <w:left w:val="nil"/>
              <w:bottom w:val="single" w:sz="4" w:space="0" w:color="auto"/>
              <w:right w:val="single" w:sz="4" w:space="0" w:color="auto"/>
            </w:tcBorders>
            <w:vAlign w:val="center"/>
            <w:hideMark/>
          </w:tcPr>
          <w:p w14:paraId="4804E63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73</w:t>
            </w:r>
          </w:p>
        </w:tc>
        <w:tc>
          <w:tcPr>
            <w:tcW w:w="1390" w:type="dxa"/>
            <w:tcBorders>
              <w:top w:val="nil"/>
              <w:left w:val="nil"/>
              <w:bottom w:val="single" w:sz="4" w:space="0" w:color="auto"/>
              <w:right w:val="single" w:sz="4" w:space="0" w:color="auto"/>
            </w:tcBorders>
            <w:vAlign w:val="center"/>
            <w:hideMark/>
          </w:tcPr>
          <w:p w14:paraId="7F01942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33.3</w:t>
            </w:r>
          </w:p>
        </w:tc>
      </w:tr>
      <w:tr w:rsidR="001E5D54" w:rsidRPr="001E5D54" w14:paraId="6B2CC272"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1A628F09"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1958-59</w:t>
            </w:r>
          </w:p>
        </w:tc>
        <w:tc>
          <w:tcPr>
            <w:tcW w:w="1087" w:type="dxa"/>
            <w:tcBorders>
              <w:top w:val="nil"/>
              <w:left w:val="nil"/>
              <w:bottom w:val="single" w:sz="4" w:space="0" w:color="auto"/>
              <w:right w:val="single" w:sz="4" w:space="0" w:color="auto"/>
            </w:tcBorders>
            <w:vAlign w:val="center"/>
            <w:hideMark/>
          </w:tcPr>
          <w:p w14:paraId="5215FDA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172</w:t>
            </w:r>
          </w:p>
        </w:tc>
        <w:tc>
          <w:tcPr>
            <w:tcW w:w="1131" w:type="dxa"/>
            <w:tcBorders>
              <w:top w:val="nil"/>
              <w:left w:val="nil"/>
              <w:bottom w:val="single" w:sz="4" w:space="0" w:color="auto"/>
              <w:right w:val="single" w:sz="4" w:space="0" w:color="auto"/>
            </w:tcBorders>
            <w:vAlign w:val="center"/>
            <w:hideMark/>
          </w:tcPr>
          <w:p w14:paraId="30B097A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54</w:t>
            </w:r>
          </w:p>
        </w:tc>
        <w:tc>
          <w:tcPr>
            <w:tcW w:w="1389" w:type="dxa"/>
            <w:tcBorders>
              <w:top w:val="nil"/>
              <w:left w:val="nil"/>
              <w:bottom w:val="single" w:sz="4" w:space="0" w:color="auto"/>
              <w:right w:val="single" w:sz="4" w:space="0" w:color="auto"/>
            </w:tcBorders>
            <w:vAlign w:val="center"/>
            <w:hideMark/>
          </w:tcPr>
          <w:p w14:paraId="01B7C7E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226</w:t>
            </w:r>
          </w:p>
        </w:tc>
        <w:tc>
          <w:tcPr>
            <w:tcW w:w="1392" w:type="dxa"/>
            <w:tcBorders>
              <w:top w:val="nil"/>
              <w:left w:val="nil"/>
              <w:bottom w:val="single" w:sz="4" w:space="0" w:color="auto"/>
              <w:right w:val="single" w:sz="4" w:space="0" w:color="auto"/>
            </w:tcBorders>
            <w:vAlign w:val="center"/>
            <w:hideMark/>
          </w:tcPr>
          <w:p w14:paraId="027CACA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76</w:t>
            </w:r>
          </w:p>
        </w:tc>
        <w:tc>
          <w:tcPr>
            <w:tcW w:w="1390" w:type="dxa"/>
            <w:tcBorders>
              <w:top w:val="nil"/>
              <w:left w:val="nil"/>
              <w:bottom w:val="single" w:sz="4" w:space="0" w:color="auto"/>
              <w:right w:val="single" w:sz="4" w:space="0" w:color="auto"/>
            </w:tcBorders>
            <w:vAlign w:val="center"/>
            <w:hideMark/>
          </w:tcPr>
          <w:p w14:paraId="03F8644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33.5</w:t>
            </w:r>
          </w:p>
        </w:tc>
      </w:tr>
      <w:tr w:rsidR="001E5D54" w:rsidRPr="001E5D54" w14:paraId="080EE761"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2F2C77E1"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1959-60</w:t>
            </w:r>
          </w:p>
        </w:tc>
        <w:tc>
          <w:tcPr>
            <w:tcW w:w="1087" w:type="dxa"/>
            <w:tcBorders>
              <w:top w:val="nil"/>
              <w:left w:val="nil"/>
              <w:bottom w:val="single" w:sz="4" w:space="0" w:color="auto"/>
              <w:right w:val="single" w:sz="4" w:space="0" w:color="auto"/>
            </w:tcBorders>
            <w:vAlign w:val="center"/>
            <w:hideMark/>
          </w:tcPr>
          <w:p w14:paraId="57FFC51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149</w:t>
            </w:r>
          </w:p>
        </w:tc>
        <w:tc>
          <w:tcPr>
            <w:tcW w:w="1131" w:type="dxa"/>
            <w:tcBorders>
              <w:top w:val="nil"/>
              <w:left w:val="nil"/>
              <w:bottom w:val="single" w:sz="4" w:space="0" w:color="auto"/>
              <w:right w:val="single" w:sz="4" w:space="0" w:color="auto"/>
            </w:tcBorders>
            <w:vAlign w:val="center"/>
            <w:hideMark/>
          </w:tcPr>
          <w:p w14:paraId="0A38A86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107</w:t>
            </w:r>
          </w:p>
        </w:tc>
        <w:tc>
          <w:tcPr>
            <w:tcW w:w="1389" w:type="dxa"/>
            <w:tcBorders>
              <w:top w:val="nil"/>
              <w:left w:val="nil"/>
              <w:bottom w:val="single" w:sz="4" w:space="0" w:color="auto"/>
              <w:right w:val="single" w:sz="4" w:space="0" w:color="auto"/>
            </w:tcBorders>
            <w:vAlign w:val="center"/>
            <w:hideMark/>
          </w:tcPr>
          <w:p w14:paraId="3AA0140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256</w:t>
            </w:r>
          </w:p>
        </w:tc>
        <w:tc>
          <w:tcPr>
            <w:tcW w:w="1392" w:type="dxa"/>
            <w:tcBorders>
              <w:top w:val="nil"/>
              <w:left w:val="nil"/>
              <w:bottom w:val="single" w:sz="4" w:space="0" w:color="auto"/>
              <w:right w:val="single" w:sz="4" w:space="0" w:color="auto"/>
            </w:tcBorders>
            <w:vAlign w:val="center"/>
            <w:hideMark/>
          </w:tcPr>
          <w:p w14:paraId="2A2C863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79</w:t>
            </w:r>
          </w:p>
        </w:tc>
        <w:tc>
          <w:tcPr>
            <w:tcW w:w="1390" w:type="dxa"/>
            <w:tcBorders>
              <w:top w:val="nil"/>
              <w:left w:val="nil"/>
              <w:bottom w:val="single" w:sz="4" w:space="0" w:color="auto"/>
              <w:right w:val="single" w:sz="4" w:space="0" w:color="auto"/>
            </w:tcBorders>
            <w:vAlign w:val="center"/>
            <w:hideMark/>
          </w:tcPr>
          <w:p w14:paraId="0925BEA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30.9</w:t>
            </w:r>
          </w:p>
        </w:tc>
      </w:tr>
      <w:tr w:rsidR="001E5D54" w:rsidRPr="001E5D54" w14:paraId="1EE130E8"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3ECF3341"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1960-61</w:t>
            </w:r>
          </w:p>
        </w:tc>
        <w:tc>
          <w:tcPr>
            <w:tcW w:w="1087" w:type="dxa"/>
            <w:tcBorders>
              <w:top w:val="nil"/>
              <w:left w:val="nil"/>
              <w:bottom w:val="single" w:sz="4" w:space="0" w:color="auto"/>
              <w:right w:val="single" w:sz="4" w:space="0" w:color="auto"/>
            </w:tcBorders>
            <w:vAlign w:val="center"/>
            <w:hideMark/>
          </w:tcPr>
          <w:p w14:paraId="2DEE153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169</w:t>
            </w:r>
          </w:p>
        </w:tc>
        <w:tc>
          <w:tcPr>
            <w:tcW w:w="1131" w:type="dxa"/>
            <w:tcBorders>
              <w:top w:val="nil"/>
              <w:left w:val="nil"/>
              <w:bottom w:val="single" w:sz="4" w:space="0" w:color="auto"/>
              <w:right w:val="single" w:sz="4" w:space="0" w:color="auto"/>
            </w:tcBorders>
            <w:vAlign w:val="center"/>
            <w:hideMark/>
          </w:tcPr>
          <w:p w14:paraId="21B189B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111</w:t>
            </w:r>
          </w:p>
        </w:tc>
        <w:tc>
          <w:tcPr>
            <w:tcW w:w="1389" w:type="dxa"/>
            <w:tcBorders>
              <w:top w:val="nil"/>
              <w:left w:val="nil"/>
              <w:bottom w:val="single" w:sz="4" w:space="0" w:color="auto"/>
              <w:right w:val="single" w:sz="4" w:space="0" w:color="auto"/>
            </w:tcBorders>
            <w:vAlign w:val="center"/>
            <w:hideMark/>
          </w:tcPr>
          <w:p w14:paraId="32FD396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279</w:t>
            </w:r>
          </w:p>
        </w:tc>
        <w:tc>
          <w:tcPr>
            <w:tcW w:w="1392" w:type="dxa"/>
            <w:tcBorders>
              <w:top w:val="nil"/>
              <w:left w:val="nil"/>
              <w:bottom w:val="single" w:sz="4" w:space="0" w:color="auto"/>
              <w:right w:val="single" w:sz="4" w:space="0" w:color="auto"/>
            </w:tcBorders>
            <w:vAlign w:val="center"/>
            <w:hideMark/>
          </w:tcPr>
          <w:p w14:paraId="378FEAE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88</w:t>
            </w:r>
          </w:p>
        </w:tc>
        <w:tc>
          <w:tcPr>
            <w:tcW w:w="1390" w:type="dxa"/>
            <w:tcBorders>
              <w:top w:val="nil"/>
              <w:left w:val="nil"/>
              <w:bottom w:val="single" w:sz="4" w:space="0" w:color="auto"/>
              <w:right w:val="single" w:sz="4" w:space="0" w:color="auto"/>
            </w:tcBorders>
            <w:vAlign w:val="center"/>
            <w:hideMark/>
          </w:tcPr>
          <w:p w14:paraId="27345D0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31.5</w:t>
            </w:r>
          </w:p>
        </w:tc>
      </w:tr>
      <w:tr w:rsidR="001E5D54" w:rsidRPr="001E5D54" w14:paraId="7B36983E"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401DEE93"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1961-62</w:t>
            </w:r>
          </w:p>
        </w:tc>
        <w:tc>
          <w:tcPr>
            <w:tcW w:w="1087" w:type="dxa"/>
            <w:tcBorders>
              <w:top w:val="nil"/>
              <w:left w:val="nil"/>
              <w:bottom w:val="single" w:sz="4" w:space="0" w:color="auto"/>
              <w:right w:val="single" w:sz="4" w:space="0" w:color="auto"/>
            </w:tcBorders>
            <w:vAlign w:val="center"/>
            <w:hideMark/>
          </w:tcPr>
          <w:p w14:paraId="5756636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160</w:t>
            </w:r>
          </w:p>
        </w:tc>
        <w:tc>
          <w:tcPr>
            <w:tcW w:w="1131" w:type="dxa"/>
            <w:tcBorders>
              <w:top w:val="nil"/>
              <w:left w:val="nil"/>
              <w:bottom w:val="single" w:sz="4" w:space="0" w:color="auto"/>
              <w:right w:val="single" w:sz="4" w:space="0" w:color="auto"/>
            </w:tcBorders>
            <w:vAlign w:val="center"/>
            <w:hideMark/>
          </w:tcPr>
          <w:p w14:paraId="282F623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161</w:t>
            </w:r>
          </w:p>
        </w:tc>
        <w:tc>
          <w:tcPr>
            <w:tcW w:w="1389" w:type="dxa"/>
            <w:tcBorders>
              <w:top w:val="nil"/>
              <w:left w:val="nil"/>
              <w:bottom w:val="single" w:sz="4" w:space="0" w:color="auto"/>
              <w:right w:val="single" w:sz="4" w:space="0" w:color="auto"/>
            </w:tcBorders>
            <w:vAlign w:val="center"/>
            <w:hideMark/>
          </w:tcPr>
          <w:p w14:paraId="3CD8D4D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321</w:t>
            </w:r>
          </w:p>
        </w:tc>
        <w:tc>
          <w:tcPr>
            <w:tcW w:w="1392" w:type="dxa"/>
            <w:tcBorders>
              <w:top w:val="nil"/>
              <w:left w:val="nil"/>
              <w:bottom w:val="single" w:sz="4" w:space="0" w:color="auto"/>
              <w:right w:val="single" w:sz="4" w:space="0" w:color="auto"/>
            </w:tcBorders>
            <w:vAlign w:val="center"/>
            <w:hideMark/>
          </w:tcPr>
          <w:p w14:paraId="656A20A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94</w:t>
            </w:r>
          </w:p>
        </w:tc>
        <w:tc>
          <w:tcPr>
            <w:tcW w:w="1390" w:type="dxa"/>
            <w:tcBorders>
              <w:top w:val="nil"/>
              <w:left w:val="nil"/>
              <w:bottom w:val="single" w:sz="4" w:space="0" w:color="auto"/>
              <w:right w:val="single" w:sz="4" w:space="0" w:color="auto"/>
            </w:tcBorders>
            <w:vAlign w:val="center"/>
            <w:hideMark/>
          </w:tcPr>
          <w:p w14:paraId="3373C41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29.4</w:t>
            </w:r>
          </w:p>
        </w:tc>
      </w:tr>
      <w:tr w:rsidR="001E5D54" w:rsidRPr="001E5D54" w14:paraId="2C33E1E2"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87B8652"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1962-63</w:t>
            </w:r>
          </w:p>
        </w:tc>
        <w:tc>
          <w:tcPr>
            <w:tcW w:w="1087" w:type="dxa"/>
            <w:tcBorders>
              <w:top w:val="nil"/>
              <w:left w:val="nil"/>
              <w:bottom w:val="single" w:sz="4" w:space="0" w:color="auto"/>
              <w:right w:val="single" w:sz="4" w:space="0" w:color="auto"/>
            </w:tcBorders>
            <w:vAlign w:val="center"/>
            <w:hideMark/>
          </w:tcPr>
          <w:p w14:paraId="35DCE51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187</w:t>
            </w:r>
          </w:p>
        </w:tc>
        <w:tc>
          <w:tcPr>
            <w:tcW w:w="1131" w:type="dxa"/>
            <w:tcBorders>
              <w:top w:val="nil"/>
              <w:left w:val="nil"/>
              <w:bottom w:val="single" w:sz="4" w:space="0" w:color="auto"/>
              <w:right w:val="single" w:sz="4" w:space="0" w:color="auto"/>
            </w:tcBorders>
            <w:vAlign w:val="center"/>
            <w:hideMark/>
          </w:tcPr>
          <w:p w14:paraId="764E3D9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220</w:t>
            </w:r>
          </w:p>
        </w:tc>
        <w:tc>
          <w:tcPr>
            <w:tcW w:w="1389" w:type="dxa"/>
            <w:tcBorders>
              <w:top w:val="nil"/>
              <w:left w:val="nil"/>
              <w:bottom w:val="single" w:sz="4" w:space="0" w:color="auto"/>
              <w:right w:val="single" w:sz="4" w:space="0" w:color="auto"/>
            </w:tcBorders>
            <w:vAlign w:val="center"/>
            <w:hideMark/>
          </w:tcPr>
          <w:p w14:paraId="329E6CB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408</w:t>
            </w:r>
          </w:p>
        </w:tc>
        <w:tc>
          <w:tcPr>
            <w:tcW w:w="1392" w:type="dxa"/>
            <w:tcBorders>
              <w:top w:val="nil"/>
              <w:left w:val="nil"/>
              <w:bottom w:val="single" w:sz="4" w:space="0" w:color="auto"/>
              <w:right w:val="single" w:sz="4" w:space="0" w:color="auto"/>
            </w:tcBorders>
            <w:vAlign w:val="center"/>
            <w:hideMark/>
          </w:tcPr>
          <w:p w14:paraId="02BDFA8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95</w:t>
            </w:r>
          </w:p>
        </w:tc>
        <w:tc>
          <w:tcPr>
            <w:tcW w:w="1390" w:type="dxa"/>
            <w:tcBorders>
              <w:top w:val="nil"/>
              <w:left w:val="nil"/>
              <w:bottom w:val="single" w:sz="4" w:space="0" w:color="auto"/>
              <w:right w:val="single" w:sz="4" w:space="0" w:color="auto"/>
            </w:tcBorders>
            <w:vAlign w:val="center"/>
            <w:hideMark/>
          </w:tcPr>
          <w:p w14:paraId="4D40060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23.4</w:t>
            </w:r>
          </w:p>
        </w:tc>
      </w:tr>
      <w:tr w:rsidR="001E5D54" w:rsidRPr="001E5D54" w14:paraId="6A1D40B0"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5D6D7371"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1963-64</w:t>
            </w:r>
          </w:p>
        </w:tc>
        <w:tc>
          <w:tcPr>
            <w:tcW w:w="1087" w:type="dxa"/>
            <w:tcBorders>
              <w:top w:val="nil"/>
              <w:left w:val="nil"/>
              <w:bottom w:val="single" w:sz="4" w:space="0" w:color="auto"/>
              <w:right w:val="single" w:sz="4" w:space="0" w:color="auto"/>
            </w:tcBorders>
            <w:vAlign w:val="center"/>
            <w:hideMark/>
          </w:tcPr>
          <w:p w14:paraId="4AF295C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246</w:t>
            </w:r>
          </w:p>
        </w:tc>
        <w:tc>
          <w:tcPr>
            <w:tcW w:w="1131" w:type="dxa"/>
            <w:tcBorders>
              <w:top w:val="nil"/>
              <w:left w:val="nil"/>
              <w:bottom w:val="single" w:sz="4" w:space="0" w:color="auto"/>
              <w:right w:val="single" w:sz="4" w:space="0" w:color="auto"/>
            </w:tcBorders>
            <w:vAlign w:val="center"/>
            <w:hideMark/>
          </w:tcPr>
          <w:p w14:paraId="576A054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287</w:t>
            </w:r>
          </w:p>
        </w:tc>
        <w:tc>
          <w:tcPr>
            <w:tcW w:w="1389" w:type="dxa"/>
            <w:tcBorders>
              <w:top w:val="nil"/>
              <w:left w:val="nil"/>
              <w:bottom w:val="single" w:sz="4" w:space="0" w:color="auto"/>
              <w:right w:val="single" w:sz="4" w:space="0" w:color="auto"/>
            </w:tcBorders>
            <w:vAlign w:val="center"/>
            <w:hideMark/>
          </w:tcPr>
          <w:p w14:paraId="1959884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533</w:t>
            </w:r>
          </w:p>
        </w:tc>
        <w:tc>
          <w:tcPr>
            <w:tcW w:w="1392" w:type="dxa"/>
            <w:tcBorders>
              <w:top w:val="nil"/>
              <w:left w:val="nil"/>
              <w:bottom w:val="single" w:sz="4" w:space="0" w:color="auto"/>
              <w:right w:val="single" w:sz="4" w:space="0" w:color="auto"/>
            </w:tcBorders>
            <w:vAlign w:val="center"/>
            <w:hideMark/>
          </w:tcPr>
          <w:p w14:paraId="1ACCEB1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118</w:t>
            </w:r>
          </w:p>
        </w:tc>
        <w:tc>
          <w:tcPr>
            <w:tcW w:w="1390" w:type="dxa"/>
            <w:tcBorders>
              <w:top w:val="nil"/>
              <w:left w:val="nil"/>
              <w:bottom w:val="single" w:sz="4" w:space="0" w:color="auto"/>
              <w:right w:val="single" w:sz="4" w:space="0" w:color="auto"/>
            </w:tcBorders>
            <w:vAlign w:val="center"/>
            <w:hideMark/>
          </w:tcPr>
          <w:p w14:paraId="4262F9F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22.1</w:t>
            </w:r>
          </w:p>
        </w:tc>
      </w:tr>
      <w:tr w:rsidR="001E5D54" w:rsidRPr="001E5D54" w14:paraId="5143D693"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F47A1B6"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1964-65</w:t>
            </w:r>
          </w:p>
        </w:tc>
        <w:tc>
          <w:tcPr>
            <w:tcW w:w="1087" w:type="dxa"/>
            <w:tcBorders>
              <w:top w:val="nil"/>
              <w:left w:val="nil"/>
              <w:bottom w:val="single" w:sz="4" w:space="0" w:color="auto"/>
              <w:right w:val="single" w:sz="4" w:space="0" w:color="auto"/>
            </w:tcBorders>
            <w:vAlign w:val="center"/>
            <w:hideMark/>
          </w:tcPr>
          <w:p w14:paraId="7A13B40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267</w:t>
            </w:r>
          </w:p>
        </w:tc>
        <w:tc>
          <w:tcPr>
            <w:tcW w:w="1131" w:type="dxa"/>
            <w:tcBorders>
              <w:top w:val="nil"/>
              <w:left w:val="nil"/>
              <w:bottom w:val="single" w:sz="4" w:space="0" w:color="auto"/>
              <w:right w:val="single" w:sz="4" w:space="0" w:color="auto"/>
            </w:tcBorders>
            <w:vAlign w:val="center"/>
            <w:hideMark/>
          </w:tcPr>
          <w:p w14:paraId="60EE8CE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314</w:t>
            </w:r>
          </w:p>
        </w:tc>
        <w:tc>
          <w:tcPr>
            <w:tcW w:w="1389" w:type="dxa"/>
            <w:tcBorders>
              <w:top w:val="nil"/>
              <w:left w:val="nil"/>
              <w:bottom w:val="single" w:sz="4" w:space="0" w:color="auto"/>
              <w:right w:val="single" w:sz="4" w:space="0" w:color="auto"/>
            </w:tcBorders>
            <w:vAlign w:val="center"/>
            <w:hideMark/>
          </w:tcPr>
          <w:p w14:paraId="3AA0F08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581</w:t>
            </w:r>
          </w:p>
        </w:tc>
        <w:tc>
          <w:tcPr>
            <w:tcW w:w="1392" w:type="dxa"/>
            <w:tcBorders>
              <w:top w:val="nil"/>
              <w:left w:val="nil"/>
              <w:bottom w:val="single" w:sz="4" w:space="0" w:color="auto"/>
              <w:right w:val="single" w:sz="4" w:space="0" w:color="auto"/>
            </w:tcBorders>
            <w:vAlign w:val="center"/>
            <w:hideMark/>
          </w:tcPr>
          <w:p w14:paraId="4B377C9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124</w:t>
            </w:r>
          </w:p>
        </w:tc>
        <w:tc>
          <w:tcPr>
            <w:tcW w:w="1390" w:type="dxa"/>
            <w:tcBorders>
              <w:top w:val="nil"/>
              <w:left w:val="nil"/>
              <w:bottom w:val="single" w:sz="4" w:space="0" w:color="auto"/>
              <w:right w:val="single" w:sz="4" w:space="0" w:color="auto"/>
            </w:tcBorders>
            <w:vAlign w:val="center"/>
            <w:hideMark/>
          </w:tcPr>
          <w:p w14:paraId="2AB3DD7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21.3</w:t>
            </w:r>
          </w:p>
        </w:tc>
      </w:tr>
      <w:tr w:rsidR="001E5D54" w:rsidRPr="001E5D54" w14:paraId="58B50420"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328BB605"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1965-66</w:t>
            </w:r>
          </w:p>
        </w:tc>
        <w:tc>
          <w:tcPr>
            <w:tcW w:w="1087" w:type="dxa"/>
            <w:tcBorders>
              <w:top w:val="nil"/>
              <w:left w:val="nil"/>
              <w:bottom w:val="single" w:sz="4" w:space="0" w:color="auto"/>
              <w:right w:val="single" w:sz="4" w:space="0" w:color="auto"/>
            </w:tcBorders>
            <w:vAlign w:val="center"/>
            <w:hideMark/>
          </w:tcPr>
          <w:p w14:paraId="34D2B7E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272</w:t>
            </w:r>
          </w:p>
        </w:tc>
        <w:tc>
          <w:tcPr>
            <w:tcW w:w="1131" w:type="dxa"/>
            <w:tcBorders>
              <w:top w:val="nil"/>
              <w:left w:val="nil"/>
              <w:bottom w:val="single" w:sz="4" w:space="0" w:color="auto"/>
              <w:right w:val="single" w:sz="4" w:space="0" w:color="auto"/>
            </w:tcBorders>
            <w:vAlign w:val="center"/>
            <w:hideMark/>
          </w:tcPr>
          <w:p w14:paraId="12E5195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305</w:t>
            </w:r>
          </w:p>
        </w:tc>
        <w:tc>
          <w:tcPr>
            <w:tcW w:w="1389" w:type="dxa"/>
            <w:tcBorders>
              <w:top w:val="nil"/>
              <w:left w:val="nil"/>
              <w:bottom w:val="single" w:sz="4" w:space="0" w:color="auto"/>
              <w:right w:val="single" w:sz="4" w:space="0" w:color="auto"/>
            </w:tcBorders>
            <w:vAlign w:val="center"/>
            <w:hideMark/>
          </w:tcPr>
          <w:p w14:paraId="7A09057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577</w:t>
            </w:r>
          </w:p>
        </w:tc>
        <w:tc>
          <w:tcPr>
            <w:tcW w:w="1392" w:type="dxa"/>
            <w:tcBorders>
              <w:top w:val="nil"/>
              <w:left w:val="nil"/>
              <w:bottom w:val="single" w:sz="4" w:space="0" w:color="auto"/>
              <w:right w:val="single" w:sz="4" w:space="0" w:color="auto"/>
            </w:tcBorders>
            <w:vAlign w:val="center"/>
            <w:hideMark/>
          </w:tcPr>
          <w:p w14:paraId="4723027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123</w:t>
            </w:r>
          </w:p>
        </w:tc>
        <w:tc>
          <w:tcPr>
            <w:tcW w:w="1390" w:type="dxa"/>
            <w:tcBorders>
              <w:top w:val="nil"/>
              <w:left w:val="nil"/>
              <w:bottom w:val="single" w:sz="4" w:space="0" w:color="auto"/>
              <w:right w:val="single" w:sz="4" w:space="0" w:color="auto"/>
            </w:tcBorders>
            <w:vAlign w:val="center"/>
            <w:hideMark/>
          </w:tcPr>
          <w:p w14:paraId="25235D0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21.4</w:t>
            </w:r>
          </w:p>
        </w:tc>
      </w:tr>
      <w:tr w:rsidR="001E5D54" w:rsidRPr="001E5D54" w14:paraId="40AF9A42"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336C2202"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1966-67</w:t>
            </w:r>
          </w:p>
        </w:tc>
        <w:tc>
          <w:tcPr>
            <w:tcW w:w="1087" w:type="dxa"/>
            <w:tcBorders>
              <w:top w:val="nil"/>
              <w:left w:val="nil"/>
              <w:bottom w:val="single" w:sz="4" w:space="0" w:color="auto"/>
              <w:right w:val="single" w:sz="4" w:space="0" w:color="auto"/>
            </w:tcBorders>
            <w:vAlign w:val="center"/>
            <w:hideMark/>
          </w:tcPr>
          <w:p w14:paraId="56616D2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307</w:t>
            </w:r>
          </w:p>
        </w:tc>
        <w:tc>
          <w:tcPr>
            <w:tcW w:w="1131" w:type="dxa"/>
            <w:tcBorders>
              <w:top w:val="nil"/>
              <w:left w:val="nil"/>
              <w:bottom w:val="single" w:sz="4" w:space="0" w:color="auto"/>
              <w:right w:val="single" w:sz="4" w:space="0" w:color="auto"/>
            </w:tcBorders>
            <w:vAlign w:val="center"/>
            <w:hideMark/>
          </w:tcPr>
          <w:p w14:paraId="72A58DD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331</w:t>
            </w:r>
          </w:p>
        </w:tc>
        <w:tc>
          <w:tcPr>
            <w:tcW w:w="1389" w:type="dxa"/>
            <w:tcBorders>
              <w:top w:val="nil"/>
              <w:left w:val="nil"/>
              <w:bottom w:val="single" w:sz="4" w:space="0" w:color="auto"/>
              <w:right w:val="single" w:sz="4" w:space="0" w:color="auto"/>
            </w:tcBorders>
            <w:vAlign w:val="center"/>
            <w:hideMark/>
          </w:tcPr>
          <w:p w14:paraId="543F6A0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637</w:t>
            </w:r>
          </w:p>
        </w:tc>
        <w:tc>
          <w:tcPr>
            <w:tcW w:w="1392" w:type="dxa"/>
            <w:tcBorders>
              <w:top w:val="nil"/>
              <w:left w:val="nil"/>
              <w:bottom w:val="single" w:sz="4" w:space="0" w:color="auto"/>
              <w:right w:val="single" w:sz="4" w:space="0" w:color="auto"/>
            </w:tcBorders>
            <w:vAlign w:val="center"/>
            <w:hideMark/>
          </w:tcPr>
          <w:p w14:paraId="1FD3E21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137</w:t>
            </w:r>
          </w:p>
        </w:tc>
        <w:tc>
          <w:tcPr>
            <w:tcW w:w="1390" w:type="dxa"/>
            <w:tcBorders>
              <w:top w:val="nil"/>
              <w:left w:val="nil"/>
              <w:bottom w:val="single" w:sz="4" w:space="0" w:color="auto"/>
              <w:right w:val="single" w:sz="4" w:space="0" w:color="auto"/>
            </w:tcBorders>
            <w:vAlign w:val="center"/>
            <w:hideMark/>
          </w:tcPr>
          <w:p w14:paraId="1E94774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21.5</w:t>
            </w:r>
          </w:p>
        </w:tc>
      </w:tr>
      <w:tr w:rsidR="001E5D54" w:rsidRPr="001E5D54" w14:paraId="5061A098"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2BBD9ECF"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1967-68</w:t>
            </w:r>
          </w:p>
        </w:tc>
        <w:tc>
          <w:tcPr>
            <w:tcW w:w="1087" w:type="dxa"/>
            <w:tcBorders>
              <w:top w:val="nil"/>
              <w:left w:val="nil"/>
              <w:bottom w:val="single" w:sz="4" w:space="0" w:color="auto"/>
              <w:right w:val="single" w:sz="4" w:space="0" w:color="auto"/>
            </w:tcBorders>
            <w:vAlign w:val="center"/>
            <w:hideMark/>
          </w:tcPr>
          <w:p w14:paraId="248233F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326</w:t>
            </w:r>
          </w:p>
        </w:tc>
        <w:tc>
          <w:tcPr>
            <w:tcW w:w="1131" w:type="dxa"/>
            <w:tcBorders>
              <w:top w:val="nil"/>
              <w:left w:val="nil"/>
              <w:bottom w:val="single" w:sz="4" w:space="0" w:color="auto"/>
              <w:right w:val="single" w:sz="4" w:space="0" w:color="auto"/>
            </w:tcBorders>
            <w:vAlign w:val="center"/>
            <w:hideMark/>
          </w:tcPr>
          <w:p w14:paraId="320FFFC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311</w:t>
            </w:r>
          </w:p>
        </w:tc>
        <w:tc>
          <w:tcPr>
            <w:tcW w:w="1389" w:type="dxa"/>
            <w:tcBorders>
              <w:top w:val="nil"/>
              <w:left w:val="nil"/>
              <w:bottom w:val="single" w:sz="4" w:space="0" w:color="auto"/>
              <w:right w:val="single" w:sz="4" w:space="0" w:color="auto"/>
            </w:tcBorders>
            <w:vAlign w:val="center"/>
            <w:hideMark/>
          </w:tcPr>
          <w:p w14:paraId="2AD4D4A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636</w:t>
            </w:r>
          </w:p>
        </w:tc>
        <w:tc>
          <w:tcPr>
            <w:tcW w:w="1392" w:type="dxa"/>
            <w:tcBorders>
              <w:top w:val="nil"/>
              <w:left w:val="nil"/>
              <w:bottom w:val="single" w:sz="4" w:space="0" w:color="auto"/>
              <w:right w:val="single" w:sz="4" w:space="0" w:color="auto"/>
            </w:tcBorders>
            <w:vAlign w:val="center"/>
            <w:hideMark/>
          </w:tcPr>
          <w:p w14:paraId="41EEF69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174</w:t>
            </w:r>
          </w:p>
        </w:tc>
        <w:tc>
          <w:tcPr>
            <w:tcW w:w="1390" w:type="dxa"/>
            <w:tcBorders>
              <w:top w:val="nil"/>
              <w:left w:val="nil"/>
              <w:bottom w:val="single" w:sz="4" w:space="0" w:color="auto"/>
              <w:right w:val="single" w:sz="4" w:space="0" w:color="auto"/>
            </w:tcBorders>
            <w:vAlign w:val="center"/>
            <w:hideMark/>
          </w:tcPr>
          <w:p w14:paraId="0775E1B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27.4</w:t>
            </w:r>
          </w:p>
        </w:tc>
      </w:tr>
      <w:tr w:rsidR="001E5D54" w:rsidRPr="001E5D54" w14:paraId="1E7296B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4C5AC301"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1968-69</w:t>
            </w:r>
          </w:p>
        </w:tc>
        <w:tc>
          <w:tcPr>
            <w:tcW w:w="1087" w:type="dxa"/>
            <w:tcBorders>
              <w:top w:val="nil"/>
              <w:left w:val="nil"/>
              <w:bottom w:val="single" w:sz="4" w:space="0" w:color="auto"/>
              <w:right w:val="single" w:sz="4" w:space="0" w:color="auto"/>
            </w:tcBorders>
            <w:vAlign w:val="center"/>
            <w:hideMark/>
          </w:tcPr>
          <w:p w14:paraId="50F7EAC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379</w:t>
            </w:r>
          </w:p>
        </w:tc>
        <w:tc>
          <w:tcPr>
            <w:tcW w:w="1131" w:type="dxa"/>
            <w:tcBorders>
              <w:top w:val="nil"/>
              <w:left w:val="nil"/>
              <w:bottom w:val="single" w:sz="4" w:space="0" w:color="auto"/>
              <w:right w:val="single" w:sz="4" w:space="0" w:color="auto"/>
            </w:tcBorders>
            <w:vAlign w:val="center"/>
            <w:hideMark/>
          </w:tcPr>
          <w:p w14:paraId="51F5F5C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300</w:t>
            </w:r>
          </w:p>
        </w:tc>
        <w:tc>
          <w:tcPr>
            <w:tcW w:w="1389" w:type="dxa"/>
            <w:tcBorders>
              <w:top w:val="nil"/>
              <w:left w:val="nil"/>
              <w:bottom w:val="single" w:sz="4" w:space="0" w:color="auto"/>
              <w:right w:val="single" w:sz="4" w:space="0" w:color="auto"/>
            </w:tcBorders>
            <w:vAlign w:val="center"/>
            <w:hideMark/>
          </w:tcPr>
          <w:p w14:paraId="63E3DE2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678</w:t>
            </w:r>
          </w:p>
        </w:tc>
        <w:tc>
          <w:tcPr>
            <w:tcW w:w="1392" w:type="dxa"/>
            <w:tcBorders>
              <w:top w:val="nil"/>
              <w:left w:val="nil"/>
              <w:bottom w:val="single" w:sz="4" w:space="0" w:color="auto"/>
              <w:right w:val="single" w:sz="4" w:space="0" w:color="auto"/>
            </w:tcBorders>
            <w:vAlign w:val="center"/>
            <w:hideMark/>
          </w:tcPr>
          <w:p w14:paraId="37CED48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195</w:t>
            </w:r>
          </w:p>
        </w:tc>
        <w:tc>
          <w:tcPr>
            <w:tcW w:w="1390" w:type="dxa"/>
            <w:tcBorders>
              <w:top w:val="nil"/>
              <w:left w:val="nil"/>
              <w:bottom w:val="single" w:sz="4" w:space="0" w:color="auto"/>
              <w:right w:val="single" w:sz="4" w:space="0" w:color="auto"/>
            </w:tcBorders>
            <w:vAlign w:val="center"/>
            <w:hideMark/>
          </w:tcPr>
          <w:p w14:paraId="14BC7F7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28.7</w:t>
            </w:r>
          </w:p>
        </w:tc>
      </w:tr>
      <w:tr w:rsidR="001E5D54" w:rsidRPr="001E5D54" w14:paraId="68F665AC"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2D0D34A3"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1969-70</w:t>
            </w:r>
          </w:p>
        </w:tc>
        <w:tc>
          <w:tcPr>
            <w:tcW w:w="1087" w:type="dxa"/>
            <w:tcBorders>
              <w:top w:val="nil"/>
              <w:left w:val="nil"/>
              <w:bottom w:val="single" w:sz="4" w:space="0" w:color="auto"/>
              <w:right w:val="single" w:sz="4" w:space="0" w:color="auto"/>
            </w:tcBorders>
            <w:vAlign w:val="center"/>
            <w:hideMark/>
          </w:tcPr>
          <w:p w14:paraId="6EA92D9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448</w:t>
            </w:r>
          </w:p>
        </w:tc>
        <w:tc>
          <w:tcPr>
            <w:tcW w:w="1131" w:type="dxa"/>
            <w:tcBorders>
              <w:top w:val="nil"/>
              <w:left w:val="nil"/>
              <w:bottom w:val="single" w:sz="4" w:space="0" w:color="auto"/>
              <w:right w:val="single" w:sz="4" w:space="0" w:color="auto"/>
            </w:tcBorders>
            <w:vAlign w:val="center"/>
            <w:hideMark/>
          </w:tcPr>
          <w:p w14:paraId="6B47455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353</w:t>
            </w:r>
          </w:p>
        </w:tc>
        <w:tc>
          <w:tcPr>
            <w:tcW w:w="1389" w:type="dxa"/>
            <w:tcBorders>
              <w:top w:val="nil"/>
              <w:left w:val="nil"/>
              <w:bottom w:val="single" w:sz="4" w:space="0" w:color="auto"/>
              <w:right w:val="single" w:sz="4" w:space="0" w:color="auto"/>
            </w:tcBorders>
            <w:vAlign w:val="center"/>
            <w:hideMark/>
          </w:tcPr>
          <w:p w14:paraId="283CC12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802</w:t>
            </w:r>
          </w:p>
        </w:tc>
        <w:tc>
          <w:tcPr>
            <w:tcW w:w="1392" w:type="dxa"/>
            <w:tcBorders>
              <w:top w:val="nil"/>
              <w:left w:val="nil"/>
              <w:bottom w:val="single" w:sz="4" w:space="0" w:color="auto"/>
              <w:right w:val="single" w:sz="4" w:space="0" w:color="auto"/>
            </w:tcBorders>
            <w:vAlign w:val="center"/>
            <w:hideMark/>
          </w:tcPr>
          <w:p w14:paraId="3DCAA9D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293</w:t>
            </w:r>
          </w:p>
        </w:tc>
        <w:tc>
          <w:tcPr>
            <w:tcW w:w="1390" w:type="dxa"/>
            <w:tcBorders>
              <w:top w:val="nil"/>
              <w:left w:val="nil"/>
              <w:bottom w:val="single" w:sz="4" w:space="0" w:color="auto"/>
              <w:right w:val="single" w:sz="4" w:space="0" w:color="auto"/>
            </w:tcBorders>
            <w:vAlign w:val="center"/>
            <w:hideMark/>
          </w:tcPr>
          <w:p w14:paraId="22E2918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36.6</w:t>
            </w:r>
          </w:p>
        </w:tc>
      </w:tr>
      <w:tr w:rsidR="001E5D54" w:rsidRPr="001E5D54" w14:paraId="520ED6BD"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4FA77211"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1970-71</w:t>
            </w:r>
          </w:p>
        </w:tc>
        <w:tc>
          <w:tcPr>
            <w:tcW w:w="1087" w:type="dxa"/>
            <w:tcBorders>
              <w:top w:val="nil"/>
              <w:left w:val="nil"/>
              <w:bottom w:val="single" w:sz="4" w:space="0" w:color="auto"/>
              <w:right w:val="single" w:sz="4" w:space="0" w:color="auto"/>
            </w:tcBorders>
            <w:vAlign w:val="center"/>
            <w:hideMark/>
          </w:tcPr>
          <w:p w14:paraId="65CFD64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473</w:t>
            </w:r>
          </w:p>
        </w:tc>
        <w:tc>
          <w:tcPr>
            <w:tcW w:w="1131" w:type="dxa"/>
            <w:tcBorders>
              <w:top w:val="nil"/>
              <w:left w:val="nil"/>
              <w:bottom w:val="single" w:sz="4" w:space="0" w:color="auto"/>
              <w:right w:val="single" w:sz="4" w:space="0" w:color="auto"/>
            </w:tcBorders>
            <w:vAlign w:val="center"/>
            <w:hideMark/>
          </w:tcPr>
          <w:p w14:paraId="715D704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371</w:t>
            </w:r>
          </w:p>
        </w:tc>
        <w:tc>
          <w:tcPr>
            <w:tcW w:w="1389" w:type="dxa"/>
            <w:tcBorders>
              <w:top w:val="nil"/>
              <w:left w:val="nil"/>
              <w:bottom w:val="single" w:sz="4" w:space="0" w:color="auto"/>
              <w:right w:val="single" w:sz="4" w:space="0" w:color="auto"/>
            </w:tcBorders>
            <w:vAlign w:val="center"/>
            <w:hideMark/>
          </w:tcPr>
          <w:p w14:paraId="28A892D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844</w:t>
            </w:r>
          </w:p>
        </w:tc>
        <w:tc>
          <w:tcPr>
            <w:tcW w:w="1392" w:type="dxa"/>
            <w:tcBorders>
              <w:top w:val="nil"/>
              <w:left w:val="nil"/>
              <w:bottom w:val="single" w:sz="4" w:space="0" w:color="auto"/>
              <w:right w:val="single" w:sz="4" w:space="0" w:color="auto"/>
            </w:tcBorders>
            <w:vAlign w:val="center"/>
            <w:hideMark/>
          </w:tcPr>
          <w:p w14:paraId="6615BCC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359</w:t>
            </w:r>
          </w:p>
        </w:tc>
        <w:tc>
          <w:tcPr>
            <w:tcW w:w="1390" w:type="dxa"/>
            <w:tcBorders>
              <w:top w:val="nil"/>
              <w:left w:val="nil"/>
              <w:bottom w:val="single" w:sz="4" w:space="0" w:color="auto"/>
              <w:right w:val="single" w:sz="4" w:space="0" w:color="auto"/>
            </w:tcBorders>
            <w:vAlign w:val="center"/>
            <w:hideMark/>
          </w:tcPr>
          <w:p w14:paraId="6AF848D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42.6</w:t>
            </w:r>
          </w:p>
        </w:tc>
      </w:tr>
      <w:tr w:rsidR="001E5D54" w:rsidRPr="001E5D54" w14:paraId="4914065F"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1E50F5E4"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1971-72</w:t>
            </w:r>
          </w:p>
        </w:tc>
        <w:tc>
          <w:tcPr>
            <w:tcW w:w="1087" w:type="dxa"/>
            <w:tcBorders>
              <w:top w:val="nil"/>
              <w:left w:val="nil"/>
              <w:bottom w:val="single" w:sz="4" w:space="0" w:color="auto"/>
              <w:right w:val="single" w:sz="4" w:space="0" w:color="auto"/>
            </w:tcBorders>
            <w:vAlign w:val="center"/>
            <w:hideMark/>
          </w:tcPr>
          <w:p w14:paraId="22F5EE8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537</w:t>
            </w:r>
          </w:p>
        </w:tc>
        <w:tc>
          <w:tcPr>
            <w:tcW w:w="1131" w:type="dxa"/>
            <w:tcBorders>
              <w:top w:val="nil"/>
              <w:left w:val="nil"/>
              <w:bottom w:val="single" w:sz="4" w:space="0" w:color="auto"/>
              <w:right w:val="single" w:sz="4" w:space="0" w:color="auto"/>
            </w:tcBorders>
            <w:vAlign w:val="center"/>
            <w:hideMark/>
          </w:tcPr>
          <w:p w14:paraId="4FCC0AC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472</w:t>
            </w:r>
          </w:p>
        </w:tc>
        <w:tc>
          <w:tcPr>
            <w:tcW w:w="1389" w:type="dxa"/>
            <w:tcBorders>
              <w:top w:val="nil"/>
              <w:left w:val="nil"/>
              <w:bottom w:val="single" w:sz="4" w:space="0" w:color="auto"/>
              <w:right w:val="single" w:sz="4" w:space="0" w:color="auto"/>
            </w:tcBorders>
            <w:vAlign w:val="center"/>
            <w:hideMark/>
          </w:tcPr>
          <w:p w14:paraId="61C56EE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1009</w:t>
            </w:r>
          </w:p>
        </w:tc>
        <w:tc>
          <w:tcPr>
            <w:tcW w:w="1392" w:type="dxa"/>
            <w:tcBorders>
              <w:top w:val="nil"/>
              <w:left w:val="nil"/>
              <w:bottom w:val="single" w:sz="4" w:space="0" w:color="auto"/>
              <w:right w:val="single" w:sz="4" w:space="0" w:color="auto"/>
            </w:tcBorders>
            <w:vAlign w:val="center"/>
            <w:hideMark/>
          </w:tcPr>
          <w:p w14:paraId="6E3D214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460</w:t>
            </w:r>
          </w:p>
        </w:tc>
        <w:tc>
          <w:tcPr>
            <w:tcW w:w="1390" w:type="dxa"/>
            <w:tcBorders>
              <w:top w:val="nil"/>
              <w:left w:val="nil"/>
              <w:bottom w:val="single" w:sz="4" w:space="0" w:color="auto"/>
              <w:right w:val="single" w:sz="4" w:space="0" w:color="auto"/>
            </w:tcBorders>
            <w:vAlign w:val="center"/>
            <w:hideMark/>
          </w:tcPr>
          <w:p w14:paraId="3A32C74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45.6</w:t>
            </w:r>
          </w:p>
        </w:tc>
      </w:tr>
      <w:tr w:rsidR="001E5D54" w:rsidRPr="001E5D54" w14:paraId="50EE3955"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204555F6"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1972-73</w:t>
            </w:r>
          </w:p>
        </w:tc>
        <w:tc>
          <w:tcPr>
            <w:tcW w:w="1087" w:type="dxa"/>
            <w:tcBorders>
              <w:top w:val="nil"/>
              <w:left w:val="nil"/>
              <w:bottom w:val="single" w:sz="4" w:space="0" w:color="auto"/>
              <w:right w:val="single" w:sz="4" w:space="0" w:color="auto"/>
            </w:tcBorders>
            <w:vAlign w:val="center"/>
            <w:hideMark/>
          </w:tcPr>
          <w:p w14:paraId="1EFF83F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630</w:t>
            </w:r>
          </w:p>
        </w:tc>
        <w:tc>
          <w:tcPr>
            <w:tcW w:w="1131" w:type="dxa"/>
            <w:tcBorders>
              <w:top w:val="nil"/>
              <w:left w:val="nil"/>
              <w:bottom w:val="single" w:sz="4" w:space="0" w:color="auto"/>
              <w:right w:val="single" w:sz="4" w:space="0" w:color="auto"/>
            </w:tcBorders>
            <w:vAlign w:val="center"/>
            <w:hideMark/>
          </w:tcPr>
          <w:p w14:paraId="4B76DDD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558</w:t>
            </w:r>
          </w:p>
        </w:tc>
        <w:tc>
          <w:tcPr>
            <w:tcW w:w="1389" w:type="dxa"/>
            <w:tcBorders>
              <w:top w:val="nil"/>
              <w:left w:val="nil"/>
              <w:bottom w:val="single" w:sz="4" w:space="0" w:color="auto"/>
              <w:right w:val="single" w:sz="4" w:space="0" w:color="auto"/>
            </w:tcBorders>
            <w:vAlign w:val="center"/>
            <w:hideMark/>
          </w:tcPr>
          <w:p w14:paraId="2A29810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1188</w:t>
            </w:r>
          </w:p>
        </w:tc>
        <w:tc>
          <w:tcPr>
            <w:tcW w:w="1392" w:type="dxa"/>
            <w:tcBorders>
              <w:top w:val="nil"/>
              <w:left w:val="nil"/>
              <w:bottom w:val="single" w:sz="4" w:space="0" w:color="auto"/>
              <w:right w:val="single" w:sz="4" w:space="0" w:color="auto"/>
            </w:tcBorders>
            <w:vAlign w:val="center"/>
            <w:hideMark/>
          </w:tcPr>
          <w:p w14:paraId="154705E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488</w:t>
            </w:r>
          </w:p>
        </w:tc>
        <w:tc>
          <w:tcPr>
            <w:tcW w:w="1390" w:type="dxa"/>
            <w:tcBorders>
              <w:top w:val="nil"/>
              <w:left w:val="nil"/>
              <w:bottom w:val="single" w:sz="4" w:space="0" w:color="auto"/>
              <w:right w:val="single" w:sz="4" w:space="0" w:color="auto"/>
            </w:tcBorders>
            <w:vAlign w:val="center"/>
            <w:hideMark/>
          </w:tcPr>
          <w:p w14:paraId="60B9BF5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41.1</w:t>
            </w:r>
          </w:p>
        </w:tc>
      </w:tr>
      <w:tr w:rsidR="001E5D54" w:rsidRPr="001E5D54" w14:paraId="3081ED37"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5E1A4BB7"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1973-74</w:t>
            </w:r>
          </w:p>
        </w:tc>
        <w:tc>
          <w:tcPr>
            <w:tcW w:w="1087" w:type="dxa"/>
            <w:tcBorders>
              <w:top w:val="nil"/>
              <w:left w:val="nil"/>
              <w:bottom w:val="single" w:sz="4" w:space="0" w:color="auto"/>
              <w:right w:val="single" w:sz="4" w:space="0" w:color="auto"/>
            </w:tcBorders>
            <w:vAlign w:val="center"/>
            <w:hideMark/>
          </w:tcPr>
          <w:p w14:paraId="31D7A38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745</w:t>
            </w:r>
          </w:p>
        </w:tc>
        <w:tc>
          <w:tcPr>
            <w:tcW w:w="1131" w:type="dxa"/>
            <w:tcBorders>
              <w:top w:val="nil"/>
              <w:left w:val="nil"/>
              <w:bottom w:val="single" w:sz="4" w:space="0" w:color="auto"/>
              <w:right w:val="single" w:sz="4" w:space="0" w:color="auto"/>
            </w:tcBorders>
            <w:vAlign w:val="center"/>
            <w:hideMark/>
          </w:tcPr>
          <w:p w14:paraId="38A8D85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583</w:t>
            </w:r>
          </w:p>
        </w:tc>
        <w:tc>
          <w:tcPr>
            <w:tcW w:w="1389" w:type="dxa"/>
            <w:tcBorders>
              <w:top w:val="nil"/>
              <w:left w:val="nil"/>
              <w:bottom w:val="single" w:sz="4" w:space="0" w:color="auto"/>
              <w:right w:val="single" w:sz="4" w:space="0" w:color="auto"/>
            </w:tcBorders>
            <w:vAlign w:val="center"/>
            <w:hideMark/>
          </w:tcPr>
          <w:p w14:paraId="4080763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1328</w:t>
            </w:r>
          </w:p>
        </w:tc>
        <w:tc>
          <w:tcPr>
            <w:tcW w:w="1392" w:type="dxa"/>
            <w:tcBorders>
              <w:top w:val="nil"/>
              <w:left w:val="nil"/>
              <w:bottom w:val="single" w:sz="4" w:space="0" w:color="auto"/>
              <w:right w:val="single" w:sz="4" w:space="0" w:color="auto"/>
            </w:tcBorders>
            <w:vAlign w:val="center"/>
            <w:hideMark/>
          </w:tcPr>
          <w:p w14:paraId="1B4327E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532</w:t>
            </w:r>
          </w:p>
        </w:tc>
        <w:tc>
          <w:tcPr>
            <w:tcW w:w="1390" w:type="dxa"/>
            <w:tcBorders>
              <w:top w:val="nil"/>
              <w:left w:val="nil"/>
              <w:bottom w:val="single" w:sz="4" w:space="0" w:color="auto"/>
              <w:right w:val="single" w:sz="4" w:space="0" w:color="auto"/>
            </w:tcBorders>
            <w:vAlign w:val="center"/>
            <w:hideMark/>
          </w:tcPr>
          <w:p w14:paraId="7A5F2E5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40</w:t>
            </w:r>
          </w:p>
        </w:tc>
      </w:tr>
      <w:tr w:rsidR="001E5D54" w:rsidRPr="001E5D54" w14:paraId="1778C1D1"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3762B94"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1974-75</w:t>
            </w:r>
          </w:p>
        </w:tc>
        <w:tc>
          <w:tcPr>
            <w:tcW w:w="1087" w:type="dxa"/>
            <w:tcBorders>
              <w:top w:val="nil"/>
              <w:left w:val="nil"/>
              <w:bottom w:val="single" w:sz="4" w:space="0" w:color="auto"/>
              <w:right w:val="single" w:sz="4" w:space="0" w:color="auto"/>
            </w:tcBorders>
            <w:vAlign w:val="center"/>
            <w:hideMark/>
          </w:tcPr>
          <w:p w14:paraId="6772830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874</w:t>
            </w:r>
          </w:p>
        </w:tc>
        <w:tc>
          <w:tcPr>
            <w:tcW w:w="1131" w:type="dxa"/>
            <w:tcBorders>
              <w:top w:val="nil"/>
              <w:left w:val="nil"/>
              <w:bottom w:val="single" w:sz="4" w:space="0" w:color="auto"/>
              <w:right w:val="single" w:sz="4" w:space="0" w:color="auto"/>
            </w:tcBorders>
            <w:vAlign w:val="center"/>
            <w:hideMark/>
          </w:tcPr>
          <w:p w14:paraId="2F18F76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710</w:t>
            </w:r>
          </w:p>
        </w:tc>
        <w:tc>
          <w:tcPr>
            <w:tcW w:w="1389" w:type="dxa"/>
            <w:tcBorders>
              <w:top w:val="nil"/>
              <w:left w:val="nil"/>
              <w:bottom w:val="single" w:sz="4" w:space="0" w:color="auto"/>
              <w:right w:val="single" w:sz="4" w:space="0" w:color="auto"/>
            </w:tcBorders>
            <w:vAlign w:val="center"/>
            <w:hideMark/>
          </w:tcPr>
          <w:p w14:paraId="6BD8518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1584</w:t>
            </w:r>
          </w:p>
        </w:tc>
        <w:tc>
          <w:tcPr>
            <w:tcW w:w="1392" w:type="dxa"/>
            <w:tcBorders>
              <w:top w:val="nil"/>
              <w:left w:val="nil"/>
              <w:bottom w:val="single" w:sz="4" w:space="0" w:color="auto"/>
              <w:right w:val="single" w:sz="4" w:space="0" w:color="auto"/>
            </w:tcBorders>
            <w:vAlign w:val="center"/>
            <w:hideMark/>
          </w:tcPr>
          <w:p w14:paraId="64BBC45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516</w:t>
            </w:r>
          </w:p>
        </w:tc>
        <w:tc>
          <w:tcPr>
            <w:tcW w:w="1390" w:type="dxa"/>
            <w:tcBorders>
              <w:top w:val="nil"/>
              <w:left w:val="nil"/>
              <w:bottom w:val="single" w:sz="4" w:space="0" w:color="auto"/>
              <w:right w:val="single" w:sz="4" w:space="0" w:color="auto"/>
            </w:tcBorders>
            <w:vAlign w:val="center"/>
            <w:hideMark/>
          </w:tcPr>
          <w:p w14:paraId="1267140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32.6</w:t>
            </w:r>
          </w:p>
        </w:tc>
      </w:tr>
      <w:tr w:rsidR="001E5D54" w:rsidRPr="001E5D54" w14:paraId="51A00B09"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EB01DE9"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1975-76</w:t>
            </w:r>
          </w:p>
        </w:tc>
        <w:tc>
          <w:tcPr>
            <w:tcW w:w="1087" w:type="dxa"/>
            <w:tcBorders>
              <w:top w:val="nil"/>
              <w:left w:val="nil"/>
              <w:bottom w:val="single" w:sz="4" w:space="0" w:color="auto"/>
              <w:right w:val="single" w:sz="4" w:space="0" w:color="auto"/>
            </w:tcBorders>
            <w:vAlign w:val="center"/>
            <w:hideMark/>
          </w:tcPr>
          <w:p w14:paraId="157822D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1214</w:t>
            </w:r>
          </w:p>
        </w:tc>
        <w:tc>
          <w:tcPr>
            <w:tcW w:w="1131" w:type="dxa"/>
            <w:tcBorders>
              <w:top w:val="nil"/>
              <w:left w:val="nil"/>
              <w:bottom w:val="single" w:sz="4" w:space="0" w:color="auto"/>
              <w:right w:val="single" w:sz="4" w:space="0" w:color="auto"/>
            </w:tcBorders>
            <w:vAlign w:val="center"/>
            <w:hideMark/>
          </w:tcPr>
          <w:p w14:paraId="3CDDC94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862</w:t>
            </w:r>
          </w:p>
        </w:tc>
        <w:tc>
          <w:tcPr>
            <w:tcW w:w="1389" w:type="dxa"/>
            <w:tcBorders>
              <w:top w:val="nil"/>
              <w:left w:val="nil"/>
              <w:bottom w:val="single" w:sz="4" w:space="0" w:color="auto"/>
              <w:right w:val="single" w:sz="4" w:space="0" w:color="auto"/>
            </w:tcBorders>
            <w:vAlign w:val="center"/>
            <w:hideMark/>
          </w:tcPr>
          <w:p w14:paraId="2380937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2076</w:t>
            </w:r>
          </w:p>
        </w:tc>
        <w:tc>
          <w:tcPr>
            <w:tcW w:w="1392" w:type="dxa"/>
            <w:tcBorders>
              <w:top w:val="nil"/>
              <w:left w:val="nil"/>
              <w:bottom w:val="single" w:sz="4" w:space="0" w:color="auto"/>
              <w:right w:val="single" w:sz="4" w:space="0" w:color="auto"/>
            </w:tcBorders>
            <w:vAlign w:val="center"/>
            <w:hideMark/>
          </w:tcPr>
          <w:p w14:paraId="16A55BA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734</w:t>
            </w:r>
          </w:p>
        </w:tc>
        <w:tc>
          <w:tcPr>
            <w:tcW w:w="1390" w:type="dxa"/>
            <w:tcBorders>
              <w:top w:val="nil"/>
              <w:left w:val="nil"/>
              <w:bottom w:val="single" w:sz="4" w:space="0" w:color="auto"/>
              <w:right w:val="single" w:sz="4" w:space="0" w:color="auto"/>
            </w:tcBorders>
            <w:vAlign w:val="center"/>
            <w:hideMark/>
          </w:tcPr>
          <w:p w14:paraId="60B9C3F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35.4</w:t>
            </w:r>
          </w:p>
        </w:tc>
      </w:tr>
      <w:tr w:rsidR="001E5D54" w:rsidRPr="001E5D54" w14:paraId="4484B5C9"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3D44179"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1976-77</w:t>
            </w:r>
          </w:p>
        </w:tc>
        <w:tc>
          <w:tcPr>
            <w:tcW w:w="1087" w:type="dxa"/>
            <w:tcBorders>
              <w:top w:val="nil"/>
              <w:left w:val="nil"/>
              <w:bottom w:val="single" w:sz="4" w:space="0" w:color="auto"/>
              <w:right w:val="single" w:sz="4" w:space="0" w:color="auto"/>
            </w:tcBorders>
            <w:vAlign w:val="center"/>
            <w:hideMark/>
          </w:tcPr>
          <w:p w14:paraId="00E0735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1194</w:t>
            </w:r>
          </w:p>
        </w:tc>
        <w:tc>
          <w:tcPr>
            <w:tcW w:w="1131" w:type="dxa"/>
            <w:tcBorders>
              <w:top w:val="nil"/>
              <w:left w:val="nil"/>
              <w:bottom w:val="single" w:sz="4" w:space="0" w:color="auto"/>
              <w:right w:val="single" w:sz="4" w:space="0" w:color="auto"/>
            </w:tcBorders>
            <w:vAlign w:val="center"/>
            <w:hideMark/>
          </w:tcPr>
          <w:p w14:paraId="3DB55C7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984</w:t>
            </w:r>
          </w:p>
        </w:tc>
        <w:tc>
          <w:tcPr>
            <w:tcW w:w="1389" w:type="dxa"/>
            <w:tcBorders>
              <w:top w:val="nil"/>
              <w:left w:val="nil"/>
              <w:bottom w:val="single" w:sz="4" w:space="0" w:color="auto"/>
              <w:right w:val="single" w:sz="4" w:space="0" w:color="auto"/>
            </w:tcBorders>
            <w:vAlign w:val="center"/>
            <w:hideMark/>
          </w:tcPr>
          <w:p w14:paraId="71A84FB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2179</w:t>
            </w:r>
          </w:p>
        </w:tc>
        <w:tc>
          <w:tcPr>
            <w:tcW w:w="1392" w:type="dxa"/>
            <w:tcBorders>
              <w:top w:val="nil"/>
              <w:left w:val="nil"/>
              <w:bottom w:val="single" w:sz="4" w:space="0" w:color="auto"/>
              <w:right w:val="single" w:sz="4" w:space="0" w:color="auto"/>
            </w:tcBorders>
            <w:vAlign w:val="center"/>
            <w:hideMark/>
          </w:tcPr>
          <w:p w14:paraId="6106FDA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652</w:t>
            </w:r>
          </w:p>
        </w:tc>
        <w:tc>
          <w:tcPr>
            <w:tcW w:w="1390" w:type="dxa"/>
            <w:tcBorders>
              <w:top w:val="nil"/>
              <w:left w:val="nil"/>
              <w:bottom w:val="single" w:sz="4" w:space="0" w:color="auto"/>
              <w:right w:val="single" w:sz="4" w:space="0" w:color="auto"/>
            </w:tcBorders>
            <w:vAlign w:val="center"/>
            <w:hideMark/>
          </w:tcPr>
          <w:p w14:paraId="643E490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29.9</w:t>
            </w:r>
          </w:p>
        </w:tc>
      </w:tr>
      <w:tr w:rsidR="001E5D54" w:rsidRPr="001E5D54" w14:paraId="60BDFB16"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323EBFDB"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1977-78</w:t>
            </w:r>
          </w:p>
        </w:tc>
        <w:tc>
          <w:tcPr>
            <w:tcW w:w="1087" w:type="dxa"/>
            <w:tcBorders>
              <w:top w:val="nil"/>
              <w:left w:val="nil"/>
              <w:bottom w:val="single" w:sz="4" w:space="0" w:color="auto"/>
              <w:right w:val="single" w:sz="4" w:space="0" w:color="auto"/>
            </w:tcBorders>
            <w:vAlign w:val="center"/>
            <w:hideMark/>
          </w:tcPr>
          <w:p w14:paraId="2C52F44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1002</w:t>
            </w:r>
          </w:p>
        </w:tc>
        <w:tc>
          <w:tcPr>
            <w:tcW w:w="1131" w:type="dxa"/>
            <w:tcBorders>
              <w:top w:val="nil"/>
              <w:left w:val="nil"/>
              <w:bottom w:val="single" w:sz="4" w:space="0" w:color="auto"/>
              <w:right w:val="single" w:sz="4" w:space="0" w:color="auto"/>
            </w:tcBorders>
            <w:vAlign w:val="center"/>
            <w:hideMark/>
          </w:tcPr>
          <w:p w14:paraId="0570FDD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1221</w:t>
            </w:r>
          </w:p>
        </w:tc>
        <w:tc>
          <w:tcPr>
            <w:tcW w:w="1389" w:type="dxa"/>
            <w:tcBorders>
              <w:top w:val="nil"/>
              <w:left w:val="nil"/>
              <w:bottom w:val="single" w:sz="4" w:space="0" w:color="auto"/>
              <w:right w:val="single" w:sz="4" w:space="0" w:color="auto"/>
            </w:tcBorders>
            <w:vAlign w:val="center"/>
            <w:hideMark/>
          </w:tcPr>
          <w:p w14:paraId="5AC7CD1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2223</w:t>
            </w:r>
          </w:p>
        </w:tc>
        <w:tc>
          <w:tcPr>
            <w:tcW w:w="1392" w:type="dxa"/>
            <w:tcBorders>
              <w:top w:val="nil"/>
              <w:left w:val="nil"/>
              <w:bottom w:val="single" w:sz="4" w:space="0" w:color="auto"/>
              <w:right w:val="single" w:sz="4" w:space="0" w:color="auto"/>
            </w:tcBorders>
            <w:vAlign w:val="center"/>
            <w:hideMark/>
          </w:tcPr>
          <w:p w14:paraId="3E14DCD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675</w:t>
            </w:r>
          </w:p>
        </w:tc>
        <w:tc>
          <w:tcPr>
            <w:tcW w:w="1390" w:type="dxa"/>
            <w:tcBorders>
              <w:top w:val="nil"/>
              <w:left w:val="nil"/>
              <w:bottom w:val="single" w:sz="4" w:space="0" w:color="auto"/>
              <w:right w:val="single" w:sz="4" w:space="0" w:color="auto"/>
            </w:tcBorders>
            <w:vAlign w:val="center"/>
            <w:hideMark/>
          </w:tcPr>
          <w:p w14:paraId="41687E3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30.4</w:t>
            </w:r>
          </w:p>
        </w:tc>
      </w:tr>
      <w:tr w:rsidR="001E5D54" w:rsidRPr="001E5D54" w14:paraId="026303B2"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3565A4C"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1978-79</w:t>
            </w:r>
          </w:p>
        </w:tc>
        <w:tc>
          <w:tcPr>
            <w:tcW w:w="1087" w:type="dxa"/>
            <w:tcBorders>
              <w:top w:val="nil"/>
              <w:left w:val="nil"/>
              <w:bottom w:val="single" w:sz="4" w:space="0" w:color="auto"/>
              <w:right w:val="single" w:sz="4" w:space="0" w:color="auto"/>
            </w:tcBorders>
            <w:vAlign w:val="center"/>
            <w:hideMark/>
          </w:tcPr>
          <w:p w14:paraId="52D3179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1177</w:t>
            </w:r>
          </w:p>
        </w:tc>
        <w:tc>
          <w:tcPr>
            <w:tcW w:w="1131" w:type="dxa"/>
            <w:tcBorders>
              <w:top w:val="nil"/>
              <w:left w:val="nil"/>
              <w:bottom w:val="single" w:sz="4" w:space="0" w:color="auto"/>
              <w:right w:val="single" w:sz="4" w:space="0" w:color="auto"/>
            </w:tcBorders>
            <w:vAlign w:val="center"/>
            <w:hideMark/>
          </w:tcPr>
          <w:p w14:paraId="073D9B3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1252</w:t>
            </w:r>
          </w:p>
        </w:tc>
        <w:tc>
          <w:tcPr>
            <w:tcW w:w="1389" w:type="dxa"/>
            <w:tcBorders>
              <w:top w:val="nil"/>
              <w:left w:val="nil"/>
              <w:bottom w:val="single" w:sz="4" w:space="0" w:color="auto"/>
              <w:right w:val="single" w:sz="4" w:space="0" w:color="auto"/>
            </w:tcBorders>
            <w:vAlign w:val="center"/>
            <w:hideMark/>
          </w:tcPr>
          <w:p w14:paraId="61780A6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2429</w:t>
            </w:r>
          </w:p>
        </w:tc>
        <w:tc>
          <w:tcPr>
            <w:tcW w:w="1392" w:type="dxa"/>
            <w:tcBorders>
              <w:top w:val="nil"/>
              <w:left w:val="nil"/>
              <w:bottom w:val="single" w:sz="4" w:space="0" w:color="auto"/>
              <w:right w:val="single" w:sz="4" w:space="0" w:color="auto"/>
            </w:tcBorders>
            <w:vAlign w:val="center"/>
            <w:hideMark/>
          </w:tcPr>
          <w:p w14:paraId="5535176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707</w:t>
            </w:r>
          </w:p>
        </w:tc>
        <w:tc>
          <w:tcPr>
            <w:tcW w:w="1390" w:type="dxa"/>
            <w:tcBorders>
              <w:top w:val="nil"/>
              <w:left w:val="nil"/>
              <w:bottom w:val="single" w:sz="4" w:space="0" w:color="auto"/>
              <w:right w:val="single" w:sz="4" w:space="0" w:color="auto"/>
            </w:tcBorders>
            <w:vAlign w:val="center"/>
            <w:hideMark/>
          </w:tcPr>
          <w:p w14:paraId="70D04E9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34.2</w:t>
            </w:r>
          </w:p>
        </w:tc>
      </w:tr>
      <w:tr w:rsidR="001E5D54" w:rsidRPr="001E5D54" w14:paraId="6AF622E8"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2B91703F"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1979-80</w:t>
            </w:r>
          </w:p>
        </w:tc>
        <w:tc>
          <w:tcPr>
            <w:tcW w:w="1087" w:type="dxa"/>
            <w:tcBorders>
              <w:top w:val="nil"/>
              <w:left w:val="nil"/>
              <w:bottom w:val="single" w:sz="4" w:space="0" w:color="auto"/>
              <w:right w:val="single" w:sz="4" w:space="0" w:color="auto"/>
            </w:tcBorders>
            <w:vAlign w:val="center"/>
            <w:hideMark/>
          </w:tcPr>
          <w:p w14:paraId="058BFDA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1340</w:t>
            </w:r>
          </w:p>
        </w:tc>
        <w:tc>
          <w:tcPr>
            <w:tcW w:w="1131" w:type="dxa"/>
            <w:tcBorders>
              <w:top w:val="nil"/>
              <w:left w:val="nil"/>
              <w:bottom w:val="single" w:sz="4" w:space="0" w:color="auto"/>
              <w:right w:val="single" w:sz="4" w:space="0" w:color="auto"/>
            </w:tcBorders>
            <w:vAlign w:val="center"/>
            <w:hideMark/>
          </w:tcPr>
          <w:p w14:paraId="668EB53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1392</w:t>
            </w:r>
          </w:p>
        </w:tc>
        <w:tc>
          <w:tcPr>
            <w:tcW w:w="1389" w:type="dxa"/>
            <w:tcBorders>
              <w:top w:val="nil"/>
              <w:left w:val="nil"/>
              <w:bottom w:val="single" w:sz="4" w:space="0" w:color="auto"/>
              <w:right w:val="single" w:sz="4" w:space="0" w:color="auto"/>
            </w:tcBorders>
            <w:vAlign w:val="center"/>
            <w:hideMark/>
          </w:tcPr>
          <w:p w14:paraId="0BCA54F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2732</w:t>
            </w:r>
          </w:p>
        </w:tc>
        <w:tc>
          <w:tcPr>
            <w:tcW w:w="1392" w:type="dxa"/>
            <w:tcBorders>
              <w:top w:val="nil"/>
              <w:left w:val="nil"/>
              <w:bottom w:val="single" w:sz="4" w:space="0" w:color="auto"/>
              <w:right w:val="single" w:sz="4" w:space="0" w:color="auto"/>
            </w:tcBorders>
            <w:vAlign w:val="center"/>
            <w:hideMark/>
          </w:tcPr>
          <w:p w14:paraId="6C29A59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865</w:t>
            </w:r>
          </w:p>
        </w:tc>
        <w:tc>
          <w:tcPr>
            <w:tcW w:w="1390" w:type="dxa"/>
            <w:tcBorders>
              <w:top w:val="nil"/>
              <w:left w:val="nil"/>
              <w:bottom w:val="single" w:sz="4" w:space="0" w:color="auto"/>
              <w:right w:val="single" w:sz="4" w:space="0" w:color="auto"/>
            </w:tcBorders>
            <w:vAlign w:val="center"/>
            <w:hideMark/>
          </w:tcPr>
          <w:p w14:paraId="14C1D43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31.6</w:t>
            </w:r>
          </w:p>
        </w:tc>
      </w:tr>
      <w:tr w:rsidR="001E5D54" w:rsidRPr="001E5D54" w14:paraId="4691DC1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FA60694"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1980-81</w:t>
            </w:r>
          </w:p>
        </w:tc>
        <w:tc>
          <w:tcPr>
            <w:tcW w:w="1087" w:type="dxa"/>
            <w:tcBorders>
              <w:top w:val="nil"/>
              <w:left w:val="nil"/>
              <w:bottom w:val="single" w:sz="4" w:space="0" w:color="auto"/>
              <w:right w:val="single" w:sz="4" w:space="0" w:color="auto"/>
            </w:tcBorders>
            <w:vAlign w:val="center"/>
            <w:hideMark/>
          </w:tcPr>
          <w:p w14:paraId="1F5755FA"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1506</w:t>
            </w:r>
          </w:p>
        </w:tc>
        <w:tc>
          <w:tcPr>
            <w:tcW w:w="1131" w:type="dxa"/>
            <w:tcBorders>
              <w:top w:val="nil"/>
              <w:left w:val="nil"/>
              <w:bottom w:val="single" w:sz="4" w:space="0" w:color="auto"/>
              <w:right w:val="single" w:sz="4" w:space="0" w:color="auto"/>
            </w:tcBorders>
            <w:vAlign w:val="center"/>
            <w:hideMark/>
          </w:tcPr>
          <w:p w14:paraId="748A152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1311</w:t>
            </w:r>
          </w:p>
        </w:tc>
        <w:tc>
          <w:tcPr>
            <w:tcW w:w="1389" w:type="dxa"/>
            <w:tcBorders>
              <w:top w:val="nil"/>
              <w:left w:val="nil"/>
              <w:bottom w:val="single" w:sz="4" w:space="0" w:color="auto"/>
              <w:right w:val="single" w:sz="4" w:space="0" w:color="auto"/>
            </w:tcBorders>
            <w:vAlign w:val="center"/>
            <w:hideMark/>
          </w:tcPr>
          <w:p w14:paraId="705BA33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2817</w:t>
            </w:r>
          </w:p>
        </w:tc>
        <w:tc>
          <w:tcPr>
            <w:tcW w:w="1392" w:type="dxa"/>
            <w:tcBorders>
              <w:top w:val="nil"/>
              <w:left w:val="nil"/>
              <w:bottom w:val="single" w:sz="4" w:space="0" w:color="auto"/>
              <w:right w:val="single" w:sz="4" w:space="0" w:color="auto"/>
            </w:tcBorders>
            <w:vAlign w:val="center"/>
            <w:hideMark/>
          </w:tcPr>
          <w:p w14:paraId="0691214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1002</w:t>
            </w:r>
          </w:p>
        </w:tc>
        <w:tc>
          <w:tcPr>
            <w:tcW w:w="1390" w:type="dxa"/>
            <w:tcBorders>
              <w:top w:val="nil"/>
              <w:left w:val="nil"/>
              <w:bottom w:val="single" w:sz="4" w:space="0" w:color="auto"/>
              <w:right w:val="single" w:sz="4" w:space="0" w:color="auto"/>
            </w:tcBorders>
            <w:vAlign w:val="center"/>
            <w:hideMark/>
          </w:tcPr>
          <w:p w14:paraId="08B5EEA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28.1</w:t>
            </w:r>
          </w:p>
        </w:tc>
      </w:tr>
      <w:tr w:rsidR="001E5D54" w:rsidRPr="001E5D54" w14:paraId="5ABBC5F6"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64B5C44F"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1981-82</w:t>
            </w:r>
          </w:p>
        </w:tc>
        <w:tc>
          <w:tcPr>
            <w:tcW w:w="1087" w:type="dxa"/>
            <w:tcBorders>
              <w:top w:val="nil"/>
              <w:left w:val="nil"/>
              <w:bottom w:val="single" w:sz="4" w:space="0" w:color="auto"/>
              <w:right w:val="single" w:sz="4" w:space="0" w:color="auto"/>
            </w:tcBorders>
            <w:vAlign w:val="center"/>
            <w:hideMark/>
          </w:tcPr>
          <w:p w14:paraId="2C38F60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1476</w:t>
            </w:r>
          </w:p>
        </w:tc>
        <w:tc>
          <w:tcPr>
            <w:tcW w:w="1131" w:type="dxa"/>
            <w:tcBorders>
              <w:top w:val="nil"/>
              <w:left w:val="nil"/>
              <w:bottom w:val="single" w:sz="4" w:space="0" w:color="auto"/>
              <w:right w:val="single" w:sz="4" w:space="0" w:color="auto"/>
            </w:tcBorders>
            <w:vAlign w:val="center"/>
            <w:hideMark/>
          </w:tcPr>
          <w:p w14:paraId="204215A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1970</w:t>
            </w:r>
          </w:p>
        </w:tc>
        <w:tc>
          <w:tcPr>
            <w:tcW w:w="1389" w:type="dxa"/>
            <w:tcBorders>
              <w:top w:val="nil"/>
              <w:left w:val="nil"/>
              <w:bottom w:val="single" w:sz="4" w:space="0" w:color="auto"/>
              <w:right w:val="single" w:sz="4" w:space="0" w:color="auto"/>
            </w:tcBorders>
            <w:vAlign w:val="center"/>
            <w:hideMark/>
          </w:tcPr>
          <w:p w14:paraId="22463FC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3446</w:t>
            </w:r>
          </w:p>
        </w:tc>
        <w:tc>
          <w:tcPr>
            <w:tcW w:w="1392" w:type="dxa"/>
            <w:tcBorders>
              <w:top w:val="nil"/>
              <w:left w:val="nil"/>
              <w:bottom w:val="single" w:sz="4" w:space="0" w:color="auto"/>
              <w:right w:val="single" w:sz="4" w:space="0" w:color="auto"/>
            </w:tcBorders>
            <w:vAlign w:val="center"/>
            <w:hideMark/>
          </w:tcPr>
          <w:p w14:paraId="7C08818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1017</w:t>
            </w:r>
          </w:p>
        </w:tc>
        <w:tc>
          <w:tcPr>
            <w:tcW w:w="1390" w:type="dxa"/>
            <w:tcBorders>
              <w:top w:val="nil"/>
              <w:left w:val="nil"/>
              <w:bottom w:val="single" w:sz="4" w:space="0" w:color="auto"/>
              <w:right w:val="single" w:sz="4" w:space="0" w:color="auto"/>
            </w:tcBorders>
            <w:vAlign w:val="center"/>
            <w:hideMark/>
          </w:tcPr>
          <w:p w14:paraId="6D5E6E5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w:t>
            </w:r>
          </w:p>
        </w:tc>
      </w:tr>
      <w:tr w:rsidR="001E5D54" w:rsidRPr="001E5D54" w14:paraId="0ADE00A6"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0A65DC8"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1982-83</w:t>
            </w:r>
          </w:p>
        </w:tc>
        <w:tc>
          <w:tcPr>
            <w:tcW w:w="1087" w:type="dxa"/>
            <w:tcBorders>
              <w:top w:val="nil"/>
              <w:left w:val="nil"/>
              <w:bottom w:val="single" w:sz="4" w:space="0" w:color="auto"/>
              <w:right w:val="single" w:sz="4" w:space="0" w:color="auto"/>
            </w:tcBorders>
            <w:vAlign w:val="center"/>
            <w:hideMark/>
          </w:tcPr>
          <w:p w14:paraId="3968C5A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1570</w:t>
            </w:r>
          </w:p>
        </w:tc>
        <w:tc>
          <w:tcPr>
            <w:tcW w:w="1131" w:type="dxa"/>
            <w:tcBorders>
              <w:top w:val="nil"/>
              <w:left w:val="nil"/>
              <w:bottom w:val="single" w:sz="4" w:space="0" w:color="auto"/>
              <w:right w:val="single" w:sz="4" w:space="0" w:color="auto"/>
            </w:tcBorders>
            <w:vAlign w:val="center"/>
            <w:hideMark/>
          </w:tcPr>
          <w:p w14:paraId="03748027"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2185</w:t>
            </w:r>
          </w:p>
        </w:tc>
        <w:tc>
          <w:tcPr>
            <w:tcW w:w="1389" w:type="dxa"/>
            <w:tcBorders>
              <w:top w:val="nil"/>
              <w:left w:val="nil"/>
              <w:bottom w:val="single" w:sz="4" w:space="0" w:color="auto"/>
              <w:right w:val="single" w:sz="4" w:space="0" w:color="auto"/>
            </w:tcBorders>
            <w:vAlign w:val="center"/>
            <w:hideMark/>
          </w:tcPr>
          <w:p w14:paraId="276506C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3754</w:t>
            </w:r>
          </w:p>
        </w:tc>
        <w:tc>
          <w:tcPr>
            <w:tcW w:w="1392" w:type="dxa"/>
            <w:tcBorders>
              <w:top w:val="nil"/>
              <w:left w:val="nil"/>
              <w:bottom w:val="single" w:sz="4" w:space="0" w:color="auto"/>
              <w:right w:val="single" w:sz="4" w:space="0" w:color="auto"/>
            </w:tcBorders>
            <w:vAlign w:val="center"/>
            <w:hideMark/>
          </w:tcPr>
          <w:p w14:paraId="69C1B30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1132</w:t>
            </w:r>
          </w:p>
        </w:tc>
        <w:tc>
          <w:tcPr>
            <w:tcW w:w="1390" w:type="dxa"/>
            <w:tcBorders>
              <w:top w:val="nil"/>
              <w:left w:val="nil"/>
              <w:bottom w:val="single" w:sz="4" w:space="0" w:color="auto"/>
              <w:right w:val="single" w:sz="4" w:space="0" w:color="auto"/>
            </w:tcBorders>
            <w:vAlign w:val="center"/>
            <w:hideMark/>
          </w:tcPr>
          <w:p w14:paraId="46FD9F8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33.2</w:t>
            </w:r>
          </w:p>
        </w:tc>
      </w:tr>
      <w:tr w:rsidR="001E5D54" w:rsidRPr="001E5D54" w14:paraId="4FE7554E"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1CB846D"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1983-84</w:t>
            </w:r>
          </w:p>
        </w:tc>
        <w:tc>
          <w:tcPr>
            <w:tcW w:w="1087" w:type="dxa"/>
            <w:tcBorders>
              <w:top w:val="nil"/>
              <w:left w:val="nil"/>
              <w:bottom w:val="single" w:sz="4" w:space="0" w:color="auto"/>
              <w:right w:val="single" w:sz="4" w:space="0" w:color="auto"/>
            </w:tcBorders>
            <w:vAlign w:val="center"/>
            <w:hideMark/>
          </w:tcPr>
          <w:p w14:paraId="77A3EBD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1699</w:t>
            </w:r>
          </w:p>
        </w:tc>
        <w:tc>
          <w:tcPr>
            <w:tcW w:w="1131" w:type="dxa"/>
            <w:tcBorders>
              <w:top w:val="nil"/>
              <w:left w:val="nil"/>
              <w:bottom w:val="single" w:sz="4" w:space="0" w:color="auto"/>
              <w:right w:val="single" w:sz="4" w:space="0" w:color="auto"/>
            </w:tcBorders>
            <w:vAlign w:val="center"/>
            <w:hideMark/>
          </w:tcPr>
          <w:p w14:paraId="669B715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2493</w:t>
            </w:r>
          </w:p>
        </w:tc>
        <w:tc>
          <w:tcPr>
            <w:tcW w:w="1389" w:type="dxa"/>
            <w:tcBorders>
              <w:top w:val="nil"/>
              <w:left w:val="nil"/>
              <w:bottom w:val="single" w:sz="4" w:space="0" w:color="auto"/>
              <w:right w:val="single" w:sz="4" w:space="0" w:color="auto"/>
            </w:tcBorders>
            <w:vAlign w:val="center"/>
            <w:hideMark/>
          </w:tcPr>
          <w:p w14:paraId="74573C0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4192</w:t>
            </w:r>
          </w:p>
        </w:tc>
        <w:tc>
          <w:tcPr>
            <w:tcW w:w="1392" w:type="dxa"/>
            <w:tcBorders>
              <w:top w:val="nil"/>
              <w:left w:val="nil"/>
              <w:bottom w:val="single" w:sz="4" w:space="0" w:color="auto"/>
              <w:right w:val="single" w:sz="4" w:space="0" w:color="auto"/>
            </w:tcBorders>
            <w:vAlign w:val="center"/>
            <w:hideMark/>
          </w:tcPr>
          <w:p w14:paraId="51A64E8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1172</w:t>
            </w:r>
          </w:p>
        </w:tc>
        <w:tc>
          <w:tcPr>
            <w:tcW w:w="1390" w:type="dxa"/>
            <w:tcBorders>
              <w:top w:val="nil"/>
              <w:left w:val="nil"/>
              <w:bottom w:val="single" w:sz="4" w:space="0" w:color="auto"/>
              <w:right w:val="single" w:sz="4" w:space="0" w:color="auto"/>
            </w:tcBorders>
            <w:vAlign w:val="center"/>
            <w:hideMark/>
          </w:tcPr>
          <w:p w14:paraId="741E77D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35.8</w:t>
            </w:r>
          </w:p>
        </w:tc>
      </w:tr>
      <w:tr w:rsidR="001E5D54" w:rsidRPr="001E5D54" w14:paraId="2555B73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8C07D28"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1984-85</w:t>
            </w:r>
          </w:p>
        </w:tc>
        <w:tc>
          <w:tcPr>
            <w:tcW w:w="1087" w:type="dxa"/>
            <w:tcBorders>
              <w:top w:val="nil"/>
              <w:left w:val="nil"/>
              <w:bottom w:val="single" w:sz="4" w:space="0" w:color="auto"/>
              <w:right w:val="single" w:sz="4" w:space="0" w:color="auto"/>
            </w:tcBorders>
            <w:vAlign w:val="center"/>
            <w:hideMark/>
          </w:tcPr>
          <w:p w14:paraId="0B8E4FF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1928</w:t>
            </w:r>
          </w:p>
        </w:tc>
        <w:tc>
          <w:tcPr>
            <w:tcW w:w="1131" w:type="dxa"/>
            <w:tcBorders>
              <w:top w:val="nil"/>
              <w:left w:val="nil"/>
              <w:bottom w:val="single" w:sz="4" w:space="0" w:color="auto"/>
              <w:right w:val="single" w:sz="4" w:space="0" w:color="auto"/>
            </w:tcBorders>
            <w:vAlign w:val="center"/>
            <w:hideMark/>
          </w:tcPr>
          <w:p w14:paraId="6D9F321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2556</w:t>
            </w:r>
          </w:p>
        </w:tc>
        <w:tc>
          <w:tcPr>
            <w:tcW w:w="1389" w:type="dxa"/>
            <w:tcBorders>
              <w:top w:val="nil"/>
              <w:left w:val="nil"/>
              <w:bottom w:val="single" w:sz="4" w:space="0" w:color="auto"/>
              <w:right w:val="single" w:sz="4" w:space="0" w:color="auto"/>
            </w:tcBorders>
            <w:vAlign w:val="center"/>
            <w:hideMark/>
          </w:tcPr>
          <w:p w14:paraId="0F526BE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4484</w:t>
            </w:r>
          </w:p>
        </w:tc>
        <w:tc>
          <w:tcPr>
            <w:tcW w:w="1392" w:type="dxa"/>
            <w:tcBorders>
              <w:top w:val="nil"/>
              <w:left w:val="nil"/>
              <w:bottom w:val="single" w:sz="4" w:space="0" w:color="auto"/>
              <w:right w:val="single" w:sz="4" w:space="0" w:color="auto"/>
            </w:tcBorders>
            <w:vAlign w:val="center"/>
            <w:hideMark/>
          </w:tcPr>
          <w:p w14:paraId="6801A5E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1231</w:t>
            </w:r>
          </w:p>
        </w:tc>
        <w:tc>
          <w:tcPr>
            <w:tcW w:w="1390" w:type="dxa"/>
            <w:tcBorders>
              <w:top w:val="nil"/>
              <w:left w:val="nil"/>
              <w:bottom w:val="single" w:sz="4" w:space="0" w:color="auto"/>
              <w:right w:val="single" w:sz="4" w:space="0" w:color="auto"/>
            </w:tcBorders>
            <w:vAlign w:val="center"/>
            <w:hideMark/>
          </w:tcPr>
          <w:p w14:paraId="2247535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36.4</w:t>
            </w:r>
          </w:p>
        </w:tc>
      </w:tr>
      <w:tr w:rsidR="001E5D54" w:rsidRPr="001E5D54" w14:paraId="4656DF6F"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64631EDC"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1985-86</w:t>
            </w:r>
          </w:p>
        </w:tc>
        <w:tc>
          <w:tcPr>
            <w:tcW w:w="1087" w:type="dxa"/>
            <w:tcBorders>
              <w:top w:val="nil"/>
              <w:left w:val="nil"/>
              <w:bottom w:val="single" w:sz="4" w:space="0" w:color="auto"/>
              <w:right w:val="single" w:sz="4" w:space="0" w:color="auto"/>
            </w:tcBorders>
            <w:vAlign w:val="center"/>
            <w:hideMark/>
          </w:tcPr>
          <w:p w14:paraId="49A3C240"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2509</w:t>
            </w:r>
          </w:p>
        </w:tc>
        <w:tc>
          <w:tcPr>
            <w:tcW w:w="1131" w:type="dxa"/>
            <w:tcBorders>
              <w:top w:val="nil"/>
              <w:left w:val="nil"/>
              <w:bottom w:val="single" w:sz="4" w:space="0" w:color="auto"/>
              <w:right w:val="single" w:sz="4" w:space="0" w:color="auto"/>
            </w:tcBorders>
            <w:vAlign w:val="center"/>
            <w:hideMark/>
          </w:tcPr>
          <w:p w14:paraId="2A5FF36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2865</w:t>
            </w:r>
          </w:p>
        </w:tc>
        <w:tc>
          <w:tcPr>
            <w:tcW w:w="1389" w:type="dxa"/>
            <w:tcBorders>
              <w:top w:val="nil"/>
              <w:left w:val="nil"/>
              <w:bottom w:val="single" w:sz="4" w:space="0" w:color="auto"/>
              <w:right w:val="single" w:sz="4" w:space="0" w:color="auto"/>
            </w:tcBorders>
            <w:vAlign w:val="center"/>
            <w:hideMark/>
          </w:tcPr>
          <w:p w14:paraId="3E09B4A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5374</w:t>
            </w:r>
          </w:p>
        </w:tc>
        <w:tc>
          <w:tcPr>
            <w:tcW w:w="1392" w:type="dxa"/>
            <w:tcBorders>
              <w:top w:val="nil"/>
              <w:left w:val="nil"/>
              <w:bottom w:val="single" w:sz="4" w:space="0" w:color="auto"/>
              <w:right w:val="single" w:sz="4" w:space="0" w:color="auto"/>
            </w:tcBorders>
            <w:vAlign w:val="center"/>
            <w:hideMark/>
          </w:tcPr>
          <w:p w14:paraId="156506C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1846</w:t>
            </w:r>
          </w:p>
        </w:tc>
        <w:tc>
          <w:tcPr>
            <w:tcW w:w="1390" w:type="dxa"/>
            <w:tcBorders>
              <w:top w:val="nil"/>
              <w:left w:val="nil"/>
              <w:bottom w:val="single" w:sz="4" w:space="0" w:color="auto"/>
              <w:right w:val="single" w:sz="4" w:space="0" w:color="auto"/>
            </w:tcBorders>
            <w:vAlign w:val="center"/>
            <w:hideMark/>
          </w:tcPr>
          <w:p w14:paraId="5FC2918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34.3</w:t>
            </w:r>
          </w:p>
        </w:tc>
      </w:tr>
      <w:tr w:rsidR="001E5D54" w:rsidRPr="001E5D54" w14:paraId="232914E5"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DC67FEA"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1986-87</w:t>
            </w:r>
          </w:p>
        </w:tc>
        <w:tc>
          <w:tcPr>
            <w:tcW w:w="1087" w:type="dxa"/>
            <w:tcBorders>
              <w:top w:val="nil"/>
              <w:left w:val="nil"/>
              <w:bottom w:val="single" w:sz="4" w:space="0" w:color="auto"/>
              <w:right w:val="single" w:sz="4" w:space="0" w:color="auto"/>
            </w:tcBorders>
            <w:vAlign w:val="center"/>
            <w:hideMark/>
          </w:tcPr>
          <w:p w14:paraId="1325FEA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2878</w:t>
            </w:r>
          </w:p>
        </w:tc>
        <w:tc>
          <w:tcPr>
            <w:tcW w:w="1131" w:type="dxa"/>
            <w:tcBorders>
              <w:top w:val="nil"/>
              <w:left w:val="nil"/>
              <w:bottom w:val="single" w:sz="4" w:space="0" w:color="auto"/>
              <w:right w:val="single" w:sz="4" w:space="0" w:color="auto"/>
            </w:tcBorders>
            <w:vAlign w:val="center"/>
            <w:hideMark/>
          </w:tcPr>
          <w:p w14:paraId="33A689C2"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3160</w:t>
            </w:r>
          </w:p>
        </w:tc>
        <w:tc>
          <w:tcPr>
            <w:tcW w:w="1389" w:type="dxa"/>
            <w:tcBorders>
              <w:top w:val="nil"/>
              <w:left w:val="nil"/>
              <w:bottom w:val="single" w:sz="4" w:space="0" w:color="auto"/>
              <w:right w:val="single" w:sz="4" w:space="0" w:color="auto"/>
            </w:tcBorders>
            <w:vAlign w:val="center"/>
            <w:hideMark/>
          </w:tcPr>
          <w:p w14:paraId="16FFA97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6038</w:t>
            </w:r>
          </w:p>
        </w:tc>
        <w:tc>
          <w:tcPr>
            <w:tcW w:w="1392" w:type="dxa"/>
            <w:tcBorders>
              <w:top w:val="nil"/>
              <w:left w:val="nil"/>
              <w:bottom w:val="single" w:sz="4" w:space="0" w:color="auto"/>
              <w:right w:val="single" w:sz="4" w:space="0" w:color="auto"/>
            </w:tcBorders>
            <w:vAlign w:val="center"/>
            <w:hideMark/>
          </w:tcPr>
          <w:p w14:paraId="69146FA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2159</w:t>
            </w:r>
          </w:p>
        </w:tc>
        <w:tc>
          <w:tcPr>
            <w:tcW w:w="1390" w:type="dxa"/>
            <w:tcBorders>
              <w:top w:val="nil"/>
              <w:left w:val="nil"/>
              <w:bottom w:val="single" w:sz="4" w:space="0" w:color="auto"/>
              <w:right w:val="single" w:sz="4" w:space="0" w:color="auto"/>
            </w:tcBorders>
            <w:vAlign w:val="center"/>
            <w:hideMark/>
          </w:tcPr>
          <w:p w14:paraId="500D23F4"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35.7</w:t>
            </w:r>
          </w:p>
        </w:tc>
      </w:tr>
      <w:tr w:rsidR="001E5D54" w:rsidRPr="001E5D54" w14:paraId="227F1DA8"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7A135314"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1987-88</w:t>
            </w:r>
          </w:p>
        </w:tc>
        <w:tc>
          <w:tcPr>
            <w:tcW w:w="1087" w:type="dxa"/>
            <w:tcBorders>
              <w:top w:val="nil"/>
              <w:left w:val="nil"/>
              <w:bottom w:val="single" w:sz="4" w:space="0" w:color="auto"/>
              <w:right w:val="single" w:sz="4" w:space="0" w:color="auto"/>
            </w:tcBorders>
            <w:vAlign w:val="center"/>
            <w:hideMark/>
          </w:tcPr>
          <w:p w14:paraId="526727D1"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3187</w:t>
            </w:r>
          </w:p>
        </w:tc>
        <w:tc>
          <w:tcPr>
            <w:tcW w:w="1131" w:type="dxa"/>
            <w:tcBorders>
              <w:top w:val="nil"/>
              <w:left w:val="nil"/>
              <w:bottom w:val="single" w:sz="4" w:space="0" w:color="auto"/>
              <w:right w:val="single" w:sz="4" w:space="0" w:color="auto"/>
            </w:tcBorders>
            <w:vAlign w:val="center"/>
            <w:hideMark/>
          </w:tcPr>
          <w:p w14:paraId="5A6F5903"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3433</w:t>
            </w:r>
          </w:p>
        </w:tc>
        <w:tc>
          <w:tcPr>
            <w:tcW w:w="1389" w:type="dxa"/>
            <w:tcBorders>
              <w:top w:val="nil"/>
              <w:left w:val="nil"/>
              <w:bottom w:val="single" w:sz="4" w:space="0" w:color="auto"/>
              <w:right w:val="single" w:sz="4" w:space="0" w:color="auto"/>
            </w:tcBorders>
            <w:vAlign w:val="center"/>
            <w:hideMark/>
          </w:tcPr>
          <w:p w14:paraId="7CB6AAF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6620</w:t>
            </w:r>
          </w:p>
        </w:tc>
        <w:tc>
          <w:tcPr>
            <w:tcW w:w="1392" w:type="dxa"/>
            <w:tcBorders>
              <w:top w:val="nil"/>
              <w:left w:val="nil"/>
              <w:bottom w:val="single" w:sz="4" w:space="0" w:color="auto"/>
              <w:right w:val="single" w:sz="4" w:space="0" w:color="auto"/>
            </w:tcBorders>
            <w:vAlign w:val="center"/>
            <w:hideMark/>
          </w:tcPr>
          <w:p w14:paraId="06CAC97D"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2589</w:t>
            </w:r>
          </w:p>
        </w:tc>
        <w:tc>
          <w:tcPr>
            <w:tcW w:w="1390" w:type="dxa"/>
            <w:tcBorders>
              <w:top w:val="nil"/>
              <w:left w:val="nil"/>
              <w:bottom w:val="single" w:sz="4" w:space="0" w:color="auto"/>
              <w:right w:val="single" w:sz="4" w:space="0" w:color="auto"/>
            </w:tcBorders>
            <w:vAlign w:val="center"/>
            <w:hideMark/>
          </w:tcPr>
          <w:p w14:paraId="2CA0739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39.1</w:t>
            </w:r>
          </w:p>
        </w:tc>
      </w:tr>
      <w:tr w:rsidR="001E5D54" w:rsidRPr="001E5D54" w14:paraId="4951792C"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01A1798C"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1988-89</w:t>
            </w:r>
          </w:p>
        </w:tc>
        <w:tc>
          <w:tcPr>
            <w:tcW w:w="1087" w:type="dxa"/>
            <w:tcBorders>
              <w:top w:val="nil"/>
              <w:left w:val="nil"/>
              <w:bottom w:val="single" w:sz="4" w:space="0" w:color="auto"/>
              <w:right w:val="single" w:sz="4" w:space="0" w:color="auto"/>
            </w:tcBorders>
            <w:vAlign w:val="center"/>
            <w:hideMark/>
          </w:tcPr>
          <w:p w14:paraId="2AC0963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4188</w:t>
            </w:r>
          </w:p>
        </w:tc>
        <w:tc>
          <w:tcPr>
            <w:tcW w:w="1131" w:type="dxa"/>
            <w:tcBorders>
              <w:top w:val="nil"/>
              <w:left w:val="nil"/>
              <w:bottom w:val="single" w:sz="4" w:space="0" w:color="auto"/>
              <w:right w:val="single" w:sz="4" w:space="0" w:color="auto"/>
            </w:tcBorders>
            <w:vAlign w:val="center"/>
            <w:hideMark/>
          </w:tcPr>
          <w:p w14:paraId="394FE28C"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4314</w:t>
            </w:r>
          </w:p>
        </w:tc>
        <w:tc>
          <w:tcPr>
            <w:tcW w:w="1389" w:type="dxa"/>
            <w:tcBorders>
              <w:top w:val="nil"/>
              <w:left w:val="nil"/>
              <w:bottom w:val="single" w:sz="4" w:space="0" w:color="auto"/>
              <w:right w:val="single" w:sz="4" w:space="0" w:color="auto"/>
            </w:tcBorders>
            <w:vAlign w:val="center"/>
            <w:hideMark/>
          </w:tcPr>
          <w:p w14:paraId="48B2F20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8502</w:t>
            </w:r>
          </w:p>
        </w:tc>
        <w:tc>
          <w:tcPr>
            <w:tcW w:w="1392" w:type="dxa"/>
            <w:tcBorders>
              <w:top w:val="nil"/>
              <w:left w:val="nil"/>
              <w:bottom w:val="single" w:sz="4" w:space="0" w:color="auto"/>
              <w:right w:val="single" w:sz="4" w:space="0" w:color="auto"/>
            </w:tcBorders>
            <w:vAlign w:val="center"/>
            <w:hideMark/>
          </w:tcPr>
          <w:p w14:paraId="13FC04E9"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N.A.</w:t>
            </w:r>
          </w:p>
        </w:tc>
        <w:tc>
          <w:tcPr>
            <w:tcW w:w="1390" w:type="dxa"/>
            <w:tcBorders>
              <w:top w:val="nil"/>
              <w:left w:val="nil"/>
              <w:bottom w:val="single" w:sz="4" w:space="0" w:color="auto"/>
              <w:right w:val="single" w:sz="4" w:space="0" w:color="auto"/>
            </w:tcBorders>
            <w:vAlign w:val="center"/>
            <w:hideMark/>
          </w:tcPr>
          <w:p w14:paraId="4655169E"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w:t>
            </w:r>
          </w:p>
        </w:tc>
      </w:tr>
      <w:tr w:rsidR="001E5D54" w:rsidRPr="001E5D54" w14:paraId="34622DCB" w14:textId="77777777" w:rsidTr="008E4980">
        <w:trPr>
          <w:trHeight w:val="20"/>
          <w:jc w:val="center"/>
        </w:trPr>
        <w:tc>
          <w:tcPr>
            <w:tcW w:w="1119" w:type="dxa"/>
            <w:tcBorders>
              <w:top w:val="nil"/>
              <w:left w:val="single" w:sz="4" w:space="0" w:color="auto"/>
              <w:bottom w:val="single" w:sz="4" w:space="0" w:color="auto"/>
              <w:right w:val="single" w:sz="4" w:space="0" w:color="auto"/>
            </w:tcBorders>
            <w:vAlign w:val="center"/>
            <w:hideMark/>
          </w:tcPr>
          <w:p w14:paraId="55A27BA7" w14:textId="77777777" w:rsidR="001E5D54" w:rsidRPr="001E5D54" w:rsidRDefault="001E5D54" w:rsidP="001E5D54">
            <w:pPr>
              <w:spacing w:after="0" w:line="240" w:lineRule="auto"/>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1989-90 (BE)</w:t>
            </w:r>
          </w:p>
        </w:tc>
        <w:tc>
          <w:tcPr>
            <w:tcW w:w="1087" w:type="dxa"/>
            <w:tcBorders>
              <w:top w:val="nil"/>
              <w:left w:val="nil"/>
              <w:bottom w:val="single" w:sz="4" w:space="0" w:color="auto"/>
              <w:right w:val="single" w:sz="4" w:space="0" w:color="auto"/>
            </w:tcBorders>
            <w:vAlign w:val="center"/>
            <w:hideMark/>
          </w:tcPr>
          <w:p w14:paraId="556E9A5F"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4245</w:t>
            </w:r>
          </w:p>
        </w:tc>
        <w:tc>
          <w:tcPr>
            <w:tcW w:w="1131" w:type="dxa"/>
            <w:tcBorders>
              <w:top w:val="nil"/>
              <w:left w:val="nil"/>
              <w:bottom w:val="single" w:sz="4" w:space="0" w:color="auto"/>
              <w:right w:val="single" w:sz="4" w:space="0" w:color="auto"/>
            </w:tcBorders>
            <w:vAlign w:val="center"/>
            <w:hideMark/>
          </w:tcPr>
          <w:p w14:paraId="0F250D26"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4755</w:t>
            </w:r>
          </w:p>
        </w:tc>
        <w:tc>
          <w:tcPr>
            <w:tcW w:w="1389" w:type="dxa"/>
            <w:tcBorders>
              <w:top w:val="nil"/>
              <w:left w:val="nil"/>
              <w:bottom w:val="single" w:sz="4" w:space="0" w:color="auto"/>
              <w:right w:val="single" w:sz="4" w:space="0" w:color="auto"/>
            </w:tcBorders>
            <w:vAlign w:val="center"/>
            <w:hideMark/>
          </w:tcPr>
          <w:p w14:paraId="1B762E18"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9000</w:t>
            </w:r>
          </w:p>
        </w:tc>
        <w:tc>
          <w:tcPr>
            <w:tcW w:w="1392" w:type="dxa"/>
            <w:tcBorders>
              <w:top w:val="nil"/>
              <w:left w:val="nil"/>
              <w:bottom w:val="single" w:sz="4" w:space="0" w:color="auto"/>
              <w:right w:val="single" w:sz="4" w:space="0" w:color="auto"/>
            </w:tcBorders>
            <w:vAlign w:val="center"/>
            <w:hideMark/>
          </w:tcPr>
          <w:p w14:paraId="1FD3068B"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3128</w:t>
            </w:r>
          </w:p>
        </w:tc>
        <w:tc>
          <w:tcPr>
            <w:tcW w:w="1390" w:type="dxa"/>
            <w:tcBorders>
              <w:top w:val="nil"/>
              <w:left w:val="nil"/>
              <w:bottom w:val="single" w:sz="4" w:space="0" w:color="auto"/>
              <w:right w:val="single" w:sz="4" w:space="0" w:color="auto"/>
            </w:tcBorders>
            <w:vAlign w:val="center"/>
            <w:hideMark/>
          </w:tcPr>
          <w:p w14:paraId="7DAEC255" w14:textId="77777777" w:rsidR="001E5D54" w:rsidRPr="001E5D54" w:rsidRDefault="001E5D54" w:rsidP="001E5D5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1E5D54">
              <w:rPr>
                <w:rFonts w:ascii="Times New Roman" w:eastAsia="Times New Roman" w:hAnsi="Times New Roman" w:cs="Times New Roman"/>
                <w:color w:val="000000"/>
                <w:kern w:val="0"/>
                <w:sz w:val="18"/>
                <w:szCs w:val="16"/>
                <w:lang w:eastAsia="en-IN" w:bidi="ar-SA"/>
                <w14:ligatures w14:val="none"/>
              </w:rPr>
              <w:t>34.8</w:t>
            </w:r>
          </w:p>
        </w:tc>
      </w:tr>
    </w:tbl>
    <w:p w14:paraId="2A7C3100" w14:textId="77777777" w:rsidR="00EB236F" w:rsidRPr="008E4980" w:rsidRDefault="00EB236F" w:rsidP="008E4980">
      <w:pPr>
        <w:spacing w:line="240" w:lineRule="auto"/>
        <w:ind w:left="1866" w:firstLine="294"/>
        <w:jc w:val="both"/>
        <w:rPr>
          <w:rFonts w:ascii="Times New Roman" w:hAnsi="Times New Roman" w:cs="Times New Roman"/>
          <w:sz w:val="16"/>
          <w:szCs w:val="16"/>
        </w:rPr>
      </w:pPr>
      <w:proofErr w:type="gramStart"/>
      <w:r w:rsidRPr="008E4980">
        <w:rPr>
          <w:rFonts w:ascii="Times New Roman" w:hAnsi="Times New Roman" w:cs="Times New Roman"/>
          <w:sz w:val="16"/>
          <w:szCs w:val="16"/>
        </w:rPr>
        <w:t>Source :</w:t>
      </w:r>
      <w:proofErr w:type="gramEnd"/>
      <w:r w:rsidRPr="008E4980">
        <w:rPr>
          <w:rFonts w:ascii="Times New Roman" w:hAnsi="Times New Roman" w:cs="Times New Roman"/>
          <w:sz w:val="16"/>
          <w:szCs w:val="16"/>
        </w:rPr>
        <w:t xml:space="preserve"> Central Budget Documents-various issues</w:t>
      </w:r>
    </w:p>
    <w:p w14:paraId="797087AA"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3.6</w:t>
      </w:r>
      <w:r w:rsidRPr="00F47786">
        <w:rPr>
          <w:rFonts w:ascii="Times New Roman" w:hAnsi="Times New Roman" w:cs="Times New Roman"/>
          <w:sz w:val="18"/>
          <w:szCs w:val="18"/>
        </w:rPr>
        <w:t> The States have constantly raised this question before successive Finance Commissions. They have made a forceful representation before this Commission also, in their Memoranda as well as at the personal hearings. The States also rely on strong representations on this point before the Commission on Centre-State Relations headed by Mr. Justice R.S. Sarkaria. The Sarkaria Commission also very strongly recommended to the Union of India to remove this major irritant.</w:t>
      </w:r>
    </w:p>
    <w:p w14:paraId="6D118D93"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3.7</w:t>
      </w:r>
      <w:r w:rsidRPr="00F47786">
        <w:rPr>
          <w:rFonts w:ascii="Times New Roman" w:hAnsi="Times New Roman" w:cs="Times New Roman"/>
          <w:sz w:val="18"/>
          <w:szCs w:val="18"/>
        </w:rPr>
        <w:t> My esteemed colleagues feel that 85 per cent of income tax given to the States, compensates them adequately for the loss they suffer on account of the exclusion of the company income tax (corporation tax) from the divisible pool. They feel that if the States are given more money, it would financially weaken the Centre. I am unable to agree with my respected colleagues. In principle, it is wrong to deprive the States of their legitimate share in the composite income tax. To compensate a wrong is not the same thing as not to do the wrong at all. It is not correct to say that the Centre will be financially weakened if the States are given their legitimate share. Nobody would want to weaken the Centre. In fact, we all want the Centre to be strong but not at the cost of the States. For the harmonious relations between the Centre and the States, it is essential that the Centre should be fair, just and equitable because in any comparison between the two the Centre is and has always been stronger than all the States.</w:t>
      </w:r>
    </w:p>
    <w:p w14:paraId="55713451"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3.8</w:t>
      </w:r>
      <w:r w:rsidRPr="00F47786">
        <w:rPr>
          <w:rFonts w:ascii="Times New Roman" w:hAnsi="Times New Roman" w:cs="Times New Roman"/>
          <w:sz w:val="18"/>
          <w:szCs w:val="18"/>
        </w:rPr>
        <w:t> In view of the adamant, inflexible and unreasonable attitude of the Centre in this matter and also on the principle that the equity looks upon that as done, which ought to have been done, I would recommend to the President (in effect the Union Government) to take appropriate action for amendment of the Constitution to provide for sharing of the corporation tax with the States.</w:t>
      </w:r>
    </w:p>
    <w:p w14:paraId="72F0E143"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3.9</w:t>
      </w:r>
      <w:r w:rsidRPr="00F47786">
        <w:rPr>
          <w:rFonts w:ascii="Times New Roman" w:hAnsi="Times New Roman" w:cs="Times New Roman"/>
          <w:sz w:val="18"/>
          <w:szCs w:val="18"/>
        </w:rPr>
        <w:t xml:space="preserve"> The next question is what constitutes divisible pool from income tax proceeds. Even from the individual income tax, the Centre has been making quite a number of large deductions under different heads such as the Union emoluments Miscellaneous receipts, cost of collection, etc. These deductions are unilaterally determined by the Centre and are not subject to scrutiny. In fairness to the States, it is desirable that the questions regarding the propriety of deductions under these heads and the justifiable quantum of deductions should be </w:t>
      </w:r>
      <w:r w:rsidRPr="00F47786">
        <w:rPr>
          <w:rFonts w:ascii="Times New Roman" w:hAnsi="Times New Roman" w:cs="Times New Roman"/>
          <w:sz w:val="18"/>
          <w:szCs w:val="18"/>
        </w:rPr>
        <w:lastRenderedPageBreak/>
        <w:t>decided by an impartial body like the Finance Commission. Hence, in my opinion these questions should be referred to the Finance Commission under Article 280(3)(c), as it pertains to the sound finance of the Centre and the States.</w:t>
      </w:r>
    </w:p>
    <w:p w14:paraId="15D29FBB" w14:textId="0E48D65A"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3.10</w:t>
      </w:r>
      <w:r w:rsidRPr="00F47786">
        <w:rPr>
          <w:rFonts w:ascii="Times New Roman" w:hAnsi="Times New Roman" w:cs="Times New Roman"/>
          <w:sz w:val="18"/>
          <w:szCs w:val="18"/>
        </w:rPr>
        <w:t> The most crucial question is what should be the ratio of apportionment of total income tax receipts (including those from corporation tax) between the Centre and the States. While determining this question, we have to bear in mind that the Centre shoulders heavy responsibility in several matters of national importance. Hence, in my opinion, the share of the Centre should be larger than the share of all the States put together. Taking all the relevant circumstances into consideration and adopting impartial and objective standards, I feel that the Centre including the Union territories should get 55 per cent and all the States plus together should get 45 per cent of the total receipts of the income tax paid by the individuals as well as the companies. In fact, this ratio was achieved in 1971-72 when all the States' share in the total income tax was 45.6 per cent. This ratio is the same as that we have fixed for the excise duty. There also we have recommended 55 per cent for the Centre and 45 per cent for the States. However, the ratio of apportionment of income tax revenue between the Centre and the States can be modified by the Finance Commission from time to time as the situation demands.</w:t>
      </w:r>
    </w:p>
    <w:p w14:paraId="4C468327"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3.11</w:t>
      </w:r>
      <w:r w:rsidRPr="00F47786">
        <w:rPr>
          <w:rFonts w:ascii="Times New Roman" w:hAnsi="Times New Roman" w:cs="Times New Roman"/>
          <w:sz w:val="18"/>
          <w:szCs w:val="18"/>
        </w:rPr>
        <w:t> In view of my aforementioned recommendations, the 45 per cent share of the States should be divided between them according to the same formula as is adopted in the majority report. The said formula appears to be reasonably fair. The only difference between the majority recommendation and my recommendation, in this Dissenting Note, is that instead of 85 per cent of the individual income tax alone, the States will get 45 per cent of the total collections of income tax, paid by the companies as well as individuals.</w:t>
      </w:r>
    </w:p>
    <w:p w14:paraId="48224E2D"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3.12</w:t>
      </w:r>
      <w:r w:rsidRPr="00F47786">
        <w:rPr>
          <w:rFonts w:ascii="Times New Roman" w:hAnsi="Times New Roman" w:cs="Times New Roman"/>
          <w:sz w:val="18"/>
          <w:szCs w:val="18"/>
        </w:rPr>
        <w:t> Under my recommendation, the Centre will get slightly less amount and the States will get slightly more than what they get now and will get under the majority recommendation. But the two major advantages in my recommendation are: (</w:t>
      </w:r>
      <w:proofErr w:type="spellStart"/>
      <w:r w:rsidRPr="00F47786">
        <w:rPr>
          <w:rFonts w:ascii="Times New Roman" w:hAnsi="Times New Roman" w:cs="Times New Roman"/>
          <w:sz w:val="18"/>
          <w:szCs w:val="18"/>
        </w:rPr>
        <w:t>i</w:t>
      </w:r>
      <w:proofErr w:type="spellEnd"/>
      <w:r w:rsidRPr="00F47786">
        <w:rPr>
          <w:rFonts w:ascii="Times New Roman" w:hAnsi="Times New Roman" w:cs="Times New Roman"/>
          <w:sz w:val="18"/>
          <w:szCs w:val="18"/>
        </w:rPr>
        <w:t>) that a strong irritant in the Centre-State relations will be removed and (ii) that the unity and integrity of the country will be safeguarded at a negligible cost. In my opinion, it will not in any manner weaken the financial position of the Centre. Rather, this would enhance the Centre's interest and stake in income tax, leading to larger collections.</w:t>
      </w:r>
    </w:p>
    <w:p w14:paraId="671DFA79"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3.13</w:t>
      </w:r>
      <w:r w:rsidRPr="00F47786">
        <w:rPr>
          <w:rFonts w:ascii="Times New Roman" w:hAnsi="Times New Roman" w:cs="Times New Roman"/>
          <w:sz w:val="18"/>
          <w:szCs w:val="18"/>
        </w:rPr>
        <w:t xml:space="preserve"> In my recommendation, the corporation tax which is in fact company income tax is treated as shareable between the Centre and the States. The question of proportionate cost of collection for the individual income tax and the corporation tax does not arise. However, if such a question does arise then, in my opinion, the ratio between the individual income tax and the company income tax would be 1:1. It is highly unfair and unjust to fix it at 7:1 on the ground that there is more work-load and bigger work force engaged in the individual income tax work. This is factually incorrect. The company income tax work is much more complicated. Moreover now, individual assessments upto rupees one lakh </w:t>
      </w:r>
      <w:proofErr w:type="gramStart"/>
      <w:r w:rsidRPr="00F47786">
        <w:rPr>
          <w:rFonts w:ascii="Times New Roman" w:hAnsi="Times New Roman" w:cs="Times New Roman"/>
          <w:sz w:val="18"/>
          <w:szCs w:val="18"/>
        </w:rPr>
        <w:t>do</w:t>
      </w:r>
      <w:proofErr w:type="gramEnd"/>
      <w:r w:rsidRPr="00F47786">
        <w:rPr>
          <w:rFonts w:ascii="Times New Roman" w:hAnsi="Times New Roman" w:cs="Times New Roman"/>
          <w:sz w:val="18"/>
          <w:szCs w:val="18"/>
        </w:rPr>
        <w:t xml:space="preserve"> not require scrutiny, which takes out bulk of the work. It is indeed a travesty of truth to say that the work on individual income tax collection is seven times heavier than that on the company income tax collections. Apart from the work-load, the amount of collections also must be looked at. The company income tax collections are higher than the individual income tax collections and, therefore, company income tax component can and should bear at least equal burden, if not more. An important aspect in this matter is to consider that if there was no individual income tax and only the company income tax was to be collected, how many persons would have been employed and how many establishments put up to collect it. On this basis, much more than half of the cost of collections would get allocated to the corporation tax. Hence, fairness and justice would demand that the ratio between the two components of income tax should be 1:1.</w:t>
      </w:r>
    </w:p>
    <w:p w14:paraId="041EE3E7"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3.14</w:t>
      </w:r>
      <w:r w:rsidRPr="00F47786">
        <w:rPr>
          <w:rFonts w:ascii="Times New Roman" w:hAnsi="Times New Roman" w:cs="Times New Roman"/>
          <w:sz w:val="18"/>
          <w:szCs w:val="18"/>
        </w:rPr>
        <w:t xml:space="preserve"> The next important question is regarding the surcharge on the income tax levied under Article 271. Its proceeds go entirely to the Centre and are not shareable with the States. The surcharge is intended to mobilise additional resources for unforeseen calamities. Hence, necessarily it must be for a limited time. It should not be levied for long period to become almost a permanent tax. The Centre had been collecting surcharge on income tax for many years. The States complained before all Finance Commissions that the Centre was wrongly using surcharge as additional income tax and appropriating the proceeds. The Eight Finance Commission in its report observed as </w:t>
      </w:r>
      <w:proofErr w:type="gramStart"/>
      <w:r w:rsidRPr="00F47786">
        <w:rPr>
          <w:rFonts w:ascii="Times New Roman" w:hAnsi="Times New Roman" w:cs="Times New Roman"/>
          <w:sz w:val="18"/>
          <w:szCs w:val="18"/>
        </w:rPr>
        <w:t>under:-</w:t>
      </w:r>
      <w:proofErr w:type="gramEnd"/>
    </w:p>
    <w:p w14:paraId="3019D6A2" w14:textId="77777777" w:rsidR="00EB236F" w:rsidRPr="00F47786" w:rsidRDefault="00EB236F" w:rsidP="00287E78">
      <w:pPr>
        <w:spacing w:before="40" w:after="0" w:line="200" w:lineRule="exact"/>
        <w:ind w:left="284"/>
        <w:jc w:val="both"/>
        <w:rPr>
          <w:rFonts w:ascii="Times New Roman" w:hAnsi="Times New Roman" w:cs="Times New Roman"/>
          <w:sz w:val="18"/>
          <w:szCs w:val="18"/>
        </w:rPr>
      </w:pPr>
      <w:r w:rsidRPr="00F47786">
        <w:rPr>
          <w:rFonts w:ascii="Times New Roman" w:hAnsi="Times New Roman" w:cs="Times New Roman"/>
          <w:sz w:val="18"/>
          <w:szCs w:val="18"/>
        </w:rPr>
        <w:t>"..... We would strongly suggest to the Union Government that for the sake of amicable Centre-State relations it should reconsider the indefinite continuance of surcharge... We would suggest that with the commencement of the financial year 1985-86 the surcharge be withdrawn, and the basic rates of income tax be suitably adjusted". (Para 5.10).</w:t>
      </w:r>
    </w:p>
    <w:p w14:paraId="6A4BC3CA" w14:textId="77777777" w:rsidR="00EB236F" w:rsidRPr="00F47786" w:rsidRDefault="00EB236F" w:rsidP="00287E78">
      <w:pPr>
        <w:spacing w:before="40" w:after="0" w:line="200" w:lineRule="exact"/>
        <w:jc w:val="both"/>
        <w:rPr>
          <w:rFonts w:ascii="Times New Roman" w:hAnsi="Times New Roman" w:cs="Times New Roman"/>
          <w:sz w:val="18"/>
          <w:szCs w:val="18"/>
        </w:rPr>
      </w:pPr>
      <w:r w:rsidRPr="00F47786">
        <w:rPr>
          <w:rFonts w:ascii="Times New Roman" w:hAnsi="Times New Roman" w:cs="Times New Roman"/>
          <w:sz w:val="18"/>
          <w:szCs w:val="18"/>
        </w:rPr>
        <w:t>The Government withdrew the surcharge after 1985-86 but subsequently, reintroduced it selectively on the ground of severe drought in 1986-87. Though the last two monsoons have been exceptionally good and foodgrains production has reached record levels, the surcharge still continues. The policy of the Centre in this regard is unfair, unjust and arbitrary. In the name of surcharge on income tax, it is collecting large amounts which should be shareable. If the surcharge is levied for a specific purpose and its duration is relatable to the purpose, it can be regarded as 'surcharge' and will be exclusively for the Centre. But, if it is not for the specific purpose, or if it continues beyond the duration of that purpose, it should be treated as ordinary income tax and made shareable. In my opinion, in future, the levy of any surcharge on income tax should be referred to the Finance Commission to be decided on equitable grounds.</w:t>
      </w:r>
    </w:p>
    <w:p w14:paraId="77A30C66"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3.15</w:t>
      </w:r>
      <w:r w:rsidRPr="00F47786">
        <w:rPr>
          <w:rFonts w:ascii="Times New Roman" w:hAnsi="Times New Roman" w:cs="Times New Roman"/>
          <w:sz w:val="18"/>
          <w:szCs w:val="18"/>
        </w:rPr>
        <w:t> The States also have the grievance that as the Centre gets only 15 per cent of the individual income tax, it does not show keen interest in the recoveries of the arrears of income tax. The amount of income tax arrears for the past five years, 1983-84 to 1987-88 for which data is available is as under:</w:t>
      </w:r>
    </w:p>
    <w:p w14:paraId="4E46BF03" w14:textId="77777777" w:rsidR="00121AF5" w:rsidRDefault="00EB236F" w:rsidP="00121AF5">
      <w:pPr>
        <w:spacing w:after="0" w:line="240" w:lineRule="auto"/>
        <w:jc w:val="center"/>
        <w:rPr>
          <w:rFonts w:ascii="Times New Roman" w:hAnsi="Times New Roman" w:cs="Times New Roman"/>
          <w:sz w:val="20"/>
          <w:szCs w:val="20"/>
        </w:rPr>
      </w:pPr>
      <w:r w:rsidRPr="00F47786">
        <w:rPr>
          <w:rFonts w:ascii="Times New Roman" w:hAnsi="Times New Roman" w:cs="Times New Roman"/>
          <w:b/>
          <w:bCs/>
          <w:sz w:val="20"/>
          <w:szCs w:val="20"/>
        </w:rPr>
        <w:t>INCOME TAX IN ARREARS</w:t>
      </w:r>
    </w:p>
    <w:p w14:paraId="67816469" w14:textId="396AB8F7" w:rsidR="00EB236F" w:rsidRPr="00121AF5" w:rsidRDefault="00EB236F" w:rsidP="008E4980">
      <w:pPr>
        <w:spacing w:after="0" w:line="240" w:lineRule="auto"/>
        <w:ind w:left="5760" w:firstLine="720"/>
        <w:rPr>
          <w:rFonts w:ascii="Times New Roman" w:hAnsi="Times New Roman" w:cs="Times New Roman"/>
          <w:sz w:val="20"/>
          <w:szCs w:val="20"/>
        </w:rPr>
      </w:pPr>
      <w:r w:rsidRPr="00121AF5">
        <w:rPr>
          <w:rFonts w:ascii="Times New Roman" w:hAnsi="Times New Roman" w:cs="Times New Roman"/>
          <w:i/>
          <w:iCs/>
          <w:sz w:val="18"/>
          <w:szCs w:val="18"/>
        </w:rPr>
        <w:t>(Rs. in crore)</w:t>
      </w:r>
    </w:p>
    <w:tbl>
      <w:tblPr>
        <w:tblStyle w:val="TableGrid"/>
        <w:tblW w:w="4673" w:type="dxa"/>
        <w:jc w:val="center"/>
        <w:tblLook w:val="04A0" w:firstRow="1" w:lastRow="0" w:firstColumn="1" w:lastColumn="0" w:noHBand="0" w:noVBand="1"/>
      </w:tblPr>
      <w:tblGrid>
        <w:gridCol w:w="2547"/>
        <w:gridCol w:w="2126"/>
      </w:tblGrid>
      <w:tr w:rsidR="00EB236F" w:rsidRPr="00AA6AF4" w14:paraId="5C9FC07C" w14:textId="77777777" w:rsidTr="008E4980">
        <w:trPr>
          <w:trHeight w:val="20"/>
          <w:jc w:val="center"/>
        </w:trPr>
        <w:tc>
          <w:tcPr>
            <w:tcW w:w="2547" w:type="dxa"/>
            <w:vAlign w:val="center"/>
            <w:hideMark/>
          </w:tcPr>
          <w:p w14:paraId="69F60E79" w14:textId="77777777" w:rsidR="00EB236F" w:rsidRPr="00AA6AF4" w:rsidRDefault="00EB236F" w:rsidP="00C25441">
            <w:pPr>
              <w:pStyle w:val="NoSpacing"/>
              <w:jc w:val="center"/>
              <w:rPr>
                <w:rFonts w:ascii="Times New Roman" w:hAnsi="Times New Roman" w:cs="Times New Roman"/>
              </w:rPr>
            </w:pPr>
          </w:p>
        </w:tc>
        <w:tc>
          <w:tcPr>
            <w:tcW w:w="2126" w:type="dxa"/>
            <w:vAlign w:val="center"/>
            <w:hideMark/>
          </w:tcPr>
          <w:p w14:paraId="1F961B3D" w14:textId="77777777" w:rsidR="00EB236F" w:rsidRPr="00AA6AF4" w:rsidRDefault="00EB236F" w:rsidP="00C25441">
            <w:pPr>
              <w:pStyle w:val="NoSpacing"/>
              <w:jc w:val="center"/>
              <w:rPr>
                <w:rFonts w:ascii="Times New Roman" w:hAnsi="Times New Roman" w:cs="Times New Roman"/>
              </w:rPr>
            </w:pPr>
          </w:p>
        </w:tc>
      </w:tr>
      <w:tr w:rsidR="00EB236F" w:rsidRPr="00AA6AF4" w14:paraId="4DABEAE3" w14:textId="77777777" w:rsidTr="008E4980">
        <w:trPr>
          <w:trHeight w:val="20"/>
          <w:jc w:val="center"/>
        </w:trPr>
        <w:tc>
          <w:tcPr>
            <w:tcW w:w="2547" w:type="dxa"/>
            <w:vAlign w:val="center"/>
            <w:hideMark/>
          </w:tcPr>
          <w:p w14:paraId="77A84044"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1983-84</w:t>
            </w:r>
          </w:p>
        </w:tc>
        <w:tc>
          <w:tcPr>
            <w:tcW w:w="2126" w:type="dxa"/>
            <w:vAlign w:val="center"/>
            <w:hideMark/>
          </w:tcPr>
          <w:p w14:paraId="0CB66E23"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903.95</w:t>
            </w:r>
          </w:p>
        </w:tc>
      </w:tr>
      <w:tr w:rsidR="00EB236F" w:rsidRPr="00AA6AF4" w14:paraId="4B0D53DB" w14:textId="77777777" w:rsidTr="008E4980">
        <w:trPr>
          <w:trHeight w:val="20"/>
          <w:jc w:val="center"/>
        </w:trPr>
        <w:tc>
          <w:tcPr>
            <w:tcW w:w="2547" w:type="dxa"/>
            <w:vAlign w:val="center"/>
            <w:hideMark/>
          </w:tcPr>
          <w:p w14:paraId="575EECD1"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1984-85</w:t>
            </w:r>
          </w:p>
        </w:tc>
        <w:tc>
          <w:tcPr>
            <w:tcW w:w="2126" w:type="dxa"/>
            <w:vAlign w:val="center"/>
            <w:hideMark/>
          </w:tcPr>
          <w:p w14:paraId="6FAFEC68"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1168.40</w:t>
            </w:r>
          </w:p>
        </w:tc>
      </w:tr>
      <w:tr w:rsidR="00EB236F" w:rsidRPr="00AA6AF4" w14:paraId="6AA48A97" w14:textId="77777777" w:rsidTr="008E4980">
        <w:trPr>
          <w:trHeight w:val="20"/>
          <w:jc w:val="center"/>
        </w:trPr>
        <w:tc>
          <w:tcPr>
            <w:tcW w:w="2547" w:type="dxa"/>
            <w:vAlign w:val="center"/>
            <w:hideMark/>
          </w:tcPr>
          <w:p w14:paraId="5956DEFC"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1985-86</w:t>
            </w:r>
          </w:p>
        </w:tc>
        <w:tc>
          <w:tcPr>
            <w:tcW w:w="2126" w:type="dxa"/>
            <w:vAlign w:val="center"/>
            <w:hideMark/>
          </w:tcPr>
          <w:p w14:paraId="74B54EFF"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1215.83</w:t>
            </w:r>
          </w:p>
        </w:tc>
      </w:tr>
      <w:tr w:rsidR="00EB236F" w:rsidRPr="00AA6AF4" w14:paraId="2DF5F79C" w14:textId="77777777" w:rsidTr="008E4980">
        <w:trPr>
          <w:trHeight w:val="20"/>
          <w:jc w:val="center"/>
        </w:trPr>
        <w:tc>
          <w:tcPr>
            <w:tcW w:w="2547" w:type="dxa"/>
            <w:vAlign w:val="center"/>
            <w:hideMark/>
          </w:tcPr>
          <w:p w14:paraId="4565A9BB"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1986-87</w:t>
            </w:r>
          </w:p>
        </w:tc>
        <w:tc>
          <w:tcPr>
            <w:tcW w:w="2126" w:type="dxa"/>
            <w:vAlign w:val="center"/>
            <w:hideMark/>
          </w:tcPr>
          <w:p w14:paraId="682D53D5"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1439.20</w:t>
            </w:r>
          </w:p>
        </w:tc>
      </w:tr>
      <w:tr w:rsidR="00EB236F" w:rsidRPr="00AA6AF4" w14:paraId="23FE3784" w14:textId="77777777" w:rsidTr="008E4980">
        <w:trPr>
          <w:trHeight w:val="20"/>
          <w:jc w:val="center"/>
        </w:trPr>
        <w:tc>
          <w:tcPr>
            <w:tcW w:w="2547" w:type="dxa"/>
            <w:vAlign w:val="center"/>
            <w:hideMark/>
          </w:tcPr>
          <w:p w14:paraId="5028DE5B"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1987-88</w:t>
            </w:r>
          </w:p>
        </w:tc>
        <w:tc>
          <w:tcPr>
            <w:tcW w:w="2126" w:type="dxa"/>
            <w:vAlign w:val="center"/>
            <w:hideMark/>
          </w:tcPr>
          <w:p w14:paraId="4AE73C39" w14:textId="77777777" w:rsidR="00EB236F" w:rsidRPr="00F47786" w:rsidRDefault="00EB236F" w:rsidP="00C25441">
            <w:pPr>
              <w:pStyle w:val="NoSpacing"/>
              <w:jc w:val="center"/>
              <w:rPr>
                <w:rFonts w:ascii="Times New Roman" w:hAnsi="Times New Roman" w:cs="Times New Roman"/>
                <w:sz w:val="18"/>
                <w:szCs w:val="16"/>
              </w:rPr>
            </w:pPr>
            <w:r w:rsidRPr="00F47786">
              <w:rPr>
                <w:rFonts w:ascii="Times New Roman" w:hAnsi="Times New Roman" w:cs="Times New Roman"/>
                <w:sz w:val="18"/>
                <w:szCs w:val="16"/>
              </w:rPr>
              <w:t>1631.68</w:t>
            </w:r>
          </w:p>
        </w:tc>
      </w:tr>
    </w:tbl>
    <w:p w14:paraId="6AA49080" w14:textId="71A035DA" w:rsidR="00EB236F" w:rsidRPr="00121AF5" w:rsidRDefault="00EB236F" w:rsidP="00287E78">
      <w:pPr>
        <w:spacing w:before="40" w:after="0" w:line="200" w:lineRule="exact"/>
        <w:jc w:val="both"/>
        <w:rPr>
          <w:rFonts w:ascii="Times New Roman" w:hAnsi="Times New Roman" w:cs="Times New Roman"/>
          <w:sz w:val="20"/>
          <w:szCs w:val="20"/>
        </w:rPr>
      </w:pPr>
      <w:r w:rsidRPr="00F47786">
        <w:rPr>
          <w:rFonts w:ascii="Times New Roman" w:hAnsi="Times New Roman" w:cs="Times New Roman"/>
          <w:sz w:val="18"/>
          <w:szCs w:val="18"/>
        </w:rPr>
        <w:t>If the total income tax (company and individual) is made shareable the Centre would have more interest in recovery of arrears as its own share in the enlarged pool will increase. In fairness to the States the Centre should make vigorous efforts to recover promptly the arrears of income tax.</w:t>
      </w:r>
    </w:p>
    <w:p w14:paraId="46487EA1" w14:textId="77777777" w:rsidR="00EB236F" w:rsidRPr="00121AF5" w:rsidRDefault="00EB236F" w:rsidP="00287E78">
      <w:pPr>
        <w:spacing w:before="40" w:after="0" w:line="200" w:lineRule="exact"/>
        <w:jc w:val="center"/>
        <w:rPr>
          <w:rFonts w:ascii="Times New Roman" w:hAnsi="Times New Roman" w:cs="Times New Roman"/>
          <w:sz w:val="20"/>
          <w:szCs w:val="20"/>
        </w:rPr>
      </w:pPr>
      <w:r w:rsidRPr="00121AF5">
        <w:rPr>
          <w:rFonts w:ascii="Times New Roman" w:hAnsi="Times New Roman" w:cs="Times New Roman"/>
          <w:b/>
          <w:bCs/>
          <w:sz w:val="20"/>
          <w:szCs w:val="20"/>
        </w:rPr>
        <w:t>4. DEBT RELIEF</w:t>
      </w:r>
    </w:p>
    <w:p w14:paraId="662EB131"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4.1</w:t>
      </w:r>
      <w:r w:rsidRPr="00F47786">
        <w:rPr>
          <w:rFonts w:ascii="Times New Roman" w:hAnsi="Times New Roman" w:cs="Times New Roman"/>
          <w:sz w:val="18"/>
          <w:szCs w:val="18"/>
        </w:rPr>
        <w:t xml:space="preserve"> For purposes of debt relief, the majority has classified the States into three categories, based on the performance in respect of returns from investments in power and road transport, and recommended that the State Plan loans obtained by them during 1984-89 should be so rescheduled as to give relief in the repayments ranging from 5 per cent to 10 per cent over the five years 1990-95. This is estimated to reduce the repayment liability of the States by Rs.488 crore in the </w:t>
      </w:r>
      <w:proofErr w:type="gramStart"/>
      <w:r w:rsidRPr="00F47786">
        <w:rPr>
          <w:rFonts w:ascii="Times New Roman" w:hAnsi="Times New Roman" w:cs="Times New Roman"/>
          <w:sz w:val="18"/>
          <w:szCs w:val="18"/>
        </w:rPr>
        <w:t>five year</w:t>
      </w:r>
      <w:proofErr w:type="gramEnd"/>
      <w:r w:rsidRPr="00F47786">
        <w:rPr>
          <w:rFonts w:ascii="Times New Roman" w:hAnsi="Times New Roman" w:cs="Times New Roman"/>
          <w:sz w:val="18"/>
          <w:szCs w:val="18"/>
        </w:rPr>
        <w:t xml:space="preserve"> period 1990-95. Though I agree with their classification, I feel that the relief recommended by them is not adequate, in view of the States' weak financial base. I am convinced that the staggering debt burden they are carrying on their shoulders is partly due to the fact that in the matter of devolution of taxes and grants the Centre has never given a fair deal to the States.</w:t>
      </w:r>
    </w:p>
    <w:p w14:paraId="28508250" w14:textId="0BC4A316"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4.2</w:t>
      </w:r>
      <w:r w:rsidRPr="00F47786">
        <w:rPr>
          <w:rFonts w:ascii="Times New Roman" w:hAnsi="Times New Roman" w:cs="Times New Roman"/>
          <w:sz w:val="18"/>
          <w:szCs w:val="18"/>
        </w:rPr>
        <w:t xml:space="preserve"> The total outstanding of Central loans against the States as on 31.3.1990 is over Rs.56,000 crore out of which about Rs.16,000 crore </w:t>
      </w:r>
      <w:proofErr w:type="gramStart"/>
      <w:r w:rsidRPr="00F47786">
        <w:rPr>
          <w:rFonts w:ascii="Times New Roman" w:hAnsi="Times New Roman" w:cs="Times New Roman"/>
          <w:sz w:val="18"/>
          <w:szCs w:val="18"/>
        </w:rPr>
        <w:t>are</w:t>
      </w:r>
      <w:proofErr w:type="gramEnd"/>
      <w:r w:rsidRPr="00F47786">
        <w:rPr>
          <w:rFonts w:ascii="Times New Roman" w:hAnsi="Times New Roman" w:cs="Times New Roman"/>
          <w:sz w:val="18"/>
          <w:szCs w:val="18"/>
        </w:rPr>
        <w:t xml:space="preserve"> due for recovery during the five years, 1990-95. The reli</w:t>
      </w:r>
      <w:r w:rsidR="005242D4">
        <w:rPr>
          <w:rFonts w:ascii="Times New Roman" w:hAnsi="Times New Roman" w:cs="Times New Roman"/>
          <w:sz w:val="18"/>
          <w:szCs w:val="18"/>
        </w:rPr>
        <w:t>ef</w:t>
      </w:r>
      <w:r w:rsidRPr="00F47786">
        <w:rPr>
          <w:rFonts w:ascii="Times New Roman" w:hAnsi="Times New Roman" w:cs="Times New Roman"/>
          <w:sz w:val="18"/>
          <w:szCs w:val="18"/>
        </w:rPr>
        <w:t xml:space="preserve"> of Rs.494 crore recommended by the majority, in my opinion, is too </w:t>
      </w:r>
      <w:r w:rsidRPr="00F47786">
        <w:rPr>
          <w:rFonts w:ascii="Times New Roman" w:hAnsi="Times New Roman" w:cs="Times New Roman"/>
          <w:sz w:val="18"/>
          <w:szCs w:val="18"/>
        </w:rPr>
        <w:lastRenderedPageBreak/>
        <w:t>meagre, amounting to only about 3 per cent of the repayments due. Even this meagre relief is by way of rescheduling, i.e. postponement, which in my view is not a relief in the real sense. I would, therefore, recommend that the repayments due during 1990-95 in respect of State Plan loans received over the five years 1984-89 and outstanding as on 31.3.1990 should be straightaway written off to the extent of 60 per cent in the case of States in the first category and special category States and Goa, 50 per cent in the case of those in the second category and 40 per cent in the case of those in the third category. This would give a relief of Rs.3150 crore to the States over the five years 1990-95. Considering the debt relief of Rs.2285 crore given to the States by the Eighth Finance Commission at 1983-84 prices, the order of relief recommended by me cannot, by any standard, be considered excessive.</w:t>
      </w:r>
    </w:p>
    <w:p w14:paraId="0DF66170"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4.3</w:t>
      </w:r>
      <w:r w:rsidRPr="00F47786">
        <w:rPr>
          <w:rFonts w:ascii="Times New Roman" w:hAnsi="Times New Roman" w:cs="Times New Roman"/>
          <w:sz w:val="18"/>
          <w:szCs w:val="18"/>
        </w:rPr>
        <w:t> I am of the firm view that the order of relief recommended by me should cause no undue strain on the finances of the Centre. The Centre could certainly find this money through economy in expenditure over the levels allowed by us in our assessment. According to me, there is a lot of wasteful expenditure being incurred by the Union Government and a little check thereon could easily give the resources of the order required to give the desired debt relief recommended by me.</w:t>
      </w:r>
    </w:p>
    <w:p w14:paraId="4004B977"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4.4</w:t>
      </w:r>
      <w:r w:rsidRPr="00F47786">
        <w:rPr>
          <w:rFonts w:ascii="Times New Roman" w:hAnsi="Times New Roman" w:cs="Times New Roman"/>
          <w:sz w:val="18"/>
          <w:szCs w:val="18"/>
        </w:rPr>
        <w:t xml:space="preserve"> Earlier in our deliberations we were of the view that in general there should be no write off or rescheduling of the debts as it encourages profligacy in the States. But </w:t>
      </w:r>
      <w:proofErr w:type="gramStart"/>
      <w:r w:rsidRPr="00F47786">
        <w:rPr>
          <w:rFonts w:ascii="Times New Roman" w:hAnsi="Times New Roman" w:cs="Times New Roman"/>
          <w:sz w:val="18"/>
          <w:szCs w:val="18"/>
        </w:rPr>
        <w:t>now taking an overall view of the fiscal scenario in the Centre and the States</w:t>
      </w:r>
      <w:proofErr w:type="gramEnd"/>
      <w:r w:rsidRPr="00F47786">
        <w:rPr>
          <w:rFonts w:ascii="Times New Roman" w:hAnsi="Times New Roman" w:cs="Times New Roman"/>
          <w:sz w:val="18"/>
          <w:szCs w:val="18"/>
        </w:rPr>
        <w:t xml:space="preserve"> I feel that the least we can do for the States to relieve them of their crushing debt burden is to write off a small part of it which becomes repayable during the next five years. This relief will help the States in financing partly their next </w:t>
      </w:r>
      <w:proofErr w:type="gramStart"/>
      <w:r w:rsidRPr="00F47786">
        <w:rPr>
          <w:rFonts w:ascii="Times New Roman" w:hAnsi="Times New Roman" w:cs="Times New Roman"/>
          <w:sz w:val="18"/>
          <w:szCs w:val="18"/>
        </w:rPr>
        <w:t>five year</w:t>
      </w:r>
      <w:proofErr w:type="gramEnd"/>
      <w:r w:rsidRPr="00F47786">
        <w:rPr>
          <w:rFonts w:ascii="Times New Roman" w:hAnsi="Times New Roman" w:cs="Times New Roman"/>
          <w:sz w:val="18"/>
          <w:szCs w:val="18"/>
        </w:rPr>
        <w:t xml:space="preserve"> plans. I must also add that the States should realise the sanctity of loans and that the borrowed funds should be used for productive investments only and not for consumption.</w:t>
      </w:r>
    </w:p>
    <w:p w14:paraId="104BD16A" w14:textId="77777777" w:rsidR="00EB236F" w:rsidRPr="00121AF5" w:rsidRDefault="00EB236F" w:rsidP="00287E78">
      <w:pPr>
        <w:spacing w:before="40" w:after="0" w:line="200" w:lineRule="exact"/>
        <w:jc w:val="center"/>
        <w:rPr>
          <w:rFonts w:ascii="Times New Roman" w:hAnsi="Times New Roman" w:cs="Times New Roman"/>
          <w:sz w:val="20"/>
          <w:szCs w:val="20"/>
        </w:rPr>
      </w:pPr>
      <w:r w:rsidRPr="00121AF5">
        <w:rPr>
          <w:rFonts w:ascii="Times New Roman" w:hAnsi="Times New Roman" w:cs="Times New Roman"/>
          <w:b/>
          <w:bCs/>
          <w:sz w:val="20"/>
          <w:szCs w:val="20"/>
        </w:rPr>
        <w:t>5. GRANTS TO STATES IN LIEU OF THE REPEALED RAILWAY PASSENGER FARES TAX</w:t>
      </w:r>
    </w:p>
    <w:p w14:paraId="47AD986A"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5.1</w:t>
      </w:r>
      <w:r w:rsidRPr="00F47786">
        <w:rPr>
          <w:rFonts w:ascii="Times New Roman" w:hAnsi="Times New Roman" w:cs="Times New Roman"/>
          <w:sz w:val="18"/>
          <w:szCs w:val="18"/>
        </w:rPr>
        <w:t> Though the Commission has not been asked by its terms of reference to make recommendation on the quantum of the compensatory grants to be paid to States in lieu of the repealed tax on railway passenger fares, the majority report has recommended this at Rs.150 crore per annum on an ad-hoc basis. I do not agree with this. This is a compensatory grant and therefore, its quantum has to be based on what the yield of the tax would have been if the tax was in force. When the tax was in force, the tax element in the fare structure was, on an average, 10.7 per cent. It will, therefore, only be fair that quantum of the grant is determined on the basis of 10.7 per cent of the non-suburban passenger fare earnings in each year of our recommendations. The Eighth Finance commission had accepted this principle in fixing the grant at Rs.95 crore per year for the period 1984-89.</w:t>
      </w:r>
    </w:p>
    <w:p w14:paraId="69BCEA3B"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5.2</w:t>
      </w:r>
      <w:r w:rsidRPr="00F47786">
        <w:rPr>
          <w:rFonts w:ascii="Times New Roman" w:hAnsi="Times New Roman" w:cs="Times New Roman"/>
          <w:sz w:val="18"/>
          <w:szCs w:val="18"/>
        </w:rPr>
        <w:t> The argument advanced on behalf of the Railways and accepted by the majority that the Railways will not be able to bear the burden of paying to the States 10.7 per cent of non-suburban passenger fares and that it will seriously affect their finances and jeopardise their modernisation programme is, in my opinion, not tenable. The Railway finances and their modernisation plan should not depend on the contributions by the States. The passenger fares being collected by the Railways include an amount in lieu of the repealed tax. This amount is collected on behalf of the States and is thus held in trust by the Railways. The Railways therefore, cannot be allowed to nibble away this amount due to extraneous considerations. I would, therefore, recommend to the President that the States should be paid grants in lieu of the repealed tax on Railway passenger fares equivalent to 10.7 per cent of the non-suburban Railway passenger fares collections in each year from 1990-91 to 1994-95.</w:t>
      </w:r>
    </w:p>
    <w:p w14:paraId="0F72BD77" w14:textId="77777777" w:rsidR="00EB236F" w:rsidRPr="00121AF5" w:rsidRDefault="00EB236F" w:rsidP="00287E78">
      <w:pPr>
        <w:spacing w:before="40" w:after="0" w:line="200" w:lineRule="exact"/>
        <w:jc w:val="center"/>
        <w:rPr>
          <w:rFonts w:ascii="Times New Roman" w:hAnsi="Times New Roman" w:cs="Times New Roman"/>
          <w:sz w:val="20"/>
          <w:szCs w:val="20"/>
        </w:rPr>
      </w:pPr>
      <w:r w:rsidRPr="00121AF5">
        <w:rPr>
          <w:rFonts w:ascii="Times New Roman" w:hAnsi="Times New Roman" w:cs="Times New Roman"/>
          <w:b/>
          <w:bCs/>
          <w:sz w:val="20"/>
          <w:szCs w:val="20"/>
        </w:rPr>
        <w:t>6. NORMATIVE APPROACH</w:t>
      </w:r>
    </w:p>
    <w:p w14:paraId="3FDB4483"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6.1</w:t>
      </w:r>
      <w:r w:rsidRPr="00F47786">
        <w:rPr>
          <w:rFonts w:ascii="Times New Roman" w:hAnsi="Times New Roman" w:cs="Times New Roman"/>
          <w:sz w:val="18"/>
          <w:szCs w:val="18"/>
        </w:rPr>
        <w:t xml:space="preserve"> At the outset I must make it clear that the Presidential Order requiring this Commission to adopt the normative approach in assessing the receipts and expenditures on the revenue account of the States and the Centre is a step in the right direction. It is indeed the need of the hour. The Centre as well as the States have been indulging in uncontrolled profligacy and are living beyond their respective means for quite </w:t>
      </w:r>
      <w:proofErr w:type="spellStart"/>
      <w:r w:rsidRPr="00F47786">
        <w:rPr>
          <w:rFonts w:ascii="Times New Roman" w:hAnsi="Times New Roman" w:cs="Times New Roman"/>
          <w:sz w:val="18"/>
          <w:szCs w:val="18"/>
        </w:rPr>
        <w:t>sometime</w:t>
      </w:r>
      <w:proofErr w:type="spellEnd"/>
      <w:r w:rsidRPr="00F47786">
        <w:rPr>
          <w:rFonts w:ascii="Times New Roman" w:hAnsi="Times New Roman" w:cs="Times New Roman"/>
          <w:sz w:val="18"/>
          <w:szCs w:val="18"/>
        </w:rPr>
        <w:t xml:space="preserve">. Their performance on the revenue and the expenditure fronts is dismal. Neither the Centre nor the States practise any kind of financial discipline. In these circumstances, it is necessary that their performance should be judged on the basis of what </w:t>
      </w:r>
      <w:proofErr w:type="gramStart"/>
      <w:r w:rsidRPr="00F47786">
        <w:rPr>
          <w:rFonts w:ascii="Times New Roman" w:hAnsi="Times New Roman" w:cs="Times New Roman"/>
          <w:sz w:val="18"/>
          <w:szCs w:val="18"/>
        </w:rPr>
        <w:t>it</w:t>
      </w:r>
      <w:proofErr w:type="gramEnd"/>
      <w:r w:rsidRPr="00F47786">
        <w:rPr>
          <w:rFonts w:ascii="Times New Roman" w:hAnsi="Times New Roman" w:cs="Times New Roman"/>
          <w:sz w:val="18"/>
          <w:szCs w:val="18"/>
        </w:rPr>
        <w:t xml:space="preserve"> reasonably ought to be and not on the basis of what it actually is. In the prevailing conditions pertaining to public </w:t>
      </w:r>
      <w:proofErr w:type="gramStart"/>
      <w:r w:rsidRPr="00F47786">
        <w:rPr>
          <w:rFonts w:ascii="Times New Roman" w:hAnsi="Times New Roman" w:cs="Times New Roman"/>
          <w:sz w:val="18"/>
          <w:szCs w:val="18"/>
        </w:rPr>
        <w:t>finances</w:t>
      </w:r>
      <w:proofErr w:type="gramEnd"/>
      <w:r w:rsidRPr="00F47786">
        <w:rPr>
          <w:rFonts w:ascii="Times New Roman" w:hAnsi="Times New Roman" w:cs="Times New Roman"/>
          <w:sz w:val="18"/>
          <w:szCs w:val="18"/>
        </w:rPr>
        <w:t xml:space="preserve"> it is an imperative need to adopt the normative approach for both the Centre and the States. Anyone who has conceived this notion of normative approach has done a great service to the country in the prevailing financial chaos. In the beginning some States were up in arms against, inter alia, normative approach. Even in the Centre the Finance Ministry was in jitters on the normative approach being applied to its far from satisfactory performance. Neither the Centre nor the States wanted the normative approach to be applied by the Finance commission all of a sudden. They wanted this Commission to apply the normative approach gradually giving them chance to adapt themselves to the normative standards. In the circumstances and on practical grounds this Commission felt that the request was reasonable. We, therefore, decided to apply the normative approach gradually to enable the Centre and the States to trim their fiscal sails according to the needs of normative standards. In our first Report, we had applied normative standards to the States somewhat rigorously. Consequently, some States especially the special category States suffered heavily. We have reversed our policy on this point and now have watered down normative standards considerably in our second Report. Although the normative approach is in itself a very beneficial thing, there is a practical difficulty in its application. Normative standards can be applied to States easily and effectively, but they cannot be applied to the Centre with the same rigour. It is difficult to set normative standard to certain items, such as, defence expenditure, debts etc. it would, therefore, always be the grouse of the States that the normative approach is applied only to the States and not to the Centre. Such an objection is justified in the prevailing situation. However, ways and means have to be devised to lay down normative standards for the Centre also.</w:t>
      </w:r>
    </w:p>
    <w:p w14:paraId="59E03DF7" w14:textId="77777777"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6.2</w:t>
      </w:r>
      <w:r w:rsidRPr="00F47786">
        <w:rPr>
          <w:rFonts w:ascii="Times New Roman" w:hAnsi="Times New Roman" w:cs="Times New Roman"/>
          <w:sz w:val="18"/>
          <w:szCs w:val="18"/>
        </w:rPr>
        <w:t xml:space="preserve"> In our first Report, we had given the upgradation grants for improvement of certain beneficial services. We had also given grants for the special problems of the States. Those grants were separate and identifiable. The advantage of such grants is that they could be tied grants for specific purposes. It was possible to insist upon the performance relatable to the grants from the concerned States. In the present Report, we have departed from that practice and instead of giving upgradation grants or special problem grants they have been built in the requirements of the States in this regard which is assessed on normative basis by the use of econometric models and </w:t>
      </w:r>
      <w:proofErr w:type="spellStart"/>
      <w:r w:rsidRPr="00F47786">
        <w:rPr>
          <w:rFonts w:ascii="Times New Roman" w:hAnsi="Times New Roman" w:cs="Times New Roman"/>
          <w:sz w:val="18"/>
          <w:szCs w:val="18"/>
        </w:rPr>
        <w:t>algebric</w:t>
      </w:r>
      <w:proofErr w:type="spellEnd"/>
      <w:r w:rsidRPr="00F47786">
        <w:rPr>
          <w:rFonts w:ascii="Times New Roman" w:hAnsi="Times New Roman" w:cs="Times New Roman"/>
          <w:sz w:val="18"/>
          <w:szCs w:val="18"/>
        </w:rPr>
        <w:t xml:space="preserve"> formulae. In my opinion, this is not correct. We should have followed the same method as we followed in our first Report and should have recommended grants for special problems and upgradation of services, so as to make abundantly clear how much is given, for what purpose and to ascertain the compliance of the objectives of the grants.</w:t>
      </w:r>
    </w:p>
    <w:p w14:paraId="0AB6078C" w14:textId="1E2A1151" w:rsidR="00EB236F" w:rsidRPr="00F47786" w:rsidRDefault="00EB236F"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6.3</w:t>
      </w:r>
      <w:r w:rsidRPr="00F47786">
        <w:rPr>
          <w:rFonts w:ascii="Times New Roman" w:hAnsi="Times New Roman" w:cs="Times New Roman"/>
          <w:sz w:val="18"/>
          <w:szCs w:val="18"/>
        </w:rPr>
        <w:t xml:space="preserve"> I have an objection to the results arrived at by adopting the normative approach in assessing the receipts and expenditures on the revenue account of the States and the Centre. It is on the ground that they have been worked out on the basis of econometric models relying on proxies, dummies, variables, etc. in the absence of accurate or reliable data. Moreover, certain considerations have been built in to arrive at the desired results. I am really doubtful about the efficacy of such a mechanical approach towards normative assessment of receipts and expenditures of States, in such a vast country with widely varying social and economic conditions and historical background. After all life is not all law or logic. It is not susceptible to </w:t>
      </w:r>
      <w:proofErr w:type="spellStart"/>
      <w:r w:rsidRPr="00F47786">
        <w:rPr>
          <w:rFonts w:ascii="Times New Roman" w:hAnsi="Times New Roman" w:cs="Times New Roman"/>
          <w:sz w:val="18"/>
          <w:szCs w:val="18"/>
        </w:rPr>
        <w:t>algebric</w:t>
      </w:r>
      <w:proofErr w:type="spellEnd"/>
      <w:r w:rsidRPr="00F47786">
        <w:rPr>
          <w:rFonts w:ascii="Times New Roman" w:hAnsi="Times New Roman" w:cs="Times New Roman"/>
          <w:sz w:val="18"/>
          <w:szCs w:val="18"/>
        </w:rPr>
        <w:t xml:space="preserve"> equations, econometric models or any other theoretical formula. Life is full of contradictions, conflicts and compulsions. Hence, things have to be seen realistically and not theoretically. Though ef</w:t>
      </w:r>
      <w:r w:rsidR="00287E78">
        <w:rPr>
          <w:rFonts w:ascii="Times New Roman" w:hAnsi="Times New Roman" w:cs="Times New Roman"/>
          <w:sz w:val="18"/>
          <w:szCs w:val="18"/>
        </w:rPr>
        <w:t>f</w:t>
      </w:r>
      <w:r w:rsidRPr="00F47786">
        <w:rPr>
          <w:rFonts w:ascii="Times New Roman" w:hAnsi="Times New Roman" w:cs="Times New Roman"/>
          <w:sz w:val="18"/>
          <w:szCs w:val="18"/>
        </w:rPr>
        <w:t>orts have been made to impart some realism to the econometric normative estimates by 'moderating' them considerably with reference to the figures arrived at by the alternative traditional method, this in my view is not a very happy state of affairs.</w:t>
      </w:r>
    </w:p>
    <w:p w14:paraId="1863DD79" w14:textId="20820973"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6.4</w:t>
      </w:r>
      <w:r w:rsidRPr="00F47786">
        <w:rPr>
          <w:rFonts w:ascii="Times New Roman" w:hAnsi="Times New Roman" w:cs="Times New Roman"/>
          <w:sz w:val="18"/>
          <w:szCs w:val="18"/>
        </w:rPr>
        <w:t xml:space="preserve"> Relying on the normative approach as a means of assessment of receipts and expenditures of States, the Commission did not call upon the States to furnish their forecasts, as was done in the past, until nearly the end of the Commission's work. The forecasts when </w:t>
      </w:r>
      <w:r w:rsidRPr="00F47786">
        <w:rPr>
          <w:rFonts w:ascii="Times New Roman" w:hAnsi="Times New Roman" w:cs="Times New Roman"/>
          <w:sz w:val="18"/>
          <w:szCs w:val="18"/>
        </w:rPr>
        <w:lastRenderedPageBreak/>
        <w:t>received were not in proper form. The dialogue thereon with some of the State representatives at that late stage was a mere formality. This was quite wrong in my opinion. A proper forecast and the detailed discussions with the State representatives could have provided a lot of information useful for the formulation of realistic estimates for the sake of comparison with the normative assessment.</w:t>
      </w:r>
    </w:p>
    <w:p w14:paraId="4A343057"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6.5</w:t>
      </w:r>
      <w:r w:rsidRPr="00F47786">
        <w:rPr>
          <w:rFonts w:ascii="Times New Roman" w:hAnsi="Times New Roman" w:cs="Times New Roman"/>
          <w:sz w:val="18"/>
          <w:szCs w:val="18"/>
        </w:rPr>
        <w:t> The normative estimates derived from the econometric models remain more or less a mystery. How these have been regulated, what factors have gone into them, what weights have been assigned to various factors and what are the disabilities taken into account and provided for in the case of different States, are not known. On my enquiry, I was told that there were too many details involved in the process and it was difficult to explain or check them. I was also told that only some kind of random sample check can be done. As it was now too late to check them, or work out the estimates through an alternative method, I had no choice but to accept the estimates as arrived at through the so-called econometric models. However, I am doing so with considerable mental reservations. Even my other esteemed colleagues do not appear to have been satisfied with these estimates arrived at through the econometric models. That is why the estimates were not worked out through an alternative method and compared with the normative estimates. As there was divergence between the two estimates, 'moderation' was carried out in the estimates derived from the econometric models to bring them closer to the alternative estimates.</w:t>
      </w:r>
    </w:p>
    <w:p w14:paraId="7FFB8A9C" w14:textId="5324A6F9" w:rsidR="00924D4F" w:rsidRPr="009D4265"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6.6</w:t>
      </w:r>
      <w:r w:rsidRPr="00F47786">
        <w:rPr>
          <w:rFonts w:ascii="Times New Roman" w:hAnsi="Times New Roman" w:cs="Times New Roman"/>
          <w:sz w:val="18"/>
          <w:szCs w:val="18"/>
        </w:rPr>
        <w:t xml:space="preserve"> Let me in the end repeat that I am all for the normative approach in assessing the revenue receipts and expenditures of the Centre and the States. What I am really doubtful is about the reliability of the data used and the </w:t>
      </w:r>
      <w:proofErr w:type="spellStart"/>
      <w:r w:rsidRPr="00F47786">
        <w:rPr>
          <w:rFonts w:ascii="Times New Roman" w:hAnsi="Times New Roman" w:cs="Times New Roman"/>
          <w:sz w:val="18"/>
          <w:szCs w:val="18"/>
        </w:rPr>
        <w:t>machanical</w:t>
      </w:r>
      <w:proofErr w:type="spellEnd"/>
      <w:r w:rsidRPr="00F47786">
        <w:rPr>
          <w:rFonts w:ascii="Times New Roman" w:hAnsi="Times New Roman" w:cs="Times New Roman"/>
          <w:sz w:val="18"/>
          <w:szCs w:val="18"/>
        </w:rPr>
        <w:t xml:space="preserve"> manner in which the normative assessment has been done. In such a vast country as ours with widely varying social and economic conditions and historical background, no theoretical model would work. Hence things have to be seen realistically. The 'moderation' done in the normative estimates to impart some realism is not a very satisfactory solution. I wish that more thorough study of the subject had been done and more broad-based and accurate data/information collected before this approach was put to practical application. It would have been immensely useful if the State Governments and the subject specialists had been more actively involved in evolving normative approach towards different items of receipts and expenditures. I have elsewhere recommended that a permanent Finance Commission should be constituted forthwith with a Secretariat commensurate with the task. I hope with continuity of operations and with their more intimate contact with the State Governments and other agencies they would be able to do justice to the subject of normative approach. In the </w:t>
      </w:r>
      <w:proofErr w:type="gramStart"/>
      <w:r w:rsidRPr="00F47786">
        <w:rPr>
          <w:rFonts w:ascii="Times New Roman" w:hAnsi="Times New Roman" w:cs="Times New Roman"/>
          <w:sz w:val="18"/>
          <w:szCs w:val="18"/>
        </w:rPr>
        <w:t>meantime</w:t>
      </w:r>
      <w:proofErr w:type="gramEnd"/>
      <w:r w:rsidRPr="00F47786">
        <w:rPr>
          <w:rFonts w:ascii="Times New Roman" w:hAnsi="Times New Roman" w:cs="Times New Roman"/>
          <w:sz w:val="18"/>
          <w:szCs w:val="18"/>
        </w:rPr>
        <w:t xml:space="preserve"> I would recommend that the President may accept this Commission's assessment of the revenue account of the Centre and the States for one year i.e. 1990-91 only.</w:t>
      </w:r>
    </w:p>
    <w:p w14:paraId="66C640E5" w14:textId="0E4B7606" w:rsidR="003C37F7" w:rsidRPr="00F47786" w:rsidRDefault="003C37F7" w:rsidP="00287E78">
      <w:pPr>
        <w:spacing w:before="40" w:after="0" w:line="200" w:lineRule="exact"/>
        <w:jc w:val="center"/>
        <w:rPr>
          <w:rFonts w:ascii="Times New Roman" w:hAnsi="Times New Roman" w:cs="Times New Roman"/>
          <w:sz w:val="18"/>
          <w:szCs w:val="18"/>
        </w:rPr>
      </w:pPr>
      <w:r w:rsidRPr="00F47786">
        <w:rPr>
          <w:rFonts w:ascii="Times New Roman" w:hAnsi="Times New Roman" w:cs="Times New Roman"/>
          <w:b/>
          <w:bCs/>
          <w:sz w:val="18"/>
          <w:szCs w:val="18"/>
        </w:rPr>
        <w:t>GENERAL OBSERVATIONS</w:t>
      </w:r>
    </w:p>
    <w:p w14:paraId="5EB46C3A" w14:textId="77777777" w:rsidR="003C37F7" w:rsidRPr="00F47786" w:rsidRDefault="003C37F7" w:rsidP="00287E78">
      <w:pPr>
        <w:spacing w:before="40" w:after="0" w:line="200" w:lineRule="exact"/>
        <w:jc w:val="center"/>
        <w:rPr>
          <w:rFonts w:ascii="Times New Roman" w:hAnsi="Times New Roman" w:cs="Times New Roman"/>
          <w:sz w:val="18"/>
          <w:szCs w:val="18"/>
        </w:rPr>
      </w:pPr>
      <w:r w:rsidRPr="00F47786">
        <w:rPr>
          <w:rFonts w:ascii="Times New Roman" w:hAnsi="Times New Roman" w:cs="Times New Roman"/>
          <w:b/>
          <w:bCs/>
          <w:sz w:val="18"/>
          <w:szCs w:val="18"/>
        </w:rPr>
        <w:t>7. CENTRALLY SPONSORED SCHEMES</w:t>
      </w:r>
    </w:p>
    <w:p w14:paraId="4AA8E182" w14:textId="0D77F521"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7.1</w:t>
      </w:r>
      <w:r w:rsidRPr="00F47786">
        <w:rPr>
          <w:rFonts w:ascii="Times New Roman" w:hAnsi="Times New Roman" w:cs="Times New Roman"/>
          <w:sz w:val="18"/>
          <w:szCs w:val="18"/>
        </w:rPr>
        <w:t xml:space="preserve"> The Centre has sponsored a number of schemes, known as Centrally sponsored schemes for developmental activities such as poverty alleviation, employment generation family planning, removal of illiteracy etc. All these schemes are essential for national progress. After the </w:t>
      </w:r>
      <w:r w:rsidR="00924D4F" w:rsidRPr="00F47786">
        <w:rPr>
          <w:rFonts w:ascii="Times New Roman" w:hAnsi="Times New Roman" w:cs="Times New Roman"/>
          <w:sz w:val="18"/>
          <w:szCs w:val="18"/>
        </w:rPr>
        <w:t>independence</w:t>
      </w:r>
      <w:r w:rsidRPr="00F47786">
        <w:rPr>
          <w:rFonts w:ascii="Times New Roman" w:hAnsi="Times New Roman" w:cs="Times New Roman"/>
          <w:sz w:val="18"/>
          <w:szCs w:val="18"/>
        </w:rPr>
        <w:t>, it was the duty of the national Government to transform the under-developed country into a modern progressive country. The purposes behind the Centrally sponsored schemes are very laudable. However, in actual practice, those schemes have not produced the desired results, None-the-less, the effort has to continue to achieve the objectives. The question is what is the best way of achieving them.</w:t>
      </w:r>
    </w:p>
    <w:p w14:paraId="4BE01C68"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7.2</w:t>
      </w:r>
      <w:r w:rsidRPr="00F47786">
        <w:rPr>
          <w:rFonts w:ascii="Times New Roman" w:hAnsi="Times New Roman" w:cs="Times New Roman"/>
          <w:sz w:val="18"/>
          <w:szCs w:val="18"/>
        </w:rPr>
        <w:t> Many States had represented to us that these schemes create a number of problems for them. Their main complaints were in respect of the norms for staffing, providing accommodation, vehicles, equipment etc. According to them, there was considerable wastage which became a permanent liability for them after the expiry of the period of the schemes. the wastage left heavy financial burden on the States after the Centre had withdrawn from these schemes. They could not do away with the surplus staff and had to maintain the costly establishments. This is quite a legitimate complaint by the States and deserves to be remedied.</w:t>
      </w:r>
    </w:p>
    <w:p w14:paraId="6FAE9600"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7.3</w:t>
      </w:r>
      <w:r w:rsidRPr="00F47786">
        <w:rPr>
          <w:rFonts w:ascii="Times New Roman" w:hAnsi="Times New Roman" w:cs="Times New Roman"/>
          <w:sz w:val="18"/>
          <w:szCs w:val="18"/>
        </w:rPr>
        <w:t> I feel that much better results from these schemes could be obtained at a much lesser cost, if the schemes are integrated into the State plans. The States are in a better position to assess the needs and to evaluate the resources to accomplish the task. The States should have discretion to work out the details themselves, keeping in view the local conditions. The Centre should have mainly the role of a co-ordinator. It may give necessary guidance and maintain general supervision on the performance of the States in this regard. Such a procedure would not only remove the legitimate grievance of the States but also have the additional advantage that the Centre will not need to misuse Article 282 for giving the discretionary grants; for such schemes and thereby commit the constitutional impropriety.</w:t>
      </w:r>
    </w:p>
    <w:p w14:paraId="17BD5E23" w14:textId="77777777" w:rsidR="003C37F7" w:rsidRPr="00F47786" w:rsidRDefault="003C37F7" w:rsidP="00287E78">
      <w:pPr>
        <w:spacing w:before="40" w:after="0" w:line="200" w:lineRule="exact"/>
        <w:jc w:val="center"/>
        <w:rPr>
          <w:rFonts w:ascii="Times New Roman" w:hAnsi="Times New Roman" w:cs="Times New Roman"/>
          <w:sz w:val="18"/>
          <w:szCs w:val="18"/>
        </w:rPr>
      </w:pPr>
      <w:r w:rsidRPr="00F47786">
        <w:rPr>
          <w:rFonts w:ascii="Times New Roman" w:hAnsi="Times New Roman" w:cs="Times New Roman"/>
          <w:b/>
          <w:bCs/>
          <w:sz w:val="18"/>
          <w:szCs w:val="18"/>
        </w:rPr>
        <w:t>8. WIDENING THE DIVISIBLE POOL OF TAXES AND DUTIES</w:t>
      </w:r>
    </w:p>
    <w:p w14:paraId="56D119FD"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8.1</w:t>
      </w:r>
      <w:r w:rsidRPr="00F47786">
        <w:rPr>
          <w:rFonts w:ascii="Times New Roman" w:hAnsi="Times New Roman" w:cs="Times New Roman"/>
          <w:sz w:val="18"/>
          <w:szCs w:val="18"/>
        </w:rPr>
        <w:t xml:space="preserve"> The Constitution provides for the sharing of the proceeds of the individual income tax alone. The sharing of the proceeds from the Union excise duties is merely optional. The corporation tax (company paid income tax), customs duty etc. are not divisible and remain </w:t>
      </w:r>
      <w:proofErr w:type="spellStart"/>
      <w:r w:rsidRPr="00F47786">
        <w:rPr>
          <w:rFonts w:ascii="Times New Roman" w:hAnsi="Times New Roman" w:cs="Times New Roman"/>
          <w:sz w:val="18"/>
          <w:szCs w:val="18"/>
        </w:rPr>
        <w:t>wholely</w:t>
      </w:r>
      <w:proofErr w:type="spellEnd"/>
      <w:r w:rsidRPr="00F47786">
        <w:rPr>
          <w:rFonts w:ascii="Times New Roman" w:hAnsi="Times New Roman" w:cs="Times New Roman"/>
          <w:sz w:val="18"/>
          <w:szCs w:val="18"/>
        </w:rPr>
        <w:t xml:space="preserve"> with the Centre. In all, the Centre has a disproportionately large resource base from which it derives </w:t>
      </w:r>
      <w:proofErr w:type="spellStart"/>
      <w:r w:rsidRPr="00F47786">
        <w:rPr>
          <w:rFonts w:ascii="Times New Roman" w:hAnsi="Times New Roman" w:cs="Times New Roman"/>
          <w:sz w:val="18"/>
          <w:szCs w:val="18"/>
        </w:rPr>
        <w:t>collosal</w:t>
      </w:r>
      <w:proofErr w:type="spellEnd"/>
      <w:r w:rsidRPr="00F47786">
        <w:rPr>
          <w:rFonts w:ascii="Times New Roman" w:hAnsi="Times New Roman" w:cs="Times New Roman"/>
          <w:sz w:val="18"/>
          <w:szCs w:val="18"/>
        </w:rPr>
        <w:t xml:space="preserve"> amounts as revenue. The State have relatively a much smaller resource base. Apart from the sales tax, there are no other major sources of revenue for the States. Receipts from the entertainment tax, stamp duty etc. are meagre. Hence, most of the States have to perpetually look to the Centre for financial assistance. Consequently, many States are languishing in poverty, illiteracy, widespread malnutrition, insufficient infrastructural facilities, etc. This is not a desirable state of affairs. After nearly four decades of the Constitution having been into force, now the time is ripe for giving the second look at the relative resource base of the Centre and the States. With a view to bring about certain amount of equity and fair deal in the resource distribution and to move towards a just society, it is desirable that the entire question of equitable distribution of resources between the Centre and the States should be gone into by a </w:t>
      </w:r>
      <w:proofErr w:type="gramStart"/>
      <w:r w:rsidRPr="00F47786">
        <w:rPr>
          <w:rFonts w:ascii="Times New Roman" w:hAnsi="Times New Roman" w:cs="Times New Roman"/>
          <w:sz w:val="18"/>
          <w:szCs w:val="18"/>
        </w:rPr>
        <w:t>high powered</w:t>
      </w:r>
      <w:proofErr w:type="gramEnd"/>
      <w:r w:rsidRPr="00F47786">
        <w:rPr>
          <w:rFonts w:ascii="Times New Roman" w:hAnsi="Times New Roman" w:cs="Times New Roman"/>
          <w:sz w:val="18"/>
          <w:szCs w:val="18"/>
        </w:rPr>
        <w:t xml:space="preserve"> independent body. Its conclusions may be debated and discussed in the Parliament and outside and the final outcome may be embedded in the Constitution by suitably amending it.</w:t>
      </w:r>
    </w:p>
    <w:p w14:paraId="6EB3816C" w14:textId="065C87FE"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8.2</w:t>
      </w:r>
      <w:r w:rsidRPr="00F47786">
        <w:rPr>
          <w:rFonts w:ascii="Times New Roman" w:hAnsi="Times New Roman" w:cs="Times New Roman"/>
          <w:sz w:val="18"/>
          <w:szCs w:val="18"/>
        </w:rPr>
        <w:t> With the advent of the planning and with the process of the democratic decentralisation in operation the responsibilities of the States have increased manyfold. In a democratic set up the States have to give positive response to the needs, aspirations and reasonable expectations of the people. They have also to bear in mind the needs of the immediate future. In these circumstances, it is very essential that the States should have fairly strong resource base. In my opinion, the equitable distribution of resources between the Centre and the States would in no way weaken the Centre. On the contrary, financially strong States would bring about a stronger Centre. It is hoped that there will be some useful debate and discussion on the subject in the country and correct decisions taken soon.</w:t>
      </w:r>
    </w:p>
    <w:p w14:paraId="7778F68E"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8.3</w:t>
      </w:r>
      <w:r w:rsidRPr="00F47786">
        <w:rPr>
          <w:rFonts w:ascii="Times New Roman" w:hAnsi="Times New Roman" w:cs="Times New Roman"/>
          <w:sz w:val="18"/>
          <w:szCs w:val="18"/>
        </w:rPr>
        <w:t xml:space="preserve"> The Union of India, under our Constitution, is not a federation in the strict sense. At best it can be described as a "quasi-federal" Union. This means that the Centre does not have all the residuary powers in fiscal and other matters. There is a carefully devised scheme of distribution of powers between the Centre and the States. Neither the Centre nor the States can legitimately claim to exercise powers beyond their respective spheres. If either of the two tries to transgress its limit, it would necessarily impinge upon the sphere of the other. Hence for the unity and harmony it is necessary that there is mutual co-operation, understanding and a common desire to accommodate one another. The fiscal imbalance can be a major cause for friction and possible confrontation between the Centre and the States. </w:t>
      </w:r>
      <w:proofErr w:type="gramStart"/>
      <w:r w:rsidRPr="00F47786">
        <w:rPr>
          <w:rFonts w:ascii="Times New Roman" w:hAnsi="Times New Roman" w:cs="Times New Roman"/>
          <w:sz w:val="18"/>
          <w:szCs w:val="18"/>
        </w:rPr>
        <w:t>Therefore</w:t>
      </w:r>
      <w:proofErr w:type="gramEnd"/>
      <w:r w:rsidRPr="00F47786">
        <w:rPr>
          <w:rFonts w:ascii="Times New Roman" w:hAnsi="Times New Roman" w:cs="Times New Roman"/>
          <w:sz w:val="18"/>
          <w:szCs w:val="18"/>
        </w:rPr>
        <w:t xml:space="preserve"> the founding fathers thought it necessary to provide for the Finance Commission. To avoid such confrontation there should be equitable distribution of resources between the Centre and the States.</w:t>
      </w:r>
    </w:p>
    <w:p w14:paraId="76979C32" w14:textId="5146D286" w:rsidR="003C37F7" w:rsidRPr="009D4265" w:rsidRDefault="003C37F7" w:rsidP="00287E78">
      <w:pPr>
        <w:spacing w:before="40" w:after="0" w:line="200" w:lineRule="exact"/>
        <w:jc w:val="center"/>
        <w:rPr>
          <w:rFonts w:ascii="Times New Roman" w:hAnsi="Times New Roman" w:cs="Times New Roman"/>
          <w:b/>
          <w:bCs/>
          <w:sz w:val="18"/>
          <w:szCs w:val="18"/>
        </w:rPr>
      </w:pPr>
      <w:r w:rsidRPr="009D4265">
        <w:rPr>
          <w:rFonts w:ascii="Times New Roman" w:hAnsi="Times New Roman" w:cs="Times New Roman"/>
          <w:b/>
          <w:bCs/>
          <w:sz w:val="18"/>
          <w:szCs w:val="18"/>
        </w:rPr>
        <w:t xml:space="preserve">9. CASUAL ATTITUDE OF THE UNION GOVERNMENT ABOUT </w:t>
      </w:r>
      <w:proofErr w:type="gramStart"/>
      <w:r w:rsidRPr="009D4265">
        <w:rPr>
          <w:rFonts w:ascii="Times New Roman" w:hAnsi="Times New Roman" w:cs="Times New Roman"/>
          <w:b/>
          <w:bCs/>
          <w:sz w:val="18"/>
          <w:szCs w:val="18"/>
        </w:rPr>
        <w:t>FINANCE  COMMISSION</w:t>
      </w:r>
      <w:proofErr w:type="gramEnd"/>
    </w:p>
    <w:p w14:paraId="315018AF"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lastRenderedPageBreak/>
        <w:t>9.1</w:t>
      </w:r>
      <w:r w:rsidRPr="00F47786">
        <w:rPr>
          <w:rFonts w:ascii="Times New Roman" w:hAnsi="Times New Roman" w:cs="Times New Roman"/>
          <w:sz w:val="18"/>
          <w:szCs w:val="18"/>
        </w:rPr>
        <w:t> This Commission was constituted in June, 1987 only two or three days before the Constitutional deadline of the 'expiration of the five years'. This was done in peculiar circumstances, after considerable dilly dallying. Originally, it was to be constituted in January, 1987 to give it sufficient time to submit its report in time for the formulation of the plan and the Budget. With this end in view, the preparatory work started sometime in August/September, 1986. An Officer on Special Duty was appointed. As per the usual practice he was to take over as the Member Secretary when the Commission was constituted. But for some unknown reasons, the Commission was not constituted for more than eight months. Only when it was realised that a Constitutional impropriety may be committed if it was not constituted immediately, the Commission was hurriedly constituted in June, 1987. But surprisingly the Officer on Special Duty who had better background and experience was sidetracked and another person who was completely new to the job was brought in as Member Secretary at the last minute. Surprisingly the said person was transferred after two years in the Commission and the person who was earlier sidetracked was brought in as Member Secretary at such a late stage. It shows the extreme casualness on the part of the Union Government.</w:t>
      </w:r>
    </w:p>
    <w:p w14:paraId="68CFC86A"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9.2</w:t>
      </w:r>
      <w:r w:rsidRPr="00F47786">
        <w:rPr>
          <w:rFonts w:ascii="Times New Roman" w:hAnsi="Times New Roman" w:cs="Times New Roman"/>
          <w:sz w:val="18"/>
          <w:szCs w:val="18"/>
        </w:rPr>
        <w:t> Right from the inception there was hostile criticism in the press about the Commission's composition. Its Chairman and Members were labelled as the henchmen of the Government of India. There was an apprehension in the minds of several State Governments that this Commission may not be impartial and that it may make the recommendations which will be favourable to the Centre at the cost of the States, especially those ruled by the political parties different from the one in power at the Centre. The Commission did try to dispel the apprehensions and to re-assure the State Governments and others of its independence, impartiality and fair approach. This situation would have been avoided if the States were taken into confidence on the composition and the terms of reference of the Commission.</w:t>
      </w:r>
    </w:p>
    <w:p w14:paraId="0648785B" w14:textId="77777777" w:rsidR="003C37F7" w:rsidRPr="00F47786" w:rsidRDefault="003C37F7" w:rsidP="00287E78">
      <w:pPr>
        <w:spacing w:before="40" w:after="0" w:line="200" w:lineRule="exact"/>
        <w:ind w:firstLine="284"/>
        <w:jc w:val="both"/>
        <w:rPr>
          <w:rFonts w:ascii="Times New Roman" w:hAnsi="Times New Roman" w:cs="Times New Roman"/>
          <w:sz w:val="18"/>
          <w:szCs w:val="18"/>
        </w:rPr>
      </w:pPr>
      <w:r w:rsidRPr="00F47786">
        <w:rPr>
          <w:rFonts w:ascii="Times New Roman" w:hAnsi="Times New Roman" w:cs="Times New Roman"/>
          <w:b/>
          <w:bCs/>
          <w:sz w:val="18"/>
          <w:szCs w:val="18"/>
        </w:rPr>
        <w:t>9.3</w:t>
      </w:r>
      <w:r w:rsidRPr="00F47786">
        <w:rPr>
          <w:rFonts w:ascii="Times New Roman" w:hAnsi="Times New Roman" w:cs="Times New Roman"/>
          <w:sz w:val="18"/>
          <w:szCs w:val="18"/>
        </w:rPr>
        <w:t xml:space="preserve"> Another instance of the Union Government's casual attitude towards the Commission can be seen from the way in which the vacancy caused by the resignation of Shri Lal Thanhawla, as Member was filled. On his appointment as Chief Minister, Mizoram, in January, 1989, Shri Lal </w:t>
      </w:r>
      <w:proofErr w:type="spellStart"/>
      <w:r w:rsidRPr="00F47786">
        <w:rPr>
          <w:rFonts w:ascii="Times New Roman" w:hAnsi="Times New Roman" w:cs="Times New Roman"/>
          <w:sz w:val="18"/>
          <w:szCs w:val="18"/>
        </w:rPr>
        <w:t>Thanhawla</w:t>
      </w:r>
      <w:proofErr w:type="spellEnd"/>
      <w:r w:rsidRPr="00F47786">
        <w:rPr>
          <w:rFonts w:ascii="Times New Roman" w:hAnsi="Times New Roman" w:cs="Times New Roman"/>
          <w:sz w:val="18"/>
          <w:szCs w:val="18"/>
        </w:rPr>
        <w:t xml:space="preserve"> resigned as Member of this Commission. Till may, 1989, no Member was appointed in his place. Shri S. </w:t>
      </w:r>
      <w:proofErr w:type="spellStart"/>
      <w:r w:rsidRPr="00F47786">
        <w:rPr>
          <w:rFonts w:ascii="Times New Roman" w:hAnsi="Times New Roman" w:cs="Times New Roman"/>
          <w:sz w:val="18"/>
          <w:szCs w:val="18"/>
        </w:rPr>
        <w:t>Venkitaramanan</w:t>
      </w:r>
      <w:proofErr w:type="spellEnd"/>
      <w:r w:rsidRPr="00F47786">
        <w:rPr>
          <w:rFonts w:ascii="Times New Roman" w:hAnsi="Times New Roman" w:cs="Times New Roman"/>
          <w:sz w:val="18"/>
          <w:szCs w:val="18"/>
        </w:rPr>
        <w:t xml:space="preserve"> who had recently retired as Union Finance Secretary was appointed as Member sometime in May, 1989. Within a day or two of his taking over charge he was appointed Adviser to the Governor of Karnataka. </w:t>
      </w:r>
      <w:proofErr w:type="gramStart"/>
      <w:r w:rsidRPr="00F47786">
        <w:rPr>
          <w:rFonts w:ascii="Times New Roman" w:hAnsi="Times New Roman" w:cs="Times New Roman"/>
          <w:sz w:val="18"/>
          <w:szCs w:val="18"/>
        </w:rPr>
        <w:t>Again</w:t>
      </w:r>
      <w:proofErr w:type="gramEnd"/>
      <w:r w:rsidRPr="00F47786">
        <w:rPr>
          <w:rFonts w:ascii="Times New Roman" w:hAnsi="Times New Roman" w:cs="Times New Roman"/>
          <w:sz w:val="18"/>
          <w:szCs w:val="18"/>
        </w:rPr>
        <w:t xml:space="preserve"> the post remained vacant till mid-</w:t>
      </w:r>
      <w:proofErr w:type="spellStart"/>
      <w:r w:rsidRPr="00F47786">
        <w:rPr>
          <w:rFonts w:ascii="Times New Roman" w:hAnsi="Times New Roman" w:cs="Times New Roman"/>
          <w:sz w:val="18"/>
          <w:szCs w:val="18"/>
        </w:rPr>
        <w:t>Novermber</w:t>
      </w:r>
      <w:proofErr w:type="spellEnd"/>
      <w:r w:rsidRPr="00F47786">
        <w:rPr>
          <w:rFonts w:ascii="Times New Roman" w:hAnsi="Times New Roman" w:cs="Times New Roman"/>
          <w:sz w:val="18"/>
          <w:szCs w:val="18"/>
        </w:rPr>
        <w:t xml:space="preserve">, 1989 when Shri Rishang </w:t>
      </w:r>
      <w:proofErr w:type="spellStart"/>
      <w:r w:rsidRPr="00F47786">
        <w:rPr>
          <w:rFonts w:ascii="Times New Roman" w:hAnsi="Times New Roman" w:cs="Times New Roman"/>
          <w:sz w:val="18"/>
          <w:szCs w:val="18"/>
        </w:rPr>
        <w:t>Keishing</w:t>
      </w:r>
      <w:proofErr w:type="spellEnd"/>
      <w:r w:rsidRPr="00F47786">
        <w:rPr>
          <w:rFonts w:ascii="Times New Roman" w:hAnsi="Times New Roman" w:cs="Times New Roman"/>
          <w:sz w:val="18"/>
          <w:szCs w:val="18"/>
        </w:rPr>
        <w:t xml:space="preserve">, the present Member was appointed. He took charge on 25th </w:t>
      </w:r>
      <w:proofErr w:type="spellStart"/>
      <w:r w:rsidRPr="00F47786">
        <w:rPr>
          <w:rFonts w:ascii="Times New Roman" w:hAnsi="Times New Roman" w:cs="Times New Roman"/>
          <w:sz w:val="18"/>
          <w:szCs w:val="18"/>
        </w:rPr>
        <w:t>Novermber</w:t>
      </w:r>
      <w:proofErr w:type="spellEnd"/>
      <w:r w:rsidRPr="00F47786">
        <w:rPr>
          <w:rFonts w:ascii="Times New Roman" w:hAnsi="Times New Roman" w:cs="Times New Roman"/>
          <w:sz w:val="18"/>
          <w:szCs w:val="18"/>
        </w:rPr>
        <w:t xml:space="preserve">, 1989, i.e. less than a month before submitting the Commission's report. Thus, the post of a </w:t>
      </w:r>
      <w:proofErr w:type="gramStart"/>
      <w:r w:rsidRPr="00F47786">
        <w:rPr>
          <w:rFonts w:ascii="Times New Roman" w:hAnsi="Times New Roman" w:cs="Times New Roman"/>
          <w:sz w:val="18"/>
          <w:szCs w:val="18"/>
        </w:rPr>
        <w:t>Member</w:t>
      </w:r>
      <w:proofErr w:type="gramEnd"/>
      <w:r w:rsidRPr="00F47786">
        <w:rPr>
          <w:rFonts w:ascii="Times New Roman" w:hAnsi="Times New Roman" w:cs="Times New Roman"/>
          <w:sz w:val="18"/>
          <w:szCs w:val="18"/>
        </w:rPr>
        <w:t xml:space="preserve"> had remained vacant for as many as 10 months at the end of the Commission's term which is quite an important and crucial time. Moreover, Shri Rishang </w:t>
      </w:r>
      <w:proofErr w:type="spellStart"/>
      <w:r w:rsidRPr="00F47786">
        <w:rPr>
          <w:rFonts w:ascii="Times New Roman" w:hAnsi="Times New Roman" w:cs="Times New Roman"/>
          <w:sz w:val="18"/>
          <w:szCs w:val="18"/>
        </w:rPr>
        <w:t>Keishing</w:t>
      </w:r>
      <w:proofErr w:type="spellEnd"/>
      <w:r w:rsidRPr="00F47786">
        <w:rPr>
          <w:rFonts w:ascii="Times New Roman" w:hAnsi="Times New Roman" w:cs="Times New Roman"/>
          <w:sz w:val="18"/>
          <w:szCs w:val="18"/>
        </w:rPr>
        <w:t xml:space="preserve"> (Member) had only a month's time to acquaint himself with the Commission's work of over two and a half years. It is humanly impossible for a person to understand the problems of the Centre and twenty-five States and take a decision thereon within such a short time. Thus, it is quite obvious that Shri Keishing's appointment to this Commission was only to meet the Constitutional requirements of the report being signed by all the five members. Looking to the crucial importance of the Finance Commission, this kind of casual attitude of the Union government amounts to the violation of the letter and spirit of the Constitution.</w:t>
      </w:r>
    </w:p>
    <w:p w14:paraId="547994BE" w14:textId="77777777" w:rsidR="003C37F7" w:rsidRPr="008E4980" w:rsidRDefault="003C37F7" w:rsidP="00287E78">
      <w:pPr>
        <w:spacing w:before="40" w:after="0" w:line="200" w:lineRule="exact"/>
        <w:ind w:left="1440" w:hanging="1440"/>
        <w:rPr>
          <w:rFonts w:ascii="Times New Roman" w:hAnsi="Times New Roman" w:cs="Times New Roman"/>
          <w:b/>
          <w:bCs/>
          <w:sz w:val="18"/>
          <w:szCs w:val="18"/>
        </w:rPr>
      </w:pPr>
      <w:r w:rsidRPr="008E4980">
        <w:rPr>
          <w:rFonts w:ascii="Times New Roman" w:hAnsi="Times New Roman" w:cs="Times New Roman"/>
          <w:b/>
          <w:bCs/>
          <w:sz w:val="18"/>
          <w:szCs w:val="18"/>
        </w:rPr>
        <w:t>New Delhi</w:t>
      </w:r>
    </w:p>
    <w:p w14:paraId="574C185C" w14:textId="77777777" w:rsidR="003C37F7" w:rsidRPr="008E4980" w:rsidRDefault="003C37F7" w:rsidP="00287E78">
      <w:pPr>
        <w:spacing w:before="40" w:after="0" w:line="200" w:lineRule="exact"/>
        <w:rPr>
          <w:rFonts w:ascii="Times New Roman" w:hAnsi="Times New Roman" w:cs="Times New Roman"/>
          <w:b/>
          <w:bCs/>
          <w:sz w:val="18"/>
          <w:szCs w:val="18"/>
        </w:rPr>
      </w:pPr>
      <w:r w:rsidRPr="008E4980">
        <w:rPr>
          <w:rFonts w:ascii="Times New Roman" w:hAnsi="Times New Roman" w:cs="Times New Roman"/>
          <w:b/>
          <w:bCs/>
          <w:sz w:val="18"/>
          <w:szCs w:val="18"/>
        </w:rPr>
        <w:t>December, 1989</w:t>
      </w:r>
    </w:p>
    <w:p w14:paraId="2AD8C78C" w14:textId="0956B782" w:rsidR="003C37F7" w:rsidRPr="008E4980" w:rsidRDefault="003C37F7" w:rsidP="00287E78">
      <w:pPr>
        <w:spacing w:before="40" w:after="0" w:line="200" w:lineRule="exact"/>
        <w:ind w:left="1440" w:hanging="1440"/>
        <w:jc w:val="right"/>
        <w:rPr>
          <w:rFonts w:ascii="Times New Roman" w:hAnsi="Times New Roman" w:cs="Times New Roman"/>
          <w:b/>
          <w:bCs/>
          <w:sz w:val="16"/>
          <w:szCs w:val="16"/>
        </w:rPr>
      </w:pPr>
      <w:r w:rsidRPr="00AA6AF4">
        <w:rPr>
          <w:rFonts w:ascii="Times New Roman" w:hAnsi="Times New Roman" w:cs="Times New Roman"/>
          <w:sz w:val="16"/>
          <w:szCs w:val="16"/>
        </w:rPr>
        <w:tab/>
      </w:r>
      <w:r w:rsidRPr="00AA6AF4">
        <w:rPr>
          <w:rFonts w:ascii="Times New Roman" w:hAnsi="Times New Roman" w:cs="Times New Roman"/>
          <w:sz w:val="16"/>
          <w:szCs w:val="16"/>
        </w:rPr>
        <w:tab/>
      </w:r>
      <w:r w:rsidRPr="00AA6AF4">
        <w:rPr>
          <w:rFonts w:ascii="Times New Roman" w:hAnsi="Times New Roman" w:cs="Times New Roman"/>
          <w:sz w:val="16"/>
          <w:szCs w:val="16"/>
        </w:rPr>
        <w:tab/>
      </w:r>
      <w:r w:rsidRPr="00AA6AF4">
        <w:rPr>
          <w:rFonts w:ascii="Times New Roman" w:hAnsi="Times New Roman" w:cs="Times New Roman"/>
          <w:sz w:val="16"/>
          <w:szCs w:val="16"/>
        </w:rPr>
        <w:tab/>
      </w:r>
      <w:r w:rsidRPr="00AA6AF4">
        <w:rPr>
          <w:rFonts w:ascii="Times New Roman" w:hAnsi="Times New Roman" w:cs="Times New Roman"/>
          <w:sz w:val="16"/>
          <w:szCs w:val="16"/>
        </w:rPr>
        <w:tab/>
      </w:r>
      <w:r w:rsidRPr="00AA6AF4">
        <w:rPr>
          <w:rFonts w:ascii="Times New Roman" w:hAnsi="Times New Roman" w:cs="Times New Roman"/>
          <w:sz w:val="16"/>
          <w:szCs w:val="16"/>
        </w:rPr>
        <w:tab/>
      </w:r>
      <w:r w:rsidRPr="008E4980">
        <w:rPr>
          <w:rFonts w:ascii="Times New Roman" w:hAnsi="Times New Roman" w:cs="Times New Roman"/>
          <w:b/>
          <w:bCs/>
          <w:sz w:val="18"/>
          <w:szCs w:val="18"/>
        </w:rPr>
        <w:t xml:space="preserve">(Justice </w:t>
      </w:r>
      <w:proofErr w:type="spellStart"/>
      <w:r w:rsidRPr="008E4980">
        <w:rPr>
          <w:rFonts w:ascii="Times New Roman" w:hAnsi="Times New Roman" w:cs="Times New Roman"/>
          <w:b/>
          <w:bCs/>
          <w:sz w:val="18"/>
          <w:szCs w:val="18"/>
        </w:rPr>
        <w:t>Adbus</w:t>
      </w:r>
      <w:proofErr w:type="spellEnd"/>
      <w:r w:rsidRPr="008E4980">
        <w:rPr>
          <w:rFonts w:ascii="Times New Roman" w:hAnsi="Times New Roman" w:cs="Times New Roman"/>
          <w:b/>
          <w:bCs/>
          <w:sz w:val="18"/>
          <w:szCs w:val="18"/>
        </w:rPr>
        <w:t xml:space="preserve"> Sattar Qureshi)</w:t>
      </w:r>
      <w:r w:rsidRPr="008E4980">
        <w:rPr>
          <w:rFonts w:ascii="Times New Roman" w:hAnsi="Times New Roman" w:cs="Times New Roman"/>
          <w:b/>
          <w:bCs/>
          <w:sz w:val="18"/>
          <w:szCs w:val="18"/>
        </w:rPr>
        <w:br/>
        <w:t>Member</w:t>
      </w:r>
      <w:r w:rsidRPr="008E4980">
        <w:rPr>
          <w:rFonts w:ascii="Times New Roman" w:hAnsi="Times New Roman" w:cs="Times New Roman"/>
          <w:b/>
          <w:bCs/>
          <w:sz w:val="18"/>
          <w:szCs w:val="18"/>
        </w:rPr>
        <w:br/>
        <w:t>Finance Commission</w:t>
      </w:r>
      <w:r w:rsidRPr="008E4980">
        <w:rPr>
          <w:rFonts w:ascii="Times New Roman" w:hAnsi="Times New Roman" w:cs="Times New Roman"/>
          <w:b/>
          <w:bCs/>
          <w:sz w:val="18"/>
          <w:szCs w:val="18"/>
        </w:rPr>
        <w:br/>
      </w:r>
    </w:p>
    <w:p w14:paraId="2E0C21FC" w14:textId="31CCD2CB" w:rsidR="003C37F7" w:rsidRPr="00AA6AF4" w:rsidRDefault="003C37F7">
      <w:pPr>
        <w:rPr>
          <w:rFonts w:ascii="Times New Roman" w:hAnsi="Times New Roman" w:cs="Times New Roman"/>
          <w:szCs w:val="24"/>
        </w:rPr>
      </w:pPr>
      <w:r w:rsidRPr="00AA6AF4">
        <w:rPr>
          <w:rFonts w:ascii="Times New Roman" w:hAnsi="Times New Roman" w:cs="Times New Roman"/>
          <w:szCs w:val="24"/>
        </w:rPr>
        <w:br w:type="page"/>
      </w:r>
    </w:p>
    <w:p w14:paraId="6BA08414" w14:textId="77777777" w:rsidR="005E2873" w:rsidRPr="0027660A" w:rsidRDefault="005E2873" w:rsidP="0027660A">
      <w:pPr>
        <w:pStyle w:val="Heading1"/>
        <w:numPr>
          <w:ilvl w:val="0"/>
          <w:numId w:val="0"/>
        </w:numPr>
        <w:ind w:left="284"/>
        <w:rPr>
          <w:sz w:val="24"/>
          <w:szCs w:val="24"/>
        </w:rPr>
      </w:pPr>
      <w:bookmarkStart w:id="25" w:name="_Toc222399461"/>
      <w:r w:rsidRPr="0027660A">
        <w:rPr>
          <w:sz w:val="24"/>
          <w:szCs w:val="24"/>
        </w:rPr>
        <w:lastRenderedPageBreak/>
        <w:t>NOTE BY THE MAJORITY</w:t>
      </w:r>
      <w:bookmarkEnd w:id="25"/>
    </w:p>
    <w:p w14:paraId="07F7D20E" w14:textId="77777777" w:rsidR="005E2873" w:rsidRPr="00D43558" w:rsidRDefault="005E2873" w:rsidP="00D43558">
      <w:pPr>
        <w:spacing w:line="240" w:lineRule="auto"/>
        <w:ind w:firstLine="284"/>
        <w:jc w:val="both"/>
        <w:rPr>
          <w:rFonts w:ascii="Times New Roman" w:hAnsi="Times New Roman" w:cs="Times New Roman"/>
          <w:sz w:val="18"/>
          <w:szCs w:val="18"/>
        </w:rPr>
      </w:pPr>
      <w:r w:rsidRPr="00D43558">
        <w:rPr>
          <w:rFonts w:ascii="Times New Roman" w:hAnsi="Times New Roman" w:cs="Times New Roman"/>
          <w:sz w:val="18"/>
          <w:szCs w:val="18"/>
        </w:rPr>
        <w:t>One of our colleagues, Mr. Justice A.S. Qureshi, has appended a note of Dissent. By and large, his note deals with matters which according to our view falls outside the duties of the Finance Commission enumerated in Article 280 and are also unrelated to the Terms of Reference of the Presidential Order. Therefore, we are not offering any comments on the views and observations contained in his note. It is not within our mandate to suggest any changes in the Finance Commission (Miscellaneous) Provisions Act, 1951.</w:t>
      </w:r>
    </w:p>
    <w:p w14:paraId="49420E05" w14:textId="77777777" w:rsidR="005E2873" w:rsidRPr="00D43558" w:rsidRDefault="005E2873" w:rsidP="00D43558">
      <w:pPr>
        <w:spacing w:line="240" w:lineRule="auto"/>
        <w:ind w:firstLine="284"/>
        <w:jc w:val="both"/>
        <w:rPr>
          <w:rFonts w:ascii="Times New Roman" w:hAnsi="Times New Roman" w:cs="Times New Roman"/>
          <w:sz w:val="18"/>
          <w:szCs w:val="18"/>
        </w:rPr>
      </w:pPr>
      <w:r w:rsidRPr="00D43558">
        <w:rPr>
          <w:rFonts w:ascii="Times New Roman" w:hAnsi="Times New Roman" w:cs="Times New Roman"/>
          <w:sz w:val="18"/>
          <w:szCs w:val="18"/>
        </w:rPr>
        <w:t>The role assigned to the Finance Commission in the Constitution is extremely important. It is vested with certain specific powers which are crucial. However, the Commission can only make recommendations to the President who deal would deal with them in accordance with the procedure prescribed in the Constitution. Therefore, in our view, the Finance Commission is neither a Quasi-judicial Body nor a Tribunal.</w:t>
      </w:r>
    </w:p>
    <w:p w14:paraId="0620B2BB" w14:textId="77777777" w:rsidR="005E2873" w:rsidRPr="00D43558" w:rsidRDefault="005E2873" w:rsidP="00D43558">
      <w:pPr>
        <w:spacing w:line="240" w:lineRule="auto"/>
        <w:ind w:firstLine="284"/>
        <w:jc w:val="both"/>
        <w:rPr>
          <w:rFonts w:ascii="Times New Roman" w:hAnsi="Times New Roman" w:cs="Times New Roman"/>
          <w:sz w:val="18"/>
          <w:szCs w:val="18"/>
        </w:rPr>
      </w:pPr>
      <w:r w:rsidRPr="00D43558">
        <w:rPr>
          <w:rFonts w:ascii="Times New Roman" w:hAnsi="Times New Roman" w:cs="Times New Roman"/>
          <w:sz w:val="18"/>
          <w:szCs w:val="18"/>
        </w:rPr>
        <w:t>As regards the comments in the dissent note about the functioning of the Ninth Finance Commission, we would be content to be judged by the work we have done and its results. We would also like to state that we have not been hampered in accomplishing our tasks by the fact that we were constituted as a temporary body which had to complete its work within a specified period of time.</w:t>
      </w:r>
    </w:p>
    <w:p w14:paraId="42983A79" w14:textId="28673D83" w:rsidR="00D43558" w:rsidRPr="00D43558" w:rsidRDefault="005E2873" w:rsidP="00D43558">
      <w:pPr>
        <w:spacing w:line="240" w:lineRule="auto"/>
        <w:rPr>
          <w:rFonts w:ascii="Times New Roman" w:hAnsi="Times New Roman" w:cs="Times New Roman"/>
          <w:sz w:val="18"/>
          <w:szCs w:val="18"/>
        </w:rPr>
      </w:pPr>
      <w:r w:rsidRPr="00D43558">
        <w:rPr>
          <w:rFonts w:ascii="Times New Roman" w:hAnsi="Times New Roman" w:cs="Times New Roman"/>
          <w:b/>
          <w:bCs/>
          <w:sz w:val="18"/>
          <w:szCs w:val="18"/>
        </w:rPr>
        <w:t>(</w:t>
      </w:r>
      <w:proofErr w:type="spellStart"/>
      <w:r w:rsidRPr="00D43558">
        <w:rPr>
          <w:rFonts w:ascii="Times New Roman" w:hAnsi="Times New Roman" w:cs="Times New Roman"/>
          <w:b/>
          <w:bCs/>
          <w:sz w:val="18"/>
          <w:szCs w:val="18"/>
        </w:rPr>
        <w:t>N.K.</w:t>
      </w:r>
      <w:proofErr w:type="gramStart"/>
      <w:r w:rsidRPr="00D43558">
        <w:rPr>
          <w:rFonts w:ascii="Times New Roman" w:hAnsi="Times New Roman" w:cs="Times New Roman"/>
          <w:b/>
          <w:bCs/>
          <w:sz w:val="18"/>
          <w:szCs w:val="18"/>
        </w:rPr>
        <w:t>P.Salve</w:t>
      </w:r>
      <w:proofErr w:type="spellEnd"/>
      <w:proofErr w:type="gramEnd"/>
      <w:r w:rsidRPr="00D43558">
        <w:rPr>
          <w:rFonts w:ascii="Times New Roman" w:hAnsi="Times New Roman" w:cs="Times New Roman"/>
          <w:b/>
          <w:bCs/>
          <w:sz w:val="18"/>
          <w:szCs w:val="18"/>
        </w:rPr>
        <w:t>)</w:t>
      </w:r>
      <w:r w:rsidR="00D43558" w:rsidRP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ab/>
        <w:t xml:space="preserve">(Raja J. Chelliah) </w:t>
      </w:r>
      <w:r w:rsidR="00D43558" w:rsidRP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 xml:space="preserve">(R. </w:t>
      </w:r>
      <w:proofErr w:type="spellStart"/>
      <w:r w:rsidR="00D43558" w:rsidRPr="00D43558">
        <w:rPr>
          <w:rFonts w:ascii="Times New Roman" w:hAnsi="Times New Roman" w:cs="Times New Roman"/>
          <w:b/>
          <w:bCs/>
          <w:sz w:val="18"/>
          <w:szCs w:val="18"/>
        </w:rPr>
        <w:t>Keishing</w:t>
      </w:r>
      <w:proofErr w:type="spellEnd"/>
      <w:r w:rsidR="00D43558" w:rsidRPr="00D43558">
        <w:rPr>
          <w:rFonts w:ascii="Times New Roman" w:hAnsi="Times New Roman" w:cs="Times New Roman"/>
          <w:b/>
          <w:bCs/>
          <w:sz w:val="18"/>
          <w:szCs w:val="18"/>
        </w:rPr>
        <w:t xml:space="preserve">) </w:t>
      </w:r>
      <w:r w:rsidR="00D43558" w:rsidRP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ab/>
        <w:t>(</w:t>
      </w:r>
      <w:proofErr w:type="spellStart"/>
      <w:r w:rsidR="00D43558" w:rsidRPr="00D43558">
        <w:rPr>
          <w:rFonts w:ascii="Times New Roman" w:hAnsi="Times New Roman" w:cs="Times New Roman"/>
          <w:b/>
          <w:bCs/>
          <w:sz w:val="18"/>
          <w:szCs w:val="18"/>
        </w:rPr>
        <w:t>K.V.</w:t>
      </w:r>
      <w:proofErr w:type="gramStart"/>
      <w:r w:rsidR="00D43558" w:rsidRPr="00D43558">
        <w:rPr>
          <w:rFonts w:ascii="Times New Roman" w:hAnsi="Times New Roman" w:cs="Times New Roman"/>
          <w:b/>
          <w:bCs/>
          <w:sz w:val="18"/>
          <w:szCs w:val="18"/>
        </w:rPr>
        <w:t>R.Nair</w:t>
      </w:r>
      <w:proofErr w:type="spellEnd"/>
      <w:proofErr w:type="gramEnd"/>
      <w:r w:rsidR="00D43558" w:rsidRPr="00D43558">
        <w:rPr>
          <w:rFonts w:ascii="Times New Roman" w:hAnsi="Times New Roman" w:cs="Times New Roman"/>
          <w:b/>
          <w:bCs/>
          <w:sz w:val="18"/>
          <w:szCs w:val="18"/>
        </w:rPr>
        <w:t>)</w:t>
      </w:r>
      <w:r w:rsidR="00D43558" w:rsidRPr="00D43558">
        <w:rPr>
          <w:rFonts w:ascii="Times New Roman" w:hAnsi="Times New Roman" w:cs="Times New Roman"/>
          <w:sz w:val="18"/>
          <w:szCs w:val="18"/>
        </w:rPr>
        <w:br/>
      </w:r>
      <w:r w:rsidR="00D43558" w:rsidRPr="00D43558">
        <w:rPr>
          <w:rFonts w:ascii="Times New Roman" w:hAnsi="Times New Roman" w:cs="Times New Roman"/>
          <w:i/>
          <w:iCs/>
          <w:sz w:val="18"/>
          <w:szCs w:val="18"/>
        </w:rPr>
        <w:t>Chairman</w:t>
      </w:r>
      <w:r w:rsidR="00D43558" w:rsidRPr="00D43558">
        <w:rPr>
          <w:rFonts w:ascii="Times New Roman" w:hAnsi="Times New Roman" w:cs="Times New Roman"/>
          <w:i/>
          <w:iCs/>
          <w:sz w:val="18"/>
          <w:szCs w:val="18"/>
        </w:rPr>
        <w:tab/>
      </w:r>
      <w:r w:rsidR="00D43558" w:rsidRPr="00D43558">
        <w:rPr>
          <w:rFonts w:ascii="Times New Roman" w:hAnsi="Times New Roman" w:cs="Times New Roman"/>
          <w:i/>
          <w:iCs/>
          <w:sz w:val="18"/>
          <w:szCs w:val="18"/>
        </w:rPr>
        <w:tab/>
        <w:t xml:space="preserve">       Member </w:t>
      </w:r>
      <w:r w:rsidR="00D43558" w:rsidRPr="00D43558">
        <w:rPr>
          <w:rFonts w:ascii="Times New Roman" w:hAnsi="Times New Roman" w:cs="Times New Roman"/>
          <w:i/>
          <w:iCs/>
          <w:sz w:val="18"/>
          <w:szCs w:val="18"/>
        </w:rPr>
        <w:tab/>
      </w:r>
      <w:proofErr w:type="gramStart"/>
      <w:r w:rsidR="00D43558" w:rsidRPr="00D43558">
        <w:rPr>
          <w:rFonts w:ascii="Times New Roman" w:hAnsi="Times New Roman" w:cs="Times New Roman"/>
          <w:i/>
          <w:iCs/>
          <w:sz w:val="18"/>
          <w:szCs w:val="18"/>
        </w:rPr>
        <w:tab/>
        <w:t xml:space="preserve">  </w:t>
      </w:r>
      <w:r w:rsidR="00D43558" w:rsidRPr="00D43558">
        <w:rPr>
          <w:rFonts w:ascii="Times New Roman" w:hAnsi="Times New Roman" w:cs="Times New Roman"/>
          <w:i/>
          <w:iCs/>
          <w:sz w:val="18"/>
          <w:szCs w:val="18"/>
        </w:rPr>
        <w:tab/>
      </w:r>
      <w:proofErr w:type="gramEnd"/>
      <w:r w:rsidR="00D43558">
        <w:rPr>
          <w:rFonts w:ascii="Times New Roman" w:hAnsi="Times New Roman" w:cs="Times New Roman"/>
          <w:i/>
          <w:iCs/>
          <w:sz w:val="18"/>
          <w:szCs w:val="18"/>
        </w:rPr>
        <w:t xml:space="preserve">  </w:t>
      </w:r>
      <w:proofErr w:type="spellStart"/>
      <w:r w:rsidR="00D43558" w:rsidRPr="00D43558">
        <w:rPr>
          <w:rFonts w:ascii="Times New Roman" w:hAnsi="Times New Roman" w:cs="Times New Roman"/>
          <w:i/>
          <w:iCs/>
          <w:sz w:val="18"/>
          <w:szCs w:val="18"/>
        </w:rPr>
        <w:t>Member</w:t>
      </w:r>
      <w:proofErr w:type="spellEnd"/>
      <w:r w:rsidR="00D43558" w:rsidRPr="00D43558">
        <w:rPr>
          <w:rFonts w:ascii="Times New Roman" w:hAnsi="Times New Roman" w:cs="Times New Roman"/>
          <w:i/>
          <w:iCs/>
          <w:sz w:val="18"/>
          <w:szCs w:val="18"/>
        </w:rPr>
        <w:t xml:space="preserve"> </w:t>
      </w:r>
      <w:r w:rsidR="00D43558" w:rsidRPr="00D43558">
        <w:rPr>
          <w:rFonts w:ascii="Times New Roman" w:hAnsi="Times New Roman" w:cs="Times New Roman"/>
          <w:i/>
          <w:iCs/>
          <w:sz w:val="18"/>
          <w:szCs w:val="18"/>
        </w:rPr>
        <w:tab/>
      </w:r>
      <w:r w:rsidR="00D43558" w:rsidRPr="00D43558">
        <w:rPr>
          <w:rFonts w:ascii="Times New Roman" w:hAnsi="Times New Roman" w:cs="Times New Roman"/>
          <w:i/>
          <w:iCs/>
          <w:sz w:val="18"/>
          <w:szCs w:val="18"/>
        </w:rPr>
        <w:tab/>
      </w:r>
      <w:r w:rsidR="00D43558" w:rsidRPr="00D43558">
        <w:rPr>
          <w:rFonts w:ascii="Times New Roman" w:hAnsi="Times New Roman" w:cs="Times New Roman"/>
          <w:i/>
          <w:iCs/>
          <w:sz w:val="18"/>
          <w:szCs w:val="18"/>
        </w:rPr>
        <w:tab/>
      </w:r>
      <w:proofErr w:type="spellStart"/>
      <w:r w:rsidR="00D43558" w:rsidRPr="00D43558">
        <w:rPr>
          <w:rFonts w:ascii="Times New Roman" w:hAnsi="Times New Roman" w:cs="Times New Roman"/>
          <w:i/>
          <w:iCs/>
          <w:sz w:val="18"/>
          <w:szCs w:val="18"/>
        </w:rPr>
        <w:t>Member</w:t>
      </w:r>
      <w:proofErr w:type="spellEnd"/>
      <w:r w:rsidR="00D43558" w:rsidRPr="00D43558">
        <w:rPr>
          <w:rFonts w:ascii="Times New Roman" w:hAnsi="Times New Roman" w:cs="Times New Roman"/>
          <w:i/>
          <w:iCs/>
          <w:sz w:val="18"/>
          <w:szCs w:val="18"/>
        </w:rPr>
        <w:t xml:space="preserve"> Secretary</w:t>
      </w:r>
    </w:p>
    <w:p w14:paraId="444D12F8" w14:textId="77777777" w:rsidR="001D7A94" w:rsidRPr="00D43558" w:rsidRDefault="001D7A94" w:rsidP="001D7A94">
      <w:pPr>
        <w:spacing w:line="240" w:lineRule="auto"/>
        <w:jc w:val="both"/>
        <w:rPr>
          <w:rFonts w:ascii="Times New Roman" w:hAnsi="Times New Roman" w:cs="Times New Roman"/>
          <w:sz w:val="18"/>
          <w:szCs w:val="18"/>
        </w:rPr>
      </w:pPr>
      <w:r w:rsidRPr="00D43558">
        <w:rPr>
          <w:rFonts w:ascii="Times New Roman" w:hAnsi="Times New Roman" w:cs="Times New Roman"/>
          <w:sz w:val="18"/>
          <w:szCs w:val="18"/>
        </w:rPr>
        <w:t>We would like to reiterate that the work of the Secretariat of the Commission has given us full satisfaction. Both the Member-Secretaries have rendered meritorious service. They and the staff under them maintained the high standards of conduct expected of the civil service.</w:t>
      </w:r>
    </w:p>
    <w:p w14:paraId="5BDD841E" w14:textId="2A54F436" w:rsidR="001D7A94" w:rsidRPr="00D43558" w:rsidRDefault="001D7A94" w:rsidP="009C1022">
      <w:pPr>
        <w:spacing w:line="240" w:lineRule="auto"/>
        <w:ind w:left="284"/>
        <w:rPr>
          <w:rFonts w:ascii="Times New Roman" w:hAnsi="Times New Roman" w:cs="Times New Roman"/>
          <w:sz w:val="18"/>
          <w:szCs w:val="18"/>
        </w:rPr>
      </w:pPr>
      <w:r w:rsidRPr="00D43558">
        <w:rPr>
          <w:rFonts w:ascii="Times New Roman" w:hAnsi="Times New Roman" w:cs="Times New Roman"/>
          <w:b/>
          <w:bCs/>
          <w:sz w:val="18"/>
          <w:szCs w:val="18"/>
        </w:rPr>
        <w:t>(N.K.P. Salve)</w:t>
      </w:r>
      <w:r w:rsidR="00D43558" w:rsidRPr="00D43558">
        <w:rPr>
          <w:rFonts w:ascii="Times New Roman" w:hAnsi="Times New Roman" w:cs="Times New Roman"/>
          <w:b/>
          <w:bCs/>
          <w:sz w:val="18"/>
          <w:szCs w:val="18"/>
        </w:rPr>
        <w:t xml:space="preserve"> </w:t>
      </w:r>
      <w:r w:rsidR="00D43558">
        <w:rPr>
          <w:rFonts w:ascii="Times New Roman" w:hAnsi="Times New Roman" w:cs="Times New Roman"/>
          <w:b/>
          <w:bCs/>
          <w:sz w:val="18"/>
          <w:szCs w:val="18"/>
        </w:rPr>
        <w:tab/>
      </w:r>
      <w:r w:rsidR="009C1022">
        <w:rPr>
          <w:rFonts w:ascii="Times New Roman" w:hAnsi="Times New Roman" w:cs="Times New Roman"/>
          <w:b/>
          <w:bCs/>
          <w:sz w:val="18"/>
          <w:szCs w:val="18"/>
        </w:rPr>
        <w:tab/>
      </w:r>
      <w:r w:rsidR="009C1022">
        <w:rPr>
          <w:rFonts w:ascii="Times New Roman" w:hAnsi="Times New Roman" w:cs="Times New Roman"/>
          <w:b/>
          <w:bCs/>
          <w:sz w:val="18"/>
          <w:szCs w:val="18"/>
        </w:rPr>
        <w:tab/>
      </w:r>
      <w:r w:rsidR="009C1022">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(Raja J. Chelliah)</w:t>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 xml:space="preserve"> (R. </w:t>
      </w:r>
      <w:proofErr w:type="spellStart"/>
      <w:r w:rsidR="00D43558" w:rsidRPr="00D43558">
        <w:rPr>
          <w:rFonts w:ascii="Times New Roman" w:hAnsi="Times New Roman" w:cs="Times New Roman"/>
          <w:b/>
          <w:bCs/>
          <w:sz w:val="18"/>
          <w:szCs w:val="18"/>
        </w:rPr>
        <w:t>Keishing</w:t>
      </w:r>
      <w:proofErr w:type="spellEnd"/>
      <w:r w:rsidR="00D43558" w:rsidRPr="00D43558">
        <w:rPr>
          <w:rFonts w:ascii="Times New Roman" w:hAnsi="Times New Roman" w:cs="Times New Roman"/>
          <w:b/>
          <w:bCs/>
          <w:sz w:val="18"/>
          <w:szCs w:val="18"/>
        </w:rPr>
        <w:t>)</w:t>
      </w:r>
      <w:r w:rsidRPr="00D43558">
        <w:rPr>
          <w:rFonts w:ascii="Times New Roman" w:hAnsi="Times New Roman" w:cs="Times New Roman"/>
          <w:sz w:val="18"/>
          <w:szCs w:val="18"/>
        </w:rPr>
        <w:br/>
      </w:r>
      <w:r w:rsidRPr="00D43558">
        <w:rPr>
          <w:rFonts w:ascii="Times New Roman" w:hAnsi="Times New Roman" w:cs="Times New Roman"/>
          <w:i/>
          <w:iCs/>
          <w:sz w:val="18"/>
          <w:szCs w:val="18"/>
        </w:rPr>
        <w:t>Chairman</w:t>
      </w:r>
      <w:r w:rsidR="00D43558">
        <w:rPr>
          <w:rFonts w:ascii="Times New Roman" w:hAnsi="Times New Roman" w:cs="Times New Roman"/>
          <w:i/>
          <w:iCs/>
          <w:sz w:val="18"/>
          <w:szCs w:val="18"/>
        </w:rPr>
        <w:tab/>
      </w:r>
      <w:r w:rsidR="009C1022">
        <w:rPr>
          <w:rFonts w:ascii="Times New Roman" w:hAnsi="Times New Roman" w:cs="Times New Roman"/>
          <w:i/>
          <w:iCs/>
          <w:sz w:val="18"/>
          <w:szCs w:val="18"/>
        </w:rPr>
        <w:tab/>
      </w:r>
      <w:r w:rsidR="009C1022">
        <w:rPr>
          <w:rFonts w:ascii="Times New Roman" w:hAnsi="Times New Roman" w:cs="Times New Roman"/>
          <w:i/>
          <w:iCs/>
          <w:sz w:val="18"/>
          <w:szCs w:val="18"/>
        </w:rPr>
        <w:tab/>
      </w:r>
      <w:r w:rsidR="009C1022">
        <w:rPr>
          <w:rFonts w:ascii="Times New Roman" w:hAnsi="Times New Roman" w:cs="Times New Roman"/>
          <w:i/>
          <w:iCs/>
          <w:sz w:val="18"/>
          <w:szCs w:val="18"/>
        </w:rPr>
        <w:tab/>
      </w:r>
      <w:r w:rsidR="00D43558">
        <w:rPr>
          <w:rFonts w:ascii="Times New Roman" w:hAnsi="Times New Roman" w:cs="Times New Roman"/>
          <w:i/>
          <w:iCs/>
          <w:sz w:val="18"/>
          <w:szCs w:val="18"/>
        </w:rPr>
        <w:tab/>
        <w:t xml:space="preserve">  </w:t>
      </w:r>
      <w:r w:rsidR="00D43558" w:rsidRPr="00D43558">
        <w:rPr>
          <w:rFonts w:ascii="Times New Roman" w:hAnsi="Times New Roman" w:cs="Times New Roman"/>
          <w:i/>
          <w:iCs/>
          <w:sz w:val="18"/>
          <w:szCs w:val="18"/>
        </w:rPr>
        <w:t xml:space="preserve"> Member </w:t>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t xml:space="preserve">     </w:t>
      </w:r>
      <w:proofErr w:type="spellStart"/>
      <w:r w:rsidR="00D43558" w:rsidRPr="00D43558">
        <w:rPr>
          <w:rFonts w:ascii="Times New Roman" w:hAnsi="Times New Roman" w:cs="Times New Roman"/>
          <w:i/>
          <w:iCs/>
          <w:sz w:val="18"/>
          <w:szCs w:val="18"/>
        </w:rPr>
        <w:t>Member</w:t>
      </w:r>
      <w:proofErr w:type="spellEnd"/>
    </w:p>
    <w:p w14:paraId="2ADB40DA" w14:textId="4FDDBCA0" w:rsidR="001D7A94" w:rsidRDefault="001D7A94" w:rsidP="001D7A94">
      <w:pPr>
        <w:spacing w:line="240" w:lineRule="auto"/>
        <w:rPr>
          <w:rFonts w:ascii="Times New Roman" w:hAnsi="Times New Roman" w:cs="Times New Roman"/>
          <w:sz w:val="18"/>
          <w:szCs w:val="18"/>
        </w:rPr>
      </w:pPr>
      <w:r w:rsidRPr="00D43558">
        <w:rPr>
          <w:rFonts w:ascii="Times New Roman" w:hAnsi="Times New Roman" w:cs="Times New Roman"/>
          <w:sz w:val="18"/>
          <w:szCs w:val="18"/>
        </w:rPr>
        <w:br/>
      </w:r>
    </w:p>
    <w:p w14:paraId="0EBEF686" w14:textId="77777777" w:rsidR="009C1022" w:rsidRDefault="009C1022" w:rsidP="001D7A94">
      <w:pPr>
        <w:spacing w:line="240" w:lineRule="auto"/>
        <w:rPr>
          <w:rFonts w:ascii="Times New Roman" w:hAnsi="Times New Roman" w:cs="Times New Roman"/>
          <w:sz w:val="18"/>
          <w:szCs w:val="18"/>
        </w:rPr>
      </w:pPr>
    </w:p>
    <w:p w14:paraId="6DEAD62F" w14:textId="77777777" w:rsidR="009C1022" w:rsidRPr="00121AF5" w:rsidRDefault="009C1022" w:rsidP="001D7A94">
      <w:pPr>
        <w:spacing w:line="240" w:lineRule="auto"/>
        <w:rPr>
          <w:rFonts w:ascii="Times New Roman" w:hAnsi="Times New Roman" w:cs="Times New Roman"/>
          <w:sz w:val="18"/>
          <w:szCs w:val="18"/>
        </w:rPr>
      </w:pPr>
    </w:p>
    <w:p w14:paraId="620A2659" w14:textId="77777777" w:rsidR="001D7A94" w:rsidRPr="0027660A" w:rsidRDefault="001D7A94" w:rsidP="0027660A">
      <w:pPr>
        <w:pStyle w:val="Heading1"/>
        <w:numPr>
          <w:ilvl w:val="0"/>
          <w:numId w:val="0"/>
        </w:numPr>
        <w:ind w:left="284"/>
        <w:rPr>
          <w:sz w:val="24"/>
          <w:szCs w:val="24"/>
        </w:rPr>
      </w:pPr>
      <w:bookmarkStart w:id="26" w:name="_Toc222399462"/>
      <w:r w:rsidRPr="0027660A">
        <w:rPr>
          <w:sz w:val="24"/>
          <w:szCs w:val="24"/>
        </w:rPr>
        <w:t>NOTE BY SHRI N.K.P. SALVE, CHAIRMAN, DR. RAJA J. CHELLIAH, MEMBER AND SHRI R. KEISHING, MEMBER.</w:t>
      </w:r>
      <w:bookmarkEnd w:id="26"/>
    </w:p>
    <w:p w14:paraId="0B9D6C08" w14:textId="3CEF1395" w:rsidR="00D43558" w:rsidRPr="00D43558" w:rsidRDefault="001D7A94">
      <w:pPr>
        <w:numPr>
          <w:ilvl w:val="0"/>
          <w:numId w:val="8"/>
        </w:numPr>
        <w:tabs>
          <w:tab w:val="clear" w:pos="720"/>
          <w:tab w:val="num" w:pos="360"/>
        </w:tabs>
        <w:spacing w:line="240" w:lineRule="auto"/>
        <w:ind w:left="0" w:firstLine="284"/>
        <w:jc w:val="both"/>
        <w:rPr>
          <w:rFonts w:ascii="Times New Roman" w:hAnsi="Times New Roman" w:cs="Times New Roman"/>
          <w:sz w:val="18"/>
          <w:szCs w:val="18"/>
        </w:rPr>
      </w:pPr>
      <w:r w:rsidRPr="00D43558">
        <w:rPr>
          <w:rFonts w:ascii="Times New Roman" w:hAnsi="Times New Roman" w:cs="Times New Roman"/>
          <w:sz w:val="18"/>
          <w:szCs w:val="18"/>
        </w:rPr>
        <w:t>Under the heading Grants-in-Aid with special reference to Article 275 and Article 282, Shri Justice A.S. Qureshi has expressed his views on the scope of Article 275 and Article 282.</w:t>
      </w:r>
    </w:p>
    <w:p w14:paraId="2A5A9D09" w14:textId="77777777" w:rsidR="001D7A94" w:rsidRPr="00D43558" w:rsidRDefault="001D7A94">
      <w:pPr>
        <w:numPr>
          <w:ilvl w:val="0"/>
          <w:numId w:val="8"/>
        </w:numPr>
        <w:tabs>
          <w:tab w:val="clear" w:pos="720"/>
          <w:tab w:val="num" w:pos="360"/>
        </w:tabs>
        <w:spacing w:line="240" w:lineRule="auto"/>
        <w:ind w:left="0" w:firstLine="284"/>
        <w:jc w:val="both"/>
        <w:rPr>
          <w:rFonts w:ascii="Times New Roman" w:hAnsi="Times New Roman" w:cs="Times New Roman"/>
          <w:sz w:val="18"/>
          <w:szCs w:val="18"/>
        </w:rPr>
      </w:pPr>
      <w:r w:rsidRPr="00D43558">
        <w:rPr>
          <w:rFonts w:ascii="Times New Roman" w:hAnsi="Times New Roman" w:cs="Times New Roman"/>
          <w:sz w:val="18"/>
          <w:szCs w:val="18"/>
        </w:rPr>
        <w:t xml:space="preserve">In paragraph 7.9 of this </w:t>
      </w:r>
      <w:proofErr w:type="gramStart"/>
      <w:r w:rsidRPr="00D43558">
        <w:rPr>
          <w:rFonts w:ascii="Times New Roman" w:hAnsi="Times New Roman" w:cs="Times New Roman"/>
          <w:sz w:val="18"/>
          <w:szCs w:val="18"/>
        </w:rPr>
        <w:t>report</w:t>
      </w:r>
      <w:proofErr w:type="gramEnd"/>
      <w:r w:rsidRPr="00D43558">
        <w:rPr>
          <w:rFonts w:ascii="Times New Roman" w:hAnsi="Times New Roman" w:cs="Times New Roman"/>
          <w:sz w:val="18"/>
          <w:szCs w:val="18"/>
        </w:rPr>
        <w:t xml:space="preserve"> we have stated that "coming to the determination of each State's need for aid under Article 275, we must make it clear that under this Article, the Finance Commission is obliged to recommend the grants-in-aid of revenue to States and, therefore, the grants for financing the State Plans are very much within the purview of the Commission". The Commission, therefore, exercised its power to give grants-in-aid of revenue to the States both for Plan as well as non-Plan purposes.</w:t>
      </w:r>
    </w:p>
    <w:p w14:paraId="714729AC" w14:textId="77777777" w:rsidR="001D7A94" w:rsidRPr="00D43558" w:rsidRDefault="001D7A94">
      <w:pPr>
        <w:numPr>
          <w:ilvl w:val="0"/>
          <w:numId w:val="8"/>
        </w:numPr>
        <w:tabs>
          <w:tab w:val="clear" w:pos="720"/>
          <w:tab w:val="num" w:pos="360"/>
        </w:tabs>
        <w:spacing w:line="240" w:lineRule="auto"/>
        <w:ind w:left="0" w:firstLine="284"/>
        <w:jc w:val="both"/>
        <w:rPr>
          <w:rFonts w:ascii="Times New Roman" w:hAnsi="Times New Roman" w:cs="Times New Roman"/>
          <w:sz w:val="18"/>
          <w:szCs w:val="18"/>
        </w:rPr>
      </w:pPr>
      <w:r w:rsidRPr="00D43558">
        <w:rPr>
          <w:rFonts w:ascii="Times New Roman" w:hAnsi="Times New Roman" w:cs="Times New Roman"/>
          <w:sz w:val="18"/>
          <w:szCs w:val="18"/>
        </w:rPr>
        <w:t>There has been a serious controversy amongst experts in Constitutional Law as to the precise ambit and scope of Article 282. The controversy is still greater as to whether the Government can give grants under Article 282 which could also be covered by Article 275. We looked at the entire problem from the view point of Commission's powers and its obligations. We came to the conclusion that so far as the Finance Commission is concerned, it is obliged to make grants-in-aid for revenue to the States under Article 275 without making distinction between non-development and development (Plan) accounts.</w:t>
      </w:r>
    </w:p>
    <w:p w14:paraId="5216AFA8" w14:textId="77777777" w:rsidR="001D7A94" w:rsidRPr="00D43558" w:rsidRDefault="001D7A94">
      <w:pPr>
        <w:numPr>
          <w:ilvl w:val="0"/>
          <w:numId w:val="8"/>
        </w:numPr>
        <w:tabs>
          <w:tab w:val="clear" w:pos="720"/>
          <w:tab w:val="num" w:pos="360"/>
        </w:tabs>
        <w:spacing w:line="240" w:lineRule="auto"/>
        <w:ind w:left="0" w:firstLine="284"/>
        <w:jc w:val="both"/>
        <w:rPr>
          <w:rFonts w:ascii="Times New Roman" w:hAnsi="Times New Roman" w:cs="Times New Roman"/>
          <w:sz w:val="18"/>
          <w:szCs w:val="18"/>
        </w:rPr>
      </w:pPr>
      <w:r w:rsidRPr="00D43558">
        <w:rPr>
          <w:rFonts w:ascii="Times New Roman" w:hAnsi="Times New Roman" w:cs="Times New Roman"/>
          <w:sz w:val="18"/>
          <w:szCs w:val="18"/>
        </w:rPr>
        <w:t>Thus, having found ourselves placed in a situation where no impediment was created in our way to operate over the entire area essential for Finance Commission to determine grants-in-aid under Article 275, we considered it unnecessary to adjudicate on the issue as to whether the Central Government is prohibited from giving grants and if so to what extent under Article 282 in view of the provisions of Article 275.</w:t>
      </w:r>
    </w:p>
    <w:p w14:paraId="4B5DA9C1" w14:textId="77777777" w:rsidR="001D7A94" w:rsidRPr="00D43558" w:rsidRDefault="001D7A94">
      <w:pPr>
        <w:numPr>
          <w:ilvl w:val="0"/>
          <w:numId w:val="8"/>
        </w:numPr>
        <w:tabs>
          <w:tab w:val="clear" w:pos="720"/>
          <w:tab w:val="num" w:pos="360"/>
        </w:tabs>
        <w:spacing w:line="240" w:lineRule="auto"/>
        <w:ind w:left="0" w:firstLine="284"/>
        <w:jc w:val="both"/>
        <w:rPr>
          <w:rFonts w:ascii="Times New Roman" w:hAnsi="Times New Roman" w:cs="Times New Roman"/>
          <w:sz w:val="18"/>
          <w:szCs w:val="18"/>
        </w:rPr>
      </w:pPr>
      <w:r w:rsidRPr="00D43558">
        <w:rPr>
          <w:rFonts w:ascii="Times New Roman" w:hAnsi="Times New Roman" w:cs="Times New Roman"/>
          <w:sz w:val="18"/>
          <w:szCs w:val="18"/>
        </w:rPr>
        <w:t>That being the situation, the majority view was that the Finance Commission on such a serious controversy was not a forum to interpret the Constitution. The Commission, therefore, exercised restraint and refrained from taking a view.</w:t>
      </w:r>
    </w:p>
    <w:p w14:paraId="783F2CE1" w14:textId="77777777" w:rsidR="009C1022" w:rsidRDefault="009C1022" w:rsidP="009C1022">
      <w:pPr>
        <w:spacing w:line="240" w:lineRule="auto"/>
        <w:ind w:left="720"/>
        <w:rPr>
          <w:rFonts w:ascii="Times New Roman" w:hAnsi="Times New Roman" w:cs="Times New Roman"/>
          <w:b/>
          <w:bCs/>
          <w:sz w:val="18"/>
          <w:szCs w:val="18"/>
        </w:rPr>
      </w:pPr>
    </w:p>
    <w:p w14:paraId="4A4F42F9" w14:textId="77777777" w:rsidR="009C1022" w:rsidRDefault="009C1022" w:rsidP="009C1022">
      <w:pPr>
        <w:spacing w:line="240" w:lineRule="auto"/>
        <w:ind w:left="720"/>
        <w:rPr>
          <w:rFonts w:ascii="Times New Roman" w:hAnsi="Times New Roman" w:cs="Times New Roman"/>
          <w:b/>
          <w:bCs/>
          <w:sz w:val="18"/>
          <w:szCs w:val="18"/>
        </w:rPr>
      </w:pPr>
    </w:p>
    <w:p w14:paraId="1CF3711A" w14:textId="2AA9AC99" w:rsidR="00D43558" w:rsidRPr="00D43558" w:rsidRDefault="001D7A94" w:rsidP="009C1022">
      <w:pPr>
        <w:spacing w:line="240" w:lineRule="auto"/>
        <w:ind w:left="720"/>
        <w:rPr>
          <w:rFonts w:ascii="Times New Roman" w:hAnsi="Times New Roman" w:cs="Times New Roman"/>
          <w:sz w:val="18"/>
          <w:szCs w:val="18"/>
        </w:rPr>
      </w:pPr>
      <w:r w:rsidRPr="00D43558">
        <w:rPr>
          <w:rFonts w:ascii="Times New Roman" w:hAnsi="Times New Roman" w:cs="Times New Roman"/>
          <w:b/>
          <w:bCs/>
          <w:sz w:val="18"/>
          <w:szCs w:val="18"/>
        </w:rPr>
        <w:t>(N.K.P. Salve)</w:t>
      </w:r>
      <w:r w:rsidR="00D43558" w:rsidRPr="00D43558">
        <w:rPr>
          <w:rFonts w:ascii="Times New Roman" w:hAnsi="Times New Roman" w:cs="Times New Roman"/>
          <w:b/>
          <w:bCs/>
          <w:sz w:val="18"/>
          <w:szCs w:val="18"/>
        </w:rPr>
        <w:t xml:space="preserve"> </w:t>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(Raja J. Chelliah)</w:t>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Pr>
          <w:rFonts w:ascii="Times New Roman" w:hAnsi="Times New Roman" w:cs="Times New Roman"/>
          <w:b/>
          <w:bCs/>
          <w:sz w:val="18"/>
          <w:szCs w:val="18"/>
        </w:rPr>
        <w:tab/>
      </w:r>
      <w:r w:rsidR="00D43558" w:rsidRPr="00D43558">
        <w:rPr>
          <w:rFonts w:ascii="Times New Roman" w:hAnsi="Times New Roman" w:cs="Times New Roman"/>
          <w:b/>
          <w:bCs/>
          <w:sz w:val="18"/>
          <w:szCs w:val="18"/>
        </w:rPr>
        <w:t xml:space="preserve"> (R. </w:t>
      </w:r>
      <w:proofErr w:type="spellStart"/>
      <w:r w:rsidR="00D43558" w:rsidRPr="00D43558">
        <w:rPr>
          <w:rFonts w:ascii="Times New Roman" w:hAnsi="Times New Roman" w:cs="Times New Roman"/>
          <w:b/>
          <w:bCs/>
          <w:sz w:val="18"/>
          <w:szCs w:val="18"/>
        </w:rPr>
        <w:t>Keishing</w:t>
      </w:r>
      <w:proofErr w:type="spellEnd"/>
      <w:r w:rsidR="00D43558" w:rsidRPr="00D43558">
        <w:rPr>
          <w:rFonts w:ascii="Times New Roman" w:hAnsi="Times New Roman" w:cs="Times New Roman"/>
          <w:b/>
          <w:bCs/>
          <w:sz w:val="18"/>
          <w:szCs w:val="18"/>
        </w:rPr>
        <w:t>)</w:t>
      </w:r>
      <w:r w:rsidR="00D43558" w:rsidRPr="00D43558">
        <w:rPr>
          <w:rFonts w:ascii="Times New Roman" w:hAnsi="Times New Roman" w:cs="Times New Roman"/>
          <w:sz w:val="18"/>
          <w:szCs w:val="18"/>
        </w:rPr>
        <w:br/>
      </w:r>
      <w:r w:rsidR="00D43558" w:rsidRPr="00D43558">
        <w:rPr>
          <w:rFonts w:ascii="Times New Roman" w:hAnsi="Times New Roman" w:cs="Times New Roman"/>
          <w:i/>
          <w:iCs/>
          <w:sz w:val="18"/>
          <w:szCs w:val="18"/>
        </w:rPr>
        <w:t xml:space="preserve">Member </w:t>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t xml:space="preserve">   </w:t>
      </w:r>
      <w:r w:rsidR="00D43558" w:rsidRPr="00D43558">
        <w:rPr>
          <w:rFonts w:ascii="Times New Roman" w:hAnsi="Times New Roman" w:cs="Times New Roman"/>
          <w:i/>
          <w:iCs/>
          <w:sz w:val="18"/>
          <w:szCs w:val="18"/>
        </w:rPr>
        <w:t>Chairman</w:t>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r>
      <w:r w:rsidR="00D43558">
        <w:rPr>
          <w:rFonts w:ascii="Times New Roman" w:hAnsi="Times New Roman" w:cs="Times New Roman"/>
          <w:i/>
          <w:iCs/>
          <w:sz w:val="18"/>
          <w:szCs w:val="18"/>
        </w:rPr>
        <w:tab/>
        <w:t xml:space="preserve">   </w:t>
      </w:r>
      <w:r w:rsidR="00D43558" w:rsidRPr="00D43558">
        <w:rPr>
          <w:rFonts w:ascii="Times New Roman" w:hAnsi="Times New Roman" w:cs="Times New Roman"/>
          <w:i/>
          <w:iCs/>
          <w:sz w:val="18"/>
          <w:szCs w:val="18"/>
        </w:rPr>
        <w:t xml:space="preserve"> Member</w:t>
      </w:r>
    </w:p>
    <w:p w14:paraId="63463644" w14:textId="30E8F379" w:rsidR="001D7A94" w:rsidRPr="00D43558" w:rsidRDefault="001D7A94" w:rsidP="001D7A94">
      <w:pPr>
        <w:spacing w:line="240" w:lineRule="auto"/>
        <w:rPr>
          <w:rFonts w:ascii="Times New Roman" w:hAnsi="Times New Roman" w:cs="Times New Roman"/>
          <w:sz w:val="18"/>
          <w:szCs w:val="18"/>
        </w:rPr>
      </w:pPr>
      <w:r w:rsidRPr="00D43558">
        <w:rPr>
          <w:rFonts w:ascii="Times New Roman" w:hAnsi="Times New Roman" w:cs="Times New Roman"/>
          <w:sz w:val="18"/>
          <w:szCs w:val="18"/>
        </w:rPr>
        <w:br/>
      </w:r>
    </w:p>
    <w:p w14:paraId="613A00FB" w14:textId="4C45F845" w:rsidR="001D7A94" w:rsidRPr="009C1022" w:rsidRDefault="001D7A94" w:rsidP="001D7A94">
      <w:pPr>
        <w:spacing w:line="240" w:lineRule="auto"/>
        <w:rPr>
          <w:rFonts w:ascii="Times New Roman" w:hAnsi="Times New Roman" w:cs="Times New Roman"/>
          <w:b/>
          <w:bCs/>
          <w:sz w:val="18"/>
          <w:szCs w:val="18"/>
        </w:rPr>
      </w:pPr>
      <w:r w:rsidRPr="009C1022">
        <w:rPr>
          <w:rFonts w:ascii="Times New Roman" w:hAnsi="Times New Roman" w:cs="Times New Roman"/>
          <w:b/>
          <w:bCs/>
          <w:sz w:val="18"/>
          <w:szCs w:val="18"/>
        </w:rPr>
        <w:t>New Delhi</w:t>
      </w:r>
      <w:r w:rsidRPr="009C1022">
        <w:rPr>
          <w:rFonts w:ascii="Times New Roman" w:hAnsi="Times New Roman" w:cs="Times New Roman"/>
          <w:b/>
          <w:bCs/>
          <w:sz w:val="18"/>
          <w:szCs w:val="18"/>
        </w:rPr>
        <w:br/>
      </w:r>
      <w:r w:rsidR="00D43558" w:rsidRPr="009C1022">
        <w:rPr>
          <w:rFonts w:ascii="Times New Roman" w:hAnsi="Times New Roman" w:cs="Times New Roman"/>
          <w:b/>
          <w:bCs/>
          <w:sz w:val="18"/>
          <w:szCs w:val="18"/>
        </w:rPr>
        <w:t>December,</w:t>
      </w:r>
      <w:r w:rsidRPr="009C1022">
        <w:rPr>
          <w:rFonts w:ascii="Times New Roman" w:hAnsi="Times New Roman" w:cs="Times New Roman"/>
          <w:b/>
          <w:bCs/>
          <w:sz w:val="18"/>
          <w:szCs w:val="18"/>
        </w:rPr>
        <w:t xml:space="preserve"> 1989.</w:t>
      </w:r>
    </w:p>
    <w:p w14:paraId="19BF852C" w14:textId="52FA6778" w:rsidR="001D7A94" w:rsidRPr="00AA6AF4" w:rsidRDefault="001D7A94">
      <w:pPr>
        <w:rPr>
          <w:rFonts w:ascii="Times New Roman" w:hAnsi="Times New Roman" w:cs="Times New Roman"/>
          <w:szCs w:val="24"/>
        </w:rPr>
      </w:pPr>
      <w:r w:rsidRPr="00AA6AF4">
        <w:rPr>
          <w:rFonts w:ascii="Times New Roman" w:hAnsi="Times New Roman" w:cs="Times New Roman"/>
          <w:szCs w:val="24"/>
        </w:rPr>
        <w:br w:type="page"/>
      </w:r>
    </w:p>
    <w:p w14:paraId="3C5334BE" w14:textId="77777777" w:rsidR="001D7A94" w:rsidRPr="00AA6AF4" w:rsidRDefault="001D7A94" w:rsidP="00F41328">
      <w:pPr>
        <w:spacing w:line="240" w:lineRule="auto"/>
        <w:jc w:val="both"/>
        <w:rPr>
          <w:rFonts w:ascii="Times New Roman" w:hAnsi="Times New Roman" w:cs="Times New Roman"/>
          <w:sz w:val="72"/>
          <w:szCs w:val="72"/>
        </w:rPr>
      </w:pPr>
    </w:p>
    <w:p w14:paraId="311A7936" w14:textId="77777777" w:rsidR="001D7A94" w:rsidRPr="00AA6AF4" w:rsidRDefault="001D7A94" w:rsidP="00F41328">
      <w:pPr>
        <w:spacing w:line="240" w:lineRule="auto"/>
        <w:jc w:val="both"/>
        <w:rPr>
          <w:rFonts w:ascii="Times New Roman" w:hAnsi="Times New Roman" w:cs="Times New Roman"/>
          <w:sz w:val="72"/>
          <w:szCs w:val="72"/>
        </w:rPr>
      </w:pPr>
    </w:p>
    <w:p w14:paraId="69C9B446" w14:textId="77777777" w:rsidR="001D7A94" w:rsidRPr="00AA6AF4" w:rsidRDefault="001D7A94" w:rsidP="00F41328">
      <w:pPr>
        <w:spacing w:line="240" w:lineRule="auto"/>
        <w:jc w:val="both"/>
        <w:rPr>
          <w:rFonts w:ascii="Times New Roman" w:hAnsi="Times New Roman" w:cs="Times New Roman"/>
          <w:sz w:val="72"/>
          <w:szCs w:val="72"/>
        </w:rPr>
      </w:pPr>
    </w:p>
    <w:p w14:paraId="324D4EBE" w14:textId="77777777" w:rsidR="001D7A94" w:rsidRPr="00AA6AF4" w:rsidRDefault="001D7A94" w:rsidP="001D7A94">
      <w:pPr>
        <w:spacing w:line="240" w:lineRule="auto"/>
        <w:jc w:val="center"/>
        <w:rPr>
          <w:rFonts w:ascii="Times New Roman" w:hAnsi="Times New Roman" w:cs="Times New Roman"/>
          <w:sz w:val="72"/>
          <w:szCs w:val="72"/>
        </w:rPr>
      </w:pPr>
    </w:p>
    <w:p w14:paraId="5E48FC18" w14:textId="77777777" w:rsidR="001D7A94" w:rsidRPr="00AA6AF4" w:rsidRDefault="001D7A94" w:rsidP="001D7A94">
      <w:pPr>
        <w:spacing w:line="240" w:lineRule="auto"/>
        <w:jc w:val="center"/>
        <w:rPr>
          <w:rFonts w:ascii="Times New Roman" w:hAnsi="Times New Roman" w:cs="Times New Roman"/>
          <w:sz w:val="72"/>
          <w:szCs w:val="72"/>
        </w:rPr>
      </w:pPr>
    </w:p>
    <w:p w14:paraId="50D4296D" w14:textId="77777777" w:rsidR="001D7A94" w:rsidRPr="00AA6AF4" w:rsidRDefault="001D7A94" w:rsidP="001D7A94">
      <w:pPr>
        <w:spacing w:line="240" w:lineRule="auto"/>
        <w:jc w:val="center"/>
        <w:rPr>
          <w:rFonts w:ascii="Times New Roman" w:hAnsi="Times New Roman" w:cs="Times New Roman"/>
          <w:sz w:val="72"/>
          <w:szCs w:val="72"/>
        </w:rPr>
      </w:pPr>
    </w:p>
    <w:p w14:paraId="6B604201" w14:textId="30FC0EE5" w:rsidR="00366612" w:rsidRPr="00AA6AF4" w:rsidRDefault="001D7A94" w:rsidP="001D7A94">
      <w:pPr>
        <w:spacing w:line="240" w:lineRule="auto"/>
        <w:jc w:val="center"/>
        <w:rPr>
          <w:rFonts w:ascii="Times New Roman" w:hAnsi="Times New Roman" w:cs="Times New Roman"/>
          <w:sz w:val="72"/>
          <w:szCs w:val="72"/>
        </w:rPr>
      </w:pPr>
      <w:r w:rsidRPr="00AA6AF4">
        <w:rPr>
          <w:rFonts w:ascii="Times New Roman" w:hAnsi="Times New Roman" w:cs="Times New Roman"/>
          <w:sz w:val="72"/>
          <w:szCs w:val="72"/>
        </w:rPr>
        <w:t>ANNEXURES</w:t>
      </w:r>
    </w:p>
    <w:p w14:paraId="7CD23898" w14:textId="77777777" w:rsidR="001D7A94" w:rsidRPr="00AA6AF4" w:rsidRDefault="001D7A94" w:rsidP="001D7A94">
      <w:pPr>
        <w:spacing w:line="240" w:lineRule="auto"/>
        <w:jc w:val="center"/>
        <w:rPr>
          <w:rFonts w:ascii="Times New Roman" w:hAnsi="Times New Roman" w:cs="Times New Roman"/>
          <w:sz w:val="72"/>
          <w:szCs w:val="72"/>
        </w:rPr>
      </w:pPr>
    </w:p>
    <w:p w14:paraId="11F2BA06" w14:textId="47733380" w:rsidR="001D7A94" w:rsidRPr="008C2F5A" w:rsidRDefault="001D7A94">
      <w:pPr>
        <w:rPr>
          <w:rFonts w:ascii="Times New Roman" w:hAnsi="Times New Roman" w:cs="Times New Roman"/>
          <w:sz w:val="72"/>
          <w:szCs w:val="72"/>
        </w:rPr>
      </w:pPr>
      <w:r w:rsidRPr="00AA6AF4">
        <w:rPr>
          <w:rFonts w:ascii="Times New Roman" w:hAnsi="Times New Roman" w:cs="Times New Roman"/>
          <w:sz w:val="72"/>
          <w:szCs w:val="72"/>
        </w:rPr>
        <w:br w:type="page"/>
      </w:r>
    </w:p>
    <w:p w14:paraId="6B8543A3" w14:textId="77777777" w:rsidR="00287E78" w:rsidRDefault="00287E78">
      <w:pPr>
        <w:rPr>
          <w:rStyle w:val="Heading2Char"/>
        </w:rPr>
      </w:pPr>
      <w:bookmarkStart w:id="27" w:name="_Toc221292969"/>
      <w:r>
        <w:rPr>
          <w:rStyle w:val="Heading2Char"/>
          <w:b w:val="0"/>
          <w:bCs w:val="0"/>
        </w:rPr>
        <w:lastRenderedPageBreak/>
        <w:br w:type="page"/>
      </w:r>
    </w:p>
    <w:p w14:paraId="4EB768BE" w14:textId="77777777" w:rsidR="00287E78" w:rsidRDefault="00287E78">
      <w:pPr>
        <w:rPr>
          <w:rStyle w:val="Heading2Char"/>
        </w:rPr>
      </w:pPr>
      <w:r>
        <w:rPr>
          <w:rStyle w:val="Heading2Char"/>
          <w:b w:val="0"/>
          <w:bCs w:val="0"/>
        </w:rPr>
        <w:lastRenderedPageBreak/>
        <w:br w:type="page"/>
      </w:r>
    </w:p>
    <w:p w14:paraId="7719184E" w14:textId="7280B547" w:rsidR="00AA6AF4" w:rsidRPr="00C25441" w:rsidRDefault="001D7A94" w:rsidP="00C25441">
      <w:pPr>
        <w:pStyle w:val="Heading2"/>
        <w:rPr>
          <w:b w:val="0"/>
          <w:bCs w:val="0"/>
        </w:rPr>
      </w:pPr>
      <w:bookmarkStart w:id="28" w:name="_Toc222399463"/>
      <w:r w:rsidRPr="00C25441">
        <w:rPr>
          <w:rStyle w:val="Heading2Char"/>
          <w:b/>
          <w:bCs/>
        </w:rPr>
        <w:lastRenderedPageBreak/>
        <w:t>ANNEXURE I.1</w:t>
      </w:r>
      <w:r w:rsidR="00AA6AF4" w:rsidRPr="00C25441">
        <w:rPr>
          <w:rStyle w:val="Heading2Char"/>
          <w:b/>
          <w:bCs/>
        </w:rPr>
        <w:t xml:space="preserve"> </w:t>
      </w:r>
      <w:r w:rsidR="00C25441">
        <w:rPr>
          <w:rStyle w:val="Heading2Char"/>
          <w:b/>
          <w:bCs/>
        </w:rPr>
        <w:br/>
      </w:r>
      <w:r w:rsidR="00AA6AF4" w:rsidRPr="00C25441">
        <w:rPr>
          <w:rStyle w:val="Heading2Char"/>
          <w:b/>
          <w:bCs/>
        </w:rPr>
        <w:t>President's Order Dated 13th June, 1989.</w:t>
      </w:r>
      <w:bookmarkEnd w:id="27"/>
      <w:bookmarkEnd w:id="28"/>
      <w:r w:rsidRPr="00C25441">
        <w:rPr>
          <w:b w:val="0"/>
          <w:bCs w:val="0"/>
        </w:rPr>
        <w:br/>
      </w:r>
    </w:p>
    <w:p w14:paraId="3CBA8F71" w14:textId="11409ECF" w:rsidR="001D7A94" w:rsidRPr="00EF789E" w:rsidRDefault="001D7A94" w:rsidP="00EF789E">
      <w:pPr>
        <w:pStyle w:val="NoSpacing"/>
        <w:jc w:val="center"/>
        <w:rPr>
          <w:rFonts w:ascii="Times New Roman" w:hAnsi="Times New Roman" w:cs="Times New Roman"/>
          <w:sz w:val="22"/>
          <w:szCs w:val="22"/>
        </w:rPr>
      </w:pPr>
      <w:r w:rsidRPr="00EF789E">
        <w:rPr>
          <w:rFonts w:ascii="Times New Roman" w:hAnsi="Times New Roman" w:cs="Times New Roman"/>
          <w:sz w:val="22"/>
          <w:szCs w:val="22"/>
        </w:rPr>
        <w:t>(Para 1.4)</w:t>
      </w:r>
    </w:p>
    <w:p w14:paraId="5C1DB7FE" w14:textId="77777777" w:rsidR="001D7A94" w:rsidRDefault="001D7A94" w:rsidP="001D7A94">
      <w:pPr>
        <w:pStyle w:val="NoSpacing"/>
        <w:jc w:val="center"/>
        <w:rPr>
          <w:rFonts w:ascii="Times New Roman" w:hAnsi="Times New Roman" w:cs="Times New Roman"/>
          <w:sz w:val="28"/>
          <w:szCs w:val="28"/>
        </w:rPr>
      </w:pPr>
      <w:r w:rsidRPr="00EF789E">
        <w:rPr>
          <w:rFonts w:ascii="Times New Roman" w:hAnsi="Times New Roman" w:cs="Times New Roman"/>
          <w:sz w:val="28"/>
          <w:szCs w:val="28"/>
        </w:rPr>
        <w:t>Ministry of Finance</w:t>
      </w:r>
      <w:r w:rsidRPr="00EF789E">
        <w:rPr>
          <w:rFonts w:ascii="Times New Roman" w:hAnsi="Times New Roman" w:cs="Times New Roman"/>
          <w:sz w:val="28"/>
          <w:szCs w:val="28"/>
        </w:rPr>
        <w:br/>
        <w:t>Department of Economic Affairs</w:t>
      </w:r>
    </w:p>
    <w:p w14:paraId="69198555" w14:textId="77777777" w:rsidR="00E62211" w:rsidRPr="00EF789E" w:rsidRDefault="00E62211" w:rsidP="001D7A94">
      <w:pPr>
        <w:pStyle w:val="NoSpacing"/>
        <w:jc w:val="center"/>
        <w:rPr>
          <w:rFonts w:ascii="Times New Roman" w:hAnsi="Times New Roman" w:cs="Times New Roman"/>
          <w:sz w:val="28"/>
          <w:szCs w:val="28"/>
        </w:rPr>
      </w:pPr>
    </w:p>
    <w:p w14:paraId="7B287239" w14:textId="77777777" w:rsidR="001D7A94" w:rsidRPr="00EF789E" w:rsidRDefault="001D7A94" w:rsidP="001D7A94">
      <w:pPr>
        <w:pStyle w:val="NoSpacing"/>
        <w:jc w:val="right"/>
        <w:rPr>
          <w:rFonts w:ascii="Times New Roman" w:hAnsi="Times New Roman" w:cs="Times New Roman"/>
          <w:szCs w:val="24"/>
        </w:rPr>
      </w:pPr>
      <w:r w:rsidRPr="00EF789E">
        <w:rPr>
          <w:rFonts w:ascii="Times New Roman" w:hAnsi="Times New Roman" w:cs="Times New Roman"/>
          <w:szCs w:val="24"/>
        </w:rPr>
        <w:t>New Delhi, the 13th June, 1989</w:t>
      </w:r>
    </w:p>
    <w:p w14:paraId="2FB7705B" w14:textId="77777777" w:rsidR="004A72F0" w:rsidRPr="00EF789E" w:rsidRDefault="004A72F0" w:rsidP="001D7A94">
      <w:pPr>
        <w:pStyle w:val="NoSpacing"/>
        <w:jc w:val="center"/>
        <w:rPr>
          <w:rFonts w:ascii="Times New Roman" w:hAnsi="Times New Roman" w:cs="Times New Roman"/>
          <w:b/>
          <w:bCs/>
          <w:szCs w:val="24"/>
        </w:rPr>
      </w:pPr>
    </w:p>
    <w:p w14:paraId="59B2E493" w14:textId="21074A3B" w:rsidR="001D7A94" w:rsidRDefault="001D7A94" w:rsidP="001D7A94">
      <w:pPr>
        <w:pStyle w:val="NoSpacing"/>
        <w:jc w:val="center"/>
        <w:rPr>
          <w:rFonts w:ascii="Times New Roman" w:hAnsi="Times New Roman" w:cs="Times New Roman"/>
          <w:b/>
          <w:bCs/>
          <w:szCs w:val="24"/>
        </w:rPr>
      </w:pPr>
      <w:r w:rsidRPr="00EF789E">
        <w:rPr>
          <w:rFonts w:ascii="Times New Roman" w:hAnsi="Times New Roman" w:cs="Times New Roman"/>
          <w:b/>
          <w:bCs/>
          <w:szCs w:val="24"/>
        </w:rPr>
        <w:t>NOTIFICATION</w:t>
      </w:r>
    </w:p>
    <w:p w14:paraId="4CC08947" w14:textId="77777777" w:rsidR="00E62211" w:rsidRPr="00EF789E" w:rsidRDefault="00E62211" w:rsidP="001D7A94">
      <w:pPr>
        <w:pStyle w:val="NoSpacing"/>
        <w:jc w:val="center"/>
        <w:rPr>
          <w:rFonts w:ascii="Times New Roman" w:hAnsi="Times New Roman" w:cs="Times New Roman"/>
          <w:szCs w:val="24"/>
        </w:rPr>
      </w:pPr>
    </w:p>
    <w:p w14:paraId="3EF7BC96" w14:textId="3D26EFC3" w:rsidR="001D7A94" w:rsidRPr="00EF789E" w:rsidRDefault="001D7A94" w:rsidP="001D7A94">
      <w:pPr>
        <w:pStyle w:val="NoSpacing"/>
        <w:rPr>
          <w:rFonts w:ascii="Times New Roman" w:hAnsi="Times New Roman" w:cs="Times New Roman"/>
          <w:szCs w:val="24"/>
        </w:rPr>
      </w:pPr>
      <w:r w:rsidRPr="00EF789E">
        <w:rPr>
          <w:rFonts w:ascii="Times New Roman" w:hAnsi="Times New Roman" w:cs="Times New Roman"/>
          <w:szCs w:val="24"/>
        </w:rPr>
        <w:t>S.O.457(E</w:t>
      </w:r>
      <w:r w:rsidR="007947F8" w:rsidRPr="00EF789E">
        <w:rPr>
          <w:rFonts w:ascii="Times New Roman" w:hAnsi="Times New Roman" w:cs="Times New Roman"/>
          <w:szCs w:val="24"/>
        </w:rPr>
        <w:t>). -</w:t>
      </w:r>
      <w:r w:rsidRPr="00EF789E">
        <w:rPr>
          <w:rFonts w:ascii="Times New Roman" w:hAnsi="Times New Roman" w:cs="Times New Roman"/>
          <w:szCs w:val="24"/>
        </w:rPr>
        <w:t xml:space="preserve">The following Order made by the President is published for general </w:t>
      </w:r>
      <w:r w:rsidR="007947F8" w:rsidRPr="00EF789E">
        <w:rPr>
          <w:rFonts w:ascii="Times New Roman" w:hAnsi="Times New Roman" w:cs="Times New Roman"/>
          <w:szCs w:val="24"/>
        </w:rPr>
        <w:t>information: -</w:t>
      </w:r>
    </w:p>
    <w:p w14:paraId="57BF1BC9" w14:textId="77777777" w:rsidR="004A72F0" w:rsidRPr="00EF789E" w:rsidRDefault="004A72F0" w:rsidP="001D7A94">
      <w:pPr>
        <w:pStyle w:val="NoSpacing"/>
        <w:rPr>
          <w:rFonts w:ascii="Times New Roman" w:hAnsi="Times New Roman" w:cs="Times New Roman"/>
          <w:szCs w:val="24"/>
        </w:rPr>
      </w:pPr>
    </w:p>
    <w:p w14:paraId="410A9086" w14:textId="77777777" w:rsidR="001D7A94" w:rsidRDefault="001D7A94" w:rsidP="004A72F0">
      <w:pPr>
        <w:pStyle w:val="NoSpacing"/>
        <w:jc w:val="center"/>
        <w:rPr>
          <w:rFonts w:ascii="Times New Roman" w:hAnsi="Times New Roman" w:cs="Times New Roman"/>
          <w:b/>
          <w:bCs/>
          <w:szCs w:val="24"/>
        </w:rPr>
      </w:pPr>
      <w:r w:rsidRPr="00EF789E">
        <w:rPr>
          <w:rFonts w:ascii="Times New Roman" w:hAnsi="Times New Roman" w:cs="Times New Roman"/>
          <w:b/>
          <w:bCs/>
          <w:szCs w:val="24"/>
        </w:rPr>
        <w:t>ORDER</w:t>
      </w:r>
    </w:p>
    <w:p w14:paraId="0F3E4A82" w14:textId="77777777" w:rsidR="00E62211" w:rsidRPr="00EF789E" w:rsidRDefault="00E62211" w:rsidP="004A72F0">
      <w:pPr>
        <w:pStyle w:val="NoSpacing"/>
        <w:jc w:val="center"/>
        <w:rPr>
          <w:rFonts w:ascii="Times New Roman" w:hAnsi="Times New Roman" w:cs="Times New Roman"/>
          <w:szCs w:val="24"/>
        </w:rPr>
      </w:pPr>
    </w:p>
    <w:p w14:paraId="4D5729D7" w14:textId="3C01821B" w:rsidR="001D7A94" w:rsidRPr="00EF789E" w:rsidRDefault="001D7A94" w:rsidP="00EF789E">
      <w:pPr>
        <w:pStyle w:val="NoSpacing"/>
        <w:ind w:firstLine="720"/>
        <w:rPr>
          <w:rFonts w:ascii="Times New Roman" w:hAnsi="Times New Roman" w:cs="Times New Roman"/>
          <w:szCs w:val="24"/>
        </w:rPr>
      </w:pPr>
      <w:r w:rsidRPr="00EF789E">
        <w:rPr>
          <w:rFonts w:ascii="Times New Roman" w:hAnsi="Times New Roman" w:cs="Times New Roman"/>
          <w:szCs w:val="24"/>
        </w:rPr>
        <w:t xml:space="preserve">In pursuance of the provisions of article 280 of the Constitution of India and of the Finance Commission (Miscellaneous Provisions) Act, 1951 (33 of 1951), the President hereby directs that in the Order dated the 17th June 1987 published with the notification of the Government of India in the Ministry of Finance (Department of Economic Affairs) S.O. No.581(E) dated the 17th June, 1987 </w:t>
      </w:r>
      <w:r w:rsidR="004A72F0" w:rsidRPr="00EF789E">
        <w:rPr>
          <w:rFonts w:ascii="Times New Roman" w:hAnsi="Times New Roman" w:cs="Times New Roman"/>
          <w:szCs w:val="24"/>
        </w:rPr>
        <w:t>–</w:t>
      </w:r>
    </w:p>
    <w:p w14:paraId="7C6CAAE4" w14:textId="77777777" w:rsidR="004A72F0" w:rsidRPr="00EF789E" w:rsidRDefault="004A72F0" w:rsidP="001D7A94">
      <w:pPr>
        <w:pStyle w:val="NoSpacing"/>
        <w:rPr>
          <w:rFonts w:ascii="Times New Roman" w:hAnsi="Times New Roman" w:cs="Times New Roman"/>
          <w:szCs w:val="24"/>
        </w:rPr>
      </w:pPr>
    </w:p>
    <w:p w14:paraId="3CE0724F" w14:textId="54FE1005" w:rsidR="004A72F0" w:rsidRPr="00EF789E" w:rsidRDefault="001D7A94">
      <w:pPr>
        <w:pStyle w:val="NoSpacing"/>
        <w:numPr>
          <w:ilvl w:val="1"/>
          <w:numId w:val="47"/>
        </w:numPr>
        <w:ind w:left="1080"/>
        <w:rPr>
          <w:rFonts w:ascii="Times New Roman" w:hAnsi="Times New Roman" w:cs="Times New Roman"/>
          <w:szCs w:val="24"/>
        </w:rPr>
      </w:pPr>
      <w:r w:rsidRPr="00EF789E">
        <w:rPr>
          <w:rFonts w:ascii="Times New Roman" w:hAnsi="Times New Roman" w:cs="Times New Roman"/>
          <w:szCs w:val="24"/>
        </w:rPr>
        <w:t>in paragraph 2, for the words, figures and letters "the 30th day of June, 1989" the words, figures and letters "the date of making the second report by the Commission or the 31st day of December, 1989, whichever is earlier" shall be substituted;</w:t>
      </w:r>
    </w:p>
    <w:p w14:paraId="52CDAA7A" w14:textId="7396D964" w:rsidR="001D7A94" w:rsidRPr="00EF789E" w:rsidRDefault="001D7A94">
      <w:pPr>
        <w:pStyle w:val="NoSpacing"/>
        <w:numPr>
          <w:ilvl w:val="1"/>
          <w:numId w:val="47"/>
        </w:numPr>
        <w:ind w:left="1080"/>
        <w:rPr>
          <w:rFonts w:ascii="Times New Roman" w:hAnsi="Times New Roman" w:cs="Times New Roman"/>
          <w:szCs w:val="24"/>
        </w:rPr>
      </w:pPr>
      <w:r w:rsidRPr="00EF789E">
        <w:rPr>
          <w:rFonts w:ascii="Times New Roman" w:hAnsi="Times New Roman" w:cs="Times New Roman"/>
          <w:szCs w:val="24"/>
        </w:rPr>
        <w:t>in paragraph 10, for the words, figures and letters "the 30th June, 1989", the words, figures and letters "the 31st December, 1989" shall be substituted.</w:t>
      </w:r>
    </w:p>
    <w:p w14:paraId="3711E43C" w14:textId="5F572C2F" w:rsidR="001D7A94" w:rsidRPr="00EF789E" w:rsidRDefault="001D7A94" w:rsidP="00EF789E">
      <w:pPr>
        <w:pStyle w:val="NoSpacing"/>
        <w:ind w:left="-720"/>
        <w:rPr>
          <w:rFonts w:ascii="Times New Roman" w:hAnsi="Times New Roman" w:cs="Times New Roman"/>
          <w:szCs w:val="24"/>
        </w:rPr>
      </w:pPr>
    </w:p>
    <w:p w14:paraId="2D579DE4" w14:textId="77777777" w:rsidR="004A72F0" w:rsidRDefault="004A72F0" w:rsidP="001D7A94">
      <w:pPr>
        <w:pStyle w:val="NoSpacing"/>
        <w:rPr>
          <w:rFonts w:ascii="Times New Roman" w:hAnsi="Times New Roman" w:cs="Times New Roman"/>
          <w:b/>
          <w:bCs/>
          <w:szCs w:val="24"/>
        </w:rPr>
      </w:pPr>
    </w:p>
    <w:p w14:paraId="0E92553C" w14:textId="77777777" w:rsidR="00EF789E" w:rsidRDefault="00EF789E" w:rsidP="001D7A94">
      <w:pPr>
        <w:pStyle w:val="NoSpacing"/>
        <w:rPr>
          <w:rFonts w:ascii="Times New Roman" w:hAnsi="Times New Roman" w:cs="Times New Roman"/>
          <w:b/>
          <w:bCs/>
          <w:szCs w:val="24"/>
        </w:rPr>
      </w:pPr>
    </w:p>
    <w:p w14:paraId="1145BDB0" w14:textId="77777777" w:rsidR="00EF789E" w:rsidRPr="00EF789E" w:rsidRDefault="00EF789E" w:rsidP="001D7A94">
      <w:pPr>
        <w:pStyle w:val="NoSpacing"/>
        <w:rPr>
          <w:rFonts w:ascii="Times New Roman" w:hAnsi="Times New Roman" w:cs="Times New Roman"/>
          <w:b/>
          <w:bCs/>
          <w:szCs w:val="24"/>
        </w:rPr>
      </w:pPr>
    </w:p>
    <w:p w14:paraId="446DAA70" w14:textId="098E2615" w:rsidR="001D7A94" w:rsidRPr="00EF789E" w:rsidRDefault="001D7A94" w:rsidP="004A72F0">
      <w:pPr>
        <w:pStyle w:val="NoSpacing"/>
        <w:jc w:val="right"/>
        <w:rPr>
          <w:rFonts w:ascii="Times New Roman" w:hAnsi="Times New Roman" w:cs="Times New Roman"/>
          <w:szCs w:val="24"/>
        </w:rPr>
      </w:pPr>
      <w:r w:rsidRPr="00EF789E">
        <w:rPr>
          <w:rFonts w:ascii="Times New Roman" w:hAnsi="Times New Roman" w:cs="Times New Roman"/>
          <w:b/>
          <w:bCs/>
          <w:szCs w:val="24"/>
        </w:rPr>
        <w:t>R. VENKATARAMAN</w:t>
      </w:r>
      <w:r w:rsidRPr="00EF789E">
        <w:rPr>
          <w:rFonts w:ascii="Times New Roman" w:hAnsi="Times New Roman" w:cs="Times New Roman"/>
          <w:szCs w:val="24"/>
        </w:rPr>
        <w:br/>
        <w:t>President of India</w:t>
      </w:r>
    </w:p>
    <w:p w14:paraId="27F0CD77" w14:textId="38D948D4" w:rsidR="004A72F0" w:rsidRPr="00EF789E" w:rsidRDefault="004A72F0" w:rsidP="004A72F0">
      <w:pPr>
        <w:pStyle w:val="NoSpacing"/>
        <w:rPr>
          <w:rFonts w:ascii="Times New Roman" w:hAnsi="Times New Roman" w:cs="Times New Roman"/>
          <w:szCs w:val="24"/>
        </w:rPr>
      </w:pPr>
      <w:r w:rsidRPr="00EF789E">
        <w:rPr>
          <w:rFonts w:ascii="Times New Roman" w:hAnsi="Times New Roman" w:cs="Times New Roman"/>
          <w:szCs w:val="24"/>
        </w:rPr>
        <w:t>June13,1989</w:t>
      </w:r>
    </w:p>
    <w:p w14:paraId="3E305FF5" w14:textId="77777777" w:rsidR="001D7A94" w:rsidRPr="00EF789E" w:rsidRDefault="001D7A94" w:rsidP="004A72F0">
      <w:pPr>
        <w:pStyle w:val="NoSpacing"/>
        <w:jc w:val="right"/>
        <w:rPr>
          <w:rFonts w:ascii="Times New Roman" w:hAnsi="Times New Roman" w:cs="Times New Roman"/>
          <w:szCs w:val="24"/>
        </w:rPr>
      </w:pPr>
      <w:r w:rsidRPr="00EF789E">
        <w:rPr>
          <w:rFonts w:ascii="Times New Roman" w:hAnsi="Times New Roman" w:cs="Times New Roman"/>
          <w:szCs w:val="24"/>
        </w:rPr>
        <w:t>No.10(6)-B(S)/89</w:t>
      </w:r>
      <w:r w:rsidRPr="00EF789E">
        <w:rPr>
          <w:rFonts w:ascii="Times New Roman" w:hAnsi="Times New Roman" w:cs="Times New Roman"/>
          <w:szCs w:val="24"/>
        </w:rPr>
        <w:br/>
        <w:t xml:space="preserve">K.V.R. NAIR, </w:t>
      </w:r>
      <w:proofErr w:type="spellStart"/>
      <w:r w:rsidRPr="00EF789E">
        <w:rPr>
          <w:rFonts w:ascii="Times New Roman" w:hAnsi="Times New Roman" w:cs="Times New Roman"/>
          <w:szCs w:val="24"/>
        </w:rPr>
        <w:t>Addl.Secy</w:t>
      </w:r>
      <w:proofErr w:type="spellEnd"/>
      <w:r w:rsidRPr="00EF789E">
        <w:rPr>
          <w:rFonts w:ascii="Times New Roman" w:hAnsi="Times New Roman" w:cs="Times New Roman"/>
          <w:szCs w:val="24"/>
        </w:rPr>
        <w:t>.(Budget)</w:t>
      </w:r>
    </w:p>
    <w:p w14:paraId="29F7A3D8" w14:textId="02CBB121" w:rsidR="004A72F0" w:rsidRPr="00AA6AF4" w:rsidRDefault="004A72F0">
      <w:pPr>
        <w:rPr>
          <w:rFonts w:ascii="Times New Roman" w:hAnsi="Times New Roman" w:cs="Times New Roman"/>
        </w:rPr>
      </w:pPr>
      <w:r w:rsidRPr="00AA6AF4">
        <w:rPr>
          <w:rFonts w:ascii="Times New Roman" w:hAnsi="Times New Roman" w:cs="Times New Roman"/>
        </w:rPr>
        <w:br w:type="page"/>
      </w:r>
    </w:p>
    <w:p w14:paraId="55F2A8BC" w14:textId="14DAEC74" w:rsidR="004A72F0" w:rsidRPr="008C2F5A" w:rsidRDefault="00310B11" w:rsidP="00DD5250">
      <w:pPr>
        <w:spacing w:after="0"/>
        <w:jc w:val="center"/>
      </w:pPr>
      <w:bookmarkStart w:id="29" w:name="_Toc221292970"/>
      <w:bookmarkStart w:id="30" w:name="_Toc222399464"/>
      <w:r w:rsidRPr="00DD5250">
        <w:rPr>
          <w:rStyle w:val="Heading2Char"/>
          <w:sz w:val="20"/>
          <w:szCs w:val="20"/>
        </w:rPr>
        <w:lastRenderedPageBreak/>
        <w:t>ANNEXURE I.2</w:t>
      </w:r>
      <w:r w:rsidR="00DD5250" w:rsidRPr="00DD5250">
        <w:rPr>
          <w:rStyle w:val="Heading2Char"/>
          <w:sz w:val="20"/>
          <w:szCs w:val="20"/>
        </w:rPr>
        <w:br/>
      </w:r>
      <w:r w:rsidR="004A72F0" w:rsidRPr="00DD5250">
        <w:rPr>
          <w:rStyle w:val="Heading2Char"/>
          <w:sz w:val="20"/>
          <w:szCs w:val="20"/>
        </w:rPr>
        <w:t xml:space="preserve">List </w:t>
      </w:r>
      <w:proofErr w:type="gramStart"/>
      <w:r w:rsidR="004A72F0" w:rsidRPr="00DD5250">
        <w:rPr>
          <w:rStyle w:val="Heading2Char"/>
          <w:sz w:val="20"/>
          <w:szCs w:val="20"/>
        </w:rPr>
        <w:t>Of</w:t>
      </w:r>
      <w:proofErr w:type="gramEnd"/>
      <w:r w:rsidR="004A72F0" w:rsidRPr="00DD5250">
        <w:rPr>
          <w:rStyle w:val="Heading2Char"/>
          <w:sz w:val="20"/>
          <w:szCs w:val="20"/>
        </w:rPr>
        <w:t xml:space="preserve"> Experts Invited </w:t>
      </w:r>
      <w:proofErr w:type="gramStart"/>
      <w:r w:rsidR="004A72F0" w:rsidRPr="00DD5250">
        <w:rPr>
          <w:rStyle w:val="Heading2Char"/>
          <w:sz w:val="20"/>
          <w:szCs w:val="20"/>
        </w:rPr>
        <w:t>For</w:t>
      </w:r>
      <w:proofErr w:type="gramEnd"/>
      <w:r w:rsidR="004A72F0" w:rsidRPr="00DD5250">
        <w:rPr>
          <w:rStyle w:val="Heading2Char"/>
          <w:sz w:val="20"/>
          <w:szCs w:val="20"/>
        </w:rPr>
        <w:t xml:space="preserve"> Discussion </w:t>
      </w:r>
      <w:proofErr w:type="gramStart"/>
      <w:r w:rsidR="004A72F0" w:rsidRPr="00DD5250">
        <w:rPr>
          <w:rStyle w:val="Heading2Char"/>
          <w:sz w:val="20"/>
          <w:szCs w:val="20"/>
        </w:rPr>
        <w:t>On</w:t>
      </w:r>
      <w:proofErr w:type="gramEnd"/>
      <w:r w:rsidR="004A72F0" w:rsidRPr="00DD5250">
        <w:rPr>
          <w:rStyle w:val="Heading2Char"/>
          <w:sz w:val="20"/>
          <w:szCs w:val="20"/>
        </w:rPr>
        <w:t xml:space="preserve"> February 24, 1988.</w:t>
      </w:r>
      <w:bookmarkEnd w:id="29"/>
      <w:bookmarkEnd w:id="30"/>
      <w:r w:rsidR="00DD5250">
        <w:br/>
      </w:r>
      <w:r w:rsidR="00DD5250" w:rsidRPr="00DD5250">
        <w:rPr>
          <w:rFonts w:ascii="Times New Roman" w:hAnsi="Times New Roman" w:cs="Times New Roman"/>
          <w:sz w:val="18"/>
          <w:szCs w:val="16"/>
        </w:rPr>
        <w:t>(Para 1.5)</w:t>
      </w:r>
    </w:p>
    <w:p w14:paraId="59402344"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Dr. Amaresh Bagchi, National Institute of Public Finance and Policy, Special Institutional Area, New Delhi-110067.</w:t>
      </w:r>
    </w:p>
    <w:p w14:paraId="0C95C1EC"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Prof. B.B. Bhattacharya, Institute of Economic Growth, Delhi-110007.</w:t>
      </w:r>
    </w:p>
    <w:p w14:paraId="683D2285"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Dr. A. Dasgupta, National Institute of Public Finance and Policy, Special Institutional Area, New Delhi-110067.</w:t>
      </w:r>
    </w:p>
    <w:p w14:paraId="0C623378"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Prof. K.L. Krishna, Delhi School of Economics, University of Delhi, Delhi.</w:t>
      </w:r>
    </w:p>
    <w:p w14:paraId="2E5D2C55"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 xml:space="preserve">Prof. T.N. Krishnan, Director, Centre for Development Studies, Prasanta Hills, </w:t>
      </w:r>
      <w:proofErr w:type="spellStart"/>
      <w:r w:rsidRPr="00D43558">
        <w:rPr>
          <w:rFonts w:ascii="Times New Roman" w:hAnsi="Times New Roman" w:cs="Times New Roman"/>
          <w:sz w:val="18"/>
          <w:szCs w:val="16"/>
        </w:rPr>
        <w:t>Aakulam</w:t>
      </w:r>
      <w:proofErr w:type="spellEnd"/>
      <w:r w:rsidRPr="00D43558">
        <w:rPr>
          <w:rFonts w:ascii="Times New Roman" w:hAnsi="Times New Roman" w:cs="Times New Roman"/>
          <w:sz w:val="18"/>
          <w:szCs w:val="16"/>
        </w:rPr>
        <w:t xml:space="preserve"> Road, Trivandrum.</w:t>
      </w:r>
    </w:p>
    <w:p w14:paraId="477A7306"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 xml:space="preserve">Prof. R. Radhakrishna, Director, Centre for Economic and Social Studies, </w:t>
      </w:r>
      <w:proofErr w:type="spellStart"/>
      <w:r w:rsidRPr="00D43558">
        <w:rPr>
          <w:rFonts w:ascii="Times New Roman" w:hAnsi="Times New Roman" w:cs="Times New Roman"/>
          <w:sz w:val="18"/>
          <w:szCs w:val="16"/>
        </w:rPr>
        <w:t>Nizamia</w:t>
      </w:r>
      <w:proofErr w:type="spellEnd"/>
      <w:r w:rsidRPr="00D43558">
        <w:rPr>
          <w:rFonts w:ascii="Times New Roman" w:hAnsi="Times New Roman" w:cs="Times New Roman"/>
          <w:sz w:val="18"/>
          <w:szCs w:val="16"/>
        </w:rPr>
        <w:t xml:space="preserve"> Observatory Campus, Hyderabad.</w:t>
      </w:r>
    </w:p>
    <w:p w14:paraId="3F9B8539"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 xml:space="preserve">Prof. Atul Sarma, Indian Statistical Institute, </w:t>
      </w:r>
      <w:proofErr w:type="spellStart"/>
      <w:r w:rsidRPr="00D43558">
        <w:rPr>
          <w:rFonts w:ascii="Times New Roman" w:hAnsi="Times New Roman" w:cs="Times New Roman"/>
          <w:sz w:val="18"/>
          <w:szCs w:val="16"/>
        </w:rPr>
        <w:t>Sansanwal</w:t>
      </w:r>
      <w:proofErr w:type="spellEnd"/>
      <w:r w:rsidRPr="00D43558">
        <w:rPr>
          <w:rFonts w:ascii="Times New Roman" w:hAnsi="Times New Roman" w:cs="Times New Roman"/>
          <w:sz w:val="18"/>
          <w:szCs w:val="16"/>
        </w:rPr>
        <w:t xml:space="preserve"> Marg, Near Qutab Hotel, New Delhi.</w:t>
      </w:r>
    </w:p>
    <w:p w14:paraId="4C529F97"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Dr. J.V.M. Sarma, National Institute of Public Finance and Policy, Special Institutional Area, New Delhi-110067.</w:t>
      </w:r>
    </w:p>
    <w:p w14:paraId="18C1536D"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 xml:space="preserve">Prof. D.K. Srivastava, Prof. and Head, </w:t>
      </w:r>
      <w:proofErr w:type="spellStart"/>
      <w:r w:rsidRPr="00D43558">
        <w:rPr>
          <w:rFonts w:ascii="Times New Roman" w:hAnsi="Times New Roman" w:cs="Times New Roman"/>
          <w:sz w:val="18"/>
          <w:szCs w:val="16"/>
        </w:rPr>
        <w:t>Deptt</w:t>
      </w:r>
      <w:proofErr w:type="spellEnd"/>
      <w:r w:rsidRPr="00D43558">
        <w:rPr>
          <w:rFonts w:ascii="Times New Roman" w:hAnsi="Times New Roman" w:cs="Times New Roman"/>
          <w:sz w:val="18"/>
          <w:szCs w:val="16"/>
        </w:rPr>
        <w:t>. of Economics, Banaras Hindu University, Varanasi.</w:t>
      </w:r>
    </w:p>
    <w:p w14:paraId="4BAA41D5" w14:textId="77777777" w:rsidR="004A72F0" w:rsidRPr="00D43558" w:rsidRDefault="004A72F0">
      <w:pPr>
        <w:pStyle w:val="NoSpacing"/>
        <w:numPr>
          <w:ilvl w:val="0"/>
          <w:numId w:val="9"/>
        </w:numPr>
        <w:jc w:val="both"/>
        <w:rPr>
          <w:rFonts w:ascii="Times New Roman" w:hAnsi="Times New Roman" w:cs="Times New Roman"/>
          <w:sz w:val="18"/>
          <w:szCs w:val="16"/>
        </w:rPr>
      </w:pPr>
      <w:r w:rsidRPr="00D43558">
        <w:rPr>
          <w:rFonts w:ascii="Times New Roman" w:hAnsi="Times New Roman" w:cs="Times New Roman"/>
          <w:sz w:val="18"/>
          <w:szCs w:val="16"/>
        </w:rPr>
        <w:t xml:space="preserve">Dr. G. Thimmaiah, Economic Adviser, Government of Karnataka, Vidhana </w:t>
      </w:r>
      <w:proofErr w:type="spellStart"/>
      <w:r w:rsidRPr="00D43558">
        <w:rPr>
          <w:rFonts w:ascii="Times New Roman" w:hAnsi="Times New Roman" w:cs="Times New Roman"/>
          <w:sz w:val="18"/>
          <w:szCs w:val="16"/>
        </w:rPr>
        <w:t>Saudha</w:t>
      </w:r>
      <w:proofErr w:type="spellEnd"/>
      <w:r w:rsidRPr="00D43558">
        <w:rPr>
          <w:rFonts w:ascii="Times New Roman" w:hAnsi="Times New Roman" w:cs="Times New Roman"/>
          <w:sz w:val="18"/>
          <w:szCs w:val="16"/>
        </w:rPr>
        <w:t>, Bangalore.</w:t>
      </w:r>
    </w:p>
    <w:p w14:paraId="71D4972A" w14:textId="3A51B4E9" w:rsidR="004A72F0" w:rsidRDefault="00C25441" w:rsidP="00DD5250">
      <w:pPr>
        <w:pStyle w:val="Heading2"/>
        <w:rPr>
          <w:sz w:val="20"/>
          <w:szCs w:val="20"/>
        </w:rPr>
      </w:pPr>
      <w:bookmarkStart w:id="31" w:name="_Toc221292971"/>
      <w:bookmarkStart w:id="32" w:name="_Toc222399465"/>
      <w:r w:rsidRPr="008C2F5A">
        <w:rPr>
          <w:rStyle w:val="Heading2Char"/>
          <w:b/>
          <w:bCs/>
          <w:sz w:val="20"/>
          <w:szCs w:val="20"/>
        </w:rPr>
        <w:t>ANNEXURE I.3</w:t>
      </w:r>
      <w:r w:rsidRPr="008C2F5A">
        <w:rPr>
          <w:rStyle w:val="Heading2Char"/>
          <w:sz w:val="20"/>
          <w:szCs w:val="20"/>
        </w:rPr>
        <w:t xml:space="preserve"> </w:t>
      </w:r>
      <w:r w:rsidRPr="008C2F5A">
        <w:rPr>
          <w:rStyle w:val="Heading2Char"/>
          <w:sz w:val="20"/>
          <w:szCs w:val="20"/>
        </w:rPr>
        <w:br/>
      </w:r>
      <w:r w:rsidR="004A72F0" w:rsidRPr="008C2F5A">
        <w:rPr>
          <w:sz w:val="20"/>
          <w:szCs w:val="20"/>
        </w:rPr>
        <w:t xml:space="preserve">List </w:t>
      </w:r>
      <w:proofErr w:type="gramStart"/>
      <w:r w:rsidR="004A72F0" w:rsidRPr="008C2F5A">
        <w:rPr>
          <w:sz w:val="20"/>
          <w:szCs w:val="20"/>
        </w:rPr>
        <w:t>Of</w:t>
      </w:r>
      <w:proofErr w:type="gramEnd"/>
      <w:r w:rsidR="004A72F0" w:rsidRPr="008C2F5A">
        <w:rPr>
          <w:sz w:val="20"/>
          <w:szCs w:val="20"/>
        </w:rPr>
        <w:t xml:space="preserve"> Economists Whose Views Were Sought </w:t>
      </w:r>
      <w:proofErr w:type="gramStart"/>
      <w:r w:rsidR="004A72F0" w:rsidRPr="008C2F5A">
        <w:rPr>
          <w:sz w:val="20"/>
          <w:szCs w:val="20"/>
        </w:rPr>
        <w:t>On</w:t>
      </w:r>
      <w:proofErr w:type="gramEnd"/>
      <w:r w:rsidR="004A72F0" w:rsidRPr="008C2F5A">
        <w:rPr>
          <w:sz w:val="20"/>
          <w:szCs w:val="20"/>
        </w:rPr>
        <w:t xml:space="preserve"> </w:t>
      </w:r>
      <w:proofErr w:type="gramStart"/>
      <w:r w:rsidR="004A72F0" w:rsidRPr="008C2F5A">
        <w:rPr>
          <w:sz w:val="20"/>
          <w:szCs w:val="20"/>
        </w:rPr>
        <w:t>The</w:t>
      </w:r>
      <w:proofErr w:type="gramEnd"/>
      <w:r w:rsidR="004A72F0" w:rsidRPr="008C2F5A">
        <w:rPr>
          <w:sz w:val="20"/>
          <w:szCs w:val="20"/>
        </w:rPr>
        <w:t xml:space="preserve"> Devolution Formula </w:t>
      </w:r>
      <w:proofErr w:type="gramStart"/>
      <w:r w:rsidR="004A72F0" w:rsidRPr="008C2F5A">
        <w:rPr>
          <w:sz w:val="20"/>
          <w:szCs w:val="20"/>
        </w:rPr>
        <w:t>And</w:t>
      </w:r>
      <w:proofErr w:type="gramEnd"/>
      <w:r w:rsidR="004A72F0" w:rsidRPr="008C2F5A">
        <w:rPr>
          <w:sz w:val="20"/>
          <w:szCs w:val="20"/>
        </w:rPr>
        <w:t xml:space="preserve"> </w:t>
      </w:r>
      <w:proofErr w:type="gramStart"/>
      <w:r w:rsidR="004A72F0" w:rsidRPr="008C2F5A">
        <w:rPr>
          <w:sz w:val="20"/>
          <w:szCs w:val="20"/>
        </w:rPr>
        <w:t>The</w:t>
      </w:r>
      <w:proofErr w:type="gramEnd"/>
      <w:r w:rsidR="004A72F0" w:rsidRPr="008C2F5A">
        <w:rPr>
          <w:sz w:val="20"/>
          <w:szCs w:val="20"/>
        </w:rPr>
        <w:t xml:space="preserve"> Composite Index </w:t>
      </w:r>
      <w:proofErr w:type="gramStart"/>
      <w:r w:rsidR="004A72F0" w:rsidRPr="008C2F5A">
        <w:rPr>
          <w:sz w:val="20"/>
          <w:szCs w:val="20"/>
        </w:rPr>
        <w:t>Of</w:t>
      </w:r>
      <w:proofErr w:type="gramEnd"/>
      <w:r w:rsidR="004A72F0" w:rsidRPr="008C2F5A">
        <w:rPr>
          <w:sz w:val="20"/>
          <w:szCs w:val="20"/>
        </w:rPr>
        <w:t xml:space="preserve"> Backwardness</w:t>
      </w:r>
      <w:bookmarkEnd w:id="31"/>
      <w:bookmarkEnd w:id="32"/>
    </w:p>
    <w:p w14:paraId="09F181ED" w14:textId="2BD11A20" w:rsidR="00DD5250" w:rsidRPr="00DD5250" w:rsidRDefault="00DD5250" w:rsidP="00DD5250">
      <w:pPr>
        <w:spacing w:after="0"/>
        <w:jc w:val="center"/>
      </w:pPr>
      <w:r w:rsidRPr="00DD5250">
        <w:rPr>
          <w:rFonts w:ascii="Times New Roman" w:hAnsi="Times New Roman" w:cs="Times New Roman"/>
          <w:sz w:val="18"/>
          <w:szCs w:val="16"/>
        </w:rPr>
        <w:t>(Para 1.5)</w:t>
      </w:r>
    </w:p>
    <w:p w14:paraId="68D194C9"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 xml:space="preserve">Prof. C.H. </w:t>
      </w:r>
      <w:proofErr w:type="spellStart"/>
      <w:r w:rsidRPr="00D43558">
        <w:rPr>
          <w:rFonts w:ascii="Times New Roman" w:hAnsi="Times New Roman" w:cs="Times New Roman"/>
          <w:sz w:val="18"/>
          <w:szCs w:val="16"/>
        </w:rPr>
        <w:t>Hanumantha</w:t>
      </w:r>
      <w:proofErr w:type="spellEnd"/>
      <w:r w:rsidRPr="00D43558">
        <w:rPr>
          <w:rFonts w:ascii="Times New Roman" w:hAnsi="Times New Roman" w:cs="Times New Roman"/>
          <w:sz w:val="18"/>
          <w:szCs w:val="16"/>
        </w:rPr>
        <w:t xml:space="preserve"> Rao, Institute of Economic Growth, University Enclave, Delhi - 110 007.</w:t>
      </w:r>
    </w:p>
    <w:p w14:paraId="4B45C673"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V.M. Dandekar, Gokhale Institute of Politics and Economics, Pune.</w:t>
      </w:r>
    </w:p>
    <w:p w14:paraId="4EDB050A"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Shri D.R. Pendse, Economic Adviser, Tata Industries, Bombay House, Homi Mody Street, Bombay - 400 001.</w:t>
      </w:r>
    </w:p>
    <w:p w14:paraId="435D339D"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D.K. Srivastava, Department of Economics, Banaras Hindu University, Varanasi.</w:t>
      </w:r>
    </w:p>
    <w:p w14:paraId="6991E5D9"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D.T. Lakdawala, Centre for Monitoring Indian Economy, Bombay.</w:t>
      </w:r>
    </w:p>
    <w:p w14:paraId="1D2BB18B"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S. Guhan, Madras Institute of Development Studies, Madras.</w:t>
      </w:r>
    </w:p>
    <w:p w14:paraId="3046D0B4"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Dr. Pravin Visaria, Director, Gujarat Institute of Area Planning, Ahmedabad.</w:t>
      </w:r>
    </w:p>
    <w:p w14:paraId="27C14D81"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S.R. Hashim, Consultant (Perspective Planning), Planning Commission, New Delhi.</w:t>
      </w:r>
    </w:p>
    <w:p w14:paraId="3DC7059C"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 xml:space="preserve">Dr. G. Thimmaiah, Economic Adviser, Government of Karnataka, Vidhana </w:t>
      </w:r>
      <w:proofErr w:type="spellStart"/>
      <w:r w:rsidRPr="00D43558">
        <w:rPr>
          <w:rFonts w:ascii="Times New Roman" w:hAnsi="Times New Roman" w:cs="Times New Roman"/>
          <w:sz w:val="18"/>
          <w:szCs w:val="16"/>
        </w:rPr>
        <w:t>Soudha</w:t>
      </w:r>
      <w:proofErr w:type="spellEnd"/>
      <w:r w:rsidRPr="00D43558">
        <w:rPr>
          <w:rFonts w:ascii="Times New Roman" w:hAnsi="Times New Roman" w:cs="Times New Roman"/>
          <w:sz w:val="18"/>
          <w:szCs w:val="16"/>
        </w:rPr>
        <w:t>, Bangalore.</w:t>
      </w:r>
    </w:p>
    <w:p w14:paraId="172F10E9"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 xml:space="preserve">Prof. R. Radhakrishna, Director, Centre for Economic and Social Studies, </w:t>
      </w:r>
      <w:proofErr w:type="spellStart"/>
      <w:r w:rsidRPr="00D43558">
        <w:rPr>
          <w:rFonts w:ascii="Times New Roman" w:hAnsi="Times New Roman" w:cs="Times New Roman"/>
          <w:sz w:val="18"/>
          <w:szCs w:val="16"/>
        </w:rPr>
        <w:t>Nizamia</w:t>
      </w:r>
      <w:proofErr w:type="spellEnd"/>
      <w:r w:rsidRPr="00D43558">
        <w:rPr>
          <w:rFonts w:ascii="Times New Roman" w:hAnsi="Times New Roman" w:cs="Times New Roman"/>
          <w:sz w:val="18"/>
          <w:szCs w:val="16"/>
        </w:rPr>
        <w:t xml:space="preserve"> Observatory Campus, Hyderabad.</w:t>
      </w:r>
    </w:p>
    <w:p w14:paraId="03A868F4"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 xml:space="preserve">Mr. B.P.R. Vitthal, Centre for Economic and Social Studies, </w:t>
      </w:r>
      <w:proofErr w:type="spellStart"/>
      <w:r w:rsidRPr="00D43558">
        <w:rPr>
          <w:rFonts w:ascii="Times New Roman" w:hAnsi="Times New Roman" w:cs="Times New Roman"/>
          <w:sz w:val="18"/>
          <w:szCs w:val="16"/>
        </w:rPr>
        <w:t>Nizamia</w:t>
      </w:r>
      <w:proofErr w:type="spellEnd"/>
      <w:r w:rsidRPr="00D43558">
        <w:rPr>
          <w:rFonts w:ascii="Times New Roman" w:hAnsi="Times New Roman" w:cs="Times New Roman"/>
          <w:sz w:val="18"/>
          <w:szCs w:val="16"/>
        </w:rPr>
        <w:t xml:space="preserve"> Observatory Campus, Hyderabad.</w:t>
      </w:r>
    </w:p>
    <w:p w14:paraId="6ECF15DB"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B.S. Minhas, Indian Statistical Institute, Sansad Marg, New Delhi - 110 001.</w:t>
      </w:r>
    </w:p>
    <w:p w14:paraId="19865BC3"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S.D. Tendulkar, Delhi School of Economics, University of Delhi, Delhi - 110 007.</w:t>
      </w:r>
    </w:p>
    <w:p w14:paraId="527AFC37"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Dr. S.P. Gupta, Department of Economics, Sambalpur University, Jyoti Vihar, Burla, Orissa.</w:t>
      </w:r>
    </w:p>
    <w:p w14:paraId="532AA28B"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N.S. Iyengar, Indian Statistical Institute, Bangalore.</w:t>
      </w:r>
    </w:p>
    <w:p w14:paraId="25AAA329"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P.R. Brahmananda, Visiting Professor, Indian Statistical Institute, Bangalore.</w:t>
      </w:r>
    </w:p>
    <w:p w14:paraId="1E422E9E"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Dr. T.S. Papola, Consultant, Planning Commission, Yojana Bhavan, New Delhi - 110 001.</w:t>
      </w:r>
    </w:p>
    <w:p w14:paraId="6C032B41"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 xml:space="preserve">Prof. I.S. Gulati, Vice-Chairman, Kerala State Planning Board, </w:t>
      </w:r>
      <w:proofErr w:type="spellStart"/>
      <w:r w:rsidRPr="00D43558">
        <w:rPr>
          <w:rFonts w:ascii="Times New Roman" w:hAnsi="Times New Roman" w:cs="Times New Roman"/>
          <w:sz w:val="18"/>
          <w:szCs w:val="16"/>
        </w:rPr>
        <w:t>Pattom</w:t>
      </w:r>
      <w:proofErr w:type="spellEnd"/>
      <w:r w:rsidRPr="00D43558">
        <w:rPr>
          <w:rFonts w:ascii="Times New Roman" w:hAnsi="Times New Roman" w:cs="Times New Roman"/>
          <w:sz w:val="18"/>
          <w:szCs w:val="16"/>
        </w:rPr>
        <w:t>, Trivandrum - 4.</w:t>
      </w:r>
    </w:p>
    <w:p w14:paraId="509F3DDF"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Dr. Amaresh Bagchi, Director, National Institute of Public Finance and Policy, New Delhi - 110 067.</w:t>
      </w:r>
    </w:p>
    <w:p w14:paraId="0815652A"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Ashok Mitra, Former Finance Minister, Government of West Bengal, Calcutta.</w:t>
      </w:r>
    </w:p>
    <w:p w14:paraId="37D6A4DF"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Prof. Shailendra Singh, Professor of Economics, Lucknow University, Lucknow.</w:t>
      </w:r>
    </w:p>
    <w:p w14:paraId="407FC3B9" w14:textId="77777777" w:rsidR="004A72F0" w:rsidRPr="00D43558" w:rsidRDefault="004A72F0">
      <w:pPr>
        <w:pStyle w:val="NoSpacing"/>
        <w:numPr>
          <w:ilvl w:val="0"/>
          <w:numId w:val="10"/>
        </w:numPr>
        <w:rPr>
          <w:rFonts w:ascii="Times New Roman" w:hAnsi="Times New Roman" w:cs="Times New Roman"/>
          <w:sz w:val="18"/>
          <w:szCs w:val="16"/>
        </w:rPr>
      </w:pPr>
      <w:r w:rsidRPr="00D43558">
        <w:rPr>
          <w:rFonts w:ascii="Times New Roman" w:hAnsi="Times New Roman" w:cs="Times New Roman"/>
          <w:sz w:val="18"/>
          <w:szCs w:val="16"/>
        </w:rPr>
        <w:t>Dr. Freddie Mehta, Director, Tata Sons Ltd., Bombay House, Homi Mody Street, Bombay - 400 001.</w:t>
      </w:r>
    </w:p>
    <w:p w14:paraId="1C88BEAD" w14:textId="67DCF2CC" w:rsidR="004A72F0" w:rsidRDefault="00C25441" w:rsidP="00DD5250">
      <w:pPr>
        <w:pStyle w:val="Heading2"/>
        <w:rPr>
          <w:sz w:val="20"/>
          <w:szCs w:val="20"/>
        </w:rPr>
      </w:pPr>
      <w:bookmarkStart w:id="33" w:name="_Toc221292972"/>
      <w:bookmarkStart w:id="34" w:name="_Toc222399466"/>
      <w:r w:rsidRPr="008C2F5A">
        <w:rPr>
          <w:rStyle w:val="Heading2Char"/>
          <w:b/>
          <w:bCs/>
          <w:sz w:val="20"/>
          <w:szCs w:val="20"/>
        </w:rPr>
        <w:t>ANNEXURE I.4</w:t>
      </w:r>
      <w:r w:rsidRPr="008C2F5A">
        <w:rPr>
          <w:rStyle w:val="Heading2Char"/>
          <w:b/>
          <w:bCs/>
          <w:sz w:val="20"/>
          <w:szCs w:val="20"/>
        </w:rPr>
        <w:br/>
      </w:r>
      <w:r w:rsidR="004A72F0" w:rsidRPr="008C2F5A">
        <w:rPr>
          <w:sz w:val="20"/>
          <w:szCs w:val="20"/>
        </w:rPr>
        <w:t xml:space="preserve">List </w:t>
      </w:r>
      <w:proofErr w:type="gramStart"/>
      <w:r w:rsidR="004A72F0" w:rsidRPr="008C2F5A">
        <w:rPr>
          <w:sz w:val="20"/>
          <w:szCs w:val="20"/>
        </w:rPr>
        <w:t>Of</w:t>
      </w:r>
      <w:proofErr w:type="gramEnd"/>
      <w:r w:rsidR="004A72F0" w:rsidRPr="008C2F5A">
        <w:rPr>
          <w:sz w:val="20"/>
          <w:szCs w:val="20"/>
        </w:rPr>
        <w:t xml:space="preserve"> Economists Who Met </w:t>
      </w:r>
      <w:proofErr w:type="gramStart"/>
      <w:r w:rsidR="004A72F0" w:rsidRPr="008C2F5A">
        <w:rPr>
          <w:sz w:val="20"/>
          <w:szCs w:val="20"/>
        </w:rPr>
        <w:t>The</w:t>
      </w:r>
      <w:proofErr w:type="gramEnd"/>
      <w:r w:rsidR="004A72F0" w:rsidRPr="008C2F5A">
        <w:rPr>
          <w:sz w:val="20"/>
          <w:szCs w:val="20"/>
        </w:rPr>
        <w:t xml:space="preserve"> Commission On 23rd June 1989</w:t>
      </w:r>
      <w:bookmarkEnd w:id="33"/>
      <w:bookmarkEnd w:id="34"/>
    </w:p>
    <w:p w14:paraId="1B24F5E0" w14:textId="73F94313" w:rsidR="00DD5250" w:rsidRPr="00DD5250" w:rsidRDefault="00DD5250" w:rsidP="00DD5250">
      <w:pPr>
        <w:spacing w:after="0"/>
        <w:jc w:val="center"/>
      </w:pPr>
      <w:r w:rsidRPr="00DD5250">
        <w:rPr>
          <w:rFonts w:ascii="Times New Roman" w:hAnsi="Times New Roman" w:cs="Times New Roman"/>
          <w:sz w:val="18"/>
          <w:szCs w:val="16"/>
        </w:rPr>
        <w:t>(Para 1.5)</w:t>
      </w:r>
    </w:p>
    <w:p w14:paraId="10A27097"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Dr. D.T. Lakdawala, Hon. Professor, Sardar Patel Institute of Economic and Social Research, Ahmedabad.</w:t>
      </w:r>
    </w:p>
    <w:p w14:paraId="42C5F858"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Dr. G. Thimmaiah, Economic Adviser, Government of Karnataka, Bangalore-560001.</w:t>
      </w:r>
    </w:p>
    <w:p w14:paraId="3FD5173E"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Prof. V.M. Dandekar, Indian School of Political Economy, Pune.</w:t>
      </w:r>
    </w:p>
    <w:p w14:paraId="6CE9861B"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Dr. S.R. Hashim, Adviser, Perspective Planning Division, Planning Commission, New Delhi.</w:t>
      </w:r>
    </w:p>
    <w:p w14:paraId="55CA98D1"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Prof. S.D. Tendulkar, Delhi School of Economics, Delhi.</w:t>
      </w:r>
    </w:p>
    <w:p w14:paraId="5855700D"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Dr. Amaresh Bagchi, Director, National Institute of Public Finance and Policy, New Delhi.</w:t>
      </w:r>
    </w:p>
    <w:p w14:paraId="60B892AA" w14:textId="77777777" w:rsidR="004A72F0" w:rsidRPr="00D43558" w:rsidRDefault="004A72F0">
      <w:pPr>
        <w:pStyle w:val="NoSpacing"/>
        <w:numPr>
          <w:ilvl w:val="0"/>
          <w:numId w:val="11"/>
        </w:numPr>
        <w:rPr>
          <w:rFonts w:ascii="Times New Roman" w:hAnsi="Times New Roman" w:cs="Times New Roman"/>
          <w:sz w:val="18"/>
          <w:szCs w:val="16"/>
        </w:rPr>
      </w:pPr>
      <w:r w:rsidRPr="00D43558">
        <w:rPr>
          <w:rFonts w:ascii="Times New Roman" w:hAnsi="Times New Roman" w:cs="Times New Roman"/>
          <w:sz w:val="18"/>
          <w:szCs w:val="16"/>
        </w:rPr>
        <w:t>Shri. D.R. Pendse, Economic Adviser, Tata Industries, Bombay.</w:t>
      </w:r>
    </w:p>
    <w:p w14:paraId="0065A45E" w14:textId="2B544135" w:rsidR="004A72F0" w:rsidRDefault="00C25441" w:rsidP="00DD5250">
      <w:pPr>
        <w:pStyle w:val="Heading2"/>
        <w:rPr>
          <w:sz w:val="20"/>
          <w:szCs w:val="20"/>
        </w:rPr>
      </w:pPr>
      <w:bookmarkStart w:id="35" w:name="_Toc221292973"/>
      <w:bookmarkStart w:id="36" w:name="_Toc222399467"/>
      <w:r w:rsidRPr="008C2F5A">
        <w:rPr>
          <w:rStyle w:val="Heading2Char"/>
          <w:b/>
          <w:bCs/>
          <w:sz w:val="20"/>
          <w:szCs w:val="20"/>
        </w:rPr>
        <w:t>ANNEXURE I.5</w:t>
      </w:r>
      <w:r w:rsidRPr="008C2F5A">
        <w:rPr>
          <w:rStyle w:val="Heading2Char"/>
          <w:b/>
          <w:bCs/>
          <w:sz w:val="20"/>
          <w:szCs w:val="20"/>
        </w:rPr>
        <w:br/>
      </w:r>
      <w:r w:rsidR="004A72F0" w:rsidRPr="008C2F5A">
        <w:rPr>
          <w:sz w:val="20"/>
          <w:szCs w:val="20"/>
        </w:rPr>
        <w:t xml:space="preserve">List </w:t>
      </w:r>
      <w:proofErr w:type="gramStart"/>
      <w:r w:rsidR="004A72F0" w:rsidRPr="008C2F5A">
        <w:rPr>
          <w:sz w:val="20"/>
          <w:szCs w:val="20"/>
        </w:rPr>
        <w:t>Of</w:t>
      </w:r>
      <w:proofErr w:type="gramEnd"/>
      <w:r w:rsidR="004A72F0" w:rsidRPr="008C2F5A">
        <w:rPr>
          <w:sz w:val="20"/>
          <w:szCs w:val="20"/>
        </w:rPr>
        <w:t xml:space="preserve"> Economists Who Met </w:t>
      </w:r>
      <w:proofErr w:type="gramStart"/>
      <w:r w:rsidR="004A72F0" w:rsidRPr="008C2F5A">
        <w:rPr>
          <w:sz w:val="20"/>
          <w:szCs w:val="20"/>
        </w:rPr>
        <w:t>The</w:t>
      </w:r>
      <w:proofErr w:type="gramEnd"/>
      <w:r w:rsidR="004A72F0" w:rsidRPr="008C2F5A">
        <w:rPr>
          <w:sz w:val="20"/>
          <w:szCs w:val="20"/>
        </w:rPr>
        <w:t xml:space="preserve"> Commission On 16th October 1989</w:t>
      </w:r>
      <w:bookmarkEnd w:id="35"/>
      <w:bookmarkEnd w:id="36"/>
    </w:p>
    <w:p w14:paraId="18B7E21E" w14:textId="616A44F4" w:rsidR="00DD5250" w:rsidRPr="00DD5250" w:rsidRDefault="00DD5250" w:rsidP="00DD5250">
      <w:pPr>
        <w:spacing w:after="0"/>
        <w:jc w:val="center"/>
      </w:pPr>
      <w:r w:rsidRPr="00DD5250">
        <w:rPr>
          <w:rFonts w:ascii="Times New Roman" w:hAnsi="Times New Roman" w:cs="Times New Roman"/>
          <w:sz w:val="18"/>
          <w:szCs w:val="16"/>
        </w:rPr>
        <w:t>(Para 1.5)</w:t>
      </w:r>
    </w:p>
    <w:p w14:paraId="2304122F" w14:textId="77777777" w:rsidR="004A72F0" w:rsidRPr="00D43558" w:rsidRDefault="004A72F0">
      <w:pPr>
        <w:pStyle w:val="NoSpacing"/>
        <w:numPr>
          <w:ilvl w:val="0"/>
          <w:numId w:val="12"/>
        </w:numPr>
        <w:rPr>
          <w:rFonts w:ascii="Times New Roman" w:hAnsi="Times New Roman" w:cs="Times New Roman"/>
          <w:sz w:val="18"/>
          <w:szCs w:val="16"/>
        </w:rPr>
      </w:pPr>
      <w:r w:rsidRPr="00D43558">
        <w:rPr>
          <w:rFonts w:ascii="Times New Roman" w:hAnsi="Times New Roman" w:cs="Times New Roman"/>
          <w:sz w:val="18"/>
          <w:szCs w:val="16"/>
        </w:rPr>
        <w:t>Prof. K.L. Krishna, Delhi School of Economics, University of Delhi, Delhi.</w:t>
      </w:r>
    </w:p>
    <w:p w14:paraId="6E3A64DF" w14:textId="77777777" w:rsidR="004A72F0" w:rsidRPr="00D43558" w:rsidRDefault="004A72F0">
      <w:pPr>
        <w:pStyle w:val="NoSpacing"/>
        <w:numPr>
          <w:ilvl w:val="0"/>
          <w:numId w:val="12"/>
        </w:numPr>
        <w:rPr>
          <w:rFonts w:ascii="Times New Roman" w:hAnsi="Times New Roman" w:cs="Times New Roman"/>
          <w:sz w:val="18"/>
          <w:szCs w:val="16"/>
        </w:rPr>
      </w:pPr>
      <w:r w:rsidRPr="00D43558">
        <w:rPr>
          <w:rFonts w:ascii="Times New Roman" w:hAnsi="Times New Roman" w:cs="Times New Roman"/>
          <w:sz w:val="18"/>
          <w:szCs w:val="16"/>
        </w:rPr>
        <w:t>Dr. A. Dasgupta, National Institute of Public Finance and Policy, New Delhi.</w:t>
      </w:r>
    </w:p>
    <w:p w14:paraId="513CAA02" w14:textId="77777777" w:rsidR="004A72F0" w:rsidRPr="00D43558" w:rsidRDefault="004A72F0">
      <w:pPr>
        <w:pStyle w:val="NoSpacing"/>
        <w:numPr>
          <w:ilvl w:val="0"/>
          <w:numId w:val="12"/>
        </w:numPr>
        <w:rPr>
          <w:rFonts w:ascii="Times New Roman" w:hAnsi="Times New Roman" w:cs="Times New Roman"/>
          <w:sz w:val="18"/>
          <w:szCs w:val="16"/>
        </w:rPr>
      </w:pPr>
      <w:r w:rsidRPr="00D43558">
        <w:rPr>
          <w:rFonts w:ascii="Times New Roman" w:hAnsi="Times New Roman" w:cs="Times New Roman"/>
          <w:sz w:val="18"/>
          <w:szCs w:val="16"/>
        </w:rPr>
        <w:t>Dr. J.V.M. Sharma, National Institute of Public Finance and Policy, New Delhi.</w:t>
      </w:r>
    </w:p>
    <w:p w14:paraId="1F52F741" w14:textId="77777777" w:rsidR="004A72F0" w:rsidRPr="00D43558" w:rsidRDefault="004A72F0">
      <w:pPr>
        <w:pStyle w:val="NoSpacing"/>
        <w:numPr>
          <w:ilvl w:val="0"/>
          <w:numId w:val="12"/>
        </w:numPr>
        <w:rPr>
          <w:rFonts w:ascii="Times New Roman" w:hAnsi="Times New Roman" w:cs="Times New Roman"/>
          <w:sz w:val="18"/>
          <w:szCs w:val="16"/>
        </w:rPr>
      </w:pPr>
      <w:r w:rsidRPr="00D43558">
        <w:rPr>
          <w:rFonts w:ascii="Times New Roman" w:hAnsi="Times New Roman" w:cs="Times New Roman"/>
          <w:sz w:val="18"/>
          <w:szCs w:val="16"/>
        </w:rPr>
        <w:t>Prof. R. Radhakrishna, Director, Centre for Economic and Social Studies, Hyderabad.</w:t>
      </w:r>
    </w:p>
    <w:p w14:paraId="4CE43B00" w14:textId="77777777" w:rsidR="004A72F0" w:rsidRPr="00D43558" w:rsidRDefault="004A72F0">
      <w:pPr>
        <w:pStyle w:val="NoSpacing"/>
        <w:numPr>
          <w:ilvl w:val="0"/>
          <w:numId w:val="12"/>
        </w:numPr>
        <w:rPr>
          <w:rFonts w:ascii="Times New Roman" w:hAnsi="Times New Roman" w:cs="Times New Roman"/>
          <w:sz w:val="18"/>
          <w:szCs w:val="16"/>
        </w:rPr>
      </w:pPr>
      <w:r w:rsidRPr="00D43558">
        <w:rPr>
          <w:rFonts w:ascii="Times New Roman" w:hAnsi="Times New Roman" w:cs="Times New Roman"/>
          <w:sz w:val="18"/>
          <w:szCs w:val="16"/>
        </w:rPr>
        <w:t>Dr. G. Thimmaiah, Economic Adviser to the Government of Karnataka, Bangalore.</w:t>
      </w:r>
    </w:p>
    <w:p w14:paraId="6AB8464A" w14:textId="77777777" w:rsidR="004A72F0" w:rsidRPr="00AA6AF4" w:rsidRDefault="004A72F0">
      <w:pPr>
        <w:pStyle w:val="NoSpacing"/>
        <w:numPr>
          <w:ilvl w:val="0"/>
          <w:numId w:val="12"/>
        </w:numPr>
        <w:rPr>
          <w:rFonts w:ascii="Times New Roman" w:hAnsi="Times New Roman" w:cs="Times New Roman"/>
        </w:rPr>
      </w:pPr>
      <w:r w:rsidRPr="00D43558">
        <w:rPr>
          <w:rFonts w:ascii="Times New Roman" w:hAnsi="Times New Roman" w:cs="Times New Roman"/>
          <w:sz w:val="18"/>
          <w:szCs w:val="16"/>
        </w:rPr>
        <w:t>Prof. R.S. Rao, PG Department of Economics, Sambalpur University, Sambalpur</w:t>
      </w:r>
    </w:p>
    <w:p w14:paraId="7F955E93" w14:textId="30B8A294" w:rsidR="004A72F0" w:rsidRDefault="00C25441" w:rsidP="00C25441">
      <w:pPr>
        <w:pStyle w:val="Heading2"/>
        <w:rPr>
          <w:sz w:val="20"/>
          <w:szCs w:val="20"/>
        </w:rPr>
      </w:pPr>
      <w:r>
        <w:tab/>
      </w:r>
      <w:bookmarkStart w:id="37" w:name="_Toc221292974"/>
      <w:bookmarkStart w:id="38" w:name="_Toc222399468"/>
      <w:r w:rsidRPr="008C2F5A">
        <w:rPr>
          <w:rStyle w:val="Heading2Char"/>
          <w:b/>
          <w:bCs/>
          <w:sz w:val="20"/>
          <w:szCs w:val="20"/>
        </w:rPr>
        <w:t>ANNEXURE I.6</w:t>
      </w:r>
      <w:r w:rsidRPr="008C2F5A">
        <w:rPr>
          <w:rStyle w:val="Heading2Char"/>
          <w:b/>
          <w:bCs/>
          <w:sz w:val="20"/>
          <w:szCs w:val="20"/>
        </w:rPr>
        <w:br/>
      </w:r>
      <w:r w:rsidR="004A72F0" w:rsidRPr="008C2F5A">
        <w:rPr>
          <w:sz w:val="20"/>
          <w:szCs w:val="20"/>
        </w:rPr>
        <w:t xml:space="preserve">Dates </w:t>
      </w:r>
      <w:proofErr w:type="gramStart"/>
      <w:r w:rsidR="004A72F0" w:rsidRPr="008C2F5A">
        <w:rPr>
          <w:sz w:val="20"/>
          <w:szCs w:val="20"/>
        </w:rPr>
        <w:t>Of</w:t>
      </w:r>
      <w:proofErr w:type="gramEnd"/>
      <w:r w:rsidR="004A72F0" w:rsidRPr="008C2F5A">
        <w:rPr>
          <w:sz w:val="20"/>
          <w:szCs w:val="20"/>
        </w:rPr>
        <w:t xml:space="preserve"> Discussions </w:t>
      </w:r>
      <w:proofErr w:type="gramStart"/>
      <w:r w:rsidR="004A72F0" w:rsidRPr="008C2F5A">
        <w:rPr>
          <w:sz w:val="20"/>
          <w:szCs w:val="20"/>
        </w:rPr>
        <w:t>With</w:t>
      </w:r>
      <w:proofErr w:type="gramEnd"/>
      <w:r w:rsidR="004A72F0" w:rsidRPr="008C2F5A">
        <w:rPr>
          <w:sz w:val="20"/>
          <w:szCs w:val="20"/>
        </w:rPr>
        <w:t xml:space="preserve"> </w:t>
      </w:r>
      <w:proofErr w:type="gramStart"/>
      <w:r w:rsidR="004A72F0" w:rsidRPr="008C2F5A">
        <w:rPr>
          <w:sz w:val="20"/>
          <w:szCs w:val="20"/>
        </w:rPr>
        <w:t>The</w:t>
      </w:r>
      <w:proofErr w:type="gramEnd"/>
      <w:r w:rsidR="004A72F0" w:rsidRPr="008C2F5A">
        <w:rPr>
          <w:sz w:val="20"/>
          <w:szCs w:val="20"/>
        </w:rPr>
        <w:t xml:space="preserve"> State Governments </w:t>
      </w:r>
      <w:proofErr w:type="gramStart"/>
      <w:r w:rsidR="004A72F0" w:rsidRPr="008C2F5A">
        <w:rPr>
          <w:sz w:val="20"/>
          <w:szCs w:val="20"/>
        </w:rPr>
        <w:t>At</w:t>
      </w:r>
      <w:proofErr w:type="gramEnd"/>
      <w:r w:rsidR="004A72F0" w:rsidRPr="008C2F5A">
        <w:rPr>
          <w:sz w:val="20"/>
          <w:szCs w:val="20"/>
        </w:rPr>
        <w:t xml:space="preserve"> State Headquarters/Field Visits Undertaken </w:t>
      </w:r>
      <w:proofErr w:type="gramStart"/>
      <w:r w:rsidR="004A72F0" w:rsidRPr="008C2F5A">
        <w:rPr>
          <w:sz w:val="20"/>
          <w:szCs w:val="20"/>
        </w:rPr>
        <w:t>In</w:t>
      </w:r>
      <w:proofErr w:type="gramEnd"/>
      <w:r w:rsidR="004A72F0" w:rsidRPr="008C2F5A">
        <w:rPr>
          <w:sz w:val="20"/>
          <w:szCs w:val="20"/>
        </w:rPr>
        <w:t xml:space="preserve"> </w:t>
      </w:r>
      <w:proofErr w:type="gramStart"/>
      <w:r w:rsidR="004A72F0" w:rsidRPr="008C2F5A">
        <w:rPr>
          <w:sz w:val="20"/>
          <w:szCs w:val="20"/>
        </w:rPr>
        <w:t>The</w:t>
      </w:r>
      <w:proofErr w:type="gramEnd"/>
      <w:r w:rsidR="004A72F0" w:rsidRPr="008C2F5A">
        <w:rPr>
          <w:sz w:val="20"/>
          <w:szCs w:val="20"/>
        </w:rPr>
        <w:t xml:space="preserve"> State</w:t>
      </w:r>
      <w:bookmarkEnd w:id="37"/>
      <w:bookmarkEnd w:id="38"/>
    </w:p>
    <w:p w14:paraId="75A7A296" w14:textId="264FAEFF" w:rsidR="00DD5250" w:rsidRPr="00DD5250" w:rsidRDefault="00DD5250" w:rsidP="00DD5250">
      <w:pPr>
        <w:spacing w:after="0"/>
        <w:jc w:val="center"/>
      </w:pPr>
      <w:r w:rsidRPr="00DD5250">
        <w:rPr>
          <w:rFonts w:ascii="Times New Roman" w:hAnsi="Times New Roman" w:cs="Times New Roman"/>
          <w:sz w:val="18"/>
          <w:szCs w:val="16"/>
        </w:rPr>
        <w:t>(Para 1.</w:t>
      </w:r>
      <w:r>
        <w:rPr>
          <w:rFonts w:ascii="Times New Roman" w:hAnsi="Times New Roman" w:cs="Times New Roman"/>
          <w:sz w:val="18"/>
          <w:szCs w:val="16"/>
        </w:rPr>
        <w:t>7</w:t>
      </w:r>
      <w:r w:rsidRPr="00DD5250">
        <w:rPr>
          <w:rFonts w:ascii="Times New Roman" w:hAnsi="Times New Roman" w:cs="Times New Roman"/>
          <w:sz w:val="18"/>
          <w:szCs w:val="16"/>
        </w:rPr>
        <w:t>)</w:t>
      </w:r>
    </w:p>
    <w:tbl>
      <w:tblPr>
        <w:tblStyle w:val="TableGrid"/>
        <w:tblW w:w="9634" w:type="dxa"/>
        <w:jc w:val="center"/>
        <w:tblLook w:val="04A0" w:firstRow="1" w:lastRow="0" w:firstColumn="1" w:lastColumn="0" w:noHBand="0" w:noVBand="1"/>
      </w:tblPr>
      <w:tblGrid>
        <w:gridCol w:w="1649"/>
        <w:gridCol w:w="3562"/>
        <w:gridCol w:w="1526"/>
        <w:gridCol w:w="2897"/>
      </w:tblGrid>
      <w:tr w:rsidR="000B062F" w:rsidRPr="00AA6AF4" w14:paraId="1004765D" w14:textId="77777777" w:rsidTr="008C2F5A">
        <w:trPr>
          <w:trHeight w:val="20"/>
          <w:jc w:val="center"/>
        </w:trPr>
        <w:tc>
          <w:tcPr>
            <w:tcW w:w="0" w:type="auto"/>
            <w:hideMark/>
          </w:tcPr>
          <w:p w14:paraId="23962DA0"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Madhya Pradesh</w:t>
            </w:r>
          </w:p>
        </w:tc>
        <w:tc>
          <w:tcPr>
            <w:tcW w:w="0" w:type="auto"/>
            <w:hideMark/>
          </w:tcPr>
          <w:p w14:paraId="5361101E"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5th and 6th April, 1988 and 6th January, 1989</w:t>
            </w:r>
          </w:p>
        </w:tc>
        <w:tc>
          <w:tcPr>
            <w:tcW w:w="0" w:type="auto"/>
            <w:hideMark/>
          </w:tcPr>
          <w:p w14:paraId="4DB42331"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Andhra Pradesh</w:t>
            </w:r>
          </w:p>
        </w:tc>
        <w:tc>
          <w:tcPr>
            <w:tcW w:w="2897" w:type="dxa"/>
            <w:hideMark/>
          </w:tcPr>
          <w:p w14:paraId="12B6F5E8"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9th and 10th January, 1989</w:t>
            </w:r>
          </w:p>
        </w:tc>
      </w:tr>
      <w:tr w:rsidR="000B062F" w:rsidRPr="00AA6AF4" w14:paraId="4341DB9A" w14:textId="77777777" w:rsidTr="008C2F5A">
        <w:trPr>
          <w:trHeight w:val="20"/>
          <w:jc w:val="center"/>
        </w:trPr>
        <w:tc>
          <w:tcPr>
            <w:tcW w:w="0" w:type="auto"/>
            <w:hideMark/>
          </w:tcPr>
          <w:p w14:paraId="163D804A"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Gujarat</w:t>
            </w:r>
          </w:p>
        </w:tc>
        <w:tc>
          <w:tcPr>
            <w:tcW w:w="0" w:type="auto"/>
            <w:hideMark/>
          </w:tcPr>
          <w:p w14:paraId="506F5AB1"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11th and 12th April, 1988</w:t>
            </w:r>
          </w:p>
        </w:tc>
        <w:tc>
          <w:tcPr>
            <w:tcW w:w="0" w:type="auto"/>
            <w:hideMark/>
          </w:tcPr>
          <w:p w14:paraId="5AF720E6"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Karnataka</w:t>
            </w:r>
          </w:p>
        </w:tc>
        <w:tc>
          <w:tcPr>
            <w:tcW w:w="2897" w:type="dxa"/>
            <w:hideMark/>
          </w:tcPr>
          <w:p w14:paraId="55B60746"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11th to 13th January, 1989</w:t>
            </w:r>
          </w:p>
        </w:tc>
      </w:tr>
      <w:tr w:rsidR="000B062F" w:rsidRPr="00AA6AF4" w14:paraId="27DDD836" w14:textId="77777777" w:rsidTr="008C2F5A">
        <w:trPr>
          <w:trHeight w:val="20"/>
          <w:jc w:val="center"/>
        </w:trPr>
        <w:tc>
          <w:tcPr>
            <w:tcW w:w="0" w:type="auto"/>
            <w:hideMark/>
          </w:tcPr>
          <w:p w14:paraId="50926E3F"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Kerala</w:t>
            </w:r>
          </w:p>
        </w:tc>
        <w:tc>
          <w:tcPr>
            <w:tcW w:w="0" w:type="auto"/>
            <w:hideMark/>
          </w:tcPr>
          <w:p w14:paraId="1C9C55C8"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26th and 27th April, 1988</w:t>
            </w:r>
          </w:p>
        </w:tc>
        <w:tc>
          <w:tcPr>
            <w:tcW w:w="0" w:type="auto"/>
            <w:hideMark/>
          </w:tcPr>
          <w:p w14:paraId="3493ACE7"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West Bengal</w:t>
            </w:r>
          </w:p>
        </w:tc>
        <w:tc>
          <w:tcPr>
            <w:tcW w:w="2897" w:type="dxa"/>
            <w:hideMark/>
          </w:tcPr>
          <w:p w14:paraId="205CEC31"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1st to 3rd February, 1989</w:t>
            </w:r>
          </w:p>
        </w:tc>
      </w:tr>
      <w:tr w:rsidR="000B062F" w:rsidRPr="00AA6AF4" w14:paraId="078EA698" w14:textId="77777777" w:rsidTr="008C2F5A">
        <w:trPr>
          <w:trHeight w:val="20"/>
          <w:jc w:val="center"/>
        </w:trPr>
        <w:tc>
          <w:tcPr>
            <w:tcW w:w="0" w:type="auto"/>
            <w:hideMark/>
          </w:tcPr>
          <w:p w14:paraId="04BC633E"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Maharashtra</w:t>
            </w:r>
          </w:p>
        </w:tc>
        <w:tc>
          <w:tcPr>
            <w:tcW w:w="0" w:type="auto"/>
            <w:hideMark/>
          </w:tcPr>
          <w:p w14:paraId="4A37E9E9"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12th and 13th May, 1988</w:t>
            </w:r>
          </w:p>
        </w:tc>
        <w:tc>
          <w:tcPr>
            <w:tcW w:w="0" w:type="auto"/>
            <w:hideMark/>
          </w:tcPr>
          <w:p w14:paraId="5E1565D0"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Assam</w:t>
            </w:r>
          </w:p>
        </w:tc>
        <w:tc>
          <w:tcPr>
            <w:tcW w:w="2897" w:type="dxa"/>
            <w:hideMark/>
          </w:tcPr>
          <w:p w14:paraId="75EFB20D"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4th to 6th February, 1989</w:t>
            </w:r>
          </w:p>
        </w:tc>
      </w:tr>
      <w:tr w:rsidR="000B062F" w:rsidRPr="00AA6AF4" w14:paraId="693EFF58" w14:textId="77777777" w:rsidTr="008C2F5A">
        <w:trPr>
          <w:trHeight w:val="20"/>
          <w:jc w:val="center"/>
        </w:trPr>
        <w:tc>
          <w:tcPr>
            <w:tcW w:w="0" w:type="auto"/>
            <w:hideMark/>
          </w:tcPr>
          <w:p w14:paraId="0699D117"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Jammu and Kashmir</w:t>
            </w:r>
          </w:p>
        </w:tc>
        <w:tc>
          <w:tcPr>
            <w:tcW w:w="0" w:type="auto"/>
            <w:hideMark/>
          </w:tcPr>
          <w:p w14:paraId="55F717DA"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20th to 23rd May, 1988</w:t>
            </w:r>
          </w:p>
        </w:tc>
        <w:tc>
          <w:tcPr>
            <w:tcW w:w="0" w:type="auto"/>
            <w:hideMark/>
          </w:tcPr>
          <w:p w14:paraId="035ADE64"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Manipur</w:t>
            </w:r>
          </w:p>
        </w:tc>
        <w:tc>
          <w:tcPr>
            <w:tcW w:w="2897" w:type="dxa"/>
            <w:hideMark/>
          </w:tcPr>
          <w:p w14:paraId="50124DC9"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16th and 17th February, 1989</w:t>
            </w:r>
          </w:p>
        </w:tc>
      </w:tr>
      <w:tr w:rsidR="000B062F" w:rsidRPr="00AA6AF4" w14:paraId="2DAE78D6" w14:textId="77777777" w:rsidTr="008C2F5A">
        <w:trPr>
          <w:trHeight w:val="20"/>
          <w:jc w:val="center"/>
        </w:trPr>
        <w:tc>
          <w:tcPr>
            <w:tcW w:w="0" w:type="auto"/>
            <w:hideMark/>
          </w:tcPr>
          <w:p w14:paraId="30D6BF51"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Haryana</w:t>
            </w:r>
          </w:p>
        </w:tc>
        <w:tc>
          <w:tcPr>
            <w:tcW w:w="0" w:type="auto"/>
            <w:hideMark/>
          </w:tcPr>
          <w:p w14:paraId="397652EE"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24th May, 1988</w:t>
            </w:r>
          </w:p>
        </w:tc>
        <w:tc>
          <w:tcPr>
            <w:tcW w:w="0" w:type="auto"/>
            <w:hideMark/>
          </w:tcPr>
          <w:p w14:paraId="0B583966"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Meghalaya</w:t>
            </w:r>
          </w:p>
        </w:tc>
        <w:tc>
          <w:tcPr>
            <w:tcW w:w="2897" w:type="dxa"/>
            <w:hideMark/>
          </w:tcPr>
          <w:p w14:paraId="529EB5BA"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18th and 19th February, 1989</w:t>
            </w:r>
          </w:p>
        </w:tc>
      </w:tr>
      <w:tr w:rsidR="000B062F" w:rsidRPr="00AA6AF4" w14:paraId="35C2E72D" w14:textId="77777777" w:rsidTr="008C2F5A">
        <w:trPr>
          <w:trHeight w:val="20"/>
          <w:jc w:val="center"/>
        </w:trPr>
        <w:tc>
          <w:tcPr>
            <w:tcW w:w="0" w:type="auto"/>
            <w:hideMark/>
          </w:tcPr>
          <w:p w14:paraId="195E8289"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Punjab</w:t>
            </w:r>
          </w:p>
        </w:tc>
        <w:tc>
          <w:tcPr>
            <w:tcW w:w="0" w:type="auto"/>
            <w:hideMark/>
          </w:tcPr>
          <w:p w14:paraId="59C27E9C"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25th May, 1988</w:t>
            </w:r>
          </w:p>
        </w:tc>
        <w:tc>
          <w:tcPr>
            <w:tcW w:w="0" w:type="auto"/>
            <w:hideMark/>
          </w:tcPr>
          <w:p w14:paraId="15801365"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Tamil Nadu</w:t>
            </w:r>
          </w:p>
        </w:tc>
        <w:tc>
          <w:tcPr>
            <w:tcW w:w="2897" w:type="dxa"/>
            <w:hideMark/>
          </w:tcPr>
          <w:p w14:paraId="6D74D2AB"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24th to 26th February, 1989</w:t>
            </w:r>
          </w:p>
        </w:tc>
      </w:tr>
      <w:tr w:rsidR="000B062F" w:rsidRPr="00AA6AF4" w14:paraId="4427B525" w14:textId="77777777" w:rsidTr="008C2F5A">
        <w:trPr>
          <w:trHeight w:val="20"/>
          <w:jc w:val="center"/>
        </w:trPr>
        <w:tc>
          <w:tcPr>
            <w:tcW w:w="0" w:type="auto"/>
            <w:hideMark/>
          </w:tcPr>
          <w:p w14:paraId="112B8955"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lastRenderedPageBreak/>
              <w:t>Himachal Pradesh</w:t>
            </w:r>
          </w:p>
        </w:tc>
        <w:tc>
          <w:tcPr>
            <w:tcW w:w="0" w:type="auto"/>
            <w:hideMark/>
          </w:tcPr>
          <w:p w14:paraId="4E404F81"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27th and 28th May, 1988</w:t>
            </w:r>
          </w:p>
        </w:tc>
        <w:tc>
          <w:tcPr>
            <w:tcW w:w="0" w:type="auto"/>
            <w:hideMark/>
          </w:tcPr>
          <w:p w14:paraId="1436E899"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Rajasthan</w:t>
            </w:r>
          </w:p>
        </w:tc>
        <w:tc>
          <w:tcPr>
            <w:tcW w:w="2897" w:type="dxa"/>
            <w:hideMark/>
          </w:tcPr>
          <w:p w14:paraId="1985FC2B"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9th to 11th January, 1988 and 26th June, 1989</w:t>
            </w:r>
          </w:p>
        </w:tc>
      </w:tr>
      <w:tr w:rsidR="000B062F" w:rsidRPr="00AA6AF4" w14:paraId="19B9621A" w14:textId="77777777" w:rsidTr="008C2F5A">
        <w:trPr>
          <w:trHeight w:val="20"/>
          <w:jc w:val="center"/>
        </w:trPr>
        <w:tc>
          <w:tcPr>
            <w:tcW w:w="0" w:type="auto"/>
            <w:hideMark/>
          </w:tcPr>
          <w:p w14:paraId="425D16C5"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Goa</w:t>
            </w:r>
          </w:p>
        </w:tc>
        <w:tc>
          <w:tcPr>
            <w:tcW w:w="0" w:type="auto"/>
            <w:hideMark/>
          </w:tcPr>
          <w:p w14:paraId="083F649A"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10th and 11th October, 1988</w:t>
            </w:r>
          </w:p>
        </w:tc>
        <w:tc>
          <w:tcPr>
            <w:tcW w:w="0" w:type="auto"/>
            <w:hideMark/>
          </w:tcPr>
          <w:p w14:paraId="0303240B" w14:textId="77777777" w:rsidR="004A72F0" w:rsidRPr="00AA6AF4" w:rsidRDefault="004A72F0" w:rsidP="004A72F0">
            <w:pPr>
              <w:pStyle w:val="NoSpacing"/>
              <w:rPr>
                <w:rFonts w:ascii="Times New Roman" w:hAnsi="Times New Roman" w:cs="Times New Roman"/>
                <w:sz w:val="18"/>
                <w:szCs w:val="18"/>
              </w:rPr>
            </w:pPr>
          </w:p>
        </w:tc>
        <w:tc>
          <w:tcPr>
            <w:tcW w:w="2897" w:type="dxa"/>
            <w:hideMark/>
          </w:tcPr>
          <w:p w14:paraId="2A8A6109" w14:textId="77777777" w:rsidR="004A72F0" w:rsidRPr="00AA6AF4" w:rsidRDefault="004A72F0" w:rsidP="004A72F0">
            <w:pPr>
              <w:pStyle w:val="NoSpacing"/>
              <w:rPr>
                <w:rFonts w:ascii="Times New Roman" w:hAnsi="Times New Roman" w:cs="Times New Roman"/>
                <w:sz w:val="18"/>
                <w:szCs w:val="18"/>
              </w:rPr>
            </w:pPr>
          </w:p>
        </w:tc>
      </w:tr>
      <w:tr w:rsidR="000B062F" w:rsidRPr="00AA6AF4" w14:paraId="29DB1F99" w14:textId="77777777" w:rsidTr="008C2F5A">
        <w:trPr>
          <w:trHeight w:val="20"/>
          <w:jc w:val="center"/>
        </w:trPr>
        <w:tc>
          <w:tcPr>
            <w:tcW w:w="0" w:type="auto"/>
            <w:hideMark/>
          </w:tcPr>
          <w:p w14:paraId="77F54307"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Uttar Pradesh</w:t>
            </w:r>
          </w:p>
        </w:tc>
        <w:tc>
          <w:tcPr>
            <w:tcW w:w="0" w:type="auto"/>
            <w:hideMark/>
          </w:tcPr>
          <w:p w14:paraId="17195D9B"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12th and 13th December, 1988 and 4th June, 1989</w:t>
            </w:r>
          </w:p>
        </w:tc>
        <w:tc>
          <w:tcPr>
            <w:tcW w:w="0" w:type="auto"/>
            <w:hideMark/>
          </w:tcPr>
          <w:p w14:paraId="4328B2BD"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Bihar</w:t>
            </w:r>
          </w:p>
        </w:tc>
        <w:tc>
          <w:tcPr>
            <w:tcW w:w="2897" w:type="dxa"/>
            <w:hideMark/>
          </w:tcPr>
          <w:p w14:paraId="0B5DD5AE"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 xml:space="preserve">22nd to 23rd </w:t>
            </w:r>
            <w:proofErr w:type="spellStart"/>
            <w:r w:rsidRPr="00AA6AF4">
              <w:rPr>
                <w:rFonts w:ascii="Times New Roman" w:hAnsi="Times New Roman" w:cs="Times New Roman"/>
                <w:sz w:val="18"/>
                <w:szCs w:val="18"/>
              </w:rPr>
              <w:t>Sepember</w:t>
            </w:r>
            <w:proofErr w:type="spellEnd"/>
            <w:r w:rsidRPr="00AA6AF4">
              <w:rPr>
                <w:rFonts w:ascii="Times New Roman" w:hAnsi="Times New Roman" w:cs="Times New Roman"/>
                <w:sz w:val="18"/>
                <w:szCs w:val="18"/>
              </w:rPr>
              <w:t>, 1989</w:t>
            </w:r>
          </w:p>
        </w:tc>
      </w:tr>
      <w:tr w:rsidR="000B062F" w:rsidRPr="00AA6AF4" w14:paraId="2CE0B91F" w14:textId="77777777" w:rsidTr="008C2F5A">
        <w:trPr>
          <w:trHeight w:val="20"/>
          <w:jc w:val="center"/>
        </w:trPr>
        <w:tc>
          <w:tcPr>
            <w:tcW w:w="0" w:type="auto"/>
            <w:hideMark/>
          </w:tcPr>
          <w:p w14:paraId="5657EA93"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Orissa</w:t>
            </w:r>
          </w:p>
        </w:tc>
        <w:tc>
          <w:tcPr>
            <w:tcW w:w="0" w:type="auto"/>
            <w:hideMark/>
          </w:tcPr>
          <w:p w14:paraId="05CEF9E0"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20th to 22nd December, 1988</w:t>
            </w:r>
          </w:p>
        </w:tc>
        <w:tc>
          <w:tcPr>
            <w:tcW w:w="0" w:type="auto"/>
            <w:hideMark/>
          </w:tcPr>
          <w:p w14:paraId="7054AC23"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Arunachal Pradesh</w:t>
            </w:r>
          </w:p>
        </w:tc>
        <w:tc>
          <w:tcPr>
            <w:tcW w:w="2897" w:type="dxa"/>
            <w:hideMark/>
          </w:tcPr>
          <w:p w14:paraId="7B5CA988" w14:textId="77777777" w:rsidR="004A72F0" w:rsidRPr="00AA6AF4" w:rsidRDefault="004A72F0" w:rsidP="004A72F0">
            <w:pPr>
              <w:pStyle w:val="NoSpacing"/>
              <w:rPr>
                <w:rFonts w:ascii="Times New Roman" w:hAnsi="Times New Roman" w:cs="Times New Roman"/>
                <w:sz w:val="18"/>
                <w:szCs w:val="18"/>
              </w:rPr>
            </w:pPr>
            <w:r w:rsidRPr="00AA6AF4">
              <w:rPr>
                <w:rFonts w:ascii="Times New Roman" w:hAnsi="Times New Roman" w:cs="Times New Roman"/>
                <w:sz w:val="18"/>
                <w:szCs w:val="18"/>
              </w:rPr>
              <w:t>2nd to 4th November, 1989</w:t>
            </w:r>
          </w:p>
        </w:tc>
      </w:tr>
    </w:tbl>
    <w:p w14:paraId="227541DD" w14:textId="77777777" w:rsidR="001D7A94" w:rsidRPr="00AA6AF4" w:rsidRDefault="001D7A94" w:rsidP="00C4048A">
      <w:pPr>
        <w:pStyle w:val="Heading2"/>
        <w:jc w:val="left"/>
      </w:pPr>
    </w:p>
    <w:p w14:paraId="4FE54036" w14:textId="66763DFB" w:rsidR="008C52E5" w:rsidRDefault="008C52E5" w:rsidP="00C25441">
      <w:pPr>
        <w:pStyle w:val="Heading2"/>
        <w:rPr>
          <w:sz w:val="20"/>
          <w:szCs w:val="20"/>
        </w:rPr>
      </w:pPr>
      <w:r w:rsidRPr="008C2F5A">
        <w:rPr>
          <w:sz w:val="20"/>
          <w:szCs w:val="20"/>
        </w:rPr>
        <w:t> </w:t>
      </w:r>
      <w:bookmarkStart w:id="39" w:name="_Toc221292975"/>
      <w:bookmarkStart w:id="40" w:name="_Toc222399469"/>
      <w:r w:rsidR="00C25441" w:rsidRPr="008C2F5A">
        <w:rPr>
          <w:rStyle w:val="Heading2Char"/>
          <w:b/>
          <w:bCs/>
          <w:sz w:val="20"/>
          <w:szCs w:val="20"/>
        </w:rPr>
        <w:t>ANNEXURE I.7</w:t>
      </w:r>
      <w:r w:rsidR="00C25441" w:rsidRPr="008C2F5A">
        <w:rPr>
          <w:rStyle w:val="Heading2Char"/>
          <w:b/>
          <w:bCs/>
          <w:sz w:val="20"/>
          <w:szCs w:val="20"/>
        </w:rPr>
        <w:br/>
      </w:r>
      <w:r w:rsidRPr="008C2F5A">
        <w:rPr>
          <w:sz w:val="20"/>
          <w:szCs w:val="20"/>
        </w:rPr>
        <w:t xml:space="preserve">List </w:t>
      </w:r>
      <w:proofErr w:type="gramStart"/>
      <w:r w:rsidRPr="008C2F5A">
        <w:rPr>
          <w:sz w:val="20"/>
          <w:szCs w:val="20"/>
        </w:rPr>
        <w:t>Of</w:t>
      </w:r>
      <w:proofErr w:type="gramEnd"/>
      <w:r w:rsidRPr="008C2F5A">
        <w:rPr>
          <w:sz w:val="20"/>
          <w:szCs w:val="20"/>
        </w:rPr>
        <w:t xml:space="preserve"> Secretaries </w:t>
      </w:r>
      <w:proofErr w:type="gramStart"/>
      <w:r w:rsidRPr="008C2F5A">
        <w:rPr>
          <w:sz w:val="20"/>
          <w:szCs w:val="20"/>
        </w:rPr>
        <w:t>To</w:t>
      </w:r>
      <w:proofErr w:type="gramEnd"/>
      <w:r w:rsidRPr="008C2F5A">
        <w:rPr>
          <w:sz w:val="20"/>
          <w:szCs w:val="20"/>
        </w:rPr>
        <w:t xml:space="preserve"> </w:t>
      </w:r>
      <w:proofErr w:type="gramStart"/>
      <w:r w:rsidRPr="008C2F5A">
        <w:rPr>
          <w:sz w:val="20"/>
          <w:szCs w:val="20"/>
        </w:rPr>
        <w:t>The</w:t>
      </w:r>
      <w:proofErr w:type="gramEnd"/>
      <w:r w:rsidRPr="008C2F5A">
        <w:rPr>
          <w:sz w:val="20"/>
          <w:szCs w:val="20"/>
        </w:rPr>
        <w:t xml:space="preserve"> Government </w:t>
      </w:r>
      <w:proofErr w:type="gramStart"/>
      <w:r w:rsidRPr="008C2F5A">
        <w:rPr>
          <w:sz w:val="20"/>
          <w:szCs w:val="20"/>
        </w:rPr>
        <w:t>Of</w:t>
      </w:r>
      <w:proofErr w:type="gramEnd"/>
      <w:r w:rsidRPr="008C2F5A">
        <w:rPr>
          <w:sz w:val="20"/>
          <w:szCs w:val="20"/>
        </w:rPr>
        <w:t xml:space="preserve"> India Who Met </w:t>
      </w:r>
      <w:proofErr w:type="gramStart"/>
      <w:r w:rsidRPr="008C2F5A">
        <w:rPr>
          <w:sz w:val="20"/>
          <w:szCs w:val="20"/>
        </w:rPr>
        <w:t>The</w:t>
      </w:r>
      <w:proofErr w:type="gramEnd"/>
      <w:r w:rsidRPr="008C2F5A">
        <w:rPr>
          <w:sz w:val="20"/>
          <w:szCs w:val="20"/>
        </w:rPr>
        <w:t xml:space="preserve"> Commission</w:t>
      </w:r>
      <w:bookmarkEnd w:id="39"/>
      <w:bookmarkEnd w:id="40"/>
    </w:p>
    <w:p w14:paraId="186D1586" w14:textId="47CA1BE3" w:rsidR="00DD5250" w:rsidRPr="00DD5250" w:rsidRDefault="00DD5250" w:rsidP="00DD5250">
      <w:pPr>
        <w:spacing w:after="0"/>
        <w:jc w:val="center"/>
      </w:pPr>
      <w:r w:rsidRPr="00DD5250">
        <w:rPr>
          <w:rFonts w:ascii="Times New Roman" w:hAnsi="Times New Roman" w:cs="Times New Roman"/>
          <w:sz w:val="18"/>
          <w:szCs w:val="16"/>
        </w:rPr>
        <w:t>(Para 1.</w:t>
      </w:r>
      <w:r>
        <w:rPr>
          <w:rFonts w:ascii="Times New Roman" w:hAnsi="Times New Roman" w:cs="Times New Roman"/>
          <w:sz w:val="18"/>
          <w:szCs w:val="16"/>
        </w:rPr>
        <w:t>8</w:t>
      </w:r>
      <w:r w:rsidRPr="00DD5250">
        <w:rPr>
          <w:rFonts w:ascii="Times New Roman" w:hAnsi="Times New Roman" w:cs="Times New Roman"/>
          <w:sz w:val="18"/>
          <w:szCs w:val="16"/>
        </w:rPr>
        <w:t>)</w:t>
      </w:r>
    </w:p>
    <w:tbl>
      <w:tblPr>
        <w:tblStyle w:val="TableGrid"/>
        <w:tblW w:w="8359" w:type="dxa"/>
        <w:jc w:val="center"/>
        <w:tblLook w:val="04A0" w:firstRow="1" w:lastRow="0" w:firstColumn="1" w:lastColumn="0" w:noHBand="0" w:noVBand="1"/>
      </w:tblPr>
      <w:tblGrid>
        <w:gridCol w:w="652"/>
        <w:gridCol w:w="5580"/>
        <w:gridCol w:w="2127"/>
      </w:tblGrid>
      <w:tr w:rsidR="008C52E5" w:rsidRPr="00AA6AF4" w14:paraId="63DD36E5" w14:textId="77777777" w:rsidTr="008C2F5A">
        <w:trPr>
          <w:trHeight w:val="315"/>
          <w:jc w:val="center"/>
        </w:trPr>
        <w:tc>
          <w:tcPr>
            <w:tcW w:w="0" w:type="auto"/>
            <w:hideMark/>
          </w:tcPr>
          <w:p w14:paraId="28DD2B64"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 No.</w:t>
            </w:r>
          </w:p>
        </w:tc>
        <w:tc>
          <w:tcPr>
            <w:tcW w:w="5580" w:type="dxa"/>
            <w:hideMark/>
          </w:tcPr>
          <w:p w14:paraId="47D668A7"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Name &amp; Designation</w:t>
            </w:r>
          </w:p>
        </w:tc>
        <w:tc>
          <w:tcPr>
            <w:tcW w:w="2127" w:type="dxa"/>
            <w:hideMark/>
          </w:tcPr>
          <w:p w14:paraId="0779B9E5"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Date of Meeting</w:t>
            </w:r>
          </w:p>
        </w:tc>
      </w:tr>
      <w:tr w:rsidR="008C52E5" w:rsidRPr="00AA6AF4" w14:paraId="47C50FBA" w14:textId="77777777" w:rsidTr="008C2F5A">
        <w:trPr>
          <w:trHeight w:val="154"/>
          <w:jc w:val="center"/>
        </w:trPr>
        <w:tc>
          <w:tcPr>
            <w:tcW w:w="0" w:type="auto"/>
            <w:hideMark/>
          </w:tcPr>
          <w:p w14:paraId="388FCB94"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w:t>
            </w:r>
          </w:p>
        </w:tc>
        <w:tc>
          <w:tcPr>
            <w:tcW w:w="5580" w:type="dxa"/>
            <w:hideMark/>
          </w:tcPr>
          <w:p w14:paraId="7F81C52D"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 xml:space="preserve">Shri S. </w:t>
            </w:r>
            <w:proofErr w:type="spellStart"/>
            <w:r w:rsidRPr="00AA6AF4">
              <w:rPr>
                <w:rFonts w:ascii="Times New Roman" w:hAnsi="Times New Roman" w:cs="Times New Roman"/>
                <w:sz w:val="18"/>
                <w:szCs w:val="18"/>
              </w:rPr>
              <w:t>Venkitaramanan</w:t>
            </w:r>
            <w:proofErr w:type="spellEnd"/>
            <w:r w:rsidRPr="00AA6AF4">
              <w:rPr>
                <w:rFonts w:ascii="Times New Roman" w:hAnsi="Times New Roman" w:cs="Times New Roman"/>
                <w:sz w:val="18"/>
                <w:szCs w:val="18"/>
              </w:rPr>
              <w:t>, Ministry of Finance</w:t>
            </w:r>
          </w:p>
        </w:tc>
        <w:tc>
          <w:tcPr>
            <w:tcW w:w="2127" w:type="dxa"/>
            <w:vAlign w:val="center"/>
            <w:hideMark/>
          </w:tcPr>
          <w:p w14:paraId="30765C70"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4.5.1988 &amp; 29.6.1988</w:t>
            </w:r>
          </w:p>
        </w:tc>
      </w:tr>
      <w:tr w:rsidR="008C52E5" w:rsidRPr="00AA6AF4" w14:paraId="277DD1B0" w14:textId="77777777" w:rsidTr="008C2F5A">
        <w:trPr>
          <w:trHeight w:val="154"/>
          <w:jc w:val="center"/>
        </w:trPr>
        <w:tc>
          <w:tcPr>
            <w:tcW w:w="0" w:type="auto"/>
            <w:hideMark/>
          </w:tcPr>
          <w:p w14:paraId="6DF920A5"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2.</w:t>
            </w:r>
          </w:p>
        </w:tc>
        <w:tc>
          <w:tcPr>
            <w:tcW w:w="5580" w:type="dxa"/>
            <w:hideMark/>
          </w:tcPr>
          <w:p w14:paraId="09663E20"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V.C. Pande, Department of Rural Development</w:t>
            </w:r>
          </w:p>
        </w:tc>
        <w:tc>
          <w:tcPr>
            <w:tcW w:w="2127" w:type="dxa"/>
            <w:vAlign w:val="center"/>
            <w:hideMark/>
          </w:tcPr>
          <w:p w14:paraId="3269FF8F"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4.5.1988</w:t>
            </w:r>
          </w:p>
        </w:tc>
      </w:tr>
      <w:tr w:rsidR="008C52E5" w:rsidRPr="00AA6AF4" w14:paraId="095E6F01" w14:textId="77777777" w:rsidTr="008C2F5A">
        <w:trPr>
          <w:trHeight w:val="154"/>
          <w:jc w:val="center"/>
        </w:trPr>
        <w:tc>
          <w:tcPr>
            <w:tcW w:w="0" w:type="auto"/>
            <w:hideMark/>
          </w:tcPr>
          <w:p w14:paraId="20E22462"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3.</w:t>
            </w:r>
          </w:p>
        </w:tc>
        <w:tc>
          <w:tcPr>
            <w:tcW w:w="5580" w:type="dxa"/>
            <w:hideMark/>
          </w:tcPr>
          <w:p w14:paraId="1E9A761B"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K.D. Vasudeva, Department of Fertilizers</w:t>
            </w:r>
          </w:p>
        </w:tc>
        <w:tc>
          <w:tcPr>
            <w:tcW w:w="2127" w:type="dxa"/>
            <w:vAlign w:val="center"/>
            <w:hideMark/>
          </w:tcPr>
          <w:p w14:paraId="26B1AD9F"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5.5.1988</w:t>
            </w:r>
          </w:p>
        </w:tc>
      </w:tr>
      <w:tr w:rsidR="008C52E5" w:rsidRPr="00AA6AF4" w14:paraId="36FF2731" w14:textId="77777777" w:rsidTr="008C2F5A">
        <w:trPr>
          <w:trHeight w:val="154"/>
          <w:jc w:val="center"/>
        </w:trPr>
        <w:tc>
          <w:tcPr>
            <w:tcW w:w="0" w:type="auto"/>
            <w:hideMark/>
          </w:tcPr>
          <w:p w14:paraId="06D51C5C"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4.</w:t>
            </w:r>
          </w:p>
        </w:tc>
        <w:tc>
          <w:tcPr>
            <w:tcW w:w="5580" w:type="dxa"/>
            <w:hideMark/>
          </w:tcPr>
          <w:p w14:paraId="38ADA23B"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 xml:space="preserve">Shri T.U. </w:t>
            </w:r>
            <w:proofErr w:type="spellStart"/>
            <w:r w:rsidRPr="00AA6AF4">
              <w:rPr>
                <w:rFonts w:ascii="Times New Roman" w:hAnsi="Times New Roman" w:cs="Times New Roman"/>
                <w:sz w:val="18"/>
                <w:szCs w:val="18"/>
              </w:rPr>
              <w:t>Vijayasekharan</w:t>
            </w:r>
            <w:proofErr w:type="spellEnd"/>
            <w:r w:rsidRPr="00AA6AF4">
              <w:rPr>
                <w:rFonts w:ascii="Times New Roman" w:hAnsi="Times New Roman" w:cs="Times New Roman"/>
                <w:sz w:val="18"/>
                <w:szCs w:val="18"/>
              </w:rPr>
              <w:t>, Department of Food</w:t>
            </w:r>
          </w:p>
        </w:tc>
        <w:tc>
          <w:tcPr>
            <w:tcW w:w="2127" w:type="dxa"/>
            <w:vAlign w:val="center"/>
            <w:hideMark/>
          </w:tcPr>
          <w:p w14:paraId="78357CBC"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5.5.1988</w:t>
            </w:r>
          </w:p>
        </w:tc>
      </w:tr>
      <w:tr w:rsidR="008C52E5" w:rsidRPr="00AA6AF4" w14:paraId="0B5058B4" w14:textId="77777777" w:rsidTr="008C2F5A">
        <w:trPr>
          <w:trHeight w:val="161"/>
          <w:jc w:val="center"/>
        </w:trPr>
        <w:tc>
          <w:tcPr>
            <w:tcW w:w="0" w:type="auto"/>
            <w:hideMark/>
          </w:tcPr>
          <w:p w14:paraId="758F560B"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5.</w:t>
            </w:r>
          </w:p>
        </w:tc>
        <w:tc>
          <w:tcPr>
            <w:tcW w:w="5580" w:type="dxa"/>
            <w:hideMark/>
          </w:tcPr>
          <w:p w14:paraId="16E4DCA2"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Shiromani Sharma, Ministry of Textiles</w:t>
            </w:r>
          </w:p>
        </w:tc>
        <w:tc>
          <w:tcPr>
            <w:tcW w:w="2127" w:type="dxa"/>
            <w:vAlign w:val="center"/>
            <w:hideMark/>
          </w:tcPr>
          <w:p w14:paraId="64F0F769"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6.5.1988</w:t>
            </w:r>
          </w:p>
        </w:tc>
      </w:tr>
      <w:tr w:rsidR="008C52E5" w:rsidRPr="00AA6AF4" w14:paraId="15B27771" w14:textId="77777777" w:rsidTr="008C2F5A">
        <w:trPr>
          <w:trHeight w:val="154"/>
          <w:jc w:val="center"/>
        </w:trPr>
        <w:tc>
          <w:tcPr>
            <w:tcW w:w="0" w:type="auto"/>
            <w:hideMark/>
          </w:tcPr>
          <w:p w14:paraId="2467B7E6"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6.</w:t>
            </w:r>
          </w:p>
        </w:tc>
        <w:tc>
          <w:tcPr>
            <w:tcW w:w="5580" w:type="dxa"/>
            <w:hideMark/>
          </w:tcPr>
          <w:p w14:paraId="3A06C979"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S. Varadan, Ministry of Petroleum and Natural Gas</w:t>
            </w:r>
          </w:p>
        </w:tc>
        <w:tc>
          <w:tcPr>
            <w:tcW w:w="2127" w:type="dxa"/>
            <w:vAlign w:val="center"/>
            <w:hideMark/>
          </w:tcPr>
          <w:p w14:paraId="316BF568"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6.5.1988</w:t>
            </w:r>
          </w:p>
        </w:tc>
      </w:tr>
      <w:tr w:rsidR="008C52E5" w:rsidRPr="00AA6AF4" w14:paraId="48DEC829" w14:textId="77777777" w:rsidTr="008C2F5A">
        <w:trPr>
          <w:trHeight w:val="154"/>
          <w:jc w:val="center"/>
        </w:trPr>
        <w:tc>
          <w:tcPr>
            <w:tcW w:w="0" w:type="auto"/>
            <w:hideMark/>
          </w:tcPr>
          <w:p w14:paraId="7A9CE9A9"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7.</w:t>
            </w:r>
          </w:p>
        </w:tc>
        <w:tc>
          <w:tcPr>
            <w:tcW w:w="5580" w:type="dxa"/>
            <w:hideMark/>
          </w:tcPr>
          <w:p w14:paraId="70BD00C3"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G.N. Mehra, Department of Public Enterprises</w:t>
            </w:r>
          </w:p>
        </w:tc>
        <w:tc>
          <w:tcPr>
            <w:tcW w:w="2127" w:type="dxa"/>
            <w:vAlign w:val="center"/>
            <w:hideMark/>
          </w:tcPr>
          <w:p w14:paraId="1DD32929"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6.5.1988</w:t>
            </w:r>
          </w:p>
        </w:tc>
      </w:tr>
      <w:tr w:rsidR="008C52E5" w:rsidRPr="00AA6AF4" w14:paraId="3A374764" w14:textId="77777777" w:rsidTr="008C2F5A">
        <w:trPr>
          <w:trHeight w:val="315"/>
          <w:jc w:val="center"/>
        </w:trPr>
        <w:tc>
          <w:tcPr>
            <w:tcW w:w="0" w:type="auto"/>
            <w:hideMark/>
          </w:tcPr>
          <w:p w14:paraId="25B1A490"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8.</w:t>
            </w:r>
          </w:p>
        </w:tc>
        <w:tc>
          <w:tcPr>
            <w:tcW w:w="5580" w:type="dxa"/>
            <w:hideMark/>
          </w:tcPr>
          <w:p w14:paraId="2B02EFB9"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 xml:space="preserve">Shri H.K. Khan, </w:t>
            </w:r>
            <w:proofErr w:type="spellStart"/>
            <w:r w:rsidRPr="00AA6AF4">
              <w:rPr>
                <w:rFonts w:ascii="Times New Roman" w:hAnsi="Times New Roman" w:cs="Times New Roman"/>
                <w:sz w:val="18"/>
                <w:szCs w:val="18"/>
              </w:rPr>
              <w:t>Deptt</w:t>
            </w:r>
            <w:proofErr w:type="spellEnd"/>
            <w:r w:rsidRPr="00AA6AF4">
              <w:rPr>
                <w:rFonts w:ascii="Times New Roman" w:hAnsi="Times New Roman" w:cs="Times New Roman"/>
                <w:sz w:val="18"/>
                <w:szCs w:val="18"/>
              </w:rPr>
              <w:t>. of Chemicals and Petrochemicals</w:t>
            </w:r>
          </w:p>
        </w:tc>
        <w:tc>
          <w:tcPr>
            <w:tcW w:w="2127" w:type="dxa"/>
            <w:vAlign w:val="center"/>
            <w:hideMark/>
          </w:tcPr>
          <w:p w14:paraId="2AB343A8"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6.5.1988</w:t>
            </w:r>
          </w:p>
        </w:tc>
      </w:tr>
      <w:tr w:rsidR="008C52E5" w:rsidRPr="00AA6AF4" w14:paraId="3D3327EE" w14:textId="77777777" w:rsidTr="008C2F5A">
        <w:trPr>
          <w:trHeight w:val="1258"/>
          <w:jc w:val="center"/>
        </w:trPr>
        <w:tc>
          <w:tcPr>
            <w:tcW w:w="0" w:type="auto"/>
            <w:hideMark/>
          </w:tcPr>
          <w:p w14:paraId="75BAAC7A"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9.</w:t>
            </w:r>
          </w:p>
        </w:tc>
        <w:tc>
          <w:tcPr>
            <w:tcW w:w="5580" w:type="dxa"/>
            <w:hideMark/>
          </w:tcPr>
          <w:p w14:paraId="074E996C"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S.K. Bhatnagar, Ministry of Defence. Assisted by:</w:t>
            </w:r>
          </w:p>
          <w:p w14:paraId="019552C2" w14:textId="589490DA" w:rsidR="008C52E5" w:rsidRPr="00AA6AF4" w:rsidRDefault="008C52E5" w:rsidP="00287E78">
            <w:pPr>
              <w:pStyle w:val="NoSpacing"/>
              <w:numPr>
                <w:ilvl w:val="0"/>
                <w:numId w:val="54"/>
              </w:numPr>
              <w:rPr>
                <w:rFonts w:ascii="Times New Roman" w:hAnsi="Times New Roman" w:cs="Times New Roman"/>
                <w:sz w:val="18"/>
                <w:szCs w:val="18"/>
              </w:rPr>
            </w:pPr>
            <w:r w:rsidRPr="00AA6AF4">
              <w:rPr>
                <w:rFonts w:ascii="Times New Roman" w:hAnsi="Times New Roman" w:cs="Times New Roman"/>
                <w:sz w:val="18"/>
                <w:szCs w:val="18"/>
              </w:rPr>
              <w:t xml:space="preserve">Lt. General S.S. Rodrigues, </w:t>
            </w:r>
          </w:p>
          <w:p w14:paraId="6A6777C4" w14:textId="6D26B908" w:rsidR="008C52E5" w:rsidRPr="00AA6AF4" w:rsidRDefault="008C52E5" w:rsidP="00287E78">
            <w:pPr>
              <w:pStyle w:val="NoSpacing"/>
              <w:ind w:left="720"/>
              <w:rPr>
                <w:rFonts w:ascii="Times New Roman" w:hAnsi="Times New Roman" w:cs="Times New Roman"/>
                <w:sz w:val="18"/>
                <w:szCs w:val="18"/>
              </w:rPr>
            </w:pPr>
            <w:r w:rsidRPr="00AA6AF4">
              <w:rPr>
                <w:rFonts w:ascii="Times New Roman" w:hAnsi="Times New Roman" w:cs="Times New Roman"/>
                <w:sz w:val="18"/>
                <w:szCs w:val="18"/>
              </w:rPr>
              <w:t>Vice-Chief of the Army Staff</w:t>
            </w:r>
          </w:p>
          <w:p w14:paraId="51A99AAF" w14:textId="72A0161F" w:rsidR="008C52E5" w:rsidRPr="00AA6AF4" w:rsidRDefault="008C52E5" w:rsidP="00287E78">
            <w:pPr>
              <w:pStyle w:val="NoSpacing"/>
              <w:numPr>
                <w:ilvl w:val="0"/>
                <w:numId w:val="54"/>
              </w:numPr>
              <w:rPr>
                <w:rFonts w:ascii="Times New Roman" w:hAnsi="Times New Roman" w:cs="Times New Roman"/>
                <w:sz w:val="18"/>
                <w:szCs w:val="18"/>
              </w:rPr>
            </w:pPr>
            <w:r w:rsidRPr="00AA6AF4">
              <w:rPr>
                <w:rFonts w:ascii="Times New Roman" w:hAnsi="Times New Roman" w:cs="Times New Roman"/>
                <w:sz w:val="18"/>
                <w:szCs w:val="18"/>
              </w:rPr>
              <w:t>Vice-Admiral G.M. Hiranandani,</w:t>
            </w:r>
          </w:p>
          <w:p w14:paraId="1B44CD33" w14:textId="36BB7CA5" w:rsidR="008C52E5" w:rsidRPr="00AA6AF4" w:rsidRDefault="008C52E5" w:rsidP="00287E78">
            <w:pPr>
              <w:pStyle w:val="NoSpacing"/>
              <w:ind w:left="720"/>
              <w:rPr>
                <w:rFonts w:ascii="Times New Roman" w:hAnsi="Times New Roman" w:cs="Times New Roman"/>
                <w:sz w:val="18"/>
                <w:szCs w:val="18"/>
              </w:rPr>
            </w:pPr>
            <w:r w:rsidRPr="00AA6AF4">
              <w:rPr>
                <w:rFonts w:ascii="Times New Roman" w:hAnsi="Times New Roman" w:cs="Times New Roman"/>
                <w:sz w:val="18"/>
                <w:szCs w:val="18"/>
              </w:rPr>
              <w:t xml:space="preserve"> Vice-Chief of the Naval Staff</w:t>
            </w:r>
          </w:p>
          <w:p w14:paraId="1C8D208E"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(c) Air Marshal N.C. Suri, Vice-Chief of the Air Staff</w:t>
            </w:r>
          </w:p>
          <w:p w14:paraId="1577CCC5" w14:textId="076654CF" w:rsidR="008C52E5" w:rsidRPr="00AA6AF4" w:rsidRDefault="008C52E5" w:rsidP="00287E78">
            <w:pPr>
              <w:pStyle w:val="NoSpacing"/>
              <w:rPr>
                <w:rFonts w:ascii="Times New Roman" w:hAnsi="Times New Roman" w:cs="Times New Roman"/>
                <w:sz w:val="18"/>
                <w:szCs w:val="18"/>
              </w:rPr>
            </w:pPr>
            <w:r w:rsidRPr="00AA6AF4">
              <w:rPr>
                <w:rFonts w:ascii="Times New Roman" w:hAnsi="Times New Roman" w:cs="Times New Roman"/>
                <w:sz w:val="18"/>
                <w:szCs w:val="18"/>
              </w:rPr>
              <w:t>(There was a presentation by the Ministry of Defence at the South Block.)</w:t>
            </w:r>
          </w:p>
        </w:tc>
        <w:tc>
          <w:tcPr>
            <w:tcW w:w="2127" w:type="dxa"/>
            <w:vAlign w:val="center"/>
            <w:hideMark/>
          </w:tcPr>
          <w:p w14:paraId="2FF74C34"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8.5.1988</w:t>
            </w:r>
          </w:p>
        </w:tc>
      </w:tr>
      <w:tr w:rsidR="008C52E5" w:rsidRPr="00AA6AF4" w14:paraId="2126ACF9" w14:textId="77777777" w:rsidTr="008C2F5A">
        <w:trPr>
          <w:trHeight w:val="154"/>
          <w:jc w:val="center"/>
        </w:trPr>
        <w:tc>
          <w:tcPr>
            <w:tcW w:w="0" w:type="auto"/>
            <w:hideMark/>
          </w:tcPr>
          <w:p w14:paraId="6E8FA269"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10.</w:t>
            </w:r>
          </w:p>
        </w:tc>
        <w:tc>
          <w:tcPr>
            <w:tcW w:w="5580" w:type="dxa"/>
            <w:hideMark/>
          </w:tcPr>
          <w:p w14:paraId="175684E4"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S. Varadan, Department of Coal</w:t>
            </w:r>
          </w:p>
        </w:tc>
        <w:tc>
          <w:tcPr>
            <w:tcW w:w="2127" w:type="dxa"/>
            <w:vAlign w:val="center"/>
            <w:hideMark/>
          </w:tcPr>
          <w:p w14:paraId="6D34E449"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9.5.1988</w:t>
            </w:r>
          </w:p>
        </w:tc>
      </w:tr>
      <w:tr w:rsidR="008C52E5" w:rsidRPr="00AA6AF4" w14:paraId="672F492A" w14:textId="77777777" w:rsidTr="008C2F5A">
        <w:trPr>
          <w:trHeight w:val="154"/>
          <w:jc w:val="center"/>
        </w:trPr>
        <w:tc>
          <w:tcPr>
            <w:tcW w:w="0" w:type="auto"/>
            <w:hideMark/>
          </w:tcPr>
          <w:p w14:paraId="63C68806"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11.</w:t>
            </w:r>
          </w:p>
        </w:tc>
        <w:tc>
          <w:tcPr>
            <w:tcW w:w="5580" w:type="dxa"/>
            <w:hideMark/>
          </w:tcPr>
          <w:p w14:paraId="525D3787"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P.S. Raghavachari, Department of Posts</w:t>
            </w:r>
          </w:p>
        </w:tc>
        <w:tc>
          <w:tcPr>
            <w:tcW w:w="2127" w:type="dxa"/>
            <w:vAlign w:val="center"/>
            <w:hideMark/>
          </w:tcPr>
          <w:p w14:paraId="5D281EB7"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9.5.1988</w:t>
            </w:r>
          </w:p>
        </w:tc>
      </w:tr>
      <w:tr w:rsidR="008C52E5" w:rsidRPr="00AA6AF4" w14:paraId="33D060B5" w14:textId="77777777" w:rsidTr="008C2F5A">
        <w:trPr>
          <w:trHeight w:val="154"/>
          <w:jc w:val="center"/>
        </w:trPr>
        <w:tc>
          <w:tcPr>
            <w:tcW w:w="0" w:type="auto"/>
            <w:hideMark/>
          </w:tcPr>
          <w:p w14:paraId="1C16C5AC"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12.</w:t>
            </w:r>
          </w:p>
        </w:tc>
        <w:tc>
          <w:tcPr>
            <w:tcW w:w="5580" w:type="dxa"/>
            <w:hideMark/>
          </w:tcPr>
          <w:p w14:paraId="30AA232A"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C.G. Somaiah, Ministry of Home Affairs</w:t>
            </w:r>
          </w:p>
        </w:tc>
        <w:tc>
          <w:tcPr>
            <w:tcW w:w="2127" w:type="dxa"/>
            <w:vAlign w:val="center"/>
            <w:hideMark/>
          </w:tcPr>
          <w:p w14:paraId="0A13C745"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10.5.1988</w:t>
            </w:r>
          </w:p>
        </w:tc>
      </w:tr>
      <w:tr w:rsidR="008C52E5" w:rsidRPr="00AA6AF4" w14:paraId="1A526C29" w14:textId="77777777" w:rsidTr="008C2F5A">
        <w:trPr>
          <w:trHeight w:val="154"/>
          <w:jc w:val="center"/>
        </w:trPr>
        <w:tc>
          <w:tcPr>
            <w:tcW w:w="0" w:type="auto"/>
            <w:hideMark/>
          </w:tcPr>
          <w:p w14:paraId="5C1AD3E6"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13.</w:t>
            </w:r>
          </w:p>
        </w:tc>
        <w:tc>
          <w:tcPr>
            <w:tcW w:w="5580" w:type="dxa"/>
            <w:hideMark/>
          </w:tcPr>
          <w:p w14:paraId="0C3FF7B9"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R.K. Jain, Chairman, Railway Board</w:t>
            </w:r>
          </w:p>
        </w:tc>
        <w:tc>
          <w:tcPr>
            <w:tcW w:w="2127" w:type="dxa"/>
            <w:vAlign w:val="center"/>
            <w:hideMark/>
          </w:tcPr>
          <w:p w14:paraId="0D0F2D88"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17.5.1988</w:t>
            </w:r>
          </w:p>
        </w:tc>
      </w:tr>
      <w:tr w:rsidR="008C52E5" w:rsidRPr="00AA6AF4" w14:paraId="0CA298B9" w14:textId="77777777" w:rsidTr="008C2F5A">
        <w:trPr>
          <w:trHeight w:val="154"/>
          <w:jc w:val="center"/>
        </w:trPr>
        <w:tc>
          <w:tcPr>
            <w:tcW w:w="0" w:type="auto"/>
            <w:hideMark/>
          </w:tcPr>
          <w:p w14:paraId="670C2BBF"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14.</w:t>
            </w:r>
          </w:p>
        </w:tc>
        <w:tc>
          <w:tcPr>
            <w:tcW w:w="5580" w:type="dxa"/>
            <w:hideMark/>
          </w:tcPr>
          <w:p w14:paraId="58F729D5"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D. Bandyopadhyay, Department of Revenue</w:t>
            </w:r>
          </w:p>
        </w:tc>
        <w:tc>
          <w:tcPr>
            <w:tcW w:w="2127" w:type="dxa"/>
            <w:vAlign w:val="center"/>
            <w:hideMark/>
          </w:tcPr>
          <w:p w14:paraId="1D0CBC5A"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28.6.1988</w:t>
            </w:r>
          </w:p>
        </w:tc>
      </w:tr>
      <w:tr w:rsidR="008C52E5" w:rsidRPr="00AA6AF4" w14:paraId="69D1EA34" w14:textId="77777777" w:rsidTr="008C2F5A">
        <w:trPr>
          <w:trHeight w:val="154"/>
          <w:jc w:val="center"/>
        </w:trPr>
        <w:tc>
          <w:tcPr>
            <w:tcW w:w="0" w:type="auto"/>
            <w:hideMark/>
          </w:tcPr>
          <w:p w14:paraId="54C9A462"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15.</w:t>
            </w:r>
          </w:p>
        </w:tc>
        <w:tc>
          <w:tcPr>
            <w:tcW w:w="5580" w:type="dxa"/>
            <w:hideMark/>
          </w:tcPr>
          <w:p w14:paraId="56B41FC3"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R.R. Gupta, Department of Expenditure</w:t>
            </w:r>
          </w:p>
        </w:tc>
        <w:tc>
          <w:tcPr>
            <w:tcW w:w="2127" w:type="dxa"/>
            <w:vAlign w:val="center"/>
            <w:hideMark/>
          </w:tcPr>
          <w:p w14:paraId="573365B6"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28.6.1988</w:t>
            </w:r>
          </w:p>
        </w:tc>
      </w:tr>
      <w:tr w:rsidR="008C52E5" w:rsidRPr="00AA6AF4" w14:paraId="3A8DFD12" w14:textId="77777777" w:rsidTr="008C2F5A">
        <w:trPr>
          <w:trHeight w:val="315"/>
          <w:jc w:val="center"/>
        </w:trPr>
        <w:tc>
          <w:tcPr>
            <w:tcW w:w="0" w:type="auto"/>
            <w:hideMark/>
          </w:tcPr>
          <w:p w14:paraId="3512CD18"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16.</w:t>
            </w:r>
          </w:p>
        </w:tc>
        <w:tc>
          <w:tcPr>
            <w:tcW w:w="5580" w:type="dxa"/>
            <w:hideMark/>
          </w:tcPr>
          <w:p w14:paraId="2D52E364"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Dr. Bimal Jalan, Chief Economic Adviser and Secretary, Department of Economic Affairs</w:t>
            </w:r>
          </w:p>
        </w:tc>
        <w:tc>
          <w:tcPr>
            <w:tcW w:w="2127" w:type="dxa"/>
            <w:vAlign w:val="center"/>
            <w:hideMark/>
          </w:tcPr>
          <w:p w14:paraId="5FEA4CB7"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29.6.1988</w:t>
            </w:r>
          </w:p>
        </w:tc>
      </w:tr>
      <w:tr w:rsidR="008C52E5" w:rsidRPr="00AA6AF4" w14:paraId="65CB281D" w14:textId="77777777" w:rsidTr="008C2F5A">
        <w:trPr>
          <w:trHeight w:val="154"/>
          <w:jc w:val="center"/>
        </w:trPr>
        <w:tc>
          <w:tcPr>
            <w:tcW w:w="0" w:type="auto"/>
            <w:hideMark/>
          </w:tcPr>
          <w:p w14:paraId="7432674A"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17.</w:t>
            </w:r>
          </w:p>
        </w:tc>
        <w:tc>
          <w:tcPr>
            <w:tcW w:w="5580" w:type="dxa"/>
            <w:hideMark/>
          </w:tcPr>
          <w:p w14:paraId="4CB17439"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P.M. Abraham, Ministry of Surface Transport</w:t>
            </w:r>
          </w:p>
        </w:tc>
        <w:tc>
          <w:tcPr>
            <w:tcW w:w="2127" w:type="dxa"/>
            <w:vAlign w:val="center"/>
            <w:hideMark/>
          </w:tcPr>
          <w:p w14:paraId="4EC48FBD"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8.2.1989</w:t>
            </w:r>
          </w:p>
        </w:tc>
      </w:tr>
      <w:tr w:rsidR="008C52E5" w:rsidRPr="00AA6AF4" w14:paraId="1F1645A2" w14:textId="77777777" w:rsidTr="008C2F5A">
        <w:trPr>
          <w:trHeight w:val="315"/>
          <w:jc w:val="center"/>
        </w:trPr>
        <w:tc>
          <w:tcPr>
            <w:tcW w:w="0" w:type="auto"/>
            <w:hideMark/>
          </w:tcPr>
          <w:p w14:paraId="3DCED44D"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18.</w:t>
            </w:r>
          </w:p>
        </w:tc>
        <w:tc>
          <w:tcPr>
            <w:tcW w:w="5580" w:type="dxa"/>
            <w:hideMark/>
          </w:tcPr>
          <w:p w14:paraId="42B359CD"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Mahesh Prasad, Ministry of Environment and Forests</w:t>
            </w:r>
          </w:p>
        </w:tc>
        <w:tc>
          <w:tcPr>
            <w:tcW w:w="2127" w:type="dxa"/>
            <w:vAlign w:val="center"/>
            <w:hideMark/>
          </w:tcPr>
          <w:p w14:paraId="7588E06A"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19.7.1989</w:t>
            </w:r>
          </w:p>
        </w:tc>
      </w:tr>
      <w:tr w:rsidR="008C52E5" w:rsidRPr="00AA6AF4" w14:paraId="41316F15" w14:textId="77777777" w:rsidTr="008C2F5A">
        <w:trPr>
          <w:trHeight w:val="470"/>
          <w:jc w:val="center"/>
        </w:trPr>
        <w:tc>
          <w:tcPr>
            <w:tcW w:w="0" w:type="auto"/>
            <w:hideMark/>
          </w:tcPr>
          <w:p w14:paraId="347A2CE5"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19.</w:t>
            </w:r>
          </w:p>
        </w:tc>
        <w:tc>
          <w:tcPr>
            <w:tcW w:w="5580" w:type="dxa"/>
            <w:hideMark/>
          </w:tcPr>
          <w:p w14:paraId="4E192D40"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Shri G.K. Arora, Ministry of Finance</w:t>
            </w:r>
          </w:p>
        </w:tc>
        <w:tc>
          <w:tcPr>
            <w:tcW w:w="2127" w:type="dxa"/>
            <w:vAlign w:val="center"/>
            <w:hideMark/>
          </w:tcPr>
          <w:p w14:paraId="36E9C4D8"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19.7.1989, 14.10.1989 &amp; 8.11.1989</w:t>
            </w:r>
          </w:p>
        </w:tc>
      </w:tr>
      <w:tr w:rsidR="008C52E5" w:rsidRPr="00AA6AF4" w14:paraId="4AE0A4D9" w14:textId="77777777" w:rsidTr="008C2F5A">
        <w:trPr>
          <w:trHeight w:val="309"/>
          <w:jc w:val="center"/>
        </w:trPr>
        <w:tc>
          <w:tcPr>
            <w:tcW w:w="0" w:type="auto"/>
            <w:hideMark/>
          </w:tcPr>
          <w:p w14:paraId="207F3F97"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20.</w:t>
            </w:r>
          </w:p>
        </w:tc>
        <w:tc>
          <w:tcPr>
            <w:tcW w:w="5580" w:type="dxa"/>
            <w:hideMark/>
          </w:tcPr>
          <w:p w14:paraId="4CB737DB"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Dr. Nitin Desai, Chief Economic Adviser &amp; Secretary Department of Economic Affairs</w:t>
            </w:r>
          </w:p>
        </w:tc>
        <w:tc>
          <w:tcPr>
            <w:tcW w:w="2127" w:type="dxa"/>
            <w:vAlign w:val="center"/>
            <w:hideMark/>
          </w:tcPr>
          <w:p w14:paraId="2BE6A8A6"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14.10.1989 &amp; 8.11.1989</w:t>
            </w:r>
          </w:p>
        </w:tc>
      </w:tr>
      <w:tr w:rsidR="008C52E5" w:rsidRPr="00AA6AF4" w14:paraId="5F66C0A0" w14:textId="77777777" w:rsidTr="008C2F5A">
        <w:trPr>
          <w:trHeight w:val="315"/>
          <w:jc w:val="center"/>
        </w:trPr>
        <w:tc>
          <w:tcPr>
            <w:tcW w:w="0" w:type="auto"/>
            <w:hideMark/>
          </w:tcPr>
          <w:p w14:paraId="2720E9AE"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21.</w:t>
            </w:r>
          </w:p>
        </w:tc>
        <w:tc>
          <w:tcPr>
            <w:tcW w:w="5580" w:type="dxa"/>
            <w:hideMark/>
          </w:tcPr>
          <w:p w14:paraId="34B191AD"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Dr. N.K. Sengupta, Department of Revenue</w:t>
            </w:r>
          </w:p>
        </w:tc>
        <w:tc>
          <w:tcPr>
            <w:tcW w:w="2127" w:type="dxa"/>
            <w:vAlign w:val="center"/>
            <w:hideMark/>
          </w:tcPr>
          <w:p w14:paraId="1B2E6F0B"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14.10.1989 &amp; 8.11.1989</w:t>
            </w:r>
          </w:p>
        </w:tc>
      </w:tr>
      <w:tr w:rsidR="008C52E5" w:rsidRPr="00AA6AF4" w14:paraId="6D2E1AD1" w14:textId="77777777" w:rsidTr="008C2F5A">
        <w:trPr>
          <w:trHeight w:val="309"/>
          <w:jc w:val="center"/>
        </w:trPr>
        <w:tc>
          <w:tcPr>
            <w:tcW w:w="0" w:type="auto"/>
            <w:hideMark/>
          </w:tcPr>
          <w:p w14:paraId="03F8ACD8"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22.</w:t>
            </w:r>
          </w:p>
        </w:tc>
        <w:tc>
          <w:tcPr>
            <w:tcW w:w="5580" w:type="dxa"/>
            <w:hideMark/>
          </w:tcPr>
          <w:p w14:paraId="760B9177" w14:textId="77777777" w:rsidR="008C52E5" w:rsidRPr="00AA6AF4" w:rsidRDefault="008C52E5" w:rsidP="008C52E5">
            <w:pPr>
              <w:pStyle w:val="NoSpacing"/>
              <w:rPr>
                <w:rFonts w:ascii="Times New Roman" w:hAnsi="Times New Roman" w:cs="Times New Roman"/>
                <w:sz w:val="18"/>
                <w:szCs w:val="18"/>
              </w:rPr>
            </w:pPr>
            <w:r w:rsidRPr="00AA6AF4">
              <w:rPr>
                <w:rFonts w:ascii="Times New Roman" w:hAnsi="Times New Roman" w:cs="Times New Roman"/>
                <w:sz w:val="18"/>
                <w:szCs w:val="18"/>
              </w:rPr>
              <w:t xml:space="preserve">Shri K.P. </w:t>
            </w:r>
            <w:proofErr w:type="spellStart"/>
            <w:r w:rsidRPr="00AA6AF4">
              <w:rPr>
                <w:rFonts w:ascii="Times New Roman" w:hAnsi="Times New Roman" w:cs="Times New Roman"/>
                <w:sz w:val="18"/>
                <w:szCs w:val="18"/>
              </w:rPr>
              <w:t>Geethakrishnan</w:t>
            </w:r>
            <w:proofErr w:type="spellEnd"/>
            <w:r w:rsidRPr="00AA6AF4">
              <w:rPr>
                <w:rFonts w:ascii="Times New Roman" w:hAnsi="Times New Roman" w:cs="Times New Roman"/>
                <w:sz w:val="18"/>
                <w:szCs w:val="18"/>
              </w:rPr>
              <w:t>, Department of Expenditure</w:t>
            </w:r>
          </w:p>
        </w:tc>
        <w:tc>
          <w:tcPr>
            <w:tcW w:w="2127" w:type="dxa"/>
            <w:vAlign w:val="center"/>
            <w:hideMark/>
          </w:tcPr>
          <w:p w14:paraId="34D86882" w14:textId="77777777" w:rsidR="008C52E5" w:rsidRPr="00AA6AF4" w:rsidRDefault="008C52E5" w:rsidP="001A43EB">
            <w:pPr>
              <w:pStyle w:val="NoSpacing"/>
              <w:jc w:val="center"/>
              <w:rPr>
                <w:rFonts w:ascii="Times New Roman" w:hAnsi="Times New Roman" w:cs="Times New Roman"/>
                <w:sz w:val="18"/>
                <w:szCs w:val="18"/>
              </w:rPr>
            </w:pPr>
            <w:r w:rsidRPr="00AA6AF4">
              <w:rPr>
                <w:rFonts w:ascii="Times New Roman" w:hAnsi="Times New Roman" w:cs="Times New Roman"/>
                <w:sz w:val="18"/>
                <w:szCs w:val="18"/>
              </w:rPr>
              <w:t>14.10.1989 &amp; 8.11.1989</w:t>
            </w:r>
          </w:p>
        </w:tc>
      </w:tr>
    </w:tbl>
    <w:p w14:paraId="121164A4" w14:textId="04BBAB63" w:rsidR="000B062F" w:rsidRPr="00AA6AF4" w:rsidRDefault="000B062F" w:rsidP="001D7A94">
      <w:pPr>
        <w:pStyle w:val="NoSpacing"/>
        <w:rPr>
          <w:rFonts w:ascii="Times New Roman" w:hAnsi="Times New Roman" w:cs="Times New Roman"/>
        </w:rPr>
      </w:pPr>
    </w:p>
    <w:p w14:paraId="59AFF59D" w14:textId="52B8240A" w:rsidR="000B062F" w:rsidRDefault="00C25441" w:rsidP="00C25441">
      <w:pPr>
        <w:pStyle w:val="Heading2"/>
        <w:rPr>
          <w:sz w:val="20"/>
          <w:szCs w:val="20"/>
        </w:rPr>
      </w:pPr>
      <w:r>
        <w:tab/>
      </w:r>
      <w:bookmarkStart w:id="41" w:name="_Toc221292976"/>
      <w:bookmarkStart w:id="42" w:name="_Toc222399470"/>
      <w:r w:rsidRPr="008C2F5A">
        <w:rPr>
          <w:rStyle w:val="Heading2Char"/>
          <w:b/>
          <w:bCs/>
          <w:sz w:val="20"/>
          <w:szCs w:val="20"/>
        </w:rPr>
        <w:t>ANNEXURE I.8</w:t>
      </w:r>
      <w:r w:rsidRPr="008C2F5A">
        <w:rPr>
          <w:rStyle w:val="Heading2Char"/>
          <w:b/>
          <w:bCs/>
          <w:sz w:val="20"/>
          <w:szCs w:val="20"/>
        </w:rPr>
        <w:br/>
      </w:r>
      <w:r w:rsidR="000B062F" w:rsidRPr="008C2F5A">
        <w:rPr>
          <w:sz w:val="20"/>
          <w:szCs w:val="20"/>
        </w:rPr>
        <w:t xml:space="preserve">Names </w:t>
      </w:r>
      <w:proofErr w:type="gramStart"/>
      <w:r w:rsidR="000B062F" w:rsidRPr="008C2F5A">
        <w:rPr>
          <w:sz w:val="20"/>
          <w:szCs w:val="20"/>
        </w:rPr>
        <w:t>With</w:t>
      </w:r>
      <w:proofErr w:type="gramEnd"/>
      <w:r w:rsidR="000B062F" w:rsidRPr="008C2F5A">
        <w:rPr>
          <w:sz w:val="20"/>
          <w:szCs w:val="20"/>
        </w:rPr>
        <w:t xml:space="preserve"> Designation </w:t>
      </w:r>
      <w:proofErr w:type="gramStart"/>
      <w:r w:rsidR="000B062F" w:rsidRPr="008C2F5A">
        <w:rPr>
          <w:sz w:val="20"/>
          <w:szCs w:val="20"/>
        </w:rPr>
        <w:t>Of</w:t>
      </w:r>
      <w:proofErr w:type="gramEnd"/>
      <w:r w:rsidR="000B062F" w:rsidRPr="008C2F5A">
        <w:rPr>
          <w:sz w:val="20"/>
          <w:szCs w:val="20"/>
        </w:rPr>
        <w:t xml:space="preserve"> </w:t>
      </w:r>
      <w:proofErr w:type="gramStart"/>
      <w:r w:rsidR="000B062F" w:rsidRPr="008C2F5A">
        <w:rPr>
          <w:sz w:val="20"/>
          <w:szCs w:val="20"/>
        </w:rPr>
        <w:t>The</w:t>
      </w:r>
      <w:proofErr w:type="gramEnd"/>
      <w:r w:rsidR="000B062F" w:rsidRPr="008C2F5A">
        <w:rPr>
          <w:sz w:val="20"/>
          <w:szCs w:val="20"/>
        </w:rPr>
        <w:t xml:space="preserve"> Officers </w:t>
      </w:r>
      <w:proofErr w:type="gramStart"/>
      <w:r w:rsidR="000B062F" w:rsidRPr="008C2F5A">
        <w:rPr>
          <w:sz w:val="20"/>
          <w:szCs w:val="20"/>
        </w:rPr>
        <w:t>In</w:t>
      </w:r>
      <w:proofErr w:type="gramEnd"/>
      <w:r w:rsidR="000B062F" w:rsidRPr="008C2F5A">
        <w:rPr>
          <w:sz w:val="20"/>
          <w:szCs w:val="20"/>
        </w:rPr>
        <w:t xml:space="preserve"> </w:t>
      </w:r>
      <w:proofErr w:type="gramStart"/>
      <w:r w:rsidR="000B062F" w:rsidRPr="008C2F5A">
        <w:rPr>
          <w:sz w:val="20"/>
          <w:szCs w:val="20"/>
        </w:rPr>
        <w:t>The</w:t>
      </w:r>
      <w:proofErr w:type="gramEnd"/>
      <w:r w:rsidR="000B062F" w:rsidRPr="008C2F5A">
        <w:rPr>
          <w:sz w:val="20"/>
          <w:szCs w:val="20"/>
        </w:rPr>
        <w:t xml:space="preserve"> Commission's Secretariat.</w:t>
      </w:r>
      <w:bookmarkEnd w:id="41"/>
      <w:bookmarkEnd w:id="42"/>
    </w:p>
    <w:p w14:paraId="5037B6E8" w14:textId="1F352A04" w:rsidR="00DD5250" w:rsidRPr="00DD5250" w:rsidRDefault="00DD5250" w:rsidP="00DD5250">
      <w:pPr>
        <w:spacing w:after="0"/>
        <w:jc w:val="center"/>
      </w:pPr>
      <w:r w:rsidRPr="00DD5250">
        <w:rPr>
          <w:rFonts w:ascii="Times New Roman" w:hAnsi="Times New Roman" w:cs="Times New Roman"/>
          <w:sz w:val="18"/>
          <w:szCs w:val="16"/>
        </w:rPr>
        <w:t>(Para 1.</w:t>
      </w:r>
      <w:r>
        <w:rPr>
          <w:rFonts w:ascii="Times New Roman" w:hAnsi="Times New Roman" w:cs="Times New Roman"/>
          <w:sz w:val="18"/>
          <w:szCs w:val="16"/>
        </w:rPr>
        <w:t>10</w:t>
      </w:r>
      <w:r w:rsidRPr="00DD5250">
        <w:rPr>
          <w:rFonts w:ascii="Times New Roman" w:hAnsi="Times New Roman" w:cs="Times New Roman"/>
          <w:sz w:val="18"/>
          <w:szCs w:val="16"/>
        </w:rPr>
        <w:t>)</w:t>
      </w:r>
    </w:p>
    <w:tbl>
      <w:tblPr>
        <w:tblStyle w:val="TableGrid"/>
        <w:tblW w:w="9390" w:type="dxa"/>
        <w:jc w:val="center"/>
        <w:tblLook w:val="04A0" w:firstRow="1" w:lastRow="0" w:firstColumn="1" w:lastColumn="0" w:noHBand="0" w:noVBand="1"/>
      </w:tblPr>
      <w:tblGrid>
        <w:gridCol w:w="761"/>
        <w:gridCol w:w="3836"/>
        <w:gridCol w:w="503"/>
        <w:gridCol w:w="4290"/>
      </w:tblGrid>
      <w:tr w:rsidR="000B062F" w:rsidRPr="00D43558" w14:paraId="2586D1FB" w14:textId="77777777" w:rsidTr="008C2F5A">
        <w:trPr>
          <w:trHeight w:val="20"/>
          <w:jc w:val="center"/>
        </w:trPr>
        <w:tc>
          <w:tcPr>
            <w:tcW w:w="0" w:type="auto"/>
            <w:hideMark/>
          </w:tcPr>
          <w:p w14:paraId="4E6E774E"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S/Shri</w:t>
            </w:r>
          </w:p>
        </w:tc>
        <w:tc>
          <w:tcPr>
            <w:tcW w:w="0" w:type="auto"/>
            <w:hideMark/>
          </w:tcPr>
          <w:p w14:paraId="7EE3BB0E" w14:textId="77777777" w:rsidR="000B062F" w:rsidRPr="00D43558" w:rsidRDefault="000B062F" w:rsidP="000B062F">
            <w:pPr>
              <w:pStyle w:val="NoSpacing"/>
              <w:rPr>
                <w:rFonts w:ascii="Times New Roman" w:hAnsi="Times New Roman" w:cs="Times New Roman"/>
                <w:sz w:val="18"/>
                <w:szCs w:val="16"/>
              </w:rPr>
            </w:pPr>
          </w:p>
        </w:tc>
        <w:tc>
          <w:tcPr>
            <w:tcW w:w="0" w:type="auto"/>
            <w:hideMark/>
          </w:tcPr>
          <w:p w14:paraId="018C127C" w14:textId="77777777" w:rsidR="000B062F" w:rsidRPr="00D43558" w:rsidRDefault="000B062F" w:rsidP="000B062F">
            <w:pPr>
              <w:pStyle w:val="NoSpacing"/>
              <w:rPr>
                <w:rFonts w:ascii="Times New Roman" w:hAnsi="Times New Roman" w:cs="Times New Roman"/>
                <w:sz w:val="18"/>
                <w:szCs w:val="16"/>
              </w:rPr>
            </w:pPr>
          </w:p>
        </w:tc>
        <w:tc>
          <w:tcPr>
            <w:tcW w:w="0" w:type="auto"/>
            <w:hideMark/>
          </w:tcPr>
          <w:p w14:paraId="75ADBF0A" w14:textId="77777777" w:rsidR="000B062F" w:rsidRPr="00D43558" w:rsidRDefault="000B062F" w:rsidP="000B062F">
            <w:pPr>
              <w:pStyle w:val="NoSpacing"/>
              <w:rPr>
                <w:rFonts w:ascii="Times New Roman" w:hAnsi="Times New Roman" w:cs="Times New Roman"/>
                <w:sz w:val="18"/>
                <w:szCs w:val="16"/>
              </w:rPr>
            </w:pPr>
          </w:p>
        </w:tc>
      </w:tr>
      <w:tr w:rsidR="000B062F" w:rsidRPr="00D43558" w14:paraId="0825DE00" w14:textId="77777777" w:rsidTr="008C2F5A">
        <w:trPr>
          <w:trHeight w:val="20"/>
          <w:jc w:val="center"/>
        </w:trPr>
        <w:tc>
          <w:tcPr>
            <w:tcW w:w="0" w:type="auto"/>
            <w:hideMark/>
          </w:tcPr>
          <w:p w14:paraId="4032460D"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w:t>
            </w:r>
          </w:p>
        </w:tc>
        <w:tc>
          <w:tcPr>
            <w:tcW w:w="0" w:type="auto"/>
            <w:hideMark/>
          </w:tcPr>
          <w:p w14:paraId="63B63F94"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Kamalakar Mishra, Joint Secretary</w:t>
            </w:r>
          </w:p>
        </w:tc>
        <w:tc>
          <w:tcPr>
            <w:tcW w:w="0" w:type="auto"/>
            <w:hideMark/>
          </w:tcPr>
          <w:p w14:paraId="61B20F51"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15.</w:t>
            </w:r>
          </w:p>
        </w:tc>
        <w:tc>
          <w:tcPr>
            <w:tcW w:w="0" w:type="auto"/>
            <w:hideMark/>
          </w:tcPr>
          <w:p w14:paraId="07028E9D"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A.N. Bhattacharjee, Deputy Director</w:t>
            </w:r>
          </w:p>
        </w:tc>
      </w:tr>
      <w:tr w:rsidR="000B062F" w:rsidRPr="00D43558" w14:paraId="116F3D72" w14:textId="77777777" w:rsidTr="008C2F5A">
        <w:trPr>
          <w:trHeight w:val="20"/>
          <w:jc w:val="center"/>
        </w:trPr>
        <w:tc>
          <w:tcPr>
            <w:tcW w:w="0" w:type="auto"/>
            <w:hideMark/>
          </w:tcPr>
          <w:p w14:paraId="2FC26BFC"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w:t>
            </w:r>
          </w:p>
        </w:tc>
        <w:tc>
          <w:tcPr>
            <w:tcW w:w="0" w:type="auto"/>
            <w:hideMark/>
          </w:tcPr>
          <w:p w14:paraId="50B56F0C"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R.K. Chakrabarti, Joint Secretary</w:t>
            </w:r>
          </w:p>
        </w:tc>
        <w:tc>
          <w:tcPr>
            <w:tcW w:w="0" w:type="auto"/>
            <w:hideMark/>
          </w:tcPr>
          <w:p w14:paraId="5B720AA8"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16.</w:t>
            </w:r>
          </w:p>
        </w:tc>
        <w:tc>
          <w:tcPr>
            <w:tcW w:w="0" w:type="auto"/>
            <w:hideMark/>
          </w:tcPr>
          <w:p w14:paraId="410FAD11"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A.K. Lal, Deputy Director</w:t>
            </w:r>
          </w:p>
        </w:tc>
      </w:tr>
      <w:tr w:rsidR="000B062F" w:rsidRPr="00D43558" w14:paraId="1BF4BED3" w14:textId="77777777" w:rsidTr="008C2F5A">
        <w:trPr>
          <w:trHeight w:val="20"/>
          <w:jc w:val="center"/>
        </w:trPr>
        <w:tc>
          <w:tcPr>
            <w:tcW w:w="0" w:type="auto"/>
            <w:hideMark/>
          </w:tcPr>
          <w:p w14:paraId="7394F0D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3.</w:t>
            </w:r>
          </w:p>
        </w:tc>
        <w:tc>
          <w:tcPr>
            <w:tcW w:w="0" w:type="auto"/>
            <w:hideMark/>
          </w:tcPr>
          <w:p w14:paraId="33E84B50"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Dr. M. Govinda Rao, Economic Adviser</w:t>
            </w:r>
          </w:p>
        </w:tc>
        <w:tc>
          <w:tcPr>
            <w:tcW w:w="0" w:type="auto"/>
            <w:hideMark/>
          </w:tcPr>
          <w:p w14:paraId="719E026B"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17.</w:t>
            </w:r>
          </w:p>
        </w:tc>
        <w:tc>
          <w:tcPr>
            <w:tcW w:w="0" w:type="auto"/>
            <w:hideMark/>
          </w:tcPr>
          <w:p w14:paraId="55CFB23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R.N. Dubey, Deputy Director</w:t>
            </w:r>
          </w:p>
        </w:tc>
      </w:tr>
      <w:tr w:rsidR="000B062F" w:rsidRPr="00D43558" w14:paraId="3C0B2829" w14:textId="77777777" w:rsidTr="008C2F5A">
        <w:trPr>
          <w:trHeight w:val="20"/>
          <w:jc w:val="center"/>
        </w:trPr>
        <w:tc>
          <w:tcPr>
            <w:tcW w:w="0" w:type="auto"/>
            <w:hideMark/>
          </w:tcPr>
          <w:p w14:paraId="17496C23"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4.</w:t>
            </w:r>
          </w:p>
        </w:tc>
        <w:tc>
          <w:tcPr>
            <w:tcW w:w="0" w:type="auto"/>
            <w:hideMark/>
          </w:tcPr>
          <w:p w14:paraId="76C63921"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Km. Bharti Prasad, Officer on Special Duty</w:t>
            </w:r>
          </w:p>
        </w:tc>
        <w:tc>
          <w:tcPr>
            <w:tcW w:w="0" w:type="auto"/>
            <w:hideMark/>
          </w:tcPr>
          <w:p w14:paraId="2D8A8C98"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18.</w:t>
            </w:r>
          </w:p>
        </w:tc>
        <w:tc>
          <w:tcPr>
            <w:tcW w:w="0" w:type="auto"/>
            <w:hideMark/>
          </w:tcPr>
          <w:p w14:paraId="37406262"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S.R. Dongre, Deputy Director</w:t>
            </w:r>
          </w:p>
        </w:tc>
      </w:tr>
      <w:tr w:rsidR="000B062F" w:rsidRPr="00D43558" w14:paraId="3AAE1798" w14:textId="77777777" w:rsidTr="008C2F5A">
        <w:trPr>
          <w:trHeight w:val="20"/>
          <w:jc w:val="center"/>
        </w:trPr>
        <w:tc>
          <w:tcPr>
            <w:tcW w:w="0" w:type="auto"/>
            <w:hideMark/>
          </w:tcPr>
          <w:p w14:paraId="13108F94"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5.</w:t>
            </w:r>
          </w:p>
        </w:tc>
        <w:tc>
          <w:tcPr>
            <w:tcW w:w="0" w:type="auto"/>
            <w:hideMark/>
          </w:tcPr>
          <w:p w14:paraId="7D60DCB4"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V. Srinivasan, Director</w:t>
            </w:r>
          </w:p>
        </w:tc>
        <w:tc>
          <w:tcPr>
            <w:tcW w:w="0" w:type="auto"/>
            <w:hideMark/>
          </w:tcPr>
          <w:p w14:paraId="07FFF196"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19.</w:t>
            </w:r>
          </w:p>
        </w:tc>
        <w:tc>
          <w:tcPr>
            <w:tcW w:w="0" w:type="auto"/>
            <w:hideMark/>
          </w:tcPr>
          <w:p w14:paraId="00E3B54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P.S. Gill, Deputy Director</w:t>
            </w:r>
          </w:p>
        </w:tc>
      </w:tr>
      <w:tr w:rsidR="000B062F" w:rsidRPr="00D43558" w14:paraId="7B44ADBF" w14:textId="77777777" w:rsidTr="008C2F5A">
        <w:trPr>
          <w:trHeight w:val="20"/>
          <w:jc w:val="center"/>
        </w:trPr>
        <w:tc>
          <w:tcPr>
            <w:tcW w:w="0" w:type="auto"/>
            <w:hideMark/>
          </w:tcPr>
          <w:p w14:paraId="43CC01E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6.</w:t>
            </w:r>
          </w:p>
        </w:tc>
        <w:tc>
          <w:tcPr>
            <w:tcW w:w="0" w:type="auto"/>
            <w:hideMark/>
          </w:tcPr>
          <w:p w14:paraId="0471DE80"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R.D. Gupta, Consultant</w:t>
            </w:r>
          </w:p>
        </w:tc>
        <w:tc>
          <w:tcPr>
            <w:tcW w:w="0" w:type="auto"/>
            <w:hideMark/>
          </w:tcPr>
          <w:p w14:paraId="1F71975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20.</w:t>
            </w:r>
          </w:p>
        </w:tc>
        <w:tc>
          <w:tcPr>
            <w:tcW w:w="0" w:type="auto"/>
            <w:hideMark/>
          </w:tcPr>
          <w:p w14:paraId="63C798FA"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Diwan Chand, Deputy Director</w:t>
            </w:r>
          </w:p>
        </w:tc>
      </w:tr>
      <w:tr w:rsidR="000B062F" w:rsidRPr="00D43558" w14:paraId="1D10445B" w14:textId="77777777" w:rsidTr="008C2F5A">
        <w:trPr>
          <w:trHeight w:val="20"/>
          <w:jc w:val="center"/>
        </w:trPr>
        <w:tc>
          <w:tcPr>
            <w:tcW w:w="0" w:type="auto"/>
            <w:hideMark/>
          </w:tcPr>
          <w:p w14:paraId="14CA6D0E"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7.</w:t>
            </w:r>
          </w:p>
        </w:tc>
        <w:tc>
          <w:tcPr>
            <w:tcW w:w="0" w:type="auto"/>
            <w:hideMark/>
          </w:tcPr>
          <w:p w14:paraId="34C65E85"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P.R. Nair, Joint Director</w:t>
            </w:r>
          </w:p>
        </w:tc>
        <w:tc>
          <w:tcPr>
            <w:tcW w:w="0" w:type="auto"/>
            <w:hideMark/>
          </w:tcPr>
          <w:p w14:paraId="3924E324"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21.</w:t>
            </w:r>
          </w:p>
        </w:tc>
        <w:tc>
          <w:tcPr>
            <w:tcW w:w="0" w:type="auto"/>
            <w:hideMark/>
          </w:tcPr>
          <w:p w14:paraId="572AB93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Sanjeev Kumar, </w:t>
            </w:r>
            <w:proofErr w:type="spellStart"/>
            <w:r w:rsidRPr="00D43558">
              <w:rPr>
                <w:rFonts w:ascii="Times New Roman" w:hAnsi="Times New Roman" w:cs="Times New Roman"/>
                <w:sz w:val="18"/>
                <w:szCs w:val="16"/>
              </w:rPr>
              <w:t>Asstt</w:t>
            </w:r>
            <w:proofErr w:type="spellEnd"/>
            <w:r w:rsidRPr="00D43558">
              <w:rPr>
                <w:rFonts w:ascii="Times New Roman" w:hAnsi="Times New Roman" w:cs="Times New Roman"/>
                <w:sz w:val="18"/>
                <w:szCs w:val="16"/>
              </w:rPr>
              <w:t>. Director</w:t>
            </w:r>
          </w:p>
        </w:tc>
      </w:tr>
      <w:tr w:rsidR="000B062F" w:rsidRPr="00D43558" w14:paraId="5178A2DC" w14:textId="77777777" w:rsidTr="008C2F5A">
        <w:trPr>
          <w:trHeight w:val="20"/>
          <w:jc w:val="center"/>
        </w:trPr>
        <w:tc>
          <w:tcPr>
            <w:tcW w:w="0" w:type="auto"/>
            <w:hideMark/>
          </w:tcPr>
          <w:p w14:paraId="141B1494"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8.</w:t>
            </w:r>
          </w:p>
        </w:tc>
        <w:tc>
          <w:tcPr>
            <w:tcW w:w="0" w:type="auto"/>
            <w:hideMark/>
          </w:tcPr>
          <w:p w14:paraId="6DF12A1C"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P.L. Rao, Joint Director</w:t>
            </w:r>
          </w:p>
        </w:tc>
        <w:tc>
          <w:tcPr>
            <w:tcW w:w="0" w:type="auto"/>
            <w:hideMark/>
          </w:tcPr>
          <w:p w14:paraId="57E964CA"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22.</w:t>
            </w:r>
          </w:p>
        </w:tc>
        <w:tc>
          <w:tcPr>
            <w:tcW w:w="0" w:type="auto"/>
            <w:hideMark/>
          </w:tcPr>
          <w:p w14:paraId="2FCC7386"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Km. Vandana Aggarwal, </w:t>
            </w:r>
            <w:proofErr w:type="spellStart"/>
            <w:r w:rsidRPr="00D43558">
              <w:rPr>
                <w:rFonts w:ascii="Times New Roman" w:hAnsi="Times New Roman" w:cs="Times New Roman"/>
                <w:sz w:val="18"/>
                <w:szCs w:val="16"/>
              </w:rPr>
              <w:t>Asstt</w:t>
            </w:r>
            <w:proofErr w:type="spellEnd"/>
            <w:r w:rsidRPr="00D43558">
              <w:rPr>
                <w:rFonts w:ascii="Times New Roman" w:hAnsi="Times New Roman" w:cs="Times New Roman"/>
                <w:sz w:val="18"/>
                <w:szCs w:val="16"/>
              </w:rPr>
              <w:t>. Director</w:t>
            </w:r>
          </w:p>
        </w:tc>
      </w:tr>
      <w:tr w:rsidR="000B062F" w:rsidRPr="00D43558" w14:paraId="2958996E" w14:textId="77777777" w:rsidTr="008C2F5A">
        <w:trPr>
          <w:trHeight w:val="20"/>
          <w:jc w:val="center"/>
        </w:trPr>
        <w:tc>
          <w:tcPr>
            <w:tcW w:w="0" w:type="auto"/>
            <w:hideMark/>
          </w:tcPr>
          <w:p w14:paraId="1C0CC131"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9.</w:t>
            </w:r>
          </w:p>
        </w:tc>
        <w:tc>
          <w:tcPr>
            <w:tcW w:w="0" w:type="auto"/>
            <w:hideMark/>
          </w:tcPr>
          <w:p w14:paraId="305C448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H.N. Gupta, Joint Director</w:t>
            </w:r>
          </w:p>
        </w:tc>
        <w:tc>
          <w:tcPr>
            <w:tcW w:w="0" w:type="auto"/>
            <w:hideMark/>
          </w:tcPr>
          <w:p w14:paraId="5EBDACB5"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23.</w:t>
            </w:r>
          </w:p>
        </w:tc>
        <w:tc>
          <w:tcPr>
            <w:tcW w:w="0" w:type="auto"/>
            <w:hideMark/>
          </w:tcPr>
          <w:p w14:paraId="2D97886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G.P. Sahni, </w:t>
            </w:r>
            <w:proofErr w:type="spellStart"/>
            <w:r w:rsidRPr="00D43558">
              <w:rPr>
                <w:rFonts w:ascii="Times New Roman" w:hAnsi="Times New Roman" w:cs="Times New Roman"/>
                <w:sz w:val="18"/>
                <w:szCs w:val="16"/>
              </w:rPr>
              <w:t>Asstt</w:t>
            </w:r>
            <w:proofErr w:type="spellEnd"/>
            <w:r w:rsidRPr="00D43558">
              <w:rPr>
                <w:rFonts w:ascii="Times New Roman" w:hAnsi="Times New Roman" w:cs="Times New Roman"/>
                <w:sz w:val="18"/>
                <w:szCs w:val="16"/>
              </w:rPr>
              <w:t>. Director</w:t>
            </w:r>
          </w:p>
        </w:tc>
      </w:tr>
      <w:tr w:rsidR="000B062F" w:rsidRPr="00D43558" w14:paraId="14796ADC" w14:textId="77777777" w:rsidTr="008C2F5A">
        <w:trPr>
          <w:trHeight w:val="20"/>
          <w:jc w:val="center"/>
        </w:trPr>
        <w:tc>
          <w:tcPr>
            <w:tcW w:w="0" w:type="auto"/>
            <w:hideMark/>
          </w:tcPr>
          <w:p w14:paraId="4702EBC6"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10.</w:t>
            </w:r>
          </w:p>
        </w:tc>
        <w:tc>
          <w:tcPr>
            <w:tcW w:w="0" w:type="auto"/>
            <w:hideMark/>
          </w:tcPr>
          <w:p w14:paraId="561BEA76"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D. Amarnath, Joint Director</w:t>
            </w:r>
          </w:p>
        </w:tc>
        <w:tc>
          <w:tcPr>
            <w:tcW w:w="0" w:type="auto"/>
            <w:hideMark/>
          </w:tcPr>
          <w:p w14:paraId="07FEA16A"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24.</w:t>
            </w:r>
          </w:p>
        </w:tc>
        <w:tc>
          <w:tcPr>
            <w:tcW w:w="0" w:type="auto"/>
            <w:hideMark/>
          </w:tcPr>
          <w:p w14:paraId="4E830C3D"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B.K. Aggarwal, </w:t>
            </w:r>
            <w:proofErr w:type="spellStart"/>
            <w:r w:rsidRPr="00D43558">
              <w:rPr>
                <w:rFonts w:ascii="Times New Roman" w:hAnsi="Times New Roman" w:cs="Times New Roman"/>
                <w:sz w:val="18"/>
                <w:szCs w:val="16"/>
              </w:rPr>
              <w:t>Asstt</w:t>
            </w:r>
            <w:proofErr w:type="spellEnd"/>
            <w:r w:rsidRPr="00D43558">
              <w:rPr>
                <w:rFonts w:ascii="Times New Roman" w:hAnsi="Times New Roman" w:cs="Times New Roman"/>
                <w:sz w:val="18"/>
                <w:szCs w:val="16"/>
              </w:rPr>
              <w:t>. Director</w:t>
            </w:r>
          </w:p>
        </w:tc>
      </w:tr>
      <w:tr w:rsidR="000B062F" w:rsidRPr="00D43558" w14:paraId="3DAD14F4" w14:textId="77777777" w:rsidTr="008C2F5A">
        <w:trPr>
          <w:trHeight w:val="20"/>
          <w:jc w:val="center"/>
        </w:trPr>
        <w:tc>
          <w:tcPr>
            <w:tcW w:w="0" w:type="auto"/>
            <w:hideMark/>
          </w:tcPr>
          <w:p w14:paraId="11054694"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11.</w:t>
            </w:r>
          </w:p>
        </w:tc>
        <w:tc>
          <w:tcPr>
            <w:tcW w:w="0" w:type="auto"/>
            <w:hideMark/>
          </w:tcPr>
          <w:p w14:paraId="12714847"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Km. Ritu Anand, Consultant</w:t>
            </w:r>
          </w:p>
        </w:tc>
        <w:tc>
          <w:tcPr>
            <w:tcW w:w="0" w:type="auto"/>
            <w:hideMark/>
          </w:tcPr>
          <w:p w14:paraId="1EEE7B3A"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25.</w:t>
            </w:r>
          </w:p>
        </w:tc>
        <w:tc>
          <w:tcPr>
            <w:tcW w:w="0" w:type="auto"/>
            <w:hideMark/>
          </w:tcPr>
          <w:p w14:paraId="3DFA12B9"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R.N. Tewari, </w:t>
            </w:r>
            <w:proofErr w:type="spellStart"/>
            <w:r w:rsidRPr="00D43558">
              <w:rPr>
                <w:rFonts w:ascii="Times New Roman" w:hAnsi="Times New Roman" w:cs="Times New Roman"/>
                <w:sz w:val="18"/>
                <w:szCs w:val="16"/>
              </w:rPr>
              <w:t>Asstt</w:t>
            </w:r>
            <w:proofErr w:type="spellEnd"/>
            <w:r w:rsidRPr="00D43558">
              <w:rPr>
                <w:rFonts w:ascii="Times New Roman" w:hAnsi="Times New Roman" w:cs="Times New Roman"/>
                <w:sz w:val="18"/>
                <w:szCs w:val="16"/>
              </w:rPr>
              <w:t>. Director</w:t>
            </w:r>
          </w:p>
        </w:tc>
      </w:tr>
      <w:tr w:rsidR="000B062F" w:rsidRPr="00D43558" w14:paraId="56F86F38" w14:textId="77777777" w:rsidTr="008C2F5A">
        <w:trPr>
          <w:trHeight w:val="20"/>
          <w:jc w:val="center"/>
        </w:trPr>
        <w:tc>
          <w:tcPr>
            <w:tcW w:w="0" w:type="auto"/>
            <w:hideMark/>
          </w:tcPr>
          <w:p w14:paraId="3409B500"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12.</w:t>
            </w:r>
          </w:p>
        </w:tc>
        <w:tc>
          <w:tcPr>
            <w:tcW w:w="0" w:type="auto"/>
            <w:hideMark/>
          </w:tcPr>
          <w:p w14:paraId="73718B1A"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Manohar Lal, Consultant</w:t>
            </w:r>
          </w:p>
        </w:tc>
        <w:tc>
          <w:tcPr>
            <w:tcW w:w="0" w:type="auto"/>
            <w:hideMark/>
          </w:tcPr>
          <w:p w14:paraId="65F256EF"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26.</w:t>
            </w:r>
          </w:p>
        </w:tc>
        <w:tc>
          <w:tcPr>
            <w:tcW w:w="0" w:type="auto"/>
            <w:hideMark/>
          </w:tcPr>
          <w:p w14:paraId="1CFDFDA5" w14:textId="77777777" w:rsidR="000B062F" w:rsidRPr="00D43558" w:rsidRDefault="000B062F"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Kailash Chandra, </w:t>
            </w:r>
            <w:proofErr w:type="spellStart"/>
            <w:r w:rsidRPr="00D43558">
              <w:rPr>
                <w:rFonts w:ascii="Times New Roman" w:hAnsi="Times New Roman" w:cs="Times New Roman"/>
                <w:sz w:val="18"/>
                <w:szCs w:val="16"/>
              </w:rPr>
              <w:t>Asstt</w:t>
            </w:r>
            <w:proofErr w:type="spellEnd"/>
            <w:r w:rsidRPr="00D43558">
              <w:rPr>
                <w:rFonts w:ascii="Times New Roman" w:hAnsi="Times New Roman" w:cs="Times New Roman"/>
                <w:sz w:val="18"/>
                <w:szCs w:val="16"/>
              </w:rPr>
              <w:t>. Director</w:t>
            </w:r>
          </w:p>
        </w:tc>
      </w:tr>
      <w:tr w:rsidR="009533DA" w:rsidRPr="00D43558" w14:paraId="44AD0C18" w14:textId="77777777" w:rsidTr="008C2F5A">
        <w:trPr>
          <w:trHeight w:val="20"/>
          <w:jc w:val="center"/>
        </w:trPr>
        <w:tc>
          <w:tcPr>
            <w:tcW w:w="0" w:type="auto"/>
            <w:hideMark/>
          </w:tcPr>
          <w:p w14:paraId="13CF8DBD" w14:textId="77777777"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13.</w:t>
            </w:r>
          </w:p>
        </w:tc>
        <w:tc>
          <w:tcPr>
            <w:tcW w:w="0" w:type="auto"/>
            <w:hideMark/>
          </w:tcPr>
          <w:p w14:paraId="1C7D4FB3" w14:textId="77777777"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 xml:space="preserve">T.S. </w:t>
            </w:r>
            <w:proofErr w:type="spellStart"/>
            <w:r w:rsidRPr="00D43558">
              <w:rPr>
                <w:rFonts w:ascii="Times New Roman" w:hAnsi="Times New Roman" w:cs="Times New Roman"/>
                <w:sz w:val="18"/>
                <w:szCs w:val="16"/>
              </w:rPr>
              <w:t>Rangamannar</w:t>
            </w:r>
            <w:proofErr w:type="spellEnd"/>
            <w:r w:rsidRPr="00D43558">
              <w:rPr>
                <w:rFonts w:ascii="Times New Roman" w:hAnsi="Times New Roman" w:cs="Times New Roman"/>
                <w:sz w:val="18"/>
                <w:szCs w:val="16"/>
              </w:rPr>
              <w:t>, Consultant</w:t>
            </w:r>
          </w:p>
        </w:tc>
        <w:tc>
          <w:tcPr>
            <w:tcW w:w="0" w:type="auto"/>
            <w:vMerge w:val="restart"/>
            <w:hideMark/>
          </w:tcPr>
          <w:p w14:paraId="0E6736CF" w14:textId="77777777"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27.</w:t>
            </w:r>
          </w:p>
        </w:tc>
        <w:tc>
          <w:tcPr>
            <w:tcW w:w="0" w:type="auto"/>
            <w:vMerge w:val="restart"/>
            <w:hideMark/>
          </w:tcPr>
          <w:p w14:paraId="4CCB750A" w14:textId="77777777"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Karan Vir Ahluwalia, Systems Analyst</w:t>
            </w:r>
          </w:p>
          <w:p w14:paraId="28AE6031" w14:textId="3455E21E"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(Seconded from the National Informatics Centre)</w:t>
            </w:r>
          </w:p>
        </w:tc>
      </w:tr>
      <w:tr w:rsidR="009533DA" w:rsidRPr="00D43558" w14:paraId="3E7262C2" w14:textId="77777777" w:rsidTr="008C2F5A">
        <w:trPr>
          <w:trHeight w:val="20"/>
          <w:jc w:val="center"/>
        </w:trPr>
        <w:tc>
          <w:tcPr>
            <w:tcW w:w="0" w:type="auto"/>
            <w:hideMark/>
          </w:tcPr>
          <w:p w14:paraId="3DB5DBD2" w14:textId="77777777"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14.</w:t>
            </w:r>
          </w:p>
        </w:tc>
        <w:tc>
          <w:tcPr>
            <w:tcW w:w="0" w:type="auto"/>
            <w:hideMark/>
          </w:tcPr>
          <w:p w14:paraId="04BEDEBC" w14:textId="77777777" w:rsidR="009533DA" w:rsidRPr="00D43558" w:rsidRDefault="009533DA" w:rsidP="000B062F">
            <w:pPr>
              <w:pStyle w:val="NoSpacing"/>
              <w:rPr>
                <w:rFonts w:ascii="Times New Roman" w:hAnsi="Times New Roman" w:cs="Times New Roman"/>
                <w:sz w:val="18"/>
                <w:szCs w:val="16"/>
              </w:rPr>
            </w:pPr>
            <w:r w:rsidRPr="00D43558">
              <w:rPr>
                <w:rFonts w:ascii="Times New Roman" w:hAnsi="Times New Roman" w:cs="Times New Roman"/>
                <w:sz w:val="18"/>
                <w:szCs w:val="16"/>
              </w:rPr>
              <w:t>B.N. Singh, Consultant</w:t>
            </w:r>
          </w:p>
        </w:tc>
        <w:tc>
          <w:tcPr>
            <w:tcW w:w="0" w:type="auto"/>
            <w:vMerge/>
            <w:hideMark/>
          </w:tcPr>
          <w:p w14:paraId="297384CD" w14:textId="77777777" w:rsidR="009533DA" w:rsidRPr="00D43558" w:rsidRDefault="009533DA" w:rsidP="000B062F">
            <w:pPr>
              <w:pStyle w:val="NoSpacing"/>
              <w:rPr>
                <w:rFonts w:ascii="Times New Roman" w:hAnsi="Times New Roman" w:cs="Times New Roman"/>
                <w:sz w:val="18"/>
                <w:szCs w:val="16"/>
              </w:rPr>
            </w:pPr>
          </w:p>
        </w:tc>
        <w:tc>
          <w:tcPr>
            <w:tcW w:w="0" w:type="auto"/>
            <w:vMerge/>
            <w:hideMark/>
          </w:tcPr>
          <w:p w14:paraId="4FBA7048" w14:textId="13CA23C8" w:rsidR="009533DA" w:rsidRPr="00D43558" w:rsidRDefault="009533DA" w:rsidP="000B062F">
            <w:pPr>
              <w:pStyle w:val="NoSpacing"/>
              <w:rPr>
                <w:rFonts w:ascii="Times New Roman" w:hAnsi="Times New Roman" w:cs="Times New Roman"/>
                <w:sz w:val="18"/>
                <w:szCs w:val="16"/>
              </w:rPr>
            </w:pPr>
          </w:p>
        </w:tc>
      </w:tr>
    </w:tbl>
    <w:p w14:paraId="2949868E" w14:textId="24642BBC" w:rsidR="009533DA" w:rsidRPr="00AA6AF4" w:rsidRDefault="009533DA" w:rsidP="001D7A94">
      <w:pPr>
        <w:pStyle w:val="NoSpacing"/>
        <w:rPr>
          <w:rFonts w:ascii="Times New Roman" w:hAnsi="Times New Roman" w:cs="Times New Roman"/>
        </w:rPr>
      </w:pPr>
    </w:p>
    <w:p w14:paraId="3A3F7FCA" w14:textId="4671A982" w:rsidR="009533DA" w:rsidRPr="008C2F5A" w:rsidRDefault="009533DA" w:rsidP="00EB76EE">
      <w:pPr>
        <w:pStyle w:val="Heading2"/>
      </w:pPr>
      <w:r w:rsidRPr="00AA6AF4">
        <w:br w:type="page"/>
      </w:r>
      <w:bookmarkStart w:id="43" w:name="_Toc221292977"/>
      <w:bookmarkStart w:id="44" w:name="_Toc222399471"/>
      <w:r w:rsidRPr="008C2F5A">
        <w:lastRenderedPageBreak/>
        <w:t>ANNEXURE II.1</w:t>
      </w:r>
      <w:r w:rsidR="00EB76EE">
        <w:br/>
      </w:r>
      <w:r w:rsidRPr="008C2F5A">
        <w:t>Revenue Receipts and Revenue Expenditure of Central and State Governments</w:t>
      </w:r>
      <w:bookmarkEnd w:id="43"/>
      <w:bookmarkEnd w:id="44"/>
    </w:p>
    <w:p w14:paraId="42DF2526" w14:textId="7D4B85D3" w:rsidR="00310B11" w:rsidRPr="00DC5111" w:rsidRDefault="00310B11" w:rsidP="00C25441">
      <w:pPr>
        <w:pStyle w:val="NoSpacing"/>
        <w:jc w:val="center"/>
        <w:rPr>
          <w:rFonts w:ascii="Times New Roman" w:hAnsi="Times New Roman" w:cs="Times New Roman"/>
          <w:sz w:val="20"/>
          <w:szCs w:val="18"/>
        </w:rPr>
      </w:pPr>
      <w:r w:rsidRPr="00DD6F35">
        <w:rPr>
          <w:rFonts w:ascii="Times New Roman" w:hAnsi="Times New Roman" w:cs="Times New Roman"/>
          <w:i/>
          <w:iCs/>
          <w:sz w:val="18"/>
          <w:szCs w:val="16"/>
        </w:rPr>
        <w:t>(Para 2.3</w:t>
      </w:r>
      <w:r w:rsidRPr="00DC5111">
        <w:rPr>
          <w:rFonts w:ascii="Times New Roman" w:hAnsi="Times New Roman" w:cs="Times New Roman"/>
          <w:i/>
          <w:iCs/>
          <w:sz w:val="20"/>
          <w:szCs w:val="18"/>
        </w:rPr>
        <w:t>)</w:t>
      </w:r>
    </w:p>
    <w:p w14:paraId="31164AC4" w14:textId="77777777" w:rsidR="009533DA" w:rsidRPr="00C25441" w:rsidRDefault="009533DA" w:rsidP="00310B11">
      <w:pPr>
        <w:pStyle w:val="NoSpacing"/>
        <w:jc w:val="right"/>
        <w:rPr>
          <w:rFonts w:ascii="Times New Roman" w:hAnsi="Times New Roman" w:cs="Times New Roman"/>
          <w:sz w:val="18"/>
          <w:szCs w:val="16"/>
        </w:rPr>
      </w:pPr>
      <w:r w:rsidRPr="00C25441">
        <w:rPr>
          <w:rFonts w:ascii="Times New Roman" w:hAnsi="Times New Roman" w:cs="Times New Roman"/>
          <w:i/>
          <w:iCs/>
          <w:sz w:val="18"/>
          <w:szCs w:val="16"/>
        </w:rPr>
        <w:t>(Rs. Crore)</w:t>
      </w:r>
    </w:p>
    <w:tbl>
      <w:tblPr>
        <w:tblStyle w:val="TableGrid"/>
        <w:tblW w:w="10485" w:type="dxa"/>
        <w:jc w:val="center"/>
        <w:tblLayout w:type="fixed"/>
        <w:tblLook w:val="04A0" w:firstRow="1" w:lastRow="0" w:firstColumn="1" w:lastColumn="0" w:noHBand="0" w:noVBand="1"/>
      </w:tblPr>
      <w:tblGrid>
        <w:gridCol w:w="853"/>
        <w:gridCol w:w="854"/>
        <w:gridCol w:w="805"/>
        <w:gridCol w:w="964"/>
        <w:gridCol w:w="817"/>
        <w:gridCol w:w="594"/>
        <w:gridCol w:w="778"/>
        <w:gridCol w:w="745"/>
        <w:gridCol w:w="763"/>
        <w:gridCol w:w="784"/>
        <w:gridCol w:w="827"/>
        <w:gridCol w:w="992"/>
        <w:gridCol w:w="709"/>
      </w:tblGrid>
      <w:tr w:rsidR="008C2F5A" w:rsidRPr="00DD6F35" w14:paraId="7AA5A81B" w14:textId="77777777" w:rsidTr="008C2F5A">
        <w:trPr>
          <w:trHeight w:val="20"/>
          <w:jc w:val="center"/>
        </w:trPr>
        <w:tc>
          <w:tcPr>
            <w:tcW w:w="853" w:type="dxa"/>
            <w:vMerge w:val="restart"/>
            <w:vAlign w:val="center"/>
            <w:hideMark/>
          </w:tcPr>
          <w:p w14:paraId="3F3F07A3" w14:textId="5128BC70"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sz w:val="16"/>
                <w:szCs w:val="16"/>
              </w:rPr>
              <w:t>1974-75</w:t>
            </w:r>
          </w:p>
        </w:tc>
        <w:tc>
          <w:tcPr>
            <w:tcW w:w="1659" w:type="dxa"/>
            <w:gridSpan w:val="2"/>
            <w:vAlign w:val="center"/>
            <w:hideMark/>
          </w:tcPr>
          <w:p w14:paraId="684FC5D4" w14:textId="57F29FC6"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 xml:space="preserve">Revenue Receipts </w:t>
            </w:r>
            <w:proofErr w:type="gramStart"/>
            <w:r w:rsidRPr="00DD6F35">
              <w:rPr>
                <w:rFonts w:ascii="Times New Roman" w:hAnsi="Times New Roman" w:cs="Times New Roman"/>
                <w:b/>
                <w:bCs/>
                <w:sz w:val="16"/>
                <w:szCs w:val="16"/>
              </w:rPr>
              <w:t>Of</w:t>
            </w:r>
            <w:proofErr w:type="gramEnd"/>
            <w:r w:rsidRPr="00DD6F35">
              <w:rPr>
                <w:rFonts w:ascii="Times New Roman" w:hAnsi="Times New Roman" w:cs="Times New Roman"/>
                <w:b/>
                <w:bCs/>
                <w:sz w:val="16"/>
                <w:szCs w:val="16"/>
              </w:rPr>
              <w:t xml:space="preserve"> Centre</w:t>
            </w:r>
          </w:p>
        </w:tc>
        <w:tc>
          <w:tcPr>
            <w:tcW w:w="1781" w:type="dxa"/>
            <w:gridSpan w:val="2"/>
            <w:vAlign w:val="center"/>
            <w:hideMark/>
          </w:tcPr>
          <w:p w14:paraId="60E6AAD9" w14:textId="256713CE"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 xml:space="preserve">Revenue Expenditure </w:t>
            </w:r>
            <w:proofErr w:type="gramStart"/>
            <w:r w:rsidRPr="00DD6F35">
              <w:rPr>
                <w:rFonts w:ascii="Times New Roman" w:hAnsi="Times New Roman" w:cs="Times New Roman"/>
                <w:b/>
                <w:bCs/>
                <w:sz w:val="16"/>
                <w:szCs w:val="16"/>
              </w:rPr>
              <w:t>Of</w:t>
            </w:r>
            <w:proofErr w:type="gramEnd"/>
            <w:r w:rsidRPr="00DD6F35">
              <w:rPr>
                <w:rFonts w:ascii="Times New Roman" w:hAnsi="Times New Roman" w:cs="Times New Roman"/>
                <w:b/>
                <w:bCs/>
                <w:sz w:val="16"/>
                <w:szCs w:val="16"/>
              </w:rPr>
              <w:t xml:space="preserve"> Centre</w:t>
            </w:r>
          </w:p>
        </w:tc>
        <w:tc>
          <w:tcPr>
            <w:tcW w:w="594" w:type="dxa"/>
            <w:vMerge w:val="restart"/>
            <w:vAlign w:val="center"/>
            <w:hideMark/>
          </w:tcPr>
          <w:p w14:paraId="0C353534"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Revenue Deficit of Centre</w:t>
            </w:r>
          </w:p>
        </w:tc>
        <w:tc>
          <w:tcPr>
            <w:tcW w:w="1523" w:type="dxa"/>
            <w:gridSpan w:val="2"/>
            <w:vAlign w:val="center"/>
            <w:hideMark/>
          </w:tcPr>
          <w:p w14:paraId="685B85F6" w14:textId="01A9EF02"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 xml:space="preserve">Revenue Receipt </w:t>
            </w:r>
            <w:proofErr w:type="gramStart"/>
            <w:r w:rsidRPr="00DD6F35">
              <w:rPr>
                <w:rFonts w:ascii="Times New Roman" w:hAnsi="Times New Roman" w:cs="Times New Roman"/>
                <w:b/>
                <w:bCs/>
                <w:sz w:val="16"/>
                <w:szCs w:val="16"/>
              </w:rPr>
              <w:t>Of</w:t>
            </w:r>
            <w:proofErr w:type="gramEnd"/>
            <w:r w:rsidRPr="00DD6F35">
              <w:rPr>
                <w:rFonts w:ascii="Times New Roman" w:hAnsi="Times New Roman" w:cs="Times New Roman"/>
                <w:b/>
                <w:bCs/>
                <w:sz w:val="16"/>
                <w:szCs w:val="16"/>
              </w:rPr>
              <w:t xml:space="preserve"> States</w:t>
            </w:r>
          </w:p>
        </w:tc>
        <w:tc>
          <w:tcPr>
            <w:tcW w:w="763" w:type="dxa"/>
            <w:vMerge w:val="restart"/>
            <w:vAlign w:val="center"/>
            <w:hideMark/>
          </w:tcPr>
          <w:p w14:paraId="1A2F1698" w14:textId="05BFDF4E"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Revenue Expenditure of States</w:t>
            </w:r>
          </w:p>
        </w:tc>
        <w:tc>
          <w:tcPr>
            <w:tcW w:w="784" w:type="dxa"/>
            <w:vMerge w:val="restart"/>
            <w:vAlign w:val="center"/>
            <w:hideMark/>
          </w:tcPr>
          <w:p w14:paraId="1B829219"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Revenue Deficit of States</w:t>
            </w:r>
          </w:p>
        </w:tc>
        <w:tc>
          <w:tcPr>
            <w:tcW w:w="2528" w:type="dxa"/>
            <w:gridSpan w:val="3"/>
            <w:vAlign w:val="center"/>
            <w:hideMark/>
          </w:tcPr>
          <w:p w14:paraId="7EC8DBD0" w14:textId="213066AB"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Combined Revenue</w:t>
            </w:r>
          </w:p>
        </w:tc>
      </w:tr>
      <w:tr w:rsidR="008C2F5A" w:rsidRPr="00DD6F35" w14:paraId="63188F10" w14:textId="77777777" w:rsidTr="008C2F5A">
        <w:trPr>
          <w:trHeight w:val="20"/>
          <w:jc w:val="center"/>
        </w:trPr>
        <w:tc>
          <w:tcPr>
            <w:tcW w:w="853" w:type="dxa"/>
            <w:vMerge/>
            <w:vAlign w:val="center"/>
            <w:hideMark/>
          </w:tcPr>
          <w:p w14:paraId="402F033A" w14:textId="4305D0D1" w:rsidR="008C2F5A" w:rsidRPr="00DD6F35" w:rsidRDefault="008C2F5A" w:rsidP="00C25441">
            <w:pPr>
              <w:pStyle w:val="NoSpacing"/>
              <w:jc w:val="center"/>
              <w:rPr>
                <w:rFonts w:ascii="Times New Roman" w:hAnsi="Times New Roman" w:cs="Times New Roman"/>
                <w:b/>
                <w:bCs/>
                <w:sz w:val="16"/>
                <w:szCs w:val="16"/>
              </w:rPr>
            </w:pPr>
          </w:p>
        </w:tc>
        <w:tc>
          <w:tcPr>
            <w:tcW w:w="854" w:type="dxa"/>
            <w:vAlign w:val="center"/>
            <w:hideMark/>
          </w:tcPr>
          <w:p w14:paraId="669BA5CE"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Gross</w:t>
            </w:r>
          </w:p>
        </w:tc>
        <w:tc>
          <w:tcPr>
            <w:tcW w:w="805" w:type="dxa"/>
            <w:vAlign w:val="center"/>
            <w:hideMark/>
          </w:tcPr>
          <w:p w14:paraId="7C34B297"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Net</w:t>
            </w:r>
          </w:p>
        </w:tc>
        <w:tc>
          <w:tcPr>
            <w:tcW w:w="964" w:type="dxa"/>
            <w:vAlign w:val="center"/>
            <w:hideMark/>
          </w:tcPr>
          <w:p w14:paraId="0CB43422"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Including Transfers to States</w:t>
            </w:r>
          </w:p>
        </w:tc>
        <w:tc>
          <w:tcPr>
            <w:tcW w:w="817" w:type="dxa"/>
            <w:vAlign w:val="center"/>
            <w:hideMark/>
          </w:tcPr>
          <w:p w14:paraId="7840B7C4"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Excluding Transfers to States</w:t>
            </w:r>
          </w:p>
        </w:tc>
        <w:tc>
          <w:tcPr>
            <w:tcW w:w="594" w:type="dxa"/>
            <w:vMerge/>
            <w:vAlign w:val="center"/>
            <w:hideMark/>
          </w:tcPr>
          <w:p w14:paraId="65D6DBFA" w14:textId="77777777" w:rsidR="008C2F5A" w:rsidRPr="00DD6F35" w:rsidRDefault="008C2F5A" w:rsidP="00C25441">
            <w:pPr>
              <w:pStyle w:val="NoSpacing"/>
              <w:jc w:val="center"/>
              <w:rPr>
                <w:rFonts w:ascii="Times New Roman" w:hAnsi="Times New Roman" w:cs="Times New Roman"/>
                <w:b/>
                <w:bCs/>
                <w:sz w:val="16"/>
                <w:szCs w:val="16"/>
              </w:rPr>
            </w:pPr>
          </w:p>
        </w:tc>
        <w:tc>
          <w:tcPr>
            <w:tcW w:w="778" w:type="dxa"/>
            <w:vAlign w:val="center"/>
            <w:hideMark/>
          </w:tcPr>
          <w:p w14:paraId="7EC1F6BC"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Gross</w:t>
            </w:r>
          </w:p>
        </w:tc>
        <w:tc>
          <w:tcPr>
            <w:tcW w:w="745" w:type="dxa"/>
            <w:vAlign w:val="center"/>
            <w:hideMark/>
          </w:tcPr>
          <w:p w14:paraId="7223803B"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Own</w:t>
            </w:r>
          </w:p>
        </w:tc>
        <w:tc>
          <w:tcPr>
            <w:tcW w:w="763" w:type="dxa"/>
            <w:vMerge/>
            <w:vAlign w:val="center"/>
            <w:hideMark/>
          </w:tcPr>
          <w:p w14:paraId="56FB540A" w14:textId="77777777" w:rsidR="008C2F5A" w:rsidRPr="00DD6F35" w:rsidRDefault="008C2F5A" w:rsidP="00C25441">
            <w:pPr>
              <w:pStyle w:val="NoSpacing"/>
              <w:jc w:val="center"/>
              <w:rPr>
                <w:rFonts w:ascii="Times New Roman" w:hAnsi="Times New Roman" w:cs="Times New Roman"/>
                <w:b/>
                <w:bCs/>
                <w:sz w:val="16"/>
                <w:szCs w:val="16"/>
              </w:rPr>
            </w:pPr>
          </w:p>
        </w:tc>
        <w:tc>
          <w:tcPr>
            <w:tcW w:w="784" w:type="dxa"/>
            <w:vMerge/>
            <w:vAlign w:val="center"/>
            <w:hideMark/>
          </w:tcPr>
          <w:p w14:paraId="02D3E02C" w14:textId="77777777" w:rsidR="008C2F5A" w:rsidRPr="00DD6F35" w:rsidRDefault="008C2F5A" w:rsidP="00C25441">
            <w:pPr>
              <w:pStyle w:val="NoSpacing"/>
              <w:jc w:val="center"/>
              <w:rPr>
                <w:rFonts w:ascii="Times New Roman" w:hAnsi="Times New Roman" w:cs="Times New Roman"/>
                <w:b/>
                <w:bCs/>
                <w:sz w:val="16"/>
                <w:szCs w:val="16"/>
              </w:rPr>
            </w:pPr>
          </w:p>
        </w:tc>
        <w:tc>
          <w:tcPr>
            <w:tcW w:w="827" w:type="dxa"/>
            <w:vAlign w:val="center"/>
            <w:hideMark/>
          </w:tcPr>
          <w:p w14:paraId="154BB7FA"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Receipts</w:t>
            </w:r>
          </w:p>
        </w:tc>
        <w:tc>
          <w:tcPr>
            <w:tcW w:w="992" w:type="dxa"/>
            <w:vAlign w:val="center"/>
            <w:hideMark/>
          </w:tcPr>
          <w:p w14:paraId="14DDA9F2" w14:textId="674D387F"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Expenditure</w:t>
            </w:r>
          </w:p>
        </w:tc>
        <w:tc>
          <w:tcPr>
            <w:tcW w:w="709" w:type="dxa"/>
            <w:vAlign w:val="center"/>
            <w:hideMark/>
          </w:tcPr>
          <w:p w14:paraId="16CD7545" w14:textId="77777777" w:rsidR="008C2F5A" w:rsidRPr="00DD6F35" w:rsidRDefault="008C2F5A" w:rsidP="00C2544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Deficit</w:t>
            </w:r>
          </w:p>
        </w:tc>
      </w:tr>
      <w:tr w:rsidR="008C2F5A" w:rsidRPr="00DD6F35" w14:paraId="4B582A3D" w14:textId="77777777" w:rsidTr="008C2F5A">
        <w:trPr>
          <w:trHeight w:val="20"/>
          <w:jc w:val="center"/>
        </w:trPr>
        <w:tc>
          <w:tcPr>
            <w:tcW w:w="853" w:type="dxa"/>
            <w:vMerge/>
            <w:vAlign w:val="center"/>
            <w:hideMark/>
          </w:tcPr>
          <w:p w14:paraId="40353F17" w14:textId="2BE1A782" w:rsidR="008C2F5A" w:rsidRPr="00DD6F35" w:rsidRDefault="008C2F5A" w:rsidP="00C25441">
            <w:pPr>
              <w:pStyle w:val="NoSpacing"/>
              <w:jc w:val="center"/>
              <w:rPr>
                <w:rFonts w:ascii="Times New Roman" w:hAnsi="Times New Roman" w:cs="Times New Roman"/>
                <w:sz w:val="16"/>
                <w:szCs w:val="16"/>
              </w:rPr>
            </w:pPr>
          </w:p>
        </w:tc>
        <w:tc>
          <w:tcPr>
            <w:tcW w:w="854" w:type="dxa"/>
            <w:vAlign w:val="center"/>
            <w:hideMark/>
          </w:tcPr>
          <w:p w14:paraId="55C22CDF"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7702</w:t>
            </w:r>
          </w:p>
        </w:tc>
        <w:tc>
          <w:tcPr>
            <w:tcW w:w="805" w:type="dxa"/>
            <w:vAlign w:val="center"/>
            <w:hideMark/>
          </w:tcPr>
          <w:p w14:paraId="154046D9"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6478</w:t>
            </w:r>
          </w:p>
        </w:tc>
        <w:tc>
          <w:tcPr>
            <w:tcW w:w="964" w:type="dxa"/>
            <w:vAlign w:val="center"/>
            <w:hideMark/>
          </w:tcPr>
          <w:p w14:paraId="5DEAB285"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5714</w:t>
            </w:r>
          </w:p>
        </w:tc>
        <w:tc>
          <w:tcPr>
            <w:tcW w:w="817" w:type="dxa"/>
            <w:vAlign w:val="center"/>
            <w:hideMark/>
          </w:tcPr>
          <w:p w14:paraId="0FCF814B"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4655</w:t>
            </w:r>
          </w:p>
        </w:tc>
        <w:tc>
          <w:tcPr>
            <w:tcW w:w="594" w:type="dxa"/>
            <w:vAlign w:val="center"/>
            <w:hideMark/>
          </w:tcPr>
          <w:p w14:paraId="269FE015"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764</w:t>
            </w:r>
          </w:p>
        </w:tc>
        <w:tc>
          <w:tcPr>
            <w:tcW w:w="778" w:type="dxa"/>
            <w:vAlign w:val="center"/>
            <w:hideMark/>
          </w:tcPr>
          <w:p w14:paraId="5E644431"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6004</w:t>
            </w:r>
          </w:p>
        </w:tc>
        <w:tc>
          <w:tcPr>
            <w:tcW w:w="745" w:type="dxa"/>
            <w:vAlign w:val="center"/>
            <w:hideMark/>
          </w:tcPr>
          <w:p w14:paraId="4798FF57"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3716</w:t>
            </w:r>
          </w:p>
        </w:tc>
        <w:tc>
          <w:tcPr>
            <w:tcW w:w="763" w:type="dxa"/>
            <w:vAlign w:val="center"/>
            <w:hideMark/>
          </w:tcPr>
          <w:p w14:paraId="538889E4"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5602</w:t>
            </w:r>
          </w:p>
        </w:tc>
        <w:tc>
          <w:tcPr>
            <w:tcW w:w="784" w:type="dxa"/>
            <w:vAlign w:val="center"/>
            <w:hideMark/>
          </w:tcPr>
          <w:p w14:paraId="381ECF23"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402</w:t>
            </w:r>
          </w:p>
        </w:tc>
        <w:tc>
          <w:tcPr>
            <w:tcW w:w="827" w:type="dxa"/>
            <w:vAlign w:val="center"/>
            <w:hideMark/>
          </w:tcPr>
          <w:p w14:paraId="10FD4D5B"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11048</w:t>
            </w:r>
          </w:p>
        </w:tc>
        <w:tc>
          <w:tcPr>
            <w:tcW w:w="992" w:type="dxa"/>
            <w:vAlign w:val="center"/>
            <w:hideMark/>
          </w:tcPr>
          <w:p w14:paraId="608D5527"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9882</w:t>
            </w:r>
          </w:p>
        </w:tc>
        <w:tc>
          <w:tcPr>
            <w:tcW w:w="709" w:type="dxa"/>
            <w:vAlign w:val="center"/>
            <w:hideMark/>
          </w:tcPr>
          <w:p w14:paraId="2908A2BE" w14:textId="77777777" w:rsidR="008C2F5A" w:rsidRPr="00DD6F35" w:rsidRDefault="008C2F5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1166</w:t>
            </w:r>
          </w:p>
        </w:tc>
      </w:tr>
      <w:tr w:rsidR="00B17D98" w:rsidRPr="00DD6F35" w14:paraId="42F637AF" w14:textId="77777777" w:rsidTr="008C2F5A">
        <w:trPr>
          <w:trHeight w:val="20"/>
          <w:jc w:val="center"/>
        </w:trPr>
        <w:tc>
          <w:tcPr>
            <w:tcW w:w="853" w:type="dxa"/>
            <w:vAlign w:val="center"/>
            <w:hideMark/>
          </w:tcPr>
          <w:p w14:paraId="1059507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1975-76</w:t>
            </w:r>
          </w:p>
        </w:tc>
        <w:tc>
          <w:tcPr>
            <w:tcW w:w="854" w:type="dxa"/>
            <w:vAlign w:val="center"/>
            <w:hideMark/>
          </w:tcPr>
          <w:p w14:paraId="4D71753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9557</w:t>
            </w:r>
          </w:p>
        </w:tc>
        <w:tc>
          <w:tcPr>
            <w:tcW w:w="805" w:type="dxa"/>
            <w:vAlign w:val="center"/>
            <w:hideMark/>
          </w:tcPr>
          <w:p w14:paraId="14AACCD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7958</w:t>
            </w:r>
          </w:p>
        </w:tc>
        <w:tc>
          <w:tcPr>
            <w:tcW w:w="964" w:type="dxa"/>
            <w:vAlign w:val="center"/>
            <w:hideMark/>
          </w:tcPr>
          <w:p w14:paraId="7780683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7071</w:t>
            </w:r>
          </w:p>
        </w:tc>
        <w:tc>
          <w:tcPr>
            <w:tcW w:w="817" w:type="dxa"/>
            <w:vAlign w:val="center"/>
            <w:hideMark/>
          </w:tcPr>
          <w:p w14:paraId="142AA3E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5786</w:t>
            </w:r>
          </w:p>
        </w:tc>
        <w:tc>
          <w:tcPr>
            <w:tcW w:w="594" w:type="dxa"/>
            <w:vAlign w:val="center"/>
            <w:hideMark/>
          </w:tcPr>
          <w:p w14:paraId="42DDB47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887</w:t>
            </w:r>
          </w:p>
        </w:tc>
        <w:tc>
          <w:tcPr>
            <w:tcW w:w="778" w:type="dxa"/>
            <w:vAlign w:val="center"/>
            <w:hideMark/>
          </w:tcPr>
          <w:p w14:paraId="4E624A1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7475</w:t>
            </w:r>
          </w:p>
        </w:tc>
        <w:tc>
          <w:tcPr>
            <w:tcW w:w="745" w:type="dxa"/>
            <w:vAlign w:val="center"/>
            <w:hideMark/>
          </w:tcPr>
          <w:p w14:paraId="2BC1726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4591</w:t>
            </w:r>
          </w:p>
        </w:tc>
        <w:tc>
          <w:tcPr>
            <w:tcW w:w="763" w:type="dxa"/>
            <w:vAlign w:val="center"/>
            <w:hideMark/>
          </w:tcPr>
          <w:p w14:paraId="374DD02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6522</w:t>
            </w:r>
          </w:p>
        </w:tc>
        <w:tc>
          <w:tcPr>
            <w:tcW w:w="784" w:type="dxa"/>
            <w:vAlign w:val="center"/>
            <w:hideMark/>
          </w:tcPr>
          <w:p w14:paraId="3F3724A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953</w:t>
            </w:r>
          </w:p>
        </w:tc>
        <w:tc>
          <w:tcPr>
            <w:tcW w:w="827" w:type="dxa"/>
            <w:vAlign w:val="center"/>
            <w:hideMark/>
          </w:tcPr>
          <w:p w14:paraId="41854B1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13687</w:t>
            </w:r>
          </w:p>
        </w:tc>
        <w:tc>
          <w:tcPr>
            <w:tcW w:w="992" w:type="dxa"/>
            <w:vAlign w:val="center"/>
            <w:hideMark/>
          </w:tcPr>
          <w:p w14:paraId="319EB54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11847</w:t>
            </w:r>
          </w:p>
        </w:tc>
        <w:tc>
          <w:tcPr>
            <w:tcW w:w="709" w:type="dxa"/>
            <w:vAlign w:val="center"/>
            <w:hideMark/>
          </w:tcPr>
          <w:p w14:paraId="309E462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1840</w:t>
            </w:r>
          </w:p>
        </w:tc>
      </w:tr>
      <w:tr w:rsidR="00B17D98" w:rsidRPr="00DD6F35" w14:paraId="1BD216FB" w14:textId="77777777" w:rsidTr="008C2F5A">
        <w:trPr>
          <w:trHeight w:val="20"/>
          <w:jc w:val="center"/>
        </w:trPr>
        <w:tc>
          <w:tcPr>
            <w:tcW w:w="853" w:type="dxa"/>
            <w:vAlign w:val="center"/>
            <w:hideMark/>
          </w:tcPr>
          <w:p w14:paraId="7AC3158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1976-77</w:t>
            </w:r>
          </w:p>
        </w:tc>
        <w:tc>
          <w:tcPr>
            <w:tcW w:w="854" w:type="dxa"/>
            <w:vAlign w:val="center"/>
            <w:hideMark/>
          </w:tcPr>
          <w:p w14:paraId="291DDDE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10308</w:t>
            </w:r>
          </w:p>
        </w:tc>
        <w:tc>
          <w:tcPr>
            <w:tcW w:w="805" w:type="dxa"/>
            <w:vAlign w:val="center"/>
            <w:hideMark/>
          </w:tcPr>
          <w:p w14:paraId="79D66BC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8618</w:t>
            </w:r>
          </w:p>
        </w:tc>
        <w:tc>
          <w:tcPr>
            <w:tcW w:w="964" w:type="dxa"/>
            <w:vAlign w:val="center"/>
            <w:hideMark/>
          </w:tcPr>
          <w:p w14:paraId="31F1F6C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8320</w:t>
            </w:r>
          </w:p>
        </w:tc>
        <w:tc>
          <w:tcPr>
            <w:tcW w:w="817" w:type="dxa"/>
            <w:vAlign w:val="center"/>
            <w:hideMark/>
          </w:tcPr>
          <w:p w14:paraId="2A960F2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6735</w:t>
            </w:r>
          </w:p>
        </w:tc>
        <w:tc>
          <w:tcPr>
            <w:tcW w:w="594" w:type="dxa"/>
            <w:vAlign w:val="center"/>
            <w:hideMark/>
          </w:tcPr>
          <w:p w14:paraId="59D1497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298</w:t>
            </w:r>
          </w:p>
        </w:tc>
        <w:tc>
          <w:tcPr>
            <w:tcW w:w="778" w:type="dxa"/>
            <w:vAlign w:val="center"/>
            <w:hideMark/>
          </w:tcPr>
          <w:p w14:paraId="4CFBB6A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8652</w:t>
            </w:r>
          </w:p>
        </w:tc>
        <w:tc>
          <w:tcPr>
            <w:tcW w:w="745" w:type="dxa"/>
            <w:vAlign w:val="center"/>
            <w:hideMark/>
          </w:tcPr>
          <w:p w14:paraId="6F9A80B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5387</w:t>
            </w:r>
          </w:p>
        </w:tc>
        <w:tc>
          <w:tcPr>
            <w:tcW w:w="763" w:type="dxa"/>
            <w:vAlign w:val="center"/>
            <w:hideMark/>
          </w:tcPr>
          <w:p w14:paraId="15484C0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7555</w:t>
            </w:r>
          </w:p>
        </w:tc>
        <w:tc>
          <w:tcPr>
            <w:tcW w:w="784" w:type="dxa"/>
            <w:vAlign w:val="center"/>
            <w:hideMark/>
          </w:tcPr>
          <w:p w14:paraId="1199DC9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1097</w:t>
            </w:r>
          </w:p>
        </w:tc>
        <w:tc>
          <w:tcPr>
            <w:tcW w:w="827" w:type="dxa"/>
            <w:vAlign w:val="center"/>
            <w:hideMark/>
          </w:tcPr>
          <w:p w14:paraId="56B09F9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15258</w:t>
            </w:r>
          </w:p>
        </w:tc>
        <w:tc>
          <w:tcPr>
            <w:tcW w:w="992" w:type="dxa"/>
            <w:vAlign w:val="center"/>
            <w:hideMark/>
          </w:tcPr>
          <w:p w14:paraId="50E64A2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13863</w:t>
            </w:r>
          </w:p>
        </w:tc>
        <w:tc>
          <w:tcPr>
            <w:tcW w:w="709" w:type="dxa"/>
            <w:vAlign w:val="center"/>
            <w:hideMark/>
          </w:tcPr>
          <w:p w14:paraId="2DB88BA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1395</w:t>
            </w:r>
          </w:p>
        </w:tc>
      </w:tr>
      <w:tr w:rsidR="00B17D98" w:rsidRPr="00DD6F35" w14:paraId="59297E83" w14:textId="77777777" w:rsidTr="008C2F5A">
        <w:trPr>
          <w:trHeight w:val="20"/>
          <w:jc w:val="center"/>
        </w:trPr>
        <w:tc>
          <w:tcPr>
            <w:tcW w:w="853" w:type="dxa"/>
            <w:vAlign w:val="center"/>
            <w:hideMark/>
          </w:tcPr>
          <w:p w14:paraId="65C84D1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1977-78</w:t>
            </w:r>
          </w:p>
        </w:tc>
        <w:tc>
          <w:tcPr>
            <w:tcW w:w="854" w:type="dxa"/>
            <w:vAlign w:val="center"/>
            <w:hideMark/>
          </w:tcPr>
          <w:p w14:paraId="50421DC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11390</w:t>
            </w:r>
          </w:p>
        </w:tc>
        <w:tc>
          <w:tcPr>
            <w:tcW w:w="805" w:type="dxa"/>
            <w:vAlign w:val="center"/>
            <w:hideMark/>
          </w:tcPr>
          <w:p w14:paraId="137D64D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9592</w:t>
            </w:r>
          </w:p>
        </w:tc>
        <w:tc>
          <w:tcPr>
            <w:tcW w:w="964" w:type="dxa"/>
            <w:vAlign w:val="center"/>
            <w:hideMark/>
          </w:tcPr>
          <w:p w14:paraId="4C9338A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9162</w:t>
            </w:r>
          </w:p>
        </w:tc>
        <w:tc>
          <w:tcPr>
            <w:tcW w:w="817" w:type="dxa"/>
            <w:vAlign w:val="center"/>
            <w:hideMark/>
          </w:tcPr>
          <w:p w14:paraId="46F0DAE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7254</w:t>
            </w:r>
          </w:p>
        </w:tc>
        <w:tc>
          <w:tcPr>
            <w:tcW w:w="594" w:type="dxa"/>
            <w:vAlign w:val="center"/>
            <w:hideMark/>
          </w:tcPr>
          <w:p w14:paraId="210B666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430</w:t>
            </w:r>
          </w:p>
        </w:tc>
        <w:tc>
          <w:tcPr>
            <w:tcW w:w="778" w:type="dxa"/>
            <w:vAlign w:val="center"/>
            <w:hideMark/>
          </w:tcPr>
          <w:p w14:paraId="4D65438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9401</w:t>
            </w:r>
          </w:p>
        </w:tc>
        <w:tc>
          <w:tcPr>
            <w:tcW w:w="745" w:type="dxa"/>
            <w:vAlign w:val="center"/>
            <w:hideMark/>
          </w:tcPr>
          <w:p w14:paraId="40DB98E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5688</w:t>
            </w:r>
          </w:p>
        </w:tc>
        <w:tc>
          <w:tcPr>
            <w:tcW w:w="763" w:type="dxa"/>
            <w:vAlign w:val="center"/>
            <w:hideMark/>
          </w:tcPr>
          <w:p w14:paraId="4384FAF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8381</w:t>
            </w:r>
          </w:p>
        </w:tc>
        <w:tc>
          <w:tcPr>
            <w:tcW w:w="784" w:type="dxa"/>
            <w:vAlign w:val="center"/>
            <w:hideMark/>
          </w:tcPr>
          <w:p w14:paraId="5F9C4F3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1020</w:t>
            </w:r>
          </w:p>
        </w:tc>
        <w:tc>
          <w:tcPr>
            <w:tcW w:w="827" w:type="dxa"/>
            <w:vAlign w:val="center"/>
            <w:hideMark/>
          </w:tcPr>
          <w:p w14:paraId="0A97AC0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16435</w:t>
            </w:r>
          </w:p>
        </w:tc>
        <w:tc>
          <w:tcPr>
            <w:tcW w:w="992" w:type="dxa"/>
            <w:vAlign w:val="center"/>
            <w:hideMark/>
          </w:tcPr>
          <w:p w14:paraId="77AF411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14986</w:t>
            </w:r>
          </w:p>
        </w:tc>
        <w:tc>
          <w:tcPr>
            <w:tcW w:w="709" w:type="dxa"/>
            <w:vAlign w:val="center"/>
            <w:hideMark/>
          </w:tcPr>
          <w:p w14:paraId="1961D4B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1449</w:t>
            </w:r>
          </w:p>
        </w:tc>
      </w:tr>
      <w:tr w:rsidR="00B17D98" w:rsidRPr="00DD6F35" w14:paraId="6C23F3EF" w14:textId="77777777" w:rsidTr="008C2F5A">
        <w:trPr>
          <w:trHeight w:val="20"/>
          <w:jc w:val="center"/>
        </w:trPr>
        <w:tc>
          <w:tcPr>
            <w:tcW w:w="853" w:type="dxa"/>
            <w:vAlign w:val="center"/>
            <w:hideMark/>
          </w:tcPr>
          <w:p w14:paraId="27E75D3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1978-79</w:t>
            </w:r>
          </w:p>
        </w:tc>
        <w:tc>
          <w:tcPr>
            <w:tcW w:w="854" w:type="dxa"/>
            <w:vAlign w:val="center"/>
            <w:hideMark/>
          </w:tcPr>
          <w:p w14:paraId="71F05AA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12960</w:t>
            </w:r>
          </w:p>
        </w:tc>
        <w:tc>
          <w:tcPr>
            <w:tcW w:w="805" w:type="dxa"/>
            <w:vAlign w:val="center"/>
            <w:hideMark/>
          </w:tcPr>
          <w:p w14:paraId="2CD297A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11003</w:t>
            </w:r>
          </w:p>
        </w:tc>
        <w:tc>
          <w:tcPr>
            <w:tcW w:w="964" w:type="dxa"/>
            <w:vAlign w:val="center"/>
            <w:hideMark/>
          </w:tcPr>
          <w:p w14:paraId="2611ADF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10711</w:t>
            </w:r>
          </w:p>
        </w:tc>
        <w:tc>
          <w:tcPr>
            <w:tcW w:w="817" w:type="dxa"/>
            <w:vAlign w:val="center"/>
            <w:hideMark/>
          </w:tcPr>
          <w:p w14:paraId="0F4C196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8143</w:t>
            </w:r>
          </w:p>
        </w:tc>
        <w:tc>
          <w:tcPr>
            <w:tcW w:w="594" w:type="dxa"/>
            <w:vAlign w:val="center"/>
            <w:hideMark/>
          </w:tcPr>
          <w:p w14:paraId="7577462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292</w:t>
            </w:r>
          </w:p>
        </w:tc>
        <w:tc>
          <w:tcPr>
            <w:tcW w:w="778" w:type="dxa"/>
            <w:vAlign w:val="center"/>
            <w:hideMark/>
          </w:tcPr>
          <w:p w14:paraId="7BCA454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11008</w:t>
            </w:r>
          </w:p>
        </w:tc>
        <w:tc>
          <w:tcPr>
            <w:tcW w:w="745" w:type="dxa"/>
            <w:vAlign w:val="center"/>
            <w:hideMark/>
          </w:tcPr>
          <w:p w14:paraId="19D117E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6487</w:t>
            </w:r>
          </w:p>
        </w:tc>
        <w:tc>
          <w:tcPr>
            <w:tcW w:w="763" w:type="dxa"/>
            <w:vAlign w:val="center"/>
            <w:hideMark/>
          </w:tcPr>
          <w:p w14:paraId="058EC1A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9872</w:t>
            </w:r>
          </w:p>
        </w:tc>
        <w:tc>
          <w:tcPr>
            <w:tcW w:w="784" w:type="dxa"/>
            <w:vAlign w:val="center"/>
            <w:hideMark/>
          </w:tcPr>
          <w:p w14:paraId="50A8CBA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1136</w:t>
            </w:r>
          </w:p>
        </w:tc>
        <w:tc>
          <w:tcPr>
            <w:tcW w:w="827" w:type="dxa"/>
            <w:vAlign w:val="center"/>
            <w:hideMark/>
          </w:tcPr>
          <w:p w14:paraId="7698F21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18775</w:t>
            </w:r>
          </w:p>
        </w:tc>
        <w:tc>
          <w:tcPr>
            <w:tcW w:w="992" w:type="dxa"/>
            <w:vAlign w:val="center"/>
            <w:hideMark/>
          </w:tcPr>
          <w:p w14:paraId="648D7B2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17348</w:t>
            </w:r>
          </w:p>
        </w:tc>
        <w:tc>
          <w:tcPr>
            <w:tcW w:w="709" w:type="dxa"/>
            <w:vAlign w:val="center"/>
            <w:hideMark/>
          </w:tcPr>
          <w:p w14:paraId="22BA9CF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1427</w:t>
            </w:r>
          </w:p>
        </w:tc>
      </w:tr>
      <w:tr w:rsidR="00B17D98" w:rsidRPr="00DD6F35" w14:paraId="34B82324" w14:textId="77777777" w:rsidTr="008C2F5A">
        <w:trPr>
          <w:trHeight w:val="20"/>
          <w:jc w:val="center"/>
        </w:trPr>
        <w:tc>
          <w:tcPr>
            <w:tcW w:w="853" w:type="dxa"/>
            <w:vAlign w:val="center"/>
            <w:hideMark/>
          </w:tcPr>
          <w:p w14:paraId="3A5219F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1979-80</w:t>
            </w:r>
          </w:p>
        </w:tc>
        <w:tc>
          <w:tcPr>
            <w:tcW w:w="854" w:type="dxa"/>
            <w:vAlign w:val="center"/>
            <w:hideMark/>
          </w:tcPr>
          <w:p w14:paraId="7ABB52E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14467</w:t>
            </w:r>
          </w:p>
        </w:tc>
        <w:tc>
          <w:tcPr>
            <w:tcW w:w="805" w:type="dxa"/>
            <w:vAlign w:val="center"/>
            <w:hideMark/>
          </w:tcPr>
          <w:p w14:paraId="7F69366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11061</w:t>
            </w:r>
          </w:p>
        </w:tc>
        <w:tc>
          <w:tcPr>
            <w:tcW w:w="964" w:type="dxa"/>
            <w:vAlign w:val="center"/>
            <w:hideMark/>
          </w:tcPr>
          <w:p w14:paraId="0258BAE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11755</w:t>
            </w:r>
          </w:p>
        </w:tc>
        <w:tc>
          <w:tcPr>
            <w:tcW w:w="817" w:type="dxa"/>
            <w:vAlign w:val="center"/>
            <w:hideMark/>
          </w:tcPr>
          <w:p w14:paraId="2106ED4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9555</w:t>
            </w:r>
          </w:p>
        </w:tc>
        <w:tc>
          <w:tcPr>
            <w:tcW w:w="594" w:type="dxa"/>
            <w:vAlign w:val="center"/>
            <w:hideMark/>
          </w:tcPr>
          <w:p w14:paraId="21C9DA4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-694</w:t>
            </w:r>
          </w:p>
        </w:tc>
        <w:tc>
          <w:tcPr>
            <w:tcW w:w="778" w:type="dxa"/>
            <w:vAlign w:val="center"/>
            <w:hideMark/>
          </w:tcPr>
          <w:p w14:paraId="57C858B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13060</w:t>
            </w:r>
          </w:p>
        </w:tc>
        <w:tc>
          <w:tcPr>
            <w:tcW w:w="745" w:type="dxa"/>
            <w:vAlign w:val="center"/>
            <w:hideMark/>
          </w:tcPr>
          <w:p w14:paraId="3C0167A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7452</w:t>
            </w:r>
          </w:p>
        </w:tc>
        <w:tc>
          <w:tcPr>
            <w:tcW w:w="763" w:type="dxa"/>
            <w:vAlign w:val="center"/>
            <w:hideMark/>
          </w:tcPr>
          <w:p w14:paraId="1CF1A04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11512</w:t>
            </w:r>
          </w:p>
        </w:tc>
        <w:tc>
          <w:tcPr>
            <w:tcW w:w="784" w:type="dxa"/>
            <w:vAlign w:val="center"/>
            <w:hideMark/>
          </w:tcPr>
          <w:p w14:paraId="7C9F536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1548</w:t>
            </w:r>
          </w:p>
        </w:tc>
        <w:tc>
          <w:tcPr>
            <w:tcW w:w="827" w:type="dxa"/>
            <w:vAlign w:val="center"/>
            <w:hideMark/>
          </w:tcPr>
          <w:p w14:paraId="074FA7C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21211</w:t>
            </w:r>
          </w:p>
        </w:tc>
        <w:tc>
          <w:tcPr>
            <w:tcW w:w="992" w:type="dxa"/>
            <w:vAlign w:val="center"/>
            <w:hideMark/>
          </w:tcPr>
          <w:p w14:paraId="15E465D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20356</w:t>
            </w:r>
          </w:p>
        </w:tc>
        <w:tc>
          <w:tcPr>
            <w:tcW w:w="709" w:type="dxa"/>
            <w:vAlign w:val="center"/>
            <w:hideMark/>
          </w:tcPr>
          <w:p w14:paraId="7622EBA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855</w:t>
            </w:r>
          </w:p>
        </w:tc>
      </w:tr>
      <w:tr w:rsidR="00B17D98" w:rsidRPr="00DD6F35" w14:paraId="01E23061" w14:textId="77777777" w:rsidTr="008C2F5A">
        <w:trPr>
          <w:trHeight w:val="20"/>
          <w:jc w:val="center"/>
        </w:trPr>
        <w:tc>
          <w:tcPr>
            <w:tcW w:w="853" w:type="dxa"/>
            <w:vAlign w:val="center"/>
            <w:hideMark/>
          </w:tcPr>
          <w:p w14:paraId="1728E71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1980-81</w:t>
            </w:r>
          </w:p>
        </w:tc>
        <w:tc>
          <w:tcPr>
            <w:tcW w:w="854" w:type="dxa"/>
            <w:vAlign w:val="center"/>
            <w:hideMark/>
          </w:tcPr>
          <w:p w14:paraId="1735E3A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16276</w:t>
            </w:r>
          </w:p>
        </w:tc>
        <w:tc>
          <w:tcPr>
            <w:tcW w:w="805" w:type="dxa"/>
            <w:vAlign w:val="center"/>
            <w:hideMark/>
          </w:tcPr>
          <w:p w14:paraId="096B3B0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12484</w:t>
            </w:r>
          </w:p>
        </w:tc>
        <w:tc>
          <w:tcPr>
            <w:tcW w:w="964" w:type="dxa"/>
            <w:vAlign w:val="center"/>
            <w:hideMark/>
          </w:tcPr>
          <w:p w14:paraId="71C4990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13261</w:t>
            </w:r>
          </w:p>
        </w:tc>
        <w:tc>
          <w:tcPr>
            <w:tcW w:w="817" w:type="dxa"/>
            <w:vAlign w:val="center"/>
            <w:hideMark/>
          </w:tcPr>
          <w:p w14:paraId="1E300D7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10504</w:t>
            </w:r>
          </w:p>
        </w:tc>
        <w:tc>
          <w:tcPr>
            <w:tcW w:w="594" w:type="dxa"/>
            <w:vAlign w:val="center"/>
            <w:hideMark/>
          </w:tcPr>
          <w:p w14:paraId="3482742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-777</w:t>
            </w:r>
          </w:p>
        </w:tc>
        <w:tc>
          <w:tcPr>
            <w:tcW w:w="778" w:type="dxa"/>
            <w:vAlign w:val="center"/>
            <w:hideMark/>
          </w:tcPr>
          <w:p w14:paraId="0BAF3D7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15036</w:t>
            </w:r>
          </w:p>
        </w:tc>
        <w:tc>
          <w:tcPr>
            <w:tcW w:w="745" w:type="dxa"/>
            <w:vAlign w:val="center"/>
            <w:hideMark/>
          </w:tcPr>
          <w:p w14:paraId="5CD689C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8491</w:t>
            </w:r>
          </w:p>
        </w:tc>
        <w:tc>
          <w:tcPr>
            <w:tcW w:w="763" w:type="dxa"/>
            <w:vAlign w:val="center"/>
            <w:hideMark/>
          </w:tcPr>
          <w:p w14:paraId="2D71497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14136</w:t>
            </w:r>
          </w:p>
        </w:tc>
        <w:tc>
          <w:tcPr>
            <w:tcW w:w="784" w:type="dxa"/>
            <w:vAlign w:val="center"/>
            <w:hideMark/>
          </w:tcPr>
          <w:p w14:paraId="6E1BA1A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900</w:t>
            </w:r>
          </w:p>
        </w:tc>
        <w:tc>
          <w:tcPr>
            <w:tcW w:w="827" w:type="dxa"/>
            <w:vAlign w:val="center"/>
            <w:hideMark/>
          </w:tcPr>
          <w:p w14:paraId="3515A4E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23835</w:t>
            </w:r>
          </w:p>
        </w:tc>
        <w:tc>
          <w:tcPr>
            <w:tcW w:w="992" w:type="dxa"/>
            <w:vAlign w:val="center"/>
            <w:hideMark/>
          </w:tcPr>
          <w:p w14:paraId="1A647AA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23711</w:t>
            </w:r>
          </w:p>
        </w:tc>
        <w:tc>
          <w:tcPr>
            <w:tcW w:w="709" w:type="dxa"/>
            <w:vAlign w:val="center"/>
            <w:hideMark/>
          </w:tcPr>
          <w:p w14:paraId="1BC223C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124</w:t>
            </w:r>
          </w:p>
        </w:tc>
      </w:tr>
      <w:tr w:rsidR="00B17D98" w:rsidRPr="00DD6F35" w14:paraId="5D553FCC" w14:textId="77777777" w:rsidTr="008C2F5A">
        <w:trPr>
          <w:trHeight w:val="20"/>
          <w:jc w:val="center"/>
        </w:trPr>
        <w:tc>
          <w:tcPr>
            <w:tcW w:w="853" w:type="dxa"/>
            <w:vAlign w:val="center"/>
            <w:hideMark/>
          </w:tcPr>
          <w:p w14:paraId="5D66B27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1981-82</w:t>
            </w:r>
          </w:p>
        </w:tc>
        <w:tc>
          <w:tcPr>
            <w:tcW w:w="854" w:type="dxa"/>
            <w:vAlign w:val="center"/>
            <w:hideMark/>
          </w:tcPr>
          <w:p w14:paraId="47DA103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19414</w:t>
            </w:r>
          </w:p>
        </w:tc>
        <w:tc>
          <w:tcPr>
            <w:tcW w:w="805" w:type="dxa"/>
            <w:vAlign w:val="center"/>
            <w:hideMark/>
          </w:tcPr>
          <w:p w14:paraId="13AC342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15140</w:t>
            </w:r>
          </w:p>
        </w:tc>
        <w:tc>
          <w:tcPr>
            <w:tcW w:w="964" w:type="dxa"/>
            <w:vAlign w:val="center"/>
            <w:hideMark/>
          </w:tcPr>
          <w:p w14:paraId="50592B1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15433</w:t>
            </w:r>
          </w:p>
        </w:tc>
        <w:tc>
          <w:tcPr>
            <w:tcW w:w="817" w:type="dxa"/>
            <w:vAlign w:val="center"/>
            <w:hideMark/>
          </w:tcPr>
          <w:p w14:paraId="07D6B4F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12590</w:t>
            </w:r>
          </w:p>
        </w:tc>
        <w:tc>
          <w:tcPr>
            <w:tcW w:w="594" w:type="dxa"/>
            <w:vAlign w:val="center"/>
            <w:hideMark/>
          </w:tcPr>
          <w:p w14:paraId="52E88C7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-293</w:t>
            </w:r>
          </w:p>
        </w:tc>
        <w:tc>
          <w:tcPr>
            <w:tcW w:w="778" w:type="dxa"/>
            <w:vAlign w:val="center"/>
            <w:hideMark/>
          </w:tcPr>
          <w:p w14:paraId="3E61A84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17504</w:t>
            </w:r>
          </w:p>
        </w:tc>
        <w:tc>
          <w:tcPr>
            <w:tcW w:w="745" w:type="dxa"/>
            <w:vAlign w:val="center"/>
            <w:hideMark/>
          </w:tcPr>
          <w:p w14:paraId="438210C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10407</w:t>
            </w:r>
          </w:p>
        </w:tc>
        <w:tc>
          <w:tcPr>
            <w:tcW w:w="763" w:type="dxa"/>
            <w:vAlign w:val="center"/>
            <w:hideMark/>
          </w:tcPr>
          <w:p w14:paraId="6FCA595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16193</w:t>
            </w:r>
          </w:p>
        </w:tc>
        <w:tc>
          <w:tcPr>
            <w:tcW w:w="784" w:type="dxa"/>
            <w:vAlign w:val="center"/>
            <w:hideMark/>
          </w:tcPr>
          <w:p w14:paraId="40D3320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1311</w:t>
            </w:r>
          </w:p>
        </w:tc>
        <w:tc>
          <w:tcPr>
            <w:tcW w:w="827" w:type="dxa"/>
            <w:vAlign w:val="center"/>
            <w:hideMark/>
          </w:tcPr>
          <w:p w14:paraId="0133307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28881</w:t>
            </w:r>
          </w:p>
        </w:tc>
        <w:tc>
          <w:tcPr>
            <w:tcW w:w="992" w:type="dxa"/>
            <w:vAlign w:val="center"/>
            <w:hideMark/>
          </w:tcPr>
          <w:p w14:paraId="23D699E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27864</w:t>
            </w:r>
          </w:p>
        </w:tc>
        <w:tc>
          <w:tcPr>
            <w:tcW w:w="709" w:type="dxa"/>
            <w:vAlign w:val="center"/>
            <w:hideMark/>
          </w:tcPr>
          <w:p w14:paraId="7ADBCD0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1017</w:t>
            </w:r>
          </w:p>
        </w:tc>
      </w:tr>
      <w:tr w:rsidR="00B17D98" w:rsidRPr="00DD6F35" w14:paraId="26A2B5FC" w14:textId="77777777" w:rsidTr="008C2F5A">
        <w:trPr>
          <w:trHeight w:val="20"/>
          <w:jc w:val="center"/>
        </w:trPr>
        <w:tc>
          <w:tcPr>
            <w:tcW w:w="853" w:type="dxa"/>
            <w:vAlign w:val="center"/>
            <w:hideMark/>
          </w:tcPr>
          <w:p w14:paraId="2A7D6AD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1982-83</w:t>
            </w:r>
          </w:p>
        </w:tc>
        <w:tc>
          <w:tcPr>
            <w:tcW w:w="854" w:type="dxa"/>
            <w:vAlign w:val="center"/>
            <w:hideMark/>
          </w:tcPr>
          <w:p w14:paraId="2877E1D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22146</w:t>
            </w:r>
          </w:p>
        </w:tc>
        <w:tc>
          <w:tcPr>
            <w:tcW w:w="805" w:type="dxa"/>
            <w:vAlign w:val="center"/>
            <w:hideMark/>
          </w:tcPr>
          <w:p w14:paraId="1A1FCFF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17507</w:t>
            </w:r>
          </w:p>
        </w:tc>
        <w:tc>
          <w:tcPr>
            <w:tcW w:w="964" w:type="dxa"/>
            <w:vAlign w:val="center"/>
            <w:hideMark/>
          </w:tcPr>
          <w:p w14:paraId="517B29C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18761</w:t>
            </w:r>
          </w:p>
        </w:tc>
        <w:tc>
          <w:tcPr>
            <w:tcW w:w="817" w:type="dxa"/>
            <w:vAlign w:val="center"/>
            <w:hideMark/>
          </w:tcPr>
          <w:p w14:paraId="7CFE7D5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15177</w:t>
            </w:r>
          </w:p>
        </w:tc>
        <w:tc>
          <w:tcPr>
            <w:tcW w:w="594" w:type="dxa"/>
            <w:vAlign w:val="center"/>
            <w:hideMark/>
          </w:tcPr>
          <w:p w14:paraId="4A1BB92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-1254</w:t>
            </w:r>
          </w:p>
        </w:tc>
        <w:tc>
          <w:tcPr>
            <w:tcW w:w="778" w:type="dxa"/>
            <w:vAlign w:val="center"/>
            <w:hideMark/>
          </w:tcPr>
          <w:p w14:paraId="249B679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20243</w:t>
            </w:r>
          </w:p>
        </w:tc>
        <w:tc>
          <w:tcPr>
            <w:tcW w:w="745" w:type="dxa"/>
            <w:vAlign w:val="center"/>
            <w:hideMark/>
          </w:tcPr>
          <w:p w14:paraId="78E1AB7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12026</w:t>
            </w:r>
          </w:p>
        </w:tc>
        <w:tc>
          <w:tcPr>
            <w:tcW w:w="763" w:type="dxa"/>
            <w:vAlign w:val="center"/>
            <w:hideMark/>
          </w:tcPr>
          <w:p w14:paraId="047C33D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19354</w:t>
            </w:r>
          </w:p>
        </w:tc>
        <w:tc>
          <w:tcPr>
            <w:tcW w:w="784" w:type="dxa"/>
            <w:vAlign w:val="center"/>
            <w:hideMark/>
          </w:tcPr>
          <w:p w14:paraId="2BDCEAA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889</w:t>
            </w:r>
          </w:p>
        </w:tc>
        <w:tc>
          <w:tcPr>
            <w:tcW w:w="827" w:type="dxa"/>
            <w:vAlign w:val="center"/>
            <w:hideMark/>
          </w:tcPr>
          <w:p w14:paraId="55233A6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33086</w:t>
            </w:r>
          </w:p>
        </w:tc>
        <w:tc>
          <w:tcPr>
            <w:tcW w:w="992" w:type="dxa"/>
            <w:vAlign w:val="center"/>
            <w:hideMark/>
          </w:tcPr>
          <w:p w14:paraId="43842F3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33451</w:t>
            </w:r>
          </w:p>
        </w:tc>
        <w:tc>
          <w:tcPr>
            <w:tcW w:w="709" w:type="dxa"/>
            <w:vAlign w:val="center"/>
            <w:hideMark/>
          </w:tcPr>
          <w:p w14:paraId="411390B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-365</w:t>
            </w:r>
          </w:p>
        </w:tc>
      </w:tr>
      <w:tr w:rsidR="00B17D98" w:rsidRPr="00DD6F35" w14:paraId="0C16DBC4" w14:textId="77777777" w:rsidTr="008C2F5A">
        <w:trPr>
          <w:trHeight w:val="20"/>
          <w:jc w:val="center"/>
        </w:trPr>
        <w:tc>
          <w:tcPr>
            <w:tcW w:w="853" w:type="dxa"/>
            <w:vAlign w:val="center"/>
            <w:hideMark/>
          </w:tcPr>
          <w:p w14:paraId="4B2C5CA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1983-84</w:t>
            </w:r>
          </w:p>
        </w:tc>
        <w:tc>
          <w:tcPr>
            <w:tcW w:w="854" w:type="dxa"/>
            <w:vAlign w:val="center"/>
            <w:hideMark/>
          </w:tcPr>
          <w:p w14:paraId="7FEBB09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24963</w:t>
            </w:r>
          </w:p>
        </w:tc>
        <w:tc>
          <w:tcPr>
            <w:tcW w:w="805" w:type="dxa"/>
            <w:vAlign w:val="center"/>
            <w:hideMark/>
          </w:tcPr>
          <w:p w14:paraId="0FE33C1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19717</w:t>
            </w:r>
          </w:p>
        </w:tc>
        <w:tc>
          <w:tcPr>
            <w:tcW w:w="964" w:type="dxa"/>
            <w:vAlign w:val="center"/>
            <w:hideMark/>
          </w:tcPr>
          <w:p w14:paraId="1B86370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22115</w:t>
            </w:r>
          </w:p>
        </w:tc>
        <w:tc>
          <w:tcPr>
            <w:tcW w:w="817" w:type="dxa"/>
            <w:vAlign w:val="center"/>
            <w:hideMark/>
          </w:tcPr>
          <w:p w14:paraId="06F998C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17822</w:t>
            </w:r>
          </w:p>
        </w:tc>
        <w:tc>
          <w:tcPr>
            <w:tcW w:w="594" w:type="dxa"/>
            <w:vAlign w:val="center"/>
            <w:hideMark/>
          </w:tcPr>
          <w:p w14:paraId="3066DB9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-2398</w:t>
            </w:r>
          </w:p>
        </w:tc>
        <w:tc>
          <w:tcPr>
            <w:tcW w:w="778" w:type="dxa"/>
            <w:vAlign w:val="center"/>
            <w:hideMark/>
          </w:tcPr>
          <w:p w14:paraId="75030CC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22808</w:t>
            </w:r>
          </w:p>
        </w:tc>
        <w:tc>
          <w:tcPr>
            <w:tcW w:w="745" w:type="dxa"/>
            <w:vAlign w:val="center"/>
            <w:hideMark/>
          </w:tcPr>
          <w:p w14:paraId="110D9E0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13609</w:t>
            </w:r>
          </w:p>
        </w:tc>
        <w:tc>
          <w:tcPr>
            <w:tcW w:w="763" w:type="dxa"/>
            <w:vAlign w:val="center"/>
            <w:hideMark/>
          </w:tcPr>
          <w:p w14:paraId="5274893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22690</w:t>
            </w:r>
          </w:p>
        </w:tc>
        <w:tc>
          <w:tcPr>
            <w:tcW w:w="784" w:type="dxa"/>
            <w:vAlign w:val="center"/>
            <w:hideMark/>
          </w:tcPr>
          <w:p w14:paraId="5BC1344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218</w:t>
            </w:r>
          </w:p>
        </w:tc>
        <w:tc>
          <w:tcPr>
            <w:tcW w:w="827" w:type="dxa"/>
            <w:vAlign w:val="center"/>
            <w:hideMark/>
          </w:tcPr>
          <w:p w14:paraId="1DFEBF0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36959</w:t>
            </w:r>
          </w:p>
        </w:tc>
        <w:tc>
          <w:tcPr>
            <w:tcW w:w="992" w:type="dxa"/>
            <w:vAlign w:val="center"/>
            <w:hideMark/>
          </w:tcPr>
          <w:p w14:paraId="50F3AE2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39139</w:t>
            </w:r>
          </w:p>
        </w:tc>
        <w:tc>
          <w:tcPr>
            <w:tcW w:w="709" w:type="dxa"/>
            <w:vAlign w:val="center"/>
            <w:hideMark/>
          </w:tcPr>
          <w:p w14:paraId="2F6D3855"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-2180</w:t>
            </w:r>
          </w:p>
        </w:tc>
      </w:tr>
      <w:tr w:rsidR="00B17D98" w:rsidRPr="00DD6F35" w14:paraId="27A085AD" w14:textId="77777777" w:rsidTr="008C2F5A">
        <w:trPr>
          <w:trHeight w:val="20"/>
          <w:jc w:val="center"/>
        </w:trPr>
        <w:tc>
          <w:tcPr>
            <w:tcW w:w="853" w:type="dxa"/>
            <w:vAlign w:val="center"/>
            <w:hideMark/>
          </w:tcPr>
          <w:p w14:paraId="63F99B3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1984-85</w:t>
            </w:r>
          </w:p>
        </w:tc>
        <w:tc>
          <w:tcPr>
            <w:tcW w:w="854" w:type="dxa"/>
            <w:vAlign w:val="center"/>
            <w:hideMark/>
          </w:tcPr>
          <w:p w14:paraId="79C52D0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29326</w:t>
            </w:r>
          </w:p>
        </w:tc>
        <w:tc>
          <w:tcPr>
            <w:tcW w:w="805" w:type="dxa"/>
            <w:vAlign w:val="center"/>
            <w:hideMark/>
          </w:tcPr>
          <w:p w14:paraId="1C5C61E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23549</w:t>
            </w:r>
          </w:p>
        </w:tc>
        <w:tc>
          <w:tcPr>
            <w:tcW w:w="964" w:type="dxa"/>
            <w:vAlign w:val="center"/>
            <w:hideMark/>
          </w:tcPr>
          <w:p w14:paraId="1F2462A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27047</w:t>
            </w:r>
          </w:p>
        </w:tc>
        <w:tc>
          <w:tcPr>
            <w:tcW w:w="817" w:type="dxa"/>
            <w:vAlign w:val="center"/>
            <w:hideMark/>
          </w:tcPr>
          <w:p w14:paraId="51E8D5E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21994</w:t>
            </w:r>
          </w:p>
        </w:tc>
        <w:tc>
          <w:tcPr>
            <w:tcW w:w="594" w:type="dxa"/>
            <w:vAlign w:val="center"/>
            <w:hideMark/>
          </w:tcPr>
          <w:p w14:paraId="6C625B0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-3498</w:t>
            </w:r>
          </w:p>
        </w:tc>
        <w:tc>
          <w:tcPr>
            <w:tcW w:w="778" w:type="dxa"/>
            <w:vAlign w:val="center"/>
            <w:hideMark/>
          </w:tcPr>
          <w:p w14:paraId="144AF52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26220</w:t>
            </w:r>
          </w:p>
        </w:tc>
        <w:tc>
          <w:tcPr>
            <w:tcW w:w="745" w:type="dxa"/>
            <w:vAlign w:val="center"/>
            <w:hideMark/>
          </w:tcPr>
          <w:p w14:paraId="1AABE2A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15313</w:t>
            </w:r>
          </w:p>
        </w:tc>
        <w:tc>
          <w:tcPr>
            <w:tcW w:w="763" w:type="dxa"/>
            <w:vAlign w:val="center"/>
            <w:hideMark/>
          </w:tcPr>
          <w:p w14:paraId="4F23532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27118</w:t>
            </w:r>
          </w:p>
        </w:tc>
        <w:tc>
          <w:tcPr>
            <w:tcW w:w="784" w:type="dxa"/>
            <w:vAlign w:val="center"/>
            <w:hideMark/>
          </w:tcPr>
          <w:p w14:paraId="1939A5E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-899</w:t>
            </w:r>
          </w:p>
        </w:tc>
        <w:tc>
          <w:tcPr>
            <w:tcW w:w="827" w:type="dxa"/>
            <w:vAlign w:val="center"/>
            <w:hideMark/>
          </w:tcPr>
          <w:p w14:paraId="539E8B9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42933</w:t>
            </w:r>
          </w:p>
        </w:tc>
        <w:tc>
          <w:tcPr>
            <w:tcW w:w="992" w:type="dxa"/>
            <w:vAlign w:val="center"/>
            <w:hideMark/>
          </w:tcPr>
          <w:p w14:paraId="045E500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47329</w:t>
            </w:r>
          </w:p>
        </w:tc>
        <w:tc>
          <w:tcPr>
            <w:tcW w:w="709" w:type="dxa"/>
            <w:vAlign w:val="center"/>
            <w:hideMark/>
          </w:tcPr>
          <w:p w14:paraId="31305E5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-4396</w:t>
            </w:r>
          </w:p>
        </w:tc>
      </w:tr>
      <w:tr w:rsidR="00B17D98" w:rsidRPr="00DD6F35" w14:paraId="2BD06921" w14:textId="77777777" w:rsidTr="008C2F5A">
        <w:trPr>
          <w:trHeight w:val="20"/>
          <w:jc w:val="center"/>
        </w:trPr>
        <w:tc>
          <w:tcPr>
            <w:tcW w:w="853" w:type="dxa"/>
            <w:vAlign w:val="center"/>
            <w:hideMark/>
          </w:tcPr>
          <w:p w14:paraId="543515A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1985-86</w:t>
            </w:r>
          </w:p>
        </w:tc>
        <w:tc>
          <w:tcPr>
            <w:tcW w:w="854" w:type="dxa"/>
            <w:vAlign w:val="center"/>
            <w:hideMark/>
          </w:tcPr>
          <w:p w14:paraId="138CF01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35535</w:t>
            </w:r>
          </w:p>
        </w:tc>
        <w:tc>
          <w:tcPr>
            <w:tcW w:w="805" w:type="dxa"/>
            <w:vAlign w:val="center"/>
            <w:hideMark/>
          </w:tcPr>
          <w:p w14:paraId="20E3EB0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28044</w:t>
            </w:r>
          </w:p>
        </w:tc>
        <w:tc>
          <w:tcPr>
            <w:tcW w:w="964" w:type="dxa"/>
            <w:vAlign w:val="center"/>
            <w:hideMark/>
          </w:tcPr>
          <w:p w14:paraId="62BBBC9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33608</w:t>
            </w:r>
          </w:p>
        </w:tc>
        <w:tc>
          <w:tcPr>
            <w:tcW w:w="817" w:type="dxa"/>
            <w:vAlign w:val="center"/>
            <w:hideMark/>
          </w:tcPr>
          <w:p w14:paraId="573DBE6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27053</w:t>
            </w:r>
          </w:p>
        </w:tc>
        <w:tc>
          <w:tcPr>
            <w:tcW w:w="594" w:type="dxa"/>
            <w:vAlign w:val="center"/>
            <w:hideMark/>
          </w:tcPr>
          <w:p w14:paraId="76BF147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-5565</w:t>
            </w:r>
          </w:p>
        </w:tc>
        <w:tc>
          <w:tcPr>
            <w:tcW w:w="778" w:type="dxa"/>
            <w:vAlign w:val="center"/>
            <w:hideMark/>
          </w:tcPr>
          <w:p w14:paraId="1B81144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31906</w:t>
            </w:r>
          </w:p>
        </w:tc>
        <w:tc>
          <w:tcPr>
            <w:tcW w:w="745" w:type="dxa"/>
            <w:vAlign w:val="center"/>
            <w:hideMark/>
          </w:tcPr>
          <w:p w14:paraId="41F3321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18091</w:t>
            </w:r>
          </w:p>
        </w:tc>
        <w:tc>
          <w:tcPr>
            <w:tcW w:w="763" w:type="dxa"/>
            <w:vAlign w:val="center"/>
            <w:hideMark/>
          </w:tcPr>
          <w:p w14:paraId="29D4AD5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31362</w:t>
            </w:r>
          </w:p>
        </w:tc>
        <w:tc>
          <w:tcPr>
            <w:tcW w:w="784" w:type="dxa"/>
            <w:vAlign w:val="center"/>
            <w:hideMark/>
          </w:tcPr>
          <w:p w14:paraId="5F09A88F"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544</w:t>
            </w:r>
          </w:p>
        </w:tc>
        <w:tc>
          <w:tcPr>
            <w:tcW w:w="827" w:type="dxa"/>
            <w:vAlign w:val="center"/>
            <w:hideMark/>
          </w:tcPr>
          <w:p w14:paraId="10944F4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51011</w:t>
            </w:r>
          </w:p>
        </w:tc>
        <w:tc>
          <w:tcPr>
            <w:tcW w:w="992" w:type="dxa"/>
            <w:vAlign w:val="center"/>
            <w:hideMark/>
          </w:tcPr>
          <w:p w14:paraId="24B1AAF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56031</w:t>
            </w:r>
          </w:p>
        </w:tc>
        <w:tc>
          <w:tcPr>
            <w:tcW w:w="709" w:type="dxa"/>
            <w:vAlign w:val="center"/>
            <w:hideMark/>
          </w:tcPr>
          <w:p w14:paraId="4EF86F3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-5021</w:t>
            </w:r>
          </w:p>
        </w:tc>
      </w:tr>
      <w:tr w:rsidR="00B17D98" w:rsidRPr="00DD6F35" w14:paraId="6280A243" w14:textId="77777777" w:rsidTr="008C2F5A">
        <w:trPr>
          <w:trHeight w:val="20"/>
          <w:jc w:val="center"/>
        </w:trPr>
        <w:tc>
          <w:tcPr>
            <w:tcW w:w="853" w:type="dxa"/>
            <w:vAlign w:val="center"/>
            <w:hideMark/>
          </w:tcPr>
          <w:p w14:paraId="755DD50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1986-87</w:t>
            </w:r>
          </w:p>
        </w:tc>
        <w:tc>
          <w:tcPr>
            <w:tcW w:w="854" w:type="dxa"/>
            <w:vAlign w:val="center"/>
            <w:hideMark/>
          </w:tcPr>
          <w:p w14:paraId="2BC256A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41426</w:t>
            </w:r>
          </w:p>
        </w:tc>
        <w:tc>
          <w:tcPr>
            <w:tcW w:w="805" w:type="dxa"/>
            <w:vAlign w:val="center"/>
            <w:hideMark/>
          </w:tcPr>
          <w:p w14:paraId="5983B1F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32950</w:t>
            </w:r>
          </w:p>
        </w:tc>
        <w:tc>
          <w:tcPr>
            <w:tcW w:w="964" w:type="dxa"/>
            <w:vAlign w:val="center"/>
            <w:hideMark/>
          </w:tcPr>
          <w:p w14:paraId="2C4F346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40726</w:t>
            </w:r>
          </w:p>
        </w:tc>
        <w:tc>
          <w:tcPr>
            <w:tcW w:w="817" w:type="dxa"/>
            <w:vAlign w:val="center"/>
            <w:hideMark/>
          </w:tcPr>
          <w:p w14:paraId="759983C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33685</w:t>
            </w:r>
          </w:p>
        </w:tc>
        <w:tc>
          <w:tcPr>
            <w:tcW w:w="594" w:type="dxa"/>
            <w:vAlign w:val="center"/>
            <w:hideMark/>
          </w:tcPr>
          <w:p w14:paraId="1D60F33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-7776</w:t>
            </w:r>
          </w:p>
        </w:tc>
        <w:tc>
          <w:tcPr>
            <w:tcW w:w="778" w:type="dxa"/>
            <w:vAlign w:val="center"/>
            <w:hideMark/>
          </w:tcPr>
          <w:p w14:paraId="2B5E2B0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35981</w:t>
            </w:r>
          </w:p>
        </w:tc>
        <w:tc>
          <w:tcPr>
            <w:tcW w:w="745" w:type="dxa"/>
            <w:vAlign w:val="center"/>
            <w:hideMark/>
          </w:tcPr>
          <w:p w14:paraId="56A5033B"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20581</w:t>
            </w:r>
          </w:p>
        </w:tc>
        <w:tc>
          <w:tcPr>
            <w:tcW w:w="763" w:type="dxa"/>
            <w:vAlign w:val="center"/>
            <w:hideMark/>
          </w:tcPr>
          <w:p w14:paraId="1379D2E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35960</w:t>
            </w:r>
          </w:p>
        </w:tc>
        <w:tc>
          <w:tcPr>
            <w:tcW w:w="784" w:type="dxa"/>
            <w:vAlign w:val="center"/>
            <w:hideMark/>
          </w:tcPr>
          <w:p w14:paraId="439D24B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w:t>
            </w:r>
          </w:p>
        </w:tc>
        <w:tc>
          <w:tcPr>
            <w:tcW w:w="827" w:type="dxa"/>
            <w:vAlign w:val="center"/>
            <w:hideMark/>
          </w:tcPr>
          <w:p w14:paraId="7E97364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58434</w:t>
            </w:r>
          </w:p>
        </w:tc>
        <w:tc>
          <w:tcPr>
            <w:tcW w:w="992" w:type="dxa"/>
            <w:vAlign w:val="center"/>
            <w:hideMark/>
          </w:tcPr>
          <w:p w14:paraId="0A0B51C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66189</w:t>
            </w:r>
          </w:p>
        </w:tc>
        <w:tc>
          <w:tcPr>
            <w:tcW w:w="709" w:type="dxa"/>
            <w:vAlign w:val="center"/>
            <w:hideMark/>
          </w:tcPr>
          <w:p w14:paraId="6F4C706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-7755</w:t>
            </w:r>
          </w:p>
        </w:tc>
      </w:tr>
      <w:tr w:rsidR="00B17D98" w:rsidRPr="00DD6F35" w14:paraId="6CF0FBDC" w14:textId="77777777" w:rsidTr="008C2F5A">
        <w:trPr>
          <w:trHeight w:val="20"/>
          <w:jc w:val="center"/>
        </w:trPr>
        <w:tc>
          <w:tcPr>
            <w:tcW w:w="853" w:type="dxa"/>
            <w:vAlign w:val="center"/>
            <w:hideMark/>
          </w:tcPr>
          <w:p w14:paraId="7BDDE0F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1987-88 (RE)</w:t>
            </w:r>
          </w:p>
        </w:tc>
        <w:tc>
          <w:tcPr>
            <w:tcW w:w="854" w:type="dxa"/>
            <w:vAlign w:val="center"/>
            <w:hideMark/>
          </w:tcPr>
          <w:p w14:paraId="0A0B8061"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47906</w:t>
            </w:r>
          </w:p>
        </w:tc>
        <w:tc>
          <w:tcPr>
            <w:tcW w:w="805" w:type="dxa"/>
            <w:vAlign w:val="center"/>
            <w:hideMark/>
          </w:tcPr>
          <w:p w14:paraId="7648C26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38308</w:t>
            </w:r>
          </w:p>
        </w:tc>
        <w:tc>
          <w:tcPr>
            <w:tcW w:w="964" w:type="dxa"/>
            <w:vAlign w:val="center"/>
            <w:hideMark/>
          </w:tcPr>
          <w:p w14:paraId="6057005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46804</w:t>
            </w:r>
          </w:p>
        </w:tc>
        <w:tc>
          <w:tcPr>
            <w:tcW w:w="817" w:type="dxa"/>
            <w:vAlign w:val="center"/>
            <w:hideMark/>
          </w:tcPr>
          <w:p w14:paraId="04B4436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38228</w:t>
            </w:r>
          </w:p>
        </w:tc>
        <w:tc>
          <w:tcPr>
            <w:tcW w:w="594" w:type="dxa"/>
            <w:vAlign w:val="center"/>
            <w:hideMark/>
          </w:tcPr>
          <w:p w14:paraId="128A725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-8497</w:t>
            </w:r>
          </w:p>
        </w:tc>
        <w:tc>
          <w:tcPr>
            <w:tcW w:w="778" w:type="dxa"/>
            <w:vAlign w:val="center"/>
            <w:hideMark/>
          </w:tcPr>
          <w:p w14:paraId="6450C4EC"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41383</w:t>
            </w:r>
          </w:p>
        </w:tc>
        <w:tc>
          <w:tcPr>
            <w:tcW w:w="745" w:type="dxa"/>
            <w:vAlign w:val="center"/>
            <w:hideMark/>
          </w:tcPr>
          <w:p w14:paraId="099F8BB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23341</w:t>
            </w:r>
          </w:p>
        </w:tc>
        <w:tc>
          <w:tcPr>
            <w:tcW w:w="763" w:type="dxa"/>
            <w:vAlign w:val="center"/>
            <w:hideMark/>
          </w:tcPr>
          <w:p w14:paraId="48BFE09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43012</w:t>
            </w:r>
          </w:p>
        </w:tc>
        <w:tc>
          <w:tcPr>
            <w:tcW w:w="784" w:type="dxa"/>
            <w:vAlign w:val="center"/>
            <w:hideMark/>
          </w:tcPr>
          <w:p w14:paraId="0417FD64"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-1629</w:t>
            </w:r>
          </w:p>
        </w:tc>
        <w:tc>
          <w:tcPr>
            <w:tcW w:w="827" w:type="dxa"/>
            <w:vAlign w:val="center"/>
            <w:hideMark/>
          </w:tcPr>
          <w:p w14:paraId="2760947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67349</w:t>
            </w:r>
          </w:p>
        </w:tc>
        <w:tc>
          <w:tcPr>
            <w:tcW w:w="992" w:type="dxa"/>
            <w:vAlign w:val="center"/>
            <w:hideMark/>
          </w:tcPr>
          <w:p w14:paraId="3F2C300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77474</w:t>
            </w:r>
          </w:p>
        </w:tc>
        <w:tc>
          <w:tcPr>
            <w:tcW w:w="709" w:type="dxa"/>
            <w:vAlign w:val="center"/>
            <w:hideMark/>
          </w:tcPr>
          <w:p w14:paraId="1D3A9EF6"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-10125</w:t>
            </w:r>
          </w:p>
        </w:tc>
      </w:tr>
      <w:tr w:rsidR="00B17D98" w:rsidRPr="00DD6F35" w14:paraId="148D3F1E" w14:textId="77777777" w:rsidTr="008C2F5A">
        <w:trPr>
          <w:trHeight w:val="20"/>
          <w:jc w:val="center"/>
        </w:trPr>
        <w:tc>
          <w:tcPr>
            <w:tcW w:w="853" w:type="dxa"/>
            <w:vAlign w:val="center"/>
            <w:hideMark/>
          </w:tcPr>
          <w:p w14:paraId="73FB257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1988-89 (BE)</w:t>
            </w:r>
          </w:p>
        </w:tc>
        <w:tc>
          <w:tcPr>
            <w:tcW w:w="854" w:type="dxa"/>
            <w:vAlign w:val="center"/>
            <w:hideMark/>
          </w:tcPr>
          <w:p w14:paraId="04D98B39"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53671</w:t>
            </w:r>
          </w:p>
        </w:tc>
        <w:tc>
          <w:tcPr>
            <w:tcW w:w="805" w:type="dxa"/>
            <w:vAlign w:val="center"/>
            <w:hideMark/>
          </w:tcPr>
          <w:p w14:paraId="28BEAB5A"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43009</w:t>
            </w:r>
          </w:p>
        </w:tc>
        <w:tc>
          <w:tcPr>
            <w:tcW w:w="964" w:type="dxa"/>
            <w:vAlign w:val="center"/>
            <w:hideMark/>
          </w:tcPr>
          <w:p w14:paraId="35C0648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52851</w:t>
            </w:r>
          </w:p>
        </w:tc>
        <w:tc>
          <w:tcPr>
            <w:tcW w:w="817" w:type="dxa"/>
            <w:vAlign w:val="center"/>
            <w:hideMark/>
          </w:tcPr>
          <w:p w14:paraId="30DD57CD"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44111</w:t>
            </w:r>
          </w:p>
        </w:tc>
        <w:tc>
          <w:tcPr>
            <w:tcW w:w="594" w:type="dxa"/>
            <w:vAlign w:val="center"/>
            <w:hideMark/>
          </w:tcPr>
          <w:p w14:paraId="367E1543"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-9842</w:t>
            </w:r>
          </w:p>
        </w:tc>
        <w:tc>
          <w:tcPr>
            <w:tcW w:w="778" w:type="dxa"/>
            <w:vAlign w:val="center"/>
            <w:hideMark/>
          </w:tcPr>
          <w:p w14:paraId="1E02714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45549</w:t>
            </w:r>
          </w:p>
        </w:tc>
        <w:tc>
          <w:tcPr>
            <w:tcW w:w="745" w:type="dxa"/>
            <w:vAlign w:val="center"/>
            <w:hideMark/>
          </w:tcPr>
          <w:p w14:paraId="5EBF69C8"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26331</w:t>
            </w:r>
          </w:p>
        </w:tc>
        <w:tc>
          <w:tcPr>
            <w:tcW w:w="763" w:type="dxa"/>
            <w:vAlign w:val="center"/>
            <w:hideMark/>
          </w:tcPr>
          <w:p w14:paraId="704A0D12"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46622</w:t>
            </w:r>
          </w:p>
        </w:tc>
        <w:tc>
          <w:tcPr>
            <w:tcW w:w="784" w:type="dxa"/>
            <w:vAlign w:val="center"/>
            <w:hideMark/>
          </w:tcPr>
          <w:p w14:paraId="63E46F9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-1073</w:t>
            </w:r>
          </w:p>
        </w:tc>
        <w:tc>
          <w:tcPr>
            <w:tcW w:w="827" w:type="dxa"/>
            <w:vAlign w:val="center"/>
            <w:hideMark/>
          </w:tcPr>
          <w:p w14:paraId="4D98C340"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74781</w:t>
            </w:r>
          </w:p>
        </w:tc>
        <w:tc>
          <w:tcPr>
            <w:tcW w:w="992" w:type="dxa"/>
            <w:vAlign w:val="center"/>
            <w:hideMark/>
          </w:tcPr>
          <w:p w14:paraId="78874337"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85696</w:t>
            </w:r>
          </w:p>
        </w:tc>
        <w:tc>
          <w:tcPr>
            <w:tcW w:w="709" w:type="dxa"/>
            <w:vAlign w:val="center"/>
            <w:hideMark/>
          </w:tcPr>
          <w:p w14:paraId="782A946E" w14:textId="77777777" w:rsidR="009533DA" w:rsidRPr="00DD6F35" w:rsidRDefault="009533DA" w:rsidP="00C2544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-10915</w:t>
            </w:r>
          </w:p>
        </w:tc>
      </w:tr>
    </w:tbl>
    <w:p w14:paraId="35B237A0" w14:textId="77777777" w:rsidR="00B949B4" w:rsidRPr="00DD6F35" w:rsidRDefault="00B17D98" w:rsidP="009533DA">
      <w:pPr>
        <w:pStyle w:val="NoSpacing"/>
        <w:rPr>
          <w:rFonts w:ascii="Times New Roman" w:hAnsi="Times New Roman" w:cs="Times New Roman"/>
          <w:sz w:val="16"/>
          <w:szCs w:val="14"/>
        </w:rPr>
      </w:pPr>
      <w:proofErr w:type="gramStart"/>
      <w:r w:rsidRPr="00DD6F35">
        <w:rPr>
          <w:rFonts w:ascii="Times New Roman" w:hAnsi="Times New Roman" w:cs="Times New Roman"/>
          <w:sz w:val="16"/>
          <w:szCs w:val="14"/>
        </w:rPr>
        <w:t>Note :</w:t>
      </w:r>
      <w:proofErr w:type="gramEnd"/>
      <w:r w:rsidRPr="00DD6F35">
        <w:rPr>
          <w:rFonts w:ascii="Times New Roman" w:hAnsi="Times New Roman" w:cs="Times New Roman"/>
          <w:sz w:val="16"/>
          <w:szCs w:val="14"/>
        </w:rPr>
        <w:t xml:space="preserve"> States include Union Territories </w:t>
      </w:r>
    </w:p>
    <w:p w14:paraId="51A6A288" w14:textId="1CFE47B6" w:rsidR="00B17D98" w:rsidRPr="00DD6F35" w:rsidRDefault="00B17D98" w:rsidP="00DD6F35">
      <w:pPr>
        <w:pStyle w:val="NoSpacing"/>
        <w:rPr>
          <w:rFonts w:ascii="Times New Roman" w:hAnsi="Times New Roman" w:cs="Times New Roman"/>
          <w:sz w:val="16"/>
          <w:szCs w:val="14"/>
        </w:rPr>
      </w:pPr>
      <w:proofErr w:type="gramStart"/>
      <w:r w:rsidRPr="00DD6F35">
        <w:rPr>
          <w:rFonts w:ascii="Times New Roman" w:hAnsi="Times New Roman" w:cs="Times New Roman"/>
          <w:sz w:val="16"/>
          <w:szCs w:val="14"/>
        </w:rPr>
        <w:t>Source :</w:t>
      </w:r>
      <w:proofErr w:type="gramEnd"/>
      <w:r w:rsidRPr="00DD6F35">
        <w:rPr>
          <w:rFonts w:ascii="Times New Roman" w:hAnsi="Times New Roman" w:cs="Times New Roman"/>
          <w:sz w:val="16"/>
          <w:szCs w:val="14"/>
        </w:rPr>
        <w:t xml:space="preserve"> "Indian Economic Statistics - Public Finance, "Ministry of Finance, Government of India."</w:t>
      </w:r>
    </w:p>
    <w:p w14:paraId="31C85379" w14:textId="7F78632F" w:rsidR="009533DA" w:rsidRPr="00DD6F35" w:rsidRDefault="009533DA" w:rsidP="00DC5111">
      <w:pPr>
        <w:pStyle w:val="Heading2"/>
        <w:rPr>
          <w:sz w:val="20"/>
          <w:szCs w:val="20"/>
        </w:rPr>
      </w:pPr>
      <w:bookmarkStart w:id="45" w:name="_Toc221292978"/>
      <w:bookmarkStart w:id="46" w:name="_Toc222399472"/>
      <w:r w:rsidRPr="00DD6F35">
        <w:rPr>
          <w:sz w:val="20"/>
          <w:szCs w:val="20"/>
        </w:rPr>
        <w:t>ANNEXURE II.2</w:t>
      </w:r>
      <w:r w:rsidR="00DC5111" w:rsidRPr="00DD6F35">
        <w:rPr>
          <w:sz w:val="20"/>
          <w:szCs w:val="20"/>
        </w:rPr>
        <w:br/>
      </w:r>
      <w:r w:rsidRPr="00DD6F35">
        <w:rPr>
          <w:sz w:val="20"/>
          <w:szCs w:val="20"/>
        </w:rPr>
        <w:t xml:space="preserve">Revenue Surplus/Deficit </w:t>
      </w:r>
      <w:proofErr w:type="gramStart"/>
      <w:r w:rsidRPr="00DD6F35">
        <w:rPr>
          <w:sz w:val="20"/>
          <w:szCs w:val="20"/>
        </w:rPr>
        <w:t>Of</w:t>
      </w:r>
      <w:proofErr w:type="gramEnd"/>
      <w:r w:rsidRPr="00DD6F35">
        <w:rPr>
          <w:sz w:val="20"/>
          <w:szCs w:val="20"/>
        </w:rPr>
        <w:t xml:space="preserve"> Central </w:t>
      </w:r>
      <w:proofErr w:type="gramStart"/>
      <w:r w:rsidRPr="00DD6F35">
        <w:rPr>
          <w:sz w:val="20"/>
          <w:szCs w:val="20"/>
        </w:rPr>
        <w:t>And</w:t>
      </w:r>
      <w:proofErr w:type="gramEnd"/>
      <w:r w:rsidRPr="00DD6F35">
        <w:rPr>
          <w:sz w:val="20"/>
          <w:szCs w:val="20"/>
        </w:rPr>
        <w:t xml:space="preserve"> State Governments</w:t>
      </w:r>
      <w:bookmarkEnd w:id="45"/>
      <w:bookmarkEnd w:id="46"/>
    </w:p>
    <w:p w14:paraId="6838B22A" w14:textId="77777777" w:rsidR="00DC5111" w:rsidRPr="00DD6F35" w:rsidRDefault="00DC5111" w:rsidP="00DC5111">
      <w:pPr>
        <w:pStyle w:val="NoSpacing"/>
        <w:jc w:val="center"/>
        <w:rPr>
          <w:rFonts w:ascii="Times New Roman" w:hAnsi="Times New Roman" w:cs="Times New Roman"/>
          <w:sz w:val="18"/>
          <w:szCs w:val="16"/>
        </w:rPr>
      </w:pPr>
      <w:r w:rsidRPr="00DD6F35">
        <w:rPr>
          <w:rFonts w:ascii="Times New Roman" w:hAnsi="Times New Roman" w:cs="Times New Roman"/>
          <w:i/>
          <w:iCs/>
          <w:sz w:val="18"/>
          <w:szCs w:val="16"/>
        </w:rPr>
        <w:t>(Para 2.3)</w:t>
      </w:r>
    </w:p>
    <w:p w14:paraId="6D372005" w14:textId="6438DB00" w:rsidR="009533DA" w:rsidRPr="00DC5111" w:rsidRDefault="00DC5111" w:rsidP="00DC5111">
      <w:pPr>
        <w:pStyle w:val="NoSpacing"/>
        <w:jc w:val="center"/>
        <w:rPr>
          <w:rFonts w:ascii="Times New Roman" w:hAnsi="Times New Roman" w:cs="Times New Roman"/>
          <w:sz w:val="18"/>
          <w:szCs w:val="16"/>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9533DA" w:rsidRPr="00DC5111">
        <w:rPr>
          <w:rFonts w:ascii="Times New Roman" w:hAnsi="Times New Roman" w:cs="Times New Roman"/>
          <w:i/>
          <w:iCs/>
          <w:sz w:val="18"/>
          <w:szCs w:val="16"/>
        </w:rPr>
        <w:t>(Rs. Crore)</w:t>
      </w:r>
    </w:p>
    <w:tbl>
      <w:tblPr>
        <w:tblStyle w:val="TableGrid"/>
        <w:tblW w:w="8075" w:type="dxa"/>
        <w:jc w:val="center"/>
        <w:tblLook w:val="04A0" w:firstRow="1" w:lastRow="0" w:firstColumn="1" w:lastColumn="0" w:noHBand="0" w:noVBand="1"/>
      </w:tblPr>
      <w:tblGrid>
        <w:gridCol w:w="1122"/>
        <w:gridCol w:w="1000"/>
        <w:gridCol w:w="992"/>
        <w:gridCol w:w="992"/>
        <w:gridCol w:w="992"/>
        <w:gridCol w:w="1276"/>
        <w:gridCol w:w="1701"/>
      </w:tblGrid>
      <w:tr w:rsidR="00561752" w:rsidRPr="00DD6F35" w14:paraId="64F6CD54" w14:textId="77777777" w:rsidTr="00DD6F35">
        <w:trPr>
          <w:trHeight w:val="39"/>
          <w:jc w:val="center"/>
        </w:trPr>
        <w:tc>
          <w:tcPr>
            <w:tcW w:w="1122" w:type="dxa"/>
            <w:vAlign w:val="center"/>
            <w:hideMark/>
          </w:tcPr>
          <w:p w14:paraId="76D46290" w14:textId="77777777" w:rsidR="00561752" w:rsidRPr="00DD6F35" w:rsidRDefault="00561752"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Year</w:t>
            </w:r>
          </w:p>
        </w:tc>
        <w:tc>
          <w:tcPr>
            <w:tcW w:w="2984" w:type="dxa"/>
            <w:gridSpan w:val="3"/>
            <w:vAlign w:val="center"/>
            <w:hideMark/>
          </w:tcPr>
          <w:p w14:paraId="51E1F45A" w14:textId="3163D9D5" w:rsidR="00561752" w:rsidRPr="00DD6F35" w:rsidRDefault="00561752"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 xml:space="preserve">Revenue </w:t>
            </w:r>
            <w:proofErr w:type="gramStart"/>
            <w:r w:rsidRPr="00DD6F35">
              <w:rPr>
                <w:rFonts w:ascii="Times New Roman" w:hAnsi="Times New Roman" w:cs="Times New Roman"/>
                <w:b/>
                <w:bCs/>
                <w:sz w:val="16"/>
                <w:szCs w:val="16"/>
              </w:rPr>
              <w:t>Surplus(</w:t>
            </w:r>
            <w:proofErr w:type="gramEnd"/>
            <w:r w:rsidRPr="00DD6F35">
              <w:rPr>
                <w:rFonts w:ascii="Times New Roman" w:hAnsi="Times New Roman" w:cs="Times New Roman"/>
                <w:b/>
                <w:bCs/>
                <w:sz w:val="16"/>
                <w:szCs w:val="16"/>
              </w:rPr>
              <w:t>+) /</w:t>
            </w:r>
            <w:proofErr w:type="gramStart"/>
            <w:r w:rsidRPr="00DD6F35">
              <w:rPr>
                <w:rFonts w:ascii="Times New Roman" w:hAnsi="Times New Roman" w:cs="Times New Roman"/>
                <w:b/>
                <w:bCs/>
                <w:sz w:val="16"/>
                <w:szCs w:val="16"/>
              </w:rPr>
              <w:t>Deficit(</w:t>
            </w:r>
            <w:proofErr w:type="gramEnd"/>
            <w:r w:rsidRPr="00DD6F35">
              <w:rPr>
                <w:rFonts w:ascii="Times New Roman" w:hAnsi="Times New Roman" w:cs="Times New Roman"/>
                <w:b/>
                <w:bCs/>
                <w:sz w:val="16"/>
                <w:szCs w:val="16"/>
              </w:rPr>
              <w:t>-)</w:t>
            </w:r>
          </w:p>
        </w:tc>
        <w:tc>
          <w:tcPr>
            <w:tcW w:w="3969" w:type="dxa"/>
            <w:gridSpan w:val="3"/>
            <w:vAlign w:val="center"/>
            <w:hideMark/>
          </w:tcPr>
          <w:p w14:paraId="5AF61842" w14:textId="79315C23" w:rsidR="00561752" w:rsidRPr="00DD6F35" w:rsidRDefault="00561752"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 xml:space="preserve">Percentage of Revenue </w:t>
            </w:r>
            <w:proofErr w:type="gramStart"/>
            <w:r w:rsidRPr="00DD6F35">
              <w:rPr>
                <w:rFonts w:ascii="Times New Roman" w:hAnsi="Times New Roman" w:cs="Times New Roman"/>
                <w:b/>
                <w:bCs/>
                <w:sz w:val="16"/>
                <w:szCs w:val="16"/>
              </w:rPr>
              <w:t>Surplus(</w:t>
            </w:r>
            <w:proofErr w:type="gramEnd"/>
            <w:r w:rsidRPr="00DD6F35">
              <w:rPr>
                <w:rFonts w:ascii="Times New Roman" w:hAnsi="Times New Roman" w:cs="Times New Roman"/>
                <w:b/>
                <w:bCs/>
                <w:sz w:val="16"/>
                <w:szCs w:val="16"/>
              </w:rPr>
              <w:t xml:space="preserve">+)/ </w:t>
            </w:r>
            <w:proofErr w:type="gramStart"/>
            <w:r w:rsidRPr="00DD6F35">
              <w:rPr>
                <w:rFonts w:ascii="Times New Roman" w:hAnsi="Times New Roman" w:cs="Times New Roman"/>
                <w:b/>
                <w:bCs/>
                <w:sz w:val="16"/>
                <w:szCs w:val="16"/>
              </w:rPr>
              <w:t>Deficit(</w:t>
            </w:r>
            <w:proofErr w:type="gramEnd"/>
            <w:r w:rsidRPr="00DD6F35">
              <w:rPr>
                <w:rFonts w:ascii="Times New Roman" w:hAnsi="Times New Roman" w:cs="Times New Roman"/>
                <w:b/>
                <w:bCs/>
                <w:sz w:val="16"/>
                <w:szCs w:val="16"/>
              </w:rPr>
              <w:t>-) to GDP</w:t>
            </w:r>
          </w:p>
        </w:tc>
      </w:tr>
      <w:tr w:rsidR="00B949B4" w:rsidRPr="00DD6F35" w14:paraId="48E9627A" w14:textId="77777777" w:rsidTr="00DD6F35">
        <w:trPr>
          <w:trHeight w:val="39"/>
          <w:jc w:val="center"/>
        </w:trPr>
        <w:tc>
          <w:tcPr>
            <w:tcW w:w="1122" w:type="dxa"/>
            <w:vAlign w:val="center"/>
            <w:hideMark/>
          </w:tcPr>
          <w:p w14:paraId="6B2FFB69" w14:textId="77777777" w:rsidR="00B949B4" w:rsidRPr="00DD6F35" w:rsidRDefault="00B949B4" w:rsidP="00DC5111">
            <w:pPr>
              <w:pStyle w:val="NoSpacing"/>
              <w:jc w:val="center"/>
              <w:rPr>
                <w:rFonts w:ascii="Times New Roman" w:hAnsi="Times New Roman" w:cs="Times New Roman"/>
                <w:b/>
                <w:bCs/>
                <w:sz w:val="16"/>
                <w:szCs w:val="16"/>
              </w:rPr>
            </w:pPr>
          </w:p>
        </w:tc>
        <w:tc>
          <w:tcPr>
            <w:tcW w:w="1000" w:type="dxa"/>
            <w:vAlign w:val="center"/>
            <w:hideMark/>
          </w:tcPr>
          <w:p w14:paraId="2ACCDA91" w14:textId="77777777" w:rsidR="00B949B4" w:rsidRPr="00DD6F35" w:rsidRDefault="00B949B4"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Centre</w:t>
            </w:r>
          </w:p>
        </w:tc>
        <w:tc>
          <w:tcPr>
            <w:tcW w:w="992" w:type="dxa"/>
            <w:vAlign w:val="center"/>
            <w:hideMark/>
          </w:tcPr>
          <w:p w14:paraId="0FE9A40D" w14:textId="77777777" w:rsidR="00B949B4" w:rsidRPr="00DD6F35" w:rsidRDefault="00B949B4"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States</w:t>
            </w:r>
          </w:p>
        </w:tc>
        <w:tc>
          <w:tcPr>
            <w:tcW w:w="992" w:type="dxa"/>
            <w:vAlign w:val="center"/>
            <w:hideMark/>
          </w:tcPr>
          <w:p w14:paraId="1147431E" w14:textId="77777777" w:rsidR="00B949B4" w:rsidRPr="00DD6F35" w:rsidRDefault="00B949B4"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Total</w:t>
            </w:r>
          </w:p>
        </w:tc>
        <w:tc>
          <w:tcPr>
            <w:tcW w:w="992" w:type="dxa"/>
            <w:vAlign w:val="center"/>
            <w:hideMark/>
          </w:tcPr>
          <w:p w14:paraId="75E698CE" w14:textId="77777777" w:rsidR="00B949B4" w:rsidRPr="00DD6F35" w:rsidRDefault="00B949B4"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Centre</w:t>
            </w:r>
          </w:p>
        </w:tc>
        <w:tc>
          <w:tcPr>
            <w:tcW w:w="1276" w:type="dxa"/>
            <w:vAlign w:val="center"/>
            <w:hideMark/>
          </w:tcPr>
          <w:p w14:paraId="2A811EE8" w14:textId="77777777" w:rsidR="00B949B4" w:rsidRPr="00DD6F35" w:rsidRDefault="00B949B4"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States</w:t>
            </w:r>
          </w:p>
        </w:tc>
        <w:tc>
          <w:tcPr>
            <w:tcW w:w="1701" w:type="dxa"/>
            <w:vAlign w:val="center"/>
            <w:hideMark/>
          </w:tcPr>
          <w:p w14:paraId="368B7EBA" w14:textId="77777777" w:rsidR="00B949B4" w:rsidRPr="00DD6F35" w:rsidRDefault="00B949B4" w:rsidP="00DC5111">
            <w:pPr>
              <w:pStyle w:val="NoSpacing"/>
              <w:jc w:val="center"/>
              <w:rPr>
                <w:rFonts w:ascii="Times New Roman" w:hAnsi="Times New Roman" w:cs="Times New Roman"/>
                <w:b/>
                <w:bCs/>
                <w:sz w:val="16"/>
                <w:szCs w:val="16"/>
              </w:rPr>
            </w:pPr>
            <w:r w:rsidRPr="00DD6F35">
              <w:rPr>
                <w:rFonts w:ascii="Times New Roman" w:hAnsi="Times New Roman" w:cs="Times New Roman"/>
                <w:b/>
                <w:bCs/>
                <w:sz w:val="16"/>
                <w:szCs w:val="16"/>
              </w:rPr>
              <w:t>Total</w:t>
            </w:r>
          </w:p>
        </w:tc>
      </w:tr>
      <w:tr w:rsidR="00B949B4" w:rsidRPr="00DD6F35" w14:paraId="7D92848B" w14:textId="77777777" w:rsidTr="00DD6F35">
        <w:trPr>
          <w:trHeight w:val="39"/>
          <w:jc w:val="center"/>
        </w:trPr>
        <w:tc>
          <w:tcPr>
            <w:tcW w:w="1122" w:type="dxa"/>
            <w:vAlign w:val="center"/>
            <w:hideMark/>
          </w:tcPr>
          <w:p w14:paraId="3C73BD95"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1980-81</w:t>
            </w:r>
          </w:p>
        </w:tc>
        <w:tc>
          <w:tcPr>
            <w:tcW w:w="1000" w:type="dxa"/>
            <w:vAlign w:val="center"/>
            <w:hideMark/>
          </w:tcPr>
          <w:p w14:paraId="3F3CE01C"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-777</w:t>
            </w:r>
          </w:p>
        </w:tc>
        <w:tc>
          <w:tcPr>
            <w:tcW w:w="992" w:type="dxa"/>
            <w:vAlign w:val="center"/>
            <w:hideMark/>
          </w:tcPr>
          <w:p w14:paraId="1D6E69FE"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900</w:t>
            </w:r>
          </w:p>
        </w:tc>
        <w:tc>
          <w:tcPr>
            <w:tcW w:w="992" w:type="dxa"/>
            <w:vAlign w:val="center"/>
            <w:hideMark/>
          </w:tcPr>
          <w:p w14:paraId="2FE4E441"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123</w:t>
            </w:r>
          </w:p>
        </w:tc>
        <w:tc>
          <w:tcPr>
            <w:tcW w:w="992" w:type="dxa"/>
            <w:vAlign w:val="center"/>
            <w:hideMark/>
          </w:tcPr>
          <w:p w14:paraId="7B15672E"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-0.57</w:t>
            </w:r>
          </w:p>
        </w:tc>
        <w:tc>
          <w:tcPr>
            <w:tcW w:w="1276" w:type="dxa"/>
            <w:vAlign w:val="center"/>
            <w:hideMark/>
          </w:tcPr>
          <w:p w14:paraId="7F243A2E"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0.66</w:t>
            </w:r>
          </w:p>
        </w:tc>
        <w:tc>
          <w:tcPr>
            <w:tcW w:w="1701" w:type="dxa"/>
            <w:vAlign w:val="center"/>
            <w:hideMark/>
          </w:tcPr>
          <w:p w14:paraId="2BD8FB43"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0.09</w:t>
            </w:r>
          </w:p>
        </w:tc>
      </w:tr>
      <w:tr w:rsidR="00B949B4" w:rsidRPr="00DD6F35" w14:paraId="4532A473" w14:textId="77777777" w:rsidTr="00DD6F35">
        <w:trPr>
          <w:trHeight w:val="39"/>
          <w:jc w:val="center"/>
        </w:trPr>
        <w:tc>
          <w:tcPr>
            <w:tcW w:w="1122" w:type="dxa"/>
            <w:vAlign w:val="center"/>
            <w:hideMark/>
          </w:tcPr>
          <w:p w14:paraId="78F3C865"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1981-82</w:t>
            </w:r>
          </w:p>
        </w:tc>
        <w:tc>
          <w:tcPr>
            <w:tcW w:w="1000" w:type="dxa"/>
            <w:vAlign w:val="center"/>
            <w:hideMark/>
          </w:tcPr>
          <w:p w14:paraId="3B5BCD4B"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-293</w:t>
            </w:r>
          </w:p>
        </w:tc>
        <w:tc>
          <w:tcPr>
            <w:tcW w:w="992" w:type="dxa"/>
            <w:vAlign w:val="center"/>
            <w:hideMark/>
          </w:tcPr>
          <w:p w14:paraId="4BDF80CD"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1311</w:t>
            </w:r>
          </w:p>
        </w:tc>
        <w:tc>
          <w:tcPr>
            <w:tcW w:w="992" w:type="dxa"/>
            <w:vAlign w:val="center"/>
            <w:hideMark/>
          </w:tcPr>
          <w:p w14:paraId="585D080C"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1018</w:t>
            </w:r>
          </w:p>
        </w:tc>
        <w:tc>
          <w:tcPr>
            <w:tcW w:w="992" w:type="dxa"/>
            <w:vAlign w:val="center"/>
            <w:hideMark/>
          </w:tcPr>
          <w:p w14:paraId="040A8A75"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-0.18</w:t>
            </w:r>
          </w:p>
        </w:tc>
        <w:tc>
          <w:tcPr>
            <w:tcW w:w="1276" w:type="dxa"/>
            <w:vAlign w:val="center"/>
            <w:hideMark/>
          </w:tcPr>
          <w:p w14:paraId="236E52AB"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0.82</w:t>
            </w:r>
          </w:p>
        </w:tc>
        <w:tc>
          <w:tcPr>
            <w:tcW w:w="1701" w:type="dxa"/>
            <w:vAlign w:val="center"/>
            <w:hideMark/>
          </w:tcPr>
          <w:p w14:paraId="5A662B62"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0.64</w:t>
            </w:r>
          </w:p>
        </w:tc>
      </w:tr>
      <w:tr w:rsidR="00B949B4" w:rsidRPr="00DD6F35" w14:paraId="0E07EA97" w14:textId="77777777" w:rsidTr="00DD6F35">
        <w:trPr>
          <w:trHeight w:val="39"/>
          <w:jc w:val="center"/>
        </w:trPr>
        <w:tc>
          <w:tcPr>
            <w:tcW w:w="1122" w:type="dxa"/>
            <w:vAlign w:val="center"/>
            <w:hideMark/>
          </w:tcPr>
          <w:p w14:paraId="42DB97DC"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1982-83</w:t>
            </w:r>
          </w:p>
        </w:tc>
        <w:tc>
          <w:tcPr>
            <w:tcW w:w="1000" w:type="dxa"/>
            <w:vAlign w:val="center"/>
            <w:hideMark/>
          </w:tcPr>
          <w:p w14:paraId="7D5DA2B8"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-1254</w:t>
            </w:r>
          </w:p>
        </w:tc>
        <w:tc>
          <w:tcPr>
            <w:tcW w:w="992" w:type="dxa"/>
            <w:vAlign w:val="center"/>
            <w:hideMark/>
          </w:tcPr>
          <w:p w14:paraId="0C3857D8"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889</w:t>
            </w:r>
          </w:p>
        </w:tc>
        <w:tc>
          <w:tcPr>
            <w:tcW w:w="992" w:type="dxa"/>
            <w:vAlign w:val="center"/>
            <w:hideMark/>
          </w:tcPr>
          <w:p w14:paraId="688EBBA1"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-365</w:t>
            </w:r>
          </w:p>
        </w:tc>
        <w:tc>
          <w:tcPr>
            <w:tcW w:w="992" w:type="dxa"/>
            <w:vAlign w:val="center"/>
            <w:hideMark/>
          </w:tcPr>
          <w:p w14:paraId="46C0F83D"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-0.71</w:t>
            </w:r>
          </w:p>
        </w:tc>
        <w:tc>
          <w:tcPr>
            <w:tcW w:w="1276" w:type="dxa"/>
            <w:vAlign w:val="center"/>
            <w:hideMark/>
          </w:tcPr>
          <w:p w14:paraId="74001373"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0.50</w:t>
            </w:r>
          </w:p>
        </w:tc>
        <w:tc>
          <w:tcPr>
            <w:tcW w:w="1701" w:type="dxa"/>
            <w:vAlign w:val="center"/>
            <w:hideMark/>
          </w:tcPr>
          <w:p w14:paraId="41F71412"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-0.21</w:t>
            </w:r>
          </w:p>
        </w:tc>
      </w:tr>
      <w:tr w:rsidR="00B949B4" w:rsidRPr="00DD6F35" w14:paraId="7FDCF249" w14:textId="77777777" w:rsidTr="00DD6F35">
        <w:trPr>
          <w:trHeight w:val="39"/>
          <w:jc w:val="center"/>
        </w:trPr>
        <w:tc>
          <w:tcPr>
            <w:tcW w:w="1122" w:type="dxa"/>
            <w:vAlign w:val="center"/>
            <w:hideMark/>
          </w:tcPr>
          <w:p w14:paraId="60BF5E7F"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1983-84</w:t>
            </w:r>
          </w:p>
        </w:tc>
        <w:tc>
          <w:tcPr>
            <w:tcW w:w="1000" w:type="dxa"/>
            <w:vAlign w:val="center"/>
            <w:hideMark/>
          </w:tcPr>
          <w:p w14:paraId="28991E75"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-2398</w:t>
            </w:r>
          </w:p>
        </w:tc>
        <w:tc>
          <w:tcPr>
            <w:tcW w:w="992" w:type="dxa"/>
            <w:vAlign w:val="center"/>
            <w:hideMark/>
          </w:tcPr>
          <w:p w14:paraId="15322CB3"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218</w:t>
            </w:r>
          </w:p>
        </w:tc>
        <w:tc>
          <w:tcPr>
            <w:tcW w:w="992" w:type="dxa"/>
            <w:vAlign w:val="center"/>
            <w:hideMark/>
          </w:tcPr>
          <w:p w14:paraId="40E9795D" w14:textId="56A05C39"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-2180</w:t>
            </w:r>
          </w:p>
        </w:tc>
        <w:tc>
          <w:tcPr>
            <w:tcW w:w="992" w:type="dxa"/>
            <w:vAlign w:val="center"/>
            <w:hideMark/>
          </w:tcPr>
          <w:p w14:paraId="57E1B050"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-1.16</w:t>
            </w:r>
          </w:p>
        </w:tc>
        <w:tc>
          <w:tcPr>
            <w:tcW w:w="1276" w:type="dxa"/>
            <w:vAlign w:val="center"/>
            <w:hideMark/>
          </w:tcPr>
          <w:p w14:paraId="0835CA80"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0.11</w:t>
            </w:r>
          </w:p>
        </w:tc>
        <w:tc>
          <w:tcPr>
            <w:tcW w:w="1701" w:type="dxa"/>
            <w:vAlign w:val="center"/>
            <w:hideMark/>
          </w:tcPr>
          <w:p w14:paraId="12A65763"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-1.05</w:t>
            </w:r>
          </w:p>
        </w:tc>
      </w:tr>
      <w:tr w:rsidR="00B949B4" w:rsidRPr="00DD6F35" w14:paraId="50C64889" w14:textId="77777777" w:rsidTr="00DD6F35">
        <w:trPr>
          <w:trHeight w:val="39"/>
          <w:jc w:val="center"/>
        </w:trPr>
        <w:tc>
          <w:tcPr>
            <w:tcW w:w="1122" w:type="dxa"/>
            <w:vAlign w:val="center"/>
            <w:hideMark/>
          </w:tcPr>
          <w:p w14:paraId="5A47D4E0"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1984-85</w:t>
            </w:r>
          </w:p>
        </w:tc>
        <w:tc>
          <w:tcPr>
            <w:tcW w:w="1000" w:type="dxa"/>
            <w:vAlign w:val="center"/>
            <w:hideMark/>
          </w:tcPr>
          <w:p w14:paraId="10BE870B"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-3498</w:t>
            </w:r>
          </w:p>
        </w:tc>
        <w:tc>
          <w:tcPr>
            <w:tcW w:w="992" w:type="dxa"/>
            <w:vAlign w:val="center"/>
            <w:hideMark/>
          </w:tcPr>
          <w:p w14:paraId="784F7986"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-899</w:t>
            </w:r>
          </w:p>
        </w:tc>
        <w:tc>
          <w:tcPr>
            <w:tcW w:w="992" w:type="dxa"/>
            <w:vAlign w:val="center"/>
            <w:hideMark/>
          </w:tcPr>
          <w:p w14:paraId="1BF6034A"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-4397</w:t>
            </w:r>
          </w:p>
        </w:tc>
        <w:tc>
          <w:tcPr>
            <w:tcW w:w="992" w:type="dxa"/>
            <w:vAlign w:val="center"/>
            <w:hideMark/>
          </w:tcPr>
          <w:p w14:paraId="47E9003B"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-1.52</w:t>
            </w:r>
          </w:p>
        </w:tc>
        <w:tc>
          <w:tcPr>
            <w:tcW w:w="1276" w:type="dxa"/>
            <w:vAlign w:val="center"/>
            <w:hideMark/>
          </w:tcPr>
          <w:p w14:paraId="50BAA2D0"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-0.39</w:t>
            </w:r>
          </w:p>
        </w:tc>
        <w:tc>
          <w:tcPr>
            <w:tcW w:w="1701" w:type="dxa"/>
            <w:vAlign w:val="center"/>
            <w:hideMark/>
          </w:tcPr>
          <w:p w14:paraId="2304D510" w14:textId="7777777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-1.91</w:t>
            </w:r>
          </w:p>
        </w:tc>
      </w:tr>
      <w:tr w:rsidR="00B949B4" w:rsidRPr="00DD6F35" w14:paraId="11D807DB" w14:textId="77777777" w:rsidTr="00DD6F35">
        <w:trPr>
          <w:trHeight w:val="39"/>
          <w:jc w:val="center"/>
        </w:trPr>
        <w:tc>
          <w:tcPr>
            <w:tcW w:w="1122" w:type="dxa"/>
            <w:vAlign w:val="center"/>
          </w:tcPr>
          <w:p w14:paraId="60C80D84" w14:textId="27B209D1"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1985-86</w:t>
            </w:r>
          </w:p>
        </w:tc>
        <w:tc>
          <w:tcPr>
            <w:tcW w:w="1000" w:type="dxa"/>
            <w:vAlign w:val="center"/>
          </w:tcPr>
          <w:p w14:paraId="75BB679A" w14:textId="742F65AC"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-5565</w:t>
            </w:r>
          </w:p>
        </w:tc>
        <w:tc>
          <w:tcPr>
            <w:tcW w:w="992" w:type="dxa"/>
            <w:vAlign w:val="center"/>
          </w:tcPr>
          <w:p w14:paraId="3182794E" w14:textId="595C7404"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544</w:t>
            </w:r>
          </w:p>
        </w:tc>
        <w:tc>
          <w:tcPr>
            <w:tcW w:w="992" w:type="dxa"/>
            <w:vAlign w:val="center"/>
          </w:tcPr>
          <w:p w14:paraId="757470A3" w14:textId="4ADB9319"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-5021</w:t>
            </w:r>
          </w:p>
        </w:tc>
        <w:tc>
          <w:tcPr>
            <w:tcW w:w="992" w:type="dxa"/>
            <w:vAlign w:val="center"/>
          </w:tcPr>
          <w:p w14:paraId="0F120C1D" w14:textId="64A6F129"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-2.12</w:t>
            </w:r>
          </w:p>
        </w:tc>
        <w:tc>
          <w:tcPr>
            <w:tcW w:w="1276" w:type="dxa"/>
            <w:vAlign w:val="center"/>
          </w:tcPr>
          <w:p w14:paraId="4267616B" w14:textId="737E8BE1"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0.21</w:t>
            </w:r>
          </w:p>
        </w:tc>
        <w:tc>
          <w:tcPr>
            <w:tcW w:w="1701" w:type="dxa"/>
            <w:vAlign w:val="center"/>
          </w:tcPr>
          <w:p w14:paraId="13111825" w14:textId="58C93CB5"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-1.91</w:t>
            </w:r>
          </w:p>
        </w:tc>
      </w:tr>
      <w:tr w:rsidR="00B949B4" w:rsidRPr="00DD6F35" w14:paraId="585C1591" w14:textId="77777777" w:rsidTr="00DD6F35">
        <w:trPr>
          <w:trHeight w:val="39"/>
          <w:jc w:val="center"/>
        </w:trPr>
        <w:tc>
          <w:tcPr>
            <w:tcW w:w="1122" w:type="dxa"/>
            <w:vAlign w:val="center"/>
          </w:tcPr>
          <w:p w14:paraId="2E4C9FCB" w14:textId="5FB44C4B"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1986-87</w:t>
            </w:r>
          </w:p>
        </w:tc>
        <w:tc>
          <w:tcPr>
            <w:tcW w:w="1000" w:type="dxa"/>
            <w:vAlign w:val="center"/>
          </w:tcPr>
          <w:p w14:paraId="4C9B03DD" w14:textId="22DFB350"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-7776</w:t>
            </w:r>
          </w:p>
        </w:tc>
        <w:tc>
          <w:tcPr>
            <w:tcW w:w="992" w:type="dxa"/>
            <w:vAlign w:val="center"/>
          </w:tcPr>
          <w:p w14:paraId="71F01C4F" w14:textId="7AEEC446"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21</w:t>
            </w:r>
          </w:p>
        </w:tc>
        <w:tc>
          <w:tcPr>
            <w:tcW w:w="992" w:type="dxa"/>
            <w:vAlign w:val="center"/>
          </w:tcPr>
          <w:p w14:paraId="237AF98A" w14:textId="34ECA4D2"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-7987</w:t>
            </w:r>
          </w:p>
        </w:tc>
        <w:tc>
          <w:tcPr>
            <w:tcW w:w="992" w:type="dxa"/>
            <w:vAlign w:val="center"/>
          </w:tcPr>
          <w:p w14:paraId="3FC3D9E8" w14:textId="757BDBA3"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-2.65</w:t>
            </w:r>
          </w:p>
        </w:tc>
        <w:tc>
          <w:tcPr>
            <w:tcW w:w="1276" w:type="dxa"/>
            <w:vAlign w:val="center"/>
          </w:tcPr>
          <w:p w14:paraId="578B6AA7" w14:textId="2BA5E3C4"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-0.07</w:t>
            </w:r>
          </w:p>
        </w:tc>
        <w:tc>
          <w:tcPr>
            <w:tcW w:w="1701" w:type="dxa"/>
            <w:vAlign w:val="center"/>
          </w:tcPr>
          <w:p w14:paraId="1A876C8D" w14:textId="161FB13E"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-2.72</w:t>
            </w:r>
          </w:p>
        </w:tc>
      </w:tr>
      <w:tr w:rsidR="00B949B4" w:rsidRPr="00DD6F35" w14:paraId="34C91EDA" w14:textId="77777777" w:rsidTr="00DD6F35">
        <w:trPr>
          <w:trHeight w:val="39"/>
          <w:jc w:val="center"/>
        </w:trPr>
        <w:tc>
          <w:tcPr>
            <w:tcW w:w="1122" w:type="dxa"/>
            <w:vAlign w:val="center"/>
          </w:tcPr>
          <w:p w14:paraId="2323201C" w14:textId="22B1657E"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1987-88</w:t>
            </w:r>
          </w:p>
        </w:tc>
        <w:tc>
          <w:tcPr>
            <w:tcW w:w="1000" w:type="dxa"/>
            <w:vAlign w:val="center"/>
          </w:tcPr>
          <w:p w14:paraId="159399BB" w14:textId="0A8F5384"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-9137</w:t>
            </w:r>
          </w:p>
        </w:tc>
        <w:tc>
          <w:tcPr>
            <w:tcW w:w="992" w:type="dxa"/>
            <w:vAlign w:val="center"/>
          </w:tcPr>
          <w:p w14:paraId="5A7D6051" w14:textId="3783A008"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-1306</w:t>
            </w:r>
          </w:p>
        </w:tc>
        <w:tc>
          <w:tcPr>
            <w:tcW w:w="992" w:type="dxa"/>
            <w:vAlign w:val="center"/>
          </w:tcPr>
          <w:p w14:paraId="16E4E4E9" w14:textId="4F9F2BC5"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-10443</w:t>
            </w:r>
          </w:p>
        </w:tc>
        <w:tc>
          <w:tcPr>
            <w:tcW w:w="992" w:type="dxa"/>
            <w:vAlign w:val="center"/>
          </w:tcPr>
          <w:p w14:paraId="662E7E2F" w14:textId="285F0EBE"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-2.76</w:t>
            </w:r>
          </w:p>
        </w:tc>
        <w:tc>
          <w:tcPr>
            <w:tcW w:w="1276" w:type="dxa"/>
            <w:vAlign w:val="center"/>
          </w:tcPr>
          <w:p w14:paraId="20ABAC1D" w14:textId="61C55142"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-0.40</w:t>
            </w:r>
          </w:p>
        </w:tc>
        <w:tc>
          <w:tcPr>
            <w:tcW w:w="1701" w:type="dxa"/>
            <w:vAlign w:val="center"/>
          </w:tcPr>
          <w:p w14:paraId="74F6A29C" w14:textId="69CB40B1"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-3.16</w:t>
            </w:r>
          </w:p>
        </w:tc>
      </w:tr>
      <w:tr w:rsidR="00B949B4" w:rsidRPr="00DD6F35" w14:paraId="229BCA5B" w14:textId="77777777" w:rsidTr="00DD6F35">
        <w:trPr>
          <w:trHeight w:val="39"/>
          <w:jc w:val="center"/>
        </w:trPr>
        <w:tc>
          <w:tcPr>
            <w:tcW w:w="1122" w:type="dxa"/>
            <w:vAlign w:val="center"/>
          </w:tcPr>
          <w:p w14:paraId="61DC7708" w14:textId="4DAED89A"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1988-89 (RE)</w:t>
            </w:r>
          </w:p>
        </w:tc>
        <w:tc>
          <w:tcPr>
            <w:tcW w:w="1000" w:type="dxa"/>
            <w:vAlign w:val="center"/>
          </w:tcPr>
          <w:p w14:paraId="61CF66EA" w14:textId="47B87A17"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-11030</w:t>
            </w:r>
          </w:p>
        </w:tc>
        <w:tc>
          <w:tcPr>
            <w:tcW w:w="992" w:type="dxa"/>
            <w:vAlign w:val="center"/>
          </w:tcPr>
          <w:p w14:paraId="6CAC0642" w14:textId="0B309EA6"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-2324</w:t>
            </w:r>
          </w:p>
        </w:tc>
        <w:tc>
          <w:tcPr>
            <w:tcW w:w="992" w:type="dxa"/>
            <w:vAlign w:val="center"/>
          </w:tcPr>
          <w:p w14:paraId="1E78F75B" w14:textId="6342F50F"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-13354</w:t>
            </w:r>
          </w:p>
        </w:tc>
        <w:tc>
          <w:tcPr>
            <w:tcW w:w="992" w:type="dxa"/>
            <w:vAlign w:val="center"/>
          </w:tcPr>
          <w:p w14:paraId="21B62EC2" w14:textId="1AC0277A"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-3.21</w:t>
            </w:r>
          </w:p>
        </w:tc>
        <w:tc>
          <w:tcPr>
            <w:tcW w:w="1276" w:type="dxa"/>
            <w:vAlign w:val="center"/>
          </w:tcPr>
          <w:p w14:paraId="652C9401" w14:textId="58B743CB"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-0.68</w:t>
            </w:r>
          </w:p>
        </w:tc>
        <w:tc>
          <w:tcPr>
            <w:tcW w:w="1701" w:type="dxa"/>
            <w:vAlign w:val="center"/>
          </w:tcPr>
          <w:p w14:paraId="7A36C7CC" w14:textId="09B09FBC"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-3.89</w:t>
            </w:r>
          </w:p>
        </w:tc>
      </w:tr>
      <w:tr w:rsidR="00B949B4" w:rsidRPr="00DD6F35" w14:paraId="787D9459" w14:textId="77777777" w:rsidTr="00DD6F35">
        <w:trPr>
          <w:trHeight w:val="39"/>
          <w:jc w:val="center"/>
        </w:trPr>
        <w:tc>
          <w:tcPr>
            <w:tcW w:w="1122" w:type="dxa"/>
            <w:vAlign w:val="center"/>
          </w:tcPr>
          <w:p w14:paraId="23A26224" w14:textId="04B11512"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1989-90 (BE)</w:t>
            </w:r>
          </w:p>
        </w:tc>
        <w:tc>
          <w:tcPr>
            <w:tcW w:w="1000" w:type="dxa"/>
            <w:vAlign w:val="center"/>
          </w:tcPr>
          <w:p w14:paraId="279BCFC7" w14:textId="1881F509"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-7012</w:t>
            </w:r>
          </w:p>
        </w:tc>
        <w:tc>
          <w:tcPr>
            <w:tcW w:w="992" w:type="dxa"/>
            <w:vAlign w:val="center"/>
          </w:tcPr>
          <w:p w14:paraId="1F7ED0D3" w14:textId="4CA2152A"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-4451</w:t>
            </w:r>
          </w:p>
        </w:tc>
        <w:tc>
          <w:tcPr>
            <w:tcW w:w="992" w:type="dxa"/>
            <w:vAlign w:val="center"/>
          </w:tcPr>
          <w:p w14:paraId="5F1DE5B9" w14:textId="0112BD42" w:rsidR="00B949B4" w:rsidRPr="00DD6F35" w:rsidRDefault="00B949B4" w:rsidP="00DC5111">
            <w:pPr>
              <w:pStyle w:val="NoSpacing"/>
              <w:jc w:val="center"/>
              <w:rPr>
                <w:rFonts w:ascii="Times New Roman" w:hAnsi="Times New Roman" w:cs="Times New Roman"/>
                <w:sz w:val="16"/>
                <w:szCs w:val="16"/>
              </w:rPr>
            </w:pPr>
            <w:r w:rsidRPr="00DD6F35">
              <w:rPr>
                <w:rFonts w:ascii="Times New Roman" w:hAnsi="Times New Roman" w:cs="Times New Roman"/>
                <w:sz w:val="16"/>
                <w:szCs w:val="16"/>
              </w:rPr>
              <w:t>-11463</w:t>
            </w:r>
          </w:p>
        </w:tc>
        <w:tc>
          <w:tcPr>
            <w:tcW w:w="992" w:type="dxa"/>
            <w:vAlign w:val="center"/>
          </w:tcPr>
          <w:p w14:paraId="1902D775" w14:textId="77777777" w:rsidR="00B949B4" w:rsidRPr="00DD6F35" w:rsidRDefault="00B949B4" w:rsidP="00DC5111">
            <w:pPr>
              <w:pStyle w:val="NoSpacing"/>
              <w:jc w:val="center"/>
              <w:rPr>
                <w:rFonts w:ascii="Times New Roman" w:hAnsi="Times New Roman" w:cs="Times New Roman"/>
                <w:sz w:val="16"/>
                <w:szCs w:val="16"/>
              </w:rPr>
            </w:pPr>
          </w:p>
        </w:tc>
        <w:tc>
          <w:tcPr>
            <w:tcW w:w="1276" w:type="dxa"/>
            <w:vAlign w:val="center"/>
          </w:tcPr>
          <w:p w14:paraId="1D10508A" w14:textId="77777777" w:rsidR="00B949B4" w:rsidRPr="00DD6F35" w:rsidRDefault="00B949B4" w:rsidP="00DC5111">
            <w:pPr>
              <w:pStyle w:val="NoSpacing"/>
              <w:jc w:val="center"/>
              <w:rPr>
                <w:rFonts w:ascii="Times New Roman" w:hAnsi="Times New Roman" w:cs="Times New Roman"/>
                <w:sz w:val="16"/>
                <w:szCs w:val="16"/>
              </w:rPr>
            </w:pPr>
          </w:p>
        </w:tc>
        <w:tc>
          <w:tcPr>
            <w:tcW w:w="1701" w:type="dxa"/>
            <w:vAlign w:val="center"/>
          </w:tcPr>
          <w:p w14:paraId="15EE77FB" w14:textId="77777777" w:rsidR="00B949B4" w:rsidRPr="00DD6F35" w:rsidRDefault="00B949B4" w:rsidP="00DC5111">
            <w:pPr>
              <w:pStyle w:val="NoSpacing"/>
              <w:jc w:val="center"/>
              <w:rPr>
                <w:rFonts w:ascii="Times New Roman" w:hAnsi="Times New Roman" w:cs="Times New Roman"/>
                <w:sz w:val="16"/>
                <w:szCs w:val="16"/>
              </w:rPr>
            </w:pPr>
          </w:p>
        </w:tc>
      </w:tr>
    </w:tbl>
    <w:p w14:paraId="25ADDDC5" w14:textId="2AF9BB1D" w:rsidR="00B17D98" w:rsidRPr="00DD6F35" w:rsidRDefault="009533DA" w:rsidP="00DD6F35">
      <w:pPr>
        <w:pStyle w:val="NoSpacing"/>
        <w:ind w:left="1440"/>
        <w:rPr>
          <w:rFonts w:ascii="Times New Roman" w:hAnsi="Times New Roman" w:cs="Times New Roman"/>
          <w:sz w:val="20"/>
          <w:szCs w:val="18"/>
        </w:rPr>
      </w:pPr>
      <w:r w:rsidRPr="00DD6F35">
        <w:rPr>
          <w:rFonts w:ascii="Times New Roman" w:hAnsi="Times New Roman" w:cs="Times New Roman"/>
          <w:sz w:val="16"/>
          <w:szCs w:val="14"/>
        </w:rPr>
        <w:t>(RE) Revised Estimates.</w:t>
      </w:r>
      <w:r w:rsidR="00B17D98" w:rsidRPr="00DD6F35">
        <w:rPr>
          <w:rFonts w:ascii="Times New Roman" w:hAnsi="Times New Roman" w:cs="Times New Roman"/>
          <w:sz w:val="20"/>
          <w:szCs w:val="18"/>
        </w:rPr>
        <w:tab/>
      </w:r>
      <w:r w:rsidR="00B17D98" w:rsidRPr="00DD6F35">
        <w:rPr>
          <w:rFonts w:ascii="Times New Roman" w:hAnsi="Times New Roman" w:cs="Times New Roman"/>
          <w:sz w:val="20"/>
          <w:szCs w:val="18"/>
        </w:rPr>
        <w:tab/>
      </w:r>
      <w:r w:rsidR="00B17D98" w:rsidRPr="00DD6F35">
        <w:rPr>
          <w:rFonts w:ascii="Times New Roman" w:hAnsi="Times New Roman" w:cs="Times New Roman"/>
          <w:sz w:val="20"/>
          <w:szCs w:val="18"/>
        </w:rPr>
        <w:tab/>
      </w:r>
      <w:r w:rsidR="00B17D98" w:rsidRPr="00DD6F35">
        <w:rPr>
          <w:rFonts w:ascii="Times New Roman" w:hAnsi="Times New Roman" w:cs="Times New Roman"/>
          <w:sz w:val="20"/>
          <w:szCs w:val="18"/>
        </w:rPr>
        <w:tab/>
      </w:r>
      <w:r w:rsidR="00B17D98" w:rsidRPr="00DD6F35">
        <w:rPr>
          <w:rFonts w:ascii="Times New Roman" w:hAnsi="Times New Roman" w:cs="Times New Roman"/>
          <w:sz w:val="20"/>
          <w:szCs w:val="18"/>
        </w:rPr>
        <w:tab/>
      </w:r>
      <w:r w:rsidRPr="00DD6F35">
        <w:rPr>
          <w:rFonts w:ascii="Times New Roman" w:hAnsi="Times New Roman" w:cs="Times New Roman"/>
          <w:sz w:val="20"/>
          <w:szCs w:val="18"/>
        </w:rPr>
        <w:t> </w:t>
      </w:r>
      <w:r w:rsidRPr="00DD6F35">
        <w:rPr>
          <w:rFonts w:ascii="Times New Roman" w:hAnsi="Times New Roman" w:cs="Times New Roman"/>
          <w:sz w:val="16"/>
          <w:szCs w:val="14"/>
        </w:rPr>
        <w:t>(BE) Budget Estimates.</w:t>
      </w:r>
      <w:r w:rsidRPr="00DD6F35">
        <w:rPr>
          <w:rFonts w:ascii="Times New Roman" w:hAnsi="Times New Roman" w:cs="Times New Roman"/>
          <w:sz w:val="20"/>
          <w:szCs w:val="18"/>
        </w:rPr>
        <w:br/>
      </w:r>
      <w:r w:rsidRPr="00DD6F35">
        <w:rPr>
          <w:rFonts w:ascii="Times New Roman" w:hAnsi="Times New Roman" w:cs="Times New Roman"/>
          <w:sz w:val="16"/>
          <w:szCs w:val="14"/>
        </w:rPr>
        <w:t>Source: 1. Indian Economic Statistics - Public Finance. (From 1980-81 to 1986-87).</w:t>
      </w:r>
      <w:r w:rsidRPr="00DD6F35">
        <w:rPr>
          <w:rFonts w:ascii="Times New Roman" w:hAnsi="Times New Roman" w:cs="Times New Roman"/>
          <w:sz w:val="16"/>
          <w:szCs w:val="14"/>
        </w:rPr>
        <w:br/>
        <w:t>2. Budget Documents of Union and State Governments (From 1987-88 to 1989-90).</w:t>
      </w:r>
    </w:p>
    <w:p w14:paraId="409D38BB" w14:textId="5A58BA75" w:rsidR="009533DA" w:rsidRPr="00DD6F35" w:rsidRDefault="009533DA" w:rsidP="00DC5111">
      <w:pPr>
        <w:pStyle w:val="Heading2"/>
        <w:rPr>
          <w:sz w:val="20"/>
          <w:szCs w:val="20"/>
        </w:rPr>
      </w:pPr>
      <w:bookmarkStart w:id="47" w:name="_Toc221292979"/>
      <w:bookmarkStart w:id="48" w:name="_Toc222399473"/>
      <w:r w:rsidRPr="00DD6F35">
        <w:rPr>
          <w:sz w:val="20"/>
          <w:szCs w:val="20"/>
        </w:rPr>
        <w:t>ANNEXURE II.3</w:t>
      </w:r>
      <w:r w:rsidR="00DC5111" w:rsidRPr="00DD6F35">
        <w:rPr>
          <w:sz w:val="20"/>
          <w:szCs w:val="20"/>
        </w:rPr>
        <w:br/>
      </w:r>
      <w:r w:rsidRPr="00DD6F35">
        <w:rPr>
          <w:sz w:val="20"/>
          <w:szCs w:val="20"/>
        </w:rPr>
        <w:t xml:space="preserve">Indebtedness </w:t>
      </w:r>
      <w:proofErr w:type="gramStart"/>
      <w:r w:rsidRPr="00DD6F35">
        <w:rPr>
          <w:sz w:val="20"/>
          <w:szCs w:val="20"/>
        </w:rPr>
        <w:t>Of</w:t>
      </w:r>
      <w:proofErr w:type="gramEnd"/>
      <w:r w:rsidRPr="00DD6F35">
        <w:rPr>
          <w:sz w:val="20"/>
          <w:szCs w:val="20"/>
        </w:rPr>
        <w:t xml:space="preserve"> </w:t>
      </w:r>
      <w:proofErr w:type="gramStart"/>
      <w:r w:rsidRPr="00DD6F35">
        <w:rPr>
          <w:sz w:val="20"/>
          <w:szCs w:val="20"/>
        </w:rPr>
        <w:t>The</w:t>
      </w:r>
      <w:proofErr w:type="gramEnd"/>
      <w:r w:rsidRPr="00DD6F35">
        <w:rPr>
          <w:sz w:val="20"/>
          <w:szCs w:val="20"/>
        </w:rPr>
        <w:t xml:space="preserve"> Centre </w:t>
      </w:r>
      <w:proofErr w:type="gramStart"/>
      <w:r w:rsidRPr="00DD6F35">
        <w:rPr>
          <w:sz w:val="20"/>
          <w:szCs w:val="20"/>
        </w:rPr>
        <w:t>And</w:t>
      </w:r>
      <w:proofErr w:type="gramEnd"/>
      <w:r w:rsidRPr="00DD6F35">
        <w:rPr>
          <w:sz w:val="20"/>
          <w:szCs w:val="20"/>
        </w:rPr>
        <w:t xml:space="preserve"> States</w:t>
      </w:r>
      <w:bookmarkEnd w:id="47"/>
      <w:bookmarkEnd w:id="48"/>
    </w:p>
    <w:p w14:paraId="206981B2" w14:textId="77777777" w:rsidR="00DC5111" w:rsidRPr="00DD6F35" w:rsidRDefault="00DC5111" w:rsidP="00DC5111">
      <w:pPr>
        <w:pStyle w:val="NoSpacing"/>
        <w:jc w:val="center"/>
        <w:rPr>
          <w:rFonts w:ascii="Times New Roman" w:hAnsi="Times New Roman" w:cs="Times New Roman"/>
          <w:sz w:val="18"/>
          <w:szCs w:val="16"/>
        </w:rPr>
      </w:pPr>
      <w:r w:rsidRPr="00DD6F35">
        <w:rPr>
          <w:rFonts w:ascii="Times New Roman" w:hAnsi="Times New Roman" w:cs="Times New Roman"/>
          <w:i/>
          <w:iCs/>
          <w:sz w:val="18"/>
          <w:szCs w:val="16"/>
        </w:rPr>
        <w:t>(Para 2.5)</w:t>
      </w:r>
    </w:p>
    <w:p w14:paraId="6A96439C" w14:textId="62EDD147" w:rsidR="009533DA" w:rsidRPr="00DC5111" w:rsidRDefault="009533DA" w:rsidP="00DD6F35">
      <w:pPr>
        <w:pStyle w:val="NoSpacing"/>
        <w:ind w:left="7200"/>
        <w:jc w:val="center"/>
        <w:rPr>
          <w:rFonts w:ascii="Times New Roman" w:hAnsi="Times New Roman" w:cs="Times New Roman"/>
          <w:sz w:val="18"/>
          <w:szCs w:val="16"/>
        </w:rPr>
      </w:pPr>
      <w:r w:rsidRPr="00DC5111">
        <w:rPr>
          <w:rFonts w:ascii="Times New Roman" w:hAnsi="Times New Roman" w:cs="Times New Roman"/>
          <w:i/>
          <w:iCs/>
          <w:sz w:val="18"/>
          <w:szCs w:val="16"/>
        </w:rPr>
        <w:t>(Rs. Crore)</w:t>
      </w:r>
    </w:p>
    <w:tbl>
      <w:tblPr>
        <w:tblStyle w:val="TableGrid"/>
        <w:tblW w:w="8926" w:type="dxa"/>
        <w:jc w:val="center"/>
        <w:tblLook w:val="04A0" w:firstRow="1" w:lastRow="0" w:firstColumn="1" w:lastColumn="0" w:noHBand="0" w:noVBand="1"/>
      </w:tblPr>
      <w:tblGrid>
        <w:gridCol w:w="1012"/>
        <w:gridCol w:w="763"/>
        <w:gridCol w:w="774"/>
        <w:gridCol w:w="694"/>
        <w:gridCol w:w="783"/>
        <w:gridCol w:w="1195"/>
        <w:gridCol w:w="835"/>
        <w:gridCol w:w="815"/>
        <w:gridCol w:w="1204"/>
        <w:gridCol w:w="851"/>
      </w:tblGrid>
      <w:tr w:rsidR="00DD6F35" w:rsidRPr="00AA6AF4" w14:paraId="7A9B8C53" w14:textId="77777777" w:rsidTr="00DD6F35">
        <w:trPr>
          <w:trHeight w:val="56"/>
          <w:jc w:val="center"/>
        </w:trPr>
        <w:tc>
          <w:tcPr>
            <w:tcW w:w="1012" w:type="dxa"/>
            <w:vMerge w:val="restart"/>
            <w:vAlign w:val="center"/>
            <w:hideMark/>
          </w:tcPr>
          <w:p w14:paraId="21ACA42C"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At the end of the Year</w:t>
            </w:r>
          </w:p>
        </w:tc>
        <w:tc>
          <w:tcPr>
            <w:tcW w:w="763" w:type="dxa"/>
            <w:vMerge w:val="restart"/>
            <w:vAlign w:val="center"/>
            <w:hideMark/>
          </w:tcPr>
          <w:p w14:paraId="7722E00E"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Internal Debt of Centre</w:t>
            </w:r>
          </w:p>
        </w:tc>
        <w:tc>
          <w:tcPr>
            <w:tcW w:w="774" w:type="dxa"/>
            <w:vMerge w:val="restart"/>
            <w:vAlign w:val="center"/>
            <w:hideMark/>
          </w:tcPr>
          <w:p w14:paraId="0FFA8282"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External Debt of Centre</w:t>
            </w:r>
          </w:p>
        </w:tc>
        <w:tc>
          <w:tcPr>
            <w:tcW w:w="1477" w:type="dxa"/>
            <w:gridSpan w:val="2"/>
            <w:vMerge w:val="restart"/>
            <w:vAlign w:val="center"/>
            <w:hideMark/>
          </w:tcPr>
          <w:p w14:paraId="186D6DCD"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Other Liabilities of Centre</w:t>
            </w:r>
          </w:p>
        </w:tc>
        <w:tc>
          <w:tcPr>
            <w:tcW w:w="1195" w:type="dxa"/>
            <w:vMerge w:val="restart"/>
            <w:vAlign w:val="center"/>
            <w:hideMark/>
          </w:tcPr>
          <w:p w14:paraId="391A0A45"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Total Liabilities of Centre * (</w:t>
            </w:r>
            <w:proofErr w:type="gramStart"/>
            <w:r w:rsidRPr="00DC5111">
              <w:rPr>
                <w:rFonts w:ascii="Times New Roman" w:hAnsi="Times New Roman" w:cs="Times New Roman"/>
                <w:b/>
                <w:bCs/>
                <w:sz w:val="14"/>
                <w:szCs w:val="14"/>
              </w:rPr>
              <w:t>1)+(2)+(</w:t>
            </w:r>
            <w:proofErr w:type="gramEnd"/>
            <w:r w:rsidRPr="00DC5111">
              <w:rPr>
                <w:rFonts w:ascii="Times New Roman" w:hAnsi="Times New Roman" w:cs="Times New Roman"/>
                <w:b/>
                <w:bCs/>
                <w:sz w:val="14"/>
                <w:szCs w:val="14"/>
              </w:rPr>
              <w:t>3)</w:t>
            </w:r>
          </w:p>
        </w:tc>
        <w:tc>
          <w:tcPr>
            <w:tcW w:w="2854" w:type="dxa"/>
            <w:gridSpan w:val="3"/>
            <w:vAlign w:val="center"/>
            <w:hideMark/>
          </w:tcPr>
          <w:p w14:paraId="2A006ABF" w14:textId="18137E8D"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States</w:t>
            </w:r>
          </w:p>
        </w:tc>
        <w:tc>
          <w:tcPr>
            <w:tcW w:w="851" w:type="dxa"/>
            <w:vMerge w:val="restart"/>
            <w:vAlign w:val="center"/>
            <w:hideMark/>
          </w:tcPr>
          <w:p w14:paraId="6D0BD948"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Centre + States (</w:t>
            </w:r>
            <w:proofErr w:type="gramStart"/>
            <w:r w:rsidRPr="00DC5111">
              <w:rPr>
                <w:rFonts w:ascii="Times New Roman" w:hAnsi="Times New Roman" w:cs="Times New Roman"/>
                <w:b/>
                <w:bCs/>
                <w:sz w:val="14"/>
                <w:szCs w:val="14"/>
              </w:rPr>
              <w:t>4)+(</w:t>
            </w:r>
            <w:proofErr w:type="gramEnd"/>
            <w:r w:rsidRPr="00DC5111">
              <w:rPr>
                <w:rFonts w:ascii="Times New Roman" w:hAnsi="Times New Roman" w:cs="Times New Roman"/>
                <w:b/>
                <w:bCs/>
                <w:sz w:val="14"/>
                <w:szCs w:val="14"/>
              </w:rPr>
              <w:t>6)</w:t>
            </w:r>
          </w:p>
        </w:tc>
      </w:tr>
      <w:tr w:rsidR="00DD6F35" w:rsidRPr="00AA6AF4" w14:paraId="25E40D06" w14:textId="77777777" w:rsidTr="00DD6F35">
        <w:trPr>
          <w:trHeight w:val="56"/>
          <w:jc w:val="center"/>
        </w:trPr>
        <w:tc>
          <w:tcPr>
            <w:tcW w:w="1012" w:type="dxa"/>
            <w:vMerge/>
            <w:vAlign w:val="center"/>
            <w:hideMark/>
          </w:tcPr>
          <w:p w14:paraId="3C633F05" w14:textId="77777777" w:rsidR="00DD6F35" w:rsidRPr="00AA6AF4" w:rsidRDefault="00DD6F35" w:rsidP="00DC5111">
            <w:pPr>
              <w:pStyle w:val="NoSpacing"/>
              <w:jc w:val="center"/>
              <w:rPr>
                <w:rFonts w:ascii="Times New Roman" w:hAnsi="Times New Roman" w:cs="Times New Roman"/>
                <w:sz w:val="14"/>
                <w:szCs w:val="14"/>
              </w:rPr>
            </w:pPr>
          </w:p>
        </w:tc>
        <w:tc>
          <w:tcPr>
            <w:tcW w:w="763" w:type="dxa"/>
            <w:vMerge/>
            <w:vAlign w:val="center"/>
            <w:hideMark/>
          </w:tcPr>
          <w:p w14:paraId="467567D3" w14:textId="77777777" w:rsidR="00DD6F35" w:rsidRPr="00AA6AF4" w:rsidRDefault="00DD6F35" w:rsidP="00DC5111">
            <w:pPr>
              <w:pStyle w:val="NoSpacing"/>
              <w:jc w:val="center"/>
              <w:rPr>
                <w:rFonts w:ascii="Times New Roman" w:hAnsi="Times New Roman" w:cs="Times New Roman"/>
                <w:sz w:val="14"/>
                <w:szCs w:val="14"/>
              </w:rPr>
            </w:pPr>
          </w:p>
        </w:tc>
        <w:tc>
          <w:tcPr>
            <w:tcW w:w="774" w:type="dxa"/>
            <w:vMerge/>
            <w:vAlign w:val="center"/>
            <w:hideMark/>
          </w:tcPr>
          <w:p w14:paraId="211CEEA8" w14:textId="77777777" w:rsidR="00DD6F35" w:rsidRPr="00AA6AF4" w:rsidRDefault="00DD6F35" w:rsidP="00DC5111">
            <w:pPr>
              <w:pStyle w:val="NoSpacing"/>
              <w:jc w:val="center"/>
              <w:rPr>
                <w:rFonts w:ascii="Times New Roman" w:hAnsi="Times New Roman" w:cs="Times New Roman"/>
                <w:sz w:val="14"/>
                <w:szCs w:val="14"/>
              </w:rPr>
            </w:pPr>
          </w:p>
        </w:tc>
        <w:tc>
          <w:tcPr>
            <w:tcW w:w="1477" w:type="dxa"/>
            <w:gridSpan w:val="2"/>
            <w:vMerge/>
            <w:vAlign w:val="center"/>
            <w:hideMark/>
          </w:tcPr>
          <w:p w14:paraId="6DFC772C" w14:textId="77777777" w:rsidR="00DD6F35" w:rsidRPr="00AA6AF4" w:rsidRDefault="00DD6F35" w:rsidP="00DC5111">
            <w:pPr>
              <w:pStyle w:val="NoSpacing"/>
              <w:jc w:val="center"/>
              <w:rPr>
                <w:rFonts w:ascii="Times New Roman" w:hAnsi="Times New Roman" w:cs="Times New Roman"/>
                <w:sz w:val="14"/>
                <w:szCs w:val="14"/>
              </w:rPr>
            </w:pPr>
          </w:p>
        </w:tc>
        <w:tc>
          <w:tcPr>
            <w:tcW w:w="1195" w:type="dxa"/>
            <w:vMerge/>
            <w:vAlign w:val="center"/>
            <w:hideMark/>
          </w:tcPr>
          <w:p w14:paraId="0974D284" w14:textId="77777777" w:rsidR="00DD6F35" w:rsidRPr="00AA6AF4" w:rsidRDefault="00DD6F35" w:rsidP="00DC5111">
            <w:pPr>
              <w:pStyle w:val="NoSpacing"/>
              <w:jc w:val="center"/>
              <w:rPr>
                <w:rFonts w:ascii="Times New Roman" w:hAnsi="Times New Roman" w:cs="Times New Roman"/>
                <w:sz w:val="14"/>
                <w:szCs w:val="14"/>
              </w:rPr>
            </w:pPr>
          </w:p>
        </w:tc>
        <w:tc>
          <w:tcPr>
            <w:tcW w:w="835" w:type="dxa"/>
            <w:vAlign w:val="center"/>
            <w:hideMark/>
          </w:tcPr>
          <w:p w14:paraId="61BCCB6C"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Central Loans</w:t>
            </w:r>
          </w:p>
        </w:tc>
        <w:tc>
          <w:tcPr>
            <w:tcW w:w="815" w:type="dxa"/>
            <w:vAlign w:val="center"/>
            <w:hideMark/>
          </w:tcPr>
          <w:p w14:paraId="22D4D44A"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Other Liabilities</w:t>
            </w:r>
          </w:p>
        </w:tc>
        <w:tc>
          <w:tcPr>
            <w:tcW w:w="1204" w:type="dxa"/>
            <w:vAlign w:val="center"/>
            <w:hideMark/>
          </w:tcPr>
          <w:p w14:paraId="59E0DD7E" w14:textId="77777777" w:rsidR="00DD6F35" w:rsidRPr="00DC5111" w:rsidRDefault="00DD6F35" w:rsidP="00DC5111">
            <w:pPr>
              <w:pStyle w:val="NoSpacing"/>
              <w:jc w:val="center"/>
              <w:rPr>
                <w:rFonts w:ascii="Times New Roman" w:hAnsi="Times New Roman" w:cs="Times New Roman"/>
                <w:b/>
                <w:bCs/>
                <w:sz w:val="14"/>
                <w:szCs w:val="14"/>
              </w:rPr>
            </w:pPr>
            <w:r w:rsidRPr="00DC5111">
              <w:rPr>
                <w:rFonts w:ascii="Times New Roman" w:hAnsi="Times New Roman" w:cs="Times New Roman"/>
                <w:b/>
                <w:bCs/>
                <w:sz w:val="14"/>
                <w:szCs w:val="14"/>
              </w:rPr>
              <w:t>Total Liabilities of States (</w:t>
            </w:r>
            <w:proofErr w:type="gramStart"/>
            <w:r w:rsidRPr="00DC5111">
              <w:rPr>
                <w:rFonts w:ascii="Times New Roman" w:hAnsi="Times New Roman" w:cs="Times New Roman"/>
                <w:b/>
                <w:bCs/>
                <w:sz w:val="14"/>
                <w:szCs w:val="14"/>
              </w:rPr>
              <w:t>5)+(6)+(</w:t>
            </w:r>
            <w:proofErr w:type="gramEnd"/>
            <w:r w:rsidRPr="00DC5111">
              <w:rPr>
                <w:rFonts w:ascii="Times New Roman" w:hAnsi="Times New Roman" w:cs="Times New Roman"/>
                <w:b/>
                <w:bCs/>
                <w:sz w:val="14"/>
                <w:szCs w:val="14"/>
              </w:rPr>
              <w:t>7)</w:t>
            </w:r>
          </w:p>
        </w:tc>
        <w:tc>
          <w:tcPr>
            <w:tcW w:w="851" w:type="dxa"/>
            <w:vMerge/>
            <w:vAlign w:val="center"/>
            <w:hideMark/>
          </w:tcPr>
          <w:p w14:paraId="229E16F9" w14:textId="77777777" w:rsidR="00DD6F35" w:rsidRPr="00AA6AF4" w:rsidRDefault="00DD6F35" w:rsidP="00DC5111">
            <w:pPr>
              <w:pStyle w:val="NoSpacing"/>
              <w:jc w:val="center"/>
              <w:rPr>
                <w:rFonts w:ascii="Times New Roman" w:hAnsi="Times New Roman" w:cs="Times New Roman"/>
                <w:sz w:val="14"/>
                <w:szCs w:val="14"/>
              </w:rPr>
            </w:pPr>
          </w:p>
        </w:tc>
      </w:tr>
      <w:tr w:rsidR="00DC5111" w:rsidRPr="00AA6AF4" w14:paraId="7D9847A4" w14:textId="77777777" w:rsidTr="00DD6F35">
        <w:trPr>
          <w:trHeight w:val="56"/>
          <w:jc w:val="center"/>
        </w:trPr>
        <w:tc>
          <w:tcPr>
            <w:tcW w:w="1012" w:type="dxa"/>
            <w:vAlign w:val="center"/>
            <w:hideMark/>
          </w:tcPr>
          <w:p w14:paraId="38D46C5B" w14:textId="77777777" w:rsidR="009533DA" w:rsidRPr="00AA6AF4" w:rsidRDefault="009533DA" w:rsidP="00DC5111">
            <w:pPr>
              <w:pStyle w:val="NoSpacing"/>
              <w:jc w:val="center"/>
              <w:rPr>
                <w:rFonts w:ascii="Times New Roman" w:hAnsi="Times New Roman" w:cs="Times New Roman"/>
                <w:sz w:val="14"/>
                <w:szCs w:val="14"/>
              </w:rPr>
            </w:pPr>
          </w:p>
        </w:tc>
        <w:tc>
          <w:tcPr>
            <w:tcW w:w="763" w:type="dxa"/>
            <w:vAlign w:val="center"/>
            <w:hideMark/>
          </w:tcPr>
          <w:p w14:paraId="484DBC58"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w:t>
            </w:r>
          </w:p>
        </w:tc>
        <w:tc>
          <w:tcPr>
            <w:tcW w:w="774" w:type="dxa"/>
            <w:vAlign w:val="center"/>
            <w:hideMark/>
          </w:tcPr>
          <w:p w14:paraId="693F5B46"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w:t>
            </w:r>
          </w:p>
        </w:tc>
        <w:tc>
          <w:tcPr>
            <w:tcW w:w="1477" w:type="dxa"/>
            <w:gridSpan w:val="2"/>
            <w:vAlign w:val="center"/>
            <w:hideMark/>
          </w:tcPr>
          <w:p w14:paraId="3E9D8E6E"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w:t>
            </w:r>
          </w:p>
        </w:tc>
        <w:tc>
          <w:tcPr>
            <w:tcW w:w="1195" w:type="dxa"/>
            <w:vAlign w:val="center"/>
            <w:hideMark/>
          </w:tcPr>
          <w:p w14:paraId="3D6DF16C"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w:t>
            </w:r>
          </w:p>
        </w:tc>
        <w:tc>
          <w:tcPr>
            <w:tcW w:w="835" w:type="dxa"/>
            <w:vAlign w:val="center"/>
            <w:hideMark/>
          </w:tcPr>
          <w:p w14:paraId="3DD37F72"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w:t>
            </w:r>
          </w:p>
        </w:tc>
        <w:tc>
          <w:tcPr>
            <w:tcW w:w="815" w:type="dxa"/>
            <w:vAlign w:val="center"/>
            <w:hideMark/>
          </w:tcPr>
          <w:p w14:paraId="75CD0FA1"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w:t>
            </w:r>
          </w:p>
        </w:tc>
        <w:tc>
          <w:tcPr>
            <w:tcW w:w="1204" w:type="dxa"/>
            <w:vAlign w:val="center"/>
            <w:hideMark/>
          </w:tcPr>
          <w:p w14:paraId="56DD7DCF"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7</w:t>
            </w:r>
          </w:p>
        </w:tc>
        <w:tc>
          <w:tcPr>
            <w:tcW w:w="851" w:type="dxa"/>
            <w:vAlign w:val="center"/>
            <w:hideMark/>
          </w:tcPr>
          <w:p w14:paraId="0A3064D0" w14:textId="77777777" w:rsidR="009533DA" w:rsidRPr="00AA6AF4" w:rsidRDefault="009533DA"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w:t>
            </w:r>
          </w:p>
        </w:tc>
      </w:tr>
      <w:tr w:rsidR="00DC5111" w:rsidRPr="00AA6AF4" w14:paraId="04448AB5" w14:textId="77777777" w:rsidTr="00DD6F35">
        <w:trPr>
          <w:trHeight w:val="56"/>
          <w:jc w:val="center"/>
        </w:trPr>
        <w:tc>
          <w:tcPr>
            <w:tcW w:w="1012" w:type="dxa"/>
            <w:vAlign w:val="center"/>
            <w:hideMark/>
          </w:tcPr>
          <w:p w14:paraId="560154B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1970-71</w:t>
            </w:r>
          </w:p>
        </w:tc>
        <w:tc>
          <w:tcPr>
            <w:tcW w:w="763" w:type="dxa"/>
            <w:vAlign w:val="center"/>
            <w:hideMark/>
          </w:tcPr>
          <w:p w14:paraId="0C1CC1B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7662</w:t>
            </w:r>
          </w:p>
        </w:tc>
        <w:tc>
          <w:tcPr>
            <w:tcW w:w="774" w:type="dxa"/>
            <w:vAlign w:val="center"/>
            <w:hideMark/>
          </w:tcPr>
          <w:p w14:paraId="4641126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6485</w:t>
            </w:r>
          </w:p>
        </w:tc>
        <w:tc>
          <w:tcPr>
            <w:tcW w:w="694" w:type="dxa"/>
            <w:vAlign w:val="center"/>
            <w:hideMark/>
          </w:tcPr>
          <w:p w14:paraId="496CC43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5046</w:t>
            </w:r>
          </w:p>
        </w:tc>
        <w:tc>
          <w:tcPr>
            <w:tcW w:w="783" w:type="dxa"/>
            <w:vAlign w:val="center"/>
          </w:tcPr>
          <w:p w14:paraId="4A9636FC" w14:textId="1A203E33"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6CB0BCBC" w14:textId="528EC7DC"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19193</w:t>
            </w:r>
          </w:p>
        </w:tc>
        <w:tc>
          <w:tcPr>
            <w:tcW w:w="835" w:type="dxa"/>
            <w:vAlign w:val="center"/>
            <w:hideMark/>
          </w:tcPr>
          <w:p w14:paraId="5345661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6365</w:t>
            </w:r>
          </w:p>
        </w:tc>
        <w:tc>
          <w:tcPr>
            <w:tcW w:w="815" w:type="dxa"/>
            <w:vAlign w:val="center"/>
            <w:hideMark/>
          </w:tcPr>
          <w:p w14:paraId="2869781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2384</w:t>
            </w:r>
          </w:p>
        </w:tc>
        <w:tc>
          <w:tcPr>
            <w:tcW w:w="1204" w:type="dxa"/>
            <w:vAlign w:val="center"/>
            <w:hideMark/>
          </w:tcPr>
          <w:p w14:paraId="712FC82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8748</w:t>
            </w:r>
          </w:p>
        </w:tc>
        <w:tc>
          <w:tcPr>
            <w:tcW w:w="851" w:type="dxa"/>
            <w:vAlign w:val="center"/>
            <w:hideMark/>
          </w:tcPr>
          <w:p w14:paraId="511DEE1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21577</w:t>
            </w:r>
          </w:p>
        </w:tc>
      </w:tr>
      <w:tr w:rsidR="00DC5111" w:rsidRPr="00AA6AF4" w14:paraId="3E31CBC8" w14:textId="77777777" w:rsidTr="00DD6F35">
        <w:trPr>
          <w:trHeight w:val="56"/>
          <w:jc w:val="center"/>
        </w:trPr>
        <w:tc>
          <w:tcPr>
            <w:tcW w:w="1012" w:type="dxa"/>
            <w:vAlign w:val="center"/>
            <w:hideMark/>
          </w:tcPr>
          <w:p w14:paraId="5489EFC2"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1975-76</w:t>
            </w:r>
          </w:p>
        </w:tc>
        <w:tc>
          <w:tcPr>
            <w:tcW w:w="763" w:type="dxa"/>
            <w:vAlign w:val="center"/>
            <w:hideMark/>
          </w:tcPr>
          <w:p w14:paraId="4ABFD38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13899</w:t>
            </w:r>
          </w:p>
        </w:tc>
        <w:tc>
          <w:tcPr>
            <w:tcW w:w="774" w:type="dxa"/>
            <w:vAlign w:val="center"/>
            <w:hideMark/>
          </w:tcPr>
          <w:p w14:paraId="3C23752E"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7489</w:t>
            </w:r>
          </w:p>
        </w:tc>
        <w:tc>
          <w:tcPr>
            <w:tcW w:w="694" w:type="dxa"/>
            <w:vAlign w:val="center"/>
            <w:hideMark/>
          </w:tcPr>
          <w:p w14:paraId="37533EF4" w14:textId="18F6008F"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8462</w:t>
            </w:r>
          </w:p>
        </w:tc>
        <w:tc>
          <w:tcPr>
            <w:tcW w:w="783" w:type="dxa"/>
            <w:vAlign w:val="center"/>
          </w:tcPr>
          <w:p w14:paraId="5E5A12B3" w14:textId="61FEE5A5"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0FA2D6EF" w14:textId="02F7252E"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29850</w:t>
            </w:r>
          </w:p>
        </w:tc>
        <w:tc>
          <w:tcPr>
            <w:tcW w:w="835" w:type="dxa"/>
            <w:vAlign w:val="center"/>
            <w:hideMark/>
          </w:tcPr>
          <w:p w14:paraId="751C3C7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9682</w:t>
            </w:r>
          </w:p>
        </w:tc>
        <w:tc>
          <w:tcPr>
            <w:tcW w:w="815" w:type="dxa"/>
            <w:vAlign w:val="center"/>
            <w:hideMark/>
          </w:tcPr>
          <w:p w14:paraId="57481FB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4035</w:t>
            </w:r>
          </w:p>
        </w:tc>
        <w:tc>
          <w:tcPr>
            <w:tcW w:w="1204" w:type="dxa"/>
            <w:vAlign w:val="center"/>
            <w:hideMark/>
          </w:tcPr>
          <w:p w14:paraId="04F630D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13717</w:t>
            </w:r>
          </w:p>
        </w:tc>
        <w:tc>
          <w:tcPr>
            <w:tcW w:w="851" w:type="dxa"/>
            <w:vAlign w:val="center"/>
            <w:hideMark/>
          </w:tcPr>
          <w:p w14:paraId="73BD3F49"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33885</w:t>
            </w:r>
          </w:p>
        </w:tc>
      </w:tr>
      <w:tr w:rsidR="00DC5111" w:rsidRPr="00AA6AF4" w14:paraId="76C3186D" w14:textId="77777777" w:rsidTr="00DD6F35">
        <w:trPr>
          <w:trHeight w:val="56"/>
          <w:jc w:val="center"/>
        </w:trPr>
        <w:tc>
          <w:tcPr>
            <w:tcW w:w="1012" w:type="dxa"/>
            <w:vAlign w:val="center"/>
            <w:hideMark/>
          </w:tcPr>
          <w:p w14:paraId="17637FA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1976-77</w:t>
            </w:r>
          </w:p>
        </w:tc>
        <w:tc>
          <w:tcPr>
            <w:tcW w:w="763" w:type="dxa"/>
            <w:vAlign w:val="center"/>
            <w:hideMark/>
          </w:tcPr>
          <w:p w14:paraId="5F256596"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14441</w:t>
            </w:r>
          </w:p>
        </w:tc>
        <w:tc>
          <w:tcPr>
            <w:tcW w:w="774" w:type="dxa"/>
            <w:vAlign w:val="center"/>
            <w:hideMark/>
          </w:tcPr>
          <w:p w14:paraId="38B71A9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8495</w:t>
            </w:r>
          </w:p>
        </w:tc>
        <w:tc>
          <w:tcPr>
            <w:tcW w:w="694" w:type="dxa"/>
            <w:vAlign w:val="center"/>
            <w:hideMark/>
          </w:tcPr>
          <w:p w14:paraId="6384BAD2" w14:textId="30803090"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10506</w:t>
            </w:r>
          </w:p>
        </w:tc>
        <w:tc>
          <w:tcPr>
            <w:tcW w:w="783" w:type="dxa"/>
            <w:vAlign w:val="center"/>
          </w:tcPr>
          <w:p w14:paraId="3D109E38" w14:textId="0ABCD0D9"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75FFF68F" w14:textId="0310F842"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33442</w:t>
            </w:r>
          </w:p>
        </w:tc>
        <w:tc>
          <w:tcPr>
            <w:tcW w:w="835" w:type="dxa"/>
            <w:vAlign w:val="center"/>
            <w:hideMark/>
          </w:tcPr>
          <w:p w14:paraId="77A2B7D8"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10408</w:t>
            </w:r>
          </w:p>
        </w:tc>
        <w:tc>
          <w:tcPr>
            <w:tcW w:w="815" w:type="dxa"/>
            <w:vAlign w:val="center"/>
            <w:hideMark/>
          </w:tcPr>
          <w:p w14:paraId="3873C8E3"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4393</w:t>
            </w:r>
          </w:p>
        </w:tc>
        <w:tc>
          <w:tcPr>
            <w:tcW w:w="1204" w:type="dxa"/>
            <w:vAlign w:val="center"/>
            <w:hideMark/>
          </w:tcPr>
          <w:p w14:paraId="4CEE8A33"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14801</w:t>
            </w:r>
          </w:p>
        </w:tc>
        <w:tc>
          <w:tcPr>
            <w:tcW w:w="851" w:type="dxa"/>
            <w:vAlign w:val="center"/>
            <w:hideMark/>
          </w:tcPr>
          <w:p w14:paraId="7638A948"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37835</w:t>
            </w:r>
          </w:p>
        </w:tc>
      </w:tr>
      <w:tr w:rsidR="00DC5111" w:rsidRPr="00AA6AF4" w14:paraId="604F465A" w14:textId="77777777" w:rsidTr="00DD6F35">
        <w:trPr>
          <w:trHeight w:val="56"/>
          <w:jc w:val="center"/>
        </w:trPr>
        <w:tc>
          <w:tcPr>
            <w:tcW w:w="1012" w:type="dxa"/>
            <w:vAlign w:val="center"/>
            <w:hideMark/>
          </w:tcPr>
          <w:p w14:paraId="358D15BE"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1977-78</w:t>
            </w:r>
          </w:p>
        </w:tc>
        <w:tc>
          <w:tcPr>
            <w:tcW w:w="763" w:type="dxa"/>
            <w:vAlign w:val="center"/>
            <w:hideMark/>
          </w:tcPr>
          <w:p w14:paraId="0087F58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18996</w:t>
            </w:r>
          </w:p>
        </w:tc>
        <w:tc>
          <w:tcPr>
            <w:tcW w:w="774" w:type="dxa"/>
            <w:vAlign w:val="center"/>
            <w:hideMark/>
          </w:tcPr>
          <w:p w14:paraId="7AE2741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8985</w:t>
            </w:r>
          </w:p>
        </w:tc>
        <w:tc>
          <w:tcPr>
            <w:tcW w:w="694" w:type="dxa"/>
            <w:vAlign w:val="center"/>
            <w:hideMark/>
          </w:tcPr>
          <w:p w14:paraId="5C8D47FD" w14:textId="40D3CA25"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11891</w:t>
            </w:r>
          </w:p>
        </w:tc>
        <w:tc>
          <w:tcPr>
            <w:tcW w:w="783" w:type="dxa"/>
            <w:vAlign w:val="center"/>
          </w:tcPr>
          <w:p w14:paraId="572BF9EF" w14:textId="08A4C983"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330F96FE" w14:textId="28BF8A5E"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39872</w:t>
            </w:r>
          </w:p>
        </w:tc>
        <w:tc>
          <w:tcPr>
            <w:tcW w:w="835" w:type="dxa"/>
            <w:vAlign w:val="center"/>
            <w:hideMark/>
          </w:tcPr>
          <w:p w14:paraId="78205F3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11529</w:t>
            </w:r>
          </w:p>
        </w:tc>
        <w:tc>
          <w:tcPr>
            <w:tcW w:w="815" w:type="dxa"/>
            <w:vAlign w:val="center"/>
            <w:hideMark/>
          </w:tcPr>
          <w:p w14:paraId="0CF0E19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4958</w:t>
            </w:r>
          </w:p>
        </w:tc>
        <w:tc>
          <w:tcPr>
            <w:tcW w:w="1204" w:type="dxa"/>
            <w:vAlign w:val="center"/>
            <w:hideMark/>
          </w:tcPr>
          <w:p w14:paraId="100B7BB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16487</w:t>
            </w:r>
          </w:p>
        </w:tc>
        <w:tc>
          <w:tcPr>
            <w:tcW w:w="851" w:type="dxa"/>
            <w:vAlign w:val="center"/>
            <w:hideMark/>
          </w:tcPr>
          <w:p w14:paraId="239683E9"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44830</w:t>
            </w:r>
          </w:p>
        </w:tc>
      </w:tr>
      <w:tr w:rsidR="00DC5111" w:rsidRPr="00AA6AF4" w14:paraId="781678F6" w14:textId="77777777" w:rsidTr="00DD6F35">
        <w:trPr>
          <w:trHeight w:val="56"/>
          <w:jc w:val="center"/>
        </w:trPr>
        <w:tc>
          <w:tcPr>
            <w:tcW w:w="1012" w:type="dxa"/>
            <w:vAlign w:val="center"/>
            <w:hideMark/>
          </w:tcPr>
          <w:p w14:paraId="5C4ADA3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1978-79</w:t>
            </w:r>
          </w:p>
        </w:tc>
        <w:tc>
          <w:tcPr>
            <w:tcW w:w="763" w:type="dxa"/>
            <w:vAlign w:val="center"/>
            <w:hideMark/>
          </w:tcPr>
          <w:p w14:paraId="3EA1481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19855</w:t>
            </w:r>
          </w:p>
        </w:tc>
        <w:tc>
          <w:tcPr>
            <w:tcW w:w="774" w:type="dxa"/>
            <w:vAlign w:val="center"/>
            <w:hideMark/>
          </w:tcPr>
          <w:p w14:paraId="4C568BD7"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9373</w:t>
            </w:r>
          </w:p>
        </w:tc>
        <w:tc>
          <w:tcPr>
            <w:tcW w:w="694" w:type="dxa"/>
            <w:vAlign w:val="center"/>
            <w:hideMark/>
          </w:tcPr>
          <w:p w14:paraId="2F3FA4E0" w14:textId="17FED25F"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13954</w:t>
            </w:r>
          </w:p>
        </w:tc>
        <w:tc>
          <w:tcPr>
            <w:tcW w:w="783" w:type="dxa"/>
            <w:vAlign w:val="center"/>
          </w:tcPr>
          <w:p w14:paraId="54A4F760" w14:textId="34D34E4E"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37A50330" w14:textId="0B54F0C2"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43182</w:t>
            </w:r>
          </w:p>
        </w:tc>
        <w:tc>
          <w:tcPr>
            <w:tcW w:w="835" w:type="dxa"/>
            <w:vAlign w:val="center"/>
            <w:hideMark/>
          </w:tcPr>
          <w:p w14:paraId="50780BC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13890</w:t>
            </w:r>
          </w:p>
        </w:tc>
        <w:tc>
          <w:tcPr>
            <w:tcW w:w="815" w:type="dxa"/>
            <w:vAlign w:val="center"/>
            <w:hideMark/>
          </w:tcPr>
          <w:p w14:paraId="2869764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5297</w:t>
            </w:r>
          </w:p>
        </w:tc>
        <w:tc>
          <w:tcPr>
            <w:tcW w:w="1204" w:type="dxa"/>
            <w:vAlign w:val="center"/>
            <w:hideMark/>
          </w:tcPr>
          <w:p w14:paraId="70EACA6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19187</w:t>
            </w:r>
          </w:p>
        </w:tc>
        <w:tc>
          <w:tcPr>
            <w:tcW w:w="851" w:type="dxa"/>
            <w:vAlign w:val="center"/>
            <w:hideMark/>
          </w:tcPr>
          <w:p w14:paraId="7A646227"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48479</w:t>
            </w:r>
          </w:p>
        </w:tc>
      </w:tr>
      <w:tr w:rsidR="00DC5111" w:rsidRPr="00AA6AF4" w14:paraId="69D06312" w14:textId="77777777" w:rsidTr="00DD6F35">
        <w:trPr>
          <w:trHeight w:val="56"/>
          <w:jc w:val="center"/>
        </w:trPr>
        <w:tc>
          <w:tcPr>
            <w:tcW w:w="1012" w:type="dxa"/>
            <w:vAlign w:val="center"/>
            <w:hideMark/>
          </w:tcPr>
          <w:p w14:paraId="112B6CE2"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1979-80</w:t>
            </w:r>
          </w:p>
        </w:tc>
        <w:tc>
          <w:tcPr>
            <w:tcW w:w="763" w:type="dxa"/>
            <w:vAlign w:val="center"/>
            <w:hideMark/>
          </w:tcPr>
          <w:p w14:paraId="49FCC2C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24339</w:t>
            </w:r>
          </w:p>
        </w:tc>
        <w:tc>
          <w:tcPr>
            <w:tcW w:w="774" w:type="dxa"/>
            <w:vAlign w:val="center"/>
            <w:hideMark/>
          </w:tcPr>
          <w:p w14:paraId="00C98B1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9964</w:t>
            </w:r>
          </w:p>
        </w:tc>
        <w:tc>
          <w:tcPr>
            <w:tcW w:w="694" w:type="dxa"/>
            <w:vAlign w:val="center"/>
            <w:hideMark/>
          </w:tcPr>
          <w:p w14:paraId="4EE8A9D2" w14:textId="25D953B1"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15552</w:t>
            </w:r>
          </w:p>
        </w:tc>
        <w:tc>
          <w:tcPr>
            <w:tcW w:w="783" w:type="dxa"/>
            <w:vAlign w:val="center"/>
          </w:tcPr>
          <w:p w14:paraId="07726309" w14:textId="296FC42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4EC7C24B" w14:textId="7A7F79D9"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49915</w:t>
            </w:r>
          </w:p>
        </w:tc>
        <w:tc>
          <w:tcPr>
            <w:tcW w:w="835" w:type="dxa"/>
            <w:vAlign w:val="center"/>
            <w:hideMark/>
          </w:tcPr>
          <w:p w14:paraId="607596D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15756</w:t>
            </w:r>
          </w:p>
        </w:tc>
        <w:tc>
          <w:tcPr>
            <w:tcW w:w="815" w:type="dxa"/>
            <w:vAlign w:val="center"/>
            <w:hideMark/>
          </w:tcPr>
          <w:p w14:paraId="1A2920B5"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5870</w:t>
            </w:r>
          </w:p>
        </w:tc>
        <w:tc>
          <w:tcPr>
            <w:tcW w:w="1204" w:type="dxa"/>
            <w:vAlign w:val="center"/>
            <w:hideMark/>
          </w:tcPr>
          <w:p w14:paraId="36D88EB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21626</w:t>
            </w:r>
          </w:p>
        </w:tc>
        <w:tc>
          <w:tcPr>
            <w:tcW w:w="851" w:type="dxa"/>
            <w:vAlign w:val="center"/>
            <w:hideMark/>
          </w:tcPr>
          <w:p w14:paraId="2CE860A5"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55765</w:t>
            </w:r>
          </w:p>
        </w:tc>
      </w:tr>
      <w:tr w:rsidR="00DC5111" w:rsidRPr="00AA6AF4" w14:paraId="48343116" w14:textId="77777777" w:rsidTr="00DD6F35">
        <w:trPr>
          <w:trHeight w:val="56"/>
          <w:jc w:val="center"/>
        </w:trPr>
        <w:tc>
          <w:tcPr>
            <w:tcW w:w="1012" w:type="dxa"/>
            <w:vAlign w:val="center"/>
            <w:hideMark/>
          </w:tcPr>
          <w:p w14:paraId="7A758E2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1980-81</w:t>
            </w:r>
          </w:p>
        </w:tc>
        <w:tc>
          <w:tcPr>
            <w:tcW w:w="763" w:type="dxa"/>
            <w:vAlign w:val="center"/>
            <w:hideMark/>
          </w:tcPr>
          <w:p w14:paraId="0ADBDF4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30864</w:t>
            </w:r>
          </w:p>
        </w:tc>
        <w:tc>
          <w:tcPr>
            <w:tcW w:w="774" w:type="dxa"/>
            <w:vAlign w:val="center"/>
            <w:hideMark/>
          </w:tcPr>
          <w:p w14:paraId="3011E17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11298</w:t>
            </w:r>
          </w:p>
        </w:tc>
        <w:tc>
          <w:tcPr>
            <w:tcW w:w="694" w:type="dxa"/>
            <w:vAlign w:val="center"/>
            <w:hideMark/>
          </w:tcPr>
          <w:p w14:paraId="3902716F" w14:textId="1D6C643A"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17287</w:t>
            </w:r>
          </w:p>
        </w:tc>
        <w:tc>
          <w:tcPr>
            <w:tcW w:w="783" w:type="dxa"/>
            <w:vAlign w:val="center"/>
          </w:tcPr>
          <w:p w14:paraId="7CD2FE02" w14:textId="3FC4E063"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2DC690CF" w14:textId="12525D53"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59449</w:t>
            </w:r>
          </w:p>
        </w:tc>
        <w:tc>
          <w:tcPr>
            <w:tcW w:w="835" w:type="dxa"/>
            <w:vAlign w:val="center"/>
            <w:hideMark/>
          </w:tcPr>
          <w:p w14:paraId="35AE14B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17071</w:t>
            </w:r>
          </w:p>
        </w:tc>
        <w:tc>
          <w:tcPr>
            <w:tcW w:w="815" w:type="dxa"/>
            <w:vAlign w:val="center"/>
            <w:hideMark/>
          </w:tcPr>
          <w:p w14:paraId="725E71B2"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6902</w:t>
            </w:r>
          </w:p>
        </w:tc>
        <w:tc>
          <w:tcPr>
            <w:tcW w:w="1204" w:type="dxa"/>
            <w:vAlign w:val="center"/>
            <w:hideMark/>
          </w:tcPr>
          <w:p w14:paraId="2C3CAE1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23973</w:t>
            </w:r>
          </w:p>
        </w:tc>
        <w:tc>
          <w:tcPr>
            <w:tcW w:w="851" w:type="dxa"/>
            <w:vAlign w:val="center"/>
            <w:hideMark/>
          </w:tcPr>
          <w:p w14:paraId="2EEFFFC7"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66351</w:t>
            </w:r>
          </w:p>
        </w:tc>
      </w:tr>
      <w:tr w:rsidR="00DC5111" w:rsidRPr="00AA6AF4" w14:paraId="03F69A66" w14:textId="77777777" w:rsidTr="00DD6F35">
        <w:trPr>
          <w:trHeight w:val="56"/>
          <w:jc w:val="center"/>
        </w:trPr>
        <w:tc>
          <w:tcPr>
            <w:tcW w:w="1012" w:type="dxa"/>
            <w:vAlign w:val="center"/>
            <w:hideMark/>
          </w:tcPr>
          <w:p w14:paraId="154BF0E3"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1981-82</w:t>
            </w:r>
          </w:p>
        </w:tc>
        <w:tc>
          <w:tcPr>
            <w:tcW w:w="763" w:type="dxa"/>
            <w:vAlign w:val="center"/>
            <w:hideMark/>
          </w:tcPr>
          <w:p w14:paraId="1D64EA6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35653</w:t>
            </w:r>
          </w:p>
        </w:tc>
        <w:tc>
          <w:tcPr>
            <w:tcW w:w="774" w:type="dxa"/>
            <w:vAlign w:val="center"/>
            <w:hideMark/>
          </w:tcPr>
          <w:p w14:paraId="4381B5F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12328</w:t>
            </w:r>
          </w:p>
        </w:tc>
        <w:tc>
          <w:tcPr>
            <w:tcW w:w="694" w:type="dxa"/>
            <w:vAlign w:val="center"/>
            <w:hideMark/>
          </w:tcPr>
          <w:p w14:paraId="622E3C7D" w14:textId="624DBE04"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19905</w:t>
            </w:r>
          </w:p>
        </w:tc>
        <w:tc>
          <w:tcPr>
            <w:tcW w:w="783" w:type="dxa"/>
            <w:vAlign w:val="center"/>
          </w:tcPr>
          <w:p w14:paraId="139DA0E5" w14:textId="7EE11618"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22D36200" w14:textId="6F971F6E"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67886</w:t>
            </w:r>
          </w:p>
        </w:tc>
        <w:tc>
          <w:tcPr>
            <w:tcW w:w="835" w:type="dxa"/>
            <w:vAlign w:val="center"/>
            <w:hideMark/>
          </w:tcPr>
          <w:p w14:paraId="226364A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19080</w:t>
            </w:r>
          </w:p>
        </w:tc>
        <w:tc>
          <w:tcPr>
            <w:tcW w:w="815" w:type="dxa"/>
            <w:vAlign w:val="center"/>
            <w:hideMark/>
          </w:tcPr>
          <w:p w14:paraId="5A184B07"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8649</w:t>
            </w:r>
          </w:p>
        </w:tc>
        <w:tc>
          <w:tcPr>
            <w:tcW w:w="1204" w:type="dxa"/>
            <w:vAlign w:val="center"/>
            <w:hideMark/>
          </w:tcPr>
          <w:p w14:paraId="710343E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27729</w:t>
            </w:r>
          </w:p>
        </w:tc>
        <w:tc>
          <w:tcPr>
            <w:tcW w:w="851" w:type="dxa"/>
            <w:vAlign w:val="center"/>
            <w:hideMark/>
          </w:tcPr>
          <w:p w14:paraId="254FDDA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76535</w:t>
            </w:r>
          </w:p>
        </w:tc>
      </w:tr>
      <w:tr w:rsidR="00DC5111" w:rsidRPr="00AA6AF4" w14:paraId="3382854C" w14:textId="77777777" w:rsidTr="00DD6F35">
        <w:trPr>
          <w:trHeight w:val="56"/>
          <w:jc w:val="center"/>
        </w:trPr>
        <w:tc>
          <w:tcPr>
            <w:tcW w:w="1012" w:type="dxa"/>
            <w:vAlign w:val="center"/>
            <w:hideMark/>
          </w:tcPr>
          <w:p w14:paraId="268DE8E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1982-83</w:t>
            </w:r>
          </w:p>
        </w:tc>
        <w:tc>
          <w:tcPr>
            <w:tcW w:w="763" w:type="dxa"/>
            <w:vAlign w:val="center"/>
            <w:hideMark/>
          </w:tcPr>
          <w:p w14:paraId="2D2D12C7"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46939</w:t>
            </w:r>
          </w:p>
        </w:tc>
        <w:tc>
          <w:tcPr>
            <w:tcW w:w="774" w:type="dxa"/>
            <w:vAlign w:val="center"/>
            <w:hideMark/>
          </w:tcPr>
          <w:p w14:paraId="353637D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13682</w:t>
            </w:r>
          </w:p>
        </w:tc>
        <w:tc>
          <w:tcPr>
            <w:tcW w:w="694" w:type="dxa"/>
            <w:vAlign w:val="center"/>
            <w:hideMark/>
          </w:tcPr>
          <w:p w14:paraId="7C09A50C" w14:textId="5B7F7B1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23951</w:t>
            </w:r>
          </w:p>
        </w:tc>
        <w:tc>
          <w:tcPr>
            <w:tcW w:w="783" w:type="dxa"/>
            <w:vAlign w:val="center"/>
          </w:tcPr>
          <w:p w14:paraId="728EE70E" w14:textId="1C1998A6"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190DAB0F" w14:textId="5D71D1EA"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84572</w:t>
            </w:r>
          </w:p>
        </w:tc>
        <w:tc>
          <w:tcPr>
            <w:tcW w:w="835" w:type="dxa"/>
            <w:vAlign w:val="center"/>
            <w:hideMark/>
          </w:tcPr>
          <w:p w14:paraId="3C680EEE"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23558</w:t>
            </w:r>
          </w:p>
        </w:tc>
        <w:tc>
          <w:tcPr>
            <w:tcW w:w="815" w:type="dxa"/>
            <w:vAlign w:val="center"/>
            <w:hideMark/>
          </w:tcPr>
          <w:p w14:paraId="7F1187F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8965</w:t>
            </w:r>
          </w:p>
        </w:tc>
        <w:tc>
          <w:tcPr>
            <w:tcW w:w="1204" w:type="dxa"/>
            <w:vAlign w:val="center"/>
            <w:hideMark/>
          </w:tcPr>
          <w:p w14:paraId="5E990D5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32523</w:t>
            </w:r>
          </w:p>
        </w:tc>
        <w:tc>
          <w:tcPr>
            <w:tcW w:w="851" w:type="dxa"/>
            <w:vAlign w:val="center"/>
            <w:hideMark/>
          </w:tcPr>
          <w:p w14:paraId="30A13532"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93537</w:t>
            </w:r>
          </w:p>
        </w:tc>
      </w:tr>
      <w:tr w:rsidR="00DC5111" w:rsidRPr="00AA6AF4" w14:paraId="3E478EA2" w14:textId="77777777" w:rsidTr="00DD6F35">
        <w:trPr>
          <w:trHeight w:val="56"/>
          <w:jc w:val="center"/>
        </w:trPr>
        <w:tc>
          <w:tcPr>
            <w:tcW w:w="1012" w:type="dxa"/>
            <w:vAlign w:val="center"/>
            <w:hideMark/>
          </w:tcPr>
          <w:p w14:paraId="31408F0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1983-84</w:t>
            </w:r>
          </w:p>
        </w:tc>
        <w:tc>
          <w:tcPr>
            <w:tcW w:w="763" w:type="dxa"/>
            <w:vAlign w:val="center"/>
            <w:hideMark/>
          </w:tcPr>
          <w:p w14:paraId="14BCA26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50263</w:t>
            </w:r>
          </w:p>
        </w:tc>
        <w:tc>
          <w:tcPr>
            <w:tcW w:w="774" w:type="dxa"/>
            <w:vAlign w:val="center"/>
            <w:hideMark/>
          </w:tcPr>
          <w:p w14:paraId="23AF9B4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15120</w:t>
            </w:r>
          </w:p>
        </w:tc>
        <w:tc>
          <w:tcPr>
            <w:tcW w:w="694" w:type="dxa"/>
            <w:vAlign w:val="center"/>
            <w:hideMark/>
          </w:tcPr>
          <w:p w14:paraId="22E55D78" w14:textId="44A200D0"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29578</w:t>
            </w:r>
          </w:p>
        </w:tc>
        <w:tc>
          <w:tcPr>
            <w:tcW w:w="783" w:type="dxa"/>
            <w:vAlign w:val="center"/>
          </w:tcPr>
          <w:p w14:paraId="2F7A053E" w14:textId="1D01CA96"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543F9A89" w14:textId="5435D004"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94061</w:t>
            </w:r>
          </w:p>
        </w:tc>
        <w:tc>
          <w:tcPr>
            <w:tcW w:w="835" w:type="dxa"/>
            <w:vAlign w:val="center"/>
            <w:hideMark/>
          </w:tcPr>
          <w:p w14:paraId="271860B9"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26990</w:t>
            </w:r>
          </w:p>
        </w:tc>
        <w:tc>
          <w:tcPr>
            <w:tcW w:w="815" w:type="dxa"/>
            <w:vAlign w:val="center"/>
            <w:hideMark/>
          </w:tcPr>
          <w:p w14:paraId="6D4362B6"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10863</w:t>
            </w:r>
          </w:p>
        </w:tc>
        <w:tc>
          <w:tcPr>
            <w:tcW w:w="1204" w:type="dxa"/>
            <w:vAlign w:val="center"/>
            <w:hideMark/>
          </w:tcPr>
          <w:p w14:paraId="4D2EC139"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37853</w:t>
            </w:r>
          </w:p>
        </w:tc>
        <w:tc>
          <w:tcPr>
            <w:tcW w:w="851" w:type="dxa"/>
            <w:vAlign w:val="center"/>
            <w:hideMark/>
          </w:tcPr>
          <w:p w14:paraId="15B79122"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105824</w:t>
            </w:r>
          </w:p>
        </w:tc>
      </w:tr>
      <w:tr w:rsidR="00DC5111" w:rsidRPr="00AA6AF4" w14:paraId="0729AC79" w14:textId="77777777" w:rsidTr="00DD6F35">
        <w:trPr>
          <w:trHeight w:val="56"/>
          <w:jc w:val="center"/>
        </w:trPr>
        <w:tc>
          <w:tcPr>
            <w:tcW w:w="1012" w:type="dxa"/>
            <w:vAlign w:val="center"/>
            <w:hideMark/>
          </w:tcPr>
          <w:p w14:paraId="5A37A90D"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1984-85</w:t>
            </w:r>
          </w:p>
        </w:tc>
        <w:tc>
          <w:tcPr>
            <w:tcW w:w="763" w:type="dxa"/>
            <w:vAlign w:val="center"/>
            <w:hideMark/>
          </w:tcPr>
          <w:p w14:paraId="245D4D83"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58537</w:t>
            </w:r>
          </w:p>
        </w:tc>
        <w:tc>
          <w:tcPr>
            <w:tcW w:w="774" w:type="dxa"/>
            <w:vAlign w:val="center"/>
            <w:hideMark/>
          </w:tcPr>
          <w:p w14:paraId="2A7362BF"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16637</w:t>
            </w:r>
          </w:p>
        </w:tc>
        <w:tc>
          <w:tcPr>
            <w:tcW w:w="694" w:type="dxa"/>
            <w:vAlign w:val="center"/>
            <w:hideMark/>
          </w:tcPr>
          <w:p w14:paraId="27A01028" w14:textId="16061524"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37967</w:t>
            </w:r>
          </w:p>
        </w:tc>
        <w:tc>
          <w:tcPr>
            <w:tcW w:w="783" w:type="dxa"/>
            <w:vAlign w:val="center"/>
          </w:tcPr>
          <w:p w14:paraId="6CE3F692" w14:textId="68C58B65"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42988F0B" w14:textId="3D89DCAF"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113141</w:t>
            </w:r>
          </w:p>
        </w:tc>
        <w:tc>
          <w:tcPr>
            <w:tcW w:w="835" w:type="dxa"/>
            <w:vAlign w:val="center"/>
            <w:hideMark/>
          </w:tcPr>
          <w:p w14:paraId="71B481E5"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30432</w:t>
            </w:r>
          </w:p>
        </w:tc>
        <w:tc>
          <w:tcPr>
            <w:tcW w:w="815" w:type="dxa"/>
            <w:vAlign w:val="center"/>
            <w:hideMark/>
          </w:tcPr>
          <w:p w14:paraId="34E8136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13478</w:t>
            </w:r>
          </w:p>
        </w:tc>
        <w:tc>
          <w:tcPr>
            <w:tcW w:w="1204" w:type="dxa"/>
            <w:vAlign w:val="center"/>
            <w:hideMark/>
          </w:tcPr>
          <w:p w14:paraId="463DD8FF"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43910</w:t>
            </w:r>
          </w:p>
        </w:tc>
        <w:tc>
          <w:tcPr>
            <w:tcW w:w="851" w:type="dxa"/>
            <w:vAlign w:val="center"/>
            <w:hideMark/>
          </w:tcPr>
          <w:p w14:paraId="4DBA8268"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126619</w:t>
            </w:r>
          </w:p>
        </w:tc>
      </w:tr>
      <w:tr w:rsidR="00DC5111" w:rsidRPr="00AA6AF4" w14:paraId="0D0F5091" w14:textId="77777777" w:rsidTr="00DD6F35">
        <w:trPr>
          <w:trHeight w:val="56"/>
          <w:jc w:val="center"/>
        </w:trPr>
        <w:tc>
          <w:tcPr>
            <w:tcW w:w="1012" w:type="dxa"/>
            <w:vAlign w:val="center"/>
            <w:hideMark/>
          </w:tcPr>
          <w:p w14:paraId="64CA458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1985-86</w:t>
            </w:r>
          </w:p>
        </w:tc>
        <w:tc>
          <w:tcPr>
            <w:tcW w:w="763" w:type="dxa"/>
            <w:vAlign w:val="center"/>
            <w:hideMark/>
          </w:tcPr>
          <w:p w14:paraId="3ED9D58F"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71039</w:t>
            </w:r>
          </w:p>
        </w:tc>
        <w:tc>
          <w:tcPr>
            <w:tcW w:w="774" w:type="dxa"/>
            <w:vAlign w:val="center"/>
            <w:hideMark/>
          </w:tcPr>
          <w:p w14:paraId="45E2AB69"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18153</w:t>
            </w:r>
          </w:p>
        </w:tc>
        <w:tc>
          <w:tcPr>
            <w:tcW w:w="694" w:type="dxa"/>
            <w:vAlign w:val="center"/>
            <w:hideMark/>
          </w:tcPr>
          <w:p w14:paraId="23D6BA88" w14:textId="0265B6EF"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47992</w:t>
            </w:r>
          </w:p>
        </w:tc>
        <w:tc>
          <w:tcPr>
            <w:tcW w:w="783" w:type="dxa"/>
            <w:vAlign w:val="center"/>
          </w:tcPr>
          <w:p w14:paraId="57593C60" w14:textId="7D8196A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7FBEAFA5" w14:textId="625AFAED"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137484</w:t>
            </w:r>
          </w:p>
        </w:tc>
        <w:tc>
          <w:tcPr>
            <w:tcW w:w="835" w:type="dxa"/>
            <w:vAlign w:val="center"/>
            <w:hideMark/>
          </w:tcPr>
          <w:p w14:paraId="51654EA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37842</w:t>
            </w:r>
          </w:p>
        </w:tc>
        <w:tc>
          <w:tcPr>
            <w:tcW w:w="815" w:type="dxa"/>
            <w:vAlign w:val="center"/>
            <w:hideMark/>
          </w:tcPr>
          <w:p w14:paraId="3686D39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14439</w:t>
            </w:r>
          </w:p>
        </w:tc>
        <w:tc>
          <w:tcPr>
            <w:tcW w:w="1204" w:type="dxa"/>
            <w:vAlign w:val="center"/>
            <w:hideMark/>
          </w:tcPr>
          <w:p w14:paraId="6D70959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52281</w:t>
            </w:r>
          </w:p>
        </w:tc>
        <w:tc>
          <w:tcPr>
            <w:tcW w:w="851" w:type="dxa"/>
            <w:vAlign w:val="center"/>
            <w:hideMark/>
          </w:tcPr>
          <w:p w14:paraId="13285346"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151753</w:t>
            </w:r>
          </w:p>
        </w:tc>
      </w:tr>
      <w:tr w:rsidR="00DC5111" w:rsidRPr="00AA6AF4" w14:paraId="50777E64" w14:textId="77777777" w:rsidTr="00DD6F35">
        <w:trPr>
          <w:trHeight w:val="56"/>
          <w:jc w:val="center"/>
        </w:trPr>
        <w:tc>
          <w:tcPr>
            <w:tcW w:w="1012" w:type="dxa"/>
            <w:vAlign w:val="center"/>
            <w:hideMark/>
          </w:tcPr>
          <w:p w14:paraId="1F927DA1"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1986-87</w:t>
            </w:r>
          </w:p>
        </w:tc>
        <w:tc>
          <w:tcPr>
            <w:tcW w:w="763" w:type="dxa"/>
            <w:vAlign w:val="center"/>
            <w:hideMark/>
          </w:tcPr>
          <w:p w14:paraId="51EA50BF"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86312</w:t>
            </w:r>
          </w:p>
        </w:tc>
        <w:tc>
          <w:tcPr>
            <w:tcW w:w="774" w:type="dxa"/>
            <w:vAlign w:val="center"/>
            <w:hideMark/>
          </w:tcPr>
          <w:p w14:paraId="25287F43"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20299</w:t>
            </w:r>
          </w:p>
        </w:tc>
        <w:tc>
          <w:tcPr>
            <w:tcW w:w="694" w:type="dxa"/>
            <w:vAlign w:val="center"/>
            <w:hideMark/>
          </w:tcPr>
          <w:p w14:paraId="1DA6F8F2" w14:textId="1B07A2A2"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59635</w:t>
            </w:r>
          </w:p>
        </w:tc>
        <w:tc>
          <w:tcPr>
            <w:tcW w:w="783" w:type="dxa"/>
            <w:vAlign w:val="center"/>
          </w:tcPr>
          <w:p w14:paraId="4A847B4B" w14:textId="6F7D7342"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29A919F5" w14:textId="7CF7D3C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166546</w:t>
            </w:r>
          </w:p>
        </w:tc>
        <w:tc>
          <w:tcPr>
            <w:tcW w:w="835" w:type="dxa"/>
            <w:vAlign w:val="center"/>
            <w:hideMark/>
          </w:tcPr>
          <w:p w14:paraId="57558EC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43530</w:t>
            </w:r>
          </w:p>
        </w:tc>
        <w:tc>
          <w:tcPr>
            <w:tcW w:w="815" w:type="dxa"/>
            <w:vAlign w:val="center"/>
            <w:hideMark/>
          </w:tcPr>
          <w:p w14:paraId="0852C8F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17110</w:t>
            </w:r>
          </w:p>
        </w:tc>
        <w:tc>
          <w:tcPr>
            <w:tcW w:w="1204" w:type="dxa"/>
            <w:vAlign w:val="center"/>
            <w:hideMark/>
          </w:tcPr>
          <w:p w14:paraId="6AF4D524"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69781</w:t>
            </w:r>
          </w:p>
        </w:tc>
        <w:tc>
          <w:tcPr>
            <w:tcW w:w="851" w:type="dxa"/>
            <w:vAlign w:val="center"/>
            <w:hideMark/>
          </w:tcPr>
          <w:p w14:paraId="4DA1BA5E"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192797</w:t>
            </w:r>
          </w:p>
        </w:tc>
      </w:tr>
      <w:tr w:rsidR="00DC5111" w:rsidRPr="00AA6AF4" w14:paraId="7DA2124F" w14:textId="77777777" w:rsidTr="00DD6F35">
        <w:trPr>
          <w:trHeight w:val="56"/>
          <w:jc w:val="center"/>
        </w:trPr>
        <w:tc>
          <w:tcPr>
            <w:tcW w:w="1012" w:type="dxa"/>
            <w:vAlign w:val="center"/>
            <w:hideMark/>
          </w:tcPr>
          <w:p w14:paraId="13389EC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1987-88</w:t>
            </w:r>
          </w:p>
        </w:tc>
        <w:tc>
          <w:tcPr>
            <w:tcW w:w="763" w:type="dxa"/>
            <w:vAlign w:val="center"/>
            <w:hideMark/>
          </w:tcPr>
          <w:p w14:paraId="7E308AC3"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99646</w:t>
            </w:r>
          </w:p>
        </w:tc>
        <w:tc>
          <w:tcPr>
            <w:tcW w:w="774" w:type="dxa"/>
            <w:vAlign w:val="center"/>
            <w:hideMark/>
          </w:tcPr>
          <w:p w14:paraId="274863D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23223</w:t>
            </w:r>
          </w:p>
        </w:tc>
        <w:tc>
          <w:tcPr>
            <w:tcW w:w="694" w:type="dxa"/>
            <w:vAlign w:val="center"/>
            <w:hideMark/>
          </w:tcPr>
          <w:p w14:paraId="1F29D78A" w14:textId="1327B2CA"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73392</w:t>
            </w:r>
          </w:p>
        </w:tc>
        <w:tc>
          <w:tcPr>
            <w:tcW w:w="783" w:type="dxa"/>
            <w:vAlign w:val="center"/>
          </w:tcPr>
          <w:p w14:paraId="6960D18C" w14:textId="3ABBAF13"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233E8CB8" w14:textId="4C9E20E5"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195561</w:t>
            </w:r>
          </w:p>
        </w:tc>
        <w:tc>
          <w:tcPr>
            <w:tcW w:w="835" w:type="dxa"/>
            <w:vAlign w:val="center"/>
            <w:hideMark/>
          </w:tcPr>
          <w:p w14:paraId="31A9428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49345**</w:t>
            </w:r>
          </w:p>
        </w:tc>
        <w:tc>
          <w:tcPr>
            <w:tcW w:w="815" w:type="dxa"/>
            <w:vAlign w:val="center"/>
            <w:hideMark/>
          </w:tcPr>
          <w:p w14:paraId="456A7DDA"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19979**</w:t>
            </w:r>
          </w:p>
        </w:tc>
        <w:tc>
          <w:tcPr>
            <w:tcW w:w="1204" w:type="dxa"/>
            <w:vAlign w:val="center"/>
            <w:hideMark/>
          </w:tcPr>
          <w:p w14:paraId="216AE63E"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80066**</w:t>
            </w:r>
          </w:p>
        </w:tc>
        <w:tc>
          <w:tcPr>
            <w:tcW w:w="851" w:type="dxa"/>
            <w:vAlign w:val="center"/>
            <w:hideMark/>
          </w:tcPr>
          <w:p w14:paraId="1D0FAE65"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226282@</w:t>
            </w:r>
          </w:p>
        </w:tc>
      </w:tr>
      <w:tr w:rsidR="00DC5111" w:rsidRPr="00AA6AF4" w14:paraId="0307DEF6" w14:textId="77777777" w:rsidTr="00DD6F35">
        <w:trPr>
          <w:trHeight w:val="56"/>
          <w:jc w:val="center"/>
        </w:trPr>
        <w:tc>
          <w:tcPr>
            <w:tcW w:w="1012" w:type="dxa"/>
            <w:vAlign w:val="center"/>
            <w:hideMark/>
          </w:tcPr>
          <w:p w14:paraId="4DA554B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1988-89 (RE)</w:t>
            </w:r>
          </w:p>
        </w:tc>
        <w:tc>
          <w:tcPr>
            <w:tcW w:w="763" w:type="dxa"/>
            <w:vAlign w:val="center"/>
            <w:hideMark/>
          </w:tcPr>
          <w:p w14:paraId="5AAEC4AB"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114453</w:t>
            </w:r>
          </w:p>
        </w:tc>
        <w:tc>
          <w:tcPr>
            <w:tcW w:w="774" w:type="dxa"/>
            <w:vAlign w:val="center"/>
            <w:hideMark/>
          </w:tcPr>
          <w:p w14:paraId="7DBBC110"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25239</w:t>
            </w:r>
          </w:p>
        </w:tc>
        <w:tc>
          <w:tcPr>
            <w:tcW w:w="694" w:type="dxa"/>
            <w:vAlign w:val="center"/>
            <w:hideMark/>
          </w:tcPr>
          <w:p w14:paraId="26EA8710" w14:textId="75029931"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88249</w:t>
            </w:r>
          </w:p>
        </w:tc>
        <w:tc>
          <w:tcPr>
            <w:tcW w:w="783" w:type="dxa"/>
            <w:vAlign w:val="center"/>
          </w:tcPr>
          <w:p w14:paraId="13E34006" w14:textId="4D384EBB"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0E4C3B38" w14:textId="15450526"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228241</w:t>
            </w:r>
          </w:p>
        </w:tc>
        <w:tc>
          <w:tcPr>
            <w:tcW w:w="835" w:type="dxa"/>
            <w:vAlign w:val="center"/>
            <w:hideMark/>
          </w:tcPr>
          <w:p w14:paraId="1D8894FC"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55536***</w:t>
            </w:r>
          </w:p>
        </w:tc>
        <w:tc>
          <w:tcPr>
            <w:tcW w:w="815" w:type="dxa"/>
            <w:vAlign w:val="center"/>
            <w:hideMark/>
          </w:tcPr>
          <w:p w14:paraId="1BC83F85"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22663***</w:t>
            </w:r>
          </w:p>
        </w:tc>
        <w:tc>
          <w:tcPr>
            <w:tcW w:w="1204" w:type="dxa"/>
            <w:vAlign w:val="center"/>
            <w:hideMark/>
          </w:tcPr>
          <w:p w14:paraId="6C399F17"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91053***</w:t>
            </w:r>
          </w:p>
        </w:tc>
        <w:tc>
          <w:tcPr>
            <w:tcW w:w="851" w:type="dxa"/>
            <w:vAlign w:val="center"/>
            <w:hideMark/>
          </w:tcPr>
          <w:p w14:paraId="79992405"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263758</w:t>
            </w:r>
          </w:p>
        </w:tc>
      </w:tr>
      <w:tr w:rsidR="00DC5111" w:rsidRPr="00AA6AF4" w14:paraId="0202EEA8" w14:textId="77777777" w:rsidTr="00DD6F35">
        <w:trPr>
          <w:trHeight w:val="56"/>
          <w:jc w:val="center"/>
        </w:trPr>
        <w:tc>
          <w:tcPr>
            <w:tcW w:w="1012" w:type="dxa"/>
            <w:vAlign w:val="center"/>
            <w:hideMark/>
          </w:tcPr>
          <w:p w14:paraId="600142AE"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1989-90 (BE)</w:t>
            </w:r>
          </w:p>
        </w:tc>
        <w:tc>
          <w:tcPr>
            <w:tcW w:w="763" w:type="dxa"/>
            <w:vAlign w:val="center"/>
            <w:hideMark/>
          </w:tcPr>
          <w:p w14:paraId="2B67F9B6"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130758</w:t>
            </w:r>
          </w:p>
        </w:tc>
        <w:tc>
          <w:tcPr>
            <w:tcW w:w="774" w:type="dxa"/>
            <w:vAlign w:val="center"/>
            <w:hideMark/>
          </w:tcPr>
          <w:p w14:paraId="4EE38632" w14:textId="7777777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28037</w:t>
            </w:r>
          </w:p>
        </w:tc>
        <w:tc>
          <w:tcPr>
            <w:tcW w:w="694" w:type="dxa"/>
            <w:vAlign w:val="center"/>
            <w:hideMark/>
          </w:tcPr>
          <w:p w14:paraId="09A00628" w14:textId="7FBBEB47"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100634</w:t>
            </w:r>
          </w:p>
        </w:tc>
        <w:tc>
          <w:tcPr>
            <w:tcW w:w="783" w:type="dxa"/>
            <w:vAlign w:val="center"/>
          </w:tcPr>
          <w:p w14:paraId="4C2E192A" w14:textId="04314C2E"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+300</w:t>
            </w:r>
          </w:p>
        </w:tc>
        <w:tc>
          <w:tcPr>
            <w:tcW w:w="1195" w:type="dxa"/>
            <w:vAlign w:val="center"/>
            <w:hideMark/>
          </w:tcPr>
          <w:p w14:paraId="5B18E5C6" w14:textId="15006BA3" w:rsidR="00561752" w:rsidRPr="00AA6AF4" w:rsidRDefault="00561752" w:rsidP="00DC5111">
            <w:pPr>
              <w:pStyle w:val="NoSpacing"/>
              <w:jc w:val="center"/>
              <w:rPr>
                <w:rFonts w:ascii="Times New Roman" w:hAnsi="Times New Roman" w:cs="Times New Roman"/>
                <w:sz w:val="14"/>
                <w:szCs w:val="14"/>
              </w:rPr>
            </w:pPr>
            <w:r w:rsidRPr="00AA6AF4">
              <w:rPr>
                <w:rFonts w:ascii="Times New Roman" w:hAnsi="Times New Roman" w:cs="Times New Roman"/>
                <w:sz w:val="14"/>
                <w:szCs w:val="14"/>
              </w:rPr>
              <w:t>259729</w:t>
            </w:r>
          </w:p>
        </w:tc>
        <w:tc>
          <w:tcPr>
            <w:tcW w:w="835" w:type="dxa"/>
            <w:vAlign w:val="center"/>
            <w:hideMark/>
          </w:tcPr>
          <w:p w14:paraId="6533D470" w14:textId="77777777" w:rsidR="00561752" w:rsidRPr="00AA6AF4" w:rsidRDefault="00561752" w:rsidP="00DC5111">
            <w:pPr>
              <w:pStyle w:val="NoSpacing"/>
              <w:jc w:val="center"/>
              <w:rPr>
                <w:rFonts w:ascii="Times New Roman" w:hAnsi="Times New Roman" w:cs="Times New Roman"/>
                <w:sz w:val="14"/>
                <w:szCs w:val="14"/>
              </w:rPr>
            </w:pPr>
          </w:p>
        </w:tc>
        <w:tc>
          <w:tcPr>
            <w:tcW w:w="815" w:type="dxa"/>
            <w:vAlign w:val="center"/>
            <w:hideMark/>
          </w:tcPr>
          <w:p w14:paraId="1069C207" w14:textId="77777777" w:rsidR="00561752" w:rsidRPr="00AA6AF4" w:rsidRDefault="00561752" w:rsidP="00DC5111">
            <w:pPr>
              <w:pStyle w:val="NoSpacing"/>
              <w:jc w:val="center"/>
              <w:rPr>
                <w:rFonts w:ascii="Times New Roman" w:hAnsi="Times New Roman" w:cs="Times New Roman"/>
                <w:sz w:val="14"/>
                <w:szCs w:val="14"/>
              </w:rPr>
            </w:pPr>
          </w:p>
        </w:tc>
        <w:tc>
          <w:tcPr>
            <w:tcW w:w="1204" w:type="dxa"/>
            <w:vAlign w:val="center"/>
            <w:hideMark/>
          </w:tcPr>
          <w:p w14:paraId="44454B41" w14:textId="77777777" w:rsidR="00561752" w:rsidRPr="00AA6AF4" w:rsidRDefault="00561752" w:rsidP="00DC5111">
            <w:pPr>
              <w:pStyle w:val="NoSpacing"/>
              <w:jc w:val="center"/>
              <w:rPr>
                <w:rFonts w:ascii="Times New Roman" w:hAnsi="Times New Roman" w:cs="Times New Roman"/>
                <w:sz w:val="14"/>
                <w:szCs w:val="14"/>
              </w:rPr>
            </w:pPr>
          </w:p>
        </w:tc>
        <w:tc>
          <w:tcPr>
            <w:tcW w:w="851" w:type="dxa"/>
            <w:vAlign w:val="center"/>
            <w:hideMark/>
          </w:tcPr>
          <w:p w14:paraId="3164C5BF" w14:textId="77777777" w:rsidR="00561752" w:rsidRPr="00AA6AF4" w:rsidRDefault="00561752" w:rsidP="00DC5111">
            <w:pPr>
              <w:pStyle w:val="NoSpacing"/>
              <w:jc w:val="center"/>
              <w:rPr>
                <w:rFonts w:ascii="Times New Roman" w:hAnsi="Times New Roman" w:cs="Times New Roman"/>
                <w:sz w:val="14"/>
                <w:szCs w:val="14"/>
              </w:rPr>
            </w:pPr>
          </w:p>
        </w:tc>
      </w:tr>
    </w:tbl>
    <w:p w14:paraId="12F517EB" w14:textId="340100A0" w:rsidR="00B17D98" w:rsidRPr="00DD6F35" w:rsidRDefault="009533DA" w:rsidP="00DD6F35">
      <w:pPr>
        <w:pStyle w:val="NoSpacing"/>
        <w:ind w:left="720"/>
        <w:rPr>
          <w:rFonts w:ascii="Times New Roman" w:hAnsi="Times New Roman" w:cs="Times New Roman"/>
          <w:sz w:val="16"/>
          <w:szCs w:val="14"/>
        </w:rPr>
      </w:pPr>
      <w:r w:rsidRPr="00DD6F35">
        <w:rPr>
          <w:rFonts w:ascii="Times New Roman" w:hAnsi="Times New Roman" w:cs="Times New Roman"/>
          <w:sz w:val="16"/>
          <w:szCs w:val="14"/>
        </w:rPr>
        <w:t>Note: * Total liabilities net of amount due from Pakistan on account of her share of Pre-Partition Debt (</w:t>
      </w:r>
      <w:proofErr w:type="spellStart"/>
      <w:r w:rsidRPr="00DD6F35">
        <w:rPr>
          <w:rFonts w:ascii="Times New Roman" w:hAnsi="Times New Roman" w:cs="Times New Roman"/>
          <w:sz w:val="16"/>
          <w:szCs w:val="14"/>
        </w:rPr>
        <w:t>approx</w:t>
      </w:r>
      <w:proofErr w:type="spellEnd"/>
      <w:r w:rsidRPr="00DD6F35">
        <w:rPr>
          <w:rFonts w:ascii="Times New Roman" w:hAnsi="Times New Roman" w:cs="Times New Roman"/>
          <w:sz w:val="16"/>
          <w:szCs w:val="14"/>
        </w:rPr>
        <w:t>) valued at Rs.300 crore.</w:t>
      </w:r>
    </w:p>
    <w:p w14:paraId="5137424B" w14:textId="2CB1AD0B" w:rsidR="00B17D98" w:rsidRPr="00DD6F35" w:rsidRDefault="00DC5111" w:rsidP="00DD6F35">
      <w:pPr>
        <w:pStyle w:val="NoSpacing"/>
        <w:ind w:left="720"/>
        <w:rPr>
          <w:rFonts w:ascii="Times New Roman" w:hAnsi="Times New Roman" w:cs="Times New Roman"/>
          <w:sz w:val="16"/>
          <w:szCs w:val="14"/>
        </w:rPr>
      </w:pPr>
      <w:r w:rsidRPr="00DD6F35">
        <w:rPr>
          <w:rFonts w:ascii="Times New Roman" w:hAnsi="Times New Roman" w:cs="Times New Roman"/>
          <w:sz w:val="16"/>
          <w:szCs w:val="14"/>
        </w:rPr>
        <w:t xml:space="preserve">         </w:t>
      </w:r>
      <w:r w:rsidR="009533DA" w:rsidRPr="00DD6F35">
        <w:rPr>
          <w:rFonts w:ascii="Times New Roman" w:hAnsi="Times New Roman" w:cs="Times New Roman"/>
          <w:sz w:val="16"/>
          <w:szCs w:val="14"/>
        </w:rPr>
        <w:t xml:space="preserve">** Revised Estimates. *** Budget Estimates. </w:t>
      </w:r>
      <w:r w:rsidR="00B715DD" w:rsidRPr="00DD6F35">
        <w:rPr>
          <w:rFonts w:ascii="Times New Roman" w:hAnsi="Times New Roman" w:cs="Times New Roman"/>
          <w:sz w:val="16"/>
          <w:szCs w:val="14"/>
        </w:rPr>
        <w:tab/>
      </w:r>
      <w:r w:rsidR="009533DA" w:rsidRPr="00DD6F35">
        <w:rPr>
          <w:rFonts w:ascii="Times New Roman" w:hAnsi="Times New Roman" w:cs="Times New Roman"/>
          <w:sz w:val="16"/>
          <w:szCs w:val="14"/>
        </w:rPr>
        <w:t>(@) Includes actuals of Central Government debt and BE/RE of States' debt.</w:t>
      </w:r>
    </w:p>
    <w:p w14:paraId="66D22EA6" w14:textId="31B79DE2" w:rsidR="009533DA" w:rsidRPr="00DD6F35" w:rsidRDefault="009533DA" w:rsidP="00DD6F35">
      <w:pPr>
        <w:pStyle w:val="NoSpacing"/>
        <w:ind w:left="1440"/>
        <w:rPr>
          <w:rFonts w:ascii="Times New Roman" w:hAnsi="Times New Roman" w:cs="Times New Roman"/>
          <w:sz w:val="16"/>
          <w:szCs w:val="14"/>
        </w:rPr>
      </w:pPr>
      <w:r w:rsidRPr="00DD6F35">
        <w:rPr>
          <w:rFonts w:ascii="Times New Roman" w:hAnsi="Times New Roman" w:cs="Times New Roman"/>
          <w:sz w:val="16"/>
          <w:szCs w:val="14"/>
        </w:rPr>
        <w:t>Source: RBI, Reports on Currency and Finance.</w:t>
      </w:r>
    </w:p>
    <w:p w14:paraId="77D539EF" w14:textId="3685AE7F" w:rsidR="00B715DD" w:rsidRPr="00DC5111" w:rsidRDefault="00B715DD" w:rsidP="00DC5111">
      <w:pPr>
        <w:pStyle w:val="Heading2"/>
      </w:pPr>
      <w:r w:rsidRPr="00DC5111">
        <w:rPr>
          <w:sz w:val="18"/>
          <w:szCs w:val="16"/>
        </w:rPr>
        <w:br w:type="page"/>
      </w:r>
      <w:bookmarkStart w:id="49" w:name="_Toc221292980"/>
      <w:bookmarkStart w:id="50" w:name="_Toc222399474"/>
      <w:r w:rsidRPr="00982953">
        <w:rPr>
          <w:sz w:val="20"/>
          <w:szCs w:val="20"/>
        </w:rPr>
        <w:lastRenderedPageBreak/>
        <w:t>ANNEXURE III.1</w:t>
      </w:r>
      <w:r w:rsidR="00DC5111" w:rsidRPr="00982953">
        <w:rPr>
          <w:sz w:val="20"/>
          <w:szCs w:val="20"/>
        </w:rPr>
        <w:br/>
      </w:r>
      <w:r w:rsidRPr="00982953">
        <w:rPr>
          <w:sz w:val="20"/>
          <w:szCs w:val="20"/>
        </w:rPr>
        <w:t xml:space="preserve">Share Capital Investment </w:t>
      </w:r>
      <w:proofErr w:type="gramStart"/>
      <w:r w:rsidRPr="00982953">
        <w:rPr>
          <w:sz w:val="20"/>
          <w:szCs w:val="20"/>
        </w:rPr>
        <w:t>In</w:t>
      </w:r>
      <w:proofErr w:type="gramEnd"/>
      <w:r w:rsidRPr="00982953">
        <w:rPr>
          <w:sz w:val="20"/>
          <w:szCs w:val="20"/>
        </w:rPr>
        <w:t xml:space="preserve"> State Public Undertakings </w:t>
      </w:r>
      <w:proofErr w:type="gramStart"/>
      <w:r w:rsidRPr="00982953">
        <w:rPr>
          <w:sz w:val="20"/>
          <w:szCs w:val="20"/>
        </w:rPr>
        <w:t>At</w:t>
      </w:r>
      <w:proofErr w:type="gramEnd"/>
      <w:r w:rsidRPr="00982953">
        <w:rPr>
          <w:sz w:val="20"/>
          <w:szCs w:val="20"/>
        </w:rPr>
        <w:t xml:space="preserve"> the End of 1989-90</w:t>
      </w:r>
      <w:bookmarkEnd w:id="49"/>
      <w:bookmarkEnd w:id="50"/>
    </w:p>
    <w:p w14:paraId="72FC018F" w14:textId="48D4B26D" w:rsidR="00DC5111" w:rsidRPr="00982953" w:rsidRDefault="00DC5111" w:rsidP="00DC5111">
      <w:pPr>
        <w:spacing w:after="0"/>
        <w:jc w:val="center"/>
        <w:rPr>
          <w:rFonts w:ascii="Times New Roman" w:hAnsi="Times New Roman" w:cs="Times New Roman"/>
          <w:sz w:val="18"/>
          <w:szCs w:val="16"/>
        </w:rPr>
      </w:pPr>
      <w:r w:rsidRPr="00982953">
        <w:rPr>
          <w:rFonts w:ascii="Times New Roman" w:hAnsi="Times New Roman" w:cs="Times New Roman"/>
          <w:sz w:val="18"/>
          <w:szCs w:val="16"/>
        </w:rPr>
        <w:t>(Para 3.9)</w:t>
      </w:r>
    </w:p>
    <w:p w14:paraId="4A1C7012" w14:textId="77777777" w:rsidR="00B715DD" w:rsidRPr="00DC5111" w:rsidRDefault="00B715DD" w:rsidP="00982953">
      <w:pPr>
        <w:spacing w:after="0"/>
        <w:ind w:left="7920" w:firstLine="720"/>
        <w:rPr>
          <w:rFonts w:ascii="Times New Roman" w:hAnsi="Times New Roman" w:cs="Times New Roman"/>
          <w:i/>
          <w:iCs/>
          <w:sz w:val="18"/>
          <w:szCs w:val="16"/>
        </w:rPr>
      </w:pPr>
      <w:r w:rsidRPr="00DC5111">
        <w:rPr>
          <w:rFonts w:ascii="Times New Roman" w:hAnsi="Times New Roman" w:cs="Times New Roman"/>
          <w:i/>
          <w:iCs/>
          <w:sz w:val="18"/>
          <w:szCs w:val="16"/>
        </w:rPr>
        <w:t>(Rs. Lakh)</w:t>
      </w:r>
    </w:p>
    <w:tbl>
      <w:tblPr>
        <w:tblStyle w:val="TableGrid"/>
        <w:tblW w:w="9351" w:type="dxa"/>
        <w:jc w:val="center"/>
        <w:tblLayout w:type="fixed"/>
        <w:tblLook w:val="04A0" w:firstRow="1" w:lastRow="0" w:firstColumn="1" w:lastColumn="0" w:noHBand="0" w:noVBand="1"/>
      </w:tblPr>
      <w:tblGrid>
        <w:gridCol w:w="425"/>
        <w:gridCol w:w="1555"/>
        <w:gridCol w:w="567"/>
        <w:gridCol w:w="992"/>
        <w:gridCol w:w="851"/>
        <w:gridCol w:w="992"/>
        <w:gridCol w:w="850"/>
        <w:gridCol w:w="1134"/>
        <w:gridCol w:w="993"/>
        <w:gridCol w:w="992"/>
      </w:tblGrid>
      <w:tr w:rsidR="00DE00E0" w:rsidRPr="00982953" w14:paraId="67A8A9AD" w14:textId="77777777" w:rsidTr="00982953">
        <w:trPr>
          <w:trHeight w:val="20"/>
          <w:jc w:val="center"/>
        </w:trPr>
        <w:tc>
          <w:tcPr>
            <w:tcW w:w="425" w:type="dxa"/>
            <w:vAlign w:val="center"/>
            <w:hideMark/>
          </w:tcPr>
          <w:p w14:paraId="40045242" w14:textId="77777777" w:rsidR="00DE00E0" w:rsidRPr="00982953" w:rsidRDefault="00DE00E0" w:rsidP="00DC5111">
            <w:pPr>
              <w:pStyle w:val="NoSpacing"/>
              <w:jc w:val="center"/>
              <w:rPr>
                <w:rFonts w:ascii="Times New Roman" w:hAnsi="Times New Roman" w:cs="Times New Roman"/>
                <w:sz w:val="16"/>
                <w:szCs w:val="16"/>
              </w:rPr>
            </w:pPr>
          </w:p>
        </w:tc>
        <w:tc>
          <w:tcPr>
            <w:tcW w:w="1555" w:type="dxa"/>
            <w:vAlign w:val="center"/>
            <w:hideMark/>
          </w:tcPr>
          <w:p w14:paraId="00D48127" w14:textId="77777777" w:rsidR="00DE00E0" w:rsidRPr="00982953" w:rsidRDefault="00DE00E0" w:rsidP="00DC5111">
            <w:pPr>
              <w:pStyle w:val="NoSpacing"/>
              <w:jc w:val="center"/>
              <w:rPr>
                <w:rFonts w:ascii="Times New Roman" w:hAnsi="Times New Roman" w:cs="Times New Roman"/>
                <w:b/>
                <w:bCs/>
                <w:sz w:val="16"/>
                <w:szCs w:val="16"/>
              </w:rPr>
            </w:pPr>
            <w:r w:rsidRPr="00982953">
              <w:rPr>
                <w:rFonts w:ascii="Times New Roman" w:hAnsi="Times New Roman" w:cs="Times New Roman"/>
                <w:b/>
                <w:bCs/>
                <w:sz w:val="16"/>
                <w:szCs w:val="16"/>
              </w:rPr>
              <w:t>States</w:t>
            </w:r>
          </w:p>
        </w:tc>
        <w:tc>
          <w:tcPr>
            <w:tcW w:w="1559" w:type="dxa"/>
            <w:gridSpan w:val="2"/>
            <w:vAlign w:val="center"/>
            <w:hideMark/>
          </w:tcPr>
          <w:p w14:paraId="786CACB3" w14:textId="1FCADAC9" w:rsidR="00DE00E0" w:rsidRPr="00982953" w:rsidRDefault="00DE00E0" w:rsidP="00DC5111">
            <w:pPr>
              <w:pStyle w:val="NoSpacing"/>
              <w:jc w:val="center"/>
              <w:rPr>
                <w:rFonts w:ascii="Times New Roman" w:hAnsi="Times New Roman" w:cs="Times New Roman"/>
                <w:b/>
                <w:bCs/>
                <w:sz w:val="16"/>
                <w:szCs w:val="16"/>
              </w:rPr>
            </w:pPr>
            <w:r w:rsidRPr="00982953">
              <w:rPr>
                <w:rFonts w:ascii="Times New Roman" w:hAnsi="Times New Roman" w:cs="Times New Roman"/>
                <w:b/>
                <w:bCs/>
                <w:sz w:val="16"/>
                <w:szCs w:val="16"/>
              </w:rPr>
              <w:t>Promotional</w:t>
            </w:r>
          </w:p>
        </w:tc>
        <w:tc>
          <w:tcPr>
            <w:tcW w:w="1843" w:type="dxa"/>
            <w:gridSpan w:val="2"/>
            <w:vAlign w:val="center"/>
            <w:hideMark/>
          </w:tcPr>
          <w:p w14:paraId="7EEC13A4" w14:textId="4C5CA256" w:rsidR="00DE00E0" w:rsidRPr="00982953" w:rsidRDefault="00DE00E0" w:rsidP="00DC5111">
            <w:pPr>
              <w:pStyle w:val="NoSpacing"/>
              <w:jc w:val="center"/>
              <w:rPr>
                <w:rFonts w:ascii="Times New Roman" w:hAnsi="Times New Roman" w:cs="Times New Roman"/>
                <w:b/>
                <w:bCs/>
                <w:sz w:val="16"/>
                <w:szCs w:val="16"/>
              </w:rPr>
            </w:pPr>
            <w:r w:rsidRPr="00982953">
              <w:rPr>
                <w:rFonts w:ascii="Times New Roman" w:hAnsi="Times New Roman" w:cs="Times New Roman"/>
                <w:b/>
                <w:bCs/>
                <w:sz w:val="16"/>
                <w:szCs w:val="16"/>
              </w:rPr>
              <w:t>Financial</w:t>
            </w:r>
          </w:p>
        </w:tc>
        <w:tc>
          <w:tcPr>
            <w:tcW w:w="1984" w:type="dxa"/>
            <w:gridSpan w:val="2"/>
            <w:vAlign w:val="center"/>
            <w:hideMark/>
          </w:tcPr>
          <w:p w14:paraId="2A7DD6F9" w14:textId="22B8F022" w:rsidR="00DE00E0" w:rsidRPr="00982953" w:rsidRDefault="00DE00E0" w:rsidP="00DC5111">
            <w:pPr>
              <w:pStyle w:val="NoSpacing"/>
              <w:jc w:val="center"/>
              <w:rPr>
                <w:rFonts w:ascii="Times New Roman" w:hAnsi="Times New Roman" w:cs="Times New Roman"/>
                <w:b/>
                <w:bCs/>
                <w:sz w:val="16"/>
                <w:szCs w:val="16"/>
              </w:rPr>
            </w:pPr>
            <w:r w:rsidRPr="00982953">
              <w:rPr>
                <w:rFonts w:ascii="Times New Roman" w:hAnsi="Times New Roman" w:cs="Times New Roman"/>
                <w:b/>
                <w:bCs/>
                <w:sz w:val="16"/>
                <w:szCs w:val="16"/>
              </w:rPr>
              <w:t>Commercial</w:t>
            </w:r>
          </w:p>
        </w:tc>
        <w:tc>
          <w:tcPr>
            <w:tcW w:w="1985" w:type="dxa"/>
            <w:gridSpan w:val="2"/>
            <w:vAlign w:val="center"/>
            <w:hideMark/>
          </w:tcPr>
          <w:p w14:paraId="5A6173E9" w14:textId="4EFCF525" w:rsidR="00DE00E0" w:rsidRPr="00982953" w:rsidRDefault="00DE00E0" w:rsidP="00DC5111">
            <w:pPr>
              <w:pStyle w:val="NoSpacing"/>
              <w:jc w:val="center"/>
              <w:rPr>
                <w:rFonts w:ascii="Times New Roman" w:hAnsi="Times New Roman" w:cs="Times New Roman"/>
                <w:b/>
                <w:bCs/>
                <w:sz w:val="16"/>
                <w:szCs w:val="16"/>
              </w:rPr>
            </w:pPr>
            <w:r w:rsidRPr="00982953">
              <w:rPr>
                <w:rFonts w:ascii="Times New Roman" w:hAnsi="Times New Roman" w:cs="Times New Roman"/>
                <w:b/>
                <w:bCs/>
                <w:sz w:val="16"/>
                <w:szCs w:val="16"/>
              </w:rPr>
              <w:t>Total</w:t>
            </w:r>
          </w:p>
        </w:tc>
      </w:tr>
      <w:tr w:rsidR="00B715DD" w:rsidRPr="00982953" w14:paraId="5C1F6F7C" w14:textId="77777777" w:rsidTr="00982953">
        <w:trPr>
          <w:trHeight w:val="20"/>
          <w:jc w:val="center"/>
        </w:trPr>
        <w:tc>
          <w:tcPr>
            <w:tcW w:w="425" w:type="dxa"/>
            <w:vAlign w:val="center"/>
            <w:hideMark/>
          </w:tcPr>
          <w:p w14:paraId="4C82519A" w14:textId="77777777" w:rsidR="00B715DD" w:rsidRPr="00982953" w:rsidRDefault="00B715DD" w:rsidP="00DC5111">
            <w:pPr>
              <w:pStyle w:val="NoSpacing"/>
              <w:jc w:val="center"/>
              <w:rPr>
                <w:rFonts w:ascii="Times New Roman" w:hAnsi="Times New Roman" w:cs="Times New Roman"/>
                <w:sz w:val="16"/>
                <w:szCs w:val="16"/>
              </w:rPr>
            </w:pPr>
          </w:p>
        </w:tc>
        <w:tc>
          <w:tcPr>
            <w:tcW w:w="1555" w:type="dxa"/>
            <w:vAlign w:val="center"/>
            <w:hideMark/>
          </w:tcPr>
          <w:p w14:paraId="3E814F2C" w14:textId="77777777" w:rsidR="00B715DD" w:rsidRPr="00982953" w:rsidRDefault="00B715DD" w:rsidP="00DC5111">
            <w:pPr>
              <w:pStyle w:val="NoSpacing"/>
              <w:rPr>
                <w:rFonts w:ascii="Times New Roman" w:hAnsi="Times New Roman" w:cs="Times New Roman"/>
                <w:sz w:val="16"/>
                <w:szCs w:val="16"/>
              </w:rPr>
            </w:pPr>
          </w:p>
        </w:tc>
        <w:tc>
          <w:tcPr>
            <w:tcW w:w="567" w:type="dxa"/>
            <w:vAlign w:val="center"/>
            <w:hideMark/>
          </w:tcPr>
          <w:p w14:paraId="01C716B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Number</w:t>
            </w:r>
          </w:p>
        </w:tc>
        <w:tc>
          <w:tcPr>
            <w:tcW w:w="992" w:type="dxa"/>
            <w:vAlign w:val="center"/>
            <w:hideMark/>
          </w:tcPr>
          <w:p w14:paraId="4DC01CA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Investment</w:t>
            </w:r>
          </w:p>
        </w:tc>
        <w:tc>
          <w:tcPr>
            <w:tcW w:w="851" w:type="dxa"/>
            <w:vAlign w:val="center"/>
            <w:hideMark/>
          </w:tcPr>
          <w:p w14:paraId="5E177A1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Number</w:t>
            </w:r>
          </w:p>
        </w:tc>
        <w:tc>
          <w:tcPr>
            <w:tcW w:w="992" w:type="dxa"/>
            <w:vAlign w:val="center"/>
            <w:hideMark/>
          </w:tcPr>
          <w:p w14:paraId="45B3FC9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Investment</w:t>
            </w:r>
          </w:p>
        </w:tc>
        <w:tc>
          <w:tcPr>
            <w:tcW w:w="850" w:type="dxa"/>
            <w:vAlign w:val="center"/>
            <w:hideMark/>
          </w:tcPr>
          <w:p w14:paraId="24EE92E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Number</w:t>
            </w:r>
          </w:p>
        </w:tc>
        <w:tc>
          <w:tcPr>
            <w:tcW w:w="1134" w:type="dxa"/>
            <w:vAlign w:val="center"/>
            <w:hideMark/>
          </w:tcPr>
          <w:p w14:paraId="6F85DA5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Investment</w:t>
            </w:r>
          </w:p>
        </w:tc>
        <w:tc>
          <w:tcPr>
            <w:tcW w:w="993" w:type="dxa"/>
            <w:vAlign w:val="center"/>
            <w:hideMark/>
          </w:tcPr>
          <w:p w14:paraId="7D17220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Number</w:t>
            </w:r>
          </w:p>
        </w:tc>
        <w:tc>
          <w:tcPr>
            <w:tcW w:w="992" w:type="dxa"/>
            <w:vAlign w:val="center"/>
            <w:hideMark/>
          </w:tcPr>
          <w:p w14:paraId="7B82987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Investment</w:t>
            </w:r>
          </w:p>
        </w:tc>
      </w:tr>
      <w:tr w:rsidR="00B715DD" w:rsidRPr="00982953" w14:paraId="033D7E86" w14:textId="77777777" w:rsidTr="00982953">
        <w:trPr>
          <w:trHeight w:val="20"/>
          <w:jc w:val="center"/>
        </w:trPr>
        <w:tc>
          <w:tcPr>
            <w:tcW w:w="425" w:type="dxa"/>
            <w:vAlign w:val="center"/>
            <w:hideMark/>
          </w:tcPr>
          <w:p w14:paraId="3D04BDB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1555" w:type="dxa"/>
            <w:vAlign w:val="center"/>
            <w:hideMark/>
          </w:tcPr>
          <w:p w14:paraId="79EDFA60"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Andhra Pradesh</w:t>
            </w:r>
          </w:p>
        </w:tc>
        <w:tc>
          <w:tcPr>
            <w:tcW w:w="567" w:type="dxa"/>
            <w:vAlign w:val="center"/>
            <w:hideMark/>
          </w:tcPr>
          <w:p w14:paraId="39AB353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992" w:type="dxa"/>
            <w:vAlign w:val="center"/>
            <w:hideMark/>
          </w:tcPr>
          <w:p w14:paraId="7825D1C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8141</w:t>
            </w:r>
          </w:p>
        </w:tc>
        <w:tc>
          <w:tcPr>
            <w:tcW w:w="851" w:type="dxa"/>
            <w:vAlign w:val="center"/>
            <w:hideMark/>
          </w:tcPr>
          <w:p w14:paraId="5DECB13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992" w:type="dxa"/>
            <w:vAlign w:val="center"/>
            <w:hideMark/>
          </w:tcPr>
          <w:p w14:paraId="5C57EF4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10113</w:t>
            </w:r>
          </w:p>
        </w:tc>
        <w:tc>
          <w:tcPr>
            <w:tcW w:w="850" w:type="dxa"/>
            <w:vAlign w:val="center"/>
            <w:hideMark/>
          </w:tcPr>
          <w:p w14:paraId="3483AEF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26</w:t>
            </w:r>
          </w:p>
        </w:tc>
        <w:tc>
          <w:tcPr>
            <w:tcW w:w="1134" w:type="dxa"/>
            <w:vAlign w:val="center"/>
            <w:hideMark/>
          </w:tcPr>
          <w:p w14:paraId="3ADC25B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26691</w:t>
            </w:r>
          </w:p>
        </w:tc>
        <w:tc>
          <w:tcPr>
            <w:tcW w:w="993" w:type="dxa"/>
            <w:vAlign w:val="center"/>
            <w:hideMark/>
          </w:tcPr>
          <w:p w14:paraId="2A9F3A6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45</w:t>
            </w:r>
          </w:p>
        </w:tc>
        <w:tc>
          <w:tcPr>
            <w:tcW w:w="992" w:type="dxa"/>
            <w:vAlign w:val="center"/>
            <w:hideMark/>
          </w:tcPr>
          <w:p w14:paraId="3990CE0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44945</w:t>
            </w:r>
          </w:p>
        </w:tc>
      </w:tr>
      <w:tr w:rsidR="00B715DD" w:rsidRPr="00982953" w14:paraId="5A22ECA3" w14:textId="77777777" w:rsidTr="00982953">
        <w:trPr>
          <w:trHeight w:val="20"/>
          <w:jc w:val="center"/>
        </w:trPr>
        <w:tc>
          <w:tcPr>
            <w:tcW w:w="425" w:type="dxa"/>
            <w:vAlign w:val="center"/>
            <w:hideMark/>
          </w:tcPr>
          <w:p w14:paraId="692B9E3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1555" w:type="dxa"/>
            <w:vAlign w:val="center"/>
            <w:hideMark/>
          </w:tcPr>
          <w:p w14:paraId="49608A88"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Arunachal Pradesh</w:t>
            </w:r>
          </w:p>
        </w:tc>
        <w:tc>
          <w:tcPr>
            <w:tcW w:w="567" w:type="dxa"/>
            <w:vAlign w:val="center"/>
            <w:hideMark/>
          </w:tcPr>
          <w:p w14:paraId="17AF4DE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3B4BC61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490</w:t>
            </w:r>
          </w:p>
        </w:tc>
        <w:tc>
          <w:tcPr>
            <w:tcW w:w="851" w:type="dxa"/>
            <w:vAlign w:val="center"/>
            <w:hideMark/>
          </w:tcPr>
          <w:p w14:paraId="64FA7AC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78440C4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291</w:t>
            </w:r>
          </w:p>
        </w:tc>
        <w:tc>
          <w:tcPr>
            <w:tcW w:w="850" w:type="dxa"/>
            <w:vAlign w:val="center"/>
            <w:hideMark/>
          </w:tcPr>
          <w:p w14:paraId="6597517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w:t>
            </w:r>
          </w:p>
        </w:tc>
        <w:tc>
          <w:tcPr>
            <w:tcW w:w="1134" w:type="dxa"/>
            <w:vAlign w:val="center"/>
            <w:hideMark/>
          </w:tcPr>
          <w:p w14:paraId="791DF8A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w:t>
            </w:r>
          </w:p>
        </w:tc>
        <w:tc>
          <w:tcPr>
            <w:tcW w:w="993" w:type="dxa"/>
            <w:vAlign w:val="center"/>
            <w:hideMark/>
          </w:tcPr>
          <w:p w14:paraId="0DD9337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60989F4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781</w:t>
            </w:r>
          </w:p>
        </w:tc>
      </w:tr>
      <w:tr w:rsidR="00B715DD" w:rsidRPr="00982953" w14:paraId="0F25FF17" w14:textId="77777777" w:rsidTr="00982953">
        <w:trPr>
          <w:trHeight w:val="20"/>
          <w:jc w:val="center"/>
        </w:trPr>
        <w:tc>
          <w:tcPr>
            <w:tcW w:w="425" w:type="dxa"/>
            <w:vAlign w:val="center"/>
            <w:hideMark/>
          </w:tcPr>
          <w:p w14:paraId="08DD098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1555" w:type="dxa"/>
            <w:vAlign w:val="center"/>
            <w:hideMark/>
          </w:tcPr>
          <w:p w14:paraId="22C236A3"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Assam</w:t>
            </w:r>
          </w:p>
        </w:tc>
        <w:tc>
          <w:tcPr>
            <w:tcW w:w="567" w:type="dxa"/>
            <w:vAlign w:val="center"/>
            <w:hideMark/>
          </w:tcPr>
          <w:p w14:paraId="0FB6DB7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992" w:type="dxa"/>
            <w:vAlign w:val="center"/>
            <w:hideMark/>
          </w:tcPr>
          <w:p w14:paraId="750E2C4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2439</w:t>
            </w:r>
          </w:p>
        </w:tc>
        <w:tc>
          <w:tcPr>
            <w:tcW w:w="851" w:type="dxa"/>
            <w:vAlign w:val="center"/>
            <w:hideMark/>
          </w:tcPr>
          <w:p w14:paraId="3BC6C8D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54148AF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1526</w:t>
            </w:r>
          </w:p>
        </w:tc>
        <w:tc>
          <w:tcPr>
            <w:tcW w:w="850" w:type="dxa"/>
            <w:vAlign w:val="center"/>
            <w:hideMark/>
          </w:tcPr>
          <w:p w14:paraId="332521C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19</w:t>
            </w:r>
          </w:p>
        </w:tc>
        <w:tc>
          <w:tcPr>
            <w:tcW w:w="1134" w:type="dxa"/>
            <w:vAlign w:val="center"/>
            <w:hideMark/>
          </w:tcPr>
          <w:p w14:paraId="328D40D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8636</w:t>
            </w:r>
          </w:p>
        </w:tc>
        <w:tc>
          <w:tcPr>
            <w:tcW w:w="993" w:type="dxa"/>
            <w:vAlign w:val="center"/>
            <w:hideMark/>
          </w:tcPr>
          <w:p w14:paraId="6FFD030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29</w:t>
            </w:r>
          </w:p>
        </w:tc>
        <w:tc>
          <w:tcPr>
            <w:tcW w:w="992" w:type="dxa"/>
            <w:vAlign w:val="center"/>
            <w:hideMark/>
          </w:tcPr>
          <w:p w14:paraId="586AAAC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12601</w:t>
            </w:r>
          </w:p>
        </w:tc>
      </w:tr>
      <w:tr w:rsidR="00B715DD" w:rsidRPr="00982953" w14:paraId="2360A43B" w14:textId="77777777" w:rsidTr="00982953">
        <w:trPr>
          <w:trHeight w:val="20"/>
          <w:jc w:val="center"/>
        </w:trPr>
        <w:tc>
          <w:tcPr>
            <w:tcW w:w="425" w:type="dxa"/>
            <w:vAlign w:val="center"/>
            <w:hideMark/>
          </w:tcPr>
          <w:p w14:paraId="3FB7DFA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w:t>
            </w:r>
          </w:p>
        </w:tc>
        <w:tc>
          <w:tcPr>
            <w:tcW w:w="1555" w:type="dxa"/>
            <w:vAlign w:val="center"/>
            <w:hideMark/>
          </w:tcPr>
          <w:p w14:paraId="0C0D1D9C"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Bihar</w:t>
            </w:r>
          </w:p>
        </w:tc>
        <w:tc>
          <w:tcPr>
            <w:tcW w:w="567" w:type="dxa"/>
            <w:vAlign w:val="center"/>
            <w:hideMark/>
          </w:tcPr>
          <w:p w14:paraId="6E35A5C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w:t>
            </w:r>
          </w:p>
        </w:tc>
        <w:tc>
          <w:tcPr>
            <w:tcW w:w="992" w:type="dxa"/>
            <w:vAlign w:val="center"/>
            <w:hideMark/>
          </w:tcPr>
          <w:p w14:paraId="1B251D9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4153</w:t>
            </w:r>
          </w:p>
        </w:tc>
        <w:tc>
          <w:tcPr>
            <w:tcW w:w="851" w:type="dxa"/>
            <w:vAlign w:val="center"/>
            <w:hideMark/>
          </w:tcPr>
          <w:p w14:paraId="79ED8F3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992" w:type="dxa"/>
            <w:vAlign w:val="center"/>
            <w:hideMark/>
          </w:tcPr>
          <w:p w14:paraId="299BE48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4219</w:t>
            </w:r>
          </w:p>
        </w:tc>
        <w:tc>
          <w:tcPr>
            <w:tcW w:w="850" w:type="dxa"/>
            <w:vAlign w:val="center"/>
            <w:hideMark/>
          </w:tcPr>
          <w:p w14:paraId="5C9B0E0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17</w:t>
            </w:r>
          </w:p>
        </w:tc>
        <w:tc>
          <w:tcPr>
            <w:tcW w:w="1134" w:type="dxa"/>
            <w:vAlign w:val="center"/>
            <w:hideMark/>
          </w:tcPr>
          <w:p w14:paraId="4376B7A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13425</w:t>
            </w:r>
          </w:p>
        </w:tc>
        <w:tc>
          <w:tcPr>
            <w:tcW w:w="993" w:type="dxa"/>
            <w:vAlign w:val="center"/>
            <w:hideMark/>
          </w:tcPr>
          <w:p w14:paraId="3C6F6A1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35</w:t>
            </w:r>
          </w:p>
        </w:tc>
        <w:tc>
          <w:tcPr>
            <w:tcW w:w="992" w:type="dxa"/>
            <w:vAlign w:val="center"/>
            <w:hideMark/>
          </w:tcPr>
          <w:p w14:paraId="1945BC9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21797</w:t>
            </w:r>
          </w:p>
        </w:tc>
      </w:tr>
      <w:tr w:rsidR="00B715DD" w:rsidRPr="00982953" w14:paraId="746E8322" w14:textId="77777777" w:rsidTr="00982953">
        <w:trPr>
          <w:trHeight w:val="20"/>
          <w:jc w:val="center"/>
        </w:trPr>
        <w:tc>
          <w:tcPr>
            <w:tcW w:w="425" w:type="dxa"/>
            <w:vAlign w:val="center"/>
            <w:hideMark/>
          </w:tcPr>
          <w:p w14:paraId="4D8927D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1555" w:type="dxa"/>
            <w:vAlign w:val="center"/>
            <w:hideMark/>
          </w:tcPr>
          <w:p w14:paraId="21C9B2EE"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Goa</w:t>
            </w:r>
          </w:p>
        </w:tc>
        <w:tc>
          <w:tcPr>
            <w:tcW w:w="567" w:type="dxa"/>
            <w:vAlign w:val="center"/>
            <w:hideMark/>
          </w:tcPr>
          <w:p w14:paraId="51E20FC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6885264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48</w:t>
            </w:r>
          </w:p>
        </w:tc>
        <w:tc>
          <w:tcPr>
            <w:tcW w:w="851" w:type="dxa"/>
            <w:vAlign w:val="center"/>
            <w:hideMark/>
          </w:tcPr>
          <w:p w14:paraId="571A66D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2AE7C89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234</w:t>
            </w:r>
          </w:p>
        </w:tc>
        <w:tc>
          <w:tcPr>
            <w:tcW w:w="850" w:type="dxa"/>
            <w:vAlign w:val="center"/>
            <w:hideMark/>
          </w:tcPr>
          <w:p w14:paraId="1906AF6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1134" w:type="dxa"/>
            <w:vAlign w:val="center"/>
            <w:hideMark/>
          </w:tcPr>
          <w:p w14:paraId="3082FF5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2619</w:t>
            </w:r>
          </w:p>
        </w:tc>
        <w:tc>
          <w:tcPr>
            <w:tcW w:w="993" w:type="dxa"/>
            <w:vAlign w:val="center"/>
            <w:hideMark/>
          </w:tcPr>
          <w:p w14:paraId="2C8B9EE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992" w:type="dxa"/>
            <w:vAlign w:val="center"/>
            <w:hideMark/>
          </w:tcPr>
          <w:p w14:paraId="035BD10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2901</w:t>
            </w:r>
          </w:p>
        </w:tc>
      </w:tr>
      <w:tr w:rsidR="00B715DD" w:rsidRPr="00982953" w14:paraId="47066032" w14:textId="77777777" w:rsidTr="00982953">
        <w:trPr>
          <w:trHeight w:val="20"/>
          <w:jc w:val="center"/>
        </w:trPr>
        <w:tc>
          <w:tcPr>
            <w:tcW w:w="425" w:type="dxa"/>
            <w:vAlign w:val="center"/>
            <w:hideMark/>
          </w:tcPr>
          <w:p w14:paraId="4EA992C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w:t>
            </w:r>
          </w:p>
        </w:tc>
        <w:tc>
          <w:tcPr>
            <w:tcW w:w="1555" w:type="dxa"/>
            <w:vAlign w:val="center"/>
            <w:hideMark/>
          </w:tcPr>
          <w:p w14:paraId="5A70DDFE"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Gujarat</w:t>
            </w:r>
          </w:p>
        </w:tc>
        <w:tc>
          <w:tcPr>
            <w:tcW w:w="567" w:type="dxa"/>
            <w:vAlign w:val="center"/>
            <w:hideMark/>
          </w:tcPr>
          <w:p w14:paraId="3701433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17</w:t>
            </w:r>
          </w:p>
        </w:tc>
        <w:tc>
          <w:tcPr>
            <w:tcW w:w="992" w:type="dxa"/>
            <w:vAlign w:val="center"/>
            <w:hideMark/>
          </w:tcPr>
          <w:p w14:paraId="467CB56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12990</w:t>
            </w:r>
          </w:p>
        </w:tc>
        <w:tc>
          <w:tcPr>
            <w:tcW w:w="851" w:type="dxa"/>
            <w:vAlign w:val="center"/>
            <w:hideMark/>
          </w:tcPr>
          <w:p w14:paraId="3948062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1B203EC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4053</w:t>
            </w:r>
          </w:p>
        </w:tc>
        <w:tc>
          <w:tcPr>
            <w:tcW w:w="850" w:type="dxa"/>
            <w:vAlign w:val="center"/>
            <w:hideMark/>
          </w:tcPr>
          <w:p w14:paraId="3F1494B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16</w:t>
            </w:r>
          </w:p>
        </w:tc>
        <w:tc>
          <w:tcPr>
            <w:tcW w:w="1134" w:type="dxa"/>
            <w:vAlign w:val="center"/>
            <w:hideMark/>
          </w:tcPr>
          <w:p w14:paraId="1399C3B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12376</w:t>
            </w:r>
          </w:p>
        </w:tc>
        <w:tc>
          <w:tcPr>
            <w:tcW w:w="993" w:type="dxa"/>
            <w:vAlign w:val="center"/>
            <w:hideMark/>
          </w:tcPr>
          <w:p w14:paraId="0CF6F74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36</w:t>
            </w:r>
          </w:p>
        </w:tc>
        <w:tc>
          <w:tcPr>
            <w:tcW w:w="992" w:type="dxa"/>
            <w:vAlign w:val="center"/>
            <w:hideMark/>
          </w:tcPr>
          <w:p w14:paraId="79798C4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29419</w:t>
            </w:r>
          </w:p>
        </w:tc>
      </w:tr>
      <w:tr w:rsidR="00B715DD" w:rsidRPr="00982953" w14:paraId="6963AE97" w14:textId="77777777" w:rsidTr="00982953">
        <w:trPr>
          <w:trHeight w:val="20"/>
          <w:jc w:val="center"/>
        </w:trPr>
        <w:tc>
          <w:tcPr>
            <w:tcW w:w="425" w:type="dxa"/>
            <w:vAlign w:val="center"/>
            <w:hideMark/>
          </w:tcPr>
          <w:p w14:paraId="5AA53C3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w:t>
            </w:r>
          </w:p>
        </w:tc>
        <w:tc>
          <w:tcPr>
            <w:tcW w:w="1555" w:type="dxa"/>
            <w:vAlign w:val="center"/>
            <w:hideMark/>
          </w:tcPr>
          <w:p w14:paraId="100348CC"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Haryana</w:t>
            </w:r>
          </w:p>
        </w:tc>
        <w:tc>
          <w:tcPr>
            <w:tcW w:w="567" w:type="dxa"/>
            <w:vAlign w:val="center"/>
            <w:hideMark/>
          </w:tcPr>
          <w:p w14:paraId="690C6C8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w:t>
            </w:r>
          </w:p>
        </w:tc>
        <w:tc>
          <w:tcPr>
            <w:tcW w:w="992" w:type="dxa"/>
            <w:vAlign w:val="center"/>
            <w:hideMark/>
          </w:tcPr>
          <w:p w14:paraId="1CACA6F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7307</w:t>
            </w:r>
          </w:p>
        </w:tc>
        <w:tc>
          <w:tcPr>
            <w:tcW w:w="851" w:type="dxa"/>
            <w:vAlign w:val="center"/>
            <w:hideMark/>
          </w:tcPr>
          <w:p w14:paraId="268E8B2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992" w:type="dxa"/>
            <w:vAlign w:val="center"/>
            <w:hideMark/>
          </w:tcPr>
          <w:p w14:paraId="457E2CB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327</w:t>
            </w:r>
          </w:p>
        </w:tc>
        <w:tc>
          <w:tcPr>
            <w:tcW w:w="850" w:type="dxa"/>
            <w:vAlign w:val="center"/>
            <w:hideMark/>
          </w:tcPr>
          <w:p w14:paraId="148558F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9</w:t>
            </w:r>
          </w:p>
        </w:tc>
        <w:tc>
          <w:tcPr>
            <w:tcW w:w="1134" w:type="dxa"/>
            <w:vAlign w:val="center"/>
            <w:hideMark/>
          </w:tcPr>
          <w:p w14:paraId="5AB3E82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3159</w:t>
            </w:r>
          </w:p>
        </w:tc>
        <w:tc>
          <w:tcPr>
            <w:tcW w:w="993" w:type="dxa"/>
            <w:vAlign w:val="center"/>
            <w:hideMark/>
          </w:tcPr>
          <w:p w14:paraId="42DF19B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w:t>
            </w:r>
          </w:p>
        </w:tc>
        <w:tc>
          <w:tcPr>
            <w:tcW w:w="992" w:type="dxa"/>
            <w:vAlign w:val="center"/>
            <w:hideMark/>
          </w:tcPr>
          <w:p w14:paraId="03EAFFC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10793</w:t>
            </w:r>
          </w:p>
        </w:tc>
      </w:tr>
      <w:tr w:rsidR="00B715DD" w:rsidRPr="00982953" w14:paraId="1D0BD778" w14:textId="77777777" w:rsidTr="00982953">
        <w:trPr>
          <w:trHeight w:val="20"/>
          <w:jc w:val="center"/>
        </w:trPr>
        <w:tc>
          <w:tcPr>
            <w:tcW w:w="425" w:type="dxa"/>
            <w:vAlign w:val="center"/>
            <w:hideMark/>
          </w:tcPr>
          <w:p w14:paraId="302DB84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1555" w:type="dxa"/>
            <w:vAlign w:val="center"/>
            <w:hideMark/>
          </w:tcPr>
          <w:p w14:paraId="6502C146"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Himachal Pradesh</w:t>
            </w:r>
          </w:p>
        </w:tc>
        <w:tc>
          <w:tcPr>
            <w:tcW w:w="567" w:type="dxa"/>
            <w:vAlign w:val="center"/>
            <w:hideMark/>
          </w:tcPr>
          <w:p w14:paraId="35BD799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992" w:type="dxa"/>
            <w:vAlign w:val="center"/>
            <w:hideMark/>
          </w:tcPr>
          <w:p w14:paraId="40EE638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5133</w:t>
            </w:r>
          </w:p>
        </w:tc>
        <w:tc>
          <w:tcPr>
            <w:tcW w:w="851" w:type="dxa"/>
            <w:vAlign w:val="center"/>
            <w:hideMark/>
          </w:tcPr>
          <w:p w14:paraId="146E264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60BFA75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805</w:t>
            </w:r>
          </w:p>
        </w:tc>
        <w:tc>
          <w:tcPr>
            <w:tcW w:w="850" w:type="dxa"/>
            <w:vAlign w:val="center"/>
            <w:hideMark/>
          </w:tcPr>
          <w:p w14:paraId="3383B93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1134" w:type="dxa"/>
            <w:vAlign w:val="center"/>
            <w:hideMark/>
          </w:tcPr>
          <w:p w14:paraId="5F65D33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2499</w:t>
            </w:r>
          </w:p>
        </w:tc>
        <w:tc>
          <w:tcPr>
            <w:tcW w:w="993" w:type="dxa"/>
            <w:vAlign w:val="center"/>
            <w:hideMark/>
          </w:tcPr>
          <w:p w14:paraId="6065BDF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17</w:t>
            </w:r>
          </w:p>
        </w:tc>
        <w:tc>
          <w:tcPr>
            <w:tcW w:w="992" w:type="dxa"/>
            <w:vAlign w:val="center"/>
            <w:hideMark/>
          </w:tcPr>
          <w:p w14:paraId="3A34F79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8437</w:t>
            </w:r>
          </w:p>
        </w:tc>
      </w:tr>
      <w:tr w:rsidR="00B715DD" w:rsidRPr="00982953" w14:paraId="21F76ADF" w14:textId="77777777" w:rsidTr="00982953">
        <w:trPr>
          <w:trHeight w:val="20"/>
          <w:jc w:val="center"/>
        </w:trPr>
        <w:tc>
          <w:tcPr>
            <w:tcW w:w="425" w:type="dxa"/>
            <w:vAlign w:val="center"/>
            <w:hideMark/>
          </w:tcPr>
          <w:p w14:paraId="6A55C81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9.</w:t>
            </w:r>
          </w:p>
        </w:tc>
        <w:tc>
          <w:tcPr>
            <w:tcW w:w="1555" w:type="dxa"/>
            <w:vAlign w:val="center"/>
            <w:hideMark/>
          </w:tcPr>
          <w:p w14:paraId="77EB2992"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Jammu and Kashmir</w:t>
            </w:r>
          </w:p>
        </w:tc>
        <w:tc>
          <w:tcPr>
            <w:tcW w:w="567" w:type="dxa"/>
            <w:vAlign w:val="center"/>
            <w:hideMark/>
          </w:tcPr>
          <w:p w14:paraId="13A6BDD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7ECE18C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510</w:t>
            </w:r>
          </w:p>
        </w:tc>
        <w:tc>
          <w:tcPr>
            <w:tcW w:w="851" w:type="dxa"/>
            <w:vAlign w:val="center"/>
            <w:hideMark/>
          </w:tcPr>
          <w:p w14:paraId="439885A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4D4CDE2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1143</w:t>
            </w:r>
          </w:p>
        </w:tc>
        <w:tc>
          <w:tcPr>
            <w:tcW w:w="850" w:type="dxa"/>
            <w:vAlign w:val="center"/>
            <w:hideMark/>
          </w:tcPr>
          <w:p w14:paraId="18F2EFE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w:t>
            </w:r>
          </w:p>
        </w:tc>
        <w:tc>
          <w:tcPr>
            <w:tcW w:w="1134" w:type="dxa"/>
            <w:vAlign w:val="center"/>
            <w:hideMark/>
          </w:tcPr>
          <w:p w14:paraId="3AEB6A0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9234</w:t>
            </w:r>
          </w:p>
        </w:tc>
        <w:tc>
          <w:tcPr>
            <w:tcW w:w="993" w:type="dxa"/>
            <w:vAlign w:val="center"/>
            <w:hideMark/>
          </w:tcPr>
          <w:p w14:paraId="744F964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18</w:t>
            </w:r>
          </w:p>
        </w:tc>
        <w:tc>
          <w:tcPr>
            <w:tcW w:w="992" w:type="dxa"/>
            <w:vAlign w:val="center"/>
            <w:hideMark/>
          </w:tcPr>
          <w:p w14:paraId="2C465A0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10887</w:t>
            </w:r>
          </w:p>
        </w:tc>
      </w:tr>
      <w:tr w:rsidR="00B715DD" w:rsidRPr="00982953" w14:paraId="17978A92" w14:textId="77777777" w:rsidTr="00982953">
        <w:trPr>
          <w:trHeight w:val="20"/>
          <w:jc w:val="center"/>
        </w:trPr>
        <w:tc>
          <w:tcPr>
            <w:tcW w:w="425" w:type="dxa"/>
            <w:vAlign w:val="center"/>
            <w:hideMark/>
          </w:tcPr>
          <w:p w14:paraId="2BCBC1A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w:t>
            </w:r>
          </w:p>
        </w:tc>
        <w:tc>
          <w:tcPr>
            <w:tcW w:w="1555" w:type="dxa"/>
            <w:vAlign w:val="center"/>
            <w:hideMark/>
          </w:tcPr>
          <w:p w14:paraId="42D213CA"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Karnataka</w:t>
            </w:r>
          </w:p>
        </w:tc>
        <w:tc>
          <w:tcPr>
            <w:tcW w:w="567" w:type="dxa"/>
            <w:vAlign w:val="center"/>
            <w:hideMark/>
          </w:tcPr>
          <w:p w14:paraId="104E159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15</w:t>
            </w:r>
          </w:p>
        </w:tc>
        <w:tc>
          <w:tcPr>
            <w:tcW w:w="992" w:type="dxa"/>
            <w:vAlign w:val="center"/>
            <w:hideMark/>
          </w:tcPr>
          <w:p w14:paraId="1E9ECFD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4753</w:t>
            </w:r>
          </w:p>
        </w:tc>
        <w:tc>
          <w:tcPr>
            <w:tcW w:w="851" w:type="dxa"/>
            <w:vAlign w:val="center"/>
            <w:hideMark/>
          </w:tcPr>
          <w:p w14:paraId="4D99503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w:t>
            </w:r>
          </w:p>
        </w:tc>
        <w:tc>
          <w:tcPr>
            <w:tcW w:w="992" w:type="dxa"/>
            <w:vAlign w:val="center"/>
            <w:hideMark/>
          </w:tcPr>
          <w:p w14:paraId="0DA71C4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6919</w:t>
            </w:r>
          </w:p>
        </w:tc>
        <w:tc>
          <w:tcPr>
            <w:tcW w:w="850" w:type="dxa"/>
            <w:vAlign w:val="center"/>
            <w:hideMark/>
          </w:tcPr>
          <w:p w14:paraId="5EF4C8E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47</w:t>
            </w:r>
          </w:p>
        </w:tc>
        <w:tc>
          <w:tcPr>
            <w:tcW w:w="1134" w:type="dxa"/>
            <w:vAlign w:val="center"/>
            <w:hideMark/>
          </w:tcPr>
          <w:p w14:paraId="6FCB279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23322</w:t>
            </w:r>
          </w:p>
        </w:tc>
        <w:tc>
          <w:tcPr>
            <w:tcW w:w="993" w:type="dxa"/>
            <w:vAlign w:val="center"/>
            <w:hideMark/>
          </w:tcPr>
          <w:p w14:paraId="5FBAD37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75</w:t>
            </w:r>
          </w:p>
        </w:tc>
        <w:tc>
          <w:tcPr>
            <w:tcW w:w="992" w:type="dxa"/>
            <w:vAlign w:val="center"/>
            <w:hideMark/>
          </w:tcPr>
          <w:p w14:paraId="1D4FC07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34994</w:t>
            </w:r>
          </w:p>
        </w:tc>
      </w:tr>
      <w:tr w:rsidR="00B715DD" w:rsidRPr="00982953" w14:paraId="19473D89" w14:textId="77777777" w:rsidTr="00982953">
        <w:trPr>
          <w:trHeight w:val="20"/>
          <w:jc w:val="center"/>
        </w:trPr>
        <w:tc>
          <w:tcPr>
            <w:tcW w:w="425" w:type="dxa"/>
            <w:vAlign w:val="center"/>
            <w:hideMark/>
          </w:tcPr>
          <w:p w14:paraId="2BABC7C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w:t>
            </w:r>
          </w:p>
        </w:tc>
        <w:tc>
          <w:tcPr>
            <w:tcW w:w="1555" w:type="dxa"/>
            <w:vAlign w:val="center"/>
            <w:hideMark/>
          </w:tcPr>
          <w:p w14:paraId="781AD9E0"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Kerala</w:t>
            </w:r>
          </w:p>
        </w:tc>
        <w:tc>
          <w:tcPr>
            <w:tcW w:w="567" w:type="dxa"/>
            <w:vAlign w:val="center"/>
            <w:hideMark/>
          </w:tcPr>
          <w:p w14:paraId="3925715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22</w:t>
            </w:r>
          </w:p>
        </w:tc>
        <w:tc>
          <w:tcPr>
            <w:tcW w:w="992" w:type="dxa"/>
            <w:vAlign w:val="center"/>
            <w:hideMark/>
          </w:tcPr>
          <w:p w14:paraId="6C7AFAE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8096</w:t>
            </w:r>
          </w:p>
        </w:tc>
        <w:tc>
          <w:tcPr>
            <w:tcW w:w="851" w:type="dxa"/>
            <w:vAlign w:val="center"/>
            <w:hideMark/>
          </w:tcPr>
          <w:p w14:paraId="44F7CB3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713B63B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1430</w:t>
            </w:r>
          </w:p>
        </w:tc>
        <w:tc>
          <w:tcPr>
            <w:tcW w:w="850" w:type="dxa"/>
            <w:vAlign w:val="center"/>
            <w:hideMark/>
          </w:tcPr>
          <w:p w14:paraId="0E6DCE9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55</w:t>
            </w:r>
          </w:p>
        </w:tc>
        <w:tc>
          <w:tcPr>
            <w:tcW w:w="1134" w:type="dxa"/>
            <w:vAlign w:val="center"/>
            <w:hideMark/>
          </w:tcPr>
          <w:p w14:paraId="259BE9D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24137</w:t>
            </w:r>
          </w:p>
        </w:tc>
        <w:tc>
          <w:tcPr>
            <w:tcW w:w="993" w:type="dxa"/>
            <w:vAlign w:val="center"/>
            <w:hideMark/>
          </w:tcPr>
          <w:p w14:paraId="696705F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80</w:t>
            </w:r>
          </w:p>
        </w:tc>
        <w:tc>
          <w:tcPr>
            <w:tcW w:w="992" w:type="dxa"/>
            <w:vAlign w:val="center"/>
            <w:hideMark/>
          </w:tcPr>
          <w:p w14:paraId="305DCB2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33663</w:t>
            </w:r>
          </w:p>
        </w:tc>
      </w:tr>
      <w:tr w:rsidR="00B715DD" w:rsidRPr="00982953" w14:paraId="25EC35AE" w14:textId="77777777" w:rsidTr="00982953">
        <w:trPr>
          <w:trHeight w:val="20"/>
          <w:jc w:val="center"/>
        </w:trPr>
        <w:tc>
          <w:tcPr>
            <w:tcW w:w="425" w:type="dxa"/>
            <w:vAlign w:val="center"/>
            <w:hideMark/>
          </w:tcPr>
          <w:p w14:paraId="5D10643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w:t>
            </w:r>
          </w:p>
        </w:tc>
        <w:tc>
          <w:tcPr>
            <w:tcW w:w="1555" w:type="dxa"/>
            <w:vAlign w:val="center"/>
            <w:hideMark/>
          </w:tcPr>
          <w:p w14:paraId="58E2968F"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Madhya Pradesh</w:t>
            </w:r>
          </w:p>
        </w:tc>
        <w:tc>
          <w:tcPr>
            <w:tcW w:w="567" w:type="dxa"/>
            <w:vAlign w:val="center"/>
            <w:hideMark/>
          </w:tcPr>
          <w:p w14:paraId="07B6C55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16</w:t>
            </w:r>
          </w:p>
        </w:tc>
        <w:tc>
          <w:tcPr>
            <w:tcW w:w="992" w:type="dxa"/>
            <w:vAlign w:val="center"/>
            <w:hideMark/>
          </w:tcPr>
          <w:p w14:paraId="09BD68D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13137</w:t>
            </w:r>
          </w:p>
        </w:tc>
        <w:tc>
          <w:tcPr>
            <w:tcW w:w="851" w:type="dxa"/>
            <w:vAlign w:val="center"/>
            <w:hideMark/>
          </w:tcPr>
          <w:p w14:paraId="426B7F2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w:t>
            </w:r>
          </w:p>
        </w:tc>
        <w:tc>
          <w:tcPr>
            <w:tcW w:w="992" w:type="dxa"/>
            <w:vAlign w:val="center"/>
            <w:hideMark/>
          </w:tcPr>
          <w:p w14:paraId="30F9075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644</w:t>
            </w:r>
          </w:p>
        </w:tc>
        <w:tc>
          <w:tcPr>
            <w:tcW w:w="850" w:type="dxa"/>
            <w:vAlign w:val="center"/>
            <w:hideMark/>
          </w:tcPr>
          <w:p w14:paraId="5C9B026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w:t>
            </w:r>
          </w:p>
        </w:tc>
        <w:tc>
          <w:tcPr>
            <w:tcW w:w="1134" w:type="dxa"/>
            <w:vAlign w:val="center"/>
            <w:hideMark/>
          </w:tcPr>
          <w:p w14:paraId="41B7D79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8364</w:t>
            </w:r>
          </w:p>
        </w:tc>
        <w:tc>
          <w:tcPr>
            <w:tcW w:w="993" w:type="dxa"/>
            <w:vAlign w:val="center"/>
            <w:hideMark/>
          </w:tcPr>
          <w:p w14:paraId="44D5F80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35</w:t>
            </w:r>
          </w:p>
        </w:tc>
        <w:tc>
          <w:tcPr>
            <w:tcW w:w="992" w:type="dxa"/>
            <w:vAlign w:val="center"/>
            <w:hideMark/>
          </w:tcPr>
          <w:p w14:paraId="5F99AF7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22145</w:t>
            </w:r>
          </w:p>
        </w:tc>
      </w:tr>
      <w:tr w:rsidR="00B715DD" w:rsidRPr="00982953" w14:paraId="5E44DA4B" w14:textId="77777777" w:rsidTr="00982953">
        <w:trPr>
          <w:trHeight w:val="20"/>
          <w:jc w:val="center"/>
        </w:trPr>
        <w:tc>
          <w:tcPr>
            <w:tcW w:w="425" w:type="dxa"/>
            <w:vAlign w:val="center"/>
            <w:hideMark/>
          </w:tcPr>
          <w:p w14:paraId="71D40D7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w:t>
            </w:r>
          </w:p>
        </w:tc>
        <w:tc>
          <w:tcPr>
            <w:tcW w:w="1555" w:type="dxa"/>
            <w:vAlign w:val="center"/>
            <w:hideMark/>
          </w:tcPr>
          <w:p w14:paraId="6F1512A6"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Maharashtra</w:t>
            </w:r>
          </w:p>
        </w:tc>
        <w:tc>
          <w:tcPr>
            <w:tcW w:w="567" w:type="dxa"/>
            <w:vAlign w:val="center"/>
            <w:hideMark/>
          </w:tcPr>
          <w:p w14:paraId="16795FB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25</w:t>
            </w:r>
          </w:p>
        </w:tc>
        <w:tc>
          <w:tcPr>
            <w:tcW w:w="992" w:type="dxa"/>
            <w:vAlign w:val="center"/>
            <w:hideMark/>
          </w:tcPr>
          <w:p w14:paraId="4959E19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11368</w:t>
            </w:r>
          </w:p>
        </w:tc>
        <w:tc>
          <w:tcPr>
            <w:tcW w:w="851" w:type="dxa"/>
            <w:vAlign w:val="center"/>
            <w:hideMark/>
          </w:tcPr>
          <w:p w14:paraId="1830769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16412CD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6720</w:t>
            </w:r>
          </w:p>
        </w:tc>
        <w:tc>
          <w:tcPr>
            <w:tcW w:w="850" w:type="dxa"/>
            <w:vAlign w:val="center"/>
            <w:hideMark/>
          </w:tcPr>
          <w:p w14:paraId="5D61BBE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1134" w:type="dxa"/>
            <w:vAlign w:val="center"/>
            <w:hideMark/>
          </w:tcPr>
          <w:p w14:paraId="09723C3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7059</w:t>
            </w:r>
          </w:p>
        </w:tc>
        <w:tc>
          <w:tcPr>
            <w:tcW w:w="993" w:type="dxa"/>
            <w:vAlign w:val="center"/>
            <w:hideMark/>
          </w:tcPr>
          <w:p w14:paraId="7E7C3B9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41</w:t>
            </w:r>
          </w:p>
        </w:tc>
        <w:tc>
          <w:tcPr>
            <w:tcW w:w="992" w:type="dxa"/>
            <w:vAlign w:val="center"/>
            <w:hideMark/>
          </w:tcPr>
          <w:p w14:paraId="7F07834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25147</w:t>
            </w:r>
          </w:p>
        </w:tc>
      </w:tr>
      <w:tr w:rsidR="00B715DD" w:rsidRPr="00982953" w14:paraId="6A9680B9" w14:textId="77777777" w:rsidTr="00982953">
        <w:trPr>
          <w:trHeight w:val="20"/>
          <w:jc w:val="center"/>
        </w:trPr>
        <w:tc>
          <w:tcPr>
            <w:tcW w:w="425" w:type="dxa"/>
            <w:vAlign w:val="center"/>
            <w:hideMark/>
          </w:tcPr>
          <w:p w14:paraId="1277477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1555" w:type="dxa"/>
            <w:vAlign w:val="center"/>
            <w:hideMark/>
          </w:tcPr>
          <w:p w14:paraId="04FC6583"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Manipur</w:t>
            </w:r>
          </w:p>
        </w:tc>
        <w:tc>
          <w:tcPr>
            <w:tcW w:w="567" w:type="dxa"/>
            <w:vAlign w:val="center"/>
            <w:hideMark/>
          </w:tcPr>
          <w:p w14:paraId="61CF138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602DF49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368</w:t>
            </w:r>
          </w:p>
        </w:tc>
        <w:tc>
          <w:tcPr>
            <w:tcW w:w="851" w:type="dxa"/>
            <w:vAlign w:val="center"/>
            <w:hideMark/>
          </w:tcPr>
          <w:p w14:paraId="5E0C518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19A1066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168</w:t>
            </w:r>
          </w:p>
        </w:tc>
        <w:tc>
          <w:tcPr>
            <w:tcW w:w="850" w:type="dxa"/>
            <w:vAlign w:val="center"/>
            <w:hideMark/>
          </w:tcPr>
          <w:p w14:paraId="518087F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1134" w:type="dxa"/>
            <w:vAlign w:val="center"/>
            <w:hideMark/>
          </w:tcPr>
          <w:p w14:paraId="4AEE19E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727</w:t>
            </w:r>
          </w:p>
        </w:tc>
        <w:tc>
          <w:tcPr>
            <w:tcW w:w="993" w:type="dxa"/>
            <w:vAlign w:val="center"/>
            <w:hideMark/>
          </w:tcPr>
          <w:p w14:paraId="2B648BB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992" w:type="dxa"/>
            <w:vAlign w:val="center"/>
            <w:hideMark/>
          </w:tcPr>
          <w:p w14:paraId="4B5081F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1263</w:t>
            </w:r>
          </w:p>
        </w:tc>
      </w:tr>
      <w:tr w:rsidR="00B715DD" w:rsidRPr="00982953" w14:paraId="7313B169" w14:textId="77777777" w:rsidTr="00982953">
        <w:trPr>
          <w:trHeight w:val="20"/>
          <w:jc w:val="center"/>
        </w:trPr>
        <w:tc>
          <w:tcPr>
            <w:tcW w:w="425" w:type="dxa"/>
            <w:vAlign w:val="center"/>
            <w:hideMark/>
          </w:tcPr>
          <w:p w14:paraId="2AD5288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15.</w:t>
            </w:r>
          </w:p>
        </w:tc>
        <w:tc>
          <w:tcPr>
            <w:tcW w:w="1555" w:type="dxa"/>
            <w:vAlign w:val="center"/>
            <w:hideMark/>
          </w:tcPr>
          <w:p w14:paraId="4E817FEA"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Meghalaya</w:t>
            </w:r>
          </w:p>
        </w:tc>
        <w:tc>
          <w:tcPr>
            <w:tcW w:w="567" w:type="dxa"/>
            <w:vAlign w:val="center"/>
            <w:hideMark/>
          </w:tcPr>
          <w:p w14:paraId="591513E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18A9E50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268</w:t>
            </w:r>
          </w:p>
        </w:tc>
        <w:tc>
          <w:tcPr>
            <w:tcW w:w="851" w:type="dxa"/>
            <w:vAlign w:val="center"/>
            <w:hideMark/>
          </w:tcPr>
          <w:p w14:paraId="48C4226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2768694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45</w:t>
            </w:r>
          </w:p>
        </w:tc>
        <w:tc>
          <w:tcPr>
            <w:tcW w:w="850" w:type="dxa"/>
            <w:vAlign w:val="center"/>
            <w:hideMark/>
          </w:tcPr>
          <w:p w14:paraId="6B9B10B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1134" w:type="dxa"/>
            <w:vAlign w:val="center"/>
            <w:hideMark/>
          </w:tcPr>
          <w:p w14:paraId="36DE4E5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2558</w:t>
            </w:r>
          </w:p>
        </w:tc>
        <w:tc>
          <w:tcPr>
            <w:tcW w:w="993" w:type="dxa"/>
            <w:vAlign w:val="center"/>
            <w:hideMark/>
          </w:tcPr>
          <w:p w14:paraId="096F7F0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9</w:t>
            </w:r>
          </w:p>
        </w:tc>
        <w:tc>
          <w:tcPr>
            <w:tcW w:w="992" w:type="dxa"/>
            <w:vAlign w:val="center"/>
            <w:hideMark/>
          </w:tcPr>
          <w:p w14:paraId="1568DDD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2871</w:t>
            </w:r>
          </w:p>
        </w:tc>
      </w:tr>
      <w:tr w:rsidR="00B715DD" w:rsidRPr="00982953" w14:paraId="2264DE75" w14:textId="77777777" w:rsidTr="00982953">
        <w:trPr>
          <w:trHeight w:val="20"/>
          <w:jc w:val="center"/>
        </w:trPr>
        <w:tc>
          <w:tcPr>
            <w:tcW w:w="425" w:type="dxa"/>
            <w:vAlign w:val="center"/>
            <w:hideMark/>
          </w:tcPr>
          <w:p w14:paraId="5589F25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16.</w:t>
            </w:r>
          </w:p>
        </w:tc>
        <w:tc>
          <w:tcPr>
            <w:tcW w:w="1555" w:type="dxa"/>
            <w:vAlign w:val="center"/>
            <w:hideMark/>
          </w:tcPr>
          <w:p w14:paraId="2822F4B5"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Mizoram</w:t>
            </w:r>
          </w:p>
        </w:tc>
        <w:tc>
          <w:tcPr>
            <w:tcW w:w="567" w:type="dxa"/>
            <w:vAlign w:val="center"/>
            <w:hideMark/>
          </w:tcPr>
          <w:p w14:paraId="60129C5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4503C41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40</w:t>
            </w:r>
          </w:p>
        </w:tc>
        <w:tc>
          <w:tcPr>
            <w:tcW w:w="851" w:type="dxa"/>
            <w:vAlign w:val="center"/>
            <w:hideMark/>
          </w:tcPr>
          <w:p w14:paraId="3C86791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0DDFBC2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w:t>
            </w:r>
          </w:p>
        </w:tc>
        <w:tc>
          <w:tcPr>
            <w:tcW w:w="850" w:type="dxa"/>
            <w:vAlign w:val="center"/>
            <w:hideMark/>
          </w:tcPr>
          <w:p w14:paraId="5B40D28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1134" w:type="dxa"/>
            <w:vAlign w:val="center"/>
            <w:hideMark/>
          </w:tcPr>
          <w:p w14:paraId="60D9095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368</w:t>
            </w:r>
          </w:p>
        </w:tc>
        <w:tc>
          <w:tcPr>
            <w:tcW w:w="993" w:type="dxa"/>
            <w:vAlign w:val="center"/>
            <w:hideMark/>
          </w:tcPr>
          <w:p w14:paraId="0147297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w:t>
            </w:r>
          </w:p>
        </w:tc>
        <w:tc>
          <w:tcPr>
            <w:tcW w:w="992" w:type="dxa"/>
            <w:vAlign w:val="center"/>
            <w:hideMark/>
          </w:tcPr>
          <w:p w14:paraId="220E872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420</w:t>
            </w:r>
          </w:p>
        </w:tc>
      </w:tr>
      <w:tr w:rsidR="00B715DD" w:rsidRPr="00982953" w14:paraId="5368FB24" w14:textId="77777777" w:rsidTr="00982953">
        <w:trPr>
          <w:trHeight w:val="20"/>
          <w:jc w:val="center"/>
        </w:trPr>
        <w:tc>
          <w:tcPr>
            <w:tcW w:w="425" w:type="dxa"/>
            <w:vAlign w:val="center"/>
            <w:hideMark/>
          </w:tcPr>
          <w:p w14:paraId="12B6FF5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17.</w:t>
            </w:r>
          </w:p>
        </w:tc>
        <w:tc>
          <w:tcPr>
            <w:tcW w:w="1555" w:type="dxa"/>
            <w:vAlign w:val="center"/>
            <w:hideMark/>
          </w:tcPr>
          <w:p w14:paraId="116D893A"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Nagaland</w:t>
            </w:r>
          </w:p>
        </w:tc>
        <w:tc>
          <w:tcPr>
            <w:tcW w:w="567" w:type="dxa"/>
            <w:vAlign w:val="center"/>
            <w:hideMark/>
          </w:tcPr>
          <w:p w14:paraId="32363A2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656164E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31</w:t>
            </w:r>
          </w:p>
        </w:tc>
        <w:tc>
          <w:tcPr>
            <w:tcW w:w="851" w:type="dxa"/>
            <w:vAlign w:val="center"/>
            <w:hideMark/>
          </w:tcPr>
          <w:p w14:paraId="6468269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0A9CD04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w:t>
            </w:r>
          </w:p>
        </w:tc>
        <w:tc>
          <w:tcPr>
            <w:tcW w:w="850" w:type="dxa"/>
            <w:vAlign w:val="center"/>
            <w:hideMark/>
          </w:tcPr>
          <w:p w14:paraId="3CEF562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w:t>
            </w:r>
          </w:p>
        </w:tc>
        <w:tc>
          <w:tcPr>
            <w:tcW w:w="1134" w:type="dxa"/>
            <w:vAlign w:val="center"/>
            <w:hideMark/>
          </w:tcPr>
          <w:p w14:paraId="44C9545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1467</w:t>
            </w:r>
          </w:p>
        </w:tc>
        <w:tc>
          <w:tcPr>
            <w:tcW w:w="993" w:type="dxa"/>
            <w:vAlign w:val="center"/>
            <w:hideMark/>
          </w:tcPr>
          <w:p w14:paraId="7AB5413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9</w:t>
            </w:r>
          </w:p>
        </w:tc>
        <w:tc>
          <w:tcPr>
            <w:tcW w:w="992" w:type="dxa"/>
            <w:vAlign w:val="center"/>
            <w:hideMark/>
          </w:tcPr>
          <w:p w14:paraId="1694540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1502</w:t>
            </w:r>
          </w:p>
        </w:tc>
      </w:tr>
      <w:tr w:rsidR="00B715DD" w:rsidRPr="00982953" w14:paraId="0686B434" w14:textId="77777777" w:rsidTr="00982953">
        <w:trPr>
          <w:trHeight w:val="20"/>
          <w:jc w:val="center"/>
        </w:trPr>
        <w:tc>
          <w:tcPr>
            <w:tcW w:w="425" w:type="dxa"/>
            <w:vAlign w:val="center"/>
            <w:hideMark/>
          </w:tcPr>
          <w:p w14:paraId="7D77896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18.</w:t>
            </w:r>
          </w:p>
        </w:tc>
        <w:tc>
          <w:tcPr>
            <w:tcW w:w="1555" w:type="dxa"/>
            <w:vAlign w:val="center"/>
            <w:hideMark/>
          </w:tcPr>
          <w:p w14:paraId="6DDF9294"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Orissa</w:t>
            </w:r>
          </w:p>
        </w:tc>
        <w:tc>
          <w:tcPr>
            <w:tcW w:w="567" w:type="dxa"/>
            <w:vAlign w:val="center"/>
            <w:hideMark/>
          </w:tcPr>
          <w:p w14:paraId="3507275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992" w:type="dxa"/>
            <w:vAlign w:val="center"/>
            <w:hideMark/>
          </w:tcPr>
          <w:p w14:paraId="6E7CD38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4828</w:t>
            </w:r>
          </w:p>
        </w:tc>
        <w:tc>
          <w:tcPr>
            <w:tcW w:w="851" w:type="dxa"/>
            <w:vAlign w:val="center"/>
            <w:hideMark/>
          </w:tcPr>
          <w:p w14:paraId="45CCA2B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w:t>
            </w:r>
          </w:p>
        </w:tc>
        <w:tc>
          <w:tcPr>
            <w:tcW w:w="992" w:type="dxa"/>
            <w:vAlign w:val="center"/>
            <w:hideMark/>
          </w:tcPr>
          <w:p w14:paraId="568BF05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10286</w:t>
            </w:r>
          </w:p>
        </w:tc>
        <w:tc>
          <w:tcPr>
            <w:tcW w:w="850" w:type="dxa"/>
            <w:vAlign w:val="center"/>
            <w:hideMark/>
          </w:tcPr>
          <w:p w14:paraId="518F547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52</w:t>
            </w:r>
          </w:p>
        </w:tc>
        <w:tc>
          <w:tcPr>
            <w:tcW w:w="1134" w:type="dxa"/>
            <w:vAlign w:val="center"/>
            <w:hideMark/>
          </w:tcPr>
          <w:p w14:paraId="02A7B7B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20536</w:t>
            </w:r>
          </w:p>
        </w:tc>
        <w:tc>
          <w:tcPr>
            <w:tcW w:w="993" w:type="dxa"/>
            <w:vAlign w:val="center"/>
            <w:hideMark/>
          </w:tcPr>
          <w:p w14:paraId="7740A01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70</w:t>
            </w:r>
          </w:p>
        </w:tc>
        <w:tc>
          <w:tcPr>
            <w:tcW w:w="992" w:type="dxa"/>
            <w:vAlign w:val="center"/>
            <w:hideMark/>
          </w:tcPr>
          <w:p w14:paraId="054A17F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35650</w:t>
            </w:r>
          </w:p>
        </w:tc>
      </w:tr>
      <w:tr w:rsidR="00B715DD" w:rsidRPr="00982953" w14:paraId="2981199E" w14:textId="77777777" w:rsidTr="00982953">
        <w:trPr>
          <w:trHeight w:val="20"/>
          <w:jc w:val="center"/>
        </w:trPr>
        <w:tc>
          <w:tcPr>
            <w:tcW w:w="425" w:type="dxa"/>
            <w:vAlign w:val="center"/>
            <w:hideMark/>
          </w:tcPr>
          <w:p w14:paraId="78BBF55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19.</w:t>
            </w:r>
          </w:p>
        </w:tc>
        <w:tc>
          <w:tcPr>
            <w:tcW w:w="1555" w:type="dxa"/>
            <w:vAlign w:val="center"/>
            <w:hideMark/>
          </w:tcPr>
          <w:p w14:paraId="5DBF4119"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Punjab</w:t>
            </w:r>
          </w:p>
        </w:tc>
        <w:tc>
          <w:tcPr>
            <w:tcW w:w="567" w:type="dxa"/>
            <w:vAlign w:val="center"/>
            <w:hideMark/>
          </w:tcPr>
          <w:p w14:paraId="0D31551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w:t>
            </w:r>
          </w:p>
        </w:tc>
        <w:tc>
          <w:tcPr>
            <w:tcW w:w="992" w:type="dxa"/>
            <w:vAlign w:val="center"/>
            <w:hideMark/>
          </w:tcPr>
          <w:p w14:paraId="389A3A9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5220</w:t>
            </w:r>
          </w:p>
        </w:tc>
        <w:tc>
          <w:tcPr>
            <w:tcW w:w="851" w:type="dxa"/>
            <w:vAlign w:val="center"/>
            <w:hideMark/>
          </w:tcPr>
          <w:p w14:paraId="0FC731B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w:t>
            </w:r>
          </w:p>
        </w:tc>
        <w:tc>
          <w:tcPr>
            <w:tcW w:w="992" w:type="dxa"/>
            <w:vAlign w:val="center"/>
            <w:hideMark/>
          </w:tcPr>
          <w:p w14:paraId="67C9FD8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4888</w:t>
            </w:r>
          </w:p>
        </w:tc>
        <w:tc>
          <w:tcPr>
            <w:tcW w:w="850" w:type="dxa"/>
            <w:vAlign w:val="center"/>
            <w:hideMark/>
          </w:tcPr>
          <w:p w14:paraId="4B1141D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w:t>
            </w:r>
          </w:p>
        </w:tc>
        <w:tc>
          <w:tcPr>
            <w:tcW w:w="1134" w:type="dxa"/>
            <w:vAlign w:val="center"/>
            <w:hideMark/>
          </w:tcPr>
          <w:p w14:paraId="7018E99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12724</w:t>
            </w:r>
          </w:p>
        </w:tc>
        <w:tc>
          <w:tcPr>
            <w:tcW w:w="993" w:type="dxa"/>
            <w:vAlign w:val="center"/>
            <w:hideMark/>
          </w:tcPr>
          <w:p w14:paraId="06C54C8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27</w:t>
            </w:r>
          </w:p>
        </w:tc>
        <w:tc>
          <w:tcPr>
            <w:tcW w:w="992" w:type="dxa"/>
            <w:vAlign w:val="center"/>
            <w:hideMark/>
          </w:tcPr>
          <w:p w14:paraId="5A166DD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22832</w:t>
            </w:r>
          </w:p>
        </w:tc>
      </w:tr>
      <w:tr w:rsidR="00B715DD" w:rsidRPr="00982953" w14:paraId="5D264507" w14:textId="77777777" w:rsidTr="00982953">
        <w:trPr>
          <w:trHeight w:val="20"/>
          <w:jc w:val="center"/>
        </w:trPr>
        <w:tc>
          <w:tcPr>
            <w:tcW w:w="425" w:type="dxa"/>
            <w:vAlign w:val="center"/>
            <w:hideMark/>
          </w:tcPr>
          <w:p w14:paraId="58C0789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20.</w:t>
            </w:r>
          </w:p>
        </w:tc>
        <w:tc>
          <w:tcPr>
            <w:tcW w:w="1555" w:type="dxa"/>
            <w:vAlign w:val="center"/>
            <w:hideMark/>
          </w:tcPr>
          <w:p w14:paraId="6ADE5F64"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Rajasthan</w:t>
            </w:r>
          </w:p>
        </w:tc>
        <w:tc>
          <w:tcPr>
            <w:tcW w:w="567" w:type="dxa"/>
            <w:vAlign w:val="center"/>
            <w:hideMark/>
          </w:tcPr>
          <w:p w14:paraId="6FFE5DC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w:t>
            </w:r>
          </w:p>
        </w:tc>
        <w:tc>
          <w:tcPr>
            <w:tcW w:w="992" w:type="dxa"/>
            <w:vAlign w:val="center"/>
            <w:hideMark/>
          </w:tcPr>
          <w:p w14:paraId="0C61D05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3488</w:t>
            </w:r>
          </w:p>
        </w:tc>
        <w:tc>
          <w:tcPr>
            <w:tcW w:w="851" w:type="dxa"/>
            <w:vAlign w:val="center"/>
            <w:hideMark/>
          </w:tcPr>
          <w:p w14:paraId="1F82D3C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16</w:t>
            </w:r>
          </w:p>
        </w:tc>
        <w:tc>
          <w:tcPr>
            <w:tcW w:w="992" w:type="dxa"/>
            <w:vAlign w:val="center"/>
            <w:hideMark/>
          </w:tcPr>
          <w:p w14:paraId="790447C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7959</w:t>
            </w:r>
          </w:p>
        </w:tc>
        <w:tc>
          <w:tcPr>
            <w:tcW w:w="850" w:type="dxa"/>
            <w:vAlign w:val="center"/>
            <w:hideMark/>
          </w:tcPr>
          <w:p w14:paraId="34424AC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1134" w:type="dxa"/>
            <w:vAlign w:val="center"/>
            <w:hideMark/>
          </w:tcPr>
          <w:p w14:paraId="6E3B71A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4253</w:t>
            </w:r>
          </w:p>
        </w:tc>
        <w:tc>
          <w:tcPr>
            <w:tcW w:w="993" w:type="dxa"/>
            <w:vAlign w:val="center"/>
            <w:hideMark/>
          </w:tcPr>
          <w:p w14:paraId="7984312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40</w:t>
            </w:r>
          </w:p>
        </w:tc>
        <w:tc>
          <w:tcPr>
            <w:tcW w:w="992" w:type="dxa"/>
            <w:vAlign w:val="center"/>
            <w:hideMark/>
          </w:tcPr>
          <w:p w14:paraId="5F5F114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15700</w:t>
            </w:r>
          </w:p>
        </w:tc>
      </w:tr>
      <w:tr w:rsidR="00B715DD" w:rsidRPr="00982953" w14:paraId="4C7CCEC4" w14:textId="77777777" w:rsidTr="00982953">
        <w:trPr>
          <w:trHeight w:val="20"/>
          <w:jc w:val="center"/>
        </w:trPr>
        <w:tc>
          <w:tcPr>
            <w:tcW w:w="425" w:type="dxa"/>
            <w:vAlign w:val="center"/>
            <w:hideMark/>
          </w:tcPr>
          <w:p w14:paraId="203309E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21.</w:t>
            </w:r>
          </w:p>
        </w:tc>
        <w:tc>
          <w:tcPr>
            <w:tcW w:w="1555" w:type="dxa"/>
            <w:vAlign w:val="center"/>
            <w:hideMark/>
          </w:tcPr>
          <w:p w14:paraId="610F3C54"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Sikkim</w:t>
            </w:r>
          </w:p>
        </w:tc>
        <w:tc>
          <w:tcPr>
            <w:tcW w:w="567" w:type="dxa"/>
            <w:vAlign w:val="center"/>
            <w:hideMark/>
          </w:tcPr>
          <w:p w14:paraId="208A4DD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74D8029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30</w:t>
            </w:r>
          </w:p>
        </w:tc>
        <w:tc>
          <w:tcPr>
            <w:tcW w:w="851" w:type="dxa"/>
            <w:vAlign w:val="center"/>
            <w:hideMark/>
          </w:tcPr>
          <w:p w14:paraId="1DE87FD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7B7D80C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428</w:t>
            </w:r>
          </w:p>
        </w:tc>
        <w:tc>
          <w:tcPr>
            <w:tcW w:w="850" w:type="dxa"/>
            <w:vAlign w:val="center"/>
            <w:hideMark/>
          </w:tcPr>
          <w:p w14:paraId="18C1F6B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w:t>
            </w:r>
          </w:p>
        </w:tc>
        <w:tc>
          <w:tcPr>
            <w:tcW w:w="1134" w:type="dxa"/>
            <w:vAlign w:val="center"/>
            <w:hideMark/>
          </w:tcPr>
          <w:p w14:paraId="6422626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481</w:t>
            </w:r>
          </w:p>
        </w:tc>
        <w:tc>
          <w:tcPr>
            <w:tcW w:w="993" w:type="dxa"/>
            <w:vAlign w:val="center"/>
            <w:hideMark/>
          </w:tcPr>
          <w:p w14:paraId="1625214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13</w:t>
            </w:r>
          </w:p>
        </w:tc>
        <w:tc>
          <w:tcPr>
            <w:tcW w:w="992" w:type="dxa"/>
            <w:vAlign w:val="center"/>
            <w:hideMark/>
          </w:tcPr>
          <w:p w14:paraId="297A1B7A"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939</w:t>
            </w:r>
          </w:p>
        </w:tc>
      </w:tr>
      <w:tr w:rsidR="00B715DD" w:rsidRPr="00982953" w14:paraId="3BA1B873" w14:textId="77777777" w:rsidTr="00982953">
        <w:trPr>
          <w:trHeight w:val="20"/>
          <w:jc w:val="center"/>
        </w:trPr>
        <w:tc>
          <w:tcPr>
            <w:tcW w:w="425" w:type="dxa"/>
            <w:vAlign w:val="center"/>
            <w:hideMark/>
          </w:tcPr>
          <w:p w14:paraId="6B151EE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22.</w:t>
            </w:r>
          </w:p>
        </w:tc>
        <w:tc>
          <w:tcPr>
            <w:tcW w:w="1555" w:type="dxa"/>
            <w:vAlign w:val="center"/>
            <w:hideMark/>
          </w:tcPr>
          <w:p w14:paraId="24504F41"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Tamil Nadu</w:t>
            </w:r>
          </w:p>
        </w:tc>
        <w:tc>
          <w:tcPr>
            <w:tcW w:w="567" w:type="dxa"/>
            <w:vAlign w:val="center"/>
            <w:hideMark/>
          </w:tcPr>
          <w:p w14:paraId="37FD2C7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14</w:t>
            </w:r>
          </w:p>
        </w:tc>
        <w:tc>
          <w:tcPr>
            <w:tcW w:w="992" w:type="dxa"/>
            <w:vAlign w:val="center"/>
            <w:hideMark/>
          </w:tcPr>
          <w:p w14:paraId="06A0498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4130</w:t>
            </w:r>
          </w:p>
        </w:tc>
        <w:tc>
          <w:tcPr>
            <w:tcW w:w="851" w:type="dxa"/>
            <w:vAlign w:val="center"/>
            <w:hideMark/>
          </w:tcPr>
          <w:p w14:paraId="4E3231B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w:t>
            </w:r>
          </w:p>
        </w:tc>
        <w:tc>
          <w:tcPr>
            <w:tcW w:w="992" w:type="dxa"/>
            <w:vAlign w:val="center"/>
            <w:hideMark/>
          </w:tcPr>
          <w:p w14:paraId="76A8FEC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1677</w:t>
            </w:r>
          </w:p>
        </w:tc>
        <w:tc>
          <w:tcPr>
            <w:tcW w:w="850" w:type="dxa"/>
            <w:vAlign w:val="center"/>
            <w:hideMark/>
          </w:tcPr>
          <w:p w14:paraId="4C423FC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38</w:t>
            </w:r>
          </w:p>
        </w:tc>
        <w:tc>
          <w:tcPr>
            <w:tcW w:w="1134" w:type="dxa"/>
            <w:vAlign w:val="center"/>
            <w:hideMark/>
          </w:tcPr>
          <w:p w14:paraId="249687E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26130</w:t>
            </w:r>
          </w:p>
        </w:tc>
        <w:tc>
          <w:tcPr>
            <w:tcW w:w="993" w:type="dxa"/>
            <w:vAlign w:val="center"/>
            <w:hideMark/>
          </w:tcPr>
          <w:p w14:paraId="3DE82FA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54</w:t>
            </w:r>
          </w:p>
        </w:tc>
        <w:tc>
          <w:tcPr>
            <w:tcW w:w="992" w:type="dxa"/>
            <w:vAlign w:val="center"/>
            <w:hideMark/>
          </w:tcPr>
          <w:p w14:paraId="0F794D9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31937</w:t>
            </w:r>
          </w:p>
        </w:tc>
      </w:tr>
      <w:tr w:rsidR="00B715DD" w:rsidRPr="00982953" w14:paraId="303E4CEB" w14:textId="77777777" w:rsidTr="00982953">
        <w:trPr>
          <w:trHeight w:val="20"/>
          <w:jc w:val="center"/>
        </w:trPr>
        <w:tc>
          <w:tcPr>
            <w:tcW w:w="425" w:type="dxa"/>
            <w:vAlign w:val="center"/>
            <w:hideMark/>
          </w:tcPr>
          <w:p w14:paraId="462DE88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23.</w:t>
            </w:r>
          </w:p>
        </w:tc>
        <w:tc>
          <w:tcPr>
            <w:tcW w:w="1555" w:type="dxa"/>
            <w:vAlign w:val="center"/>
            <w:hideMark/>
          </w:tcPr>
          <w:p w14:paraId="6A3E20DD"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Tripura</w:t>
            </w:r>
          </w:p>
        </w:tc>
        <w:tc>
          <w:tcPr>
            <w:tcW w:w="567" w:type="dxa"/>
            <w:vAlign w:val="center"/>
            <w:hideMark/>
          </w:tcPr>
          <w:p w14:paraId="6C7FA35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w:t>
            </w:r>
          </w:p>
        </w:tc>
        <w:tc>
          <w:tcPr>
            <w:tcW w:w="992" w:type="dxa"/>
            <w:vAlign w:val="center"/>
            <w:hideMark/>
          </w:tcPr>
          <w:p w14:paraId="77AB01E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794</w:t>
            </w:r>
          </w:p>
        </w:tc>
        <w:tc>
          <w:tcPr>
            <w:tcW w:w="851" w:type="dxa"/>
            <w:vAlign w:val="center"/>
            <w:hideMark/>
          </w:tcPr>
          <w:p w14:paraId="7674A99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w:t>
            </w:r>
          </w:p>
        </w:tc>
        <w:tc>
          <w:tcPr>
            <w:tcW w:w="992" w:type="dxa"/>
            <w:vAlign w:val="center"/>
            <w:hideMark/>
          </w:tcPr>
          <w:p w14:paraId="749B32B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77</w:t>
            </w:r>
          </w:p>
        </w:tc>
        <w:tc>
          <w:tcPr>
            <w:tcW w:w="850" w:type="dxa"/>
            <w:vAlign w:val="center"/>
            <w:hideMark/>
          </w:tcPr>
          <w:p w14:paraId="00F5721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w:t>
            </w:r>
          </w:p>
        </w:tc>
        <w:tc>
          <w:tcPr>
            <w:tcW w:w="1134" w:type="dxa"/>
            <w:vAlign w:val="center"/>
            <w:hideMark/>
          </w:tcPr>
          <w:p w14:paraId="6327C86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2114</w:t>
            </w:r>
          </w:p>
        </w:tc>
        <w:tc>
          <w:tcPr>
            <w:tcW w:w="993" w:type="dxa"/>
            <w:vAlign w:val="center"/>
            <w:hideMark/>
          </w:tcPr>
          <w:p w14:paraId="08411482"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w:t>
            </w:r>
          </w:p>
        </w:tc>
        <w:tc>
          <w:tcPr>
            <w:tcW w:w="992" w:type="dxa"/>
            <w:vAlign w:val="center"/>
            <w:hideMark/>
          </w:tcPr>
          <w:p w14:paraId="43BC776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2985</w:t>
            </w:r>
          </w:p>
        </w:tc>
      </w:tr>
      <w:tr w:rsidR="00B715DD" w:rsidRPr="00982953" w14:paraId="2C1EA16A" w14:textId="77777777" w:rsidTr="00982953">
        <w:trPr>
          <w:trHeight w:val="20"/>
          <w:jc w:val="center"/>
        </w:trPr>
        <w:tc>
          <w:tcPr>
            <w:tcW w:w="425" w:type="dxa"/>
            <w:vAlign w:val="center"/>
            <w:hideMark/>
          </w:tcPr>
          <w:p w14:paraId="61198F5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w:t>
            </w:r>
          </w:p>
        </w:tc>
        <w:tc>
          <w:tcPr>
            <w:tcW w:w="1555" w:type="dxa"/>
            <w:vAlign w:val="center"/>
            <w:hideMark/>
          </w:tcPr>
          <w:p w14:paraId="2C9BD5E4"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Uttar Pradesh</w:t>
            </w:r>
          </w:p>
        </w:tc>
        <w:tc>
          <w:tcPr>
            <w:tcW w:w="567" w:type="dxa"/>
            <w:vAlign w:val="center"/>
            <w:hideMark/>
          </w:tcPr>
          <w:p w14:paraId="71695FE5"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33</w:t>
            </w:r>
          </w:p>
        </w:tc>
        <w:tc>
          <w:tcPr>
            <w:tcW w:w="992" w:type="dxa"/>
            <w:vAlign w:val="center"/>
            <w:hideMark/>
          </w:tcPr>
          <w:p w14:paraId="7290CCC0"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11055</w:t>
            </w:r>
          </w:p>
        </w:tc>
        <w:tc>
          <w:tcPr>
            <w:tcW w:w="851" w:type="dxa"/>
            <w:vAlign w:val="center"/>
            <w:hideMark/>
          </w:tcPr>
          <w:p w14:paraId="380BC5A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w:t>
            </w:r>
          </w:p>
        </w:tc>
        <w:tc>
          <w:tcPr>
            <w:tcW w:w="992" w:type="dxa"/>
            <w:vAlign w:val="center"/>
            <w:hideMark/>
          </w:tcPr>
          <w:p w14:paraId="36A9904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18308</w:t>
            </w:r>
          </w:p>
        </w:tc>
        <w:tc>
          <w:tcPr>
            <w:tcW w:w="850" w:type="dxa"/>
            <w:vAlign w:val="center"/>
            <w:hideMark/>
          </w:tcPr>
          <w:p w14:paraId="22109EA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25</w:t>
            </w:r>
          </w:p>
        </w:tc>
        <w:tc>
          <w:tcPr>
            <w:tcW w:w="1134" w:type="dxa"/>
            <w:vAlign w:val="center"/>
            <w:hideMark/>
          </w:tcPr>
          <w:p w14:paraId="72A3429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76455</w:t>
            </w:r>
          </w:p>
        </w:tc>
        <w:tc>
          <w:tcPr>
            <w:tcW w:w="993" w:type="dxa"/>
            <w:vAlign w:val="center"/>
            <w:hideMark/>
          </w:tcPr>
          <w:p w14:paraId="7C3F419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65</w:t>
            </w:r>
          </w:p>
        </w:tc>
        <w:tc>
          <w:tcPr>
            <w:tcW w:w="992" w:type="dxa"/>
            <w:vAlign w:val="center"/>
            <w:hideMark/>
          </w:tcPr>
          <w:p w14:paraId="21C560C8"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105818</w:t>
            </w:r>
          </w:p>
        </w:tc>
      </w:tr>
      <w:tr w:rsidR="00B715DD" w:rsidRPr="00982953" w14:paraId="3CFAB05F" w14:textId="77777777" w:rsidTr="00982953">
        <w:trPr>
          <w:trHeight w:val="20"/>
          <w:jc w:val="center"/>
        </w:trPr>
        <w:tc>
          <w:tcPr>
            <w:tcW w:w="425" w:type="dxa"/>
            <w:vAlign w:val="center"/>
            <w:hideMark/>
          </w:tcPr>
          <w:p w14:paraId="2E23214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25.</w:t>
            </w:r>
          </w:p>
        </w:tc>
        <w:tc>
          <w:tcPr>
            <w:tcW w:w="1555" w:type="dxa"/>
            <w:vAlign w:val="center"/>
            <w:hideMark/>
          </w:tcPr>
          <w:p w14:paraId="14C12685"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sz w:val="16"/>
                <w:szCs w:val="16"/>
              </w:rPr>
              <w:t>West Bengal</w:t>
            </w:r>
          </w:p>
        </w:tc>
        <w:tc>
          <w:tcPr>
            <w:tcW w:w="567" w:type="dxa"/>
            <w:vAlign w:val="center"/>
            <w:hideMark/>
          </w:tcPr>
          <w:p w14:paraId="50EF81D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w:t>
            </w:r>
          </w:p>
        </w:tc>
        <w:tc>
          <w:tcPr>
            <w:tcW w:w="992" w:type="dxa"/>
            <w:vAlign w:val="center"/>
            <w:hideMark/>
          </w:tcPr>
          <w:p w14:paraId="0F555141"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11590</w:t>
            </w:r>
          </w:p>
        </w:tc>
        <w:tc>
          <w:tcPr>
            <w:tcW w:w="851" w:type="dxa"/>
            <w:vAlign w:val="center"/>
            <w:hideMark/>
          </w:tcPr>
          <w:p w14:paraId="571AE1E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w:t>
            </w:r>
          </w:p>
        </w:tc>
        <w:tc>
          <w:tcPr>
            <w:tcW w:w="992" w:type="dxa"/>
            <w:vAlign w:val="center"/>
            <w:hideMark/>
          </w:tcPr>
          <w:p w14:paraId="3D59836F"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4286</w:t>
            </w:r>
          </w:p>
        </w:tc>
        <w:tc>
          <w:tcPr>
            <w:tcW w:w="850" w:type="dxa"/>
            <w:vAlign w:val="center"/>
            <w:hideMark/>
          </w:tcPr>
          <w:p w14:paraId="2E14005C"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34</w:t>
            </w:r>
          </w:p>
        </w:tc>
        <w:tc>
          <w:tcPr>
            <w:tcW w:w="1134" w:type="dxa"/>
            <w:vAlign w:val="center"/>
            <w:hideMark/>
          </w:tcPr>
          <w:p w14:paraId="505E8464"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8379</w:t>
            </w:r>
          </w:p>
        </w:tc>
        <w:tc>
          <w:tcPr>
            <w:tcW w:w="993" w:type="dxa"/>
            <w:vAlign w:val="center"/>
            <w:hideMark/>
          </w:tcPr>
          <w:p w14:paraId="5509C84B"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62</w:t>
            </w:r>
          </w:p>
        </w:tc>
        <w:tc>
          <w:tcPr>
            <w:tcW w:w="992" w:type="dxa"/>
            <w:vAlign w:val="center"/>
            <w:hideMark/>
          </w:tcPr>
          <w:p w14:paraId="7355C88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sz w:val="16"/>
                <w:szCs w:val="16"/>
              </w:rPr>
              <w:t>24255</w:t>
            </w:r>
          </w:p>
        </w:tc>
      </w:tr>
      <w:tr w:rsidR="00B715DD" w:rsidRPr="00982953" w14:paraId="19CF998F" w14:textId="77777777" w:rsidTr="00982953">
        <w:trPr>
          <w:trHeight w:val="20"/>
          <w:jc w:val="center"/>
        </w:trPr>
        <w:tc>
          <w:tcPr>
            <w:tcW w:w="425" w:type="dxa"/>
            <w:vAlign w:val="center"/>
            <w:hideMark/>
          </w:tcPr>
          <w:p w14:paraId="784CF15E" w14:textId="77777777" w:rsidR="00B715DD" w:rsidRPr="00982953" w:rsidRDefault="00B715DD" w:rsidP="00DC5111">
            <w:pPr>
              <w:pStyle w:val="NoSpacing"/>
              <w:jc w:val="center"/>
              <w:rPr>
                <w:rFonts w:ascii="Times New Roman" w:hAnsi="Times New Roman" w:cs="Times New Roman"/>
                <w:sz w:val="16"/>
                <w:szCs w:val="16"/>
              </w:rPr>
            </w:pPr>
          </w:p>
        </w:tc>
        <w:tc>
          <w:tcPr>
            <w:tcW w:w="1555" w:type="dxa"/>
            <w:vAlign w:val="center"/>
            <w:hideMark/>
          </w:tcPr>
          <w:p w14:paraId="3AD4A094" w14:textId="77777777" w:rsidR="00B715DD" w:rsidRPr="00982953" w:rsidRDefault="00B715DD" w:rsidP="00DC5111">
            <w:pPr>
              <w:pStyle w:val="NoSpacing"/>
              <w:rPr>
                <w:rFonts w:ascii="Times New Roman" w:hAnsi="Times New Roman" w:cs="Times New Roman"/>
                <w:sz w:val="16"/>
                <w:szCs w:val="16"/>
              </w:rPr>
            </w:pPr>
            <w:r w:rsidRPr="00982953">
              <w:rPr>
                <w:rFonts w:ascii="Times New Roman" w:hAnsi="Times New Roman" w:cs="Times New Roman"/>
                <w:b/>
                <w:bCs/>
                <w:sz w:val="16"/>
                <w:szCs w:val="16"/>
              </w:rPr>
              <w:t>TOTAL</w:t>
            </w:r>
          </w:p>
        </w:tc>
        <w:tc>
          <w:tcPr>
            <w:tcW w:w="567" w:type="dxa"/>
            <w:vAlign w:val="center"/>
            <w:hideMark/>
          </w:tcPr>
          <w:p w14:paraId="0A212A4E"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274</w:t>
            </w:r>
          </w:p>
        </w:tc>
        <w:tc>
          <w:tcPr>
            <w:tcW w:w="992" w:type="dxa"/>
            <w:vAlign w:val="center"/>
            <w:hideMark/>
          </w:tcPr>
          <w:p w14:paraId="3560B25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120407</w:t>
            </w:r>
          </w:p>
        </w:tc>
        <w:tc>
          <w:tcPr>
            <w:tcW w:w="851" w:type="dxa"/>
            <w:vAlign w:val="center"/>
            <w:hideMark/>
          </w:tcPr>
          <w:p w14:paraId="59A5F8A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98</w:t>
            </w:r>
          </w:p>
        </w:tc>
        <w:tc>
          <w:tcPr>
            <w:tcW w:w="992" w:type="dxa"/>
            <w:vAlign w:val="center"/>
            <w:hideMark/>
          </w:tcPr>
          <w:p w14:paraId="4F4060ED"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86562</w:t>
            </w:r>
          </w:p>
        </w:tc>
        <w:tc>
          <w:tcPr>
            <w:tcW w:w="850" w:type="dxa"/>
            <w:vAlign w:val="center"/>
            <w:hideMark/>
          </w:tcPr>
          <w:p w14:paraId="73D34A86"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451</w:t>
            </w:r>
          </w:p>
        </w:tc>
        <w:tc>
          <w:tcPr>
            <w:tcW w:w="1134" w:type="dxa"/>
            <w:vAlign w:val="center"/>
            <w:hideMark/>
          </w:tcPr>
          <w:p w14:paraId="0BDEDC23"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297713</w:t>
            </w:r>
          </w:p>
        </w:tc>
        <w:tc>
          <w:tcPr>
            <w:tcW w:w="993" w:type="dxa"/>
            <w:vAlign w:val="center"/>
            <w:hideMark/>
          </w:tcPr>
          <w:p w14:paraId="7FAFDC17"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823</w:t>
            </w:r>
          </w:p>
        </w:tc>
        <w:tc>
          <w:tcPr>
            <w:tcW w:w="992" w:type="dxa"/>
            <w:vAlign w:val="center"/>
            <w:hideMark/>
          </w:tcPr>
          <w:p w14:paraId="189B5319" w14:textId="77777777" w:rsidR="00B715DD" w:rsidRPr="00982953" w:rsidRDefault="00B715DD" w:rsidP="00DC5111">
            <w:pPr>
              <w:pStyle w:val="NoSpacing"/>
              <w:jc w:val="center"/>
              <w:rPr>
                <w:rFonts w:ascii="Times New Roman" w:hAnsi="Times New Roman" w:cs="Times New Roman"/>
                <w:sz w:val="16"/>
                <w:szCs w:val="16"/>
              </w:rPr>
            </w:pPr>
            <w:r w:rsidRPr="00982953">
              <w:rPr>
                <w:rFonts w:ascii="Times New Roman" w:hAnsi="Times New Roman" w:cs="Times New Roman"/>
                <w:b/>
                <w:bCs/>
                <w:sz w:val="16"/>
                <w:szCs w:val="16"/>
              </w:rPr>
              <w:t>504682</w:t>
            </w:r>
          </w:p>
        </w:tc>
      </w:tr>
    </w:tbl>
    <w:p w14:paraId="4C42D49F" w14:textId="77777777" w:rsidR="00B715DD" w:rsidRPr="00982953" w:rsidRDefault="00B715DD" w:rsidP="001A43EB">
      <w:pPr>
        <w:ind w:left="-851"/>
        <w:jc w:val="center"/>
        <w:rPr>
          <w:rFonts w:ascii="Times New Roman" w:hAnsi="Times New Roman" w:cs="Times New Roman"/>
          <w:sz w:val="20"/>
          <w:szCs w:val="18"/>
        </w:rPr>
      </w:pPr>
      <w:proofErr w:type="gramStart"/>
      <w:r w:rsidRPr="00982953">
        <w:rPr>
          <w:rFonts w:ascii="Times New Roman" w:hAnsi="Times New Roman" w:cs="Times New Roman"/>
          <w:sz w:val="16"/>
          <w:szCs w:val="14"/>
        </w:rPr>
        <w:t>Note :</w:t>
      </w:r>
      <w:proofErr w:type="gramEnd"/>
      <w:r w:rsidRPr="00982953">
        <w:rPr>
          <w:rFonts w:ascii="Times New Roman" w:hAnsi="Times New Roman" w:cs="Times New Roman"/>
          <w:sz w:val="16"/>
          <w:szCs w:val="14"/>
        </w:rPr>
        <w:t xml:space="preserve"> This Table does not include State Electricity Boards/Undertakings and Road Transport Corporations/Undertakings.</w:t>
      </w:r>
    </w:p>
    <w:p w14:paraId="1CDC5A6F" w14:textId="77777777" w:rsidR="00C60607" w:rsidRDefault="00C60607" w:rsidP="00C60607">
      <w:pPr>
        <w:pStyle w:val="Heading2"/>
        <w:jc w:val="left"/>
        <w:rPr>
          <w:sz w:val="20"/>
          <w:szCs w:val="20"/>
        </w:rPr>
        <w:sectPr w:rsidR="00C60607" w:rsidSect="008C2F5A">
          <w:type w:val="continuous"/>
          <w:pgSz w:w="11906" w:h="16838"/>
          <w:pgMar w:top="567" w:right="849" w:bottom="567" w:left="1134" w:header="708" w:footer="708" w:gutter="0"/>
          <w:cols w:space="708"/>
          <w:docGrid w:linePitch="360"/>
        </w:sectPr>
      </w:pPr>
      <w:bookmarkStart w:id="51" w:name="_Toc221292981"/>
    </w:p>
    <w:p w14:paraId="4C0FF365" w14:textId="7FCB258A" w:rsidR="00B715DD" w:rsidRPr="00982953" w:rsidRDefault="00B715DD" w:rsidP="00DC5111">
      <w:pPr>
        <w:pStyle w:val="Heading2"/>
        <w:rPr>
          <w:sz w:val="20"/>
          <w:szCs w:val="20"/>
        </w:rPr>
      </w:pPr>
      <w:bookmarkStart w:id="52" w:name="_Toc222399475"/>
      <w:r w:rsidRPr="00982953">
        <w:rPr>
          <w:sz w:val="20"/>
          <w:szCs w:val="20"/>
        </w:rPr>
        <w:t>ANNEXURE III.2</w:t>
      </w:r>
      <w:r w:rsidR="00DC5111" w:rsidRPr="00982953">
        <w:rPr>
          <w:sz w:val="20"/>
          <w:szCs w:val="20"/>
        </w:rPr>
        <w:br/>
      </w:r>
      <w:r w:rsidRPr="00982953">
        <w:rPr>
          <w:sz w:val="20"/>
          <w:szCs w:val="20"/>
        </w:rPr>
        <w:t xml:space="preserve">Dividend </w:t>
      </w:r>
      <w:proofErr w:type="gramStart"/>
      <w:r w:rsidRPr="00982953">
        <w:rPr>
          <w:sz w:val="20"/>
          <w:szCs w:val="20"/>
        </w:rPr>
        <w:t>From</w:t>
      </w:r>
      <w:proofErr w:type="gramEnd"/>
      <w:r w:rsidRPr="00982953">
        <w:rPr>
          <w:sz w:val="20"/>
          <w:szCs w:val="20"/>
        </w:rPr>
        <w:t xml:space="preserve"> State Governments' Investment </w:t>
      </w:r>
      <w:proofErr w:type="gramStart"/>
      <w:r w:rsidRPr="00982953">
        <w:rPr>
          <w:sz w:val="20"/>
          <w:szCs w:val="20"/>
        </w:rPr>
        <w:t>In</w:t>
      </w:r>
      <w:proofErr w:type="gramEnd"/>
      <w:r w:rsidRPr="00982953">
        <w:rPr>
          <w:sz w:val="20"/>
          <w:szCs w:val="20"/>
        </w:rPr>
        <w:t xml:space="preserve"> Public </w:t>
      </w:r>
      <w:proofErr w:type="gramStart"/>
      <w:r w:rsidRPr="00982953">
        <w:rPr>
          <w:sz w:val="20"/>
          <w:szCs w:val="20"/>
        </w:rPr>
        <w:t>Enterprises :</w:t>
      </w:r>
      <w:proofErr w:type="gramEnd"/>
      <w:r w:rsidRPr="00982953">
        <w:rPr>
          <w:sz w:val="20"/>
          <w:szCs w:val="20"/>
        </w:rPr>
        <w:t xml:space="preserve"> 1990-91 And 1990-95</w:t>
      </w:r>
      <w:bookmarkEnd w:id="51"/>
      <w:bookmarkEnd w:id="52"/>
    </w:p>
    <w:p w14:paraId="1AF93572" w14:textId="4FCFB6A9" w:rsidR="00B715DD" w:rsidRPr="00C60607" w:rsidRDefault="00DC5111" w:rsidP="002C15EA">
      <w:pPr>
        <w:spacing w:after="0"/>
        <w:jc w:val="right"/>
        <w:rPr>
          <w:rFonts w:ascii="Times New Roman" w:hAnsi="Times New Roman" w:cs="Times New Roman"/>
          <w:sz w:val="18"/>
          <w:szCs w:val="16"/>
        </w:rPr>
      </w:pPr>
      <w:r w:rsidRPr="00982953">
        <w:rPr>
          <w:rFonts w:ascii="Times New Roman" w:hAnsi="Times New Roman" w:cs="Times New Roman"/>
          <w:sz w:val="18"/>
          <w:szCs w:val="16"/>
        </w:rPr>
        <w:t>(Para 3.9)</w:t>
      </w:r>
      <w:r w:rsidR="002C15EA">
        <w:rPr>
          <w:rFonts w:ascii="Times New Roman" w:hAnsi="Times New Roman" w:cs="Times New Roman"/>
          <w:i/>
          <w:iCs/>
          <w:sz w:val="18"/>
          <w:szCs w:val="16"/>
        </w:rPr>
        <w:tab/>
      </w:r>
      <w:r w:rsidR="002C15EA">
        <w:rPr>
          <w:rFonts w:ascii="Times New Roman" w:hAnsi="Times New Roman" w:cs="Times New Roman"/>
          <w:i/>
          <w:iCs/>
          <w:sz w:val="18"/>
          <w:szCs w:val="16"/>
        </w:rPr>
        <w:tab/>
      </w:r>
      <w:r w:rsidR="002C15EA">
        <w:rPr>
          <w:rFonts w:ascii="Times New Roman" w:hAnsi="Times New Roman" w:cs="Times New Roman"/>
          <w:i/>
          <w:iCs/>
          <w:sz w:val="18"/>
          <w:szCs w:val="16"/>
        </w:rPr>
        <w:tab/>
        <w:t>(Rs. Lakh)</w:t>
      </w:r>
    </w:p>
    <w:tbl>
      <w:tblPr>
        <w:tblStyle w:val="TableGrid"/>
        <w:tblW w:w="4957" w:type="dxa"/>
        <w:jc w:val="center"/>
        <w:tblLook w:val="04A0" w:firstRow="1" w:lastRow="0" w:firstColumn="1" w:lastColumn="0" w:noHBand="0" w:noVBand="1"/>
      </w:tblPr>
      <w:tblGrid>
        <w:gridCol w:w="416"/>
        <w:gridCol w:w="1139"/>
        <w:gridCol w:w="1068"/>
        <w:gridCol w:w="1058"/>
        <w:gridCol w:w="660"/>
        <w:gridCol w:w="616"/>
      </w:tblGrid>
      <w:tr w:rsidR="00C60607" w:rsidRPr="00DC5111" w14:paraId="68B6B204" w14:textId="77777777" w:rsidTr="00C60607">
        <w:trPr>
          <w:trHeight w:val="20"/>
          <w:jc w:val="center"/>
        </w:trPr>
        <w:tc>
          <w:tcPr>
            <w:tcW w:w="416" w:type="dxa"/>
            <w:vMerge w:val="restart"/>
            <w:vAlign w:val="center"/>
            <w:hideMark/>
          </w:tcPr>
          <w:p w14:paraId="65842264" w14:textId="77777777" w:rsidR="00982953" w:rsidRPr="00DC5111" w:rsidRDefault="00982953" w:rsidP="00DC5111">
            <w:pPr>
              <w:pStyle w:val="NoSpacing"/>
              <w:jc w:val="center"/>
              <w:rPr>
                <w:rFonts w:ascii="Times New Roman" w:hAnsi="Times New Roman" w:cs="Times New Roman"/>
                <w:sz w:val="16"/>
                <w:szCs w:val="14"/>
              </w:rPr>
            </w:pPr>
          </w:p>
        </w:tc>
        <w:tc>
          <w:tcPr>
            <w:tcW w:w="1139" w:type="dxa"/>
            <w:vMerge w:val="restart"/>
            <w:vAlign w:val="center"/>
            <w:hideMark/>
          </w:tcPr>
          <w:p w14:paraId="19283737" w14:textId="77777777" w:rsidR="00982953" w:rsidRPr="00DC5111" w:rsidRDefault="00982953" w:rsidP="00DC5111">
            <w:pPr>
              <w:pStyle w:val="NoSpacing"/>
              <w:jc w:val="center"/>
              <w:rPr>
                <w:rFonts w:ascii="Times New Roman" w:hAnsi="Times New Roman" w:cs="Times New Roman"/>
                <w:b/>
                <w:bCs/>
                <w:sz w:val="16"/>
                <w:szCs w:val="14"/>
              </w:rPr>
            </w:pPr>
            <w:r w:rsidRPr="00DC5111">
              <w:rPr>
                <w:rFonts w:ascii="Times New Roman" w:hAnsi="Times New Roman" w:cs="Times New Roman"/>
                <w:b/>
                <w:bCs/>
                <w:sz w:val="16"/>
                <w:szCs w:val="14"/>
              </w:rPr>
              <w:t>States</w:t>
            </w:r>
          </w:p>
        </w:tc>
        <w:tc>
          <w:tcPr>
            <w:tcW w:w="1068" w:type="dxa"/>
            <w:vMerge w:val="restart"/>
            <w:vAlign w:val="center"/>
            <w:hideMark/>
          </w:tcPr>
          <w:p w14:paraId="36DAE723" w14:textId="77777777" w:rsidR="00982953" w:rsidRPr="00DC5111" w:rsidRDefault="00982953" w:rsidP="00DC5111">
            <w:pPr>
              <w:pStyle w:val="NoSpacing"/>
              <w:jc w:val="center"/>
              <w:rPr>
                <w:rFonts w:ascii="Times New Roman" w:hAnsi="Times New Roman" w:cs="Times New Roman"/>
                <w:b/>
                <w:bCs/>
                <w:sz w:val="16"/>
                <w:szCs w:val="14"/>
              </w:rPr>
            </w:pPr>
            <w:r w:rsidRPr="00DC5111">
              <w:rPr>
                <w:rFonts w:ascii="Times New Roman" w:hAnsi="Times New Roman" w:cs="Times New Roman"/>
                <w:b/>
                <w:bCs/>
                <w:sz w:val="16"/>
                <w:szCs w:val="14"/>
              </w:rPr>
              <w:t>Dividend @ 3% on Financial Enterprises</w:t>
            </w:r>
          </w:p>
        </w:tc>
        <w:tc>
          <w:tcPr>
            <w:tcW w:w="1058" w:type="dxa"/>
            <w:vMerge w:val="restart"/>
            <w:vAlign w:val="center"/>
            <w:hideMark/>
          </w:tcPr>
          <w:p w14:paraId="06E1FF5D" w14:textId="77777777" w:rsidR="00982953" w:rsidRPr="00DC5111" w:rsidRDefault="00982953" w:rsidP="00DC5111">
            <w:pPr>
              <w:pStyle w:val="NoSpacing"/>
              <w:jc w:val="center"/>
              <w:rPr>
                <w:rFonts w:ascii="Times New Roman" w:hAnsi="Times New Roman" w:cs="Times New Roman"/>
                <w:b/>
                <w:bCs/>
                <w:sz w:val="16"/>
                <w:szCs w:val="14"/>
              </w:rPr>
            </w:pPr>
            <w:r w:rsidRPr="00DC5111">
              <w:rPr>
                <w:rFonts w:ascii="Times New Roman" w:hAnsi="Times New Roman" w:cs="Times New Roman"/>
                <w:b/>
                <w:bCs/>
                <w:sz w:val="16"/>
                <w:szCs w:val="14"/>
              </w:rPr>
              <w:t>Dividend @ 5% on Commercial Enterprises</w:t>
            </w:r>
          </w:p>
        </w:tc>
        <w:tc>
          <w:tcPr>
            <w:tcW w:w="1276" w:type="dxa"/>
            <w:gridSpan w:val="2"/>
            <w:vAlign w:val="center"/>
            <w:hideMark/>
          </w:tcPr>
          <w:p w14:paraId="6774037D" w14:textId="62B4F376" w:rsidR="00982953" w:rsidRPr="00DC5111" w:rsidRDefault="00982953" w:rsidP="00DC5111">
            <w:pPr>
              <w:pStyle w:val="NoSpacing"/>
              <w:jc w:val="center"/>
              <w:rPr>
                <w:rFonts w:ascii="Times New Roman" w:hAnsi="Times New Roman" w:cs="Times New Roman"/>
                <w:b/>
                <w:bCs/>
                <w:sz w:val="16"/>
                <w:szCs w:val="14"/>
              </w:rPr>
            </w:pPr>
            <w:r w:rsidRPr="00DC5111">
              <w:rPr>
                <w:rFonts w:ascii="Times New Roman" w:hAnsi="Times New Roman" w:cs="Times New Roman"/>
                <w:b/>
                <w:bCs/>
                <w:sz w:val="16"/>
                <w:szCs w:val="14"/>
              </w:rPr>
              <w:t>Estimated Dividend in</w:t>
            </w:r>
          </w:p>
        </w:tc>
      </w:tr>
      <w:tr w:rsidR="00C60607" w:rsidRPr="00DC5111" w14:paraId="35B71934" w14:textId="691D7F45" w:rsidTr="00C60607">
        <w:trPr>
          <w:trHeight w:val="20"/>
          <w:jc w:val="center"/>
        </w:trPr>
        <w:tc>
          <w:tcPr>
            <w:tcW w:w="416" w:type="dxa"/>
            <w:vMerge/>
            <w:vAlign w:val="center"/>
          </w:tcPr>
          <w:p w14:paraId="7536D4C1" w14:textId="77777777" w:rsidR="00982953" w:rsidRPr="00DC5111" w:rsidRDefault="00982953" w:rsidP="00DC5111">
            <w:pPr>
              <w:pStyle w:val="NoSpacing"/>
              <w:jc w:val="center"/>
              <w:rPr>
                <w:rFonts w:ascii="Times New Roman" w:hAnsi="Times New Roman" w:cs="Times New Roman"/>
                <w:sz w:val="16"/>
                <w:szCs w:val="14"/>
              </w:rPr>
            </w:pPr>
          </w:p>
        </w:tc>
        <w:tc>
          <w:tcPr>
            <w:tcW w:w="1139" w:type="dxa"/>
            <w:vMerge/>
            <w:vAlign w:val="center"/>
          </w:tcPr>
          <w:p w14:paraId="538CE5C0" w14:textId="77777777" w:rsidR="00982953" w:rsidRPr="00DC5111" w:rsidRDefault="00982953" w:rsidP="00DC5111">
            <w:pPr>
              <w:pStyle w:val="NoSpacing"/>
              <w:jc w:val="center"/>
              <w:rPr>
                <w:rFonts w:ascii="Times New Roman" w:hAnsi="Times New Roman" w:cs="Times New Roman"/>
                <w:b/>
                <w:bCs/>
                <w:sz w:val="16"/>
                <w:szCs w:val="14"/>
              </w:rPr>
            </w:pPr>
          </w:p>
        </w:tc>
        <w:tc>
          <w:tcPr>
            <w:tcW w:w="1068" w:type="dxa"/>
            <w:vMerge/>
            <w:vAlign w:val="center"/>
          </w:tcPr>
          <w:p w14:paraId="5F56D77B" w14:textId="77777777" w:rsidR="00982953" w:rsidRPr="00DC5111" w:rsidRDefault="00982953" w:rsidP="00DC5111">
            <w:pPr>
              <w:pStyle w:val="NoSpacing"/>
              <w:jc w:val="center"/>
              <w:rPr>
                <w:rFonts w:ascii="Times New Roman" w:hAnsi="Times New Roman" w:cs="Times New Roman"/>
                <w:b/>
                <w:bCs/>
                <w:sz w:val="16"/>
                <w:szCs w:val="14"/>
              </w:rPr>
            </w:pPr>
          </w:p>
        </w:tc>
        <w:tc>
          <w:tcPr>
            <w:tcW w:w="1058" w:type="dxa"/>
            <w:vMerge/>
            <w:vAlign w:val="center"/>
          </w:tcPr>
          <w:p w14:paraId="219576A2" w14:textId="77777777" w:rsidR="00982953" w:rsidRPr="00DC5111" w:rsidRDefault="00982953" w:rsidP="00DC5111">
            <w:pPr>
              <w:pStyle w:val="NoSpacing"/>
              <w:jc w:val="center"/>
              <w:rPr>
                <w:rFonts w:ascii="Times New Roman" w:hAnsi="Times New Roman" w:cs="Times New Roman"/>
                <w:b/>
                <w:bCs/>
                <w:sz w:val="16"/>
                <w:szCs w:val="14"/>
              </w:rPr>
            </w:pPr>
          </w:p>
        </w:tc>
        <w:tc>
          <w:tcPr>
            <w:tcW w:w="660" w:type="dxa"/>
            <w:vAlign w:val="center"/>
          </w:tcPr>
          <w:p w14:paraId="7DF4DC5F" w14:textId="38629C92" w:rsidR="00982953" w:rsidRPr="00DC5111" w:rsidRDefault="00982953" w:rsidP="00DC5111">
            <w:pPr>
              <w:pStyle w:val="NoSpacing"/>
              <w:jc w:val="center"/>
              <w:rPr>
                <w:rFonts w:ascii="Times New Roman" w:hAnsi="Times New Roman" w:cs="Times New Roman"/>
                <w:b/>
                <w:bCs/>
                <w:sz w:val="16"/>
                <w:szCs w:val="14"/>
              </w:rPr>
            </w:pPr>
            <w:r w:rsidRPr="00DC5111">
              <w:rPr>
                <w:rFonts w:ascii="Times New Roman" w:hAnsi="Times New Roman" w:cs="Times New Roman"/>
                <w:b/>
                <w:bCs/>
                <w:sz w:val="16"/>
                <w:szCs w:val="14"/>
              </w:rPr>
              <w:t>1990-91</w:t>
            </w:r>
          </w:p>
        </w:tc>
        <w:tc>
          <w:tcPr>
            <w:tcW w:w="616" w:type="dxa"/>
            <w:vAlign w:val="center"/>
          </w:tcPr>
          <w:p w14:paraId="2BA85A0D" w14:textId="6AB012C7" w:rsidR="00982953" w:rsidRPr="00DC5111" w:rsidRDefault="00982953" w:rsidP="00DC5111">
            <w:pPr>
              <w:pStyle w:val="NoSpacing"/>
              <w:jc w:val="center"/>
              <w:rPr>
                <w:rFonts w:ascii="Times New Roman" w:hAnsi="Times New Roman" w:cs="Times New Roman"/>
                <w:b/>
                <w:bCs/>
                <w:sz w:val="16"/>
                <w:szCs w:val="14"/>
              </w:rPr>
            </w:pPr>
            <w:r w:rsidRPr="00DC5111">
              <w:rPr>
                <w:rFonts w:ascii="Times New Roman" w:hAnsi="Times New Roman" w:cs="Times New Roman"/>
                <w:b/>
                <w:bCs/>
                <w:sz w:val="16"/>
                <w:szCs w:val="14"/>
              </w:rPr>
              <w:t>1990-95</w:t>
            </w:r>
          </w:p>
        </w:tc>
      </w:tr>
      <w:tr w:rsidR="00C60607" w:rsidRPr="00DC5111" w14:paraId="71333ED9" w14:textId="77777777" w:rsidTr="00C60607">
        <w:trPr>
          <w:trHeight w:val="20"/>
          <w:jc w:val="center"/>
        </w:trPr>
        <w:tc>
          <w:tcPr>
            <w:tcW w:w="416" w:type="dxa"/>
            <w:vAlign w:val="center"/>
            <w:hideMark/>
          </w:tcPr>
          <w:p w14:paraId="6074371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w:t>
            </w:r>
          </w:p>
        </w:tc>
        <w:tc>
          <w:tcPr>
            <w:tcW w:w="1139" w:type="dxa"/>
            <w:vAlign w:val="center"/>
            <w:hideMark/>
          </w:tcPr>
          <w:p w14:paraId="6572F088"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Andhra Pradesh</w:t>
            </w:r>
          </w:p>
        </w:tc>
        <w:tc>
          <w:tcPr>
            <w:tcW w:w="1068" w:type="dxa"/>
            <w:vAlign w:val="center"/>
            <w:hideMark/>
          </w:tcPr>
          <w:p w14:paraId="0582769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303.39</w:t>
            </w:r>
          </w:p>
        </w:tc>
        <w:tc>
          <w:tcPr>
            <w:tcW w:w="1058" w:type="dxa"/>
            <w:vAlign w:val="center"/>
            <w:hideMark/>
          </w:tcPr>
          <w:p w14:paraId="790B2E0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1334.55</w:t>
            </w:r>
          </w:p>
        </w:tc>
        <w:tc>
          <w:tcPr>
            <w:tcW w:w="660" w:type="dxa"/>
            <w:vAlign w:val="center"/>
            <w:hideMark/>
          </w:tcPr>
          <w:p w14:paraId="3CF1B9D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1638</w:t>
            </w:r>
          </w:p>
        </w:tc>
        <w:tc>
          <w:tcPr>
            <w:tcW w:w="616" w:type="dxa"/>
            <w:vAlign w:val="center"/>
            <w:hideMark/>
          </w:tcPr>
          <w:p w14:paraId="2072DA73"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8190</w:t>
            </w:r>
          </w:p>
        </w:tc>
      </w:tr>
      <w:tr w:rsidR="00C60607" w:rsidRPr="00DC5111" w14:paraId="0D7B0A46" w14:textId="77777777" w:rsidTr="00C60607">
        <w:trPr>
          <w:trHeight w:val="20"/>
          <w:jc w:val="center"/>
        </w:trPr>
        <w:tc>
          <w:tcPr>
            <w:tcW w:w="416" w:type="dxa"/>
            <w:vAlign w:val="center"/>
            <w:hideMark/>
          </w:tcPr>
          <w:p w14:paraId="55FEF933"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w:t>
            </w:r>
          </w:p>
        </w:tc>
        <w:tc>
          <w:tcPr>
            <w:tcW w:w="1139" w:type="dxa"/>
            <w:vAlign w:val="center"/>
            <w:hideMark/>
          </w:tcPr>
          <w:p w14:paraId="31AB08CC"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Arunachal Pradesh</w:t>
            </w:r>
          </w:p>
        </w:tc>
        <w:tc>
          <w:tcPr>
            <w:tcW w:w="1068" w:type="dxa"/>
            <w:vAlign w:val="center"/>
            <w:hideMark/>
          </w:tcPr>
          <w:p w14:paraId="097D49D6"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8.73</w:t>
            </w:r>
          </w:p>
        </w:tc>
        <w:tc>
          <w:tcPr>
            <w:tcW w:w="1058" w:type="dxa"/>
            <w:vAlign w:val="center"/>
            <w:hideMark/>
          </w:tcPr>
          <w:p w14:paraId="2686546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w:t>
            </w:r>
          </w:p>
        </w:tc>
        <w:tc>
          <w:tcPr>
            <w:tcW w:w="660" w:type="dxa"/>
            <w:vAlign w:val="center"/>
            <w:hideMark/>
          </w:tcPr>
          <w:p w14:paraId="0A61066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9</w:t>
            </w:r>
          </w:p>
        </w:tc>
        <w:tc>
          <w:tcPr>
            <w:tcW w:w="616" w:type="dxa"/>
            <w:vAlign w:val="center"/>
            <w:hideMark/>
          </w:tcPr>
          <w:p w14:paraId="47406BF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45</w:t>
            </w:r>
          </w:p>
        </w:tc>
      </w:tr>
      <w:tr w:rsidR="00C60607" w:rsidRPr="00DC5111" w14:paraId="0EB22CCB" w14:textId="77777777" w:rsidTr="00C60607">
        <w:trPr>
          <w:trHeight w:val="20"/>
          <w:jc w:val="center"/>
        </w:trPr>
        <w:tc>
          <w:tcPr>
            <w:tcW w:w="416" w:type="dxa"/>
            <w:vAlign w:val="center"/>
            <w:hideMark/>
          </w:tcPr>
          <w:p w14:paraId="4445D89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w:t>
            </w:r>
          </w:p>
        </w:tc>
        <w:tc>
          <w:tcPr>
            <w:tcW w:w="1139" w:type="dxa"/>
            <w:vAlign w:val="center"/>
            <w:hideMark/>
          </w:tcPr>
          <w:p w14:paraId="46935620"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Assam</w:t>
            </w:r>
          </w:p>
        </w:tc>
        <w:tc>
          <w:tcPr>
            <w:tcW w:w="1068" w:type="dxa"/>
            <w:vAlign w:val="center"/>
            <w:hideMark/>
          </w:tcPr>
          <w:p w14:paraId="1D5BDCB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45.78</w:t>
            </w:r>
          </w:p>
        </w:tc>
        <w:tc>
          <w:tcPr>
            <w:tcW w:w="1058" w:type="dxa"/>
            <w:vAlign w:val="center"/>
            <w:hideMark/>
          </w:tcPr>
          <w:p w14:paraId="682F698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431.80</w:t>
            </w:r>
          </w:p>
        </w:tc>
        <w:tc>
          <w:tcPr>
            <w:tcW w:w="660" w:type="dxa"/>
            <w:vAlign w:val="center"/>
            <w:hideMark/>
          </w:tcPr>
          <w:p w14:paraId="7DF0C62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478</w:t>
            </w:r>
          </w:p>
        </w:tc>
        <w:tc>
          <w:tcPr>
            <w:tcW w:w="616" w:type="dxa"/>
            <w:vAlign w:val="center"/>
            <w:hideMark/>
          </w:tcPr>
          <w:p w14:paraId="18EE72A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2390</w:t>
            </w:r>
          </w:p>
        </w:tc>
      </w:tr>
      <w:tr w:rsidR="00C60607" w:rsidRPr="00DC5111" w14:paraId="54655BD7" w14:textId="77777777" w:rsidTr="00C60607">
        <w:trPr>
          <w:trHeight w:val="20"/>
          <w:jc w:val="center"/>
        </w:trPr>
        <w:tc>
          <w:tcPr>
            <w:tcW w:w="416" w:type="dxa"/>
            <w:vAlign w:val="center"/>
            <w:hideMark/>
          </w:tcPr>
          <w:p w14:paraId="646D285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w:t>
            </w:r>
          </w:p>
        </w:tc>
        <w:tc>
          <w:tcPr>
            <w:tcW w:w="1139" w:type="dxa"/>
            <w:vAlign w:val="center"/>
            <w:hideMark/>
          </w:tcPr>
          <w:p w14:paraId="4AB134BF"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Bihar</w:t>
            </w:r>
          </w:p>
        </w:tc>
        <w:tc>
          <w:tcPr>
            <w:tcW w:w="1068" w:type="dxa"/>
            <w:vAlign w:val="center"/>
            <w:hideMark/>
          </w:tcPr>
          <w:p w14:paraId="0B41647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126.57</w:t>
            </w:r>
          </w:p>
        </w:tc>
        <w:tc>
          <w:tcPr>
            <w:tcW w:w="1058" w:type="dxa"/>
            <w:vAlign w:val="center"/>
            <w:hideMark/>
          </w:tcPr>
          <w:p w14:paraId="66B91F3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671.25</w:t>
            </w:r>
          </w:p>
        </w:tc>
        <w:tc>
          <w:tcPr>
            <w:tcW w:w="660" w:type="dxa"/>
            <w:vAlign w:val="center"/>
            <w:hideMark/>
          </w:tcPr>
          <w:p w14:paraId="66EEB0C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798</w:t>
            </w:r>
          </w:p>
        </w:tc>
        <w:tc>
          <w:tcPr>
            <w:tcW w:w="616" w:type="dxa"/>
            <w:vAlign w:val="center"/>
            <w:hideMark/>
          </w:tcPr>
          <w:p w14:paraId="6E01C166"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3990</w:t>
            </w:r>
          </w:p>
        </w:tc>
      </w:tr>
      <w:tr w:rsidR="00C60607" w:rsidRPr="00DC5111" w14:paraId="024D0A83" w14:textId="77777777" w:rsidTr="00C60607">
        <w:trPr>
          <w:trHeight w:val="20"/>
          <w:jc w:val="center"/>
        </w:trPr>
        <w:tc>
          <w:tcPr>
            <w:tcW w:w="416" w:type="dxa"/>
            <w:vAlign w:val="center"/>
            <w:hideMark/>
          </w:tcPr>
          <w:p w14:paraId="4F8135A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w:t>
            </w:r>
          </w:p>
        </w:tc>
        <w:tc>
          <w:tcPr>
            <w:tcW w:w="1139" w:type="dxa"/>
            <w:vAlign w:val="center"/>
            <w:hideMark/>
          </w:tcPr>
          <w:p w14:paraId="2AF311E5"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Goa</w:t>
            </w:r>
          </w:p>
        </w:tc>
        <w:tc>
          <w:tcPr>
            <w:tcW w:w="1068" w:type="dxa"/>
            <w:vAlign w:val="center"/>
            <w:hideMark/>
          </w:tcPr>
          <w:p w14:paraId="4A023EB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7.02</w:t>
            </w:r>
          </w:p>
        </w:tc>
        <w:tc>
          <w:tcPr>
            <w:tcW w:w="1058" w:type="dxa"/>
            <w:vAlign w:val="center"/>
            <w:hideMark/>
          </w:tcPr>
          <w:p w14:paraId="532C684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130.95</w:t>
            </w:r>
          </w:p>
        </w:tc>
        <w:tc>
          <w:tcPr>
            <w:tcW w:w="660" w:type="dxa"/>
            <w:vAlign w:val="center"/>
            <w:hideMark/>
          </w:tcPr>
          <w:p w14:paraId="69A9C41C"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138</w:t>
            </w:r>
          </w:p>
        </w:tc>
        <w:tc>
          <w:tcPr>
            <w:tcW w:w="616" w:type="dxa"/>
            <w:vAlign w:val="center"/>
            <w:hideMark/>
          </w:tcPr>
          <w:p w14:paraId="30D54F3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690</w:t>
            </w:r>
          </w:p>
        </w:tc>
      </w:tr>
      <w:tr w:rsidR="00C60607" w:rsidRPr="00DC5111" w14:paraId="74C20D8D" w14:textId="77777777" w:rsidTr="00C60607">
        <w:trPr>
          <w:trHeight w:val="20"/>
          <w:jc w:val="center"/>
        </w:trPr>
        <w:tc>
          <w:tcPr>
            <w:tcW w:w="416" w:type="dxa"/>
            <w:vAlign w:val="center"/>
            <w:hideMark/>
          </w:tcPr>
          <w:p w14:paraId="6098FE0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w:t>
            </w:r>
          </w:p>
        </w:tc>
        <w:tc>
          <w:tcPr>
            <w:tcW w:w="1139" w:type="dxa"/>
            <w:vAlign w:val="center"/>
            <w:hideMark/>
          </w:tcPr>
          <w:p w14:paraId="68566CD2"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Gujarat</w:t>
            </w:r>
          </w:p>
        </w:tc>
        <w:tc>
          <w:tcPr>
            <w:tcW w:w="1068" w:type="dxa"/>
            <w:vAlign w:val="center"/>
            <w:hideMark/>
          </w:tcPr>
          <w:p w14:paraId="5699A50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121.59</w:t>
            </w:r>
          </w:p>
        </w:tc>
        <w:tc>
          <w:tcPr>
            <w:tcW w:w="1058" w:type="dxa"/>
            <w:vAlign w:val="center"/>
            <w:hideMark/>
          </w:tcPr>
          <w:p w14:paraId="5F5DF216"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618.80</w:t>
            </w:r>
          </w:p>
        </w:tc>
        <w:tc>
          <w:tcPr>
            <w:tcW w:w="660" w:type="dxa"/>
            <w:vAlign w:val="center"/>
            <w:hideMark/>
          </w:tcPr>
          <w:p w14:paraId="321D145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740</w:t>
            </w:r>
          </w:p>
        </w:tc>
        <w:tc>
          <w:tcPr>
            <w:tcW w:w="616" w:type="dxa"/>
            <w:vAlign w:val="center"/>
            <w:hideMark/>
          </w:tcPr>
          <w:p w14:paraId="20A1A84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3700</w:t>
            </w:r>
          </w:p>
        </w:tc>
      </w:tr>
      <w:tr w:rsidR="00C60607" w:rsidRPr="00DC5111" w14:paraId="4A207434" w14:textId="77777777" w:rsidTr="00C60607">
        <w:trPr>
          <w:trHeight w:val="20"/>
          <w:jc w:val="center"/>
        </w:trPr>
        <w:tc>
          <w:tcPr>
            <w:tcW w:w="416" w:type="dxa"/>
            <w:vAlign w:val="center"/>
            <w:hideMark/>
          </w:tcPr>
          <w:p w14:paraId="538EBEED"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w:t>
            </w:r>
          </w:p>
        </w:tc>
        <w:tc>
          <w:tcPr>
            <w:tcW w:w="1139" w:type="dxa"/>
            <w:vAlign w:val="center"/>
            <w:hideMark/>
          </w:tcPr>
          <w:p w14:paraId="263F68BC"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Haryana</w:t>
            </w:r>
          </w:p>
        </w:tc>
        <w:tc>
          <w:tcPr>
            <w:tcW w:w="1068" w:type="dxa"/>
            <w:vAlign w:val="center"/>
            <w:hideMark/>
          </w:tcPr>
          <w:p w14:paraId="69A1B79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9.81</w:t>
            </w:r>
          </w:p>
        </w:tc>
        <w:tc>
          <w:tcPr>
            <w:tcW w:w="1058" w:type="dxa"/>
            <w:vAlign w:val="center"/>
            <w:hideMark/>
          </w:tcPr>
          <w:p w14:paraId="7C0CAD4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157.95</w:t>
            </w:r>
          </w:p>
        </w:tc>
        <w:tc>
          <w:tcPr>
            <w:tcW w:w="660" w:type="dxa"/>
            <w:vAlign w:val="center"/>
            <w:hideMark/>
          </w:tcPr>
          <w:p w14:paraId="0D61BC4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168</w:t>
            </w:r>
          </w:p>
        </w:tc>
        <w:tc>
          <w:tcPr>
            <w:tcW w:w="616" w:type="dxa"/>
            <w:vAlign w:val="center"/>
            <w:hideMark/>
          </w:tcPr>
          <w:p w14:paraId="79804D3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840</w:t>
            </w:r>
          </w:p>
        </w:tc>
      </w:tr>
      <w:tr w:rsidR="00C60607" w:rsidRPr="00DC5111" w14:paraId="3543AB5F" w14:textId="77777777" w:rsidTr="00C60607">
        <w:trPr>
          <w:trHeight w:val="20"/>
          <w:jc w:val="center"/>
        </w:trPr>
        <w:tc>
          <w:tcPr>
            <w:tcW w:w="416" w:type="dxa"/>
            <w:vAlign w:val="center"/>
            <w:hideMark/>
          </w:tcPr>
          <w:p w14:paraId="5A16D4B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8.</w:t>
            </w:r>
          </w:p>
        </w:tc>
        <w:tc>
          <w:tcPr>
            <w:tcW w:w="1139" w:type="dxa"/>
            <w:vAlign w:val="center"/>
            <w:hideMark/>
          </w:tcPr>
          <w:p w14:paraId="38EB6AEA"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Himachal Pradesh</w:t>
            </w:r>
          </w:p>
        </w:tc>
        <w:tc>
          <w:tcPr>
            <w:tcW w:w="1068" w:type="dxa"/>
            <w:vAlign w:val="center"/>
            <w:hideMark/>
          </w:tcPr>
          <w:p w14:paraId="3A71653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24.15</w:t>
            </w:r>
          </w:p>
        </w:tc>
        <w:tc>
          <w:tcPr>
            <w:tcW w:w="1058" w:type="dxa"/>
            <w:vAlign w:val="center"/>
            <w:hideMark/>
          </w:tcPr>
          <w:p w14:paraId="2B445FB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124.95</w:t>
            </w:r>
          </w:p>
        </w:tc>
        <w:tc>
          <w:tcPr>
            <w:tcW w:w="660" w:type="dxa"/>
            <w:vAlign w:val="center"/>
            <w:hideMark/>
          </w:tcPr>
          <w:p w14:paraId="7918076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149</w:t>
            </w:r>
          </w:p>
        </w:tc>
        <w:tc>
          <w:tcPr>
            <w:tcW w:w="616" w:type="dxa"/>
            <w:vAlign w:val="center"/>
            <w:hideMark/>
          </w:tcPr>
          <w:p w14:paraId="29E0EF2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745</w:t>
            </w:r>
          </w:p>
        </w:tc>
      </w:tr>
      <w:tr w:rsidR="00C60607" w:rsidRPr="00DC5111" w14:paraId="4766FBFE" w14:textId="77777777" w:rsidTr="00C60607">
        <w:trPr>
          <w:trHeight w:val="20"/>
          <w:jc w:val="center"/>
        </w:trPr>
        <w:tc>
          <w:tcPr>
            <w:tcW w:w="416" w:type="dxa"/>
            <w:vAlign w:val="center"/>
            <w:hideMark/>
          </w:tcPr>
          <w:p w14:paraId="00122D3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9.</w:t>
            </w:r>
          </w:p>
        </w:tc>
        <w:tc>
          <w:tcPr>
            <w:tcW w:w="1139" w:type="dxa"/>
            <w:vAlign w:val="center"/>
            <w:hideMark/>
          </w:tcPr>
          <w:p w14:paraId="545C3D76"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Jammu &amp; Kashmir</w:t>
            </w:r>
          </w:p>
        </w:tc>
        <w:tc>
          <w:tcPr>
            <w:tcW w:w="1068" w:type="dxa"/>
            <w:vAlign w:val="center"/>
            <w:hideMark/>
          </w:tcPr>
          <w:p w14:paraId="71AECC7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34.29</w:t>
            </w:r>
          </w:p>
        </w:tc>
        <w:tc>
          <w:tcPr>
            <w:tcW w:w="1058" w:type="dxa"/>
            <w:vAlign w:val="center"/>
            <w:hideMark/>
          </w:tcPr>
          <w:p w14:paraId="59E67DE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461.70</w:t>
            </w:r>
          </w:p>
        </w:tc>
        <w:tc>
          <w:tcPr>
            <w:tcW w:w="660" w:type="dxa"/>
            <w:vAlign w:val="center"/>
            <w:hideMark/>
          </w:tcPr>
          <w:p w14:paraId="7A78887D"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496</w:t>
            </w:r>
          </w:p>
        </w:tc>
        <w:tc>
          <w:tcPr>
            <w:tcW w:w="616" w:type="dxa"/>
            <w:vAlign w:val="center"/>
            <w:hideMark/>
          </w:tcPr>
          <w:p w14:paraId="7D191C7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2480</w:t>
            </w:r>
          </w:p>
        </w:tc>
      </w:tr>
      <w:tr w:rsidR="00C60607" w:rsidRPr="00DC5111" w14:paraId="26171B86" w14:textId="77777777" w:rsidTr="00C60607">
        <w:trPr>
          <w:trHeight w:val="20"/>
          <w:jc w:val="center"/>
        </w:trPr>
        <w:tc>
          <w:tcPr>
            <w:tcW w:w="416" w:type="dxa"/>
            <w:vAlign w:val="center"/>
            <w:hideMark/>
          </w:tcPr>
          <w:p w14:paraId="54DE209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10.</w:t>
            </w:r>
          </w:p>
        </w:tc>
        <w:tc>
          <w:tcPr>
            <w:tcW w:w="1139" w:type="dxa"/>
            <w:vAlign w:val="center"/>
            <w:hideMark/>
          </w:tcPr>
          <w:p w14:paraId="6895B246"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Karnataka</w:t>
            </w:r>
          </w:p>
        </w:tc>
        <w:tc>
          <w:tcPr>
            <w:tcW w:w="1068" w:type="dxa"/>
            <w:vAlign w:val="center"/>
            <w:hideMark/>
          </w:tcPr>
          <w:p w14:paraId="51E50AB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207.57</w:t>
            </w:r>
          </w:p>
        </w:tc>
        <w:tc>
          <w:tcPr>
            <w:tcW w:w="1058" w:type="dxa"/>
            <w:vAlign w:val="center"/>
            <w:hideMark/>
          </w:tcPr>
          <w:p w14:paraId="5AD8B571"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1166.10</w:t>
            </w:r>
          </w:p>
        </w:tc>
        <w:tc>
          <w:tcPr>
            <w:tcW w:w="660" w:type="dxa"/>
            <w:vAlign w:val="center"/>
            <w:hideMark/>
          </w:tcPr>
          <w:p w14:paraId="46B59B46"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1373</w:t>
            </w:r>
          </w:p>
        </w:tc>
        <w:tc>
          <w:tcPr>
            <w:tcW w:w="616" w:type="dxa"/>
            <w:vAlign w:val="center"/>
            <w:hideMark/>
          </w:tcPr>
          <w:p w14:paraId="4012A37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6865</w:t>
            </w:r>
          </w:p>
        </w:tc>
      </w:tr>
      <w:tr w:rsidR="00C60607" w:rsidRPr="00DC5111" w14:paraId="203DB773" w14:textId="77777777" w:rsidTr="00C60607">
        <w:trPr>
          <w:trHeight w:val="20"/>
          <w:jc w:val="center"/>
        </w:trPr>
        <w:tc>
          <w:tcPr>
            <w:tcW w:w="416" w:type="dxa"/>
            <w:vAlign w:val="center"/>
            <w:hideMark/>
          </w:tcPr>
          <w:p w14:paraId="5F87BC1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11.</w:t>
            </w:r>
          </w:p>
        </w:tc>
        <w:tc>
          <w:tcPr>
            <w:tcW w:w="1139" w:type="dxa"/>
            <w:vAlign w:val="center"/>
            <w:hideMark/>
          </w:tcPr>
          <w:p w14:paraId="7547CB71"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Kerala</w:t>
            </w:r>
          </w:p>
        </w:tc>
        <w:tc>
          <w:tcPr>
            <w:tcW w:w="1068" w:type="dxa"/>
            <w:vAlign w:val="center"/>
            <w:hideMark/>
          </w:tcPr>
          <w:p w14:paraId="5E54AF6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42.90</w:t>
            </w:r>
          </w:p>
        </w:tc>
        <w:tc>
          <w:tcPr>
            <w:tcW w:w="1058" w:type="dxa"/>
            <w:vAlign w:val="center"/>
            <w:hideMark/>
          </w:tcPr>
          <w:p w14:paraId="71D8E37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1206.85</w:t>
            </w:r>
          </w:p>
        </w:tc>
        <w:tc>
          <w:tcPr>
            <w:tcW w:w="660" w:type="dxa"/>
            <w:vAlign w:val="center"/>
            <w:hideMark/>
          </w:tcPr>
          <w:p w14:paraId="289C4F03"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1250</w:t>
            </w:r>
          </w:p>
        </w:tc>
        <w:tc>
          <w:tcPr>
            <w:tcW w:w="616" w:type="dxa"/>
            <w:vAlign w:val="center"/>
            <w:hideMark/>
          </w:tcPr>
          <w:p w14:paraId="0F8FF1D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6250</w:t>
            </w:r>
          </w:p>
        </w:tc>
      </w:tr>
      <w:tr w:rsidR="00C60607" w:rsidRPr="00DC5111" w14:paraId="1F10C71D" w14:textId="77777777" w:rsidTr="00C60607">
        <w:trPr>
          <w:trHeight w:val="20"/>
          <w:jc w:val="center"/>
        </w:trPr>
        <w:tc>
          <w:tcPr>
            <w:tcW w:w="416" w:type="dxa"/>
            <w:vAlign w:val="center"/>
            <w:hideMark/>
          </w:tcPr>
          <w:p w14:paraId="7AB3714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w:t>
            </w:r>
          </w:p>
        </w:tc>
        <w:tc>
          <w:tcPr>
            <w:tcW w:w="1139" w:type="dxa"/>
            <w:vAlign w:val="center"/>
            <w:hideMark/>
          </w:tcPr>
          <w:p w14:paraId="510E4521"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Madhya Pradesh</w:t>
            </w:r>
          </w:p>
        </w:tc>
        <w:tc>
          <w:tcPr>
            <w:tcW w:w="1068" w:type="dxa"/>
            <w:vAlign w:val="center"/>
            <w:hideMark/>
          </w:tcPr>
          <w:p w14:paraId="2B7ED8A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19.32</w:t>
            </w:r>
          </w:p>
        </w:tc>
        <w:tc>
          <w:tcPr>
            <w:tcW w:w="1058" w:type="dxa"/>
            <w:vAlign w:val="center"/>
            <w:hideMark/>
          </w:tcPr>
          <w:p w14:paraId="3C4989E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418.20</w:t>
            </w:r>
          </w:p>
        </w:tc>
        <w:tc>
          <w:tcPr>
            <w:tcW w:w="660" w:type="dxa"/>
            <w:vAlign w:val="center"/>
            <w:hideMark/>
          </w:tcPr>
          <w:p w14:paraId="6C3D4973"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438</w:t>
            </w:r>
          </w:p>
        </w:tc>
        <w:tc>
          <w:tcPr>
            <w:tcW w:w="616" w:type="dxa"/>
            <w:vAlign w:val="center"/>
            <w:hideMark/>
          </w:tcPr>
          <w:p w14:paraId="0637A06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2190</w:t>
            </w:r>
          </w:p>
        </w:tc>
      </w:tr>
      <w:tr w:rsidR="00C60607" w:rsidRPr="00DC5111" w14:paraId="785D2FF6" w14:textId="77777777" w:rsidTr="00C60607">
        <w:trPr>
          <w:trHeight w:val="20"/>
          <w:jc w:val="center"/>
        </w:trPr>
        <w:tc>
          <w:tcPr>
            <w:tcW w:w="416" w:type="dxa"/>
            <w:vAlign w:val="center"/>
            <w:hideMark/>
          </w:tcPr>
          <w:p w14:paraId="61B3728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w:t>
            </w:r>
          </w:p>
        </w:tc>
        <w:tc>
          <w:tcPr>
            <w:tcW w:w="1139" w:type="dxa"/>
            <w:vAlign w:val="center"/>
            <w:hideMark/>
          </w:tcPr>
          <w:p w14:paraId="3C3CD04D"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Maharashtra</w:t>
            </w:r>
          </w:p>
        </w:tc>
        <w:tc>
          <w:tcPr>
            <w:tcW w:w="1068" w:type="dxa"/>
            <w:vAlign w:val="center"/>
            <w:hideMark/>
          </w:tcPr>
          <w:p w14:paraId="040FE31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201.60</w:t>
            </w:r>
          </w:p>
        </w:tc>
        <w:tc>
          <w:tcPr>
            <w:tcW w:w="1058" w:type="dxa"/>
            <w:vAlign w:val="center"/>
            <w:hideMark/>
          </w:tcPr>
          <w:p w14:paraId="7088411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352.95</w:t>
            </w:r>
          </w:p>
        </w:tc>
        <w:tc>
          <w:tcPr>
            <w:tcW w:w="660" w:type="dxa"/>
            <w:vAlign w:val="center"/>
            <w:hideMark/>
          </w:tcPr>
          <w:p w14:paraId="36354D9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555</w:t>
            </w:r>
          </w:p>
        </w:tc>
        <w:tc>
          <w:tcPr>
            <w:tcW w:w="616" w:type="dxa"/>
            <w:vAlign w:val="center"/>
            <w:hideMark/>
          </w:tcPr>
          <w:p w14:paraId="35EDA19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2775</w:t>
            </w:r>
          </w:p>
        </w:tc>
      </w:tr>
      <w:tr w:rsidR="00C60607" w:rsidRPr="00DC5111" w14:paraId="2EA9630E" w14:textId="77777777" w:rsidTr="00C60607">
        <w:trPr>
          <w:trHeight w:val="20"/>
          <w:jc w:val="center"/>
        </w:trPr>
        <w:tc>
          <w:tcPr>
            <w:tcW w:w="416" w:type="dxa"/>
            <w:vAlign w:val="center"/>
            <w:hideMark/>
          </w:tcPr>
          <w:p w14:paraId="2A05F83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14.</w:t>
            </w:r>
          </w:p>
        </w:tc>
        <w:tc>
          <w:tcPr>
            <w:tcW w:w="1139" w:type="dxa"/>
            <w:vAlign w:val="center"/>
            <w:hideMark/>
          </w:tcPr>
          <w:p w14:paraId="42101598"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Manipur</w:t>
            </w:r>
          </w:p>
        </w:tc>
        <w:tc>
          <w:tcPr>
            <w:tcW w:w="1068" w:type="dxa"/>
            <w:vAlign w:val="center"/>
            <w:hideMark/>
          </w:tcPr>
          <w:p w14:paraId="7E194A3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5.04</w:t>
            </w:r>
          </w:p>
        </w:tc>
        <w:tc>
          <w:tcPr>
            <w:tcW w:w="1058" w:type="dxa"/>
            <w:vAlign w:val="center"/>
            <w:hideMark/>
          </w:tcPr>
          <w:p w14:paraId="2B415D0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36.35</w:t>
            </w:r>
          </w:p>
        </w:tc>
        <w:tc>
          <w:tcPr>
            <w:tcW w:w="660" w:type="dxa"/>
            <w:vAlign w:val="center"/>
            <w:hideMark/>
          </w:tcPr>
          <w:p w14:paraId="059A93D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41</w:t>
            </w:r>
          </w:p>
        </w:tc>
        <w:tc>
          <w:tcPr>
            <w:tcW w:w="616" w:type="dxa"/>
            <w:vAlign w:val="center"/>
            <w:hideMark/>
          </w:tcPr>
          <w:p w14:paraId="162543D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205</w:t>
            </w:r>
          </w:p>
        </w:tc>
      </w:tr>
      <w:tr w:rsidR="00C60607" w:rsidRPr="00DC5111" w14:paraId="1B883894" w14:textId="77777777" w:rsidTr="00C60607">
        <w:trPr>
          <w:trHeight w:val="20"/>
          <w:jc w:val="center"/>
        </w:trPr>
        <w:tc>
          <w:tcPr>
            <w:tcW w:w="416" w:type="dxa"/>
            <w:vAlign w:val="center"/>
            <w:hideMark/>
          </w:tcPr>
          <w:p w14:paraId="3349EDE6"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15.</w:t>
            </w:r>
          </w:p>
        </w:tc>
        <w:tc>
          <w:tcPr>
            <w:tcW w:w="1139" w:type="dxa"/>
            <w:vAlign w:val="center"/>
            <w:hideMark/>
          </w:tcPr>
          <w:p w14:paraId="363853EB"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Meghalaya</w:t>
            </w:r>
          </w:p>
        </w:tc>
        <w:tc>
          <w:tcPr>
            <w:tcW w:w="1068" w:type="dxa"/>
            <w:vAlign w:val="center"/>
            <w:hideMark/>
          </w:tcPr>
          <w:p w14:paraId="29F81D2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1.35</w:t>
            </w:r>
          </w:p>
        </w:tc>
        <w:tc>
          <w:tcPr>
            <w:tcW w:w="1058" w:type="dxa"/>
            <w:vAlign w:val="center"/>
            <w:hideMark/>
          </w:tcPr>
          <w:p w14:paraId="2E838FF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127.90</w:t>
            </w:r>
          </w:p>
        </w:tc>
        <w:tc>
          <w:tcPr>
            <w:tcW w:w="660" w:type="dxa"/>
            <w:vAlign w:val="center"/>
            <w:hideMark/>
          </w:tcPr>
          <w:p w14:paraId="08373AB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129</w:t>
            </w:r>
          </w:p>
        </w:tc>
        <w:tc>
          <w:tcPr>
            <w:tcW w:w="616" w:type="dxa"/>
            <w:vAlign w:val="center"/>
            <w:hideMark/>
          </w:tcPr>
          <w:p w14:paraId="49D56B7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645</w:t>
            </w:r>
          </w:p>
        </w:tc>
      </w:tr>
      <w:tr w:rsidR="00C60607" w:rsidRPr="00DC5111" w14:paraId="1E20897F" w14:textId="77777777" w:rsidTr="00C60607">
        <w:trPr>
          <w:trHeight w:val="20"/>
          <w:jc w:val="center"/>
        </w:trPr>
        <w:tc>
          <w:tcPr>
            <w:tcW w:w="416" w:type="dxa"/>
            <w:vAlign w:val="center"/>
            <w:hideMark/>
          </w:tcPr>
          <w:p w14:paraId="53EF4DC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16.</w:t>
            </w:r>
          </w:p>
        </w:tc>
        <w:tc>
          <w:tcPr>
            <w:tcW w:w="1139" w:type="dxa"/>
            <w:vAlign w:val="center"/>
            <w:hideMark/>
          </w:tcPr>
          <w:p w14:paraId="1E876DC3"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Mizoram</w:t>
            </w:r>
          </w:p>
        </w:tc>
        <w:tc>
          <w:tcPr>
            <w:tcW w:w="1068" w:type="dxa"/>
            <w:vAlign w:val="center"/>
            <w:hideMark/>
          </w:tcPr>
          <w:p w14:paraId="4C8A9A9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0.36</w:t>
            </w:r>
          </w:p>
        </w:tc>
        <w:tc>
          <w:tcPr>
            <w:tcW w:w="1058" w:type="dxa"/>
            <w:vAlign w:val="center"/>
            <w:hideMark/>
          </w:tcPr>
          <w:p w14:paraId="7C59A15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18.40</w:t>
            </w:r>
          </w:p>
        </w:tc>
        <w:tc>
          <w:tcPr>
            <w:tcW w:w="660" w:type="dxa"/>
            <w:vAlign w:val="center"/>
            <w:hideMark/>
          </w:tcPr>
          <w:p w14:paraId="15907F6C"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19</w:t>
            </w:r>
          </w:p>
        </w:tc>
        <w:tc>
          <w:tcPr>
            <w:tcW w:w="616" w:type="dxa"/>
            <w:vAlign w:val="center"/>
            <w:hideMark/>
          </w:tcPr>
          <w:p w14:paraId="637517D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95</w:t>
            </w:r>
          </w:p>
        </w:tc>
      </w:tr>
      <w:tr w:rsidR="00C60607" w:rsidRPr="00DC5111" w14:paraId="458C26F6" w14:textId="77777777" w:rsidTr="00C60607">
        <w:trPr>
          <w:trHeight w:val="20"/>
          <w:jc w:val="center"/>
        </w:trPr>
        <w:tc>
          <w:tcPr>
            <w:tcW w:w="416" w:type="dxa"/>
            <w:vAlign w:val="center"/>
            <w:hideMark/>
          </w:tcPr>
          <w:p w14:paraId="6147805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17.</w:t>
            </w:r>
          </w:p>
        </w:tc>
        <w:tc>
          <w:tcPr>
            <w:tcW w:w="1139" w:type="dxa"/>
            <w:vAlign w:val="center"/>
            <w:hideMark/>
          </w:tcPr>
          <w:p w14:paraId="0F12593A"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Nagaland</w:t>
            </w:r>
          </w:p>
        </w:tc>
        <w:tc>
          <w:tcPr>
            <w:tcW w:w="1068" w:type="dxa"/>
            <w:vAlign w:val="center"/>
            <w:hideMark/>
          </w:tcPr>
          <w:p w14:paraId="4DF5C99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0.12</w:t>
            </w:r>
          </w:p>
        </w:tc>
        <w:tc>
          <w:tcPr>
            <w:tcW w:w="1058" w:type="dxa"/>
            <w:vAlign w:val="center"/>
            <w:hideMark/>
          </w:tcPr>
          <w:p w14:paraId="694325D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73.35</w:t>
            </w:r>
          </w:p>
        </w:tc>
        <w:tc>
          <w:tcPr>
            <w:tcW w:w="660" w:type="dxa"/>
            <w:vAlign w:val="center"/>
            <w:hideMark/>
          </w:tcPr>
          <w:p w14:paraId="50101C66"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74</w:t>
            </w:r>
          </w:p>
        </w:tc>
        <w:tc>
          <w:tcPr>
            <w:tcW w:w="616" w:type="dxa"/>
            <w:vAlign w:val="center"/>
            <w:hideMark/>
          </w:tcPr>
          <w:p w14:paraId="151E46B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370</w:t>
            </w:r>
          </w:p>
        </w:tc>
      </w:tr>
      <w:tr w:rsidR="00C60607" w:rsidRPr="00DC5111" w14:paraId="11BAC28F" w14:textId="77777777" w:rsidTr="00C60607">
        <w:trPr>
          <w:trHeight w:val="20"/>
          <w:jc w:val="center"/>
        </w:trPr>
        <w:tc>
          <w:tcPr>
            <w:tcW w:w="416" w:type="dxa"/>
            <w:vAlign w:val="center"/>
            <w:hideMark/>
          </w:tcPr>
          <w:p w14:paraId="2CBF799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18.</w:t>
            </w:r>
          </w:p>
        </w:tc>
        <w:tc>
          <w:tcPr>
            <w:tcW w:w="1139" w:type="dxa"/>
            <w:vAlign w:val="center"/>
            <w:hideMark/>
          </w:tcPr>
          <w:p w14:paraId="48A887F9"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Orissa</w:t>
            </w:r>
          </w:p>
        </w:tc>
        <w:tc>
          <w:tcPr>
            <w:tcW w:w="1068" w:type="dxa"/>
            <w:vAlign w:val="center"/>
            <w:hideMark/>
          </w:tcPr>
          <w:p w14:paraId="0475277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308.58</w:t>
            </w:r>
          </w:p>
        </w:tc>
        <w:tc>
          <w:tcPr>
            <w:tcW w:w="1058" w:type="dxa"/>
            <w:vAlign w:val="center"/>
            <w:hideMark/>
          </w:tcPr>
          <w:p w14:paraId="1D76AE3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1026.80</w:t>
            </w:r>
          </w:p>
        </w:tc>
        <w:tc>
          <w:tcPr>
            <w:tcW w:w="660" w:type="dxa"/>
            <w:vAlign w:val="center"/>
            <w:hideMark/>
          </w:tcPr>
          <w:p w14:paraId="6D05FBC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1335</w:t>
            </w:r>
          </w:p>
        </w:tc>
        <w:tc>
          <w:tcPr>
            <w:tcW w:w="616" w:type="dxa"/>
            <w:vAlign w:val="center"/>
            <w:hideMark/>
          </w:tcPr>
          <w:p w14:paraId="1998B093"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6675</w:t>
            </w:r>
          </w:p>
        </w:tc>
      </w:tr>
      <w:tr w:rsidR="00C60607" w:rsidRPr="00DC5111" w14:paraId="781B7E74" w14:textId="77777777" w:rsidTr="00C60607">
        <w:trPr>
          <w:trHeight w:val="20"/>
          <w:jc w:val="center"/>
        </w:trPr>
        <w:tc>
          <w:tcPr>
            <w:tcW w:w="416" w:type="dxa"/>
            <w:vAlign w:val="center"/>
            <w:hideMark/>
          </w:tcPr>
          <w:p w14:paraId="44C6A28B"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19.</w:t>
            </w:r>
          </w:p>
        </w:tc>
        <w:tc>
          <w:tcPr>
            <w:tcW w:w="1139" w:type="dxa"/>
            <w:vAlign w:val="center"/>
            <w:hideMark/>
          </w:tcPr>
          <w:p w14:paraId="135689FD"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Punjab</w:t>
            </w:r>
          </w:p>
        </w:tc>
        <w:tc>
          <w:tcPr>
            <w:tcW w:w="1068" w:type="dxa"/>
            <w:vAlign w:val="center"/>
            <w:hideMark/>
          </w:tcPr>
          <w:p w14:paraId="79F85A11"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146.64</w:t>
            </w:r>
          </w:p>
        </w:tc>
        <w:tc>
          <w:tcPr>
            <w:tcW w:w="1058" w:type="dxa"/>
            <w:vAlign w:val="center"/>
            <w:hideMark/>
          </w:tcPr>
          <w:p w14:paraId="47A42FF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636.20</w:t>
            </w:r>
          </w:p>
        </w:tc>
        <w:tc>
          <w:tcPr>
            <w:tcW w:w="660" w:type="dxa"/>
            <w:vAlign w:val="center"/>
            <w:hideMark/>
          </w:tcPr>
          <w:p w14:paraId="00D1F9D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783</w:t>
            </w:r>
          </w:p>
        </w:tc>
        <w:tc>
          <w:tcPr>
            <w:tcW w:w="616" w:type="dxa"/>
            <w:vAlign w:val="center"/>
            <w:hideMark/>
          </w:tcPr>
          <w:p w14:paraId="126998E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3915</w:t>
            </w:r>
          </w:p>
        </w:tc>
      </w:tr>
      <w:tr w:rsidR="00C60607" w:rsidRPr="00DC5111" w14:paraId="354C5815" w14:textId="77777777" w:rsidTr="00C60607">
        <w:trPr>
          <w:trHeight w:val="20"/>
          <w:jc w:val="center"/>
        </w:trPr>
        <w:tc>
          <w:tcPr>
            <w:tcW w:w="416" w:type="dxa"/>
            <w:vAlign w:val="center"/>
            <w:hideMark/>
          </w:tcPr>
          <w:p w14:paraId="51CF17B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20.</w:t>
            </w:r>
          </w:p>
        </w:tc>
        <w:tc>
          <w:tcPr>
            <w:tcW w:w="1139" w:type="dxa"/>
            <w:vAlign w:val="center"/>
            <w:hideMark/>
          </w:tcPr>
          <w:p w14:paraId="10CED654"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Rajasthan</w:t>
            </w:r>
          </w:p>
        </w:tc>
        <w:tc>
          <w:tcPr>
            <w:tcW w:w="1068" w:type="dxa"/>
            <w:vAlign w:val="center"/>
            <w:hideMark/>
          </w:tcPr>
          <w:p w14:paraId="6A01031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238.77</w:t>
            </w:r>
          </w:p>
        </w:tc>
        <w:tc>
          <w:tcPr>
            <w:tcW w:w="1058" w:type="dxa"/>
            <w:vAlign w:val="center"/>
            <w:hideMark/>
          </w:tcPr>
          <w:p w14:paraId="43E1955A"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212.65</w:t>
            </w:r>
          </w:p>
        </w:tc>
        <w:tc>
          <w:tcPr>
            <w:tcW w:w="660" w:type="dxa"/>
            <w:vAlign w:val="center"/>
            <w:hideMark/>
          </w:tcPr>
          <w:p w14:paraId="402B766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451</w:t>
            </w:r>
          </w:p>
        </w:tc>
        <w:tc>
          <w:tcPr>
            <w:tcW w:w="616" w:type="dxa"/>
            <w:vAlign w:val="center"/>
            <w:hideMark/>
          </w:tcPr>
          <w:p w14:paraId="5E6A7661"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2255</w:t>
            </w:r>
          </w:p>
        </w:tc>
      </w:tr>
      <w:tr w:rsidR="00C60607" w:rsidRPr="00DC5111" w14:paraId="5F9FE338" w14:textId="77777777" w:rsidTr="00C60607">
        <w:trPr>
          <w:trHeight w:val="20"/>
          <w:jc w:val="center"/>
        </w:trPr>
        <w:tc>
          <w:tcPr>
            <w:tcW w:w="416" w:type="dxa"/>
            <w:vAlign w:val="center"/>
            <w:hideMark/>
          </w:tcPr>
          <w:p w14:paraId="4CDBE63C"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21.</w:t>
            </w:r>
          </w:p>
        </w:tc>
        <w:tc>
          <w:tcPr>
            <w:tcW w:w="1139" w:type="dxa"/>
            <w:vAlign w:val="center"/>
            <w:hideMark/>
          </w:tcPr>
          <w:p w14:paraId="2B1C6603"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Sikkim</w:t>
            </w:r>
          </w:p>
        </w:tc>
        <w:tc>
          <w:tcPr>
            <w:tcW w:w="1068" w:type="dxa"/>
            <w:vAlign w:val="center"/>
            <w:hideMark/>
          </w:tcPr>
          <w:p w14:paraId="7B824F3D"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12.84</w:t>
            </w:r>
          </w:p>
        </w:tc>
        <w:tc>
          <w:tcPr>
            <w:tcW w:w="1058" w:type="dxa"/>
            <w:vAlign w:val="center"/>
            <w:hideMark/>
          </w:tcPr>
          <w:p w14:paraId="5126C24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24.05</w:t>
            </w:r>
          </w:p>
        </w:tc>
        <w:tc>
          <w:tcPr>
            <w:tcW w:w="660" w:type="dxa"/>
            <w:vAlign w:val="center"/>
            <w:hideMark/>
          </w:tcPr>
          <w:p w14:paraId="56F920F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37</w:t>
            </w:r>
          </w:p>
        </w:tc>
        <w:tc>
          <w:tcPr>
            <w:tcW w:w="616" w:type="dxa"/>
            <w:vAlign w:val="center"/>
            <w:hideMark/>
          </w:tcPr>
          <w:p w14:paraId="2E71D25C"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185</w:t>
            </w:r>
          </w:p>
        </w:tc>
      </w:tr>
      <w:tr w:rsidR="00C60607" w:rsidRPr="00DC5111" w14:paraId="1E91CD35" w14:textId="77777777" w:rsidTr="00C60607">
        <w:trPr>
          <w:trHeight w:val="20"/>
          <w:jc w:val="center"/>
        </w:trPr>
        <w:tc>
          <w:tcPr>
            <w:tcW w:w="416" w:type="dxa"/>
            <w:vAlign w:val="center"/>
            <w:hideMark/>
          </w:tcPr>
          <w:p w14:paraId="13DCC65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22.</w:t>
            </w:r>
          </w:p>
        </w:tc>
        <w:tc>
          <w:tcPr>
            <w:tcW w:w="1139" w:type="dxa"/>
            <w:vAlign w:val="center"/>
            <w:hideMark/>
          </w:tcPr>
          <w:p w14:paraId="17B1E022"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Tamil Nadu</w:t>
            </w:r>
          </w:p>
        </w:tc>
        <w:tc>
          <w:tcPr>
            <w:tcW w:w="1068" w:type="dxa"/>
            <w:vAlign w:val="center"/>
            <w:hideMark/>
          </w:tcPr>
          <w:p w14:paraId="1DF03ABE"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50.31</w:t>
            </w:r>
          </w:p>
        </w:tc>
        <w:tc>
          <w:tcPr>
            <w:tcW w:w="1058" w:type="dxa"/>
            <w:vAlign w:val="center"/>
            <w:hideMark/>
          </w:tcPr>
          <w:p w14:paraId="240A3BF4"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1306.50</w:t>
            </w:r>
          </w:p>
        </w:tc>
        <w:tc>
          <w:tcPr>
            <w:tcW w:w="660" w:type="dxa"/>
            <w:vAlign w:val="center"/>
            <w:hideMark/>
          </w:tcPr>
          <w:p w14:paraId="37AACA9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1357</w:t>
            </w:r>
          </w:p>
        </w:tc>
        <w:tc>
          <w:tcPr>
            <w:tcW w:w="616" w:type="dxa"/>
            <w:vAlign w:val="center"/>
            <w:hideMark/>
          </w:tcPr>
          <w:p w14:paraId="2E2A0F18"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6785</w:t>
            </w:r>
          </w:p>
        </w:tc>
      </w:tr>
      <w:tr w:rsidR="00C60607" w:rsidRPr="00DC5111" w14:paraId="45589B21" w14:textId="77777777" w:rsidTr="00C60607">
        <w:trPr>
          <w:trHeight w:val="20"/>
          <w:jc w:val="center"/>
        </w:trPr>
        <w:tc>
          <w:tcPr>
            <w:tcW w:w="416" w:type="dxa"/>
            <w:vAlign w:val="center"/>
            <w:hideMark/>
          </w:tcPr>
          <w:p w14:paraId="5A7A3AA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23.</w:t>
            </w:r>
          </w:p>
        </w:tc>
        <w:tc>
          <w:tcPr>
            <w:tcW w:w="1139" w:type="dxa"/>
            <w:vAlign w:val="center"/>
            <w:hideMark/>
          </w:tcPr>
          <w:p w14:paraId="1E28EEB0"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Tripura</w:t>
            </w:r>
          </w:p>
        </w:tc>
        <w:tc>
          <w:tcPr>
            <w:tcW w:w="1068" w:type="dxa"/>
            <w:vAlign w:val="center"/>
            <w:hideMark/>
          </w:tcPr>
          <w:p w14:paraId="23599D7F"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2.31</w:t>
            </w:r>
          </w:p>
        </w:tc>
        <w:tc>
          <w:tcPr>
            <w:tcW w:w="1058" w:type="dxa"/>
            <w:vAlign w:val="center"/>
            <w:hideMark/>
          </w:tcPr>
          <w:p w14:paraId="3FFBD685"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105.70</w:t>
            </w:r>
          </w:p>
        </w:tc>
        <w:tc>
          <w:tcPr>
            <w:tcW w:w="660" w:type="dxa"/>
            <w:vAlign w:val="center"/>
            <w:hideMark/>
          </w:tcPr>
          <w:p w14:paraId="3B618DCC"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108</w:t>
            </w:r>
          </w:p>
        </w:tc>
        <w:tc>
          <w:tcPr>
            <w:tcW w:w="616" w:type="dxa"/>
            <w:vAlign w:val="center"/>
            <w:hideMark/>
          </w:tcPr>
          <w:p w14:paraId="2889B103"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540</w:t>
            </w:r>
          </w:p>
        </w:tc>
      </w:tr>
      <w:tr w:rsidR="00C60607" w:rsidRPr="00DC5111" w14:paraId="2E50E612" w14:textId="77777777" w:rsidTr="00C60607">
        <w:trPr>
          <w:trHeight w:val="20"/>
          <w:jc w:val="center"/>
        </w:trPr>
        <w:tc>
          <w:tcPr>
            <w:tcW w:w="416" w:type="dxa"/>
            <w:vAlign w:val="center"/>
            <w:hideMark/>
          </w:tcPr>
          <w:p w14:paraId="73440F10"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24.</w:t>
            </w:r>
          </w:p>
        </w:tc>
        <w:tc>
          <w:tcPr>
            <w:tcW w:w="1139" w:type="dxa"/>
            <w:vAlign w:val="center"/>
            <w:hideMark/>
          </w:tcPr>
          <w:p w14:paraId="1502BCFF" w14:textId="77777777" w:rsidR="00B715DD" w:rsidRPr="00C5256D" w:rsidRDefault="00B715DD" w:rsidP="00DC5111">
            <w:pPr>
              <w:pStyle w:val="NoSpacing"/>
              <w:rPr>
                <w:rFonts w:ascii="Times New Roman" w:hAnsi="Times New Roman" w:cs="Times New Roman"/>
                <w:sz w:val="14"/>
                <w:szCs w:val="12"/>
              </w:rPr>
            </w:pPr>
            <w:r w:rsidRPr="00C5256D">
              <w:rPr>
                <w:rFonts w:ascii="Times New Roman" w:hAnsi="Times New Roman" w:cs="Times New Roman"/>
                <w:sz w:val="14"/>
                <w:szCs w:val="12"/>
              </w:rPr>
              <w:t>Uttar Pradesh</w:t>
            </w:r>
          </w:p>
        </w:tc>
        <w:tc>
          <w:tcPr>
            <w:tcW w:w="1068" w:type="dxa"/>
            <w:vAlign w:val="center"/>
            <w:hideMark/>
          </w:tcPr>
          <w:p w14:paraId="25193092"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549.24</w:t>
            </w:r>
          </w:p>
        </w:tc>
        <w:tc>
          <w:tcPr>
            <w:tcW w:w="1058" w:type="dxa"/>
            <w:vAlign w:val="center"/>
            <w:hideMark/>
          </w:tcPr>
          <w:p w14:paraId="526911C7"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3822.75</w:t>
            </w:r>
          </w:p>
        </w:tc>
        <w:tc>
          <w:tcPr>
            <w:tcW w:w="660" w:type="dxa"/>
            <w:vAlign w:val="center"/>
            <w:hideMark/>
          </w:tcPr>
          <w:p w14:paraId="23DBD6BD"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4372</w:t>
            </w:r>
          </w:p>
        </w:tc>
        <w:tc>
          <w:tcPr>
            <w:tcW w:w="616" w:type="dxa"/>
            <w:vAlign w:val="center"/>
            <w:hideMark/>
          </w:tcPr>
          <w:p w14:paraId="43C9C329" w14:textId="77777777" w:rsidR="00B715DD" w:rsidRPr="00DC5111" w:rsidRDefault="00B715DD" w:rsidP="00DC5111">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21860</w:t>
            </w:r>
          </w:p>
        </w:tc>
      </w:tr>
      <w:tr w:rsidR="00C60607" w:rsidRPr="00DC5111" w14:paraId="35D72593" w14:textId="77777777" w:rsidTr="00C60607">
        <w:trPr>
          <w:trHeight w:val="20"/>
          <w:jc w:val="center"/>
        </w:trPr>
        <w:tc>
          <w:tcPr>
            <w:tcW w:w="416" w:type="dxa"/>
            <w:vAlign w:val="center"/>
          </w:tcPr>
          <w:p w14:paraId="5D57A5CD" w14:textId="0986DF72"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25.</w:t>
            </w:r>
          </w:p>
        </w:tc>
        <w:tc>
          <w:tcPr>
            <w:tcW w:w="1139" w:type="dxa"/>
            <w:vAlign w:val="center"/>
          </w:tcPr>
          <w:p w14:paraId="06809154" w14:textId="1636D316" w:rsidR="00C60607" w:rsidRPr="00C5256D" w:rsidRDefault="00C60607" w:rsidP="00C60607">
            <w:pPr>
              <w:pStyle w:val="NoSpacing"/>
              <w:rPr>
                <w:rFonts w:ascii="Times New Roman" w:hAnsi="Times New Roman" w:cs="Times New Roman"/>
                <w:sz w:val="14"/>
                <w:szCs w:val="12"/>
              </w:rPr>
            </w:pPr>
            <w:r w:rsidRPr="00C5256D">
              <w:rPr>
                <w:rFonts w:ascii="Times New Roman" w:hAnsi="Times New Roman" w:cs="Times New Roman"/>
                <w:sz w:val="14"/>
                <w:szCs w:val="12"/>
              </w:rPr>
              <w:t>West Bengal</w:t>
            </w:r>
          </w:p>
        </w:tc>
        <w:tc>
          <w:tcPr>
            <w:tcW w:w="1068" w:type="dxa"/>
            <w:vAlign w:val="center"/>
          </w:tcPr>
          <w:p w14:paraId="0D53ED8E" w14:textId="504CAF16"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128.58</w:t>
            </w:r>
          </w:p>
        </w:tc>
        <w:tc>
          <w:tcPr>
            <w:tcW w:w="1058" w:type="dxa"/>
            <w:vAlign w:val="center"/>
          </w:tcPr>
          <w:p w14:paraId="67CD103D" w14:textId="28E5AC65"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418.95</w:t>
            </w:r>
          </w:p>
        </w:tc>
        <w:tc>
          <w:tcPr>
            <w:tcW w:w="660" w:type="dxa"/>
            <w:vAlign w:val="center"/>
          </w:tcPr>
          <w:p w14:paraId="40F4E215" w14:textId="0E136A86"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547</w:t>
            </w:r>
          </w:p>
        </w:tc>
        <w:tc>
          <w:tcPr>
            <w:tcW w:w="616" w:type="dxa"/>
            <w:vAlign w:val="center"/>
          </w:tcPr>
          <w:p w14:paraId="0D920504" w14:textId="19EA4344"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sz w:val="16"/>
                <w:szCs w:val="14"/>
              </w:rPr>
              <w:t>2735</w:t>
            </w:r>
          </w:p>
        </w:tc>
      </w:tr>
      <w:tr w:rsidR="00C60607" w:rsidRPr="00DC5111" w14:paraId="24D0451C" w14:textId="77777777" w:rsidTr="00C60607">
        <w:trPr>
          <w:trHeight w:val="20"/>
          <w:jc w:val="center"/>
        </w:trPr>
        <w:tc>
          <w:tcPr>
            <w:tcW w:w="416" w:type="dxa"/>
            <w:vAlign w:val="center"/>
          </w:tcPr>
          <w:p w14:paraId="5F45BC59" w14:textId="77777777" w:rsidR="00C60607" w:rsidRPr="00DC5111" w:rsidRDefault="00C60607" w:rsidP="00C60607">
            <w:pPr>
              <w:pStyle w:val="NoSpacing"/>
              <w:jc w:val="center"/>
              <w:rPr>
                <w:rFonts w:ascii="Times New Roman" w:hAnsi="Times New Roman" w:cs="Times New Roman"/>
                <w:sz w:val="16"/>
                <w:szCs w:val="14"/>
              </w:rPr>
            </w:pPr>
          </w:p>
        </w:tc>
        <w:tc>
          <w:tcPr>
            <w:tcW w:w="1139" w:type="dxa"/>
            <w:vAlign w:val="center"/>
          </w:tcPr>
          <w:p w14:paraId="1157823E" w14:textId="4EE94255" w:rsidR="00C60607" w:rsidRPr="00DC5111" w:rsidRDefault="00C60607" w:rsidP="00C60607">
            <w:pPr>
              <w:pStyle w:val="NoSpacing"/>
              <w:rPr>
                <w:rFonts w:ascii="Times New Roman" w:hAnsi="Times New Roman" w:cs="Times New Roman"/>
                <w:sz w:val="16"/>
                <w:szCs w:val="14"/>
              </w:rPr>
            </w:pPr>
            <w:r w:rsidRPr="00DC5111">
              <w:rPr>
                <w:rFonts w:ascii="Times New Roman" w:hAnsi="Times New Roman" w:cs="Times New Roman"/>
                <w:b/>
                <w:bCs/>
                <w:sz w:val="16"/>
                <w:szCs w:val="14"/>
              </w:rPr>
              <w:t>TOTAL</w:t>
            </w:r>
          </w:p>
        </w:tc>
        <w:tc>
          <w:tcPr>
            <w:tcW w:w="1068" w:type="dxa"/>
            <w:vAlign w:val="center"/>
          </w:tcPr>
          <w:p w14:paraId="652C4B2E" w14:textId="65A29B22"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b/>
                <w:bCs/>
                <w:sz w:val="16"/>
                <w:szCs w:val="14"/>
              </w:rPr>
              <w:t>2596.86</w:t>
            </w:r>
          </w:p>
        </w:tc>
        <w:tc>
          <w:tcPr>
            <w:tcW w:w="1058" w:type="dxa"/>
            <w:vAlign w:val="center"/>
          </w:tcPr>
          <w:p w14:paraId="6F4D0890" w14:textId="2A26428A"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b/>
                <w:bCs/>
                <w:sz w:val="16"/>
                <w:szCs w:val="14"/>
              </w:rPr>
              <w:t>14885.65</w:t>
            </w:r>
          </w:p>
        </w:tc>
        <w:tc>
          <w:tcPr>
            <w:tcW w:w="660" w:type="dxa"/>
            <w:vAlign w:val="center"/>
          </w:tcPr>
          <w:p w14:paraId="794E68E1" w14:textId="18D38426"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b/>
                <w:bCs/>
                <w:sz w:val="16"/>
                <w:szCs w:val="14"/>
              </w:rPr>
              <w:t>17483</w:t>
            </w:r>
          </w:p>
        </w:tc>
        <w:tc>
          <w:tcPr>
            <w:tcW w:w="616" w:type="dxa"/>
            <w:vAlign w:val="center"/>
          </w:tcPr>
          <w:p w14:paraId="501A8795" w14:textId="05815B62" w:rsidR="00C60607" w:rsidRPr="00DC5111" w:rsidRDefault="00C60607" w:rsidP="00C60607">
            <w:pPr>
              <w:pStyle w:val="NoSpacing"/>
              <w:jc w:val="center"/>
              <w:rPr>
                <w:rFonts w:ascii="Times New Roman" w:hAnsi="Times New Roman" w:cs="Times New Roman"/>
                <w:sz w:val="16"/>
                <w:szCs w:val="14"/>
              </w:rPr>
            </w:pPr>
            <w:r w:rsidRPr="00DC5111">
              <w:rPr>
                <w:rFonts w:ascii="Times New Roman" w:hAnsi="Times New Roman" w:cs="Times New Roman"/>
                <w:b/>
                <w:bCs/>
                <w:sz w:val="16"/>
                <w:szCs w:val="14"/>
              </w:rPr>
              <w:t>87415</w:t>
            </w:r>
          </w:p>
        </w:tc>
      </w:tr>
    </w:tbl>
    <w:p w14:paraId="7F7E5E95" w14:textId="60AB0CCD" w:rsidR="00B715DD" w:rsidRPr="00982953" w:rsidRDefault="00B715DD" w:rsidP="00C5256D">
      <w:pPr>
        <w:pStyle w:val="Heading2"/>
        <w:rPr>
          <w:sz w:val="20"/>
          <w:szCs w:val="20"/>
        </w:rPr>
      </w:pPr>
      <w:bookmarkStart w:id="53" w:name="_Toc221292982"/>
      <w:bookmarkStart w:id="54" w:name="_Toc222399476"/>
      <w:r w:rsidRPr="00982953">
        <w:rPr>
          <w:sz w:val="20"/>
          <w:szCs w:val="20"/>
        </w:rPr>
        <w:t>ANNEXURE III.3</w:t>
      </w:r>
      <w:r w:rsidR="00CE0E88" w:rsidRPr="00982953">
        <w:rPr>
          <w:sz w:val="20"/>
          <w:szCs w:val="20"/>
        </w:rPr>
        <w:br/>
      </w:r>
      <w:r w:rsidRPr="00982953">
        <w:rPr>
          <w:sz w:val="20"/>
          <w:szCs w:val="20"/>
        </w:rPr>
        <w:t xml:space="preserve">Investments </w:t>
      </w:r>
      <w:proofErr w:type="gramStart"/>
      <w:r w:rsidRPr="00982953">
        <w:rPr>
          <w:sz w:val="20"/>
          <w:szCs w:val="20"/>
        </w:rPr>
        <w:t>In</w:t>
      </w:r>
      <w:proofErr w:type="gramEnd"/>
      <w:r w:rsidRPr="00982953">
        <w:rPr>
          <w:sz w:val="20"/>
          <w:szCs w:val="20"/>
        </w:rPr>
        <w:t xml:space="preserve"> Co-operative Institutions </w:t>
      </w:r>
      <w:proofErr w:type="gramStart"/>
      <w:r w:rsidRPr="00982953">
        <w:rPr>
          <w:sz w:val="20"/>
          <w:szCs w:val="20"/>
        </w:rPr>
        <w:t>At</w:t>
      </w:r>
      <w:proofErr w:type="gramEnd"/>
      <w:r w:rsidRPr="00982953">
        <w:rPr>
          <w:sz w:val="20"/>
          <w:szCs w:val="20"/>
        </w:rPr>
        <w:t xml:space="preserve"> </w:t>
      </w:r>
      <w:proofErr w:type="gramStart"/>
      <w:r w:rsidRPr="00982953">
        <w:rPr>
          <w:sz w:val="20"/>
          <w:szCs w:val="20"/>
        </w:rPr>
        <w:t>The</w:t>
      </w:r>
      <w:proofErr w:type="gramEnd"/>
      <w:r w:rsidRPr="00982953">
        <w:rPr>
          <w:sz w:val="20"/>
          <w:szCs w:val="20"/>
        </w:rPr>
        <w:t xml:space="preserve"> End Of 1989-90 And Estimated Dividend In 1990-91 And 1990-95</w:t>
      </w:r>
      <w:bookmarkEnd w:id="53"/>
      <w:bookmarkEnd w:id="54"/>
    </w:p>
    <w:p w14:paraId="2DFF6AF9" w14:textId="7B629461" w:rsidR="00B715DD" w:rsidRPr="00C60607" w:rsidRDefault="00CE0E88" w:rsidP="00C60607">
      <w:pPr>
        <w:spacing w:after="0"/>
        <w:ind w:left="1440" w:firstLine="720"/>
        <w:jc w:val="center"/>
        <w:rPr>
          <w:rFonts w:ascii="Times New Roman" w:hAnsi="Times New Roman" w:cs="Times New Roman"/>
          <w:sz w:val="18"/>
          <w:szCs w:val="16"/>
        </w:rPr>
      </w:pPr>
      <w:r w:rsidRPr="00982953">
        <w:rPr>
          <w:rFonts w:ascii="Times New Roman" w:hAnsi="Times New Roman" w:cs="Times New Roman"/>
          <w:sz w:val="18"/>
          <w:szCs w:val="16"/>
        </w:rPr>
        <w:t>(Para 3.11)</w:t>
      </w:r>
      <w:r w:rsidR="00C60607">
        <w:rPr>
          <w:rFonts w:ascii="Times New Roman" w:hAnsi="Times New Roman" w:cs="Times New Roman"/>
          <w:sz w:val="18"/>
          <w:szCs w:val="16"/>
        </w:rPr>
        <w:t xml:space="preserve">                </w:t>
      </w:r>
      <w:proofErr w:type="gramStart"/>
      <w:r w:rsidR="00C60607" w:rsidRPr="002C15EA">
        <w:rPr>
          <w:rFonts w:ascii="Times New Roman" w:hAnsi="Times New Roman" w:cs="Times New Roman"/>
          <w:i/>
          <w:iCs/>
          <w:sz w:val="18"/>
          <w:szCs w:val="16"/>
        </w:rPr>
        <w:t xml:space="preserve">   (</w:t>
      </w:r>
      <w:proofErr w:type="gramEnd"/>
      <w:r w:rsidR="00C60607" w:rsidRPr="002C15EA">
        <w:rPr>
          <w:rFonts w:ascii="Times New Roman" w:hAnsi="Times New Roman" w:cs="Times New Roman"/>
          <w:i/>
          <w:iCs/>
          <w:sz w:val="18"/>
          <w:szCs w:val="16"/>
        </w:rPr>
        <w:t>Rs. Lakh)</w:t>
      </w:r>
    </w:p>
    <w:tbl>
      <w:tblPr>
        <w:tblStyle w:val="TableGrid"/>
        <w:tblW w:w="4673" w:type="dxa"/>
        <w:jc w:val="center"/>
        <w:tblLook w:val="04A0" w:firstRow="1" w:lastRow="0" w:firstColumn="1" w:lastColumn="0" w:noHBand="0" w:noVBand="1"/>
      </w:tblPr>
      <w:tblGrid>
        <w:gridCol w:w="420"/>
        <w:gridCol w:w="1679"/>
        <w:gridCol w:w="1043"/>
        <w:gridCol w:w="888"/>
        <w:gridCol w:w="643"/>
      </w:tblGrid>
      <w:tr w:rsidR="00C60607" w:rsidRPr="00CE0E88" w14:paraId="0882B0B3" w14:textId="77777777" w:rsidTr="00C60607">
        <w:trPr>
          <w:trHeight w:val="37"/>
          <w:jc w:val="center"/>
        </w:trPr>
        <w:tc>
          <w:tcPr>
            <w:tcW w:w="420" w:type="dxa"/>
            <w:vMerge w:val="restart"/>
            <w:vAlign w:val="center"/>
            <w:hideMark/>
          </w:tcPr>
          <w:p w14:paraId="3AB79B37" w14:textId="77777777" w:rsidR="00C60607" w:rsidRPr="00CE0E88" w:rsidRDefault="00C60607" w:rsidP="00CE0E88">
            <w:pPr>
              <w:pStyle w:val="NoSpacing"/>
              <w:jc w:val="center"/>
              <w:rPr>
                <w:rFonts w:ascii="Times New Roman" w:hAnsi="Times New Roman" w:cs="Times New Roman"/>
                <w:sz w:val="16"/>
                <w:szCs w:val="14"/>
              </w:rPr>
            </w:pPr>
          </w:p>
        </w:tc>
        <w:tc>
          <w:tcPr>
            <w:tcW w:w="1679" w:type="dxa"/>
            <w:vMerge w:val="restart"/>
            <w:vAlign w:val="center"/>
            <w:hideMark/>
          </w:tcPr>
          <w:p w14:paraId="30CA4EC5" w14:textId="77777777" w:rsidR="00C60607" w:rsidRPr="00CE0E88" w:rsidRDefault="00C60607" w:rsidP="00CE0E88">
            <w:pPr>
              <w:pStyle w:val="NoSpacing"/>
              <w:jc w:val="center"/>
              <w:rPr>
                <w:rFonts w:ascii="Times New Roman" w:hAnsi="Times New Roman" w:cs="Times New Roman"/>
                <w:b/>
                <w:bCs/>
                <w:sz w:val="16"/>
                <w:szCs w:val="14"/>
              </w:rPr>
            </w:pPr>
            <w:r w:rsidRPr="00CE0E88">
              <w:rPr>
                <w:rFonts w:ascii="Times New Roman" w:hAnsi="Times New Roman" w:cs="Times New Roman"/>
                <w:b/>
                <w:bCs/>
                <w:sz w:val="16"/>
                <w:szCs w:val="14"/>
              </w:rPr>
              <w:t>States</w:t>
            </w:r>
          </w:p>
        </w:tc>
        <w:tc>
          <w:tcPr>
            <w:tcW w:w="1043" w:type="dxa"/>
            <w:vMerge w:val="restart"/>
            <w:vAlign w:val="center"/>
            <w:hideMark/>
          </w:tcPr>
          <w:p w14:paraId="5C3CA179" w14:textId="77777777" w:rsidR="00C60607" w:rsidRPr="00CE0E88" w:rsidRDefault="00C60607" w:rsidP="00CE0E88">
            <w:pPr>
              <w:pStyle w:val="NoSpacing"/>
              <w:jc w:val="center"/>
              <w:rPr>
                <w:rFonts w:ascii="Times New Roman" w:hAnsi="Times New Roman" w:cs="Times New Roman"/>
                <w:b/>
                <w:bCs/>
                <w:sz w:val="16"/>
                <w:szCs w:val="14"/>
              </w:rPr>
            </w:pPr>
            <w:r w:rsidRPr="00CE0E88">
              <w:rPr>
                <w:rFonts w:ascii="Times New Roman" w:hAnsi="Times New Roman" w:cs="Times New Roman"/>
                <w:b/>
                <w:bCs/>
                <w:sz w:val="16"/>
                <w:szCs w:val="14"/>
              </w:rPr>
              <w:t>Total Investments</w:t>
            </w:r>
          </w:p>
        </w:tc>
        <w:tc>
          <w:tcPr>
            <w:tcW w:w="1531" w:type="dxa"/>
            <w:gridSpan w:val="2"/>
            <w:vAlign w:val="center"/>
            <w:hideMark/>
          </w:tcPr>
          <w:p w14:paraId="5EDABC9D" w14:textId="7FCCD95E" w:rsidR="00C60607" w:rsidRPr="00CE0E88" w:rsidRDefault="00C60607" w:rsidP="00CE0E88">
            <w:pPr>
              <w:pStyle w:val="NoSpacing"/>
              <w:jc w:val="center"/>
              <w:rPr>
                <w:rFonts w:ascii="Times New Roman" w:hAnsi="Times New Roman" w:cs="Times New Roman"/>
                <w:b/>
                <w:bCs/>
                <w:sz w:val="16"/>
                <w:szCs w:val="14"/>
              </w:rPr>
            </w:pPr>
            <w:r w:rsidRPr="00CE0E88">
              <w:rPr>
                <w:rFonts w:ascii="Times New Roman" w:hAnsi="Times New Roman" w:cs="Times New Roman"/>
                <w:b/>
                <w:bCs/>
                <w:sz w:val="16"/>
                <w:szCs w:val="14"/>
              </w:rPr>
              <w:t>Estimated Dividend</w:t>
            </w:r>
          </w:p>
        </w:tc>
      </w:tr>
      <w:tr w:rsidR="00C60607" w:rsidRPr="00CE0E88" w14:paraId="028E3200" w14:textId="77777777" w:rsidTr="00C60607">
        <w:trPr>
          <w:trHeight w:val="37"/>
          <w:jc w:val="center"/>
        </w:trPr>
        <w:tc>
          <w:tcPr>
            <w:tcW w:w="420" w:type="dxa"/>
            <w:vMerge/>
            <w:vAlign w:val="center"/>
            <w:hideMark/>
          </w:tcPr>
          <w:p w14:paraId="18C17874" w14:textId="77777777" w:rsidR="00C60607" w:rsidRPr="00CE0E88" w:rsidRDefault="00C60607" w:rsidP="00CE0E88">
            <w:pPr>
              <w:pStyle w:val="NoSpacing"/>
              <w:jc w:val="center"/>
              <w:rPr>
                <w:rFonts w:ascii="Times New Roman" w:hAnsi="Times New Roman" w:cs="Times New Roman"/>
                <w:sz w:val="16"/>
                <w:szCs w:val="14"/>
              </w:rPr>
            </w:pPr>
          </w:p>
        </w:tc>
        <w:tc>
          <w:tcPr>
            <w:tcW w:w="1679" w:type="dxa"/>
            <w:vMerge/>
            <w:vAlign w:val="center"/>
            <w:hideMark/>
          </w:tcPr>
          <w:p w14:paraId="5136C12C" w14:textId="77777777" w:rsidR="00C60607" w:rsidRPr="00CE0E88" w:rsidRDefault="00C60607" w:rsidP="00CE0E88">
            <w:pPr>
              <w:pStyle w:val="NoSpacing"/>
              <w:rPr>
                <w:rFonts w:ascii="Times New Roman" w:hAnsi="Times New Roman" w:cs="Times New Roman"/>
                <w:sz w:val="16"/>
                <w:szCs w:val="14"/>
              </w:rPr>
            </w:pPr>
          </w:p>
        </w:tc>
        <w:tc>
          <w:tcPr>
            <w:tcW w:w="1043" w:type="dxa"/>
            <w:vMerge/>
            <w:vAlign w:val="center"/>
            <w:hideMark/>
          </w:tcPr>
          <w:p w14:paraId="3C9D9651" w14:textId="77777777" w:rsidR="00C60607" w:rsidRPr="00CE0E88" w:rsidRDefault="00C60607" w:rsidP="00CE0E88">
            <w:pPr>
              <w:pStyle w:val="NoSpacing"/>
              <w:jc w:val="center"/>
              <w:rPr>
                <w:rFonts w:ascii="Times New Roman" w:hAnsi="Times New Roman" w:cs="Times New Roman"/>
                <w:sz w:val="16"/>
                <w:szCs w:val="14"/>
              </w:rPr>
            </w:pPr>
          </w:p>
        </w:tc>
        <w:tc>
          <w:tcPr>
            <w:tcW w:w="888" w:type="dxa"/>
            <w:vAlign w:val="center"/>
            <w:hideMark/>
          </w:tcPr>
          <w:p w14:paraId="049C7965" w14:textId="77777777" w:rsidR="00C60607" w:rsidRPr="00CE0E88" w:rsidRDefault="00C60607" w:rsidP="00CE0E88">
            <w:pPr>
              <w:pStyle w:val="NoSpacing"/>
              <w:jc w:val="center"/>
              <w:rPr>
                <w:rFonts w:ascii="Times New Roman" w:hAnsi="Times New Roman" w:cs="Times New Roman"/>
                <w:sz w:val="16"/>
                <w:szCs w:val="14"/>
              </w:rPr>
            </w:pPr>
            <w:r w:rsidRPr="00CE0E88">
              <w:rPr>
                <w:rFonts w:ascii="Times New Roman" w:hAnsi="Times New Roman" w:cs="Times New Roman"/>
                <w:b/>
                <w:bCs/>
                <w:sz w:val="16"/>
                <w:szCs w:val="14"/>
              </w:rPr>
              <w:t>(1990-91)</w:t>
            </w:r>
          </w:p>
        </w:tc>
        <w:tc>
          <w:tcPr>
            <w:tcW w:w="643" w:type="dxa"/>
            <w:vAlign w:val="center"/>
            <w:hideMark/>
          </w:tcPr>
          <w:p w14:paraId="01E9D49D" w14:textId="77777777" w:rsidR="00C60607" w:rsidRPr="00CE0E88" w:rsidRDefault="00C60607" w:rsidP="00CE0E88">
            <w:pPr>
              <w:pStyle w:val="NoSpacing"/>
              <w:jc w:val="center"/>
              <w:rPr>
                <w:rFonts w:ascii="Times New Roman" w:hAnsi="Times New Roman" w:cs="Times New Roman"/>
                <w:sz w:val="16"/>
                <w:szCs w:val="14"/>
              </w:rPr>
            </w:pPr>
            <w:r w:rsidRPr="00CE0E88">
              <w:rPr>
                <w:rFonts w:ascii="Times New Roman" w:hAnsi="Times New Roman" w:cs="Times New Roman"/>
                <w:b/>
                <w:bCs/>
                <w:sz w:val="16"/>
                <w:szCs w:val="14"/>
              </w:rPr>
              <w:t>(1990-95)</w:t>
            </w:r>
          </w:p>
        </w:tc>
      </w:tr>
      <w:tr w:rsidR="00B715DD" w:rsidRPr="00CE0E88" w14:paraId="1BE12308" w14:textId="77777777" w:rsidTr="00C60607">
        <w:trPr>
          <w:trHeight w:val="37"/>
          <w:jc w:val="center"/>
        </w:trPr>
        <w:tc>
          <w:tcPr>
            <w:tcW w:w="420" w:type="dxa"/>
            <w:vAlign w:val="center"/>
            <w:hideMark/>
          </w:tcPr>
          <w:p w14:paraId="2420EED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w:t>
            </w:r>
          </w:p>
        </w:tc>
        <w:tc>
          <w:tcPr>
            <w:tcW w:w="1679" w:type="dxa"/>
            <w:vAlign w:val="center"/>
            <w:hideMark/>
          </w:tcPr>
          <w:p w14:paraId="1E785BFD"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Andhra Pradesh</w:t>
            </w:r>
          </w:p>
        </w:tc>
        <w:tc>
          <w:tcPr>
            <w:tcW w:w="1043" w:type="dxa"/>
            <w:vAlign w:val="center"/>
            <w:hideMark/>
          </w:tcPr>
          <w:p w14:paraId="0A6DC497"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34693</w:t>
            </w:r>
          </w:p>
        </w:tc>
        <w:tc>
          <w:tcPr>
            <w:tcW w:w="888" w:type="dxa"/>
            <w:vAlign w:val="center"/>
            <w:hideMark/>
          </w:tcPr>
          <w:p w14:paraId="301B99DE"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816</w:t>
            </w:r>
          </w:p>
        </w:tc>
        <w:tc>
          <w:tcPr>
            <w:tcW w:w="643" w:type="dxa"/>
            <w:vAlign w:val="center"/>
            <w:hideMark/>
          </w:tcPr>
          <w:p w14:paraId="2DEA984A"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4080</w:t>
            </w:r>
          </w:p>
        </w:tc>
      </w:tr>
      <w:tr w:rsidR="00B715DD" w:rsidRPr="00CE0E88" w14:paraId="5FDA4692" w14:textId="77777777" w:rsidTr="00C60607">
        <w:trPr>
          <w:trHeight w:val="37"/>
          <w:jc w:val="center"/>
        </w:trPr>
        <w:tc>
          <w:tcPr>
            <w:tcW w:w="420" w:type="dxa"/>
            <w:vAlign w:val="center"/>
            <w:hideMark/>
          </w:tcPr>
          <w:p w14:paraId="27099CB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w:t>
            </w:r>
          </w:p>
        </w:tc>
        <w:tc>
          <w:tcPr>
            <w:tcW w:w="1679" w:type="dxa"/>
            <w:vAlign w:val="center"/>
            <w:hideMark/>
          </w:tcPr>
          <w:p w14:paraId="36CDAB70"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Arunachal Pradesh</w:t>
            </w:r>
          </w:p>
        </w:tc>
        <w:tc>
          <w:tcPr>
            <w:tcW w:w="1043" w:type="dxa"/>
            <w:vAlign w:val="center"/>
            <w:hideMark/>
          </w:tcPr>
          <w:p w14:paraId="0B36BFC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229</w:t>
            </w:r>
          </w:p>
        </w:tc>
        <w:tc>
          <w:tcPr>
            <w:tcW w:w="888" w:type="dxa"/>
            <w:vAlign w:val="center"/>
            <w:hideMark/>
          </w:tcPr>
          <w:p w14:paraId="4E690CB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5</w:t>
            </w:r>
          </w:p>
        </w:tc>
        <w:tc>
          <w:tcPr>
            <w:tcW w:w="643" w:type="dxa"/>
            <w:vAlign w:val="center"/>
            <w:hideMark/>
          </w:tcPr>
          <w:p w14:paraId="2F18A76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25</w:t>
            </w:r>
          </w:p>
        </w:tc>
      </w:tr>
      <w:tr w:rsidR="00B715DD" w:rsidRPr="00CE0E88" w14:paraId="77109CA8" w14:textId="77777777" w:rsidTr="00C60607">
        <w:trPr>
          <w:trHeight w:val="37"/>
          <w:jc w:val="center"/>
        </w:trPr>
        <w:tc>
          <w:tcPr>
            <w:tcW w:w="420" w:type="dxa"/>
            <w:vAlign w:val="center"/>
            <w:hideMark/>
          </w:tcPr>
          <w:p w14:paraId="53D2456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w:t>
            </w:r>
          </w:p>
        </w:tc>
        <w:tc>
          <w:tcPr>
            <w:tcW w:w="1679" w:type="dxa"/>
            <w:vAlign w:val="center"/>
            <w:hideMark/>
          </w:tcPr>
          <w:p w14:paraId="44BE4023"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Assam</w:t>
            </w:r>
          </w:p>
        </w:tc>
        <w:tc>
          <w:tcPr>
            <w:tcW w:w="1043" w:type="dxa"/>
            <w:vAlign w:val="center"/>
            <w:hideMark/>
          </w:tcPr>
          <w:p w14:paraId="51AF5AE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5454</w:t>
            </w:r>
          </w:p>
        </w:tc>
        <w:tc>
          <w:tcPr>
            <w:tcW w:w="888" w:type="dxa"/>
            <w:vAlign w:val="center"/>
            <w:hideMark/>
          </w:tcPr>
          <w:p w14:paraId="4F3E2D4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184</w:t>
            </w:r>
          </w:p>
        </w:tc>
        <w:tc>
          <w:tcPr>
            <w:tcW w:w="643" w:type="dxa"/>
            <w:vAlign w:val="center"/>
            <w:hideMark/>
          </w:tcPr>
          <w:p w14:paraId="1F5ABCFB"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920</w:t>
            </w:r>
          </w:p>
        </w:tc>
      </w:tr>
      <w:tr w:rsidR="00B715DD" w:rsidRPr="00CE0E88" w14:paraId="68CA537C" w14:textId="77777777" w:rsidTr="00C60607">
        <w:trPr>
          <w:trHeight w:val="37"/>
          <w:jc w:val="center"/>
        </w:trPr>
        <w:tc>
          <w:tcPr>
            <w:tcW w:w="420" w:type="dxa"/>
            <w:vAlign w:val="center"/>
            <w:hideMark/>
          </w:tcPr>
          <w:p w14:paraId="5356D111"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w:t>
            </w:r>
          </w:p>
        </w:tc>
        <w:tc>
          <w:tcPr>
            <w:tcW w:w="1679" w:type="dxa"/>
            <w:vAlign w:val="center"/>
            <w:hideMark/>
          </w:tcPr>
          <w:p w14:paraId="449F52B7"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Bihar</w:t>
            </w:r>
          </w:p>
        </w:tc>
        <w:tc>
          <w:tcPr>
            <w:tcW w:w="1043" w:type="dxa"/>
            <w:vAlign w:val="center"/>
            <w:hideMark/>
          </w:tcPr>
          <w:p w14:paraId="2F3512A5"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10751</w:t>
            </w:r>
          </w:p>
        </w:tc>
        <w:tc>
          <w:tcPr>
            <w:tcW w:w="888" w:type="dxa"/>
            <w:vAlign w:val="center"/>
            <w:hideMark/>
          </w:tcPr>
          <w:p w14:paraId="2219077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276</w:t>
            </w:r>
          </w:p>
        </w:tc>
        <w:tc>
          <w:tcPr>
            <w:tcW w:w="643" w:type="dxa"/>
            <w:vAlign w:val="center"/>
            <w:hideMark/>
          </w:tcPr>
          <w:p w14:paraId="353FB9DE"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1380</w:t>
            </w:r>
          </w:p>
        </w:tc>
      </w:tr>
      <w:tr w:rsidR="00B715DD" w:rsidRPr="00CE0E88" w14:paraId="475BBF9A" w14:textId="77777777" w:rsidTr="00C60607">
        <w:trPr>
          <w:trHeight w:val="37"/>
          <w:jc w:val="center"/>
        </w:trPr>
        <w:tc>
          <w:tcPr>
            <w:tcW w:w="420" w:type="dxa"/>
            <w:vAlign w:val="center"/>
            <w:hideMark/>
          </w:tcPr>
          <w:p w14:paraId="34F1B415"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5.</w:t>
            </w:r>
          </w:p>
        </w:tc>
        <w:tc>
          <w:tcPr>
            <w:tcW w:w="1679" w:type="dxa"/>
            <w:vAlign w:val="center"/>
            <w:hideMark/>
          </w:tcPr>
          <w:p w14:paraId="37966305"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Goa</w:t>
            </w:r>
          </w:p>
        </w:tc>
        <w:tc>
          <w:tcPr>
            <w:tcW w:w="1043" w:type="dxa"/>
            <w:vAlign w:val="center"/>
            <w:hideMark/>
          </w:tcPr>
          <w:p w14:paraId="1F61850B"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1390</w:t>
            </w:r>
          </w:p>
        </w:tc>
        <w:tc>
          <w:tcPr>
            <w:tcW w:w="888" w:type="dxa"/>
            <w:vAlign w:val="center"/>
            <w:hideMark/>
          </w:tcPr>
          <w:p w14:paraId="7B39C2B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56</w:t>
            </w:r>
          </w:p>
        </w:tc>
        <w:tc>
          <w:tcPr>
            <w:tcW w:w="643" w:type="dxa"/>
            <w:vAlign w:val="center"/>
            <w:hideMark/>
          </w:tcPr>
          <w:p w14:paraId="71F10BB9"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280</w:t>
            </w:r>
          </w:p>
        </w:tc>
      </w:tr>
      <w:tr w:rsidR="00B715DD" w:rsidRPr="00CE0E88" w14:paraId="1458AC3D" w14:textId="77777777" w:rsidTr="00C60607">
        <w:trPr>
          <w:trHeight w:val="37"/>
          <w:jc w:val="center"/>
        </w:trPr>
        <w:tc>
          <w:tcPr>
            <w:tcW w:w="420" w:type="dxa"/>
            <w:vAlign w:val="center"/>
            <w:hideMark/>
          </w:tcPr>
          <w:p w14:paraId="25D2597A"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6.</w:t>
            </w:r>
          </w:p>
        </w:tc>
        <w:tc>
          <w:tcPr>
            <w:tcW w:w="1679" w:type="dxa"/>
            <w:vAlign w:val="center"/>
            <w:hideMark/>
          </w:tcPr>
          <w:p w14:paraId="11BF71B1"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Gujarat</w:t>
            </w:r>
          </w:p>
        </w:tc>
        <w:tc>
          <w:tcPr>
            <w:tcW w:w="1043" w:type="dxa"/>
            <w:vAlign w:val="center"/>
            <w:hideMark/>
          </w:tcPr>
          <w:p w14:paraId="78795B01"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8464</w:t>
            </w:r>
          </w:p>
        </w:tc>
        <w:tc>
          <w:tcPr>
            <w:tcW w:w="888" w:type="dxa"/>
            <w:vAlign w:val="center"/>
            <w:hideMark/>
          </w:tcPr>
          <w:p w14:paraId="62A52F0C"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347</w:t>
            </w:r>
          </w:p>
        </w:tc>
        <w:tc>
          <w:tcPr>
            <w:tcW w:w="643" w:type="dxa"/>
            <w:vAlign w:val="center"/>
            <w:hideMark/>
          </w:tcPr>
          <w:p w14:paraId="760AB899"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1735</w:t>
            </w:r>
          </w:p>
        </w:tc>
      </w:tr>
      <w:tr w:rsidR="00B715DD" w:rsidRPr="00CE0E88" w14:paraId="431083C7" w14:textId="77777777" w:rsidTr="00C60607">
        <w:trPr>
          <w:trHeight w:val="37"/>
          <w:jc w:val="center"/>
        </w:trPr>
        <w:tc>
          <w:tcPr>
            <w:tcW w:w="420" w:type="dxa"/>
            <w:vAlign w:val="center"/>
            <w:hideMark/>
          </w:tcPr>
          <w:p w14:paraId="28D44DF1"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7.</w:t>
            </w:r>
          </w:p>
        </w:tc>
        <w:tc>
          <w:tcPr>
            <w:tcW w:w="1679" w:type="dxa"/>
            <w:vAlign w:val="center"/>
            <w:hideMark/>
          </w:tcPr>
          <w:p w14:paraId="73BEEFB6"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Haryana</w:t>
            </w:r>
          </w:p>
        </w:tc>
        <w:tc>
          <w:tcPr>
            <w:tcW w:w="1043" w:type="dxa"/>
            <w:vAlign w:val="center"/>
            <w:hideMark/>
          </w:tcPr>
          <w:p w14:paraId="7EFF1F29"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8768</w:t>
            </w:r>
          </w:p>
        </w:tc>
        <w:tc>
          <w:tcPr>
            <w:tcW w:w="888" w:type="dxa"/>
            <w:vAlign w:val="center"/>
            <w:hideMark/>
          </w:tcPr>
          <w:p w14:paraId="1C5B667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346</w:t>
            </w:r>
          </w:p>
        </w:tc>
        <w:tc>
          <w:tcPr>
            <w:tcW w:w="643" w:type="dxa"/>
            <w:vAlign w:val="center"/>
            <w:hideMark/>
          </w:tcPr>
          <w:p w14:paraId="79761BAC"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1730</w:t>
            </w:r>
          </w:p>
        </w:tc>
      </w:tr>
      <w:tr w:rsidR="00B715DD" w:rsidRPr="00CE0E88" w14:paraId="54B9E1FF" w14:textId="77777777" w:rsidTr="00C60607">
        <w:trPr>
          <w:trHeight w:val="37"/>
          <w:jc w:val="center"/>
        </w:trPr>
        <w:tc>
          <w:tcPr>
            <w:tcW w:w="420" w:type="dxa"/>
            <w:vAlign w:val="center"/>
            <w:hideMark/>
          </w:tcPr>
          <w:p w14:paraId="6B9C518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w:t>
            </w:r>
          </w:p>
        </w:tc>
        <w:tc>
          <w:tcPr>
            <w:tcW w:w="1679" w:type="dxa"/>
            <w:vAlign w:val="center"/>
            <w:hideMark/>
          </w:tcPr>
          <w:p w14:paraId="66F02831"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Himachal Pradesh</w:t>
            </w:r>
          </w:p>
        </w:tc>
        <w:tc>
          <w:tcPr>
            <w:tcW w:w="1043" w:type="dxa"/>
            <w:vAlign w:val="center"/>
            <w:hideMark/>
          </w:tcPr>
          <w:p w14:paraId="2642C7BA"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2646</w:t>
            </w:r>
          </w:p>
        </w:tc>
        <w:tc>
          <w:tcPr>
            <w:tcW w:w="888" w:type="dxa"/>
            <w:vAlign w:val="center"/>
            <w:hideMark/>
          </w:tcPr>
          <w:p w14:paraId="6AF501E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78</w:t>
            </w:r>
          </w:p>
        </w:tc>
        <w:tc>
          <w:tcPr>
            <w:tcW w:w="643" w:type="dxa"/>
            <w:vAlign w:val="center"/>
            <w:hideMark/>
          </w:tcPr>
          <w:p w14:paraId="54582615"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390</w:t>
            </w:r>
          </w:p>
        </w:tc>
      </w:tr>
      <w:tr w:rsidR="00B715DD" w:rsidRPr="00CE0E88" w14:paraId="07C3937E" w14:textId="77777777" w:rsidTr="00C60607">
        <w:trPr>
          <w:trHeight w:val="37"/>
          <w:jc w:val="center"/>
        </w:trPr>
        <w:tc>
          <w:tcPr>
            <w:tcW w:w="420" w:type="dxa"/>
            <w:vAlign w:val="center"/>
            <w:hideMark/>
          </w:tcPr>
          <w:p w14:paraId="7A1FE2D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9.</w:t>
            </w:r>
          </w:p>
        </w:tc>
        <w:tc>
          <w:tcPr>
            <w:tcW w:w="1679" w:type="dxa"/>
            <w:vAlign w:val="center"/>
            <w:hideMark/>
          </w:tcPr>
          <w:p w14:paraId="344DCE23"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Jammu &amp; Kashmir</w:t>
            </w:r>
          </w:p>
        </w:tc>
        <w:tc>
          <w:tcPr>
            <w:tcW w:w="1043" w:type="dxa"/>
            <w:vAlign w:val="center"/>
            <w:hideMark/>
          </w:tcPr>
          <w:p w14:paraId="27E9D69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734</w:t>
            </w:r>
          </w:p>
        </w:tc>
        <w:tc>
          <w:tcPr>
            <w:tcW w:w="888" w:type="dxa"/>
            <w:vAlign w:val="center"/>
            <w:hideMark/>
          </w:tcPr>
          <w:p w14:paraId="50D9B8A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5</w:t>
            </w:r>
          </w:p>
        </w:tc>
        <w:tc>
          <w:tcPr>
            <w:tcW w:w="643" w:type="dxa"/>
            <w:vAlign w:val="center"/>
            <w:hideMark/>
          </w:tcPr>
          <w:p w14:paraId="4B8D535A"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25</w:t>
            </w:r>
          </w:p>
        </w:tc>
      </w:tr>
      <w:tr w:rsidR="00B715DD" w:rsidRPr="00CE0E88" w14:paraId="0D6F284B" w14:textId="77777777" w:rsidTr="00C60607">
        <w:trPr>
          <w:trHeight w:val="37"/>
          <w:jc w:val="center"/>
        </w:trPr>
        <w:tc>
          <w:tcPr>
            <w:tcW w:w="420" w:type="dxa"/>
            <w:vAlign w:val="center"/>
            <w:hideMark/>
          </w:tcPr>
          <w:p w14:paraId="74FDFC8C"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10.</w:t>
            </w:r>
          </w:p>
        </w:tc>
        <w:tc>
          <w:tcPr>
            <w:tcW w:w="1679" w:type="dxa"/>
            <w:vAlign w:val="center"/>
            <w:hideMark/>
          </w:tcPr>
          <w:p w14:paraId="4ECE7467"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Karnataka</w:t>
            </w:r>
          </w:p>
        </w:tc>
        <w:tc>
          <w:tcPr>
            <w:tcW w:w="1043" w:type="dxa"/>
            <w:vAlign w:val="center"/>
            <w:hideMark/>
          </w:tcPr>
          <w:p w14:paraId="615482D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17316</w:t>
            </w:r>
          </w:p>
        </w:tc>
        <w:tc>
          <w:tcPr>
            <w:tcW w:w="888" w:type="dxa"/>
            <w:vAlign w:val="center"/>
            <w:hideMark/>
          </w:tcPr>
          <w:p w14:paraId="022C2968"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742</w:t>
            </w:r>
          </w:p>
        </w:tc>
        <w:tc>
          <w:tcPr>
            <w:tcW w:w="643" w:type="dxa"/>
            <w:vAlign w:val="center"/>
            <w:hideMark/>
          </w:tcPr>
          <w:p w14:paraId="733D303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3710</w:t>
            </w:r>
          </w:p>
        </w:tc>
      </w:tr>
      <w:tr w:rsidR="00B715DD" w:rsidRPr="00CE0E88" w14:paraId="11BA704E" w14:textId="77777777" w:rsidTr="00C60607">
        <w:trPr>
          <w:trHeight w:val="37"/>
          <w:jc w:val="center"/>
        </w:trPr>
        <w:tc>
          <w:tcPr>
            <w:tcW w:w="420" w:type="dxa"/>
            <w:vAlign w:val="center"/>
            <w:hideMark/>
          </w:tcPr>
          <w:p w14:paraId="7C6970E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11.</w:t>
            </w:r>
          </w:p>
        </w:tc>
        <w:tc>
          <w:tcPr>
            <w:tcW w:w="1679" w:type="dxa"/>
            <w:vAlign w:val="center"/>
            <w:hideMark/>
          </w:tcPr>
          <w:p w14:paraId="741E3053"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Kerala</w:t>
            </w:r>
          </w:p>
        </w:tc>
        <w:tc>
          <w:tcPr>
            <w:tcW w:w="1043" w:type="dxa"/>
            <w:vAlign w:val="center"/>
            <w:hideMark/>
          </w:tcPr>
          <w:p w14:paraId="4530E6A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9809</w:t>
            </w:r>
          </w:p>
        </w:tc>
        <w:tc>
          <w:tcPr>
            <w:tcW w:w="888" w:type="dxa"/>
            <w:vAlign w:val="center"/>
            <w:hideMark/>
          </w:tcPr>
          <w:p w14:paraId="000D49F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369</w:t>
            </w:r>
          </w:p>
        </w:tc>
        <w:tc>
          <w:tcPr>
            <w:tcW w:w="643" w:type="dxa"/>
            <w:vAlign w:val="center"/>
            <w:hideMark/>
          </w:tcPr>
          <w:p w14:paraId="18DA820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1845</w:t>
            </w:r>
          </w:p>
        </w:tc>
      </w:tr>
      <w:tr w:rsidR="00B715DD" w:rsidRPr="00CE0E88" w14:paraId="2DD0F47E" w14:textId="77777777" w:rsidTr="00C60607">
        <w:trPr>
          <w:trHeight w:val="37"/>
          <w:jc w:val="center"/>
        </w:trPr>
        <w:tc>
          <w:tcPr>
            <w:tcW w:w="420" w:type="dxa"/>
            <w:vAlign w:val="center"/>
            <w:hideMark/>
          </w:tcPr>
          <w:p w14:paraId="38731ED8"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12.</w:t>
            </w:r>
          </w:p>
        </w:tc>
        <w:tc>
          <w:tcPr>
            <w:tcW w:w="1679" w:type="dxa"/>
            <w:vAlign w:val="center"/>
            <w:hideMark/>
          </w:tcPr>
          <w:p w14:paraId="33732931"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Madhya Pradesh</w:t>
            </w:r>
          </w:p>
        </w:tc>
        <w:tc>
          <w:tcPr>
            <w:tcW w:w="1043" w:type="dxa"/>
            <w:vAlign w:val="center"/>
            <w:hideMark/>
          </w:tcPr>
          <w:p w14:paraId="64001391"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17401</w:t>
            </w:r>
          </w:p>
        </w:tc>
        <w:tc>
          <w:tcPr>
            <w:tcW w:w="888" w:type="dxa"/>
            <w:vAlign w:val="center"/>
            <w:hideMark/>
          </w:tcPr>
          <w:p w14:paraId="71FB888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652</w:t>
            </w:r>
          </w:p>
        </w:tc>
        <w:tc>
          <w:tcPr>
            <w:tcW w:w="643" w:type="dxa"/>
            <w:vAlign w:val="center"/>
            <w:hideMark/>
          </w:tcPr>
          <w:p w14:paraId="59B2721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3260</w:t>
            </w:r>
          </w:p>
        </w:tc>
      </w:tr>
      <w:tr w:rsidR="00B715DD" w:rsidRPr="00CE0E88" w14:paraId="49730343" w14:textId="77777777" w:rsidTr="00C60607">
        <w:trPr>
          <w:trHeight w:val="37"/>
          <w:jc w:val="center"/>
        </w:trPr>
        <w:tc>
          <w:tcPr>
            <w:tcW w:w="420" w:type="dxa"/>
            <w:vAlign w:val="center"/>
            <w:hideMark/>
          </w:tcPr>
          <w:p w14:paraId="4440487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13.</w:t>
            </w:r>
          </w:p>
        </w:tc>
        <w:tc>
          <w:tcPr>
            <w:tcW w:w="1679" w:type="dxa"/>
            <w:vAlign w:val="center"/>
            <w:hideMark/>
          </w:tcPr>
          <w:p w14:paraId="7128A3AA"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Maharashtra</w:t>
            </w:r>
          </w:p>
        </w:tc>
        <w:tc>
          <w:tcPr>
            <w:tcW w:w="1043" w:type="dxa"/>
            <w:vAlign w:val="center"/>
            <w:hideMark/>
          </w:tcPr>
          <w:p w14:paraId="3F1BB7EE"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44869</w:t>
            </w:r>
          </w:p>
        </w:tc>
        <w:tc>
          <w:tcPr>
            <w:tcW w:w="888" w:type="dxa"/>
            <w:vAlign w:val="center"/>
            <w:hideMark/>
          </w:tcPr>
          <w:p w14:paraId="256BF30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1910</w:t>
            </w:r>
          </w:p>
        </w:tc>
        <w:tc>
          <w:tcPr>
            <w:tcW w:w="643" w:type="dxa"/>
            <w:vAlign w:val="center"/>
            <w:hideMark/>
          </w:tcPr>
          <w:p w14:paraId="395693DB"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9550</w:t>
            </w:r>
          </w:p>
        </w:tc>
      </w:tr>
      <w:tr w:rsidR="00B715DD" w:rsidRPr="00CE0E88" w14:paraId="0FA11502" w14:textId="77777777" w:rsidTr="00C60607">
        <w:trPr>
          <w:trHeight w:val="37"/>
          <w:jc w:val="center"/>
        </w:trPr>
        <w:tc>
          <w:tcPr>
            <w:tcW w:w="420" w:type="dxa"/>
            <w:vAlign w:val="center"/>
            <w:hideMark/>
          </w:tcPr>
          <w:p w14:paraId="5C50FED9"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14.</w:t>
            </w:r>
          </w:p>
        </w:tc>
        <w:tc>
          <w:tcPr>
            <w:tcW w:w="1679" w:type="dxa"/>
            <w:vAlign w:val="center"/>
            <w:hideMark/>
          </w:tcPr>
          <w:p w14:paraId="2A4DBF0C"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Manipur</w:t>
            </w:r>
          </w:p>
        </w:tc>
        <w:tc>
          <w:tcPr>
            <w:tcW w:w="1043" w:type="dxa"/>
            <w:vAlign w:val="center"/>
            <w:hideMark/>
          </w:tcPr>
          <w:p w14:paraId="03A6FEA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957</w:t>
            </w:r>
          </w:p>
        </w:tc>
        <w:tc>
          <w:tcPr>
            <w:tcW w:w="888" w:type="dxa"/>
            <w:vAlign w:val="center"/>
            <w:hideMark/>
          </w:tcPr>
          <w:p w14:paraId="38836D6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21</w:t>
            </w:r>
          </w:p>
        </w:tc>
        <w:tc>
          <w:tcPr>
            <w:tcW w:w="643" w:type="dxa"/>
            <w:vAlign w:val="center"/>
            <w:hideMark/>
          </w:tcPr>
          <w:p w14:paraId="250A1A5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105</w:t>
            </w:r>
          </w:p>
        </w:tc>
      </w:tr>
      <w:tr w:rsidR="00B715DD" w:rsidRPr="00CE0E88" w14:paraId="0A857B8D" w14:textId="77777777" w:rsidTr="00C60607">
        <w:trPr>
          <w:trHeight w:val="37"/>
          <w:jc w:val="center"/>
        </w:trPr>
        <w:tc>
          <w:tcPr>
            <w:tcW w:w="420" w:type="dxa"/>
            <w:vAlign w:val="center"/>
            <w:hideMark/>
          </w:tcPr>
          <w:p w14:paraId="31AFB74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15.</w:t>
            </w:r>
          </w:p>
        </w:tc>
        <w:tc>
          <w:tcPr>
            <w:tcW w:w="1679" w:type="dxa"/>
            <w:vAlign w:val="center"/>
            <w:hideMark/>
          </w:tcPr>
          <w:p w14:paraId="3D181369"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Meghalaya</w:t>
            </w:r>
          </w:p>
        </w:tc>
        <w:tc>
          <w:tcPr>
            <w:tcW w:w="1043" w:type="dxa"/>
            <w:vAlign w:val="center"/>
            <w:hideMark/>
          </w:tcPr>
          <w:p w14:paraId="5FAD887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1444</w:t>
            </w:r>
          </w:p>
        </w:tc>
        <w:tc>
          <w:tcPr>
            <w:tcW w:w="888" w:type="dxa"/>
            <w:vAlign w:val="center"/>
            <w:hideMark/>
          </w:tcPr>
          <w:p w14:paraId="1F586D6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49</w:t>
            </w:r>
          </w:p>
        </w:tc>
        <w:tc>
          <w:tcPr>
            <w:tcW w:w="643" w:type="dxa"/>
            <w:vAlign w:val="center"/>
            <w:hideMark/>
          </w:tcPr>
          <w:p w14:paraId="1E6B040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245</w:t>
            </w:r>
          </w:p>
        </w:tc>
      </w:tr>
      <w:tr w:rsidR="00B715DD" w:rsidRPr="00CE0E88" w14:paraId="0E3B3077" w14:textId="77777777" w:rsidTr="00C60607">
        <w:trPr>
          <w:trHeight w:val="37"/>
          <w:jc w:val="center"/>
        </w:trPr>
        <w:tc>
          <w:tcPr>
            <w:tcW w:w="420" w:type="dxa"/>
            <w:vAlign w:val="center"/>
            <w:hideMark/>
          </w:tcPr>
          <w:p w14:paraId="3DE173E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16.</w:t>
            </w:r>
          </w:p>
        </w:tc>
        <w:tc>
          <w:tcPr>
            <w:tcW w:w="1679" w:type="dxa"/>
            <w:vAlign w:val="center"/>
            <w:hideMark/>
          </w:tcPr>
          <w:p w14:paraId="0D27B6FE"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Mizoram</w:t>
            </w:r>
          </w:p>
        </w:tc>
        <w:tc>
          <w:tcPr>
            <w:tcW w:w="1043" w:type="dxa"/>
            <w:vAlign w:val="center"/>
            <w:hideMark/>
          </w:tcPr>
          <w:p w14:paraId="47A3D47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264</w:t>
            </w:r>
          </w:p>
        </w:tc>
        <w:tc>
          <w:tcPr>
            <w:tcW w:w="888" w:type="dxa"/>
            <w:vAlign w:val="center"/>
            <w:hideMark/>
          </w:tcPr>
          <w:p w14:paraId="731B8B4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9</w:t>
            </w:r>
          </w:p>
        </w:tc>
        <w:tc>
          <w:tcPr>
            <w:tcW w:w="643" w:type="dxa"/>
            <w:vAlign w:val="center"/>
            <w:hideMark/>
          </w:tcPr>
          <w:p w14:paraId="02BC55FB"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45</w:t>
            </w:r>
          </w:p>
        </w:tc>
      </w:tr>
      <w:tr w:rsidR="00B715DD" w:rsidRPr="00CE0E88" w14:paraId="6257758F" w14:textId="77777777" w:rsidTr="00C60607">
        <w:trPr>
          <w:trHeight w:val="37"/>
          <w:jc w:val="center"/>
        </w:trPr>
        <w:tc>
          <w:tcPr>
            <w:tcW w:w="420" w:type="dxa"/>
            <w:vAlign w:val="center"/>
            <w:hideMark/>
          </w:tcPr>
          <w:p w14:paraId="0FBEF42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17.</w:t>
            </w:r>
          </w:p>
        </w:tc>
        <w:tc>
          <w:tcPr>
            <w:tcW w:w="1679" w:type="dxa"/>
            <w:vAlign w:val="center"/>
            <w:hideMark/>
          </w:tcPr>
          <w:p w14:paraId="2BA8C852"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Nagaland</w:t>
            </w:r>
          </w:p>
        </w:tc>
        <w:tc>
          <w:tcPr>
            <w:tcW w:w="1043" w:type="dxa"/>
            <w:vAlign w:val="center"/>
            <w:hideMark/>
          </w:tcPr>
          <w:p w14:paraId="0519B0F5"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475</w:t>
            </w:r>
          </w:p>
        </w:tc>
        <w:tc>
          <w:tcPr>
            <w:tcW w:w="888" w:type="dxa"/>
            <w:vAlign w:val="center"/>
            <w:hideMark/>
          </w:tcPr>
          <w:p w14:paraId="45A65F3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17</w:t>
            </w:r>
          </w:p>
        </w:tc>
        <w:tc>
          <w:tcPr>
            <w:tcW w:w="643" w:type="dxa"/>
            <w:vAlign w:val="center"/>
            <w:hideMark/>
          </w:tcPr>
          <w:p w14:paraId="1A9F0A3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85</w:t>
            </w:r>
          </w:p>
        </w:tc>
      </w:tr>
      <w:tr w:rsidR="00B715DD" w:rsidRPr="00CE0E88" w14:paraId="70A1011E" w14:textId="77777777" w:rsidTr="00C60607">
        <w:trPr>
          <w:trHeight w:val="37"/>
          <w:jc w:val="center"/>
        </w:trPr>
        <w:tc>
          <w:tcPr>
            <w:tcW w:w="420" w:type="dxa"/>
            <w:vAlign w:val="center"/>
            <w:hideMark/>
          </w:tcPr>
          <w:p w14:paraId="5045D4C7"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18.</w:t>
            </w:r>
          </w:p>
        </w:tc>
        <w:tc>
          <w:tcPr>
            <w:tcW w:w="1679" w:type="dxa"/>
            <w:vAlign w:val="center"/>
            <w:hideMark/>
          </w:tcPr>
          <w:p w14:paraId="2200AA5D"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Orissa</w:t>
            </w:r>
          </w:p>
        </w:tc>
        <w:tc>
          <w:tcPr>
            <w:tcW w:w="1043" w:type="dxa"/>
            <w:vAlign w:val="center"/>
            <w:hideMark/>
          </w:tcPr>
          <w:p w14:paraId="0E9483FC"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14562</w:t>
            </w:r>
          </w:p>
        </w:tc>
        <w:tc>
          <w:tcPr>
            <w:tcW w:w="888" w:type="dxa"/>
            <w:vAlign w:val="center"/>
            <w:hideMark/>
          </w:tcPr>
          <w:p w14:paraId="729817FC"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461</w:t>
            </w:r>
          </w:p>
        </w:tc>
        <w:tc>
          <w:tcPr>
            <w:tcW w:w="643" w:type="dxa"/>
            <w:vAlign w:val="center"/>
            <w:hideMark/>
          </w:tcPr>
          <w:p w14:paraId="4FDD1CA7"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2305</w:t>
            </w:r>
          </w:p>
        </w:tc>
      </w:tr>
      <w:tr w:rsidR="00B715DD" w:rsidRPr="00CE0E88" w14:paraId="197CC868" w14:textId="77777777" w:rsidTr="00C60607">
        <w:trPr>
          <w:trHeight w:val="37"/>
          <w:jc w:val="center"/>
        </w:trPr>
        <w:tc>
          <w:tcPr>
            <w:tcW w:w="420" w:type="dxa"/>
            <w:vAlign w:val="center"/>
            <w:hideMark/>
          </w:tcPr>
          <w:p w14:paraId="6BB4BC8E"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19.</w:t>
            </w:r>
          </w:p>
        </w:tc>
        <w:tc>
          <w:tcPr>
            <w:tcW w:w="1679" w:type="dxa"/>
            <w:vAlign w:val="center"/>
            <w:hideMark/>
          </w:tcPr>
          <w:p w14:paraId="0FB279B7"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Punjab</w:t>
            </w:r>
          </w:p>
        </w:tc>
        <w:tc>
          <w:tcPr>
            <w:tcW w:w="1043" w:type="dxa"/>
            <w:vAlign w:val="center"/>
            <w:hideMark/>
          </w:tcPr>
          <w:p w14:paraId="4CF42B2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13272</w:t>
            </w:r>
          </w:p>
        </w:tc>
        <w:tc>
          <w:tcPr>
            <w:tcW w:w="888" w:type="dxa"/>
            <w:vAlign w:val="center"/>
            <w:hideMark/>
          </w:tcPr>
          <w:p w14:paraId="4E27A665"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476</w:t>
            </w:r>
          </w:p>
        </w:tc>
        <w:tc>
          <w:tcPr>
            <w:tcW w:w="643" w:type="dxa"/>
            <w:vAlign w:val="center"/>
            <w:hideMark/>
          </w:tcPr>
          <w:p w14:paraId="622751D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2380</w:t>
            </w:r>
          </w:p>
        </w:tc>
      </w:tr>
      <w:tr w:rsidR="00B715DD" w:rsidRPr="00CE0E88" w14:paraId="4F29751A" w14:textId="77777777" w:rsidTr="00C60607">
        <w:trPr>
          <w:trHeight w:val="37"/>
          <w:jc w:val="center"/>
        </w:trPr>
        <w:tc>
          <w:tcPr>
            <w:tcW w:w="420" w:type="dxa"/>
            <w:vAlign w:val="center"/>
            <w:hideMark/>
          </w:tcPr>
          <w:p w14:paraId="632102F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20.</w:t>
            </w:r>
          </w:p>
        </w:tc>
        <w:tc>
          <w:tcPr>
            <w:tcW w:w="1679" w:type="dxa"/>
            <w:vAlign w:val="center"/>
            <w:hideMark/>
          </w:tcPr>
          <w:p w14:paraId="047AA422"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Rajasthan</w:t>
            </w:r>
          </w:p>
        </w:tc>
        <w:tc>
          <w:tcPr>
            <w:tcW w:w="1043" w:type="dxa"/>
            <w:vAlign w:val="center"/>
            <w:hideMark/>
          </w:tcPr>
          <w:p w14:paraId="6FF751E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12521</w:t>
            </w:r>
          </w:p>
        </w:tc>
        <w:tc>
          <w:tcPr>
            <w:tcW w:w="888" w:type="dxa"/>
            <w:vAlign w:val="center"/>
            <w:hideMark/>
          </w:tcPr>
          <w:p w14:paraId="7E0D71B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463</w:t>
            </w:r>
          </w:p>
        </w:tc>
        <w:tc>
          <w:tcPr>
            <w:tcW w:w="643" w:type="dxa"/>
            <w:vAlign w:val="center"/>
            <w:hideMark/>
          </w:tcPr>
          <w:p w14:paraId="64D15EA9"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2315</w:t>
            </w:r>
          </w:p>
        </w:tc>
      </w:tr>
      <w:tr w:rsidR="00B715DD" w:rsidRPr="00CE0E88" w14:paraId="594C2EEB" w14:textId="77777777" w:rsidTr="00C60607">
        <w:trPr>
          <w:trHeight w:val="37"/>
          <w:jc w:val="center"/>
        </w:trPr>
        <w:tc>
          <w:tcPr>
            <w:tcW w:w="420" w:type="dxa"/>
            <w:vAlign w:val="center"/>
            <w:hideMark/>
          </w:tcPr>
          <w:p w14:paraId="047E3C0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21.</w:t>
            </w:r>
          </w:p>
        </w:tc>
        <w:tc>
          <w:tcPr>
            <w:tcW w:w="1679" w:type="dxa"/>
            <w:vAlign w:val="center"/>
            <w:hideMark/>
          </w:tcPr>
          <w:p w14:paraId="79D1298F"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Sikkim</w:t>
            </w:r>
          </w:p>
        </w:tc>
        <w:tc>
          <w:tcPr>
            <w:tcW w:w="1043" w:type="dxa"/>
            <w:vAlign w:val="center"/>
            <w:hideMark/>
          </w:tcPr>
          <w:p w14:paraId="6834576C"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256</w:t>
            </w:r>
          </w:p>
        </w:tc>
        <w:tc>
          <w:tcPr>
            <w:tcW w:w="888" w:type="dxa"/>
            <w:vAlign w:val="center"/>
            <w:hideMark/>
          </w:tcPr>
          <w:p w14:paraId="3B0AA978"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6</w:t>
            </w:r>
          </w:p>
        </w:tc>
        <w:tc>
          <w:tcPr>
            <w:tcW w:w="643" w:type="dxa"/>
            <w:vAlign w:val="center"/>
            <w:hideMark/>
          </w:tcPr>
          <w:p w14:paraId="2314354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30</w:t>
            </w:r>
          </w:p>
        </w:tc>
      </w:tr>
      <w:tr w:rsidR="00B715DD" w:rsidRPr="00CE0E88" w14:paraId="3BE79DD1" w14:textId="77777777" w:rsidTr="00C60607">
        <w:trPr>
          <w:trHeight w:val="37"/>
          <w:jc w:val="center"/>
        </w:trPr>
        <w:tc>
          <w:tcPr>
            <w:tcW w:w="420" w:type="dxa"/>
            <w:vAlign w:val="center"/>
            <w:hideMark/>
          </w:tcPr>
          <w:p w14:paraId="5AB0D69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22.</w:t>
            </w:r>
          </w:p>
        </w:tc>
        <w:tc>
          <w:tcPr>
            <w:tcW w:w="1679" w:type="dxa"/>
            <w:vAlign w:val="center"/>
            <w:hideMark/>
          </w:tcPr>
          <w:p w14:paraId="4D2479C7"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Tamil Nadu</w:t>
            </w:r>
          </w:p>
        </w:tc>
        <w:tc>
          <w:tcPr>
            <w:tcW w:w="1043" w:type="dxa"/>
            <w:vAlign w:val="center"/>
            <w:hideMark/>
          </w:tcPr>
          <w:p w14:paraId="0B609FDD"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12059</w:t>
            </w:r>
          </w:p>
        </w:tc>
        <w:tc>
          <w:tcPr>
            <w:tcW w:w="888" w:type="dxa"/>
            <w:vAlign w:val="center"/>
            <w:hideMark/>
          </w:tcPr>
          <w:p w14:paraId="14E1893A"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445</w:t>
            </w:r>
          </w:p>
        </w:tc>
        <w:tc>
          <w:tcPr>
            <w:tcW w:w="643" w:type="dxa"/>
            <w:vAlign w:val="center"/>
            <w:hideMark/>
          </w:tcPr>
          <w:p w14:paraId="2B5A226E"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2225</w:t>
            </w:r>
          </w:p>
        </w:tc>
      </w:tr>
      <w:tr w:rsidR="00B715DD" w:rsidRPr="00CE0E88" w14:paraId="12597E12" w14:textId="77777777" w:rsidTr="00C60607">
        <w:trPr>
          <w:trHeight w:val="37"/>
          <w:jc w:val="center"/>
        </w:trPr>
        <w:tc>
          <w:tcPr>
            <w:tcW w:w="420" w:type="dxa"/>
            <w:vAlign w:val="center"/>
            <w:hideMark/>
          </w:tcPr>
          <w:p w14:paraId="3F9E3C2F"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23.</w:t>
            </w:r>
          </w:p>
        </w:tc>
        <w:tc>
          <w:tcPr>
            <w:tcW w:w="1679" w:type="dxa"/>
            <w:vAlign w:val="center"/>
            <w:hideMark/>
          </w:tcPr>
          <w:p w14:paraId="3477A813"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Tripura</w:t>
            </w:r>
          </w:p>
        </w:tc>
        <w:tc>
          <w:tcPr>
            <w:tcW w:w="1043" w:type="dxa"/>
            <w:vAlign w:val="center"/>
            <w:hideMark/>
          </w:tcPr>
          <w:p w14:paraId="6D77A1F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804</w:t>
            </w:r>
          </w:p>
        </w:tc>
        <w:tc>
          <w:tcPr>
            <w:tcW w:w="888" w:type="dxa"/>
            <w:vAlign w:val="center"/>
            <w:hideMark/>
          </w:tcPr>
          <w:p w14:paraId="218C6781"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25</w:t>
            </w:r>
          </w:p>
        </w:tc>
        <w:tc>
          <w:tcPr>
            <w:tcW w:w="643" w:type="dxa"/>
            <w:vAlign w:val="center"/>
            <w:hideMark/>
          </w:tcPr>
          <w:p w14:paraId="226B885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125</w:t>
            </w:r>
          </w:p>
        </w:tc>
      </w:tr>
      <w:tr w:rsidR="00B715DD" w:rsidRPr="00CE0E88" w14:paraId="09035EC2" w14:textId="77777777" w:rsidTr="00C60607">
        <w:trPr>
          <w:trHeight w:val="37"/>
          <w:jc w:val="center"/>
        </w:trPr>
        <w:tc>
          <w:tcPr>
            <w:tcW w:w="420" w:type="dxa"/>
            <w:vAlign w:val="center"/>
            <w:hideMark/>
          </w:tcPr>
          <w:p w14:paraId="0E462892"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24.</w:t>
            </w:r>
          </w:p>
        </w:tc>
        <w:tc>
          <w:tcPr>
            <w:tcW w:w="1679" w:type="dxa"/>
            <w:vAlign w:val="center"/>
            <w:hideMark/>
          </w:tcPr>
          <w:p w14:paraId="348F2D13"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Uttar Pradesh</w:t>
            </w:r>
          </w:p>
        </w:tc>
        <w:tc>
          <w:tcPr>
            <w:tcW w:w="1043" w:type="dxa"/>
            <w:vAlign w:val="center"/>
            <w:hideMark/>
          </w:tcPr>
          <w:p w14:paraId="73C1090B"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23196</w:t>
            </w:r>
          </w:p>
        </w:tc>
        <w:tc>
          <w:tcPr>
            <w:tcW w:w="888" w:type="dxa"/>
            <w:vAlign w:val="center"/>
            <w:hideMark/>
          </w:tcPr>
          <w:p w14:paraId="4F84CE5A"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787</w:t>
            </w:r>
          </w:p>
        </w:tc>
        <w:tc>
          <w:tcPr>
            <w:tcW w:w="643" w:type="dxa"/>
            <w:vAlign w:val="center"/>
            <w:hideMark/>
          </w:tcPr>
          <w:p w14:paraId="34ED2724"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3935</w:t>
            </w:r>
          </w:p>
        </w:tc>
      </w:tr>
      <w:tr w:rsidR="00B715DD" w:rsidRPr="00CE0E88" w14:paraId="7B3A792D" w14:textId="77777777" w:rsidTr="00C60607">
        <w:trPr>
          <w:trHeight w:val="37"/>
          <w:jc w:val="center"/>
        </w:trPr>
        <w:tc>
          <w:tcPr>
            <w:tcW w:w="420" w:type="dxa"/>
            <w:vAlign w:val="center"/>
            <w:hideMark/>
          </w:tcPr>
          <w:p w14:paraId="6156E15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25.</w:t>
            </w:r>
          </w:p>
        </w:tc>
        <w:tc>
          <w:tcPr>
            <w:tcW w:w="1679" w:type="dxa"/>
            <w:vAlign w:val="center"/>
            <w:hideMark/>
          </w:tcPr>
          <w:p w14:paraId="5D0E93AD"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sz w:val="16"/>
                <w:szCs w:val="14"/>
              </w:rPr>
              <w:t>West Bengal</w:t>
            </w:r>
          </w:p>
        </w:tc>
        <w:tc>
          <w:tcPr>
            <w:tcW w:w="1043" w:type="dxa"/>
            <w:vAlign w:val="center"/>
            <w:hideMark/>
          </w:tcPr>
          <w:p w14:paraId="134436FB"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21969</w:t>
            </w:r>
          </w:p>
        </w:tc>
        <w:tc>
          <w:tcPr>
            <w:tcW w:w="888" w:type="dxa"/>
            <w:vAlign w:val="center"/>
            <w:hideMark/>
          </w:tcPr>
          <w:p w14:paraId="3AFDFA9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817</w:t>
            </w:r>
          </w:p>
        </w:tc>
        <w:tc>
          <w:tcPr>
            <w:tcW w:w="643" w:type="dxa"/>
            <w:vAlign w:val="center"/>
            <w:hideMark/>
          </w:tcPr>
          <w:p w14:paraId="3C82A681"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sz w:val="16"/>
                <w:szCs w:val="14"/>
              </w:rPr>
              <w:t>4085</w:t>
            </w:r>
          </w:p>
        </w:tc>
      </w:tr>
      <w:tr w:rsidR="00B715DD" w:rsidRPr="00CE0E88" w14:paraId="613105EE" w14:textId="77777777" w:rsidTr="00C60607">
        <w:trPr>
          <w:trHeight w:val="37"/>
          <w:jc w:val="center"/>
        </w:trPr>
        <w:tc>
          <w:tcPr>
            <w:tcW w:w="420" w:type="dxa"/>
            <w:vAlign w:val="center"/>
            <w:hideMark/>
          </w:tcPr>
          <w:p w14:paraId="0D47BD25" w14:textId="77777777" w:rsidR="00B715DD" w:rsidRPr="00CE0E88" w:rsidRDefault="00B715DD" w:rsidP="00CE0E88">
            <w:pPr>
              <w:pStyle w:val="NoSpacing"/>
              <w:jc w:val="center"/>
              <w:rPr>
                <w:rFonts w:ascii="Times New Roman" w:hAnsi="Times New Roman" w:cs="Times New Roman"/>
                <w:sz w:val="16"/>
                <w:szCs w:val="14"/>
              </w:rPr>
            </w:pPr>
          </w:p>
        </w:tc>
        <w:tc>
          <w:tcPr>
            <w:tcW w:w="1679" w:type="dxa"/>
            <w:vAlign w:val="center"/>
            <w:hideMark/>
          </w:tcPr>
          <w:p w14:paraId="142FE96B" w14:textId="77777777" w:rsidR="00B715DD" w:rsidRPr="00CE0E88" w:rsidRDefault="00B715DD" w:rsidP="00CE0E88">
            <w:pPr>
              <w:pStyle w:val="NoSpacing"/>
              <w:rPr>
                <w:rFonts w:ascii="Times New Roman" w:hAnsi="Times New Roman" w:cs="Times New Roman"/>
                <w:sz w:val="16"/>
                <w:szCs w:val="14"/>
              </w:rPr>
            </w:pPr>
            <w:r w:rsidRPr="00CE0E88">
              <w:rPr>
                <w:rFonts w:ascii="Times New Roman" w:hAnsi="Times New Roman" w:cs="Times New Roman"/>
                <w:b/>
                <w:bCs/>
                <w:sz w:val="16"/>
                <w:szCs w:val="14"/>
              </w:rPr>
              <w:t>TOTAL</w:t>
            </w:r>
          </w:p>
        </w:tc>
        <w:tc>
          <w:tcPr>
            <w:tcW w:w="1043" w:type="dxa"/>
            <w:vAlign w:val="center"/>
            <w:hideMark/>
          </w:tcPr>
          <w:p w14:paraId="0D1A7176"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b/>
                <w:bCs/>
                <w:sz w:val="16"/>
                <w:szCs w:val="14"/>
              </w:rPr>
              <w:t>264303</w:t>
            </w:r>
          </w:p>
        </w:tc>
        <w:tc>
          <w:tcPr>
            <w:tcW w:w="888" w:type="dxa"/>
            <w:vAlign w:val="center"/>
            <w:hideMark/>
          </w:tcPr>
          <w:p w14:paraId="4A7F6933"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b/>
                <w:bCs/>
                <w:sz w:val="16"/>
                <w:szCs w:val="14"/>
              </w:rPr>
              <w:t>9362</w:t>
            </w:r>
          </w:p>
        </w:tc>
        <w:tc>
          <w:tcPr>
            <w:tcW w:w="643" w:type="dxa"/>
            <w:vAlign w:val="center"/>
            <w:hideMark/>
          </w:tcPr>
          <w:p w14:paraId="14F39F40" w14:textId="77777777" w:rsidR="00B715DD" w:rsidRPr="00CE0E88" w:rsidRDefault="00B715DD" w:rsidP="00CE0E88">
            <w:pPr>
              <w:pStyle w:val="NoSpacing"/>
              <w:jc w:val="center"/>
              <w:rPr>
                <w:rFonts w:ascii="Times New Roman" w:hAnsi="Times New Roman" w:cs="Times New Roman"/>
                <w:sz w:val="16"/>
                <w:szCs w:val="14"/>
              </w:rPr>
            </w:pPr>
            <w:r w:rsidRPr="00CE0E88">
              <w:rPr>
                <w:rFonts w:ascii="Times New Roman" w:hAnsi="Times New Roman" w:cs="Times New Roman"/>
                <w:b/>
                <w:bCs/>
                <w:sz w:val="16"/>
                <w:szCs w:val="14"/>
              </w:rPr>
              <w:t>46810</w:t>
            </w:r>
          </w:p>
        </w:tc>
      </w:tr>
    </w:tbl>
    <w:p w14:paraId="4C860BFF" w14:textId="77777777" w:rsidR="00C60607" w:rsidRDefault="00C60607" w:rsidP="003412F4">
      <w:pPr>
        <w:spacing w:after="0"/>
        <w:rPr>
          <w:rFonts w:ascii="Times New Roman" w:hAnsi="Times New Roman" w:cs="Times New Roman"/>
        </w:rPr>
        <w:sectPr w:rsidR="00C60607" w:rsidSect="00C60607">
          <w:type w:val="continuous"/>
          <w:pgSz w:w="11906" w:h="16838"/>
          <w:pgMar w:top="567" w:right="849" w:bottom="567" w:left="1134" w:header="708" w:footer="708" w:gutter="0"/>
          <w:cols w:num="2" w:space="708"/>
          <w:docGrid w:linePitch="360"/>
        </w:sectPr>
      </w:pPr>
    </w:p>
    <w:p w14:paraId="01514BA9" w14:textId="2AF038A6" w:rsidR="00F423D8" w:rsidRPr="00AA6AF4" w:rsidRDefault="00F423D8" w:rsidP="003412F4">
      <w:pPr>
        <w:spacing w:after="0"/>
        <w:rPr>
          <w:rFonts w:ascii="Times New Roman" w:hAnsi="Times New Roman" w:cs="Times New Roman"/>
        </w:rPr>
      </w:pPr>
    </w:p>
    <w:p w14:paraId="1B134A0F" w14:textId="77777777" w:rsidR="005858A3" w:rsidRDefault="005858A3">
      <w:pPr>
        <w:rPr>
          <w:rFonts w:ascii="Times New Roman" w:hAnsi="Times New Roman" w:cs="Times New Roman"/>
          <w:b/>
          <w:bCs/>
          <w:sz w:val="16"/>
          <w:szCs w:val="16"/>
        </w:rPr>
      </w:pPr>
      <w:bookmarkStart w:id="55" w:name="_Toc221292983"/>
      <w:r>
        <w:rPr>
          <w:sz w:val="16"/>
          <w:szCs w:val="16"/>
        </w:rPr>
        <w:br w:type="page"/>
      </w:r>
    </w:p>
    <w:p w14:paraId="2C0E6144" w14:textId="560864E3" w:rsidR="00CE0E88" w:rsidRPr="005858A3" w:rsidRDefault="00F423D8" w:rsidP="001F723A">
      <w:pPr>
        <w:pStyle w:val="Heading2"/>
        <w:rPr>
          <w:sz w:val="16"/>
          <w:szCs w:val="16"/>
        </w:rPr>
      </w:pPr>
      <w:bookmarkStart w:id="56" w:name="_Toc222399477"/>
      <w:r w:rsidRPr="005858A3">
        <w:rPr>
          <w:sz w:val="16"/>
          <w:szCs w:val="16"/>
        </w:rPr>
        <w:lastRenderedPageBreak/>
        <w:t>ANNEXURE III.4</w:t>
      </w:r>
      <w:r w:rsidR="00CE0E88" w:rsidRPr="005858A3">
        <w:rPr>
          <w:sz w:val="16"/>
          <w:szCs w:val="16"/>
        </w:rPr>
        <w:br/>
      </w:r>
      <w:r w:rsidRPr="005858A3">
        <w:rPr>
          <w:sz w:val="16"/>
          <w:szCs w:val="16"/>
        </w:rPr>
        <w:t xml:space="preserve">State Electricity Boards Estimates </w:t>
      </w:r>
      <w:proofErr w:type="gramStart"/>
      <w:r w:rsidRPr="005858A3">
        <w:rPr>
          <w:sz w:val="16"/>
          <w:szCs w:val="16"/>
        </w:rPr>
        <w:t>Of</w:t>
      </w:r>
      <w:proofErr w:type="gramEnd"/>
      <w:r w:rsidRPr="005858A3">
        <w:rPr>
          <w:sz w:val="16"/>
          <w:szCs w:val="16"/>
        </w:rPr>
        <w:t xml:space="preserve"> State Governments' Loans Outstanding </w:t>
      </w:r>
      <w:proofErr w:type="gramStart"/>
      <w:r w:rsidRPr="005858A3">
        <w:rPr>
          <w:sz w:val="16"/>
          <w:szCs w:val="16"/>
        </w:rPr>
        <w:t>As</w:t>
      </w:r>
      <w:proofErr w:type="gramEnd"/>
      <w:r w:rsidRPr="005858A3">
        <w:rPr>
          <w:sz w:val="16"/>
          <w:szCs w:val="16"/>
        </w:rPr>
        <w:t xml:space="preserve"> On 31.03.1990</w:t>
      </w:r>
      <w:bookmarkEnd w:id="55"/>
      <w:bookmarkEnd w:id="56"/>
    </w:p>
    <w:p w14:paraId="5292063C" w14:textId="3D543836" w:rsidR="003E33AC" w:rsidRPr="005858A3" w:rsidRDefault="00CE0E88" w:rsidP="002C15EA">
      <w:pPr>
        <w:spacing w:after="0"/>
        <w:jc w:val="right"/>
        <w:rPr>
          <w:rFonts w:ascii="Times New Roman" w:hAnsi="Times New Roman" w:cs="Times New Roman"/>
          <w:sz w:val="14"/>
          <w:szCs w:val="12"/>
        </w:rPr>
      </w:pPr>
      <w:bookmarkStart w:id="57" w:name="_Toc221292984"/>
      <w:r w:rsidRPr="005858A3">
        <w:rPr>
          <w:rFonts w:ascii="Times New Roman" w:hAnsi="Times New Roman" w:cs="Times New Roman"/>
          <w:sz w:val="14"/>
          <w:szCs w:val="12"/>
        </w:rPr>
        <w:t>(Para 3.21)</w:t>
      </w:r>
      <w:bookmarkEnd w:id="57"/>
      <w:r w:rsidR="002C15EA" w:rsidRPr="005858A3">
        <w:rPr>
          <w:rFonts w:ascii="Times New Roman" w:hAnsi="Times New Roman" w:cs="Times New Roman"/>
          <w:sz w:val="14"/>
          <w:szCs w:val="12"/>
        </w:rPr>
        <w:tab/>
      </w:r>
      <w:r w:rsidR="002C15EA" w:rsidRPr="005858A3">
        <w:rPr>
          <w:rFonts w:ascii="Times New Roman" w:hAnsi="Times New Roman" w:cs="Times New Roman"/>
          <w:sz w:val="14"/>
          <w:szCs w:val="12"/>
        </w:rPr>
        <w:tab/>
      </w:r>
      <w:r w:rsidR="002C15EA" w:rsidRPr="005858A3">
        <w:rPr>
          <w:rFonts w:ascii="Times New Roman" w:hAnsi="Times New Roman" w:cs="Times New Roman"/>
          <w:sz w:val="14"/>
          <w:szCs w:val="12"/>
        </w:rPr>
        <w:tab/>
      </w:r>
      <w:r w:rsidR="002C15EA" w:rsidRPr="005858A3">
        <w:rPr>
          <w:rFonts w:ascii="Times New Roman" w:hAnsi="Times New Roman" w:cs="Times New Roman"/>
          <w:sz w:val="14"/>
          <w:szCs w:val="12"/>
        </w:rPr>
        <w:tab/>
      </w:r>
      <w:r w:rsidR="002C15EA" w:rsidRPr="005858A3">
        <w:rPr>
          <w:rFonts w:ascii="Times New Roman" w:hAnsi="Times New Roman" w:cs="Times New Roman"/>
          <w:sz w:val="14"/>
          <w:szCs w:val="12"/>
        </w:rPr>
        <w:tab/>
      </w:r>
      <w:r w:rsidR="002C15EA" w:rsidRPr="005858A3">
        <w:rPr>
          <w:rFonts w:ascii="Times New Roman" w:hAnsi="Times New Roman" w:cs="Times New Roman"/>
          <w:sz w:val="14"/>
          <w:szCs w:val="12"/>
        </w:rPr>
        <w:tab/>
      </w:r>
      <w:r w:rsidR="002C15EA" w:rsidRPr="005858A3">
        <w:rPr>
          <w:rFonts w:ascii="Times New Roman" w:hAnsi="Times New Roman" w:cs="Times New Roman"/>
          <w:i/>
          <w:iCs/>
          <w:sz w:val="14"/>
          <w:szCs w:val="12"/>
        </w:rPr>
        <w:t>(Rs. Lakh)</w:t>
      </w:r>
    </w:p>
    <w:tbl>
      <w:tblPr>
        <w:tblStyle w:val="TableGrid"/>
        <w:tblW w:w="10349" w:type="dxa"/>
        <w:jc w:val="center"/>
        <w:tblLayout w:type="fixed"/>
        <w:tblLook w:val="04A0" w:firstRow="1" w:lastRow="0" w:firstColumn="1" w:lastColumn="0" w:noHBand="0" w:noVBand="1"/>
      </w:tblPr>
      <w:tblGrid>
        <w:gridCol w:w="1271"/>
        <w:gridCol w:w="709"/>
        <w:gridCol w:w="992"/>
        <w:gridCol w:w="992"/>
        <w:gridCol w:w="956"/>
        <w:gridCol w:w="1312"/>
        <w:gridCol w:w="810"/>
        <w:gridCol w:w="1043"/>
        <w:gridCol w:w="1194"/>
        <w:gridCol w:w="1070"/>
      </w:tblGrid>
      <w:tr w:rsidR="003E33AC" w:rsidRPr="005858A3" w14:paraId="57FD99A9" w14:textId="1E7CD816" w:rsidTr="002C15EA">
        <w:trPr>
          <w:trHeight w:val="20"/>
          <w:jc w:val="center"/>
        </w:trPr>
        <w:tc>
          <w:tcPr>
            <w:tcW w:w="1271" w:type="dxa"/>
            <w:vAlign w:val="center"/>
            <w:hideMark/>
          </w:tcPr>
          <w:p w14:paraId="62A71F80"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States</w:t>
            </w:r>
          </w:p>
        </w:tc>
        <w:tc>
          <w:tcPr>
            <w:tcW w:w="709" w:type="dxa"/>
            <w:vAlign w:val="center"/>
            <w:hideMark/>
          </w:tcPr>
          <w:p w14:paraId="4070565B"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Total State Loans</w:t>
            </w:r>
          </w:p>
        </w:tc>
        <w:tc>
          <w:tcPr>
            <w:tcW w:w="992" w:type="dxa"/>
            <w:vAlign w:val="center"/>
            <w:hideMark/>
          </w:tcPr>
          <w:p w14:paraId="30ADA745"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Investments In Works-In-Progress</w:t>
            </w:r>
          </w:p>
        </w:tc>
        <w:tc>
          <w:tcPr>
            <w:tcW w:w="992" w:type="dxa"/>
            <w:vAlign w:val="center"/>
            <w:hideMark/>
          </w:tcPr>
          <w:p w14:paraId="10F6BD1D"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Investments In Rural Electrification</w:t>
            </w:r>
          </w:p>
        </w:tc>
        <w:tc>
          <w:tcPr>
            <w:tcW w:w="956" w:type="dxa"/>
            <w:vAlign w:val="center"/>
            <w:hideMark/>
          </w:tcPr>
          <w:p w14:paraId="64C1BA1B"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Net Outstanding Loans (Col.1-2-3)</w:t>
            </w:r>
          </w:p>
        </w:tc>
        <w:tc>
          <w:tcPr>
            <w:tcW w:w="1312" w:type="dxa"/>
            <w:vAlign w:val="center"/>
          </w:tcPr>
          <w:p w14:paraId="60A02FDE" w14:textId="51F2FC45"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States</w:t>
            </w:r>
          </w:p>
        </w:tc>
        <w:tc>
          <w:tcPr>
            <w:tcW w:w="810" w:type="dxa"/>
            <w:vAlign w:val="center"/>
          </w:tcPr>
          <w:p w14:paraId="0D5FE15C" w14:textId="71C4BC74"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Total State Loans</w:t>
            </w:r>
          </w:p>
        </w:tc>
        <w:tc>
          <w:tcPr>
            <w:tcW w:w="1043" w:type="dxa"/>
            <w:vAlign w:val="center"/>
          </w:tcPr>
          <w:p w14:paraId="590804A4" w14:textId="237EA2BB"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Investments In Works-In-Progress</w:t>
            </w:r>
          </w:p>
        </w:tc>
        <w:tc>
          <w:tcPr>
            <w:tcW w:w="1194" w:type="dxa"/>
            <w:vAlign w:val="center"/>
          </w:tcPr>
          <w:p w14:paraId="49181B42" w14:textId="4C35ABB0"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Investments In Rural Electrification</w:t>
            </w:r>
          </w:p>
        </w:tc>
        <w:tc>
          <w:tcPr>
            <w:tcW w:w="1070" w:type="dxa"/>
            <w:vAlign w:val="center"/>
          </w:tcPr>
          <w:p w14:paraId="367A7A9E" w14:textId="42084AEA"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Net Outstanding Loans (Col.1-2-3)</w:t>
            </w:r>
          </w:p>
        </w:tc>
      </w:tr>
      <w:tr w:rsidR="003E33AC" w:rsidRPr="005858A3" w14:paraId="1959DC6F" w14:textId="13BEC2D6" w:rsidTr="002C15EA">
        <w:trPr>
          <w:trHeight w:val="20"/>
          <w:jc w:val="center"/>
        </w:trPr>
        <w:tc>
          <w:tcPr>
            <w:tcW w:w="1271" w:type="dxa"/>
            <w:vAlign w:val="center"/>
            <w:hideMark/>
          </w:tcPr>
          <w:p w14:paraId="36FCDA5D" w14:textId="77777777" w:rsidR="003E33AC" w:rsidRPr="005858A3" w:rsidRDefault="003E33AC" w:rsidP="002C15EA">
            <w:pPr>
              <w:pStyle w:val="NoSpacing"/>
              <w:jc w:val="center"/>
              <w:rPr>
                <w:rFonts w:ascii="Times New Roman" w:hAnsi="Times New Roman" w:cs="Times New Roman"/>
                <w:b/>
                <w:bCs/>
                <w:sz w:val="14"/>
                <w:szCs w:val="14"/>
              </w:rPr>
            </w:pPr>
          </w:p>
        </w:tc>
        <w:tc>
          <w:tcPr>
            <w:tcW w:w="709" w:type="dxa"/>
            <w:vAlign w:val="center"/>
            <w:hideMark/>
          </w:tcPr>
          <w:p w14:paraId="1D51DFD4"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(1)</w:t>
            </w:r>
          </w:p>
        </w:tc>
        <w:tc>
          <w:tcPr>
            <w:tcW w:w="992" w:type="dxa"/>
            <w:vAlign w:val="center"/>
            <w:hideMark/>
          </w:tcPr>
          <w:p w14:paraId="69048AC6"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(2)</w:t>
            </w:r>
          </w:p>
        </w:tc>
        <w:tc>
          <w:tcPr>
            <w:tcW w:w="992" w:type="dxa"/>
            <w:vAlign w:val="center"/>
            <w:hideMark/>
          </w:tcPr>
          <w:p w14:paraId="6E4CC80F"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(3)</w:t>
            </w:r>
          </w:p>
        </w:tc>
        <w:tc>
          <w:tcPr>
            <w:tcW w:w="956" w:type="dxa"/>
            <w:vAlign w:val="center"/>
            <w:hideMark/>
          </w:tcPr>
          <w:p w14:paraId="12A3EA80" w14:textId="77777777"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(4)</w:t>
            </w:r>
          </w:p>
        </w:tc>
        <w:tc>
          <w:tcPr>
            <w:tcW w:w="1312" w:type="dxa"/>
            <w:vAlign w:val="center"/>
          </w:tcPr>
          <w:p w14:paraId="0659083D" w14:textId="77777777" w:rsidR="003E33AC" w:rsidRPr="005858A3" w:rsidRDefault="003E33AC" w:rsidP="002C15EA">
            <w:pPr>
              <w:pStyle w:val="NoSpacing"/>
              <w:jc w:val="center"/>
              <w:rPr>
                <w:rFonts w:ascii="Times New Roman" w:hAnsi="Times New Roman" w:cs="Times New Roman"/>
                <w:b/>
                <w:bCs/>
                <w:sz w:val="14"/>
                <w:szCs w:val="14"/>
              </w:rPr>
            </w:pPr>
          </w:p>
        </w:tc>
        <w:tc>
          <w:tcPr>
            <w:tcW w:w="810" w:type="dxa"/>
            <w:vAlign w:val="center"/>
          </w:tcPr>
          <w:p w14:paraId="0E1EB5C0" w14:textId="532ED3E4"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(1)</w:t>
            </w:r>
          </w:p>
        </w:tc>
        <w:tc>
          <w:tcPr>
            <w:tcW w:w="1043" w:type="dxa"/>
            <w:vAlign w:val="center"/>
          </w:tcPr>
          <w:p w14:paraId="53E63A42" w14:textId="4683A659"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(2)</w:t>
            </w:r>
          </w:p>
        </w:tc>
        <w:tc>
          <w:tcPr>
            <w:tcW w:w="1194" w:type="dxa"/>
            <w:vAlign w:val="center"/>
          </w:tcPr>
          <w:p w14:paraId="2684492B" w14:textId="439179FA"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(3)</w:t>
            </w:r>
          </w:p>
        </w:tc>
        <w:tc>
          <w:tcPr>
            <w:tcW w:w="1070" w:type="dxa"/>
            <w:vAlign w:val="center"/>
          </w:tcPr>
          <w:p w14:paraId="18455181" w14:textId="3F0136E6" w:rsidR="003E33AC" w:rsidRPr="005858A3" w:rsidRDefault="003E33AC" w:rsidP="002C15EA">
            <w:pPr>
              <w:pStyle w:val="NoSpacing"/>
              <w:jc w:val="center"/>
              <w:rPr>
                <w:rFonts w:ascii="Times New Roman" w:hAnsi="Times New Roman" w:cs="Times New Roman"/>
                <w:b/>
                <w:bCs/>
                <w:sz w:val="14"/>
                <w:szCs w:val="14"/>
              </w:rPr>
            </w:pPr>
            <w:r w:rsidRPr="005858A3">
              <w:rPr>
                <w:rFonts w:ascii="Times New Roman" w:hAnsi="Times New Roman" w:cs="Times New Roman"/>
                <w:b/>
                <w:bCs/>
                <w:sz w:val="14"/>
                <w:szCs w:val="14"/>
              </w:rPr>
              <w:t>(4)</w:t>
            </w:r>
          </w:p>
        </w:tc>
      </w:tr>
      <w:tr w:rsidR="003E33AC" w:rsidRPr="005858A3" w14:paraId="5E65FF5A" w14:textId="36547976" w:rsidTr="002C15EA">
        <w:trPr>
          <w:trHeight w:val="20"/>
          <w:jc w:val="center"/>
        </w:trPr>
        <w:tc>
          <w:tcPr>
            <w:tcW w:w="1271" w:type="dxa"/>
            <w:vAlign w:val="center"/>
            <w:hideMark/>
          </w:tcPr>
          <w:p w14:paraId="276A4D44"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 Andhra Pradesh</w:t>
            </w:r>
          </w:p>
        </w:tc>
        <w:tc>
          <w:tcPr>
            <w:tcW w:w="709" w:type="dxa"/>
            <w:vAlign w:val="center"/>
            <w:hideMark/>
          </w:tcPr>
          <w:p w14:paraId="3422F35C"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110922</w:t>
            </w:r>
          </w:p>
        </w:tc>
        <w:tc>
          <w:tcPr>
            <w:tcW w:w="992" w:type="dxa"/>
            <w:vAlign w:val="center"/>
            <w:hideMark/>
          </w:tcPr>
          <w:p w14:paraId="3BDED91A"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2838</w:t>
            </w:r>
          </w:p>
        </w:tc>
        <w:tc>
          <w:tcPr>
            <w:tcW w:w="992" w:type="dxa"/>
            <w:vAlign w:val="center"/>
            <w:hideMark/>
          </w:tcPr>
          <w:p w14:paraId="6F3B9BA0"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91704</w:t>
            </w:r>
          </w:p>
        </w:tc>
        <w:tc>
          <w:tcPr>
            <w:tcW w:w="956" w:type="dxa"/>
            <w:vAlign w:val="center"/>
            <w:hideMark/>
          </w:tcPr>
          <w:p w14:paraId="5CCE3984"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16380</w:t>
            </w:r>
          </w:p>
        </w:tc>
        <w:tc>
          <w:tcPr>
            <w:tcW w:w="1312" w:type="dxa"/>
            <w:vAlign w:val="center"/>
          </w:tcPr>
          <w:p w14:paraId="5FBF1706" w14:textId="2C2E6ACA"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10. Madhya Pradesh</w:t>
            </w:r>
          </w:p>
        </w:tc>
        <w:tc>
          <w:tcPr>
            <w:tcW w:w="810" w:type="dxa"/>
            <w:vAlign w:val="center"/>
          </w:tcPr>
          <w:p w14:paraId="6FF31C8E" w14:textId="0BC396A9"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199262</w:t>
            </w:r>
          </w:p>
        </w:tc>
        <w:tc>
          <w:tcPr>
            <w:tcW w:w="1043" w:type="dxa"/>
            <w:vAlign w:val="center"/>
          </w:tcPr>
          <w:p w14:paraId="7279A66E" w14:textId="69778B9D"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42023</w:t>
            </w:r>
          </w:p>
        </w:tc>
        <w:tc>
          <w:tcPr>
            <w:tcW w:w="1194" w:type="dxa"/>
            <w:vAlign w:val="center"/>
          </w:tcPr>
          <w:p w14:paraId="2CA914AE" w14:textId="2A33E50C"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37510</w:t>
            </w:r>
          </w:p>
        </w:tc>
        <w:tc>
          <w:tcPr>
            <w:tcW w:w="1070" w:type="dxa"/>
            <w:vAlign w:val="center"/>
          </w:tcPr>
          <w:p w14:paraId="61C4752A" w14:textId="23E6BD20"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119729</w:t>
            </w:r>
          </w:p>
        </w:tc>
      </w:tr>
      <w:tr w:rsidR="003E33AC" w:rsidRPr="005858A3" w14:paraId="4DD9958F" w14:textId="48CFA92B" w:rsidTr="002C15EA">
        <w:trPr>
          <w:trHeight w:val="20"/>
          <w:jc w:val="center"/>
        </w:trPr>
        <w:tc>
          <w:tcPr>
            <w:tcW w:w="1271" w:type="dxa"/>
            <w:vAlign w:val="center"/>
            <w:hideMark/>
          </w:tcPr>
          <w:p w14:paraId="0A02084C"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2. Assam</w:t>
            </w:r>
          </w:p>
        </w:tc>
        <w:tc>
          <w:tcPr>
            <w:tcW w:w="709" w:type="dxa"/>
            <w:vAlign w:val="center"/>
            <w:hideMark/>
          </w:tcPr>
          <w:p w14:paraId="0B0514F8"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86911</w:t>
            </w:r>
          </w:p>
        </w:tc>
        <w:tc>
          <w:tcPr>
            <w:tcW w:w="992" w:type="dxa"/>
            <w:vAlign w:val="center"/>
            <w:hideMark/>
          </w:tcPr>
          <w:p w14:paraId="5D021AE6"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28882</w:t>
            </w:r>
          </w:p>
        </w:tc>
        <w:tc>
          <w:tcPr>
            <w:tcW w:w="992" w:type="dxa"/>
            <w:vAlign w:val="center"/>
            <w:hideMark/>
          </w:tcPr>
          <w:p w14:paraId="34CEDB39"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7302</w:t>
            </w:r>
          </w:p>
        </w:tc>
        <w:tc>
          <w:tcPr>
            <w:tcW w:w="956" w:type="dxa"/>
            <w:vAlign w:val="center"/>
            <w:hideMark/>
          </w:tcPr>
          <w:p w14:paraId="7EBCE23C"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50727</w:t>
            </w:r>
          </w:p>
        </w:tc>
        <w:tc>
          <w:tcPr>
            <w:tcW w:w="1312" w:type="dxa"/>
            <w:vAlign w:val="center"/>
          </w:tcPr>
          <w:p w14:paraId="635CA2D0" w14:textId="65F23E34"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11. Maharashtra</w:t>
            </w:r>
          </w:p>
        </w:tc>
        <w:tc>
          <w:tcPr>
            <w:tcW w:w="810" w:type="dxa"/>
            <w:vAlign w:val="center"/>
          </w:tcPr>
          <w:p w14:paraId="522344A6" w14:textId="194938F8"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287048</w:t>
            </w:r>
          </w:p>
        </w:tc>
        <w:tc>
          <w:tcPr>
            <w:tcW w:w="1043" w:type="dxa"/>
            <w:vAlign w:val="center"/>
          </w:tcPr>
          <w:p w14:paraId="5DBBBC2D" w14:textId="291B4109"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50177</w:t>
            </w:r>
          </w:p>
        </w:tc>
        <w:tc>
          <w:tcPr>
            <w:tcW w:w="1194" w:type="dxa"/>
            <w:vAlign w:val="center"/>
          </w:tcPr>
          <w:p w14:paraId="0C98776B" w14:textId="159ABFED"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94132</w:t>
            </w:r>
          </w:p>
        </w:tc>
        <w:tc>
          <w:tcPr>
            <w:tcW w:w="1070" w:type="dxa"/>
            <w:vAlign w:val="center"/>
          </w:tcPr>
          <w:p w14:paraId="6199B973" w14:textId="6CC1AFC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142739</w:t>
            </w:r>
          </w:p>
        </w:tc>
      </w:tr>
      <w:tr w:rsidR="003E33AC" w:rsidRPr="005858A3" w14:paraId="44456A6B" w14:textId="616C6105" w:rsidTr="002C15EA">
        <w:trPr>
          <w:trHeight w:val="20"/>
          <w:jc w:val="center"/>
        </w:trPr>
        <w:tc>
          <w:tcPr>
            <w:tcW w:w="1271" w:type="dxa"/>
            <w:vAlign w:val="center"/>
            <w:hideMark/>
          </w:tcPr>
          <w:p w14:paraId="2F4B7454"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3. Bihar</w:t>
            </w:r>
          </w:p>
        </w:tc>
        <w:tc>
          <w:tcPr>
            <w:tcW w:w="709" w:type="dxa"/>
            <w:vAlign w:val="center"/>
            <w:hideMark/>
          </w:tcPr>
          <w:p w14:paraId="7CBA8B23"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169896</w:t>
            </w:r>
          </w:p>
        </w:tc>
        <w:tc>
          <w:tcPr>
            <w:tcW w:w="992" w:type="dxa"/>
            <w:vAlign w:val="center"/>
            <w:hideMark/>
          </w:tcPr>
          <w:p w14:paraId="1B78A8A4"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41468</w:t>
            </w:r>
          </w:p>
        </w:tc>
        <w:tc>
          <w:tcPr>
            <w:tcW w:w="992" w:type="dxa"/>
            <w:vAlign w:val="center"/>
            <w:hideMark/>
          </w:tcPr>
          <w:p w14:paraId="7EEA56D8"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11802</w:t>
            </w:r>
          </w:p>
        </w:tc>
        <w:tc>
          <w:tcPr>
            <w:tcW w:w="956" w:type="dxa"/>
            <w:vAlign w:val="center"/>
            <w:hideMark/>
          </w:tcPr>
          <w:p w14:paraId="7F12904E"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116626</w:t>
            </w:r>
          </w:p>
        </w:tc>
        <w:tc>
          <w:tcPr>
            <w:tcW w:w="1312" w:type="dxa"/>
            <w:vAlign w:val="center"/>
          </w:tcPr>
          <w:p w14:paraId="4D7A070C" w14:textId="5D814679"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12. Meghalaya</w:t>
            </w:r>
          </w:p>
        </w:tc>
        <w:tc>
          <w:tcPr>
            <w:tcW w:w="810" w:type="dxa"/>
            <w:vAlign w:val="center"/>
          </w:tcPr>
          <w:p w14:paraId="56F65434" w14:textId="4379806D"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8657</w:t>
            </w:r>
          </w:p>
        </w:tc>
        <w:tc>
          <w:tcPr>
            <w:tcW w:w="1043" w:type="dxa"/>
            <w:vAlign w:val="center"/>
          </w:tcPr>
          <w:p w14:paraId="52F45494" w14:textId="2740A1BA"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2000</w:t>
            </w:r>
          </w:p>
        </w:tc>
        <w:tc>
          <w:tcPr>
            <w:tcW w:w="1194" w:type="dxa"/>
            <w:vAlign w:val="center"/>
          </w:tcPr>
          <w:p w14:paraId="784A3D3D" w14:textId="75892506"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1383</w:t>
            </w:r>
          </w:p>
        </w:tc>
        <w:tc>
          <w:tcPr>
            <w:tcW w:w="1070" w:type="dxa"/>
            <w:vAlign w:val="center"/>
          </w:tcPr>
          <w:p w14:paraId="15D2DA68" w14:textId="295E49D2"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5274</w:t>
            </w:r>
          </w:p>
        </w:tc>
      </w:tr>
      <w:tr w:rsidR="003E33AC" w:rsidRPr="005858A3" w14:paraId="308539DE" w14:textId="5511763C" w:rsidTr="002C15EA">
        <w:trPr>
          <w:trHeight w:val="20"/>
          <w:jc w:val="center"/>
        </w:trPr>
        <w:tc>
          <w:tcPr>
            <w:tcW w:w="1271" w:type="dxa"/>
            <w:vAlign w:val="center"/>
            <w:hideMark/>
          </w:tcPr>
          <w:p w14:paraId="36106A1B"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4. Gujarat</w:t>
            </w:r>
          </w:p>
        </w:tc>
        <w:tc>
          <w:tcPr>
            <w:tcW w:w="709" w:type="dxa"/>
            <w:vAlign w:val="center"/>
            <w:hideMark/>
          </w:tcPr>
          <w:p w14:paraId="2EC3627B"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226491</w:t>
            </w:r>
          </w:p>
        </w:tc>
        <w:tc>
          <w:tcPr>
            <w:tcW w:w="992" w:type="dxa"/>
            <w:vAlign w:val="center"/>
            <w:hideMark/>
          </w:tcPr>
          <w:p w14:paraId="18A5C5E7"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20894</w:t>
            </w:r>
          </w:p>
        </w:tc>
        <w:tc>
          <w:tcPr>
            <w:tcW w:w="992" w:type="dxa"/>
            <w:vAlign w:val="center"/>
            <w:hideMark/>
          </w:tcPr>
          <w:p w14:paraId="2AA5F1C1"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25589</w:t>
            </w:r>
          </w:p>
        </w:tc>
        <w:tc>
          <w:tcPr>
            <w:tcW w:w="956" w:type="dxa"/>
            <w:vAlign w:val="center"/>
            <w:hideMark/>
          </w:tcPr>
          <w:p w14:paraId="3B3853DA"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180008</w:t>
            </w:r>
          </w:p>
        </w:tc>
        <w:tc>
          <w:tcPr>
            <w:tcW w:w="1312" w:type="dxa"/>
            <w:vAlign w:val="center"/>
          </w:tcPr>
          <w:p w14:paraId="42AEB00F" w14:textId="2142D3D5"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13. Orissa</w:t>
            </w:r>
          </w:p>
        </w:tc>
        <w:tc>
          <w:tcPr>
            <w:tcW w:w="810" w:type="dxa"/>
            <w:vAlign w:val="center"/>
          </w:tcPr>
          <w:p w14:paraId="533B2AC8" w14:textId="1BC5645A"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22973</w:t>
            </w:r>
          </w:p>
        </w:tc>
        <w:tc>
          <w:tcPr>
            <w:tcW w:w="1043" w:type="dxa"/>
            <w:vAlign w:val="center"/>
          </w:tcPr>
          <w:p w14:paraId="5B84D6AD" w14:textId="7EA79F9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902</w:t>
            </w:r>
          </w:p>
        </w:tc>
        <w:tc>
          <w:tcPr>
            <w:tcW w:w="1194" w:type="dxa"/>
            <w:vAlign w:val="center"/>
          </w:tcPr>
          <w:p w14:paraId="7DA3139E" w14:textId="7FA26E52"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10620</w:t>
            </w:r>
          </w:p>
        </w:tc>
        <w:tc>
          <w:tcPr>
            <w:tcW w:w="1070" w:type="dxa"/>
            <w:vAlign w:val="center"/>
          </w:tcPr>
          <w:p w14:paraId="19F1CD51" w14:textId="156F3368"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11451</w:t>
            </w:r>
          </w:p>
        </w:tc>
      </w:tr>
      <w:tr w:rsidR="003E33AC" w:rsidRPr="005858A3" w14:paraId="0EF454FA" w14:textId="6C5E5704" w:rsidTr="002C15EA">
        <w:trPr>
          <w:trHeight w:val="20"/>
          <w:jc w:val="center"/>
        </w:trPr>
        <w:tc>
          <w:tcPr>
            <w:tcW w:w="1271" w:type="dxa"/>
            <w:vAlign w:val="center"/>
            <w:hideMark/>
          </w:tcPr>
          <w:p w14:paraId="0209D85D"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5. Haryana</w:t>
            </w:r>
          </w:p>
        </w:tc>
        <w:tc>
          <w:tcPr>
            <w:tcW w:w="709" w:type="dxa"/>
            <w:vAlign w:val="center"/>
            <w:hideMark/>
          </w:tcPr>
          <w:p w14:paraId="4EBE0BAD"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139440</w:t>
            </w:r>
          </w:p>
        </w:tc>
        <w:tc>
          <w:tcPr>
            <w:tcW w:w="992" w:type="dxa"/>
            <w:vAlign w:val="center"/>
            <w:hideMark/>
          </w:tcPr>
          <w:p w14:paraId="6BD2C5E9"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25352</w:t>
            </w:r>
          </w:p>
        </w:tc>
        <w:tc>
          <w:tcPr>
            <w:tcW w:w="992" w:type="dxa"/>
            <w:vAlign w:val="center"/>
            <w:hideMark/>
          </w:tcPr>
          <w:p w14:paraId="0FFF793A"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29632</w:t>
            </w:r>
          </w:p>
        </w:tc>
        <w:tc>
          <w:tcPr>
            <w:tcW w:w="956" w:type="dxa"/>
            <w:vAlign w:val="center"/>
            <w:hideMark/>
          </w:tcPr>
          <w:p w14:paraId="56DA6A07"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84456</w:t>
            </w:r>
          </w:p>
        </w:tc>
        <w:tc>
          <w:tcPr>
            <w:tcW w:w="1312" w:type="dxa"/>
            <w:vAlign w:val="center"/>
          </w:tcPr>
          <w:p w14:paraId="50E6679B" w14:textId="6613DABF"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14. Punjab</w:t>
            </w:r>
          </w:p>
        </w:tc>
        <w:tc>
          <w:tcPr>
            <w:tcW w:w="810" w:type="dxa"/>
            <w:vAlign w:val="center"/>
          </w:tcPr>
          <w:p w14:paraId="364C8FE6" w14:textId="22BBB38B"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327157</w:t>
            </w:r>
          </w:p>
        </w:tc>
        <w:tc>
          <w:tcPr>
            <w:tcW w:w="1043" w:type="dxa"/>
            <w:vAlign w:val="center"/>
          </w:tcPr>
          <w:p w14:paraId="51A05477" w14:textId="15E3B364"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47675</w:t>
            </w:r>
          </w:p>
        </w:tc>
        <w:tc>
          <w:tcPr>
            <w:tcW w:w="1194" w:type="dxa"/>
            <w:vAlign w:val="center"/>
          </w:tcPr>
          <w:p w14:paraId="204408F9" w14:textId="5B65B946"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18779</w:t>
            </w:r>
          </w:p>
        </w:tc>
        <w:tc>
          <w:tcPr>
            <w:tcW w:w="1070" w:type="dxa"/>
            <w:vAlign w:val="center"/>
          </w:tcPr>
          <w:p w14:paraId="7A3D364D" w14:textId="6881AA3D"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260703</w:t>
            </w:r>
          </w:p>
        </w:tc>
      </w:tr>
      <w:tr w:rsidR="003E33AC" w:rsidRPr="005858A3" w14:paraId="1E5017EA" w14:textId="19591FEF" w:rsidTr="002C15EA">
        <w:trPr>
          <w:trHeight w:val="20"/>
          <w:jc w:val="center"/>
        </w:trPr>
        <w:tc>
          <w:tcPr>
            <w:tcW w:w="1271" w:type="dxa"/>
            <w:vAlign w:val="center"/>
            <w:hideMark/>
          </w:tcPr>
          <w:p w14:paraId="4E6CB0FE"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6. Himachal Pradesh</w:t>
            </w:r>
          </w:p>
        </w:tc>
        <w:tc>
          <w:tcPr>
            <w:tcW w:w="709" w:type="dxa"/>
            <w:vAlign w:val="center"/>
            <w:hideMark/>
          </w:tcPr>
          <w:p w14:paraId="3ACEE6A0"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37107</w:t>
            </w:r>
          </w:p>
        </w:tc>
        <w:tc>
          <w:tcPr>
            <w:tcW w:w="992" w:type="dxa"/>
            <w:vAlign w:val="center"/>
            <w:hideMark/>
          </w:tcPr>
          <w:p w14:paraId="2E72669C"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15638</w:t>
            </w:r>
          </w:p>
        </w:tc>
        <w:tc>
          <w:tcPr>
            <w:tcW w:w="992" w:type="dxa"/>
            <w:vAlign w:val="center"/>
            <w:hideMark/>
          </w:tcPr>
          <w:p w14:paraId="75D74A62"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2842</w:t>
            </w:r>
          </w:p>
        </w:tc>
        <w:tc>
          <w:tcPr>
            <w:tcW w:w="956" w:type="dxa"/>
            <w:vAlign w:val="center"/>
            <w:hideMark/>
          </w:tcPr>
          <w:p w14:paraId="5F4D7807"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18627</w:t>
            </w:r>
          </w:p>
        </w:tc>
        <w:tc>
          <w:tcPr>
            <w:tcW w:w="1312" w:type="dxa"/>
            <w:vAlign w:val="center"/>
          </w:tcPr>
          <w:p w14:paraId="4A5CA35F" w14:textId="516CD102"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15. Rajasthan</w:t>
            </w:r>
          </w:p>
        </w:tc>
        <w:tc>
          <w:tcPr>
            <w:tcW w:w="810" w:type="dxa"/>
            <w:vAlign w:val="center"/>
          </w:tcPr>
          <w:p w14:paraId="592A1210" w14:textId="569B1450"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105923</w:t>
            </w:r>
          </w:p>
        </w:tc>
        <w:tc>
          <w:tcPr>
            <w:tcW w:w="1043" w:type="dxa"/>
            <w:vAlign w:val="center"/>
          </w:tcPr>
          <w:p w14:paraId="23FE0C3F" w14:textId="1667320F"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3717</w:t>
            </w:r>
          </w:p>
        </w:tc>
        <w:tc>
          <w:tcPr>
            <w:tcW w:w="1194" w:type="dxa"/>
            <w:vAlign w:val="center"/>
          </w:tcPr>
          <w:p w14:paraId="72BAE37D" w14:textId="0FF819A2"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48917</w:t>
            </w:r>
          </w:p>
        </w:tc>
        <w:tc>
          <w:tcPr>
            <w:tcW w:w="1070" w:type="dxa"/>
            <w:vAlign w:val="center"/>
          </w:tcPr>
          <w:p w14:paraId="0B2AE653" w14:textId="3BFC0776"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53289</w:t>
            </w:r>
          </w:p>
        </w:tc>
      </w:tr>
      <w:tr w:rsidR="003E33AC" w:rsidRPr="005858A3" w14:paraId="2EEB76BD" w14:textId="07D2B11B" w:rsidTr="002C15EA">
        <w:trPr>
          <w:trHeight w:val="20"/>
          <w:jc w:val="center"/>
        </w:trPr>
        <w:tc>
          <w:tcPr>
            <w:tcW w:w="1271" w:type="dxa"/>
            <w:vAlign w:val="center"/>
            <w:hideMark/>
          </w:tcPr>
          <w:p w14:paraId="01B22974"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7. Jammu and Kashmir</w:t>
            </w:r>
          </w:p>
        </w:tc>
        <w:tc>
          <w:tcPr>
            <w:tcW w:w="709" w:type="dxa"/>
            <w:vAlign w:val="center"/>
            <w:hideMark/>
          </w:tcPr>
          <w:p w14:paraId="2AECF885"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38624</w:t>
            </w:r>
          </w:p>
        </w:tc>
        <w:tc>
          <w:tcPr>
            <w:tcW w:w="992" w:type="dxa"/>
            <w:vAlign w:val="center"/>
            <w:hideMark/>
          </w:tcPr>
          <w:p w14:paraId="6006D4B1"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16489</w:t>
            </w:r>
          </w:p>
        </w:tc>
        <w:tc>
          <w:tcPr>
            <w:tcW w:w="992" w:type="dxa"/>
            <w:vAlign w:val="center"/>
            <w:hideMark/>
          </w:tcPr>
          <w:p w14:paraId="011A7AFF"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700</w:t>
            </w:r>
          </w:p>
        </w:tc>
        <w:tc>
          <w:tcPr>
            <w:tcW w:w="956" w:type="dxa"/>
            <w:vAlign w:val="center"/>
            <w:hideMark/>
          </w:tcPr>
          <w:p w14:paraId="6FED434E"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21435</w:t>
            </w:r>
          </w:p>
        </w:tc>
        <w:tc>
          <w:tcPr>
            <w:tcW w:w="1312" w:type="dxa"/>
            <w:vAlign w:val="center"/>
          </w:tcPr>
          <w:p w14:paraId="5FA3EC35" w14:textId="4EB708C4"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16. Tamil Nadu</w:t>
            </w:r>
          </w:p>
        </w:tc>
        <w:tc>
          <w:tcPr>
            <w:tcW w:w="810" w:type="dxa"/>
            <w:vAlign w:val="center"/>
          </w:tcPr>
          <w:p w14:paraId="329DFA5E" w14:textId="5ED82B4E"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231729</w:t>
            </w:r>
          </w:p>
        </w:tc>
        <w:tc>
          <w:tcPr>
            <w:tcW w:w="1043" w:type="dxa"/>
            <w:vAlign w:val="center"/>
          </w:tcPr>
          <w:p w14:paraId="05B0C955" w14:textId="260242F4"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48467</w:t>
            </w:r>
          </w:p>
        </w:tc>
        <w:tc>
          <w:tcPr>
            <w:tcW w:w="1194" w:type="dxa"/>
            <w:vAlign w:val="center"/>
          </w:tcPr>
          <w:p w14:paraId="1727FE21" w14:textId="3FCF4888"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57826</w:t>
            </w:r>
          </w:p>
        </w:tc>
        <w:tc>
          <w:tcPr>
            <w:tcW w:w="1070" w:type="dxa"/>
            <w:vAlign w:val="center"/>
          </w:tcPr>
          <w:p w14:paraId="38E12011" w14:textId="0E1E6499"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125436</w:t>
            </w:r>
          </w:p>
        </w:tc>
      </w:tr>
      <w:tr w:rsidR="003E33AC" w:rsidRPr="005858A3" w14:paraId="55200A0D" w14:textId="2F97FC0D" w:rsidTr="002C15EA">
        <w:trPr>
          <w:trHeight w:val="20"/>
          <w:jc w:val="center"/>
        </w:trPr>
        <w:tc>
          <w:tcPr>
            <w:tcW w:w="1271" w:type="dxa"/>
            <w:vAlign w:val="center"/>
            <w:hideMark/>
          </w:tcPr>
          <w:p w14:paraId="1A36EE41"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8. Karnataka</w:t>
            </w:r>
          </w:p>
        </w:tc>
        <w:tc>
          <w:tcPr>
            <w:tcW w:w="709" w:type="dxa"/>
            <w:vAlign w:val="center"/>
            <w:hideMark/>
          </w:tcPr>
          <w:p w14:paraId="485EF2ED"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53743</w:t>
            </w:r>
          </w:p>
        </w:tc>
        <w:tc>
          <w:tcPr>
            <w:tcW w:w="992" w:type="dxa"/>
            <w:vAlign w:val="center"/>
            <w:hideMark/>
          </w:tcPr>
          <w:p w14:paraId="7D9A5A97"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5010</w:t>
            </w:r>
          </w:p>
        </w:tc>
        <w:tc>
          <w:tcPr>
            <w:tcW w:w="992" w:type="dxa"/>
            <w:vAlign w:val="center"/>
            <w:hideMark/>
          </w:tcPr>
          <w:p w14:paraId="259253A9"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28879</w:t>
            </w:r>
          </w:p>
        </w:tc>
        <w:tc>
          <w:tcPr>
            <w:tcW w:w="956" w:type="dxa"/>
            <w:vAlign w:val="center"/>
            <w:hideMark/>
          </w:tcPr>
          <w:p w14:paraId="79A03728"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19854</w:t>
            </w:r>
          </w:p>
        </w:tc>
        <w:tc>
          <w:tcPr>
            <w:tcW w:w="1312" w:type="dxa"/>
            <w:vAlign w:val="center"/>
          </w:tcPr>
          <w:p w14:paraId="3B28D8F1" w14:textId="3F05F73B"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17. Uttar Pradesh</w:t>
            </w:r>
          </w:p>
        </w:tc>
        <w:tc>
          <w:tcPr>
            <w:tcW w:w="810" w:type="dxa"/>
            <w:vAlign w:val="center"/>
          </w:tcPr>
          <w:p w14:paraId="564AD886" w14:textId="62EA6E5E"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475065</w:t>
            </w:r>
          </w:p>
        </w:tc>
        <w:tc>
          <w:tcPr>
            <w:tcW w:w="1043" w:type="dxa"/>
            <w:vAlign w:val="center"/>
          </w:tcPr>
          <w:p w14:paraId="2F475D6B" w14:textId="5699077B"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176928</w:t>
            </w:r>
          </w:p>
        </w:tc>
        <w:tc>
          <w:tcPr>
            <w:tcW w:w="1194" w:type="dxa"/>
            <w:vAlign w:val="center"/>
          </w:tcPr>
          <w:p w14:paraId="47AF91DB" w14:textId="47C0D2C6"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59488</w:t>
            </w:r>
          </w:p>
        </w:tc>
        <w:tc>
          <w:tcPr>
            <w:tcW w:w="1070" w:type="dxa"/>
            <w:vAlign w:val="center"/>
          </w:tcPr>
          <w:p w14:paraId="74AD4A53" w14:textId="4B62CEA5"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238669</w:t>
            </w:r>
          </w:p>
        </w:tc>
      </w:tr>
      <w:tr w:rsidR="003E33AC" w:rsidRPr="005858A3" w14:paraId="709EFBAC" w14:textId="3709368F" w:rsidTr="002C15EA">
        <w:trPr>
          <w:trHeight w:val="20"/>
          <w:jc w:val="center"/>
        </w:trPr>
        <w:tc>
          <w:tcPr>
            <w:tcW w:w="1271" w:type="dxa"/>
            <w:vAlign w:val="center"/>
            <w:hideMark/>
          </w:tcPr>
          <w:p w14:paraId="492E74C8" w14:textId="77777777"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9. Kerala</w:t>
            </w:r>
          </w:p>
        </w:tc>
        <w:tc>
          <w:tcPr>
            <w:tcW w:w="709" w:type="dxa"/>
            <w:vAlign w:val="center"/>
            <w:hideMark/>
          </w:tcPr>
          <w:p w14:paraId="1642F141"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64957</w:t>
            </w:r>
          </w:p>
        </w:tc>
        <w:tc>
          <w:tcPr>
            <w:tcW w:w="992" w:type="dxa"/>
            <w:vAlign w:val="center"/>
            <w:hideMark/>
          </w:tcPr>
          <w:p w14:paraId="212E00DD"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17763</w:t>
            </w:r>
          </w:p>
        </w:tc>
        <w:tc>
          <w:tcPr>
            <w:tcW w:w="992" w:type="dxa"/>
            <w:vAlign w:val="center"/>
            <w:hideMark/>
          </w:tcPr>
          <w:p w14:paraId="7CE3E53D"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14552</w:t>
            </w:r>
          </w:p>
        </w:tc>
        <w:tc>
          <w:tcPr>
            <w:tcW w:w="956" w:type="dxa"/>
            <w:vAlign w:val="center"/>
            <w:hideMark/>
          </w:tcPr>
          <w:p w14:paraId="4DDE55E3" w14:textId="77777777"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32642</w:t>
            </w:r>
          </w:p>
        </w:tc>
        <w:tc>
          <w:tcPr>
            <w:tcW w:w="1312" w:type="dxa"/>
            <w:vAlign w:val="center"/>
          </w:tcPr>
          <w:p w14:paraId="7F648BAD" w14:textId="289E6C2E"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18. West Bengal</w:t>
            </w:r>
          </w:p>
        </w:tc>
        <w:tc>
          <w:tcPr>
            <w:tcW w:w="810" w:type="dxa"/>
            <w:vAlign w:val="center"/>
          </w:tcPr>
          <w:p w14:paraId="06A92B55" w14:textId="60A8EB30"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70657</w:t>
            </w:r>
          </w:p>
        </w:tc>
        <w:tc>
          <w:tcPr>
            <w:tcW w:w="1043" w:type="dxa"/>
            <w:vAlign w:val="center"/>
          </w:tcPr>
          <w:p w14:paraId="6EB2847F" w14:textId="4B537F68"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26609</w:t>
            </w:r>
          </w:p>
        </w:tc>
        <w:tc>
          <w:tcPr>
            <w:tcW w:w="1194" w:type="dxa"/>
            <w:vAlign w:val="center"/>
          </w:tcPr>
          <w:p w14:paraId="59EF3C39" w14:textId="5D4B92FE"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11592</w:t>
            </w:r>
          </w:p>
        </w:tc>
        <w:tc>
          <w:tcPr>
            <w:tcW w:w="1070" w:type="dxa"/>
            <w:vAlign w:val="center"/>
          </w:tcPr>
          <w:p w14:paraId="777ECEB5" w14:textId="37530ECA"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32456</w:t>
            </w:r>
          </w:p>
        </w:tc>
      </w:tr>
      <w:tr w:rsidR="003E33AC" w:rsidRPr="005858A3" w14:paraId="4A6D0B95" w14:textId="56CCEFE3" w:rsidTr="002C15EA">
        <w:trPr>
          <w:trHeight w:val="20"/>
          <w:jc w:val="center"/>
        </w:trPr>
        <w:tc>
          <w:tcPr>
            <w:tcW w:w="1271" w:type="dxa"/>
            <w:vAlign w:val="center"/>
            <w:hideMark/>
          </w:tcPr>
          <w:p w14:paraId="1E29F83D" w14:textId="6BD0E53C"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sz w:val="14"/>
                <w:szCs w:val="14"/>
              </w:rPr>
              <w:t>10. Madhya Pradesh</w:t>
            </w:r>
          </w:p>
        </w:tc>
        <w:tc>
          <w:tcPr>
            <w:tcW w:w="709" w:type="dxa"/>
            <w:vAlign w:val="center"/>
            <w:hideMark/>
          </w:tcPr>
          <w:p w14:paraId="4B24EE49" w14:textId="47F7233C"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199262</w:t>
            </w:r>
          </w:p>
        </w:tc>
        <w:tc>
          <w:tcPr>
            <w:tcW w:w="992" w:type="dxa"/>
            <w:vAlign w:val="center"/>
            <w:hideMark/>
          </w:tcPr>
          <w:p w14:paraId="62D65436" w14:textId="6F0F9920"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42023</w:t>
            </w:r>
          </w:p>
        </w:tc>
        <w:tc>
          <w:tcPr>
            <w:tcW w:w="992" w:type="dxa"/>
            <w:vAlign w:val="center"/>
            <w:hideMark/>
          </w:tcPr>
          <w:p w14:paraId="536998D2" w14:textId="447242C8"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37510</w:t>
            </w:r>
          </w:p>
        </w:tc>
        <w:tc>
          <w:tcPr>
            <w:tcW w:w="956" w:type="dxa"/>
            <w:vAlign w:val="center"/>
            <w:hideMark/>
          </w:tcPr>
          <w:p w14:paraId="15189E23" w14:textId="6E78CAB2"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sz w:val="14"/>
                <w:szCs w:val="14"/>
              </w:rPr>
              <w:t>119729</w:t>
            </w:r>
          </w:p>
        </w:tc>
        <w:tc>
          <w:tcPr>
            <w:tcW w:w="1312" w:type="dxa"/>
            <w:vAlign w:val="center"/>
          </w:tcPr>
          <w:p w14:paraId="31B525B7" w14:textId="086B202C" w:rsidR="003E33AC" w:rsidRPr="005858A3" w:rsidRDefault="003E33AC" w:rsidP="002C15EA">
            <w:pPr>
              <w:pStyle w:val="NoSpacing"/>
              <w:rPr>
                <w:rFonts w:ascii="Times New Roman" w:hAnsi="Times New Roman" w:cs="Times New Roman"/>
                <w:sz w:val="14"/>
                <w:szCs w:val="14"/>
              </w:rPr>
            </w:pPr>
            <w:r w:rsidRPr="005858A3">
              <w:rPr>
                <w:rFonts w:ascii="Times New Roman" w:hAnsi="Times New Roman" w:cs="Times New Roman"/>
                <w:b/>
                <w:bCs/>
                <w:sz w:val="14"/>
                <w:szCs w:val="14"/>
              </w:rPr>
              <w:t>TOTAL</w:t>
            </w:r>
          </w:p>
        </w:tc>
        <w:tc>
          <w:tcPr>
            <w:tcW w:w="810" w:type="dxa"/>
            <w:vAlign w:val="center"/>
          </w:tcPr>
          <w:p w14:paraId="6FAF1A89" w14:textId="10BDE1B9"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b/>
                <w:bCs/>
                <w:sz w:val="14"/>
                <w:szCs w:val="14"/>
              </w:rPr>
              <w:t>2656582</w:t>
            </w:r>
          </w:p>
        </w:tc>
        <w:tc>
          <w:tcPr>
            <w:tcW w:w="1043" w:type="dxa"/>
            <w:vAlign w:val="center"/>
          </w:tcPr>
          <w:p w14:paraId="64F290BC" w14:textId="5F89305A"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b/>
                <w:bCs/>
                <w:sz w:val="14"/>
                <w:szCs w:val="14"/>
              </w:rPr>
              <w:t>572832</w:t>
            </w:r>
          </w:p>
        </w:tc>
        <w:tc>
          <w:tcPr>
            <w:tcW w:w="1194" w:type="dxa"/>
            <w:vAlign w:val="center"/>
          </w:tcPr>
          <w:p w14:paraId="209628E0" w14:textId="2D10C4BD"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b/>
                <w:bCs/>
                <w:sz w:val="14"/>
                <w:szCs w:val="14"/>
              </w:rPr>
              <w:t>553249</w:t>
            </w:r>
          </w:p>
        </w:tc>
        <w:tc>
          <w:tcPr>
            <w:tcW w:w="1070" w:type="dxa"/>
            <w:vAlign w:val="center"/>
          </w:tcPr>
          <w:p w14:paraId="0F1BB44E" w14:textId="77584A8B" w:rsidR="003E33AC" w:rsidRPr="005858A3" w:rsidRDefault="003E33AC" w:rsidP="002C15EA">
            <w:pPr>
              <w:pStyle w:val="NoSpacing"/>
              <w:jc w:val="center"/>
              <w:rPr>
                <w:rFonts w:ascii="Times New Roman" w:hAnsi="Times New Roman" w:cs="Times New Roman"/>
                <w:sz w:val="14"/>
                <w:szCs w:val="14"/>
              </w:rPr>
            </w:pPr>
            <w:r w:rsidRPr="005858A3">
              <w:rPr>
                <w:rFonts w:ascii="Times New Roman" w:hAnsi="Times New Roman" w:cs="Times New Roman"/>
                <w:b/>
                <w:bCs/>
                <w:sz w:val="14"/>
                <w:szCs w:val="14"/>
              </w:rPr>
              <w:t>1530501</w:t>
            </w:r>
          </w:p>
        </w:tc>
      </w:tr>
    </w:tbl>
    <w:p w14:paraId="4AC7B780" w14:textId="5F10C42C" w:rsidR="004A41E7" w:rsidRPr="005858A3" w:rsidRDefault="004A41E7" w:rsidP="00CE0E88">
      <w:pPr>
        <w:pStyle w:val="Heading2"/>
        <w:rPr>
          <w:sz w:val="16"/>
          <w:szCs w:val="16"/>
        </w:rPr>
      </w:pPr>
      <w:bookmarkStart w:id="58" w:name="_Toc221292986"/>
      <w:bookmarkStart w:id="59" w:name="_Toc222399478"/>
      <w:r w:rsidRPr="005858A3">
        <w:rPr>
          <w:sz w:val="16"/>
          <w:szCs w:val="16"/>
        </w:rPr>
        <w:t>ANNEXURE III.5</w:t>
      </w:r>
      <w:r w:rsidR="00CE0E88" w:rsidRPr="005858A3">
        <w:rPr>
          <w:sz w:val="16"/>
          <w:szCs w:val="16"/>
        </w:rPr>
        <w:br/>
      </w:r>
      <w:r w:rsidRPr="005858A3">
        <w:rPr>
          <w:sz w:val="16"/>
          <w:szCs w:val="16"/>
        </w:rPr>
        <w:t xml:space="preserve">Net Return </w:t>
      </w:r>
      <w:proofErr w:type="gramStart"/>
      <w:r w:rsidRPr="005858A3">
        <w:rPr>
          <w:sz w:val="16"/>
          <w:szCs w:val="16"/>
        </w:rPr>
        <w:t>On</w:t>
      </w:r>
      <w:proofErr w:type="gramEnd"/>
      <w:r w:rsidRPr="005858A3">
        <w:rPr>
          <w:sz w:val="16"/>
          <w:szCs w:val="16"/>
        </w:rPr>
        <w:t xml:space="preserve"> Investments </w:t>
      </w:r>
      <w:proofErr w:type="gramStart"/>
      <w:r w:rsidRPr="005858A3">
        <w:rPr>
          <w:sz w:val="16"/>
          <w:szCs w:val="16"/>
        </w:rPr>
        <w:t>In</w:t>
      </w:r>
      <w:proofErr w:type="gramEnd"/>
      <w:r w:rsidRPr="005858A3">
        <w:rPr>
          <w:sz w:val="16"/>
          <w:szCs w:val="16"/>
        </w:rPr>
        <w:t xml:space="preserve"> State Electricity </w:t>
      </w:r>
      <w:proofErr w:type="gramStart"/>
      <w:r w:rsidRPr="005858A3">
        <w:rPr>
          <w:sz w:val="16"/>
          <w:szCs w:val="16"/>
        </w:rPr>
        <w:t>Boards :</w:t>
      </w:r>
      <w:proofErr w:type="gramEnd"/>
      <w:r w:rsidRPr="005858A3">
        <w:rPr>
          <w:sz w:val="16"/>
          <w:szCs w:val="16"/>
        </w:rPr>
        <w:t xml:space="preserve"> 1990-91 To 1994-95</w:t>
      </w:r>
      <w:bookmarkEnd w:id="58"/>
      <w:bookmarkEnd w:id="59"/>
    </w:p>
    <w:p w14:paraId="2D2948D5" w14:textId="0E075DDD" w:rsidR="00AB335A" w:rsidRPr="005858A3" w:rsidRDefault="00CE0E88" w:rsidP="002C15EA">
      <w:pPr>
        <w:pStyle w:val="NoSpacing"/>
        <w:jc w:val="right"/>
        <w:rPr>
          <w:rFonts w:ascii="Times New Roman" w:hAnsi="Times New Roman" w:cs="Times New Roman"/>
          <w:i/>
          <w:iCs/>
          <w:sz w:val="16"/>
          <w:szCs w:val="14"/>
        </w:rPr>
      </w:pPr>
      <w:r w:rsidRPr="005858A3">
        <w:rPr>
          <w:rFonts w:ascii="Times New Roman" w:hAnsi="Times New Roman" w:cs="Times New Roman"/>
          <w:sz w:val="16"/>
          <w:szCs w:val="14"/>
        </w:rPr>
        <w:t>(Para 3.21</w:t>
      </w:r>
      <w:r w:rsidRPr="005858A3">
        <w:rPr>
          <w:rFonts w:ascii="Times New Roman" w:hAnsi="Times New Roman" w:cs="Times New Roman"/>
          <w:i/>
          <w:iCs/>
          <w:sz w:val="16"/>
          <w:szCs w:val="14"/>
        </w:rPr>
        <w:t>)</w:t>
      </w:r>
      <w:r w:rsidR="002C15EA" w:rsidRPr="005858A3">
        <w:rPr>
          <w:rFonts w:ascii="Times New Roman" w:hAnsi="Times New Roman" w:cs="Times New Roman"/>
          <w:i/>
          <w:iCs/>
          <w:sz w:val="16"/>
          <w:szCs w:val="14"/>
        </w:rPr>
        <w:tab/>
      </w:r>
      <w:r w:rsidR="005858A3">
        <w:rPr>
          <w:rFonts w:ascii="Times New Roman" w:hAnsi="Times New Roman" w:cs="Times New Roman"/>
          <w:i/>
          <w:iCs/>
          <w:sz w:val="16"/>
          <w:szCs w:val="14"/>
        </w:rPr>
        <w:tab/>
      </w:r>
      <w:r w:rsidR="005858A3">
        <w:rPr>
          <w:rFonts w:ascii="Times New Roman" w:hAnsi="Times New Roman" w:cs="Times New Roman"/>
          <w:i/>
          <w:iCs/>
          <w:sz w:val="16"/>
          <w:szCs w:val="14"/>
        </w:rPr>
        <w:tab/>
      </w:r>
      <w:r w:rsidR="005858A3">
        <w:rPr>
          <w:rFonts w:ascii="Times New Roman" w:hAnsi="Times New Roman" w:cs="Times New Roman"/>
          <w:i/>
          <w:iCs/>
          <w:sz w:val="16"/>
          <w:szCs w:val="14"/>
        </w:rPr>
        <w:tab/>
      </w:r>
      <w:r w:rsidR="002C15EA" w:rsidRPr="005858A3">
        <w:rPr>
          <w:rFonts w:ascii="Times New Roman" w:hAnsi="Times New Roman" w:cs="Times New Roman"/>
          <w:i/>
          <w:iCs/>
          <w:sz w:val="16"/>
          <w:szCs w:val="14"/>
        </w:rPr>
        <w:tab/>
      </w:r>
      <w:r w:rsidR="002C15EA" w:rsidRPr="005858A3">
        <w:rPr>
          <w:rFonts w:ascii="Times New Roman" w:hAnsi="Times New Roman" w:cs="Times New Roman"/>
          <w:i/>
          <w:iCs/>
          <w:sz w:val="16"/>
          <w:szCs w:val="14"/>
        </w:rPr>
        <w:tab/>
      </w:r>
      <w:r w:rsidR="002C15EA" w:rsidRPr="005858A3">
        <w:rPr>
          <w:rFonts w:ascii="Times New Roman" w:hAnsi="Times New Roman" w:cs="Times New Roman"/>
          <w:i/>
          <w:iCs/>
          <w:sz w:val="16"/>
          <w:szCs w:val="14"/>
        </w:rPr>
        <w:tab/>
        <w:t>(R</w:t>
      </w:r>
      <w:r w:rsidR="004A41E7" w:rsidRPr="005858A3">
        <w:rPr>
          <w:rFonts w:ascii="Times New Roman" w:hAnsi="Times New Roman" w:cs="Times New Roman"/>
          <w:i/>
          <w:iCs/>
          <w:sz w:val="14"/>
          <w:szCs w:val="12"/>
        </w:rPr>
        <w:t>s. Lakh)</w:t>
      </w:r>
    </w:p>
    <w:tbl>
      <w:tblPr>
        <w:tblStyle w:val="TableGrid"/>
        <w:tblW w:w="9634" w:type="dxa"/>
        <w:jc w:val="center"/>
        <w:tblLook w:val="04A0" w:firstRow="1" w:lastRow="0" w:firstColumn="1" w:lastColumn="0" w:noHBand="0" w:noVBand="1"/>
      </w:tblPr>
      <w:tblGrid>
        <w:gridCol w:w="3338"/>
        <w:gridCol w:w="1052"/>
        <w:gridCol w:w="850"/>
        <w:gridCol w:w="851"/>
        <w:gridCol w:w="1134"/>
        <w:gridCol w:w="992"/>
        <w:gridCol w:w="1417"/>
      </w:tblGrid>
      <w:tr w:rsidR="00AB335A" w:rsidRPr="005858A3" w14:paraId="5FB1C50B" w14:textId="77777777" w:rsidTr="003E33AC">
        <w:trPr>
          <w:trHeight w:val="20"/>
          <w:jc w:val="center"/>
        </w:trPr>
        <w:tc>
          <w:tcPr>
            <w:tcW w:w="3338" w:type="dxa"/>
            <w:vAlign w:val="center"/>
            <w:hideMark/>
          </w:tcPr>
          <w:p w14:paraId="69748B2A" w14:textId="77777777" w:rsidR="004A41E7" w:rsidRPr="005858A3" w:rsidRDefault="004A41E7" w:rsidP="00CE0E88">
            <w:pPr>
              <w:pStyle w:val="NoSpacing"/>
              <w:rPr>
                <w:rFonts w:ascii="Times New Roman" w:hAnsi="Times New Roman" w:cs="Times New Roman"/>
                <w:b/>
                <w:bCs/>
                <w:sz w:val="14"/>
                <w:szCs w:val="12"/>
              </w:rPr>
            </w:pPr>
            <w:r w:rsidRPr="005858A3">
              <w:rPr>
                <w:rFonts w:ascii="Times New Roman" w:hAnsi="Times New Roman" w:cs="Times New Roman"/>
                <w:b/>
                <w:bCs/>
                <w:sz w:val="14"/>
                <w:szCs w:val="12"/>
              </w:rPr>
              <w:t>STATE</w:t>
            </w:r>
          </w:p>
        </w:tc>
        <w:tc>
          <w:tcPr>
            <w:tcW w:w="1052" w:type="dxa"/>
            <w:vAlign w:val="center"/>
            <w:hideMark/>
          </w:tcPr>
          <w:p w14:paraId="370BA73F" w14:textId="77777777" w:rsidR="004A41E7" w:rsidRPr="005858A3" w:rsidRDefault="004A41E7" w:rsidP="00CE0E88">
            <w:pPr>
              <w:pStyle w:val="NoSpacing"/>
              <w:jc w:val="center"/>
              <w:rPr>
                <w:rFonts w:ascii="Times New Roman" w:hAnsi="Times New Roman" w:cs="Times New Roman"/>
                <w:b/>
                <w:bCs/>
                <w:sz w:val="14"/>
                <w:szCs w:val="12"/>
              </w:rPr>
            </w:pPr>
            <w:r w:rsidRPr="005858A3">
              <w:rPr>
                <w:rFonts w:ascii="Times New Roman" w:hAnsi="Times New Roman" w:cs="Times New Roman"/>
                <w:b/>
                <w:bCs/>
                <w:sz w:val="14"/>
                <w:szCs w:val="12"/>
              </w:rPr>
              <w:t>1990-91</w:t>
            </w:r>
          </w:p>
        </w:tc>
        <w:tc>
          <w:tcPr>
            <w:tcW w:w="850" w:type="dxa"/>
            <w:vAlign w:val="center"/>
            <w:hideMark/>
          </w:tcPr>
          <w:p w14:paraId="551BDF52" w14:textId="77777777" w:rsidR="004A41E7" w:rsidRPr="005858A3" w:rsidRDefault="004A41E7" w:rsidP="00CE0E88">
            <w:pPr>
              <w:pStyle w:val="NoSpacing"/>
              <w:jc w:val="center"/>
              <w:rPr>
                <w:rFonts w:ascii="Times New Roman" w:hAnsi="Times New Roman" w:cs="Times New Roman"/>
                <w:b/>
                <w:bCs/>
                <w:sz w:val="14"/>
                <w:szCs w:val="12"/>
              </w:rPr>
            </w:pPr>
            <w:r w:rsidRPr="005858A3">
              <w:rPr>
                <w:rFonts w:ascii="Times New Roman" w:hAnsi="Times New Roman" w:cs="Times New Roman"/>
                <w:b/>
                <w:bCs/>
                <w:sz w:val="14"/>
                <w:szCs w:val="12"/>
              </w:rPr>
              <w:t>1991-92</w:t>
            </w:r>
          </w:p>
        </w:tc>
        <w:tc>
          <w:tcPr>
            <w:tcW w:w="851" w:type="dxa"/>
            <w:vAlign w:val="center"/>
            <w:hideMark/>
          </w:tcPr>
          <w:p w14:paraId="295338EA" w14:textId="77777777" w:rsidR="004A41E7" w:rsidRPr="005858A3" w:rsidRDefault="004A41E7" w:rsidP="00CE0E88">
            <w:pPr>
              <w:pStyle w:val="NoSpacing"/>
              <w:jc w:val="center"/>
              <w:rPr>
                <w:rFonts w:ascii="Times New Roman" w:hAnsi="Times New Roman" w:cs="Times New Roman"/>
                <w:b/>
                <w:bCs/>
                <w:sz w:val="14"/>
                <w:szCs w:val="12"/>
              </w:rPr>
            </w:pPr>
            <w:r w:rsidRPr="005858A3">
              <w:rPr>
                <w:rFonts w:ascii="Times New Roman" w:hAnsi="Times New Roman" w:cs="Times New Roman"/>
                <w:b/>
                <w:bCs/>
                <w:sz w:val="14"/>
                <w:szCs w:val="12"/>
              </w:rPr>
              <w:t>1992-93</w:t>
            </w:r>
          </w:p>
        </w:tc>
        <w:tc>
          <w:tcPr>
            <w:tcW w:w="1134" w:type="dxa"/>
            <w:vAlign w:val="center"/>
            <w:hideMark/>
          </w:tcPr>
          <w:p w14:paraId="78BB209A" w14:textId="77777777" w:rsidR="004A41E7" w:rsidRPr="005858A3" w:rsidRDefault="004A41E7" w:rsidP="00CE0E88">
            <w:pPr>
              <w:pStyle w:val="NoSpacing"/>
              <w:jc w:val="center"/>
              <w:rPr>
                <w:rFonts w:ascii="Times New Roman" w:hAnsi="Times New Roman" w:cs="Times New Roman"/>
                <w:b/>
                <w:bCs/>
                <w:sz w:val="14"/>
                <w:szCs w:val="12"/>
              </w:rPr>
            </w:pPr>
            <w:r w:rsidRPr="005858A3">
              <w:rPr>
                <w:rFonts w:ascii="Times New Roman" w:hAnsi="Times New Roman" w:cs="Times New Roman"/>
                <w:b/>
                <w:bCs/>
                <w:sz w:val="14"/>
                <w:szCs w:val="12"/>
              </w:rPr>
              <w:t>1993-94</w:t>
            </w:r>
          </w:p>
        </w:tc>
        <w:tc>
          <w:tcPr>
            <w:tcW w:w="992" w:type="dxa"/>
            <w:vAlign w:val="center"/>
            <w:hideMark/>
          </w:tcPr>
          <w:p w14:paraId="3DDEAB9B" w14:textId="77777777" w:rsidR="004A41E7" w:rsidRPr="005858A3" w:rsidRDefault="004A41E7" w:rsidP="00CE0E88">
            <w:pPr>
              <w:pStyle w:val="NoSpacing"/>
              <w:jc w:val="center"/>
              <w:rPr>
                <w:rFonts w:ascii="Times New Roman" w:hAnsi="Times New Roman" w:cs="Times New Roman"/>
                <w:b/>
                <w:bCs/>
                <w:sz w:val="14"/>
                <w:szCs w:val="12"/>
              </w:rPr>
            </w:pPr>
            <w:r w:rsidRPr="005858A3">
              <w:rPr>
                <w:rFonts w:ascii="Times New Roman" w:hAnsi="Times New Roman" w:cs="Times New Roman"/>
                <w:b/>
                <w:bCs/>
                <w:sz w:val="14"/>
                <w:szCs w:val="12"/>
              </w:rPr>
              <w:t>1994-95</w:t>
            </w:r>
          </w:p>
        </w:tc>
        <w:tc>
          <w:tcPr>
            <w:tcW w:w="1417" w:type="dxa"/>
            <w:vAlign w:val="center"/>
            <w:hideMark/>
          </w:tcPr>
          <w:p w14:paraId="226A364C" w14:textId="77777777" w:rsidR="004A41E7" w:rsidRPr="005858A3" w:rsidRDefault="004A41E7" w:rsidP="00CE0E88">
            <w:pPr>
              <w:pStyle w:val="NoSpacing"/>
              <w:jc w:val="center"/>
              <w:rPr>
                <w:rFonts w:ascii="Times New Roman" w:hAnsi="Times New Roman" w:cs="Times New Roman"/>
                <w:b/>
                <w:bCs/>
                <w:sz w:val="14"/>
                <w:szCs w:val="12"/>
              </w:rPr>
            </w:pPr>
            <w:r w:rsidRPr="005858A3">
              <w:rPr>
                <w:rFonts w:ascii="Times New Roman" w:hAnsi="Times New Roman" w:cs="Times New Roman"/>
                <w:b/>
                <w:bCs/>
                <w:sz w:val="14"/>
                <w:szCs w:val="12"/>
              </w:rPr>
              <w:t>Total 1990-95</w:t>
            </w:r>
          </w:p>
        </w:tc>
      </w:tr>
      <w:tr w:rsidR="00AB335A" w:rsidRPr="005858A3" w14:paraId="7B9CB9DC" w14:textId="77777777" w:rsidTr="003E33AC">
        <w:trPr>
          <w:trHeight w:val="20"/>
          <w:jc w:val="center"/>
        </w:trPr>
        <w:tc>
          <w:tcPr>
            <w:tcW w:w="3338" w:type="dxa"/>
            <w:vAlign w:val="center"/>
            <w:hideMark/>
          </w:tcPr>
          <w:p w14:paraId="41E1231E"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1. ANDHRA PRADESH</w:t>
            </w:r>
          </w:p>
        </w:tc>
        <w:tc>
          <w:tcPr>
            <w:tcW w:w="1052" w:type="dxa"/>
            <w:vAlign w:val="center"/>
            <w:hideMark/>
          </w:tcPr>
          <w:p w14:paraId="750D13DB"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11BFB039"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01D83155"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5DE94D50"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5A47E22F"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12BD1A0A"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7933A12F" w14:textId="77777777" w:rsidTr="003E33AC">
        <w:trPr>
          <w:trHeight w:val="20"/>
          <w:jc w:val="center"/>
        </w:trPr>
        <w:tc>
          <w:tcPr>
            <w:tcW w:w="3338" w:type="dxa"/>
            <w:vAlign w:val="center"/>
            <w:hideMark/>
          </w:tcPr>
          <w:p w14:paraId="46933105"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17CC6FA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491</w:t>
            </w:r>
          </w:p>
        </w:tc>
        <w:tc>
          <w:tcPr>
            <w:tcW w:w="850" w:type="dxa"/>
            <w:vAlign w:val="center"/>
            <w:hideMark/>
          </w:tcPr>
          <w:p w14:paraId="18E3FD3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839</w:t>
            </w:r>
          </w:p>
        </w:tc>
        <w:tc>
          <w:tcPr>
            <w:tcW w:w="851" w:type="dxa"/>
            <w:vAlign w:val="center"/>
            <w:hideMark/>
          </w:tcPr>
          <w:p w14:paraId="7D74D1A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1278</w:t>
            </w:r>
          </w:p>
        </w:tc>
        <w:tc>
          <w:tcPr>
            <w:tcW w:w="1134" w:type="dxa"/>
            <w:vAlign w:val="center"/>
            <w:hideMark/>
          </w:tcPr>
          <w:p w14:paraId="059C153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1809</w:t>
            </w:r>
          </w:p>
        </w:tc>
        <w:tc>
          <w:tcPr>
            <w:tcW w:w="992" w:type="dxa"/>
            <w:vAlign w:val="center"/>
            <w:hideMark/>
          </w:tcPr>
          <w:p w14:paraId="4FE6AA2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2431</w:t>
            </w:r>
          </w:p>
        </w:tc>
        <w:tc>
          <w:tcPr>
            <w:tcW w:w="1417" w:type="dxa"/>
            <w:vAlign w:val="center"/>
            <w:hideMark/>
          </w:tcPr>
          <w:p w14:paraId="5F19BB4F"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6848</w:t>
            </w:r>
          </w:p>
        </w:tc>
      </w:tr>
      <w:tr w:rsidR="00AB335A" w:rsidRPr="005858A3" w14:paraId="7B1449C3" w14:textId="77777777" w:rsidTr="003E33AC">
        <w:trPr>
          <w:trHeight w:val="20"/>
          <w:jc w:val="center"/>
        </w:trPr>
        <w:tc>
          <w:tcPr>
            <w:tcW w:w="3338" w:type="dxa"/>
            <w:vAlign w:val="center"/>
            <w:hideMark/>
          </w:tcPr>
          <w:p w14:paraId="4CBB7FF6"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5028CBD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3900</w:t>
            </w:r>
          </w:p>
        </w:tc>
        <w:tc>
          <w:tcPr>
            <w:tcW w:w="850" w:type="dxa"/>
            <w:vAlign w:val="center"/>
            <w:hideMark/>
          </w:tcPr>
          <w:p w14:paraId="48200DC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4095</w:t>
            </w:r>
          </w:p>
        </w:tc>
        <w:tc>
          <w:tcPr>
            <w:tcW w:w="851" w:type="dxa"/>
            <w:vAlign w:val="center"/>
            <w:hideMark/>
          </w:tcPr>
          <w:p w14:paraId="10BC967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4299</w:t>
            </w:r>
          </w:p>
        </w:tc>
        <w:tc>
          <w:tcPr>
            <w:tcW w:w="1134" w:type="dxa"/>
            <w:vAlign w:val="center"/>
            <w:hideMark/>
          </w:tcPr>
          <w:p w14:paraId="2DE5BFB5"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4514</w:t>
            </w:r>
          </w:p>
        </w:tc>
        <w:tc>
          <w:tcPr>
            <w:tcW w:w="992" w:type="dxa"/>
            <w:vAlign w:val="center"/>
            <w:hideMark/>
          </w:tcPr>
          <w:p w14:paraId="61F8401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4740</w:t>
            </w:r>
          </w:p>
        </w:tc>
        <w:tc>
          <w:tcPr>
            <w:tcW w:w="1417" w:type="dxa"/>
            <w:vAlign w:val="center"/>
            <w:hideMark/>
          </w:tcPr>
          <w:p w14:paraId="0BC0B60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21548</w:t>
            </w:r>
          </w:p>
        </w:tc>
      </w:tr>
      <w:tr w:rsidR="00AB335A" w:rsidRPr="005858A3" w14:paraId="3D6D6ED9" w14:textId="77777777" w:rsidTr="003E33AC">
        <w:trPr>
          <w:trHeight w:val="20"/>
          <w:jc w:val="center"/>
        </w:trPr>
        <w:tc>
          <w:tcPr>
            <w:tcW w:w="3338" w:type="dxa"/>
            <w:vAlign w:val="center"/>
            <w:hideMark/>
          </w:tcPr>
          <w:p w14:paraId="545EBD84"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51995E93"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0" w:type="dxa"/>
            <w:vAlign w:val="center"/>
            <w:hideMark/>
          </w:tcPr>
          <w:p w14:paraId="03CDFD4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1" w:type="dxa"/>
            <w:vAlign w:val="center"/>
            <w:hideMark/>
          </w:tcPr>
          <w:p w14:paraId="107A586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134" w:type="dxa"/>
            <w:vAlign w:val="center"/>
            <w:hideMark/>
          </w:tcPr>
          <w:p w14:paraId="409DFF1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992" w:type="dxa"/>
            <w:vAlign w:val="center"/>
            <w:hideMark/>
          </w:tcPr>
          <w:p w14:paraId="085024D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417" w:type="dxa"/>
            <w:vAlign w:val="center"/>
            <w:hideMark/>
          </w:tcPr>
          <w:p w14:paraId="05A2463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r>
      <w:tr w:rsidR="00AB335A" w:rsidRPr="005858A3" w14:paraId="0CC5CCE5" w14:textId="77777777" w:rsidTr="003E33AC">
        <w:trPr>
          <w:trHeight w:val="20"/>
          <w:jc w:val="center"/>
        </w:trPr>
        <w:tc>
          <w:tcPr>
            <w:tcW w:w="3338" w:type="dxa"/>
            <w:vAlign w:val="center"/>
            <w:hideMark/>
          </w:tcPr>
          <w:p w14:paraId="2A4248C2"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2. BIHAR</w:t>
            </w:r>
          </w:p>
        </w:tc>
        <w:tc>
          <w:tcPr>
            <w:tcW w:w="1052" w:type="dxa"/>
            <w:vAlign w:val="center"/>
            <w:hideMark/>
          </w:tcPr>
          <w:p w14:paraId="4BEE10B8"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07043F4F"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48FD72B8"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3E26DF73"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74571A1D"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4C91B47C"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11471D5D" w14:textId="77777777" w:rsidTr="003E33AC">
        <w:trPr>
          <w:trHeight w:val="20"/>
          <w:jc w:val="center"/>
        </w:trPr>
        <w:tc>
          <w:tcPr>
            <w:tcW w:w="3338" w:type="dxa"/>
            <w:vAlign w:val="center"/>
            <w:hideMark/>
          </w:tcPr>
          <w:p w14:paraId="1B522A7C"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3A34A0D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3499</w:t>
            </w:r>
          </w:p>
        </w:tc>
        <w:tc>
          <w:tcPr>
            <w:tcW w:w="850" w:type="dxa"/>
            <w:vAlign w:val="center"/>
            <w:hideMark/>
          </w:tcPr>
          <w:p w14:paraId="100BA1D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4985</w:t>
            </w:r>
          </w:p>
        </w:tc>
        <w:tc>
          <w:tcPr>
            <w:tcW w:w="851" w:type="dxa"/>
            <w:vAlign w:val="center"/>
            <w:hideMark/>
          </w:tcPr>
          <w:p w14:paraId="294B818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6632</w:t>
            </w:r>
          </w:p>
        </w:tc>
        <w:tc>
          <w:tcPr>
            <w:tcW w:w="1134" w:type="dxa"/>
            <w:vAlign w:val="center"/>
            <w:hideMark/>
          </w:tcPr>
          <w:p w14:paraId="50B3FCA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8439</w:t>
            </w:r>
          </w:p>
        </w:tc>
        <w:tc>
          <w:tcPr>
            <w:tcW w:w="992" w:type="dxa"/>
            <w:vAlign w:val="center"/>
            <w:hideMark/>
          </w:tcPr>
          <w:p w14:paraId="23F0040F"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10407</w:t>
            </w:r>
          </w:p>
        </w:tc>
        <w:tc>
          <w:tcPr>
            <w:tcW w:w="1417" w:type="dxa"/>
            <w:vAlign w:val="center"/>
            <w:hideMark/>
          </w:tcPr>
          <w:p w14:paraId="49D87D2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33962</w:t>
            </w:r>
          </w:p>
        </w:tc>
      </w:tr>
      <w:tr w:rsidR="00AB335A" w:rsidRPr="005858A3" w14:paraId="7F3ACA80" w14:textId="77777777" w:rsidTr="003E33AC">
        <w:trPr>
          <w:trHeight w:val="20"/>
          <w:jc w:val="center"/>
        </w:trPr>
        <w:tc>
          <w:tcPr>
            <w:tcW w:w="3338" w:type="dxa"/>
            <w:vAlign w:val="center"/>
            <w:hideMark/>
          </w:tcPr>
          <w:p w14:paraId="703E2F7B"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1CB0727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1919</w:t>
            </w:r>
          </w:p>
        </w:tc>
        <w:tc>
          <w:tcPr>
            <w:tcW w:w="850" w:type="dxa"/>
            <w:vAlign w:val="center"/>
            <w:hideMark/>
          </w:tcPr>
          <w:p w14:paraId="38238DDB"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2015</w:t>
            </w:r>
          </w:p>
        </w:tc>
        <w:tc>
          <w:tcPr>
            <w:tcW w:w="851" w:type="dxa"/>
            <w:vAlign w:val="center"/>
            <w:hideMark/>
          </w:tcPr>
          <w:p w14:paraId="4705C98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2116</w:t>
            </w:r>
          </w:p>
        </w:tc>
        <w:tc>
          <w:tcPr>
            <w:tcW w:w="1134" w:type="dxa"/>
            <w:vAlign w:val="center"/>
            <w:hideMark/>
          </w:tcPr>
          <w:p w14:paraId="440FFD2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2222</w:t>
            </w:r>
          </w:p>
        </w:tc>
        <w:tc>
          <w:tcPr>
            <w:tcW w:w="992" w:type="dxa"/>
            <w:vAlign w:val="center"/>
            <w:hideMark/>
          </w:tcPr>
          <w:p w14:paraId="346FB03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2333</w:t>
            </w:r>
          </w:p>
        </w:tc>
        <w:tc>
          <w:tcPr>
            <w:tcW w:w="1417" w:type="dxa"/>
            <w:vAlign w:val="center"/>
            <w:hideMark/>
          </w:tcPr>
          <w:p w14:paraId="3BC7E8CD"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10605</w:t>
            </w:r>
          </w:p>
        </w:tc>
      </w:tr>
      <w:tr w:rsidR="00AB335A" w:rsidRPr="005858A3" w14:paraId="1694E98D" w14:textId="77777777" w:rsidTr="003E33AC">
        <w:trPr>
          <w:trHeight w:val="20"/>
          <w:jc w:val="center"/>
        </w:trPr>
        <w:tc>
          <w:tcPr>
            <w:tcW w:w="3338" w:type="dxa"/>
            <w:vAlign w:val="center"/>
            <w:hideMark/>
          </w:tcPr>
          <w:p w14:paraId="0D777C07"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3BDDBED5"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1580</w:t>
            </w:r>
          </w:p>
        </w:tc>
        <w:tc>
          <w:tcPr>
            <w:tcW w:w="850" w:type="dxa"/>
            <w:vAlign w:val="center"/>
            <w:hideMark/>
          </w:tcPr>
          <w:p w14:paraId="44EEC44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2970</w:t>
            </w:r>
          </w:p>
        </w:tc>
        <w:tc>
          <w:tcPr>
            <w:tcW w:w="851" w:type="dxa"/>
            <w:vAlign w:val="center"/>
            <w:hideMark/>
          </w:tcPr>
          <w:p w14:paraId="16EBA10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4516</w:t>
            </w:r>
          </w:p>
        </w:tc>
        <w:tc>
          <w:tcPr>
            <w:tcW w:w="1134" w:type="dxa"/>
            <w:vAlign w:val="center"/>
            <w:hideMark/>
          </w:tcPr>
          <w:p w14:paraId="688DFC0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6217</w:t>
            </w:r>
          </w:p>
        </w:tc>
        <w:tc>
          <w:tcPr>
            <w:tcW w:w="992" w:type="dxa"/>
            <w:vAlign w:val="center"/>
            <w:hideMark/>
          </w:tcPr>
          <w:p w14:paraId="2A09D0D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8074</w:t>
            </w:r>
          </w:p>
        </w:tc>
        <w:tc>
          <w:tcPr>
            <w:tcW w:w="1417" w:type="dxa"/>
            <w:vAlign w:val="center"/>
            <w:hideMark/>
          </w:tcPr>
          <w:p w14:paraId="559D821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23357</w:t>
            </w:r>
          </w:p>
        </w:tc>
      </w:tr>
      <w:tr w:rsidR="00AB335A" w:rsidRPr="005858A3" w14:paraId="51D990D0" w14:textId="77777777" w:rsidTr="003E33AC">
        <w:trPr>
          <w:trHeight w:val="20"/>
          <w:jc w:val="center"/>
        </w:trPr>
        <w:tc>
          <w:tcPr>
            <w:tcW w:w="3338" w:type="dxa"/>
            <w:vAlign w:val="center"/>
            <w:hideMark/>
          </w:tcPr>
          <w:p w14:paraId="69D09259"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3. GUJARAT</w:t>
            </w:r>
          </w:p>
        </w:tc>
        <w:tc>
          <w:tcPr>
            <w:tcW w:w="1052" w:type="dxa"/>
            <w:vAlign w:val="center"/>
            <w:hideMark/>
          </w:tcPr>
          <w:p w14:paraId="018B4F28"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58685772"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35EF86CF"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411382B3"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2489DC27"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57CF96D0"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1F78FE04" w14:textId="77777777" w:rsidTr="003E33AC">
        <w:trPr>
          <w:trHeight w:val="20"/>
          <w:jc w:val="center"/>
        </w:trPr>
        <w:tc>
          <w:tcPr>
            <w:tcW w:w="3338" w:type="dxa"/>
            <w:vAlign w:val="center"/>
            <w:hideMark/>
          </w:tcPr>
          <w:p w14:paraId="229560F1"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57B4CE2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5400</w:t>
            </w:r>
          </w:p>
        </w:tc>
        <w:tc>
          <w:tcPr>
            <w:tcW w:w="850" w:type="dxa"/>
            <w:vAlign w:val="center"/>
            <w:hideMark/>
          </w:tcPr>
          <w:p w14:paraId="4E5658E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7349</w:t>
            </w:r>
          </w:p>
        </w:tc>
        <w:tc>
          <w:tcPr>
            <w:tcW w:w="851" w:type="dxa"/>
            <w:vAlign w:val="center"/>
            <w:hideMark/>
          </w:tcPr>
          <w:p w14:paraId="619D9DD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9372</w:t>
            </w:r>
          </w:p>
        </w:tc>
        <w:tc>
          <w:tcPr>
            <w:tcW w:w="1134" w:type="dxa"/>
            <w:vAlign w:val="center"/>
            <w:hideMark/>
          </w:tcPr>
          <w:p w14:paraId="76BD079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11470</w:t>
            </w:r>
          </w:p>
        </w:tc>
        <w:tc>
          <w:tcPr>
            <w:tcW w:w="992" w:type="dxa"/>
            <w:vAlign w:val="center"/>
            <w:hideMark/>
          </w:tcPr>
          <w:p w14:paraId="4CD9E8F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13642</w:t>
            </w:r>
          </w:p>
        </w:tc>
        <w:tc>
          <w:tcPr>
            <w:tcW w:w="1417" w:type="dxa"/>
            <w:vAlign w:val="center"/>
            <w:hideMark/>
          </w:tcPr>
          <w:p w14:paraId="5ECAA71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47233</w:t>
            </w:r>
          </w:p>
        </w:tc>
      </w:tr>
      <w:tr w:rsidR="00AB335A" w:rsidRPr="005858A3" w14:paraId="77B8F1D7" w14:textId="77777777" w:rsidTr="003E33AC">
        <w:trPr>
          <w:trHeight w:val="20"/>
          <w:jc w:val="center"/>
        </w:trPr>
        <w:tc>
          <w:tcPr>
            <w:tcW w:w="3338" w:type="dxa"/>
            <w:vAlign w:val="center"/>
            <w:hideMark/>
          </w:tcPr>
          <w:p w14:paraId="7FB59F10"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75A4312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16942</w:t>
            </w:r>
          </w:p>
        </w:tc>
        <w:tc>
          <w:tcPr>
            <w:tcW w:w="850" w:type="dxa"/>
            <w:vAlign w:val="center"/>
            <w:hideMark/>
          </w:tcPr>
          <w:p w14:paraId="36FFA20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17789</w:t>
            </w:r>
          </w:p>
        </w:tc>
        <w:tc>
          <w:tcPr>
            <w:tcW w:w="851" w:type="dxa"/>
            <w:vAlign w:val="center"/>
            <w:hideMark/>
          </w:tcPr>
          <w:p w14:paraId="07F7CB2D"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18678</w:t>
            </w:r>
          </w:p>
        </w:tc>
        <w:tc>
          <w:tcPr>
            <w:tcW w:w="1134" w:type="dxa"/>
            <w:vAlign w:val="center"/>
            <w:hideMark/>
          </w:tcPr>
          <w:p w14:paraId="483A2EA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19612</w:t>
            </w:r>
          </w:p>
        </w:tc>
        <w:tc>
          <w:tcPr>
            <w:tcW w:w="992" w:type="dxa"/>
            <w:vAlign w:val="center"/>
            <w:hideMark/>
          </w:tcPr>
          <w:p w14:paraId="7B1C841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20593</w:t>
            </w:r>
          </w:p>
        </w:tc>
        <w:tc>
          <w:tcPr>
            <w:tcW w:w="1417" w:type="dxa"/>
            <w:vAlign w:val="center"/>
            <w:hideMark/>
          </w:tcPr>
          <w:p w14:paraId="1003AAB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93614</w:t>
            </w:r>
          </w:p>
        </w:tc>
      </w:tr>
      <w:tr w:rsidR="00AB335A" w:rsidRPr="005858A3" w14:paraId="143C64F5" w14:textId="77777777" w:rsidTr="003E33AC">
        <w:trPr>
          <w:trHeight w:val="20"/>
          <w:jc w:val="center"/>
        </w:trPr>
        <w:tc>
          <w:tcPr>
            <w:tcW w:w="3338" w:type="dxa"/>
            <w:vAlign w:val="center"/>
            <w:hideMark/>
          </w:tcPr>
          <w:p w14:paraId="0D22AA43"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05EA883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0" w:type="dxa"/>
            <w:vAlign w:val="center"/>
            <w:hideMark/>
          </w:tcPr>
          <w:p w14:paraId="1178381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1" w:type="dxa"/>
            <w:vAlign w:val="center"/>
            <w:hideMark/>
          </w:tcPr>
          <w:p w14:paraId="4C0D88B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134" w:type="dxa"/>
            <w:vAlign w:val="center"/>
            <w:hideMark/>
          </w:tcPr>
          <w:p w14:paraId="3E43196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992" w:type="dxa"/>
            <w:vAlign w:val="center"/>
            <w:hideMark/>
          </w:tcPr>
          <w:p w14:paraId="2F31F8A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417" w:type="dxa"/>
            <w:vAlign w:val="center"/>
            <w:hideMark/>
          </w:tcPr>
          <w:p w14:paraId="2B1D0B0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r>
      <w:tr w:rsidR="00AB335A" w:rsidRPr="005858A3" w14:paraId="515F687C" w14:textId="77777777" w:rsidTr="003E33AC">
        <w:trPr>
          <w:trHeight w:val="20"/>
          <w:jc w:val="center"/>
        </w:trPr>
        <w:tc>
          <w:tcPr>
            <w:tcW w:w="3338" w:type="dxa"/>
            <w:vAlign w:val="center"/>
            <w:hideMark/>
          </w:tcPr>
          <w:p w14:paraId="6BF9CFF0"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4. HARYANA</w:t>
            </w:r>
          </w:p>
        </w:tc>
        <w:tc>
          <w:tcPr>
            <w:tcW w:w="1052" w:type="dxa"/>
            <w:vAlign w:val="center"/>
            <w:hideMark/>
          </w:tcPr>
          <w:p w14:paraId="69AB0838"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61674B0C"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52B6EB1E"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4E66BCFB"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566CD647"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28654D9E"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3AEB514F" w14:textId="77777777" w:rsidTr="003E33AC">
        <w:trPr>
          <w:trHeight w:val="20"/>
          <w:jc w:val="center"/>
        </w:trPr>
        <w:tc>
          <w:tcPr>
            <w:tcW w:w="3338" w:type="dxa"/>
            <w:vAlign w:val="center"/>
            <w:hideMark/>
          </w:tcPr>
          <w:p w14:paraId="54383ED4"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0CCF266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2534</w:t>
            </w:r>
          </w:p>
        </w:tc>
        <w:tc>
          <w:tcPr>
            <w:tcW w:w="850" w:type="dxa"/>
            <w:vAlign w:val="center"/>
            <w:hideMark/>
          </w:tcPr>
          <w:p w14:paraId="02021485"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3572</w:t>
            </w:r>
          </w:p>
        </w:tc>
        <w:tc>
          <w:tcPr>
            <w:tcW w:w="851" w:type="dxa"/>
            <w:vAlign w:val="center"/>
            <w:hideMark/>
          </w:tcPr>
          <w:p w14:paraId="24D9DB8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4706</w:t>
            </w:r>
          </w:p>
        </w:tc>
        <w:tc>
          <w:tcPr>
            <w:tcW w:w="1134" w:type="dxa"/>
            <w:vAlign w:val="center"/>
            <w:hideMark/>
          </w:tcPr>
          <w:p w14:paraId="54C7A023"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5937</w:t>
            </w:r>
          </w:p>
        </w:tc>
        <w:tc>
          <w:tcPr>
            <w:tcW w:w="992" w:type="dxa"/>
            <w:vAlign w:val="center"/>
            <w:hideMark/>
          </w:tcPr>
          <w:p w14:paraId="0957443F"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7265</w:t>
            </w:r>
          </w:p>
        </w:tc>
        <w:tc>
          <w:tcPr>
            <w:tcW w:w="1417" w:type="dxa"/>
            <w:vAlign w:val="center"/>
            <w:hideMark/>
          </w:tcPr>
          <w:p w14:paraId="73E1DD15"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24014</w:t>
            </w:r>
          </w:p>
        </w:tc>
      </w:tr>
      <w:tr w:rsidR="00AB335A" w:rsidRPr="005858A3" w14:paraId="4279FD2C" w14:textId="77777777" w:rsidTr="003E33AC">
        <w:trPr>
          <w:trHeight w:val="20"/>
          <w:jc w:val="center"/>
        </w:trPr>
        <w:tc>
          <w:tcPr>
            <w:tcW w:w="3338" w:type="dxa"/>
            <w:vAlign w:val="center"/>
            <w:hideMark/>
          </w:tcPr>
          <w:p w14:paraId="709B2614"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0B10BA1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3644</w:t>
            </w:r>
          </w:p>
        </w:tc>
        <w:tc>
          <w:tcPr>
            <w:tcW w:w="850" w:type="dxa"/>
            <w:vAlign w:val="center"/>
            <w:hideMark/>
          </w:tcPr>
          <w:p w14:paraId="1BBEC7C3"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3826</w:t>
            </w:r>
          </w:p>
        </w:tc>
        <w:tc>
          <w:tcPr>
            <w:tcW w:w="851" w:type="dxa"/>
            <w:vAlign w:val="center"/>
            <w:hideMark/>
          </w:tcPr>
          <w:p w14:paraId="0102566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4017</w:t>
            </w:r>
          </w:p>
        </w:tc>
        <w:tc>
          <w:tcPr>
            <w:tcW w:w="1134" w:type="dxa"/>
            <w:vAlign w:val="center"/>
            <w:hideMark/>
          </w:tcPr>
          <w:p w14:paraId="51B9DA6D"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4218</w:t>
            </w:r>
          </w:p>
        </w:tc>
        <w:tc>
          <w:tcPr>
            <w:tcW w:w="992" w:type="dxa"/>
            <w:vAlign w:val="center"/>
            <w:hideMark/>
          </w:tcPr>
          <w:p w14:paraId="61FD711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4429</w:t>
            </w:r>
          </w:p>
        </w:tc>
        <w:tc>
          <w:tcPr>
            <w:tcW w:w="1417" w:type="dxa"/>
            <w:vAlign w:val="center"/>
            <w:hideMark/>
          </w:tcPr>
          <w:p w14:paraId="52E8A7CB"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20134</w:t>
            </w:r>
          </w:p>
        </w:tc>
      </w:tr>
      <w:tr w:rsidR="00AB335A" w:rsidRPr="005858A3" w14:paraId="6AD670CB" w14:textId="77777777" w:rsidTr="003E33AC">
        <w:trPr>
          <w:trHeight w:val="20"/>
          <w:jc w:val="center"/>
        </w:trPr>
        <w:tc>
          <w:tcPr>
            <w:tcW w:w="3338" w:type="dxa"/>
            <w:vAlign w:val="center"/>
            <w:hideMark/>
          </w:tcPr>
          <w:p w14:paraId="5CF26670"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5A50AE4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0" w:type="dxa"/>
            <w:vAlign w:val="center"/>
            <w:hideMark/>
          </w:tcPr>
          <w:p w14:paraId="643AC09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1" w:type="dxa"/>
            <w:vAlign w:val="center"/>
            <w:hideMark/>
          </w:tcPr>
          <w:p w14:paraId="3CFB692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689</w:t>
            </w:r>
          </w:p>
        </w:tc>
        <w:tc>
          <w:tcPr>
            <w:tcW w:w="1134" w:type="dxa"/>
            <w:vAlign w:val="center"/>
            <w:hideMark/>
          </w:tcPr>
          <w:p w14:paraId="13FDC02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1719</w:t>
            </w:r>
          </w:p>
        </w:tc>
        <w:tc>
          <w:tcPr>
            <w:tcW w:w="992" w:type="dxa"/>
            <w:vAlign w:val="center"/>
            <w:hideMark/>
          </w:tcPr>
          <w:p w14:paraId="08C180D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2836</w:t>
            </w:r>
          </w:p>
        </w:tc>
        <w:tc>
          <w:tcPr>
            <w:tcW w:w="1417" w:type="dxa"/>
            <w:vAlign w:val="center"/>
            <w:hideMark/>
          </w:tcPr>
          <w:p w14:paraId="0278AEC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5244</w:t>
            </w:r>
          </w:p>
        </w:tc>
      </w:tr>
      <w:tr w:rsidR="00AB335A" w:rsidRPr="005858A3" w14:paraId="1910FA73" w14:textId="77777777" w:rsidTr="003E33AC">
        <w:trPr>
          <w:trHeight w:val="20"/>
          <w:jc w:val="center"/>
        </w:trPr>
        <w:tc>
          <w:tcPr>
            <w:tcW w:w="3338" w:type="dxa"/>
            <w:vAlign w:val="center"/>
            <w:hideMark/>
          </w:tcPr>
          <w:p w14:paraId="3FB20DCA"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5. KARNATAKA</w:t>
            </w:r>
          </w:p>
        </w:tc>
        <w:tc>
          <w:tcPr>
            <w:tcW w:w="1052" w:type="dxa"/>
            <w:vAlign w:val="center"/>
            <w:hideMark/>
          </w:tcPr>
          <w:p w14:paraId="2CC7DA79"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0A151081"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6526CF58"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1CED62CD"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59F4014D"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00E2D4F9"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135C2F4A" w14:textId="77777777" w:rsidTr="003E33AC">
        <w:trPr>
          <w:trHeight w:val="20"/>
          <w:jc w:val="center"/>
        </w:trPr>
        <w:tc>
          <w:tcPr>
            <w:tcW w:w="3338" w:type="dxa"/>
            <w:vAlign w:val="center"/>
            <w:hideMark/>
          </w:tcPr>
          <w:p w14:paraId="3B64C4C7"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23DDD1B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596</w:t>
            </w:r>
          </w:p>
        </w:tc>
        <w:tc>
          <w:tcPr>
            <w:tcW w:w="850" w:type="dxa"/>
            <w:vAlign w:val="center"/>
            <w:hideMark/>
          </w:tcPr>
          <w:p w14:paraId="0FC2F2F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896</w:t>
            </w:r>
          </w:p>
        </w:tc>
        <w:tc>
          <w:tcPr>
            <w:tcW w:w="851" w:type="dxa"/>
            <w:vAlign w:val="center"/>
            <w:hideMark/>
          </w:tcPr>
          <w:p w14:paraId="44EF718D"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1248</w:t>
            </w:r>
          </w:p>
        </w:tc>
        <w:tc>
          <w:tcPr>
            <w:tcW w:w="1134" w:type="dxa"/>
            <w:vAlign w:val="center"/>
            <w:hideMark/>
          </w:tcPr>
          <w:p w14:paraId="30E4122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1650</w:t>
            </w:r>
          </w:p>
        </w:tc>
        <w:tc>
          <w:tcPr>
            <w:tcW w:w="992" w:type="dxa"/>
            <w:vAlign w:val="center"/>
            <w:hideMark/>
          </w:tcPr>
          <w:p w14:paraId="389A2E0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2104</w:t>
            </w:r>
          </w:p>
        </w:tc>
        <w:tc>
          <w:tcPr>
            <w:tcW w:w="1417" w:type="dxa"/>
            <w:vAlign w:val="center"/>
            <w:hideMark/>
          </w:tcPr>
          <w:p w14:paraId="0DE488A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6494</w:t>
            </w:r>
          </w:p>
        </w:tc>
      </w:tr>
      <w:tr w:rsidR="00AB335A" w:rsidRPr="005858A3" w14:paraId="307FCF7F" w14:textId="77777777" w:rsidTr="003E33AC">
        <w:trPr>
          <w:trHeight w:val="20"/>
          <w:jc w:val="center"/>
        </w:trPr>
        <w:tc>
          <w:tcPr>
            <w:tcW w:w="3338" w:type="dxa"/>
            <w:vAlign w:val="center"/>
            <w:hideMark/>
          </w:tcPr>
          <w:p w14:paraId="528EE693"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4F30743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8313</w:t>
            </w:r>
          </w:p>
        </w:tc>
        <w:tc>
          <w:tcPr>
            <w:tcW w:w="850" w:type="dxa"/>
            <w:vAlign w:val="center"/>
            <w:hideMark/>
          </w:tcPr>
          <w:p w14:paraId="10E626A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8728</w:t>
            </w:r>
          </w:p>
        </w:tc>
        <w:tc>
          <w:tcPr>
            <w:tcW w:w="851" w:type="dxa"/>
            <w:vAlign w:val="center"/>
            <w:hideMark/>
          </w:tcPr>
          <w:p w14:paraId="6865F75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9165</w:t>
            </w:r>
          </w:p>
        </w:tc>
        <w:tc>
          <w:tcPr>
            <w:tcW w:w="1134" w:type="dxa"/>
            <w:vAlign w:val="center"/>
            <w:hideMark/>
          </w:tcPr>
          <w:p w14:paraId="2ACE853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9623</w:t>
            </w:r>
          </w:p>
        </w:tc>
        <w:tc>
          <w:tcPr>
            <w:tcW w:w="992" w:type="dxa"/>
            <w:vAlign w:val="center"/>
            <w:hideMark/>
          </w:tcPr>
          <w:p w14:paraId="4FD898AB"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10104</w:t>
            </w:r>
          </w:p>
        </w:tc>
        <w:tc>
          <w:tcPr>
            <w:tcW w:w="1417" w:type="dxa"/>
            <w:vAlign w:val="center"/>
            <w:hideMark/>
          </w:tcPr>
          <w:p w14:paraId="4365B93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45933</w:t>
            </w:r>
          </w:p>
        </w:tc>
      </w:tr>
      <w:tr w:rsidR="00AB335A" w:rsidRPr="005858A3" w14:paraId="72CACF68" w14:textId="77777777" w:rsidTr="003E33AC">
        <w:trPr>
          <w:trHeight w:val="20"/>
          <w:jc w:val="center"/>
        </w:trPr>
        <w:tc>
          <w:tcPr>
            <w:tcW w:w="3338" w:type="dxa"/>
            <w:vAlign w:val="center"/>
            <w:hideMark/>
          </w:tcPr>
          <w:p w14:paraId="3248046B"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0FDE491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0" w:type="dxa"/>
            <w:vAlign w:val="center"/>
            <w:hideMark/>
          </w:tcPr>
          <w:p w14:paraId="5DA62D53"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1" w:type="dxa"/>
            <w:vAlign w:val="center"/>
            <w:hideMark/>
          </w:tcPr>
          <w:p w14:paraId="4B25B7A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134" w:type="dxa"/>
            <w:vAlign w:val="center"/>
            <w:hideMark/>
          </w:tcPr>
          <w:p w14:paraId="0104184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992" w:type="dxa"/>
            <w:vAlign w:val="center"/>
            <w:hideMark/>
          </w:tcPr>
          <w:p w14:paraId="1523362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417" w:type="dxa"/>
            <w:vAlign w:val="center"/>
            <w:hideMark/>
          </w:tcPr>
          <w:p w14:paraId="02E0528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r>
      <w:tr w:rsidR="00AB335A" w:rsidRPr="005858A3" w14:paraId="50A83BC9" w14:textId="77777777" w:rsidTr="003E33AC">
        <w:trPr>
          <w:trHeight w:val="20"/>
          <w:jc w:val="center"/>
        </w:trPr>
        <w:tc>
          <w:tcPr>
            <w:tcW w:w="3338" w:type="dxa"/>
            <w:vAlign w:val="center"/>
            <w:hideMark/>
          </w:tcPr>
          <w:p w14:paraId="6983C07B"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6. KERALA</w:t>
            </w:r>
          </w:p>
        </w:tc>
        <w:tc>
          <w:tcPr>
            <w:tcW w:w="1052" w:type="dxa"/>
            <w:vAlign w:val="center"/>
            <w:hideMark/>
          </w:tcPr>
          <w:p w14:paraId="7E7C1302"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78F23C3E"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7FFE14ED"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5175B26C"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2B4AA97C"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6A54C220"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54DD5158" w14:textId="77777777" w:rsidTr="003E33AC">
        <w:trPr>
          <w:trHeight w:val="20"/>
          <w:jc w:val="center"/>
        </w:trPr>
        <w:tc>
          <w:tcPr>
            <w:tcW w:w="3338" w:type="dxa"/>
            <w:vAlign w:val="center"/>
            <w:hideMark/>
          </w:tcPr>
          <w:p w14:paraId="610A7904"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69D176F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979</w:t>
            </w:r>
          </w:p>
        </w:tc>
        <w:tc>
          <w:tcPr>
            <w:tcW w:w="850" w:type="dxa"/>
            <w:vAlign w:val="center"/>
            <w:hideMark/>
          </w:tcPr>
          <w:p w14:paraId="23CE3D9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1533</w:t>
            </w:r>
          </w:p>
        </w:tc>
        <w:tc>
          <w:tcPr>
            <w:tcW w:w="851" w:type="dxa"/>
            <w:vAlign w:val="center"/>
            <w:hideMark/>
          </w:tcPr>
          <w:p w14:paraId="3A1CE155"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2201</w:t>
            </w:r>
          </w:p>
        </w:tc>
        <w:tc>
          <w:tcPr>
            <w:tcW w:w="1134" w:type="dxa"/>
            <w:vAlign w:val="center"/>
            <w:hideMark/>
          </w:tcPr>
          <w:p w14:paraId="00FD44D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2982</w:t>
            </w:r>
          </w:p>
        </w:tc>
        <w:tc>
          <w:tcPr>
            <w:tcW w:w="992" w:type="dxa"/>
            <w:vAlign w:val="center"/>
            <w:hideMark/>
          </w:tcPr>
          <w:p w14:paraId="0F45854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3876</w:t>
            </w:r>
          </w:p>
        </w:tc>
        <w:tc>
          <w:tcPr>
            <w:tcW w:w="1417" w:type="dxa"/>
            <w:vAlign w:val="center"/>
            <w:hideMark/>
          </w:tcPr>
          <w:p w14:paraId="7915D01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11571</w:t>
            </w:r>
          </w:p>
        </w:tc>
      </w:tr>
      <w:tr w:rsidR="00AB335A" w:rsidRPr="005858A3" w14:paraId="3E126C29" w14:textId="77777777" w:rsidTr="003E33AC">
        <w:trPr>
          <w:trHeight w:val="20"/>
          <w:jc w:val="center"/>
        </w:trPr>
        <w:tc>
          <w:tcPr>
            <w:tcW w:w="3338" w:type="dxa"/>
            <w:vAlign w:val="center"/>
            <w:hideMark/>
          </w:tcPr>
          <w:p w14:paraId="498681BF"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482C61FD"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6720</w:t>
            </w:r>
          </w:p>
        </w:tc>
        <w:tc>
          <w:tcPr>
            <w:tcW w:w="850" w:type="dxa"/>
            <w:vAlign w:val="center"/>
            <w:hideMark/>
          </w:tcPr>
          <w:p w14:paraId="69B80C7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7056</w:t>
            </w:r>
          </w:p>
        </w:tc>
        <w:tc>
          <w:tcPr>
            <w:tcW w:w="851" w:type="dxa"/>
            <w:vAlign w:val="center"/>
            <w:hideMark/>
          </w:tcPr>
          <w:p w14:paraId="54C2033F"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7409</w:t>
            </w:r>
          </w:p>
        </w:tc>
        <w:tc>
          <w:tcPr>
            <w:tcW w:w="1134" w:type="dxa"/>
            <w:vAlign w:val="center"/>
            <w:hideMark/>
          </w:tcPr>
          <w:p w14:paraId="32036A9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7779</w:t>
            </w:r>
          </w:p>
        </w:tc>
        <w:tc>
          <w:tcPr>
            <w:tcW w:w="992" w:type="dxa"/>
            <w:vAlign w:val="center"/>
            <w:hideMark/>
          </w:tcPr>
          <w:p w14:paraId="481C1EFB"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8168</w:t>
            </w:r>
          </w:p>
        </w:tc>
        <w:tc>
          <w:tcPr>
            <w:tcW w:w="1417" w:type="dxa"/>
            <w:vAlign w:val="center"/>
            <w:hideMark/>
          </w:tcPr>
          <w:p w14:paraId="79DD690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37132</w:t>
            </w:r>
          </w:p>
        </w:tc>
      </w:tr>
      <w:tr w:rsidR="00AB335A" w:rsidRPr="005858A3" w14:paraId="37B17685" w14:textId="77777777" w:rsidTr="003E33AC">
        <w:trPr>
          <w:trHeight w:val="20"/>
          <w:jc w:val="center"/>
        </w:trPr>
        <w:tc>
          <w:tcPr>
            <w:tcW w:w="3338" w:type="dxa"/>
            <w:vAlign w:val="center"/>
            <w:hideMark/>
          </w:tcPr>
          <w:p w14:paraId="63CC333D"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2BD69CE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0" w:type="dxa"/>
            <w:vAlign w:val="center"/>
            <w:hideMark/>
          </w:tcPr>
          <w:p w14:paraId="634E196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1" w:type="dxa"/>
            <w:vAlign w:val="center"/>
            <w:hideMark/>
          </w:tcPr>
          <w:p w14:paraId="4631ECFF"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134" w:type="dxa"/>
            <w:vAlign w:val="center"/>
            <w:hideMark/>
          </w:tcPr>
          <w:p w14:paraId="045DC54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992" w:type="dxa"/>
            <w:vAlign w:val="center"/>
            <w:hideMark/>
          </w:tcPr>
          <w:p w14:paraId="1C66426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417" w:type="dxa"/>
            <w:vAlign w:val="center"/>
            <w:hideMark/>
          </w:tcPr>
          <w:p w14:paraId="1A0E7529"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r>
      <w:tr w:rsidR="00AB335A" w:rsidRPr="005858A3" w14:paraId="302C5087" w14:textId="77777777" w:rsidTr="003E33AC">
        <w:trPr>
          <w:trHeight w:val="20"/>
          <w:jc w:val="center"/>
        </w:trPr>
        <w:tc>
          <w:tcPr>
            <w:tcW w:w="3338" w:type="dxa"/>
            <w:vAlign w:val="center"/>
            <w:hideMark/>
          </w:tcPr>
          <w:p w14:paraId="2E1C90E1"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7. MADHYA PRADESH</w:t>
            </w:r>
          </w:p>
        </w:tc>
        <w:tc>
          <w:tcPr>
            <w:tcW w:w="1052" w:type="dxa"/>
            <w:vAlign w:val="center"/>
            <w:hideMark/>
          </w:tcPr>
          <w:p w14:paraId="18EEC2EF" w14:textId="77777777" w:rsidR="004A41E7" w:rsidRPr="005858A3" w:rsidRDefault="004A41E7" w:rsidP="00CE0E88">
            <w:pPr>
              <w:pStyle w:val="NoSpacing"/>
              <w:jc w:val="center"/>
              <w:rPr>
                <w:rFonts w:ascii="Times New Roman" w:hAnsi="Times New Roman" w:cs="Times New Roman"/>
                <w:sz w:val="14"/>
                <w:szCs w:val="12"/>
              </w:rPr>
            </w:pPr>
          </w:p>
        </w:tc>
        <w:tc>
          <w:tcPr>
            <w:tcW w:w="850" w:type="dxa"/>
            <w:vAlign w:val="center"/>
            <w:hideMark/>
          </w:tcPr>
          <w:p w14:paraId="1AB91156" w14:textId="77777777" w:rsidR="004A41E7" w:rsidRPr="005858A3" w:rsidRDefault="004A41E7" w:rsidP="00CE0E88">
            <w:pPr>
              <w:pStyle w:val="NoSpacing"/>
              <w:jc w:val="center"/>
              <w:rPr>
                <w:rFonts w:ascii="Times New Roman" w:hAnsi="Times New Roman" w:cs="Times New Roman"/>
                <w:sz w:val="14"/>
                <w:szCs w:val="12"/>
              </w:rPr>
            </w:pPr>
          </w:p>
        </w:tc>
        <w:tc>
          <w:tcPr>
            <w:tcW w:w="851" w:type="dxa"/>
            <w:vAlign w:val="center"/>
            <w:hideMark/>
          </w:tcPr>
          <w:p w14:paraId="48DAC0CC" w14:textId="77777777" w:rsidR="004A41E7" w:rsidRPr="005858A3" w:rsidRDefault="004A41E7" w:rsidP="00CE0E88">
            <w:pPr>
              <w:pStyle w:val="NoSpacing"/>
              <w:jc w:val="center"/>
              <w:rPr>
                <w:rFonts w:ascii="Times New Roman" w:hAnsi="Times New Roman" w:cs="Times New Roman"/>
                <w:sz w:val="14"/>
                <w:szCs w:val="12"/>
              </w:rPr>
            </w:pPr>
          </w:p>
        </w:tc>
        <w:tc>
          <w:tcPr>
            <w:tcW w:w="1134" w:type="dxa"/>
            <w:vAlign w:val="center"/>
            <w:hideMark/>
          </w:tcPr>
          <w:p w14:paraId="0B232090" w14:textId="77777777" w:rsidR="004A41E7" w:rsidRPr="005858A3" w:rsidRDefault="004A41E7" w:rsidP="00CE0E88">
            <w:pPr>
              <w:pStyle w:val="NoSpacing"/>
              <w:jc w:val="center"/>
              <w:rPr>
                <w:rFonts w:ascii="Times New Roman" w:hAnsi="Times New Roman" w:cs="Times New Roman"/>
                <w:sz w:val="14"/>
                <w:szCs w:val="12"/>
              </w:rPr>
            </w:pPr>
          </w:p>
        </w:tc>
        <w:tc>
          <w:tcPr>
            <w:tcW w:w="992" w:type="dxa"/>
            <w:vAlign w:val="center"/>
            <w:hideMark/>
          </w:tcPr>
          <w:p w14:paraId="5DA4EE9B" w14:textId="77777777" w:rsidR="004A41E7" w:rsidRPr="005858A3" w:rsidRDefault="004A41E7" w:rsidP="00CE0E88">
            <w:pPr>
              <w:pStyle w:val="NoSpacing"/>
              <w:jc w:val="center"/>
              <w:rPr>
                <w:rFonts w:ascii="Times New Roman" w:hAnsi="Times New Roman" w:cs="Times New Roman"/>
                <w:sz w:val="14"/>
                <w:szCs w:val="12"/>
              </w:rPr>
            </w:pPr>
          </w:p>
        </w:tc>
        <w:tc>
          <w:tcPr>
            <w:tcW w:w="1417" w:type="dxa"/>
            <w:vAlign w:val="center"/>
            <w:hideMark/>
          </w:tcPr>
          <w:p w14:paraId="1B62964A" w14:textId="77777777" w:rsidR="004A41E7" w:rsidRPr="005858A3" w:rsidRDefault="004A41E7" w:rsidP="00CE0E88">
            <w:pPr>
              <w:pStyle w:val="NoSpacing"/>
              <w:jc w:val="center"/>
              <w:rPr>
                <w:rFonts w:ascii="Times New Roman" w:hAnsi="Times New Roman" w:cs="Times New Roman"/>
                <w:sz w:val="14"/>
                <w:szCs w:val="12"/>
              </w:rPr>
            </w:pPr>
          </w:p>
        </w:tc>
      </w:tr>
      <w:tr w:rsidR="00AB335A" w:rsidRPr="005858A3" w14:paraId="30C22824" w14:textId="77777777" w:rsidTr="003E33AC">
        <w:trPr>
          <w:trHeight w:val="20"/>
          <w:jc w:val="center"/>
        </w:trPr>
        <w:tc>
          <w:tcPr>
            <w:tcW w:w="3338" w:type="dxa"/>
            <w:vAlign w:val="center"/>
            <w:hideMark/>
          </w:tcPr>
          <w:p w14:paraId="2F1A1500"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 xml:space="preserve">Gross Return </w:t>
            </w:r>
            <w:proofErr w:type="gramStart"/>
            <w:r w:rsidRPr="005858A3">
              <w:rPr>
                <w:rFonts w:ascii="Times New Roman" w:hAnsi="Times New Roman" w:cs="Times New Roman"/>
                <w:sz w:val="14"/>
                <w:szCs w:val="12"/>
              </w:rPr>
              <w:t>On</w:t>
            </w:r>
            <w:proofErr w:type="gramEnd"/>
            <w:r w:rsidRPr="005858A3">
              <w:rPr>
                <w:rFonts w:ascii="Times New Roman" w:hAnsi="Times New Roman" w:cs="Times New Roman"/>
                <w:sz w:val="14"/>
                <w:szCs w:val="12"/>
              </w:rPr>
              <w:t xml:space="preserve"> Outstanding State Loan</w:t>
            </w:r>
          </w:p>
        </w:tc>
        <w:tc>
          <w:tcPr>
            <w:tcW w:w="1052" w:type="dxa"/>
            <w:vAlign w:val="center"/>
            <w:hideMark/>
          </w:tcPr>
          <w:p w14:paraId="16A45F3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3592</w:t>
            </w:r>
          </w:p>
        </w:tc>
        <w:tc>
          <w:tcPr>
            <w:tcW w:w="850" w:type="dxa"/>
            <w:vAlign w:val="center"/>
            <w:hideMark/>
          </w:tcPr>
          <w:p w14:paraId="3AE4AB8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5299</w:t>
            </w:r>
          </w:p>
        </w:tc>
        <w:tc>
          <w:tcPr>
            <w:tcW w:w="851" w:type="dxa"/>
            <w:vAlign w:val="center"/>
            <w:hideMark/>
          </w:tcPr>
          <w:p w14:paraId="71941906"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7261</w:t>
            </w:r>
          </w:p>
        </w:tc>
        <w:tc>
          <w:tcPr>
            <w:tcW w:w="1134" w:type="dxa"/>
            <w:vAlign w:val="center"/>
            <w:hideMark/>
          </w:tcPr>
          <w:p w14:paraId="5990FEF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9479</w:t>
            </w:r>
          </w:p>
        </w:tc>
        <w:tc>
          <w:tcPr>
            <w:tcW w:w="992" w:type="dxa"/>
            <w:vAlign w:val="center"/>
            <w:hideMark/>
          </w:tcPr>
          <w:p w14:paraId="2A92AA2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11951</w:t>
            </w:r>
          </w:p>
        </w:tc>
        <w:tc>
          <w:tcPr>
            <w:tcW w:w="1417" w:type="dxa"/>
            <w:vAlign w:val="center"/>
            <w:hideMark/>
          </w:tcPr>
          <w:p w14:paraId="57960171"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37582</w:t>
            </w:r>
          </w:p>
        </w:tc>
      </w:tr>
      <w:tr w:rsidR="00AB335A" w:rsidRPr="005858A3" w14:paraId="0B43E6E7" w14:textId="77777777" w:rsidTr="003E33AC">
        <w:trPr>
          <w:trHeight w:val="20"/>
          <w:jc w:val="center"/>
        </w:trPr>
        <w:tc>
          <w:tcPr>
            <w:tcW w:w="3338" w:type="dxa"/>
            <w:vAlign w:val="center"/>
            <w:hideMark/>
          </w:tcPr>
          <w:p w14:paraId="238AA99F"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Set-off For Electricity Duty</w:t>
            </w:r>
          </w:p>
        </w:tc>
        <w:tc>
          <w:tcPr>
            <w:tcW w:w="1052" w:type="dxa"/>
            <w:vAlign w:val="center"/>
            <w:hideMark/>
          </w:tcPr>
          <w:p w14:paraId="199A099D"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17418</w:t>
            </w:r>
          </w:p>
        </w:tc>
        <w:tc>
          <w:tcPr>
            <w:tcW w:w="850" w:type="dxa"/>
            <w:vAlign w:val="center"/>
            <w:hideMark/>
          </w:tcPr>
          <w:p w14:paraId="456F7F23"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18289</w:t>
            </w:r>
          </w:p>
        </w:tc>
        <w:tc>
          <w:tcPr>
            <w:tcW w:w="851" w:type="dxa"/>
            <w:vAlign w:val="center"/>
            <w:hideMark/>
          </w:tcPr>
          <w:p w14:paraId="616D36E8"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19204</w:t>
            </w:r>
          </w:p>
        </w:tc>
        <w:tc>
          <w:tcPr>
            <w:tcW w:w="1134" w:type="dxa"/>
            <w:vAlign w:val="center"/>
            <w:hideMark/>
          </w:tcPr>
          <w:p w14:paraId="35E05047"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20164</w:t>
            </w:r>
          </w:p>
        </w:tc>
        <w:tc>
          <w:tcPr>
            <w:tcW w:w="992" w:type="dxa"/>
            <w:vAlign w:val="center"/>
            <w:hideMark/>
          </w:tcPr>
          <w:p w14:paraId="7974802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21172</w:t>
            </w:r>
          </w:p>
        </w:tc>
        <w:tc>
          <w:tcPr>
            <w:tcW w:w="1417" w:type="dxa"/>
            <w:vAlign w:val="center"/>
            <w:hideMark/>
          </w:tcPr>
          <w:p w14:paraId="0564E8CE"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96247</w:t>
            </w:r>
          </w:p>
        </w:tc>
      </w:tr>
      <w:tr w:rsidR="00AB335A" w:rsidRPr="005858A3" w14:paraId="484418DE" w14:textId="77777777" w:rsidTr="003E33AC">
        <w:trPr>
          <w:trHeight w:val="20"/>
          <w:jc w:val="center"/>
        </w:trPr>
        <w:tc>
          <w:tcPr>
            <w:tcW w:w="3338" w:type="dxa"/>
            <w:vAlign w:val="center"/>
            <w:hideMark/>
          </w:tcPr>
          <w:p w14:paraId="46FDEB02" w14:textId="77777777" w:rsidR="004A41E7" w:rsidRPr="005858A3" w:rsidRDefault="004A41E7" w:rsidP="00CE0E88">
            <w:pPr>
              <w:pStyle w:val="NoSpacing"/>
              <w:rPr>
                <w:rFonts w:ascii="Times New Roman" w:hAnsi="Times New Roman" w:cs="Times New Roman"/>
                <w:sz w:val="14"/>
                <w:szCs w:val="12"/>
              </w:rPr>
            </w:pPr>
            <w:r w:rsidRPr="005858A3">
              <w:rPr>
                <w:rFonts w:ascii="Times New Roman" w:hAnsi="Times New Roman" w:cs="Times New Roman"/>
                <w:sz w:val="14"/>
                <w:szCs w:val="12"/>
              </w:rPr>
              <w:t>Net Return</w:t>
            </w:r>
          </w:p>
        </w:tc>
        <w:tc>
          <w:tcPr>
            <w:tcW w:w="1052" w:type="dxa"/>
            <w:vAlign w:val="center"/>
            <w:hideMark/>
          </w:tcPr>
          <w:p w14:paraId="162D8352"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0" w:type="dxa"/>
            <w:vAlign w:val="center"/>
            <w:hideMark/>
          </w:tcPr>
          <w:p w14:paraId="6B13A13A"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851" w:type="dxa"/>
            <w:vAlign w:val="center"/>
            <w:hideMark/>
          </w:tcPr>
          <w:p w14:paraId="6B1D1000"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134" w:type="dxa"/>
            <w:vAlign w:val="center"/>
            <w:hideMark/>
          </w:tcPr>
          <w:p w14:paraId="54FBB96C"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992" w:type="dxa"/>
            <w:vAlign w:val="center"/>
            <w:hideMark/>
          </w:tcPr>
          <w:p w14:paraId="580553F4"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c>
          <w:tcPr>
            <w:tcW w:w="1417" w:type="dxa"/>
            <w:vAlign w:val="center"/>
            <w:hideMark/>
          </w:tcPr>
          <w:p w14:paraId="5F728ACF" w14:textId="77777777" w:rsidR="004A41E7" w:rsidRPr="005858A3" w:rsidRDefault="004A41E7" w:rsidP="00CE0E88">
            <w:pPr>
              <w:pStyle w:val="NoSpacing"/>
              <w:jc w:val="center"/>
              <w:rPr>
                <w:rFonts w:ascii="Times New Roman" w:hAnsi="Times New Roman" w:cs="Times New Roman"/>
                <w:sz w:val="14"/>
                <w:szCs w:val="12"/>
              </w:rPr>
            </w:pPr>
            <w:r w:rsidRPr="005858A3">
              <w:rPr>
                <w:rFonts w:ascii="Times New Roman" w:hAnsi="Times New Roman" w:cs="Times New Roman"/>
                <w:sz w:val="14"/>
                <w:szCs w:val="12"/>
              </w:rPr>
              <w:t>-</w:t>
            </w:r>
          </w:p>
        </w:tc>
      </w:tr>
    </w:tbl>
    <w:p w14:paraId="777AC52D" w14:textId="77777777" w:rsidR="004A41E7" w:rsidRPr="00AA6AF4" w:rsidRDefault="004A41E7" w:rsidP="004A41E7">
      <w:pPr>
        <w:pStyle w:val="NoSpacing"/>
        <w:rPr>
          <w:rFonts w:ascii="Times New Roman" w:hAnsi="Times New Roman" w:cs="Times New Roman"/>
          <w:vanish/>
        </w:rPr>
      </w:pPr>
    </w:p>
    <w:tbl>
      <w:tblPr>
        <w:tblStyle w:val="TableGrid"/>
        <w:tblW w:w="9634" w:type="dxa"/>
        <w:jc w:val="center"/>
        <w:tblLook w:val="04A0" w:firstRow="1" w:lastRow="0" w:firstColumn="1" w:lastColumn="0" w:noHBand="0" w:noVBand="1"/>
      </w:tblPr>
      <w:tblGrid>
        <w:gridCol w:w="3397"/>
        <w:gridCol w:w="993"/>
        <w:gridCol w:w="850"/>
        <w:gridCol w:w="851"/>
        <w:gridCol w:w="1134"/>
        <w:gridCol w:w="992"/>
        <w:gridCol w:w="1417"/>
      </w:tblGrid>
      <w:tr w:rsidR="003E33AC" w:rsidRPr="003E33AC" w14:paraId="1F410CBA" w14:textId="77777777" w:rsidTr="003E33AC">
        <w:trPr>
          <w:trHeight w:val="20"/>
          <w:jc w:val="center"/>
        </w:trPr>
        <w:tc>
          <w:tcPr>
            <w:tcW w:w="3397" w:type="dxa"/>
            <w:vAlign w:val="center"/>
            <w:hideMark/>
          </w:tcPr>
          <w:p w14:paraId="4E4C72D0" w14:textId="2F5F11DB"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8. MAHARASHTRA</w:t>
            </w:r>
          </w:p>
        </w:tc>
        <w:tc>
          <w:tcPr>
            <w:tcW w:w="993" w:type="dxa"/>
            <w:vAlign w:val="center"/>
            <w:hideMark/>
          </w:tcPr>
          <w:p w14:paraId="65DD807C"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7D96F69A"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237F5ED1"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68654EEA"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119162CB"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1187BBEC"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63FD8D05" w14:textId="77777777" w:rsidTr="003E33AC">
        <w:trPr>
          <w:trHeight w:val="20"/>
          <w:jc w:val="center"/>
        </w:trPr>
        <w:tc>
          <w:tcPr>
            <w:tcW w:w="3397" w:type="dxa"/>
            <w:vAlign w:val="center"/>
            <w:hideMark/>
          </w:tcPr>
          <w:p w14:paraId="1D91F3B2"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033EA90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4282</w:t>
            </w:r>
          </w:p>
        </w:tc>
        <w:tc>
          <w:tcPr>
            <w:tcW w:w="850" w:type="dxa"/>
            <w:vAlign w:val="center"/>
            <w:hideMark/>
          </w:tcPr>
          <w:p w14:paraId="15E6BE8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6312</w:t>
            </w:r>
          </w:p>
        </w:tc>
        <w:tc>
          <w:tcPr>
            <w:tcW w:w="851" w:type="dxa"/>
            <w:vAlign w:val="center"/>
            <w:hideMark/>
          </w:tcPr>
          <w:p w14:paraId="5027B36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8642</w:t>
            </w:r>
          </w:p>
        </w:tc>
        <w:tc>
          <w:tcPr>
            <w:tcW w:w="1134" w:type="dxa"/>
            <w:vAlign w:val="center"/>
            <w:hideMark/>
          </w:tcPr>
          <w:p w14:paraId="1E1A8B6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11274</w:t>
            </w:r>
          </w:p>
        </w:tc>
        <w:tc>
          <w:tcPr>
            <w:tcW w:w="992" w:type="dxa"/>
            <w:vAlign w:val="center"/>
            <w:hideMark/>
          </w:tcPr>
          <w:p w14:paraId="7B61BF9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14207</w:t>
            </w:r>
          </w:p>
        </w:tc>
        <w:tc>
          <w:tcPr>
            <w:tcW w:w="1417" w:type="dxa"/>
            <w:vAlign w:val="center"/>
            <w:hideMark/>
          </w:tcPr>
          <w:p w14:paraId="7000A66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44717</w:t>
            </w:r>
          </w:p>
        </w:tc>
      </w:tr>
      <w:tr w:rsidR="003E33AC" w:rsidRPr="003E33AC" w14:paraId="74C78ABB" w14:textId="77777777" w:rsidTr="003E33AC">
        <w:trPr>
          <w:trHeight w:val="20"/>
          <w:jc w:val="center"/>
        </w:trPr>
        <w:tc>
          <w:tcPr>
            <w:tcW w:w="3397" w:type="dxa"/>
            <w:vAlign w:val="center"/>
            <w:hideMark/>
          </w:tcPr>
          <w:p w14:paraId="1117E88A"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5D40A2F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24248</w:t>
            </w:r>
          </w:p>
        </w:tc>
        <w:tc>
          <w:tcPr>
            <w:tcW w:w="850" w:type="dxa"/>
            <w:vAlign w:val="center"/>
            <w:hideMark/>
          </w:tcPr>
          <w:p w14:paraId="13B7C2D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25460</w:t>
            </w:r>
          </w:p>
        </w:tc>
        <w:tc>
          <w:tcPr>
            <w:tcW w:w="851" w:type="dxa"/>
            <w:vAlign w:val="center"/>
            <w:hideMark/>
          </w:tcPr>
          <w:p w14:paraId="0BBB141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26733</w:t>
            </w:r>
          </w:p>
        </w:tc>
        <w:tc>
          <w:tcPr>
            <w:tcW w:w="1134" w:type="dxa"/>
            <w:vAlign w:val="center"/>
            <w:hideMark/>
          </w:tcPr>
          <w:p w14:paraId="22FE899A"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28070</w:t>
            </w:r>
          </w:p>
        </w:tc>
        <w:tc>
          <w:tcPr>
            <w:tcW w:w="992" w:type="dxa"/>
            <w:vAlign w:val="center"/>
            <w:hideMark/>
          </w:tcPr>
          <w:p w14:paraId="19F1AB3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29473</w:t>
            </w:r>
          </w:p>
        </w:tc>
        <w:tc>
          <w:tcPr>
            <w:tcW w:w="1417" w:type="dxa"/>
            <w:vAlign w:val="center"/>
            <w:hideMark/>
          </w:tcPr>
          <w:p w14:paraId="674247C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133984</w:t>
            </w:r>
          </w:p>
        </w:tc>
      </w:tr>
      <w:tr w:rsidR="003E33AC" w:rsidRPr="003E33AC" w14:paraId="4B172922" w14:textId="77777777" w:rsidTr="003E33AC">
        <w:trPr>
          <w:trHeight w:val="20"/>
          <w:jc w:val="center"/>
        </w:trPr>
        <w:tc>
          <w:tcPr>
            <w:tcW w:w="3397" w:type="dxa"/>
            <w:vAlign w:val="center"/>
            <w:hideMark/>
          </w:tcPr>
          <w:p w14:paraId="26221D0C"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05C12B9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0" w:type="dxa"/>
            <w:vAlign w:val="center"/>
            <w:hideMark/>
          </w:tcPr>
          <w:p w14:paraId="5EB28F6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1" w:type="dxa"/>
            <w:vAlign w:val="center"/>
            <w:hideMark/>
          </w:tcPr>
          <w:p w14:paraId="0334682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134" w:type="dxa"/>
            <w:vAlign w:val="center"/>
            <w:hideMark/>
          </w:tcPr>
          <w:p w14:paraId="0C8CF5DE"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992" w:type="dxa"/>
            <w:vAlign w:val="center"/>
            <w:hideMark/>
          </w:tcPr>
          <w:p w14:paraId="16C0FAA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417" w:type="dxa"/>
            <w:vAlign w:val="center"/>
            <w:hideMark/>
          </w:tcPr>
          <w:p w14:paraId="045BA6B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r>
      <w:tr w:rsidR="003E33AC" w:rsidRPr="003E33AC" w14:paraId="2AE1C620" w14:textId="77777777" w:rsidTr="003E33AC">
        <w:trPr>
          <w:trHeight w:val="20"/>
          <w:jc w:val="center"/>
        </w:trPr>
        <w:tc>
          <w:tcPr>
            <w:tcW w:w="3397" w:type="dxa"/>
            <w:vAlign w:val="center"/>
            <w:hideMark/>
          </w:tcPr>
          <w:p w14:paraId="5291E876"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9. ORISSA</w:t>
            </w:r>
          </w:p>
        </w:tc>
        <w:tc>
          <w:tcPr>
            <w:tcW w:w="993" w:type="dxa"/>
            <w:vAlign w:val="center"/>
            <w:hideMark/>
          </w:tcPr>
          <w:p w14:paraId="428FD6A0"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23299736"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0D9AB95A"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03C57728"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4978FB9E"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4159BE2E"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4B8232DB" w14:textId="77777777" w:rsidTr="003E33AC">
        <w:trPr>
          <w:trHeight w:val="20"/>
          <w:jc w:val="center"/>
        </w:trPr>
        <w:tc>
          <w:tcPr>
            <w:tcW w:w="3397" w:type="dxa"/>
            <w:vAlign w:val="center"/>
            <w:hideMark/>
          </w:tcPr>
          <w:p w14:paraId="327A842E"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212DA849"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344</w:t>
            </w:r>
          </w:p>
        </w:tc>
        <w:tc>
          <w:tcPr>
            <w:tcW w:w="850" w:type="dxa"/>
            <w:vAlign w:val="center"/>
            <w:hideMark/>
          </w:tcPr>
          <w:p w14:paraId="6F9DCE9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485</w:t>
            </w:r>
          </w:p>
        </w:tc>
        <w:tc>
          <w:tcPr>
            <w:tcW w:w="851" w:type="dxa"/>
            <w:vAlign w:val="center"/>
            <w:hideMark/>
          </w:tcPr>
          <w:p w14:paraId="140C2B9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640</w:t>
            </w:r>
          </w:p>
        </w:tc>
        <w:tc>
          <w:tcPr>
            <w:tcW w:w="1134" w:type="dxa"/>
            <w:vAlign w:val="center"/>
            <w:hideMark/>
          </w:tcPr>
          <w:p w14:paraId="31EFF49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809</w:t>
            </w:r>
          </w:p>
        </w:tc>
        <w:tc>
          <w:tcPr>
            <w:tcW w:w="992" w:type="dxa"/>
            <w:vAlign w:val="center"/>
            <w:hideMark/>
          </w:tcPr>
          <w:p w14:paraId="5D868D4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991</w:t>
            </w:r>
          </w:p>
        </w:tc>
        <w:tc>
          <w:tcPr>
            <w:tcW w:w="1417" w:type="dxa"/>
            <w:vAlign w:val="center"/>
            <w:hideMark/>
          </w:tcPr>
          <w:p w14:paraId="0DE5FF5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3269</w:t>
            </w:r>
          </w:p>
        </w:tc>
      </w:tr>
      <w:tr w:rsidR="003E33AC" w:rsidRPr="003E33AC" w14:paraId="4133B62A" w14:textId="77777777" w:rsidTr="003E33AC">
        <w:trPr>
          <w:trHeight w:val="20"/>
          <w:jc w:val="center"/>
        </w:trPr>
        <w:tc>
          <w:tcPr>
            <w:tcW w:w="3397" w:type="dxa"/>
            <w:vAlign w:val="center"/>
            <w:hideMark/>
          </w:tcPr>
          <w:p w14:paraId="5CE5CB81"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76BD0CC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6997</w:t>
            </w:r>
          </w:p>
        </w:tc>
        <w:tc>
          <w:tcPr>
            <w:tcW w:w="850" w:type="dxa"/>
            <w:vAlign w:val="center"/>
            <w:hideMark/>
          </w:tcPr>
          <w:p w14:paraId="4DA0CE6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7347</w:t>
            </w:r>
          </w:p>
        </w:tc>
        <w:tc>
          <w:tcPr>
            <w:tcW w:w="851" w:type="dxa"/>
            <w:vAlign w:val="center"/>
            <w:hideMark/>
          </w:tcPr>
          <w:p w14:paraId="2D1ABBE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7714</w:t>
            </w:r>
          </w:p>
        </w:tc>
        <w:tc>
          <w:tcPr>
            <w:tcW w:w="1134" w:type="dxa"/>
            <w:vAlign w:val="center"/>
            <w:hideMark/>
          </w:tcPr>
          <w:p w14:paraId="75A7642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8100</w:t>
            </w:r>
          </w:p>
        </w:tc>
        <w:tc>
          <w:tcPr>
            <w:tcW w:w="992" w:type="dxa"/>
            <w:vAlign w:val="center"/>
            <w:hideMark/>
          </w:tcPr>
          <w:p w14:paraId="31B956A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8505</w:t>
            </w:r>
          </w:p>
        </w:tc>
        <w:tc>
          <w:tcPr>
            <w:tcW w:w="1417" w:type="dxa"/>
            <w:vAlign w:val="center"/>
            <w:hideMark/>
          </w:tcPr>
          <w:p w14:paraId="2E3EFB19"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38663</w:t>
            </w:r>
          </w:p>
        </w:tc>
      </w:tr>
      <w:tr w:rsidR="003E33AC" w:rsidRPr="003E33AC" w14:paraId="2DF6B922" w14:textId="77777777" w:rsidTr="003E33AC">
        <w:trPr>
          <w:trHeight w:val="20"/>
          <w:jc w:val="center"/>
        </w:trPr>
        <w:tc>
          <w:tcPr>
            <w:tcW w:w="3397" w:type="dxa"/>
            <w:vAlign w:val="center"/>
            <w:hideMark/>
          </w:tcPr>
          <w:p w14:paraId="77E0390E"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6FF9B91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0" w:type="dxa"/>
            <w:vAlign w:val="center"/>
            <w:hideMark/>
          </w:tcPr>
          <w:p w14:paraId="5A3E432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1" w:type="dxa"/>
            <w:vAlign w:val="center"/>
            <w:hideMark/>
          </w:tcPr>
          <w:p w14:paraId="21A317FF"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134" w:type="dxa"/>
            <w:vAlign w:val="center"/>
            <w:hideMark/>
          </w:tcPr>
          <w:p w14:paraId="08DC4989"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992" w:type="dxa"/>
            <w:vAlign w:val="center"/>
            <w:hideMark/>
          </w:tcPr>
          <w:p w14:paraId="05FDD39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417" w:type="dxa"/>
            <w:vAlign w:val="center"/>
            <w:hideMark/>
          </w:tcPr>
          <w:p w14:paraId="75AAA13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r>
      <w:tr w:rsidR="003E33AC" w:rsidRPr="003E33AC" w14:paraId="3B36D7FF" w14:textId="77777777" w:rsidTr="003E33AC">
        <w:trPr>
          <w:trHeight w:val="20"/>
          <w:jc w:val="center"/>
        </w:trPr>
        <w:tc>
          <w:tcPr>
            <w:tcW w:w="3397" w:type="dxa"/>
            <w:vAlign w:val="center"/>
            <w:hideMark/>
          </w:tcPr>
          <w:p w14:paraId="6D290938"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10. PUNJAB</w:t>
            </w:r>
          </w:p>
        </w:tc>
        <w:tc>
          <w:tcPr>
            <w:tcW w:w="993" w:type="dxa"/>
            <w:vAlign w:val="center"/>
            <w:hideMark/>
          </w:tcPr>
          <w:p w14:paraId="5A538834"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519D0B3B"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10C4B632"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658E54E2"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205B4F33"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69FA1CFC"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7E8625D5" w14:textId="77777777" w:rsidTr="003E33AC">
        <w:trPr>
          <w:trHeight w:val="20"/>
          <w:jc w:val="center"/>
        </w:trPr>
        <w:tc>
          <w:tcPr>
            <w:tcW w:w="3397" w:type="dxa"/>
            <w:vAlign w:val="center"/>
            <w:hideMark/>
          </w:tcPr>
          <w:p w14:paraId="4209336B"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76066B4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7821</w:t>
            </w:r>
          </w:p>
        </w:tc>
        <w:tc>
          <w:tcPr>
            <w:tcW w:w="850" w:type="dxa"/>
            <w:vAlign w:val="center"/>
            <w:hideMark/>
          </w:tcPr>
          <w:p w14:paraId="6F4E9A1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10668</w:t>
            </w:r>
          </w:p>
        </w:tc>
        <w:tc>
          <w:tcPr>
            <w:tcW w:w="851" w:type="dxa"/>
            <w:vAlign w:val="center"/>
            <w:hideMark/>
          </w:tcPr>
          <w:p w14:paraId="35799A8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13635</w:t>
            </w:r>
          </w:p>
        </w:tc>
        <w:tc>
          <w:tcPr>
            <w:tcW w:w="1134" w:type="dxa"/>
            <w:vAlign w:val="center"/>
            <w:hideMark/>
          </w:tcPr>
          <w:p w14:paraId="152AF05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16721</w:t>
            </w:r>
          </w:p>
        </w:tc>
        <w:tc>
          <w:tcPr>
            <w:tcW w:w="992" w:type="dxa"/>
            <w:vAlign w:val="center"/>
            <w:hideMark/>
          </w:tcPr>
          <w:p w14:paraId="2B53CAC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19921</w:t>
            </w:r>
          </w:p>
        </w:tc>
        <w:tc>
          <w:tcPr>
            <w:tcW w:w="1417" w:type="dxa"/>
            <w:vAlign w:val="center"/>
            <w:hideMark/>
          </w:tcPr>
          <w:p w14:paraId="4897B1A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68766</w:t>
            </w:r>
          </w:p>
        </w:tc>
      </w:tr>
      <w:tr w:rsidR="003E33AC" w:rsidRPr="003E33AC" w14:paraId="7E2643AE" w14:textId="77777777" w:rsidTr="003E33AC">
        <w:trPr>
          <w:trHeight w:val="20"/>
          <w:jc w:val="center"/>
        </w:trPr>
        <w:tc>
          <w:tcPr>
            <w:tcW w:w="3397" w:type="dxa"/>
            <w:vAlign w:val="center"/>
            <w:hideMark/>
          </w:tcPr>
          <w:p w14:paraId="7B664CFE"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1EA4ACC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5534</w:t>
            </w:r>
          </w:p>
        </w:tc>
        <w:tc>
          <w:tcPr>
            <w:tcW w:w="850" w:type="dxa"/>
            <w:vAlign w:val="center"/>
            <w:hideMark/>
          </w:tcPr>
          <w:p w14:paraId="2E85158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5810</w:t>
            </w:r>
          </w:p>
        </w:tc>
        <w:tc>
          <w:tcPr>
            <w:tcW w:w="851" w:type="dxa"/>
            <w:vAlign w:val="center"/>
            <w:hideMark/>
          </w:tcPr>
          <w:p w14:paraId="42989219"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6101</w:t>
            </w:r>
          </w:p>
        </w:tc>
        <w:tc>
          <w:tcPr>
            <w:tcW w:w="1134" w:type="dxa"/>
            <w:vAlign w:val="center"/>
            <w:hideMark/>
          </w:tcPr>
          <w:p w14:paraId="722994AF"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6406</w:t>
            </w:r>
          </w:p>
        </w:tc>
        <w:tc>
          <w:tcPr>
            <w:tcW w:w="992" w:type="dxa"/>
            <w:vAlign w:val="center"/>
            <w:hideMark/>
          </w:tcPr>
          <w:p w14:paraId="4039E1FA"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6726</w:t>
            </w:r>
          </w:p>
        </w:tc>
        <w:tc>
          <w:tcPr>
            <w:tcW w:w="1417" w:type="dxa"/>
            <w:vAlign w:val="center"/>
            <w:hideMark/>
          </w:tcPr>
          <w:p w14:paraId="079F1CF3"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30577</w:t>
            </w:r>
          </w:p>
        </w:tc>
      </w:tr>
      <w:tr w:rsidR="003E33AC" w:rsidRPr="003E33AC" w14:paraId="7A5B9E83" w14:textId="77777777" w:rsidTr="003E33AC">
        <w:trPr>
          <w:trHeight w:val="20"/>
          <w:jc w:val="center"/>
        </w:trPr>
        <w:tc>
          <w:tcPr>
            <w:tcW w:w="3397" w:type="dxa"/>
            <w:vAlign w:val="center"/>
            <w:hideMark/>
          </w:tcPr>
          <w:p w14:paraId="1CFF6D43"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0E0F715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2287</w:t>
            </w:r>
          </w:p>
        </w:tc>
        <w:tc>
          <w:tcPr>
            <w:tcW w:w="850" w:type="dxa"/>
            <w:vAlign w:val="center"/>
            <w:hideMark/>
          </w:tcPr>
          <w:p w14:paraId="017BF3D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4858</w:t>
            </w:r>
          </w:p>
        </w:tc>
        <w:tc>
          <w:tcPr>
            <w:tcW w:w="851" w:type="dxa"/>
            <w:vAlign w:val="center"/>
            <w:hideMark/>
          </w:tcPr>
          <w:p w14:paraId="0B45714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7534</w:t>
            </w:r>
          </w:p>
        </w:tc>
        <w:tc>
          <w:tcPr>
            <w:tcW w:w="1134" w:type="dxa"/>
            <w:vAlign w:val="center"/>
            <w:hideMark/>
          </w:tcPr>
          <w:p w14:paraId="02171D7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10315</w:t>
            </w:r>
          </w:p>
        </w:tc>
        <w:tc>
          <w:tcPr>
            <w:tcW w:w="992" w:type="dxa"/>
            <w:vAlign w:val="center"/>
            <w:hideMark/>
          </w:tcPr>
          <w:p w14:paraId="4BD2227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13195</w:t>
            </w:r>
          </w:p>
        </w:tc>
        <w:tc>
          <w:tcPr>
            <w:tcW w:w="1417" w:type="dxa"/>
            <w:vAlign w:val="center"/>
            <w:hideMark/>
          </w:tcPr>
          <w:p w14:paraId="5780918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38189</w:t>
            </w:r>
          </w:p>
        </w:tc>
      </w:tr>
      <w:tr w:rsidR="003E33AC" w:rsidRPr="003E33AC" w14:paraId="1DCA334B" w14:textId="77777777" w:rsidTr="003E33AC">
        <w:trPr>
          <w:trHeight w:val="20"/>
          <w:jc w:val="center"/>
        </w:trPr>
        <w:tc>
          <w:tcPr>
            <w:tcW w:w="3397" w:type="dxa"/>
            <w:vAlign w:val="center"/>
            <w:hideMark/>
          </w:tcPr>
          <w:p w14:paraId="27DD09D1"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11. RAJASTHAN</w:t>
            </w:r>
          </w:p>
        </w:tc>
        <w:tc>
          <w:tcPr>
            <w:tcW w:w="993" w:type="dxa"/>
            <w:vAlign w:val="center"/>
            <w:hideMark/>
          </w:tcPr>
          <w:p w14:paraId="65CE6513"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3A08750D"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717F43D1"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3A59AFCC"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1DB9FD27"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0331850F"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1C5A8C7B" w14:textId="77777777" w:rsidTr="003E33AC">
        <w:trPr>
          <w:trHeight w:val="20"/>
          <w:jc w:val="center"/>
        </w:trPr>
        <w:tc>
          <w:tcPr>
            <w:tcW w:w="3397" w:type="dxa"/>
            <w:vAlign w:val="center"/>
            <w:hideMark/>
          </w:tcPr>
          <w:p w14:paraId="711E897B"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3B8D1E3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1599</w:t>
            </w:r>
          </w:p>
        </w:tc>
        <w:tc>
          <w:tcPr>
            <w:tcW w:w="850" w:type="dxa"/>
            <w:vAlign w:val="center"/>
            <w:hideMark/>
          </w:tcPr>
          <w:p w14:paraId="2FCDA2AA"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2199</w:t>
            </w:r>
          </w:p>
        </w:tc>
        <w:tc>
          <w:tcPr>
            <w:tcW w:w="851" w:type="dxa"/>
            <w:vAlign w:val="center"/>
            <w:hideMark/>
          </w:tcPr>
          <w:p w14:paraId="7EE6167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2833</w:t>
            </w:r>
          </w:p>
        </w:tc>
        <w:tc>
          <w:tcPr>
            <w:tcW w:w="1134" w:type="dxa"/>
            <w:vAlign w:val="center"/>
            <w:hideMark/>
          </w:tcPr>
          <w:p w14:paraId="5BF7E03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3500</w:t>
            </w:r>
          </w:p>
        </w:tc>
        <w:tc>
          <w:tcPr>
            <w:tcW w:w="992" w:type="dxa"/>
            <w:vAlign w:val="center"/>
            <w:hideMark/>
          </w:tcPr>
          <w:p w14:paraId="4F617ED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4201</w:t>
            </w:r>
          </w:p>
        </w:tc>
        <w:tc>
          <w:tcPr>
            <w:tcW w:w="1417" w:type="dxa"/>
            <w:vAlign w:val="center"/>
            <w:hideMark/>
          </w:tcPr>
          <w:p w14:paraId="6A4CB8C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14332</w:t>
            </w:r>
          </w:p>
        </w:tc>
      </w:tr>
      <w:tr w:rsidR="003E33AC" w:rsidRPr="003E33AC" w14:paraId="17E4748D" w14:textId="77777777" w:rsidTr="003E33AC">
        <w:trPr>
          <w:trHeight w:val="20"/>
          <w:jc w:val="center"/>
        </w:trPr>
        <w:tc>
          <w:tcPr>
            <w:tcW w:w="3397" w:type="dxa"/>
            <w:vAlign w:val="center"/>
            <w:hideMark/>
          </w:tcPr>
          <w:p w14:paraId="58CC15C3"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286BB3D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3602</w:t>
            </w:r>
          </w:p>
        </w:tc>
        <w:tc>
          <w:tcPr>
            <w:tcW w:w="850" w:type="dxa"/>
            <w:vAlign w:val="center"/>
            <w:hideMark/>
          </w:tcPr>
          <w:p w14:paraId="46DEABA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3782</w:t>
            </w:r>
          </w:p>
        </w:tc>
        <w:tc>
          <w:tcPr>
            <w:tcW w:w="851" w:type="dxa"/>
            <w:vAlign w:val="center"/>
            <w:hideMark/>
          </w:tcPr>
          <w:p w14:paraId="676AEA4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3971</w:t>
            </w:r>
          </w:p>
        </w:tc>
        <w:tc>
          <w:tcPr>
            <w:tcW w:w="1134" w:type="dxa"/>
            <w:vAlign w:val="center"/>
            <w:hideMark/>
          </w:tcPr>
          <w:p w14:paraId="0BAA4E6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4169</w:t>
            </w:r>
          </w:p>
        </w:tc>
        <w:tc>
          <w:tcPr>
            <w:tcW w:w="992" w:type="dxa"/>
            <w:vAlign w:val="center"/>
            <w:hideMark/>
          </w:tcPr>
          <w:p w14:paraId="1F8EB07E"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4378</w:t>
            </w:r>
          </w:p>
        </w:tc>
        <w:tc>
          <w:tcPr>
            <w:tcW w:w="1417" w:type="dxa"/>
            <w:vAlign w:val="center"/>
            <w:hideMark/>
          </w:tcPr>
          <w:p w14:paraId="40159AE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19902</w:t>
            </w:r>
          </w:p>
        </w:tc>
      </w:tr>
      <w:tr w:rsidR="003E33AC" w:rsidRPr="003E33AC" w14:paraId="24A03A52" w14:textId="77777777" w:rsidTr="003E33AC">
        <w:trPr>
          <w:trHeight w:val="20"/>
          <w:jc w:val="center"/>
        </w:trPr>
        <w:tc>
          <w:tcPr>
            <w:tcW w:w="3397" w:type="dxa"/>
            <w:vAlign w:val="center"/>
            <w:hideMark/>
          </w:tcPr>
          <w:p w14:paraId="3257F687"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7399607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0" w:type="dxa"/>
            <w:vAlign w:val="center"/>
            <w:hideMark/>
          </w:tcPr>
          <w:p w14:paraId="5E15F99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1" w:type="dxa"/>
            <w:vAlign w:val="center"/>
            <w:hideMark/>
          </w:tcPr>
          <w:p w14:paraId="0C14D93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134" w:type="dxa"/>
            <w:vAlign w:val="center"/>
            <w:hideMark/>
          </w:tcPr>
          <w:p w14:paraId="16DDF823"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992" w:type="dxa"/>
            <w:vAlign w:val="center"/>
            <w:hideMark/>
          </w:tcPr>
          <w:p w14:paraId="5C85126E"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417" w:type="dxa"/>
            <w:vAlign w:val="center"/>
            <w:hideMark/>
          </w:tcPr>
          <w:p w14:paraId="7820FD3E"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r>
      <w:tr w:rsidR="003E33AC" w:rsidRPr="003E33AC" w14:paraId="55B9BEE7" w14:textId="77777777" w:rsidTr="003E33AC">
        <w:trPr>
          <w:trHeight w:val="20"/>
          <w:jc w:val="center"/>
        </w:trPr>
        <w:tc>
          <w:tcPr>
            <w:tcW w:w="3397" w:type="dxa"/>
            <w:vAlign w:val="center"/>
            <w:hideMark/>
          </w:tcPr>
          <w:p w14:paraId="31EA2CF0"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12. TAMIL NADU</w:t>
            </w:r>
          </w:p>
        </w:tc>
        <w:tc>
          <w:tcPr>
            <w:tcW w:w="993" w:type="dxa"/>
            <w:vAlign w:val="center"/>
            <w:hideMark/>
          </w:tcPr>
          <w:p w14:paraId="7FCAC229"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208789F8"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0AC4B84D"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37DF2735"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06EFEFCE"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3DCF5341"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650ECE2A" w14:textId="77777777" w:rsidTr="003E33AC">
        <w:trPr>
          <w:trHeight w:val="20"/>
          <w:jc w:val="center"/>
        </w:trPr>
        <w:tc>
          <w:tcPr>
            <w:tcW w:w="3397" w:type="dxa"/>
            <w:vAlign w:val="center"/>
            <w:hideMark/>
          </w:tcPr>
          <w:p w14:paraId="51DD7909"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3879354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3763</w:t>
            </w:r>
          </w:p>
        </w:tc>
        <w:tc>
          <w:tcPr>
            <w:tcW w:w="850" w:type="dxa"/>
            <w:vAlign w:val="center"/>
            <w:hideMark/>
          </w:tcPr>
          <w:p w14:paraId="1CFE751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5471</w:t>
            </w:r>
          </w:p>
        </w:tc>
        <w:tc>
          <w:tcPr>
            <w:tcW w:w="851" w:type="dxa"/>
            <w:vAlign w:val="center"/>
            <w:hideMark/>
          </w:tcPr>
          <w:p w14:paraId="68DE839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7406</w:t>
            </w:r>
          </w:p>
        </w:tc>
        <w:tc>
          <w:tcPr>
            <w:tcW w:w="1134" w:type="dxa"/>
            <w:vAlign w:val="center"/>
            <w:hideMark/>
          </w:tcPr>
          <w:p w14:paraId="3B6C07D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9567</w:t>
            </w:r>
          </w:p>
        </w:tc>
        <w:tc>
          <w:tcPr>
            <w:tcW w:w="992" w:type="dxa"/>
            <w:vAlign w:val="center"/>
            <w:hideMark/>
          </w:tcPr>
          <w:p w14:paraId="3A75628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11956</w:t>
            </w:r>
          </w:p>
        </w:tc>
        <w:tc>
          <w:tcPr>
            <w:tcW w:w="1417" w:type="dxa"/>
            <w:vAlign w:val="center"/>
            <w:hideMark/>
          </w:tcPr>
          <w:p w14:paraId="4450A67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38163</w:t>
            </w:r>
          </w:p>
        </w:tc>
      </w:tr>
      <w:tr w:rsidR="003E33AC" w:rsidRPr="003E33AC" w14:paraId="381A0F2D" w14:textId="77777777" w:rsidTr="003E33AC">
        <w:trPr>
          <w:trHeight w:val="20"/>
          <w:jc w:val="center"/>
        </w:trPr>
        <w:tc>
          <w:tcPr>
            <w:tcW w:w="3397" w:type="dxa"/>
            <w:vAlign w:val="center"/>
            <w:hideMark/>
          </w:tcPr>
          <w:p w14:paraId="0407FE2C"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41AE9A7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347</w:t>
            </w:r>
          </w:p>
        </w:tc>
        <w:tc>
          <w:tcPr>
            <w:tcW w:w="850" w:type="dxa"/>
            <w:vAlign w:val="center"/>
            <w:hideMark/>
          </w:tcPr>
          <w:p w14:paraId="62681E0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364</w:t>
            </w:r>
          </w:p>
        </w:tc>
        <w:tc>
          <w:tcPr>
            <w:tcW w:w="851" w:type="dxa"/>
            <w:vAlign w:val="center"/>
            <w:hideMark/>
          </w:tcPr>
          <w:p w14:paraId="4F54836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382</w:t>
            </w:r>
          </w:p>
        </w:tc>
        <w:tc>
          <w:tcPr>
            <w:tcW w:w="1134" w:type="dxa"/>
            <w:vAlign w:val="center"/>
            <w:hideMark/>
          </w:tcPr>
          <w:p w14:paraId="7841DB3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401</w:t>
            </w:r>
          </w:p>
        </w:tc>
        <w:tc>
          <w:tcPr>
            <w:tcW w:w="992" w:type="dxa"/>
            <w:vAlign w:val="center"/>
            <w:hideMark/>
          </w:tcPr>
          <w:p w14:paraId="11847E5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421</w:t>
            </w:r>
          </w:p>
        </w:tc>
        <w:tc>
          <w:tcPr>
            <w:tcW w:w="1417" w:type="dxa"/>
            <w:vAlign w:val="center"/>
            <w:hideMark/>
          </w:tcPr>
          <w:p w14:paraId="22EEA419"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1915</w:t>
            </w:r>
          </w:p>
        </w:tc>
      </w:tr>
      <w:tr w:rsidR="003E33AC" w:rsidRPr="003E33AC" w14:paraId="3663C72F" w14:textId="77777777" w:rsidTr="003E33AC">
        <w:trPr>
          <w:trHeight w:val="20"/>
          <w:jc w:val="center"/>
        </w:trPr>
        <w:tc>
          <w:tcPr>
            <w:tcW w:w="3397" w:type="dxa"/>
            <w:vAlign w:val="center"/>
            <w:hideMark/>
          </w:tcPr>
          <w:p w14:paraId="5AC4FEBF"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526DD79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3416</w:t>
            </w:r>
          </w:p>
        </w:tc>
        <w:tc>
          <w:tcPr>
            <w:tcW w:w="850" w:type="dxa"/>
            <w:vAlign w:val="center"/>
            <w:hideMark/>
          </w:tcPr>
          <w:p w14:paraId="5AF41BB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5107</w:t>
            </w:r>
          </w:p>
        </w:tc>
        <w:tc>
          <w:tcPr>
            <w:tcW w:w="851" w:type="dxa"/>
            <w:vAlign w:val="center"/>
            <w:hideMark/>
          </w:tcPr>
          <w:p w14:paraId="61D7F1E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7024</w:t>
            </w:r>
          </w:p>
        </w:tc>
        <w:tc>
          <w:tcPr>
            <w:tcW w:w="1134" w:type="dxa"/>
            <w:vAlign w:val="center"/>
            <w:hideMark/>
          </w:tcPr>
          <w:p w14:paraId="346719A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9166</w:t>
            </w:r>
          </w:p>
        </w:tc>
        <w:tc>
          <w:tcPr>
            <w:tcW w:w="992" w:type="dxa"/>
            <w:vAlign w:val="center"/>
            <w:hideMark/>
          </w:tcPr>
          <w:p w14:paraId="724F2DF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11535</w:t>
            </w:r>
          </w:p>
        </w:tc>
        <w:tc>
          <w:tcPr>
            <w:tcW w:w="1417" w:type="dxa"/>
            <w:vAlign w:val="center"/>
            <w:hideMark/>
          </w:tcPr>
          <w:p w14:paraId="62A3864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36248</w:t>
            </w:r>
          </w:p>
        </w:tc>
      </w:tr>
      <w:tr w:rsidR="003E33AC" w:rsidRPr="003E33AC" w14:paraId="29E6498C" w14:textId="77777777" w:rsidTr="003E33AC">
        <w:trPr>
          <w:trHeight w:val="20"/>
          <w:jc w:val="center"/>
        </w:trPr>
        <w:tc>
          <w:tcPr>
            <w:tcW w:w="3397" w:type="dxa"/>
            <w:vAlign w:val="center"/>
            <w:hideMark/>
          </w:tcPr>
          <w:p w14:paraId="2CDD2B0B"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13. UTTAR PRADESH</w:t>
            </w:r>
          </w:p>
        </w:tc>
        <w:tc>
          <w:tcPr>
            <w:tcW w:w="993" w:type="dxa"/>
            <w:vAlign w:val="center"/>
            <w:hideMark/>
          </w:tcPr>
          <w:p w14:paraId="3BC91E16"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2D940AB5"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236B9DFE"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7298E3C0"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6E662BB7"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60A80C21"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4446E822" w14:textId="77777777" w:rsidTr="003E33AC">
        <w:trPr>
          <w:trHeight w:val="20"/>
          <w:jc w:val="center"/>
        </w:trPr>
        <w:tc>
          <w:tcPr>
            <w:tcW w:w="3397" w:type="dxa"/>
            <w:vAlign w:val="center"/>
            <w:hideMark/>
          </w:tcPr>
          <w:p w14:paraId="02A0477F"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59E3792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7160</w:t>
            </w:r>
          </w:p>
        </w:tc>
        <w:tc>
          <w:tcPr>
            <w:tcW w:w="850" w:type="dxa"/>
            <w:vAlign w:val="center"/>
            <w:hideMark/>
          </w:tcPr>
          <w:p w14:paraId="06AA9DFE"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10763</w:t>
            </w:r>
          </w:p>
        </w:tc>
        <w:tc>
          <w:tcPr>
            <w:tcW w:w="851" w:type="dxa"/>
            <w:vAlign w:val="center"/>
            <w:hideMark/>
          </w:tcPr>
          <w:p w14:paraId="5A7BC9D3"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14973</w:t>
            </w:r>
          </w:p>
        </w:tc>
        <w:tc>
          <w:tcPr>
            <w:tcW w:w="1134" w:type="dxa"/>
            <w:vAlign w:val="center"/>
            <w:hideMark/>
          </w:tcPr>
          <w:p w14:paraId="59FA987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19792</w:t>
            </w:r>
          </w:p>
        </w:tc>
        <w:tc>
          <w:tcPr>
            <w:tcW w:w="992" w:type="dxa"/>
            <w:vAlign w:val="center"/>
            <w:hideMark/>
          </w:tcPr>
          <w:p w14:paraId="7DB7EDE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23125</w:t>
            </w:r>
          </w:p>
        </w:tc>
        <w:tc>
          <w:tcPr>
            <w:tcW w:w="1417" w:type="dxa"/>
            <w:vAlign w:val="center"/>
            <w:hideMark/>
          </w:tcPr>
          <w:p w14:paraId="142E037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75813</w:t>
            </w:r>
          </w:p>
        </w:tc>
      </w:tr>
      <w:tr w:rsidR="003E33AC" w:rsidRPr="003E33AC" w14:paraId="5E1AF37B" w14:textId="77777777" w:rsidTr="003E33AC">
        <w:trPr>
          <w:trHeight w:val="20"/>
          <w:jc w:val="center"/>
        </w:trPr>
        <w:tc>
          <w:tcPr>
            <w:tcW w:w="3397" w:type="dxa"/>
            <w:vAlign w:val="center"/>
            <w:hideMark/>
          </w:tcPr>
          <w:p w14:paraId="6F443146"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26232AD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4358</w:t>
            </w:r>
          </w:p>
        </w:tc>
        <w:tc>
          <w:tcPr>
            <w:tcW w:w="850" w:type="dxa"/>
            <w:vAlign w:val="center"/>
            <w:hideMark/>
          </w:tcPr>
          <w:p w14:paraId="2E30316F"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4575</w:t>
            </w:r>
          </w:p>
        </w:tc>
        <w:tc>
          <w:tcPr>
            <w:tcW w:w="851" w:type="dxa"/>
            <w:vAlign w:val="center"/>
            <w:hideMark/>
          </w:tcPr>
          <w:p w14:paraId="09E53E4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4804</w:t>
            </w:r>
          </w:p>
        </w:tc>
        <w:tc>
          <w:tcPr>
            <w:tcW w:w="1134" w:type="dxa"/>
            <w:vAlign w:val="center"/>
            <w:hideMark/>
          </w:tcPr>
          <w:p w14:paraId="3A93D4AF"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5044</w:t>
            </w:r>
          </w:p>
        </w:tc>
        <w:tc>
          <w:tcPr>
            <w:tcW w:w="992" w:type="dxa"/>
            <w:vAlign w:val="center"/>
            <w:hideMark/>
          </w:tcPr>
          <w:p w14:paraId="545306B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5297</w:t>
            </w:r>
          </w:p>
        </w:tc>
        <w:tc>
          <w:tcPr>
            <w:tcW w:w="1417" w:type="dxa"/>
            <w:vAlign w:val="center"/>
            <w:hideMark/>
          </w:tcPr>
          <w:p w14:paraId="10350C06"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24078</w:t>
            </w:r>
          </w:p>
        </w:tc>
      </w:tr>
      <w:tr w:rsidR="003E33AC" w:rsidRPr="003E33AC" w14:paraId="5926FAF1" w14:textId="77777777" w:rsidTr="003E33AC">
        <w:trPr>
          <w:trHeight w:val="20"/>
          <w:jc w:val="center"/>
        </w:trPr>
        <w:tc>
          <w:tcPr>
            <w:tcW w:w="3397" w:type="dxa"/>
            <w:vAlign w:val="center"/>
            <w:hideMark/>
          </w:tcPr>
          <w:p w14:paraId="4AFBA374"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32BA76F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2802</w:t>
            </w:r>
          </w:p>
        </w:tc>
        <w:tc>
          <w:tcPr>
            <w:tcW w:w="850" w:type="dxa"/>
            <w:vAlign w:val="center"/>
            <w:hideMark/>
          </w:tcPr>
          <w:p w14:paraId="3672320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6188</w:t>
            </w:r>
          </w:p>
        </w:tc>
        <w:tc>
          <w:tcPr>
            <w:tcW w:w="851" w:type="dxa"/>
            <w:vAlign w:val="center"/>
            <w:hideMark/>
          </w:tcPr>
          <w:p w14:paraId="55F50F2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10169</w:t>
            </w:r>
          </w:p>
        </w:tc>
        <w:tc>
          <w:tcPr>
            <w:tcW w:w="1134" w:type="dxa"/>
            <w:vAlign w:val="center"/>
            <w:hideMark/>
          </w:tcPr>
          <w:p w14:paraId="35532D4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14748</w:t>
            </w:r>
          </w:p>
        </w:tc>
        <w:tc>
          <w:tcPr>
            <w:tcW w:w="992" w:type="dxa"/>
            <w:vAlign w:val="center"/>
            <w:hideMark/>
          </w:tcPr>
          <w:p w14:paraId="52FBC12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17828</w:t>
            </w:r>
          </w:p>
        </w:tc>
        <w:tc>
          <w:tcPr>
            <w:tcW w:w="1417" w:type="dxa"/>
            <w:vAlign w:val="center"/>
            <w:hideMark/>
          </w:tcPr>
          <w:p w14:paraId="1F2E956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51735</w:t>
            </w:r>
          </w:p>
        </w:tc>
      </w:tr>
      <w:tr w:rsidR="003E33AC" w:rsidRPr="003E33AC" w14:paraId="0ACD0D6F" w14:textId="77777777" w:rsidTr="003E33AC">
        <w:trPr>
          <w:trHeight w:val="20"/>
          <w:jc w:val="center"/>
        </w:trPr>
        <w:tc>
          <w:tcPr>
            <w:tcW w:w="3397" w:type="dxa"/>
            <w:vAlign w:val="center"/>
            <w:hideMark/>
          </w:tcPr>
          <w:p w14:paraId="4775DDEC"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14. WEST BENGAL</w:t>
            </w:r>
          </w:p>
        </w:tc>
        <w:tc>
          <w:tcPr>
            <w:tcW w:w="993" w:type="dxa"/>
            <w:vAlign w:val="center"/>
            <w:hideMark/>
          </w:tcPr>
          <w:p w14:paraId="0FCF6F91" w14:textId="77777777" w:rsidR="004A41E7" w:rsidRPr="003E33AC" w:rsidRDefault="004A41E7" w:rsidP="00CE0E88">
            <w:pPr>
              <w:pStyle w:val="NoSpacing"/>
              <w:jc w:val="center"/>
              <w:rPr>
                <w:rFonts w:ascii="Times New Roman" w:hAnsi="Times New Roman" w:cs="Times New Roman"/>
                <w:sz w:val="16"/>
                <w:szCs w:val="14"/>
              </w:rPr>
            </w:pPr>
          </w:p>
        </w:tc>
        <w:tc>
          <w:tcPr>
            <w:tcW w:w="850" w:type="dxa"/>
            <w:vAlign w:val="center"/>
            <w:hideMark/>
          </w:tcPr>
          <w:p w14:paraId="23F7D66F" w14:textId="77777777" w:rsidR="004A41E7" w:rsidRPr="003E33AC" w:rsidRDefault="004A41E7" w:rsidP="00CE0E88">
            <w:pPr>
              <w:pStyle w:val="NoSpacing"/>
              <w:jc w:val="center"/>
              <w:rPr>
                <w:rFonts w:ascii="Times New Roman" w:hAnsi="Times New Roman" w:cs="Times New Roman"/>
                <w:sz w:val="16"/>
                <w:szCs w:val="14"/>
              </w:rPr>
            </w:pPr>
          </w:p>
        </w:tc>
        <w:tc>
          <w:tcPr>
            <w:tcW w:w="851" w:type="dxa"/>
            <w:vAlign w:val="center"/>
            <w:hideMark/>
          </w:tcPr>
          <w:p w14:paraId="75EA221C" w14:textId="77777777" w:rsidR="004A41E7" w:rsidRPr="003E33AC" w:rsidRDefault="004A41E7" w:rsidP="00CE0E88">
            <w:pPr>
              <w:pStyle w:val="NoSpacing"/>
              <w:jc w:val="center"/>
              <w:rPr>
                <w:rFonts w:ascii="Times New Roman" w:hAnsi="Times New Roman" w:cs="Times New Roman"/>
                <w:sz w:val="16"/>
                <w:szCs w:val="14"/>
              </w:rPr>
            </w:pPr>
          </w:p>
        </w:tc>
        <w:tc>
          <w:tcPr>
            <w:tcW w:w="1134" w:type="dxa"/>
            <w:vAlign w:val="center"/>
            <w:hideMark/>
          </w:tcPr>
          <w:p w14:paraId="322B7872" w14:textId="77777777" w:rsidR="004A41E7" w:rsidRPr="003E33AC" w:rsidRDefault="004A41E7" w:rsidP="00CE0E88">
            <w:pPr>
              <w:pStyle w:val="NoSpacing"/>
              <w:jc w:val="center"/>
              <w:rPr>
                <w:rFonts w:ascii="Times New Roman" w:hAnsi="Times New Roman" w:cs="Times New Roman"/>
                <w:sz w:val="16"/>
                <w:szCs w:val="14"/>
              </w:rPr>
            </w:pPr>
          </w:p>
        </w:tc>
        <w:tc>
          <w:tcPr>
            <w:tcW w:w="992" w:type="dxa"/>
            <w:vAlign w:val="center"/>
            <w:hideMark/>
          </w:tcPr>
          <w:p w14:paraId="48B87306" w14:textId="77777777" w:rsidR="004A41E7" w:rsidRPr="003E33AC" w:rsidRDefault="004A41E7" w:rsidP="00CE0E88">
            <w:pPr>
              <w:pStyle w:val="NoSpacing"/>
              <w:jc w:val="center"/>
              <w:rPr>
                <w:rFonts w:ascii="Times New Roman" w:hAnsi="Times New Roman" w:cs="Times New Roman"/>
                <w:sz w:val="16"/>
                <w:szCs w:val="14"/>
              </w:rPr>
            </w:pPr>
          </w:p>
        </w:tc>
        <w:tc>
          <w:tcPr>
            <w:tcW w:w="1417" w:type="dxa"/>
            <w:vAlign w:val="center"/>
            <w:hideMark/>
          </w:tcPr>
          <w:p w14:paraId="67217D33" w14:textId="77777777" w:rsidR="004A41E7" w:rsidRPr="003E33AC" w:rsidRDefault="004A41E7" w:rsidP="00CE0E88">
            <w:pPr>
              <w:pStyle w:val="NoSpacing"/>
              <w:jc w:val="center"/>
              <w:rPr>
                <w:rFonts w:ascii="Times New Roman" w:hAnsi="Times New Roman" w:cs="Times New Roman"/>
                <w:sz w:val="16"/>
                <w:szCs w:val="14"/>
              </w:rPr>
            </w:pPr>
          </w:p>
        </w:tc>
      </w:tr>
      <w:tr w:rsidR="003E33AC" w:rsidRPr="003E33AC" w14:paraId="7CD244A2" w14:textId="77777777" w:rsidTr="003E33AC">
        <w:trPr>
          <w:trHeight w:val="20"/>
          <w:jc w:val="center"/>
        </w:trPr>
        <w:tc>
          <w:tcPr>
            <w:tcW w:w="3397" w:type="dxa"/>
            <w:vAlign w:val="center"/>
            <w:hideMark/>
          </w:tcPr>
          <w:p w14:paraId="7789111F"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 xml:space="preserve">Gross Return </w:t>
            </w:r>
            <w:proofErr w:type="gramStart"/>
            <w:r w:rsidRPr="003E33AC">
              <w:rPr>
                <w:rFonts w:ascii="Times New Roman" w:hAnsi="Times New Roman" w:cs="Times New Roman"/>
                <w:sz w:val="16"/>
                <w:szCs w:val="14"/>
              </w:rPr>
              <w:t>On</w:t>
            </w:r>
            <w:proofErr w:type="gramEnd"/>
            <w:r w:rsidRPr="003E33AC">
              <w:rPr>
                <w:rFonts w:ascii="Times New Roman" w:hAnsi="Times New Roman" w:cs="Times New Roman"/>
                <w:sz w:val="16"/>
                <w:szCs w:val="14"/>
              </w:rPr>
              <w:t xml:space="preserve"> Outstanding State Loan</w:t>
            </w:r>
          </w:p>
        </w:tc>
        <w:tc>
          <w:tcPr>
            <w:tcW w:w="993" w:type="dxa"/>
            <w:vAlign w:val="center"/>
            <w:hideMark/>
          </w:tcPr>
          <w:p w14:paraId="6062BC2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974</w:t>
            </w:r>
          </w:p>
        </w:tc>
        <w:tc>
          <w:tcPr>
            <w:tcW w:w="850" w:type="dxa"/>
            <w:vAlign w:val="center"/>
            <w:hideMark/>
          </w:tcPr>
          <w:p w14:paraId="46D85784"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1582</w:t>
            </w:r>
          </w:p>
        </w:tc>
        <w:tc>
          <w:tcPr>
            <w:tcW w:w="851" w:type="dxa"/>
            <w:vAlign w:val="center"/>
            <w:hideMark/>
          </w:tcPr>
          <w:p w14:paraId="74A243C2"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2333</w:t>
            </w:r>
          </w:p>
        </w:tc>
        <w:tc>
          <w:tcPr>
            <w:tcW w:w="1134" w:type="dxa"/>
            <w:vAlign w:val="center"/>
            <w:hideMark/>
          </w:tcPr>
          <w:p w14:paraId="100E5D65"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3225</w:t>
            </w:r>
          </w:p>
        </w:tc>
        <w:tc>
          <w:tcPr>
            <w:tcW w:w="992" w:type="dxa"/>
            <w:vAlign w:val="center"/>
            <w:hideMark/>
          </w:tcPr>
          <w:p w14:paraId="12219F2C"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4259</w:t>
            </w:r>
          </w:p>
        </w:tc>
        <w:tc>
          <w:tcPr>
            <w:tcW w:w="1417" w:type="dxa"/>
            <w:vAlign w:val="center"/>
            <w:hideMark/>
          </w:tcPr>
          <w:p w14:paraId="2EE4064B"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12373</w:t>
            </w:r>
          </w:p>
        </w:tc>
      </w:tr>
      <w:tr w:rsidR="003E33AC" w:rsidRPr="003E33AC" w14:paraId="0599636B" w14:textId="77777777" w:rsidTr="003E33AC">
        <w:trPr>
          <w:trHeight w:val="20"/>
          <w:jc w:val="center"/>
        </w:trPr>
        <w:tc>
          <w:tcPr>
            <w:tcW w:w="3397" w:type="dxa"/>
            <w:vAlign w:val="center"/>
            <w:hideMark/>
          </w:tcPr>
          <w:p w14:paraId="299FEF71"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Set-off For Electricity Duty</w:t>
            </w:r>
          </w:p>
        </w:tc>
        <w:tc>
          <w:tcPr>
            <w:tcW w:w="993" w:type="dxa"/>
            <w:vAlign w:val="center"/>
            <w:hideMark/>
          </w:tcPr>
          <w:p w14:paraId="77B18DCD"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4400</w:t>
            </w:r>
          </w:p>
        </w:tc>
        <w:tc>
          <w:tcPr>
            <w:tcW w:w="850" w:type="dxa"/>
            <w:vAlign w:val="center"/>
            <w:hideMark/>
          </w:tcPr>
          <w:p w14:paraId="7199E3CF"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4619</w:t>
            </w:r>
          </w:p>
        </w:tc>
        <w:tc>
          <w:tcPr>
            <w:tcW w:w="851" w:type="dxa"/>
            <w:vAlign w:val="center"/>
            <w:hideMark/>
          </w:tcPr>
          <w:p w14:paraId="37C5839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4850</w:t>
            </w:r>
          </w:p>
        </w:tc>
        <w:tc>
          <w:tcPr>
            <w:tcW w:w="1134" w:type="dxa"/>
            <w:vAlign w:val="center"/>
            <w:hideMark/>
          </w:tcPr>
          <w:p w14:paraId="2F5640C0"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5093</w:t>
            </w:r>
          </w:p>
        </w:tc>
        <w:tc>
          <w:tcPr>
            <w:tcW w:w="992" w:type="dxa"/>
            <w:vAlign w:val="center"/>
            <w:hideMark/>
          </w:tcPr>
          <w:p w14:paraId="1AFEDA1F"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5348</w:t>
            </w:r>
          </w:p>
        </w:tc>
        <w:tc>
          <w:tcPr>
            <w:tcW w:w="1417" w:type="dxa"/>
            <w:vAlign w:val="center"/>
            <w:hideMark/>
          </w:tcPr>
          <w:p w14:paraId="3E029EF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24310</w:t>
            </w:r>
          </w:p>
        </w:tc>
      </w:tr>
      <w:tr w:rsidR="003E33AC" w:rsidRPr="003E33AC" w14:paraId="626CF352" w14:textId="77777777" w:rsidTr="003E33AC">
        <w:trPr>
          <w:trHeight w:val="20"/>
          <w:jc w:val="center"/>
        </w:trPr>
        <w:tc>
          <w:tcPr>
            <w:tcW w:w="3397" w:type="dxa"/>
            <w:vAlign w:val="center"/>
            <w:hideMark/>
          </w:tcPr>
          <w:p w14:paraId="6887B2BF" w14:textId="77777777" w:rsidR="004A41E7" w:rsidRPr="003E33AC" w:rsidRDefault="004A41E7" w:rsidP="00CE0E88">
            <w:pPr>
              <w:pStyle w:val="NoSpacing"/>
              <w:rPr>
                <w:rFonts w:ascii="Times New Roman" w:hAnsi="Times New Roman" w:cs="Times New Roman"/>
                <w:sz w:val="16"/>
                <w:szCs w:val="14"/>
              </w:rPr>
            </w:pPr>
            <w:r w:rsidRPr="003E33AC">
              <w:rPr>
                <w:rFonts w:ascii="Times New Roman" w:hAnsi="Times New Roman" w:cs="Times New Roman"/>
                <w:sz w:val="16"/>
                <w:szCs w:val="14"/>
              </w:rPr>
              <w:t>Net Return</w:t>
            </w:r>
          </w:p>
        </w:tc>
        <w:tc>
          <w:tcPr>
            <w:tcW w:w="993" w:type="dxa"/>
            <w:vAlign w:val="center"/>
            <w:hideMark/>
          </w:tcPr>
          <w:p w14:paraId="38E1300A"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0" w:type="dxa"/>
            <w:vAlign w:val="center"/>
            <w:hideMark/>
          </w:tcPr>
          <w:p w14:paraId="31FCC3A1"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851" w:type="dxa"/>
            <w:vAlign w:val="center"/>
            <w:hideMark/>
          </w:tcPr>
          <w:p w14:paraId="48E9C2B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134" w:type="dxa"/>
            <w:vAlign w:val="center"/>
            <w:hideMark/>
          </w:tcPr>
          <w:p w14:paraId="4ADFCE68"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992" w:type="dxa"/>
            <w:vAlign w:val="center"/>
            <w:hideMark/>
          </w:tcPr>
          <w:p w14:paraId="06FE4327"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c>
          <w:tcPr>
            <w:tcW w:w="1417" w:type="dxa"/>
            <w:vAlign w:val="center"/>
            <w:hideMark/>
          </w:tcPr>
          <w:p w14:paraId="6362DAB3" w14:textId="77777777" w:rsidR="004A41E7" w:rsidRPr="003E33AC" w:rsidRDefault="004A41E7" w:rsidP="00CE0E88">
            <w:pPr>
              <w:pStyle w:val="NoSpacing"/>
              <w:jc w:val="center"/>
              <w:rPr>
                <w:rFonts w:ascii="Times New Roman" w:hAnsi="Times New Roman" w:cs="Times New Roman"/>
                <w:sz w:val="16"/>
                <w:szCs w:val="14"/>
              </w:rPr>
            </w:pPr>
            <w:r w:rsidRPr="003E33AC">
              <w:rPr>
                <w:rFonts w:ascii="Times New Roman" w:hAnsi="Times New Roman" w:cs="Times New Roman"/>
                <w:sz w:val="16"/>
                <w:szCs w:val="14"/>
              </w:rPr>
              <w:t>-</w:t>
            </w:r>
          </w:p>
        </w:tc>
      </w:tr>
    </w:tbl>
    <w:p w14:paraId="65EB3324" w14:textId="77777777" w:rsidR="005858A3" w:rsidRDefault="005858A3" w:rsidP="00AB335A">
      <w:pPr>
        <w:pStyle w:val="NoSpacing"/>
        <w:jc w:val="both"/>
        <w:rPr>
          <w:rFonts w:ascii="Times New Roman" w:hAnsi="Times New Roman" w:cs="Times New Roman"/>
          <w:b/>
          <w:bCs/>
          <w:sz w:val="14"/>
          <w:szCs w:val="12"/>
        </w:rPr>
      </w:pPr>
    </w:p>
    <w:p w14:paraId="62168356" w14:textId="77777777" w:rsidR="005858A3" w:rsidRDefault="005858A3" w:rsidP="00AB335A">
      <w:pPr>
        <w:pStyle w:val="NoSpacing"/>
        <w:jc w:val="both"/>
        <w:rPr>
          <w:rFonts w:ascii="Times New Roman" w:hAnsi="Times New Roman" w:cs="Times New Roman"/>
          <w:b/>
          <w:bCs/>
          <w:sz w:val="14"/>
          <w:szCs w:val="12"/>
        </w:rPr>
      </w:pPr>
    </w:p>
    <w:p w14:paraId="280336F6" w14:textId="77777777" w:rsidR="005858A3" w:rsidRDefault="005858A3" w:rsidP="00AB335A">
      <w:pPr>
        <w:pStyle w:val="NoSpacing"/>
        <w:jc w:val="both"/>
        <w:rPr>
          <w:rFonts w:ascii="Times New Roman" w:hAnsi="Times New Roman" w:cs="Times New Roman"/>
          <w:b/>
          <w:bCs/>
          <w:sz w:val="14"/>
          <w:szCs w:val="12"/>
        </w:rPr>
      </w:pPr>
    </w:p>
    <w:p w14:paraId="643B68CF" w14:textId="14B96924" w:rsidR="00AB335A" w:rsidRPr="003412F4" w:rsidRDefault="00AB335A" w:rsidP="00AB335A">
      <w:pPr>
        <w:pStyle w:val="NoSpacing"/>
        <w:jc w:val="both"/>
        <w:rPr>
          <w:rFonts w:ascii="Times New Roman" w:hAnsi="Times New Roman" w:cs="Times New Roman"/>
          <w:sz w:val="14"/>
          <w:szCs w:val="12"/>
        </w:rPr>
      </w:pPr>
      <w:proofErr w:type="gramStart"/>
      <w:r w:rsidRPr="003412F4">
        <w:rPr>
          <w:rFonts w:ascii="Times New Roman" w:hAnsi="Times New Roman" w:cs="Times New Roman"/>
          <w:b/>
          <w:bCs/>
          <w:sz w:val="14"/>
          <w:szCs w:val="12"/>
        </w:rPr>
        <w:lastRenderedPageBreak/>
        <w:t>Note :</w:t>
      </w:r>
      <w:proofErr w:type="gramEnd"/>
    </w:p>
    <w:p w14:paraId="5630C1F0" w14:textId="77777777" w:rsidR="00AB335A" w:rsidRPr="003E33AC" w:rsidRDefault="00AB335A">
      <w:pPr>
        <w:pStyle w:val="NoSpacing"/>
        <w:numPr>
          <w:ilvl w:val="0"/>
          <w:numId w:val="13"/>
        </w:numPr>
        <w:jc w:val="both"/>
        <w:rPr>
          <w:rFonts w:ascii="Times New Roman" w:hAnsi="Times New Roman" w:cs="Times New Roman"/>
          <w:sz w:val="16"/>
          <w:szCs w:val="14"/>
        </w:rPr>
      </w:pPr>
      <w:r w:rsidRPr="003E33AC">
        <w:rPr>
          <w:rFonts w:ascii="Times New Roman" w:hAnsi="Times New Roman" w:cs="Times New Roman"/>
          <w:sz w:val="16"/>
          <w:szCs w:val="14"/>
        </w:rPr>
        <w:t>In cases where receipts from Electricity Duty are larger than gross return, net return has been taken as NIL. Where gross return is larger than receipts from Electricity Duty, net return has been calculated net of receipts from Electricity Duty. (For this purpose, receipts from Electricity Duty relate to the sale of power by the Boards).</w:t>
      </w:r>
    </w:p>
    <w:p w14:paraId="278CEDE1" w14:textId="77777777" w:rsidR="00AB335A" w:rsidRPr="003E33AC" w:rsidRDefault="00AB335A">
      <w:pPr>
        <w:pStyle w:val="NoSpacing"/>
        <w:numPr>
          <w:ilvl w:val="0"/>
          <w:numId w:val="13"/>
        </w:numPr>
        <w:jc w:val="both"/>
        <w:rPr>
          <w:rFonts w:ascii="Times New Roman" w:hAnsi="Times New Roman" w:cs="Times New Roman"/>
          <w:sz w:val="16"/>
          <w:szCs w:val="14"/>
        </w:rPr>
      </w:pPr>
      <w:r w:rsidRPr="003E33AC">
        <w:rPr>
          <w:rFonts w:ascii="Times New Roman" w:hAnsi="Times New Roman" w:cs="Times New Roman"/>
          <w:sz w:val="16"/>
          <w:szCs w:val="14"/>
        </w:rPr>
        <w:t>Net return from investments in Departmental undertakings in Arunachal Pradesh, Goa, Manipur, Mizoram, Nagaland, Sikkim and Tripura has been taken as NIL in each year.</w:t>
      </w:r>
    </w:p>
    <w:p w14:paraId="648E9479" w14:textId="77777777" w:rsidR="00AB335A" w:rsidRPr="003E33AC" w:rsidRDefault="00AB335A">
      <w:pPr>
        <w:pStyle w:val="NoSpacing"/>
        <w:numPr>
          <w:ilvl w:val="0"/>
          <w:numId w:val="13"/>
        </w:numPr>
        <w:jc w:val="both"/>
        <w:rPr>
          <w:rFonts w:ascii="Times New Roman" w:hAnsi="Times New Roman" w:cs="Times New Roman"/>
          <w:sz w:val="16"/>
          <w:szCs w:val="14"/>
        </w:rPr>
      </w:pPr>
      <w:r w:rsidRPr="003E33AC">
        <w:rPr>
          <w:rFonts w:ascii="Times New Roman" w:hAnsi="Times New Roman" w:cs="Times New Roman"/>
          <w:sz w:val="16"/>
          <w:szCs w:val="14"/>
        </w:rPr>
        <w:t>NIL rate of return has been assumed from the operations of the Electricity Boards in the Special Category States of Assam, Himachal Pradesh, Jammu and Kashmir and Meghalaya in each of the years of the forecast period.</w:t>
      </w:r>
    </w:p>
    <w:p w14:paraId="479DE9CC" w14:textId="4BA8AB18" w:rsidR="00AB335A" w:rsidRPr="003412F4" w:rsidRDefault="00AB335A">
      <w:pPr>
        <w:rPr>
          <w:rFonts w:ascii="Times New Roman" w:hAnsi="Times New Roman" w:cs="Times New Roman"/>
          <w:sz w:val="14"/>
          <w:szCs w:val="12"/>
        </w:rPr>
      </w:pPr>
    </w:p>
    <w:p w14:paraId="718B1699" w14:textId="7D650312" w:rsidR="00AB335A" w:rsidRPr="003E33AC" w:rsidRDefault="00AB335A" w:rsidP="00F52ADD">
      <w:pPr>
        <w:pStyle w:val="Heading2"/>
        <w:rPr>
          <w:sz w:val="20"/>
          <w:szCs w:val="20"/>
        </w:rPr>
      </w:pPr>
      <w:bookmarkStart w:id="60" w:name="_Toc221292987"/>
      <w:bookmarkStart w:id="61" w:name="_Toc222399479"/>
      <w:r w:rsidRPr="003E33AC">
        <w:rPr>
          <w:sz w:val="20"/>
          <w:szCs w:val="20"/>
        </w:rPr>
        <w:t>ANNEXURE III.6</w:t>
      </w:r>
      <w:r w:rsidR="00F52ADD" w:rsidRPr="003E33AC">
        <w:rPr>
          <w:sz w:val="20"/>
          <w:szCs w:val="20"/>
        </w:rPr>
        <w:br/>
      </w:r>
      <w:r w:rsidRPr="003E33AC">
        <w:rPr>
          <w:sz w:val="20"/>
          <w:szCs w:val="20"/>
        </w:rPr>
        <w:t xml:space="preserve">Financial Performance </w:t>
      </w:r>
      <w:proofErr w:type="gramStart"/>
      <w:r w:rsidRPr="003E33AC">
        <w:rPr>
          <w:sz w:val="20"/>
          <w:szCs w:val="20"/>
        </w:rPr>
        <w:t>Of</w:t>
      </w:r>
      <w:proofErr w:type="gramEnd"/>
      <w:r w:rsidRPr="003E33AC">
        <w:rPr>
          <w:sz w:val="20"/>
          <w:szCs w:val="20"/>
        </w:rPr>
        <w:t xml:space="preserve"> </w:t>
      </w:r>
      <w:proofErr w:type="gramStart"/>
      <w:r w:rsidRPr="003E33AC">
        <w:rPr>
          <w:sz w:val="20"/>
          <w:szCs w:val="20"/>
        </w:rPr>
        <w:t>The</w:t>
      </w:r>
      <w:proofErr w:type="gramEnd"/>
      <w:r w:rsidRPr="003E33AC">
        <w:rPr>
          <w:sz w:val="20"/>
          <w:szCs w:val="20"/>
        </w:rPr>
        <w:t xml:space="preserve"> State Road Transport Corporations/Undertakings (1987-88)</w:t>
      </w:r>
      <w:bookmarkEnd w:id="60"/>
      <w:bookmarkEnd w:id="61"/>
    </w:p>
    <w:p w14:paraId="33FFD70D" w14:textId="78E9E563" w:rsidR="00F52ADD" w:rsidRPr="003E33AC" w:rsidRDefault="00F52ADD" w:rsidP="00AB335A">
      <w:pPr>
        <w:pStyle w:val="NoSpacing"/>
        <w:jc w:val="center"/>
        <w:rPr>
          <w:rFonts w:ascii="Times New Roman" w:hAnsi="Times New Roman" w:cs="Times New Roman"/>
          <w:sz w:val="18"/>
          <w:szCs w:val="16"/>
        </w:rPr>
      </w:pPr>
      <w:r w:rsidRPr="003E33AC">
        <w:rPr>
          <w:rFonts w:ascii="Times New Roman" w:hAnsi="Times New Roman" w:cs="Times New Roman"/>
          <w:sz w:val="18"/>
          <w:szCs w:val="16"/>
        </w:rPr>
        <w:t>(Para 3.23)</w:t>
      </w:r>
    </w:p>
    <w:p w14:paraId="7FEEF140" w14:textId="77777777" w:rsidR="00AB335A" w:rsidRPr="00F52ADD" w:rsidRDefault="00AB335A" w:rsidP="00AB335A">
      <w:pPr>
        <w:pStyle w:val="NoSpacing"/>
        <w:jc w:val="right"/>
        <w:rPr>
          <w:rFonts w:ascii="Times New Roman" w:hAnsi="Times New Roman" w:cs="Times New Roman"/>
          <w:i/>
          <w:iCs/>
          <w:sz w:val="18"/>
          <w:szCs w:val="16"/>
        </w:rPr>
      </w:pPr>
      <w:r w:rsidRPr="00F52ADD">
        <w:rPr>
          <w:rFonts w:ascii="Times New Roman" w:hAnsi="Times New Roman" w:cs="Times New Roman"/>
          <w:i/>
          <w:iCs/>
          <w:sz w:val="18"/>
          <w:szCs w:val="16"/>
        </w:rPr>
        <w:t>(Rs. Crore)</w:t>
      </w:r>
    </w:p>
    <w:tbl>
      <w:tblPr>
        <w:tblStyle w:val="TableGrid"/>
        <w:tblW w:w="10928" w:type="dxa"/>
        <w:jc w:val="center"/>
        <w:tblLayout w:type="fixed"/>
        <w:tblLook w:val="04A0" w:firstRow="1" w:lastRow="0" w:firstColumn="1" w:lastColumn="0" w:noHBand="0" w:noVBand="1"/>
      </w:tblPr>
      <w:tblGrid>
        <w:gridCol w:w="2090"/>
        <w:gridCol w:w="857"/>
        <w:gridCol w:w="992"/>
        <w:gridCol w:w="857"/>
        <w:gridCol w:w="789"/>
        <w:gridCol w:w="666"/>
        <w:gridCol w:w="1053"/>
        <w:gridCol w:w="673"/>
        <w:gridCol w:w="1004"/>
        <w:gridCol w:w="944"/>
        <w:gridCol w:w="1003"/>
      </w:tblGrid>
      <w:tr w:rsidR="00AB335A" w:rsidRPr="006F2ABC" w14:paraId="6FDA3854" w14:textId="77777777" w:rsidTr="005858A3">
        <w:trPr>
          <w:trHeight w:val="20"/>
          <w:jc w:val="center"/>
        </w:trPr>
        <w:tc>
          <w:tcPr>
            <w:tcW w:w="2090" w:type="dxa"/>
            <w:vAlign w:val="center"/>
            <w:hideMark/>
          </w:tcPr>
          <w:p w14:paraId="0CAA2641"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Transport Corporations/undertakings</w:t>
            </w:r>
          </w:p>
        </w:tc>
        <w:tc>
          <w:tcPr>
            <w:tcW w:w="857" w:type="dxa"/>
            <w:vAlign w:val="center"/>
            <w:hideMark/>
          </w:tcPr>
          <w:p w14:paraId="768A44C8"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Operating Revenue</w:t>
            </w:r>
          </w:p>
        </w:tc>
        <w:tc>
          <w:tcPr>
            <w:tcW w:w="992" w:type="dxa"/>
            <w:vAlign w:val="center"/>
            <w:hideMark/>
          </w:tcPr>
          <w:p w14:paraId="317D9D33"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Operating Expenditure</w:t>
            </w:r>
          </w:p>
        </w:tc>
        <w:tc>
          <w:tcPr>
            <w:tcW w:w="857" w:type="dxa"/>
            <w:vAlign w:val="center"/>
            <w:hideMark/>
          </w:tcPr>
          <w:p w14:paraId="3B0480C6"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Operating Surplus (net)</w:t>
            </w:r>
          </w:p>
        </w:tc>
        <w:tc>
          <w:tcPr>
            <w:tcW w:w="789" w:type="dxa"/>
            <w:vAlign w:val="center"/>
            <w:hideMark/>
          </w:tcPr>
          <w:p w14:paraId="36CCFE34"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Misc. Receipts (Net)</w:t>
            </w:r>
          </w:p>
        </w:tc>
        <w:tc>
          <w:tcPr>
            <w:tcW w:w="666" w:type="dxa"/>
            <w:vAlign w:val="center"/>
            <w:hideMark/>
          </w:tcPr>
          <w:p w14:paraId="7140D54C"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Gross Profit (3+4)</w:t>
            </w:r>
          </w:p>
        </w:tc>
        <w:tc>
          <w:tcPr>
            <w:tcW w:w="1053" w:type="dxa"/>
            <w:vAlign w:val="center"/>
            <w:hideMark/>
          </w:tcPr>
          <w:p w14:paraId="5F43BE97"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Contribution To Depreciation Reserve Fund</w:t>
            </w:r>
          </w:p>
        </w:tc>
        <w:tc>
          <w:tcPr>
            <w:tcW w:w="673" w:type="dxa"/>
            <w:vAlign w:val="center"/>
            <w:hideMark/>
          </w:tcPr>
          <w:p w14:paraId="44F39BF8"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Taxes</w:t>
            </w:r>
          </w:p>
        </w:tc>
        <w:tc>
          <w:tcPr>
            <w:tcW w:w="1004" w:type="dxa"/>
            <w:vAlign w:val="center"/>
            <w:hideMark/>
          </w:tcPr>
          <w:p w14:paraId="50B34F43"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Interest To Creditors Other Than State Govt.</w:t>
            </w:r>
          </w:p>
        </w:tc>
        <w:tc>
          <w:tcPr>
            <w:tcW w:w="944" w:type="dxa"/>
            <w:vAlign w:val="center"/>
            <w:hideMark/>
          </w:tcPr>
          <w:p w14:paraId="09F492D6"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Net Profit/ Loss (Col. 5-6-7-8)</w:t>
            </w:r>
          </w:p>
        </w:tc>
        <w:tc>
          <w:tcPr>
            <w:tcW w:w="1003" w:type="dxa"/>
            <w:vAlign w:val="center"/>
            <w:hideMark/>
          </w:tcPr>
          <w:p w14:paraId="06B1D8E3"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 xml:space="preserve">Operational Ratio </w:t>
            </w:r>
            <w:proofErr w:type="gramStart"/>
            <w:r w:rsidRPr="006F2ABC">
              <w:rPr>
                <w:rFonts w:ascii="Times New Roman" w:hAnsi="Times New Roman" w:cs="Times New Roman"/>
                <w:b/>
                <w:bCs/>
                <w:sz w:val="14"/>
                <w:szCs w:val="14"/>
              </w:rPr>
              <w:t>Of</w:t>
            </w:r>
            <w:proofErr w:type="gramEnd"/>
            <w:r w:rsidRPr="006F2ABC">
              <w:rPr>
                <w:rFonts w:ascii="Times New Roman" w:hAnsi="Times New Roman" w:cs="Times New Roman"/>
                <w:b/>
                <w:bCs/>
                <w:sz w:val="14"/>
                <w:szCs w:val="14"/>
              </w:rPr>
              <w:t xml:space="preserve"> </w:t>
            </w:r>
            <w:proofErr w:type="gramStart"/>
            <w:r w:rsidRPr="006F2ABC">
              <w:rPr>
                <w:rFonts w:ascii="Times New Roman" w:hAnsi="Times New Roman" w:cs="Times New Roman"/>
                <w:b/>
                <w:bCs/>
                <w:sz w:val="14"/>
                <w:szCs w:val="14"/>
              </w:rPr>
              <w:t>Finance(</w:t>
            </w:r>
            <w:proofErr w:type="gramEnd"/>
            <w:r w:rsidRPr="006F2ABC">
              <w:rPr>
                <w:rFonts w:ascii="Times New Roman" w:hAnsi="Times New Roman" w:cs="Times New Roman"/>
                <w:b/>
                <w:bCs/>
                <w:sz w:val="14"/>
                <w:szCs w:val="14"/>
              </w:rPr>
              <w:t>%)</w:t>
            </w:r>
          </w:p>
        </w:tc>
      </w:tr>
      <w:tr w:rsidR="00AB335A" w:rsidRPr="006F2ABC" w14:paraId="06C201D0" w14:textId="77777777" w:rsidTr="005858A3">
        <w:trPr>
          <w:trHeight w:val="20"/>
          <w:jc w:val="center"/>
        </w:trPr>
        <w:tc>
          <w:tcPr>
            <w:tcW w:w="2090" w:type="dxa"/>
            <w:vAlign w:val="center"/>
            <w:hideMark/>
          </w:tcPr>
          <w:p w14:paraId="21AFF3BE" w14:textId="77777777" w:rsidR="00AB335A" w:rsidRPr="006F2ABC" w:rsidRDefault="00AB335A" w:rsidP="00F52ADD">
            <w:pPr>
              <w:pStyle w:val="NoSpacing"/>
              <w:rPr>
                <w:rFonts w:ascii="Times New Roman" w:hAnsi="Times New Roman" w:cs="Times New Roman"/>
                <w:b/>
                <w:bCs/>
                <w:sz w:val="14"/>
                <w:szCs w:val="14"/>
              </w:rPr>
            </w:pPr>
          </w:p>
        </w:tc>
        <w:tc>
          <w:tcPr>
            <w:tcW w:w="857" w:type="dxa"/>
            <w:vAlign w:val="center"/>
            <w:hideMark/>
          </w:tcPr>
          <w:p w14:paraId="762671FF"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(1)</w:t>
            </w:r>
          </w:p>
        </w:tc>
        <w:tc>
          <w:tcPr>
            <w:tcW w:w="992" w:type="dxa"/>
            <w:vAlign w:val="center"/>
            <w:hideMark/>
          </w:tcPr>
          <w:p w14:paraId="3BF049C2"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(2)</w:t>
            </w:r>
          </w:p>
        </w:tc>
        <w:tc>
          <w:tcPr>
            <w:tcW w:w="857" w:type="dxa"/>
            <w:vAlign w:val="center"/>
            <w:hideMark/>
          </w:tcPr>
          <w:p w14:paraId="0C4A76B7"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(3)</w:t>
            </w:r>
          </w:p>
        </w:tc>
        <w:tc>
          <w:tcPr>
            <w:tcW w:w="789" w:type="dxa"/>
            <w:vAlign w:val="center"/>
            <w:hideMark/>
          </w:tcPr>
          <w:p w14:paraId="1FB8F8CA"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(4)</w:t>
            </w:r>
          </w:p>
        </w:tc>
        <w:tc>
          <w:tcPr>
            <w:tcW w:w="666" w:type="dxa"/>
            <w:vAlign w:val="center"/>
            <w:hideMark/>
          </w:tcPr>
          <w:p w14:paraId="162D1A9A"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(5)</w:t>
            </w:r>
          </w:p>
        </w:tc>
        <w:tc>
          <w:tcPr>
            <w:tcW w:w="1053" w:type="dxa"/>
            <w:vAlign w:val="center"/>
            <w:hideMark/>
          </w:tcPr>
          <w:p w14:paraId="5B6248C8"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(6)</w:t>
            </w:r>
          </w:p>
        </w:tc>
        <w:tc>
          <w:tcPr>
            <w:tcW w:w="673" w:type="dxa"/>
            <w:vAlign w:val="center"/>
            <w:hideMark/>
          </w:tcPr>
          <w:p w14:paraId="648EFB64"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(7)</w:t>
            </w:r>
          </w:p>
        </w:tc>
        <w:tc>
          <w:tcPr>
            <w:tcW w:w="1004" w:type="dxa"/>
            <w:vAlign w:val="center"/>
            <w:hideMark/>
          </w:tcPr>
          <w:p w14:paraId="5C4F2A41"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(8)</w:t>
            </w:r>
          </w:p>
        </w:tc>
        <w:tc>
          <w:tcPr>
            <w:tcW w:w="944" w:type="dxa"/>
            <w:vAlign w:val="center"/>
            <w:hideMark/>
          </w:tcPr>
          <w:p w14:paraId="6414F446"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(9)</w:t>
            </w:r>
          </w:p>
        </w:tc>
        <w:tc>
          <w:tcPr>
            <w:tcW w:w="1003" w:type="dxa"/>
            <w:vAlign w:val="center"/>
            <w:hideMark/>
          </w:tcPr>
          <w:p w14:paraId="12EC1A84" w14:textId="77777777" w:rsidR="00AB335A" w:rsidRPr="006F2ABC" w:rsidRDefault="00AB335A" w:rsidP="00F52ADD">
            <w:pPr>
              <w:pStyle w:val="NoSpacing"/>
              <w:jc w:val="center"/>
              <w:rPr>
                <w:rFonts w:ascii="Times New Roman" w:hAnsi="Times New Roman" w:cs="Times New Roman"/>
                <w:b/>
                <w:bCs/>
                <w:sz w:val="14"/>
                <w:szCs w:val="14"/>
              </w:rPr>
            </w:pPr>
            <w:r w:rsidRPr="006F2ABC">
              <w:rPr>
                <w:rFonts w:ascii="Times New Roman" w:hAnsi="Times New Roman" w:cs="Times New Roman"/>
                <w:b/>
                <w:bCs/>
                <w:sz w:val="14"/>
                <w:szCs w:val="14"/>
              </w:rPr>
              <w:t>(10)</w:t>
            </w:r>
          </w:p>
        </w:tc>
      </w:tr>
      <w:tr w:rsidR="00AB335A" w:rsidRPr="006F2ABC" w14:paraId="43805184" w14:textId="77777777" w:rsidTr="005858A3">
        <w:trPr>
          <w:trHeight w:val="20"/>
          <w:jc w:val="center"/>
        </w:trPr>
        <w:tc>
          <w:tcPr>
            <w:tcW w:w="2090" w:type="dxa"/>
            <w:vAlign w:val="center"/>
            <w:hideMark/>
          </w:tcPr>
          <w:p w14:paraId="5BCC4374"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NON-HILL STATES</w:t>
            </w:r>
          </w:p>
        </w:tc>
        <w:tc>
          <w:tcPr>
            <w:tcW w:w="857" w:type="dxa"/>
            <w:vAlign w:val="center"/>
            <w:hideMark/>
          </w:tcPr>
          <w:p w14:paraId="4644B080" w14:textId="77777777" w:rsidR="00AB335A" w:rsidRPr="006F2ABC" w:rsidRDefault="00AB335A" w:rsidP="00F52ADD">
            <w:pPr>
              <w:pStyle w:val="NoSpacing"/>
              <w:jc w:val="center"/>
              <w:rPr>
                <w:rFonts w:ascii="Times New Roman" w:hAnsi="Times New Roman" w:cs="Times New Roman"/>
                <w:sz w:val="14"/>
                <w:szCs w:val="14"/>
              </w:rPr>
            </w:pPr>
          </w:p>
        </w:tc>
        <w:tc>
          <w:tcPr>
            <w:tcW w:w="992" w:type="dxa"/>
            <w:vAlign w:val="center"/>
            <w:hideMark/>
          </w:tcPr>
          <w:p w14:paraId="543405E6" w14:textId="77777777" w:rsidR="00AB335A" w:rsidRPr="006F2ABC" w:rsidRDefault="00AB335A" w:rsidP="00F52ADD">
            <w:pPr>
              <w:pStyle w:val="NoSpacing"/>
              <w:jc w:val="center"/>
              <w:rPr>
                <w:rFonts w:ascii="Times New Roman" w:hAnsi="Times New Roman" w:cs="Times New Roman"/>
                <w:sz w:val="14"/>
                <w:szCs w:val="14"/>
              </w:rPr>
            </w:pPr>
          </w:p>
        </w:tc>
        <w:tc>
          <w:tcPr>
            <w:tcW w:w="857" w:type="dxa"/>
            <w:vAlign w:val="center"/>
            <w:hideMark/>
          </w:tcPr>
          <w:p w14:paraId="6AD33BDE" w14:textId="77777777" w:rsidR="00AB335A" w:rsidRPr="006F2ABC" w:rsidRDefault="00AB335A" w:rsidP="00F52ADD">
            <w:pPr>
              <w:pStyle w:val="NoSpacing"/>
              <w:jc w:val="center"/>
              <w:rPr>
                <w:rFonts w:ascii="Times New Roman" w:hAnsi="Times New Roman" w:cs="Times New Roman"/>
                <w:sz w:val="14"/>
                <w:szCs w:val="14"/>
              </w:rPr>
            </w:pPr>
          </w:p>
        </w:tc>
        <w:tc>
          <w:tcPr>
            <w:tcW w:w="789" w:type="dxa"/>
            <w:vAlign w:val="center"/>
            <w:hideMark/>
          </w:tcPr>
          <w:p w14:paraId="44ACA264" w14:textId="77777777" w:rsidR="00AB335A" w:rsidRPr="006F2ABC" w:rsidRDefault="00AB335A" w:rsidP="00F52ADD">
            <w:pPr>
              <w:pStyle w:val="NoSpacing"/>
              <w:jc w:val="center"/>
              <w:rPr>
                <w:rFonts w:ascii="Times New Roman" w:hAnsi="Times New Roman" w:cs="Times New Roman"/>
                <w:sz w:val="14"/>
                <w:szCs w:val="14"/>
              </w:rPr>
            </w:pPr>
          </w:p>
        </w:tc>
        <w:tc>
          <w:tcPr>
            <w:tcW w:w="666" w:type="dxa"/>
            <w:vAlign w:val="center"/>
            <w:hideMark/>
          </w:tcPr>
          <w:p w14:paraId="2DDEC227" w14:textId="77777777" w:rsidR="00AB335A" w:rsidRPr="006F2ABC" w:rsidRDefault="00AB335A" w:rsidP="00F52ADD">
            <w:pPr>
              <w:pStyle w:val="NoSpacing"/>
              <w:jc w:val="center"/>
              <w:rPr>
                <w:rFonts w:ascii="Times New Roman" w:hAnsi="Times New Roman" w:cs="Times New Roman"/>
                <w:sz w:val="14"/>
                <w:szCs w:val="14"/>
              </w:rPr>
            </w:pPr>
          </w:p>
        </w:tc>
        <w:tc>
          <w:tcPr>
            <w:tcW w:w="1053" w:type="dxa"/>
            <w:vAlign w:val="center"/>
            <w:hideMark/>
          </w:tcPr>
          <w:p w14:paraId="55CB1441" w14:textId="77777777" w:rsidR="00AB335A" w:rsidRPr="006F2ABC" w:rsidRDefault="00AB335A" w:rsidP="00F52ADD">
            <w:pPr>
              <w:pStyle w:val="NoSpacing"/>
              <w:jc w:val="center"/>
              <w:rPr>
                <w:rFonts w:ascii="Times New Roman" w:hAnsi="Times New Roman" w:cs="Times New Roman"/>
                <w:sz w:val="14"/>
                <w:szCs w:val="14"/>
              </w:rPr>
            </w:pPr>
          </w:p>
        </w:tc>
        <w:tc>
          <w:tcPr>
            <w:tcW w:w="673" w:type="dxa"/>
            <w:vAlign w:val="center"/>
            <w:hideMark/>
          </w:tcPr>
          <w:p w14:paraId="6AD4E364" w14:textId="77777777" w:rsidR="00AB335A" w:rsidRPr="006F2ABC" w:rsidRDefault="00AB335A" w:rsidP="00F52ADD">
            <w:pPr>
              <w:pStyle w:val="NoSpacing"/>
              <w:jc w:val="center"/>
              <w:rPr>
                <w:rFonts w:ascii="Times New Roman" w:hAnsi="Times New Roman" w:cs="Times New Roman"/>
                <w:sz w:val="14"/>
                <w:szCs w:val="14"/>
              </w:rPr>
            </w:pPr>
          </w:p>
        </w:tc>
        <w:tc>
          <w:tcPr>
            <w:tcW w:w="1004" w:type="dxa"/>
            <w:vAlign w:val="center"/>
            <w:hideMark/>
          </w:tcPr>
          <w:p w14:paraId="0424751C" w14:textId="77777777" w:rsidR="00AB335A" w:rsidRPr="006F2ABC" w:rsidRDefault="00AB335A" w:rsidP="00F52ADD">
            <w:pPr>
              <w:pStyle w:val="NoSpacing"/>
              <w:jc w:val="center"/>
              <w:rPr>
                <w:rFonts w:ascii="Times New Roman" w:hAnsi="Times New Roman" w:cs="Times New Roman"/>
                <w:sz w:val="14"/>
                <w:szCs w:val="14"/>
              </w:rPr>
            </w:pPr>
          </w:p>
        </w:tc>
        <w:tc>
          <w:tcPr>
            <w:tcW w:w="944" w:type="dxa"/>
            <w:vAlign w:val="center"/>
            <w:hideMark/>
          </w:tcPr>
          <w:p w14:paraId="05AD575E" w14:textId="77777777" w:rsidR="00AB335A" w:rsidRPr="006F2ABC" w:rsidRDefault="00AB335A" w:rsidP="00F52ADD">
            <w:pPr>
              <w:pStyle w:val="NoSpacing"/>
              <w:jc w:val="center"/>
              <w:rPr>
                <w:rFonts w:ascii="Times New Roman" w:hAnsi="Times New Roman" w:cs="Times New Roman"/>
                <w:sz w:val="14"/>
                <w:szCs w:val="14"/>
              </w:rPr>
            </w:pPr>
          </w:p>
        </w:tc>
        <w:tc>
          <w:tcPr>
            <w:tcW w:w="1003" w:type="dxa"/>
            <w:vAlign w:val="center"/>
            <w:hideMark/>
          </w:tcPr>
          <w:p w14:paraId="65FD5A5B" w14:textId="77777777" w:rsidR="00AB335A" w:rsidRPr="006F2ABC" w:rsidRDefault="00AB335A" w:rsidP="00F52ADD">
            <w:pPr>
              <w:pStyle w:val="NoSpacing"/>
              <w:jc w:val="center"/>
              <w:rPr>
                <w:rFonts w:ascii="Times New Roman" w:hAnsi="Times New Roman" w:cs="Times New Roman"/>
                <w:sz w:val="14"/>
                <w:szCs w:val="14"/>
              </w:rPr>
            </w:pPr>
          </w:p>
        </w:tc>
      </w:tr>
      <w:tr w:rsidR="00AB335A" w:rsidRPr="006F2ABC" w14:paraId="2192AF4A" w14:textId="77777777" w:rsidTr="005858A3">
        <w:trPr>
          <w:trHeight w:val="20"/>
          <w:jc w:val="center"/>
        </w:trPr>
        <w:tc>
          <w:tcPr>
            <w:tcW w:w="2090" w:type="dxa"/>
            <w:vAlign w:val="center"/>
            <w:hideMark/>
          </w:tcPr>
          <w:p w14:paraId="2CC4037B"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 Andhra Pradesh</w:t>
            </w:r>
          </w:p>
        </w:tc>
        <w:tc>
          <w:tcPr>
            <w:tcW w:w="857" w:type="dxa"/>
            <w:vAlign w:val="center"/>
            <w:hideMark/>
          </w:tcPr>
          <w:p w14:paraId="76C646F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506.02</w:t>
            </w:r>
          </w:p>
        </w:tc>
        <w:tc>
          <w:tcPr>
            <w:tcW w:w="992" w:type="dxa"/>
            <w:vAlign w:val="center"/>
            <w:hideMark/>
          </w:tcPr>
          <w:p w14:paraId="2F9C93C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338.03</w:t>
            </w:r>
          </w:p>
        </w:tc>
        <w:tc>
          <w:tcPr>
            <w:tcW w:w="857" w:type="dxa"/>
            <w:vAlign w:val="center"/>
            <w:hideMark/>
          </w:tcPr>
          <w:p w14:paraId="24DDCF1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167.99</w:t>
            </w:r>
          </w:p>
        </w:tc>
        <w:tc>
          <w:tcPr>
            <w:tcW w:w="789" w:type="dxa"/>
            <w:vAlign w:val="center"/>
            <w:hideMark/>
          </w:tcPr>
          <w:p w14:paraId="6C5EC67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-3.84</w:t>
            </w:r>
          </w:p>
        </w:tc>
        <w:tc>
          <w:tcPr>
            <w:tcW w:w="666" w:type="dxa"/>
            <w:vAlign w:val="center"/>
            <w:hideMark/>
          </w:tcPr>
          <w:p w14:paraId="0AF017D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164.15</w:t>
            </w:r>
          </w:p>
        </w:tc>
        <w:tc>
          <w:tcPr>
            <w:tcW w:w="1053" w:type="dxa"/>
            <w:vAlign w:val="center"/>
            <w:hideMark/>
          </w:tcPr>
          <w:p w14:paraId="37CFB33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66.17</w:t>
            </w:r>
          </w:p>
        </w:tc>
        <w:tc>
          <w:tcPr>
            <w:tcW w:w="673" w:type="dxa"/>
            <w:vAlign w:val="center"/>
            <w:hideMark/>
          </w:tcPr>
          <w:p w14:paraId="361B984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55.88</w:t>
            </w:r>
          </w:p>
        </w:tc>
        <w:tc>
          <w:tcPr>
            <w:tcW w:w="1004" w:type="dxa"/>
            <w:vAlign w:val="center"/>
            <w:hideMark/>
          </w:tcPr>
          <w:p w14:paraId="5BADBE5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11.47</w:t>
            </w:r>
          </w:p>
        </w:tc>
        <w:tc>
          <w:tcPr>
            <w:tcW w:w="944" w:type="dxa"/>
            <w:vAlign w:val="center"/>
            <w:hideMark/>
          </w:tcPr>
          <w:p w14:paraId="336B4A8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30.63</w:t>
            </w:r>
          </w:p>
        </w:tc>
        <w:tc>
          <w:tcPr>
            <w:tcW w:w="1003" w:type="dxa"/>
            <w:vAlign w:val="center"/>
            <w:hideMark/>
          </w:tcPr>
          <w:p w14:paraId="3616BE6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66.69</w:t>
            </w:r>
          </w:p>
        </w:tc>
      </w:tr>
      <w:tr w:rsidR="00AB335A" w:rsidRPr="006F2ABC" w14:paraId="2040384B" w14:textId="77777777" w:rsidTr="005858A3">
        <w:trPr>
          <w:trHeight w:val="20"/>
          <w:jc w:val="center"/>
        </w:trPr>
        <w:tc>
          <w:tcPr>
            <w:tcW w:w="2090" w:type="dxa"/>
            <w:vAlign w:val="center"/>
            <w:hideMark/>
          </w:tcPr>
          <w:p w14:paraId="135B5CC3"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2. Assam</w:t>
            </w:r>
          </w:p>
        </w:tc>
        <w:tc>
          <w:tcPr>
            <w:tcW w:w="857" w:type="dxa"/>
            <w:vAlign w:val="center"/>
            <w:hideMark/>
          </w:tcPr>
          <w:p w14:paraId="3302652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15.15</w:t>
            </w:r>
          </w:p>
        </w:tc>
        <w:tc>
          <w:tcPr>
            <w:tcW w:w="992" w:type="dxa"/>
            <w:vAlign w:val="center"/>
            <w:hideMark/>
          </w:tcPr>
          <w:p w14:paraId="7DEE76F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18.59</w:t>
            </w:r>
          </w:p>
        </w:tc>
        <w:tc>
          <w:tcPr>
            <w:tcW w:w="857" w:type="dxa"/>
            <w:vAlign w:val="center"/>
            <w:hideMark/>
          </w:tcPr>
          <w:p w14:paraId="40576CC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-3.44</w:t>
            </w:r>
          </w:p>
        </w:tc>
        <w:tc>
          <w:tcPr>
            <w:tcW w:w="789" w:type="dxa"/>
            <w:vAlign w:val="center"/>
            <w:hideMark/>
          </w:tcPr>
          <w:p w14:paraId="74F4CFD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-0.49</w:t>
            </w:r>
          </w:p>
        </w:tc>
        <w:tc>
          <w:tcPr>
            <w:tcW w:w="666" w:type="dxa"/>
            <w:vAlign w:val="center"/>
            <w:hideMark/>
          </w:tcPr>
          <w:p w14:paraId="6ED6DBE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-3.93</w:t>
            </w:r>
          </w:p>
        </w:tc>
        <w:tc>
          <w:tcPr>
            <w:tcW w:w="1053" w:type="dxa"/>
            <w:vAlign w:val="center"/>
            <w:hideMark/>
          </w:tcPr>
          <w:p w14:paraId="43BFE52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1.80</w:t>
            </w:r>
          </w:p>
        </w:tc>
        <w:tc>
          <w:tcPr>
            <w:tcW w:w="673" w:type="dxa"/>
            <w:vAlign w:val="center"/>
            <w:hideMark/>
          </w:tcPr>
          <w:p w14:paraId="33C6926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0.39</w:t>
            </w:r>
          </w:p>
        </w:tc>
        <w:tc>
          <w:tcPr>
            <w:tcW w:w="1004" w:type="dxa"/>
            <w:vAlign w:val="center"/>
            <w:hideMark/>
          </w:tcPr>
          <w:p w14:paraId="63EAA08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1.08</w:t>
            </w:r>
          </w:p>
        </w:tc>
        <w:tc>
          <w:tcPr>
            <w:tcW w:w="944" w:type="dxa"/>
            <w:vAlign w:val="center"/>
            <w:hideMark/>
          </w:tcPr>
          <w:p w14:paraId="3B1E311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-7.20</w:t>
            </w:r>
          </w:p>
        </w:tc>
        <w:tc>
          <w:tcPr>
            <w:tcW w:w="1003" w:type="dxa"/>
            <w:vAlign w:val="center"/>
            <w:hideMark/>
          </w:tcPr>
          <w:p w14:paraId="104E207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124.26</w:t>
            </w:r>
          </w:p>
        </w:tc>
      </w:tr>
      <w:tr w:rsidR="00AB335A" w:rsidRPr="006F2ABC" w14:paraId="2809B06A" w14:textId="77777777" w:rsidTr="005858A3">
        <w:trPr>
          <w:trHeight w:val="20"/>
          <w:jc w:val="center"/>
        </w:trPr>
        <w:tc>
          <w:tcPr>
            <w:tcW w:w="2090" w:type="dxa"/>
            <w:vAlign w:val="center"/>
            <w:hideMark/>
          </w:tcPr>
          <w:p w14:paraId="5ABC5E86"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3. Bihar</w:t>
            </w:r>
          </w:p>
        </w:tc>
        <w:tc>
          <w:tcPr>
            <w:tcW w:w="857" w:type="dxa"/>
            <w:vAlign w:val="center"/>
            <w:hideMark/>
          </w:tcPr>
          <w:p w14:paraId="07832D4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19.62</w:t>
            </w:r>
          </w:p>
        </w:tc>
        <w:tc>
          <w:tcPr>
            <w:tcW w:w="992" w:type="dxa"/>
            <w:vAlign w:val="center"/>
            <w:hideMark/>
          </w:tcPr>
          <w:p w14:paraId="4E6B994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30.24</w:t>
            </w:r>
          </w:p>
        </w:tc>
        <w:tc>
          <w:tcPr>
            <w:tcW w:w="857" w:type="dxa"/>
            <w:vAlign w:val="center"/>
            <w:hideMark/>
          </w:tcPr>
          <w:p w14:paraId="10E55A3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-10.62</w:t>
            </w:r>
          </w:p>
        </w:tc>
        <w:tc>
          <w:tcPr>
            <w:tcW w:w="789" w:type="dxa"/>
            <w:vAlign w:val="center"/>
            <w:hideMark/>
          </w:tcPr>
          <w:p w14:paraId="49C2ED1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9.55</w:t>
            </w:r>
          </w:p>
        </w:tc>
        <w:tc>
          <w:tcPr>
            <w:tcW w:w="666" w:type="dxa"/>
            <w:vAlign w:val="center"/>
            <w:hideMark/>
          </w:tcPr>
          <w:p w14:paraId="560F320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-1.07</w:t>
            </w:r>
          </w:p>
        </w:tc>
        <w:tc>
          <w:tcPr>
            <w:tcW w:w="1053" w:type="dxa"/>
            <w:vAlign w:val="center"/>
            <w:hideMark/>
          </w:tcPr>
          <w:p w14:paraId="1FFFDF4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3.61</w:t>
            </w:r>
          </w:p>
        </w:tc>
        <w:tc>
          <w:tcPr>
            <w:tcW w:w="673" w:type="dxa"/>
            <w:vAlign w:val="center"/>
            <w:hideMark/>
          </w:tcPr>
          <w:p w14:paraId="3624CC3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0.76</w:t>
            </w:r>
          </w:p>
        </w:tc>
        <w:tc>
          <w:tcPr>
            <w:tcW w:w="1004" w:type="dxa"/>
            <w:vAlign w:val="center"/>
            <w:hideMark/>
          </w:tcPr>
          <w:p w14:paraId="3CBACFF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0.09</w:t>
            </w:r>
          </w:p>
        </w:tc>
        <w:tc>
          <w:tcPr>
            <w:tcW w:w="944" w:type="dxa"/>
            <w:vAlign w:val="center"/>
            <w:hideMark/>
          </w:tcPr>
          <w:p w14:paraId="65C81D5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-5.53</w:t>
            </w:r>
          </w:p>
        </w:tc>
        <w:tc>
          <w:tcPr>
            <w:tcW w:w="1003" w:type="dxa"/>
            <w:vAlign w:val="center"/>
            <w:hideMark/>
          </w:tcPr>
          <w:p w14:paraId="491AE68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154.44</w:t>
            </w:r>
          </w:p>
        </w:tc>
      </w:tr>
      <w:tr w:rsidR="00AB335A" w:rsidRPr="006F2ABC" w14:paraId="7D8235E5" w14:textId="77777777" w:rsidTr="005858A3">
        <w:trPr>
          <w:trHeight w:val="20"/>
          <w:jc w:val="center"/>
        </w:trPr>
        <w:tc>
          <w:tcPr>
            <w:tcW w:w="2090" w:type="dxa"/>
            <w:vAlign w:val="center"/>
            <w:hideMark/>
          </w:tcPr>
          <w:p w14:paraId="16C1AC46"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4. Gujarat</w:t>
            </w:r>
          </w:p>
        </w:tc>
        <w:tc>
          <w:tcPr>
            <w:tcW w:w="857" w:type="dxa"/>
            <w:vAlign w:val="center"/>
            <w:hideMark/>
          </w:tcPr>
          <w:p w14:paraId="1EFAC42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305.25</w:t>
            </w:r>
          </w:p>
        </w:tc>
        <w:tc>
          <w:tcPr>
            <w:tcW w:w="992" w:type="dxa"/>
            <w:vAlign w:val="center"/>
            <w:hideMark/>
          </w:tcPr>
          <w:p w14:paraId="154329D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212.28</w:t>
            </w:r>
          </w:p>
        </w:tc>
        <w:tc>
          <w:tcPr>
            <w:tcW w:w="857" w:type="dxa"/>
            <w:vAlign w:val="center"/>
            <w:hideMark/>
          </w:tcPr>
          <w:p w14:paraId="4CA9D12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92.97</w:t>
            </w:r>
          </w:p>
        </w:tc>
        <w:tc>
          <w:tcPr>
            <w:tcW w:w="789" w:type="dxa"/>
            <w:vAlign w:val="center"/>
            <w:hideMark/>
          </w:tcPr>
          <w:p w14:paraId="29C8FAF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-3.21</w:t>
            </w:r>
          </w:p>
        </w:tc>
        <w:tc>
          <w:tcPr>
            <w:tcW w:w="666" w:type="dxa"/>
            <w:vAlign w:val="center"/>
            <w:hideMark/>
          </w:tcPr>
          <w:p w14:paraId="1E519C7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89.76</w:t>
            </w:r>
          </w:p>
        </w:tc>
        <w:tc>
          <w:tcPr>
            <w:tcW w:w="1053" w:type="dxa"/>
            <w:vAlign w:val="center"/>
            <w:hideMark/>
          </w:tcPr>
          <w:p w14:paraId="3BED6CC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29.19</w:t>
            </w:r>
          </w:p>
        </w:tc>
        <w:tc>
          <w:tcPr>
            <w:tcW w:w="673" w:type="dxa"/>
            <w:vAlign w:val="center"/>
            <w:hideMark/>
          </w:tcPr>
          <w:p w14:paraId="1E731AC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76.44</w:t>
            </w:r>
          </w:p>
        </w:tc>
        <w:tc>
          <w:tcPr>
            <w:tcW w:w="1004" w:type="dxa"/>
            <w:vAlign w:val="center"/>
            <w:hideMark/>
          </w:tcPr>
          <w:p w14:paraId="40D75A9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9.39</w:t>
            </w:r>
          </w:p>
        </w:tc>
        <w:tc>
          <w:tcPr>
            <w:tcW w:w="944" w:type="dxa"/>
            <w:vAlign w:val="center"/>
            <w:hideMark/>
          </w:tcPr>
          <w:p w14:paraId="20BB87A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-25.26</w:t>
            </w:r>
          </w:p>
        </w:tc>
        <w:tc>
          <w:tcPr>
            <w:tcW w:w="1003" w:type="dxa"/>
            <w:vAlign w:val="center"/>
            <w:hideMark/>
          </w:tcPr>
          <w:p w14:paraId="55501D5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90.80</w:t>
            </w:r>
          </w:p>
        </w:tc>
      </w:tr>
      <w:tr w:rsidR="00AB335A" w:rsidRPr="006F2ABC" w14:paraId="67032F82" w14:textId="77777777" w:rsidTr="005858A3">
        <w:trPr>
          <w:trHeight w:val="20"/>
          <w:jc w:val="center"/>
        </w:trPr>
        <w:tc>
          <w:tcPr>
            <w:tcW w:w="2090" w:type="dxa"/>
            <w:vAlign w:val="center"/>
            <w:hideMark/>
          </w:tcPr>
          <w:p w14:paraId="075A813D"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5. Goa</w:t>
            </w:r>
          </w:p>
        </w:tc>
        <w:tc>
          <w:tcPr>
            <w:tcW w:w="857" w:type="dxa"/>
            <w:vAlign w:val="center"/>
            <w:hideMark/>
          </w:tcPr>
          <w:p w14:paraId="361CBC2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6.91</w:t>
            </w:r>
          </w:p>
        </w:tc>
        <w:tc>
          <w:tcPr>
            <w:tcW w:w="992" w:type="dxa"/>
            <w:vAlign w:val="center"/>
            <w:hideMark/>
          </w:tcPr>
          <w:p w14:paraId="076A15F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5.85</w:t>
            </w:r>
          </w:p>
        </w:tc>
        <w:tc>
          <w:tcPr>
            <w:tcW w:w="857" w:type="dxa"/>
            <w:vAlign w:val="center"/>
            <w:hideMark/>
          </w:tcPr>
          <w:p w14:paraId="0BD914E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1.06</w:t>
            </w:r>
          </w:p>
        </w:tc>
        <w:tc>
          <w:tcPr>
            <w:tcW w:w="789" w:type="dxa"/>
            <w:vAlign w:val="center"/>
            <w:hideMark/>
          </w:tcPr>
          <w:p w14:paraId="22046F1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0.01</w:t>
            </w:r>
          </w:p>
        </w:tc>
        <w:tc>
          <w:tcPr>
            <w:tcW w:w="666" w:type="dxa"/>
            <w:vAlign w:val="center"/>
            <w:hideMark/>
          </w:tcPr>
          <w:p w14:paraId="1F257DA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1.07</w:t>
            </w:r>
          </w:p>
        </w:tc>
        <w:tc>
          <w:tcPr>
            <w:tcW w:w="1053" w:type="dxa"/>
            <w:vAlign w:val="center"/>
            <w:hideMark/>
          </w:tcPr>
          <w:p w14:paraId="7C53068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0.90</w:t>
            </w:r>
          </w:p>
        </w:tc>
        <w:tc>
          <w:tcPr>
            <w:tcW w:w="673" w:type="dxa"/>
            <w:vAlign w:val="center"/>
            <w:hideMark/>
          </w:tcPr>
          <w:p w14:paraId="182F2B9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0.61</w:t>
            </w:r>
          </w:p>
        </w:tc>
        <w:tc>
          <w:tcPr>
            <w:tcW w:w="1004" w:type="dxa"/>
            <w:vAlign w:val="center"/>
            <w:hideMark/>
          </w:tcPr>
          <w:p w14:paraId="64A8D82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0.04</w:t>
            </w:r>
          </w:p>
        </w:tc>
        <w:tc>
          <w:tcPr>
            <w:tcW w:w="944" w:type="dxa"/>
            <w:vAlign w:val="center"/>
            <w:hideMark/>
          </w:tcPr>
          <w:p w14:paraId="3C798A9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-0.48</w:t>
            </w:r>
          </w:p>
        </w:tc>
        <w:tc>
          <w:tcPr>
            <w:tcW w:w="1003" w:type="dxa"/>
            <w:vAlign w:val="center"/>
            <w:hideMark/>
          </w:tcPr>
          <w:p w14:paraId="1DC699B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92.86</w:t>
            </w:r>
          </w:p>
        </w:tc>
      </w:tr>
      <w:tr w:rsidR="00AB335A" w:rsidRPr="006F2ABC" w14:paraId="36B02ED5" w14:textId="77777777" w:rsidTr="005858A3">
        <w:trPr>
          <w:trHeight w:val="20"/>
          <w:jc w:val="center"/>
        </w:trPr>
        <w:tc>
          <w:tcPr>
            <w:tcW w:w="2090" w:type="dxa"/>
            <w:vAlign w:val="center"/>
            <w:hideMark/>
          </w:tcPr>
          <w:p w14:paraId="00427302"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6. Haryana</w:t>
            </w:r>
          </w:p>
        </w:tc>
        <w:tc>
          <w:tcPr>
            <w:tcW w:w="857" w:type="dxa"/>
            <w:vAlign w:val="center"/>
            <w:hideMark/>
          </w:tcPr>
          <w:p w14:paraId="1042D2F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115.07</w:t>
            </w:r>
          </w:p>
        </w:tc>
        <w:tc>
          <w:tcPr>
            <w:tcW w:w="992" w:type="dxa"/>
            <w:vAlign w:val="center"/>
            <w:hideMark/>
          </w:tcPr>
          <w:p w14:paraId="6EA4334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89.18</w:t>
            </w:r>
          </w:p>
        </w:tc>
        <w:tc>
          <w:tcPr>
            <w:tcW w:w="857" w:type="dxa"/>
            <w:vAlign w:val="center"/>
            <w:hideMark/>
          </w:tcPr>
          <w:p w14:paraId="2C4F57E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25.89</w:t>
            </w:r>
          </w:p>
        </w:tc>
        <w:tc>
          <w:tcPr>
            <w:tcW w:w="789" w:type="dxa"/>
            <w:vAlign w:val="center"/>
            <w:hideMark/>
          </w:tcPr>
          <w:p w14:paraId="7AEC1EB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0.62</w:t>
            </w:r>
          </w:p>
        </w:tc>
        <w:tc>
          <w:tcPr>
            <w:tcW w:w="666" w:type="dxa"/>
            <w:vAlign w:val="center"/>
            <w:hideMark/>
          </w:tcPr>
          <w:p w14:paraId="4F64597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26.51</w:t>
            </w:r>
          </w:p>
        </w:tc>
        <w:tc>
          <w:tcPr>
            <w:tcW w:w="1053" w:type="dxa"/>
            <w:vAlign w:val="center"/>
            <w:hideMark/>
          </w:tcPr>
          <w:p w14:paraId="57C8AFD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5.81 @</w:t>
            </w:r>
          </w:p>
        </w:tc>
        <w:tc>
          <w:tcPr>
            <w:tcW w:w="673" w:type="dxa"/>
            <w:vAlign w:val="center"/>
            <w:hideMark/>
          </w:tcPr>
          <w:p w14:paraId="490F099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8.29</w:t>
            </w:r>
          </w:p>
        </w:tc>
        <w:tc>
          <w:tcPr>
            <w:tcW w:w="1004" w:type="dxa"/>
            <w:vAlign w:val="center"/>
            <w:hideMark/>
          </w:tcPr>
          <w:p w14:paraId="60EF1BE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944" w:type="dxa"/>
            <w:vAlign w:val="center"/>
            <w:hideMark/>
          </w:tcPr>
          <w:p w14:paraId="500E3C0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12.41</w:t>
            </w:r>
          </w:p>
        </w:tc>
        <w:tc>
          <w:tcPr>
            <w:tcW w:w="1003" w:type="dxa"/>
            <w:vAlign w:val="center"/>
            <w:hideMark/>
          </w:tcPr>
          <w:p w14:paraId="4D2244A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77.50</w:t>
            </w:r>
          </w:p>
        </w:tc>
      </w:tr>
      <w:tr w:rsidR="00AB335A" w:rsidRPr="006F2ABC" w14:paraId="5B96F8A9" w14:textId="77777777" w:rsidTr="005858A3">
        <w:trPr>
          <w:trHeight w:val="20"/>
          <w:jc w:val="center"/>
        </w:trPr>
        <w:tc>
          <w:tcPr>
            <w:tcW w:w="2090" w:type="dxa"/>
            <w:vAlign w:val="center"/>
            <w:hideMark/>
          </w:tcPr>
          <w:p w14:paraId="20016065"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7. Karnataka</w:t>
            </w:r>
          </w:p>
        </w:tc>
        <w:tc>
          <w:tcPr>
            <w:tcW w:w="857" w:type="dxa"/>
            <w:vAlign w:val="center"/>
            <w:hideMark/>
          </w:tcPr>
          <w:p w14:paraId="6FDBD35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345.60</w:t>
            </w:r>
          </w:p>
        </w:tc>
        <w:tc>
          <w:tcPr>
            <w:tcW w:w="992" w:type="dxa"/>
            <w:vAlign w:val="center"/>
            <w:hideMark/>
          </w:tcPr>
          <w:p w14:paraId="5F468EF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211.87</w:t>
            </w:r>
          </w:p>
        </w:tc>
        <w:tc>
          <w:tcPr>
            <w:tcW w:w="857" w:type="dxa"/>
            <w:vAlign w:val="center"/>
            <w:hideMark/>
          </w:tcPr>
          <w:p w14:paraId="30E83B2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133.73</w:t>
            </w:r>
          </w:p>
        </w:tc>
        <w:tc>
          <w:tcPr>
            <w:tcW w:w="789" w:type="dxa"/>
            <w:vAlign w:val="center"/>
            <w:hideMark/>
          </w:tcPr>
          <w:p w14:paraId="5833213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-26.97</w:t>
            </w:r>
          </w:p>
        </w:tc>
        <w:tc>
          <w:tcPr>
            <w:tcW w:w="666" w:type="dxa"/>
            <w:vAlign w:val="center"/>
            <w:hideMark/>
          </w:tcPr>
          <w:p w14:paraId="3C8D013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106.76</w:t>
            </w:r>
          </w:p>
        </w:tc>
        <w:tc>
          <w:tcPr>
            <w:tcW w:w="1053" w:type="dxa"/>
            <w:vAlign w:val="center"/>
            <w:hideMark/>
          </w:tcPr>
          <w:p w14:paraId="087529A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40.47</w:t>
            </w:r>
          </w:p>
        </w:tc>
        <w:tc>
          <w:tcPr>
            <w:tcW w:w="673" w:type="dxa"/>
            <w:vAlign w:val="center"/>
            <w:hideMark/>
          </w:tcPr>
          <w:p w14:paraId="11CA95E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54.26</w:t>
            </w:r>
          </w:p>
        </w:tc>
        <w:tc>
          <w:tcPr>
            <w:tcW w:w="1004" w:type="dxa"/>
            <w:vAlign w:val="center"/>
            <w:hideMark/>
          </w:tcPr>
          <w:p w14:paraId="23E569E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15.16</w:t>
            </w:r>
          </w:p>
        </w:tc>
        <w:tc>
          <w:tcPr>
            <w:tcW w:w="944" w:type="dxa"/>
            <w:vAlign w:val="center"/>
            <w:hideMark/>
          </w:tcPr>
          <w:p w14:paraId="331D8CF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-3.13</w:t>
            </w:r>
          </w:p>
        </w:tc>
        <w:tc>
          <w:tcPr>
            <w:tcW w:w="1003" w:type="dxa"/>
            <w:vAlign w:val="center"/>
            <w:hideMark/>
          </w:tcPr>
          <w:p w14:paraId="0FB6318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61.40</w:t>
            </w:r>
          </w:p>
        </w:tc>
      </w:tr>
      <w:tr w:rsidR="00AB335A" w:rsidRPr="006F2ABC" w14:paraId="376B53FA" w14:textId="77777777" w:rsidTr="005858A3">
        <w:trPr>
          <w:trHeight w:val="20"/>
          <w:jc w:val="center"/>
        </w:trPr>
        <w:tc>
          <w:tcPr>
            <w:tcW w:w="2090" w:type="dxa"/>
            <w:vAlign w:val="center"/>
            <w:hideMark/>
          </w:tcPr>
          <w:p w14:paraId="49CE4575"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8. Kerala</w:t>
            </w:r>
          </w:p>
        </w:tc>
        <w:tc>
          <w:tcPr>
            <w:tcW w:w="857" w:type="dxa"/>
            <w:vAlign w:val="center"/>
            <w:hideMark/>
          </w:tcPr>
          <w:p w14:paraId="094B801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123.00</w:t>
            </w:r>
          </w:p>
        </w:tc>
        <w:tc>
          <w:tcPr>
            <w:tcW w:w="992" w:type="dxa"/>
            <w:vAlign w:val="center"/>
            <w:hideMark/>
          </w:tcPr>
          <w:p w14:paraId="307D72A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107.50</w:t>
            </w:r>
          </w:p>
        </w:tc>
        <w:tc>
          <w:tcPr>
            <w:tcW w:w="857" w:type="dxa"/>
            <w:vAlign w:val="center"/>
            <w:hideMark/>
          </w:tcPr>
          <w:p w14:paraId="57A4666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15.50</w:t>
            </w:r>
          </w:p>
        </w:tc>
        <w:tc>
          <w:tcPr>
            <w:tcW w:w="789" w:type="dxa"/>
            <w:vAlign w:val="center"/>
            <w:hideMark/>
          </w:tcPr>
          <w:p w14:paraId="58F87EC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-1.98</w:t>
            </w:r>
          </w:p>
        </w:tc>
        <w:tc>
          <w:tcPr>
            <w:tcW w:w="666" w:type="dxa"/>
            <w:vAlign w:val="center"/>
            <w:hideMark/>
          </w:tcPr>
          <w:p w14:paraId="5024E64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13.52</w:t>
            </w:r>
          </w:p>
        </w:tc>
        <w:tc>
          <w:tcPr>
            <w:tcW w:w="1053" w:type="dxa"/>
            <w:vAlign w:val="center"/>
            <w:hideMark/>
          </w:tcPr>
          <w:p w14:paraId="32A2CB9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7.06</w:t>
            </w:r>
          </w:p>
        </w:tc>
        <w:tc>
          <w:tcPr>
            <w:tcW w:w="673" w:type="dxa"/>
            <w:vAlign w:val="center"/>
            <w:hideMark/>
          </w:tcPr>
          <w:p w14:paraId="2A68661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10.50</w:t>
            </w:r>
          </w:p>
        </w:tc>
        <w:tc>
          <w:tcPr>
            <w:tcW w:w="1004" w:type="dxa"/>
            <w:vAlign w:val="center"/>
            <w:hideMark/>
          </w:tcPr>
          <w:p w14:paraId="0221A08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6.54</w:t>
            </w:r>
          </w:p>
        </w:tc>
        <w:tc>
          <w:tcPr>
            <w:tcW w:w="944" w:type="dxa"/>
            <w:vAlign w:val="center"/>
            <w:hideMark/>
          </w:tcPr>
          <w:p w14:paraId="5F19286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-10.58</w:t>
            </w:r>
          </w:p>
        </w:tc>
        <w:tc>
          <w:tcPr>
            <w:tcW w:w="1003" w:type="dxa"/>
            <w:vAlign w:val="center"/>
            <w:hideMark/>
          </w:tcPr>
          <w:p w14:paraId="632FAF7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87.40</w:t>
            </w:r>
          </w:p>
        </w:tc>
      </w:tr>
      <w:tr w:rsidR="00AB335A" w:rsidRPr="006F2ABC" w14:paraId="4D90969F" w14:textId="77777777" w:rsidTr="005858A3">
        <w:trPr>
          <w:trHeight w:val="20"/>
          <w:jc w:val="center"/>
        </w:trPr>
        <w:tc>
          <w:tcPr>
            <w:tcW w:w="2090" w:type="dxa"/>
            <w:vAlign w:val="center"/>
            <w:hideMark/>
          </w:tcPr>
          <w:p w14:paraId="2B817F4E"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9. Madhya Pradesh</w:t>
            </w:r>
          </w:p>
        </w:tc>
        <w:tc>
          <w:tcPr>
            <w:tcW w:w="857" w:type="dxa"/>
            <w:vAlign w:val="center"/>
            <w:hideMark/>
          </w:tcPr>
          <w:p w14:paraId="21FD92E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96.38</w:t>
            </w:r>
          </w:p>
        </w:tc>
        <w:tc>
          <w:tcPr>
            <w:tcW w:w="992" w:type="dxa"/>
            <w:vAlign w:val="center"/>
            <w:hideMark/>
          </w:tcPr>
          <w:p w14:paraId="17F8766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74.76</w:t>
            </w:r>
          </w:p>
        </w:tc>
        <w:tc>
          <w:tcPr>
            <w:tcW w:w="857" w:type="dxa"/>
            <w:vAlign w:val="center"/>
            <w:hideMark/>
          </w:tcPr>
          <w:p w14:paraId="31E38E9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21.62</w:t>
            </w:r>
          </w:p>
        </w:tc>
        <w:tc>
          <w:tcPr>
            <w:tcW w:w="789" w:type="dxa"/>
            <w:vAlign w:val="center"/>
            <w:hideMark/>
          </w:tcPr>
          <w:p w14:paraId="01E1CE5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-3.62</w:t>
            </w:r>
          </w:p>
        </w:tc>
        <w:tc>
          <w:tcPr>
            <w:tcW w:w="666" w:type="dxa"/>
            <w:vAlign w:val="center"/>
            <w:hideMark/>
          </w:tcPr>
          <w:p w14:paraId="4EB480E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18.00</w:t>
            </w:r>
          </w:p>
        </w:tc>
        <w:tc>
          <w:tcPr>
            <w:tcW w:w="1053" w:type="dxa"/>
            <w:vAlign w:val="center"/>
            <w:hideMark/>
          </w:tcPr>
          <w:p w14:paraId="7DC2978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6.85</w:t>
            </w:r>
          </w:p>
        </w:tc>
        <w:tc>
          <w:tcPr>
            <w:tcW w:w="673" w:type="dxa"/>
            <w:vAlign w:val="center"/>
            <w:hideMark/>
          </w:tcPr>
          <w:p w14:paraId="2D3B226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15.05</w:t>
            </w:r>
          </w:p>
        </w:tc>
        <w:tc>
          <w:tcPr>
            <w:tcW w:w="1004" w:type="dxa"/>
            <w:vAlign w:val="center"/>
            <w:hideMark/>
          </w:tcPr>
          <w:p w14:paraId="50A4A57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5.89</w:t>
            </w:r>
          </w:p>
        </w:tc>
        <w:tc>
          <w:tcPr>
            <w:tcW w:w="944" w:type="dxa"/>
            <w:vAlign w:val="center"/>
            <w:hideMark/>
          </w:tcPr>
          <w:p w14:paraId="576C6EF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-9.79</w:t>
            </w:r>
          </w:p>
        </w:tc>
        <w:tc>
          <w:tcPr>
            <w:tcW w:w="1003" w:type="dxa"/>
            <w:vAlign w:val="center"/>
            <w:hideMark/>
          </w:tcPr>
          <w:p w14:paraId="75EAD8E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78.64</w:t>
            </w:r>
          </w:p>
        </w:tc>
      </w:tr>
      <w:tr w:rsidR="00AB335A" w:rsidRPr="006F2ABC" w14:paraId="0A6AA4CF" w14:textId="77777777" w:rsidTr="005858A3">
        <w:trPr>
          <w:trHeight w:val="20"/>
          <w:jc w:val="center"/>
        </w:trPr>
        <w:tc>
          <w:tcPr>
            <w:tcW w:w="2090" w:type="dxa"/>
            <w:vAlign w:val="center"/>
            <w:hideMark/>
          </w:tcPr>
          <w:p w14:paraId="3EEF374A"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10. Maharashtra</w:t>
            </w:r>
          </w:p>
        </w:tc>
        <w:tc>
          <w:tcPr>
            <w:tcW w:w="857" w:type="dxa"/>
            <w:vAlign w:val="center"/>
            <w:hideMark/>
          </w:tcPr>
          <w:p w14:paraId="7A28F07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569.75</w:t>
            </w:r>
          </w:p>
        </w:tc>
        <w:tc>
          <w:tcPr>
            <w:tcW w:w="992" w:type="dxa"/>
            <w:vAlign w:val="center"/>
            <w:hideMark/>
          </w:tcPr>
          <w:p w14:paraId="0F9D01B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383.13</w:t>
            </w:r>
          </w:p>
        </w:tc>
        <w:tc>
          <w:tcPr>
            <w:tcW w:w="857" w:type="dxa"/>
            <w:vAlign w:val="center"/>
            <w:hideMark/>
          </w:tcPr>
          <w:p w14:paraId="1558455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186.62</w:t>
            </w:r>
          </w:p>
        </w:tc>
        <w:tc>
          <w:tcPr>
            <w:tcW w:w="789" w:type="dxa"/>
            <w:vAlign w:val="center"/>
            <w:hideMark/>
          </w:tcPr>
          <w:p w14:paraId="7667FAD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-7.00</w:t>
            </w:r>
          </w:p>
        </w:tc>
        <w:tc>
          <w:tcPr>
            <w:tcW w:w="666" w:type="dxa"/>
            <w:vAlign w:val="center"/>
            <w:hideMark/>
          </w:tcPr>
          <w:p w14:paraId="0E0F99E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179.62</w:t>
            </w:r>
          </w:p>
        </w:tc>
        <w:tc>
          <w:tcPr>
            <w:tcW w:w="1053" w:type="dxa"/>
            <w:vAlign w:val="center"/>
            <w:hideMark/>
          </w:tcPr>
          <w:p w14:paraId="078ED2A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47.98</w:t>
            </w:r>
          </w:p>
        </w:tc>
        <w:tc>
          <w:tcPr>
            <w:tcW w:w="673" w:type="dxa"/>
            <w:vAlign w:val="center"/>
            <w:hideMark/>
          </w:tcPr>
          <w:p w14:paraId="0D345E4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100.57</w:t>
            </w:r>
          </w:p>
        </w:tc>
        <w:tc>
          <w:tcPr>
            <w:tcW w:w="1004" w:type="dxa"/>
            <w:vAlign w:val="center"/>
            <w:hideMark/>
          </w:tcPr>
          <w:p w14:paraId="2D11D58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14.68</w:t>
            </w:r>
          </w:p>
        </w:tc>
        <w:tc>
          <w:tcPr>
            <w:tcW w:w="944" w:type="dxa"/>
            <w:vAlign w:val="center"/>
            <w:hideMark/>
          </w:tcPr>
          <w:p w14:paraId="2039B96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16.39</w:t>
            </w:r>
          </w:p>
        </w:tc>
        <w:tc>
          <w:tcPr>
            <w:tcW w:w="1003" w:type="dxa"/>
            <w:vAlign w:val="center"/>
            <w:hideMark/>
          </w:tcPr>
          <w:p w14:paraId="618A1C4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80.66</w:t>
            </w:r>
          </w:p>
        </w:tc>
      </w:tr>
      <w:tr w:rsidR="00AB335A" w:rsidRPr="006F2ABC" w14:paraId="46F11DF1" w14:textId="77777777" w:rsidTr="005858A3">
        <w:trPr>
          <w:trHeight w:val="20"/>
          <w:jc w:val="center"/>
        </w:trPr>
        <w:tc>
          <w:tcPr>
            <w:tcW w:w="2090" w:type="dxa"/>
            <w:vAlign w:val="center"/>
            <w:hideMark/>
          </w:tcPr>
          <w:p w14:paraId="38415FB5"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11. Orissa</w:t>
            </w:r>
          </w:p>
        </w:tc>
        <w:tc>
          <w:tcPr>
            <w:tcW w:w="857" w:type="dxa"/>
            <w:vAlign w:val="center"/>
            <w:hideMark/>
          </w:tcPr>
          <w:p w14:paraId="3F0179A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18.36</w:t>
            </w:r>
          </w:p>
        </w:tc>
        <w:tc>
          <w:tcPr>
            <w:tcW w:w="992" w:type="dxa"/>
            <w:vAlign w:val="center"/>
            <w:hideMark/>
          </w:tcPr>
          <w:p w14:paraId="36A589E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16.07</w:t>
            </w:r>
          </w:p>
        </w:tc>
        <w:tc>
          <w:tcPr>
            <w:tcW w:w="857" w:type="dxa"/>
            <w:vAlign w:val="center"/>
            <w:hideMark/>
          </w:tcPr>
          <w:p w14:paraId="07A9767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2.29</w:t>
            </w:r>
          </w:p>
        </w:tc>
        <w:tc>
          <w:tcPr>
            <w:tcW w:w="789" w:type="dxa"/>
            <w:vAlign w:val="center"/>
            <w:hideMark/>
          </w:tcPr>
          <w:p w14:paraId="0B3332A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0.65</w:t>
            </w:r>
          </w:p>
        </w:tc>
        <w:tc>
          <w:tcPr>
            <w:tcW w:w="666" w:type="dxa"/>
            <w:vAlign w:val="center"/>
            <w:hideMark/>
          </w:tcPr>
          <w:p w14:paraId="462B5F6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2.94</w:t>
            </w:r>
          </w:p>
        </w:tc>
        <w:tc>
          <w:tcPr>
            <w:tcW w:w="1053" w:type="dxa"/>
            <w:vAlign w:val="center"/>
            <w:hideMark/>
          </w:tcPr>
          <w:p w14:paraId="08F7BC6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1.75</w:t>
            </w:r>
          </w:p>
        </w:tc>
        <w:tc>
          <w:tcPr>
            <w:tcW w:w="673" w:type="dxa"/>
            <w:vAlign w:val="center"/>
            <w:hideMark/>
          </w:tcPr>
          <w:p w14:paraId="23026D1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2.69</w:t>
            </w:r>
          </w:p>
        </w:tc>
        <w:tc>
          <w:tcPr>
            <w:tcW w:w="1004" w:type="dxa"/>
            <w:vAlign w:val="center"/>
            <w:hideMark/>
          </w:tcPr>
          <w:p w14:paraId="2F1EF5E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1.83</w:t>
            </w:r>
          </w:p>
        </w:tc>
        <w:tc>
          <w:tcPr>
            <w:tcW w:w="944" w:type="dxa"/>
            <w:vAlign w:val="center"/>
            <w:hideMark/>
          </w:tcPr>
          <w:p w14:paraId="51CB5DE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-3.33</w:t>
            </w:r>
          </w:p>
        </w:tc>
        <w:tc>
          <w:tcPr>
            <w:tcW w:w="1003" w:type="dxa"/>
            <w:vAlign w:val="center"/>
            <w:hideMark/>
          </w:tcPr>
          <w:p w14:paraId="01DE445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87.53</w:t>
            </w:r>
          </w:p>
        </w:tc>
      </w:tr>
      <w:tr w:rsidR="00AB335A" w:rsidRPr="006F2ABC" w14:paraId="2AD830A0" w14:textId="77777777" w:rsidTr="005858A3">
        <w:trPr>
          <w:trHeight w:val="20"/>
          <w:jc w:val="center"/>
        </w:trPr>
        <w:tc>
          <w:tcPr>
            <w:tcW w:w="2090" w:type="dxa"/>
            <w:vAlign w:val="center"/>
            <w:hideMark/>
          </w:tcPr>
          <w:p w14:paraId="2B1679F3"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12. Punjab</w:t>
            </w:r>
          </w:p>
        </w:tc>
        <w:tc>
          <w:tcPr>
            <w:tcW w:w="857" w:type="dxa"/>
            <w:vAlign w:val="center"/>
            <w:hideMark/>
          </w:tcPr>
          <w:p w14:paraId="18513021" w14:textId="77777777" w:rsidR="00AB335A" w:rsidRPr="006F2ABC" w:rsidRDefault="00AB335A" w:rsidP="00F52ADD">
            <w:pPr>
              <w:pStyle w:val="NoSpacing"/>
              <w:jc w:val="center"/>
              <w:rPr>
                <w:rFonts w:ascii="Times New Roman" w:hAnsi="Times New Roman" w:cs="Times New Roman"/>
                <w:sz w:val="14"/>
                <w:szCs w:val="14"/>
              </w:rPr>
            </w:pPr>
          </w:p>
        </w:tc>
        <w:tc>
          <w:tcPr>
            <w:tcW w:w="992" w:type="dxa"/>
            <w:vAlign w:val="center"/>
            <w:hideMark/>
          </w:tcPr>
          <w:p w14:paraId="7DB01516" w14:textId="77777777" w:rsidR="00AB335A" w:rsidRPr="006F2ABC" w:rsidRDefault="00AB335A" w:rsidP="00F52ADD">
            <w:pPr>
              <w:pStyle w:val="NoSpacing"/>
              <w:jc w:val="center"/>
              <w:rPr>
                <w:rFonts w:ascii="Times New Roman" w:hAnsi="Times New Roman" w:cs="Times New Roman"/>
                <w:sz w:val="14"/>
                <w:szCs w:val="14"/>
              </w:rPr>
            </w:pPr>
          </w:p>
        </w:tc>
        <w:tc>
          <w:tcPr>
            <w:tcW w:w="857" w:type="dxa"/>
            <w:vAlign w:val="center"/>
            <w:hideMark/>
          </w:tcPr>
          <w:p w14:paraId="6725E88C" w14:textId="77777777" w:rsidR="00AB335A" w:rsidRPr="006F2ABC" w:rsidRDefault="00AB335A" w:rsidP="00F52ADD">
            <w:pPr>
              <w:pStyle w:val="NoSpacing"/>
              <w:jc w:val="center"/>
              <w:rPr>
                <w:rFonts w:ascii="Times New Roman" w:hAnsi="Times New Roman" w:cs="Times New Roman"/>
                <w:sz w:val="14"/>
                <w:szCs w:val="14"/>
              </w:rPr>
            </w:pPr>
          </w:p>
        </w:tc>
        <w:tc>
          <w:tcPr>
            <w:tcW w:w="789" w:type="dxa"/>
            <w:vAlign w:val="center"/>
            <w:hideMark/>
          </w:tcPr>
          <w:p w14:paraId="345730EE" w14:textId="77777777" w:rsidR="00AB335A" w:rsidRPr="006F2ABC" w:rsidRDefault="00AB335A" w:rsidP="00F52ADD">
            <w:pPr>
              <w:pStyle w:val="NoSpacing"/>
              <w:jc w:val="center"/>
              <w:rPr>
                <w:rFonts w:ascii="Times New Roman" w:hAnsi="Times New Roman" w:cs="Times New Roman"/>
                <w:sz w:val="14"/>
                <w:szCs w:val="14"/>
              </w:rPr>
            </w:pPr>
          </w:p>
        </w:tc>
        <w:tc>
          <w:tcPr>
            <w:tcW w:w="666" w:type="dxa"/>
            <w:vAlign w:val="center"/>
            <w:hideMark/>
          </w:tcPr>
          <w:p w14:paraId="0FFCEDC9" w14:textId="77777777" w:rsidR="00AB335A" w:rsidRPr="006F2ABC" w:rsidRDefault="00AB335A" w:rsidP="00F52ADD">
            <w:pPr>
              <w:pStyle w:val="NoSpacing"/>
              <w:jc w:val="center"/>
              <w:rPr>
                <w:rFonts w:ascii="Times New Roman" w:hAnsi="Times New Roman" w:cs="Times New Roman"/>
                <w:sz w:val="14"/>
                <w:szCs w:val="14"/>
              </w:rPr>
            </w:pPr>
          </w:p>
        </w:tc>
        <w:tc>
          <w:tcPr>
            <w:tcW w:w="1053" w:type="dxa"/>
            <w:vAlign w:val="center"/>
            <w:hideMark/>
          </w:tcPr>
          <w:p w14:paraId="753AEAE5" w14:textId="77777777" w:rsidR="00AB335A" w:rsidRPr="006F2ABC" w:rsidRDefault="00AB335A" w:rsidP="00F52ADD">
            <w:pPr>
              <w:pStyle w:val="NoSpacing"/>
              <w:jc w:val="center"/>
              <w:rPr>
                <w:rFonts w:ascii="Times New Roman" w:hAnsi="Times New Roman" w:cs="Times New Roman"/>
                <w:sz w:val="14"/>
                <w:szCs w:val="14"/>
              </w:rPr>
            </w:pPr>
          </w:p>
        </w:tc>
        <w:tc>
          <w:tcPr>
            <w:tcW w:w="673" w:type="dxa"/>
            <w:vAlign w:val="center"/>
            <w:hideMark/>
          </w:tcPr>
          <w:p w14:paraId="705239D7" w14:textId="77777777" w:rsidR="00AB335A" w:rsidRPr="006F2ABC" w:rsidRDefault="00AB335A" w:rsidP="00F52ADD">
            <w:pPr>
              <w:pStyle w:val="NoSpacing"/>
              <w:jc w:val="center"/>
              <w:rPr>
                <w:rFonts w:ascii="Times New Roman" w:hAnsi="Times New Roman" w:cs="Times New Roman"/>
                <w:sz w:val="14"/>
                <w:szCs w:val="14"/>
              </w:rPr>
            </w:pPr>
          </w:p>
        </w:tc>
        <w:tc>
          <w:tcPr>
            <w:tcW w:w="1004" w:type="dxa"/>
            <w:vAlign w:val="center"/>
            <w:hideMark/>
          </w:tcPr>
          <w:p w14:paraId="1D81E79E" w14:textId="77777777" w:rsidR="00AB335A" w:rsidRPr="006F2ABC" w:rsidRDefault="00AB335A" w:rsidP="00F52ADD">
            <w:pPr>
              <w:pStyle w:val="NoSpacing"/>
              <w:jc w:val="center"/>
              <w:rPr>
                <w:rFonts w:ascii="Times New Roman" w:hAnsi="Times New Roman" w:cs="Times New Roman"/>
                <w:sz w:val="14"/>
                <w:szCs w:val="14"/>
              </w:rPr>
            </w:pPr>
          </w:p>
        </w:tc>
        <w:tc>
          <w:tcPr>
            <w:tcW w:w="944" w:type="dxa"/>
            <w:vAlign w:val="center"/>
            <w:hideMark/>
          </w:tcPr>
          <w:p w14:paraId="1B9F4B47" w14:textId="77777777" w:rsidR="00AB335A" w:rsidRPr="006F2ABC" w:rsidRDefault="00AB335A" w:rsidP="00F52ADD">
            <w:pPr>
              <w:pStyle w:val="NoSpacing"/>
              <w:jc w:val="center"/>
              <w:rPr>
                <w:rFonts w:ascii="Times New Roman" w:hAnsi="Times New Roman" w:cs="Times New Roman"/>
                <w:sz w:val="14"/>
                <w:szCs w:val="14"/>
              </w:rPr>
            </w:pPr>
          </w:p>
        </w:tc>
        <w:tc>
          <w:tcPr>
            <w:tcW w:w="1003" w:type="dxa"/>
            <w:vAlign w:val="center"/>
            <w:hideMark/>
          </w:tcPr>
          <w:p w14:paraId="4917A315" w14:textId="77777777" w:rsidR="00AB335A" w:rsidRPr="006F2ABC" w:rsidRDefault="00AB335A" w:rsidP="00F52ADD">
            <w:pPr>
              <w:pStyle w:val="NoSpacing"/>
              <w:jc w:val="center"/>
              <w:rPr>
                <w:rFonts w:ascii="Times New Roman" w:hAnsi="Times New Roman" w:cs="Times New Roman"/>
                <w:sz w:val="14"/>
                <w:szCs w:val="14"/>
              </w:rPr>
            </w:pPr>
          </w:p>
        </w:tc>
      </w:tr>
      <w:tr w:rsidR="00AB335A" w:rsidRPr="006F2ABC" w14:paraId="31C8A5C8" w14:textId="77777777" w:rsidTr="005858A3">
        <w:trPr>
          <w:trHeight w:val="20"/>
          <w:jc w:val="center"/>
        </w:trPr>
        <w:tc>
          <w:tcPr>
            <w:tcW w:w="2090" w:type="dxa"/>
            <w:vAlign w:val="center"/>
            <w:hideMark/>
          </w:tcPr>
          <w:p w14:paraId="42CE355A"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w:t>
            </w:r>
            <w:proofErr w:type="spellStart"/>
            <w:r w:rsidRPr="006F2ABC">
              <w:rPr>
                <w:rFonts w:ascii="Times New Roman" w:hAnsi="Times New Roman" w:cs="Times New Roman"/>
                <w:sz w:val="14"/>
                <w:szCs w:val="14"/>
              </w:rPr>
              <w:t>i</w:t>
            </w:r>
            <w:proofErr w:type="spellEnd"/>
            <w:r w:rsidRPr="006F2ABC">
              <w:rPr>
                <w:rFonts w:ascii="Times New Roman" w:hAnsi="Times New Roman" w:cs="Times New Roman"/>
                <w:sz w:val="14"/>
                <w:szCs w:val="14"/>
              </w:rPr>
              <w:t>) Punjab Roadways</w:t>
            </w:r>
          </w:p>
        </w:tc>
        <w:tc>
          <w:tcPr>
            <w:tcW w:w="857" w:type="dxa"/>
            <w:vAlign w:val="center"/>
            <w:hideMark/>
          </w:tcPr>
          <w:p w14:paraId="7BE1A59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60.44</w:t>
            </w:r>
          </w:p>
        </w:tc>
        <w:tc>
          <w:tcPr>
            <w:tcW w:w="992" w:type="dxa"/>
            <w:vAlign w:val="center"/>
            <w:hideMark/>
          </w:tcPr>
          <w:p w14:paraId="1A9B9C2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60.04</w:t>
            </w:r>
          </w:p>
        </w:tc>
        <w:tc>
          <w:tcPr>
            <w:tcW w:w="857" w:type="dxa"/>
            <w:vAlign w:val="center"/>
            <w:hideMark/>
          </w:tcPr>
          <w:p w14:paraId="5EC1700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0.40</w:t>
            </w:r>
          </w:p>
        </w:tc>
        <w:tc>
          <w:tcPr>
            <w:tcW w:w="789" w:type="dxa"/>
            <w:vAlign w:val="center"/>
            <w:hideMark/>
          </w:tcPr>
          <w:p w14:paraId="3DF3DF2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0.09</w:t>
            </w:r>
          </w:p>
        </w:tc>
        <w:tc>
          <w:tcPr>
            <w:tcW w:w="666" w:type="dxa"/>
            <w:vAlign w:val="center"/>
            <w:hideMark/>
          </w:tcPr>
          <w:p w14:paraId="4FC421B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0.49</w:t>
            </w:r>
          </w:p>
        </w:tc>
        <w:tc>
          <w:tcPr>
            <w:tcW w:w="1053" w:type="dxa"/>
            <w:vAlign w:val="center"/>
            <w:hideMark/>
          </w:tcPr>
          <w:p w14:paraId="324D9DA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6.28</w:t>
            </w:r>
          </w:p>
        </w:tc>
        <w:tc>
          <w:tcPr>
            <w:tcW w:w="673" w:type="dxa"/>
            <w:vAlign w:val="center"/>
            <w:hideMark/>
          </w:tcPr>
          <w:p w14:paraId="66A5F06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6.32</w:t>
            </w:r>
          </w:p>
        </w:tc>
        <w:tc>
          <w:tcPr>
            <w:tcW w:w="1004" w:type="dxa"/>
            <w:vAlign w:val="center"/>
            <w:hideMark/>
          </w:tcPr>
          <w:p w14:paraId="0704660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944" w:type="dxa"/>
            <w:vAlign w:val="center"/>
            <w:hideMark/>
          </w:tcPr>
          <w:p w14:paraId="4EC9EBE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-12.11</w:t>
            </w:r>
          </w:p>
        </w:tc>
        <w:tc>
          <w:tcPr>
            <w:tcW w:w="1003" w:type="dxa"/>
            <w:vAlign w:val="center"/>
            <w:hideMark/>
          </w:tcPr>
          <w:p w14:paraId="336B2DC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99.34</w:t>
            </w:r>
          </w:p>
        </w:tc>
      </w:tr>
      <w:tr w:rsidR="00AB335A" w:rsidRPr="006F2ABC" w14:paraId="5FAD0339" w14:textId="77777777" w:rsidTr="005858A3">
        <w:trPr>
          <w:trHeight w:val="20"/>
          <w:jc w:val="center"/>
        </w:trPr>
        <w:tc>
          <w:tcPr>
            <w:tcW w:w="2090" w:type="dxa"/>
            <w:vAlign w:val="center"/>
            <w:hideMark/>
          </w:tcPr>
          <w:p w14:paraId="798CA5BF"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(ii) PEPSU RTC</w:t>
            </w:r>
          </w:p>
        </w:tc>
        <w:tc>
          <w:tcPr>
            <w:tcW w:w="857" w:type="dxa"/>
            <w:vAlign w:val="center"/>
            <w:hideMark/>
          </w:tcPr>
          <w:p w14:paraId="23BF842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26.00</w:t>
            </w:r>
          </w:p>
        </w:tc>
        <w:tc>
          <w:tcPr>
            <w:tcW w:w="992" w:type="dxa"/>
            <w:vAlign w:val="center"/>
            <w:hideMark/>
          </w:tcPr>
          <w:p w14:paraId="053D981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29.04</w:t>
            </w:r>
          </w:p>
        </w:tc>
        <w:tc>
          <w:tcPr>
            <w:tcW w:w="857" w:type="dxa"/>
            <w:vAlign w:val="center"/>
            <w:hideMark/>
          </w:tcPr>
          <w:p w14:paraId="26FFC47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-3.04</w:t>
            </w:r>
          </w:p>
        </w:tc>
        <w:tc>
          <w:tcPr>
            <w:tcW w:w="789" w:type="dxa"/>
            <w:vAlign w:val="center"/>
            <w:hideMark/>
          </w:tcPr>
          <w:p w14:paraId="3D206EC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-0.46</w:t>
            </w:r>
          </w:p>
        </w:tc>
        <w:tc>
          <w:tcPr>
            <w:tcW w:w="666" w:type="dxa"/>
            <w:vAlign w:val="center"/>
            <w:hideMark/>
          </w:tcPr>
          <w:p w14:paraId="2046C3E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-3.50</w:t>
            </w:r>
          </w:p>
        </w:tc>
        <w:tc>
          <w:tcPr>
            <w:tcW w:w="1053" w:type="dxa"/>
            <w:vAlign w:val="center"/>
            <w:hideMark/>
          </w:tcPr>
          <w:p w14:paraId="55D729B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2.68</w:t>
            </w:r>
          </w:p>
        </w:tc>
        <w:tc>
          <w:tcPr>
            <w:tcW w:w="673" w:type="dxa"/>
            <w:vAlign w:val="center"/>
            <w:hideMark/>
          </w:tcPr>
          <w:p w14:paraId="3A67804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2.56</w:t>
            </w:r>
          </w:p>
        </w:tc>
        <w:tc>
          <w:tcPr>
            <w:tcW w:w="1004" w:type="dxa"/>
            <w:vAlign w:val="center"/>
            <w:hideMark/>
          </w:tcPr>
          <w:p w14:paraId="2FB041B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2.79</w:t>
            </w:r>
          </w:p>
        </w:tc>
        <w:tc>
          <w:tcPr>
            <w:tcW w:w="944" w:type="dxa"/>
            <w:vAlign w:val="center"/>
            <w:hideMark/>
          </w:tcPr>
          <w:p w14:paraId="17D5C5E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-11.53</w:t>
            </w:r>
          </w:p>
        </w:tc>
        <w:tc>
          <w:tcPr>
            <w:tcW w:w="1003" w:type="dxa"/>
            <w:vAlign w:val="center"/>
            <w:hideMark/>
          </w:tcPr>
          <w:p w14:paraId="7F14E54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111.69</w:t>
            </w:r>
          </w:p>
        </w:tc>
      </w:tr>
      <w:tr w:rsidR="00AB335A" w:rsidRPr="006F2ABC" w14:paraId="1BCEED8E" w14:textId="77777777" w:rsidTr="005858A3">
        <w:trPr>
          <w:trHeight w:val="20"/>
          <w:jc w:val="center"/>
        </w:trPr>
        <w:tc>
          <w:tcPr>
            <w:tcW w:w="2090" w:type="dxa"/>
            <w:vAlign w:val="center"/>
            <w:hideMark/>
          </w:tcPr>
          <w:p w14:paraId="0B619C85"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13. Rajasthan</w:t>
            </w:r>
          </w:p>
        </w:tc>
        <w:tc>
          <w:tcPr>
            <w:tcW w:w="857" w:type="dxa"/>
            <w:vAlign w:val="center"/>
            <w:hideMark/>
          </w:tcPr>
          <w:p w14:paraId="3ABE42A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131.67</w:t>
            </w:r>
          </w:p>
        </w:tc>
        <w:tc>
          <w:tcPr>
            <w:tcW w:w="992" w:type="dxa"/>
            <w:vAlign w:val="center"/>
            <w:hideMark/>
          </w:tcPr>
          <w:p w14:paraId="300EE9B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86.63</w:t>
            </w:r>
          </w:p>
        </w:tc>
        <w:tc>
          <w:tcPr>
            <w:tcW w:w="857" w:type="dxa"/>
            <w:vAlign w:val="center"/>
            <w:hideMark/>
          </w:tcPr>
          <w:p w14:paraId="4727DE8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45.04</w:t>
            </w:r>
          </w:p>
        </w:tc>
        <w:tc>
          <w:tcPr>
            <w:tcW w:w="789" w:type="dxa"/>
            <w:vAlign w:val="center"/>
            <w:hideMark/>
          </w:tcPr>
          <w:p w14:paraId="5F91AA5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-3.24</w:t>
            </w:r>
          </w:p>
        </w:tc>
        <w:tc>
          <w:tcPr>
            <w:tcW w:w="666" w:type="dxa"/>
            <w:vAlign w:val="center"/>
            <w:hideMark/>
          </w:tcPr>
          <w:p w14:paraId="7241247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41.80</w:t>
            </w:r>
          </w:p>
        </w:tc>
        <w:tc>
          <w:tcPr>
            <w:tcW w:w="1053" w:type="dxa"/>
            <w:vAlign w:val="center"/>
            <w:hideMark/>
          </w:tcPr>
          <w:p w14:paraId="48201CE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6.61</w:t>
            </w:r>
          </w:p>
        </w:tc>
        <w:tc>
          <w:tcPr>
            <w:tcW w:w="673" w:type="dxa"/>
            <w:vAlign w:val="center"/>
            <w:hideMark/>
          </w:tcPr>
          <w:p w14:paraId="1300BA2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29.76</w:t>
            </w:r>
          </w:p>
        </w:tc>
        <w:tc>
          <w:tcPr>
            <w:tcW w:w="1004" w:type="dxa"/>
            <w:vAlign w:val="center"/>
            <w:hideMark/>
          </w:tcPr>
          <w:p w14:paraId="1DF16E6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2.58</w:t>
            </w:r>
          </w:p>
        </w:tc>
        <w:tc>
          <w:tcPr>
            <w:tcW w:w="944" w:type="dxa"/>
            <w:vAlign w:val="center"/>
            <w:hideMark/>
          </w:tcPr>
          <w:p w14:paraId="5224A31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2.85</w:t>
            </w:r>
          </w:p>
        </w:tc>
        <w:tc>
          <w:tcPr>
            <w:tcW w:w="1003" w:type="dxa"/>
            <w:vAlign w:val="center"/>
            <w:hideMark/>
          </w:tcPr>
          <w:p w14:paraId="6292262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82.78**</w:t>
            </w:r>
          </w:p>
        </w:tc>
      </w:tr>
      <w:tr w:rsidR="00AB335A" w:rsidRPr="006F2ABC" w14:paraId="5C599567" w14:textId="77777777" w:rsidTr="005858A3">
        <w:trPr>
          <w:trHeight w:val="20"/>
          <w:jc w:val="center"/>
        </w:trPr>
        <w:tc>
          <w:tcPr>
            <w:tcW w:w="2090" w:type="dxa"/>
            <w:vAlign w:val="center"/>
            <w:hideMark/>
          </w:tcPr>
          <w:p w14:paraId="6C7C2152"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14. Tamil Nadu</w:t>
            </w:r>
          </w:p>
        </w:tc>
        <w:tc>
          <w:tcPr>
            <w:tcW w:w="857" w:type="dxa"/>
            <w:vAlign w:val="center"/>
            <w:hideMark/>
          </w:tcPr>
          <w:p w14:paraId="71174497" w14:textId="77777777" w:rsidR="00AB335A" w:rsidRPr="006F2ABC" w:rsidRDefault="00AB335A" w:rsidP="00F52ADD">
            <w:pPr>
              <w:pStyle w:val="NoSpacing"/>
              <w:jc w:val="center"/>
              <w:rPr>
                <w:rFonts w:ascii="Times New Roman" w:hAnsi="Times New Roman" w:cs="Times New Roman"/>
                <w:sz w:val="14"/>
                <w:szCs w:val="14"/>
              </w:rPr>
            </w:pPr>
          </w:p>
        </w:tc>
        <w:tc>
          <w:tcPr>
            <w:tcW w:w="992" w:type="dxa"/>
            <w:vAlign w:val="center"/>
            <w:hideMark/>
          </w:tcPr>
          <w:p w14:paraId="24AF5429" w14:textId="77777777" w:rsidR="00AB335A" w:rsidRPr="006F2ABC" w:rsidRDefault="00AB335A" w:rsidP="00F52ADD">
            <w:pPr>
              <w:pStyle w:val="NoSpacing"/>
              <w:jc w:val="center"/>
              <w:rPr>
                <w:rFonts w:ascii="Times New Roman" w:hAnsi="Times New Roman" w:cs="Times New Roman"/>
                <w:sz w:val="14"/>
                <w:szCs w:val="14"/>
              </w:rPr>
            </w:pPr>
          </w:p>
        </w:tc>
        <w:tc>
          <w:tcPr>
            <w:tcW w:w="857" w:type="dxa"/>
            <w:vAlign w:val="center"/>
            <w:hideMark/>
          </w:tcPr>
          <w:p w14:paraId="753C73BF" w14:textId="77777777" w:rsidR="00AB335A" w:rsidRPr="006F2ABC" w:rsidRDefault="00AB335A" w:rsidP="00F52ADD">
            <w:pPr>
              <w:pStyle w:val="NoSpacing"/>
              <w:jc w:val="center"/>
              <w:rPr>
                <w:rFonts w:ascii="Times New Roman" w:hAnsi="Times New Roman" w:cs="Times New Roman"/>
                <w:sz w:val="14"/>
                <w:szCs w:val="14"/>
              </w:rPr>
            </w:pPr>
          </w:p>
        </w:tc>
        <w:tc>
          <w:tcPr>
            <w:tcW w:w="789" w:type="dxa"/>
            <w:vAlign w:val="center"/>
            <w:hideMark/>
          </w:tcPr>
          <w:p w14:paraId="2B3151D6" w14:textId="77777777" w:rsidR="00AB335A" w:rsidRPr="006F2ABC" w:rsidRDefault="00AB335A" w:rsidP="00F52ADD">
            <w:pPr>
              <w:pStyle w:val="NoSpacing"/>
              <w:jc w:val="center"/>
              <w:rPr>
                <w:rFonts w:ascii="Times New Roman" w:hAnsi="Times New Roman" w:cs="Times New Roman"/>
                <w:sz w:val="14"/>
                <w:szCs w:val="14"/>
              </w:rPr>
            </w:pPr>
          </w:p>
        </w:tc>
        <w:tc>
          <w:tcPr>
            <w:tcW w:w="666" w:type="dxa"/>
            <w:vAlign w:val="center"/>
            <w:hideMark/>
          </w:tcPr>
          <w:p w14:paraId="1E1D4481" w14:textId="77777777" w:rsidR="00AB335A" w:rsidRPr="006F2ABC" w:rsidRDefault="00AB335A" w:rsidP="00F52ADD">
            <w:pPr>
              <w:pStyle w:val="NoSpacing"/>
              <w:jc w:val="center"/>
              <w:rPr>
                <w:rFonts w:ascii="Times New Roman" w:hAnsi="Times New Roman" w:cs="Times New Roman"/>
                <w:sz w:val="14"/>
                <w:szCs w:val="14"/>
              </w:rPr>
            </w:pPr>
          </w:p>
        </w:tc>
        <w:tc>
          <w:tcPr>
            <w:tcW w:w="1053" w:type="dxa"/>
            <w:vAlign w:val="center"/>
            <w:hideMark/>
          </w:tcPr>
          <w:p w14:paraId="63D9C075" w14:textId="77777777" w:rsidR="00AB335A" w:rsidRPr="006F2ABC" w:rsidRDefault="00AB335A" w:rsidP="00F52ADD">
            <w:pPr>
              <w:pStyle w:val="NoSpacing"/>
              <w:jc w:val="center"/>
              <w:rPr>
                <w:rFonts w:ascii="Times New Roman" w:hAnsi="Times New Roman" w:cs="Times New Roman"/>
                <w:sz w:val="14"/>
                <w:szCs w:val="14"/>
              </w:rPr>
            </w:pPr>
          </w:p>
        </w:tc>
        <w:tc>
          <w:tcPr>
            <w:tcW w:w="673" w:type="dxa"/>
            <w:vAlign w:val="center"/>
            <w:hideMark/>
          </w:tcPr>
          <w:p w14:paraId="33B9402A" w14:textId="77777777" w:rsidR="00AB335A" w:rsidRPr="006F2ABC" w:rsidRDefault="00AB335A" w:rsidP="00F52ADD">
            <w:pPr>
              <w:pStyle w:val="NoSpacing"/>
              <w:jc w:val="center"/>
              <w:rPr>
                <w:rFonts w:ascii="Times New Roman" w:hAnsi="Times New Roman" w:cs="Times New Roman"/>
                <w:sz w:val="14"/>
                <w:szCs w:val="14"/>
              </w:rPr>
            </w:pPr>
          </w:p>
        </w:tc>
        <w:tc>
          <w:tcPr>
            <w:tcW w:w="1004" w:type="dxa"/>
            <w:vAlign w:val="center"/>
            <w:hideMark/>
          </w:tcPr>
          <w:p w14:paraId="64DF682B" w14:textId="77777777" w:rsidR="00AB335A" w:rsidRPr="006F2ABC" w:rsidRDefault="00AB335A" w:rsidP="00F52ADD">
            <w:pPr>
              <w:pStyle w:val="NoSpacing"/>
              <w:jc w:val="center"/>
              <w:rPr>
                <w:rFonts w:ascii="Times New Roman" w:hAnsi="Times New Roman" w:cs="Times New Roman"/>
                <w:sz w:val="14"/>
                <w:szCs w:val="14"/>
              </w:rPr>
            </w:pPr>
          </w:p>
        </w:tc>
        <w:tc>
          <w:tcPr>
            <w:tcW w:w="944" w:type="dxa"/>
            <w:vAlign w:val="center"/>
            <w:hideMark/>
          </w:tcPr>
          <w:p w14:paraId="69AC1C73" w14:textId="77777777" w:rsidR="00AB335A" w:rsidRPr="006F2ABC" w:rsidRDefault="00AB335A" w:rsidP="00F52ADD">
            <w:pPr>
              <w:pStyle w:val="NoSpacing"/>
              <w:jc w:val="center"/>
              <w:rPr>
                <w:rFonts w:ascii="Times New Roman" w:hAnsi="Times New Roman" w:cs="Times New Roman"/>
                <w:sz w:val="14"/>
                <w:szCs w:val="14"/>
              </w:rPr>
            </w:pPr>
          </w:p>
        </w:tc>
        <w:tc>
          <w:tcPr>
            <w:tcW w:w="1003" w:type="dxa"/>
            <w:vAlign w:val="center"/>
            <w:hideMark/>
          </w:tcPr>
          <w:p w14:paraId="0ACC5806" w14:textId="77777777" w:rsidR="00AB335A" w:rsidRPr="006F2ABC" w:rsidRDefault="00AB335A" w:rsidP="00F52ADD">
            <w:pPr>
              <w:pStyle w:val="NoSpacing"/>
              <w:jc w:val="center"/>
              <w:rPr>
                <w:rFonts w:ascii="Times New Roman" w:hAnsi="Times New Roman" w:cs="Times New Roman"/>
                <w:sz w:val="14"/>
                <w:szCs w:val="14"/>
              </w:rPr>
            </w:pPr>
          </w:p>
        </w:tc>
      </w:tr>
      <w:tr w:rsidR="00AB335A" w:rsidRPr="006F2ABC" w14:paraId="5C3109E9" w14:textId="77777777" w:rsidTr="005858A3">
        <w:trPr>
          <w:trHeight w:val="20"/>
          <w:jc w:val="center"/>
        </w:trPr>
        <w:tc>
          <w:tcPr>
            <w:tcW w:w="2090" w:type="dxa"/>
            <w:vAlign w:val="center"/>
            <w:hideMark/>
          </w:tcPr>
          <w:p w14:paraId="73C5653C"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w:t>
            </w:r>
            <w:proofErr w:type="spellStart"/>
            <w:r w:rsidRPr="006F2ABC">
              <w:rPr>
                <w:rFonts w:ascii="Times New Roman" w:hAnsi="Times New Roman" w:cs="Times New Roman"/>
                <w:sz w:val="14"/>
                <w:szCs w:val="14"/>
              </w:rPr>
              <w:t>i</w:t>
            </w:r>
            <w:proofErr w:type="spellEnd"/>
            <w:r w:rsidRPr="006F2ABC">
              <w:rPr>
                <w:rFonts w:ascii="Times New Roman" w:hAnsi="Times New Roman" w:cs="Times New Roman"/>
                <w:sz w:val="14"/>
                <w:szCs w:val="14"/>
              </w:rPr>
              <w:t xml:space="preserve">) Pallavan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76C9A04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81.93</w:t>
            </w:r>
          </w:p>
        </w:tc>
        <w:tc>
          <w:tcPr>
            <w:tcW w:w="992" w:type="dxa"/>
            <w:vAlign w:val="center"/>
            <w:hideMark/>
          </w:tcPr>
          <w:p w14:paraId="3017FE1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70.32</w:t>
            </w:r>
          </w:p>
        </w:tc>
        <w:tc>
          <w:tcPr>
            <w:tcW w:w="857" w:type="dxa"/>
            <w:vAlign w:val="center"/>
            <w:hideMark/>
          </w:tcPr>
          <w:p w14:paraId="237BC14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11.61</w:t>
            </w:r>
          </w:p>
        </w:tc>
        <w:tc>
          <w:tcPr>
            <w:tcW w:w="789" w:type="dxa"/>
            <w:vAlign w:val="center"/>
            <w:hideMark/>
          </w:tcPr>
          <w:p w14:paraId="5DB1889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3.24</w:t>
            </w:r>
          </w:p>
        </w:tc>
        <w:tc>
          <w:tcPr>
            <w:tcW w:w="666" w:type="dxa"/>
            <w:vAlign w:val="center"/>
            <w:hideMark/>
          </w:tcPr>
          <w:p w14:paraId="7ED3037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14.85</w:t>
            </w:r>
          </w:p>
        </w:tc>
        <w:tc>
          <w:tcPr>
            <w:tcW w:w="1053" w:type="dxa"/>
            <w:vAlign w:val="center"/>
            <w:hideMark/>
          </w:tcPr>
          <w:p w14:paraId="0038E5E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10.15</w:t>
            </w:r>
          </w:p>
        </w:tc>
        <w:tc>
          <w:tcPr>
            <w:tcW w:w="673" w:type="dxa"/>
            <w:vAlign w:val="center"/>
            <w:hideMark/>
          </w:tcPr>
          <w:p w14:paraId="21D91B4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2.78</w:t>
            </w:r>
          </w:p>
        </w:tc>
        <w:tc>
          <w:tcPr>
            <w:tcW w:w="1004" w:type="dxa"/>
            <w:vAlign w:val="center"/>
            <w:hideMark/>
          </w:tcPr>
          <w:p w14:paraId="20F7268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0.53</w:t>
            </w:r>
          </w:p>
        </w:tc>
        <w:tc>
          <w:tcPr>
            <w:tcW w:w="944" w:type="dxa"/>
            <w:vAlign w:val="center"/>
            <w:hideMark/>
          </w:tcPr>
          <w:p w14:paraId="448E5E8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1.39</w:t>
            </w:r>
          </w:p>
        </w:tc>
        <w:tc>
          <w:tcPr>
            <w:tcW w:w="1003" w:type="dxa"/>
            <w:vAlign w:val="center"/>
            <w:hideMark/>
          </w:tcPr>
          <w:p w14:paraId="24CCB46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85.83</w:t>
            </w:r>
          </w:p>
        </w:tc>
      </w:tr>
      <w:tr w:rsidR="00AB335A" w:rsidRPr="006F2ABC" w14:paraId="797018CE" w14:textId="77777777" w:rsidTr="005858A3">
        <w:trPr>
          <w:trHeight w:val="20"/>
          <w:jc w:val="center"/>
        </w:trPr>
        <w:tc>
          <w:tcPr>
            <w:tcW w:w="2090" w:type="dxa"/>
            <w:vAlign w:val="center"/>
            <w:hideMark/>
          </w:tcPr>
          <w:p w14:paraId="60562894"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(ii) Thiruvalluvar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645F960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56.51</w:t>
            </w:r>
          </w:p>
        </w:tc>
        <w:tc>
          <w:tcPr>
            <w:tcW w:w="992" w:type="dxa"/>
            <w:vAlign w:val="center"/>
            <w:hideMark/>
          </w:tcPr>
          <w:p w14:paraId="420C33D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42.55</w:t>
            </w:r>
          </w:p>
        </w:tc>
        <w:tc>
          <w:tcPr>
            <w:tcW w:w="857" w:type="dxa"/>
            <w:vAlign w:val="center"/>
            <w:hideMark/>
          </w:tcPr>
          <w:p w14:paraId="692E4F2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13.96</w:t>
            </w:r>
          </w:p>
        </w:tc>
        <w:tc>
          <w:tcPr>
            <w:tcW w:w="789" w:type="dxa"/>
            <w:vAlign w:val="center"/>
            <w:hideMark/>
          </w:tcPr>
          <w:p w14:paraId="30A0131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-0.03</w:t>
            </w:r>
          </w:p>
        </w:tc>
        <w:tc>
          <w:tcPr>
            <w:tcW w:w="666" w:type="dxa"/>
            <w:vAlign w:val="center"/>
            <w:hideMark/>
          </w:tcPr>
          <w:p w14:paraId="080842F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13.93</w:t>
            </w:r>
          </w:p>
        </w:tc>
        <w:tc>
          <w:tcPr>
            <w:tcW w:w="1053" w:type="dxa"/>
            <w:vAlign w:val="center"/>
            <w:hideMark/>
          </w:tcPr>
          <w:p w14:paraId="3FFE357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10.10</w:t>
            </w:r>
          </w:p>
        </w:tc>
        <w:tc>
          <w:tcPr>
            <w:tcW w:w="673" w:type="dxa"/>
            <w:vAlign w:val="center"/>
            <w:hideMark/>
          </w:tcPr>
          <w:p w14:paraId="16558BA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3.79</w:t>
            </w:r>
          </w:p>
        </w:tc>
        <w:tc>
          <w:tcPr>
            <w:tcW w:w="1004" w:type="dxa"/>
            <w:vAlign w:val="center"/>
            <w:hideMark/>
          </w:tcPr>
          <w:p w14:paraId="6ADBE18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1.59</w:t>
            </w:r>
          </w:p>
        </w:tc>
        <w:tc>
          <w:tcPr>
            <w:tcW w:w="944" w:type="dxa"/>
            <w:vAlign w:val="center"/>
            <w:hideMark/>
          </w:tcPr>
          <w:p w14:paraId="10670F8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-1.55</w:t>
            </w:r>
          </w:p>
        </w:tc>
        <w:tc>
          <w:tcPr>
            <w:tcW w:w="1003" w:type="dxa"/>
            <w:vAlign w:val="center"/>
            <w:hideMark/>
          </w:tcPr>
          <w:p w14:paraId="5CCB2C5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75.29</w:t>
            </w:r>
          </w:p>
        </w:tc>
      </w:tr>
      <w:tr w:rsidR="00AB335A" w:rsidRPr="006F2ABC" w14:paraId="20DE65EB" w14:textId="77777777" w:rsidTr="005858A3">
        <w:trPr>
          <w:trHeight w:val="20"/>
          <w:jc w:val="center"/>
        </w:trPr>
        <w:tc>
          <w:tcPr>
            <w:tcW w:w="2090" w:type="dxa"/>
            <w:vAlign w:val="center"/>
            <w:hideMark/>
          </w:tcPr>
          <w:p w14:paraId="5C74A0ED"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(iii) </w:t>
            </w:r>
            <w:proofErr w:type="spellStart"/>
            <w:r w:rsidRPr="006F2ABC">
              <w:rPr>
                <w:rFonts w:ascii="Times New Roman" w:hAnsi="Times New Roman" w:cs="Times New Roman"/>
                <w:sz w:val="14"/>
                <w:szCs w:val="14"/>
              </w:rPr>
              <w:t>Pattukottai</w:t>
            </w:r>
            <w:proofErr w:type="spellEnd"/>
            <w:r w:rsidRPr="006F2ABC">
              <w:rPr>
                <w:rFonts w:ascii="Times New Roman" w:hAnsi="Times New Roman" w:cs="Times New Roman"/>
                <w:sz w:val="14"/>
                <w:szCs w:val="14"/>
              </w:rPr>
              <w:t xml:space="preserve"> Azhagiri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014E9B5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42.81</w:t>
            </w:r>
          </w:p>
        </w:tc>
        <w:tc>
          <w:tcPr>
            <w:tcW w:w="992" w:type="dxa"/>
            <w:vAlign w:val="center"/>
            <w:hideMark/>
          </w:tcPr>
          <w:p w14:paraId="3FA8FF2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30.43</w:t>
            </w:r>
          </w:p>
        </w:tc>
        <w:tc>
          <w:tcPr>
            <w:tcW w:w="857" w:type="dxa"/>
            <w:vAlign w:val="center"/>
            <w:hideMark/>
          </w:tcPr>
          <w:p w14:paraId="5151C37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12.38</w:t>
            </w:r>
          </w:p>
        </w:tc>
        <w:tc>
          <w:tcPr>
            <w:tcW w:w="789" w:type="dxa"/>
            <w:vAlign w:val="center"/>
            <w:hideMark/>
          </w:tcPr>
          <w:p w14:paraId="48C40C3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0.09</w:t>
            </w:r>
          </w:p>
        </w:tc>
        <w:tc>
          <w:tcPr>
            <w:tcW w:w="666" w:type="dxa"/>
            <w:vAlign w:val="center"/>
            <w:hideMark/>
          </w:tcPr>
          <w:p w14:paraId="2416447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12.47</w:t>
            </w:r>
          </w:p>
        </w:tc>
        <w:tc>
          <w:tcPr>
            <w:tcW w:w="1053" w:type="dxa"/>
            <w:vAlign w:val="center"/>
            <w:hideMark/>
          </w:tcPr>
          <w:p w14:paraId="054E88C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7.71</w:t>
            </w:r>
          </w:p>
        </w:tc>
        <w:tc>
          <w:tcPr>
            <w:tcW w:w="673" w:type="dxa"/>
            <w:vAlign w:val="center"/>
            <w:hideMark/>
          </w:tcPr>
          <w:p w14:paraId="30E2804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5.74</w:t>
            </w:r>
          </w:p>
        </w:tc>
        <w:tc>
          <w:tcPr>
            <w:tcW w:w="1004" w:type="dxa"/>
            <w:vAlign w:val="center"/>
            <w:hideMark/>
          </w:tcPr>
          <w:p w14:paraId="7C5F136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1.53</w:t>
            </w:r>
          </w:p>
        </w:tc>
        <w:tc>
          <w:tcPr>
            <w:tcW w:w="944" w:type="dxa"/>
            <w:vAlign w:val="center"/>
            <w:hideMark/>
          </w:tcPr>
          <w:p w14:paraId="667855C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-2.51</w:t>
            </w:r>
          </w:p>
        </w:tc>
        <w:tc>
          <w:tcPr>
            <w:tcW w:w="1003" w:type="dxa"/>
            <w:vAlign w:val="center"/>
            <w:hideMark/>
          </w:tcPr>
          <w:p w14:paraId="318044D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71.08</w:t>
            </w:r>
          </w:p>
        </w:tc>
      </w:tr>
      <w:tr w:rsidR="00AB335A" w:rsidRPr="006F2ABC" w14:paraId="54437B3B" w14:textId="77777777" w:rsidTr="005858A3">
        <w:trPr>
          <w:trHeight w:val="20"/>
          <w:jc w:val="center"/>
        </w:trPr>
        <w:tc>
          <w:tcPr>
            <w:tcW w:w="2090" w:type="dxa"/>
            <w:vAlign w:val="center"/>
            <w:hideMark/>
          </w:tcPr>
          <w:p w14:paraId="0EF8B27A"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(iv) Pandiyan Roadways Corpn. Ltd</w:t>
            </w:r>
          </w:p>
        </w:tc>
        <w:tc>
          <w:tcPr>
            <w:tcW w:w="857" w:type="dxa"/>
            <w:vAlign w:val="center"/>
            <w:hideMark/>
          </w:tcPr>
          <w:p w14:paraId="75E3BE7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38.96</w:t>
            </w:r>
          </w:p>
        </w:tc>
        <w:tc>
          <w:tcPr>
            <w:tcW w:w="992" w:type="dxa"/>
            <w:vAlign w:val="center"/>
            <w:hideMark/>
          </w:tcPr>
          <w:p w14:paraId="3D0E0A3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29.39</w:t>
            </w:r>
          </w:p>
        </w:tc>
        <w:tc>
          <w:tcPr>
            <w:tcW w:w="857" w:type="dxa"/>
            <w:vAlign w:val="center"/>
            <w:hideMark/>
          </w:tcPr>
          <w:p w14:paraId="5EAB6C2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9.57</w:t>
            </w:r>
          </w:p>
        </w:tc>
        <w:tc>
          <w:tcPr>
            <w:tcW w:w="789" w:type="dxa"/>
            <w:vAlign w:val="center"/>
            <w:hideMark/>
          </w:tcPr>
          <w:p w14:paraId="7160CB2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-0.19</w:t>
            </w:r>
          </w:p>
        </w:tc>
        <w:tc>
          <w:tcPr>
            <w:tcW w:w="666" w:type="dxa"/>
            <w:vAlign w:val="center"/>
            <w:hideMark/>
          </w:tcPr>
          <w:p w14:paraId="295EF08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9.38</w:t>
            </w:r>
          </w:p>
        </w:tc>
        <w:tc>
          <w:tcPr>
            <w:tcW w:w="1053" w:type="dxa"/>
            <w:vAlign w:val="center"/>
            <w:hideMark/>
          </w:tcPr>
          <w:p w14:paraId="3A3E8F5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4.79</w:t>
            </w:r>
          </w:p>
        </w:tc>
        <w:tc>
          <w:tcPr>
            <w:tcW w:w="673" w:type="dxa"/>
            <w:vAlign w:val="center"/>
            <w:hideMark/>
          </w:tcPr>
          <w:p w14:paraId="0D0EA33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5.25</w:t>
            </w:r>
          </w:p>
        </w:tc>
        <w:tc>
          <w:tcPr>
            <w:tcW w:w="1004" w:type="dxa"/>
            <w:vAlign w:val="center"/>
            <w:hideMark/>
          </w:tcPr>
          <w:p w14:paraId="0598A3A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1.77</w:t>
            </w:r>
          </w:p>
        </w:tc>
        <w:tc>
          <w:tcPr>
            <w:tcW w:w="944" w:type="dxa"/>
            <w:vAlign w:val="center"/>
            <w:hideMark/>
          </w:tcPr>
          <w:p w14:paraId="4BCA8D9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-2.43</w:t>
            </w:r>
          </w:p>
        </w:tc>
        <w:tc>
          <w:tcPr>
            <w:tcW w:w="1003" w:type="dxa"/>
            <w:vAlign w:val="center"/>
            <w:hideMark/>
          </w:tcPr>
          <w:p w14:paraId="34A5B5F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75.43</w:t>
            </w:r>
          </w:p>
        </w:tc>
      </w:tr>
      <w:tr w:rsidR="00AB335A" w:rsidRPr="006F2ABC" w14:paraId="2C033355" w14:textId="77777777" w:rsidTr="005858A3">
        <w:trPr>
          <w:trHeight w:val="20"/>
          <w:jc w:val="center"/>
        </w:trPr>
        <w:tc>
          <w:tcPr>
            <w:tcW w:w="2090" w:type="dxa"/>
            <w:vAlign w:val="center"/>
            <w:hideMark/>
          </w:tcPr>
          <w:p w14:paraId="3BDB7BD9"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(v) </w:t>
            </w:r>
            <w:proofErr w:type="spellStart"/>
            <w:r w:rsidRPr="006F2ABC">
              <w:rPr>
                <w:rFonts w:ascii="Times New Roman" w:hAnsi="Times New Roman" w:cs="Times New Roman"/>
                <w:sz w:val="14"/>
                <w:szCs w:val="14"/>
              </w:rPr>
              <w:t>Marudhu</w:t>
            </w:r>
            <w:proofErr w:type="spellEnd"/>
            <w:r w:rsidRPr="006F2ABC">
              <w:rPr>
                <w:rFonts w:ascii="Times New Roman" w:hAnsi="Times New Roman" w:cs="Times New Roman"/>
                <w:sz w:val="14"/>
                <w:szCs w:val="14"/>
              </w:rPr>
              <w:t xml:space="preserve"> </w:t>
            </w:r>
            <w:proofErr w:type="spellStart"/>
            <w:r w:rsidRPr="006F2ABC">
              <w:rPr>
                <w:rFonts w:ascii="Times New Roman" w:hAnsi="Times New Roman" w:cs="Times New Roman"/>
                <w:sz w:val="14"/>
                <w:szCs w:val="14"/>
              </w:rPr>
              <w:t>Pandiyar</w:t>
            </w:r>
            <w:proofErr w:type="spellEnd"/>
            <w:r w:rsidRPr="006F2ABC">
              <w:rPr>
                <w:rFonts w:ascii="Times New Roman" w:hAnsi="Times New Roman" w:cs="Times New Roman"/>
                <w:sz w:val="14"/>
                <w:szCs w:val="14"/>
              </w:rPr>
              <w:t xml:space="preserve"> Trasport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6E2AFF8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27.57</w:t>
            </w:r>
          </w:p>
        </w:tc>
        <w:tc>
          <w:tcPr>
            <w:tcW w:w="992" w:type="dxa"/>
            <w:vAlign w:val="center"/>
            <w:hideMark/>
          </w:tcPr>
          <w:p w14:paraId="0299099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20.81</w:t>
            </w:r>
          </w:p>
        </w:tc>
        <w:tc>
          <w:tcPr>
            <w:tcW w:w="857" w:type="dxa"/>
            <w:vAlign w:val="center"/>
            <w:hideMark/>
          </w:tcPr>
          <w:p w14:paraId="441217A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6.76</w:t>
            </w:r>
          </w:p>
        </w:tc>
        <w:tc>
          <w:tcPr>
            <w:tcW w:w="789" w:type="dxa"/>
            <w:vAlign w:val="center"/>
            <w:hideMark/>
          </w:tcPr>
          <w:p w14:paraId="0522898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-0.17</w:t>
            </w:r>
          </w:p>
        </w:tc>
        <w:tc>
          <w:tcPr>
            <w:tcW w:w="666" w:type="dxa"/>
            <w:vAlign w:val="center"/>
            <w:hideMark/>
          </w:tcPr>
          <w:p w14:paraId="19022C4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6.59</w:t>
            </w:r>
          </w:p>
        </w:tc>
        <w:tc>
          <w:tcPr>
            <w:tcW w:w="1053" w:type="dxa"/>
            <w:vAlign w:val="center"/>
            <w:hideMark/>
          </w:tcPr>
          <w:p w14:paraId="0369506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4.08</w:t>
            </w:r>
          </w:p>
        </w:tc>
        <w:tc>
          <w:tcPr>
            <w:tcW w:w="673" w:type="dxa"/>
            <w:vAlign w:val="center"/>
            <w:hideMark/>
          </w:tcPr>
          <w:p w14:paraId="7A3F14A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3.82</w:t>
            </w:r>
          </w:p>
        </w:tc>
        <w:tc>
          <w:tcPr>
            <w:tcW w:w="1004" w:type="dxa"/>
            <w:vAlign w:val="center"/>
            <w:hideMark/>
          </w:tcPr>
          <w:p w14:paraId="6108273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0.89</w:t>
            </w:r>
          </w:p>
        </w:tc>
        <w:tc>
          <w:tcPr>
            <w:tcW w:w="944" w:type="dxa"/>
            <w:vAlign w:val="center"/>
            <w:hideMark/>
          </w:tcPr>
          <w:p w14:paraId="10D4DC5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-2.20</w:t>
            </w:r>
          </w:p>
        </w:tc>
        <w:tc>
          <w:tcPr>
            <w:tcW w:w="1003" w:type="dxa"/>
            <w:vAlign w:val="center"/>
            <w:hideMark/>
          </w:tcPr>
          <w:p w14:paraId="5114F4E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75.48</w:t>
            </w:r>
          </w:p>
        </w:tc>
      </w:tr>
      <w:tr w:rsidR="00AB335A" w:rsidRPr="006F2ABC" w14:paraId="65A36B09" w14:textId="77777777" w:rsidTr="005858A3">
        <w:trPr>
          <w:trHeight w:val="20"/>
          <w:jc w:val="center"/>
        </w:trPr>
        <w:tc>
          <w:tcPr>
            <w:tcW w:w="2090" w:type="dxa"/>
            <w:vAlign w:val="center"/>
            <w:hideMark/>
          </w:tcPr>
          <w:p w14:paraId="11D50452"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(vi) Rani Mangammal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3413795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26.38</w:t>
            </w:r>
          </w:p>
        </w:tc>
        <w:tc>
          <w:tcPr>
            <w:tcW w:w="992" w:type="dxa"/>
            <w:vAlign w:val="center"/>
            <w:hideMark/>
          </w:tcPr>
          <w:p w14:paraId="6A23816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19.21</w:t>
            </w:r>
          </w:p>
        </w:tc>
        <w:tc>
          <w:tcPr>
            <w:tcW w:w="857" w:type="dxa"/>
            <w:vAlign w:val="center"/>
            <w:hideMark/>
          </w:tcPr>
          <w:p w14:paraId="6F285B7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7.17</w:t>
            </w:r>
          </w:p>
        </w:tc>
        <w:tc>
          <w:tcPr>
            <w:tcW w:w="789" w:type="dxa"/>
            <w:vAlign w:val="center"/>
            <w:hideMark/>
          </w:tcPr>
          <w:p w14:paraId="7A4967D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0.53</w:t>
            </w:r>
          </w:p>
        </w:tc>
        <w:tc>
          <w:tcPr>
            <w:tcW w:w="666" w:type="dxa"/>
            <w:vAlign w:val="center"/>
            <w:hideMark/>
          </w:tcPr>
          <w:p w14:paraId="6D20FF1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7.70</w:t>
            </w:r>
          </w:p>
        </w:tc>
        <w:tc>
          <w:tcPr>
            <w:tcW w:w="1053" w:type="dxa"/>
            <w:vAlign w:val="center"/>
            <w:hideMark/>
          </w:tcPr>
          <w:p w14:paraId="25E5FAE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4.88</w:t>
            </w:r>
          </w:p>
        </w:tc>
        <w:tc>
          <w:tcPr>
            <w:tcW w:w="673" w:type="dxa"/>
            <w:vAlign w:val="center"/>
            <w:hideMark/>
          </w:tcPr>
          <w:p w14:paraId="02D8488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3.36</w:t>
            </w:r>
          </w:p>
        </w:tc>
        <w:tc>
          <w:tcPr>
            <w:tcW w:w="1004" w:type="dxa"/>
            <w:vAlign w:val="center"/>
            <w:hideMark/>
          </w:tcPr>
          <w:p w14:paraId="3E62B17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0.79</w:t>
            </w:r>
          </w:p>
        </w:tc>
        <w:tc>
          <w:tcPr>
            <w:tcW w:w="944" w:type="dxa"/>
            <w:vAlign w:val="center"/>
            <w:hideMark/>
          </w:tcPr>
          <w:p w14:paraId="6B3E0C7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-1.33</w:t>
            </w:r>
          </w:p>
        </w:tc>
        <w:tc>
          <w:tcPr>
            <w:tcW w:w="1003" w:type="dxa"/>
            <w:vAlign w:val="center"/>
            <w:hideMark/>
          </w:tcPr>
          <w:p w14:paraId="467084C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72.82</w:t>
            </w:r>
          </w:p>
        </w:tc>
      </w:tr>
      <w:tr w:rsidR="00AB335A" w:rsidRPr="006F2ABC" w14:paraId="0E477C0D" w14:textId="77777777" w:rsidTr="005858A3">
        <w:trPr>
          <w:trHeight w:val="20"/>
          <w:jc w:val="center"/>
        </w:trPr>
        <w:tc>
          <w:tcPr>
            <w:tcW w:w="2090" w:type="dxa"/>
            <w:vAlign w:val="center"/>
            <w:hideMark/>
          </w:tcPr>
          <w:p w14:paraId="494E2BCF"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(vii) Cheran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56F3817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55.84</w:t>
            </w:r>
          </w:p>
        </w:tc>
        <w:tc>
          <w:tcPr>
            <w:tcW w:w="992" w:type="dxa"/>
            <w:vAlign w:val="center"/>
            <w:hideMark/>
          </w:tcPr>
          <w:p w14:paraId="56BB515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39.67</w:t>
            </w:r>
          </w:p>
        </w:tc>
        <w:tc>
          <w:tcPr>
            <w:tcW w:w="857" w:type="dxa"/>
            <w:vAlign w:val="center"/>
            <w:hideMark/>
          </w:tcPr>
          <w:p w14:paraId="6B2CEBB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16.17</w:t>
            </w:r>
          </w:p>
        </w:tc>
        <w:tc>
          <w:tcPr>
            <w:tcW w:w="789" w:type="dxa"/>
            <w:vAlign w:val="center"/>
            <w:hideMark/>
          </w:tcPr>
          <w:p w14:paraId="355AEB2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-0.27</w:t>
            </w:r>
          </w:p>
        </w:tc>
        <w:tc>
          <w:tcPr>
            <w:tcW w:w="666" w:type="dxa"/>
            <w:vAlign w:val="center"/>
            <w:hideMark/>
          </w:tcPr>
          <w:p w14:paraId="7BFAEDF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15.90</w:t>
            </w:r>
          </w:p>
        </w:tc>
        <w:tc>
          <w:tcPr>
            <w:tcW w:w="1053" w:type="dxa"/>
            <w:vAlign w:val="center"/>
            <w:hideMark/>
          </w:tcPr>
          <w:p w14:paraId="6488C1B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7.94</w:t>
            </w:r>
          </w:p>
        </w:tc>
        <w:tc>
          <w:tcPr>
            <w:tcW w:w="673" w:type="dxa"/>
            <w:vAlign w:val="center"/>
            <w:hideMark/>
          </w:tcPr>
          <w:p w14:paraId="6D7BD24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7.21</w:t>
            </w:r>
          </w:p>
        </w:tc>
        <w:tc>
          <w:tcPr>
            <w:tcW w:w="1004" w:type="dxa"/>
            <w:vAlign w:val="center"/>
            <w:hideMark/>
          </w:tcPr>
          <w:p w14:paraId="423E0CD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2.10</w:t>
            </w:r>
          </w:p>
        </w:tc>
        <w:tc>
          <w:tcPr>
            <w:tcW w:w="944" w:type="dxa"/>
            <w:vAlign w:val="center"/>
            <w:hideMark/>
          </w:tcPr>
          <w:p w14:paraId="617F461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-1.35</w:t>
            </w:r>
          </w:p>
        </w:tc>
        <w:tc>
          <w:tcPr>
            <w:tcW w:w="1003" w:type="dxa"/>
            <w:vAlign w:val="center"/>
            <w:hideMark/>
          </w:tcPr>
          <w:p w14:paraId="6AB0736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71.04</w:t>
            </w:r>
          </w:p>
        </w:tc>
      </w:tr>
      <w:tr w:rsidR="00AB335A" w:rsidRPr="006F2ABC" w14:paraId="04241D55" w14:textId="77777777" w:rsidTr="005858A3">
        <w:trPr>
          <w:trHeight w:val="20"/>
          <w:jc w:val="center"/>
        </w:trPr>
        <w:tc>
          <w:tcPr>
            <w:tcW w:w="2090" w:type="dxa"/>
            <w:vAlign w:val="center"/>
            <w:hideMark/>
          </w:tcPr>
          <w:p w14:paraId="676EC574"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(viii) Jeeva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1F99DEF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29.74</w:t>
            </w:r>
          </w:p>
        </w:tc>
        <w:tc>
          <w:tcPr>
            <w:tcW w:w="992" w:type="dxa"/>
            <w:vAlign w:val="center"/>
            <w:hideMark/>
          </w:tcPr>
          <w:p w14:paraId="6D0B6BD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20.13</w:t>
            </w:r>
          </w:p>
        </w:tc>
        <w:tc>
          <w:tcPr>
            <w:tcW w:w="857" w:type="dxa"/>
            <w:vAlign w:val="center"/>
            <w:hideMark/>
          </w:tcPr>
          <w:p w14:paraId="6A3412B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9.61</w:t>
            </w:r>
          </w:p>
        </w:tc>
        <w:tc>
          <w:tcPr>
            <w:tcW w:w="789" w:type="dxa"/>
            <w:vAlign w:val="center"/>
            <w:hideMark/>
          </w:tcPr>
          <w:p w14:paraId="6ABE853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-0.94</w:t>
            </w:r>
          </w:p>
        </w:tc>
        <w:tc>
          <w:tcPr>
            <w:tcW w:w="666" w:type="dxa"/>
            <w:vAlign w:val="center"/>
            <w:hideMark/>
          </w:tcPr>
          <w:p w14:paraId="2A0A6D0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8.67</w:t>
            </w:r>
          </w:p>
        </w:tc>
        <w:tc>
          <w:tcPr>
            <w:tcW w:w="1053" w:type="dxa"/>
            <w:vAlign w:val="center"/>
            <w:hideMark/>
          </w:tcPr>
          <w:p w14:paraId="6D0630C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4.87</w:t>
            </w:r>
          </w:p>
        </w:tc>
        <w:tc>
          <w:tcPr>
            <w:tcW w:w="673" w:type="dxa"/>
            <w:vAlign w:val="center"/>
            <w:hideMark/>
          </w:tcPr>
          <w:p w14:paraId="218B720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4.32</w:t>
            </w:r>
          </w:p>
        </w:tc>
        <w:tc>
          <w:tcPr>
            <w:tcW w:w="1004" w:type="dxa"/>
            <w:vAlign w:val="center"/>
            <w:hideMark/>
          </w:tcPr>
          <w:p w14:paraId="7DA2680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1.06</w:t>
            </w:r>
          </w:p>
        </w:tc>
        <w:tc>
          <w:tcPr>
            <w:tcW w:w="944" w:type="dxa"/>
            <w:vAlign w:val="center"/>
            <w:hideMark/>
          </w:tcPr>
          <w:p w14:paraId="5A7EE86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-1.58</w:t>
            </w:r>
          </w:p>
        </w:tc>
        <w:tc>
          <w:tcPr>
            <w:tcW w:w="1003" w:type="dxa"/>
            <w:vAlign w:val="center"/>
            <w:hideMark/>
          </w:tcPr>
          <w:p w14:paraId="51A6B96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67.68</w:t>
            </w:r>
          </w:p>
        </w:tc>
      </w:tr>
      <w:tr w:rsidR="00AB335A" w:rsidRPr="006F2ABC" w14:paraId="4DCB2334" w14:textId="77777777" w:rsidTr="005858A3">
        <w:trPr>
          <w:trHeight w:val="20"/>
          <w:jc w:val="center"/>
        </w:trPr>
        <w:tc>
          <w:tcPr>
            <w:tcW w:w="2090" w:type="dxa"/>
            <w:vAlign w:val="center"/>
            <w:hideMark/>
          </w:tcPr>
          <w:p w14:paraId="78860916"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(ix) Cholan Roadways Corpn. Ltd</w:t>
            </w:r>
          </w:p>
        </w:tc>
        <w:tc>
          <w:tcPr>
            <w:tcW w:w="857" w:type="dxa"/>
            <w:vAlign w:val="center"/>
            <w:hideMark/>
          </w:tcPr>
          <w:p w14:paraId="49178E9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33.14</w:t>
            </w:r>
          </w:p>
        </w:tc>
        <w:tc>
          <w:tcPr>
            <w:tcW w:w="992" w:type="dxa"/>
            <w:vAlign w:val="center"/>
            <w:hideMark/>
          </w:tcPr>
          <w:p w14:paraId="27C5615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24.27</w:t>
            </w:r>
          </w:p>
        </w:tc>
        <w:tc>
          <w:tcPr>
            <w:tcW w:w="857" w:type="dxa"/>
            <w:vAlign w:val="center"/>
            <w:hideMark/>
          </w:tcPr>
          <w:p w14:paraId="5A34FCF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8.87</w:t>
            </w:r>
          </w:p>
        </w:tc>
        <w:tc>
          <w:tcPr>
            <w:tcW w:w="789" w:type="dxa"/>
            <w:vAlign w:val="center"/>
            <w:hideMark/>
          </w:tcPr>
          <w:p w14:paraId="3DD92A7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-0.76</w:t>
            </w:r>
          </w:p>
        </w:tc>
        <w:tc>
          <w:tcPr>
            <w:tcW w:w="666" w:type="dxa"/>
            <w:vAlign w:val="center"/>
            <w:hideMark/>
          </w:tcPr>
          <w:p w14:paraId="4F3F849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8.11</w:t>
            </w:r>
          </w:p>
        </w:tc>
        <w:tc>
          <w:tcPr>
            <w:tcW w:w="1053" w:type="dxa"/>
            <w:vAlign w:val="center"/>
            <w:hideMark/>
          </w:tcPr>
          <w:p w14:paraId="52CEF29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5.41</w:t>
            </w:r>
          </w:p>
        </w:tc>
        <w:tc>
          <w:tcPr>
            <w:tcW w:w="673" w:type="dxa"/>
            <w:vAlign w:val="center"/>
            <w:hideMark/>
          </w:tcPr>
          <w:p w14:paraId="683C90B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4.20</w:t>
            </w:r>
          </w:p>
        </w:tc>
        <w:tc>
          <w:tcPr>
            <w:tcW w:w="1004" w:type="dxa"/>
            <w:vAlign w:val="center"/>
            <w:hideMark/>
          </w:tcPr>
          <w:p w14:paraId="7688E03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1.12</w:t>
            </w:r>
          </w:p>
        </w:tc>
        <w:tc>
          <w:tcPr>
            <w:tcW w:w="944" w:type="dxa"/>
            <w:vAlign w:val="center"/>
            <w:hideMark/>
          </w:tcPr>
          <w:p w14:paraId="7C0DD9F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-2.62</w:t>
            </w:r>
          </w:p>
        </w:tc>
        <w:tc>
          <w:tcPr>
            <w:tcW w:w="1003" w:type="dxa"/>
            <w:vAlign w:val="center"/>
            <w:hideMark/>
          </w:tcPr>
          <w:p w14:paraId="3A6EF57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73.23</w:t>
            </w:r>
          </w:p>
        </w:tc>
      </w:tr>
      <w:tr w:rsidR="00AB335A" w:rsidRPr="006F2ABC" w14:paraId="7662428D" w14:textId="77777777" w:rsidTr="005858A3">
        <w:trPr>
          <w:trHeight w:val="20"/>
          <w:jc w:val="center"/>
        </w:trPr>
        <w:tc>
          <w:tcPr>
            <w:tcW w:w="2090" w:type="dxa"/>
            <w:vAlign w:val="center"/>
            <w:hideMark/>
          </w:tcPr>
          <w:p w14:paraId="05126759"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(x) Dheeran Chinnamalai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2E13729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29.54</w:t>
            </w:r>
          </w:p>
        </w:tc>
        <w:tc>
          <w:tcPr>
            <w:tcW w:w="992" w:type="dxa"/>
            <w:vAlign w:val="center"/>
            <w:hideMark/>
          </w:tcPr>
          <w:p w14:paraId="3B1EBEC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19.35</w:t>
            </w:r>
          </w:p>
        </w:tc>
        <w:tc>
          <w:tcPr>
            <w:tcW w:w="857" w:type="dxa"/>
            <w:vAlign w:val="center"/>
            <w:hideMark/>
          </w:tcPr>
          <w:p w14:paraId="2588ADA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10.19</w:t>
            </w:r>
          </w:p>
        </w:tc>
        <w:tc>
          <w:tcPr>
            <w:tcW w:w="789" w:type="dxa"/>
            <w:vAlign w:val="center"/>
            <w:hideMark/>
          </w:tcPr>
          <w:p w14:paraId="077BD59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0.86</w:t>
            </w:r>
          </w:p>
        </w:tc>
        <w:tc>
          <w:tcPr>
            <w:tcW w:w="666" w:type="dxa"/>
            <w:vAlign w:val="center"/>
            <w:hideMark/>
          </w:tcPr>
          <w:p w14:paraId="34BCB7A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11.05</w:t>
            </w:r>
          </w:p>
        </w:tc>
        <w:tc>
          <w:tcPr>
            <w:tcW w:w="1053" w:type="dxa"/>
            <w:vAlign w:val="center"/>
            <w:hideMark/>
          </w:tcPr>
          <w:p w14:paraId="46DD457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6.62</w:t>
            </w:r>
          </w:p>
        </w:tc>
        <w:tc>
          <w:tcPr>
            <w:tcW w:w="673" w:type="dxa"/>
            <w:vAlign w:val="center"/>
            <w:hideMark/>
          </w:tcPr>
          <w:p w14:paraId="31BE1BD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3.74</w:t>
            </w:r>
          </w:p>
        </w:tc>
        <w:tc>
          <w:tcPr>
            <w:tcW w:w="1004" w:type="dxa"/>
            <w:vAlign w:val="center"/>
            <w:hideMark/>
          </w:tcPr>
          <w:p w14:paraId="653E5FB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0.85</w:t>
            </w:r>
          </w:p>
        </w:tc>
        <w:tc>
          <w:tcPr>
            <w:tcW w:w="944" w:type="dxa"/>
            <w:vAlign w:val="center"/>
            <w:hideMark/>
          </w:tcPr>
          <w:p w14:paraId="24E9F4A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-0.16</w:t>
            </w:r>
          </w:p>
        </w:tc>
        <w:tc>
          <w:tcPr>
            <w:tcW w:w="1003" w:type="dxa"/>
            <w:vAlign w:val="center"/>
            <w:hideMark/>
          </w:tcPr>
          <w:p w14:paraId="3E5C4F7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65.50</w:t>
            </w:r>
          </w:p>
        </w:tc>
      </w:tr>
      <w:tr w:rsidR="00AB335A" w:rsidRPr="006F2ABC" w14:paraId="4ABE7EE5" w14:textId="77777777" w:rsidTr="005858A3">
        <w:trPr>
          <w:trHeight w:val="20"/>
          <w:jc w:val="center"/>
        </w:trPr>
        <w:tc>
          <w:tcPr>
            <w:tcW w:w="2090" w:type="dxa"/>
            <w:vAlign w:val="center"/>
            <w:hideMark/>
          </w:tcPr>
          <w:p w14:paraId="32A01AC0"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(xi) Anna Transport Corpn. Ltd</w:t>
            </w:r>
          </w:p>
        </w:tc>
        <w:tc>
          <w:tcPr>
            <w:tcW w:w="857" w:type="dxa"/>
            <w:vAlign w:val="center"/>
            <w:hideMark/>
          </w:tcPr>
          <w:p w14:paraId="432F179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30.92</w:t>
            </w:r>
          </w:p>
        </w:tc>
        <w:tc>
          <w:tcPr>
            <w:tcW w:w="992" w:type="dxa"/>
            <w:vAlign w:val="center"/>
            <w:hideMark/>
          </w:tcPr>
          <w:p w14:paraId="00A8952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21.45</w:t>
            </w:r>
          </w:p>
        </w:tc>
        <w:tc>
          <w:tcPr>
            <w:tcW w:w="857" w:type="dxa"/>
            <w:vAlign w:val="center"/>
            <w:hideMark/>
          </w:tcPr>
          <w:p w14:paraId="5E6FEEA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9.47</w:t>
            </w:r>
          </w:p>
        </w:tc>
        <w:tc>
          <w:tcPr>
            <w:tcW w:w="789" w:type="dxa"/>
            <w:vAlign w:val="center"/>
            <w:hideMark/>
          </w:tcPr>
          <w:p w14:paraId="07249BC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-1.17</w:t>
            </w:r>
          </w:p>
        </w:tc>
        <w:tc>
          <w:tcPr>
            <w:tcW w:w="666" w:type="dxa"/>
            <w:vAlign w:val="center"/>
            <w:hideMark/>
          </w:tcPr>
          <w:p w14:paraId="2278C4F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8.30</w:t>
            </w:r>
          </w:p>
        </w:tc>
        <w:tc>
          <w:tcPr>
            <w:tcW w:w="1053" w:type="dxa"/>
            <w:vAlign w:val="center"/>
            <w:hideMark/>
          </w:tcPr>
          <w:p w14:paraId="0E28D68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4.59</w:t>
            </w:r>
          </w:p>
        </w:tc>
        <w:tc>
          <w:tcPr>
            <w:tcW w:w="673" w:type="dxa"/>
            <w:vAlign w:val="center"/>
            <w:hideMark/>
          </w:tcPr>
          <w:p w14:paraId="4FBAC59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4.21</w:t>
            </w:r>
          </w:p>
        </w:tc>
        <w:tc>
          <w:tcPr>
            <w:tcW w:w="1004" w:type="dxa"/>
            <w:vAlign w:val="center"/>
            <w:hideMark/>
          </w:tcPr>
          <w:p w14:paraId="4B3C30A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1.48</w:t>
            </w:r>
          </w:p>
        </w:tc>
        <w:tc>
          <w:tcPr>
            <w:tcW w:w="944" w:type="dxa"/>
            <w:vAlign w:val="center"/>
            <w:hideMark/>
          </w:tcPr>
          <w:p w14:paraId="5F23C3A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-1.98</w:t>
            </w:r>
          </w:p>
        </w:tc>
        <w:tc>
          <w:tcPr>
            <w:tcW w:w="1003" w:type="dxa"/>
            <w:vAlign w:val="center"/>
            <w:hideMark/>
          </w:tcPr>
          <w:p w14:paraId="7A16761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69.37</w:t>
            </w:r>
          </w:p>
        </w:tc>
      </w:tr>
      <w:tr w:rsidR="00AB335A" w:rsidRPr="006F2ABC" w14:paraId="2C16BEA1" w14:textId="77777777" w:rsidTr="005858A3">
        <w:trPr>
          <w:trHeight w:val="20"/>
          <w:jc w:val="center"/>
        </w:trPr>
        <w:tc>
          <w:tcPr>
            <w:tcW w:w="2090" w:type="dxa"/>
            <w:vAlign w:val="center"/>
            <w:hideMark/>
          </w:tcPr>
          <w:p w14:paraId="0916E5F2"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(xii) Annai Satya Transport Corporation Ltd.</w:t>
            </w:r>
          </w:p>
        </w:tc>
        <w:tc>
          <w:tcPr>
            <w:tcW w:w="857" w:type="dxa"/>
            <w:vAlign w:val="center"/>
            <w:hideMark/>
          </w:tcPr>
          <w:p w14:paraId="4E8024B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18.54</w:t>
            </w:r>
          </w:p>
        </w:tc>
        <w:tc>
          <w:tcPr>
            <w:tcW w:w="992" w:type="dxa"/>
            <w:vAlign w:val="center"/>
            <w:hideMark/>
          </w:tcPr>
          <w:p w14:paraId="250D7C5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11.83</w:t>
            </w:r>
          </w:p>
        </w:tc>
        <w:tc>
          <w:tcPr>
            <w:tcW w:w="857" w:type="dxa"/>
            <w:vAlign w:val="center"/>
            <w:hideMark/>
          </w:tcPr>
          <w:p w14:paraId="1167D2C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6.71</w:t>
            </w:r>
          </w:p>
        </w:tc>
        <w:tc>
          <w:tcPr>
            <w:tcW w:w="789" w:type="dxa"/>
            <w:vAlign w:val="center"/>
            <w:hideMark/>
          </w:tcPr>
          <w:p w14:paraId="570CCB9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0.21</w:t>
            </w:r>
          </w:p>
        </w:tc>
        <w:tc>
          <w:tcPr>
            <w:tcW w:w="666" w:type="dxa"/>
            <w:vAlign w:val="center"/>
            <w:hideMark/>
          </w:tcPr>
          <w:p w14:paraId="20EC4B4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6.92</w:t>
            </w:r>
          </w:p>
        </w:tc>
        <w:tc>
          <w:tcPr>
            <w:tcW w:w="1053" w:type="dxa"/>
            <w:vAlign w:val="center"/>
            <w:hideMark/>
          </w:tcPr>
          <w:p w14:paraId="240FFB2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3.89</w:t>
            </w:r>
          </w:p>
        </w:tc>
        <w:tc>
          <w:tcPr>
            <w:tcW w:w="673" w:type="dxa"/>
            <w:vAlign w:val="center"/>
            <w:hideMark/>
          </w:tcPr>
          <w:p w14:paraId="1423727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2.72</w:t>
            </w:r>
          </w:p>
        </w:tc>
        <w:tc>
          <w:tcPr>
            <w:tcW w:w="1004" w:type="dxa"/>
            <w:vAlign w:val="center"/>
            <w:hideMark/>
          </w:tcPr>
          <w:p w14:paraId="2EEA406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0.40</w:t>
            </w:r>
          </w:p>
        </w:tc>
        <w:tc>
          <w:tcPr>
            <w:tcW w:w="944" w:type="dxa"/>
            <w:vAlign w:val="center"/>
            <w:hideMark/>
          </w:tcPr>
          <w:p w14:paraId="6BB48F3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-0.09</w:t>
            </w:r>
          </w:p>
        </w:tc>
        <w:tc>
          <w:tcPr>
            <w:tcW w:w="1003" w:type="dxa"/>
            <w:vAlign w:val="center"/>
            <w:hideMark/>
          </w:tcPr>
          <w:p w14:paraId="08E74A3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63.81</w:t>
            </w:r>
          </w:p>
        </w:tc>
      </w:tr>
      <w:tr w:rsidR="00AB335A" w:rsidRPr="006F2ABC" w14:paraId="65522B69" w14:textId="77777777" w:rsidTr="005858A3">
        <w:trPr>
          <w:trHeight w:val="20"/>
          <w:jc w:val="center"/>
        </w:trPr>
        <w:tc>
          <w:tcPr>
            <w:tcW w:w="2090" w:type="dxa"/>
            <w:vAlign w:val="center"/>
            <w:hideMark/>
          </w:tcPr>
          <w:p w14:paraId="7F9BE520"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(xiii) </w:t>
            </w:r>
            <w:proofErr w:type="spellStart"/>
            <w:r w:rsidRPr="006F2ABC">
              <w:rPr>
                <w:rFonts w:ascii="Times New Roman" w:hAnsi="Times New Roman" w:cs="Times New Roman"/>
                <w:sz w:val="14"/>
                <w:szCs w:val="14"/>
              </w:rPr>
              <w:t>Kattabomman</w:t>
            </w:r>
            <w:proofErr w:type="spellEnd"/>
            <w:r w:rsidRPr="006F2ABC">
              <w:rPr>
                <w:rFonts w:ascii="Times New Roman" w:hAnsi="Times New Roman" w:cs="Times New Roman"/>
                <w:sz w:val="14"/>
                <w:szCs w:val="14"/>
              </w:rPr>
              <w:t xml:space="preserve">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1AB1F72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31.13</w:t>
            </w:r>
          </w:p>
        </w:tc>
        <w:tc>
          <w:tcPr>
            <w:tcW w:w="992" w:type="dxa"/>
            <w:vAlign w:val="center"/>
            <w:hideMark/>
          </w:tcPr>
          <w:p w14:paraId="3862AC9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22.84</w:t>
            </w:r>
          </w:p>
        </w:tc>
        <w:tc>
          <w:tcPr>
            <w:tcW w:w="857" w:type="dxa"/>
            <w:vAlign w:val="center"/>
            <w:hideMark/>
          </w:tcPr>
          <w:p w14:paraId="3C84038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8.29</w:t>
            </w:r>
          </w:p>
        </w:tc>
        <w:tc>
          <w:tcPr>
            <w:tcW w:w="789" w:type="dxa"/>
            <w:vAlign w:val="center"/>
            <w:hideMark/>
          </w:tcPr>
          <w:p w14:paraId="2F87663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-0.15</w:t>
            </w:r>
          </w:p>
        </w:tc>
        <w:tc>
          <w:tcPr>
            <w:tcW w:w="666" w:type="dxa"/>
            <w:vAlign w:val="center"/>
            <w:hideMark/>
          </w:tcPr>
          <w:p w14:paraId="786963E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8.14</w:t>
            </w:r>
          </w:p>
        </w:tc>
        <w:tc>
          <w:tcPr>
            <w:tcW w:w="1053" w:type="dxa"/>
            <w:vAlign w:val="center"/>
            <w:hideMark/>
          </w:tcPr>
          <w:p w14:paraId="7E2BAFB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4.95</w:t>
            </w:r>
          </w:p>
        </w:tc>
        <w:tc>
          <w:tcPr>
            <w:tcW w:w="673" w:type="dxa"/>
            <w:vAlign w:val="center"/>
            <w:hideMark/>
          </w:tcPr>
          <w:p w14:paraId="6D02303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3.97</w:t>
            </w:r>
          </w:p>
        </w:tc>
        <w:tc>
          <w:tcPr>
            <w:tcW w:w="1004" w:type="dxa"/>
            <w:vAlign w:val="center"/>
            <w:hideMark/>
          </w:tcPr>
          <w:p w14:paraId="07FFA0B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1.21</w:t>
            </w:r>
          </w:p>
        </w:tc>
        <w:tc>
          <w:tcPr>
            <w:tcW w:w="944" w:type="dxa"/>
            <w:vAlign w:val="center"/>
            <w:hideMark/>
          </w:tcPr>
          <w:p w14:paraId="74C663E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-1.99</w:t>
            </w:r>
          </w:p>
        </w:tc>
        <w:tc>
          <w:tcPr>
            <w:tcW w:w="1003" w:type="dxa"/>
            <w:vAlign w:val="center"/>
            <w:hideMark/>
          </w:tcPr>
          <w:p w14:paraId="79F273D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73.37</w:t>
            </w:r>
          </w:p>
        </w:tc>
      </w:tr>
      <w:tr w:rsidR="00AB335A" w:rsidRPr="006F2ABC" w14:paraId="1B8E1B5C" w14:textId="77777777" w:rsidTr="005858A3">
        <w:trPr>
          <w:trHeight w:val="20"/>
          <w:jc w:val="center"/>
        </w:trPr>
        <w:tc>
          <w:tcPr>
            <w:tcW w:w="2090" w:type="dxa"/>
            <w:vAlign w:val="center"/>
            <w:hideMark/>
          </w:tcPr>
          <w:p w14:paraId="1C58392F"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(xiv) </w:t>
            </w:r>
            <w:proofErr w:type="spellStart"/>
            <w:r w:rsidRPr="006F2ABC">
              <w:rPr>
                <w:rFonts w:ascii="Times New Roman" w:hAnsi="Times New Roman" w:cs="Times New Roman"/>
                <w:sz w:val="14"/>
                <w:szCs w:val="14"/>
              </w:rPr>
              <w:t>Nesamony</w:t>
            </w:r>
            <w:proofErr w:type="spellEnd"/>
            <w:r w:rsidRPr="006F2ABC">
              <w:rPr>
                <w:rFonts w:ascii="Times New Roman" w:hAnsi="Times New Roman" w:cs="Times New Roman"/>
                <w:sz w:val="14"/>
                <w:szCs w:val="14"/>
              </w:rPr>
              <w:t xml:space="preserve">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7F9671F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24.45</w:t>
            </w:r>
          </w:p>
        </w:tc>
        <w:tc>
          <w:tcPr>
            <w:tcW w:w="992" w:type="dxa"/>
            <w:vAlign w:val="center"/>
            <w:hideMark/>
          </w:tcPr>
          <w:p w14:paraId="499F5C9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17.87</w:t>
            </w:r>
          </w:p>
        </w:tc>
        <w:tc>
          <w:tcPr>
            <w:tcW w:w="857" w:type="dxa"/>
            <w:vAlign w:val="center"/>
            <w:hideMark/>
          </w:tcPr>
          <w:p w14:paraId="01B0AFF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6.58</w:t>
            </w:r>
          </w:p>
        </w:tc>
        <w:tc>
          <w:tcPr>
            <w:tcW w:w="789" w:type="dxa"/>
            <w:vAlign w:val="center"/>
            <w:hideMark/>
          </w:tcPr>
          <w:p w14:paraId="725AF0F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0.35</w:t>
            </w:r>
          </w:p>
        </w:tc>
        <w:tc>
          <w:tcPr>
            <w:tcW w:w="666" w:type="dxa"/>
            <w:vAlign w:val="center"/>
            <w:hideMark/>
          </w:tcPr>
          <w:p w14:paraId="25DB1EF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6.93</w:t>
            </w:r>
          </w:p>
        </w:tc>
        <w:tc>
          <w:tcPr>
            <w:tcW w:w="1053" w:type="dxa"/>
            <w:vAlign w:val="center"/>
            <w:hideMark/>
          </w:tcPr>
          <w:p w14:paraId="623F64B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3.40</w:t>
            </w:r>
          </w:p>
        </w:tc>
        <w:tc>
          <w:tcPr>
            <w:tcW w:w="673" w:type="dxa"/>
            <w:vAlign w:val="center"/>
            <w:hideMark/>
          </w:tcPr>
          <w:p w14:paraId="35076D7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3.16</w:t>
            </w:r>
          </w:p>
        </w:tc>
        <w:tc>
          <w:tcPr>
            <w:tcW w:w="1004" w:type="dxa"/>
            <w:vAlign w:val="center"/>
            <w:hideMark/>
          </w:tcPr>
          <w:p w14:paraId="78FE3AE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0.66</w:t>
            </w:r>
          </w:p>
        </w:tc>
        <w:tc>
          <w:tcPr>
            <w:tcW w:w="944" w:type="dxa"/>
            <w:vAlign w:val="center"/>
            <w:hideMark/>
          </w:tcPr>
          <w:p w14:paraId="4C277CC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-0.29</w:t>
            </w:r>
          </w:p>
        </w:tc>
        <w:tc>
          <w:tcPr>
            <w:tcW w:w="1003" w:type="dxa"/>
            <w:vAlign w:val="center"/>
            <w:hideMark/>
          </w:tcPr>
          <w:p w14:paraId="21E9A5E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73.08</w:t>
            </w:r>
          </w:p>
        </w:tc>
      </w:tr>
      <w:tr w:rsidR="00AB335A" w:rsidRPr="006F2ABC" w14:paraId="34A49BB6" w14:textId="77777777" w:rsidTr="005858A3">
        <w:trPr>
          <w:trHeight w:val="20"/>
          <w:jc w:val="center"/>
        </w:trPr>
        <w:tc>
          <w:tcPr>
            <w:tcW w:w="2090" w:type="dxa"/>
            <w:vAlign w:val="center"/>
            <w:hideMark/>
          </w:tcPr>
          <w:p w14:paraId="35BC51BE"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(xv) </w:t>
            </w:r>
            <w:proofErr w:type="spellStart"/>
            <w:r w:rsidRPr="006F2ABC">
              <w:rPr>
                <w:rFonts w:ascii="Times New Roman" w:hAnsi="Times New Roman" w:cs="Times New Roman"/>
                <w:sz w:val="14"/>
                <w:szCs w:val="14"/>
              </w:rPr>
              <w:t>Thanthai</w:t>
            </w:r>
            <w:proofErr w:type="spellEnd"/>
            <w:r w:rsidRPr="006F2ABC">
              <w:rPr>
                <w:rFonts w:ascii="Times New Roman" w:hAnsi="Times New Roman" w:cs="Times New Roman"/>
                <w:sz w:val="14"/>
                <w:szCs w:val="14"/>
              </w:rPr>
              <w:t xml:space="preserve"> </w:t>
            </w:r>
            <w:proofErr w:type="spellStart"/>
            <w:r w:rsidRPr="006F2ABC">
              <w:rPr>
                <w:rFonts w:ascii="Times New Roman" w:hAnsi="Times New Roman" w:cs="Times New Roman"/>
                <w:sz w:val="14"/>
                <w:szCs w:val="14"/>
              </w:rPr>
              <w:t>Periyar</w:t>
            </w:r>
            <w:proofErr w:type="spellEnd"/>
            <w:r w:rsidRPr="006F2ABC">
              <w:rPr>
                <w:rFonts w:ascii="Times New Roman" w:hAnsi="Times New Roman" w:cs="Times New Roman"/>
                <w:sz w:val="14"/>
                <w:szCs w:val="14"/>
              </w:rPr>
              <w:t xml:space="preserve">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 Ltd</w:t>
            </w:r>
          </w:p>
        </w:tc>
        <w:tc>
          <w:tcPr>
            <w:tcW w:w="857" w:type="dxa"/>
            <w:vAlign w:val="center"/>
            <w:hideMark/>
          </w:tcPr>
          <w:p w14:paraId="1498BE2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43.80</w:t>
            </w:r>
          </w:p>
        </w:tc>
        <w:tc>
          <w:tcPr>
            <w:tcW w:w="992" w:type="dxa"/>
            <w:vAlign w:val="center"/>
            <w:hideMark/>
          </w:tcPr>
          <w:p w14:paraId="42C335E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27.22</w:t>
            </w:r>
          </w:p>
        </w:tc>
        <w:tc>
          <w:tcPr>
            <w:tcW w:w="857" w:type="dxa"/>
            <w:vAlign w:val="center"/>
            <w:hideMark/>
          </w:tcPr>
          <w:p w14:paraId="55F8D6E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16.58</w:t>
            </w:r>
          </w:p>
        </w:tc>
        <w:tc>
          <w:tcPr>
            <w:tcW w:w="789" w:type="dxa"/>
            <w:vAlign w:val="center"/>
            <w:hideMark/>
          </w:tcPr>
          <w:p w14:paraId="46596E4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-2.24</w:t>
            </w:r>
          </w:p>
        </w:tc>
        <w:tc>
          <w:tcPr>
            <w:tcW w:w="666" w:type="dxa"/>
            <w:vAlign w:val="center"/>
            <w:hideMark/>
          </w:tcPr>
          <w:p w14:paraId="6FE783A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14.34</w:t>
            </w:r>
          </w:p>
        </w:tc>
        <w:tc>
          <w:tcPr>
            <w:tcW w:w="1053" w:type="dxa"/>
            <w:vAlign w:val="center"/>
            <w:hideMark/>
          </w:tcPr>
          <w:p w14:paraId="1FB1DDC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7.59</w:t>
            </w:r>
          </w:p>
        </w:tc>
        <w:tc>
          <w:tcPr>
            <w:tcW w:w="673" w:type="dxa"/>
            <w:vAlign w:val="center"/>
            <w:hideMark/>
          </w:tcPr>
          <w:p w14:paraId="0595115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5.50</w:t>
            </w:r>
          </w:p>
        </w:tc>
        <w:tc>
          <w:tcPr>
            <w:tcW w:w="1004" w:type="dxa"/>
            <w:vAlign w:val="center"/>
            <w:hideMark/>
          </w:tcPr>
          <w:p w14:paraId="42C7742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0.78</w:t>
            </w:r>
          </w:p>
        </w:tc>
        <w:tc>
          <w:tcPr>
            <w:tcW w:w="944" w:type="dxa"/>
            <w:vAlign w:val="center"/>
            <w:hideMark/>
          </w:tcPr>
          <w:p w14:paraId="78C0AAF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0.47</w:t>
            </w:r>
          </w:p>
        </w:tc>
        <w:tc>
          <w:tcPr>
            <w:tcW w:w="1003" w:type="dxa"/>
            <w:vAlign w:val="center"/>
            <w:hideMark/>
          </w:tcPr>
          <w:p w14:paraId="126B2CD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62.14</w:t>
            </w:r>
          </w:p>
        </w:tc>
      </w:tr>
      <w:tr w:rsidR="00AB335A" w:rsidRPr="006F2ABC" w14:paraId="3EB4B9EB" w14:textId="77777777" w:rsidTr="005858A3">
        <w:trPr>
          <w:trHeight w:val="20"/>
          <w:jc w:val="center"/>
        </w:trPr>
        <w:tc>
          <w:tcPr>
            <w:tcW w:w="2090" w:type="dxa"/>
            <w:vAlign w:val="center"/>
            <w:hideMark/>
          </w:tcPr>
          <w:p w14:paraId="29F659E7" w14:textId="77777777" w:rsidR="00AB335A" w:rsidRPr="006F2ABC" w:rsidRDefault="00AB335A" w:rsidP="00F52ADD">
            <w:pPr>
              <w:pStyle w:val="NoSpacing"/>
              <w:rPr>
                <w:rFonts w:ascii="Times New Roman" w:hAnsi="Times New Roman" w:cs="Times New Roman"/>
                <w:sz w:val="14"/>
                <w:szCs w:val="14"/>
              </w:rPr>
            </w:pPr>
            <w:proofErr w:type="gramStart"/>
            <w:r w:rsidRPr="006F2ABC">
              <w:rPr>
                <w:rFonts w:ascii="Times New Roman" w:hAnsi="Times New Roman" w:cs="Times New Roman"/>
                <w:sz w:val="14"/>
                <w:szCs w:val="14"/>
              </w:rPr>
              <w:t>Total :</w:t>
            </w:r>
            <w:proofErr w:type="gramEnd"/>
            <w:r w:rsidRPr="006F2ABC">
              <w:rPr>
                <w:rFonts w:ascii="Times New Roman" w:hAnsi="Times New Roman" w:cs="Times New Roman"/>
                <w:sz w:val="14"/>
                <w:szCs w:val="14"/>
              </w:rPr>
              <w:t xml:space="preserve"> (</w:t>
            </w:r>
            <w:proofErr w:type="spellStart"/>
            <w:r w:rsidRPr="006F2ABC">
              <w:rPr>
                <w:rFonts w:ascii="Times New Roman" w:hAnsi="Times New Roman" w:cs="Times New Roman"/>
                <w:sz w:val="14"/>
                <w:szCs w:val="14"/>
              </w:rPr>
              <w:t>i</w:t>
            </w:r>
            <w:proofErr w:type="spellEnd"/>
            <w:r w:rsidRPr="006F2ABC">
              <w:rPr>
                <w:rFonts w:ascii="Times New Roman" w:hAnsi="Times New Roman" w:cs="Times New Roman"/>
                <w:sz w:val="14"/>
                <w:szCs w:val="14"/>
              </w:rPr>
              <w:t xml:space="preserve"> to xv)</w:t>
            </w:r>
          </w:p>
        </w:tc>
        <w:tc>
          <w:tcPr>
            <w:tcW w:w="857" w:type="dxa"/>
            <w:vAlign w:val="center"/>
            <w:hideMark/>
          </w:tcPr>
          <w:p w14:paraId="6AE3C30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571.26</w:t>
            </w:r>
          </w:p>
        </w:tc>
        <w:tc>
          <w:tcPr>
            <w:tcW w:w="992" w:type="dxa"/>
            <w:vAlign w:val="center"/>
            <w:hideMark/>
          </w:tcPr>
          <w:p w14:paraId="3EBD50F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417.34</w:t>
            </w:r>
          </w:p>
        </w:tc>
        <w:tc>
          <w:tcPr>
            <w:tcW w:w="857" w:type="dxa"/>
            <w:vAlign w:val="center"/>
            <w:hideMark/>
          </w:tcPr>
          <w:p w14:paraId="7FD7C56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153.92</w:t>
            </w:r>
          </w:p>
        </w:tc>
        <w:tc>
          <w:tcPr>
            <w:tcW w:w="789" w:type="dxa"/>
            <w:vAlign w:val="center"/>
            <w:hideMark/>
          </w:tcPr>
          <w:p w14:paraId="13BD110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-0.64</w:t>
            </w:r>
          </w:p>
        </w:tc>
        <w:tc>
          <w:tcPr>
            <w:tcW w:w="666" w:type="dxa"/>
            <w:vAlign w:val="center"/>
            <w:hideMark/>
          </w:tcPr>
          <w:p w14:paraId="5743294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153.28</w:t>
            </w:r>
          </w:p>
        </w:tc>
        <w:tc>
          <w:tcPr>
            <w:tcW w:w="1053" w:type="dxa"/>
            <w:vAlign w:val="center"/>
            <w:hideMark/>
          </w:tcPr>
          <w:p w14:paraId="4692C28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90.97 $</w:t>
            </w:r>
          </w:p>
        </w:tc>
        <w:tc>
          <w:tcPr>
            <w:tcW w:w="673" w:type="dxa"/>
            <w:vAlign w:val="center"/>
            <w:hideMark/>
          </w:tcPr>
          <w:p w14:paraId="073CE6E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63.77</w:t>
            </w:r>
          </w:p>
        </w:tc>
        <w:tc>
          <w:tcPr>
            <w:tcW w:w="1004" w:type="dxa"/>
            <w:vAlign w:val="center"/>
            <w:hideMark/>
          </w:tcPr>
          <w:p w14:paraId="4672A7B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16.76</w:t>
            </w:r>
          </w:p>
        </w:tc>
        <w:tc>
          <w:tcPr>
            <w:tcW w:w="944" w:type="dxa"/>
            <w:vAlign w:val="center"/>
            <w:hideMark/>
          </w:tcPr>
          <w:p w14:paraId="3799377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-18.22</w:t>
            </w:r>
          </w:p>
        </w:tc>
        <w:tc>
          <w:tcPr>
            <w:tcW w:w="1003" w:type="dxa"/>
            <w:vAlign w:val="center"/>
            <w:hideMark/>
          </w:tcPr>
          <w:p w14:paraId="0BF12F6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73.06</w:t>
            </w:r>
          </w:p>
        </w:tc>
      </w:tr>
      <w:tr w:rsidR="00AB335A" w:rsidRPr="006F2ABC" w14:paraId="7A2E7DD2" w14:textId="77777777" w:rsidTr="005858A3">
        <w:trPr>
          <w:trHeight w:val="20"/>
          <w:jc w:val="center"/>
        </w:trPr>
        <w:tc>
          <w:tcPr>
            <w:tcW w:w="2090" w:type="dxa"/>
            <w:vAlign w:val="center"/>
            <w:hideMark/>
          </w:tcPr>
          <w:p w14:paraId="364D3FFE"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15. Uttar Pradesh</w:t>
            </w:r>
          </w:p>
        </w:tc>
        <w:tc>
          <w:tcPr>
            <w:tcW w:w="857" w:type="dxa"/>
            <w:vAlign w:val="center"/>
            <w:hideMark/>
          </w:tcPr>
          <w:p w14:paraId="4C9CC20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216.09</w:t>
            </w:r>
          </w:p>
        </w:tc>
        <w:tc>
          <w:tcPr>
            <w:tcW w:w="992" w:type="dxa"/>
            <w:vAlign w:val="center"/>
            <w:hideMark/>
          </w:tcPr>
          <w:p w14:paraId="34CC365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163.63</w:t>
            </w:r>
          </w:p>
        </w:tc>
        <w:tc>
          <w:tcPr>
            <w:tcW w:w="857" w:type="dxa"/>
            <w:vAlign w:val="center"/>
            <w:hideMark/>
          </w:tcPr>
          <w:p w14:paraId="194DC9D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52.46</w:t>
            </w:r>
          </w:p>
        </w:tc>
        <w:tc>
          <w:tcPr>
            <w:tcW w:w="789" w:type="dxa"/>
            <w:vAlign w:val="center"/>
            <w:hideMark/>
          </w:tcPr>
          <w:p w14:paraId="5844872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0.68</w:t>
            </w:r>
          </w:p>
        </w:tc>
        <w:tc>
          <w:tcPr>
            <w:tcW w:w="666" w:type="dxa"/>
            <w:vAlign w:val="center"/>
            <w:hideMark/>
          </w:tcPr>
          <w:p w14:paraId="5801EBC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53.14</w:t>
            </w:r>
          </w:p>
        </w:tc>
        <w:tc>
          <w:tcPr>
            <w:tcW w:w="1053" w:type="dxa"/>
            <w:vAlign w:val="center"/>
            <w:hideMark/>
          </w:tcPr>
          <w:p w14:paraId="5CBE76B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34.23</w:t>
            </w:r>
          </w:p>
        </w:tc>
        <w:tc>
          <w:tcPr>
            <w:tcW w:w="673" w:type="dxa"/>
            <w:vAlign w:val="center"/>
            <w:hideMark/>
          </w:tcPr>
          <w:p w14:paraId="11DC893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4.63</w:t>
            </w:r>
          </w:p>
        </w:tc>
        <w:tc>
          <w:tcPr>
            <w:tcW w:w="1004" w:type="dxa"/>
            <w:vAlign w:val="center"/>
            <w:hideMark/>
          </w:tcPr>
          <w:p w14:paraId="5488FB2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11.79</w:t>
            </w:r>
          </w:p>
        </w:tc>
        <w:tc>
          <w:tcPr>
            <w:tcW w:w="944" w:type="dxa"/>
            <w:vAlign w:val="center"/>
            <w:hideMark/>
          </w:tcPr>
          <w:p w14:paraId="2618619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2.49</w:t>
            </w:r>
          </w:p>
        </w:tc>
        <w:tc>
          <w:tcPr>
            <w:tcW w:w="1003" w:type="dxa"/>
            <w:vAlign w:val="center"/>
            <w:hideMark/>
          </w:tcPr>
          <w:p w14:paraId="10647D7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76.47</w:t>
            </w:r>
          </w:p>
        </w:tc>
      </w:tr>
      <w:tr w:rsidR="00AB335A" w:rsidRPr="006F2ABC" w14:paraId="2C13850C" w14:textId="77777777" w:rsidTr="005858A3">
        <w:trPr>
          <w:trHeight w:val="20"/>
          <w:jc w:val="center"/>
        </w:trPr>
        <w:tc>
          <w:tcPr>
            <w:tcW w:w="2090" w:type="dxa"/>
            <w:vAlign w:val="center"/>
            <w:hideMark/>
          </w:tcPr>
          <w:p w14:paraId="649DCC96"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16. West Bengal</w:t>
            </w:r>
          </w:p>
        </w:tc>
        <w:tc>
          <w:tcPr>
            <w:tcW w:w="857" w:type="dxa"/>
            <w:vAlign w:val="center"/>
            <w:hideMark/>
          </w:tcPr>
          <w:p w14:paraId="14BE7488" w14:textId="77777777" w:rsidR="00AB335A" w:rsidRPr="006F2ABC" w:rsidRDefault="00AB335A" w:rsidP="00F52ADD">
            <w:pPr>
              <w:pStyle w:val="NoSpacing"/>
              <w:jc w:val="center"/>
              <w:rPr>
                <w:rFonts w:ascii="Times New Roman" w:hAnsi="Times New Roman" w:cs="Times New Roman"/>
                <w:sz w:val="14"/>
                <w:szCs w:val="14"/>
              </w:rPr>
            </w:pPr>
          </w:p>
        </w:tc>
        <w:tc>
          <w:tcPr>
            <w:tcW w:w="992" w:type="dxa"/>
            <w:vAlign w:val="center"/>
            <w:hideMark/>
          </w:tcPr>
          <w:p w14:paraId="6989374E" w14:textId="77777777" w:rsidR="00AB335A" w:rsidRPr="006F2ABC" w:rsidRDefault="00AB335A" w:rsidP="00F52ADD">
            <w:pPr>
              <w:pStyle w:val="NoSpacing"/>
              <w:jc w:val="center"/>
              <w:rPr>
                <w:rFonts w:ascii="Times New Roman" w:hAnsi="Times New Roman" w:cs="Times New Roman"/>
                <w:sz w:val="14"/>
                <w:szCs w:val="14"/>
              </w:rPr>
            </w:pPr>
          </w:p>
        </w:tc>
        <w:tc>
          <w:tcPr>
            <w:tcW w:w="857" w:type="dxa"/>
            <w:vAlign w:val="center"/>
            <w:hideMark/>
          </w:tcPr>
          <w:p w14:paraId="501BAA7D" w14:textId="77777777" w:rsidR="00AB335A" w:rsidRPr="006F2ABC" w:rsidRDefault="00AB335A" w:rsidP="00F52ADD">
            <w:pPr>
              <w:pStyle w:val="NoSpacing"/>
              <w:jc w:val="center"/>
              <w:rPr>
                <w:rFonts w:ascii="Times New Roman" w:hAnsi="Times New Roman" w:cs="Times New Roman"/>
                <w:sz w:val="14"/>
                <w:szCs w:val="14"/>
              </w:rPr>
            </w:pPr>
          </w:p>
        </w:tc>
        <w:tc>
          <w:tcPr>
            <w:tcW w:w="789" w:type="dxa"/>
            <w:vAlign w:val="center"/>
            <w:hideMark/>
          </w:tcPr>
          <w:p w14:paraId="5068609D" w14:textId="77777777" w:rsidR="00AB335A" w:rsidRPr="006F2ABC" w:rsidRDefault="00AB335A" w:rsidP="00F52ADD">
            <w:pPr>
              <w:pStyle w:val="NoSpacing"/>
              <w:jc w:val="center"/>
              <w:rPr>
                <w:rFonts w:ascii="Times New Roman" w:hAnsi="Times New Roman" w:cs="Times New Roman"/>
                <w:sz w:val="14"/>
                <w:szCs w:val="14"/>
              </w:rPr>
            </w:pPr>
          </w:p>
        </w:tc>
        <w:tc>
          <w:tcPr>
            <w:tcW w:w="666" w:type="dxa"/>
            <w:vAlign w:val="center"/>
            <w:hideMark/>
          </w:tcPr>
          <w:p w14:paraId="4F4F53C1" w14:textId="77777777" w:rsidR="00AB335A" w:rsidRPr="006F2ABC" w:rsidRDefault="00AB335A" w:rsidP="00F52ADD">
            <w:pPr>
              <w:pStyle w:val="NoSpacing"/>
              <w:jc w:val="center"/>
              <w:rPr>
                <w:rFonts w:ascii="Times New Roman" w:hAnsi="Times New Roman" w:cs="Times New Roman"/>
                <w:sz w:val="14"/>
                <w:szCs w:val="14"/>
              </w:rPr>
            </w:pPr>
          </w:p>
        </w:tc>
        <w:tc>
          <w:tcPr>
            <w:tcW w:w="1053" w:type="dxa"/>
            <w:vAlign w:val="center"/>
            <w:hideMark/>
          </w:tcPr>
          <w:p w14:paraId="314D0275" w14:textId="77777777" w:rsidR="00AB335A" w:rsidRPr="006F2ABC" w:rsidRDefault="00AB335A" w:rsidP="00F52ADD">
            <w:pPr>
              <w:pStyle w:val="NoSpacing"/>
              <w:jc w:val="center"/>
              <w:rPr>
                <w:rFonts w:ascii="Times New Roman" w:hAnsi="Times New Roman" w:cs="Times New Roman"/>
                <w:sz w:val="14"/>
                <w:szCs w:val="14"/>
              </w:rPr>
            </w:pPr>
          </w:p>
        </w:tc>
        <w:tc>
          <w:tcPr>
            <w:tcW w:w="673" w:type="dxa"/>
            <w:vAlign w:val="center"/>
            <w:hideMark/>
          </w:tcPr>
          <w:p w14:paraId="72641931" w14:textId="77777777" w:rsidR="00AB335A" w:rsidRPr="006F2ABC" w:rsidRDefault="00AB335A" w:rsidP="00F52ADD">
            <w:pPr>
              <w:pStyle w:val="NoSpacing"/>
              <w:jc w:val="center"/>
              <w:rPr>
                <w:rFonts w:ascii="Times New Roman" w:hAnsi="Times New Roman" w:cs="Times New Roman"/>
                <w:sz w:val="14"/>
                <w:szCs w:val="14"/>
              </w:rPr>
            </w:pPr>
          </w:p>
        </w:tc>
        <w:tc>
          <w:tcPr>
            <w:tcW w:w="1004" w:type="dxa"/>
            <w:vAlign w:val="center"/>
            <w:hideMark/>
          </w:tcPr>
          <w:p w14:paraId="05277314" w14:textId="77777777" w:rsidR="00AB335A" w:rsidRPr="006F2ABC" w:rsidRDefault="00AB335A" w:rsidP="00F52ADD">
            <w:pPr>
              <w:pStyle w:val="NoSpacing"/>
              <w:jc w:val="center"/>
              <w:rPr>
                <w:rFonts w:ascii="Times New Roman" w:hAnsi="Times New Roman" w:cs="Times New Roman"/>
                <w:sz w:val="14"/>
                <w:szCs w:val="14"/>
              </w:rPr>
            </w:pPr>
          </w:p>
        </w:tc>
        <w:tc>
          <w:tcPr>
            <w:tcW w:w="944" w:type="dxa"/>
            <w:vAlign w:val="center"/>
            <w:hideMark/>
          </w:tcPr>
          <w:p w14:paraId="5576668F" w14:textId="77777777" w:rsidR="00AB335A" w:rsidRPr="006F2ABC" w:rsidRDefault="00AB335A" w:rsidP="00F52ADD">
            <w:pPr>
              <w:pStyle w:val="NoSpacing"/>
              <w:jc w:val="center"/>
              <w:rPr>
                <w:rFonts w:ascii="Times New Roman" w:hAnsi="Times New Roman" w:cs="Times New Roman"/>
                <w:sz w:val="14"/>
                <w:szCs w:val="14"/>
              </w:rPr>
            </w:pPr>
          </w:p>
        </w:tc>
        <w:tc>
          <w:tcPr>
            <w:tcW w:w="1003" w:type="dxa"/>
            <w:vAlign w:val="center"/>
            <w:hideMark/>
          </w:tcPr>
          <w:p w14:paraId="3A4960CE" w14:textId="77777777" w:rsidR="00AB335A" w:rsidRPr="006F2ABC" w:rsidRDefault="00AB335A" w:rsidP="00F52ADD">
            <w:pPr>
              <w:pStyle w:val="NoSpacing"/>
              <w:jc w:val="center"/>
              <w:rPr>
                <w:rFonts w:ascii="Times New Roman" w:hAnsi="Times New Roman" w:cs="Times New Roman"/>
                <w:sz w:val="14"/>
                <w:szCs w:val="14"/>
              </w:rPr>
            </w:pPr>
          </w:p>
        </w:tc>
      </w:tr>
      <w:tr w:rsidR="00AB335A" w:rsidRPr="006F2ABC" w14:paraId="5710D953" w14:textId="77777777" w:rsidTr="005858A3">
        <w:trPr>
          <w:trHeight w:val="20"/>
          <w:jc w:val="center"/>
        </w:trPr>
        <w:tc>
          <w:tcPr>
            <w:tcW w:w="2090" w:type="dxa"/>
            <w:vAlign w:val="center"/>
            <w:hideMark/>
          </w:tcPr>
          <w:p w14:paraId="03E3D868"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w:t>
            </w:r>
            <w:proofErr w:type="spellStart"/>
            <w:r w:rsidRPr="006F2ABC">
              <w:rPr>
                <w:rFonts w:ascii="Times New Roman" w:hAnsi="Times New Roman" w:cs="Times New Roman"/>
                <w:sz w:val="14"/>
                <w:szCs w:val="14"/>
              </w:rPr>
              <w:t>i</w:t>
            </w:r>
            <w:proofErr w:type="spellEnd"/>
            <w:r w:rsidRPr="006F2ABC">
              <w:rPr>
                <w:rFonts w:ascii="Times New Roman" w:hAnsi="Times New Roman" w:cs="Times New Roman"/>
                <w:sz w:val="14"/>
                <w:szCs w:val="14"/>
              </w:rPr>
              <w:t xml:space="preserve">) Calcutta State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w:t>
            </w:r>
          </w:p>
        </w:tc>
        <w:tc>
          <w:tcPr>
            <w:tcW w:w="857" w:type="dxa"/>
            <w:vAlign w:val="center"/>
            <w:hideMark/>
          </w:tcPr>
          <w:p w14:paraId="56F1C65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18.29</w:t>
            </w:r>
          </w:p>
        </w:tc>
        <w:tc>
          <w:tcPr>
            <w:tcW w:w="992" w:type="dxa"/>
            <w:vAlign w:val="center"/>
            <w:hideMark/>
          </w:tcPr>
          <w:p w14:paraId="145349D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38.34</w:t>
            </w:r>
          </w:p>
        </w:tc>
        <w:tc>
          <w:tcPr>
            <w:tcW w:w="857" w:type="dxa"/>
            <w:vAlign w:val="center"/>
            <w:hideMark/>
          </w:tcPr>
          <w:p w14:paraId="5A45244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-20.05</w:t>
            </w:r>
          </w:p>
        </w:tc>
        <w:tc>
          <w:tcPr>
            <w:tcW w:w="789" w:type="dxa"/>
            <w:vAlign w:val="center"/>
            <w:hideMark/>
          </w:tcPr>
          <w:p w14:paraId="298CDFA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15.51</w:t>
            </w:r>
          </w:p>
        </w:tc>
        <w:tc>
          <w:tcPr>
            <w:tcW w:w="666" w:type="dxa"/>
            <w:vAlign w:val="center"/>
            <w:hideMark/>
          </w:tcPr>
          <w:p w14:paraId="1C6DD8A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-4.54</w:t>
            </w:r>
          </w:p>
        </w:tc>
        <w:tc>
          <w:tcPr>
            <w:tcW w:w="1053" w:type="dxa"/>
            <w:vAlign w:val="center"/>
            <w:hideMark/>
          </w:tcPr>
          <w:p w14:paraId="3D1E1CB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6.32</w:t>
            </w:r>
          </w:p>
        </w:tc>
        <w:tc>
          <w:tcPr>
            <w:tcW w:w="673" w:type="dxa"/>
            <w:vAlign w:val="center"/>
            <w:hideMark/>
          </w:tcPr>
          <w:p w14:paraId="4741923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0.32</w:t>
            </w:r>
          </w:p>
        </w:tc>
        <w:tc>
          <w:tcPr>
            <w:tcW w:w="1004" w:type="dxa"/>
            <w:vAlign w:val="center"/>
            <w:hideMark/>
          </w:tcPr>
          <w:p w14:paraId="3992549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0.06</w:t>
            </w:r>
          </w:p>
        </w:tc>
        <w:tc>
          <w:tcPr>
            <w:tcW w:w="944" w:type="dxa"/>
            <w:vAlign w:val="center"/>
            <w:hideMark/>
          </w:tcPr>
          <w:p w14:paraId="3DC4092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-11.24</w:t>
            </w:r>
          </w:p>
        </w:tc>
        <w:tc>
          <w:tcPr>
            <w:tcW w:w="1003" w:type="dxa"/>
            <w:vAlign w:val="center"/>
            <w:hideMark/>
          </w:tcPr>
          <w:p w14:paraId="24A1323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209.62</w:t>
            </w:r>
          </w:p>
        </w:tc>
      </w:tr>
      <w:tr w:rsidR="00AB335A" w:rsidRPr="006F2ABC" w14:paraId="423A53BC" w14:textId="77777777" w:rsidTr="005858A3">
        <w:trPr>
          <w:trHeight w:val="20"/>
          <w:jc w:val="center"/>
        </w:trPr>
        <w:tc>
          <w:tcPr>
            <w:tcW w:w="2090" w:type="dxa"/>
            <w:vAlign w:val="center"/>
            <w:hideMark/>
          </w:tcPr>
          <w:p w14:paraId="3C6E2177"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(ii) North Bengal State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w:t>
            </w:r>
          </w:p>
        </w:tc>
        <w:tc>
          <w:tcPr>
            <w:tcW w:w="857" w:type="dxa"/>
            <w:vAlign w:val="center"/>
            <w:hideMark/>
          </w:tcPr>
          <w:p w14:paraId="6806A3A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10.00</w:t>
            </w:r>
          </w:p>
        </w:tc>
        <w:tc>
          <w:tcPr>
            <w:tcW w:w="992" w:type="dxa"/>
            <w:vAlign w:val="center"/>
            <w:hideMark/>
          </w:tcPr>
          <w:p w14:paraId="61C20EB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13.57</w:t>
            </w:r>
          </w:p>
        </w:tc>
        <w:tc>
          <w:tcPr>
            <w:tcW w:w="857" w:type="dxa"/>
            <w:vAlign w:val="center"/>
            <w:hideMark/>
          </w:tcPr>
          <w:p w14:paraId="6CBA9D4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-3.57</w:t>
            </w:r>
          </w:p>
        </w:tc>
        <w:tc>
          <w:tcPr>
            <w:tcW w:w="789" w:type="dxa"/>
            <w:vAlign w:val="center"/>
            <w:hideMark/>
          </w:tcPr>
          <w:p w14:paraId="4E2F913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5.13</w:t>
            </w:r>
          </w:p>
        </w:tc>
        <w:tc>
          <w:tcPr>
            <w:tcW w:w="666" w:type="dxa"/>
            <w:vAlign w:val="center"/>
            <w:hideMark/>
          </w:tcPr>
          <w:p w14:paraId="11E3CE1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1.56</w:t>
            </w:r>
          </w:p>
        </w:tc>
        <w:tc>
          <w:tcPr>
            <w:tcW w:w="1053" w:type="dxa"/>
            <w:vAlign w:val="center"/>
            <w:hideMark/>
          </w:tcPr>
          <w:p w14:paraId="6B65342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1.00</w:t>
            </w:r>
          </w:p>
        </w:tc>
        <w:tc>
          <w:tcPr>
            <w:tcW w:w="673" w:type="dxa"/>
            <w:vAlign w:val="center"/>
            <w:hideMark/>
          </w:tcPr>
          <w:p w14:paraId="248E64B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0.05</w:t>
            </w:r>
          </w:p>
        </w:tc>
        <w:tc>
          <w:tcPr>
            <w:tcW w:w="1004" w:type="dxa"/>
            <w:vAlign w:val="center"/>
            <w:hideMark/>
          </w:tcPr>
          <w:p w14:paraId="05BA319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0.21</w:t>
            </w:r>
          </w:p>
        </w:tc>
        <w:tc>
          <w:tcPr>
            <w:tcW w:w="944" w:type="dxa"/>
            <w:vAlign w:val="center"/>
            <w:hideMark/>
          </w:tcPr>
          <w:p w14:paraId="530C824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0.30</w:t>
            </w:r>
          </w:p>
        </w:tc>
        <w:tc>
          <w:tcPr>
            <w:tcW w:w="1003" w:type="dxa"/>
            <w:vAlign w:val="center"/>
            <w:hideMark/>
          </w:tcPr>
          <w:p w14:paraId="21EDFE1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135.70</w:t>
            </w:r>
          </w:p>
        </w:tc>
      </w:tr>
      <w:tr w:rsidR="00AB335A" w:rsidRPr="006F2ABC" w14:paraId="7EF28721" w14:textId="77777777" w:rsidTr="005858A3">
        <w:trPr>
          <w:trHeight w:val="20"/>
          <w:jc w:val="center"/>
        </w:trPr>
        <w:tc>
          <w:tcPr>
            <w:tcW w:w="2090" w:type="dxa"/>
            <w:vAlign w:val="center"/>
            <w:hideMark/>
          </w:tcPr>
          <w:p w14:paraId="52AB2BC9"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(iii) Durgapur State Transport </w:t>
            </w:r>
            <w:proofErr w:type="spellStart"/>
            <w:r w:rsidRPr="006F2ABC">
              <w:rPr>
                <w:rFonts w:ascii="Times New Roman" w:hAnsi="Times New Roman" w:cs="Times New Roman"/>
                <w:sz w:val="14"/>
                <w:szCs w:val="14"/>
              </w:rPr>
              <w:t>Corpn</w:t>
            </w:r>
            <w:proofErr w:type="spellEnd"/>
            <w:r w:rsidRPr="006F2ABC">
              <w:rPr>
                <w:rFonts w:ascii="Times New Roman" w:hAnsi="Times New Roman" w:cs="Times New Roman"/>
                <w:sz w:val="14"/>
                <w:szCs w:val="14"/>
              </w:rPr>
              <w:t>.</w:t>
            </w:r>
          </w:p>
        </w:tc>
        <w:tc>
          <w:tcPr>
            <w:tcW w:w="857" w:type="dxa"/>
            <w:vAlign w:val="center"/>
            <w:hideMark/>
          </w:tcPr>
          <w:p w14:paraId="0BBBABB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2.15</w:t>
            </w:r>
          </w:p>
        </w:tc>
        <w:tc>
          <w:tcPr>
            <w:tcW w:w="992" w:type="dxa"/>
            <w:vAlign w:val="center"/>
            <w:hideMark/>
          </w:tcPr>
          <w:p w14:paraId="39B7625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3.97</w:t>
            </w:r>
          </w:p>
        </w:tc>
        <w:tc>
          <w:tcPr>
            <w:tcW w:w="857" w:type="dxa"/>
            <w:vAlign w:val="center"/>
            <w:hideMark/>
          </w:tcPr>
          <w:p w14:paraId="4B43D1A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-1.82</w:t>
            </w:r>
          </w:p>
        </w:tc>
        <w:tc>
          <w:tcPr>
            <w:tcW w:w="789" w:type="dxa"/>
            <w:vAlign w:val="center"/>
            <w:hideMark/>
          </w:tcPr>
          <w:p w14:paraId="03CE18A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2.03</w:t>
            </w:r>
          </w:p>
        </w:tc>
        <w:tc>
          <w:tcPr>
            <w:tcW w:w="666" w:type="dxa"/>
            <w:vAlign w:val="center"/>
            <w:hideMark/>
          </w:tcPr>
          <w:p w14:paraId="1493BE1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0.21</w:t>
            </w:r>
          </w:p>
        </w:tc>
        <w:tc>
          <w:tcPr>
            <w:tcW w:w="1053" w:type="dxa"/>
            <w:vAlign w:val="center"/>
            <w:hideMark/>
          </w:tcPr>
          <w:p w14:paraId="02F05DE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0.64</w:t>
            </w:r>
          </w:p>
        </w:tc>
        <w:tc>
          <w:tcPr>
            <w:tcW w:w="673" w:type="dxa"/>
            <w:vAlign w:val="center"/>
            <w:hideMark/>
          </w:tcPr>
          <w:p w14:paraId="5A4E85A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0.10</w:t>
            </w:r>
          </w:p>
        </w:tc>
        <w:tc>
          <w:tcPr>
            <w:tcW w:w="1004" w:type="dxa"/>
            <w:vAlign w:val="center"/>
            <w:hideMark/>
          </w:tcPr>
          <w:p w14:paraId="116A871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0.01</w:t>
            </w:r>
          </w:p>
        </w:tc>
        <w:tc>
          <w:tcPr>
            <w:tcW w:w="944" w:type="dxa"/>
            <w:vAlign w:val="center"/>
            <w:hideMark/>
          </w:tcPr>
          <w:p w14:paraId="3ECCDD3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-0.54</w:t>
            </w:r>
          </w:p>
        </w:tc>
        <w:tc>
          <w:tcPr>
            <w:tcW w:w="1003" w:type="dxa"/>
            <w:vAlign w:val="center"/>
            <w:hideMark/>
          </w:tcPr>
          <w:p w14:paraId="544F3D6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186.38</w:t>
            </w:r>
          </w:p>
        </w:tc>
      </w:tr>
      <w:tr w:rsidR="00AB335A" w:rsidRPr="006F2ABC" w14:paraId="0666D008" w14:textId="77777777" w:rsidTr="005858A3">
        <w:trPr>
          <w:trHeight w:val="20"/>
          <w:jc w:val="center"/>
        </w:trPr>
        <w:tc>
          <w:tcPr>
            <w:tcW w:w="2090" w:type="dxa"/>
            <w:vAlign w:val="center"/>
            <w:hideMark/>
          </w:tcPr>
          <w:p w14:paraId="3936F579"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(iv) Calcutta Tramways Co. Ltd</w:t>
            </w:r>
          </w:p>
        </w:tc>
        <w:tc>
          <w:tcPr>
            <w:tcW w:w="857" w:type="dxa"/>
            <w:vAlign w:val="center"/>
            <w:hideMark/>
          </w:tcPr>
          <w:p w14:paraId="0C73FFC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6.92</w:t>
            </w:r>
          </w:p>
        </w:tc>
        <w:tc>
          <w:tcPr>
            <w:tcW w:w="992" w:type="dxa"/>
            <w:vAlign w:val="center"/>
            <w:hideMark/>
          </w:tcPr>
          <w:p w14:paraId="5928EA9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25.96</w:t>
            </w:r>
          </w:p>
        </w:tc>
        <w:tc>
          <w:tcPr>
            <w:tcW w:w="857" w:type="dxa"/>
            <w:vAlign w:val="center"/>
            <w:hideMark/>
          </w:tcPr>
          <w:p w14:paraId="11BD30A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-19.04</w:t>
            </w:r>
          </w:p>
        </w:tc>
        <w:tc>
          <w:tcPr>
            <w:tcW w:w="789" w:type="dxa"/>
            <w:vAlign w:val="center"/>
            <w:hideMark/>
          </w:tcPr>
          <w:p w14:paraId="220113B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13.40</w:t>
            </w:r>
          </w:p>
        </w:tc>
        <w:tc>
          <w:tcPr>
            <w:tcW w:w="666" w:type="dxa"/>
            <w:vAlign w:val="center"/>
            <w:hideMark/>
          </w:tcPr>
          <w:p w14:paraId="1E5D6C0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-5.64</w:t>
            </w:r>
          </w:p>
        </w:tc>
        <w:tc>
          <w:tcPr>
            <w:tcW w:w="1053" w:type="dxa"/>
            <w:vAlign w:val="center"/>
            <w:hideMark/>
          </w:tcPr>
          <w:p w14:paraId="0105422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6.30</w:t>
            </w:r>
          </w:p>
        </w:tc>
        <w:tc>
          <w:tcPr>
            <w:tcW w:w="673" w:type="dxa"/>
            <w:vAlign w:val="center"/>
            <w:hideMark/>
          </w:tcPr>
          <w:p w14:paraId="41C67E5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0.04</w:t>
            </w:r>
          </w:p>
        </w:tc>
        <w:tc>
          <w:tcPr>
            <w:tcW w:w="1004" w:type="dxa"/>
            <w:vAlign w:val="center"/>
            <w:hideMark/>
          </w:tcPr>
          <w:p w14:paraId="76E9E31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0.85</w:t>
            </w:r>
          </w:p>
        </w:tc>
        <w:tc>
          <w:tcPr>
            <w:tcW w:w="944" w:type="dxa"/>
            <w:vAlign w:val="center"/>
            <w:hideMark/>
          </w:tcPr>
          <w:p w14:paraId="05B8D41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-12.83</w:t>
            </w:r>
          </w:p>
        </w:tc>
        <w:tc>
          <w:tcPr>
            <w:tcW w:w="1003" w:type="dxa"/>
            <w:vAlign w:val="center"/>
            <w:hideMark/>
          </w:tcPr>
          <w:p w14:paraId="1EADA38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375.14</w:t>
            </w:r>
          </w:p>
        </w:tc>
      </w:tr>
      <w:tr w:rsidR="00AB335A" w:rsidRPr="006F2ABC" w14:paraId="71A22CB3" w14:textId="77777777" w:rsidTr="005858A3">
        <w:trPr>
          <w:trHeight w:val="20"/>
          <w:jc w:val="center"/>
        </w:trPr>
        <w:tc>
          <w:tcPr>
            <w:tcW w:w="2090" w:type="dxa"/>
            <w:vAlign w:val="center"/>
            <w:hideMark/>
          </w:tcPr>
          <w:p w14:paraId="3147648D"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HILL STATES</w:t>
            </w:r>
          </w:p>
        </w:tc>
        <w:tc>
          <w:tcPr>
            <w:tcW w:w="857" w:type="dxa"/>
            <w:vAlign w:val="center"/>
            <w:hideMark/>
          </w:tcPr>
          <w:p w14:paraId="1AE93E0E" w14:textId="77777777" w:rsidR="00AB335A" w:rsidRPr="006F2ABC" w:rsidRDefault="00AB335A" w:rsidP="00F52ADD">
            <w:pPr>
              <w:pStyle w:val="NoSpacing"/>
              <w:jc w:val="center"/>
              <w:rPr>
                <w:rFonts w:ascii="Times New Roman" w:hAnsi="Times New Roman" w:cs="Times New Roman"/>
                <w:sz w:val="14"/>
                <w:szCs w:val="14"/>
              </w:rPr>
            </w:pPr>
          </w:p>
        </w:tc>
        <w:tc>
          <w:tcPr>
            <w:tcW w:w="992" w:type="dxa"/>
            <w:vAlign w:val="center"/>
            <w:hideMark/>
          </w:tcPr>
          <w:p w14:paraId="00FE67D8" w14:textId="77777777" w:rsidR="00AB335A" w:rsidRPr="006F2ABC" w:rsidRDefault="00AB335A" w:rsidP="00F52ADD">
            <w:pPr>
              <w:pStyle w:val="NoSpacing"/>
              <w:jc w:val="center"/>
              <w:rPr>
                <w:rFonts w:ascii="Times New Roman" w:hAnsi="Times New Roman" w:cs="Times New Roman"/>
                <w:sz w:val="14"/>
                <w:szCs w:val="14"/>
              </w:rPr>
            </w:pPr>
          </w:p>
        </w:tc>
        <w:tc>
          <w:tcPr>
            <w:tcW w:w="857" w:type="dxa"/>
            <w:vAlign w:val="center"/>
            <w:hideMark/>
          </w:tcPr>
          <w:p w14:paraId="3AE28B42" w14:textId="77777777" w:rsidR="00AB335A" w:rsidRPr="006F2ABC" w:rsidRDefault="00AB335A" w:rsidP="00F52ADD">
            <w:pPr>
              <w:pStyle w:val="NoSpacing"/>
              <w:jc w:val="center"/>
              <w:rPr>
                <w:rFonts w:ascii="Times New Roman" w:hAnsi="Times New Roman" w:cs="Times New Roman"/>
                <w:sz w:val="14"/>
                <w:szCs w:val="14"/>
              </w:rPr>
            </w:pPr>
          </w:p>
        </w:tc>
        <w:tc>
          <w:tcPr>
            <w:tcW w:w="789" w:type="dxa"/>
            <w:vAlign w:val="center"/>
            <w:hideMark/>
          </w:tcPr>
          <w:p w14:paraId="200528E3" w14:textId="77777777" w:rsidR="00AB335A" w:rsidRPr="006F2ABC" w:rsidRDefault="00AB335A" w:rsidP="00F52ADD">
            <w:pPr>
              <w:pStyle w:val="NoSpacing"/>
              <w:jc w:val="center"/>
              <w:rPr>
                <w:rFonts w:ascii="Times New Roman" w:hAnsi="Times New Roman" w:cs="Times New Roman"/>
                <w:sz w:val="14"/>
                <w:szCs w:val="14"/>
              </w:rPr>
            </w:pPr>
          </w:p>
        </w:tc>
        <w:tc>
          <w:tcPr>
            <w:tcW w:w="666" w:type="dxa"/>
            <w:vAlign w:val="center"/>
            <w:hideMark/>
          </w:tcPr>
          <w:p w14:paraId="00FE5D77" w14:textId="77777777" w:rsidR="00AB335A" w:rsidRPr="006F2ABC" w:rsidRDefault="00AB335A" w:rsidP="00F52ADD">
            <w:pPr>
              <w:pStyle w:val="NoSpacing"/>
              <w:jc w:val="center"/>
              <w:rPr>
                <w:rFonts w:ascii="Times New Roman" w:hAnsi="Times New Roman" w:cs="Times New Roman"/>
                <w:sz w:val="14"/>
                <w:szCs w:val="14"/>
              </w:rPr>
            </w:pPr>
          </w:p>
        </w:tc>
        <w:tc>
          <w:tcPr>
            <w:tcW w:w="1053" w:type="dxa"/>
            <w:vAlign w:val="center"/>
            <w:hideMark/>
          </w:tcPr>
          <w:p w14:paraId="39545F45" w14:textId="77777777" w:rsidR="00AB335A" w:rsidRPr="006F2ABC" w:rsidRDefault="00AB335A" w:rsidP="00F52ADD">
            <w:pPr>
              <w:pStyle w:val="NoSpacing"/>
              <w:jc w:val="center"/>
              <w:rPr>
                <w:rFonts w:ascii="Times New Roman" w:hAnsi="Times New Roman" w:cs="Times New Roman"/>
                <w:sz w:val="14"/>
                <w:szCs w:val="14"/>
              </w:rPr>
            </w:pPr>
          </w:p>
        </w:tc>
        <w:tc>
          <w:tcPr>
            <w:tcW w:w="673" w:type="dxa"/>
            <w:vAlign w:val="center"/>
            <w:hideMark/>
          </w:tcPr>
          <w:p w14:paraId="74D7A704" w14:textId="77777777" w:rsidR="00AB335A" w:rsidRPr="006F2ABC" w:rsidRDefault="00AB335A" w:rsidP="00F52ADD">
            <w:pPr>
              <w:pStyle w:val="NoSpacing"/>
              <w:jc w:val="center"/>
              <w:rPr>
                <w:rFonts w:ascii="Times New Roman" w:hAnsi="Times New Roman" w:cs="Times New Roman"/>
                <w:sz w:val="14"/>
                <w:szCs w:val="14"/>
              </w:rPr>
            </w:pPr>
          </w:p>
        </w:tc>
        <w:tc>
          <w:tcPr>
            <w:tcW w:w="1004" w:type="dxa"/>
            <w:vAlign w:val="center"/>
            <w:hideMark/>
          </w:tcPr>
          <w:p w14:paraId="102F3EAA" w14:textId="77777777" w:rsidR="00AB335A" w:rsidRPr="006F2ABC" w:rsidRDefault="00AB335A" w:rsidP="00F52ADD">
            <w:pPr>
              <w:pStyle w:val="NoSpacing"/>
              <w:jc w:val="center"/>
              <w:rPr>
                <w:rFonts w:ascii="Times New Roman" w:hAnsi="Times New Roman" w:cs="Times New Roman"/>
                <w:sz w:val="14"/>
                <w:szCs w:val="14"/>
              </w:rPr>
            </w:pPr>
          </w:p>
        </w:tc>
        <w:tc>
          <w:tcPr>
            <w:tcW w:w="944" w:type="dxa"/>
            <w:vAlign w:val="center"/>
            <w:hideMark/>
          </w:tcPr>
          <w:p w14:paraId="7F83BD1F" w14:textId="77777777" w:rsidR="00AB335A" w:rsidRPr="006F2ABC" w:rsidRDefault="00AB335A" w:rsidP="00F52ADD">
            <w:pPr>
              <w:pStyle w:val="NoSpacing"/>
              <w:jc w:val="center"/>
              <w:rPr>
                <w:rFonts w:ascii="Times New Roman" w:hAnsi="Times New Roman" w:cs="Times New Roman"/>
                <w:sz w:val="14"/>
                <w:szCs w:val="14"/>
              </w:rPr>
            </w:pPr>
          </w:p>
        </w:tc>
        <w:tc>
          <w:tcPr>
            <w:tcW w:w="1003" w:type="dxa"/>
            <w:vAlign w:val="center"/>
            <w:hideMark/>
          </w:tcPr>
          <w:p w14:paraId="7BFB4565" w14:textId="77777777" w:rsidR="00AB335A" w:rsidRPr="006F2ABC" w:rsidRDefault="00AB335A" w:rsidP="00F52ADD">
            <w:pPr>
              <w:pStyle w:val="NoSpacing"/>
              <w:jc w:val="center"/>
              <w:rPr>
                <w:rFonts w:ascii="Times New Roman" w:hAnsi="Times New Roman" w:cs="Times New Roman"/>
                <w:sz w:val="14"/>
                <w:szCs w:val="14"/>
              </w:rPr>
            </w:pPr>
          </w:p>
        </w:tc>
      </w:tr>
      <w:tr w:rsidR="00AB335A" w:rsidRPr="006F2ABC" w14:paraId="56155172" w14:textId="77777777" w:rsidTr="005858A3">
        <w:trPr>
          <w:trHeight w:val="20"/>
          <w:jc w:val="center"/>
        </w:trPr>
        <w:tc>
          <w:tcPr>
            <w:tcW w:w="2090" w:type="dxa"/>
            <w:vAlign w:val="center"/>
            <w:hideMark/>
          </w:tcPr>
          <w:p w14:paraId="7599B65A"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1. </w:t>
            </w:r>
            <w:proofErr w:type="spellStart"/>
            <w:r w:rsidRPr="006F2ABC">
              <w:rPr>
                <w:rFonts w:ascii="Times New Roman" w:hAnsi="Times New Roman" w:cs="Times New Roman"/>
                <w:sz w:val="14"/>
                <w:szCs w:val="14"/>
              </w:rPr>
              <w:t>Arunchal</w:t>
            </w:r>
            <w:proofErr w:type="spellEnd"/>
            <w:r w:rsidRPr="006F2ABC">
              <w:rPr>
                <w:rFonts w:ascii="Times New Roman" w:hAnsi="Times New Roman" w:cs="Times New Roman"/>
                <w:sz w:val="14"/>
                <w:szCs w:val="14"/>
              </w:rPr>
              <w:t xml:space="preserve"> Pradesh</w:t>
            </w:r>
          </w:p>
        </w:tc>
        <w:tc>
          <w:tcPr>
            <w:tcW w:w="857" w:type="dxa"/>
            <w:vAlign w:val="center"/>
            <w:hideMark/>
          </w:tcPr>
          <w:p w14:paraId="24F5871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1.41</w:t>
            </w:r>
          </w:p>
        </w:tc>
        <w:tc>
          <w:tcPr>
            <w:tcW w:w="992" w:type="dxa"/>
            <w:vAlign w:val="center"/>
            <w:hideMark/>
          </w:tcPr>
          <w:p w14:paraId="7A4D5D7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2.05</w:t>
            </w:r>
          </w:p>
        </w:tc>
        <w:tc>
          <w:tcPr>
            <w:tcW w:w="857" w:type="dxa"/>
            <w:vAlign w:val="center"/>
            <w:hideMark/>
          </w:tcPr>
          <w:p w14:paraId="0506A63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-0.64</w:t>
            </w:r>
          </w:p>
        </w:tc>
        <w:tc>
          <w:tcPr>
            <w:tcW w:w="789" w:type="dxa"/>
            <w:vAlign w:val="center"/>
            <w:hideMark/>
          </w:tcPr>
          <w:p w14:paraId="6B22A69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666" w:type="dxa"/>
            <w:vAlign w:val="center"/>
            <w:hideMark/>
          </w:tcPr>
          <w:p w14:paraId="2B5E450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-0.64</w:t>
            </w:r>
          </w:p>
        </w:tc>
        <w:tc>
          <w:tcPr>
            <w:tcW w:w="1053" w:type="dxa"/>
            <w:vAlign w:val="center"/>
            <w:hideMark/>
          </w:tcPr>
          <w:p w14:paraId="5A89EFE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673" w:type="dxa"/>
            <w:vAlign w:val="center"/>
            <w:hideMark/>
          </w:tcPr>
          <w:p w14:paraId="78C682F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1004" w:type="dxa"/>
            <w:vAlign w:val="center"/>
            <w:hideMark/>
          </w:tcPr>
          <w:p w14:paraId="729BCB3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944" w:type="dxa"/>
            <w:vAlign w:val="center"/>
            <w:hideMark/>
          </w:tcPr>
          <w:p w14:paraId="5DD117A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-0.64</w:t>
            </w:r>
          </w:p>
        </w:tc>
        <w:tc>
          <w:tcPr>
            <w:tcW w:w="1003" w:type="dxa"/>
            <w:vAlign w:val="center"/>
            <w:hideMark/>
          </w:tcPr>
          <w:p w14:paraId="39859E4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143.39</w:t>
            </w:r>
          </w:p>
        </w:tc>
      </w:tr>
      <w:tr w:rsidR="00AB335A" w:rsidRPr="006F2ABC" w14:paraId="387F093D" w14:textId="77777777" w:rsidTr="005858A3">
        <w:trPr>
          <w:trHeight w:val="20"/>
          <w:jc w:val="center"/>
        </w:trPr>
        <w:tc>
          <w:tcPr>
            <w:tcW w:w="2090" w:type="dxa"/>
            <w:vAlign w:val="center"/>
            <w:hideMark/>
          </w:tcPr>
          <w:p w14:paraId="0AE26BD7"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2. Himachal Pradesh</w:t>
            </w:r>
          </w:p>
        </w:tc>
        <w:tc>
          <w:tcPr>
            <w:tcW w:w="857" w:type="dxa"/>
            <w:vAlign w:val="center"/>
            <w:hideMark/>
          </w:tcPr>
          <w:p w14:paraId="2B4FE06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34.81</w:t>
            </w:r>
          </w:p>
        </w:tc>
        <w:tc>
          <w:tcPr>
            <w:tcW w:w="992" w:type="dxa"/>
            <w:vAlign w:val="center"/>
            <w:hideMark/>
          </w:tcPr>
          <w:p w14:paraId="3260022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37.25</w:t>
            </w:r>
          </w:p>
        </w:tc>
        <w:tc>
          <w:tcPr>
            <w:tcW w:w="857" w:type="dxa"/>
            <w:vAlign w:val="center"/>
            <w:hideMark/>
          </w:tcPr>
          <w:p w14:paraId="283FFB0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-2.44</w:t>
            </w:r>
          </w:p>
        </w:tc>
        <w:tc>
          <w:tcPr>
            <w:tcW w:w="789" w:type="dxa"/>
            <w:vAlign w:val="center"/>
            <w:hideMark/>
          </w:tcPr>
          <w:p w14:paraId="398EC38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11.14</w:t>
            </w:r>
          </w:p>
        </w:tc>
        <w:tc>
          <w:tcPr>
            <w:tcW w:w="666" w:type="dxa"/>
            <w:vAlign w:val="center"/>
            <w:hideMark/>
          </w:tcPr>
          <w:p w14:paraId="34EF75B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8.70</w:t>
            </w:r>
          </w:p>
        </w:tc>
        <w:tc>
          <w:tcPr>
            <w:tcW w:w="1053" w:type="dxa"/>
            <w:vAlign w:val="center"/>
            <w:hideMark/>
          </w:tcPr>
          <w:p w14:paraId="6183FAB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4.70</w:t>
            </w:r>
          </w:p>
        </w:tc>
        <w:tc>
          <w:tcPr>
            <w:tcW w:w="673" w:type="dxa"/>
            <w:vAlign w:val="center"/>
            <w:hideMark/>
          </w:tcPr>
          <w:p w14:paraId="1F364DB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1.40</w:t>
            </w:r>
          </w:p>
        </w:tc>
        <w:tc>
          <w:tcPr>
            <w:tcW w:w="1004" w:type="dxa"/>
            <w:vAlign w:val="center"/>
            <w:hideMark/>
          </w:tcPr>
          <w:p w14:paraId="0151574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2.51</w:t>
            </w:r>
          </w:p>
        </w:tc>
        <w:tc>
          <w:tcPr>
            <w:tcW w:w="944" w:type="dxa"/>
            <w:vAlign w:val="center"/>
            <w:hideMark/>
          </w:tcPr>
          <w:p w14:paraId="288D1B4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0.09</w:t>
            </w:r>
          </w:p>
        </w:tc>
        <w:tc>
          <w:tcPr>
            <w:tcW w:w="1003" w:type="dxa"/>
            <w:vAlign w:val="center"/>
            <w:hideMark/>
          </w:tcPr>
          <w:p w14:paraId="485D25C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107.00</w:t>
            </w:r>
          </w:p>
        </w:tc>
      </w:tr>
      <w:tr w:rsidR="00AB335A" w:rsidRPr="006F2ABC" w14:paraId="36B8BF08" w14:textId="77777777" w:rsidTr="005858A3">
        <w:trPr>
          <w:trHeight w:val="20"/>
          <w:jc w:val="center"/>
        </w:trPr>
        <w:tc>
          <w:tcPr>
            <w:tcW w:w="2090" w:type="dxa"/>
            <w:vAlign w:val="center"/>
            <w:hideMark/>
          </w:tcPr>
          <w:p w14:paraId="7C924552"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3. Jammu and Kashmir</w:t>
            </w:r>
          </w:p>
        </w:tc>
        <w:tc>
          <w:tcPr>
            <w:tcW w:w="857" w:type="dxa"/>
            <w:vAlign w:val="center"/>
            <w:hideMark/>
          </w:tcPr>
          <w:p w14:paraId="127A44A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21.28</w:t>
            </w:r>
          </w:p>
        </w:tc>
        <w:tc>
          <w:tcPr>
            <w:tcW w:w="992" w:type="dxa"/>
            <w:vAlign w:val="center"/>
            <w:hideMark/>
          </w:tcPr>
          <w:p w14:paraId="77A8FA8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19.89</w:t>
            </w:r>
          </w:p>
        </w:tc>
        <w:tc>
          <w:tcPr>
            <w:tcW w:w="857" w:type="dxa"/>
            <w:vAlign w:val="center"/>
            <w:hideMark/>
          </w:tcPr>
          <w:p w14:paraId="28A120C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1.39</w:t>
            </w:r>
          </w:p>
        </w:tc>
        <w:tc>
          <w:tcPr>
            <w:tcW w:w="789" w:type="dxa"/>
            <w:vAlign w:val="center"/>
            <w:hideMark/>
          </w:tcPr>
          <w:p w14:paraId="4872800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-0.21</w:t>
            </w:r>
          </w:p>
        </w:tc>
        <w:tc>
          <w:tcPr>
            <w:tcW w:w="666" w:type="dxa"/>
            <w:vAlign w:val="center"/>
            <w:hideMark/>
          </w:tcPr>
          <w:p w14:paraId="6BA6664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1.18</w:t>
            </w:r>
          </w:p>
        </w:tc>
        <w:tc>
          <w:tcPr>
            <w:tcW w:w="1053" w:type="dxa"/>
            <w:vAlign w:val="center"/>
            <w:hideMark/>
          </w:tcPr>
          <w:p w14:paraId="69AFAF6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3.48</w:t>
            </w:r>
          </w:p>
        </w:tc>
        <w:tc>
          <w:tcPr>
            <w:tcW w:w="673" w:type="dxa"/>
            <w:vAlign w:val="center"/>
            <w:hideMark/>
          </w:tcPr>
          <w:p w14:paraId="13E8E00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0.90</w:t>
            </w:r>
          </w:p>
        </w:tc>
        <w:tc>
          <w:tcPr>
            <w:tcW w:w="1004" w:type="dxa"/>
            <w:vAlign w:val="center"/>
            <w:hideMark/>
          </w:tcPr>
          <w:p w14:paraId="67E65B2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2.09</w:t>
            </w:r>
          </w:p>
        </w:tc>
        <w:tc>
          <w:tcPr>
            <w:tcW w:w="944" w:type="dxa"/>
            <w:vAlign w:val="center"/>
            <w:hideMark/>
          </w:tcPr>
          <w:p w14:paraId="0B44E53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-5.29</w:t>
            </w:r>
          </w:p>
        </w:tc>
        <w:tc>
          <w:tcPr>
            <w:tcW w:w="1003" w:type="dxa"/>
            <w:vAlign w:val="center"/>
            <w:hideMark/>
          </w:tcPr>
          <w:p w14:paraId="6D1AC30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93.47</w:t>
            </w:r>
          </w:p>
        </w:tc>
      </w:tr>
      <w:tr w:rsidR="00AB335A" w:rsidRPr="006F2ABC" w14:paraId="174D9D6E" w14:textId="77777777" w:rsidTr="005858A3">
        <w:trPr>
          <w:trHeight w:val="20"/>
          <w:jc w:val="center"/>
        </w:trPr>
        <w:tc>
          <w:tcPr>
            <w:tcW w:w="2090" w:type="dxa"/>
            <w:vAlign w:val="center"/>
            <w:hideMark/>
          </w:tcPr>
          <w:p w14:paraId="68856780"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4. Manipur</w:t>
            </w:r>
          </w:p>
        </w:tc>
        <w:tc>
          <w:tcPr>
            <w:tcW w:w="857" w:type="dxa"/>
            <w:vAlign w:val="center"/>
            <w:hideMark/>
          </w:tcPr>
          <w:p w14:paraId="60E0924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1.45</w:t>
            </w:r>
          </w:p>
        </w:tc>
        <w:tc>
          <w:tcPr>
            <w:tcW w:w="992" w:type="dxa"/>
            <w:vAlign w:val="center"/>
            <w:hideMark/>
          </w:tcPr>
          <w:p w14:paraId="2258CCD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1.94</w:t>
            </w:r>
          </w:p>
        </w:tc>
        <w:tc>
          <w:tcPr>
            <w:tcW w:w="857" w:type="dxa"/>
            <w:vAlign w:val="center"/>
            <w:hideMark/>
          </w:tcPr>
          <w:p w14:paraId="43B82C0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-0.49</w:t>
            </w:r>
          </w:p>
        </w:tc>
        <w:tc>
          <w:tcPr>
            <w:tcW w:w="789" w:type="dxa"/>
            <w:vAlign w:val="center"/>
            <w:hideMark/>
          </w:tcPr>
          <w:p w14:paraId="0B7DD80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0.08</w:t>
            </w:r>
          </w:p>
        </w:tc>
        <w:tc>
          <w:tcPr>
            <w:tcW w:w="666" w:type="dxa"/>
            <w:vAlign w:val="center"/>
            <w:hideMark/>
          </w:tcPr>
          <w:p w14:paraId="75D5ED1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-0.41</w:t>
            </w:r>
          </w:p>
        </w:tc>
        <w:tc>
          <w:tcPr>
            <w:tcW w:w="1053" w:type="dxa"/>
            <w:vAlign w:val="center"/>
            <w:hideMark/>
          </w:tcPr>
          <w:p w14:paraId="2AF690E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0.45</w:t>
            </w:r>
          </w:p>
        </w:tc>
        <w:tc>
          <w:tcPr>
            <w:tcW w:w="673" w:type="dxa"/>
            <w:vAlign w:val="center"/>
            <w:hideMark/>
          </w:tcPr>
          <w:p w14:paraId="5021FB9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0.02</w:t>
            </w:r>
          </w:p>
        </w:tc>
        <w:tc>
          <w:tcPr>
            <w:tcW w:w="1004" w:type="dxa"/>
            <w:vAlign w:val="center"/>
            <w:hideMark/>
          </w:tcPr>
          <w:p w14:paraId="42BE55A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0.21</w:t>
            </w:r>
          </w:p>
        </w:tc>
        <w:tc>
          <w:tcPr>
            <w:tcW w:w="944" w:type="dxa"/>
            <w:vAlign w:val="center"/>
            <w:hideMark/>
          </w:tcPr>
          <w:p w14:paraId="1AE8DA8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-1.09</w:t>
            </w:r>
          </w:p>
        </w:tc>
        <w:tc>
          <w:tcPr>
            <w:tcW w:w="1003" w:type="dxa"/>
            <w:vAlign w:val="center"/>
            <w:hideMark/>
          </w:tcPr>
          <w:p w14:paraId="72147EB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133.79</w:t>
            </w:r>
          </w:p>
        </w:tc>
      </w:tr>
      <w:tr w:rsidR="00AB335A" w:rsidRPr="006F2ABC" w14:paraId="6E3A7714" w14:textId="77777777" w:rsidTr="005858A3">
        <w:trPr>
          <w:trHeight w:val="20"/>
          <w:jc w:val="center"/>
        </w:trPr>
        <w:tc>
          <w:tcPr>
            <w:tcW w:w="2090" w:type="dxa"/>
            <w:vAlign w:val="center"/>
            <w:hideMark/>
          </w:tcPr>
          <w:p w14:paraId="179D36F1"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5. Meghalaya</w:t>
            </w:r>
          </w:p>
        </w:tc>
        <w:tc>
          <w:tcPr>
            <w:tcW w:w="857" w:type="dxa"/>
            <w:vAlign w:val="center"/>
            <w:hideMark/>
          </w:tcPr>
          <w:p w14:paraId="055174F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2.54</w:t>
            </w:r>
          </w:p>
        </w:tc>
        <w:tc>
          <w:tcPr>
            <w:tcW w:w="992" w:type="dxa"/>
            <w:vAlign w:val="center"/>
            <w:hideMark/>
          </w:tcPr>
          <w:p w14:paraId="2100470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2.97</w:t>
            </w:r>
          </w:p>
        </w:tc>
        <w:tc>
          <w:tcPr>
            <w:tcW w:w="857" w:type="dxa"/>
            <w:vAlign w:val="center"/>
            <w:hideMark/>
          </w:tcPr>
          <w:p w14:paraId="22B091B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-0.43</w:t>
            </w:r>
          </w:p>
        </w:tc>
        <w:tc>
          <w:tcPr>
            <w:tcW w:w="789" w:type="dxa"/>
            <w:vAlign w:val="center"/>
            <w:hideMark/>
          </w:tcPr>
          <w:p w14:paraId="6AD39EC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-0.15</w:t>
            </w:r>
          </w:p>
        </w:tc>
        <w:tc>
          <w:tcPr>
            <w:tcW w:w="666" w:type="dxa"/>
            <w:vAlign w:val="center"/>
            <w:hideMark/>
          </w:tcPr>
          <w:p w14:paraId="537E3A9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-0.58</w:t>
            </w:r>
          </w:p>
        </w:tc>
        <w:tc>
          <w:tcPr>
            <w:tcW w:w="1053" w:type="dxa"/>
            <w:vAlign w:val="center"/>
            <w:hideMark/>
          </w:tcPr>
          <w:p w14:paraId="2C99883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0.82</w:t>
            </w:r>
          </w:p>
        </w:tc>
        <w:tc>
          <w:tcPr>
            <w:tcW w:w="673" w:type="dxa"/>
            <w:vAlign w:val="center"/>
            <w:hideMark/>
          </w:tcPr>
          <w:p w14:paraId="190C9BE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0.01</w:t>
            </w:r>
          </w:p>
        </w:tc>
        <w:tc>
          <w:tcPr>
            <w:tcW w:w="1004" w:type="dxa"/>
            <w:vAlign w:val="center"/>
            <w:hideMark/>
          </w:tcPr>
          <w:p w14:paraId="13C4A2B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0.26</w:t>
            </w:r>
          </w:p>
        </w:tc>
        <w:tc>
          <w:tcPr>
            <w:tcW w:w="944" w:type="dxa"/>
            <w:vAlign w:val="center"/>
            <w:hideMark/>
          </w:tcPr>
          <w:p w14:paraId="79A20A4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-1.67</w:t>
            </w:r>
          </w:p>
        </w:tc>
        <w:tc>
          <w:tcPr>
            <w:tcW w:w="1003" w:type="dxa"/>
            <w:vAlign w:val="center"/>
            <w:hideMark/>
          </w:tcPr>
          <w:p w14:paraId="58707B6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116.93</w:t>
            </w:r>
          </w:p>
        </w:tc>
      </w:tr>
      <w:tr w:rsidR="00AB335A" w:rsidRPr="006F2ABC" w14:paraId="319E5D03" w14:textId="77777777" w:rsidTr="005858A3">
        <w:trPr>
          <w:trHeight w:val="20"/>
          <w:jc w:val="center"/>
        </w:trPr>
        <w:tc>
          <w:tcPr>
            <w:tcW w:w="2090" w:type="dxa"/>
            <w:vAlign w:val="center"/>
            <w:hideMark/>
          </w:tcPr>
          <w:p w14:paraId="53F72C9B"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6. Mizoram</w:t>
            </w:r>
          </w:p>
        </w:tc>
        <w:tc>
          <w:tcPr>
            <w:tcW w:w="857" w:type="dxa"/>
            <w:vAlign w:val="center"/>
            <w:hideMark/>
          </w:tcPr>
          <w:p w14:paraId="4C77175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1.30</w:t>
            </w:r>
          </w:p>
        </w:tc>
        <w:tc>
          <w:tcPr>
            <w:tcW w:w="992" w:type="dxa"/>
            <w:vAlign w:val="center"/>
            <w:hideMark/>
          </w:tcPr>
          <w:p w14:paraId="0FC7471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3.90</w:t>
            </w:r>
          </w:p>
        </w:tc>
        <w:tc>
          <w:tcPr>
            <w:tcW w:w="857" w:type="dxa"/>
            <w:vAlign w:val="center"/>
            <w:hideMark/>
          </w:tcPr>
          <w:p w14:paraId="6AFDFE3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-2.60</w:t>
            </w:r>
          </w:p>
        </w:tc>
        <w:tc>
          <w:tcPr>
            <w:tcW w:w="789" w:type="dxa"/>
            <w:vAlign w:val="center"/>
            <w:hideMark/>
          </w:tcPr>
          <w:p w14:paraId="2D0E4FC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0.04</w:t>
            </w:r>
          </w:p>
        </w:tc>
        <w:tc>
          <w:tcPr>
            <w:tcW w:w="666" w:type="dxa"/>
            <w:vAlign w:val="center"/>
            <w:hideMark/>
          </w:tcPr>
          <w:p w14:paraId="19188B26"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-2.56</w:t>
            </w:r>
          </w:p>
        </w:tc>
        <w:tc>
          <w:tcPr>
            <w:tcW w:w="1053" w:type="dxa"/>
            <w:vAlign w:val="center"/>
            <w:hideMark/>
          </w:tcPr>
          <w:p w14:paraId="5D9EE73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673" w:type="dxa"/>
            <w:vAlign w:val="center"/>
            <w:hideMark/>
          </w:tcPr>
          <w:p w14:paraId="34188AC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1004" w:type="dxa"/>
            <w:vAlign w:val="center"/>
            <w:hideMark/>
          </w:tcPr>
          <w:p w14:paraId="2C91132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944" w:type="dxa"/>
            <w:vAlign w:val="center"/>
            <w:hideMark/>
          </w:tcPr>
          <w:p w14:paraId="549828E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-2.56</w:t>
            </w:r>
          </w:p>
        </w:tc>
        <w:tc>
          <w:tcPr>
            <w:tcW w:w="1003" w:type="dxa"/>
            <w:vAlign w:val="center"/>
            <w:hideMark/>
          </w:tcPr>
          <w:p w14:paraId="6C6674D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300.00</w:t>
            </w:r>
          </w:p>
        </w:tc>
      </w:tr>
      <w:tr w:rsidR="00AB335A" w:rsidRPr="006F2ABC" w14:paraId="095AE559" w14:textId="77777777" w:rsidTr="005858A3">
        <w:trPr>
          <w:trHeight w:val="20"/>
          <w:jc w:val="center"/>
        </w:trPr>
        <w:tc>
          <w:tcPr>
            <w:tcW w:w="2090" w:type="dxa"/>
            <w:vAlign w:val="center"/>
            <w:hideMark/>
          </w:tcPr>
          <w:p w14:paraId="23631961"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 xml:space="preserve">7. </w:t>
            </w:r>
            <w:proofErr w:type="spellStart"/>
            <w:r w:rsidRPr="006F2ABC">
              <w:rPr>
                <w:rFonts w:ascii="Times New Roman" w:hAnsi="Times New Roman" w:cs="Times New Roman"/>
                <w:sz w:val="14"/>
                <w:szCs w:val="14"/>
              </w:rPr>
              <w:t>Nagland</w:t>
            </w:r>
            <w:proofErr w:type="spellEnd"/>
          </w:p>
        </w:tc>
        <w:tc>
          <w:tcPr>
            <w:tcW w:w="857" w:type="dxa"/>
            <w:vAlign w:val="center"/>
            <w:hideMark/>
          </w:tcPr>
          <w:p w14:paraId="2BD1572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2.24</w:t>
            </w:r>
          </w:p>
        </w:tc>
        <w:tc>
          <w:tcPr>
            <w:tcW w:w="992" w:type="dxa"/>
            <w:vAlign w:val="center"/>
            <w:hideMark/>
          </w:tcPr>
          <w:p w14:paraId="190A81B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4.70</w:t>
            </w:r>
          </w:p>
        </w:tc>
        <w:tc>
          <w:tcPr>
            <w:tcW w:w="857" w:type="dxa"/>
            <w:vAlign w:val="center"/>
            <w:hideMark/>
          </w:tcPr>
          <w:p w14:paraId="431F0293"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-2.46</w:t>
            </w:r>
          </w:p>
        </w:tc>
        <w:tc>
          <w:tcPr>
            <w:tcW w:w="789" w:type="dxa"/>
            <w:vAlign w:val="center"/>
            <w:hideMark/>
          </w:tcPr>
          <w:p w14:paraId="17B2AAF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-0.20</w:t>
            </w:r>
          </w:p>
        </w:tc>
        <w:tc>
          <w:tcPr>
            <w:tcW w:w="666" w:type="dxa"/>
            <w:vAlign w:val="center"/>
            <w:hideMark/>
          </w:tcPr>
          <w:p w14:paraId="3C56100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-2.66</w:t>
            </w:r>
          </w:p>
        </w:tc>
        <w:tc>
          <w:tcPr>
            <w:tcW w:w="1053" w:type="dxa"/>
            <w:vAlign w:val="center"/>
            <w:hideMark/>
          </w:tcPr>
          <w:p w14:paraId="4CB2139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673" w:type="dxa"/>
            <w:vAlign w:val="center"/>
            <w:hideMark/>
          </w:tcPr>
          <w:p w14:paraId="66A67E6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0.04</w:t>
            </w:r>
          </w:p>
        </w:tc>
        <w:tc>
          <w:tcPr>
            <w:tcW w:w="1004" w:type="dxa"/>
            <w:vAlign w:val="center"/>
            <w:hideMark/>
          </w:tcPr>
          <w:p w14:paraId="1C4BA9C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944" w:type="dxa"/>
            <w:vAlign w:val="center"/>
            <w:hideMark/>
          </w:tcPr>
          <w:p w14:paraId="1DBE17C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-2.70</w:t>
            </w:r>
          </w:p>
        </w:tc>
        <w:tc>
          <w:tcPr>
            <w:tcW w:w="1003" w:type="dxa"/>
            <w:vAlign w:val="center"/>
            <w:hideMark/>
          </w:tcPr>
          <w:p w14:paraId="20A231B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209.82</w:t>
            </w:r>
          </w:p>
        </w:tc>
      </w:tr>
      <w:tr w:rsidR="00AB335A" w:rsidRPr="006F2ABC" w14:paraId="4B6F2E37" w14:textId="77777777" w:rsidTr="005858A3">
        <w:trPr>
          <w:trHeight w:val="20"/>
          <w:jc w:val="center"/>
        </w:trPr>
        <w:tc>
          <w:tcPr>
            <w:tcW w:w="2090" w:type="dxa"/>
            <w:vAlign w:val="center"/>
            <w:hideMark/>
          </w:tcPr>
          <w:p w14:paraId="7F1D37F5"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8. Sikkim</w:t>
            </w:r>
          </w:p>
        </w:tc>
        <w:tc>
          <w:tcPr>
            <w:tcW w:w="857" w:type="dxa"/>
            <w:vAlign w:val="center"/>
            <w:hideMark/>
          </w:tcPr>
          <w:p w14:paraId="1EF8ADC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7.77</w:t>
            </w:r>
          </w:p>
        </w:tc>
        <w:tc>
          <w:tcPr>
            <w:tcW w:w="992" w:type="dxa"/>
            <w:vAlign w:val="center"/>
            <w:hideMark/>
          </w:tcPr>
          <w:p w14:paraId="452FD48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7.87</w:t>
            </w:r>
          </w:p>
        </w:tc>
        <w:tc>
          <w:tcPr>
            <w:tcW w:w="857" w:type="dxa"/>
            <w:vAlign w:val="center"/>
            <w:hideMark/>
          </w:tcPr>
          <w:p w14:paraId="56FA31F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0.10</w:t>
            </w:r>
          </w:p>
        </w:tc>
        <w:tc>
          <w:tcPr>
            <w:tcW w:w="789" w:type="dxa"/>
            <w:vAlign w:val="center"/>
            <w:hideMark/>
          </w:tcPr>
          <w:p w14:paraId="575AA2A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-0.03</w:t>
            </w:r>
          </w:p>
        </w:tc>
        <w:tc>
          <w:tcPr>
            <w:tcW w:w="666" w:type="dxa"/>
            <w:vAlign w:val="center"/>
            <w:hideMark/>
          </w:tcPr>
          <w:p w14:paraId="4B1F7C32"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-0.13</w:t>
            </w:r>
          </w:p>
        </w:tc>
        <w:tc>
          <w:tcPr>
            <w:tcW w:w="1053" w:type="dxa"/>
            <w:vAlign w:val="center"/>
            <w:hideMark/>
          </w:tcPr>
          <w:p w14:paraId="11EC709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673" w:type="dxa"/>
            <w:vAlign w:val="center"/>
            <w:hideMark/>
          </w:tcPr>
          <w:p w14:paraId="36A8364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0.04</w:t>
            </w:r>
          </w:p>
        </w:tc>
        <w:tc>
          <w:tcPr>
            <w:tcW w:w="1004" w:type="dxa"/>
            <w:vAlign w:val="center"/>
            <w:hideMark/>
          </w:tcPr>
          <w:p w14:paraId="6E384C4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w:t>
            </w:r>
          </w:p>
        </w:tc>
        <w:tc>
          <w:tcPr>
            <w:tcW w:w="944" w:type="dxa"/>
            <w:vAlign w:val="center"/>
            <w:hideMark/>
          </w:tcPr>
          <w:p w14:paraId="00D399B0"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-0.17</w:t>
            </w:r>
          </w:p>
        </w:tc>
        <w:tc>
          <w:tcPr>
            <w:tcW w:w="1003" w:type="dxa"/>
            <w:vAlign w:val="center"/>
            <w:hideMark/>
          </w:tcPr>
          <w:p w14:paraId="50BBB08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101.29</w:t>
            </w:r>
          </w:p>
        </w:tc>
      </w:tr>
      <w:tr w:rsidR="00AB335A" w:rsidRPr="006F2ABC" w14:paraId="0E30927B" w14:textId="77777777" w:rsidTr="005858A3">
        <w:trPr>
          <w:trHeight w:val="20"/>
          <w:jc w:val="center"/>
        </w:trPr>
        <w:tc>
          <w:tcPr>
            <w:tcW w:w="2090" w:type="dxa"/>
            <w:vAlign w:val="center"/>
            <w:hideMark/>
          </w:tcPr>
          <w:p w14:paraId="034CC1C3"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9. Tripura</w:t>
            </w:r>
          </w:p>
        </w:tc>
        <w:tc>
          <w:tcPr>
            <w:tcW w:w="857" w:type="dxa"/>
            <w:vAlign w:val="center"/>
            <w:hideMark/>
          </w:tcPr>
          <w:p w14:paraId="32B1F7C9"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2.06</w:t>
            </w:r>
          </w:p>
        </w:tc>
        <w:tc>
          <w:tcPr>
            <w:tcW w:w="992" w:type="dxa"/>
            <w:vAlign w:val="center"/>
            <w:hideMark/>
          </w:tcPr>
          <w:p w14:paraId="707B985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2.96</w:t>
            </w:r>
          </w:p>
        </w:tc>
        <w:tc>
          <w:tcPr>
            <w:tcW w:w="857" w:type="dxa"/>
            <w:vAlign w:val="center"/>
            <w:hideMark/>
          </w:tcPr>
          <w:p w14:paraId="5090F70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-0.90</w:t>
            </w:r>
          </w:p>
        </w:tc>
        <w:tc>
          <w:tcPr>
            <w:tcW w:w="789" w:type="dxa"/>
            <w:vAlign w:val="center"/>
            <w:hideMark/>
          </w:tcPr>
          <w:p w14:paraId="6462DB2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-0.16</w:t>
            </w:r>
          </w:p>
        </w:tc>
        <w:tc>
          <w:tcPr>
            <w:tcW w:w="666" w:type="dxa"/>
            <w:vAlign w:val="center"/>
            <w:hideMark/>
          </w:tcPr>
          <w:p w14:paraId="3F7F60A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-1.06</w:t>
            </w:r>
          </w:p>
        </w:tc>
        <w:tc>
          <w:tcPr>
            <w:tcW w:w="1053" w:type="dxa"/>
            <w:vAlign w:val="center"/>
            <w:hideMark/>
          </w:tcPr>
          <w:p w14:paraId="14ABEAEB"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0.59</w:t>
            </w:r>
          </w:p>
        </w:tc>
        <w:tc>
          <w:tcPr>
            <w:tcW w:w="673" w:type="dxa"/>
            <w:vAlign w:val="center"/>
            <w:hideMark/>
          </w:tcPr>
          <w:p w14:paraId="226003B4"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0.04</w:t>
            </w:r>
          </w:p>
        </w:tc>
        <w:tc>
          <w:tcPr>
            <w:tcW w:w="1004" w:type="dxa"/>
            <w:vAlign w:val="center"/>
            <w:hideMark/>
          </w:tcPr>
          <w:p w14:paraId="587ACB0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0.23</w:t>
            </w:r>
          </w:p>
        </w:tc>
        <w:tc>
          <w:tcPr>
            <w:tcW w:w="944" w:type="dxa"/>
            <w:vAlign w:val="center"/>
            <w:hideMark/>
          </w:tcPr>
          <w:p w14:paraId="79CCE0E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-1.92</w:t>
            </w:r>
          </w:p>
        </w:tc>
        <w:tc>
          <w:tcPr>
            <w:tcW w:w="1003" w:type="dxa"/>
            <w:vAlign w:val="center"/>
            <w:hideMark/>
          </w:tcPr>
          <w:p w14:paraId="43DCF1AF"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146.70</w:t>
            </w:r>
          </w:p>
        </w:tc>
      </w:tr>
      <w:tr w:rsidR="00AB335A" w:rsidRPr="006F2ABC" w14:paraId="1990D805" w14:textId="77777777" w:rsidTr="005858A3">
        <w:trPr>
          <w:trHeight w:val="20"/>
          <w:jc w:val="center"/>
        </w:trPr>
        <w:tc>
          <w:tcPr>
            <w:tcW w:w="2090" w:type="dxa"/>
            <w:vAlign w:val="center"/>
            <w:hideMark/>
          </w:tcPr>
          <w:p w14:paraId="78702C3B" w14:textId="77777777" w:rsidR="00AB335A" w:rsidRPr="006F2ABC" w:rsidRDefault="00AB335A" w:rsidP="00F52ADD">
            <w:pPr>
              <w:pStyle w:val="NoSpacing"/>
              <w:rPr>
                <w:rFonts w:ascii="Times New Roman" w:hAnsi="Times New Roman" w:cs="Times New Roman"/>
                <w:sz w:val="14"/>
                <w:szCs w:val="14"/>
              </w:rPr>
            </w:pPr>
            <w:r w:rsidRPr="006F2ABC">
              <w:rPr>
                <w:rFonts w:ascii="Times New Roman" w:hAnsi="Times New Roman" w:cs="Times New Roman"/>
                <w:sz w:val="14"/>
                <w:szCs w:val="14"/>
              </w:rPr>
              <w:t>TOTAL</w:t>
            </w:r>
          </w:p>
        </w:tc>
        <w:tc>
          <w:tcPr>
            <w:tcW w:w="857" w:type="dxa"/>
            <w:vAlign w:val="center"/>
            <w:hideMark/>
          </w:tcPr>
          <w:p w14:paraId="025DD271"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3238.79</w:t>
            </w:r>
          </w:p>
        </w:tc>
        <w:tc>
          <w:tcPr>
            <w:tcW w:w="992" w:type="dxa"/>
            <w:vAlign w:val="center"/>
            <w:hideMark/>
          </w:tcPr>
          <w:p w14:paraId="645EE80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2409.55</w:t>
            </w:r>
          </w:p>
        </w:tc>
        <w:tc>
          <w:tcPr>
            <w:tcW w:w="857" w:type="dxa"/>
            <w:vAlign w:val="center"/>
            <w:hideMark/>
          </w:tcPr>
          <w:p w14:paraId="27F8507A"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829.24</w:t>
            </w:r>
          </w:p>
        </w:tc>
        <w:tc>
          <w:tcPr>
            <w:tcW w:w="789" w:type="dxa"/>
            <w:vAlign w:val="center"/>
            <w:hideMark/>
          </w:tcPr>
          <w:p w14:paraId="7C34336E"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6.73</w:t>
            </w:r>
          </w:p>
        </w:tc>
        <w:tc>
          <w:tcPr>
            <w:tcW w:w="666" w:type="dxa"/>
            <w:vAlign w:val="center"/>
            <w:hideMark/>
          </w:tcPr>
          <w:p w14:paraId="79A5FE5D"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835.97</w:t>
            </w:r>
          </w:p>
        </w:tc>
        <w:tc>
          <w:tcPr>
            <w:tcW w:w="1053" w:type="dxa"/>
            <w:vAlign w:val="center"/>
            <w:hideMark/>
          </w:tcPr>
          <w:p w14:paraId="701C3C4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376.66</w:t>
            </w:r>
          </w:p>
        </w:tc>
        <w:tc>
          <w:tcPr>
            <w:tcW w:w="673" w:type="dxa"/>
            <w:vAlign w:val="center"/>
            <w:hideMark/>
          </w:tcPr>
          <w:p w14:paraId="064171CC"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435.44</w:t>
            </w:r>
          </w:p>
        </w:tc>
        <w:tc>
          <w:tcPr>
            <w:tcW w:w="1004" w:type="dxa"/>
            <w:vAlign w:val="center"/>
            <w:hideMark/>
          </w:tcPr>
          <w:p w14:paraId="17B75848"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106.52</w:t>
            </w:r>
          </w:p>
        </w:tc>
        <w:tc>
          <w:tcPr>
            <w:tcW w:w="944" w:type="dxa"/>
            <w:vAlign w:val="center"/>
            <w:hideMark/>
          </w:tcPr>
          <w:p w14:paraId="6FC28C55"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-82.65</w:t>
            </w:r>
          </w:p>
        </w:tc>
        <w:tc>
          <w:tcPr>
            <w:tcW w:w="1003" w:type="dxa"/>
            <w:vAlign w:val="center"/>
            <w:hideMark/>
          </w:tcPr>
          <w:p w14:paraId="158E9257" w14:textId="77777777" w:rsidR="00AB335A" w:rsidRPr="006F2ABC" w:rsidRDefault="00AB335A" w:rsidP="00F52ADD">
            <w:pPr>
              <w:pStyle w:val="NoSpacing"/>
              <w:jc w:val="center"/>
              <w:rPr>
                <w:rFonts w:ascii="Times New Roman" w:hAnsi="Times New Roman" w:cs="Times New Roman"/>
                <w:sz w:val="14"/>
                <w:szCs w:val="14"/>
              </w:rPr>
            </w:pPr>
            <w:r w:rsidRPr="006F2ABC">
              <w:rPr>
                <w:rFonts w:ascii="Times New Roman" w:hAnsi="Times New Roman" w:cs="Times New Roman"/>
                <w:sz w:val="14"/>
                <w:szCs w:val="14"/>
              </w:rPr>
              <w:t>79.28</w:t>
            </w:r>
          </w:p>
        </w:tc>
      </w:tr>
    </w:tbl>
    <w:p w14:paraId="08A8CDEA" w14:textId="71FF684D" w:rsidR="004A72F0" w:rsidRPr="006F2ABC" w:rsidRDefault="00AB335A" w:rsidP="00AB335A">
      <w:pPr>
        <w:pStyle w:val="NoSpacing"/>
        <w:rPr>
          <w:rFonts w:ascii="Times New Roman" w:hAnsi="Times New Roman" w:cs="Times New Roman"/>
          <w:sz w:val="16"/>
          <w:szCs w:val="14"/>
        </w:rPr>
      </w:pPr>
      <w:r w:rsidRPr="006F2ABC">
        <w:rPr>
          <w:rFonts w:ascii="Times New Roman" w:hAnsi="Times New Roman" w:cs="Times New Roman"/>
          <w:sz w:val="16"/>
          <w:szCs w:val="14"/>
        </w:rPr>
        <w:t>@ Includes Rs. 0.14 crore as M. T. Reserve Fund of Haryana Roadways.</w:t>
      </w:r>
      <w:r w:rsidRPr="006F2ABC">
        <w:rPr>
          <w:rFonts w:ascii="Times New Roman" w:hAnsi="Times New Roman" w:cs="Times New Roman"/>
          <w:sz w:val="16"/>
          <w:szCs w:val="14"/>
        </w:rPr>
        <w:br/>
        <w:t>$ Includes Rs. 4.50 Crore of Insurance and other funds of 15 Government owned companies of Tamil Nadu.</w:t>
      </w:r>
      <w:r w:rsidRPr="006F2ABC">
        <w:rPr>
          <w:rFonts w:ascii="Times New Roman" w:hAnsi="Times New Roman" w:cs="Times New Roman"/>
          <w:sz w:val="16"/>
          <w:szCs w:val="14"/>
        </w:rPr>
        <w:br/>
        <w:t>** Calculated on Rajasthan State Road Transport Corporation's own fleet.</w:t>
      </w:r>
    </w:p>
    <w:p w14:paraId="56C16199" w14:textId="53CA0924" w:rsidR="00F2729A" w:rsidRPr="001A43EB" w:rsidRDefault="00F2729A">
      <w:pPr>
        <w:rPr>
          <w:rFonts w:ascii="Times New Roman" w:hAnsi="Times New Roman" w:cs="Times New Roman"/>
          <w:sz w:val="20"/>
          <w:szCs w:val="18"/>
        </w:rPr>
      </w:pPr>
      <w:r w:rsidRPr="001A43EB">
        <w:rPr>
          <w:rFonts w:ascii="Times New Roman" w:hAnsi="Times New Roman" w:cs="Times New Roman"/>
          <w:sz w:val="20"/>
          <w:szCs w:val="18"/>
        </w:rPr>
        <w:br w:type="page"/>
      </w:r>
    </w:p>
    <w:p w14:paraId="49E7A28C" w14:textId="5DFB81C8" w:rsidR="00B42586" w:rsidRPr="006F2ABC" w:rsidRDefault="00B42586" w:rsidP="005B5929">
      <w:pPr>
        <w:pStyle w:val="Heading2"/>
        <w:rPr>
          <w:sz w:val="20"/>
          <w:szCs w:val="20"/>
        </w:rPr>
      </w:pPr>
      <w:bookmarkStart w:id="62" w:name="_Toc221292988"/>
      <w:bookmarkStart w:id="63" w:name="_Toc222399480"/>
      <w:r w:rsidRPr="006F2ABC">
        <w:rPr>
          <w:sz w:val="20"/>
          <w:szCs w:val="20"/>
        </w:rPr>
        <w:lastRenderedPageBreak/>
        <w:t>ANNEXURE III.7</w:t>
      </w:r>
      <w:r w:rsidR="00F52ADD" w:rsidRPr="006F2ABC">
        <w:rPr>
          <w:sz w:val="20"/>
          <w:szCs w:val="20"/>
        </w:rPr>
        <w:br/>
      </w:r>
      <w:r w:rsidRPr="006F2ABC">
        <w:rPr>
          <w:sz w:val="20"/>
          <w:szCs w:val="20"/>
        </w:rPr>
        <w:t xml:space="preserve">Physical Performance </w:t>
      </w:r>
      <w:proofErr w:type="gramStart"/>
      <w:r w:rsidRPr="006F2ABC">
        <w:rPr>
          <w:sz w:val="20"/>
          <w:szCs w:val="20"/>
        </w:rPr>
        <w:t>Of</w:t>
      </w:r>
      <w:proofErr w:type="gramEnd"/>
      <w:r w:rsidRPr="006F2ABC">
        <w:rPr>
          <w:sz w:val="20"/>
          <w:szCs w:val="20"/>
        </w:rPr>
        <w:t xml:space="preserve"> State Road Transport Corporations/</w:t>
      </w:r>
      <w:proofErr w:type="gramStart"/>
      <w:r w:rsidRPr="006F2ABC">
        <w:rPr>
          <w:sz w:val="20"/>
          <w:szCs w:val="20"/>
        </w:rPr>
        <w:t>Undertakings :</w:t>
      </w:r>
      <w:bookmarkEnd w:id="62"/>
      <w:proofErr w:type="gramEnd"/>
      <w:r w:rsidRPr="006F2ABC">
        <w:rPr>
          <w:sz w:val="20"/>
          <w:szCs w:val="20"/>
        </w:rPr>
        <w:t xml:space="preserve"> </w:t>
      </w:r>
      <w:bookmarkStart w:id="64" w:name="_Toc221292989"/>
      <w:r w:rsidR="005B5929" w:rsidRPr="006F2ABC">
        <w:rPr>
          <w:sz w:val="20"/>
          <w:szCs w:val="20"/>
        </w:rPr>
        <w:br/>
      </w:r>
      <w:r w:rsidRPr="006F2ABC">
        <w:rPr>
          <w:sz w:val="20"/>
          <w:szCs w:val="20"/>
        </w:rPr>
        <w:t>1987-88</w:t>
      </w:r>
      <w:bookmarkEnd w:id="63"/>
      <w:bookmarkEnd w:id="64"/>
      <w:r w:rsidR="006F2ABC">
        <w:rPr>
          <w:sz w:val="20"/>
          <w:szCs w:val="20"/>
        </w:rPr>
        <w:t xml:space="preserve">                                   </w:t>
      </w:r>
    </w:p>
    <w:p w14:paraId="1C5AB8CF" w14:textId="72D95093" w:rsidR="00F52ADD" w:rsidRPr="006F2ABC" w:rsidRDefault="00F52ADD" w:rsidP="006F2ABC">
      <w:pPr>
        <w:pStyle w:val="NoSpacing"/>
        <w:jc w:val="center"/>
        <w:rPr>
          <w:rFonts w:ascii="Times New Roman" w:hAnsi="Times New Roman" w:cs="Times New Roman"/>
          <w:sz w:val="18"/>
          <w:szCs w:val="16"/>
        </w:rPr>
      </w:pPr>
      <w:r w:rsidRPr="006F2ABC">
        <w:rPr>
          <w:rFonts w:ascii="Times New Roman" w:hAnsi="Times New Roman" w:cs="Times New Roman"/>
          <w:sz w:val="18"/>
          <w:szCs w:val="16"/>
        </w:rPr>
        <w:t>(Para 3.25)</w:t>
      </w:r>
    </w:p>
    <w:tbl>
      <w:tblPr>
        <w:tblStyle w:val="TableGrid"/>
        <w:tblW w:w="10207" w:type="dxa"/>
        <w:jc w:val="center"/>
        <w:tblLayout w:type="fixed"/>
        <w:tblLook w:val="04A0" w:firstRow="1" w:lastRow="0" w:firstColumn="1" w:lastColumn="0" w:noHBand="0" w:noVBand="1"/>
      </w:tblPr>
      <w:tblGrid>
        <w:gridCol w:w="2694"/>
        <w:gridCol w:w="851"/>
        <w:gridCol w:w="708"/>
        <w:gridCol w:w="709"/>
        <w:gridCol w:w="916"/>
        <w:gridCol w:w="696"/>
        <w:gridCol w:w="709"/>
        <w:gridCol w:w="969"/>
        <w:gridCol w:w="963"/>
        <w:gridCol w:w="992"/>
      </w:tblGrid>
      <w:tr w:rsidR="006F2ABC" w:rsidRPr="006F2ABC" w14:paraId="692E2870" w14:textId="77777777" w:rsidTr="005858A3">
        <w:trPr>
          <w:trHeight w:val="20"/>
          <w:jc w:val="center"/>
        </w:trPr>
        <w:tc>
          <w:tcPr>
            <w:tcW w:w="2694" w:type="dxa"/>
            <w:vMerge w:val="restart"/>
            <w:vAlign w:val="center"/>
            <w:hideMark/>
          </w:tcPr>
          <w:p w14:paraId="5653B24B" w14:textId="77777777"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Transport Corporations/undertakings</w:t>
            </w:r>
          </w:p>
        </w:tc>
        <w:tc>
          <w:tcPr>
            <w:tcW w:w="851" w:type="dxa"/>
            <w:vMerge w:val="restart"/>
            <w:vAlign w:val="center"/>
            <w:hideMark/>
          </w:tcPr>
          <w:p w14:paraId="63EBD47D" w14:textId="77777777"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Fleet Utilisation (Per cent)</w:t>
            </w:r>
          </w:p>
        </w:tc>
        <w:tc>
          <w:tcPr>
            <w:tcW w:w="708" w:type="dxa"/>
            <w:vMerge w:val="restart"/>
            <w:vAlign w:val="center"/>
            <w:hideMark/>
          </w:tcPr>
          <w:p w14:paraId="6943B92B" w14:textId="77777777"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Load Factor (Per cent)</w:t>
            </w:r>
          </w:p>
        </w:tc>
        <w:tc>
          <w:tcPr>
            <w:tcW w:w="3030" w:type="dxa"/>
            <w:gridSpan w:val="4"/>
            <w:vAlign w:val="center"/>
            <w:hideMark/>
          </w:tcPr>
          <w:p w14:paraId="12D38F4B" w14:textId="5ECA0319"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Staff Bus/Tram Car Ratio</w:t>
            </w:r>
          </w:p>
        </w:tc>
        <w:tc>
          <w:tcPr>
            <w:tcW w:w="969" w:type="dxa"/>
            <w:vMerge w:val="restart"/>
            <w:vAlign w:val="center"/>
            <w:hideMark/>
          </w:tcPr>
          <w:p w14:paraId="592CEB24" w14:textId="77777777"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Kilometres Run Per Litre Of HSD</w:t>
            </w:r>
          </w:p>
        </w:tc>
        <w:tc>
          <w:tcPr>
            <w:tcW w:w="963" w:type="dxa"/>
            <w:vMerge w:val="restart"/>
            <w:vAlign w:val="center"/>
            <w:hideMark/>
          </w:tcPr>
          <w:p w14:paraId="2B45A094" w14:textId="77777777"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 xml:space="preserve">Per Cent </w:t>
            </w:r>
            <w:proofErr w:type="gramStart"/>
            <w:r w:rsidRPr="006F2ABC">
              <w:rPr>
                <w:rFonts w:ascii="Times New Roman" w:hAnsi="Times New Roman" w:cs="Times New Roman"/>
                <w:b/>
                <w:bCs/>
                <w:sz w:val="16"/>
                <w:szCs w:val="16"/>
              </w:rPr>
              <w:t>Of</w:t>
            </w:r>
            <w:proofErr w:type="gramEnd"/>
            <w:r w:rsidRPr="006F2ABC">
              <w:rPr>
                <w:rFonts w:ascii="Times New Roman" w:hAnsi="Times New Roman" w:cs="Times New Roman"/>
                <w:b/>
                <w:bCs/>
                <w:sz w:val="16"/>
                <w:szCs w:val="16"/>
              </w:rPr>
              <w:t xml:space="preserve"> Overaged Vehicles </w:t>
            </w:r>
            <w:proofErr w:type="gramStart"/>
            <w:r w:rsidRPr="006F2ABC">
              <w:rPr>
                <w:rFonts w:ascii="Times New Roman" w:hAnsi="Times New Roman" w:cs="Times New Roman"/>
                <w:b/>
                <w:bCs/>
                <w:sz w:val="16"/>
                <w:szCs w:val="16"/>
              </w:rPr>
              <w:t>To</w:t>
            </w:r>
            <w:proofErr w:type="gramEnd"/>
            <w:r w:rsidRPr="006F2ABC">
              <w:rPr>
                <w:rFonts w:ascii="Times New Roman" w:hAnsi="Times New Roman" w:cs="Times New Roman"/>
                <w:b/>
                <w:bCs/>
                <w:sz w:val="16"/>
                <w:szCs w:val="16"/>
              </w:rPr>
              <w:t xml:space="preserve"> Total Fleet</w:t>
            </w:r>
          </w:p>
        </w:tc>
        <w:tc>
          <w:tcPr>
            <w:tcW w:w="992" w:type="dxa"/>
            <w:vMerge w:val="restart"/>
            <w:vAlign w:val="center"/>
            <w:hideMark/>
          </w:tcPr>
          <w:p w14:paraId="269356F9" w14:textId="77777777"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Vehicle Productivity</w:t>
            </w:r>
          </w:p>
          <w:p w14:paraId="292E1D7E" w14:textId="0CF6231E"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w:t>
            </w:r>
            <w:proofErr w:type="gramStart"/>
            <w:r w:rsidRPr="006F2ABC">
              <w:rPr>
                <w:rFonts w:ascii="Times New Roman" w:hAnsi="Times New Roman" w:cs="Times New Roman"/>
                <w:b/>
                <w:bCs/>
                <w:sz w:val="16"/>
                <w:szCs w:val="16"/>
              </w:rPr>
              <w:t>in</w:t>
            </w:r>
            <w:proofErr w:type="gramEnd"/>
            <w:r w:rsidRPr="006F2ABC">
              <w:rPr>
                <w:rFonts w:ascii="Times New Roman" w:hAnsi="Times New Roman" w:cs="Times New Roman"/>
                <w:b/>
                <w:bCs/>
                <w:sz w:val="16"/>
                <w:szCs w:val="16"/>
              </w:rPr>
              <w:t xml:space="preserve"> Kms.)</w:t>
            </w:r>
          </w:p>
        </w:tc>
      </w:tr>
      <w:tr w:rsidR="006F2ABC" w:rsidRPr="006F2ABC" w14:paraId="148FED6D" w14:textId="77777777" w:rsidTr="005858A3">
        <w:trPr>
          <w:trHeight w:val="20"/>
          <w:jc w:val="center"/>
        </w:trPr>
        <w:tc>
          <w:tcPr>
            <w:tcW w:w="2694" w:type="dxa"/>
            <w:vMerge/>
            <w:vAlign w:val="center"/>
          </w:tcPr>
          <w:p w14:paraId="4AF23D55" w14:textId="77777777" w:rsidR="006F2ABC" w:rsidRPr="006F2ABC" w:rsidRDefault="006F2ABC" w:rsidP="00F52ADD">
            <w:pPr>
              <w:pStyle w:val="NoSpacing"/>
              <w:jc w:val="center"/>
              <w:rPr>
                <w:rFonts w:ascii="Times New Roman" w:hAnsi="Times New Roman" w:cs="Times New Roman"/>
                <w:b/>
                <w:bCs/>
                <w:sz w:val="16"/>
                <w:szCs w:val="16"/>
              </w:rPr>
            </w:pPr>
          </w:p>
        </w:tc>
        <w:tc>
          <w:tcPr>
            <w:tcW w:w="851" w:type="dxa"/>
            <w:vMerge/>
            <w:vAlign w:val="center"/>
          </w:tcPr>
          <w:p w14:paraId="4A27C0D7" w14:textId="77777777" w:rsidR="006F2ABC" w:rsidRPr="006F2ABC" w:rsidRDefault="006F2ABC" w:rsidP="00F52ADD">
            <w:pPr>
              <w:pStyle w:val="NoSpacing"/>
              <w:jc w:val="center"/>
              <w:rPr>
                <w:rFonts w:ascii="Times New Roman" w:hAnsi="Times New Roman" w:cs="Times New Roman"/>
                <w:b/>
                <w:bCs/>
                <w:sz w:val="16"/>
                <w:szCs w:val="16"/>
              </w:rPr>
            </w:pPr>
          </w:p>
        </w:tc>
        <w:tc>
          <w:tcPr>
            <w:tcW w:w="708" w:type="dxa"/>
            <w:vMerge/>
            <w:vAlign w:val="center"/>
          </w:tcPr>
          <w:p w14:paraId="721DE593" w14:textId="77777777" w:rsidR="006F2ABC" w:rsidRPr="006F2ABC" w:rsidRDefault="006F2ABC" w:rsidP="00F52ADD">
            <w:pPr>
              <w:pStyle w:val="NoSpacing"/>
              <w:jc w:val="center"/>
              <w:rPr>
                <w:rFonts w:ascii="Times New Roman" w:hAnsi="Times New Roman" w:cs="Times New Roman"/>
                <w:b/>
                <w:bCs/>
                <w:sz w:val="16"/>
                <w:szCs w:val="16"/>
              </w:rPr>
            </w:pPr>
          </w:p>
        </w:tc>
        <w:tc>
          <w:tcPr>
            <w:tcW w:w="709" w:type="dxa"/>
            <w:vAlign w:val="center"/>
          </w:tcPr>
          <w:p w14:paraId="7FFD20B3" w14:textId="08809D1E"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Traffic</w:t>
            </w:r>
          </w:p>
        </w:tc>
        <w:tc>
          <w:tcPr>
            <w:tcW w:w="916" w:type="dxa"/>
            <w:vAlign w:val="center"/>
          </w:tcPr>
          <w:p w14:paraId="0AB2A62E" w14:textId="2DEC5925"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Workshops/ Maintenance</w:t>
            </w:r>
          </w:p>
        </w:tc>
        <w:tc>
          <w:tcPr>
            <w:tcW w:w="696" w:type="dxa"/>
            <w:vAlign w:val="center"/>
          </w:tcPr>
          <w:p w14:paraId="4B80313D" w14:textId="2FD4CD78" w:rsidR="006F2ABC"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 xml:space="preserve">Admn. And Others </w:t>
            </w:r>
          </w:p>
        </w:tc>
        <w:tc>
          <w:tcPr>
            <w:tcW w:w="709" w:type="dxa"/>
            <w:vAlign w:val="center"/>
          </w:tcPr>
          <w:p w14:paraId="125581E5" w14:textId="77777777" w:rsidR="006F2ABC" w:rsidRPr="006F2ABC" w:rsidRDefault="006F2ABC" w:rsidP="006F2ABC">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Total</w:t>
            </w:r>
          </w:p>
          <w:p w14:paraId="1A03CE74" w14:textId="7564E6C2" w:rsidR="006F2ABC" w:rsidRPr="006F2ABC" w:rsidRDefault="006F2ABC" w:rsidP="006F2ABC">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(Cols.</w:t>
            </w:r>
          </w:p>
        </w:tc>
        <w:tc>
          <w:tcPr>
            <w:tcW w:w="969" w:type="dxa"/>
            <w:vMerge/>
            <w:vAlign w:val="center"/>
          </w:tcPr>
          <w:p w14:paraId="2CDC6D3D" w14:textId="7E1C2D53" w:rsidR="006F2ABC" w:rsidRPr="006F2ABC" w:rsidRDefault="006F2ABC" w:rsidP="00F52ADD">
            <w:pPr>
              <w:pStyle w:val="NoSpacing"/>
              <w:jc w:val="center"/>
              <w:rPr>
                <w:rFonts w:ascii="Times New Roman" w:hAnsi="Times New Roman" w:cs="Times New Roman"/>
                <w:b/>
                <w:bCs/>
                <w:sz w:val="16"/>
                <w:szCs w:val="16"/>
              </w:rPr>
            </w:pPr>
          </w:p>
        </w:tc>
        <w:tc>
          <w:tcPr>
            <w:tcW w:w="963" w:type="dxa"/>
            <w:vMerge/>
            <w:vAlign w:val="center"/>
          </w:tcPr>
          <w:p w14:paraId="1F577A87" w14:textId="77777777" w:rsidR="006F2ABC" w:rsidRPr="006F2ABC" w:rsidRDefault="006F2ABC" w:rsidP="00F52ADD">
            <w:pPr>
              <w:pStyle w:val="NoSpacing"/>
              <w:jc w:val="center"/>
              <w:rPr>
                <w:rFonts w:ascii="Times New Roman" w:hAnsi="Times New Roman" w:cs="Times New Roman"/>
                <w:b/>
                <w:bCs/>
                <w:sz w:val="16"/>
                <w:szCs w:val="16"/>
              </w:rPr>
            </w:pPr>
          </w:p>
        </w:tc>
        <w:tc>
          <w:tcPr>
            <w:tcW w:w="992" w:type="dxa"/>
            <w:vMerge/>
            <w:vAlign w:val="center"/>
          </w:tcPr>
          <w:p w14:paraId="7A045DD0" w14:textId="77777777" w:rsidR="006F2ABC" w:rsidRPr="006F2ABC" w:rsidRDefault="006F2ABC" w:rsidP="00F52ADD">
            <w:pPr>
              <w:pStyle w:val="NoSpacing"/>
              <w:jc w:val="center"/>
              <w:rPr>
                <w:rFonts w:ascii="Times New Roman" w:hAnsi="Times New Roman" w:cs="Times New Roman"/>
                <w:b/>
                <w:bCs/>
                <w:sz w:val="16"/>
                <w:szCs w:val="16"/>
              </w:rPr>
            </w:pPr>
          </w:p>
        </w:tc>
      </w:tr>
      <w:tr w:rsidR="006F2ABC" w:rsidRPr="006F2ABC" w14:paraId="1AC81575" w14:textId="77777777" w:rsidTr="005858A3">
        <w:trPr>
          <w:trHeight w:val="20"/>
          <w:jc w:val="center"/>
        </w:trPr>
        <w:tc>
          <w:tcPr>
            <w:tcW w:w="2694" w:type="dxa"/>
            <w:vAlign w:val="center"/>
            <w:hideMark/>
          </w:tcPr>
          <w:p w14:paraId="2AD23D56" w14:textId="77777777" w:rsidR="00B42586" w:rsidRPr="006F2ABC" w:rsidRDefault="00B42586" w:rsidP="00F52ADD">
            <w:pPr>
              <w:pStyle w:val="NoSpacing"/>
              <w:jc w:val="center"/>
              <w:rPr>
                <w:rFonts w:ascii="Times New Roman" w:hAnsi="Times New Roman" w:cs="Times New Roman"/>
                <w:b/>
                <w:bCs/>
                <w:sz w:val="16"/>
                <w:szCs w:val="16"/>
              </w:rPr>
            </w:pPr>
          </w:p>
        </w:tc>
        <w:tc>
          <w:tcPr>
            <w:tcW w:w="851" w:type="dxa"/>
            <w:vAlign w:val="center"/>
            <w:hideMark/>
          </w:tcPr>
          <w:p w14:paraId="5E87CE41" w14:textId="77777777"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(1)</w:t>
            </w:r>
          </w:p>
        </w:tc>
        <w:tc>
          <w:tcPr>
            <w:tcW w:w="708" w:type="dxa"/>
            <w:vAlign w:val="center"/>
            <w:hideMark/>
          </w:tcPr>
          <w:p w14:paraId="1B006E6E" w14:textId="77777777"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(2)</w:t>
            </w:r>
          </w:p>
        </w:tc>
        <w:tc>
          <w:tcPr>
            <w:tcW w:w="709" w:type="dxa"/>
            <w:vAlign w:val="center"/>
            <w:hideMark/>
          </w:tcPr>
          <w:p w14:paraId="7A992B21" w14:textId="77DA306C"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 xml:space="preserve"> (3)</w:t>
            </w:r>
          </w:p>
        </w:tc>
        <w:tc>
          <w:tcPr>
            <w:tcW w:w="916" w:type="dxa"/>
            <w:vAlign w:val="center"/>
            <w:hideMark/>
          </w:tcPr>
          <w:p w14:paraId="61188187" w14:textId="4C82555F"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(4)</w:t>
            </w:r>
          </w:p>
        </w:tc>
        <w:tc>
          <w:tcPr>
            <w:tcW w:w="696" w:type="dxa"/>
            <w:vAlign w:val="center"/>
            <w:hideMark/>
          </w:tcPr>
          <w:p w14:paraId="042E11A8" w14:textId="11DB38DB" w:rsidR="00B42586" w:rsidRPr="006F2ABC" w:rsidRDefault="006F2ABC"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w:t>
            </w:r>
            <w:r w:rsidR="00B42586" w:rsidRPr="006F2ABC">
              <w:rPr>
                <w:rFonts w:ascii="Times New Roman" w:hAnsi="Times New Roman" w:cs="Times New Roman"/>
                <w:b/>
                <w:bCs/>
                <w:sz w:val="16"/>
                <w:szCs w:val="16"/>
              </w:rPr>
              <w:t>5)</w:t>
            </w:r>
          </w:p>
        </w:tc>
        <w:tc>
          <w:tcPr>
            <w:tcW w:w="709" w:type="dxa"/>
            <w:vAlign w:val="center"/>
            <w:hideMark/>
          </w:tcPr>
          <w:p w14:paraId="766805F0" w14:textId="78DEB1BC"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3+4+5) (6)</w:t>
            </w:r>
          </w:p>
        </w:tc>
        <w:tc>
          <w:tcPr>
            <w:tcW w:w="969" w:type="dxa"/>
            <w:vAlign w:val="center"/>
            <w:hideMark/>
          </w:tcPr>
          <w:p w14:paraId="0FB8B2F7" w14:textId="77777777"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(7)</w:t>
            </w:r>
          </w:p>
        </w:tc>
        <w:tc>
          <w:tcPr>
            <w:tcW w:w="963" w:type="dxa"/>
            <w:vAlign w:val="center"/>
            <w:hideMark/>
          </w:tcPr>
          <w:p w14:paraId="3BB65B10" w14:textId="77777777"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(8)</w:t>
            </w:r>
          </w:p>
        </w:tc>
        <w:tc>
          <w:tcPr>
            <w:tcW w:w="992" w:type="dxa"/>
            <w:vAlign w:val="center"/>
            <w:hideMark/>
          </w:tcPr>
          <w:p w14:paraId="5DD04A87" w14:textId="77777777" w:rsidR="00B42586" w:rsidRPr="006F2ABC" w:rsidRDefault="00B42586" w:rsidP="00F52ADD">
            <w:pPr>
              <w:pStyle w:val="NoSpacing"/>
              <w:jc w:val="center"/>
              <w:rPr>
                <w:rFonts w:ascii="Times New Roman" w:hAnsi="Times New Roman" w:cs="Times New Roman"/>
                <w:b/>
                <w:bCs/>
                <w:sz w:val="16"/>
                <w:szCs w:val="16"/>
              </w:rPr>
            </w:pPr>
            <w:r w:rsidRPr="006F2ABC">
              <w:rPr>
                <w:rFonts w:ascii="Times New Roman" w:hAnsi="Times New Roman" w:cs="Times New Roman"/>
                <w:b/>
                <w:bCs/>
                <w:sz w:val="16"/>
                <w:szCs w:val="16"/>
              </w:rPr>
              <w:t>(9)</w:t>
            </w:r>
          </w:p>
        </w:tc>
      </w:tr>
      <w:tr w:rsidR="006F2ABC" w:rsidRPr="006F2ABC" w14:paraId="1E4E0E49" w14:textId="77777777" w:rsidTr="005858A3">
        <w:trPr>
          <w:trHeight w:val="20"/>
          <w:jc w:val="center"/>
        </w:trPr>
        <w:tc>
          <w:tcPr>
            <w:tcW w:w="2694" w:type="dxa"/>
            <w:vAlign w:val="center"/>
            <w:hideMark/>
          </w:tcPr>
          <w:p w14:paraId="08EBD903"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NON-HILL STATES</w:t>
            </w:r>
          </w:p>
        </w:tc>
        <w:tc>
          <w:tcPr>
            <w:tcW w:w="851" w:type="dxa"/>
            <w:vAlign w:val="center"/>
            <w:hideMark/>
          </w:tcPr>
          <w:p w14:paraId="5AF101B5" w14:textId="77777777" w:rsidR="00B42586" w:rsidRPr="006F2ABC" w:rsidRDefault="00B42586" w:rsidP="00F52ADD">
            <w:pPr>
              <w:pStyle w:val="NoSpacing"/>
              <w:jc w:val="center"/>
              <w:rPr>
                <w:rFonts w:ascii="Times New Roman" w:hAnsi="Times New Roman" w:cs="Times New Roman"/>
                <w:sz w:val="16"/>
                <w:szCs w:val="16"/>
              </w:rPr>
            </w:pPr>
          </w:p>
        </w:tc>
        <w:tc>
          <w:tcPr>
            <w:tcW w:w="708" w:type="dxa"/>
            <w:vAlign w:val="center"/>
            <w:hideMark/>
          </w:tcPr>
          <w:p w14:paraId="6ADB70BE"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7F8109C1" w14:textId="77777777" w:rsidR="00B42586" w:rsidRPr="006F2ABC" w:rsidRDefault="00B42586" w:rsidP="00F52ADD">
            <w:pPr>
              <w:pStyle w:val="NoSpacing"/>
              <w:jc w:val="center"/>
              <w:rPr>
                <w:rFonts w:ascii="Times New Roman" w:hAnsi="Times New Roman" w:cs="Times New Roman"/>
                <w:sz w:val="16"/>
                <w:szCs w:val="16"/>
              </w:rPr>
            </w:pPr>
          </w:p>
        </w:tc>
        <w:tc>
          <w:tcPr>
            <w:tcW w:w="916" w:type="dxa"/>
            <w:vAlign w:val="center"/>
            <w:hideMark/>
          </w:tcPr>
          <w:p w14:paraId="14601E23" w14:textId="77777777" w:rsidR="00B42586" w:rsidRPr="006F2ABC" w:rsidRDefault="00B42586" w:rsidP="00F52ADD">
            <w:pPr>
              <w:pStyle w:val="NoSpacing"/>
              <w:jc w:val="center"/>
              <w:rPr>
                <w:rFonts w:ascii="Times New Roman" w:hAnsi="Times New Roman" w:cs="Times New Roman"/>
                <w:sz w:val="16"/>
                <w:szCs w:val="16"/>
              </w:rPr>
            </w:pPr>
          </w:p>
        </w:tc>
        <w:tc>
          <w:tcPr>
            <w:tcW w:w="696" w:type="dxa"/>
            <w:vAlign w:val="center"/>
            <w:hideMark/>
          </w:tcPr>
          <w:p w14:paraId="4670E348"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73CC0E54" w14:textId="77777777" w:rsidR="00B42586" w:rsidRPr="006F2ABC" w:rsidRDefault="00B42586" w:rsidP="00F52ADD">
            <w:pPr>
              <w:pStyle w:val="NoSpacing"/>
              <w:jc w:val="center"/>
              <w:rPr>
                <w:rFonts w:ascii="Times New Roman" w:hAnsi="Times New Roman" w:cs="Times New Roman"/>
                <w:sz w:val="16"/>
                <w:szCs w:val="16"/>
              </w:rPr>
            </w:pPr>
          </w:p>
        </w:tc>
        <w:tc>
          <w:tcPr>
            <w:tcW w:w="969" w:type="dxa"/>
            <w:vAlign w:val="center"/>
            <w:hideMark/>
          </w:tcPr>
          <w:p w14:paraId="764EB029" w14:textId="77777777" w:rsidR="00B42586" w:rsidRPr="006F2ABC" w:rsidRDefault="00B42586" w:rsidP="00F52ADD">
            <w:pPr>
              <w:pStyle w:val="NoSpacing"/>
              <w:jc w:val="center"/>
              <w:rPr>
                <w:rFonts w:ascii="Times New Roman" w:hAnsi="Times New Roman" w:cs="Times New Roman"/>
                <w:sz w:val="16"/>
                <w:szCs w:val="16"/>
              </w:rPr>
            </w:pPr>
          </w:p>
        </w:tc>
        <w:tc>
          <w:tcPr>
            <w:tcW w:w="963" w:type="dxa"/>
            <w:vAlign w:val="center"/>
            <w:hideMark/>
          </w:tcPr>
          <w:p w14:paraId="43C91AA4" w14:textId="77777777" w:rsidR="00B42586" w:rsidRPr="006F2ABC" w:rsidRDefault="00B42586" w:rsidP="00F52ADD">
            <w:pPr>
              <w:pStyle w:val="NoSpacing"/>
              <w:jc w:val="center"/>
              <w:rPr>
                <w:rFonts w:ascii="Times New Roman" w:hAnsi="Times New Roman" w:cs="Times New Roman"/>
                <w:sz w:val="16"/>
                <w:szCs w:val="16"/>
              </w:rPr>
            </w:pPr>
          </w:p>
        </w:tc>
        <w:tc>
          <w:tcPr>
            <w:tcW w:w="992" w:type="dxa"/>
            <w:vAlign w:val="center"/>
            <w:hideMark/>
          </w:tcPr>
          <w:p w14:paraId="150FE843" w14:textId="77777777" w:rsidR="00B42586" w:rsidRPr="006F2ABC" w:rsidRDefault="00B42586" w:rsidP="00F52ADD">
            <w:pPr>
              <w:pStyle w:val="NoSpacing"/>
              <w:jc w:val="center"/>
              <w:rPr>
                <w:rFonts w:ascii="Times New Roman" w:hAnsi="Times New Roman" w:cs="Times New Roman"/>
                <w:sz w:val="16"/>
                <w:szCs w:val="16"/>
              </w:rPr>
            </w:pPr>
          </w:p>
        </w:tc>
      </w:tr>
      <w:tr w:rsidR="006F2ABC" w:rsidRPr="006F2ABC" w14:paraId="0B84FC82" w14:textId="77777777" w:rsidTr="005858A3">
        <w:trPr>
          <w:trHeight w:val="20"/>
          <w:jc w:val="center"/>
        </w:trPr>
        <w:tc>
          <w:tcPr>
            <w:tcW w:w="2694" w:type="dxa"/>
            <w:vAlign w:val="center"/>
            <w:hideMark/>
          </w:tcPr>
          <w:p w14:paraId="3386C5FC"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 Andhra Pradesh</w:t>
            </w:r>
          </w:p>
        </w:tc>
        <w:tc>
          <w:tcPr>
            <w:tcW w:w="851" w:type="dxa"/>
            <w:vAlign w:val="center"/>
            <w:hideMark/>
          </w:tcPr>
          <w:p w14:paraId="5466289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96.00</w:t>
            </w:r>
          </w:p>
        </w:tc>
        <w:tc>
          <w:tcPr>
            <w:tcW w:w="708" w:type="dxa"/>
            <w:vAlign w:val="center"/>
            <w:hideMark/>
          </w:tcPr>
          <w:p w14:paraId="6E31079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73.00</w:t>
            </w:r>
          </w:p>
        </w:tc>
        <w:tc>
          <w:tcPr>
            <w:tcW w:w="709" w:type="dxa"/>
            <w:vAlign w:val="center"/>
            <w:hideMark/>
          </w:tcPr>
          <w:p w14:paraId="69FD360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5.07</w:t>
            </w:r>
          </w:p>
        </w:tc>
        <w:tc>
          <w:tcPr>
            <w:tcW w:w="916" w:type="dxa"/>
            <w:vAlign w:val="center"/>
            <w:hideMark/>
          </w:tcPr>
          <w:p w14:paraId="320E5BE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1.58</w:t>
            </w:r>
          </w:p>
        </w:tc>
        <w:tc>
          <w:tcPr>
            <w:tcW w:w="696" w:type="dxa"/>
            <w:vAlign w:val="center"/>
            <w:hideMark/>
          </w:tcPr>
          <w:p w14:paraId="6BE93B1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1.74</w:t>
            </w:r>
          </w:p>
        </w:tc>
        <w:tc>
          <w:tcPr>
            <w:tcW w:w="709" w:type="dxa"/>
            <w:vAlign w:val="center"/>
            <w:hideMark/>
          </w:tcPr>
          <w:p w14:paraId="6D8D7AD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8.39</w:t>
            </w:r>
          </w:p>
        </w:tc>
        <w:tc>
          <w:tcPr>
            <w:tcW w:w="969" w:type="dxa"/>
            <w:vAlign w:val="center"/>
            <w:hideMark/>
          </w:tcPr>
          <w:p w14:paraId="67AF341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4.92</w:t>
            </w:r>
          </w:p>
        </w:tc>
        <w:tc>
          <w:tcPr>
            <w:tcW w:w="963" w:type="dxa"/>
            <w:vAlign w:val="center"/>
            <w:hideMark/>
          </w:tcPr>
          <w:p w14:paraId="476E656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7.72</w:t>
            </w:r>
          </w:p>
        </w:tc>
        <w:tc>
          <w:tcPr>
            <w:tcW w:w="992" w:type="dxa"/>
            <w:vAlign w:val="center"/>
            <w:hideMark/>
          </w:tcPr>
          <w:p w14:paraId="7134A40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293.00</w:t>
            </w:r>
          </w:p>
        </w:tc>
      </w:tr>
      <w:tr w:rsidR="006F2ABC" w:rsidRPr="006F2ABC" w14:paraId="62920A82" w14:textId="77777777" w:rsidTr="005858A3">
        <w:trPr>
          <w:trHeight w:val="20"/>
          <w:jc w:val="center"/>
        </w:trPr>
        <w:tc>
          <w:tcPr>
            <w:tcW w:w="2694" w:type="dxa"/>
            <w:vAlign w:val="center"/>
            <w:hideMark/>
          </w:tcPr>
          <w:p w14:paraId="07D7AC9F"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2. Assam</w:t>
            </w:r>
          </w:p>
        </w:tc>
        <w:tc>
          <w:tcPr>
            <w:tcW w:w="851" w:type="dxa"/>
            <w:vAlign w:val="center"/>
            <w:hideMark/>
          </w:tcPr>
          <w:p w14:paraId="7805F55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77.00</w:t>
            </w:r>
          </w:p>
        </w:tc>
        <w:tc>
          <w:tcPr>
            <w:tcW w:w="708" w:type="dxa"/>
            <w:vAlign w:val="center"/>
            <w:hideMark/>
          </w:tcPr>
          <w:p w14:paraId="17A344C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77.00</w:t>
            </w:r>
          </w:p>
        </w:tc>
        <w:tc>
          <w:tcPr>
            <w:tcW w:w="709" w:type="dxa"/>
            <w:vAlign w:val="center"/>
            <w:hideMark/>
          </w:tcPr>
          <w:p w14:paraId="6D919B1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7.09</w:t>
            </w:r>
          </w:p>
        </w:tc>
        <w:tc>
          <w:tcPr>
            <w:tcW w:w="916" w:type="dxa"/>
            <w:vAlign w:val="center"/>
            <w:hideMark/>
          </w:tcPr>
          <w:p w14:paraId="05F6DE2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2.20</w:t>
            </w:r>
          </w:p>
        </w:tc>
        <w:tc>
          <w:tcPr>
            <w:tcW w:w="696" w:type="dxa"/>
            <w:vAlign w:val="center"/>
            <w:hideMark/>
          </w:tcPr>
          <w:p w14:paraId="6AB5451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0.37</w:t>
            </w:r>
          </w:p>
        </w:tc>
        <w:tc>
          <w:tcPr>
            <w:tcW w:w="709" w:type="dxa"/>
            <w:vAlign w:val="center"/>
            <w:hideMark/>
          </w:tcPr>
          <w:p w14:paraId="4729B6F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9.66</w:t>
            </w:r>
          </w:p>
        </w:tc>
        <w:tc>
          <w:tcPr>
            <w:tcW w:w="969" w:type="dxa"/>
            <w:vAlign w:val="center"/>
            <w:hideMark/>
          </w:tcPr>
          <w:p w14:paraId="265DE40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4.10</w:t>
            </w:r>
          </w:p>
        </w:tc>
        <w:tc>
          <w:tcPr>
            <w:tcW w:w="963" w:type="dxa"/>
            <w:vAlign w:val="center"/>
            <w:hideMark/>
          </w:tcPr>
          <w:p w14:paraId="7B00908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w:t>
            </w:r>
          </w:p>
        </w:tc>
        <w:tc>
          <w:tcPr>
            <w:tcW w:w="992" w:type="dxa"/>
            <w:vAlign w:val="center"/>
            <w:hideMark/>
          </w:tcPr>
          <w:p w14:paraId="5FB5F55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142.00</w:t>
            </w:r>
          </w:p>
        </w:tc>
      </w:tr>
      <w:tr w:rsidR="006F2ABC" w:rsidRPr="006F2ABC" w14:paraId="42A98E10" w14:textId="77777777" w:rsidTr="005858A3">
        <w:trPr>
          <w:trHeight w:val="20"/>
          <w:jc w:val="center"/>
        </w:trPr>
        <w:tc>
          <w:tcPr>
            <w:tcW w:w="2694" w:type="dxa"/>
            <w:vAlign w:val="center"/>
            <w:hideMark/>
          </w:tcPr>
          <w:p w14:paraId="17A9F964"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3. Bihar</w:t>
            </w:r>
          </w:p>
        </w:tc>
        <w:tc>
          <w:tcPr>
            <w:tcW w:w="851" w:type="dxa"/>
            <w:vAlign w:val="center"/>
            <w:hideMark/>
          </w:tcPr>
          <w:p w14:paraId="6ED134D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53.00</w:t>
            </w:r>
          </w:p>
        </w:tc>
        <w:tc>
          <w:tcPr>
            <w:tcW w:w="708" w:type="dxa"/>
            <w:vAlign w:val="center"/>
            <w:hideMark/>
          </w:tcPr>
          <w:p w14:paraId="6AE4E8D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59.44</w:t>
            </w:r>
          </w:p>
        </w:tc>
        <w:tc>
          <w:tcPr>
            <w:tcW w:w="709" w:type="dxa"/>
            <w:vAlign w:val="center"/>
            <w:hideMark/>
          </w:tcPr>
          <w:p w14:paraId="6AC50D3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6.89</w:t>
            </w:r>
          </w:p>
        </w:tc>
        <w:tc>
          <w:tcPr>
            <w:tcW w:w="916" w:type="dxa"/>
            <w:vAlign w:val="center"/>
            <w:hideMark/>
          </w:tcPr>
          <w:p w14:paraId="2498EF1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3.21</w:t>
            </w:r>
          </w:p>
        </w:tc>
        <w:tc>
          <w:tcPr>
            <w:tcW w:w="696" w:type="dxa"/>
            <w:vAlign w:val="center"/>
            <w:hideMark/>
          </w:tcPr>
          <w:p w14:paraId="1A1925C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3.62</w:t>
            </w:r>
          </w:p>
        </w:tc>
        <w:tc>
          <w:tcPr>
            <w:tcW w:w="709" w:type="dxa"/>
            <w:vAlign w:val="center"/>
            <w:hideMark/>
          </w:tcPr>
          <w:p w14:paraId="51CB877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13.72</w:t>
            </w:r>
          </w:p>
        </w:tc>
        <w:tc>
          <w:tcPr>
            <w:tcW w:w="969" w:type="dxa"/>
            <w:vAlign w:val="center"/>
            <w:hideMark/>
          </w:tcPr>
          <w:p w14:paraId="08185B8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3.98</w:t>
            </w:r>
          </w:p>
        </w:tc>
        <w:tc>
          <w:tcPr>
            <w:tcW w:w="963" w:type="dxa"/>
            <w:vAlign w:val="center"/>
            <w:hideMark/>
          </w:tcPr>
          <w:p w14:paraId="297B796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15.36</w:t>
            </w:r>
          </w:p>
        </w:tc>
        <w:tc>
          <w:tcPr>
            <w:tcW w:w="992" w:type="dxa"/>
            <w:vAlign w:val="center"/>
            <w:hideMark/>
          </w:tcPr>
          <w:p w14:paraId="00EDECF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102.00</w:t>
            </w:r>
          </w:p>
        </w:tc>
      </w:tr>
      <w:tr w:rsidR="006F2ABC" w:rsidRPr="006F2ABC" w14:paraId="0A695325" w14:textId="77777777" w:rsidTr="005858A3">
        <w:trPr>
          <w:trHeight w:val="20"/>
          <w:jc w:val="center"/>
        </w:trPr>
        <w:tc>
          <w:tcPr>
            <w:tcW w:w="2694" w:type="dxa"/>
            <w:vAlign w:val="center"/>
            <w:hideMark/>
          </w:tcPr>
          <w:p w14:paraId="7DBBC1B8"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4. Gujarat</w:t>
            </w:r>
          </w:p>
        </w:tc>
        <w:tc>
          <w:tcPr>
            <w:tcW w:w="851" w:type="dxa"/>
            <w:vAlign w:val="center"/>
            <w:hideMark/>
          </w:tcPr>
          <w:p w14:paraId="2703A73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84.90</w:t>
            </w:r>
          </w:p>
        </w:tc>
        <w:tc>
          <w:tcPr>
            <w:tcW w:w="708" w:type="dxa"/>
            <w:vAlign w:val="center"/>
            <w:hideMark/>
          </w:tcPr>
          <w:p w14:paraId="52325D5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66.00</w:t>
            </w:r>
          </w:p>
        </w:tc>
        <w:tc>
          <w:tcPr>
            <w:tcW w:w="709" w:type="dxa"/>
            <w:vAlign w:val="center"/>
            <w:hideMark/>
          </w:tcPr>
          <w:p w14:paraId="7134B31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4.76</w:t>
            </w:r>
          </w:p>
        </w:tc>
        <w:tc>
          <w:tcPr>
            <w:tcW w:w="916" w:type="dxa"/>
            <w:vAlign w:val="center"/>
            <w:hideMark/>
          </w:tcPr>
          <w:p w14:paraId="0DC67DC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1.89</w:t>
            </w:r>
          </w:p>
        </w:tc>
        <w:tc>
          <w:tcPr>
            <w:tcW w:w="696" w:type="dxa"/>
            <w:vAlign w:val="center"/>
            <w:hideMark/>
          </w:tcPr>
          <w:p w14:paraId="12D4E73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0.56</w:t>
            </w:r>
          </w:p>
        </w:tc>
        <w:tc>
          <w:tcPr>
            <w:tcW w:w="709" w:type="dxa"/>
            <w:vAlign w:val="center"/>
            <w:hideMark/>
          </w:tcPr>
          <w:p w14:paraId="0CB7A06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7.21</w:t>
            </w:r>
          </w:p>
        </w:tc>
        <w:tc>
          <w:tcPr>
            <w:tcW w:w="969" w:type="dxa"/>
            <w:vAlign w:val="center"/>
            <w:hideMark/>
          </w:tcPr>
          <w:p w14:paraId="7B9113F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4.99</w:t>
            </w:r>
          </w:p>
        </w:tc>
        <w:tc>
          <w:tcPr>
            <w:tcW w:w="963" w:type="dxa"/>
            <w:vAlign w:val="center"/>
            <w:hideMark/>
          </w:tcPr>
          <w:p w14:paraId="07B8ADD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14.13</w:t>
            </w:r>
          </w:p>
        </w:tc>
        <w:tc>
          <w:tcPr>
            <w:tcW w:w="992" w:type="dxa"/>
            <w:vAlign w:val="center"/>
            <w:hideMark/>
          </w:tcPr>
          <w:p w14:paraId="52F1341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312.00</w:t>
            </w:r>
          </w:p>
        </w:tc>
      </w:tr>
      <w:tr w:rsidR="006F2ABC" w:rsidRPr="006F2ABC" w14:paraId="0BF309D8" w14:textId="77777777" w:rsidTr="005858A3">
        <w:trPr>
          <w:trHeight w:val="20"/>
          <w:jc w:val="center"/>
        </w:trPr>
        <w:tc>
          <w:tcPr>
            <w:tcW w:w="2694" w:type="dxa"/>
            <w:vAlign w:val="center"/>
            <w:hideMark/>
          </w:tcPr>
          <w:p w14:paraId="05A769AB"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5. Goa</w:t>
            </w:r>
          </w:p>
        </w:tc>
        <w:tc>
          <w:tcPr>
            <w:tcW w:w="851" w:type="dxa"/>
            <w:vAlign w:val="center"/>
            <w:hideMark/>
          </w:tcPr>
          <w:p w14:paraId="028D739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87.00</w:t>
            </w:r>
          </w:p>
        </w:tc>
        <w:tc>
          <w:tcPr>
            <w:tcW w:w="708" w:type="dxa"/>
            <w:vAlign w:val="center"/>
            <w:hideMark/>
          </w:tcPr>
          <w:p w14:paraId="0797BFE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79.00</w:t>
            </w:r>
          </w:p>
        </w:tc>
        <w:tc>
          <w:tcPr>
            <w:tcW w:w="709" w:type="dxa"/>
            <w:vAlign w:val="center"/>
            <w:hideMark/>
          </w:tcPr>
          <w:p w14:paraId="63AA7B5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5.36</w:t>
            </w:r>
          </w:p>
        </w:tc>
        <w:tc>
          <w:tcPr>
            <w:tcW w:w="916" w:type="dxa"/>
            <w:vAlign w:val="center"/>
            <w:hideMark/>
          </w:tcPr>
          <w:p w14:paraId="1E4A380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1.29</w:t>
            </w:r>
          </w:p>
        </w:tc>
        <w:tc>
          <w:tcPr>
            <w:tcW w:w="696" w:type="dxa"/>
            <w:vAlign w:val="center"/>
            <w:hideMark/>
          </w:tcPr>
          <w:p w14:paraId="2053112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1.14</w:t>
            </w:r>
          </w:p>
        </w:tc>
        <w:tc>
          <w:tcPr>
            <w:tcW w:w="709" w:type="dxa"/>
            <w:vAlign w:val="center"/>
            <w:hideMark/>
          </w:tcPr>
          <w:p w14:paraId="2DC68F2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7.79</w:t>
            </w:r>
          </w:p>
        </w:tc>
        <w:tc>
          <w:tcPr>
            <w:tcW w:w="969" w:type="dxa"/>
            <w:vAlign w:val="center"/>
            <w:hideMark/>
          </w:tcPr>
          <w:p w14:paraId="356F115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3.70</w:t>
            </w:r>
          </w:p>
        </w:tc>
        <w:tc>
          <w:tcPr>
            <w:tcW w:w="963" w:type="dxa"/>
            <w:vAlign w:val="center"/>
            <w:hideMark/>
          </w:tcPr>
          <w:p w14:paraId="00F9946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w:t>
            </w:r>
          </w:p>
        </w:tc>
        <w:tc>
          <w:tcPr>
            <w:tcW w:w="992" w:type="dxa"/>
            <w:vAlign w:val="center"/>
            <w:hideMark/>
          </w:tcPr>
          <w:p w14:paraId="01BEB35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229.00</w:t>
            </w:r>
          </w:p>
        </w:tc>
      </w:tr>
      <w:tr w:rsidR="006F2ABC" w:rsidRPr="006F2ABC" w14:paraId="39995026" w14:textId="77777777" w:rsidTr="005858A3">
        <w:trPr>
          <w:trHeight w:val="20"/>
          <w:jc w:val="center"/>
        </w:trPr>
        <w:tc>
          <w:tcPr>
            <w:tcW w:w="2694" w:type="dxa"/>
            <w:vAlign w:val="center"/>
            <w:hideMark/>
          </w:tcPr>
          <w:p w14:paraId="05CD5E67"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6. Haryana</w:t>
            </w:r>
          </w:p>
        </w:tc>
        <w:tc>
          <w:tcPr>
            <w:tcW w:w="851" w:type="dxa"/>
            <w:vAlign w:val="center"/>
            <w:hideMark/>
          </w:tcPr>
          <w:p w14:paraId="32AB3FB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95.00</w:t>
            </w:r>
          </w:p>
        </w:tc>
        <w:tc>
          <w:tcPr>
            <w:tcW w:w="708" w:type="dxa"/>
            <w:vAlign w:val="center"/>
            <w:hideMark/>
          </w:tcPr>
          <w:p w14:paraId="6EB886B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82.00</w:t>
            </w:r>
          </w:p>
        </w:tc>
        <w:tc>
          <w:tcPr>
            <w:tcW w:w="709" w:type="dxa"/>
            <w:vAlign w:val="center"/>
            <w:hideMark/>
          </w:tcPr>
          <w:p w14:paraId="3813FB4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3.60</w:t>
            </w:r>
          </w:p>
        </w:tc>
        <w:tc>
          <w:tcPr>
            <w:tcW w:w="916" w:type="dxa"/>
            <w:vAlign w:val="center"/>
            <w:hideMark/>
          </w:tcPr>
          <w:p w14:paraId="719C5D4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1.31</w:t>
            </w:r>
          </w:p>
        </w:tc>
        <w:tc>
          <w:tcPr>
            <w:tcW w:w="696" w:type="dxa"/>
            <w:vAlign w:val="center"/>
            <w:hideMark/>
          </w:tcPr>
          <w:p w14:paraId="16B4A39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0.63</w:t>
            </w:r>
          </w:p>
        </w:tc>
        <w:tc>
          <w:tcPr>
            <w:tcW w:w="709" w:type="dxa"/>
            <w:vAlign w:val="center"/>
            <w:hideMark/>
          </w:tcPr>
          <w:p w14:paraId="2AF40C4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5.54</w:t>
            </w:r>
          </w:p>
        </w:tc>
        <w:tc>
          <w:tcPr>
            <w:tcW w:w="969" w:type="dxa"/>
            <w:vAlign w:val="center"/>
            <w:hideMark/>
          </w:tcPr>
          <w:p w14:paraId="6F86E8E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4.23</w:t>
            </w:r>
          </w:p>
        </w:tc>
        <w:tc>
          <w:tcPr>
            <w:tcW w:w="963" w:type="dxa"/>
            <w:vAlign w:val="center"/>
            <w:hideMark/>
          </w:tcPr>
          <w:p w14:paraId="25A12D0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2.06</w:t>
            </w:r>
          </w:p>
        </w:tc>
        <w:tc>
          <w:tcPr>
            <w:tcW w:w="992" w:type="dxa"/>
            <w:vAlign w:val="center"/>
            <w:hideMark/>
          </w:tcPr>
          <w:p w14:paraId="334A047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305.00</w:t>
            </w:r>
          </w:p>
        </w:tc>
      </w:tr>
      <w:tr w:rsidR="006F2ABC" w:rsidRPr="006F2ABC" w14:paraId="074E2ED8" w14:textId="77777777" w:rsidTr="005858A3">
        <w:trPr>
          <w:trHeight w:val="20"/>
          <w:jc w:val="center"/>
        </w:trPr>
        <w:tc>
          <w:tcPr>
            <w:tcW w:w="2694" w:type="dxa"/>
            <w:vAlign w:val="center"/>
            <w:hideMark/>
          </w:tcPr>
          <w:p w14:paraId="49A48743"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7. Karnataka</w:t>
            </w:r>
          </w:p>
        </w:tc>
        <w:tc>
          <w:tcPr>
            <w:tcW w:w="851" w:type="dxa"/>
            <w:vAlign w:val="center"/>
            <w:hideMark/>
          </w:tcPr>
          <w:p w14:paraId="47E5FDC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86.60</w:t>
            </w:r>
          </w:p>
        </w:tc>
        <w:tc>
          <w:tcPr>
            <w:tcW w:w="708" w:type="dxa"/>
            <w:vAlign w:val="center"/>
            <w:hideMark/>
          </w:tcPr>
          <w:p w14:paraId="5D46102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65.20</w:t>
            </w:r>
          </w:p>
        </w:tc>
        <w:tc>
          <w:tcPr>
            <w:tcW w:w="709" w:type="dxa"/>
            <w:vAlign w:val="center"/>
            <w:hideMark/>
          </w:tcPr>
          <w:p w14:paraId="63E6F6A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3.99</w:t>
            </w:r>
          </w:p>
        </w:tc>
        <w:tc>
          <w:tcPr>
            <w:tcW w:w="916" w:type="dxa"/>
            <w:vAlign w:val="center"/>
            <w:hideMark/>
          </w:tcPr>
          <w:p w14:paraId="2E91EF0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1.54</w:t>
            </w:r>
          </w:p>
        </w:tc>
        <w:tc>
          <w:tcPr>
            <w:tcW w:w="696" w:type="dxa"/>
            <w:vAlign w:val="center"/>
            <w:hideMark/>
          </w:tcPr>
          <w:p w14:paraId="2F8C223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1.62</w:t>
            </w:r>
          </w:p>
        </w:tc>
        <w:tc>
          <w:tcPr>
            <w:tcW w:w="709" w:type="dxa"/>
            <w:vAlign w:val="center"/>
            <w:hideMark/>
          </w:tcPr>
          <w:p w14:paraId="2E09215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7.15</w:t>
            </w:r>
          </w:p>
        </w:tc>
        <w:tc>
          <w:tcPr>
            <w:tcW w:w="969" w:type="dxa"/>
            <w:vAlign w:val="center"/>
            <w:hideMark/>
          </w:tcPr>
          <w:p w14:paraId="2F5121D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4.39</w:t>
            </w:r>
          </w:p>
        </w:tc>
        <w:tc>
          <w:tcPr>
            <w:tcW w:w="963" w:type="dxa"/>
            <w:vAlign w:val="center"/>
            <w:hideMark/>
          </w:tcPr>
          <w:p w14:paraId="568CB62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14.50</w:t>
            </w:r>
          </w:p>
        </w:tc>
        <w:tc>
          <w:tcPr>
            <w:tcW w:w="992" w:type="dxa"/>
            <w:vAlign w:val="center"/>
            <w:hideMark/>
          </w:tcPr>
          <w:p w14:paraId="6F360AE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256.00</w:t>
            </w:r>
          </w:p>
        </w:tc>
      </w:tr>
      <w:tr w:rsidR="006F2ABC" w:rsidRPr="006F2ABC" w14:paraId="02F76979" w14:textId="77777777" w:rsidTr="005858A3">
        <w:trPr>
          <w:trHeight w:val="20"/>
          <w:jc w:val="center"/>
        </w:trPr>
        <w:tc>
          <w:tcPr>
            <w:tcW w:w="2694" w:type="dxa"/>
            <w:vAlign w:val="center"/>
            <w:hideMark/>
          </w:tcPr>
          <w:p w14:paraId="5D67DAFA"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8. Kerala</w:t>
            </w:r>
          </w:p>
        </w:tc>
        <w:tc>
          <w:tcPr>
            <w:tcW w:w="851" w:type="dxa"/>
            <w:vAlign w:val="center"/>
            <w:hideMark/>
          </w:tcPr>
          <w:p w14:paraId="74487FB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82.00</w:t>
            </w:r>
          </w:p>
        </w:tc>
        <w:tc>
          <w:tcPr>
            <w:tcW w:w="708" w:type="dxa"/>
            <w:vAlign w:val="center"/>
            <w:hideMark/>
          </w:tcPr>
          <w:p w14:paraId="1C59441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81.00</w:t>
            </w:r>
          </w:p>
        </w:tc>
        <w:tc>
          <w:tcPr>
            <w:tcW w:w="709" w:type="dxa"/>
            <w:vAlign w:val="center"/>
            <w:hideMark/>
          </w:tcPr>
          <w:p w14:paraId="2796C6E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7.08</w:t>
            </w:r>
          </w:p>
        </w:tc>
        <w:tc>
          <w:tcPr>
            <w:tcW w:w="916" w:type="dxa"/>
            <w:vAlign w:val="center"/>
            <w:hideMark/>
          </w:tcPr>
          <w:p w14:paraId="5E5978D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2.76</w:t>
            </w:r>
          </w:p>
        </w:tc>
        <w:tc>
          <w:tcPr>
            <w:tcW w:w="696" w:type="dxa"/>
            <w:vAlign w:val="center"/>
            <w:hideMark/>
          </w:tcPr>
          <w:p w14:paraId="297E942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1.83</w:t>
            </w:r>
          </w:p>
        </w:tc>
        <w:tc>
          <w:tcPr>
            <w:tcW w:w="709" w:type="dxa"/>
            <w:vAlign w:val="center"/>
            <w:hideMark/>
          </w:tcPr>
          <w:p w14:paraId="7807264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11.67</w:t>
            </w:r>
          </w:p>
        </w:tc>
        <w:tc>
          <w:tcPr>
            <w:tcW w:w="969" w:type="dxa"/>
            <w:vAlign w:val="center"/>
            <w:hideMark/>
          </w:tcPr>
          <w:p w14:paraId="4555AC1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3.72</w:t>
            </w:r>
          </w:p>
        </w:tc>
        <w:tc>
          <w:tcPr>
            <w:tcW w:w="963" w:type="dxa"/>
            <w:vAlign w:val="center"/>
            <w:hideMark/>
          </w:tcPr>
          <w:p w14:paraId="02B7F74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48.02</w:t>
            </w:r>
          </w:p>
        </w:tc>
        <w:tc>
          <w:tcPr>
            <w:tcW w:w="992" w:type="dxa"/>
            <w:vAlign w:val="center"/>
            <w:hideMark/>
          </w:tcPr>
          <w:p w14:paraId="6695269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240.00</w:t>
            </w:r>
          </w:p>
        </w:tc>
      </w:tr>
      <w:tr w:rsidR="006F2ABC" w:rsidRPr="006F2ABC" w14:paraId="6D8BE0F9" w14:textId="77777777" w:rsidTr="005858A3">
        <w:trPr>
          <w:trHeight w:val="20"/>
          <w:jc w:val="center"/>
        </w:trPr>
        <w:tc>
          <w:tcPr>
            <w:tcW w:w="2694" w:type="dxa"/>
            <w:vAlign w:val="center"/>
            <w:hideMark/>
          </w:tcPr>
          <w:p w14:paraId="68960AEA"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9. Madhya Pradesh</w:t>
            </w:r>
          </w:p>
        </w:tc>
        <w:tc>
          <w:tcPr>
            <w:tcW w:w="851" w:type="dxa"/>
            <w:vAlign w:val="center"/>
            <w:hideMark/>
          </w:tcPr>
          <w:p w14:paraId="5F2DA98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88.00</w:t>
            </w:r>
          </w:p>
        </w:tc>
        <w:tc>
          <w:tcPr>
            <w:tcW w:w="708" w:type="dxa"/>
            <w:vAlign w:val="center"/>
            <w:hideMark/>
          </w:tcPr>
          <w:p w14:paraId="75CE37F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68.00</w:t>
            </w:r>
          </w:p>
        </w:tc>
        <w:tc>
          <w:tcPr>
            <w:tcW w:w="709" w:type="dxa"/>
            <w:vAlign w:val="center"/>
            <w:hideMark/>
          </w:tcPr>
          <w:p w14:paraId="03463CA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3.95</w:t>
            </w:r>
          </w:p>
        </w:tc>
        <w:tc>
          <w:tcPr>
            <w:tcW w:w="916" w:type="dxa"/>
            <w:vAlign w:val="center"/>
            <w:hideMark/>
          </w:tcPr>
          <w:p w14:paraId="38927E0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2.74</w:t>
            </w:r>
          </w:p>
        </w:tc>
        <w:tc>
          <w:tcPr>
            <w:tcW w:w="696" w:type="dxa"/>
            <w:vAlign w:val="center"/>
            <w:hideMark/>
          </w:tcPr>
          <w:p w14:paraId="66F8DF4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2.21</w:t>
            </w:r>
          </w:p>
        </w:tc>
        <w:tc>
          <w:tcPr>
            <w:tcW w:w="709" w:type="dxa"/>
            <w:vAlign w:val="center"/>
            <w:hideMark/>
          </w:tcPr>
          <w:p w14:paraId="749B963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8.90</w:t>
            </w:r>
          </w:p>
        </w:tc>
        <w:tc>
          <w:tcPr>
            <w:tcW w:w="969" w:type="dxa"/>
            <w:vAlign w:val="center"/>
            <w:hideMark/>
          </w:tcPr>
          <w:p w14:paraId="0FDF996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4.17</w:t>
            </w:r>
          </w:p>
        </w:tc>
        <w:tc>
          <w:tcPr>
            <w:tcW w:w="963" w:type="dxa"/>
            <w:vAlign w:val="center"/>
            <w:hideMark/>
          </w:tcPr>
          <w:p w14:paraId="100BAB0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8.64</w:t>
            </w:r>
          </w:p>
        </w:tc>
        <w:tc>
          <w:tcPr>
            <w:tcW w:w="992" w:type="dxa"/>
            <w:vAlign w:val="center"/>
            <w:hideMark/>
          </w:tcPr>
          <w:p w14:paraId="2AADEDE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207.00</w:t>
            </w:r>
          </w:p>
        </w:tc>
      </w:tr>
      <w:tr w:rsidR="006F2ABC" w:rsidRPr="006F2ABC" w14:paraId="6553232D" w14:textId="77777777" w:rsidTr="005858A3">
        <w:trPr>
          <w:trHeight w:val="20"/>
          <w:jc w:val="center"/>
        </w:trPr>
        <w:tc>
          <w:tcPr>
            <w:tcW w:w="2694" w:type="dxa"/>
            <w:vAlign w:val="center"/>
            <w:hideMark/>
          </w:tcPr>
          <w:p w14:paraId="2A42A38C"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10. Maharashtra</w:t>
            </w:r>
          </w:p>
        </w:tc>
        <w:tc>
          <w:tcPr>
            <w:tcW w:w="851" w:type="dxa"/>
            <w:vAlign w:val="center"/>
            <w:hideMark/>
          </w:tcPr>
          <w:p w14:paraId="59890BB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87.00</w:t>
            </w:r>
          </w:p>
        </w:tc>
        <w:tc>
          <w:tcPr>
            <w:tcW w:w="708" w:type="dxa"/>
            <w:vAlign w:val="center"/>
            <w:hideMark/>
          </w:tcPr>
          <w:p w14:paraId="7992A3B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81.33</w:t>
            </w:r>
          </w:p>
        </w:tc>
        <w:tc>
          <w:tcPr>
            <w:tcW w:w="709" w:type="dxa"/>
            <w:vAlign w:val="center"/>
            <w:hideMark/>
          </w:tcPr>
          <w:p w14:paraId="099EE36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5.14</w:t>
            </w:r>
          </w:p>
        </w:tc>
        <w:tc>
          <w:tcPr>
            <w:tcW w:w="916" w:type="dxa"/>
            <w:vAlign w:val="center"/>
            <w:hideMark/>
          </w:tcPr>
          <w:p w14:paraId="2F874E2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2.11</w:t>
            </w:r>
          </w:p>
        </w:tc>
        <w:tc>
          <w:tcPr>
            <w:tcW w:w="696" w:type="dxa"/>
            <w:vAlign w:val="center"/>
            <w:hideMark/>
          </w:tcPr>
          <w:p w14:paraId="74CEC0B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1.20</w:t>
            </w:r>
          </w:p>
        </w:tc>
        <w:tc>
          <w:tcPr>
            <w:tcW w:w="709" w:type="dxa"/>
            <w:vAlign w:val="center"/>
            <w:hideMark/>
          </w:tcPr>
          <w:p w14:paraId="3AC3A79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8.45</w:t>
            </w:r>
          </w:p>
        </w:tc>
        <w:tc>
          <w:tcPr>
            <w:tcW w:w="969" w:type="dxa"/>
            <w:vAlign w:val="center"/>
            <w:hideMark/>
          </w:tcPr>
          <w:p w14:paraId="7F01ED0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4.32</w:t>
            </w:r>
          </w:p>
        </w:tc>
        <w:tc>
          <w:tcPr>
            <w:tcW w:w="963" w:type="dxa"/>
            <w:vAlign w:val="center"/>
            <w:hideMark/>
          </w:tcPr>
          <w:p w14:paraId="07EE175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6.24</w:t>
            </w:r>
          </w:p>
        </w:tc>
        <w:tc>
          <w:tcPr>
            <w:tcW w:w="992" w:type="dxa"/>
            <w:vAlign w:val="center"/>
            <w:hideMark/>
          </w:tcPr>
          <w:p w14:paraId="5401D4F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242.00</w:t>
            </w:r>
          </w:p>
        </w:tc>
      </w:tr>
      <w:tr w:rsidR="006F2ABC" w:rsidRPr="006F2ABC" w14:paraId="28EE0342" w14:textId="77777777" w:rsidTr="005858A3">
        <w:trPr>
          <w:trHeight w:val="20"/>
          <w:jc w:val="center"/>
        </w:trPr>
        <w:tc>
          <w:tcPr>
            <w:tcW w:w="2694" w:type="dxa"/>
            <w:vAlign w:val="center"/>
            <w:hideMark/>
          </w:tcPr>
          <w:p w14:paraId="41795854"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11. Orissa</w:t>
            </w:r>
          </w:p>
        </w:tc>
        <w:tc>
          <w:tcPr>
            <w:tcW w:w="851" w:type="dxa"/>
            <w:vAlign w:val="center"/>
            <w:hideMark/>
          </w:tcPr>
          <w:p w14:paraId="673E665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82.00</w:t>
            </w:r>
          </w:p>
        </w:tc>
        <w:tc>
          <w:tcPr>
            <w:tcW w:w="708" w:type="dxa"/>
            <w:vAlign w:val="center"/>
            <w:hideMark/>
          </w:tcPr>
          <w:p w14:paraId="5FE8A03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70.00</w:t>
            </w:r>
          </w:p>
        </w:tc>
        <w:tc>
          <w:tcPr>
            <w:tcW w:w="709" w:type="dxa"/>
            <w:vAlign w:val="center"/>
            <w:hideMark/>
          </w:tcPr>
          <w:p w14:paraId="7A57804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4.92</w:t>
            </w:r>
          </w:p>
        </w:tc>
        <w:tc>
          <w:tcPr>
            <w:tcW w:w="916" w:type="dxa"/>
            <w:vAlign w:val="center"/>
            <w:hideMark/>
          </w:tcPr>
          <w:p w14:paraId="09E0E7E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2.25</w:t>
            </w:r>
          </w:p>
        </w:tc>
        <w:tc>
          <w:tcPr>
            <w:tcW w:w="696" w:type="dxa"/>
            <w:vAlign w:val="center"/>
            <w:hideMark/>
          </w:tcPr>
          <w:p w14:paraId="142D671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2.36</w:t>
            </w:r>
          </w:p>
        </w:tc>
        <w:tc>
          <w:tcPr>
            <w:tcW w:w="709" w:type="dxa"/>
            <w:vAlign w:val="center"/>
            <w:hideMark/>
          </w:tcPr>
          <w:p w14:paraId="2CD936A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9.53</w:t>
            </w:r>
          </w:p>
        </w:tc>
        <w:tc>
          <w:tcPr>
            <w:tcW w:w="969" w:type="dxa"/>
            <w:vAlign w:val="center"/>
            <w:hideMark/>
          </w:tcPr>
          <w:p w14:paraId="24124ED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3.98</w:t>
            </w:r>
          </w:p>
        </w:tc>
        <w:tc>
          <w:tcPr>
            <w:tcW w:w="963" w:type="dxa"/>
            <w:vAlign w:val="center"/>
            <w:hideMark/>
          </w:tcPr>
          <w:p w14:paraId="6D67E52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6.06</w:t>
            </w:r>
          </w:p>
        </w:tc>
        <w:tc>
          <w:tcPr>
            <w:tcW w:w="992" w:type="dxa"/>
            <w:vAlign w:val="center"/>
            <w:hideMark/>
          </w:tcPr>
          <w:p w14:paraId="45CEC87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203.00</w:t>
            </w:r>
          </w:p>
        </w:tc>
      </w:tr>
      <w:tr w:rsidR="006F2ABC" w:rsidRPr="006F2ABC" w14:paraId="0BD4B272" w14:textId="77777777" w:rsidTr="005858A3">
        <w:trPr>
          <w:trHeight w:val="20"/>
          <w:jc w:val="center"/>
        </w:trPr>
        <w:tc>
          <w:tcPr>
            <w:tcW w:w="2694" w:type="dxa"/>
            <w:vAlign w:val="center"/>
            <w:hideMark/>
          </w:tcPr>
          <w:p w14:paraId="4DFFB605"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12. Punjab</w:t>
            </w:r>
          </w:p>
        </w:tc>
        <w:tc>
          <w:tcPr>
            <w:tcW w:w="851" w:type="dxa"/>
            <w:vAlign w:val="center"/>
            <w:hideMark/>
          </w:tcPr>
          <w:p w14:paraId="65F6BCC0" w14:textId="77777777" w:rsidR="00B42586" w:rsidRPr="006F2ABC" w:rsidRDefault="00B42586" w:rsidP="00F52ADD">
            <w:pPr>
              <w:pStyle w:val="NoSpacing"/>
              <w:jc w:val="center"/>
              <w:rPr>
                <w:rFonts w:ascii="Times New Roman" w:hAnsi="Times New Roman" w:cs="Times New Roman"/>
                <w:sz w:val="16"/>
                <w:szCs w:val="16"/>
              </w:rPr>
            </w:pPr>
          </w:p>
        </w:tc>
        <w:tc>
          <w:tcPr>
            <w:tcW w:w="708" w:type="dxa"/>
            <w:vAlign w:val="center"/>
            <w:hideMark/>
          </w:tcPr>
          <w:p w14:paraId="45B3F0E9"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232DE859" w14:textId="77777777" w:rsidR="00B42586" w:rsidRPr="006F2ABC" w:rsidRDefault="00B42586" w:rsidP="00F52ADD">
            <w:pPr>
              <w:pStyle w:val="NoSpacing"/>
              <w:jc w:val="center"/>
              <w:rPr>
                <w:rFonts w:ascii="Times New Roman" w:hAnsi="Times New Roman" w:cs="Times New Roman"/>
                <w:sz w:val="16"/>
                <w:szCs w:val="16"/>
              </w:rPr>
            </w:pPr>
          </w:p>
        </w:tc>
        <w:tc>
          <w:tcPr>
            <w:tcW w:w="916" w:type="dxa"/>
            <w:vAlign w:val="center"/>
            <w:hideMark/>
          </w:tcPr>
          <w:p w14:paraId="33375FAC" w14:textId="77777777" w:rsidR="00B42586" w:rsidRPr="006F2ABC" w:rsidRDefault="00B42586" w:rsidP="00F52ADD">
            <w:pPr>
              <w:pStyle w:val="NoSpacing"/>
              <w:jc w:val="center"/>
              <w:rPr>
                <w:rFonts w:ascii="Times New Roman" w:hAnsi="Times New Roman" w:cs="Times New Roman"/>
                <w:sz w:val="16"/>
                <w:szCs w:val="16"/>
              </w:rPr>
            </w:pPr>
          </w:p>
        </w:tc>
        <w:tc>
          <w:tcPr>
            <w:tcW w:w="696" w:type="dxa"/>
            <w:vAlign w:val="center"/>
            <w:hideMark/>
          </w:tcPr>
          <w:p w14:paraId="6E5E0BF1"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28FD212D" w14:textId="77777777" w:rsidR="00B42586" w:rsidRPr="006F2ABC" w:rsidRDefault="00B42586" w:rsidP="00F52ADD">
            <w:pPr>
              <w:pStyle w:val="NoSpacing"/>
              <w:jc w:val="center"/>
              <w:rPr>
                <w:rFonts w:ascii="Times New Roman" w:hAnsi="Times New Roman" w:cs="Times New Roman"/>
                <w:sz w:val="16"/>
                <w:szCs w:val="16"/>
              </w:rPr>
            </w:pPr>
          </w:p>
        </w:tc>
        <w:tc>
          <w:tcPr>
            <w:tcW w:w="969" w:type="dxa"/>
            <w:vAlign w:val="center"/>
            <w:hideMark/>
          </w:tcPr>
          <w:p w14:paraId="11EE824F" w14:textId="77777777" w:rsidR="00B42586" w:rsidRPr="006F2ABC" w:rsidRDefault="00B42586" w:rsidP="00F52ADD">
            <w:pPr>
              <w:pStyle w:val="NoSpacing"/>
              <w:jc w:val="center"/>
              <w:rPr>
                <w:rFonts w:ascii="Times New Roman" w:hAnsi="Times New Roman" w:cs="Times New Roman"/>
                <w:sz w:val="16"/>
                <w:szCs w:val="16"/>
              </w:rPr>
            </w:pPr>
          </w:p>
        </w:tc>
        <w:tc>
          <w:tcPr>
            <w:tcW w:w="963" w:type="dxa"/>
            <w:vAlign w:val="center"/>
            <w:hideMark/>
          </w:tcPr>
          <w:p w14:paraId="0609C4B4" w14:textId="77777777" w:rsidR="00B42586" w:rsidRPr="006F2ABC" w:rsidRDefault="00B42586" w:rsidP="00F52ADD">
            <w:pPr>
              <w:pStyle w:val="NoSpacing"/>
              <w:jc w:val="center"/>
              <w:rPr>
                <w:rFonts w:ascii="Times New Roman" w:hAnsi="Times New Roman" w:cs="Times New Roman"/>
                <w:sz w:val="16"/>
                <w:szCs w:val="16"/>
              </w:rPr>
            </w:pPr>
          </w:p>
        </w:tc>
        <w:tc>
          <w:tcPr>
            <w:tcW w:w="992" w:type="dxa"/>
            <w:vAlign w:val="center"/>
            <w:hideMark/>
          </w:tcPr>
          <w:p w14:paraId="3FCBE31D" w14:textId="77777777" w:rsidR="00B42586" w:rsidRPr="006F2ABC" w:rsidRDefault="00B42586" w:rsidP="00F52ADD">
            <w:pPr>
              <w:pStyle w:val="NoSpacing"/>
              <w:jc w:val="center"/>
              <w:rPr>
                <w:rFonts w:ascii="Times New Roman" w:hAnsi="Times New Roman" w:cs="Times New Roman"/>
                <w:sz w:val="16"/>
                <w:szCs w:val="16"/>
              </w:rPr>
            </w:pPr>
          </w:p>
        </w:tc>
      </w:tr>
      <w:tr w:rsidR="006F2ABC" w:rsidRPr="006F2ABC" w14:paraId="187C55E1" w14:textId="77777777" w:rsidTr="005858A3">
        <w:trPr>
          <w:trHeight w:val="20"/>
          <w:jc w:val="center"/>
        </w:trPr>
        <w:tc>
          <w:tcPr>
            <w:tcW w:w="2694" w:type="dxa"/>
            <w:vAlign w:val="center"/>
            <w:hideMark/>
          </w:tcPr>
          <w:p w14:paraId="79CE69E5"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w:t>
            </w:r>
            <w:proofErr w:type="spellStart"/>
            <w:r w:rsidRPr="006F2ABC">
              <w:rPr>
                <w:rFonts w:ascii="Times New Roman" w:hAnsi="Times New Roman" w:cs="Times New Roman"/>
                <w:sz w:val="16"/>
                <w:szCs w:val="16"/>
              </w:rPr>
              <w:t>i</w:t>
            </w:r>
            <w:proofErr w:type="spellEnd"/>
            <w:r w:rsidRPr="006F2ABC">
              <w:rPr>
                <w:rFonts w:ascii="Times New Roman" w:hAnsi="Times New Roman" w:cs="Times New Roman"/>
                <w:sz w:val="16"/>
                <w:szCs w:val="16"/>
              </w:rPr>
              <w:t>) Punjab Roadways</w:t>
            </w:r>
          </w:p>
        </w:tc>
        <w:tc>
          <w:tcPr>
            <w:tcW w:w="851" w:type="dxa"/>
            <w:vAlign w:val="center"/>
            <w:hideMark/>
          </w:tcPr>
          <w:p w14:paraId="7EC1760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95.40</w:t>
            </w:r>
          </w:p>
        </w:tc>
        <w:tc>
          <w:tcPr>
            <w:tcW w:w="708" w:type="dxa"/>
            <w:vAlign w:val="center"/>
            <w:hideMark/>
          </w:tcPr>
          <w:p w14:paraId="5ED9732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75.40</w:t>
            </w:r>
          </w:p>
        </w:tc>
        <w:tc>
          <w:tcPr>
            <w:tcW w:w="709" w:type="dxa"/>
            <w:vAlign w:val="center"/>
            <w:hideMark/>
          </w:tcPr>
          <w:p w14:paraId="5723C18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3.41</w:t>
            </w:r>
          </w:p>
        </w:tc>
        <w:tc>
          <w:tcPr>
            <w:tcW w:w="916" w:type="dxa"/>
            <w:vAlign w:val="center"/>
            <w:hideMark/>
          </w:tcPr>
          <w:p w14:paraId="11C4963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1.24</w:t>
            </w:r>
          </w:p>
        </w:tc>
        <w:tc>
          <w:tcPr>
            <w:tcW w:w="696" w:type="dxa"/>
            <w:vAlign w:val="center"/>
            <w:hideMark/>
          </w:tcPr>
          <w:p w14:paraId="3DC36F9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0.82</w:t>
            </w:r>
          </w:p>
        </w:tc>
        <w:tc>
          <w:tcPr>
            <w:tcW w:w="709" w:type="dxa"/>
            <w:vAlign w:val="center"/>
            <w:hideMark/>
          </w:tcPr>
          <w:p w14:paraId="0D9D6CE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5.47</w:t>
            </w:r>
          </w:p>
        </w:tc>
        <w:tc>
          <w:tcPr>
            <w:tcW w:w="969" w:type="dxa"/>
            <w:vAlign w:val="center"/>
            <w:hideMark/>
          </w:tcPr>
          <w:p w14:paraId="6B68448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3.99</w:t>
            </w:r>
          </w:p>
        </w:tc>
        <w:tc>
          <w:tcPr>
            <w:tcW w:w="963" w:type="dxa"/>
            <w:vAlign w:val="center"/>
            <w:hideMark/>
          </w:tcPr>
          <w:p w14:paraId="1A19714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NIL</w:t>
            </w:r>
          </w:p>
        </w:tc>
        <w:tc>
          <w:tcPr>
            <w:tcW w:w="992" w:type="dxa"/>
            <w:vAlign w:val="center"/>
            <w:hideMark/>
          </w:tcPr>
          <w:p w14:paraId="5D1C0F1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237.00</w:t>
            </w:r>
          </w:p>
        </w:tc>
      </w:tr>
      <w:tr w:rsidR="006F2ABC" w:rsidRPr="006F2ABC" w14:paraId="59E3949A" w14:textId="77777777" w:rsidTr="005858A3">
        <w:trPr>
          <w:trHeight w:val="20"/>
          <w:jc w:val="center"/>
        </w:trPr>
        <w:tc>
          <w:tcPr>
            <w:tcW w:w="2694" w:type="dxa"/>
            <w:vAlign w:val="center"/>
            <w:hideMark/>
          </w:tcPr>
          <w:p w14:paraId="74F74EC2"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(ii) PEPSU RTC</w:t>
            </w:r>
          </w:p>
        </w:tc>
        <w:tc>
          <w:tcPr>
            <w:tcW w:w="851" w:type="dxa"/>
            <w:vAlign w:val="center"/>
            <w:hideMark/>
          </w:tcPr>
          <w:p w14:paraId="4E95674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89.00</w:t>
            </w:r>
          </w:p>
        </w:tc>
        <w:tc>
          <w:tcPr>
            <w:tcW w:w="708" w:type="dxa"/>
            <w:vAlign w:val="center"/>
            <w:hideMark/>
          </w:tcPr>
          <w:p w14:paraId="54A70F5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76.00</w:t>
            </w:r>
          </w:p>
        </w:tc>
        <w:tc>
          <w:tcPr>
            <w:tcW w:w="709" w:type="dxa"/>
            <w:vAlign w:val="center"/>
            <w:hideMark/>
          </w:tcPr>
          <w:p w14:paraId="2804579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3.78</w:t>
            </w:r>
          </w:p>
        </w:tc>
        <w:tc>
          <w:tcPr>
            <w:tcW w:w="916" w:type="dxa"/>
            <w:vAlign w:val="center"/>
            <w:hideMark/>
          </w:tcPr>
          <w:p w14:paraId="49A0432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1.31</w:t>
            </w:r>
          </w:p>
        </w:tc>
        <w:tc>
          <w:tcPr>
            <w:tcW w:w="696" w:type="dxa"/>
            <w:vAlign w:val="center"/>
            <w:hideMark/>
          </w:tcPr>
          <w:p w14:paraId="243CCAB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1.02</w:t>
            </w:r>
          </w:p>
        </w:tc>
        <w:tc>
          <w:tcPr>
            <w:tcW w:w="709" w:type="dxa"/>
            <w:vAlign w:val="center"/>
            <w:hideMark/>
          </w:tcPr>
          <w:p w14:paraId="4B3AAED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6.11</w:t>
            </w:r>
          </w:p>
        </w:tc>
        <w:tc>
          <w:tcPr>
            <w:tcW w:w="969" w:type="dxa"/>
            <w:vAlign w:val="center"/>
            <w:hideMark/>
          </w:tcPr>
          <w:p w14:paraId="25535E4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3.93</w:t>
            </w:r>
          </w:p>
        </w:tc>
        <w:tc>
          <w:tcPr>
            <w:tcW w:w="963" w:type="dxa"/>
            <w:vAlign w:val="center"/>
            <w:hideMark/>
          </w:tcPr>
          <w:p w14:paraId="0A55A02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33.21</w:t>
            </w:r>
          </w:p>
        </w:tc>
        <w:tc>
          <w:tcPr>
            <w:tcW w:w="992" w:type="dxa"/>
            <w:vAlign w:val="center"/>
            <w:hideMark/>
          </w:tcPr>
          <w:p w14:paraId="11ED5BB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223.00</w:t>
            </w:r>
          </w:p>
        </w:tc>
      </w:tr>
      <w:tr w:rsidR="006F2ABC" w:rsidRPr="006F2ABC" w14:paraId="7A115E76" w14:textId="77777777" w:rsidTr="005858A3">
        <w:trPr>
          <w:trHeight w:val="20"/>
          <w:jc w:val="center"/>
        </w:trPr>
        <w:tc>
          <w:tcPr>
            <w:tcW w:w="2694" w:type="dxa"/>
            <w:vAlign w:val="center"/>
            <w:hideMark/>
          </w:tcPr>
          <w:p w14:paraId="0AC8C917"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13. Rajasthan</w:t>
            </w:r>
          </w:p>
        </w:tc>
        <w:tc>
          <w:tcPr>
            <w:tcW w:w="851" w:type="dxa"/>
            <w:vAlign w:val="center"/>
            <w:hideMark/>
          </w:tcPr>
          <w:p w14:paraId="53D7357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89.00</w:t>
            </w:r>
          </w:p>
        </w:tc>
        <w:tc>
          <w:tcPr>
            <w:tcW w:w="708" w:type="dxa"/>
            <w:vAlign w:val="center"/>
            <w:hideMark/>
          </w:tcPr>
          <w:p w14:paraId="022B2CB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72.00</w:t>
            </w:r>
          </w:p>
        </w:tc>
        <w:tc>
          <w:tcPr>
            <w:tcW w:w="709" w:type="dxa"/>
            <w:vAlign w:val="center"/>
            <w:hideMark/>
          </w:tcPr>
          <w:p w14:paraId="4D5E2B9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5.43</w:t>
            </w:r>
          </w:p>
        </w:tc>
        <w:tc>
          <w:tcPr>
            <w:tcW w:w="916" w:type="dxa"/>
            <w:vAlign w:val="center"/>
            <w:hideMark/>
          </w:tcPr>
          <w:p w14:paraId="30BAF68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1.84</w:t>
            </w:r>
          </w:p>
        </w:tc>
        <w:tc>
          <w:tcPr>
            <w:tcW w:w="696" w:type="dxa"/>
            <w:vAlign w:val="center"/>
            <w:hideMark/>
          </w:tcPr>
          <w:p w14:paraId="0F9186F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0.99</w:t>
            </w:r>
          </w:p>
        </w:tc>
        <w:tc>
          <w:tcPr>
            <w:tcW w:w="709" w:type="dxa"/>
            <w:vAlign w:val="center"/>
            <w:hideMark/>
          </w:tcPr>
          <w:p w14:paraId="5CF49D3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8.26</w:t>
            </w:r>
          </w:p>
        </w:tc>
        <w:tc>
          <w:tcPr>
            <w:tcW w:w="969" w:type="dxa"/>
            <w:vAlign w:val="center"/>
            <w:hideMark/>
          </w:tcPr>
          <w:p w14:paraId="2F3FD96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4.60</w:t>
            </w:r>
          </w:p>
        </w:tc>
        <w:tc>
          <w:tcPr>
            <w:tcW w:w="963" w:type="dxa"/>
            <w:vAlign w:val="center"/>
            <w:hideMark/>
          </w:tcPr>
          <w:p w14:paraId="3F84853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47.95</w:t>
            </w:r>
          </w:p>
        </w:tc>
        <w:tc>
          <w:tcPr>
            <w:tcW w:w="992" w:type="dxa"/>
            <w:vAlign w:val="center"/>
            <w:hideMark/>
          </w:tcPr>
          <w:p w14:paraId="59F729F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253.00</w:t>
            </w:r>
          </w:p>
        </w:tc>
      </w:tr>
      <w:tr w:rsidR="006F2ABC" w:rsidRPr="006F2ABC" w14:paraId="78E1B8E6" w14:textId="77777777" w:rsidTr="005858A3">
        <w:trPr>
          <w:trHeight w:val="20"/>
          <w:jc w:val="center"/>
        </w:trPr>
        <w:tc>
          <w:tcPr>
            <w:tcW w:w="2694" w:type="dxa"/>
            <w:vAlign w:val="center"/>
            <w:hideMark/>
          </w:tcPr>
          <w:p w14:paraId="0761D97E"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14. Tamil Nadu</w:t>
            </w:r>
          </w:p>
        </w:tc>
        <w:tc>
          <w:tcPr>
            <w:tcW w:w="851" w:type="dxa"/>
            <w:vAlign w:val="center"/>
            <w:hideMark/>
          </w:tcPr>
          <w:p w14:paraId="4FE17DBB" w14:textId="77777777" w:rsidR="00B42586" w:rsidRPr="006F2ABC" w:rsidRDefault="00B42586" w:rsidP="00F52ADD">
            <w:pPr>
              <w:pStyle w:val="NoSpacing"/>
              <w:jc w:val="center"/>
              <w:rPr>
                <w:rFonts w:ascii="Times New Roman" w:hAnsi="Times New Roman" w:cs="Times New Roman"/>
                <w:sz w:val="16"/>
                <w:szCs w:val="16"/>
              </w:rPr>
            </w:pPr>
          </w:p>
        </w:tc>
        <w:tc>
          <w:tcPr>
            <w:tcW w:w="708" w:type="dxa"/>
            <w:vAlign w:val="center"/>
            <w:hideMark/>
          </w:tcPr>
          <w:p w14:paraId="18A1494D"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7E85C4B1" w14:textId="77777777" w:rsidR="00B42586" w:rsidRPr="006F2ABC" w:rsidRDefault="00B42586" w:rsidP="00F52ADD">
            <w:pPr>
              <w:pStyle w:val="NoSpacing"/>
              <w:jc w:val="center"/>
              <w:rPr>
                <w:rFonts w:ascii="Times New Roman" w:hAnsi="Times New Roman" w:cs="Times New Roman"/>
                <w:sz w:val="16"/>
                <w:szCs w:val="16"/>
              </w:rPr>
            </w:pPr>
          </w:p>
        </w:tc>
        <w:tc>
          <w:tcPr>
            <w:tcW w:w="916" w:type="dxa"/>
            <w:vAlign w:val="center"/>
            <w:hideMark/>
          </w:tcPr>
          <w:p w14:paraId="6CD7C391" w14:textId="77777777" w:rsidR="00B42586" w:rsidRPr="006F2ABC" w:rsidRDefault="00B42586" w:rsidP="00F52ADD">
            <w:pPr>
              <w:pStyle w:val="NoSpacing"/>
              <w:jc w:val="center"/>
              <w:rPr>
                <w:rFonts w:ascii="Times New Roman" w:hAnsi="Times New Roman" w:cs="Times New Roman"/>
                <w:sz w:val="16"/>
                <w:szCs w:val="16"/>
              </w:rPr>
            </w:pPr>
          </w:p>
        </w:tc>
        <w:tc>
          <w:tcPr>
            <w:tcW w:w="696" w:type="dxa"/>
            <w:vAlign w:val="center"/>
            <w:hideMark/>
          </w:tcPr>
          <w:p w14:paraId="2C7688E3"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5A6E4601" w14:textId="77777777" w:rsidR="00B42586" w:rsidRPr="006F2ABC" w:rsidRDefault="00B42586" w:rsidP="00F52ADD">
            <w:pPr>
              <w:pStyle w:val="NoSpacing"/>
              <w:jc w:val="center"/>
              <w:rPr>
                <w:rFonts w:ascii="Times New Roman" w:hAnsi="Times New Roman" w:cs="Times New Roman"/>
                <w:sz w:val="16"/>
                <w:szCs w:val="16"/>
              </w:rPr>
            </w:pPr>
          </w:p>
        </w:tc>
        <w:tc>
          <w:tcPr>
            <w:tcW w:w="969" w:type="dxa"/>
            <w:vAlign w:val="center"/>
            <w:hideMark/>
          </w:tcPr>
          <w:p w14:paraId="53807086" w14:textId="77777777" w:rsidR="00B42586" w:rsidRPr="006F2ABC" w:rsidRDefault="00B42586" w:rsidP="00F52ADD">
            <w:pPr>
              <w:pStyle w:val="NoSpacing"/>
              <w:jc w:val="center"/>
              <w:rPr>
                <w:rFonts w:ascii="Times New Roman" w:hAnsi="Times New Roman" w:cs="Times New Roman"/>
                <w:sz w:val="16"/>
                <w:szCs w:val="16"/>
              </w:rPr>
            </w:pPr>
          </w:p>
        </w:tc>
        <w:tc>
          <w:tcPr>
            <w:tcW w:w="963" w:type="dxa"/>
            <w:vAlign w:val="center"/>
            <w:hideMark/>
          </w:tcPr>
          <w:p w14:paraId="0169AE8F" w14:textId="77777777" w:rsidR="00B42586" w:rsidRPr="006F2ABC" w:rsidRDefault="00B42586" w:rsidP="00F52ADD">
            <w:pPr>
              <w:pStyle w:val="NoSpacing"/>
              <w:jc w:val="center"/>
              <w:rPr>
                <w:rFonts w:ascii="Times New Roman" w:hAnsi="Times New Roman" w:cs="Times New Roman"/>
                <w:sz w:val="16"/>
                <w:szCs w:val="16"/>
              </w:rPr>
            </w:pPr>
          </w:p>
        </w:tc>
        <w:tc>
          <w:tcPr>
            <w:tcW w:w="992" w:type="dxa"/>
            <w:vAlign w:val="center"/>
            <w:hideMark/>
          </w:tcPr>
          <w:p w14:paraId="4E5A4A50" w14:textId="77777777" w:rsidR="00B42586" w:rsidRPr="006F2ABC" w:rsidRDefault="00B42586" w:rsidP="00F52ADD">
            <w:pPr>
              <w:pStyle w:val="NoSpacing"/>
              <w:jc w:val="center"/>
              <w:rPr>
                <w:rFonts w:ascii="Times New Roman" w:hAnsi="Times New Roman" w:cs="Times New Roman"/>
                <w:sz w:val="16"/>
                <w:szCs w:val="16"/>
              </w:rPr>
            </w:pPr>
          </w:p>
        </w:tc>
      </w:tr>
      <w:tr w:rsidR="006F2ABC" w:rsidRPr="006F2ABC" w14:paraId="496F4BA7" w14:textId="77777777" w:rsidTr="005858A3">
        <w:trPr>
          <w:trHeight w:val="20"/>
          <w:jc w:val="center"/>
        </w:trPr>
        <w:tc>
          <w:tcPr>
            <w:tcW w:w="2694" w:type="dxa"/>
            <w:vAlign w:val="center"/>
            <w:hideMark/>
          </w:tcPr>
          <w:p w14:paraId="067F530F"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w:t>
            </w:r>
            <w:proofErr w:type="spellStart"/>
            <w:r w:rsidRPr="006F2ABC">
              <w:rPr>
                <w:rFonts w:ascii="Times New Roman" w:hAnsi="Times New Roman" w:cs="Times New Roman"/>
                <w:sz w:val="16"/>
                <w:szCs w:val="16"/>
              </w:rPr>
              <w:t>i</w:t>
            </w:r>
            <w:proofErr w:type="spellEnd"/>
            <w:r w:rsidRPr="006F2ABC">
              <w:rPr>
                <w:rFonts w:ascii="Times New Roman" w:hAnsi="Times New Roman" w:cs="Times New Roman"/>
                <w:sz w:val="16"/>
                <w:szCs w:val="16"/>
              </w:rPr>
              <w:t xml:space="preserve">) Pallavan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5DA2118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88.30</w:t>
            </w:r>
          </w:p>
        </w:tc>
        <w:tc>
          <w:tcPr>
            <w:tcW w:w="708" w:type="dxa"/>
            <w:vAlign w:val="center"/>
            <w:hideMark/>
          </w:tcPr>
          <w:p w14:paraId="2D87794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83.80</w:t>
            </w:r>
          </w:p>
        </w:tc>
        <w:tc>
          <w:tcPr>
            <w:tcW w:w="709" w:type="dxa"/>
            <w:vAlign w:val="center"/>
            <w:hideMark/>
          </w:tcPr>
          <w:p w14:paraId="41438D3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6.26</w:t>
            </w:r>
          </w:p>
        </w:tc>
        <w:tc>
          <w:tcPr>
            <w:tcW w:w="916" w:type="dxa"/>
            <w:vAlign w:val="center"/>
            <w:hideMark/>
          </w:tcPr>
          <w:p w14:paraId="578CCE8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2.52</w:t>
            </w:r>
          </w:p>
        </w:tc>
        <w:tc>
          <w:tcPr>
            <w:tcW w:w="696" w:type="dxa"/>
            <w:vAlign w:val="center"/>
            <w:hideMark/>
          </w:tcPr>
          <w:p w14:paraId="4FDB9AD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1.32</w:t>
            </w:r>
          </w:p>
        </w:tc>
        <w:tc>
          <w:tcPr>
            <w:tcW w:w="709" w:type="dxa"/>
            <w:vAlign w:val="center"/>
            <w:hideMark/>
          </w:tcPr>
          <w:p w14:paraId="36D0BBE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10.10</w:t>
            </w:r>
          </w:p>
        </w:tc>
        <w:tc>
          <w:tcPr>
            <w:tcW w:w="969" w:type="dxa"/>
            <w:vAlign w:val="center"/>
            <w:hideMark/>
          </w:tcPr>
          <w:p w14:paraId="00C50F1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3.53</w:t>
            </w:r>
          </w:p>
        </w:tc>
        <w:tc>
          <w:tcPr>
            <w:tcW w:w="963" w:type="dxa"/>
            <w:vAlign w:val="center"/>
            <w:hideMark/>
          </w:tcPr>
          <w:p w14:paraId="22E0C97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0.67</w:t>
            </w:r>
          </w:p>
        </w:tc>
        <w:tc>
          <w:tcPr>
            <w:tcW w:w="992" w:type="dxa"/>
            <w:vAlign w:val="center"/>
            <w:hideMark/>
          </w:tcPr>
          <w:p w14:paraId="249D811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232.00</w:t>
            </w:r>
          </w:p>
        </w:tc>
      </w:tr>
      <w:tr w:rsidR="006F2ABC" w:rsidRPr="006F2ABC" w14:paraId="7F99AF5C" w14:textId="77777777" w:rsidTr="005858A3">
        <w:trPr>
          <w:trHeight w:val="20"/>
          <w:jc w:val="center"/>
        </w:trPr>
        <w:tc>
          <w:tcPr>
            <w:tcW w:w="2694" w:type="dxa"/>
            <w:vAlign w:val="center"/>
            <w:hideMark/>
          </w:tcPr>
          <w:p w14:paraId="4DB62F81"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(ii) Thiruvalluvar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6149445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91.20</w:t>
            </w:r>
          </w:p>
        </w:tc>
        <w:tc>
          <w:tcPr>
            <w:tcW w:w="708" w:type="dxa"/>
            <w:vAlign w:val="center"/>
            <w:hideMark/>
          </w:tcPr>
          <w:p w14:paraId="52CF038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73.00</w:t>
            </w:r>
          </w:p>
        </w:tc>
        <w:tc>
          <w:tcPr>
            <w:tcW w:w="709" w:type="dxa"/>
            <w:vAlign w:val="center"/>
            <w:hideMark/>
          </w:tcPr>
          <w:p w14:paraId="6AC7815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5.43</w:t>
            </w:r>
          </w:p>
        </w:tc>
        <w:tc>
          <w:tcPr>
            <w:tcW w:w="916" w:type="dxa"/>
            <w:vAlign w:val="center"/>
            <w:hideMark/>
          </w:tcPr>
          <w:p w14:paraId="02BB1B3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1.10</w:t>
            </w:r>
          </w:p>
        </w:tc>
        <w:tc>
          <w:tcPr>
            <w:tcW w:w="696" w:type="dxa"/>
            <w:vAlign w:val="center"/>
            <w:hideMark/>
          </w:tcPr>
          <w:p w14:paraId="5F0FD0A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0.72</w:t>
            </w:r>
          </w:p>
        </w:tc>
        <w:tc>
          <w:tcPr>
            <w:tcW w:w="709" w:type="dxa"/>
            <w:vAlign w:val="center"/>
            <w:hideMark/>
          </w:tcPr>
          <w:p w14:paraId="7CC3FE3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7.25</w:t>
            </w:r>
          </w:p>
        </w:tc>
        <w:tc>
          <w:tcPr>
            <w:tcW w:w="969" w:type="dxa"/>
            <w:vAlign w:val="center"/>
            <w:hideMark/>
          </w:tcPr>
          <w:p w14:paraId="05FD792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3.90</w:t>
            </w:r>
          </w:p>
        </w:tc>
        <w:tc>
          <w:tcPr>
            <w:tcW w:w="963" w:type="dxa"/>
            <w:vAlign w:val="center"/>
            <w:hideMark/>
          </w:tcPr>
          <w:p w14:paraId="681C89F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11.87</w:t>
            </w:r>
          </w:p>
        </w:tc>
        <w:tc>
          <w:tcPr>
            <w:tcW w:w="992" w:type="dxa"/>
            <w:vAlign w:val="center"/>
            <w:hideMark/>
          </w:tcPr>
          <w:p w14:paraId="29E6355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378.00</w:t>
            </w:r>
          </w:p>
        </w:tc>
      </w:tr>
      <w:tr w:rsidR="006F2ABC" w:rsidRPr="006F2ABC" w14:paraId="048CC712" w14:textId="77777777" w:rsidTr="005858A3">
        <w:trPr>
          <w:trHeight w:val="20"/>
          <w:jc w:val="center"/>
        </w:trPr>
        <w:tc>
          <w:tcPr>
            <w:tcW w:w="2694" w:type="dxa"/>
            <w:vAlign w:val="center"/>
            <w:hideMark/>
          </w:tcPr>
          <w:p w14:paraId="45E94B51"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(iii) </w:t>
            </w:r>
            <w:proofErr w:type="spellStart"/>
            <w:r w:rsidRPr="006F2ABC">
              <w:rPr>
                <w:rFonts w:ascii="Times New Roman" w:hAnsi="Times New Roman" w:cs="Times New Roman"/>
                <w:sz w:val="16"/>
                <w:szCs w:val="16"/>
              </w:rPr>
              <w:t>Pattukottai</w:t>
            </w:r>
            <w:proofErr w:type="spellEnd"/>
            <w:r w:rsidRPr="006F2ABC">
              <w:rPr>
                <w:rFonts w:ascii="Times New Roman" w:hAnsi="Times New Roman" w:cs="Times New Roman"/>
                <w:sz w:val="16"/>
                <w:szCs w:val="16"/>
              </w:rPr>
              <w:t xml:space="preserve"> Azhagiri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21FB35A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89.25</w:t>
            </w:r>
          </w:p>
        </w:tc>
        <w:tc>
          <w:tcPr>
            <w:tcW w:w="708" w:type="dxa"/>
            <w:vAlign w:val="center"/>
            <w:hideMark/>
          </w:tcPr>
          <w:p w14:paraId="3D46D9C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77.64</w:t>
            </w:r>
          </w:p>
        </w:tc>
        <w:tc>
          <w:tcPr>
            <w:tcW w:w="709" w:type="dxa"/>
            <w:vAlign w:val="center"/>
            <w:hideMark/>
          </w:tcPr>
          <w:p w14:paraId="621CABE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7.26</w:t>
            </w:r>
          </w:p>
        </w:tc>
        <w:tc>
          <w:tcPr>
            <w:tcW w:w="916" w:type="dxa"/>
            <w:vAlign w:val="center"/>
            <w:hideMark/>
          </w:tcPr>
          <w:p w14:paraId="00FAF71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2.16</w:t>
            </w:r>
          </w:p>
        </w:tc>
        <w:tc>
          <w:tcPr>
            <w:tcW w:w="696" w:type="dxa"/>
            <w:vAlign w:val="center"/>
            <w:hideMark/>
          </w:tcPr>
          <w:p w14:paraId="36E5D5B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1.39</w:t>
            </w:r>
          </w:p>
        </w:tc>
        <w:tc>
          <w:tcPr>
            <w:tcW w:w="709" w:type="dxa"/>
            <w:vAlign w:val="center"/>
            <w:hideMark/>
          </w:tcPr>
          <w:p w14:paraId="2A45B03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10.81</w:t>
            </w:r>
          </w:p>
        </w:tc>
        <w:tc>
          <w:tcPr>
            <w:tcW w:w="969" w:type="dxa"/>
            <w:vAlign w:val="center"/>
            <w:hideMark/>
          </w:tcPr>
          <w:p w14:paraId="4E8528C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4.10</w:t>
            </w:r>
          </w:p>
        </w:tc>
        <w:tc>
          <w:tcPr>
            <w:tcW w:w="963" w:type="dxa"/>
            <w:vAlign w:val="center"/>
            <w:hideMark/>
          </w:tcPr>
          <w:p w14:paraId="657975F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92" w:type="dxa"/>
            <w:vAlign w:val="center"/>
            <w:hideMark/>
          </w:tcPr>
          <w:p w14:paraId="7FAF564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657.00</w:t>
            </w:r>
          </w:p>
        </w:tc>
      </w:tr>
      <w:tr w:rsidR="006F2ABC" w:rsidRPr="006F2ABC" w14:paraId="72046534" w14:textId="77777777" w:rsidTr="005858A3">
        <w:trPr>
          <w:trHeight w:val="20"/>
          <w:jc w:val="center"/>
        </w:trPr>
        <w:tc>
          <w:tcPr>
            <w:tcW w:w="2694" w:type="dxa"/>
            <w:vAlign w:val="center"/>
            <w:hideMark/>
          </w:tcPr>
          <w:p w14:paraId="27BDADB8" w14:textId="1BCC3CFC"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(iv) Pandiyan Roadways Corpn. Ltd</w:t>
            </w:r>
          </w:p>
        </w:tc>
        <w:tc>
          <w:tcPr>
            <w:tcW w:w="851" w:type="dxa"/>
            <w:vAlign w:val="center"/>
            <w:hideMark/>
          </w:tcPr>
          <w:p w14:paraId="32BE3DD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95.48</w:t>
            </w:r>
          </w:p>
        </w:tc>
        <w:tc>
          <w:tcPr>
            <w:tcW w:w="708" w:type="dxa"/>
            <w:vAlign w:val="center"/>
            <w:hideMark/>
          </w:tcPr>
          <w:p w14:paraId="475649D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64.00</w:t>
            </w:r>
          </w:p>
        </w:tc>
        <w:tc>
          <w:tcPr>
            <w:tcW w:w="709" w:type="dxa"/>
            <w:vAlign w:val="center"/>
            <w:hideMark/>
          </w:tcPr>
          <w:p w14:paraId="545B07C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5.40</w:t>
            </w:r>
          </w:p>
        </w:tc>
        <w:tc>
          <w:tcPr>
            <w:tcW w:w="916" w:type="dxa"/>
            <w:vAlign w:val="center"/>
            <w:hideMark/>
          </w:tcPr>
          <w:p w14:paraId="43456AB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1.29</w:t>
            </w:r>
          </w:p>
        </w:tc>
        <w:tc>
          <w:tcPr>
            <w:tcW w:w="696" w:type="dxa"/>
            <w:vAlign w:val="center"/>
            <w:hideMark/>
          </w:tcPr>
          <w:p w14:paraId="591C45D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0.87</w:t>
            </w:r>
          </w:p>
        </w:tc>
        <w:tc>
          <w:tcPr>
            <w:tcW w:w="709" w:type="dxa"/>
            <w:vAlign w:val="center"/>
            <w:hideMark/>
          </w:tcPr>
          <w:p w14:paraId="2CAF8AD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7.56</w:t>
            </w:r>
          </w:p>
        </w:tc>
        <w:tc>
          <w:tcPr>
            <w:tcW w:w="969" w:type="dxa"/>
            <w:vAlign w:val="center"/>
            <w:hideMark/>
          </w:tcPr>
          <w:p w14:paraId="656E361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4.15</w:t>
            </w:r>
          </w:p>
        </w:tc>
        <w:tc>
          <w:tcPr>
            <w:tcW w:w="963" w:type="dxa"/>
            <w:vAlign w:val="center"/>
            <w:hideMark/>
          </w:tcPr>
          <w:p w14:paraId="501EF8D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92" w:type="dxa"/>
            <w:vAlign w:val="center"/>
            <w:hideMark/>
          </w:tcPr>
          <w:p w14:paraId="4F3CFEB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339.00</w:t>
            </w:r>
          </w:p>
        </w:tc>
      </w:tr>
      <w:tr w:rsidR="006F2ABC" w:rsidRPr="006F2ABC" w14:paraId="6901D897" w14:textId="77777777" w:rsidTr="005858A3">
        <w:trPr>
          <w:trHeight w:val="20"/>
          <w:jc w:val="center"/>
        </w:trPr>
        <w:tc>
          <w:tcPr>
            <w:tcW w:w="2694" w:type="dxa"/>
            <w:vAlign w:val="center"/>
            <w:hideMark/>
          </w:tcPr>
          <w:p w14:paraId="2DAB7AF8"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(v) </w:t>
            </w:r>
            <w:proofErr w:type="spellStart"/>
            <w:r w:rsidRPr="006F2ABC">
              <w:rPr>
                <w:rFonts w:ascii="Times New Roman" w:hAnsi="Times New Roman" w:cs="Times New Roman"/>
                <w:sz w:val="16"/>
                <w:szCs w:val="16"/>
              </w:rPr>
              <w:t>Marudhu</w:t>
            </w:r>
            <w:proofErr w:type="spellEnd"/>
            <w:r w:rsidRPr="006F2ABC">
              <w:rPr>
                <w:rFonts w:ascii="Times New Roman" w:hAnsi="Times New Roman" w:cs="Times New Roman"/>
                <w:sz w:val="16"/>
                <w:szCs w:val="16"/>
              </w:rPr>
              <w:t xml:space="preserve"> </w:t>
            </w:r>
            <w:proofErr w:type="spellStart"/>
            <w:r w:rsidRPr="006F2ABC">
              <w:rPr>
                <w:rFonts w:ascii="Times New Roman" w:hAnsi="Times New Roman" w:cs="Times New Roman"/>
                <w:sz w:val="16"/>
                <w:szCs w:val="16"/>
              </w:rPr>
              <w:t>Pandiyar</w:t>
            </w:r>
            <w:proofErr w:type="spellEnd"/>
            <w:r w:rsidRPr="006F2ABC">
              <w:rPr>
                <w:rFonts w:ascii="Times New Roman" w:hAnsi="Times New Roman" w:cs="Times New Roman"/>
                <w:sz w:val="16"/>
                <w:szCs w:val="16"/>
              </w:rPr>
              <w:t xml:space="preserve"> Trasport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2699585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91.18</w:t>
            </w:r>
          </w:p>
        </w:tc>
        <w:tc>
          <w:tcPr>
            <w:tcW w:w="708" w:type="dxa"/>
            <w:vAlign w:val="center"/>
            <w:hideMark/>
          </w:tcPr>
          <w:p w14:paraId="63DE7F5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62.77</w:t>
            </w:r>
          </w:p>
        </w:tc>
        <w:tc>
          <w:tcPr>
            <w:tcW w:w="709" w:type="dxa"/>
            <w:vAlign w:val="center"/>
            <w:hideMark/>
          </w:tcPr>
          <w:p w14:paraId="69C8B50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5.56</w:t>
            </w:r>
          </w:p>
        </w:tc>
        <w:tc>
          <w:tcPr>
            <w:tcW w:w="916" w:type="dxa"/>
            <w:vAlign w:val="center"/>
            <w:hideMark/>
          </w:tcPr>
          <w:p w14:paraId="53D5A7C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1.44</w:t>
            </w:r>
          </w:p>
        </w:tc>
        <w:tc>
          <w:tcPr>
            <w:tcW w:w="696" w:type="dxa"/>
            <w:vAlign w:val="center"/>
            <w:hideMark/>
          </w:tcPr>
          <w:p w14:paraId="46918BA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0.78</w:t>
            </w:r>
          </w:p>
        </w:tc>
        <w:tc>
          <w:tcPr>
            <w:tcW w:w="709" w:type="dxa"/>
            <w:vAlign w:val="center"/>
            <w:hideMark/>
          </w:tcPr>
          <w:p w14:paraId="58A6644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7.78</w:t>
            </w:r>
          </w:p>
        </w:tc>
        <w:tc>
          <w:tcPr>
            <w:tcW w:w="969" w:type="dxa"/>
            <w:vAlign w:val="center"/>
            <w:hideMark/>
          </w:tcPr>
          <w:p w14:paraId="0261A18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4.34</w:t>
            </w:r>
          </w:p>
        </w:tc>
        <w:tc>
          <w:tcPr>
            <w:tcW w:w="963" w:type="dxa"/>
            <w:vAlign w:val="center"/>
            <w:hideMark/>
          </w:tcPr>
          <w:p w14:paraId="767E988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6.42</w:t>
            </w:r>
          </w:p>
        </w:tc>
        <w:tc>
          <w:tcPr>
            <w:tcW w:w="992" w:type="dxa"/>
            <w:vAlign w:val="center"/>
            <w:hideMark/>
          </w:tcPr>
          <w:p w14:paraId="71AF314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385.00</w:t>
            </w:r>
          </w:p>
        </w:tc>
      </w:tr>
      <w:tr w:rsidR="006F2ABC" w:rsidRPr="006F2ABC" w14:paraId="2E3CE6E4" w14:textId="77777777" w:rsidTr="005858A3">
        <w:trPr>
          <w:trHeight w:val="20"/>
          <w:jc w:val="center"/>
        </w:trPr>
        <w:tc>
          <w:tcPr>
            <w:tcW w:w="2694" w:type="dxa"/>
            <w:vAlign w:val="center"/>
            <w:hideMark/>
          </w:tcPr>
          <w:p w14:paraId="06DEFF70"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(vi) Cheran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33FA125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97.00</w:t>
            </w:r>
          </w:p>
        </w:tc>
        <w:tc>
          <w:tcPr>
            <w:tcW w:w="708" w:type="dxa"/>
            <w:vAlign w:val="center"/>
            <w:hideMark/>
          </w:tcPr>
          <w:p w14:paraId="1B9ED60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67.00</w:t>
            </w:r>
          </w:p>
        </w:tc>
        <w:tc>
          <w:tcPr>
            <w:tcW w:w="709" w:type="dxa"/>
            <w:vAlign w:val="center"/>
            <w:hideMark/>
          </w:tcPr>
          <w:p w14:paraId="37864B8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5.36</w:t>
            </w:r>
          </w:p>
        </w:tc>
        <w:tc>
          <w:tcPr>
            <w:tcW w:w="916" w:type="dxa"/>
            <w:vAlign w:val="center"/>
            <w:hideMark/>
          </w:tcPr>
          <w:p w14:paraId="360D14C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1.14</w:t>
            </w:r>
          </w:p>
        </w:tc>
        <w:tc>
          <w:tcPr>
            <w:tcW w:w="696" w:type="dxa"/>
            <w:vAlign w:val="center"/>
            <w:hideMark/>
          </w:tcPr>
          <w:p w14:paraId="2EE1C9E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0.79</w:t>
            </w:r>
          </w:p>
        </w:tc>
        <w:tc>
          <w:tcPr>
            <w:tcW w:w="709" w:type="dxa"/>
            <w:vAlign w:val="center"/>
            <w:hideMark/>
          </w:tcPr>
          <w:p w14:paraId="270AF5E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7.29</w:t>
            </w:r>
          </w:p>
        </w:tc>
        <w:tc>
          <w:tcPr>
            <w:tcW w:w="969" w:type="dxa"/>
            <w:vAlign w:val="center"/>
            <w:hideMark/>
          </w:tcPr>
          <w:p w14:paraId="6A87D8E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3.81</w:t>
            </w:r>
          </w:p>
        </w:tc>
        <w:tc>
          <w:tcPr>
            <w:tcW w:w="963" w:type="dxa"/>
            <w:vAlign w:val="center"/>
            <w:hideMark/>
          </w:tcPr>
          <w:p w14:paraId="789A2FF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92" w:type="dxa"/>
            <w:vAlign w:val="center"/>
            <w:hideMark/>
          </w:tcPr>
          <w:p w14:paraId="4E304E6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305.00</w:t>
            </w:r>
          </w:p>
        </w:tc>
      </w:tr>
      <w:tr w:rsidR="006F2ABC" w:rsidRPr="006F2ABC" w14:paraId="60552E03" w14:textId="77777777" w:rsidTr="005858A3">
        <w:trPr>
          <w:trHeight w:val="20"/>
          <w:jc w:val="center"/>
        </w:trPr>
        <w:tc>
          <w:tcPr>
            <w:tcW w:w="2694" w:type="dxa"/>
            <w:vAlign w:val="center"/>
            <w:hideMark/>
          </w:tcPr>
          <w:p w14:paraId="71727D03"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(vii) Rani </w:t>
            </w:r>
            <w:proofErr w:type="spellStart"/>
            <w:r w:rsidRPr="006F2ABC">
              <w:rPr>
                <w:rFonts w:ascii="Times New Roman" w:hAnsi="Times New Roman" w:cs="Times New Roman"/>
                <w:sz w:val="16"/>
                <w:szCs w:val="16"/>
              </w:rPr>
              <w:t>Mangammal</w:t>
            </w:r>
            <w:proofErr w:type="spellEnd"/>
            <w:r w:rsidRPr="006F2ABC">
              <w:rPr>
                <w:rFonts w:ascii="Times New Roman" w:hAnsi="Times New Roman" w:cs="Times New Roman"/>
                <w:sz w:val="16"/>
                <w:szCs w:val="16"/>
              </w:rPr>
              <w:t xml:space="preserv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5032C12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94.95</w:t>
            </w:r>
          </w:p>
        </w:tc>
        <w:tc>
          <w:tcPr>
            <w:tcW w:w="708" w:type="dxa"/>
            <w:vAlign w:val="center"/>
            <w:hideMark/>
          </w:tcPr>
          <w:p w14:paraId="462969C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66.04</w:t>
            </w:r>
          </w:p>
        </w:tc>
        <w:tc>
          <w:tcPr>
            <w:tcW w:w="709" w:type="dxa"/>
            <w:vAlign w:val="center"/>
            <w:hideMark/>
          </w:tcPr>
          <w:p w14:paraId="3DCD063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5.30</w:t>
            </w:r>
          </w:p>
        </w:tc>
        <w:tc>
          <w:tcPr>
            <w:tcW w:w="916" w:type="dxa"/>
            <w:vAlign w:val="center"/>
            <w:hideMark/>
          </w:tcPr>
          <w:p w14:paraId="7D74218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1.26</w:t>
            </w:r>
          </w:p>
        </w:tc>
        <w:tc>
          <w:tcPr>
            <w:tcW w:w="696" w:type="dxa"/>
            <w:vAlign w:val="center"/>
            <w:hideMark/>
          </w:tcPr>
          <w:p w14:paraId="6B38198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0.62</w:t>
            </w:r>
          </w:p>
        </w:tc>
        <w:tc>
          <w:tcPr>
            <w:tcW w:w="709" w:type="dxa"/>
            <w:vAlign w:val="center"/>
            <w:hideMark/>
          </w:tcPr>
          <w:p w14:paraId="623935D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7.18</w:t>
            </w:r>
          </w:p>
        </w:tc>
        <w:tc>
          <w:tcPr>
            <w:tcW w:w="969" w:type="dxa"/>
            <w:vAlign w:val="center"/>
            <w:hideMark/>
          </w:tcPr>
          <w:p w14:paraId="47D2C66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4.11</w:t>
            </w:r>
          </w:p>
        </w:tc>
        <w:tc>
          <w:tcPr>
            <w:tcW w:w="963" w:type="dxa"/>
            <w:vAlign w:val="center"/>
            <w:hideMark/>
          </w:tcPr>
          <w:p w14:paraId="7C11523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11.58</w:t>
            </w:r>
          </w:p>
        </w:tc>
        <w:tc>
          <w:tcPr>
            <w:tcW w:w="992" w:type="dxa"/>
            <w:vAlign w:val="center"/>
            <w:hideMark/>
          </w:tcPr>
          <w:p w14:paraId="3F8B5BF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374.00</w:t>
            </w:r>
          </w:p>
        </w:tc>
      </w:tr>
      <w:tr w:rsidR="006F2ABC" w:rsidRPr="006F2ABC" w14:paraId="49E2ED89" w14:textId="77777777" w:rsidTr="005858A3">
        <w:trPr>
          <w:trHeight w:val="20"/>
          <w:jc w:val="center"/>
        </w:trPr>
        <w:tc>
          <w:tcPr>
            <w:tcW w:w="2694" w:type="dxa"/>
            <w:vAlign w:val="center"/>
            <w:hideMark/>
          </w:tcPr>
          <w:p w14:paraId="3ED303E7"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(viii) Jeeva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4049947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95.69</w:t>
            </w:r>
          </w:p>
        </w:tc>
        <w:tc>
          <w:tcPr>
            <w:tcW w:w="708" w:type="dxa"/>
            <w:vAlign w:val="center"/>
            <w:hideMark/>
          </w:tcPr>
          <w:p w14:paraId="61D0F05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60.20</w:t>
            </w:r>
          </w:p>
        </w:tc>
        <w:tc>
          <w:tcPr>
            <w:tcW w:w="709" w:type="dxa"/>
            <w:vAlign w:val="center"/>
            <w:hideMark/>
          </w:tcPr>
          <w:p w14:paraId="27A04CE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5.33</w:t>
            </w:r>
          </w:p>
        </w:tc>
        <w:tc>
          <w:tcPr>
            <w:tcW w:w="916" w:type="dxa"/>
            <w:vAlign w:val="center"/>
            <w:hideMark/>
          </w:tcPr>
          <w:p w14:paraId="4BB264C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1.38</w:t>
            </w:r>
          </w:p>
        </w:tc>
        <w:tc>
          <w:tcPr>
            <w:tcW w:w="696" w:type="dxa"/>
            <w:vAlign w:val="center"/>
            <w:hideMark/>
          </w:tcPr>
          <w:p w14:paraId="15D1D92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0.56</w:t>
            </w:r>
          </w:p>
        </w:tc>
        <w:tc>
          <w:tcPr>
            <w:tcW w:w="709" w:type="dxa"/>
            <w:vAlign w:val="center"/>
            <w:hideMark/>
          </w:tcPr>
          <w:p w14:paraId="2E83737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7.27</w:t>
            </w:r>
          </w:p>
        </w:tc>
        <w:tc>
          <w:tcPr>
            <w:tcW w:w="969" w:type="dxa"/>
            <w:vAlign w:val="center"/>
            <w:hideMark/>
          </w:tcPr>
          <w:p w14:paraId="03F2A4E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4.32</w:t>
            </w:r>
          </w:p>
        </w:tc>
        <w:tc>
          <w:tcPr>
            <w:tcW w:w="963" w:type="dxa"/>
            <w:vAlign w:val="center"/>
            <w:hideMark/>
          </w:tcPr>
          <w:p w14:paraId="0EAE177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34.71</w:t>
            </w:r>
          </w:p>
        </w:tc>
        <w:tc>
          <w:tcPr>
            <w:tcW w:w="992" w:type="dxa"/>
            <w:vAlign w:val="center"/>
            <w:hideMark/>
          </w:tcPr>
          <w:p w14:paraId="47C7751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370.00</w:t>
            </w:r>
          </w:p>
        </w:tc>
      </w:tr>
      <w:tr w:rsidR="006F2ABC" w:rsidRPr="006F2ABC" w14:paraId="1E128567" w14:textId="77777777" w:rsidTr="005858A3">
        <w:trPr>
          <w:trHeight w:val="20"/>
          <w:jc w:val="center"/>
        </w:trPr>
        <w:tc>
          <w:tcPr>
            <w:tcW w:w="2694" w:type="dxa"/>
            <w:vAlign w:val="center"/>
            <w:hideMark/>
          </w:tcPr>
          <w:p w14:paraId="21BF6AE0"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(ix) Cholan Roadways Corpn. Ltd</w:t>
            </w:r>
          </w:p>
        </w:tc>
        <w:tc>
          <w:tcPr>
            <w:tcW w:w="851" w:type="dxa"/>
            <w:vAlign w:val="center"/>
            <w:hideMark/>
          </w:tcPr>
          <w:p w14:paraId="4773DF8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94.00</w:t>
            </w:r>
          </w:p>
        </w:tc>
        <w:tc>
          <w:tcPr>
            <w:tcW w:w="708" w:type="dxa"/>
            <w:vAlign w:val="center"/>
            <w:hideMark/>
          </w:tcPr>
          <w:p w14:paraId="4352205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61.00</w:t>
            </w:r>
          </w:p>
        </w:tc>
        <w:tc>
          <w:tcPr>
            <w:tcW w:w="709" w:type="dxa"/>
            <w:vAlign w:val="center"/>
            <w:hideMark/>
          </w:tcPr>
          <w:p w14:paraId="40AEB61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5.25</w:t>
            </w:r>
          </w:p>
        </w:tc>
        <w:tc>
          <w:tcPr>
            <w:tcW w:w="916" w:type="dxa"/>
            <w:vAlign w:val="center"/>
            <w:hideMark/>
          </w:tcPr>
          <w:p w14:paraId="098B809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1.34</w:t>
            </w:r>
          </w:p>
        </w:tc>
        <w:tc>
          <w:tcPr>
            <w:tcW w:w="696" w:type="dxa"/>
            <w:vAlign w:val="center"/>
            <w:hideMark/>
          </w:tcPr>
          <w:p w14:paraId="47D0251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0.96</w:t>
            </w:r>
          </w:p>
        </w:tc>
        <w:tc>
          <w:tcPr>
            <w:tcW w:w="709" w:type="dxa"/>
            <w:vAlign w:val="center"/>
            <w:hideMark/>
          </w:tcPr>
          <w:p w14:paraId="172B210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7.55</w:t>
            </w:r>
          </w:p>
        </w:tc>
        <w:tc>
          <w:tcPr>
            <w:tcW w:w="969" w:type="dxa"/>
            <w:vAlign w:val="center"/>
            <w:hideMark/>
          </w:tcPr>
          <w:p w14:paraId="6C9F865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4.45</w:t>
            </w:r>
          </w:p>
        </w:tc>
        <w:tc>
          <w:tcPr>
            <w:tcW w:w="963" w:type="dxa"/>
            <w:vAlign w:val="center"/>
            <w:hideMark/>
          </w:tcPr>
          <w:p w14:paraId="3EF1FEF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0.71</w:t>
            </w:r>
          </w:p>
        </w:tc>
        <w:tc>
          <w:tcPr>
            <w:tcW w:w="992" w:type="dxa"/>
            <w:vAlign w:val="center"/>
            <w:hideMark/>
          </w:tcPr>
          <w:p w14:paraId="64D0171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381.00</w:t>
            </w:r>
          </w:p>
        </w:tc>
      </w:tr>
      <w:tr w:rsidR="006F2ABC" w:rsidRPr="006F2ABC" w14:paraId="228F91A4" w14:textId="77777777" w:rsidTr="005858A3">
        <w:trPr>
          <w:trHeight w:val="20"/>
          <w:jc w:val="center"/>
        </w:trPr>
        <w:tc>
          <w:tcPr>
            <w:tcW w:w="2694" w:type="dxa"/>
            <w:vAlign w:val="center"/>
            <w:hideMark/>
          </w:tcPr>
          <w:p w14:paraId="47949529"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(x) Dheeran Chinnamalai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2A2B307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93.00</w:t>
            </w:r>
          </w:p>
        </w:tc>
        <w:tc>
          <w:tcPr>
            <w:tcW w:w="708" w:type="dxa"/>
            <w:vAlign w:val="center"/>
            <w:hideMark/>
          </w:tcPr>
          <w:p w14:paraId="55EE442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61.00</w:t>
            </w:r>
          </w:p>
        </w:tc>
        <w:tc>
          <w:tcPr>
            <w:tcW w:w="709" w:type="dxa"/>
            <w:vAlign w:val="center"/>
            <w:hideMark/>
          </w:tcPr>
          <w:p w14:paraId="30B8811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5.48</w:t>
            </w:r>
          </w:p>
        </w:tc>
        <w:tc>
          <w:tcPr>
            <w:tcW w:w="916" w:type="dxa"/>
            <w:vAlign w:val="center"/>
            <w:hideMark/>
          </w:tcPr>
          <w:p w14:paraId="313D977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1.42</w:t>
            </w:r>
          </w:p>
        </w:tc>
        <w:tc>
          <w:tcPr>
            <w:tcW w:w="696" w:type="dxa"/>
            <w:vAlign w:val="center"/>
            <w:hideMark/>
          </w:tcPr>
          <w:p w14:paraId="22E9767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0.74</w:t>
            </w:r>
          </w:p>
        </w:tc>
        <w:tc>
          <w:tcPr>
            <w:tcW w:w="709" w:type="dxa"/>
            <w:vAlign w:val="center"/>
            <w:hideMark/>
          </w:tcPr>
          <w:p w14:paraId="7172AE2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7.64</w:t>
            </w:r>
          </w:p>
        </w:tc>
        <w:tc>
          <w:tcPr>
            <w:tcW w:w="969" w:type="dxa"/>
            <w:vAlign w:val="center"/>
            <w:hideMark/>
          </w:tcPr>
          <w:p w14:paraId="5791440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4.08</w:t>
            </w:r>
          </w:p>
        </w:tc>
        <w:tc>
          <w:tcPr>
            <w:tcW w:w="963" w:type="dxa"/>
            <w:vAlign w:val="center"/>
            <w:hideMark/>
          </w:tcPr>
          <w:p w14:paraId="7AEC6DA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0.83</w:t>
            </w:r>
          </w:p>
        </w:tc>
        <w:tc>
          <w:tcPr>
            <w:tcW w:w="992" w:type="dxa"/>
            <w:vAlign w:val="center"/>
            <w:hideMark/>
          </w:tcPr>
          <w:p w14:paraId="5B38869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396.00</w:t>
            </w:r>
          </w:p>
        </w:tc>
      </w:tr>
      <w:tr w:rsidR="006F2ABC" w:rsidRPr="006F2ABC" w14:paraId="2E163122" w14:textId="77777777" w:rsidTr="005858A3">
        <w:trPr>
          <w:trHeight w:val="20"/>
          <w:jc w:val="center"/>
        </w:trPr>
        <w:tc>
          <w:tcPr>
            <w:tcW w:w="2694" w:type="dxa"/>
            <w:vAlign w:val="center"/>
            <w:hideMark/>
          </w:tcPr>
          <w:p w14:paraId="78D30B0E"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(xi) Anna Transport Corpn. Ltd</w:t>
            </w:r>
          </w:p>
        </w:tc>
        <w:tc>
          <w:tcPr>
            <w:tcW w:w="851" w:type="dxa"/>
            <w:vAlign w:val="center"/>
            <w:hideMark/>
          </w:tcPr>
          <w:p w14:paraId="535C070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94.10</w:t>
            </w:r>
          </w:p>
        </w:tc>
        <w:tc>
          <w:tcPr>
            <w:tcW w:w="708" w:type="dxa"/>
            <w:vAlign w:val="center"/>
            <w:hideMark/>
          </w:tcPr>
          <w:p w14:paraId="0C877E6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62.00</w:t>
            </w:r>
          </w:p>
        </w:tc>
        <w:tc>
          <w:tcPr>
            <w:tcW w:w="709" w:type="dxa"/>
            <w:vAlign w:val="center"/>
            <w:hideMark/>
          </w:tcPr>
          <w:p w14:paraId="4507FDF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5.32</w:t>
            </w:r>
          </w:p>
        </w:tc>
        <w:tc>
          <w:tcPr>
            <w:tcW w:w="916" w:type="dxa"/>
            <w:vAlign w:val="center"/>
            <w:hideMark/>
          </w:tcPr>
          <w:p w14:paraId="5EA7E04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1.16</w:t>
            </w:r>
          </w:p>
        </w:tc>
        <w:tc>
          <w:tcPr>
            <w:tcW w:w="696" w:type="dxa"/>
            <w:vAlign w:val="center"/>
            <w:hideMark/>
          </w:tcPr>
          <w:p w14:paraId="6954BA7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0.97</w:t>
            </w:r>
          </w:p>
        </w:tc>
        <w:tc>
          <w:tcPr>
            <w:tcW w:w="709" w:type="dxa"/>
            <w:vAlign w:val="center"/>
            <w:hideMark/>
          </w:tcPr>
          <w:p w14:paraId="7281846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7.45</w:t>
            </w:r>
          </w:p>
        </w:tc>
        <w:tc>
          <w:tcPr>
            <w:tcW w:w="969" w:type="dxa"/>
            <w:vAlign w:val="center"/>
            <w:hideMark/>
          </w:tcPr>
          <w:p w14:paraId="6DC126D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4.13</w:t>
            </w:r>
          </w:p>
        </w:tc>
        <w:tc>
          <w:tcPr>
            <w:tcW w:w="963" w:type="dxa"/>
            <w:vAlign w:val="center"/>
            <w:hideMark/>
          </w:tcPr>
          <w:p w14:paraId="25FC655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15.53</w:t>
            </w:r>
          </w:p>
        </w:tc>
        <w:tc>
          <w:tcPr>
            <w:tcW w:w="992" w:type="dxa"/>
            <w:vAlign w:val="center"/>
            <w:hideMark/>
          </w:tcPr>
          <w:p w14:paraId="5EC7B27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368.00</w:t>
            </w:r>
          </w:p>
        </w:tc>
      </w:tr>
      <w:tr w:rsidR="006F2ABC" w:rsidRPr="006F2ABC" w14:paraId="2CF55ADA" w14:textId="77777777" w:rsidTr="005858A3">
        <w:trPr>
          <w:trHeight w:val="20"/>
          <w:jc w:val="center"/>
        </w:trPr>
        <w:tc>
          <w:tcPr>
            <w:tcW w:w="2694" w:type="dxa"/>
            <w:vAlign w:val="center"/>
            <w:hideMark/>
          </w:tcPr>
          <w:p w14:paraId="2467BE25"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(xii) Annai Satya Transport Corporation Ltd.</w:t>
            </w:r>
          </w:p>
        </w:tc>
        <w:tc>
          <w:tcPr>
            <w:tcW w:w="851" w:type="dxa"/>
            <w:vAlign w:val="center"/>
            <w:hideMark/>
          </w:tcPr>
          <w:p w14:paraId="3AF64E4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92.40</w:t>
            </w:r>
          </w:p>
        </w:tc>
        <w:tc>
          <w:tcPr>
            <w:tcW w:w="708" w:type="dxa"/>
            <w:vAlign w:val="center"/>
            <w:hideMark/>
          </w:tcPr>
          <w:p w14:paraId="16260CE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68.00</w:t>
            </w:r>
          </w:p>
        </w:tc>
        <w:tc>
          <w:tcPr>
            <w:tcW w:w="709" w:type="dxa"/>
            <w:vAlign w:val="center"/>
            <w:hideMark/>
          </w:tcPr>
          <w:p w14:paraId="4CC8DCB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4.77</w:t>
            </w:r>
          </w:p>
        </w:tc>
        <w:tc>
          <w:tcPr>
            <w:tcW w:w="916" w:type="dxa"/>
            <w:vAlign w:val="center"/>
            <w:hideMark/>
          </w:tcPr>
          <w:p w14:paraId="50C8558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1.14</w:t>
            </w:r>
          </w:p>
        </w:tc>
        <w:tc>
          <w:tcPr>
            <w:tcW w:w="696" w:type="dxa"/>
            <w:vAlign w:val="center"/>
            <w:hideMark/>
          </w:tcPr>
          <w:p w14:paraId="308648A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0.79</w:t>
            </w:r>
          </w:p>
        </w:tc>
        <w:tc>
          <w:tcPr>
            <w:tcW w:w="709" w:type="dxa"/>
            <w:vAlign w:val="center"/>
            <w:hideMark/>
          </w:tcPr>
          <w:p w14:paraId="2A9F01D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6.70</w:t>
            </w:r>
          </w:p>
        </w:tc>
        <w:tc>
          <w:tcPr>
            <w:tcW w:w="969" w:type="dxa"/>
            <w:vAlign w:val="center"/>
            <w:hideMark/>
          </w:tcPr>
          <w:p w14:paraId="3117868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4.21</w:t>
            </w:r>
          </w:p>
        </w:tc>
        <w:tc>
          <w:tcPr>
            <w:tcW w:w="963" w:type="dxa"/>
            <w:vAlign w:val="center"/>
            <w:hideMark/>
          </w:tcPr>
          <w:p w14:paraId="6E8FC91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11.96</w:t>
            </w:r>
          </w:p>
        </w:tc>
        <w:tc>
          <w:tcPr>
            <w:tcW w:w="992" w:type="dxa"/>
            <w:vAlign w:val="center"/>
            <w:hideMark/>
          </w:tcPr>
          <w:p w14:paraId="1D2198F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300.00</w:t>
            </w:r>
          </w:p>
        </w:tc>
      </w:tr>
      <w:tr w:rsidR="006F2ABC" w:rsidRPr="006F2ABC" w14:paraId="5A11B849" w14:textId="77777777" w:rsidTr="005858A3">
        <w:trPr>
          <w:trHeight w:val="20"/>
          <w:jc w:val="center"/>
        </w:trPr>
        <w:tc>
          <w:tcPr>
            <w:tcW w:w="2694" w:type="dxa"/>
            <w:vAlign w:val="center"/>
            <w:hideMark/>
          </w:tcPr>
          <w:p w14:paraId="5BAB15FD"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(xiii) </w:t>
            </w:r>
            <w:proofErr w:type="spellStart"/>
            <w:r w:rsidRPr="006F2ABC">
              <w:rPr>
                <w:rFonts w:ascii="Times New Roman" w:hAnsi="Times New Roman" w:cs="Times New Roman"/>
                <w:sz w:val="16"/>
                <w:szCs w:val="16"/>
              </w:rPr>
              <w:t>Kattabomman</w:t>
            </w:r>
            <w:proofErr w:type="spellEnd"/>
            <w:r w:rsidRPr="006F2ABC">
              <w:rPr>
                <w:rFonts w:ascii="Times New Roman" w:hAnsi="Times New Roman" w:cs="Times New Roman"/>
                <w:sz w:val="16"/>
                <w:szCs w:val="16"/>
              </w:rPr>
              <w:t xml:space="preserv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4D777EF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94.10</w:t>
            </w:r>
          </w:p>
        </w:tc>
        <w:tc>
          <w:tcPr>
            <w:tcW w:w="708" w:type="dxa"/>
            <w:vAlign w:val="center"/>
            <w:hideMark/>
          </w:tcPr>
          <w:p w14:paraId="7C4EFE2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65.50</w:t>
            </w:r>
          </w:p>
        </w:tc>
        <w:tc>
          <w:tcPr>
            <w:tcW w:w="709" w:type="dxa"/>
            <w:vAlign w:val="center"/>
            <w:hideMark/>
          </w:tcPr>
          <w:p w14:paraId="7D792D5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5.65</w:t>
            </w:r>
          </w:p>
        </w:tc>
        <w:tc>
          <w:tcPr>
            <w:tcW w:w="916" w:type="dxa"/>
            <w:vAlign w:val="center"/>
            <w:hideMark/>
          </w:tcPr>
          <w:p w14:paraId="2CCDDA6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1.62</w:t>
            </w:r>
          </w:p>
        </w:tc>
        <w:tc>
          <w:tcPr>
            <w:tcW w:w="696" w:type="dxa"/>
            <w:vAlign w:val="center"/>
            <w:hideMark/>
          </w:tcPr>
          <w:p w14:paraId="7040228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1.05</w:t>
            </w:r>
          </w:p>
        </w:tc>
        <w:tc>
          <w:tcPr>
            <w:tcW w:w="709" w:type="dxa"/>
            <w:vAlign w:val="center"/>
            <w:hideMark/>
          </w:tcPr>
          <w:p w14:paraId="6779FDC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8.32</w:t>
            </w:r>
          </w:p>
        </w:tc>
        <w:tc>
          <w:tcPr>
            <w:tcW w:w="969" w:type="dxa"/>
            <w:vAlign w:val="center"/>
            <w:hideMark/>
          </w:tcPr>
          <w:p w14:paraId="4E094F4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4.37</w:t>
            </w:r>
          </w:p>
        </w:tc>
        <w:tc>
          <w:tcPr>
            <w:tcW w:w="963" w:type="dxa"/>
            <w:vAlign w:val="center"/>
            <w:hideMark/>
          </w:tcPr>
          <w:p w14:paraId="5634038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92" w:type="dxa"/>
            <w:vAlign w:val="center"/>
            <w:hideMark/>
          </w:tcPr>
          <w:p w14:paraId="24793C7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369.00</w:t>
            </w:r>
          </w:p>
        </w:tc>
      </w:tr>
      <w:tr w:rsidR="006F2ABC" w:rsidRPr="006F2ABC" w14:paraId="4F33A5A9" w14:textId="77777777" w:rsidTr="005858A3">
        <w:trPr>
          <w:trHeight w:val="20"/>
          <w:jc w:val="center"/>
        </w:trPr>
        <w:tc>
          <w:tcPr>
            <w:tcW w:w="2694" w:type="dxa"/>
            <w:vAlign w:val="center"/>
            <w:hideMark/>
          </w:tcPr>
          <w:p w14:paraId="74D7A98C"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(xiv) </w:t>
            </w:r>
            <w:proofErr w:type="spellStart"/>
            <w:r w:rsidRPr="006F2ABC">
              <w:rPr>
                <w:rFonts w:ascii="Times New Roman" w:hAnsi="Times New Roman" w:cs="Times New Roman"/>
                <w:sz w:val="16"/>
                <w:szCs w:val="16"/>
              </w:rPr>
              <w:t>Nesamony</w:t>
            </w:r>
            <w:proofErr w:type="spellEnd"/>
            <w:r w:rsidRPr="006F2ABC">
              <w:rPr>
                <w:rFonts w:ascii="Times New Roman" w:hAnsi="Times New Roman" w:cs="Times New Roman"/>
                <w:sz w:val="16"/>
                <w:szCs w:val="16"/>
              </w:rPr>
              <w:t xml:space="preserv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109068A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96.30</w:t>
            </w:r>
          </w:p>
        </w:tc>
        <w:tc>
          <w:tcPr>
            <w:tcW w:w="708" w:type="dxa"/>
            <w:vAlign w:val="center"/>
            <w:hideMark/>
          </w:tcPr>
          <w:p w14:paraId="0F0CA8C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65.19</w:t>
            </w:r>
          </w:p>
        </w:tc>
        <w:tc>
          <w:tcPr>
            <w:tcW w:w="709" w:type="dxa"/>
            <w:vAlign w:val="center"/>
            <w:hideMark/>
          </w:tcPr>
          <w:p w14:paraId="73B31A9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5.27</w:t>
            </w:r>
          </w:p>
        </w:tc>
        <w:tc>
          <w:tcPr>
            <w:tcW w:w="916" w:type="dxa"/>
            <w:vAlign w:val="center"/>
            <w:hideMark/>
          </w:tcPr>
          <w:p w14:paraId="3910770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1.63</w:t>
            </w:r>
          </w:p>
        </w:tc>
        <w:tc>
          <w:tcPr>
            <w:tcW w:w="696" w:type="dxa"/>
            <w:vAlign w:val="center"/>
            <w:hideMark/>
          </w:tcPr>
          <w:p w14:paraId="47B28BA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1.07</w:t>
            </w:r>
          </w:p>
        </w:tc>
        <w:tc>
          <w:tcPr>
            <w:tcW w:w="709" w:type="dxa"/>
            <w:vAlign w:val="center"/>
            <w:hideMark/>
          </w:tcPr>
          <w:p w14:paraId="27A540A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7.97</w:t>
            </w:r>
          </w:p>
        </w:tc>
        <w:tc>
          <w:tcPr>
            <w:tcW w:w="969" w:type="dxa"/>
            <w:vAlign w:val="center"/>
            <w:hideMark/>
          </w:tcPr>
          <w:p w14:paraId="09AEAB4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4.10</w:t>
            </w:r>
          </w:p>
        </w:tc>
        <w:tc>
          <w:tcPr>
            <w:tcW w:w="963" w:type="dxa"/>
            <w:vAlign w:val="center"/>
            <w:hideMark/>
          </w:tcPr>
          <w:p w14:paraId="0CED7D6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9.55</w:t>
            </w:r>
          </w:p>
        </w:tc>
        <w:tc>
          <w:tcPr>
            <w:tcW w:w="992" w:type="dxa"/>
            <w:vAlign w:val="center"/>
            <w:hideMark/>
          </w:tcPr>
          <w:p w14:paraId="0DF01A7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342.00</w:t>
            </w:r>
          </w:p>
        </w:tc>
      </w:tr>
      <w:tr w:rsidR="006F2ABC" w:rsidRPr="006F2ABC" w14:paraId="00B6349E" w14:textId="77777777" w:rsidTr="005858A3">
        <w:trPr>
          <w:trHeight w:val="20"/>
          <w:jc w:val="center"/>
        </w:trPr>
        <w:tc>
          <w:tcPr>
            <w:tcW w:w="2694" w:type="dxa"/>
            <w:vAlign w:val="center"/>
            <w:hideMark/>
          </w:tcPr>
          <w:p w14:paraId="0B673637"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(xv) </w:t>
            </w:r>
            <w:proofErr w:type="spellStart"/>
            <w:r w:rsidRPr="006F2ABC">
              <w:rPr>
                <w:rFonts w:ascii="Times New Roman" w:hAnsi="Times New Roman" w:cs="Times New Roman"/>
                <w:sz w:val="16"/>
                <w:szCs w:val="16"/>
              </w:rPr>
              <w:t>Thanthai</w:t>
            </w:r>
            <w:proofErr w:type="spellEnd"/>
            <w:r w:rsidRPr="006F2ABC">
              <w:rPr>
                <w:rFonts w:ascii="Times New Roman" w:hAnsi="Times New Roman" w:cs="Times New Roman"/>
                <w:sz w:val="16"/>
                <w:szCs w:val="16"/>
              </w:rPr>
              <w:t xml:space="preserve"> </w:t>
            </w:r>
            <w:proofErr w:type="spellStart"/>
            <w:r w:rsidRPr="006F2ABC">
              <w:rPr>
                <w:rFonts w:ascii="Times New Roman" w:hAnsi="Times New Roman" w:cs="Times New Roman"/>
                <w:sz w:val="16"/>
                <w:szCs w:val="16"/>
              </w:rPr>
              <w:t>Periyar</w:t>
            </w:r>
            <w:proofErr w:type="spellEnd"/>
            <w:r w:rsidRPr="006F2ABC">
              <w:rPr>
                <w:rFonts w:ascii="Times New Roman" w:hAnsi="Times New Roman" w:cs="Times New Roman"/>
                <w:sz w:val="16"/>
                <w:szCs w:val="16"/>
              </w:rPr>
              <w:t xml:space="preserv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 Ltd</w:t>
            </w:r>
          </w:p>
        </w:tc>
        <w:tc>
          <w:tcPr>
            <w:tcW w:w="851" w:type="dxa"/>
            <w:vAlign w:val="center"/>
            <w:hideMark/>
          </w:tcPr>
          <w:p w14:paraId="11978C1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94.81</w:t>
            </w:r>
          </w:p>
        </w:tc>
        <w:tc>
          <w:tcPr>
            <w:tcW w:w="708" w:type="dxa"/>
            <w:vAlign w:val="center"/>
            <w:hideMark/>
          </w:tcPr>
          <w:p w14:paraId="7DE5F2F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70.56</w:t>
            </w:r>
          </w:p>
        </w:tc>
        <w:tc>
          <w:tcPr>
            <w:tcW w:w="709" w:type="dxa"/>
            <w:vAlign w:val="center"/>
            <w:hideMark/>
          </w:tcPr>
          <w:p w14:paraId="79A7F3A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4.87</w:t>
            </w:r>
          </w:p>
        </w:tc>
        <w:tc>
          <w:tcPr>
            <w:tcW w:w="916" w:type="dxa"/>
            <w:vAlign w:val="center"/>
            <w:hideMark/>
          </w:tcPr>
          <w:p w14:paraId="3B3B57C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1.13</w:t>
            </w:r>
          </w:p>
        </w:tc>
        <w:tc>
          <w:tcPr>
            <w:tcW w:w="696" w:type="dxa"/>
            <w:vAlign w:val="center"/>
            <w:hideMark/>
          </w:tcPr>
          <w:p w14:paraId="6EA2A4A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0.80</w:t>
            </w:r>
          </w:p>
        </w:tc>
        <w:tc>
          <w:tcPr>
            <w:tcW w:w="709" w:type="dxa"/>
            <w:vAlign w:val="center"/>
            <w:hideMark/>
          </w:tcPr>
          <w:p w14:paraId="7094CD6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6.80</w:t>
            </w:r>
          </w:p>
        </w:tc>
        <w:tc>
          <w:tcPr>
            <w:tcW w:w="969" w:type="dxa"/>
            <w:vAlign w:val="center"/>
            <w:hideMark/>
          </w:tcPr>
          <w:p w14:paraId="1798BDC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4.13</w:t>
            </w:r>
          </w:p>
        </w:tc>
        <w:tc>
          <w:tcPr>
            <w:tcW w:w="963" w:type="dxa"/>
            <w:vAlign w:val="center"/>
            <w:hideMark/>
          </w:tcPr>
          <w:p w14:paraId="59B4B77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1.00</w:t>
            </w:r>
          </w:p>
        </w:tc>
        <w:tc>
          <w:tcPr>
            <w:tcW w:w="992" w:type="dxa"/>
            <w:vAlign w:val="center"/>
            <w:hideMark/>
          </w:tcPr>
          <w:p w14:paraId="04EFDB2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391.00</w:t>
            </w:r>
          </w:p>
        </w:tc>
      </w:tr>
      <w:tr w:rsidR="006F2ABC" w:rsidRPr="006F2ABC" w14:paraId="46F91B09" w14:textId="77777777" w:rsidTr="005858A3">
        <w:trPr>
          <w:trHeight w:val="20"/>
          <w:jc w:val="center"/>
        </w:trPr>
        <w:tc>
          <w:tcPr>
            <w:tcW w:w="2694" w:type="dxa"/>
            <w:vAlign w:val="center"/>
            <w:hideMark/>
          </w:tcPr>
          <w:p w14:paraId="690D4AA4"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15. Uttar Pradesh</w:t>
            </w:r>
          </w:p>
        </w:tc>
        <w:tc>
          <w:tcPr>
            <w:tcW w:w="851" w:type="dxa"/>
            <w:vAlign w:val="center"/>
            <w:hideMark/>
          </w:tcPr>
          <w:p w14:paraId="3DF56D1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88.00</w:t>
            </w:r>
          </w:p>
        </w:tc>
        <w:tc>
          <w:tcPr>
            <w:tcW w:w="708" w:type="dxa"/>
            <w:vAlign w:val="center"/>
            <w:hideMark/>
          </w:tcPr>
          <w:p w14:paraId="0B66E5C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63.00</w:t>
            </w:r>
          </w:p>
        </w:tc>
        <w:tc>
          <w:tcPr>
            <w:tcW w:w="709" w:type="dxa"/>
            <w:vAlign w:val="center"/>
            <w:hideMark/>
          </w:tcPr>
          <w:p w14:paraId="058A7FC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5.28</w:t>
            </w:r>
          </w:p>
        </w:tc>
        <w:tc>
          <w:tcPr>
            <w:tcW w:w="916" w:type="dxa"/>
            <w:vAlign w:val="center"/>
            <w:hideMark/>
          </w:tcPr>
          <w:p w14:paraId="2D55BA4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2.04</w:t>
            </w:r>
          </w:p>
        </w:tc>
        <w:tc>
          <w:tcPr>
            <w:tcW w:w="696" w:type="dxa"/>
            <w:vAlign w:val="center"/>
            <w:hideMark/>
          </w:tcPr>
          <w:p w14:paraId="4CD7473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0.89</w:t>
            </w:r>
          </w:p>
        </w:tc>
        <w:tc>
          <w:tcPr>
            <w:tcW w:w="709" w:type="dxa"/>
            <w:vAlign w:val="center"/>
            <w:hideMark/>
          </w:tcPr>
          <w:p w14:paraId="79D3457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8.21</w:t>
            </w:r>
          </w:p>
        </w:tc>
        <w:tc>
          <w:tcPr>
            <w:tcW w:w="969" w:type="dxa"/>
            <w:vAlign w:val="center"/>
            <w:hideMark/>
          </w:tcPr>
          <w:p w14:paraId="391CF38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4.45</w:t>
            </w:r>
          </w:p>
        </w:tc>
        <w:tc>
          <w:tcPr>
            <w:tcW w:w="963" w:type="dxa"/>
            <w:vAlign w:val="center"/>
            <w:hideMark/>
          </w:tcPr>
          <w:p w14:paraId="26B80B8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6.00</w:t>
            </w:r>
          </w:p>
        </w:tc>
        <w:tc>
          <w:tcPr>
            <w:tcW w:w="992" w:type="dxa"/>
            <w:vAlign w:val="center"/>
            <w:hideMark/>
          </w:tcPr>
          <w:p w14:paraId="7D9E8FA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209.00</w:t>
            </w:r>
          </w:p>
        </w:tc>
      </w:tr>
      <w:tr w:rsidR="006F2ABC" w:rsidRPr="006F2ABC" w14:paraId="74598CCF" w14:textId="77777777" w:rsidTr="005858A3">
        <w:trPr>
          <w:trHeight w:val="20"/>
          <w:jc w:val="center"/>
        </w:trPr>
        <w:tc>
          <w:tcPr>
            <w:tcW w:w="2694" w:type="dxa"/>
            <w:vAlign w:val="center"/>
            <w:hideMark/>
          </w:tcPr>
          <w:p w14:paraId="5D8EF25F"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16. West Bengal</w:t>
            </w:r>
          </w:p>
        </w:tc>
        <w:tc>
          <w:tcPr>
            <w:tcW w:w="851" w:type="dxa"/>
            <w:vAlign w:val="center"/>
            <w:hideMark/>
          </w:tcPr>
          <w:p w14:paraId="4FF51900" w14:textId="77777777" w:rsidR="00B42586" w:rsidRPr="006F2ABC" w:rsidRDefault="00B42586" w:rsidP="00F52ADD">
            <w:pPr>
              <w:pStyle w:val="NoSpacing"/>
              <w:jc w:val="center"/>
              <w:rPr>
                <w:rFonts w:ascii="Times New Roman" w:hAnsi="Times New Roman" w:cs="Times New Roman"/>
                <w:sz w:val="16"/>
                <w:szCs w:val="16"/>
              </w:rPr>
            </w:pPr>
          </w:p>
        </w:tc>
        <w:tc>
          <w:tcPr>
            <w:tcW w:w="708" w:type="dxa"/>
            <w:vAlign w:val="center"/>
            <w:hideMark/>
          </w:tcPr>
          <w:p w14:paraId="08CD03D3"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3C185B91" w14:textId="77777777" w:rsidR="00B42586" w:rsidRPr="006F2ABC" w:rsidRDefault="00B42586" w:rsidP="00F52ADD">
            <w:pPr>
              <w:pStyle w:val="NoSpacing"/>
              <w:jc w:val="center"/>
              <w:rPr>
                <w:rFonts w:ascii="Times New Roman" w:hAnsi="Times New Roman" w:cs="Times New Roman"/>
                <w:sz w:val="16"/>
                <w:szCs w:val="16"/>
              </w:rPr>
            </w:pPr>
          </w:p>
        </w:tc>
        <w:tc>
          <w:tcPr>
            <w:tcW w:w="916" w:type="dxa"/>
            <w:vAlign w:val="center"/>
            <w:hideMark/>
          </w:tcPr>
          <w:p w14:paraId="0D7DA012" w14:textId="77777777" w:rsidR="00B42586" w:rsidRPr="006F2ABC" w:rsidRDefault="00B42586" w:rsidP="00F52ADD">
            <w:pPr>
              <w:pStyle w:val="NoSpacing"/>
              <w:jc w:val="center"/>
              <w:rPr>
                <w:rFonts w:ascii="Times New Roman" w:hAnsi="Times New Roman" w:cs="Times New Roman"/>
                <w:sz w:val="16"/>
                <w:szCs w:val="16"/>
              </w:rPr>
            </w:pPr>
          </w:p>
        </w:tc>
        <w:tc>
          <w:tcPr>
            <w:tcW w:w="696" w:type="dxa"/>
            <w:vAlign w:val="center"/>
            <w:hideMark/>
          </w:tcPr>
          <w:p w14:paraId="27729693"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72075C8B" w14:textId="77777777" w:rsidR="00B42586" w:rsidRPr="006F2ABC" w:rsidRDefault="00B42586" w:rsidP="00F52ADD">
            <w:pPr>
              <w:pStyle w:val="NoSpacing"/>
              <w:jc w:val="center"/>
              <w:rPr>
                <w:rFonts w:ascii="Times New Roman" w:hAnsi="Times New Roman" w:cs="Times New Roman"/>
                <w:sz w:val="16"/>
                <w:szCs w:val="16"/>
              </w:rPr>
            </w:pPr>
          </w:p>
        </w:tc>
        <w:tc>
          <w:tcPr>
            <w:tcW w:w="969" w:type="dxa"/>
            <w:vAlign w:val="center"/>
            <w:hideMark/>
          </w:tcPr>
          <w:p w14:paraId="1F7623DA" w14:textId="77777777" w:rsidR="00B42586" w:rsidRPr="006F2ABC" w:rsidRDefault="00B42586" w:rsidP="00F52ADD">
            <w:pPr>
              <w:pStyle w:val="NoSpacing"/>
              <w:jc w:val="center"/>
              <w:rPr>
                <w:rFonts w:ascii="Times New Roman" w:hAnsi="Times New Roman" w:cs="Times New Roman"/>
                <w:sz w:val="16"/>
                <w:szCs w:val="16"/>
              </w:rPr>
            </w:pPr>
          </w:p>
        </w:tc>
        <w:tc>
          <w:tcPr>
            <w:tcW w:w="963" w:type="dxa"/>
            <w:vAlign w:val="center"/>
            <w:hideMark/>
          </w:tcPr>
          <w:p w14:paraId="124A36A5" w14:textId="77777777" w:rsidR="00B42586" w:rsidRPr="006F2ABC" w:rsidRDefault="00B42586" w:rsidP="00F52ADD">
            <w:pPr>
              <w:pStyle w:val="NoSpacing"/>
              <w:jc w:val="center"/>
              <w:rPr>
                <w:rFonts w:ascii="Times New Roman" w:hAnsi="Times New Roman" w:cs="Times New Roman"/>
                <w:sz w:val="16"/>
                <w:szCs w:val="16"/>
              </w:rPr>
            </w:pPr>
          </w:p>
        </w:tc>
        <w:tc>
          <w:tcPr>
            <w:tcW w:w="992" w:type="dxa"/>
            <w:vAlign w:val="center"/>
            <w:hideMark/>
          </w:tcPr>
          <w:p w14:paraId="441F0041" w14:textId="77777777" w:rsidR="00B42586" w:rsidRPr="006F2ABC" w:rsidRDefault="00B42586" w:rsidP="00F52ADD">
            <w:pPr>
              <w:pStyle w:val="NoSpacing"/>
              <w:jc w:val="center"/>
              <w:rPr>
                <w:rFonts w:ascii="Times New Roman" w:hAnsi="Times New Roman" w:cs="Times New Roman"/>
                <w:sz w:val="16"/>
                <w:szCs w:val="16"/>
              </w:rPr>
            </w:pPr>
          </w:p>
        </w:tc>
      </w:tr>
      <w:tr w:rsidR="006F2ABC" w:rsidRPr="006F2ABC" w14:paraId="771A91A6" w14:textId="77777777" w:rsidTr="005858A3">
        <w:trPr>
          <w:trHeight w:val="20"/>
          <w:jc w:val="center"/>
        </w:trPr>
        <w:tc>
          <w:tcPr>
            <w:tcW w:w="2694" w:type="dxa"/>
            <w:vAlign w:val="center"/>
            <w:hideMark/>
          </w:tcPr>
          <w:p w14:paraId="2A7BE12E"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w:t>
            </w:r>
            <w:proofErr w:type="spellStart"/>
            <w:r w:rsidRPr="006F2ABC">
              <w:rPr>
                <w:rFonts w:ascii="Times New Roman" w:hAnsi="Times New Roman" w:cs="Times New Roman"/>
                <w:sz w:val="16"/>
                <w:szCs w:val="16"/>
              </w:rPr>
              <w:t>i</w:t>
            </w:r>
            <w:proofErr w:type="spellEnd"/>
            <w:r w:rsidRPr="006F2ABC">
              <w:rPr>
                <w:rFonts w:ascii="Times New Roman" w:hAnsi="Times New Roman" w:cs="Times New Roman"/>
                <w:sz w:val="16"/>
                <w:szCs w:val="16"/>
              </w:rPr>
              <w:t xml:space="preserve">) Calcutta State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w:t>
            </w:r>
          </w:p>
        </w:tc>
        <w:tc>
          <w:tcPr>
            <w:tcW w:w="851" w:type="dxa"/>
            <w:vAlign w:val="center"/>
            <w:hideMark/>
          </w:tcPr>
          <w:p w14:paraId="6D7A5E7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59.00</w:t>
            </w:r>
          </w:p>
        </w:tc>
        <w:tc>
          <w:tcPr>
            <w:tcW w:w="708" w:type="dxa"/>
            <w:vAlign w:val="center"/>
            <w:hideMark/>
          </w:tcPr>
          <w:p w14:paraId="0A87541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100.00</w:t>
            </w:r>
          </w:p>
        </w:tc>
        <w:tc>
          <w:tcPr>
            <w:tcW w:w="709" w:type="dxa"/>
            <w:vAlign w:val="center"/>
            <w:hideMark/>
          </w:tcPr>
          <w:p w14:paraId="04B12A2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10.30</w:t>
            </w:r>
          </w:p>
        </w:tc>
        <w:tc>
          <w:tcPr>
            <w:tcW w:w="916" w:type="dxa"/>
            <w:vAlign w:val="center"/>
            <w:hideMark/>
          </w:tcPr>
          <w:p w14:paraId="1BAAFE6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3.54</w:t>
            </w:r>
          </w:p>
        </w:tc>
        <w:tc>
          <w:tcPr>
            <w:tcW w:w="696" w:type="dxa"/>
            <w:vAlign w:val="center"/>
            <w:hideMark/>
          </w:tcPr>
          <w:p w14:paraId="09EF506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3.20</w:t>
            </w:r>
          </w:p>
        </w:tc>
        <w:tc>
          <w:tcPr>
            <w:tcW w:w="709" w:type="dxa"/>
            <w:vAlign w:val="center"/>
            <w:hideMark/>
          </w:tcPr>
          <w:p w14:paraId="3CED1B3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16.94</w:t>
            </w:r>
          </w:p>
        </w:tc>
        <w:tc>
          <w:tcPr>
            <w:tcW w:w="969" w:type="dxa"/>
            <w:vAlign w:val="center"/>
            <w:hideMark/>
          </w:tcPr>
          <w:p w14:paraId="6F3B1BD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2.98</w:t>
            </w:r>
          </w:p>
        </w:tc>
        <w:tc>
          <w:tcPr>
            <w:tcW w:w="963" w:type="dxa"/>
            <w:vAlign w:val="center"/>
            <w:hideMark/>
          </w:tcPr>
          <w:p w14:paraId="49A7429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16.88</w:t>
            </w:r>
          </w:p>
        </w:tc>
        <w:tc>
          <w:tcPr>
            <w:tcW w:w="992" w:type="dxa"/>
            <w:vAlign w:val="center"/>
            <w:hideMark/>
          </w:tcPr>
          <w:p w14:paraId="30B3A70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98.00</w:t>
            </w:r>
          </w:p>
        </w:tc>
      </w:tr>
      <w:tr w:rsidR="006F2ABC" w:rsidRPr="006F2ABC" w14:paraId="39386927" w14:textId="77777777" w:rsidTr="005858A3">
        <w:trPr>
          <w:trHeight w:val="20"/>
          <w:jc w:val="center"/>
        </w:trPr>
        <w:tc>
          <w:tcPr>
            <w:tcW w:w="2694" w:type="dxa"/>
            <w:vAlign w:val="center"/>
            <w:hideMark/>
          </w:tcPr>
          <w:p w14:paraId="515287A9" w14:textId="5BFE7478"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(ii) Durgapur State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w:t>
            </w:r>
          </w:p>
        </w:tc>
        <w:tc>
          <w:tcPr>
            <w:tcW w:w="851" w:type="dxa"/>
            <w:vAlign w:val="center"/>
            <w:hideMark/>
          </w:tcPr>
          <w:p w14:paraId="662B500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47.00</w:t>
            </w:r>
          </w:p>
        </w:tc>
        <w:tc>
          <w:tcPr>
            <w:tcW w:w="708" w:type="dxa"/>
            <w:vAlign w:val="center"/>
            <w:hideMark/>
          </w:tcPr>
          <w:p w14:paraId="26AB3E5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61.00</w:t>
            </w:r>
          </w:p>
        </w:tc>
        <w:tc>
          <w:tcPr>
            <w:tcW w:w="709" w:type="dxa"/>
            <w:vAlign w:val="center"/>
            <w:hideMark/>
          </w:tcPr>
          <w:p w14:paraId="1283893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6.30</w:t>
            </w:r>
          </w:p>
        </w:tc>
        <w:tc>
          <w:tcPr>
            <w:tcW w:w="916" w:type="dxa"/>
            <w:vAlign w:val="center"/>
            <w:hideMark/>
          </w:tcPr>
          <w:p w14:paraId="5B33D54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2.63</w:t>
            </w:r>
          </w:p>
        </w:tc>
        <w:tc>
          <w:tcPr>
            <w:tcW w:w="696" w:type="dxa"/>
            <w:vAlign w:val="center"/>
            <w:hideMark/>
          </w:tcPr>
          <w:p w14:paraId="6E88E30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2.67</w:t>
            </w:r>
          </w:p>
        </w:tc>
        <w:tc>
          <w:tcPr>
            <w:tcW w:w="709" w:type="dxa"/>
            <w:vAlign w:val="center"/>
            <w:hideMark/>
          </w:tcPr>
          <w:p w14:paraId="147A30C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11.60</w:t>
            </w:r>
          </w:p>
        </w:tc>
        <w:tc>
          <w:tcPr>
            <w:tcW w:w="969" w:type="dxa"/>
            <w:vAlign w:val="center"/>
            <w:hideMark/>
          </w:tcPr>
          <w:p w14:paraId="2EAEF73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3.40</w:t>
            </w:r>
          </w:p>
        </w:tc>
        <w:tc>
          <w:tcPr>
            <w:tcW w:w="963" w:type="dxa"/>
            <w:vAlign w:val="center"/>
            <w:hideMark/>
          </w:tcPr>
          <w:p w14:paraId="094F1BE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5.33</w:t>
            </w:r>
          </w:p>
        </w:tc>
        <w:tc>
          <w:tcPr>
            <w:tcW w:w="992" w:type="dxa"/>
            <w:vAlign w:val="center"/>
            <w:hideMark/>
          </w:tcPr>
          <w:p w14:paraId="3AED35D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98.00</w:t>
            </w:r>
          </w:p>
        </w:tc>
      </w:tr>
      <w:tr w:rsidR="006F2ABC" w:rsidRPr="006F2ABC" w14:paraId="6C4F5158" w14:textId="77777777" w:rsidTr="005858A3">
        <w:trPr>
          <w:trHeight w:val="20"/>
          <w:jc w:val="center"/>
        </w:trPr>
        <w:tc>
          <w:tcPr>
            <w:tcW w:w="2694" w:type="dxa"/>
            <w:vAlign w:val="center"/>
            <w:hideMark/>
          </w:tcPr>
          <w:p w14:paraId="4426DF66"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(iii) North Bengal State Transport </w:t>
            </w:r>
            <w:proofErr w:type="spellStart"/>
            <w:r w:rsidRPr="006F2ABC">
              <w:rPr>
                <w:rFonts w:ascii="Times New Roman" w:hAnsi="Times New Roman" w:cs="Times New Roman"/>
                <w:sz w:val="16"/>
                <w:szCs w:val="16"/>
              </w:rPr>
              <w:t>Corpn</w:t>
            </w:r>
            <w:proofErr w:type="spellEnd"/>
            <w:r w:rsidRPr="006F2ABC">
              <w:rPr>
                <w:rFonts w:ascii="Times New Roman" w:hAnsi="Times New Roman" w:cs="Times New Roman"/>
                <w:sz w:val="16"/>
                <w:szCs w:val="16"/>
              </w:rPr>
              <w:t>.</w:t>
            </w:r>
          </w:p>
        </w:tc>
        <w:tc>
          <w:tcPr>
            <w:tcW w:w="851" w:type="dxa"/>
            <w:vAlign w:val="center"/>
            <w:hideMark/>
          </w:tcPr>
          <w:p w14:paraId="22552AE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87.00</w:t>
            </w:r>
          </w:p>
        </w:tc>
        <w:tc>
          <w:tcPr>
            <w:tcW w:w="708" w:type="dxa"/>
            <w:vAlign w:val="center"/>
            <w:hideMark/>
          </w:tcPr>
          <w:p w14:paraId="385C2B3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69.00</w:t>
            </w:r>
          </w:p>
        </w:tc>
        <w:tc>
          <w:tcPr>
            <w:tcW w:w="709" w:type="dxa"/>
            <w:vAlign w:val="center"/>
            <w:hideMark/>
          </w:tcPr>
          <w:p w14:paraId="42F2155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4.42</w:t>
            </w:r>
          </w:p>
        </w:tc>
        <w:tc>
          <w:tcPr>
            <w:tcW w:w="916" w:type="dxa"/>
            <w:vAlign w:val="center"/>
            <w:hideMark/>
          </w:tcPr>
          <w:p w14:paraId="5C29DEA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2.69</w:t>
            </w:r>
          </w:p>
        </w:tc>
        <w:tc>
          <w:tcPr>
            <w:tcW w:w="696" w:type="dxa"/>
            <w:vAlign w:val="center"/>
            <w:hideMark/>
          </w:tcPr>
          <w:p w14:paraId="4D4FBF6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3.05</w:t>
            </w:r>
          </w:p>
        </w:tc>
        <w:tc>
          <w:tcPr>
            <w:tcW w:w="709" w:type="dxa"/>
            <w:vAlign w:val="center"/>
            <w:hideMark/>
          </w:tcPr>
          <w:p w14:paraId="076DB8B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10.16</w:t>
            </w:r>
          </w:p>
        </w:tc>
        <w:tc>
          <w:tcPr>
            <w:tcW w:w="969" w:type="dxa"/>
            <w:vAlign w:val="center"/>
            <w:hideMark/>
          </w:tcPr>
          <w:p w14:paraId="175515F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3.97</w:t>
            </w:r>
          </w:p>
        </w:tc>
        <w:tc>
          <w:tcPr>
            <w:tcW w:w="963" w:type="dxa"/>
            <w:vAlign w:val="center"/>
            <w:hideMark/>
          </w:tcPr>
          <w:p w14:paraId="3638360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25.14</w:t>
            </w:r>
          </w:p>
        </w:tc>
        <w:tc>
          <w:tcPr>
            <w:tcW w:w="992" w:type="dxa"/>
            <w:vAlign w:val="center"/>
            <w:hideMark/>
          </w:tcPr>
          <w:p w14:paraId="257DF5E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182.00</w:t>
            </w:r>
          </w:p>
        </w:tc>
      </w:tr>
      <w:tr w:rsidR="006F2ABC" w:rsidRPr="006F2ABC" w14:paraId="774B6265" w14:textId="77777777" w:rsidTr="005858A3">
        <w:trPr>
          <w:trHeight w:val="20"/>
          <w:jc w:val="center"/>
        </w:trPr>
        <w:tc>
          <w:tcPr>
            <w:tcW w:w="2694" w:type="dxa"/>
            <w:vAlign w:val="center"/>
            <w:hideMark/>
          </w:tcPr>
          <w:p w14:paraId="39F0802D"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(iv) Calcutta Tramways Co. Ltd</w:t>
            </w:r>
          </w:p>
        </w:tc>
        <w:tc>
          <w:tcPr>
            <w:tcW w:w="851" w:type="dxa"/>
            <w:vAlign w:val="center"/>
            <w:hideMark/>
          </w:tcPr>
          <w:p w14:paraId="5A7204B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71.00</w:t>
            </w:r>
          </w:p>
        </w:tc>
        <w:tc>
          <w:tcPr>
            <w:tcW w:w="708" w:type="dxa"/>
            <w:vAlign w:val="center"/>
            <w:hideMark/>
          </w:tcPr>
          <w:p w14:paraId="632B5CB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74.00</w:t>
            </w:r>
          </w:p>
        </w:tc>
        <w:tc>
          <w:tcPr>
            <w:tcW w:w="709" w:type="dxa"/>
            <w:vAlign w:val="center"/>
            <w:hideMark/>
          </w:tcPr>
          <w:p w14:paraId="11916EF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16.00</w:t>
            </w:r>
          </w:p>
        </w:tc>
        <w:tc>
          <w:tcPr>
            <w:tcW w:w="916" w:type="dxa"/>
            <w:vAlign w:val="center"/>
            <w:hideMark/>
          </w:tcPr>
          <w:p w14:paraId="135BBFD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11.78</w:t>
            </w:r>
          </w:p>
        </w:tc>
        <w:tc>
          <w:tcPr>
            <w:tcW w:w="696" w:type="dxa"/>
            <w:vAlign w:val="center"/>
            <w:hideMark/>
          </w:tcPr>
          <w:p w14:paraId="41DAA1F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5.70</w:t>
            </w:r>
          </w:p>
        </w:tc>
        <w:tc>
          <w:tcPr>
            <w:tcW w:w="709" w:type="dxa"/>
            <w:vAlign w:val="center"/>
            <w:hideMark/>
          </w:tcPr>
          <w:p w14:paraId="7B83A5C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33.48</w:t>
            </w:r>
          </w:p>
        </w:tc>
        <w:tc>
          <w:tcPr>
            <w:tcW w:w="969" w:type="dxa"/>
            <w:vAlign w:val="center"/>
            <w:hideMark/>
          </w:tcPr>
          <w:p w14:paraId="047B3CC7" w14:textId="77777777" w:rsidR="00B42586" w:rsidRPr="006F2ABC" w:rsidRDefault="00B42586" w:rsidP="00F52ADD">
            <w:pPr>
              <w:pStyle w:val="NoSpacing"/>
              <w:jc w:val="center"/>
              <w:rPr>
                <w:rFonts w:ascii="Times New Roman" w:hAnsi="Times New Roman" w:cs="Times New Roman"/>
                <w:sz w:val="12"/>
                <w:szCs w:val="12"/>
              </w:rPr>
            </w:pPr>
            <w:r w:rsidRPr="006F2ABC">
              <w:rPr>
                <w:rFonts w:ascii="Times New Roman" w:hAnsi="Times New Roman" w:cs="Times New Roman"/>
                <w:sz w:val="12"/>
                <w:szCs w:val="12"/>
              </w:rPr>
              <w:t>Runs on DC current</w:t>
            </w:r>
          </w:p>
        </w:tc>
        <w:tc>
          <w:tcPr>
            <w:tcW w:w="963" w:type="dxa"/>
            <w:vAlign w:val="center"/>
            <w:hideMark/>
          </w:tcPr>
          <w:p w14:paraId="06D7596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61.31</w:t>
            </w:r>
          </w:p>
        </w:tc>
        <w:tc>
          <w:tcPr>
            <w:tcW w:w="992" w:type="dxa"/>
            <w:vAlign w:val="center"/>
            <w:hideMark/>
          </w:tcPr>
          <w:p w14:paraId="0E8DF70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69.00</w:t>
            </w:r>
          </w:p>
        </w:tc>
      </w:tr>
      <w:tr w:rsidR="006F2ABC" w:rsidRPr="006F2ABC" w14:paraId="11694820" w14:textId="77777777" w:rsidTr="005858A3">
        <w:trPr>
          <w:trHeight w:val="20"/>
          <w:jc w:val="center"/>
        </w:trPr>
        <w:tc>
          <w:tcPr>
            <w:tcW w:w="2694" w:type="dxa"/>
            <w:vAlign w:val="center"/>
            <w:hideMark/>
          </w:tcPr>
          <w:p w14:paraId="220AB122"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HILL STATES</w:t>
            </w:r>
          </w:p>
        </w:tc>
        <w:tc>
          <w:tcPr>
            <w:tcW w:w="851" w:type="dxa"/>
            <w:vAlign w:val="center"/>
            <w:hideMark/>
          </w:tcPr>
          <w:p w14:paraId="0F3A2352" w14:textId="77777777" w:rsidR="00B42586" w:rsidRPr="006F2ABC" w:rsidRDefault="00B42586" w:rsidP="00F52ADD">
            <w:pPr>
              <w:pStyle w:val="NoSpacing"/>
              <w:jc w:val="center"/>
              <w:rPr>
                <w:rFonts w:ascii="Times New Roman" w:hAnsi="Times New Roman" w:cs="Times New Roman"/>
                <w:sz w:val="16"/>
                <w:szCs w:val="16"/>
              </w:rPr>
            </w:pPr>
          </w:p>
        </w:tc>
        <w:tc>
          <w:tcPr>
            <w:tcW w:w="708" w:type="dxa"/>
            <w:vAlign w:val="center"/>
            <w:hideMark/>
          </w:tcPr>
          <w:p w14:paraId="4469BC95"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27747806" w14:textId="77777777" w:rsidR="00B42586" w:rsidRPr="006F2ABC" w:rsidRDefault="00B42586" w:rsidP="00F52ADD">
            <w:pPr>
              <w:pStyle w:val="NoSpacing"/>
              <w:jc w:val="center"/>
              <w:rPr>
                <w:rFonts w:ascii="Times New Roman" w:hAnsi="Times New Roman" w:cs="Times New Roman"/>
                <w:sz w:val="16"/>
                <w:szCs w:val="16"/>
              </w:rPr>
            </w:pPr>
          </w:p>
        </w:tc>
        <w:tc>
          <w:tcPr>
            <w:tcW w:w="916" w:type="dxa"/>
            <w:vAlign w:val="center"/>
            <w:hideMark/>
          </w:tcPr>
          <w:p w14:paraId="3A2D3421" w14:textId="77777777" w:rsidR="00B42586" w:rsidRPr="006F2ABC" w:rsidRDefault="00B42586" w:rsidP="00F52ADD">
            <w:pPr>
              <w:pStyle w:val="NoSpacing"/>
              <w:jc w:val="center"/>
              <w:rPr>
                <w:rFonts w:ascii="Times New Roman" w:hAnsi="Times New Roman" w:cs="Times New Roman"/>
                <w:sz w:val="16"/>
                <w:szCs w:val="16"/>
              </w:rPr>
            </w:pPr>
          </w:p>
        </w:tc>
        <w:tc>
          <w:tcPr>
            <w:tcW w:w="696" w:type="dxa"/>
            <w:vAlign w:val="center"/>
            <w:hideMark/>
          </w:tcPr>
          <w:p w14:paraId="7335A76F" w14:textId="77777777" w:rsidR="00B42586" w:rsidRPr="006F2ABC" w:rsidRDefault="00B42586" w:rsidP="00F52ADD">
            <w:pPr>
              <w:pStyle w:val="NoSpacing"/>
              <w:jc w:val="center"/>
              <w:rPr>
                <w:rFonts w:ascii="Times New Roman" w:hAnsi="Times New Roman" w:cs="Times New Roman"/>
                <w:sz w:val="16"/>
                <w:szCs w:val="16"/>
              </w:rPr>
            </w:pPr>
          </w:p>
        </w:tc>
        <w:tc>
          <w:tcPr>
            <w:tcW w:w="709" w:type="dxa"/>
            <w:vAlign w:val="center"/>
            <w:hideMark/>
          </w:tcPr>
          <w:p w14:paraId="6C65382B" w14:textId="77777777" w:rsidR="00B42586" w:rsidRPr="006F2ABC" w:rsidRDefault="00B42586" w:rsidP="00F52ADD">
            <w:pPr>
              <w:pStyle w:val="NoSpacing"/>
              <w:jc w:val="center"/>
              <w:rPr>
                <w:rFonts w:ascii="Times New Roman" w:hAnsi="Times New Roman" w:cs="Times New Roman"/>
                <w:sz w:val="16"/>
                <w:szCs w:val="16"/>
              </w:rPr>
            </w:pPr>
          </w:p>
        </w:tc>
        <w:tc>
          <w:tcPr>
            <w:tcW w:w="969" w:type="dxa"/>
            <w:vAlign w:val="center"/>
            <w:hideMark/>
          </w:tcPr>
          <w:p w14:paraId="0228CABA" w14:textId="77777777" w:rsidR="00B42586" w:rsidRPr="006F2ABC" w:rsidRDefault="00B42586" w:rsidP="00F52ADD">
            <w:pPr>
              <w:pStyle w:val="NoSpacing"/>
              <w:jc w:val="center"/>
              <w:rPr>
                <w:rFonts w:ascii="Times New Roman" w:hAnsi="Times New Roman" w:cs="Times New Roman"/>
                <w:sz w:val="16"/>
                <w:szCs w:val="16"/>
              </w:rPr>
            </w:pPr>
          </w:p>
        </w:tc>
        <w:tc>
          <w:tcPr>
            <w:tcW w:w="963" w:type="dxa"/>
            <w:vAlign w:val="center"/>
            <w:hideMark/>
          </w:tcPr>
          <w:p w14:paraId="71F5F3D8" w14:textId="77777777" w:rsidR="00B42586" w:rsidRPr="006F2ABC" w:rsidRDefault="00B42586" w:rsidP="00F52ADD">
            <w:pPr>
              <w:pStyle w:val="NoSpacing"/>
              <w:jc w:val="center"/>
              <w:rPr>
                <w:rFonts w:ascii="Times New Roman" w:hAnsi="Times New Roman" w:cs="Times New Roman"/>
                <w:sz w:val="16"/>
                <w:szCs w:val="16"/>
              </w:rPr>
            </w:pPr>
          </w:p>
        </w:tc>
        <w:tc>
          <w:tcPr>
            <w:tcW w:w="992" w:type="dxa"/>
            <w:vAlign w:val="center"/>
            <w:hideMark/>
          </w:tcPr>
          <w:p w14:paraId="0398A11B" w14:textId="77777777" w:rsidR="00B42586" w:rsidRPr="006F2ABC" w:rsidRDefault="00B42586" w:rsidP="00F52ADD">
            <w:pPr>
              <w:pStyle w:val="NoSpacing"/>
              <w:jc w:val="center"/>
              <w:rPr>
                <w:rFonts w:ascii="Times New Roman" w:hAnsi="Times New Roman" w:cs="Times New Roman"/>
                <w:sz w:val="16"/>
                <w:szCs w:val="16"/>
              </w:rPr>
            </w:pPr>
          </w:p>
        </w:tc>
      </w:tr>
      <w:tr w:rsidR="006F2ABC" w:rsidRPr="006F2ABC" w14:paraId="17880368" w14:textId="77777777" w:rsidTr="005858A3">
        <w:trPr>
          <w:trHeight w:val="20"/>
          <w:jc w:val="center"/>
        </w:trPr>
        <w:tc>
          <w:tcPr>
            <w:tcW w:w="2694" w:type="dxa"/>
            <w:vAlign w:val="center"/>
            <w:hideMark/>
          </w:tcPr>
          <w:p w14:paraId="0F00B9C3" w14:textId="52A47473"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1. Arunachal Pradesh Bus</w:t>
            </w:r>
          </w:p>
        </w:tc>
        <w:tc>
          <w:tcPr>
            <w:tcW w:w="851" w:type="dxa"/>
            <w:vAlign w:val="center"/>
            <w:hideMark/>
          </w:tcPr>
          <w:p w14:paraId="29E321E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90.00</w:t>
            </w:r>
          </w:p>
        </w:tc>
        <w:tc>
          <w:tcPr>
            <w:tcW w:w="708" w:type="dxa"/>
            <w:vAlign w:val="center"/>
            <w:hideMark/>
          </w:tcPr>
          <w:p w14:paraId="0998F11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54.00</w:t>
            </w:r>
          </w:p>
        </w:tc>
        <w:tc>
          <w:tcPr>
            <w:tcW w:w="709" w:type="dxa"/>
            <w:vAlign w:val="center"/>
            <w:hideMark/>
          </w:tcPr>
          <w:p w14:paraId="4B64D19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2.53</w:t>
            </w:r>
          </w:p>
        </w:tc>
        <w:tc>
          <w:tcPr>
            <w:tcW w:w="916" w:type="dxa"/>
            <w:vAlign w:val="center"/>
            <w:hideMark/>
          </w:tcPr>
          <w:p w14:paraId="75C9ABC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0.80</w:t>
            </w:r>
          </w:p>
        </w:tc>
        <w:tc>
          <w:tcPr>
            <w:tcW w:w="696" w:type="dxa"/>
            <w:vAlign w:val="center"/>
            <w:hideMark/>
          </w:tcPr>
          <w:p w14:paraId="54D0D3C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1.90</w:t>
            </w:r>
          </w:p>
        </w:tc>
        <w:tc>
          <w:tcPr>
            <w:tcW w:w="709" w:type="dxa"/>
            <w:vAlign w:val="center"/>
            <w:hideMark/>
          </w:tcPr>
          <w:p w14:paraId="6A59605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5.23</w:t>
            </w:r>
          </w:p>
        </w:tc>
        <w:tc>
          <w:tcPr>
            <w:tcW w:w="969" w:type="dxa"/>
            <w:vAlign w:val="center"/>
            <w:hideMark/>
          </w:tcPr>
          <w:p w14:paraId="01D0FA4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3.70</w:t>
            </w:r>
          </w:p>
        </w:tc>
        <w:tc>
          <w:tcPr>
            <w:tcW w:w="963" w:type="dxa"/>
            <w:vAlign w:val="center"/>
            <w:hideMark/>
          </w:tcPr>
          <w:p w14:paraId="491DB95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14.85</w:t>
            </w:r>
          </w:p>
        </w:tc>
        <w:tc>
          <w:tcPr>
            <w:tcW w:w="992" w:type="dxa"/>
            <w:vAlign w:val="center"/>
            <w:hideMark/>
          </w:tcPr>
          <w:p w14:paraId="145B8EF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113.00</w:t>
            </w:r>
          </w:p>
        </w:tc>
      </w:tr>
      <w:tr w:rsidR="006F2ABC" w:rsidRPr="006F2ABC" w14:paraId="7EB7C9B3" w14:textId="77777777" w:rsidTr="005858A3">
        <w:trPr>
          <w:trHeight w:val="20"/>
          <w:jc w:val="center"/>
        </w:trPr>
        <w:tc>
          <w:tcPr>
            <w:tcW w:w="2694" w:type="dxa"/>
            <w:vAlign w:val="center"/>
            <w:hideMark/>
          </w:tcPr>
          <w:p w14:paraId="57F75B50" w14:textId="4E48D7CD"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 xml:space="preserve">2. Himachal </w:t>
            </w:r>
            <w:proofErr w:type="gramStart"/>
            <w:r w:rsidRPr="006F2ABC">
              <w:rPr>
                <w:rFonts w:ascii="Times New Roman" w:hAnsi="Times New Roman" w:cs="Times New Roman"/>
                <w:sz w:val="16"/>
                <w:szCs w:val="16"/>
              </w:rPr>
              <w:t>Pradesh  Bus</w:t>
            </w:r>
            <w:proofErr w:type="gramEnd"/>
          </w:p>
        </w:tc>
        <w:tc>
          <w:tcPr>
            <w:tcW w:w="851" w:type="dxa"/>
            <w:vAlign w:val="center"/>
            <w:hideMark/>
          </w:tcPr>
          <w:p w14:paraId="4776DE2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94.00</w:t>
            </w:r>
          </w:p>
        </w:tc>
        <w:tc>
          <w:tcPr>
            <w:tcW w:w="708" w:type="dxa"/>
            <w:vAlign w:val="center"/>
            <w:hideMark/>
          </w:tcPr>
          <w:p w14:paraId="36368DE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63.50</w:t>
            </w:r>
          </w:p>
        </w:tc>
        <w:tc>
          <w:tcPr>
            <w:tcW w:w="709" w:type="dxa"/>
            <w:vAlign w:val="center"/>
            <w:hideMark/>
          </w:tcPr>
          <w:p w14:paraId="65EEFF8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3.75</w:t>
            </w:r>
          </w:p>
        </w:tc>
        <w:tc>
          <w:tcPr>
            <w:tcW w:w="916" w:type="dxa"/>
            <w:vAlign w:val="center"/>
            <w:hideMark/>
          </w:tcPr>
          <w:p w14:paraId="1CCCEC3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1.45</w:t>
            </w:r>
          </w:p>
        </w:tc>
        <w:tc>
          <w:tcPr>
            <w:tcW w:w="696" w:type="dxa"/>
            <w:vAlign w:val="center"/>
            <w:hideMark/>
          </w:tcPr>
          <w:p w14:paraId="7C8F4A4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0.72</w:t>
            </w:r>
          </w:p>
        </w:tc>
        <w:tc>
          <w:tcPr>
            <w:tcW w:w="709" w:type="dxa"/>
            <w:vAlign w:val="center"/>
            <w:hideMark/>
          </w:tcPr>
          <w:p w14:paraId="2021848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5.92</w:t>
            </w:r>
          </w:p>
        </w:tc>
        <w:tc>
          <w:tcPr>
            <w:tcW w:w="969" w:type="dxa"/>
            <w:vAlign w:val="center"/>
            <w:hideMark/>
          </w:tcPr>
          <w:p w14:paraId="40E4DBF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3.20</w:t>
            </w:r>
          </w:p>
        </w:tc>
        <w:tc>
          <w:tcPr>
            <w:tcW w:w="963" w:type="dxa"/>
            <w:vAlign w:val="center"/>
            <w:hideMark/>
          </w:tcPr>
          <w:p w14:paraId="26D79F2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16.12</w:t>
            </w:r>
          </w:p>
        </w:tc>
        <w:tc>
          <w:tcPr>
            <w:tcW w:w="992" w:type="dxa"/>
            <w:vAlign w:val="center"/>
            <w:hideMark/>
          </w:tcPr>
          <w:p w14:paraId="3901376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182.00</w:t>
            </w:r>
          </w:p>
        </w:tc>
      </w:tr>
      <w:tr w:rsidR="006F2ABC" w:rsidRPr="006F2ABC" w14:paraId="08C79B98" w14:textId="77777777" w:rsidTr="005858A3">
        <w:trPr>
          <w:trHeight w:val="20"/>
          <w:jc w:val="center"/>
        </w:trPr>
        <w:tc>
          <w:tcPr>
            <w:tcW w:w="2694" w:type="dxa"/>
            <w:vAlign w:val="center"/>
            <w:hideMark/>
          </w:tcPr>
          <w:p w14:paraId="6BC1E351" w14:textId="3A061A6A"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3. Jammu and Kashmir Bus</w:t>
            </w:r>
          </w:p>
        </w:tc>
        <w:tc>
          <w:tcPr>
            <w:tcW w:w="851" w:type="dxa"/>
            <w:vAlign w:val="center"/>
            <w:hideMark/>
          </w:tcPr>
          <w:p w14:paraId="083A8E0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62.00</w:t>
            </w:r>
          </w:p>
        </w:tc>
        <w:tc>
          <w:tcPr>
            <w:tcW w:w="708" w:type="dxa"/>
            <w:vAlign w:val="center"/>
            <w:hideMark/>
          </w:tcPr>
          <w:p w14:paraId="4967F9F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9" w:type="dxa"/>
            <w:vAlign w:val="center"/>
            <w:hideMark/>
          </w:tcPr>
          <w:p w14:paraId="34ED348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7.39</w:t>
            </w:r>
          </w:p>
        </w:tc>
        <w:tc>
          <w:tcPr>
            <w:tcW w:w="916" w:type="dxa"/>
            <w:vAlign w:val="center"/>
            <w:hideMark/>
          </w:tcPr>
          <w:p w14:paraId="0B04D09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2.27</w:t>
            </w:r>
          </w:p>
        </w:tc>
        <w:tc>
          <w:tcPr>
            <w:tcW w:w="696" w:type="dxa"/>
            <w:vAlign w:val="center"/>
            <w:hideMark/>
          </w:tcPr>
          <w:p w14:paraId="52C24D5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1.44</w:t>
            </w:r>
          </w:p>
        </w:tc>
        <w:tc>
          <w:tcPr>
            <w:tcW w:w="709" w:type="dxa"/>
            <w:vAlign w:val="center"/>
            <w:hideMark/>
          </w:tcPr>
          <w:p w14:paraId="031E472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11.10</w:t>
            </w:r>
          </w:p>
        </w:tc>
        <w:tc>
          <w:tcPr>
            <w:tcW w:w="969" w:type="dxa"/>
            <w:vAlign w:val="center"/>
            <w:hideMark/>
          </w:tcPr>
          <w:p w14:paraId="3B9C1AE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3.50</w:t>
            </w:r>
          </w:p>
        </w:tc>
        <w:tc>
          <w:tcPr>
            <w:tcW w:w="963" w:type="dxa"/>
            <w:vAlign w:val="center"/>
            <w:hideMark/>
          </w:tcPr>
          <w:p w14:paraId="6EC1D0B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12.75</w:t>
            </w:r>
          </w:p>
        </w:tc>
        <w:tc>
          <w:tcPr>
            <w:tcW w:w="992" w:type="dxa"/>
            <w:vAlign w:val="center"/>
            <w:hideMark/>
          </w:tcPr>
          <w:p w14:paraId="1C6FD19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81.00</w:t>
            </w:r>
          </w:p>
        </w:tc>
      </w:tr>
      <w:tr w:rsidR="006F2ABC" w:rsidRPr="006F2ABC" w14:paraId="1977D7D7" w14:textId="77777777" w:rsidTr="005858A3">
        <w:trPr>
          <w:trHeight w:val="20"/>
          <w:jc w:val="center"/>
        </w:trPr>
        <w:tc>
          <w:tcPr>
            <w:tcW w:w="2694" w:type="dxa"/>
            <w:vAlign w:val="center"/>
            <w:hideMark/>
          </w:tcPr>
          <w:p w14:paraId="6CA8C99E" w14:textId="7E2FACF1"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Truck</w:t>
            </w:r>
          </w:p>
        </w:tc>
        <w:tc>
          <w:tcPr>
            <w:tcW w:w="851" w:type="dxa"/>
            <w:vAlign w:val="center"/>
            <w:hideMark/>
          </w:tcPr>
          <w:p w14:paraId="224BA37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8" w:type="dxa"/>
            <w:vAlign w:val="center"/>
            <w:hideMark/>
          </w:tcPr>
          <w:p w14:paraId="4ACAE9D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9" w:type="dxa"/>
            <w:vAlign w:val="center"/>
            <w:hideMark/>
          </w:tcPr>
          <w:p w14:paraId="6578CBB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16" w:type="dxa"/>
            <w:vAlign w:val="center"/>
            <w:hideMark/>
          </w:tcPr>
          <w:p w14:paraId="662D298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696" w:type="dxa"/>
            <w:vAlign w:val="center"/>
            <w:hideMark/>
          </w:tcPr>
          <w:p w14:paraId="6D9F741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9" w:type="dxa"/>
            <w:vAlign w:val="center"/>
            <w:hideMark/>
          </w:tcPr>
          <w:p w14:paraId="193571D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69" w:type="dxa"/>
            <w:vAlign w:val="center"/>
            <w:hideMark/>
          </w:tcPr>
          <w:p w14:paraId="325D3D1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63" w:type="dxa"/>
            <w:vAlign w:val="center"/>
            <w:hideMark/>
          </w:tcPr>
          <w:p w14:paraId="3DFC879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34.25</w:t>
            </w:r>
          </w:p>
        </w:tc>
        <w:tc>
          <w:tcPr>
            <w:tcW w:w="992" w:type="dxa"/>
            <w:vAlign w:val="center"/>
            <w:hideMark/>
          </w:tcPr>
          <w:p w14:paraId="1BEACAE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r>
      <w:tr w:rsidR="006F2ABC" w:rsidRPr="006F2ABC" w14:paraId="656CA44B" w14:textId="77777777" w:rsidTr="005858A3">
        <w:trPr>
          <w:trHeight w:val="20"/>
          <w:jc w:val="center"/>
        </w:trPr>
        <w:tc>
          <w:tcPr>
            <w:tcW w:w="2694" w:type="dxa"/>
            <w:vAlign w:val="center"/>
            <w:hideMark/>
          </w:tcPr>
          <w:p w14:paraId="25A0229B" w14:textId="18D95759"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4. Manipur Bus</w:t>
            </w:r>
          </w:p>
        </w:tc>
        <w:tc>
          <w:tcPr>
            <w:tcW w:w="851" w:type="dxa"/>
            <w:vAlign w:val="center"/>
            <w:hideMark/>
          </w:tcPr>
          <w:p w14:paraId="0B5C637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65.00</w:t>
            </w:r>
          </w:p>
        </w:tc>
        <w:tc>
          <w:tcPr>
            <w:tcW w:w="708" w:type="dxa"/>
            <w:vAlign w:val="center"/>
            <w:hideMark/>
          </w:tcPr>
          <w:p w14:paraId="725F6BF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68.00</w:t>
            </w:r>
          </w:p>
        </w:tc>
        <w:tc>
          <w:tcPr>
            <w:tcW w:w="709" w:type="dxa"/>
            <w:vAlign w:val="center"/>
            <w:hideMark/>
          </w:tcPr>
          <w:p w14:paraId="51BDF05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5.40</w:t>
            </w:r>
          </w:p>
        </w:tc>
        <w:tc>
          <w:tcPr>
            <w:tcW w:w="916" w:type="dxa"/>
            <w:vAlign w:val="center"/>
            <w:hideMark/>
          </w:tcPr>
          <w:p w14:paraId="7EBA457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3.90</w:t>
            </w:r>
          </w:p>
        </w:tc>
        <w:tc>
          <w:tcPr>
            <w:tcW w:w="696" w:type="dxa"/>
            <w:vAlign w:val="center"/>
            <w:hideMark/>
          </w:tcPr>
          <w:p w14:paraId="4B08F7B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3.41</w:t>
            </w:r>
          </w:p>
        </w:tc>
        <w:tc>
          <w:tcPr>
            <w:tcW w:w="709" w:type="dxa"/>
            <w:vAlign w:val="center"/>
            <w:hideMark/>
          </w:tcPr>
          <w:p w14:paraId="32134A7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12.71</w:t>
            </w:r>
          </w:p>
        </w:tc>
        <w:tc>
          <w:tcPr>
            <w:tcW w:w="969" w:type="dxa"/>
            <w:vAlign w:val="center"/>
            <w:hideMark/>
          </w:tcPr>
          <w:p w14:paraId="291DB40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3.46</w:t>
            </w:r>
          </w:p>
        </w:tc>
        <w:tc>
          <w:tcPr>
            <w:tcW w:w="963" w:type="dxa"/>
            <w:vAlign w:val="center"/>
            <w:hideMark/>
          </w:tcPr>
          <w:p w14:paraId="738FDB0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34.06</w:t>
            </w:r>
          </w:p>
        </w:tc>
        <w:tc>
          <w:tcPr>
            <w:tcW w:w="992" w:type="dxa"/>
            <w:vAlign w:val="center"/>
            <w:hideMark/>
          </w:tcPr>
          <w:p w14:paraId="70D2E373"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21.49</w:t>
            </w:r>
          </w:p>
        </w:tc>
      </w:tr>
      <w:tr w:rsidR="006F2ABC" w:rsidRPr="006F2ABC" w14:paraId="3F5E9CC3" w14:textId="77777777" w:rsidTr="005858A3">
        <w:trPr>
          <w:trHeight w:val="20"/>
          <w:jc w:val="center"/>
        </w:trPr>
        <w:tc>
          <w:tcPr>
            <w:tcW w:w="2694" w:type="dxa"/>
            <w:vAlign w:val="center"/>
            <w:hideMark/>
          </w:tcPr>
          <w:p w14:paraId="13E7B248" w14:textId="060A9DA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Truck</w:t>
            </w:r>
          </w:p>
        </w:tc>
        <w:tc>
          <w:tcPr>
            <w:tcW w:w="851" w:type="dxa"/>
            <w:vAlign w:val="center"/>
            <w:hideMark/>
          </w:tcPr>
          <w:p w14:paraId="3AAF3040"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8" w:type="dxa"/>
            <w:vAlign w:val="center"/>
            <w:hideMark/>
          </w:tcPr>
          <w:p w14:paraId="6DDAD4A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9" w:type="dxa"/>
            <w:vAlign w:val="center"/>
            <w:hideMark/>
          </w:tcPr>
          <w:p w14:paraId="7F1CD67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16" w:type="dxa"/>
            <w:vAlign w:val="center"/>
            <w:hideMark/>
          </w:tcPr>
          <w:p w14:paraId="105D991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696" w:type="dxa"/>
            <w:vAlign w:val="center"/>
            <w:hideMark/>
          </w:tcPr>
          <w:p w14:paraId="71C6977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9" w:type="dxa"/>
            <w:vAlign w:val="center"/>
            <w:hideMark/>
          </w:tcPr>
          <w:p w14:paraId="6AAD8C1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69" w:type="dxa"/>
            <w:vAlign w:val="center"/>
            <w:hideMark/>
          </w:tcPr>
          <w:p w14:paraId="1EE442D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63" w:type="dxa"/>
            <w:vAlign w:val="center"/>
            <w:hideMark/>
          </w:tcPr>
          <w:p w14:paraId="35E629C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50.00</w:t>
            </w:r>
          </w:p>
        </w:tc>
        <w:tc>
          <w:tcPr>
            <w:tcW w:w="992" w:type="dxa"/>
            <w:vAlign w:val="center"/>
            <w:hideMark/>
          </w:tcPr>
          <w:p w14:paraId="59DE473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7.90</w:t>
            </w:r>
          </w:p>
        </w:tc>
      </w:tr>
      <w:tr w:rsidR="006F2ABC" w:rsidRPr="006F2ABC" w14:paraId="79A0520E" w14:textId="77777777" w:rsidTr="005858A3">
        <w:trPr>
          <w:trHeight w:val="20"/>
          <w:jc w:val="center"/>
        </w:trPr>
        <w:tc>
          <w:tcPr>
            <w:tcW w:w="2694" w:type="dxa"/>
            <w:vAlign w:val="center"/>
            <w:hideMark/>
          </w:tcPr>
          <w:p w14:paraId="2BB0BCE2" w14:textId="131EE3C6"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5. Meghalaya Bus</w:t>
            </w:r>
          </w:p>
        </w:tc>
        <w:tc>
          <w:tcPr>
            <w:tcW w:w="851" w:type="dxa"/>
            <w:vAlign w:val="center"/>
            <w:hideMark/>
          </w:tcPr>
          <w:p w14:paraId="364AEDF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70.00</w:t>
            </w:r>
          </w:p>
        </w:tc>
        <w:tc>
          <w:tcPr>
            <w:tcW w:w="708" w:type="dxa"/>
            <w:vAlign w:val="center"/>
            <w:hideMark/>
          </w:tcPr>
          <w:p w14:paraId="7398CC1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73.00</w:t>
            </w:r>
          </w:p>
        </w:tc>
        <w:tc>
          <w:tcPr>
            <w:tcW w:w="709" w:type="dxa"/>
            <w:vAlign w:val="center"/>
            <w:hideMark/>
          </w:tcPr>
          <w:p w14:paraId="47DB602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5.71</w:t>
            </w:r>
          </w:p>
        </w:tc>
        <w:tc>
          <w:tcPr>
            <w:tcW w:w="916" w:type="dxa"/>
            <w:vAlign w:val="center"/>
            <w:hideMark/>
          </w:tcPr>
          <w:p w14:paraId="4603CBE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3.03</w:t>
            </w:r>
          </w:p>
        </w:tc>
        <w:tc>
          <w:tcPr>
            <w:tcW w:w="696" w:type="dxa"/>
            <w:vAlign w:val="center"/>
            <w:hideMark/>
          </w:tcPr>
          <w:p w14:paraId="1AB1FE5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1.53</w:t>
            </w:r>
          </w:p>
        </w:tc>
        <w:tc>
          <w:tcPr>
            <w:tcW w:w="709" w:type="dxa"/>
            <w:vAlign w:val="center"/>
            <w:hideMark/>
          </w:tcPr>
          <w:p w14:paraId="3977038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10.27</w:t>
            </w:r>
          </w:p>
        </w:tc>
        <w:tc>
          <w:tcPr>
            <w:tcW w:w="969" w:type="dxa"/>
            <w:vAlign w:val="center"/>
            <w:hideMark/>
          </w:tcPr>
          <w:p w14:paraId="25CF4D8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3.46</w:t>
            </w:r>
          </w:p>
        </w:tc>
        <w:tc>
          <w:tcPr>
            <w:tcW w:w="963" w:type="dxa"/>
            <w:vAlign w:val="center"/>
            <w:hideMark/>
          </w:tcPr>
          <w:p w14:paraId="1CDDF4B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NIL</w:t>
            </w:r>
          </w:p>
        </w:tc>
        <w:tc>
          <w:tcPr>
            <w:tcW w:w="992" w:type="dxa"/>
            <w:vAlign w:val="center"/>
            <w:hideMark/>
          </w:tcPr>
          <w:p w14:paraId="0A01943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93.00</w:t>
            </w:r>
          </w:p>
        </w:tc>
      </w:tr>
      <w:tr w:rsidR="006F2ABC" w:rsidRPr="006F2ABC" w14:paraId="60038D81" w14:textId="77777777" w:rsidTr="005858A3">
        <w:trPr>
          <w:trHeight w:val="20"/>
          <w:jc w:val="center"/>
        </w:trPr>
        <w:tc>
          <w:tcPr>
            <w:tcW w:w="2694" w:type="dxa"/>
            <w:vAlign w:val="center"/>
            <w:hideMark/>
          </w:tcPr>
          <w:p w14:paraId="1678CCE3" w14:textId="09C18959"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6. Mizoram Bus</w:t>
            </w:r>
          </w:p>
        </w:tc>
        <w:tc>
          <w:tcPr>
            <w:tcW w:w="851" w:type="dxa"/>
            <w:vAlign w:val="center"/>
            <w:hideMark/>
          </w:tcPr>
          <w:p w14:paraId="3358E63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75.00</w:t>
            </w:r>
          </w:p>
        </w:tc>
        <w:tc>
          <w:tcPr>
            <w:tcW w:w="708" w:type="dxa"/>
            <w:vAlign w:val="center"/>
            <w:hideMark/>
          </w:tcPr>
          <w:p w14:paraId="7484F6A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89.00</w:t>
            </w:r>
          </w:p>
        </w:tc>
        <w:tc>
          <w:tcPr>
            <w:tcW w:w="709" w:type="dxa"/>
            <w:vAlign w:val="center"/>
            <w:hideMark/>
          </w:tcPr>
          <w:p w14:paraId="2BF7CF6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2.73</w:t>
            </w:r>
          </w:p>
        </w:tc>
        <w:tc>
          <w:tcPr>
            <w:tcW w:w="916" w:type="dxa"/>
            <w:vAlign w:val="center"/>
            <w:hideMark/>
          </w:tcPr>
          <w:p w14:paraId="5CDD18D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0.90</w:t>
            </w:r>
          </w:p>
        </w:tc>
        <w:tc>
          <w:tcPr>
            <w:tcW w:w="696" w:type="dxa"/>
            <w:vAlign w:val="center"/>
            <w:hideMark/>
          </w:tcPr>
          <w:p w14:paraId="290F735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0.55</w:t>
            </w:r>
          </w:p>
        </w:tc>
        <w:tc>
          <w:tcPr>
            <w:tcW w:w="709" w:type="dxa"/>
            <w:vAlign w:val="center"/>
            <w:hideMark/>
          </w:tcPr>
          <w:p w14:paraId="50C9562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4.18</w:t>
            </w:r>
          </w:p>
        </w:tc>
        <w:tc>
          <w:tcPr>
            <w:tcW w:w="969" w:type="dxa"/>
            <w:vAlign w:val="center"/>
            <w:hideMark/>
          </w:tcPr>
          <w:p w14:paraId="56FC00A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2.80</w:t>
            </w:r>
          </w:p>
        </w:tc>
        <w:tc>
          <w:tcPr>
            <w:tcW w:w="963" w:type="dxa"/>
            <w:vAlign w:val="center"/>
            <w:hideMark/>
          </w:tcPr>
          <w:p w14:paraId="1CB297C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19.00</w:t>
            </w:r>
          </w:p>
        </w:tc>
        <w:tc>
          <w:tcPr>
            <w:tcW w:w="992" w:type="dxa"/>
            <w:vAlign w:val="center"/>
            <w:hideMark/>
          </w:tcPr>
          <w:p w14:paraId="0A75B09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43.00</w:t>
            </w:r>
          </w:p>
        </w:tc>
      </w:tr>
      <w:tr w:rsidR="006F2ABC" w:rsidRPr="006F2ABC" w14:paraId="2E2EA494" w14:textId="77777777" w:rsidTr="005858A3">
        <w:trPr>
          <w:trHeight w:val="20"/>
          <w:jc w:val="center"/>
        </w:trPr>
        <w:tc>
          <w:tcPr>
            <w:tcW w:w="2694" w:type="dxa"/>
            <w:vAlign w:val="center"/>
            <w:hideMark/>
          </w:tcPr>
          <w:p w14:paraId="03587E1C" w14:textId="6AABCF6D"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7. Nagaland Bus</w:t>
            </w:r>
          </w:p>
        </w:tc>
        <w:tc>
          <w:tcPr>
            <w:tcW w:w="851" w:type="dxa"/>
            <w:vAlign w:val="center"/>
            <w:hideMark/>
          </w:tcPr>
          <w:p w14:paraId="74EAAF6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69.00</w:t>
            </w:r>
          </w:p>
        </w:tc>
        <w:tc>
          <w:tcPr>
            <w:tcW w:w="708" w:type="dxa"/>
            <w:vAlign w:val="center"/>
            <w:hideMark/>
          </w:tcPr>
          <w:p w14:paraId="6A578A8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69.00</w:t>
            </w:r>
          </w:p>
        </w:tc>
        <w:tc>
          <w:tcPr>
            <w:tcW w:w="709" w:type="dxa"/>
            <w:vAlign w:val="center"/>
            <w:hideMark/>
          </w:tcPr>
          <w:p w14:paraId="3B698EB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4.16</w:t>
            </w:r>
          </w:p>
        </w:tc>
        <w:tc>
          <w:tcPr>
            <w:tcW w:w="916" w:type="dxa"/>
            <w:vAlign w:val="center"/>
            <w:hideMark/>
          </w:tcPr>
          <w:p w14:paraId="5B95EFF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2.06</w:t>
            </w:r>
          </w:p>
        </w:tc>
        <w:tc>
          <w:tcPr>
            <w:tcW w:w="696" w:type="dxa"/>
            <w:vAlign w:val="center"/>
            <w:hideMark/>
          </w:tcPr>
          <w:p w14:paraId="22244BA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0.65</w:t>
            </w:r>
          </w:p>
        </w:tc>
        <w:tc>
          <w:tcPr>
            <w:tcW w:w="709" w:type="dxa"/>
            <w:vAlign w:val="center"/>
            <w:hideMark/>
          </w:tcPr>
          <w:p w14:paraId="6577D70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6.87</w:t>
            </w:r>
          </w:p>
        </w:tc>
        <w:tc>
          <w:tcPr>
            <w:tcW w:w="969" w:type="dxa"/>
            <w:vAlign w:val="center"/>
            <w:hideMark/>
          </w:tcPr>
          <w:p w14:paraId="4180332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3.75</w:t>
            </w:r>
          </w:p>
        </w:tc>
        <w:tc>
          <w:tcPr>
            <w:tcW w:w="963" w:type="dxa"/>
            <w:vAlign w:val="center"/>
            <w:hideMark/>
          </w:tcPr>
          <w:p w14:paraId="6E38422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23.23</w:t>
            </w:r>
          </w:p>
        </w:tc>
        <w:tc>
          <w:tcPr>
            <w:tcW w:w="992" w:type="dxa"/>
            <w:vAlign w:val="center"/>
            <w:hideMark/>
          </w:tcPr>
          <w:p w14:paraId="7F4FA9B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97.00</w:t>
            </w:r>
          </w:p>
        </w:tc>
      </w:tr>
      <w:tr w:rsidR="006F2ABC" w:rsidRPr="006F2ABC" w14:paraId="762088BF" w14:textId="77777777" w:rsidTr="005858A3">
        <w:trPr>
          <w:trHeight w:val="20"/>
          <w:jc w:val="center"/>
        </w:trPr>
        <w:tc>
          <w:tcPr>
            <w:tcW w:w="2694" w:type="dxa"/>
            <w:vAlign w:val="center"/>
            <w:hideMark/>
          </w:tcPr>
          <w:p w14:paraId="4E6C862D" w14:textId="703562B3"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8. Sikkim Bus</w:t>
            </w:r>
          </w:p>
        </w:tc>
        <w:tc>
          <w:tcPr>
            <w:tcW w:w="851" w:type="dxa"/>
            <w:vAlign w:val="center"/>
            <w:hideMark/>
          </w:tcPr>
          <w:p w14:paraId="34643FF8"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70.00</w:t>
            </w:r>
          </w:p>
        </w:tc>
        <w:tc>
          <w:tcPr>
            <w:tcW w:w="708" w:type="dxa"/>
            <w:vAlign w:val="center"/>
            <w:hideMark/>
          </w:tcPr>
          <w:p w14:paraId="04F6DBD9"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47.00</w:t>
            </w:r>
          </w:p>
        </w:tc>
        <w:tc>
          <w:tcPr>
            <w:tcW w:w="709" w:type="dxa"/>
            <w:vAlign w:val="center"/>
            <w:hideMark/>
          </w:tcPr>
          <w:p w14:paraId="0D5CC3A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6.21</w:t>
            </w:r>
          </w:p>
        </w:tc>
        <w:tc>
          <w:tcPr>
            <w:tcW w:w="916" w:type="dxa"/>
            <w:vAlign w:val="center"/>
            <w:hideMark/>
          </w:tcPr>
          <w:p w14:paraId="3ACA19B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4.31</w:t>
            </w:r>
          </w:p>
        </w:tc>
        <w:tc>
          <w:tcPr>
            <w:tcW w:w="696" w:type="dxa"/>
            <w:vAlign w:val="center"/>
            <w:hideMark/>
          </w:tcPr>
          <w:p w14:paraId="7649184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4.42</w:t>
            </w:r>
          </w:p>
        </w:tc>
        <w:tc>
          <w:tcPr>
            <w:tcW w:w="709" w:type="dxa"/>
            <w:vAlign w:val="center"/>
            <w:hideMark/>
          </w:tcPr>
          <w:p w14:paraId="6D347E3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14.94</w:t>
            </w:r>
          </w:p>
        </w:tc>
        <w:tc>
          <w:tcPr>
            <w:tcW w:w="969" w:type="dxa"/>
            <w:vAlign w:val="center"/>
            <w:hideMark/>
          </w:tcPr>
          <w:p w14:paraId="11DA9631"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3.00</w:t>
            </w:r>
          </w:p>
        </w:tc>
        <w:tc>
          <w:tcPr>
            <w:tcW w:w="963" w:type="dxa"/>
            <w:vAlign w:val="center"/>
            <w:hideMark/>
          </w:tcPr>
          <w:p w14:paraId="09C08EA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15.00</w:t>
            </w:r>
          </w:p>
        </w:tc>
        <w:tc>
          <w:tcPr>
            <w:tcW w:w="992" w:type="dxa"/>
            <w:vAlign w:val="center"/>
            <w:hideMark/>
          </w:tcPr>
          <w:p w14:paraId="3B2E312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60.00</w:t>
            </w:r>
          </w:p>
        </w:tc>
      </w:tr>
      <w:tr w:rsidR="006F2ABC" w:rsidRPr="006F2ABC" w14:paraId="0F3673B2" w14:textId="77777777" w:rsidTr="005858A3">
        <w:trPr>
          <w:trHeight w:val="20"/>
          <w:jc w:val="center"/>
        </w:trPr>
        <w:tc>
          <w:tcPr>
            <w:tcW w:w="2694" w:type="dxa"/>
            <w:vAlign w:val="center"/>
            <w:hideMark/>
          </w:tcPr>
          <w:p w14:paraId="592AF096" w14:textId="604ECC22"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Truck</w:t>
            </w:r>
          </w:p>
        </w:tc>
        <w:tc>
          <w:tcPr>
            <w:tcW w:w="851" w:type="dxa"/>
            <w:vAlign w:val="center"/>
            <w:hideMark/>
          </w:tcPr>
          <w:p w14:paraId="5F5C853B"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75.00</w:t>
            </w:r>
          </w:p>
        </w:tc>
        <w:tc>
          <w:tcPr>
            <w:tcW w:w="708" w:type="dxa"/>
            <w:vAlign w:val="center"/>
            <w:hideMark/>
          </w:tcPr>
          <w:p w14:paraId="7B7000F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63.00</w:t>
            </w:r>
          </w:p>
        </w:tc>
        <w:tc>
          <w:tcPr>
            <w:tcW w:w="709" w:type="dxa"/>
            <w:vAlign w:val="center"/>
            <w:hideMark/>
          </w:tcPr>
          <w:p w14:paraId="12E32B4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16" w:type="dxa"/>
            <w:vAlign w:val="center"/>
            <w:hideMark/>
          </w:tcPr>
          <w:p w14:paraId="3000FBC5"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696" w:type="dxa"/>
            <w:vAlign w:val="center"/>
            <w:hideMark/>
          </w:tcPr>
          <w:p w14:paraId="30C78364"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709" w:type="dxa"/>
            <w:vAlign w:val="center"/>
            <w:hideMark/>
          </w:tcPr>
          <w:p w14:paraId="7108707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NR</w:t>
            </w:r>
          </w:p>
        </w:tc>
        <w:tc>
          <w:tcPr>
            <w:tcW w:w="969" w:type="dxa"/>
            <w:vAlign w:val="center"/>
            <w:hideMark/>
          </w:tcPr>
          <w:p w14:paraId="6BCF569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3.04</w:t>
            </w:r>
          </w:p>
        </w:tc>
        <w:tc>
          <w:tcPr>
            <w:tcW w:w="963" w:type="dxa"/>
            <w:vAlign w:val="center"/>
            <w:hideMark/>
          </w:tcPr>
          <w:p w14:paraId="0C3A35F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18.00</w:t>
            </w:r>
          </w:p>
        </w:tc>
        <w:tc>
          <w:tcPr>
            <w:tcW w:w="992" w:type="dxa"/>
            <w:vAlign w:val="center"/>
            <w:hideMark/>
          </w:tcPr>
          <w:p w14:paraId="30357E2E"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59.00</w:t>
            </w:r>
          </w:p>
        </w:tc>
      </w:tr>
      <w:tr w:rsidR="006F2ABC" w:rsidRPr="006F2ABC" w14:paraId="12833AA0" w14:textId="77777777" w:rsidTr="005858A3">
        <w:trPr>
          <w:trHeight w:val="20"/>
          <w:jc w:val="center"/>
        </w:trPr>
        <w:tc>
          <w:tcPr>
            <w:tcW w:w="2694" w:type="dxa"/>
            <w:vAlign w:val="center"/>
            <w:hideMark/>
          </w:tcPr>
          <w:p w14:paraId="370123FE" w14:textId="77777777" w:rsidR="00B42586" w:rsidRPr="006F2ABC" w:rsidRDefault="00B42586" w:rsidP="00F52ADD">
            <w:pPr>
              <w:pStyle w:val="NoSpacing"/>
              <w:rPr>
                <w:rFonts w:ascii="Times New Roman" w:hAnsi="Times New Roman" w:cs="Times New Roman"/>
                <w:sz w:val="16"/>
                <w:szCs w:val="16"/>
              </w:rPr>
            </w:pPr>
            <w:r w:rsidRPr="006F2ABC">
              <w:rPr>
                <w:rFonts w:ascii="Times New Roman" w:hAnsi="Times New Roman" w:cs="Times New Roman"/>
                <w:sz w:val="16"/>
                <w:szCs w:val="16"/>
              </w:rPr>
              <w:t>9. Tripura</w:t>
            </w:r>
          </w:p>
        </w:tc>
        <w:tc>
          <w:tcPr>
            <w:tcW w:w="851" w:type="dxa"/>
            <w:vAlign w:val="center"/>
            <w:hideMark/>
          </w:tcPr>
          <w:p w14:paraId="41CEA72F"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59.00</w:t>
            </w:r>
          </w:p>
        </w:tc>
        <w:tc>
          <w:tcPr>
            <w:tcW w:w="708" w:type="dxa"/>
            <w:vAlign w:val="center"/>
            <w:hideMark/>
          </w:tcPr>
          <w:p w14:paraId="2FF07CB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83.00</w:t>
            </w:r>
          </w:p>
        </w:tc>
        <w:tc>
          <w:tcPr>
            <w:tcW w:w="709" w:type="dxa"/>
            <w:vAlign w:val="center"/>
            <w:hideMark/>
          </w:tcPr>
          <w:p w14:paraId="37EDF6C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5.80</w:t>
            </w:r>
          </w:p>
        </w:tc>
        <w:tc>
          <w:tcPr>
            <w:tcW w:w="916" w:type="dxa"/>
            <w:vAlign w:val="center"/>
            <w:hideMark/>
          </w:tcPr>
          <w:p w14:paraId="3F216997"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2.79</w:t>
            </w:r>
          </w:p>
        </w:tc>
        <w:tc>
          <w:tcPr>
            <w:tcW w:w="696" w:type="dxa"/>
            <w:vAlign w:val="center"/>
            <w:hideMark/>
          </w:tcPr>
          <w:p w14:paraId="7FDCA742"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1.77</w:t>
            </w:r>
          </w:p>
        </w:tc>
        <w:tc>
          <w:tcPr>
            <w:tcW w:w="709" w:type="dxa"/>
            <w:vAlign w:val="center"/>
            <w:hideMark/>
          </w:tcPr>
          <w:p w14:paraId="4F099446"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10.36</w:t>
            </w:r>
          </w:p>
        </w:tc>
        <w:tc>
          <w:tcPr>
            <w:tcW w:w="969" w:type="dxa"/>
            <w:vAlign w:val="center"/>
            <w:hideMark/>
          </w:tcPr>
          <w:p w14:paraId="3D8A20AA"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3.40</w:t>
            </w:r>
          </w:p>
        </w:tc>
        <w:tc>
          <w:tcPr>
            <w:tcW w:w="963" w:type="dxa"/>
            <w:vAlign w:val="center"/>
            <w:hideMark/>
          </w:tcPr>
          <w:p w14:paraId="7713EE6C"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11.46</w:t>
            </w:r>
          </w:p>
        </w:tc>
        <w:tc>
          <w:tcPr>
            <w:tcW w:w="992" w:type="dxa"/>
            <w:vAlign w:val="center"/>
            <w:hideMark/>
          </w:tcPr>
          <w:p w14:paraId="52AEAF2D" w14:textId="77777777" w:rsidR="00B42586" w:rsidRPr="006F2ABC" w:rsidRDefault="00B42586" w:rsidP="00F52ADD">
            <w:pPr>
              <w:pStyle w:val="NoSpacing"/>
              <w:jc w:val="center"/>
              <w:rPr>
                <w:rFonts w:ascii="Times New Roman" w:hAnsi="Times New Roman" w:cs="Times New Roman"/>
                <w:sz w:val="16"/>
                <w:szCs w:val="16"/>
              </w:rPr>
            </w:pPr>
            <w:r w:rsidRPr="006F2ABC">
              <w:rPr>
                <w:rFonts w:ascii="Times New Roman" w:hAnsi="Times New Roman" w:cs="Times New Roman"/>
                <w:sz w:val="16"/>
                <w:szCs w:val="16"/>
              </w:rPr>
              <w:t>68.00</w:t>
            </w:r>
          </w:p>
        </w:tc>
      </w:tr>
    </w:tbl>
    <w:p w14:paraId="2205398C" w14:textId="00E25C95" w:rsidR="00F2729A" w:rsidRPr="006F2ABC" w:rsidRDefault="00E86F61" w:rsidP="00AB335A">
      <w:pPr>
        <w:pStyle w:val="NoSpacing"/>
        <w:rPr>
          <w:rFonts w:ascii="Times New Roman" w:hAnsi="Times New Roman" w:cs="Times New Roman"/>
          <w:sz w:val="8"/>
          <w:szCs w:val="8"/>
        </w:rPr>
      </w:pPr>
      <w:r w:rsidRPr="001A43EB">
        <w:rPr>
          <w:rFonts w:ascii="Times New Roman" w:hAnsi="Times New Roman" w:cs="Times New Roman"/>
          <w:sz w:val="14"/>
          <w:szCs w:val="14"/>
        </w:rPr>
        <w:t>NR: Not reported.</w:t>
      </w:r>
      <w:r w:rsidRPr="001A43EB">
        <w:rPr>
          <w:rFonts w:ascii="Times New Roman" w:hAnsi="Times New Roman" w:cs="Times New Roman"/>
          <w:sz w:val="14"/>
          <w:szCs w:val="14"/>
        </w:rPr>
        <w:br/>
        <w:t>** Source: Government of Mizoram.</w:t>
      </w:r>
      <w:r w:rsidRPr="001A43EB">
        <w:rPr>
          <w:rFonts w:ascii="Times New Roman" w:hAnsi="Times New Roman" w:cs="Times New Roman"/>
          <w:sz w:val="14"/>
          <w:szCs w:val="14"/>
        </w:rPr>
        <w:br/>
        <w:t>Source: Planning Commission</w:t>
      </w:r>
    </w:p>
    <w:p w14:paraId="4459CD64" w14:textId="77777777" w:rsidR="005858A3" w:rsidRDefault="005858A3">
      <w:pPr>
        <w:rPr>
          <w:rFonts w:ascii="Times New Roman" w:hAnsi="Times New Roman" w:cs="Times New Roman"/>
          <w:b/>
          <w:bCs/>
          <w:sz w:val="20"/>
          <w:szCs w:val="20"/>
        </w:rPr>
      </w:pPr>
      <w:bookmarkStart w:id="65" w:name="_Toc221292990"/>
      <w:r>
        <w:rPr>
          <w:sz w:val="20"/>
          <w:szCs w:val="20"/>
        </w:rPr>
        <w:br w:type="page"/>
      </w:r>
    </w:p>
    <w:p w14:paraId="375C0EC5" w14:textId="4BD1A2A7" w:rsidR="00E86F61" w:rsidRPr="006F2ABC" w:rsidRDefault="00E86F61" w:rsidP="00F52ADD">
      <w:pPr>
        <w:pStyle w:val="Heading2"/>
        <w:rPr>
          <w:sz w:val="20"/>
          <w:szCs w:val="20"/>
        </w:rPr>
      </w:pPr>
      <w:bookmarkStart w:id="66" w:name="_Toc222399481"/>
      <w:r w:rsidRPr="006F2ABC">
        <w:rPr>
          <w:sz w:val="20"/>
          <w:szCs w:val="20"/>
        </w:rPr>
        <w:lastRenderedPageBreak/>
        <w:t>ANNEXURE III.8</w:t>
      </w:r>
      <w:r w:rsidR="00F52ADD" w:rsidRPr="006F2ABC">
        <w:rPr>
          <w:sz w:val="20"/>
          <w:szCs w:val="20"/>
        </w:rPr>
        <w:br/>
      </w:r>
      <w:r w:rsidRPr="006F2ABC">
        <w:rPr>
          <w:sz w:val="20"/>
          <w:szCs w:val="20"/>
        </w:rPr>
        <w:t xml:space="preserve">Return Assessed </w:t>
      </w:r>
      <w:proofErr w:type="gramStart"/>
      <w:r w:rsidRPr="006F2ABC">
        <w:rPr>
          <w:sz w:val="20"/>
          <w:szCs w:val="20"/>
        </w:rPr>
        <w:t>At</w:t>
      </w:r>
      <w:proofErr w:type="gramEnd"/>
      <w:r w:rsidRPr="006F2ABC">
        <w:rPr>
          <w:sz w:val="20"/>
          <w:szCs w:val="20"/>
        </w:rPr>
        <w:t xml:space="preserve"> Graduated Rates </w:t>
      </w:r>
      <w:proofErr w:type="gramStart"/>
      <w:r w:rsidRPr="006F2ABC">
        <w:rPr>
          <w:sz w:val="20"/>
          <w:szCs w:val="20"/>
        </w:rPr>
        <w:t>On</w:t>
      </w:r>
      <w:proofErr w:type="gramEnd"/>
      <w:r w:rsidRPr="006F2ABC">
        <w:rPr>
          <w:sz w:val="20"/>
          <w:szCs w:val="20"/>
        </w:rPr>
        <w:t xml:space="preserve"> State Governments' Investment </w:t>
      </w:r>
      <w:proofErr w:type="gramStart"/>
      <w:r w:rsidRPr="006F2ABC">
        <w:rPr>
          <w:sz w:val="20"/>
          <w:szCs w:val="20"/>
        </w:rPr>
        <w:t>In</w:t>
      </w:r>
      <w:proofErr w:type="gramEnd"/>
      <w:r w:rsidRPr="006F2ABC">
        <w:rPr>
          <w:sz w:val="20"/>
          <w:szCs w:val="20"/>
        </w:rPr>
        <w:t xml:space="preserve"> Road Transport Undertakings</w:t>
      </w:r>
      <w:r w:rsidRPr="006F2ABC">
        <w:rPr>
          <w:sz w:val="20"/>
          <w:szCs w:val="20"/>
        </w:rPr>
        <w:br/>
        <w:t>(1990-91 to 1094-95)</w:t>
      </w:r>
      <w:bookmarkEnd w:id="65"/>
      <w:bookmarkEnd w:id="66"/>
    </w:p>
    <w:p w14:paraId="4089E73B" w14:textId="057886B2" w:rsidR="00F52ADD" w:rsidRPr="006F2ABC" w:rsidRDefault="00F52ADD" w:rsidP="00FC6A76">
      <w:pPr>
        <w:pStyle w:val="NoSpacing"/>
        <w:spacing w:line="190" w:lineRule="exact"/>
        <w:jc w:val="center"/>
        <w:rPr>
          <w:rFonts w:ascii="Times New Roman" w:hAnsi="Times New Roman" w:cs="Times New Roman"/>
          <w:sz w:val="18"/>
          <w:szCs w:val="16"/>
        </w:rPr>
      </w:pPr>
      <w:r w:rsidRPr="006F2ABC">
        <w:rPr>
          <w:rFonts w:ascii="Times New Roman" w:hAnsi="Times New Roman" w:cs="Times New Roman"/>
          <w:sz w:val="18"/>
          <w:szCs w:val="16"/>
        </w:rPr>
        <w:t>(Para 3.28)</w:t>
      </w:r>
    </w:p>
    <w:p w14:paraId="61AF6D03" w14:textId="77777777" w:rsidR="00E86F61" w:rsidRPr="00F52ADD" w:rsidRDefault="00E86F61" w:rsidP="00367A6F">
      <w:pPr>
        <w:pStyle w:val="NoSpacing"/>
        <w:spacing w:line="190" w:lineRule="exact"/>
        <w:ind w:left="7200" w:firstLine="720"/>
        <w:rPr>
          <w:rFonts w:ascii="Times New Roman" w:hAnsi="Times New Roman" w:cs="Times New Roman"/>
          <w:i/>
          <w:iCs/>
          <w:sz w:val="18"/>
          <w:szCs w:val="16"/>
        </w:rPr>
      </w:pPr>
      <w:r w:rsidRPr="00F52ADD">
        <w:rPr>
          <w:rFonts w:ascii="Times New Roman" w:hAnsi="Times New Roman" w:cs="Times New Roman"/>
          <w:i/>
          <w:iCs/>
          <w:sz w:val="18"/>
          <w:szCs w:val="16"/>
        </w:rPr>
        <w:t>(Rs. Crore)</w:t>
      </w:r>
    </w:p>
    <w:tbl>
      <w:tblPr>
        <w:tblStyle w:val="TableGrid"/>
        <w:tblW w:w="7792" w:type="dxa"/>
        <w:jc w:val="center"/>
        <w:tblLook w:val="04A0" w:firstRow="1" w:lastRow="0" w:firstColumn="1" w:lastColumn="0" w:noHBand="0" w:noVBand="1"/>
      </w:tblPr>
      <w:tblGrid>
        <w:gridCol w:w="417"/>
        <w:gridCol w:w="1279"/>
        <w:gridCol w:w="993"/>
        <w:gridCol w:w="992"/>
        <w:gridCol w:w="992"/>
        <w:gridCol w:w="851"/>
        <w:gridCol w:w="850"/>
        <w:gridCol w:w="1418"/>
      </w:tblGrid>
      <w:tr w:rsidR="00FC6A76" w:rsidRPr="00FC6A76" w14:paraId="1FCEF337" w14:textId="77777777" w:rsidTr="00367A6F">
        <w:trPr>
          <w:trHeight w:val="20"/>
          <w:jc w:val="center"/>
        </w:trPr>
        <w:tc>
          <w:tcPr>
            <w:tcW w:w="1696" w:type="dxa"/>
            <w:gridSpan w:val="2"/>
            <w:vAlign w:val="center"/>
            <w:hideMark/>
          </w:tcPr>
          <w:p w14:paraId="740F2FC6"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States</w:t>
            </w:r>
          </w:p>
        </w:tc>
        <w:tc>
          <w:tcPr>
            <w:tcW w:w="993" w:type="dxa"/>
            <w:vAlign w:val="center"/>
            <w:hideMark/>
          </w:tcPr>
          <w:p w14:paraId="05A8AFED"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1990-91</w:t>
            </w:r>
          </w:p>
        </w:tc>
        <w:tc>
          <w:tcPr>
            <w:tcW w:w="992" w:type="dxa"/>
            <w:vAlign w:val="center"/>
            <w:hideMark/>
          </w:tcPr>
          <w:p w14:paraId="3371C747"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1991-92</w:t>
            </w:r>
          </w:p>
        </w:tc>
        <w:tc>
          <w:tcPr>
            <w:tcW w:w="992" w:type="dxa"/>
            <w:vAlign w:val="center"/>
            <w:hideMark/>
          </w:tcPr>
          <w:p w14:paraId="2EF6C0C4"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1992-93</w:t>
            </w:r>
          </w:p>
        </w:tc>
        <w:tc>
          <w:tcPr>
            <w:tcW w:w="851" w:type="dxa"/>
            <w:vAlign w:val="center"/>
            <w:hideMark/>
          </w:tcPr>
          <w:p w14:paraId="4B4DEE1A"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1993-94</w:t>
            </w:r>
          </w:p>
        </w:tc>
        <w:tc>
          <w:tcPr>
            <w:tcW w:w="850" w:type="dxa"/>
            <w:vAlign w:val="center"/>
            <w:hideMark/>
          </w:tcPr>
          <w:p w14:paraId="07B43F8E"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1994-95</w:t>
            </w:r>
          </w:p>
        </w:tc>
        <w:tc>
          <w:tcPr>
            <w:tcW w:w="1418" w:type="dxa"/>
            <w:vAlign w:val="center"/>
            <w:hideMark/>
          </w:tcPr>
          <w:p w14:paraId="28F6D17A" w14:textId="77777777" w:rsidR="00FC6A76" w:rsidRPr="00FC6A76" w:rsidRDefault="00FC6A76" w:rsidP="00FC6A76">
            <w:pPr>
              <w:pStyle w:val="NoSpacing"/>
              <w:spacing w:line="190" w:lineRule="exact"/>
              <w:jc w:val="center"/>
              <w:rPr>
                <w:rFonts w:ascii="Times New Roman" w:hAnsi="Times New Roman" w:cs="Times New Roman"/>
                <w:b/>
                <w:bCs/>
                <w:sz w:val="16"/>
                <w:szCs w:val="16"/>
              </w:rPr>
            </w:pPr>
            <w:r w:rsidRPr="00FC6A76">
              <w:rPr>
                <w:rFonts w:ascii="Times New Roman" w:hAnsi="Times New Roman" w:cs="Times New Roman"/>
                <w:b/>
                <w:bCs/>
                <w:sz w:val="16"/>
                <w:szCs w:val="16"/>
              </w:rPr>
              <w:t>1990-95 Total</w:t>
            </w:r>
          </w:p>
        </w:tc>
      </w:tr>
      <w:tr w:rsidR="00FC6A76" w:rsidRPr="00FC6A76" w14:paraId="0E7B265F" w14:textId="77777777" w:rsidTr="00367A6F">
        <w:trPr>
          <w:trHeight w:val="20"/>
          <w:jc w:val="center"/>
        </w:trPr>
        <w:tc>
          <w:tcPr>
            <w:tcW w:w="7792" w:type="dxa"/>
            <w:gridSpan w:val="8"/>
            <w:vAlign w:val="center"/>
            <w:hideMark/>
          </w:tcPr>
          <w:p w14:paraId="60F4129E" w14:textId="1E610D6C" w:rsidR="00FC6A76" w:rsidRPr="00FC6A76" w:rsidRDefault="00FC6A76"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b/>
                <w:bCs/>
                <w:sz w:val="16"/>
                <w:szCs w:val="16"/>
              </w:rPr>
              <w:t>Non-Hill States</w:t>
            </w:r>
          </w:p>
        </w:tc>
      </w:tr>
      <w:tr w:rsidR="00E86F61" w:rsidRPr="00FC6A76" w14:paraId="19910CE6" w14:textId="77777777" w:rsidTr="00367A6F">
        <w:trPr>
          <w:trHeight w:val="20"/>
          <w:jc w:val="center"/>
        </w:trPr>
        <w:tc>
          <w:tcPr>
            <w:tcW w:w="0" w:type="auto"/>
            <w:vAlign w:val="center"/>
            <w:hideMark/>
          </w:tcPr>
          <w:p w14:paraId="257BBE5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w:t>
            </w:r>
          </w:p>
        </w:tc>
        <w:tc>
          <w:tcPr>
            <w:tcW w:w="1279" w:type="dxa"/>
            <w:vAlign w:val="center"/>
            <w:hideMark/>
          </w:tcPr>
          <w:p w14:paraId="1742C3F0"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Andhra Pradesh</w:t>
            </w:r>
          </w:p>
        </w:tc>
        <w:tc>
          <w:tcPr>
            <w:tcW w:w="993" w:type="dxa"/>
            <w:vAlign w:val="center"/>
            <w:hideMark/>
          </w:tcPr>
          <w:p w14:paraId="776392F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1.32</w:t>
            </w:r>
          </w:p>
        </w:tc>
        <w:tc>
          <w:tcPr>
            <w:tcW w:w="992" w:type="dxa"/>
            <w:vAlign w:val="center"/>
            <w:hideMark/>
          </w:tcPr>
          <w:p w14:paraId="420A2A8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2.64</w:t>
            </w:r>
          </w:p>
        </w:tc>
        <w:tc>
          <w:tcPr>
            <w:tcW w:w="992" w:type="dxa"/>
            <w:vAlign w:val="center"/>
            <w:hideMark/>
          </w:tcPr>
          <w:p w14:paraId="1B0F6A2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3.96</w:t>
            </w:r>
          </w:p>
        </w:tc>
        <w:tc>
          <w:tcPr>
            <w:tcW w:w="851" w:type="dxa"/>
            <w:vAlign w:val="center"/>
            <w:hideMark/>
          </w:tcPr>
          <w:p w14:paraId="3968D2A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5.94</w:t>
            </w:r>
          </w:p>
        </w:tc>
        <w:tc>
          <w:tcPr>
            <w:tcW w:w="850" w:type="dxa"/>
            <w:vAlign w:val="center"/>
            <w:hideMark/>
          </w:tcPr>
          <w:p w14:paraId="0565509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8.57</w:t>
            </w:r>
          </w:p>
        </w:tc>
        <w:tc>
          <w:tcPr>
            <w:tcW w:w="1418" w:type="dxa"/>
            <w:vAlign w:val="center"/>
            <w:hideMark/>
          </w:tcPr>
          <w:p w14:paraId="1AD286FB"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22.43</w:t>
            </w:r>
          </w:p>
        </w:tc>
      </w:tr>
      <w:tr w:rsidR="00E86F61" w:rsidRPr="00FC6A76" w14:paraId="6A5887AD" w14:textId="77777777" w:rsidTr="00367A6F">
        <w:trPr>
          <w:trHeight w:val="20"/>
          <w:jc w:val="center"/>
        </w:trPr>
        <w:tc>
          <w:tcPr>
            <w:tcW w:w="0" w:type="auto"/>
            <w:vAlign w:val="center"/>
            <w:hideMark/>
          </w:tcPr>
          <w:p w14:paraId="6CA8927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w:t>
            </w:r>
          </w:p>
        </w:tc>
        <w:tc>
          <w:tcPr>
            <w:tcW w:w="1279" w:type="dxa"/>
            <w:vAlign w:val="center"/>
            <w:hideMark/>
          </w:tcPr>
          <w:p w14:paraId="1A08DBCB"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Assam @</w:t>
            </w:r>
          </w:p>
        </w:tc>
        <w:tc>
          <w:tcPr>
            <w:tcW w:w="993" w:type="dxa"/>
            <w:vAlign w:val="center"/>
            <w:hideMark/>
          </w:tcPr>
          <w:p w14:paraId="60E4C38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0.63</w:t>
            </w:r>
          </w:p>
        </w:tc>
        <w:tc>
          <w:tcPr>
            <w:tcW w:w="992" w:type="dxa"/>
            <w:vAlign w:val="center"/>
            <w:hideMark/>
          </w:tcPr>
          <w:p w14:paraId="432CEDA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1.26</w:t>
            </w:r>
          </w:p>
        </w:tc>
        <w:tc>
          <w:tcPr>
            <w:tcW w:w="992" w:type="dxa"/>
            <w:vAlign w:val="center"/>
            <w:hideMark/>
          </w:tcPr>
          <w:p w14:paraId="2DA5E59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1.90</w:t>
            </w:r>
          </w:p>
        </w:tc>
        <w:tc>
          <w:tcPr>
            <w:tcW w:w="851" w:type="dxa"/>
            <w:vAlign w:val="center"/>
            <w:hideMark/>
          </w:tcPr>
          <w:p w14:paraId="5065244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2.86</w:t>
            </w:r>
          </w:p>
        </w:tc>
        <w:tc>
          <w:tcPr>
            <w:tcW w:w="850" w:type="dxa"/>
            <w:vAlign w:val="center"/>
            <w:hideMark/>
          </w:tcPr>
          <w:p w14:paraId="532E670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4.13</w:t>
            </w:r>
          </w:p>
        </w:tc>
        <w:tc>
          <w:tcPr>
            <w:tcW w:w="1418" w:type="dxa"/>
            <w:vAlign w:val="center"/>
            <w:hideMark/>
          </w:tcPr>
          <w:p w14:paraId="3633553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10.78</w:t>
            </w:r>
          </w:p>
        </w:tc>
      </w:tr>
      <w:tr w:rsidR="00E86F61" w:rsidRPr="00FC6A76" w14:paraId="7D602D15" w14:textId="77777777" w:rsidTr="00367A6F">
        <w:trPr>
          <w:trHeight w:val="20"/>
          <w:jc w:val="center"/>
        </w:trPr>
        <w:tc>
          <w:tcPr>
            <w:tcW w:w="0" w:type="auto"/>
            <w:vAlign w:val="center"/>
            <w:hideMark/>
          </w:tcPr>
          <w:p w14:paraId="6159E53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w:t>
            </w:r>
          </w:p>
        </w:tc>
        <w:tc>
          <w:tcPr>
            <w:tcW w:w="1279" w:type="dxa"/>
            <w:vAlign w:val="center"/>
            <w:hideMark/>
          </w:tcPr>
          <w:p w14:paraId="50BC5CDB"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Bihar</w:t>
            </w:r>
          </w:p>
        </w:tc>
        <w:tc>
          <w:tcPr>
            <w:tcW w:w="993" w:type="dxa"/>
            <w:vAlign w:val="center"/>
            <w:hideMark/>
          </w:tcPr>
          <w:p w14:paraId="65431586"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0.94</w:t>
            </w:r>
          </w:p>
        </w:tc>
        <w:tc>
          <w:tcPr>
            <w:tcW w:w="992" w:type="dxa"/>
            <w:vAlign w:val="center"/>
            <w:hideMark/>
          </w:tcPr>
          <w:p w14:paraId="599D98F5"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1.88</w:t>
            </w:r>
          </w:p>
        </w:tc>
        <w:tc>
          <w:tcPr>
            <w:tcW w:w="992" w:type="dxa"/>
            <w:vAlign w:val="center"/>
            <w:hideMark/>
          </w:tcPr>
          <w:p w14:paraId="0E01E2B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2.82</w:t>
            </w:r>
          </w:p>
        </w:tc>
        <w:tc>
          <w:tcPr>
            <w:tcW w:w="851" w:type="dxa"/>
            <w:vAlign w:val="center"/>
            <w:hideMark/>
          </w:tcPr>
          <w:p w14:paraId="79628B85"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4.24</w:t>
            </w:r>
          </w:p>
        </w:tc>
        <w:tc>
          <w:tcPr>
            <w:tcW w:w="850" w:type="dxa"/>
            <w:vAlign w:val="center"/>
            <w:hideMark/>
          </w:tcPr>
          <w:p w14:paraId="548F6AB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6.12</w:t>
            </w:r>
          </w:p>
        </w:tc>
        <w:tc>
          <w:tcPr>
            <w:tcW w:w="1418" w:type="dxa"/>
            <w:vAlign w:val="center"/>
            <w:hideMark/>
          </w:tcPr>
          <w:p w14:paraId="1CFEFDE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16.00</w:t>
            </w:r>
          </w:p>
        </w:tc>
      </w:tr>
      <w:tr w:rsidR="00E86F61" w:rsidRPr="00FC6A76" w14:paraId="337D54ED" w14:textId="77777777" w:rsidTr="00367A6F">
        <w:trPr>
          <w:trHeight w:val="20"/>
          <w:jc w:val="center"/>
        </w:trPr>
        <w:tc>
          <w:tcPr>
            <w:tcW w:w="0" w:type="auto"/>
            <w:vAlign w:val="center"/>
            <w:hideMark/>
          </w:tcPr>
          <w:p w14:paraId="6DAE837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w:t>
            </w:r>
          </w:p>
        </w:tc>
        <w:tc>
          <w:tcPr>
            <w:tcW w:w="1279" w:type="dxa"/>
            <w:vAlign w:val="center"/>
            <w:hideMark/>
          </w:tcPr>
          <w:p w14:paraId="5AF6BB1B"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Goa @</w:t>
            </w:r>
          </w:p>
        </w:tc>
        <w:tc>
          <w:tcPr>
            <w:tcW w:w="993" w:type="dxa"/>
            <w:vAlign w:val="center"/>
            <w:hideMark/>
          </w:tcPr>
          <w:p w14:paraId="4674E84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0.08</w:t>
            </w:r>
          </w:p>
        </w:tc>
        <w:tc>
          <w:tcPr>
            <w:tcW w:w="992" w:type="dxa"/>
            <w:vAlign w:val="center"/>
            <w:hideMark/>
          </w:tcPr>
          <w:p w14:paraId="0DFFD41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0.17</w:t>
            </w:r>
          </w:p>
        </w:tc>
        <w:tc>
          <w:tcPr>
            <w:tcW w:w="992" w:type="dxa"/>
            <w:vAlign w:val="center"/>
            <w:hideMark/>
          </w:tcPr>
          <w:p w14:paraId="2A787091"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0.26</w:t>
            </w:r>
          </w:p>
        </w:tc>
        <w:tc>
          <w:tcPr>
            <w:tcW w:w="851" w:type="dxa"/>
            <w:vAlign w:val="center"/>
            <w:hideMark/>
          </w:tcPr>
          <w:p w14:paraId="698327F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0.39</w:t>
            </w:r>
          </w:p>
        </w:tc>
        <w:tc>
          <w:tcPr>
            <w:tcW w:w="850" w:type="dxa"/>
            <w:vAlign w:val="center"/>
            <w:hideMark/>
          </w:tcPr>
          <w:p w14:paraId="67A11EE5"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0.56</w:t>
            </w:r>
          </w:p>
        </w:tc>
        <w:tc>
          <w:tcPr>
            <w:tcW w:w="1418" w:type="dxa"/>
            <w:vAlign w:val="center"/>
            <w:hideMark/>
          </w:tcPr>
          <w:p w14:paraId="2B2B342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1.46</w:t>
            </w:r>
          </w:p>
        </w:tc>
      </w:tr>
      <w:tr w:rsidR="00E86F61" w:rsidRPr="00FC6A76" w14:paraId="1849EF13" w14:textId="77777777" w:rsidTr="00367A6F">
        <w:trPr>
          <w:trHeight w:val="20"/>
          <w:jc w:val="center"/>
        </w:trPr>
        <w:tc>
          <w:tcPr>
            <w:tcW w:w="0" w:type="auto"/>
            <w:vAlign w:val="center"/>
            <w:hideMark/>
          </w:tcPr>
          <w:p w14:paraId="6A2FD2E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w:t>
            </w:r>
          </w:p>
        </w:tc>
        <w:tc>
          <w:tcPr>
            <w:tcW w:w="1279" w:type="dxa"/>
            <w:vAlign w:val="center"/>
            <w:hideMark/>
          </w:tcPr>
          <w:p w14:paraId="47B9BFDB"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Gujarat @</w:t>
            </w:r>
          </w:p>
        </w:tc>
        <w:tc>
          <w:tcPr>
            <w:tcW w:w="993" w:type="dxa"/>
            <w:vAlign w:val="center"/>
            <w:hideMark/>
          </w:tcPr>
          <w:p w14:paraId="3C01FE4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2.57</w:t>
            </w:r>
          </w:p>
        </w:tc>
        <w:tc>
          <w:tcPr>
            <w:tcW w:w="992" w:type="dxa"/>
            <w:vAlign w:val="center"/>
            <w:hideMark/>
          </w:tcPr>
          <w:p w14:paraId="33852C8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5.15</w:t>
            </w:r>
          </w:p>
        </w:tc>
        <w:tc>
          <w:tcPr>
            <w:tcW w:w="992" w:type="dxa"/>
            <w:vAlign w:val="center"/>
            <w:hideMark/>
          </w:tcPr>
          <w:p w14:paraId="170A3A7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7.73</w:t>
            </w:r>
          </w:p>
        </w:tc>
        <w:tc>
          <w:tcPr>
            <w:tcW w:w="851" w:type="dxa"/>
            <w:vAlign w:val="center"/>
            <w:hideMark/>
          </w:tcPr>
          <w:p w14:paraId="7E71D7F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11.60</w:t>
            </w:r>
          </w:p>
        </w:tc>
        <w:tc>
          <w:tcPr>
            <w:tcW w:w="850" w:type="dxa"/>
            <w:vAlign w:val="center"/>
            <w:hideMark/>
          </w:tcPr>
          <w:p w14:paraId="707839A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16.75</w:t>
            </w:r>
          </w:p>
        </w:tc>
        <w:tc>
          <w:tcPr>
            <w:tcW w:w="1418" w:type="dxa"/>
            <w:vAlign w:val="center"/>
            <w:hideMark/>
          </w:tcPr>
          <w:p w14:paraId="4F48008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43.80</w:t>
            </w:r>
          </w:p>
        </w:tc>
      </w:tr>
      <w:tr w:rsidR="00E86F61" w:rsidRPr="00FC6A76" w14:paraId="3A383FD4" w14:textId="77777777" w:rsidTr="00367A6F">
        <w:trPr>
          <w:trHeight w:val="20"/>
          <w:jc w:val="center"/>
        </w:trPr>
        <w:tc>
          <w:tcPr>
            <w:tcW w:w="0" w:type="auto"/>
            <w:vAlign w:val="center"/>
            <w:hideMark/>
          </w:tcPr>
          <w:p w14:paraId="67657B2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6.</w:t>
            </w:r>
          </w:p>
        </w:tc>
        <w:tc>
          <w:tcPr>
            <w:tcW w:w="1279" w:type="dxa"/>
            <w:vAlign w:val="center"/>
            <w:hideMark/>
          </w:tcPr>
          <w:p w14:paraId="3B334DEE"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Haryana</w:t>
            </w:r>
          </w:p>
        </w:tc>
        <w:tc>
          <w:tcPr>
            <w:tcW w:w="993" w:type="dxa"/>
            <w:vAlign w:val="center"/>
            <w:hideMark/>
          </w:tcPr>
          <w:p w14:paraId="3A41827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1.16</w:t>
            </w:r>
          </w:p>
        </w:tc>
        <w:tc>
          <w:tcPr>
            <w:tcW w:w="992" w:type="dxa"/>
            <w:vAlign w:val="center"/>
            <w:hideMark/>
          </w:tcPr>
          <w:p w14:paraId="7E371BB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2.33</w:t>
            </w:r>
          </w:p>
        </w:tc>
        <w:tc>
          <w:tcPr>
            <w:tcW w:w="992" w:type="dxa"/>
            <w:vAlign w:val="center"/>
            <w:hideMark/>
          </w:tcPr>
          <w:p w14:paraId="232F51C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3.49</w:t>
            </w:r>
          </w:p>
        </w:tc>
        <w:tc>
          <w:tcPr>
            <w:tcW w:w="851" w:type="dxa"/>
            <w:vAlign w:val="center"/>
            <w:hideMark/>
          </w:tcPr>
          <w:p w14:paraId="6961743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5.24</w:t>
            </w:r>
          </w:p>
        </w:tc>
        <w:tc>
          <w:tcPr>
            <w:tcW w:w="850" w:type="dxa"/>
            <w:vAlign w:val="center"/>
            <w:hideMark/>
          </w:tcPr>
          <w:p w14:paraId="5AB561C3"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7.58</w:t>
            </w:r>
          </w:p>
        </w:tc>
        <w:tc>
          <w:tcPr>
            <w:tcW w:w="1418" w:type="dxa"/>
            <w:vAlign w:val="center"/>
            <w:hideMark/>
          </w:tcPr>
          <w:p w14:paraId="7B745D9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19.80</w:t>
            </w:r>
          </w:p>
        </w:tc>
      </w:tr>
      <w:tr w:rsidR="00E86F61" w:rsidRPr="00FC6A76" w14:paraId="5209CAC7" w14:textId="77777777" w:rsidTr="00367A6F">
        <w:trPr>
          <w:trHeight w:val="20"/>
          <w:jc w:val="center"/>
        </w:trPr>
        <w:tc>
          <w:tcPr>
            <w:tcW w:w="0" w:type="auto"/>
            <w:vAlign w:val="center"/>
            <w:hideMark/>
          </w:tcPr>
          <w:p w14:paraId="1AF5822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7.</w:t>
            </w:r>
          </w:p>
        </w:tc>
        <w:tc>
          <w:tcPr>
            <w:tcW w:w="1279" w:type="dxa"/>
            <w:vAlign w:val="center"/>
            <w:hideMark/>
          </w:tcPr>
          <w:p w14:paraId="578EFFB6"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Karnataka @</w:t>
            </w:r>
          </w:p>
        </w:tc>
        <w:tc>
          <w:tcPr>
            <w:tcW w:w="993" w:type="dxa"/>
            <w:vAlign w:val="center"/>
            <w:hideMark/>
          </w:tcPr>
          <w:p w14:paraId="23F4D863"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1.26</w:t>
            </w:r>
          </w:p>
        </w:tc>
        <w:tc>
          <w:tcPr>
            <w:tcW w:w="992" w:type="dxa"/>
            <w:vAlign w:val="center"/>
            <w:hideMark/>
          </w:tcPr>
          <w:p w14:paraId="031E1DB1"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2.52</w:t>
            </w:r>
          </w:p>
        </w:tc>
        <w:tc>
          <w:tcPr>
            <w:tcW w:w="992" w:type="dxa"/>
            <w:vAlign w:val="center"/>
            <w:hideMark/>
          </w:tcPr>
          <w:p w14:paraId="3565CCF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3.78</w:t>
            </w:r>
          </w:p>
        </w:tc>
        <w:tc>
          <w:tcPr>
            <w:tcW w:w="851" w:type="dxa"/>
            <w:vAlign w:val="center"/>
            <w:hideMark/>
          </w:tcPr>
          <w:p w14:paraId="1D750C6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5.67</w:t>
            </w:r>
          </w:p>
        </w:tc>
        <w:tc>
          <w:tcPr>
            <w:tcW w:w="850" w:type="dxa"/>
            <w:vAlign w:val="center"/>
            <w:hideMark/>
          </w:tcPr>
          <w:p w14:paraId="2E68BE41"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8.20</w:t>
            </w:r>
          </w:p>
        </w:tc>
        <w:tc>
          <w:tcPr>
            <w:tcW w:w="1418" w:type="dxa"/>
            <w:vAlign w:val="center"/>
            <w:hideMark/>
          </w:tcPr>
          <w:p w14:paraId="0357955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21.43</w:t>
            </w:r>
          </w:p>
        </w:tc>
      </w:tr>
      <w:tr w:rsidR="00E86F61" w:rsidRPr="00FC6A76" w14:paraId="453E6EE7" w14:textId="77777777" w:rsidTr="00367A6F">
        <w:trPr>
          <w:trHeight w:val="20"/>
          <w:jc w:val="center"/>
        </w:trPr>
        <w:tc>
          <w:tcPr>
            <w:tcW w:w="0" w:type="auto"/>
            <w:vAlign w:val="center"/>
            <w:hideMark/>
          </w:tcPr>
          <w:p w14:paraId="5CB524C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8.</w:t>
            </w:r>
          </w:p>
        </w:tc>
        <w:tc>
          <w:tcPr>
            <w:tcW w:w="1279" w:type="dxa"/>
            <w:vAlign w:val="center"/>
            <w:hideMark/>
          </w:tcPr>
          <w:p w14:paraId="2C5018F8"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Kerala @</w:t>
            </w:r>
          </w:p>
        </w:tc>
        <w:tc>
          <w:tcPr>
            <w:tcW w:w="993" w:type="dxa"/>
            <w:vAlign w:val="center"/>
            <w:hideMark/>
          </w:tcPr>
          <w:p w14:paraId="17DAAA8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0.50</w:t>
            </w:r>
          </w:p>
        </w:tc>
        <w:tc>
          <w:tcPr>
            <w:tcW w:w="992" w:type="dxa"/>
            <w:vAlign w:val="center"/>
            <w:hideMark/>
          </w:tcPr>
          <w:p w14:paraId="3ACDAF8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0.99</w:t>
            </w:r>
          </w:p>
        </w:tc>
        <w:tc>
          <w:tcPr>
            <w:tcW w:w="992" w:type="dxa"/>
            <w:vAlign w:val="center"/>
            <w:hideMark/>
          </w:tcPr>
          <w:p w14:paraId="7FD297E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1.49</w:t>
            </w:r>
          </w:p>
        </w:tc>
        <w:tc>
          <w:tcPr>
            <w:tcW w:w="851" w:type="dxa"/>
            <w:vAlign w:val="center"/>
            <w:hideMark/>
          </w:tcPr>
          <w:p w14:paraId="4D19F03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2.23</w:t>
            </w:r>
          </w:p>
        </w:tc>
        <w:tc>
          <w:tcPr>
            <w:tcW w:w="850" w:type="dxa"/>
            <w:vAlign w:val="center"/>
            <w:hideMark/>
          </w:tcPr>
          <w:p w14:paraId="7721B835"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3.22</w:t>
            </w:r>
          </w:p>
        </w:tc>
        <w:tc>
          <w:tcPr>
            <w:tcW w:w="1418" w:type="dxa"/>
            <w:vAlign w:val="center"/>
            <w:hideMark/>
          </w:tcPr>
          <w:p w14:paraId="63A4D2F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8.43</w:t>
            </w:r>
          </w:p>
        </w:tc>
      </w:tr>
      <w:tr w:rsidR="00E86F61" w:rsidRPr="00FC6A76" w14:paraId="27BD92ED" w14:textId="77777777" w:rsidTr="00367A6F">
        <w:trPr>
          <w:trHeight w:val="20"/>
          <w:jc w:val="center"/>
        </w:trPr>
        <w:tc>
          <w:tcPr>
            <w:tcW w:w="0" w:type="auto"/>
            <w:vAlign w:val="center"/>
            <w:hideMark/>
          </w:tcPr>
          <w:p w14:paraId="0731629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9.</w:t>
            </w:r>
          </w:p>
        </w:tc>
        <w:tc>
          <w:tcPr>
            <w:tcW w:w="1279" w:type="dxa"/>
            <w:vAlign w:val="center"/>
            <w:hideMark/>
          </w:tcPr>
          <w:p w14:paraId="0CA0306C"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Madhya Pradesh</w:t>
            </w:r>
          </w:p>
        </w:tc>
        <w:tc>
          <w:tcPr>
            <w:tcW w:w="993" w:type="dxa"/>
            <w:vAlign w:val="center"/>
            <w:hideMark/>
          </w:tcPr>
          <w:p w14:paraId="786E527B"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0.96</w:t>
            </w:r>
          </w:p>
        </w:tc>
        <w:tc>
          <w:tcPr>
            <w:tcW w:w="992" w:type="dxa"/>
            <w:vAlign w:val="center"/>
            <w:hideMark/>
          </w:tcPr>
          <w:p w14:paraId="3B5F422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1.93</w:t>
            </w:r>
          </w:p>
        </w:tc>
        <w:tc>
          <w:tcPr>
            <w:tcW w:w="992" w:type="dxa"/>
            <w:vAlign w:val="center"/>
            <w:hideMark/>
          </w:tcPr>
          <w:p w14:paraId="507A9E2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2.89</w:t>
            </w:r>
          </w:p>
        </w:tc>
        <w:tc>
          <w:tcPr>
            <w:tcW w:w="851" w:type="dxa"/>
            <w:vAlign w:val="center"/>
            <w:hideMark/>
          </w:tcPr>
          <w:p w14:paraId="0B12F86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4.34</w:t>
            </w:r>
          </w:p>
        </w:tc>
        <w:tc>
          <w:tcPr>
            <w:tcW w:w="850" w:type="dxa"/>
            <w:vAlign w:val="center"/>
            <w:hideMark/>
          </w:tcPr>
          <w:p w14:paraId="71D0F311"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6.26</w:t>
            </w:r>
          </w:p>
        </w:tc>
        <w:tc>
          <w:tcPr>
            <w:tcW w:w="1418" w:type="dxa"/>
            <w:vAlign w:val="center"/>
            <w:hideMark/>
          </w:tcPr>
          <w:p w14:paraId="7809B6F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16.38</w:t>
            </w:r>
          </w:p>
        </w:tc>
      </w:tr>
      <w:tr w:rsidR="00E86F61" w:rsidRPr="00FC6A76" w14:paraId="54403117" w14:textId="77777777" w:rsidTr="00367A6F">
        <w:trPr>
          <w:trHeight w:val="20"/>
          <w:jc w:val="center"/>
        </w:trPr>
        <w:tc>
          <w:tcPr>
            <w:tcW w:w="0" w:type="auto"/>
            <w:vAlign w:val="center"/>
            <w:hideMark/>
          </w:tcPr>
          <w:p w14:paraId="2EBA5C8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10.</w:t>
            </w:r>
          </w:p>
        </w:tc>
        <w:tc>
          <w:tcPr>
            <w:tcW w:w="1279" w:type="dxa"/>
            <w:vAlign w:val="center"/>
            <w:hideMark/>
          </w:tcPr>
          <w:p w14:paraId="3E7D4784"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Maharashtra</w:t>
            </w:r>
          </w:p>
        </w:tc>
        <w:tc>
          <w:tcPr>
            <w:tcW w:w="993" w:type="dxa"/>
            <w:vAlign w:val="center"/>
            <w:hideMark/>
          </w:tcPr>
          <w:p w14:paraId="672D78E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1.09</w:t>
            </w:r>
          </w:p>
        </w:tc>
        <w:tc>
          <w:tcPr>
            <w:tcW w:w="992" w:type="dxa"/>
            <w:vAlign w:val="center"/>
            <w:hideMark/>
          </w:tcPr>
          <w:p w14:paraId="5685247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2.17</w:t>
            </w:r>
          </w:p>
        </w:tc>
        <w:tc>
          <w:tcPr>
            <w:tcW w:w="992" w:type="dxa"/>
            <w:vAlign w:val="center"/>
            <w:hideMark/>
          </w:tcPr>
          <w:p w14:paraId="4CD4D98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3.26</w:t>
            </w:r>
          </w:p>
        </w:tc>
        <w:tc>
          <w:tcPr>
            <w:tcW w:w="851" w:type="dxa"/>
            <w:vAlign w:val="center"/>
            <w:hideMark/>
          </w:tcPr>
          <w:p w14:paraId="1CAAB46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4.89</w:t>
            </w:r>
          </w:p>
        </w:tc>
        <w:tc>
          <w:tcPr>
            <w:tcW w:w="850" w:type="dxa"/>
            <w:vAlign w:val="center"/>
            <w:hideMark/>
          </w:tcPr>
          <w:p w14:paraId="5BD8173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7.07</w:t>
            </w:r>
          </w:p>
        </w:tc>
        <w:tc>
          <w:tcPr>
            <w:tcW w:w="1418" w:type="dxa"/>
            <w:vAlign w:val="center"/>
            <w:hideMark/>
          </w:tcPr>
          <w:p w14:paraId="0BFF17C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18.48</w:t>
            </w:r>
          </w:p>
        </w:tc>
      </w:tr>
      <w:tr w:rsidR="00E86F61" w:rsidRPr="00FC6A76" w14:paraId="00634A83" w14:textId="77777777" w:rsidTr="00367A6F">
        <w:trPr>
          <w:trHeight w:val="20"/>
          <w:jc w:val="center"/>
        </w:trPr>
        <w:tc>
          <w:tcPr>
            <w:tcW w:w="0" w:type="auto"/>
            <w:vAlign w:val="center"/>
            <w:hideMark/>
          </w:tcPr>
          <w:p w14:paraId="3DA82C9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11.</w:t>
            </w:r>
          </w:p>
        </w:tc>
        <w:tc>
          <w:tcPr>
            <w:tcW w:w="1279" w:type="dxa"/>
            <w:vAlign w:val="center"/>
            <w:hideMark/>
          </w:tcPr>
          <w:p w14:paraId="77C3E356"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Orissa</w:t>
            </w:r>
          </w:p>
        </w:tc>
        <w:tc>
          <w:tcPr>
            <w:tcW w:w="993" w:type="dxa"/>
            <w:vAlign w:val="center"/>
            <w:hideMark/>
          </w:tcPr>
          <w:p w14:paraId="30F560D1"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0.51</w:t>
            </w:r>
          </w:p>
        </w:tc>
        <w:tc>
          <w:tcPr>
            <w:tcW w:w="992" w:type="dxa"/>
            <w:vAlign w:val="center"/>
            <w:hideMark/>
          </w:tcPr>
          <w:p w14:paraId="508FEE1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1.03</w:t>
            </w:r>
          </w:p>
        </w:tc>
        <w:tc>
          <w:tcPr>
            <w:tcW w:w="992" w:type="dxa"/>
            <w:vAlign w:val="center"/>
            <w:hideMark/>
          </w:tcPr>
          <w:p w14:paraId="3CADE31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1.56</w:t>
            </w:r>
          </w:p>
        </w:tc>
        <w:tc>
          <w:tcPr>
            <w:tcW w:w="851" w:type="dxa"/>
            <w:vAlign w:val="center"/>
            <w:hideMark/>
          </w:tcPr>
          <w:p w14:paraId="75EDB10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2.35</w:t>
            </w:r>
          </w:p>
        </w:tc>
        <w:tc>
          <w:tcPr>
            <w:tcW w:w="850" w:type="dxa"/>
            <w:vAlign w:val="center"/>
            <w:hideMark/>
          </w:tcPr>
          <w:p w14:paraId="3AAE862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3.88</w:t>
            </w:r>
          </w:p>
        </w:tc>
        <w:tc>
          <w:tcPr>
            <w:tcW w:w="1418" w:type="dxa"/>
            <w:vAlign w:val="center"/>
            <w:hideMark/>
          </w:tcPr>
          <w:p w14:paraId="545C9F97"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8.83</w:t>
            </w:r>
          </w:p>
        </w:tc>
      </w:tr>
      <w:tr w:rsidR="00E86F61" w:rsidRPr="00FC6A76" w14:paraId="1CBFB77D" w14:textId="77777777" w:rsidTr="00367A6F">
        <w:trPr>
          <w:trHeight w:val="20"/>
          <w:jc w:val="center"/>
        </w:trPr>
        <w:tc>
          <w:tcPr>
            <w:tcW w:w="0" w:type="auto"/>
            <w:vAlign w:val="center"/>
            <w:hideMark/>
          </w:tcPr>
          <w:p w14:paraId="7C2E313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12.</w:t>
            </w:r>
          </w:p>
        </w:tc>
        <w:tc>
          <w:tcPr>
            <w:tcW w:w="1279" w:type="dxa"/>
            <w:vAlign w:val="center"/>
            <w:hideMark/>
          </w:tcPr>
          <w:p w14:paraId="132322F1"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Punjab</w:t>
            </w:r>
          </w:p>
        </w:tc>
        <w:tc>
          <w:tcPr>
            <w:tcW w:w="993" w:type="dxa"/>
            <w:vAlign w:val="center"/>
            <w:hideMark/>
          </w:tcPr>
          <w:p w14:paraId="46002123"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1.07</w:t>
            </w:r>
          </w:p>
        </w:tc>
        <w:tc>
          <w:tcPr>
            <w:tcW w:w="992" w:type="dxa"/>
            <w:vAlign w:val="center"/>
            <w:hideMark/>
          </w:tcPr>
          <w:p w14:paraId="0E040E4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2.15</w:t>
            </w:r>
          </w:p>
        </w:tc>
        <w:tc>
          <w:tcPr>
            <w:tcW w:w="992" w:type="dxa"/>
            <w:vAlign w:val="center"/>
            <w:hideMark/>
          </w:tcPr>
          <w:p w14:paraId="4CA4E6CD"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3.23</w:t>
            </w:r>
          </w:p>
        </w:tc>
        <w:tc>
          <w:tcPr>
            <w:tcW w:w="851" w:type="dxa"/>
            <w:vAlign w:val="center"/>
            <w:hideMark/>
          </w:tcPr>
          <w:p w14:paraId="6D372FF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4.85</w:t>
            </w:r>
          </w:p>
        </w:tc>
        <w:tc>
          <w:tcPr>
            <w:tcW w:w="850" w:type="dxa"/>
            <w:vAlign w:val="center"/>
            <w:hideMark/>
          </w:tcPr>
          <w:p w14:paraId="793833B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7.00</w:t>
            </w:r>
          </w:p>
        </w:tc>
        <w:tc>
          <w:tcPr>
            <w:tcW w:w="1418" w:type="dxa"/>
            <w:vAlign w:val="center"/>
            <w:hideMark/>
          </w:tcPr>
          <w:p w14:paraId="7C246EE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18.30</w:t>
            </w:r>
          </w:p>
        </w:tc>
      </w:tr>
      <w:tr w:rsidR="00E86F61" w:rsidRPr="00FC6A76" w14:paraId="5B713248" w14:textId="77777777" w:rsidTr="00367A6F">
        <w:trPr>
          <w:trHeight w:val="20"/>
          <w:jc w:val="center"/>
        </w:trPr>
        <w:tc>
          <w:tcPr>
            <w:tcW w:w="0" w:type="auto"/>
            <w:vAlign w:val="center"/>
            <w:hideMark/>
          </w:tcPr>
          <w:p w14:paraId="01EEFDF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13.</w:t>
            </w:r>
          </w:p>
        </w:tc>
        <w:tc>
          <w:tcPr>
            <w:tcW w:w="1279" w:type="dxa"/>
            <w:vAlign w:val="center"/>
            <w:hideMark/>
          </w:tcPr>
          <w:p w14:paraId="4891D87A"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Rajasthan</w:t>
            </w:r>
          </w:p>
        </w:tc>
        <w:tc>
          <w:tcPr>
            <w:tcW w:w="993" w:type="dxa"/>
            <w:vAlign w:val="center"/>
            <w:hideMark/>
          </w:tcPr>
          <w:p w14:paraId="1E2AA1C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0.45</w:t>
            </w:r>
          </w:p>
        </w:tc>
        <w:tc>
          <w:tcPr>
            <w:tcW w:w="992" w:type="dxa"/>
            <w:vAlign w:val="center"/>
            <w:hideMark/>
          </w:tcPr>
          <w:p w14:paraId="648E326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0.90</w:t>
            </w:r>
          </w:p>
        </w:tc>
        <w:tc>
          <w:tcPr>
            <w:tcW w:w="992" w:type="dxa"/>
            <w:vAlign w:val="center"/>
            <w:hideMark/>
          </w:tcPr>
          <w:p w14:paraId="3E2F8536"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1.35</w:t>
            </w:r>
          </w:p>
        </w:tc>
        <w:tc>
          <w:tcPr>
            <w:tcW w:w="851" w:type="dxa"/>
            <w:vAlign w:val="center"/>
            <w:hideMark/>
          </w:tcPr>
          <w:p w14:paraId="4016378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2.02</w:t>
            </w:r>
          </w:p>
        </w:tc>
        <w:tc>
          <w:tcPr>
            <w:tcW w:w="850" w:type="dxa"/>
            <w:vAlign w:val="center"/>
            <w:hideMark/>
          </w:tcPr>
          <w:p w14:paraId="2F5CA70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2.92</w:t>
            </w:r>
          </w:p>
        </w:tc>
        <w:tc>
          <w:tcPr>
            <w:tcW w:w="1418" w:type="dxa"/>
            <w:vAlign w:val="center"/>
            <w:hideMark/>
          </w:tcPr>
          <w:p w14:paraId="1081B7B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7.64</w:t>
            </w:r>
          </w:p>
        </w:tc>
      </w:tr>
      <w:tr w:rsidR="00E86F61" w:rsidRPr="00FC6A76" w14:paraId="076F8208" w14:textId="77777777" w:rsidTr="00367A6F">
        <w:trPr>
          <w:trHeight w:val="20"/>
          <w:jc w:val="center"/>
        </w:trPr>
        <w:tc>
          <w:tcPr>
            <w:tcW w:w="0" w:type="auto"/>
            <w:vAlign w:val="center"/>
            <w:hideMark/>
          </w:tcPr>
          <w:p w14:paraId="20A2CF5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14.</w:t>
            </w:r>
          </w:p>
        </w:tc>
        <w:tc>
          <w:tcPr>
            <w:tcW w:w="1279" w:type="dxa"/>
            <w:vAlign w:val="center"/>
            <w:hideMark/>
          </w:tcPr>
          <w:p w14:paraId="20F93EFC"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Tamil Nadu @</w:t>
            </w:r>
          </w:p>
        </w:tc>
        <w:tc>
          <w:tcPr>
            <w:tcW w:w="993" w:type="dxa"/>
            <w:vAlign w:val="center"/>
            <w:hideMark/>
          </w:tcPr>
          <w:p w14:paraId="14F1FF2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0.81</w:t>
            </w:r>
          </w:p>
        </w:tc>
        <w:tc>
          <w:tcPr>
            <w:tcW w:w="992" w:type="dxa"/>
            <w:vAlign w:val="center"/>
            <w:hideMark/>
          </w:tcPr>
          <w:p w14:paraId="22D51D3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1.62</w:t>
            </w:r>
          </w:p>
        </w:tc>
        <w:tc>
          <w:tcPr>
            <w:tcW w:w="992" w:type="dxa"/>
            <w:vAlign w:val="center"/>
            <w:hideMark/>
          </w:tcPr>
          <w:p w14:paraId="64CF3985"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2.43</w:t>
            </w:r>
          </w:p>
        </w:tc>
        <w:tc>
          <w:tcPr>
            <w:tcW w:w="851" w:type="dxa"/>
            <w:vAlign w:val="center"/>
            <w:hideMark/>
          </w:tcPr>
          <w:p w14:paraId="7CDEA264"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3.64</w:t>
            </w:r>
          </w:p>
        </w:tc>
        <w:tc>
          <w:tcPr>
            <w:tcW w:w="850" w:type="dxa"/>
            <w:vAlign w:val="center"/>
            <w:hideMark/>
          </w:tcPr>
          <w:p w14:paraId="0408D8E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5.26</w:t>
            </w:r>
          </w:p>
        </w:tc>
        <w:tc>
          <w:tcPr>
            <w:tcW w:w="1418" w:type="dxa"/>
            <w:vAlign w:val="center"/>
            <w:hideMark/>
          </w:tcPr>
          <w:p w14:paraId="6276ED03"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13.76</w:t>
            </w:r>
          </w:p>
        </w:tc>
      </w:tr>
      <w:tr w:rsidR="00E86F61" w:rsidRPr="00FC6A76" w14:paraId="413F1E6A" w14:textId="77777777" w:rsidTr="00367A6F">
        <w:trPr>
          <w:trHeight w:val="20"/>
          <w:jc w:val="center"/>
        </w:trPr>
        <w:tc>
          <w:tcPr>
            <w:tcW w:w="0" w:type="auto"/>
            <w:vAlign w:val="center"/>
            <w:hideMark/>
          </w:tcPr>
          <w:p w14:paraId="5BDC1CA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15.</w:t>
            </w:r>
          </w:p>
        </w:tc>
        <w:tc>
          <w:tcPr>
            <w:tcW w:w="1279" w:type="dxa"/>
            <w:vAlign w:val="center"/>
            <w:hideMark/>
          </w:tcPr>
          <w:p w14:paraId="264367BE"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Uttar Pradesh</w:t>
            </w:r>
          </w:p>
        </w:tc>
        <w:tc>
          <w:tcPr>
            <w:tcW w:w="993" w:type="dxa"/>
            <w:vAlign w:val="center"/>
            <w:hideMark/>
          </w:tcPr>
          <w:p w14:paraId="02EFA54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1.41</w:t>
            </w:r>
          </w:p>
        </w:tc>
        <w:tc>
          <w:tcPr>
            <w:tcW w:w="992" w:type="dxa"/>
            <w:vAlign w:val="center"/>
            <w:hideMark/>
          </w:tcPr>
          <w:p w14:paraId="3EA4C36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2.82</w:t>
            </w:r>
          </w:p>
        </w:tc>
        <w:tc>
          <w:tcPr>
            <w:tcW w:w="992" w:type="dxa"/>
            <w:vAlign w:val="center"/>
            <w:hideMark/>
          </w:tcPr>
          <w:p w14:paraId="51E81C42"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4.23</w:t>
            </w:r>
          </w:p>
        </w:tc>
        <w:tc>
          <w:tcPr>
            <w:tcW w:w="851" w:type="dxa"/>
            <w:vAlign w:val="center"/>
            <w:hideMark/>
          </w:tcPr>
          <w:p w14:paraId="5090ED6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6.34</w:t>
            </w:r>
          </w:p>
        </w:tc>
        <w:tc>
          <w:tcPr>
            <w:tcW w:w="850" w:type="dxa"/>
            <w:vAlign w:val="center"/>
            <w:hideMark/>
          </w:tcPr>
          <w:p w14:paraId="62F0C263"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9.16</w:t>
            </w:r>
          </w:p>
        </w:tc>
        <w:tc>
          <w:tcPr>
            <w:tcW w:w="1418" w:type="dxa"/>
            <w:vAlign w:val="center"/>
            <w:hideMark/>
          </w:tcPr>
          <w:p w14:paraId="495E49B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23.96</w:t>
            </w:r>
          </w:p>
        </w:tc>
      </w:tr>
      <w:tr w:rsidR="00E86F61" w:rsidRPr="00FC6A76" w14:paraId="6E1959D9" w14:textId="77777777" w:rsidTr="00367A6F">
        <w:trPr>
          <w:trHeight w:val="20"/>
          <w:jc w:val="center"/>
        </w:trPr>
        <w:tc>
          <w:tcPr>
            <w:tcW w:w="0" w:type="auto"/>
            <w:vAlign w:val="center"/>
            <w:hideMark/>
          </w:tcPr>
          <w:p w14:paraId="2D7EAB0A"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16.</w:t>
            </w:r>
          </w:p>
        </w:tc>
        <w:tc>
          <w:tcPr>
            <w:tcW w:w="1279" w:type="dxa"/>
            <w:vAlign w:val="center"/>
            <w:hideMark/>
          </w:tcPr>
          <w:p w14:paraId="6F747300"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sz w:val="16"/>
                <w:szCs w:val="16"/>
              </w:rPr>
              <w:t>West Bengal</w:t>
            </w:r>
          </w:p>
        </w:tc>
        <w:tc>
          <w:tcPr>
            <w:tcW w:w="993" w:type="dxa"/>
            <w:vAlign w:val="center"/>
            <w:hideMark/>
          </w:tcPr>
          <w:p w14:paraId="616CB511"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2.92</w:t>
            </w:r>
          </w:p>
        </w:tc>
        <w:tc>
          <w:tcPr>
            <w:tcW w:w="992" w:type="dxa"/>
            <w:vAlign w:val="center"/>
            <w:hideMark/>
          </w:tcPr>
          <w:p w14:paraId="226B46F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5.82</w:t>
            </w:r>
          </w:p>
        </w:tc>
        <w:tc>
          <w:tcPr>
            <w:tcW w:w="992" w:type="dxa"/>
            <w:vAlign w:val="center"/>
            <w:hideMark/>
          </w:tcPr>
          <w:p w14:paraId="088D1F0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8.74</w:t>
            </w:r>
          </w:p>
        </w:tc>
        <w:tc>
          <w:tcPr>
            <w:tcW w:w="851" w:type="dxa"/>
            <w:vAlign w:val="center"/>
            <w:hideMark/>
          </w:tcPr>
          <w:p w14:paraId="28EC587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13.10</w:t>
            </w:r>
          </w:p>
        </w:tc>
        <w:tc>
          <w:tcPr>
            <w:tcW w:w="850" w:type="dxa"/>
            <w:vAlign w:val="center"/>
            <w:hideMark/>
          </w:tcPr>
          <w:p w14:paraId="0E09950F"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18.93</w:t>
            </w:r>
          </w:p>
        </w:tc>
        <w:tc>
          <w:tcPr>
            <w:tcW w:w="1418" w:type="dxa"/>
            <w:vAlign w:val="center"/>
            <w:hideMark/>
          </w:tcPr>
          <w:p w14:paraId="20A82828"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sz w:val="16"/>
                <w:szCs w:val="16"/>
              </w:rPr>
              <w:t>49.51</w:t>
            </w:r>
          </w:p>
        </w:tc>
      </w:tr>
      <w:tr w:rsidR="00E86F61" w:rsidRPr="00FC6A76" w14:paraId="1DB37B85" w14:textId="77777777" w:rsidTr="00367A6F">
        <w:trPr>
          <w:trHeight w:val="20"/>
          <w:jc w:val="center"/>
        </w:trPr>
        <w:tc>
          <w:tcPr>
            <w:tcW w:w="0" w:type="auto"/>
            <w:vAlign w:val="center"/>
            <w:hideMark/>
          </w:tcPr>
          <w:p w14:paraId="5D98D96F" w14:textId="77777777" w:rsidR="00E86F61" w:rsidRPr="00FC6A76" w:rsidRDefault="00E86F61" w:rsidP="00FC6A76">
            <w:pPr>
              <w:pStyle w:val="NoSpacing"/>
              <w:spacing w:line="190" w:lineRule="exact"/>
              <w:jc w:val="center"/>
              <w:rPr>
                <w:rFonts w:ascii="Times New Roman" w:hAnsi="Times New Roman" w:cs="Times New Roman"/>
                <w:sz w:val="16"/>
                <w:szCs w:val="16"/>
              </w:rPr>
            </w:pPr>
          </w:p>
        </w:tc>
        <w:tc>
          <w:tcPr>
            <w:tcW w:w="1279" w:type="dxa"/>
            <w:vAlign w:val="center"/>
            <w:hideMark/>
          </w:tcPr>
          <w:p w14:paraId="4BDA5E0D" w14:textId="77777777" w:rsidR="00E86F61" w:rsidRPr="00FC6A76" w:rsidRDefault="00E86F61" w:rsidP="00FC6A76">
            <w:pPr>
              <w:pStyle w:val="NoSpacing"/>
              <w:spacing w:line="190" w:lineRule="exact"/>
              <w:rPr>
                <w:rFonts w:ascii="Times New Roman" w:hAnsi="Times New Roman" w:cs="Times New Roman"/>
                <w:sz w:val="16"/>
                <w:szCs w:val="16"/>
              </w:rPr>
            </w:pPr>
            <w:r w:rsidRPr="00FC6A76">
              <w:rPr>
                <w:rFonts w:ascii="Times New Roman" w:hAnsi="Times New Roman" w:cs="Times New Roman"/>
                <w:b/>
                <w:bCs/>
                <w:sz w:val="16"/>
                <w:szCs w:val="16"/>
              </w:rPr>
              <w:t>TOTAL</w:t>
            </w:r>
          </w:p>
        </w:tc>
        <w:tc>
          <w:tcPr>
            <w:tcW w:w="993" w:type="dxa"/>
            <w:vAlign w:val="center"/>
            <w:hideMark/>
          </w:tcPr>
          <w:p w14:paraId="1356F3B0"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b/>
                <w:bCs/>
                <w:sz w:val="16"/>
                <w:szCs w:val="16"/>
              </w:rPr>
              <w:t>17.68</w:t>
            </w:r>
          </w:p>
        </w:tc>
        <w:tc>
          <w:tcPr>
            <w:tcW w:w="992" w:type="dxa"/>
            <w:vAlign w:val="center"/>
            <w:hideMark/>
          </w:tcPr>
          <w:p w14:paraId="09CF6E0C"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b/>
                <w:bCs/>
                <w:sz w:val="16"/>
                <w:szCs w:val="16"/>
              </w:rPr>
              <w:t>35.38</w:t>
            </w:r>
          </w:p>
        </w:tc>
        <w:tc>
          <w:tcPr>
            <w:tcW w:w="992" w:type="dxa"/>
            <w:vAlign w:val="center"/>
            <w:hideMark/>
          </w:tcPr>
          <w:p w14:paraId="75BD844B"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b/>
                <w:bCs/>
                <w:sz w:val="16"/>
                <w:szCs w:val="16"/>
              </w:rPr>
              <w:t>53.12</w:t>
            </w:r>
          </w:p>
        </w:tc>
        <w:tc>
          <w:tcPr>
            <w:tcW w:w="851" w:type="dxa"/>
            <w:vAlign w:val="center"/>
            <w:hideMark/>
          </w:tcPr>
          <w:p w14:paraId="02892B75"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b/>
                <w:bCs/>
                <w:sz w:val="16"/>
                <w:szCs w:val="16"/>
              </w:rPr>
              <w:t>79.70</w:t>
            </w:r>
          </w:p>
        </w:tc>
        <w:tc>
          <w:tcPr>
            <w:tcW w:w="850" w:type="dxa"/>
            <w:vAlign w:val="center"/>
            <w:hideMark/>
          </w:tcPr>
          <w:p w14:paraId="6354E4DE"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b/>
                <w:bCs/>
                <w:sz w:val="16"/>
                <w:szCs w:val="16"/>
              </w:rPr>
              <w:t>115.61</w:t>
            </w:r>
          </w:p>
        </w:tc>
        <w:tc>
          <w:tcPr>
            <w:tcW w:w="1418" w:type="dxa"/>
            <w:vAlign w:val="center"/>
            <w:hideMark/>
          </w:tcPr>
          <w:p w14:paraId="4ADD0FC9" w14:textId="77777777" w:rsidR="00E86F61" w:rsidRPr="00FC6A76" w:rsidRDefault="00E86F61" w:rsidP="00FC6A76">
            <w:pPr>
              <w:pStyle w:val="NoSpacing"/>
              <w:spacing w:line="190" w:lineRule="exact"/>
              <w:jc w:val="center"/>
              <w:rPr>
                <w:rFonts w:ascii="Times New Roman" w:hAnsi="Times New Roman" w:cs="Times New Roman"/>
                <w:sz w:val="16"/>
                <w:szCs w:val="16"/>
              </w:rPr>
            </w:pPr>
            <w:r w:rsidRPr="00FC6A76">
              <w:rPr>
                <w:rFonts w:ascii="Times New Roman" w:hAnsi="Times New Roman" w:cs="Times New Roman"/>
                <w:b/>
                <w:bCs/>
                <w:sz w:val="16"/>
                <w:szCs w:val="16"/>
              </w:rPr>
              <w:t>300.99</w:t>
            </w:r>
          </w:p>
        </w:tc>
      </w:tr>
    </w:tbl>
    <w:p w14:paraId="50CA08BA" w14:textId="4B3D329C" w:rsidR="00E86F61" w:rsidRPr="00367A6F" w:rsidRDefault="00E86F61" w:rsidP="00367A6F">
      <w:pPr>
        <w:pStyle w:val="NoSpacing"/>
        <w:spacing w:line="190" w:lineRule="exact"/>
        <w:ind w:left="720" w:firstLine="720"/>
        <w:rPr>
          <w:rFonts w:ascii="Times New Roman" w:hAnsi="Times New Roman" w:cs="Times New Roman"/>
          <w:sz w:val="16"/>
          <w:szCs w:val="16"/>
        </w:rPr>
      </w:pPr>
      <w:r w:rsidRPr="00367A6F">
        <w:rPr>
          <w:rFonts w:ascii="Times New Roman" w:hAnsi="Times New Roman" w:cs="Times New Roman"/>
          <w:sz w:val="16"/>
          <w:szCs w:val="16"/>
        </w:rPr>
        <w:t>@ Proportional set-off allowed for hill areas of non-Hill States.</w:t>
      </w:r>
    </w:p>
    <w:p w14:paraId="5AA49091" w14:textId="0A7742F5" w:rsidR="00E86F61" w:rsidRPr="00367A6F" w:rsidRDefault="00E86F61" w:rsidP="00367A6F">
      <w:pPr>
        <w:pStyle w:val="Heading2"/>
        <w:spacing w:line="190" w:lineRule="exact"/>
        <w:rPr>
          <w:sz w:val="20"/>
          <w:szCs w:val="20"/>
        </w:rPr>
      </w:pPr>
      <w:bookmarkStart w:id="67" w:name="_Toc221292991"/>
      <w:bookmarkStart w:id="68" w:name="_Toc222399482"/>
      <w:r w:rsidRPr="00367A6F">
        <w:rPr>
          <w:sz w:val="20"/>
          <w:szCs w:val="20"/>
        </w:rPr>
        <w:t>ANNEXURE III.9</w:t>
      </w:r>
      <w:r w:rsidR="00FC6A76" w:rsidRPr="00367A6F">
        <w:rPr>
          <w:sz w:val="20"/>
          <w:szCs w:val="20"/>
        </w:rPr>
        <w:br/>
      </w:r>
      <w:r w:rsidRPr="00367A6F">
        <w:rPr>
          <w:sz w:val="20"/>
          <w:szCs w:val="20"/>
        </w:rPr>
        <w:t xml:space="preserve">Return </w:t>
      </w:r>
      <w:proofErr w:type="gramStart"/>
      <w:r w:rsidRPr="00367A6F">
        <w:rPr>
          <w:sz w:val="20"/>
          <w:szCs w:val="20"/>
        </w:rPr>
        <w:t>On</w:t>
      </w:r>
      <w:proofErr w:type="gramEnd"/>
      <w:r w:rsidRPr="00367A6F">
        <w:rPr>
          <w:sz w:val="20"/>
          <w:szCs w:val="20"/>
        </w:rPr>
        <w:t xml:space="preserve"> State Governments' Investments </w:t>
      </w:r>
      <w:proofErr w:type="gramStart"/>
      <w:r w:rsidRPr="00367A6F">
        <w:rPr>
          <w:sz w:val="20"/>
          <w:szCs w:val="20"/>
        </w:rPr>
        <w:t>In</w:t>
      </w:r>
      <w:proofErr w:type="gramEnd"/>
      <w:r w:rsidRPr="00367A6F">
        <w:rPr>
          <w:sz w:val="20"/>
          <w:szCs w:val="20"/>
        </w:rPr>
        <w:t xml:space="preserve"> Inland Water Transport Undertakings</w:t>
      </w:r>
      <w:r w:rsidRPr="00367A6F">
        <w:rPr>
          <w:sz w:val="20"/>
          <w:szCs w:val="20"/>
        </w:rPr>
        <w:br/>
        <w:t>(1990-91 to 1</w:t>
      </w:r>
      <w:r w:rsidR="00757F35" w:rsidRPr="00367A6F">
        <w:rPr>
          <w:sz w:val="20"/>
          <w:szCs w:val="20"/>
        </w:rPr>
        <w:t>99</w:t>
      </w:r>
      <w:r w:rsidRPr="00367A6F">
        <w:rPr>
          <w:sz w:val="20"/>
          <w:szCs w:val="20"/>
        </w:rPr>
        <w:t>4-95)</w:t>
      </w:r>
      <w:bookmarkEnd w:id="67"/>
      <w:bookmarkEnd w:id="68"/>
    </w:p>
    <w:p w14:paraId="2984DD7A" w14:textId="69315D4C" w:rsidR="00FC6A76" w:rsidRPr="00367A6F" w:rsidRDefault="00FC6A76"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(Para 3.28)</w:t>
      </w:r>
    </w:p>
    <w:p w14:paraId="764AEACE" w14:textId="77777777" w:rsidR="00E86F61" w:rsidRPr="00FC6A76" w:rsidRDefault="00E86F61" w:rsidP="00367A6F">
      <w:pPr>
        <w:pStyle w:val="NoSpacing"/>
        <w:spacing w:line="190" w:lineRule="exact"/>
        <w:ind w:left="7200" w:firstLine="720"/>
        <w:rPr>
          <w:rFonts w:ascii="Times New Roman" w:hAnsi="Times New Roman" w:cs="Times New Roman"/>
          <w:i/>
          <w:iCs/>
          <w:sz w:val="18"/>
          <w:szCs w:val="16"/>
        </w:rPr>
      </w:pPr>
      <w:r w:rsidRPr="00FC6A76">
        <w:rPr>
          <w:rFonts w:ascii="Times New Roman" w:hAnsi="Times New Roman" w:cs="Times New Roman"/>
          <w:i/>
          <w:iCs/>
          <w:sz w:val="18"/>
          <w:szCs w:val="16"/>
        </w:rPr>
        <w:t>(Rs. Lakh)</w:t>
      </w:r>
    </w:p>
    <w:tbl>
      <w:tblPr>
        <w:tblStyle w:val="TableGrid"/>
        <w:tblW w:w="7650" w:type="dxa"/>
        <w:jc w:val="center"/>
        <w:tblLook w:val="04A0" w:firstRow="1" w:lastRow="0" w:firstColumn="1" w:lastColumn="0" w:noHBand="0" w:noVBand="1"/>
      </w:tblPr>
      <w:tblGrid>
        <w:gridCol w:w="547"/>
        <w:gridCol w:w="1310"/>
        <w:gridCol w:w="833"/>
        <w:gridCol w:w="992"/>
        <w:gridCol w:w="850"/>
        <w:gridCol w:w="993"/>
        <w:gridCol w:w="849"/>
        <w:gridCol w:w="1276"/>
      </w:tblGrid>
      <w:tr w:rsidR="00E86F61" w:rsidRPr="00367A6F" w14:paraId="499204AC" w14:textId="77777777" w:rsidTr="00367A6F">
        <w:trPr>
          <w:trHeight w:val="20"/>
          <w:jc w:val="center"/>
        </w:trPr>
        <w:tc>
          <w:tcPr>
            <w:tcW w:w="0" w:type="auto"/>
            <w:vAlign w:val="center"/>
            <w:hideMark/>
          </w:tcPr>
          <w:p w14:paraId="331EE2C3" w14:textId="77777777" w:rsidR="00E86F61" w:rsidRPr="00367A6F" w:rsidRDefault="00E86F61" w:rsidP="00FC6A76">
            <w:pPr>
              <w:pStyle w:val="NoSpacing"/>
              <w:spacing w:line="190" w:lineRule="exact"/>
              <w:jc w:val="center"/>
              <w:rPr>
                <w:rFonts w:ascii="Times New Roman" w:hAnsi="Times New Roman" w:cs="Times New Roman"/>
                <w:sz w:val="18"/>
                <w:szCs w:val="16"/>
              </w:rPr>
            </w:pPr>
          </w:p>
        </w:tc>
        <w:tc>
          <w:tcPr>
            <w:tcW w:w="1310" w:type="dxa"/>
            <w:vAlign w:val="center"/>
            <w:hideMark/>
          </w:tcPr>
          <w:p w14:paraId="42EE2B7B"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States</w:t>
            </w:r>
          </w:p>
        </w:tc>
        <w:tc>
          <w:tcPr>
            <w:tcW w:w="833" w:type="dxa"/>
            <w:vAlign w:val="center"/>
            <w:hideMark/>
          </w:tcPr>
          <w:p w14:paraId="4606E2F4"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1990-91</w:t>
            </w:r>
          </w:p>
        </w:tc>
        <w:tc>
          <w:tcPr>
            <w:tcW w:w="992" w:type="dxa"/>
            <w:vAlign w:val="center"/>
            <w:hideMark/>
          </w:tcPr>
          <w:p w14:paraId="113D793E"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1991-92</w:t>
            </w:r>
          </w:p>
        </w:tc>
        <w:tc>
          <w:tcPr>
            <w:tcW w:w="850" w:type="dxa"/>
            <w:vAlign w:val="center"/>
            <w:hideMark/>
          </w:tcPr>
          <w:p w14:paraId="7E6107C0"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1992-93</w:t>
            </w:r>
          </w:p>
        </w:tc>
        <w:tc>
          <w:tcPr>
            <w:tcW w:w="993" w:type="dxa"/>
            <w:vAlign w:val="center"/>
            <w:hideMark/>
          </w:tcPr>
          <w:p w14:paraId="6B7354D9"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1993-94</w:t>
            </w:r>
          </w:p>
        </w:tc>
        <w:tc>
          <w:tcPr>
            <w:tcW w:w="849" w:type="dxa"/>
            <w:vAlign w:val="center"/>
            <w:hideMark/>
          </w:tcPr>
          <w:p w14:paraId="428AEBAA"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1994-95</w:t>
            </w:r>
          </w:p>
        </w:tc>
        <w:tc>
          <w:tcPr>
            <w:tcW w:w="1276" w:type="dxa"/>
            <w:vAlign w:val="center"/>
            <w:hideMark/>
          </w:tcPr>
          <w:p w14:paraId="667FA2B6"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1990-95 Total</w:t>
            </w:r>
          </w:p>
        </w:tc>
      </w:tr>
      <w:tr w:rsidR="00E86F61" w:rsidRPr="00367A6F" w14:paraId="637F4D90" w14:textId="77777777" w:rsidTr="00367A6F">
        <w:trPr>
          <w:trHeight w:val="20"/>
          <w:jc w:val="center"/>
        </w:trPr>
        <w:tc>
          <w:tcPr>
            <w:tcW w:w="0" w:type="auto"/>
            <w:vAlign w:val="center"/>
            <w:hideMark/>
          </w:tcPr>
          <w:p w14:paraId="01CA0B30"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w:t>
            </w:r>
          </w:p>
        </w:tc>
        <w:tc>
          <w:tcPr>
            <w:tcW w:w="1310" w:type="dxa"/>
            <w:vAlign w:val="center"/>
            <w:hideMark/>
          </w:tcPr>
          <w:p w14:paraId="3F1BD59A" w14:textId="77777777" w:rsidR="00E86F61" w:rsidRPr="00367A6F" w:rsidRDefault="00E86F61" w:rsidP="00FC6A76">
            <w:pPr>
              <w:pStyle w:val="NoSpacing"/>
              <w:spacing w:line="190" w:lineRule="exact"/>
              <w:rPr>
                <w:rFonts w:ascii="Times New Roman" w:hAnsi="Times New Roman" w:cs="Times New Roman"/>
                <w:sz w:val="18"/>
                <w:szCs w:val="16"/>
              </w:rPr>
            </w:pPr>
            <w:r w:rsidRPr="00367A6F">
              <w:rPr>
                <w:rFonts w:ascii="Times New Roman" w:hAnsi="Times New Roman" w:cs="Times New Roman"/>
                <w:sz w:val="18"/>
                <w:szCs w:val="16"/>
              </w:rPr>
              <w:t>Goa</w:t>
            </w:r>
          </w:p>
        </w:tc>
        <w:tc>
          <w:tcPr>
            <w:tcW w:w="833" w:type="dxa"/>
            <w:vAlign w:val="center"/>
            <w:hideMark/>
          </w:tcPr>
          <w:p w14:paraId="29DE5263"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10</w:t>
            </w:r>
          </w:p>
        </w:tc>
        <w:tc>
          <w:tcPr>
            <w:tcW w:w="992" w:type="dxa"/>
            <w:vAlign w:val="center"/>
            <w:hideMark/>
          </w:tcPr>
          <w:p w14:paraId="510B577C"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21</w:t>
            </w:r>
          </w:p>
        </w:tc>
        <w:tc>
          <w:tcPr>
            <w:tcW w:w="850" w:type="dxa"/>
            <w:vAlign w:val="center"/>
            <w:hideMark/>
          </w:tcPr>
          <w:p w14:paraId="3B2820BD"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31</w:t>
            </w:r>
          </w:p>
        </w:tc>
        <w:tc>
          <w:tcPr>
            <w:tcW w:w="993" w:type="dxa"/>
            <w:vAlign w:val="center"/>
            <w:hideMark/>
          </w:tcPr>
          <w:p w14:paraId="0D7CD3B2"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47</w:t>
            </w:r>
          </w:p>
        </w:tc>
        <w:tc>
          <w:tcPr>
            <w:tcW w:w="849" w:type="dxa"/>
            <w:vAlign w:val="center"/>
            <w:hideMark/>
          </w:tcPr>
          <w:p w14:paraId="08D20FC3"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68</w:t>
            </w:r>
          </w:p>
        </w:tc>
        <w:tc>
          <w:tcPr>
            <w:tcW w:w="1276" w:type="dxa"/>
            <w:vAlign w:val="center"/>
            <w:hideMark/>
          </w:tcPr>
          <w:p w14:paraId="7DB352E0"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177</w:t>
            </w:r>
          </w:p>
        </w:tc>
      </w:tr>
      <w:tr w:rsidR="00E86F61" w:rsidRPr="00367A6F" w14:paraId="1F0B42C5" w14:textId="77777777" w:rsidTr="00367A6F">
        <w:trPr>
          <w:trHeight w:val="20"/>
          <w:jc w:val="center"/>
        </w:trPr>
        <w:tc>
          <w:tcPr>
            <w:tcW w:w="0" w:type="auto"/>
            <w:vAlign w:val="center"/>
            <w:hideMark/>
          </w:tcPr>
          <w:p w14:paraId="25CF86A0"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2.</w:t>
            </w:r>
          </w:p>
        </w:tc>
        <w:tc>
          <w:tcPr>
            <w:tcW w:w="1310" w:type="dxa"/>
            <w:vAlign w:val="center"/>
            <w:hideMark/>
          </w:tcPr>
          <w:p w14:paraId="256C5E86" w14:textId="77777777" w:rsidR="00E86F61" w:rsidRPr="00367A6F" w:rsidRDefault="00E86F61" w:rsidP="00FC6A76">
            <w:pPr>
              <w:pStyle w:val="NoSpacing"/>
              <w:spacing w:line="190" w:lineRule="exact"/>
              <w:rPr>
                <w:rFonts w:ascii="Times New Roman" w:hAnsi="Times New Roman" w:cs="Times New Roman"/>
                <w:sz w:val="18"/>
                <w:szCs w:val="16"/>
              </w:rPr>
            </w:pPr>
            <w:r w:rsidRPr="00367A6F">
              <w:rPr>
                <w:rFonts w:ascii="Times New Roman" w:hAnsi="Times New Roman" w:cs="Times New Roman"/>
                <w:sz w:val="18"/>
                <w:szCs w:val="16"/>
              </w:rPr>
              <w:t>Gujarat</w:t>
            </w:r>
          </w:p>
        </w:tc>
        <w:tc>
          <w:tcPr>
            <w:tcW w:w="833" w:type="dxa"/>
            <w:vAlign w:val="center"/>
            <w:hideMark/>
          </w:tcPr>
          <w:p w14:paraId="49730F93"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36</w:t>
            </w:r>
          </w:p>
        </w:tc>
        <w:tc>
          <w:tcPr>
            <w:tcW w:w="992" w:type="dxa"/>
            <w:vAlign w:val="center"/>
            <w:hideMark/>
          </w:tcPr>
          <w:p w14:paraId="5E294C86"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72</w:t>
            </w:r>
          </w:p>
        </w:tc>
        <w:tc>
          <w:tcPr>
            <w:tcW w:w="850" w:type="dxa"/>
            <w:vAlign w:val="center"/>
            <w:hideMark/>
          </w:tcPr>
          <w:p w14:paraId="71698D83"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108</w:t>
            </w:r>
          </w:p>
        </w:tc>
        <w:tc>
          <w:tcPr>
            <w:tcW w:w="993" w:type="dxa"/>
            <w:vAlign w:val="center"/>
            <w:hideMark/>
          </w:tcPr>
          <w:p w14:paraId="7966DCD0"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162</w:t>
            </w:r>
          </w:p>
        </w:tc>
        <w:tc>
          <w:tcPr>
            <w:tcW w:w="849" w:type="dxa"/>
            <w:vAlign w:val="center"/>
            <w:hideMark/>
          </w:tcPr>
          <w:p w14:paraId="7A320C13"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234</w:t>
            </w:r>
          </w:p>
        </w:tc>
        <w:tc>
          <w:tcPr>
            <w:tcW w:w="1276" w:type="dxa"/>
            <w:vAlign w:val="center"/>
            <w:hideMark/>
          </w:tcPr>
          <w:p w14:paraId="6D06201F"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612</w:t>
            </w:r>
          </w:p>
        </w:tc>
      </w:tr>
      <w:tr w:rsidR="00E86F61" w:rsidRPr="00367A6F" w14:paraId="29AF0C77" w14:textId="77777777" w:rsidTr="00367A6F">
        <w:trPr>
          <w:trHeight w:val="20"/>
          <w:jc w:val="center"/>
        </w:trPr>
        <w:tc>
          <w:tcPr>
            <w:tcW w:w="0" w:type="auto"/>
            <w:vAlign w:val="center"/>
            <w:hideMark/>
          </w:tcPr>
          <w:p w14:paraId="0E0D3CA3"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3.</w:t>
            </w:r>
          </w:p>
        </w:tc>
        <w:tc>
          <w:tcPr>
            <w:tcW w:w="1310" w:type="dxa"/>
            <w:vAlign w:val="center"/>
            <w:hideMark/>
          </w:tcPr>
          <w:p w14:paraId="2CDBEE1E" w14:textId="77777777" w:rsidR="00E86F61" w:rsidRPr="00367A6F" w:rsidRDefault="00E86F61" w:rsidP="00FC6A76">
            <w:pPr>
              <w:pStyle w:val="NoSpacing"/>
              <w:spacing w:line="190" w:lineRule="exact"/>
              <w:rPr>
                <w:rFonts w:ascii="Times New Roman" w:hAnsi="Times New Roman" w:cs="Times New Roman"/>
                <w:sz w:val="18"/>
                <w:szCs w:val="16"/>
              </w:rPr>
            </w:pPr>
            <w:r w:rsidRPr="00367A6F">
              <w:rPr>
                <w:rFonts w:ascii="Times New Roman" w:hAnsi="Times New Roman" w:cs="Times New Roman"/>
                <w:sz w:val="18"/>
                <w:szCs w:val="16"/>
              </w:rPr>
              <w:t>Kerala</w:t>
            </w:r>
          </w:p>
        </w:tc>
        <w:tc>
          <w:tcPr>
            <w:tcW w:w="833" w:type="dxa"/>
            <w:vAlign w:val="center"/>
            <w:hideMark/>
          </w:tcPr>
          <w:p w14:paraId="0C4AB185"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6</w:t>
            </w:r>
          </w:p>
        </w:tc>
        <w:tc>
          <w:tcPr>
            <w:tcW w:w="992" w:type="dxa"/>
            <w:vAlign w:val="center"/>
            <w:hideMark/>
          </w:tcPr>
          <w:p w14:paraId="2888ECC5"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12</w:t>
            </w:r>
          </w:p>
        </w:tc>
        <w:tc>
          <w:tcPr>
            <w:tcW w:w="850" w:type="dxa"/>
            <w:vAlign w:val="center"/>
            <w:hideMark/>
          </w:tcPr>
          <w:p w14:paraId="27F016E9"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17</w:t>
            </w:r>
          </w:p>
        </w:tc>
        <w:tc>
          <w:tcPr>
            <w:tcW w:w="993" w:type="dxa"/>
            <w:vAlign w:val="center"/>
            <w:hideMark/>
          </w:tcPr>
          <w:p w14:paraId="40ABBE37"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26</w:t>
            </w:r>
          </w:p>
        </w:tc>
        <w:tc>
          <w:tcPr>
            <w:tcW w:w="849" w:type="dxa"/>
            <w:vAlign w:val="center"/>
            <w:hideMark/>
          </w:tcPr>
          <w:p w14:paraId="17AD0818"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38</w:t>
            </w:r>
          </w:p>
        </w:tc>
        <w:tc>
          <w:tcPr>
            <w:tcW w:w="1276" w:type="dxa"/>
            <w:vAlign w:val="center"/>
            <w:hideMark/>
          </w:tcPr>
          <w:p w14:paraId="641C3877"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99</w:t>
            </w:r>
          </w:p>
        </w:tc>
      </w:tr>
      <w:tr w:rsidR="00E86F61" w:rsidRPr="00367A6F" w14:paraId="2E7FD211" w14:textId="77777777" w:rsidTr="00367A6F">
        <w:trPr>
          <w:trHeight w:val="20"/>
          <w:jc w:val="center"/>
        </w:trPr>
        <w:tc>
          <w:tcPr>
            <w:tcW w:w="0" w:type="auto"/>
            <w:vAlign w:val="center"/>
            <w:hideMark/>
          </w:tcPr>
          <w:p w14:paraId="3B7E05E6"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4.</w:t>
            </w:r>
          </w:p>
        </w:tc>
        <w:tc>
          <w:tcPr>
            <w:tcW w:w="1310" w:type="dxa"/>
            <w:vAlign w:val="center"/>
            <w:hideMark/>
          </w:tcPr>
          <w:p w14:paraId="6CB52C22" w14:textId="77777777" w:rsidR="00E86F61" w:rsidRPr="00367A6F" w:rsidRDefault="00E86F61" w:rsidP="00FC6A76">
            <w:pPr>
              <w:pStyle w:val="NoSpacing"/>
              <w:spacing w:line="190" w:lineRule="exact"/>
              <w:rPr>
                <w:rFonts w:ascii="Times New Roman" w:hAnsi="Times New Roman" w:cs="Times New Roman"/>
                <w:sz w:val="18"/>
                <w:szCs w:val="16"/>
              </w:rPr>
            </w:pPr>
            <w:r w:rsidRPr="00367A6F">
              <w:rPr>
                <w:rFonts w:ascii="Times New Roman" w:hAnsi="Times New Roman" w:cs="Times New Roman"/>
                <w:sz w:val="18"/>
                <w:szCs w:val="16"/>
              </w:rPr>
              <w:t>West Bengal</w:t>
            </w:r>
          </w:p>
        </w:tc>
        <w:tc>
          <w:tcPr>
            <w:tcW w:w="833" w:type="dxa"/>
            <w:vAlign w:val="center"/>
            <w:hideMark/>
          </w:tcPr>
          <w:p w14:paraId="7D6AFD8C"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w:t>
            </w:r>
          </w:p>
        </w:tc>
        <w:tc>
          <w:tcPr>
            <w:tcW w:w="992" w:type="dxa"/>
            <w:vAlign w:val="center"/>
            <w:hideMark/>
          </w:tcPr>
          <w:p w14:paraId="0C8DE4F7"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2</w:t>
            </w:r>
          </w:p>
        </w:tc>
        <w:tc>
          <w:tcPr>
            <w:tcW w:w="850" w:type="dxa"/>
            <w:vAlign w:val="center"/>
            <w:hideMark/>
          </w:tcPr>
          <w:p w14:paraId="3A958A02"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3</w:t>
            </w:r>
          </w:p>
        </w:tc>
        <w:tc>
          <w:tcPr>
            <w:tcW w:w="993" w:type="dxa"/>
            <w:vAlign w:val="center"/>
            <w:hideMark/>
          </w:tcPr>
          <w:p w14:paraId="15DC43FF"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4</w:t>
            </w:r>
          </w:p>
        </w:tc>
        <w:tc>
          <w:tcPr>
            <w:tcW w:w="849" w:type="dxa"/>
            <w:vAlign w:val="center"/>
            <w:hideMark/>
          </w:tcPr>
          <w:p w14:paraId="3E295C3D"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6</w:t>
            </w:r>
          </w:p>
        </w:tc>
        <w:tc>
          <w:tcPr>
            <w:tcW w:w="1276" w:type="dxa"/>
            <w:vAlign w:val="center"/>
            <w:hideMark/>
          </w:tcPr>
          <w:p w14:paraId="53C45864" w14:textId="77777777" w:rsidR="00E86F61" w:rsidRPr="00367A6F" w:rsidRDefault="00E86F61"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16</w:t>
            </w:r>
          </w:p>
        </w:tc>
      </w:tr>
      <w:tr w:rsidR="00E86F61" w:rsidRPr="00367A6F" w14:paraId="74528432" w14:textId="77777777" w:rsidTr="00367A6F">
        <w:trPr>
          <w:trHeight w:val="20"/>
          <w:jc w:val="center"/>
        </w:trPr>
        <w:tc>
          <w:tcPr>
            <w:tcW w:w="0" w:type="auto"/>
            <w:vAlign w:val="center"/>
            <w:hideMark/>
          </w:tcPr>
          <w:p w14:paraId="78AA9291" w14:textId="77777777" w:rsidR="00E86F61" w:rsidRPr="00367A6F" w:rsidRDefault="00E86F61" w:rsidP="00FC6A76">
            <w:pPr>
              <w:pStyle w:val="NoSpacing"/>
              <w:spacing w:line="190" w:lineRule="exact"/>
              <w:jc w:val="center"/>
              <w:rPr>
                <w:rFonts w:ascii="Times New Roman" w:hAnsi="Times New Roman" w:cs="Times New Roman"/>
                <w:sz w:val="18"/>
                <w:szCs w:val="16"/>
              </w:rPr>
            </w:pPr>
          </w:p>
        </w:tc>
        <w:tc>
          <w:tcPr>
            <w:tcW w:w="1310" w:type="dxa"/>
            <w:vAlign w:val="center"/>
            <w:hideMark/>
          </w:tcPr>
          <w:p w14:paraId="42C5ADF3" w14:textId="77777777" w:rsidR="00E86F61" w:rsidRPr="00367A6F" w:rsidRDefault="00E86F61" w:rsidP="00FC6A76">
            <w:pPr>
              <w:pStyle w:val="NoSpacing"/>
              <w:spacing w:line="190" w:lineRule="exact"/>
              <w:rPr>
                <w:rFonts w:ascii="Times New Roman" w:hAnsi="Times New Roman" w:cs="Times New Roman"/>
                <w:b/>
                <w:bCs/>
                <w:sz w:val="18"/>
                <w:szCs w:val="16"/>
              </w:rPr>
            </w:pPr>
            <w:r w:rsidRPr="00367A6F">
              <w:rPr>
                <w:rFonts w:ascii="Times New Roman" w:hAnsi="Times New Roman" w:cs="Times New Roman"/>
                <w:b/>
                <w:bCs/>
                <w:sz w:val="18"/>
                <w:szCs w:val="16"/>
              </w:rPr>
              <w:t>TOTAL</w:t>
            </w:r>
          </w:p>
        </w:tc>
        <w:tc>
          <w:tcPr>
            <w:tcW w:w="833" w:type="dxa"/>
            <w:vAlign w:val="center"/>
            <w:hideMark/>
          </w:tcPr>
          <w:p w14:paraId="34AF250F"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53</w:t>
            </w:r>
          </w:p>
        </w:tc>
        <w:tc>
          <w:tcPr>
            <w:tcW w:w="992" w:type="dxa"/>
            <w:vAlign w:val="center"/>
            <w:hideMark/>
          </w:tcPr>
          <w:p w14:paraId="3E2D8BDD"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107</w:t>
            </w:r>
          </w:p>
        </w:tc>
        <w:tc>
          <w:tcPr>
            <w:tcW w:w="850" w:type="dxa"/>
            <w:vAlign w:val="center"/>
            <w:hideMark/>
          </w:tcPr>
          <w:p w14:paraId="745B67D6"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159</w:t>
            </w:r>
          </w:p>
        </w:tc>
        <w:tc>
          <w:tcPr>
            <w:tcW w:w="993" w:type="dxa"/>
            <w:vAlign w:val="center"/>
            <w:hideMark/>
          </w:tcPr>
          <w:p w14:paraId="71AB72AD"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239</w:t>
            </w:r>
          </w:p>
        </w:tc>
        <w:tc>
          <w:tcPr>
            <w:tcW w:w="849" w:type="dxa"/>
            <w:vAlign w:val="center"/>
            <w:hideMark/>
          </w:tcPr>
          <w:p w14:paraId="595B5374"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346</w:t>
            </w:r>
          </w:p>
        </w:tc>
        <w:tc>
          <w:tcPr>
            <w:tcW w:w="1276" w:type="dxa"/>
            <w:vAlign w:val="center"/>
            <w:hideMark/>
          </w:tcPr>
          <w:p w14:paraId="1F9D65AE" w14:textId="77777777" w:rsidR="00E86F61" w:rsidRPr="00367A6F" w:rsidRDefault="00E86F61" w:rsidP="00FC6A76">
            <w:pPr>
              <w:pStyle w:val="NoSpacing"/>
              <w:spacing w:line="190" w:lineRule="exact"/>
              <w:jc w:val="center"/>
              <w:rPr>
                <w:rFonts w:ascii="Times New Roman" w:hAnsi="Times New Roman" w:cs="Times New Roman"/>
                <w:b/>
                <w:bCs/>
                <w:sz w:val="18"/>
                <w:szCs w:val="16"/>
              </w:rPr>
            </w:pPr>
            <w:r w:rsidRPr="00367A6F">
              <w:rPr>
                <w:rFonts w:ascii="Times New Roman" w:hAnsi="Times New Roman" w:cs="Times New Roman"/>
                <w:b/>
                <w:bCs/>
                <w:sz w:val="18"/>
                <w:szCs w:val="16"/>
              </w:rPr>
              <w:t>904</w:t>
            </w:r>
          </w:p>
        </w:tc>
      </w:tr>
    </w:tbl>
    <w:p w14:paraId="0B581BF1" w14:textId="583B56B5" w:rsidR="00E86F61" w:rsidRPr="00367A6F" w:rsidRDefault="00E86F61" w:rsidP="00367A6F">
      <w:pPr>
        <w:pStyle w:val="Heading2"/>
        <w:spacing w:line="190" w:lineRule="exact"/>
        <w:rPr>
          <w:sz w:val="20"/>
          <w:szCs w:val="20"/>
        </w:rPr>
      </w:pPr>
      <w:bookmarkStart w:id="69" w:name="_Toc221292992"/>
      <w:bookmarkStart w:id="70" w:name="_Toc222399483"/>
      <w:r w:rsidRPr="00367A6F">
        <w:rPr>
          <w:sz w:val="20"/>
          <w:szCs w:val="20"/>
        </w:rPr>
        <w:t>ANNEXURE III.10</w:t>
      </w:r>
      <w:r w:rsidR="00FC6A76" w:rsidRPr="00367A6F">
        <w:rPr>
          <w:sz w:val="20"/>
          <w:szCs w:val="20"/>
        </w:rPr>
        <w:br/>
      </w:r>
      <w:r w:rsidRPr="00367A6F">
        <w:rPr>
          <w:sz w:val="20"/>
          <w:szCs w:val="20"/>
        </w:rPr>
        <w:t xml:space="preserve">Major </w:t>
      </w:r>
      <w:proofErr w:type="gramStart"/>
      <w:r w:rsidRPr="00367A6F">
        <w:rPr>
          <w:sz w:val="20"/>
          <w:szCs w:val="20"/>
        </w:rPr>
        <w:t>And</w:t>
      </w:r>
      <w:proofErr w:type="gramEnd"/>
      <w:r w:rsidRPr="00367A6F">
        <w:rPr>
          <w:sz w:val="20"/>
          <w:szCs w:val="20"/>
        </w:rPr>
        <w:t xml:space="preserve"> Medium Irrigation Schemes - Potential Created </w:t>
      </w:r>
      <w:proofErr w:type="gramStart"/>
      <w:r w:rsidRPr="00367A6F">
        <w:rPr>
          <w:sz w:val="20"/>
          <w:szCs w:val="20"/>
        </w:rPr>
        <w:t>And</w:t>
      </w:r>
      <w:proofErr w:type="gramEnd"/>
      <w:r w:rsidRPr="00367A6F">
        <w:rPr>
          <w:sz w:val="20"/>
          <w:szCs w:val="20"/>
        </w:rPr>
        <w:t xml:space="preserve"> Utilisation</w:t>
      </w:r>
      <w:bookmarkEnd w:id="69"/>
      <w:bookmarkEnd w:id="70"/>
    </w:p>
    <w:p w14:paraId="0EB25336" w14:textId="6A2EE607" w:rsidR="00FC6A76" w:rsidRPr="00367A6F" w:rsidRDefault="00FC6A76" w:rsidP="00FC6A76">
      <w:pPr>
        <w:pStyle w:val="NoSpacing"/>
        <w:spacing w:line="190" w:lineRule="exact"/>
        <w:jc w:val="center"/>
        <w:rPr>
          <w:rFonts w:ascii="Times New Roman" w:hAnsi="Times New Roman" w:cs="Times New Roman"/>
          <w:sz w:val="18"/>
          <w:szCs w:val="16"/>
        </w:rPr>
      </w:pPr>
      <w:r w:rsidRPr="00367A6F">
        <w:rPr>
          <w:rFonts w:ascii="Times New Roman" w:hAnsi="Times New Roman" w:cs="Times New Roman"/>
          <w:sz w:val="18"/>
          <w:szCs w:val="16"/>
        </w:rPr>
        <w:t>(Para 3.41)</w:t>
      </w:r>
    </w:p>
    <w:p w14:paraId="4E349D2E" w14:textId="77777777" w:rsidR="00E86F61" w:rsidRPr="005858A3" w:rsidRDefault="00E86F61" w:rsidP="00367A6F">
      <w:pPr>
        <w:pStyle w:val="NoSpacing"/>
        <w:spacing w:line="190" w:lineRule="exact"/>
        <w:ind w:left="5760" w:firstLine="720"/>
        <w:jc w:val="center"/>
        <w:rPr>
          <w:rFonts w:ascii="Times New Roman" w:hAnsi="Times New Roman" w:cs="Times New Roman"/>
          <w:i/>
          <w:iCs/>
          <w:sz w:val="18"/>
          <w:szCs w:val="16"/>
        </w:rPr>
      </w:pPr>
      <w:r w:rsidRPr="005858A3">
        <w:rPr>
          <w:rFonts w:ascii="Times New Roman" w:hAnsi="Times New Roman" w:cs="Times New Roman"/>
          <w:i/>
          <w:iCs/>
          <w:sz w:val="18"/>
          <w:szCs w:val="16"/>
        </w:rPr>
        <w:t>(Thousand Hectares)</w:t>
      </w:r>
    </w:p>
    <w:tbl>
      <w:tblPr>
        <w:tblStyle w:val="TableGrid"/>
        <w:tblW w:w="8359" w:type="dxa"/>
        <w:jc w:val="center"/>
        <w:tblLook w:val="04A0" w:firstRow="1" w:lastRow="0" w:firstColumn="1" w:lastColumn="0" w:noHBand="0" w:noVBand="1"/>
      </w:tblPr>
      <w:tblGrid>
        <w:gridCol w:w="416"/>
        <w:gridCol w:w="1341"/>
        <w:gridCol w:w="892"/>
        <w:gridCol w:w="1260"/>
        <w:gridCol w:w="1134"/>
        <w:gridCol w:w="1048"/>
        <w:gridCol w:w="1275"/>
        <w:gridCol w:w="993"/>
      </w:tblGrid>
      <w:tr w:rsidR="00BC47E8" w:rsidRPr="00367A6F" w14:paraId="3EC1461A" w14:textId="77777777" w:rsidTr="00367A6F">
        <w:trPr>
          <w:trHeight w:val="20"/>
          <w:jc w:val="center"/>
        </w:trPr>
        <w:tc>
          <w:tcPr>
            <w:tcW w:w="0" w:type="auto"/>
            <w:vAlign w:val="center"/>
            <w:hideMark/>
          </w:tcPr>
          <w:p w14:paraId="537EC321" w14:textId="77777777" w:rsidR="00BC47E8" w:rsidRPr="00367A6F" w:rsidRDefault="00BC47E8" w:rsidP="00FC6A76">
            <w:pPr>
              <w:pStyle w:val="NoSpacing"/>
              <w:spacing w:line="190" w:lineRule="exact"/>
              <w:jc w:val="center"/>
              <w:rPr>
                <w:rFonts w:ascii="Times New Roman" w:hAnsi="Times New Roman" w:cs="Times New Roman"/>
                <w:sz w:val="16"/>
                <w:szCs w:val="16"/>
              </w:rPr>
            </w:pPr>
          </w:p>
        </w:tc>
        <w:tc>
          <w:tcPr>
            <w:tcW w:w="0" w:type="auto"/>
            <w:vAlign w:val="center"/>
            <w:hideMark/>
          </w:tcPr>
          <w:p w14:paraId="4110A586" w14:textId="77777777" w:rsidR="00BC47E8" w:rsidRPr="00367A6F" w:rsidRDefault="00BC47E8" w:rsidP="00FC6A76">
            <w:pPr>
              <w:pStyle w:val="NoSpacing"/>
              <w:spacing w:line="190" w:lineRule="exact"/>
              <w:jc w:val="center"/>
              <w:rPr>
                <w:rFonts w:ascii="Times New Roman" w:hAnsi="Times New Roman" w:cs="Times New Roman"/>
                <w:b/>
                <w:bCs/>
                <w:sz w:val="16"/>
                <w:szCs w:val="16"/>
              </w:rPr>
            </w:pPr>
            <w:r w:rsidRPr="00367A6F">
              <w:rPr>
                <w:rFonts w:ascii="Times New Roman" w:hAnsi="Times New Roman" w:cs="Times New Roman"/>
                <w:b/>
                <w:bCs/>
                <w:sz w:val="16"/>
                <w:szCs w:val="16"/>
              </w:rPr>
              <w:t>States</w:t>
            </w:r>
          </w:p>
        </w:tc>
        <w:tc>
          <w:tcPr>
            <w:tcW w:w="2152" w:type="dxa"/>
            <w:gridSpan w:val="2"/>
            <w:vAlign w:val="center"/>
            <w:hideMark/>
          </w:tcPr>
          <w:p w14:paraId="562DCD64" w14:textId="46CE98DA" w:rsidR="00BC47E8" w:rsidRPr="00367A6F" w:rsidRDefault="00BC47E8" w:rsidP="00FC6A76">
            <w:pPr>
              <w:pStyle w:val="NoSpacing"/>
              <w:spacing w:line="190" w:lineRule="exact"/>
              <w:jc w:val="center"/>
              <w:rPr>
                <w:rFonts w:ascii="Times New Roman" w:hAnsi="Times New Roman" w:cs="Times New Roman"/>
                <w:b/>
                <w:bCs/>
                <w:sz w:val="16"/>
                <w:szCs w:val="16"/>
              </w:rPr>
            </w:pPr>
            <w:r w:rsidRPr="00367A6F">
              <w:rPr>
                <w:rFonts w:ascii="Times New Roman" w:hAnsi="Times New Roman" w:cs="Times New Roman"/>
                <w:b/>
                <w:bCs/>
                <w:sz w:val="16"/>
                <w:szCs w:val="16"/>
              </w:rPr>
              <w:t>1987-88 (Actuals)</w:t>
            </w:r>
          </w:p>
        </w:tc>
        <w:tc>
          <w:tcPr>
            <w:tcW w:w="1134" w:type="dxa"/>
            <w:vMerge w:val="restart"/>
            <w:vAlign w:val="center"/>
            <w:hideMark/>
          </w:tcPr>
          <w:p w14:paraId="362D510B" w14:textId="37823BFA" w:rsidR="00BC47E8" w:rsidRPr="00367A6F" w:rsidRDefault="00BC47E8"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 xml:space="preserve">Col.2 As Per Cent </w:t>
            </w:r>
            <w:proofErr w:type="gramStart"/>
            <w:r w:rsidRPr="00367A6F">
              <w:rPr>
                <w:rFonts w:ascii="Times New Roman" w:hAnsi="Times New Roman" w:cs="Times New Roman"/>
                <w:b/>
                <w:bCs/>
                <w:sz w:val="16"/>
                <w:szCs w:val="16"/>
              </w:rPr>
              <w:t>Of</w:t>
            </w:r>
            <w:proofErr w:type="gramEnd"/>
            <w:r w:rsidRPr="00367A6F">
              <w:rPr>
                <w:rFonts w:ascii="Times New Roman" w:hAnsi="Times New Roman" w:cs="Times New Roman"/>
                <w:b/>
                <w:bCs/>
                <w:sz w:val="16"/>
                <w:szCs w:val="16"/>
              </w:rPr>
              <w:t xml:space="preserve"> Col.1</w:t>
            </w:r>
          </w:p>
        </w:tc>
        <w:tc>
          <w:tcPr>
            <w:tcW w:w="2323" w:type="dxa"/>
            <w:gridSpan w:val="2"/>
            <w:vAlign w:val="center"/>
            <w:hideMark/>
          </w:tcPr>
          <w:p w14:paraId="7FCFCBE6" w14:textId="3988C633" w:rsidR="00BC47E8" w:rsidRPr="00367A6F" w:rsidRDefault="00BC47E8" w:rsidP="00FC6A76">
            <w:pPr>
              <w:pStyle w:val="NoSpacing"/>
              <w:spacing w:line="190" w:lineRule="exact"/>
              <w:jc w:val="center"/>
              <w:rPr>
                <w:rFonts w:ascii="Times New Roman" w:hAnsi="Times New Roman" w:cs="Times New Roman"/>
                <w:b/>
                <w:bCs/>
                <w:sz w:val="16"/>
                <w:szCs w:val="16"/>
              </w:rPr>
            </w:pPr>
            <w:r w:rsidRPr="00367A6F">
              <w:rPr>
                <w:rFonts w:ascii="Times New Roman" w:hAnsi="Times New Roman" w:cs="Times New Roman"/>
                <w:b/>
                <w:bCs/>
                <w:sz w:val="16"/>
                <w:szCs w:val="16"/>
              </w:rPr>
              <w:t>Estimated For 1989-90</w:t>
            </w:r>
          </w:p>
        </w:tc>
        <w:tc>
          <w:tcPr>
            <w:tcW w:w="993" w:type="dxa"/>
            <w:vMerge w:val="restart"/>
            <w:vAlign w:val="center"/>
            <w:hideMark/>
          </w:tcPr>
          <w:p w14:paraId="61CE3482" w14:textId="2F19D1BF" w:rsidR="00BC47E8" w:rsidRPr="00367A6F" w:rsidRDefault="00BC47E8"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 xml:space="preserve">Col. 5 As Per Cent </w:t>
            </w:r>
            <w:proofErr w:type="gramStart"/>
            <w:r w:rsidRPr="00367A6F">
              <w:rPr>
                <w:rFonts w:ascii="Times New Roman" w:hAnsi="Times New Roman" w:cs="Times New Roman"/>
                <w:b/>
                <w:bCs/>
                <w:sz w:val="16"/>
                <w:szCs w:val="16"/>
              </w:rPr>
              <w:t>Of</w:t>
            </w:r>
            <w:proofErr w:type="gramEnd"/>
            <w:r w:rsidRPr="00367A6F">
              <w:rPr>
                <w:rFonts w:ascii="Times New Roman" w:hAnsi="Times New Roman" w:cs="Times New Roman"/>
                <w:b/>
                <w:bCs/>
                <w:sz w:val="16"/>
                <w:szCs w:val="16"/>
              </w:rPr>
              <w:t xml:space="preserve"> Col. 4.</w:t>
            </w:r>
          </w:p>
        </w:tc>
      </w:tr>
      <w:tr w:rsidR="00BC47E8" w:rsidRPr="00367A6F" w14:paraId="753944B2" w14:textId="77777777" w:rsidTr="00367A6F">
        <w:trPr>
          <w:trHeight w:val="20"/>
          <w:jc w:val="center"/>
        </w:trPr>
        <w:tc>
          <w:tcPr>
            <w:tcW w:w="0" w:type="auto"/>
            <w:vAlign w:val="center"/>
            <w:hideMark/>
          </w:tcPr>
          <w:p w14:paraId="17AB3C59" w14:textId="77777777" w:rsidR="00BC47E8" w:rsidRPr="00367A6F" w:rsidRDefault="00BC47E8" w:rsidP="00FC6A76">
            <w:pPr>
              <w:pStyle w:val="NoSpacing"/>
              <w:spacing w:line="190" w:lineRule="exact"/>
              <w:jc w:val="center"/>
              <w:rPr>
                <w:rFonts w:ascii="Times New Roman" w:hAnsi="Times New Roman" w:cs="Times New Roman"/>
                <w:sz w:val="16"/>
                <w:szCs w:val="16"/>
              </w:rPr>
            </w:pPr>
          </w:p>
        </w:tc>
        <w:tc>
          <w:tcPr>
            <w:tcW w:w="0" w:type="auto"/>
            <w:vAlign w:val="center"/>
            <w:hideMark/>
          </w:tcPr>
          <w:p w14:paraId="1F36E133" w14:textId="77777777" w:rsidR="00BC47E8" w:rsidRPr="00367A6F" w:rsidRDefault="00BC47E8" w:rsidP="00FC6A76">
            <w:pPr>
              <w:pStyle w:val="NoSpacing"/>
              <w:spacing w:line="190" w:lineRule="exact"/>
              <w:jc w:val="center"/>
              <w:rPr>
                <w:rFonts w:ascii="Times New Roman" w:hAnsi="Times New Roman" w:cs="Times New Roman"/>
                <w:sz w:val="16"/>
                <w:szCs w:val="16"/>
              </w:rPr>
            </w:pPr>
          </w:p>
        </w:tc>
        <w:tc>
          <w:tcPr>
            <w:tcW w:w="892" w:type="dxa"/>
            <w:vAlign w:val="center"/>
            <w:hideMark/>
          </w:tcPr>
          <w:p w14:paraId="176A2437" w14:textId="77777777" w:rsidR="00BC47E8" w:rsidRPr="00367A6F" w:rsidRDefault="00BC47E8"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Irrigation Potential</w:t>
            </w:r>
          </w:p>
        </w:tc>
        <w:tc>
          <w:tcPr>
            <w:tcW w:w="1260" w:type="dxa"/>
            <w:vAlign w:val="center"/>
            <w:hideMark/>
          </w:tcPr>
          <w:p w14:paraId="5DFC1EC8" w14:textId="77777777" w:rsidR="00BC47E8" w:rsidRPr="00367A6F" w:rsidRDefault="00BC47E8"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Gross Irrigated Area</w:t>
            </w:r>
          </w:p>
        </w:tc>
        <w:tc>
          <w:tcPr>
            <w:tcW w:w="1134" w:type="dxa"/>
            <w:vMerge/>
            <w:vAlign w:val="center"/>
            <w:hideMark/>
          </w:tcPr>
          <w:p w14:paraId="2C35BF77" w14:textId="58A7C6CB" w:rsidR="00BC47E8" w:rsidRPr="00367A6F" w:rsidRDefault="00BC47E8" w:rsidP="00FC6A76">
            <w:pPr>
              <w:pStyle w:val="NoSpacing"/>
              <w:spacing w:line="190" w:lineRule="exact"/>
              <w:jc w:val="center"/>
              <w:rPr>
                <w:rFonts w:ascii="Times New Roman" w:hAnsi="Times New Roman" w:cs="Times New Roman"/>
                <w:sz w:val="16"/>
                <w:szCs w:val="16"/>
              </w:rPr>
            </w:pPr>
          </w:p>
        </w:tc>
        <w:tc>
          <w:tcPr>
            <w:tcW w:w="1048" w:type="dxa"/>
            <w:vAlign w:val="center"/>
            <w:hideMark/>
          </w:tcPr>
          <w:p w14:paraId="24FF05C9" w14:textId="77777777" w:rsidR="00BC47E8" w:rsidRPr="00367A6F" w:rsidRDefault="00BC47E8"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Irrigation Potential</w:t>
            </w:r>
          </w:p>
        </w:tc>
        <w:tc>
          <w:tcPr>
            <w:tcW w:w="1275" w:type="dxa"/>
            <w:vAlign w:val="center"/>
            <w:hideMark/>
          </w:tcPr>
          <w:p w14:paraId="668DA36B" w14:textId="77777777" w:rsidR="00BC47E8" w:rsidRPr="00367A6F" w:rsidRDefault="00BC47E8"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Gross Irrigated Area</w:t>
            </w:r>
          </w:p>
        </w:tc>
        <w:tc>
          <w:tcPr>
            <w:tcW w:w="993" w:type="dxa"/>
            <w:vMerge/>
            <w:vAlign w:val="center"/>
            <w:hideMark/>
          </w:tcPr>
          <w:p w14:paraId="62C330F0" w14:textId="56023E38" w:rsidR="00BC47E8" w:rsidRPr="00367A6F" w:rsidRDefault="00BC47E8" w:rsidP="00FC6A76">
            <w:pPr>
              <w:pStyle w:val="NoSpacing"/>
              <w:spacing w:line="190" w:lineRule="exact"/>
              <w:jc w:val="center"/>
              <w:rPr>
                <w:rFonts w:ascii="Times New Roman" w:hAnsi="Times New Roman" w:cs="Times New Roman"/>
                <w:sz w:val="16"/>
                <w:szCs w:val="16"/>
              </w:rPr>
            </w:pPr>
          </w:p>
        </w:tc>
      </w:tr>
      <w:tr w:rsidR="00E86F61" w:rsidRPr="00367A6F" w14:paraId="315E0D63" w14:textId="77777777" w:rsidTr="00367A6F">
        <w:trPr>
          <w:trHeight w:val="20"/>
          <w:jc w:val="center"/>
        </w:trPr>
        <w:tc>
          <w:tcPr>
            <w:tcW w:w="0" w:type="auto"/>
            <w:vAlign w:val="center"/>
            <w:hideMark/>
          </w:tcPr>
          <w:p w14:paraId="310D54E1" w14:textId="77777777" w:rsidR="00E86F61" w:rsidRPr="00367A6F" w:rsidRDefault="00E86F61" w:rsidP="00FC6A76">
            <w:pPr>
              <w:pStyle w:val="NoSpacing"/>
              <w:spacing w:line="190" w:lineRule="exact"/>
              <w:jc w:val="center"/>
              <w:rPr>
                <w:rFonts w:ascii="Times New Roman" w:hAnsi="Times New Roman" w:cs="Times New Roman"/>
                <w:sz w:val="16"/>
                <w:szCs w:val="16"/>
              </w:rPr>
            </w:pPr>
          </w:p>
        </w:tc>
        <w:tc>
          <w:tcPr>
            <w:tcW w:w="0" w:type="auto"/>
            <w:vAlign w:val="center"/>
            <w:hideMark/>
          </w:tcPr>
          <w:p w14:paraId="677E0B16" w14:textId="77777777" w:rsidR="00E86F61" w:rsidRPr="00367A6F" w:rsidRDefault="00E86F61" w:rsidP="00FC6A76">
            <w:pPr>
              <w:pStyle w:val="NoSpacing"/>
              <w:spacing w:line="190" w:lineRule="exact"/>
              <w:jc w:val="center"/>
              <w:rPr>
                <w:rFonts w:ascii="Times New Roman" w:hAnsi="Times New Roman" w:cs="Times New Roman"/>
                <w:sz w:val="16"/>
                <w:szCs w:val="16"/>
              </w:rPr>
            </w:pPr>
          </w:p>
        </w:tc>
        <w:tc>
          <w:tcPr>
            <w:tcW w:w="892" w:type="dxa"/>
            <w:vAlign w:val="center"/>
            <w:hideMark/>
          </w:tcPr>
          <w:p w14:paraId="697C328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(1)</w:t>
            </w:r>
          </w:p>
        </w:tc>
        <w:tc>
          <w:tcPr>
            <w:tcW w:w="1260" w:type="dxa"/>
            <w:vAlign w:val="center"/>
            <w:hideMark/>
          </w:tcPr>
          <w:p w14:paraId="5CABD96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(2)</w:t>
            </w:r>
          </w:p>
        </w:tc>
        <w:tc>
          <w:tcPr>
            <w:tcW w:w="1134" w:type="dxa"/>
            <w:vAlign w:val="center"/>
            <w:hideMark/>
          </w:tcPr>
          <w:p w14:paraId="47BF6B1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(3)</w:t>
            </w:r>
          </w:p>
        </w:tc>
        <w:tc>
          <w:tcPr>
            <w:tcW w:w="1048" w:type="dxa"/>
            <w:vAlign w:val="center"/>
            <w:hideMark/>
          </w:tcPr>
          <w:p w14:paraId="157CB0D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(4)</w:t>
            </w:r>
          </w:p>
        </w:tc>
        <w:tc>
          <w:tcPr>
            <w:tcW w:w="1275" w:type="dxa"/>
            <w:vAlign w:val="center"/>
            <w:hideMark/>
          </w:tcPr>
          <w:p w14:paraId="6B9A081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(5)</w:t>
            </w:r>
          </w:p>
        </w:tc>
        <w:tc>
          <w:tcPr>
            <w:tcW w:w="993" w:type="dxa"/>
            <w:vAlign w:val="center"/>
            <w:hideMark/>
          </w:tcPr>
          <w:p w14:paraId="0F364E1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(6)</w:t>
            </w:r>
          </w:p>
        </w:tc>
      </w:tr>
      <w:tr w:rsidR="00E86F61" w:rsidRPr="00367A6F" w14:paraId="56D11CF6" w14:textId="77777777" w:rsidTr="00367A6F">
        <w:trPr>
          <w:trHeight w:val="20"/>
          <w:jc w:val="center"/>
        </w:trPr>
        <w:tc>
          <w:tcPr>
            <w:tcW w:w="0" w:type="auto"/>
            <w:vAlign w:val="center"/>
            <w:hideMark/>
          </w:tcPr>
          <w:p w14:paraId="00346AA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w:t>
            </w:r>
          </w:p>
        </w:tc>
        <w:tc>
          <w:tcPr>
            <w:tcW w:w="0" w:type="auto"/>
            <w:vAlign w:val="center"/>
            <w:hideMark/>
          </w:tcPr>
          <w:p w14:paraId="75ED5546"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Andhra Pradesh</w:t>
            </w:r>
          </w:p>
        </w:tc>
        <w:tc>
          <w:tcPr>
            <w:tcW w:w="892" w:type="dxa"/>
            <w:vAlign w:val="center"/>
            <w:hideMark/>
          </w:tcPr>
          <w:p w14:paraId="2CED43E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3337</w:t>
            </w:r>
          </w:p>
        </w:tc>
        <w:tc>
          <w:tcPr>
            <w:tcW w:w="1260" w:type="dxa"/>
            <w:vAlign w:val="center"/>
            <w:hideMark/>
          </w:tcPr>
          <w:p w14:paraId="25521B1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3105</w:t>
            </w:r>
          </w:p>
        </w:tc>
        <w:tc>
          <w:tcPr>
            <w:tcW w:w="1134" w:type="dxa"/>
            <w:vAlign w:val="center"/>
            <w:hideMark/>
          </w:tcPr>
          <w:p w14:paraId="59E5B04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93.0</w:t>
            </w:r>
          </w:p>
        </w:tc>
        <w:tc>
          <w:tcPr>
            <w:tcW w:w="1048" w:type="dxa"/>
            <w:vAlign w:val="center"/>
            <w:hideMark/>
          </w:tcPr>
          <w:p w14:paraId="5BA8376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3411</w:t>
            </w:r>
          </w:p>
        </w:tc>
        <w:tc>
          <w:tcPr>
            <w:tcW w:w="1275" w:type="dxa"/>
            <w:vAlign w:val="center"/>
            <w:hideMark/>
          </w:tcPr>
          <w:p w14:paraId="5F618F2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3172</w:t>
            </w:r>
          </w:p>
        </w:tc>
        <w:tc>
          <w:tcPr>
            <w:tcW w:w="993" w:type="dxa"/>
            <w:vAlign w:val="center"/>
            <w:hideMark/>
          </w:tcPr>
          <w:p w14:paraId="3CBDC23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93.0</w:t>
            </w:r>
          </w:p>
        </w:tc>
      </w:tr>
      <w:tr w:rsidR="00E86F61" w:rsidRPr="00367A6F" w14:paraId="6976770D" w14:textId="77777777" w:rsidTr="00367A6F">
        <w:trPr>
          <w:trHeight w:val="20"/>
          <w:jc w:val="center"/>
        </w:trPr>
        <w:tc>
          <w:tcPr>
            <w:tcW w:w="0" w:type="auto"/>
            <w:vAlign w:val="center"/>
            <w:hideMark/>
          </w:tcPr>
          <w:p w14:paraId="2F50E6C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w:t>
            </w:r>
          </w:p>
        </w:tc>
        <w:tc>
          <w:tcPr>
            <w:tcW w:w="0" w:type="auto"/>
            <w:vAlign w:val="center"/>
            <w:hideMark/>
          </w:tcPr>
          <w:p w14:paraId="4DB333B8"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Arunachal Pradesh</w:t>
            </w:r>
          </w:p>
        </w:tc>
        <w:tc>
          <w:tcPr>
            <w:tcW w:w="892" w:type="dxa"/>
            <w:vAlign w:val="center"/>
            <w:hideMark/>
          </w:tcPr>
          <w:p w14:paraId="6ED3ED3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60" w:type="dxa"/>
            <w:vAlign w:val="center"/>
            <w:hideMark/>
          </w:tcPr>
          <w:p w14:paraId="53411D5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134" w:type="dxa"/>
            <w:vAlign w:val="center"/>
            <w:hideMark/>
          </w:tcPr>
          <w:p w14:paraId="041081A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048" w:type="dxa"/>
            <w:vAlign w:val="center"/>
            <w:hideMark/>
          </w:tcPr>
          <w:p w14:paraId="084BC49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75" w:type="dxa"/>
            <w:vAlign w:val="center"/>
            <w:hideMark/>
          </w:tcPr>
          <w:p w14:paraId="5DC14FD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993" w:type="dxa"/>
            <w:vAlign w:val="center"/>
            <w:hideMark/>
          </w:tcPr>
          <w:p w14:paraId="5C20981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r>
      <w:tr w:rsidR="00E86F61" w:rsidRPr="00367A6F" w14:paraId="50787921" w14:textId="77777777" w:rsidTr="00367A6F">
        <w:trPr>
          <w:trHeight w:val="20"/>
          <w:jc w:val="center"/>
        </w:trPr>
        <w:tc>
          <w:tcPr>
            <w:tcW w:w="0" w:type="auto"/>
            <w:vAlign w:val="center"/>
            <w:hideMark/>
          </w:tcPr>
          <w:p w14:paraId="00C2146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w:t>
            </w:r>
          </w:p>
        </w:tc>
        <w:tc>
          <w:tcPr>
            <w:tcW w:w="0" w:type="auto"/>
            <w:vAlign w:val="center"/>
            <w:hideMark/>
          </w:tcPr>
          <w:p w14:paraId="30947ADF"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Assam</w:t>
            </w:r>
          </w:p>
        </w:tc>
        <w:tc>
          <w:tcPr>
            <w:tcW w:w="892" w:type="dxa"/>
            <w:vAlign w:val="center"/>
            <w:hideMark/>
          </w:tcPr>
          <w:p w14:paraId="4B3A883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132</w:t>
            </w:r>
          </w:p>
        </w:tc>
        <w:tc>
          <w:tcPr>
            <w:tcW w:w="1260" w:type="dxa"/>
            <w:vAlign w:val="center"/>
            <w:hideMark/>
          </w:tcPr>
          <w:p w14:paraId="1F897F9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79</w:t>
            </w:r>
          </w:p>
        </w:tc>
        <w:tc>
          <w:tcPr>
            <w:tcW w:w="1134" w:type="dxa"/>
            <w:vAlign w:val="center"/>
            <w:hideMark/>
          </w:tcPr>
          <w:p w14:paraId="78F0838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59.8</w:t>
            </w:r>
          </w:p>
        </w:tc>
        <w:tc>
          <w:tcPr>
            <w:tcW w:w="1048" w:type="dxa"/>
            <w:vAlign w:val="center"/>
            <w:hideMark/>
          </w:tcPr>
          <w:p w14:paraId="3DF3547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174</w:t>
            </w:r>
          </w:p>
        </w:tc>
        <w:tc>
          <w:tcPr>
            <w:tcW w:w="1275" w:type="dxa"/>
            <w:vAlign w:val="center"/>
            <w:hideMark/>
          </w:tcPr>
          <w:p w14:paraId="3AFC6BD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107</w:t>
            </w:r>
          </w:p>
        </w:tc>
        <w:tc>
          <w:tcPr>
            <w:tcW w:w="993" w:type="dxa"/>
            <w:vAlign w:val="center"/>
            <w:hideMark/>
          </w:tcPr>
          <w:p w14:paraId="00C2E93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61.5</w:t>
            </w:r>
          </w:p>
        </w:tc>
      </w:tr>
      <w:tr w:rsidR="00E86F61" w:rsidRPr="00367A6F" w14:paraId="45DC4D95" w14:textId="77777777" w:rsidTr="00367A6F">
        <w:trPr>
          <w:trHeight w:val="20"/>
          <w:jc w:val="center"/>
        </w:trPr>
        <w:tc>
          <w:tcPr>
            <w:tcW w:w="0" w:type="auto"/>
            <w:vAlign w:val="center"/>
            <w:hideMark/>
          </w:tcPr>
          <w:p w14:paraId="38CBC4A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w:t>
            </w:r>
          </w:p>
        </w:tc>
        <w:tc>
          <w:tcPr>
            <w:tcW w:w="0" w:type="auto"/>
            <w:vAlign w:val="center"/>
            <w:hideMark/>
          </w:tcPr>
          <w:p w14:paraId="7C43FB8D"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Bihar</w:t>
            </w:r>
          </w:p>
        </w:tc>
        <w:tc>
          <w:tcPr>
            <w:tcW w:w="892" w:type="dxa"/>
            <w:vAlign w:val="center"/>
            <w:hideMark/>
          </w:tcPr>
          <w:p w14:paraId="57165BF6"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3050</w:t>
            </w:r>
          </w:p>
        </w:tc>
        <w:tc>
          <w:tcPr>
            <w:tcW w:w="1260" w:type="dxa"/>
            <w:vAlign w:val="center"/>
            <w:hideMark/>
          </w:tcPr>
          <w:p w14:paraId="0FD2E36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2405</w:t>
            </w:r>
          </w:p>
        </w:tc>
        <w:tc>
          <w:tcPr>
            <w:tcW w:w="1134" w:type="dxa"/>
            <w:vAlign w:val="center"/>
            <w:hideMark/>
          </w:tcPr>
          <w:p w14:paraId="286BBE7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78.9</w:t>
            </w:r>
          </w:p>
        </w:tc>
        <w:tc>
          <w:tcPr>
            <w:tcW w:w="1048" w:type="dxa"/>
            <w:vAlign w:val="center"/>
            <w:hideMark/>
          </w:tcPr>
          <w:p w14:paraId="48779ED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3166</w:t>
            </w:r>
          </w:p>
        </w:tc>
        <w:tc>
          <w:tcPr>
            <w:tcW w:w="1275" w:type="dxa"/>
            <w:vAlign w:val="center"/>
            <w:hideMark/>
          </w:tcPr>
          <w:p w14:paraId="3015B1B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2575</w:t>
            </w:r>
          </w:p>
        </w:tc>
        <w:tc>
          <w:tcPr>
            <w:tcW w:w="993" w:type="dxa"/>
            <w:vAlign w:val="center"/>
            <w:hideMark/>
          </w:tcPr>
          <w:p w14:paraId="4B4F8CE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81.3</w:t>
            </w:r>
          </w:p>
        </w:tc>
      </w:tr>
      <w:tr w:rsidR="00E86F61" w:rsidRPr="00367A6F" w14:paraId="348DA6F1" w14:textId="77777777" w:rsidTr="00367A6F">
        <w:trPr>
          <w:trHeight w:val="20"/>
          <w:jc w:val="center"/>
        </w:trPr>
        <w:tc>
          <w:tcPr>
            <w:tcW w:w="0" w:type="auto"/>
            <w:vAlign w:val="center"/>
            <w:hideMark/>
          </w:tcPr>
          <w:p w14:paraId="2F992FA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w:t>
            </w:r>
          </w:p>
        </w:tc>
        <w:tc>
          <w:tcPr>
            <w:tcW w:w="0" w:type="auto"/>
            <w:vAlign w:val="center"/>
            <w:hideMark/>
          </w:tcPr>
          <w:p w14:paraId="22C63AC4"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Goa</w:t>
            </w:r>
          </w:p>
        </w:tc>
        <w:tc>
          <w:tcPr>
            <w:tcW w:w="892" w:type="dxa"/>
            <w:vAlign w:val="center"/>
            <w:hideMark/>
          </w:tcPr>
          <w:p w14:paraId="29C938E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w:t>
            </w:r>
          </w:p>
        </w:tc>
        <w:tc>
          <w:tcPr>
            <w:tcW w:w="1260" w:type="dxa"/>
            <w:vAlign w:val="center"/>
            <w:hideMark/>
          </w:tcPr>
          <w:p w14:paraId="279915F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w:t>
            </w:r>
          </w:p>
        </w:tc>
        <w:tc>
          <w:tcPr>
            <w:tcW w:w="1134" w:type="dxa"/>
            <w:vAlign w:val="center"/>
            <w:hideMark/>
          </w:tcPr>
          <w:p w14:paraId="36EC7DF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50.0</w:t>
            </w:r>
          </w:p>
        </w:tc>
        <w:tc>
          <w:tcPr>
            <w:tcW w:w="1048" w:type="dxa"/>
            <w:vAlign w:val="center"/>
            <w:hideMark/>
          </w:tcPr>
          <w:p w14:paraId="29A979B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w:t>
            </w:r>
          </w:p>
        </w:tc>
        <w:tc>
          <w:tcPr>
            <w:tcW w:w="1275" w:type="dxa"/>
            <w:vAlign w:val="center"/>
            <w:hideMark/>
          </w:tcPr>
          <w:p w14:paraId="65B0686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w:t>
            </w:r>
          </w:p>
        </w:tc>
        <w:tc>
          <w:tcPr>
            <w:tcW w:w="993" w:type="dxa"/>
            <w:vAlign w:val="center"/>
            <w:hideMark/>
          </w:tcPr>
          <w:p w14:paraId="3BA142D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100.0</w:t>
            </w:r>
          </w:p>
        </w:tc>
      </w:tr>
      <w:tr w:rsidR="00E86F61" w:rsidRPr="00367A6F" w14:paraId="3EAFC978" w14:textId="77777777" w:rsidTr="00367A6F">
        <w:trPr>
          <w:trHeight w:val="20"/>
          <w:jc w:val="center"/>
        </w:trPr>
        <w:tc>
          <w:tcPr>
            <w:tcW w:w="0" w:type="auto"/>
            <w:vAlign w:val="center"/>
            <w:hideMark/>
          </w:tcPr>
          <w:p w14:paraId="394A42E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w:t>
            </w:r>
          </w:p>
        </w:tc>
        <w:tc>
          <w:tcPr>
            <w:tcW w:w="0" w:type="auto"/>
            <w:vAlign w:val="center"/>
            <w:hideMark/>
          </w:tcPr>
          <w:p w14:paraId="70F60344"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Gujarat</w:t>
            </w:r>
          </w:p>
        </w:tc>
        <w:tc>
          <w:tcPr>
            <w:tcW w:w="892" w:type="dxa"/>
            <w:vAlign w:val="center"/>
            <w:hideMark/>
          </w:tcPr>
          <w:p w14:paraId="28E8360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1196</w:t>
            </w:r>
          </w:p>
        </w:tc>
        <w:tc>
          <w:tcPr>
            <w:tcW w:w="1260" w:type="dxa"/>
            <w:vAlign w:val="center"/>
            <w:hideMark/>
          </w:tcPr>
          <w:p w14:paraId="6F6C5FD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809</w:t>
            </w:r>
          </w:p>
        </w:tc>
        <w:tc>
          <w:tcPr>
            <w:tcW w:w="1134" w:type="dxa"/>
            <w:vAlign w:val="center"/>
            <w:hideMark/>
          </w:tcPr>
          <w:p w14:paraId="2BA66E2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67.6</w:t>
            </w:r>
          </w:p>
        </w:tc>
        <w:tc>
          <w:tcPr>
            <w:tcW w:w="1048" w:type="dxa"/>
            <w:vAlign w:val="center"/>
            <w:hideMark/>
          </w:tcPr>
          <w:p w14:paraId="2ADD02D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1296</w:t>
            </w:r>
          </w:p>
        </w:tc>
        <w:tc>
          <w:tcPr>
            <w:tcW w:w="1275" w:type="dxa"/>
            <w:vAlign w:val="center"/>
            <w:hideMark/>
          </w:tcPr>
          <w:p w14:paraId="7BC209A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869</w:t>
            </w:r>
          </w:p>
        </w:tc>
        <w:tc>
          <w:tcPr>
            <w:tcW w:w="993" w:type="dxa"/>
            <w:vAlign w:val="center"/>
            <w:hideMark/>
          </w:tcPr>
          <w:p w14:paraId="5DF943E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67.1</w:t>
            </w:r>
          </w:p>
        </w:tc>
      </w:tr>
      <w:tr w:rsidR="00E86F61" w:rsidRPr="00367A6F" w14:paraId="2C640B43" w14:textId="77777777" w:rsidTr="00367A6F">
        <w:trPr>
          <w:trHeight w:val="20"/>
          <w:jc w:val="center"/>
        </w:trPr>
        <w:tc>
          <w:tcPr>
            <w:tcW w:w="0" w:type="auto"/>
            <w:vAlign w:val="center"/>
            <w:hideMark/>
          </w:tcPr>
          <w:p w14:paraId="78D0C96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w:t>
            </w:r>
          </w:p>
        </w:tc>
        <w:tc>
          <w:tcPr>
            <w:tcW w:w="0" w:type="auto"/>
            <w:vAlign w:val="center"/>
            <w:hideMark/>
          </w:tcPr>
          <w:p w14:paraId="7CCC235A"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Haryana</w:t>
            </w:r>
          </w:p>
        </w:tc>
        <w:tc>
          <w:tcPr>
            <w:tcW w:w="892" w:type="dxa"/>
            <w:vAlign w:val="center"/>
            <w:hideMark/>
          </w:tcPr>
          <w:p w14:paraId="3E751BE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1995</w:t>
            </w:r>
          </w:p>
        </w:tc>
        <w:tc>
          <w:tcPr>
            <w:tcW w:w="1260" w:type="dxa"/>
            <w:vAlign w:val="center"/>
            <w:hideMark/>
          </w:tcPr>
          <w:p w14:paraId="2DBCF9B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1787</w:t>
            </w:r>
          </w:p>
        </w:tc>
        <w:tc>
          <w:tcPr>
            <w:tcW w:w="1134" w:type="dxa"/>
            <w:vAlign w:val="center"/>
            <w:hideMark/>
          </w:tcPr>
          <w:p w14:paraId="45C39D5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89.6</w:t>
            </w:r>
          </w:p>
        </w:tc>
        <w:tc>
          <w:tcPr>
            <w:tcW w:w="1048" w:type="dxa"/>
            <w:vAlign w:val="center"/>
            <w:hideMark/>
          </w:tcPr>
          <w:p w14:paraId="7C77181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2060</w:t>
            </w:r>
          </w:p>
        </w:tc>
        <w:tc>
          <w:tcPr>
            <w:tcW w:w="1275" w:type="dxa"/>
            <w:vAlign w:val="center"/>
            <w:hideMark/>
          </w:tcPr>
          <w:p w14:paraId="7FE4519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1811</w:t>
            </w:r>
          </w:p>
        </w:tc>
        <w:tc>
          <w:tcPr>
            <w:tcW w:w="993" w:type="dxa"/>
            <w:vAlign w:val="center"/>
            <w:hideMark/>
          </w:tcPr>
          <w:p w14:paraId="751B1E3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87.9</w:t>
            </w:r>
          </w:p>
        </w:tc>
      </w:tr>
      <w:tr w:rsidR="00E86F61" w:rsidRPr="00367A6F" w14:paraId="763FE3E0" w14:textId="77777777" w:rsidTr="00367A6F">
        <w:trPr>
          <w:trHeight w:val="20"/>
          <w:jc w:val="center"/>
        </w:trPr>
        <w:tc>
          <w:tcPr>
            <w:tcW w:w="0" w:type="auto"/>
            <w:vAlign w:val="center"/>
            <w:hideMark/>
          </w:tcPr>
          <w:p w14:paraId="1510E1F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w:t>
            </w:r>
          </w:p>
        </w:tc>
        <w:tc>
          <w:tcPr>
            <w:tcW w:w="0" w:type="auto"/>
            <w:vAlign w:val="center"/>
            <w:hideMark/>
          </w:tcPr>
          <w:p w14:paraId="43BA2F74"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Himachal Pradesh</w:t>
            </w:r>
          </w:p>
        </w:tc>
        <w:tc>
          <w:tcPr>
            <w:tcW w:w="892" w:type="dxa"/>
            <w:vAlign w:val="center"/>
            <w:hideMark/>
          </w:tcPr>
          <w:p w14:paraId="58BB43B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w:t>
            </w:r>
          </w:p>
        </w:tc>
        <w:tc>
          <w:tcPr>
            <w:tcW w:w="1260" w:type="dxa"/>
            <w:vAlign w:val="center"/>
            <w:hideMark/>
          </w:tcPr>
          <w:p w14:paraId="2322984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w:t>
            </w:r>
          </w:p>
        </w:tc>
        <w:tc>
          <w:tcPr>
            <w:tcW w:w="1134" w:type="dxa"/>
            <w:vAlign w:val="center"/>
            <w:hideMark/>
          </w:tcPr>
          <w:p w14:paraId="0137D35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57.1</w:t>
            </w:r>
          </w:p>
        </w:tc>
        <w:tc>
          <w:tcPr>
            <w:tcW w:w="1048" w:type="dxa"/>
            <w:vAlign w:val="center"/>
            <w:hideMark/>
          </w:tcPr>
          <w:p w14:paraId="55B3E016"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w:t>
            </w:r>
          </w:p>
        </w:tc>
        <w:tc>
          <w:tcPr>
            <w:tcW w:w="1275" w:type="dxa"/>
            <w:vAlign w:val="center"/>
            <w:hideMark/>
          </w:tcPr>
          <w:p w14:paraId="70A8954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w:t>
            </w:r>
          </w:p>
        </w:tc>
        <w:tc>
          <w:tcPr>
            <w:tcW w:w="993" w:type="dxa"/>
            <w:vAlign w:val="center"/>
            <w:hideMark/>
          </w:tcPr>
          <w:p w14:paraId="0E733EE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44.4</w:t>
            </w:r>
          </w:p>
        </w:tc>
      </w:tr>
      <w:tr w:rsidR="00E86F61" w:rsidRPr="00367A6F" w14:paraId="795897E8" w14:textId="77777777" w:rsidTr="00367A6F">
        <w:trPr>
          <w:trHeight w:val="20"/>
          <w:jc w:val="center"/>
        </w:trPr>
        <w:tc>
          <w:tcPr>
            <w:tcW w:w="0" w:type="auto"/>
            <w:vAlign w:val="center"/>
            <w:hideMark/>
          </w:tcPr>
          <w:p w14:paraId="0C15F3A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w:t>
            </w:r>
          </w:p>
        </w:tc>
        <w:tc>
          <w:tcPr>
            <w:tcW w:w="0" w:type="auto"/>
            <w:vAlign w:val="center"/>
            <w:hideMark/>
          </w:tcPr>
          <w:p w14:paraId="4131EB85"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Jammu and Kashmir</w:t>
            </w:r>
          </w:p>
        </w:tc>
        <w:tc>
          <w:tcPr>
            <w:tcW w:w="892" w:type="dxa"/>
            <w:vAlign w:val="center"/>
            <w:hideMark/>
          </w:tcPr>
          <w:p w14:paraId="3325259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141</w:t>
            </w:r>
          </w:p>
        </w:tc>
        <w:tc>
          <w:tcPr>
            <w:tcW w:w="1260" w:type="dxa"/>
            <w:vAlign w:val="center"/>
            <w:hideMark/>
          </w:tcPr>
          <w:p w14:paraId="331F9DE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121</w:t>
            </w:r>
          </w:p>
        </w:tc>
        <w:tc>
          <w:tcPr>
            <w:tcW w:w="1134" w:type="dxa"/>
            <w:vAlign w:val="center"/>
            <w:hideMark/>
          </w:tcPr>
          <w:p w14:paraId="5EFA239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85.8</w:t>
            </w:r>
          </w:p>
        </w:tc>
        <w:tc>
          <w:tcPr>
            <w:tcW w:w="1048" w:type="dxa"/>
            <w:vAlign w:val="center"/>
            <w:hideMark/>
          </w:tcPr>
          <w:p w14:paraId="3D33AB2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151</w:t>
            </w:r>
          </w:p>
        </w:tc>
        <w:tc>
          <w:tcPr>
            <w:tcW w:w="1275" w:type="dxa"/>
            <w:vAlign w:val="center"/>
            <w:hideMark/>
          </w:tcPr>
          <w:p w14:paraId="0238B39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128</w:t>
            </w:r>
          </w:p>
        </w:tc>
        <w:tc>
          <w:tcPr>
            <w:tcW w:w="993" w:type="dxa"/>
            <w:vAlign w:val="center"/>
            <w:hideMark/>
          </w:tcPr>
          <w:p w14:paraId="544F180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84.8</w:t>
            </w:r>
          </w:p>
        </w:tc>
      </w:tr>
      <w:tr w:rsidR="00E86F61" w:rsidRPr="00367A6F" w14:paraId="3625AA50" w14:textId="77777777" w:rsidTr="00367A6F">
        <w:trPr>
          <w:trHeight w:val="20"/>
          <w:jc w:val="center"/>
        </w:trPr>
        <w:tc>
          <w:tcPr>
            <w:tcW w:w="0" w:type="auto"/>
            <w:vAlign w:val="center"/>
            <w:hideMark/>
          </w:tcPr>
          <w:p w14:paraId="56C8A34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10.</w:t>
            </w:r>
          </w:p>
        </w:tc>
        <w:tc>
          <w:tcPr>
            <w:tcW w:w="0" w:type="auto"/>
            <w:vAlign w:val="center"/>
            <w:hideMark/>
          </w:tcPr>
          <w:p w14:paraId="6A2DC345"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Karnataka</w:t>
            </w:r>
          </w:p>
        </w:tc>
        <w:tc>
          <w:tcPr>
            <w:tcW w:w="892" w:type="dxa"/>
            <w:vAlign w:val="center"/>
            <w:hideMark/>
          </w:tcPr>
          <w:p w14:paraId="78A9296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1425</w:t>
            </w:r>
          </w:p>
        </w:tc>
        <w:tc>
          <w:tcPr>
            <w:tcW w:w="1260" w:type="dxa"/>
            <w:vAlign w:val="center"/>
            <w:hideMark/>
          </w:tcPr>
          <w:p w14:paraId="0CA60726"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1317</w:t>
            </w:r>
          </w:p>
        </w:tc>
        <w:tc>
          <w:tcPr>
            <w:tcW w:w="1134" w:type="dxa"/>
            <w:vAlign w:val="center"/>
            <w:hideMark/>
          </w:tcPr>
          <w:p w14:paraId="586CEF3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92.4</w:t>
            </w:r>
          </w:p>
        </w:tc>
        <w:tc>
          <w:tcPr>
            <w:tcW w:w="1048" w:type="dxa"/>
            <w:vAlign w:val="center"/>
            <w:hideMark/>
          </w:tcPr>
          <w:p w14:paraId="66228DA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1496</w:t>
            </w:r>
          </w:p>
        </w:tc>
        <w:tc>
          <w:tcPr>
            <w:tcW w:w="1275" w:type="dxa"/>
            <w:vAlign w:val="center"/>
            <w:hideMark/>
          </w:tcPr>
          <w:p w14:paraId="56A092E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1372</w:t>
            </w:r>
          </w:p>
        </w:tc>
        <w:tc>
          <w:tcPr>
            <w:tcW w:w="993" w:type="dxa"/>
            <w:vAlign w:val="center"/>
            <w:hideMark/>
          </w:tcPr>
          <w:p w14:paraId="6931CA2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91.7</w:t>
            </w:r>
          </w:p>
        </w:tc>
      </w:tr>
      <w:tr w:rsidR="00E86F61" w:rsidRPr="00367A6F" w14:paraId="6E048B53" w14:textId="77777777" w:rsidTr="00367A6F">
        <w:trPr>
          <w:trHeight w:val="20"/>
          <w:jc w:val="center"/>
        </w:trPr>
        <w:tc>
          <w:tcPr>
            <w:tcW w:w="0" w:type="auto"/>
            <w:vAlign w:val="center"/>
            <w:hideMark/>
          </w:tcPr>
          <w:p w14:paraId="5E039EF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11.</w:t>
            </w:r>
          </w:p>
        </w:tc>
        <w:tc>
          <w:tcPr>
            <w:tcW w:w="0" w:type="auto"/>
            <w:vAlign w:val="center"/>
            <w:hideMark/>
          </w:tcPr>
          <w:p w14:paraId="4BF67D1D"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Kerala</w:t>
            </w:r>
          </w:p>
        </w:tc>
        <w:tc>
          <w:tcPr>
            <w:tcW w:w="892" w:type="dxa"/>
            <w:vAlign w:val="center"/>
            <w:hideMark/>
          </w:tcPr>
          <w:p w14:paraId="4A2AA66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551</w:t>
            </w:r>
          </w:p>
        </w:tc>
        <w:tc>
          <w:tcPr>
            <w:tcW w:w="1260" w:type="dxa"/>
            <w:vAlign w:val="center"/>
            <w:hideMark/>
          </w:tcPr>
          <w:p w14:paraId="613E108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531</w:t>
            </w:r>
          </w:p>
        </w:tc>
        <w:tc>
          <w:tcPr>
            <w:tcW w:w="1134" w:type="dxa"/>
            <w:vAlign w:val="center"/>
            <w:hideMark/>
          </w:tcPr>
          <w:p w14:paraId="250D392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96.4</w:t>
            </w:r>
          </w:p>
        </w:tc>
        <w:tc>
          <w:tcPr>
            <w:tcW w:w="1048" w:type="dxa"/>
            <w:vAlign w:val="center"/>
            <w:hideMark/>
          </w:tcPr>
          <w:p w14:paraId="0757524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608</w:t>
            </w:r>
          </w:p>
        </w:tc>
        <w:tc>
          <w:tcPr>
            <w:tcW w:w="1275" w:type="dxa"/>
            <w:vAlign w:val="center"/>
            <w:hideMark/>
          </w:tcPr>
          <w:p w14:paraId="3BFC735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577</w:t>
            </w:r>
          </w:p>
        </w:tc>
        <w:tc>
          <w:tcPr>
            <w:tcW w:w="993" w:type="dxa"/>
            <w:vAlign w:val="center"/>
            <w:hideMark/>
          </w:tcPr>
          <w:p w14:paraId="5EE0B82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94.9</w:t>
            </w:r>
          </w:p>
        </w:tc>
      </w:tr>
      <w:tr w:rsidR="00E86F61" w:rsidRPr="00367A6F" w14:paraId="4211B0A8" w14:textId="77777777" w:rsidTr="00367A6F">
        <w:trPr>
          <w:trHeight w:val="20"/>
          <w:jc w:val="center"/>
        </w:trPr>
        <w:tc>
          <w:tcPr>
            <w:tcW w:w="0" w:type="auto"/>
            <w:vAlign w:val="center"/>
            <w:hideMark/>
          </w:tcPr>
          <w:p w14:paraId="3F61D7F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w:t>
            </w:r>
          </w:p>
        </w:tc>
        <w:tc>
          <w:tcPr>
            <w:tcW w:w="0" w:type="auto"/>
            <w:vAlign w:val="center"/>
            <w:hideMark/>
          </w:tcPr>
          <w:p w14:paraId="27A77028"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Madhya Pradesh</w:t>
            </w:r>
          </w:p>
        </w:tc>
        <w:tc>
          <w:tcPr>
            <w:tcW w:w="892" w:type="dxa"/>
            <w:vAlign w:val="center"/>
            <w:hideMark/>
          </w:tcPr>
          <w:p w14:paraId="5D867C4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2003</w:t>
            </w:r>
          </w:p>
        </w:tc>
        <w:tc>
          <w:tcPr>
            <w:tcW w:w="1260" w:type="dxa"/>
            <w:vAlign w:val="center"/>
            <w:hideMark/>
          </w:tcPr>
          <w:p w14:paraId="0B5BAB0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1535</w:t>
            </w:r>
          </w:p>
        </w:tc>
        <w:tc>
          <w:tcPr>
            <w:tcW w:w="1134" w:type="dxa"/>
            <w:vAlign w:val="center"/>
            <w:hideMark/>
          </w:tcPr>
          <w:p w14:paraId="56BC2A1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76.6</w:t>
            </w:r>
          </w:p>
        </w:tc>
        <w:tc>
          <w:tcPr>
            <w:tcW w:w="1048" w:type="dxa"/>
            <w:vAlign w:val="center"/>
            <w:hideMark/>
          </w:tcPr>
          <w:p w14:paraId="0BA6ACD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2213</w:t>
            </w:r>
          </w:p>
        </w:tc>
        <w:tc>
          <w:tcPr>
            <w:tcW w:w="1275" w:type="dxa"/>
            <w:vAlign w:val="center"/>
            <w:hideMark/>
          </w:tcPr>
          <w:p w14:paraId="14406AD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1692</w:t>
            </w:r>
          </w:p>
        </w:tc>
        <w:tc>
          <w:tcPr>
            <w:tcW w:w="993" w:type="dxa"/>
            <w:vAlign w:val="center"/>
            <w:hideMark/>
          </w:tcPr>
          <w:p w14:paraId="064FE50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76.5</w:t>
            </w:r>
          </w:p>
        </w:tc>
      </w:tr>
      <w:tr w:rsidR="00E86F61" w:rsidRPr="00367A6F" w14:paraId="016BDFBE" w14:textId="77777777" w:rsidTr="00367A6F">
        <w:trPr>
          <w:trHeight w:val="20"/>
          <w:jc w:val="center"/>
        </w:trPr>
        <w:tc>
          <w:tcPr>
            <w:tcW w:w="0" w:type="auto"/>
            <w:vAlign w:val="center"/>
            <w:hideMark/>
          </w:tcPr>
          <w:p w14:paraId="3BB2ED9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13.</w:t>
            </w:r>
          </w:p>
        </w:tc>
        <w:tc>
          <w:tcPr>
            <w:tcW w:w="0" w:type="auto"/>
            <w:vAlign w:val="center"/>
            <w:hideMark/>
          </w:tcPr>
          <w:p w14:paraId="5A512AB8"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Maharashtra</w:t>
            </w:r>
          </w:p>
        </w:tc>
        <w:tc>
          <w:tcPr>
            <w:tcW w:w="892" w:type="dxa"/>
            <w:vAlign w:val="center"/>
            <w:hideMark/>
          </w:tcPr>
          <w:p w14:paraId="76E0BA8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1850</w:t>
            </w:r>
          </w:p>
        </w:tc>
        <w:tc>
          <w:tcPr>
            <w:tcW w:w="1260" w:type="dxa"/>
            <w:vAlign w:val="center"/>
            <w:hideMark/>
          </w:tcPr>
          <w:p w14:paraId="26606CD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1123</w:t>
            </w:r>
          </w:p>
        </w:tc>
        <w:tc>
          <w:tcPr>
            <w:tcW w:w="1134" w:type="dxa"/>
            <w:vAlign w:val="center"/>
            <w:hideMark/>
          </w:tcPr>
          <w:p w14:paraId="5C3B420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60.7</w:t>
            </w:r>
          </w:p>
        </w:tc>
        <w:tc>
          <w:tcPr>
            <w:tcW w:w="1048" w:type="dxa"/>
            <w:vAlign w:val="center"/>
            <w:hideMark/>
          </w:tcPr>
          <w:p w14:paraId="685FDD0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1945</w:t>
            </w:r>
          </w:p>
        </w:tc>
        <w:tc>
          <w:tcPr>
            <w:tcW w:w="1275" w:type="dxa"/>
            <w:vAlign w:val="center"/>
            <w:hideMark/>
          </w:tcPr>
          <w:p w14:paraId="40B040D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1221</w:t>
            </w:r>
          </w:p>
        </w:tc>
        <w:tc>
          <w:tcPr>
            <w:tcW w:w="993" w:type="dxa"/>
            <w:vAlign w:val="center"/>
            <w:hideMark/>
          </w:tcPr>
          <w:p w14:paraId="44B57C3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62.8</w:t>
            </w:r>
          </w:p>
        </w:tc>
      </w:tr>
      <w:tr w:rsidR="00E86F61" w:rsidRPr="00367A6F" w14:paraId="1C4ED0CE" w14:textId="77777777" w:rsidTr="00367A6F">
        <w:trPr>
          <w:trHeight w:val="20"/>
          <w:jc w:val="center"/>
        </w:trPr>
        <w:tc>
          <w:tcPr>
            <w:tcW w:w="0" w:type="auto"/>
            <w:vAlign w:val="center"/>
            <w:hideMark/>
          </w:tcPr>
          <w:p w14:paraId="22733C9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14.</w:t>
            </w:r>
          </w:p>
        </w:tc>
        <w:tc>
          <w:tcPr>
            <w:tcW w:w="0" w:type="auto"/>
            <w:vAlign w:val="center"/>
            <w:hideMark/>
          </w:tcPr>
          <w:p w14:paraId="39E91C8B"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Manipur</w:t>
            </w:r>
          </w:p>
        </w:tc>
        <w:tc>
          <w:tcPr>
            <w:tcW w:w="892" w:type="dxa"/>
            <w:vAlign w:val="center"/>
            <w:hideMark/>
          </w:tcPr>
          <w:p w14:paraId="3EF8C6B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57</w:t>
            </w:r>
          </w:p>
        </w:tc>
        <w:tc>
          <w:tcPr>
            <w:tcW w:w="1260" w:type="dxa"/>
            <w:vAlign w:val="center"/>
            <w:hideMark/>
          </w:tcPr>
          <w:p w14:paraId="68ED38B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44</w:t>
            </w:r>
          </w:p>
        </w:tc>
        <w:tc>
          <w:tcPr>
            <w:tcW w:w="1134" w:type="dxa"/>
            <w:vAlign w:val="center"/>
            <w:hideMark/>
          </w:tcPr>
          <w:p w14:paraId="6FA4DE0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77.2</w:t>
            </w:r>
          </w:p>
        </w:tc>
        <w:tc>
          <w:tcPr>
            <w:tcW w:w="1048" w:type="dxa"/>
            <w:vAlign w:val="center"/>
            <w:hideMark/>
          </w:tcPr>
          <w:p w14:paraId="22E78D5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61</w:t>
            </w:r>
          </w:p>
        </w:tc>
        <w:tc>
          <w:tcPr>
            <w:tcW w:w="1275" w:type="dxa"/>
            <w:vAlign w:val="center"/>
            <w:hideMark/>
          </w:tcPr>
          <w:p w14:paraId="282501D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47</w:t>
            </w:r>
          </w:p>
        </w:tc>
        <w:tc>
          <w:tcPr>
            <w:tcW w:w="993" w:type="dxa"/>
            <w:vAlign w:val="center"/>
            <w:hideMark/>
          </w:tcPr>
          <w:p w14:paraId="2EC37AE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77.0</w:t>
            </w:r>
          </w:p>
        </w:tc>
      </w:tr>
      <w:tr w:rsidR="00E86F61" w:rsidRPr="00367A6F" w14:paraId="21ED1D2B" w14:textId="77777777" w:rsidTr="00367A6F">
        <w:trPr>
          <w:trHeight w:val="20"/>
          <w:jc w:val="center"/>
        </w:trPr>
        <w:tc>
          <w:tcPr>
            <w:tcW w:w="0" w:type="auto"/>
            <w:vAlign w:val="center"/>
            <w:hideMark/>
          </w:tcPr>
          <w:p w14:paraId="16AD1CF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w:t>
            </w:r>
          </w:p>
        </w:tc>
        <w:tc>
          <w:tcPr>
            <w:tcW w:w="0" w:type="auto"/>
            <w:vAlign w:val="center"/>
            <w:hideMark/>
          </w:tcPr>
          <w:p w14:paraId="0A3E11EC"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Meghalaya</w:t>
            </w:r>
          </w:p>
        </w:tc>
        <w:tc>
          <w:tcPr>
            <w:tcW w:w="892" w:type="dxa"/>
            <w:vAlign w:val="center"/>
            <w:hideMark/>
          </w:tcPr>
          <w:p w14:paraId="0A422F7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60" w:type="dxa"/>
            <w:vAlign w:val="center"/>
            <w:hideMark/>
          </w:tcPr>
          <w:p w14:paraId="282328C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134" w:type="dxa"/>
            <w:vAlign w:val="center"/>
            <w:hideMark/>
          </w:tcPr>
          <w:p w14:paraId="67DFC6C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048" w:type="dxa"/>
            <w:vAlign w:val="center"/>
            <w:hideMark/>
          </w:tcPr>
          <w:p w14:paraId="0EDAEAB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75" w:type="dxa"/>
            <w:vAlign w:val="center"/>
            <w:hideMark/>
          </w:tcPr>
          <w:p w14:paraId="7F6B171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993" w:type="dxa"/>
            <w:vAlign w:val="center"/>
            <w:hideMark/>
          </w:tcPr>
          <w:p w14:paraId="4A61B86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r>
      <w:tr w:rsidR="00E86F61" w:rsidRPr="00367A6F" w14:paraId="7013184E" w14:textId="77777777" w:rsidTr="00367A6F">
        <w:trPr>
          <w:trHeight w:val="20"/>
          <w:jc w:val="center"/>
        </w:trPr>
        <w:tc>
          <w:tcPr>
            <w:tcW w:w="0" w:type="auto"/>
            <w:vAlign w:val="center"/>
            <w:hideMark/>
          </w:tcPr>
          <w:p w14:paraId="2084BFD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16.</w:t>
            </w:r>
          </w:p>
        </w:tc>
        <w:tc>
          <w:tcPr>
            <w:tcW w:w="0" w:type="auto"/>
            <w:vAlign w:val="center"/>
            <w:hideMark/>
          </w:tcPr>
          <w:p w14:paraId="1FC1081B"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Mizoram</w:t>
            </w:r>
          </w:p>
        </w:tc>
        <w:tc>
          <w:tcPr>
            <w:tcW w:w="892" w:type="dxa"/>
            <w:vAlign w:val="center"/>
            <w:hideMark/>
          </w:tcPr>
          <w:p w14:paraId="4B60BB9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60" w:type="dxa"/>
            <w:vAlign w:val="center"/>
            <w:hideMark/>
          </w:tcPr>
          <w:p w14:paraId="59096A2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134" w:type="dxa"/>
            <w:vAlign w:val="center"/>
            <w:hideMark/>
          </w:tcPr>
          <w:p w14:paraId="5939E28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048" w:type="dxa"/>
            <w:vAlign w:val="center"/>
            <w:hideMark/>
          </w:tcPr>
          <w:p w14:paraId="1CB56EF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75" w:type="dxa"/>
            <w:vAlign w:val="center"/>
            <w:hideMark/>
          </w:tcPr>
          <w:p w14:paraId="776F3D4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993" w:type="dxa"/>
            <w:vAlign w:val="center"/>
            <w:hideMark/>
          </w:tcPr>
          <w:p w14:paraId="018F433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r>
      <w:tr w:rsidR="00E86F61" w:rsidRPr="00367A6F" w14:paraId="7D0BC32E" w14:textId="77777777" w:rsidTr="00367A6F">
        <w:trPr>
          <w:trHeight w:val="20"/>
          <w:jc w:val="center"/>
        </w:trPr>
        <w:tc>
          <w:tcPr>
            <w:tcW w:w="0" w:type="auto"/>
            <w:vAlign w:val="center"/>
            <w:hideMark/>
          </w:tcPr>
          <w:p w14:paraId="27985B6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17.</w:t>
            </w:r>
          </w:p>
        </w:tc>
        <w:tc>
          <w:tcPr>
            <w:tcW w:w="0" w:type="auto"/>
            <w:vAlign w:val="center"/>
            <w:hideMark/>
          </w:tcPr>
          <w:p w14:paraId="1AF849FA"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Nagaland</w:t>
            </w:r>
          </w:p>
        </w:tc>
        <w:tc>
          <w:tcPr>
            <w:tcW w:w="892" w:type="dxa"/>
            <w:vAlign w:val="center"/>
            <w:hideMark/>
          </w:tcPr>
          <w:p w14:paraId="423ACC7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60" w:type="dxa"/>
            <w:vAlign w:val="center"/>
            <w:hideMark/>
          </w:tcPr>
          <w:p w14:paraId="64C1F5F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134" w:type="dxa"/>
            <w:vAlign w:val="center"/>
            <w:hideMark/>
          </w:tcPr>
          <w:p w14:paraId="0006330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048" w:type="dxa"/>
            <w:vAlign w:val="center"/>
            <w:hideMark/>
          </w:tcPr>
          <w:p w14:paraId="08DFE6F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75" w:type="dxa"/>
            <w:vAlign w:val="center"/>
            <w:hideMark/>
          </w:tcPr>
          <w:p w14:paraId="10AC424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993" w:type="dxa"/>
            <w:vAlign w:val="center"/>
            <w:hideMark/>
          </w:tcPr>
          <w:p w14:paraId="3B77C6A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r>
      <w:tr w:rsidR="00E86F61" w:rsidRPr="00367A6F" w14:paraId="318FE07B" w14:textId="77777777" w:rsidTr="00367A6F">
        <w:trPr>
          <w:trHeight w:val="20"/>
          <w:jc w:val="center"/>
        </w:trPr>
        <w:tc>
          <w:tcPr>
            <w:tcW w:w="0" w:type="auto"/>
            <w:vAlign w:val="center"/>
            <w:hideMark/>
          </w:tcPr>
          <w:p w14:paraId="474BA84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18.</w:t>
            </w:r>
          </w:p>
        </w:tc>
        <w:tc>
          <w:tcPr>
            <w:tcW w:w="0" w:type="auto"/>
            <w:vAlign w:val="center"/>
            <w:hideMark/>
          </w:tcPr>
          <w:p w14:paraId="3C83B3A3"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Orissa</w:t>
            </w:r>
          </w:p>
        </w:tc>
        <w:tc>
          <w:tcPr>
            <w:tcW w:w="892" w:type="dxa"/>
            <w:vAlign w:val="center"/>
            <w:hideMark/>
          </w:tcPr>
          <w:p w14:paraId="238F5A1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1578</w:t>
            </w:r>
          </w:p>
        </w:tc>
        <w:tc>
          <w:tcPr>
            <w:tcW w:w="1260" w:type="dxa"/>
            <w:vAlign w:val="center"/>
            <w:hideMark/>
          </w:tcPr>
          <w:p w14:paraId="4D810BF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1530</w:t>
            </w:r>
          </w:p>
        </w:tc>
        <w:tc>
          <w:tcPr>
            <w:tcW w:w="1134" w:type="dxa"/>
            <w:vAlign w:val="center"/>
            <w:hideMark/>
          </w:tcPr>
          <w:p w14:paraId="6AB3C44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97.0</w:t>
            </w:r>
          </w:p>
        </w:tc>
        <w:tc>
          <w:tcPr>
            <w:tcW w:w="1048" w:type="dxa"/>
            <w:vAlign w:val="center"/>
            <w:hideMark/>
          </w:tcPr>
          <w:p w14:paraId="0D7D2286"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1615</w:t>
            </w:r>
          </w:p>
        </w:tc>
        <w:tc>
          <w:tcPr>
            <w:tcW w:w="1275" w:type="dxa"/>
            <w:vAlign w:val="center"/>
            <w:hideMark/>
          </w:tcPr>
          <w:p w14:paraId="14A21C8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1548</w:t>
            </w:r>
          </w:p>
        </w:tc>
        <w:tc>
          <w:tcPr>
            <w:tcW w:w="993" w:type="dxa"/>
            <w:vAlign w:val="center"/>
            <w:hideMark/>
          </w:tcPr>
          <w:p w14:paraId="2A2D93E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95.8</w:t>
            </w:r>
          </w:p>
        </w:tc>
      </w:tr>
      <w:tr w:rsidR="00E86F61" w:rsidRPr="00367A6F" w14:paraId="5F82F88A" w14:textId="77777777" w:rsidTr="00367A6F">
        <w:trPr>
          <w:trHeight w:val="20"/>
          <w:jc w:val="center"/>
        </w:trPr>
        <w:tc>
          <w:tcPr>
            <w:tcW w:w="0" w:type="auto"/>
            <w:vAlign w:val="center"/>
            <w:hideMark/>
          </w:tcPr>
          <w:p w14:paraId="77A3A72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19.</w:t>
            </w:r>
          </w:p>
        </w:tc>
        <w:tc>
          <w:tcPr>
            <w:tcW w:w="0" w:type="auto"/>
            <w:vAlign w:val="center"/>
            <w:hideMark/>
          </w:tcPr>
          <w:p w14:paraId="5C5130AE"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Punjab</w:t>
            </w:r>
          </w:p>
        </w:tc>
        <w:tc>
          <w:tcPr>
            <w:tcW w:w="892" w:type="dxa"/>
            <w:vAlign w:val="center"/>
            <w:hideMark/>
          </w:tcPr>
          <w:p w14:paraId="31C55A0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2521</w:t>
            </w:r>
          </w:p>
        </w:tc>
        <w:tc>
          <w:tcPr>
            <w:tcW w:w="1260" w:type="dxa"/>
            <w:vAlign w:val="center"/>
            <w:hideMark/>
          </w:tcPr>
          <w:p w14:paraId="7B1C929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2487</w:t>
            </w:r>
          </w:p>
        </w:tc>
        <w:tc>
          <w:tcPr>
            <w:tcW w:w="1134" w:type="dxa"/>
            <w:vAlign w:val="center"/>
            <w:hideMark/>
          </w:tcPr>
          <w:p w14:paraId="122FA97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98.7</w:t>
            </w:r>
          </w:p>
        </w:tc>
        <w:tc>
          <w:tcPr>
            <w:tcW w:w="1048" w:type="dxa"/>
            <w:vAlign w:val="center"/>
            <w:hideMark/>
          </w:tcPr>
          <w:p w14:paraId="4984ACD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2585</w:t>
            </w:r>
          </w:p>
        </w:tc>
        <w:tc>
          <w:tcPr>
            <w:tcW w:w="1275" w:type="dxa"/>
            <w:vAlign w:val="center"/>
            <w:hideMark/>
          </w:tcPr>
          <w:p w14:paraId="01E6BA6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2532</w:t>
            </w:r>
          </w:p>
        </w:tc>
        <w:tc>
          <w:tcPr>
            <w:tcW w:w="993" w:type="dxa"/>
            <w:vAlign w:val="center"/>
            <w:hideMark/>
          </w:tcPr>
          <w:p w14:paraId="0B8A9BA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97.9</w:t>
            </w:r>
          </w:p>
        </w:tc>
      </w:tr>
      <w:tr w:rsidR="00E86F61" w:rsidRPr="00367A6F" w14:paraId="33C8CD1E" w14:textId="77777777" w:rsidTr="00367A6F">
        <w:trPr>
          <w:trHeight w:val="20"/>
          <w:jc w:val="center"/>
        </w:trPr>
        <w:tc>
          <w:tcPr>
            <w:tcW w:w="0" w:type="auto"/>
            <w:vAlign w:val="center"/>
            <w:hideMark/>
          </w:tcPr>
          <w:p w14:paraId="3E85BBE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20.</w:t>
            </w:r>
          </w:p>
        </w:tc>
        <w:tc>
          <w:tcPr>
            <w:tcW w:w="0" w:type="auto"/>
            <w:vAlign w:val="center"/>
            <w:hideMark/>
          </w:tcPr>
          <w:p w14:paraId="2B86B8E1"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Rajasthan</w:t>
            </w:r>
          </w:p>
        </w:tc>
        <w:tc>
          <w:tcPr>
            <w:tcW w:w="892" w:type="dxa"/>
            <w:vAlign w:val="center"/>
            <w:hideMark/>
          </w:tcPr>
          <w:p w14:paraId="6A6F646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1902</w:t>
            </w:r>
          </w:p>
        </w:tc>
        <w:tc>
          <w:tcPr>
            <w:tcW w:w="1260" w:type="dxa"/>
            <w:vAlign w:val="center"/>
            <w:hideMark/>
          </w:tcPr>
          <w:p w14:paraId="4E6BCD5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1578</w:t>
            </w:r>
          </w:p>
        </w:tc>
        <w:tc>
          <w:tcPr>
            <w:tcW w:w="1134" w:type="dxa"/>
            <w:vAlign w:val="center"/>
            <w:hideMark/>
          </w:tcPr>
          <w:p w14:paraId="18B22BA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83.0</w:t>
            </w:r>
          </w:p>
        </w:tc>
        <w:tc>
          <w:tcPr>
            <w:tcW w:w="1048" w:type="dxa"/>
            <w:vAlign w:val="center"/>
            <w:hideMark/>
          </w:tcPr>
          <w:p w14:paraId="06404D8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2008</w:t>
            </w:r>
          </w:p>
        </w:tc>
        <w:tc>
          <w:tcPr>
            <w:tcW w:w="1275" w:type="dxa"/>
            <w:vAlign w:val="center"/>
            <w:hideMark/>
          </w:tcPr>
          <w:p w14:paraId="6BEA001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1610</w:t>
            </w:r>
          </w:p>
        </w:tc>
        <w:tc>
          <w:tcPr>
            <w:tcW w:w="993" w:type="dxa"/>
            <w:vAlign w:val="center"/>
            <w:hideMark/>
          </w:tcPr>
          <w:p w14:paraId="0B115A7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80.2</w:t>
            </w:r>
          </w:p>
        </w:tc>
      </w:tr>
      <w:tr w:rsidR="00E86F61" w:rsidRPr="00367A6F" w14:paraId="67F43001" w14:textId="77777777" w:rsidTr="00367A6F">
        <w:trPr>
          <w:trHeight w:val="20"/>
          <w:jc w:val="center"/>
        </w:trPr>
        <w:tc>
          <w:tcPr>
            <w:tcW w:w="0" w:type="auto"/>
            <w:vAlign w:val="center"/>
            <w:hideMark/>
          </w:tcPr>
          <w:p w14:paraId="3971C6B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21.</w:t>
            </w:r>
          </w:p>
        </w:tc>
        <w:tc>
          <w:tcPr>
            <w:tcW w:w="0" w:type="auto"/>
            <w:vAlign w:val="center"/>
            <w:hideMark/>
          </w:tcPr>
          <w:p w14:paraId="5CE18457"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Sikkim</w:t>
            </w:r>
          </w:p>
        </w:tc>
        <w:tc>
          <w:tcPr>
            <w:tcW w:w="892" w:type="dxa"/>
            <w:vAlign w:val="center"/>
            <w:hideMark/>
          </w:tcPr>
          <w:p w14:paraId="529EF55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60" w:type="dxa"/>
            <w:vAlign w:val="center"/>
            <w:hideMark/>
          </w:tcPr>
          <w:p w14:paraId="3736EE7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134" w:type="dxa"/>
            <w:vAlign w:val="center"/>
            <w:hideMark/>
          </w:tcPr>
          <w:p w14:paraId="5167E9C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048" w:type="dxa"/>
            <w:vAlign w:val="center"/>
            <w:hideMark/>
          </w:tcPr>
          <w:p w14:paraId="1A7F81B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75" w:type="dxa"/>
            <w:vAlign w:val="center"/>
            <w:hideMark/>
          </w:tcPr>
          <w:p w14:paraId="28A0BD0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993" w:type="dxa"/>
            <w:vAlign w:val="center"/>
            <w:hideMark/>
          </w:tcPr>
          <w:p w14:paraId="397F693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r>
      <w:tr w:rsidR="00E86F61" w:rsidRPr="00367A6F" w14:paraId="7D3401C9" w14:textId="77777777" w:rsidTr="00367A6F">
        <w:trPr>
          <w:trHeight w:val="20"/>
          <w:jc w:val="center"/>
        </w:trPr>
        <w:tc>
          <w:tcPr>
            <w:tcW w:w="0" w:type="auto"/>
            <w:vAlign w:val="center"/>
            <w:hideMark/>
          </w:tcPr>
          <w:p w14:paraId="1DE28C1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22.</w:t>
            </w:r>
          </w:p>
        </w:tc>
        <w:tc>
          <w:tcPr>
            <w:tcW w:w="0" w:type="auto"/>
            <w:vAlign w:val="center"/>
            <w:hideMark/>
          </w:tcPr>
          <w:p w14:paraId="17249C75"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Tamil Nadu</w:t>
            </w:r>
          </w:p>
        </w:tc>
        <w:tc>
          <w:tcPr>
            <w:tcW w:w="892" w:type="dxa"/>
            <w:vAlign w:val="center"/>
            <w:hideMark/>
          </w:tcPr>
          <w:p w14:paraId="7292E90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1289</w:t>
            </w:r>
          </w:p>
        </w:tc>
        <w:tc>
          <w:tcPr>
            <w:tcW w:w="1260" w:type="dxa"/>
            <w:vAlign w:val="center"/>
            <w:hideMark/>
          </w:tcPr>
          <w:p w14:paraId="0902980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1267</w:t>
            </w:r>
          </w:p>
        </w:tc>
        <w:tc>
          <w:tcPr>
            <w:tcW w:w="1134" w:type="dxa"/>
            <w:vAlign w:val="center"/>
            <w:hideMark/>
          </w:tcPr>
          <w:p w14:paraId="438FCA6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98.3</w:t>
            </w:r>
          </w:p>
        </w:tc>
        <w:tc>
          <w:tcPr>
            <w:tcW w:w="1048" w:type="dxa"/>
            <w:vAlign w:val="center"/>
            <w:hideMark/>
          </w:tcPr>
          <w:p w14:paraId="7E553E56"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1293</w:t>
            </w:r>
          </w:p>
        </w:tc>
        <w:tc>
          <w:tcPr>
            <w:tcW w:w="1275" w:type="dxa"/>
            <w:vAlign w:val="center"/>
            <w:hideMark/>
          </w:tcPr>
          <w:p w14:paraId="274576C9"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1274</w:t>
            </w:r>
          </w:p>
        </w:tc>
        <w:tc>
          <w:tcPr>
            <w:tcW w:w="993" w:type="dxa"/>
            <w:vAlign w:val="center"/>
            <w:hideMark/>
          </w:tcPr>
          <w:p w14:paraId="2EEAB52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98.5</w:t>
            </w:r>
          </w:p>
        </w:tc>
      </w:tr>
      <w:tr w:rsidR="00E86F61" w:rsidRPr="00367A6F" w14:paraId="3E55773B" w14:textId="77777777" w:rsidTr="00367A6F">
        <w:trPr>
          <w:trHeight w:val="20"/>
          <w:jc w:val="center"/>
        </w:trPr>
        <w:tc>
          <w:tcPr>
            <w:tcW w:w="0" w:type="auto"/>
            <w:vAlign w:val="center"/>
            <w:hideMark/>
          </w:tcPr>
          <w:p w14:paraId="4F3588C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23.</w:t>
            </w:r>
          </w:p>
        </w:tc>
        <w:tc>
          <w:tcPr>
            <w:tcW w:w="0" w:type="auto"/>
            <w:vAlign w:val="center"/>
            <w:hideMark/>
          </w:tcPr>
          <w:p w14:paraId="53CE52BA"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Tripura</w:t>
            </w:r>
          </w:p>
        </w:tc>
        <w:tc>
          <w:tcPr>
            <w:tcW w:w="892" w:type="dxa"/>
            <w:vAlign w:val="center"/>
            <w:hideMark/>
          </w:tcPr>
          <w:p w14:paraId="2D48882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260" w:type="dxa"/>
            <w:vAlign w:val="center"/>
            <w:hideMark/>
          </w:tcPr>
          <w:p w14:paraId="529B3CAB"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134" w:type="dxa"/>
            <w:vAlign w:val="center"/>
            <w:hideMark/>
          </w:tcPr>
          <w:p w14:paraId="28734E6E"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w:t>
            </w:r>
          </w:p>
        </w:tc>
        <w:tc>
          <w:tcPr>
            <w:tcW w:w="1048" w:type="dxa"/>
            <w:vAlign w:val="center"/>
            <w:hideMark/>
          </w:tcPr>
          <w:p w14:paraId="6A94916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10</w:t>
            </w:r>
          </w:p>
        </w:tc>
        <w:tc>
          <w:tcPr>
            <w:tcW w:w="1275" w:type="dxa"/>
            <w:vAlign w:val="center"/>
            <w:hideMark/>
          </w:tcPr>
          <w:p w14:paraId="609BD6A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10</w:t>
            </w:r>
          </w:p>
        </w:tc>
        <w:tc>
          <w:tcPr>
            <w:tcW w:w="993" w:type="dxa"/>
            <w:vAlign w:val="center"/>
            <w:hideMark/>
          </w:tcPr>
          <w:p w14:paraId="5587305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100.0</w:t>
            </w:r>
          </w:p>
        </w:tc>
      </w:tr>
      <w:tr w:rsidR="00E86F61" w:rsidRPr="00367A6F" w14:paraId="05FAADBC" w14:textId="77777777" w:rsidTr="00367A6F">
        <w:trPr>
          <w:trHeight w:val="20"/>
          <w:jc w:val="center"/>
        </w:trPr>
        <w:tc>
          <w:tcPr>
            <w:tcW w:w="0" w:type="auto"/>
            <w:vAlign w:val="center"/>
            <w:hideMark/>
          </w:tcPr>
          <w:p w14:paraId="6FCBEA2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24.</w:t>
            </w:r>
          </w:p>
        </w:tc>
        <w:tc>
          <w:tcPr>
            <w:tcW w:w="0" w:type="auto"/>
            <w:vAlign w:val="center"/>
            <w:hideMark/>
          </w:tcPr>
          <w:p w14:paraId="7CE38EB8"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Uttar Pradesh</w:t>
            </w:r>
          </w:p>
        </w:tc>
        <w:tc>
          <w:tcPr>
            <w:tcW w:w="892" w:type="dxa"/>
            <w:vAlign w:val="center"/>
            <w:hideMark/>
          </w:tcPr>
          <w:p w14:paraId="40E7290C"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6840</w:t>
            </w:r>
          </w:p>
        </w:tc>
        <w:tc>
          <w:tcPr>
            <w:tcW w:w="1260" w:type="dxa"/>
            <w:vAlign w:val="center"/>
            <w:hideMark/>
          </w:tcPr>
          <w:p w14:paraId="7F1E831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5663</w:t>
            </w:r>
          </w:p>
        </w:tc>
        <w:tc>
          <w:tcPr>
            <w:tcW w:w="1134" w:type="dxa"/>
            <w:vAlign w:val="center"/>
            <w:hideMark/>
          </w:tcPr>
          <w:p w14:paraId="5098832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82.8</w:t>
            </w:r>
          </w:p>
        </w:tc>
        <w:tc>
          <w:tcPr>
            <w:tcW w:w="1048" w:type="dxa"/>
            <w:vAlign w:val="center"/>
            <w:hideMark/>
          </w:tcPr>
          <w:p w14:paraId="05ECD2E1"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7166</w:t>
            </w:r>
          </w:p>
        </w:tc>
        <w:tc>
          <w:tcPr>
            <w:tcW w:w="1275" w:type="dxa"/>
            <w:vAlign w:val="center"/>
            <w:hideMark/>
          </w:tcPr>
          <w:p w14:paraId="6962B57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5967</w:t>
            </w:r>
          </w:p>
        </w:tc>
        <w:tc>
          <w:tcPr>
            <w:tcW w:w="993" w:type="dxa"/>
            <w:vAlign w:val="center"/>
            <w:hideMark/>
          </w:tcPr>
          <w:p w14:paraId="0AD7704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83.3</w:t>
            </w:r>
          </w:p>
        </w:tc>
      </w:tr>
      <w:tr w:rsidR="00E86F61" w:rsidRPr="00367A6F" w14:paraId="59E1BD6E" w14:textId="77777777" w:rsidTr="00367A6F">
        <w:trPr>
          <w:trHeight w:val="20"/>
          <w:jc w:val="center"/>
        </w:trPr>
        <w:tc>
          <w:tcPr>
            <w:tcW w:w="0" w:type="auto"/>
            <w:vAlign w:val="center"/>
            <w:hideMark/>
          </w:tcPr>
          <w:p w14:paraId="7CE7AE47"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25.</w:t>
            </w:r>
          </w:p>
        </w:tc>
        <w:tc>
          <w:tcPr>
            <w:tcW w:w="0" w:type="auto"/>
            <w:vAlign w:val="center"/>
            <w:hideMark/>
          </w:tcPr>
          <w:p w14:paraId="5F15E7B5"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sz w:val="16"/>
                <w:szCs w:val="16"/>
              </w:rPr>
              <w:t>West Bengal</w:t>
            </w:r>
          </w:p>
        </w:tc>
        <w:tc>
          <w:tcPr>
            <w:tcW w:w="892" w:type="dxa"/>
            <w:vAlign w:val="center"/>
            <w:hideMark/>
          </w:tcPr>
          <w:p w14:paraId="6666E5CA"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1610</w:t>
            </w:r>
          </w:p>
        </w:tc>
        <w:tc>
          <w:tcPr>
            <w:tcW w:w="1260" w:type="dxa"/>
            <w:vAlign w:val="center"/>
            <w:hideMark/>
          </w:tcPr>
          <w:p w14:paraId="148A6AD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1500</w:t>
            </w:r>
          </w:p>
        </w:tc>
        <w:tc>
          <w:tcPr>
            <w:tcW w:w="1134" w:type="dxa"/>
            <w:vAlign w:val="center"/>
            <w:hideMark/>
          </w:tcPr>
          <w:p w14:paraId="1D30DE78"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93.2</w:t>
            </w:r>
          </w:p>
        </w:tc>
        <w:tc>
          <w:tcPr>
            <w:tcW w:w="1048" w:type="dxa"/>
            <w:vAlign w:val="center"/>
            <w:hideMark/>
          </w:tcPr>
          <w:p w14:paraId="76D375C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1701</w:t>
            </w:r>
          </w:p>
        </w:tc>
        <w:tc>
          <w:tcPr>
            <w:tcW w:w="1275" w:type="dxa"/>
            <w:vAlign w:val="center"/>
            <w:hideMark/>
          </w:tcPr>
          <w:p w14:paraId="295B8CB2"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1560</w:t>
            </w:r>
          </w:p>
        </w:tc>
        <w:tc>
          <w:tcPr>
            <w:tcW w:w="993" w:type="dxa"/>
            <w:vAlign w:val="center"/>
            <w:hideMark/>
          </w:tcPr>
          <w:p w14:paraId="3831644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sz w:val="16"/>
                <w:szCs w:val="16"/>
              </w:rPr>
              <w:t>91.7</w:t>
            </w:r>
          </w:p>
        </w:tc>
      </w:tr>
      <w:tr w:rsidR="00E86F61" w:rsidRPr="00367A6F" w14:paraId="29CD7CE5" w14:textId="77777777" w:rsidTr="00367A6F">
        <w:trPr>
          <w:trHeight w:val="20"/>
          <w:jc w:val="center"/>
        </w:trPr>
        <w:tc>
          <w:tcPr>
            <w:tcW w:w="0" w:type="auto"/>
            <w:vAlign w:val="center"/>
            <w:hideMark/>
          </w:tcPr>
          <w:p w14:paraId="442D0E89" w14:textId="77777777" w:rsidR="00E86F61" w:rsidRPr="00367A6F" w:rsidRDefault="00E86F61" w:rsidP="00FC6A76">
            <w:pPr>
              <w:pStyle w:val="NoSpacing"/>
              <w:spacing w:line="190" w:lineRule="exact"/>
              <w:jc w:val="center"/>
              <w:rPr>
                <w:rFonts w:ascii="Times New Roman" w:hAnsi="Times New Roman" w:cs="Times New Roman"/>
                <w:sz w:val="16"/>
                <w:szCs w:val="16"/>
              </w:rPr>
            </w:pPr>
          </w:p>
        </w:tc>
        <w:tc>
          <w:tcPr>
            <w:tcW w:w="0" w:type="auto"/>
            <w:vAlign w:val="center"/>
            <w:hideMark/>
          </w:tcPr>
          <w:p w14:paraId="0F9374FD" w14:textId="77777777" w:rsidR="00E86F61" w:rsidRPr="00367A6F" w:rsidRDefault="00E86F61" w:rsidP="00367A6F">
            <w:pPr>
              <w:pStyle w:val="NoSpacing"/>
              <w:spacing w:line="190" w:lineRule="exact"/>
              <w:rPr>
                <w:rFonts w:ascii="Times New Roman" w:hAnsi="Times New Roman" w:cs="Times New Roman"/>
                <w:sz w:val="16"/>
                <w:szCs w:val="16"/>
              </w:rPr>
            </w:pPr>
            <w:r w:rsidRPr="00367A6F">
              <w:rPr>
                <w:rFonts w:ascii="Times New Roman" w:hAnsi="Times New Roman" w:cs="Times New Roman"/>
                <w:b/>
                <w:bCs/>
                <w:sz w:val="16"/>
                <w:szCs w:val="16"/>
              </w:rPr>
              <w:t>TOTAL</w:t>
            </w:r>
          </w:p>
        </w:tc>
        <w:tc>
          <w:tcPr>
            <w:tcW w:w="892" w:type="dxa"/>
            <w:vAlign w:val="center"/>
            <w:hideMark/>
          </w:tcPr>
          <w:p w14:paraId="26FBD1DF"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31488</w:t>
            </w:r>
          </w:p>
        </w:tc>
        <w:tc>
          <w:tcPr>
            <w:tcW w:w="1260" w:type="dxa"/>
            <w:vAlign w:val="center"/>
            <w:hideMark/>
          </w:tcPr>
          <w:p w14:paraId="25AF2830"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26887</w:t>
            </w:r>
          </w:p>
        </w:tc>
        <w:tc>
          <w:tcPr>
            <w:tcW w:w="1134" w:type="dxa"/>
            <w:vAlign w:val="center"/>
            <w:hideMark/>
          </w:tcPr>
          <w:p w14:paraId="4BA57A8D"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85.4</w:t>
            </w:r>
          </w:p>
        </w:tc>
        <w:tc>
          <w:tcPr>
            <w:tcW w:w="1048" w:type="dxa"/>
            <w:vAlign w:val="center"/>
            <w:hideMark/>
          </w:tcPr>
          <w:p w14:paraId="265B4725"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32977</w:t>
            </w:r>
          </w:p>
        </w:tc>
        <w:tc>
          <w:tcPr>
            <w:tcW w:w="1275" w:type="dxa"/>
            <w:vAlign w:val="center"/>
            <w:hideMark/>
          </w:tcPr>
          <w:p w14:paraId="16C51AB4"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28085</w:t>
            </w:r>
          </w:p>
        </w:tc>
        <w:tc>
          <w:tcPr>
            <w:tcW w:w="993" w:type="dxa"/>
            <w:vAlign w:val="center"/>
            <w:hideMark/>
          </w:tcPr>
          <w:p w14:paraId="229E3113" w14:textId="77777777" w:rsidR="00E86F61" w:rsidRPr="00367A6F" w:rsidRDefault="00E86F61" w:rsidP="00FC6A76">
            <w:pPr>
              <w:pStyle w:val="NoSpacing"/>
              <w:spacing w:line="190" w:lineRule="exact"/>
              <w:jc w:val="center"/>
              <w:rPr>
                <w:rFonts w:ascii="Times New Roman" w:hAnsi="Times New Roman" w:cs="Times New Roman"/>
                <w:sz w:val="16"/>
                <w:szCs w:val="16"/>
              </w:rPr>
            </w:pPr>
            <w:r w:rsidRPr="00367A6F">
              <w:rPr>
                <w:rFonts w:ascii="Times New Roman" w:hAnsi="Times New Roman" w:cs="Times New Roman"/>
                <w:b/>
                <w:bCs/>
                <w:sz w:val="16"/>
                <w:szCs w:val="16"/>
              </w:rPr>
              <w:t>85.2</w:t>
            </w:r>
          </w:p>
        </w:tc>
      </w:tr>
    </w:tbl>
    <w:p w14:paraId="09C87C07" w14:textId="6B1022EB" w:rsidR="00E52378" w:rsidRPr="00AA6AF4" w:rsidRDefault="00E52378" w:rsidP="00FC6A76">
      <w:pPr>
        <w:pStyle w:val="NoSpacing"/>
        <w:spacing w:line="190" w:lineRule="exact"/>
        <w:rPr>
          <w:rFonts w:ascii="Times New Roman" w:hAnsi="Times New Roman" w:cs="Times New Roman"/>
        </w:rPr>
      </w:pPr>
    </w:p>
    <w:p w14:paraId="651875B3" w14:textId="2F67F0B3" w:rsidR="00E52378" w:rsidRPr="00AA6AF4" w:rsidRDefault="00E52378" w:rsidP="00FC6A76">
      <w:pPr>
        <w:spacing w:line="190" w:lineRule="exact"/>
        <w:rPr>
          <w:rFonts w:ascii="Times New Roman" w:hAnsi="Times New Roman" w:cs="Times New Roman"/>
        </w:rPr>
      </w:pPr>
      <w:r w:rsidRPr="00AA6AF4">
        <w:rPr>
          <w:rFonts w:ascii="Times New Roman" w:hAnsi="Times New Roman" w:cs="Times New Roman"/>
        </w:rPr>
        <w:br w:type="page"/>
      </w:r>
    </w:p>
    <w:p w14:paraId="3F9FB6AF" w14:textId="62B72BBB" w:rsidR="00E52378" w:rsidRPr="003C14D7" w:rsidRDefault="00E52378" w:rsidP="00FC6A76">
      <w:pPr>
        <w:pStyle w:val="Heading2"/>
        <w:rPr>
          <w:sz w:val="18"/>
          <w:szCs w:val="18"/>
        </w:rPr>
      </w:pPr>
      <w:bookmarkStart w:id="71" w:name="_Toc221292993"/>
      <w:bookmarkStart w:id="72" w:name="_Toc222399484"/>
      <w:r w:rsidRPr="003C14D7">
        <w:rPr>
          <w:sz w:val="18"/>
          <w:szCs w:val="18"/>
        </w:rPr>
        <w:lastRenderedPageBreak/>
        <w:t>ANNEXURE III.11</w:t>
      </w:r>
      <w:r w:rsidR="00FC6A76" w:rsidRPr="003C14D7">
        <w:rPr>
          <w:sz w:val="18"/>
          <w:szCs w:val="18"/>
        </w:rPr>
        <w:br/>
      </w:r>
      <w:r w:rsidRPr="003C14D7">
        <w:rPr>
          <w:sz w:val="18"/>
          <w:szCs w:val="18"/>
        </w:rPr>
        <w:t xml:space="preserve">Financial Returns </w:t>
      </w:r>
      <w:proofErr w:type="gramStart"/>
      <w:r w:rsidRPr="003C14D7">
        <w:rPr>
          <w:sz w:val="18"/>
          <w:szCs w:val="18"/>
        </w:rPr>
        <w:t>From</w:t>
      </w:r>
      <w:proofErr w:type="gramEnd"/>
      <w:r w:rsidRPr="003C14D7">
        <w:rPr>
          <w:sz w:val="18"/>
          <w:szCs w:val="18"/>
        </w:rPr>
        <w:t xml:space="preserve"> Major </w:t>
      </w:r>
      <w:proofErr w:type="gramStart"/>
      <w:r w:rsidRPr="003C14D7">
        <w:rPr>
          <w:sz w:val="18"/>
          <w:szCs w:val="18"/>
        </w:rPr>
        <w:t>And</w:t>
      </w:r>
      <w:proofErr w:type="gramEnd"/>
      <w:r w:rsidRPr="003C14D7">
        <w:rPr>
          <w:sz w:val="18"/>
          <w:szCs w:val="18"/>
        </w:rPr>
        <w:t xml:space="preserve"> Medium Irrigation Schemes (Excluding Flood Control Schemes)</w:t>
      </w:r>
      <w:r w:rsidR="00FC6A76" w:rsidRPr="003C14D7">
        <w:rPr>
          <w:sz w:val="18"/>
          <w:szCs w:val="18"/>
        </w:rPr>
        <w:t xml:space="preserve"> </w:t>
      </w:r>
      <w:r w:rsidRPr="003C14D7">
        <w:rPr>
          <w:sz w:val="18"/>
          <w:szCs w:val="18"/>
        </w:rPr>
        <w:t xml:space="preserve">During </w:t>
      </w:r>
      <w:proofErr w:type="gramStart"/>
      <w:r w:rsidRPr="003C14D7">
        <w:rPr>
          <w:sz w:val="18"/>
          <w:szCs w:val="18"/>
        </w:rPr>
        <w:t>The</w:t>
      </w:r>
      <w:proofErr w:type="gramEnd"/>
      <w:r w:rsidRPr="003C14D7">
        <w:rPr>
          <w:sz w:val="18"/>
          <w:szCs w:val="18"/>
        </w:rPr>
        <w:t xml:space="preserve"> Five-Year Period 1990-91 To 1994-95.</w:t>
      </w:r>
      <w:bookmarkEnd w:id="71"/>
      <w:bookmarkEnd w:id="72"/>
    </w:p>
    <w:p w14:paraId="082366CB" w14:textId="512B1C10" w:rsidR="00FC6A76" w:rsidRPr="003C14D7" w:rsidRDefault="00FC6A76" w:rsidP="00E52378">
      <w:pPr>
        <w:pStyle w:val="NoSpacing"/>
        <w:jc w:val="center"/>
        <w:rPr>
          <w:rFonts w:ascii="Times New Roman" w:hAnsi="Times New Roman" w:cs="Times New Roman"/>
          <w:sz w:val="22"/>
          <w:szCs w:val="20"/>
        </w:rPr>
      </w:pPr>
      <w:r w:rsidRPr="003C14D7">
        <w:rPr>
          <w:rFonts w:ascii="Times New Roman" w:hAnsi="Times New Roman" w:cs="Times New Roman"/>
          <w:sz w:val="18"/>
          <w:szCs w:val="16"/>
        </w:rPr>
        <w:t>(Para 3.43)</w:t>
      </w:r>
    </w:p>
    <w:p w14:paraId="6D303CF3" w14:textId="77777777" w:rsidR="00E52378" w:rsidRPr="00FC6A76" w:rsidRDefault="00E52378" w:rsidP="003C14D7">
      <w:pPr>
        <w:pStyle w:val="NoSpacing"/>
        <w:ind w:left="7200" w:firstLine="720"/>
        <w:rPr>
          <w:rFonts w:ascii="Times New Roman" w:hAnsi="Times New Roman" w:cs="Times New Roman"/>
          <w:i/>
          <w:iCs/>
          <w:sz w:val="18"/>
          <w:szCs w:val="16"/>
        </w:rPr>
      </w:pPr>
      <w:r w:rsidRPr="00FC6A76">
        <w:rPr>
          <w:rFonts w:ascii="Times New Roman" w:hAnsi="Times New Roman" w:cs="Times New Roman"/>
          <w:i/>
          <w:iCs/>
          <w:sz w:val="18"/>
          <w:szCs w:val="16"/>
        </w:rPr>
        <w:t>(Rs. Lakh)</w:t>
      </w:r>
    </w:p>
    <w:tbl>
      <w:tblPr>
        <w:tblStyle w:val="TableGrid"/>
        <w:tblW w:w="8217" w:type="dxa"/>
        <w:jc w:val="center"/>
        <w:tblLook w:val="04A0" w:firstRow="1" w:lastRow="0" w:firstColumn="1" w:lastColumn="0" w:noHBand="0" w:noVBand="1"/>
      </w:tblPr>
      <w:tblGrid>
        <w:gridCol w:w="2576"/>
        <w:gridCol w:w="962"/>
        <w:gridCol w:w="851"/>
        <w:gridCol w:w="852"/>
        <w:gridCol w:w="849"/>
        <w:gridCol w:w="851"/>
        <w:gridCol w:w="1276"/>
      </w:tblGrid>
      <w:tr w:rsidR="00E52378" w:rsidRPr="00C5721F" w14:paraId="1A5B7303" w14:textId="77777777" w:rsidTr="003C14D7">
        <w:trPr>
          <w:trHeight w:val="20"/>
          <w:jc w:val="center"/>
        </w:trPr>
        <w:tc>
          <w:tcPr>
            <w:tcW w:w="0" w:type="auto"/>
            <w:vAlign w:val="center"/>
            <w:hideMark/>
          </w:tcPr>
          <w:p w14:paraId="6E9F2D43"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STATE</w:t>
            </w:r>
          </w:p>
        </w:tc>
        <w:tc>
          <w:tcPr>
            <w:tcW w:w="962" w:type="dxa"/>
            <w:vAlign w:val="center"/>
            <w:hideMark/>
          </w:tcPr>
          <w:p w14:paraId="6B984E43"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1990-91</w:t>
            </w:r>
          </w:p>
        </w:tc>
        <w:tc>
          <w:tcPr>
            <w:tcW w:w="851" w:type="dxa"/>
            <w:vAlign w:val="center"/>
            <w:hideMark/>
          </w:tcPr>
          <w:p w14:paraId="4CFF41F9"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1991-92</w:t>
            </w:r>
          </w:p>
        </w:tc>
        <w:tc>
          <w:tcPr>
            <w:tcW w:w="852" w:type="dxa"/>
            <w:vAlign w:val="center"/>
            <w:hideMark/>
          </w:tcPr>
          <w:p w14:paraId="7792BB01"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1992-93</w:t>
            </w:r>
          </w:p>
        </w:tc>
        <w:tc>
          <w:tcPr>
            <w:tcW w:w="849" w:type="dxa"/>
            <w:vAlign w:val="center"/>
            <w:hideMark/>
          </w:tcPr>
          <w:p w14:paraId="531D157D"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1993-94</w:t>
            </w:r>
          </w:p>
        </w:tc>
        <w:tc>
          <w:tcPr>
            <w:tcW w:w="851" w:type="dxa"/>
            <w:vAlign w:val="center"/>
            <w:hideMark/>
          </w:tcPr>
          <w:p w14:paraId="1DCE4DA1"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1994-95</w:t>
            </w:r>
          </w:p>
        </w:tc>
        <w:tc>
          <w:tcPr>
            <w:tcW w:w="1276" w:type="dxa"/>
            <w:vAlign w:val="center"/>
            <w:hideMark/>
          </w:tcPr>
          <w:p w14:paraId="0E84DE93" w14:textId="77777777" w:rsidR="00E52378" w:rsidRPr="00C5721F" w:rsidRDefault="00E52378" w:rsidP="00FC6A76">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Total 1990-91 to 1994-95</w:t>
            </w:r>
          </w:p>
        </w:tc>
      </w:tr>
      <w:tr w:rsidR="00E52378" w:rsidRPr="00C5721F" w14:paraId="104AC528" w14:textId="77777777" w:rsidTr="003C14D7">
        <w:trPr>
          <w:trHeight w:val="20"/>
          <w:jc w:val="center"/>
        </w:trPr>
        <w:tc>
          <w:tcPr>
            <w:tcW w:w="0" w:type="auto"/>
            <w:vAlign w:val="center"/>
            <w:hideMark/>
          </w:tcPr>
          <w:p w14:paraId="41580A1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NON-HILL STATES</w:t>
            </w:r>
          </w:p>
        </w:tc>
        <w:tc>
          <w:tcPr>
            <w:tcW w:w="962" w:type="dxa"/>
            <w:vAlign w:val="center"/>
            <w:hideMark/>
          </w:tcPr>
          <w:p w14:paraId="6988D412"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13CB910"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19484AF"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49B320AA"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77F8F398"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24A60642"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138B3B30" w14:textId="77777777" w:rsidTr="003C14D7">
        <w:trPr>
          <w:trHeight w:val="20"/>
          <w:jc w:val="center"/>
        </w:trPr>
        <w:tc>
          <w:tcPr>
            <w:tcW w:w="0" w:type="auto"/>
            <w:vAlign w:val="center"/>
            <w:hideMark/>
          </w:tcPr>
          <w:p w14:paraId="1F7A4555"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 Andhra Pradesh</w:t>
            </w:r>
          </w:p>
        </w:tc>
        <w:tc>
          <w:tcPr>
            <w:tcW w:w="962" w:type="dxa"/>
            <w:vAlign w:val="center"/>
            <w:hideMark/>
          </w:tcPr>
          <w:p w14:paraId="30C29164"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3350760E"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30CDD0ED"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62D4E5C5"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1C7F8FF5"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64C2783A"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4D942775" w14:textId="77777777" w:rsidTr="003C14D7">
        <w:trPr>
          <w:trHeight w:val="20"/>
          <w:jc w:val="center"/>
        </w:trPr>
        <w:tc>
          <w:tcPr>
            <w:tcW w:w="0" w:type="auto"/>
            <w:vAlign w:val="center"/>
            <w:hideMark/>
          </w:tcPr>
          <w:p w14:paraId="5F6A6C6A"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10CDFF6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3420</w:t>
            </w:r>
          </w:p>
        </w:tc>
        <w:tc>
          <w:tcPr>
            <w:tcW w:w="851" w:type="dxa"/>
            <w:vAlign w:val="center"/>
            <w:hideMark/>
          </w:tcPr>
          <w:p w14:paraId="49CB73D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4370</w:t>
            </w:r>
          </w:p>
        </w:tc>
        <w:tc>
          <w:tcPr>
            <w:tcW w:w="852" w:type="dxa"/>
            <w:vAlign w:val="center"/>
            <w:hideMark/>
          </w:tcPr>
          <w:p w14:paraId="1D28217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5416</w:t>
            </w:r>
          </w:p>
        </w:tc>
        <w:tc>
          <w:tcPr>
            <w:tcW w:w="849" w:type="dxa"/>
            <w:vAlign w:val="center"/>
            <w:hideMark/>
          </w:tcPr>
          <w:p w14:paraId="2799106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6569</w:t>
            </w:r>
          </w:p>
        </w:tc>
        <w:tc>
          <w:tcPr>
            <w:tcW w:w="851" w:type="dxa"/>
            <w:vAlign w:val="center"/>
            <w:hideMark/>
          </w:tcPr>
          <w:p w14:paraId="3616F30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7836</w:t>
            </w:r>
          </w:p>
        </w:tc>
        <w:tc>
          <w:tcPr>
            <w:tcW w:w="1276" w:type="dxa"/>
            <w:vAlign w:val="center"/>
            <w:hideMark/>
          </w:tcPr>
          <w:p w14:paraId="2976CC9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27611</w:t>
            </w:r>
          </w:p>
        </w:tc>
      </w:tr>
      <w:tr w:rsidR="00E52378" w:rsidRPr="00C5721F" w14:paraId="0DFAFBC7" w14:textId="77777777" w:rsidTr="003C14D7">
        <w:trPr>
          <w:trHeight w:val="20"/>
          <w:jc w:val="center"/>
        </w:trPr>
        <w:tc>
          <w:tcPr>
            <w:tcW w:w="0" w:type="auto"/>
            <w:vAlign w:val="center"/>
            <w:hideMark/>
          </w:tcPr>
          <w:p w14:paraId="47BA827A"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592C6D6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3380</w:t>
            </w:r>
          </w:p>
        </w:tc>
        <w:tc>
          <w:tcPr>
            <w:tcW w:w="851" w:type="dxa"/>
            <w:vAlign w:val="center"/>
            <w:hideMark/>
          </w:tcPr>
          <w:p w14:paraId="186D84D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4322</w:t>
            </w:r>
          </w:p>
        </w:tc>
        <w:tc>
          <w:tcPr>
            <w:tcW w:w="852" w:type="dxa"/>
            <w:vAlign w:val="center"/>
            <w:hideMark/>
          </w:tcPr>
          <w:p w14:paraId="3C8D50E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5372</w:t>
            </w:r>
          </w:p>
        </w:tc>
        <w:tc>
          <w:tcPr>
            <w:tcW w:w="849" w:type="dxa"/>
            <w:vAlign w:val="center"/>
            <w:hideMark/>
          </w:tcPr>
          <w:p w14:paraId="14661F0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6540</w:t>
            </w:r>
          </w:p>
        </w:tc>
        <w:tc>
          <w:tcPr>
            <w:tcW w:w="851" w:type="dxa"/>
            <w:vAlign w:val="center"/>
            <w:hideMark/>
          </w:tcPr>
          <w:p w14:paraId="2CC18A0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7836</w:t>
            </w:r>
          </w:p>
        </w:tc>
        <w:tc>
          <w:tcPr>
            <w:tcW w:w="1276" w:type="dxa"/>
            <w:vAlign w:val="center"/>
            <w:hideMark/>
          </w:tcPr>
          <w:p w14:paraId="17D97F7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27450</w:t>
            </w:r>
          </w:p>
        </w:tc>
      </w:tr>
      <w:tr w:rsidR="00E52378" w:rsidRPr="00C5721F" w14:paraId="037A0EDD" w14:textId="77777777" w:rsidTr="003C14D7">
        <w:trPr>
          <w:trHeight w:val="20"/>
          <w:jc w:val="center"/>
        </w:trPr>
        <w:tc>
          <w:tcPr>
            <w:tcW w:w="0" w:type="auto"/>
            <w:vAlign w:val="center"/>
            <w:hideMark/>
          </w:tcPr>
          <w:p w14:paraId="7099C015"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556AC7B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w:t>
            </w:r>
          </w:p>
        </w:tc>
        <w:tc>
          <w:tcPr>
            <w:tcW w:w="851" w:type="dxa"/>
            <w:vAlign w:val="center"/>
            <w:hideMark/>
          </w:tcPr>
          <w:p w14:paraId="7C7C621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-48</w:t>
            </w:r>
          </w:p>
        </w:tc>
        <w:tc>
          <w:tcPr>
            <w:tcW w:w="852" w:type="dxa"/>
            <w:vAlign w:val="center"/>
            <w:hideMark/>
          </w:tcPr>
          <w:p w14:paraId="4ACCD9F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w:t>
            </w:r>
          </w:p>
        </w:tc>
        <w:tc>
          <w:tcPr>
            <w:tcW w:w="849" w:type="dxa"/>
            <w:vAlign w:val="center"/>
            <w:hideMark/>
          </w:tcPr>
          <w:p w14:paraId="2FD1992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w:t>
            </w:r>
          </w:p>
        </w:tc>
        <w:tc>
          <w:tcPr>
            <w:tcW w:w="851" w:type="dxa"/>
            <w:vAlign w:val="center"/>
            <w:hideMark/>
          </w:tcPr>
          <w:p w14:paraId="16ECC27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13ECEE2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-161</w:t>
            </w:r>
          </w:p>
        </w:tc>
      </w:tr>
      <w:tr w:rsidR="00E52378" w:rsidRPr="00C5721F" w14:paraId="4486CA9B" w14:textId="77777777" w:rsidTr="003C14D7">
        <w:trPr>
          <w:trHeight w:val="20"/>
          <w:jc w:val="center"/>
        </w:trPr>
        <w:tc>
          <w:tcPr>
            <w:tcW w:w="0" w:type="auto"/>
            <w:vAlign w:val="center"/>
            <w:hideMark/>
          </w:tcPr>
          <w:p w14:paraId="7C98F7F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2. Assam</w:t>
            </w:r>
          </w:p>
        </w:tc>
        <w:tc>
          <w:tcPr>
            <w:tcW w:w="962" w:type="dxa"/>
            <w:vAlign w:val="center"/>
            <w:hideMark/>
          </w:tcPr>
          <w:p w14:paraId="136CD995"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1E3D483"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2C5C85F3"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748B8561"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788CCBB"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4622EA64"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6263DABA" w14:textId="77777777" w:rsidTr="003C14D7">
        <w:trPr>
          <w:trHeight w:val="20"/>
          <w:jc w:val="center"/>
        </w:trPr>
        <w:tc>
          <w:tcPr>
            <w:tcW w:w="0" w:type="auto"/>
            <w:vAlign w:val="center"/>
            <w:hideMark/>
          </w:tcPr>
          <w:p w14:paraId="021772B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5898276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135</w:t>
            </w:r>
          </w:p>
        </w:tc>
        <w:tc>
          <w:tcPr>
            <w:tcW w:w="851" w:type="dxa"/>
            <w:vAlign w:val="center"/>
            <w:hideMark/>
          </w:tcPr>
          <w:p w14:paraId="602D57B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184</w:t>
            </w:r>
          </w:p>
        </w:tc>
        <w:tc>
          <w:tcPr>
            <w:tcW w:w="852" w:type="dxa"/>
            <w:vAlign w:val="center"/>
            <w:hideMark/>
          </w:tcPr>
          <w:p w14:paraId="468BE80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239</w:t>
            </w:r>
          </w:p>
        </w:tc>
        <w:tc>
          <w:tcPr>
            <w:tcW w:w="849" w:type="dxa"/>
            <w:vAlign w:val="center"/>
            <w:hideMark/>
          </w:tcPr>
          <w:p w14:paraId="0050D30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302</w:t>
            </w:r>
          </w:p>
        </w:tc>
        <w:tc>
          <w:tcPr>
            <w:tcW w:w="851" w:type="dxa"/>
            <w:vAlign w:val="center"/>
            <w:hideMark/>
          </w:tcPr>
          <w:p w14:paraId="37BD34E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374</w:t>
            </w:r>
          </w:p>
        </w:tc>
        <w:tc>
          <w:tcPr>
            <w:tcW w:w="1276" w:type="dxa"/>
            <w:vAlign w:val="center"/>
            <w:hideMark/>
          </w:tcPr>
          <w:p w14:paraId="70A4191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1234</w:t>
            </w:r>
          </w:p>
        </w:tc>
      </w:tr>
      <w:tr w:rsidR="00E52378" w:rsidRPr="00C5721F" w14:paraId="2896BDF3" w14:textId="77777777" w:rsidTr="003C14D7">
        <w:trPr>
          <w:trHeight w:val="20"/>
          <w:jc w:val="center"/>
        </w:trPr>
        <w:tc>
          <w:tcPr>
            <w:tcW w:w="0" w:type="auto"/>
            <w:vAlign w:val="center"/>
            <w:hideMark/>
          </w:tcPr>
          <w:p w14:paraId="2BCAFB25"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251191A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123</w:t>
            </w:r>
          </w:p>
        </w:tc>
        <w:tc>
          <w:tcPr>
            <w:tcW w:w="851" w:type="dxa"/>
            <w:vAlign w:val="center"/>
            <w:hideMark/>
          </w:tcPr>
          <w:p w14:paraId="2E0DC45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168</w:t>
            </w:r>
          </w:p>
        </w:tc>
        <w:tc>
          <w:tcPr>
            <w:tcW w:w="852" w:type="dxa"/>
            <w:vAlign w:val="center"/>
            <w:hideMark/>
          </w:tcPr>
          <w:p w14:paraId="6132A73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222</w:t>
            </w:r>
          </w:p>
        </w:tc>
        <w:tc>
          <w:tcPr>
            <w:tcW w:w="849" w:type="dxa"/>
            <w:vAlign w:val="center"/>
            <w:hideMark/>
          </w:tcPr>
          <w:p w14:paraId="6F4669E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286</w:t>
            </w:r>
          </w:p>
        </w:tc>
        <w:tc>
          <w:tcPr>
            <w:tcW w:w="851" w:type="dxa"/>
            <w:vAlign w:val="center"/>
            <w:hideMark/>
          </w:tcPr>
          <w:p w14:paraId="7B59E39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361</w:t>
            </w:r>
          </w:p>
        </w:tc>
        <w:tc>
          <w:tcPr>
            <w:tcW w:w="1276" w:type="dxa"/>
            <w:vAlign w:val="center"/>
            <w:hideMark/>
          </w:tcPr>
          <w:p w14:paraId="427BF5F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1160</w:t>
            </w:r>
          </w:p>
        </w:tc>
      </w:tr>
      <w:tr w:rsidR="00E52378" w:rsidRPr="00C5721F" w14:paraId="03DECAFA" w14:textId="77777777" w:rsidTr="003C14D7">
        <w:trPr>
          <w:trHeight w:val="20"/>
          <w:jc w:val="center"/>
        </w:trPr>
        <w:tc>
          <w:tcPr>
            <w:tcW w:w="0" w:type="auto"/>
            <w:vAlign w:val="center"/>
            <w:hideMark/>
          </w:tcPr>
          <w:p w14:paraId="3A01CAE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71D0C4A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w:t>
            </w:r>
          </w:p>
        </w:tc>
        <w:tc>
          <w:tcPr>
            <w:tcW w:w="851" w:type="dxa"/>
            <w:vAlign w:val="center"/>
            <w:hideMark/>
          </w:tcPr>
          <w:p w14:paraId="7115D76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w:t>
            </w:r>
          </w:p>
        </w:tc>
        <w:tc>
          <w:tcPr>
            <w:tcW w:w="852" w:type="dxa"/>
            <w:vAlign w:val="center"/>
            <w:hideMark/>
          </w:tcPr>
          <w:p w14:paraId="6DF5208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w:t>
            </w:r>
          </w:p>
        </w:tc>
        <w:tc>
          <w:tcPr>
            <w:tcW w:w="849" w:type="dxa"/>
            <w:vAlign w:val="center"/>
            <w:hideMark/>
          </w:tcPr>
          <w:p w14:paraId="6FED7EA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w:t>
            </w:r>
          </w:p>
        </w:tc>
        <w:tc>
          <w:tcPr>
            <w:tcW w:w="851" w:type="dxa"/>
            <w:vAlign w:val="center"/>
            <w:hideMark/>
          </w:tcPr>
          <w:p w14:paraId="051FF17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1276" w:type="dxa"/>
            <w:vAlign w:val="center"/>
            <w:hideMark/>
          </w:tcPr>
          <w:p w14:paraId="357FD36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-74</w:t>
            </w:r>
          </w:p>
        </w:tc>
      </w:tr>
      <w:tr w:rsidR="00E52378" w:rsidRPr="00C5721F" w14:paraId="7141EEF0" w14:textId="77777777" w:rsidTr="003C14D7">
        <w:trPr>
          <w:trHeight w:val="20"/>
          <w:jc w:val="center"/>
        </w:trPr>
        <w:tc>
          <w:tcPr>
            <w:tcW w:w="0" w:type="auto"/>
            <w:vAlign w:val="center"/>
            <w:hideMark/>
          </w:tcPr>
          <w:p w14:paraId="151D8C26"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3. Bihar</w:t>
            </w:r>
          </w:p>
        </w:tc>
        <w:tc>
          <w:tcPr>
            <w:tcW w:w="962" w:type="dxa"/>
            <w:vAlign w:val="center"/>
            <w:hideMark/>
          </w:tcPr>
          <w:p w14:paraId="2996518B"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06C2FCC5"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0167B8AF"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0324BE03"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339A218E"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3B0606DC"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683476E8" w14:textId="77777777" w:rsidTr="003C14D7">
        <w:trPr>
          <w:trHeight w:val="20"/>
          <w:jc w:val="center"/>
        </w:trPr>
        <w:tc>
          <w:tcPr>
            <w:tcW w:w="0" w:type="auto"/>
            <w:vAlign w:val="center"/>
            <w:hideMark/>
          </w:tcPr>
          <w:p w14:paraId="09785A96"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6937E77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2899</w:t>
            </w:r>
          </w:p>
        </w:tc>
        <w:tc>
          <w:tcPr>
            <w:tcW w:w="851" w:type="dxa"/>
            <w:vAlign w:val="center"/>
            <w:hideMark/>
          </w:tcPr>
          <w:p w14:paraId="20B771D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3773</w:t>
            </w:r>
          </w:p>
        </w:tc>
        <w:tc>
          <w:tcPr>
            <w:tcW w:w="852" w:type="dxa"/>
            <w:vAlign w:val="center"/>
            <w:hideMark/>
          </w:tcPr>
          <w:p w14:paraId="3896DBA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4746</w:t>
            </w:r>
          </w:p>
        </w:tc>
        <w:tc>
          <w:tcPr>
            <w:tcW w:w="849" w:type="dxa"/>
            <w:vAlign w:val="center"/>
            <w:hideMark/>
          </w:tcPr>
          <w:p w14:paraId="0E75AFB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5830</w:t>
            </w:r>
          </w:p>
        </w:tc>
        <w:tc>
          <w:tcPr>
            <w:tcW w:w="851" w:type="dxa"/>
            <w:vAlign w:val="center"/>
            <w:hideMark/>
          </w:tcPr>
          <w:p w14:paraId="53E3111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7031</w:t>
            </w:r>
          </w:p>
        </w:tc>
        <w:tc>
          <w:tcPr>
            <w:tcW w:w="1276" w:type="dxa"/>
            <w:vAlign w:val="center"/>
            <w:hideMark/>
          </w:tcPr>
          <w:p w14:paraId="4912903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24279</w:t>
            </w:r>
          </w:p>
        </w:tc>
      </w:tr>
      <w:tr w:rsidR="00E52378" w:rsidRPr="00C5721F" w14:paraId="2CE1F00A" w14:textId="77777777" w:rsidTr="003C14D7">
        <w:trPr>
          <w:trHeight w:val="20"/>
          <w:jc w:val="center"/>
        </w:trPr>
        <w:tc>
          <w:tcPr>
            <w:tcW w:w="0" w:type="auto"/>
            <w:vAlign w:val="center"/>
            <w:hideMark/>
          </w:tcPr>
          <w:p w14:paraId="3FC2A10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28A9A32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2793</w:t>
            </w:r>
          </w:p>
        </w:tc>
        <w:tc>
          <w:tcPr>
            <w:tcW w:w="851" w:type="dxa"/>
            <w:vAlign w:val="center"/>
            <w:hideMark/>
          </w:tcPr>
          <w:p w14:paraId="0EE5D05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3634</w:t>
            </w:r>
          </w:p>
        </w:tc>
        <w:tc>
          <w:tcPr>
            <w:tcW w:w="852" w:type="dxa"/>
            <w:vAlign w:val="center"/>
            <w:hideMark/>
          </w:tcPr>
          <w:p w14:paraId="2175542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4592</w:t>
            </w:r>
          </w:p>
        </w:tc>
        <w:tc>
          <w:tcPr>
            <w:tcW w:w="849" w:type="dxa"/>
            <w:vAlign w:val="center"/>
            <w:hideMark/>
          </w:tcPr>
          <w:p w14:paraId="2D2ADDE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5681</w:t>
            </w:r>
          </w:p>
        </w:tc>
        <w:tc>
          <w:tcPr>
            <w:tcW w:w="851" w:type="dxa"/>
            <w:vAlign w:val="center"/>
            <w:hideMark/>
          </w:tcPr>
          <w:p w14:paraId="60907A9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6910</w:t>
            </w:r>
          </w:p>
        </w:tc>
        <w:tc>
          <w:tcPr>
            <w:tcW w:w="1276" w:type="dxa"/>
            <w:vAlign w:val="center"/>
            <w:hideMark/>
          </w:tcPr>
          <w:p w14:paraId="21BB636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23610</w:t>
            </w:r>
          </w:p>
        </w:tc>
      </w:tr>
      <w:tr w:rsidR="00E52378" w:rsidRPr="00C5721F" w14:paraId="0B750CFF" w14:textId="77777777" w:rsidTr="003C14D7">
        <w:trPr>
          <w:trHeight w:val="20"/>
          <w:jc w:val="center"/>
        </w:trPr>
        <w:tc>
          <w:tcPr>
            <w:tcW w:w="0" w:type="auto"/>
            <w:vAlign w:val="center"/>
            <w:hideMark/>
          </w:tcPr>
          <w:p w14:paraId="72C2863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2BA51E3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-106</w:t>
            </w:r>
          </w:p>
        </w:tc>
        <w:tc>
          <w:tcPr>
            <w:tcW w:w="851" w:type="dxa"/>
            <w:vAlign w:val="center"/>
            <w:hideMark/>
          </w:tcPr>
          <w:p w14:paraId="788408A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-139</w:t>
            </w:r>
          </w:p>
        </w:tc>
        <w:tc>
          <w:tcPr>
            <w:tcW w:w="852" w:type="dxa"/>
            <w:vAlign w:val="center"/>
            <w:hideMark/>
          </w:tcPr>
          <w:p w14:paraId="7C4CDA1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-154</w:t>
            </w:r>
          </w:p>
        </w:tc>
        <w:tc>
          <w:tcPr>
            <w:tcW w:w="849" w:type="dxa"/>
            <w:vAlign w:val="center"/>
            <w:hideMark/>
          </w:tcPr>
          <w:p w14:paraId="2B5876A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-149</w:t>
            </w:r>
          </w:p>
        </w:tc>
        <w:tc>
          <w:tcPr>
            <w:tcW w:w="851" w:type="dxa"/>
            <w:vAlign w:val="center"/>
            <w:hideMark/>
          </w:tcPr>
          <w:p w14:paraId="7BCCE91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-121</w:t>
            </w:r>
          </w:p>
        </w:tc>
        <w:tc>
          <w:tcPr>
            <w:tcW w:w="1276" w:type="dxa"/>
            <w:vAlign w:val="center"/>
            <w:hideMark/>
          </w:tcPr>
          <w:p w14:paraId="7F16097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-669</w:t>
            </w:r>
          </w:p>
        </w:tc>
      </w:tr>
      <w:tr w:rsidR="00E52378" w:rsidRPr="00C5721F" w14:paraId="7D59C829" w14:textId="77777777" w:rsidTr="003C14D7">
        <w:trPr>
          <w:trHeight w:val="20"/>
          <w:jc w:val="center"/>
        </w:trPr>
        <w:tc>
          <w:tcPr>
            <w:tcW w:w="0" w:type="auto"/>
            <w:vAlign w:val="center"/>
            <w:hideMark/>
          </w:tcPr>
          <w:p w14:paraId="2480372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4. Goa</w:t>
            </w:r>
          </w:p>
        </w:tc>
        <w:tc>
          <w:tcPr>
            <w:tcW w:w="962" w:type="dxa"/>
            <w:vAlign w:val="center"/>
            <w:hideMark/>
          </w:tcPr>
          <w:p w14:paraId="65CFB212"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6BEF4882"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5BD999D"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65BAF593"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06BE490"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562C522F"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586D2468" w14:textId="77777777" w:rsidTr="003C14D7">
        <w:trPr>
          <w:trHeight w:val="20"/>
          <w:jc w:val="center"/>
        </w:trPr>
        <w:tc>
          <w:tcPr>
            <w:tcW w:w="0" w:type="auto"/>
            <w:vAlign w:val="center"/>
            <w:hideMark/>
          </w:tcPr>
          <w:p w14:paraId="7860CD18"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34A909D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w:t>
            </w:r>
          </w:p>
        </w:tc>
        <w:tc>
          <w:tcPr>
            <w:tcW w:w="851" w:type="dxa"/>
            <w:vAlign w:val="center"/>
            <w:hideMark/>
          </w:tcPr>
          <w:p w14:paraId="53EAEA7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w:t>
            </w:r>
          </w:p>
        </w:tc>
        <w:tc>
          <w:tcPr>
            <w:tcW w:w="852" w:type="dxa"/>
            <w:vAlign w:val="center"/>
            <w:hideMark/>
          </w:tcPr>
          <w:p w14:paraId="76310ED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w:t>
            </w:r>
          </w:p>
        </w:tc>
        <w:tc>
          <w:tcPr>
            <w:tcW w:w="849" w:type="dxa"/>
            <w:vAlign w:val="center"/>
            <w:hideMark/>
          </w:tcPr>
          <w:p w14:paraId="5313893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w:t>
            </w:r>
          </w:p>
        </w:tc>
        <w:tc>
          <w:tcPr>
            <w:tcW w:w="851" w:type="dxa"/>
            <w:vAlign w:val="center"/>
            <w:hideMark/>
          </w:tcPr>
          <w:p w14:paraId="2F8358C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w:t>
            </w:r>
          </w:p>
        </w:tc>
        <w:tc>
          <w:tcPr>
            <w:tcW w:w="1276" w:type="dxa"/>
            <w:vAlign w:val="center"/>
            <w:hideMark/>
          </w:tcPr>
          <w:p w14:paraId="5CF259D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75</w:t>
            </w:r>
          </w:p>
        </w:tc>
      </w:tr>
      <w:tr w:rsidR="00E52378" w:rsidRPr="00C5721F" w14:paraId="37FFD90E" w14:textId="77777777" w:rsidTr="003C14D7">
        <w:trPr>
          <w:trHeight w:val="20"/>
          <w:jc w:val="center"/>
        </w:trPr>
        <w:tc>
          <w:tcPr>
            <w:tcW w:w="0" w:type="auto"/>
            <w:vAlign w:val="center"/>
            <w:hideMark/>
          </w:tcPr>
          <w:p w14:paraId="6E1A966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0D09BBF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w:t>
            </w:r>
          </w:p>
        </w:tc>
        <w:tc>
          <w:tcPr>
            <w:tcW w:w="851" w:type="dxa"/>
            <w:vAlign w:val="center"/>
            <w:hideMark/>
          </w:tcPr>
          <w:p w14:paraId="497D1A5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w:t>
            </w:r>
          </w:p>
        </w:tc>
        <w:tc>
          <w:tcPr>
            <w:tcW w:w="852" w:type="dxa"/>
            <w:vAlign w:val="center"/>
            <w:hideMark/>
          </w:tcPr>
          <w:p w14:paraId="5F68887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w:t>
            </w:r>
          </w:p>
        </w:tc>
        <w:tc>
          <w:tcPr>
            <w:tcW w:w="849" w:type="dxa"/>
            <w:vAlign w:val="center"/>
            <w:hideMark/>
          </w:tcPr>
          <w:p w14:paraId="4848500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w:t>
            </w:r>
          </w:p>
        </w:tc>
        <w:tc>
          <w:tcPr>
            <w:tcW w:w="851" w:type="dxa"/>
            <w:vAlign w:val="center"/>
            <w:hideMark/>
          </w:tcPr>
          <w:p w14:paraId="19327CE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w:t>
            </w:r>
          </w:p>
        </w:tc>
        <w:tc>
          <w:tcPr>
            <w:tcW w:w="1276" w:type="dxa"/>
            <w:vAlign w:val="center"/>
            <w:hideMark/>
          </w:tcPr>
          <w:p w14:paraId="40EF50E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75</w:t>
            </w:r>
          </w:p>
        </w:tc>
      </w:tr>
      <w:tr w:rsidR="00E52378" w:rsidRPr="00C5721F" w14:paraId="43434DE4" w14:textId="77777777" w:rsidTr="003C14D7">
        <w:trPr>
          <w:trHeight w:val="20"/>
          <w:jc w:val="center"/>
        </w:trPr>
        <w:tc>
          <w:tcPr>
            <w:tcW w:w="0" w:type="auto"/>
            <w:vAlign w:val="center"/>
            <w:hideMark/>
          </w:tcPr>
          <w:p w14:paraId="6D36C2D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68DD299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07905E8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2" w:type="dxa"/>
            <w:vAlign w:val="center"/>
            <w:hideMark/>
          </w:tcPr>
          <w:p w14:paraId="4887BD2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49" w:type="dxa"/>
            <w:vAlign w:val="center"/>
            <w:hideMark/>
          </w:tcPr>
          <w:p w14:paraId="1A7180E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0F69F23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6E7CC29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E52378" w:rsidRPr="00C5721F" w14:paraId="0881E501" w14:textId="77777777" w:rsidTr="003C14D7">
        <w:trPr>
          <w:trHeight w:val="20"/>
          <w:jc w:val="center"/>
        </w:trPr>
        <w:tc>
          <w:tcPr>
            <w:tcW w:w="0" w:type="auto"/>
            <w:vAlign w:val="center"/>
            <w:hideMark/>
          </w:tcPr>
          <w:p w14:paraId="080FEEA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5. Gujarat</w:t>
            </w:r>
          </w:p>
        </w:tc>
        <w:tc>
          <w:tcPr>
            <w:tcW w:w="962" w:type="dxa"/>
            <w:vAlign w:val="center"/>
            <w:hideMark/>
          </w:tcPr>
          <w:p w14:paraId="664474A8"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6B3C3D00"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00FD1F64"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09A9F282"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7C91B06"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591EAA8E"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33EF238B" w14:textId="77777777" w:rsidTr="003C14D7">
        <w:trPr>
          <w:trHeight w:val="20"/>
          <w:jc w:val="center"/>
        </w:trPr>
        <w:tc>
          <w:tcPr>
            <w:tcW w:w="0" w:type="auto"/>
            <w:vAlign w:val="center"/>
            <w:hideMark/>
          </w:tcPr>
          <w:p w14:paraId="7A3AFB8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43D1462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1053</w:t>
            </w:r>
          </w:p>
        </w:tc>
        <w:tc>
          <w:tcPr>
            <w:tcW w:w="851" w:type="dxa"/>
            <w:vAlign w:val="center"/>
            <w:hideMark/>
          </w:tcPr>
          <w:p w14:paraId="4E7D692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1410</w:t>
            </w:r>
          </w:p>
        </w:tc>
        <w:tc>
          <w:tcPr>
            <w:tcW w:w="852" w:type="dxa"/>
            <w:vAlign w:val="center"/>
            <w:hideMark/>
          </w:tcPr>
          <w:p w14:paraId="3C37402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1813</w:t>
            </w:r>
          </w:p>
        </w:tc>
        <w:tc>
          <w:tcPr>
            <w:tcW w:w="849" w:type="dxa"/>
            <w:vAlign w:val="center"/>
            <w:hideMark/>
          </w:tcPr>
          <w:p w14:paraId="2EA5DDB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2268</w:t>
            </w:r>
          </w:p>
        </w:tc>
        <w:tc>
          <w:tcPr>
            <w:tcW w:w="851" w:type="dxa"/>
            <w:vAlign w:val="center"/>
            <w:hideMark/>
          </w:tcPr>
          <w:p w14:paraId="2C38318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2779</w:t>
            </w:r>
          </w:p>
        </w:tc>
        <w:tc>
          <w:tcPr>
            <w:tcW w:w="1276" w:type="dxa"/>
            <w:vAlign w:val="center"/>
            <w:hideMark/>
          </w:tcPr>
          <w:p w14:paraId="02D1567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9323</w:t>
            </w:r>
          </w:p>
        </w:tc>
      </w:tr>
      <w:tr w:rsidR="00E52378" w:rsidRPr="00C5721F" w14:paraId="5AB05617" w14:textId="77777777" w:rsidTr="003C14D7">
        <w:trPr>
          <w:trHeight w:val="20"/>
          <w:jc w:val="center"/>
        </w:trPr>
        <w:tc>
          <w:tcPr>
            <w:tcW w:w="0" w:type="auto"/>
            <w:vAlign w:val="center"/>
            <w:hideMark/>
          </w:tcPr>
          <w:p w14:paraId="78335F3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65D7C78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976</w:t>
            </w:r>
          </w:p>
        </w:tc>
        <w:tc>
          <w:tcPr>
            <w:tcW w:w="851" w:type="dxa"/>
            <w:vAlign w:val="center"/>
            <w:hideMark/>
          </w:tcPr>
          <w:p w14:paraId="220E28B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1308</w:t>
            </w:r>
          </w:p>
        </w:tc>
        <w:tc>
          <w:tcPr>
            <w:tcW w:w="852" w:type="dxa"/>
            <w:vAlign w:val="center"/>
            <w:hideMark/>
          </w:tcPr>
          <w:p w14:paraId="143D91F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1698</w:t>
            </w:r>
          </w:p>
        </w:tc>
        <w:tc>
          <w:tcPr>
            <w:tcW w:w="849" w:type="dxa"/>
            <w:vAlign w:val="center"/>
            <w:hideMark/>
          </w:tcPr>
          <w:p w14:paraId="19153FC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2153</w:t>
            </w:r>
          </w:p>
        </w:tc>
        <w:tc>
          <w:tcPr>
            <w:tcW w:w="851" w:type="dxa"/>
            <w:vAlign w:val="center"/>
            <w:hideMark/>
          </w:tcPr>
          <w:p w14:paraId="5F3D15C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2679</w:t>
            </w:r>
          </w:p>
        </w:tc>
        <w:tc>
          <w:tcPr>
            <w:tcW w:w="1276" w:type="dxa"/>
            <w:vAlign w:val="center"/>
            <w:hideMark/>
          </w:tcPr>
          <w:p w14:paraId="457954A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8814</w:t>
            </w:r>
          </w:p>
        </w:tc>
      </w:tr>
      <w:tr w:rsidR="00E52378" w:rsidRPr="00C5721F" w14:paraId="5DF70DD1" w14:textId="77777777" w:rsidTr="003C14D7">
        <w:trPr>
          <w:trHeight w:val="20"/>
          <w:jc w:val="center"/>
        </w:trPr>
        <w:tc>
          <w:tcPr>
            <w:tcW w:w="0" w:type="auto"/>
            <w:vAlign w:val="center"/>
            <w:hideMark/>
          </w:tcPr>
          <w:p w14:paraId="39E393A3"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6AA3A18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-77</w:t>
            </w:r>
          </w:p>
        </w:tc>
        <w:tc>
          <w:tcPr>
            <w:tcW w:w="851" w:type="dxa"/>
            <w:vAlign w:val="center"/>
            <w:hideMark/>
          </w:tcPr>
          <w:p w14:paraId="2279165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-102</w:t>
            </w:r>
          </w:p>
        </w:tc>
        <w:tc>
          <w:tcPr>
            <w:tcW w:w="852" w:type="dxa"/>
            <w:vAlign w:val="center"/>
            <w:hideMark/>
          </w:tcPr>
          <w:p w14:paraId="1A5B782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-115</w:t>
            </w:r>
          </w:p>
        </w:tc>
        <w:tc>
          <w:tcPr>
            <w:tcW w:w="849" w:type="dxa"/>
            <w:vAlign w:val="center"/>
            <w:hideMark/>
          </w:tcPr>
          <w:p w14:paraId="421C400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-115</w:t>
            </w:r>
          </w:p>
        </w:tc>
        <w:tc>
          <w:tcPr>
            <w:tcW w:w="851" w:type="dxa"/>
            <w:vAlign w:val="center"/>
            <w:hideMark/>
          </w:tcPr>
          <w:p w14:paraId="50D08B8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-100</w:t>
            </w:r>
          </w:p>
        </w:tc>
        <w:tc>
          <w:tcPr>
            <w:tcW w:w="1276" w:type="dxa"/>
            <w:vAlign w:val="center"/>
            <w:hideMark/>
          </w:tcPr>
          <w:p w14:paraId="6B84BA9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-509</w:t>
            </w:r>
          </w:p>
        </w:tc>
      </w:tr>
      <w:tr w:rsidR="00E52378" w:rsidRPr="00C5721F" w14:paraId="7492C12E" w14:textId="77777777" w:rsidTr="003C14D7">
        <w:trPr>
          <w:trHeight w:val="20"/>
          <w:jc w:val="center"/>
        </w:trPr>
        <w:tc>
          <w:tcPr>
            <w:tcW w:w="0" w:type="auto"/>
            <w:vAlign w:val="center"/>
            <w:hideMark/>
          </w:tcPr>
          <w:p w14:paraId="69D9F88B"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6. Haryana</w:t>
            </w:r>
          </w:p>
        </w:tc>
        <w:tc>
          <w:tcPr>
            <w:tcW w:w="962" w:type="dxa"/>
            <w:vAlign w:val="center"/>
            <w:hideMark/>
          </w:tcPr>
          <w:p w14:paraId="6A20E2BB"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0AA711E7"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466688F5"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66A10820"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AC1ADC2"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0333C82B"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6B97DEE9" w14:textId="77777777" w:rsidTr="003C14D7">
        <w:trPr>
          <w:trHeight w:val="20"/>
          <w:jc w:val="center"/>
        </w:trPr>
        <w:tc>
          <w:tcPr>
            <w:tcW w:w="0" w:type="auto"/>
            <w:vAlign w:val="center"/>
            <w:hideMark/>
          </w:tcPr>
          <w:p w14:paraId="3D09FE52"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436E5CE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1979</w:t>
            </w:r>
          </w:p>
        </w:tc>
        <w:tc>
          <w:tcPr>
            <w:tcW w:w="851" w:type="dxa"/>
            <w:vAlign w:val="center"/>
            <w:hideMark/>
          </w:tcPr>
          <w:p w14:paraId="7BEE6D2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2537</w:t>
            </w:r>
          </w:p>
        </w:tc>
        <w:tc>
          <w:tcPr>
            <w:tcW w:w="852" w:type="dxa"/>
            <w:vAlign w:val="center"/>
            <w:hideMark/>
          </w:tcPr>
          <w:p w14:paraId="04DE07E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3153</w:t>
            </w:r>
          </w:p>
        </w:tc>
        <w:tc>
          <w:tcPr>
            <w:tcW w:w="849" w:type="dxa"/>
            <w:vAlign w:val="center"/>
            <w:hideMark/>
          </w:tcPr>
          <w:p w14:paraId="54E0D15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3830</w:t>
            </w:r>
          </w:p>
        </w:tc>
        <w:tc>
          <w:tcPr>
            <w:tcW w:w="851" w:type="dxa"/>
            <w:vAlign w:val="center"/>
            <w:hideMark/>
          </w:tcPr>
          <w:p w14:paraId="4FCC2D4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4575</w:t>
            </w:r>
          </w:p>
        </w:tc>
        <w:tc>
          <w:tcPr>
            <w:tcW w:w="1276" w:type="dxa"/>
            <w:vAlign w:val="center"/>
            <w:hideMark/>
          </w:tcPr>
          <w:p w14:paraId="66F1F6D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16074</w:t>
            </w:r>
          </w:p>
        </w:tc>
      </w:tr>
      <w:tr w:rsidR="00E52378" w:rsidRPr="00C5721F" w14:paraId="07ACD691" w14:textId="77777777" w:rsidTr="003C14D7">
        <w:trPr>
          <w:trHeight w:val="20"/>
          <w:jc w:val="center"/>
        </w:trPr>
        <w:tc>
          <w:tcPr>
            <w:tcW w:w="0" w:type="auto"/>
            <w:vAlign w:val="center"/>
            <w:hideMark/>
          </w:tcPr>
          <w:p w14:paraId="3C4F890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5249B40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1933</w:t>
            </w:r>
          </w:p>
        </w:tc>
        <w:tc>
          <w:tcPr>
            <w:tcW w:w="851" w:type="dxa"/>
            <w:vAlign w:val="center"/>
            <w:hideMark/>
          </w:tcPr>
          <w:p w14:paraId="708C577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2474</w:t>
            </w:r>
          </w:p>
        </w:tc>
        <w:tc>
          <w:tcPr>
            <w:tcW w:w="852" w:type="dxa"/>
            <w:vAlign w:val="center"/>
            <w:hideMark/>
          </w:tcPr>
          <w:p w14:paraId="53056CA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3078</w:t>
            </w:r>
          </w:p>
        </w:tc>
        <w:tc>
          <w:tcPr>
            <w:tcW w:w="849" w:type="dxa"/>
            <w:vAlign w:val="center"/>
            <w:hideMark/>
          </w:tcPr>
          <w:p w14:paraId="1225B0C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3750</w:t>
            </w:r>
          </w:p>
        </w:tc>
        <w:tc>
          <w:tcPr>
            <w:tcW w:w="851" w:type="dxa"/>
            <w:vAlign w:val="center"/>
            <w:hideMark/>
          </w:tcPr>
          <w:p w14:paraId="4AFAF2D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4496</w:t>
            </w:r>
          </w:p>
        </w:tc>
        <w:tc>
          <w:tcPr>
            <w:tcW w:w="1276" w:type="dxa"/>
            <w:vAlign w:val="center"/>
            <w:hideMark/>
          </w:tcPr>
          <w:p w14:paraId="18441A2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15731</w:t>
            </w:r>
          </w:p>
        </w:tc>
      </w:tr>
      <w:tr w:rsidR="00E52378" w:rsidRPr="00C5721F" w14:paraId="11B8D251" w14:textId="77777777" w:rsidTr="003C14D7">
        <w:trPr>
          <w:trHeight w:val="20"/>
          <w:jc w:val="center"/>
        </w:trPr>
        <w:tc>
          <w:tcPr>
            <w:tcW w:w="0" w:type="auto"/>
            <w:vAlign w:val="center"/>
            <w:hideMark/>
          </w:tcPr>
          <w:p w14:paraId="0CB01E38"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5B83FDE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w:t>
            </w:r>
          </w:p>
        </w:tc>
        <w:tc>
          <w:tcPr>
            <w:tcW w:w="851" w:type="dxa"/>
            <w:vAlign w:val="center"/>
            <w:hideMark/>
          </w:tcPr>
          <w:p w14:paraId="71B012D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-63</w:t>
            </w:r>
          </w:p>
        </w:tc>
        <w:tc>
          <w:tcPr>
            <w:tcW w:w="852" w:type="dxa"/>
            <w:vAlign w:val="center"/>
            <w:hideMark/>
          </w:tcPr>
          <w:p w14:paraId="0ACF4AA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-75</w:t>
            </w:r>
          </w:p>
        </w:tc>
        <w:tc>
          <w:tcPr>
            <w:tcW w:w="849" w:type="dxa"/>
            <w:vAlign w:val="center"/>
            <w:hideMark/>
          </w:tcPr>
          <w:p w14:paraId="4D6F910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-80</w:t>
            </w:r>
          </w:p>
        </w:tc>
        <w:tc>
          <w:tcPr>
            <w:tcW w:w="851" w:type="dxa"/>
            <w:vAlign w:val="center"/>
            <w:hideMark/>
          </w:tcPr>
          <w:p w14:paraId="4C1C9C4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-79</w:t>
            </w:r>
          </w:p>
        </w:tc>
        <w:tc>
          <w:tcPr>
            <w:tcW w:w="1276" w:type="dxa"/>
            <w:vAlign w:val="center"/>
            <w:hideMark/>
          </w:tcPr>
          <w:p w14:paraId="00A33F1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-343</w:t>
            </w:r>
          </w:p>
        </w:tc>
      </w:tr>
      <w:tr w:rsidR="00E52378" w:rsidRPr="00C5721F" w14:paraId="103CE9A6" w14:textId="77777777" w:rsidTr="003C14D7">
        <w:trPr>
          <w:trHeight w:val="20"/>
          <w:jc w:val="center"/>
        </w:trPr>
        <w:tc>
          <w:tcPr>
            <w:tcW w:w="0" w:type="auto"/>
            <w:vAlign w:val="center"/>
            <w:hideMark/>
          </w:tcPr>
          <w:p w14:paraId="7A69294B"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7. Karnataka</w:t>
            </w:r>
          </w:p>
        </w:tc>
        <w:tc>
          <w:tcPr>
            <w:tcW w:w="962" w:type="dxa"/>
            <w:vAlign w:val="center"/>
            <w:hideMark/>
          </w:tcPr>
          <w:p w14:paraId="2F620C9C"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F8A7D2F"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EF15CF9"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6C88A1AF"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0AF9F9F"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7C8B8A13"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1338AB5C" w14:textId="77777777" w:rsidTr="003C14D7">
        <w:trPr>
          <w:trHeight w:val="20"/>
          <w:jc w:val="center"/>
        </w:trPr>
        <w:tc>
          <w:tcPr>
            <w:tcW w:w="0" w:type="auto"/>
            <w:vAlign w:val="center"/>
            <w:hideMark/>
          </w:tcPr>
          <w:p w14:paraId="0BDC4AC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1D2D034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1487</w:t>
            </w:r>
          </w:p>
        </w:tc>
        <w:tc>
          <w:tcPr>
            <w:tcW w:w="851" w:type="dxa"/>
            <w:vAlign w:val="center"/>
            <w:hideMark/>
          </w:tcPr>
          <w:p w14:paraId="62E40FA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1905</w:t>
            </w:r>
          </w:p>
        </w:tc>
        <w:tc>
          <w:tcPr>
            <w:tcW w:w="852" w:type="dxa"/>
            <w:vAlign w:val="center"/>
            <w:hideMark/>
          </w:tcPr>
          <w:p w14:paraId="6239C82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2366</w:t>
            </w:r>
          </w:p>
        </w:tc>
        <w:tc>
          <w:tcPr>
            <w:tcW w:w="849" w:type="dxa"/>
            <w:vAlign w:val="center"/>
            <w:hideMark/>
          </w:tcPr>
          <w:p w14:paraId="5DC10A8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2876</w:t>
            </w:r>
          </w:p>
        </w:tc>
        <w:tc>
          <w:tcPr>
            <w:tcW w:w="851" w:type="dxa"/>
            <w:vAlign w:val="center"/>
            <w:hideMark/>
          </w:tcPr>
          <w:p w14:paraId="51BE1FB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3437</w:t>
            </w:r>
          </w:p>
        </w:tc>
        <w:tc>
          <w:tcPr>
            <w:tcW w:w="1276" w:type="dxa"/>
            <w:vAlign w:val="center"/>
            <w:hideMark/>
          </w:tcPr>
          <w:p w14:paraId="05D338D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12071</w:t>
            </w:r>
          </w:p>
        </w:tc>
      </w:tr>
      <w:tr w:rsidR="00E52378" w:rsidRPr="00C5721F" w14:paraId="0C305849" w14:textId="77777777" w:rsidTr="003C14D7">
        <w:trPr>
          <w:trHeight w:val="20"/>
          <w:jc w:val="center"/>
        </w:trPr>
        <w:tc>
          <w:tcPr>
            <w:tcW w:w="0" w:type="auto"/>
            <w:vAlign w:val="center"/>
            <w:hideMark/>
          </w:tcPr>
          <w:p w14:paraId="0012A9B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6704806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1466</w:t>
            </w:r>
          </w:p>
        </w:tc>
        <w:tc>
          <w:tcPr>
            <w:tcW w:w="851" w:type="dxa"/>
            <w:vAlign w:val="center"/>
            <w:hideMark/>
          </w:tcPr>
          <w:p w14:paraId="32BFDE5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1880</w:t>
            </w:r>
          </w:p>
        </w:tc>
        <w:tc>
          <w:tcPr>
            <w:tcW w:w="852" w:type="dxa"/>
            <w:vAlign w:val="center"/>
            <w:hideMark/>
          </w:tcPr>
          <w:p w14:paraId="05C1AA0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2343</w:t>
            </w:r>
          </w:p>
        </w:tc>
        <w:tc>
          <w:tcPr>
            <w:tcW w:w="849" w:type="dxa"/>
            <w:vAlign w:val="center"/>
            <w:hideMark/>
          </w:tcPr>
          <w:p w14:paraId="71A513D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2861</w:t>
            </w:r>
          </w:p>
        </w:tc>
        <w:tc>
          <w:tcPr>
            <w:tcW w:w="851" w:type="dxa"/>
            <w:vAlign w:val="center"/>
            <w:hideMark/>
          </w:tcPr>
          <w:p w14:paraId="64F68FD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3437</w:t>
            </w:r>
          </w:p>
        </w:tc>
        <w:tc>
          <w:tcPr>
            <w:tcW w:w="1276" w:type="dxa"/>
            <w:vAlign w:val="center"/>
            <w:hideMark/>
          </w:tcPr>
          <w:p w14:paraId="61F8430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11987</w:t>
            </w:r>
          </w:p>
        </w:tc>
      </w:tr>
      <w:tr w:rsidR="00E52378" w:rsidRPr="00C5721F" w14:paraId="2B84507B" w14:textId="77777777" w:rsidTr="003C14D7">
        <w:trPr>
          <w:trHeight w:val="20"/>
          <w:jc w:val="center"/>
        </w:trPr>
        <w:tc>
          <w:tcPr>
            <w:tcW w:w="0" w:type="auto"/>
            <w:vAlign w:val="center"/>
            <w:hideMark/>
          </w:tcPr>
          <w:p w14:paraId="35B79BD9"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5FE2979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w:t>
            </w:r>
          </w:p>
        </w:tc>
        <w:tc>
          <w:tcPr>
            <w:tcW w:w="851" w:type="dxa"/>
            <w:vAlign w:val="center"/>
            <w:hideMark/>
          </w:tcPr>
          <w:p w14:paraId="12DD774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w:t>
            </w:r>
          </w:p>
        </w:tc>
        <w:tc>
          <w:tcPr>
            <w:tcW w:w="852" w:type="dxa"/>
            <w:vAlign w:val="center"/>
            <w:hideMark/>
          </w:tcPr>
          <w:p w14:paraId="5536DF2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w:t>
            </w:r>
          </w:p>
        </w:tc>
        <w:tc>
          <w:tcPr>
            <w:tcW w:w="849" w:type="dxa"/>
            <w:vAlign w:val="center"/>
            <w:hideMark/>
          </w:tcPr>
          <w:p w14:paraId="351C942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w:t>
            </w:r>
          </w:p>
        </w:tc>
        <w:tc>
          <w:tcPr>
            <w:tcW w:w="851" w:type="dxa"/>
            <w:vAlign w:val="center"/>
            <w:hideMark/>
          </w:tcPr>
          <w:p w14:paraId="246C1E4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62D1F3D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-84</w:t>
            </w:r>
          </w:p>
        </w:tc>
      </w:tr>
      <w:tr w:rsidR="00E52378" w:rsidRPr="00C5721F" w14:paraId="70737576" w14:textId="77777777" w:rsidTr="003C14D7">
        <w:trPr>
          <w:trHeight w:val="20"/>
          <w:jc w:val="center"/>
        </w:trPr>
        <w:tc>
          <w:tcPr>
            <w:tcW w:w="0" w:type="auto"/>
            <w:vAlign w:val="center"/>
            <w:hideMark/>
          </w:tcPr>
          <w:p w14:paraId="0E103C3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8. Kerala</w:t>
            </w:r>
          </w:p>
        </w:tc>
        <w:tc>
          <w:tcPr>
            <w:tcW w:w="962" w:type="dxa"/>
            <w:vAlign w:val="center"/>
            <w:hideMark/>
          </w:tcPr>
          <w:p w14:paraId="1FE24F3D"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806A16A"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416B3992"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498C7C9E"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D95866D"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5C52D2F2"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394CCCBF" w14:textId="77777777" w:rsidTr="003C14D7">
        <w:trPr>
          <w:trHeight w:val="20"/>
          <w:jc w:val="center"/>
        </w:trPr>
        <w:tc>
          <w:tcPr>
            <w:tcW w:w="0" w:type="auto"/>
            <w:vAlign w:val="center"/>
            <w:hideMark/>
          </w:tcPr>
          <w:p w14:paraId="186E311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565F327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617</w:t>
            </w:r>
          </w:p>
        </w:tc>
        <w:tc>
          <w:tcPr>
            <w:tcW w:w="851" w:type="dxa"/>
            <w:vAlign w:val="center"/>
            <w:hideMark/>
          </w:tcPr>
          <w:p w14:paraId="1D203F5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787</w:t>
            </w:r>
          </w:p>
        </w:tc>
        <w:tc>
          <w:tcPr>
            <w:tcW w:w="852" w:type="dxa"/>
            <w:vAlign w:val="center"/>
            <w:hideMark/>
          </w:tcPr>
          <w:p w14:paraId="792B08A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972</w:t>
            </w:r>
          </w:p>
        </w:tc>
        <w:tc>
          <w:tcPr>
            <w:tcW w:w="849" w:type="dxa"/>
            <w:vAlign w:val="center"/>
            <w:hideMark/>
          </w:tcPr>
          <w:p w14:paraId="02F8E2C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1175</w:t>
            </w:r>
          </w:p>
        </w:tc>
        <w:tc>
          <w:tcPr>
            <w:tcW w:w="851" w:type="dxa"/>
            <w:vAlign w:val="center"/>
            <w:hideMark/>
          </w:tcPr>
          <w:p w14:paraId="21202DE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1397</w:t>
            </w:r>
          </w:p>
        </w:tc>
        <w:tc>
          <w:tcPr>
            <w:tcW w:w="1276" w:type="dxa"/>
            <w:vAlign w:val="center"/>
            <w:hideMark/>
          </w:tcPr>
          <w:p w14:paraId="6A8CDED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4948</w:t>
            </w:r>
          </w:p>
        </w:tc>
      </w:tr>
      <w:tr w:rsidR="00E52378" w:rsidRPr="00C5721F" w14:paraId="05B01A7D" w14:textId="77777777" w:rsidTr="003C14D7">
        <w:trPr>
          <w:trHeight w:val="20"/>
          <w:jc w:val="center"/>
        </w:trPr>
        <w:tc>
          <w:tcPr>
            <w:tcW w:w="0" w:type="auto"/>
            <w:vAlign w:val="center"/>
            <w:hideMark/>
          </w:tcPr>
          <w:p w14:paraId="5257868A"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02D13D1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612</w:t>
            </w:r>
          </w:p>
        </w:tc>
        <w:tc>
          <w:tcPr>
            <w:tcW w:w="851" w:type="dxa"/>
            <w:vAlign w:val="center"/>
            <w:hideMark/>
          </w:tcPr>
          <w:p w14:paraId="302176D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781</w:t>
            </w:r>
          </w:p>
        </w:tc>
        <w:tc>
          <w:tcPr>
            <w:tcW w:w="852" w:type="dxa"/>
            <w:vAlign w:val="center"/>
            <w:hideMark/>
          </w:tcPr>
          <w:p w14:paraId="0ED90DF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966</w:t>
            </w:r>
          </w:p>
        </w:tc>
        <w:tc>
          <w:tcPr>
            <w:tcW w:w="849" w:type="dxa"/>
            <w:vAlign w:val="center"/>
            <w:hideMark/>
          </w:tcPr>
          <w:p w14:paraId="37FAABB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1171</w:t>
            </w:r>
          </w:p>
        </w:tc>
        <w:tc>
          <w:tcPr>
            <w:tcW w:w="851" w:type="dxa"/>
            <w:vAlign w:val="center"/>
            <w:hideMark/>
          </w:tcPr>
          <w:p w14:paraId="269AF25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1397</w:t>
            </w:r>
          </w:p>
        </w:tc>
        <w:tc>
          <w:tcPr>
            <w:tcW w:w="1276" w:type="dxa"/>
            <w:vAlign w:val="center"/>
            <w:hideMark/>
          </w:tcPr>
          <w:p w14:paraId="214F991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4927</w:t>
            </w:r>
          </w:p>
        </w:tc>
      </w:tr>
      <w:tr w:rsidR="00E52378" w:rsidRPr="00C5721F" w14:paraId="35849475" w14:textId="77777777" w:rsidTr="003C14D7">
        <w:trPr>
          <w:trHeight w:val="20"/>
          <w:jc w:val="center"/>
        </w:trPr>
        <w:tc>
          <w:tcPr>
            <w:tcW w:w="0" w:type="auto"/>
            <w:vAlign w:val="center"/>
            <w:hideMark/>
          </w:tcPr>
          <w:p w14:paraId="4FF4E3C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00D4511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w:t>
            </w:r>
          </w:p>
        </w:tc>
        <w:tc>
          <w:tcPr>
            <w:tcW w:w="851" w:type="dxa"/>
            <w:vAlign w:val="center"/>
            <w:hideMark/>
          </w:tcPr>
          <w:p w14:paraId="6C37D7D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w:t>
            </w:r>
          </w:p>
        </w:tc>
        <w:tc>
          <w:tcPr>
            <w:tcW w:w="852" w:type="dxa"/>
            <w:vAlign w:val="center"/>
            <w:hideMark/>
          </w:tcPr>
          <w:p w14:paraId="35602FF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w:t>
            </w:r>
          </w:p>
        </w:tc>
        <w:tc>
          <w:tcPr>
            <w:tcW w:w="849" w:type="dxa"/>
            <w:vAlign w:val="center"/>
            <w:hideMark/>
          </w:tcPr>
          <w:p w14:paraId="461C180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851" w:type="dxa"/>
            <w:vAlign w:val="center"/>
            <w:hideMark/>
          </w:tcPr>
          <w:p w14:paraId="3ED2987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302FD17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w:t>
            </w:r>
          </w:p>
        </w:tc>
      </w:tr>
      <w:tr w:rsidR="00E52378" w:rsidRPr="00C5721F" w14:paraId="0CB4CF8D" w14:textId="77777777" w:rsidTr="003C14D7">
        <w:trPr>
          <w:trHeight w:val="20"/>
          <w:jc w:val="center"/>
        </w:trPr>
        <w:tc>
          <w:tcPr>
            <w:tcW w:w="0" w:type="auto"/>
            <w:vAlign w:val="center"/>
            <w:hideMark/>
          </w:tcPr>
          <w:p w14:paraId="3A40237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9. Madhya Pradesh</w:t>
            </w:r>
          </w:p>
        </w:tc>
        <w:tc>
          <w:tcPr>
            <w:tcW w:w="962" w:type="dxa"/>
            <w:vAlign w:val="center"/>
            <w:hideMark/>
          </w:tcPr>
          <w:p w14:paraId="499E948E"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63B5E81F"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496D39D"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39410C85"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0F8A2608"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41E1C0F8"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46FA68CD" w14:textId="77777777" w:rsidTr="003C14D7">
        <w:trPr>
          <w:trHeight w:val="20"/>
          <w:jc w:val="center"/>
        </w:trPr>
        <w:tc>
          <w:tcPr>
            <w:tcW w:w="0" w:type="auto"/>
            <w:vAlign w:val="center"/>
            <w:hideMark/>
          </w:tcPr>
          <w:p w14:paraId="0F8B057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635CF39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1955</w:t>
            </w:r>
          </w:p>
        </w:tc>
        <w:tc>
          <w:tcPr>
            <w:tcW w:w="851" w:type="dxa"/>
            <w:vAlign w:val="center"/>
            <w:hideMark/>
          </w:tcPr>
          <w:p w14:paraId="7FF956B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2573</w:t>
            </w:r>
          </w:p>
        </w:tc>
        <w:tc>
          <w:tcPr>
            <w:tcW w:w="852" w:type="dxa"/>
            <w:vAlign w:val="center"/>
            <w:hideMark/>
          </w:tcPr>
          <w:p w14:paraId="1B7FD40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3268</w:t>
            </w:r>
          </w:p>
        </w:tc>
        <w:tc>
          <w:tcPr>
            <w:tcW w:w="849" w:type="dxa"/>
            <w:vAlign w:val="center"/>
            <w:hideMark/>
          </w:tcPr>
          <w:p w14:paraId="11F55FE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4045</w:t>
            </w:r>
          </w:p>
        </w:tc>
        <w:tc>
          <w:tcPr>
            <w:tcW w:w="851" w:type="dxa"/>
            <w:vAlign w:val="center"/>
            <w:hideMark/>
          </w:tcPr>
          <w:p w14:paraId="0D6D724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4914</w:t>
            </w:r>
          </w:p>
        </w:tc>
        <w:tc>
          <w:tcPr>
            <w:tcW w:w="1276" w:type="dxa"/>
            <w:vAlign w:val="center"/>
            <w:hideMark/>
          </w:tcPr>
          <w:p w14:paraId="3AC587E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16755</w:t>
            </w:r>
          </w:p>
        </w:tc>
      </w:tr>
      <w:tr w:rsidR="00E52378" w:rsidRPr="00C5721F" w14:paraId="1E77D735" w14:textId="77777777" w:rsidTr="003C14D7">
        <w:trPr>
          <w:trHeight w:val="20"/>
          <w:jc w:val="center"/>
        </w:trPr>
        <w:tc>
          <w:tcPr>
            <w:tcW w:w="0" w:type="auto"/>
            <w:vAlign w:val="center"/>
            <w:hideMark/>
          </w:tcPr>
          <w:p w14:paraId="0F9364C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248EEEA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1863</w:t>
            </w:r>
          </w:p>
        </w:tc>
        <w:tc>
          <w:tcPr>
            <w:tcW w:w="851" w:type="dxa"/>
            <w:vAlign w:val="center"/>
            <w:hideMark/>
          </w:tcPr>
          <w:p w14:paraId="1A656E6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2455</w:t>
            </w:r>
          </w:p>
        </w:tc>
        <w:tc>
          <w:tcPr>
            <w:tcW w:w="852" w:type="dxa"/>
            <w:vAlign w:val="center"/>
            <w:hideMark/>
          </w:tcPr>
          <w:p w14:paraId="40485B8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3141</w:t>
            </w:r>
          </w:p>
        </w:tc>
        <w:tc>
          <w:tcPr>
            <w:tcW w:w="849" w:type="dxa"/>
            <w:vAlign w:val="center"/>
            <w:hideMark/>
          </w:tcPr>
          <w:p w14:paraId="32ED01A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3928</w:t>
            </w:r>
          </w:p>
        </w:tc>
        <w:tc>
          <w:tcPr>
            <w:tcW w:w="851" w:type="dxa"/>
            <w:vAlign w:val="center"/>
            <w:hideMark/>
          </w:tcPr>
          <w:p w14:paraId="4965E7F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4829</w:t>
            </w:r>
          </w:p>
        </w:tc>
        <w:tc>
          <w:tcPr>
            <w:tcW w:w="1276" w:type="dxa"/>
            <w:vAlign w:val="center"/>
            <w:hideMark/>
          </w:tcPr>
          <w:p w14:paraId="6580EFA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16216</w:t>
            </w:r>
          </w:p>
        </w:tc>
      </w:tr>
      <w:tr w:rsidR="00E52378" w:rsidRPr="00C5721F" w14:paraId="601ED3D5" w14:textId="77777777" w:rsidTr="003C14D7">
        <w:trPr>
          <w:trHeight w:val="20"/>
          <w:jc w:val="center"/>
        </w:trPr>
        <w:tc>
          <w:tcPr>
            <w:tcW w:w="0" w:type="auto"/>
            <w:vAlign w:val="center"/>
            <w:hideMark/>
          </w:tcPr>
          <w:p w14:paraId="7687BC6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5054C04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-92</w:t>
            </w:r>
          </w:p>
        </w:tc>
        <w:tc>
          <w:tcPr>
            <w:tcW w:w="851" w:type="dxa"/>
            <w:vAlign w:val="center"/>
            <w:hideMark/>
          </w:tcPr>
          <w:p w14:paraId="5E61F2A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-118</w:t>
            </w:r>
          </w:p>
        </w:tc>
        <w:tc>
          <w:tcPr>
            <w:tcW w:w="852" w:type="dxa"/>
            <w:vAlign w:val="center"/>
            <w:hideMark/>
          </w:tcPr>
          <w:p w14:paraId="6EA7091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-127</w:t>
            </w:r>
          </w:p>
        </w:tc>
        <w:tc>
          <w:tcPr>
            <w:tcW w:w="849" w:type="dxa"/>
            <w:vAlign w:val="center"/>
            <w:hideMark/>
          </w:tcPr>
          <w:p w14:paraId="1913E2E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-117</w:t>
            </w:r>
          </w:p>
        </w:tc>
        <w:tc>
          <w:tcPr>
            <w:tcW w:w="851" w:type="dxa"/>
            <w:vAlign w:val="center"/>
            <w:hideMark/>
          </w:tcPr>
          <w:p w14:paraId="2AF4E9B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-85</w:t>
            </w:r>
          </w:p>
        </w:tc>
        <w:tc>
          <w:tcPr>
            <w:tcW w:w="1276" w:type="dxa"/>
            <w:vAlign w:val="center"/>
            <w:hideMark/>
          </w:tcPr>
          <w:p w14:paraId="10B7395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-539</w:t>
            </w:r>
          </w:p>
        </w:tc>
      </w:tr>
      <w:tr w:rsidR="00E52378" w:rsidRPr="00C5721F" w14:paraId="1FF8669F" w14:textId="77777777" w:rsidTr="003C14D7">
        <w:trPr>
          <w:trHeight w:val="20"/>
          <w:jc w:val="center"/>
        </w:trPr>
        <w:tc>
          <w:tcPr>
            <w:tcW w:w="0" w:type="auto"/>
            <w:vAlign w:val="center"/>
            <w:hideMark/>
          </w:tcPr>
          <w:p w14:paraId="19B1727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10. Maharashtra</w:t>
            </w:r>
          </w:p>
        </w:tc>
        <w:tc>
          <w:tcPr>
            <w:tcW w:w="962" w:type="dxa"/>
            <w:vAlign w:val="center"/>
            <w:hideMark/>
          </w:tcPr>
          <w:p w14:paraId="47800748"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15A431C5"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7161986"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05DE040C"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314DF616"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16E66689"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49B49172" w14:textId="77777777" w:rsidTr="003C14D7">
        <w:trPr>
          <w:trHeight w:val="20"/>
          <w:jc w:val="center"/>
        </w:trPr>
        <w:tc>
          <w:tcPr>
            <w:tcW w:w="0" w:type="auto"/>
            <w:vAlign w:val="center"/>
            <w:hideMark/>
          </w:tcPr>
          <w:p w14:paraId="178594D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7AACB77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1522</w:t>
            </w:r>
          </w:p>
        </w:tc>
        <w:tc>
          <w:tcPr>
            <w:tcW w:w="851" w:type="dxa"/>
            <w:vAlign w:val="center"/>
            <w:hideMark/>
          </w:tcPr>
          <w:p w14:paraId="4F07B15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2065</w:t>
            </w:r>
          </w:p>
        </w:tc>
        <w:tc>
          <w:tcPr>
            <w:tcW w:w="852" w:type="dxa"/>
            <w:vAlign w:val="center"/>
            <w:hideMark/>
          </w:tcPr>
          <w:p w14:paraId="752A3CC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2680</w:t>
            </w:r>
          </w:p>
        </w:tc>
        <w:tc>
          <w:tcPr>
            <w:tcW w:w="849" w:type="dxa"/>
            <w:vAlign w:val="center"/>
            <w:hideMark/>
          </w:tcPr>
          <w:p w14:paraId="706A7BA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3380</w:t>
            </w:r>
          </w:p>
        </w:tc>
        <w:tc>
          <w:tcPr>
            <w:tcW w:w="851" w:type="dxa"/>
            <w:vAlign w:val="center"/>
            <w:hideMark/>
          </w:tcPr>
          <w:p w14:paraId="40169C1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4169</w:t>
            </w:r>
          </w:p>
        </w:tc>
        <w:tc>
          <w:tcPr>
            <w:tcW w:w="1276" w:type="dxa"/>
            <w:vAlign w:val="center"/>
            <w:hideMark/>
          </w:tcPr>
          <w:p w14:paraId="3E6F2A3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13816</w:t>
            </w:r>
          </w:p>
        </w:tc>
      </w:tr>
      <w:tr w:rsidR="00E52378" w:rsidRPr="00C5721F" w14:paraId="7F212C8D" w14:textId="77777777" w:rsidTr="003C14D7">
        <w:trPr>
          <w:trHeight w:val="20"/>
          <w:jc w:val="center"/>
        </w:trPr>
        <w:tc>
          <w:tcPr>
            <w:tcW w:w="0" w:type="auto"/>
            <w:vAlign w:val="center"/>
            <w:hideMark/>
          </w:tcPr>
          <w:p w14:paraId="2F3CA519"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44966C0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1392</w:t>
            </w:r>
          </w:p>
        </w:tc>
        <w:tc>
          <w:tcPr>
            <w:tcW w:w="851" w:type="dxa"/>
            <w:vAlign w:val="center"/>
            <w:hideMark/>
          </w:tcPr>
          <w:p w14:paraId="59BB080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1895</w:t>
            </w:r>
          </w:p>
        </w:tc>
        <w:tc>
          <w:tcPr>
            <w:tcW w:w="852" w:type="dxa"/>
            <w:vAlign w:val="center"/>
            <w:hideMark/>
          </w:tcPr>
          <w:p w14:paraId="772F08C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2492</w:t>
            </w:r>
          </w:p>
        </w:tc>
        <w:tc>
          <w:tcPr>
            <w:tcW w:w="849" w:type="dxa"/>
            <w:vAlign w:val="center"/>
            <w:hideMark/>
          </w:tcPr>
          <w:p w14:paraId="62714C4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3197</w:t>
            </w:r>
          </w:p>
        </w:tc>
        <w:tc>
          <w:tcPr>
            <w:tcW w:w="851" w:type="dxa"/>
            <w:vAlign w:val="center"/>
            <w:hideMark/>
          </w:tcPr>
          <w:p w14:paraId="2F89303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4020</w:t>
            </w:r>
          </w:p>
        </w:tc>
        <w:tc>
          <w:tcPr>
            <w:tcW w:w="1276" w:type="dxa"/>
            <w:vAlign w:val="center"/>
            <w:hideMark/>
          </w:tcPr>
          <w:p w14:paraId="3D0B8CB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12996</w:t>
            </w:r>
          </w:p>
        </w:tc>
      </w:tr>
      <w:tr w:rsidR="00E52378" w:rsidRPr="00C5721F" w14:paraId="5BE2C16D" w14:textId="77777777" w:rsidTr="003C14D7">
        <w:trPr>
          <w:trHeight w:val="20"/>
          <w:jc w:val="center"/>
        </w:trPr>
        <w:tc>
          <w:tcPr>
            <w:tcW w:w="0" w:type="auto"/>
            <w:vAlign w:val="center"/>
            <w:hideMark/>
          </w:tcPr>
          <w:p w14:paraId="36B71DA7"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29F9500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-130</w:t>
            </w:r>
          </w:p>
        </w:tc>
        <w:tc>
          <w:tcPr>
            <w:tcW w:w="851" w:type="dxa"/>
            <w:vAlign w:val="center"/>
            <w:hideMark/>
          </w:tcPr>
          <w:p w14:paraId="5C801DD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-170</w:t>
            </w:r>
          </w:p>
        </w:tc>
        <w:tc>
          <w:tcPr>
            <w:tcW w:w="852" w:type="dxa"/>
            <w:vAlign w:val="center"/>
            <w:hideMark/>
          </w:tcPr>
          <w:p w14:paraId="3A06BB1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-188</w:t>
            </w:r>
          </w:p>
        </w:tc>
        <w:tc>
          <w:tcPr>
            <w:tcW w:w="849" w:type="dxa"/>
            <w:vAlign w:val="center"/>
            <w:hideMark/>
          </w:tcPr>
          <w:p w14:paraId="2F45563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-183</w:t>
            </w:r>
          </w:p>
        </w:tc>
        <w:tc>
          <w:tcPr>
            <w:tcW w:w="851" w:type="dxa"/>
            <w:vAlign w:val="center"/>
            <w:hideMark/>
          </w:tcPr>
          <w:p w14:paraId="1208B66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-149</w:t>
            </w:r>
          </w:p>
        </w:tc>
        <w:tc>
          <w:tcPr>
            <w:tcW w:w="1276" w:type="dxa"/>
            <w:vAlign w:val="center"/>
            <w:hideMark/>
          </w:tcPr>
          <w:p w14:paraId="73493E2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-820</w:t>
            </w:r>
          </w:p>
        </w:tc>
      </w:tr>
      <w:tr w:rsidR="00E52378" w:rsidRPr="00C5721F" w14:paraId="21D9A3D3" w14:textId="77777777" w:rsidTr="003C14D7">
        <w:trPr>
          <w:trHeight w:val="20"/>
          <w:jc w:val="center"/>
        </w:trPr>
        <w:tc>
          <w:tcPr>
            <w:tcW w:w="0" w:type="auto"/>
            <w:vAlign w:val="center"/>
            <w:hideMark/>
          </w:tcPr>
          <w:p w14:paraId="2523494B"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11. Orissa</w:t>
            </w:r>
          </w:p>
        </w:tc>
        <w:tc>
          <w:tcPr>
            <w:tcW w:w="962" w:type="dxa"/>
            <w:vAlign w:val="center"/>
            <w:hideMark/>
          </w:tcPr>
          <w:p w14:paraId="55BF7BCA"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DFCE168"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9601145"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558370A3"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E84FE9F"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3F28F8B2"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57E1DE91" w14:textId="77777777" w:rsidTr="003C14D7">
        <w:trPr>
          <w:trHeight w:val="20"/>
          <w:jc w:val="center"/>
        </w:trPr>
        <w:tc>
          <w:tcPr>
            <w:tcW w:w="0" w:type="auto"/>
            <w:vAlign w:val="center"/>
            <w:hideMark/>
          </w:tcPr>
          <w:p w14:paraId="356EA35B"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707D9B6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1651</w:t>
            </w:r>
          </w:p>
        </w:tc>
        <w:tc>
          <w:tcPr>
            <w:tcW w:w="851" w:type="dxa"/>
            <w:vAlign w:val="center"/>
            <w:hideMark/>
          </w:tcPr>
          <w:p w14:paraId="1DBF5A8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2098</w:t>
            </w:r>
          </w:p>
        </w:tc>
        <w:tc>
          <w:tcPr>
            <w:tcW w:w="852" w:type="dxa"/>
            <w:vAlign w:val="center"/>
            <w:hideMark/>
          </w:tcPr>
          <w:p w14:paraId="5100584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2587</w:t>
            </w:r>
          </w:p>
        </w:tc>
        <w:tc>
          <w:tcPr>
            <w:tcW w:w="849" w:type="dxa"/>
            <w:vAlign w:val="center"/>
            <w:hideMark/>
          </w:tcPr>
          <w:p w14:paraId="1547DCA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3124</w:t>
            </w:r>
          </w:p>
        </w:tc>
        <w:tc>
          <w:tcPr>
            <w:tcW w:w="851" w:type="dxa"/>
            <w:vAlign w:val="center"/>
            <w:hideMark/>
          </w:tcPr>
          <w:p w14:paraId="00E907B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3710</w:t>
            </w:r>
          </w:p>
        </w:tc>
        <w:tc>
          <w:tcPr>
            <w:tcW w:w="1276" w:type="dxa"/>
            <w:vAlign w:val="center"/>
            <w:hideMark/>
          </w:tcPr>
          <w:p w14:paraId="06D942B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13170</w:t>
            </w:r>
          </w:p>
        </w:tc>
      </w:tr>
      <w:tr w:rsidR="00E52378" w:rsidRPr="00C5721F" w14:paraId="14DFE400" w14:textId="77777777" w:rsidTr="003C14D7">
        <w:trPr>
          <w:trHeight w:val="20"/>
          <w:jc w:val="center"/>
        </w:trPr>
        <w:tc>
          <w:tcPr>
            <w:tcW w:w="0" w:type="auto"/>
            <w:vAlign w:val="center"/>
            <w:hideMark/>
          </w:tcPr>
          <w:p w14:paraId="0F2455D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7FFD6C7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1640</w:t>
            </w:r>
          </w:p>
        </w:tc>
        <w:tc>
          <w:tcPr>
            <w:tcW w:w="851" w:type="dxa"/>
            <w:vAlign w:val="center"/>
            <w:hideMark/>
          </w:tcPr>
          <w:p w14:paraId="383647B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2085</w:t>
            </w:r>
          </w:p>
        </w:tc>
        <w:tc>
          <w:tcPr>
            <w:tcW w:w="852" w:type="dxa"/>
            <w:vAlign w:val="center"/>
            <w:hideMark/>
          </w:tcPr>
          <w:p w14:paraId="156A7D3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2574</w:t>
            </w:r>
          </w:p>
        </w:tc>
        <w:tc>
          <w:tcPr>
            <w:tcW w:w="849" w:type="dxa"/>
            <w:vAlign w:val="center"/>
            <w:hideMark/>
          </w:tcPr>
          <w:p w14:paraId="31528E3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3116</w:t>
            </w:r>
          </w:p>
        </w:tc>
        <w:tc>
          <w:tcPr>
            <w:tcW w:w="851" w:type="dxa"/>
            <w:vAlign w:val="center"/>
            <w:hideMark/>
          </w:tcPr>
          <w:p w14:paraId="472752D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3710</w:t>
            </w:r>
          </w:p>
        </w:tc>
        <w:tc>
          <w:tcPr>
            <w:tcW w:w="1276" w:type="dxa"/>
            <w:vAlign w:val="center"/>
            <w:hideMark/>
          </w:tcPr>
          <w:p w14:paraId="4AA0C62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13125</w:t>
            </w:r>
          </w:p>
        </w:tc>
      </w:tr>
      <w:tr w:rsidR="00E52378" w:rsidRPr="00C5721F" w14:paraId="0D40C667" w14:textId="77777777" w:rsidTr="003C14D7">
        <w:trPr>
          <w:trHeight w:val="20"/>
          <w:jc w:val="center"/>
        </w:trPr>
        <w:tc>
          <w:tcPr>
            <w:tcW w:w="0" w:type="auto"/>
            <w:vAlign w:val="center"/>
            <w:hideMark/>
          </w:tcPr>
          <w:p w14:paraId="6C3A8F3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1D9437A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w:t>
            </w:r>
          </w:p>
        </w:tc>
        <w:tc>
          <w:tcPr>
            <w:tcW w:w="851" w:type="dxa"/>
            <w:vAlign w:val="center"/>
            <w:hideMark/>
          </w:tcPr>
          <w:p w14:paraId="5A28987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852" w:type="dxa"/>
            <w:vAlign w:val="center"/>
            <w:hideMark/>
          </w:tcPr>
          <w:p w14:paraId="626E55B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849" w:type="dxa"/>
            <w:vAlign w:val="center"/>
            <w:hideMark/>
          </w:tcPr>
          <w:p w14:paraId="3DDC103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w:t>
            </w:r>
          </w:p>
        </w:tc>
        <w:tc>
          <w:tcPr>
            <w:tcW w:w="851" w:type="dxa"/>
            <w:vAlign w:val="center"/>
            <w:hideMark/>
          </w:tcPr>
          <w:p w14:paraId="3E66348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71F98A6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w:t>
            </w:r>
          </w:p>
        </w:tc>
      </w:tr>
      <w:tr w:rsidR="00E52378" w:rsidRPr="00C5721F" w14:paraId="7699B645" w14:textId="77777777" w:rsidTr="003C14D7">
        <w:trPr>
          <w:trHeight w:val="20"/>
          <w:jc w:val="center"/>
        </w:trPr>
        <w:tc>
          <w:tcPr>
            <w:tcW w:w="0" w:type="auto"/>
            <w:vAlign w:val="center"/>
            <w:hideMark/>
          </w:tcPr>
          <w:p w14:paraId="09081D7C"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12. Punjab</w:t>
            </w:r>
          </w:p>
        </w:tc>
        <w:tc>
          <w:tcPr>
            <w:tcW w:w="962" w:type="dxa"/>
            <w:vAlign w:val="center"/>
            <w:hideMark/>
          </w:tcPr>
          <w:p w14:paraId="175FDD24"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3B35F4E"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235C1A24"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1F6392A6"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9FDAD4A"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23EDD88F"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39A9D8A7" w14:textId="77777777" w:rsidTr="003C14D7">
        <w:trPr>
          <w:trHeight w:val="20"/>
          <w:jc w:val="center"/>
        </w:trPr>
        <w:tc>
          <w:tcPr>
            <w:tcW w:w="0" w:type="auto"/>
            <w:vAlign w:val="center"/>
            <w:hideMark/>
          </w:tcPr>
          <w:p w14:paraId="01F26A7C"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4BEBBC7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2679</w:t>
            </w:r>
          </w:p>
        </w:tc>
        <w:tc>
          <w:tcPr>
            <w:tcW w:w="851" w:type="dxa"/>
            <w:vAlign w:val="center"/>
            <w:hideMark/>
          </w:tcPr>
          <w:p w14:paraId="2DA8E0A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3384</w:t>
            </w:r>
          </w:p>
        </w:tc>
        <w:tc>
          <w:tcPr>
            <w:tcW w:w="852" w:type="dxa"/>
            <w:vAlign w:val="center"/>
            <w:hideMark/>
          </w:tcPr>
          <w:p w14:paraId="42BFD1A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4160</w:t>
            </w:r>
          </w:p>
        </w:tc>
        <w:tc>
          <w:tcPr>
            <w:tcW w:w="849" w:type="dxa"/>
            <w:vAlign w:val="center"/>
            <w:hideMark/>
          </w:tcPr>
          <w:p w14:paraId="53DA726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5010</w:t>
            </w:r>
          </w:p>
        </w:tc>
        <w:tc>
          <w:tcPr>
            <w:tcW w:w="851" w:type="dxa"/>
            <w:vAlign w:val="center"/>
            <w:hideMark/>
          </w:tcPr>
          <w:p w14:paraId="7E63632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5939</w:t>
            </w:r>
          </w:p>
        </w:tc>
        <w:tc>
          <w:tcPr>
            <w:tcW w:w="1276" w:type="dxa"/>
            <w:vAlign w:val="center"/>
            <w:hideMark/>
          </w:tcPr>
          <w:p w14:paraId="45DFE6E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21172</w:t>
            </w:r>
          </w:p>
        </w:tc>
      </w:tr>
      <w:tr w:rsidR="00E52378" w:rsidRPr="00C5721F" w14:paraId="5AD1B123" w14:textId="77777777" w:rsidTr="003C14D7">
        <w:trPr>
          <w:trHeight w:val="20"/>
          <w:jc w:val="center"/>
        </w:trPr>
        <w:tc>
          <w:tcPr>
            <w:tcW w:w="0" w:type="auto"/>
            <w:vAlign w:val="center"/>
            <w:hideMark/>
          </w:tcPr>
          <w:p w14:paraId="43E9430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66BC4A0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2670</w:t>
            </w:r>
          </w:p>
        </w:tc>
        <w:tc>
          <w:tcPr>
            <w:tcW w:w="851" w:type="dxa"/>
            <w:vAlign w:val="center"/>
            <w:hideMark/>
          </w:tcPr>
          <w:p w14:paraId="60704E5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3378</w:t>
            </w:r>
          </w:p>
        </w:tc>
        <w:tc>
          <w:tcPr>
            <w:tcW w:w="852" w:type="dxa"/>
            <w:vAlign w:val="center"/>
            <w:hideMark/>
          </w:tcPr>
          <w:p w14:paraId="4F799BF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4154</w:t>
            </w:r>
          </w:p>
        </w:tc>
        <w:tc>
          <w:tcPr>
            <w:tcW w:w="849" w:type="dxa"/>
            <w:vAlign w:val="center"/>
            <w:hideMark/>
          </w:tcPr>
          <w:p w14:paraId="07606BE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5006</w:t>
            </w:r>
          </w:p>
        </w:tc>
        <w:tc>
          <w:tcPr>
            <w:tcW w:w="851" w:type="dxa"/>
            <w:vAlign w:val="center"/>
            <w:hideMark/>
          </w:tcPr>
          <w:p w14:paraId="19195B3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5939</w:t>
            </w:r>
          </w:p>
        </w:tc>
        <w:tc>
          <w:tcPr>
            <w:tcW w:w="1276" w:type="dxa"/>
            <w:vAlign w:val="center"/>
            <w:hideMark/>
          </w:tcPr>
          <w:p w14:paraId="7CCCE09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21147</w:t>
            </w:r>
          </w:p>
        </w:tc>
      </w:tr>
      <w:tr w:rsidR="00E52378" w:rsidRPr="00C5721F" w14:paraId="036D3CC2" w14:textId="77777777" w:rsidTr="003C14D7">
        <w:trPr>
          <w:trHeight w:val="20"/>
          <w:jc w:val="center"/>
        </w:trPr>
        <w:tc>
          <w:tcPr>
            <w:tcW w:w="0" w:type="auto"/>
            <w:vAlign w:val="center"/>
            <w:hideMark/>
          </w:tcPr>
          <w:p w14:paraId="39857E48"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514A5F9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w:t>
            </w:r>
          </w:p>
        </w:tc>
        <w:tc>
          <w:tcPr>
            <w:tcW w:w="851" w:type="dxa"/>
            <w:vAlign w:val="center"/>
            <w:hideMark/>
          </w:tcPr>
          <w:p w14:paraId="2D419F4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w:t>
            </w:r>
          </w:p>
        </w:tc>
        <w:tc>
          <w:tcPr>
            <w:tcW w:w="852" w:type="dxa"/>
            <w:vAlign w:val="center"/>
            <w:hideMark/>
          </w:tcPr>
          <w:p w14:paraId="49888A4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w:t>
            </w:r>
          </w:p>
        </w:tc>
        <w:tc>
          <w:tcPr>
            <w:tcW w:w="849" w:type="dxa"/>
            <w:vAlign w:val="center"/>
            <w:hideMark/>
          </w:tcPr>
          <w:p w14:paraId="162DF96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851" w:type="dxa"/>
            <w:vAlign w:val="center"/>
            <w:hideMark/>
          </w:tcPr>
          <w:p w14:paraId="7CC5809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3FE3061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w:t>
            </w:r>
          </w:p>
        </w:tc>
      </w:tr>
      <w:tr w:rsidR="00E52378" w:rsidRPr="00C5721F" w14:paraId="781D0BDA" w14:textId="77777777" w:rsidTr="003C14D7">
        <w:trPr>
          <w:trHeight w:val="20"/>
          <w:jc w:val="center"/>
        </w:trPr>
        <w:tc>
          <w:tcPr>
            <w:tcW w:w="0" w:type="auto"/>
            <w:vAlign w:val="center"/>
            <w:hideMark/>
          </w:tcPr>
          <w:p w14:paraId="10C08BE3"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13. Rajasthan</w:t>
            </w:r>
          </w:p>
        </w:tc>
        <w:tc>
          <w:tcPr>
            <w:tcW w:w="962" w:type="dxa"/>
            <w:vAlign w:val="center"/>
            <w:hideMark/>
          </w:tcPr>
          <w:p w14:paraId="45C339CA"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6D8CC84E"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4CED54F1"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47E07E16"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0A51F859"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05B12675"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3226E440" w14:textId="77777777" w:rsidTr="003C14D7">
        <w:trPr>
          <w:trHeight w:val="20"/>
          <w:jc w:val="center"/>
        </w:trPr>
        <w:tc>
          <w:tcPr>
            <w:tcW w:w="0" w:type="auto"/>
            <w:vAlign w:val="center"/>
            <w:hideMark/>
          </w:tcPr>
          <w:p w14:paraId="0D5C90A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3325094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1823</w:t>
            </w:r>
          </w:p>
        </w:tc>
        <w:tc>
          <w:tcPr>
            <w:tcW w:w="851" w:type="dxa"/>
            <w:vAlign w:val="center"/>
            <w:hideMark/>
          </w:tcPr>
          <w:p w14:paraId="2EE23A7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2379</w:t>
            </w:r>
          </w:p>
        </w:tc>
        <w:tc>
          <w:tcPr>
            <w:tcW w:w="852" w:type="dxa"/>
            <w:vAlign w:val="center"/>
            <w:hideMark/>
          </w:tcPr>
          <w:p w14:paraId="37E8E3B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3000</w:t>
            </w:r>
          </w:p>
        </w:tc>
        <w:tc>
          <w:tcPr>
            <w:tcW w:w="849" w:type="dxa"/>
            <w:vAlign w:val="center"/>
            <w:hideMark/>
          </w:tcPr>
          <w:p w14:paraId="7C755F3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3691</w:t>
            </w:r>
          </w:p>
        </w:tc>
        <w:tc>
          <w:tcPr>
            <w:tcW w:w="851" w:type="dxa"/>
            <w:vAlign w:val="center"/>
            <w:hideMark/>
          </w:tcPr>
          <w:p w14:paraId="3DD38CF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4460</w:t>
            </w:r>
          </w:p>
        </w:tc>
        <w:tc>
          <w:tcPr>
            <w:tcW w:w="1276" w:type="dxa"/>
            <w:vAlign w:val="center"/>
            <w:hideMark/>
          </w:tcPr>
          <w:p w14:paraId="77D49A0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15353</w:t>
            </w:r>
          </w:p>
        </w:tc>
      </w:tr>
      <w:tr w:rsidR="00E52378" w:rsidRPr="00C5721F" w14:paraId="5489D282" w14:textId="77777777" w:rsidTr="003C14D7">
        <w:trPr>
          <w:trHeight w:val="20"/>
          <w:jc w:val="center"/>
        </w:trPr>
        <w:tc>
          <w:tcPr>
            <w:tcW w:w="0" w:type="auto"/>
            <w:vAlign w:val="center"/>
            <w:hideMark/>
          </w:tcPr>
          <w:p w14:paraId="190F4B16"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7AC04AA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1752</w:t>
            </w:r>
          </w:p>
        </w:tc>
        <w:tc>
          <w:tcPr>
            <w:tcW w:w="851" w:type="dxa"/>
            <w:vAlign w:val="center"/>
            <w:hideMark/>
          </w:tcPr>
          <w:p w14:paraId="3DFDDE3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2287</w:t>
            </w:r>
          </w:p>
        </w:tc>
        <w:tc>
          <w:tcPr>
            <w:tcW w:w="852" w:type="dxa"/>
            <w:vAlign w:val="center"/>
            <w:hideMark/>
          </w:tcPr>
          <w:p w14:paraId="4F419D5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2898</w:t>
            </w:r>
          </w:p>
        </w:tc>
        <w:tc>
          <w:tcPr>
            <w:tcW w:w="849" w:type="dxa"/>
            <w:vAlign w:val="center"/>
            <w:hideMark/>
          </w:tcPr>
          <w:p w14:paraId="233E24D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3594</w:t>
            </w:r>
          </w:p>
        </w:tc>
        <w:tc>
          <w:tcPr>
            <w:tcW w:w="851" w:type="dxa"/>
            <w:vAlign w:val="center"/>
            <w:hideMark/>
          </w:tcPr>
          <w:p w14:paraId="221921B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4383</w:t>
            </w:r>
          </w:p>
        </w:tc>
        <w:tc>
          <w:tcPr>
            <w:tcW w:w="1276" w:type="dxa"/>
            <w:vAlign w:val="center"/>
            <w:hideMark/>
          </w:tcPr>
          <w:p w14:paraId="392ED40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14914</w:t>
            </w:r>
          </w:p>
        </w:tc>
      </w:tr>
      <w:tr w:rsidR="00E52378" w:rsidRPr="00C5721F" w14:paraId="4C2FDCBA" w14:textId="77777777" w:rsidTr="003C14D7">
        <w:trPr>
          <w:trHeight w:val="20"/>
          <w:jc w:val="center"/>
        </w:trPr>
        <w:tc>
          <w:tcPr>
            <w:tcW w:w="0" w:type="auto"/>
            <w:vAlign w:val="center"/>
            <w:hideMark/>
          </w:tcPr>
          <w:p w14:paraId="465DB29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139A5F1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-71</w:t>
            </w:r>
          </w:p>
        </w:tc>
        <w:tc>
          <w:tcPr>
            <w:tcW w:w="851" w:type="dxa"/>
            <w:vAlign w:val="center"/>
            <w:hideMark/>
          </w:tcPr>
          <w:p w14:paraId="243EF3B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-92</w:t>
            </w:r>
          </w:p>
        </w:tc>
        <w:tc>
          <w:tcPr>
            <w:tcW w:w="852" w:type="dxa"/>
            <w:vAlign w:val="center"/>
            <w:hideMark/>
          </w:tcPr>
          <w:p w14:paraId="1E1763D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-102</w:t>
            </w:r>
          </w:p>
        </w:tc>
        <w:tc>
          <w:tcPr>
            <w:tcW w:w="849" w:type="dxa"/>
            <w:vAlign w:val="center"/>
            <w:hideMark/>
          </w:tcPr>
          <w:p w14:paraId="025E95E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w:t>
            </w:r>
          </w:p>
        </w:tc>
        <w:tc>
          <w:tcPr>
            <w:tcW w:w="851" w:type="dxa"/>
            <w:vAlign w:val="center"/>
            <w:hideMark/>
          </w:tcPr>
          <w:p w14:paraId="01A8EA5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-77</w:t>
            </w:r>
          </w:p>
        </w:tc>
        <w:tc>
          <w:tcPr>
            <w:tcW w:w="1276" w:type="dxa"/>
            <w:vAlign w:val="center"/>
            <w:hideMark/>
          </w:tcPr>
          <w:p w14:paraId="4832493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-439</w:t>
            </w:r>
          </w:p>
        </w:tc>
      </w:tr>
      <w:tr w:rsidR="00E52378" w:rsidRPr="00C5721F" w14:paraId="40E22E06" w14:textId="77777777" w:rsidTr="003C14D7">
        <w:trPr>
          <w:trHeight w:val="20"/>
          <w:jc w:val="center"/>
        </w:trPr>
        <w:tc>
          <w:tcPr>
            <w:tcW w:w="0" w:type="auto"/>
            <w:vAlign w:val="center"/>
            <w:hideMark/>
          </w:tcPr>
          <w:p w14:paraId="6333AE2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14. Tamil Nadu</w:t>
            </w:r>
          </w:p>
        </w:tc>
        <w:tc>
          <w:tcPr>
            <w:tcW w:w="962" w:type="dxa"/>
            <w:vAlign w:val="center"/>
            <w:hideMark/>
          </w:tcPr>
          <w:p w14:paraId="50ADCFAF"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37055686"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62D5265F"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262E0698"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EBFC744"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2E4C5193"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77E92C38" w14:textId="77777777" w:rsidTr="003C14D7">
        <w:trPr>
          <w:trHeight w:val="20"/>
          <w:jc w:val="center"/>
        </w:trPr>
        <w:tc>
          <w:tcPr>
            <w:tcW w:w="0" w:type="auto"/>
            <w:vAlign w:val="center"/>
            <w:hideMark/>
          </w:tcPr>
          <w:p w14:paraId="400C69C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3743E49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1344</w:t>
            </w:r>
          </w:p>
        </w:tc>
        <w:tc>
          <w:tcPr>
            <w:tcW w:w="851" w:type="dxa"/>
            <w:vAlign w:val="center"/>
            <w:hideMark/>
          </w:tcPr>
          <w:p w14:paraId="42A47B9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1697</w:t>
            </w:r>
          </w:p>
        </w:tc>
        <w:tc>
          <w:tcPr>
            <w:tcW w:w="852" w:type="dxa"/>
            <w:vAlign w:val="center"/>
            <w:hideMark/>
          </w:tcPr>
          <w:p w14:paraId="3B2760A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2086</w:t>
            </w:r>
          </w:p>
        </w:tc>
        <w:tc>
          <w:tcPr>
            <w:tcW w:w="849" w:type="dxa"/>
            <w:vAlign w:val="center"/>
            <w:hideMark/>
          </w:tcPr>
          <w:p w14:paraId="70B38AA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2509</w:t>
            </w:r>
          </w:p>
        </w:tc>
        <w:tc>
          <w:tcPr>
            <w:tcW w:w="851" w:type="dxa"/>
            <w:vAlign w:val="center"/>
            <w:hideMark/>
          </w:tcPr>
          <w:p w14:paraId="32DA49E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2970</w:t>
            </w:r>
          </w:p>
        </w:tc>
        <w:tc>
          <w:tcPr>
            <w:tcW w:w="1276" w:type="dxa"/>
            <w:vAlign w:val="center"/>
            <w:hideMark/>
          </w:tcPr>
          <w:p w14:paraId="7B5145A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10606</w:t>
            </w:r>
          </w:p>
        </w:tc>
      </w:tr>
      <w:tr w:rsidR="00E52378" w:rsidRPr="00C5721F" w14:paraId="6DDFEF7F" w14:textId="77777777" w:rsidTr="003C14D7">
        <w:trPr>
          <w:trHeight w:val="20"/>
          <w:jc w:val="center"/>
        </w:trPr>
        <w:tc>
          <w:tcPr>
            <w:tcW w:w="0" w:type="auto"/>
            <w:vAlign w:val="center"/>
            <w:hideMark/>
          </w:tcPr>
          <w:p w14:paraId="47524E9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3B9CCBA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1341</w:t>
            </w:r>
          </w:p>
        </w:tc>
        <w:tc>
          <w:tcPr>
            <w:tcW w:w="851" w:type="dxa"/>
            <w:vAlign w:val="center"/>
            <w:hideMark/>
          </w:tcPr>
          <w:p w14:paraId="093D50E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1693</w:t>
            </w:r>
          </w:p>
        </w:tc>
        <w:tc>
          <w:tcPr>
            <w:tcW w:w="852" w:type="dxa"/>
            <w:vAlign w:val="center"/>
            <w:hideMark/>
          </w:tcPr>
          <w:p w14:paraId="1055B79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2082</w:t>
            </w:r>
          </w:p>
        </w:tc>
        <w:tc>
          <w:tcPr>
            <w:tcW w:w="849" w:type="dxa"/>
            <w:vAlign w:val="center"/>
            <w:hideMark/>
          </w:tcPr>
          <w:p w14:paraId="436FDCA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2507</w:t>
            </w:r>
          </w:p>
        </w:tc>
        <w:tc>
          <w:tcPr>
            <w:tcW w:w="851" w:type="dxa"/>
            <w:vAlign w:val="center"/>
            <w:hideMark/>
          </w:tcPr>
          <w:p w14:paraId="3570447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2970</w:t>
            </w:r>
          </w:p>
        </w:tc>
        <w:tc>
          <w:tcPr>
            <w:tcW w:w="1276" w:type="dxa"/>
            <w:vAlign w:val="center"/>
            <w:hideMark/>
          </w:tcPr>
          <w:p w14:paraId="2EFE53C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10593</w:t>
            </w:r>
          </w:p>
        </w:tc>
      </w:tr>
      <w:tr w:rsidR="00E52378" w:rsidRPr="00C5721F" w14:paraId="20F72F01" w14:textId="77777777" w:rsidTr="003C14D7">
        <w:trPr>
          <w:trHeight w:val="20"/>
          <w:jc w:val="center"/>
        </w:trPr>
        <w:tc>
          <w:tcPr>
            <w:tcW w:w="0" w:type="auto"/>
            <w:vAlign w:val="center"/>
            <w:hideMark/>
          </w:tcPr>
          <w:p w14:paraId="42F3D9EA"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1FFBCCB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851" w:type="dxa"/>
            <w:vAlign w:val="center"/>
            <w:hideMark/>
          </w:tcPr>
          <w:p w14:paraId="19EA234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852" w:type="dxa"/>
            <w:vAlign w:val="center"/>
            <w:hideMark/>
          </w:tcPr>
          <w:p w14:paraId="4657887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849" w:type="dxa"/>
            <w:vAlign w:val="center"/>
            <w:hideMark/>
          </w:tcPr>
          <w:p w14:paraId="271A65B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w:t>
            </w:r>
          </w:p>
        </w:tc>
        <w:tc>
          <w:tcPr>
            <w:tcW w:w="851" w:type="dxa"/>
            <w:vAlign w:val="center"/>
            <w:hideMark/>
          </w:tcPr>
          <w:p w14:paraId="3ABCF15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7D82E0C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r>
      <w:tr w:rsidR="00E52378" w:rsidRPr="00C5721F" w14:paraId="549B6DE6" w14:textId="77777777" w:rsidTr="003C14D7">
        <w:trPr>
          <w:trHeight w:val="20"/>
          <w:jc w:val="center"/>
        </w:trPr>
        <w:tc>
          <w:tcPr>
            <w:tcW w:w="0" w:type="auto"/>
            <w:vAlign w:val="center"/>
            <w:hideMark/>
          </w:tcPr>
          <w:p w14:paraId="45D3100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15. Uttar Pradesh</w:t>
            </w:r>
          </w:p>
        </w:tc>
        <w:tc>
          <w:tcPr>
            <w:tcW w:w="962" w:type="dxa"/>
            <w:vAlign w:val="center"/>
            <w:hideMark/>
          </w:tcPr>
          <w:p w14:paraId="4D1BC8FE"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3DFAA54B"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53A41319"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587D92A7"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646FF213"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35A6A1D6"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732E9E2E" w14:textId="77777777" w:rsidTr="003C14D7">
        <w:trPr>
          <w:trHeight w:val="20"/>
          <w:jc w:val="center"/>
        </w:trPr>
        <w:tc>
          <w:tcPr>
            <w:tcW w:w="0" w:type="auto"/>
            <w:vAlign w:val="center"/>
            <w:hideMark/>
          </w:tcPr>
          <w:p w14:paraId="69D4049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05C2091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6659</w:t>
            </w:r>
          </w:p>
        </w:tc>
        <w:tc>
          <w:tcPr>
            <w:tcW w:w="851" w:type="dxa"/>
            <w:vAlign w:val="center"/>
            <w:hideMark/>
          </w:tcPr>
          <w:p w14:paraId="7FE3ECE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8624</w:t>
            </w:r>
          </w:p>
        </w:tc>
        <w:tc>
          <w:tcPr>
            <w:tcW w:w="852" w:type="dxa"/>
            <w:vAlign w:val="center"/>
            <w:hideMark/>
          </w:tcPr>
          <w:p w14:paraId="66045E8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10810</w:t>
            </w:r>
          </w:p>
        </w:tc>
        <w:tc>
          <w:tcPr>
            <w:tcW w:w="849" w:type="dxa"/>
            <w:vAlign w:val="center"/>
            <w:hideMark/>
          </w:tcPr>
          <w:p w14:paraId="50ABC17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13233</w:t>
            </w:r>
          </w:p>
        </w:tc>
        <w:tc>
          <w:tcPr>
            <w:tcW w:w="851" w:type="dxa"/>
            <w:vAlign w:val="center"/>
            <w:hideMark/>
          </w:tcPr>
          <w:p w14:paraId="6829598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15914</w:t>
            </w:r>
          </w:p>
        </w:tc>
        <w:tc>
          <w:tcPr>
            <w:tcW w:w="1276" w:type="dxa"/>
            <w:vAlign w:val="center"/>
            <w:hideMark/>
          </w:tcPr>
          <w:p w14:paraId="155B85F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55240</w:t>
            </w:r>
          </w:p>
        </w:tc>
      </w:tr>
      <w:tr w:rsidR="00E52378" w:rsidRPr="00C5721F" w14:paraId="249339FC" w14:textId="77777777" w:rsidTr="003C14D7">
        <w:trPr>
          <w:trHeight w:val="20"/>
          <w:jc w:val="center"/>
        </w:trPr>
        <w:tc>
          <w:tcPr>
            <w:tcW w:w="0" w:type="auto"/>
            <w:vAlign w:val="center"/>
            <w:hideMark/>
          </w:tcPr>
          <w:p w14:paraId="5E7741EC"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2028D44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6442</w:t>
            </w:r>
          </w:p>
        </w:tc>
        <w:tc>
          <w:tcPr>
            <w:tcW w:w="851" w:type="dxa"/>
            <w:vAlign w:val="center"/>
            <w:hideMark/>
          </w:tcPr>
          <w:p w14:paraId="59645D9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8339</w:t>
            </w:r>
          </w:p>
        </w:tc>
        <w:tc>
          <w:tcPr>
            <w:tcW w:w="852" w:type="dxa"/>
            <w:vAlign w:val="center"/>
            <w:hideMark/>
          </w:tcPr>
          <w:p w14:paraId="7A6753B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10489</w:t>
            </w:r>
          </w:p>
        </w:tc>
        <w:tc>
          <w:tcPr>
            <w:tcW w:w="849" w:type="dxa"/>
            <w:vAlign w:val="center"/>
            <w:hideMark/>
          </w:tcPr>
          <w:p w14:paraId="6903F9A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12913</w:t>
            </w:r>
          </w:p>
        </w:tc>
        <w:tc>
          <w:tcPr>
            <w:tcW w:w="851" w:type="dxa"/>
            <w:vAlign w:val="center"/>
            <w:hideMark/>
          </w:tcPr>
          <w:p w14:paraId="588DA23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15640</w:t>
            </w:r>
          </w:p>
        </w:tc>
        <w:tc>
          <w:tcPr>
            <w:tcW w:w="1276" w:type="dxa"/>
            <w:vAlign w:val="center"/>
            <w:hideMark/>
          </w:tcPr>
          <w:p w14:paraId="4C95A97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53823</w:t>
            </w:r>
          </w:p>
        </w:tc>
      </w:tr>
      <w:tr w:rsidR="00E52378" w:rsidRPr="00C5721F" w14:paraId="41284BF7" w14:textId="77777777" w:rsidTr="003C14D7">
        <w:trPr>
          <w:trHeight w:val="20"/>
          <w:jc w:val="center"/>
        </w:trPr>
        <w:tc>
          <w:tcPr>
            <w:tcW w:w="0" w:type="auto"/>
            <w:vAlign w:val="center"/>
            <w:hideMark/>
          </w:tcPr>
          <w:p w14:paraId="3F2446C6"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6DBBE5A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-217</w:t>
            </w:r>
          </w:p>
        </w:tc>
        <w:tc>
          <w:tcPr>
            <w:tcW w:w="851" w:type="dxa"/>
            <w:vAlign w:val="center"/>
            <w:hideMark/>
          </w:tcPr>
          <w:p w14:paraId="5C67368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-285</w:t>
            </w:r>
          </w:p>
        </w:tc>
        <w:tc>
          <w:tcPr>
            <w:tcW w:w="852" w:type="dxa"/>
            <w:vAlign w:val="center"/>
            <w:hideMark/>
          </w:tcPr>
          <w:p w14:paraId="7EA4A04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-321</w:t>
            </w:r>
          </w:p>
        </w:tc>
        <w:tc>
          <w:tcPr>
            <w:tcW w:w="849" w:type="dxa"/>
            <w:vAlign w:val="center"/>
            <w:hideMark/>
          </w:tcPr>
          <w:p w14:paraId="0CA4C01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-320</w:t>
            </w:r>
          </w:p>
        </w:tc>
        <w:tc>
          <w:tcPr>
            <w:tcW w:w="851" w:type="dxa"/>
            <w:vAlign w:val="center"/>
            <w:hideMark/>
          </w:tcPr>
          <w:p w14:paraId="2769401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-274</w:t>
            </w:r>
          </w:p>
        </w:tc>
        <w:tc>
          <w:tcPr>
            <w:tcW w:w="1276" w:type="dxa"/>
            <w:vAlign w:val="center"/>
            <w:hideMark/>
          </w:tcPr>
          <w:p w14:paraId="0BCC8C2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-1417</w:t>
            </w:r>
          </w:p>
        </w:tc>
      </w:tr>
      <w:tr w:rsidR="00E52378" w:rsidRPr="00C5721F" w14:paraId="0E06AC9E" w14:textId="77777777" w:rsidTr="003C14D7">
        <w:trPr>
          <w:trHeight w:val="20"/>
          <w:jc w:val="center"/>
        </w:trPr>
        <w:tc>
          <w:tcPr>
            <w:tcW w:w="0" w:type="auto"/>
            <w:vAlign w:val="center"/>
            <w:hideMark/>
          </w:tcPr>
          <w:p w14:paraId="41F7203E"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16. West Bengal</w:t>
            </w:r>
          </w:p>
        </w:tc>
        <w:tc>
          <w:tcPr>
            <w:tcW w:w="962" w:type="dxa"/>
            <w:vAlign w:val="center"/>
            <w:hideMark/>
          </w:tcPr>
          <w:p w14:paraId="409CB860"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75A0A26"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34443463"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379A98FA"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0EB6E96"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22FE3A13"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3981C504" w14:textId="77777777" w:rsidTr="003C14D7">
        <w:trPr>
          <w:trHeight w:val="20"/>
          <w:jc w:val="center"/>
        </w:trPr>
        <w:tc>
          <w:tcPr>
            <w:tcW w:w="0" w:type="auto"/>
            <w:vAlign w:val="center"/>
            <w:hideMark/>
          </w:tcPr>
          <w:p w14:paraId="3118E857"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23961B4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1691</w:t>
            </w:r>
          </w:p>
        </w:tc>
        <w:tc>
          <w:tcPr>
            <w:tcW w:w="851" w:type="dxa"/>
            <w:vAlign w:val="center"/>
            <w:hideMark/>
          </w:tcPr>
          <w:p w14:paraId="50A0A20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2166</w:t>
            </w:r>
          </w:p>
        </w:tc>
        <w:tc>
          <w:tcPr>
            <w:tcW w:w="852" w:type="dxa"/>
            <w:vAlign w:val="center"/>
            <w:hideMark/>
          </w:tcPr>
          <w:p w14:paraId="3D747B0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2692</w:t>
            </w:r>
          </w:p>
        </w:tc>
        <w:tc>
          <w:tcPr>
            <w:tcW w:w="849" w:type="dxa"/>
            <w:vAlign w:val="center"/>
            <w:hideMark/>
          </w:tcPr>
          <w:p w14:paraId="389F790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3271</w:t>
            </w:r>
          </w:p>
        </w:tc>
        <w:tc>
          <w:tcPr>
            <w:tcW w:w="851" w:type="dxa"/>
            <w:vAlign w:val="center"/>
            <w:hideMark/>
          </w:tcPr>
          <w:p w14:paraId="58F2ED1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3908</w:t>
            </w:r>
          </w:p>
        </w:tc>
        <w:tc>
          <w:tcPr>
            <w:tcW w:w="1276" w:type="dxa"/>
            <w:vAlign w:val="center"/>
            <w:hideMark/>
          </w:tcPr>
          <w:p w14:paraId="7A7D71C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13728</w:t>
            </w:r>
          </w:p>
        </w:tc>
      </w:tr>
      <w:tr w:rsidR="00E52378" w:rsidRPr="00C5721F" w14:paraId="1D130668" w14:textId="77777777" w:rsidTr="003C14D7">
        <w:trPr>
          <w:trHeight w:val="20"/>
          <w:jc w:val="center"/>
        </w:trPr>
        <w:tc>
          <w:tcPr>
            <w:tcW w:w="0" w:type="auto"/>
            <w:vAlign w:val="center"/>
            <w:hideMark/>
          </w:tcPr>
          <w:p w14:paraId="4270047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5E6742A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1667</w:t>
            </w:r>
          </w:p>
        </w:tc>
        <w:tc>
          <w:tcPr>
            <w:tcW w:w="851" w:type="dxa"/>
            <w:vAlign w:val="center"/>
            <w:hideMark/>
          </w:tcPr>
          <w:p w14:paraId="3A751E8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2138</w:t>
            </w:r>
          </w:p>
        </w:tc>
        <w:tc>
          <w:tcPr>
            <w:tcW w:w="852" w:type="dxa"/>
            <w:vAlign w:val="center"/>
            <w:hideMark/>
          </w:tcPr>
          <w:p w14:paraId="3A21897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2666</w:t>
            </w:r>
          </w:p>
        </w:tc>
        <w:tc>
          <w:tcPr>
            <w:tcW w:w="849" w:type="dxa"/>
            <w:vAlign w:val="center"/>
            <w:hideMark/>
          </w:tcPr>
          <w:p w14:paraId="33A3ABA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3254</w:t>
            </w:r>
          </w:p>
        </w:tc>
        <w:tc>
          <w:tcPr>
            <w:tcW w:w="851" w:type="dxa"/>
            <w:vAlign w:val="center"/>
            <w:hideMark/>
          </w:tcPr>
          <w:p w14:paraId="28FD884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3908</w:t>
            </w:r>
          </w:p>
        </w:tc>
        <w:tc>
          <w:tcPr>
            <w:tcW w:w="1276" w:type="dxa"/>
            <w:vAlign w:val="center"/>
            <w:hideMark/>
          </w:tcPr>
          <w:p w14:paraId="2160E3E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13633</w:t>
            </w:r>
          </w:p>
        </w:tc>
      </w:tr>
      <w:tr w:rsidR="00E52378" w:rsidRPr="00C5721F" w14:paraId="6CE8AD86" w14:textId="77777777" w:rsidTr="003C14D7">
        <w:trPr>
          <w:trHeight w:val="20"/>
          <w:jc w:val="center"/>
        </w:trPr>
        <w:tc>
          <w:tcPr>
            <w:tcW w:w="0" w:type="auto"/>
            <w:vAlign w:val="center"/>
            <w:hideMark/>
          </w:tcPr>
          <w:p w14:paraId="7DE98B2F"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038D8E4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w:t>
            </w:r>
          </w:p>
        </w:tc>
        <w:tc>
          <w:tcPr>
            <w:tcW w:w="851" w:type="dxa"/>
            <w:vAlign w:val="center"/>
            <w:hideMark/>
          </w:tcPr>
          <w:p w14:paraId="6896F09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w:t>
            </w:r>
          </w:p>
        </w:tc>
        <w:tc>
          <w:tcPr>
            <w:tcW w:w="852" w:type="dxa"/>
            <w:vAlign w:val="center"/>
            <w:hideMark/>
          </w:tcPr>
          <w:p w14:paraId="019975D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w:t>
            </w:r>
          </w:p>
        </w:tc>
        <w:tc>
          <w:tcPr>
            <w:tcW w:w="849" w:type="dxa"/>
            <w:vAlign w:val="center"/>
            <w:hideMark/>
          </w:tcPr>
          <w:p w14:paraId="774A01B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w:t>
            </w:r>
          </w:p>
        </w:tc>
        <w:tc>
          <w:tcPr>
            <w:tcW w:w="851" w:type="dxa"/>
            <w:vAlign w:val="center"/>
            <w:hideMark/>
          </w:tcPr>
          <w:p w14:paraId="6D315A3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195F025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-95</w:t>
            </w:r>
          </w:p>
        </w:tc>
      </w:tr>
      <w:tr w:rsidR="00E52378" w:rsidRPr="00C5721F" w14:paraId="5A7EB479" w14:textId="77777777" w:rsidTr="003C14D7">
        <w:trPr>
          <w:trHeight w:val="20"/>
          <w:jc w:val="center"/>
        </w:trPr>
        <w:tc>
          <w:tcPr>
            <w:tcW w:w="0" w:type="auto"/>
            <w:vAlign w:val="center"/>
            <w:hideMark/>
          </w:tcPr>
          <w:p w14:paraId="3555CE3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HILL STATES</w:t>
            </w:r>
          </w:p>
        </w:tc>
        <w:tc>
          <w:tcPr>
            <w:tcW w:w="962" w:type="dxa"/>
            <w:vAlign w:val="center"/>
            <w:hideMark/>
          </w:tcPr>
          <w:p w14:paraId="37D3DF7B"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6313591"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38E0EB3F"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27AD951F"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493E99CE"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019F61FC"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37EA1DFD" w14:textId="77777777" w:rsidTr="003C14D7">
        <w:trPr>
          <w:trHeight w:val="20"/>
          <w:jc w:val="center"/>
        </w:trPr>
        <w:tc>
          <w:tcPr>
            <w:tcW w:w="0" w:type="auto"/>
            <w:vAlign w:val="center"/>
            <w:hideMark/>
          </w:tcPr>
          <w:p w14:paraId="49DE5B1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1. Arunachal Pradesh</w:t>
            </w:r>
          </w:p>
        </w:tc>
        <w:tc>
          <w:tcPr>
            <w:tcW w:w="962" w:type="dxa"/>
            <w:vAlign w:val="center"/>
            <w:hideMark/>
          </w:tcPr>
          <w:p w14:paraId="7258DA64"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5BF1D25"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1FCE0729"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3DF566E4"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0A791F1C"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63AB2653"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52DADADD" w14:textId="77777777" w:rsidTr="003C14D7">
        <w:trPr>
          <w:trHeight w:val="20"/>
          <w:jc w:val="center"/>
        </w:trPr>
        <w:tc>
          <w:tcPr>
            <w:tcW w:w="0" w:type="auto"/>
            <w:vAlign w:val="center"/>
            <w:hideMark/>
          </w:tcPr>
          <w:p w14:paraId="2B8D329A"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62DB008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06B133C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2" w:type="dxa"/>
            <w:vAlign w:val="center"/>
            <w:hideMark/>
          </w:tcPr>
          <w:p w14:paraId="571C649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49" w:type="dxa"/>
            <w:vAlign w:val="center"/>
            <w:hideMark/>
          </w:tcPr>
          <w:p w14:paraId="774B9BA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2A9FCC6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4F71912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E52378" w:rsidRPr="00C5721F" w14:paraId="4D5A79D9" w14:textId="77777777" w:rsidTr="003C14D7">
        <w:trPr>
          <w:trHeight w:val="20"/>
          <w:jc w:val="center"/>
        </w:trPr>
        <w:tc>
          <w:tcPr>
            <w:tcW w:w="0" w:type="auto"/>
            <w:vAlign w:val="center"/>
            <w:hideMark/>
          </w:tcPr>
          <w:p w14:paraId="310B2BA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14955CB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411285D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2" w:type="dxa"/>
            <w:vAlign w:val="center"/>
            <w:hideMark/>
          </w:tcPr>
          <w:p w14:paraId="7EA4524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49" w:type="dxa"/>
            <w:vAlign w:val="center"/>
            <w:hideMark/>
          </w:tcPr>
          <w:p w14:paraId="00F5663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615EAED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0866085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E52378" w:rsidRPr="00C5721F" w14:paraId="0387C72E" w14:textId="77777777" w:rsidTr="003C14D7">
        <w:trPr>
          <w:trHeight w:val="20"/>
          <w:jc w:val="center"/>
        </w:trPr>
        <w:tc>
          <w:tcPr>
            <w:tcW w:w="0" w:type="auto"/>
            <w:vAlign w:val="center"/>
            <w:hideMark/>
          </w:tcPr>
          <w:p w14:paraId="230152E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04D7007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4739180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2" w:type="dxa"/>
            <w:vAlign w:val="center"/>
            <w:hideMark/>
          </w:tcPr>
          <w:p w14:paraId="745B1BE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49" w:type="dxa"/>
            <w:vAlign w:val="center"/>
            <w:hideMark/>
          </w:tcPr>
          <w:p w14:paraId="664B686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851" w:type="dxa"/>
            <w:vAlign w:val="center"/>
            <w:hideMark/>
          </w:tcPr>
          <w:p w14:paraId="75F21E3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1276" w:type="dxa"/>
            <w:vAlign w:val="center"/>
            <w:hideMark/>
          </w:tcPr>
          <w:p w14:paraId="647F525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E52378" w:rsidRPr="00C5721F" w14:paraId="372730F5" w14:textId="77777777" w:rsidTr="003C14D7">
        <w:trPr>
          <w:trHeight w:val="20"/>
          <w:jc w:val="center"/>
        </w:trPr>
        <w:tc>
          <w:tcPr>
            <w:tcW w:w="0" w:type="auto"/>
            <w:vAlign w:val="center"/>
            <w:hideMark/>
          </w:tcPr>
          <w:p w14:paraId="0AF0D9D3"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2. Himachal Pradesh</w:t>
            </w:r>
          </w:p>
        </w:tc>
        <w:tc>
          <w:tcPr>
            <w:tcW w:w="962" w:type="dxa"/>
            <w:vAlign w:val="center"/>
            <w:hideMark/>
          </w:tcPr>
          <w:p w14:paraId="54E12A46"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D1FA93A"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22AC0232"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3BDCEFC3"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5E6DD24"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24BE64A1"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293A0927" w14:textId="77777777" w:rsidTr="003C14D7">
        <w:trPr>
          <w:trHeight w:val="20"/>
          <w:jc w:val="center"/>
        </w:trPr>
        <w:tc>
          <w:tcPr>
            <w:tcW w:w="0" w:type="auto"/>
            <w:vAlign w:val="center"/>
            <w:hideMark/>
          </w:tcPr>
          <w:p w14:paraId="758DF0E1"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615EEBA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w:t>
            </w:r>
          </w:p>
        </w:tc>
        <w:tc>
          <w:tcPr>
            <w:tcW w:w="851" w:type="dxa"/>
            <w:vAlign w:val="center"/>
            <w:hideMark/>
          </w:tcPr>
          <w:p w14:paraId="118493D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w:t>
            </w:r>
          </w:p>
        </w:tc>
        <w:tc>
          <w:tcPr>
            <w:tcW w:w="852" w:type="dxa"/>
            <w:vAlign w:val="center"/>
            <w:hideMark/>
          </w:tcPr>
          <w:p w14:paraId="2628248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w:t>
            </w:r>
          </w:p>
        </w:tc>
        <w:tc>
          <w:tcPr>
            <w:tcW w:w="849" w:type="dxa"/>
            <w:vAlign w:val="center"/>
            <w:hideMark/>
          </w:tcPr>
          <w:p w14:paraId="6D0D1F5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w:t>
            </w:r>
          </w:p>
        </w:tc>
        <w:tc>
          <w:tcPr>
            <w:tcW w:w="851" w:type="dxa"/>
            <w:vAlign w:val="center"/>
            <w:hideMark/>
          </w:tcPr>
          <w:p w14:paraId="2B78021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w:t>
            </w:r>
          </w:p>
        </w:tc>
        <w:tc>
          <w:tcPr>
            <w:tcW w:w="1276" w:type="dxa"/>
            <w:vAlign w:val="center"/>
            <w:hideMark/>
          </w:tcPr>
          <w:p w14:paraId="35F593F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w:t>
            </w:r>
          </w:p>
        </w:tc>
      </w:tr>
      <w:tr w:rsidR="00E52378" w:rsidRPr="00C5721F" w14:paraId="12893E92" w14:textId="77777777" w:rsidTr="003C14D7">
        <w:trPr>
          <w:trHeight w:val="20"/>
          <w:jc w:val="center"/>
        </w:trPr>
        <w:tc>
          <w:tcPr>
            <w:tcW w:w="0" w:type="auto"/>
            <w:vAlign w:val="center"/>
            <w:hideMark/>
          </w:tcPr>
          <w:p w14:paraId="327DED44"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24042A3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w:t>
            </w:r>
          </w:p>
        </w:tc>
        <w:tc>
          <w:tcPr>
            <w:tcW w:w="851" w:type="dxa"/>
            <w:vAlign w:val="center"/>
            <w:hideMark/>
          </w:tcPr>
          <w:p w14:paraId="4ED431A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w:t>
            </w:r>
          </w:p>
        </w:tc>
        <w:tc>
          <w:tcPr>
            <w:tcW w:w="852" w:type="dxa"/>
            <w:vAlign w:val="center"/>
            <w:hideMark/>
          </w:tcPr>
          <w:p w14:paraId="3D81E44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w:t>
            </w:r>
          </w:p>
        </w:tc>
        <w:tc>
          <w:tcPr>
            <w:tcW w:w="849" w:type="dxa"/>
            <w:vAlign w:val="center"/>
            <w:hideMark/>
          </w:tcPr>
          <w:p w14:paraId="3B1F675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w:t>
            </w:r>
          </w:p>
        </w:tc>
        <w:tc>
          <w:tcPr>
            <w:tcW w:w="851" w:type="dxa"/>
            <w:vAlign w:val="center"/>
            <w:hideMark/>
          </w:tcPr>
          <w:p w14:paraId="3ECD200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w:t>
            </w:r>
          </w:p>
        </w:tc>
        <w:tc>
          <w:tcPr>
            <w:tcW w:w="1276" w:type="dxa"/>
            <w:vAlign w:val="center"/>
            <w:hideMark/>
          </w:tcPr>
          <w:p w14:paraId="5E52335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55</w:t>
            </w:r>
          </w:p>
        </w:tc>
      </w:tr>
      <w:tr w:rsidR="00E52378" w:rsidRPr="00C5721F" w14:paraId="6A9923C5" w14:textId="77777777" w:rsidTr="003C14D7">
        <w:trPr>
          <w:trHeight w:val="20"/>
          <w:jc w:val="center"/>
        </w:trPr>
        <w:tc>
          <w:tcPr>
            <w:tcW w:w="0" w:type="auto"/>
            <w:vAlign w:val="center"/>
            <w:hideMark/>
          </w:tcPr>
          <w:p w14:paraId="36321AF7"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3B414AD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851" w:type="dxa"/>
            <w:vAlign w:val="center"/>
            <w:hideMark/>
          </w:tcPr>
          <w:p w14:paraId="52E14DD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852" w:type="dxa"/>
            <w:vAlign w:val="center"/>
            <w:hideMark/>
          </w:tcPr>
          <w:p w14:paraId="2874C16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849" w:type="dxa"/>
            <w:vAlign w:val="center"/>
            <w:hideMark/>
          </w:tcPr>
          <w:p w14:paraId="222C1CA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w:t>
            </w:r>
          </w:p>
        </w:tc>
        <w:tc>
          <w:tcPr>
            <w:tcW w:w="851" w:type="dxa"/>
            <w:vAlign w:val="center"/>
            <w:hideMark/>
          </w:tcPr>
          <w:p w14:paraId="115502A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w:t>
            </w:r>
          </w:p>
        </w:tc>
        <w:tc>
          <w:tcPr>
            <w:tcW w:w="1276" w:type="dxa"/>
            <w:vAlign w:val="center"/>
            <w:hideMark/>
          </w:tcPr>
          <w:p w14:paraId="0553601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w:t>
            </w:r>
          </w:p>
        </w:tc>
      </w:tr>
      <w:tr w:rsidR="00E52378" w:rsidRPr="00C5721F" w14:paraId="2110F369" w14:textId="77777777" w:rsidTr="003C14D7">
        <w:trPr>
          <w:trHeight w:val="20"/>
          <w:jc w:val="center"/>
        </w:trPr>
        <w:tc>
          <w:tcPr>
            <w:tcW w:w="0" w:type="auto"/>
            <w:vAlign w:val="center"/>
            <w:hideMark/>
          </w:tcPr>
          <w:p w14:paraId="0FFE343B"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3. Jammu &amp; Kashmir</w:t>
            </w:r>
          </w:p>
        </w:tc>
        <w:tc>
          <w:tcPr>
            <w:tcW w:w="962" w:type="dxa"/>
            <w:vAlign w:val="center"/>
            <w:hideMark/>
          </w:tcPr>
          <w:p w14:paraId="262671FC"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BEF8D04"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20019C56"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78D74676"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75B7180C"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0C2275E1"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6BF2E79A" w14:textId="77777777" w:rsidTr="003C14D7">
        <w:trPr>
          <w:trHeight w:val="20"/>
          <w:jc w:val="center"/>
        </w:trPr>
        <w:tc>
          <w:tcPr>
            <w:tcW w:w="0" w:type="auto"/>
            <w:vAlign w:val="center"/>
            <w:hideMark/>
          </w:tcPr>
          <w:p w14:paraId="2256BF3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74F3548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185</w:t>
            </w:r>
          </w:p>
        </w:tc>
        <w:tc>
          <w:tcPr>
            <w:tcW w:w="851" w:type="dxa"/>
            <w:vAlign w:val="center"/>
            <w:hideMark/>
          </w:tcPr>
          <w:p w14:paraId="35FFE42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238</w:t>
            </w:r>
          </w:p>
        </w:tc>
        <w:tc>
          <w:tcPr>
            <w:tcW w:w="852" w:type="dxa"/>
            <w:vAlign w:val="center"/>
            <w:hideMark/>
          </w:tcPr>
          <w:p w14:paraId="34E00C0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296</w:t>
            </w:r>
          </w:p>
        </w:tc>
        <w:tc>
          <w:tcPr>
            <w:tcW w:w="849" w:type="dxa"/>
            <w:vAlign w:val="center"/>
            <w:hideMark/>
          </w:tcPr>
          <w:p w14:paraId="123A1EF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363</w:t>
            </w:r>
          </w:p>
        </w:tc>
        <w:tc>
          <w:tcPr>
            <w:tcW w:w="851" w:type="dxa"/>
            <w:vAlign w:val="center"/>
            <w:hideMark/>
          </w:tcPr>
          <w:p w14:paraId="5AC1D87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435</w:t>
            </w:r>
          </w:p>
        </w:tc>
        <w:tc>
          <w:tcPr>
            <w:tcW w:w="1276" w:type="dxa"/>
            <w:vAlign w:val="center"/>
            <w:hideMark/>
          </w:tcPr>
          <w:p w14:paraId="59995F8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1517</w:t>
            </w:r>
          </w:p>
        </w:tc>
      </w:tr>
      <w:tr w:rsidR="00E52378" w:rsidRPr="00C5721F" w14:paraId="68E5F9F6" w14:textId="77777777" w:rsidTr="003C14D7">
        <w:trPr>
          <w:trHeight w:val="20"/>
          <w:jc w:val="center"/>
        </w:trPr>
        <w:tc>
          <w:tcPr>
            <w:tcW w:w="0" w:type="auto"/>
            <w:vAlign w:val="center"/>
            <w:hideMark/>
          </w:tcPr>
          <w:p w14:paraId="60AC012B"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41B5C32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138</w:t>
            </w:r>
          </w:p>
        </w:tc>
        <w:tc>
          <w:tcPr>
            <w:tcW w:w="851" w:type="dxa"/>
            <w:vAlign w:val="center"/>
            <w:hideMark/>
          </w:tcPr>
          <w:p w14:paraId="750BDA7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177</w:t>
            </w:r>
          </w:p>
        </w:tc>
        <w:tc>
          <w:tcPr>
            <w:tcW w:w="852" w:type="dxa"/>
            <w:vAlign w:val="center"/>
            <w:hideMark/>
          </w:tcPr>
          <w:p w14:paraId="62CA3099"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222</w:t>
            </w:r>
          </w:p>
        </w:tc>
        <w:tc>
          <w:tcPr>
            <w:tcW w:w="849" w:type="dxa"/>
            <w:vAlign w:val="center"/>
            <w:hideMark/>
          </w:tcPr>
          <w:p w14:paraId="01B73E2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272</w:t>
            </w:r>
          </w:p>
        </w:tc>
        <w:tc>
          <w:tcPr>
            <w:tcW w:w="851" w:type="dxa"/>
            <w:vAlign w:val="center"/>
            <w:hideMark/>
          </w:tcPr>
          <w:p w14:paraId="6DD8B04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329</w:t>
            </w:r>
          </w:p>
        </w:tc>
        <w:tc>
          <w:tcPr>
            <w:tcW w:w="1276" w:type="dxa"/>
            <w:vAlign w:val="center"/>
            <w:hideMark/>
          </w:tcPr>
          <w:p w14:paraId="2CEF06D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1138</w:t>
            </w:r>
          </w:p>
        </w:tc>
      </w:tr>
      <w:tr w:rsidR="00E52378" w:rsidRPr="00C5721F" w14:paraId="5300C473" w14:textId="77777777" w:rsidTr="003C14D7">
        <w:trPr>
          <w:trHeight w:val="20"/>
          <w:jc w:val="center"/>
        </w:trPr>
        <w:tc>
          <w:tcPr>
            <w:tcW w:w="0" w:type="auto"/>
            <w:vAlign w:val="center"/>
            <w:hideMark/>
          </w:tcPr>
          <w:p w14:paraId="59B33160"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4A7A160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-47</w:t>
            </w:r>
          </w:p>
        </w:tc>
        <w:tc>
          <w:tcPr>
            <w:tcW w:w="851" w:type="dxa"/>
            <w:vAlign w:val="center"/>
            <w:hideMark/>
          </w:tcPr>
          <w:p w14:paraId="48AAEDF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w:t>
            </w:r>
          </w:p>
        </w:tc>
        <w:tc>
          <w:tcPr>
            <w:tcW w:w="852" w:type="dxa"/>
            <w:vAlign w:val="center"/>
            <w:hideMark/>
          </w:tcPr>
          <w:p w14:paraId="60771EA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-74</w:t>
            </w:r>
          </w:p>
        </w:tc>
        <w:tc>
          <w:tcPr>
            <w:tcW w:w="849" w:type="dxa"/>
            <w:vAlign w:val="center"/>
            <w:hideMark/>
          </w:tcPr>
          <w:p w14:paraId="54DEC56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-91</w:t>
            </w:r>
          </w:p>
        </w:tc>
        <w:tc>
          <w:tcPr>
            <w:tcW w:w="851" w:type="dxa"/>
            <w:vAlign w:val="center"/>
            <w:hideMark/>
          </w:tcPr>
          <w:p w14:paraId="0148D69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-106</w:t>
            </w:r>
          </w:p>
        </w:tc>
        <w:tc>
          <w:tcPr>
            <w:tcW w:w="1276" w:type="dxa"/>
            <w:vAlign w:val="center"/>
            <w:hideMark/>
          </w:tcPr>
          <w:p w14:paraId="625E341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-379</w:t>
            </w:r>
          </w:p>
        </w:tc>
      </w:tr>
      <w:tr w:rsidR="00E52378" w:rsidRPr="00C5721F" w14:paraId="62A835B7" w14:textId="77777777" w:rsidTr="003C14D7">
        <w:trPr>
          <w:trHeight w:val="20"/>
          <w:jc w:val="center"/>
        </w:trPr>
        <w:tc>
          <w:tcPr>
            <w:tcW w:w="0" w:type="auto"/>
            <w:vAlign w:val="center"/>
            <w:hideMark/>
          </w:tcPr>
          <w:p w14:paraId="5F7D4545"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4. Manipur</w:t>
            </w:r>
          </w:p>
        </w:tc>
        <w:tc>
          <w:tcPr>
            <w:tcW w:w="962" w:type="dxa"/>
            <w:vAlign w:val="center"/>
            <w:hideMark/>
          </w:tcPr>
          <w:p w14:paraId="63D74B92"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557B0245"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6B12EFEC"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508B2F4A"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06A1FBC9"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0F44EF97"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56A58E7F" w14:textId="77777777" w:rsidTr="003C14D7">
        <w:trPr>
          <w:trHeight w:val="20"/>
          <w:jc w:val="center"/>
        </w:trPr>
        <w:tc>
          <w:tcPr>
            <w:tcW w:w="0" w:type="auto"/>
            <w:vAlign w:val="center"/>
            <w:hideMark/>
          </w:tcPr>
          <w:p w14:paraId="6A21A0B8"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271F9A9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70</w:t>
            </w:r>
          </w:p>
        </w:tc>
        <w:tc>
          <w:tcPr>
            <w:tcW w:w="851" w:type="dxa"/>
            <w:vAlign w:val="center"/>
            <w:hideMark/>
          </w:tcPr>
          <w:p w14:paraId="027B8F3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91</w:t>
            </w:r>
          </w:p>
        </w:tc>
        <w:tc>
          <w:tcPr>
            <w:tcW w:w="852" w:type="dxa"/>
            <w:vAlign w:val="center"/>
            <w:hideMark/>
          </w:tcPr>
          <w:p w14:paraId="593124F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118</w:t>
            </w:r>
          </w:p>
        </w:tc>
        <w:tc>
          <w:tcPr>
            <w:tcW w:w="849" w:type="dxa"/>
            <w:vAlign w:val="center"/>
            <w:hideMark/>
          </w:tcPr>
          <w:p w14:paraId="4D62F8B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146</w:t>
            </w:r>
          </w:p>
        </w:tc>
        <w:tc>
          <w:tcPr>
            <w:tcW w:w="851" w:type="dxa"/>
            <w:vAlign w:val="center"/>
            <w:hideMark/>
          </w:tcPr>
          <w:p w14:paraId="68ED243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176</w:t>
            </w:r>
          </w:p>
        </w:tc>
        <w:tc>
          <w:tcPr>
            <w:tcW w:w="1276" w:type="dxa"/>
            <w:vAlign w:val="center"/>
            <w:hideMark/>
          </w:tcPr>
          <w:p w14:paraId="6C92CBE9" w14:textId="0B2C756A"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601</w:t>
            </w:r>
            <w:r w:rsidR="00C51EC4" w:rsidRPr="00C5721F">
              <w:rPr>
                <w:rFonts w:ascii="Times New Roman" w:hAnsi="Times New Roman" w:cs="Times New Roman"/>
                <w:sz w:val="14"/>
                <w:szCs w:val="14"/>
              </w:rPr>
              <w:t>*</w:t>
            </w:r>
          </w:p>
        </w:tc>
      </w:tr>
      <w:tr w:rsidR="00E52378" w:rsidRPr="00C5721F" w14:paraId="60A6639C" w14:textId="77777777" w:rsidTr="003C14D7">
        <w:trPr>
          <w:trHeight w:val="20"/>
          <w:jc w:val="center"/>
        </w:trPr>
        <w:tc>
          <w:tcPr>
            <w:tcW w:w="0" w:type="auto"/>
            <w:vAlign w:val="center"/>
            <w:hideMark/>
          </w:tcPr>
          <w:p w14:paraId="28588ADC"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67D3E2E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51</w:t>
            </w:r>
          </w:p>
        </w:tc>
        <w:tc>
          <w:tcPr>
            <w:tcW w:w="851" w:type="dxa"/>
            <w:vAlign w:val="center"/>
            <w:hideMark/>
          </w:tcPr>
          <w:p w14:paraId="46B48E9C"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67</w:t>
            </w:r>
          </w:p>
        </w:tc>
        <w:tc>
          <w:tcPr>
            <w:tcW w:w="852" w:type="dxa"/>
            <w:vAlign w:val="center"/>
            <w:hideMark/>
          </w:tcPr>
          <w:p w14:paraId="17CFD69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88</w:t>
            </w:r>
          </w:p>
        </w:tc>
        <w:tc>
          <w:tcPr>
            <w:tcW w:w="849" w:type="dxa"/>
            <w:vAlign w:val="center"/>
            <w:hideMark/>
          </w:tcPr>
          <w:p w14:paraId="1B67D8C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109</w:t>
            </w:r>
          </w:p>
        </w:tc>
        <w:tc>
          <w:tcPr>
            <w:tcW w:w="851" w:type="dxa"/>
            <w:vAlign w:val="center"/>
            <w:hideMark/>
          </w:tcPr>
          <w:p w14:paraId="79F47BD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133</w:t>
            </w:r>
          </w:p>
        </w:tc>
        <w:tc>
          <w:tcPr>
            <w:tcW w:w="1276" w:type="dxa"/>
            <w:vAlign w:val="center"/>
            <w:hideMark/>
          </w:tcPr>
          <w:p w14:paraId="3341069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448</w:t>
            </w:r>
          </w:p>
        </w:tc>
      </w:tr>
      <w:tr w:rsidR="00E52378" w:rsidRPr="00C5721F" w14:paraId="5B0D69B6" w14:textId="77777777" w:rsidTr="003C14D7">
        <w:trPr>
          <w:trHeight w:val="20"/>
          <w:jc w:val="center"/>
        </w:trPr>
        <w:tc>
          <w:tcPr>
            <w:tcW w:w="0" w:type="auto"/>
            <w:vAlign w:val="center"/>
            <w:hideMark/>
          </w:tcPr>
          <w:p w14:paraId="6A483D92"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lastRenderedPageBreak/>
              <w:t>Net Receipt</w:t>
            </w:r>
          </w:p>
        </w:tc>
        <w:tc>
          <w:tcPr>
            <w:tcW w:w="962" w:type="dxa"/>
            <w:vAlign w:val="center"/>
            <w:hideMark/>
          </w:tcPr>
          <w:p w14:paraId="706F0B7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w:t>
            </w:r>
          </w:p>
        </w:tc>
        <w:tc>
          <w:tcPr>
            <w:tcW w:w="851" w:type="dxa"/>
            <w:vAlign w:val="center"/>
            <w:hideMark/>
          </w:tcPr>
          <w:p w14:paraId="6F16BC2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w:t>
            </w:r>
          </w:p>
        </w:tc>
        <w:tc>
          <w:tcPr>
            <w:tcW w:w="852" w:type="dxa"/>
            <w:vAlign w:val="center"/>
            <w:hideMark/>
          </w:tcPr>
          <w:p w14:paraId="563BFBF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w:t>
            </w:r>
          </w:p>
        </w:tc>
        <w:tc>
          <w:tcPr>
            <w:tcW w:w="849" w:type="dxa"/>
            <w:vAlign w:val="center"/>
            <w:hideMark/>
          </w:tcPr>
          <w:p w14:paraId="563DA1D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w:t>
            </w:r>
          </w:p>
        </w:tc>
        <w:tc>
          <w:tcPr>
            <w:tcW w:w="851" w:type="dxa"/>
            <w:vAlign w:val="center"/>
            <w:hideMark/>
          </w:tcPr>
          <w:p w14:paraId="1577C6E0"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w:t>
            </w:r>
          </w:p>
        </w:tc>
        <w:tc>
          <w:tcPr>
            <w:tcW w:w="1276" w:type="dxa"/>
            <w:vAlign w:val="center"/>
            <w:hideMark/>
          </w:tcPr>
          <w:p w14:paraId="2F15313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-153</w:t>
            </w:r>
          </w:p>
        </w:tc>
      </w:tr>
      <w:tr w:rsidR="00E52378" w:rsidRPr="00C5721F" w14:paraId="09A406AA" w14:textId="77777777" w:rsidTr="003C14D7">
        <w:trPr>
          <w:trHeight w:val="20"/>
          <w:jc w:val="center"/>
        </w:trPr>
        <w:tc>
          <w:tcPr>
            <w:tcW w:w="0" w:type="auto"/>
            <w:vAlign w:val="center"/>
            <w:hideMark/>
          </w:tcPr>
          <w:p w14:paraId="2C9D5272"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5. TRIPURA</w:t>
            </w:r>
          </w:p>
        </w:tc>
        <w:tc>
          <w:tcPr>
            <w:tcW w:w="962" w:type="dxa"/>
            <w:vAlign w:val="center"/>
            <w:hideMark/>
          </w:tcPr>
          <w:p w14:paraId="2A70A566"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3E86068F" w14:textId="77777777" w:rsidR="00E52378" w:rsidRPr="00C5721F" w:rsidRDefault="00E52378" w:rsidP="00FC6A76">
            <w:pPr>
              <w:pStyle w:val="NoSpacing"/>
              <w:jc w:val="center"/>
              <w:rPr>
                <w:rFonts w:ascii="Times New Roman" w:hAnsi="Times New Roman" w:cs="Times New Roman"/>
                <w:sz w:val="14"/>
                <w:szCs w:val="14"/>
              </w:rPr>
            </w:pPr>
          </w:p>
        </w:tc>
        <w:tc>
          <w:tcPr>
            <w:tcW w:w="852" w:type="dxa"/>
            <w:vAlign w:val="center"/>
            <w:hideMark/>
          </w:tcPr>
          <w:p w14:paraId="36B660E2" w14:textId="77777777" w:rsidR="00E52378" w:rsidRPr="00C5721F" w:rsidRDefault="00E52378" w:rsidP="00FC6A76">
            <w:pPr>
              <w:pStyle w:val="NoSpacing"/>
              <w:jc w:val="center"/>
              <w:rPr>
                <w:rFonts w:ascii="Times New Roman" w:hAnsi="Times New Roman" w:cs="Times New Roman"/>
                <w:sz w:val="14"/>
                <w:szCs w:val="14"/>
              </w:rPr>
            </w:pPr>
          </w:p>
        </w:tc>
        <w:tc>
          <w:tcPr>
            <w:tcW w:w="849" w:type="dxa"/>
            <w:vAlign w:val="center"/>
            <w:hideMark/>
          </w:tcPr>
          <w:p w14:paraId="0DAF9C24" w14:textId="77777777" w:rsidR="00E52378" w:rsidRPr="00C5721F" w:rsidRDefault="00E52378" w:rsidP="00FC6A76">
            <w:pPr>
              <w:pStyle w:val="NoSpacing"/>
              <w:jc w:val="center"/>
              <w:rPr>
                <w:rFonts w:ascii="Times New Roman" w:hAnsi="Times New Roman" w:cs="Times New Roman"/>
                <w:sz w:val="14"/>
                <w:szCs w:val="14"/>
              </w:rPr>
            </w:pPr>
          </w:p>
        </w:tc>
        <w:tc>
          <w:tcPr>
            <w:tcW w:w="851" w:type="dxa"/>
            <w:vAlign w:val="center"/>
            <w:hideMark/>
          </w:tcPr>
          <w:p w14:paraId="2505C2FB" w14:textId="77777777" w:rsidR="00E52378" w:rsidRPr="00C5721F" w:rsidRDefault="00E52378" w:rsidP="00FC6A76">
            <w:pPr>
              <w:pStyle w:val="NoSpacing"/>
              <w:jc w:val="center"/>
              <w:rPr>
                <w:rFonts w:ascii="Times New Roman" w:hAnsi="Times New Roman" w:cs="Times New Roman"/>
                <w:sz w:val="14"/>
                <w:szCs w:val="14"/>
              </w:rPr>
            </w:pPr>
          </w:p>
        </w:tc>
        <w:tc>
          <w:tcPr>
            <w:tcW w:w="1276" w:type="dxa"/>
            <w:vAlign w:val="center"/>
            <w:hideMark/>
          </w:tcPr>
          <w:p w14:paraId="6915EFF9" w14:textId="77777777" w:rsidR="00E52378" w:rsidRPr="00C5721F" w:rsidRDefault="00E52378" w:rsidP="00FC6A76">
            <w:pPr>
              <w:pStyle w:val="NoSpacing"/>
              <w:jc w:val="center"/>
              <w:rPr>
                <w:rFonts w:ascii="Times New Roman" w:hAnsi="Times New Roman" w:cs="Times New Roman"/>
                <w:sz w:val="14"/>
                <w:szCs w:val="14"/>
              </w:rPr>
            </w:pPr>
          </w:p>
        </w:tc>
      </w:tr>
      <w:tr w:rsidR="00E52378" w:rsidRPr="00C5721F" w14:paraId="1579EBC4" w14:textId="77777777" w:rsidTr="003C14D7">
        <w:trPr>
          <w:trHeight w:val="20"/>
          <w:jc w:val="center"/>
        </w:trPr>
        <w:tc>
          <w:tcPr>
            <w:tcW w:w="0" w:type="auto"/>
            <w:vAlign w:val="center"/>
            <w:hideMark/>
          </w:tcPr>
          <w:p w14:paraId="74A06E1D"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Total Working Expenses</w:t>
            </w:r>
          </w:p>
        </w:tc>
        <w:tc>
          <w:tcPr>
            <w:tcW w:w="962" w:type="dxa"/>
            <w:vAlign w:val="center"/>
            <w:hideMark/>
          </w:tcPr>
          <w:p w14:paraId="49AD3DE1"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851" w:type="dxa"/>
            <w:vAlign w:val="center"/>
            <w:hideMark/>
          </w:tcPr>
          <w:p w14:paraId="162BB79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w:t>
            </w:r>
          </w:p>
        </w:tc>
        <w:tc>
          <w:tcPr>
            <w:tcW w:w="852" w:type="dxa"/>
            <w:vAlign w:val="center"/>
            <w:hideMark/>
          </w:tcPr>
          <w:p w14:paraId="262E969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w:t>
            </w:r>
          </w:p>
        </w:tc>
        <w:tc>
          <w:tcPr>
            <w:tcW w:w="849" w:type="dxa"/>
            <w:vAlign w:val="center"/>
            <w:hideMark/>
          </w:tcPr>
          <w:p w14:paraId="6454C37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w:t>
            </w:r>
          </w:p>
        </w:tc>
        <w:tc>
          <w:tcPr>
            <w:tcW w:w="851" w:type="dxa"/>
            <w:vAlign w:val="center"/>
            <w:hideMark/>
          </w:tcPr>
          <w:p w14:paraId="22DAF862"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w:t>
            </w:r>
          </w:p>
        </w:tc>
        <w:tc>
          <w:tcPr>
            <w:tcW w:w="1276" w:type="dxa"/>
            <w:vAlign w:val="center"/>
            <w:hideMark/>
          </w:tcPr>
          <w:p w14:paraId="457786C4"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106</w:t>
            </w:r>
          </w:p>
        </w:tc>
      </w:tr>
      <w:tr w:rsidR="00E52378" w:rsidRPr="00C5721F" w14:paraId="74BB2DAB" w14:textId="77777777" w:rsidTr="003C14D7">
        <w:trPr>
          <w:trHeight w:val="20"/>
          <w:jc w:val="center"/>
        </w:trPr>
        <w:tc>
          <w:tcPr>
            <w:tcW w:w="0" w:type="auto"/>
            <w:vAlign w:val="center"/>
            <w:hideMark/>
          </w:tcPr>
          <w:p w14:paraId="01567A86"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Receipts</w:t>
            </w:r>
          </w:p>
        </w:tc>
        <w:tc>
          <w:tcPr>
            <w:tcW w:w="962" w:type="dxa"/>
            <w:vAlign w:val="center"/>
            <w:hideMark/>
          </w:tcPr>
          <w:p w14:paraId="6DA7229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w:t>
            </w:r>
          </w:p>
        </w:tc>
        <w:tc>
          <w:tcPr>
            <w:tcW w:w="851" w:type="dxa"/>
            <w:vAlign w:val="center"/>
            <w:hideMark/>
          </w:tcPr>
          <w:p w14:paraId="3FE8139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852" w:type="dxa"/>
            <w:vAlign w:val="center"/>
            <w:hideMark/>
          </w:tcPr>
          <w:p w14:paraId="4544678A"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w:t>
            </w:r>
          </w:p>
        </w:tc>
        <w:tc>
          <w:tcPr>
            <w:tcW w:w="849" w:type="dxa"/>
            <w:vAlign w:val="center"/>
            <w:hideMark/>
          </w:tcPr>
          <w:p w14:paraId="6C44F13F"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w:t>
            </w:r>
          </w:p>
        </w:tc>
        <w:tc>
          <w:tcPr>
            <w:tcW w:w="851" w:type="dxa"/>
            <w:vAlign w:val="center"/>
            <w:hideMark/>
          </w:tcPr>
          <w:p w14:paraId="2BE7EF1B"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w:t>
            </w:r>
          </w:p>
        </w:tc>
        <w:tc>
          <w:tcPr>
            <w:tcW w:w="1276" w:type="dxa"/>
            <w:vAlign w:val="center"/>
            <w:hideMark/>
          </w:tcPr>
          <w:p w14:paraId="7BCCA3F7"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81</w:t>
            </w:r>
          </w:p>
        </w:tc>
      </w:tr>
      <w:tr w:rsidR="00E52378" w:rsidRPr="00C5721F" w14:paraId="7894B484" w14:textId="77777777" w:rsidTr="003C14D7">
        <w:trPr>
          <w:trHeight w:val="20"/>
          <w:jc w:val="center"/>
        </w:trPr>
        <w:tc>
          <w:tcPr>
            <w:tcW w:w="0" w:type="auto"/>
            <w:vAlign w:val="center"/>
            <w:hideMark/>
          </w:tcPr>
          <w:p w14:paraId="4BD3EB89" w14:textId="77777777" w:rsidR="00E52378" w:rsidRPr="00C5721F" w:rsidRDefault="00E52378" w:rsidP="00FC6A76">
            <w:pPr>
              <w:pStyle w:val="NoSpacing"/>
              <w:rPr>
                <w:rFonts w:ascii="Times New Roman" w:hAnsi="Times New Roman" w:cs="Times New Roman"/>
                <w:sz w:val="14"/>
                <w:szCs w:val="14"/>
              </w:rPr>
            </w:pPr>
            <w:r w:rsidRPr="00C5721F">
              <w:rPr>
                <w:rFonts w:ascii="Times New Roman" w:hAnsi="Times New Roman" w:cs="Times New Roman"/>
                <w:sz w:val="14"/>
                <w:szCs w:val="14"/>
              </w:rPr>
              <w:t>Net Receipt</w:t>
            </w:r>
          </w:p>
        </w:tc>
        <w:tc>
          <w:tcPr>
            <w:tcW w:w="962" w:type="dxa"/>
            <w:vAlign w:val="center"/>
            <w:hideMark/>
          </w:tcPr>
          <w:p w14:paraId="1BFFCEB3"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851" w:type="dxa"/>
            <w:vAlign w:val="center"/>
            <w:hideMark/>
          </w:tcPr>
          <w:p w14:paraId="3FA95A08"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852" w:type="dxa"/>
            <w:vAlign w:val="center"/>
            <w:hideMark/>
          </w:tcPr>
          <w:p w14:paraId="5EEFB6CD"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w:t>
            </w:r>
          </w:p>
        </w:tc>
        <w:tc>
          <w:tcPr>
            <w:tcW w:w="849" w:type="dxa"/>
            <w:vAlign w:val="center"/>
            <w:hideMark/>
          </w:tcPr>
          <w:p w14:paraId="2D44C4C5"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w:t>
            </w:r>
          </w:p>
        </w:tc>
        <w:tc>
          <w:tcPr>
            <w:tcW w:w="851" w:type="dxa"/>
            <w:vAlign w:val="center"/>
            <w:hideMark/>
          </w:tcPr>
          <w:p w14:paraId="423D7B6E"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w:t>
            </w:r>
          </w:p>
        </w:tc>
        <w:tc>
          <w:tcPr>
            <w:tcW w:w="1276" w:type="dxa"/>
            <w:vAlign w:val="center"/>
            <w:hideMark/>
          </w:tcPr>
          <w:p w14:paraId="4BB4F7D6" w14:textId="77777777" w:rsidR="00E52378" w:rsidRPr="00C5721F" w:rsidRDefault="00E52378" w:rsidP="00FC6A76">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w:t>
            </w:r>
          </w:p>
        </w:tc>
      </w:tr>
    </w:tbl>
    <w:p w14:paraId="3A7CD376" w14:textId="7D483363" w:rsidR="00E52378" w:rsidRPr="005858A3" w:rsidRDefault="00C51EC4" w:rsidP="005858A3">
      <w:pPr>
        <w:pStyle w:val="NoSpacing"/>
        <w:ind w:left="1440"/>
        <w:rPr>
          <w:rFonts w:ascii="Times New Roman" w:hAnsi="Times New Roman" w:cs="Times New Roman"/>
          <w:sz w:val="14"/>
          <w:szCs w:val="12"/>
        </w:rPr>
      </w:pPr>
      <w:r w:rsidRPr="003412F4">
        <w:rPr>
          <w:rFonts w:ascii="Times New Roman" w:hAnsi="Times New Roman" w:cs="Times New Roman"/>
          <w:sz w:val="14"/>
          <w:szCs w:val="12"/>
        </w:rPr>
        <w:t xml:space="preserve">*Does not include an additional provision of Rs. 15 </w:t>
      </w:r>
      <w:proofErr w:type="gramStart"/>
      <w:r w:rsidRPr="003412F4">
        <w:rPr>
          <w:rFonts w:ascii="Times New Roman" w:hAnsi="Times New Roman" w:cs="Times New Roman"/>
          <w:sz w:val="14"/>
          <w:szCs w:val="12"/>
        </w:rPr>
        <w:t>crore</w:t>
      </w:r>
      <w:proofErr w:type="gramEnd"/>
      <w:r w:rsidRPr="003412F4">
        <w:rPr>
          <w:rFonts w:ascii="Times New Roman" w:hAnsi="Times New Roman" w:cs="Times New Roman"/>
          <w:sz w:val="14"/>
          <w:szCs w:val="12"/>
        </w:rPr>
        <w:t xml:space="preserve"> for maintenance of </w:t>
      </w:r>
      <w:proofErr w:type="spellStart"/>
      <w:r w:rsidRPr="003412F4">
        <w:rPr>
          <w:rFonts w:ascii="Times New Roman" w:hAnsi="Times New Roman" w:cs="Times New Roman"/>
          <w:sz w:val="14"/>
          <w:szCs w:val="12"/>
        </w:rPr>
        <w:t>Loktak</w:t>
      </w:r>
      <w:proofErr w:type="spellEnd"/>
      <w:r w:rsidRPr="003412F4">
        <w:rPr>
          <w:rFonts w:ascii="Times New Roman" w:hAnsi="Times New Roman" w:cs="Times New Roman"/>
          <w:sz w:val="14"/>
          <w:szCs w:val="12"/>
        </w:rPr>
        <w:t xml:space="preserve"> Lake.</w:t>
      </w:r>
    </w:p>
    <w:p w14:paraId="00433E2B" w14:textId="77777777" w:rsidR="00C5721F" w:rsidRDefault="00C5721F" w:rsidP="00C51EC4">
      <w:pPr>
        <w:pStyle w:val="Heading2"/>
        <w:rPr>
          <w:sz w:val="20"/>
          <w:szCs w:val="20"/>
        </w:rPr>
      </w:pPr>
      <w:bookmarkStart w:id="73" w:name="_Toc221292994"/>
    </w:p>
    <w:p w14:paraId="659B9E2A" w14:textId="77777777" w:rsidR="00C5721F" w:rsidRDefault="00C5721F" w:rsidP="00C5721F"/>
    <w:p w14:paraId="59AD9DD5" w14:textId="77777777" w:rsidR="00C5721F" w:rsidRDefault="00C5721F" w:rsidP="00C5721F"/>
    <w:p w14:paraId="616F7A11" w14:textId="77777777" w:rsidR="00C5721F" w:rsidRPr="00C5721F" w:rsidRDefault="00C5721F" w:rsidP="00C5721F">
      <w:pPr>
        <w:sectPr w:rsidR="00C5721F" w:rsidRPr="00C5721F" w:rsidSect="006F2ABC">
          <w:type w:val="continuous"/>
          <w:pgSz w:w="11906" w:h="16838"/>
          <w:pgMar w:top="567" w:right="849" w:bottom="284" w:left="1134" w:header="708" w:footer="708" w:gutter="0"/>
          <w:cols w:space="708"/>
          <w:docGrid w:linePitch="360"/>
        </w:sectPr>
      </w:pPr>
    </w:p>
    <w:p w14:paraId="6B4DD6ED" w14:textId="420C43EA" w:rsidR="00E52378" w:rsidRPr="00DB373C" w:rsidRDefault="00E52378" w:rsidP="00C51EC4">
      <w:pPr>
        <w:pStyle w:val="Heading2"/>
        <w:rPr>
          <w:sz w:val="20"/>
          <w:szCs w:val="20"/>
        </w:rPr>
      </w:pPr>
      <w:bookmarkStart w:id="74" w:name="_Toc222399485"/>
      <w:r w:rsidRPr="00DB373C">
        <w:rPr>
          <w:sz w:val="20"/>
          <w:szCs w:val="20"/>
        </w:rPr>
        <w:t>ANNEXURE III.12</w:t>
      </w:r>
      <w:r w:rsidR="00C51EC4" w:rsidRPr="00DB373C">
        <w:rPr>
          <w:sz w:val="20"/>
          <w:szCs w:val="20"/>
        </w:rPr>
        <w:br/>
      </w:r>
      <w:r w:rsidRPr="00DB373C">
        <w:rPr>
          <w:sz w:val="20"/>
          <w:szCs w:val="20"/>
        </w:rPr>
        <w:t xml:space="preserve">Provision </w:t>
      </w:r>
      <w:proofErr w:type="gramStart"/>
      <w:r w:rsidRPr="00DB373C">
        <w:rPr>
          <w:sz w:val="20"/>
          <w:szCs w:val="20"/>
        </w:rPr>
        <w:t>For</w:t>
      </w:r>
      <w:proofErr w:type="gramEnd"/>
      <w:r w:rsidRPr="00DB373C">
        <w:rPr>
          <w:sz w:val="20"/>
          <w:szCs w:val="20"/>
        </w:rPr>
        <w:t xml:space="preserve"> Maintenance </w:t>
      </w:r>
      <w:proofErr w:type="gramStart"/>
      <w:r w:rsidRPr="00DB373C">
        <w:rPr>
          <w:sz w:val="20"/>
          <w:szCs w:val="20"/>
        </w:rPr>
        <w:t>Of</w:t>
      </w:r>
      <w:proofErr w:type="gramEnd"/>
      <w:r w:rsidRPr="00DB373C">
        <w:rPr>
          <w:sz w:val="20"/>
          <w:szCs w:val="20"/>
        </w:rPr>
        <w:t xml:space="preserve"> Flood Control Works: 1990-95</w:t>
      </w:r>
      <w:bookmarkEnd w:id="73"/>
      <w:bookmarkEnd w:id="74"/>
    </w:p>
    <w:p w14:paraId="243B295A" w14:textId="7D24CF7C" w:rsidR="00E52378" w:rsidRPr="00C51EC4" w:rsidRDefault="00C51EC4" w:rsidP="00C5721F">
      <w:pPr>
        <w:pStyle w:val="NoSpacing"/>
        <w:jc w:val="right"/>
        <w:rPr>
          <w:rFonts w:ascii="Times New Roman" w:hAnsi="Times New Roman" w:cs="Times New Roman"/>
          <w:i/>
          <w:iCs/>
          <w:sz w:val="18"/>
          <w:szCs w:val="18"/>
        </w:rPr>
      </w:pPr>
      <w:r w:rsidRPr="00DB373C">
        <w:rPr>
          <w:rFonts w:ascii="Times New Roman" w:hAnsi="Times New Roman" w:cs="Times New Roman"/>
          <w:i/>
          <w:iCs/>
          <w:sz w:val="18"/>
          <w:szCs w:val="18"/>
        </w:rPr>
        <w:t>(Para 3.45)</w:t>
      </w:r>
      <w:r w:rsidR="00C5721F">
        <w:rPr>
          <w:rFonts w:ascii="Times New Roman" w:hAnsi="Times New Roman" w:cs="Times New Roman"/>
          <w:i/>
          <w:iCs/>
          <w:sz w:val="18"/>
          <w:szCs w:val="18"/>
        </w:rPr>
        <w:tab/>
      </w:r>
      <w:r w:rsidR="00C5721F">
        <w:rPr>
          <w:rFonts w:ascii="Times New Roman" w:hAnsi="Times New Roman" w:cs="Times New Roman"/>
          <w:i/>
          <w:iCs/>
          <w:sz w:val="18"/>
          <w:szCs w:val="18"/>
        </w:rPr>
        <w:tab/>
        <w:t xml:space="preserve"> </w:t>
      </w:r>
      <w:r w:rsidR="00E52378" w:rsidRPr="00C51EC4">
        <w:rPr>
          <w:rFonts w:ascii="Times New Roman" w:hAnsi="Times New Roman" w:cs="Times New Roman"/>
          <w:i/>
          <w:iCs/>
          <w:sz w:val="18"/>
          <w:szCs w:val="18"/>
        </w:rPr>
        <w:t>(Rs. Lakh)</w:t>
      </w:r>
    </w:p>
    <w:tbl>
      <w:tblPr>
        <w:tblStyle w:val="TableGrid"/>
        <w:tblW w:w="4771" w:type="dxa"/>
        <w:jc w:val="center"/>
        <w:tblLook w:val="04A0" w:firstRow="1" w:lastRow="0" w:firstColumn="1" w:lastColumn="0" w:noHBand="0" w:noVBand="1"/>
      </w:tblPr>
      <w:tblGrid>
        <w:gridCol w:w="1129"/>
        <w:gridCol w:w="607"/>
        <w:gridCol w:w="607"/>
        <w:gridCol w:w="607"/>
        <w:gridCol w:w="607"/>
        <w:gridCol w:w="607"/>
        <w:gridCol w:w="607"/>
      </w:tblGrid>
      <w:tr w:rsidR="00E52378" w:rsidRPr="00C5721F" w14:paraId="7C4DDE04" w14:textId="77777777" w:rsidTr="00C5721F">
        <w:trPr>
          <w:trHeight w:val="41"/>
          <w:jc w:val="center"/>
        </w:trPr>
        <w:tc>
          <w:tcPr>
            <w:tcW w:w="1129" w:type="dxa"/>
            <w:vAlign w:val="center"/>
            <w:hideMark/>
          </w:tcPr>
          <w:p w14:paraId="0CAE20DD"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STATES</w:t>
            </w:r>
          </w:p>
        </w:tc>
        <w:tc>
          <w:tcPr>
            <w:tcW w:w="607" w:type="dxa"/>
            <w:vAlign w:val="center"/>
            <w:hideMark/>
          </w:tcPr>
          <w:p w14:paraId="0F2F767C"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1990-91</w:t>
            </w:r>
          </w:p>
        </w:tc>
        <w:tc>
          <w:tcPr>
            <w:tcW w:w="607" w:type="dxa"/>
            <w:vAlign w:val="center"/>
            <w:hideMark/>
          </w:tcPr>
          <w:p w14:paraId="2AE12F5E"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1991-92</w:t>
            </w:r>
          </w:p>
        </w:tc>
        <w:tc>
          <w:tcPr>
            <w:tcW w:w="607" w:type="dxa"/>
            <w:vAlign w:val="center"/>
            <w:hideMark/>
          </w:tcPr>
          <w:p w14:paraId="1BE2E518"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1992-93</w:t>
            </w:r>
          </w:p>
        </w:tc>
        <w:tc>
          <w:tcPr>
            <w:tcW w:w="607" w:type="dxa"/>
            <w:vAlign w:val="center"/>
            <w:hideMark/>
          </w:tcPr>
          <w:p w14:paraId="6A7B892E"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1993-94</w:t>
            </w:r>
          </w:p>
        </w:tc>
        <w:tc>
          <w:tcPr>
            <w:tcW w:w="607" w:type="dxa"/>
            <w:vAlign w:val="center"/>
            <w:hideMark/>
          </w:tcPr>
          <w:p w14:paraId="204AA425"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1994-95</w:t>
            </w:r>
          </w:p>
        </w:tc>
        <w:tc>
          <w:tcPr>
            <w:tcW w:w="607" w:type="dxa"/>
            <w:vAlign w:val="center"/>
            <w:hideMark/>
          </w:tcPr>
          <w:p w14:paraId="6A87F1A3"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1990-95</w:t>
            </w:r>
          </w:p>
        </w:tc>
      </w:tr>
      <w:tr w:rsidR="00E52378" w:rsidRPr="00C5721F" w14:paraId="541F147E" w14:textId="77777777" w:rsidTr="00C5721F">
        <w:trPr>
          <w:trHeight w:val="41"/>
          <w:jc w:val="center"/>
        </w:trPr>
        <w:tc>
          <w:tcPr>
            <w:tcW w:w="1129" w:type="dxa"/>
            <w:vAlign w:val="center"/>
            <w:hideMark/>
          </w:tcPr>
          <w:p w14:paraId="524B3D8F"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 Andhra Pradesh</w:t>
            </w:r>
          </w:p>
        </w:tc>
        <w:tc>
          <w:tcPr>
            <w:tcW w:w="607" w:type="dxa"/>
            <w:vAlign w:val="center"/>
            <w:hideMark/>
          </w:tcPr>
          <w:p w14:paraId="2B85656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684</w:t>
            </w:r>
          </w:p>
        </w:tc>
        <w:tc>
          <w:tcPr>
            <w:tcW w:w="607" w:type="dxa"/>
            <w:vAlign w:val="center"/>
            <w:hideMark/>
          </w:tcPr>
          <w:p w14:paraId="378FDAB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732</w:t>
            </w:r>
          </w:p>
        </w:tc>
        <w:tc>
          <w:tcPr>
            <w:tcW w:w="607" w:type="dxa"/>
            <w:vAlign w:val="center"/>
            <w:hideMark/>
          </w:tcPr>
          <w:p w14:paraId="24C65E1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783</w:t>
            </w:r>
          </w:p>
        </w:tc>
        <w:tc>
          <w:tcPr>
            <w:tcW w:w="607" w:type="dxa"/>
            <w:vAlign w:val="center"/>
            <w:hideMark/>
          </w:tcPr>
          <w:p w14:paraId="6914A0B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838</w:t>
            </w:r>
          </w:p>
        </w:tc>
        <w:tc>
          <w:tcPr>
            <w:tcW w:w="607" w:type="dxa"/>
            <w:vAlign w:val="center"/>
            <w:hideMark/>
          </w:tcPr>
          <w:p w14:paraId="5766C98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896</w:t>
            </w:r>
          </w:p>
        </w:tc>
        <w:tc>
          <w:tcPr>
            <w:tcW w:w="607" w:type="dxa"/>
            <w:vAlign w:val="center"/>
            <w:hideMark/>
          </w:tcPr>
          <w:p w14:paraId="1D4DFE3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3933</w:t>
            </w:r>
          </w:p>
        </w:tc>
      </w:tr>
      <w:tr w:rsidR="00E52378" w:rsidRPr="00C5721F" w14:paraId="05036C9B" w14:textId="77777777" w:rsidTr="00C5721F">
        <w:trPr>
          <w:trHeight w:val="41"/>
          <w:jc w:val="center"/>
        </w:trPr>
        <w:tc>
          <w:tcPr>
            <w:tcW w:w="1129" w:type="dxa"/>
            <w:vAlign w:val="center"/>
            <w:hideMark/>
          </w:tcPr>
          <w:p w14:paraId="476217AA"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 Arunachal Pradesh</w:t>
            </w:r>
          </w:p>
        </w:tc>
        <w:tc>
          <w:tcPr>
            <w:tcW w:w="607" w:type="dxa"/>
            <w:vAlign w:val="center"/>
            <w:hideMark/>
          </w:tcPr>
          <w:p w14:paraId="1932B23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607" w:type="dxa"/>
            <w:vAlign w:val="center"/>
            <w:hideMark/>
          </w:tcPr>
          <w:p w14:paraId="48EAEF0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607" w:type="dxa"/>
            <w:vAlign w:val="center"/>
            <w:hideMark/>
          </w:tcPr>
          <w:p w14:paraId="77E172C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607" w:type="dxa"/>
            <w:vAlign w:val="center"/>
            <w:hideMark/>
          </w:tcPr>
          <w:p w14:paraId="1EFC365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607" w:type="dxa"/>
            <w:vAlign w:val="center"/>
            <w:hideMark/>
          </w:tcPr>
          <w:p w14:paraId="4CBCCA5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607" w:type="dxa"/>
            <w:vAlign w:val="center"/>
            <w:hideMark/>
          </w:tcPr>
          <w:p w14:paraId="01AA802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w:t>
            </w:r>
          </w:p>
        </w:tc>
      </w:tr>
      <w:tr w:rsidR="00E52378" w:rsidRPr="00C5721F" w14:paraId="33DCE1C8" w14:textId="77777777" w:rsidTr="00C5721F">
        <w:trPr>
          <w:trHeight w:val="41"/>
          <w:jc w:val="center"/>
        </w:trPr>
        <w:tc>
          <w:tcPr>
            <w:tcW w:w="1129" w:type="dxa"/>
            <w:vAlign w:val="center"/>
            <w:hideMark/>
          </w:tcPr>
          <w:p w14:paraId="6F6A234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3. Assam</w:t>
            </w:r>
          </w:p>
        </w:tc>
        <w:tc>
          <w:tcPr>
            <w:tcW w:w="607" w:type="dxa"/>
            <w:vAlign w:val="center"/>
            <w:hideMark/>
          </w:tcPr>
          <w:p w14:paraId="55D7D7E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2439</w:t>
            </w:r>
          </w:p>
        </w:tc>
        <w:tc>
          <w:tcPr>
            <w:tcW w:w="607" w:type="dxa"/>
            <w:vAlign w:val="center"/>
            <w:hideMark/>
          </w:tcPr>
          <w:p w14:paraId="5483E0A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2609</w:t>
            </w:r>
          </w:p>
        </w:tc>
        <w:tc>
          <w:tcPr>
            <w:tcW w:w="607" w:type="dxa"/>
            <w:vAlign w:val="center"/>
            <w:hideMark/>
          </w:tcPr>
          <w:p w14:paraId="624DADD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2792</w:t>
            </w:r>
          </w:p>
        </w:tc>
        <w:tc>
          <w:tcPr>
            <w:tcW w:w="607" w:type="dxa"/>
            <w:vAlign w:val="center"/>
            <w:hideMark/>
          </w:tcPr>
          <w:p w14:paraId="591429F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2987</w:t>
            </w:r>
          </w:p>
        </w:tc>
        <w:tc>
          <w:tcPr>
            <w:tcW w:w="607" w:type="dxa"/>
            <w:vAlign w:val="center"/>
            <w:hideMark/>
          </w:tcPr>
          <w:p w14:paraId="759BB0E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3196</w:t>
            </w:r>
          </w:p>
        </w:tc>
        <w:tc>
          <w:tcPr>
            <w:tcW w:w="607" w:type="dxa"/>
            <w:vAlign w:val="center"/>
            <w:hideMark/>
          </w:tcPr>
          <w:p w14:paraId="70DEF15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14023</w:t>
            </w:r>
          </w:p>
        </w:tc>
      </w:tr>
      <w:tr w:rsidR="00E52378" w:rsidRPr="00C5721F" w14:paraId="6796F137" w14:textId="77777777" w:rsidTr="00C5721F">
        <w:trPr>
          <w:trHeight w:val="41"/>
          <w:jc w:val="center"/>
        </w:trPr>
        <w:tc>
          <w:tcPr>
            <w:tcW w:w="1129" w:type="dxa"/>
            <w:vAlign w:val="center"/>
            <w:hideMark/>
          </w:tcPr>
          <w:p w14:paraId="3BCE8D66"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4. Bihar</w:t>
            </w:r>
          </w:p>
        </w:tc>
        <w:tc>
          <w:tcPr>
            <w:tcW w:w="607" w:type="dxa"/>
            <w:vAlign w:val="center"/>
            <w:hideMark/>
          </w:tcPr>
          <w:p w14:paraId="7E13506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4310</w:t>
            </w:r>
          </w:p>
        </w:tc>
        <w:tc>
          <w:tcPr>
            <w:tcW w:w="607" w:type="dxa"/>
            <w:vAlign w:val="center"/>
            <w:hideMark/>
          </w:tcPr>
          <w:p w14:paraId="460165A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4612</w:t>
            </w:r>
          </w:p>
        </w:tc>
        <w:tc>
          <w:tcPr>
            <w:tcW w:w="607" w:type="dxa"/>
            <w:vAlign w:val="center"/>
            <w:hideMark/>
          </w:tcPr>
          <w:p w14:paraId="3EA57B7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4934</w:t>
            </w:r>
          </w:p>
        </w:tc>
        <w:tc>
          <w:tcPr>
            <w:tcW w:w="607" w:type="dxa"/>
            <w:vAlign w:val="center"/>
            <w:hideMark/>
          </w:tcPr>
          <w:p w14:paraId="6D7EDFE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5280</w:t>
            </w:r>
          </w:p>
        </w:tc>
        <w:tc>
          <w:tcPr>
            <w:tcW w:w="607" w:type="dxa"/>
            <w:vAlign w:val="center"/>
            <w:hideMark/>
          </w:tcPr>
          <w:p w14:paraId="37612A1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5649</w:t>
            </w:r>
          </w:p>
        </w:tc>
        <w:tc>
          <w:tcPr>
            <w:tcW w:w="607" w:type="dxa"/>
            <w:vAlign w:val="center"/>
            <w:hideMark/>
          </w:tcPr>
          <w:p w14:paraId="2598879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24785</w:t>
            </w:r>
          </w:p>
        </w:tc>
      </w:tr>
      <w:tr w:rsidR="00E52378" w:rsidRPr="00C5721F" w14:paraId="34B9C9A9" w14:textId="77777777" w:rsidTr="00C5721F">
        <w:trPr>
          <w:trHeight w:val="41"/>
          <w:jc w:val="center"/>
        </w:trPr>
        <w:tc>
          <w:tcPr>
            <w:tcW w:w="1129" w:type="dxa"/>
            <w:vAlign w:val="center"/>
            <w:hideMark/>
          </w:tcPr>
          <w:p w14:paraId="24B0B5C1"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5. Goa</w:t>
            </w:r>
          </w:p>
        </w:tc>
        <w:tc>
          <w:tcPr>
            <w:tcW w:w="607" w:type="dxa"/>
            <w:vAlign w:val="center"/>
            <w:hideMark/>
          </w:tcPr>
          <w:p w14:paraId="2A3980B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607" w:type="dxa"/>
            <w:vAlign w:val="center"/>
            <w:hideMark/>
          </w:tcPr>
          <w:p w14:paraId="7B0C7B0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w:t>
            </w:r>
          </w:p>
        </w:tc>
        <w:tc>
          <w:tcPr>
            <w:tcW w:w="607" w:type="dxa"/>
            <w:vAlign w:val="center"/>
            <w:hideMark/>
          </w:tcPr>
          <w:p w14:paraId="28D9518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w:t>
            </w:r>
          </w:p>
        </w:tc>
        <w:tc>
          <w:tcPr>
            <w:tcW w:w="607" w:type="dxa"/>
            <w:vAlign w:val="center"/>
            <w:hideMark/>
          </w:tcPr>
          <w:p w14:paraId="34197DB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w:t>
            </w:r>
          </w:p>
        </w:tc>
        <w:tc>
          <w:tcPr>
            <w:tcW w:w="607" w:type="dxa"/>
            <w:vAlign w:val="center"/>
            <w:hideMark/>
          </w:tcPr>
          <w:p w14:paraId="50F7940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w:t>
            </w:r>
          </w:p>
        </w:tc>
        <w:tc>
          <w:tcPr>
            <w:tcW w:w="607" w:type="dxa"/>
            <w:vAlign w:val="center"/>
            <w:hideMark/>
          </w:tcPr>
          <w:p w14:paraId="44F6377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75</w:t>
            </w:r>
          </w:p>
        </w:tc>
      </w:tr>
      <w:tr w:rsidR="00E52378" w:rsidRPr="00C5721F" w14:paraId="5E5C753F" w14:textId="77777777" w:rsidTr="00C5721F">
        <w:trPr>
          <w:trHeight w:val="41"/>
          <w:jc w:val="center"/>
        </w:trPr>
        <w:tc>
          <w:tcPr>
            <w:tcW w:w="1129" w:type="dxa"/>
            <w:vAlign w:val="center"/>
            <w:hideMark/>
          </w:tcPr>
          <w:p w14:paraId="567A298A"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6. Gujarat</w:t>
            </w:r>
          </w:p>
        </w:tc>
        <w:tc>
          <w:tcPr>
            <w:tcW w:w="607" w:type="dxa"/>
            <w:vAlign w:val="center"/>
            <w:hideMark/>
          </w:tcPr>
          <w:p w14:paraId="2798887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505</w:t>
            </w:r>
          </w:p>
        </w:tc>
        <w:tc>
          <w:tcPr>
            <w:tcW w:w="607" w:type="dxa"/>
            <w:vAlign w:val="center"/>
            <w:hideMark/>
          </w:tcPr>
          <w:p w14:paraId="21B84EA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540</w:t>
            </w:r>
          </w:p>
        </w:tc>
        <w:tc>
          <w:tcPr>
            <w:tcW w:w="607" w:type="dxa"/>
            <w:vAlign w:val="center"/>
            <w:hideMark/>
          </w:tcPr>
          <w:p w14:paraId="36AEBF4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578</w:t>
            </w:r>
          </w:p>
        </w:tc>
        <w:tc>
          <w:tcPr>
            <w:tcW w:w="607" w:type="dxa"/>
            <w:vAlign w:val="center"/>
            <w:hideMark/>
          </w:tcPr>
          <w:p w14:paraId="68EBDEE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619</w:t>
            </w:r>
          </w:p>
        </w:tc>
        <w:tc>
          <w:tcPr>
            <w:tcW w:w="607" w:type="dxa"/>
            <w:vAlign w:val="center"/>
            <w:hideMark/>
          </w:tcPr>
          <w:p w14:paraId="3BD2356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662</w:t>
            </w:r>
          </w:p>
        </w:tc>
        <w:tc>
          <w:tcPr>
            <w:tcW w:w="607" w:type="dxa"/>
            <w:vAlign w:val="center"/>
            <w:hideMark/>
          </w:tcPr>
          <w:p w14:paraId="0A579E3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2904</w:t>
            </w:r>
          </w:p>
        </w:tc>
      </w:tr>
      <w:tr w:rsidR="00E52378" w:rsidRPr="00C5721F" w14:paraId="4BAC7D5C" w14:textId="77777777" w:rsidTr="00C5721F">
        <w:trPr>
          <w:trHeight w:val="41"/>
          <w:jc w:val="center"/>
        </w:trPr>
        <w:tc>
          <w:tcPr>
            <w:tcW w:w="1129" w:type="dxa"/>
            <w:vAlign w:val="center"/>
            <w:hideMark/>
          </w:tcPr>
          <w:p w14:paraId="1C0ADB9D"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7. Haryana</w:t>
            </w:r>
          </w:p>
        </w:tc>
        <w:tc>
          <w:tcPr>
            <w:tcW w:w="607" w:type="dxa"/>
            <w:vAlign w:val="center"/>
            <w:hideMark/>
          </w:tcPr>
          <w:p w14:paraId="6797D4D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324</w:t>
            </w:r>
          </w:p>
        </w:tc>
        <w:tc>
          <w:tcPr>
            <w:tcW w:w="607" w:type="dxa"/>
            <w:vAlign w:val="center"/>
            <w:hideMark/>
          </w:tcPr>
          <w:p w14:paraId="46CC84B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347</w:t>
            </w:r>
          </w:p>
        </w:tc>
        <w:tc>
          <w:tcPr>
            <w:tcW w:w="607" w:type="dxa"/>
            <w:vAlign w:val="center"/>
            <w:hideMark/>
          </w:tcPr>
          <w:p w14:paraId="2F0CF13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371</w:t>
            </w:r>
          </w:p>
        </w:tc>
        <w:tc>
          <w:tcPr>
            <w:tcW w:w="607" w:type="dxa"/>
            <w:vAlign w:val="center"/>
            <w:hideMark/>
          </w:tcPr>
          <w:p w14:paraId="1E8ED1C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397</w:t>
            </w:r>
          </w:p>
        </w:tc>
        <w:tc>
          <w:tcPr>
            <w:tcW w:w="607" w:type="dxa"/>
            <w:vAlign w:val="center"/>
            <w:hideMark/>
          </w:tcPr>
          <w:p w14:paraId="6812905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425</w:t>
            </w:r>
          </w:p>
        </w:tc>
        <w:tc>
          <w:tcPr>
            <w:tcW w:w="607" w:type="dxa"/>
            <w:vAlign w:val="center"/>
            <w:hideMark/>
          </w:tcPr>
          <w:p w14:paraId="2B392E2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1864</w:t>
            </w:r>
          </w:p>
        </w:tc>
      </w:tr>
      <w:tr w:rsidR="00E52378" w:rsidRPr="00C5721F" w14:paraId="0D44D9A3" w14:textId="77777777" w:rsidTr="00C5721F">
        <w:trPr>
          <w:trHeight w:val="41"/>
          <w:jc w:val="center"/>
        </w:trPr>
        <w:tc>
          <w:tcPr>
            <w:tcW w:w="1129" w:type="dxa"/>
            <w:vAlign w:val="center"/>
            <w:hideMark/>
          </w:tcPr>
          <w:p w14:paraId="3352218B"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8. Himachal Pradesh</w:t>
            </w:r>
          </w:p>
        </w:tc>
        <w:tc>
          <w:tcPr>
            <w:tcW w:w="607" w:type="dxa"/>
            <w:vAlign w:val="center"/>
            <w:hideMark/>
          </w:tcPr>
          <w:p w14:paraId="70DD934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w:t>
            </w:r>
          </w:p>
        </w:tc>
        <w:tc>
          <w:tcPr>
            <w:tcW w:w="607" w:type="dxa"/>
            <w:vAlign w:val="center"/>
            <w:hideMark/>
          </w:tcPr>
          <w:p w14:paraId="7F681D6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607" w:type="dxa"/>
            <w:vAlign w:val="center"/>
            <w:hideMark/>
          </w:tcPr>
          <w:p w14:paraId="583DCA9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607" w:type="dxa"/>
            <w:vAlign w:val="center"/>
            <w:hideMark/>
          </w:tcPr>
          <w:p w14:paraId="5591132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w:t>
            </w:r>
          </w:p>
        </w:tc>
        <w:tc>
          <w:tcPr>
            <w:tcW w:w="607" w:type="dxa"/>
            <w:vAlign w:val="center"/>
            <w:hideMark/>
          </w:tcPr>
          <w:p w14:paraId="3998063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w:t>
            </w:r>
          </w:p>
        </w:tc>
        <w:tc>
          <w:tcPr>
            <w:tcW w:w="607" w:type="dxa"/>
            <w:vAlign w:val="center"/>
            <w:hideMark/>
          </w:tcPr>
          <w:p w14:paraId="183390C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67</w:t>
            </w:r>
          </w:p>
        </w:tc>
      </w:tr>
      <w:tr w:rsidR="00E52378" w:rsidRPr="00C5721F" w14:paraId="262B4FED" w14:textId="77777777" w:rsidTr="00C5721F">
        <w:trPr>
          <w:trHeight w:val="41"/>
          <w:jc w:val="center"/>
        </w:trPr>
        <w:tc>
          <w:tcPr>
            <w:tcW w:w="1129" w:type="dxa"/>
            <w:vAlign w:val="center"/>
            <w:hideMark/>
          </w:tcPr>
          <w:p w14:paraId="255E0B6C"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9. Jammu &amp; Kashmir</w:t>
            </w:r>
          </w:p>
        </w:tc>
        <w:tc>
          <w:tcPr>
            <w:tcW w:w="607" w:type="dxa"/>
            <w:vAlign w:val="center"/>
            <w:hideMark/>
          </w:tcPr>
          <w:p w14:paraId="23E8F37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406</w:t>
            </w:r>
          </w:p>
        </w:tc>
        <w:tc>
          <w:tcPr>
            <w:tcW w:w="607" w:type="dxa"/>
            <w:vAlign w:val="center"/>
            <w:hideMark/>
          </w:tcPr>
          <w:p w14:paraId="3AD1162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434</w:t>
            </w:r>
          </w:p>
        </w:tc>
        <w:tc>
          <w:tcPr>
            <w:tcW w:w="607" w:type="dxa"/>
            <w:vAlign w:val="center"/>
            <w:hideMark/>
          </w:tcPr>
          <w:p w14:paraId="024B2AD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464</w:t>
            </w:r>
          </w:p>
        </w:tc>
        <w:tc>
          <w:tcPr>
            <w:tcW w:w="607" w:type="dxa"/>
            <w:vAlign w:val="center"/>
            <w:hideMark/>
          </w:tcPr>
          <w:p w14:paraId="18B8143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497</w:t>
            </w:r>
          </w:p>
        </w:tc>
        <w:tc>
          <w:tcPr>
            <w:tcW w:w="607" w:type="dxa"/>
            <w:vAlign w:val="center"/>
            <w:hideMark/>
          </w:tcPr>
          <w:p w14:paraId="68EC30B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532</w:t>
            </w:r>
          </w:p>
        </w:tc>
        <w:tc>
          <w:tcPr>
            <w:tcW w:w="607" w:type="dxa"/>
            <w:vAlign w:val="center"/>
            <w:hideMark/>
          </w:tcPr>
          <w:p w14:paraId="48169A5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2333</w:t>
            </w:r>
          </w:p>
        </w:tc>
      </w:tr>
      <w:tr w:rsidR="00E52378" w:rsidRPr="00C5721F" w14:paraId="57B17555" w14:textId="77777777" w:rsidTr="00C5721F">
        <w:trPr>
          <w:trHeight w:val="41"/>
          <w:jc w:val="center"/>
        </w:trPr>
        <w:tc>
          <w:tcPr>
            <w:tcW w:w="1129" w:type="dxa"/>
            <w:vAlign w:val="center"/>
            <w:hideMark/>
          </w:tcPr>
          <w:p w14:paraId="66A5EE8B"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10. Karnataka</w:t>
            </w:r>
          </w:p>
        </w:tc>
        <w:tc>
          <w:tcPr>
            <w:tcW w:w="607" w:type="dxa"/>
            <w:vAlign w:val="center"/>
            <w:hideMark/>
          </w:tcPr>
          <w:p w14:paraId="06BD343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w:t>
            </w:r>
          </w:p>
        </w:tc>
        <w:tc>
          <w:tcPr>
            <w:tcW w:w="607" w:type="dxa"/>
            <w:vAlign w:val="center"/>
            <w:hideMark/>
          </w:tcPr>
          <w:p w14:paraId="23892D8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w:t>
            </w:r>
          </w:p>
        </w:tc>
        <w:tc>
          <w:tcPr>
            <w:tcW w:w="607" w:type="dxa"/>
            <w:vAlign w:val="center"/>
            <w:hideMark/>
          </w:tcPr>
          <w:p w14:paraId="60A3433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w:t>
            </w:r>
          </w:p>
        </w:tc>
        <w:tc>
          <w:tcPr>
            <w:tcW w:w="607" w:type="dxa"/>
            <w:vAlign w:val="center"/>
            <w:hideMark/>
          </w:tcPr>
          <w:p w14:paraId="72568C4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w:t>
            </w:r>
          </w:p>
        </w:tc>
        <w:tc>
          <w:tcPr>
            <w:tcW w:w="607" w:type="dxa"/>
            <w:vAlign w:val="center"/>
            <w:hideMark/>
          </w:tcPr>
          <w:p w14:paraId="7D4FED2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w:t>
            </w:r>
          </w:p>
        </w:tc>
        <w:tc>
          <w:tcPr>
            <w:tcW w:w="607" w:type="dxa"/>
            <w:vAlign w:val="center"/>
            <w:hideMark/>
          </w:tcPr>
          <w:p w14:paraId="7E4928D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w:t>
            </w:r>
          </w:p>
        </w:tc>
      </w:tr>
      <w:tr w:rsidR="00E52378" w:rsidRPr="00C5721F" w14:paraId="61569A1A" w14:textId="77777777" w:rsidTr="00C5721F">
        <w:trPr>
          <w:trHeight w:val="41"/>
          <w:jc w:val="center"/>
        </w:trPr>
        <w:tc>
          <w:tcPr>
            <w:tcW w:w="1129" w:type="dxa"/>
            <w:vAlign w:val="center"/>
            <w:hideMark/>
          </w:tcPr>
          <w:p w14:paraId="4DEF2FFF"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11. Kerala</w:t>
            </w:r>
          </w:p>
        </w:tc>
        <w:tc>
          <w:tcPr>
            <w:tcW w:w="607" w:type="dxa"/>
            <w:vAlign w:val="center"/>
            <w:hideMark/>
          </w:tcPr>
          <w:p w14:paraId="6C11159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560</w:t>
            </w:r>
          </w:p>
        </w:tc>
        <w:tc>
          <w:tcPr>
            <w:tcW w:w="607" w:type="dxa"/>
            <w:vAlign w:val="center"/>
            <w:hideMark/>
          </w:tcPr>
          <w:p w14:paraId="667708E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599</w:t>
            </w:r>
          </w:p>
        </w:tc>
        <w:tc>
          <w:tcPr>
            <w:tcW w:w="607" w:type="dxa"/>
            <w:vAlign w:val="center"/>
            <w:hideMark/>
          </w:tcPr>
          <w:p w14:paraId="7F9DF3F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641</w:t>
            </w:r>
          </w:p>
        </w:tc>
        <w:tc>
          <w:tcPr>
            <w:tcW w:w="607" w:type="dxa"/>
            <w:vAlign w:val="center"/>
            <w:hideMark/>
          </w:tcPr>
          <w:p w14:paraId="69A5275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686</w:t>
            </w:r>
          </w:p>
        </w:tc>
        <w:tc>
          <w:tcPr>
            <w:tcW w:w="607" w:type="dxa"/>
            <w:vAlign w:val="center"/>
            <w:hideMark/>
          </w:tcPr>
          <w:p w14:paraId="7FE321E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734</w:t>
            </w:r>
          </w:p>
        </w:tc>
        <w:tc>
          <w:tcPr>
            <w:tcW w:w="607" w:type="dxa"/>
            <w:vAlign w:val="center"/>
            <w:hideMark/>
          </w:tcPr>
          <w:p w14:paraId="47995B7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3220</w:t>
            </w:r>
          </w:p>
        </w:tc>
      </w:tr>
      <w:tr w:rsidR="00E52378" w:rsidRPr="00C5721F" w14:paraId="6A0A9EC9" w14:textId="77777777" w:rsidTr="00C5721F">
        <w:trPr>
          <w:trHeight w:val="41"/>
          <w:jc w:val="center"/>
        </w:trPr>
        <w:tc>
          <w:tcPr>
            <w:tcW w:w="1129" w:type="dxa"/>
            <w:vAlign w:val="center"/>
            <w:hideMark/>
          </w:tcPr>
          <w:p w14:paraId="5262C849"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12. Madhya Pradesh</w:t>
            </w:r>
          </w:p>
        </w:tc>
        <w:tc>
          <w:tcPr>
            <w:tcW w:w="607" w:type="dxa"/>
            <w:vAlign w:val="center"/>
            <w:hideMark/>
          </w:tcPr>
          <w:p w14:paraId="32AA877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w:t>
            </w:r>
          </w:p>
        </w:tc>
        <w:tc>
          <w:tcPr>
            <w:tcW w:w="607" w:type="dxa"/>
            <w:vAlign w:val="center"/>
            <w:hideMark/>
          </w:tcPr>
          <w:p w14:paraId="531CA09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w:t>
            </w:r>
          </w:p>
        </w:tc>
        <w:tc>
          <w:tcPr>
            <w:tcW w:w="607" w:type="dxa"/>
            <w:vAlign w:val="center"/>
            <w:hideMark/>
          </w:tcPr>
          <w:p w14:paraId="0C4AE84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w:t>
            </w:r>
          </w:p>
        </w:tc>
        <w:tc>
          <w:tcPr>
            <w:tcW w:w="607" w:type="dxa"/>
            <w:vAlign w:val="center"/>
            <w:hideMark/>
          </w:tcPr>
          <w:p w14:paraId="30BDB09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w:t>
            </w:r>
          </w:p>
        </w:tc>
        <w:tc>
          <w:tcPr>
            <w:tcW w:w="607" w:type="dxa"/>
            <w:vAlign w:val="center"/>
            <w:hideMark/>
          </w:tcPr>
          <w:p w14:paraId="782BEDD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w:t>
            </w:r>
          </w:p>
        </w:tc>
        <w:tc>
          <w:tcPr>
            <w:tcW w:w="607" w:type="dxa"/>
            <w:vAlign w:val="center"/>
            <w:hideMark/>
          </w:tcPr>
          <w:p w14:paraId="485117C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w:t>
            </w:r>
          </w:p>
        </w:tc>
      </w:tr>
      <w:tr w:rsidR="00E52378" w:rsidRPr="00C5721F" w14:paraId="4BA8C79D" w14:textId="77777777" w:rsidTr="00C5721F">
        <w:trPr>
          <w:trHeight w:val="41"/>
          <w:jc w:val="center"/>
        </w:trPr>
        <w:tc>
          <w:tcPr>
            <w:tcW w:w="1129" w:type="dxa"/>
            <w:vAlign w:val="center"/>
            <w:hideMark/>
          </w:tcPr>
          <w:p w14:paraId="347A6F45"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13. Maharashtra</w:t>
            </w:r>
          </w:p>
        </w:tc>
        <w:tc>
          <w:tcPr>
            <w:tcW w:w="607" w:type="dxa"/>
            <w:vAlign w:val="center"/>
            <w:hideMark/>
          </w:tcPr>
          <w:p w14:paraId="580B734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w:t>
            </w:r>
          </w:p>
        </w:tc>
        <w:tc>
          <w:tcPr>
            <w:tcW w:w="607" w:type="dxa"/>
            <w:vAlign w:val="center"/>
            <w:hideMark/>
          </w:tcPr>
          <w:p w14:paraId="4A5209A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w:t>
            </w:r>
          </w:p>
        </w:tc>
        <w:tc>
          <w:tcPr>
            <w:tcW w:w="607" w:type="dxa"/>
            <w:vAlign w:val="center"/>
            <w:hideMark/>
          </w:tcPr>
          <w:p w14:paraId="4849924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w:t>
            </w:r>
          </w:p>
        </w:tc>
        <w:tc>
          <w:tcPr>
            <w:tcW w:w="607" w:type="dxa"/>
            <w:vAlign w:val="center"/>
            <w:hideMark/>
          </w:tcPr>
          <w:p w14:paraId="497E821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w:t>
            </w:r>
          </w:p>
        </w:tc>
        <w:tc>
          <w:tcPr>
            <w:tcW w:w="607" w:type="dxa"/>
            <w:vAlign w:val="center"/>
            <w:hideMark/>
          </w:tcPr>
          <w:p w14:paraId="1552933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w:t>
            </w:r>
          </w:p>
        </w:tc>
        <w:tc>
          <w:tcPr>
            <w:tcW w:w="607" w:type="dxa"/>
            <w:vAlign w:val="center"/>
            <w:hideMark/>
          </w:tcPr>
          <w:p w14:paraId="1BE56D8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123</w:t>
            </w:r>
          </w:p>
        </w:tc>
      </w:tr>
      <w:tr w:rsidR="00E52378" w:rsidRPr="00C5721F" w14:paraId="2339D757" w14:textId="77777777" w:rsidTr="00C5721F">
        <w:trPr>
          <w:trHeight w:val="41"/>
          <w:jc w:val="center"/>
        </w:trPr>
        <w:tc>
          <w:tcPr>
            <w:tcW w:w="1129" w:type="dxa"/>
            <w:vAlign w:val="center"/>
            <w:hideMark/>
          </w:tcPr>
          <w:p w14:paraId="24FEA283"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14. Manipur</w:t>
            </w:r>
          </w:p>
        </w:tc>
        <w:tc>
          <w:tcPr>
            <w:tcW w:w="607" w:type="dxa"/>
            <w:vAlign w:val="center"/>
            <w:hideMark/>
          </w:tcPr>
          <w:p w14:paraId="57AD323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208</w:t>
            </w:r>
          </w:p>
        </w:tc>
        <w:tc>
          <w:tcPr>
            <w:tcW w:w="607" w:type="dxa"/>
            <w:vAlign w:val="center"/>
            <w:hideMark/>
          </w:tcPr>
          <w:p w14:paraId="2A6C2B6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222</w:t>
            </w:r>
          </w:p>
        </w:tc>
        <w:tc>
          <w:tcPr>
            <w:tcW w:w="607" w:type="dxa"/>
            <w:vAlign w:val="center"/>
            <w:hideMark/>
          </w:tcPr>
          <w:p w14:paraId="12CA6DA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238</w:t>
            </w:r>
          </w:p>
        </w:tc>
        <w:tc>
          <w:tcPr>
            <w:tcW w:w="607" w:type="dxa"/>
            <w:vAlign w:val="center"/>
            <w:hideMark/>
          </w:tcPr>
          <w:p w14:paraId="7ADC977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254</w:t>
            </w:r>
          </w:p>
        </w:tc>
        <w:tc>
          <w:tcPr>
            <w:tcW w:w="607" w:type="dxa"/>
            <w:vAlign w:val="center"/>
            <w:hideMark/>
          </w:tcPr>
          <w:p w14:paraId="7BAAE81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272</w:t>
            </w:r>
          </w:p>
        </w:tc>
        <w:tc>
          <w:tcPr>
            <w:tcW w:w="607" w:type="dxa"/>
            <w:vAlign w:val="center"/>
            <w:hideMark/>
          </w:tcPr>
          <w:p w14:paraId="6695FDE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1194</w:t>
            </w:r>
          </w:p>
        </w:tc>
      </w:tr>
      <w:tr w:rsidR="00E52378" w:rsidRPr="00C5721F" w14:paraId="37B7481F" w14:textId="77777777" w:rsidTr="00C5721F">
        <w:trPr>
          <w:trHeight w:val="41"/>
          <w:jc w:val="center"/>
        </w:trPr>
        <w:tc>
          <w:tcPr>
            <w:tcW w:w="1129" w:type="dxa"/>
            <w:vAlign w:val="center"/>
            <w:hideMark/>
          </w:tcPr>
          <w:p w14:paraId="7D06F15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15. Meghalaya</w:t>
            </w:r>
          </w:p>
        </w:tc>
        <w:tc>
          <w:tcPr>
            <w:tcW w:w="607" w:type="dxa"/>
            <w:vAlign w:val="center"/>
            <w:hideMark/>
          </w:tcPr>
          <w:p w14:paraId="0E6523B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w:t>
            </w:r>
          </w:p>
        </w:tc>
        <w:tc>
          <w:tcPr>
            <w:tcW w:w="607" w:type="dxa"/>
            <w:vAlign w:val="center"/>
            <w:hideMark/>
          </w:tcPr>
          <w:p w14:paraId="59181B9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w:t>
            </w:r>
          </w:p>
        </w:tc>
        <w:tc>
          <w:tcPr>
            <w:tcW w:w="607" w:type="dxa"/>
            <w:vAlign w:val="center"/>
            <w:hideMark/>
          </w:tcPr>
          <w:p w14:paraId="0CE7503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w:t>
            </w:r>
          </w:p>
        </w:tc>
        <w:tc>
          <w:tcPr>
            <w:tcW w:w="607" w:type="dxa"/>
            <w:vAlign w:val="center"/>
            <w:hideMark/>
          </w:tcPr>
          <w:p w14:paraId="20FD181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w:t>
            </w:r>
          </w:p>
        </w:tc>
        <w:tc>
          <w:tcPr>
            <w:tcW w:w="607" w:type="dxa"/>
            <w:vAlign w:val="center"/>
            <w:hideMark/>
          </w:tcPr>
          <w:p w14:paraId="2891D01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w:t>
            </w:r>
          </w:p>
        </w:tc>
        <w:tc>
          <w:tcPr>
            <w:tcW w:w="607" w:type="dxa"/>
            <w:vAlign w:val="center"/>
            <w:hideMark/>
          </w:tcPr>
          <w:p w14:paraId="7CE9FDB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141</w:t>
            </w:r>
          </w:p>
        </w:tc>
      </w:tr>
      <w:tr w:rsidR="00E52378" w:rsidRPr="00C5721F" w14:paraId="3E5C2C5B" w14:textId="77777777" w:rsidTr="00C5721F">
        <w:trPr>
          <w:trHeight w:val="41"/>
          <w:jc w:val="center"/>
        </w:trPr>
        <w:tc>
          <w:tcPr>
            <w:tcW w:w="1129" w:type="dxa"/>
            <w:vAlign w:val="center"/>
            <w:hideMark/>
          </w:tcPr>
          <w:p w14:paraId="0D56A3CF"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16. Mizoram</w:t>
            </w:r>
          </w:p>
        </w:tc>
        <w:tc>
          <w:tcPr>
            <w:tcW w:w="607" w:type="dxa"/>
            <w:vAlign w:val="center"/>
            <w:hideMark/>
          </w:tcPr>
          <w:p w14:paraId="4FD6E7C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607" w:type="dxa"/>
            <w:vAlign w:val="center"/>
            <w:hideMark/>
          </w:tcPr>
          <w:p w14:paraId="0287BF1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w:t>
            </w:r>
          </w:p>
        </w:tc>
        <w:tc>
          <w:tcPr>
            <w:tcW w:w="607" w:type="dxa"/>
            <w:vAlign w:val="center"/>
            <w:hideMark/>
          </w:tcPr>
          <w:p w14:paraId="2CBB063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607" w:type="dxa"/>
            <w:vAlign w:val="center"/>
            <w:hideMark/>
          </w:tcPr>
          <w:p w14:paraId="1DE92CB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607" w:type="dxa"/>
            <w:vAlign w:val="center"/>
            <w:hideMark/>
          </w:tcPr>
          <w:p w14:paraId="1564573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w:t>
            </w:r>
          </w:p>
        </w:tc>
        <w:tc>
          <w:tcPr>
            <w:tcW w:w="607" w:type="dxa"/>
            <w:vAlign w:val="center"/>
            <w:hideMark/>
          </w:tcPr>
          <w:p w14:paraId="4571EB4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w:t>
            </w:r>
          </w:p>
        </w:tc>
      </w:tr>
      <w:tr w:rsidR="00E52378" w:rsidRPr="00C5721F" w14:paraId="04D251D9" w14:textId="77777777" w:rsidTr="00C5721F">
        <w:trPr>
          <w:trHeight w:val="41"/>
          <w:jc w:val="center"/>
        </w:trPr>
        <w:tc>
          <w:tcPr>
            <w:tcW w:w="1129" w:type="dxa"/>
            <w:vAlign w:val="center"/>
            <w:hideMark/>
          </w:tcPr>
          <w:p w14:paraId="711E7AEB"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17. Nagaland</w:t>
            </w:r>
          </w:p>
        </w:tc>
        <w:tc>
          <w:tcPr>
            <w:tcW w:w="607" w:type="dxa"/>
            <w:vAlign w:val="center"/>
            <w:hideMark/>
          </w:tcPr>
          <w:p w14:paraId="395E7DB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607" w:type="dxa"/>
            <w:vAlign w:val="center"/>
            <w:hideMark/>
          </w:tcPr>
          <w:p w14:paraId="790A729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607" w:type="dxa"/>
            <w:vAlign w:val="center"/>
            <w:hideMark/>
          </w:tcPr>
          <w:p w14:paraId="20DA9D7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607" w:type="dxa"/>
            <w:vAlign w:val="center"/>
            <w:hideMark/>
          </w:tcPr>
          <w:p w14:paraId="7DD6AD5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607" w:type="dxa"/>
            <w:vAlign w:val="center"/>
            <w:hideMark/>
          </w:tcPr>
          <w:p w14:paraId="2FC4289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607" w:type="dxa"/>
            <w:vAlign w:val="center"/>
            <w:hideMark/>
          </w:tcPr>
          <w:p w14:paraId="1356D26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E52378" w:rsidRPr="00C5721F" w14:paraId="3DDF6B6E" w14:textId="77777777" w:rsidTr="00C5721F">
        <w:trPr>
          <w:trHeight w:val="41"/>
          <w:jc w:val="center"/>
        </w:trPr>
        <w:tc>
          <w:tcPr>
            <w:tcW w:w="1129" w:type="dxa"/>
            <w:vAlign w:val="center"/>
            <w:hideMark/>
          </w:tcPr>
          <w:p w14:paraId="139AAD8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18. Orissa</w:t>
            </w:r>
          </w:p>
        </w:tc>
        <w:tc>
          <w:tcPr>
            <w:tcW w:w="607" w:type="dxa"/>
            <w:vAlign w:val="center"/>
            <w:hideMark/>
          </w:tcPr>
          <w:p w14:paraId="3000CB2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1195</w:t>
            </w:r>
          </w:p>
        </w:tc>
        <w:tc>
          <w:tcPr>
            <w:tcW w:w="607" w:type="dxa"/>
            <w:vAlign w:val="center"/>
            <w:hideMark/>
          </w:tcPr>
          <w:p w14:paraId="297E2AE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1279</w:t>
            </w:r>
          </w:p>
        </w:tc>
        <w:tc>
          <w:tcPr>
            <w:tcW w:w="607" w:type="dxa"/>
            <w:vAlign w:val="center"/>
            <w:hideMark/>
          </w:tcPr>
          <w:p w14:paraId="683FA47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1368</w:t>
            </w:r>
          </w:p>
        </w:tc>
        <w:tc>
          <w:tcPr>
            <w:tcW w:w="607" w:type="dxa"/>
            <w:vAlign w:val="center"/>
            <w:hideMark/>
          </w:tcPr>
          <w:p w14:paraId="6C9497C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1464</w:t>
            </w:r>
          </w:p>
        </w:tc>
        <w:tc>
          <w:tcPr>
            <w:tcW w:w="607" w:type="dxa"/>
            <w:vAlign w:val="center"/>
            <w:hideMark/>
          </w:tcPr>
          <w:p w14:paraId="1B8FC2D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1567</w:t>
            </w:r>
          </w:p>
        </w:tc>
        <w:tc>
          <w:tcPr>
            <w:tcW w:w="607" w:type="dxa"/>
            <w:vAlign w:val="center"/>
            <w:hideMark/>
          </w:tcPr>
          <w:p w14:paraId="7532EDF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6873</w:t>
            </w:r>
          </w:p>
        </w:tc>
      </w:tr>
      <w:tr w:rsidR="00E52378" w:rsidRPr="00C5721F" w14:paraId="0138DB6B" w14:textId="77777777" w:rsidTr="00C5721F">
        <w:trPr>
          <w:trHeight w:val="41"/>
          <w:jc w:val="center"/>
        </w:trPr>
        <w:tc>
          <w:tcPr>
            <w:tcW w:w="1129" w:type="dxa"/>
            <w:vAlign w:val="center"/>
            <w:hideMark/>
          </w:tcPr>
          <w:p w14:paraId="3F292105"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19. Punjab</w:t>
            </w:r>
          </w:p>
        </w:tc>
        <w:tc>
          <w:tcPr>
            <w:tcW w:w="607" w:type="dxa"/>
            <w:vAlign w:val="center"/>
            <w:hideMark/>
          </w:tcPr>
          <w:p w14:paraId="27E4904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685</w:t>
            </w:r>
          </w:p>
        </w:tc>
        <w:tc>
          <w:tcPr>
            <w:tcW w:w="607" w:type="dxa"/>
            <w:vAlign w:val="center"/>
            <w:hideMark/>
          </w:tcPr>
          <w:p w14:paraId="068027B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733</w:t>
            </w:r>
          </w:p>
        </w:tc>
        <w:tc>
          <w:tcPr>
            <w:tcW w:w="607" w:type="dxa"/>
            <w:vAlign w:val="center"/>
            <w:hideMark/>
          </w:tcPr>
          <w:p w14:paraId="7D7FB61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784</w:t>
            </w:r>
          </w:p>
        </w:tc>
        <w:tc>
          <w:tcPr>
            <w:tcW w:w="607" w:type="dxa"/>
            <w:vAlign w:val="center"/>
            <w:hideMark/>
          </w:tcPr>
          <w:p w14:paraId="2778CBA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839</w:t>
            </w:r>
          </w:p>
        </w:tc>
        <w:tc>
          <w:tcPr>
            <w:tcW w:w="607" w:type="dxa"/>
            <w:vAlign w:val="center"/>
            <w:hideMark/>
          </w:tcPr>
          <w:p w14:paraId="6029639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898</w:t>
            </w:r>
          </w:p>
        </w:tc>
        <w:tc>
          <w:tcPr>
            <w:tcW w:w="607" w:type="dxa"/>
            <w:vAlign w:val="center"/>
            <w:hideMark/>
          </w:tcPr>
          <w:p w14:paraId="2EDD775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3939</w:t>
            </w:r>
          </w:p>
        </w:tc>
      </w:tr>
      <w:tr w:rsidR="00E52378" w:rsidRPr="00C5721F" w14:paraId="48C27ABE" w14:textId="77777777" w:rsidTr="00C5721F">
        <w:trPr>
          <w:trHeight w:val="41"/>
          <w:jc w:val="center"/>
        </w:trPr>
        <w:tc>
          <w:tcPr>
            <w:tcW w:w="1129" w:type="dxa"/>
            <w:vAlign w:val="center"/>
            <w:hideMark/>
          </w:tcPr>
          <w:p w14:paraId="7D4646EC"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20. Rajasthan</w:t>
            </w:r>
          </w:p>
        </w:tc>
        <w:tc>
          <w:tcPr>
            <w:tcW w:w="607" w:type="dxa"/>
            <w:vAlign w:val="center"/>
            <w:hideMark/>
          </w:tcPr>
          <w:p w14:paraId="0C1BCEA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73</w:t>
            </w:r>
          </w:p>
        </w:tc>
        <w:tc>
          <w:tcPr>
            <w:tcW w:w="607" w:type="dxa"/>
            <w:vAlign w:val="center"/>
            <w:hideMark/>
          </w:tcPr>
          <w:p w14:paraId="21D30ED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w:t>
            </w:r>
          </w:p>
        </w:tc>
        <w:tc>
          <w:tcPr>
            <w:tcW w:w="607" w:type="dxa"/>
            <w:vAlign w:val="center"/>
            <w:hideMark/>
          </w:tcPr>
          <w:p w14:paraId="38EC4C5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w:t>
            </w:r>
          </w:p>
        </w:tc>
        <w:tc>
          <w:tcPr>
            <w:tcW w:w="607" w:type="dxa"/>
            <w:vAlign w:val="center"/>
            <w:hideMark/>
          </w:tcPr>
          <w:p w14:paraId="5C391BA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89</w:t>
            </w:r>
          </w:p>
        </w:tc>
        <w:tc>
          <w:tcPr>
            <w:tcW w:w="607" w:type="dxa"/>
            <w:vAlign w:val="center"/>
            <w:hideMark/>
          </w:tcPr>
          <w:p w14:paraId="15E6365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95</w:t>
            </w:r>
          </w:p>
        </w:tc>
        <w:tc>
          <w:tcPr>
            <w:tcW w:w="607" w:type="dxa"/>
            <w:vAlign w:val="center"/>
            <w:hideMark/>
          </w:tcPr>
          <w:p w14:paraId="3BBFD10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418</w:t>
            </w:r>
          </w:p>
        </w:tc>
      </w:tr>
      <w:tr w:rsidR="00E52378" w:rsidRPr="00C5721F" w14:paraId="58B47A39" w14:textId="77777777" w:rsidTr="00C5721F">
        <w:trPr>
          <w:trHeight w:val="41"/>
          <w:jc w:val="center"/>
        </w:trPr>
        <w:tc>
          <w:tcPr>
            <w:tcW w:w="1129" w:type="dxa"/>
            <w:vAlign w:val="center"/>
            <w:hideMark/>
          </w:tcPr>
          <w:p w14:paraId="67EBA14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21. Sikkim</w:t>
            </w:r>
          </w:p>
        </w:tc>
        <w:tc>
          <w:tcPr>
            <w:tcW w:w="607" w:type="dxa"/>
            <w:vAlign w:val="center"/>
            <w:hideMark/>
          </w:tcPr>
          <w:p w14:paraId="55968A2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w:t>
            </w:r>
          </w:p>
        </w:tc>
        <w:tc>
          <w:tcPr>
            <w:tcW w:w="607" w:type="dxa"/>
            <w:vAlign w:val="center"/>
            <w:hideMark/>
          </w:tcPr>
          <w:p w14:paraId="0B3F4CA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w:t>
            </w:r>
          </w:p>
        </w:tc>
        <w:tc>
          <w:tcPr>
            <w:tcW w:w="607" w:type="dxa"/>
            <w:vAlign w:val="center"/>
            <w:hideMark/>
          </w:tcPr>
          <w:p w14:paraId="166C123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w:t>
            </w:r>
          </w:p>
        </w:tc>
        <w:tc>
          <w:tcPr>
            <w:tcW w:w="607" w:type="dxa"/>
            <w:vAlign w:val="center"/>
            <w:hideMark/>
          </w:tcPr>
          <w:p w14:paraId="4B02706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w:t>
            </w:r>
          </w:p>
        </w:tc>
        <w:tc>
          <w:tcPr>
            <w:tcW w:w="607" w:type="dxa"/>
            <w:vAlign w:val="center"/>
            <w:hideMark/>
          </w:tcPr>
          <w:p w14:paraId="379F561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w:t>
            </w:r>
          </w:p>
        </w:tc>
        <w:tc>
          <w:tcPr>
            <w:tcW w:w="607" w:type="dxa"/>
            <w:vAlign w:val="center"/>
            <w:hideMark/>
          </w:tcPr>
          <w:p w14:paraId="76B6AA6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w:t>
            </w:r>
          </w:p>
        </w:tc>
      </w:tr>
      <w:tr w:rsidR="00E52378" w:rsidRPr="00C5721F" w14:paraId="7A2AB341" w14:textId="77777777" w:rsidTr="00C5721F">
        <w:trPr>
          <w:trHeight w:val="41"/>
          <w:jc w:val="center"/>
        </w:trPr>
        <w:tc>
          <w:tcPr>
            <w:tcW w:w="1129" w:type="dxa"/>
            <w:vAlign w:val="center"/>
            <w:hideMark/>
          </w:tcPr>
          <w:p w14:paraId="1EC1D51F"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22. Tamil Nadu</w:t>
            </w:r>
          </w:p>
        </w:tc>
        <w:tc>
          <w:tcPr>
            <w:tcW w:w="607" w:type="dxa"/>
            <w:vAlign w:val="center"/>
            <w:hideMark/>
          </w:tcPr>
          <w:p w14:paraId="0D19B5C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142</w:t>
            </w:r>
          </w:p>
        </w:tc>
        <w:tc>
          <w:tcPr>
            <w:tcW w:w="607" w:type="dxa"/>
            <w:vAlign w:val="center"/>
            <w:hideMark/>
          </w:tcPr>
          <w:p w14:paraId="2E5F003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152</w:t>
            </w:r>
          </w:p>
        </w:tc>
        <w:tc>
          <w:tcPr>
            <w:tcW w:w="607" w:type="dxa"/>
            <w:vAlign w:val="center"/>
            <w:hideMark/>
          </w:tcPr>
          <w:p w14:paraId="0D96FF1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163</w:t>
            </w:r>
          </w:p>
        </w:tc>
        <w:tc>
          <w:tcPr>
            <w:tcW w:w="607" w:type="dxa"/>
            <w:vAlign w:val="center"/>
            <w:hideMark/>
          </w:tcPr>
          <w:p w14:paraId="74C3E98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174</w:t>
            </w:r>
          </w:p>
        </w:tc>
        <w:tc>
          <w:tcPr>
            <w:tcW w:w="607" w:type="dxa"/>
            <w:vAlign w:val="center"/>
            <w:hideMark/>
          </w:tcPr>
          <w:p w14:paraId="1AE3667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187</w:t>
            </w:r>
          </w:p>
        </w:tc>
        <w:tc>
          <w:tcPr>
            <w:tcW w:w="607" w:type="dxa"/>
            <w:vAlign w:val="center"/>
            <w:hideMark/>
          </w:tcPr>
          <w:p w14:paraId="20DDDB1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818</w:t>
            </w:r>
          </w:p>
        </w:tc>
      </w:tr>
      <w:tr w:rsidR="00E52378" w:rsidRPr="00C5721F" w14:paraId="4C89F090" w14:textId="77777777" w:rsidTr="00C5721F">
        <w:trPr>
          <w:trHeight w:val="41"/>
          <w:jc w:val="center"/>
        </w:trPr>
        <w:tc>
          <w:tcPr>
            <w:tcW w:w="1129" w:type="dxa"/>
            <w:vAlign w:val="center"/>
            <w:hideMark/>
          </w:tcPr>
          <w:p w14:paraId="532BC3C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23. Tripura</w:t>
            </w:r>
          </w:p>
        </w:tc>
        <w:tc>
          <w:tcPr>
            <w:tcW w:w="607" w:type="dxa"/>
            <w:vAlign w:val="center"/>
            <w:hideMark/>
          </w:tcPr>
          <w:p w14:paraId="5102197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81</w:t>
            </w:r>
          </w:p>
        </w:tc>
        <w:tc>
          <w:tcPr>
            <w:tcW w:w="607" w:type="dxa"/>
            <w:vAlign w:val="center"/>
            <w:hideMark/>
          </w:tcPr>
          <w:p w14:paraId="5898775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87</w:t>
            </w:r>
          </w:p>
        </w:tc>
        <w:tc>
          <w:tcPr>
            <w:tcW w:w="607" w:type="dxa"/>
            <w:vAlign w:val="center"/>
            <w:hideMark/>
          </w:tcPr>
          <w:p w14:paraId="6C2862B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93</w:t>
            </w:r>
          </w:p>
        </w:tc>
        <w:tc>
          <w:tcPr>
            <w:tcW w:w="607" w:type="dxa"/>
            <w:vAlign w:val="center"/>
            <w:hideMark/>
          </w:tcPr>
          <w:p w14:paraId="64609D5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100</w:t>
            </w:r>
          </w:p>
        </w:tc>
        <w:tc>
          <w:tcPr>
            <w:tcW w:w="607" w:type="dxa"/>
            <w:vAlign w:val="center"/>
            <w:hideMark/>
          </w:tcPr>
          <w:p w14:paraId="6981D55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107</w:t>
            </w:r>
          </w:p>
        </w:tc>
        <w:tc>
          <w:tcPr>
            <w:tcW w:w="607" w:type="dxa"/>
            <w:vAlign w:val="center"/>
            <w:hideMark/>
          </w:tcPr>
          <w:p w14:paraId="34E1912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468</w:t>
            </w:r>
          </w:p>
        </w:tc>
      </w:tr>
      <w:tr w:rsidR="00E52378" w:rsidRPr="00C5721F" w14:paraId="500912AF" w14:textId="77777777" w:rsidTr="00C5721F">
        <w:trPr>
          <w:trHeight w:val="41"/>
          <w:jc w:val="center"/>
        </w:trPr>
        <w:tc>
          <w:tcPr>
            <w:tcW w:w="1129" w:type="dxa"/>
            <w:vAlign w:val="center"/>
            <w:hideMark/>
          </w:tcPr>
          <w:p w14:paraId="62DEA006"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24. Uttar Pradesh</w:t>
            </w:r>
          </w:p>
        </w:tc>
        <w:tc>
          <w:tcPr>
            <w:tcW w:w="607" w:type="dxa"/>
            <w:vAlign w:val="center"/>
            <w:hideMark/>
          </w:tcPr>
          <w:p w14:paraId="11ADEC9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2070</w:t>
            </w:r>
          </w:p>
        </w:tc>
        <w:tc>
          <w:tcPr>
            <w:tcW w:w="607" w:type="dxa"/>
            <w:vAlign w:val="center"/>
            <w:hideMark/>
          </w:tcPr>
          <w:p w14:paraId="585ADBC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2215</w:t>
            </w:r>
          </w:p>
        </w:tc>
        <w:tc>
          <w:tcPr>
            <w:tcW w:w="607" w:type="dxa"/>
            <w:vAlign w:val="center"/>
            <w:hideMark/>
          </w:tcPr>
          <w:p w14:paraId="30AD9F6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2370</w:t>
            </w:r>
          </w:p>
        </w:tc>
        <w:tc>
          <w:tcPr>
            <w:tcW w:w="607" w:type="dxa"/>
            <w:vAlign w:val="center"/>
            <w:hideMark/>
          </w:tcPr>
          <w:p w14:paraId="0FCA25C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2536</w:t>
            </w:r>
          </w:p>
        </w:tc>
        <w:tc>
          <w:tcPr>
            <w:tcW w:w="607" w:type="dxa"/>
            <w:vAlign w:val="center"/>
            <w:hideMark/>
          </w:tcPr>
          <w:p w14:paraId="59178BC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2714</w:t>
            </w:r>
          </w:p>
        </w:tc>
        <w:tc>
          <w:tcPr>
            <w:tcW w:w="607" w:type="dxa"/>
            <w:vAlign w:val="center"/>
            <w:hideMark/>
          </w:tcPr>
          <w:p w14:paraId="7759EDE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11905</w:t>
            </w:r>
          </w:p>
        </w:tc>
      </w:tr>
      <w:tr w:rsidR="00E52378" w:rsidRPr="00C5721F" w14:paraId="0D961AAF" w14:textId="77777777" w:rsidTr="00C5721F">
        <w:trPr>
          <w:trHeight w:val="41"/>
          <w:jc w:val="center"/>
        </w:trPr>
        <w:tc>
          <w:tcPr>
            <w:tcW w:w="1129" w:type="dxa"/>
            <w:vAlign w:val="center"/>
            <w:hideMark/>
          </w:tcPr>
          <w:p w14:paraId="071E93FA"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25. West Bengal</w:t>
            </w:r>
          </w:p>
        </w:tc>
        <w:tc>
          <w:tcPr>
            <w:tcW w:w="607" w:type="dxa"/>
            <w:vAlign w:val="center"/>
            <w:hideMark/>
          </w:tcPr>
          <w:p w14:paraId="3B1F8D7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3153</w:t>
            </w:r>
          </w:p>
        </w:tc>
        <w:tc>
          <w:tcPr>
            <w:tcW w:w="607" w:type="dxa"/>
            <w:vAlign w:val="center"/>
            <w:hideMark/>
          </w:tcPr>
          <w:p w14:paraId="448348E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3374</w:t>
            </w:r>
          </w:p>
        </w:tc>
        <w:tc>
          <w:tcPr>
            <w:tcW w:w="607" w:type="dxa"/>
            <w:vAlign w:val="center"/>
            <w:hideMark/>
          </w:tcPr>
          <w:p w14:paraId="7B8FA51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3610</w:t>
            </w:r>
          </w:p>
        </w:tc>
        <w:tc>
          <w:tcPr>
            <w:tcW w:w="607" w:type="dxa"/>
            <w:vAlign w:val="center"/>
            <w:hideMark/>
          </w:tcPr>
          <w:p w14:paraId="50BE77B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3863</w:t>
            </w:r>
          </w:p>
        </w:tc>
        <w:tc>
          <w:tcPr>
            <w:tcW w:w="607" w:type="dxa"/>
            <w:vAlign w:val="center"/>
            <w:hideMark/>
          </w:tcPr>
          <w:p w14:paraId="36049A0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4133</w:t>
            </w:r>
          </w:p>
        </w:tc>
        <w:tc>
          <w:tcPr>
            <w:tcW w:w="607" w:type="dxa"/>
            <w:vAlign w:val="center"/>
            <w:hideMark/>
          </w:tcPr>
          <w:p w14:paraId="6994D40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18133</w:t>
            </w:r>
          </w:p>
        </w:tc>
      </w:tr>
      <w:tr w:rsidR="00E52378" w:rsidRPr="00C5721F" w14:paraId="5BE0947A" w14:textId="77777777" w:rsidTr="00C5721F">
        <w:trPr>
          <w:trHeight w:val="41"/>
          <w:jc w:val="center"/>
        </w:trPr>
        <w:tc>
          <w:tcPr>
            <w:tcW w:w="1129" w:type="dxa"/>
            <w:vAlign w:val="center"/>
            <w:hideMark/>
          </w:tcPr>
          <w:p w14:paraId="528A69C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TOTAL</w:t>
            </w:r>
          </w:p>
        </w:tc>
        <w:tc>
          <w:tcPr>
            <w:tcW w:w="607" w:type="dxa"/>
            <w:vAlign w:val="center"/>
            <w:hideMark/>
          </w:tcPr>
          <w:p w14:paraId="230854E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16954</w:t>
            </w:r>
          </w:p>
        </w:tc>
        <w:tc>
          <w:tcPr>
            <w:tcW w:w="607" w:type="dxa"/>
            <w:vAlign w:val="center"/>
            <w:hideMark/>
          </w:tcPr>
          <w:p w14:paraId="11ADED7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18139</w:t>
            </w:r>
          </w:p>
        </w:tc>
        <w:tc>
          <w:tcPr>
            <w:tcW w:w="607" w:type="dxa"/>
            <w:vAlign w:val="center"/>
            <w:hideMark/>
          </w:tcPr>
          <w:p w14:paraId="587B0BD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19409</w:t>
            </w:r>
          </w:p>
        </w:tc>
        <w:tc>
          <w:tcPr>
            <w:tcW w:w="607" w:type="dxa"/>
            <w:vAlign w:val="center"/>
            <w:hideMark/>
          </w:tcPr>
          <w:p w14:paraId="0382711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20768</w:t>
            </w:r>
          </w:p>
        </w:tc>
        <w:tc>
          <w:tcPr>
            <w:tcW w:w="607" w:type="dxa"/>
            <w:vAlign w:val="center"/>
            <w:hideMark/>
          </w:tcPr>
          <w:p w14:paraId="3E38DFA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22221</w:t>
            </w:r>
          </w:p>
        </w:tc>
        <w:tc>
          <w:tcPr>
            <w:tcW w:w="607" w:type="dxa"/>
            <w:vAlign w:val="center"/>
            <w:hideMark/>
          </w:tcPr>
          <w:p w14:paraId="26E9369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97491</w:t>
            </w:r>
          </w:p>
        </w:tc>
      </w:tr>
    </w:tbl>
    <w:p w14:paraId="79FCFE4C" w14:textId="562D38E6" w:rsidR="00E52378" w:rsidRPr="00DB373C" w:rsidRDefault="00E52378" w:rsidP="00C51EC4">
      <w:pPr>
        <w:pStyle w:val="Heading2"/>
        <w:rPr>
          <w:sz w:val="20"/>
          <w:szCs w:val="20"/>
        </w:rPr>
      </w:pPr>
      <w:bookmarkStart w:id="75" w:name="_Toc221292995"/>
      <w:bookmarkStart w:id="76" w:name="_Toc222399486"/>
      <w:r w:rsidRPr="00DB373C">
        <w:rPr>
          <w:sz w:val="20"/>
          <w:szCs w:val="20"/>
        </w:rPr>
        <w:t>ANNEXURE III.13</w:t>
      </w:r>
      <w:r w:rsidR="00C51EC4" w:rsidRPr="00DB373C">
        <w:rPr>
          <w:sz w:val="20"/>
          <w:szCs w:val="20"/>
        </w:rPr>
        <w:br/>
      </w:r>
      <w:r w:rsidRPr="00DB373C">
        <w:rPr>
          <w:sz w:val="20"/>
          <w:szCs w:val="20"/>
        </w:rPr>
        <w:t xml:space="preserve">Norms </w:t>
      </w:r>
      <w:proofErr w:type="gramStart"/>
      <w:r w:rsidRPr="00DB373C">
        <w:rPr>
          <w:sz w:val="20"/>
          <w:szCs w:val="20"/>
        </w:rPr>
        <w:t>For</w:t>
      </w:r>
      <w:proofErr w:type="gramEnd"/>
      <w:r w:rsidRPr="00DB373C">
        <w:rPr>
          <w:sz w:val="20"/>
          <w:szCs w:val="20"/>
        </w:rPr>
        <w:t xml:space="preserve"> Maintenance </w:t>
      </w:r>
      <w:proofErr w:type="gramStart"/>
      <w:r w:rsidRPr="00DB373C">
        <w:rPr>
          <w:sz w:val="20"/>
          <w:szCs w:val="20"/>
        </w:rPr>
        <w:t>Of</w:t>
      </w:r>
      <w:proofErr w:type="gramEnd"/>
      <w:r w:rsidRPr="00DB373C">
        <w:rPr>
          <w:sz w:val="20"/>
          <w:szCs w:val="20"/>
        </w:rPr>
        <w:t xml:space="preserve"> Roads</w:t>
      </w:r>
      <w:bookmarkEnd w:id="75"/>
      <w:bookmarkEnd w:id="76"/>
    </w:p>
    <w:p w14:paraId="7034AE01" w14:textId="08435908" w:rsidR="00E52378" w:rsidRPr="00DB373C" w:rsidRDefault="00DB373C" w:rsidP="00C5721F">
      <w:pPr>
        <w:pStyle w:val="NoSpacing"/>
        <w:rPr>
          <w:rFonts w:ascii="Times New Roman" w:hAnsi="Times New Roman" w:cs="Times New Roman"/>
          <w:sz w:val="18"/>
          <w:szCs w:val="18"/>
        </w:rPr>
      </w:pPr>
      <w:r>
        <w:rPr>
          <w:rFonts w:ascii="Times New Roman" w:hAnsi="Times New Roman" w:cs="Times New Roman"/>
          <w:i/>
          <w:iCs/>
          <w:sz w:val="18"/>
          <w:szCs w:val="18"/>
        </w:rPr>
        <w:t xml:space="preserve">      </w:t>
      </w:r>
      <w:r w:rsidR="00C51EC4" w:rsidRPr="00DB373C">
        <w:rPr>
          <w:rFonts w:ascii="Times New Roman" w:hAnsi="Times New Roman" w:cs="Times New Roman"/>
          <w:i/>
          <w:iCs/>
          <w:sz w:val="18"/>
          <w:szCs w:val="18"/>
        </w:rPr>
        <w:t xml:space="preserve">(Para </w:t>
      </w:r>
      <w:proofErr w:type="gramStart"/>
      <w:r w:rsidR="00C51EC4" w:rsidRPr="00DB373C">
        <w:rPr>
          <w:rFonts w:ascii="Times New Roman" w:hAnsi="Times New Roman" w:cs="Times New Roman"/>
          <w:i/>
          <w:iCs/>
          <w:sz w:val="18"/>
          <w:szCs w:val="18"/>
        </w:rPr>
        <w:t>3.48)</w:t>
      </w:r>
      <w:r w:rsidR="00E52378" w:rsidRPr="00DB373C">
        <w:rPr>
          <w:rFonts w:ascii="Times New Roman" w:hAnsi="Times New Roman" w:cs="Times New Roman"/>
          <w:sz w:val="18"/>
          <w:szCs w:val="18"/>
        </w:rPr>
        <w:t>(</w:t>
      </w:r>
      <w:proofErr w:type="gramEnd"/>
      <w:r w:rsidR="00E52378" w:rsidRPr="00DB373C">
        <w:rPr>
          <w:rFonts w:ascii="Times New Roman" w:hAnsi="Times New Roman" w:cs="Times New Roman"/>
          <w:sz w:val="18"/>
          <w:szCs w:val="18"/>
        </w:rPr>
        <w:t>Rs. Per Km. Per Year)</w:t>
      </w:r>
    </w:p>
    <w:tbl>
      <w:tblPr>
        <w:tblStyle w:val="TableGrid"/>
        <w:tblW w:w="4988" w:type="dxa"/>
        <w:jc w:val="center"/>
        <w:tblLook w:val="04A0" w:firstRow="1" w:lastRow="0" w:firstColumn="1" w:lastColumn="0" w:noHBand="0" w:noVBand="1"/>
      </w:tblPr>
      <w:tblGrid>
        <w:gridCol w:w="1192"/>
        <w:gridCol w:w="656"/>
        <w:gridCol w:w="657"/>
        <w:gridCol w:w="656"/>
        <w:gridCol w:w="657"/>
        <w:gridCol w:w="566"/>
        <w:gridCol w:w="604"/>
      </w:tblGrid>
      <w:tr w:rsidR="0082019B" w:rsidRPr="00C5721F" w14:paraId="2208BFFE" w14:textId="77777777" w:rsidTr="00C5721F">
        <w:trPr>
          <w:trHeight w:val="5"/>
          <w:jc w:val="center"/>
        </w:trPr>
        <w:tc>
          <w:tcPr>
            <w:tcW w:w="1201" w:type="dxa"/>
            <w:vAlign w:val="center"/>
            <w:hideMark/>
          </w:tcPr>
          <w:p w14:paraId="3004560C" w14:textId="77777777" w:rsidR="0082019B" w:rsidRPr="00C5721F" w:rsidRDefault="0082019B" w:rsidP="00C51EC4">
            <w:pPr>
              <w:pStyle w:val="NoSpacing"/>
              <w:rPr>
                <w:rFonts w:ascii="Times New Roman" w:hAnsi="Times New Roman" w:cs="Times New Roman"/>
                <w:b/>
                <w:bCs/>
                <w:sz w:val="14"/>
                <w:szCs w:val="14"/>
              </w:rPr>
            </w:pPr>
            <w:r w:rsidRPr="00C5721F">
              <w:rPr>
                <w:rFonts w:ascii="Times New Roman" w:hAnsi="Times New Roman" w:cs="Times New Roman"/>
                <w:b/>
                <w:bCs/>
                <w:sz w:val="14"/>
                <w:szCs w:val="14"/>
              </w:rPr>
              <w:t>Categories</w:t>
            </w:r>
          </w:p>
        </w:tc>
        <w:tc>
          <w:tcPr>
            <w:tcW w:w="3787" w:type="dxa"/>
            <w:gridSpan w:val="6"/>
            <w:vAlign w:val="center"/>
            <w:hideMark/>
          </w:tcPr>
          <w:p w14:paraId="36BD94F8" w14:textId="439A3206" w:rsidR="0082019B" w:rsidRPr="00C5721F" w:rsidRDefault="0082019B"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 xml:space="preserve">Price Zones Of Chips </w:t>
            </w:r>
            <w:proofErr w:type="gramStart"/>
            <w:r w:rsidRPr="00C5721F">
              <w:rPr>
                <w:rFonts w:ascii="Times New Roman" w:hAnsi="Times New Roman" w:cs="Times New Roman"/>
                <w:b/>
                <w:bCs/>
                <w:sz w:val="14"/>
                <w:szCs w:val="14"/>
              </w:rPr>
              <w:t>And</w:t>
            </w:r>
            <w:proofErr w:type="gramEnd"/>
            <w:r w:rsidRPr="00C5721F">
              <w:rPr>
                <w:rFonts w:ascii="Times New Roman" w:hAnsi="Times New Roman" w:cs="Times New Roman"/>
                <w:b/>
                <w:bCs/>
                <w:sz w:val="14"/>
                <w:szCs w:val="14"/>
              </w:rPr>
              <w:t xml:space="preserve"> Stone Metal</w:t>
            </w:r>
          </w:p>
        </w:tc>
      </w:tr>
      <w:tr w:rsidR="00C5721F" w:rsidRPr="00C5721F" w14:paraId="1E2E5371" w14:textId="77777777" w:rsidTr="00C5721F">
        <w:trPr>
          <w:trHeight w:val="5"/>
          <w:jc w:val="center"/>
        </w:trPr>
        <w:tc>
          <w:tcPr>
            <w:tcW w:w="1201" w:type="dxa"/>
            <w:vAlign w:val="center"/>
            <w:hideMark/>
          </w:tcPr>
          <w:p w14:paraId="44BA3B34" w14:textId="77777777" w:rsidR="00E52378" w:rsidRPr="00C5721F" w:rsidRDefault="00E52378" w:rsidP="00C51EC4">
            <w:pPr>
              <w:pStyle w:val="NoSpacing"/>
              <w:rPr>
                <w:rFonts w:ascii="Times New Roman" w:hAnsi="Times New Roman" w:cs="Times New Roman"/>
                <w:b/>
                <w:bCs/>
                <w:sz w:val="14"/>
                <w:szCs w:val="14"/>
              </w:rPr>
            </w:pPr>
          </w:p>
        </w:tc>
        <w:tc>
          <w:tcPr>
            <w:tcW w:w="658" w:type="dxa"/>
            <w:vAlign w:val="center"/>
            <w:hideMark/>
          </w:tcPr>
          <w:p w14:paraId="377E221E"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Zone-1</w:t>
            </w:r>
          </w:p>
        </w:tc>
        <w:tc>
          <w:tcPr>
            <w:tcW w:w="659" w:type="dxa"/>
            <w:vAlign w:val="center"/>
            <w:hideMark/>
          </w:tcPr>
          <w:p w14:paraId="7CEFA5C5"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Zone-2</w:t>
            </w:r>
          </w:p>
        </w:tc>
        <w:tc>
          <w:tcPr>
            <w:tcW w:w="658" w:type="dxa"/>
            <w:vAlign w:val="center"/>
            <w:hideMark/>
          </w:tcPr>
          <w:p w14:paraId="10B784B5"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Zone-3</w:t>
            </w:r>
          </w:p>
        </w:tc>
        <w:tc>
          <w:tcPr>
            <w:tcW w:w="659" w:type="dxa"/>
            <w:vAlign w:val="center"/>
            <w:hideMark/>
          </w:tcPr>
          <w:p w14:paraId="6B6ADD42"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Zone-4</w:t>
            </w:r>
          </w:p>
        </w:tc>
        <w:tc>
          <w:tcPr>
            <w:tcW w:w="548" w:type="dxa"/>
            <w:vAlign w:val="center"/>
            <w:hideMark/>
          </w:tcPr>
          <w:p w14:paraId="7DB70E15"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Zone-5</w:t>
            </w:r>
          </w:p>
        </w:tc>
        <w:tc>
          <w:tcPr>
            <w:tcW w:w="603" w:type="dxa"/>
            <w:vAlign w:val="center"/>
            <w:hideMark/>
          </w:tcPr>
          <w:p w14:paraId="72A4250D"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Zone-6</w:t>
            </w:r>
          </w:p>
        </w:tc>
      </w:tr>
      <w:tr w:rsidR="00C5721F" w:rsidRPr="00C5721F" w14:paraId="5839B594" w14:textId="77777777" w:rsidTr="00C5721F">
        <w:trPr>
          <w:trHeight w:val="5"/>
          <w:jc w:val="center"/>
        </w:trPr>
        <w:tc>
          <w:tcPr>
            <w:tcW w:w="1201" w:type="dxa"/>
            <w:vAlign w:val="center"/>
            <w:hideMark/>
          </w:tcPr>
          <w:p w14:paraId="7243E94B"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State Highways</w:t>
            </w:r>
          </w:p>
        </w:tc>
        <w:tc>
          <w:tcPr>
            <w:tcW w:w="658" w:type="dxa"/>
            <w:vAlign w:val="center"/>
            <w:hideMark/>
          </w:tcPr>
          <w:p w14:paraId="3259DAE2"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C2ED4A9"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6BA138F3"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2312AF26"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1ED61BCC"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16F53688"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14E54548" w14:textId="77777777" w:rsidTr="00C5721F">
        <w:trPr>
          <w:trHeight w:val="5"/>
          <w:jc w:val="center"/>
        </w:trPr>
        <w:tc>
          <w:tcPr>
            <w:tcW w:w="1201" w:type="dxa"/>
            <w:vAlign w:val="center"/>
            <w:hideMark/>
          </w:tcPr>
          <w:p w14:paraId="38F7D51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Less than 150 CVD</w:t>
            </w:r>
          </w:p>
        </w:tc>
        <w:tc>
          <w:tcPr>
            <w:tcW w:w="658" w:type="dxa"/>
            <w:vAlign w:val="center"/>
            <w:hideMark/>
          </w:tcPr>
          <w:p w14:paraId="16B7BE63"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220F9151"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4A46907D"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1021F0DE"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012225E1"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1613E92E"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40D102ED" w14:textId="77777777" w:rsidTr="00C5721F">
        <w:trPr>
          <w:trHeight w:val="5"/>
          <w:jc w:val="center"/>
        </w:trPr>
        <w:tc>
          <w:tcPr>
            <w:tcW w:w="1201" w:type="dxa"/>
            <w:vAlign w:val="center"/>
            <w:hideMark/>
          </w:tcPr>
          <w:p w14:paraId="3A9FA9A5"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1A3BEFE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22810</w:t>
            </w:r>
          </w:p>
        </w:tc>
        <w:tc>
          <w:tcPr>
            <w:tcW w:w="659" w:type="dxa"/>
            <w:vAlign w:val="center"/>
            <w:hideMark/>
          </w:tcPr>
          <w:p w14:paraId="086F41B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23410</w:t>
            </w:r>
          </w:p>
        </w:tc>
        <w:tc>
          <w:tcPr>
            <w:tcW w:w="658" w:type="dxa"/>
            <w:vAlign w:val="center"/>
            <w:hideMark/>
          </w:tcPr>
          <w:p w14:paraId="2F37F5C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24670</w:t>
            </w:r>
          </w:p>
        </w:tc>
        <w:tc>
          <w:tcPr>
            <w:tcW w:w="659" w:type="dxa"/>
            <w:vAlign w:val="center"/>
            <w:hideMark/>
          </w:tcPr>
          <w:p w14:paraId="10DD6C6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25650</w:t>
            </w:r>
          </w:p>
        </w:tc>
        <w:tc>
          <w:tcPr>
            <w:tcW w:w="548" w:type="dxa"/>
            <w:vAlign w:val="center"/>
            <w:hideMark/>
          </w:tcPr>
          <w:p w14:paraId="199558D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26450</w:t>
            </w:r>
          </w:p>
        </w:tc>
        <w:tc>
          <w:tcPr>
            <w:tcW w:w="603" w:type="dxa"/>
            <w:vAlign w:val="center"/>
            <w:hideMark/>
          </w:tcPr>
          <w:p w14:paraId="117E996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27230</w:t>
            </w:r>
          </w:p>
        </w:tc>
      </w:tr>
      <w:tr w:rsidR="00C5721F" w:rsidRPr="00C5721F" w14:paraId="10A980A4" w14:textId="77777777" w:rsidTr="00C5721F">
        <w:trPr>
          <w:trHeight w:val="5"/>
          <w:jc w:val="center"/>
        </w:trPr>
        <w:tc>
          <w:tcPr>
            <w:tcW w:w="1201" w:type="dxa"/>
            <w:vAlign w:val="center"/>
            <w:hideMark/>
          </w:tcPr>
          <w:p w14:paraId="2D6A2281"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5BBA719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19890</w:t>
            </w:r>
          </w:p>
        </w:tc>
        <w:tc>
          <w:tcPr>
            <w:tcW w:w="659" w:type="dxa"/>
            <w:vAlign w:val="center"/>
            <w:hideMark/>
          </w:tcPr>
          <w:p w14:paraId="1AA5DAE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23360</w:t>
            </w:r>
          </w:p>
        </w:tc>
        <w:tc>
          <w:tcPr>
            <w:tcW w:w="658" w:type="dxa"/>
            <w:vAlign w:val="center"/>
            <w:hideMark/>
          </w:tcPr>
          <w:p w14:paraId="67CB5FE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25670</w:t>
            </w:r>
          </w:p>
        </w:tc>
        <w:tc>
          <w:tcPr>
            <w:tcW w:w="659" w:type="dxa"/>
            <w:vAlign w:val="center"/>
            <w:hideMark/>
          </w:tcPr>
          <w:p w14:paraId="002A08A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30280</w:t>
            </w:r>
          </w:p>
        </w:tc>
        <w:tc>
          <w:tcPr>
            <w:tcW w:w="548" w:type="dxa"/>
            <w:vAlign w:val="center"/>
            <w:hideMark/>
          </w:tcPr>
          <w:p w14:paraId="679B380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34890</w:t>
            </w:r>
          </w:p>
        </w:tc>
        <w:tc>
          <w:tcPr>
            <w:tcW w:w="603" w:type="dxa"/>
            <w:vAlign w:val="center"/>
            <w:hideMark/>
          </w:tcPr>
          <w:p w14:paraId="48C0347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39500</w:t>
            </w:r>
          </w:p>
        </w:tc>
      </w:tr>
      <w:tr w:rsidR="00C5721F" w:rsidRPr="00C5721F" w14:paraId="62C4A07A" w14:textId="77777777" w:rsidTr="00C5721F">
        <w:trPr>
          <w:trHeight w:val="5"/>
          <w:jc w:val="center"/>
        </w:trPr>
        <w:tc>
          <w:tcPr>
            <w:tcW w:w="1201" w:type="dxa"/>
            <w:vAlign w:val="center"/>
            <w:hideMark/>
          </w:tcPr>
          <w:p w14:paraId="51B8CB06"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150 to 450 CVD</w:t>
            </w:r>
          </w:p>
        </w:tc>
        <w:tc>
          <w:tcPr>
            <w:tcW w:w="658" w:type="dxa"/>
            <w:vAlign w:val="center"/>
            <w:hideMark/>
          </w:tcPr>
          <w:p w14:paraId="39518EE7"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08E41913"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31A2A99F"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485209AF"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0E4A5F03"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562BA0CC"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09A7A4BA" w14:textId="77777777" w:rsidTr="00C5721F">
        <w:trPr>
          <w:trHeight w:val="5"/>
          <w:jc w:val="center"/>
        </w:trPr>
        <w:tc>
          <w:tcPr>
            <w:tcW w:w="1201" w:type="dxa"/>
            <w:vAlign w:val="center"/>
            <w:hideMark/>
          </w:tcPr>
          <w:p w14:paraId="2C4D578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2E232BB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26040</w:t>
            </w:r>
          </w:p>
        </w:tc>
        <w:tc>
          <w:tcPr>
            <w:tcW w:w="659" w:type="dxa"/>
            <w:vAlign w:val="center"/>
            <w:hideMark/>
          </w:tcPr>
          <w:p w14:paraId="1650A6E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26310</w:t>
            </w:r>
          </w:p>
        </w:tc>
        <w:tc>
          <w:tcPr>
            <w:tcW w:w="658" w:type="dxa"/>
            <w:vAlign w:val="center"/>
            <w:hideMark/>
          </w:tcPr>
          <w:p w14:paraId="2F1FD83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27790</w:t>
            </w:r>
          </w:p>
        </w:tc>
        <w:tc>
          <w:tcPr>
            <w:tcW w:w="659" w:type="dxa"/>
            <w:vAlign w:val="center"/>
            <w:hideMark/>
          </w:tcPr>
          <w:p w14:paraId="73B5955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28950</w:t>
            </w:r>
          </w:p>
        </w:tc>
        <w:tc>
          <w:tcPr>
            <w:tcW w:w="548" w:type="dxa"/>
            <w:vAlign w:val="center"/>
            <w:hideMark/>
          </w:tcPr>
          <w:p w14:paraId="182ECD4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29870</w:t>
            </w:r>
          </w:p>
        </w:tc>
        <w:tc>
          <w:tcPr>
            <w:tcW w:w="603" w:type="dxa"/>
            <w:vAlign w:val="center"/>
            <w:hideMark/>
          </w:tcPr>
          <w:p w14:paraId="5686BA5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30780</w:t>
            </w:r>
          </w:p>
        </w:tc>
      </w:tr>
      <w:tr w:rsidR="00C5721F" w:rsidRPr="00C5721F" w14:paraId="7B104703" w14:textId="77777777" w:rsidTr="00C5721F">
        <w:trPr>
          <w:trHeight w:val="5"/>
          <w:jc w:val="center"/>
        </w:trPr>
        <w:tc>
          <w:tcPr>
            <w:tcW w:w="1201" w:type="dxa"/>
            <w:vAlign w:val="center"/>
            <w:hideMark/>
          </w:tcPr>
          <w:p w14:paraId="7F67367A"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35A1EE6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20970</w:t>
            </w:r>
          </w:p>
        </w:tc>
        <w:tc>
          <w:tcPr>
            <w:tcW w:w="659" w:type="dxa"/>
            <w:vAlign w:val="center"/>
            <w:hideMark/>
          </w:tcPr>
          <w:p w14:paraId="204346C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24470</w:t>
            </w:r>
          </w:p>
        </w:tc>
        <w:tc>
          <w:tcPr>
            <w:tcW w:w="658" w:type="dxa"/>
            <w:vAlign w:val="center"/>
            <w:hideMark/>
          </w:tcPr>
          <w:p w14:paraId="4FFEE89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26800</w:t>
            </w:r>
          </w:p>
        </w:tc>
        <w:tc>
          <w:tcPr>
            <w:tcW w:w="659" w:type="dxa"/>
            <w:vAlign w:val="center"/>
            <w:hideMark/>
          </w:tcPr>
          <w:p w14:paraId="012E518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31460</w:t>
            </w:r>
          </w:p>
        </w:tc>
        <w:tc>
          <w:tcPr>
            <w:tcW w:w="548" w:type="dxa"/>
            <w:vAlign w:val="center"/>
            <w:hideMark/>
          </w:tcPr>
          <w:p w14:paraId="68F9C1D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36110</w:t>
            </w:r>
          </w:p>
        </w:tc>
        <w:tc>
          <w:tcPr>
            <w:tcW w:w="603" w:type="dxa"/>
            <w:vAlign w:val="center"/>
            <w:hideMark/>
          </w:tcPr>
          <w:p w14:paraId="508E383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40770</w:t>
            </w:r>
          </w:p>
        </w:tc>
      </w:tr>
      <w:tr w:rsidR="00C5721F" w:rsidRPr="00C5721F" w14:paraId="6F76D32A" w14:textId="77777777" w:rsidTr="00C5721F">
        <w:trPr>
          <w:trHeight w:val="5"/>
          <w:jc w:val="center"/>
        </w:trPr>
        <w:tc>
          <w:tcPr>
            <w:tcW w:w="1201" w:type="dxa"/>
            <w:vAlign w:val="center"/>
            <w:hideMark/>
          </w:tcPr>
          <w:p w14:paraId="3A81298A"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450 to 1500 CVD</w:t>
            </w:r>
          </w:p>
        </w:tc>
        <w:tc>
          <w:tcPr>
            <w:tcW w:w="658" w:type="dxa"/>
            <w:vAlign w:val="center"/>
            <w:hideMark/>
          </w:tcPr>
          <w:p w14:paraId="082358E5"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4F1600CA"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1A2916AF"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557EE1F"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0956FE19"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695EA899"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1D149B24" w14:textId="77777777" w:rsidTr="00C5721F">
        <w:trPr>
          <w:trHeight w:val="5"/>
          <w:jc w:val="center"/>
        </w:trPr>
        <w:tc>
          <w:tcPr>
            <w:tcW w:w="1201" w:type="dxa"/>
            <w:vAlign w:val="center"/>
            <w:hideMark/>
          </w:tcPr>
          <w:p w14:paraId="3C8FED71"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7894D33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31770</w:t>
            </w:r>
          </w:p>
        </w:tc>
        <w:tc>
          <w:tcPr>
            <w:tcW w:w="659" w:type="dxa"/>
            <w:vAlign w:val="center"/>
            <w:hideMark/>
          </w:tcPr>
          <w:p w14:paraId="007752D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32770</w:t>
            </w:r>
          </w:p>
        </w:tc>
        <w:tc>
          <w:tcPr>
            <w:tcW w:w="658" w:type="dxa"/>
            <w:vAlign w:val="center"/>
            <w:hideMark/>
          </w:tcPr>
          <w:p w14:paraId="7CB22A7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34850</w:t>
            </w:r>
          </w:p>
        </w:tc>
        <w:tc>
          <w:tcPr>
            <w:tcW w:w="659" w:type="dxa"/>
            <w:vAlign w:val="center"/>
            <w:hideMark/>
          </w:tcPr>
          <w:p w14:paraId="5A141D0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36480</w:t>
            </w:r>
          </w:p>
        </w:tc>
        <w:tc>
          <w:tcPr>
            <w:tcW w:w="548" w:type="dxa"/>
            <w:vAlign w:val="center"/>
            <w:hideMark/>
          </w:tcPr>
          <w:p w14:paraId="50AB70D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37760</w:t>
            </w:r>
          </w:p>
        </w:tc>
        <w:tc>
          <w:tcPr>
            <w:tcW w:w="603" w:type="dxa"/>
            <w:vAlign w:val="center"/>
            <w:hideMark/>
          </w:tcPr>
          <w:p w14:paraId="5C1497E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39000</w:t>
            </w:r>
          </w:p>
        </w:tc>
      </w:tr>
      <w:tr w:rsidR="00C5721F" w:rsidRPr="00C5721F" w14:paraId="0FA3A123" w14:textId="77777777" w:rsidTr="00C5721F">
        <w:trPr>
          <w:trHeight w:val="5"/>
          <w:jc w:val="center"/>
        </w:trPr>
        <w:tc>
          <w:tcPr>
            <w:tcW w:w="1201" w:type="dxa"/>
            <w:vAlign w:val="center"/>
            <w:hideMark/>
          </w:tcPr>
          <w:p w14:paraId="3A907138"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5254539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24140</w:t>
            </w:r>
          </w:p>
        </w:tc>
        <w:tc>
          <w:tcPr>
            <w:tcW w:w="659" w:type="dxa"/>
            <w:vAlign w:val="center"/>
            <w:hideMark/>
          </w:tcPr>
          <w:p w14:paraId="08170D4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28430</w:t>
            </w:r>
          </w:p>
        </w:tc>
        <w:tc>
          <w:tcPr>
            <w:tcW w:w="658" w:type="dxa"/>
            <w:vAlign w:val="center"/>
            <w:hideMark/>
          </w:tcPr>
          <w:p w14:paraId="77649B8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31250</w:t>
            </w:r>
          </w:p>
        </w:tc>
        <w:tc>
          <w:tcPr>
            <w:tcW w:w="659" w:type="dxa"/>
            <w:vAlign w:val="center"/>
            <w:hideMark/>
          </w:tcPr>
          <w:p w14:paraId="69AF823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36890</w:t>
            </w:r>
          </w:p>
        </w:tc>
        <w:tc>
          <w:tcPr>
            <w:tcW w:w="548" w:type="dxa"/>
            <w:vAlign w:val="center"/>
            <w:hideMark/>
          </w:tcPr>
          <w:p w14:paraId="0D23D26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42530</w:t>
            </w:r>
          </w:p>
        </w:tc>
        <w:tc>
          <w:tcPr>
            <w:tcW w:w="603" w:type="dxa"/>
            <w:vAlign w:val="center"/>
            <w:hideMark/>
          </w:tcPr>
          <w:p w14:paraId="324B590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48180</w:t>
            </w:r>
          </w:p>
        </w:tc>
      </w:tr>
      <w:tr w:rsidR="00C5721F" w:rsidRPr="00C5721F" w14:paraId="3DAACE82" w14:textId="77777777" w:rsidTr="00C5721F">
        <w:trPr>
          <w:trHeight w:val="5"/>
          <w:jc w:val="center"/>
        </w:trPr>
        <w:tc>
          <w:tcPr>
            <w:tcW w:w="1201" w:type="dxa"/>
            <w:vAlign w:val="center"/>
            <w:hideMark/>
          </w:tcPr>
          <w:p w14:paraId="136980A7"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Over 1500 CVD</w:t>
            </w:r>
          </w:p>
        </w:tc>
        <w:tc>
          <w:tcPr>
            <w:tcW w:w="658" w:type="dxa"/>
            <w:vAlign w:val="center"/>
            <w:hideMark/>
          </w:tcPr>
          <w:p w14:paraId="51793E57"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35967DF"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07F2AECE"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0428D1AF"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2D00C692"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11CE9806"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20CA5A50" w14:textId="77777777" w:rsidTr="00C5721F">
        <w:trPr>
          <w:trHeight w:val="5"/>
          <w:jc w:val="center"/>
        </w:trPr>
        <w:tc>
          <w:tcPr>
            <w:tcW w:w="1201" w:type="dxa"/>
            <w:vAlign w:val="center"/>
            <w:hideMark/>
          </w:tcPr>
          <w:p w14:paraId="5CC13122"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7A86D25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36880</w:t>
            </w:r>
          </w:p>
        </w:tc>
        <w:tc>
          <w:tcPr>
            <w:tcW w:w="659" w:type="dxa"/>
            <w:vAlign w:val="center"/>
            <w:hideMark/>
          </w:tcPr>
          <w:p w14:paraId="21416B5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38110</w:t>
            </w:r>
          </w:p>
        </w:tc>
        <w:tc>
          <w:tcPr>
            <w:tcW w:w="658" w:type="dxa"/>
            <w:vAlign w:val="center"/>
            <w:hideMark/>
          </w:tcPr>
          <w:p w14:paraId="65C0BB8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40680</w:t>
            </w:r>
          </w:p>
        </w:tc>
        <w:tc>
          <w:tcPr>
            <w:tcW w:w="659" w:type="dxa"/>
            <w:vAlign w:val="center"/>
            <w:hideMark/>
          </w:tcPr>
          <w:p w14:paraId="2DE6333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42680</w:t>
            </w:r>
          </w:p>
        </w:tc>
        <w:tc>
          <w:tcPr>
            <w:tcW w:w="548" w:type="dxa"/>
            <w:vAlign w:val="center"/>
            <w:hideMark/>
          </w:tcPr>
          <w:p w14:paraId="73474EF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44240</w:t>
            </w:r>
          </w:p>
        </w:tc>
        <w:tc>
          <w:tcPr>
            <w:tcW w:w="603" w:type="dxa"/>
            <w:vAlign w:val="center"/>
            <w:hideMark/>
          </w:tcPr>
          <w:p w14:paraId="11AC79D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45760</w:t>
            </w:r>
          </w:p>
        </w:tc>
      </w:tr>
      <w:tr w:rsidR="00C5721F" w:rsidRPr="00C5721F" w14:paraId="4136DE84" w14:textId="77777777" w:rsidTr="00C5721F">
        <w:trPr>
          <w:trHeight w:val="5"/>
          <w:jc w:val="center"/>
        </w:trPr>
        <w:tc>
          <w:tcPr>
            <w:tcW w:w="1201" w:type="dxa"/>
            <w:vAlign w:val="center"/>
            <w:hideMark/>
          </w:tcPr>
          <w:p w14:paraId="0DF76D8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6832A6C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29200</w:t>
            </w:r>
          </w:p>
        </w:tc>
        <w:tc>
          <w:tcPr>
            <w:tcW w:w="659" w:type="dxa"/>
            <w:vAlign w:val="center"/>
            <w:hideMark/>
          </w:tcPr>
          <w:p w14:paraId="7A359B2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34770</w:t>
            </w:r>
          </w:p>
        </w:tc>
        <w:tc>
          <w:tcPr>
            <w:tcW w:w="658" w:type="dxa"/>
            <w:vAlign w:val="center"/>
            <w:hideMark/>
          </w:tcPr>
          <w:p w14:paraId="758E061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38470</w:t>
            </w:r>
          </w:p>
        </w:tc>
        <w:tc>
          <w:tcPr>
            <w:tcW w:w="659" w:type="dxa"/>
            <w:vAlign w:val="center"/>
            <w:hideMark/>
          </w:tcPr>
          <w:p w14:paraId="648CF2A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45870</w:t>
            </w:r>
          </w:p>
        </w:tc>
        <w:tc>
          <w:tcPr>
            <w:tcW w:w="548" w:type="dxa"/>
            <w:vAlign w:val="center"/>
            <w:hideMark/>
          </w:tcPr>
          <w:p w14:paraId="0E46D1F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53270</w:t>
            </w:r>
          </w:p>
        </w:tc>
        <w:tc>
          <w:tcPr>
            <w:tcW w:w="603" w:type="dxa"/>
            <w:vAlign w:val="center"/>
            <w:hideMark/>
          </w:tcPr>
          <w:p w14:paraId="4DF1683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60680</w:t>
            </w:r>
          </w:p>
        </w:tc>
      </w:tr>
      <w:tr w:rsidR="00C5721F" w:rsidRPr="00C5721F" w14:paraId="4F4D74A8" w14:textId="77777777" w:rsidTr="00C5721F">
        <w:trPr>
          <w:trHeight w:val="5"/>
          <w:jc w:val="center"/>
        </w:trPr>
        <w:tc>
          <w:tcPr>
            <w:tcW w:w="1201" w:type="dxa"/>
            <w:vAlign w:val="center"/>
            <w:hideMark/>
          </w:tcPr>
          <w:p w14:paraId="71034910"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Unsurfaced</w:t>
            </w:r>
          </w:p>
        </w:tc>
        <w:tc>
          <w:tcPr>
            <w:tcW w:w="658" w:type="dxa"/>
            <w:vAlign w:val="center"/>
            <w:hideMark/>
          </w:tcPr>
          <w:p w14:paraId="2616E63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11270</w:t>
            </w:r>
          </w:p>
        </w:tc>
        <w:tc>
          <w:tcPr>
            <w:tcW w:w="659" w:type="dxa"/>
            <w:vAlign w:val="center"/>
            <w:hideMark/>
          </w:tcPr>
          <w:p w14:paraId="578AD27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12010</w:t>
            </w:r>
          </w:p>
        </w:tc>
        <w:tc>
          <w:tcPr>
            <w:tcW w:w="658" w:type="dxa"/>
            <w:vAlign w:val="center"/>
            <w:hideMark/>
          </w:tcPr>
          <w:p w14:paraId="03B96DE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13640</w:t>
            </w:r>
          </w:p>
        </w:tc>
        <w:tc>
          <w:tcPr>
            <w:tcW w:w="659" w:type="dxa"/>
            <w:vAlign w:val="center"/>
            <w:hideMark/>
          </w:tcPr>
          <w:p w14:paraId="7BB94F9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14510</w:t>
            </w:r>
          </w:p>
        </w:tc>
        <w:tc>
          <w:tcPr>
            <w:tcW w:w="548" w:type="dxa"/>
            <w:vAlign w:val="center"/>
            <w:hideMark/>
          </w:tcPr>
          <w:p w14:paraId="0F2F418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15260</w:t>
            </w:r>
          </w:p>
        </w:tc>
        <w:tc>
          <w:tcPr>
            <w:tcW w:w="603" w:type="dxa"/>
            <w:vAlign w:val="center"/>
            <w:hideMark/>
          </w:tcPr>
          <w:p w14:paraId="22F2951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16010</w:t>
            </w:r>
          </w:p>
        </w:tc>
      </w:tr>
      <w:tr w:rsidR="00C5721F" w:rsidRPr="00C5721F" w14:paraId="417A8B5D" w14:textId="77777777" w:rsidTr="00C5721F">
        <w:trPr>
          <w:trHeight w:val="5"/>
          <w:jc w:val="center"/>
        </w:trPr>
        <w:tc>
          <w:tcPr>
            <w:tcW w:w="1201" w:type="dxa"/>
            <w:vAlign w:val="center"/>
            <w:hideMark/>
          </w:tcPr>
          <w:p w14:paraId="698135CF"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Major District Roads</w:t>
            </w:r>
          </w:p>
        </w:tc>
        <w:tc>
          <w:tcPr>
            <w:tcW w:w="658" w:type="dxa"/>
            <w:vAlign w:val="center"/>
            <w:hideMark/>
          </w:tcPr>
          <w:p w14:paraId="1CFA2BCE"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446F3D00"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7A84078E"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622DBA1"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725091DE"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17F8DE72"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3CC3FCFE" w14:textId="77777777" w:rsidTr="00C5721F">
        <w:trPr>
          <w:trHeight w:val="5"/>
          <w:jc w:val="center"/>
        </w:trPr>
        <w:tc>
          <w:tcPr>
            <w:tcW w:w="1201" w:type="dxa"/>
            <w:vAlign w:val="center"/>
            <w:hideMark/>
          </w:tcPr>
          <w:p w14:paraId="1541415C"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Less than 150 CVD</w:t>
            </w:r>
          </w:p>
        </w:tc>
        <w:tc>
          <w:tcPr>
            <w:tcW w:w="658" w:type="dxa"/>
            <w:vAlign w:val="center"/>
            <w:hideMark/>
          </w:tcPr>
          <w:p w14:paraId="03752058"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F66931B"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5D26430E"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1FE75E88"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0A225735"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627850E3"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689363DA" w14:textId="77777777" w:rsidTr="00C5721F">
        <w:trPr>
          <w:trHeight w:val="5"/>
          <w:jc w:val="center"/>
        </w:trPr>
        <w:tc>
          <w:tcPr>
            <w:tcW w:w="1201" w:type="dxa"/>
            <w:vAlign w:val="center"/>
            <w:hideMark/>
          </w:tcPr>
          <w:p w14:paraId="45CD5EA9"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72B550A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18060</w:t>
            </w:r>
          </w:p>
        </w:tc>
        <w:tc>
          <w:tcPr>
            <w:tcW w:w="659" w:type="dxa"/>
            <w:vAlign w:val="center"/>
            <w:hideMark/>
          </w:tcPr>
          <w:p w14:paraId="30E53AD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18610</w:t>
            </w:r>
          </w:p>
        </w:tc>
        <w:tc>
          <w:tcPr>
            <w:tcW w:w="658" w:type="dxa"/>
            <w:vAlign w:val="center"/>
            <w:hideMark/>
          </w:tcPr>
          <w:p w14:paraId="651022B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19790</w:t>
            </w:r>
          </w:p>
        </w:tc>
        <w:tc>
          <w:tcPr>
            <w:tcW w:w="659" w:type="dxa"/>
            <w:vAlign w:val="center"/>
            <w:hideMark/>
          </w:tcPr>
          <w:p w14:paraId="371014E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20700</w:t>
            </w:r>
          </w:p>
        </w:tc>
        <w:tc>
          <w:tcPr>
            <w:tcW w:w="548" w:type="dxa"/>
            <w:vAlign w:val="center"/>
            <w:hideMark/>
          </w:tcPr>
          <w:p w14:paraId="7EFDCC2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21400</w:t>
            </w:r>
          </w:p>
        </w:tc>
        <w:tc>
          <w:tcPr>
            <w:tcW w:w="603" w:type="dxa"/>
            <w:vAlign w:val="center"/>
            <w:hideMark/>
          </w:tcPr>
          <w:p w14:paraId="698D30B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22100</w:t>
            </w:r>
          </w:p>
        </w:tc>
      </w:tr>
      <w:tr w:rsidR="00C5721F" w:rsidRPr="00C5721F" w14:paraId="7D7BD4AB" w14:textId="77777777" w:rsidTr="00C5721F">
        <w:trPr>
          <w:trHeight w:val="5"/>
          <w:jc w:val="center"/>
        </w:trPr>
        <w:tc>
          <w:tcPr>
            <w:tcW w:w="1201" w:type="dxa"/>
            <w:vAlign w:val="center"/>
            <w:hideMark/>
          </w:tcPr>
          <w:p w14:paraId="796A8DF0"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07D4380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19810</w:t>
            </w:r>
          </w:p>
        </w:tc>
        <w:tc>
          <w:tcPr>
            <w:tcW w:w="659" w:type="dxa"/>
            <w:vAlign w:val="center"/>
            <w:hideMark/>
          </w:tcPr>
          <w:p w14:paraId="737670E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20920</w:t>
            </w:r>
          </w:p>
        </w:tc>
        <w:tc>
          <w:tcPr>
            <w:tcW w:w="658" w:type="dxa"/>
            <w:vAlign w:val="center"/>
            <w:hideMark/>
          </w:tcPr>
          <w:p w14:paraId="21D5701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23110</w:t>
            </w:r>
          </w:p>
        </w:tc>
        <w:tc>
          <w:tcPr>
            <w:tcW w:w="659" w:type="dxa"/>
            <w:vAlign w:val="center"/>
            <w:hideMark/>
          </w:tcPr>
          <w:p w14:paraId="143AAC2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27500</w:t>
            </w:r>
          </w:p>
        </w:tc>
        <w:tc>
          <w:tcPr>
            <w:tcW w:w="548" w:type="dxa"/>
            <w:vAlign w:val="center"/>
            <w:hideMark/>
          </w:tcPr>
          <w:p w14:paraId="29EA2C2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31890</w:t>
            </w:r>
          </w:p>
        </w:tc>
        <w:tc>
          <w:tcPr>
            <w:tcW w:w="603" w:type="dxa"/>
            <w:vAlign w:val="center"/>
            <w:hideMark/>
          </w:tcPr>
          <w:p w14:paraId="17ADB16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36270</w:t>
            </w:r>
          </w:p>
        </w:tc>
      </w:tr>
      <w:tr w:rsidR="00C5721F" w:rsidRPr="00C5721F" w14:paraId="5A4B6E1C" w14:textId="77777777" w:rsidTr="00C5721F">
        <w:trPr>
          <w:trHeight w:val="5"/>
          <w:jc w:val="center"/>
        </w:trPr>
        <w:tc>
          <w:tcPr>
            <w:tcW w:w="1201" w:type="dxa"/>
            <w:vAlign w:val="center"/>
            <w:hideMark/>
          </w:tcPr>
          <w:p w14:paraId="129AA7EC"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150 to 450 CVD</w:t>
            </w:r>
          </w:p>
        </w:tc>
        <w:tc>
          <w:tcPr>
            <w:tcW w:w="658" w:type="dxa"/>
            <w:vAlign w:val="center"/>
            <w:hideMark/>
          </w:tcPr>
          <w:p w14:paraId="5228CFB1"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02B493AB"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6491BCD8"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46068D60"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046A83BB"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054C46F9"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007AB5F0" w14:textId="77777777" w:rsidTr="00C5721F">
        <w:trPr>
          <w:trHeight w:val="5"/>
          <w:jc w:val="center"/>
        </w:trPr>
        <w:tc>
          <w:tcPr>
            <w:tcW w:w="1201" w:type="dxa"/>
            <w:vAlign w:val="center"/>
            <w:hideMark/>
          </w:tcPr>
          <w:p w14:paraId="1ACC1618"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22785C1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20380</w:t>
            </w:r>
          </w:p>
        </w:tc>
        <w:tc>
          <w:tcPr>
            <w:tcW w:w="659" w:type="dxa"/>
            <w:vAlign w:val="center"/>
            <w:hideMark/>
          </w:tcPr>
          <w:p w14:paraId="7E7232E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23250</w:t>
            </w:r>
          </w:p>
        </w:tc>
        <w:tc>
          <w:tcPr>
            <w:tcW w:w="658" w:type="dxa"/>
            <w:vAlign w:val="center"/>
            <w:hideMark/>
          </w:tcPr>
          <w:p w14:paraId="7E1893F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24670</w:t>
            </w:r>
          </w:p>
        </w:tc>
        <w:tc>
          <w:tcPr>
            <w:tcW w:w="659" w:type="dxa"/>
            <w:vAlign w:val="center"/>
            <w:hideMark/>
          </w:tcPr>
          <w:p w14:paraId="0FF29F0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25780</w:t>
            </w:r>
          </w:p>
        </w:tc>
        <w:tc>
          <w:tcPr>
            <w:tcW w:w="548" w:type="dxa"/>
            <w:vAlign w:val="center"/>
            <w:hideMark/>
          </w:tcPr>
          <w:p w14:paraId="69CC10C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26660</w:t>
            </w:r>
          </w:p>
        </w:tc>
        <w:tc>
          <w:tcPr>
            <w:tcW w:w="603" w:type="dxa"/>
            <w:vAlign w:val="center"/>
            <w:hideMark/>
          </w:tcPr>
          <w:p w14:paraId="54ACB3C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27530</w:t>
            </w:r>
          </w:p>
        </w:tc>
      </w:tr>
      <w:tr w:rsidR="00C5721F" w:rsidRPr="00C5721F" w14:paraId="59DA1901" w14:textId="77777777" w:rsidTr="00C5721F">
        <w:trPr>
          <w:trHeight w:val="5"/>
          <w:jc w:val="center"/>
        </w:trPr>
        <w:tc>
          <w:tcPr>
            <w:tcW w:w="1201" w:type="dxa"/>
            <w:vAlign w:val="center"/>
            <w:hideMark/>
          </w:tcPr>
          <w:p w14:paraId="7EA2725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3908FEE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21070</w:t>
            </w:r>
          </w:p>
        </w:tc>
        <w:tc>
          <w:tcPr>
            <w:tcW w:w="659" w:type="dxa"/>
            <w:vAlign w:val="center"/>
            <w:hideMark/>
          </w:tcPr>
          <w:p w14:paraId="2928733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21810</w:t>
            </w:r>
          </w:p>
        </w:tc>
        <w:tc>
          <w:tcPr>
            <w:tcW w:w="658" w:type="dxa"/>
            <w:vAlign w:val="center"/>
            <w:hideMark/>
          </w:tcPr>
          <w:p w14:paraId="0FD993E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24050</w:t>
            </w:r>
          </w:p>
        </w:tc>
        <w:tc>
          <w:tcPr>
            <w:tcW w:w="659" w:type="dxa"/>
            <w:vAlign w:val="center"/>
            <w:hideMark/>
          </w:tcPr>
          <w:p w14:paraId="290C976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28520</w:t>
            </w:r>
          </w:p>
        </w:tc>
        <w:tc>
          <w:tcPr>
            <w:tcW w:w="548" w:type="dxa"/>
            <w:vAlign w:val="center"/>
            <w:hideMark/>
          </w:tcPr>
          <w:p w14:paraId="63184B7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33000</w:t>
            </w:r>
          </w:p>
        </w:tc>
        <w:tc>
          <w:tcPr>
            <w:tcW w:w="603" w:type="dxa"/>
            <w:vAlign w:val="center"/>
            <w:hideMark/>
          </w:tcPr>
          <w:p w14:paraId="3614DFC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37480</w:t>
            </w:r>
          </w:p>
        </w:tc>
      </w:tr>
      <w:tr w:rsidR="00C5721F" w:rsidRPr="00C5721F" w14:paraId="1548F924" w14:textId="77777777" w:rsidTr="00C5721F">
        <w:trPr>
          <w:trHeight w:val="5"/>
          <w:jc w:val="center"/>
        </w:trPr>
        <w:tc>
          <w:tcPr>
            <w:tcW w:w="1201" w:type="dxa"/>
            <w:vAlign w:val="center"/>
            <w:hideMark/>
          </w:tcPr>
          <w:p w14:paraId="1EFE264A"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Over 450 CVD</w:t>
            </w:r>
          </w:p>
        </w:tc>
        <w:tc>
          <w:tcPr>
            <w:tcW w:w="658" w:type="dxa"/>
            <w:vAlign w:val="center"/>
            <w:hideMark/>
          </w:tcPr>
          <w:p w14:paraId="170FA014"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4D7CE5C6"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4B87B3D9"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00B5A49"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3E935CD0"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365C7D8A"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25438037" w14:textId="77777777" w:rsidTr="00C5721F">
        <w:trPr>
          <w:trHeight w:val="5"/>
          <w:jc w:val="center"/>
        </w:trPr>
        <w:tc>
          <w:tcPr>
            <w:tcW w:w="1201" w:type="dxa"/>
            <w:vAlign w:val="center"/>
            <w:hideMark/>
          </w:tcPr>
          <w:p w14:paraId="2B8AA409"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00C3AB7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23910</w:t>
            </w:r>
          </w:p>
        </w:tc>
        <w:tc>
          <w:tcPr>
            <w:tcW w:w="659" w:type="dxa"/>
            <w:vAlign w:val="center"/>
            <w:hideMark/>
          </w:tcPr>
          <w:p w14:paraId="6D959E9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27160</w:t>
            </w:r>
          </w:p>
        </w:tc>
        <w:tc>
          <w:tcPr>
            <w:tcW w:w="658" w:type="dxa"/>
            <w:vAlign w:val="center"/>
            <w:hideMark/>
          </w:tcPr>
          <w:p w14:paraId="1FF0EC3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28870</w:t>
            </w:r>
          </w:p>
        </w:tc>
        <w:tc>
          <w:tcPr>
            <w:tcW w:w="659" w:type="dxa"/>
            <w:vAlign w:val="center"/>
            <w:hideMark/>
          </w:tcPr>
          <w:p w14:paraId="78A26FD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30120</w:t>
            </w:r>
          </w:p>
        </w:tc>
        <w:tc>
          <w:tcPr>
            <w:tcW w:w="548" w:type="dxa"/>
            <w:vAlign w:val="center"/>
            <w:hideMark/>
          </w:tcPr>
          <w:p w14:paraId="0AAA5D7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31390</w:t>
            </w:r>
          </w:p>
        </w:tc>
        <w:tc>
          <w:tcPr>
            <w:tcW w:w="603" w:type="dxa"/>
            <w:vAlign w:val="center"/>
            <w:hideMark/>
          </w:tcPr>
          <w:p w14:paraId="44D11C9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32650</w:t>
            </w:r>
          </w:p>
        </w:tc>
      </w:tr>
      <w:tr w:rsidR="00C5721F" w:rsidRPr="00C5721F" w14:paraId="60EFA977" w14:textId="77777777" w:rsidTr="00C5721F">
        <w:trPr>
          <w:trHeight w:val="5"/>
          <w:jc w:val="center"/>
        </w:trPr>
        <w:tc>
          <w:tcPr>
            <w:tcW w:w="1201" w:type="dxa"/>
            <w:vAlign w:val="center"/>
            <w:hideMark/>
          </w:tcPr>
          <w:p w14:paraId="299A74E8"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2583A13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21840</w:t>
            </w:r>
          </w:p>
        </w:tc>
        <w:tc>
          <w:tcPr>
            <w:tcW w:w="659" w:type="dxa"/>
            <w:vAlign w:val="center"/>
            <w:hideMark/>
          </w:tcPr>
          <w:p w14:paraId="45CD09B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26010</w:t>
            </w:r>
          </w:p>
        </w:tc>
        <w:tc>
          <w:tcPr>
            <w:tcW w:w="658" w:type="dxa"/>
            <w:vAlign w:val="center"/>
            <w:hideMark/>
          </w:tcPr>
          <w:p w14:paraId="65FA443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28790</w:t>
            </w:r>
          </w:p>
        </w:tc>
        <w:tc>
          <w:tcPr>
            <w:tcW w:w="659" w:type="dxa"/>
            <w:vAlign w:val="center"/>
            <w:hideMark/>
          </w:tcPr>
          <w:p w14:paraId="4D17B53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34330</w:t>
            </w:r>
          </w:p>
        </w:tc>
        <w:tc>
          <w:tcPr>
            <w:tcW w:w="548" w:type="dxa"/>
            <w:vAlign w:val="center"/>
            <w:hideMark/>
          </w:tcPr>
          <w:p w14:paraId="218EF00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39870</w:t>
            </w:r>
          </w:p>
        </w:tc>
        <w:tc>
          <w:tcPr>
            <w:tcW w:w="603" w:type="dxa"/>
            <w:vAlign w:val="center"/>
            <w:hideMark/>
          </w:tcPr>
          <w:p w14:paraId="039AB3C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45410</w:t>
            </w:r>
          </w:p>
        </w:tc>
      </w:tr>
      <w:tr w:rsidR="00C5721F" w:rsidRPr="00C5721F" w14:paraId="45636D33" w14:textId="77777777" w:rsidTr="00C5721F">
        <w:trPr>
          <w:trHeight w:val="5"/>
          <w:jc w:val="center"/>
        </w:trPr>
        <w:tc>
          <w:tcPr>
            <w:tcW w:w="1201" w:type="dxa"/>
            <w:vAlign w:val="center"/>
            <w:hideMark/>
          </w:tcPr>
          <w:p w14:paraId="654521B4"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Unsurfaced</w:t>
            </w:r>
          </w:p>
        </w:tc>
        <w:tc>
          <w:tcPr>
            <w:tcW w:w="658" w:type="dxa"/>
            <w:vAlign w:val="center"/>
            <w:hideMark/>
          </w:tcPr>
          <w:p w14:paraId="282AF0A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9730</w:t>
            </w:r>
          </w:p>
        </w:tc>
        <w:tc>
          <w:tcPr>
            <w:tcW w:w="659" w:type="dxa"/>
            <w:vAlign w:val="center"/>
            <w:hideMark/>
          </w:tcPr>
          <w:p w14:paraId="125FE11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10470</w:t>
            </w:r>
          </w:p>
        </w:tc>
        <w:tc>
          <w:tcPr>
            <w:tcW w:w="658" w:type="dxa"/>
            <w:vAlign w:val="center"/>
            <w:hideMark/>
          </w:tcPr>
          <w:p w14:paraId="034BB4D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11300</w:t>
            </w:r>
          </w:p>
        </w:tc>
        <w:tc>
          <w:tcPr>
            <w:tcW w:w="659" w:type="dxa"/>
            <w:vAlign w:val="center"/>
            <w:hideMark/>
          </w:tcPr>
          <w:p w14:paraId="0A660C8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12970</w:t>
            </w:r>
          </w:p>
        </w:tc>
        <w:tc>
          <w:tcPr>
            <w:tcW w:w="548" w:type="dxa"/>
            <w:vAlign w:val="center"/>
            <w:hideMark/>
          </w:tcPr>
          <w:p w14:paraId="07FC52A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13720</w:t>
            </w:r>
          </w:p>
        </w:tc>
        <w:tc>
          <w:tcPr>
            <w:tcW w:w="603" w:type="dxa"/>
            <w:vAlign w:val="center"/>
            <w:hideMark/>
          </w:tcPr>
          <w:p w14:paraId="75FB511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14470</w:t>
            </w:r>
          </w:p>
        </w:tc>
      </w:tr>
      <w:tr w:rsidR="00C5721F" w:rsidRPr="00C5721F" w14:paraId="47EE5F0B" w14:textId="77777777" w:rsidTr="00C5721F">
        <w:trPr>
          <w:trHeight w:val="5"/>
          <w:jc w:val="center"/>
        </w:trPr>
        <w:tc>
          <w:tcPr>
            <w:tcW w:w="1201" w:type="dxa"/>
            <w:vAlign w:val="center"/>
            <w:hideMark/>
          </w:tcPr>
          <w:p w14:paraId="12612229"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Other District Roads, Village Roads &amp; Others (All Traffic Densities)</w:t>
            </w:r>
          </w:p>
        </w:tc>
        <w:tc>
          <w:tcPr>
            <w:tcW w:w="658" w:type="dxa"/>
            <w:vAlign w:val="center"/>
            <w:hideMark/>
          </w:tcPr>
          <w:p w14:paraId="33683033"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3F0DDBEF" w14:textId="77777777" w:rsidR="00E52378" w:rsidRPr="00C5721F" w:rsidRDefault="00E52378" w:rsidP="00C51EC4">
            <w:pPr>
              <w:pStyle w:val="NoSpacing"/>
              <w:jc w:val="center"/>
              <w:rPr>
                <w:rFonts w:ascii="Times New Roman" w:hAnsi="Times New Roman" w:cs="Times New Roman"/>
                <w:sz w:val="14"/>
                <w:szCs w:val="14"/>
              </w:rPr>
            </w:pPr>
          </w:p>
        </w:tc>
        <w:tc>
          <w:tcPr>
            <w:tcW w:w="658" w:type="dxa"/>
            <w:vAlign w:val="center"/>
            <w:hideMark/>
          </w:tcPr>
          <w:p w14:paraId="11BB3DA3" w14:textId="77777777" w:rsidR="00E52378" w:rsidRPr="00C5721F" w:rsidRDefault="00E52378" w:rsidP="00C51EC4">
            <w:pPr>
              <w:pStyle w:val="NoSpacing"/>
              <w:jc w:val="center"/>
              <w:rPr>
                <w:rFonts w:ascii="Times New Roman" w:hAnsi="Times New Roman" w:cs="Times New Roman"/>
                <w:sz w:val="14"/>
                <w:szCs w:val="14"/>
              </w:rPr>
            </w:pPr>
          </w:p>
        </w:tc>
        <w:tc>
          <w:tcPr>
            <w:tcW w:w="659" w:type="dxa"/>
            <w:vAlign w:val="center"/>
            <w:hideMark/>
          </w:tcPr>
          <w:p w14:paraId="57385993" w14:textId="77777777" w:rsidR="00E52378" w:rsidRPr="00C5721F" w:rsidRDefault="00E52378" w:rsidP="00C51EC4">
            <w:pPr>
              <w:pStyle w:val="NoSpacing"/>
              <w:jc w:val="center"/>
              <w:rPr>
                <w:rFonts w:ascii="Times New Roman" w:hAnsi="Times New Roman" w:cs="Times New Roman"/>
                <w:sz w:val="14"/>
                <w:szCs w:val="14"/>
              </w:rPr>
            </w:pPr>
          </w:p>
        </w:tc>
        <w:tc>
          <w:tcPr>
            <w:tcW w:w="548" w:type="dxa"/>
            <w:vAlign w:val="center"/>
            <w:hideMark/>
          </w:tcPr>
          <w:p w14:paraId="27D1418F" w14:textId="77777777" w:rsidR="00E52378" w:rsidRPr="00C5721F" w:rsidRDefault="00E52378" w:rsidP="00C51EC4">
            <w:pPr>
              <w:pStyle w:val="NoSpacing"/>
              <w:jc w:val="center"/>
              <w:rPr>
                <w:rFonts w:ascii="Times New Roman" w:hAnsi="Times New Roman" w:cs="Times New Roman"/>
                <w:sz w:val="14"/>
                <w:szCs w:val="14"/>
              </w:rPr>
            </w:pPr>
          </w:p>
        </w:tc>
        <w:tc>
          <w:tcPr>
            <w:tcW w:w="603" w:type="dxa"/>
            <w:vAlign w:val="center"/>
            <w:hideMark/>
          </w:tcPr>
          <w:p w14:paraId="21CCC6AB" w14:textId="77777777" w:rsidR="00E52378" w:rsidRPr="00C5721F" w:rsidRDefault="00E52378" w:rsidP="00C51EC4">
            <w:pPr>
              <w:pStyle w:val="NoSpacing"/>
              <w:jc w:val="center"/>
              <w:rPr>
                <w:rFonts w:ascii="Times New Roman" w:hAnsi="Times New Roman" w:cs="Times New Roman"/>
                <w:sz w:val="14"/>
                <w:szCs w:val="14"/>
              </w:rPr>
            </w:pPr>
          </w:p>
        </w:tc>
      </w:tr>
      <w:tr w:rsidR="00C5721F" w:rsidRPr="00C5721F" w14:paraId="74A9C710" w14:textId="77777777" w:rsidTr="00C5721F">
        <w:trPr>
          <w:trHeight w:val="5"/>
          <w:jc w:val="center"/>
        </w:trPr>
        <w:tc>
          <w:tcPr>
            <w:tcW w:w="1201" w:type="dxa"/>
            <w:vAlign w:val="center"/>
            <w:hideMark/>
          </w:tcPr>
          <w:p w14:paraId="1EC1096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B.T.</w:t>
            </w:r>
          </w:p>
        </w:tc>
        <w:tc>
          <w:tcPr>
            <w:tcW w:w="658" w:type="dxa"/>
            <w:vAlign w:val="center"/>
            <w:hideMark/>
          </w:tcPr>
          <w:p w14:paraId="6E93920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15370</w:t>
            </w:r>
          </w:p>
        </w:tc>
        <w:tc>
          <w:tcPr>
            <w:tcW w:w="659" w:type="dxa"/>
            <w:vAlign w:val="center"/>
            <w:hideMark/>
          </w:tcPr>
          <w:p w14:paraId="2E562B4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15920</w:t>
            </w:r>
          </w:p>
        </w:tc>
        <w:tc>
          <w:tcPr>
            <w:tcW w:w="658" w:type="dxa"/>
            <w:vAlign w:val="center"/>
            <w:hideMark/>
          </w:tcPr>
          <w:p w14:paraId="3AC70BB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17100</w:t>
            </w:r>
          </w:p>
        </w:tc>
        <w:tc>
          <w:tcPr>
            <w:tcW w:w="659" w:type="dxa"/>
            <w:vAlign w:val="center"/>
            <w:hideMark/>
          </w:tcPr>
          <w:p w14:paraId="0118A1C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18010</w:t>
            </w:r>
          </w:p>
        </w:tc>
        <w:tc>
          <w:tcPr>
            <w:tcW w:w="548" w:type="dxa"/>
            <w:vAlign w:val="center"/>
            <w:hideMark/>
          </w:tcPr>
          <w:p w14:paraId="290226C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20190</w:t>
            </w:r>
          </w:p>
        </w:tc>
        <w:tc>
          <w:tcPr>
            <w:tcW w:w="603" w:type="dxa"/>
            <w:vAlign w:val="center"/>
            <w:hideMark/>
          </w:tcPr>
          <w:p w14:paraId="52968CF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20890</w:t>
            </w:r>
          </w:p>
        </w:tc>
      </w:tr>
      <w:tr w:rsidR="00C5721F" w:rsidRPr="00C5721F" w14:paraId="6ECF4308" w14:textId="77777777" w:rsidTr="00C5721F">
        <w:trPr>
          <w:trHeight w:val="5"/>
          <w:jc w:val="center"/>
        </w:trPr>
        <w:tc>
          <w:tcPr>
            <w:tcW w:w="1201" w:type="dxa"/>
            <w:vAlign w:val="center"/>
            <w:hideMark/>
          </w:tcPr>
          <w:p w14:paraId="30469A50"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W.B.M.</w:t>
            </w:r>
          </w:p>
        </w:tc>
        <w:tc>
          <w:tcPr>
            <w:tcW w:w="658" w:type="dxa"/>
            <w:vAlign w:val="center"/>
            <w:hideMark/>
          </w:tcPr>
          <w:p w14:paraId="1F9ABF5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14720</w:t>
            </w:r>
          </w:p>
        </w:tc>
        <w:tc>
          <w:tcPr>
            <w:tcW w:w="659" w:type="dxa"/>
            <w:vAlign w:val="center"/>
            <w:hideMark/>
          </w:tcPr>
          <w:p w14:paraId="0EAA282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18010</w:t>
            </w:r>
          </w:p>
        </w:tc>
        <w:tc>
          <w:tcPr>
            <w:tcW w:w="658" w:type="dxa"/>
            <w:vAlign w:val="center"/>
            <w:hideMark/>
          </w:tcPr>
          <w:p w14:paraId="30D2E33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20200</w:t>
            </w:r>
          </w:p>
        </w:tc>
        <w:tc>
          <w:tcPr>
            <w:tcW w:w="659" w:type="dxa"/>
            <w:vAlign w:val="center"/>
            <w:hideMark/>
          </w:tcPr>
          <w:p w14:paraId="2564862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24590</w:t>
            </w:r>
          </w:p>
        </w:tc>
        <w:tc>
          <w:tcPr>
            <w:tcW w:w="548" w:type="dxa"/>
            <w:vAlign w:val="center"/>
            <w:hideMark/>
          </w:tcPr>
          <w:p w14:paraId="1C7B950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30460</w:t>
            </w:r>
          </w:p>
        </w:tc>
        <w:tc>
          <w:tcPr>
            <w:tcW w:w="603" w:type="dxa"/>
            <w:vAlign w:val="center"/>
            <w:hideMark/>
          </w:tcPr>
          <w:p w14:paraId="4C1222D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34850</w:t>
            </w:r>
          </w:p>
        </w:tc>
      </w:tr>
      <w:tr w:rsidR="00C5721F" w:rsidRPr="00C5721F" w14:paraId="0091BA29" w14:textId="77777777" w:rsidTr="00C5721F">
        <w:trPr>
          <w:trHeight w:val="5"/>
          <w:jc w:val="center"/>
        </w:trPr>
        <w:tc>
          <w:tcPr>
            <w:tcW w:w="1201" w:type="dxa"/>
            <w:vAlign w:val="center"/>
            <w:hideMark/>
          </w:tcPr>
          <w:p w14:paraId="204B7B33"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Unsurfaced</w:t>
            </w:r>
          </w:p>
        </w:tc>
        <w:tc>
          <w:tcPr>
            <w:tcW w:w="658" w:type="dxa"/>
            <w:vAlign w:val="center"/>
            <w:hideMark/>
          </w:tcPr>
          <w:p w14:paraId="0AC21F9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9730</w:t>
            </w:r>
          </w:p>
        </w:tc>
        <w:tc>
          <w:tcPr>
            <w:tcW w:w="659" w:type="dxa"/>
            <w:vAlign w:val="center"/>
            <w:hideMark/>
          </w:tcPr>
          <w:p w14:paraId="5442589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10470</w:t>
            </w:r>
          </w:p>
        </w:tc>
        <w:tc>
          <w:tcPr>
            <w:tcW w:w="658" w:type="dxa"/>
            <w:vAlign w:val="center"/>
            <w:hideMark/>
          </w:tcPr>
          <w:p w14:paraId="104E75C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11300</w:t>
            </w:r>
          </w:p>
        </w:tc>
        <w:tc>
          <w:tcPr>
            <w:tcW w:w="659" w:type="dxa"/>
            <w:vAlign w:val="center"/>
            <w:hideMark/>
          </w:tcPr>
          <w:p w14:paraId="2D09E92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12970</w:t>
            </w:r>
          </w:p>
        </w:tc>
        <w:tc>
          <w:tcPr>
            <w:tcW w:w="548" w:type="dxa"/>
            <w:vAlign w:val="center"/>
            <w:hideMark/>
          </w:tcPr>
          <w:p w14:paraId="70415E8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13720</w:t>
            </w:r>
          </w:p>
        </w:tc>
        <w:tc>
          <w:tcPr>
            <w:tcW w:w="603" w:type="dxa"/>
            <w:vAlign w:val="center"/>
            <w:hideMark/>
          </w:tcPr>
          <w:p w14:paraId="16D4E63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14470</w:t>
            </w:r>
          </w:p>
        </w:tc>
      </w:tr>
    </w:tbl>
    <w:p w14:paraId="719F5E01" w14:textId="0E44B3AF" w:rsidR="00E52378" w:rsidRPr="005858A3" w:rsidRDefault="00E52378" w:rsidP="00DB373C">
      <w:pPr>
        <w:pStyle w:val="NoSpacing"/>
        <w:ind w:left="1440"/>
        <w:rPr>
          <w:rFonts w:ascii="Times New Roman" w:hAnsi="Times New Roman" w:cs="Times New Roman"/>
          <w:sz w:val="14"/>
          <w:szCs w:val="14"/>
        </w:rPr>
      </w:pPr>
      <w:proofErr w:type="gramStart"/>
      <w:r w:rsidRPr="005858A3">
        <w:rPr>
          <w:rFonts w:ascii="Times New Roman" w:hAnsi="Times New Roman" w:cs="Times New Roman"/>
          <w:sz w:val="14"/>
          <w:szCs w:val="14"/>
        </w:rPr>
        <w:t>B.T. :</w:t>
      </w:r>
      <w:proofErr w:type="gramEnd"/>
      <w:r w:rsidRPr="005858A3">
        <w:rPr>
          <w:rFonts w:ascii="Times New Roman" w:hAnsi="Times New Roman" w:cs="Times New Roman"/>
          <w:sz w:val="14"/>
          <w:szCs w:val="14"/>
        </w:rPr>
        <w:t xml:space="preserve"> Bitumen topped</w:t>
      </w:r>
      <w:r w:rsidR="00C51EC4" w:rsidRPr="005858A3">
        <w:rPr>
          <w:rFonts w:ascii="Times New Roman" w:hAnsi="Times New Roman" w:cs="Times New Roman"/>
          <w:sz w:val="14"/>
          <w:szCs w:val="14"/>
        </w:rPr>
        <w:tab/>
      </w:r>
      <w:proofErr w:type="gramStart"/>
      <w:r w:rsidRPr="005858A3">
        <w:rPr>
          <w:rFonts w:ascii="Times New Roman" w:hAnsi="Times New Roman" w:cs="Times New Roman"/>
          <w:sz w:val="14"/>
          <w:szCs w:val="14"/>
        </w:rPr>
        <w:t>W.B.M. :</w:t>
      </w:r>
      <w:proofErr w:type="gramEnd"/>
      <w:r w:rsidRPr="005858A3">
        <w:rPr>
          <w:rFonts w:ascii="Times New Roman" w:hAnsi="Times New Roman" w:cs="Times New Roman"/>
          <w:sz w:val="14"/>
          <w:szCs w:val="14"/>
        </w:rPr>
        <w:t xml:space="preserve"> Water bound macadam</w:t>
      </w:r>
      <w:r w:rsidRPr="005858A3">
        <w:rPr>
          <w:rFonts w:ascii="Times New Roman" w:hAnsi="Times New Roman" w:cs="Times New Roman"/>
          <w:sz w:val="14"/>
          <w:szCs w:val="14"/>
        </w:rPr>
        <w:br/>
      </w:r>
      <w:proofErr w:type="gramStart"/>
      <w:r w:rsidRPr="005858A3">
        <w:rPr>
          <w:rFonts w:ascii="Times New Roman" w:hAnsi="Times New Roman" w:cs="Times New Roman"/>
          <w:sz w:val="14"/>
          <w:szCs w:val="14"/>
        </w:rPr>
        <w:t>CVD :</w:t>
      </w:r>
      <w:proofErr w:type="gramEnd"/>
      <w:r w:rsidRPr="005858A3">
        <w:rPr>
          <w:rFonts w:ascii="Times New Roman" w:hAnsi="Times New Roman" w:cs="Times New Roman"/>
          <w:sz w:val="14"/>
          <w:szCs w:val="14"/>
        </w:rPr>
        <w:t xml:space="preserve"> Commercial vehicles a day</w:t>
      </w:r>
    </w:p>
    <w:p w14:paraId="1E263625" w14:textId="77777777" w:rsidR="00DB373C" w:rsidRDefault="00DB373C" w:rsidP="00DB373C">
      <w:pPr>
        <w:pStyle w:val="NoSpacing"/>
        <w:ind w:left="1440"/>
        <w:rPr>
          <w:rFonts w:ascii="Times New Roman" w:hAnsi="Times New Roman" w:cs="Times New Roman"/>
          <w:sz w:val="16"/>
          <w:szCs w:val="16"/>
        </w:rPr>
      </w:pPr>
    </w:p>
    <w:p w14:paraId="0D265F5F" w14:textId="71D169EC" w:rsidR="00664558" w:rsidRPr="00DB373C" w:rsidRDefault="00E52378" w:rsidP="00C51EC4">
      <w:pPr>
        <w:pStyle w:val="Heading2"/>
        <w:rPr>
          <w:sz w:val="20"/>
          <w:szCs w:val="20"/>
        </w:rPr>
      </w:pPr>
      <w:bookmarkStart w:id="77" w:name="_Toc221292996"/>
      <w:bookmarkStart w:id="78" w:name="_Toc222399487"/>
      <w:r w:rsidRPr="00DB373C">
        <w:rPr>
          <w:sz w:val="20"/>
          <w:szCs w:val="20"/>
        </w:rPr>
        <w:t>ANNEXURE III.14</w:t>
      </w:r>
      <w:r w:rsidR="00C51EC4" w:rsidRPr="00DB373C">
        <w:rPr>
          <w:sz w:val="20"/>
          <w:szCs w:val="20"/>
        </w:rPr>
        <w:br/>
      </w:r>
      <w:r w:rsidRPr="00DB373C">
        <w:rPr>
          <w:sz w:val="20"/>
          <w:szCs w:val="20"/>
        </w:rPr>
        <w:t xml:space="preserve">Provision </w:t>
      </w:r>
      <w:proofErr w:type="gramStart"/>
      <w:r w:rsidRPr="00DB373C">
        <w:rPr>
          <w:sz w:val="20"/>
          <w:szCs w:val="20"/>
        </w:rPr>
        <w:t>For</w:t>
      </w:r>
      <w:proofErr w:type="gramEnd"/>
      <w:r w:rsidRPr="00DB373C">
        <w:rPr>
          <w:sz w:val="20"/>
          <w:szCs w:val="20"/>
        </w:rPr>
        <w:t xml:space="preserve"> Maintenance </w:t>
      </w:r>
      <w:proofErr w:type="gramStart"/>
      <w:r w:rsidRPr="00DB373C">
        <w:rPr>
          <w:sz w:val="20"/>
          <w:szCs w:val="20"/>
        </w:rPr>
        <w:t>Of</w:t>
      </w:r>
      <w:proofErr w:type="gramEnd"/>
      <w:r w:rsidRPr="00DB373C">
        <w:rPr>
          <w:sz w:val="20"/>
          <w:szCs w:val="20"/>
        </w:rPr>
        <w:t xml:space="preserve"> </w:t>
      </w:r>
      <w:proofErr w:type="gramStart"/>
      <w:r w:rsidRPr="00DB373C">
        <w:rPr>
          <w:sz w:val="20"/>
          <w:szCs w:val="20"/>
        </w:rPr>
        <w:t>Roads :</w:t>
      </w:r>
      <w:proofErr w:type="gramEnd"/>
      <w:r w:rsidRPr="00DB373C">
        <w:rPr>
          <w:sz w:val="20"/>
          <w:szCs w:val="20"/>
        </w:rPr>
        <w:t xml:space="preserve"> 1990-95</w:t>
      </w:r>
      <w:bookmarkEnd w:id="77"/>
      <w:bookmarkEnd w:id="78"/>
    </w:p>
    <w:p w14:paraId="6206001E" w14:textId="3A431154" w:rsidR="00E52378" w:rsidRPr="00C51EC4" w:rsidRDefault="00C51EC4" w:rsidP="00C5721F">
      <w:pPr>
        <w:pStyle w:val="NoSpacing"/>
        <w:ind w:left="720"/>
        <w:jc w:val="center"/>
        <w:rPr>
          <w:rFonts w:ascii="Times New Roman" w:hAnsi="Times New Roman" w:cs="Times New Roman"/>
          <w:sz w:val="18"/>
          <w:szCs w:val="16"/>
        </w:rPr>
      </w:pPr>
      <w:r w:rsidRPr="00DB373C">
        <w:rPr>
          <w:rFonts w:ascii="Times New Roman" w:hAnsi="Times New Roman" w:cs="Times New Roman"/>
          <w:i/>
          <w:iCs/>
          <w:sz w:val="18"/>
          <w:szCs w:val="16"/>
        </w:rPr>
        <w:t xml:space="preserve">(Para </w:t>
      </w:r>
      <w:proofErr w:type="gramStart"/>
      <w:r w:rsidRPr="00DB373C">
        <w:rPr>
          <w:rFonts w:ascii="Times New Roman" w:hAnsi="Times New Roman" w:cs="Times New Roman"/>
          <w:i/>
          <w:iCs/>
          <w:sz w:val="18"/>
          <w:szCs w:val="16"/>
        </w:rPr>
        <w:t>3.51)</w:t>
      </w:r>
      <w:r w:rsidR="00E52378" w:rsidRPr="00C51EC4">
        <w:rPr>
          <w:rFonts w:ascii="Times New Roman" w:hAnsi="Times New Roman" w:cs="Times New Roman"/>
          <w:i/>
          <w:iCs/>
          <w:sz w:val="18"/>
          <w:szCs w:val="16"/>
        </w:rPr>
        <w:t>(</w:t>
      </w:r>
      <w:proofErr w:type="gramEnd"/>
      <w:r w:rsidR="00E52378" w:rsidRPr="00C51EC4">
        <w:rPr>
          <w:rFonts w:ascii="Times New Roman" w:hAnsi="Times New Roman" w:cs="Times New Roman"/>
          <w:i/>
          <w:iCs/>
          <w:sz w:val="18"/>
          <w:szCs w:val="16"/>
        </w:rPr>
        <w:t>Rs. Crore)</w:t>
      </w:r>
    </w:p>
    <w:tbl>
      <w:tblPr>
        <w:tblStyle w:val="TableGrid"/>
        <w:tblW w:w="4991" w:type="dxa"/>
        <w:tblLook w:val="04A0" w:firstRow="1" w:lastRow="0" w:firstColumn="1" w:lastColumn="0" w:noHBand="0" w:noVBand="1"/>
      </w:tblPr>
      <w:tblGrid>
        <w:gridCol w:w="939"/>
        <w:gridCol w:w="671"/>
        <w:gridCol w:w="697"/>
        <w:gridCol w:w="671"/>
        <w:gridCol w:w="671"/>
        <w:gridCol w:w="671"/>
        <w:gridCol w:w="671"/>
      </w:tblGrid>
      <w:tr w:rsidR="00441B7E" w:rsidRPr="00C5721F" w14:paraId="3319B13C" w14:textId="77777777" w:rsidTr="00C5721F">
        <w:trPr>
          <w:trHeight w:val="31"/>
        </w:trPr>
        <w:tc>
          <w:tcPr>
            <w:tcW w:w="939" w:type="dxa"/>
            <w:vAlign w:val="center"/>
            <w:hideMark/>
          </w:tcPr>
          <w:p w14:paraId="1B3F61F5" w14:textId="77777777" w:rsidR="00E52378" w:rsidRPr="00C5721F" w:rsidRDefault="00E52378" w:rsidP="00C51EC4">
            <w:pPr>
              <w:pStyle w:val="NoSpacing"/>
              <w:rPr>
                <w:rFonts w:ascii="Times New Roman" w:hAnsi="Times New Roman" w:cs="Times New Roman"/>
                <w:b/>
                <w:bCs/>
                <w:sz w:val="14"/>
                <w:szCs w:val="14"/>
              </w:rPr>
            </w:pPr>
            <w:r w:rsidRPr="00C5721F">
              <w:rPr>
                <w:rFonts w:ascii="Times New Roman" w:hAnsi="Times New Roman" w:cs="Times New Roman"/>
                <w:b/>
                <w:bCs/>
                <w:sz w:val="14"/>
                <w:szCs w:val="14"/>
              </w:rPr>
              <w:t>STATES</w:t>
            </w:r>
          </w:p>
        </w:tc>
        <w:tc>
          <w:tcPr>
            <w:tcW w:w="671" w:type="dxa"/>
            <w:vAlign w:val="center"/>
            <w:hideMark/>
          </w:tcPr>
          <w:p w14:paraId="699DAC6C"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1990-91</w:t>
            </w:r>
          </w:p>
        </w:tc>
        <w:tc>
          <w:tcPr>
            <w:tcW w:w="697" w:type="dxa"/>
            <w:vAlign w:val="center"/>
            <w:hideMark/>
          </w:tcPr>
          <w:p w14:paraId="60ECA2D1"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1991-92</w:t>
            </w:r>
          </w:p>
        </w:tc>
        <w:tc>
          <w:tcPr>
            <w:tcW w:w="671" w:type="dxa"/>
            <w:vAlign w:val="center"/>
            <w:hideMark/>
          </w:tcPr>
          <w:p w14:paraId="712F283B"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1992-93</w:t>
            </w:r>
          </w:p>
        </w:tc>
        <w:tc>
          <w:tcPr>
            <w:tcW w:w="671" w:type="dxa"/>
            <w:vAlign w:val="center"/>
            <w:hideMark/>
          </w:tcPr>
          <w:p w14:paraId="39274663"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1993-94</w:t>
            </w:r>
          </w:p>
        </w:tc>
        <w:tc>
          <w:tcPr>
            <w:tcW w:w="671" w:type="dxa"/>
            <w:vAlign w:val="center"/>
            <w:hideMark/>
          </w:tcPr>
          <w:p w14:paraId="32C40D9F"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1994-95</w:t>
            </w:r>
          </w:p>
        </w:tc>
        <w:tc>
          <w:tcPr>
            <w:tcW w:w="671" w:type="dxa"/>
            <w:vAlign w:val="center"/>
            <w:hideMark/>
          </w:tcPr>
          <w:p w14:paraId="264B5572" w14:textId="77777777" w:rsidR="00E52378" w:rsidRPr="00C5721F" w:rsidRDefault="00E52378"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1990-95</w:t>
            </w:r>
          </w:p>
        </w:tc>
      </w:tr>
      <w:tr w:rsidR="00441B7E" w:rsidRPr="00C5721F" w14:paraId="00C137EA" w14:textId="77777777" w:rsidTr="00C5721F">
        <w:trPr>
          <w:trHeight w:val="31"/>
        </w:trPr>
        <w:tc>
          <w:tcPr>
            <w:tcW w:w="939" w:type="dxa"/>
            <w:vAlign w:val="center"/>
            <w:hideMark/>
          </w:tcPr>
          <w:p w14:paraId="7BB114D3"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 Andhra Pradesh</w:t>
            </w:r>
          </w:p>
        </w:tc>
        <w:tc>
          <w:tcPr>
            <w:tcW w:w="671" w:type="dxa"/>
            <w:vAlign w:val="center"/>
            <w:hideMark/>
          </w:tcPr>
          <w:p w14:paraId="5378CE2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129.06</w:t>
            </w:r>
          </w:p>
        </w:tc>
        <w:tc>
          <w:tcPr>
            <w:tcW w:w="697" w:type="dxa"/>
            <w:vAlign w:val="center"/>
            <w:hideMark/>
          </w:tcPr>
          <w:p w14:paraId="5C8A60F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153.58</w:t>
            </w:r>
          </w:p>
        </w:tc>
        <w:tc>
          <w:tcPr>
            <w:tcW w:w="671" w:type="dxa"/>
            <w:vAlign w:val="center"/>
            <w:hideMark/>
          </w:tcPr>
          <w:p w14:paraId="43B80FD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182.76</w:t>
            </w:r>
          </w:p>
        </w:tc>
        <w:tc>
          <w:tcPr>
            <w:tcW w:w="671" w:type="dxa"/>
            <w:vAlign w:val="center"/>
            <w:hideMark/>
          </w:tcPr>
          <w:p w14:paraId="0745B3C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217.48</w:t>
            </w:r>
          </w:p>
        </w:tc>
        <w:tc>
          <w:tcPr>
            <w:tcW w:w="671" w:type="dxa"/>
            <w:vAlign w:val="center"/>
            <w:hideMark/>
          </w:tcPr>
          <w:p w14:paraId="180FBED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258.80</w:t>
            </w:r>
          </w:p>
        </w:tc>
        <w:tc>
          <w:tcPr>
            <w:tcW w:w="671" w:type="dxa"/>
            <w:vAlign w:val="center"/>
            <w:hideMark/>
          </w:tcPr>
          <w:p w14:paraId="2F1982F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941.68</w:t>
            </w:r>
          </w:p>
        </w:tc>
      </w:tr>
      <w:tr w:rsidR="00441B7E" w:rsidRPr="00C5721F" w14:paraId="53754070" w14:textId="77777777" w:rsidTr="00C5721F">
        <w:trPr>
          <w:trHeight w:val="31"/>
        </w:trPr>
        <w:tc>
          <w:tcPr>
            <w:tcW w:w="939" w:type="dxa"/>
            <w:vAlign w:val="center"/>
            <w:hideMark/>
          </w:tcPr>
          <w:p w14:paraId="0F8AAFC0"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 Arunachal Pradesh</w:t>
            </w:r>
          </w:p>
        </w:tc>
        <w:tc>
          <w:tcPr>
            <w:tcW w:w="671" w:type="dxa"/>
            <w:vAlign w:val="center"/>
            <w:hideMark/>
          </w:tcPr>
          <w:p w14:paraId="568524E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6.63</w:t>
            </w:r>
          </w:p>
        </w:tc>
        <w:tc>
          <w:tcPr>
            <w:tcW w:w="697" w:type="dxa"/>
            <w:vAlign w:val="center"/>
            <w:hideMark/>
          </w:tcPr>
          <w:p w14:paraId="4CE49FB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8.03</w:t>
            </w:r>
          </w:p>
        </w:tc>
        <w:tc>
          <w:tcPr>
            <w:tcW w:w="671" w:type="dxa"/>
            <w:vAlign w:val="center"/>
            <w:hideMark/>
          </w:tcPr>
          <w:p w14:paraId="79CF4AA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9.71</w:t>
            </w:r>
          </w:p>
        </w:tc>
        <w:tc>
          <w:tcPr>
            <w:tcW w:w="671" w:type="dxa"/>
            <w:vAlign w:val="center"/>
            <w:hideMark/>
          </w:tcPr>
          <w:p w14:paraId="206EC99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11.75</w:t>
            </w:r>
          </w:p>
        </w:tc>
        <w:tc>
          <w:tcPr>
            <w:tcW w:w="671" w:type="dxa"/>
            <w:vAlign w:val="center"/>
            <w:hideMark/>
          </w:tcPr>
          <w:p w14:paraId="5538B49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14.22</w:t>
            </w:r>
          </w:p>
        </w:tc>
        <w:tc>
          <w:tcPr>
            <w:tcW w:w="671" w:type="dxa"/>
            <w:vAlign w:val="center"/>
            <w:hideMark/>
          </w:tcPr>
          <w:p w14:paraId="7B75060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50.34</w:t>
            </w:r>
          </w:p>
        </w:tc>
      </w:tr>
      <w:tr w:rsidR="00441B7E" w:rsidRPr="00C5721F" w14:paraId="6860C41A" w14:textId="77777777" w:rsidTr="00C5721F">
        <w:trPr>
          <w:trHeight w:val="31"/>
        </w:trPr>
        <w:tc>
          <w:tcPr>
            <w:tcW w:w="939" w:type="dxa"/>
            <w:vAlign w:val="center"/>
            <w:hideMark/>
          </w:tcPr>
          <w:p w14:paraId="5435F94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3. Assam</w:t>
            </w:r>
          </w:p>
        </w:tc>
        <w:tc>
          <w:tcPr>
            <w:tcW w:w="671" w:type="dxa"/>
            <w:vAlign w:val="center"/>
            <w:hideMark/>
          </w:tcPr>
          <w:p w14:paraId="35A9FF6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26.66</w:t>
            </w:r>
          </w:p>
        </w:tc>
        <w:tc>
          <w:tcPr>
            <w:tcW w:w="697" w:type="dxa"/>
            <w:vAlign w:val="center"/>
            <w:hideMark/>
          </w:tcPr>
          <w:p w14:paraId="55B7D2A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33.33</w:t>
            </w:r>
          </w:p>
        </w:tc>
        <w:tc>
          <w:tcPr>
            <w:tcW w:w="671" w:type="dxa"/>
            <w:vAlign w:val="center"/>
            <w:hideMark/>
          </w:tcPr>
          <w:p w14:paraId="08185DE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41.66</w:t>
            </w:r>
          </w:p>
        </w:tc>
        <w:tc>
          <w:tcPr>
            <w:tcW w:w="671" w:type="dxa"/>
            <w:vAlign w:val="center"/>
            <w:hideMark/>
          </w:tcPr>
          <w:p w14:paraId="29D6501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52.07</w:t>
            </w:r>
          </w:p>
        </w:tc>
        <w:tc>
          <w:tcPr>
            <w:tcW w:w="671" w:type="dxa"/>
            <w:vAlign w:val="center"/>
            <w:hideMark/>
          </w:tcPr>
          <w:p w14:paraId="1DCB438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65.09</w:t>
            </w:r>
          </w:p>
        </w:tc>
        <w:tc>
          <w:tcPr>
            <w:tcW w:w="671" w:type="dxa"/>
            <w:vAlign w:val="center"/>
            <w:hideMark/>
          </w:tcPr>
          <w:p w14:paraId="19EB066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218.81</w:t>
            </w:r>
          </w:p>
        </w:tc>
      </w:tr>
      <w:tr w:rsidR="00441B7E" w:rsidRPr="00C5721F" w14:paraId="38422E53" w14:textId="77777777" w:rsidTr="00C5721F">
        <w:trPr>
          <w:trHeight w:val="31"/>
        </w:trPr>
        <w:tc>
          <w:tcPr>
            <w:tcW w:w="939" w:type="dxa"/>
            <w:vAlign w:val="center"/>
            <w:hideMark/>
          </w:tcPr>
          <w:p w14:paraId="635005DD"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4. Bihar</w:t>
            </w:r>
          </w:p>
        </w:tc>
        <w:tc>
          <w:tcPr>
            <w:tcW w:w="671" w:type="dxa"/>
            <w:vAlign w:val="center"/>
            <w:hideMark/>
          </w:tcPr>
          <w:p w14:paraId="0FFDE91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69.21</w:t>
            </w:r>
          </w:p>
        </w:tc>
        <w:tc>
          <w:tcPr>
            <w:tcW w:w="697" w:type="dxa"/>
            <w:vAlign w:val="center"/>
            <w:hideMark/>
          </w:tcPr>
          <w:p w14:paraId="1AE50B1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74.05</w:t>
            </w:r>
          </w:p>
        </w:tc>
        <w:tc>
          <w:tcPr>
            <w:tcW w:w="671" w:type="dxa"/>
            <w:vAlign w:val="center"/>
            <w:hideMark/>
          </w:tcPr>
          <w:p w14:paraId="5FE6B64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79.24</w:t>
            </w:r>
          </w:p>
        </w:tc>
        <w:tc>
          <w:tcPr>
            <w:tcW w:w="671" w:type="dxa"/>
            <w:vAlign w:val="center"/>
            <w:hideMark/>
          </w:tcPr>
          <w:p w14:paraId="30ECEFC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84.79</w:t>
            </w:r>
          </w:p>
        </w:tc>
        <w:tc>
          <w:tcPr>
            <w:tcW w:w="671" w:type="dxa"/>
            <w:vAlign w:val="center"/>
            <w:hideMark/>
          </w:tcPr>
          <w:p w14:paraId="0CB89C6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90.72</w:t>
            </w:r>
          </w:p>
        </w:tc>
        <w:tc>
          <w:tcPr>
            <w:tcW w:w="671" w:type="dxa"/>
            <w:vAlign w:val="center"/>
            <w:hideMark/>
          </w:tcPr>
          <w:p w14:paraId="215440A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398.01</w:t>
            </w:r>
          </w:p>
        </w:tc>
      </w:tr>
      <w:tr w:rsidR="00441B7E" w:rsidRPr="00C5721F" w14:paraId="6EA2BE0D" w14:textId="77777777" w:rsidTr="00C5721F">
        <w:trPr>
          <w:trHeight w:val="31"/>
        </w:trPr>
        <w:tc>
          <w:tcPr>
            <w:tcW w:w="939" w:type="dxa"/>
            <w:vAlign w:val="center"/>
            <w:hideMark/>
          </w:tcPr>
          <w:p w14:paraId="5DF7FB32"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5. Goa</w:t>
            </w:r>
          </w:p>
        </w:tc>
        <w:tc>
          <w:tcPr>
            <w:tcW w:w="671" w:type="dxa"/>
            <w:vAlign w:val="center"/>
            <w:hideMark/>
          </w:tcPr>
          <w:p w14:paraId="0D6C8D3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3.97</w:t>
            </w:r>
          </w:p>
        </w:tc>
        <w:tc>
          <w:tcPr>
            <w:tcW w:w="697" w:type="dxa"/>
            <w:vAlign w:val="center"/>
            <w:hideMark/>
          </w:tcPr>
          <w:p w14:paraId="1872984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5.35</w:t>
            </w:r>
          </w:p>
        </w:tc>
        <w:tc>
          <w:tcPr>
            <w:tcW w:w="671" w:type="dxa"/>
            <w:vAlign w:val="center"/>
            <w:hideMark/>
          </w:tcPr>
          <w:p w14:paraId="7F499E9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7.23</w:t>
            </w:r>
          </w:p>
        </w:tc>
        <w:tc>
          <w:tcPr>
            <w:tcW w:w="671" w:type="dxa"/>
            <w:vAlign w:val="center"/>
            <w:hideMark/>
          </w:tcPr>
          <w:p w14:paraId="4655A77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9.76</w:t>
            </w:r>
          </w:p>
        </w:tc>
        <w:tc>
          <w:tcPr>
            <w:tcW w:w="671" w:type="dxa"/>
            <w:vAlign w:val="center"/>
            <w:hideMark/>
          </w:tcPr>
          <w:p w14:paraId="5F05C13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13.17</w:t>
            </w:r>
          </w:p>
        </w:tc>
        <w:tc>
          <w:tcPr>
            <w:tcW w:w="671" w:type="dxa"/>
            <w:vAlign w:val="center"/>
            <w:hideMark/>
          </w:tcPr>
          <w:p w14:paraId="7AD23E0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39.48</w:t>
            </w:r>
          </w:p>
        </w:tc>
      </w:tr>
      <w:tr w:rsidR="00441B7E" w:rsidRPr="00C5721F" w14:paraId="6A6B950B" w14:textId="77777777" w:rsidTr="00C5721F">
        <w:trPr>
          <w:trHeight w:val="31"/>
        </w:trPr>
        <w:tc>
          <w:tcPr>
            <w:tcW w:w="939" w:type="dxa"/>
            <w:vAlign w:val="center"/>
            <w:hideMark/>
          </w:tcPr>
          <w:p w14:paraId="7461F061"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6. Gujarat</w:t>
            </w:r>
          </w:p>
        </w:tc>
        <w:tc>
          <w:tcPr>
            <w:tcW w:w="671" w:type="dxa"/>
            <w:vAlign w:val="center"/>
            <w:hideMark/>
          </w:tcPr>
          <w:p w14:paraId="6C4FBC9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90.46</w:t>
            </w:r>
          </w:p>
        </w:tc>
        <w:tc>
          <w:tcPr>
            <w:tcW w:w="697" w:type="dxa"/>
            <w:vAlign w:val="center"/>
            <w:hideMark/>
          </w:tcPr>
          <w:p w14:paraId="4A02B05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105.84</w:t>
            </w:r>
          </w:p>
        </w:tc>
        <w:tc>
          <w:tcPr>
            <w:tcW w:w="671" w:type="dxa"/>
            <w:vAlign w:val="center"/>
            <w:hideMark/>
          </w:tcPr>
          <w:p w14:paraId="6434D2F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123.83</w:t>
            </w:r>
          </w:p>
        </w:tc>
        <w:tc>
          <w:tcPr>
            <w:tcW w:w="671" w:type="dxa"/>
            <w:vAlign w:val="center"/>
            <w:hideMark/>
          </w:tcPr>
          <w:p w14:paraId="598D951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144.88</w:t>
            </w:r>
          </w:p>
        </w:tc>
        <w:tc>
          <w:tcPr>
            <w:tcW w:w="671" w:type="dxa"/>
            <w:vAlign w:val="center"/>
            <w:hideMark/>
          </w:tcPr>
          <w:p w14:paraId="279D3A8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169.51</w:t>
            </w:r>
          </w:p>
        </w:tc>
        <w:tc>
          <w:tcPr>
            <w:tcW w:w="671" w:type="dxa"/>
            <w:vAlign w:val="center"/>
            <w:hideMark/>
          </w:tcPr>
          <w:p w14:paraId="55DBC04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634.52</w:t>
            </w:r>
          </w:p>
        </w:tc>
      </w:tr>
      <w:tr w:rsidR="00441B7E" w:rsidRPr="00C5721F" w14:paraId="1E66FA7E" w14:textId="77777777" w:rsidTr="00C5721F">
        <w:trPr>
          <w:trHeight w:val="31"/>
        </w:trPr>
        <w:tc>
          <w:tcPr>
            <w:tcW w:w="939" w:type="dxa"/>
            <w:vAlign w:val="center"/>
            <w:hideMark/>
          </w:tcPr>
          <w:p w14:paraId="3C41A482"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7. Haryana</w:t>
            </w:r>
          </w:p>
        </w:tc>
        <w:tc>
          <w:tcPr>
            <w:tcW w:w="671" w:type="dxa"/>
            <w:vAlign w:val="center"/>
            <w:hideMark/>
          </w:tcPr>
          <w:p w14:paraId="3D50DD1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20.33</w:t>
            </w:r>
          </w:p>
        </w:tc>
        <w:tc>
          <w:tcPr>
            <w:tcW w:w="697" w:type="dxa"/>
            <w:vAlign w:val="center"/>
            <w:hideMark/>
          </w:tcPr>
          <w:p w14:paraId="623E178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27.45</w:t>
            </w:r>
          </w:p>
        </w:tc>
        <w:tc>
          <w:tcPr>
            <w:tcW w:w="671" w:type="dxa"/>
            <w:vAlign w:val="center"/>
            <w:hideMark/>
          </w:tcPr>
          <w:p w14:paraId="0319E9B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37.05</w:t>
            </w:r>
          </w:p>
        </w:tc>
        <w:tc>
          <w:tcPr>
            <w:tcW w:w="671" w:type="dxa"/>
            <w:vAlign w:val="center"/>
            <w:hideMark/>
          </w:tcPr>
          <w:p w14:paraId="1427F07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50.02</w:t>
            </w:r>
          </w:p>
        </w:tc>
        <w:tc>
          <w:tcPr>
            <w:tcW w:w="671" w:type="dxa"/>
            <w:vAlign w:val="center"/>
            <w:hideMark/>
          </w:tcPr>
          <w:p w14:paraId="5B41D18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67.53</w:t>
            </w:r>
          </w:p>
        </w:tc>
        <w:tc>
          <w:tcPr>
            <w:tcW w:w="671" w:type="dxa"/>
            <w:vAlign w:val="center"/>
            <w:hideMark/>
          </w:tcPr>
          <w:p w14:paraId="07107BB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202.38</w:t>
            </w:r>
          </w:p>
        </w:tc>
      </w:tr>
      <w:tr w:rsidR="00441B7E" w:rsidRPr="00C5721F" w14:paraId="4520B2DC" w14:textId="77777777" w:rsidTr="00C5721F">
        <w:trPr>
          <w:trHeight w:val="31"/>
        </w:trPr>
        <w:tc>
          <w:tcPr>
            <w:tcW w:w="939" w:type="dxa"/>
            <w:vAlign w:val="center"/>
            <w:hideMark/>
          </w:tcPr>
          <w:p w14:paraId="6FA47389"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8. Himachal Pradesh</w:t>
            </w:r>
          </w:p>
        </w:tc>
        <w:tc>
          <w:tcPr>
            <w:tcW w:w="671" w:type="dxa"/>
            <w:vAlign w:val="center"/>
            <w:hideMark/>
          </w:tcPr>
          <w:p w14:paraId="12F13EB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22.13</w:t>
            </w:r>
          </w:p>
        </w:tc>
        <w:tc>
          <w:tcPr>
            <w:tcW w:w="697" w:type="dxa"/>
            <w:vAlign w:val="center"/>
            <w:hideMark/>
          </w:tcPr>
          <w:p w14:paraId="4BFFB45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25.45</w:t>
            </w:r>
          </w:p>
        </w:tc>
        <w:tc>
          <w:tcPr>
            <w:tcW w:w="671" w:type="dxa"/>
            <w:vAlign w:val="center"/>
            <w:hideMark/>
          </w:tcPr>
          <w:p w14:paraId="2BB660D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29.26</w:t>
            </w:r>
          </w:p>
        </w:tc>
        <w:tc>
          <w:tcPr>
            <w:tcW w:w="671" w:type="dxa"/>
            <w:vAlign w:val="center"/>
            <w:hideMark/>
          </w:tcPr>
          <w:p w14:paraId="0EAE263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33.65</w:t>
            </w:r>
          </w:p>
        </w:tc>
        <w:tc>
          <w:tcPr>
            <w:tcW w:w="671" w:type="dxa"/>
            <w:vAlign w:val="center"/>
            <w:hideMark/>
          </w:tcPr>
          <w:p w14:paraId="49FE085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38.70</w:t>
            </w:r>
          </w:p>
        </w:tc>
        <w:tc>
          <w:tcPr>
            <w:tcW w:w="671" w:type="dxa"/>
            <w:vAlign w:val="center"/>
            <w:hideMark/>
          </w:tcPr>
          <w:p w14:paraId="3191E59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149.19</w:t>
            </w:r>
          </w:p>
        </w:tc>
      </w:tr>
      <w:tr w:rsidR="00441B7E" w:rsidRPr="00C5721F" w14:paraId="0977B027" w14:textId="77777777" w:rsidTr="00C5721F">
        <w:trPr>
          <w:trHeight w:val="31"/>
        </w:trPr>
        <w:tc>
          <w:tcPr>
            <w:tcW w:w="939" w:type="dxa"/>
            <w:vAlign w:val="center"/>
            <w:hideMark/>
          </w:tcPr>
          <w:p w14:paraId="127A6AD5"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9. Jammu &amp; Kashmir</w:t>
            </w:r>
          </w:p>
        </w:tc>
        <w:tc>
          <w:tcPr>
            <w:tcW w:w="671" w:type="dxa"/>
            <w:vAlign w:val="center"/>
            <w:hideMark/>
          </w:tcPr>
          <w:p w14:paraId="7D6116B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10.53</w:t>
            </w:r>
          </w:p>
        </w:tc>
        <w:tc>
          <w:tcPr>
            <w:tcW w:w="697" w:type="dxa"/>
            <w:vAlign w:val="center"/>
            <w:hideMark/>
          </w:tcPr>
          <w:p w14:paraId="10B234B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14.21</w:t>
            </w:r>
          </w:p>
        </w:tc>
        <w:tc>
          <w:tcPr>
            <w:tcW w:w="671" w:type="dxa"/>
            <w:vAlign w:val="center"/>
            <w:hideMark/>
          </w:tcPr>
          <w:p w14:paraId="1F9C30A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19.18</w:t>
            </w:r>
          </w:p>
        </w:tc>
        <w:tc>
          <w:tcPr>
            <w:tcW w:w="671" w:type="dxa"/>
            <w:vAlign w:val="center"/>
            <w:hideMark/>
          </w:tcPr>
          <w:p w14:paraId="46038C6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25.90</w:t>
            </w:r>
          </w:p>
        </w:tc>
        <w:tc>
          <w:tcPr>
            <w:tcW w:w="671" w:type="dxa"/>
            <w:vAlign w:val="center"/>
            <w:hideMark/>
          </w:tcPr>
          <w:p w14:paraId="112D159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34.96</w:t>
            </w:r>
          </w:p>
        </w:tc>
        <w:tc>
          <w:tcPr>
            <w:tcW w:w="671" w:type="dxa"/>
            <w:vAlign w:val="center"/>
            <w:hideMark/>
          </w:tcPr>
          <w:p w14:paraId="09A13B9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104.78</w:t>
            </w:r>
          </w:p>
        </w:tc>
      </w:tr>
      <w:tr w:rsidR="00441B7E" w:rsidRPr="00C5721F" w14:paraId="22605C6C" w14:textId="77777777" w:rsidTr="00C5721F">
        <w:trPr>
          <w:trHeight w:val="31"/>
        </w:trPr>
        <w:tc>
          <w:tcPr>
            <w:tcW w:w="939" w:type="dxa"/>
            <w:vAlign w:val="center"/>
            <w:hideMark/>
          </w:tcPr>
          <w:p w14:paraId="4FAD86A8"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10. Karnataka</w:t>
            </w:r>
          </w:p>
        </w:tc>
        <w:tc>
          <w:tcPr>
            <w:tcW w:w="671" w:type="dxa"/>
            <w:vAlign w:val="center"/>
            <w:hideMark/>
          </w:tcPr>
          <w:p w14:paraId="4F13C79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65.28</w:t>
            </w:r>
          </w:p>
        </w:tc>
        <w:tc>
          <w:tcPr>
            <w:tcW w:w="697" w:type="dxa"/>
            <w:vAlign w:val="center"/>
            <w:hideMark/>
          </w:tcPr>
          <w:p w14:paraId="44DD405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78.33</w:t>
            </w:r>
          </w:p>
        </w:tc>
        <w:tc>
          <w:tcPr>
            <w:tcW w:w="671" w:type="dxa"/>
            <w:vAlign w:val="center"/>
            <w:hideMark/>
          </w:tcPr>
          <w:p w14:paraId="76FA9BA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94.00</w:t>
            </w:r>
          </w:p>
        </w:tc>
        <w:tc>
          <w:tcPr>
            <w:tcW w:w="671" w:type="dxa"/>
            <w:vAlign w:val="center"/>
            <w:hideMark/>
          </w:tcPr>
          <w:p w14:paraId="07314EA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112.80</w:t>
            </w:r>
          </w:p>
        </w:tc>
        <w:tc>
          <w:tcPr>
            <w:tcW w:w="671" w:type="dxa"/>
            <w:vAlign w:val="center"/>
            <w:hideMark/>
          </w:tcPr>
          <w:p w14:paraId="09A3042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135.36</w:t>
            </w:r>
          </w:p>
        </w:tc>
        <w:tc>
          <w:tcPr>
            <w:tcW w:w="671" w:type="dxa"/>
            <w:vAlign w:val="center"/>
            <w:hideMark/>
          </w:tcPr>
          <w:p w14:paraId="4DE341C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485.77</w:t>
            </w:r>
          </w:p>
        </w:tc>
      </w:tr>
      <w:tr w:rsidR="00441B7E" w:rsidRPr="00C5721F" w14:paraId="21B8682F" w14:textId="77777777" w:rsidTr="00C5721F">
        <w:trPr>
          <w:trHeight w:val="31"/>
        </w:trPr>
        <w:tc>
          <w:tcPr>
            <w:tcW w:w="939" w:type="dxa"/>
            <w:vAlign w:val="center"/>
            <w:hideMark/>
          </w:tcPr>
          <w:p w14:paraId="65C653E1"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11. Kerala</w:t>
            </w:r>
          </w:p>
        </w:tc>
        <w:tc>
          <w:tcPr>
            <w:tcW w:w="671" w:type="dxa"/>
            <w:vAlign w:val="center"/>
            <w:hideMark/>
          </w:tcPr>
          <w:p w14:paraId="048CC4D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51.99</w:t>
            </w:r>
          </w:p>
        </w:tc>
        <w:tc>
          <w:tcPr>
            <w:tcW w:w="697" w:type="dxa"/>
            <w:vAlign w:val="center"/>
            <w:hideMark/>
          </w:tcPr>
          <w:p w14:paraId="2769423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60.83</w:t>
            </w:r>
          </w:p>
        </w:tc>
        <w:tc>
          <w:tcPr>
            <w:tcW w:w="671" w:type="dxa"/>
            <w:vAlign w:val="center"/>
            <w:hideMark/>
          </w:tcPr>
          <w:p w14:paraId="0C1E932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71.17</w:t>
            </w:r>
          </w:p>
        </w:tc>
        <w:tc>
          <w:tcPr>
            <w:tcW w:w="671" w:type="dxa"/>
            <w:vAlign w:val="center"/>
            <w:hideMark/>
          </w:tcPr>
          <w:p w14:paraId="0BFFD7B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83.27</w:t>
            </w:r>
          </w:p>
        </w:tc>
        <w:tc>
          <w:tcPr>
            <w:tcW w:w="671" w:type="dxa"/>
            <w:vAlign w:val="center"/>
            <w:hideMark/>
          </w:tcPr>
          <w:p w14:paraId="7104840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97.43</w:t>
            </w:r>
          </w:p>
        </w:tc>
        <w:tc>
          <w:tcPr>
            <w:tcW w:w="671" w:type="dxa"/>
            <w:vAlign w:val="center"/>
            <w:hideMark/>
          </w:tcPr>
          <w:p w14:paraId="554A62A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364.69</w:t>
            </w:r>
          </w:p>
        </w:tc>
      </w:tr>
      <w:tr w:rsidR="00441B7E" w:rsidRPr="00C5721F" w14:paraId="260DD6E6" w14:textId="77777777" w:rsidTr="00C5721F">
        <w:trPr>
          <w:trHeight w:val="31"/>
        </w:trPr>
        <w:tc>
          <w:tcPr>
            <w:tcW w:w="939" w:type="dxa"/>
            <w:vAlign w:val="center"/>
            <w:hideMark/>
          </w:tcPr>
          <w:p w14:paraId="3A8184AD"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12. Madhya Pradesh</w:t>
            </w:r>
          </w:p>
        </w:tc>
        <w:tc>
          <w:tcPr>
            <w:tcW w:w="671" w:type="dxa"/>
            <w:vAlign w:val="center"/>
            <w:hideMark/>
          </w:tcPr>
          <w:p w14:paraId="15CBC42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101.07</w:t>
            </w:r>
          </w:p>
        </w:tc>
        <w:tc>
          <w:tcPr>
            <w:tcW w:w="697" w:type="dxa"/>
            <w:vAlign w:val="center"/>
            <w:hideMark/>
          </w:tcPr>
          <w:p w14:paraId="452FF35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126.34</w:t>
            </w:r>
          </w:p>
        </w:tc>
        <w:tc>
          <w:tcPr>
            <w:tcW w:w="671" w:type="dxa"/>
            <w:vAlign w:val="center"/>
            <w:hideMark/>
          </w:tcPr>
          <w:p w14:paraId="5B962F4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157.93</w:t>
            </w:r>
          </w:p>
        </w:tc>
        <w:tc>
          <w:tcPr>
            <w:tcW w:w="671" w:type="dxa"/>
            <w:vAlign w:val="center"/>
            <w:hideMark/>
          </w:tcPr>
          <w:p w14:paraId="2BA0DA9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197.41</w:t>
            </w:r>
          </w:p>
        </w:tc>
        <w:tc>
          <w:tcPr>
            <w:tcW w:w="671" w:type="dxa"/>
            <w:vAlign w:val="center"/>
            <w:hideMark/>
          </w:tcPr>
          <w:p w14:paraId="54EE88E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246.76</w:t>
            </w:r>
          </w:p>
        </w:tc>
        <w:tc>
          <w:tcPr>
            <w:tcW w:w="671" w:type="dxa"/>
            <w:vAlign w:val="center"/>
            <w:hideMark/>
          </w:tcPr>
          <w:p w14:paraId="5E05F82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829.51</w:t>
            </w:r>
          </w:p>
        </w:tc>
      </w:tr>
      <w:tr w:rsidR="00441B7E" w:rsidRPr="00C5721F" w14:paraId="1EAB27D1" w14:textId="77777777" w:rsidTr="00C5721F">
        <w:trPr>
          <w:trHeight w:val="31"/>
        </w:trPr>
        <w:tc>
          <w:tcPr>
            <w:tcW w:w="939" w:type="dxa"/>
            <w:vAlign w:val="center"/>
            <w:hideMark/>
          </w:tcPr>
          <w:p w14:paraId="7BF9EA27"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13. Maha-</w:t>
            </w:r>
            <w:proofErr w:type="spellStart"/>
            <w:r w:rsidRPr="00C5721F">
              <w:rPr>
                <w:rFonts w:ascii="Times New Roman" w:hAnsi="Times New Roman" w:cs="Times New Roman"/>
                <w:sz w:val="14"/>
                <w:szCs w:val="14"/>
              </w:rPr>
              <w:t>rashtra</w:t>
            </w:r>
            <w:proofErr w:type="spellEnd"/>
          </w:p>
        </w:tc>
        <w:tc>
          <w:tcPr>
            <w:tcW w:w="671" w:type="dxa"/>
            <w:vAlign w:val="center"/>
            <w:hideMark/>
          </w:tcPr>
          <w:p w14:paraId="3D98C7A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120.25</w:t>
            </w:r>
          </w:p>
        </w:tc>
        <w:tc>
          <w:tcPr>
            <w:tcW w:w="697" w:type="dxa"/>
            <w:vAlign w:val="center"/>
            <w:hideMark/>
          </w:tcPr>
          <w:p w14:paraId="292FA09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149.11</w:t>
            </w:r>
          </w:p>
        </w:tc>
        <w:tc>
          <w:tcPr>
            <w:tcW w:w="671" w:type="dxa"/>
            <w:vAlign w:val="center"/>
            <w:hideMark/>
          </w:tcPr>
          <w:p w14:paraId="23309BA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184.90</w:t>
            </w:r>
          </w:p>
        </w:tc>
        <w:tc>
          <w:tcPr>
            <w:tcW w:w="671" w:type="dxa"/>
            <w:vAlign w:val="center"/>
            <w:hideMark/>
          </w:tcPr>
          <w:p w14:paraId="1AD0CEA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229.27</w:t>
            </w:r>
          </w:p>
        </w:tc>
        <w:tc>
          <w:tcPr>
            <w:tcW w:w="671" w:type="dxa"/>
            <w:vAlign w:val="center"/>
            <w:hideMark/>
          </w:tcPr>
          <w:p w14:paraId="5794CD3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284.30</w:t>
            </w:r>
          </w:p>
        </w:tc>
        <w:tc>
          <w:tcPr>
            <w:tcW w:w="671" w:type="dxa"/>
            <w:vAlign w:val="center"/>
            <w:hideMark/>
          </w:tcPr>
          <w:p w14:paraId="029163B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967.83</w:t>
            </w:r>
          </w:p>
        </w:tc>
      </w:tr>
      <w:tr w:rsidR="00441B7E" w:rsidRPr="00C5721F" w14:paraId="4004A4B7" w14:textId="77777777" w:rsidTr="00C5721F">
        <w:trPr>
          <w:trHeight w:val="31"/>
        </w:trPr>
        <w:tc>
          <w:tcPr>
            <w:tcW w:w="939" w:type="dxa"/>
            <w:vAlign w:val="center"/>
            <w:hideMark/>
          </w:tcPr>
          <w:p w14:paraId="27234995"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14. Mizoram</w:t>
            </w:r>
          </w:p>
        </w:tc>
        <w:tc>
          <w:tcPr>
            <w:tcW w:w="671" w:type="dxa"/>
            <w:vAlign w:val="center"/>
            <w:hideMark/>
          </w:tcPr>
          <w:p w14:paraId="0FCA9CA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3.90</w:t>
            </w:r>
          </w:p>
        </w:tc>
        <w:tc>
          <w:tcPr>
            <w:tcW w:w="697" w:type="dxa"/>
            <w:vAlign w:val="center"/>
            <w:hideMark/>
          </w:tcPr>
          <w:p w14:paraId="6AE80C4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4.25</w:t>
            </w:r>
          </w:p>
        </w:tc>
        <w:tc>
          <w:tcPr>
            <w:tcW w:w="671" w:type="dxa"/>
            <w:vAlign w:val="center"/>
            <w:hideMark/>
          </w:tcPr>
          <w:p w14:paraId="632CE62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4.63</w:t>
            </w:r>
          </w:p>
        </w:tc>
        <w:tc>
          <w:tcPr>
            <w:tcW w:w="671" w:type="dxa"/>
            <w:vAlign w:val="center"/>
            <w:hideMark/>
          </w:tcPr>
          <w:p w14:paraId="4C871E1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5.05</w:t>
            </w:r>
          </w:p>
        </w:tc>
        <w:tc>
          <w:tcPr>
            <w:tcW w:w="671" w:type="dxa"/>
            <w:vAlign w:val="center"/>
            <w:hideMark/>
          </w:tcPr>
          <w:p w14:paraId="769A5F1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5.50</w:t>
            </w:r>
          </w:p>
        </w:tc>
        <w:tc>
          <w:tcPr>
            <w:tcW w:w="671" w:type="dxa"/>
            <w:vAlign w:val="center"/>
            <w:hideMark/>
          </w:tcPr>
          <w:p w14:paraId="1B3E4C5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23.33</w:t>
            </w:r>
          </w:p>
        </w:tc>
      </w:tr>
      <w:tr w:rsidR="00441B7E" w:rsidRPr="00C5721F" w14:paraId="2688027E" w14:textId="77777777" w:rsidTr="00C5721F">
        <w:trPr>
          <w:trHeight w:val="31"/>
        </w:trPr>
        <w:tc>
          <w:tcPr>
            <w:tcW w:w="939" w:type="dxa"/>
            <w:vAlign w:val="center"/>
            <w:hideMark/>
          </w:tcPr>
          <w:p w14:paraId="0D2FCFE8"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15. Meghalaya</w:t>
            </w:r>
          </w:p>
        </w:tc>
        <w:tc>
          <w:tcPr>
            <w:tcW w:w="671" w:type="dxa"/>
            <w:vAlign w:val="center"/>
            <w:hideMark/>
          </w:tcPr>
          <w:p w14:paraId="7E47BF6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11.15</w:t>
            </w:r>
          </w:p>
        </w:tc>
        <w:tc>
          <w:tcPr>
            <w:tcW w:w="697" w:type="dxa"/>
            <w:vAlign w:val="center"/>
            <w:hideMark/>
          </w:tcPr>
          <w:p w14:paraId="2188027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13.26</w:t>
            </w:r>
          </w:p>
        </w:tc>
        <w:tc>
          <w:tcPr>
            <w:tcW w:w="671" w:type="dxa"/>
            <w:vAlign w:val="center"/>
            <w:hideMark/>
          </w:tcPr>
          <w:p w14:paraId="79D3032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15.78</w:t>
            </w:r>
          </w:p>
        </w:tc>
        <w:tc>
          <w:tcPr>
            <w:tcW w:w="671" w:type="dxa"/>
            <w:vAlign w:val="center"/>
            <w:hideMark/>
          </w:tcPr>
          <w:p w14:paraId="2F2D591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18.78</w:t>
            </w:r>
          </w:p>
        </w:tc>
        <w:tc>
          <w:tcPr>
            <w:tcW w:w="671" w:type="dxa"/>
            <w:vAlign w:val="center"/>
            <w:hideMark/>
          </w:tcPr>
          <w:p w14:paraId="79BFCAD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22.35</w:t>
            </w:r>
          </w:p>
        </w:tc>
        <w:tc>
          <w:tcPr>
            <w:tcW w:w="671" w:type="dxa"/>
            <w:vAlign w:val="center"/>
            <w:hideMark/>
          </w:tcPr>
          <w:p w14:paraId="4DD604E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81.32</w:t>
            </w:r>
          </w:p>
        </w:tc>
      </w:tr>
      <w:tr w:rsidR="00441B7E" w:rsidRPr="00C5721F" w14:paraId="7A2DF95A" w14:textId="77777777" w:rsidTr="00C5721F">
        <w:trPr>
          <w:trHeight w:val="31"/>
        </w:trPr>
        <w:tc>
          <w:tcPr>
            <w:tcW w:w="939" w:type="dxa"/>
            <w:vAlign w:val="center"/>
            <w:hideMark/>
          </w:tcPr>
          <w:p w14:paraId="4AD4620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16. Mizoram</w:t>
            </w:r>
          </w:p>
        </w:tc>
        <w:tc>
          <w:tcPr>
            <w:tcW w:w="671" w:type="dxa"/>
            <w:vAlign w:val="center"/>
            <w:hideMark/>
          </w:tcPr>
          <w:p w14:paraId="50C29B7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3.48</w:t>
            </w:r>
          </w:p>
        </w:tc>
        <w:tc>
          <w:tcPr>
            <w:tcW w:w="697" w:type="dxa"/>
            <w:vAlign w:val="center"/>
            <w:hideMark/>
          </w:tcPr>
          <w:p w14:paraId="54D2D8A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4.17</w:t>
            </w:r>
          </w:p>
        </w:tc>
        <w:tc>
          <w:tcPr>
            <w:tcW w:w="671" w:type="dxa"/>
            <w:vAlign w:val="center"/>
            <w:hideMark/>
          </w:tcPr>
          <w:p w14:paraId="37CF6AB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5.01</w:t>
            </w:r>
          </w:p>
        </w:tc>
        <w:tc>
          <w:tcPr>
            <w:tcW w:w="671" w:type="dxa"/>
            <w:vAlign w:val="center"/>
            <w:hideMark/>
          </w:tcPr>
          <w:p w14:paraId="2B3EEB9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6.01</w:t>
            </w:r>
          </w:p>
        </w:tc>
        <w:tc>
          <w:tcPr>
            <w:tcW w:w="671" w:type="dxa"/>
            <w:vAlign w:val="center"/>
            <w:hideMark/>
          </w:tcPr>
          <w:p w14:paraId="27DFECC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7.21</w:t>
            </w:r>
          </w:p>
        </w:tc>
        <w:tc>
          <w:tcPr>
            <w:tcW w:w="671" w:type="dxa"/>
            <w:vAlign w:val="center"/>
            <w:hideMark/>
          </w:tcPr>
          <w:p w14:paraId="548B2C4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25.88</w:t>
            </w:r>
          </w:p>
        </w:tc>
      </w:tr>
      <w:tr w:rsidR="00441B7E" w:rsidRPr="00C5721F" w14:paraId="6C20ADBB" w14:textId="77777777" w:rsidTr="00C5721F">
        <w:trPr>
          <w:trHeight w:val="31"/>
        </w:trPr>
        <w:tc>
          <w:tcPr>
            <w:tcW w:w="939" w:type="dxa"/>
            <w:vAlign w:val="center"/>
            <w:hideMark/>
          </w:tcPr>
          <w:p w14:paraId="50C3EAEE"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17. Nagaland</w:t>
            </w:r>
          </w:p>
        </w:tc>
        <w:tc>
          <w:tcPr>
            <w:tcW w:w="671" w:type="dxa"/>
            <w:vAlign w:val="center"/>
            <w:hideMark/>
          </w:tcPr>
          <w:p w14:paraId="0718826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5.95</w:t>
            </w:r>
          </w:p>
        </w:tc>
        <w:tc>
          <w:tcPr>
            <w:tcW w:w="697" w:type="dxa"/>
            <w:vAlign w:val="center"/>
            <w:hideMark/>
          </w:tcPr>
          <w:p w14:paraId="524F905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6.84</w:t>
            </w:r>
          </w:p>
        </w:tc>
        <w:tc>
          <w:tcPr>
            <w:tcW w:w="671" w:type="dxa"/>
            <w:vAlign w:val="center"/>
            <w:hideMark/>
          </w:tcPr>
          <w:p w14:paraId="5162560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7.87</w:t>
            </w:r>
          </w:p>
        </w:tc>
        <w:tc>
          <w:tcPr>
            <w:tcW w:w="671" w:type="dxa"/>
            <w:vAlign w:val="center"/>
            <w:hideMark/>
          </w:tcPr>
          <w:p w14:paraId="448AB88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9.05</w:t>
            </w:r>
          </w:p>
        </w:tc>
        <w:tc>
          <w:tcPr>
            <w:tcW w:w="671" w:type="dxa"/>
            <w:vAlign w:val="center"/>
            <w:hideMark/>
          </w:tcPr>
          <w:p w14:paraId="18D72F6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10.41</w:t>
            </w:r>
          </w:p>
        </w:tc>
        <w:tc>
          <w:tcPr>
            <w:tcW w:w="671" w:type="dxa"/>
            <w:vAlign w:val="center"/>
            <w:hideMark/>
          </w:tcPr>
          <w:p w14:paraId="12413F2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40.12</w:t>
            </w:r>
          </w:p>
        </w:tc>
      </w:tr>
      <w:tr w:rsidR="00441B7E" w:rsidRPr="00C5721F" w14:paraId="5FB47AF8" w14:textId="77777777" w:rsidTr="00C5721F">
        <w:trPr>
          <w:trHeight w:val="31"/>
        </w:trPr>
        <w:tc>
          <w:tcPr>
            <w:tcW w:w="939" w:type="dxa"/>
            <w:vAlign w:val="center"/>
            <w:hideMark/>
          </w:tcPr>
          <w:p w14:paraId="3CB5D4B9"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18. Orissa</w:t>
            </w:r>
          </w:p>
        </w:tc>
        <w:tc>
          <w:tcPr>
            <w:tcW w:w="671" w:type="dxa"/>
            <w:vAlign w:val="center"/>
            <w:hideMark/>
          </w:tcPr>
          <w:p w14:paraId="26AE855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46.64</w:t>
            </w:r>
          </w:p>
        </w:tc>
        <w:tc>
          <w:tcPr>
            <w:tcW w:w="697" w:type="dxa"/>
            <w:vAlign w:val="center"/>
            <w:hideMark/>
          </w:tcPr>
          <w:p w14:paraId="103F178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56.90</w:t>
            </w:r>
          </w:p>
        </w:tc>
        <w:tc>
          <w:tcPr>
            <w:tcW w:w="671" w:type="dxa"/>
            <w:vAlign w:val="center"/>
            <w:hideMark/>
          </w:tcPr>
          <w:p w14:paraId="5F77631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69.42</w:t>
            </w:r>
          </w:p>
        </w:tc>
        <w:tc>
          <w:tcPr>
            <w:tcW w:w="671" w:type="dxa"/>
            <w:vAlign w:val="center"/>
            <w:hideMark/>
          </w:tcPr>
          <w:p w14:paraId="02219EF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84.70</w:t>
            </w:r>
          </w:p>
        </w:tc>
        <w:tc>
          <w:tcPr>
            <w:tcW w:w="671" w:type="dxa"/>
            <w:vAlign w:val="center"/>
            <w:hideMark/>
          </w:tcPr>
          <w:p w14:paraId="5EDCE86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103.33</w:t>
            </w:r>
          </w:p>
        </w:tc>
        <w:tc>
          <w:tcPr>
            <w:tcW w:w="671" w:type="dxa"/>
            <w:vAlign w:val="center"/>
            <w:hideMark/>
          </w:tcPr>
          <w:p w14:paraId="5BCCED3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360.99</w:t>
            </w:r>
          </w:p>
        </w:tc>
      </w:tr>
      <w:tr w:rsidR="00441B7E" w:rsidRPr="00C5721F" w14:paraId="6E7B1129" w14:textId="77777777" w:rsidTr="00C5721F">
        <w:trPr>
          <w:trHeight w:val="31"/>
        </w:trPr>
        <w:tc>
          <w:tcPr>
            <w:tcW w:w="939" w:type="dxa"/>
            <w:vAlign w:val="center"/>
            <w:hideMark/>
          </w:tcPr>
          <w:p w14:paraId="29DE53D6"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19. Punjab</w:t>
            </w:r>
          </w:p>
        </w:tc>
        <w:tc>
          <w:tcPr>
            <w:tcW w:w="671" w:type="dxa"/>
            <w:vAlign w:val="center"/>
            <w:hideMark/>
          </w:tcPr>
          <w:p w14:paraId="5143071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33.86</w:t>
            </w:r>
          </w:p>
        </w:tc>
        <w:tc>
          <w:tcPr>
            <w:tcW w:w="697" w:type="dxa"/>
            <w:vAlign w:val="center"/>
            <w:hideMark/>
          </w:tcPr>
          <w:p w14:paraId="1374E39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45.71</w:t>
            </w:r>
          </w:p>
        </w:tc>
        <w:tc>
          <w:tcPr>
            <w:tcW w:w="671" w:type="dxa"/>
            <w:vAlign w:val="center"/>
            <w:hideMark/>
          </w:tcPr>
          <w:p w14:paraId="064BDB9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61.71</w:t>
            </w:r>
          </w:p>
        </w:tc>
        <w:tc>
          <w:tcPr>
            <w:tcW w:w="671" w:type="dxa"/>
            <w:vAlign w:val="center"/>
            <w:hideMark/>
          </w:tcPr>
          <w:p w14:paraId="2734117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83.31</w:t>
            </w:r>
          </w:p>
        </w:tc>
        <w:tc>
          <w:tcPr>
            <w:tcW w:w="671" w:type="dxa"/>
            <w:vAlign w:val="center"/>
            <w:hideMark/>
          </w:tcPr>
          <w:p w14:paraId="138FB5E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112.47</w:t>
            </w:r>
          </w:p>
        </w:tc>
        <w:tc>
          <w:tcPr>
            <w:tcW w:w="671" w:type="dxa"/>
            <w:vAlign w:val="center"/>
            <w:hideMark/>
          </w:tcPr>
          <w:p w14:paraId="0B41984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337.06</w:t>
            </w:r>
          </w:p>
        </w:tc>
      </w:tr>
      <w:tr w:rsidR="00441B7E" w:rsidRPr="00C5721F" w14:paraId="17DB5F83" w14:textId="77777777" w:rsidTr="00C5721F">
        <w:trPr>
          <w:trHeight w:val="31"/>
        </w:trPr>
        <w:tc>
          <w:tcPr>
            <w:tcW w:w="939" w:type="dxa"/>
            <w:vAlign w:val="center"/>
            <w:hideMark/>
          </w:tcPr>
          <w:p w14:paraId="024E5566"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20. Rajasthan</w:t>
            </w:r>
          </w:p>
        </w:tc>
        <w:tc>
          <w:tcPr>
            <w:tcW w:w="671" w:type="dxa"/>
            <w:vAlign w:val="center"/>
            <w:hideMark/>
          </w:tcPr>
          <w:p w14:paraId="122ED52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85.85</w:t>
            </w:r>
          </w:p>
        </w:tc>
        <w:tc>
          <w:tcPr>
            <w:tcW w:w="697" w:type="dxa"/>
            <w:vAlign w:val="center"/>
            <w:hideMark/>
          </w:tcPr>
          <w:p w14:paraId="29B38A9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97.01</w:t>
            </w:r>
          </w:p>
        </w:tc>
        <w:tc>
          <w:tcPr>
            <w:tcW w:w="671" w:type="dxa"/>
            <w:vAlign w:val="center"/>
            <w:hideMark/>
          </w:tcPr>
          <w:p w14:paraId="67D7A7E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109.62</w:t>
            </w:r>
          </w:p>
        </w:tc>
        <w:tc>
          <w:tcPr>
            <w:tcW w:w="671" w:type="dxa"/>
            <w:vAlign w:val="center"/>
            <w:hideMark/>
          </w:tcPr>
          <w:p w14:paraId="575130D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123.87</w:t>
            </w:r>
          </w:p>
        </w:tc>
        <w:tc>
          <w:tcPr>
            <w:tcW w:w="671" w:type="dxa"/>
            <w:vAlign w:val="center"/>
            <w:hideMark/>
          </w:tcPr>
          <w:p w14:paraId="60CBA5D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139.97</w:t>
            </w:r>
          </w:p>
        </w:tc>
        <w:tc>
          <w:tcPr>
            <w:tcW w:w="671" w:type="dxa"/>
            <w:vAlign w:val="center"/>
            <w:hideMark/>
          </w:tcPr>
          <w:p w14:paraId="7FA5D4A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556.32</w:t>
            </w:r>
          </w:p>
        </w:tc>
      </w:tr>
      <w:tr w:rsidR="00441B7E" w:rsidRPr="00C5721F" w14:paraId="3B37D709" w14:textId="77777777" w:rsidTr="00C5721F">
        <w:trPr>
          <w:trHeight w:val="31"/>
        </w:trPr>
        <w:tc>
          <w:tcPr>
            <w:tcW w:w="939" w:type="dxa"/>
            <w:vAlign w:val="center"/>
            <w:hideMark/>
          </w:tcPr>
          <w:p w14:paraId="55EBE673"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21. Sikkim</w:t>
            </w:r>
          </w:p>
        </w:tc>
        <w:tc>
          <w:tcPr>
            <w:tcW w:w="671" w:type="dxa"/>
            <w:vAlign w:val="center"/>
            <w:hideMark/>
          </w:tcPr>
          <w:p w14:paraId="55F4BD0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4.03</w:t>
            </w:r>
          </w:p>
        </w:tc>
        <w:tc>
          <w:tcPr>
            <w:tcW w:w="697" w:type="dxa"/>
            <w:vAlign w:val="center"/>
            <w:hideMark/>
          </w:tcPr>
          <w:p w14:paraId="29042A3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4.43</w:t>
            </w:r>
          </w:p>
        </w:tc>
        <w:tc>
          <w:tcPr>
            <w:tcW w:w="671" w:type="dxa"/>
            <w:vAlign w:val="center"/>
            <w:hideMark/>
          </w:tcPr>
          <w:p w14:paraId="1FD4E2DE"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4.88</w:t>
            </w:r>
          </w:p>
        </w:tc>
        <w:tc>
          <w:tcPr>
            <w:tcW w:w="671" w:type="dxa"/>
            <w:vAlign w:val="center"/>
            <w:hideMark/>
          </w:tcPr>
          <w:p w14:paraId="4510126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5.36</w:t>
            </w:r>
          </w:p>
        </w:tc>
        <w:tc>
          <w:tcPr>
            <w:tcW w:w="671" w:type="dxa"/>
            <w:vAlign w:val="center"/>
            <w:hideMark/>
          </w:tcPr>
          <w:p w14:paraId="149FA6C8"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5.90</w:t>
            </w:r>
          </w:p>
        </w:tc>
        <w:tc>
          <w:tcPr>
            <w:tcW w:w="671" w:type="dxa"/>
            <w:vAlign w:val="center"/>
            <w:hideMark/>
          </w:tcPr>
          <w:p w14:paraId="4BCE0F9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24.60</w:t>
            </w:r>
          </w:p>
        </w:tc>
      </w:tr>
      <w:tr w:rsidR="00441B7E" w:rsidRPr="00C5721F" w14:paraId="78BFD6FC" w14:textId="77777777" w:rsidTr="00C5721F">
        <w:trPr>
          <w:trHeight w:val="31"/>
        </w:trPr>
        <w:tc>
          <w:tcPr>
            <w:tcW w:w="939" w:type="dxa"/>
            <w:vAlign w:val="center"/>
            <w:hideMark/>
          </w:tcPr>
          <w:p w14:paraId="6841584C"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22. Tamil Nadu</w:t>
            </w:r>
          </w:p>
        </w:tc>
        <w:tc>
          <w:tcPr>
            <w:tcW w:w="671" w:type="dxa"/>
            <w:vAlign w:val="center"/>
            <w:hideMark/>
          </w:tcPr>
          <w:p w14:paraId="2DE5484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70.64</w:t>
            </w:r>
          </w:p>
        </w:tc>
        <w:tc>
          <w:tcPr>
            <w:tcW w:w="697" w:type="dxa"/>
            <w:vAlign w:val="center"/>
            <w:hideMark/>
          </w:tcPr>
          <w:p w14:paraId="5011CDF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91.13</w:t>
            </w:r>
          </w:p>
        </w:tc>
        <w:tc>
          <w:tcPr>
            <w:tcW w:w="671" w:type="dxa"/>
            <w:vAlign w:val="center"/>
            <w:hideMark/>
          </w:tcPr>
          <w:p w14:paraId="56183DB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117.55</w:t>
            </w:r>
          </w:p>
        </w:tc>
        <w:tc>
          <w:tcPr>
            <w:tcW w:w="671" w:type="dxa"/>
            <w:vAlign w:val="center"/>
            <w:hideMark/>
          </w:tcPr>
          <w:p w14:paraId="7B04C1B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151.64</w:t>
            </w:r>
          </w:p>
        </w:tc>
        <w:tc>
          <w:tcPr>
            <w:tcW w:w="671" w:type="dxa"/>
            <w:vAlign w:val="center"/>
            <w:hideMark/>
          </w:tcPr>
          <w:p w14:paraId="0089603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195.62</w:t>
            </w:r>
          </w:p>
        </w:tc>
        <w:tc>
          <w:tcPr>
            <w:tcW w:w="671" w:type="dxa"/>
            <w:vAlign w:val="center"/>
            <w:hideMark/>
          </w:tcPr>
          <w:p w14:paraId="313C7E2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626.58</w:t>
            </w:r>
          </w:p>
        </w:tc>
      </w:tr>
      <w:tr w:rsidR="00441B7E" w:rsidRPr="00C5721F" w14:paraId="195A6323" w14:textId="77777777" w:rsidTr="00C5721F">
        <w:trPr>
          <w:trHeight w:val="31"/>
        </w:trPr>
        <w:tc>
          <w:tcPr>
            <w:tcW w:w="939" w:type="dxa"/>
            <w:vAlign w:val="center"/>
            <w:hideMark/>
          </w:tcPr>
          <w:p w14:paraId="72A777D2"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23. Tripura</w:t>
            </w:r>
          </w:p>
        </w:tc>
        <w:tc>
          <w:tcPr>
            <w:tcW w:w="671" w:type="dxa"/>
            <w:vAlign w:val="center"/>
            <w:hideMark/>
          </w:tcPr>
          <w:p w14:paraId="1DAC95A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6.62</w:t>
            </w:r>
          </w:p>
        </w:tc>
        <w:tc>
          <w:tcPr>
            <w:tcW w:w="697" w:type="dxa"/>
            <w:vAlign w:val="center"/>
            <w:hideMark/>
          </w:tcPr>
          <w:p w14:paraId="00F6ADF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7.41</w:t>
            </w:r>
          </w:p>
        </w:tc>
        <w:tc>
          <w:tcPr>
            <w:tcW w:w="671" w:type="dxa"/>
            <w:vAlign w:val="center"/>
            <w:hideMark/>
          </w:tcPr>
          <w:p w14:paraId="127DC03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8.30</w:t>
            </w:r>
          </w:p>
        </w:tc>
        <w:tc>
          <w:tcPr>
            <w:tcW w:w="671" w:type="dxa"/>
            <w:vAlign w:val="center"/>
            <w:hideMark/>
          </w:tcPr>
          <w:p w14:paraId="7D42E64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9.29</w:t>
            </w:r>
          </w:p>
        </w:tc>
        <w:tc>
          <w:tcPr>
            <w:tcW w:w="671" w:type="dxa"/>
            <w:vAlign w:val="center"/>
            <w:hideMark/>
          </w:tcPr>
          <w:p w14:paraId="0A88116A"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10.41</w:t>
            </w:r>
          </w:p>
        </w:tc>
        <w:tc>
          <w:tcPr>
            <w:tcW w:w="671" w:type="dxa"/>
            <w:vAlign w:val="center"/>
            <w:hideMark/>
          </w:tcPr>
          <w:p w14:paraId="2110B77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42.03</w:t>
            </w:r>
          </w:p>
        </w:tc>
      </w:tr>
      <w:tr w:rsidR="00441B7E" w:rsidRPr="00C5721F" w14:paraId="6EAE2895" w14:textId="77777777" w:rsidTr="00C5721F">
        <w:trPr>
          <w:trHeight w:val="31"/>
        </w:trPr>
        <w:tc>
          <w:tcPr>
            <w:tcW w:w="939" w:type="dxa"/>
            <w:vAlign w:val="center"/>
            <w:hideMark/>
          </w:tcPr>
          <w:p w14:paraId="3B99FD92"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24. Uttar Pradesh</w:t>
            </w:r>
          </w:p>
        </w:tc>
        <w:tc>
          <w:tcPr>
            <w:tcW w:w="671" w:type="dxa"/>
            <w:vAlign w:val="center"/>
            <w:hideMark/>
          </w:tcPr>
          <w:p w14:paraId="1DA1AB4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193.96</w:t>
            </w:r>
          </w:p>
        </w:tc>
        <w:tc>
          <w:tcPr>
            <w:tcW w:w="697" w:type="dxa"/>
            <w:vAlign w:val="center"/>
            <w:hideMark/>
          </w:tcPr>
          <w:p w14:paraId="5E35539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226.93</w:t>
            </w:r>
          </w:p>
        </w:tc>
        <w:tc>
          <w:tcPr>
            <w:tcW w:w="671" w:type="dxa"/>
            <w:vAlign w:val="center"/>
            <w:hideMark/>
          </w:tcPr>
          <w:p w14:paraId="3ED548B6"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265.51</w:t>
            </w:r>
          </w:p>
        </w:tc>
        <w:tc>
          <w:tcPr>
            <w:tcW w:w="671" w:type="dxa"/>
            <w:vAlign w:val="center"/>
            <w:hideMark/>
          </w:tcPr>
          <w:p w14:paraId="17533B12"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310.64</w:t>
            </w:r>
          </w:p>
        </w:tc>
        <w:tc>
          <w:tcPr>
            <w:tcW w:w="671" w:type="dxa"/>
            <w:vAlign w:val="center"/>
            <w:hideMark/>
          </w:tcPr>
          <w:p w14:paraId="6F0DE9EB"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363.45</w:t>
            </w:r>
          </w:p>
        </w:tc>
        <w:tc>
          <w:tcPr>
            <w:tcW w:w="671" w:type="dxa"/>
            <w:vAlign w:val="center"/>
            <w:hideMark/>
          </w:tcPr>
          <w:p w14:paraId="03D3C80C"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1360.49</w:t>
            </w:r>
          </w:p>
        </w:tc>
      </w:tr>
      <w:tr w:rsidR="00441B7E" w:rsidRPr="00C5721F" w14:paraId="32383BDC" w14:textId="77777777" w:rsidTr="00C5721F">
        <w:trPr>
          <w:trHeight w:val="31"/>
        </w:trPr>
        <w:tc>
          <w:tcPr>
            <w:tcW w:w="939" w:type="dxa"/>
            <w:vAlign w:val="center"/>
            <w:hideMark/>
          </w:tcPr>
          <w:p w14:paraId="2A57CD1F"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25. West Bengal</w:t>
            </w:r>
          </w:p>
        </w:tc>
        <w:tc>
          <w:tcPr>
            <w:tcW w:w="671" w:type="dxa"/>
            <w:vAlign w:val="center"/>
            <w:hideMark/>
          </w:tcPr>
          <w:p w14:paraId="0564F4C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81.97</w:t>
            </w:r>
          </w:p>
        </w:tc>
        <w:tc>
          <w:tcPr>
            <w:tcW w:w="697" w:type="dxa"/>
            <w:vAlign w:val="center"/>
            <w:hideMark/>
          </w:tcPr>
          <w:p w14:paraId="0D1054D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94.27</w:t>
            </w:r>
          </w:p>
        </w:tc>
        <w:tc>
          <w:tcPr>
            <w:tcW w:w="671" w:type="dxa"/>
            <w:vAlign w:val="center"/>
            <w:hideMark/>
          </w:tcPr>
          <w:p w14:paraId="46925819"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108.41</w:t>
            </w:r>
          </w:p>
        </w:tc>
        <w:tc>
          <w:tcPr>
            <w:tcW w:w="671" w:type="dxa"/>
            <w:vAlign w:val="center"/>
            <w:hideMark/>
          </w:tcPr>
          <w:p w14:paraId="774A9B2F"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124.67</w:t>
            </w:r>
          </w:p>
        </w:tc>
        <w:tc>
          <w:tcPr>
            <w:tcW w:w="671" w:type="dxa"/>
            <w:vAlign w:val="center"/>
            <w:hideMark/>
          </w:tcPr>
          <w:p w14:paraId="04304DB1"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143.37</w:t>
            </w:r>
          </w:p>
        </w:tc>
        <w:tc>
          <w:tcPr>
            <w:tcW w:w="671" w:type="dxa"/>
            <w:vAlign w:val="center"/>
            <w:hideMark/>
          </w:tcPr>
          <w:p w14:paraId="4C213D44"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552.69</w:t>
            </w:r>
          </w:p>
        </w:tc>
      </w:tr>
      <w:tr w:rsidR="00441B7E" w:rsidRPr="00C5721F" w14:paraId="3F7B1A67" w14:textId="77777777" w:rsidTr="00C5721F">
        <w:trPr>
          <w:trHeight w:val="31"/>
        </w:trPr>
        <w:tc>
          <w:tcPr>
            <w:tcW w:w="939" w:type="dxa"/>
            <w:vAlign w:val="center"/>
            <w:hideMark/>
          </w:tcPr>
          <w:p w14:paraId="325D3ED0" w14:textId="77777777" w:rsidR="00E52378" w:rsidRPr="00C5721F" w:rsidRDefault="00E52378"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TOTAL</w:t>
            </w:r>
          </w:p>
        </w:tc>
        <w:tc>
          <w:tcPr>
            <w:tcW w:w="671" w:type="dxa"/>
            <w:vAlign w:val="center"/>
            <w:hideMark/>
          </w:tcPr>
          <w:p w14:paraId="3E3F8DE0"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1265.62</w:t>
            </w:r>
          </w:p>
        </w:tc>
        <w:tc>
          <w:tcPr>
            <w:tcW w:w="697" w:type="dxa"/>
            <w:vAlign w:val="center"/>
            <w:hideMark/>
          </w:tcPr>
          <w:p w14:paraId="27329BD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1514.21</w:t>
            </w:r>
          </w:p>
        </w:tc>
        <w:tc>
          <w:tcPr>
            <w:tcW w:w="671" w:type="dxa"/>
            <w:vAlign w:val="center"/>
            <w:hideMark/>
          </w:tcPr>
          <w:p w14:paraId="5B90B223"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1816.61</w:t>
            </w:r>
          </w:p>
        </w:tc>
        <w:tc>
          <w:tcPr>
            <w:tcW w:w="671" w:type="dxa"/>
            <w:vAlign w:val="center"/>
            <w:hideMark/>
          </w:tcPr>
          <w:p w14:paraId="590EC34D"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2185.42</w:t>
            </w:r>
          </w:p>
        </w:tc>
        <w:tc>
          <w:tcPr>
            <w:tcW w:w="671" w:type="dxa"/>
            <w:vAlign w:val="center"/>
            <w:hideMark/>
          </w:tcPr>
          <w:p w14:paraId="266751F7"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2636.54</w:t>
            </w:r>
          </w:p>
        </w:tc>
        <w:tc>
          <w:tcPr>
            <w:tcW w:w="671" w:type="dxa"/>
            <w:vAlign w:val="center"/>
            <w:hideMark/>
          </w:tcPr>
          <w:p w14:paraId="64C04745" w14:textId="77777777" w:rsidR="00E52378" w:rsidRPr="00C5721F" w:rsidRDefault="00E52378"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9418.40</w:t>
            </w:r>
          </w:p>
        </w:tc>
      </w:tr>
    </w:tbl>
    <w:p w14:paraId="0CAAC210" w14:textId="77777777" w:rsidR="00C5721F" w:rsidRDefault="00C5721F" w:rsidP="00DB373C">
      <w:pPr>
        <w:pStyle w:val="Heading2"/>
        <w:rPr>
          <w:sz w:val="20"/>
          <w:szCs w:val="20"/>
        </w:rPr>
        <w:sectPr w:rsidR="00C5721F" w:rsidSect="00C5721F">
          <w:type w:val="continuous"/>
          <w:pgSz w:w="11906" w:h="16838"/>
          <w:pgMar w:top="567" w:right="849" w:bottom="284" w:left="1134" w:header="708" w:footer="708" w:gutter="0"/>
          <w:cols w:num="2" w:space="708"/>
          <w:docGrid w:linePitch="360"/>
        </w:sectPr>
      </w:pPr>
      <w:bookmarkStart w:id="79" w:name="_Toc221292997"/>
    </w:p>
    <w:p w14:paraId="1A2FE3CE" w14:textId="77777777" w:rsidR="00C5721F" w:rsidRDefault="00C5721F">
      <w:pPr>
        <w:rPr>
          <w:rFonts w:ascii="Times New Roman" w:hAnsi="Times New Roman" w:cs="Times New Roman"/>
          <w:b/>
          <w:bCs/>
          <w:sz w:val="20"/>
          <w:szCs w:val="20"/>
        </w:rPr>
      </w:pPr>
      <w:r>
        <w:rPr>
          <w:sz w:val="20"/>
          <w:szCs w:val="20"/>
        </w:rPr>
        <w:br w:type="page"/>
      </w:r>
    </w:p>
    <w:p w14:paraId="57CDA27E" w14:textId="1ABB3012" w:rsidR="00C51EC4" w:rsidRPr="00DB373C" w:rsidRDefault="00441B7E" w:rsidP="00DB373C">
      <w:pPr>
        <w:pStyle w:val="Heading2"/>
        <w:rPr>
          <w:sz w:val="20"/>
          <w:szCs w:val="20"/>
        </w:rPr>
      </w:pPr>
      <w:bookmarkStart w:id="80" w:name="_Toc222399488"/>
      <w:r w:rsidRPr="00DB373C">
        <w:rPr>
          <w:sz w:val="20"/>
          <w:szCs w:val="20"/>
        </w:rPr>
        <w:lastRenderedPageBreak/>
        <w:t>ANNEXURE III.15A</w:t>
      </w:r>
      <w:r w:rsidR="00C51EC4" w:rsidRPr="00DB373C">
        <w:rPr>
          <w:sz w:val="20"/>
          <w:szCs w:val="20"/>
        </w:rPr>
        <w:br/>
      </w:r>
      <w:r w:rsidRPr="00DB373C">
        <w:rPr>
          <w:sz w:val="20"/>
          <w:szCs w:val="20"/>
        </w:rPr>
        <w:t xml:space="preserve">Plinth Area Rates </w:t>
      </w:r>
      <w:proofErr w:type="gramStart"/>
      <w:r w:rsidRPr="00DB373C">
        <w:rPr>
          <w:sz w:val="20"/>
          <w:szCs w:val="20"/>
        </w:rPr>
        <w:t>For</w:t>
      </w:r>
      <w:proofErr w:type="gramEnd"/>
      <w:r w:rsidRPr="00DB373C">
        <w:rPr>
          <w:sz w:val="20"/>
          <w:szCs w:val="20"/>
        </w:rPr>
        <w:t xml:space="preserve"> Civil Engineering Maintenance</w:t>
      </w:r>
      <w:bookmarkEnd w:id="79"/>
      <w:bookmarkEnd w:id="80"/>
    </w:p>
    <w:p w14:paraId="2272072E" w14:textId="77777777" w:rsidR="00C51EC4" w:rsidRPr="00DB373C" w:rsidRDefault="00C51EC4" w:rsidP="00C51EC4">
      <w:pPr>
        <w:spacing w:after="0"/>
        <w:jc w:val="center"/>
        <w:rPr>
          <w:rFonts w:ascii="Times New Roman" w:hAnsi="Times New Roman" w:cs="Times New Roman"/>
          <w:sz w:val="22"/>
          <w:szCs w:val="20"/>
        </w:rPr>
      </w:pPr>
      <w:r w:rsidRPr="00DB373C">
        <w:rPr>
          <w:rFonts w:ascii="Times New Roman" w:hAnsi="Times New Roman" w:cs="Times New Roman"/>
          <w:i/>
          <w:iCs/>
          <w:sz w:val="18"/>
          <w:szCs w:val="16"/>
        </w:rPr>
        <w:t>(Para 3.52)</w:t>
      </w:r>
    </w:p>
    <w:p w14:paraId="49839F5F" w14:textId="5E529D86" w:rsidR="00441B7E" w:rsidRPr="00AA6AF4" w:rsidRDefault="00441B7E" w:rsidP="00DB373C">
      <w:pPr>
        <w:spacing w:after="0"/>
        <w:ind w:left="7200" w:firstLine="720"/>
        <w:jc w:val="center"/>
        <w:rPr>
          <w:rFonts w:ascii="Times New Roman" w:hAnsi="Times New Roman" w:cs="Times New Roman"/>
        </w:rPr>
      </w:pPr>
      <w:r w:rsidRPr="00C51EC4">
        <w:rPr>
          <w:rFonts w:ascii="Times New Roman" w:hAnsi="Times New Roman" w:cs="Times New Roman"/>
          <w:i/>
          <w:iCs/>
          <w:sz w:val="18"/>
          <w:szCs w:val="16"/>
        </w:rPr>
        <w:t>(Rs. Per Sq. M.)</w:t>
      </w:r>
    </w:p>
    <w:tbl>
      <w:tblPr>
        <w:tblStyle w:val="TableGrid"/>
        <w:tblW w:w="9209" w:type="dxa"/>
        <w:jc w:val="center"/>
        <w:tblLook w:val="04A0" w:firstRow="1" w:lastRow="0" w:firstColumn="1" w:lastColumn="0" w:noHBand="0" w:noVBand="1"/>
      </w:tblPr>
      <w:tblGrid>
        <w:gridCol w:w="4654"/>
        <w:gridCol w:w="870"/>
        <w:gridCol w:w="850"/>
        <w:gridCol w:w="851"/>
        <w:gridCol w:w="992"/>
        <w:gridCol w:w="992"/>
      </w:tblGrid>
      <w:tr w:rsidR="00DB373C" w:rsidRPr="00C5721F" w14:paraId="2BD390DA" w14:textId="77777777" w:rsidTr="00DB373C">
        <w:trPr>
          <w:trHeight w:val="20"/>
          <w:jc w:val="center"/>
        </w:trPr>
        <w:tc>
          <w:tcPr>
            <w:tcW w:w="4654" w:type="dxa"/>
            <w:vMerge w:val="restart"/>
            <w:vAlign w:val="center"/>
            <w:hideMark/>
          </w:tcPr>
          <w:p w14:paraId="5985D3CE" w14:textId="7554597D" w:rsidR="00DB373C" w:rsidRPr="00C5721F" w:rsidRDefault="00DB373C" w:rsidP="00C51EC4">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Category</w:t>
            </w:r>
          </w:p>
        </w:tc>
        <w:tc>
          <w:tcPr>
            <w:tcW w:w="870" w:type="dxa"/>
            <w:vMerge w:val="restart"/>
            <w:vAlign w:val="center"/>
            <w:hideMark/>
          </w:tcPr>
          <w:p w14:paraId="7E1B6CEF" w14:textId="0AE79A81" w:rsidR="00DB373C" w:rsidRPr="00C5721F" w:rsidRDefault="00DB373C" w:rsidP="00C51EC4">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Service Charges</w:t>
            </w:r>
          </w:p>
        </w:tc>
        <w:tc>
          <w:tcPr>
            <w:tcW w:w="850" w:type="dxa"/>
            <w:vMerge w:val="restart"/>
            <w:vAlign w:val="center"/>
            <w:hideMark/>
          </w:tcPr>
          <w:p w14:paraId="7D2F0AA0" w14:textId="2F7C8049" w:rsidR="00DB373C" w:rsidRPr="00C5721F" w:rsidRDefault="00DB373C" w:rsidP="00C51EC4">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Annual Repairs</w:t>
            </w:r>
          </w:p>
        </w:tc>
        <w:tc>
          <w:tcPr>
            <w:tcW w:w="1843" w:type="dxa"/>
            <w:gridSpan w:val="2"/>
            <w:vAlign w:val="center"/>
            <w:hideMark/>
          </w:tcPr>
          <w:p w14:paraId="6ED295D0" w14:textId="635CD482" w:rsidR="00DB373C" w:rsidRPr="00C5721F" w:rsidRDefault="00DB373C" w:rsidP="00C51EC4">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Special Repairs</w:t>
            </w:r>
          </w:p>
        </w:tc>
        <w:tc>
          <w:tcPr>
            <w:tcW w:w="992" w:type="dxa"/>
            <w:vMerge w:val="restart"/>
            <w:vAlign w:val="center"/>
            <w:hideMark/>
          </w:tcPr>
          <w:p w14:paraId="1FCA3803" w14:textId="0CBC1CEF" w:rsidR="00DB373C" w:rsidRPr="00C5721F" w:rsidRDefault="00DB373C" w:rsidP="00C51EC4">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Above 40 Years</w:t>
            </w:r>
          </w:p>
        </w:tc>
      </w:tr>
      <w:tr w:rsidR="00DB373C" w:rsidRPr="00C5721F" w14:paraId="4969F6E8" w14:textId="77777777" w:rsidTr="00DB373C">
        <w:trPr>
          <w:trHeight w:val="20"/>
          <w:jc w:val="center"/>
        </w:trPr>
        <w:tc>
          <w:tcPr>
            <w:tcW w:w="4654" w:type="dxa"/>
            <w:vMerge/>
            <w:vAlign w:val="center"/>
            <w:hideMark/>
          </w:tcPr>
          <w:p w14:paraId="6E68B2CA" w14:textId="6CBBA275" w:rsidR="00DB373C" w:rsidRPr="00C5721F" w:rsidRDefault="00DB373C" w:rsidP="00C51EC4">
            <w:pPr>
              <w:pStyle w:val="NoSpacing"/>
              <w:jc w:val="center"/>
              <w:rPr>
                <w:rFonts w:ascii="Times New Roman" w:hAnsi="Times New Roman" w:cs="Times New Roman"/>
                <w:sz w:val="14"/>
                <w:szCs w:val="14"/>
              </w:rPr>
            </w:pPr>
          </w:p>
        </w:tc>
        <w:tc>
          <w:tcPr>
            <w:tcW w:w="870" w:type="dxa"/>
            <w:vMerge/>
            <w:vAlign w:val="center"/>
            <w:hideMark/>
          </w:tcPr>
          <w:p w14:paraId="419FE70B" w14:textId="09A1452E" w:rsidR="00DB373C" w:rsidRPr="00C5721F" w:rsidRDefault="00DB373C" w:rsidP="00C51EC4">
            <w:pPr>
              <w:pStyle w:val="NoSpacing"/>
              <w:jc w:val="center"/>
              <w:rPr>
                <w:rFonts w:ascii="Times New Roman" w:hAnsi="Times New Roman" w:cs="Times New Roman"/>
                <w:sz w:val="14"/>
                <w:szCs w:val="14"/>
              </w:rPr>
            </w:pPr>
          </w:p>
        </w:tc>
        <w:tc>
          <w:tcPr>
            <w:tcW w:w="850" w:type="dxa"/>
            <w:vMerge/>
            <w:vAlign w:val="center"/>
            <w:hideMark/>
          </w:tcPr>
          <w:p w14:paraId="2E6F6DFC" w14:textId="0C0B7B0E" w:rsidR="00DB373C" w:rsidRPr="00C5721F" w:rsidRDefault="00DB373C" w:rsidP="00C51EC4">
            <w:pPr>
              <w:pStyle w:val="NoSpacing"/>
              <w:jc w:val="center"/>
              <w:rPr>
                <w:rFonts w:ascii="Times New Roman" w:hAnsi="Times New Roman" w:cs="Times New Roman"/>
                <w:sz w:val="14"/>
                <w:szCs w:val="14"/>
              </w:rPr>
            </w:pPr>
          </w:p>
        </w:tc>
        <w:tc>
          <w:tcPr>
            <w:tcW w:w="851" w:type="dxa"/>
            <w:vAlign w:val="center"/>
            <w:hideMark/>
          </w:tcPr>
          <w:p w14:paraId="03DB1FFD" w14:textId="77777777" w:rsidR="00DB373C" w:rsidRPr="00C5721F" w:rsidRDefault="00DB373C" w:rsidP="00C51EC4">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Age 0-20 Years</w:t>
            </w:r>
          </w:p>
        </w:tc>
        <w:tc>
          <w:tcPr>
            <w:tcW w:w="992" w:type="dxa"/>
            <w:vAlign w:val="center"/>
            <w:hideMark/>
          </w:tcPr>
          <w:p w14:paraId="0866CC4F" w14:textId="77777777" w:rsidR="00DB373C" w:rsidRPr="00C5721F" w:rsidRDefault="00DB373C" w:rsidP="00C51EC4">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Age 20-40 Years</w:t>
            </w:r>
          </w:p>
        </w:tc>
        <w:tc>
          <w:tcPr>
            <w:tcW w:w="992" w:type="dxa"/>
            <w:vMerge/>
            <w:vAlign w:val="center"/>
            <w:hideMark/>
          </w:tcPr>
          <w:p w14:paraId="6AB8AA4B" w14:textId="0DE7B29E" w:rsidR="00DB373C" w:rsidRPr="00C5721F" w:rsidRDefault="00DB373C" w:rsidP="00C51EC4">
            <w:pPr>
              <w:pStyle w:val="NoSpacing"/>
              <w:jc w:val="center"/>
              <w:rPr>
                <w:rFonts w:ascii="Times New Roman" w:hAnsi="Times New Roman" w:cs="Times New Roman"/>
                <w:sz w:val="14"/>
                <w:szCs w:val="14"/>
              </w:rPr>
            </w:pPr>
          </w:p>
        </w:tc>
      </w:tr>
      <w:tr w:rsidR="00441B7E" w:rsidRPr="00C5721F" w14:paraId="48E3DCD5" w14:textId="77777777" w:rsidTr="00DB373C">
        <w:trPr>
          <w:trHeight w:val="20"/>
          <w:jc w:val="center"/>
        </w:trPr>
        <w:tc>
          <w:tcPr>
            <w:tcW w:w="0" w:type="auto"/>
            <w:vAlign w:val="center"/>
            <w:hideMark/>
          </w:tcPr>
          <w:p w14:paraId="0131FF32"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b/>
                <w:bCs/>
                <w:sz w:val="14"/>
                <w:szCs w:val="14"/>
              </w:rPr>
              <w:t>Residential Buildings</w:t>
            </w:r>
          </w:p>
        </w:tc>
        <w:tc>
          <w:tcPr>
            <w:tcW w:w="870" w:type="dxa"/>
            <w:vAlign w:val="center"/>
            <w:hideMark/>
          </w:tcPr>
          <w:p w14:paraId="7617DDA1" w14:textId="77777777" w:rsidR="00441B7E" w:rsidRPr="00C5721F" w:rsidRDefault="00441B7E" w:rsidP="00C51EC4">
            <w:pPr>
              <w:pStyle w:val="NoSpacing"/>
              <w:jc w:val="center"/>
              <w:rPr>
                <w:rFonts w:ascii="Times New Roman" w:hAnsi="Times New Roman" w:cs="Times New Roman"/>
                <w:sz w:val="14"/>
                <w:szCs w:val="14"/>
              </w:rPr>
            </w:pPr>
          </w:p>
        </w:tc>
        <w:tc>
          <w:tcPr>
            <w:tcW w:w="850" w:type="dxa"/>
            <w:vAlign w:val="center"/>
            <w:hideMark/>
          </w:tcPr>
          <w:p w14:paraId="0C9E59BC" w14:textId="77777777" w:rsidR="00441B7E" w:rsidRPr="00C5721F" w:rsidRDefault="00441B7E" w:rsidP="00C51EC4">
            <w:pPr>
              <w:pStyle w:val="NoSpacing"/>
              <w:jc w:val="center"/>
              <w:rPr>
                <w:rFonts w:ascii="Times New Roman" w:hAnsi="Times New Roman" w:cs="Times New Roman"/>
                <w:sz w:val="14"/>
                <w:szCs w:val="14"/>
              </w:rPr>
            </w:pPr>
          </w:p>
        </w:tc>
        <w:tc>
          <w:tcPr>
            <w:tcW w:w="851" w:type="dxa"/>
            <w:vAlign w:val="center"/>
            <w:hideMark/>
          </w:tcPr>
          <w:p w14:paraId="31E5440F" w14:textId="77777777" w:rsidR="00441B7E" w:rsidRPr="00C5721F" w:rsidRDefault="00441B7E" w:rsidP="00C51EC4">
            <w:pPr>
              <w:pStyle w:val="NoSpacing"/>
              <w:jc w:val="center"/>
              <w:rPr>
                <w:rFonts w:ascii="Times New Roman" w:hAnsi="Times New Roman" w:cs="Times New Roman"/>
                <w:sz w:val="14"/>
                <w:szCs w:val="14"/>
              </w:rPr>
            </w:pPr>
          </w:p>
        </w:tc>
        <w:tc>
          <w:tcPr>
            <w:tcW w:w="992" w:type="dxa"/>
            <w:vAlign w:val="center"/>
            <w:hideMark/>
          </w:tcPr>
          <w:p w14:paraId="4370C738" w14:textId="77777777" w:rsidR="00441B7E" w:rsidRPr="00C5721F" w:rsidRDefault="00441B7E" w:rsidP="00C51EC4">
            <w:pPr>
              <w:pStyle w:val="NoSpacing"/>
              <w:jc w:val="center"/>
              <w:rPr>
                <w:rFonts w:ascii="Times New Roman" w:hAnsi="Times New Roman" w:cs="Times New Roman"/>
                <w:sz w:val="14"/>
                <w:szCs w:val="14"/>
              </w:rPr>
            </w:pPr>
          </w:p>
        </w:tc>
        <w:tc>
          <w:tcPr>
            <w:tcW w:w="992" w:type="dxa"/>
            <w:vAlign w:val="center"/>
            <w:hideMark/>
          </w:tcPr>
          <w:p w14:paraId="58978C07" w14:textId="77777777" w:rsidR="00441B7E" w:rsidRPr="00C5721F" w:rsidRDefault="00441B7E" w:rsidP="00C51EC4">
            <w:pPr>
              <w:pStyle w:val="NoSpacing"/>
              <w:jc w:val="center"/>
              <w:rPr>
                <w:rFonts w:ascii="Times New Roman" w:hAnsi="Times New Roman" w:cs="Times New Roman"/>
                <w:sz w:val="14"/>
                <w:szCs w:val="14"/>
              </w:rPr>
            </w:pPr>
          </w:p>
        </w:tc>
      </w:tr>
      <w:tr w:rsidR="00441B7E" w:rsidRPr="00C5721F" w14:paraId="0138CF74" w14:textId="77777777" w:rsidTr="00DB373C">
        <w:trPr>
          <w:trHeight w:val="20"/>
          <w:jc w:val="center"/>
        </w:trPr>
        <w:tc>
          <w:tcPr>
            <w:tcW w:w="0" w:type="auto"/>
            <w:vAlign w:val="center"/>
            <w:hideMark/>
          </w:tcPr>
          <w:p w14:paraId="689BAD9F"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 M.P.'s Flats, Ministers' Bungalows, High Court Judges' Residences</w:t>
            </w:r>
          </w:p>
        </w:tc>
        <w:tc>
          <w:tcPr>
            <w:tcW w:w="870" w:type="dxa"/>
            <w:vAlign w:val="center"/>
            <w:hideMark/>
          </w:tcPr>
          <w:p w14:paraId="37608939"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9.31</w:t>
            </w:r>
          </w:p>
        </w:tc>
        <w:tc>
          <w:tcPr>
            <w:tcW w:w="850" w:type="dxa"/>
            <w:vAlign w:val="center"/>
            <w:hideMark/>
          </w:tcPr>
          <w:p w14:paraId="0D7D2F18"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10.29</w:t>
            </w:r>
          </w:p>
        </w:tc>
        <w:tc>
          <w:tcPr>
            <w:tcW w:w="851" w:type="dxa"/>
            <w:vAlign w:val="center"/>
            <w:hideMark/>
          </w:tcPr>
          <w:p w14:paraId="168467F7"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4.30</w:t>
            </w:r>
          </w:p>
        </w:tc>
        <w:tc>
          <w:tcPr>
            <w:tcW w:w="992" w:type="dxa"/>
            <w:vAlign w:val="center"/>
            <w:hideMark/>
          </w:tcPr>
          <w:p w14:paraId="709523B4"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7.20</w:t>
            </w:r>
          </w:p>
        </w:tc>
        <w:tc>
          <w:tcPr>
            <w:tcW w:w="992" w:type="dxa"/>
            <w:vAlign w:val="center"/>
            <w:hideMark/>
          </w:tcPr>
          <w:p w14:paraId="24879A57"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10.10</w:t>
            </w:r>
          </w:p>
        </w:tc>
      </w:tr>
      <w:tr w:rsidR="00441B7E" w:rsidRPr="00C5721F" w14:paraId="091B9755" w14:textId="77777777" w:rsidTr="00DB373C">
        <w:trPr>
          <w:trHeight w:val="20"/>
          <w:jc w:val="center"/>
        </w:trPr>
        <w:tc>
          <w:tcPr>
            <w:tcW w:w="0" w:type="auto"/>
            <w:vAlign w:val="center"/>
            <w:hideMark/>
          </w:tcPr>
          <w:p w14:paraId="7B7B526E"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2. Hostels</w:t>
            </w:r>
          </w:p>
        </w:tc>
        <w:tc>
          <w:tcPr>
            <w:tcW w:w="870" w:type="dxa"/>
            <w:vAlign w:val="center"/>
            <w:hideMark/>
          </w:tcPr>
          <w:p w14:paraId="45163621"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6.01</w:t>
            </w:r>
          </w:p>
        </w:tc>
        <w:tc>
          <w:tcPr>
            <w:tcW w:w="850" w:type="dxa"/>
            <w:vAlign w:val="center"/>
            <w:hideMark/>
          </w:tcPr>
          <w:p w14:paraId="00277239"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6.64</w:t>
            </w:r>
          </w:p>
        </w:tc>
        <w:tc>
          <w:tcPr>
            <w:tcW w:w="851" w:type="dxa"/>
            <w:vAlign w:val="center"/>
            <w:hideMark/>
          </w:tcPr>
          <w:p w14:paraId="0455AD35"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3.27</w:t>
            </w:r>
          </w:p>
        </w:tc>
        <w:tc>
          <w:tcPr>
            <w:tcW w:w="992" w:type="dxa"/>
            <w:vAlign w:val="center"/>
            <w:hideMark/>
          </w:tcPr>
          <w:p w14:paraId="65E27C15"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5.42</w:t>
            </w:r>
          </w:p>
        </w:tc>
        <w:tc>
          <w:tcPr>
            <w:tcW w:w="992" w:type="dxa"/>
            <w:vAlign w:val="center"/>
            <w:hideMark/>
          </w:tcPr>
          <w:p w14:paraId="3CBF11D3"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7.57</w:t>
            </w:r>
          </w:p>
        </w:tc>
      </w:tr>
      <w:tr w:rsidR="00441B7E" w:rsidRPr="00C5721F" w14:paraId="067E906B" w14:textId="77777777" w:rsidTr="00DB373C">
        <w:trPr>
          <w:trHeight w:val="20"/>
          <w:jc w:val="center"/>
        </w:trPr>
        <w:tc>
          <w:tcPr>
            <w:tcW w:w="0" w:type="auto"/>
            <w:vAlign w:val="center"/>
            <w:hideMark/>
          </w:tcPr>
          <w:p w14:paraId="02895CE4"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3. All other residential units</w:t>
            </w:r>
          </w:p>
        </w:tc>
        <w:tc>
          <w:tcPr>
            <w:tcW w:w="870" w:type="dxa"/>
            <w:vAlign w:val="center"/>
            <w:hideMark/>
          </w:tcPr>
          <w:p w14:paraId="6ABD5577"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4.66</w:t>
            </w:r>
          </w:p>
        </w:tc>
        <w:tc>
          <w:tcPr>
            <w:tcW w:w="850" w:type="dxa"/>
            <w:vAlign w:val="center"/>
            <w:hideMark/>
          </w:tcPr>
          <w:p w14:paraId="7C84B0BD"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5.14</w:t>
            </w:r>
          </w:p>
        </w:tc>
        <w:tc>
          <w:tcPr>
            <w:tcW w:w="851" w:type="dxa"/>
            <w:vAlign w:val="center"/>
            <w:hideMark/>
          </w:tcPr>
          <w:p w14:paraId="097D32D5"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3.27</w:t>
            </w:r>
          </w:p>
        </w:tc>
        <w:tc>
          <w:tcPr>
            <w:tcW w:w="992" w:type="dxa"/>
            <w:vAlign w:val="center"/>
            <w:hideMark/>
          </w:tcPr>
          <w:p w14:paraId="2313C5B6"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5.42</w:t>
            </w:r>
          </w:p>
        </w:tc>
        <w:tc>
          <w:tcPr>
            <w:tcW w:w="992" w:type="dxa"/>
            <w:vAlign w:val="center"/>
            <w:hideMark/>
          </w:tcPr>
          <w:p w14:paraId="489490A9"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7.57</w:t>
            </w:r>
          </w:p>
        </w:tc>
      </w:tr>
      <w:tr w:rsidR="00441B7E" w:rsidRPr="00C5721F" w14:paraId="34A2E3A5" w14:textId="77777777" w:rsidTr="00DB373C">
        <w:trPr>
          <w:trHeight w:val="20"/>
          <w:jc w:val="center"/>
        </w:trPr>
        <w:tc>
          <w:tcPr>
            <w:tcW w:w="0" w:type="auto"/>
            <w:vAlign w:val="center"/>
            <w:hideMark/>
          </w:tcPr>
          <w:p w14:paraId="4077175D"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b/>
                <w:bCs/>
                <w:sz w:val="14"/>
                <w:szCs w:val="14"/>
              </w:rPr>
              <w:t>Non-Residential Buildings</w:t>
            </w:r>
          </w:p>
        </w:tc>
        <w:tc>
          <w:tcPr>
            <w:tcW w:w="870" w:type="dxa"/>
            <w:vAlign w:val="center"/>
            <w:hideMark/>
          </w:tcPr>
          <w:p w14:paraId="33C810FE" w14:textId="77777777" w:rsidR="00441B7E" w:rsidRPr="00C5721F" w:rsidRDefault="00441B7E" w:rsidP="00C51EC4">
            <w:pPr>
              <w:pStyle w:val="NoSpacing"/>
              <w:jc w:val="center"/>
              <w:rPr>
                <w:rFonts w:ascii="Times New Roman" w:hAnsi="Times New Roman" w:cs="Times New Roman"/>
                <w:sz w:val="14"/>
                <w:szCs w:val="14"/>
              </w:rPr>
            </w:pPr>
          </w:p>
        </w:tc>
        <w:tc>
          <w:tcPr>
            <w:tcW w:w="850" w:type="dxa"/>
            <w:vAlign w:val="center"/>
            <w:hideMark/>
          </w:tcPr>
          <w:p w14:paraId="1D40C1AF" w14:textId="77777777" w:rsidR="00441B7E" w:rsidRPr="00C5721F" w:rsidRDefault="00441B7E" w:rsidP="00C51EC4">
            <w:pPr>
              <w:pStyle w:val="NoSpacing"/>
              <w:jc w:val="center"/>
              <w:rPr>
                <w:rFonts w:ascii="Times New Roman" w:hAnsi="Times New Roman" w:cs="Times New Roman"/>
                <w:sz w:val="14"/>
                <w:szCs w:val="14"/>
              </w:rPr>
            </w:pPr>
          </w:p>
        </w:tc>
        <w:tc>
          <w:tcPr>
            <w:tcW w:w="851" w:type="dxa"/>
            <w:vAlign w:val="center"/>
            <w:hideMark/>
          </w:tcPr>
          <w:p w14:paraId="58530F25" w14:textId="77777777" w:rsidR="00441B7E" w:rsidRPr="00C5721F" w:rsidRDefault="00441B7E" w:rsidP="00C51EC4">
            <w:pPr>
              <w:pStyle w:val="NoSpacing"/>
              <w:jc w:val="center"/>
              <w:rPr>
                <w:rFonts w:ascii="Times New Roman" w:hAnsi="Times New Roman" w:cs="Times New Roman"/>
                <w:sz w:val="14"/>
                <w:szCs w:val="14"/>
              </w:rPr>
            </w:pPr>
          </w:p>
        </w:tc>
        <w:tc>
          <w:tcPr>
            <w:tcW w:w="992" w:type="dxa"/>
            <w:vAlign w:val="center"/>
            <w:hideMark/>
          </w:tcPr>
          <w:p w14:paraId="0578DD9B" w14:textId="77777777" w:rsidR="00441B7E" w:rsidRPr="00C5721F" w:rsidRDefault="00441B7E" w:rsidP="00C51EC4">
            <w:pPr>
              <w:pStyle w:val="NoSpacing"/>
              <w:jc w:val="center"/>
              <w:rPr>
                <w:rFonts w:ascii="Times New Roman" w:hAnsi="Times New Roman" w:cs="Times New Roman"/>
                <w:sz w:val="14"/>
                <w:szCs w:val="14"/>
              </w:rPr>
            </w:pPr>
          </w:p>
        </w:tc>
        <w:tc>
          <w:tcPr>
            <w:tcW w:w="992" w:type="dxa"/>
            <w:vAlign w:val="center"/>
            <w:hideMark/>
          </w:tcPr>
          <w:p w14:paraId="08DA2AA6" w14:textId="77777777" w:rsidR="00441B7E" w:rsidRPr="00C5721F" w:rsidRDefault="00441B7E" w:rsidP="00C51EC4">
            <w:pPr>
              <w:pStyle w:val="NoSpacing"/>
              <w:jc w:val="center"/>
              <w:rPr>
                <w:rFonts w:ascii="Times New Roman" w:hAnsi="Times New Roman" w:cs="Times New Roman"/>
                <w:sz w:val="14"/>
                <w:szCs w:val="14"/>
              </w:rPr>
            </w:pPr>
          </w:p>
        </w:tc>
      </w:tr>
      <w:tr w:rsidR="00441B7E" w:rsidRPr="00C5721F" w14:paraId="18E4B5CB" w14:textId="77777777" w:rsidTr="00DB373C">
        <w:trPr>
          <w:trHeight w:val="20"/>
          <w:jc w:val="center"/>
        </w:trPr>
        <w:tc>
          <w:tcPr>
            <w:tcW w:w="0" w:type="auto"/>
            <w:vAlign w:val="center"/>
            <w:hideMark/>
          </w:tcPr>
          <w:p w14:paraId="6803F367"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1. Office buildings except South &amp; North Blocks</w:t>
            </w:r>
          </w:p>
        </w:tc>
        <w:tc>
          <w:tcPr>
            <w:tcW w:w="870" w:type="dxa"/>
            <w:vAlign w:val="center"/>
            <w:hideMark/>
          </w:tcPr>
          <w:p w14:paraId="7A9D94AD"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5.34</w:t>
            </w:r>
          </w:p>
        </w:tc>
        <w:tc>
          <w:tcPr>
            <w:tcW w:w="850" w:type="dxa"/>
            <w:vAlign w:val="center"/>
            <w:hideMark/>
          </w:tcPr>
          <w:p w14:paraId="0A5D9E06"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5.89</w:t>
            </w:r>
          </w:p>
        </w:tc>
        <w:tc>
          <w:tcPr>
            <w:tcW w:w="851" w:type="dxa"/>
            <w:vAlign w:val="center"/>
            <w:hideMark/>
          </w:tcPr>
          <w:p w14:paraId="4483F251"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5.61</w:t>
            </w:r>
          </w:p>
        </w:tc>
        <w:tc>
          <w:tcPr>
            <w:tcW w:w="992" w:type="dxa"/>
            <w:vAlign w:val="center"/>
            <w:hideMark/>
          </w:tcPr>
          <w:p w14:paraId="14F3F8BA"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9.35</w:t>
            </w:r>
          </w:p>
        </w:tc>
        <w:tc>
          <w:tcPr>
            <w:tcW w:w="992" w:type="dxa"/>
            <w:vAlign w:val="center"/>
            <w:hideMark/>
          </w:tcPr>
          <w:p w14:paraId="6E99AF3D"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13.09</w:t>
            </w:r>
          </w:p>
        </w:tc>
      </w:tr>
      <w:tr w:rsidR="00441B7E" w:rsidRPr="00C5721F" w14:paraId="5AA93BF5" w14:textId="77777777" w:rsidTr="00DB373C">
        <w:trPr>
          <w:trHeight w:val="20"/>
          <w:jc w:val="center"/>
        </w:trPr>
        <w:tc>
          <w:tcPr>
            <w:tcW w:w="0" w:type="auto"/>
            <w:vAlign w:val="center"/>
            <w:hideMark/>
          </w:tcPr>
          <w:p w14:paraId="191EDF53"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 xml:space="preserve">2. Sansad </w:t>
            </w:r>
            <w:proofErr w:type="spellStart"/>
            <w:r w:rsidRPr="00C5721F">
              <w:rPr>
                <w:rFonts w:ascii="Times New Roman" w:hAnsi="Times New Roman" w:cs="Times New Roman"/>
                <w:sz w:val="14"/>
                <w:szCs w:val="14"/>
              </w:rPr>
              <w:t>Saudha</w:t>
            </w:r>
            <w:proofErr w:type="spellEnd"/>
          </w:p>
        </w:tc>
        <w:tc>
          <w:tcPr>
            <w:tcW w:w="870" w:type="dxa"/>
            <w:vAlign w:val="center"/>
            <w:hideMark/>
          </w:tcPr>
          <w:p w14:paraId="506A3DEE"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9.99</w:t>
            </w:r>
          </w:p>
        </w:tc>
        <w:tc>
          <w:tcPr>
            <w:tcW w:w="850" w:type="dxa"/>
            <w:vAlign w:val="center"/>
            <w:hideMark/>
          </w:tcPr>
          <w:p w14:paraId="16D6B7F1"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11.03</w:t>
            </w:r>
          </w:p>
        </w:tc>
        <w:tc>
          <w:tcPr>
            <w:tcW w:w="851" w:type="dxa"/>
            <w:vAlign w:val="center"/>
            <w:hideMark/>
          </w:tcPr>
          <w:p w14:paraId="465B6248"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18.05</w:t>
            </w:r>
          </w:p>
        </w:tc>
        <w:tc>
          <w:tcPr>
            <w:tcW w:w="992" w:type="dxa"/>
            <w:vAlign w:val="center"/>
            <w:hideMark/>
          </w:tcPr>
          <w:p w14:paraId="3AD633CE"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992" w:type="dxa"/>
            <w:vAlign w:val="center"/>
            <w:hideMark/>
          </w:tcPr>
          <w:p w14:paraId="468E42E6"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18.05</w:t>
            </w:r>
          </w:p>
        </w:tc>
      </w:tr>
      <w:tr w:rsidR="00441B7E" w:rsidRPr="00C5721F" w14:paraId="079301F1" w14:textId="77777777" w:rsidTr="00DB373C">
        <w:trPr>
          <w:trHeight w:val="20"/>
          <w:jc w:val="center"/>
        </w:trPr>
        <w:tc>
          <w:tcPr>
            <w:tcW w:w="0" w:type="auto"/>
            <w:vAlign w:val="center"/>
            <w:hideMark/>
          </w:tcPr>
          <w:p w14:paraId="296E0E02"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3. Temporary Office Buildings</w:t>
            </w:r>
          </w:p>
        </w:tc>
        <w:tc>
          <w:tcPr>
            <w:tcW w:w="870" w:type="dxa"/>
            <w:vAlign w:val="center"/>
            <w:hideMark/>
          </w:tcPr>
          <w:p w14:paraId="7E1C1AB2"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5.34</w:t>
            </w:r>
          </w:p>
        </w:tc>
        <w:tc>
          <w:tcPr>
            <w:tcW w:w="850" w:type="dxa"/>
            <w:vAlign w:val="center"/>
            <w:hideMark/>
          </w:tcPr>
          <w:p w14:paraId="173912CE"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5.89</w:t>
            </w:r>
          </w:p>
        </w:tc>
        <w:tc>
          <w:tcPr>
            <w:tcW w:w="851" w:type="dxa"/>
            <w:vAlign w:val="center"/>
            <w:hideMark/>
          </w:tcPr>
          <w:p w14:paraId="0393314C"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4.39</w:t>
            </w:r>
          </w:p>
        </w:tc>
        <w:tc>
          <w:tcPr>
            <w:tcW w:w="992" w:type="dxa"/>
            <w:vAlign w:val="center"/>
            <w:hideMark/>
          </w:tcPr>
          <w:p w14:paraId="40D6D686"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7.20</w:t>
            </w:r>
          </w:p>
        </w:tc>
        <w:tc>
          <w:tcPr>
            <w:tcW w:w="992" w:type="dxa"/>
            <w:vAlign w:val="center"/>
            <w:hideMark/>
          </w:tcPr>
          <w:p w14:paraId="0CF0A913"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5ACF81A5" w14:textId="77777777" w:rsidTr="00DB373C">
        <w:trPr>
          <w:trHeight w:val="20"/>
          <w:jc w:val="center"/>
        </w:trPr>
        <w:tc>
          <w:tcPr>
            <w:tcW w:w="0" w:type="auto"/>
            <w:vAlign w:val="center"/>
            <w:hideMark/>
          </w:tcPr>
          <w:p w14:paraId="2DBE2B55"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4. Court Buildings</w:t>
            </w:r>
          </w:p>
        </w:tc>
        <w:tc>
          <w:tcPr>
            <w:tcW w:w="870" w:type="dxa"/>
            <w:vAlign w:val="center"/>
            <w:hideMark/>
          </w:tcPr>
          <w:p w14:paraId="739118DE"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9.99</w:t>
            </w:r>
          </w:p>
        </w:tc>
        <w:tc>
          <w:tcPr>
            <w:tcW w:w="850" w:type="dxa"/>
            <w:vAlign w:val="center"/>
            <w:hideMark/>
          </w:tcPr>
          <w:p w14:paraId="2073F74F"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11.03</w:t>
            </w:r>
          </w:p>
        </w:tc>
        <w:tc>
          <w:tcPr>
            <w:tcW w:w="851" w:type="dxa"/>
            <w:vAlign w:val="center"/>
            <w:hideMark/>
          </w:tcPr>
          <w:p w14:paraId="1BE35284"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18.05</w:t>
            </w:r>
          </w:p>
        </w:tc>
        <w:tc>
          <w:tcPr>
            <w:tcW w:w="992" w:type="dxa"/>
            <w:vAlign w:val="center"/>
            <w:hideMark/>
          </w:tcPr>
          <w:p w14:paraId="7AE149FF"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c>
          <w:tcPr>
            <w:tcW w:w="992" w:type="dxa"/>
            <w:vAlign w:val="center"/>
            <w:hideMark/>
          </w:tcPr>
          <w:p w14:paraId="2FE0B6BF"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40465B5A" w14:textId="77777777" w:rsidTr="00DB373C">
        <w:trPr>
          <w:trHeight w:val="20"/>
          <w:jc w:val="center"/>
        </w:trPr>
        <w:tc>
          <w:tcPr>
            <w:tcW w:w="0" w:type="auto"/>
            <w:vAlign w:val="center"/>
            <w:hideMark/>
          </w:tcPr>
          <w:p w14:paraId="65AD82FC"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5. Hospitals</w:t>
            </w:r>
          </w:p>
        </w:tc>
        <w:tc>
          <w:tcPr>
            <w:tcW w:w="870" w:type="dxa"/>
            <w:vAlign w:val="center"/>
            <w:hideMark/>
          </w:tcPr>
          <w:p w14:paraId="4C86FAE7"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13.29</w:t>
            </w:r>
          </w:p>
        </w:tc>
        <w:tc>
          <w:tcPr>
            <w:tcW w:w="850" w:type="dxa"/>
            <w:vAlign w:val="center"/>
            <w:hideMark/>
          </w:tcPr>
          <w:p w14:paraId="71544555"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14.68</w:t>
            </w:r>
          </w:p>
        </w:tc>
        <w:tc>
          <w:tcPr>
            <w:tcW w:w="851" w:type="dxa"/>
            <w:vAlign w:val="center"/>
            <w:hideMark/>
          </w:tcPr>
          <w:p w14:paraId="48F4D0C7"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8.70</w:t>
            </w:r>
          </w:p>
        </w:tc>
        <w:tc>
          <w:tcPr>
            <w:tcW w:w="992" w:type="dxa"/>
            <w:vAlign w:val="center"/>
            <w:hideMark/>
          </w:tcPr>
          <w:p w14:paraId="72FA48B8"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14.40</w:t>
            </w:r>
          </w:p>
        </w:tc>
        <w:tc>
          <w:tcPr>
            <w:tcW w:w="992" w:type="dxa"/>
            <w:vAlign w:val="center"/>
            <w:hideMark/>
          </w:tcPr>
          <w:p w14:paraId="06C4A04D"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20.20</w:t>
            </w:r>
          </w:p>
        </w:tc>
      </w:tr>
      <w:tr w:rsidR="00441B7E" w:rsidRPr="00C5721F" w14:paraId="45556AFE" w14:textId="77777777" w:rsidTr="00DB373C">
        <w:trPr>
          <w:trHeight w:val="20"/>
          <w:jc w:val="center"/>
        </w:trPr>
        <w:tc>
          <w:tcPr>
            <w:tcW w:w="0" w:type="auto"/>
            <w:vAlign w:val="center"/>
            <w:hideMark/>
          </w:tcPr>
          <w:p w14:paraId="662B5A11" w14:textId="77777777" w:rsidR="00441B7E" w:rsidRPr="00C5721F" w:rsidRDefault="00441B7E" w:rsidP="00C51EC4">
            <w:pPr>
              <w:pStyle w:val="NoSpacing"/>
              <w:rPr>
                <w:rFonts w:ascii="Times New Roman" w:hAnsi="Times New Roman" w:cs="Times New Roman"/>
                <w:sz w:val="14"/>
                <w:szCs w:val="14"/>
              </w:rPr>
            </w:pPr>
            <w:r w:rsidRPr="00C5721F">
              <w:rPr>
                <w:rFonts w:ascii="Times New Roman" w:hAnsi="Times New Roman" w:cs="Times New Roman"/>
                <w:sz w:val="14"/>
                <w:szCs w:val="14"/>
              </w:rPr>
              <w:t>6. Dispensaries</w:t>
            </w:r>
          </w:p>
        </w:tc>
        <w:tc>
          <w:tcPr>
            <w:tcW w:w="870" w:type="dxa"/>
            <w:vAlign w:val="center"/>
            <w:hideMark/>
          </w:tcPr>
          <w:p w14:paraId="282B3E3B"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13.29</w:t>
            </w:r>
          </w:p>
        </w:tc>
        <w:tc>
          <w:tcPr>
            <w:tcW w:w="850" w:type="dxa"/>
            <w:vAlign w:val="center"/>
            <w:hideMark/>
          </w:tcPr>
          <w:p w14:paraId="1DFF212C"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14.68</w:t>
            </w:r>
          </w:p>
        </w:tc>
        <w:tc>
          <w:tcPr>
            <w:tcW w:w="851" w:type="dxa"/>
            <w:vAlign w:val="center"/>
            <w:hideMark/>
          </w:tcPr>
          <w:p w14:paraId="5FA85040"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8.70</w:t>
            </w:r>
          </w:p>
        </w:tc>
        <w:tc>
          <w:tcPr>
            <w:tcW w:w="992" w:type="dxa"/>
            <w:vAlign w:val="center"/>
            <w:hideMark/>
          </w:tcPr>
          <w:p w14:paraId="571B9B17"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14.40</w:t>
            </w:r>
          </w:p>
        </w:tc>
        <w:tc>
          <w:tcPr>
            <w:tcW w:w="992" w:type="dxa"/>
            <w:vAlign w:val="center"/>
            <w:hideMark/>
          </w:tcPr>
          <w:p w14:paraId="59199426" w14:textId="77777777" w:rsidR="00441B7E" w:rsidRPr="00C5721F" w:rsidRDefault="00441B7E" w:rsidP="00C51EC4">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20.20</w:t>
            </w:r>
          </w:p>
        </w:tc>
      </w:tr>
    </w:tbl>
    <w:p w14:paraId="29BF9E53" w14:textId="1E89B2A6" w:rsidR="00441B7E" w:rsidRPr="00DB373C" w:rsidRDefault="00DB373C" w:rsidP="00DB373C">
      <w:pPr>
        <w:spacing w:after="0"/>
        <w:rPr>
          <w:rFonts w:ascii="Times New Roman" w:hAnsi="Times New Roman" w:cs="Times New Roman"/>
          <w:sz w:val="16"/>
          <w:szCs w:val="16"/>
        </w:rPr>
      </w:pPr>
      <w:r>
        <w:rPr>
          <w:rFonts w:ascii="Times New Roman" w:hAnsi="Times New Roman" w:cs="Times New Roman"/>
          <w:b/>
          <w:bCs/>
          <w:sz w:val="16"/>
          <w:szCs w:val="16"/>
        </w:rPr>
        <w:t xml:space="preserve">          </w:t>
      </w:r>
      <w:r w:rsidR="00441B7E" w:rsidRPr="00DB373C">
        <w:rPr>
          <w:rFonts w:ascii="Times New Roman" w:hAnsi="Times New Roman" w:cs="Times New Roman"/>
          <w:b/>
          <w:bCs/>
          <w:sz w:val="16"/>
          <w:szCs w:val="16"/>
        </w:rPr>
        <w:t>Note:</w:t>
      </w:r>
      <w:r>
        <w:rPr>
          <w:rFonts w:ascii="Times New Roman" w:hAnsi="Times New Roman" w:cs="Times New Roman"/>
          <w:b/>
          <w:bCs/>
          <w:sz w:val="16"/>
          <w:szCs w:val="16"/>
        </w:rPr>
        <w:t xml:space="preserve"> </w:t>
      </w:r>
      <w:r w:rsidR="00441B7E" w:rsidRPr="00DB373C">
        <w:rPr>
          <w:rFonts w:ascii="Times New Roman" w:hAnsi="Times New Roman" w:cs="Times New Roman"/>
          <w:b/>
          <w:bCs/>
          <w:sz w:val="16"/>
          <w:szCs w:val="16"/>
        </w:rPr>
        <w:t xml:space="preserve"> </w:t>
      </w:r>
      <w:proofErr w:type="gramStart"/>
      <w:r w:rsidR="00441B7E" w:rsidRPr="00DB373C">
        <w:rPr>
          <w:rFonts w:ascii="Times New Roman" w:hAnsi="Times New Roman" w:cs="Times New Roman"/>
          <w:b/>
          <w:bCs/>
          <w:sz w:val="16"/>
          <w:szCs w:val="16"/>
        </w:rPr>
        <w:t>1.</w:t>
      </w:r>
      <w:r w:rsidR="00441B7E" w:rsidRPr="00DB373C">
        <w:rPr>
          <w:rFonts w:ascii="Times New Roman" w:hAnsi="Times New Roman" w:cs="Times New Roman"/>
          <w:sz w:val="16"/>
          <w:szCs w:val="16"/>
        </w:rPr>
        <w:t>The</w:t>
      </w:r>
      <w:proofErr w:type="gramEnd"/>
      <w:r w:rsidR="00441B7E" w:rsidRPr="00DB373C">
        <w:rPr>
          <w:rFonts w:ascii="Times New Roman" w:hAnsi="Times New Roman" w:cs="Times New Roman"/>
          <w:sz w:val="16"/>
          <w:szCs w:val="16"/>
        </w:rPr>
        <w:t xml:space="preserve"> above plinth area rates do not cover expenditure on conservancy charges.</w:t>
      </w:r>
    </w:p>
    <w:p w14:paraId="3729A4D4" w14:textId="27C3A671" w:rsidR="00441B7E" w:rsidRPr="00DB373C" w:rsidRDefault="00441B7E" w:rsidP="00DB373C">
      <w:pPr>
        <w:pStyle w:val="ListParagraph"/>
        <w:numPr>
          <w:ilvl w:val="0"/>
          <w:numId w:val="1"/>
        </w:numPr>
        <w:tabs>
          <w:tab w:val="clear" w:pos="502"/>
        </w:tabs>
        <w:spacing w:after="0"/>
        <w:ind w:left="981" w:hanging="130"/>
        <w:rPr>
          <w:rFonts w:ascii="Times New Roman" w:hAnsi="Times New Roman" w:cs="Times New Roman"/>
          <w:sz w:val="16"/>
          <w:szCs w:val="16"/>
        </w:rPr>
      </w:pPr>
      <w:r w:rsidRPr="00DB373C">
        <w:rPr>
          <w:rFonts w:ascii="Times New Roman" w:hAnsi="Times New Roman" w:cs="Times New Roman"/>
          <w:sz w:val="16"/>
          <w:szCs w:val="16"/>
        </w:rPr>
        <w:t>These rates also do not include the extra amount admissible for maintenance and repairs in hill region.</w:t>
      </w:r>
    </w:p>
    <w:p w14:paraId="28588C1C" w14:textId="6021D30A" w:rsidR="00441B7E" w:rsidRPr="009871F6" w:rsidRDefault="00441B7E" w:rsidP="00C51EC4">
      <w:pPr>
        <w:pStyle w:val="Heading2"/>
        <w:rPr>
          <w:sz w:val="20"/>
          <w:szCs w:val="20"/>
        </w:rPr>
      </w:pPr>
      <w:bookmarkStart w:id="81" w:name="_Toc221292998"/>
      <w:bookmarkStart w:id="82" w:name="_Toc222399489"/>
      <w:r w:rsidRPr="009871F6">
        <w:rPr>
          <w:sz w:val="20"/>
          <w:szCs w:val="20"/>
        </w:rPr>
        <w:t>ANNEXURE III.15B</w:t>
      </w:r>
      <w:r w:rsidR="00C51EC4" w:rsidRPr="009871F6">
        <w:rPr>
          <w:sz w:val="20"/>
          <w:szCs w:val="20"/>
        </w:rPr>
        <w:br/>
      </w:r>
      <w:r w:rsidRPr="009871F6">
        <w:rPr>
          <w:sz w:val="20"/>
          <w:szCs w:val="20"/>
        </w:rPr>
        <w:t xml:space="preserve">Plinth Area Rates </w:t>
      </w:r>
      <w:proofErr w:type="gramStart"/>
      <w:r w:rsidRPr="009871F6">
        <w:rPr>
          <w:sz w:val="20"/>
          <w:szCs w:val="20"/>
        </w:rPr>
        <w:t>For</w:t>
      </w:r>
      <w:proofErr w:type="gramEnd"/>
      <w:r w:rsidRPr="009871F6">
        <w:rPr>
          <w:sz w:val="20"/>
          <w:szCs w:val="20"/>
        </w:rPr>
        <w:t xml:space="preserve"> Electrical Engineering Maintenance</w:t>
      </w:r>
      <w:bookmarkEnd w:id="81"/>
      <w:bookmarkEnd w:id="82"/>
    </w:p>
    <w:p w14:paraId="334DBA26" w14:textId="47EB103B" w:rsidR="00C51EC4" w:rsidRPr="009871F6" w:rsidRDefault="00C51EC4" w:rsidP="00D915A2">
      <w:pPr>
        <w:spacing w:after="0"/>
        <w:jc w:val="center"/>
        <w:rPr>
          <w:rFonts w:ascii="Times New Roman" w:hAnsi="Times New Roman" w:cs="Times New Roman"/>
          <w:i/>
          <w:iCs/>
          <w:sz w:val="18"/>
          <w:szCs w:val="16"/>
        </w:rPr>
      </w:pPr>
      <w:r w:rsidRPr="009871F6">
        <w:rPr>
          <w:rFonts w:ascii="Times New Roman" w:hAnsi="Times New Roman" w:cs="Times New Roman"/>
          <w:i/>
          <w:iCs/>
          <w:sz w:val="18"/>
          <w:szCs w:val="16"/>
        </w:rPr>
        <w:t>(Para 3.52)</w:t>
      </w:r>
    </w:p>
    <w:p w14:paraId="50298CC7" w14:textId="760B3E0E" w:rsidR="00441B7E" w:rsidRPr="00D915A2" w:rsidRDefault="00441B7E" w:rsidP="003E7D62">
      <w:pPr>
        <w:spacing w:after="0"/>
        <w:ind w:left="6480" w:firstLine="720"/>
        <w:rPr>
          <w:rFonts w:ascii="Times New Roman" w:hAnsi="Times New Roman" w:cs="Times New Roman"/>
          <w:sz w:val="18"/>
          <w:szCs w:val="16"/>
        </w:rPr>
      </w:pPr>
      <w:r w:rsidRPr="00D915A2">
        <w:rPr>
          <w:rFonts w:ascii="Times New Roman" w:hAnsi="Times New Roman" w:cs="Times New Roman"/>
          <w:i/>
          <w:iCs/>
          <w:sz w:val="18"/>
          <w:szCs w:val="16"/>
        </w:rPr>
        <w:t>(Rs. Per Sq. M.)</w:t>
      </w:r>
    </w:p>
    <w:tbl>
      <w:tblPr>
        <w:tblStyle w:val="TableGrid"/>
        <w:tblW w:w="7225" w:type="dxa"/>
        <w:jc w:val="center"/>
        <w:tblLook w:val="04A0" w:firstRow="1" w:lastRow="0" w:firstColumn="1" w:lastColumn="0" w:noHBand="0" w:noVBand="1"/>
      </w:tblPr>
      <w:tblGrid>
        <w:gridCol w:w="3397"/>
        <w:gridCol w:w="1843"/>
        <w:gridCol w:w="1985"/>
      </w:tblGrid>
      <w:tr w:rsidR="003E7D62" w:rsidRPr="00C5721F" w14:paraId="37E869C7" w14:textId="77777777" w:rsidTr="003E7D62">
        <w:trPr>
          <w:trHeight w:val="20"/>
          <w:jc w:val="center"/>
        </w:trPr>
        <w:tc>
          <w:tcPr>
            <w:tcW w:w="3397" w:type="dxa"/>
            <w:vAlign w:val="center"/>
            <w:hideMark/>
          </w:tcPr>
          <w:p w14:paraId="650A95FE" w14:textId="77777777" w:rsidR="003E7D62" w:rsidRPr="00C5721F" w:rsidRDefault="003E7D62" w:rsidP="00D915A2">
            <w:pPr>
              <w:pStyle w:val="NoSpacing"/>
              <w:jc w:val="center"/>
              <w:rPr>
                <w:rFonts w:ascii="Times New Roman" w:hAnsi="Times New Roman" w:cs="Times New Roman"/>
                <w:sz w:val="14"/>
                <w:szCs w:val="14"/>
              </w:rPr>
            </w:pPr>
          </w:p>
        </w:tc>
        <w:tc>
          <w:tcPr>
            <w:tcW w:w="3828" w:type="dxa"/>
            <w:gridSpan w:val="2"/>
            <w:vAlign w:val="center"/>
            <w:hideMark/>
          </w:tcPr>
          <w:p w14:paraId="5DDB0F57" w14:textId="203B6F17" w:rsidR="003E7D62" w:rsidRPr="00C5721F" w:rsidRDefault="003E7D62"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 xml:space="preserve">Rate For Day </w:t>
            </w:r>
            <w:proofErr w:type="gramStart"/>
            <w:r w:rsidRPr="00C5721F">
              <w:rPr>
                <w:rFonts w:ascii="Times New Roman" w:hAnsi="Times New Roman" w:cs="Times New Roman"/>
                <w:b/>
                <w:bCs/>
                <w:sz w:val="14"/>
                <w:szCs w:val="14"/>
              </w:rPr>
              <w:t>To</w:t>
            </w:r>
            <w:proofErr w:type="gramEnd"/>
            <w:r w:rsidRPr="00C5721F">
              <w:rPr>
                <w:rFonts w:ascii="Times New Roman" w:hAnsi="Times New Roman" w:cs="Times New Roman"/>
                <w:b/>
                <w:bCs/>
                <w:sz w:val="14"/>
                <w:szCs w:val="14"/>
              </w:rPr>
              <w:t xml:space="preserve"> Day Service, Repairs, Maintenance</w:t>
            </w:r>
          </w:p>
        </w:tc>
      </w:tr>
      <w:tr w:rsidR="00441B7E" w:rsidRPr="00C5721F" w14:paraId="2523CCF9" w14:textId="77777777" w:rsidTr="003E7D62">
        <w:trPr>
          <w:trHeight w:val="20"/>
          <w:jc w:val="center"/>
        </w:trPr>
        <w:tc>
          <w:tcPr>
            <w:tcW w:w="3397" w:type="dxa"/>
            <w:vAlign w:val="center"/>
            <w:hideMark/>
          </w:tcPr>
          <w:p w14:paraId="6A2EC3B8"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Category</w:t>
            </w:r>
          </w:p>
        </w:tc>
        <w:tc>
          <w:tcPr>
            <w:tcW w:w="1843" w:type="dxa"/>
            <w:vAlign w:val="center"/>
            <w:hideMark/>
          </w:tcPr>
          <w:p w14:paraId="1F174E2D"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Concentrated Groups</w:t>
            </w:r>
          </w:p>
        </w:tc>
        <w:tc>
          <w:tcPr>
            <w:tcW w:w="1985" w:type="dxa"/>
            <w:vAlign w:val="center"/>
            <w:hideMark/>
          </w:tcPr>
          <w:p w14:paraId="5C1ED024"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b/>
                <w:bCs/>
                <w:sz w:val="14"/>
                <w:szCs w:val="14"/>
              </w:rPr>
              <w:t>Scattered Groups</w:t>
            </w:r>
          </w:p>
        </w:tc>
      </w:tr>
      <w:tr w:rsidR="00441B7E" w:rsidRPr="00C5721F" w14:paraId="095AE9F7" w14:textId="77777777" w:rsidTr="003E7D62">
        <w:trPr>
          <w:trHeight w:val="20"/>
          <w:jc w:val="center"/>
        </w:trPr>
        <w:tc>
          <w:tcPr>
            <w:tcW w:w="3397" w:type="dxa"/>
            <w:vAlign w:val="center"/>
            <w:hideMark/>
          </w:tcPr>
          <w:p w14:paraId="697B2267"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b/>
                <w:bCs/>
                <w:sz w:val="14"/>
                <w:szCs w:val="14"/>
              </w:rPr>
              <w:t>Residential Buildings</w:t>
            </w:r>
          </w:p>
        </w:tc>
        <w:tc>
          <w:tcPr>
            <w:tcW w:w="1843" w:type="dxa"/>
            <w:vAlign w:val="center"/>
            <w:hideMark/>
          </w:tcPr>
          <w:p w14:paraId="33E3C13B" w14:textId="77777777" w:rsidR="00441B7E" w:rsidRPr="00C5721F" w:rsidRDefault="00441B7E" w:rsidP="00D915A2">
            <w:pPr>
              <w:pStyle w:val="NoSpacing"/>
              <w:jc w:val="center"/>
              <w:rPr>
                <w:rFonts w:ascii="Times New Roman" w:hAnsi="Times New Roman" w:cs="Times New Roman"/>
                <w:sz w:val="14"/>
                <w:szCs w:val="14"/>
              </w:rPr>
            </w:pPr>
          </w:p>
        </w:tc>
        <w:tc>
          <w:tcPr>
            <w:tcW w:w="1985" w:type="dxa"/>
            <w:vAlign w:val="center"/>
            <w:hideMark/>
          </w:tcPr>
          <w:p w14:paraId="4378B8EB" w14:textId="77777777" w:rsidR="00441B7E" w:rsidRPr="00C5721F" w:rsidRDefault="00441B7E" w:rsidP="00D915A2">
            <w:pPr>
              <w:pStyle w:val="NoSpacing"/>
              <w:jc w:val="center"/>
              <w:rPr>
                <w:rFonts w:ascii="Times New Roman" w:hAnsi="Times New Roman" w:cs="Times New Roman"/>
                <w:sz w:val="14"/>
                <w:szCs w:val="14"/>
              </w:rPr>
            </w:pPr>
          </w:p>
        </w:tc>
      </w:tr>
      <w:tr w:rsidR="00441B7E" w:rsidRPr="00C5721F" w14:paraId="6B6CB758" w14:textId="77777777" w:rsidTr="003E7D62">
        <w:trPr>
          <w:trHeight w:val="20"/>
          <w:jc w:val="center"/>
        </w:trPr>
        <w:tc>
          <w:tcPr>
            <w:tcW w:w="3397" w:type="dxa"/>
            <w:vAlign w:val="center"/>
            <w:hideMark/>
          </w:tcPr>
          <w:p w14:paraId="7FCE4CFE"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 M.P.'s flats, Ministers Bungalows, High Court Judges residences</w:t>
            </w:r>
          </w:p>
        </w:tc>
        <w:tc>
          <w:tcPr>
            <w:tcW w:w="1843" w:type="dxa"/>
            <w:vAlign w:val="center"/>
            <w:hideMark/>
          </w:tcPr>
          <w:p w14:paraId="286CA92E"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10.55</w:t>
            </w:r>
          </w:p>
        </w:tc>
        <w:tc>
          <w:tcPr>
            <w:tcW w:w="1985" w:type="dxa"/>
            <w:vAlign w:val="center"/>
            <w:hideMark/>
          </w:tcPr>
          <w:p w14:paraId="6BA31BC1"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53A946B7" w14:textId="77777777" w:rsidTr="003E7D62">
        <w:trPr>
          <w:trHeight w:val="20"/>
          <w:jc w:val="center"/>
        </w:trPr>
        <w:tc>
          <w:tcPr>
            <w:tcW w:w="3397" w:type="dxa"/>
            <w:vAlign w:val="center"/>
            <w:hideMark/>
          </w:tcPr>
          <w:p w14:paraId="44C28B1A"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 Hostels</w:t>
            </w:r>
          </w:p>
        </w:tc>
        <w:tc>
          <w:tcPr>
            <w:tcW w:w="1843" w:type="dxa"/>
            <w:vAlign w:val="center"/>
            <w:hideMark/>
          </w:tcPr>
          <w:p w14:paraId="765F4014"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7.03</w:t>
            </w:r>
          </w:p>
        </w:tc>
        <w:tc>
          <w:tcPr>
            <w:tcW w:w="1985" w:type="dxa"/>
            <w:vAlign w:val="center"/>
            <w:hideMark/>
          </w:tcPr>
          <w:p w14:paraId="3F2A4517"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3CDC1FD2" w14:textId="77777777" w:rsidTr="003E7D62">
        <w:trPr>
          <w:trHeight w:val="20"/>
          <w:jc w:val="center"/>
        </w:trPr>
        <w:tc>
          <w:tcPr>
            <w:tcW w:w="3397" w:type="dxa"/>
            <w:vAlign w:val="center"/>
            <w:hideMark/>
          </w:tcPr>
          <w:p w14:paraId="200ABFA3"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3. Residential units of Type-I to type-IV</w:t>
            </w:r>
          </w:p>
        </w:tc>
        <w:tc>
          <w:tcPr>
            <w:tcW w:w="1843" w:type="dxa"/>
            <w:vAlign w:val="center"/>
            <w:hideMark/>
          </w:tcPr>
          <w:p w14:paraId="57668BEE"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4.37</w:t>
            </w:r>
          </w:p>
        </w:tc>
        <w:tc>
          <w:tcPr>
            <w:tcW w:w="1985" w:type="dxa"/>
            <w:vAlign w:val="center"/>
            <w:hideMark/>
          </w:tcPr>
          <w:p w14:paraId="141320C0"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5.32</w:t>
            </w:r>
          </w:p>
        </w:tc>
      </w:tr>
      <w:tr w:rsidR="00441B7E" w:rsidRPr="00C5721F" w14:paraId="59B54585" w14:textId="77777777" w:rsidTr="003E7D62">
        <w:trPr>
          <w:trHeight w:val="20"/>
          <w:jc w:val="center"/>
        </w:trPr>
        <w:tc>
          <w:tcPr>
            <w:tcW w:w="3397" w:type="dxa"/>
            <w:vAlign w:val="center"/>
            <w:hideMark/>
          </w:tcPr>
          <w:p w14:paraId="63BD8C5C"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4. Residential Units of Type-V and above</w:t>
            </w:r>
          </w:p>
        </w:tc>
        <w:tc>
          <w:tcPr>
            <w:tcW w:w="1843" w:type="dxa"/>
            <w:vAlign w:val="center"/>
            <w:hideMark/>
          </w:tcPr>
          <w:p w14:paraId="79BE93CA"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5.32</w:t>
            </w:r>
          </w:p>
        </w:tc>
        <w:tc>
          <w:tcPr>
            <w:tcW w:w="1985" w:type="dxa"/>
            <w:vAlign w:val="center"/>
            <w:hideMark/>
          </w:tcPr>
          <w:p w14:paraId="1F389B94"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6.18</w:t>
            </w:r>
          </w:p>
        </w:tc>
      </w:tr>
      <w:tr w:rsidR="00441B7E" w:rsidRPr="00C5721F" w14:paraId="14D8901D" w14:textId="77777777" w:rsidTr="003E7D62">
        <w:trPr>
          <w:trHeight w:val="20"/>
          <w:jc w:val="center"/>
        </w:trPr>
        <w:tc>
          <w:tcPr>
            <w:tcW w:w="3397" w:type="dxa"/>
            <w:vAlign w:val="center"/>
            <w:hideMark/>
          </w:tcPr>
          <w:p w14:paraId="1A38E778"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b/>
                <w:bCs/>
                <w:sz w:val="14"/>
                <w:szCs w:val="14"/>
              </w:rPr>
              <w:t>Non-Residential Buildings</w:t>
            </w:r>
          </w:p>
        </w:tc>
        <w:tc>
          <w:tcPr>
            <w:tcW w:w="1843" w:type="dxa"/>
            <w:vAlign w:val="center"/>
            <w:hideMark/>
          </w:tcPr>
          <w:p w14:paraId="1414AC81" w14:textId="77777777" w:rsidR="00441B7E" w:rsidRPr="00C5721F" w:rsidRDefault="00441B7E" w:rsidP="00D915A2">
            <w:pPr>
              <w:pStyle w:val="NoSpacing"/>
              <w:jc w:val="center"/>
              <w:rPr>
                <w:rFonts w:ascii="Times New Roman" w:hAnsi="Times New Roman" w:cs="Times New Roman"/>
                <w:sz w:val="14"/>
                <w:szCs w:val="14"/>
              </w:rPr>
            </w:pPr>
          </w:p>
        </w:tc>
        <w:tc>
          <w:tcPr>
            <w:tcW w:w="1985" w:type="dxa"/>
            <w:vAlign w:val="center"/>
            <w:hideMark/>
          </w:tcPr>
          <w:p w14:paraId="782A9665" w14:textId="77777777" w:rsidR="00441B7E" w:rsidRPr="00C5721F" w:rsidRDefault="00441B7E" w:rsidP="00D915A2">
            <w:pPr>
              <w:pStyle w:val="NoSpacing"/>
              <w:jc w:val="center"/>
              <w:rPr>
                <w:rFonts w:ascii="Times New Roman" w:hAnsi="Times New Roman" w:cs="Times New Roman"/>
                <w:sz w:val="14"/>
                <w:szCs w:val="14"/>
              </w:rPr>
            </w:pPr>
          </w:p>
        </w:tc>
      </w:tr>
      <w:tr w:rsidR="00441B7E" w:rsidRPr="00C5721F" w14:paraId="0B9BAA35" w14:textId="77777777" w:rsidTr="003E7D62">
        <w:trPr>
          <w:trHeight w:val="20"/>
          <w:jc w:val="center"/>
        </w:trPr>
        <w:tc>
          <w:tcPr>
            <w:tcW w:w="3397" w:type="dxa"/>
            <w:vAlign w:val="center"/>
            <w:hideMark/>
          </w:tcPr>
          <w:p w14:paraId="531D5FE8"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 Office buildings except North &amp; South Blocks</w:t>
            </w:r>
          </w:p>
        </w:tc>
        <w:tc>
          <w:tcPr>
            <w:tcW w:w="1843" w:type="dxa"/>
            <w:vAlign w:val="center"/>
            <w:hideMark/>
          </w:tcPr>
          <w:p w14:paraId="28F52A0A"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6.18</w:t>
            </w:r>
          </w:p>
        </w:tc>
        <w:tc>
          <w:tcPr>
            <w:tcW w:w="1985" w:type="dxa"/>
            <w:vAlign w:val="center"/>
            <w:hideMark/>
          </w:tcPr>
          <w:p w14:paraId="605A848B"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7.03</w:t>
            </w:r>
          </w:p>
        </w:tc>
      </w:tr>
      <w:tr w:rsidR="00441B7E" w:rsidRPr="00C5721F" w14:paraId="76728664" w14:textId="77777777" w:rsidTr="003E7D62">
        <w:trPr>
          <w:trHeight w:val="20"/>
          <w:jc w:val="center"/>
        </w:trPr>
        <w:tc>
          <w:tcPr>
            <w:tcW w:w="3397" w:type="dxa"/>
            <w:vAlign w:val="center"/>
            <w:hideMark/>
          </w:tcPr>
          <w:p w14:paraId="6DDD6155"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 xml:space="preserve">2. Sansad </w:t>
            </w:r>
            <w:proofErr w:type="spellStart"/>
            <w:r w:rsidRPr="00C5721F">
              <w:rPr>
                <w:rFonts w:ascii="Times New Roman" w:hAnsi="Times New Roman" w:cs="Times New Roman"/>
                <w:sz w:val="14"/>
                <w:szCs w:val="14"/>
              </w:rPr>
              <w:t>Saudha</w:t>
            </w:r>
            <w:proofErr w:type="spellEnd"/>
          </w:p>
        </w:tc>
        <w:tc>
          <w:tcPr>
            <w:tcW w:w="1843" w:type="dxa"/>
            <w:vAlign w:val="center"/>
            <w:hideMark/>
          </w:tcPr>
          <w:p w14:paraId="60EBEEEA"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17.58</w:t>
            </w:r>
          </w:p>
        </w:tc>
        <w:tc>
          <w:tcPr>
            <w:tcW w:w="1985" w:type="dxa"/>
            <w:vAlign w:val="center"/>
            <w:hideMark/>
          </w:tcPr>
          <w:p w14:paraId="56397CB8"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62F79CFC" w14:textId="77777777" w:rsidTr="003E7D62">
        <w:trPr>
          <w:trHeight w:val="20"/>
          <w:jc w:val="center"/>
        </w:trPr>
        <w:tc>
          <w:tcPr>
            <w:tcW w:w="3397" w:type="dxa"/>
            <w:vAlign w:val="center"/>
            <w:hideMark/>
          </w:tcPr>
          <w:p w14:paraId="229AAB95"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3. Temporary Office Buildings</w:t>
            </w:r>
          </w:p>
        </w:tc>
        <w:tc>
          <w:tcPr>
            <w:tcW w:w="1843" w:type="dxa"/>
            <w:vAlign w:val="center"/>
            <w:hideMark/>
          </w:tcPr>
          <w:p w14:paraId="22B53358"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6.18</w:t>
            </w:r>
          </w:p>
        </w:tc>
        <w:tc>
          <w:tcPr>
            <w:tcW w:w="1985" w:type="dxa"/>
            <w:vAlign w:val="center"/>
            <w:hideMark/>
          </w:tcPr>
          <w:p w14:paraId="1C7F83FF"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7.03</w:t>
            </w:r>
          </w:p>
        </w:tc>
      </w:tr>
      <w:tr w:rsidR="00441B7E" w:rsidRPr="00C5721F" w14:paraId="0D3057A5" w14:textId="77777777" w:rsidTr="003E7D62">
        <w:trPr>
          <w:trHeight w:val="20"/>
          <w:jc w:val="center"/>
        </w:trPr>
        <w:tc>
          <w:tcPr>
            <w:tcW w:w="3397" w:type="dxa"/>
            <w:vAlign w:val="center"/>
            <w:hideMark/>
          </w:tcPr>
          <w:p w14:paraId="504E5719"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4. Court Buildings</w:t>
            </w:r>
          </w:p>
        </w:tc>
        <w:tc>
          <w:tcPr>
            <w:tcW w:w="1843" w:type="dxa"/>
            <w:vAlign w:val="center"/>
            <w:hideMark/>
          </w:tcPr>
          <w:p w14:paraId="687034F8"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10.55</w:t>
            </w:r>
          </w:p>
        </w:tc>
        <w:tc>
          <w:tcPr>
            <w:tcW w:w="1985" w:type="dxa"/>
            <w:vAlign w:val="center"/>
            <w:hideMark/>
          </w:tcPr>
          <w:p w14:paraId="33ACF499"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4DB65C74" w14:textId="77777777" w:rsidTr="003E7D62">
        <w:trPr>
          <w:trHeight w:val="20"/>
          <w:jc w:val="center"/>
        </w:trPr>
        <w:tc>
          <w:tcPr>
            <w:tcW w:w="3397" w:type="dxa"/>
            <w:vAlign w:val="center"/>
            <w:hideMark/>
          </w:tcPr>
          <w:p w14:paraId="129F020D"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5. Hospitals</w:t>
            </w:r>
          </w:p>
        </w:tc>
        <w:tc>
          <w:tcPr>
            <w:tcW w:w="1843" w:type="dxa"/>
            <w:vAlign w:val="center"/>
            <w:hideMark/>
          </w:tcPr>
          <w:p w14:paraId="791E6D88"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14.06</w:t>
            </w:r>
          </w:p>
        </w:tc>
        <w:tc>
          <w:tcPr>
            <w:tcW w:w="1985" w:type="dxa"/>
            <w:vAlign w:val="center"/>
            <w:hideMark/>
          </w:tcPr>
          <w:p w14:paraId="1F5CFF2E"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r w:rsidR="00441B7E" w:rsidRPr="00C5721F" w14:paraId="60E078B8" w14:textId="77777777" w:rsidTr="003E7D62">
        <w:trPr>
          <w:trHeight w:val="20"/>
          <w:jc w:val="center"/>
        </w:trPr>
        <w:tc>
          <w:tcPr>
            <w:tcW w:w="3397" w:type="dxa"/>
            <w:vAlign w:val="center"/>
            <w:hideMark/>
          </w:tcPr>
          <w:p w14:paraId="6805B8B0" w14:textId="77777777" w:rsidR="00441B7E" w:rsidRPr="00C5721F" w:rsidRDefault="00441B7E"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6. Dispensaries</w:t>
            </w:r>
          </w:p>
        </w:tc>
        <w:tc>
          <w:tcPr>
            <w:tcW w:w="1843" w:type="dxa"/>
            <w:vAlign w:val="center"/>
            <w:hideMark/>
          </w:tcPr>
          <w:p w14:paraId="3E8B1D04"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10.55</w:t>
            </w:r>
          </w:p>
        </w:tc>
        <w:tc>
          <w:tcPr>
            <w:tcW w:w="1985" w:type="dxa"/>
            <w:vAlign w:val="center"/>
            <w:hideMark/>
          </w:tcPr>
          <w:p w14:paraId="79E4FD90" w14:textId="77777777" w:rsidR="00441B7E" w:rsidRPr="00C5721F" w:rsidRDefault="00441B7E"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w:t>
            </w:r>
          </w:p>
        </w:tc>
      </w:tr>
    </w:tbl>
    <w:p w14:paraId="4CEC1717" w14:textId="632EA1B3" w:rsidR="003E7D62" w:rsidRDefault="00441B7E" w:rsidP="003E7D62">
      <w:pPr>
        <w:spacing w:after="0" w:line="240" w:lineRule="auto"/>
        <w:ind w:left="1440"/>
        <w:rPr>
          <w:rFonts w:ascii="Times New Roman" w:hAnsi="Times New Roman" w:cs="Times New Roman"/>
          <w:sz w:val="16"/>
          <w:szCs w:val="16"/>
        </w:rPr>
      </w:pPr>
      <w:proofErr w:type="gramStart"/>
      <w:r w:rsidRPr="003E7D62">
        <w:rPr>
          <w:rFonts w:ascii="Times New Roman" w:hAnsi="Times New Roman" w:cs="Times New Roman"/>
          <w:sz w:val="16"/>
          <w:szCs w:val="16"/>
        </w:rPr>
        <w:t>Notes :</w:t>
      </w:r>
      <w:proofErr w:type="gramEnd"/>
      <w:r w:rsidR="003E7D62">
        <w:rPr>
          <w:rFonts w:ascii="Times New Roman" w:hAnsi="Times New Roman" w:cs="Times New Roman"/>
          <w:sz w:val="16"/>
          <w:szCs w:val="16"/>
        </w:rPr>
        <w:t xml:space="preserve">   1.    </w:t>
      </w:r>
      <w:r w:rsidRPr="003E7D62">
        <w:rPr>
          <w:rFonts w:ascii="Times New Roman" w:hAnsi="Times New Roman" w:cs="Times New Roman"/>
          <w:sz w:val="16"/>
          <w:szCs w:val="16"/>
        </w:rPr>
        <w:t xml:space="preserve">Since the above rates are for service and repair the average cost indices of both have been taken </w:t>
      </w:r>
    </w:p>
    <w:p w14:paraId="4AA5F462" w14:textId="64751F5B" w:rsidR="00441B7E" w:rsidRPr="003E7D62" w:rsidRDefault="003E7D62" w:rsidP="003E7D62">
      <w:pPr>
        <w:spacing w:after="0" w:line="240" w:lineRule="auto"/>
        <w:ind w:left="1440"/>
        <w:rPr>
          <w:rFonts w:ascii="Times New Roman" w:hAnsi="Times New Roman" w:cs="Times New Roman"/>
          <w:sz w:val="16"/>
          <w:szCs w:val="16"/>
        </w:rPr>
      </w:pPr>
      <w:r>
        <w:rPr>
          <w:rFonts w:ascii="Times New Roman" w:hAnsi="Times New Roman" w:cs="Times New Roman"/>
          <w:sz w:val="16"/>
          <w:szCs w:val="16"/>
        </w:rPr>
        <w:t xml:space="preserve">                     </w:t>
      </w:r>
      <w:r w:rsidR="00441B7E" w:rsidRPr="003E7D62">
        <w:rPr>
          <w:rFonts w:ascii="Times New Roman" w:hAnsi="Times New Roman" w:cs="Times New Roman"/>
          <w:sz w:val="16"/>
          <w:szCs w:val="16"/>
        </w:rPr>
        <w:t>to arrive at present plinth area rates:</w:t>
      </w:r>
      <w:r>
        <w:rPr>
          <w:rFonts w:ascii="Times New Roman" w:hAnsi="Times New Roman" w:cs="Times New Roman"/>
          <w:sz w:val="16"/>
          <w:szCs w:val="16"/>
        </w:rPr>
        <w:t xml:space="preserve"> </w:t>
      </w:r>
      <w:r w:rsidR="00441B7E" w:rsidRPr="003E7D62">
        <w:rPr>
          <w:rFonts w:ascii="Times New Roman" w:hAnsi="Times New Roman" w:cs="Times New Roman"/>
          <w:sz w:val="16"/>
          <w:szCs w:val="16"/>
        </w:rPr>
        <w:t>(138+120)/2 = 129 (258+233)/2 = 245.5</w:t>
      </w:r>
    </w:p>
    <w:p w14:paraId="47B2DA28" w14:textId="77777777" w:rsidR="003E7D62" w:rsidRDefault="00441B7E" w:rsidP="003E7D62">
      <w:pPr>
        <w:numPr>
          <w:ilvl w:val="0"/>
          <w:numId w:val="14"/>
        </w:numPr>
        <w:tabs>
          <w:tab w:val="clear" w:pos="720"/>
        </w:tabs>
        <w:spacing w:after="0" w:line="240" w:lineRule="auto"/>
        <w:ind w:left="2268" w:hanging="283"/>
        <w:rPr>
          <w:rFonts w:ascii="Times New Roman" w:hAnsi="Times New Roman" w:cs="Times New Roman"/>
          <w:sz w:val="16"/>
          <w:szCs w:val="16"/>
        </w:rPr>
      </w:pPr>
      <w:r w:rsidRPr="003E7D62">
        <w:rPr>
          <w:rFonts w:ascii="Times New Roman" w:hAnsi="Times New Roman" w:cs="Times New Roman"/>
          <w:sz w:val="16"/>
          <w:szCs w:val="16"/>
        </w:rPr>
        <w:t xml:space="preserve">These plinth area rates do not cover expenditure on maintenance and running of air conditioning </w:t>
      </w:r>
    </w:p>
    <w:p w14:paraId="5B9D2C17" w14:textId="0EFE2A8B" w:rsidR="00441B7E" w:rsidRPr="003E7D62" w:rsidRDefault="00441B7E" w:rsidP="003E7D62">
      <w:pPr>
        <w:spacing w:after="0" w:line="240" w:lineRule="auto"/>
        <w:ind w:left="2268"/>
        <w:rPr>
          <w:rFonts w:ascii="Times New Roman" w:hAnsi="Times New Roman" w:cs="Times New Roman"/>
          <w:sz w:val="16"/>
          <w:szCs w:val="16"/>
        </w:rPr>
      </w:pPr>
      <w:r w:rsidRPr="003E7D62">
        <w:rPr>
          <w:rFonts w:ascii="Times New Roman" w:hAnsi="Times New Roman" w:cs="Times New Roman"/>
          <w:sz w:val="16"/>
          <w:szCs w:val="16"/>
        </w:rPr>
        <w:t>installations, lifts, pumps and sub-stations.</w:t>
      </w:r>
    </w:p>
    <w:p w14:paraId="37B15C0D" w14:textId="77777777" w:rsidR="00441B7E" w:rsidRPr="003E7D62" w:rsidRDefault="00441B7E" w:rsidP="003E7D62">
      <w:pPr>
        <w:numPr>
          <w:ilvl w:val="0"/>
          <w:numId w:val="14"/>
        </w:numPr>
        <w:tabs>
          <w:tab w:val="clear" w:pos="720"/>
          <w:tab w:val="num" w:pos="2268"/>
        </w:tabs>
        <w:spacing w:after="0" w:line="240" w:lineRule="auto"/>
        <w:ind w:left="2160" w:hanging="175"/>
        <w:rPr>
          <w:rFonts w:ascii="Times New Roman" w:hAnsi="Times New Roman" w:cs="Times New Roman"/>
          <w:sz w:val="16"/>
          <w:szCs w:val="16"/>
        </w:rPr>
      </w:pPr>
      <w:r w:rsidRPr="003E7D62">
        <w:rPr>
          <w:rFonts w:ascii="Times New Roman" w:hAnsi="Times New Roman" w:cs="Times New Roman"/>
          <w:sz w:val="16"/>
          <w:szCs w:val="16"/>
        </w:rPr>
        <w:t>The rates do not include extra amount admissible for maintenance and repairs in hill areas.</w:t>
      </w:r>
    </w:p>
    <w:p w14:paraId="46BCEDB9" w14:textId="70FF6350" w:rsidR="00664558" w:rsidRPr="003E7D62" w:rsidRDefault="00F40027" w:rsidP="003E7D62">
      <w:pPr>
        <w:spacing w:after="0" w:line="240" w:lineRule="auto"/>
        <w:ind w:left="2160"/>
        <w:rPr>
          <w:rFonts w:ascii="Times New Roman" w:hAnsi="Times New Roman" w:cs="Times New Roman"/>
          <w:sz w:val="16"/>
          <w:szCs w:val="16"/>
        </w:rPr>
      </w:pPr>
      <w:proofErr w:type="gramStart"/>
      <w:r w:rsidRPr="003E7D62">
        <w:rPr>
          <w:rFonts w:ascii="Times New Roman" w:hAnsi="Times New Roman" w:cs="Times New Roman"/>
          <w:sz w:val="16"/>
          <w:szCs w:val="16"/>
        </w:rPr>
        <w:t>Source :</w:t>
      </w:r>
      <w:proofErr w:type="gramEnd"/>
      <w:r w:rsidRPr="003E7D62">
        <w:rPr>
          <w:rFonts w:ascii="Times New Roman" w:hAnsi="Times New Roman" w:cs="Times New Roman"/>
          <w:sz w:val="16"/>
          <w:szCs w:val="16"/>
        </w:rPr>
        <w:t xml:space="preserve"> Ministry of Urban Development.</w:t>
      </w:r>
    </w:p>
    <w:p w14:paraId="473B2498" w14:textId="6E063157" w:rsidR="00F40027" w:rsidRPr="003E7D62" w:rsidRDefault="00F40027" w:rsidP="00D915A2">
      <w:pPr>
        <w:pStyle w:val="Heading2"/>
        <w:rPr>
          <w:sz w:val="20"/>
          <w:szCs w:val="20"/>
        </w:rPr>
      </w:pPr>
      <w:bookmarkStart w:id="83" w:name="_Toc221292999"/>
      <w:bookmarkStart w:id="84" w:name="_Toc222399490"/>
      <w:r w:rsidRPr="003E7D62">
        <w:rPr>
          <w:sz w:val="20"/>
          <w:szCs w:val="20"/>
        </w:rPr>
        <w:t>ANNEXURE III.16</w:t>
      </w:r>
      <w:r w:rsidR="00D915A2" w:rsidRPr="003E7D62">
        <w:rPr>
          <w:sz w:val="20"/>
          <w:szCs w:val="20"/>
        </w:rPr>
        <w:br/>
      </w:r>
      <w:r w:rsidRPr="003E7D62">
        <w:rPr>
          <w:sz w:val="20"/>
          <w:szCs w:val="20"/>
        </w:rPr>
        <w:t xml:space="preserve">Provision Assessed </w:t>
      </w:r>
      <w:r w:rsidR="003E7D62" w:rsidRPr="003E7D62">
        <w:rPr>
          <w:sz w:val="20"/>
          <w:szCs w:val="20"/>
        </w:rPr>
        <w:t>for</w:t>
      </w:r>
      <w:r w:rsidRPr="003E7D62">
        <w:rPr>
          <w:sz w:val="20"/>
          <w:szCs w:val="20"/>
        </w:rPr>
        <w:t xml:space="preserve"> Maintenance </w:t>
      </w:r>
      <w:r w:rsidR="003E7D62" w:rsidRPr="003E7D62">
        <w:rPr>
          <w:sz w:val="20"/>
          <w:szCs w:val="20"/>
        </w:rPr>
        <w:t>of</w:t>
      </w:r>
      <w:r w:rsidRPr="003E7D62">
        <w:rPr>
          <w:sz w:val="20"/>
          <w:szCs w:val="20"/>
        </w:rPr>
        <w:t xml:space="preserve"> </w:t>
      </w:r>
      <w:r w:rsidR="003E7D62" w:rsidRPr="003E7D62">
        <w:rPr>
          <w:sz w:val="20"/>
          <w:szCs w:val="20"/>
        </w:rPr>
        <w:t>Buildings:</w:t>
      </w:r>
      <w:r w:rsidRPr="003E7D62">
        <w:rPr>
          <w:sz w:val="20"/>
          <w:szCs w:val="20"/>
        </w:rPr>
        <w:t xml:space="preserve"> 1990-95</w:t>
      </w:r>
      <w:bookmarkEnd w:id="83"/>
      <w:bookmarkEnd w:id="84"/>
    </w:p>
    <w:p w14:paraId="1287950E" w14:textId="766DF487" w:rsidR="00D915A2" w:rsidRPr="003E7D62" w:rsidRDefault="00D915A2" w:rsidP="00F40027">
      <w:pPr>
        <w:pStyle w:val="NoSpacing"/>
        <w:jc w:val="center"/>
        <w:rPr>
          <w:rFonts w:ascii="Times New Roman" w:hAnsi="Times New Roman" w:cs="Times New Roman"/>
          <w:i/>
          <w:iCs/>
          <w:sz w:val="18"/>
          <w:szCs w:val="16"/>
        </w:rPr>
      </w:pPr>
      <w:r w:rsidRPr="003E7D62">
        <w:rPr>
          <w:rFonts w:ascii="Times New Roman" w:hAnsi="Times New Roman" w:cs="Times New Roman"/>
          <w:i/>
          <w:iCs/>
          <w:sz w:val="18"/>
          <w:szCs w:val="16"/>
        </w:rPr>
        <w:t>(Para 3.54)</w:t>
      </w:r>
    </w:p>
    <w:p w14:paraId="64F786C2" w14:textId="2576522C" w:rsidR="00F40027" w:rsidRPr="00D915A2" w:rsidRDefault="00F40027" w:rsidP="003E7D62">
      <w:pPr>
        <w:pStyle w:val="NoSpacing"/>
        <w:ind w:left="5760" w:firstLine="720"/>
        <w:jc w:val="center"/>
        <w:rPr>
          <w:rFonts w:ascii="Times New Roman" w:hAnsi="Times New Roman" w:cs="Times New Roman"/>
          <w:sz w:val="18"/>
          <w:szCs w:val="16"/>
        </w:rPr>
      </w:pPr>
      <w:r w:rsidRPr="00D915A2">
        <w:rPr>
          <w:rFonts w:ascii="Times New Roman" w:hAnsi="Times New Roman" w:cs="Times New Roman"/>
          <w:i/>
          <w:iCs/>
          <w:sz w:val="18"/>
          <w:szCs w:val="16"/>
        </w:rPr>
        <w:t>(Rs. Lakh)</w:t>
      </w:r>
    </w:p>
    <w:tbl>
      <w:tblPr>
        <w:tblStyle w:val="TableGrid"/>
        <w:tblW w:w="7650" w:type="dxa"/>
        <w:jc w:val="center"/>
        <w:tblLook w:val="04A0" w:firstRow="1" w:lastRow="0" w:firstColumn="1" w:lastColumn="0" w:noHBand="0" w:noVBand="1"/>
      </w:tblPr>
      <w:tblGrid>
        <w:gridCol w:w="1838"/>
        <w:gridCol w:w="992"/>
        <w:gridCol w:w="993"/>
        <w:gridCol w:w="992"/>
        <w:gridCol w:w="850"/>
        <w:gridCol w:w="993"/>
        <w:gridCol w:w="992"/>
      </w:tblGrid>
      <w:tr w:rsidR="00F40027" w:rsidRPr="00C5721F" w14:paraId="74E20839" w14:textId="77777777" w:rsidTr="003E7D62">
        <w:trPr>
          <w:trHeight w:val="20"/>
          <w:jc w:val="center"/>
        </w:trPr>
        <w:tc>
          <w:tcPr>
            <w:tcW w:w="1838" w:type="dxa"/>
            <w:vAlign w:val="center"/>
            <w:hideMark/>
          </w:tcPr>
          <w:p w14:paraId="06F9B153" w14:textId="77777777" w:rsidR="00F40027" w:rsidRPr="00C5721F" w:rsidRDefault="00F40027" w:rsidP="00D915A2">
            <w:pPr>
              <w:pStyle w:val="NoSpacing"/>
              <w:rPr>
                <w:rFonts w:ascii="Times New Roman" w:hAnsi="Times New Roman" w:cs="Times New Roman"/>
                <w:b/>
                <w:bCs/>
                <w:sz w:val="14"/>
                <w:szCs w:val="14"/>
              </w:rPr>
            </w:pPr>
            <w:r w:rsidRPr="00C5721F">
              <w:rPr>
                <w:rFonts w:ascii="Times New Roman" w:hAnsi="Times New Roman" w:cs="Times New Roman"/>
                <w:b/>
                <w:bCs/>
                <w:sz w:val="14"/>
                <w:szCs w:val="14"/>
              </w:rPr>
              <w:t>STATES</w:t>
            </w:r>
          </w:p>
        </w:tc>
        <w:tc>
          <w:tcPr>
            <w:tcW w:w="992" w:type="dxa"/>
            <w:vAlign w:val="center"/>
            <w:hideMark/>
          </w:tcPr>
          <w:p w14:paraId="34145F65" w14:textId="77777777" w:rsidR="00F40027" w:rsidRPr="00C5721F" w:rsidRDefault="00F40027"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1990-91</w:t>
            </w:r>
          </w:p>
        </w:tc>
        <w:tc>
          <w:tcPr>
            <w:tcW w:w="993" w:type="dxa"/>
            <w:vAlign w:val="center"/>
            <w:hideMark/>
          </w:tcPr>
          <w:p w14:paraId="0C9C7FE9" w14:textId="77777777" w:rsidR="00F40027" w:rsidRPr="00C5721F" w:rsidRDefault="00F40027"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1991-92</w:t>
            </w:r>
          </w:p>
        </w:tc>
        <w:tc>
          <w:tcPr>
            <w:tcW w:w="992" w:type="dxa"/>
            <w:vAlign w:val="center"/>
            <w:hideMark/>
          </w:tcPr>
          <w:p w14:paraId="6AE3B56E" w14:textId="77777777" w:rsidR="00F40027" w:rsidRPr="00C5721F" w:rsidRDefault="00F40027"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1992-93</w:t>
            </w:r>
          </w:p>
        </w:tc>
        <w:tc>
          <w:tcPr>
            <w:tcW w:w="850" w:type="dxa"/>
            <w:vAlign w:val="center"/>
            <w:hideMark/>
          </w:tcPr>
          <w:p w14:paraId="3CB4281C" w14:textId="77777777" w:rsidR="00F40027" w:rsidRPr="00C5721F" w:rsidRDefault="00F40027"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1993-94</w:t>
            </w:r>
          </w:p>
        </w:tc>
        <w:tc>
          <w:tcPr>
            <w:tcW w:w="993" w:type="dxa"/>
            <w:vAlign w:val="center"/>
            <w:hideMark/>
          </w:tcPr>
          <w:p w14:paraId="66738A6B" w14:textId="77777777" w:rsidR="00F40027" w:rsidRPr="00C5721F" w:rsidRDefault="00F40027"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1994-95</w:t>
            </w:r>
          </w:p>
        </w:tc>
        <w:tc>
          <w:tcPr>
            <w:tcW w:w="992" w:type="dxa"/>
            <w:vAlign w:val="center"/>
            <w:hideMark/>
          </w:tcPr>
          <w:p w14:paraId="79921950" w14:textId="77777777" w:rsidR="00F40027" w:rsidRPr="00C5721F" w:rsidRDefault="00F40027" w:rsidP="00D915A2">
            <w:pPr>
              <w:pStyle w:val="NoSpacing"/>
              <w:jc w:val="center"/>
              <w:rPr>
                <w:rFonts w:ascii="Times New Roman" w:hAnsi="Times New Roman" w:cs="Times New Roman"/>
                <w:b/>
                <w:bCs/>
                <w:sz w:val="14"/>
                <w:szCs w:val="14"/>
              </w:rPr>
            </w:pPr>
            <w:r w:rsidRPr="00C5721F">
              <w:rPr>
                <w:rFonts w:ascii="Times New Roman" w:hAnsi="Times New Roman" w:cs="Times New Roman"/>
                <w:b/>
                <w:bCs/>
                <w:sz w:val="14"/>
                <w:szCs w:val="14"/>
              </w:rPr>
              <w:t>1990-95</w:t>
            </w:r>
          </w:p>
        </w:tc>
      </w:tr>
      <w:tr w:rsidR="00F40027" w:rsidRPr="00C5721F" w14:paraId="4AC9C55C" w14:textId="77777777" w:rsidTr="003E7D62">
        <w:trPr>
          <w:trHeight w:val="20"/>
          <w:jc w:val="center"/>
        </w:trPr>
        <w:tc>
          <w:tcPr>
            <w:tcW w:w="1838" w:type="dxa"/>
            <w:vAlign w:val="center"/>
            <w:hideMark/>
          </w:tcPr>
          <w:p w14:paraId="1E625DC8"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 Andhra Pradesh</w:t>
            </w:r>
          </w:p>
        </w:tc>
        <w:tc>
          <w:tcPr>
            <w:tcW w:w="992" w:type="dxa"/>
            <w:vAlign w:val="center"/>
            <w:hideMark/>
          </w:tcPr>
          <w:p w14:paraId="3EB48AD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1959</w:t>
            </w:r>
          </w:p>
        </w:tc>
        <w:tc>
          <w:tcPr>
            <w:tcW w:w="993" w:type="dxa"/>
            <w:vAlign w:val="center"/>
            <w:hideMark/>
          </w:tcPr>
          <w:p w14:paraId="2F40058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2253</w:t>
            </w:r>
          </w:p>
        </w:tc>
        <w:tc>
          <w:tcPr>
            <w:tcW w:w="992" w:type="dxa"/>
            <w:vAlign w:val="center"/>
            <w:hideMark/>
          </w:tcPr>
          <w:p w14:paraId="462092D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2591</w:t>
            </w:r>
          </w:p>
        </w:tc>
        <w:tc>
          <w:tcPr>
            <w:tcW w:w="850" w:type="dxa"/>
            <w:vAlign w:val="center"/>
            <w:hideMark/>
          </w:tcPr>
          <w:p w14:paraId="6AAEF010"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2979</w:t>
            </w:r>
          </w:p>
        </w:tc>
        <w:tc>
          <w:tcPr>
            <w:tcW w:w="993" w:type="dxa"/>
            <w:vAlign w:val="center"/>
            <w:hideMark/>
          </w:tcPr>
          <w:p w14:paraId="543C9677"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3426</w:t>
            </w:r>
          </w:p>
        </w:tc>
        <w:tc>
          <w:tcPr>
            <w:tcW w:w="992" w:type="dxa"/>
            <w:vAlign w:val="center"/>
            <w:hideMark/>
          </w:tcPr>
          <w:p w14:paraId="3365285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13208</w:t>
            </w:r>
          </w:p>
        </w:tc>
      </w:tr>
      <w:tr w:rsidR="00F40027" w:rsidRPr="00C5721F" w14:paraId="4576B484" w14:textId="77777777" w:rsidTr="003E7D62">
        <w:trPr>
          <w:trHeight w:val="20"/>
          <w:jc w:val="center"/>
        </w:trPr>
        <w:tc>
          <w:tcPr>
            <w:tcW w:w="1838" w:type="dxa"/>
            <w:vAlign w:val="center"/>
            <w:hideMark/>
          </w:tcPr>
          <w:p w14:paraId="39A52AE5"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 Arunachal Pradesh</w:t>
            </w:r>
          </w:p>
        </w:tc>
        <w:tc>
          <w:tcPr>
            <w:tcW w:w="992" w:type="dxa"/>
            <w:vAlign w:val="center"/>
            <w:hideMark/>
          </w:tcPr>
          <w:p w14:paraId="106B702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396</w:t>
            </w:r>
          </w:p>
        </w:tc>
        <w:tc>
          <w:tcPr>
            <w:tcW w:w="993" w:type="dxa"/>
            <w:vAlign w:val="center"/>
            <w:hideMark/>
          </w:tcPr>
          <w:p w14:paraId="04BB582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455</w:t>
            </w:r>
          </w:p>
        </w:tc>
        <w:tc>
          <w:tcPr>
            <w:tcW w:w="992" w:type="dxa"/>
            <w:vAlign w:val="center"/>
            <w:hideMark/>
          </w:tcPr>
          <w:p w14:paraId="22316F9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523</w:t>
            </w:r>
          </w:p>
        </w:tc>
        <w:tc>
          <w:tcPr>
            <w:tcW w:w="850" w:type="dxa"/>
            <w:vAlign w:val="center"/>
            <w:hideMark/>
          </w:tcPr>
          <w:p w14:paraId="5D91C54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602</w:t>
            </w:r>
          </w:p>
        </w:tc>
        <w:tc>
          <w:tcPr>
            <w:tcW w:w="993" w:type="dxa"/>
            <w:vAlign w:val="center"/>
            <w:hideMark/>
          </w:tcPr>
          <w:p w14:paraId="3C49DFB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692</w:t>
            </w:r>
          </w:p>
        </w:tc>
        <w:tc>
          <w:tcPr>
            <w:tcW w:w="992" w:type="dxa"/>
            <w:vAlign w:val="center"/>
            <w:hideMark/>
          </w:tcPr>
          <w:p w14:paraId="7918BF7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2668</w:t>
            </w:r>
          </w:p>
        </w:tc>
      </w:tr>
      <w:tr w:rsidR="00F40027" w:rsidRPr="00C5721F" w14:paraId="4FAA0810" w14:textId="77777777" w:rsidTr="003E7D62">
        <w:trPr>
          <w:trHeight w:val="20"/>
          <w:jc w:val="center"/>
        </w:trPr>
        <w:tc>
          <w:tcPr>
            <w:tcW w:w="1838" w:type="dxa"/>
            <w:vAlign w:val="center"/>
            <w:hideMark/>
          </w:tcPr>
          <w:p w14:paraId="75F7F5E8"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3. Assam</w:t>
            </w:r>
          </w:p>
        </w:tc>
        <w:tc>
          <w:tcPr>
            <w:tcW w:w="992" w:type="dxa"/>
            <w:vAlign w:val="center"/>
            <w:hideMark/>
          </w:tcPr>
          <w:p w14:paraId="44A1A9D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851</w:t>
            </w:r>
          </w:p>
        </w:tc>
        <w:tc>
          <w:tcPr>
            <w:tcW w:w="993" w:type="dxa"/>
            <w:vAlign w:val="center"/>
            <w:hideMark/>
          </w:tcPr>
          <w:p w14:paraId="08FD4798"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945</w:t>
            </w:r>
          </w:p>
        </w:tc>
        <w:tc>
          <w:tcPr>
            <w:tcW w:w="992" w:type="dxa"/>
            <w:vAlign w:val="center"/>
            <w:hideMark/>
          </w:tcPr>
          <w:p w14:paraId="77B0455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1049</w:t>
            </w:r>
          </w:p>
        </w:tc>
        <w:tc>
          <w:tcPr>
            <w:tcW w:w="850" w:type="dxa"/>
            <w:vAlign w:val="center"/>
            <w:hideMark/>
          </w:tcPr>
          <w:p w14:paraId="40602FF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1164</w:t>
            </w:r>
          </w:p>
        </w:tc>
        <w:tc>
          <w:tcPr>
            <w:tcW w:w="993" w:type="dxa"/>
            <w:vAlign w:val="center"/>
            <w:hideMark/>
          </w:tcPr>
          <w:p w14:paraId="451D9E4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1292</w:t>
            </w:r>
          </w:p>
        </w:tc>
        <w:tc>
          <w:tcPr>
            <w:tcW w:w="992" w:type="dxa"/>
            <w:vAlign w:val="center"/>
            <w:hideMark/>
          </w:tcPr>
          <w:p w14:paraId="1C4CF6F0"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5301</w:t>
            </w:r>
          </w:p>
        </w:tc>
      </w:tr>
      <w:tr w:rsidR="00F40027" w:rsidRPr="00C5721F" w14:paraId="557C78F4" w14:textId="77777777" w:rsidTr="003E7D62">
        <w:trPr>
          <w:trHeight w:val="20"/>
          <w:jc w:val="center"/>
        </w:trPr>
        <w:tc>
          <w:tcPr>
            <w:tcW w:w="1838" w:type="dxa"/>
            <w:vAlign w:val="center"/>
            <w:hideMark/>
          </w:tcPr>
          <w:p w14:paraId="49043477"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4. Bihar</w:t>
            </w:r>
          </w:p>
        </w:tc>
        <w:tc>
          <w:tcPr>
            <w:tcW w:w="992" w:type="dxa"/>
            <w:vAlign w:val="center"/>
            <w:hideMark/>
          </w:tcPr>
          <w:p w14:paraId="415D8D3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2898</w:t>
            </w:r>
          </w:p>
        </w:tc>
        <w:tc>
          <w:tcPr>
            <w:tcW w:w="993" w:type="dxa"/>
            <w:vAlign w:val="center"/>
            <w:hideMark/>
          </w:tcPr>
          <w:p w14:paraId="3CFFB54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3014</w:t>
            </w:r>
          </w:p>
        </w:tc>
        <w:tc>
          <w:tcPr>
            <w:tcW w:w="992" w:type="dxa"/>
            <w:vAlign w:val="center"/>
            <w:hideMark/>
          </w:tcPr>
          <w:p w14:paraId="38DB0C8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3134</w:t>
            </w:r>
          </w:p>
        </w:tc>
        <w:tc>
          <w:tcPr>
            <w:tcW w:w="850" w:type="dxa"/>
            <w:vAlign w:val="center"/>
            <w:hideMark/>
          </w:tcPr>
          <w:p w14:paraId="467CBB2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3260</w:t>
            </w:r>
          </w:p>
        </w:tc>
        <w:tc>
          <w:tcPr>
            <w:tcW w:w="993" w:type="dxa"/>
            <w:vAlign w:val="center"/>
            <w:hideMark/>
          </w:tcPr>
          <w:p w14:paraId="3A23FF9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3390</w:t>
            </w:r>
          </w:p>
        </w:tc>
        <w:tc>
          <w:tcPr>
            <w:tcW w:w="992" w:type="dxa"/>
            <w:vAlign w:val="center"/>
            <w:hideMark/>
          </w:tcPr>
          <w:p w14:paraId="1211F1F8"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15696</w:t>
            </w:r>
          </w:p>
        </w:tc>
      </w:tr>
      <w:tr w:rsidR="00F40027" w:rsidRPr="00C5721F" w14:paraId="2BA3536E" w14:textId="77777777" w:rsidTr="003E7D62">
        <w:trPr>
          <w:trHeight w:val="20"/>
          <w:jc w:val="center"/>
        </w:trPr>
        <w:tc>
          <w:tcPr>
            <w:tcW w:w="1838" w:type="dxa"/>
            <w:vAlign w:val="center"/>
            <w:hideMark/>
          </w:tcPr>
          <w:p w14:paraId="23391BE2"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5. Goa</w:t>
            </w:r>
          </w:p>
        </w:tc>
        <w:tc>
          <w:tcPr>
            <w:tcW w:w="992" w:type="dxa"/>
            <w:vAlign w:val="center"/>
            <w:hideMark/>
          </w:tcPr>
          <w:p w14:paraId="60EF6E8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168</w:t>
            </w:r>
          </w:p>
        </w:tc>
        <w:tc>
          <w:tcPr>
            <w:tcW w:w="993" w:type="dxa"/>
            <w:vAlign w:val="center"/>
            <w:hideMark/>
          </w:tcPr>
          <w:p w14:paraId="5C6F876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193</w:t>
            </w:r>
          </w:p>
        </w:tc>
        <w:tc>
          <w:tcPr>
            <w:tcW w:w="992" w:type="dxa"/>
            <w:vAlign w:val="center"/>
            <w:hideMark/>
          </w:tcPr>
          <w:p w14:paraId="3DA994B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222</w:t>
            </w:r>
          </w:p>
        </w:tc>
        <w:tc>
          <w:tcPr>
            <w:tcW w:w="850" w:type="dxa"/>
            <w:vAlign w:val="center"/>
            <w:hideMark/>
          </w:tcPr>
          <w:p w14:paraId="2DBC043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256</w:t>
            </w:r>
          </w:p>
        </w:tc>
        <w:tc>
          <w:tcPr>
            <w:tcW w:w="993" w:type="dxa"/>
            <w:vAlign w:val="center"/>
            <w:hideMark/>
          </w:tcPr>
          <w:p w14:paraId="20FA2E2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294</w:t>
            </w:r>
          </w:p>
        </w:tc>
        <w:tc>
          <w:tcPr>
            <w:tcW w:w="992" w:type="dxa"/>
            <w:vAlign w:val="center"/>
            <w:hideMark/>
          </w:tcPr>
          <w:p w14:paraId="38C9AA9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1133</w:t>
            </w:r>
          </w:p>
        </w:tc>
      </w:tr>
      <w:tr w:rsidR="00F40027" w:rsidRPr="00C5721F" w14:paraId="4CA33413" w14:textId="77777777" w:rsidTr="003E7D62">
        <w:trPr>
          <w:trHeight w:val="20"/>
          <w:jc w:val="center"/>
        </w:trPr>
        <w:tc>
          <w:tcPr>
            <w:tcW w:w="1838" w:type="dxa"/>
            <w:vAlign w:val="center"/>
            <w:hideMark/>
          </w:tcPr>
          <w:p w14:paraId="33C4693F"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6. Gujarat</w:t>
            </w:r>
          </w:p>
        </w:tc>
        <w:tc>
          <w:tcPr>
            <w:tcW w:w="992" w:type="dxa"/>
            <w:vAlign w:val="center"/>
            <w:hideMark/>
          </w:tcPr>
          <w:p w14:paraId="110657E7"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2403</w:t>
            </w:r>
          </w:p>
        </w:tc>
        <w:tc>
          <w:tcPr>
            <w:tcW w:w="993" w:type="dxa"/>
            <w:vAlign w:val="center"/>
            <w:hideMark/>
          </w:tcPr>
          <w:p w14:paraId="3B66ED5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2764</w:t>
            </w:r>
          </w:p>
        </w:tc>
        <w:tc>
          <w:tcPr>
            <w:tcW w:w="992" w:type="dxa"/>
            <w:vAlign w:val="center"/>
            <w:hideMark/>
          </w:tcPr>
          <w:p w14:paraId="76AD0EA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3178</w:t>
            </w:r>
          </w:p>
        </w:tc>
        <w:tc>
          <w:tcPr>
            <w:tcW w:w="850" w:type="dxa"/>
            <w:vAlign w:val="center"/>
            <w:hideMark/>
          </w:tcPr>
          <w:p w14:paraId="681919C0"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3655</w:t>
            </w:r>
          </w:p>
        </w:tc>
        <w:tc>
          <w:tcPr>
            <w:tcW w:w="993" w:type="dxa"/>
            <w:vAlign w:val="center"/>
            <w:hideMark/>
          </w:tcPr>
          <w:p w14:paraId="25FDD45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4203</w:t>
            </w:r>
          </w:p>
        </w:tc>
        <w:tc>
          <w:tcPr>
            <w:tcW w:w="992" w:type="dxa"/>
            <w:vAlign w:val="center"/>
            <w:hideMark/>
          </w:tcPr>
          <w:p w14:paraId="15C89FB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16203</w:t>
            </w:r>
          </w:p>
        </w:tc>
      </w:tr>
      <w:tr w:rsidR="00F40027" w:rsidRPr="00C5721F" w14:paraId="5BD11C5F" w14:textId="77777777" w:rsidTr="003E7D62">
        <w:trPr>
          <w:trHeight w:val="20"/>
          <w:jc w:val="center"/>
        </w:trPr>
        <w:tc>
          <w:tcPr>
            <w:tcW w:w="1838" w:type="dxa"/>
            <w:vAlign w:val="center"/>
            <w:hideMark/>
          </w:tcPr>
          <w:p w14:paraId="2C119086"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7. Haryana</w:t>
            </w:r>
          </w:p>
        </w:tc>
        <w:tc>
          <w:tcPr>
            <w:tcW w:w="992" w:type="dxa"/>
            <w:vAlign w:val="center"/>
            <w:hideMark/>
          </w:tcPr>
          <w:p w14:paraId="38E2336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597</w:t>
            </w:r>
          </w:p>
        </w:tc>
        <w:tc>
          <w:tcPr>
            <w:tcW w:w="993" w:type="dxa"/>
            <w:vAlign w:val="center"/>
            <w:hideMark/>
          </w:tcPr>
          <w:p w14:paraId="58DBD92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686</w:t>
            </w:r>
          </w:p>
        </w:tc>
        <w:tc>
          <w:tcPr>
            <w:tcW w:w="992" w:type="dxa"/>
            <w:vAlign w:val="center"/>
            <w:hideMark/>
          </w:tcPr>
          <w:p w14:paraId="05259C7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789</w:t>
            </w:r>
          </w:p>
        </w:tc>
        <w:tc>
          <w:tcPr>
            <w:tcW w:w="850" w:type="dxa"/>
            <w:vAlign w:val="center"/>
            <w:hideMark/>
          </w:tcPr>
          <w:p w14:paraId="0EF0FE3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908</w:t>
            </w:r>
          </w:p>
        </w:tc>
        <w:tc>
          <w:tcPr>
            <w:tcW w:w="993" w:type="dxa"/>
            <w:vAlign w:val="center"/>
            <w:hideMark/>
          </w:tcPr>
          <w:p w14:paraId="4E5459AB"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1044</w:t>
            </w:r>
          </w:p>
        </w:tc>
        <w:tc>
          <w:tcPr>
            <w:tcW w:w="992" w:type="dxa"/>
            <w:vAlign w:val="center"/>
            <w:hideMark/>
          </w:tcPr>
          <w:p w14:paraId="1500D3F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4024</w:t>
            </w:r>
          </w:p>
        </w:tc>
      </w:tr>
      <w:tr w:rsidR="00F40027" w:rsidRPr="00C5721F" w14:paraId="289F7D7F" w14:textId="77777777" w:rsidTr="003E7D62">
        <w:trPr>
          <w:trHeight w:val="20"/>
          <w:jc w:val="center"/>
        </w:trPr>
        <w:tc>
          <w:tcPr>
            <w:tcW w:w="1838" w:type="dxa"/>
            <w:vAlign w:val="center"/>
            <w:hideMark/>
          </w:tcPr>
          <w:p w14:paraId="003A60B3"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8. Himachal Pradesh</w:t>
            </w:r>
          </w:p>
        </w:tc>
        <w:tc>
          <w:tcPr>
            <w:tcW w:w="992" w:type="dxa"/>
            <w:vAlign w:val="center"/>
            <w:hideMark/>
          </w:tcPr>
          <w:p w14:paraId="5A9C73F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543</w:t>
            </w:r>
          </w:p>
        </w:tc>
        <w:tc>
          <w:tcPr>
            <w:tcW w:w="993" w:type="dxa"/>
            <w:vAlign w:val="center"/>
            <w:hideMark/>
          </w:tcPr>
          <w:p w14:paraId="3F1A9D4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673</w:t>
            </w:r>
          </w:p>
        </w:tc>
        <w:tc>
          <w:tcPr>
            <w:tcW w:w="992" w:type="dxa"/>
            <w:vAlign w:val="center"/>
            <w:hideMark/>
          </w:tcPr>
          <w:p w14:paraId="7B0FC7D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834</w:t>
            </w:r>
          </w:p>
        </w:tc>
        <w:tc>
          <w:tcPr>
            <w:tcW w:w="850" w:type="dxa"/>
            <w:vAlign w:val="center"/>
            <w:hideMark/>
          </w:tcPr>
          <w:p w14:paraId="27734FC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1035</w:t>
            </w:r>
          </w:p>
        </w:tc>
        <w:tc>
          <w:tcPr>
            <w:tcW w:w="993" w:type="dxa"/>
            <w:vAlign w:val="center"/>
            <w:hideMark/>
          </w:tcPr>
          <w:p w14:paraId="0DC8BE7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1283</w:t>
            </w:r>
          </w:p>
        </w:tc>
        <w:tc>
          <w:tcPr>
            <w:tcW w:w="992" w:type="dxa"/>
            <w:vAlign w:val="center"/>
            <w:hideMark/>
          </w:tcPr>
          <w:p w14:paraId="693EC88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4368</w:t>
            </w:r>
          </w:p>
        </w:tc>
      </w:tr>
      <w:tr w:rsidR="00F40027" w:rsidRPr="00C5721F" w14:paraId="4771D598" w14:textId="77777777" w:rsidTr="003E7D62">
        <w:trPr>
          <w:trHeight w:val="20"/>
          <w:jc w:val="center"/>
        </w:trPr>
        <w:tc>
          <w:tcPr>
            <w:tcW w:w="1838" w:type="dxa"/>
            <w:vAlign w:val="center"/>
            <w:hideMark/>
          </w:tcPr>
          <w:p w14:paraId="099E2930"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9. Jammu &amp; Kashmir</w:t>
            </w:r>
          </w:p>
        </w:tc>
        <w:tc>
          <w:tcPr>
            <w:tcW w:w="992" w:type="dxa"/>
            <w:vAlign w:val="center"/>
            <w:hideMark/>
          </w:tcPr>
          <w:p w14:paraId="139EC4D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409</w:t>
            </w:r>
          </w:p>
        </w:tc>
        <w:tc>
          <w:tcPr>
            <w:tcW w:w="993" w:type="dxa"/>
            <w:vAlign w:val="center"/>
            <w:hideMark/>
          </w:tcPr>
          <w:p w14:paraId="4CF1707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552</w:t>
            </w:r>
          </w:p>
        </w:tc>
        <w:tc>
          <w:tcPr>
            <w:tcW w:w="992" w:type="dxa"/>
            <w:vAlign w:val="center"/>
            <w:hideMark/>
          </w:tcPr>
          <w:p w14:paraId="6574B70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745</w:t>
            </w:r>
          </w:p>
        </w:tc>
        <w:tc>
          <w:tcPr>
            <w:tcW w:w="850" w:type="dxa"/>
            <w:vAlign w:val="center"/>
            <w:hideMark/>
          </w:tcPr>
          <w:p w14:paraId="499EAF6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1006</w:t>
            </w:r>
          </w:p>
        </w:tc>
        <w:tc>
          <w:tcPr>
            <w:tcW w:w="993" w:type="dxa"/>
            <w:vAlign w:val="center"/>
            <w:hideMark/>
          </w:tcPr>
          <w:p w14:paraId="67BB17A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1358</w:t>
            </w:r>
          </w:p>
        </w:tc>
        <w:tc>
          <w:tcPr>
            <w:tcW w:w="992" w:type="dxa"/>
            <w:vAlign w:val="center"/>
            <w:hideMark/>
          </w:tcPr>
          <w:p w14:paraId="0F86F50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4070</w:t>
            </w:r>
          </w:p>
        </w:tc>
      </w:tr>
      <w:tr w:rsidR="00F40027" w:rsidRPr="00C5721F" w14:paraId="2A093AB3" w14:textId="77777777" w:rsidTr="003E7D62">
        <w:trPr>
          <w:trHeight w:val="20"/>
          <w:jc w:val="center"/>
        </w:trPr>
        <w:tc>
          <w:tcPr>
            <w:tcW w:w="1838" w:type="dxa"/>
            <w:vAlign w:val="center"/>
            <w:hideMark/>
          </w:tcPr>
          <w:p w14:paraId="751C04D4"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10. Karnataka</w:t>
            </w:r>
          </w:p>
        </w:tc>
        <w:tc>
          <w:tcPr>
            <w:tcW w:w="992" w:type="dxa"/>
            <w:vAlign w:val="center"/>
            <w:hideMark/>
          </w:tcPr>
          <w:p w14:paraId="4EF2265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1211</w:t>
            </w:r>
          </w:p>
        </w:tc>
        <w:tc>
          <w:tcPr>
            <w:tcW w:w="993" w:type="dxa"/>
            <w:vAlign w:val="center"/>
            <w:hideMark/>
          </w:tcPr>
          <w:p w14:paraId="3AB58BA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1538</w:t>
            </w:r>
          </w:p>
        </w:tc>
        <w:tc>
          <w:tcPr>
            <w:tcW w:w="992" w:type="dxa"/>
            <w:vAlign w:val="center"/>
            <w:hideMark/>
          </w:tcPr>
          <w:p w14:paraId="61BC754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1953</w:t>
            </w:r>
          </w:p>
        </w:tc>
        <w:tc>
          <w:tcPr>
            <w:tcW w:w="850" w:type="dxa"/>
            <w:vAlign w:val="center"/>
            <w:hideMark/>
          </w:tcPr>
          <w:p w14:paraId="15EB907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2480</w:t>
            </w:r>
          </w:p>
        </w:tc>
        <w:tc>
          <w:tcPr>
            <w:tcW w:w="993" w:type="dxa"/>
            <w:vAlign w:val="center"/>
            <w:hideMark/>
          </w:tcPr>
          <w:p w14:paraId="0912DCA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3150</w:t>
            </w:r>
          </w:p>
        </w:tc>
        <w:tc>
          <w:tcPr>
            <w:tcW w:w="992" w:type="dxa"/>
            <w:vAlign w:val="center"/>
            <w:hideMark/>
          </w:tcPr>
          <w:p w14:paraId="33A708C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10332</w:t>
            </w:r>
          </w:p>
        </w:tc>
      </w:tr>
      <w:tr w:rsidR="00F40027" w:rsidRPr="00C5721F" w14:paraId="4D8EEDC0" w14:textId="77777777" w:rsidTr="003E7D62">
        <w:trPr>
          <w:trHeight w:val="20"/>
          <w:jc w:val="center"/>
        </w:trPr>
        <w:tc>
          <w:tcPr>
            <w:tcW w:w="1838" w:type="dxa"/>
            <w:vAlign w:val="center"/>
            <w:hideMark/>
          </w:tcPr>
          <w:p w14:paraId="3F1DAE88"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11. Kerala</w:t>
            </w:r>
          </w:p>
        </w:tc>
        <w:tc>
          <w:tcPr>
            <w:tcW w:w="992" w:type="dxa"/>
            <w:vAlign w:val="center"/>
            <w:hideMark/>
          </w:tcPr>
          <w:p w14:paraId="70BD788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958</w:t>
            </w:r>
          </w:p>
        </w:tc>
        <w:tc>
          <w:tcPr>
            <w:tcW w:w="993" w:type="dxa"/>
            <w:vAlign w:val="center"/>
            <w:hideMark/>
          </w:tcPr>
          <w:p w14:paraId="2FC5230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1102</w:t>
            </w:r>
          </w:p>
        </w:tc>
        <w:tc>
          <w:tcPr>
            <w:tcW w:w="992" w:type="dxa"/>
            <w:vAlign w:val="center"/>
            <w:hideMark/>
          </w:tcPr>
          <w:p w14:paraId="38DD19CF"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1267</w:t>
            </w:r>
          </w:p>
        </w:tc>
        <w:tc>
          <w:tcPr>
            <w:tcW w:w="850" w:type="dxa"/>
            <w:vAlign w:val="center"/>
            <w:hideMark/>
          </w:tcPr>
          <w:p w14:paraId="1533ED5F"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1457</w:t>
            </w:r>
          </w:p>
        </w:tc>
        <w:tc>
          <w:tcPr>
            <w:tcW w:w="993" w:type="dxa"/>
            <w:vAlign w:val="center"/>
            <w:hideMark/>
          </w:tcPr>
          <w:p w14:paraId="042620D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1676</w:t>
            </w:r>
          </w:p>
        </w:tc>
        <w:tc>
          <w:tcPr>
            <w:tcW w:w="992" w:type="dxa"/>
            <w:vAlign w:val="center"/>
            <w:hideMark/>
          </w:tcPr>
          <w:p w14:paraId="45C5BA7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6460</w:t>
            </w:r>
          </w:p>
        </w:tc>
      </w:tr>
      <w:tr w:rsidR="00F40027" w:rsidRPr="00C5721F" w14:paraId="562BF477" w14:textId="77777777" w:rsidTr="003E7D62">
        <w:trPr>
          <w:trHeight w:val="20"/>
          <w:jc w:val="center"/>
        </w:trPr>
        <w:tc>
          <w:tcPr>
            <w:tcW w:w="1838" w:type="dxa"/>
            <w:vAlign w:val="center"/>
            <w:hideMark/>
          </w:tcPr>
          <w:p w14:paraId="7F43B105"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12. Madhya Pradesh</w:t>
            </w:r>
          </w:p>
        </w:tc>
        <w:tc>
          <w:tcPr>
            <w:tcW w:w="992" w:type="dxa"/>
            <w:vAlign w:val="center"/>
            <w:hideMark/>
          </w:tcPr>
          <w:p w14:paraId="62EAF79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2232</w:t>
            </w:r>
          </w:p>
        </w:tc>
        <w:tc>
          <w:tcPr>
            <w:tcW w:w="993" w:type="dxa"/>
            <w:vAlign w:val="center"/>
            <w:hideMark/>
          </w:tcPr>
          <w:p w14:paraId="6B292F8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2678</w:t>
            </w:r>
          </w:p>
        </w:tc>
        <w:tc>
          <w:tcPr>
            <w:tcW w:w="992" w:type="dxa"/>
            <w:vAlign w:val="center"/>
            <w:hideMark/>
          </w:tcPr>
          <w:p w14:paraId="261209F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3214</w:t>
            </w:r>
          </w:p>
        </w:tc>
        <w:tc>
          <w:tcPr>
            <w:tcW w:w="850" w:type="dxa"/>
            <w:vAlign w:val="center"/>
            <w:hideMark/>
          </w:tcPr>
          <w:p w14:paraId="1D14349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3857</w:t>
            </w:r>
          </w:p>
        </w:tc>
        <w:tc>
          <w:tcPr>
            <w:tcW w:w="993" w:type="dxa"/>
            <w:vAlign w:val="center"/>
            <w:hideMark/>
          </w:tcPr>
          <w:p w14:paraId="2B32A77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4628</w:t>
            </w:r>
          </w:p>
        </w:tc>
        <w:tc>
          <w:tcPr>
            <w:tcW w:w="992" w:type="dxa"/>
            <w:vAlign w:val="center"/>
            <w:hideMark/>
          </w:tcPr>
          <w:p w14:paraId="514EC6C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16609</w:t>
            </w:r>
          </w:p>
        </w:tc>
      </w:tr>
      <w:tr w:rsidR="00F40027" w:rsidRPr="00C5721F" w14:paraId="1C6E36A0" w14:textId="77777777" w:rsidTr="003E7D62">
        <w:trPr>
          <w:trHeight w:val="20"/>
          <w:jc w:val="center"/>
        </w:trPr>
        <w:tc>
          <w:tcPr>
            <w:tcW w:w="1838" w:type="dxa"/>
            <w:vAlign w:val="center"/>
            <w:hideMark/>
          </w:tcPr>
          <w:p w14:paraId="6F4E59F6"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13. Maharashtra</w:t>
            </w:r>
          </w:p>
        </w:tc>
        <w:tc>
          <w:tcPr>
            <w:tcW w:w="992" w:type="dxa"/>
            <w:vAlign w:val="center"/>
            <w:hideMark/>
          </w:tcPr>
          <w:p w14:paraId="2BDE1F5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4424</w:t>
            </w:r>
          </w:p>
        </w:tc>
        <w:tc>
          <w:tcPr>
            <w:tcW w:w="993" w:type="dxa"/>
            <w:vAlign w:val="center"/>
            <w:hideMark/>
          </w:tcPr>
          <w:p w14:paraId="03641E1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5087</w:t>
            </w:r>
          </w:p>
        </w:tc>
        <w:tc>
          <w:tcPr>
            <w:tcW w:w="992" w:type="dxa"/>
            <w:vAlign w:val="center"/>
            <w:hideMark/>
          </w:tcPr>
          <w:p w14:paraId="32E37D5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5850</w:t>
            </w:r>
          </w:p>
        </w:tc>
        <w:tc>
          <w:tcPr>
            <w:tcW w:w="850" w:type="dxa"/>
            <w:vAlign w:val="center"/>
            <w:hideMark/>
          </w:tcPr>
          <w:p w14:paraId="5C4C981F"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6728</w:t>
            </w:r>
          </w:p>
        </w:tc>
        <w:tc>
          <w:tcPr>
            <w:tcW w:w="993" w:type="dxa"/>
            <w:vAlign w:val="center"/>
            <w:hideMark/>
          </w:tcPr>
          <w:p w14:paraId="0174C07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7737</w:t>
            </w:r>
          </w:p>
        </w:tc>
        <w:tc>
          <w:tcPr>
            <w:tcW w:w="992" w:type="dxa"/>
            <w:vAlign w:val="center"/>
            <w:hideMark/>
          </w:tcPr>
          <w:p w14:paraId="770881F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29826</w:t>
            </w:r>
          </w:p>
        </w:tc>
      </w:tr>
      <w:tr w:rsidR="00F40027" w:rsidRPr="00C5721F" w14:paraId="58408E6D" w14:textId="77777777" w:rsidTr="003E7D62">
        <w:trPr>
          <w:trHeight w:val="20"/>
          <w:jc w:val="center"/>
        </w:trPr>
        <w:tc>
          <w:tcPr>
            <w:tcW w:w="1838" w:type="dxa"/>
            <w:vAlign w:val="center"/>
            <w:hideMark/>
          </w:tcPr>
          <w:p w14:paraId="4B3253FE"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14. Manipur</w:t>
            </w:r>
          </w:p>
        </w:tc>
        <w:tc>
          <w:tcPr>
            <w:tcW w:w="992" w:type="dxa"/>
            <w:vAlign w:val="center"/>
            <w:hideMark/>
          </w:tcPr>
          <w:p w14:paraId="64CD162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186</w:t>
            </w:r>
          </w:p>
        </w:tc>
        <w:tc>
          <w:tcPr>
            <w:tcW w:w="993" w:type="dxa"/>
            <w:vAlign w:val="center"/>
            <w:hideMark/>
          </w:tcPr>
          <w:p w14:paraId="2AD6EE8B"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214</w:t>
            </w:r>
          </w:p>
        </w:tc>
        <w:tc>
          <w:tcPr>
            <w:tcW w:w="992" w:type="dxa"/>
            <w:vAlign w:val="center"/>
            <w:hideMark/>
          </w:tcPr>
          <w:p w14:paraId="128A1C5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246</w:t>
            </w:r>
          </w:p>
        </w:tc>
        <w:tc>
          <w:tcPr>
            <w:tcW w:w="850" w:type="dxa"/>
            <w:vAlign w:val="center"/>
            <w:hideMark/>
          </w:tcPr>
          <w:p w14:paraId="576D36C0"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283</w:t>
            </w:r>
          </w:p>
        </w:tc>
        <w:tc>
          <w:tcPr>
            <w:tcW w:w="993" w:type="dxa"/>
            <w:vAlign w:val="center"/>
            <w:hideMark/>
          </w:tcPr>
          <w:p w14:paraId="13DA501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325</w:t>
            </w:r>
          </w:p>
        </w:tc>
        <w:tc>
          <w:tcPr>
            <w:tcW w:w="992" w:type="dxa"/>
            <w:vAlign w:val="center"/>
            <w:hideMark/>
          </w:tcPr>
          <w:p w14:paraId="393F9B9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1254</w:t>
            </w:r>
          </w:p>
        </w:tc>
      </w:tr>
      <w:tr w:rsidR="00F40027" w:rsidRPr="00C5721F" w14:paraId="02423B97" w14:textId="77777777" w:rsidTr="003E7D62">
        <w:trPr>
          <w:trHeight w:val="20"/>
          <w:jc w:val="center"/>
        </w:trPr>
        <w:tc>
          <w:tcPr>
            <w:tcW w:w="1838" w:type="dxa"/>
            <w:vAlign w:val="center"/>
            <w:hideMark/>
          </w:tcPr>
          <w:p w14:paraId="3FA4C9A2"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15. Meghalaya</w:t>
            </w:r>
          </w:p>
        </w:tc>
        <w:tc>
          <w:tcPr>
            <w:tcW w:w="992" w:type="dxa"/>
            <w:vAlign w:val="center"/>
            <w:hideMark/>
          </w:tcPr>
          <w:p w14:paraId="2FD8241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451</w:t>
            </w:r>
          </w:p>
        </w:tc>
        <w:tc>
          <w:tcPr>
            <w:tcW w:w="993" w:type="dxa"/>
            <w:vAlign w:val="center"/>
            <w:hideMark/>
          </w:tcPr>
          <w:p w14:paraId="11EE6BB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478</w:t>
            </w:r>
          </w:p>
        </w:tc>
        <w:tc>
          <w:tcPr>
            <w:tcW w:w="992" w:type="dxa"/>
            <w:vAlign w:val="center"/>
            <w:hideMark/>
          </w:tcPr>
          <w:p w14:paraId="02A6222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506</w:t>
            </w:r>
          </w:p>
        </w:tc>
        <w:tc>
          <w:tcPr>
            <w:tcW w:w="850" w:type="dxa"/>
            <w:vAlign w:val="center"/>
            <w:hideMark/>
          </w:tcPr>
          <w:p w14:paraId="3A78ABC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537</w:t>
            </w:r>
          </w:p>
        </w:tc>
        <w:tc>
          <w:tcPr>
            <w:tcW w:w="993" w:type="dxa"/>
            <w:vAlign w:val="center"/>
            <w:hideMark/>
          </w:tcPr>
          <w:p w14:paraId="4263A07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569</w:t>
            </w:r>
          </w:p>
        </w:tc>
        <w:tc>
          <w:tcPr>
            <w:tcW w:w="992" w:type="dxa"/>
            <w:vAlign w:val="center"/>
            <w:hideMark/>
          </w:tcPr>
          <w:p w14:paraId="030F6FD7"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2541</w:t>
            </w:r>
          </w:p>
        </w:tc>
      </w:tr>
      <w:tr w:rsidR="00F40027" w:rsidRPr="00C5721F" w14:paraId="3168E715" w14:textId="77777777" w:rsidTr="003E7D62">
        <w:trPr>
          <w:trHeight w:val="20"/>
          <w:jc w:val="center"/>
        </w:trPr>
        <w:tc>
          <w:tcPr>
            <w:tcW w:w="1838" w:type="dxa"/>
            <w:vAlign w:val="center"/>
            <w:hideMark/>
          </w:tcPr>
          <w:p w14:paraId="41F4B0FA"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16. Mizoram</w:t>
            </w:r>
          </w:p>
        </w:tc>
        <w:tc>
          <w:tcPr>
            <w:tcW w:w="992" w:type="dxa"/>
            <w:vAlign w:val="center"/>
            <w:hideMark/>
          </w:tcPr>
          <w:p w14:paraId="63363C3B"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161</w:t>
            </w:r>
          </w:p>
        </w:tc>
        <w:tc>
          <w:tcPr>
            <w:tcW w:w="993" w:type="dxa"/>
            <w:vAlign w:val="center"/>
            <w:hideMark/>
          </w:tcPr>
          <w:p w14:paraId="32B19EB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185</w:t>
            </w:r>
          </w:p>
        </w:tc>
        <w:tc>
          <w:tcPr>
            <w:tcW w:w="992" w:type="dxa"/>
            <w:vAlign w:val="center"/>
            <w:hideMark/>
          </w:tcPr>
          <w:p w14:paraId="6321BE6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212</w:t>
            </w:r>
          </w:p>
        </w:tc>
        <w:tc>
          <w:tcPr>
            <w:tcW w:w="850" w:type="dxa"/>
            <w:vAlign w:val="center"/>
            <w:hideMark/>
          </w:tcPr>
          <w:p w14:paraId="2093121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244</w:t>
            </w:r>
          </w:p>
        </w:tc>
        <w:tc>
          <w:tcPr>
            <w:tcW w:w="993" w:type="dxa"/>
            <w:vAlign w:val="center"/>
            <w:hideMark/>
          </w:tcPr>
          <w:p w14:paraId="45291867"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281</w:t>
            </w:r>
          </w:p>
        </w:tc>
        <w:tc>
          <w:tcPr>
            <w:tcW w:w="992" w:type="dxa"/>
            <w:vAlign w:val="center"/>
            <w:hideMark/>
          </w:tcPr>
          <w:p w14:paraId="5499F56B"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1083</w:t>
            </w:r>
          </w:p>
        </w:tc>
      </w:tr>
      <w:tr w:rsidR="00F40027" w:rsidRPr="00C5721F" w14:paraId="7DBDEEC9" w14:textId="77777777" w:rsidTr="003E7D62">
        <w:trPr>
          <w:trHeight w:val="20"/>
          <w:jc w:val="center"/>
        </w:trPr>
        <w:tc>
          <w:tcPr>
            <w:tcW w:w="1838" w:type="dxa"/>
            <w:vAlign w:val="center"/>
            <w:hideMark/>
          </w:tcPr>
          <w:p w14:paraId="2075E8F9"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17. Nagaland</w:t>
            </w:r>
          </w:p>
        </w:tc>
        <w:tc>
          <w:tcPr>
            <w:tcW w:w="992" w:type="dxa"/>
            <w:vAlign w:val="center"/>
            <w:hideMark/>
          </w:tcPr>
          <w:p w14:paraId="667751D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358</w:t>
            </w:r>
          </w:p>
        </w:tc>
        <w:tc>
          <w:tcPr>
            <w:tcW w:w="993" w:type="dxa"/>
            <w:vAlign w:val="center"/>
            <w:hideMark/>
          </w:tcPr>
          <w:p w14:paraId="0A8BF748"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412</w:t>
            </w:r>
          </w:p>
        </w:tc>
        <w:tc>
          <w:tcPr>
            <w:tcW w:w="992" w:type="dxa"/>
            <w:vAlign w:val="center"/>
            <w:hideMark/>
          </w:tcPr>
          <w:p w14:paraId="369A4BE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474</w:t>
            </w:r>
          </w:p>
        </w:tc>
        <w:tc>
          <w:tcPr>
            <w:tcW w:w="850" w:type="dxa"/>
            <w:vAlign w:val="center"/>
            <w:hideMark/>
          </w:tcPr>
          <w:p w14:paraId="585E2F4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545</w:t>
            </w:r>
          </w:p>
        </w:tc>
        <w:tc>
          <w:tcPr>
            <w:tcW w:w="993" w:type="dxa"/>
            <w:vAlign w:val="center"/>
            <w:hideMark/>
          </w:tcPr>
          <w:p w14:paraId="3048EBF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627</w:t>
            </w:r>
          </w:p>
        </w:tc>
        <w:tc>
          <w:tcPr>
            <w:tcW w:w="992" w:type="dxa"/>
            <w:vAlign w:val="center"/>
            <w:hideMark/>
          </w:tcPr>
          <w:p w14:paraId="78916ADF"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2416</w:t>
            </w:r>
          </w:p>
        </w:tc>
      </w:tr>
      <w:tr w:rsidR="00F40027" w:rsidRPr="00C5721F" w14:paraId="26DC38E8" w14:textId="77777777" w:rsidTr="003E7D62">
        <w:trPr>
          <w:trHeight w:val="20"/>
          <w:jc w:val="center"/>
        </w:trPr>
        <w:tc>
          <w:tcPr>
            <w:tcW w:w="1838" w:type="dxa"/>
            <w:vAlign w:val="center"/>
            <w:hideMark/>
          </w:tcPr>
          <w:p w14:paraId="7A7E85EF"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18. Orissa</w:t>
            </w:r>
          </w:p>
        </w:tc>
        <w:tc>
          <w:tcPr>
            <w:tcW w:w="992" w:type="dxa"/>
            <w:vAlign w:val="center"/>
            <w:hideMark/>
          </w:tcPr>
          <w:p w14:paraId="62E517D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1797</w:t>
            </w:r>
          </w:p>
        </w:tc>
        <w:tc>
          <w:tcPr>
            <w:tcW w:w="993" w:type="dxa"/>
            <w:vAlign w:val="center"/>
            <w:hideMark/>
          </w:tcPr>
          <w:p w14:paraId="09D049E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2265</w:t>
            </w:r>
          </w:p>
        </w:tc>
        <w:tc>
          <w:tcPr>
            <w:tcW w:w="992" w:type="dxa"/>
            <w:vAlign w:val="center"/>
            <w:hideMark/>
          </w:tcPr>
          <w:p w14:paraId="16AF0E1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2853</w:t>
            </w:r>
          </w:p>
        </w:tc>
        <w:tc>
          <w:tcPr>
            <w:tcW w:w="850" w:type="dxa"/>
            <w:vAlign w:val="center"/>
            <w:hideMark/>
          </w:tcPr>
          <w:p w14:paraId="54BD2C0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3595</w:t>
            </w:r>
          </w:p>
        </w:tc>
        <w:tc>
          <w:tcPr>
            <w:tcW w:w="993" w:type="dxa"/>
            <w:vAlign w:val="center"/>
            <w:hideMark/>
          </w:tcPr>
          <w:p w14:paraId="784FCD6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4530</w:t>
            </w:r>
          </w:p>
        </w:tc>
        <w:tc>
          <w:tcPr>
            <w:tcW w:w="992" w:type="dxa"/>
            <w:vAlign w:val="center"/>
            <w:hideMark/>
          </w:tcPr>
          <w:p w14:paraId="2888E59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15040</w:t>
            </w:r>
          </w:p>
        </w:tc>
      </w:tr>
      <w:tr w:rsidR="00F40027" w:rsidRPr="00C5721F" w14:paraId="5F3090E0" w14:textId="77777777" w:rsidTr="003E7D62">
        <w:trPr>
          <w:trHeight w:val="20"/>
          <w:jc w:val="center"/>
        </w:trPr>
        <w:tc>
          <w:tcPr>
            <w:tcW w:w="1838" w:type="dxa"/>
            <w:vAlign w:val="center"/>
            <w:hideMark/>
          </w:tcPr>
          <w:p w14:paraId="697FE376"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19. Punjab</w:t>
            </w:r>
          </w:p>
        </w:tc>
        <w:tc>
          <w:tcPr>
            <w:tcW w:w="992" w:type="dxa"/>
            <w:vAlign w:val="center"/>
            <w:hideMark/>
          </w:tcPr>
          <w:p w14:paraId="6A46152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1021</w:t>
            </w:r>
          </w:p>
        </w:tc>
        <w:tc>
          <w:tcPr>
            <w:tcW w:w="993" w:type="dxa"/>
            <w:vAlign w:val="center"/>
            <w:hideMark/>
          </w:tcPr>
          <w:p w14:paraId="1DA5AF7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1348</w:t>
            </w:r>
          </w:p>
        </w:tc>
        <w:tc>
          <w:tcPr>
            <w:tcW w:w="992" w:type="dxa"/>
            <w:vAlign w:val="center"/>
            <w:hideMark/>
          </w:tcPr>
          <w:p w14:paraId="78483FB7"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1779</w:t>
            </w:r>
          </w:p>
        </w:tc>
        <w:tc>
          <w:tcPr>
            <w:tcW w:w="850" w:type="dxa"/>
            <w:vAlign w:val="center"/>
            <w:hideMark/>
          </w:tcPr>
          <w:p w14:paraId="06C13C21"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2348</w:t>
            </w:r>
          </w:p>
        </w:tc>
        <w:tc>
          <w:tcPr>
            <w:tcW w:w="993" w:type="dxa"/>
            <w:vAlign w:val="center"/>
            <w:hideMark/>
          </w:tcPr>
          <w:p w14:paraId="3E2C8027"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3100</w:t>
            </w:r>
          </w:p>
        </w:tc>
        <w:tc>
          <w:tcPr>
            <w:tcW w:w="992" w:type="dxa"/>
            <w:vAlign w:val="center"/>
            <w:hideMark/>
          </w:tcPr>
          <w:p w14:paraId="4C3D1A8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9596</w:t>
            </w:r>
          </w:p>
        </w:tc>
      </w:tr>
      <w:tr w:rsidR="00F40027" w:rsidRPr="00C5721F" w14:paraId="7F8CCEB7" w14:textId="77777777" w:rsidTr="003E7D62">
        <w:trPr>
          <w:trHeight w:val="20"/>
          <w:jc w:val="center"/>
        </w:trPr>
        <w:tc>
          <w:tcPr>
            <w:tcW w:w="1838" w:type="dxa"/>
            <w:vAlign w:val="center"/>
            <w:hideMark/>
          </w:tcPr>
          <w:p w14:paraId="6532D2AA"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20. Rajasthan</w:t>
            </w:r>
          </w:p>
        </w:tc>
        <w:tc>
          <w:tcPr>
            <w:tcW w:w="992" w:type="dxa"/>
            <w:vAlign w:val="center"/>
            <w:hideMark/>
          </w:tcPr>
          <w:p w14:paraId="69C8B62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1478</w:t>
            </w:r>
          </w:p>
        </w:tc>
        <w:tc>
          <w:tcPr>
            <w:tcW w:w="993" w:type="dxa"/>
            <w:vAlign w:val="center"/>
            <w:hideMark/>
          </w:tcPr>
          <w:p w14:paraId="54019DD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1700</w:t>
            </w:r>
          </w:p>
        </w:tc>
        <w:tc>
          <w:tcPr>
            <w:tcW w:w="992" w:type="dxa"/>
            <w:vAlign w:val="center"/>
            <w:hideMark/>
          </w:tcPr>
          <w:p w14:paraId="5D10EB2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1955</w:t>
            </w:r>
          </w:p>
        </w:tc>
        <w:tc>
          <w:tcPr>
            <w:tcW w:w="850" w:type="dxa"/>
            <w:vAlign w:val="center"/>
            <w:hideMark/>
          </w:tcPr>
          <w:p w14:paraId="6D199A18"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2248</w:t>
            </w:r>
          </w:p>
        </w:tc>
        <w:tc>
          <w:tcPr>
            <w:tcW w:w="993" w:type="dxa"/>
            <w:vAlign w:val="center"/>
            <w:hideMark/>
          </w:tcPr>
          <w:p w14:paraId="0A3978A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2585</w:t>
            </w:r>
          </w:p>
        </w:tc>
        <w:tc>
          <w:tcPr>
            <w:tcW w:w="992" w:type="dxa"/>
            <w:vAlign w:val="center"/>
            <w:hideMark/>
          </w:tcPr>
          <w:p w14:paraId="59D5F10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9966</w:t>
            </w:r>
          </w:p>
        </w:tc>
      </w:tr>
      <w:tr w:rsidR="00F40027" w:rsidRPr="00C5721F" w14:paraId="228750F8" w14:textId="77777777" w:rsidTr="003E7D62">
        <w:trPr>
          <w:trHeight w:val="20"/>
          <w:jc w:val="center"/>
        </w:trPr>
        <w:tc>
          <w:tcPr>
            <w:tcW w:w="1838" w:type="dxa"/>
            <w:vAlign w:val="center"/>
            <w:hideMark/>
          </w:tcPr>
          <w:p w14:paraId="57E34AA0"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21. Sikkim</w:t>
            </w:r>
          </w:p>
        </w:tc>
        <w:tc>
          <w:tcPr>
            <w:tcW w:w="992" w:type="dxa"/>
            <w:vAlign w:val="center"/>
            <w:hideMark/>
          </w:tcPr>
          <w:p w14:paraId="45B2B79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111</w:t>
            </w:r>
          </w:p>
        </w:tc>
        <w:tc>
          <w:tcPr>
            <w:tcW w:w="993" w:type="dxa"/>
            <w:vAlign w:val="center"/>
            <w:hideMark/>
          </w:tcPr>
          <w:p w14:paraId="743AD38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122</w:t>
            </w:r>
          </w:p>
        </w:tc>
        <w:tc>
          <w:tcPr>
            <w:tcW w:w="992" w:type="dxa"/>
            <w:vAlign w:val="center"/>
            <w:hideMark/>
          </w:tcPr>
          <w:p w14:paraId="0FD2E068"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135</w:t>
            </w:r>
          </w:p>
        </w:tc>
        <w:tc>
          <w:tcPr>
            <w:tcW w:w="850" w:type="dxa"/>
            <w:vAlign w:val="center"/>
            <w:hideMark/>
          </w:tcPr>
          <w:p w14:paraId="27F7A5F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148</w:t>
            </w:r>
          </w:p>
        </w:tc>
        <w:tc>
          <w:tcPr>
            <w:tcW w:w="993" w:type="dxa"/>
            <w:vAlign w:val="center"/>
            <w:hideMark/>
          </w:tcPr>
          <w:p w14:paraId="62A6A056"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163</w:t>
            </w:r>
          </w:p>
        </w:tc>
        <w:tc>
          <w:tcPr>
            <w:tcW w:w="992" w:type="dxa"/>
            <w:vAlign w:val="center"/>
            <w:hideMark/>
          </w:tcPr>
          <w:p w14:paraId="2D61F88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679</w:t>
            </w:r>
          </w:p>
        </w:tc>
      </w:tr>
      <w:tr w:rsidR="00F40027" w:rsidRPr="00C5721F" w14:paraId="33111602" w14:textId="77777777" w:rsidTr="003E7D62">
        <w:trPr>
          <w:trHeight w:val="20"/>
          <w:jc w:val="center"/>
        </w:trPr>
        <w:tc>
          <w:tcPr>
            <w:tcW w:w="1838" w:type="dxa"/>
            <w:vAlign w:val="center"/>
            <w:hideMark/>
          </w:tcPr>
          <w:p w14:paraId="3C3A0758"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22. Tamil Nadu</w:t>
            </w:r>
          </w:p>
        </w:tc>
        <w:tc>
          <w:tcPr>
            <w:tcW w:w="992" w:type="dxa"/>
            <w:vAlign w:val="center"/>
            <w:hideMark/>
          </w:tcPr>
          <w:p w14:paraId="19389F3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1796</w:t>
            </w:r>
          </w:p>
        </w:tc>
        <w:tc>
          <w:tcPr>
            <w:tcW w:w="993" w:type="dxa"/>
            <w:vAlign w:val="center"/>
            <w:hideMark/>
          </w:tcPr>
          <w:p w14:paraId="2C4128E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2066</w:t>
            </w:r>
          </w:p>
        </w:tc>
        <w:tc>
          <w:tcPr>
            <w:tcW w:w="992" w:type="dxa"/>
            <w:vAlign w:val="center"/>
            <w:hideMark/>
          </w:tcPr>
          <w:p w14:paraId="5ACAB53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2376</w:t>
            </w:r>
          </w:p>
        </w:tc>
        <w:tc>
          <w:tcPr>
            <w:tcW w:w="850" w:type="dxa"/>
            <w:vAlign w:val="center"/>
            <w:hideMark/>
          </w:tcPr>
          <w:p w14:paraId="2D9667D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2732</w:t>
            </w:r>
          </w:p>
        </w:tc>
        <w:tc>
          <w:tcPr>
            <w:tcW w:w="993" w:type="dxa"/>
            <w:vAlign w:val="center"/>
            <w:hideMark/>
          </w:tcPr>
          <w:p w14:paraId="7E1A04FB"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3142</w:t>
            </w:r>
          </w:p>
        </w:tc>
        <w:tc>
          <w:tcPr>
            <w:tcW w:w="992" w:type="dxa"/>
            <w:vAlign w:val="center"/>
            <w:hideMark/>
          </w:tcPr>
          <w:p w14:paraId="473E10A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12112</w:t>
            </w:r>
          </w:p>
        </w:tc>
      </w:tr>
      <w:tr w:rsidR="00F40027" w:rsidRPr="00C5721F" w14:paraId="654C11AB" w14:textId="77777777" w:rsidTr="003E7D62">
        <w:trPr>
          <w:trHeight w:val="20"/>
          <w:jc w:val="center"/>
        </w:trPr>
        <w:tc>
          <w:tcPr>
            <w:tcW w:w="1838" w:type="dxa"/>
            <w:vAlign w:val="center"/>
            <w:hideMark/>
          </w:tcPr>
          <w:p w14:paraId="31860792"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23. Tripura</w:t>
            </w:r>
          </w:p>
        </w:tc>
        <w:tc>
          <w:tcPr>
            <w:tcW w:w="992" w:type="dxa"/>
            <w:vAlign w:val="center"/>
            <w:hideMark/>
          </w:tcPr>
          <w:p w14:paraId="7DDD3265"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407</w:t>
            </w:r>
          </w:p>
        </w:tc>
        <w:tc>
          <w:tcPr>
            <w:tcW w:w="993" w:type="dxa"/>
            <w:vAlign w:val="center"/>
            <w:hideMark/>
          </w:tcPr>
          <w:p w14:paraId="29E33C0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432</w:t>
            </w:r>
          </w:p>
        </w:tc>
        <w:tc>
          <w:tcPr>
            <w:tcW w:w="992" w:type="dxa"/>
            <w:vAlign w:val="center"/>
            <w:hideMark/>
          </w:tcPr>
          <w:p w14:paraId="0D82FC1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457</w:t>
            </w:r>
          </w:p>
        </w:tc>
        <w:tc>
          <w:tcPr>
            <w:tcW w:w="850" w:type="dxa"/>
            <w:vAlign w:val="center"/>
            <w:hideMark/>
          </w:tcPr>
          <w:p w14:paraId="750EAC0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485</w:t>
            </w:r>
          </w:p>
        </w:tc>
        <w:tc>
          <w:tcPr>
            <w:tcW w:w="993" w:type="dxa"/>
            <w:vAlign w:val="center"/>
            <w:hideMark/>
          </w:tcPr>
          <w:p w14:paraId="4EE9FA3B"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514</w:t>
            </w:r>
          </w:p>
        </w:tc>
        <w:tc>
          <w:tcPr>
            <w:tcW w:w="992" w:type="dxa"/>
            <w:vAlign w:val="center"/>
            <w:hideMark/>
          </w:tcPr>
          <w:p w14:paraId="01318F1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2295</w:t>
            </w:r>
          </w:p>
        </w:tc>
      </w:tr>
      <w:tr w:rsidR="00F40027" w:rsidRPr="00C5721F" w14:paraId="08D0E87A" w14:textId="77777777" w:rsidTr="003E7D62">
        <w:trPr>
          <w:trHeight w:val="20"/>
          <w:jc w:val="center"/>
        </w:trPr>
        <w:tc>
          <w:tcPr>
            <w:tcW w:w="1838" w:type="dxa"/>
            <w:vAlign w:val="center"/>
            <w:hideMark/>
          </w:tcPr>
          <w:p w14:paraId="324EA790"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24. Uttar Pradesh</w:t>
            </w:r>
          </w:p>
        </w:tc>
        <w:tc>
          <w:tcPr>
            <w:tcW w:w="992" w:type="dxa"/>
            <w:vAlign w:val="center"/>
            <w:hideMark/>
          </w:tcPr>
          <w:p w14:paraId="0E7F077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3434</w:t>
            </w:r>
          </w:p>
        </w:tc>
        <w:tc>
          <w:tcPr>
            <w:tcW w:w="993" w:type="dxa"/>
            <w:vAlign w:val="center"/>
            <w:hideMark/>
          </w:tcPr>
          <w:p w14:paraId="3A4E5D5D"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4120</w:t>
            </w:r>
          </w:p>
        </w:tc>
        <w:tc>
          <w:tcPr>
            <w:tcW w:w="992" w:type="dxa"/>
            <w:vAlign w:val="center"/>
            <w:hideMark/>
          </w:tcPr>
          <w:p w14:paraId="6B60794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4944</w:t>
            </w:r>
          </w:p>
        </w:tc>
        <w:tc>
          <w:tcPr>
            <w:tcW w:w="850" w:type="dxa"/>
            <w:vAlign w:val="center"/>
            <w:hideMark/>
          </w:tcPr>
          <w:p w14:paraId="6F1A4182"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5933</w:t>
            </w:r>
          </w:p>
        </w:tc>
        <w:tc>
          <w:tcPr>
            <w:tcW w:w="993" w:type="dxa"/>
            <w:vAlign w:val="center"/>
            <w:hideMark/>
          </w:tcPr>
          <w:p w14:paraId="5D4FFD7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7120</w:t>
            </w:r>
          </w:p>
        </w:tc>
        <w:tc>
          <w:tcPr>
            <w:tcW w:w="992" w:type="dxa"/>
            <w:vAlign w:val="center"/>
            <w:hideMark/>
          </w:tcPr>
          <w:p w14:paraId="60BB344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25551</w:t>
            </w:r>
          </w:p>
        </w:tc>
      </w:tr>
      <w:tr w:rsidR="00F40027" w:rsidRPr="00C5721F" w14:paraId="50A45C38" w14:textId="77777777" w:rsidTr="003E7D62">
        <w:trPr>
          <w:trHeight w:val="20"/>
          <w:jc w:val="center"/>
        </w:trPr>
        <w:tc>
          <w:tcPr>
            <w:tcW w:w="1838" w:type="dxa"/>
            <w:vAlign w:val="center"/>
            <w:hideMark/>
          </w:tcPr>
          <w:p w14:paraId="517346A5"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25. West Bengal</w:t>
            </w:r>
          </w:p>
        </w:tc>
        <w:tc>
          <w:tcPr>
            <w:tcW w:w="992" w:type="dxa"/>
            <w:vAlign w:val="center"/>
            <w:hideMark/>
          </w:tcPr>
          <w:p w14:paraId="4E69F5DE"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3011</w:t>
            </w:r>
          </w:p>
        </w:tc>
        <w:tc>
          <w:tcPr>
            <w:tcW w:w="993" w:type="dxa"/>
            <w:vAlign w:val="center"/>
            <w:hideMark/>
          </w:tcPr>
          <w:p w14:paraId="520A1BE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3252</w:t>
            </w:r>
          </w:p>
        </w:tc>
        <w:tc>
          <w:tcPr>
            <w:tcW w:w="992" w:type="dxa"/>
            <w:vAlign w:val="center"/>
            <w:hideMark/>
          </w:tcPr>
          <w:p w14:paraId="68DCD64A"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3513</w:t>
            </w:r>
          </w:p>
        </w:tc>
        <w:tc>
          <w:tcPr>
            <w:tcW w:w="850" w:type="dxa"/>
            <w:vAlign w:val="center"/>
            <w:hideMark/>
          </w:tcPr>
          <w:p w14:paraId="7B15B443"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3794</w:t>
            </w:r>
          </w:p>
        </w:tc>
        <w:tc>
          <w:tcPr>
            <w:tcW w:w="993" w:type="dxa"/>
            <w:vAlign w:val="center"/>
            <w:hideMark/>
          </w:tcPr>
          <w:p w14:paraId="0AB17750"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4097</w:t>
            </w:r>
          </w:p>
        </w:tc>
        <w:tc>
          <w:tcPr>
            <w:tcW w:w="992" w:type="dxa"/>
            <w:vAlign w:val="center"/>
            <w:hideMark/>
          </w:tcPr>
          <w:p w14:paraId="553AED0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17667</w:t>
            </w:r>
          </w:p>
        </w:tc>
      </w:tr>
      <w:tr w:rsidR="00F40027" w:rsidRPr="00C5721F" w14:paraId="15574092" w14:textId="77777777" w:rsidTr="003E7D62">
        <w:trPr>
          <w:trHeight w:val="20"/>
          <w:jc w:val="center"/>
        </w:trPr>
        <w:tc>
          <w:tcPr>
            <w:tcW w:w="1838" w:type="dxa"/>
            <w:vAlign w:val="center"/>
            <w:hideMark/>
          </w:tcPr>
          <w:p w14:paraId="4C72A40A" w14:textId="77777777" w:rsidR="00F40027" w:rsidRPr="00C5721F" w:rsidRDefault="00F40027" w:rsidP="00D915A2">
            <w:pPr>
              <w:pStyle w:val="NoSpacing"/>
              <w:rPr>
                <w:rFonts w:ascii="Times New Roman" w:hAnsi="Times New Roman" w:cs="Times New Roman"/>
                <w:sz w:val="14"/>
                <w:szCs w:val="14"/>
              </w:rPr>
            </w:pPr>
            <w:r w:rsidRPr="00C5721F">
              <w:rPr>
                <w:rFonts w:ascii="Times New Roman" w:hAnsi="Times New Roman" w:cs="Times New Roman"/>
                <w:sz w:val="14"/>
                <w:szCs w:val="14"/>
              </w:rPr>
              <w:t>TOTAL</w:t>
            </w:r>
          </w:p>
        </w:tc>
        <w:tc>
          <w:tcPr>
            <w:tcW w:w="992" w:type="dxa"/>
            <w:vAlign w:val="center"/>
            <w:hideMark/>
          </w:tcPr>
          <w:p w14:paraId="650BE959"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33260</w:t>
            </w:r>
          </w:p>
        </w:tc>
        <w:tc>
          <w:tcPr>
            <w:tcW w:w="993" w:type="dxa"/>
            <w:vAlign w:val="center"/>
            <w:hideMark/>
          </w:tcPr>
          <w:p w14:paraId="1503F3BF"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38534</w:t>
            </w:r>
          </w:p>
        </w:tc>
        <w:tc>
          <w:tcPr>
            <w:tcW w:w="992" w:type="dxa"/>
            <w:vAlign w:val="center"/>
            <w:hideMark/>
          </w:tcPr>
          <w:p w14:paraId="53AA95E4"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44799</w:t>
            </w:r>
          </w:p>
        </w:tc>
        <w:tc>
          <w:tcPr>
            <w:tcW w:w="850" w:type="dxa"/>
            <w:vAlign w:val="center"/>
            <w:hideMark/>
          </w:tcPr>
          <w:p w14:paraId="52452BCF"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52279</w:t>
            </w:r>
          </w:p>
        </w:tc>
        <w:tc>
          <w:tcPr>
            <w:tcW w:w="993" w:type="dxa"/>
            <w:vAlign w:val="center"/>
            <w:hideMark/>
          </w:tcPr>
          <w:p w14:paraId="42AE9830"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61226</w:t>
            </w:r>
          </w:p>
        </w:tc>
        <w:tc>
          <w:tcPr>
            <w:tcW w:w="992" w:type="dxa"/>
            <w:vAlign w:val="center"/>
            <w:hideMark/>
          </w:tcPr>
          <w:p w14:paraId="3F114A2C" w14:textId="77777777" w:rsidR="00F40027" w:rsidRPr="00C5721F" w:rsidRDefault="00F40027" w:rsidP="00D915A2">
            <w:pPr>
              <w:pStyle w:val="NoSpacing"/>
              <w:jc w:val="center"/>
              <w:rPr>
                <w:rFonts w:ascii="Times New Roman" w:hAnsi="Times New Roman" w:cs="Times New Roman"/>
                <w:sz w:val="14"/>
                <w:szCs w:val="14"/>
              </w:rPr>
            </w:pPr>
            <w:r w:rsidRPr="00C5721F">
              <w:rPr>
                <w:rFonts w:ascii="Times New Roman" w:hAnsi="Times New Roman" w:cs="Times New Roman"/>
                <w:sz w:val="14"/>
                <w:szCs w:val="14"/>
              </w:rPr>
              <w:t>230098</w:t>
            </w:r>
          </w:p>
        </w:tc>
      </w:tr>
    </w:tbl>
    <w:p w14:paraId="5BD2695B" w14:textId="77777777" w:rsidR="00C5721F" w:rsidRDefault="00C5721F" w:rsidP="003E7D62">
      <w:pPr>
        <w:pStyle w:val="Heading2"/>
        <w:rPr>
          <w:sz w:val="20"/>
          <w:szCs w:val="20"/>
        </w:rPr>
      </w:pPr>
      <w:bookmarkStart w:id="85" w:name="_Toc221293000"/>
    </w:p>
    <w:p w14:paraId="2A1AB8C7" w14:textId="77777777" w:rsidR="00C5721F" w:rsidRDefault="00C5721F">
      <w:pPr>
        <w:rPr>
          <w:rFonts w:ascii="Times New Roman" w:hAnsi="Times New Roman" w:cs="Times New Roman"/>
          <w:b/>
          <w:bCs/>
          <w:sz w:val="20"/>
          <w:szCs w:val="20"/>
        </w:rPr>
      </w:pPr>
      <w:r>
        <w:rPr>
          <w:sz w:val="20"/>
          <w:szCs w:val="20"/>
        </w:rPr>
        <w:br w:type="page"/>
      </w:r>
    </w:p>
    <w:p w14:paraId="2A2A56B0" w14:textId="3220A9B1" w:rsidR="00F40027" w:rsidRPr="00D915A2" w:rsidRDefault="00F40027" w:rsidP="003E7D62">
      <w:pPr>
        <w:pStyle w:val="Heading2"/>
      </w:pPr>
      <w:bookmarkStart w:id="86" w:name="_Toc222399491"/>
      <w:r w:rsidRPr="003E7D62">
        <w:rPr>
          <w:sz w:val="20"/>
          <w:szCs w:val="20"/>
        </w:rPr>
        <w:lastRenderedPageBreak/>
        <w:t>ANNEXURE III.17</w:t>
      </w:r>
      <w:r w:rsidR="00D915A2" w:rsidRPr="003E7D62">
        <w:rPr>
          <w:sz w:val="20"/>
          <w:szCs w:val="20"/>
        </w:rPr>
        <w:br/>
      </w:r>
      <w:r w:rsidRPr="003E7D62">
        <w:rPr>
          <w:sz w:val="20"/>
          <w:szCs w:val="20"/>
        </w:rPr>
        <w:t xml:space="preserve">Methodology Adopted </w:t>
      </w:r>
      <w:proofErr w:type="gramStart"/>
      <w:r w:rsidRPr="003E7D62">
        <w:rPr>
          <w:sz w:val="20"/>
          <w:szCs w:val="20"/>
        </w:rPr>
        <w:t>For</w:t>
      </w:r>
      <w:proofErr w:type="gramEnd"/>
      <w:r w:rsidRPr="003E7D62">
        <w:rPr>
          <w:sz w:val="20"/>
          <w:szCs w:val="20"/>
        </w:rPr>
        <w:t xml:space="preserve"> Working Out </w:t>
      </w:r>
      <w:proofErr w:type="gramStart"/>
      <w:r w:rsidRPr="003E7D62">
        <w:rPr>
          <w:sz w:val="20"/>
          <w:szCs w:val="20"/>
        </w:rPr>
        <w:t>The</w:t>
      </w:r>
      <w:proofErr w:type="gramEnd"/>
      <w:r w:rsidRPr="003E7D62">
        <w:rPr>
          <w:sz w:val="20"/>
          <w:szCs w:val="20"/>
        </w:rPr>
        <w:t xml:space="preserve"> Provision </w:t>
      </w:r>
      <w:proofErr w:type="gramStart"/>
      <w:r w:rsidRPr="003E7D62">
        <w:rPr>
          <w:sz w:val="20"/>
          <w:szCs w:val="20"/>
        </w:rPr>
        <w:t>For</w:t>
      </w:r>
      <w:proofErr w:type="gramEnd"/>
      <w:r w:rsidRPr="003E7D62">
        <w:rPr>
          <w:sz w:val="20"/>
          <w:szCs w:val="20"/>
        </w:rPr>
        <w:t xml:space="preserve"> Parity </w:t>
      </w:r>
      <w:proofErr w:type="gramStart"/>
      <w:r w:rsidRPr="003E7D62">
        <w:rPr>
          <w:sz w:val="20"/>
          <w:szCs w:val="20"/>
        </w:rPr>
        <w:t>Of</w:t>
      </w:r>
      <w:proofErr w:type="gramEnd"/>
      <w:r w:rsidRPr="003E7D62">
        <w:rPr>
          <w:sz w:val="20"/>
          <w:szCs w:val="20"/>
        </w:rPr>
        <w:t xml:space="preserve"> Pay Between </w:t>
      </w:r>
      <w:proofErr w:type="gramStart"/>
      <w:r w:rsidRPr="003E7D62">
        <w:rPr>
          <w:sz w:val="20"/>
          <w:szCs w:val="20"/>
        </w:rPr>
        <w:t>The</w:t>
      </w:r>
      <w:proofErr w:type="gramEnd"/>
      <w:r w:rsidRPr="003E7D62">
        <w:rPr>
          <w:sz w:val="20"/>
          <w:szCs w:val="20"/>
        </w:rPr>
        <w:t xml:space="preserve"> Centre </w:t>
      </w:r>
      <w:proofErr w:type="gramStart"/>
      <w:r w:rsidRPr="003E7D62">
        <w:rPr>
          <w:sz w:val="20"/>
          <w:szCs w:val="20"/>
        </w:rPr>
        <w:t>And</w:t>
      </w:r>
      <w:proofErr w:type="gramEnd"/>
      <w:r w:rsidRPr="003E7D62">
        <w:rPr>
          <w:sz w:val="20"/>
          <w:szCs w:val="20"/>
        </w:rPr>
        <w:t xml:space="preserve"> </w:t>
      </w:r>
      <w:proofErr w:type="gramStart"/>
      <w:r w:rsidRPr="003E7D62">
        <w:rPr>
          <w:sz w:val="20"/>
          <w:szCs w:val="20"/>
        </w:rPr>
        <w:t>The</w:t>
      </w:r>
      <w:proofErr w:type="gramEnd"/>
      <w:r w:rsidRPr="003E7D62">
        <w:rPr>
          <w:sz w:val="20"/>
          <w:szCs w:val="20"/>
        </w:rPr>
        <w:t xml:space="preserve"> </w:t>
      </w:r>
      <w:r w:rsidRPr="00AA6AF4">
        <w:t>States.</w:t>
      </w:r>
      <w:bookmarkEnd w:id="85"/>
      <w:bookmarkEnd w:id="86"/>
    </w:p>
    <w:p w14:paraId="0CC55B5A" w14:textId="468BF21C" w:rsidR="00F40027" w:rsidRPr="003E7D62" w:rsidRDefault="00D915A2" w:rsidP="003E7D62">
      <w:pPr>
        <w:pStyle w:val="NoSpacing"/>
        <w:jc w:val="center"/>
        <w:rPr>
          <w:rFonts w:ascii="Times New Roman" w:hAnsi="Times New Roman" w:cs="Times New Roman"/>
          <w:sz w:val="18"/>
          <w:szCs w:val="16"/>
        </w:rPr>
      </w:pPr>
      <w:r w:rsidRPr="003E7D62">
        <w:rPr>
          <w:rFonts w:ascii="Times New Roman" w:hAnsi="Times New Roman" w:cs="Times New Roman"/>
          <w:i/>
          <w:iCs/>
          <w:sz w:val="18"/>
          <w:szCs w:val="16"/>
        </w:rPr>
        <w:t>(Para 3.61)</w:t>
      </w:r>
    </w:p>
    <w:p w14:paraId="1DD64D88" w14:textId="77777777" w:rsidR="00C5721F" w:rsidRDefault="00C5721F" w:rsidP="00E37D6A">
      <w:pPr>
        <w:pStyle w:val="NoSpacing"/>
        <w:jc w:val="both"/>
        <w:rPr>
          <w:rFonts w:ascii="Times New Roman" w:hAnsi="Times New Roman" w:cs="Times New Roman"/>
          <w:sz w:val="18"/>
          <w:szCs w:val="16"/>
        </w:rPr>
        <w:sectPr w:rsidR="00C5721F" w:rsidSect="006F2ABC">
          <w:type w:val="continuous"/>
          <w:pgSz w:w="11906" w:h="16838"/>
          <w:pgMar w:top="567" w:right="849" w:bottom="284" w:left="1134" w:header="708" w:footer="708" w:gutter="0"/>
          <w:cols w:space="708"/>
          <w:docGrid w:linePitch="360"/>
        </w:sectPr>
      </w:pPr>
    </w:p>
    <w:p w14:paraId="76926FE3" w14:textId="01D3E4DB" w:rsidR="00F40027" w:rsidRPr="00D87C83" w:rsidRDefault="00F40027" w:rsidP="00E37D6A">
      <w:pPr>
        <w:pStyle w:val="NoSpacing"/>
        <w:jc w:val="both"/>
        <w:rPr>
          <w:rFonts w:ascii="Times New Roman" w:hAnsi="Times New Roman" w:cs="Times New Roman"/>
          <w:sz w:val="18"/>
          <w:szCs w:val="16"/>
        </w:rPr>
      </w:pPr>
      <w:r w:rsidRPr="00D87C83">
        <w:rPr>
          <w:rFonts w:ascii="Times New Roman" w:hAnsi="Times New Roman" w:cs="Times New Roman"/>
          <w:sz w:val="18"/>
          <w:szCs w:val="16"/>
        </w:rPr>
        <w:t>The following steps explain the methodology used for working out the provisions allowed to States for pay parity with the Centre.</w:t>
      </w:r>
    </w:p>
    <w:p w14:paraId="4C719A74" w14:textId="614CE01F" w:rsidR="00F40027" w:rsidRPr="00D87C83" w:rsidRDefault="00F40027">
      <w:pPr>
        <w:pStyle w:val="NoSpacing"/>
        <w:numPr>
          <w:ilvl w:val="0"/>
          <w:numId w:val="48"/>
        </w:numPr>
        <w:jc w:val="both"/>
        <w:rPr>
          <w:rFonts w:ascii="Times New Roman" w:hAnsi="Times New Roman" w:cs="Times New Roman"/>
          <w:sz w:val="18"/>
          <w:szCs w:val="16"/>
        </w:rPr>
      </w:pPr>
      <w:r w:rsidRPr="00D87C83">
        <w:rPr>
          <w:rFonts w:ascii="Times New Roman" w:hAnsi="Times New Roman" w:cs="Times New Roman"/>
          <w:sz w:val="18"/>
          <w:szCs w:val="16"/>
        </w:rPr>
        <w:t>This exercise has been done in terms of 17 representative categories of posts which should account for bulk of the employees. These categories have been grouped in the different emolument range as shown in Table 1 enclosed. Total number of employees in each State is given in Table 2.</w:t>
      </w:r>
    </w:p>
    <w:p w14:paraId="3D3F3D6A" w14:textId="5D3EF25B" w:rsidR="00F40027" w:rsidRPr="00D87C83" w:rsidRDefault="00F40027">
      <w:pPr>
        <w:pStyle w:val="NoSpacing"/>
        <w:numPr>
          <w:ilvl w:val="0"/>
          <w:numId w:val="48"/>
        </w:numPr>
        <w:jc w:val="both"/>
        <w:rPr>
          <w:rFonts w:ascii="Times New Roman" w:hAnsi="Times New Roman" w:cs="Times New Roman"/>
          <w:sz w:val="18"/>
          <w:szCs w:val="16"/>
        </w:rPr>
      </w:pPr>
      <w:r w:rsidRPr="00D87C83">
        <w:rPr>
          <w:rFonts w:ascii="Times New Roman" w:hAnsi="Times New Roman" w:cs="Times New Roman"/>
          <w:sz w:val="18"/>
          <w:szCs w:val="16"/>
        </w:rPr>
        <w:t>The comparison between the pay of employees in each category under the Central Government and those under each of the State Governments has been done in terms of basic pay at the minimum of the pay scales, the provision for payment of DA at par with the Central Government having been allowed separately in our assessment.</w:t>
      </w:r>
    </w:p>
    <w:p w14:paraId="3E23ED37" w14:textId="52E478E1" w:rsidR="00F40027" w:rsidRPr="00D87C83" w:rsidRDefault="00F40027">
      <w:pPr>
        <w:pStyle w:val="NoSpacing"/>
        <w:numPr>
          <w:ilvl w:val="0"/>
          <w:numId w:val="48"/>
        </w:numPr>
        <w:jc w:val="both"/>
        <w:rPr>
          <w:rFonts w:ascii="Times New Roman" w:hAnsi="Times New Roman" w:cs="Times New Roman"/>
          <w:sz w:val="18"/>
          <w:szCs w:val="16"/>
        </w:rPr>
      </w:pPr>
      <w:r w:rsidRPr="00D87C83">
        <w:rPr>
          <w:rFonts w:ascii="Times New Roman" w:hAnsi="Times New Roman" w:cs="Times New Roman"/>
          <w:sz w:val="18"/>
          <w:szCs w:val="16"/>
        </w:rPr>
        <w:t>The comparison of basic pay of employees under the Central Government and each of the States has been done as on 1.1.1989. For this purpose, the basic pay of specified categories of State employees has been notionally adjusted to CPI</w:t>
      </w:r>
      <w:r w:rsidRPr="00D87C83">
        <w:rPr>
          <w:rStyle w:val="FootnoteReference"/>
          <w:rFonts w:ascii="Times New Roman" w:hAnsi="Times New Roman" w:cs="Times New Roman"/>
          <w:sz w:val="18"/>
          <w:szCs w:val="16"/>
        </w:rPr>
        <w:footnoteReference w:id="12"/>
      </w:r>
      <w:r w:rsidRPr="00D87C83">
        <w:rPr>
          <w:rFonts w:ascii="Times New Roman" w:hAnsi="Times New Roman" w:cs="Times New Roman"/>
          <w:sz w:val="18"/>
          <w:szCs w:val="16"/>
        </w:rPr>
        <w:t xml:space="preserve"> level 608 (1960 = 100) which was reached in December, 1985 and on which are based the revised pay scales (w.e.f. 1.1.86) of the Central Government employees on the recommendations of the Fourth Central Pay Commission. In the case of States which have not revised scales of pay after 1.1.86 and wherein pay scales are linked to index level of less than 608, the basic pay of selected categories of employees has been proportionately increased to work out the notional basic pay at index level 608. States of Assam, Bihar, Kerala, Orissa, Tamil Nadu, Uttar Pradesh and West Bengal fall in this category. Similarly, in case of States which have revised scales of pay between 1.1.86 and 1.1.89 and whose scales of pay are linked to index level higher than 608, the basic pay of selected categories of employees in these States has been proportionately reduced to work out the notional basic pay at index level of 608. States of Karnataka, Meghalaya and Sikkim fall in this category. (Table3).</w:t>
      </w:r>
    </w:p>
    <w:p w14:paraId="03502B6E" w14:textId="21FE3831" w:rsidR="00F40027" w:rsidRPr="00D87C83" w:rsidRDefault="00F40027">
      <w:pPr>
        <w:pStyle w:val="NoSpacing"/>
        <w:numPr>
          <w:ilvl w:val="0"/>
          <w:numId w:val="48"/>
        </w:numPr>
        <w:jc w:val="both"/>
        <w:rPr>
          <w:rFonts w:ascii="Times New Roman" w:hAnsi="Times New Roman" w:cs="Times New Roman"/>
          <w:sz w:val="18"/>
          <w:szCs w:val="16"/>
        </w:rPr>
      </w:pPr>
      <w:r w:rsidRPr="00D87C83">
        <w:rPr>
          <w:rFonts w:ascii="Times New Roman" w:hAnsi="Times New Roman" w:cs="Times New Roman"/>
          <w:sz w:val="18"/>
          <w:szCs w:val="16"/>
        </w:rPr>
        <w:t>The average of the basic pay as on 1.1.89 under the Central Government and each State Government in respect of the selected categories of posts falling under each of the specified range of emoluments has been worked out and difference between the two ascertained. Thereafter, the percentage of this difference to average basic pay of State employees in each emoluments range has been derived.</w:t>
      </w:r>
    </w:p>
    <w:p w14:paraId="359EC346" w14:textId="30BE6B38" w:rsidR="00F40027" w:rsidRPr="00D87C83" w:rsidRDefault="00F40027">
      <w:pPr>
        <w:pStyle w:val="NoSpacing"/>
        <w:numPr>
          <w:ilvl w:val="0"/>
          <w:numId w:val="48"/>
        </w:numPr>
        <w:jc w:val="both"/>
        <w:rPr>
          <w:rFonts w:ascii="Times New Roman" w:hAnsi="Times New Roman" w:cs="Times New Roman"/>
          <w:sz w:val="18"/>
          <w:szCs w:val="16"/>
        </w:rPr>
      </w:pPr>
      <w:r w:rsidRPr="00D87C83">
        <w:rPr>
          <w:rFonts w:ascii="Times New Roman" w:hAnsi="Times New Roman" w:cs="Times New Roman"/>
          <w:sz w:val="18"/>
          <w:szCs w:val="16"/>
        </w:rPr>
        <w:t>As all the employees in a specific emoluments range are not expected to get the full benefit of the difference, the provision required for giving benefit of parity has been moderated as under:</w:t>
      </w:r>
    </w:p>
    <w:p w14:paraId="26B623A2" w14:textId="2F93FEB0" w:rsidR="00F40027" w:rsidRPr="00D87C83" w:rsidRDefault="00F40027">
      <w:pPr>
        <w:pStyle w:val="NoSpacing"/>
        <w:numPr>
          <w:ilvl w:val="0"/>
          <w:numId w:val="49"/>
        </w:numPr>
        <w:jc w:val="both"/>
        <w:rPr>
          <w:rFonts w:ascii="Times New Roman" w:hAnsi="Times New Roman" w:cs="Times New Roman"/>
          <w:sz w:val="18"/>
          <w:szCs w:val="16"/>
        </w:rPr>
      </w:pPr>
      <w:r w:rsidRPr="00D87C83">
        <w:rPr>
          <w:rFonts w:ascii="Times New Roman" w:hAnsi="Times New Roman" w:cs="Times New Roman"/>
          <w:sz w:val="18"/>
          <w:szCs w:val="16"/>
        </w:rPr>
        <w:t>if the percentage difference is 10 or below, the benefit has been allowed to 20 per cent of the number of employees in that range;</w:t>
      </w:r>
    </w:p>
    <w:p w14:paraId="16E7A6E8" w14:textId="023A163A" w:rsidR="00F40027" w:rsidRPr="003E7D62" w:rsidRDefault="00F40027">
      <w:pPr>
        <w:pStyle w:val="NoSpacing"/>
        <w:numPr>
          <w:ilvl w:val="0"/>
          <w:numId w:val="49"/>
        </w:numPr>
        <w:jc w:val="both"/>
        <w:rPr>
          <w:rFonts w:ascii="Times New Roman" w:hAnsi="Times New Roman" w:cs="Times New Roman"/>
          <w:sz w:val="18"/>
          <w:szCs w:val="16"/>
        </w:rPr>
      </w:pPr>
      <w:r w:rsidRPr="00D87C83">
        <w:rPr>
          <w:rFonts w:ascii="Times New Roman" w:hAnsi="Times New Roman" w:cs="Times New Roman"/>
          <w:sz w:val="18"/>
          <w:szCs w:val="16"/>
        </w:rPr>
        <w:t>in cases where the percentage difference is more than 10, the benefit has been extended to such number of employees which is equivalent to twice the percentage difference in that emoluments range. This is illustrated below:</w:t>
      </w:r>
    </w:p>
    <w:p w14:paraId="71E68DDF" w14:textId="77777777" w:rsidR="00F40027" w:rsidRPr="00D87C83" w:rsidRDefault="00F40027" w:rsidP="00E37D6A">
      <w:pPr>
        <w:pStyle w:val="NoSpacing"/>
        <w:ind w:left="720"/>
        <w:jc w:val="both"/>
        <w:rPr>
          <w:rFonts w:ascii="Times New Roman" w:hAnsi="Times New Roman" w:cs="Times New Roman"/>
          <w:sz w:val="18"/>
          <w:szCs w:val="16"/>
        </w:rPr>
      </w:pPr>
      <w:r w:rsidRPr="00D87C83">
        <w:rPr>
          <w:rFonts w:ascii="Times New Roman" w:hAnsi="Times New Roman" w:cs="Times New Roman"/>
          <w:sz w:val="18"/>
          <w:szCs w:val="16"/>
        </w:rPr>
        <w:t xml:space="preserve">If the percentage difference is 30, 60 per cent of the employees in the specified emolument range have been covered. However, if the percentage difference is more than 50, the coverage </w:t>
      </w:r>
      <w:proofErr w:type="gramStart"/>
      <w:r w:rsidRPr="00D87C83">
        <w:rPr>
          <w:rFonts w:ascii="Times New Roman" w:hAnsi="Times New Roman" w:cs="Times New Roman"/>
          <w:sz w:val="18"/>
          <w:szCs w:val="16"/>
        </w:rPr>
        <w:t>have</w:t>
      </w:r>
      <w:proofErr w:type="gramEnd"/>
      <w:r w:rsidRPr="00D87C83">
        <w:rPr>
          <w:rFonts w:ascii="Times New Roman" w:hAnsi="Times New Roman" w:cs="Times New Roman"/>
          <w:sz w:val="18"/>
          <w:szCs w:val="16"/>
        </w:rPr>
        <w:t xml:space="preserve"> been limited to 100 per cent of the employees.</w:t>
      </w:r>
    </w:p>
    <w:p w14:paraId="34DD8A97" w14:textId="3E768D67" w:rsidR="00F40027" w:rsidRPr="00D87C83" w:rsidRDefault="00F40027">
      <w:pPr>
        <w:pStyle w:val="NoSpacing"/>
        <w:numPr>
          <w:ilvl w:val="0"/>
          <w:numId w:val="48"/>
        </w:numPr>
        <w:jc w:val="both"/>
        <w:rPr>
          <w:rFonts w:ascii="Times New Roman" w:hAnsi="Times New Roman" w:cs="Times New Roman"/>
          <w:sz w:val="18"/>
          <w:szCs w:val="16"/>
        </w:rPr>
      </w:pPr>
      <w:r w:rsidRPr="00D87C83">
        <w:rPr>
          <w:rFonts w:ascii="Times New Roman" w:hAnsi="Times New Roman" w:cs="Times New Roman"/>
          <w:sz w:val="18"/>
          <w:szCs w:val="16"/>
        </w:rPr>
        <w:t xml:space="preserve">In the case of 10 States, viz., Arunachal Pradesh, Goa, Gujarat, Himachal Pradesh, Haryana, Maharashtra, Punjab, Meghalaya, Mizoram and Tripura, the average basic pay of State employees in selected categories in different emolument ranges was either equal to or more than the average basic pay of corresponding categories of Central </w:t>
      </w:r>
      <w:r w:rsidRPr="00D87C83">
        <w:rPr>
          <w:rFonts w:ascii="Times New Roman" w:hAnsi="Times New Roman" w:cs="Times New Roman"/>
          <w:sz w:val="18"/>
          <w:szCs w:val="16"/>
        </w:rPr>
        <w:t>Government employees. Thus, no provision for pay parity has been allowed in the case of these States. The provision for pay parity has been made in the case of remaining 15 States.</w:t>
      </w:r>
    </w:p>
    <w:p w14:paraId="6195BFC0" w14:textId="77777777" w:rsidR="00F40027" w:rsidRPr="00D87C83" w:rsidRDefault="00F40027" w:rsidP="00F40027">
      <w:pPr>
        <w:pStyle w:val="NoSpacing"/>
        <w:rPr>
          <w:rFonts w:ascii="Times New Roman" w:hAnsi="Times New Roman" w:cs="Times New Roman"/>
          <w:sz w:val="18"/>
          <w:szCs w:val="16"/>
        </w:rPr>
      </w:pPr>
    </w:p>
    <w:p w14:paraId="40118052" w14:textId="66F327B9" w:rsidR="00F40027" w:rsidRPr="003E7D62" w:rsidRDefault="00F40027" w:rsidP="003E7D62">
      <w:pPr>
        <w:spacing w:after="0"/>
        <w:jc w:val="center"/>
        <w:rPr>
          <w:rFonts w:ascii="Times New Roman" w:hAnsi="Times New Roman" w:cs="Times New Roman"/>
          <w:b/>
          <w:bCs/>
          <w:sz w:val="20"/>
          <w:szCs w:val="20"/>
        </w:rPr>
      </w:pPr>
      <w:r w:rsidRPr="003E7D62">
        <w:rPr>
          <w:rFonts w:ascii="Times New Roman" w:hAnsi="Times New Roman" w:cs="Times New Roman"/>
          <w:b/>
          <w:bCs/>
          <w:sz w:val="20"/>
          <w:szCs w:val="20"/>
        </w:rPr>
        <w:t>TABLE 1</w:t>
      </w:r>
      <w:r w:rsidR="00D915A2" w:rsidRPr="003E7D62">
        <w:rPr>
          <w:rFonts w:ascii="Times New Roman" w:hAnsi="Times New Roman" w:cs="Times New Roman"/>
          <w:b/>
          <w:bCs/>
          <w:sz w:val="20"/>
          <w:szCs w:val="20"/>
        </w:rPr>
        <w:br/>
      </w:r>
      <w:r w:rsidRPr="003E7D62">
        <w:rPr>
          <w:rFonts w:ascii="Times New Roman" w:hAnsi="Times New Roman" w:cs="Times New Roman"/>
          <w:b/>
          <w:bCs/>
          <w:sz w:val="20"/>
          <w:szCs w:val="20"/>
        </w:rPr>
        <w:t xml:space="preserve">Distribution </w:t>
      </w:r>
      <w:r w:rsidR="003E7D62" w:rsidRPr="003E7D62">
        <w:rPr>
          <w:rFonts w:ascii="Times New Roman" w:hAnsi="Times New Roman" w:cs="Times New Roman"/>
          <w:b/>
          <w:bCs/>
          <w:sz w:val="20"/>
          <w:szCs w:val="20"/>
        </w:rPr>
        <w:t>of</w:t>
      </w:r>
      <w:r w:rsidRPr="003E7D62">
        <w:rPr>
          <w:rFonts w:ascii="Times New Roman" w:hAnsi="Times New Roman" w:cs="Times New Roman"/>
          <w:b/>
          <w:bCs/>
          <w:sz w:val="20"/>
          <w:szCs w:val="20"/>
        </w:rPr>
        <w:t xml:space="preserve"> Categories </w:t>
      </w:r>
      <w:r w:rsidR="003E7D62" w:rsidRPr="003E7D62">
        <w:rPr>
          <w:rFonts w:ascii="Times New Roman" w:hAnsi="Times New Roman" w:cs="Times New Roman"/>
          <w:b/>
          <w:bCs/>
          <w:sz w:val="20"/>
          <w:szCs w:val="20"/>
        </w:rPr>
        <w:t>of</w:t>
      </w:r>
      <w:r w:rsidRPr="003E7D62">
        <w:rPr>
          <w:rFonts w:ascii="Times New Roman" w:hAnsi="Times New Roman" w:cs="Times New Roman"/>
          <w:b/>
          <w:bCs/>
          <w:sz w:val="20"/>
          <w:szCs w:val="20"/>
        </w:rPr>
        <w:t xml:space="preserve"> Employees </w:t>
      </w:r>
      <w:r w:rsidR="003E7D62" w:rsidRPr="003E7D62">
        <w:rPr>
          <w:rFonts w:ascii="Times New Roman" w:hAnsi="Times New Roman" w:cs="Times New Roman"/>
          <w:b/>
          <w:bCs/>
          <w:sz w:val="20"/>
          <w:szCs w:val="20"/>
        </w:rPr>
        <w:t>by</w:t>
      </w:r>
      <w:r w:rsidRPr="003E7D62">
        <w:rPr>
          <w:rFonts w:ascii="Times New Roman" w:hAnsi="Times New Roman" w:cs="Times New Roman"/>
          <w:b/>
          <w:bCs/>
          <w:sz w:val="20"/>
          <w:szCs w:val="20"/>
        </w:rPr>
        <w:t xml:space="preserve"> Emoluments Ranges</w:t>
      </w:r>
    </w:p>
    <w:tbl>
      <w:tblPr>
        <w:tblStyle w:val="TableGrid"/>
        <w:tblW w:w="4677" w:type="dxa"/>
        <w:jc w:val="center"/>
        <w:tblLook w:val="04A0" w:firstRow="1" w:lastRow="0" w:firstColumn="1" w:lastColumn="0" w:noHBand="0" w:noVBand="1"/>
      </w:tblPr>
      <w:tblGrid>
        <w:gridCol w:w="1559"/>
        <w:gridCol w:w="3118"/>
      </w:tblGrid>
      <w:tr w:rsidR="00F40027" w:rsidRPr="003E7D62" w14:paraId="758AD570" w14:textId="77777777" w:rsidTr="00C5721F">
        <w:trPr>
          <w:trHeight w:val="20"/>
          <w:jc w:val="center"/>
        </w:trPr>
        <w:tc>
          <w:tcPr>
            <w:tcW w:w="1559" w:type="dxa"/>
            <w:hideMark/>
          </w:tcPr>
          <w:p w14:paraId="7A74AD37" w14:textId="77777777" w:rsidR="00F40027" w:rsidRPr="003E7D62" w:rsidRDefault="00F40027" w:rsidP="00F40027">
            <w:pPr>
              <w:pStyle w:val="NoSpacing"/>
              <w:rPr>
                <w:rFonts w:ascii="Times New Roman" w:hAnsi="Times New Roman" w:cs="Times New Roman"/>
                <w:b/>
                <w:bCs/>
                <w:sz w:val="16"/>
                <w:szCs w:val="16"/>
              </w:rPr>
            </w:pPr>
            <w:r w:rsidRPr="003E7D62">
              <w:rPr>
                <w:rFonts w:ascii="Times New Roman" w:hAnsi="Times New Roman" w:cs="Times New Roman"/>
                <w:b/>
                <w:bCs/>
                <w:sz w:val="16"/>
                <w:szCs w:val="16"/>
              </w:rPr>
              <w:t>Emolument Range</w:t>
            </w:r>
          </w:p>
        </w:tc>
        <w:tc>
          <w:tcPr>
            <w:tcW w:w="3118" w:type="dxa"/>
            <w:hideMark/>
          </w:tcPr>
          <w:p w14:paraId="6926189B" w14:textId="77777777" w:rsidR="00F40027" w:rsidRPr="003E7D62" w:rsidRDefault="00F40027" w:rsidP="00F40027">
            <w:pPr>
              <w:pStyle w:val="NoSpacing"/>
              <w:rPr>
                <w:rFonts w:ascii="Times New Roman" w:hAnsi="Times New Roman" w:cs="Times New Roman"/>
                <w:b/>
                <w:bCs/>
                <w:sz w:val="16"/>
                <w:szCs w:val="16"/>
              </w:rPr>
            </w:pPr>
            <w:r w:rsidRPr="003E7D62">
              <w:rPr>
                <w:rFonts w:ascii="Times New Roman" w:hAnsi="Times New Roman" w:cs="Times New Roman"/>
                <w:b/>
                <w:bCs/>
                <w:sz w:val="16"/>
                <w:szCs w:val="16"/>
              </w:rPr>
              <w:t>Categories of Employees Covered</w:t>
            </w:r>
          </w:p>
        </w:tc>
      </w:tr>
      <w:tr w:rsidR="00F40027" w:rsidRPr="003E7D62" w14:paraId="35AF813A" w14:textId="77777777" w:rsidTr="00C5721F">
        <w:trPr>
          <w:trHeight w:val="20"/>
          <w:jc w:val="center"/>
        </w:trPr>
        <w:tc>
          <w:tcPr>
            <w:tcW w:w="1559" w:type="dxa"/>
            <w:hideMark/>
          </w:tcPr>
          <w:p w14:paraId="6A2B0F70"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I. Upto Rs.1600/- P.M.</w:t>
            </w:r>
          </w:p>
        </w:tc>
        <w:tc>
          <w:tcPr>
            <w:tcW w:w="3118" w:type="dxa"/>
            <w:hideMark/>
          </w:tcPr>
          <w:p w14:paraId="6C8B4951"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1. Peon</w:t>
            </w:r>
          </w:p>
          <w:p w14:paraId="6A9339C5"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2. Lower Division Clerk (LDC)</w:t>
            </w:r>
          </w:p>
          <w:p w14:paraId="73184250" w14:textId="41FB8E69"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3. Forest Guard</w:t>
            </w:r>
          </w:p>
          <w:p w14:paraId="48C53046"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4. Upper Division Clerk (UDC)</w:t>
            </w:r>
          </w:p>
          <w:p w14:paraId="7DFEBBC3" w14:textId="06B0D41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5. Constables</w:t>
            </w:r>
          </w:p>
          <w:p w14:paraId="263F8F1D"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6. Head Constable</w:t>
            </w:r>
          </w:p>
          <w:p w14:paraId="3AD42197" w14:textId="5CC254E4"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7. Primary School Teacher</w:t>
            </w:r>
          </w:p>
          <w:p w14:paraId="10FC2F4E" w14:textId="1F6D2FEC"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8. Pharmacist</w:t>
            </w:r>
          </w:p>
        </w:tc>
      </w:tr>
      <w:tr w:rsidR="00F40027" w:rsidRPr="003E7D62" w14:paraId="6F4C99D8" w14:textId="77777777" w:rsidTr="00C5721F">
        <w:trPr>
          <w:trHeight w:val="20"/>
          <w:jc w:val="center"/>
        </w:trPr>
        <w:tc>
          <w:tcPr>
            <w:tcW w:w="1559" w:type="dxa"/>
            <w:hideMark/>
          </w:tcPr>
          <w:p w14:paraId="28FD6943"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II. Rs.1601/- to Rs.2000/- P.M.</w:t>
            </w:r>
          </w:p>
        </w:tc>
        <w:tc>
          <w:tcPr>
            <w:tcW w:w="3118" w:type="dxa"/>
            <w:hideMark/>
          </w:tcPr>
          <w:p w14:paraId="7DB6642A"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1. Trained Graduate Teacher</w:t>
            </w:r>
          </w:p>
          <w:p w14:paraId="7B18BB21"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2. Revenue Inspector</w:t>
            </w:r>
          </w:p>
          <w:p w14:paraId="3A1E3327" w14:textId="2C595B85"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3. Naib Tehsildar</w:t>
            </w:r>
          </w:p>
          <w:p w14:paraId="717FC236"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4. Junior Engineer</w:t>
            </w:r>
          </w:p>
          <w:p w14:paraId="1CBBE4FE" w14:textId="2D7B6288"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5. Trained Nurse</w:t>
            </w:r>
          </w:p>
        </w:tc>
      </w:tr>
      <w:tr w:rsidR="00F40027" w:rsidRPr="003E7D62" w14:paraId="48D8B7C5" w14:textId="77777777" w:rsidTr="00C5721F">
        <w:trPr>
          <w:trHeight w:val="20"/>
          <w:jc w:val="center"/>
        </w:trPr>
        <w:tc>
          <w:tcPr>
            <w:tcW w:w="1559" w:type="dxa"/>
            <w:hideMark/>
          </w:tcPr>
          <w:p w14:paraId="68B6EECC"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III. Rs.2001/- to Rs.2500/-P.M.</w:t>
            </w:r>
          </w:p>
        </w:tc>
        <w:tc>
          <w:tcPr>
            <w:tcW w:w="3118" w:type="dxa"/>
            <w:hideMark/>
          </w:tcPr>
          <w:p w14:paraId="7A8CA972"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1. Tehsildar</w:t>
            </w:r>
          </w:p>
          <w:p w14:paraId="4CF407B6" w14:textId="153703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2. Assistant Engineer</w:t>
            </w:r>
          </w:p>
        </w:tc>
      </w:tr>
      <w:tr w:rsidR="00F40027" w:rsidRPr="003E7D62" w14:paraId="1FE08D10" w14:textId="77777777" w:rsidTr="00C5721F">
        <w:trPr>
          <w:trHeight w:val="20"/>
          <w:jc w:val="center"/>
        </w:trPr>
        <w:tc>
          <w:tcPr>
            <w:tcW w:w="1559" w:type="dxa"/>
            <w:hideMark/>
          </w:tcPr>
          <w:p w14:paraId="3D0ED490"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IV. Above Rs.2500/- P.M.</w:t>
            </w:r>
          </w:p>
        </w:tc>
        <w:tc>
          <w:tcPr>
            <w:tcW w:w="3118" w:type="dxa"/>
            <w:hideMark/>
          </w:tcPr>
          <w:p w14:paraId="5F5EA6F4" w14:textId="77777777"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1. Deputy Collector</w:t>
            </w:r>
          </w:p>
          <w:p w14:paraId="7CFD638A" w14:textId="55134583" w:rsidR="00F40027" w:rsidRPr="003E7D62" w:rsidRDefault="00F40027" w:rsidP="00F40027">
            <w:pPr>
              <w:pStyle w:val="NoSpacing"/>
              <w:rPr>
                <w:rFonts w:ascii="Times New Roman" w:hAnsi="Times New Roman" w:cs="Times New Roman"/>
                <w:sz w:val="16"/>
                <w:szCs w:val="16"/>
              </w:rPr>
            </w:pPr>
            <w:r w:rsidRPr="003E7D62">
              <w:rPr>
                <w:rFonts w:ascii="Times New Roman" w:hAnsi="Times New Roman" w:cs="Times New Roman"/>
                <w:sz w:val="16"/>
                <w:szCs w:val="16"/>
              </w:rPr>
              <w:t>2. Assistant Surgeon</w:t>
            </w:r>
          </w:p>
        </w:tc>
      </w:tr>
    </w:tbl>
    <w:p w14:paraId="04904FE5" w14:textId="7B5C98D9" w:rsidR="00F40027" w:rsidRPr="003E7D62" w:rsidRDefault="00F40027" w:rsidP="003E7D62">
      <w:pPr>
        <w:jc w:val="center"/>
        <w:rPr>
          <w:rFonts w:ascii="Times New Roman" w:hAnsi="Times New Roman" w:cs="Times New Roman"/>
          <w:b/>
          <w:bCs/>
          <w:sz w:val="20"/>
          <w:szCs w:val="20"/>
        </w:rPr>
      </w:pPr>
      <w:r w:rsidRPr="003E7D62">
        <w:rPr>
          <w:rFonts w:ascii="Times New Roman" w:hAnsi="Times New Roman" w:cs="Times New Roman"/>
          <w:b/>
          <w:bCs/>
          <w:sz w:val="20"/>
          <w:szCs w:val="20"/>
        </w:rPr>
        <w:t>TABLE 2</w:t>
      </w:r>
      <w:r w:rsidR="00D915A2" w:rsidRPr="003E7D62">
        <w:rPr>
          <w:rFonts w:ascii="Times New Roman" w:hAnsi="Times New Roman" w:cs="Times New Roman"/>
          <w:b/>
          <w:bCs/>
          <w:sz w:val="20"/>
          <w:szCs w:val="20"/>
        </w:rPr>
        <w:br/>
      </w:r>
      <w:r w:rsidRPr="003E7D62">
        <w:rPr>
          <w:rFonts w:ascii="Times New Roman" w:hAnsi="Times New Roman" w:cs="Times New Roman"/>
          <w:b/>
          <w:bCs/>
          <w:sz w:val="20"/>
          <w:szCs w:val="20"/>
        </w:rPr>
        <w:t xml:space="preserve">Number </w:t>
      </w:r>
      <w:proofErr w:type="gramStart"/>
      <w:r w:rsidRPr="003E7D62">
        <w:rPr>
          <w:rFonts w:ascii="Times New Roman" w:hAnsi="Times New Roman" w:cs="Times New Roman"/>
          <w:b/>
          <w:bCs/>
          <w:sz w:val="20"/>
          <w:szCs w:val="20"/>
        </w:rPr>
        <w:t>Of</w:t>
      </w:r>
      <w:proofErr w:type="gramEnd"/>
      <w:r w:rsidRPr="003E7D62">
        <w:rPr>
          <w:rFonts w:ascii="Times New Roman" w:hAnsi="Times New Roman" w:cs="Times New Roman"/>
          <w:b/>
          <w:bCs/>
          <w:sz w:val="20"/>
          <w:szCs w:val="20"/>
        </w:rPr>
        <w:t xml:space="preserve"> State Government Employees Including Employees </w:t>
      </w:r>
      <w:proofErr w:type="gramStart"/>
      <w:r w:rsidRPr="003E7D62">
        <w:rPr>
          <w:rFonts w:ascii="Times New Roman" w:hAnsi="Times New Roman" w:cs="Times New Roman"/>
          <w:b/>
          <w:bCs/>
          <w:sz w:val="20"/>
          <w:szCs w:val="20"/>
        </w:rPr>
        <w:t>Of</w:t>
      </w:r>
      <w:proofErr w:type="gramEnd"/>
      <w:r w:rsidRPr="003E7D62">
        <w:rPr>
          <w:rFonts w:ascii="Times New Roman" w:hAnsi="Times New Roman" w:cs="Times New Roman"/>
          <w:b/>
          <w:bCs/>
          <w:sz w:val="20"/>
          <w:szCs w:val="20"/>
        </w:rPr>
        <w:t xml:space="preserve"> Local Bodies </w:t>
      </w:r>
      <w:proofErr w:type="gramStart"/>
      <w:r w:rsidRPr="003E7D62">
        <w:rPr>
          <w:rFonts w:ascii="Times New Roman" w:hAnsi="Times New Roman" w:cs="Times New Roman"/>
          <w:b/>
          <w:bCs/>
          <w:sz w:val="20"/>
          <w:szCs w:val="20"/>
        </w:rPr>
        <w:t>And</w:t>
      </w:r>
      <w:proofErr w:type="gramEnd"/>
      <w:r w:rsidRPr="003E7D62">
        <w:rPr>
          <w:rFonts w:ascii="Times New Roman" w:hAnsi="Times New Roman" w:cs="Times New Roman"/>
          <w:b/>
          <w:bCs/>
          <w:sz w:val="20"/>
          <w:szCs w:val="20"/>
        </w:rPr>
        <w:t xml:space="preserve"> Aided </w:t>
      </w:r>
      <w:r w:rsidR="003E7D62">
        <w:rPr>
          <w:rFonts w:ascii="Times New Roman" w:hAnsi="Times New Roman" w:cs="Times New Roman"/>
          <w:b/>
          <w:bCs/>
          <w:sz w:val="20"/>
          <w:szCs w:val="20"/>
        </w:rPr>
        <w:br/>
      </w:r>
      <w:r w:rsidRPr="003E7D62">
        <w:rPr>
          <w:rFonts w:ascii="Times New Roman" w:hAnsi="Times New Roman" w:cs="Times New Roman"/>
          <w:b/>
          <w:bCs/>
          <w:sz w:val="20"/>
          <w:szCs w:val="20"/>
        </w:rPr>
        <w:t xml:space="preserve">Institutions </w:t>
      </w:r>
      <w:proofErr w:type="gramStart"/>
      <w:r w:rsidRPr="003E7D62">
        <w:rPr>
          <w:rFonts w:ascii="Times New Roman" w:hAnsi="Times New Roman" w:cs="Times New Roman"/>
          <w:b/>
          <w:bCs/>
          <w:sz w:val="20"/>
          <w:szCs w:val="20"/>
        </w:rPr>
        <w:t>As</w:t>
      </w:r>
      <w:proofErr w:type="gramEnd"/>
      <w:r w:rsidRPr="003E7D62">
        <w:rPr>
          <w:rFonts w:ascii="Times New Roman" w:hAnsi="Times New Roman" w:cs="Times New Roman"/>
          <w:b/>
          <w:bCs/>
          <w:sz w:val="20"/>
          <w:szCs w:val="20"/>
        </w:rPr>
        <w:t xml:space="preserve"> On 1-1-1989.</w:t>
      </w:r>
    </w:p>
    <w:tbl>
      <w:tblPr>
        <w:tblStyle w:val="TableGrid"/>
        <w:tblW w:w="4960" w:type="dxa"/>
        <w:jc w:val="center"/>
        <w:tblLook w:val="04A0" w:firstRow="1" w:lastRow="0" w:firstColumn="1" w:lastColumn="0" w:noHBand="0" w:noVBand="1"/>
      </w:tblPr>
      <w:tblGrid>
        <w:gridCol w:w="479"/>
        <w:gridCol w:w="1311"/>
        <w:gridCol w:w="1079"/>
        <w:gridCol w:w="1041"/>
        <w:gridCol w:w="1050"/>
      </w:tblGrid>
      <w:tr w:rsidR="00D76E4F" w:rsidRPr="003E7D62" w14:paraId="36A12CAE" w14:textId="77777777" w:rsidTr="00C5721F">
        <w:trPr>
          <w:trHeight w:val="26"/>
          <w:jc w:val="center"/>
        </w:trPr>
        <w:tc>
          <w:tcPr>
            <w:tcW w:w="483" w:type="dxa"/>
            <w:vAlign w:val="center"/>
            <w:hideMark/>
          </w:tcPr>
          <w:p w14:paraId="2F55B6B2" w14:textId="77777777" w:rsidR="00F40027" w:rsidRPr="003E7D62" w:rsidRDefault="00F40027" w:rsidP="00D915A2">
            <w:pPr>
              <w:pStyle w:val="NoSpacing"/>
              <w:jc w:val="center"/>
              <w:rPr>
                <w:rFonts w:ascii="Times New Roman" w:hAnsi="Times New Roman" w:cs="Times New Roman"/>
                <w:sz w:val="16"/>
                <w:szCs w:val="16"/>
              </w:rPr>
            </w:pPr>
          </w:p>
        </w:tc>
        <w:tc>
          <w:tcPr>
            <w:tcW w:w="1330" w:type="dxa"/>
            <w:vAlign w:val="center"/>
            <w:hideMark/>
          </w:tcPr>
          <w:p w14:paraId="064E8E7A" w14:textId="77777777" w:rsidR="00F40027" w:rsidRPr="003E7D62" w:rsidRDefault="00F40027" w:rsidP="00D915A2">
            <w:pPr>
              <w:pStyle w:val="NoSpacing"/>
              <w:rPr>
                <w:rFonts w:ascii="Times New Roman" w:hAnsi="Times New Roman" w:cs="Times New Roman"/>
                <w:sz w:val="16"/>
                <w:szCs w:val="16"/>
              </w:rPr>
            </w:pPr>
          </w:p>
        </w:tc>
        <w:tc>
          <w:tcPr>
            <w:tcW w:w="1017" w:type="dxa"/>
            <w:vAlign w:val="center"/>
            <w:hideMark/>
          </w:tcPr>
          <w:p w14:paraId="0EBCA08F" w14:textId="77777777" w:rsidR="00F40027" w:rsidRPr="003E7D62" w:rsidRDefault="00F40027" w:rsidP="00D915A2">
            <w:pPr>
              <w:pStyle w:val="NoSpacing"/>
              <w:jc w:val="center"/>
              <w:rPr>
                <w:rFonts w:ascii="Times New Roman" w:hAnsi="Times New Roman" w:cs="Times New Roman"/>
                <w:b/>
                <w:bCs/>
                <w:sz w:val="16"/>
                <w:szCs w:val="16"/>
              </w:rPr>
            </w:pPr>
            <w:r w:rsidRPr="003E7D62">
              <w:rPr>
                <w:rFonts w:ascii="Times New Roman" w:hAnsi="Times New Roman" w:cs="Times New Roman"/>
                <w:b/>
                <w:bCs/>
                <w:sz w:val="16"/>
                <w:szCs w:val="16"/>
              </w:rPr>
              <w:t>State Government</w:t>
            </w:r>
          </w:p>
        </w:tc>
        <w:tc>
          <w:tcPr>
            <w:tcW w:w="1063" w:type="dxa"/>
            <w:vAlign w:val="center"/>
            <w:hideMark/>
          </w:tcPr>
          <w:p w14:paraId="7568574D" w14:textId="77777777" w:rsidR="00F40027" w:rsidRPr="003E7D62" w:rsidRDefault="00F40027" w:rsidP="00D915A2">
            <w:pPr>
              <w:pStyle w:val="NoSpacing"/>
              <w:jc w:val="center"/>
              <w:rPr>
                <w:rFonts w:ascii="Times New Roman" w:hAnsi="Times New Roman" w:cs="Times New Roman"/>
                <w:b/>
                <w:bCs/>
                <w:sz w:val="16"/>
                <w:szCs w:val="16"/>
              </w:rPr>
            </w:pPr>
            <w:r w:rsidRPr="003E7D62">
              <w:rPr>
                <w:rFonts w:ascii="Times New Roman" w:hAnsi="Times New Roman" w:cs="Times New Roman"/>
                <w:b/>
                <w:bCs/>
                <w:sz w:val="16"/>
                <w:szCs w:val="16"/>
              </w:rPr>
              <w:t>Local Bodies</w:t>
            </w:r>
          </w:p>
        </w:tc>
        <w:tc>
          <w:tcPr>
            <w:tcW w:w="1067" w:type="dxa"/>
            <w:vAlign w:val="center"/>
            <w:hideMark/>
          </w:tcPr>
          <w:p w14:paraId="3EEA1E82" w14:textId="77777777" w:rsidR="00F40027" w:rsidRPr="003E7D62" w:rsidRDefault="00F40027" w:rsidP="00D915A2">
            <w:pPr>
              <w:pStyle w:val="NoSpacing"/>
              <w:jc w:val="center"/>
              <w:rPr>
                <w:rFonts w:ascii="Times New Roman" w:hAnsi="Times New Roman" w:cs="Times New Roman"/>
                <w:b/>
                <w:bCs/>
                <w:sz w:val="16"/>
                <w:szCs w:val="16"/>
              </w:rPr>
            </w:pPr>
            <w:r w:rsidRPr="003E7D62">
              <w:rPr>
                <w:rFonts w:ascii="Times New Roman" w:hAnsi="Times New Roman" w:cs="Times New Roman"/>
                <w:b/>
                <w:bCs/>
                <w:sz w:val="16"/>
                <w:szCs w:val="16"/>
              </w:rPr>
              <w:t>Total</w:t>
            </w:r>
          </w:p>
        </w:tc>
      </w:tr>
      <w:tr w:rsidR="00D76E4F" w:rsidRPr="003E7D62" w14:paraId="6DD47F3F" w14:textId="77777777" w:rsidTr="00C5721F">
        <w:trPr>
          <w:trHeight w:val="26"/>
          <w:jc w:val="center"/>
        </w:trPr>
        <w:tc>
          <w:tcPr>
            <w:tcW w:w="483" w:type="dxa"/>
            <w:vAlign w:val="center"/>
            <w:hideMark/>
          </w:tcPr>
          <w:p w14:paraId="603BE5A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w:t>
            </w:r>
          </w:p>
        </w:tc>
        <w:tc>
          <w:tcPr>
            <w:tcW w:w="1330" w:type="dxa"/>
            <w:vAlign w:val="center"/>
            <w:hideMark/>
          </w:tcPr>
          <w:p w14:paraId="74E70F36"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Andhra Pradesh</w:t>
            </w:r>
          </w:p>
        </w:tc>
        <w:tc>
          <w:tcPr>
            <w:tcW w:w="1017" w:type="dxa"/>
            <w:vAlign w:val="center"/>
            <w:hideMark/>
          </w:tcPr>
          <w:p w14:paraId="5F3F840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383709</w:t>
            </w:r>
          </w:p>
        </w:tc>
        <w:tc>
          <w:tcPr>
            <w:tcW w:w="1063" w:type="dxa"/>
            <w:vAlign w:val="center"/>
            <w:hideMark/>
          </w:tcPr>
          <w:p w14:paraId="22B7D7B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349712</w:t>
            </w:r>
          </w:p>
        </w:tc>
        <w:tc>
          <w:tcPr>
            <w:tcW w:w="1067" w:type="dxa"/>
            <w:vAlign w:val="center"/>
            <w:hideMark/>
          </w:tcPr>
          <w:p w14:paraId="01DBF1B6"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733421</w:t>
            </w:r>
          </w:p>
        </w:tc>
      </w:tr>
      <w:tr w:rsidR="00D76E4F" w:rsidRPr="003E7D62" w14:paraId="7B793B9A" w14:textId="77777777" w:rsidTr="00C5721F">
        <w:trPr>
          <w:trHeight w:val="26"/>
          <w:jc w:val="center"/>
        </w:trPr>
        <w:tc>
          <w:tcPr>
            <w:tcW w:w="483" w:type="dxa"/>
            <w:vAlign w:val="center"/>
            <w:hideMark/>
          </w:tcPr>
          <w:p w14:paraId="0C229392"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w:t>
            </w:r>
          </w:p>
        </w:tc>
        <w:tc>
          <w:tcPr>
            <w:tcW w:w="1330" w:type="dxa"/>
            <w:vAlign w:val="center"/>
            <w:hideMark/>
          </w:tcPr>
          <w:p w14:paraId="25840003"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Arunachal Pradesh</w:t>
            </w:r>
          </w:p>
        </w:tc>
        <w:tc>
          <w:tcPr>
            <w:tcW w:w="1017" w:type="dxa"/>
            <w:vAlign w:val="center"/>
            <w:hideMark/>
          </w:tcPr>
          <w:p w14:paraId="540140D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35740</w:t>
            </w:r>
          </w:p>
        </w:tc>
        <w:tc>
          <w:tcPr>
            <w:tcW w:w="1063" w:type="dxa"/>
            <w:vAlign w:val="center"/>
            <w:hideMark/>
          </w:tcPr>
          <w:p w14:paraId="4F224CF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71EF115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35740</w:t>
            </w:r>
          </w:p>
        </w:tc>
      </w:tr>
      <w:tr w:rsidR="00D76E4F" w:rsidRPr="003E7D62" w14:paraId="3C4006E6" w14:textId="77777777" w:rsidTr="00C5721F">
        <w:trPr>
          <w:trHeight w:val="26"/>
          <w:jc w:val="center"/>
        </w:trPr>
        <w:tc>
          <w:tcPr>
            <w:tcW w:w="483" w:type="dxa"/>
            <w:vAlign w:val="center"/>
            <w:hideMark/>
          </w:tcPr>
          <w:p w14:paraId="74F06CA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w:t>
            </w:r>
          </w:p>
        </w:tc>
        <w:tc>
          <w:tcPr>
            <w:tcW w:w="1330" w:type="dxa"/>
            <w:vAlign w:val="center"/>
            <w:hideMark/>
          </w:tcPr>
          <w:p w14:paraId="4685C159"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Assam</w:t>
            </w:r>
          </w:p>
        </w:tc>
        <w:tc>
          <w:tcPr>
            <w:tcW w:w="1017" w:type="dxa"/>
            <w:vAlign w:val="center"/>
            <w:hideMark/>
          </w:tcPr>
          <w:p w14:paraId="14575C76"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329487</w:t>
            </w:r>
          </w:p>
        </w:tc>
        <w:tc>
          <w:tcPr>
            <w:tcW w:w="1063" w:type="dxa"/>
            <w:vAlign w:val="center"/>
            <w:hideMark/>
          </w:tcPr>
          <w:p w14:paraId="7682C845"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28581</w:t>
            </w:r>
          </w:p>
        </w:tc>
        <w:tc>
          <w:tcPr>
            <w:tcW w:w="1067" w:type="dxa"/>
            <w:vAlign w:val="center"/>
            <w:hideMark/>
          </w:tcPr>
          <w:p w14:paraId="124A021E"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358068</w:t>
            </w:r>
          </w:p>
        </w:tc>
      </w:tr>
      <w:tr w:rsidR="00D76E4F" w:rsidRPr="003E7D62" w14:paraId="01FD2495" w14:textId="77777777" w:rsidTr="00C5721F">
        <w:trPr>
          <w:trHeight w:val="26"/>
          <w:jc w:val="center"/>
        </w:trPr>
        <w:tc>
          <w:tcPr>
            <w:tcW w:w="483" w:type="dxa"/>
            <w:vAlign w:val="center"/>
            <w:hideMark/>
          </w:tcPr>
          <w:p w14:paraId="7F5582C3"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w:t>
            </w:r>
          </w:p>
        </w:tc>
        <w:tc>
          <w:tcPr>
            <w:tcW w:w="1330" w:type="dxa"/>
            <w:vAlign w:val="center"/>
            <w:hideMark/>
          </w:tcPr>
          <w:p w14:paraId="0E86718C"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Bihar</w:t>
            </w:r>
          </w:p>
        </w:tc>
        <w:tc>
          <w:tcPr>
            <w:tcW w:w="1017" w:type="dxa"/>
            <w:vAlign w:val="center"/>
            <w:hideMark/>
          </w:tcPr>
          <w:p w14:paraId="56BEC15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869065</w:t>
            </w:r>
          </w:p>
        </w:tc>
        <w:tc>
          <w:tcPr>
            <w:tcW w:w="1063" w:type="dxa"/>
            <w:vAlign w:val="center"/>
            <w:hideMark/>
          </w:tcPr>
          <w:p w14:paraId="6F0B999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66281</w:t>
            </w:r>
          </w:p>
        </w:tc>
        <w:tc>
          <w:tcPr>
            <w:tcW w:w="1067" w:type="dxa"/>
            <w:vAlign w:val="center"/>
            <w:hideMark/>
          </w:tcPr>
          <w:p w14:paraId="2B0F38A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935346</w:t>
            </w:r>
          </w:p>
        </w:tc>
      </w:tr>
      <w:tr w:rsidR="00D76E4F" w:rsidRPr="003E7D62" w14:paraId="0E3EFBDF" w14:textId="77777777" w:rsidTr="00C5721F">
        <w:trPr>
          <w:trHeight w:val="26"/>
          <w:jc w:val="center"/>
        </w:trPr>
        <w:tc>
          <w:tcPr>
            <w:tcW w:w="483" w:type="dxa"/>
            <w:vAlign w:val="center"/>
            <w:hideMark/>
          </w:tcPr>
          <w:p w14:paraId="6771074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w:t>
            </w:r>
          </w:p>
        </w:tc>
        <w:tc>
          <w:tcPr>
            <w:tcW w:w="1330" w:type="dxa"/>
            <w:vAlign w:val="center"/>
            <w:hideMark/>
          </w:tcPr>
          <w:p w14:paraId="7631DE07"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Goa</w:t>
            </w:r>
          </w:p>
        </w:tc>
        <w:tc>
          <w:tcPr>
            <w:tcW w:w="1017" w:type="dxa"/>
            <w:vAlign w:val="center"/>
            <w:hideMark/>
          </w:tcPr>
          <w:p w14:paraId="721FA73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30365</w:t>
            </w:r>
          </w:p>
        </w:tc>
        <w:tc>
          <w:tcPr>
            <w:tcW w:w="1063" w:type="dxa"/>
            <w:vAlign w:val="center"/>
            <w:hideMark/>
          </w:tcPr>
          <w:p w14:paraId="435E6F0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4960</w:t>
            </w:r>
          </w:p>
        </w:tc>
        <w:tc>
          <w:tcPr>
            <w:tcW w:w="1067" w:type="dxa"/>
            <w:vAlign w:val="center"/>
            <w:hideMark/>
          </w:tcPr>
          <w:p w14:paraId="18D714A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35325</w:t>
            </w:r>
          </w:p>
        </w:tc>
      </w:tr>
      <w:tr w:rsidR="00D76E4F" w:rsidRPr="003E7D62" w14:paraId="4F629572" w14:textId="77777777" w:rsidTr="00C5721F">
        <w:trPr>
          <w:trHeight w:val="26"/>
          <w:jc w:val="center"/>
        </w:trPr>
        <w:tc>
          <w:tcPr>
            <w:tcW w:w="483" w:type="dxa"/>
            <w:vAlign w:val="center"/>
            <w:hideMark/>
          </w:tcPr>
          <w:p w14:paraId="215140E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6.</w:t>
            </w:r>
          </w:p>
        </w:tc>
        <w:tc>
          <w:tcPr>
            <w:tcW w:w="1330" w:type="dxa"/>
            <w:vAlign w:val="center"/>
            <w:hideMark/>
          </w:tcPr>
          <w:p w14:paraId="45339BCF"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Gujarat</w:t>
            </w:r>
          </w:p>
        </w:tc>
        <w:tc>
          <w:tcPr>
            <w:tcW w:w="1017" w:type="dxa"/>
            <w:vAlign w:val="center"/>
            <w:hideMark/>
          </w:tcPr>
          <w:p w14:paraId="67ED2F63"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255266</w:t>
            </w:r>
          </w:p>
        </w:tc>
        <w:tc>
          <w:tcPr>
            <w:tcW w:w="1063" w:type="dxa"/>
            <w:vAlign w:val="center"/>
            <w:hideMark/>
          </w:tcPr>
          <w:p w14:paraId="113FC4F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567486C2"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255266</w:t>
            </w:r>
          </w:p>
        </w:tc>
      </w:tr>
      <w:tr w:rsidR="00D76E4F" w:rsidRPr="003E7D62" w14:paraId="01A62032" w14:textId="77777777" w:rsidTr="00C5721F">
        <w:trPr>
          <w:trHeight w:val="26"/>
          <w:jc w:val="center"/>
        </w:trPr>
        <w:tc>
          <w:tcPr>
            <w:tcW w:w="483" w:type="dxa"/>
            <w:vAlign w:val="center"/>
            <w:hideMark/>
          </w:tcPr>
          <w:p w14:paraId="140C0F82"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w:t>
            </w:r>
          </w:p>
        </w:tc>
        <w:tc>
          <w:tcPr>
            <w:tcW w:w="1330" w:type="dxa"/>
            <w:vAlign w:val="center"/>
            <w:hideMark/>
          </w:tcPr>
          <w:p w14:paraId="2DBBA094"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Haryana</w:t>
            </w:r>
          </w:p>
        </w:tc>
        <w:tc>
          <w:tcPr>
            <w:tcW w:w="1017" w:type="dxa"/>
            <w:vAlign w:val="center"/>
            <w:hideMark/>
          </w:tcPr>
          <w:p w14:paraId="120C2A0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3" w:type="dxa"/>
            <w:vAlign w:val="center"/>
            <w:hideMark/>
          </w:tcPr>
          <w:p w14:paraId="77B432D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570F5113"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266260</w:t>
            </w:r>
          </w:p>
        </w:tc>
      </w:tr>
      <w:tr w:rsidR="00D76E4F" w:rsidRPr="003E7D62" w14:paraId="0FA4F1C1" w14:textId="77777777" w:rsidTr="00C5721F">
        <w:trPr>
          <w:trHeight w:val="26"/>
          <w:jc w:val="center"/>
        </w:trPr>
        <w:tc>
          <w:tcPr>
            <w:tcW w:w="483" w:type="dxa"/>
            <w:vAlign w:val="center"/>
            <w:hideMark/>
          </w:tcPr>
          <w:p w14:paraId="5D2DCCE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8.</w:t>
            </w:r>
          </w:p>
        </w:tc>
        <w:tc>
          <w:tcPr>
            <w:tcW w:w="1330" w:type="dxa"/>
            <w:vAlign w:val="center"/>
            <w:hideMark/>
          </w:tcPr>
          <w:p w14:paraId="411B3A66"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Himachal Pradesh</w:t>
            </w:r>
          </w:p>
        </w:tc>
        <w:tc>
          <w:tcPr>
            <w:tcW w:w="1017" w:type="dxa"/>
            <w:vAlign w:val="center"/>
            <w:hideMark/>
          </w:tcPr>
          <w:p w14:paraId="4C9C36FE"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108095</w:t>
            </w:r>
          </w:p>
        </w:tc>
        <w:tc>
          <w:tcPr>
            <w:tcW w:w="1063" w:type="dxa"/>
            <w:vAlign w:val="center"/>
            <w:hideMark/>
          </w:tcPr>
          <w:p w14:paraId="1FF6833F"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2349</w:t>
            </w:r>
          </w:p>
        </w:tc>
        <w:tc>
          <w:tcPr>
            <w:tcW w:w="1067" w:type="dxa"/>
            <w:vAlign w:val="center"/>
            <w:hideMark/>
          </w:tcPr>
          <w:p w14:paraId="4F15BA9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110444</w:t>
            </w:r>
          </w:p>
        </w:tc>
      </w:tr>
      <w:tr w:rsidR="00D76E4F" w:rsidRPr="003E7D62" w14:paraId="306D7DCE" w14:textId="77777777" w:rsidTr="00C5721F">
        <w:trPr>
          <w:trHeight w:val="26"/>
          <w:jc w:val="center"/>
        </w:trPr>
        <w:tc>
          <w:tcPr>
            <w:tcW w:w="483" w:type="dxa"/>
            <w:vAlign w:val="center"/>
            <w:hideMark/>
          </w:tcPr>
          <w:p w14:paraId="45DB2EF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9.</w:t>
            </w:r>
          </w:p>
        </w:tc>
        <w:tc>
          <w:tcPr>
            <w:tcW w:w="1330" w:type="dxa"/>
            <w:vAlign w:val="center"/>
            <w:hideMark/>
          </w:tcPr>
          <w:p w14:paraId="04A66A65"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Jammu &amp; Kashmir</w:t>
            </w:r>
          </w:p>
        </w:tc>
        <w:tc>
          <w:tcPr>
            <w:tcW w:w="1017" w:type="dxa"/>
            <w:vAlign w:val="center"/>
            <w:hideMark/>
          </w:tcPr>
          <w:p w14:paraId="7F4C46EE"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197752</w:t>
            </w:r>
          </w:p>
        </w:tc>
        <w:tc>
          <w:tcPr>
            <w:tcW w:w="1063" w:type="dxa"/>
            <w:vAlign w:val="center"/>
            <w:hideMark/>
          </w:tcPr>
          <w:p w14:paraId="2C4A190A"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7727</w:t>
            </w:r>
          </w:p>
        </w:tc>
        <w:tc>
          <w:tcPr>
            <w:tcW w:w="1067" w:type="dxa"/>
            <w:vAlign w:val="center"/>
            <w:hideMark/>
          </w:tcPr>
          <w:p w14:paraId="31AF62C9"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205479</w:t>
            </w:r>
          </w:p>
        </w:tc>
      </w:tr>
      <w:tr w:rsidR="00D76E4F" w:rsidRPr="003E7D62" w14:paraId="705E3453" w14:textId="77777777" w:rsidTr="00C5721F">
        <w:trPr>
          <w:trHeight w:val="26"/>
          <w:jc w:val="center"/>
        </w:trPr>
        <w:tc>
          <w:tcPr>
            <w:tcW w:w="483" w:type="dxa"/>
            <w:vAlign w:val="center"/>
            <w:hideMark/>
          </w:tcPr>
          <w:p w14:paraId="738017EE"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10.</w:t>
            </w:r>
          </w:p>
        </w:tc>
        <w:tc>
          <w:tcPr>
            <w:tcW w:w="1330" w:type="dxa"/>
            <w:vAlign w:val="center"/>
            <w:hideMark/>
          </w:tcPr>
          <w:p w14:paraId="14230C56"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Karnataka</w:t>
            </w:r>
          </w:p>
        </w:tc>
        <w:tc>
          <w:tcPr>
            <w:tcW w:w="1017" w:type="dxa"/>
            <w:vAlign w:val="center"/>
            <w:hideMark/>
          </w:tcPr>
          <w:p w14:paraId="1F9CF0E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491806</w:t>
            </w:r>
          </w:p>
        </w:tc>
        <w:tc>
          <w:tcPr>
            <w:tcW w:w="1063" w:type="dxa"/>
            <w:vAlign w:val="center"/>
            <w:hideMark/>
          </w:tcPr>
          <w:p w14:paraId="62D3519E"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113912</w:t>
            </w:r>
          </w:p>
        </w:tc>
        <w:tc>
          <w:tcPr>
            <w:tcW w:w="1067" w:type="dxa"/>
            <w:vAlign w:val="center"/>
            <w:hideMark/>
          </w:tcPr>
          <w:p w14:paraId="5FEF09F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605718</w:t>
            </w:r>
          </w:p>
        </w:tc>
      </w:tr>
      <w:tr w:rsidR="00D76E4F" w:rsidRPr="003E7D62" w14:paraId="67CEA459" w14:textId="77777777" w:rsidTr="00C5721F">
        <w:trPr>
          <w:trHeight w:val="26"/>
          <w:jc w:val="center"/>
        </w:trPr>
        <w:tc>
          <w:tcPr>
            <w:tcW w:w="483" w:type="dxa"/>
            <w:vAlign w:val="center"/>
            <w:hideMark/>
          </w:tcPr>
          <w:p w14:paraId="690A4E0F"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11.</w:t>
            </w:r>
          </w:p>
        </w:tc>
        <w:tc>
          <w:tcPr>
            <w:tcW w:w="1330" w:type="dxa"/>
            <w:vAlign w:val="center"/>
            <w:hideMark/>
          </w:tcPr>
          <w:p w14:paraId="4B6183AB"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Kerala</w:t>
            </w:r>
          </w:p>
        </w:tc>
        <w:tc>
          <w:tcPr>
            <w:tcW w:w="1017" w:type="dxa"/>
            <w:vAlign w:val="center"/>
            <w:hideMark/>
          </w:tcPr>
          <w:p w14:paraId="7705186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3" w:type="dxa"/>
            <w:vAlign w:val="center"/>
            <w:hideMark/>
          </w:tcPr>
          <w:p w14:paraId="1985123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21196F46"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490242</w:t>
            </w:r>
          </w:p>
        </w:tc>
      </w:tr>
      <w:tr w:rsidR="00D76E4F" w:rsidRPr="003E7D62" w14:paraId="36640D30" w14:textId="77777777" w:rsidTr="00C5721F">
        <w:trPr>
          <w:trHeight w:val="26"/>
          <w:jc w:val="center"/>
        </w:trPr>
        <w:tc>
          <w:tcPr>
            <w:tcW w:w="483" w:type="dxa"/>
            <w:vAlign w:val="center"/>
            <w:hideMark/>
          </w:tcPr>
          <w:p w14:paraId="7D83D4F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12.</w:t>
            </w:r>
          </w:p>
        </w:tc>
        <w:tc>
          <w:tcPr>
            <w:tcW w:w="1330" w:type="dxa"/>
            <w:vAlign w:val="center"/>
            <w:hideMark/>
          </w:tcPr>
          <w:p w14:paraId="458D80B0"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Madhya Pradesh</w:t>
            </w:r>
          </w:p>
        </w:tc>
        <w:tc>
          <w:tcPr>
            <w:tcW w:w="1017" w:type="dxa"/>
            <w:vAlign w:val="center"/>
            <w:hideMark/>
          </w:tcPr>
          <w:p w14:paraId="608EB71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731842</w:t>
            </w:r>
          </w:p>
        </w:tc>
        <w:tc>
          <w:tcPr>
            <w:tcW w:w="1063" w:type="dxa"/>
            <w:vAlign w:val="center"/>
            <w:hideMark/>
          </w:tcPr>
          <w:p w14:paraId="5E125D9E"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49551</w:t>
            </w:r>
          </w:p>
        </w:tc>
        <w:tc>
          <w:tcPr>
            <w:tcW w:w="1067" w:type="dxa"/>
            <w:vAlign w:val="center"/>
            <w:hideMark/>
          </w:tcPr>
          <w:p w14:paraId="019E710F"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781393</w:t>
            </w:r>
          </w:p>
        </w:tc>
      </w:tr>
      <w:tr w:rsidR="00D76E4F" w:rsidRPr="003E7D62" w14:paraId="1D222930" w14:textId="77777777" w:rsidTr="00C5721F">
        <w:trPr>
          <w:trHeight w:val="26"/>
          <w:jc w:val="center"/>
        </w:trPr>
        <w:tc>
          <w:tcPr>
            <w:tcW w:w="483" w:type="dxa"/>
            <w:vAlign w:val="center"/>
            <w:hideMark/>
          </w:tcPr>
          <w:p w14:paraId="375AC1E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13.</w:t>
            </w:r>
          </w:p>
        </w:tc>
        <w:tc>
          <w:tcPr>
            <w:tcW w:w="1330" w:type="dxa"/>
            <w:vAlign w:val="center"/>
            <w:hideMark/>
          </w:tcPr>
          <w:p w14:paraId="2FCCB912"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Maharashtra</w:t>
            </w:r>
          </w:p>
        </w:tc>
        <w:tc>
          <w:tcPr>
            <w:tcW w:w="1017" w:type="dxa"/>
            <w:vAlign w:val="center"/>
            <w:hideMark/>
          </w:tcPr>
          <w:p w14:paraId="5BE4A355"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546141</w:t>
            </w:r>
          </w:p>
        </w:tc>
        <w:tc>
          <w:tcPr>
            <w:tcW w:w="1063" w:type="dxa"/>
            <w:vAlign w:val="center"/>
            <w:hideMark/>
          </w:tcPr>
          <w:p w14:paraId="6D5ACBC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290735</w:t>
            </w:r>
          </w:p>
        </w:tc>
        <w:tc>
          <w:tcPr>
            <w:tcW w:w="1067" w:type="dxa"/>
            <w:vAlign w:val="center"/>
            <w:hideMark/>
          </w:tcPr>
          <w:p w14:paraId="4F4820E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836876</w:t>
            </w:r>
          </w:p>
        </w:tc>
      </w:tr>
      <w:tr w:rsidR="00D76E4F" w:rsidRPr="003E7D62" w14:paraId="2544EE46" w14:textId="77777777" w:rsidTr="00C5721F">
        <w:trPr>
          <w:trHeight w:val="26"/>
          <w:jc w:val="center"/>
        </w:trPr>
        <w:tc>
          <w:tcPr>
            <w:tcW w:w="483" w:type="dxa"/>
            <w:vAlign w:val="center"/>
            <w:hideMark/>
          </w:tcPr>
          <w:p w14:paraId="4292DAE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14.</w:t>
            </w:r>
          </w:p>
        </w:tc>
        <w:tc>
          <w:tcPr>
            <w:tcW w:w="1330" w:type="dxa"/>
            <w:vAlign w:val="center"/>
            <w:hideMark/>
          </w:tcPr>
          <w:p w14:paraId="16E56A53"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Manipur</w:t>
            </w:r>
          </w:p>
        </w:tc>
        <w:tc>
          <w:tcPr>
            <w:tcW w:w="1017" w:type="dxa"/>
            <w:vAlign w:val="center"/>
            <w:hideMark/>
          </w:tcPr>
          <w:p w14:paraId="7A2CBCC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62589</w:t>
            </w:r>
          </w:p>
        </w:tc>
        <w:tc>
          <w:tcPr>
            <w:tcW w:w="1063" w:type="dxa"/>
            <w:vAlign w:val="center"/>
            <w:hideMark/>
          </w:tcPr>
          <w:p w14:paraId="21531B33"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5013</w:t>
            </w:r>
          </w:p>
        </w:tc>
        <w:tc>
          <w:tcPr>
            <w:tcW w:w="1067" w:type="dxa"/>
            <w:vAlign w:val="center"/>
            <w:hideMark/>
          </w:tcPr>
          <w:p w14:paraId="0C47459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67602</w:t>
            </w:r>
          </w:p>
        </w:tc>
      </w:tr>
      <w:tr w:rsidR="00D76E4F" w:rsidRPr="003E7D62" w14:paraId="1B4B481E" w14:textId="77777777" w:rsidTr="00C5721F">
        <w:trPr>
          <w:trHeight w:val="26"/>
          <w:jc w:val="center"/>
        </w:trPr>
        <w:tc>
          <w:tcPr>
            <w:tcW w:w="483" w:type="dxa"/>
            <w:vAlign w:val="center"/>
            <w:hideMark/>
          </w:tcPr>
          <w:p w14:paraId="6075AD0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15.</w:t>
            </w:r>
          </w:p>
        </w:tc>
        <w:tc>
          <w:tcPr>
            <w:tcW w:w="1330" w:type="dxa"/>
            <w:vAlign w:val="center"/>
            <w:hideMark/>
          </w:tcPr>
          <w:p w14:paraId="1D7C995A"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Meghalaya</w:t>
            </w:r>
          </w:p>
        </w:tc>
        <w:tc>
          <w:tcPr>
            <w:tcW w:w="1017" w:type="dxa"/>
            <w:vAlign w:val="center"/>
            <w:hideMark/>
          </w:tcPr>
          <w:p w14:paraId="5013CC1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36945</w:t>
            </w:r>
          </w:p>
        </w:tc>
        <w:tc>
          <w:tcPr>
            <w:tcW w:w="1063" w:type="dxa"/>
            <w:vAlign w:val="center"/>
            <w:hideMark/>
          </w:tcPr>
          <w:p w14:paraId="22886EC3"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15368</w:t>
            </w:r>
          </w:p>
        </w:tc>
        <w:tc>
          <w:tcPr>
            <w:tcW w:w="1067" w:type="dxa"/>
            <w:vAlign w:val="center"/>
            <w:hideMark/>
          </w:tcPr>
          <w:p w14:paraId="670DE65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52313</w:t>
            </w:r>
          </w:p>
        </w:tc>
      </w:tr>
      <w:tr w:rsidR="00D76E4F" w:rsidRPr="003E7D62" w14:paraId="0DB936E7" w14:textId="77777777" w:rsidTr="00C5721F">
        <w:trPr>
          <w:trHeight w:val="26"/>
          <w:jc w:val="center"/>
        </w:trPr>
        <w:tc>
          <w:tcPr>
            <w:tcW w:w="483" w:type="dxa"/>
            <w:vAlign w:val="center"/>
            <w:hideMark/>
          </w:tcPr>
          <w:p w14:paraId="321A6192"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16.</w:t>
            </w:r>
          </w:p>
        </w:tc>
        <w:tc>
          <w:tcPr>
            <w:tcW w:w="1330" w:type="dxa"/>
            <w:vAlign w:val="center"/>
            <w:hideMark/>
          </w:tcPr>
          <w:p w14:paraId="391DDA22"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Mizoram</w:t>
            </w:r>
          </w:p>
        </w:tc>
        <w:tc>
          <w:tcPr>
            <w:tcW w:w="1017" w:type="dxa"/>
            <w:vAlign w:val="center"/>
            <w:hideMark/>
          </w:tcPr>
          <w:p w14:paraId="494617C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25653</w:t>
            </w:r>
          </w:p>
        </w:tc>
        <w:tc>
          <w:tcPr>
            <w:tcW w:w="1063" w:type="dxa"/>
            <w:vAlign w:val="center"/>
            <w:hideMark/>
          </w:tcPr>
          <w:p w14:paraId="210A12F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20677</w:t>
            </w:r>
          </w:p>
        </w:tc>
        <w:tc>
          <w:tcPr>
            <w:tcW w:w="1067" w:type="dxa"/>
            <w:vAlign w:val="center"/>
            <w:hideMark/>
          </w:tcPr>
          <w:p w14:paraId="1A857A8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46330</w:t>
            </w:r>
          </w:p>
        </w:tc>
      </w:tr>
      <w:tr w:rsidR="00D76E4F" w:rsidRPr="003E7D62" w14:paraId="762F81AE" w14:textId="77777777" w:rsidTr="00C5721F">
        <w:trPr>
          <w:trHeight w:val="26"/>
          <w:jc w:val="center"/>
        </w:trPr>
        <w:tc>
          <w:tcPr>
            <w:tcW w:w="483" w:type="dxa"/>
            <w:vAlign w:val="center"/>
            <w:hideMark/>
          </w:tcPr>
          <w:p w14:paraId="157BEA7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17.</w:t>
            </w:r>
          </w:p>
        </w:tc>
        <w:tc>
          <w:tcPr>
            <w:tcW w:w="1330" w:type="dxa"/>
            <w:vAlign w:val="center"/>
            <w:hideMark/>
          </w:tcPr>
          <w:p w14:paraId="4DDE0FE6"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Nagaland</w:t>
            </w:r>
          </w:p>
        </w:tc>
        <w:tc>
          <w:tcPr>
            <w:tcW w:w="1017" w:type="dxa"/>
            <w:vAlign w:val="center"/>
            <w:hideMark/>
          </w:tcPr>
          <w:p w14:paraId="5B14C76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54567</w:t>
            </w:r>
          </w:p>
        </w:tc>
        <w:tc>
          <w:tcPr>
            <w:tcW w:w="1063" w:type="dxa"/>
            <w:vAlign w:val="center"/>
            <w:hideMark/>
          </w:tcPr>
          <w:p w14:paraId="47322331"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4353</w:t>
            </w:r>
          </w:p>
        </w:tc>
        <w:tc>
          <w:tcPr>
            <w:tcW w:w="1067" w:type="dxa"/>
            <w:vAlign w:val="center"/>
            <w:hideMark/>
          </w:tcPr>
          <w:p w14:paraId="697CDCC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58920</w:t>
            </w:r>
          </w:p>
        </w:tc>
      </w:tr>
      <w:tr w:rsidR="00D76E4F" w:rsidRPr="003E7D62" w14:paraId="55EDFC60" w14:textId="77777777" w:rsidTr="00C5721F">
        <w:trPr>
          <w:trHeight w:val="26"/>
          <w:jc w:val="center"/>
        </w:trPr>
        <w:tc>
          <w:tcPr>
            <w:tcW w:w="483" w:type="dxa"/>
            <w:vAlign w:val="center"/>
            <w:hideMark/>
          </w:tcPr>
          <w:p w14:paraId="178EEEE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18.</w:t>
            </w:r>
          </w:p>
        </w:tc>
        <w:tc>
          <w:tcPr>
            <w:tcW w:w="1330" w:type="dxa"/>
            <w:vAlign w:val="center"/>
            <w:hideMark/>
          </w:tcPr>
          <w:p w14:paraId="617066D7"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Orissa</w:t>
            </w:r>
          </w:p>
        </w:tc>
        <w:tc>
          <w:tcPr>
            <w:tcW w:w="1017" w:type="dxa"/>
            <w:vAlign w:val="center"/>
            <w:hideMark/>
          </w:tcPr>
          <w:p w14:paraId="30262C29"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293772</w:t>
            </w:r>
          </w:p>
        </w:tc>
        <w:tc>
          <w:tcPr>
            <w:tcW w:w="1063" w:type="dxa"/>
            <w:vAlign w:val="center"/>
            <w:hideMark/>
          </w:tcPr>
          <w:p w14:paraId="4378E382"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172400</w:t>
            </w:r>
          </w:p>
        </w:tc>
        <w:tc>
          <w:tcPr>
            <w:tcW w:w="1067" w:type="dxa"/>
            <w:vAlign w:val="center"/>
            <w:hideMark/>
          </w:tcPr>
          <w:p w14:paraId="0FBCB81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466172</w:t>
            </w:r>
          </w:p>
        </w:tc>
      </w:tr>
      <w:tr w:rsidR="00D76E4F" w:rsidRPr="003E7D62" w14:paraId="5F8CCF55" w14:textId="77777777" w:rsidTr="00C5721F">
        <w:trPr>
          <w:trHeight w:val="26"/>
          <w:jc w:val="center"/>
        </w:trPr>
        <w:tc>
          <w:tcPr>
            <w:tcW w:w="483" w:type="dxa"/>
            <w:vAlign w:val="center"/>
            <w:hideMark/>
          </w:tcPr>
          <w:p w14:paraId="25F7E26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19.</w:t>
            </w:r>
          </w:p>
        </w:tc>
        <w:tc>
          <w:tcPr>
            <w:tcW w:w="1330" w:type="dxa"/>
            <w:vAlign w:val="center"/>
            <w:hideMark/>
          </w:tcPr>
          <w:p w14:paraId="31B5D9CB"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Punjab</w:t>
            </w:r>
          </w:p>
        </w:tc>
        <w:tc>
          <w:tcPr>
            <w:tcW w:w="1017" w:type="dxa"/>
            <w:vAlign w:val="center"/>
            <w:hideMark/>
          </w:tcPr>
          <w:p w14:paraId="2871200F"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313575</w:t>
            </w:r>
          </w:p>
        </w:tc>
        <w:tc>
          <w:tcPr>
            <w:tcW w:w="1063" w:type="dxa"/>
            <w:vAlign w:val="center"/>
            <w:hideMark/>
          </w:tcPr>
          <w:p w14:paraId="16E794BA"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41563</w:t>
            </w:r>
          </w:p>
        </w:tc>
        <w:tc>
          <w:tcPr>
            <w:tcW w:w="1067" w:type="dxa"/>
            <w:vAlign w:val="center"/>
            <w:hideMark/>
          </w:tcPr>
          <w:p w14:paraId="4D415CAA"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355138</w:t>
            </w:r>
          </w:p>
        </w:tc>
      </w:tr>
      <w:tr w:rsidR="00D76E4F" w:rsidRPr="003E7D62" w14:paraId="49C38E7E" w14:textId="77777777" w:rsidTr="00C5721F">
        <w:trPr>
          <w:trHeight w:val="26"/>
          <w:jc w:val="center"/>
        </w:trPr>
        <w:tc>
          <w:tcPr>
            <w:tcW w:w="483" w:type="dxa"/>
            <w:vAlign w:val="center"/>
            <w:hideMark/>
          </w:tcPr>
          <w:p w14:paraId="37FAC719"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20.</w:t>
            </w:r>
          </w:p>
        </w:tc>
        <w:tc>
          <w:tcPr>
            <w:tcW w:w="1330" w:type="dxa"/>
            <w:vAlign w:val="center"/>
            <w:hideMark/>
          </w:tcPr>
          <w:p w14:paraId="2AB4CE0B"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Rajasthan</w:t>
            </w:r>
          </w:p>
        </w:tc>
        <w:tc>
          <w:tcPr>
            <w:tcW w:w="1017" w:type="dxa"/>
            <w:vAlign w:val="center"/>
            <w:hideMark/>
          </w:tcPr>
          <w:p w14:paraId="75514C2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3" w:type="dxa"/>
            <w:vAlign w:val="center"/>
            <w:hideMark/>
          </w:tcPr>
          <w:p w14:paraId="4AE3F519"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263E941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525000</w:t>
            </w:r>
          </w:p>
        </w:tc>
      </w:tr>
      <w:tr w:rsidR="00D76E4F" w:rsidRPr="003E7D62" w14:paraId="3864922B" w14:textId="77777777" w:rsidTr="00C5721F">
        <w:trPr>
          <w:trHeight w:val="26"/>
          <w:jc w:val="center"/>
        </w:trPr>
        <w:tc>
          <w:tcPr>
            <w:tcW w:w="483" w:type="dxa"/>
            <w:vAlign w:val="center"/>
            <w:hideMark/>
          </w:tcPr>
          <w:p w14:paraId="6E3E5FB2"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21.</w:t>
            </w:r>
          </w:p>
        </w:tc>
        <w:tc>
          <w:tcPr>
            <w:tcW w:w="1330" w:type="dxa"/>
            <w:vAlign w:val="center"/>
            <w:hideMark/>
          </w:tcPr>
          <w:p w14:paraId="69EA2D64"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Sikkim</w:t>
            </w:r>
          </w:p>
        </w:tc>
        <w:tc>
          <w:tcPr>
            <w:tcW w:w="1017" w:type="dxa"/>
            <w:vAlign w:val="center"/>
            <w:hideMark/>
          </w:tcPr>
          <w:p w14:paraId="57DC4DB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3" w:type="dxa"/>
            <w:vAlign w:val="center"/>
            <w:hideMark/>
          </w:tcPr>
          <w:p w14:paraId="399F218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28D6180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21917</w:t>
            </w:r>
          </w:p>
        </w:tc>
      </w:tr>
      <w:tr w:rsidR="00D76E4F" w:rsidRPr="003E7D62" w14:paraId="7109C6A3" w14:textId="77777777" w:rsidTr="00C5721F">
        <w:trPr>
          <w:trHeight w:val="26"/>
          <w:jc w:val="center"/>
        </w:trPr>
        <w:tc>
          <w:tcPr>
            <w:tcW w:w="483" w:type="dxa"/>
            <w:vAlign w:val="center"/>
            <w:hideMark/>
          </w:tcPr>
          <w:p w14:paraId="05485C5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22.</w:t>
            </w:r>
          </w:p>
        </w:tc>
        <w:tc>
          <w:tcPr>
            <w:tcW w:w="1330" w:type="dxa"/>
            <w:vAlign w:val="center"/>
            <w:hideMark/>
          </w:tcPr>
          <w:p w14:paraId="440BD5A4"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Tamil Nadu</w:t>
            </w:r>
          </w:p>
        </w:tc>
        <w:tc>
          <w:tcPr>
            <w:tcW w:w="1017" w:type="dxa"/>
            <w:vAlign w:val="center"/>
            <w:hideMark/>
          </w:tcPr>
          <w:p w14:paraId="150FD27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3" w:type="dxa"/>
            <w:vAlign w:val="center"/>
            <w:hideMark/>
          </w:tcPr>
          <w:p w14:paraId="1B09E99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N.A.</w:t>
            </w:r>
          </w:p>
        </w:tc>
        <w:tc>
          <w:tcPr>
            <w:tcW w:w="1067" w:type="dxa"/>
            <w:vAlign w:val="center"/>
            <w:hideMark/>
          </w:tcPr>
          <w:p w14:paraId="6651F3F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874005</w:t>
            </w:r>
          </w:p>
        </w:tc>
      </w:tr>
      <w:tr w:rsidR="00D76E4F" w:rsidRPr="003E7D62" w14:paraId="723C9FF6" w14:textId="77777777" w:rsidTr="00C5721F">
        <w:trPr>
          <w:trHeight w:val="26"/>
          <w:jc w:val="center"/>
        </w:trPr>
        <w:tc>
          <w:tcPr>
            <w:tcW w:w="483" w:type="dxa"/>
            <w:vAlign w:val="center"/>
            <w:hideMark/>
          </w:tcPr>
          <w:p w14:paraId="1F164EF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23.</w:t>
            </w:r>
          </w:p>
        </w:tc>
        <w:tc>
          <w:tcPr>
            <w:tcW w:w="1330" w:type="dxa"/>
            <w:vAlign w:val="center"/>
            <w:hideMark/>
          </w:tcPr>
          <w:p w14:paraId="35E0BF16"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Tripura</w:t>
            </w:r>
          </w:p>
        </w:tc>
        <w:tc>
          <w:tcPr>
            <w:tcW w:w="1017" w:type="dxa"/>
            <w:vAlign w:val="center"/>
            <w:hideMark/>
          </w:tcPr>
          <w:p w14:paraId="0A0F88E9"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112126</w:t>
            </w:r>
          </w:p>
        </w:tc>
        <w:tc>
          <w:tcPr>
            <w:tcW w:w="1063" w:type="dxa"/>
            <w:vAlign w:val="center"/>
            <w:hideMark/>
          </w:tcPr>
          <w:p w14:paraId="110404E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12087</w:t>
            </w:r>
          </w:p>
        </w:tc>
        <w:tc>
          <w:tcPr>
            <w:tcW w:w="1067" w:type="dxa"/>
            <w:vAlign w:val="center"/>
            <w:hideMark/>
          </w:tcPr>
          <w:p w14:paraId="623DA700"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124213</w:t>
            </w:r>
          </w:p>
        </w:tc>
      </w:tr>
      <w:tr w:rsidR="00D76E4F" w:rsidRPr="003E7D62" w14:paraId="3F423CF0" w14:textId="77777777" w:rsidTr="00C5721F">
        <w:trPr>
          <w:trHeight w:val="26"/>
          <w:jc w:val="center"/>
        </w:trPr>
        <w:tc>
          <w:tcPr>
            <w:tcW w:w="483" w:type="dxa"/>
            <w:vAlign w:val="center"/>
            <w:hideMark/>
          </w:tcPr>
          <w:p w14:paraId="1AD18EF7"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24.</w:t>
            </w:r>
          </w:p>
        </w:tc>
        <w:tc>
          <w:tcPr>
            <w:tcW w:w="1330" w:type="dxa"/>
            <w:vAlign w:val="center"/>
            <w:hideMark/>
          </w:tcPr>
          <w:p w14:paraId="74665119"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Uttar Pradesh</w:t>
            </w:r>
          </w:p>
        </w:tc>
        <w:tc>
          <w:tcPr>
            <w:tcW w:w="1017" w:type="dxa"/>
            <w:vAlign w:val="center"/>
            <w:hideMark/>
          </w:tcPr>
          <w:p w14:paraId="1442353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882676</w:t>
            </w:r>
          </w:p>
        </w:tc>
        <w:tc>
          <w:tcPr>
            <w:tcW w:w="1063" w:type="dxa"/>
            <w:vAlign w:val="center"/>
            <w:hideMark/>
          </w:tcPr>
          <w:p w14:paraId="4AFFCEF3"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718277</w:t>
            </w:r>
          </w:p>
        </w:tc>
        <w:tc>
          <w:tcPr>
            <w:tcW w:w="1067" w:type="dxa"/>
            <w:vAlign w:val="center"/>
            <w:hideMark/>
          </w:tcPr>
          <w:p w14:paraId="52B32FEB"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1600953</w:t>
            </w:r>
          </w:p>
        </w:tc>
      </w:tr>
      <w:tr w:rsidR="00D76E4F" w:rsidRPr="003E7D62" w14:paraId="1ACE74B2" w14:textId="77777777" w:rsidTr="00C5721F">
        <w:trPr>
          <w:trHeight w:val="26"/>
          <w:jc w:val="center"/>
        </w:trPr>
        <w:tc>
          <w:tcPr>
            <w:tcW w:w="483" w:type="dxa"/>
            <w:vAlign w:val="center"/>
            <w:hideMark/>
          </w:tcPr>
          <w:p w14:paraId="6B28929C"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25.</w:t>
            </w:r>
          </w:p>
        </w:tc>
        <w:tc>
          <w:tcPr>
            <w:tcW w:w="1330" w:type="dxa"/>
            <w:vAlign w:val="center"/>
            <w:hideMark/>
          </w:tcPr>
          <w:p w14:paraId="0E8D5932" w14:textId="77777777" w:rsidR="00F40027" w:rsidRPr="003E7D62" w:rsidRDefault="00F40027" w:rsidP="00D915A2">
            <w:pPr>
              <w:pStyle w:val="NoSpacing"/>
              <w:rPr>
                <w:rFonts w:ascii="Times New Roman" w:hAnsi="Times New Roman" w:cs="Times New Roman"/>
                <w:sz w:val="16"/>
                <w:szCs w:val="16"/>
              </w:rPr>
            </w:pPr>
            <w:r w:rsidRPr="003E7D62">
              <w:rPr>
                <w:rFonts w:ascii="Times New Roman" w:hAnsi="Times New Roman" w:cs="Times New Roman"/>
                <w:sz w:val="16"/>
                <w:szCs w:val="16"/>
              </w:rPr>
              <w:t>West Bengal</w:t>
            </w:r>
          </w:p>
        </w:tc>
        <w:tc>
          <w:tcPr>
            <w:tcW w:w="1017" w:type="dxa"/>
            <w:vAlign w:val="center"/>
            <w:hideMark/>
          </w:tcPr>
          <w:p w14:paraId="5FA383A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744530</w:t>
            </w:r>
          </w:p>
        </w:tc>
        <w:tc>
          <w:tcPr>
            <w:tcW w:w="1063" w:type="dxa"/>
            <w:vAlign w:val="center"/>
            <w:hideMark/>
          </w:tcPr>
          <w:p w14:paraId="1EFE186D"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102300</w:t>
            </w:r>
          </w:p>
        </w:tc>
        <w:tc>
          <w:tcPr>
            <w:tcW w:w="1067" w:type="dxa"/>
            <w:vAlign w:val="center"/>
            <w:hideMark/>
          </w:tcPr>
          <w:p w14:paraId="14FBCC04" w14:textId="77777777" w:rsidR="00F40027" w:rsidRPr="003E7D62" w:rsidRDefault="00F40027" w:rsidP="00D915A2">
            <w:pPr>
              <w:pStyle w:val="NoSpacing"/>
              <w:jc w:val="center"/>
              <w:rPr>
                <w:rFonts w:ascii="Times New Roman" w:hAnsi="Times New Roman" w:cs="Times New Roman"/>
                <w:sz w:val="16"/>
                <w:szCs w:val="16"/>
              </w:rPr>
            </w:pPr>
            <w:r w:rsidRPr="003E7D62">
              <w:rPr>
                <w:rFonts w:ascii="Times New Roman" w:hAnsi="Times New Roman" w:cs="Times New Roman"/>
                <w:sz w:val="16"/>
                <w:szCs w:val="16"/>
              </w:rPr>
              <w:t>846830</w:t>
            </w:r>
          </w:p>
        </w:tc>
      </w:tr>
    </w:tbl>
    <w:p w14:paraId="629DF577" w14:textId="77777777" w:rsidR="00D76E4F" w:rsidRPr="003E7D62" w:rsidRDefault="00D76E4F" w:rsidP="003E7D62">
      <w:pPr>
        <w:pStyle w:val="NoSpacing"/>
        <w:ind w:left="2160"/>
        <w:rPr>
          <w:rFonts w:ascii="Times New Roman" w:hAnsi="Times New Roman" w:cs="Times New Roman"/>
          <w:sz w:val="16"/>
          <w:szCs w:val="16"/>
        </w:rPr>
      </w:pPr>
      <w:r w:rsidRPr="003E7D62">
        <w:rPr>
          <w:rFonts w:ascii="Times New Roman" w:hAnsi="Times New Roman" w:cs="Times New Roman"/>
          <w:b/>
          <w:bCs/>
          <w:sz w:val="16"/>
          <w:szCs w:val="16"/>
        </w:rPr>
        <w:t>Note:</w:t>
      </w:r>
      <w:r w:rsidRPr="003E7D62">
        <w:rPr>
          <w:rFonts w:ascii="Times New Roman" w:hAnsi="Times New Roman" w:cs="Times New Roman"/>
          <w:sz w:val="16"/>
          <w:szCs w:val="16"/>
        </w:rPr>
        <w:t> N.A.= Not Available.</w:t>
      </w:r>
    </w:p>
    <w:p w14:paraId="60DEB3D0" w14:textId="77777777" w:rsidR="00D76E4F" w:rsidRPr="00D87C83" w:rsidRDefault="00D76E4F" w:rsidP="00D87C83">
      <w:pPr>
        <w:pStyle w:val="NoSpacing"/>
        <w:ind w:firstLine="284"/>
        <w:rPr>
          <w:rFonts w:ascii="Times New Roman" w:hAnsi="Times New Roman" w:cs="Times New Roman"/>
          <w:sz w:val="18"/>
          <w:szCs w:val="16"/>
        </w:rPr>
      </w:pPr>
      <w:r w:rsidRPr="00D87C83">
        <w:rPr>
          <w:rFonts w:ascii="Times New Roman" w:hAnsi="Times New Roman" w:cs="Times New Roman"/>
          <w:sz w:val="18"/>
          <w:szCs w:val="16"/>
        </w:rPr>
        <w:t>In the case of States where information as on 1.1.89 was not available the number of employees as on 1.1.89 has been estimated by applying a growth rate of 2 per cent per annum over the latest available data.</w:t>
      </w:r>
    </w:p>
    <w:p w14:paraId="4169202A" w14:textId="77777777" w:rsidR="00C5721F" w:rsidRDefault="00C5721F">
      <w:pPr>
        <w:rPr>
          <w:rFonts w:ascii="Times New Roman" w:hAnsi="Times New Roman" w:cs="Times New Roman"/>
        </w:rPr>
        <w:sectPr w:rsidR="00C5721F" w:rsidSect="00C5721F">
          <w:type w:val="continuous"/>
          <w:pgSz w:w="11906" w:h="16838"/>
          <w:pgMar w:top="567" w:right="566" w:bottom="284" w:left="284" w:header="708" w:footer="708" w:gutter="0"/>
          <w:cols w:num="2" w:space="567"/>
          <w:docGrid w:linePitch="360"/>
        </w:sectPr>
      </w:pPr>
    </w:p>
    <w:p w14:paraId="3EFFC16E" w14:textId="63548CB0" w:rsidR="00D76E4F" w:rsidRPr="00AA6AF4" w:rsidRDefault="00D76E4F">
      <w:pPr>
        <w:rPr>
          <w:rFonts w:ascii="Times New Roman" w:hAnsi="Times New Roman" w:cs="Times New Roman"/>
        </w:rPr>
      </w:pPr>
      <w:r w:rsidRPr="00AA6AF4">
        <w:rPr>
          <w:rFonts w:ascii="Times New Roman" w:hAnsi="Times New Roman" w:cs="Times New Roman"/>
        </w:rPr>
        <w:br w:type="page"/>
      </w:r>
    </w:p>
    <w:p w14:paraId="23C159F5" w14:textId="77777777" w:rsidR="00053D0C" w:rsidRDefault="00053D0C" w:rsidP="00D915A2">
      <w:pPr>
        <w:pStyle w:val="Heading4"/>
        <w:sectPr w:rsidR="00053D0C" w:rsidSect="006F2ABC">
          <w:type w:val="continuous"/>
          <w:pgSz w:w="11906" w:h="16838"/>
          <w:pgMar w:top="567" w:right="849" w:bottom="284" w:left="1134" w:header="708" w:footer="708" w:gutter="0"/>
          <w:cols w:space="708"/>
          <w:docGrid w:linePitch="360"/>
        </w:sectPr>
      </w:pPr>
    </w:p>
    <w:p w14:paraId="42FF7E68" w14:textId="31398D8F" w:rsidR="000D178B" w:rsidRPr="00053D0C" w:rsidRDefault="00D915A2" w:rsidP="00053D0C">
      <w:pPr>
        <w:jc w:val="center"/>
        <w:rPr>
          <w:rFonts w:ascii="Times New Roman" w:hAnsi="Times New Roman" w:cs="Times New Roman"/>
          <w:b/>
          <w:bCs/>
          <w:sz w:val="20"/>
          <w:szCs w:val="20"/>
        </w:rPr>
      </w:pPr>
      <w:r w:rsidRPr="00053D0C">
        <w:rPr>
          <w:rFonts w:ascii="Times New Roman" w:hAnsi="Times New Roman" w:cs="Times New Roman"/>
          <w:b/>
          <w:bCs/>
          <w:sz w:val="20"/>
          <w:szCs w:val="20"/>
        </w:rPr>
        <w:lastRenderedPageBreak/>
        <w:t>Table – 3</w:t>
      </w:r>
      <w:r w:rsidRPr="00053D0C">
        <w:rPr>
          <w:rFonts w:ascii="Times New Roman" w:hAnsi="Times New Roman" w:cs="Times New Roman"/>
          <w:b/>
          <w:bCs/>
          <w:sz w:val="20"/>
          <w:szCs w:val="20"/>
        </w:rPr>
        <w:br/>
      </w:r>
      <w:r w:rsidR="00944051" w:rsidRPr="00053D0C">
        <w:rPr>
          <w:rFonts w:ascii="Times New Roman" w:hAnsi="Times New Roman" w:cs="Times New Roman"/>
          <w:b/>
          <w:bCs/>
          <w:sz w:val="20"/>
          <w:szCs w:val="20"/>
        </w:rPr>
        <w:t xml:space="preserve">Actual Basic Pay of Selected Categories of State Government </w:t>
      </w:r>
      <w:r w:rsidR="000D178B" w:rsidRPr="00053D0C">
        <w:rPr>
          <w:rFonts w:ascii="Times New Roman" w:hAnsi="Times New Roman" w:cs="Times New Roman"/>
          <w:b/>
          <w:bCs/>
          <w:sz w:val="20"/>
          <w:szCs w:val="20"/>
        </w:rPr>
        <w:t>Employees as on 1.1.89 and presumptive Basic Pay at CPI level 608</w:t>
      </w:r>
    </w:p>
    <w:p w14:paraId="1BE71581" w14:textId="5EA126C8" w:rsidR="00944051" w:rsidRPr="00012442" w:rsidRDefault="000D178B" w:rsidP="00053D0C">
      <w:pPr>
        <w:pStyle w:val="NoSpacing"/>
        <w:ind w:left="12240" w:firstLine="720"/>
        <w:rPr>
          <w:rFonts w:ascii="Times New Roman" w:hAnsi="Times New Roman" w:cs="Times New Roman"/>
          <w:sz w:val="20"/>
          <w:szCs w:val="18"/>
        </w:rPr>
      </w:pPr>
      <w:r w:rsidRPr="00012442">
        <w:rPr>
          <w:rFonts w:ascii="Times New Roman" w:hAnsi="Times New Roman" w:cs="Times New Roman"/>
          <w:i/>
          <w:iCs/>
          <w:sz w:val="20"/>
          <w:szCs w:val="18"/>
        </w:rPr>
        <w:t>(Rupees)</w:t>
      </w:r>
    </w:p>
    <w:tbl>
      <w:tblPr>
        <w:tblStyle w:val="TableGrid"/>
        <w:tblW w:w="14316" w:type="dxa"/>
        <w:jc w:val="center"/>
        <w:tblLayout w:type="fixed"/>
        <w:tblLook w:val="04A0" w:firstRow="1" w:lastRow="0" w:firstColumn="1" w:lastColumn="0" w:noHBand="0" w:noVBand="1"/>
      </w:tblPr>
      <w:tblGrid>
        <w:gridCol w:w="1406"/>
        <w:gridCol w:w="6"/>
        <w:gridCol w:w="682"/>
        <w:gridCol w:w="736"/>
        <w:gridCol w:w="767"/>
        <w:gridCol w:w="651"/>
        <w:gridCol w:w="852"/>
        <w:gridCol w:w="712"/>
        <w:gridCol w:w="791"/>
        <w:gridCol w:w="769"/>
        <w:gridCol w:w="734"/>
        <w:gridCol w:w="683"/>
        <w:gridCol w:w="820"/>
        <w:gridCol w:w="739"/>
        <w:gridCol w:w="764"/>
        <w:gridCol w:w="654"/>
        <w:gridCol w:w="850"/>
        <w:gridCol w:w="850"/>
        <w:gridCol w:w="850"/>
      </w:tblGrid>
      <w:tr w:rsidR="00053D0C" w:rsidRPr="00053D0C" w14:paraId="3BFBCA7B" w14:textId="1EE768A5" w:rsidTr="00D8511C">
        <w:trPr>
          <w:trHeight w:val="20"/>
          <w:jc w:val="center"/>
        </w:trPr>
        <w:tc>
          <w:tcPr>
            <w:tcW w:w="1412" w:type="dxa"/>
            <w:gridSpan w:val="2"/>
            <w:vAlign w:val="center"/>
            <w:hideMark/>
          </w:tcPr>
          <w:p w14:paraId="67726E08" w14:textId="77777777" w:rsidR="00053D0C" w:rsidRPr="00053D0C" w:rsidRDefault="00053D0C" w:rsidP="00012442">
            <w:pPr>
              <w:pStyle w:val="NoSpacing"/>
              <w:jc w:val="center"/>
              <w:rPr>
                <w:rFonts w:ascii="Times New Roman" w:hAnsi="Times New Roman" w:cs="Times New Roman"/>
                <w:sz w:val="16"/>
                <w:szCs w:val="16"/>
              </w:rPr>
            </w:pPr>
          </w:p>
        </w:tc>
        <w:tc>
          <w:tcPr>
            <w:tcW w:w="682" w:type="dxa"/>
            <w:vAlign w:val="center"/>
          </w:tcPr>
          <w:p w14:paraId="52CEC86B" w14:textId="77777777" w:rsidR="00053D0C" w:rsidRPr="00053D0C" w:rsidRDefault="00053D0C" w:rsidP="00012442">
            <w:pPr>
              <w:pStyle w:val="NoSpacing"/>
              <w:jc w:val="center"/>
              <w:rPr>
                <w:rFonts w:ascii="Times New Roman" w:hAnsi="Times New Roman" w:cs="Times New Roman"/>
                <w:sz w:val="16"/>
                <w:szCs w:val="16"/>
              </w:rPr>
            </w:pPr>
          </w:p>
        </w:tc>
        <w:tc>
          <w:tcPr>
            <w:tcW w:w="1503" w:type="dxa"/>
            <w:gridSpan w:val="2"/>
            <w:vAlign w:val="center"/>
            <w:hideMark/>
          </w:tcPr>
          <w:p w14:paraId="4EEA0F30" w14:textId="0B804474"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Peon</w:t>
            </w:r>
          </w:p>
        </w:tc>
        <w:tc>
          <w:tcPr>
            <w:tcW w:w="1503" w:type="dxa"/>
            <w:gridSpan w:val="2"/>
            <w:vAlign w:val="center"/>
            <w:hideMark/>
          </w:tcPr>
          <w:p w14:paraId="625B131D" w14:textId="46F7757F"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L.D.C</w:t>
            </w:r>
          </w:p>
        </w:tc>
        <w:tc>
          <w:tcPr>
            <w:tcW w:w="1503" w:type="dxa"/>
            <w:gridSpan w:val="2"/>
            <w:vAlign w:val="center"/>
            <w:hideMark/>
          </w:tcPr>
          <w:p w14:paraId="2406EA41" w14:textId="06970F53"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Forest Guard</w:t>
            </w:r>
          </w:p>
        </w:tc>
        <w:tc>
          <w:tcPr>
            <w:tcW w:w="1503" w:type="dxa"/>
            <w:gridSpan w:val="2"/>
            <w:vAlign w:val="center"/>
            <w:hideMark/>
          </w:tcPr>
          <w:p w14:paraId="41218B8B" w14:textId="0B82360A"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U.D.C</w:t>
            </w:r>
          </w:p>
        </w:tc>
        <w:tc>
          <w:tcPr>
            <w:tcW w:w="1503" w:type="dxa"/>
            <w:gridSpan w:val="2"/>
            <w:vAlign w:val="center"/>
            <w:hideMark/>
          </w:tcPr>
          <w:p w14:paraId="1486323E" w14:textId="31E45262"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Constable</w:t>
            </w:r>
          </w:p>
        </w:tc>
        <w:tc>
          <w:tcPr>
            <w:tcW w:w="1503" w:type="dxa"/>
            <w:gridSpan w:val="2"/>
            <w:vAlign w:val="center"/>
            <w:hideMark/>
          </w:tcPr>
          <w:p w14:paraId="340559AC" w14:textId="63C68FE9"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Head Constable</w:t>
            </w:r>
          </w:p>
        </w:tc>
        <w:tc>
          <w:tcPr>
            <w:tcW w:w="1504" w:type="dxa"/>
            <w:gridSpan w:val="2"/>
            <w:vAlign w:val="center"/>
            <w:hideMark/>
          </w:tcPr>
          <w:p w14:paraId="65BDC357" w14:textId="72A873A3"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Primary School Teacher</w:t>
            </w:r>
          </w:p>
        </w:tc>
        <w:tc>
          <w:tcPr>
            <w:tcW w:w="1700" w:type="dxa"/>
            <w:gridSpan w:val="2"/>
          </w:tcPr>
          <w:p w14:paraId="2EA63F75" w14:textId="150FB8A3" w:rsidR="00053D0C" w:rsidRPr="00053D0C" w:rsidRDefault="00053D0C" w:rsidP="00012442">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Pharmacist</w:t>
            </w:r>
          </w:p>
        </w:tc>
      </w:tr>
      <w:tr w:rsidR="00053D0C" w:rsidRPr="00053D0C" w14:paraId="3A3AD2D2" w14:textId="3ADD4A37" w:rsidTr="00A67021">
        <w:trPr>
          <w:trHeight w:val="20"/>
          <w:jc w:val="center"/>
        </w:trPr>
        <w:tc>
          <w:tcPr>
            <w:tcW w:w="1406" w:type="dxa"/>
            <w:vAlign w:val="center"/>
            <w:hideMark/>
          </w:tcPr>
          <w:p w14:paraId="45939D69" w14:textId="77777777" w:rsidR="00053D0C" w:rsidRPr="00053D0C" w:rsidRDefault="00053D0C" w:rsidP="00053D0C">
            <w:pPr>
              <w:pStyle w:val="NoSpacing"/>
              <w:jc w:val="center"/>
              <w:rPr>
                <w:rFonts w:ascii="Times New Roman" w:hAnsi="Times New Roman" w:cs="Times New Roman"/>
                <w:sz w:val="16"/>
                <w:szCs w:val="16"/>
              </w:rPr>
            </w:pPr>
          </w:p>
        </w:tc>
        <w:tc>
          <w:tcPr>
            <w:tcW w:w="688" w:type="dxa"/>
            <w:gridSpan w:val="2"/>
            <w:vAlign w:val="center"/>
            <w:hideMark/>
          </w:tcPr>
          <w:p w14:paraId="4B0A9EF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Index number as on 1.1.89</w:t>
            </w:r>
          </w:p>
        </w:tc>
        <w:tc>
          <w:tcPr>
            <w:tcW w:w="736" w:type="dxa"/>
            <w:vAlign w:val="center"/>
            <w:hideMark/>
          </w:tcPr>
          <w:p w14:paraId="7181FB3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767" w:type="dxa"/>
            <w:vAlign w:val="center"/>
            <w:hideMark/>
          </w:tcPr>
          <w:p w14:paraId="228F6CB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651" w:type="dxa"/>
            <w:vAlign w:val="center"/>
            <w:hideMark/>
          </w:tcPr>
          <w:p w14:paraId="734B369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852" w:type="dxa"/>
            <w:vAlign w:val="center"/>
            <w:hideMark/>
          </w:tcPr>
          <w:p w14:paraId="277A5E4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712" w:type="dxa"/>
            <w:vAlign w:val="center"/>
            <w:hideMark/>
          </w:tcPr>
          <w:p w14:paraId="1C809E3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791" w:type="dxa"/>
            <w:vAlign w:val="center"/>
            <w:hideMark/>
          </w:tcPr>
          <w:p w14:paraId="0D419F1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769" w:type="dxa"/>
            <w:vAlign w:val="center"/>
            <w:hideMark/>
          </w:tcPr>
          <w:p w14:paraId="297FD37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734" w:type="dxa"/>
            <w:vAlign w:val="center"/>
            <w:hideMark/>
          </w:tcPr>
          <w:p w14:paraId="27DFA3D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683" w:type="dxa"/>
            <w:vAlign w:val="center"/>
            <w:hideMark/>
          </w:tcPr>
          <w:p w14:paraId="499C55E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820" w:type="dxa"/>
            <w:vAlign w:val="center"/>
            <w:hideMark/>
          </w:tcPr>
          <w:p w14:paraId="0D97611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739" w:type="dxa"/>
            <w:vAlign w:val="center"/>
            <w:hideMark/>
          </w:tcPr>
          <w:p w14:paraId="0375A79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764" w:type="dxa"/>
            <w:vAlign w:val="center"/>
            <w:hideMark/>
          </w:tcPr>
          <w:p w14:paraId="53AA668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654" w:type="dxa"/>
            <w:vAlign w:val="center"/>
            <w:hideMark/>
          </w:tcPr>
          <w:p w14:paraId="4B2D193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Basic Pay</w:t>
            </w:r>
          </w:p>
        </w:tc>
        <w:tc>
          <w:tcPr>
            <w:tcW w:w="850" w:type="dxa"/>
            <w:vAlign w:val="center"/>
            <w:hideMark/>
          </w:tcPr>
          <w:p w14:paraId="1C2E608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Presumptive Basic Pay</w:t>
            </w:r>
          </w:p>
        </w:tc>
        <w:tc>
          <w:tcPr>
            <w:tcW w:w="850" w:type="dxa"/>
            <w:vAlign w:val="center"/>
          </w:tcPr>
          <w:p w14:paraId="599E652C" w14:textId="78FF1DD1" w:rsidR="00053D0C" w:rsidRPr="00053D0C" w:rsidRDefault="00053D0C" w:rsidP="00053D0C">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Basic Pay</w:t>
            </w:r>
          </w:p>
        </w:tc>
        <w:tc>
          <w:tcPr>
            <w:tcW w:w="850" w:type="dxa"/>
            <w:vAlign w:val="center"/>
          </w:tcPr>
          <w:p w14:paraId="5674EA3C" w14:textId="6E27DC2D" w:rsidR="00053D0C" w:rsidRPr="00053D0C" w:rsidRDefault="00053D0C" w:rsidP="00053D0C">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Presumptive Basic Pay</w:t>
            </w:r>
          </w:p>
        </w:tc>
      </w:tr>
      <w:tr w:rsidR="00053D0C" w:rsidRPr="00053D0C" w14:paraId="4B7CB84B" w14:textId="5E4AD9DC" w:rsidTr="00A67021">
        <w:trPr>
          <w:trHeight w:val="20"/>
          <w:jc w:val="center"/>
        </w:trPr>
        <w:tc>
          <w:tcPr>
            <w:tcW w:w="1406" w:type="dxa"/>
            <w:vAlign w:val="center"/>
            <w:hideMark/>
          </w:tcPr>
          <w:p w14:paraId="7DB694B5" w14:textId="77777777" w:rsidR="00053D0C" w:rsidRPr="00053D0C" w:rsidRDefault="00053D0C" w:rsidP="00053D0C">
            <w:pPr>
              <w:pStyle w:val="NoSpacing"/>
              <w:jc w:val="center"/>
              <w:rPr>
                <w:rFonts w:ascii="Times New Roman" w:hAnsi="Times New Roman" w:cs="Times New Roman"/>
                <w:sz w:val="16"/>
                <w:szCs w:val="16"/>
              </w:rPr>
            </w:pPr>
          </w:p>
        </w:tc>
        <w:tc>
          <w:tcPr>
            <w:tcW w:w="688" w:type="dxa"/>
            <w:gridSpan w:val="2"/>
            <w:vAlign w:val="center"/>
            <w:hideMark/>
          </w:tcPr>
          <w:p w14:paraId="6073DC7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w:t>
            </w:r>
          </w:p>
        </w:tc>
        <w:tc>
          <w:tcPr>
            <w:tcW w:w="736" w:type="dxa"/>
            <w:vAlign w:val="center"/>
            <w:hideMark/>
          </w:tcPr>
          <w:p w14:paraId="57DD8CA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(2)</w:t>
            </w:r>
          </w:p>
        </w:tc>
        <w:tc>
          <w:tcPr>
            <w:tcW w:w="767" w:type="dxa"/>
            <w:vAlign w:val="center"/>
            <w:hideMark/>
          </w:tcPr>
          <w:p w14:paraId="696AEC0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(3)</w:t>
            </w:r>
          </w:p>
        </w:tc>
        <w:tc>
          <w:tcPr>
            <w:tcW w:w="651" w:type="dxa"/>
            <w:vAlign w:val="center"/>
            <w:hideMark/>
          </w:tcPr>
          <w:p w14:paraId="45EE2D0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(4)</w:t>
            </w:r>
          </w:p>
        </w:tc>
        <w:tc>
          <w:tcPr>
            <w:tcW w:w="852" w:type="dxa"/>
            <w:vAlign w:val="center"/>
            <w:hideMark/>
          </w:tcPr>
          <w:p w14:paraId="5D412C0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(5)</w:t>
            </w:r>
          </w:p>
        </w:tc>
        <w:tc>
          <w:tcPr>
            <w:tcW w:w="712" w:type="dxa"/>
            <w:vAlign w:val="center"/>
            <w:hideMark/>
          </w:tcPr>
          <w:p w14:paraId="28429F8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(6)</w:t>
            </w:r>
          </w:p>
        </w:tc>
        <w:tc>
          <w:tcPr>
            <w:tcW w:w="791" w:type="dxa"/>
            <w:vAlign w:val="center"/>
            <w:hideMark/>
          </w:tcPr>
          <w:p w14:paraId="1EEF8EA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(7)</w:t>
            </w:r>
          </w:p>
        </w:tc>
        <w:tc>
          <w:tcPr>
            <w:tcW w:w="769" w:type="dxa"/>
            <w:vAlign w:val="center"/>
            <w:hideMark/>
          </w:tcPr>
          <w:p w14:paraId="673FAF5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(8)</w:t>
            </w:r>
          </w:p>
        </w:tc>
        <w:tc>
          <w:tcPr>
            <w:tcW w:w="734" w:type="dxa"/>
            <w:vAlign w:val="center"/>
            <w:hideMark/>
          </w:tcPr>
          <w:p w14:paraId="1136C2A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(9)</w:t>
            </w:r>
          </w:p>
        </w:tc>
        <w:tc>
          <w:tcPr>
            <w:tcW w:w="683" w:type="dxa"/>
            <w:vAlign w:val="center"/>
            <w:hideMark/>
          </w:tcPr>
          <w:p w14:paraId="7CD6218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(10)</w:t>
            </w:r>
          </w:p>
        </w:tc>
        <w:tc>
          <w:tcPr>
            <w:tcW w:w="820" w:type="dxa"/>
            <w:vAlign w:val="center"/>
            <w:hideMark/>
          </w:tcPr>
          <w:p w14:paraId="3DD2613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(11)</w:t>
            </w:r>
          </w:p>
        </w:tc>
        <w:tc>
          <w:tcPr>
            <w:tcW w:w="739" w:type="dxa"/>
            <w:vAlign w:val="center"/>
            <w:hideMark/>
          </w:tcPr>
          <w:p w14:paraId="4AE73A3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(12)</w:t>
            </w:r>
          </w:p>
        </w:tc>
        <w:tc>
          <w:tcPr>
            <w:tcW w:w="764" w:type="dxa"/>
            <w:vAlign w:val="center"/>
            <w:hideMark/>
          </w:tcPr>
          <w:p w14:paraId="23B035C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(13)</w:t>
            </w:r>
          </w:p>
        </w:tc>
        <w:tc>
          <w:tcPr>
            <w:tcW w:w="654" w:type="dxa"/>
            <w:vAlign w:val="center"/>
            <w:hideMark/>
          </w:tcPr>
          <w:p w14:paraId="3A0BF42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(14)</w:t>
            </w:r>
          </w:p>
        </w:tc>
        <w:tc>
          <w:tcPr>
            <w:tcW w:w="850" w:type="dxa"/>
            <w:vAlign w:val="center"/>
            <w:hideMark/>
          </w:tcPr>
          <w:p w14:paraId="77A336D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(15)</w:t>
            </w:r>
          </w:p>
        </w:tc>
        <w:tc>
          <w:tcPr>
            <w:tcW w:w="850" w:type="dxa"/>
            <w:vAlign w:val="center"/>
          </w:tcPr>
          <w:p w14:paraId="7E3B5B73" w14:textId="0A3690EE" w:rsidR="00053D0C" w:rsidRPr="00053D0C" w:rsidRDefault="00053D0C" w:rsidP="00053D0C">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(16)</w:t>
            </w:r>
          </w:p>
        </w:tc>
        <w:tc>
          <w:tcPr>
            <w:tcW w:w="850" w:type="dxa"/>
            <w:vAlign w:val="center"/>
          </w:tcPr>
          <w:p w14:paraId="7894B37F" w14:textId="6A62A132" w:rsidR="00053D0C" w:rsidRPr="00053D0C" w:rsidRDefault="00053D0C" w:rsidP="00053D0C">
            <w:pPr>
              <w:pStyle w:val="NoSpacing"/>
              <w:jc w:val="center"/>
              <w:rPr>
                <w:rFonts w:ascii="Times New Roman" w:hAnsi="Times New Roman" w:cs="Times New Roman"/>
                <w:b/>
                <w:bCs/>
                <w:sz w:val="16"/>
                <w:szCs w:val="16"/>
              </w:rPr>
            </w:pPr>
            <w:r w:rsidRPr="00053D0C">
              <w:rPr>
                <w:rFonts w:ascii="Times New Roman" w:hAnsi="Times New Roman" w:cs="Times New Roman"/>
                <w:b/>
                <w:bCs/>
                <w:sz w:val="16"/>
                <w:szCs w:val="16"/>
              </w:rPr>
              <w:t>(17)</w:t>
            </w:r>
          </w:p>
        </w:tc>
      </w:tr>
      <w:tr w:rsidR="00053D0C" w:rsidRPr="00053D0C" w14:paraId="79B65409" w14:textId="7BB70286" w:rsidTr="00A67021">
        <w:trPr>
          <w:trHeight w:val="20"/>
          <w:jc w:val="center"/>
        </w:trPr>
        <w:tc>
          <w:tcPr>
            <w:tcW w:w="1406" w:type="dxa"/>
            <w:vAlign w:val="center"/>
            <w:hideMark/>
          </w:tcPr>
          <w:p w14:paraId="0AB6E06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CENTER</w:t>
            </w:r>
          </w:p>
        </w:tc>
        <w:tc>
          <w:tcPr>
            <w:tcW w:w="688" w:type="dxa"/>
            <w:gridSpan w:val="2"/>
            <w:vAlign w:val="center"/>
            <w:hideMark/>
          </w:tcPr>
          <w:p w14:paraId="24CB8A0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608</w:t>
            </w:r>
          </w:p>
        </w:tc>
        <w:tc>
          <w:tcPr>
            <w:tcW w:w="736" w:type="dxa"/>
            <w:vAlign w:val="center"/>
            <w:hideMark/>
          </w:tcPr>
          <w:p w14:paraId="2F7A709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750</w:t>
            </w:r>
          </w:p>
        </w:tc>
        <w:tc>
          <w:tcPr>
            <w:tcW w:w="767" w:type="dxa"/>
            <w:vAlign w:val="center"/>
            <w:hideMark/>
          </w:tcPr>
          <w:p w14:paraId="073DAF4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750</w:t>
            </w:r>
          </w:p>
        </w:tc>
        <w:tc>
          <w:tcPr>
            <w:tcW w:w="651" w:type="dxa"/>
            <w:vAlign w:val="center"/>
            <w:hideMark/>
          </w:tcPr>
          <w:p w14:paraId="647A755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950</w:t>
            </w:r>
          </w:p>
        </w:tc>
        <w:tc>
          <w:tcPr>
            <w:tcW w:w="852" w:type="dxa"/>
            <w:vAlign w:val="center"/>
            <w:hideMark/>
          </w:tcPr>
          <w:p w14:paraId="48F43AB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950</w:t>
            </w:r>
          </w:p>
        </w:tc>
        <w:tc>
          <w:tcPr>
            <w:tcW w:w="712" w:type="dxa"/>
            <w:vAlign w:val="center"/>
            <w:hideMark/>
          </w:tcPr>
          <w:p w14:paraId="5C7D231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775</w:t>
            </w:r>
          </w:p>
        </w:tc>
        <w:tc>
          <w:tcPr>
            <w:tcW w:w="791" w:type="dxa"/>
            <w:vAlign w:val="center"/>
            <w:hideMark/>
          </w:tcPr>
          <w:p w14:paraId="47B92F4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775</w:t>
            </w:r>
          </w:p>
        </w:tc>
        <w:tc>
          <w:tcPr>
            <w:tcW w:w="769" w:type="dxa"/>
            <w:vAlign w:val="center"/>
            <w:hideMark/>
          </w:tcPr>
          <w:p w14:paraId="2657C0E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1200</w:t>
            </w:r>
          </w:p>
        </w:tc>
        <w:tc>
          <w:tcPr>
            <w:tcW w:w="734" w:type="dxa"/>
            <w:vAlign w:val="center"/>
            <w:hideMark/>
          </w:tcPr>
          <w:p w14:paraId="0F8F953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1200</w:t>
            </w:r>
          </w:p>
        </w:tc>
        <w:tc>
          <w:tcPr>
            <w:tcW w:w="683" w:type="dxa"/>
            <w:vAlign w:val="center"/>
            <w:hideMark/>
          </w:tcPr>
          <w:p w14:paraId="125D17A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825</w:t>
            </w:r>
          </w:p>
        </w:tc>
        <w:tc>
          <w:tcPr>
            <w:tcW w:w="820" w:type="dxa"/>
            <w:vAlign w:val="center"/>
            <w:hideMark/>
          </w:tcPr>
          <w:p w14:paraId="1861615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825</w:t>
            </w:r>
          </w:p>
        </w:tc>
        <w:tc>
          <w:tcPr>
            <w:tcW w:w="739" w:type="dxa"/>
            <w:vAlign w:val="center"/>
            <w:hideMark/>
          </w:tcPr>
          <w:p w14:paraId="6AE05A9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975</w:t>
            </w:r>
          </w:p>
        </w:tc>
        <w:tc>
          <w:tcPr>
            <w:tcW w:w="764" w:type="dxa"/>
            <w:vAlign w:val="center"/>
            <w:hideMark/>
          </w:tcPr>
          <w:p w14:paraId="3C0022B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975</w:t>
            </w:r>
          </w:p>
        </w:tc>
        <w:tc>
          <w:tcPr>
            <w:tcW w:w="654" w:type="dxa"/>
            <w:vAlign w:val="center"/>
            <w:hideMark/>
          </w:tcPr>
          <w:p w14:paraId="6C412BA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1200</w:t>
            </w:r>
          </w:p>
        </w:tc>
        <w:tc>
          <w:tcPr>
            <w:tcW w:w="850" w:type="dxa"/>
            <w:vAlign w:val="center"/>
            <w:hideMark/>
          </w:tcPr>
          <w:p w14:paraId="1B35CAE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b/>
                <w:bCs/>
                <w:sz w:val="16"/>
                <w:szCs w:val="16"/>
              </w:rPr>
              <w:t>1200</w:t>
            </w:r>
          </w:p>
        </w:tc>
        <w:tc>
          <w:tcPr>
            <w:tcW w:w="850" w:type="dxa"/>
            <w:vAlign w:val="center"/>
          </w:tcPr>
          <w:p w14:paraId="439FC90A" w14:textId="64CEF7D8" w:rsidR="00053D0C" w:rsidRPr="00053D0C" w:rsidRDefault="00053D0C" w:rsidP="00053D0C">
            <w:pPr>
              <w:pStyle w:val="NoSpacing"/>
              <w:jc w:val="center"/>
              <w:rPr>
                <w:rFonts w:ascii="Times New Roman" w:hAnsi="Times New Roman" w:cs="Times New Roman"/>
                <w:b/>
                <w:bCs/>
                <w:sz w:val="16"/>
                <w:szCs w:val="16"/>
              </w:rPr>
            </w:pPr>
            <w:r w:rsidRPr="00053D0C">
              <w:rPr>
                <w:rFonts w:ascii="Times New Roman" w:hAnsi="Times New Roman" w:cs="Times New Roman"/>
                <w:sz w:val="16"/>
                <w:szCs w:val="16"/>
              </w:rPr>
              <w:t>1200</w:t>
            </w:r>
          </w:p>
        </w:tc>
        <w:tc>
          <w:tcPr>
            <w:tcW w:w="850" w:type="dxa"/>
            <w:vAlign w:val="center"/>
          </w:tcPr>
          <w:p w14:paraId="36E8C465" w14:textId="7306FCE5" w:rsidR="00053D0C" w:rsidRPr="00053D0C" w:rsidRDefault="00053D0C" w:rsidP="00053D0C">
            <w:pPr>
              <w:pStyle w:val="NoSpacing"/>
              <w:jc w:val="center"/>
              <w:rPr>
                <w:rFonts w:ascii="Times New Roman" w:hAnsi="Times New Roman" w:cs="Times New Roman"/>
                <w:b/>
                <w:bCs/>
                <w:sz w:val="16"/>
                <w:szCs w:val="16"/>
              </w:rPr>
            </w:pPr>
            <w:r w:rsidRPr="00053D0C">
              <w:rPr>
                <w:rFonts w:ascii="Times New Roman" w:hAnsi="Times New Roman" w:cs="Times New Roman"/>
                <w:sz w:val="16"/>
                <w:szCs w:val="16"/>
              </w:rPr>
              <w:t>1200</w:t>
            </w:r>
          </w:p>
        </w:tc>
      </w:tr>
      <w:tr w:rsidR="00053D0C" w:rsidRPr="00053D0C" w14:paraId="2602F0CF" w14:textId="1AC317F5" w:rsidTr="00A67021">
        <w:trPr>
          <w:trHeight w:val="20"/>
          <w:jc w:val="center"/>
        </w:trPr>
        <w:tc>
          <w:tcPr>
            <w:tcW w:w="1406" w:type="dxa"/>
            <w:vAlign w:val="center"/>
            <w:hideMark/>
          </w:tcPr>
          <w:p w14:paraId="62C2E616"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 Andhra Pradesh</w:t>
            </w:r>
          </w:p>
        </w:tc>
        <w:tc>
          <w:tcPr>
            <w:tcW w:w="688" w:type="dxa"/>
            <w:gridSpan w:val="2"/>
            <w:vAlign w:val="center"/>
            <w:hideMark/>
          </w:tcPr>
          <w:p w14:paraId="6A01CDE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6245170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740</w:t>
            </w:r>
          </w:p>
        </w:tc>
        <w:tc>
          <w:tcPr>
            <w:tcW w:w="767" w:type="dxa"/>
            <w:vAlign w:val="center"/>
            <w:hideMark/>
          </w:tcPr>
          <w:p w14:paraId="0F91F21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740</w:t>
            </w:r>
          </w:p>
        </w:tc>
        <w:tc>
          <w:tcPr>
            <w:tcW w:w="651" w:type="dxa"/>
            <w:vAlign w:val="center"/>
            <w:hideMark/>
          </w:tcPr>
          <w:p w14:paraId="6D002D5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910</w:t>
            </w:r>
          </w:p>
        </w:tc>
        <w:tc>
          <w:tcPr>
            <w:tcW w:w="852" w:type="dxa"/>
            <w:vAlign w:val="center"/>
            <w:hideMark/>
          </w:tcPr>
          <w:p w14:paraId="3AD7970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910</w:t>
            </w:r>
          </w:p>
        </w:tc>
        <w:tc>
          <w:tcPr>
            <w:tcW w:w="712" w:type="dxa"/>
            <w:vAlign w:val="center"/>
            <w:hideMark/>
          </w:tcPr>
          <w:p w14:paraId="7BC8D0B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91" w:type="dxa"/>
            <w:vAlign w:val="center"/>
            <w:hideMark/>
          </w:tcPr>
          <w:p w14:paraId="61FBBDA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69" w:type="dxa"/>
            <w:vAlign w:val="center"/>
            <w:hideMark/>
          </w:tcPr>
          <w:p w14:paraId="11A8242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1100</w:t>
            </w:r>
          </w:p>
        </w:tc>
        <w:tc>
          <w:tcPr>
            <w:tcW w:w="734" w:type="dxa"/>
            <w:vAlign w:val="center"/>
            <w:hideMark/>
          </w:tcPr>
          <w:p w14:paraId="7A8006F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1100</w:t>
            </w:r>
          </w:p>
        </w:tc>
        <w:tc>
          <w:tcPr>
            <w:tcW w:w="683" w:type="dxa"/>
            <w:vAlign w:val="center"/>
            <w:hideMark/>
          </w:tcPr>
          <w:p w14:paraId="1C983C4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810</w:t>
            </w:r>
          </w:p>
        </w:tc>
        <w:tc>
          <w:tcPr>
            <w:tcW w:w="820" w:type="dxa"/>
            <w:vAlign w:val="center"/>
            <w:hideMark/>
          </w:tcPr>
          <w:p w14:paraId="174D1DB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810</w:t>
            </w:r>
          </w:p>
        </w:tc>
        <w:tc>
          <w:tcPr>
            <w:tcW w:w="739" w:type="dxa"/>
            <w:vAlign w:val="center"/>
            <w:hideMark/>
          </w:tcPr>
          <w:p w14:paraId="047A295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1010</w:t>
            </w:r>
          </w:p>
        </w:tc>
        <w:tc>
          <w:tcPr>
            <w:tcW w:w="764" w:type="dxa"/>
            <w:vAlign w:val="center"/>
            <w:hideMark/>
          </w:tcPr>
          <w:p w14:paraId="5D8F932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1010</w:t>
            </w:r>
          </w:p>
        </w:tc>
        <w:tc>
          <w:tcPr>
            <w:tcW w:w="654" w:type="dxa"/>
            <w:vAlign w:val="center"/>
            <w:hideMark/>
          </w:tcPr>
          <w:p w14:paraId="680CA4F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1010</w:t>
            </w:r>
          </w:p>
        </w:tc>
        <w:tc>
          <w:tcPr>
            <w:tcW w:w="850" w:type="dxa"/>
            <w:vAlign w:val="center"/>
            <w:hideMark/>
          </w:tcPr>
          <w:p w14:paraId="48209BB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1010</w:t>
            </w:r>
          </w:p>
        </w:tc>
        <w:tc>
          <w:tcPr>
            <w:tcW w:w="850" w:type="dxa"/>
            <w:vAlign w:val="center"/>
          </w:tcPr>
          <w:p w14:paraId="17D53497" w14:textId="6E20DED1"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1010</w:t>
            </w:r>
          </w:p>
        </w:tc>
        <w:tc>
          <w:tcPr>
            <w:tcW w:w="850" w:type="dxa"/>
            <w:vAlign w:val="center"/>
          </w:tcPr>
          <w:p w14:paraId="497ACD7F" w14:textId="7E10DB0D"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1010</w:t>
            </w:r>
          </w:p>
        </w:tc>
      </w:tr>
      <w:tr w:rsidR="00053D0C" w:rsidRPr="00053D0C" w14:paraId="7E2EEBFE" w14:textId="072A6385" w:rsidTr="00A67021">
        <w:trPr>
          <w:trHeight w:val="20"/>
          <w:jc w:val="center"/>
        </w:trPr>
        <w:tc>
          <w:tcPr>
            <w:tcW w:w="1406" w:type="dxa"/>
            <w:vAlign w:val="center"/>
            <w:hideMark/>
          </w:tcPr>
          <w:p w14:paraId="59DCFE8E"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 Arunachal Pradesh</w:t>
            </w:r>
          </w:p>
        </w:tc>
        <w:tc>
          <w:tcPr>
            <w:tcW w:w="688" w:type="dxa"/>
            <w:gridSpan w:val="2"/>
            <w:vAlign w:val="center"/>
            <w:hideMark/>
          </w:tcPr>
          <w:p w14:paraId="0E1E60C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E72BDC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52E76A3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12E186B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70F8B9D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10FE7E3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91" w:type="dxa"/>
            <w:vAlign w:val="center"/>
            <w:hideMark/>
          </w:tcPr>
          <w:p w14:paraId="0E3DE43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69" w:type="dxa"/>
            <w:vAlign w:val="center"/>
            <w:hideMark/>
          </w:tcPr>
          <w:p w14:paraId="77690E0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144D4DD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74B0C6D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820" w:type="dxa"/>
            <w:vAlign w:val="center"/>
            <w:hideMark/>
          </w:tcPr>
          <w:p w14:paraId="3CC9F33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739" w:type="dxa"/>
            <w:vAlign w:val="center"/>
            <w:hideMark/>
          </w:tcPr>
          <w:p w14:paraId="2A8534D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764" w:type="dxa"/>
            <w:vAlign w:val="center"/>
            <w:hideMark/>
          </w:tcPr>
          <w:p w14:paraId="5347FE9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654" w:type="dxa"/>
            <w:vAlign w:val="center"/>
            <w:hideMark/>
          </w:tcPr>
          <w:p w14:paraId="0BFF617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5F4BE8C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1E08D3E0" w14:textId="67B08DE9"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0038ABC1" w14:textId="7B411E26"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r>
      <w:tr w:rsidR="00053D0C" w:rsidRPr="00053D0C" w14:paraId="3D8BD856" w14:textId="1921B4B4" w:rsidTr="00A67021">
        <w:trPr>
          <w:trHeight w:val="20"/>
          <w:jc w:val="center"/>
        </w:trPr>
        <w:tc>
          <w:tcPr>
            <w:tcW w:w="1406" w:type="dxa"/>
            <w:vAlign w:val="center"/>
            <w:hideMark/>
          </w:tcPr>
          <w:p w14:paraId="69206236"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3. Assam</w:t>
            </w:r>
          </w:p>
        </w:tc>
        <w:tc>
          <w:tcPr>
            <w:tcW w:w="688" w:type="dxa"/>
            <w:gridSpan w:val="2"/>
            <w:vAlign w:val="center"/>
            <w:hideMark/>
          </w:tcPr>
          <w:p w14:paraId="1A64A40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384</w:t>
            </w:r>
          </w:p>
        </w:tc>
        <w:tc>
          <w:tcPr>
            <w:tcW w:w="736" w:type="dxa"/>
            <w:vAlign w:val="center"/>
            <w:hideMark/>
          </w:tcPr>
          <w:p w14:paraId="21F5AEC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370</w:t>
            </w:r>
          </w:p>
        </w:tc>
        <w:tc>
          <w:tcPr>
            <w:tcW w:w="767" w:type="dxa"/>
            <w:vAlign w:val="center"/>
            <w:hideMark/>
          </w:tcPr>
          <w:p w14:paraId="693E18D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586</w:t>
            </w:r>
          </w:p>
        </w:tc>
        <w:tc>
          <w:tcPr>
            <w:tcW w:w="651" w:type="dxa"/>
            <w:vAlign w:val="center"/>
            <w:hideMark/>
          </w:tcPr>
          <w:p w14:paraId="0E4D1F6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580</w:t>
            </w:r>
          </w:p>
        </w:tc>
        <w:tc>
          <w:tcPr>
            <w:tcW w:w="852" w:type="dxa"/>
            <w:vAlign w:val="center"/>
            <w:hideMark/>
          </w:tcPr>
          <w:p w14:paraId="3FBA2D4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918</w:t>
            </w:r>
          </w:p>
        </w:tc>
        <w:tc>
          <w:tcPr>
            <w:tcW w:w="712" w:type="dxa"/>
            <w:vAlign w:val="center"/>
            <w:hideMark/>
          </w:tcPr>
          <w:p w14:paraId="6466B5A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410</w:t>
            </w:r>
          </w:p>
        </w:tc>
        <w:tc>
          <w:tcPr>
            <w:tcW w:w="791" w:type="dxa"/>
            <w:vAlign w:val="center"/>
            <w:hideMark/>
          </w:tcPr>
          <w:p w14:paraId="5352E95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649</w:t>
            </w:r>
          </w:p>
        </w:tc>
        <w:tc>
          <w:tcPr>
            <w:tcW w:w="769" w:type="dxa"/>
            <w:vAlign w:val="center"/>
            <w:hideMark/>
          </w:tcPr>
          <w:p w14:paraId="2ECE47C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670</w:t>
            </w:r>
          </w:p>
        </w:tc>
        <w:tc>
          <w:tcPr>
            <w:tcW w:w="734" w:type="dxa"/>
            <w:vAlign w:val="center"/>
            <w:hideMark/>
          </w:tcPr>
          <w:p w14:paraId="3AA49EB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1061</w:t>
            </w:r>
          </w:p>
        </w:tc>
        <w:tc>
          <w:tcPr>
            <w:tcW w:w="683" w:type="dxa"/>
            <w:vAlign w:val="center"/>
            <w:hideMark/>
          </w:tcPr>
          <w:p w14:paraId="5868E0B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420</w:t>
            </w:r>
          </w:p>
        </w:tc>
        <w:tc>
          <w:tcPr>
            <w:tcW w:w="820" w:type="dxa"/>
            <w:vAlign w:val="center"/>
            <w:hideMark/>
          </w:tcPr>
          <w:p w14:paraId="4A8296D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665</w:t>
            </w:r>
          </w:p>
        </w:tc>
        <w:tc>
          <w:tcPr>
            <w:tcW w:w="739" w:type="dxa"/>
            <w:vAlign w:val="center"/>
            <w:hideMark/>
          </w:tcPr>
          <w:p w14:paraId="0EE18A5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470</w:t>
            </w:r>
          </w:p>
        </w:tc>
        <w:tc>
          <w:tcPr>
            <w:tcW w:w="764" w:type="dxa"/>
            <w:vAlign w:val="center"/>
            <w:hideMark/>
          </w:tcPr>
          <w:p w14:paraId="7D84724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744</w:t>
            </w:r>
          </w:p>
        </w:tc>
        <w:tc>
          <w:tcPr>
            <w:tcW w:w="654" w:type="dxa"/>
            <w:vAlign w:val="center"/>
            <w:hideMark/>
          </w:tcPr>
          <w:p w14:paraId="5D21361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500</w:t>
            </w:r>
          </w:p>
        </w:tc>
        <w:tc>
          <w:tcPr>
            <w:tcW w:w="850" w:type="dxa"/>
            <w:vAlign w:val="center"/>
            <w:hideMark/>
          </w:tcPr>
          <w:p w14:paraId="5E249C44" w14:textId="0A23CCDA"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792</w:t>
            </w:r>
          </w:p>
        </w:tc>
        <w:tc>
          <w:tcPr>
            <w:tcW w:w="850" w:type="dxa"/>
            <w:vAlign w:val="center"/>
          </w:tcPr>
          <w:p w14:paraId="5F167860" w14:textId="0C2E9756"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525</w:t>
            </w:r>
          </w:p>
        </w:tc>
        <w:tc>
          <w:tcPr>
            <w:tcW w:w="850" w:type="dxa"/>
            <w:vAlign w:val="center"/>
          </w:tcPr>
          <w:p w14:paraId="3D1E099A" w14:textId="727077B6"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831</w:t>
            </w:r>
          </w:p>
        </w:tc>
      </w:tr>
      <w:tr w:rsidR="00053D0C" w:rsidRPr="00053D0C" w14:paraId="1CF6783C" w14:textId="4463213C" w:rsidTr="00A67021">
        <w:trPr>
          <w:trHeight w:val="20"/>
          <w:jc w:val="center"/>
        </w:trPr>
        <w:tc>
          <w:tcPr>
            <w:tcW w:w="1406" w:type="dxa"/>
            <w:vAlign w:val="center"/>
            <w:hideMark/>
          </w:tcPr>
          <w:p w14:paraId="38F729D8"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4. Bihar</w:t>
            </w:r>
          </w:p>
        </w:tc>
        <w:tc>
          <w:tcPr>
            <w:tcW w:w="688" w:type="dxa"/>
            <w:gridSpan w:val="2"/>
            <w:vAlign w:val="center"/>
            <w:hideMark/>
          </w:tcPr>
          <w:p w14:paraId="7D0D0BB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392</w:t>
            </w:r>
          </w:p>
        </w:tc>
        <w:tc>
          <w:tcPr>
            <w:tcW w:w="736" w:type="dxa"/>
            <w:vAlign w:val="center"/>
            <w:hideMark/>
          </w:tcPr>
          <w:p w14:paraId="7886AFC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350</w:t>
            </w:r>
          </w:p>
        </w:tc>
        <w:tc>
          <w:tcPr>
            <w:tcW w:w="767" w:type="dxa"/>
            <w:vAlign w:val="center"/>
            <w:hideMark/>
          </w:tcPr>
          <w:p w14:paraId="6211AEA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543</w:t>
            </w:r>
          </w:p>
        </w:tc>
        <w:tc>
          <w:tcPr>
            <w:tcW w:w="651" w:type="dxa"/>
            <w:vAlign w:val="center"/>
            <w:hideMark/>
          </w:tcPr>
          <w:p w14:paraId="5B66C67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580</w:t>
            </w:r>
          </w:p>
        </w:tc>
        <w:tc>
          <w:tcPr>
            <w:tcW w:w="852" w:type="dxa"/>
            <w:vAlign w:val="center"/>
            <w:hideMark/>
          </w:tcPr>
          <w:p w14:paraId="10D79B3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712" w:type="dxa"/>
            <w:vAlign w:val="center"/>
            <w:hideMark/>
          </w:tcPr>
          <w:p w14:paraId="3A6B6A3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425</w:t>
            </w:r>
          </w:p>
        </w:tc>
        <w:tc>
          <w:tcPr>
            <w:tcW w:w="791" w:type="dxa"/>
            <w:vAlign w:val="center"/>
            <w:hideMark/>
          </w:tcPr>
          <w:p w14:paraId="45D6D83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659</w:t>
            </w:r>
          </w:p>
        </w:tc>
        <w:tc>
          <w:tcPr>
            <w:tcW w:w="769" w:type="dxa"/>
            <w:vAlign w:val="center"/>
            <w:hideMark/>
          </w:tcPr>
          <w:p w14:paraId="5E32533B" w14:textId="05F897F2"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w:t>
            </w:r>
          </w:p>
        </w:tc>
        <w:tc>
          <w:tcPr>
            <w:tcW w:w="734" w:type="dxa"/>
            <w:vAlign w:val="center"/>
            <w:hideMark/>
          </w:tcPr>
          <w:p w14:paraId="4BAFEBA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w:t>
            </w:r>
          </w:p>
        </w:tc>
        <w:tc>
          <w:tcPr>
            <w:tcW w:w="683" w:type="dxa"/>
            <w:vAlign w:val="center"/>
            <w:hideMark/>
          </w:tcPr>
          <w:p w14:paraId="36F1459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425</w:t>
            </w:r>
          </w:p>
        </w:tc>
        <w:tc>
          <w:tcPr>
            <w:tcW w:w="820" w:type="dxa"/>
            <w:vAlign w:val="center"/>
            <w:hideMark/>
          </w:tcPr>
          <w:p w14:paraId="61082B8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659</w:t>
            </w:r>
          </w:p>
        </w:tc>
        <w:tc>
          <w:tcPr>
            <w:tcW w:w="739" w:type="dxa"/>
            <w:vAlign w:val="center"/>
            <w:hideMark/>
          </w:tcPr>
          <w:p w14:paraId="117A497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480</w:t>
            </w:r>
          </w:p>
        </w:tc>
        <w:tc>
          <w:tcPr>
            <w:tcW w:w="764" w:type="dxa"/>
            <w:vAlign w:val="center"/>
            <w:hideMark/>
          </w:tcPr>
          <w:p w14:paraId="1B61EE6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744</w:t>
            </w:r>
          </w:p>
        </w:tc>
        <w:tc>
          <w:tcPr>
            <w:tcW w:w="654" w:type="dxa"/>
            <w:vAlign w:val="center"/>
            <w:hideMark/>
          </w:tcPr>
          <w:p w14:paraId="1704469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580</w:t>
            </w:r>
          </w:p>
        </w:tc>
        <w:tc>
          <w:tcPr>
            <w:tcW w:w="850" w:type="dxa"/>
            <w:vAlign w:val="center"/>
            <w:hideMark/>
          </w:tcPr>
          <w:p w14:paraId="1A146F1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850" w:type="dxa"/>
            <w:vAlign w:val="center"/>
          </w:tcPr>
          <w:p w14:paraId="46B29C55" w14:textId="5FAD672B"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680</w:t>
            </w:r>
          </w:p>
        </w:tc>
        <w:tc>
          <w:tcPr>
            <w:tcW w:w="850" w:type="dxa"/>
            <w:vAlign w:val="center"/>
          </w:tcPr>
          <w:p w14:paraId="29FEC102" w14:textId="1A5BC5C0"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1055</w:t>
            </w:r>
          </w:p>
        </w:tc>
      </w:tr>
      <w:tr w:rsidR="00053D0C" w:rsidRPr="00053D0C" w14:paraId="7FA962B8" w14:textId="2D3F24C6" w:rsidTr="00A67021">
        <w:trPr>
          <w:trHeight w:val="20"/>
          <w:jc w:val="center"/>
        </w:trPr>
        <w:tc>
          <w:tcPr>
            <w:tcW w:w="1406" w:type="dxa"/>
            <w:vAlign w:val="center"/>
            <w:hideMark/>
          </w:tcPr>
          <w:p w14:paraId="366F5616"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5. Goa</w:t>
            </w:r>
          </w:p>
        </w:tc>
        <w:tc>
          <w:tcPr>
            <w:tcW w:w="688" w:type="dxa"/>
            <w:gridSpan w:val="2"/>
            <w:vAlign w:val="center"/>
            <w:hideMark/>
          </w:tcPr>
          <w:p w14:paraId="68465DF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6E907E2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3843ECA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20DA270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6C17C3A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66BAD46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91" w:type="dxa"/>
            <w:vAlign w:val="center"/>
            <w:hideMark/>
          </w:tcPr>
          <w:p w14:paraId="28729C4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69" w:type="dxa"/>
            <w:vAlign w:val="center"/>
            <w:hideMark/>
          </w:tcPr>
          <w:p w14:paraId="4FE2201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30F6EDF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0C134EF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820" w:type="dxa"/>
            <w:vAlign w:val="center"/>
            <w:hideMark/>
          </w:tcPr>
          <w:p w14:paraId="5BC8D20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739" w:type="dxa"/>
            <w:vAlign w:val="center"/>
            <w:hideMark/>
          </w:tcPr>
          <w:p w14:paraId="422DA21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764" w:type="dxa"/>
            <w:vAlign w:val="center"/>
            <w:hideMark/>
          </w:tcPr>
          <w:p w14:paraId="6BB046D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654" w:type="dxa"/>
            <w:vAlign w:val="center"/>
            <w:hideMark/>
          </w:tcPr>
          <w:p w14:paraId="649B657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388FCC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0406542C" w14:textId="4DBE0428"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6A727880" w14:textId="0DB24F39"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r>
      <w:tr w:rsidR="00053D0C" w:rsidRPr="00053D0C" w14:paraId="77F0FD4E" w14:textId="4485A5A9" w:rsidTr="00A67021">
        <w:trPr>
          <w:trHeight w:val="20"/>
          <w:jc w:val="center"/>
        </w:trPr>
        <w:tc>
          <w:tcPr>
            <w:tcW w:w="1406" w:type="dxa"/>
            <w:vAlign w:val="center"/>
            <w:hideMark/>
          </w:tcPr>
          <w:p w14:paraId="203D3C2F"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6. Gujarat</w:t>
            </w:r>
          </w:p>
        </w:tc>
        <w:tc>
          <w:tcPr>
            <w:tcW w:w="688" w:type="dxa"/>
            <w:gridSpan w:val="2"/>
            <w:vAlign w:val="center"/>
            <w:hideMark/>
          </w:tcPr>
          <w:p w14:paraId="683A9CF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2BA5351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7BF22FA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151C2A3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748D1BB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646DD04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91" w:type="dxa"/>
            <w:vAlign w:val="center"/>
            <w:hideMark/>
          </w:tcPr>
          <w:p w14:paraId="63DB99F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69" w:type="dxa"/>
            <w:vAlign w:val="center"/>
            <w:hideMark/>
          </w:tcPr>
          <w:p w14:paraId="7AAD993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70DB33E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246256C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820" w:type="dxa"/>
            <w:vAlign w:val="center"/>
            <w:hideMark/>
          </w:tcPr>
          <w:p w14:paraId="6BA78C2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739" w:type="dxa"/>
            <w:vAlign w:val="center"/>
            <w:hideMark/>
          </w:tcPr>
          <w:p w14:paraId="15B94E3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1320</w:t>
            </w:r>
          </w:p>
        </w:tc>
        <w:tc>
          <w:tcPr>
            <w:tcW w:w="764" w:type="dxa"/>
            <w:vAlign w:val="center"/>
            <w:hideMark/>
          </w:tcPr>
          <w:p w14:paraId="00F9C8A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1320</w:t>
            </w:r>
          </w:p>
        </w:tc>
        <w:tc>
          <w:tcPr>
            <w:tcW w:w="654" w:type="dxa"/>
            <w:vAlign w:val="center"/>
            <w:hideMark/>
          </w:tcPr>
          <w:p w14:paraId="0994800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20FF29B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5183596A" w14:textId="0C95E546"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56311218" w14:textId="6D895E4E"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r>
      <w:tr w:rsidR="00053D0C" w:rsidRPr="00053D0C" w14:paraId="1FA8A933" w14:textId="33900A6C" w:rsidTr="00A67021">
        <w:trPr>
          <w:trHeight w:val="20"/>
          <w:jc w:val="center"/>
        </w:trPr>
        <w:tc>
          <w:tcPr>
            <w:tcW w:w="1406" w:type="dxa"/>
            <w:vAlign w:val="center"/>
            <w:hideMark/>
          </w:tcPr>
          <w:p w14:paraId="73328006"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7. Haryana</w:t>
            </w:r>
          </w:p>
        </w:tc>
        <w:tc>
          <w:tcPr>
            <w:tcW w:w="688" w:type="dxa"/>
            <w:gridSpan w:val="2"/>
            <w:vAlign w:val="center"/>
            <w:hideMark/>
          </w:tcPr>
          <w:p w14:paraId="736650F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73C745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2547DD0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50F77B4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4141714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06A31E1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91" w:type="dxa"/>
            <w:vAlign w:val="center"/>
            <w:hideMark/>
          </w:tcPr>
          <w:p w14:paraId="3AC515E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69" w:type="dxa"/>
            <w:vAlign w:val="center"/>
            <w:hideMark/>
          </w:tcPr>
          <w:p w14:paraId="35E6A48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w:t>
            </w:r>
          </w:p>
        </w:tc>
        <w:tc>
          <w:tcPr>
            <w:tcW w:w="734" w:type="dxa"/>
            <w:vAlign w:val="center"/>
            <w:hideMark/>
          </w:tcPr>
          <w:p w14:paraId="6C418AF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w:t>
            </w:r>
          </w:p>
        </w:tc>
        <w:tc>
          <w:tcPr>
            <w:tcW w:w="683" w:type="dxa"/>
            <w:vAlign w:val="center"/>
            <w:hideMark/>
          </w:tcPr>
          <w:p w14:paraId="297CA54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20" w:type="dxa"/>
            <w:vAlign w:val="center"/>
            <w:hideMark/>
          </w:tcPr>
          <w:p w14:paraId="2DDD91B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39" w:type="dxa"/>
            <w:vAlign w:val="center"/>
            <w:hideMark/>
          </w:tcPr>
          <w:p w14:paraId="282B520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764" w:type="dxa"/>
            <w:vAlign w:val="center"/>
            <w:hideMark/>
          </w:tcPr>
          <w:p w14:paraId="20F598E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654" w:type="dxa"/>
            <w:vAlign w:val="center"/>
            <w:hideMark/>
          </w:tcPr>
          <w:p w14:paraId="08F793A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1CE887A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19F1D8DF" w14:textId="49F3D929"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c>
          <w:tcPr>
            <w:tcW w:w="850" w:type="dxa"/>
            <w:vAlign w:val="center"/>
          </w:tcPr>
          <w:p w14:paraId="37EC93B2" w14:textId="2ADED96E"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r>
      <w:tr w:rsidR="00053D0C" w:rsidRPr="00053D0C" w14:paraId="7141D175" w14:textId="09EAF1ED" w:rsidTr="00A67021">
        <w:trPr>
          <w:trHeight w:val="20"/>
          <w:jc w:val="center"/>
        </w:trPr>
        <w:tc>
          <w:tcPr>
            <w:tcW w:w="1406" w:type="dxa"/>
            <w:vAlign w:val="center"/>
            <w:hideMark/>
          </w:tcPr>
          <w:p w14:paraId="246FBE5B"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8. Himachal Pradesh</w:t>
            </w:r>
          </w:p>
        </w:tc>
        <w:tc>
          <w:tcPr>
            <w:tcW w:w="688" w:type="dxa"/>
            <w:gridSpan w:val="2"/>
            <w:vAlign w:val="center"/>
            <w:hideMark/>
          </w:tcPr>
          <w:p w14:paraId="6DE65EB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9CC21B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6735585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048B080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64BFC92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2C94205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91" w:type="dxa"/>
            <w:vAlign w:val="center"/>
            <w:hideMark/>
          </w:tcPr>
          <w:p w14:paraId="49A8FD7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69" w:type="dxa"/>
            <w:vAlign w:val="center"/>
            <w:hideMark/>
          </w:tcPr>
          <w:p w14:paraId="7310E55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6A3A56E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5B23B25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1000</w:t>
            </w:r>
          </w:p>
        </w:tc>
        <w:tc>
          <w:tcPr>
            <w:tcW w:w="820" w:type="dxa"/>
            <w:vAlign w:val="center"/>
            <w:hideMark/>
          </w:tcPr>
          <w:p w14:paraId="037E24E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1000</w:t>
            </w:r>
          </w:p>
        </w:tc>
        <w:tc>
          <w:tcPr>
            <w:tcW w:w="739" w:type="dxa"/>
            <w:vAlign w:val="center"/>
            <w:hideMark/>
          </w:tcPr>
          <w:p w14:paraId="19597AB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64" w:type="dxa"/>
            <w:vAlign w:val="center"/>
            <w:hideMark/>
          </w:tcPr>
          <w:p w14:paraId="18C5BA6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54" w:type="dxa"/>
            <w:vAlign w:val="center"/>
            <w:hideMark/>
          </w:tcPr>
          <w:p w14:paraId="748D38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68C1E38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65D774C8" w14:textId="42481B24"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1410</w:t>
            </w:r>
          </w:p>
        </w:tc>
        <w:tc>
          <w:tcPr>
            <w:tcW w:w="850" w:type="dxa"/>
            <w:vAlign w:val="center"/>
          </w:tcPr>
          <w:p w14:paraId="154FD7E8" w14:textId="6346072C"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1410</w:t>
            </w:r>
          </w:p>
        </w:tc>
      </w:tr>
      <w:tr w:rsidR="00053D0C" w:rsidRPr="00053D0C" w14:paraId="517C2824" w14:textId="331AABB6" w:rsidTr="00A67021">
        <w:trPr>
          <w:trHeight w:val="20"/>
          <w:jc w:val="center"/>
        </w:trPr>
        <w:tc>
          <w:tcPr>
            <w:tcW w:w="1406" w:type="dxa"/>
            <w:vAlign w:val="center"/>
            <w:hideMark/>
          </w:tcPr>
          <w:p w14:paraId="050D708A"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9. Jammu and Kashmir</w:t>
            </w:r>
          </w:p>
        </w:tc>
        <w:tc>
          <w:tcPr>
            <w:tcW w:w="688" w:type="dxa"/>
            <w:gridSpan w:val="2"/>
            <w:vAlign w:val="center"/>
            <w:hideMark/>
          </w:tcPr>
          <w:p w14:paraId="6FA31B7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5F62CE4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630</w:t>
            </w:r>
          </w:p>
        </w:tc>
        <w:tc>
          <w:tcPr>
            <w:tcW w:w="767" w:type="dxa"/>
            <w:vAlign w:val="center"/>
            <w:hideMark/>
          </w:tcPr>
          <w:p w14:paraId="6C90261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630</w:t>
            </w:r>
          </w:p>
        </w:tc>
        <w:tc>
          <w:tcPr>
            <w:tcW w:w="651" w:type="dxa"/>
            <w:vAlign w:val="center"/>
            <w:hideMark/>
          </w:tcPr>
          <w:p w14:paraId="71118E2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852" w:type="dxa"/>
            <w:vAlign w:val="center"/>
            <w:hideMark/>
          </w:tcPr>
          <w:p w14:paraId="498753B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12" w:type="dxa"/>
            <w:vAlign w:val="center"/>
            <w:hideMark/>
          </w:tcPr>
          <w:p w14:paraId="67A2B24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91" w:type="dxa"/>
            <w:vAlign w:val="center"/>
            <w:hideMark/>
          </w:tcPr>
          <w:p w14:paraId="679EF74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69" w:type="dxa"/>
            <w:vAlign w:val="center"/>
            <w:hideMark/>
          </w:tcPr>
          <w:p w14:paraId="58807D2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734" w:type="dxa"/>
            <w:vAlign w:val="center"/>
            <w:hideMark/>
          </w:tcPr>
          <w:p w14:paraId="544E741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683" w:type="dxa"/>
            <w:vAlign w:val="center"/>
            <w:hideMark/>
          </w:tcPr>
          <w:p w14:paraId="60C8B3A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820" w:type="dxa"/>
            <w:vAlign w:val="center"/>
            <w:hideMark/>
          </w:tcPr>
          <w:p w14:paraId="0EA00B7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39" w:type="dxa"/>
            <w:vAlign w:val="center"/>
            <w:hideMark/>
          </w:tcPr>
          <w:p w14:paraId="2CE3D3BB" w14:textId="3DDD34D9"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1075</w:t>
            </w:r>
          </w:p>
        </w:tc>
        <w:tc>
          <w:tcPr>
            <w:tcW w:w="764" w:type="dxa"/>
            <w:vAlign w:val="center"/>
            <w:hideMark/>
          </w:tcPr>
          <w:p w14:paraId="3B3E7311" w14:textId="6C865BB8"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1075</w:t>
            </w:r>
          </w:p>
        </w:tc>
        <w:tc>
          <w:tcPr>
            <w:tcW w:w="654" w:type="dxa"/>
            <w:vAlign w:val="center"/>
            <w:hideMark/>
          </w:tcPr>
          <w:p w14:paraId="65D12D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850" w:type="dxa"/>
            <w:vAlign w:val="center"/>
            <w:hideMark/>
          </w:tcPr>
          <w:p w14:paraId="24CFC318" w14:textId="5548CC23"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850" w:type="dxa"/>
            <w:vAlign w:val="center"/>
          </w:tcPr>
          <w:p w14:paraId="67ED34B4" w14:textId="108E0DAF"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850" w:type="dxa"/>
            <w:vAlign w:val="center"/>
          </w:tcPr>
          <w:p w14:paraId="213A2316" w14:textId="34AFBF3A"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r>
      <w:tr w:rsidR="00053D0C" w:rsidRPr="00053D0C" w14:paraId="5CE5F1AF" w14:textId="4E60BEC9" w:rsidTr="00A67021">
        <w:trPr>
          <w:trHeight w:val="20"/>
          <w:jc w:val="center"/>
        </w:trPr>
        <w:tc>
          <w:tcPr>
            <w:tcW w:w="1406" w:type="dxa"/>
            <w:vAlign w:val="center"/>
            <w:hideMark/>
          </w:tcPr>
          <w:p w14:paraId="231CBE4D"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10. Karnataka</w:t>
            </w:r>
          </w:p>
        </w:tc>
        <w:tc>
          <w:tcPr>
            <w:tcW w:w="688" w:type="dxa"/>
            <w:gridSpan w:val="2"/>
            <w:vAlign w:val="center"/>
            <w:hideMark/>
          </w:tcPr>
          <w:p w14:paraId="20BD65E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632</w:t>
            </w:r>
          </w:p>
        </w:tc>
        <w:tc>
          <w:tcPr>
            <w:tcW w:w="736" w:type="dxa"/>
            <w:vAlign w:val="center"/>
            <w:hideMark/>
          </w:tcPr>
          <w:p w14:paraId="1CFBA8F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780</w:t>
            </w:r>
          </w:p>
        </w:tc>
        <w:tc>
          <w:tcPr>
            <w:tcW w:w="767" w:type="dxa"/>
            <w:vAlign w:val="center"/>
            <w:hideMark/>
          </w:tcPr>
          <w:p w14:paraId="7D8DAED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3F7A821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960</w:t>
            </w:r>
          </w:p>
        </w:tc>
        <w:tc>
          <w:tcPr>
            <w:tcW w:w="852" w:type="dxa"/>
            <w:vAlign w:val="center"/>
            <w:hideMark/>
          </w:tcPr>
          <w:p w14:paraId="59DEA25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924</w:t>
            </w:r>
          </w:p>
        </w:tc>
        <w:tc>
          <w:tcPr>
            <w:tcW w:w="712" w:type="dxa"/>
            <w:vAlign w:val="center"/>
            <w:hideMark/>
          </w:tcPr>
          <w:p w14:paraId="4D06136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960</w:t>
            </w:r>
          </w:p>
        </w:tc>
        <w:tc>
          <w:tcPr>
            <w:tcW w:w="791" w:type="dxa"/>
            <w:vAlign w:val="center"/>
            <w:hideMark/>
          </w:tcPr>
          <w:p w14:paraId="7D24558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924</w:t>
            </w:r>
          </w:p>
        </w:tc>
        <w:tc>
          <w:tcPr>
            <w:tcW w:w="769" w:type="dxa"/>
            <w:vAlign w:val="center"/>
            <w:hideMark/>
          </w:tcPr>
          <w:p w14:paraId="75F1EB7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1190</w:t>
            </w:r>
          </w:p>
        </w:tc>
        <w:tc>
          <w:tcPr>
            <w:tcW w:w="734" w:type="dxa"/>
            <w:vAlign w:val="center"/>
            <w:hideMark/>
          </w:tcPr>
          <w:p w14:paraId="5CE322C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1145</w:t>
            </w:r>
          </w:p>
        </w:tc>
        <w:tc>
          <w:tcPr>
            <w:tcW w:w="683" w:type="dxa"/>
            <w:vAlign w:val="center"/>
            <w:hideMark/>
          </w:tcPr>
          <w:p w14:paraId="10B8F69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960</w:t>
            </w:r>
          </w:p>
        </w:tc>
        <w:tc>
          <w:tcPr>
            <w:tcW w:w="820" w:type="dxa"/>
            <w:vAlign w:val="center"/>
            <w:hideMark/>
          </w:tcPr>
          <w:p w14:paraId="22D8ECB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924</w:t>
            </w:r>
          </w:p>
        </w:tc>
        <w:tc>
          <w:tcPr>
            <w:tcW w:w="739" w:type="dxa"/>
            <w:vAlign w:val="center"/>
            <w:hideMark/>
          </w:tcPr>
          <w:p w14:paraId="76FD73C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1040</w:t>
            </w:r>
          </w:p>
        </w:tc>
        <w:tc>
          <w:tcPr>
            <w:tcW w:w="764" w:type="dxa"/>
            <w:vAlign w:val="center"/>
            <w:hideMark/>
          </w:tcPr>
          <w:p w14:paraId="74508B7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1001</w:t>
            </w:r>
          </w:p>
        </w:tc>
        <w:tc>
          <w:tcPr>
            <w:tcW w:w="654" w:type="dxa"/>
            <w:vAlign w:val="center"/>
            <w:hideMark/>
          </w:tcPr>
          <w:p w14:paraId="51022D3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1040</w:t>
            </w:r>
          </w:p>
        </w:tc>
        <w:tc>
          <w:tcPr>
            <w:tcW w:w="850" w:type="dxa"/>
            <w:vAlign w:val="center"/>
            <w:hideMark/>
          </w:tcPr>
          <w:p w14:paraId="5B8D75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1001</w:t>
            </w:r>
          </w:p>
        </w:tc>
        <w:tc>
          <w:tcPr>
            <w:tcW w:w="850" w:type="dxa"/>
            <w:vAlign w:val="center"/>
          </w:tcPr>
          <w:p w14:paraId="68DCC8F2" w14:textId="5547E6F1"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1190</w:t>
            </w:r>
          </w:p>
        </w:tc>
        <w:tc>
          <w:tcPr>
            <w:tcW w:w="850" w:type="dxa"/>
            <w:vAlign w:val="center"/>
          </w:tcPr>
          <w:p w14:paraId="7083FCE8" w14:textId="42738158"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1145</w:t>
            </w:r>
          </w:p>
        </w:tc>
      </w:tr>
      <w:tr w:rsidR="00053D0C" w:rsidRPr="00053D0C" w14:paraId="4A597EFB" w14:textId="128A52F6" w:rsidTr="00A67021">
        <w:trPr>
          <w:trHeight w:val="20"/>
          <w:jc w:val="center"/>
        </w:trPr>
        <w:tc>
          <w:tcPr>
            <w:tcW w:w="1406" w:type="dxa"/>
            <w:vAlign w:val="center"/>
            <w:hideMark/>
          </w:tcPr>
          <w:p w14:paraId="7C75A4C1"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11. Kerala</w:t>
            </w:r>
          </w:p>
        </w:tc>
        <w:tc>
          <w:tcPr>
            <w:tcW w:w="688" w:type="dxa"/>
            <w:gridSpan w:val="2"/>
            <w:vAlign w:val="center"/>
            <w:hideMark/>
          </w:tcPr>
          <w:p w14:paraId="483E8CA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488</w:t>
            </w:r>
          </w:p>
        </w:tc>
        <w:tc>
          <w:tcPr>
            <w:tcW w:w="736" w:type="dxa"/>
            <w:vAlign w:val="center"/>
            <w:hideMark/>
          </w:tcPr>
          <w:p w14:paraId="22A7BFC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550</w:t>
            </w:r>
          </w:p>
        </w:tc>
        <w:tc>
          <w:tcPr>
            <w:tcW w:w="767" w:type="dxa"/>
            <w:vAlign w:val="center"/>
            <w:hideMark/>
          </w:tcPr>
          <w:p w14:paraId="1874596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685</w:t>
            </w:r>
          </w:p>
        </w:tc>
        <w:tc>
          <w:tcPr>
            <w:tcW w:w="651" w:type="dxa"/>
            <w:vAlign w:val="center"/>
            <w:hideMark/>
          </w:tcPr>
          <w:p w14:paraId="4297B6A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640</w:t>
            </w:r>
          </w:p>
        </w:tc>
        <w:tc>
          <w:tcPr>
            <w:tcW w:w="852" w:type="dxa"/>
            <w:vAlign w:val="center"/>
            <w:hideMark/>
          </w:tcPr>
          <w:p w14:paraId="514677B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797</w:t>
            </w:r>
          </w:p>
        </w:tc>
        <w:tc>
          <w:tcPr>
            <w:tcW w:w="712" w:type="dxa"/>
            <w:vAlign w:val="center"/>
            <w:hideMark/>
          </w:tcPr>
          <w:p w14:paraId="176B5B8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600</w:t>
            </w:r>
          </w:p>
        </w:tc>
        <w:tc>
          <w:tcPr>
            <w:tcW w:w="791" w:type="dxa"/>
            <w:vAlign w:val="center"/>
            <w:hideMark/>
          </w:tcPr>
          <w:p w14:paraId="0CA439A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748</w:t>
            </w:r>
          </w:p>
        </w:tc>
        <w:tc>
          <w:tcPr>
            <w:tcW w:w="769" w:type="dxa"/>
            <w:vAlign w:val="center"/>
            <w:hideMark/>
          </w:tcPr>
          <w:p w14:paraId="1344275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740</w:t>
            </w:r>
          </w:p>
        </w:tc>
        <w:tc>
          <w:tcPr>
            <w:tcW w:w="734" w:type="dxa"/>
            <w:vAlign w:val="center"/>
            <w:hideMark/>
          </w:tcPr>
          <w:p w14:paraId="38A6EC0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922</w:t>
            </w:r>
          </w:p>
        </w:tc>
        <w:tc>
          <w:tcPr>
            <w:tcW w:w="683" w:type="dxa"/>
            <w:vAlign w:val="center"/>
            <w:hideMark/>
          </w:tcPr>
          <w:p w14:paraId="76B8DEA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640</w:t>
            </w:r>
          </w:p>
        </w:tc>
        <w:tc>
          <w:tcPr>
            <w:tcW w:w="820" w:type="dxa"/>
            <w:vAlign w:val="center"/>
            <w:hideMark/>
          </w:tcPr>
          <w:p w14:paraId="2D432D1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797</w:t>
            </w:r>
          </w:p>
        </w:tc>
        <w:tc>
          <w:tcPr>
            <w:tcW w:w="739" w:type="dxa"/>
            <w:vAlign w:val="center"/>
            <w:hideMark/>
          </w:tcPr>
          <w:p w14:paraId="0524FB9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700</w:t>
            </w:r>
          </w:p>
        </w:tc>
        <w:tc>
          <w:tcPr>
            <w:tcW w:w="764" w:type="dxa"/>
            <w:vAlign w:val="center"/>
            <w:hideMark/>
          </w:tcPr>
          <w:p w14:paraId="76D365A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872</w:t>
            </w:r>
          </w:p>
        </w:tc>
        <w:tc>
          <w:tcPr>
            <w:tcW w:w="654" w:type="dxa"/>
            <w:vAlign w:val="center"/>
            <w:hideMark/>
          </w:tcPr>
          <w:p w14:paraId="26EEB2A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660</w:t>
            </w:r>
          </w:p>
        </w:tc>
        <w:tc>
          <w:tcPr>
            <w:tcW w:w="850" w:type="dxa"/>
            <w:vAlign w:val="center"/>
            <w:hideMark/>
          </w:tcPr>
          <w:p w14:paraId="2E493A9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822</w:t>
            </w:r>
          </w:p>
        </w:tc>
        <w:tc>
          <w:tcPr>
            <w:tcW w:w="850" w:type="dxa"/>
            <w:vAlign w:val="center"/>
          </w:tcPr>
          <w:p w14:paraId="55C8B255" w14:textId="6435E5FB"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700</w:t>
            </w:r>
          </w:p>
        </w:tc>
        <w:tc>
          <w:tcPr>
            <w:tcW w:w="850" w:type="dxa"/>
            <w:vAlign w:val="center"/>
          </w:tcPr>
          <w:p w14:paraId="5F9D5273" w14:textId="02C4C64C"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872</w:t>
            </w:r>
          </w:p>
        </w:tc>
      </w:tr>
      <w:tr w:rsidR="00053D0C" w:rsidRPr="00053D0C" w14:paraId="6100882E" w14:textId="3170F0A0" w:rsidTr="00A67021">
        <w:trPr>
          <w:trHeight w:val="20"/>
          <w:jc w:val="center"/>
        </w:trPr>
        <w:tc>
          <w:tcPr>
            <w:tcW w:w="1406" w:type="dxa"/>
            <w:vAlign w:val="center"/>
            <w:hideMark/>
          </w:tcPr>
          <w:p w14:paraId="66695200"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12. Madhya Pradesh</w:t>
            </w:r>
          </w:p>
        </w:tc>
        <w:tc>
          <w:tcPr>
            <w:tcW w:w="688" w:type="dxa"/>
            <w:gridSpan w:val="2"/>
            <w:vAlign w:val="center"/>
            <w:hideMark/>
          </w:tcPr>
          <w:p w14:paraId="717BBCA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300B5F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725</w:t>
            </w:r>
          </w:p>
        </w:tc>
        <w:tc>
          <w:tcPr>
            <w:tcW w:w="767" w:type="dxa"/>
            <w:vAlign w:val="center"/>
            <w:hideMark/>
          </w:tcPr>
          <w:p w14:paraId="3D51D59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725</w:t>
            </w:r>
          </w:p>
        </w:tc>
        <w:tc>
          <w:tcPr>
            <w:tcW w:w="651" w:type="dxa"/>
            <w:vAlign w:val="center"/>
            <w:hideMark/>
          </w:tcPr>
          <w:p w14:paraId="077AF9C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870</w:t>
            </w:r>
          </w:p>
        </w:tc>
        <w:tc>
          <w:tcPr>
            <w:tcW w:w="852" w:type="dxa"/>
            <w:vAlign w:val="center"/>
            <w:hideMark/>
          </w:tcPr>
          <w:p w14:paraId="13CD734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870</w:t>
            </w:r>
          </w:p>
        </w:tc>
        <w:tc>
          <w:tcPr>
            <w:tcW w:w="712" w:type="dxa"/>
            <w:vAlign w:val="center"/>
            <w:hideMark/>
          </w:tcPr>
          <w:p w14:paraId="4BCB594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91" w:type="dxa"/>
            <w:vAlign w:val="center"/>
            <w:hideMark/>
          </w:tcPr>
          <w:p w14:paraId="532D02B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69" w:type="dxa"/>
            <w:vAlign w:val="center"/>
            <w:hideMark/>
          </w:tcPr>
          <w:p w14:paraId="00CECF8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18FB15E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73830AF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870</w:t>
            </w:r>
          </w:p>
        </w:tc>
        <w:tc>
          <w:tcPr>
            <w:tcW w:w="820" w:type="dxa"/>
            <w:vAlign w:val="center"/>
            <w:hideMark/>
          </w:tcPr>
          <w:p w14:paraId="0547995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870</w:t>
            </w:r>
          </w:p>
        </w:tc>
        <w:tc>
          <w:tcPr>
            <w:tcW w:w="739" w:type="dxa"/>
            <w:vAlign w:val="center"/>
            <w:hideMark/>
          </w:tcPr>
          <w:p w14:paraId="26D2F32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764" w:type="dxa"/>
            <w:vAlign w:val="center"/>
            <w:hideMark/>
          </w:tcPr>
          <w:p w14:paraId="05C7EB4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654" w:type="dxa"/>
            <w:vAlign w:val="center"/>
            <w:hideMark/>
          </w:tcPr>
          <w:p w14:paraId="6198D14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850" w:type="dxa"/>
            <w:vAlign w:val="center"/>
            <w:hideMark/>
          </w:tcPr>
          <w:p w14:paraId="3EA1D1F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850" w:type="dxa"/>
            <w:vAlign w:val="center"/>
          </w:tcPr>
          <w:p w14:paraId="15C68CB9" w14:textId="51F80B9A"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54CC04B6" w14:textId="33E2036B"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r>
      <w:tr w:rsidR="00053D0C" w:rsidRPr="00053D0C" w14:paraId="692484DD" w14:textId="31DDAB1C" w:rsidTr="00A67021">
        <w:trPr>
          <w:trHeight w:val="20"/>
          <w:jc w:val="center"/>
        </w:trPr>
        <w:tc>
          <w:tcPr>
            <w:tcW w:w="1406" w:type="dxa"/>
            <w:vAlign w:val="center"/>
            <w:hideMark/>
          </w:tcPr>
          <w:p w14:paraId="6C75474B"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13. Maharashtra</w:t>
            </w:r>
          </w:p>
        </w:tc>
        <w:tc>
          <w:tcPr>
            <w:tcW w:w="688" w:type="dxa"/>
            <w:gridSpan w:val="2"/>
            <w:vAlign w:val="center"/>
            <w:hideMark/>
          </w:tcPr>
          <w:p w14:paraId="6A3CE86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DABACE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7E13ECD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5D7190F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68D2B7E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76E716C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91" w:type="dxa"/>
            <w:vAlign w:val="center"/>
            <w:hideMark/>
          </w:tcPr>
          <w:p w14:paraId="1A60B62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9" w:type="dxa"/>
            <w:vAlign w:val="center"/>
            <w:hideMark/>
          </w:tcPr>
          <w:p w14:paraId="0B39513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30EC4F7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74B073F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820" w:type="dxa"/>
            <w:vAlign w:val="center"/>
            <w:hideMark/>
          </w:tcPr>
          <w:p w14:paraId="305CF93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739" w:type="dxa"/>
            <w:vAlign w:val="center"/>
            <w:hideMark/>
          </w:tcPr>
          <w:p w14:paraId="79D14E7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764" w:type="dxa"/>
            <w:vAlign w:val="center"/>
            <w:hideMark/>
          </w:tcPr>
          <w:p w14:paraId="6DBC918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654" w:type="dxa"/>
            <w:vAlign w:val="center"/>
            <w:hideMark/>
          </w:tcPr>
          <w:p w14:paraId="762902D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1E6022D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1C65E481" w14:textId="00A9DCA4"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c>
          <w:tcPr>
            <w:tcW w:w="850" w:type="dxa"/>
            <w:vAlign w:val="center"/>
          </w:tcPr>
          <w:p w14:paraId="1FFA27B7" w14:textId="0F823EF9"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r>
      <w:tr w:rsidR="00053D0C" w:rsidRPr="00053D0C" w14:paraId="6EB48EFE" w14:textId="5AD26973" w:rsidTr="00A67021">
        <w:trPr>
          <w:trHeight w:val="20"/>
          <w:jc w:val="center"/>
        </w:trPr>
        <w:tc>
          <w:tcPr>
            <w:tcW w:w="1406" w:type="dxa"/>
            <w:vAlign w:val="center"/>
            <w:hideMark/>
          </w:tcPr>
          <w:p w14:paraId="390A036D"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14. Manipur</w:t>
            </w:r>
          </w:p>
        </w:tc>
        <w:tc>
          <w:tcPr>
            <w:tcW w:w="688" w:type="dxa"/>
            <w:gridSpan w:val="2"/>
            <w:vAlign w:val="center"/>
            <w:hideMark/>
          </w:tcPr>
          <w:p w14:paraId="5032511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55D35F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53ED474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50D4989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06EE568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007A876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91" w:type="dxa"/>
            <w:vAlign w:val="center"/>
            <w:hideMark/>
          </w:tcPr>
          <w:p w14:paraId="77A97F1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69" w:type="dxa"/>
            <w:vAlign w:val="center"/>
            <w:hideMark/>
          </w:tcPr>
          <w:p w14:paraId="3C7E6FA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734" w:type="dxa"/>
            <w:vAlign w:val="center"/>
            <w:hideMark/>
          </w:tcPr>
          <w:p w14:paraId="598F13B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683" w:type="dxa"/>
            <w:vAlign w:val="center"/>
            <w:hideMark/>
          </w:tcPr>
          <w:p w14:paraId="60F350F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820" w:type="dxa"/>
            <w:vAlign w:val="center"/>
            <w:hideMark/>
          </w:tcPr>
          <w:p w14:paraId="717590C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39" w:type="dxa"/>
            <w:vAlign w:val="center"/>
            <w:hideMark/>
          </w:tcPr>
          <w:p w14:paraId="46412BD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64" w:type="dxa"/>
            <w:vAlign w:val="center"/>
            <w:hideMark/>
          </w:tcPr>
          <w:p w14:paraId="4D3AC9D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654" w:type="dxa"/>
            <w:vAlign w:val="center"/>
            <w:hideMark/>
          </w:tcPr>
          <w:p w14:paraId="635F146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0" w:type="dxa"/>
            <w:vAlign w:val="center"/>
            <w:hideMark/>
          </w:tcPr>
          <w:p w14:paraId="519F7E1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0" w:type="dxa"/>
            <w:vAlign w:val="center"/>
          </w:tcPr>
          <w:p w14:paraId="5C851622" w14:textId="12B67D33"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5524560A" w14:textId="7DEDC8FB"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r>
      <w:tr w:rsidR="00053D0C" w:rsidRPr="00053D0C" w14:paraId="7D31D5A1" w14:textId="6E05A1BC" w:rsidTr="00A67021">
        <w:trPr>
          <w:trHeight w:val="20"/>
          <w:jc w:val="center"/>
        </w:trPr>
        <w:tc>
          <w:tcPr>
            <w:tcW w:w="1406" w:type="dxa"/>
            <w:vAlign w:val="center"/>
            <w:hideMark/>
          </w:tcPr>
          <w:p w14:paraId="1FDE9C4A"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15. Meghalaya</w:t>
            </w:r>
          </w:p>
        </w:tc>
        <w:tc>
          <w:tcPr>
            <w:tcW w:w="688" w:type="dxa"/>
            <w:gridSpan w:val="2"/>
            <w:vAlign w:val="center"/>
            <w:hideMark/>
          </w:tcPr>
          <w:p w14:paraId="3A1E79A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661</w:t>
            </w:r>
          </w:p>
        </w:tc>
        <w:tc>
          <w:tcPr>
            <w:tcW w:w="736" w:type="dxa"/>
            <w:vAlign w:val="center"/>
            <w:hideMark/>
          </w:tcPr>
          <w:p w14:paraId="3E2DF36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820</w:t>
            </w:r>
          </w:p>
        </w:tc>
        <w:tc>
          <w:tcPr>
            <w:tcW w:w="767" w:type="dxa"/>
            <w:vAlign w:val="center"/>
            <w:hideMark/>
          </w:tcPr>
          <w:p w14:paraId="03DF9A4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754</w:t>
            </w:r>
          </w:p>
        </w:tc>
        <w:tc>
          <w:tcPr>
            <w:tcW w:w="651" w:type="dxa"/>
            <w:vAlign w:val="center"/>
            <w:hideMark/>
          </w:tcPr>
          <w:p w14:paraId="342F345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1300</w:t>
            </w:r>
          </w:p>
        </w:tc>
        <w:tc>
          <w:tcPr>
            <w:tcW w:w="852" w:type="dxa"/>
            <w:vAlign w:val="center"/>
            <w:hideMark/>
          </w:tcPr>
          <w:p w14:paraId="11F6F80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1196</w:t>
            </w:r>
          </w:p>
        </w:tc>
        <w:tc>
          <w:tcPr>
            <w:tcW w:w="712" w:type="dxa"/>
            <w:vAlign w:val="center"/>
            <w:hideMark/>
          </w:tcPr>
          <w:p w14:paraId="4A96980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900</w:t>
            </w:r>
          </w:p>
        </w:tc>
        <w:tc>
          <w:tcPr>
            <w:tcW w:w="791" w:type="dxa"/>
            <w:vAlign w:val="center"/>
            <w:hideMark/>
          </w:tcPr>
          <w:p w14:paraId="0E545E0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828</w:t>
            </w:r>
          </w:p>
        </w:tc>
        <w:tc>
          <w:tcPr>
            <w:tcW w:w="769" w:type="dxa"/>
            <w:vAlign w:val="center"/>
            <w:hideMark/>
          </w:tcPr>
          <w:p w14:paraId="55A7FF9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1675</w:t>
            </w:r>
          </w:p>
        </w:tc>
        <w:tc>
          <w:tcPr>
            <w:tcW w:w="734" w:type="dxa"/>
            <w:vAlign w:val="center"/>
            <w:hideMark/>
          </w:tcPr>
          <w:p w14:paraId="2904536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1541</w:t>
            </w:r>
          </w:p>
        </w:tc>
        <w:tc>
          <w:tcPr>
            <w:tcW w:w="683" w:type="dxa"/>
            <w:vAlign w:val="center"/>
            <w:hideMark/>
          </w:tcPr>
          <w:p w14:paraId="25FFE48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820" w:type="dxa"/>
            <w:vAlign w:val="center"/>
            <w:hideMark/>
          </w:tcPr>
          <w:p w14:paraId="64EE76D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897</w:t>
            </w:r>
          </w:p>
        </w:tc>
        <w:tc>
          <w:tcPr>
            <w:tcW w:w="739" w:type="dxa"/>
            <w:vAlign w:val="center"/>
            <w:hideMark/>
          </w:tcPr>
          <w:p w14:paraId="2B51FC9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1050</w:t>
            </w:r>
          </w:p>
        </w:tc>
        <w:tc>
          <w:tcPr>
            <w:tcW w:w="764" w:type="dxa"/>
            <w:vAlign w:val="center"/>
            <w:hideMark/>
          </w:tcPr>
          <w:p w14:paraId="0354B2B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966</w:t>
            </w:r>
          </w:p>
        </w:tc>
        <w:tc>
          <w:tcPr>
            <w:tcW w:w="654" w:type="dxa"/>
            <w:vAlign w:val="center"/>
            <w:hideMark/>
          </w:tcPr>
          <w:p w14:paraId="6359836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7C12ED9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1104</w:t>
            </w:r>
          </w:p>
        </w:tc>
        <w:tc>
          <w:tcPr>
            <w:tcW w:w="850" w:type="dxa"/>
            <w:vAlign w:val="center"/>
          </w:tcPr>
          <w:p w14:paraId="6B388E59" w14:textId="26443744"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691A9CE9" w14:textId="2208E121"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1104</w:t>
            </w:r>
          </w:p>
        </w:tc>
      </w:tr>
      <w:tr w:rsidR="00053D0C" w:rsidRPr="00053D0C" w14:paraId="255D49FD" w14:textId="3D027AF9" w:rsidTr="00A67021">
        <w:trPr>
          <w:trHeight w:val="20"/>
          <w:jc w:val="center"/>
        </w:trPr>
        <w:tc>
          <w:tcPr>
            <w:tcW w:w="1406" w:type="dxa"/>
            <w:vAlign w:val="center"/>
            <w:hideMark/>
          </w:tcPr>
          <w:p w14:paraId="7BDD739A"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16. Mizoram</w:t>
            </w:r>
          </w:p>
        </w:tc>
        <w:tc>
          <w:tcPr>
            <w:tcW w:w="688" w:type="dxa"/>
            <w:gridSpan w:val="2"/>
            <w:vAlign w:val="center"/>
            <w:hideMark/>
          </w:tcPr>
          <w:p w14:paraId="79A8CD5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5BDB2A5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67" w:type="dxa"/>
            <w:vAlign w:val="center"/>
            <w:hideMark/>
          </w:tcPr>
          <w:p w14:paraId="01F46FC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651" w:type="dxa"/>
            <w:vAlign w:val="center"/>
            <w:hideMark/>
          </w:tcPr>
          <w:p w14:paraId="1970D7C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2" w:type="dxa"/>
            <w:vAlign w:val="center"/>
            <w:hideMark/>
          </w:tcPr>
          <w:p w14:paraId="191370E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12" w:type="dxa"/>
            <w:vAlign w:val="center"/>
            <w:hideMark/>
          </w:tcPr>
          <w:p w14:paraId="19DFE6F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91" w:type="dxa"/>
            <w:vAlign w:val="center"/>
            <w:hideMark/>
          </w:tcPr>
          <w:p w14:paraId="3DACC51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69" w:type="dxa"/>
            <w:vAlign w:val="center"/>
            <w:hideMark/>
          </w:tcPr>
          <w:p w14:paraId="2812972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1400</w:t>
            </w:r>
          </w:p>
        </w:tc>
        <w:tc>
          <w:tcPr>
            <w:tcW w:w="734" w:type="dxa"/>
            <w:vAlign w:val="center"/>
            <w:hideMark/>
          </w:tcPr>
          <w:p w14:paraId="6C3E17D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1400</w:t>
            </w:r>
          </w:p>
        </w:tc>
        <w:tc>
          <w:tcPr>
            <w:tcW w:w="683" w:type="dxa"/>
            <w:vAlign w:val="center"/>
            <w:hideMark/>
          </w:tcPr>
          <w:p w14:paraId="2525C7C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820" w:type="dxa"/>
            <w:vAlign w:val="center"/>
            <w:hideMark/>
          </w:tcPr>
          <w:p w14:paraId="356D34E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825</w:t>
            </w:r>
          </w:p>
        </w:tc>
        <w:tc>
          <w:tcPr>
            <w:tcW w:w="739" w:type="dxa"/>
            <w:vAlign w:val="center"/>
            <w:hideMark/>
          </w:tcPr>
          <w:p w14:paraId="3993F43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64" w:type="dxa"/>
            <w:vAlign w:val="center"/>
            <w:hideMark/>
          </w:tcPr>
          <w:p w14:paraId="7C0D8BF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54" w:type="dxa"/>
            <w:vAlign w:val="center"/>
            <w:hideMark/>
          </w:tcPr>
          <w:p w14:paraId="2EBF91B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0645230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3D442612" w14:textId="49B17605"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c>
          <w:tcPr>
            <w:tcW w:w="850" w:type="dxa"/>
            <w:vAlign w:val="center"/>
          </w:tcPr>
          <w:p w14:paraId="2334849D" w14:textId="38097F26"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r>
      <w:tr w:rsidR="00053D0C" w:rsidRPr="00053D0C" w14:paraId="7FF8C6D6" w14:textId="30D052ED" w:rsidTr="00A67021">
        <w:trPr>
          <w:trHeight w:val="20"/>
          <w:jc w:val="center"/>
        </w:trPr>
        <w:tc>
          <w:tcPr>
            <w:tcW w:w="1406" w:type="dxa"/>
            <w:vAlign w:val="center"/>
            <w:hideMark/>
          </w:tcPr>
          <w:p w14:paraId="06EC3A38"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17. Nagaland</w:t>
            </w:r>
          </w:p>
        </w:tc>
        <w:tc>
          <w:tcPr>
            <w:tcW w:w="688" w:type="dxa"/>
            <w:gridSpan w:val="2"/>
            <w:vAlign w:val="center"/>
            <w:hideMark/>
          </w:tcPr>
          <w:p w14:paraId="2F821883" w14:textId="77777777" w:rsidR="00053D0C" w:rsidRPr="00053D0C" w:rsidRDefault="00053D0C" w:rsidP="00053D0C">
            <w:pPr>
              <w:pStyle w:val="NoSpacing"/>
              <w:jc w:val="center"/>
              <w:rPr>
                <w:rFonts w:ascii="Times New Roman" w:hAnsi="Times New Roman" w:cs="Times New Roman"/>
                <w:sz w:val="16"/>
                <w:szCs w:val="16"/>
              </w:rPr>
            </w:pPr>
            <w:proofErr w:type="gramStart"/>
            <w:r w:rsidRPr="00053D0C">
              <w:rPr>
                <w:rFonts w:ascii="Times New Roman" w:hAnsi="Times New Roman" w:cs="Times New Roman"/>
                <w:sz w:val="16"/>
                <w:szCs w:val="16"/>
              </w:rPr>
              <w:t>N.A</w:t>
            </w:r>
            <w:proofErr w:type="gramEnd"/>
          </w:p>
        </w:tc>
        <w:tc>
          <w:tcPr>
            <w:tcW w:w="736" w:type="dxa"/>
            <w:vAlign w:val="center"/>
            <w:hideMark/>
          </w:tcPr>
          <w:p w14:paraId="2CF32CD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375</w:t>
            </w:r>
          </w:p>
        </w:tc>
        <w:tc>
          <w:tcPr>
            <w:tcW w:w="767" w:type="dxa"/>
            <w:vAlign w:val="center"/>
            <w:hideMark/>
          </w:tcPr>
          <w:p w14:paraId="080BE00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705</w:t>
            </w:r>
          </w:p>
        </w:tc>
        <w:tc>
          <w:tcPr>
            <w:tcW w:w="651" w:type="dxa"/>
            <w:vAlign w:val="center"/>
            <w:hideMark/>
          </w:tcPr>
          <w:p w14:paraId="4A9DBDD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535</w:t>
            </w:r>
          </w:p>
        </w:tc>
        <w:tc>
          <w:tcPr>
            <w:tcW w:w="852" w:type="dxa"/>
            <w:vAlign w:val="center"/>
            <w:hideMark/>
          </w:tcPr>
          <w:p w14:paraId="20899AE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898</w:t>
            </w:r>
          </w:p>
        </w:tc>
        <w:tc>
          <w:tcPr>
            <w:tcW w:w="712" w:type="dxa"/>
            <w:vAlign w:val="center"/>
            <w:hideMark/>
          </w:tcPr>
          <w:p w14:paraId="5A08850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400</w:t>
            </w:r>
          </w:p>
        </w:tc>
        <w:tc>
          <w:tcPr>
            <w:tcW w:w="791" w:type="dxa"/>
            <w:vAlign w:val="center"/>
            <w:hideMark/>
          </w:tcPr>
          <w:p w14:paraId="13E45A1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740</w:t>
            </w:r>
          </w:p>
        </w:tc>
        <w:tc>
          <w:tcPr>
            <w:tcW w:w="769" w:type="dxa"/>
            <w:vAlign w:val="center"/>
            <w:hideMark/>
          </w:tcPr>
          <w:p w14:paraId="3A60606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720</w:t>
            </w:r>
          </w:p>
        </w:tc>
        <w:tc>
          <w:tcPr>
            <w:tcW w:w="734" w:type="dxa"/>
            <w:vAlign w:val="center"/>
            <w:hideMark/>
          </w:tcPr>
          <w:p w14:paraId="1E5EE63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1282</w:t>
            </w:r>
          </w:p>
        </w:tc>
        <w:tc>
          <w:tcPr>
            <w:tcW w:w="683" w:type="dxa"/>
            <w:vAlign w:val="center"/>
            <w:hideMark/>
          </w:tcPr>
          <w:p w14:paraId="39B1EE6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400</w:t>
            </w:r>
          </w:p>
        </w:tc>
        <w:tc>
          <w:tcPr>
            <w:tcW w:w="820" w:type="dxa"/>
            <w:vAlign w:val="center"/>
            <w:hideMark/>
          </w:tcPr>
          <w:p w14:paraId="7A13778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740</w:t>
            </w:r>
          </w:p>
        </w:tc>
        <w:tc>
          <w:tcPr>
            <w:tcW w:w="739" w:type="dxa"/>
            <w:vAlign w:val="center"/>
            <w:hideMark/>
          </w:tcPr>
          <w:p w14:paraId="57DE346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450</w:t>
            </w:r>
          </w:p>
        </w:tc>
        <w:tc>
          <w:tcPr>
            <w:tcW w:w="764" w:type="dxa"/>
            <w:vAlign w:val="center"/>
            <w:hideMark/>
          </w:tcPr>
          <w:p w14:paraId="028D986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818</w:t>
            </w:r>
          </w:p>
        </w:tc>
        <w:tc>
          <w:tcPr>
            <w:tcW w:w="654" w:type="dxa"/>
            <w:vAlign w:val="center"/>
            <w:hideMark/>
          </w:tcPr>
          <w:p w14:paraId="0D1C95B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535</w:t>
            </w:r>
          </w:p>
        </w:tc>
        <w:tc>
          <w:tcPr>
            <w:tcW w:w="850" w:type="dxa"/>
            <w:vAlign w:val="center"/>
            <w:hideMark/>
          </w:tcPr>
          <w:p w14:paraId="1CA84F5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898</w:t>
            </w:r>
          </w:p>
        </w:tc>
        <w:tc>
          <w:tcPr>
            <w:tcW w:w="850" w:type="dxa"/>
            <w:vAlign w:val="center"/>
          </w:tcPr>
          <w:p w14:paraId="02A61216" w14:textId="5F5FACC5"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510</w:t>
            </w:r>
          </w:p>
        </w:tc>
        <w:tc>
          <w:tcPr>
            <w:tcW w:w="850" w:type="dxa"/>
            <w:vAlign w:val="center"/>
          </w:tcPr>
          <w:p w14:paraId="430A2A69" w14:textId="7473E4D8"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851</w:t>
            </w:r>
          </w:p>
        </w:tc>
      </w:tr>
      <w:tr w:rsidR="00053D0C" w:rsidRPr="00053D0C" w14:paraId="7DCC43F2" w14:textId="7809CF97" w:rsidTr="00A67021">
        <w:trPr>
          <w:trHeight w:val="20"/>
          <w:jc w:val="center"/>
        </w:trPr>
        <w:tc>
          <w:tcPr>
            <w:tcW w:w="1406" w:type="dxa"/>
            <w:vAlign w:val="center"/>
            <w:hideMark/>
          </w:tcPr>
          <w:p w14:paraId="05F0F592"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18. Orissa</w:t>
            </w:r>
          </w:p>
        </w:tc>
        <w:tc>
          <w:tcPr>
            <w:tcW w:w="688" w:type="dxa"/>
            <w:gridSpan w:val="2"/>
            <w:vAlign w:val="center"/>
            <w:hideMark/>
          </w:tcPr>
          <w:p w14:paraId="08099A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568</w:t>
            </w:r>
          </w:p>
        </w:tc>
        <w:tc>
          <w:tcPr>
            <w:tcW w:w="736" w:type="dxa"/>
            <w:vAlign w:val="center"/>
            <w:hideMark/>
          </w:tcPr>
          <w:p w14:paraId="737D31D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570</w:t>
            </w:r>
          </w:p>
        </w:tc>
        <w:tc>
          <w:tcPr>
            <w:tcW w:w="767" w:type="dxa"/>
            <w:vAlign w:val="center"/>
            <w:hideMark/>
          </w:tcPr>
          <w:p w14:paraId="24ED861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610</w:t>
            </w:r>
          </w:p>
        </w:tc>
        <w:tc>
          <w:tcPr>
            <w:tcW w:w="651" w:type="dxa"/>
            <w:vAlign w:val="center"/>
            <w:hideMark/>
          </w:tcPr>
          <w:p w14:paraId="473D950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780</w:t>
            </w:r>
          </w:p>
        </w:tc>
        <w:tc>
          <w:tcPr>
            <w:tcW w:w="852" w:type="dxa"/>
            <w:vAlign w:val="center"/>
            <w:hideMark/>
          </w:tcPr>
          <w:p w14:paraId="208B906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835</w:t>
            </w:r>
          </w:p>
        </w:tc>
        <w:tc>
          <w:tcPr>
            <w:tcW w:w="712" w:type="dxa"/>
            <w:vAlign w:val="center"/>
            <w:hideMark/>
          </w:tcPr>
          <w:p w14:paraId="25307FB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625</w:t>
            </w:r>
          </w:p>
        </w:tc>
        <w:tc>
          <w:tcPr>
            <w:tcW w:w="791" w:type="dxa"/>
            <w:vAlign w:val="center"/>
            <w:hideMark/>
          </w:tcPr>
          <w:p w14:paraId="50A13CD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669</w:t>
            </w:r>
          </w:p>
        </w:tc>
        <w:tc>
          <w:tcPr>
            <w:tcW w:w="769" w:type="dxa"/>
            <w:vAlign w:val="center"/>
            <w:hideMark/>
          </w:tcPr>
          <w:p w14:paraId="54A7F35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840</w:t>
            </w:r>
          </w:p>
        </w:tc>
        <w:tc>
          <w:tcPr>
            <w:tcW w:w="734" w:type="dxa"/>
            <w:vAlign w:val="center"/>
            <w:hideMark/>
          </w:tcPr>
          <w:p w14:paraId="4A30799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899</w:t>
            </w:r>
          </w:p>
        </w:tc>
        <w:tc>
          <w:tcPr>
            <w:tcW w:w="683" w:type="dxa"/>
            <w:vAlign w:val="center"/>
            <w:hideMark/>
          </w:tcPr>
          <w:p w14:paraId="40B5C6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780</w:t>
            </w:r>
          </w:p>
        </w:tc>
        <w:tc>
          <w:tcPr>
            <w:tcW w:w="820" w:type="dxa"/>
            <w:vAlign w:val="center"/>
            <w:hideMark/>
          </w:tcPr>
          <w:p w14:paraId="18913B5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835</w:t>
            </w:r>
          </w:p>
        </w:tc>
        <w:tc>
          <w:tcPr>
            <w:tcW w:w="739" w:type="dxa"/>
            <w:vAlign w:val="center"/>
            <w:hideMark/>
          </w:tcPr>
          <w:p w14:paraId="169D7AC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840</w:t>
            </w:r>
          </w:p>
        </w:tc>
        <w:tc>
          <w:tcPr>
            <w:tcW w:w="764" w:type="dxa"/>
            <w:vAlign w:val="center"/>
            <w:hideMark/>
          </w:tcPr>
          <w:p w14:paraId="327CE54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899</w:t>
            </w:r>
          </w:p>
        </w:tc>
        <w:tc>
          <w:tcPr>
            <w:tcW w:w="654" w:type="dxa"/>
            <w:vAlign w:val="center"/>
            <w:hideMark/>
          </w:tcPr>
          <w:p w14:paraId="7C75010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840</w:t>
            </w:r>
          </w:p>
        </w:tc>
        <w:tc>
          <w:tcPr>
            <w:tcW w:w="850" w:type="dxa"/>
            <w:vAlign w:val="center"/>
            <w:hideMark/>
          </w:tcPr>
          <w:p w14:paraId="2FB6404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899</w:t>
            </w:r>
          </w:p>
        </w:tc>
        <w:tc>
          <w:tcPr>
            <w:tcW w:w="850" w:type="dxa"/>
            <w:vAlign w:val="center"/>
          </w:tcPr>
          <w:p w14:paraId="6F1FFF20" w14:textId="1D1F2629"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840</w:t>
            </w:r>
          </w:p>
        </w:tc>
        <w:tc>
          <w:tcPr>
            <w:tcW w:w="850" w:type="dxa"/>
            <w:vAlign w:val="center"/>
          </w:tcPr>
          <w:p w14:paraId="2B6DBEB4" w14:textId="4F07B7C1"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899</w:t>
            </w:r>
          </w:p>
        </w:tc>
      </w:tr>
      <w:tr w:rsidR="00053D0C" w:rsidRPr="00053D0C" w14:paraId="441A7DAD" w14:textId="2C39DA21" w:rsidTr="00A67021">
        <w:trPr>
          <w:trHeight w:val="20"/>
          <w:jc w:val="center"/>
        </w:trPr>
        <w:tc>
          <w:tcPr>
            <w:tcW w:w="1406" w:type="dxa"/>
            <w:vAlign w:val="center"/>
            <w:hideMark/>
          </w:tcPr>
          <w:p w14:paraId="2057938D"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19. Punjab</w:t>
            </w:r>
          </w:p>
        </w:tc>
        <w:tc>
          <w:tcPr>
            <w:tcW w:w="688" w:type="dxa"/>
            <w:gridSpan w:val="2"/>
            <w:vAlign w:val="center"/>
            <w:hideMark/>
          </w:tcPr>
          <w:p w14:paraId="5AC44CC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37C2763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767" w:type="dxa"/>
            <w:vAlign w:val="center"/>
            <w:hideMark/>
          </w:tcPr>
          <w:p w14:paraId="3A3DE27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750</w:t>
            </w:r>
          </w:p>
        </w:tc>
        <w:tc>
          <w:tcPr>
            <w:tcW w:w="651" w:type="dxa"/>
            <w:vAlign w:val="center"/>
            <w:hideMark/>
          </w:tcPr>
          <w:p w14:paraId="7326AC5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852" w:type="dxa"/>
            <w:vAlign w:val="center"/>
            <w:hideMark/>
          </w:tcPr>
          <w:p w14:paraId="2DADE0F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12" w:type="dxa"/>
            <w:vAlign w:val="center"/>
            <w:hideMark/>
          </w:tcPr>
          <w:p w14:paraId="029C447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91" w:type="dxa"/>
            <w:vAlign w:val="center"/>
            <w:hideMark/>
          </w:tcPr>
          <w:p w14:paraId="3FFB4FD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950</w:t>
            </w:r>
          </w:p>
        </w:tc>
        <w:tc>
          <w:tcPr>
            <w:tcW w:w="769" w:type="dxa"/>
            <w:vAlign w:val="center"/>
            <w:hideMark/>
          </w:tcPr>
          <w:p w14:paraId="2731BC7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34" w:type="dxa"/>
            <w:vAlign w:val="center"/>
            <w:hideMark/>
          </w:tcPr>
          <w:p w14:paraId="3A17691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83" w:type="dxa"/>
            <w:vAlign w:val="center"/>
            <w:hideMark/>
          </w:tcPr>
          <w:p w14:paraId="2F282F2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1000</w:t>
            </w:r>
          </w:p>
        </w:tc>
        <w:tc>
          <w:tcPr>
            <w:tcW w:w="820" w:type="dxa"/>
            <w:vAlign w:val="center"/>
            <w:hideMark/>
          </w:tcPr>
          <w:p w14:paraId="33A534F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1000</w:t>
            </w:r>
          </w:p>
        </w:tc>
        <w:tc>
          <w:tcPr>
            <w:tcW w:w="739" w:type="dxa"/>
            <w:vAlign w:val="center"/>
            <w:hideMark/>
          </w:tcPr>
          <w:p w14:paraId="63EEE7F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764" w:type="dxa"/>
            <w:vAlign w:val="center"/>
            <w:hideMark/>
          </w:tcPr>
          <w:p w14:paraId="5F45B39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654" w:type="dxa"/>
            <w:vAlign w:val="center"/>
            <w:hideMark/>
          </w:tcPr>
          <w:p w14:paraId="10077EE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hideMark/>
          </w:tcPr>
          <w:p w14:paraId="0A9D002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335E8140" w14:textId="76213E2D"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c>
          <w:tcPr>
            <w:tcW w:w="850" w:type="dxa"/>
            <w:vAlign w:val="center"/>
          </w:tcPr>
          <w:p w14:paraId="4271FC8E" w14:textId="745B4718"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1350</w:t>
            </w:r>
          </w:p>
        </w:tc>
      </w:tr>
      <w:tr w:rsidR="00053D0C" w:rsidRPr="00053D0C" w14:paraId="464C83DB" w14:textId="29F2A1E3" w:rsidTr="00A67021">
        <w:trPr>
          <w:trHeight w:val="20"/>
          <w:jc w:val="center"/>
        </w:trPr>
        <w:tc>
          <w:tcPr>
            <w:tcW w:w="1406" w:type="dxa"/>
            <w:vAlign w:val="center"/>
            <w:hideMark/>
          </w:tcPr>
          <w:p w14:paraId="47543C93"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20. Rajasthan</w:t>
            </w:r>
          </w:p>
        </w:tc>
        <w:tc>
          <w:tcPr>
            <w:tcW w:w="688" w:type="dxa"/>
            <w:gridSpan w:val="2"/>
            <w:vAlign w:val="center"/>
            <w:hideMark/>
          </w:tcPr>
          <w:p w14:paraId="05A4AE5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19C2134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700</w:t>
            </w:r>
          </w:p>
        </w:tc>
        <w:tc>
          <w:tcPr>
            <w:tcW w:w="767" w:type="dxa"/>
            <w:vAlign w:val="center"/>
            <w:hideMark/>
          </w:tcPr>
          <w:p w14:paraId="45698CE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700</w:t>
            </w:r>
          </w:p>
        </w:tc>
        <w:tc>
          <w:tcPr>
            <w:tcW w:w="651" w:type="dxa"/>
            <w:vAlign w:val="center"/>
            <w:hideMark/>
          </w:tcPr>
          <w:p w14:paraId="7D4FC0D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880</w:t>
            </w:r>
          </w:p>
        </w:tc>
        <w:tc>
          <w:tcPr>
            <w:tcW w:w="852" w:type="dxa"/>
            <w:vAlign w:val="center"/>
            <w:hideMark/>
          </w:tcPr>
          <w:p w14:paraId="77A64ED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880</w:t>
            </w:r>
          </w:p>
        </w:tc>
        <w:tc>
          <w:tcPr>
            <w:tcW w:w="712" w:type="dxa"/>
            <w:vAlign w:val="center"/>
            <w:hideMark/>
          </w:tcPr>
          <w:p w14:paraId="422BCB2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720</w:t>
            </w:r>
          </w:p>
        </w:tc>
        <w:tc>
          <w:tcPr>
            <w:tcW w:w="791" w:type="dxa"/>
            <w:vAlign w:val="center"/>
            <w:hideMark/>
          </w:tcPr>
          <w:p w14:paraId="251D556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720</w:t>
            </w:r>
          </w:p>
        </w:tc>
        <w:tc>
          <w:tcPr>
            <w:tcW w:w="769" w:type="dxa"/>
            <w:vAlign w:val="center"/>
            <w:hideMark/>
          </w:tcPr>
          <w:p w14:paraId="71635AF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1120</w:t>
            </w:r>
          </w:p>
        </w:tc>
        <w:tc>
          <w:tcPr>
            <w:tcW w:w="734" w:type="dxa"/>
            <w:vAlign w:val="center"/>
            <w:hideMark/>
          </w:tcPr>
          <w:p w14:paraId="0BA689A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1120</w:t>
            </w:r>
          </w:p>
        </w:tc>
        <w:tc>
          <w:tcPr>
            <w:tcW w:w="683" w:type="dxa"/>
            <w:vAlign w:val="center"/>
            <w:hideMark/>
          </w:tcPr>
          <w:p w14:paraId="0EFCB61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760</w:t>
            </w:r>
          </w:p>
        </w:tc>
        <w:tc>
          <w:tcPr>
            <w:tcW w:w="820" w:type="dxa"/>
            <w:vAlign w:val="center"/>
            <w:hideMark/>
          </w:tcPr>
          <w:p w14:paraId="0FE2A76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760</w:t>
            </w:r>
          </w:p>
        </w:tc>
        <w:tc>
          <w:tcPr>
            <w:tcW w:w="739" w:type="dxa"/>
            <w:vAlign w:val="center"/>
            <w:hideMark/>
          </w:tcPr>
          <w:p w14:paraId="053D482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880</w:t>
            </w:r>
          </w:p>
        </w:tc>
        <w:tc>
          <w:tcPr>
            <w:tcW w:w="764" w:type="dxa"/>
            <w:vAlign w:val="center"/>
            <w:hideMark/>
          </w:tcPr>
          <w:p w14:paraId="1B06C8C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880</w:t>
            </w:r>
          </w:p>
        </w:tc>
        <w:tc>
          <w:tcPr>
            <w:tcW w:w="654" w:type="dxa"/>
            <w:vAlign w:val="center"/>
            <w:hideMark/>
          </w:tcPr>
          <w:p w14:paraId="6E52543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880</w:t>
            </w:r>
          </w:p>
        </w:tc>
        <w:tc>
          <w:tcPr>
            <w:tcW w:w="850" w:type="dxa"/>
            <w:vAlign w:val="center"/>
            <w:hideMark/>
          </w:tcPr>
          <w:p w14:paraId="677673F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880</w:t>
            </w:r>
          </w:p>
        </w:tc>
        <w:tc>
          <w:tcPr>
            <w:tcW w:w="850" w:type="dxa"/>
            <w:vAlign w:val="center"/>
          </w:tcPr>
          <w:p w14:paraId="20D23581" w14:textId="6CC36292"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1140</w:t>
            </w:r>
          </w:p>
        </w:tc>
        <w:tc>
          <w:tcPr>
            <w:tcW w:w="850" w:type="dxa"/>
            <w:vAlign w:val="center"/>
          </w:tcPr>
          <w:p w14:paraId="5C39542F" w14:textId="1EA968D0"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1140</w:t>
            </w:r>
          </w:p>
        </w:tc>
      </w:tr>
      <w:tr w:rsidR="00053D0C" w:rsidRPr="00053D0C" w14:paraId="1937ACB8" w14:textId="1E5F7D4C" w:rsidTr="00A67021">
        <w:trPr>
          <w:trHeight w:val="20"/>
          <w:jc w:val="center"/>
        </w:trPr>
        <w:tc>
          <w:tcPr>
            <w:tcW w:w="1406" w:type="dxa"/>
            <w:vAlign w:val="center"/>
            <w:hideMark/>
          </w:tcPr>
          <w:p w14:paraId="006B4553"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21. Sikkim</w:t>
            </w:r>
          </w:p>
        </w:tc>
        <w:tc>
          <w:tcPr>
            <w:tcW w:w="688" w:type="dxa"/>
            <w:gridSpan w:val="2"/>
            <w:vAlign w:val="center"/>
            <w:hideMark/>
          </w:tcPr>
          <w:p w14:paraId="2E4F2FA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656</w:t>
            </w:r>
          </w:p>
        </w:tc>
        <w:tc>
          <w:tcPr>
            <w:tcW w:w="736" w:type="dxa"/>
            <w:vAlign w:val="center"/>
            <w:hideMark/>
          </w:tcPr>
          <w:p w14:paraId="2EE51EB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800</w:t>
            </w:r>
          </w:p>
        </w:tc>
        <w:tc>
          <w:tcPr>
            <w:tcW w:w="767" w:type="dxa"/>
            <w:vAlign w:val="center"/>
            <w:hideMark/>
          </w:tcPr>
          <w:p w14:paraId="26D77B0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741</w:t>
            </w:r>
          </w:p>
        </w:tc>
        <w:tc>
          <w:tcPr>
            <w:tcW w:w="651" w:type="dxa"/>
            <w:vAlign w:val="center"/>
            <w:hideMark/>
          </w:tcPr>
          <w:p w14:paraId="3396998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975</w:t>
            </w:r>
          </w:p>
        </w:tc>
        <w:tc>
          <w:tcPr>
            <w:tcW w:w="852" w:type="dxa"/>
            <w:vAlign w:val="center"/>
            <w:hideMark/>
          </w:tcPr>
          <w:p w14:paraId="338C050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904</w:t>
            </w:r>
          </w:p>
        </w:tc>
        <w:tc>
          <w:tcPr>
            <w:tcW w:w="712" w:type="dxa"/>
            <w:vAlign w:val="center"/>
            <w:hideMark/>
          </w:tcPr>
          <w:p w14:paraId="1DA8C15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640</w:t>
            </w:r>
          </w:p>
        </w:tc>
        <w:tc>
          <w:tcPr>
            <w:tcW w:w="791" w:type="dxa"/>
            <w:vAlign w:val="center"/>
            <w:hideMark/>
          </w:tcPr>
          <w:p w14:paraId="6E0E94E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779</w:t>
            </w:r>
          </w:p>
        </w:tc>
        <w:tc>
          <w:tcPr>
            <w:tcW w:w="769" w:type="dxa"/>
            <w:vAlign w:val="center"/>
            <w:hideMark/>
          </w:tcPr>
          <w:p w14:paraId="4073B6D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1080</w:t>
            </w:r>
          </w:p>
        </w:tc>
        <w:tc>
          <w:tcPr>
            <w:tcW w:w="734" w:type="dxa"/>
            <w:vAlign w:val="center"/>
            <w:hideMark/>
          </w:tcPr>
          <w:p w14:paraId="3239AEC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1001</w:t>
            </w:r>
          </w:p>
        </w:tc>
        <w:tc>
          <w:tcPr>
            <w:tcW w:w="683" w:type="dxa"/>
            <w:vAlign w:val="center"/>
            <w:hideMark/>
          </w:tcPr>
          <w:p w14:paraId="69F2878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910</w:t>
            </w:r>
          </w:p>
        </w:tc>
        <w:tc>
          <w:tcPr>
            <w:tcW w:w="820" w:type="dxa"/>
            <w:vAlign w:val="center"/>
            <w:hideMark/>
          </w:tcPr>
          <w:p w14:paraId="1846C06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843</w:t>
            </w:r>
          </w:p>
        </w:tc>
        <w:tc>
          <w:tcPr>
            <w:tcW w:w="739" w:type="dxa"/>
            <w:vAlign w:val="center"/>
            <w:hideMark/>
          </w:tcPr>
          <w:p w14:paraId="6D4F1DC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1030</w:t>
            </w:r>
          </w:p>
        </w:tc>
        <w:tc>
          <w:tcPr>
            <w:tcW w:w="764" w:type="dxa"/>
            <w:vAlign w:val="center"/>
            <w:hideMark/>
          </w:tcPr>
          <w:p w14:paraId="0F35711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955</w:t>
            </w:r>
          </w:p>
        </w:tc>
        <w:tc>
          <w:tcPr>
            <w:tcW w:w="654" w:type="dxa"/>
            <w:vAlign w:val="center"/>
            <w:hideMark/>
          </w:tcPr>
          <w:p w14:paraId="10417D6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1030</w:t>
            </w:r>
          </w:p>
        </w:tc>
        <w:tc>
          <w:tcPr>
            <w:tcW w:w="850" w:type="dxa"/>
            <w:vAlign w:val="center"/>
            <w:hideMark/>
          </w:tcPr>
          <w:p w14:paraId="3B752C7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955</w:t>
            </w:r>
          </w:p>
        </w:tc>
        <w:tc>
          <w:tcPr>
            <w:tcW w:w="850" w:type="dxa"/>
            <w:vAlign w:val="center"/>
          </w:tcPr>
          <w:p w14:paraId="3969B126" w14:textId="6426AB15"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1200</w:t>
            </w:r>
          </w:p>
        </w:tc>
        <w:tc>
          <w:tcPr>
            <w:tcW w:w="850" w:type="dxa"/>
            <w:vAlign w:val="center"/>
          </w:tcPr>
          <w:p w14:paraId="50568781" w14:textId="3A7E3552"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1112</w:t>
            </w:r>
          </w:p>
        </w:tc>
      </w:tr>
      <w:tr w:rsidR="00053D0C" w:rsidRPr="00053D0C" w14:paraId="051D7443" w14:textId="229930DD" w:rsidTr="00A67021">
        <w:trPr>
          <w:trHeight w:val="20"/>
          <w:jc w:val="center"/>
        </w:trPr>
        <w:tc>
          <w:tcPr>
            <w:tcW w:w="1406" w:type="dxa"/>
            <w:vAlign w:val="center"/>
            <w:hideMark/>
          </w:tcPr>
          <w:p w14:paraId="07E9E05F"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22. Tamil Nadu</w:t>
            </w:r>
          </w:p>
        </w:tc>
        <w:tc>
          <w:tcPr>
            <w:tcW w:w="688" w:type="dxa"/>
            <w:gridSpan w:val="2"/>
            <w:vAlign w:val="center"/>
            <w:hideMark/>
          </w:tcPr>
          <w:p w14:paraId="3251419A"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528</w:t>
            </w:r>
          </w:p>
        </w:tc>
        <w:tc>
          <w:tcPr>
            <w:tcW w:w="736" w:type="dxa"/>
            <w:vAlign w:val="center"/>
            <w:hideMark/>
          </w:tcPr>
          <w:p w14:paraId="724E876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450</w:t>
            </w:r>
          </w:p>
        </w:tc>
        <w:tc>
          <w:tcPr>
            <w:tcW w:w="767" w:type="dxa"/>
            <w:vAlign w:val="center"/>
            <w:hideMark/>
          </w:tcPr>
          <w:p w14:paraId="49ADB88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518</w:t>
            </w:r>
          </w:p>
        </w:tc>
        <w:tc>
          <w:tcPr>
            <w:tcW w:w="651" w:type="dxa"/>
            <w:vAlign w:val="center"/>
            <w:hideMark/>
          </w:tcPr>
          <w:p w14:paraId="288C4CB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610</w:t>
            </w:r>
          </w:p>
        </w:tc>
        <w:tc>
          <w:tcPr>
            <w:tcW w:w="852" w:type="dxa"/>
            <w:vAlign w:val="center"/>
            <w:hideMark/>
          </w:tcPr>
          <w:p w14:paraId="2966C04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702</w:t>
            </w:r>
          </w:p>
        </w:tc>
        <w:tc>
          <w:tcPr>
            <w:tcW w:w="712" w:type="dxa"/>
            <w:vAlign w:val="center"/>
            <w:hideMark/>
          </w:tcPr>
          <w:p w14:paraId="65EB0A14"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505</w:t>
            </w:r>
          </w:p>
        </w:tc>
        <w:tc>
          <w:tcPr>
            <w:tcW w:w="791" w:type="dxa"/>
            <w:vAlign w:val="center"/>
            <w:hideMark/>
          </w:tcPr>
          <w:p w14:paraId="04EE9A8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582</w:t>
            </w:r>
          </w:p>
        </w:tc>
        <w:tc>
          <w:tcPr>
            <w:tcW w:w="769" w:type="dxa"/>
            <w:vAlign w:val="center"/>
            <w:hideMark/>
          </w:tcPr>
          <w:p w14:paraId="50A9F64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705</w:t>
            </w:r>
          </w:p>
        </w:tc>
        <w:tc>
          <w:tcPr>
            <w:tcW w:w="734" w:type="dxa"/>
            <w:vAlign w:val="center"/>
            <w:hideMark/>
          </w:tcPr>
          <w:p w14:paraId="235A744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812</w:t>
            </w:r>
          </w:p>
        </w:tc>
        <w:tc>
          <w:tcPr>
            <w:tcW w:w="683" w:type="dxa"/>
            <w:vAlign w:val="center"/>
            <w:hideMark/>
          </w:tcPr>
          <w:p w14:paraId="602B001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505</w:t>
            </w:r>
          </w:p>
        </w:tc>
        <w:tc>
          <w:tcPr>
            <w:tcW w:w="820" w:type="dxa"/>
            <w:vAlign w:val="center"/>
            <w:hideMark/>
          </w:tcPr>
          <w:p w14:paraId="6CAF2C5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582</w:t>
            </w:r>
          </w:p>
        </w:tc>
        <w:tc>
          <w:tcPr>
            <w:tcW w:w="739" w:type="dxa"/>
            <w:vAlign w:val="center"/>
            <w:hideMark/>
          </w:tcPr>
          <w:p w14:paraId="174542C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705</w:t>
            </w:r>
          </w:p>
        </w:tc>
        <w:tc>
          <w:tcPr>
            <w:tcW w:w="764" w:type="dxa"/>
            <w:vAlign w:val="center"/>
            <w:hideMark/>
          </w:tcPr>
          <w:p w14:paraId="57207EA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812</w:t>
            </w:r>
          </w:p>
        </w:tc>
        <w:tc>
          <w:tcPr>
            <w:tcW w:w="654" w:type="dxa"/>
            <w:vAlign w:val="center"/>
            <w:hideMark/>
          </w:tcPr>
          <w:p w14:paraId="14A8824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610</w:t>
            </w:r>
          </w:p>
        </w:tc>
        <w:tc>
          <w:tcPr>
            <w:tcW w:w="850" w:type="dxa"/>
            <w:vAlign w:val="center"/>
            <w:hideMark/>
          </w:tcPr>
          <w:p w14:paraId="1F9A7F9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702</w:t>
            </w:r>
          </w:p>
        </w:tc>
        <w:tc>
          <w:tcPr>
            <w:tcW w:w="850" w:type="dxa"/>
            <w:vAlign w:val="center"/>
          </w:tcPr>
          <w:p w14:paraId="58D74A06" w14:textId="16D06BD3"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705</w:t>
            </w:r>
          </w:p>
        </w:tc>
        <w:tc>
          <w:tcPr>
            <w:tcW w:w="850" w:type="dxa"/>
            <w:vAlign w:val="center"/>
          </w:tcPr>
          <w:p w14:paraId="69F44F52" w14:textId="54C539BE"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812</w:t>
            </w:r>
          </w:p>
        </w:tc>
      </w:tr>
      <w:tr w:rsidR="00053D0C" w:rsidRPr="00053D0C" w14:paraId="19F65DF7" w14:textId="5C93F01A" w:rsidTr="00A67021">
        <w:trPr>
          <w:trHeight w:val="20"/>
          <w:jc w:val="center"/>
        </w:trPr>
        <w:tc>
          <w:tcPr>
            <w:tcW w:w="1406" w:type="dxa"/>
            <w:vAlign w:val="center"/>
            <w:hideMark/>
          </w:tcPr>
          <w:p w14:paraId="5601EEDA"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23. Tripura</w:t>
            </w:r>
          </w:p>
        </w:tc>
        <w:tc>
          <w:tcPr>
            <w:tcW w:w="688" w:type="dxa"/>
            <w:gridSpan w:val="2"/>
            <w:vAlign w:val="center"/>
            <w:hideMark/>
          </w:tcPr>
          <w:p w14:paraId="23350A1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608</w:t>
            </w:r>
          </w:p>
        </w:tc>
        <w:tc>
          <w:tcPr>
            <w:tcW w:w="736" w:type="dxa"/>
            <w:vAlign w:val="center"/>
            <w:hideMark/>
          </w:tcPr>
          <w:p w14:paraId="44D11FF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767" w:type="dxa"/>
            <w:vAlign w:val="center"/>
            <w:hideMark/>
          </w:tcPr>
          <w:p w14:paraId="25C36FF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775</w:t>
            </w:r>
          </w:p>
        </w:tc>
        <w:tc>
          <w:tcPr>
            <w:tcW w:w="651" w:type="dxa"/>
            <w:vAlign w:val="center"/>
            <w:hideMark/>
          </w:tcPr>
          <w:p w14:paraId="55AB238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970</w:t>
            </w:r>
          </w:p>
        </w:tc>
        <w:tc>
          <w:tcPr>
            <w:tcW w:w="852" w:type="dxa"/>
            <w:vAlign w:val="center"/>
            <w:hideMark/>
          </w:tcPr>
          <w:p w14:paraId="217EF93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970</w:t>
            </w:r>
          </w:p>
        </w:tc>
        <w:tc>
          <w:tcPr>
            <w:tcW w:w="712" w:type="dxa"/>
            <w:vAlign w:val="center"/>
            <w:hideMark/>
          </w:tcPr>
          <w:p w14:paraId="1F2B808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850</w:t>
            </w:r>
          </w:p>
        </w:tc>
        <w:tc>
          <w:tcPr>
            <w:tcW w:w="791" w:type="dxa"/>
            <w:vAlign w:val="center"/>
            <w:hideMark/>
          </w:tcPr>
          <w:p w14:paraId="62EEBB2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850</w:t>
            </w:r>
          </w:p>
        </w:tc>
        <w:tc>
          <w:tcPr>
            <w:tcW w:w="769" w:type="dxa"/>
            <w:vAlign w:val="center"/>
            <w:hideMark/>
          </w:tcPr>
          <w:p w14:paraId="7B8F51A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1250</w:t>
            </w:r>
          </w:p>
        </w:tc>
        <w:tc>
          <w:tcPr>
            <w:tcW w:w="734" w:type="dxa"/>
            <w:vAlign w:val="center"/>
            <w:hideMark/>
          </w:tcPr>
          <w:p w14:paraId="443DAA7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1250</w:t>
            </w:r>
          </w:p>
        </w:tc>
        <w:tc>
          <w:tcPr>
            <w:tcW w:w="683" w:type="dxa"/>
            <w:vAlign w:val="center"/>
            <w:hideMark/>
          </w:tcPr>
          <w:p w14:paraId="0CC0CBA2"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850</w:t>
            </w:r>
          </w:p>
        </w:tc>
        <w:tc>
          <w:tcPr>
            <w:tcW w:w="820" w:type="dxa"/>
            <w:vAlign w:val="center"/>
            <w:hideMark/>
          </w:tcPr>
          <w:p w14:paraId="5B50AEC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850</w:t>
            </w:r>
          </w:p>
        </w:tc>
        <w:tc>
          <w:tcPr>
            <w:tcW w:w="739" w:type="dxa"/>
            <w:vAlign w:val="center"/>
            <w:hideMark/>
          </w:tcPr>
          <w:p w14:paraId="414D4F6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1020</w:t>
            </w:r>
          </w:p>
        </w:tc>
        <w:tc>
          <w:tcPr>
            <w:tcW w:w="764" w:type="dxa"/>
            <w:vAlign w:val="center"/>
            <w:hideMark/>
          </w:tcPr>
          <w:p w14:paraId="4DECC13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1020</w:t>
            </w:r>
          </w:p>
        </w:tc>
        <w:tc>
          <w:tcPr>
            <w:tcW w:w="654" w:type="dxa"/>
            <w:vAlign w:val="center"/>
            <w:hideMark/>
          </w:tcPr>
          <w:p w14:paraId="0EBE4DA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1250</w:t>
            </w:r>
          </w:p>
        </w:tc>
        <w:tc>
          <w:tcPr>
            <w:tcW w:w="850" w:type="dxa"/>
            <w:vAlign w:val="center"/>
            <w:hideMark/>
          </w:tcPr>
          <w:p w14:paraId="35B5C94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1250</w:t>
            </w:r>
          </w:p>
        </w:tc>
        <w:tc>
          <w:tcPr>
            <w:tcW w:w="850" w:type="dxa"/>
            <w:vAlign w:val="center"/>
          </w:tcPr>
          <w:p w14:paraId="61995299" w14:textId="2D4521CA"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1300</w:t>
            </w:r>
          </w:p>
        </w:tc>
        <w:tc>
          <w:tcPr>
            <w:tcW w:w="850" w:type="dxa"/>
            <w:vAlign w:val="center"/>
          </w:tcPr>
          <w:p w14:paraId="326F0431" w14:textId="502E0E36"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1300</w:t>
            </w:r>
          </w:p>
        </w:tc>
      </w:tr>
      <w:tr w:rsidR="00053D0C" w:rsidRPr="00053D0C" w14:paraId="0F906C6A" w14:textId="6800911B" w:rsidTr="00A67021">
        <w:trPr>
          <w:trHeight w:val="20"/>
          <w:jc w:val="center"/>
        </w:trPr>
        <w:tc>
          <w:tcPr>
            <w:tcW w:w="1406" w:type="dxa"/>
            <w:vAlign w:val="center"/>
            <w:hideMark/>
          </w:tcPr>
          <w:p w14:paraId="1B7F8BAC"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24. Uttar Pradesh</w:t>
            </w:r>
          </w:p>
        </w:tc>
        <w:tc>
          <w:tcPr>
            <w:tcW w:w="688" w:type="dxa"/>
            <w:gridSpan w:val="2"/>
            <w:vAlign w:val="center"/>
            <w:hideMark/>
          </w:tcPr>
          <w:p w14:paraId="071E0F2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328</w:t>
            </w:r>
          </w:p>
        </w:tc>
        <w:tc>
          <w:tcPr>
            <w:tcW w:w="736" w:type="dxa"/>
            <w:vAlign w:val="center"/>
            <w:hideMark/>
          </w:tcPr>
          <w:p w14:paraId="2737A0C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305</w:t>
            </w:r>
          </w:p>
        </w:tc>
        <w:tc>
          <w:tcPr>
            <w:tcW w:w="767" w:type="dxa"/>
            <w:vAlign w:val="center"/>
            <w:hideMark/>
          </w:tcPr>
          <w:p w14:paraId="1C1F13A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565</w:t>
            </w:r>
          </w:p>
        </w:tc>
        <w:tc>
          <w:tcPr>
            <w:tcW w:w="651" w:type="dxa"/>
            <w:vAlign w:val="center"/>
            <w:hideMark/>
          </w:tcPr>
          <w:p w14:paraId="6F42046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354</w:t>
            </w:r>
          </w:p>
        </w:tc>
        <w:tc>
          <w:tcPr>
            <w:tcW w:w="852" w:type="dxa"/>
            <w:vAlign w:val="center"/>
            <w:hideMark/>
          </w:tcPr>
          <w:p w14:paraId="52B08EC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656</w:t>
            </w:r>
          </w:p>
        </w:tc>
        <w:tc>
          <w:tcPr>
            <w:tcW w:w="712" w:type="dxa"/>
            <w:vAlign w:val="center"/>
            <w:hideMark/>
          </w:tcPr>
          <w:p w14:paraId="5A617520"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330</w:t>
            </w:r>
          </w:p>
        </w:tc>
        <w:tc>
          <w:tcPr>
            <w:tcW w:w="791" w:type="dxa"/>
            <w:vAlign w:val="center"/>
            <w:hideMark/>
          </w:tcPr>
          <w:p w14:paraId="67D745DB"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612</w:t>
            </w:r>
          </w:p>
        </w:tc>
        <w:tc>
          <w:tcPr>
            <w:tcW w:w="769" w:type="dxa"/>
            <w:vAlign w:val="center"/>
            <w:hideMark/>
          </w:tcPr>
          <w:p w14:paraId="489FDEB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430</w:t>
            </w:r>
          </w:p>
        </w:tc>
        <w:tc>
          <w:tcPr>
            <w:tcW w:w="734" w:type="dxa"/>
            <w:vAlign w:val="center"/>
            <w:hideMark/>
          </w:tcPr>
          <w:p w14:paraId="382FEB7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797</w:t>
            </w:r>
          </w:p>
        </w:tc>
        <w:tc>
          <w:tcPr>
            <w:tcW w:w="683" w:type="dxa"/>
            <w:vAlign w:val="center"/>
            <w:hideMark/>
          </w:tcPr>
          <w:p w14:paraId="216A38E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364</w:t>
            </w:r>
          </w:p>
        </w:tc>
        <w:tc>
          <w:tcPr>
            <w:tcW w:w="820" w:type="dxa"/>
            <w:vAlign w:val="center"/>
            <w:hideMark/>
          </w:tcPr>
          <w:p w14:paraId="0315167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675</w:t>
            </w:r>
          </w:p>
        </w:tc>
        <w:tc>
          <w:tcPr>
            <w:tcW w:w="739" w:type="dxa"/>
            <w:vAlign w:val="center"/>
            <w:hideMark/>
          </w:tcPr>
          <w:p w14:paraId="5B0B76F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400</w:t>
            </w:r>
          </w:p>
        </w:tc>
        <w:tc>
          <w:tcPr>
            <w:tcW w:w="764" w:type="dxa"/>
            <w:vAlign w:val="center"/>
            <w:hideMark/>
          </w:tcPr>
          <w:p w14:paraId="61DFFA9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741</w:t>
            </w:r>
          </w:p>
        </w:tc>
        <w:tc>
          <w:tcPr>
            <w:tcW w:w="654" w:type="dxa"/>
            <w:vAlign w:val="center"/>
            <w:hideMark/>
          </w:tcPr>
          <w:p w14:paraId="689D2BF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365</w:t>
            </w:r>
          </w:p>
        </w:tc>
        <w:tc>
          <w:tcPr>
            <w:tcW w:w="850" w:type="dxa"/>
            <w:vAlign w:val="center"/>
            <w:hideMark/>
          </w:tcPr>
          <w:p w14:paraId="70ABF2D9" w14:textId="79551B71"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677</w:t>
            </w:r>
          </w:p>
        </w:tc>
        <w:tc>
          <w:tcPr>
            <w:tcW w:w="850" w:type="dxa"/>
            <w:vAlign w:val="center"/>
          </w:tcPr>
          <w:p w14:paraId="4CB9128C" w14:textId="11E40091"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400</w:t>
            </w:r>
          </w:p>
        </w:tc>
        <w:tc>
          <w:tcPr>
            <w:tcW w:w="850" w:type="dxa"/>
            <w:vAlign w:val="center"/>
          </w:tcPr>
          <w:p w14:paraId="78CBB9AF" w14:textId="72F67112"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741</w:t>
            </w:r>
          </w:p>
        </w:tc>
      </w:tr>
      <w:tr w:rsidR="00053D0C" w:rsidRPr="00053D0C" w14:paraId="5FE1444D" w14:textId="3A9F5899" w:rsidTr="00A67021">
        <w:trPr>
          <w:trHeight w:val="20"/>
          <w:jc w:val="center"/>
        </w:trPr>
        <w:tc>
          <w:tcPr>
            <w:tcW w:w="1406" w:type="dxa"/>
            <w:vAlign w:val="center"/>
            <w:hideMark/>
          </w:tcPr>
          <w:p w14:paraId="329BE278" w14:textId="77777777" w:rsidR="00053D0C" w:rsidRPr="00053D0C" w:rsidRDefault="00053D0C" w:rsidP="00053D0C">
            <w:pPr>
              <w:pStyle w:val="NoSpacing"/>
              <w:rPr>
                <w:rFonts w:ascii="Times New Roman" w:hAnsi="Times New Roman" w:cs="Times New Roman"/>
                <w:sz w:val="16"/>
                <w:szCs w:val="16"/>
              </w:rPr>
            </w:pPr>
            <w:r w:rsidRPr="00053D0C">
              <w:rPr>
                <w:rFonts w:ascii="Times New Roman" w:hAnsi="Times New Roman" w:cs="Times New Roman"/>
                <w:sz w:val="16"/>
                <w:szCs w:val="16"/>
              </w:rPr>
              <w:t>25. West Bengal</w:t>
            </w:r>
          </w:p>
        </w:tc>
        <w:tc>
          <w:tcPr>
            <w:tcW w:w="688" w:type="dxa"/>
            <w:gridSpan w:val="2"/>
            <w:vAlign w:val="center"/>
            <w:hideMark/>
          </w:tcPr>
          <w:p w14:paraId="214BE5C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200</w:t>
            </w:r>
          </w:p>
        </w:tc>
        <w:tc>
          <w:tcPr>
            <w:tcW w:w="736" w:type="dxa"/>
            <w:vAlign w:val="center"/>
            <w:hideMark/>
          </w:tcPr>
          <w:p w14:paraId="77BA77A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220</w:t>
            </w:r>
          </w:p>
        </w:tc>
        <w:tc>
          <w:tcPr>
            <w:tcW w:w="767" w:type="dxa"/>
            <w:vAlign w:val="center"/>
            <w:hideMark/>
          </w:tcPr>
          <w:p w14:paraId="478E2221"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669</w:t>
            </w:r>
          </w:p>
        </w:tc>
        <w:tc>
          <w:tcPr>
            <w:tcW w:w="651" w:type="dxa"/>
            <w:vAlign w:val="center"/>
            <w:hideMark/>
          </w:tcPr>
          <w:p w14:paraId="32C0369D"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300</w:t>
            </w:r>
          </w:p>
        </w:tc>
        <w:tc>
          <w:tcPr>
            <w:tcW w:w="852" w:type="dxa"/>
            <w:vAlign w:val="center"/>
            <w:hideMark/>
          </w:tcPr>
          <w:p w14:paraId="12FBEAB9"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912</w:t>
            </w:r>
          </w:p>
        </w:tc>
        <w:tc>
          <w:tcPr>
            <w:tcW w:w="712" w:type="dxa"/>
            <w:vAlign w:val="center"/>
            <w:hideMark/>
          </w:tcPr>
          <w:p w14:paraId="65686BD5"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230</w:t>
            </w:r>
          </w:p>
        </w:tc>
        <w:tc>
          <w:tcPr>
            <w:tcW w:w="791" w:type="dxa"/>
            <w:vAlign w:val="center"/>
            <w:hideMark/>
          </w:tcPr>
          <w:p w14:paraId="71FDC628"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699</w:t>
            </w:r>
          </w:p>
        </w:tc>
        <w:tc>
          <w:tcPr>
            <w:tcW w:w="769" w:type="dxa"/>
            <w:vAlign w:val="center"/>
            <w:hideMark/>
          </w:tcPr>
          <w:p w14:paraId="2FA7EF6F"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380</w:t>
            </w:r>
          </w:p>
        </w:tc>
        <w:tc>
          <w:tcPr>
            <w:tcW w:w="734" w:type="dxa"/>
            <w:vAlign w:val="center"/>
            <w:hideMark/>
          </w:tcPr>
          <w:p w14:paraId="5899356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1155</w:t>
            </w:r>
          </w:p>
        </w:tc>
        <w:tc>
          <w:tcPr>
            <w:tcW w:w="683" w:type="dxa"/>
            <w:vAlign w:val="center"/>
            <w:hideMark/>
          </w:tcPr>
          <w:p w14:paraId="08A1FC6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260</w:t>
            </w:r>
          </w:p>
        </w:tc>
        <w:tc>
          <w:tcPr>
            <w:tcW w:w="820" w:type="dxa"/>
            <w:vAlign w:val="center"/>
            <w:hideMark/>
          </w:tcPr>
          <w:p w14:paraId="495D6C76"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790</w:t>
            </w:r>
          </w:p>
        </w:tc>
        <w:tc>
          <w:tcPr>
            <w:tcW w:w="739" w:type="dxa"/>
            <w:vAlign w:val="center"/>
            <w:hideMark/>
          </w:tcPr>
          <w:p w14:paraId="2016D1AC"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280</w:t>
            </w:r>
          </w:p>
        </w:tc>
        <w:tc>
          <w:tcPr>
            <w:tcW w:w="764" w:type="dxa"/>
            <w:vAlign w:val="center"/>
            <w:hideMark/>
          </w:tcPr>
          <w:p w14:paraId="26766F0E"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851</w:t>
            </w:r>
          </w:p>
        </w:tc>
        <w:tc>
          <w:tcPr>
            <w:tcW w:w="654" w:type="dxa"/>
            <w:vAlign w:val="center"/>
            <w:hideMark/>
          </w:tcPr>
          <w:p w14:paraId="288F2F13"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300</w:t>
            </w:r>
          </w:p>
        </w:tc>
        <w:tc>
          <w:tcPr>
            <w:tcW w:w="850" w:type="dxa"/>
            <w:vAlign w:val="center"/>
            <w:hideMark/>
          </w:tcPr>
          <w:p w14:paraId="180DAE37" w14:textId="77777777"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912</w:t>
            </w:r>
          </w:p>
        </w:tc>
        <w:tc>
          <w:tcPr>
            <w:tcW w:w="850" w:type="dxa"/>
            <w:vAlign w:val="center"/>
          </w:tcPr>
          <w:p w14:paraId="47AE3FC7" w14:textId="735CBACB"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360</w:t>
            </w:r>
          </w:p>
        </w:tc>
        <w:tc>
          <w:tcPr>
            <w:tcW w:w="850" w:type="dxa"/>
            <w:vAlign w:val="center"/>
          </w:tcPr>
          <w:p w14:paraId="0E16C053" w14:textId="4776F64E" w:rsidR="00053D0C" w:rsidRPr="00053D0C" w:rsidRDefault="00053D0C" w:rsidP="00053D0C">
            <w:pPr>
              <w:pStyle w:val="NoSpacing"/>
              <w:jc w:val="center"/>
              <w:rPr>
                <w:rFonts w:ascii="Times New Roman" w:hAnsi="Times New Roman" w:cs="Times New Roman"/>
                <w:sz w:val="16"/>
                <w:szCs w:val="16"/>
              </w:rPr>
            </w:pPr>
            <w:r w:rsidRPr="00053D0C">
              <w:rPr>
                <w:rFonts w:ascii="Times New Roman" w:hAnsi="Times New Roman" w:cs="Times New Roman"/>
                <w:sz w:val="16"/>
                <w:szCs w:val="16"/>
              </w:rPr>
              <w:t>1094</w:t>
            </w:r>
          </w:p>
        </w:tc>
      </w:tr>
    </w:tbl>
    <w:p w14:paraId="4EDCEE23" w14:textId="2024E8B0" w:rsidR="00944051" w:rsidRDefault="00944051" w:rsidP="00CD7892">
      <w:pPr>
        <w:pStyle w:val="NoSpacing"/>
        <w:jc w:val="right"/>
        <w:rPr>
          <w:rFonts w:ascii="Times New Roman" w:hAnsi="Times New Roman" w:cs="Times New Roman"/>
        </w:rPr>
      </w:pPr>
    </w:p>
    <w:p w14:paraId="3040697A" w14:textId="77777777" w:rsidR="00053D0C" w:rsidRDefault="00053D0C" w:rsidP="00CD7892">
      <w:pPr>
        <w:pStyle w:val="NoSpacing"/>
        <w:jc w:val="right"/>
        <w:rPr>
          <w:rFonts w:ascii="Times New Roman" w:hAnsi="Times New Roman" w:cs="Times New Roman"/>
        </w:rPr>
      </w:pPr>
    </w:p>
    <w:p w14:paraId="1A34F53F" w14:textId="77777777" w:rsidR="00053D0C" w:rsidRDefault="00053D0C" w:rsidP="00CD7892">
      <w:pPr>
        <w:pStyle w:val="NoSpacing"/>
        <w:jc w:val="right"/>
        <w:rPr>
          <w:rFonts w:ascii="Times New Roman" w:hAnsi="Times New Roman" w:cs="Times New Roman"/>
        </w:rPr>
      </w:pPr>
    </w:p>
    <w:p w14:paraId="325239B3" w14:textId="77777777" w:rsidR="00053D0C" w:rsidRDefault="00053D0C" w:rsidP="00CD7892">
      <w:pPr>
        <w:pStyle w:val="NoSpacing"/>
        <w:jc w:val="right"/>
        <w:rPr>
          <w:rFonts w:ascii="Times New Roman" w:hAnsi="Times New Roman" w:cs="Times New Roman"/>
        </w:rPr>
      </w:pPr>
    </w:p>
    <w:p w14:paraId="5B9700CA" w14:textId="77777777" w:rsidR="00053D0C" w:rsidRDefault="00053D0C" w:rsidP="00CD7892">
      <w:pPr>
        <w:pStyle w:val="NoSpacing"/>
        <w:jc w:val="right"/>
        <w:rPr>
          <w:rFonts w:ascii="Times New Roman" w:hAnsi="Times New Roman" w:cs="Times New Roman"/>
        </w:rPr>
      </w:pPr>
    </w:p>
    <w:p w14:paraId="3325F7B2" w14:textId="41B8B456" w:rsidR="00053D0C" w:rsidRPr="00053D0C" w:rsidRDefault="00053D0C" w:rsidP="00053D0C">
      <w:pPr>
        <w:jc w:val="center"/>
        <w:rPr>
          <w:rFonts w:ascii="Times New Roman" w:hAnsi="Times New Roman" w:cs="Times New Roman"/>
          <w:b/>
          <w:bCs/>
          <w:sz w:val="20"/>
          <w:szCs w:val="20"/>
        </w:rPr>
      </w:pPr>
      <w:r w:rsidRPr="00053D0C">
        <w:rPr>
          <w:rFonts w:ascii="Times New Roman" w:hAnsi="Times New Roman" w:cs="Times New Roman"/>
          <w:b/>
          <w:bCs/>
          <w:sz w:val="20"/>
          <w:szCs w:val="20"/>
        </w:rPr>
        <w:lastRenderedPageBreak/>
        <w:t>Table – 3 (Contd.)</w:t>
      </w:r>
      <w:r w:rsidRPr="00053D0C">
        <w:rPr>
          <w:rFonts w:ascii="Times New Roman" w:hAnsi="Times New Roman" w:cs="Times New Roman"/>
          <w:b/>
          <w:bCs/>
          <w:sz w:val="20"/>
          <w:szCs w:val="20"/>
        </w:rPr>
        <w:br/>
        <w:t>Actual Basic Pay of Selected Categories of State Government Employees as on 1.1.89 and presumptive Basic Pay at CPI level 608</w:t>
      </w:r>
    </w:p>
    <w:p w14:paraId="173BD5C0" w14:textId="65EB21FA" w:rsidR="00053D0C" w:rsidRPr="00053D0C" w:rsidRDefault="00053D0C" w:rsidP="00053D0C">
      <w:pPr>
        <w:pStyle w:val="NoSpacing"/>
        <w:ind w:left="12240" w:firstLine="720"/>
        <w:rPr>
          <w:rFonts w:ascii="Times New Roman" w:hAnsi="Times New Roman" w:cs="Times New Roman"/>
          <w:sz w:val="20"/>
          <w:szCs w:val="18"/>
        </w:rPr>
      </w:pPr>
      <w:r w:rsidRPr="00012442">
        <w:rPr>
          <w:rFonts w:ascii="Times New Roman" w:hAnsi="Times New Roman" w:cs="Times New Roman"/>
          <w:i/>
          <w:iCs/>
          <w:sz w:val="20"/>
          <w:szCs w:val="18"/>
        </w:rPr>
        <w:t>(Rupees)</w:t>
      </w:r>
    </w:p>
    <w:tbl>
      <w:tblPr>
        <w:tblW w:w="15940" w:type="dxa"/>
        <w:jc w:val="center"/>
        <w:tblLook w:val="04A0" w:firstRow="1" w:lastRow="0" w:firstColumn="1" w:lastColumn="0" w:noHBand="0" w:noVBand="1"/>
      </w:tblPr>
      <w:tblGrid>
        <w:gridCol w:w="1648"/>
        <w:gridCol w:w="572"/>
        <w:gridCol w:w="1016"/>
        <w:gridCol w:w="572"/>
        <w:gridCol w:w="1016"/>
        <w:gridCol w:w="572"/>
        <w:gridCol w:w="1016"/>
        <w:gridCol w:w="572"/>
        <w:gridCol w:w="1016"/>
        <w:gridCol w:w="572"/>
        <w:gridCol w:w="1016"/>
        <w:gridCol w:w="572"/>
        <w:gridCol w:w="1016"/>
        <w:gridCol w:w="572"/>
        <w:gridCol w:w="1016"/>
        <w:gridCol w:w="11"/>
        <w:gridCol w:w="561"/>
        <w:gridCol w:w="1016"/>
        <w:gridCol w:w="572"/>
        <w:gridCol w:w="1016"/>
      </w:tblGrid>
      <w:tr w:rsidR="00153234" w:rsidRPr="00C91716" w14:paraId="700A2078" w14:textId="77777777" w:rsidTr="00153234">
        <w:trPr>
          <w:trHeight w:val="368"/>
          <w:jc w:val="center"/>
        </w:trPr>
        <w:tc>
          <w:tcPr>
            <w:tcW w:w="1648" w:type="dxa"/>
            <w:vMerge w:val="restart"/>
            <w:tcBorders>
              <w:top w:val="single" w:sz="4" w:space="0" w:color="auto"/>
              <w:left w:val="single" w:sz="4" w:space="0" w:color="auto"/>
              <w:bottom w:val="single" w:sz="4" w:space="0" w:color="000000"/>
              <w:right w:val="single" w:sz="4" w:space="0" w:color="auto"/>
            </w:tcBorders>
            <w:noWrap/>
            <w:vAlign w:val="bottom"/>
            <w:hideMark/>
          </w:tcPr>
          <w:p w14:paraId="7B2B4D2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 </w:t>
            </w:r>
          </w:p>
        </w:tc>
        <w:tc>
          <w:tcPr>
            <w:tcW w:w="1588" w:type="dxa"/>
            <w:gridSpan w:val="2"/>
            <w:tcBorders>
              <w:top w:val="single" w:sz="4" w:space="0" w:color="auto"/>
              <w:left w:val="single" w:sz="4" w:space="0" w:color="auto"/>
              <w:bottom w:val="single" w:sz="4" w:space="0" w:color="000000"/>
              <w:right w:val="single" w:sz="4" w:space="0" w:color="000000"/>
            </w:tcBorders>
            <w:vAlign w:val="center"/>
            <w:hideMark/>
          </w:tcPr>
          <w:p w14:paraId="473AF34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Trained Graduate Teacher</w:t>
            </w:r>
          </w:p>
        </w:tc>
        <w:tc>
          <w:tcPr>
            <w:tcW w:w="1588" w:type="dxa"/>
            <w:gridSpan w:val="2"/>
            <w:tcBorders>
              <w:top w:val="single" w:sz="4" w:space="0" w:color="auto"/>
              <w:left w:val="nil"/>
              <w:bottom w:val="single" w:sz="4" w:space="0" w:color="auto"/>
              <w:right w:val="single" w:sz="4" w:space="0" w:color="000000"/>
            </w:tcBorders>
            <w:vAlign w:val="center"/>
            <w:hideMark/>
          </w:tcPr>
          <w:p w14:paraId="3B93FA9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Revenue Inspector</w:t>
            </w:r>
          </w:p>
        </w:tc>
        <w:tc>
          <w:tcPr>
            <w:tcW w:w="1588" w:type="dxa"/>
            <w:gridSpan w:val="2"/>
            <w:tcBorders>
              <w:top w:val="single" w:sz="4" w:space="0" w:color="auto"/>
              <w:left w:val="single" w:sz="4" w:space="0" w:color="auto"/>
              <w:bottom w:val="single" w:sz="4" w:space="0" w:color="000000"/>
              <w:right w:val="single" w:sz="4" w:space="0" w:color="000000"/>
            </w:tcBorders>
            <w:vAlign w:val="center"/>
          </w:tcPr>
          <w:p w14:paraId="3700EF69" w14:textId="58B3C57C"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Naib Tehsildar</w:t>
            </w:r>
          </w:p>
        </w:tc>
        <w:tc>
          <w:tcPr>
            <w:tcW w:w="1588" w:type="dxa"/>
            <w:gridSpan w:val="2"/>
            <w:tcBorders>
              <w:top w:val="single" w:sz="4" w:space="0" w:color="auto"/>
              <w:left w:val="single" w:sz="4" w:space="0" w:color="auto"/>
              <w:bottom w:val="single" w:sz="4" w:space="0" w:color="000000"/>
              <w:right w:val="single" w:sz="4" w:space="0" w:color="000000"/>
            </w:tcBorders>
            <w:vAlign w:val="center"/>
          </w:tcPr>
          <w:p w14:paraId="39ED5B59" w14:textId="4402927C"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Junior Engineer</w:t>
            </w:r>
          </w:p>
        </w:tc>
        <w:tc>
          <w:tcPr>
            <w:tcW w:w="1588" w:type="dxa"/>
            <w:gridSpan w:val="2"/>
            <w:tcBorders>
              <w:top w:val="single" w:sz="4" w:space="0" w:color="auto"/>
              <w:left w:val="single" w:sz="4" w:space="0" w:color="auto"/>
              <w:bottom w:val="single" w:sz="4" w:space="0" w:color="000000"/>
              <w:right w:val="single" w:sz="4" w:space="0" w:color="000000"/>
            </w:tcBorders>
            <w:vAlign w:val="center"/>
          </w:tcPr>
          <w:p w14:paraId="61D634C1" w14:textId="31BA7870"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Trained Nurse</w:t>
            </w:r>
          </w:p>
        </w:tc>
        <w:tc>
          <w:tcPr>
            <w:tcW w:w="1588" w:type="dxa"/>
            <w:gridSpan w:val="2"/>
            <w:tcBorders>
              <w:top w:val="single" w:sz="4" w:space="0" w:color="auto"/>
              <w:left w:val="single" w:sz="4" w:space="0" w:color="auto"/>
              <w:bottom w:val="single" w:sz="4" w:space="0" w:color="000000"/>
              <w:right w:val="nil"/>
            </w:tcBorders>
            <w:vAlign w:val="center"/>
          </w:tcPr>
          <w:p w14:paraId="71B2BEA1" w14:textId="59AB2EE9"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Tehsildar</w:t>
            </w:r>
          </w:p>
        </w:tc>
        <w:tc>
          <w:tcPr>
            <w:tcW w:w="1599" w:type="dxa"/>
            <w:gridSpan w:val="3"/>
            <w:tcBorders>
              <w:top w:val="single" w:sz="4" w:space="0" w:color="auto"/>
              <w:left w:val="single" w:sz="4" w:space="0" w:color="auto"/>
              <w:bottom w:val="single" w:sz="4" w:space="0" w:color="000000"/>
              <w:right w:val="nil"/>
            </w:tcBorders>
            <w:vAlign w:val="center"/>
          </w:tcPr>
          <w:p w14:paraId="7148239E" w14:textId="173392C3" w:rsidR="00153234" w:rsidRPr="00C91716" w:rsidRDefault="00153234" w:rsidP="00153234">
            <w:pPr>
              <w:pStyle w:val="NoSpacing"/>
              <w:jc w:val="center"/>
              <w:rPr>
                <w:rFonts w:ascii="Times New Roman" w:hAnsi="Times New Roman" w:cs="Times New Roman"/>
                <w:sz w:val="16"/>
                <w:szCs w:val="16"/>
              </w:rPr>
            </w:pPr>
            <w:proofErr w:type="spellStart"/>
            <w:r w:rsidRPr="00C91716">
              <w:rPr>
                <w:rFonts w:ascii="Times New Roman" w:hAnsi="Times New Roman" w:cs="Times New Roman"/>
                <w:sz w:val="16"/>
                <w:szCs w:val="16"/>
              </w:rPr>
              <w:t>Asstt</w:t>
            </w:r>
            <w:proofErr w:type="spellEnd"/>
            <w:r w:rsidRPr="00C91716">
              <w:rPr>
                <w:rFonts w:ascii="Times New Roman" w:hAnsi="Times New Roman" w:cs="Times New Roman"/>
                <w:sz w:val="16"/>
                <w:szCs w:val="16"/>
              </w:rPr>
              <w:t>. Engineer</w:t>
            </w:r>
          </w:p>
        </w:tc>
        <w:tc>
          <w:tcPr>
            <w:tcW w:w="1577" w:type="dxa"/>
            <w:gridSpan w:val="2"/>
            <w:tcBorders>
              <w:top w:val="single" w:sz="4" w:space="0" w:color="auto"/>
              <w:left w:val="single" w:sz="4" w:space="0" w:color="auto"/>
              <w:bottom w:val="single" w:sz="4" w:space="0" w:color="000000"/>
              <w:right w:val="single" w:sz="4" w:space="0" w:color="000000"/>
            </w:tcBorders>
            <w:vAlign w:val="center"/>
            <w:hideMark/>
          </w:tcPr>
          <w:p w14:paraId="778B4B6C" w14:textId="30920ED2"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Deputy Collector</w:t>
            </w:r>
          </w:p>
        </w:tc>
        <w:tc>
          <w:tcPr>
            <w:tcW w:w="1588" w:type="dxa"/>
            <w:gridSpan w:val="2"/>
            <w:tcBorders>
              <w:top w:val="single" w:sz="4" w:space="0" w:color="auto"/>
              <w:left w:val="single" w:sz="4" w:space="0" w:color="auto"/>
              <w:bottom w:val="single" w:sz="4" w:space="0" w:color="000000"/>
              <w:right w:val="single" w:sz="4" w:space="0" w:color="000000"/>
            </w:tcBorders>
            <w:vAlign w:val="center"/>
            <w:hideMark/>
          </w:tcPr>
          <w:p w14:paraId="35D96526" w14:textId="77777777" w:rsidR="00153234" w:rsidRPr="00C91716" w:rsidRDefault="00153234" w:rsidP="00153234">
            <w:pPr>
              <w:pStyle w:val="NoSpacing"/>
              <w:jc w:val="center"/>
              <w:rPr>
                <w:rFonts w:ascii="Times New Roman" w:hAnsi="Times New Roman" w:cs="Times New Roman"/>
                <w:sz w:val="16"/>
                <w:szCs w:val="16"/>
              </w:rPr>
            </w:pPr>
            <w:proofErr w:type="spellStart"/>
            <w:r w:rsidRPr="00C91716">
              <w:rPr>
                <w:rFonts w:ascii="Times New Roman" w:hAnsi="Times New Roman" w:cs="Times New Roman"/>
                <w:sz w:val="16"/>
                <w:szCs w:val="16"/>
              </w:rPr>
              <w:t>Asstt</w:t>
            </w:r>
            <w:proofErr w:type="spellEnd"/>
            <w:r w:rsidRPr="00C91716">
              <w:rPr>
                <w:rFonts w:ascii="Times New Roman" w:hAnsi="Times New Roman" w:cs="Times New Roman"/>
                <w:sz w:val="16"/>
                <w:szCs w:val="16"/>
              </w:rPr>
              <w:t>. Surgeon</w:t>
            </w:r>
          </w:p>
        </w:tc>
      </w:tr>
      <w:tr w:rsidR="00153234" w:rsidRPr="00C91716" w14:paraId="219713FD" w14:textId="77777777" w:rsidTr="00153234">
        <w:trPr>
          <w:trHeight w:val="26"/>
          <w:jc w:val="center"/>
        </w:trPr>
        <w:tc>
          <w:tcPr>
            <w:tcW w:w="1648" w:type="dxa"/>
            <w:vMerge/>
            <w:tcBorders>
              <w:top w:val="single" w:sz="4" w:space="0" w:color="auto"/>
              <w:left w:val="single" w:sz="4" w:space="0" w:color="auto"/>
              <w:bottom w:val="single" w:sz="4" w:space="0" w:color="000000"/>
              <w:right w:val="single" w:sz="4" w:space="0" w:color="auto"/>
            </w:tcBorders>
            <w:vAlign w:val="center"/>
            <w:hideMark/>
          </w:tcPr>
          <w:p w14:paraId="60FA460A" w14:textId="77777777" w:rsidR="00153234" w:rsidRPr="00C91716" w:rsidRDefault="00153234" w:rsidP="00153234">
            <w:pPr>
              <w:pStyle w:val="NoSpacing"/>
              <w:jc w:val="center"/>
              <w:rPr>
                <w:rFonts w:ascii="Times New Roman" w:hAnsi="Times New Roman" w:cs="Times New Roman"/>
                <w:sz w:val="16"/>
                <w:szCs w:val="16"/>
              </w:rPr>
            </w:pPr>
          </w:p>
        </w:tc>
        <w:tc>
          <w:tcPr>
            <w:tcW w:w="572" w:type="dxa"/>
            <w:tcBorders>
              <w:top w:val="nil"/>
              <w:left w:val="nil"/>
              <w:bottom w:val="single" w:sz="4" w:space="0" w:color="auto"/>
              <w:right w:val="single" w:sz="4" w:space="0" w:color="auto"/>
            </w:tcBorders>
            <w:vAlign w:val="center"/>
            <w:hideMark/>
          </w:tcPr>
          <w:p w14:paraId="7C5DD38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368909C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single" w:sz="4" w:space="0" w:color="auto"/>
              <w:left w:val="nil"/>
              <w:bottom w:val="single" w:sz="4" w:space="0" w:color="auto"/>
              <w:right w:val="single" w:sz="4" w:space="0" w:color="auto"/>
            </w:tcBorders>
            <w:vAlign w:val="center"/>
            <w:hideMark/>
          </w:tcPr>
          <w:p w14:paraId="424A185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single" w:sz="4" w:space="0" w:color="auto"/>
              <w:left w:val="nil"/>
              <w:bottom w:val="single" w:sz="4" w:space="0" w:color="auto"/>
              <w:right w:val="single" w:sz="4" w:space="0" w:color="auto"/>
            </w:tcBorders>
            <w:vAlign w:val="center"/>
            <w:hideMark/>
          </w:tcPr>
          <w:p w14:paraId="2F94F97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nil"/>
              <w:left w:val="nil"/>
              <w:bottom w:val="single" w:sz="4" w:space="0" w:color="auto"/>
              <w:right w:val="single" w:sz="4" w:space="0" w:color="auto"/>
            </w:tcBorders>
            <w:vAlign w:val="center"/>
            <w:hideMark/>
          </w:tcPr>
          <w:p w14:paraId="0133B3C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3784E02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nil"/>
              <w:left w:val="nil"/>
              <w:bottom w:val="single" w:sz="4" w:space="0" w:color="auto"/>
              <w:right w:val="single" w:sz="4" w:space="0" w:color="auto"/>
            </w:tcBorders>
            <w:vAlign w:val="center"/>
            <w:hideMark/>
          </w:tcPr>
          <w:p w14:paraId="7F98834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18F1F05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nil"/>
              <w:left w:val="nil"/>
              <w:bottom w:val="single" w:sz="4" w:space="0" w:color="auto"/>
              <w:right w:val="single" w:sz="4" w:space="0" w:color="auto"/>
            </w:tcBorders>
            <w:vAlign w:val="center"/>
            <w:hideMark/>
          </w:tcPr>
          <w:p w14:paraId="149D616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74AF015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nil"/>
              <w:left w:val="nil"/>
              <w:bottom w:val="single" w:sz="4" w:space="0" w:color="auto"/>
              <w:right w:val="single" w:sz="4" w:space="0" w:color="auto"/>
            </w:tcBorders>
            <w:vAlign w:val="center"/>
            <w:hideMark/>
          </w:tcPr>
          <w:p w14:paraId="78D42F2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7F224B2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single" w:sz="4" w:space="0" w:color="auto"/>
              <w:left w:val="nil"/>
              <w:bottom w:val="single" w:sz="4" w:space="0" w:color="auto"/>
              <w:right w:val="single" w:sz="4" w:space="0" w:color="auto"/>
            </w:tcBorders>
            <w:vAlign w:val="center"/>
            <w:hideMark/>
          </w:tcPr>
          <w:p w14:paraId="61A907F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2CA3FDA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gridSpan w:val="2"/>
            <w:tcBorders>
              <w:top w:val="single" w:sz="4" w:space="0" w:color="auto"/>
              <w:left w:val="nil"/>
              <w:bottom w:val="single" w:sz="4" w:space="0" w:color="auto"/>
              <w:right w:val="single" w:sz="4" w:space="0" w:color="auto"/>
            </w:tcBorders>
            <w:vAlign w:val="center"/>
            <w:hideMark/>
          </w:tcPr>
          <w:p w14:paraId="2A47B95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1C9E93E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c>
          <w:tcPr>
            <w:tcW w:w="572" w:type="dxa"/>
            <w:tcBorders>
              <w:top w:val="single" w:sz="4" w:space="0" w:color="auto"/>
              <w:left w:val="nil"/>
              <w:bottom w:val="single" w:sz="4" w:space="0" w:color="auto"/>
              <w:right w:val="single" w:sz="4" w:space="0" w:color="000000"/>
            </w:tcBorders>
            <w:vAlign w:val="center"/>
            <w:hideMark/>
          </w:tcPr>
          <w:p w14:paraId="0A9DC9F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Basic Pay</w:t>
            </w:r>
          </w:p>
        </w:tc>
        <w:tc>
          <w:tcPr>
            <w:tcW w:w="1016" w:type="dxa"/>
            <w:tcBorders>
              <w:top w:val="nil"/>
              <w:left w:val="nil"/>
              <w:bottom w:val="single" w:sz="4" w:space="0" w:color="auto"/>
              <w:right w:val="single" w:sz="4" w:space="0" w:color="auto"/>
            </w:tcBorders>
            <w:vAlign w:val="center"/>
            <w:hideMark/>
          </w:tcPr>
          <w:p w14:paraId="6259943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Presumptive Basic Pay</w:t>
            </w:r>
          </w:p>
        </w:tc>
      </w:tr>
      <w:tr w:rsidR="00153234" w:rsidRPr="00C91716" w14:paraId="4025C5AA" w14:textId="77777777" w:rsidTr="00153234">
        <w:trPr>
          <w:trHeight w:val="26"/>
          <w:jc w:val="center"/>
        </w:trPr>
        <w:tc>
          <w:tcPr>
            <w:tcW w:w="1648" w:type="dxa"/>
            <w:vMerge/>
            <w:tcBorders>
              <w:top w:val="single" w:sz="4" w:space="0" w:color="auto"/>
              <w:left w:val="single" w:sz="4" w:space="0" w:color="auto"/>
              <w:bottom w:val="single" w:sz="4" w:space="0" w:color="000000"/>
              <w:right w:val="single" w:sz="4" w:space="0" w:color="auto"/>
            </w:tcBorders>
            <w:vAlign w:val="center"/>
            <w:hideMark/>
          </w:tcPr>
          <w:p w14:paraId="3BE691E0" w14:textId="77777777" w:rsidR="00153234" w:rsidRPr="00C91716" w:rsidRDefault="00153234" w:rsidP="00153234">
            <w:pPr>
              <w:pStyle w:val="NoSpacing"/>
              <w:jc w:val="center"/>
              <w:rPr>
                <w:rFonts w:ascii="Times New Roman" w:hAnsi="Times New Roman" w:cs="Times New Roman"/>
                <w:sz w:val="16"/>
                <w:szCs w:val="16"/>
              </w:rPr>
            </w:pPr>
          </w:p>
        </w:tc>
        <w:tc>
          <w:tcPr>
            <w:tcW w:w="572" w:type="dxa"/>
            <w:tcBorders>
              <w:top w:val="nil"/>
              <w:left w:val="nil"/>
              <w:bottom w:val="single" w:sz="4" w:space="0" w:color="auto"/>
              <w:right w:val="single" w:sz="4" w:space="0" w:color="auto"/>
            </w:tcBorders>
            <w:vAlign w:val="center"/>
            <w:hideMark/>
          </w:tcPr>
          <w:p w14:paraId="1777045C" w14:textId="39C3BA54"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w:t>
            </w:r>
          </w:p>
        </w:tc>
        <w:tc>
          <w:tcPr>
            <w:tcW w:w="1016" w:type="dxa"/>
            <w:tcBorders>
              <w:top w:val="nil"/>
              <w:left w:val="nil"/>
              <w:bottom w:val="single" w:sz="4" w:space="0" w:color="auto"/>
              <w:right w:val="single" w:sz="4" w:space="0" w:color="auto"/>
            </w:tcBorders>
            <w:vAlign w:val="center"/>
            <w:hideMark/>
          </w:tcPr>
          <w:p w14:paraId="4BEF09EC" w14:textId="24D00E32"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w:t>
            </w:r>
          </w:p>
        </w:tc>
        <w:tc>
          <w:tcPr>
            <w:tcW w:w="572" w:type="dxa"/>
            <w:tcBorders>
              <w:top w:val="nil"/>
              <w:left w:val="nil"/>
              <w:bottom w:val="single" w:sz="4" w:space="0" w:color="auto"/>
              <w:right w:val="single" w:sz="4" w:space="0" w:color="auto"/>
            </w:tcBorders>
            <w:vAlign w:val="center"/>
            <w:hideMark/>
          </w:tcPr>
          <w:p w14:paraId="2C5C8E09" w14:textId="5CBD5A4C"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w:t>
            </w:r>
          </w:p>
        </w:tc>
        <w:tc>
          <w:tcPr>
            <w:tcW w:w="1016" w:type="dxa"/>
            <w:tcBorders>
              <w:top w:val="nil"/>
              <w:left w:val="nil"/>
              <w:bottom w:val="single" w:sz="4" w:space="0" w:color="auto"/>
              <w:right w:val="single" w:sz="4" w:space="0" w:color="auto"/>
            </w:tcBorders>
            <w:vAlign w:val="center"/>
            <w:hideMark/>
          </w:tcPr>
          <w:p w14:paraId="75C1A6F0" w14:textId="673DF00C"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w:t>
            </w:r>
          </w:p>
        </w:tc>
        <w:tc>
          <w:tcPr>
            <w:tcW w:w="572" w:type="dxa"/>
            <w:tcBorders>
              <w:top w:val="nil"/>
              <w:left w:val="nil"/>
              <w:bottom w:val="single" w:sz="4" w:space="0" w:color="auto"/>
              <w:right w:val="single" w:sz="4" w:space="0" w:color="auto"/>
            </w:tcBorders>
            <w:vAlign w:val="center"/>
            <w:hideMark/>
          </w:tcPr>
          <w:p w14:paraId="212E43D2" w14:textId="4E2EDF6A"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w:t>
            </w:r>
          </w:p>
        </w:tc>
        <w:tc>
          <w:tcPr>
            <w:tcW w:w="1016" w:type="dxa"/>
            <w:tcBorders>
              <w:top w:val="nil"/>
              <w:left w:val="nil"/>
              <w:bottom w:val="single" w:sz="4" w:space="0" w:color="auto"/>
              <w:right w:val="single" w:sz="4" w:space="0" w:color="auto"/>
            </w:tcBorders>
            <w:vAlign w:val="center"/>
            <w:hideMark/>
          </w:tcPr>
          <w:p w14:paraId="06EC81DF" w14:textId="773DC44A"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23</w:t>
            </w:r>
          </w:p>
        </w:tc>
        <w:tc>
          <w:tcPr>
            <w:tcW w:w="572" w:type="dxa"/>
            <w:tcBorders>
              <w:top w:val="nil"/>
              <w:left w:val="nil"/>
              <w:bottom w:val="single" w:sz="4" w:space="0" w:color="auto"/>
              <w:right w:val="single" w:sz="4" w:space="0" w:color="auto"/>
            </w:tcBorders>
            <w:vAlign w:val="center"/>
            <w:hideMark/>
          </w:tcPr>
          <w:p w14:paraId="3A3EEC6D" w14:textId="17A04279"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24</w:t>
            </w:r>
          </w:p>
        </w:tc>
        <w:tc>
          <w:tcPr>
            <w:tcW w:w="1016" w:type="dxa"/>
            <w:tcBorders>
              <w:top w:val="nil"/>
              <w:left w:val="nil"/>
              <w:bottom w:val="single" w:sz="4" w:space="0" w:color="auto"/>
              <w:right w:val="single" w:sz="4" w:space="0" w:color="auto"/>
            </w:tcBorders>
            <w:vAlign w:val="center"/>
            <w:hideMark/>
          </w:tcPr>
          <w:p w14:paraId="1B00F614" w14:textId="7A22CB89"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25</w:t>
            </w:r>
          </w:p>
        </w:tc>
        <w:tc>
          <w:tcPr>
            <w:tcW w:w="572" w:type="dxa"/>
            <w:tcBorders>
              <w:top w:val="nil"/>
              <w:left w:val="nil"/>
              <w:bottom w:val="single" w:sz="4" w:space="0" w:color="auto"/>
              <w:right w:val="single" w:sz="4" w:space="0" w:color="auto"/>
            </w:tcBorders>
            <w:vAlign w:val="center"/>
            <w:hideMark/>
          </w:tcPr>
          <w:p w14:paraId="0EED2700" w14:textId="23E72DB9"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26</w:t>
            </w:r>
          </w:p>
        </w:tc>
        <w:tc>
          <w:tcPr>
            <w:tcW w:w="1016" w:type="dxa"/>
            <w:tcBorders>
              <w:top w:val="nil"/>
              <w:left w:val="nil"/>
              <w:bottom w:val="single" w:sz="4" w:space="0" w:color="auto"/>
              <w:right w:val="single" w:sz="4" w:space="0" w:color="auto"/>
            </w:tcBorders>
            <w:vAlign w:val="center"/>
            <w:hideMark/>
          </w:tcPr>
          <w:p w14:paraId="3AFDD449" w14:textId="76D1DBDC"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27</w:t>
            </w:r>
          </w:p>
        </w:tc>
        <w:tc>
          <w:tcPr>
            <w:tcW w:w="572" w:type="dxa"/>
            <w:tcBorders>
              <w:top w:val="nil"/>
              <w:left w:val="nil"/>
              <w:bottom w:val="single" w:sz="4" w:space="0" w:color="auto"/>
              <w:right w:val="single" w:sz="4" w:space="0" w:color="auto"/>
            </w:tcBorders>
            <w:vAlign w:val="center"/>
            <w:hideMark/>
          </w:tcPr>
          <w:p w14:paraId="36C5D195" w14:textId="6BEC75F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28</w:t>
            </w:r>
          </w:p>
        </w:tc>
        <w:tc>
          <w:tcPr>
            <w:tcW w:w="1016" w:type="dxa"/>
            <w:tcBorders>
              <w:top w:val="nil"/>
              <w:left w:val="nil"/>
              <w:bottom w:val="single" w:sz="4" w:space="0" w:color="auto"/>
              <w:right w:val="single" w:sz="4" w:space="0" w:color="auto"/>
            </w:tcBorders>
            <w:vAlign w:val="center"/>
            <w:hideMark/>
          </w:tcPr>
          <w:p w14:paraId="5E060B88" w14:textId="6976660F"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29</w:t>
            </w:r>
          </w:p>
        </w:tc>
        <w:tc>
          <w:tcPr>
            <w:tcW w:w="572" w:type="dxa"/>
            <w:tcBorders>
              <w:top w:val="single" w:sz="4" w:space="0" w:color="auto"/>
              <w:left w:val="nil"/>
              <w:bottom w:val="single" w:sz="4" w:space="0" w:color="auto"/>
              <w:right w:val="single" w:sz="4" w:space="0" w:color="auto"/>
            </w:tcBorders>
            <w:vAlign w:val="center"/>
            <w:hideMark/>
          </w:tcPr>
          <w:p w14:paraId="28F54869" w14:textId="7E364BDA"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30</w:t>
            </w:r>
          </w:p>
        </w:tc>
        <w:tc>
          <w:tcPr>
            <w:tcW w:w="1016" w:type="dxa"/>
            <w:tcBorders>
              <w:top w:val="nil"/>
              <w:left w:val="nil"/>
              <w:bottom w:val="single" w:sz="4" w:space="0" w:color="auto"/>
              <w:right w:val="single" w:sz="4" w:space="0" w:color="auto"/>
            </w:tcBorders>
            <w:vAlign w:val="center"/>
            <w:hideMark/>
          </w:tcPr>
          <w:p w14:paraId="64E79C1D" w14:textId="05398E9C"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31</w:t>
            </w:r>
          </w:p>
        </w:tc>
        <w:tc>
          <w:tcPr>
            <w:tcW w:w="572" w:type="dxa"/>
            <w:gridSpan w:val="2"/>
            <w:tcBorders>
              <w:top w:val="single" w:sz="4" w:space="0" w:color="auto"/>
              <w:left w:val="nil"/>
              <w:bottom w:val="single" w:sz="4" w:space="0" w:color="auto"/>
              <w:right w:val="single" w:sz="4" w:space="0" w:color="auto"/>
            </w:tcBorders>
            <w:vAlign w:val="center"/>
            <w:hideMark/>
          </w:tcPr>
          <w:p w14:paraId="245CF8AD" w14:textId="0C20B1FB"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32</w:t>
            </w:r>
          </w:p>
        </w:tc>
        <w:tc>
          <w:tcPr>
            <w:tcW w:w="1016" w:type="dxa"/>
            <w:tcBorders>
              <w:top w:val="nil"/>
              <w:left w:val="nil"/>
              <w:bottom w:val="single" w:sz="4" w:space="0" w:color="auto"/>
              <w:right w:val="single" w:sz="4" w:space="0" w:color="auto"/>
            </w:tcBorders>
            <w:vAlign w:val="center"/>
            <w:hideMark/>
          </w:tcPr>
          <w:p w14:paraId="1DBCCD28" w14:textId="5D58A7F6"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33</w:t>
            </w:r>
          </w:p>
        </w:tc>
        <w:tc>
          <w:tcPr>
            <w:tcW w:w="572" w:type="dxa"/>
            <w:tcBorders>
              <w:top w:val="single" w:sz="4" w:space="0" w:color="auto"/>
              <w:left w:val="nil"/>
              <w:bottom w:val="single" w:sz="4" w:space="0" w:color="auto"/>
              <w:right w:val="single" w:sz="4" w:space="0" w:color="000000"/>
            </w:tcBorders>
            <w:vAlign w:val="center"/>
            <w:hideMark/>
          </w:tcPr>
          <w:p w14:paraId="6F1735DE" w14:textId="2D306C49"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34</w:t>
            </w:r>
          </w:p>
        </w:tc>
        <w:tc>
          <w:tcPr>
            <w:tcW w:w="1016" w:type="dxa"/>
            <w:tcBorders>
              <w:top w:val="nil"/>
              <w:left w:val="nil"/>
              <w:bottom w:val="single" w:sz="4" w:space="0" w:color="auto"/>
              <w:right w:val="single" w:sz="4" w:space="0" w:color="auto"/>
            </w:tcBorders>
            <w:vAlign w:val="center"/>
            <w:hideMark/>
          </w:tcPr>
          <w:p w14:paraId="687A8AA5" w14:textId="35B6FB7F"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35</w:t>
            </w:r>
          </w:p>
        </w:tc>
      </w:tr>
      <w:tr w:rsidR="00153234" w:rsidRPr="00C91716" w14:paraId="65AA5BA6"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041CEFEA"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CENTER</w:t>
            </w:r>
          </w:p>
        </w:tc>
        <w:tc>
          <w:tcPr>
            <w:tcW w:w="572" w:type="dxa"/>
            <w:tcBorders>
              <w:top w:val="nil"/>
              <w:left w:val="nil"/>
              <w:bottom w:val="single" w:sz="4" w:space="0" w:color="auto"/>
              <w:right w:val="single" w:sz="4" w:space="0" w:color="auto"/>
            </w:tcBorders>
            <w:vAlign w:val="center"/>
            <w:hideMark/>
          </w:tcPr>
          <w:p w14:paraId="652C9FB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7BF8737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0573893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1320</w:t>
            </w:r>
          </w:p>
        </w:tc>
        <w:tc>
          <w:tcPr>
            <w:tcW w:w="1016" w:type="dxa"/>
            <w:tcBorders>
              <w:top w:val="nil"/>
              <w:left w:val="nil"/>
              <w:bottom w:val="single" w:sz="4" w:space="0" w:color="auto"/>
              <w:right w:val="single" w:sz="4" w:space="0" w:color="auto"/>
            </w:tcBorders>
            <w:vAlign w:val="center"/>
            <w:hideMark/>
          </w:tcPr>
          <w:p w14:paraId="3C63876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1320</w:t>
            </w:r>
          </w:p>
        </w:tc>
        <w:tc>
          <w:tcPr>
            <w:tcW w:w="572" w:type="dxa"/>
            <w:tcBorders>
              <w:top w:val="nil"/>
              <w:left w:val="nil"/>
              <w:bottom w:val="single" w:sz="4" w:space="0" w:color="auto"/>
              <w:right w:val="single" w:sz="4" w:space="0" w:color="auto"/>
            </w:tcBorders>
            <w:vAlign w:val="center"/>
            <w:hideMark/>
          </w:tcPr>
          <w:p w14:paraId="514E496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43626C6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31E5748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4AB5037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1D53AA1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2DB088A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68780C4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607C82F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single" w:sz="4" w:space="0" w:color="auto"/>
              <w:left w:val="nil"/>
              <w:bottom w:val="single" w:sz="4" w:space="0" w:color="auto"/>
              <w:right w:val="single" w:sz="4" w:space="0" w:color="auto"/>
            </w:tcBorders>
            <w:vAlign w:val="center"/>
            <w:hideMark/>
          </w:tcPr>
          <w:p w14:paraId="23B9494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163BD7F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10D9160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732E77E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000000"/>
            </w:tcBorders>
            <w:vAlign w:val="center"/>
            <w:hideMark/>
          </w:tcPr>
          <w:p w14:paraId="58BA108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7519464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0CEB02D4"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538AD655"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 Andhra Pradesh</w:t>
            </w:r>
          </w:p>
        </w:tc>
        <w:tc>
          <w:tcPr>
            <w:tcW w:w="572" w:type="dxa"/>
            <w:tcBorders>
              <w:top w:val="nil"/>
              <w:left w:val="nil"/>
              <w:bottom w:val="single" w:sz="4" w:space="0" w:color="auto"/>
              <w:right w:val="single" w:sz="4" w:space="0" w:color="auto"/>
            </w:tcBorders>
            <w:vAlign w:val="center"/>
            <w:hideMark/>
          </w:tcPr>
          <w:p w14:paraId="104D4B5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1280</w:t>
            </w:r>
          </w:p>
        </w:tc>
        <w:tc>
          <w:tcPr>
            <w:tcW w:w="1016" w:type="dxa"/>
            <w:tcBorders>
              <w:top w:val="nil"/>
              <w:left w:val="nil"/>
              <w:bottom w:val="single" w:sz="4" w:space="0" w:color="auto"/>
              <w:right w:val="single" w:sz="4" w:space="0" w:color="auto"/>
            </w:tcBorders>
            <w:vAlign w:val="center"/>
            <w:hideMark/>
          </w:tcPr>
          <w:p w14:paraId="005098A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1280</w:t>
            </w:r>
          </w:p>
        </w:tc>
        <w:tc>
          <w:tcPr>
            <w:tcW w:w="572" w:type="dxa"/>
            <w:tcBorders>
              <w:top w:val="nil"/>
              <w:left w:val="nil"/>
              <w:bottom w:val="single" w:sz="4" w:space="0" w:color="auto"/>
              <w:right w:val="single" w:sz="4" w:space="0" w:color="auto"/>
            </w:tcBorders>
            <w:vAlign w:val="center"/>
            <w:hideMark/>
          </w:tcPr>
          <w:p w14:paraId="2EFE350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910</w:t>
            </w:r>
          </w:p>
        </w:tc>
        <w:tc>
          <w:tcPr>
            <w:tcW w:w="1016" w:type="dxa"/>
            <w:tcBorders>
              <w:top w:val="nil"/>
              <w:left w:val="nil"/>
              <w:bottom w:val="single" w:sz="4" w:space="0" w:color="auto"/>
              <w:right w:val="single" w:sz="4" w:space="0" w:color="auto"/>
            </w:tcBorders>
            <w:vAlign w:val="center"/>
            <w:hideMark/>
          </w:tcPr>
          <w:p w14:paraId="694479D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910</w:t>
            </w:r>
          </w:p>
        </w:tc>
        <w:tc>
          <w:tcPr>
            <w:tcW w:w="572" w:type="dxa"/>
            <w:tcBorders>
              <w:top w:val="nil"/>
              <w:left w:val="nil"/>
              <w:bottom w:val="single" w:sz="4" w:space="0" w:color="auto"/>
              <w:right w:val="single" w:sz="4" w:space="0" w:color="auto"/>
            </w:tcBorders>
            <w:vAlign w:val="center"/>
            <w:hideMark/>
          </w:tcPr>
          <w:p w14:paraId="0303662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1330</w:t>
            </w:r>
          </w:p>
        </w:tc>
        <w:tc>
          <w:tcPr>
            <w:tcW w:w="1016" w:type="dxa"/>
            <w:tcBorders>
              <w:top w:val="nil"/>
              <w:left w:val="nil"/>
              <w:bottom w:val="single" w:sz="4" w:space="0" w:color="auto"/>
              <w:right w:val="single" w:sz="4" w:space="0" w:color="auto"/>
            </w:tcBorders>
            <w:vAlign w:val="center"/>
            <w:hideMark/>
          </w:tcPr>
          <w:p w14:paraId="3473BF3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1330</w:t>
            </w:r>
          </w:p>
        </w:tc>
        <w:tc>
          <w:tcPr>
            <w:tcW w:w="572" w:type="dxa"/>
            <w:tcBorders>
              <w:top w:val="nil"/>
              <w:left w:val="nil"/>
              <w:bottom w:val="single" w:sz="4" w:space="0" w:color="auto"/>
              <w:right w:val="single" w:sz="4" w:space="0" w:color="auto"/>
            </w:tcBorders>
            <w:vAlign w:val="center"/>
            <w:hideMark/>
          </w:tcPr>
          <w:p w14:paraId="577B65E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1330</w:t>
            </w:r>
          </w:p>
        </w:tc>
        <w:tc>
          <w:tcPr>
            <w:tcW w:w="1016" w:type="dxa"/>
            <w:tcBorders>
              <w:top w:val="nil"/>
              <w:left w:val="nil"/>
              <w:bottom w:val="single" w:sz="4" w:space="0" w:color="auto"/>
              <w:right w:val="single" w:sz="4" w:space="0" w:color="auto"/>
            </w:tcBorders>
            <w:vAlign w:val="center"/>
            <w:hideMark/>
          </w:tcPr>
          <w:p w14:paraId="3401B70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1330</w:t>
            </w:r>
          </w:p>
        </w:tc>
        <w:tc>
          <w:tcPr>
            <w:tcW w:w="572" w:type="dxa"/>
            <w:tcBorders>
              <w:top w:val="nil"/>
              <w:left w:val="nil"/>
              <w:bottom w:val="single" w:sz="4" w:space="0" w:color="auto"/>
              <w:right w:val="single" w:sz="4" w:space="0" w:color="auto"/>
            </w:tcBorders>
            <w:vAlign w:val="center"/>
            <w:hideMark/>
          </w:tcPr>
          <w:p w14:paraId="40D8168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1150</w:t>
            </w:r>
          </w:p>
        </w:tc>
        <w:tc>
          <w:tcPr>
            <w:tcW w:w="1016" w:type="dxa"/>
            <w:tcBorders>
              <w:top w:val="nil"/>
              <w:left w:val="nil"/>
              <w:bottom w:val="single" w:sz="4" w:space="0" w:color="auto"/>
              <w:right w:val="single" w:sz="4" w:space="0" w:color="auto"/>
            </w:tcBorders>
            <w:vAlign w:val="center"/>
            <w:hideMark/>
          </w:tcPr>
          <w:p w14:paraId="3CE6459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1150</w:t>
            </w:r>
          </w:p>
        </w:tc>
        <w:tc>
          <w:tcPr>
            <w:tcW w:w="572" w:type="dxa"/>
            <w:tcBorders>
              <w:top w:val="nil"/>
              <w:left w:val="nil"/>
              <w:bottom w:val="single" w:sz="4" w:space="0" w:color="auto"/>
              <w:right w:val="single" w:sz="4" w:space="0" w:color="auto"/>
            </w:tcBorders>
            <w:vAlign w:val="center"/>
            <w:hideMark/>
          </w:tcPr>
          <w:p w14:paraId="6907887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1550</w:t>
            </w:r>
          </w:p>
        </w:tc>
        <w:tc>
          <w:tcPr>
            <w:tcW w:w="1016" w:type="dxa"/>
            <w:tcBorders>
              <w:top w:val="nil"/>
              <w:left w:val="nil"/>
              <w:bottom w:val="single" w:sz="4" w:space="0" w:color="auto"/>
              <w:right w:val="single" w:sz="4" w:space="0" w:color="auto"/>
            </w:tcBorders>
            <w:vAlign w:val="center"/>
            <w:hideMark/>
          </w:tcPr>
          <w:p w14:paraId="610A3CC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1550</w:t>
            </w:r>
          </w:p>
        </w:tc>
        <w:tc>
          <w:tcPr>
            <w:tcW w:w="572" w:type="dxa"/>
            <w:tcBorders>
              <w:top w:val="single" w:sz="4" w:space="0" w:color="auto"/>
              <w:left w:val="nil"/>
              <w:bottom w:val="single" w:sz="4" w:space="0" w:color="auto"/>
              <w:right w:val="single" w:sz="4" w:space="0" w:color="auto"/>
            </w:tcBorders>
            <w:vAlign w:val="center"/>
            <w:hideMark/>
          </w:tcPr>
          <w:p w14:paraId="60CB77E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1380</w:t>
            </w:r>
          </w:p>
        </w:tc>
        <w:tc>
          <w:tcPr>
            <w:tcW w:w="1016" w:type="dxa"/>
            <w:tcBorders>
              <w:top w:val="nil"/>
              <w:left w:val="nil"/>
              <w:bottom w:val="single" w:sz="4" w:space="0" w:color="auto"/>
              <w:right w:val="single" w:sz="4" w:space="0" w:color="auto"/>
            </w:tcBorders>
            <w:vAlign w:val="center"/>
            <w:hideMark/>
          </w:tcPr>
          <w:p w14:paraId="78C5088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1380</w:t>
            </w:r>
          </w:p>
        </w:tc>
        <w:tc>
          <w:tcPr>
            <w:tcW w:w="572" w:type="dxa"/>
            <w:gridSpan w:val="2"/>
            <w:tcBorders>
              <w:top w:val="single" w:sz="4" w:space="0" w:color="auto"/>
              <w:left w:val="nil"/>
              <w:bottom w:val="single" w:sz="4" w:space="0" w:color="auto"/>
              <w:right w:val="single" w:sz="4" w:space="0" w:color="auto"/>
            </w:tcBorders>
            <w:vAlign w:val="center"/>
            <w:hideMark/>
          </w:tcPr>
          <w:p w14:paraId="39E4204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2150</w:t>
            </w:r>
          </w:p>
        </w:tc>
        <w:tc>
          <w:tcPr>
            <w:tcW w:w="1016" w:type="dxa"/>
            <w:tcBorders>
              <w:top w:val="nil"/>
              <w:left w:val="nil"/>
              <w:bottom w:val="single" w:sz="4" w:space="0" w:color="auto"/>
              <w:right w:val="single" w:sz="4" w:space="0" w:color="auto"/>
            </w:tcBorders>
            <w:vAlign w:val="center"/>
            <w:hideMark/>
          </w:tcPr>
          <w:p w14:paraId="7FB7B89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2150</w:t>
            </w:r>
          </w:p>
        </w:tc>
        <w:tc>
          <w:tcPr>
            <w:tcW w:w="572" w:type="dxa"/>
            <w:tcBorders>
              <w:top w:val="single" w:sz="4" w:space="0" w:color="auto"/>
              <w:left w:val="nil"/>
              <w:bottom w:val="single" w:sz="4" w:space="0" w:color="auto"/>
              <w:right w:val="single" w:sz="4" w:space="0" w:color="000000"/>
            </w:tcBorders>
            <w:vAlign w:val="center"/>
            <w:hideMark/>
          </w:tcPr>
          <w:p w14:paraId="4631161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1810</w:t>
            </w:r>
          </w:p>
        </w:tc>
        <w:tc>
          <w:tcPr>
            <w:tcW w:w="1016" w:type="dxa"/>
            <w:tcBorders>
              <w:top w:val="nil"/>
              <w:left w:val="nil"/>
              <w:bottom w:val="single" w:sz="4" w:space="0" w:color="auto"/>
              <w:right w:val="single" w:sz="4" w:space="0" w:color="auto"/>
            </w:tcBorders>
            <w:vAlign w:val="center"/>
            <w:hideMark/>
          </w:tcPr>
          <w:p w14:paraId="6428D11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1810</w:t>
            </w:r>
          </w:p>
        </w:tc>
      </w:tr>
      <w:tr w:rsidR="00153234" w:rsidRPr="00C91716" w14:paraId="0D9ECC63"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2ED848D2"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 Arunachal Pradesh</w:t>
            </w:r>
          </w:p>
        </w:tc>
        <w:tc>
          <w:tcPr>
            <w:tcW w:w="572" w:type="dxa"/>
            <w:tcBorders>
              <w:top w:val="nil"/>
              <w:left w:val="nil"/>
              <w:bottom w:val="single" w:sz="4" w:space="0" w:color="auto"/>
              <w:right w:val="single" w:sz="4" w:space="0" w:color="auto"/>
            </w:tcBorders>
            <w:vAlign w:val="center"/>
            <w:hideMark/>
          </w:tcPr>
          <w:p w14:paraId="3A6E76E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3AD47B3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0488047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7120ED8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17451DC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5194049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36807ED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7A8E556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416FD1D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79D3365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36D8C21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349B74A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auto"/>
            </w:tcBorders>
            <w:vAlign w:val="center"/>
            <w:hideMark/>
          </w:tcPr>
          <w:p w14:paraId="4AD610C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114E059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7939829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2375</w:t>
            </w:r>
          </w:p>
        </w:tc>
        <w:tc>
          <w:tcPr>
            <w:tcW w:w="1016" w:type="dxa"/>
            <w:tcBorders>
              <w:top w:val="nil"/>
              <w:left w:val="nil"/>
              <w:bottom w:val="single" w:sz="4" w:space="0" w:color="auto"/>
              <w:right w:val="single" w:sz="4" w:space="0" w:color="auto"/>
            </w:tcBorders>
            <w:vAlign w:val="center"/>
            <w:hideMark/>
          </w:tcPr>
          <w:p w14:paraId="2E54BE8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2375</w:t>
            </w:r>
          </w:p>
        </w:tc>
        <w:tc>
          <w:tcPr>
            <w:tcW w:w="572" w:type="dxa"/>
            <w:tcBorders>
              <w:top w:val="single" w:sz="4" w:space="0" w:color="auto"/>
              <w:left w:val="nil"/>
              <w:bottom w:val="single" w:sz="4" w:space="0" w:color="auto"/>
              <w:right w:val="single" w:sz="4" w:space="0" w:color="000000"/>
            </w:tcBorders>
            <w:vAlign w:val="center"/>
            <w:hideMark/>
          </w:tcPr>
          <w:p w14:paraId="041E979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24A94A9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59BF4A83"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2013A36B"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3. Assam</w:t>
            </w:r>
          </w:p>
        </w:tc>
        <w:tc>
          <w:tcPr>
            <w:tcW w:w="572" w:type="dxa"/>
            <w:tcBorders>
              <w:top w:val="nil"/>
              <w:left w:val="nil"/>
              <w:bottom w:val="single" w:sz="4" w:space="0" w:color="auto"/>
              <w:right w:val="single" w:sz="4" w:space="0" w:color="auto"/>
            </w:tcBorders>
            <w:vAlign w:val="center"/>
            <w:hideMark/>
          </w:tcPr>
          <w:p w14:paraId="2C71153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620</w:t>
            </w:r>
          </w:p>
        </w:tc>
        <w:tc>
          <w:tcPr>
            <w:tcW w:w="1016" w:type="dxa"/>
            <w:tcBorders>
              <w:top w:val="nil"/>
              <w:left w:val="nil"/>
              <w:bottom w:val="single" w:sz="4" w:space="0" w:color="auto"/>
              <w:right w:val="single" w:sz="4" w:space="0" w:color="auto"/>
            </w:tcBorders>
            <w:vAlign w:val="center"/>
            <w:hideMark/>
          </w:tcPr>
          <w:p w14:paraId="0947B48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982</w:t>
            </w:r>
          </w:p>
        </w:tc>
        <w:tc>
          <w:tcPr>
            <w:tcW w:w="572" w:type="dxa"/>
            <w:tcBorders>
              <w:top w:val="nil"/>
              <w:left w:val="nil"/>
              <w:bottom w:val="single" w:sz="4" w:space="0" w:color="auto"/>
              <w:right w:val="single" w:sz="4" w:space="0" w:color="auto"/>
            </w:tcBorders>
            <w:vAlign w:val="center"/>
            <w:hideMark/>
          </w:tcPr>
          <w:p w14:paraId="1EE6495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420</w:t>
            </w:r>
          </w:p>
        </w:tc>
        <w:tc>
          <w:tcPr>
            <w:tcW w:w="1016" w:type="dxa"/>
            <w:tcBorders>
              <w:top w:val="nil"/>
              <w:left w:val="nil"/>
              <w:bottom w:val="single" w:sz="4" w:space="0" w:color="auto"/>
              <w:right w:val="single" w:sz="4" w:space="0" w:color="auto"/>
            </w:tcBorders>
            <w:vAlign w:val="center"/>
            <w:hideMark/>
          </w:tcPr>
          <w:p w14:paraId="03981FF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665</w:t>
            </w:r>
          </w:p>
        </w:tc>
        <w:tc>
          <w:tcPr>
            <w:tcW w:w="572" w:type="dxa"/>
            <w:tcBorders>
              <w:top w:val="nil"/>
              <w:left w:val="nil"/>
              <w:bottom w:val="single" w:sz="4" w:space="0" w:color="auto"/>
              <w:right w:val="single" w:sz="4" w:space="0" w:color="auto"/>
            </w:tcBorders>
            <w:vAlign w:val="center"/>
            <w:hideMark/>
          </w:tcPr>
          <w:p w14:paraId="7E100C2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500</w:t>
            </w:r>
          </w:p>
        </w:tc>
        <w:tc>
          <w:tcPr>
            <w:tcW w:w="1016" w:type="dxa"/>
            <w:tcBorders>
              <w:top w:val="nil"/>
              <w:left w:val="nil"/>
              <w:bottom w:val="single" w:sz="4" w:space="0" w:color="auto"/>
              <w:right w:val="single" w:sz="4" w:space="0" w:color="auto"/>
            </w:tcBorders>
            <w:vAlign w:val="center"/>
            <w:hideMark/>
          </w:tcPr>
          <w:p w14:paraId="48AEBC1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792</w:t>
            </w:r>
          </w:p>
        </w:tc>
        <w:tc>
          <w:tcPr>
            <w:tcW w:w="572" w:type="dxa"/>
            <w:tcBorders>
              <w:top w:val="nil"/>
              <w:left w:val="nil"/>
              <w:bottom w:val="single" w:sz="4" w:space="0" w:color="auto"/>
              <w:right w:val="single" w:sz="4" w:space="0" w:color="auto"/>
            </w:tcBorders>
            <w:vAlign w:val="center"/>
            <w:hideMark/>
          </w:tcPr>
          <w:p w14:paraId="727361E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620</w:t>
            </w:r>
          </w:p>
        </w:tc>
        <w:tc>
          <w:tcPr>
            <w:tcW w:w="1016" w:type="dxa"/>
            <w:tcBorders>
              <w:top w:val="nil"/>
              <w:left w:val="nil"/>
              <w:bottom w:val="single" w:sz="4" w:space="0" w:color="auto"/>
              <w:right w:val="single" w:sz="4" w:space="0" w:color="auto"/>
            </w:tcBorders>
            <w:vAlign w:val="center"/>
            <w:hideMark/>
          </w:tcPr>
          <w:p w14:paraId="4F7FABB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982</w:t>
            </w:r>
          </w:p>
        </w:tc>
        <w:tc>
          <w:tcPr>
            <w:tcW w:w="572" w:type="dxa"/>
            <w:tcBorders>
              <w:top w:val="nil"/>
              <w:left w:val="nil"/>
              <w:bottom w:val="single" w:sz="4" w:space="0" w:color="auto"/>
              <w:right w:val="single" w:sz="4" w:space="0" w:color="auto"/>
            </w:tcBorders>
            <w:vAlign w:val="center"/>
            <w:hideMark/>
          </w:tcPr>
          <w:p w14:paraId="6FEA77F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560</w:t>
            </w:r>
          </w:p>
        </w:tc>
        <w:tc>
          <w:tcPr>
            <w:tcW w:w="1016" w:type="dxa"/>
            <w:tcBorders>
              <w:top w:val="nil"/>
              <w:left w:val="nil"/>
              <w:bottom w:val="single" w:sz="4" w:space="0" w:color="auto"/>
              <w:right w:val="single" w:sz="4" w:space="0" w:color="auto"/>
            </w:tcBorders>
            <w:vAlign w:val="center"/>
            <w:hideMark/>
          </w:tcPr>
          <w:p w14:paraId="1108662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887</w:t>
            </w:r>
          </w:p>
        </w:tc>
        <w:tc>
          <w:tcPr>
            <w:tcW w:w="572" w:type="dxa"/>
            <w:tcBorders>
              <w:top w:val="nil"/>
              <w:left w:val="nil"/>
              <w:bottom w:val="single" w:sz="4" w:space="0" w:color="auto"/>
              <w:right w:val="single" w:sz="4" w:space="0" w:color="auto"/>
            </w:tcBorders>
            <w:vAlign w:val="center"/>
            <w:hideMark/>
          </w:tcPr>
          <w:p w14:paraId="0A443EC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800</w:t>
            </w:r>
          </w:p>
        </w:tc>
        <w:tc>
          <w:tcPr>
            <w:tcW w:w="1016" w:type="dxa"/>
            <w:tcBorders>
              <w:top w:val="nil"/>
              <w:left w:val="nil"/>
              <w:bottom w:val="single" w:sz="4" w:space="0" w:color="auto"/>
              <w:right w:val="single" w:sz="4" w:space="0" w:color="auto"/>
            </w:tcBorders>
            <w:vAlign w:val="center"/>
            <w:hideMark/>
          </w:tcPr>
          <w:p w14:paraId="7729839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1267</w:t>
            </w:r>
          </w:p>
        </w:tc>
        <w:tc>
          <w:tcPr>
            <w:tcW w:w="572" w:type="dxa"/>
            <w:tcBorders>
              <w:top w:val="single" w:sz="4" w:space="0" w:color="auto"/>
              <w:left w:val="nil"/>
              <w:bottom w:val="single" w:sz="4" w:space="0" w:color="auto"/>
              <w:right w:val="single" w:sz="4" w:space="0" w:color="auto"/>
            </w:tcBorders>
            <w:vAlign w:val="center"/>
            <w:hideMark/>
          </w:tcPr>
          <w:p w14:paraId="0EA9A77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875</w:t>
            </w:r>
          </w:p>
        </w:tc>
        <w:tc>
          <w:tcPr>
            <w:tcW w:w="1016" w:type="dxa"/>
            <w:tcBorders>
              <w:top w:val="nil"/>
              <w:left w:val="nil"/>
              <w:bottom w:val="single" w:sz="4" w:space="0" w:color="auto"/>
              <w:right w:val="single" w:sz="4" w:space="0" w:color="auto"/>
            </w:tcBorders>
            <w:vAlign w:val="center"/>
            <w:hideMark/>
          </w:tcPr>
          <w:p w14:paraId="1D89A2C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1385</w:t>
            </w:r>
          </w:p>
        </w:tc>
        <w:tc>
          <w:tcPr>
            <w:tcW w:w="572" w:type="dxa"/>
            <w:gridSpan w:val="2"/>
            <w:tcBorders>
              <w:top w:val="single" w:sz="4" w:space="0" w:color="auto"/>
              <w:left w:val="nil"/>
              <w:bottom w:val="single" w:sz="4" w:space="0" w:color="auto"/>
              <w:right w:val="single" w:sz="4" w:space="0" w:color="auto"/>
            </w:tcBorders>
            <w:vAlign w:val="center"/>
            <w:hideMark/>
          </w:tcPr>
          <w:p w14:paraId="4437328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875</w:t>
            </w:r>
          </w:p>
        </w:tc>
        <w:tc>
          <w:tcPr>
            <w:tcW w:w="1016" w:type="dxa"/>
            <w:tcBorders>
              <w:top w:val="nil"/>
              <w:left w:val="nil"/>
              <w:bottom w:val="single" w:sz="4" w:space="0" w:color="auto"/>
              <w:right w:val="single" w:sz="4" w:space="0" w:color="auto"/>
            </w:tcBorders>
            <w:vAlign w:val="center"/>
            <w:hideMark/>
          </w:tcPr>
          <w:p w14:paraId="149ACE7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1385</w:t>
            </w:r>
          </w:p>
        </w:tc>
        <w:tc>
          <w:tcPr>
            <w:tcW w:w="572" w:type="dxa"/>
            <w:tcBorders>
              <w:top w:val="single" w:sz="4" w:space="0" w:color="auto"/>
              <w:left w:val="nil"/>
              <w:bottom w:val="single" w:sz="4" w:space="0" w:color="auto"/>
              <w:right w:val="single" w:sz="4" w:space="0" w:color="000000"/>
            </w:tcBorders>
            <w:vAlign w:val="center"/>
            <w:hideMark/>
          </w:tcPr>
          <w:p w14:paraId="11EEBDF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0EFB4CD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r>
      <w:tr w:rsidR="00153234" w:rsidRPr="00C91716" w14:paraId="4D3A2E35"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1A9A7A34"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4. Bihar</w:t>
            </w:r>
          </w:p>
        </w:tc>
        <w:tc>
          <w:tcPr>
            <w:tcW w:w="572" w:type="dxa"/>
            <w:tcBorders>
              <w:top w:val="nil"/>
              <w:left w:val="nil"/>
              <w:bottom w:val="single" w:sz="4" w:space="0" w:color="auto"/>
              <w:right w:val="single" w:sz="4" w:space="0" w:color="auto"/>
            </w:tcBorders>
            <w:vAlign w:val="center"/>
            <w:hideMark/>
          </w:tcPr>
          <w:p w14:paraId="334EE4F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850</w:t>
            </w:r>
          </w:p>
        </w:tc>
        <w:tc>
          <w:tcPr>
            <w:tcW w:w="1016" w:type="dxa"/>
            <w:tcBorders>
              <w:top w:val="nil"/>
              <w:left w:val="nil"/>
              <w:bottom w:val="single" w:sz="4" w:space="0" w:color="auto"/>
              <w:right w:val="single" w:sz="4" w:space="0" w:color="auto"/>
            </w:tcBorders>
            <w:vAlign w:val="center"/>
            <w:hideMark/>
          </w:tcPr>
          <w:p w14:paraId="74B2F44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1318</w:t>
            </w:r>
          </w:p>
        </w:tc>
        <w:tc>
          <w:tcPr>
            <w:tcW w:w="572" w:type="dxa"/>
            <w:tcBorders>
              <w:top w:val="nil"/>
              <w:left w:val="nil"/>
              <w:bottom w:val="single" w:sz="4" w:space="0" w:color="auto"/>
              <w:right w:val="single" w:sz="4" w:space="0" w:color="auto"/>
            </w:tcBorders>
            <w:vAlign w:val="center"/>
            <w:hideMark/>
          </w:tcPr>
          <w:p w14:paraId="10514C9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850</w:t>
            </w:r>
          </w:p>
        </w:tc>
        <w:tc>
          <w:tcPr>
            <w:tcW w:w="1016" w:type="dxa"/>
            <w:tcBorders>
              <w:top w:val="nil"/>
              <w:left w:val="nil"/>
              <w:bottom w:val="single" w:sz="4" w:space="0" w:color="auto"/>
              <w:right w:val="single" w:sz="4" w:space="0" w:color="auto"/>
            </w:tcBorders>
            <w:vAlign w:val="center"/>
            <w:hideMark/>
          </w:tcPr>
          <w:p w14:paraId="19F4E53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1318</w:t>
            </w:r>
          </w:p>
        </w:tc>
        <w:tc>
          <w:tcPr>
            <w:tcW w:w="572" w:type="dxa"/>
            <w:tcBorders>
              <w:top w:val="nil"/>
              <w:left w:val="nil"/>
              <w:bottom w:val="single" w:sz="4" w:space="0" w:color="auto"/>
              <w:right w:val="single" w:sz="4" w:space="0" w:color="auto"/>
            </w:tcBorders>
            <w:vAlign w:val="center"/>
            <w:hideMark/>
          </w:tcPr>
          <w:p w14:paraId="630997E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0215C34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17F22BE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785</w:t>
            </w:r>
          </w:p>
        </w:tc>
        <w:tc>
          <w:tcPr>
            <w:tcW w:w="1016" w:type="dxa"/>
            <w:tcBorders>
              <w:top w:val="nil"/>
              <w:left w:val="nil"/>
              <w:bottom w:val="single" w:sz="4" w:space="0" w:color="auto"/>
              <w:right w:val="single" w:sz="4" w:space="0" w:color="auto"/>
            </w:tcBorders>
            <w:vAlign w:val="center"/>
            <w:hideMark/>
          </w:tcPr>
          <w:p w14:paraId="408B08F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1218</w:t>
            </w:r>
          </w:p>
        </w:tc>
        <w:tc>
          <w:tcPr>
            <w:tcW w:w="572" w:type="dxa"/>
            <w:tcBorders>
              <w:top w:val="nil"/>
              <w:left w:val="nil"/>
              <w:bottom w:val="single" w:sz="4" w:space="0" w:color="auto"/>
              <w:right w:val="single" w:sz="4" w:space="0" w:color="auto"/>
            </w:tcBorders>
            <w:vAlign w:val="center"/>
            <w:hideMark/>
          </w:tcPr>
          <w:p w14:paraId="30E410F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730</w:t>
            </w:r>
          </w:p>
        </w:tc>
        <w:tc>
          <w:tcPr>
            <w:tcW w:w="1016" w:type="dxa"/>
            <w:tcBorders>
              <w:top w:val="nil"/>
              <w:left w:val="nil"/>
              <w:bottom w:val="single" w:sz="4" w:space="0" w:color="auto"/>
              <w:right w:val="single" w:sz="4" w:space="0" w:color="auto"/>
            </w:tcBorders>
            <w:vAlign w:val="center"/>
            <w:hideMark/>
          </w:tcPr>
          <w:p w14:paraId="386B019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1132</w:t>
            </w:r>
          </w:p>
        </w:tc>
        <w:tc>
          <w:tcPr>
            <w:tcW w:w="572" w:type="dxa"/>
            <w:tcBorders>
              <w:top w:val="nil"/>
              <w:left w:val="nil"/>
              <w:bottom w:val="single" w:sz="4" w:space="0" w:color="auto"/>
              <w:right w:val="single" w:sz="4" w:space="0" w:color="auto"/>
            </w:tcBorders>
            <w:vAlign w:val="center"/>
            <w:hideMark/>
          </w:tcPr>
          <w:p w14:paraId="7C29948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6233536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6614AE4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1000</w:t>
            </w:r>
          </w:p>
        </w:tc>
        <w:tc>
          <w:tcPr>
            <w:tcW w:w="1016" w:type="dxa"/>
            <w:tcBorders>
              <w:top w:val="nil"/>
              <w:left w:val="nil"/>
              <w:bottom w:val="single" w:sz="4" w:space="0" w:color="auto"/>
              <w:right w:val="single" w:sz="4" w:space="0" w:color="auto"/>
            </w:tcBorders>
            <w:vAlign w:val="center"/>
            <w:hideMark/>
          </w:tcPr>
          <w:p w14:paraId="426DC0C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1551</w:t>
            </w:r>
          </w:p>
        </w:tc>
        <w:tc>
          <w:tcPr>
            <w:tcW w:w="572" w:type="dxa"/>
            <w:gridSpan w:val="2"/>
            <w:tcBorders>
              <w:top w:val="single" w:sz="4" w:space="0" w:color="auto"/>
              <w:left w:val="nil"/>
              <w:bottom w:val="single" w:sz="4" w:space="0" w:color="auto"/>
              <w:right w:val="single" w:sz="4" w:space="0" w:color="auto"/>
            </w:tcBorders>
            <w:vAlign w:val="center"/>
            <w:hideMark/>
          </w:tcPr>
          <w:p w14:paraId="0789E2A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1000</w:t>
            </w:r>
          </w:p>
        </w:tc>
        <w:tc>
          <w:tcPr>
            <w:tcW w:w="1016" w:type="dxa"/>
            <w:tcBorders>
              <w:top w:val="nil"/>
              <w:left w:val="nil"/>
              <w:bottom w:val="single" w:sz="4" w:space="0" w:color="auto"/>
              <w:right w:val="single" w:sz="4" w:space="0" w:color="auto"/>
            </w:tcBorders>
            <w:vAlign w:val="center"/>
            <w:hideMark/>
          </w:tcPr>
          <w:p w14:paraId="4FC9996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1551</w:t>
            </w:r>
          </w:p>
        </w:tc>
        <w:tc>
          <w:tcPr>
            <w:tcW w:w="572" w:type="dxa"/>
            <w:tcBorders>
              <w:top w:val="single" w:sz="4" w:space="0" w:color="auto"/>
              <w:left w:val="nil"/>
              <w:bottom w:val="single" w:sz="4" w:space="0" w:color="auto"/>
              <w:right w:val="single" w:sz="4" w:space="0" w:color="000000"/>
            </w:tcBorders>
            <w:vAlign w:val="center"/>
            <w:hideMark/>
          </w:tcPr>
          <w:p w14:paraId="040FEC9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1150</w:t>
            </w:r>
          </w:p>
        </w:tc>
        <w:tc>
          <w:tcPr>
            <w:tcW w:w="1016" w:type="dxa"/>
            <w:tcBorders>
              <w:top w:val="nil"/>
              <w:left w:val="nil"/>
              <w:bottom w:val="single" w:sz="4" w:space="0" w:color="auto"/>
              <w:right w:val="single" w:sz="4" w:space="0" w:color="auto"/>
            </w:tcBorders>
            <w:vAlign w:val="center"/>
            <w:hideMark/>
          </w:tcPr>
          <w:p w14:paraId="71F4890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1784</w:t>
            </w:r>
          </w:p>
        </w:tc>
      </w:tr>
      <w:tr w:rsidR="00153234" w:rsidRPr="00C91716" w14:paraId="2ABA4D26"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4C0B7E8C"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5. Goa</w:t>
            </w:r>
          </w:p>
        </w:tc>
        <w:tc>
          <w:tcPr>
            <w:tcW w:w="572" w:type="dxa"/>
            <w:tcBorders>
              <w:top w:val="nil"/>
              <w:left w:val="nil"/>
              <w:bottom w:val="single" w:sz="4" w:space="0" w:color="auto"/>
              <w:right w:val="single" w:sz="4" w:space="0" w:color="auto"/>
            </w:tcBorders>
            <w:vAlign w:val="center"/>
            <w:hideMark/>
          </w:tcPr>
          <w:p w14:paraId="70028BC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2CB9907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65E6DA3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1320</w:t>
            </w:r>
          </w:p>
        </w:tc>
        <w:tc>
          <w:tcPr>
            <w:tcW w:w="1016" w:type="dxa"/>
            <w:tcBorders>
              <w:top w:val="nil"/>
              <w:left w:val="nil"/>
              <w:bottom w:val="single" w:sz="4" w:space="0" w:color="auto"/>
              <w:right w:val="single" w:sz="4" w:space="0" w:color="auto"/>
            </w:tcBorders>
            <w:vAlign w:val="center"/>
            <w:hideMark/>
          </w:tcPr>
          <w:p w14:paraId="644FA09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1320</w:t>
            </w:r>
          </w:p>
        </w:tc>
        <w:tc>
          <w:tcPr>
            <w:tcW w:w="572" w:type="dxa"/>
            <w:tcBorders>
              <w:top w:val="nil"/>
              <w:left w:val="nil"/>
              <w:bottom w:val="single" w:sz="4" w:space="0" w:color="auto"/>
              <w:right w:val="single" w:sz="4" w:space="0" w:color="auto"/>
            </w:tcBorders>
            <w:vAlign w:val="center"/>
            <w:hideMark/>
          </w:tcPr>
          <w:p w14:paraId="5DD19F4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1016" w:type="dxa"/>
            <w:tcBorders>
              <w:top w:val="nil"/>
              <w:left w:val="nil"/>
              <w:bottom w:val="single" w:sz="4" w:space="0" w:color="auto"/>
              <w:right w:val="single" w:sz="4" w:space="0" w:color="auto"/>
            </w:tcBorders>
            <w:vAlign w:val="center"/>
            <w:hideMark/>
          </w:tcPr>
          <w:p w14:paraId="4DD8EE8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572" w:type="dxa"/>
            <w:tcBorders>
              <w:top w:val="nil"/>
              <w:left w:val="nil"/>
              <w:bottom w:val="single" w:sz="4" w:space="0" w:color="auto"/>
              <w:right w:val="single" w:sz="4" w:space="0" w:color="auto"/>
            </w:tcBorders>
            <w:vAlign w:val="center"/>
            <w:hideMark/>
          </w:tcPr>
          <w:p w14:paraId="16440C5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4B9AF24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124E356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5D62E06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35475CD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0DC11E9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single" w:sz="4" w:space="0" w:color="auto"/>
              <w:left w:val="nil"/>
              <w:bottom w:val="single" w:sz="4" w:space="0" w:color="auto"/>
              <w:right w:val="single" w:sz="4" w:space="0" w:color="auto"/>
            </w:tcBorders>
            <w:vAlign w:val="center"/>
            <w:hideMark/>
          </w:tcPr>
          <w:p w14:paraId="44BE433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52258B1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0554EF3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26698A8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000000"/>
            </w:tcBorders>
            <w:vAlign w:val="center"/>
            <w:hideMark/>
          </w:tcPr>
          <w:p w14:paraId="39F4922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7697704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0F9987D5"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482E750F"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6. Gujarat</w:t>
            </w:r>
          </w:p>
        </w:tc>
        <w:tc>
          <w:tcPr>
            <w:tcW w:w="572" w:type="dxa"/>
            <w:tcBorders>
              <w:top w:val="nil"/>
              <w:left w:val="nil"/>
              <w:bottom w:val="single" w:sz="4" w:space="0" w:color="auto"/>
              <w:right w:val="single" w:sz="4" w:space="0" w:color="auto"/>
            </w:tcBorders>
            <w:vAlign w:val="center"/>
            <w:hideMark/>
          </w:tcPr>
          <w:p w14:paraId="394D9A8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712D7A2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78B490A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421DFFA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13E5914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6903CC1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51B9E3D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6366027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5B78C5B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4346432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572" w:type="dxa"/>
            <w:tcBorders>
              <w:top w:val="nil"/>
              <w:left w:val="nil"/>
              <w:bottom w:val="single" w:sz="4" w:space="0" w:color="auto"/>
              <w:right w:val="single" w:sz="4" w:space="0" w:color="auto"/>
            </w:tcBorders>
            <w:vAlign w:val="center"/>
            <w:hideMark/>
          </w:tcPr>
          <w:p w14:paraId="798A9C5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559D5EE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auto"/>
            </w:tcBorders>
            <w:vAlign w:val="center"/>
            <w:hideMark/>
          </w:tcPr>
          <w:p w14:paraId="114F53F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2B55B2A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gridSpan w:val="2"/>
            <w:tcBorders>
              <w:top w:val="single" w:sz="4" w:space="0" w:color="auto"/>
              <w:left w:val="nil"/>
              <w:bottom w:val="single" w:sz="4" w:space="0" w:color="auto"/>
              <w:right w:val="single" w:sz="4" w:space="0" w:color="auto"/>
            </w:tcBorders>
            <w:vAlign w:val="center"/>
            <w:hideMark/>
          </w:tcPr>
          <w:p w14:paraId="11B29A4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0BD5CD8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572" w:type="dxa"/>
            <w:tcBorders>
              <w:top w:val="single" w:sz="4" w:space="0" w:color="auto"/>
              <w:left w:val="nil"/>
              <w:bottom w:val="single" w:sz="4" w:space="0" w:color="auto"/>
              <w:right w:val="single" w:sz="4" w:space="0" w:color="000000"/>
            </w:tcBorders>
            <w:vAlign w:val="center"/>
            <w:hideMark/>
          </w:tcPr>
          <w:p w14:paraId="243A297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6656161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71A07D82"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0FFCC14F"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7. Haryana</w:t>
            </w:r>
          </w:p>
        </w:tc>
        <w:tc>
          <w:tcPr>
            <w:tcW w:w="572" w:type="dxa"/>
            <w:tcBorders>
              <w:top w:val="nil"/>
              <w:left w:val="nil"/>
              <w:bottom w:val="single" w:sz="4" w:space="0" w:color="auto"/>
              <w:right w:val="single" w:sz="4" w:space="0" w:color="auto"/>
            </w:tcBorders>
            <w:vAlign w:val="center"/>
            <w:hideMark/>
          </w:tcPr>
          <w:p w14:paraId="6E90BFC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4219109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569EB47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217F29B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2670AA4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1016" w:type="dxa"/>
            <w:tcBorders>
              <w:top w:val="nil"/>
              <w:left w:val="nil"/>
              <w:bottom w:val="single" w:sz="4" w:space="0" w:color="auto"/>
              <w:right w:val="single" w:sz="4" w:space="0" w:color="auto"/>
            </w:tcBorders>
            <w:vAlign w:val="center"/>
            <w:hideMark/>
          </w:tcPr>
          <w:p w14:paraId="4B401F6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572" w:type="dxa"/>
            <w:tcBorders>
              <w:top w:val="nil"/>
              <w:left w:val="nil"/>
              <w:bottom w:val="single" w:sz="4" w:space="0" w:color="auto"/>
              <w:right w:val="single" w:sz="4" w:space="0" w:color="auto"/>
            </w:tcBorders>
            <w:vAlign w:val="center"/>
            <w:hideMark/>
          </w:tcPr>
          <w:p w14:paraId="7600CD0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17C6DBB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42E6CDD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2B74C32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39703CB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21D4ED4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auto"/>
            </w:tcBorders>
            <w:vAlign w:val="center"/>
            <w:hideMark/>
          </w:tcPr>
          <w:p w14:paraId="009F7F4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01E1BEE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4C645E2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417E090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000000"/>
            </w:tcBorders>
            <w:vAlign w:val="center"/>
            <w:hideMark/>
          </w:tcPr>
          <w:p w14:paraId="1B2C210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3000</w:t>
            </w:r>
          </w:p>
        </w:tc>
        <w:tc>
          <w:tcPr>
            <w:tcW w:w="1016" w:type="dxa"/>
            <w:tcBorders>
              <w:top w:val="nil"/>
              <w:left w:val="nil"/>
              <w:bottom w:val="single" w:sz="4" w:space="0" w:color="auto"/>
              <w:right w:val="single" w:sz="4" w:space="0" w:color="auto"/>
            </w:tcBorders>
            <w:vAlign w:val="center"/>
            <w:hideMark/>
          </w:tcPr>
          <w:p w14:paraId="06FB4C0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3000</w:t>
            </w:r>
          </w:p>
        </w:tc>
      </w:tr>
      <w:tr w:rsidR="00153234" w:rsidRPr="00C91716" w14:paraId="0E2B5D12"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34FBE3AE"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8. Himachal Pradesh</w:t>
            </w:r>
          </w:p>
        </w:tc>
        <w:tc>
          <w:tcPr>
            <w:tcW w:w="572" w:type="dxa"/>
            <w:tcBorders>
              <w:top w:val="nil"/>
              <w:left w:val="nil"/>
              <w:bottom w:val="single" w:sz="4" w:space="0" w:color="auto"/>
              <w:right w:val="single" w:sz="4" w:space="0" w:color="auto"/>
            </w:tcBorders>
            <w:vAlign w:val="center"/>
            <w:hideMark/>
          </w:tcPr>
          <w:p w14:paraId="3E5A630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2C94DA3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6583E99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10A5F50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572" w:type="dxa"/>
            <w:tcBorders>
              <w:top w:val="nil"/>
              <w:left w:val="nil"/>
              <w:bottom w:val="single" w:sz="4" w:space="0" w:color="auto"/>
              <w:right w:val="single" w:sz="4" w:space="0" w:color="auto"/>
            </w:tcBorders>
            <w:vAlign w:val="center"/>
            <w:hideMark/>
          </w:tcPr>
          <w:p w14:paraId="49B5712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50C2785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4F8FDB5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5CDEF08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6FBF176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1500</w:t>
            </w:r>
          </w:p>
        </w:tc>
        <w:tc>
          <w:tcPr>
            <w:tcW w:w="1016" w:type="dxa"/>
            <w:tcBorders>
              <w:top w:val="nil"/>
              <w:left w:val="nil"/>
              <w:bottom w:val="single" w:sz="4" w:space="0" w:color="auto"/>
              <w:right w:val="single" w:sz="4" w:space="0" w:color="auto"/>
            </w:tcBorders>
            <w:vAlign w:val="center"/>
            <w:hideMark/>
          </w:tcPr>
          <w:p w14:paraId="10F2B85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1500</w:t>
            </w:r>
          </w:p>
        </w:tc>
        <w:tc>
          <w:tcPr>
            <w:tcW w:w="572" w:type="dxa"/>
            <w:tcBorders>
              <w:top w:val="nil"/>
              <w:left w:val="nil"/>
              <w:bottom w:val="single" w:sz="4" w:space="0" w:color="auto"/>
              <w:right w:val="single" w:sz="4" w:space="0" w:color="auto"/>
            </w:tcBorders>
            <w:vAlign w:val="center"/>
            <w:hideMark/>
          </w:tcPr>
          <w:p w14:paraId="4A97CD1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3CA37DC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auto"/>
            </w:tcBorders>
            <w:vAlign w:val="center"/>
            <w:hideMark/>
          </w:tcPr>
          <w:p w14:paraId="671D7C1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712E195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572" w:type="dxa"/>
            <w:gridSpan w:val="2"/>
            <w:tcBorders>
              <w:top w:val="single" w:sz="4" w:space="0" w:color="auto"/>
              <w:left w:val="nil"/>
              <w:bottom w:val="single" w:sz="4" w:space="0" w:color="auto"/>
              <w:right w:val="single" w:sz="4" w:space="0" w:color="auto"/>
            </w:tcBorders>
            <w:vAlign w:val="center"/>
            <w:hideMark/>
          </w:tcPr>
          <w:p w14:paraId="108E945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48DDABF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572" w:type="dxa"/>
            <w:tcBorders>
              <w:top w:val="single" w:sz="4" w:space="0" w:color="auto"/>
              <w:left w:val="nil"/>
              <w:bottom w:val="single" w:sz="4" w:space="0" w:color="auto"/>
              <w:right w:val="single" w:sz="4" w:space="0" w:color="000000"/>
            </w:tcBorders>
            <w:vAlign w:val="center"/>
            <w:hideMark/>
          </w:tcPr>
          <w:p w14:paraId="7B1A0A5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310B00D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7DB14AEE"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309E3AC8"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9. Jammu and Kashmir</w:t>
            </w:r>
          </w:p>
        </w:tc>
        <w:tc>
          <w:tcPr>
            <w:tcW w:w="572" w:type="dxa"/>
            <w:tcBorders>
              <w:top w:val="nil"/>
              <w:left w:val="nil"/>
              <w:bottom w:val="single" w:sz="4" w:space="0" w:color="auto"/>
              <w:right w:val="single" w:sz="4" w:space="0" w:color="auto"/>
            </w:tcBorders>
            <w:vAlign w:val="center"/>
            <w:hideMark/>
          </w:tcPr>
          <w:p w14:paraId="4141C9D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960</w:t>
            </w:r>
          </w:p>
        </w:tc>
        <w:tc>
          <w:tcPr>
            <w:tcW w:w="1016" w:type="dxa"/>
            <w:tcBorders>
              <w:top w:val="nil"/>
              <w:left w:val="nil"/>
              <w:bottom w:val="single" w:sz="4" w:space="0" w:color="auto"/>
              <w:right w:val="single" w:sz="4" w:space="0" w:color="auto"/>
            </w:tcBorders>
            <w:vAlign w:val="center"/>
            <w:hideMark/>
          </w:tcPr>
          <w:p w14:paraId="13E85BD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960</w:t>
            </w:r>
          </w:p>
        </w:tc>
        <w:tc>
          <w:tcPr>
            <w:tcW w:w="572" w:type="dxa"/>
            <w:tcBorders>
              <w:top w:val="nil"/>
              <w:left w:val="nil"/>
              <w:bottom w:val="single" w:sz="4" w:space="0" w:color="auto"/>
              <w:right w:val="single" w:sz="4" w:space="0" w:color="auto"/>
            </w:tcBorders>
            <w:vAlign w:val="center"/>
            <w:hideMark/>
          </w:tcPr>
          <w:p w14:paraId="5418768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1150</w:t>
            </w:r>
          </w:p>
        </w:tc>
        <w:tc>
          <w:tcPr>
            <w:tcW w:w="1016" w:type="dxa"/>
            <w:tcBorders>
              <w:top w:val="nil"/>
              <w:left w:val="nil"/>
              <w:bottom w:val="single" w:sz="4" w:space="0" w:color="auto"/>
              <w:right w:val="single" w:sz="4" w:space="0" w:color="auto"/>
            </w:tcBorders>
            <w:vAlign w:val="center"/>
            <w:hideMark/>
          </w:tcPr>
          <w:p w14:paraId="498761E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1150</w:t>
            </w:r>
          </w:p>
        </w:tc>
        <w:tc>
          <w:tcPr>
            <w:tcW w:w="572" w:type="dxa"/>
            <w:tcBorders>
              <w:top w:val="nil"/>
              <w:left w:val="nil"/>
              <w:bottom w:val="single" w:sz="4" w:space="0" w:color="auto"/>
              <w:right w:val="single" w:sz="4" w:space="0" w:color="auto"/>
            </w:tcBorders>
            <w:vAlign w:val="center"/>
            <w:hideMark/>
          </w:tcPr>
          <w:p w14:paraId="69C3740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1550</w:t>
            </w:r>
          </w:p>
        </w:tc>
        <w:tc>
          <w:tcPr>
            <w:tcW w:w="1016" w:type="dxa"/>
            <w:tcBorders>
              <w:top w:val="nil"/>
              <w:left w:val="nil"/>
              <w:bottom w:val="single" w:sz="4" w:space="0" w:color="auto"/>
              <w:right w:val="single" w:sz="4" w:space="0" w:color="auto"/>
            </w:tcBorders>
            <w:vAlign w:val="center"/>
            <w:hideMark/>
          </w:tcPr>
          <w:p w14:paraId="0A46B7E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1550</w:t>
            </w:r>
          </w:p>
        </w:tc>
        <w:tc>
          <w:tcPr>
            <w:tcW w:w="572" w:type="dxa"/>
            <w:tcBorders>
              <w:top w:val="nil"/>
              <w:left w:val="nil"/>
              <w:bottom w:val="single" w:sz="4" w:space="0" w:color="auto"/>
              <w:right w:val="single" w:sz="4" w:space="0" w:color="auto"/>
            </w:tcBorders>
            <w:vAlign w:val="center"/>
            <w:hideMark/>
          </w:tcPr>
          <w:p w14:paraId="560951A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1650</w:t>
            </w:r>
          </w:p>
        </w:tc>
        <w:tc>
          <w:tcPr>
            <w:tcW w:w="1016" w:type="dxa"/>
            <w:tcBorders>
              <w:top w:val="nil"/>
              <w:left w:val="nil"/>
              <w:bottom w:val="single" w:sz="4" w:space="0" w:color="auto"/>
              <w:right w:val="single" w:sz="4" w:space="0" w:color="auto"/>
            </w:tcBorders>
            <w:vAlign w:val="center"/>
            <w:hideMark/>
          </w:tcPr>
          <w:p w14:paraId="3E8EA43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1650</w:t>
            </w:r>
          </w:p>
        </w:tc>
        <w:tc>
          <w:tcPr>
            <w:tcW w:w="572" w:type="dxa"/>
            <w:tcBorders>
              <w:top w:val="nil"/>
              <w:left w:val="nil"/>
              <w:bottom w:val="single" w:sz="4" w:space="0" w:color="auto"/>
              <w:right w:val="single" w:sz="4" w:space="0" w:color="auto"/>
            </w:tcBorders>
            <w:vAlign w:val="center"/>
            <w:hideMark/>
          </w:tcPr>
          <w:p w14:paraId="013E104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1550</w:t>
            </w:r>
          </w:p>
        </w:tc>
        <w:tc>
          <w:tcPr>
            <w:tcW w:w="1016" w:type="dxa"/>
            <w:tcBorders>
              <w:top w:val="nil"/>
              <w:left w:val="nil"/>
              <w:bottom w:val="single" w:sz="4" w:space="0" w:color="auto"/>
              <w:right w:val="single" w:sz="4" w:space="0" w:color="auto"/>
            </w:tcBorders>
            <w:vAlign w:val="center"/>
            <w:hideMark/>
          </w:tcPr>
          <w:p w14:paraId="4502F57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1550</w:t>
            </w:r>
          </w:p>
        </w:tc>
        <w:tc>
          <w:tcPr>
            <w:tcW w:w="572" w:type="dxa"/>
            <w:tcBorders>
              <w:top w:val="nil"/>
              <w:left w:val="nil"/>
              <w:bottom w:val="single" w:sz="4" w:space="0" w:color="auto"/>
              <w:right w:val="single" w:sz="4" w:space="0" w:color="auto"/>
            </w:tcBorders>
            <w:vAlign w:val="center"/>
            <w:hideMark/>
          </w:tcPr>
          <w:p w14:paraId="1D8EC9B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c>
          <w:tcPr>
            <w:tcW w:w="1016" w:type="dxa"/>
            <w:tcBorders>
              <w:top w:val="nil"/>
              <w:left w:val="nil"/>
              <w:bottom w:val="single" w:sz="4" w:space="0" w:color="auto"/>
              <w:right w:val="single" w:sz="4" w:space="0" w:color="auto"/>
            </w:tcBorders>
            <w:vAlign w:val="center"/>
            <w:hideMark/>
          </w:tcPr>
          <w:p w14:paraId="09DE4D3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c>
          <w:tcPr>
            <w:tcW w:w="572" w:type="dxa"/>
            <w:tcBorders>
              <w:top w:val="single" w:sz="4" w:space="0" w:color="auto"/>
              <w:left w:val="nil"/>
              <w:bottom w:val="single" w:sz="4" w:space="0" w:color="auto"/>
              <w:right w:val="single" w:sz="4" w:space="0" w:color="auto"/>
            </w:tcBorders>
            <w:vAlign w:val="center"/>
            <w:hideMark/>
          </w:tcPr>
          <w:p w14:paraId="30455D5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7019F5E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2EFC1E2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2350</w:t>
            </w:r>
          </w:p>
        </w:tc>
        <w:tc>
          <w:tcPr>
            <w:tcW w:w="1016" w:type="dxa"/>
            <w:tcBorders>
              <w:top w:val="nil"/>
              <w:left w:val="nil"/>
              <w:bottom w:val="single" w:sz="4" w:space="0" w:color="auto"/>
              <w:right w:val="single" w:sz="4" w:space="0" w:color="auto"/>
            </w:tcBorders>
            <w:vAlign w:val="center"/>
            <w:hideMark/>
          </w:tcPr>
          <w:p w14:paraId="191C7EE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2350</w:t>
            </w:r>
          </w:p>
        </w:tc>
        <w:tc>
          <w:tcPr>
            <w:tcW w:w="572" w:type="dxa"/>
            <w:tcBorders>
              <w:top w:val="single" w:sz="4" w:space="0" w:color="auto"/>
              <w:left w:val="nil"/>
              <w:bottom w:val="single" w:sz="4" w:space="0" w:color="auto"/>
              <w:right w:val="single" w:sz="4" w:space="0" w:color="000000"/>
            </w:tcBorders>
            <w:vAlign w:val="center"/>
            <w:hideMark/>
          </w:tcPr>
          <w:p w14:paraId="753C3BA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c>
          <w:tcPr>
            <w:tcW w:w="1016" w:type="dxa"/>
            <w:tcBorders>
              <w:top w:val="nil"/>
              <w:left w:val="nil"/>
              <w:bottom w:val="single" w:sz="4" w:space="0" w:color="auto"/>
              <w:right w:val="single" w:sz="4" w:space="0" w:color="auto"/>
            </w:tcBorders>
            <w:vAlign w:val="center"/>
            <w:hideMark/>
          </w:tcPr>
          <w:p w14:paraId="22C86AA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r>
      <w:tr w:rsidR="00153234" w:rsidRPr="00C91716" w14:paraId="48B48B70"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159495BC"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10. Karnataka</w:t>
            </w:r>
          </w:p>
        </w:tc>
        <w:tc>
          <w:tcPr>
            <w:tcW w:w="572" w:type="dxa"/>
            <w:tcBorders>
              <w:top w:val="nil"/>
              <w:left w:val="nil"/>
              <w:bottom w:val="single" w:sz="4" w:space="0" w:color="auto"/>
              <w:right w:val="single" w:sz="4" w:space="0" w:color="auto"/>
            </w:tcBorders>
            <w:vAlign w:val="center"/>
            <w:hideMark/>
          </w:tcPr>
          <w:p w14:paraId="0040F7C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576E8D1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1347</w:t>
            </w:r>
          </w:p>
        </w:tc>
        <w:tc>
          <w:tcPr>
            <w:tcW w:w="572" w:type="dxa"/>
            <w:tcBorders>
              <w:top w:val="nil"/>
              <w:left w:val="nil"/>
              <w:bottom w:val="single" w:sz="4" w:space="0" w:color="auto"/>
              <w:right w:val="single" w:sz="4" w:space="0" w:color="auto"/>
            </w:tcBorders>
            <w:vAlign w:val="center"/>
            <w:hideMark/>
          </w:tcPr>
          <w:p w14:paraId="4728B37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1190</w:t>
            </w:r>
          </w:p>
        </w:tc>
        <w:tc>
          <w:tcPr>
            <w:tcW w:w="1016" w:type="dxa"/>
            <w:tcBorders>
              <w:top w:val="nil"/>
              <w:left w:val="nil"/>
              <w:bottom w:val="single" w:sz="4" w:space="0" w:color="auto"/>
              <w:right w:val="single" w:sz="4" w:space="0" w:color="auto"/>
            </w:tcBorders>
            <w:vAlign w:val="center"/>
            <w:hideMark/>
          </w:tcPr>
          <w:p w14:paraId="7F79658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1145</w:t>
            </w:r>
          </w:p>
        </w:tc>
        <w:tc>
          <w:tcPr>
            <w:tcW w:w="572" w:type="dxa"/>
            <w:tcBorders>
              <w:top w:val="nil"/>
              <w:left w:val="nil"/>
              <w:bottom w:val="single" w:sz="4" w:space="0" w:color="auto"/>
              <w:right w:val="single" w:sz="4" w:space="0" w:color="auto"/>
            </w:tcBorders>
            <w:vAlign w:val="center"/>
            <w:hideMark/>
          </w:tcPr>
          <w:p w14:paraId="6F388D3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1016" w:type="dxa"/>
            <w:tcBorders>
              <w:top w:val="nil"/>
              <w:left w:val="nil"/>
              <w:bottom w:val="single" w:sz="4" w:space="0" w:color="auto"/>
              <w:right w:val="single" w:sz="4" w:space="0" w:color="auto"/>
            </w:tcBorders>
            <w:vAlign w:val="center"/>
            <w:hideMark/>
          </w:tcPr>
          <w:p w14:paraId="678F229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1539</w:t>
            </w:r>
          </w:p>
        </w:tc>
        <w:tc>
          <w:tcPr>
            <w:tcW w:w="572" w:type="dxa"/>
            <w:tcBorders>
              <w:top w:val="nil"/>
              <w:left w:val="nil"/>
              <w:bottom w:val="single" w:sz="4" w:space="0" w:color="auto"/>
              <w:right w:val="single" w:sz="4" w:space="0" w:color="auto"/>
            </w:tcBorders>
            <w:vAlign w:val="center"/>
            <w:hideMark/>
          </w:tcPr>
          <w:p w14:paraId="792FEFE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3F14197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1347</w:t>
            </w:r>
          </w:p>
        </w:tc>
        <w:tc>
          <w:tcPr>
            <w:tcW w:w="572" w:type="dxa"/>
            <w:tcBorders>
              <w:top w:val="nil"/>
              <w:left w:val="nil"/>
              <w:bottom w:val="single" w:sz="4" w:space="0" w:color="auto"/>
              <w:right w:val="single" w:sz="4" w:space="0" w:color="auto"/>
            </w:tcBorders>
            <w:vAlign w:val="center"/>
            <w:hideMark/>
          </w:tcPr>
          <w:p w14:paraId="0122817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23CE714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1347</w:t>
            </w:r>
          </w:p>
        </w:tc>
        <w:tc>
          <w:tcPr>
            <w:tcW w:w="572" w:type="dxa"/>
            <w:tcBorders>
              <w:top w:val="nil"/>
              <w:left w:val="nil"/>
              <w:bottom w:val="single" w:sz="4" w:space="0" w:color="auto"/>
              <w:right w:val="single" w:sz="4" w:space="0" w:color="auto"/>
            </w:tcBorders>
            <w:vAlign w:val="center"/>
            <w:hideMark/>
          </w:tcPr>
          <w:p w14:paraId="41DC749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c>
          <w:tcPr>
            <w:tcW w:w="1016" w:type="dxa"/>
            <w:tcBorders>
              <w:top w:val="nil"/>
              <w:left w:val="nil"/>
              <w:bottom w:val="single" w:sz="4" w:space="0" w:color="auto"/>
              <w:right w:val="single" w:sz="4" w:space="0" w:color="auto"/>
            </w:tcBorders>
            <w:vAlign w:val="center"/>
            <w:hideMark/>
          </w:tcPr>
          <w:p w14:paraId="41722C0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1828</w:t>
            </w:r>
          </w:p>
        </w:tc>
        <w:tc>
          <w:tcPr>
            <w:tcW w:w="572" w:type="dxa"/>
            <w:tcBorders>
              <w:top w:val="single" w:sz="4" w:space="0" w:color="auto"/>
              <w:left w:val="nil"/>
              <w:bottom w:val="single" w:sz="4" w:space="0" w:color="auto"/>
              <w:right w:val="single" w:sz="4" w:space="0" w:color="auto"/>
            </w:tcBorders>
            <w:vAlign w:val="center"/>
            <w:hideMark/>
          </w:tcPr>
          <w:p w14:paraId="5410A05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1900</w:t>
            </w:r>
          </w:p>
        </w:tc>
        <w:tc>
          <w:tcPr>
            <w:tcW w:w="1016" w:type="dxa"/>
            <w:tcBorders>
              <w:top w:val="nil"/>
              <w:left w:val="nil"/>
              <w:bottom w:val="single" w:sz="4" w:space="0" w:color="auto"/>
              <w:right w:val="single" w:sz="4" w:space="0" w:color="auto"/>
            </w:tcBorders>
            <w:vAlign w:val="center"/>
            <w:hideMark/>
          </w:tcPr>
          <w:p w14:paraId="1CE3736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1828</w:t>
            </w:r>
          </w:p>
        </w:tc>
        <w:tc>
          <w:tcPr>
            <w:tcW w:w="572" w:type="dxa"/>
            <w:gridSpan w:val="2"/>
            <w:tcBorders>
              <w:top w:val="single" w:sz="4" w:space="0" w:color="auto"/>
              <w:left w:val="nil"/>
              <w:bottom w:val="single" w:sz="4" w:space="0" w:color="auto"/>
              <w:right w:val="single" w:sz="4" w:space="0" w:color="auto"/>
            </w:tcBorders>
            <w:vAlign w:val="center"/>
            <w:hideMark/>
          </w:tcPr>
          <w:p w14:paraId="5CD036A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3ACD698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2116</w:t>
            </w:r>
          </w:p>
        </w:tc>
        <w:tc>
          <w:tcPr>
            <w:tcW w:w="572" w:type="dxa"/>
            <w:tcBorders>
              <w:top w:val="single" w:sz="4" w:space="0" w:color="auto"/>
              <w:left w:val="nil"/>
              <w:bottom w:val="single" w:sz="4" w:space="0" w:color="auto"/>
              <w:right w:val="single" w:sz="4" w:space="0" w:color="000000"/>
            </w:tcBorders>
            <w:vAlign w:val="center"/>
            <w:hideMark/>
          </w:tcPr>
          <w:p w14:paraId="7556371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078D099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2116</w:t>
            </w:r>
          </w:p>
        </w:tc>
      </w:tr>
      <w:tr w:rsidR="00153234" w:rsidRPr="00C91716" w14:paraId="41AF491F"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51563562"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11. Kerala</w:t>
            </w:r>
          </w:p>
        </w:tc>
        <w:tc>
          <w:tcPr>
            <w:tcW w:w="572" w:type="dxa"/>
            <w:tcBorders>
              <w:top w:val="nil"/>
              <w:left w:val="nil"/>
              <w:bottom w:val="single" w:sz="4" w:space="0" w:color="auto"/>
              <w:right w:val="single" w:sz="4" w:space="0" w:color="auto"/>
            </w:tcBorders>
            <w:vAlign w:val="center"/>
            <w:hideMark/>
          </w:tcPr>
          <w:p w14:paraId="734AC77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780</w:t>
            </w:r>
          </w:p>
        </w:tc>
        <w:tc>
          <w:tcPr>
            <w:tcW w:w="1016" w:type="dxa"/>
            <w:tcBorders>
              <w:top w:val="nil"/>
              <w:left w:val="nil"/>
              <w:bottom w:val="single" w:sz="4" w:space="0" w:color="auto"/>
              <w:right w:val="single" w:sz="4" w:space="0" w:color="auto"/>
            </w:tcBorders>
            <w:vAlign w:val="center"/>
            <w:hideMark/>
          </w:tcPr>
          <w:p w14:paraId="16D227E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972</w:t>
            </w:r>
          </w:p>
        </w:tc>
        <w:tc>
          <w:tcPr>
            <w:tcW w:w="572" w:type="dxa"/>
            <w:tcBorders>
              <w:top w:val="nil"/>
              <w:left w:val="nil"/>
              <w:bottom w:val="single" w:sz="4" w:space="0" w:color="auto"/>
              <w:right w:val="single" w:sz="4" w:space="0" w:color="auto"/>
            </w:tcBorders>
            <w:vAlign w:val="center"/>
            <w:hideMark/>
          </w:tcPr>
          <w:p w14:paraId="1751611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825</w:t>
            </w:r>
          </w:p>
        </w:tc>
        <w:tc>
          <w:tcPr>
            <w:tcW w:w="1016" w:type="dxa"/>
            <w:tcBorders>
              <w:top w:val="nil"/>
              <w:left w:val="nil"/>
              <w:bottom w:val="single" w:sz="4" w:space="0" w:color="auto"/>
              <w:right w:val="single" w:sz="4" w:space="0" w:color="auto"/>
            </w:tcBorders>
            <w:vAlign w:val="center"/>
            <w:hideMark/>
          </w:tcPr>
          <w:p w14:paraId="2807AF7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1028</w:t>
            </w:r>
          </w:p>
        </w:tc>
        <w:tc>
          <w:tcPr>
            <w:tcW w:w="572" w:type="dxa"/>
            <w:tcBorders>
              <w:top w:val="nil"/>
              <w:left w:val="nil"/>
              <w:bottom w:val="single" w:sz="4" w:space="0" w:color="auto"/>
              <w:right w:val="single" w:sz="4" w:space="0" w:color="auto"/>
            </w:tcBorders>
            <w:vAlign w:val="center"/>
            <w:hideMark/>
          </w:tcPr>
          <w:p w14:paraId="49E238F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950</w:t>
            </w:r>
          </w:p>
        </w:tc>
        <w:tc>
          <w:tcPr>
            <w:tcW w:w="1016" w:type="dxa"/>
            <w:tcBorders>
              <w:top w:val="nil"/>
              <w:left w:val="nil"/>
              <w:bottom w:val="single" w:sz="4" w:space="0" w:color="auto"/>
              <w:right w:val="single" w:sz="4" w:space="0" w:color="auto"/>
            </w:tcBorders>
            <w:vAlign w:val="center"/>
            <w:hideMark/>
          </w:tcPr>
          <w:p w14:paraId="06B087C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1184</w:t>
            </w:r>
          </w:p>
        </w:tc>
        <w:tc>
          <w:tcPr>
            <w:tcW w:w="572" w:type="dxa"/>
            <w:tcBorders>
              <w:top w:val="nil"/>
              <w:left w:val="nil"/>
              <w:bottom w:val="single" w:sz="4" w:space="0" w:color="auto"/>
              <w:right w:val="single" w:sz="4" w:space="0" w:color="auto"/>
            </w:tcBorders>
            <w:vAlign w:val="center"/>
            <w:hideMark/>
          </w:tcPr>
          <w:p w14:paraId="3D5545D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825</w:t>
            </w:r>
          </w:p>
        </w:tc>
        <w:tc>
          <w:tcPr>
            <w:tcW w:w="1016" w:type="dxa"/>
            <w:tcBorders>
              <w:top w:val="nil"/>
              <w:left w:val="nil"/>
              <w:bottom w:val="single" w:sz="4" w:space="0" w:color="auto"/>
              <w:right w:val="single" w:sz="4" w:space="0" w:color="auto"/>
            </w:tcBorders>
            <w:vAlign w:val="center"/>
            <w:hideMark/>
          </w:tcPr>
          <w:p w14:paraId="0B65289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1028</w:t>
            </w:r>
          </w:p>
        </w:tc>
        <w:tc>
          <w:tcPr>
            <w:tcW w:w="572" w:type="dxa"/>
            <w:tcBorders>
              <w:top w:val="nil"/>
              <w:left w:val="nil"/>
              <w:bottom w:val="single" w:sz="4" w:space="0" w:color="auto"/>
              <w:right w:val="single" w:sz="4" w:space="0" w:color="auto"/>
            </w:tcBorders>
            <w:vAlign w:val="center"/>
            <w:hideMark/>
          </w:tcPr>
          <w:p w14:paraId="42D205E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780</w:t>
            </w:r>
          </w:p>
        </w:tc>
        <w:tc>
          <w:tcPr>
            <w:tcW w:w="1016" w:type="dxa"/>
            <w:tcBorders>
              <w:top w:val="nil"/>
              <w:left w:val="nil"/>
              <w:bottom w:val="single" w:sz="4" w:space="0" w:color="auto"/>
              <w:right w:val="single" w:sz="4" w:space="0" w:color="auto"/>
            </w:tcBorders>
            <w:vAlign w:val="center"/>
            <w:hideMark/>
          </w:tcPr>
          <w:p w14:paraId="0E38ACA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972</w:t>
            </w:r>
          </w:p>
        </w:tc>
        <w:tc>
          <w:tcPr>
            <w:tcW w:w="572" w:type="dxa"/>
            <w:tcBorders>
              <w:top w:val="nil"/>
              <w:left w:val="nil"/>
              <w:bottom w:val="single" w:sz="4" w:space="0" w:color="auto"/>
              <w:right w:val="single" w:sz="4" w:space="0" w:color="auto"/>
            </w:tcBorders>
            <w:vAlign w:val="center"/>
            <w:hideMark/>
          </w:tcPr>
          <w:p w14:paraId="2F45798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1100</w:t>
            </w:r>
          </w:p>
        </w:tc>
        <w:tc>
          <w:tcPr>
            <w:tcW w:w="1016" w:type="dxa"/>
            <w:tcBorders>
              <w:top w:val="nil"/>
              <w:left w:val="nil"/>
              <w:bottom w:val="single" w:sz="4" w:space="0" w:color="auto"/>
              <w:right w:val="single" w:sz="4" w:space="0" w:color="auto"/>
            </w:tcBorders>
            <w:vAlign w:val="center"/>
            <w:hideMark/>
          </w:tcPr>
          <w:p w14:paraId="17544CF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1370</w:t>
            </w:r>
          </w:p>
        </w:tc>
        <w:tc>
          <w:tcPr>
            <w:tcW w:w="572" w:type="dxa"/>
            <w:tcBorders>
              <w:top w:val="single" w:sz="4" w:space="0" w:color="auto"/>
              <w:left w:val="nil"/>
              <w:bottom w:val="single" w:sz="4" w:space="0" w:color="auto"/>
              <w:right w:val="single" w:sz="4" w:space="0" w:color="auto"/>
            </w:tcBorders>
            <w:vAlign w:val="center"/>
            <w:hideMark/>
          </w:tcPr>
          <w:p w14:paraId="1818A10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1050</w:t>
            </w:r>
          </w:p>
        </w:tc>
        <w:tc>
          <w:tcPr>
            <w:tcW w:w="1016" w:type="dxa"/>
            <w:tcBorders>
              <w:top w:val="nil"/>
              <w:left w:val="nil"/>
              <w:bottom w:val="single" w:sz="4" w:space="0" w:color="auto"/>
              <w:right w:val="single" w:sz="4" w:space="0" w:color="auto"/>
            </w:tcBorders>
            <w:vAlign w:val="center"/>
            <w:hideMark/>
          </w:tcPr>
          <w:p w14:paraId="03E65D7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1308</w:t>
            </w:r>
          </w:p>
        </w:tc>
        <w:tc>
          <w:tcPr>
            <w:tcW w:w="572" w:type="dxa"/>
            <w:gridSpan w:val="2"/>
            <w:tcBorders>
              <w:top w:val="single" w:sz="4" w:space="0" w:color="auto"/>
              <w:left w:val="nil"/>
              <w:bottom w:val="single" w:sz="4" w:space="0" w:color="auto"/>
              <w:right w:val="single" w:sz="4" w:space="0" w:color="auto"/>
            </w:tcBorders>
            <w:vAlign w:val="center"/>
            <w:hideMark/>
          </w:tcPr>
          <w:p w14:paraId="379C627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1500</w:t>
            </w:r>
          </w:p>
        </w:tc>
        <w:tc>
          <w:tcPr>
            <w:tcW w:w="1016" w:type="dxa"/>
            <w:tcBorders>
              <w:top w:val="nil"/>
              <w:left w:val="nil"/>
              <w:bottom w:val="single" w:sz="4" w:space="0" w:color="auto"/>
              <w:right w:val="single" w:sz="4" w:space="0" w:color="auto"/>
            </w:tcBorders>
            <w:vAlign w:val="center"/>
            <w:hideMark/>
          </w:tcPr>
          <w:p w14:paraId="057B417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1869</w:t>
            </w:r>
          </w:p>
        </w:tc>
        <w:tc>
          <w:tcPr>
            <w:tcW w:w="572" w:type="dxa"/>
            <w:tcBorders>
              <w:top w:val="single" w:sz="4" w:space="0" w:color="auto"/>
              <w:left w:val="nil"/>
              <w:bottom w:val="single" w:sz="4" w:space="0" w:color="auto"/>
              <w:right w:val="single" w:sz="4" w:space="0" w:color="000000"/>
            </w:tcBorders>
            <w:vAlign w:val="center"/>
            <w:hideMark/>
          </w:tcPr>
          <w:p w14:paraId="648AFC7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1150</w:t>
            </w:r>
          </w:p>
        </w:tc>
        <w:tc>
          <w:tcPr>
            <w:tcW w:w="1016" w:type="dxa"/>
            <w:tcBorders>
              <w:top w:val="nil"/>
              <w:left w:val="nil"/>
              <w:bottom w:val="single" w:sz="4" w:space="0" w:color="auto"/>
              <w:right w:val="single" w:sz="4" w:space="0" w:color="auto"/>
            </w:tcBorders>
            <w:vAlign w:val="center"/>
            <w:hideMark/>
          </w:tcPr>
          <w:p w14:paraId="4305698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1433</w:t>
            </w:r>
          </w:p>
        </w:tc>
      </w:tr>
      <w:tr w:rsidR="00153234" w:rsidRPr="00C91716" w14:paraId="295C4CB2"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7C95109C"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12. Madhya Pradesh</w:t>
            </w:r>
          </w:p>
        </w:tc>
        <w:tc>
          <w:tcPr>
            <w:tcW w:w="572" w:type="dxa"/>
            <w:tcBorders>
              <w:top w:val="nil"/>
              <w:left w:val="nil"/>
              <w:bottom w:val="single" w:sz="4" w:space="0" w:color="auto"/>
              <w:right w:val="single" w:sz="4" w:space="0" w:color="auto"/>
            </w:tcBorders>
            <w:vAlign w:val="center"/>
            <w:hideMark/>
          </w:tcPr>
          <w:p w14:paraId="7DAB358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1290</w:t>
            </w:r>
          </w:p>
        </w:tc>
        <w:tc>
          <w:tcPr>
            <w:tcW w:w="1016" w:type="dxa"/>
            <w:tcBorders>
              <w:top w:val="nil"/>
              <w:left w:val="nil"/>
              <w:bottom w:val="single" w:sz="4" w:space="0" w:color="auto"/>
              <w:right w:val="single" w:sz="4" w:space="0" w:color="auto"/>
            </w:tcBorders>
            <w:vAlign w:val="center"/>
            <w:hideMark/>
          </w:tcPr>
          <w:p w14:paraId="2C310B1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1290</w:t>
            </w:r>
          </w:p>
        </w:tc>
        <w:tc>
          <w:tcPr>
            <w:tcW w:w="572" w:type="dxa"/>
            <w:tcBorders>
              <w:top w:val="nil"/>
              <w:left w:val="nil"/>
              <w:bottom w:val="single" w:sz="4" w:space="0" w:color="auto"/>
              <w:right w:val="single" w:sz="4" w:space="0" w:color="auto"/>
            </w:tcBorders>
            <w:vAlign w:val="center"/>
            <w:hideMark/>
          </w:tcPr>
          <w:p w14:paraId="7083D1E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0C18E65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3248388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1290</w:t>
            </w:r>
          </w:p>
        </w:tc>
        <w:tc>
          <w:tcPr>
            <w:tcW w:w="1016" w:type="dxa"/>
            <w:tcBorders>
              <w:top w:val="nil"/>
              <w:left w:val="nil"/>
              <w:bottom w:val="single" w:sz="4" w:space="0" w:color="auto"/>
              <w:right w:val="single" w:sz="4" w:space="0" w:color="auto"/>
            </w:tcBorders>
            <w:vAlign w:val="center"/>
            <w:hideMark/>
          </w:tcPr>
          <w:p w14:paraId="17AE102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1290</w:t>
            </w:r>
          </w:p>
        </w:tc>
        <w:tc>
          <w:tcPr>
            <w:tcW w:w="572" w:type="dxa"/>
            <w:tcBorders>
              <w:top w:val="nil"/>
              <w:left w:val="nil"/>
              <w:bottom w:val="single" w:sz="4" w:space="0" w:color="auto"/>
              <w:right w:val="single" w:sz="4" w:space="0" w:color="auto"/>
            </w:tcBorders>
            <w:vAlign w:val="center"/>
            <w:hideMark/>
          </w:tcPr>
          <w:p w14:paraId="0BAE71F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1540</w:t>
            </w:r>
          </w:p>
        </w:tc>
        <w:tc>
          <w:tcPr>
            <w:tcW w:w="1016" w:type="dxa"/>
            <w:tcBorders>
              <w:top w:val="nil"/>
              <w:left w:val="nil"/>
              <w:bottom w:val="single" w:sz="4" w:space="0" w:color="auto"/>
              <w:right w:val="single" w:sz="4" w:space="0" w:color="auto"/>
            </w:tcBorders>
            <w:vAlign w:val="center"/>
            <w:hideMark/>
          </w:tcPr>
          <w:p w14:paraId="3E57341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1540</w:t>
            </w:r>
          </w:p>
        </w:tc>
        <w:tc>
          <w:tcPr>
            <w:tcW w:w="572" w:type="dxa"/>
            <w:tcBorders>
              <w:top w:val="nil"/>
              <w:left w:val="nil"/>
              <w:bottom w:val="single" w:sz="4" w:space="0" w:color="auto"/>
              <w:right w:val="single" w:sz="4" w:space="0" w:color="auto"/>
            </w:tcBorders>
            <w:vAlign w:val="center"/>
            <w:hideMark/>
          </w:tcPr>
          <w:p w14:paraId="327595D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64024A3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46E7375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1540</w:t>
            </w:r>
          </w:p>
        </w:tc>
        <w:tc>
          <w:tcPr>
            <w:tcW w:w="1016" w:type="dxa"/>
            <w:tcBorders>
              <w:top w:val="nil"/>
              <w:left w:val="nil"/>
              <w:bottom w:val="single" w:sz="4" w:space="0" w:color="auto"/>
              <w:right w:val="single" w:sz="4" w:space="0" w:color="auto"/>
            </w:tcBorders>
            <w:vAlign w:val="center"/>
            <w:hideMark/>
          </w:tcPr>
          <w:p w14:paraId="2F43DAE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1540</w:t>
            </w:r>
          </w:p>
        </w:tc>
        <w:tc>
          <w:tcPr>
            <w:tcW w:w="572" w:type="dxa"/>
            <w:tcBorders>
              <w:top w:val="single" w:sz="4" w:space="0" w:color="auto"/>
              <w:left w:val="nil"/>
              <w:bottom w:val="single" w:sz="4" w:space="0" w:color="auto"/>
              <w:right w:val="single" w:sz="4" w:space="0" w:color="auto"/>
            </w:tcBorders>
            <w:vAlign w:val="center"/>
            <w:hideMark/>
          </w:tcPr>
          <w:p w14:paraId="5930B96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1016" w:type="dxa"/>
            <w:tcBorders>
              <w:top w:val="nil"/>
              <w:left w:val="nil"/>
              <w:bottom w:val="single" w:sz="4" w:space="0" w:color="auto"/>
              <w:right w:val="single" w:sz="4" w:space="0" w:color="auto"/>
            </w:tcBorders>
            <w:vAlign w:val="center"/>
            <w:hideMark/>
          </w:tcPr>
          <w:p w14:paraId="3D44E80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572" w:type="dxa"/>
            <w:gridSpan w:val="2"/>
            <w:tcBorders>
              <w:top w:val="single" w:sz="4" w:space="0" w:color="auto"/>
              <w:left w:val="nil"/>
              <w:bottom w:val="single" w:sz="4" w:space="0" w:color="auto"/>
              <w:right w:val="single" w:sz="4" w:space="0" w:color="auto"/>
            </w:tcBorders>
            <w:vAlign w:val="center"/>
            <w:hideMark/>
          </w:tcPr>
          <w:p w14:paraId="17861EF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1016" w:type="dxa"/>
            <w:tcBorders>
              <w:top w:val="nil"/>
              <w:left w:val="nil"/>
              <w:bottom w:val="single" w:sz="4" w:space="0" w:color="auto"/>
              <w:right w:val="single" w:sz="4" w:space="0" w:color="auto"/>
            </w:tcBorders>
            <w:vAlign w:val="center"/>
            <w:hideMark/>
          </w:tcPr>
          <w:p w14:paraId="0F5E11E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572" w:type="dxa"/>
            <w:tcBorders>
              <w:top w:val="single" w:sz="4" w:space="0" w:color="auto"/>
              <w:left w:val="nil"/>
              <w:bottom w:val="single" w:sz="4" w:space="0" w:color="auto"/>
              <w:right w:val="single" w:sz="4" w:space="0" w:color="000000"/>
            </w:tcBorders>
            <w:vAlign w:val="center"/>
            <w:hideMark/>
          </w:tcPr>
          <w:p w14:paraId="26E21C5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1016" w:type="dxa"/>
            <w:tcBorders>
              <w:top w:val="nil"/>
              <w:left w:val="nil"/>
              <w:bottom w:val="single" w:sz="4" w:space="0" w:color="auto"/>
              <w:right w:val="single" w:sz="4" w:space="0" w:color="auto"/>
            </w:tcBorders>
            <w:vAlign w:val="center"/>
            <w:hideMark/>
          </w:tcPr>
          <w:p w14:paraId="4B6629B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r>
      <w:tr w:rsidR="00153234" w:rsidRPr="00C91716" w14:paraId="03FCA3D4"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54F70701"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13. Maharashtra</w:t>
            </w:r>
          </w:p>
        </w:tc>
        <w:tc>
          <w:tcPr>
            <w:tcW w:w="572" w:type="dxa"/>
            <w:tcBorders>
              <w:top w:val="nil"/>
              <w:left w:val="nil"/>
              <w:bottom w:val="single" w:sz="4" w:space="0" w:color="auto"/>
              <w:right w:val="single" w:sz="4" w:space="0" w:color="auto"/>
            </w:tcBorders>
            <w:vAlign w:val="center"/>
            <w:hideMark/>
          </w:tcPr>
          <w:p w14:paraId="23D4900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2CA5134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53E1B5B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1504A09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6D91B7C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0A43BE2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63E2EA5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13459F7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710476F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5354EBE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7BEAAE4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752D67F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auto"/>
            </w:tcBorders>
            <w:vAlign w:val="center"/>
            <w:hideMark/>
          </w:tcPr>
          <w:p w14:paraId="69FB086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5E7D8FB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11FF197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0281276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572" w:type="dxa"/>
            <w:tcBorders>
              <w:top w:val="single" w:sz="4" w:space="0" w:color="auto"/>
              <w:left w:val="nil"/>
              <w:bottom w:val="single" w:sz="4" w:space="0" w:color="auto"/>
              <w:right w:val="single" w:sz="4" w:space="0" w:color="000000"/>
            </w:tcBorders>
            <w:vAlign w:val="center"/>
            <w:hideMark/>
          </w:tcPr>
          <w:p w14:paraId="2FD24CB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31D6440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16DCD45F"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0E25A2FB"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14. Manipur</w:t>
            </w:r>
          </w:p>
        </w:tc>
        <w:tc>
          <w:tcPr>
            <w:tcW w:w="572" w:type="dxa"/>
            <w:tcBorders>
              <w:top w:val="nil"/>
              <w:left w:val="nil"/>
              <w:bottom w:val="single" w:sz="4" w:space="0" w:color="auto"/>
              <w:right w:val="single" w:sz="4" w:space="0" w:color="auto"/>
            </w:tcBorders>
            <w:vAlign w:val="center"/>
            <w:hideMark/>
          </w:tcPr>
          <w:p w14:paraId="54EA3C0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390E491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572" w:type="dxa"/>
            <w:tcBorders>
              <w:top w:val="nil"/>
              <w:left w:val="nil"/>
              <w:bottom w:val="single" w:sz="4" w:space="0" w:color="auto"/>
              <w:right w:val="single" w:sz="4" w:space="0" w:color="auto"/>
            </w:tcBorders>
            <w:vAlign w:val="center"/>
            <w:hideMark/>
          </w:tcPr>
          <w:p w14:paraId="7415C73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0287C7F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2E0E4F4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1016" w:type="dxa"/>
            <w:tcBorders>
              <w:top w:val="nil"/>
              <w:left w:val="nil"/>
              <w:bottom w:val="single" w:sz="4" w:space="0" w:color="auto"/>
              <w:right w:val="single" w:sz="4" w:space="0" w:color="auto"/>
            </w:tcBorders>
            <w:vAlign w:val="center"/>
            <w:hideMark/>
          </w:tcPr>
          <w:p w14:paraId="760431C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1600</w:t>
            </w:r>
          </w:p>
        </w:tc>
        <w:tc>
          <w:tcPr>
            <w:tcW w:w="572" w:type="dxa"/>
            <w:tcBorders>
              <w:top w:val="nil"/>
              <w:left w:val="nil"/>
              <w:bottom w:val="single" w:sz="4" w:space="0" w:color="auto"/>
              <w:right w:val="single" w:sz="4" w:space="0" w:color="auto"/>
            </w:tcBorders>
            <w:vAlign w:val="center"/>
            <w:hideMark/>
          </w:tcPr>
          <w:p w14:paraId="19F5BD9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037702B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572" w:type="dxa"/>
            <w:tcBorders>
              <w:top w:val="nil"/>
              <w:left w:val="nil"/>
              <w:bottom w:val="single" w:sz="4" w:space="0" w:color="auto"/>
              <w:right w:val="single" w:sz="4" w:space="0" w:color="auto"/>
            </w:tcBorders>
            <w:vAlign w:val="center"/>
            <w:hideMark/>
          </w:tcPr>
          <w:p w14:paraId="07B06E3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1681FDB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13F024D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7EC2E6A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1617B9F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2745E0D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gridSpan w:val="2"/>
            <w:tcBorders>
              <w:top w:val="single" w:sz="4" w:space="0" w:color="auto"/>
              <w:left w:val="nil"/>
              <w:bottom w:val="single" w:sz="4" w:space="0" w:color="auto"/>
              <w:right w:val="single" w:sz="4" w:space="0" w:color="auto"/>
            </w:tcBorders>
            <w:vAlign w:val="center"/>
            <w:hideMark/>
          </w:tcPr>
          <w:p w14:paraId="3ECE929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15DA441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000000"/>
            </w:tcBorders>
            <w:vAlign w:val="center"/>
            <w:hideMark/>
          </w:tcPr>
          <w:p w14:paraId="7173A1D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7C1398E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r>
      <w:tr w:rsidR="00153234" w:rsidRPr="00C91716" w14:paraId="0F01B5F5"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30CBF1E4"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15. Meghalaya</w:t>
            </w:r>
          </w:p>
        </w:tc>
        <w:tc>
          <w:tcPr>
            <w:tcW w:w="572" w:type="dxa"/>
            <w:tcBorders>
              <w:top w:val="nil"/>
              <w:left w:val="nil"/>
              <w:bottom w:val="single" w:sz="4" w:space="0" w:color="auto"/>
              <w:right w:val="single" w:sz="4" w:space="0" w:color="auto"/>
            </w:tcBorders>
            <w:vAlign w:val="center"/>
            <w:hideMark/>
          </w:tcPr>
          <w:p w14:paraId="1B0B863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1700</w:t>
            </w:r>
          </w:p>
        </w:tc>
        <w:tc>
          <w:tcPr>
            <w:tcW w:w="1016" w:type="dxa"/>
            <w:tcBorders>
              <w:top w:val="nil"/>
              <w:left w:val="nil"/>
              <w:bottom w:val="single" w:sz="4" w:space="0" w:color="auto"/>
              <w:right w:val="single" w:sz="4" w:space="0" w:color="auto"/>
            </w:tcBorders>
            <w:vAlign w:val="center"/>
            <w:hideMark/>
          </w:tcPr>
          <w:p w14:paraId="2428529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1564</w:t>
            </w:r>
          </w:p>
        </w:tc>
        <w:tc>
          <w:tcPr>
            <w:tcW w:w="572" w:type="dxa"/>
            <w:tcBorders>
              <w:top w:val="nil"/>
              <w:left w:val="nil"/>
              <w:bottom w:val="single" w:sz="4" w:space="0" w:color="auto"/>
              <w:right w:val="single" w:sz="4" w:space="0" w:color="auto"/>
            </w:tcBorders>
            <w:vAlign w:val="center"/>
            <w:hideMark/>
          </w:tcPr>
          <w:p w14:paraId="39F4E1D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0289BCE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792150D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0E2767A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18BF715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1016" w:type="dxa"/>
            <w:tcBorders>
              <w:top w:val="nil"/>
              <w:left w:val="nil"/>
              <w:bottom w:val="single" w:sz="4" w:space="0" w:color="auto"/>
              <w:right w:val="single" w:sz="4" w:space="0" w:color="auto"/>
            </w:tcBorders>
            <w:vAlign w:val="center"/>
            <w:hideMark/>
          </w:tcPr>
          <w:p w14:paraId="036B048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1334</w:t>
            </w:r>
          </w:p>
        </w:tc>
        <w:tc>
          <w:tcPr>
            <w:tcW w:w="572" w:type="dxa"/>
            <w:tcBorders>
              <w:top w:val="nil"/>
              <w:left w:val="nil"/>
              <w:bottom w:val="single" w:sz="4" w:space="0" w:color="auto"/>
              <w:right w:val="single" w:sz="4" w:space="0" w:color="auto"/>
            </w:tcBorders>
            <w:vAlign w:val="center"/>
            <w:hideMark/>
          </w:tcPr>
          <w:p w14:paraId="3B984E5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1375</w:t>
            </w:r>
          </w:p>
        </w:tc>
        <w:tc>
          <w:tcPr>
            <w:tcW w:w="1016" w:type="dxa"/>
            <w:tcBorders>
              <w:top w:val="nil"/>
              <w:left w:val="nil"/>
              <w:bottom w:val="single" w:sz="4" w:space="0" w:color="auto"/>
              <w:right w:val="single" w:sz="4" w:space="0" w:color="auto"/>
            </w:tcBorders>
            <w:vAlign w:val="center"/>
            <w:hideMark/>
          </w:tcPr>
          <w:p w14:paraId="5D01F6A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1265</w:t>
            </w:r>
          </w:p>
        </w:tc>
        <w:tc>
          <w:tcPr>
            <w:tcW w:w="572" w:type="dxa"/>
            <w:tcBorders>
              <w:top w:val="nil"/>
              <w:left w:val="nil"/>
              <w:bottom w:val="single" w:sz="4" w:space="0" w:color="auto"/>
              <w:right w:val="single" w:sz="4" w:space="0" w:color="auto"/>
            </w:tcBorders>
            <w:vAlign w:val="center"/>
            <w:hideMark/>
          </w:tcPr>
          <w:p w14:paraId="2F616F5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47F844C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1A74462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1975</w:t>
            </w:r>
          </w:p>
        </w:tc>
        <w:tc>
          <w:tcPr>
            <w:tcW w:w="1016" w:type="dxa"/>
            <w:tcBorders>
              <w:top w:val="nil"/>
              <w:left w:val="nil"/>
              <w:bottom w:val="single" w:sz="4" w:space="0" w:color="auto"/>
              <w:right w:val="single" w:sz="4" w:space="0" w:color="auto"/>
            </w:tcBorders>
            <w:vAlign w:val="center"/>
            <w:hideMark/>
          </w:tcPr>
          <w:p w14:paraId="79B47CF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1817</w:t>
            </w:r>
          </w:p>
        </w:tc>
        <w:tc>
          <w:tcPr>
            <w:tcW w:w="572" w:type="dxa"/>
            <w:gridSpan w:val="2"/>
            <w:tcBorders>
              <w:top w:val="single" w:sz="4" w:space="0" w:color="auto"/>
              <w:left w:val="nil"/>
              <w:bottom w:val="single" w:sz="4" w:space="0" w:color="auto"/>
              <w:right w:val="single" w:sz="4" w:space="0" w:color="auto"/>
            </w:tcBorders>
            <w:vAlign w:val="center"/>
            <w:hideMark/>
          </w:tcPr>
          <w:p w14:paraId="1C2BFDE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5EB87AD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000000"/>
            </w:tcBorders>
            <w:vAlign w:val="center"/>
            <w:hideMark/>
          </w:tcPr>
          <w:p w14:paraId="664D172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367DB12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1840</w:t>
            </w:r>
          </w:p>
        </w:tc>
      </w:tr>
      <w:tr w:rsidR="00153234" w:rsidRPr="00C91716" w14:paraId="4F95F3B5"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4FAE1F7E"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16. Mizoram</w:t>
            </w:r>
          </w:p>
        </w:tc>
        <w:tc>
          <w:tcPr>
            <w:tcW w:w="572" w:type="dxa"/>
            <w:tcBorders>
              <w:top w:val="nil"/>
              <w:left w:val="nil"/>
              <w:bottom w:val="single" w:sz="4" w:space="0" w:color="auto"/>
              <w:right w:val="single" w:sz="4" w:space="0" w:color="auto"/>
            </w:tcBorders>
            <w:vAlign w:val="center"/>
            <w:hideMark/>
          </w:tcPr>
          <w:p w14:paraId="65FAF40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677150F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013B0C9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515DB01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1238B8D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25182A0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2B106C0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300C8E6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6CBFBAB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1016" w:type="dxa"/>
            <w:tcBorders>
              <w:top w:val="nil"/>
              <w:left w:val="nil"/>
              <w:bottom w:val="single" w:sz="4" w:space="0" w:color="auto"/>
              <w:right w:val="single" w:sz="4" w:space="0" w:color="auto"/>
            </w:tcBorders>
            <w:vAlign w:val="center"/>
            <w:hideMark/>
          </w:tcPr>
          <w:p w14:paraId="1269F7C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1400</w:t>
            </w:r>
          </w:p>
        </w:tc>
        <w:tc>
          <w:tcPr>
            <w:tcW w:w="572" w:type="dxa"/>
            <w:tcBorders>
              <w:top w:val="nil"/>
              <w:left w:val="nil"/>
              <w:bottom w:val="single" w:sz="4" w:space="0" w:color="auto"/>
              <w:right w:val="single" w:sz="4" w:space="0" w:color="auto"/>
            </w:tcBorders>
            <w:vAlign w:val="center"/>
            <w:hideMark/>
          </w:tcPr>
          <w:p w14:paraId="0652B73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2E4B04A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0EFF694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7777332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gridSpan w:val="2"/>
            <w:tcBorders>
              <w:top w:val="single" w:sz="4" w:space="0" w:color="auto"/>
              <w:left w:val="nil"/>
              <w:bottom w:val="single" w:sz="4" w:space="0" w:color="auto"/>
              <w:right w:val="single" w:sz="4" w:space="0" w:color="auto"/>
            </w:tcBorders>
            <w:vAlign w:val="center"/>
            <w:hideMark/>
          </w:tcPr>
          <w:p w14:paraId="32F2D90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297DBF3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572" w:type="dxa"/>
            <w:tcBorders>
              <w:top w:val="single" w:sz="4" w:space="0" w:color="auto"/>
              <w:left w:val="nil"/>
              <w:bottom w:val="single" w:sz="4" w:space="0" w:color="auto"/>
              <w:right w:val="single" w:sz="4" w:space="0" w:color="000000"/>
            </w:tcBorders>
            <w:vAlign w:val="center"/>
            <w:hideMark/>
          </w:tcPr>
          <w:p w14:paraId="581E2FC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191B83A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r>
      <w:tr w:rsidR="00153234" w:rsidRPr="00C91716" w14:paraId="70163B56"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46B34B62"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17. Nagaland</w:t>
            </w:r>
          </w:p>
        </w:tc>
        <w:tc>
          <w:tcPr>
            <w:tcW w:w="572" w:type="dxa"/>
            <w:tcBorders>
              <w:top w:val="nil"/>
              <w:left w:val="nil"/>
              <w:bottom w:val="single" w:sz="4" w:space="0" w:color="auto"/>
              <w:right w:val="single" w:sz="4" w:space="0" w:color="auto"/>
            </w:tcBorders>
            <w:vAlign w:val="center"/>
            <w:hideMark/>
          </w:tcPr>
          <w:p w14:paraId="675FC64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775</w:t>
            </w:r>
          </w:p>
        </w:tc>
        <w:tc>
          <w:tcPr>
            <w:tcW w:w="1016" w:type="dxa"/>
            <w:tcBorders>
              <w:top w:val="nil"/>
              <w:left w:val="nil"/>
              <w:bottom w:val="single" w:sz="4" w:space="0" w:color="auto"/>
              <w:right w:val="single" w:sz="4" w:space="0" w:color="auto"/>
            </w:tcBorders>
            <w:vAlign w:val="center"/>
            <w:hideMark/>
          </w:tcPr>
          <w:p w14:paraId="60460C7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1348</w:t>
            </w:r>
          </w:p>
        </w:tc>
        <w:tc>
          <w:tcPr>
            <w:tcW w:w="572" w:type="dxa"/>
            <w:tcBorders>
              <w:top w:val="nil"/>
              <w:left w:val="nil"/>
              <w:bottom w:val="single" w:sz="4" w:space="0" w:color="auto"/>
              <w:right w:val="single" w:sz="4" w:space="0" w:color="auto"/>
            </w:tcBorders>
            <w:vAlign w:val="center"/>
            <w:hideMark/>
          </w:tcPr>
          <w:p w14:paraId="7A595BC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512257E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2D94045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2276CD3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42AB10B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690</w:t>
            </w:r>
          </w:p>
        </w:tc>
        <w:tc>
          <w:tcPr>
            <w:tcW w:w="1016" w:type="dxa"/>
            <w:tcBorders>
              <w:top w:val="nil"/>
              <w:left w:val="nil"/>
              <w:bottom w:val="single" w:sz="4" w:space="0" w:color="auto"/>
              <w:right w:val="single" w:sz="4" w:space="0" w:color="auto"/>
            </w:tcBorders>
            <w:vAlign w:val="center"/>
            <w:hideMark/>
          </w:tcPr>
          <w:p w14:paraId="37AC371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64CAFAB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510</w:t>
            </w:r>
          </w:p>
        </w:tc>
        <w:tc>
          <w:tcPr>
            <w:tcW w:w="1016" w:type="dxa"/>
            <w:tcBorders>
              <w:top w:val="nil"/>
              <w:left w:val="nil"/>
              <w:bottom w:val="single" w:sz="4" w:space="0" w:color="auto"/>
              <w:right w:val="single" w:sz="4" w:space="0" w:color="auto"/>
            </w:tcBorders>
            <w:vAlign w:val="center"/>
            <w:hideMark/>
          </w:tcPr>
          <w:p w14:paraId="5A0164F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851</w:t>
            </w:r>
          </w:p>
        </w:tc>
        <w:tc>
          <w:tcPr>
            <w:tcW w:w="572" w:type="dxa"/>
            <w:tcBorders>
              <w:top w:val="nil"/>
              <w:left w:val="nil"/>
              <w:bottom w:val="single" w:sz="4" w:space="0" w:color="auto"/>
              <w:right w:val="single" w:sz="4" w:space="0" w:color="auto"/>
            </w:tcBorders>
            <w:vAlign w:val="center"/>
            <w:hideMark/>
          </w:tcPr>
          <w:p w14:paraId="028B6F2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3A34556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04BD44A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1010</w:t>
            </w:r>
          </w:p>
        </w:tc>
        <w:tc>
          <w:tcPr>
            <w:tcW w:w="1016" w:type="dxa"/>
            <w:tcBorders>
              <w:top w:val="nil"/>
              <w:left w:val="nil"/>
              <w:bottom w:val="single" w:sz="4" w:space="0" w:color="auto"/>
              <w:right w:val="single" w:sz="4" w:space="0" w:color="auto"/>
            </w:tcBorders>
            <w:vAlign w:val="center"/>
            <w:hideMark/>
          </w:tcPr>
          <w:p w14:paraId="6BFEE12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1672</w:t>
            </w:r>
          </w:p>
        </w:tc>
        <w:tc>
          <w:tcPr>
            <w:tcW w:w="572" w:type="dxa"/>
            <w:gridSpan w:val="2"/>
            <w:tcBorders>
              <w:top w:val="single" w:sz="4" w:space="0" w:color="auto"/>
              <w:left w:val="nil"/>
              <w:bottom w:val="single" w:sz="4" w:space="0" w:color="auto"/>
              <w:right w:val="single" w:sz="4" w:space="0" w:color="auto"/>
            </w:tcBorders>
            <w:vAlign w:val="center"/>
            <w:hideMark/>
          </w:tcPr>
          <w:p w14:paraId="2C0F868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1010</w:t>
            </w:r>
          </w:p>
        </w:tc>
        <w:tc>
          <w:tcPr>
            <w:tcW w:w="1016" w:type="dxa"/>
            <w:tcBorders>
              <w:top w:val="nil"/>
              <w:left w:val="nil"/>
              <w:bottom w:val="single" w:sz="4" w:space="0" w:color="auto"/>
              <w:right w:val="single" w:sz="4" w:space="0" w:color="auto"/>
            </w:tcBorders>
            <w:vAlign w:val="center"/>
            <w:hideMark/>
          </w:tcPr>
          <w:p w14:paraId="6AA7E2B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1672</w:t>
            </w:r>
          </w:p>
        </w:tc>
        <w:tc>
          <w:tcPr>
            <w:tcW w:w="572" w:type="dxa"/>
            <w:tcBorders>
              <w:top w:val="single" w:sz="4" w:space="0" w:color="auto"/>
              <w:left w:val="nil"/>
              <w:bottom w:val="single" w:sz="4" w:space="0" w:color="auto"/>
              <w:right w:val="single" w:sz="4" w:space="0" w:color="000000"/>
            </w:tcBorders>
            <w:vAlign w:val="center"/>
            <w:hideMark/>
          </w:tcPr>
          <w:p w14:paraId="45B0ACB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1010</w:t>
            </w:r>
          </w:p>
        </w:tc>
        <w:tc>
          <w:tcPr>
            <w:tcW w:w="1016" w:type="dxa"/>
            <w:tcBorders>
              <w:top w:val="nil"/>
              <w:left w:val="nil"/>
              <w:bottom w:val="single" w:sz="4" w:space="0" w:color="auto"/>
              <w:right w:val="single" w:sz="4" w:space="0" w:color="auto"/>
            </w:tcBorders>
            <w:vAlign w:val="center"/>
            <w:hideMark/>
          </w:tcPr>
          <w:p w14:paraId="25DED17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1672</w:t>
            </w:r>
          </w:p>
        </w:tc>
      </w:tr>
      <w:tr w:rsidR="00153234" w:rsidRPr="00C91716" w14:paraId="065FAF8F"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1FEF372C"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18. Orissa</w:t>
            </w:r>
          </w:p>
        </w:tc>
        <w:tc>
          <w:tcPr>
            <w:tcW w:w="572" w:type="dxa"/>
            <w:tcBorders>
              <w:top w:val="nil"/>
              <w:left w:val="nil"/>
              <w:bottom w:val="single" w:sz="4" w:space="0" w:color="auto"/>
              <w:right w:val="single" w:sz="4" w:space="0" w:color="auto"/>
            </w:tcBorders>
            <w:vAlign w:val="center"/>
            <w:hideMark/>
          </w:tcPr>
          <w:p w14:paraId="3724603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1050</w:t>
            </w:r>
          </w:p>
        </w:tc>
        <w:tc>
          <w:tcPr>
            <w:tcW w:w="1016" w:type="dxa"/>
            <w:tcBorders>
              <w:top w:val="nil"/>
              <w:left w:val="nil"/>
              <w:bottom w:val="single" w:sz="4" w:space="0" w:color="auto"/>
              <w:right w:val="single" w:sz="4" w:space="0" w:color="auto"/>
            </w:tcBorders>
            <w:vAlign w:val="center"/>
            <w:hideMark/>
          </w:tcPr>
          <w:p w14:paraId="098CC20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1124</w:t>
            </w:r>
          </w:p>
        </w:tc>
        <w:tc>
          <w:tcPr>
            <w:tcW w:w="572" w:type="dxa"/>
            <w:tcBorders>
              <w:top w:val="nil"/>
              <w:left w:val="nil"/>
              <w:bottom w:val="single" w:sz="4" w:space="0" w:color="auto"/>
              <w:right w:val="single" w:sz="4" w:space="0" w:color="auto"/>
            </w:tcBorders>
            <w:vAlign w:val="center"/>
            <w:hideMark/>
          </w:tcPr>
          <w:p w14:paraId="77FD47E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780</w:t>
            </w:r>
          </w:p>
        </w:tc>
        <w:tc>
          <w:tcPr>
            <w:tcW w:w="1016" w:type="dxa"/>
            <w:tcBorders>
              <w:top w:val="nil"/>
              <w:left w:val="nil"/>
              <w:bottom w:val="single" w:sz="4" w:space="0" w:color="auto"/>
              <w:right w:val="single" w:sz="4" w:space="0" w:color="auto"/>
            </w:tcBorders>
            <w:vAlign w:val="center"/>
            <w:hideMark/>
          </w:tcPr>
          <w:p w14:paraId="4ABC91A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835</w:t>
            </w:r>
          </w:p>
        </w:tc>
        <w:tc>
          <w:tcPr>
            <w:tcW w:w="572" w:type="dxa"/>
            <w:tcBorders>
              <w:top w:val="nil"/>
              <w:left w:val="nil"/>
              <w:bottom w:val="single" w:sz="4" w:space="0" w:color="auto"/>
              <w:right w:val="single" w:sz="4" w:space="0" w:color="auto"/>
            </w:tcBorders>
            <w:vAlign w:val="center"/>
            <w:hideMark/>
          </w:tcPr>
          <w:p w14:paraId="3F2CB5F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314DC01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1445</w:t>
            </w:r>
          </w:p>
        </w:tc>
        <w:tc>
          <w:tcPr>
            <w:tcW w:w="572" w:type="dxa"/>
            <w:tcBorders>
              <w:top w:val="nil"/>
              <w:left w:val="nil"/>
              <w:bottom w:val="single" w:sz="4" w:space="0" w:color="auto"/>
              <w:right w:val="single" w:sz="4" w:space="0" w:color="auto"/>
            </w:tcBorders>
            <w:vAlign w:val="center"/>
            <w:hideMark/>
          </w:tcPr>
          <w:p w14:paraId="0ECDFEE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1050</w:t>
            </w:r>
          </w:p>
        </w:tc>
        <w:tc>
          <w:tcPr>
            <w:tcW w:w="1016" w:type="dxa"/>
            <w:tcBorders>
              <w:top w:val="nil"/>
              <w:left w:val="nil"/>
              <w:bottom w:val="single" w:sz="4" w:space="0" w:color="auto"/>
              <w:right w:val="single" w:sz="4" w:space="0" w:color="auto"/>
            </w:tcBorders>
            <w:vAlign w:val="center"/>
            <w:hideMark/>
          </w:tcPr>
          <w:p w14:paraId="0FB8BCA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1124</w:t>
            </w:r>
          </w:p>
        </w:tc>
        <w:tc>
          <w:tcPr>
            <w:tcW w:w="572" w:type="dxa"/>
            <w:tcBorders>
              <w:top w:val="nil"/>
              <w:left w:val="nil"/>
              <w:bottom w:val="single" w:sz="4" w:space="0" w:color="auto"/>
              <w:right w:val="single" w:sz="4" w:space="0" w:color="auto"/>
            </w:tcBorders>
            <w:vAlign w:val="center"/>
            <w:hideMark/>
          </w:tcPr>
          <w:p w14:paraId="3D296F1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935</w:t>
            </w:r>
          </w:p>
        </w:tc>
        <w:tc>
          <w:tcPr>
            <w:tcW w:w="1016" w:type="dxa"/>
            <w:tcBorders>
              <w:top w:val="nil"/>
              <w:left w:val="nil"/>
              <w:bottom w:val="single" w:sz="4" w:space="0" w:color="auto"/>
              <w:right w:val="single" w:sz="4" w:space="0" w:color="auto"/>
            </w:tcBorders>
            <w:vAlign w:val="center"/>
            <w:hideMark/>
          </w:tcPr>
          <w:p w14:paraId="79978FD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1001</w:t>
            </w:r>
          </w:p>
        </w:tc>
        <w:tc>
          <w:tcPr>
            <w:tcW w:w="572" w:type="dxa"/>
            <w:tcBorders>
              <w:top w:val="nil"/>
              <w:left w:val="nil"/>
              <w:bottom w:val="single" w:sz="4" w:space="0" w:color="auto"/>
              <w:right w:val="single" w:sz="4" w:space="0" w:color="auto"/>
            </w:tcBorders>
            <w:vAlign w:val="center"/>
            <w:hideMark/>
          </w:tcPr>
          <w:p w14:paraId="4675CD5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3053A99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149F0DE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34E457C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1445</w:t>
            </w:r>
          </w:p>
        </w:tc>
        <w:tc>
          <w:tcPr>
            <w:tcW w:w="572" w:type="dxa"/>
            <w:gridSpan w:val="2"/>
            <w:tcBorders>
              <w:top w:val="single" w:sz="4" w:space="0" w:color="auto"/>
              <w:left w:val="nil"/>
              <w:bottom w:val="single" w:sz="4" w:space="0" w:color="auto"/>
              <w:right w:val="single" w:sz="4" w:space="0" w:color="auto"/>
            </w:tcBorders>
            <w:vAlign w:val="center"/>
            <w:hideMark/>
          </w:tcPr>
          <w:p w14:paraId="3707CAA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40F72BD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000000"/>
            </w:tcBorders>
            <w:vAlign w:val="center"/>
            <w:hideMark/>
          </w:tcPr>
          <w:p w14:paraId="6559742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33CACE7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1445</w:t>
            </w:r>
          </w:p>
        </w:tc>
      </w:tr>
      <w:tr w:rsidR="00153234" w:rsidRPr="00C91716" w14:paraId="6A84AF52"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1FDEABE3"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19. Punjab</w:t>
            </w:r>
          </w:p>
        </w:tc>
        <w:tc>
          <w:tcPr>
            <w:tcW w:w="572" w:type="dxa"/>
            <w:tcBorders>
              <w:top w:val="nil"/>
              <w:left w:val="nil"/>
              <w:bottom w:val="single" w:sz="4" w:space="0" w:color="auto"/>
              <w:right w:val="single" w:sz="4" w:space="0" w:color="auto"/>
            </w:tcBorders>
            <w:vAlign w:val="center"/>
            <w:hideMark/>
          </w:tcPr>
          <w:p w14:paraId="3C74DA0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69DC87E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4C57329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1500</w:t>
            </w:r>
          </w:p>
        </w:tc>
        <w:tc>
          <w:tcPr>
            <w:tcW w:w="1016" w:type="dxa"/>
            <w:tcBorders>
              <w:top w:val="nil"/>
              <w:left w:val="nil"/>
              <w:bottom w:val="single" w:sz="4" w:space="0" w:color="auto"/>
              <w:right w:val="single" w:sz="4" w:space="0" w:color="auto"/>
            </w:tcBorders>
            <w:vAlign w:val="center"/>
            <w:hideMark/>
          </w:tcPr>
          <w:p w14:paraId="483D8E9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1500</w:t>
            </w:r>
          </w:p>
        </w:tc>
        <w:tc>
          <w:tcPr>
            <w:tcW w:w="572" w:type="dxa"/>
            <w:tcBorders>
              <w:top w:val="nil"/>
              <w:left w:val="nil"/>
              <w:bottom w:val="single" w:sz="4" w:space="0" w:color="auto"/>
              <w:right w:val="single" w:sz="4" w:space="0" w:color="auto"/>
            </w:tcBorders>
            <w:vAlign w:val="center"/>
            <w:hideMark/>
          </w:tcPr>
          <w:p w14:paraId="7C953E9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048EA54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6F679C3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1016" w:type="dxa"/>
            <w:tcBorders>
              <w:top w:val="nil"/>
              <w:left w:val="nil"/>
              <w:bottom w:val="single" w:sz="4" w:space="0" w:color="auto"/>
              <w:right w:val="single" w:sz="4" w:space="0" w:color="auto"/>
            </w:tcBorders>
            <w:vAlign w:val="center"/>
            <w:hideMark/>
          </w:tcPr>
          <w:p w14:paraId="74DFBFE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1640</w:t>
            </w:r>
          </w:p>
        </w:tc>
        <w:tc>
          <w:tcPr>
            <w:tcW w:w="572" w:type="dxa"/>
            <w:tcBorders>
              <w:top w:val="nil"/>
              <w:left w:val="nil"/>
              <w:bottom w:val="single" w:sz="4" w:space="0" w:color="auto"/>
              <w:right w:val="single" w:sz="4" w:space="0" w:color="auto"/>
            </w:tcBorders>
            <w:vAlign w:val="center"/>
            <w:hideMark/>
          </w:tcPr>
          <w:p w14:paraId="46D181B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1016" w:type="dxa"/>
            <w:tcBorders>
              <w:top w:val="nil"/>
              <w:left w:val="nil"/>
              <w:bottom w:val="single" w:sz="4" w:space="0" w:color="auto"/>
              <w:right w:val="single" w:sz="4" w:space="0" w:color="auto"/>
            </w:tcBorders>
            <w:vAlign w:val="center"/>
            <w:hideMark/>
          </w:tcPr>
          <w:p w14:paraId="6E6B2FD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1350</w:t>
            </w:r>
          </w:p>
        </w:tc>
        <w:tc>
          <w:tcPr>
            <w:tcW w:w="572" w:type="dxa"/>
            <w:tcBorders>
              <w:top w:val="nil"/>
              <w:left w:val="nil"/>
              <w:bottom w:val="single" w:sz="4" w:space="0" w:color="auto"/>
              <w:right w:val="single" w:sz="4" w:space="0" w:color="auto"/>
            </w:tcBorders>
            <w:vAlign w:val="center"/>
            <w:hideMark/>
          </w:tcPr>
          <w:p w14:paraId="211802F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1016" w:type="dxa"/>
            <w:tcBorders>
              <w:top w:val="nil"/>
              <w:left w:val="nil"/>
              <w:bottom w:val="single" w:sz="4" w:space="0" w:color="auto"/>
              <w:right w:val="single" w:sz="4" w:space="0" w:color="auto"/>
            </w:tcBorders>
            <w:vAlign w:val="center"/>
            <w:hideMark/>
          </w:tcPr>
          <w:p w14:paraId="31364A8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2000</w:t>
            </w:r>
          </w:p>
        </w:tc>
        <w:tc>
          <w:tcPr>
            <w:tcW w:w="572" w:type="dxa"/>
            <w:tcBorders>
              <w:top w:val="single" w:sz="4" w:space="0" w:color="auto"/>
              <w:left w:val="nil"/>
              <w:bottom w:val="single" w:sz="4" w:space="0" w:color="auto"/>
              <w:right w:val="single" w:sz="4" w:space="0" w:color="auto"/>
            </w:tcBorders>
            <w:vAlign w:val="center"/>
            <w:hideMark/>
          </w:tcPr>
          <w:p w14:paraId="0AD692A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64C520E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572" w:type="dxa"/>
            <w:gridSpan w:val="2"/>
            <w:tcBorders>
              <w:top w:val="single" w:sz="4" w:space="0" w:color="auto"/>
              <w:left w:val="nil"/>
              <w:bottom w:val="single" w:sz="4" w:space="0" w:color="auto"/>
              <w:right w:val="single" w:sz="4" w:space="0" w:color="auto"/>
            </w:tcBorders>
            <w:vAlign w:val="center"/>
            <w:hideMark/>
          </w:tcPr>
          <w:p w14:paraId="798C310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2400</w:t>
            </w:r>
          </w:p>
        </w:tc>
        <w:tc>
          <w:tcPr>
            <w:tcW w:w="1016" w:type="dxa"/>
            <w:tcBorders>
              <w:top w:val="nil"/>
              <w:left w:val="nil"/>
              <w:bottom w:val="single" w:sz="4" w:space="0" w:color="auto"/>
              <w:right w:val="single" w:sz="4" w:space="0" w:color="auto"/>
            </w:tcBorders>
            <w:vAlign w:val="center"/>
            <w:hideMark/>
          </w:tcPr>
          <w:p w14:paraId="1240F39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2400</w:t>
            </w:r>
          </w:p>
        </w:tc>
        <w:tc>
          <w:tcPr>
            <w:tcW w:w="572" w:type="dxa"/>
            <w:tcBorders>
              <w:top w:val="single" w:sz="4" w:space="0" w:color="auto"/>
              <w:left w:val="nil"/>
              <w:bottom w:val="single" w:sz="4" w:space="0" w:color="auto"/>
              <w:right w:val="single" w:sz="4" w:space="0" w:color="000000"/>
            </w:tcBorders>
            <w:vAlign w:val="center"/>
            <w:hideMark/>
          </w:tcPr>
          <w:p w14:paraId="60CCD36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c>
          <w:tcPr>
            <w:tcW w:w="1016" w:type="dxa"/>
            <w:tcBorders>
              <w:top w:val="nil"/>
              <w:left w:val="nil"/>
              <w:bottom w:val="single" w:sz="4" w:space="0" w:color="auto"/>
              <w:right w:val="single" w:sz="4" w:space="0" w:color="auto"/>
            </w:tcBorders>
            <w:vAlign w:val="center"/>
            <w:hideMark/>
          </w:tcPr>
          <w:p w14:paraId="2CD7B69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2200</w:t>
            </w:r>
          </w:p>
        </w:tc>
      </w:tr>
      <w:tr w:rsidR="00153234" w:rsidRPr="00C91716" w14:paraId="7C0A4558"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7F46CF47"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20. Rajasthan</w:t>
            </w:r>
          </w:p>
        </w:tc>
        <w:tc>
          <w:tcPr>
            <w:tcW w:w="572" w:type="dxa"/>
            <w:tcBorders>
              <w:top w:val="nil"/>
              <w:left w:val="nil"/>
              <w:bottom w:val="single" w:sz="4" w:space="0" w:color="auto"/>
              <w:right w:val="single" w:sz="4" w:space="0" w:color="auto"/>
            </w:tcBorders>
            <w:vAlign w:val="center"/>
            <w:hideMark/>
          </w:tcPr>
          <w:p w14:paraId="5A8AC59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1140</w:t>
            </w:r>
          </w:p>
        </w:tc>
        <w:tc>
          <w:tcPr>
            <w:tcW w:w="1016" w:type="dxa"/>
            <w:tcBorders>
              <w:top w:val="nil"/>
              <w:left w:val="nil"/>
              <w:bottom w:val="single" w:sz="4" w:space="0" w:color="auto"/>
              <w:right w:val="single" w:sz="4" w:space="0" w:color="auto"/>
            </w:tcBorders>
            <w:vAlign w:val="center"/>
            <w:hideMark/>
          </w:tcPr>
          <w:p w14:paraId="18CBE46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1140</w:t>
            </w:r>
          </w:p>
        </w:tc>
        <w:tc>
          <w:tcPr>
            <w:tcW w:w="572" w:type="dxa"/>
            <w:tcBorders>
              <w:top w:val="nil"/>
              <w:left w:val="nil"/>
              <w:bottom w:val="single" w:sz="4" w:space="0" w:color="auto"/>
              <w:right w:val="single" w:sz="4" w:space="0" w:color="auto"/>
            </w:tcBorders>
            <w:vAlign w:val="center"/>
            <w:hideMark/>
          </w:tcPr>
          <w:p w14:paraId="6105875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925</w:t>
            </w:r>
          </w:p>
        </w:tc>
        <w:tc>
          <w:tcPr>
            <w:tcW w:w="1016" w:type="dxa"/>
            <w:tcBorders>
              <w:top w:val="nil"/>
              <w:left w:val="nil"/>
              <w:bottom w:val="single" w:sz="4" w:space="0" w:color="auto"/>
              <w:right w:val="single" w:sz="4" w:space="0" w:color="auto"/>
            </w:tcBorders>
            <w:vAlign w:val="center"/>
            <w:hideMark/>
          </w:tcPr>
          <w:p w14:paraId="2C25616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925</w:t>
            </w:r>
          </w:p>
        </w:tc>
        <w:tc>
          <w:tcPr>
            <w:tcW w:w="572" w:type="dxa"/>
            <w:tcBorders>
              <w:top w:val="nil"/>
              <w:left w:val="nil"/>
              <w:bottom w:val="single" w:sz="4" w:space="0" w:color="auto"/>
              <w:right w:val="single" w:sz="4" w:space="0" w:color="auto"/>
            </w:tcBorders>
            <w:vAlign w:val="center"/>
            <w:hideMark/>
          </w:tcPr>
          <w:p w14:paraId="3117907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1016" w:type="dxa"/>
            <w:tcBorders>
              <w:top w:val="nil"/>
              <w:left w:val="nil"/>
              <w:bottom w:val="single" w:sz="4" w:space="0" w:color="auto"/>
              <w:right w:val="single" w:sz="4" w:space="0" w:color="auto"/>
            </w:tcBorders>
            <w:vAlign w:val="center"/>
            <w:hideMark/>
          </w:tcPr>
          <w:p w14:paraId="700E782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1200</w:t>
            </w:r>
          </w:p>
        </w:tc>
        <w:tc>
          <w:tcPr>
            <w:tcW w:w="572" w:type="dxa"/>
            <w:tcBorders>
              <w:top w:val="nil"/>
              <w:left w:val="nil"/>
              <w:bottom w:val="single" w:sz="4" w:space="0" w:color="auto"/>
              <w:right w:val="single" w:sz="4" w:space="0" w:color="auto"/>
            </w:tcBorders>
            <w:vAlign w:val="center"/>
            <w:hideMark/>
          </w:tcPr>
          <w:p w14:paraId="7624563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1160</w:t>
            </w:r>
          </w:p>
        </w:tc>
        <w:tc>
          <w:tcPr>
            <w:tcW w:w="1016" w:type="dxa"/>
            <w:tcBorders>
              <w:top w:val="nil"/>
              <w:left w:val="nil"/>
              <w:bottom w:val="single" w:sz="4" w:space="0" w:color="auto"/>
              <w:right w:val="single" w:sz="4" w:space="0" w:color="auto"/>
            </w:tcBorders>
            <w:vAlign w:val="center"/>
            <w:hideMark/>
          </w:tcPr>
          <w:p w14:paraId="6B0C8B7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1160</w:t>
            </w:r>
          </w:p>
        </w:tc>
        <w:tc>
          <w:tcPr>
            <w:tcW w:w="572" w:type="dxa"/>
            <w:tcBorders>
              <w:top w:val="nil"/>
              <w:left w:val="nil"/>
              <w:bottom w:val="single" w:sz="4" w:space="0" w:color="auto"/>
              <w:right w:val="single" w:sz="4" w:space="0" w:color="auto"/>
            </w:tcBorders>
            <w:vAlign w:val="center"/>
            <w:hideMark/>
          </w:tcPr>
          <w:p w14:paraId="5B4F4E7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1140</w:t>
            </w:r>
          </w:p>
        </w:tc>
        <w:tc>
          <w:tcPr>
            <w:tcW w:w="1016" w:type="dxa"/>
            <w:tcBorders>
              <w:top w:val="nil"/>
              <w:left w:val="nil"/>
              <w:bottom w:val="single" w:sz="4" w:space="0" w:color="auto"/>
              <w:right w:val="single" w:sz="4" w:space="0" w:color="auto"/>
            </w:tcBorders>
            <w:vAlign w:val="center"/>
            <w:hideMark/>
          </w:tcPr>
          <w:p w14:paraId="0C81026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1140</w:t>
            </w:r>
          </w:p>
        </w:tc>
        <w:tc>
          <w:tcPr>
            <w:tcW w:w="572" w:type="dxa"/>
            <w:tcBorders>
              <w:top w:val="nil"/>
              <w:left w:val="nil"/>
              <w:bottom w:val="single" w:sz="4" w:space="0" w:color="auto"/>
              <w:right w:val="single" w:sz="4" w:space="0" w:color="auto"/>
            </w:tcBorders>
            <w:vAlign w:val="center"/>
            <w:hideMark/>
          </w:tcPr>
          <w:p w14:paraId="4C4693A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1490</w:t>
            </w:r>
          </w:p>
        </w:tc>
        <w:tc>
          <w:tcPr>
            <w:tcW w:w="1016" w:type="dxa"/>
            <w:tcBorders>
              <w:top w:val="nil"/>
              <w:left w:val="nil"/>
              <w:bottom w:val="single" w:sz="4" w:space="0" w:color="auto"/>
              <w:right w:val="single" w:sz="4" w:space="0" w:color="auto"/>
            </w:tcBorders>
            <w:vAlign w:val="center"/>
            <w:hideMark/>
          </w:tcPr>
          <w:p w14:paraId="4A9AF37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1490</w:t>
            </w:r>
          </w:p>
        </w:tc>
        <w:tc>
          <w:tcPr>
            <w:tcW w:w="572" w:type="dxa"/>
            <w:tcBorders>
              <w:top w:val="single" w:sz="4" w:space="0" w:color="auto"/>
              <w:left w:val="nil"/>
              <w:bottom w:val="single" w:sz="4" w:space="0" w:color="auto"/>
              <w:right w:val="single" w:sz="4" w:space="0" w:color="auto"/>
            </w:tcBorders>
            <w:vAlign w:val="center"/>
            <w:hideMark/>
          </w:tcPr>
          <w:p w14:paraId="3579E90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1720</w:t>
            </w:r>
          </w:p>
        </w:tc>
        <w:tc>
          <w:tcPr>
            <w:tcW w:w="1016" w:type="dxa"/>
            <w:tcBorders>
              <w:top w:val="nil"/>
              <w:left w:val="nil"/>
              <w:bottom w:val="single" w:sz="4" w:space="0" w:color="auto"/>
              <w:right w:val="single" w:sz="4" w:space="0" w:color="auto"/>
            </w:tcBorders>
            <w:vAlign w:val="center"/>
            <w:hideMark/>
          </w:tcPr>
          <w:p w14:paraId="20EC929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1720</w:t>
            </w:r>
          </w:p>
        </w:tc>
        <w:tc>
          <w:tcPr>
            <w:tcW w:w="572" w:type="dxa"/>
            <w:gridSpan w:val="2"/>
            <w:tcBorders>
              <w:top w:val="single" w:sz="4" w:space="0" w:color="auto"/>
              <w:left w:val="nil"/>
              <w:bottom w:val="single" w:sz="4" w:space="0" w:color="auto"/>
              <w:right w:val="single" w:sz="4" w:space="0" w:color="auto"/>
            </w:tcBorders>
            <w:vAlign w:val="center"/>
            <w:hideMark/>
          </w:tcPr>
          <w:p w14:paraId="2EC1ADA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1720</w:t>
            </w:r>
          </w:p>
        </w:tc>
        <w:tc>
          <w:tcPr>
            <w:tcW w:w="1016" w:type="dxa"/>
            <w:tcBorders>
              <w:top w:val="nil"/>
              <w:left w:val="nil"/>
              <w:bottom w:val="single" w:sz="4" w:space="0" w:color="auto"/>
              <w:right w:val="single" w:sz="4" w:space="0" w:color="auto"/>
            </w:tcBorders>
            <w:vAlign w:val="center"/>
            <w:hideMark/>
          </w:tcPr>
          <w:p w14:paraId="572F11D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1720</w:t>
            </w:r>
          </w:p>
        </w:tc>
        <w:tc>
          <w:tcPr>
            <w:tcW w:w="572" w:type="dxa"/>
            <w:tcBorders>
              <w:top w:val="single" w:sz="4" w:space="0" w:color="auto"/>
              <w:left w:val="nil"/>
              <w:bottom w:val="single" w:sz="4" w:space="0" w:color="auto"/>
              <w:right w:val="single" w:sz="4" w:space="0" w:color="000000"/>
            </w:tcBorders>
            <w:vAlign w:val="center"/>
            <w:hideMark/>
          </w:tcPr>
          <w:p w14:paraId="43CB635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1720</w:t>
            </w:r>
          </w:p>
        </w:tc>
        <w:tc>
          <w:tcPr>
            <w:tcW w:w="1016" w:type="dxa"/>
            <w:tcBorders>
              <w:top w:val="nil"/>
              <w:left w:val="nil"/>
              <w:bottom w:val="single" w:sz="4" w:space="0" w:color="auto"/>
              <w:right w:val="single" w:sz="4" w:space="0" w:color="auto"/>
            </w:tcBorders>
            <w:vAlign w:val="center"/>
            <w:hideMark/>
          </w:tcPr>
          <w:p w14:paraId="6CAE76A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1720</w:t>
            </w:r>
          </w:p>
        </w:tc>
      </w:tr>
      <w:tr w:rsidR="00153234" w:rsidRPr="00C91716" w14:paraId="321D549B"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3113442B"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21. Sikkim</w:t>
            </w:r>
          </w:p>
        </w:tc>
        <w:tc>
          <w:tcPr>
            <w:tcW w:w="572" w:type="dxa"/>
            <w:tcBorders>
              <w:top w:val="nil"/>
              <w:left w:val="nil"/>
              <w:bottom w:val="single" w:sz="4" w:space="0" w:color="auto"/>
              <w:right w:val="single" w:sz="4" w:space="0" w:color="auto"/>
            </w:tcBorders>
            <w:vAlign w:val="center"/>
            <w:hideMark/>
          </w:tcPr>
          <w:p w14:paraId="4B2B018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1520</w:t>
            </w:r>
          </w:p>
        </w:tc>
        <w:tc>
          <w:tcPr>
            <w:tcW w:w="1016" w:type="dxa"/>
            <w:tcBorders>
              <w:top w:val="nil"/>
              <w:left w:val="nil"/>
              <w:bottom w:val="single" w:sz="4" w:space="0" w:color="auto"/>
              <w:right w:val="single" w:sz="4" w:space="0" w:color="auto"/>
            </w:tcBorders>
            <w:vAlign w:val="center"/>
            <w:hideMark/>
          </w:tcPr>
          <w:p w14:paraId="4BE79FE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1409</w:t>
            </w:r>
          </w:p>
        </w:tc>
        <w:tc>
          <w:tcPr>
            <w:tcW w:w="572" w:type="dxa"/>
            <w:tcBorders>
              <w:top w:val="nil"/>
              <w:left w:val="nil"/>
              <w:bottom w:val="single" w:sz="4" w:space="0" w:color="auto"/>
              <w:right w:val="single" w:sz="4" w:space="0" w:color="auto"/>
            </w:tcBorders>
            <w:vAlign w:val="center"/>
            <w:hideMark/>
          </w:tcPr>
          <w:p w14:paraId="0FEED37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1410</w:t>
            </w:r>
          </w:p>
        </w:tc>
        <w:tc>
          <w:tcPr>
            <w:tcW w:w="1016" w:type="dxa"/>
            <w:tcBorders>
              <w:top w:val="nil"/>
              <w:left w:val="nil"/>
              <w:bottom w:val="single" w:sz="4" w:space="0" w:color="auto"/>
              <w:right w:val="single" w:sz="4" w:space="0" w:color="auto"/>
            </w:tcBorders>
            <w:vAlign w:val="center"/>
            <w:hideMark/>
          </w:tcPr>
          <w:p w14:paraId="58332E9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1307</w:t>
            </w:r>
          </w:p>
        </w:tc>
        <w:tc>
          <w:tcPr>
            <w:tcW w:w="572" w:type="dxa"/>
            <w:tcBorders>
              <w:top w:val="nil"/>
              <w:left w:val="nil"/>
              <w:bottom w:val="single" w:sz="4" w:space="0" w:color="auto"/>
              <w:right w:val="single" w:sz="4" w:space="0" w:color="auto"/>
            </w:tcBorders>
            <w:vAlign w:val="center"/>
            <w:hideMark/>
          </w:tcPr>
          <w:p w14:paraId="3E8EE65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0B286EA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2928DF1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1410</w:t>
            </w:r>
          </w:p>
        </w:tc>
        <w:tc>
          <w:tcPr>
            <w:tcW w:w="1016" w:type="dxa"/>
            <w:tcBorders>
              <w:top w:val="nil"/>
              <w:left w:val="nil"/>
              <w:bottom w:val="single" w:sz="4" w:space="0" w:color="auto"/>
              <w:right w:val="single" w:sz="4" w:space="0" w:color="auto"/>
            </w:tcBorders>
            <w:vAlign w:val="center"/>
            <w:hideMark/>
          </w:tcPr>
          <w:p w14:paraId="200375E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1307</w:t>
            </w:r>
          </w:p>
        </w:tc>
        <w:tc>
          <w:tcPr>
            <w:tcW w:w="572" w:type="dxa"/>
            <w:tcBorders>
              <w:top w:val="nil"/>
              <w:left w:val="nil"/>
              <w:bottom w:val="single" w:sz="4" w:space="0" w:color="auto"/>
              <w:right w:val="single" w:sz="4" w:space="0" w:color="auto"/>
            </w:tcBorders>
            <w:vAlign w:val="center"/>
            <w:hideMark/>
          </w:tcPr>
          <w:p w14:paraId="3FD01FF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1410</w:t>
            </w:r>
          </w:p>
        </w:tc>
        <w:tc>
          <w:tcPr>
            <w:tcW w:w="1016" w:type="dxa"/>
            <w:tcBorders>
              <w:top w:val="nil"/>
              <w:left w:val="nil"/>
              <w:bottom w:val="single" w:sz="4" w:space="0" w:color="auto"/>
              <w:right w:val="single" w:sz="4" w:space="0" w:color="auto"/>
            </w:tcBorders>
            <w:vAlign w:val="center"/>
            <w:hideMark/>
          </w:tcPr>
          <w:p w14:paraId="2E677E9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1307</w:t>
            </w:r>
          </w:p>
        </w:tc>
        <w:tc>
          <w:tcPr>
            <w:tcW w:w="572" w:type="dxa"/>
            <w:tcBorders>
              <w:top w:val="nil"/>
              <w:left w:val="nil"/>
              <w:bottom w:val="single" w:sz="4" w:space="0" w:color="auto"/>
              <w:right w:val="single" w:sz="4" w:space="0" w:color="auto"/>
            </w:tcBorders>
            <w:vAlign w:val="center"/>
            <w:hideMark/>
          </w:tcPr>
          <w:p w14:paraId="5370D06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29F8064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2B161CE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1016" w:type="dxa"/>
            <w:tcBorders>
              <w:top w:val="nil"/>
              <w:left w:val="nil"/>
              <w:bottom w:val="single" w:sz="4" w:space="0" w:color="auto"/>
              <w:right w:val="single" w:sz="4" w:space="0" w:color="auto"/>
            </w:tcBorders>
            <w:vAlign w:val="center"/>
            <w:hideMark/>
          </w:tcPr>
          <w:p w14:paraId="0A6073F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1687</w:t>
            </w:r>
          </w:p>
        </w:tc>
        <w:tc>
          <w:tcPr>
            <w:tcW w:w="572" w:type="dxa"/>
            <w:gridSpan w:val="2"/>
            <w:tcBorders>
              <w:top w:val="single" w:sz="4" w:space="0" w:color="auto"/>
              <w:left w:val="nil"/>
              <w:bottom w:val="single" w:sz="4" w:space="0" w:color="auto"/>
              <w:right w:val="single" w:sz="4" w:space="0" w:color="auto"/>
            </w:tcBorders>
            <w:vAlign w:val="center"/>
            <w:hideMark/>
          </w:tcPr>
          <w:p w14:paraId="314E53C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1016" w:type="dxa"/>
            <w:tcBorders>
              <w:top w:val="nil"/>
              <w:left w:val="nil"/>
              <w:bottom w:val="single" w:sz="4" w:space="0" w:color="auto"/>
              <w:right w:val="single" w:sz="4" w:space="0" w:color="auto"/>
            </w:tcBorders>
            <w:vAlign w:val="center"/>
            <w:hideMark/>
          </w:tcPr>
          <w:p w14:paraId="24EFD85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1687</w:t>
            </w:r>
          </w:p>
        </w:tc>
        <w:tc>
          <w:tcPr>
            <w:tcW w:w="572" w:type="dxa"/>
            <w:tcBorders>
              <w:top w:val="single" w:sz="4" w:space="0" w:color="auto"/>
              <w:left w:val="nil"/>
              <w:bottom w:val="single" w:sz="4" w:space="0" w:color="auto"/>
              <w:right w:val="single" w:sz="4" w:space="0" w:color="000000"/>
            </w:tcBorders>
            <w:vAlign w:val="center"/>
            <w:hideMark/>
          </w:tcPr>
          <w:p w14:paraId="204BA1E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1820</w:t>
            </w:r>
          </w:p>
        </w:tc>
        <w:tc>
          <w:tcPr>
            <w:tcW w:w="1016" w:type="dxa"/>
            <w:tcBorders>
              <w:top w:val="nil"/>
              <w:left w:val="nil"/>
              <w:bottom w:val="single" w:sz="4" w:space="0" w:color="auto"/>
              <w:right w:val="single" w:sz="4" w:space="0" w:color="auto"/>
            </w:tcBorders>
            <w:vAlign w:val="center"/>
            <w:hideMark/>
          </w:tcPr>
          <w:p w14:paraId="108DFC8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1687</w:t>
            </w:r>
          </w:p>
        </w:tc>
      </w:tr>
      <w:tr w:rsidR="00153234" w:rsidRPr="00C91716" w14:paraId="28C11D5E"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2A43936E"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22. Tamil Nadu</w:t>
            </w:r>
          </w:p>
        </w:tc>
        <w:tc>
          <w:tcPr>
            <w:tcW w:w="572" w:type="dxa"/>
            <w:tcBorders>
              <w:top w:val="nil"/>
              <w:left w:val="nil"/>
              <w:bottom w:val="single" w:sz="4" w:space="0" w:color="auto"/>
              <w:right w:val="single" w:sz="4" w:space="0" w:color="auto"/>
            </w:tcBorders>
            <w:vAlign w:val="center"/>
            <w:hideMark/>
          </w:tcPr>
          <w:p w14:paraId="7D7BA39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780</w:t>
            </w:r>
          </w:p>
        </w:tc>
        <w:tc>
          <w:tcPr>
            <w:tcW w:w="1016" w:type="dxa"/>
            <w:tcBorders>
              <w:top w:val="nil"/>
              <w:left w:val="nil"/>
              <w:bottom w:val="single" w:sz="4" w:space="0" w:color="auto"/>
              <w:right w:val="single" w:sz="4" w:space="0" w:color="auto"/>
            </w:tcBorders>
            <w:vAlign w:val="center"/>
            <w:hideMark/>
          </w:tcPr>
          <w:p w14:paraId="0B41019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898</w:t>
            </w:r>
          </w:p>
        </w:tc>
        <w:tc>
          <w:tcPr>
            <w:tcW w:w="572" w:type="dxa"/>
            <w:tcBorders>
              <w:top w:val="nil"/>
              <w:left w:val="nil"/>
              <w:bottom w:val="single" w:sz="4" w:space="0" w:color="auto"/>
              <w:right w:val="single" w:sz="4" w:space="0" w:color="auto"/>
            </w:tcBorders>
            <w:vAlign w:val="center"/>
            <w:hideMark/>
          </w:tcPr>
          <w:p w14:paraId="57E727B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705</w:t>
            </w:r>
          </w:p>
        </w:tc>
        <w:tc>
          <w:tcPr>
            <w:tcW w:w="1016" w:type="dxa"/>
            <w:tcBorders>
              <w:top w:val="nil"/>
              <w:left w:val="nil"/>
              <w:bottom w:val="single" w:sz="4" w:space="0" w:color="auto"/>
              <w:right w:val="single" w:sz="4" w:space="0" w:color="auto"/>
            </w:tcBorders>
            <w:vAlign w:val="center"/>
            <w:hideMark/>
          </w:tcPr>
          <w:p w14:paraId="59EB8F3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812</w:t>
            </w:r>
          </w:p>
        </w:tc>
        <w:tc>
          <w:tcPr>
            <w:tcW w:w="572" w:type="dxa"/>
            <w:tcBorders>
              <w:top w:val="nil"/>
              <w:left w:val="nil"/>
              <w:bottom w:val="single" w:sz="4" w:space="0" w:color="auto"/>
              <w:right w:val="single" w:sz="4" w:space="0" w:color="auto"/>
            </w:tcBorders>
            <w:vAlign w:val="center"/>
            <w:hideMark/>
          </w:tcPr>
          <w:p w14:paraId="3CE214D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905</w:t>
            </w:r>
          </w:p>
        </w:tc>
        <w:tc>
          <w:tcPr>
            <w:tcW w:w="1016" w:type="dxa"/>
            <w:tcBorders>
              <w:top w:val="nil"/>
              <w:left w:val="nil"/>
              <w:bottom w:val="single" w:sz="4" w:space="0" w:color="auto"/>
              <w:right w:val="single" w:sz="4" w:space="0" w:color="auto"/>
            </w:tcBorders>
            <w:vAlign w:val="center"/>
            <w:hideMark/>
          </w:tcPr>
          <w:p w14:paraId="48471AA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1042</w:t>
            </w:r>
          </w:p>
        </w:tc>
        <w:tc>
          <w:tcPr>
            <w:tcW w:w="572" w:type="dxa"/>
            <w:tcBorders>
              <w:top w:val="nil"/>
              <w:left w:val="nil"/>
              <w:bottom w:val="single" w:sz="4" w:space="0" w:color="auto"/>
              <w:right w:val="single" w:sz="4" w:space="0" w:color="auto"/>
            </w:tcBorders>
            <w:vAlign w:val="center"/>
            <w:hideMark/>
          </w:tcPr>
          <w:p w14:paraId="6AD5831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1045</w:t>
            </w:r>
          </w:p>
        </w:tc>
        <w:tc>
          <w:tcPr>
            <w:tcW w:w="1016" w:type="dxa"/>
            <w:tcBorders>
              <w:top w:val="nil"/>
              <w:left w:val="nil"/>
              <w:bottom w:val="single" w:sz="4" w:space="0" w:color="auto"/>
              <w:right w:val="single" w:sz="4" w:space="0" w:color="auto"/>
            </w:tcBorders>
            <w:vAlign w:val="center"/>
            <w:hideMark/>
          </w:tcPr>
          <w:p w14:paraId="1C137CE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1203</w:t>
            </w:r>
          </w:p>
        </w:tc>
        <w:tc>
          <w:tcPr>
            <w:tcW w:w="572" w:type="dxa"/>
            <w:tcBorders>
              <w:top w:val="nil"/>
              <w:left w:val="nil"/>
              <w:bottom w:val="single" w:sz="4" w:space="0" w:color="auto"/>
              <w:right w:val="single" w:sz="4" w:space="0" w:color="auto"/>
            </w:tcBorders>
            <w:vAlign w:val="center"/>
            <w:hideMark/>
          </w:tcPr>
          <w:p w14:paraId="32AA5DB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780</w:t>
            </w:r>
          </w:p>
        </w:tc>
        <w:tc>
          <w:tcPr>
            <w:tcW w:w="1016" w:type="dxa"/>
            <w:tcBorders>
              <w:top w:val="nil"/>
              <w:left w:val="nil"/>
              <w:bottom w:val="single" w:sz="4" w:space="0" w:color="auto"/>
              <w:right w:val="single" w:sz="4" w:space="0" w:color="auto"/>
            </w:tcBorders>
            <w:vAlign w:val="center"/>
            <w:hideMark/>
          </w:tcPr>
          <w:p w14:paraId="4CDAF69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898</w:t>
            </w:r>
          </w:p>
        </w:tc>
        <w:tc>
          <w:tcPr>
            <w:tcW w:w="572" w:type="dxa"/>
            <w:tcBorders>
              <w:top w:val="nil"/>
              <w:left w:val="nil"/>
              <w:bottom w:val="single" w:sz="4" w:space="0" w:color="auto"/>
              <w:right w:val="single" w:sz="4" w:space="0" w:color="auto"/>
            </w:tcBorders>
            <w:vAlign w:val="center"/>
            <w:hideMark/>
          </w:tcPr>
          <w:p w14:paraId="07341F3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1160</w:t>
            </w:r>
          </w:p>
        </w:tc>
        <w:tc>
          <w:tcPr>
            <w:tcW w:w="1016" w:type="dxa"/>
            <w:tcBorders>
              <w:top w:val="nil"/>
              <w:left w:val="nil"/>
              <w:bottom w:val="single" w:sz="4" w:space="0" w:color="auto"/>
              <w:right w:val="single" w:sz="4" w:space="0" w:color="auto"/>
            </w:tcBorders>
            <w:vAlign w:val="center"/>
            <w:hideMark/>
          </w:tcPr>
          <w:p w14:paraId="759F02B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1336</w:t>
            </w:r>
          </w:p>
        </w:tc>
        <w:tc>
          <w:tcPr>
            <w:tcW w:w="572" w:type="dxa"/>
            <w:tcBorders>
              <w:top w:val="single" w:sz="4" w:space="0" w:color="auto"/>
              <w:left w:val="nil"/>
              <w:bottom w:val="single" w:sz="4" w:space="0" w:color="auto"/>
              <w:right w:val="single" w:sz="4" w:space="0" w:color="auto"/>
            </w:tcBorders>
            <w:vAlign w:val="center"/>
            <w:hideMark/>
          </w:tcPr>
          <w:p w14:paraId="7038BA2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1160</w:t>
            </w:r>
          </w:p>
        </w:tc>
        <w:tc>
          <w:tcPr>
            <w:tcW w:w="1016" w:type="dxa"/>
            <w:tcBorders>
              <w:top w:val="nil"/>
              <w:left w:val="nil"/>
              <w:bottom w:val="single" w:sz="4" w:space="0" w:color="auto"/>
              <w:right w:val="single" w:sz="4" w:space="0" w:color="auto"/>
            </w:tcBorders>
            <w:vAlign w:val="center"/>
            <w:hideMark/>
          </w:tcPr>
          <w:p w14:paraId="4B49DAC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1336</w:t>
            </w:r>
          </w:p>
        </w:tc>
        <w:tc>
          <w:tcPr>
            <w:tcW w:w="572" w:type="dxa"/>
            <w:gridSpan w:val="2"/>
            <w:tcBorders>
              <w:top w:val="single" w:sz="4" w:space="0" w:color="auto"/>
              <w:left w:val="nil"/>
              <w:bottom w:val="single" w:sz="4" w:space="0" w:color="auto"/>
              <w:right w:val="single" w:sz="4" w:space="0" w:color="auto"/>
            </w:tcBorders>
            <w:vAlign w:val="center"/>
            <w:hideMark/>
          </w:tcPr>
          <w:p w14:paraId="6B5C080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1340</w:t>
            </w:r>
          </w:p>
        </w:tc>
        <w:tc>
          <w:tcPr>
            <w:tcW w:w="1016" w:type="dxa"/>
            <w:tcBorders>
              <w:top w:val="nil"/>
              <w:left w:val="nil"/>
              <w:bottom w:val="single" w:sz="4" w:space="0" w:color="auto"/>
              <w:right w:val="single" w:sz="4" w:space="0" w:color="auto"/>
            </w:tcBorders>
            <w:vAlign w:val="center"/>
            <w:hideMark/>
          </w:tcPr>
          <w:p w14:paraId="44AD8DD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1543</w:t>
            </w:r>
          </w:p>
        </w:tc>
        <w:tc>
          <w:tcPr>
            <w:tcW w:w="572" w:type="dxa"/>
            <w:tcBorders>
              <w:top w:val="single" w:sz="4" w:space="0" w:color="auto"/>
              <w:left w:val="nil"/>
              <w:bottom w:val="single" w:sz="4" w:space="0" w:color="auto"/>
              <w:right w:val="single" w:sz="4" w:space="0" w:color="000000"/>
            </w:tcBorders>
            <w:vAlign w:val="center"/>
            <w:hideMark/>
          </w:tcPr>
          <w:p w14:paraId="5126ACF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1340</w:t>
            </w:r>
          </w:p>
        </w:tc>
        <w:tc>
          <w:tcPr>
            <w:tcW w:w="1016" w:type="dxa"/>
            <w:tcBorders>
              <w:top w:val="nil"/>
              <w:left w:val="nil"/>
              <w:bottom w:val="single" w:sz="4" w:space="0" w:color="auto"/>
              <w:right w:val="single" w:sz="4" w:space="0" w:color="auto"/>
            </w:tcBorders>
            <w:vAlign w:val="center"/>
            <w:hideMark/>
          </w:tcPr>
          <w:p w14:paraId="53C7883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1543</w:t>
            </w:r>
          </w:p>
        </w:tc>
      </w:tr>
      <w:tr w:rsidR="00153234" w:rsidRPr="00C91716" w14:paraId="7288090F"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139056E6"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23. Tripura</w:t>
            </w:r>
          </w:p>
        </w:tc>
        <w:tc>
          <w:tcPr>
            <w:tcW w:w="572" w:type="dxa"/>
            <w:tcBorders>
              <w:top w:val="nil"/>
              <w:left w:val="nil"/>
              <w:bottom w:val="single" w:sz="4" w:space="0" w:color="auto"/>
              <w:right w:val="single" w:sz="4" w:space="0" w:color="auto"/>
            </w:tcBorders>
            <w:vAlign w:val="center"/>
            <w:hideMark/>
          </w:tcPr>
          <w:p w14:paraId="23626E6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1016" w:type="dxa"/>
            <w:tcBorders>
              <w:top w:val="nil"/>
              <w:left w:val="nil"/>
              <w:bottom w:val="single" w:sz="4" w:space="0" w:color="auto"/>
              <w:right w:val="single" w:sz="4" w:space="0" w:color="auto"/>
            </w:tcBorders>
            <w:vAlign w:val="center"/>
            <w:hideMark/>
          </w:tcPr>
          <w:p w14:paraId="1233204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572" w:type="dxa"/>
            <w:tcBorders>
              <w:top w:val="nil"/>
              <w:left w:val="nil"/>
              <w:bottom w:val="single" w:sz="4" w:space="0" w:color="auto"/>
              <w:right w:val="single" w:sz="4" w:space="0" w:color="auto"/>
            </w:tcBorders>
            <w:vAlign w:val="center"/>
            <w:hideMark/>
          </w:tcPr>
          <w:p w14:paraId="4E69B44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1016" w:type="dxa"/>
            <w:tcBorders>
              <w:top w:val="nil"/>
              <w:left w:val="nil"/>
              <w:bottom w:val="single" w:sz="4" w:space="0" w:color="auto"/>
              <w:right w:val="single" w:sz="4" w:space="0" w:color="auto"/>
            </w:tcBorders>
            <w:vAlign w:val="center"/>
            <w:hideMark/>
          </w:tcPr>
          <w:p w14:paraId="4836175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572" w:type="dxa"/>
            <w:tcBorders>
              <w:top w:val="nil"/>
              <w:left w:val="nil"/>
              <w:bottom w:val="single" w:sz="4" w:space="0" w:color="auto"/>
              <w:right w:val="single" w:sz="4" w:space="0" w:color="auto"/>
            </w:tcBorders>
            <w:vAlign w:val="center"/>
            <w:hideMark/>
          </w:tcPr>
          <w:p w14:paraId="5E2AD8C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970</w:t>
            </w:r>
          </w:p>
        </w:tc>
        <w:tc>
          <w:tcPr>
            <w:tcW w:w="1016" w:type="dxa"/>
            <w:tcBorders>
              <w:top w:val="nil"/>
              <w:left w:val="nil"/>
              <w:bottom w:val="single" w:sz="4" w:space="0" w:color="auto"/>
              <w:right w:val="single" w:sz="4" w:space="0" w:color="auto"/>
            </w:tcBorders>
            <w:vAlign w:val="center"/>
            <w:hideMark/>
          </w:tcPr>
          <w:p w14:paraId="2CCBE2A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970</w:t>
            </w:r>
          </w:p>
        </w:tc>
        <w:tc>
          <w:tcPr>
            <w:tcW w:w="572" w:type="dxa"/>
            <w:tcBorders>
              <w:top w:val="nil"/>
              <w:left w:val="nil"/>
              <w:bottom w:val="single" w:sz="4" w:space="0" w:color="auto"/>
              <w:right w:val="single" w:sz="4" w:space="0" w:color="auto"/>
            </w:tcBorders>
            <w:vAlign w:val="center"/>
            <w:hideMark/>
          </w:tcPr>
          <w:p w14:paraId="24C3D52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1016" w:type="dxa"/>
            <w:tcBorders>
              <w:top w:val="nil"/>
              <w:left w:val="nil"/>
              <w:bottom w:val="single" w:sz="4" w:space="0" w:color="auto"/>
              <w:right w:val="single" w:sz="4" w:space="0" w:color="auto"/>
            </w:tcBorders>
            <w:vAlign w:val="center"/>
            <w:hideMark/>
          </w:tcPr>
          <w:p w14:paraId="07D4E58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572" w:type="dxa"/>
            <w:tcBorders>
              <w:top w:val="nil"/>
              <w:left w:val="nil"/>
              <w:bottom w:val="single" w:sz="4" w:space="0" w:color="auto"/>
              <w:right w:val="single" w:sz="4" w:space="0" w:color="auto"/>
            </w:tcBorders>
            <w:vAlign w:val="center"/>
            <w:hideMark/>
          </w:tcPr>
          <w:p w14:paraId="0D7633E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1016" w:type="dxa"/>
            <w:tcBorders>
              <w:top w:val="nil"/>
              <w:left w:val="nil"/>
              <w:bottom w:val="single" w:sz="4" w:space="0" w:color="auto"/>
              <w:right w:val="single" w:sz="4" w:space="0" w:color="auto"/>
            </w:tcBorders>
            <w:vAlign w:val="center"/>
            <w:hideMark/>
          </w:tcPr>
          <w:p w14:paraId="0AB1DFD1"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1450</w:t>
            </w:r>
          </w:p>
        </w:tc>
        <w:tc>
          <w:tcPr>
            <w:tcW w:w="572" w:type="dxa"/>
            <w:tcBorders>
              <w:top w:val="nil"/>
              <w:left w:val="nil"/>
              <w:bottom w:val="single" w:sz="4" w:space="0" w:color="auto"/>
              <w:right w:val="single" w:sz="4" w:space="0" w:color="auto"/>
            </w:tcBorders>
            <w:vAlign w:val="center"/>
            <w:hideMark/>
          </w:tcPr>
          <w:p w14:paraId="64E3FF8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19CFF85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single" w:sz="4" w:space="0" w:color="auto"/>
              <w:left w:val="nil"/>
              <w:bottom w:val="single" w:sz="4" w:space="0" w:color="auto"/>
              <w:right w:val="single" w:sz="4" w:space="0" w:color="auto"/>
            </w:tcBorders>
            <w:vAlign w:val="center"/>
            <w:hideMark/>
          </w:tcPr>
          <w:p w14:paraId="5A7761A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2100</w:t>
            </w:r>
          </w:p>
        </w:tc>
        <w:tc>
          <w:tcPr>
            <w:tcW w:w="1016" w:type="dxa"/>
            <w:tcBorders>
              <w:top w:val="nil"/>
              <w:left w:val="nil"/>
              <w:bottom w:val="single" w:sz="4" w:space="0" w:color="auto"/>
              <w:right w:val="single" w:sz="4" w:space="0" w:color="auto"/>
            </w:tcBorders>
            <w:vAlign w:val="center"/>
            <w:hideMark/>
          </w:tcPr>
          <w:p w14:paraId="30E9E5B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2100</w:t>
            </w:r>
          </w:p>
        </w:tc>
        <w:tc>
          <w:tcPr>
            <w:tcW w:w="572" w:type="dxa"/>
            <w:gridSpan w:val="2"/>
            <w:tcBorders>
              <w:top w:val="single" w:sz="4" w:space="0" w:color="auto"/>
              <w:left w:val="nil"/>
              <w:bottom w:val="single" w:sz="4" w:space="0" w:color="auto"/>
              <w:right w:val="single" w:sz="4" w:space="0" w:color="auto"/>
            </w:tcBorders>
            <w:vAlign w:val="center"/>
            <w:hideMark/>
          </w:tcPr>
          <w:p w14:paraId="181D564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2100</w:t>
            </w:r>
          </w:p>
        </w:tc>
        <w:tc>
          <w:tcPr>
            <w:tcW w:w="1016" w:type="dxa"/>
            <w:tcBorders>
              <w:top w:val="nil"/>
              <w:left w:val="nil"/>
              <w:bottom w:val="single" w:sz="4" w:space="0" w:color="auto"/>
              <w:right w:val="single" w:sz="4" w:space="0" w:color="auto"/>
            </w:tcBorders>
            <w:vAlign w:val="center"/>
            <w:hideMark/>
          </w:tcPr>
          <w:p w14:paraId="3882896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2100</w:t>
            </w:r>
          </w:p>
        </w:tc>
        <w:tc>
          <w:tcPr>
            <w:tcW w:w="572" w:type="dxa"/>
            <w:tcBorders>
              <w:top w:val="single" w:sz="4" w:space="0" w:color="auto"/>
              <w:left w:val="nil"/>
              <w:bottom w:val="single" w:sz="4" w:space="0" w:color="auto"/>
              <w:right w:val="single" w:sz="4" w:space="0" w:color="000000"/>
            </w:tcBorders>
            <w:vAlign w:val="center"/>
            <w:hideMark/>
          </w:tcPr>
          <w:p w14:paraId="02DDF81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2100</w:t>
            </w:r>
          </w:p>
        </w:tc>
        <w:tc>
          <w:tcPr>
            <w:tcW w:w="1016" w:type="dxa"/>
            <w:tcBorders>
              <w:top w:val="nil"/>
              <w:left w:val="nil"/>
              <w:bottom w:val="single" w:sz="4" w:space="0" w:color="auto"/>
              <w:right w:val="single" w:sz="4" w:space="0" w:color="auto"/>
            </w:tcBorders>
            <w:vAlign w:val="center"/>
            <w:hideMark/>
          </w:tcPr>
          <w:p w14:paraId="1882F1EE"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2100</w:t>
            </w:r>
          </w:p>
        </w:tc>
      </w:tr>
      <w:tr w:rsidR="00153234" w:rsidRPr="00C91716" w14:paraId="3F5D4265"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67D06DDF"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24. Uttar Pradesh</w:t>
            </w:r>
          </w:p>
        </w:tc>
        <w:tc>
          <w:tcPr>
            <w:tcW w:w="572" w:type="dxa"/>
            <w:tcBorders>
              <w:top w:val="nil"/>
              <w:left w:val="nil"/>
              <w:bottom w:val="single" w:sz="4" w:space="0" w:color="auto"/>
              <w:right w:val="single" w:sz="4" w:space="0" w:color="auto"/>
            </w:tcBorders>
            <w:vAlign w:val="center"/>
            <w:hideMark/>
          </w:tcPr>
          <w:p w14:paraId="4213F3B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540</w:t>
            </w:r>
          </w:p>
        </w:tc>
        <w:tc>
          <w:tcPr>
            <w:tcW w:w="1016" w:type="dxa"/>
            <w:tcBorders>
              <w:top w:val="nil"/>
              <w:left w:val="nil"/>
              <w:bottom w:val="single" w:sz="4" w:space="0" w:color="auto"/>
              <w:right w:val="single" w:sz="4" w:space="0" w:color="auto"/>
            </w:tcBorders>
            <w:vAlign w:val="center"/>
            <w:hideMark/>
          </w:tcPr>
          <w:p w14:paraId="127A201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1001</w:t>
            </w:r>
          </w:p>
        </w:tc>
        <w:tc>
          <w:tcPr>
            <w:tcW w:w="572" w:type="dxa"/>
            <w:tcBorders>
              <w:top w:val="nil"/>
              <w:left w:val="nil"/>
              <w:bottom w:val="single" w:sz="4" w:space="0" w:color="auto"/>
              <w:right w:val="single" w:sz="4" w:space="0" w:color="auto"/>
            </w:tcBorders>
            <w:vAlign w:val="center"/>
            <w:hideMark/>
          </w:tcPr>
          <w:p w14:paraId="722E771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7B9C5C1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3884CB6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515</w:t>
            </w:r>
          </w:p>
        </w:tc>
        <w:tc>
          <w:tcPr>
            <w:tcW w:w="1016" w:type="dxa"/>
            <w:tcBorders>
              <w:top w:val="nil"/>
              <w:left w:val="nil"/>
              <w:bottom w:val="single" w:sz="4" w:space="0" w:color="auto"/>
              <w:right w:val="single" w:sz="4" w:space="0" w:color="auto"/>
            </w:tcBorders>
            <w:vAlign w:val="center"/>
            <w:hideMark/>
          </w:tcPr>
          <w:p w14:paraId="597CC09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955</w:t>
            </w:r>
          </w:p>
        </w:tc>
        <w:tc>
          <w:tcPr>
            <w:tcW w:w="572" w:type="dxa"/>
            <w:tcBorders>
              <w:top w:val="nil"/>
              <w:left w:val="nil"/>
              <w:bottom w:val="single" w:sz="4" w:space="0" w:color="auto"/>
              <w:right w:val="single" w:sz="4" w:space="0" w:color="auto"/>
            </w:tcBorders>
            <w:vAlign w:val="center"/>
            <w:hideMark/>
          </w:tcPr>
          <w:p w14:paraId="21F4DF82"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515</w:t>
            </w:r>
          </w:p>
        </w:tc>
        <w:tc>
          <w:tcPr>
            <w:tcW w:w="1016" w:type="dxa"/>
            <w:tcBorders>
              <w:top w:val="nil"/>
              <w:left w:val="nil"/>
              <w:bottom w:val="single" w:sz="4" w:space="0" w:color="auto"/>
              <w:right w:val="single" w:sz="4" w:space="0" w:color="auto"/>
            </w:tcBorders>
            <w:vAlign w:val="center"/>
            <w:hideMark/>
          </w:tcPr>
          <w:p w14:paraId="4A2F4DB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955</w:t>
            </w:r>
          </w:p>
        </w:tc>
        <w:tc>
          <w:tcPr>
            <w:tcW w:w="572" w:type="dxa"/>
            <w:tcBorders>
              <w:top w:val="nil"/>
              <w:left w:val="nil"/>
              <w:bottom w:val="single" w:sz="4" w:space="0" w:color="auto"/>
              <w:right w:val="single" w:sz="4" w:space="0" w:color="auto"/>
            </w:tcBorders>
            <w:vAlign w:val="center"/>
            <w:hideMark/>
          </w:tcPr>
          <w:p w14:paraId="13C5A7B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470</w:t>
            </w:r>
          </w:p>
        </w:tc>
        <w:tc>
          <w:tcPr>
            <w:tcW w:w="1016" w:type="dxa"/>
            <w:tcBorders>
              <w:top w:val="nil"/>
              <w:left w:val="nil"/>
              <w:bottom w:val="single" w:sz="4" w:space="0" w:color="auto"/>
              <w:right w:val="single" w:sz="4" w:space="0" w:color="auto"/>
            </w:tcBorders>
            <w:vAlign w:val="center"/>
            <w:hideMark/>
          </w:tcPr>
          <w:p w14:paraId="20BF2A5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871</w:t>
            </w:r>
          </w:p>
        </w:tc>
        <w:tc>
          <w:tcPr>
            <w:tcW w:w="572" w:type="dxa"/>
            <w:tcBorders>
              <w:top w:val="nil"/>
              <w:left w:val="nil"/>
              <w:bottom w:val="single" w:sz="4" w:space="0" w:color="auto"/>
              <w:right w:val="single" w:sz="4" w:space="0" w:color="auto"/>
            </w:tcBorders>
            <w:vAlign w:val="center"/>
            <w:hideMark/>
          </w:tcPr>
          <w:p w14:paraId="60C6FFF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690</w:t>
            </w:r>
          </w:p>
        </w:tc>
        <w:tc>
          <w:tcPr>
            <w:tcW w:w="1016" w:type="dxa"/>
            <w:tcBorders>
              <w:top w:val="nil"/>
              <w:left w:val="nil"/>
              <w:bottom w:val="single" w:sz="4" w:space="0" w:color="auto"/>
              <w:right w:val="single" w:sz="4" w:space="0" w:color="auto"/>
            </w:tcBorders>
            <w:vAlign w:val="center"/>
            <w:hideMark/>
          </w:tcPr>
          <w:p w14:paraId="4D55F2A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1279</w:t>
            </w:r>
          </w:p>
        </w:tc>
        <w:tc>
          <w:tcPr>
            <w:tcW w:w="572" w:type="dxa"/>
            <w:tcBorders>
              <w:top w:val="single" w:sz="4" w:space="0" w:color="auto"/>
              <w:left w:val="nil"/>
              <w:bottom w:val="single" w:sz="4" w:space="0" w:color="auto"/>
              <w:right w:val="single" w:sz="4" w:space="0" w:color="auto"/>
            </w:tcBorders>
            <w:vAlign w:val="center"/>
            <w:hideMark/>
          </w:tcPr>
          <w:p w14:paraId="754AE7A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850</w:t>
            </w:r>
          </w:p>
        </w:tc>
        <w:tc>
          <w:tcPr>
            <w:tcW w:w="1016" w:type="dxa"/>
            <w:tcBorders>
              <w:top w:val="nil"/>
              <w:left w:val="nil"/>
              <w:bottom w:val="single" w:sz="4" w:space="0" w:color="auto"/>
              <w:right w:val="single" w:sz="4" w:space="0" w:color="auto"/>
            </w:tcBorders>
            <w:vAlign w:val="center"/>
            <w:hideMark/>
          </w:tcPr>
          <w:p w14:paraId="55A5DC97"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1576</w:t>
            </w:r>
          </w:p>
        </w:tc>
        <w:tc>
          <w:tcPr>
            <w:tcW w:w="572" w:type="dxa"/>
            <w:gridSpan w:val="2"/>
            <w:tcBorders>
              <w:top w:val="single" w:sz="4" w:space="0" w:color="auto"/>
              <w:left w:val="nil"/>
              <w:bottom w:val="single" w:sz="4" w:space="0" w:color="auto"/>
              <w:right w:val="single" w:sz="4" w:space="0" w:color="auto"/>
            </w:tcBorders>
            <w:vAlign w:val="center"/>
            <w:hideMark/>
          </w:tcPr>
          <w:p w14:paraId="570C6E7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850</w:t>
            </w:r>
          </w:p>
        </w:tc>
        <w:tc>
          <w:tcPr>
            <w:tcW w:w="1016" w:type="dxa"/>
            <w:tcBorders>
              <w:top w:val="nil"/>
              <w:left w:val="nil"/>
              <w:bottom w:val="single" w:sz="4" w:space="0" w:color="auto"/>
              <w:right w:val="single" w:sz="4" w:space="0" w:color="auto"/>
            </w:tcBorders>
            <w:vAlign w:val="center"/>
            <w:hideMark/>
          </w:tcPr>
          <w:p w14:paraId="12F77EE4"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1576</w:t>
            </w:r>
          </w:p>
        </w:tc>
        <w:tc>
          <w:tcPr>
            <w:tcW w:w="572" w:type="dxa"/>
            <w:tcBorders>
              <w:top w:val="single" w:sz="4" w:space="0" w:color="auto"/>
              <w:left w:val="nil"/>
              <w:bottom w:val="single" w:sz="4" w:space="0" w:color="auto"/>
              <w:right w:val="single" w:sz="4" w:space="0" w:color="000000"/>
            </w:tcBorders>
            <w:vAlign w:val="center"/>
            <w:hideMark/>
          </w:tcPr>
          <w:p w14:paraId="3BCB9D4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850</w:t>
            </w:r>
          </w:p>
        </w:tc>
        <w:tc>
          <w:tcPr>
            <w:tcW w:w="1016" w:type="dxa"/>
            <w:tcBorders>
              <w:top w:val="nil"/>
              <w:left w:val="nil"/>
              <w:bottom w:val="single" w:sz="4" w:space="0" w:color="auto"/>
              <w:right w:val="single" w:sz="4" w:space="0" w:color="auto"/>
            </w:tcBorders>
            <w:vAlign w:val="center"/>
            <w:hideMark/>
          </w:tcPr>
          <w:p w14:paraId="0D5CE22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1576</w:t>
            </w:r>
          </w:p>
        </w:tc>
      </w:tr>
      <w:tr w:rsidR="00153234" w:rsidRPr="00C91716" w14:paraId="1CCF5E88" w14:textId="77777777" w:rsidTr="00153234">
        <w:trPr>
          <w:trHeight w:val="26"/>
          <w:jc w:val="center"/>
        </w:trPr>
        <w:tc>
          <w:tcPr>
            <w:tcW w:w="1648" w:type="dxa"/>
            <w:tcBorders>
              <w:top w:val="nil"/>
              <w:left w:val="single" w:sz="4" w:space="0" w:color="auto"/>
              <w:bottom w:val="single" w:sz="4" w:space="0" w:color="auto"/>
              <w:right w:val="single" w:sz="4" w:space="0" w:color="auto"/>
            </w:tcBorders>
            <w:vAlign w:val="center"/>
            <w:hideMark/>
          </w:tcPr>
          <w:p w14:paraId="77C8EE0F" w14:textId="77777777" w:rsidR="00153234" w:rsidRPr="00C91716" w:rsidRDefault="00153234" w:rsidP="00153234">
            <w:pPr>
              <w:pStyle w:val="NoSpacing"/>
              <w:rPr>
                <w:rFonts w:ascii="Times New Roman" w:hAnsi="Times New Roman" w:cs="Times New Roman"/>
                <w:sz w:val="16"/>
                <w:szCs w:val="16"/>
              </w:rPr>
            </w:pPr>
            <w:r w:rsidRPr="00C91716">
              <w:rPr>
                <w:rFonts w:ascii="Times New Roman" w:hAnsi="Times New Roman" w:cs="Times New Roman"/>
                <w:sz w:val="16"/>
                <w:szCs w:val="16"/>
              </w:rPr>
              <w:t>25. West Bengal</w:t>
            </w:r>
          </w:p>
        </w:tc>
        <w:tc>
          <w:tcPr>
            <w:tcW w:w="572" w:type="dxa"/>
            <w:tcBorders>
              <w:top w:val="nil"/>
              <w:left w:val="nil"/>
              <w:bottom w:val="single" w:sz="4" w:space="0" w:color="auto"/>
              <w:right w:val="single" w:sz="4" w:space="0" w:color="auto"/>
            </w:tcBorders>
            <w:vAlign w:val="center"/>
            <w:hideMark/>
          </w:tcPr>
          <w:p w14:paraId="7261BFB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440</w:t>
            </w:r>
          </w:p>
        </w:tc>
        <w:tc>
          <w:tcPr>
            <w:tcW w:w="1016" w:type="dxa"/>
            <w:tcBorders>
              <w:top w:val="nil"/>
              <w:left w:val="nil"/>
              <w:bottom w:val="single" w:sz="4" w:space="0" w:color="auto"/>
              <w:right w:val="single" w:sz="4" w:space="0" w:color="auto"/>
            </w:tcBorders>
            <w:vAlign w:val="center"/>
            <w:hideMark/>
          </w:tcPr>
          <w:p w14:paraId="2B03C816"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1338</w:t>
            </w:r>
          </w:p>
        </w:tc>
        <w:tc>
          <w:tcPr>
            <w:tcW w:w="572" w:type="dxa"/>
            <w:tcBorders>
              <w:top w:val="nil"/>
              <w:left w:val="nil"/>
              <w:bottom w:val="single" w:sz="4" w:space="0" w:color="auto"/>
              <w:right w:val="single" w:sz="4" w:space="0" w:color="auto"/>
            </w:tcBorders>
            <w:vAlign w:val="center"/>
            <w:hideMark/>
          </w:tcPr>
          <w:p w14:paraId="4B1FC54A"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380</w:t>
            </w:r>
          </w:p>
        </w:tc>
        <w:tc>
          <w:tcPr>
            <w:tcW w:w="1016" w:type="dxa"/>
            <w:tcBorders>
              <w:top w:val="nil"/>
              <w:left w:val="nil"/>
              <w:bottom w:val="single" w:sz="4" w:space="0" w:color="auto"/>
              <w:right w:val="single" w:sz="4" w:space="0" w:color="auto"/>
            </w:tcBorders>
            <w:vAlign w:val="center"/>
            <w:hideMark/>
          </w:tcPr>
          <w:p w14:paraId="1CE084C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1155</w:t>
            </w:r>
          </w:p>
        </w:tc>
        <w:tc>
          <w:tcPr>
            <w:tcW w:w="572" w:type="dxa"/>
            <w:tcBorders>
              <w:top w:val="nil"/>
              <w:left w:val="nil"/>
              <w:bottom w:val="single" w:sz="4" w:space="0" w:color="auto"/>
              <w:right w:val="single" w:sz="4" w:space="0" w:color="auto"/>
            </w:tcBorders>
            <w:vAlign w:val="center"/>
            <w:hideMark/>
          </w:tcPr>
          <w:p w14:paraId="6C534293"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1016" w:type="dxa"/>
            <w:tcBorders>
              <w:top w:val="nil"/>
              <w:left w:val="nil"/>
              <w:bottom w:val="single" w:sz="4" w:space="0" w:color="auto"/>
              <w:right w:val="single" w:sz="4" w:space="0" w:color="auto"/>
            </w:tcBorders>
            <w:vAlign w:val="center"/>
            <w:hideMark/>
          </w:tcPr>
          <w:p w14:paraId="512DF1A5"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w:t>
            </w:r>
          </w:p>
        </w:tc>
        <w:tc>
          <w:tcPr>
            <w:tcW w:w="572" w:type="dxa"/>
            <w:tcBorders>
              <w:top w:val="nil"/>
              <w:left w:val="nil"/>
              <w:bottom w:val="single" w:sz="4" w:space="0" w:color="auto"/>
              <w:right w:val="single" w:sz="4" w:space="0" w:color="auto"/>
            </w:tcBorders>
            <w:vAlign w:val="center"/>
            <w:hideMark/>
          </w:tcPr>
          <w:p w14:paraId="6A9C24A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425</w:t>
            </w:r>
          </w:p>
        </w:tc>
        <w:tc>
          <w:tcPr>
            <w:tcW w:w="1016" w:type="dxa"/>
            <w:tcBorders>
              <w:top w:val="nil"/>
              <w:left w:val="nil"/>
              <w:bottom w:val="single" w:sz="4" w:space="0" w:color="auto"/>
              <w:right w:val="single" w:sz="4" w:space="0" w:color="auto"/>
            </w:tcBorders>
            <w:vAlign w:val="center"/>
            <w:hideMark/>
          </w:tcPr>
          <w:p w14:paraId="0337E39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1292</w:t>
            </w:r>
          </w:p>
        </w:tc>
        <w:tc>
          <w:tcPr>
            <w:tcW w:w="572" w:type="dxa"/>
            <w:tcBorders>
              <w:top w:val="nil"/>
              <w:left w:val="nil"/>
              <w:bottom w:val="single" w:sz="4" w:space="0" w:color="auto"/>
              <w:right w:val="single" w:sz="4" w:space="0" w:color="auto"/>
            </w:tcBorders>
            <w:vAlign w:val="center"/>
            <w:hideMark/>
          </w:tcPr>
          <w:p w14:paraId="12237439"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300</w:t>
            </w:r>
          </w:p>
        </w:tc>
        <w:tc>
          <w:tcPr>
            <w:tcW w:w="1016" w:type="dxa"/>
            <w:tcBorders>
              <w:top w:val="nil"/>
              <w:left w:val="nil"/>
              <w:bottom w:val="single" w:sz="4" w:space="0" w:color="auto"/>
              <w:right w:val="single" w:sz="4" w:space="0" w:color="auto"/>
            </w:tcBorders>
            <w:vAlign w:val="center"/>
            <w:hideMark/>
          </w:tcPr>
          <w:p w14:paraId="752E6A0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912</w:t>
            </w:r>
          </w:p>
        </w:tc>
        <w:tc>
          <w:tcPr>
            <w:tcW w:w="572" w:type="dxa"/>
            <w:tcBorders>
              <w:top w:val="nil"/>
              <w:left w:val="nil"/>
              <w:bottom w:val="single" w:sz="4" w:space="0" w:color="auto"/>
              <w:right w:val="single" w:sz="4" w:space="0" w:color="auto"/>
            </w:tcBorders>
            <w:vAlign w:val="center"/>
            <w:hideMark/>
          </w:tcPr>
          <w:p w14:paraId="10A7602C"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280</w:t>
            </w:r>
          </w:p>
        </w:tc>
        <w:tc>
          <w:tcPr>
            <w:tcW w:w="1016" w:type="dxa"/>
            <w:tcBorders>
              <w:top w:val="nil"/>
              <w:left w:val="nil"/>
              <w:bottom w:val="single" w:sz="4" w:space="0" w:color="auto"/>
              <w:right w:val="single" w:sz="4" w:space="0" w:color="auto"/>
            </w:tcBorders>
            <w:vAlign w:val="center"/>
            <w:hideMark/>
          </w:tcPr>
          <w:p w14:paraId="00213DB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851</w:t>
            </w:r>
          </w:p>
        </w:tc>
        <w:tc>
          <w:tcPr>
            <w:tcW w:w="572" w:type="dxa"/>
            <w:tcBorders>
              <w:top w:val="single" w:sz="4" w:space="0" w:color="auto"/>
              <w:left w:val="nil"/>
              <w:bottom w:val="single" w:sz="4" w:space="0" w:color="auto"/>
              <w:right w:val="single" w:sz="4" w:space="0" w:color="auto"/>
            </w:tcBorders>
            <w:vAlign w:val="center"/>
            <w:hideMark/>
          </w:tcPr>
          <w:p w14:paraId="164A7FFD"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660</w:t>
            </w:r>
          </w:p>
        </w:tc>
        <w:tc>
          <w:tcPr>
            <w:tcW w:w="1016" w:type="dxa"/>
            <w:tcBorders>
              <w:top w:val="nil"/>
              <w:left w:val="nil"/>
              <w:bottom w:val="single" w:sz="4" w:space="0" w:color="auto"/>
              <w:right w:val="single" w:sz="4" w:space="0" w:color="auto"/>
            </w:tcBorders>
            <w:vAlign w:val="center"/>
            <w:hideMark/>
          </w:tcPr>
          <w:p w14:paraId="431CB7D8"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2006</w:t>
            </w:r>
          </w:p>
        </w:tc>
        <w:tc>
          <w:tcPr>
            <w:tcW w:w="572" w:type="dxa"/>
            <w:gridSpan w:val="2"/>
            <w:tcBorders>
              <w:top w:val="single" w:sz="4" w:space="0" w:color="auto"/>
              <w:left w:val="nil"/>
              <w:bottom w:val="single" w:sz="4" w:space="0" w:color="auto"/>
              <w:right w:val="single" w:sz="4" w:space="0" w:color="auto"/>
            </w:tcBorders>
            <w:vAlign w:val="center"/>
            <w:hideMark/>
          </w:tcPr>
          <w:p w14:paraId="3FC5C4BF"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660</w:t>
            </w:r>
          </w:p>
        </w:tc>
        <w:tc>
          <w:tcPr>
            <w:tcW w:w="1016" w:type="dxa"/>
            <w:tcBorders>
              <w:top w:val="nil"/>
              <w:left w:val="nil"/>
              <w:bottom w:val="single" w:sz="4" w:space="0" w:color="auto"/>
              <w:right w:val="single" w:sz="4" w:space="0" w:color="auto"/>
            </w:tcBorders>
            <w:vAlign w:val="center"/>
            <w:hideMark/>
          </w:tcPr>
          <w:p w14:paraId="2119B94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2006</w:t>
            </w:r>
          </w:p>
        </w:tc>
        <w:tc>
          <w:tcPr>
            <w:tcW w:w="572" w:type="dxa"/>
            <w:tcBorders>
              <w:top w:val="single" w:sz="4" w:space="0" w:color="auto"/>
              <w:left w:val="nil"/>
              <w:bottom w:val="single" w:sz="4" w:space="0" w:color="auto"/>
              <w:right w:val="single" w:sz="4" w:space="0" w:color="000000"/>
            </w:tcBorders>
            <w:vAlign w:val="center"/>
            <w:hideMark/>
          </w:tcPr>
          <w:p w14:paraId="72E626EB"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550</w:t>
            </w:r>
          </w:p>
        </w:tc>
        <w:tc>
          <w:tcPr>
            <w:tcW w:w="1016" w:type="dxa"/>
            <w:tcBorders>
              <w:top w:val="nil"/>
              <w:left w:val="nil"/>
              <w:bottom w:val="single" w:sz="4" w:space="0" w:color="auto"/>
              <w:right w:val="single" w:sz="4" w:space="0" w:color="auto"/>
            </w:tcBorders>
            <w:vAlign w:val="center"/>
            <w:hideMark/>
          </w:tcPr>
          <w:p w14:paraId="026FF9D0" w14:textId="77777777" w:rsidR="00153234" w:rsidRPr="00C91716" w:rsidRDefault="00153234" w:rsidP="00153234">
            <w:pPr>
              <w:pStyle w:val="NoSpacing"/>
              <w:jc w:val="center"/>
              <w:rPr>
                <w:rFonts w:ascii="Times New Roman" w:hAnsi="Times New Roman" w:cs="Times New Roman"/>
                <w:sz w:val="16"/>
                <w:szCs w:val="16"/>
              </w:rPr>
            </w:pPr>
            <w:r w:rsidRPr="00C91716">
              <w:rPr>
                <w:rFonts w:ascii="Times New Roman" w:hAnsi="Times New Roman" w:cs="Times New Roman"/>
                <w:sz w:val="16"/>
                <w:szCs w:val="16"/>
              </w:rPr>
              <w:t>1672</w:t>
            </w:r>
          </w:p>
        </w:tc>
      </w:tr>
    </w:tbl>
    <w:p w14:paraId="3DA63014" w14:textId="18C64838" w:rsidR="005575EA" w:rsidRPr="00153234" w:rsidRDefault="00EF64EC" w:rsidP="00153234">
      <w:pPr>
        <w:pStyle w:val="NoSpacing"/>
        <w:ind w:left="1440"/>
        <w:rPr>
          <w:rFonts w:ascii="Times New Roman" w:hAnsi="Times New Roman" w:cs="Times New Roman"/>
          <w:sz w:val="16"/>
          <w:szCs w:val="14"/>
        </w:rPr>
      </w:pPr>
      <w:r w:rsidRPr="00153234">
        <w:rPr>
          <w:rFonts w:ascii="Times New Roman" w:hAnsi="Times New Roman" w:cs="Times New Roman"/>
          <w:sz w:val="16"/>
          <w:szCs w:val="14"/>
        </w:rPr>
        <w:t xml:space="preserve">NA-Not Available </w:t>
      </w:r>
    </w:p>
    <w:p w14:paraId="4BA4D3AC" w14:textId="2F8F973D" w:rsidR="00053D0C" w:rsidRPr="00153234" w:rsidRDefault="00EF64EC" w:rsidP="00153234">
      <w:pPr>
        <w:pStyle w:val="NoSpacing"/>
        <w:numPr>
          <w:ilvl w:val="2"/>
          <w:numId w:val="10"/>
        </w:numPr>
        <w:ind w:left="1440"/>
        <w:rPr>
          <w:rFonts w:ascii="Times New Roman" w:hAnsi="Times New Roman" w:cs="Times New Roman"/>
          <w:sz w:val="16"/>
          <w:szCs w:val="14"/>
        </w:rPr>
        <w:sectPr w:rsidR="00053D0C" w:rsidRPr="00153234" w:rsidSect="00053D0C">
          <w:type w:val="continuous"/>
          <w:pgSz w:w="16838" w:h="11906" w:orient="landscape"/>
          <w:pgMar w:top="851" w:right="284" w:bottom="1134" w:left="567" w:header="709" w:footer="709" w:gutter="0"/>
          <w:cols w:space="708"/>
          <w:docGrid w:linePitch="360"/>
        </w:sectPr>
      </w:pPr>
      <w:r w:rsidRPr="00153234">
        <w:rPr>
          <w:rFonts w:ascii="Times New Roman" w:hAnsi="Times New Roman" w:cs="Times New Roman"/>
          <w:sz w:val="16"/>
          <w:szCs w:val="14"/>
        </w:rPr>
        <w:t>No such post reported by the State</w:t>
      </w:r>
    </w:p>
    <w:p w14:paraId="4FDAB84D" w14:textId="5F85064F" w:rsidR="001C66C1" w:rsidRPr="00767C21" w:rsidRDefault="001C66C1" w:rsidP="001C66C1">
      <w:pPr>
        <w:pStyle w:val="Heading2"/>
        <w:rPr>
          <w:sz w:val="16"/>
          <w:szCs w:val="16"/>
          <w:lang w:bidi="ar-SA"/>
        </w:rPr>
      </w:pPr>
      <w:bookmarkStart w:id="87" w:name="_Toc221293001"/>
      <w:bookmarkStart w:id="88" w:name="_Toc222399492"/>
      <w:r w:rsidRPr="00767C21">
        <w:rPr>
          <w:sz w:val="20"/>
          <w:szCs w:val="20"/>
        </w:rPr>
        <w:lastRenderedPageBreak/>
        <w:t xml:space="preserve">ANNEXURE III.18: </w:t>
      </w:r>
      <w:r w:rsidRPr="00767C21">
        <w:rPr>
          <w:sz w:val="20"/>
          <w:szCs w:val="20"/>
        </w:rPr>
        <w:br/>
      </w:r>
      <w:r w:rsidRPr="00767C21">
        <w:rPr>
          <w:sz w:val="18"/>
          <w:szCs w:val="18"/>
          <w:lang w:bidi="ar-SA"/>
        </w:rPr>
        <w:t>Surplus or Deficit or Revenue Account: 1990-95</w:t>
      </w:r>
      <w:r w:rsidRPr="00767C21">
        <w:rPr>
          <w:sz w:val="18"/>
          <w:szCs w:val="18"/>
        </w:rPr>
        <w:t xml:space="preserve"> </w:t>
      </w:r>
      <w:r w:rsidRPr="00767C21">
        <w:rPr>
          <w:sz w:val="18"/>
          <w:szCs w:val="18"/>
          <w:lang w:bidi="ar-SA"/>
        </w:rPr>
        <w:t>(Before Finance Commission Transfers)</w:t>
      </w:r>
      <w:bookmarkEnd w:id="87"/>
      <w:bookmarkEnd w:id="88"/>
    </w:p>
    <w:p w14:paraId="4F282E3F" w14:textId="61A05C2B" w:rsidR="00777237" w:rsidRPr="00767C21" w:rsidRDefault="00777237" w:rsidP="00777237">
      <w:pPr>
        <w:spacing w:after="0"/>
        <w:jc w:val="center"/>
        <w:rPr>
          <w:rFonts w:ascii="Times New Roman" w:hAnsi="Times New Roman" w:cs="Times New Roman"/>
          <w:sz w:val="18"/>
          <w:szCs w:val="16"/>
          <w:lang w:bidi="ar-SA"/>
        </w:rPr>
      </w:pPr>
      <w:r w:rsidRPr="00767C21">
        <w:rPr>
          <w:rFonts w:ascii="Times New Roman" w:hAnsi="Times New Roman" w:cs="Times New Roman"/>
          <w:sz w:val="18"/>
          <w:szCs w:val="16"/>
          <w:lang w:bidi="ar-SA"/>
        </w:rPr>
        <w:t>(Para 3.81)</w:t>
      </w:r>
    </w:p>
    <w:p w14:paraId="21223544" w14:textId="3862294D" w:rsidR="008930D1" w:rsidRPr="00767C21" w:rsidRDefault="008930D1" w:rsidP="008930D1">
      <w:pPr>
        <w:spacing w:after="0"/>
        <w:jc w:val="right"/>
        <w:rPr>
          <w:rFonts w:ascii="Times New Roman" w:hAnsi="Times New Roman" w:cs="Times New Roman"/>
          <w:sz w:val="18"/>
          <w:szCs w:val="16"/>
          <w:lang w:bidi="ar-SA"/>
        </w:rPr>
      </w:pPr>
      <w:r w:rsidRPr="00767C21">
        <w:rPr>
          <w:rFonts w:ascii="Times New Roman" w:hAnsi="Times New Roman" w:cs="Times New Roman"/>
          <w:i/>
          <w:iCs/>
          <w:sz w:val="18"/>
          <w:szCs w:val="16"/>
          <w:lang w:bidi="ar-SA"/>
        </w:rPr>
        <w:t>(Rs. Crore)</w:t>
      </w:r>
    </w:p>
    <w:tbl>
      <w:tblPr>
        <w:tblW w:w="15949" w:type="dxa"/>
        <w:tblLook w:val="04A0" w:firstRow="1" w:lastRow="0" w:firstColumn="1" w:lastColumn="0" w:noHBand="0" w:noVBand="1"/>
      </w:tblPr>
      <w:tblGrid>
        <w:gridCol w:w="1655"/>
        <w:gridCol w:w="1293"/>
        <w:gridCol w:w="1432"/>
        <w:gridCol w:w="1187"/>
        <w:gridCol w:w="1293"/>
        <w:gridCol w:w="1187"/>
        <w:gridCol w:w="1293"/>
        <w:gridCol w:w="1251"/>
        <w:gridCol w:w="1347"/>
        <w:gridCol w:w="1187"/>
        <w:gridCol w:w="1423"/>
        <w:gridCol w:w="1401"/>
      </w:tblGrid>
      <w:tr w:rsidR="008930D1" w:rsidRPr="00767C21" w14:paraId="70BB7035" w14:textId="77777777" w:rsidTr="009141DF">
        <w:trPr>
          <w:trHeight w:val="20"/>
        </w:trPr>
        <w:tc>
          <w:tcPr>
            <w:tcW w:w="1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0F83D"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Items</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14:paraId="0E2018C7"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Andhra Pradesh</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006341E5"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Arunachal Pradesh</w:t>
            </w:r>
          </w:p>
        </w:tc>
        <w:tc>
          <w:tcPr>
            <w:tcW w:w="1187" w:type="dxa"/>
            <w:tcBorders>
              <w:top w:val="single" w:sz="4" w:space="0" w:color="auto"/>
              <w:left w:val="nil"/>
              <w:bottom w:val="single" w:sz="4" w:space="0" w:color="auto"/>
              <w:right w:val="single" w:sz="4" w:space="0" w:color="auto"/>
            </w:tcBorders>
            <w:shd w:val="clear" w:color="000000" w:fill="FFFFFF"/>
            <w:vAlign w:val="center"/>
            <w:hideMark/>
          </w:tcPr>
          <w:p w14:paraId="7AE3991F"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Assam</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14:paraId="08763D8B"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Bihar</w:t>
            </w:r>
          </w:p>
        </w:tc>
        <w:tc>
          <w:tcPr>
            <w:tcW w:w="1187" w:type="dxa"/>
            <w:tcBorders>
              <w:top w:val="single" w:sz="4" w:space="0" w:color="auto"/>
              <w:left w:val="nil"/>
              <w:bottom w:val="single" w:sz="4" w:space="0" w:color="auto"/>
              <w:right w:val="single" w:sz="4" w:space="0" w:color="auto"/>
            </w:tcBorders>
            <w:shd w:val="clear" w:color="000000" w:fill="FFFFFF"/>
            <w:vAlign w:val="center"/>
            <w:hideMark/>
          </w:tcPr>
          <w:p w14:paraId="3B23A1FD"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Goa</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14:paraId="610A2BFE"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Gujarat</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14:paraId="5E469B3E"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Haryana</w:t>
            </w:r>
          </w:p>
        </w:tc>
        <w:tc>
          <w:tcPr>
            <w:tcW w:w="1347" w:type="dxa"/>
            <w:tcBorders>
              <w:top w:val="single" w:sz="4" w:space="0" w:color="auto"/>
              <w:left w:val="nil"/>
              <w:bottom w:val="single" w:sz="4" w:space="0" w:color="auto"/>
              <w:right w:val="single" w:sz="4" w:space="0" w:color="auto"/>
            </w:tcBorders>
            <w:shd w:val="clear" w:color="000000" w:fill="FFFFFF"/>
            <w:vAlign w:val="center"/>
            <w:hideMark/>
          </w:tcPr>
          <w:p w14:paraId="55BE8FE9"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Himachal Pradesh</w:t>
            </w:r>
          </w:p>
        </w:tc>
        <w:tc>
          <w:tcPr>
            <w:tcW w:w="1187" w:type="dxa"/>
            <w:tcBorders>
              <w:top w:val="single" w:sz="4" w:space="0" w:color="auto"/>
              <w:left w:val="nil"/>
              <w:bottom w:val="single" w:sz="4" w:space="0" w:color="auto"/>
              <w:right w:val="single" w:sz="4" w:space="0" w:color="auto"/>
            </w:tcBorders>
            <w:shd w:val="clear" w:color="000000" w:fill="FFFFFF"/>
            <w:vAlign w:val="center"/>
            <w:hideMark/>
          </w:tcPr>
          <w:p w14:paraId="0AA3B730"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Jammu &amp; Kashmir</w:t>
            </w:r>
          </w:p>
        </w:tc>
        <w:tc>
          <w:tcPr>
            <w:tcW w:w="1423" w:type="dxa"/>
            <w:tcBorders>
              <w:top w:val="single" w:sz="4" w:space="0" w:color="auto"/>
              <w:left w:val="nil"/>
              <w:bottom w:val="single" w:sz="4" w:space="0" w:color="auto"/>
              <w:right w:val="single" w:sz="4" w:space="0" w:color="auto"/>
            </w:tcBorders>
            <w:shd w:val="clear" w:color="000000" w:fill="FFFFFF"/>
            <w:vAlign w:val="center"/>
            <w:hideMark/>
          </w:tcPr>
          <w:p w14:paraId="45B7623C"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Karnataka</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274081AC"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Kerala</w:t>
            </w:r>
          </w:p>
        </w:tc>
      </w:tr>
      <w:tr w:rsidR="008930D1" w:rsidRPr="00767C21" w14:paraId="4FAB78C2"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61CCA174"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I-Revenue Receipts</w:t>
            </w:r>
          </w:p>
        </w:tc>
        <w:tc>
          <w:tcPr>
            <w:tcW w:w="1293" w:type="dxa"/>
            <w:tcBorders>
              <w:top w:val="nil"/>
              <w:left w:val="nil"/>
              <w:bottom w:val="single" w:sz="4" w:space="0" w:color="auto"/>
              <w:right w:val="single" w:sz="4" w:space="0" w:color="auto"/>
            </w:tcBorders>
            <w:shd w:val="clear" w:color="000000" w:fill="FFFFFF"/>
            <w:vAlign w:val="center"/>
            <w:hideMark/>
          </w:tcPr>
          <w:p w14:paraId="025AD741"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19049.13</w:t>
            </w:r>
          </w:p>
        </w:tc>
        <w:tc>
          <w:tcPr>
            <w:tcW w:w="1432" w:type="dxa"/>
            <w:tcBorders>
              <w:top w:val="nil"/>
              <w:left w:val="nil"/>
              <w:bottom w:val="single" w:sz="4" w:space="0" w:color="auto"/>
              <w:right w:val="single" w:sz="4" w:space="0" w:color="auto"/>
            </w:tcBorders>
            <w:shd w:val="clear" w:color="000000" w:fill="FFFFFF"/>
            <w:vAlign w:val="center"/>
            <w:hideMark/>
          </w:tcPr>
          <w:p w14:paraId="7200929B"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180.55</w:t>
            </w:r>
          </w:p>
        </w:tc>
        <w:tc>
          <w:tcPr>
            <w:tcW w:w="1187" w:type="dxa"/>
            <w:tcBorders>
              <w:top w:val="nil"/>
              <w:left w:val="nil"/>
              <w:bottom w:val="single" w:sz="4" w:space="0" w:color="auto"/>
              <w:right w:val="single" w:sz="4" w:space="0" w:color="auto"/>
            </w:tcBorders>
            <w:shd w:val="clear" w:color="000000" w:fill="FFFFFF"/>
            <w:vAlign w:val="center"/>
            <w:hideMark/>
          </w:tcPr>
          <w:p w14:paraId="1B0534C8"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3764.6</w:t>
            </w:r>
          </w:p>
        </w:tc>
        <w:tc>
          <w:tcPr>
            <w:tcW w:w="1293" w:type="dxa"/>
            <w:tcBorders>
              <w:top w:val="nil"/>
              <w:left w:val="nil"/>
              <w:bottom w:val="single" w:sz="4" w:space="0" w:color="auto"/>
              <w:right w:val="single" w:sz="4" w:space="0" w:color="auto"/>
            </w:tcBorders>
            <w:shd w:val="clear" w:color="000000" w:fill="FFFFFF"/>
            <w:vAlign w:val="center"/>
            <w:hideMark/>
          </w:tcPr>
          <w:p w14:paraId="31C6996D"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11867.17</w:t>
            </w:r>
          </w:p>
        </w:tc>
        <w:tc>
          <w:tcPr>
            <w:tcW w:w="1187" w:type="dxa"/>
            <w:tcBorders>
              <w:top w:val="nil"/>
              <w:left w:val="nil"/>
              <w:bottom w:val="single" w:sz="4" w:space="0" w:color="auto"/>
              <w:right w:val="single" w:sz="4" w:space="0" w:color="auto"/>
            </w:tcBorders>
            <w:shd w:val="clear" w:color="000000" w:fill="FFFFFF"/>
            <w:vAlign w:val="center"/>
            <w:hideMark/>
          </w:tcPr>
          <w:p w14:paraId="2AF8A9FD"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660.93</w:t>
            </w:r>
          </w:p>
        </w:tc>
        <w:tc>
          <w:tcPr>
            <w:tcW w:w="1293" w:type="dxa"/>
            <w:tcBorders>
              <w:top w:val="nil"/>
              <w:left w:val="nil"/>
              <w:bottom w:val="single" w:sz="4" w:space="0" w:color="auto"/>
              <w:right w:val="single" w:sz="4" w:space="0" w:color="auto"/>
            </w:tcBorders>
            <w:shd w:val="clear" w:color="000000" w:fill="FFFFFF"/>
            <w:vAlign w:val="center"/>
            <w:hideMark/>
          </w:tcPr>
          <w:p w14:paraId="209E1C03"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16387.07</w:t>
            </w:r>
          </w:p>
        </w:tc>
        <w:tc>
          <w:tcPr>
            <w:tcW w:w="1251" w:type="dxa"/>
            <w:tcBorders>
              <w:top w:val="nil"/>
              <w:left w:val="nil"/>
              <w:bottom w:val="single" w:sz="4" w:space="0" w:color="auto"/>
              <w:right w:val="single" w:sz="4" w:space="0" w:color="auto"/>
            </w:tcBorders>
            <w:shd w:val="clear" w:color="000000" w:fill="FFFFFF"/>
            <w:vAlign w:val="center"/>
            <w:hideMark/>
          </w:tcPr>
          <w:p w14:paraId="6CA57568"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7049.74</w:t>
            </w:r>
          </w:p>
        </w:tc>
        <w:tc>
          <w:tcPr>
            <w:tcW w:w="1347" w:type="dxa"/>
            <w:tcBorders>
              <w:top w:val="nil"/>
              <w:left w:val="nil"/>
              <w:bottom w:val="single" w:sz="4" w:space="0" w:color="auto"/>
              <w:right w:val="single" w:sz="4" w:space="0" w:color="auto"/>
            </w:tcBorders>
            <w:shd w:val="clear" w:color="000000" w:fill="FFFFFF"/>
            <w:vAlign w:val="center"/>
            <w:hideMark/>
          </w:tcPr>
          <w:p w14:paraId="2295FA37"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1447.07</w:t>
            </w:r>
          </w:p>
        </w:tc>
        <w:tc>
          <w:tcPr>
            <w:tcW w:w="1187" w:type="dxa"/>
            <w:tcBorders>
              <w:top w:val="nil"/>
              <w:left w:val="nil"/>
              <w:bottom w:val="single" w:sz="4" w:space="0" w:color="auto"/>
              <w:right w:val="single" w:sz="4" w:space="0" w:color="auto"/>
            </w:tcBorders>
            <w:shd w:val="clear" w:color="000000" w:fill="FFFFFF"/>
            <w:vAlign w:val="center"/>
            <w:hideMark/>
          </w:tcPr>
          <w:p w14:paraId="6EACC4F4"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1702.53</w:t>
            </w:r>
          </w:p>
        </w:tc>
        <w:tc>
          <w:tcPr>
            <w:tcW w:w="1423" w:type="dxa"/>
            <w:tcBorders>
              <w:top w:val="nil"/>
              <w:left w:val="nil"/>
              <w:bottom w:val="single" w:sz="4" w:space="0" w:color="auto"/>
              <w:right w:val="single" w:sz="4" w:space="0" w:color="auto"/>
            </w:tcBorders>
            <w:shd w:val="clear" w:color="000000" w:fill="FFFFFF"/>
            <w:vAlign w:val="center"/>
            <w:hideMark/>
          </w:tcPr>
          <w:p w14:paraId="750CAE96"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15855.77</w:t>
            </w:r>
          </w:p>
        </w:tc>
        <w:tc>
          <w:tcPr>
            <w:tcW w:w="1401" w:type="dxa"/>
            <w:tcBorders>
              <w:top w:val="nil"/>
              <w:left w:val="nil"/>
              <w:bottom w:val="single" w:sz="4" w:space="0" w:color="auto"/>
              <w:right w:val="single" w:sz="4" w:space="0" w:color="auto"/>
            </w:tcBorders>
            <w:shd w:val="clear" w:color="000000" w:fill="FFFFFF"/>
            <w:vAlign w:val="center"/>
            <w:hideMark/>
          </w:tcPr>
          <w:p w14:paraId="0292AAB4"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9725.61</w:t>
            </w:r>
          </w:p>
        </w:tc>
      </w:tr>
      <w:tr w:rsidR="008930D1" w:rsidRPr="00767C21" w14:paraId="78D7BA42"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00447B41"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 Tax Revenue</w:t>
            </w:r>
          </w:p>
        </w:tc>
        <w:tc>
          <w:tcPr>
            <w:tcW w:w="1293" w:type="dxa"/>
            <w:tcBorders>
              <w:top w:val="nil"/>
              <w:left w:val="nil"/>
              <w:bottom w:val="single" w:sz="4" w:space="0" w:color="auto"/>
              <w:right w:val="single" w:sz="4" w:space="0" w:color="auto"/>
            </w:tcBorders>
            <w:shd w:val="clear" w:color="000000" w:fill="FFFFFF"/>
            <w:vAlign w:val="center"/>
            <w:hideMark/>
          </w:tcPr>
          <w:p w14:paraId="5E392FB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16469.51 (16765.45)</w:t>
            </w:r>
          </w:p>
        </w:tc>
        <w:tc>
          <w:tcPr>
            <w:tcW w:w="1432" w:type="dxa"/>
            <w:tcBorders>
              <w:top w:val="nil"/>
              <w:left w:val="nil"/>
              <w:bottom w:val="single" w:sz="4" w:space="0" w:color="auto"/>
              <w:right w:val="single" w:sz="4" w:space="0" w:color="auto"/>
            </w:tcBorders>
            <w:shd w:val="clear" w:color="000000" w:fill="FFFFFF"/>
            <w:vAlign w:val="center"/>
            <w:hideMark/>
          </w:tcPr>
          <w:p w14:paraId="52E9A90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12.73</w:t>
            </w:r>
          </w:p>
        </w:tc>
        <w:tc>
          <w:tcPr>
            <w:tcW w:w="1187" w:type="dxa"/>
            <w:tcBorders>
              <w:top w:val="nil"/>
              <w:left w:val="nil"/>
              <w:bottom w:val="single" w:sz="4" w:space="0" w:color="auto"/>
              <w:right w:val="single" w:sz="4" w:space="0" w:color="auto"/>
            </w:tcBorders>
            <w:shd w:val="clear" w:color="000000" w:fill="FFFFFF"/>
            <w:vAlign w:val="center"/>
            <w:hideMark/>
          </w:tcPr>
          <w:p w14:paraId="69053B7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2516.27</w:t>
            </w:r>
          </w:p>
        </w:tc>
        <w:tc>
          <w:tcPr>
            <w:tcW w:w="1293" w:type="dxa"/>
            <w:tcBorders>
              <w:top w:val="nil"/>
              <w:left w:val="nil"/>
              <w:bottom w:val="single" w:sz="4" w:space="0" w:color="auto"/>
              <w:right w:val="single" w:sz="4" w:space="0" w:color="auto"/>
            </w:tcBorders>
            <w:shd w:val="clear" w:color="000000" w:fill="FFFFFF"/>
            <w:vAlign w:val="center"/>
            <w:hideMark/>
          </w:tcPr>
          <w:p w14:paraId="08C7359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6557.24 (6513.40)</w:t>
            </w:r>
          </w:p>
        </w:tc>
        <w:tc>
          <w:tcPr>
            <w:tcW w:w="1187" w:type="dxa"/>
            <w:tcBorders>
              <w:top w:val="nil"/>
              <w:left w:val="nil"/>
              <w:bottom w:val="single" w:sz="4" w:space="0" w:color="auto"/>
              <w:right w:val="single" w:sz="4" w:space="0" w:color="auto"/>
            </w:tcBorders>
            <w:shd w:val="clear" w:color="000000" w:fill="FFFFFF"/>
            <w:vAlign w:val="center"/>
            <w:hideMark/>
          </w:tcPr>
          <w:p w14:paraId="5D60019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548.35</w:t>
            </w:r>
          </w:p>
        </w:tc>
        <w:tc>
          <w:tcPr>
            <w:tcW w:w="1293" w:type="dxa"/>
            <w:tcBorders>
              <w:top w:val="nil"/>
              <w:left w:val="nil"/>
              <w:bottom w:val="single" w:sz="4" w:space="0" w:color="auto"/>
              <w:right w:val="single" w:sz="4" w:space="0" w:color="auto"/>
            </w:tcBorders>
            <w:shd w:val="clear" w:color="000000" w:fill="FFFFFF"/>
            <w:vAlign w:val="center"/>
            <w:hideMark/>
          </w:tcPr>
          <w:p w14:paraId="472A54A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13090.54 (13028.81)</w:t>
            </w:r>
          </w:p>
        </w:tc>
        <w:tc>
          <w:tcPr>
            <w:tcW w:w="1251" w:type="dxa"/>
            <w:tcBorders>
              <w:top w:val="nil"/>
              <w:left w:val="nil"/>
              <w:bottom w:val="single" w:sz="4" w:space="0" w:color="auto"/>
              <w:right w:val="single" w:sz="4" w:space="0" w:color="auto"/>
            </w:tcBorders>
            <w:shd w:val="clear" w:color="000000" w:fill="FFFFFF"/>
            <w:vAlign w:val="center"/>
            <w:hideMark/>
          </w:tcPr>
          <w:p w14:paraId="3DFF419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6152.43 (5973.11)</w:t>
            </w:r>
          </w:p>
        </w:tc>
        <w:tc>
          <w:tcPr>
            <w:tcW w:w="1347" w:type="dxa"/>
            <w:tcBorders>
              <w:top w:val="nil"/>
              <w:left w:val="nil"/>
              <w:bottom w:val="single" w:sz="4" w:space="0" w:color="auto"/>
              <w:right w:val="single" w:sz="4" w:space="0" w:color="auto"/>
            </w:tcBorders>
            <w:shd w:val="clear" w:color="000000" w:fill="FFFFFF"/>
            <w:vAlign w:val="center"/>
            <w:hideMark/>
          </w:tcPr>
          <w:p w14:paraId="0485434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1028.15</w:t>
            </w:r>
          </w:p>
        </w:tc>
        <w:tc>
          <w:tcPr>
            <w:tcW w:w="1187" w:type="dxa"/>
            <w:tcBorders>
              <w:top w:val="nil"/>
              <w:left w:val="nil"/>
              <w:bottom w:val="single" w:sz="4" w:space="0" w:color="auto"/>
              <w:right w:val="single" w:sz="4" w:space="0" w:color="auto"/>
            </w:tcBorders>
            <w:shd w:val="clear" w:color="000000" w:fill="FFFFFF"/>
            <w:vAlign w:val="center"/>
            <w:hideMark/>
          </w:tcPr>
          <w:p w14:paraId="0772144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1139.92</w:t>
            </w:r>
          </w:p>
        </w:tc>
        <w:tc>
          <w:tcPr>
            <w:tcW w:w="1423" w:type="dxa"/>
            <w:tcBorders>
              <w:top w:val="nil"/>
              <w:left w:val="nil"/>
              <w:bottom w:val="single" w:sz="4" w:space="0" w:color="auto"/>
              <w:right w:val="single" w:sz="4" w:space="0" w:color="auto"/>
            </w:tcBorders>
            <w:shd w:val="clear" w:color="000000" w:fill="FFFFFF"/>
            <w:vAlign w:val="center"/>
            <w:hideMark/>
          </w:tcPr>
          <w:p w14:paraId="3E81488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13030.70 (13058.78)</w:t>
            </w:r>
          </w:p>
        </w:tc>
        <w:tc>
          <w:tcPr>
            <w:tcW w:w="1401" w:type="dxa"/>
            <w:tcBorders>
              <w:top w:val="nil"/>
              <w:left w:val="nil"/>
              <w:bottom w:val="single" w:sz="4" w:space="0" w:color="auto"/>
              <w:right w:val="single" w:sz="4" w:space="0" w:color="auto"/>
            </w:tcBorders>
            <w:shd w:val="clear" w:color="000000" w:fill="FFFFFF"/>
            <w:vAlign w:val="center"/>
            <w:hideMark/>
          </w:tcPr>
          <w:p w14:paraId="00C74CB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8340.80 (8704.23)</w:t>
            </w:r>
          </w:p>
        </w:tc>
      </w:tr>
      <w:tr w:rsidR="008930D1" w:rsidRPr="00767C21" w14:paraId="2A49F33F"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071180C0"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State Excise</w:t>
            </w:r>
          </w:p>
        </w:tc>
        <w:tc>
          <w:tcPr>
            <w:tcW w:w="1293" w:type="dxa"/>
            <w:tcBorders>
              <w:top w:val="nil"/>
              <w:left w:val="nil"/>
              <w:bottom w:val="single" w:sz="4" w:space="0" w:color="auto"/>
              <w:right w:val="single" w:sz="4" w:space="0" w:color="auto"/>
            </w:tcBorders>
            <w:shd w:val="clear" w:color="000000" w:fill="FFFFFF"/>
            <w:vAlign w:val="center"/>
            <w:hideMark/>
          </w:tcPr>
          <w:p w14:paraId="4584EDB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4475.77 (4468.92)</w:t>
            </w:r>
          </w:p>
        </w:tc>
        <w:tc>
          <w:tcPr>
            <w:tcW w:w="1432" w:type="dxa"/>
            <w:tcBorders>
              <w:top w:val="nil"/>
              <w:left w:val="nil"/>
              <w:bottom w:val="single" w:sz="4" w:space="0" w:color="auto"/>
              <w:right w:val="single" w:sz="4" w:space="0" w:color="auto"/>
            </w:tcBorders>
            <w:shd w:val="clear" w:color="000000" w:fill="FFFFFF"/>
            <w:vAlign w:val="center"/>
            <w:hideMark/>
          </w:tcPr>
          <w:p w14:paraId="179F4BA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6.53</w:t>
            </w:r>
          </w:p>
        </w:tc>
        <w:tc>
          <w:tcPr>
            <w:tcW w:w="1187" w:type="dxa"/>
            <w:tcBorders>
              <w:top w:val="nil"/>
              <w:left w:val="nil"/>
              <w:bottom w:val="single" w:sz="4" w:space="0" w:color="auto"/>
              <w:right w:val="single" w:sz="4" w:space="0" w:color="auto"/>
            </w:tcBorders>
            <w:shd w:val="clear" w:color="000000" w:fill="FFFFFF"/>
            <w:vAlign w:val="center"/>
            <w:hideMark/>
          </w:tcPr>
          <w:p w14:paraId="55265A4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63.13</w:t>
            </w:r>
          </w:p>
        </w:tc>
        <w:tc>
          <w:tcPr>
            <w:tcW w:w="1293" w:type="dxa"/>
            <w:tcBorders>
              <w:top w:val="nil"/>
              <w:left w:val="nil"/>
              <w:bottom w:val="single" w:sz="4" w:space="0" w:color="auto"/>
              <w:right w:val="single" w:sz="4" w:space="0" w:color="auto"/>
            </w:tcBorders>
            <w:shd w:val="clear" w:color="000000" w:fill="FFFFFF"/>
            <w:vAlign w:val="center"/>
            <w:hideMark/>
          </w:tcPr>
          <w:p w14:paraId="3B612A8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563.35 (599.23)</w:t>
            </w:r>
          </w:p>
        </w:tc>
        <w:tc>
          <w:tcPr>
            <w:tcW w:w="1187" w:type="dxa"/>
            <w:tcBorders>
              <w:top w:val="nil"/>
              <w:left w:val="nil"/>
              <w:bottom w:val="single" w:sz="4" w:space="0" w:color="auto"/>
              <w:right w:val="single" w:sz="4" w:space="0" w:color="auto"/>
            </w:tcBorders>
            <w:shd w:val="clear" w:color="000000" w:fill="FFFFFF"/>
            <w:vAlign w:val="center"/>
            <w:hideMark/>
          </w:tcPr>
          <w:p w14:paraId="19A88E3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64.39</w:t>
            </w:r>
          </w:p>
        </w:tc>
        <w:tc>
          <w:tcPr>
            <w:tcW w:w="1293" w:type="dxa"/>
            <w:tcBorders>
              <w:top w:val="nil"/>
              <w:left w:val="nil"/>
              <w:bottom w:val="single" w:sz="4" w:space="0" w:color="auto"/>
              <w:right w:val="single" w:sz="4" w:space="0" w:color="auto"/>
            </w:tcBorders>
            <w:shd w:val="clear" w:color="000000" w:fill="FFFFFF"/>
            <w:vAlign w:val="center"/>
            <w:hideMark/>
          </w:tcPr>
          <w:p w14:paraId="7265081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329.01 (60.38)</w:t>
            </w:r>
          </w:p>
        </w:tc>
        <w:tc>
          <w:tcPr>
            <w:tcW w:w="1251" w:type="dxa"/>
            <w:tcBorders>
              <w:top w:val="nil"/>
              <w:left w:val="nil"/>
              <w:bottom w:val="single" w:sz="4" w:space="0" w:color="auto"/>
              <w:right w:val="single" w:sz="4" w:space="0" w:color="auto"/>
            </w:tcBorders>
            <w:shd w:val="clear" w:color="000000" w:fill="FFFFFF"/>
            <w:vAlign w:val="center"/>
            <w:hideMark/>
          </w:tcPr>
          <w:p w14:paraId="28F4E72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1688.80 (1541.69)</w:t>
            </w:r>
          </w:p>
        </w:tc>
        <w:tc>
          <w:tcPr>
            <w:tcW w:w="1347" w:type="dxa"/>
            <w:tcBorders>
              <w:top w:val="nil"/>
              <w:left w:val="nil"/>
              <w:bottom w:val="single" w:sz="4" w:space="0" w:color="auto"/>
              <w:right w:val="single" w:sz="4" w:space="0" w:color="auto"/>
            </w:tcBorders>
            <w:shd w:val="clear" w:color="000000" w:fill="FFFFFF"/>
            <w:vAlign w:val="center"/>
            <w:hideMark/>
          </w:tcPr>
          <w:p w14:paraId="56537F1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277.1</w:t>
            </w:r>
          </w:p>
        </w:tc>
        <w:tc>
          <w:tcPr>
            <w:tcW w:w="1187" w:type="dxa"/>
            <w:tcBorders>
              <w:top w:val="nil"/>
              <w:left w:val="nil"/>
              <w:bottom w:val="single" w:sz="4" w:space="0" w:color="auto"/>
              <w:right w:val="single" w:sz="4" w:space="0" w:color="auto"/>
            </w:tcBorders>
            <w:shd w:val="clear" w:color="000000" w:fill="FFFFFF"/>
            <w:vAlign w:val="center"/>
            <w:hideMark/>
          </w:tcPr>
          <w:p w14:paraId="5C3F14E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298.91</w:t>
            </w:r>
          </w:p>
        </w:tc>
        <w:tc>
          <w:tcPr>
            <w:tcW w:w="1423" w:type="dxa"/>
            <w:tcBorders>
              <w:top w:val="nil"/>
              <w:left w:val="nil"/>
              <w:bottom w:val="single" w:sz="4" w:space="0" w:color="auto"/>
              <w:right w:val="single" w:sz="4" w:space="0" w:color="auto"/>
            </w:tcBorders>
            <w:shd w:val="clear" w:color="000000" w:fill="FFFFFF"/>
            <w:vAlign w:val="center"/>
            <w:hideMark/>
          </w:tcPr>
          <w:p w14:paraId="7B11DEA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2571.40 (2323.96)</w:t>
            </w:r>
          </w:p>
        </w:tc>
        <w:tc>
          <w:tcPr>
            <w:tcW w:w="1401" w:type="dxa"/>
            <w:tcBorders>
              <w:top w:val="nil"/>
              <w:left w:val="nil"/>
              <w:bottom w:val="single" w:sz="4" w:space="0" w:color="auto"/>
              <w:right w:val="single" w:sz="4" w:space="0" w:color="auto"/>
            </w:tcBorders>
            <w:shd w:val="clear" w:color="000000" w:fill="FFFFFF"/>
            <w:vAlign w:val="center"/>
            <w:hideMark/>
          </w:tcPr>
          <w:p w14:paraId="779856E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1218.48 (1305.61)</w:t>
            </w:r>
          </w:p>
        </w:tc>
      </w:tr>
      <w:tr w:rsidR="008930D1" w:rsidRPr="00767C21" w14:paraId="7D56D66A"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720574F3"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 Sales Tax</w:t>
            </w:r>
          </w:p>
        </w:tc>
        <w:tc>
          <w:tcPr>
            <w:tcW w:w="1293" w:type="dxa"/>
            <w:tcBorders>
              <w:top w:val="nil"/>
              <w:left w:val="nil"/>
              <w:bottom w:val="single" w:sz="4" w:space="0" w:color="auto"/>
              <w:right w:val="single" w:sz="4" w:space="0" w:color="auto"/>
            </w:tcBorders>
            <w:shd w:val="clear" w:color="000000" w:fill="FFFFFF"/>
            <w:vAlign w:val="center"/>
            <w:hideMark/>
          </w:tcPr>
          <w:p w14:paraId="56648FE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9140.36 (9320.01)</w:t>
            </w:r>
          </w:p>
        </w:tc>
        <w:tc>
          <w:tcPr>
            <w:tcW w:w="1432" w:type="dxa"/>
            <w:tcBorders>
              <w:top w:val="nil"/>
              <w:left w:val="nil"/>
              <w:bottom w:val="single" w:sz="4" w:space="0" w:color="auto"/>
              <w:right w:val="single" w:sz="4" w:space="0" w:color="auto"/>
            </w:tcBorders>
            <w:shd w:val="clear" w:color="000000" w:fill="FFFFFF"/>
            <w:vAlign w:val="center"/>
            <w:hideMark/>
          </w:tcPr>
          <w:p w14:paraId="6AF1740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2.03</w:t>
            </w:r>
          </w:p>
        </w:tc>
        <w:tc>
          <w:tcPr>
            <w:tcW w:w="1187" w:type="dxa"/>
            <w:tcBorders>
              <w:top w:val="nil"/>
              <w:left w:val="nil"/>
              <w:bottom w:val="single" w:sz="4" w:space="0" w:color="auto"/>
              <w:right w:val="single" w:sz="4" w:space="0" w:color="auto"/>
            </w:tcBorders>
            <w:shd w:val="clear" w:color="000000" w:fill="FFFFFF"/>
            <w:vAlign w:val="center"/>
            <w:hideMark/>
          </w:tcPr>
          <w:p w14:paraId="4BFDD61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1784.78</w:t>
            </w:r>
          </w:p>
        </w:tc>
        <w:tc>
          <w:tcPr>
            <w:tcW w:w="1293" w:type="dxa"/>
            <w:tcBorders>
              <w:top w:val="nil"/>
              <w:left w:val="nil"/>
              <w:bottom w:val="single" w:sz="4" w:space="0" w:color="auto"/>
              <w:right w:val="single" w:sz="4" w:space="0" w:color="auto"/>
            </w:tcBorders>
            <w:shd w:val="clear" w:color="000000" w:fill="FFFFFF"/>
            <w:vAlign w:val="center"/>
            <w:hideMark/>
          </w:tcPr>
          <w:p w14:paraId="640BE3C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4675.66 (4515.56)</w:t>
            </w:r>
          </w:p>
        </w:tc>
        <w:tc>
          <w:tcPr>
            <w:tcW w:w="1187" w:type="dxa"/>
            <w:tcBorders>
              <w:top w:val="nil"/>
              <w:left w:val="nil"/>
              <w:bottom w:val="single" w:sz="4" w:space="0" w:color="auto"/>
              <w:right w:val="single" w:sz="4" w:space="0" w:color="auto"/>
            </w:tcBorders>
            <w:shd w:val="clear" w:color="000000" w:fill="FFFFFF"/>
            <w:vAlign w:val="center"/>
            <w:hideMark/>
          </w:tcPr>
          <w:p w14:paraId="372E7A4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394.64</w:t>
            </w:r>
          </w:p>
        </w:tc>
        <w:tc>
          <w:tcPr>
            <w:tcW w:w="1293" w:type="dxa"/>
            <w:tcBorders>
              <w:top w:val="nil"/>
              <w:left w:val="nil"/>
              <w:bottom w:val="single" w:sz="4" w:space="0" w:color="auto"/>
              <w:right w:val="single" w:sz="4" w:space="0" w:color="auto"/>
            </w:tcBorders>
            <w:shd w:val="clear" w:color="000000" w:fill="FFFFFF"/>
            <w:vAlign w:val="center"/>
            <w:hideMark/>
          </w:tcPr>
          <w:p w14:paraId="0D15AA9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9416.06 (9860.81)</w:t>
            </w:r>
          </w:p>
        </w:tc>
        <w:tc>
          <w:tcPr>
            <w:tcW w:w="1251" w:type="dxa"/>
            <w:tcBorders>
              <w:top w:val="nil"/>
              <w:left w:val="nil"/>
              <w:bottom w:val="single" w:sz="4" w:space="0" w:color="auto"/>
              <w:right w:val="single" w:sz="4" w:space="0" w:color="auto"/>
            </w:tcBorders>
            <w:shd w:val="clear" w:color="000000" w:fill="FFFFFF"/>
            <w:vAlign w:val="center"/>
            <w:hideMark/>
          </w:tcPr>
          <w:p w14:paraId="133F4B6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2973.83 (2855.08)</w:t>
            </w:r>
          </w:p>
        </w:tc>
        <w:tc>
          <w:tcPr>
            <w:tcW w:w="1347" w:type="dxa"/>
            <w:tcBorders>
              <w:top w:val="nil"/>
              <w:left w:val="nil"/>
              <w:bottom w:val="single" w:sz="4" w:space="0" w:color="auto"/>
              <w:right w:val="single" w:sz="4" w:space="0" w:color="auto"/>
            </w:tcBorders>
            <w:shd w:val="clear" w:color="000000" w:fill="FFFFFF"/>
            <w:vAlign w:val="center"/>
            <w:hideMark/>
          </w:tcPr>
          <w:p w14:paraId="7E3CD71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500.76</w:t>
            </w:r>
          </w:p>
        </w:tc>
        <w:tc>
          <w:tcPr>
            <w:tcW w:w="1187" w:type="dxa"/>
            <w:tcBorders>
              <w:top w:val="nil"/>
              <w:left w:val="nil"/>
              <w:bottom w:val="single" w:sz="4" w:space="0" w:color="auto"/>
              <w:right w:val="single" w:sz="4" w:space="0" w:color="auto"/>
            </w:tcBorders>
            <w:shd w:val="clear" w:color="000000" w:fill="FFFFFF"/>
            <w:vAlign w:val="center"/>
            <w:hideMark/>
          </w:tcPr>
          <w:p w14:paraId="7F14159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420.8</w:t>
            </w:r>
          </w:p>
        </w:tc>
        <w:tc>
          <w:tcPr>
            <w:tcW w:w="1423" w:type="dxa"/>
            <w:tcBorders>
              <w:top w:val="nil"/>
              <w:left w:val="nil"/>
              <w:bottom w:val="single" w:sz="4" w:space="0" w:color="auto"/>
              <w:right w:val="single" w:sz="4" w:space="0" w:color="auto"/>
            </w:tcBorders>
            <w:shd w:val="clear" w:color="000000" w:fill="FFFFFF"/>
            <w:vAlign w:val="center"/>
            <w:hideMark/>
          </w:tcPr>
          <w:p w14:paraId="408D67D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7469.02 (7446.67)</w:t>
            </w:r>
          </w:p>
        </w:tc>
        <w:tc>
          <w:tcPr>
            <w:tcW w:w="1401" w:type="dxa"/>
            <w:tcBorders>
              <w:top w:val="nil"/>
              <w:left w:val="nil"/>
              <w:bottom w:val="single" w:sz="4" w:space="0" w:color="auto"/>
              <w:right w:val="single" w:sz="4" w:space="0" w:color="auto"/>
            </w:tcBorders>
            <w:shd w:val="clear" w:color="000000" w:fill="FFFFFF"/>
            <w:vAlign w:val="center"/>
            <w:hideMark/>
          </w:tcPr>
          <w:p w14:paraId="0BD4CA0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5566.12 (5827.90)</w:t>
            </w:r>
          </w:p>
        </w:tc>
      </w:tr>
      <w:tr w:rsidR="008930D1" w:rsidRPr="00767C21" w14:paraId="7D55937A"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076C8DFB"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Others</w:t>
            </w:r>
          </w:p>
        </w:tc>
        <w:tc>
          <w:tcPr>
            <w:tcW w:w="1293" w:type="dxa"/>
            <w:tcBorders>
              <w:top w:val="nil"/>
              <w:left w:val="nil"/>
              <w:bottom w:val="single" w:sz="4" w:space="0" w:color="auto"/>
              <w:right w:val="single" w:sz="4" w:space="0" w:color="auto"/>
            </w:tcBorders>
            <w:shd w:val="clear" w:color="000000" w:fill="FFFFFF"/>
            <w:vAlign w:val="center"/>
            <w:hideMark/>
          </w:tcPr>
          <w:p w14:paraId="6A8F983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2853.38 (2976.52)</w:t>
            </w:r>
          </w:p>
        </w:tc>
        <w:tc>
          <w:tcPr>
            <w:tcW w:w="1432" w:type="dxa"/>
            <w:tcBorders>
              <w:top w:val="nil"/>
              <w:left w:val="nil"/>
              <w:bottom w:val="single" w:sz="4" w:space="0" w:color="auto"/>
              <w:right w:val="single" w:sz="4" w:space="0" w:color="auto"/>
            </w:tcBorders>
            <w:shd w:val="clear" w:color="000000" w:fill="FFFFFF"/>
            <w:vAlign w:val="center"/>
            <w:hideMark/>
          </w:tcPr>
          <w:p w14:paraId="21CE90F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4.17</w:t>
            </w:r>
          </w:p>
        </w:tc>
        <w:tc>
          <w:tcPr>
            <w:tcW w:w="1187" w:type="dxa"/>
            <w:tcBorders>
              <w:top w:val="nil"/>
              <w:left w:val="nil"/>
              <w:bottom w:val="single" w:sz="4" w:space="0" w:color="auto"/>
              <w:right w:val="single" w:sz="4" w:space="0" w:color="auto"/>
            </w:tcBorders>
            <w:shd w:val="clear" w:color="000000" w:fill="FFFFFF"/>
            <w:vAlign w:val="center"/>
            <w:hideMark/>
          </w:tcPr>
          <w:p w14:paraId="0C9CA65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668.36</w:t>
            </w:r>
          </w:p>
        </w:tc>
        <w:tc>
          <w:tcPr>
            <w:tcW w:w="1293" w:type="dxa"/>
            <w:tcBorders>
              <w:top w:val="nil"/>
              <w:left w:val="nil"/>
              <w:bottom w:val="single" w:sz="4" w:space="0" w:color="auto"/>
              <w:right w:val="single" w:sz="4" w:space="0" w:color="auto"/>
            </w:tcBorders>
            <w:shd w:val="clear" w:color="000000" w:fill="FFFFFF"/>
            <w:vAlign w:val="center"/>
            <w:hideMark/>
          </w:tcPr>
          <w:p w14:paraId="70A6BB3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1318.23 (1398.61)</w:t>
            </w:r>
          </w:p>
        </w:tc>
        <w:tc>
          <w:tcPr>
            <w:tcW w:w="1187" w:type="dxa"/>
            <w:tcBorders>
              <w:top w:val="nil"/>
              <w:left w:val="nil"/>
              <w:bottom w:val="single" w:sz="4" w:space="0" w:color="auto"/>
              <w:right w:val="single" w:sz="4" w:space="0" w:color="auto"/>
            </w:tcBorders>
            <w:shd w:val="clear" w:color="000000" w:fill="FFFFFF"/>
            <w:vAlign w:val="center"/>
            <w:hideMark/>
          </w:tcPr>
          <w:p w14:paraId="4769E64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89.32</w:t>
            </w:r>
          </w:p>
        </w:tc>
        <w:tc>
          <w:tcPr>
            <w:tcW w:w="1293" w:type="dxa"/>
            <w:tcBorders>
              <w:top w:val="nil"/>
              <w:left w:val="nil"/>
              <w:bottom w:val="single" w:sz="4" w:space="0" w:color="auto"/>
              <w:right w:val="single" w:sz="4" w:space="0" w:color="auto"/>
            </w:tcBorders>
            <w:shd w:val="clear" w:color="000000" w:fill="FFFFFF"/>
            <w:vAlign w:val="center"/>
            <w:hideMark/>
          </w:tcPr>
          <w:p w14:paraId="44B3366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3345.47 (3099.62)</w:t>
            </w:r>
          </w:p>
        </w:tc>
        <w:tc>
          <w:tcPr>
            <w:tcW w:w="1251" w:type="dxa"/>
            <w:tcBorders>
              <w:top w:val="nil"/>
              <w:left w:val="nil"/>
              <w:bottom w:val="single" w:sz="4" w:space="0" w:color="auto"/>
              <w:right w:val="single" w:sz="4" w:space="0" w:color="auto"/>
            </w:tcBorders>
            <w:shd w:val="clear" w:color="000000" w:fill="FFFFFF"/>
            <w:vAlign w:val="center"/>
            <w:hideMark/>
          </w:tcPr>
          <w:p w14:paraId="2A3A479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1489.80 (1576.34)</w:t>
            </w:r>
          </w:p>
        </w:tc>
        <w:tc>
          <w:tcPr>
            <w:tcW w:w="1347" w:type="dxa"/>
            <w:tcBorders>
              <w:top w:val="nil"/>
              <w:left w:val="nil"/>
              <w:bottom w:val="single" w:sz="4" w:space="0" w:color="auto"/>
              <w:right w:val="single" w:sz="4" w:space="0" w:color="auto"/>
            </w:tcBorders>
            <w:shd w:val="clear" w:color="000000" w:fill="FFFFFF"/>
            <w:vAlign w:val="center"/>
            <w:hideMark/>
          </w:tcPr>
          <w:p w14:paraId="18D9143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250.29</w:t>
            </w:r>
          </w:p>
        </w:tc>
        <w:tc>
          <w:tcPr>
            <w:tcW w:w="1187" w:type="dxa"/>
            <w:tcBorders>
              <w:top w:val="nil"/>
              <w:left w:val="nil"/>
              <w:bottom w:val="single" w:sz="4" w:space="0" w:color="auto"/>
              <w:right w:val="single" w:sz="4" w:space="0" w:color="auto"/>
            </w:tcBorders>
            <w:shd w:val="clear" w:color="000000" w:fill="FFFFFF"/>
            <w:vAlign w:val="center"/>
            <w:hideMark/>
          </w:tcPr>
          <w:p w14:paraId="5AEA64B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420.21</w:t>
            </w:r>
          </w:p>
        </w:tc>
        <w:tc>
          <w:tcPr>
            <w:tcW w:w="1423" w:type="dxa"/>
            <w:tcBorders>
              <w:top w:val="nil"/>
              <w:left w:val="nil"/>
              <w:bottom w:val="single" w:sz="4" w:space="0" w:color="auto"/>
              <w:right w:val="single" w:sz="4" w:space="0" w:color="auto"/>
            </w:tcBorders>
            <w:shd w:val="clear" w:color="000000" w:fill="FFFFFF"/>
            <w:vAlign w:val="center"/>
            <w:hideMark/>
          </w:tcPr>
          <w:p w14:paraId="6D25AFC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2990.28 (3288.15)</w:t>
            </w:r>
          </w:p>
        </w:tc>
        <w:tc>
          <w:tcPr>
            <w:tcW w:w="1401" w:type="dxa"/>
            <w:tcBorders>
              <w:top w:val="nil"/>
              <w:left w:val="nil"/>
              <w:bottom w:val="single" w:sz="4" w:space="0" w:color="auto"/>
              <w:right w:val="single" w:sz="4" w:space="0" w:color="auto"/>
            </w:tcBorders>
            <w:shd w:val="clear" w:color="000000" w:fill="FFFFFF"/>
            <w:vAlign w:val="center"/>
            <w:hideMark/>
          </w:tcPr>
          <w:p w14:paraId="59D5E24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1556.20 (1570.72)</w:t>
            </w:r>
          </w:p>
        </w:tc>
      </w:tr>
      <w:tr w:rsidR="008930D1" w:rsidRPr="00767C21" w14:paraId="3D2F216F"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5707B48B"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2. Non-Tax Revenue</w:t>
            </w:r>
          </w:p>
        </w:tc>
        <w:tc>
          <w:tcPr>
            <w:tcW w:w="1293" w:type="dxa"/>
            <w:tcBorders>
              <w:top w:val="nil"/>
              <w:left w:val="nil"/>
              <w:bottom w:val="single" w:sz="4" w:space="0" w:color="auto"/>
              <w:right w:val="single" w:sz="4" w:space="0" w:color="auto"/>
            </w:tcBorders>
            <w:shd w:val="clear" w:color="000000" w:fill="FFFFFF"/>
            <w:vAlign w:val="center"/>
            <w:hideMark/>
          </w:tcPr>
          <w:p w14:paraId="5DA610D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2549.84</w:t>
            </w:r>
          </w:p>
        </w:tc>
        <w:tc>
          <w:tcPr>
            <w:tcW w:w="1432" w:type="dxa"/>
            <w:tcBorders>
              <w:top w:val="nil"/>
              <w:left w:val="nil"/>
              <w:bottom w:val="single" w:sz="4" w:space="0" w:color="auto"/>
              <w:right w:val="single" w:sz="4" w:space="0" w:color="auto"/>
            </w:tcBorders>
            <w:shd w:val="clear" w:color="000000" w:fill="FFFFFF"/>
            <w:vAlign w:val="center"/>
            <w:hideMark/>
          </w:tcPr>
          <w:p w14:paraId="46E0C1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167.82</w:t>
            </w:r>
          </w:p>
        </w:tc>
        <w:tc>
          <w:tcPr>
            <w:tcW w:w="1187" w:type="dxa"/>
            <w:tcBorders>
              <w:top w:val="nil"/>
              <w:left w:val="nil"/>
              <w:bottom w:val="single" w:sz="4" w:space="0" w:color="auto"/>
              <w:right w:val="single" w:sz="4" w:space="0" w:color="auto"/>
            </w:tcBorders>
            <w:shd w:val="clear" w:color="000000" w:fill="FFFFFF"/>
            <w:vAlign w:val="center"/>
            <w:hideMark/>
          </w:tcPr>
          <w:p w14:paraId="376C2A9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1237.93</w:t>
            </w:r>
          </w:p>
        </w:tc>
        <w:tc>
          <w:tcPr>
            <w:tcW w:w="1293" w:type="dxa"/>
            <w:tcBorders>
              <w:top w:val="nil"/>
              <w:left w:val="nil"/>
              <w:bottom w:val="single" w:sz="4" w:space="0" w:color="auto"/>
              <w:right w:val="single" w:sz="4" w:space="0" w:color="auto"/>
            </w:tcBorders>
            <w:shd w:val="clear" w:color="000000" w:fill="FFFFFF"/>
            <w:vAlign w:val="center"/>
            <w:hideMark/>
          </w:tcPr>
          <w:p w14:paraId="4BAA833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5226.85</w:t>
            </w:r>
          </w:p>
        </w:tc>
        <w:tc>
          <w:tcPr>
            <w:tcW w:w="1187" w:type="dxa"/>
            <w:tcBorders>
              <w:top w:val="nil"/>
              <w:left w:val="nil"/>
              <w:bottom w:val="single" w:sz="4" w:space="0" w:color="auto"/>
              <w:right w:val="single" w:sz="4" w:space="0" w:color="auto"/>
            </w:tcBorders>
            <w:shd w:val="clear" w:color="000000" w:fill="FFFFFF"/>
            <w:vAlign w:val="center"/>
            <w:hideMark/>
          </w:tcPr>
          <w:p w14:paraId="67790D8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111.41</w:t>
            </w:r>
          </w:p>
        </w:tc>
        <w:tc>
          <w:tcPr>
            <w:tcW w:w="1293" w:type="dxa"/>
            <w:tcBorders>
              <w:top w:val="nil"/>
              <w:left w:val="nil"/>
              <w:bottom w:val="single" w:sz="4" w:space="0" w:color="auto"/>
              <w:right w:val="single" w:sz="4" w:space="0" w:color="auto"/>
            </w:tcBorders>
            <w:shd w:val="clear" w:color="000000" w:fill="FFFFFF"/>
            <w:vAlign w:val="center"/>
            <w:hideMark/>
          </w:tcPr>
          <w:p w14:paraId="2A08DC7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3274.87</w:t>
            </w:r>
          </w:p>
        </w:tc>
        <w:tc>
          <w:tcPr>
            <w:tcW w:w="1251" w:type="dxa"/>
            <w:tcBorders>
              <w:top w:val="nil"/>
              <w:left w:val="nil"/>
              <w:bottom w:val="single" w:sz="4" w:space="0" w:color="auto"/>
              <w:right w:val="single" w:sz="4" w:space="0" w:color="auto"/>
            </w:tcBorders>
            <w:shd w:val="clear" w:color="000000" w:fill="FFFFFF"/>
            <w:vAlign w:val="center"/>
            <w:hideMark/>
          </w:tcPr>
          <w:p w14:paraId="30FFAF8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882.73</w:t>
            </w:r>
          </w:p>
        </w:tc>
        <w:tc>
          <w:tcPr>
            <w:tcW w:w="1347" w:type="dxa"/>
            <w:tcBorders>
              <w:top w:val="nil"/>
              <w:left w:val="nil"/>
              <w:bottom w:val="single" w:sz="4" w:space="0" w:color="auto"/>
              <w:right w:val="single" w:sz="4" w:space="0" w:color="auto"/>
            </w:tcBorders>
            <w:shd w:val="clear" w:color="000000" w:fill="FFFFFF"/>
            <w:vAlign w:val="center"/>
            <w:hideMark/>
          </w:tcPr>
          <w:p w14:paraId="5BFEB5F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409.08</w:t>
            </w:r>
          </w:p>
        </w:tc>
        <w:tc>
          <w:tcPr>
            <w:tcW w:w="1187" w:type="dxa"/>
            <w:tcBorders>
              <w:top w:val="nil"/>
              <w:left w:val="nil"/>
              <w:bottom w:val="single" w:sz="4" w:space="0" w:color="auto"/>
              <w:right w:val="single" w:sz="4" w:space="0" w:color="auto"/>
            </w:tcBorders>
            <w:shd w:val="clear" w:color="000000" w:fill="FFFFFF"/>
            <w:vAlign w:val="center"/>
            <w:hideMark/>
          </w:tcPr>
          <w:p w14:paraId="5598E88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559.9</w:t>
            </w:r>
          </w:p>
        </w:tc>
        <w:tc>
          <w:tcPr>
            <w:tcW w:w="1423" w:type="dxa"/>
            <w:tcBorders>
              <w:top w:val="nil"/>
              <w:left w:val="nil"/>
              <w:bottom w:val="single" w:sz="4" w:space="0" w:color="auto"/>
              <w:right w:val="single" w:sz="4" w:space="0" w:color="auto"/>
            </w:tcBorders>
            <w:shd w:val="clear" w:color="000000" w:fill="FFFFFF"/>
            <w:vAlign w:val="center"/>
            <w:hideMark/>
          </w:tcPr>
          <w:p w14:paraId="661E5F2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2665.08</w:t>
            </w:r>
          </w:p>
        </w:tc>
        <w:tc>
          <w:tcPr>
            <w:tcW w:w="1401" w:type="dxa"/>
            <w:tcBorders>
              <w:top w:val="nil"/>
              <w:left w:val="nil"/>
              <w:bottom w:val="single" w:sz="4" w:space="0" w:color="auto"/>
              <w:right w:val="single" w:sz="4" w:space="0" w:color="auto"/>
            </w:tcBorders>
            <w:shd w:val="clear" w:color="000000" w:fill="FFFFFF"/>
            <w:vAlign w:val="center"/>
            <w:hideMark/>
          </w:tcPr>
          <w:p w14:paraId="36357DF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1366.42</w:t>
            </w:r>
          </w:p>
        </w:tc>
      </w:tr>
      <w:tr w:rsidR="008930D1" w:rsidRPr="00767C21" w14:paraId="6AE9C881"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542286F3"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Interest Receipts</w:t>
            </w:r>
          </w:p>
        </w:tc>
        <w:tc>
          <w:tcPr>
            <w:tcW w:w="1293" w:type="dxa"/>
            <w:tcBorders>
              <w:top w:val="nil"/>
              <w:left w:val="nil"/>
              <w:bottom w:val="single" w:sz="4" w:space="0" w:color="auto"/>
              <w:right w:val="single" w:sz="4" w:space="0" w:color="auto"/>
            </w:tcBorders>
            <w:shd w:val="clear" w:color="000000" w:fill="FFFFFF"/>
            <w:vAlign w:val="center"/>
            <w:hideMark/>
          </w:tcPr>
          <w:p w14:paraId="4B9FFA2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432" w:type="dxa"/>
            <w:tcBorders>
              <w:top w:val="nil"/>
              <w:left w:val="nil"/>
              <w:bottom w:val="single" w:sz="4" w:space="0" w:color="auto"/>
              <w:right w:val="single" w:sz="4" w:space="0" w:color="auto"/>
            </w:tcBorders>
            <w:shd w:val="clear" w:color="000000" w:fill="FFFFFF"/>
            <w:vAlign w:val="center"/>
            <w:hideMark/>
          </w:tcPr>
          <w:p w14:paraId="534BCCB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1DFA0EB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1D13EBE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204D0FA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475F19C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51" w:type="dxa"/>
            <w:tcBorders>
              <w:top w:val="nil"/>
              <w:left w:val="nil"/>
              <w:bottom w:val="single" w:sz="4" w:space="0" w:color="auto"/>
              <w:right w:val="single" w:sz="4" w:space="0" w:color="auto"/>
            </w:tcBorders>
            <w:shd w:val="clear" w:color="000000" w:fill="FFFFFF"/>
            <w:vAlign w:val="center"/>
            <w:hideMark/>
          </w:tcPr>
          <w:p w14:paraId="266C5DB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347" w:type="dxa"/>
            <w:tcBorders>
              <w:top w:val="nil"/>
              <w:left w:val="nil"/>
              <w:bottom w:val="single" w:sz="4" w:space="0" w:color="auto"/>
              <w:right w:val="single" w:sz="4" w:space="0" w:color="auto"/>
            </w:tcBorders>
            <w:shd w:val="clear" w:color="000000" w:fill="FFFFFF"/>
            <w:vAlign w:val="center"/>
            <w:hideMark/>
          </w:tcPr>
          <w:p w14:paraId="265392A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6F2D65A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423" w:type="dxa"/>
            <w:tcBorders>
              <w:top w:val="nil"/>
              <w:left w:val="nil"/>
              <w:bottom w:val="single" w:sz="4" w:space="0" w:color="auto"/>
              <w:right w:val="single" w:sz="4" w:space="0" w:color="auto"/>
            </w:tcBorders>
            <w:shd w:val="clear" w:color="000000" w:fill="FFFFFF"/>
            <w:vAlign w:val="center"/>
            <w:hideMark/>
          </w:tcPr>
          <w:p w14:paraId="3BA1D43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401" w:type="dxa"/>
            <w:tcBorders>
              <w:top w:val="nil"/>
              <w:left w:val="nil"/>
              <w:bottom w:val="single" w:sz="4" w:space="0" w:color="auto"/>
              <w:right w:val="single" w:sz="4" w:space="0" w:color="auto"/>
            </w:tcBorders>
            <w:shd w:val="clear" w:color="000000" w:fill="FFFFFF"/>
            <w:vAlign w:val="center"/>
            <w:hideMark/>
          </w:tcPr>
          <w:p w14:paraId="4A5646D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r>
      <w:tr w:rsidR="008930D1" w:rsidRPr="00767C21" w14:paraId="5E857A53"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25BDE17E"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   (a) SEB</w:t>
            </w:r>
          </w:p>
        </w:tc>
        <w:tc>
          <w:tcPr>
            <w:tcW w:w="1293" w:type="dxa"/>
            <w:tcBorders>
              <w:top w:val="nil"/>
              <w:left w:val="nil"/>
              <w:bottom w:val="single" w:sz="4" w:space="0" w:color="auto"/>
              <w:right w:val="single" w:sz="4" w:space="0" w:color="auto"/>
            </w:tcBorders>
            <w:shd w:val="clear" w:color="000000" w:fill="FFFFFF"/>
            <w:vAlign w:val="center"/>
            <w:hideMark/>
          </w:tcPr>
          <w:p w14:paraId="0080768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432" w:type="dxa"/>
            <w:tcBorders>
              <w:top w:val="nil"/>
              <w:left w:val="nil"/>
              <w:bottom w:val="single" w:sz="4" w:space="0" w:color="auto"/>
              <w:right w:val="single" w:sz="4" w:space="0" w:color="auto"/>
            </w:tcBorders>
            <w:shd w:val="clear" w:color="000000" w:fill="FFFFFF"/>
            <w:vAlign w:val="center"/>
            <w:hideMark/>
          </w:tcPr>
          <w:p w14:paraId="5B4F745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122E943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1FF8847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233.57</w:t>
            </w:r>
          </w:p>
        </w:tc>
        <w:tc>
          <w:tcPr>
            <w:tcW w:w="1187" w:type="dxa"/>
            <w:tcBorders>
              <w:top w:val="nil"/>
              <w:left w:val="nil"/>
              <w:bottom w:val="single" w:sz="4" w:space="0" w:color="auto"/>
              <w:right w:val="single" w:sz="4" w:space="0" w:color="auto"/>
            </w:tcBorders>
            <w:shd w:val="clear" w:color="000000" w:fill="FFFFFF"/>
            <w:vAlign w:val="center"/>
            <w:hideMark/>
          </w:tcPr>
          <w:p w14:paraId="1BFE2FC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017AE23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51" w:type="dxa"/>
            <w:tcBorders>
              <w:top w:val="nil"/>
              <w:left w:val="nil"/>
              <w:bottom w:val="single" w:sz="4" w:space="0" w:color="auto"/>
              <w:right w:val="single" w:sz="4" w:space="0" w:color="auto"/>
            </w:tcBorders>
            <w:shd w:val="clear" w:color="000000" w:fill="FFFFFF"/>
            <w:vAlign w:val="center"/>
            <w:hideMark/>
          </w:tcPr>
          <w:p w14:paraId="62464A4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52.44</w:t>
            </w:r>
          </w:p>
        </w:tc>
        <w:tc>
          <w:tcPr>
            <w:tcW w:w="1347" w:type="dxa"/>
            <w:tcBorders>
              <w:top w:val="nil"/>
              <w:left w:val="nil"/>
              <w:bottom w:val="single" w:sz="4" w:space="0" w:color="auto"/>
              <w:right w:val="single" w:sz="4" w:space="0" w:color="auto"/>
            </w:tcBorders>
            <w:shd w:val="clear" w:color="000000" w:fill="FFFFFF"/>
            <w:vAlign w:val="center"/>
            <w:hideMark/>
          </w:tcPr>
          <w:p w14:paraId="3D9C52E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3124FCF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423" w:type="dxa"/>
            <w:tcBorders>
              <w:top w:val="nil"/>
              <w:left w:val="nil"/>
              <w:bottom w:val="single" w:sz="4" w:space="0" w:color="auto"/>
              <w:right w:val="single" w:sz="4" w:space="0" w:color="auto"/>
            </w:tcBorders>
            <w:shd w:val="clear" w:color="000000" w:fill="FFFFFF"/>
            <w:vAlign w:val="center"/>
            <w:hideMark/>
          </w:tcPr>
          <w:p w14:paraId="7309B7D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21.43</w:t>
            </w:r>
          </w:p>
        </w:tc>
        <w:tc>
          <w:tcPr>
            <w:tcW w:w="1401" w:type="dxa"/>
            <w:tcBorders>
              <w:top w:val="nil"/>
              <w:left w:val="nil"/>
              <w:bottom w:val="single" w:sz="4" w:space="0" w:color="auto"/>
              <w:right w:val="single" w:sz="4" w:space="0" w:color="auto"/>
            </w:tcBorders>
            <w:shd w:val="clear" w:color="000000" w:fill="FFFFFF"/>
            <w:vAlign w:val="center"/>
            <w:hideMark/>
          </w:tcPr>
          <w:p w14:paraId="56DFB09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8.41</w:t>
            </w:r>
          </w:p>
        </w:tc>
      </w:tr>
      <w:tr w:rsidR="008930D1" w:rsidRPr="00767C21" w14:paraId="50FDFA58"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41B29F37"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   (b) RTC</w:t>
            </w:r>
          </w:p>
        </w:tc>
        <w:tc>
          <w:tcPr>
            <w:tcW w:w="1293" w:type="dxa"/>
            <w:tcBorders>
              <w:top w:val="nil"/>
              <w:left w:val="nil"/>
              <w:bottom w:val="single" w:sz="4" w:space="0" w:color="auto"/>
              <w:right w:val="single" w:sz="4" w:space="0" w:color="auto"/>
            </w:tcBorders>
            <w:shd w:val="clear" w:color="000000" w:fill="FFFFFF"/>
            <w:vAlign w:val="center"/>
            <w:hideMark/>
          </w:tcPr>
          <w:p w14:paraId="7C92CB6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22.43</w:t>
            </w:r>
          </w:p>
        </w:tc>
        <w:tc>
          <w:tcPr>
            <w:tcW w:w="1432" w:type="dxa"/>
            <w:tcBorders>
              <w:top w:val="nil"/>
              <w:left w:val="nil"/>
              <w:bottom w:val="single" w:sz="4" w:space="0" w:color="auto"/>
              <w:right w:val="single" w:sz="4" w:space="0" w:color="auto"/>
            </w:tcBorders>
            <w:shd w:val="clear" w:color="000000" w:fill="FFFFFF"/>
            <w:vAlign w:val="center"/>
            <w:hideMark/>
          </w:tcPr>
          <w:p w14:paraId="2691569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30B4304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10.78</w:t>
            </w:r>
          </w:p>
        </w:tc>
        <w:tc>
          <w:tcPr>
            <w:tcW w:w="1293" w:type="dxa"/>
            <w:tcBorders>
              <w:top w:val="nil"/>
              <w:left w:val="nil"/>
              <w:bottom w:val="single" w:sz="4" w:space="0" w:color="auto"/>
              <w:right w:val="single" w:sz="4" w:space="0" w:color="auto"/>
            </w:tcBorders>
            <w:shd w:val="clear" w:color="000000" w:fill="FFFFFF"/>
            <w:vAlign w:val="center"/>
            <w:hideMark/>
          </w:tcPr>
          <w:p w14:paraId="0BAD07E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w:t>
            </w:r>
          </w:p>
        </w:tc>
        <w:tc>
          <w:tcPr>
            <w:tcW w:w="1187" w:type="dxa"/>
            <w:tcBorders>
              <w:top w:val="nil"/>
              <w:left w:val="nil"/>
              <w:bottom w:val="single" w:sz="4" w:space="0" w:color="auto"/>
              <w:right w:val="single" w:sz="4" w:space="0" w:color="auto"/>
            </w:tcBorders>
            <w:shd w:val="clear" w:color="000000" w:fill="FFFFFF"/>
            <w:vAlign w:val="center"/>
            <w:hideMark/>
          </w:tcPr>
          <w:p w14:paraId="0816242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1.46</w:t>
            </w:r>
          </w:p>
        </w:tc>
        <w:tc>
          <w:tcPr>
            <w:tcW w:w="1293" w:type="dxa"/>
            <w:tcBorders>
              <w:top w:val="nil"/>
              <w:left w:val="nil"/>
              <w:bottom w:val="single" w:sz="4" w:space="0" w:color="auto"/>
              <w:right w:val="single" w:sz="4" w:space="0" w:color="auto"/>
            </w:tcBorders>
            <w:shd w:val="clear" w:color="000000" w:fill="FFFFFF"/>
            <w:vAlign w:val="center"/>
            <w:hideMark/>
          </w:tcPr>
          <w:p w14:paraId="5474EAB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43.8</w:t>
            </w:r>
          </w:p>
        </w:tc>
        <w:tc>
          <w:tcPr>
            <w:tcW w:w="1251" w:type="dxa"/>
            <w:tcBorders>
              <w:top w:val="nil"/>
              <w:left w:val="nil"/>
              <w:bottom w:val="single" w:sz="4" w:space="0" w:color="auto"/>
              <w:right w:val="single" w:sz="4" w:space="0" w:color="auto"/>
            </w:tcBorders>
            <w:shd w:val="clear" w:color="000000" w:fill="FFFFFF"/>
            <w:vAlign w:val="center"/>
            <w:hideMark/>
          </w:tcPr>
          <w:p w14:paraId="245C66F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347" w:type="dxa"/>
            <w:tcBorders>
              <w:top w:val="nil"/>
              <w:left w:val="nil"/>
              <w:bottom w:val="single" w:sz="4" w:space="0" w:color="auto"/>
              <w:right w:val="single" w:sz="4" w:space="0" w:color="auto"/>
            </w:tcBorders>
            <w:shd w:val="clear" w:color="000000" w:fill="FFFFFF"/>
            <w:vAlign w:val="center"/>
            <w:hideMark/>
          </w:tcPr>
          <w:p w14:paraId="07E5C87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8.81</w:t>
            </w:r>
          </w:p>
        </w:tc>
        <w:tc>
          <w:tcPr>
            <w:tcW w:w="1187" w:type="dxa"/>
            <w:tcBorders>
              <w:top w:val="nil"/>
              <w:left w:val="nil"/>
              <w:bottom w:val="single" w:sz="4" w:space="0" w:color="auto"/>
              <w:right w:val="single" w:sz="4" w:space="0" w:color="auto"/>
            </w:tcBorders>
            <w:shd w:val="clear" w:color="000000" w:fill="FFFFFF"/>
            <w:vAlign w:val="center"/>
            <w:hideMark/>
          </w:tcPr>
          <w:p w14:paraId="1548A82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18.72</w:t>
            </w:r>
          </w:p>
        </w:tc>
        <w:tc>
          <w:tcPr>
            <w:tcW w:w="1423" w:type="dxa"/>
            <w:tcBorders>
              <w:top w:val="nil"/>
              <w:left w:val="nil"/>
              <w:bottom w:val="single" w:sz="4" w:space="0" w:color="auto"/>
              <w:right w:val="single" w:sz="4" w:space="0" w:color="auto"/>
            </w:tcBorders>
            <w:shd w:val="clear" w:color="000000" w:fill="FFFFFF"/>
            <w:vAlign w:val="center"/>
            <w:hideMark/>
          </w:tcPr>
          <w:p w14:paraId="1F67534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208.59</w:t>
            </w:r>
          </w:p>
        </w:tc>
        <w:tc>
          <w:tcPr>
            <w:tcW w:w="1401" w:type="dxa"/>
            <w:tcBorders>
              <w:top w:val="nil"/>
              <w:left w:val="nil"/>
              <w:bottom w:val="single" w:sz="4" w:space="0" w:color="auto"/>
              <w:right w:val="single" w:sz="4" w:space="0" w:color="auto"/>
            </w:tcBorders>
            <w:shd w:val="clear" w:color="000000" w:fill="FFFFFF"/>
            <w:vAlign w:val="center"/>
            <w:hideMark/>
          </w:tcPr>
          <w:p w14:paraId="59F2C1B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78.74</w:t>
            </w:r>
          </w:p>
        </w:tc>
      </w:tr>
      <w:tr w:rsidR="008930D1" w:rsidRPr="00767C21" w14:paraId="670FA2CE"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3A79E7A6"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   (c) Others</w:t>
            </w:r>
          </w:p>
        </w:tc>
        <w:tc>
          <w:tcPr>
            <w:tcW w:w="1293" w:type="dxa"/>
            <w:tcBorders>
              <w:top w:val="nil"/>
              <w:left w:val="nil"/>
              <w:bottom w:val="single" w:sz="4" w:space="0" w:color="auto"/>
              <w:right w:val="single" w:sz="4" w:space="0" w:color="auto"/>
            </w:tcBorders>
            <w:shd w:val="clear" w:color="000000" w:fill="FFFFFF"/>
            <w:vAlign w:val="center"/>
            <w:hideMark/>
          </w:tcPr>
          <w:p w14:paraId="71B8916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145.13</w:t>
            </w:r>
          </w:p>
        </w:tc>
        <w:tc>
          <w:tcPr>
            <w:tcW w:w="1432" w:type="dxa"/>
            <w:tcBorders>
              <w:top w:val="nil"/>
              <w:left w:val="nil"/>
              <w:bottom w:val="single" w:sz="4" w:space="0" w:color="auto"/>
              <w:right w:val="single" w:sz="4" w:space="0" w:color="auto"/>
            </w:tcBorders>
            <w:shd w:val="clear" w:color="000000" w:fill="FFFFFF"/>
            <w:vAlign w:val="center"/>
            <w:hideMark/>
          </w:tcPr>
          <w:p w14:paraId="50B0502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0.86</w:t>
            </w:r>
          </w:p>
        </w:tc>
        <w:tc>
          <w:tcPr>
            <w:tcW w:w="1187" w:type="dxa"/>
            <w:tcBorders>
              <w:top w:val="nil"/>
              <w:left w:val="nil"/>
              <w:bottom w:val="single" w:sz="4" w:space="0" w:color="auto"/>
              <w:right w:val="single" w:sz="4" w:space="0" w:color="auto"/>
            </w:tcBorders>
            <w:shd w:val="clear" w:color="000000" w:fill="FFFFFF"/>
            <w:vAlign w:val="center"/>
            <w:hideMark/>
          </w:tcPr>
          <w:p w14:paraId="16FEBEC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45.67</w:t>
            </w:r>
          </w:p>
        </w:tc>
        <w:tc>
          <w:tcPr>
            <w:tcW w:w="1293" w:type="dxa"/>
            <w:tcBorders>
              <w:top w:val="nil"/>
              <w:left w:val="nil"/>
              <w:bottom w:val="single" w:sz="4" w:space="0" w:color="auto"/>
              <w:right w:val="single" w:sz="4" w:space="0" w:color="auto"/>
            </w:tcBorders>
            <w:shd w:val="clear" w:color="000000" w:fill="FFFFFF"/>
            <w:vAlign w:val="center"/>
            <w:hideMark/>
          </w:tcPr>
          <w:p w14:paraId="45E8D7D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173.01</w:t>
            </w:r>
          </w:p>
        </w:tc>
        <w:tc>
          <w:tcPr>
            <w:tcW w:w="1187" w:type="dxa"/>
            <w:tcBorders>
              <w:top w:val="nil"/>
              <w:left w:val="nil"/>
              <w:bottom w:val="single" w:sz="4" w:space="0" w:color="auto"/>
              <w:right w:val="single" w:sz="4" w:space="0" w:color="auto"/>
            </w:tcBorders>
            <w:shd w:val="clear" w:color="000000" w:fill="FFFFFF"/>
            <w:vAlign w:val="center"/>
            <w:hideMark/>
          </w:tcPr>
          <w:p w14:paraId="10AE2CC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4.85</w:t>
            </w:r>
          </w:p>
        </w:tc>
        <w:tc>
          <w:tcPr>
            <w:tcW w:w="1293" w:type="dxa"/>
            <w:tcBorders>
              <w:top w:val="nil"/>
              <w:left w:val="nil"/>
              <w:bottom w:val="single" w:sz="4" w:space="0" w:color="auto"/>
              <w:right w:val="single" w:sz="4" w:space="0" w:color="auto"/>
            </w:tcBorders>
            <w:shd w:val="clear" w:color="000000" w:fill="FFFFFF"/>
            <w:vAlign w:val="center"/>
            <w:hideMark/>
          </w:tcPr>
          <w:p w14:paraId="04F7981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182.15</w:t>
            </w:r>
          </w:p>
        </w:tc>
        <w:tc>
          <w:tcPr>
            <w:tcW w:w="1251" w:type="dxa"/>
            <w:tcBorders>
              <w:top w:val="nil"/>
              <w:left w:val="nil"/>
              <w:bottom w:val="single" w:sz="4" w:space="0" w:color="auto"/>
              <w:right w:val="single" w:sz="4" w:space="0" w:color="auto"/>
            </w:tcBorders>
            <w:shd w:val="clear" w:color="000000" w:fill="FFFFFF"/>
            <w:vAlign w:val="center"/>
            <w:hideMark/>
          </w:tcPr>
          <w:p w14:paraId="2991A79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49.24</w:t>
            </w:r>
          </w:p>
        </w:tc>
        <w:tc>
          <w:tcPr>
            <w:tcW w:w="1347" w:type="dxa"/>
            <w:tcBorders>
              <w:top w:val="nil"/>
              <w:left w:val="nil"/>
              <w:bottom w:val="single" w:sz="4" w:space="0" w:color="auto"/>
              <w:right w:val="single" w:sz="4" w:space="0" w:color="auto"/>
            </w:tcBorders>
            <w:shd w:val="clear" w:color="000000" w:fill="FFFFFF"/>
            <w:vAlign w:val="center"/>
            <w:hideMark/>
          </w:tcPr>
          <w:p w14:paraId="53D7C09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11.35</w:t>
            </w:r>
          </w:p>
        </w:tc>
        <w:tc>
          <w:tcPr>
            <w:tcW w:w="1187" w:type="dxa"/>
            <w:tcBorders>
              <w:top w:val="nil"/>
              <w:left w:val="nil"/>
              <w:bottom w:val="single" w:sz="4" w:space="0" w:color="auto"/>
              <w:right w:val="single" w:sz="4" w:space="0" w:color="auto"/>
            </w:tcBorders>
            <w:shd w:val="clear" w:color="000000" w:fill="FFFFFF"/>
            <w:vAlign w:val="center"/>
            <w:hideMark/>
          </w:tcPr>
          <w:p w14:paraId="1703840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25.05</w:t>
            </w:r>
          </w:p>
        </w:tc>
        <w:tc>
          <w:tcPr>
            <w:tcW w:w="1423" w:type="dxa"/>
            <w:tcBorders>
              <w:top w:val="nil"/>
              <w:left w:val="nil"/>
              <w:bottom w:val="single" w:sz="4" w:space="0" w:color="auto"/>
              <w:right w:val="single" w:sz="4" w:space="0" w:color="auto"/>
            </w:tcBorders>
            <w:shd w:val="clear" w:color="000000" w:fill="FFFFFF"/>
            <w:vAlign w:val="center"/>
            <w:hideMark/>
          </w:tcPr>
          <w:p w14:paraId="7CEC8BA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105.75</w:t>
            </w:r>
          </w:p>
        </w:tc>
        <w:tc>
          <w:tcPr>
            <w:tcW w:w="1401" w:type="dxa"/>
            <w:tcBorders>
              <w:top w:val="nil"/>
              <w:left w:val="nil"/>
              <w:bottom w:val="single" w:sz="4" w:space="0" w:color="auto"/>
              <w:right w:val="single" w:sz="4" w:space="0" w:color="auto"/>
            </w:tcBorders>
            <w:shd w:val="clear" w:color="000000" w:fill="FFFFFF"/>
            <w:vAlign w:val="center"/>
            <w:hideMark/>
          </w:tcPr>
          <w:p w14:paraId="19B59B3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80.56</w:t>
            </w:r>
          </w:p>
        </w:tc>
      </w:tr>
      <w:tr w:rsidR="008930D1" w:rsidRPr="00767C21" w14:paraId="2CAC0E67"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5DE5AA47"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 Dividends</w:t>
            </w:r>
          </w:p>
        </w:tc>
        <w:tc>
          <w:tcPr>
            <w:tcW w:w="1293" w:type="dxa"/>
            <w:tcBorders>
              <w:top w:val="nil"/>
              <w:left w:val="nil"/>
              <w:bottom w:val="single" w:sz="4" w:space="0" w:color="auto"/>
              <w:right w:val="single" w:sz="4" w:space="0" w:color="auto"/>
            </w:tcBorders>
            <w:shd w:val="clear" w:color="000000" w:fill="FFFFFF"/>
            <w:vAlign w:val="center"/>
            <w:hideMark/>
          </w:tcPr>
          <w:p w14:paraId="4EC23FC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122.7</w:t>
            </w:r>
          </w:p>
        </w:tc>
        <w:tc>
          <w:tcPr>
            <w:tcW w:w="1432" w:type="dxa"/>
            <w:tcBorders>
              <w:top w:val="nil"/>
              <w:left w:val="nil"/>
              <w:bottom w:val="single" w:sz="4" w:space="0" w:color="auto"/>
              <w:right w:val="single" w:sz="4" w:space="0" w:color="auto"/>
            </w:tcBorders>
            <w:shd w:val="clear" w:color="000000" w:fill="FFFFFF"/>
            <w:vAlign w:val="center"/>
            <w:hideMark/>
          </w:tcPr>
          <w:p w14:paraId="0D15BB4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0.7</w:t>
            </w:r>
          </w:p>
        </w:tc>
        <w:tc>
          <w:tcPr>
            <w:tcW w:w="1187" w:type="dxa"/>
            <w:tcBorders>
              <w:top w:val="nil"/>
              <w:left w:val="nil"/>
              <w:bottom w:val="single" w:sz="4" w:space="0" w:color="auto"/>
              <w:right w:val="single" w:sz="4" w:space="0" w:color="auto"/>
            </w:tcBorders>
            <w:shd w:val="clear" w:color="000000" w:fill="FFFFFF"/>
            <w:vAlign w:val="center"/>
            <w:hideMark/>
          </w:tcPr>
          <w:p w14:paraId="15BDF0D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33.1</w:t>
            </w:r>
          </w:p>
        </w:tc>
        <w:tc>
          <w:tcPr>
            <w:tcW w:w="1293" w:type="dxa"/>
            <w:tcBorders>
              <w:top w:val="nil"/>
              <w:left w:val="nil"/>
              <w:bottom w:val="single" w:sz="4" w:space="0" w:color="auto"/>
              <w:right w:val="single" w:sz="4" w:space="0" w:color="auto"/>
            </w:tcBorders>
            <w:shd w:val="clear" w:color="000000" w:fill="FFFFFF"/>
            <w:vAlign w:val="center"/>
            <w:hideMark/>
          </w:tcPr>
          <w:p w14:paraId="32CDAA2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53.7</w:t>
            </w:r>
          </w:p>
        </w:tc>
        <w:tc>
          <w:tcPr>
            <w:tcW w:w="1187" w:type="dxa"/>
            <w:tcBorders>
              <w:top w:val="nil"/>
              <w:left w:val="nil"/>
              <w:bottom w:val="single" w:sz="4" w:space="0" w:color="auto"/>
              <w:right w:val="single" w:sz="4" w:space="0" w:color="auto"/>
            </w:tcBorders>
            <w:shd w:val="clear" w:color="000000" w:fill="FFFFFF"/>
            <w:vAlign w:val="center"/>
            <w:hideMark/>
          </w:tcPr>
          <w:p w14:paraId="17061EB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9.7</w:t>
            </w:r>
          </w:p>
        </w:tc>
        <w:tc>
          <w:tcPr>
            <w:tcW w:w="1293" w:type="dxa"/>
            <w:tcBorders>
              <w:top w:val="nil"/>
              <w:left w:val="nil"/>
              <w:bottom w:val="single" w:sz="4" w:space="0" w:color="auto"/>
              <w:right w:val="single" w:sz="4" w:space="0" w:color="auto"/>
            </w:tcBorders>
            <w:shd w:val="clear" w:color="000000" w:fill="FFFFFF"/>
            <w:vAlign w:val="center"/>
            <w:hideMark/>
          </w:tcPr>
          <w:p w14:paraId="60D45BC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54.35</w:t>
            </w:r>
          </w:p>
        </w:tc>
        <w:tc>
          <w:tcPr>
            <w:tcW w:w="1251" w:type="dxa"/>
            <w:tcBorders>
              <w:top w:val="nil"/>
              <w:left w:val="nil"/>
              <w:bottom w:val="single" w:sz="4" w:space="0" w:color="auto"/>
              <w:right w:val="single" w:sz="4" w:space="0" w:color="auto"/>
            </w:tcBorders>
            <w:shd w:val="clear" w:color="000000" w:fill="FFFFFF"/>
            <w:vAlign w:val="center"/>
            <w:hideMark/>
          </w:tcPr>
          <w:p w14:paraId="4DD25F6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25.7</w:t>
            </w:r>
          </w:p>
        </w:tc>
        <w:tc>
          <w:tcPr>
            <w:tcW w:w="1347" w:type="dxa"/>
            <w:tcBorders>
              <w:top w:val="nil"/>
              <w:left w:val="nil"/>
              <w:bottom w:val="single" w:sz="4" w:space="0" w:color="auto"/>
              <w:right w:val="single" w:sz="4" w:space="0" w:color="auto"/>
            </w:tcBorders>
            <w:shd w:val="clear" w:color="000000" w:fill="FFFFFF"/>
            <w:vAlign w:val="center"/>
            <w:hideMark/>
          </w:tcPr>
          <w:p w14:paraId="1AA1BD8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162.45</w:t>
            </w:r>
          </w:p>
        </w:tc>
        <w:tc>
          <w:tcPr>
            <w:tcW w:w="1187" w:type="dxa"/>
            <w:tcBorders>
              <w:top w:val="nil"/>
              <w:left w:val="nil"/>
              <w:bottom w:val="single" w:sz="4" w:space="0" w:color="auto"/>
              <w:right w:val="single" w:sz="4" w:space="0" w:color="auto"/>
            </w:tcBorders>
            <w:shd w:val="clear" w:color="000000" w:fill="FFFFFF"/>
            <w:vAlign w:val="center"/>
            <w:hideMark/>
          </w:tcPr>
          <w:p w14:paraId="49F144E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295.32</w:t>
            </w:r>
          </w:p>
        </w:tc>
        <w:tc>
          <w:tcPr>
            <w:tcW w:w="1423" w:type="dxa"/>
            <w:tcBorders>
              <w:top w:val="nil"/>
              <w:left w:val="nil"/>
              <w:bottom w:val="single" w:sz="4" w:space="0" w:color="auto"/>
              <w:right w:val="single" w:sz="4" w:space="0" w:color="auto"/>
            </w:tcBorders>
            <w:shd w:val="clear" w:color="000000" w:fill="FFFFFF"/>
            <w:vAlign w:val="center"/>
            <w:hideMark/>
          </w:tcPr>
          <w:p w14:paraId="47ED2FB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302.45</w:t>
            </w:r>
          </w:p>
        </w:tc>
        <w:tc>
          <w:tcPr>
            <w:tcW w:w="1401" w:type="dxa"/>
            <w:tcBorders>
              <w:top w:val="nil"/>
              <w:left w:val="nil"/>
              <w:bottom w:val="single" w:sz="4" w:space="0" w:color="auto"/>
              <w:right w:val="single" w:sz="4" w:space="0" w:color="auto"/>
            </w:tcBorders>
            <w:shd w:val="clear" w:color="000000" w:fill="FFFFFF"/>
            <w:vAlign w:val="center"/>
            <w:hideMark/>
          </w:tcPr>
          <w:p w14:paraId="714CDC4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243.39</w:t>
            </w:r>
          </w:p>
        </w:tc>
      </w:tr>
      <w:tr w:rsidR="008930D1" w:rsidRPr="00767C21" w14:paraId="5BCB4015"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5FB14149"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Forest</w:t>
            </w:r>
          </w:p>
        </w:tc>
        <w:tc>
          <w:tcPr>
            <w:tcW w:w="1293" w:type="dxa"/>
            <w:tcBorders>
              <w:top w:val="nil"/>
              <w:left w:val="nil"/>
              <w:bottom w:val="single" w:sz="4" w:space="0" w:color="auto"/>
              <w:right w:val="single" w:sz="4" w:space="0" w:color="auto"/>
            </w:tcBorders>
            <w:shd w:val="clear" w:color="000000" w:fill="FFFFFF"/>
            <w:vAlign w:val="center"/>
            <w:hideMark/>
          </w:tcPr>
          <w:p w14:paraId="2E226C6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301.92</w:t>
            </w:r>
          </w:p>
        </w:tc>
        <w:tc>
          <w:tcPr>
            <w:tcW w:w="1432" w:type="dxa"/>
            <w:tcBorders>
              <w:top w:val="nil"/>
              <w:left w:val="nil"/>
              <w:bottom w:val="single" w:sz="4" w:space="0" w:color="auto"/>
              <w:right w:val="single" w:sz="4" w:space="0" w:color="auto"/>
            </w:tcBorders>
            <w:shd w:val="clear" w:color="000000" w:fill="FFFFFF"/>
            <w:vAlign w:val="center"/>
            <w:hideMark/>
          </w:tcPr>
          <w:p w14:paraId="79A49D6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98.46</w:t>
            </w:r>
          </w:p>
        </w:tc>
        <w:tc>
          <w:tcPr>
            <w:tcW w:w="1187" w:type="dxa"/>
            <w:tcBorders>
              <w:top w:val="nil"/>
              <w:left w:val="nil"/>
              <w:bottom w:val="single" w:sz="4" w:space="0" w:color="auto"/>
              <w:right w:val="single" w:sz="4" w:space="0" w:color="auto"/>
            </w:tcBorders>
            <w:shd w:val="clear" w:color="000000" w:fill="FFFFFF"/>
            <w:vAlign w:val="center"/>
            <w:hideMark/>
          </w:tcPr>
          <w:p w14:paraId="3B3856C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95.43</w:t>
            </w:r>
          </w:p>
        </w:tc>
        <w:tc>
          <w:tcPr>
            <w:tcW w:w="1293" w:type="dxa"/>
            <w:tcBorders>
              <w:top w:val="nil"/>
              <w:left w:val="nil"/>
              <w:bottom w:val="single" w:sz="4" w:space="0" w:color="auto"/>
              <w:right w:val="single" w:sz="4" w:space="0" w:color="auto"/>
            </w:tcBorders>
            <w:shd w:val="clear" w:color="000000" w:fill="FFFFFF"/>
            <w:vAlign w:val="center"/>
            <w:hideMark/>
          </w:tcPr>
          <w:p w14:paraId="7B661DF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338.83</w:t>
            </w:r>
          </w:p>
        </w:tc>
        <w:tc>
          <w:tcPr>
            <w:tcW w:w="1187" w:type="dxa"/>
            <w:tcBorders>
              <w:top w:val="nil"/>
              <w:left w:val="nil"/>
              <w:bottom w:val="single" w:sz="4" w:space="0" w:color="auto"/>
              <w:right w:val="single" w:sz="4" w:space="0" w:color="auto"/>
            </w:tcBorders>
            <w:shd w:val="clear" w:color="000000" w:fill="FFFFFF"/>
            <w:vAlign w:val="center"/>
            <w:hideMark/>
          </w:tcPr>
          <w:p w14:paraId="1799128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4.53</w:t>
            </w:r>
          </w:p>
        </w:tc>
        <w:tc>
          <w:tcPr>
            <w:tcW w:w="1293" w:type="dxa"/>
            <w:tcBorders>
              <w:top w:val="nil"/>
              <w:left w:val="nil"/>
              <w:bottom w:val="single" w:sz="4" w:space="0" w:color="auto"/>
              <w:right w:val="single" w:sz="4" w:space="0" w:color="auto"/>
            </w:tcBorders>
            <w:shd w:val="clear" w:color="000000" w:fill="FFFFFF"/>
            <w:vAlign w:val="center"/>
            <w:hideMark/>
          </w:tcPr>
          <w:p w14:paraId="6668B80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93.35</w:t>
            </w:r>
          </w:p>
        </w:tc>
        <w:tc>
          <w:tcPr>
            <w:tcW w:w="1251" w:type="dxa"/>
            <w:tcBorders>
              <w:top w:val="nil"/>
              <w:left w:val="nil"/>
              <w:bottom w:val="single" w:sz="4" w:space="0" w:color="auto"/>
              <w:right w:val="single" w:sz="4" w:space="0" w:color="auto"/>
            </w:tcBorders>
            <w:shd w:val="clear" w:color="000000" w:fill="FFFFFF"/>
            <w:vAlign w:val="center"/>
            <w:hideMark/>
          </w:tcPr>
          <w:p w14:paraId="5A69EA5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36.27</w:t>
            </w:r>
          </w:p>
        </w:tc>
        <w:tc>
          <w:tcPr>
            <w:tcW w:w="1347" w:type="dxa"/>
            <w:tcBorders>
              <w:top w:val="nil"/>
              <w:left w:val="nil"/>
              <w:bottom w:val="single" w:sz="4" w:space="0" w:color="auto"/>
              <w:right w:val="single" w:sz="4" w:space="0" w:color="auto"/>
            </w:tcBorders>
            <w:shd w:val="clear" w:color="000000" w:fill="FFFFFF"/>
            <w:vAlign w:val="center"/>
            <w:hideMark/>
          </w:tcPr>
          <w:p w14:paraId="2C4F219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15.96</w:t>
            </w:r>
          </w:p>
        </w:tc>
        <w:tc>
          <w:tcPr>
            <w:tcW w:w="1187" w:type="dxa"/>
            <w:tcBorders>
              <w:top w:val="nil"/>
              <w:left w:val="nil"/>
              <w:bottom w:val="single" w:sz="4" w:space="0" w:color="auto"/>
              <w:right w:val="single" w:sz="4" w:space="0" w:color="auto"/>
            </w:tcBorders>
            <w:shd w:val="clear" w:color="000000" w:fill="FFFFFF"/>
            <w:vAlign w:val="center"/>
            <w:hideMark/>
          </w:tcPr>
          <w:p w14:paraId="72C82A2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4.12</w:t>
            </w:r>
          </w:p>
        </w:tc>
        <w:tc>
          <w:tcPr>
            <w:tcW w:w="1423" w:type="dxa"/>
            <w:tcBorders>
              <w:top w:val="nil"/>
              <w:left w:val="nil"/>
              <w:bottom w:val="single" w:sz="4" w:space="0" w:color="auto"/>
              <w:right w:val="single" w:sz="4" w:space="0" w:color="auto"/>
            </w:tcBorders>
            <w:shd w:val="clear" w:color="000000" w:fill="FFFFFF"/>
            <w:vAlign w:val="center"/>
            <w:hideMark/>
          </w:tcPr>
          <w:p w14:paraId="04059F3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95.67</w:t>
            </w:r>
          </w:p>
        </w:tc>
        <w:tc>
          <w:tcPr>
            <w:tcW w:w="1401" w:type="dxa"/>
            <w:tcBorders>
              <w:top w:val="nil"/>
              <w:left w:val="nil"/>
              <w:bottom w:val="single" w:sz="4" w:space="0" w:color="auto"/>
              <w:right w:val="single" w:sz="4" w:space="0" w:color="auto"/>
            </w:tcBorders>
            <w:shd w:val="clear" w:color="000000" w:fill="FFFFFF"/>
            <w:vAlign w:val="center"/>
            <w:hideMark/>
          </w:tcPr>
          <w:p w14:paraId="66B8D4D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5.07</w:t>
            </w:r>
          </w:p>
        </w:tc>
      </w:tr>
      <w:tr w:rsidR="008930D1" w:rsidRPr="00767C21" w14:paraId="1D3D0D68"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1F665400"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(iv) Mines And Minerals</w:t>
            </w:r>
          </w:p>
        </w:tc>
        <w:tc>
          <w:tcPr>
            <w:tcW w:w="1293" w:type="dxa"/>
            <w:tcBorders>
              <w:top w:val="nil"/>
              <w:left w:val="nil"/>
              <w:bottom w:val="single" w:sz="4" w:space="0" w:color="auto"/>
              <w:right w:val="single" w:sz="4" w:space="0" w:color="auto"/>
            </w:tcBorders>
            <w:shd w:val="clear" w:color="000000" w:fill="FFFFFF"/>
            <w:vAlign w:val="center"/>
            <w:hideMark/>
          </w:tcPr>
          <w:p w14:paraId="33B14CD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346.62</w:t>
            </w:r>
          </w:p>
        </w:tc>
        <w:tc>
          <w:tcPr>
            <w:tcW w:w="1432" w:type="dxa"/>
            <w:tcBorders>
              <w:top w:val="nil"/>
              <w:left w:val="nil"/>
              <w:bottom w:val="single" w:sz="4" w:space="0" w:color="auto"/>
              <w:right w:val="single" w:sz="4" w:space="0" w:color="auto"/>
            </w:tcBorders>
            <w:shd w:val="clear" w:color="000000" w:fill="FFFFFF"/>
            <w:vAlign w:val="center"/>
            <w:hideMark/>
          </w:tcPr>
          <w:p w14:paraId="33DD502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19.2</w:t>
            </w:r>
          </w:p>
        </w:tc>
        <w:tc>
          <w:tcPr>
            <w:tcW w:w="1187" w:type="dxa"/>
            <w:tcBorders>
              <w:top w:val="nil"/>
              <w:left w:val="nil"/>
              <w:bottom w:val="single" w:sz="4" w:space="0" w:color="auto"/>
              <w:right w:val="single" w:sz="4" w:space="0" w:color="auto"/>
            </w:tcBorders>
            <w:shd w:val="clear" w:color="000000" w:fill="FFFFFF"/>
            <w:vAlign w:val="center"/>
            <w:hideMark/>
          </w:tcPr>
          <w:p w14:paraId="4C5810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760.2</w:t>
            </w:r>
          </w:p>
        </w:tc>
        <w:tc>
          <w:tcPr>
            <w:tcW w:w="1293" w:type="dxa"/>
            <w:tcBorders>
              <w:top w:val="nil"/>
              <w:left w:val="nil"/>
              <w:bottom w:val="single" w:sz="4" w:space="0" w:color="auto"/>
              <w:right w:val="single" w:sz="4" w:space="0" w:color="auto"/>
            </w:tcBorders>
            <w:shd w:val="clear" w:color="000000" w:fill="FFFFFF"/>
            <w:vAlign w:val="center"/>
            <w:hideMark/>
          </w:tcPr>
          <w:p w14:paraId="697DEAC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3245.76</w:t>
            </w:r>
          </w:p>
        </w:tc>
        <w:tc>
          <w:tcPr>
            <w:tcW w:w="1187" w:type="dxa"/>
            <w:tcBorders>
              <w:top w:val="nil"/>
              <w:left w:val="nil"/>
              <w:bottom w:val="single" w:sz="4" w:space="0" w:color="auto"/>
              <w:right w:val="single" w:sz="4" w:space="0" w:color="auto"/>
            </w:tcBorders>
            <w:shd w:val="clear" w:color="000000" w:fill="FFFFFF"/>
            <w:vAlign w:val="center"/>
            <w:hideMark/>
          </w:tcPr>
          <w:p w14:paraId="1EA4737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16.03</w:t>
            </w:r>
          </w:p>
        </w:tc>
        <w:tc>
          <w:tcPr>
            <w:tcW w:w="1293" w:type="dxa"/>
            <w:tcBorders>
              <w:top w:val="nil"/>
              <w:left w:val="nil"/>
              <w:bottom w:val="single" w:sz="4" w:space="0" w:color="auto"/>
              <w:right w:val="single" w:sz="4" w:space="0" w:color="auto"/>
            </w:tcBorders>
            <w:shd w:val="clear" w:color="000000" w:fill="FFFFFF"/>
            <w:vAlign w:val="center"/>
            <w:hideMark/>
          </w:tcPr>
          <w:p w14:paraId="25EE654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951.07</w:t>
            </w:r>
          </w:p>
        </w:tc>
        <w:tc>
          <w:tcPr>
            <w:tcW w:w="1251" w:type="dxa"/>
            <w:tcBorders>
              <w:top w:val="nil"/>
              <w:left w:val="nil"/>
              <w:bottom w:val="single" w:sz="4" w:space="0" w:color="auto"/>
              <w:right w:val="single" w:sz="4" w:space="0" w:color="auto"/>
            </w:tcBorders>
            <w:shd w:val="clear" w:color="000000" w:fill="FFFFFF"/>
            <w:vAlign w:val="center"/>
            <w:hideMark/>
          </w:tcPr>
          <w:p w14:paraId="45B07F2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39.72</w:t>
            </w:r>
          </w:p>
        </w:tc>
        <w:tc>
          <w:tcPr>
            <w:tcW w:w="1347" w:type="dxa"/>
            <w:tcBorders>
              <w:top w:val="nil"/>
              <w:left w:val="nil"/>
              <w:bottom w:val="single" w:sz="4" w:space="0" w:color="auto"/>
              <w:right w:val="single" w:sz="4" w:space="0" w:color="auto"/>
            </w:tcBorders>
            <w:shd w:val="clear" w:color="000000" w:fill="FFFFFF"/>
            <w:vAlign w:val="center"/>
            <w:hideMark/>
          </w:tcPr>
          <w:p w14:paraId="1F0BE3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15.13</w:t>
            </w:r>
          </w:p>
        </w:tc>
        <w:tc>
          <w:tcPr>
            <w:tcW w:w="1187" w:type="dxa"/>
            <w:tcBorders>
              <w:top w:val="nil"/>
              <w:left w:val="nil"/>
              <w:bottom w:val="single" w:sz="4" w:space="0" w:color="auto"/>
              <w:right w:val="single" w:sz="4" w:space="0" w:color="auto"/>
            </w:tcBorders>
            <w:shd w:val="clear" w:color="000000" w:fill="FFFFFF"/>
            <w:vAlign w:val="center"/>
            <w:hideMark/>
          </w:tcPr>
          <w:p w14:paraId="26236C8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48.59</w:t>
            </w:r>
          </w:p>
        </w:tc>
        <w:tc>
          <w:tcPr>
            <w:tcW w:w="1423" w:type="dxa"/>
            <w:tcBorders>
              <w:top w:val="nil"/>
              <w:left w:val="nil"/>
              <w:bottom w:val="single" w:sz="4" w:space="0" w:color="auto"/>
              <w:right w:val="single" w:sz="4" w:space="0" w:color="auto"/>
            </w:tcBorders>
            <w:shd w:val="clear" w:color="000000" w:fill="FFFFFF"/>
            <w:vAlign w:val="center"/>
            <w:hideMark/>
          </w:tcPr>
          <w:p w14:paraId="38077EB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224.37</w:t>
            </w:r>
          </w:p>
        </w:tc>
        <w:tc>
          <w:tcPr>
            <w:tcW w:w="1401" w:type="dxa"/>
            <w:tcBorders>
              <w:top w:val="nil"/>
              <w:left w:val="nil"/>
              <w:bottom w:val="single" w:sz="4" w:space="0" w:color="auto"/>
              <w:right w:val="single" w:sz="4" w:space="0" w:color="auto"/>
            </w:tcBorders>
            <w:shd w:val="clear" w:color="000000" w:fill="FFFFFF"/>
            <w:vAlign w:val="center"/>
            <w:hideMark/>
          </w:tcPr>
          <w:p w14:paraId="1295F0A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102.03</w:t>
            </w:r>
          </w:p>
        </w:tc>
      </w:tr>
      <w:tr w:rsidR="008930D1" w:rsidRPr="00767C21" w14:paraId="009A4DB7"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4A381C1B"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 Irrigation *</w:t>
            </w:r>
          </w:p>
        </w:tc>
        <w:tc>
          <w:tcPr>
            <w:tcW w:w="1293" w:type="dxa"/>
            <w:tcBorders>
              <w:top w:val="nil"/>
              <w:left w:val="nil"/>
              <w:bottom w:val="single" w:sz="4" w:space="0" w:color="auto"/>
              <w:right w:val="single" w:sz="4" w:space="0" w:color="auto"/>
            </w:tcBorders>
            <w:shd w:val="clear" w:color="000000" w:fill="FFFFFF"/>
            <w:vAlign w:val="center"/>
            <w:hideMark/>
          </w:tcPr>
          <w:p w14:paraId="659B230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368.74</w:t>
            </w:r>
          </w:p>
        </w:tc>
        <w:tc>
          <w:tcPr>
            <w:tcW w:w="1432" w:type="dxa"/>
            <w:tcBorders>
              <w:top w:val="nil"/>
              <w:left w:val="nil"/>
              <w:bottom w:val="single" w:sz="4" w:space="0" w:color="auto"/>
              <w:right w:val="single" w:sz="4" w:space="0" w:color="auto"/>
            </w:tcBorders>
            <w:shd w:val="clear" w:color="000000" w:fill="FFFFFF"/>
            <w:vAlign w:val="center"/>
            <w:hideMark/>
          </w:tcPr>
          <w:p w14:paraId="0B9BC0F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20.83</w:t>
            </w:r>
          </w:p>
        </w:tc>
        <w:tc>
          <w:tcPr>
            <w:tcW w:w="1187" w:type="dxa"/>
            <w:tcBorders>
              <w:top w:val="nil"/>
              <w:left w:val="nil"/>
              <w:bottom w:val="single" w:sz="4" w:space="0" w:color="auto"/>
              <w:right w:val="single" w:sz="4" w:space="0" w:color="auto"/>
            </w:tcBorders>
            <w:shd w:val="clear" w:color="000000" w:fill="FFFFFF"/>
            <w:vAlign w:val="center"/>
            <w:hideMark/>
          </w:tcPr>
          <w:p w14:paraId="7146ECD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58.51</w:t>
            </w:r>
          </w:p>
        </w:tc>
        <w:tc>
          <w:tcPr>
            <w:tcW w:w="1293" w:type="dxa"/>
            <w:tcBorders>
              <w:top w:val="nil"/>
              <w:left w:val="nil"/>
              <w:bottom w:val="single" w:sz="4" w:space="0" w:color="auto"/>
              <w:right w:val="single" w:sz="4" w:space="0" w:color="auto"/>
            </w:tcBorders>
            <w:shd w:val="clear" w:color="000000" w:fill="FFFFFF"/>
            <w:vAlign w:val="center"/>
            <w:hideMark/>
          </w:tcPr>
          <w:p w14:paraId="48F8F2E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358.11</w:t>
            </w:r>
          </w:p>
        </w:tc>
        <w:tc>
          <w:tcPr>
            <w:tcW w:w="1187" w:type="dxa"/>
            <w:tcBorders>
              <w:top w:val="nil"/>
              <w:left w:val="nil"/>
              <w:bottom w:val="single" w:sz="4" w:space="0" w:color="auto"/>
              <w:right w:val="single" w:sz="4" w:space="0" w:color="auto"/>
            </w:tcBorders>
            <w:shd w:val="clear" w:color="000000" w:fill="FFFFFF"/>
            <w:vAlign w:val="center"/>
            <w:hideMark/>
          </w:tcPr>
          <w:p w14:paraId="118AAED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4.66</w:t>
            </w:r>
          </w:p>
        </w:tc>
        <w:tc>
          <w:tcPr>
            <w:tcW w:w="1293" w:type="dxa"/>
            <w:tcBorders>
              <w:top w:val="nil"/>
              <w:left w:val="nil"/>
              <w:bottom w:val="single" w:sz="4" w:space="0" w:color="auto"/>
              <w:right w:val="single" w:sz="4" w:space="0" w:color="auto"/>
            </w:tcBorders>
            <w:shd w:val="clear" w:color="000000" w:fill="FFFFFF"/>
            <w:vAlign w:val="center"/>
            <w:hideMark/>
          </w:tcPr>
          <w:p w14:paraId="1061D5F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171.17</w:t>
            </w:r>
          </w:p>
        </w:tc>
        <w:tc>
          <w:tcPr>
            <w:tcW w:w="1251" w:type="dxa"/>
            <w:tcBorders>
              <w:top w:val="nil"/>
              <w:left w:val="nil"/>
              <w:bottom w:val="single" w:sz="4" w:space="0" w:color="auto"/>
              <w:right w:val="single" w:sz="4" w:space="0" w:color="auto"/>
            </w:tcBorders>
            <w:shd w:val="clear" w:color="000000" w:fill="FFFFFF"/>
            <w:vAlign w:val="center"/>
            <w:hideMark/>
          </w:tcPr>
          <w:p w14:paraId="145AC54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158.64</w:t>
            </w:r>
          </w:p>
        </w:tc>
        <w:tc>
          <w:tcPr>
            <w:tcW w:w="1347" w:type="dxa"/>
            <w:tcBorders>
              <w:top w:val="nil"/>
              <w:left w:val="nil"/>
              <w:bottom w:val="single" w:sz="4" w:space="0" w:color="auto"/>
              <w:right w:val="single" w:sz="4" w:space="0" w:color="auto"/>
            </w:tcBorders>
            <w:shd w:val="clear" w:color="000000" w:fill="FFFFFF"/>
            <w:vAlign w:val="center"/>
            <w:hideMark/>
          </w:tcPr>
          <w:p w14:paraId="794F902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195.38</w:t>
            </w:r>
          </w:p>
        </w:tc>
        <w:tc>
          <w:tcPr>
            <w:tcW w:w="1187" w:type="dxa"/>
            <w:tcBorders>
              <w:top w:val="nil"/>
              <w:left w:val="nil"/>
              <w:bottom w:val="single" w:sz="4" w:space="0" w:color="auto"/>
              <w:right w:val="single" w:sz="4" w:space="0" w:color="auto"/>
            </w:tcBorders>
            <w:shd w:val="clear" w:color="000000" w:fill="FFFFFF"/>
            <w:vAlign w:val="center"/>
            <w:hideMark/>
          </w:tcPr>
          <w:p w14:paraId="7C5B2EE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168.1</w:t>
            </w:r>
          </w:p>
        </w:tc>
        <w:tc>
          <w:tcPr>
            <w:tcW w:w="1423" w:type="dxa"/>
            <w:tcBorders>
              <w:top w:val="nil"/>
              <w:left w:val="nil"/>
              <w:bottom w:val="single" w:sz="4" w:space="0" w:color="auto"/>
              <w:right w:val="single" w:sz="4" w:space="0" w:color="auto"/>
            </w:tcBorders>
            <w:shd w:val="clear" w:color="000000" w:fill="FFFFFF"/>
            <w:vAlign w:val="center"/>
            <w:hideMark/>
          </w:tcPr>
          <w:p w14:paraId="5123D11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1706.82</w:t>
            </w:r>
          </w:p>
        </w:tc>
        <w:tc>
          <w:tcPr>
            <w:tcW w:w="1401" w:type="dxa"/>
            <w:tcBorders>
              <w:top w:val="nil"/>
              <w:left w:val="nil"/>
              <w:bottom w:val="single" w:sz="4" w:space="0" w:color="auto"/>
              <w:right w:val="single" w:sz="4" w:space="0" w:color="auto"/>
            </w:tcBorders>
            <w:shd w:val="clear" w:color="000000" w:fill="FFFFFF"/>
            <w:vAlign w:val="center"/>
            <w:hideMark/>
          </w:tcPr>
          <w:p w14:paraId="6619A34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847.81</w:t>
            </w:r>
          </w:p>
        </w:tc>
      </w:tr>
      <w:tr w:rsidR="008930D1" w:rsidRPr="00767C21" w14:paraId="67C8076D"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3AA41450"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(vi) Others</w:t>
            </w:r>
          </w:p>
        </w:tc>
        <w:tc>
          <w:tcPr>
            <w:tcW w:w="1293" w:type="dxa"/>
            <w:tcBorders>
              <w:top w:val="nil"/>
              <w:left w:val="nil"/>
              <w:bottom w:val="single" w:sz="4" w:space="0" w:color="auto"/>
              <w:right w:val="single" w:sz="4" w:space="0" w:color="auto"/>
            </w:tcBorders>
            <w:shd w:val="clear" w:color="000000" w:fill="FFFFFF"/>
            <w:vAlign w:val="center"/>
            <w:hideMark/>
          </w:tcPr>
          <w:p w14:paraId="43AC08B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1242.3</w:t>
            </w:r>
          </w:p>
        </w:tc>
        <w:tc>
          <w:tcPr>
            <w:tcW w:w="1432" w:type="dxa"/>
            <w:tcBorders>
              <w:top w:val="nil"/>
              <w:left w:val="nil"/>
              <w:bottom w:val="single" w:sz="4" w:space="0" w:color="auto"/>
              <w:right w:val="single" w:sz="4" w:space="0" w:color="auto"/>
            </w:tcBorders>
            <w:shd w:val="clear" w:color="000000" w:fill="FFFFFF"/>
            <w:vAlign w:val="center"/>
            <w:hideMark/>
          </w:tcPr>
          <w:p w14:paraId="39D66C7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27.77</w:t>
            </w:r>
          </w:p>
        </w:tc>
        <w:tc>
          <w:tcPr>
            <w:tcW w:w="1187" w:type="dxa"/>
            <w:tcBorders>
              <w:top w:val="nil"/>
              <w:left w:val="nil"/>
              <w:bottom w:val="single" w:sz="4" w:space="0" w:color="auto"/>
              <w:right w:val="single" w:sz="4" w:space="0" w:color="auto"/>
            </w:tcBorders>
            <w:shd w:val="clear" w:color="000000" w:fill="FFFFFF"/>
            <w:vAlign w:val="center"/>
            <w:hideMark/>
          </w:tcPr>
          <w:p w14:paraId="720C800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234.24</w:t>
            </w:r>
          </w:p>
        </w:tc>
        <w:tc>
          <w:tcPr>
            <w:tcW w:w="1293" w:type="dxa"/>
            <w:tcBorders>
              <w:top w:val="nil"/>
              <w:left w:val="nil"/>
              <w:bottom w:val="single" w:sz="4" w:space="0" w:color="auto"/>
              <w:right w:val="single" w:sz="4" w:space="0" w:color="auto"/>
            </w:tcBorders>
            <w:shd w:val="clear" w:color="000000" w:fill="FFFFFF"/>
            <w:vAlign w:val="center"/>
            <w:hideMark/>
          </w:tcPr>
          <w:p w14:paraId="6498621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807.87</w:t>
            </w:r>
          </w:p>
        </w:tc>
        <w:tc>
          <w:tcPr>
            <w:tcW w:w="1187" w:type="dxa"/>
            <w:tcBorders>
              <w:top w:val="nil"/>
              <w:left w:val="nil"/>
              <w:bottom w:val="single" w:sz="4" w:space="0" w:color="auto"/>
              <w:right w:val="single" w:sz="4" w:space="0" w:color="auto"/>
            </w:tcBorders>
            <w:shd w:val="clear" w:color="000000" w:fill="FFFFFF"/>
            <w:vAlign w:val="center"/>
            <w:hideMark/>
          </w:tcPr>
          <w:p w14:paraId="44F8B6C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70.18</w:t>
            </w:r>
          </w:p>
        </w:tc>
        <w:tc>
          <w:tcPr>
            <w:tcW w:w="1293" w:type="dxa"/>
            <w:tcBorders>
              <w:top w:val="nil"/>
              <w:left w:val="nil"/>
              <w:bottom w:val="single" w:sz="4" w:space="0" w:color="auto"/>
              <w:right w:val="single" w:sz="4" w:space="0" w:color="auto"/>
            </w:tcBorders>
            <w:shd w:val="clear" w:color="000000" w:fill="FFFFFF"/>
            <w:vAlign w:val="center"/>
            <w:hideMark/>
          </w:tcPr>
          <w:p w14:paraId="148975C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1778.98</w:t>
            </w:r>
          </w:p>
        </w:tc>
        <w:tc>
          <w:tcPr>
            <w:tcW w:w="1251" w:type="dxa"/>
            <w:tcBorders>
              <w:top w:val="nil"/>
              <w:left w:val="nil"/>
              <w:bottom w:val="single" w:sz="4" w:space="0" w:color="auto"/>
              <w:right w:val="single" w:sz="4" w:space="0" w:color="auto"/>
            </w:tcBorders>
            <w:shd w:val="clear" w:color="000000" w:fill="FFFFFF"/>
            <w:vAlign w:val="center"/>
            <w:hideMark/>
          </w:tcPr>
          <w:p w14:paraId="7878C3B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520.72</w:t>
            </w:r>
          </w:p>
        </w:tc>
        <w:tc>
          <w:tcPr>
            <w:tcW w:w="1347" w:type="dxa"/>
            <w:tcBorders>
              <w:top w:val="nil"/>
              <w:left w:val="nil"/>
              <w:bottom w:val="single" w:sz="4" w:space="0" w:color="auto"/>
              <w:right w:val="single" w:sz="4" w:space="0" w:color="auto"/>
            </w:tcBorders>
            <w:shd w:val="clear" w:color="000000" w:fill="FFFFFF"/>
            <w:vAlign w:val="center"/>
            <w:hideMark/>
          </w:tcPr>
          <w:p w14:paraId="4BF9FF1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9.84</w:t>
            </w:r>
          </w:p>
        </w:tc>
        <w:tc>
          <w:tcPr>
            <w:tcW w:w="1187" w:type="dxa"/>
            <w:tcBorders>
              <w:top w:val="nil"/>
              <w:left w:val="nil"/>
              <w:bottom w:val="single" w:sz="4" w:space="0" w:color="auto"/>
              <w:right w:val="single" w:sz="4" w:space="0" w:color="auto"/>
            </w:tcBorders>
            <w:shd w:val="clear" w:color="000000" w:fill="FFFFFF"/>
            <w:vAlign w:val="center"/>
            <w:hideMark/>
          </w:tcPr>
          <w:p w14:paraId="50BB7EC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2.71</w:t>
            </w:r>
          </w:p>
        </w:tc>
        <w:tc>
          <w:tcPr>
            <w:tcW w:w="1423" w:type="dxa"/>
            <w:tcBorders>
              <w:top w:val="nil"/>
              <w:left w:val="nil"/>
              <w:bottom w:val="single" w:sz="4" w:space="0" w:color="auto"/>
              <w:right w:val="single" w:sz="4" w:space="0" w:color="auto"/>
            </w:tcBorders>
            <w:shd w:val="clear" w:color="000000" w:fill="FFFFFF"/>
            <w:vAlign w:val="center"/>
            <w:hideMark/>
          </w:tcPr>
          <w:p w14:paraId="43FC64D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159.99</w:t>
            </w:r>
          </w:p>
        </w:tc>
        <w:tc>
          <w:tcPr>
            <w:tcW w:w="1401" w:type="dxa"/>
            <w:tcBorders>
              <w:top w:val="nil"/>
              <w:left w:val="nil"/>
              <w:bottom w:val="single" w:sz="4" w:space="0" w:color="auto"/>
              <w:right w:val="single" w:sz="4" w:space="0" w:color="auto"/>
            </w:tcBorders>
            <w:shd w:val="clear" w:color="000000" w:fill="FFFFFF"/>
            <w:vAlign w:val="center"/>
            <w:hideMark/>
          </w:tcPr>
          <w:p w14:paraId="44B4D12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18.39</w:t>
            </w:r>
          </w:p>
        </w:tc>
      </w:tr>
      <w:tr w:rsidR="008930D1" w:rsidRPr="00767C21" w14:paraId="4287D700"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7FD1C705"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 xml:space="preserve">3. Non-Plan Grants </w:t>
            </w:r>
            <w:proofErr w:type="gramStart"/>
            <w:r w:rsidRPr="00767C21">
              <w:rPr>
                <w:rFonts w:ascii="Arial" w:eastAsia="Times New Roman" w:hAnsi="Arial" w:cs="Arial"/>
                <w:b/>
                <w:bCs/>
                <w:color w:val="2B2D31"/>
                <w:kern w:val="0"/>
                <w:sz w:val="13"/>
                <w:szCs w:val="13"/>
                <w:lang w:eastAsia="en-IN"/>
                <w14:ligatures w14:val="none"/>
              </w:rPr>
              <w:t>From</w:t>
            </w:r>
            <w:proofErr w:type="gramEnd"/>
            <w:r w:rsidRPr="00767C21">
              <w:rPr>
                <w:rFonts w:ascii="Arial" w:eastAsia="Times New Roman" w:hAnsi="Arial" w:cs="Arial"/>
                <w:b/>
                <w:bCs/>
                <w:color w:val="2B2D31"/>
                <w:kern w:val="0"/>
                <w:sz w:val="13"/>
                <w:szCs w:val="13"/>
                <w:lang w:eastAsia="en-IN"/>
                <w14:ligatures w14:val="none"/>
              </w:rPr>
              <w:t xml:space="preserve"> </w:t>
            </w:r>
            <w:proofErr w:type="gramStart"/>
            <w:r w:rsidRPr="00767C21">
              <w:rPr>
                <w:rFonts w:ascii="Arial" w:eastAsia="Times New Roman" w:hAnsi="Arial" w:cs="Arial"/>
                <w:b/>
                <w:bCs/>
                <w:color w:val="2B2D31"/>
                <w:kern w:val="0"/>
                <w:sz w:val="13"/>
                <w:szCs w:val="13"/>
                <w:lang w:eastAsia="en-IN"/>
                <w14:ligatures w14:val="none"/>
              </w:rPr>
              <w:t>The</w:t>
            </w:r>
            <w:proofErr w:type="gramEnd"/>
            <w:r w:rsidRPr="00767C21">
              <w:rPr>
                <w:rFonts w:ascii="Arial" w:eastAsia="Times New Roman" w:hAnsi="Arial" w:cs="Arial"/>
                <w:b/>
                <w:bCs/>
                <w:color w:val="2B2D31"/>
                <w:kern w:val="0"/>
                <w:sz w:val="13"/>
                <w:szCs w:val="13"/>
                <w:lang w:eastAsia="en-IN"/>
                <w14:ligatures w14:val="none"/>
              </w:rPr>
              <w:t xml:space="preserve"> Centre</w:t>
            </w:r>
          </w:p>
        </w:tc>
        <w:tc>
          <w:tcPr>
            <w:tcW w:w="1293" w:type="dxa"/>
            <w:tcBorders>
              <w:top w:val="nil"/>
              <w:left w:val="nil"/>
              <w:bottom w:val="single" w:sz="4" w:space="0" w:color="auto"/>
              <w:right w:val="single" w:sz="4" w:space="0" w:color="auto"/>
            </w:tcBorders>
            <w:shd w:val="clear" w:color="000000" w:fill="FFFFFF"/>
            <w:vAlign w:val="center"/>
            <w:hideMark/>
          </w:tcPr>
          <w:p w14:paraId="2DCD16A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29.78</w:t>
            </w:r>
          </w:p>
        </w:tc>
        <w:tc>
          <w:tcPr>
            <w:tcW w:w="1432" w:type="dxa"/>
            <w:tcBorders>
              <w:top w:val="nil"/>
              <w:left w:val="nil"/>
              <w:bottom w:val="single" w:sz="4" w:space="0" w:color="auto"/>
              <w:right w:val="single" w:sz="4" w:space="0" w:color="auto"/>
            </w:tcBorders>
            <w:shd w:val="clear" w:color="000000" w:fill="FFFFFF"/>
            <w:vAlign w:val="center"/>
            <w:hideMark/>
          </w:tcPr>
          <w:p w14:paraId="2FEA1C9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4357C19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10.4</w:t>
            </w:r>
          </w:p>
        </w:tc>
        <w:tc>
          <w:tcPr>
            <w:tcW w:w="1293" w:type="dxa"/>
            <w:tcBorders>
              <w:top w:val="nil"/>
              <w:left w:val="nil"/>
              <w:bottom w:val="single" w:sz="4" w:space="0" w:color="auto"/>
              <w:right w:val="single" w:sz="4" w:space="0" w:color="auto"/>
            </w:tcBorders>
            <w:shd w:val="clear" w:color="000000" w:fill="FFFFFF"/>
            <w:vAlign w:val="center"/>
            <w:hideMark/>
          </w:tcPr>
          <w:p w14:paraId="18AABDE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83.08</w:t>
            </w:r>
          </w:p>
        </w:tc>
        <w:tc>
          <w:tcPr>
            <w:tcW w:w="1187" w:type="dxa"/>
            <w:tcBorders>
              <w:top w:val="nil"/>
              <w:left w:val="nil"/>
              <w:bottom w:val="single" w:sz="4" w:space="0" w:color="auto"/>
              <w:right w:val="single" w:sz="4" w:space="0" w:color="auto"/>
            </w:tcBorders>
            <w:shd w:val="clear" w:color="000000" w:fill="FFFFFF"/>
            <w:vAlign w:val="center"/>
            <w:hideMark/>
          </w:tcPr>
          <w:p w14:paraId="6944576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1.17</w:t>
            </w:r>
          </w:p>
        </w:tc>
        <w:tc>
          <w:tcPr>
            <w:tcW w:w="1293" w:type="dxa"/>
            <w:tcBorders>
              <w:top w:val="nil"/>
              <w:left w:val="nil"/>
              <w:bottom w:val="single" w:sz="4" w:space="0" w:color="auto"/>
              <w:right w:val="single" w:sz="4" w:space="0" w:color="auto"/>
            </w:tcBorders>
            <w:shd w:val="clear" w:color="000000" w:fill="FFFFFF"/>
            <w:vAlign w:val="center"/>
            <w:hideMark/>
          </w:tcPr>
          <w:p w14:paraId="7DD905D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21.66</w:t>
            </w:r>
          </w:p>
        </w:tc>
        <w:tc>
          <w:tcPr>
            <w:tcW w:w="1251" w:type="dxa"/>
            <w:tcBorders>
              <w:top w:val="nil"/>
              <w:left w:val="nil"/>
              <w:bottom w:val="single" w:sz="4" w:space="0" w:color="auto"/>
              <w:right w:val="single" w:sz="4" w:space="0" w:color="auto"/>
            </w:tcBorders>
            <w:shd w:val="clear" w:color="000000" w:fill="FFFFFF"/>
            <w:vAlign w:val="center"/>
            <w:hideMark/>
          </w:tcPr>
          <w:p w14:paraId="09C3097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14.58</w:t>
            </w:r>
          </w:p>
        </w:tc>
        <w:tc>
          <w:tcPr>
            <w:tcW w:w="1347" w:type="dxa"/>
            <w:tcBorders>
              <w:top w:val="nil"/>
              <w:left w:val="nil"/>
              <w:bottom w:val="single" w:sz="4" w:space="0" w:color="auto"/>
              <w:right w:val="single" w:sz="4" w:space="0" w:color="auto"/>
            </w:tcBorders>
            <w:shd w:val="clear" w:color="000000" w:fill="FFFFFF"/>
            <w:vAlign w:val="center"/>
            <w:hideMark/>
          </w:tcPr>
          <w:p w14:paraId="1A4FD35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9.84</w:t>
            </w:r>
          </w:p>
        </w:tc>
        <w:tc>
          <w:tcPr>
            <w:tcW w:w="1187" w:type="dxa"/>
            <w:tcBorders>
              <w:top w:val="nil"/>
              <w:left w:val="nil"/>
              <w:bottom w:val="single" w:sz="4" w:space="0" w:color="auto"/>
              <w:right w:val="single" w:sz="4" w:space="0" w:color="auto"/>
            </w:tcBorders>
            <w:shd w:val="clear" w:color="000000" w:fill="FFFFFF"/>
            <w:vAlign w:val="center"/>
            <w:hideMark/>
          </w:tcPr>
          <w:p w14:paraId="036C26D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2.71</w:t>
            </w:r>
          </w:p>
        </w:tc>
        <w:tc>
          <w:tcPr>
            <w:tcW w:w="1423" w:type="dxa"/>
            <w:tcBorders>
              <w:top w:val="nil"/>
              <w:left w:val="nil"/>
              <w:bottom w:val="single" w:sz="4" w:space="0" w:color="auto"/>
              <w:right w:val="single" w:sz="4" w:space="0" w:color="auto"/>
            </w:tcBorders>
            <w:shd w:val="clear" w:color="000000" w:fill="FFFFFF"/>
            <w:vAlign w:val="center"/>
            <w:hideMark/>
          </w:tcPr>
          <w:p w14:paraId="671A1B2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159.99</w:t>
            </w:r>
          </w:p>
        </w:tc>
        <w:tc>
          <w:tcPr>
            <w:tcW w:w="1401" w:type="dxa"/>
            <w:tcBorders>
              <w:top w:val="nil"/>
              <w:left w:val="nil"/>
              <w:bottom w:val="single" w:sz="4" w:space="0" w:color="auto"/>
              <w:right w:val="single" w:sz="4" w:space="0" w:color="auto"/>
            </w:tcBorders>
            <w:shd w:val="clear" w:color="000000" w:fill="FFFFFF"/>
            <w:vAlign w:val="center"/>
            <w:hideMark/>
          </w:tcPr>
          <w:p w14:paraId="6F91AC3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18.39</w:t>
            </w:r>
          </w:p>
        </w:tc>
      </w:tr>
      <w:tr w:rsidR="008930D1" w:rsidRPr="00767C21" w14:paraId="6E8A3621"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704FF6EF"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II- Revenue Expenditure</w:t>
            </w:r>
          </w:p>
        </w:tc>
        <w:tc>
          <w:tcPr>
            <w:tcW w:w="1293" w:type="dxa"/>
            <w:tcBorders>
              <w:top w:val="nil"/>
              <w:left w:val="nil"/>
              <w:bottom w:val="single" w:sz="4" w:space="0" w:color="auto"/>
              <w:right w:val="single" w:sz="4" w:space="0" w:color="auto"/>
            </w:tcBorders>
            <w:shd w:val="clear" w:color="000000" w:fill="FFFFFF"/>
            <w:vAlign w:val="center"/>
            <w:hideMark/>
          </w:tcPr>
          <w:p w14:paraId="46C12A28"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20967.53</w:t>
            </w:r>
          </w:p>
        </w:tc>
        <w:tc>
          <w:tcPr>
            <w:tcW w:w="1432" w:type="dxa"/>
            <w:tcBorders>
              <w:top w:val="nil"/>
              <w:left w:val="nil"/>
              <w:bottom w:val="single" w:sz="4" w:space="0" w:color="auto"/>
              <w:right w:val="single" w:sz="4" w:space="0" w:color="auto"/>
            </w:tcBorders>
            <w:shd w:val="clear" w:color="000000" w:fill="FFFFFF"/>
            <w:vAlign w:val="center"/>
            <w:hideMark/>
          </w:tcPr>
          <w:p w14:paraId="7B7B19C4"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1007.93</w:t>
            </w:r>
          </w:p>
        </w:tc>
        <w:tc>
          <w:tcPr>
            <w:tcW w:w="1187" w:type="dxa"/>
            <w:tcBorders>
              <w:top w:val="nil"/>
              <w:left w:val="nil"/>
              <w:bottom w:val="single" w:sz="4" w:space="0" w:color="auto"/>
              <w:right w:val="single" w:sz="4" w:space="0" w:color="auto"/>
            </w:tcBorders>
            <w:shd w:val="clear" w:color="000000" w:fill="FFFFFF"/>
            <w:vAlign w:val="center"/>
            <w:hideMark/>
          </w:tcPr>
          <w:p w14:paraId="3C988138"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7294.49</w:t>
            </w:r>
          </w:p>
        </w:tc>
        <w:tc>
          <w:tcPr>
            <w:tcW w:w="1293" w:type="dxa"/>
            <w:tcBorders>
              <w:top w:val="nil"/>
              <w:left w:val="nil"/>
              <w:bottom w:val="single" w:sz="4" w:space="0" w:color="auto"/>
              <w:right w:val="single" w:sz="4" w:space="0" w:color="auto"/>
            </w:tcBorders>
            <w:shd w:val="clear" w:color="000000" w:fill="FFFFFF"/>
            <w:vAlign w:val="center"/>
            <w:hideMark/>
          </w:tcPr>
          <w:p w14:paraId="41A2157D"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18848.2</w:t>
            </w:r>
          </w:p>
        </w:tc>
        <w:tc>
          <w:tcPr>
            <w:tcW w:w="1187" w:type="dxa"/>
            <w:tcBorders>
              <w:top w:val="nil"/>
              <w:left w:val="nil"/>
              <w:bottom w:val="single" w:sz="4" w:space="0" w:color="auto"/>
              <w:right w:val="single" w:sz="4" w:space="0" w:color="auto"/>
            </w:tcBorders>
            <w:shd w:val="clear" w:color="000000" w:fill="FFFFFF"/>
            <w:vAlign w:val="center"/>
            <w:hideMark/>
          </w:tcPr>
          <w:p w14:paraId="021F3594"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1166.05</w:t>
            </w:r>
          </w:p>
        </w:tc>
        <w:tc>
          <w:tcPr>
            <w:tcW w:w="1293" w:type="dxa"/>
            <w:tcBorders>
              <w:top w:val="nil"/>
              <w:left w:val="nil"/>
              <w:bottom w:val="single" w:sz="4" w:space="0" w:color="auto"/>
              <w:right w:val="single" w:sz="4" w:space="0" w:color="auto"/>
            </w:tcBorders>
            <w:shd w:val="clear" w:color="000000" w:fill="FFFFFF"/>
            <w:vAlign w:val="center"/>
            <w:hideMark/>
          </w:tcPr>
          <w:p w14:paraId="02572817"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15714.56</w:t>
            </w:r>
          </w:p>
        </w:tc>
        <w:tc>
          <w:tcPr>
            <w:tcW w:w="1251" w:type="dxa"/>
            <w:tcBorders>
              <w:top w:val="nil"/>
              <w:left w:val="nil"/>
              <w:bottom w:val="single" w:sz="4" w:space="0" w:color="auto"/>
              <w:right w:val="single" w:sz="4" w:space="0" w:color="auto"/>
            </w:tcBorders>
            <w:shd w:val="clear" w:color="000000" w:fill="FFFFFF"/>
            <w:vAlign w:val="center"/>
            <w:hideMark/>
          </w:tcPr>
          <w:p w14:paraId="64A9AC1C"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5509.04</w:t>
            </w:r>
          </w:p>
        </w:tc>
        <w:tc>
          <w:tcPr>
            <w:tcW w:w="1347" w:type="dxa"/>
            <w:tcBorders>
              <w:top w:val="nil"/>
              <w:left w:val="nil"/>
              <w:bottom w:val="single" w:sz="4" w:space="0" w:color="auto"/>
              <w:right w:val="single" w:sz="4" w:space="0" w:color="auto"/>
            </w:tcBorders>
            <w:shd w:val="clear" w:color="000000" w:fill="FFFFFF"/>
            <w:vAlign w:val="center"/>
            <w:hideMark/>
          </w:tcPr>
          <w:p w14:paraId="5C3C9006"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3239.59</w:t>
            </w:r>
          </w:p>
        </w:tc>
        <w:tc>
          <w:tcPr>
            <w:tcW w:w="1187" w:type="dxa"/>
            <w:tcBorders>
              <w:top w:val="nil"/>
              <w:left w:val="nil"/>
              <w:bottom w:val="single" w:sz="4" w:space="0" w:color="auto"/>
              <w:right w:val="single" w:sz="4" w:space="0" w:color="auto"/>
            </w:tcBorders>
            <w:shd w:val="clear" w:color="000000" w:fill="FFFFFF"/>
            <w:vAlign w:val="center"/>
            <w:hideMark/>
          </w:tcPr>
          <w:p w14:paraId="1A6E10EC"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5002.97</w:t>
            </w:r>
          </w:p>
        </w:tc>
        <w:tc>
          <w:tcPr>
            <w:tcW w:w="1423" w:type="dxa"/>
            <w:tcBorders>
              <w:top w:val="nil"/>
              <w:left w:val="nil"/>
              <w:bottom w:val="single" w:sz="4" w:space="0" w:color="auto"/>
              <w:right w:val="single" w:sz="4" w:space="0" w:color="auto"/>
            </w:tcBorders>
            <w:shd w:val="clear" w:color="000000" w:fill="FFFFFF"/>
            <w:vAlign w:val="center"/>
            <w:hideMark/>
          </w:tcPr>
          <w:p w14:paraId="0B8BDFF1"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15031.65</w:t>
            </w:r>
          </w:p>
        </w:tc>
        <w:tc>
          <w:tcPr>
            <w:tcW w:w="1401" w:type="dxa"/>
            <w:tcBorders>
              <w:top w:val="nil"/>
              <w:left w:val="nil"/>
              <w:bottom w:val="single" w:sz="4" w:space="0" w:color="auto"/>
              <w:right w:val="single" w:sz="4" w:space="0" w:color="auto"/>
            </w:tcBorders>
            <w:shd w:val="clear" w:color="000000" w:fill="FFFFFF"/>
            <w:vAlign w:val="center"/>
            <w:hideMark/>
          </w:tcPr>
          <w:p w14:paraId="101AC87E"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12463.72</w:t>
            </w:r>
          </w:p>
        </w:tc>
      </w:tr>
      <w:tr w:rsidR="008930D1" w:rsidRPr="00767C21" w14:paraId="3FF55D5C"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474B7E35"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(a) Category (ii) Items</w:t>
            </w:r>
          </w:p>
        </w:tc>
        <w:tc>
          <w:tcPr>
            <w:tcW w:w="1293" w:type="dxa"/>
            <w:tcBorders>
              <w:top w:val="nil"/>
              <w:left w:val="nil"/>
              <w:bottom w:val="single" w:sz="4" w:space="0" w:color="auto"/>
              <w:right w:val="single" w:sz="4" w:space="0" w:color="auto"/>
            </w:tcBorders>
            <w:shd w:val="clear" w:color="000000" w:fill="FFFFFF"/>
            <w:vAlign w:val="center"/>
            <w:hideMark/>
          </w:tcPr>
          <w:p w14:paraId="3635989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11092.05 (12123.72)</w:t>
            </w:r>
          </w:p>
        </w:tc>
        <w:tc>
          <w:tcPr>
            <w:tcW w:w="1432" w:type="dxa"/>
            <w:tcBorders>
              <w:top w:val="nil"/>
              <w:left w:val="nil"/>
              <w:bottom w:val="single" w:sz="4" w:space="0" w:color="auto"/>
              <w:right w:val="single" w:sz="4" w:space="0" w:color="auto"/>
            </w:tcBorders>
            <w:shd w:val="clear" w:color="000000" w:fill="FFFFFF"/>
            <w:vAlign w:val="center"/>
            <w:hideMark/>
          </w:tcPr>
          <w:p w14:paraId="412B8A7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618.28</w:t>
            </w:r>
          </w:p>
        </w:tc>
        <w:tc>
          <w:tcPr>
            <w:tcW w:w="1187" w:type="dxa"/>
            <w:tcBorders>
              <w:top w:val="nil"/>
              <w:left w:val="nil"/>
              <w:bottom w:val="single" w:sz="4" w:space="0" w:color="auto"/>
              <w:right w:val="single" w:sz="4" w:space="0" w:color="auto"/>
            </w:tcBorders>
            <w:shd w:val="clear" w:color="000000" w:fill="FFFFFF"/>
            <w:vAlign w:val="center"/>
            <w:hideMark/>
          </w:tcPr>
          <w:p w14:paraId="3E6B8DC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4299.53</w:t>
            </w:r>
          </w:p>
        </w:tc>
        <w:tc>
          <w:tcPr>
            <w:tcW w:w="1293" w:type="dxa"/>
            <w:tcBorders>
              <w:top w:val="nil"/>
              <w:left w:val="nil"/>
              <w:bottom w:val="single" w:sz="4" w:space="0" w:color="auto"/>
              <w:right w:val="single" w:sz="4" w:space="0" w:color="auto"/>
            </w:tcBorders>
            <w:shd w:val="clear" w:color="000000" w:fill="FFFFFF"/>
            <w:vAlign w:val="center"/>
            <w:hideMark/>
          </w:tcPr>
          <w:p w14:paraId="3F2B255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11183.27 (11368.16)</w:t>
            </w:r>
          </w:p>
        </w:tc>
        <w:tc>
          <w:tcPr>
            <w:tcW w:w="1187" w:type="dxa"/>
            <w:tcBorders>
              <w:top w:val="nil"/>
              <w:left w:val="nil"/>
              <w:bottom w:val="single" w:sz="4" w:space="0" w:color="auto"/>
              <w:right w:val="single" w:sz="4" w:space="0" w:color="auto"/>
            </w:tcBorders>
            <w:shd w:val="clear" w:color="000000" w:fill="FFFFFF"/>
            <w:vAlign w:val="center"/>
            <w:hideMark/>
          </w:tcPr>
          <w:p w14:paraId="75448C3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626.71</w:t>
            </w:r>
          </w:p>
        </w:tc>
        <w:tc>
          <w:tcPr>
            <w:tcW w:w="1293" w:type="dxa"/>
            <w:tcBorders>
              <w:top w:val="nil"/>
              <w:left w:val="nil"/>
              <w:bottom w:val="single" w:sz="4" w:space="0" w:color="auto"/>
              <w:right w:val="single" w:sz="4" w:space="0" w:color="auto"/>
            </w:tcBorders>
            <w:shd w:val="clear" w:color="000000" w:fill="FFFFFF"/>
            <w:vAlign w:val="center"/>
            <w:hideMark/>
          </w:tcPr>
          <w:p w14:paraId="61C30AD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9946.47 (10103.26)</w:t>
            </w:r>
          </w:p>
        </w:tc>
        <w:tc>
          <w:tcPr>
            <w:tcW w:w="1251" w:type="dxa"/>
            <w:tcBorders>
              <w:top w:val="nil"/>
              <w:left w:val="nil"/>
              <w:bottom w:val="single" w:sz="4" w:space="0" w:color="auto"/>
              <w:right w:val="single" w:sz="4" w:space="0" w:color="auto"/>
            </w:tcBorders>
            <w:shd w:val="clear" w:color="000000" w:fill="FFFFFF"/>
            <w:vAlign w:val="center"/>
            <w:hideMark/>
          </w:tcPr>
          <w:p w14:paraId="1284C33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3042.86 (3196.91)</w:t>
            </w:r>
          </w:p>
        </w:tc>
        <w:tc>
          <w:tcPr>
            <w:tcW w:w="1347" w:type="dxa"/>
            <w:tcBorders>
              <w:top w:val="nil"/>
              <w:left w:val="nil"/>
              <w:bottom w:val="single" w:sz="4" w:space="0" w:color="auto"/>
              <w:right w:val="single" w:sz="4" w:space="0" w:color="auto"/>
            </w:tcBorders>
            <w:shd w:val="clear" w:color="000000" w:fill="FFFFFF"/>
            <w:vAlign w:val="center"/>
            <w:hideMark/>
          </w:tcPr>
          <w:p w14:paraId="0A40C86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1911.27</w:t>
            </w:r>
          </w:p>
        </w:tc>
        <w:tc>
          <w:tcPr>
            <w:tcW w:w="1187" w:type="dxa"/>
            <w:tcBorders>
              <w:top w:val="nil"/>
              <w:left w:val="nil"/>
              <w:bottom w:val="single" w:sz="4" w:space="0" w:color="auto"/>
              <w:right w:val="single" w:sz="4" w:space="0" w:color="auto"/>
            </w:tcBorders>
            <w:shd w:val="clear" w:color="000000" w:fill="FFFFFF"/>
            <w:vAlign w:val="center"/>
            <w:hideMark/>
          </w:tcPr>
          <w:p w14:paraId="7255DC1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2605.73</w:t>
            </w:r>
          </w:p>
        </w:tc>
        <w:tc>
          <w:tcPr>
            <w:tcW w:w="1423" w:type="dxa"/>
            <w:tcBorders>
              <w:top w:val="nil"/>
              <w:left w:val="nil"/>
              <w:bottom w:val="single" w:sz="4" w:space="0" w:color="auto"/>
              <w:right w:val="single" w:sz="4" w:space="0" w:color="auto"/>
            </w:tcBorders>
            <w:shd w:val="clear" w:color="000000" w:fill="FFFFFF"/>
            <w:vAlign w:val="center"/>
            <w:hideMark/>
          </w:tcPr>
          <w:p w14:paraId="62E8ED5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9074.26 (9332.99)</w:t>
            </w:r>
          </w:p>
        </w:tc>
        <w:tc>
          <w:tcPr>
            <w:tcW w:w="1401" w:type="dxa"/>
            <w:tcBorders>
              <w:top w:val="nil"/>
              <w:left w:val="nil"/>
              <w:bottom w:val="single" w:sz="4" w:space="0" w:color="auto"/>
              <w:right w:val="single" w:sz="4" w:space="0" w:color="auto"/>
            </w:tcBorders>
            <w:shd w:val="clear" w:color="000000" w:fill="FFFFFF"/>
            <w:vAlign w:val="center"/>
            <w:hideMark/>
          </w:tcPr>
          <w:p w14:paraId="1CE6090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7528.47 (8249.24)</w:t>
            </w:r>
          </w:p>
        </w:tc>
      </w:tr>
      <w:tr w:rsidR="008930D1" w:rsidRPr="00767C21" w14:paraId="57A19CF3"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430B6A03"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Police</w:t>
            </w:r>
          </w:p>
        </w:tc>
        <w:tc>
          <w:tcPr>
            <w:tcW w:w="1293" w:type="dxa"/>
            <w:tcBorders>
              <w:top w:val="nil"/>
              <w:left w:val="nil"/>
              <w:bottom w:val="single" w:sz="4" w:space="0" w:color="auto"/>
              <w:right w:val="single" w:sz="4" w:space="0" w:color="auto"/>
            </w:tcBorders>
            <w:shd w:val="clear" w:color="000000" w:fill="FFFFFF"/>
            <w:vAlign w:val="center"/>
            <w:hideMark/>
          </w:tcPr>
          <w:p w14:paraId="27EEDBE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1291.00 (1238.72)</w:t>
            </w:r>
          </w:p>
        </w:tc>
        <w:tc>
          <w:tcPr>
            <w:tcW w:w="1432" w:type="dxa"/>
            <w:tcBorders>
              <w:top w:val="nil"/>
              <w:left w:val="nil"/>
              <w:bottom w:val="single" w:sz="4" w:space="0" w:color="auto"/>
              <w:right w:val="single" w:sz="4" w:space="0" w:color="auto"/>
            </w:tcBorders>
            <w:shd w:val="clear" w:color="000000" w:fill="FFFFFF"/>
            <w:vAlign w:val="center"/>
            <w:hideMark/>
          </w:tcPr>
          <w:p w14:paraId="11769BC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81.52</w:t>
            </w:r>
          </w:p>
        </w:tc>
        <w:tc>
          <w:tcPr>
            <w:tcW w:w="1187" w:type="dxa"/>
            <w:tcBorders>
              <w:top w:val="nil"/>
              <w:left w:val="nil"/>
              <w:bottom w:val="single" w:sz="4" w:space="0" w:color="auto"/>
              <w:right w:val="single" w:sz="4" w:space="0" w:color="auto"/>
            </w:tcBorders>
            <w:shd w:val="clear" w:color="000000" w:fill="FFFFFF"/>
            <w:vAlign w:val="center"/>
            <w:hideMark/>
          </w:tcPr>
          <w:p w14:paraId="0E424AD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819.37</w:t>
            </w:r>
          </w:p>
        </w:tc>
        <w:tc>
          <w:tcPr>
            <w:tcW w:w="1293" w:type="dxa"/>
            <w:tcBorders>
              <w:top w:val="nil"/>
              <w:left w:val="nil"/>
              <w:bottom w:val="single" w:sz="4" w:space="0" w:color="auto"/>
              <w:right w:val="single" w:sz="4" w:space="0" w:color="auto"/>
            </w:tcBorders>
            <w:shd w:val="clear" w:color="000000" w:fill="FFFFFF"/>
            <w:vAlign w:val="center"/>
            <w:hideMark/>
          </w:tcPr>
          <w:p w14:paraId="203D695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1518.15 (1510.95)</w:t>
            </w:r>
          </w:p>
        </w:tc>
        <w:tc>
          <w:tcPr>
            <w:tcW w:w="1187" w:type="dxa"/>
            <w:tcBorders>
              <w:top w:val="nil"/>
              <w:left w:val="nil"/>
              <w:bottom w:val="single" w:sz="4" w:space="0" w:color="auto"/>
              <w:right w:val="single" w:sz="4" w:space="0" w:color="auto"/>
            </w:tcBorders>
            <w:shd w:val="clear" w:color="000000" w:fill="FFFFFF"/>
            <w:vAlign w:val="center"/>
            <w:hideMark/>
          </w:tcPr>
          <w:p w14:paraId="6EFE8BD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53.9</w:t>
            </w:r>
          </w:p>
        </w:tc>
        <w:tc>
          <w:tcPr>
            <w:tcW w:w="1293" w:type="dxa"/>
            <w:tcBorders>
              <w:top w:val="nil"/>
              <w:left w:val="nil"/>
              <w:bottom w:val="single" w:sz="4" w:space="0" w:color="auto"/>
              <w:right w:val="single" w:sz="4" w:space="0" w:color="auto"/>
            </w:tcBorders>
            <w:shd w:val="clear" w:color="000000" w:fill="FFFFFF"/>
            <w:vAlign w:val="center"/>
            <w:hideMark/>
          </w:tcPr>
          <w:p w14:paraId="3647862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910.44 (1195.03)</w:t>
            </w:r>
          </w:p>
        </w:tc>
        <w:tc>
          <w:tcPr>
            <w:tcW w:w="1251" w:type="dxa"/>
            <w:tcBorders>
              <w:top w:val="nil"/>
              <w:left w:val="nil"/>
              <w:bottom w:val="single" w:sz="4" w:space="0" w:color="auto"/>
              <w:right w:val="single" w:sz="4" w:space="0" w:color="auto"/>
            </w:tcBorders>
            <w:shd w:val="clear" w:color="000000" w:fill="FFFFFF"/>
            <w:vAlign w:val="center"/>
            <w:hideMark/>
          </w:tcPr>
          <w:p w14:paraId="70F2784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350.43 (463.59)</w:t>
            </w:r>
          </w:p>
        </w:tc>
        <w:tc>
          <w:tcPr>
            <w:tcW w:w="1347" w:type="dxa"/>
            <w:tcBorders>
              <w:top w:val="nil"/>
              <w:left w:val="nil"/>
              <w:bottom w:val="single" w:sz="4" w:space="0" w:color="auto"/>
              <w:right w:val="single" w:sz="4" w:space="0" w:color="auto"/>
            </w:tcBorders>
            <w:shd w:val="clear" w:color="000000" w:fill="FFFFFF"/>
            <w:vAlign w:val="center"/>
            <w:hideMark/>
          </w:tcPr>
          <w:p w14:paraId="20FD54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213.03</w:t>
            </w:r>
          </w:p>
        </w:tc>
        <w:tc>
          <w:tcPr>
            <w:tcW w:w="1187" w:type="dxa"/>
            <w:tcBorders>
              <w:top w:val="nil"/>
              <w:left w:val="nil"/>
              <w:bottom w:val="single" w:sz="4" w:space="0" w:color="auto"/>
              <w:right w:val="single" w:sz="4" w:space="0" w:color="auto"/>
            </w:tcBorders>
            <w:shd w:val="clear" w:color="000000" w:fill="FFFFFF"/>
            <w:vAlign w:val="center"/>
            <w:hideMark/>
          </w:tcPr>
          <w:p w14:paraId="319F6D2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409.38</w:t>
            </w:r>
          </w:p>
        </w:tc>
        <w:tc>
          <w:tcPr>
            <w:tcW w:w="1423" w:type="dxa"/>
            <w:tcBorders>
              <w:top w:val="nil"/>
              <w:left w:val="nil"/>
              <w:bottom w:val="single" w:sz="4" w:space="0" w:color="auto"/>
              <w:right w:val="single" w:sz="4" w:space="0" w:color="auto"/>
            </w:tcBorders>
            <w:shd w:val="clear" w:color="000000" w:fill="FFFFFF"/>
            <w:vAlign w:val="center"/>
            <w:hideMark/>
          </w:tcPr>
          <w:p w14:paraId="4C2BED1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903.70 (834.61)</w:t>
            </w:r>
          </w:p>
        </w:tc>
        <w:tc>
          <w:tcPr>
            <w:tcW w:w="1401" w:type="dxa"/>
            <w:tcBorders>
              <w:top w:val="nil"/>
              <w:left w:val="nil"/>
              <w:bottom w:val="single" w:sz="4" w:space="0" w:color="auto"/>
              <w:right w:val="single" w:sz="4" w:space="0" w:color="auto"/>
            </w:tcBorders>
            <w:shd w:val="clear" w:color="000000" w:fill="FFFFFF"/>
            <w:vAlign w:val="center"/>
            <w:hideMark/>
          </w:tcPr>
          <w:p w14:paraId="4C32E5A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585.16 (589.17)</w:t>
            </w:r>
          </w:p>
        </w:tc>
      </w:tr>
      <w:tr w:rsidR="008930D1" w:rsidRPr="00767C21" w14:paraId="4892FE2C"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6E0EE93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 Education</w:t>
            </w:r>
          </w:p>
        </w:tc>
        <w:tc>
          <w:tcPr>
            <w:tcW w:w="1293" w:type="dxa"/>
            <w:tcBorders>
              <w:top w:val="nil"/>
              <w:left w:val="nil"/>
              <w:bottom w:val="single" w:sz="4" w:space="0" w:color="auto"/>
              <w:right w:val="single" w:sz="4" w:space="0" w:color="auto"/>
            </w:tcBorders>
            <w:shd w:val="clear" w:color="000000" w:fill="FFFFFF"/>
            <w:vAlign w:val="center"/>
            <w:hideMark/>
          </w:tcPr>
          <w:p w14:paraId="4D160C7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4678.00 (4941.66)</w:t>
            </w:r>
          </w:p>
        </w:tc>
        <w:tc>
          <w:tcPr>
            <w:tcW w:w="1432" w:type="dxa"/>
            <w:tcBorders>
              <w:top w:val="nil"/>
              <w:left w:val="nil"/>
              <w:bottom w:val="single" w:sz="4" w:space="0" w:color="auto"/>
              <w:right w:val="single" w:sz="4" w:space="0" w:color="auto"/>
            </w:tcBorders>
            <w:shd w:val="clear" w:color="000000" w:fill="FFFFFF"/>
            <w:vAlign w:val="center"/>
            <w:hideMark/>
          </w:tcPr>
          <w:p w14:paraId="61E92CA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142.88</w:t>
            </w:r>
          </w:p>
        </w:tc>
        <w:tc>
          <w:tcPr>
            <w:tcW w:w="1187" w:type="dxa"/>
            <w:tcBorders>
              <w:top w:val="nil"/>
              <w:left w:val="nil"/>
              <w:bottom w:val="single" w:sz="4" w:space="0" w:color="auto"/>
              <w:right w:val="single" w:sz="4" w:space="0" w:color="auto"/>
            </w:tcBorders>
            <w:shd w:val="clear" w:color="000000" w:fill="FFFFFF"/>
            <w:vAlign w:val="center"/>
            <w:hideMark/>
          </w:tcPr>
          <w:p w14:paraId="4962494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1681.69</w:t>
            </w:r>
          </w:p>
        </w:tc>
        <w:tc>
          <w:tcPr>
            <w:tcW w:w="1293" w:type="dxa"/>
            <w:tcBorders>
              <w:top w:val="nil"/>
              <w:left w:val="nil"/>
              <w:bottom w:val="single" w:sz="4" w:space="0" w:color="auto"/>
              <w:right w:val="single" w:sz="4" w:space="0" w:color="auto"/>
            </w:tcBorders>
            <w:shd w:val="clear" w:color="000000" w:fill="FFFFFF"/>
            <w:vAlign w:val="center"/>
            <w:hideMark/>
          </w:tcPr>
          <w:p w14:paraId="5AA1D70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5066.54 (4702.39)</w:t>
            </w:r>
          </w:p>
        </w:tc>
        <w:tc>
          <w:tcPr>
            <w:tcW w:w="1187" w:type="dxa"/>
            <w:tcBorders>
              <w:top w:val="nil"/>
              <w:left w:val="nil"/>
              <w:bottom w:val="single" w:sz="4" w:space="0" w:color="auto"/>
              <w:right w:val="single" w:sz="4" w:space="0" w:color="auto"/>
            </w:tcBorders>
            <w:shd w:val="clear" w:color="000000" w:fill="FFFFFF"/>
            <w:vAlign w:val="center"/>
            <w:hideMark/>
          </w:tcPr>
          <w:p w14:paraId="0DC2DDC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287.31</w:t>
            </w:r>
          </w:p>
        </w:tc>
        <w:tc>
          <w:tcPr>
            <w:tcW w:w="1293" w:type="dxa"/>
            <w:tcBorders>
              <w:top w:val="nil"/>
              <w:left w:val="nil"/>
              <w:bottom w:val="single" w:sz="4" w:space="0" w:color="auto"/>
              <w:right w:val="single" w:sz="4" w:space="0" w:color="auto"/>
            </w:tcBorders>
            <w:shd w:val="clear" w:color="000000" w:fill="FFFFFF"/>
            <w:vAlign w:val="center"/>
            <w:hideMark/>
          </w:tcPr>
          <w:p w14:paraId="07C37BB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3771.32 (4233.10)</w:t>
            </w:r>
          </w:p>
        </w:tc>
        <w:tc>
          <w:tcPr>
            <w:tcW w:w="1251" w:type="dxa"/>
            <w:tcBorders>
              <w:top w:val="nil"/>
              <w:left w:val="nil"/>
              <w:bottom w:val="single" w:sz="4" w:space="0" w:color="auto"/>
              <w:right w:val="single" w:sz="4" w:space="0" w:color="auto"/>
            </w:tcBorders>
            <w:shd w:val="clear" w:color="000000" w:fill="FFFFFF"/>
            <w:vAlign w:val="center"/>
            <w:hideMark/>
          </w:tcPr>
          <w:p w14:paraId="716D82C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1375.83 (1426.82)</w:t>
            </w:r>
          </w:p>
        </w:tc>
        <w:tc>
          <w:tcPr>
            <w:tcW w:w="1347" w:type="dxa"/>
            <w:tcBorders>
              <w:top w:val="nil"/>
              <w:left w:val="nil"/>
              <w:bottom w:val="single" w:sz="4" w:space="0" w:color="auto"/>
              <w:right w:val="single" w:sz="4" w:space="0" w:color="auto"/>
            </w:tcBorders>
            <w:shd w:val="clear" w:color="000000" w:fill="FFFFFF"/>
            <w:vAlign w:val="center"/>
            <w:hideMark/>
          </w:tcPr>
          <w:p w14:paraId="113E023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789.53</w:t>
            </w:r>
          </w:p>
        </w:tc>
        <w:tc>
          <w:tcPr>
            <w:tcW w:w="1187" w:type="dxa"/>
            <w:tcBorders>
              <w:top w:val="nil"/>
              <w:left w:val="nil"/>
              <w:bottom w:val="single" w:sz="4" w:space="0" w:color="auto"/>
              <w:right w:val="single" w:sz="4" w:space="0" w:color="auto"/>
            </w:tcBorders>
            <w:shd w:val="clear" w:color="000000" w:fill="FFFFFF"/>
            <w:vAlign w:val="center"/>
            <w:hideMark/>
          </w:tcPr>
          <w:p w14:paraId="12E7418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747.99</w:t>
            </w:r>
          </w:p>
        </w:tc>
        <w:tc>
          <w:tcPr>
            <w:tcW w:w="1423" w:type="dxa"/>
            <w:tcBorders>
              <w:top w:val="nil"/>
              <w:left w:val="nil"/>
              <w:bottom w:val="single" w:sz="4" w:space="0" w:color="auto"/>
              <w:right w:val="single" w:sz="4" w:space="0" w:color="auto"/>
            </w:tcBorders>
            <w:shd w:val="clear" w:color="000000" w:fill="FFFFFF"/>
            <w:vAlign w:val="center"/>
            <w:hideMark/>
          </w:tcPr>
          <w:p w14:paraId="4CC8F00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3708.68 (3844.03)</w:t>
            </w:r>
          </w:p>
        </w:tc>
        <w:tc>
          <w:tcPr>
            <w:tcW w:w="1401" w:type="dxa"/>
            <w:tcBorders>
              <w:top w:val="nil"/>
              <w:left w:val="nil"/>
              <w:bottom w:val="single" w:sz="4" w:space="0" w:color="auto"/>
              <w:right w:val="single" w:sz="4" w:space="0" w:color="auto"/>
            </w:tcBorders>
            <w:shd w:val="clear" w:color="000000" w:fill="FFFFFF"/>
            <w:vAlign w:val="center"/>
            <w:hideMark/>
          </w:tcPr>
          <w:p w14:paraId="53ADAB5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3490.70 (3957.36)</w:t>
            </w:r>
          </w:p>
        </w:tc>
      </w:tr>
      <w:tr w:rsidR="008930D1" w:rsidRPr="00767C21" w14:paraId="389263E4"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4A2DC875"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Medical And Public Health</w:t>
            </w:r>
          </w:p>
        </w:tc>
        <w:tc>
          <w:tcPr>
            <w:tcW w:w="1293" w:type="dxa"/>
            <w:tcBorders>
              <w:top w:val="nil"/>
              <w:left w:val="nil"/>
              <w:bottom w:val="single" w:sz="4" w:space="0" w:color="auto"/>
              <w:right w:val="single" w:sz="4" w:space="0" w:color="auto"/>
            </w:tcBorders>
            <w:shd w:val="clear" w:color="000000" w:fill="FFFFFF"/>
            <w:vAlign w:val="center"/>
            <w:hideMark/>
          </w:tcPr>
          <w:p w14:paraId="59700E9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1089.06 (1174.17)</w:t>
            </w:r>
          </w:p>
        </w:tc>
        <w:tc>
          <w:tcPr>
            <w:tcW w:w="1432" w:type="dxa"/>
            <w:tcBorders>
              <w:top w:val="nil"/>
              <w:left w:val="nil"/>
              <w:bottom w:val="single" w:sz="4" w:space="0" w:color="auto"/>
              <w:right w:val="single" w:sz="4" w:space="0" w:color="auto"/>
            </w:tcBorders>
            <w:shd w:val="clear" w:color="000000" w:fill="FFFFFF"/>
            <w:vAlign w:val="center"/>
            <w:hideMark/>
          </w:tcPr>
          <w:p w14:paraId="3AED7C4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79.93</w:t>
            </w:r>
          </w:p>
        </w:tc>
        <w:tc>
          <w:tcPr>
            <w:tcW w:w="1187" w:type="dxa"/>
            <w:tcBorders>
              <w:top w:val="nil"/>
              <w:left w:val="nil"/>
              <w:bottom w:val="single" w:sz="4" w:space="0" w:color="auto"/>
              <w:right w:val="single" w:sz="4" w:space="0" w:color="auto"/>
            </w:tcBorders>
            <w:shd w:val="clear" w:color="000000" w:fill="FFFFFF"/>
            <w:vAlign w:val="center"/>
            <w:hideMark/>
          </w:tcPr>
          <w:p w14:paraId="43C537B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315.91</w:t>
            </w:r>
          </w:p>
        </w:tc>
        <w:tc>
          <w:tcPr>
            <w:tcW w:w="1293" w:type="dxa"/>
            <w:tcBorders>
              <w:top w:val="nil"/>
              <w:left w:val="nil"/>
              <w:bottom w:val="single" w:sz="4" w:space="0" w:color="auto"/>
              <w:right w:val="single" w:sz="4" w:space="0" w:color="auto"/>
            </w:tcBorders>
            <w:shd w:val="clear" w:color="000000" w:fill="FFFFFF"/>
            <w:vAlign w:val="center"/>
            <w:hideMark/>
          </w:tcPr>
          <w:p w14:paraId="7FF80AD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770.84 (938.24)</w:t>
            </w:r>
          </w:p>
        </w:tc>
        <w:tc>
          <w:tcPr>
            <w:tcW w:w="1187" w:type="dxa"/>
            <w:tcBorders>
              <w:top w:val="nil"/>
              <w:left w:val="nil"/>
              <w:bottom w:val="single" w:sz="4" w:space="0" w:color="auto"/>
              <w:right w:val="single" w:sz="4" w:space="0" w:color="auto"/>
            </w:tcBorders>
            <w:shd w:val="clear" w:color="000000" w:fill="FFFFFF"/>
            <w:vAlign w:val="center"/>
            <w:hideMark/>
          </w:tcPr>
          <w:p w14:paraId="69C61C9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114.89</w:t>
            </w:r>
          </w:p>
        </w:tc>
        <w:tc>
          <w:tcPr>
            <w:tcW w:w="1293" w:type="dxa"/>
            <w:tcBorders>
              <w:top w:val="nil"/>
              <w:left w:val="nil"/>
              <w:bottom w:val="single" w:sz="4" w:space="0" w:color="auto"/>
              <w:right w:val="single" w:sz="4" w:space="0" w:color="auto"/>
            </w:tcBorders>
            <w:shd w:val="clear" w:color="000000" w:fill="FFFFFF"/>
            <w:vAlign w:val="center"/>
            <w:hideMark/>
          </w:tcPr>
          <w:p w14:paraId="70430E2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1400.99 (1161.74)</w:t>
            </w:r>
          </w:p>
        </w:tc>
        <w:tc>
          <w:tcPr>
            <w:tcW w:w="1251" w:type="dxa"/>
            <w:tcBorders>
              <w:top w:val="nil"/>
              <w:left w:val="nil"/>
              <w:bottom w:val="single" w:sz="4" w:space="0" w:color="auto"/>
              <w:right w:val="single" w:sz="4" w:space="0" w:color="auto"/>
            </w:tcBorders>
            <w:shd w:val="clear" w:color="000000" w:fill="FFFFFF"/>
            <w:vAlign w:val="center"/>
            <w:hideMark/>
          </w:tcPr>
          <w:p w14:paraId="578253A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315.73 (366.31)</w:t>
            </w:r>
          </w:p>
        </w:tc>
        <w:tc>
          <w:tcPr>
            <w:tcW w:w="1347" w:type="dxa"/>
            <w:tcBorders>
              <w:top w:val="nil"/>
              <w:left w:val="nil"/>
              <w:bottom w:val="single" w:sz="4" w:space="0" w:color="auto"/>
              <w:right w:val="single" w:sz="4" w:space="0" w:color="auto"/>
            </w:tcBorders>
            <w:shd w:val="clear" w:color="000000" w:fill="FFFFFF"/>
            <w:vAlign w:val="center"/>
            <w:hideMark/>
          </w:tcPr>
          <w:p w14:paraId="3DCFAF6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246.5</w:t>
            </w:r>
          </w:p>
        </w:tc>
        <w:tc>
          <w:tcPr>
            <w:tcW w:w="1187" w:type="dxa"/>
            <w:tcBorders>
              <w:top w:val="nil"/>
              <w:left w:val="nil"/>
              <w:bottom w:val="single" w:sz="4" w:space="0" w:color="auto"/>
              <w:right w:val="single" w:sz="4" w:space="0" w:color="auto"/>
            </w:tcBorders>
            <w:shd w:val="clear" w:color="000000" w:fill="FFFFFF"/>
            <w:vAlign w:val="center"/>
            <w:hideMark/>
          </w:tcPr>
          <w:p w14:paraId="63886FF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369.81</w:t>
            </w:r>
          </w:p>
        </w:tc>
        <w:tc>
          <w:tcPr>
            <w:tcW w:w="1423" w:type="dxa"/>
            <w:tcBorders>
              <w:top w:val="nil"/>
              <w:left w:val="nil"/>
              <w:bottom w:val="single" w:sz="4" w:space="0" w:color="auto"/>
              <w:right w:val="single" w:sz="4" w:space="0" w:color="auto"/>
            </w:tcBorders>
            <w:shd w:val="clear" w:color="000000" w:fill="FFFFFF"/>
            <w:vAlign w:val="center"/>
            <w:hideMark/>
          </w:tcPr>
          <w:p w14:paraId="043CFC8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1180.64 (953.21)</w:t>
            </w:r>
          </w:p>
        </w:tc>
        <w:tc>
          <w:tcPr>
            <w:tcW w:w="1401" w:type="dxa"/>
            <w:tcBorders>
              <w:top w:val="nil"/>
              <w:left w:val="nil"/>
              <w:bottom w:val="single" w:sz="4" w:space="0" w:color="auto"/>
              <w:right w:val="single" w:sz="4" w:space="0" w:color="auto"/>
            </w:tcBorders>
            <w:shd w:val="clear" w:color="000000" w:fill="FFFFFF"/>
            <w:vAlign w:val="center"/>
            <w:hideMark/>
          </w:tcPr>
          <w:p w14:paraId="32B082B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964.55 (91.20)</w:t>
            </w:r>
          </w:p>
        </w:tc>
      </w:tr>
      <w:tr w:rsidR="008930D1" w:rsidRPr="00767C21" w14:paraId="197A68FB"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630F0661"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(iv) Others</w:t>
            </w:r>
          </w:p>
        </w:tc>
        <w:tc>
          <w:tcPr>
            <w:tcW w:w="1293" w:type="dxa"/>
            <w:tcBorders>
              <w:top w:val="nil"/>
              <w:left w:val="nil"/>
              <w:bottom w:val="single" w:sz="4" w:space="0" w:color="auto"/>
              <w:right w:val="single" w:sz="4" w:space="0" w:color="auto"/>
            </w:tcBorders>
            <w:shd w:val="clear" w:color="000000" w:fill="FFFFFF"/>
            <w:vAlign w:val="center"/>
            <w:hideMark/>
          </w:tcPr>
          <w:p w14:paraId="5274AE4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3967.26 (4697.54)</w:t>
            </w:r>
          </w:p>
        </w:tc>
        <w:tc>
          <w:tcPr>
            <w:tcW w:w="1432" w:type="dxa"/>
            <w:tcBorders>
              <w:top w:val="nil"/>
              <w:left w:val="nil"/>
              <w:bottom w:val="single" w:sz="4" w:space="0" w:color="auto"/>
              <w:right w:val="single" w:sz="4" w:space="0" w:color="auto"/>
            </w:tcBorders>
            <w:shd w:val="clear" w:color="000000" w:fill="FFFFFF"/>
            <w:vAlign w:val="center"/>
            <w:hideMark/>
          </w:tcPr>
          <w:p w14:paraId="614F8B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313.95</w:t>
            </w:r>
          </w:p>
        </w:tc>
        <w:tc>
          <w:tcPr>
            <w:tcW w:w="1187" w:type="dxa"/>
            <w:tcBorders>
              <w:top w:val="nil"/>
              <w:left w:val="nil"/>
              <w:bottom w:val="single" w:sz="4" w:space="0" w:color="auto"/>
              <w:right w:val="single" w:sz="4" w:space="0" w:color="auto"/>
            </w:tcBorders>
            <w:shd w:val="clear" w:color="000000" w:fill="FFFFFF"/>
            <w:vAlign w:val="center"/>
            <w:hideMark/>
          </w:tcPr>
          <w:p w14:paraId="43A78AF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1105.99</w:t>
            </w:r>
          </w:p>
        </w:tc>
        <w:tc>
          <w:tcPr>
            <w:tcW w:w="1293" w:type="dxa"/>
            <w:tcBorders>
              <w:top w:val="nil"/>
              <w:left w:val="nil"/>
              <w:bottom w:val="single" w:sz="4" w:space="0" w:color="auto"/>
              <w:right w:val="single" w:sz="4" w:space="0" w:color="auto"/>
            </w:tcBorders>
            <w:shd w:val="clear" w:color="000000" w:fill="FFFFFF"/>
            <w:vAlign w:val="center"/>
            <w:hideMark/>
          </w:tcPr>
          <w:p w14:paraId="0D89E01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3165.46 (3535.04)</w:t>
            </w:r>
          </w:p>
        </w:tc>
        <w:tc>
          <w:tcPr>
            <w:tcW w:w="1187" w:type="dxa"/>
            <w:tcBorders>
              <w:top w:val="nil"/>
              <w:left w:val="nil"/>
              <w:bottom w:val="single" w:sz="4" w:space="0" w:color="auto"/>
              <w:right w:val="single" w:sz="4" w:space="0" w:color="auto"/>
            </w:tcBorders>
            <w:shd w:val="clear" w:color="000000" w:fill="FFFFFF"/>
            <w:vAlign w:val="center"/>
            <w:hideMark/>
          </w:tcPr>
          <w:p w14:paraId="7D65E5E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170.61</w:t>
            </w:r>
          </w:p>
        </w:tc>
        <w:tc>
          <w:tcPr>
            <w:tcW w:w="1293" w:type="dxa"/>
            <w:tcBorders>
              <w:top w:val="nil"/>
              <w:left w:val="nil"/>
              <w:bottom w:val="single" w:sz="4" w:space="0" w:color="auto"/>
              <w:right w:val="single" w:sz="4" w:space="0" w:color="auto"/>
            </w:tcBorders>
            <w:shd w:val="clear" w:color="000000" w:fill="FFFFFF"/>
            <w:vAlign w:val="center"/>
            <w:hideMark/>
          </w:tcPr>
          <w:p w14:paraId="4932E20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3863.72 (3513.39)</w:t>
            </w:r>
          </w:p>
        </w:tc>
        <w:tc>
          <w:tcPr>
            <w:tcW w:w="1251" w:type="dxa"/>
            <w:tcBorders>
              <w:top w:val="nil"/>
              <w:left w:val="nil"/>
              <w:bottom w:val="single" w:sz="4" w:space="0" w:color="auto"/>
              <w:right w:val="single" w:sz="4" w:space="0" w:color="auto"/>
            </w:tcBorders>
            <w:shd w:val="clear" w:color="000000" w:fill="FFFFFF"/>
            <w:vAlign w:val="center"/>
            <w:hideMark/>
          </w:tcPr>
          <w:p w14:paraId="40162F7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1000.87 (940.19)</w:t>
            </w:r>
          </w:p>
        </w:tc>
        <w:tc>
          <w:tcPr>
            <w:tcW w:w="1347" w:type="dxa"/>
            <w:tcBorders>
              <w:top w:val="nil"/>
              <w:left w:val="nil"/>
              <w:bottom w:val="single" w:sz="4" w:space="0" w:color="auto"/>
              <w:right w:val="single" w:sz="4" w:space="0" w:color="auto"/>
            </w:tcBorders>
            <w:shd w:val="clear" w:color="000000" w:fill="FFFFFF"/>
            <w:vAlign w:val="center"/>
            <w:hideMark/>
          </w:tcPr>
          <w:p w14:paraId="2E26B00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662.21</w:t>
            </w:r>
          </w:p>
        </w:tc>
        <w:tc>
          <w:tcPr>
            <w:tcW w:w="1187" w:type="dxa"/>
            <w:tcBorders>
              <w:top w:val="nil"/>
              <w:left w:val="nil"/>
              <w:bottom w:val="single" w:sz="4" w:space="0" w:color="auto"/>
              <w:right w:val="single" w:sz="4" w:space="0" w:color="auto"/>
            </w:tcBorders>
            <w:shd w:val="clear" w:color="000000" w:fill="FFFFFF"/>
            <w:vAlign w:val="center"/>
            <w:hideMark/>
          </w:tcPr>
          <w:p w14:paraId="1D3CF72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1022.44</w:t>
            </w:r>
          </w:p>
        </w:tc>
        <w:tc>
          <w:tcPr>
            <w:tcW w:w="1423" w:type="dxa"/>
            <w:tcBorders>
              <w:top w:val="nil"/>
              <w:left w:val="nil"/>
              <w:bottom w:val="single" w:sz="4" w:space="0" w:color="auto"/>
              <w:right w:val="single" w:sz="4" w:space="0" w:color="auto"/>
            </w:tcBorders>
            <w:shd w:val="clear" w:color="000000" w:fill="FFFFFF"/>
            <w:vAlign w:val="center"/>
            <w:hideMark/>
          </w:tcPr>
          <w:p w14:paraId="46E28CD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3273.48 (3693.02)</w:t>
            </w:r>
          </w:p>
        </w:tc>
        <w:tc>
          <w:tcPr>
            <w:tcW w:w="1401" w:type="dxa"/>
            <w:tcBorders>
              <w:top w:val="nil"/>
              <w:left w:val="nil"/>
              <w:bottom w:val="single" w:sz="4" w:space="0" w:color="auto"/>
              <w:right w:val="single" w:sz="4" w:space="0" w:color="auto"/>
            </w:tcBorders>
            <w:shd w:val="clear" w:color="000000" w:fill="FFFFFF"/>
            <w:vAlign w:val="center"/>
            <w:hideMark/>
          </w:tcPr>
          <w:p w14:paraId="7C42606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1974.80 (2197.66)</w:t>
            </w:r>
          </w:p>
        </w:tc>
      </w:tr>
      <w:tr w:rsidR="008930D1" w:rsidRPr="00767C21" w14:paraId="2E23F7BE"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081A12F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 Provision For Pay Parity</w:t>
            </w:r>
          </w:p>
        </w:tc>
        <w:tc>
          <w:tcPr>
            <w:tcW w:w="1293" w:type="dxa"/>
            <w:tcBorders>
              <w:top w:val="nil"/>
              <w:left w:val="nil"/>
              <w:bottom w:val="single" w:sz="4" w:space="0" w:color="auto"/>
              <w:right w:val="single" w:sz="4" w:space="0" w:color="auto"/>
            </w:tcBorders>
            <w:shd w:val="clear" w:color="000000" w:fill="FFFFFF"/>
            <w:vAlign w:val="center"/>
            <w:hideMark/>
          </w:tcPr>
          <w:p w14:paraId="6B5666E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66.71 (71.63)</w:t>
            </w:r>
          </w:p>
        </w:tc>
        <w:tc>
          <w:tcPr>
            <w:tcW w:w="1432" w:type="dxa"/>
            <w:tcBorders>
              <w:top w:val="nil"/>
              <w:left w:val="nil"/>
              <w:bottom w:val="single" w:sz="4" w:space="0" w:color="auto"/>
              <w:right w:val="single" w:sz="4" w:space="0" w:color="auto"/>
            </w:tcBorders>
            <w:shd w:val="clear" w:color="000000" w:fill="FFFFFF"/>
            <w:vAlign w:val="center"/>
            <w:hideMark/>
          </w:tcPr>
          <w:p w14:paraId="6CB63ED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2696EF9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376.57</w:t>
            </w:r>
          </w:p>
        </w:tc>
        <w:tc>
          <w:tcPr>
            <w:tcW w:w="1293" w:type="dxa"/>
            <w:tcBorders>
              <w:top w:val="nil"/>
              <w:left w:val="nil"/>
              <w:bottom w:val="single" w:sz="4" w:space="0" w:color="auto"/>
              <w:right w:val="single" w:sz="4" w:space="0" w:color="auto"/>
            </w:tcBorders>
            <w:shd w:val="clear" w:color="000000" w:fill="FFFFFF"/>
            <w:vAlign w:val="center"/>
            <w:hideMark/>
          </w:tcPr>
          <w:p w14:paraId="07715F9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662.28 (681.54)</w:t>
            </w:r>
          </w:p>
        </w:tc>
        <w:tc>
          <w:tcPr>
            <w:tcW w:w="1187" w:type="dxa"/>
            <w:tcBorders>
              <w:top w:val="nil"/>
              <w:left w:val="nil"/>
              <w:bottom w:val="single" w:sz="4" w:space="0" w:color="auto"/>
              <w:right w:val="single" w:sz="4" w:space="0" w:color="auto"/>
            </w:tcBorders>
            <w:shd w:val="clear" w:color="000000" w:fill="FFFFFF"/>
            <w:vAlign w:val="center"/>
            <w:hideMark/>
          </w:tcPr>
          <w:p w14:paraId="236C525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0D9F6F1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51" w:type="dxa"/>
            <w:tcBorders>
              <w:top w:val="nil"/>
              <w:left w:val="nil"/>
              <w:bottom w:val="single" w:sz="4" w:space="0" w:color="auto"/>
              <w:right w:val="single" w:sz="4" w:space="0" w:color="auto"/>
            </w:tcBorders>
            <w:shd w:val="clear" w:color="000000" w:fill="FFFFFF"/>
            <w:vAlign w:val="center"/>
            <w:hideMark/>
          </w:tcPr>
          <w:p w14:paraId="38762BB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347" w:type="dxa"/>
            <w:tcBorders>
              <w:top w:val="nil"/>
              <w:left w:val="nil"/>
              <w:bottom w:val="single" w:sz="4" w:space="0" w:color="auto"/>
              <w:right w:val="single" w:sz="4" w:space="0" w:color="auto"/>
            </w:tcBorders>
            <w:shd w:val="clear" w:color="000000" w:fill="FFFFFF"/>
            <w:vAlign w:val="center"/>
            <w:hideMark/>
          </w:tcPr>
          <w:p w14:paraId="2876C05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6EBE061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56.11</w:t>
            </w:r>
          </w:p>
        </w:tc>
        <w:tc>
          <w:tcPr>
            <w:tcW w:w="1423" w:type="dxa"/>
            <w:tcBorders>
              <w:top w:val="nil"/>
              <w:left w:val="nil"/>
              <w:bottom w:val="single" w:sz="4" w:space="0" w:color="auto"/>
              <w:right w:val="single" w:sz="4" w:space="0" w:color="auto"/>
            </w:tcBorders>
            <w:shd w:val="clear" w:color="000000" w:fill="FFFFFF"/>
            <w:vAlign w:val="center"/>
            <w:hideMark/>
          </w:tcPr>
          <w:p w14:paraId="0AFDD3C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7.76 (8.12)</w:t>
            </w:r>
          </w:p>
        </w:tc>
        <w:tc>
          <w:tcPr>
            <w:tcW w:w="1401" w:type="dxa"/>
            <w:tcBorders>
              <w:top w:val="nil"/>
              <w:left w:val="nil"/>
              <w:bottom w:val="single" w:sz="4" w:space="0" w:color="auto"/>
              <w:right w:val="single" w:sz="4" w:space="0" w:color="auto"/>
            </w:tcBorders>
            <w:shd w:val="clear" w:color="000000" w:fill="FFFFFF"/>
            <w:vAlign w:val="center"/>
            <w:hideMark/>
          </w:tcPr>
          <w:p w14:paraId="46B1CD7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513.27 (590.71)</w:t>
            </w:r>
          </w:p>
        </w:tc>
      </w:tr>
      <w:tr w:rsidR="008930D1" w:rsidRPr="00767C21" w14:paraId="4A14D3A8"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34E3FFA1"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(b) Other Expenditure</w:t>
            </w:r>
          </w:p>
        </w:tc>
        <w:tc>
          <w:tcPr>
            <w:tcW w:w="1293" w:type="dxa"/>
            <w:tcBorders>
              <w:top w:val="nil"/>
              <w:left w:val="nil"/>
              <w:bottom w:val="single" w:sz="4" w:space="0" w:color="auto"/>
              <w:right w:val="single" w:sz="4" w:space="0" w:color="auto"/>
            </w:tcBorders>
            <w:shd w:val="clear" w:color="000000" w:fill="FFFFFF"/>
            <w:vAlign w:val="center"/>
            <w:hideMark/>
          </w:tcPr>
          <w:p w14:paraId="29D2818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9875.48</w:t>
            </w:r>
          </w:p>
        </w:tc>
        <w:tc>
          <w:tcPr>
            <w:tcW w:w="1432" w:type="dxa"/>
            <w:tcBorders>
              <w:top w:val="nil"/>
              <w:left w:val="nil"/>
              <w:bottom w:val="single" w:sz="4" w:space="0" w:color="auto"/>
              <w:right w:val="single" w:sz="4" w:space="0" w:color="auto"/>
            </w:tcBorders>
            <w:shd w:val="clear" w:color="000000" w:fill="FFFFFF"/>
            <w:vAlign w:val="center"/>
            <w:hideMark/>
          </w:tcPr>
          <w:p w14:paraId="0BC0012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389.65</w:t>
            </w:r>
          </w:p>
        </w:tc>
        <w:tc>
          <w:tcPr>
            <w:tcW w:w="1187" w:type="dxa"/>
            <w:tcBorders>
              <w:top w:val="nil"/>
              <w:left w:val="nil"/>
              <w:bottom w:val="single" w:sz="4" w:space="0" w:color="auto"/>
              <w:right w:val="single" w:sz="4" w:space="0" w:color="auto"/>
            </w:tcBorders>
            <w:shd w:val="clear" w:color="000000" w:fill="FFFFFF"/>
            <w:vAlign w:val="center"/>
            <w:hideMark/>
          </w:tcPr>
          <w:p w14:paraId="5FF9A26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2994.96</w:t>
            </w:r>
          </w:p>
        </w:tc>
        <w:tc>
          <w:tcPr>
            <w:tcW w:w="1293" w:type="dxa"/>
            <w:tcBorders>
              <w:top w:val="nil"/>
              <w:left w:val="nil"/>
              <w:bottom w:val="single" w:sz="4" w:space="0" w:color="auto"/>
              <w:right w:val="single" w:sz="4" w:space="0" w:color="auto"/>
            </w:tcBorders>
            <w:shd w:val="clear" w:color="000000" w:fill="FFFFFF"/>
            <w:vAlign w:val="center"/>
            <w:hideMark/>
          </w:tcPr>
          <w:p w14:paraId="06D7B30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7664.93</w:t>
            </w:r>
          </w:p>
        </w:tc>
        <w:tc>
          <w:tcPr>
            <w:tcW w:w="1187" w:type="dxa"/>
            <w:tcBorders>
              <w:top w:val="nil"/>
              <w:left w:val="nil"/>
              <w:bottom w:val="single" w:sz="4" w:space="0" w:color="auto"/>
              <w:right w:val="single" w:sz="4" w:space="0" w:color="auto"/>
            </w:tcBorders>
            <w:shd w:val="clear" w:color="000000" w:fill="FFFFFF"/>
            <w:vAlign w:val="center"/>
            <w:hideMark/>
          </w:tcPr>
          <w:p w14:paraId="1BFB6E6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539.34</w:t>
            </w:r>
          </w:p>
        </w:tc>
        <w:tc>
          <w:tcPr>
            <w:tcW w:w="1293" w:type="dxa"/>
            <w:tcBorders>
              <w:top w:val="nil"/>
              <w:left w:val="nil"/>
              <w:bottom w:val="single" w:sz="4" w:space="0" w:color="auto"/>
              <w:right w:val="single" w:sz="4" w:space="0" w:color="auto"/>
            </w:tcBorders>
            <w:shd w:val="clear" w:color="000000" w:fill="FFFFFF"/>
            <w:vAlign w:val="center"/>
            <w:hideMark/>
          </w:tcPr>
          <w:p w14:paraId="17C6557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5768.09</w:t>
            </w:r>
          </w:p>
        </w:tc>
        <w:tc>
          <w:tcPr>
            <w:tcW w:w="1251" w:type="dxa"/>
            <w:tcBorders>
              <w:top w:val="nil"/>
              <w:left w:val="nil"/>
              <w:bottom w:val="single" w:sz="4" w:space="0" w:color="auto"/>
              <w:right w:val="single" w:sz="4" w:space="0" w:color="auto"/>
            </w:tcBorders>
            <w:shd w:val="clear" w:color="000000" w:fill="FFFFFF"/>
            <w:vAlign w:val="center"/>
            <w:hideMark/>
          </w:tcPr>
          <w:p w14:paraId="2ECA2C2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2466.18</w:t>
            </w:r>
          </w:p>
        </w:tc>
        <w:tc>
          <w:tcPr>
            <w:tcW w:w="1347" w:type="dxa"/>
            <w:tcBorders>
              <w:top w:val="nil"/>
              <w:left w:val="nil"/>
              <w:bottom w:val="single" w:sz="4" w:space="0" w:color="auto"/>
              <w:right w:val="single" w:sz="4" w:space="0" w:color="auto"/>
            </w:tcBorders>
            <w:shd w:val="clear" w:color="000000" w:fill="FFFFFF"/>
            <w:vAlign w:val="center"/>
            <w:hideMark/>
          </w:tcPr>
          <w:p w14:paraId="1D0C66D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1328.32</w:t>
            </w:r>
          </w:p>
        </w:tc>
        <w:tc>
          <w:tcPr>
            <w:tcW w:w="1187" w:type="dxa"/>
            <w:tcBorders>
              <w:top w:val="nil"/>
              <w:left w:val="nil"/>
              <w:bottom w:val="single" w:sz="4" w:space="0" w:color="auto"/>
              <w:right w:val="single" w:sz="4" w:space="0" w:color="auto"/>
            </w:tcBorders>
            <w:shd w:val="clear" w:color="000000" w:fill="FFFFFF"/>
            <w:vAlign w:val="center"/>
            <w:hideMark/>
          </w:tcPr>
          <w:p w14:paraId="7FD18F4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2397.24</w:t>
            </w:r>
          </w:p>
        </w:tc>
        <w:tc>
          <w:tcPr>
            <w:tcW w:w="1423" w:type="dxa"/>
            <w:tcBorders>
              <w:top w:val="nil"/>
              <w:left w:val="nil"/>
              <w:bottom w:val="single" w:sz="4" w:space="0" w:color="auto"/>
              <w:right w:val="single" w:sz="4" w:space="0" w:color="auto"/>
            </w:tcBorders>
            <w:shd w:val="clear" w:color="000000" w:fill="FFFFFF"/>
            <w:vAlign w:val="center"/>
            <w:hideMark/>
          </w:tcPr>
          <w:p w14:paraId="2571B25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5957.39</w:t>
            </w:r>
          </w:p>
        </w:tc>
        <w:tc>
          <w:tcPr>
            <w:tcW w:w="1401" w:type="dxa"/>
            <w:tcBorders>
              <w:top w:val="nil"/>
              <w:left w:val="nil"/>
              <w:bottom w:val="single" w:sz="4" w:space="0" w:color="auto"/>
              <w:right w:val="single" w:sz="4" w:space="0" w:color="auto"/>
            </w:tcBorders>
            <w:shd w:val="clear" w:color="000000" w:fill="FFFFFF"/>
            <w:vAlign w:val="center"/>
            <w:hideMark/>
          </w:tcPr>
          <w:p w14:paraId="15D2911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4935.25</w:t>
            </w:r>
          </w:p>
        </w:tc>
      </w:tr>
      <w:tr w:rsidR="008930D1" w:rsidRPr="00767C21" w14:paraId="0AF2B278"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1C08A5A1"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Interest Payment</w:t>
            </w:r>
          </w:p>
        </w:tc>
        <w:tc>
          <w:tcPr>
            <w:tcW w:w="1293" w:type="dxa"/>
            <w:tcBorders>
              <w:top w:val="nil"/>
              <w:left w:val="nil"/>
              <w:bottom w:val="single" w:sz="4" w:space="0" w:color="auto"/>
              <w:right w:val="single" w:sz="4" w:space="0" w:color="auto"/>
            </w:tcBorders>
            <w:shd w:val="clear" w:color="000000" w:fill="FFFFFF"/>
            <w:vAlign w:val="center"/>
            <w:hideMark/>
          </w:tcPr>
          <w:p w14:paraId="12C6E3E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2977.85</w:t>
            </w:r>
          </w:p>
        </w:tc>
        <w:tc>
          <w:tcPr>
            <w:tcW w:w="1432" w:type="dxa"/>
            <w:tcBorders>
              <w:top w:val="nil"/>
              <w:left w:val="nil"/>
              <w:bottom w:val="single" w:sz="4" w:space="0" w:color="auto"/>
              <w:right w:val="single" w:sz="4" w:space="0" w:color="auto"/>
            </w:tcBorders>
            <w:shd w:val="clear" w:color="000000" w:fill="FFFFFF"/>
            <w:vAlign w:val="center"/>
            <w:hideMark/>
          </w:tcPr>
          <w:p w14:paraId="732233F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197.62</w:t>
            </w:r>
          </w:p>
        </w:tc>
        <w:tc>
          <w:tcPr>
            <w:tcW w:w="1187" w:type="dxa"/>
            <w:tcBorders>
              <w:top w:val="nil"/>
              <w:left w:val="nil"/>
              <w:bottom w:val="single" w:sz="4" w:space="0" w:color="auto"/>
              <w:right w:val="single" w:sz="4" w:space="0" w:color="auto"/>
            </w:tcBorders>
            <w:shd w:val="clear" w:color="000000" w:fill="FFFFFF"/>
            <w:vAlign w:val="center"/>
            <w:hideMark/>
          </w:tcPr>
          <w:p w14:paraId="023162A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1875.92</w:t>
            </w:r>
          </w:p>
        </w:tc>
        <w:tc>
          <w:tcPr>
            <w:tcW w:w="1293" w:type="dxa"/>
            <w:tcBorders>
              <w:top w:val="nil"/>
              <w:left w:val="nil"/>
              <w:bottom w:val="single" w:sz="4" w:space="0" w:color="auto"/>
              <w:right w:val="single" w:sz="4" w:space="0" w:color="auto"/>
            </w:tcBorders>
            <w:shd w:val="clear" w:color="000000" w:fill="FFFFFF"/>
            <w:vAlign w:val="center"/>
            <w:hideMark/>
          </w:tcPr>
          <w:p w14:paraId="3BA2705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4416.6</w:t>
            </w:r>
          </w:p>
        </w:tc>
        <w:tc>
          <w:tcPr>
            <w:tcW w:w="1187" w:type="dxa"/>
            <w:tcBorders>
              <w:top w:val="nil"/>
              <w:left w:val="nil"/>
              <w:bottom w:val="single" w:sz="4" w:space="0" w:color="auto"/>
              <w:right w:val="single" w:sz="4" w:space="0" w:color="auto"/>
            </w:tcBorders>
            <w:shd w:val="clear" w:color="000000" w:fill="FFFFFF"/>
            <w:vAlign w:val="center"/>
            <w:hideMark/>
          </w:tcPr>
          <w:p w14:paraId="61BBB07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386.01</w:t>
            </w:r>
          </w:p>
        </w:tc>
        <w:tc>
          <w:tcPr>
            <w:tcW w:w="1293" w:type="dxa"/>
            <w:tcBorders>
              <w:top w:val="nil"/>
              <w:left w:val="nil"/>
              <w:bottom w:val="single" w:sz="4" w:space="0" w:color="auto"/>
              <w:right w:val="single" w:sz="4" w:space="0" w:color="auto"/>
            </w:tcBorders>
            <w:shd w:val="clear" w:color="000000" w:fill="FFFFFF"/>
            <w:vAlign w:val="center"/>
            <w:hideMark/>
          </w:tcPr>
          <w:p w14:paraId="786E8CD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3178.43</w:t>
            </w:r>
          </w:p>
        </w:tc>
        <w:tc>
          <w:tcPr>
            <w:tcW w:w="1251" w:type="dxa"/>
            <w:tcBorders>
              <w:top w:val="nil"/>
              <w:left w:val="nil"/>
              <w:bottom w:val="single" w:sz="4" w:space="0" w:color="auto"/>
              <w:right w:val="single" w:sz="4" w:space="0" w:color="auto"/>
            </w:tcBorders>
            <w:shd w:val="clear" w:color="000000" w:fill="FFFFFF"/>
            <w:vAlign w:val="center"/>
            <w:hideMark/>
          </w:tcPr>
          <w:p w14:paraId="441D0CD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1613.74</w:t>
            </w:r>
          </w:p>
        </w:tc>
        <w:tc>
          <w:tcPr>
            <w:tcW w:w="1347" w:type="dxa"/>
            <w:tcBorders>
              <w:top w:val="nil"/>
              <w:left w:val="nil"/>
              <w:bottom w:val="single" w:sz="4" w:space="0" w:color="auto"/>
              <w:right w:val="single" w:sz="4" w:space="0" w:color="auto"/>
            </w:tcBorders>
            <w:shd w:val="clear" w:color="000000" w:fill="FFFFFF"/>
            <w:vAlign w:val="center"/>
            <w:hideMark/>
          </w:tcPr>
          <w:p w14:paraId="2983332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601.93</w:t>
            </w:r>
          </w:p>
        </w:tc>
        <w:tc>
          <w:tcPr>
            <w:tcW w:w="1187" w:type="dxa"/>
            <w:tcBorders>
              <w:top w:val="nil"/>
              <w:left w:val="nil"/>
              <w:bottom w:val="single" w:sz="4" w:space="0" w:color="auto"/>
              <w:right w:val="single" w:sz="4" w:space="0" w:color="auto"/>
            </w:tcBorders>
            <w:shd w:val="clear" w:color="000000" w:fill="FFFFFF"/>
            <w:vAlign w:val="center"/>
            <w:hideMark/>
          </w:tcPr>
          <w:p w14:paraId="294E5A3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1556</w:t>
            </w:r>
          </w:p>
        </w:tc>
        <w:tc>
          <w:tcPr>
            <w:tcW w:w="1423" w:type="dxa"/>
            <w:tcBorders>
              <w:top w:val="nil"/>
              <w:left w:val="nil"/>
              <w:bottom w:val="single" w:sz="4" w:space="0" w:color="auto"/>
              <w:right w:val="single" w:sz="4" w:space="0" w:color="auto"/>
            </w:tcBorders>
            <w:shd w:val="clear" w:color="000000" w:fill="FFFFFF"/>
            <w:vAlign w:val="center"/>
            <w:hideMark/>
          </w:tcPr>
          <w:p w14:paraId="3DE73A1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2554.24</w:t>
            </w:r>
          </w:p>
        </w:tc>
        <w:tc>
          <w:tcPr>
            <w:tcW w:w="1401" w:type="dxa"/>
            <w:tcBorders>
              <w:top w:val="nil"/>
              <w:left w:val="nil"/>
              <w:bottom w:val="single" w:sz="4" w:space="0" w:color="auto"/>
              <w:right w:val="single" w:sz="4" w:space="0" w:color="auto"/>
            </w:tcBorders>
            <w:shd w:val="clear" w:color="000000" w:fill="FFFFFF"/>
            <w:vAlign w:val="center"/>
            <w:hideMark/>
          </w:tcPr>
          <w:p w14:paraId="6AAD070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2082.81</w:t>
            </w:r>
          </w:p>
        </w:tc>
      </w:tr>
      <w:tr w:rsidR="008930D1" w:rsidRPr="00767C21" w14:paraId="4BD4D536"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1BB557CC"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 xml:space="preserve">(ii) Social Security </w:t>
            </w:r>
            <w:proofErr w:type="gramStart"/>
            <w:r w:rsidRPr="00767C21">
              <w:rPr>
                <w:rFonts w:ascii="Arial" w:eastAsia="Times New Roman" w:hAnsi="Arial" w:cs="Arial"/>
                <w:color w:val="2B2D31"/>
                <w:kern w:val="0"/>
                <w:sz w:val="13"/>
                <w:szCs w:val="13"/>
                <w:lang w:eastAsia="en-IN"/>
                <w14:ligatures w14:val="none"/>
              </w:rPr>
              <w:t>And</w:t>
            </w:r>
            <w:proofErr w:type="gramEnd"/>
            <w:r w:rsidRPr="00767C21">
              <w:rPr>
                <w:rFonts w:ascii="Arial" w:eastAsia="Times New Roman" w:hAnsi="Arial" w:cs="Arial"/>
                <w:color w:val="2B2D31"/>
                <w:kern w:val="0"/>
                <w:sz w:val="13"/>
                <w:szCs w:val="13"/>
                <w:lang w:eastAsia="en-IN"/>
                <w14:ligatures w14:val="none"/>
              </w:rPr>
              <w:t xml:space="preserve"> Welfare</w:t>
            </w:r>
          </w:p>
        </w:tc>
        <w:tc>
          <w:tcPr>
            <w:tcW w:w="1293" w:type="dxa"/>
            <w:tcBorders>
              <w:top w:val="nil"/>
              <w:left w:val="nil"/>
              <w:bottom w:val="single" w:sz="4" w:space="0" w:color="auto"/>
              <w:right w:val="single" w:sz="4" w:space="0" w:color="auto"/>
            </w:tcBorders>
            <w:shd w:val="clear" w:color="000000" w:fill="FFFFFF"/>
            <w:vAlign w:val="center"/>
            <w:hideMark/>
          </w:tcPr>
          <w:p w14:paraId="16F5FB6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3135.41</w:t>
            </w:r>
          </w:p>
        </w:tc>
        <w:tc>
          <w:tcPr>
            <w:tcW w:w="1432" w:type="dxa"/>
            <w:tcBorders>
              <w:top w:val="nil"/>
              <w:left w:val="nil"/>
              <w:bottom w:val="single" w:sz="4" w:space="0" w:color="auto"/>
              <w:right w:val="single" w:sz="4" w:space="0" w:color="auto"/>
            </w:tcBorders>
            <w:shd w:val="clear" w:color="000000" w:fill="FFFFFF"/>
            <w:vAlign w:val="center"/>
            <w:hideMark/>
          </w:tcPr>
          <w:p w14:paraId="75BABDD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12.43</w:t>
            </w:r>
          </w:p>
        </w:tc>
        <w:tc>
          <w:tcPr>
            <w:tcW w:w="1187" w:type="dxa"/>
            <w:tcBorders>
              <w:top w:val="nil"/>
              <w:left w:val="nil"/>
              <w:bottom w:val="single" w:sz="4" w:space="0" w:color="auto"/>
              <w:right w:val="single" w:sz="4" w:space="0" w:color="auto"/>
            </w:tcBorders>
            <w:shd w:val="clear" w:color="000000" w:fill="FFFFFF"/>
            <w:vAlign w:val="center"/>
            <w:hideMark/>
          </w:tcPr>
          <w:p w14:paraId="1812B58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129.79</w:t>
            </w:r>
          </w:p>
        </w:tc>
        <w:tc>
          <w:tcPr>
            <w:tcW w:w="1293" w:type="dxa"/>
            <w:tcBorders>
              <w:top w:val="nil"/>
              <w:left w:val="nil"/>
              <w:bottom w:val="single" w:sz="4" w:space="0" w:color="auto"/>
              <w:right w:val="single" w:sz="4" w:space="0" w:color="auto"/>
            </w:tcBorders>
            <w:shd w:val="clear" w:color="000000" w:fill="FFFFFF"/>
            <w:vAlign w:val="center"/>
            <w:hideMark/>
          </w:tcPr>
          <w:p w14:paraId="20C9F73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511.56</w:t>
            </w:r>
          </w:p>
        </w:tc>
        <w:tc>
          <w:tcPr>
            <w:tcW w:w="1187" w:type="dxa"/>
            <w:tcBorders>
              <w:top w:val="nil"/>
              <w:left w:val="nil"/>
              <w:bottom w:val="single" w:sz="4" w:space="0" w:color="auto"/>
              <w:right w:val="single" w:sz="4" w:space="0" w:color="auto"/>
            </w:tcBorders>
            <w:shd w:val="clear" w:color="000000" w:fill="FFFFFF"/>
            <w:vAlign w:val="center"/>
            <w:hideMark/>
          </w:tcPr>
          <w:p w14:paraId="7F1D112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11.35</w:t>
            </w:r>
          </w:p>
        </w:tc>
        <w:tc>
          <w:tcPr>
            <w:tcW w:w="1293" w:type="dxa"/>
            <w:tcBorders>
              <w:top w:val="nil"/>
              <w:left w:val="nil"/>
              <w:bottom w:val="single" w:sz="4" w:space="0" w:color="auto"/>
              <w:right w:val="single" w:sz="4" w:space="0" w:color="auto"/>
            </w:tcBorders>
            <w:shd w:val="clear" w:color="000000" w:fill="FFFFFF"/>
            <w:vAlign w:val="center"/>
            <w:hideMark/>
          </w:tcPr>
          <w:p w14:paraId="1927024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590.03</w:t>
            </w:r>
          </w:p>
        </w:tc>
        <w:tc>
          <w:tcPr>
            <w:tcW w:w="1251" w:type="dxa"/>
            <w:tcBorders>
              <w:top w:val="nil"/>
              <w:left w:val="nil"/>
              <w:bottom w:val="single" w:sz="4" w:space="0" w:color="auto"/>
              <w:right w:val="single" w:sz="4" w:space="0" w:color="auto"/>
            </w:tcBorders>
            <w:shd w:val="clear" w:color="000000" w:fill="FFFFFF"/>
            <w:vAlign w:val="center"/>
            <w:hideMark/>
          </w:tcPr>
          <w:p w14:paraId="088EDE7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129.02</w:t>
            </w:r>
          </w:p>
        </w:tc>
        <w:tc>
          <w:tcPr>
            <w:tcW w:w="1347" w:type="dxa"/>
            <w:tcBorders>
              <w:top w:val="nil"/>
              <w:left w:val="nil"/>
              <w:bottom w:val="single" w:sz="4" w:space="0" w:color="auto"/>
              <w:right w:val="single" w:sz="4" w:space="0" w:color="auto"/>
            </w:tcBorders>
            <w:shd w:val="clear" w:color="000000" w:fill="FFFFFF"/>
            <w:vAlign w:val="center"/>
            <w:hideMark/>
          </w:tcPr>
          <w:p w14:paraId="6BF96D6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40.41</w:t>
            </w:r>
          </w:p>
        </w:tc>
        <w:tc>
          <w:tcPr>
            <w:tcW w:w="1187" w:type="dxa"/>
            <w:tcBorders>
              <w:top w:val="nil"/>
              <w:left w:val="nil"/>
              <w:bottom w:val="single" w:sz="4" w:space="0" w:color="auto"/>
              <w:right w:val="single" w:sz="4" w:space="0" w:color="auto"/>
            </w:tcBorders>
            <w:shd w:val="clear" w:color="000000" w:fill="FFFFFF"/>
            <w:vAlign w:val="center"/>
            <w:hideMark/>
          </w:tcPr>
          <w:p w14:paraId="5AE79B2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102.15</w:t>
            </w:r>
          </w:p>
        </w:tc>
        <w:tc>
          <w:tcPr>
            <w:tcW w:w="1423" w:type="dxa"/>
            <w:tcBorders>
              <w:top w:val="nil"/>
              <w:left w:val="nil"/>
              <w:bottom w:val="single" w:sz="4" w:space="0" w:color="auto"/>
              <w:right w:val="single" w:sz="4" w:space="0" w:color="auto"/>
            </w:tcBorders>
            <w:shd w:val="clear" w:color="000000" w:fill="FFFFFF"/>
            <w:vAlign w:val="center"/>
            <w:hideMark/>
          </w:tcPr>
          <w:p w14:paraId="0239108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829.22</w:t>
            </w:r>
          </w:p>
        </w:tc>
        <w:tc>
          <w:tcPr>
            <w:tcW w:w="1401" w:type="dxa"/>
            <w:tcBorders>
              <w:top w:val="nil"/>
              <w:left w:val="nil"/>
              <w:bottom w:val="single" w:sz="4" w:space="0" w:color="auto"/>
              <w:right w:val="single" w:sz="4" w:space="0" w:color="auto"/>
            </w:tcBorders>
            <w:shd w:val="clear" w:color="000000" w:fill="FFFFFF"/>
            <w:vAlign w:val="center"/>
            <w:hideMark/>
          </w:tcPr>
          <w:p w14:paraId="623CA6B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461.86</w:t>
            </w:r>
          </w:p>
        </w:tc>
      </w:tr>
      <w:tr w:rsidR="008930D1" w:rsidRPr="00767C21" w14:paraId="13C3D5A9"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3F04467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Irrigation *</w:t>
            </w:r>
          </w:p>
        </w:tc>
        <w:tc>
          <w:tcPr>
            <w:tcW w:w="1293" w:type="dxa"/>
            <w:tcBorders>
              <w:top w:val="nil"/>
              <w:left w:val="nil"/>
              <w:bottom w:val="single" w:sz="4" w:space="0" w:color="auto"/>
              <w:right w:val="single" w:sz="4" w:space="0" w:color="auto"/>
            </w:tcBorders>
            <w:shd w:val="clear" w:color="000000" w:fill="FFFFFF"/>
            <w:vAlign w:val="center"/>
            <w:hideMark/>
          </w:tcPr>
          <w:p w14:paraId="221038DF"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441.71</w:t>
            </w:r>
          </w:p>
        </w:tc>
        <w:tc>
          <w:tcPr>
            <w:tcW w:w="1432" w:type="dxa"/>
            <w:tcBorders>
              <w:top w:val="nil"/>
              <w:left w:val="nil"/>
              <w:bottom w:val="single" w:sz="4" w:space="0" w:color="auto"/>
              <w:right w:val="single" w:sz="4" w:space="0" w:color="auto"/>
            </w:tcBorders>
            <w:shd w:val="clear" w:color="000000" w:fill="FFFFFF"/>
            <w:vAlign w:val="center"/>
            <w:hideMark/>
          </w:tcPr>
          <w:p w14:paraId="63627D3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30.15</w:t>
            </w:r>
          </w:p>
        </w:tc>
        <w:tc>
          <w:tcPr>
            <w:tcW w:w="1187" w:type="dxa"/>
            <w:tcBorders>
              <w:top w:val="nil"/>
              <w:left w:val="nil"/>
              <w:bottom w:val="single" w:sz="4" w:space="0" w:color="auto"/>
              <w:right w:val="single" w:sz="4" w:space="0" w:color="auto"/>
            </w:tcBorders>
            <w:shd w:val="clear" w:color="000000" w:fill="FFFFFF"/>
            <w:vAlign w:val="center"/>
            <w:hideMark/>
          </w:tcPr>
          <w:p w14:paraId="546B1F71"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222.17</w:t>
            </w:r>
          </w:p>
        </w:tc>
        <w:tc>
          <w:tcPr>
            <w:tcW w:w="1293" w:type="dxa"/>
            <w:tcBorders>
              <w:top w:val="nil"/>
              <w:left w:val="nil"/>
              <w:bottom w:val="single" w:sz="4" w:space="0" w:color="auto"/>
              <w:right w:val="single" w:sz="4" w:space="0" w:color="auto"/>
            </w:tcBorders>
            <w:shd w:val="clear" w:color="000000" w:fill="FFFFFF"/>
            <w:vAlign w:val="center"/>
            <w:hideMark/>
          </w:tcPr>
          <w:p w14:paraId="2CA2182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667.73</w:t>
            </w:r>
          </w:p>
        </w:tc>
        <w:tc>
          <w:tcPr>
            <w:tcW w:w="1187" w:type="dxa"/>
            <w:tcBorders>
              <w:top w:val="nil"/>
              <w:left w:val="nil"/>
              <w:bottom w:val="single" w:sz="4" w:space="0" w:color="auto"/>
              <w:right w:val="single" w:sz="4" w:space="0" w:color="auto"/>
            </w:tcBorders>
            <w:shd w:val="clear" w:color="000000" w:fill="FFFFFF"/>
            <w:vAlign w:val="center"/>
            <w:hideMark/>
          </w:tcPr>
          <w:p w14:paraId="6186664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6.91</w:t>
            </w:r>
          </w:p>
        </w:tc>
        <w:tc>
          <w:tcPr>
            <w:tcW w:w="1293" w:type="dxa"/>
            <w:tcBorders>
              <w:top w:val="nil"/>
              <w:left w:val="nil"/>
              <w:bottom w:val="single" w:sz="4" w:space="0" w:color="auto"/>
              <w:right w:val="single" w:sz="4" w:space="0" w:color="auto"/>
            </w:tcBorders>
            <w:shd w:val="clear" w:color="000000" w:fill="FFFFFF"/>
            <w:vAlign w:val="center"/>
            <w:hideMark/>
          </w:tcPr>
          <w:p w14:paraId="7C0F0CF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234.88</w:t>
            </w:r>
          </w:p>
        </w:tc>
        <w:tc>
          <w:tcPr>
            <w:tcW w:w="1251" w:type="dxa"/>
            <w:tcBorders>
              <w:top w:val="nil"/>
              <w:left w:val="nil"/>
              <w:bottom w:val="single" w:sz="4" w:space="0" w:color="auto"/>
              <w:right w:val="single" w:sz="4" w:space="0" w:color="auto"/>
            </w:tcBorders>
            <w:shd w:val="clear" w:color="000000" w:fill="FFFFFF"/>
            <w:vAlign w:val="center"/>
            <w:hideMark/>
          </w:tcPr>
          <w:p w14:paraId="6870F84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181.4</w:t>
            </w:r>
          </w:p>
        </w:tc>
        <w:tc>
          <w:tcPr>
            <w:tcW w:w="1347" w:type="dxa"/>
            <w:tcBorders>
              <w:top w:val="nil"/>
              <w:left w:val="nil"/>
              <w:bottom w:val="single" w:sz="4" w:space="0" w:color="auto"/>
              <w:right w:val="single" w:sz="4" w:space="0" w:color="auto"/>
            </w:tcBorders>
            <w:shd w:val="clear" w:color="000000" w:fill="FFFFFF"/>
            <w:vAlign w:val="center"/>
            <w:hideMark/>
          </w:tcPr>
          <w:p w14:paraId="50F2B85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23.17</w:t>
            </w:r>
          </w:p>
        </w:tc>
        <w:tc>
          <w:tcPr>
            <w:tcW w:w="1187" w:type="dxa"/>
            <w:tcBorders>
              <w:top w:val="nil"/>
              <w:left w:val="nil"/>
              <w:bottom w:val="single" w:sz="4" w:space="0" w:color="auto"/>
              <w:right w:val="single" w:sz="4" w:space="0" w:color="auto"/>
            </w:tcBorders>
            <w:shd w:val="clear" w:color="000000" w:fill="FFFFFF"/>
            <w:vAlign w:val="center"/>
            <w:hideMark/>
          </w:tcPr>
          <w:p w14:paraId="0A9743B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93.52</w:t>
            </w:r>
          </w:p>
        </w:tc>
        <w:tc>
          <w:tcPr>
            <w:tcW w:w="1423" w:type="dxa"/>
            <w:tcBorders>
              <w:top w:val="nil"/>
              <w:left w:val="nil"/>
              <w:bottom w:val="single" w:sz="4" w:space="0" w:color="auto"/>
              <w:right w:val="single" w:sz="4" w:space="0" w:color="auto"/>
            </w:tcBorders>
            <w:shd w:val="clear" w:color="000000" w:fill="FFFFFF"/>
            <w:vAlign w:val="center"/>
            <w:hideMark/>
          </w:tcPr>
          <w:p w14:paraId="680E8AD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281.42</w:t>
            </w:r>
          </w:p>
        </w:tc>
        <w:tc>
          <w:tcPr>
            <w:tcW w:w="1401" w:type="dxa"/>
            <w:tcBorders>
              <w:top w:val="nil"/>
              <w:left w:val="nil"/>
              <w:bottom w:val="single" w:sz="4" w:space="0" w:color="auto"/>
              <w:right w:val="single" w:sz="4" w:space="0" w:color="auto"/>
            </w:tcBorders>
            <w:shd w:val="clear" w:color="000000" w:fill="FFFFFF"/>
            <w:vAlign w:val="center"/>
            <w:hideMark/>
          </w:tcPr>
          <w:p w14:paraId="10F14A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158.67</w:t>
            </w:r>
          </w:p>
        </w:tc>
      </w:tr>
      <w:tr w:rsidR="008930D1" w:rsidRPr="00767C21" w14:paraId="1613A520"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5AE880F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(iv) Buildings Including Housing</w:t>
            </w:r>
          </w:p>
        </w:tc>
        <w:tc>
          <w:tcPr>
            <w:tcW w:w="1293" w:type="dxa"/>
            <w:tcBorders>
              <w:top w:val="nil"/>
              <w:left w:val="nil"/>
              <w:bottom w:val="single" w:sz="4" w:space="0" w:color="auto"/>
              <w:right w:val="single" w:sz="4" w:space="0" w:color="auto"/>
            </w:tcBorders>
            <w:shd w:val="clear" w:color="000000" w:fill="FFFFFF"/>
            <w:vAlign w:val="center"/>
            <w:hideMark/>
          </w:tcPr>
          <w:p w14:paraId="24A89C5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132.08</w:t>
            </w:r>
          </w:p>
        </w:tc>
        <w:tc>
          <w:tcPr>
            <w:tcW w:w="1432" w:type="dxa"/>
            <w:tcBorders>
              <w:top w:val="nil"/>
              <w:left w:val="nil"/>
              <w:bottom w:val="single" w:sz="4" w:space="0" w:color="auto"/>
              <w:right w:val="single" w:sz="4" w:space="0" w:color="auto"/>
            </w:tcBorders>
            <w:shd w:val="clear" w:color="000000" w:fill="FFFFFF"/>
            <w:vAlign w:val="center"/>
            <w:hideMark/>
          </w:tcPr>
          <w:p w14:paraId="73834F5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26.68</w:t>
            </w:r>
          </w:p>
        </w:tc>
        <w:tc>
          <w:tcPr>
            <w:tcW w:w="1187" w:type="dxa"/>
            <w:tcBorders>
              <w:top w:val="nil"/>
              <w:left w:val="nil"/>
              <w:bottom w:val="single" w:sz="4" w:space="0" w:color="auto"/>
              <w:right w:val="single" w:sz="4" w:space="0" w:color="auto"/>
            </w:tcBorders>
            <w:shd w:val="clear" w:color="000000" w:fill="FFFFFF"/>
            <w:vAlign w:val="center"/>
            <w:hideMark/>
          </w:tcPr>
          <w:p w14:paraId="0F876EE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53.01</w:t>
            </w:r>
          </w:p>
        </w:tc>
        <w:tc>
          <w:tcPr>
            <w:tcW w:w="1293" w:type="dxa"/>
            <w:tcBorders>
              <w:top w:val="nil"/>
              <w:left w:val="nil"/>
              <w:bottom w:val="single" w:sz="4" w:space="0" w:color="auto"/>
              <w:right w:val="single" w:sz="4" w:space="0" w:color="auto"/>
            </w:tcBorders>
            <w:shd w:val="clear" w:color="000000" w:fill="FFFFFF"/>
            <w:vAlign w:val="center"/>
            <w:hideMark/>
          </w:tcPr>
          <w:p w14:paraId="59B5A97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156.96</w:t>
            </w:r>
          </w:p>
        </w:tc>
        <w:tc>
          <w:tcPr>
            <w:tcW w:w="1187" w:type="dxa"/>
            <w:tcBorders>
              <w:top w:val="nil"/>
              <w:left w:val="nil"/>
              <w:bottom w:val="single" w:sz="4" w:space="0" w:color="auto"/>
              <w:right w:val="single" w:sz="4" w:space="0" w:color="auto"/>
            </w:tcBorders>
            <w:shd w:val="clear" w:color="000000" w:fill="FFFFFF"/>
            <w:vAlign w:val="center"/>
            <w:hideMark/>
          </w:tcPr>
          <w:p w14:paraId="29324FF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11.33</w:t>
            </w:r>
          </w:p>
        </w:tc>
        <w:tc>
          <w:tcPr>
            <w:tcW w:w="1293" w:type="dxa"/>
            <w:tcBorders>
              <w:top w:val="nil"/>
              <w:left w:val="nil"/>
              <w:bottom w:val="single" w:sz="4" w:space="0" w:color="auto"/>
              <w:right w:val="single" w:sz="4" w:space="0" w:color="auto"/>
            </w:tcBorders>
            <w:shd w:val="clear" w:color="000000" w:fill="FFFFFF"/>
            <w:vAlign w:val="center"/>
            <w:hideMark/>
          </w:tcPr>
          <w:p w14:paraId="0A333AA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162.03</w:t>
            </w:r>
          </w:p>
        </w:tc>
        <w:tc>
          <w:tcPr>
            <w:tcW w:w="1251" w:type="dxa"/>
            <w:tcBorders>
              <w:top w:val="nil"/>
              <w:left w:val="nil"/>
              <w:bottom w:val="single" w:sz="4" w:space="0" w:color="auto"/>
              <w:right w:val="single" w:sz="4" w:space="0" w:color="auto"/>
            </w:tcBorders>
            <w:shd w:val="clear" w:color="000000" w:fill="FFFFFF"/>
            <w:vAlign w:val="center"/>
            <w:hideMark/>
          </w:tcPr>
          <w:p w14:paraId="6A5E1D2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40.24</w:t>
            </w:r>
          </w:p>
        </w:tc>
        <w:tc>
          <w:tcPr>
            <w:tcW w:w="1347" w:type="dxa"/>
            <w:tcBorders>
              <w:top w:val="nil"/>
              <w:left w:val="nil"/>
              <w:bottom w:val="single" w:sz="4" w:space="0" w:color="auto"/>
              <w:right w:val="single" w:sz="4" w:space="0" w:color="auto"/>
            </w:tcBorders>
            <w:shd w:val="clear" w:color="000000" w:fill="FFFFFF"/>
            <w:vAlign w:val="center"/>
            <w:hideMark/>
          </w:tcPr>
          <w:p w14:paraId="3790CD5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43.68</w:t>
            </w:r>
          </w:p>
        </w:tc>
        <w:tc>
          <w:tcPr>
            <w:tcW w:w="1187" w:type="dxa"/>
            <w:tcBorders>
              <w:top w:val="nil"/>
              <w:left w:val="nil"/>
              <w:bottom w:val="single" w:sz="4" w:space="0" w:color="auto"/>
              <w:right w:val="single" w:sz="4" w:space="0" w:color="auto"/>
            </w:tcBorders>
            <w:shd w:val="clear" w:color="000000" w:fill="FFFFFF"/>
            <w:vAlign w:val="center"/>
            <w:hideMark/>
          </w:tcPr>
          <w:p w14:paraId="49214AB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40.7</w:t>
            </w:r>
          </w:p>
        </w:tc>
        <w:tc>
          <w:tcPr>
            <w:tcW w:w="1423" w:type="dxa"/>
            <w:tcBorders>
              <w:top w:val="nil"/>
              <w:left w:val="nil"/>
              <w:bottom w:val="single" w:sz="4" w:space="0" w:color="auto"/>
              <w:right w:val="single" w:sz="4" w:space="0" w:color="auto"/>
            </w:tcBorders>
            <w:shd w:val="clear" w:color="000000" w:fill="FFFFFF"/>
            <w:vAlign w:val="center"/>
            <w:hideMark/>
          </w:tcPr>
          <w:p w14:paraId="1D3CCB8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103.32</w:t>
            </w:r>
          </w:p>
        </w:tc>
        <w:tc>
          <w:tcPr>
            <w:tcW w:w="1401" w:type="dxa"/>
            <w:tcBorders>
              <w:top w:val="nil"/>
              <w:left w:val="nil"/>
              <w:bottom w:val="single" w:sz="4" w:space="0" w:color="auto"/>
              <w:right w:val="single" w:sz="4" w:space="0" w:color="auto"/>
            </w:tcBorders>
            <w:shd w:val="clear" w:color="000000" w:fill="FFFFFF"/>
            <w:vAlign w:val="center"/>
            <w:hideMark/>
          </w:tcPr>
          <w:p w14:paraId="405849C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64.6</w:t>
            </w:r>
          </w:p>
        </w:tc>
      </w:tr>
      <w:tr w:rsidR="008930D1" w:rsidRPr="00767C21" w14:paraId="10C65484"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0AB26ED5"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 Roads And Bridges</w:t>
            </w:r>
          </w:p>
        </w:tc>
        <w:tc>
          <w:tcPr>
            <w:tcW w:w="1293" w:type="dxa"/>
            <w:tcBorders>
              <w:top w:val="nil"/>
              <w:left w:val="nil"/>
              <w:bottom w:val="single" w:sz="4" w:space="0" w:color="auto"/>
              <w:right w:val="single" w:sz="4" w:space="0" w:color="auto"/>
            </w:tcBorders>
            <w:shd w:val="clear" w:color="000000" w:fill="FFFFFF"/>
            <w:vAlign w:val="center"/>
            <w:hideMark/>
          </w:tcPr>
          <w:p w14:paraId="7A52895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941.68</w:t>
            </w:r>
          </w:p>
        </w:tc>
        <w:tc>
          <w:tcPr>
            <w:tcW w:w="1432" w:type="dxa"/>
            <w:tcBorders>
              <w:top w:val="nil"/>
              <w:left w:val="nil"/>
              <w:bottom w:val="single" w:sz="4" w:space="0" w:color="auto"/>
              <w:right w:val="single" w:sz="4" w:space="0" w:color="auto"/>
            </w:tcBorders>
            <w:shd w:val="clear" w:color="000000" w:fill="FFFFFF"/>
            <w:vAlign w:val="center"/>
            <w:hideMark/>
          </w:tcPr>
          <w:p w14:paraId="4B6ABB2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50.34</w:t>
            </w:r>
          </w:p>
        </w:tc>
        <w:tc>
          <w:tcPr>
            <w:tcW w:w="1187" w:type="dxa"/>
            <w:tcBorders>
              <w:top w:val="nil"/>
              <w:left w:val="nil"/>
              <w:bottom w:val="single" w:sz="4" w:space="0" w:color="auto"/>
              <w:right w:val="single" w:sz="4" w:space="0" w:color="auto"/>
            </w:tcBorders>
            <w:shd w:val="clear" w:color="000000" w:fill="FFFFFF"/>
            <w:vAlign w:val="center"/>
            <w:hideMark/>
          </w:tcPr>
          <w:p w14:paraId="589A68A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218.81</w:t>
            </w:r>
          </w:p>
        </w:tc>
        <w:tc>
          <w:tcPr>
            <w:tcW w:w="1293" w:type="dxa"/>
            <w:tcBorders>
              <w:top w:val="nil"/>
              <w:left w:val="nil"/>
              <w:bottom w:val="single" w:sz="4" w:space="0" w:color="auto"/>
              <w:right w:val="single" w:sz="4" w:space="0" w:color="auto"/>
            </w:tcBorders>
            <w:shd w:val="clear" w:color="000000" w:fill="FFFFFF"/>
            <w:vAlign w:val="center"/>
            <w:hideMark/>
          </w:tcPr>
          <w:p w14:paraId="36ADFCA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398.01</w:t>
            </w:r>
          </w:p>
        </w:tc>
        <w:tc>
          <w:tcPr>
            <w:tcW w:w="1187" w:type="dxa"/>
            <w:tcBorders>
              <w:top w:val="nil"/>
              <w:left w:val="nil"/>
              <w:bottom w:val="single" w:sz="4" w:space="0" w:color="auto"/>
              <w:right w:val="single" w:sz="4" w:space="0" w:color="auto"/>
            </w:tcBorders>
            <w:shd w:val="clear" w:color="000000" w:fill="FFFFFF"/>
            <w:vAlign w:val="center"/>
            <w:hideMark/>
          </w:tcPr>
          <w:p w14:paraId="4BC263A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39.48</w:t>
            </w:r>
          </w:p>
        </w:tc>
        <w:tc>
          <w:tcPr>
            <w:tcW w:w="1293" w:type="dxa"/>
            <w:tcBorders>
              <w:top w:val="nil"/>
              <w:left w:val="nil"/>
              <w:bottom w:val="single" w:sz="4" w:space="0" w:color="auto"/>
              <w:right w:val="single" w:sz="4" w:space="0" w:color="auto"/>
            </w:tcBorders>
            <w:shd w:val="clear" w:color="000000" w:fill="FFFFFF"/>
            <w:vAlign w:val="center"/>
            <w:hideMark/>
          </w:tcPr>
          <w:p w14:paraId="7B76582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634.52</w:t>
            </w:r>
          </w:p>
        </w:tc>
        <w:tc>
          <w:tcPr>
            <w:tcW w:w="1251" w:type="dxa"/>
            <w:tcBorders>
              <w:top w:val="nil"/>
              <w:left w:val="nil"/>
              <w:bottom w:val="single" w:sz="4" w:space="0" w:color="auto"/>
              <w:right w:val="single" w:sz="4" w:space="0" w:color="auto"/>
            </w:tcBorders>
            <w:shd w:val="clear" w:color="000000" w:fill="FFFFFF"/>
            <w:vAlign w:val="center"/>
            <w:hideMark/>
          </w:tcPr>
          <w:p w14:paraId="0620E9D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202.38</w:t>
            </w:r>
          </w:p>
        </w:tc>
        <w:tc>
          <w:tcPr>
            <w:tcW w:w="1347" w:type="dxa"/>
            <w:tcBorders>
              <w:top w:val="nil"/>
              <w:left w:val="nil"/>
              <w:bottom w:val="single" w:sz="4" w:space="0" w:color="auto"/>
              <w:right w:val="single" w:sz="4" w:space="0" w:color="auto"/>
            </w:tcBorders>
            <w:shd w:val="clear" w:color="000000" w:fill="FFFFFF"/>
            <w:vAlign w:val="center"/>
            <w:hideMark/>
          </w:tcPr>
          <w:p w14:paraId="37B7F24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149.19</w:t>
            </w:r>
          </w:p>
        </w:tc>
        <w:tc>
          <w:tcPr>
            <w:tcW w:w="1187" w:type="dxa"/>
            <w:tcBorders>
              <w:top w:val="nil"/>
              <w:left w:val="nil"/>
              <w:bottom w:val="single" w:sz="4" w:space="0" w:color="auto"/>
              <w:right w:val="single" w:sz="4" w:space="0" w:color="auto"/>
            </w:tcBorders>
            <w:shd w:val="clear" w:color="000000" w:fill="FFFFFF"/>
            <w:vAlign w:val="center"/>
            <w:hideMark/>
          </w:tcPr>
          <w:p w14:paraId="26D6CD2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104.78</w:t>
            </w:r>
          </w:p>
        </w:tc>
        <w:tc>
          <w:tcPr>
            <w:tcW w:w="1423" w:type="dxa"/>
            <w:tcBorders>
              <w:top w:val="nil"/>
              <w:left w:val="nil"/>
              <w:bottom w:val="single" w:sz="4" w:space="0" w:color="auto"/>
              <w:right w:val="single" w:sz="4" w:space="0" w:color="auto"/>
            </w:tcBorders>
            <w:shd w:val="clear" w:color="000000" w:fill="FFFFFF"/>
            <w:vAlign w:val="center"/>
            <w:hideMark/>
          </w:tcPr>
          <w:p w14:paraId="1989744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485.77</w:t>
            </w:r>
          </w:p>
        </w:tc>
        <w:tc>
          <w:tcPr>
            <w:tcW w:w="1401" w:type="dxa"/>
            <w:tcBorders>
              <w:top w:val="nil"/>
              <w:left w:val="nil"/>
              <w:bottom w:val="single" w:sz="4" w:space="0" w:color="auto"/>
              <w:right w:val="single" w:sz="4" w:space="0" w:color="auto"/>
            </w:tcBorders>
            <w:shd w:val="clear" w:color="000000" w:fill="FFFFFF"/>
            <w:vAlign w:val="center"/>
            <w:hideMark/>
          </w:tcPr>
          <w:p w14:paraId="493EFEE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364.69</w:t>
            </w:r>
          </w:p>
        </w:tc>
      </w:tr>
      <w:tr w:rsidR="008930D1" w:rsidRPr="00767C21" w14:paraId="79FBE9C4"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23A508F2"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(vi) Others</w:t>
            </w:r>
          </w:p>
        </w:tc>
        <w:tc>
          <w:tcPr>
            <w:tcW w:w="1293" w:type="dxa"/>
            <w:tcBorders>
              <w:top w:val="nil"/>
              <w:left w:val="nil"/>
              <w:bottom w:val="single" w:sz="4" w:space="0" w:color="auto"/>
              <w:right w:val="single" w:sz="4" w:space="0" w:color="auto"/>
            </w:tcBorders>
            <w:shd w:val="clear" w:color="000000" w:fill="FFFFFF"/>
            <w:vAlign w:val="center"/>
            <w:hideMark/>
          </w:tcPr>
          <w:p w14:paraId="0D550036"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2246.75</w:t>
            </w:r>
          </w:p>
        </w:tc>
        <w:tc>
          <w:tcPr>
            <w:tcW w:w="1432" w:type="dxa"/>
            <w:tcBorders>
              <w:top w:val="nil"/>
              <w:left w:val="nil"/>
              <w:bottom w:val="single" w:sz="4" w:space="0" w:color="auto"/>
              <w:right w:val="single" w:sz="4" w:space="0" w:color="auto"/>
            </w:tcBorders>
            <w:shd w:val="clear" w:color="000000" w:fill="FFFFFF"/>
            <w:vAlign w:val="center"/>
            <w:hideMark/>
          </w:tcPr>
          <w:p w14:paraId="10F5D85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72.43</w:t>
            </w:r>
          </w:p>
        </w:tc>
        <w:tc>
          <w:tcPr>
            <w:tcW w:w="1187" w:type="dxa"/>
            <w:tcBorders>
              <w:top w:val="nil"/>
              <w:left w:val="nil"/>
              <w:bottom w:val="single" w:sz="4" w:space="0" w:color="auto"/>
              <w:right w:val="single" w:sz="4" w:space="0" w:color="auto"/>
            </w:tcBorders>
            <w:shd w:val="clear" w:color="000000" w:fill="FFFFFF"/>
            <w:vAlign w:val="center"/>
            <w:hideMark/>
          </w:tcPr>
          <w:p w14:paraId="4279F280"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495.26</w:t>
            </w:r>
          </w:p>
        </w:tc>
        <w:tc>
          <w:tcPr>
            <w:tcW w:w="1293" w:type="dxa"/>
            <w:tcBorders>
              <w:top w:val="nil"/>
              <w:left w:val="nil"/>
              <w:bottom w:val="single" w:sz="4" w:space="0" w:color="auto"/>
              <w:right w:val="single" w:sz="4" w:space="0" w:color="auto"/>
            </w:tcBorders>
            <w:shd w:val="clear" w:color="000000" w:fill="FFFFFF"/>
            <w:vAlign w:val="center"/>
            <w:hideMark/>
          </w:tcPr>
          <w:p w14:paraId="5B58F15D"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1514.07</w:t>
            </w:r>
          </w:p>
        </w:tc>
        <w:tc>
          <w:tcPr>
            <w:tcW w:w="1187" w:type="dxa"/>
            <w:tcBorders>
              <w:top w:val="nil"/>
              <w:left w:val="nil"/>
              <w:bottom w:val="single" w:sz="4" w:space="0" w:color="auto"/>
              <w:right w:val="single" w:sz="4" w:space="0" w:color="auto"/>
            </w:tcBorders>
            <w:shd w:val="clear" w:color="000000" w:fill="FFFFFF"/>
            <w:vAlign w:val="center"/>
            <w:hideMark/>
          </w:tcPr>
          <w:p w14:paraId="7E3066F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84.26</w:t>
            </w:r>
          </w:p>
        </w:tc>
        <w:tc>
          <w:tcPr>
            <w:tcW w:w="1293" w:type="dxa"/>
            <w:tcBorders>
              <w:top w:val="nil"/>
              <w:left w:val="nil"/>
              <w:bottom w:val="single" w:sz="4" w:space="0" w:color="auto"/>
              <w:right w:val="single" w:sz="4" w:space="0" w:color="auto"/>
            </w:tcBorders>
            <w:shd w:val="clear" w:color="000000" w:fill="FFFFFF"/>
            <w:vAlign w:val="center"/>
            <w:hideMark/>
          </w:tcPr>
          <w:p w14:paraId="21EAAD9B"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968.2</w:t>
            </w:r>
          </w:p>
        </w:tc>
        <w:tc>
          <w:tcPr>
            <w:tcW w:w="1251" w:type="dxa"/>
            <w:tcBorders>
              <w:top w:val="nil"/>
              <w:left w:val="nil"/>
              <w:bottom w:val="single" w:sz="4" w:space="0" w:color="auto"/>
              <w:right w:val="single" w:sz="4" w:space="0" w:color="auto"/>
            </w:tcBorders>
            <w:shd w:val="clear" w:color="000000" w:fill="FFFFFF"/>
            <w:vAlign w:val="center"/>
            <w:hideMark/>
          </w:tcPr>
          <w:p w14:paraId="4312DCA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299.4</w:t>
            </w:r>
          </w:p>
        </w:tc>
        <w:tc>
          <w:tcPr>
            <w:tcW w:w="1347" w:type="dxa"/>
            <w:tcBorders>
              <w:top w:val="nil"/>
              <w:left w:val="nil"/>
              <w:bottom w:val="single" w:sz="4" w:space="0" w:color="auto"/>
              <w:right w:val="single" w:sz="4" w:space="0" w:color="auto"/>
            </w:tcBorders>
            <w:shd w:val="clear" w:color="000000" w:fill="FFFFFF"/>
            <w:vAlign w:val="center"/>
            <w:hideMark/>
          </w:tcPr>
          <w:p w14:paraId="45A838EE"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469.94</w:t>
            </w:r>
          </w:p>
        </w:tc>
        <w:tc>
          <w:tcPr>
            <w:tcW w:w="1187" w:type="dxa"/>
            <w:tcBorders>
              <w:top w:val="nil"/>
              <w:left w:val="nil"/>
              <w:bottom w:val="single" w:sz="4" w:space="0" w:color="auto"/>
              <w:right w:val="single" w:sz="4" w:space="0" w:color="auto"/>
            </w:tcBorders>
            <w:shd w:val="clear" w:color="000000" w:fill="FFFFFF"/>
            <w:vAlign w:val="center"/>
            <w:hideMark/>
          </w:tcPr>
          <w:p w14:paraId="619CCDC3"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500.09</w:t>
            </w:r>
          </w:p>
        </w:tc>
        <w:tc>
          <w:tcPr>
            <w:tcW w:w="1423" w:type="dxa"/>
            <w:tcBorders>
              <w:top w:val="nil"/>
              <w:left w:val="nil"/>
              <w:bottom w:val="single" w:sz="4" w:space="0" w:color="auto"/>
              <w:right w:val="single" w:sz="4" w:space="0" w:color="auto"/>
            </w:tcBorders>
            <w:shd w:val="clear" w:color="000000" w:fill="FFFFFF"/>
            <w:vAlign w:val="center"/>
            <w:hideMark/>
          </w:tcPr>
          <w:p w14:paraId="578EA0B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1703.42</w:t>
            </w:r>
          </w:p>
        </w:tc>
        <w:tc>
          <w:tcPr>
            <w:tcW w:w="1401" w:type="dxa"/>
            <w:tcBorders>
              <w:top w:val="nil"/>
              <w:left w:val="nil"/>
              <w:bottom w:val="single" w:sz="4" w:space="0" w:color="auto"/>
              <w:right w:val="single" w:sz="4" w:space="0" w:color="auto"/>
            </w:tcBorders>
            <w:shd w:val="clear" w:color="000000" w:fill="FFFFFF"/>
            <w:vAlign w:val="center"/>
            <w:hideMark/>
          </w:tcPr>
          <w:p w14:paraId="15B91F8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1802.62</w:t>
            </w:r>
          </w:p>
        </w:tc>
      </w:tr>
      <w:tr w:rsidR="008930D1" w:rsidRPr="00767C21" w14:paraId="261D4286"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5043EEFA"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III- Adjustment</w:t>
            </w:r>
          </w:p>
        </w:tc>
        <w:tc>
          <w:tcPr>
            <w:tcW w:w="1293" w:type="dxa"/>
            <w:tcBorders>
              <w:top w:val="nil"/>
              <w:left w:val="nil"/>
              <w:bottom w:val="single" w:sz="4" w:space="0" w:color="auto"/>
              <w:right w:val="single" w:sz="4" w:space="0" w:color="auto"/>
            </w:tcBorders>
            <w:shd w:val="clear" w:color="000000" w:fill="FFFFFF"/>
            <w:vAlign w:val="center"/>
            <w:hideMark/>
          </w:tcPr>
          <w:p w14:paraId="5933C084"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-367.85</w:t>
            </w:r>
          </w:p>
        </w:tc>
        <w:tc>
          <w:tcPr>
            <w:tcW w:w="1432" w:type="dxa"/>
            <w:tcBorders>
              <w:top w:val="nil"/>
              <w:left w:val="nil"/>
              <w:bottom w:val="single" w:sz="4" w:space="0" w:color="auto"/>
              <w:right w:val="single" w:sz="4" w:space="0" w:color="auto"/>
            </w:tcBorders>
            <w:shd w:val="clear" w:color="000000" w:fill="FFFFFF"/>
            <w:vAlign w:val="center"/>
            <w:hideMark/>
          </w:tcPr>
          <w:p w14:paraId="316D5DAC"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4BAF618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223D7447"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-114.35</w:t>
            </w:r>
          </w:p>
        </w:tc>
        <w:tc>
          <w:tcPr>
            <w:tcW w:w="1187" w:type="dxa"/>
            <w:tcBorders>
              <w:top w:val="nil"/>
              <w:left w:val="nil"/>
              <w:bottom w:val="single" w:sz="4" w:space="0" w:color="auto"/>
              <w:right w:val="single" w:sz="4" w:space="0" w:color="auto"/>
            </w:tcBorders>
            <w:shd w:val="clear" w:color="000000" w:fill="FFFFFF"/>
            <w:vAlign w:val="center"/>
            <w:hideMark/>
          </w:tcPr>
          <w:p w14:paraId="2AA2816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293" w:type="dxa"/>
            <w:tcBorders>
              <w:top w:val="nil"/>
              <w:left w:val="nil"/>
              <w:bottom w:val="single" w:sz="4" w:space="0" w:color="auto"/>
              <w:right w:val="single" w:sz="4" w:space="0" w:color="auto"/>
            </w:tcBorders>
            <w:shd w:val="clear" w:color="000000" w:fill="FFFFFF"/>
            <w:vAlign w:val="center"/>
            <w:hideMark/>
          </w:tcPr>
          <w:p w14:paraId="374B8D2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-109.25</w:t>
            </w:r>
          </w:p>
        </w:tc>
        <w:tc>
          <w:tcPr>
            <w:tcW w:w="1251" w:type="dxa"/>
            <w:tcBorders>
              <w:top w:val="nil"/>
              <w:left w:val="nil"/>
              <w:bottom w:val="single" w:sz="4" w:space="0" w:color="auto"/>
              <w:right w:val="single" w:sz="4" w:space="0" w:color="auto"/>
            </w:tcBorders>
            <w:shd w:val="clear" w:color="000000" w:fill="FFFFFF"/>
            <w:vAlign w:val="center"/>
            <w:hideMark/>
          </w:tcPr>
          <w:p w14:paraId="68723215"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-166.7</w:t>
            </w:r>
          </w:p>
        </w:tc>
        <w:tc>
          <w:tcPr>
            <w:tcW w:w="1347" w:type="dxa"/>
            <w:tcBorders>
              <w:top w:val="nil"/>
              <w:left w:val="nil"/>
              <w:bottom w:val="single" w:sz="4" w:space="0" w:color="auto"/>
              <w:right w:val="single" w:sz="4" w:space="0" w:color="auto"/>
            </w:tcBorders>
            <w:shd w:val="clear" w:color="000000" w:fill="FFFFFF"/>
            <w:vAlign w:val="center"/>
            <w:hideMark/>
          </w:tcPr>
          <w:p w14:paraId="7FF83C92"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187" w:type="dxa"/>
            <w:tcBorders>
              <w:top w:val="nil"/>
              <w:left w:val="nil"/>
              <w:bottom w:val="single" w:sz="4" w:space="0" w:color="auto"/>
              <w:right w:val="single" w:sz="4" w:space="0" w:color="auto"/>
            </w:tcBorders>
            <w:shd w:val="clear" w:color="000000" w:fill="FFFFFF"/>
            <w:vAlign w:val="center"/>
            <w:hideMark/>
          </w:tcPr>
          <w:p w14:paraId="7138B149"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
        </w:tc>
        <w:tc>
          <w:tcPr>
            <w:tcW w:w="1423" w:type="dxa"/>
            <w:tcBorders>
              <w:top w:val="nil"/>
              <w:left w:val="nil"/>
              <w:bottom w:val="single" w:sz="4" w:space="0" w:color="auto"/>
              <w:right w:val="single" w:sz="4" w:space="0" w:color="auto"/>
            </w:tcBorders>
            <w:shd w:val="clear" w:color="000000" w:fill="FFFFFF"/>
            <w:vAlign w:val="center"/>
            <w:hideMark/>
          </w:tcPr>
          <w:p w14:paraId="26F62E4A"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-115.35</w:t>
            </w:r>
          </w:p>
        </w:tc>
        <w:tc>
          <w:tcPr>
            <w:tcW w:w="1401" w:type="dxa"/>
            <w:tcBorders>
              <w:top w:val="nil"/>
              <w:left w:val="nil"/>
              <w:bottom w:val="single" w:sz="4" w:space="0" w:color="auto"/>
              <w:right w:val="single" w:sz="4" w:space="0" w:color="auto"/>
            </w:tcBorders>
            <w:shd w:val="clear" w:color="000000" w:fill="FFFFFF"/>
            <w:vAlign w:val="center"/>
            <w:hideMark/>
          </w:tcPr>
          <w:p w14:paraId="4D5A8E98" w14:textId="77777777" w:rsidR="008930D1" w:rsidRPr="00767C21" w:rsidRDefault="008930D1" w:rsidP="009141DF">
            <w:pPr>
              <w:spacing w:after="0" w:line="240" w:lineRule="auto"/>
              <w:ind w:firstLineChars="100" w:firstLine="130"/>
              <w:jc w:val="center"/>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-178.7</w:t>
            </w:r>
          </w:p>
        </w:tc>
      </w:tr>
      <w:tr w:rsidR="008930D1" w:rsidRPr="00767C21" w14:paraId="481DC0BB" w14:textId="77777777" w:rsidTr="009141DF">
        <w:trPr>
          <w:trHeight w:val="20"/>
        </w:trPr>
        <w:tc>
          <w:tcPr>
            <w:tcW w:w="1655" w:type="dxa"/>
            <w:tcBorders>
              <w:top w:val="nil"/>
              <w:left w:val="single" w:sz="4" w:space="0" w:color="auto"/>
              <w:bottom w:val="single" w:sz="4" w:space="0" w:color="auto"/>
              <w:right w:val="single" w:sz="4" w:space="0" w:color="auto"/>
            </w:tcBorders>
            <w:shd w:val="clear" w:color="000000" w:fill="FFFFFF"/>
            <w:vAlign w:val="center"/>
            <w:hideMark/>
          </w:tcPr>
          <w:p w14:paraId="4B8DD855"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 xml:space="preserve">IV- Surplus/Deficit </w:t>
            </w:r>
            <w:proofErr w:type="gramStart"/>
            <w:r w:rsidRPr="00767C21">
              <w:rPr>
                <w:rFonts w:ascii="Arial" w:eastAsia="Times New Roman" w:hAnsi="Arial" w:cs="Arial"/>
                <w:b/>
                <w:bCs/>
                <w:color w:val="2B2D31"/>
                <w:kern w:val="0"/>
                <w:sz w:val="13"/>
                <w:szCs w:val="13"/>
                <w:lang w:eastAsia="en-IN"/>
                <w14:ligatures w14:val="none"/>
              </w:rPr>
              <w:t>On</w:t>
            </w:r>
            <w:proofErr w:type="gramEnd"/>
            <w:r w:rsidRPr="00767C21">
              <w:rPr>
                <w:rFonts w:ascii="Arial" w:eastAsia="Times New Roman" w:hAnsi="Arial" w:cs="Arial"/>
                <w:b/>
                <w:bCs/>
                <w:color w:val="2B2D31"/>
                <w:kern w:val="0"/>
                <w:sz w:val="13"/>
                <w:szCs w:val="13"/>
                <w:lang w:eastAsia="en-IN"/>
                <w14:ligatures w14:val="none"/>
              </w:rPr>
              <w:t xml:space="preserve"> Revenue Account (I-II+III)</w:t>
            </w:r>
          </w:p>
        </w:tc>
        <w:tc>
          <w:tcPr>
            <w:tcW w:w="1293" w:type="dxa"/>
            <w:tcBorders>
              <w:top w:val="nil"/>
              <w:left w:val="nil"/>
              <w:bottom w:val="single" w:sz="4" w:space="0" w:color="auto"/>
              <w:right w:val="single" w:sz="4" w:space="0" w:color="auto"/>
            </w:tcBorders>
            <w:shd w:val="clear" w:color="000000" w:fill="FFFFFF"/>
            <w:vAlign w:val="center"/>
            <w:hideMark/>
          </w:tcPr>
          <w:p w14:paraId="1BB123ED"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-2286.25</w:t>
            </w:r>
          </w:p>
        </w:tc>
        <w:tc>
          <w:tcPr>
            <w:tcW w:w="1432" w:type="dxa"/>
            <w:tcBorders>
              <w:top w:val="nil"/>
              <w:left w:val="nil"/>
              <w:bottom w:val="single" w:sz="4" w:space="0" w:color="auto"/>
              <w:right w:val="single" w:sz="4" w:space="0" w:color="auto"/>
            </w:tcBorders>
            <w:shd w:val="clear" w:color="000000" w:fill="FFFFFF"/>
            <w:vAlign w:val="center"/>
            <w:hideMark/>
          </w:tcPr>
          <w:p w14:paraId="75BBF5EA"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-827.38</w:t>
            </w:r>
          </w:p>
        </w:tc>
        <w:tc>
          <w:tcPr>
            <w:tcW w:w="1187" w:type="dxa"/>
            <w:tcBorders>
              <w:top w:val="nil"/>
              <w:left w:val="nil"/>
              <w:bottom w:val="single" w:sz="4" w:space="0" w:color="auto"/>
              <w:right w:val="single" w:sz="4" w:space="0" w:color="auto"/>
            </w:tcBorders>
            <w:shd w:val="clear" w:color="000000" w:fill="FFFFFF"/>
            <w:vAlign w:val="center"/>
            <w:hideMark/>
          </w:tcPr>
          <w:p w14:paraId="46D60266"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-3529.89</w:t>
            </w:r>
          </w:p>
        </w:tc>
        <w:tc>
          <w:tcPr>
            <w:tcW w:w="1293" w:type="dxa"/>
            <w:tcBorders>
              <w:top w:val="nil"/>
              <w:left w:val="nil"/>
              <w:bottom w:val="single" w:sz="4" w:space="0" w:color="auto"/>
              <w:right w:val="single" w:sz="4" w:space="0" w:color="auto"/>
            </w:tcBorders>
            <w:shd w:val="clear" w:color="000000" w:fill="FFFFFF"/>
            <w:vAlign w:val="center"/>
            <w:hideMark/>
          </w:tcPr>
          <w:p w14:paraId="1B26EE94"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-7095.38</w:t>
            </w:r>
          </w:p>
        </w:tc>
        <w:tc>
          <w:tcPr>
            <w:tcW w:w="1187" w:type="dxa"/>
            <w:tcBorders>
              <w:top w:val="nil"/>
              <w:left w:val="nil"/>
              <w:bottom w:val="single" w:sz="4" w:space="0" w:color="auto"/>
              <w:right w:val="single" w:sz="4" w:space="0" w:color="auto"/>
            </w:tcBorders>
            <w:shd w:val="clear" w:color="000000" w:fill="FFFFFF"/>
            <w:vAlign w:val="center"/>
            <w:hideMark/>
          </w:tcPr>
          <w:p w14:paraId="3F9B7058"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-505.12</w:t>
            </w:r>
          </w:p>
        </w:tc>
        <w:tc>
          <w:tcPr>
            <w:tcW w:w="1293" w:type="dxa"/>
            <w:tcBorders>
              <w:top w:val="nil"/>
              <w:left w:val="nil"/>
              <w:bottom w:val="single" w:sz="4" w:space="0" w:color="auto"/>
              <w:right w:val="single" w:sz="4" w:space="0" w:color="auto"/>
            </w:tcBorders>
            <w:shd w:val="clear" w:color="000000" w:fill="FFFFFF"/>
            <w:vAlign w:val="center"/>
            <w:hideMark/>
          </w:tcPr>
          <w:p w14:paraId="4931ABDF"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563.26</w:t>
            </w:r>
          </w:p>
        </w:tc>
        <w:tc>
          <w:tcPr>
            <w:tcW w:w="1251" w:type="dxa"/>
            <w:tcBorders>
              <w:top w:val="nil"/>
              <w:left w:val="nil"/>
              <w:bottom w:val="single" w:sz="4" w:space="0" w:color="auto"/>
              <w:right w:val="single" w:sz="4" w:space="0" w:color="auto"/>
            </w:tcBorders>
            <w:shd w:val="clear" w:color="000000" w:fill="FFFFFF"/>
            <w:vAlign w:val="center"/>
            <w:hideMark/>
          </w:tcPr>
          <w:p w14:paraId="119B63EE"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1374</w:t>
            </w:r>
          </w:p>
        </w:tc>
        <w:tc>
          <w:tcPr>
            <w:tcW w:w="1347" w:type="dxa"/>
            <w:tcBorders>
              <w:top w:val="nil"/>
              <w:left w:val="nil"/>
              <w:bottom w:val="single" w:sz="4" w:space="0" w:color="auto"/>
              <w:right w:val="single" w:sz="4" w:space="0" w:color="auto"/>
            </w:tcBorders>
            <w:shd w:val="clear" w:color="000000" w:fill="FFFFFF"/>
            <w:vAlign w:val="center"/>
            <w:hideMark/>
          </w:tcPr>
          <w:p w14:paraId="115553BE"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-1792.52</w:t>
            </w:r>
          </w:p>
        </w:tc>
        <w:tc>
          <w:tcPr>
            <w:tcW w:w="1187" w:type="dxa"/>
            <w:tcBorders>
              <w:top w:val="nil"/>
              <w:left w:val="nil"/>
              <w:bottom w:val="single" w:sz="4" w:space="0" w:color="auto"/>
              <w:right w:val="single" w:sz="4" w:space="0" w:color="auto"/>
            </w:tcBorders>
            <w:shd w:val="clear" w:color="000000" w:fill="FFFFFF"/>
            <w:vAlign w:val="center"/>
            <w:hideMark/>
          </w:tcPr>
          <w:p w14:paraId="117A4EEF"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-3300.44</w:t>
            </w:r>
          </w:p>
        </w:tc>
        <w:tc>
          <w:tcPr>
            <w:tcW w:w="1423" w:type="dxa"/>
            <w:tcBorders>
              <w:top w:val="nil"/>
              <w:left w:val="nil"/>
              <w:bottom w:val="single" w:sz="4" w:space="0" w:color="auto"/>
              <w:right w:val="single" w:sz="4" w:space="0" w:color="auto"/>
            </w:tcBorders>
            <w:shd w:val="clear" w:color="000000" w:fill="FFFFFF"/>
            <w:vAlign w:val="center"/>
            <w:hideMark/>
          </w:tcPr>
          <w:p w14:paraId="1C32CF10"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708.77</w:t>
            </w:r>
          </w:p>
        </w:tc>
        <w:tc>
          <w:tcPr>
            <w:tcW w:w="1401" w:type="dxa"/>
            <w:tcBorders>
              <w:top w:val="nil"/>
              <w:left w:val="nil"/>
              <w:bottom w:val="single" w:sz="4" w:space="0" w:color="auto"/>
              <w:right w:val="single" w:sz="4" w:space="0" w:color="auto"/>
            </w:tcBorders>
            <w:shd w:val="clear" w:color="000000" w:fill="FFFFFF"/>
            <w:vAlign w:val="center"/>
            <w:hideMark/>
          </w:tcPr>
          <w:p w14:paraId="643E610B" w14:textId="77777777" w:rsidR="008930D1" w:rsidRPr="00767C21" w:rsidRDefault="008930D1" w:rsidP="009141DF">
            <w:pPr>
              <w:spacing w:after="0" w:line="240" w:lineRule="auto"/>
              <w:ind w:firstLineChars="100" w:firstLine="131"/>
              <w:jc w:val="center"/>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-2916.81</w:t>
            </w:r>
          </w:p>
        </w:tc>
      </w:tr>
    </w:tbl>
    <w:p w14:paraId="72185669" w14:textId="77777777" w:rsidR="008930D1" w:rsidRPr="00767C21" w:rsidRDefault="008930D1" w:rsidP="00777237">
      <w:pPr>
        <w:spacing w:after="0"/>
        <w:jc w:val="center"/>
        <w:rPr>
          <w:rFonts w:ascii="Times New Roman" w:hAnsi="Times New Roman" w:cs="Times New Roman"/>
          <w:sz w:val="18"/>
          <w:szCs w:val="16"/>
          <w:lang w:bidi="ar-SA"/>
        </w:rPr>
      </w:pPr>
    </w:p>
    <w:p w14:paraId="6D2ECF8B" w14:textId="77777777" w:rsidR="008930D1" w:rsidRPr="008930D1" w:rsidRDefault="008930D1" w:rsidP="00777237">
      <w:pPr>
        <w:spacing w:after="0"/>
        <w:jc w:val="center"/>
        <w:rPr>
          <w:rFonts w:ascii="Times New Roman" w:hAnsi="Times New Roman" w:cs="Times New Roman"/>
          <w:sz w:val="18"/>
          <w:szCs w:val="16"/>
          <w:highlight w:val="yellow"/>
          <w:lang w:bidi="ar-SA"/>
        </w:rPr>
      </w:pPr>
    </w:p>
    <w:p w14:paraId="76C3C7FE" w14:textId="77777777" w:rsidR="001C66C1" w:rsidRPr="008930D1" w:rsidRDefault="001C66C1" w:rsidP="008930D1">
      <w:pPr>
        <w:pStyle w:val="NoSpacing"/>
        <w:rPr>
          <w:rFonts w:ascii="Times New Roman" w:hAnsi="Times New Roman" w:cs="Times New Roman"/>
          <w:sz w:val="18"/>
          <w:szCs w:val="16"/>
          <w:highlight w:val="yellow"/>
        </w:rPr>
      </w:pPr>
    </w:p>
    <w:tbl>
      <w:tblPr>
        <w:tblW w:w="15815" w:type="dxa"/>
        <w:tblLook w:val="04A0" w:firstRow="1" w:lastRow="0" w:firstColumn="1" w:lastColumn="0" w:noHBand="0" w:noVBand="1"/>
      </w:tblPr>
      <w:tblGrid>
        <w:gridCol w:w="2515"/>
        <w:gridCol w:w="1080"/>
        <w:gridCol w:w="1170"/>
        <w:gridCol w:w="1080"/>
        <w:gridCol w:w="1029"/>
        <w:gridCol w:w="875"/>
        <w:gridCol w:w="933"/>
        <w:gridCol w:w="884"/>
        <w:gridCol w:w="898"/>
        <w:gridCol w:w="1023"/>
        <w:gridCol w:w="767"/>
        <w:gridCol w:w="960"/>
        <w:gridCol w:w="817"/>
        <w:gridCol w:w="890"/>
        <w:gridCol w:w="894"/>
      </w:tblGrid>
      <w:tr w:rsidR="008930D1" w:rsidRPr="008930D1" w14:paraId="14ACBBE3" w14:textId="77777777" w:rsidTr="009141DF">
        <w:trPr>
          <w:trHeight w:val="20"/>
        </w:trPr>
        <w:tc>
          <w:tcPr>
            <w:tcW w:w="2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44F5D"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Items</w:t>
            </w:r>
          </w:p>
        </w:tc>
        <w:tc>
          <w:tcPr>
            <w:tcW w:w="1080" w:type="dxa"/>
            <w:tcBorders>
              <w:top w:val="single" w:sz="4" w:space="0" w:color="auto"/>
              <w:left w:val="nil"/>
              <w:bottom w:val="single" w:sz="4" w:space="0" w:color="auto"/>
              <w:right w:val="single" w:sz="4" w:space="0" w:color="auto"/>
            </w:tcBorders>
            <w:vAlign w:val="center"/>
            <w:hideMark/>
          </w:tcPr>
          <w:p w14:paraId="4165992C"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Madhya Pradesh</w:t>
            </w:r>
          </w:p>
        </w:tc>
        <w:tc>
          <w:tcPr>
            <w:tcW w:w="1170" w:type="dxa"/>
            <w:tcBorders>
              <w:top w:val="single" w:sz="4" w:space="0" w:color="auto"/>
              <w:left w:val="nil"/>
              <w:bottom w:val="single" w:sz="4" w:space="0" w:color="auto"/>
              <w:right w:val="single" w:sz="4" w:space="0" w:color="auto"/>
            </w:tcBorders>
            <w:vAlign w:val="center"/>
            <w:hideMark/>
          </w:tcPr>
          <w:p w14:paraId="71B20685"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Maharashtra</w:t>
            </w:r>
          </w:p>
        </w:tc>
        <w:tc>
          <w:tcPr>
            <w:tcW w:w="1080" w:type="dxa"/>
            <w:tcBorders>
              <w:top w:val="single" w:sz="4" w:space="0" w:color="auto"/>
              <w:left w:val="nil"/>
              <w:bottom w:val="single" w:sz="4" w:space="0" w:color="auto"/>
              <w:right w:val="single" w:sz="4" w:space="0" w:color="auto"/>
            </w:tcBorders>
            <w:vAlign w:val="center"/>
            <w:hideMark/>
          </w:tcPr>
          <w:p w14:paraId="55B11ED7"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Manipur</w:t>
            </w:r>
          </w:p>
        </w:tc>
        <w:tc>
          <w:tcPr>
            <w:tcW w:w="1029" w:type="dxa"/>
            <w:tcBorders>
              <w:top w:val="single" w:sz="4" w:space="0" w:color="auto"/>
              <w:left w:val="nil"/>
              <w:bottom w:val="single" w:sz="4" w:space="0" w:color="auto"/>
              <w:right w:val="single" w:sz="4" w:space="0" w:color="auto"/>
            </w:tcBorders>
            <w:vAlign w:val="center"/>
            <w:hideMark/>
          </w:tcPr>
          <w:p w14:paraId="06F90822"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Meghalaya</w:t>
            </w:r>
          </w:p>
        </w:tc>
        <w:tc>
          <w:tcPr>
            <w:tcW w:w="875" w:type="dxa"/>
            <w:tcBorders>
              <w:top w:val="single" w:sz="4" w:space="0" w:color="auto"/>
              <w:left w:val="nil"/>
              <w:bottom w:val="single" w:sz="4" w:space="0" w:color="auto"/>
              <w:right w:val="single" w:sz="4" w:space="0" w:color="auto"/>
            </w:tcBorders>
            <w:vAlign w:val="center"/>
            <w:hideMark/>
          </w:tcPr>
          <w:p w14:paraId="1AB9B4A7"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Mizoram</w:t>
            </w:r>
          </w:p>
        </w:tc>
        <w:tc>
          <w:tcPr>
            <w:tcW w:w="933" w:type="dxa"/>
            <w:tcBorders>
              <w:top w:val="single" w:sz="4" w:space="0" w:color="auto"/>
              <w:left w:val="nil"/>
              <w:bottom w:val="single" w:sz="4" w:space="0" w:color="auto"/>
              <w:right w:val="single" w:sz="4" w:space="0" w:color="auto"/>
            </w:tcBorders>
            <w:vAlign w:val="center"/>
            <w:hideMark/>
          </w:tcPr>
          <w:p w14:paraId="61543C43"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Nagaland</w:t>
            </w:r>
          </w:p>
        </w:tc>
        <w:tc>
          <w:tcPr>
            <w:tcW w:w="884" w:type="dxa"/>
            <w:tcBorders>
              <w:top w:val="single" w:sz="4" w:space="0" w:color="auto"/>
              <w:left w:val="nil"/>
              <w:bottom w:val="single" w:sz="4" w:space="0" w:color="auto"/>
              <w:right w:val="single" w:sz="4" w:space="0" w:color="auto"/>
            </w:tcBorders>
            <w:vAlign w:val="center"/>
            <w:hideMark/>
          </w:tcPr>
          <w:p w14:paraId="7798CF1F"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Orissa</w:t>
            </w:r>
          </w:p>
        </w:tc>
        <w:tc>
          <w:tcPr>
            <w:tcW w:w="898" w:type="dxa"/>
            <w:tcBorders>
              <w:top w:val="single" w:sz="4" w:space="0" w:color="auto"/>
              <w:left w:val="nil"/>
              <w:bottom w:val="single" w:sz="4" w:space="0" w:color="auto"/>
              <w:right w:val="single" w:sz="4" w:space="0" w:color="auto"/>
            </w:tcBorders>
            <w:vAlign w:val="center"/>
            <w:hideMark/>
          </w:tcPr>
          <w:p w14:paraId="3C4ED0F9"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Punjab</w:t>
            </w:r>
          </w:p>
        </w:tc>
        <w:tc>
          <w:tcPr>
            <w:tcW w:w="1023" w:type="dxa"/>
            <w:tcBorders>
              <w:top w:val="single" w:sz="4" w:space="0" w:color="auto"/>
              <w:left w:val="nil"/>
              <w:bottom w:val="single" w:sz="4" w:space="0" w:color="auto"/>
              <w:right w:val="single" w:sz="4" w:space="0" w:color="auto"/>
            </w:tcBorders>
            <w:vAlign w:val="center"/>
            <w:hideMark/>
          </w:tcPr>
          <w:p w14:paraId="36B3ABE9"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Rajasthan</w:t>
            </w:r>
          </w:p>
        </w:tc>
        <w:tc>
          <w:tcPr>
            <w:tcW w:w="767" w:type="dxa"/>
            <w:tcBorders>
              <w:top w:val="single" w:sz="4" w:space="0" w:color="auto"/>
              <w:left w:val="nil"/>
              <w:bottom w:val="single" w:sz="4" w:space="0" w:color="auto"/>
              <w:right w:val="single" w:sz="4" w:space="0" w:color="auto"/>
            </w:tcBorders>
            <w:vAlign w:val="center"/>
            <w:hideMark/>
          </w:tcPr>
          <w:p w14:paraId="25D6E01D"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Sikkim</w:t>
            </w:r>
          </w:p>
        </w:tc>
        <w:tc>
          <w:tcPr>
            <w:tcW w:w="960" w:type="dxa"/>
            <w:tcBorders>
              <w:top w:val="single" w:sz="4" w:space="0" w:color="auto"/>
              <w:left w:val="nil"/>
              <w:bottom w:val="single" w:sz="4" w:space="0" w:color="auto"/>
              <w:right w:val="single" w:sz="4" w:space="0" w:color="auto"/>
            </w:tcBorders>
            <w:vAlign w:val="center"/>
            <w:hideMark/>
          </w:tcPr>
          <w:p w14:paraId="3F60838A"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Tamil Nadu</w:t>
            </w:r>
          </w:p>
        </w:tc>
        <w:tc>
          <w:tcPr>
            <w:tcW w:w="817" w:type="dxa"/>
            <w:tcBorders>
              <w:top w:val="single" w:sz="4" w:space="0" w:color="auto"/>
              <w:left w:val="nil"/>
              <w:bottom w:val="single" w:sz="4" w:space="0" w:color="auto"/>
              <w:right w:val="single" w:sz="4" w:space="0" w:color="auto"/>
            </w:tcBorders>
            <w:vAlign w:val="center"/>
            <w:hideMark/>
          </w:tcPr>
          <w:p w14:paraId="74A31827"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Tripura</w:t>
            </w:r>
          </w:p>
        </w:tc>
        <w:tc>
          <w:tcPr>
            <w:tcW w:w="890" w:type="dxa"/>
            <w:tcBorders>
              <w:top w:val="single" w:sz="4" w:space="0" w:color="auto"/>
              <w:left w:val="nil"/>
              <w:bottom w:val="single" w:sz="4" w:space="0" w:color="auto"/>
              <w:right w:val="single" w:sz="4" w:space="0" w:color="auto"/>
            </w:tcBorders>
            <w:vAlign w:val="center"/>
            <w:hideMark/>
          </w:tcPr>
          <w:p w14:paraId="2FE273E6"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Uttar Pradesh</w:t>
            </w:r>
          </w:p>
        </w:tc>
        <w:tc>
          <w:tcPr>
            <w:tcW w:w="894" w:type="dxa"/>
            <w:tcBorders>
              <w:top w:val="single" w:sz="4" w:space="0" w:color="auto"/>
              <w:left w:val="nil"/>
              <w:bottom w:val="single" w:sz="4" w:space="0" w:color="auto"/>
              <w:right w:val="single" w:sz="4" w:space="0" w:color="auto"/>
            </w:tcBorders>
            <w:vAlign w:val="center"/>
            <w:hideMark/>
          </w:tcPr>
          <w:p w14:paraId="1D850F68"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West Bengal</w:t>
            </w:r>
          </w:p>
        </w:tc>
      </w:tr>
      <w:tr w:rsidR="008930D1" w:rsidRPr="008930D1" w14:paraId="0E8B7A73"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1B0A24C"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I-Revenue Receipts</w:t>
            </w:r>
          </w:p>
        </w:tc>
        <w:tc>
          <w:tcPr>
            <w:tcW w:w="1080" w:type="dxa"/>
            <w:tcBorders>
              <w:top w:val="nil"/>
              <w:left w:val="nil"/>
              <w:bottom w:val="single" w:sz="4" w:space="0" w:color="auto"/>
              <w:right w:val="single" w:sz="4" w:space="0" w:color="auto"/>
            </w:tcBorders>
            <w:vAlign w:val="center"/>
            <w:hideMark/>
          </w:tcPr>
          <w:p w14:paraId="304F053E"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13344.35</w:t>
            </w:r>
          </w:p>
        </w:tc>
        <w:tc>
          <w:tcPr>
            <w:tcW w:w="1170" w:type="dxa"/>
            <w:tcBorders>
              <w:top w:val="nil"/>
              <w:left w:val="nil"/>
              <w:bottom w:val="single" w:sz="4" w:space="0" w:color="auto"/>
              <w:right w:val="single" w:sz="4" w:space="0" w:color="auto"/>
            </w:tcBorders>
            <w:vAlign w:val="center"/>
            <w:hideMark/>
          </w:tcPr>
          <w:p w14:paraId="6288E7E0"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37125.83</w:t>
            </w:r>
          </w:p>
        </w:tc>
        <w:tc>
          <w:tcPr>
            <w:tcW w:w="1080" w:type="dxa"/>
            <w:tcBorders>
              <w:top w:val="nil"/>
              <w:left w:val="nil"/>
              <w:bottom w:val="single" w:sz="4" w:space="0" w:color="auto"/>
              <w:right w:val="single" w:sz="4" w:space="0" w:color="auto"/>
            </w:tcBorders>
            <w:vAlign w:val="center"/>
            <w:hideMark/>
          </w:tcPr>
          <w:p w14:paraId="393459BD"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168.59</w:t>
            </w:r>
          </w:p>
        </w:tc>
        <w:tc>
          <w:tcPr>
            <w:tcW w:w="1029" w:type="dxa"/>
            <w:tcBorders>
              <w:top w:val="nil"/>
              <w:left w:val="nil"/>
              <w:bottom w:val="single" w:sz="4" w:space="0" w:color="auto"/>
              <w:right w:val="single" w:sz="4" w:space="0" w:color="auto"/>
            </w:tcBorders>
            <w:vAlign w:val="center"/>
            <w:hideMark/>
          </w:tcPr>
          <w:p w14:paraId="28636793"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310.67</w:t>
            </w:r>
          </w:p>
        </w:tc>
        <w:tc>
          <w:tcPr>
            <w:tcW w:w="875" w:type="dxa"/>
            <w:tcBorders>
              <w:top w:val="nil"/>
              <w:left w:val="nil"/>
              <w:bottom w:val="single" w:sz="4" w:space="0" w:color="auto"/>
              <w:right w:val="single" w:sz="4" w:space="0" w:color="auto"/>
            </w:tcBorders>
            <w:vAlign w:val="center"/>
            <w:hideMark/>
          </w:tcPr>
          <w:p w14:paraId="088949EC"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64.7</w:t>
            </w:r>
          </w:p>
        </w:tc>
        <w:tc>
          <w:tcPr>
            <w:tcW w:w="933" w:type="dxa"/>
            <w:tcBorders>
              <w:top w:val="nil"/>
              <w:left w:val="nil"/>
              <w:bottom w:val="single" w:sz="4" w:space="0" w:color="auto"/>
              <w:right w:val="single" w:sz="4" w:space="0" w:color="auto"/>
            </w:tcBorders>
            <w:vAlign w:val="center"/>
            <w:hideMark/>
          </w:tcPr>
          <w:p w14:paraId="15E59C35"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231.2</w:t>
            </w:r>
          </w:p>
        </w:tc>
        <w:tc>
          <w:tcPr>
            <w:tcW w:w="884" w:type="dxa"/>
            <w:tcBorders>
              <w:top w:val="nil"/>
              <w:left w:val="nil"/>
              <w:bottom w:val="single" w:sz="4" w:space="0" w:color="auto"/>
              <w:right w:val="single" w:sz="4" w:space="0" w:color="auto"/>
            </w:tcBorders>
            <w:vAlign w:val="center"/>
            <w:hideMark/>
          </w:tcPr>
          <w:p w14:paraId="24A65CF2"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4835.83</w:t>
            </w:r>
          </w:p>
        </w:tc>
        <w:tc>
          <w:tcPr>
            <w:tcW w:w="898" w:type="dxa"/>
            <w:tcBorders>
              <w:top w:val="nil"/>
              <w:left w:val="nil"/>
              <w:bottom w:val="single" w:sz="4" w:space="0" w:color="auto"/>
              <w:right w:val="single" w:sz="4" w:space="0" w:color="auto"/>
            </w:tcBorders>
            <w:vAlign w:val="center"/>
            <w:hideMark/>
          </w:tcPr>
          <w:p w14:paraId="1D487287"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10095.27</w:t>
            </w:r>
          </w:p>
        </w:tc>
        <w:tc>
          <w:tcPr>
            <w:tcW w:w="1023" w:type="dxa"/>
            <w:tcBorders>
              <w:top w:val="nil"/>
              <w:left w:val="nil"/>
              <w:bottom w:val="single" w:sz="4" w:space="0" w:color="auto"/>
              <w:right w:val="single" w:sz="4" w:space="0" w:color="auto"/>
            </w:tcBorders>
            <w:vAlign w:val="center"/>
            <w:hideMark/>
          </w:tcPr>
          <w:p w14:paraId="7F5E6ADF"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8636.54</w:t>
            </w:r>
          </w:p>
        </w:tc>
        <w:tc>
          <w:tcPr>
            <w:tcW w:w="767" w:type="dxa"/>
            <w:tcBorders>
              <w:top w:val="nil"/>
              <w:left w:val="nil"/>
              <w:bottom w:val="single" w:sz="4" w:space="0" w:color="auto"/>
              <w:right w:val="single" w:sz="4" w:space="0" w:color="auto"/>
            </w:tcBorders>
            <w:vAlign w:val="center"/>
            <w:hideMark/>
          </w:tcPr>
          <w:p w14:paraId="6436F84D"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127.73</w:t>
            </w:r>
          </w:p>
        </w:tc>
        <w:tc>
          <w:tcPr>
            <w:tcW w:w="960" w:type="dxa"/>
            <w:tcBorders>
              <w:top w:val="nil"/>
              <w:left w:val="nil"/>
              <w:bottom w:val="single" w:sz="4" w:space="0" w:color="auto"/>
              <w:right w:val="single" w:sz="4" w:space="0" w:color="auto"/>
            </w:tcBorders>
            <w:vAlign w:val="center"/>
            <w:hideMark/>
          </w:tcPr>
          <w:p w14:paraId="2BE09597"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19884.44</w:t>
            </w:r>
          </w:p>
        </w:tc>
        <w:tc>
          <w:tcPr>
            <w:tcW w:w="817" w:type="dxa"/>
            <w:tcBorders>
              <w:top w:val="nil"/>
              <w:left w:val="nil"/>
              <w:bottom w:val="single" w:sz="4" w:space="0" w:color="auto"/>
              <w:right w:val="single" w:sz="4" w:space="0" w:color="auto"/>
            </w:tcBorders>
            <w:vAlign w:val="center"/>
            <w:hideMark/>
          </w:tcPr>
          <w:p w14:paraId="61D77FBF"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273.79</w:t>
            </w:r>
          </w:p>
        </w:tc>
        <w:tc>
          <w:tcPr>
            <w:tcW w:w="890" w:type="dxa"/>
            <w:tcBorders>
              <w:top w:val="nil"/>
              <w:left w:val="nil"/>
              <w:bottom w:val="single" w:sz="4" w:space="0" w:color="auto"/>
              <w:right w:val="single" w:sz="4" w:space="0" w:color="auto"/>
            </w:tcBorders>
            <w:vAlign w:val="center"/>
            <w:hideMark/>
          </w:tcPr>
          <w:p w14:paraId="234C9D94"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20207.44</w:t>
            </w:r>
          </w:p>
        </w:tc>
        <w:tc>
          <w:tcPr>
            <w:tcW w:w="894" w:type="dxa"/>
            <w:tcBorders>
              <w:top w:val="nil"/>
              <w:left w:val="nil"/>
              <w:bottom w:val="single" w:sz="4" w:space="0" w:color="auto"/>
              <w:right w:val="single" w:sz="4" w:space="0" w:color="auto"/>
            </w:tcBorders>
            <w:vAlign w:val="center"/>
            <w:hideMark/>
          </w:tcPr>
          <w:p w14:paraId="4D45EC6A"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15774.93</w:t>
            </w:r>
          </w:p>
        </w:tc>
      </w:tr>
      <w:tr w:rsidR="008930D1" w:rsidRPr="008930D1" w14:paraId="2F3AF284"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17E53C63"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1. Tax Revenue</w:t>
            </w:r>
          </w:p>
        </w:tc>
        <w:tc>
          <w:tcPr>
            <w:tcW w:w="1080" w:type="dxa"/>
            <w:tcBorders>
              <w:top w:val="nil"/>
              <w:left w:val="nil"/>
              <w:bottom w:val="single" w:sz="4" w:space="0" w:color="auto"/>
              <w:right w:val="single" w:sz="4" w:space="0" w:color="auto"/>
            </w:tcBorders>
            <w:vAlign w:val="center"/>
            <w:hideMark/>
          </w:tcPr>
          <w:p w14:paraId="504A54B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8481.97 (8944.23)</w:t>
            </w:r>
          </w:p>
        </w:tc>
        <w:tc>
          <w:tcPr>
            <w:tcW w:w="1170" w:type="dxa"/>
            <w:tcBorders>
              <w:top w:val="nil"/>
              <w:left w:val="nil"/>
              <w:bottom w:val="single" w:sz="4" w:space="0" w:color="auto"/>
              <w:right w:val="single" w:sz="4" w:space="0" w:color="auto"/>
            </w:tcBorders>
            <w:vAlign w:val="center"/>
            <w:hideMark/>
          </w:tcPr>
          <w:p w14:paraId="4E9FE30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28418.32 (27906.13)</w:t>
            </w:r>
          </w:p>
        </w:tc>
        <w:tc>
          <w:tcPr>
            <w:tcW w:w="1080" w:type="dxa"/>
            <w:tcBorders>
              <w:top w:val="nil"/>
              <w:left w:val="nil"/>
              <w:bottom w:val="single" w:sz="4" w:space="0" w:color="auto"/>
              <w:right w:val="single" w:sz="4" w:space="0" w:color="auto"/>
            </w:tcBorders>
            <w:vAlign w:val="center"/>
            <w:hideMark/>
          </w:tcPr>
          <w:p w14:paraId="66D4ECB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78.35</w:t>
            </w:r>
          </w:p>
        </w:tc>
        <w:tc>
          <w:tcPr>
            <w:tcW w:w="1029" w:type="dxa"/>
            <w:tcBorders>
              <w:top w:val="nil"/>
              <w:left w:val="nil"/>
              <w:bottom w:val="single" w:sz="4" w:space="0" w:color="auto"/>
              <w:right w:val="single" w:sz="4" w:space="0" w:color="auto"/>
            </w:tcBorders>
            <w:vAlign w:val="center"/>
            <w:hideMark/>
          </w:tcPr>
          <w:p w14:paraId="11890CC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172.03</w:t>
            </w:r>
          </w:p>
        </w:tc>
        <w:tc>
          <w:tcPr>
            <w:tcW w:w="875" w:type="dxa"/>
            <w:tcBorders>
              <w:top w:val="nil"/>
              <w:left w:val="nil"/>
              <w:bottom w:val="single" w:sz="4" w:space="0" w:color="auto"/>
              <w:right w:val="single" w:sz="4" w:space="0" w:color="auto"/>
            </w:tcBorders>
            <w:vAlign w:val="center"/>
            <w:hideMark/>
          </w:tcPr>
          <w:p w14:paraId="51BC1D4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15.76</w:t>
            </w:r>
          </w:p>
        </w:tc>
        <w:tc>
          <w:tcPr>
            <w:tcW w:w="933" w:type="dxa"/>
            <w:tcBorders>
              <w:top w:val="nil"/>
              <w:left w:val="nil"/>
              <w:bottom w:val="single" w:sz="4" w:space="0" w:color="auto"/>
              <w:right w:val="single" w:sz="4" w:space="0" w:color="auto"/>
            </w:tcBorders>
            <w:vAlign w:val="center"/>
            <w:hideMark/>
          </w:tcPr>
          <w:p w14:paraId="38BB6D8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127.86</w:t>
            </w:r>
          </w:p>
        </w:tc>
        <w:tc>
          <w:tcPr>
            <w:tcW w:w="884" w:type="dxa"/>
            <w:tcBorders>
              <w:top w:val="nil"/>
              <w:left w:val="nil"/>
              <w:bottom w:val="single" w:sz="4" w:space="0" w:color="auto"/>
              <w:right w:val="single" w:sz="4" w:space="0" w:color="auto"/>
            </w:tcBorders>
            <w:vAlign w:val="center"/>
            <w:hideMark/>
          </w:tcPr>
          <w:p w14:paraId="0966AEB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2910.47 (2842.40)</w:t>
            </w:r>
          </w:p>
        </w:tc>
        <w:tc>
          <w:tcPr>
            <w:tcW w:w="898" w:type="dxa"/>
            <w:tcBorders>
              <w:top w:val="nil"/>
              <w:left w:val="nil"/>
              <w:bottom w:val="single" w:sz="4" w:space="0" w:color="auto"/>
              <w:right w:val="single" w:sz="4" w:space="0" w:color="auto"/>
            </w:tcBorders>
            <w:vAlign w:val="center"/>
            <w:hideMark/>
          </w:tcPr>
          <w:p w14:paraId="434A4D7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8291.05 (8017.48)</w:t>
            </w:r>
          </w:p>
        </w:tc>
        <w:tc>
          <w:tcPr>
            <w:tcW w:w="1023" w:type="dxa"/>
            <w:tcBorders>
              <w:top w:val="nil"/>
              <w:left w:val="nil"/>
              <w:bottom w:val="single" w:sz="4" w:space="0" w:color="auto"/>
              <w:right w:val="single" w:sz="4" w:space="0" w:color="auto"/>
            </w:tcBorders>
            <w:vAlign w:val="center"/>
            <w:hideMark/>
          </w:tcPr>
          <w:p w14:paraId="1489DE8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6499.86 (6796.73)</w:t>
            </w:r>
          </w:p>
        </w:tc>
        <w:tc>
          <w:tcPr>
            <w:tcW w:w="767" w:type="dxa"/>
            <w:tcBorders>
              <w:top w:val="nil"/>
              <w:left w:val="nil"/>
              <w:bottom w:val="single" w:sz="4" w:space="0" w:color="auto"/>
              <w:right w:val="single" w:sz="4" w:space="0" w:color="auto"/>
            </w:tcBorders>
            <w:vAlign w:val="center"/>
            <w:hideMark/>
          </w:tcPr>
          <w:p w14:paraId="082A281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77.68</w:t>
            </w:r>
          </w:p>
        </w:tc>
        <w:tc>
          <w:tcPr>
            <w:tcW w:w="960" w:type="dxa"/>
            <w:tcBorders>
              <w:top w:val="nil"/>
              <w:left w:val="nil"/>
              <w:bottom w:val="single" w:sz="4" w:space="0" w:color="auto"/>
              <w:right w:val="single" w:sz="4" w:space="0" w:color="auto"/>
            </w:tcBorders>
            <w:vAlign w:val="center"/>
            <w:hideMark/>
          </w:tcPr>
          <w:p w14:paraId="54511F1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17874.75 (17076.83)</w:t>
            </w:r>
          </w:p>
        </w:tc>
        <w:tc>
          <w:tcPr>
            <w:tcW w:w="817" w:type="dxa"/>
            <w:tcBorders>
              <w:top w:val="nil"/>
              <w:left w:val="nil"/>
              <w:bottom w:val="single" w:sz="4" w:space="0" w:color="auto"/>
              <w:right w:val="single" w:sz="4" w:space="0" w:color="auto"/>
            </w:tcBorders>
            <w:vAlign w:val="center"/>
            <w:hideMark/>
          </w:tcPr>
          <w:p w14:paraId="4723D28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119.85</w:t>
            </w:r>
          </w:p>
        </w:tc>
        <w:tc>
          <w:tcPr>
            <w:tcW w:w="890" w:type="dxa"/>
            <w:tcBorders>
              <w:top w:val="nil"/>
              <w:left w:val="nil"/>
              <w:bottom w:val="single" w:sz="4" w:space="0" w:color="auto"/>
              <w:right w:val="single" w:sz="4" w:space="0" w:color="auto"/>
            </w:tcBorders>
            <w:vAlign w:val="center"/>
            <w:hideMark/>
          </w:tcPr>
          <w:p w14:paraId="444FB4C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16081.98 (15280.67)</w:t>
            </w:r>
          </w:p>
        </w:tc>
        <w:tc>
          <w:tcPr>
            <w:tcW w:w="894" w:type="dxa"/>
            <w:tcBorders>
              <w:top w:val="nil"/>
              <w:left w:val="nil"/>
              <w:bottom w:val="single" w:sz="4" w:space="0" w:color="auto"/>
              <w:right w:val="single" w:sz="4" w:space="0" w:color="auto"/>
            </w:tcBorders>
            <w:vAlign w:val="center"/>
            <w:hideMark/>
          </w:tcPr>
          <w:p w14:paraId="40D7BB5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11653.82 (11949.94)</w:t>
            </w:r>
          </w:p>
        </w:tc>
      </w:tr>
      <w:tr w:rsidR="008930D1" w:rsidRPr="008930D1" w14:paraId="6020B216"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37679BD"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State Excise</w:t>
            </w:r>
          </w:p>
        </w:tc>
        <w:tc>
          <w:tcPr>
            <w:tcW w:w="1080" w:type="dxa"/>
            <w:tcBorders>
              <w:top w:val="nil"/>
              <w:left w:val="nil"/>
              <w:bottom w:val="single" w:sz="4" w:space="0" w:color="auto"/>
              <w:right w:val="single" w:sz="4" w:space="0" w:color="auto"/>
            </w:tcBorders>
            <w:vAlign w:val="center"/>
            <w:hideMark/>
          </w:tcPr>
          <w:p w14:paraId="7328FB9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1403.76 (1595.90)</w:t>
            </w:r>
          </w:p>
        </w:tc>
        <w:tc>
          <w:tcPr>
            <w:tcW w:w="1170" w:type="dxa"/>
            <w:tcBorders>
              <w:top w:val="nil"/>
              <w:left w:val="nil"/>
              <w:bottom w:val="single" w:sz="4" w:space="0" w:color="auto"/>
              <w:right w:val="single" w:sz="4" w:space="0" w:color="auto"/>
            </w:tcBorders>
            <w:vAlign w:val="center"/>
            <w:hideMark/>
          </w:tcPr>
          <w:p w14:paraId="06487E9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3774.40 (2833.40)</w:t>
            </w:r>
          </w:p>
        </w:tc>
        <w:tc>
          <w:tcPr>
            <w:tcW w:w="1080" w:type="dxa"/>
            <w:tcBorders>
              <w:top w:val="nil"/>
              <w:left w:val="nil"/>
              <w:bottom w:val="single" w:sz="4" w:space="0" w:color="auto"/>
              <w:right w:val="single" w:sz="4" w:space="0" w:color="auto"/>
            </w:tcBorders>
            <w:vAlign w:val="center"/>
            <w:hideMark/>
          </w:tcPr>
          <w:p w14:paraId="262E0DB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14.03</w:t>
            </w:r>
          </w:p>
        </w:tc>
        <w:tc>
          <w:tcPr>
            <w:tcW w:w="1029" w:type="dxa"/>
            <w:tcBorders>
              <w:top w:val="nil"/>
              <w:left w:val="nil"/>
              <w:bottom w:val="single" w:sz="4" w:space="0" w:color="auto"/>
              <w:right w:val="single" w:sz="4" w:space="0" w:color="auto"/>
            </w:tcBorders>
            <w:vAlign w:val="center"/>
            <w:hideMark/>
          </w:tcPr>
          <w:p w14:paraId="4FD05C8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43.47</w:t>
            </w:r>
          </w:p>
        </w:tc>
        <w:tc>
          <w:tcPr>
            <w:tcW w:w="875" w:type="dxa"/>
            <w:tcBorders>
              <w:top w:val="nil"/>
              <w:left w:val="nil"/>
              <w:bottom w:val="single" w:sz="4" w:space="0" w:color="auto"/>
              <w:right w:val="single" w:sz="4" w:space="0" w:color="auto"/>
            </w:tcBorders>
            <w:vAlign w:val="center"/>
            <w:hideMark/>
          </w:tcPr>
          <w:p w14:paraId="0779777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2.46</w:t>
            </w:r>
          </w:p>
        </w:tc>
        <w:tc>
          <w:tcPr>
            <w:tcW w:w="933" w:type="dxa"/>
            <w:tcBorders>
              <w:top w:val="nil"/>
              <w:left w:val="nil"/>
              <w:bottom w:val="single" w:sz="4" w:space="0" w:color="auto"/>
              <w:right w:val="single" w:sz="4" w:space="0" w:color="auto"/>
            </w:tcBorders>
            <w:vAlign w:val="center"/>
            <w:hideMark/>
          </w:tcPr>
          <w:p w14:paraId="59E9B9D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5.96</w:t>
            </w:r>
          </w:p>
        </w:tc>
        <w:tc>
          <w:tcPr>
            <w:tcW w:w="884" w:type="dxa"/>
            <w:tcBorders>
              <w:top w:val="nil"/>
              <w:left w:val="nil"/>
              <w:bottom w:val="single" w:sz="4" w:space="0" w:color="auto"/>
              <w:right w:val="single" w:sz="4" w:space="0" w:color="auto"/>
            </w:tcBorders>
            <w:vAlign w:val="center"/>
            <w:hideMark/>
          </w:tcPr>
          <w:p w14:paraId="768B7F9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267.54 (238.45)</w:t>
            </w:r>
          </w:p>
        </w:tc>
        <w:tc>
          <w:tcPr>
            <w:tcW w:w="898" w:type="dxa"/>
            <w:tcBorders>
              <w:top w:val="nil"/>
              <w:left w:val="nil"/>
              <w:bottom w:val="single" w:sz="4" w:space="0" w:color="auto"/>
              <w:right w:val="single" w:sz="4" w:space="0" w:color="auto"/>
            </w:tcBorders>
            <w:vAlign w:val="center"/>
            <w:hideMark/>
          </w:tcPr>
          <w:p w14:paraId="60AAA1D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2591.99 (2559.89)</w:t>
            </w:r>
          </w:p>
        </w:tc>
        <w:tc>
          <w:tcPr>
            <w:tcW w:w="1023" w:type="dxa"/>
            <w:tcBorders>
              <w:top w:val="nil"/>
              <w:left w:val="nil"/>
              <w:bottom w:val="single" w:sz="4" w:space="0" w:color="auto"/>
              <w:right w:val="single" w:sz="4" w:space="0" w:color="auto"/>
            </w:tcBorders>
            <w:vAlign w:val="center"/>
            <w:hideMark/>
          </w:tcPr>
          <w:p w14:paraId="0D0EA06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980.27 (1199.29)</w:t>
            </w:r>
          </w:p>
        </w:tc>
        <w:tc>
          <w:tcPr>
            <w:tcW w:w="767" w:type="dxa"/>
            <w:tcBorders>
              <w:top w:val="nil"/>
              <w:left w:val="nil"/>
              <w:bottom w:val="single" w:sz="4" w:space="0" w:color="auto"/>
              <w:right w:val="single" w:sz="4" w:space="0" w:color="auto"/>
            </w:tcBorders>
            <w:vAlign w:val="center"/>
            <w:hideMark/>
          </w:tcPr>
          <w:p w14:paraId="052B475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49.52</w:t>
            </w:r>
          </w:p>
        </w:tc>
        <w:tc>
          <w:tcPr>
            <w:tcW w:w="960" w:type="dxa"/>
            <w:tcBorders>
              <w:top w:val="nil"/>
              <w:left w:val="nil"/>
              <w:bottom w:val="single" w:sz="4" w:space="0" w:color="auto"/>
              <w:right w:val="single" w:sz="4" w:space="0" w:color="auto"/>
            </w:tcBorders>
            <w:vAlign w:val="center"/>
            <w:hideMark/>
          </w:tcPr>
          <w:p w14:paraId="685D6F0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1721.02 (1963.74)</w:t>
            </w:r>
          </w:p>
        </w:tc>
        <w:tc>
          <w:tcPr>
            <w:tcW w:w="817" w:type="dxa"/>
            <w:tcBorders>
              <w:top w:val="nil"/>
              <w:left w:val="nil"/>
              <w:bottom w:val="single" w:sz="4" w:space="0" w:color="auto"/>
              <w:right w:val="single" w:sz="4" w:space="0" w:color="auto"/>
            </w:tcBorders>
            <w:vAlign w:val="center"/>
            <w:hideMark/>
          </w:tcPr>
          <w:p w14:paraId="637890B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9.48</w:t>
            </w:r>
          </w:p>
        </w:tc>
        <w:tc>
          <w:tcPr>
            <w:tcW w:w="890" w:type="dxa"/>
            <w:tcBorders>
              <w:top w:val="nil"/>
              <w:left w:val="nil"/>
              <w:bottom w:val="single" w:sz="4" w:space="0" w:color="auto"/>
              <w:right w:val="single" w:sz="4" w:space="0" w:color="auto"/>
            </w:tcBorders>
            <w:vAlign w:val="center"/>
            <w:hideMark/>
          </w:tcPr>
          <w:p w14:paraId="2354B96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2938.95 (3003.08)</w:t>
            </w:r>
          </w:p>
        </w:tc>
        <w:tc>
          <w:tcPr>
            <w:tcW w:w="894" w:type="dxa"/>
            <w:tcBorders>
              <w:top w:val="nil"/>
              <w:left w:val="nil"/>
              <w:bottom w:val="single" w:sz="4" w:space="0" w:color="auto"/>
              <w:right w:val="single" w:sz="4" w:space="0" w:color="auto"/>
            </w:tcBorders>
            <w:vAlign w:val="center"/>
            <w:hideMark/>
          </w:tcPr>
          <w:p w14:paraId="0458DCF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984.27 (880.51)</w:t>
            </w:r>
          </w:p>
        </w:tc>
      </w:tr>
      <w:tr w:rsidR="008930D1" w:rsidRPr="008930D1" w14:paraId="0899998B"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615CDA1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 Sales Tax</w:t>
            </w:r>
          </w:p>
        </w:tc>
        <w:tc>
          <w:tcPr>
            <w:tcW w:w="1080" w:type="dxa"/>
            <w:tcBorders>
              <w:top w:val="nil"/>
              <w:left w:val="nil"/>
              <w:bottom w:val="single" w:sz="4" w:space="0" w:color="auto"/>
              <w:right w:val="single" w:sz="4" w:space="0" w:color="auto"/>
            </w:tcBorders>
            <w:vAlign w:val="center"/>
            <w:hideMark/>
          </w:tcPr>
          <w:p w14:paraId="4227BE5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4973.84 (4863.44)</w:t>
            </w:r>
          </w:p>
        </w:tc>
        <w:tc>
          <w:tcPr>
            <w:tcW w:w="1170" w:type="dxa"/>
            <w:tcBorders>
              <w:top w:val="nil"/>
              <w:left w:val="nil"/>
              <w:bottom w:val="single" w:sz="4" w:space="0" w:color="auto"/>
              <w:right w:val="single" w:sz="4" w:space="0" w:color="auto"/>
            </w:tcBorders>
            <w:vAlign w:val="center"/>
            <w:hideMark/>
          </w:tcPr>
          <w:p w14:paraId="09BDA72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18761.89 (18758.34)</w:t>
            </w:r>
          </w:p>
        </w:tc>
        <w:tc>
          <w:tcPr>
            <w:tcW w:w="1080" w:type="dxa"/>
            <w:tcBorders>
              <w:top w:val="nil"/>
              <w:left w:val="nil"/>
              <w:bottom w:val="single" w:sz="4" w:space="0" w:color="auto"/>
              <w:right w:val="single" w:sz="4" w:space="0" w:color="auto"/>
            </w:tcBorders>
            <w:vAlign w:val="center"/>
            <w:hideMark/>
          </w:tcPr>
          <w:p w14:paraId="4BC19E8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32.48</w:t>
            </w:r>
          </w:p>
        </w:tc>
        <w:tc>
          <w:tcPr>
            <w:tcW w:w="1029" w:type="dxa"/>
            <w:tcBorders>
              <w:top w:val="nil"/>
              <w:left w:val="nil"/>
              <w:bottom w:val="single" w:sz="4" w:space="0" w:color="auto"/>
              <w:right w:val="single" w:sz="4" w:space="0" w:color="auto"/>
            </w:tcBorders>
            <w:vAlign w:val="center"/>
            <w:hideMark/>
          </w:tcPr>
          <w:p w14:paraId="5DEBF02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91.6</w:t>
            </w:r>
          </w:p>
        </w:tc>
        <w:tc>
          <w:tcPr>
            <w:tcW w:w="875" w:type="dxa"/>
            <w:tcBorders>
              <w:top w:val="nil"/>
              <w:left w:val="nil"/>
              <w:bottom w:val="single" w:sz="4" w:space="0" w:color="auto"/>
              <w:right w:val="single" w:sz="4" w:space="0" w:color="auto"/>
            </w:tcBorders>
            <w:vAlign w:val="center"/>
            <w:hideMark/>
          </w:tcPr>
          <w:p w14:paraId="3F68976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3.5</w:t>
            </w:r>
          </w:p>
        </w:tc>
        <w:tc>
          <w:tcPr>
            <w:tcW w:w="933" w:type="dxa"/>
            <w:tcBorders>
              <w:top w:val="nil"/>
              <w:left w:val="nil"/>
              <w:bottom w:val="single" w:sz="4" w:space="0" w:color="auto"/>
              <w:right w:val="single" w:sz="4" w:space="0" w:color="auto"/>
            </w:tcBorders>
            <w:vAlign w:val="center"/>
            <w:hideMark/>
          </w:tcPr>
          <w:p w14:paraId="2A84393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97.28</w:t>
            </w:r>
          </w:p>
        </w:tc>
        <w:tc>
          <w:tcPr>
            <w:tcW w:w="884" w:type="dxa"/>
            <w:tcBorders>
              <w:top w:val="nil"/>
              <w:left w:val="nil"/>
              <w:bottom w:val="single" w:sz="4" w:space="0" w:color="auto"/>
              <w:right w:val="single" w:sz="4" w:space="0" w:color="auto"/>
            </w:tcBorders>
            <w:vAlign w:val="center"/>
            <w:hideMark/>
          </w:tcPr>
          <w:p w14:paraId="2D937F5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2087.38 (1998.74)</w:t>
            </w:r>
          </w:p>
        </w:tc>
        <w:tc>
          <w:tcPr>
            <w:tcW w:w="898" w:type="dxa"/>
            <w:tcBorders>
              <w:top w:val="nil"/>
              <w:left w:val="nil"/>
              <w:bottom w:val="single" w:sz="4" w:space="0" w:color="auto"/>
              <w:right w:val="single" w:sz="4" w:space="0" w:color="auto"/>
            </w:tcBorders>
            <w:vAlign w:val="center"/>
            <w:hideMark/>
          </w:tcPr>
          <w:p w14:paraId="0E892BB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4144.66 (3850.35)</w:t>
            </w:r>
          </w:p>
        </w:tc>
        <w:tc>
          <w:tcPr>
            <w:tcW w:w="1023" w:type="dxa"/>
            <w:tcBorders>
              <w:top w:val="nil"/>
              <w:left w:val="nil"/>
              <w:bottom w:val="single" w:sz="4" w:space="0" w:color="auto"/>
              <w:right w:val="single" w:sz="4" w:space="0" w:color="auto"/>
            </w:tcBorders>
            <w:vAlign w:val="center"/>
            <w:hideMark/>
          </w:tcPr>
          <w:p w14:paraId="3F5DB4D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4117.54 (4276.98)</w:t>
            </w:r>
          </w:p>
        </w:tc>
        <w:tc>
          <w:tcPr>
            <w:tcW w:w="767" w:type="dxa"/>
            <w:tcBorders>
              <w:top w:val="nil"/>
              <w:left w:val="nil"/>
              <w:bottom w:val="single" w:sz="4" w:space="0" w:color="auto"/>
              <w:right w:val="single" w:sz="4" w:space="0" w:color="auto"/>
            </w:tcBorders>
            <w:vAlign w:val="center"/>
            <w:hideMark/>
          </w:tcPr>
          <w:p w14:paraId="08EE5A0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16.62</w:t>
            </w:r>
          </w:p>
        </w:tc>
        <w:tc>
          <w:tcPr>
            <w:tcW w:w="960" w:type="dxa"/>
            <w:tcBorders>
              <w:top w:val="nil"/>
              <w:left w:val="nil"/>
              <w:bottom w:val="single" w:sz="4" w:space="0" w:color="auto"/>
              <w:right w:val="single" w:sz="4" w:space="0" w:color="auto"/>
            </w:tcBorders>
            <w:vAlign w:val="center"/>
            <w:hideMark/>
          </w:tcPr>
          <w:p w14:paraId="3B01209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12492.98 (11274.43)</w:t>
            </w:r>
          </w:p>
        </w:tc>
        <w:tc>
          <w:tcPr>
            <w:tcW w:w="817" w:type="dxa"/>
            <w:tcBorders>
              <w:top w:val="nil"/>
              <w:left w:val="nil"/>
              <w:bottom w:val="single" w:sz="4" w:space="0" w:color="auto"/>
              <w:right w:val="single" w:sz="4" w:space="0" w:color="auto"/>
            </w:tcBorders>
            <w:vAlign w:val="center"/>
            <w:hideMark/>
          </w:tcPr>
          <w:p w14:paraId="354C8E2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73.57</w:t>
            </w:r>
          </w:p>
        </w:tc>
        <w:tc>
          <w:tcPr>
            <w:tcW w:w="890" w:type="dxa"/>
            <w:tcBorders>
              <w:top w:val="nil"/>
              <w:left w:val="nil"/>
              <w:bottom w:val="single" w:sz="4" w:space="0" w:color="auto"/>
              <w:right w:val="single" w:sz="4" w:space="0" w:color="auto"/>
            </w:tcBorders>
            <w:vAlign w:val="center"/>
            <w:hideMark/>
          </w:tcPr>
          <w:p w14:paraId="54F6890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9181.96 (8225.67)</w:t>
            </w:r>
          </w:p>
        </w:tc>
        <w:tc>
          <w:tcPr>
            <w:tcW w:w="894" w:type="dxa"/>
            <w:tcBorders>
              <w:top w:val="nil"/>
              <w:left w:val="nil"/>
              <w:bottom w:val="single" w:sz="4" w:space="0" w:color="auto"/>
              <w:right w:val="single" w:sz="4" w:space="0" w:color="auto"/>
            </w:tcBorders>
            <w:vAlign w:val="center"/>
            <w:hideMark/>
          </w:tcPr>
          <w:p w14:paraId="10F4562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7881.23 (7893.14)</w:t>
            </w:r>
          </w:p>
        </w:tc>
      </w:tr>
      <w:tr w:rsidR="008930D1" w:rsidRPr="008930D1" w14:paraId="5A32B026"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7A423A5"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Others</w:t>
            </w:r>
          </w:p>
        </w:tc>
        <w:tc>
          <w:tcPr>
            <w:tcW w:w="1080" w:type="dxa"/>
            <w:tcBorders>
              <w:top w:val="nil"/>
              <w:left w:val="nil"/>
              <w:bottom w:val="single" w:sz="4" w:space="0" w:color="auto"/>
              <w:right w:val="single" w:sz="4" w:space="0" w:color="auto"/>
            </w:tcBorders>
            <w:vAlign w:val="center"/>
            <w:hideMark/>
          </w:tcPr>
          <w:p w14:paraId="3EF8229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2104.37 (2484.89)</w:t>
            </w:r>
          </w:p>
        </w:tc>
        <w:tc>
          <w:tcPr>
            <w:tcW w:w="1170" w:type="dxa"/>
            <w:tcBorders>
              <w:top w:val="nil"/>
              <w:left w:val="nil"/>
              <w:bottom w:val="single" w:sz="4" w:space="0" w:color="auto"/>
              <w:right w:val="single" w:sz="4" w:space="0" w:color="auto"/>
            </w:tcBorders>
            <w:vAlign w:val="center"/>
            <w:hideMark/>
          </w:tcPr>
          <w:p w14:paraId="5054F1A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5882.03 (6314.39)</w:t>
            </w:r>
          </w:p>
        </w:tc>
        <w:tc>
          <w:tcPr>
            <w:tcW w:w="1080" w:type="dxa"/>
            <w:tcBorders>
              <w:top w:val="nil"/>
              <w:left w:val="nil"/>
              <w:bottom w:val="single" w:sz="4" w:space="0" w:color="auto"/>
              <w:right w:val="single" w:sz="4" w:space="0" w:color="auto"/>
            </w:tcBorders>
            <w:vAlign w:val="center"/>
            <w:hideMark/>
          </w:tcPr>
          <w:p w14:paraId="65C7368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31.84</w:t>
            </w:r>
          </w:p>
        </w:tc>
        <w:tc>
          <w:tcPr>
            <w:tcW w:w="1029" w:type="dxa"/>
            <w:tcBorders>
              <w:top w:val="nil"/>
              <w:left w:val="nil"/>
              <w:bottom w:val="single" w:sz="4" w:space="0" w:color="auto"/>
              <w:right w:val="single" w:sz="4" w:space="0" w:color="auto"/>
            </w:tcBorders>
            <w:vAlign w:val="center"/>
            <w:hideMark/>
          </w:tcPr>
          <w:p w14:paraId="268304D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36.96</w:t>
            </w:r>
          </w:p>
        </w:tc>
        <w:tc>
          <w:tcPr>
            <w:tcW w:w="875" w:type="dxa"/>
            <w:tcBorders>
              <w:top w:val="nil"/>
              <w:left w:val="nil"/>
              <w:bottom w:val="single" w:sz="4" w:space="0" w:color="auto"/>
              <w:right w:val="single" w:sz="4" w:space="0" w:color="auto"/>
            </w:tcBorders>
            <w:vAlign w:val="center"/>
            <w:hideMark/>
          </w:tcPr>
          <w:p w14:paraId="0B5CE63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9.8</w:t>
            </w:r>
          </w:p>
        </w:tc>
        <w:tc>
          <w:tcPr>
            <w:tcW w:w="933" w:type="dxa"/>
            <w:tcBorders>
              <w:top w:val="nil"/>
              <w:left w:val="nil"/>
              <w:bottom w:val="single" w:sz="4" w:space="0" w:color="auto"/>
              <w:right w:val="single" w:sz="4" w:space="0" w:color="auto"/>
            </w:tcBorders>
            <w:vAlign w:val="center"/>
            <w:hideMark/>
          </w:tcPr>
          <w:p w14:paraId="05F7FA5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24.62</w:t>
            </w:r>
          </w:p>
        </w:tc>
        <w:tc>
          <w:tcPr>
            <w:tcW w:w="884" w:type="dxa"/>
            <w:tcBorders>
              <w:top w:val="nil"/>
              <w:left w:val="nil"/>
              <w:bottom w:val="single" w:sz="4" w:space="0" w:color="auto"/>
              <w:right w:val="single" w:sz="4" w:space="0" w:color="auto"/>
            </w:tcBorders>
            <w:vAlign w:val="center"/>
            <w:hideMark/>
          </w:tcPr>
          <w:p w14:paraId="154A82F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555.55 (605.21)</w:t>
            </w:r>
          </w:p>
        </w:tc>
        <w:tc>
          <w:tcPr>
            <w:tcW w:w="898" w:type="dxa"/>
            <w:tcBorders>
              <w:top w:val="nil"/>
              <w:left w:val="nil"/>
              <w:bottom w:val="single" w:sz="4" w:space="0" w:color="auto"/>
              <w:right w:val="single" w:sz="4" w:space="0" w:color="auto"/>
            </w:tcBorders>
            <w:vAlign w:val="center"/>
            <w:hideMark/>
          </w:tcPr>
          <w:p w14:paraId="668FF90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1554.40 (1607.24)</w:t>
            </w:r>
          </w:p>
        </w:tc>
        <w:tc>
          <w:tcPr>
            <w:tcW w:w="1023" w:type="dxa"/>
            <w:tcBorders>
              <w:top w:val="nil"/>
              <w:left w:val="nil"/>
              <w:bottom w:val="single" w:sz="4" w:space="0" w:color="auto"/>
              <w:right w:val="single" w:sz="4" w:space="0" w:color="auto"/>
            </w:tcBorders>
            <w:vAlign w:val="center"/>
            <w:hideMark/>
          </w:tcPr>
          <w:p w14:paraId="3C51689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1402.05 (1320.47)</w:t>
            </w:r>
          </w:p>
        </w:tc>
        <w:tc>
          <w:tcPr>
            <w:tcW w:w="767" w:type="dxa"/>
            <w:tcBorders>
              <w:top w:val="nil"/>
              <w:left w:val="nil"/>
              <w:bottom w:val="single" w:sz="4" w:space="0" w:color="auto"/>
              <w:right w:val="single" w:sz="4" w:space="0" w:color="auto"/>
            </w:tcBorders>
            <w:vAlign w:val="center"/>
            <w:hideMark/>
          </w:tcPr>
          <w:p w14:paraId="1A25798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11.54</w:t>
            </w:r>
          </w:p>
        </w:tc>
        <w:tc>
          <w:tcPr>
            <w:tcW w:w="960" w:type="dxa"/>
            <w:tcBorders>
              <w:top w:val="nil"/>
              <w:left w:val="nil"/>
              <w:bottom w:val="single" w:sz="4" w:space="0" w:color="auto"/>
              <w:right w:val="single" w:sz="4" w:space="0" w:color="auto"/>
            </w:tcBorders>
            <w:vAlign w:val="center"/>
            <w:hideMark/>
          </w:tcPr>
          <w:p w14:paraId="2AB3739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3660.75 (3838.66)</w:t>
            </w:r>
          </w:p>
        </w:tc>
        <w:tc>
          <w:tcPr>
            <w:tcW w:w="817" w:type="dxa"/>
            <w:tcBorders>
              <w:top w:val="nil"/>
              <w:left w:val="nil"/>
              <w:bottom w:val="single" w:sz="4" w:space="0" w:color="auto"/>
              <w:right w:val="single" w:sz="4" w:space="0" w:color="auto"/>
            </w:tcBorders>
            <w:vAlign w:val="center"/>
            <w:hideMark/>
          </w:tcPr>
          <w:p w14:paraId="4165B83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36.8</w:t>
            </w:r>
          </w:p>
        </w:tc>
        <w:tc>
          <w:tcPr>
            <w:tcW w:w="890" w:type="dxa"/>
            <w:tcBorders>
              <w:top w:val="nil"/>
              <w:left w:val="nil"/>
              <w:bottom w:val="single" w:sz="4" w:space="0" w:color="auto"/>
              <w:right w:val="single" w:sz="4" w:space="0" w:color="auto"/>
            </w:tcBorders>
            <w:vAlign w:val="center"/>
            <w:hideMark/>
          </w:tcPr>
          <w:p w14:paraId="765868A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3961.07 (4051.92)</w:t>
            </w:r>
          </w:p>
        </w:tc>
        <w:tc>
          <w:tcPr>
            <w:tcW w:w="894" w:type="dxa"/>
            <w:tcBorders>
              <w:top w:val="nil"/>
              <w:left w:val="nil"/>
              <w:bottom w:val="single" w:sz="4" w:space="0" w:color="auto"/>
              <w:right w:val="single" w:sz="4" w:space="0" w:color="auto"/>
            </w:tcBorders>
            <w:vAlign w:val="center"/>
            <w:hideMark/>
          </w:tcPr>
          <w:p w14:paraId="38B3864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2788.32 (3176.29)</w:t>
            </w:r>
          </w:p>
        </w:tc>
      </w:tr>
      <w:tr w:rsidR="008930D1" w:rsidRPr="008930D1" w14:paraId="37854C3F"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659C8CA7"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2. Non-Tax Revenue</w:t>
            </w:r>
          </w:p>
        </w:tc>
        <w:tc>
          <w:tcPr>
            <w:tcW w:w="1080" w:type="dxa"/>
            <w:tcBorders>
              <w:top w:val="nil"/>
              <w:left w:val="nil"/>
              <w:bottom w:val="single" w:sz="4" w:space="0" w:color="auto"/>
              <w:right w:val="single" w:sz="4" w:space="0" w:color="auto"/>
            </w:tcBorders>
            <w:vAlign w:val="center"/>
            <w:hideMark/>
          </w:tcPr>
          <w:p w14:paraId="41CCBD4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4735.63</w:t>
            </w:r>
          </w:p>
        </w:tc>
        <w:tc>
          <w:tcPr>
            <w:tcW w:w="1170" w:type="dxa"/>
            <w:tcBorders>
              <w:top w:val="nil"/>
              <w:left w:val="nil"/>
              <w:bottom w:val="single" w:sz="4" w:space="0" w:color="auto"/>
              <w:right w:val="single" w:sz="4" w:space="0" w:color="auto"/>
            </w:tcBorders>
            <w:vAlign w:val="center"/>
            <w:hideMark/>
          </w:tcPr>
          <w:p w14:paraId="6685579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8417.64</w:t>
            </w:r>
          </w:p>
        </w:tc>
        <w:tc>
          <w:tcPr>
            <w:tcW w:w="1080" w:type="dxa"/>
            <w:tcBorders>
              <w:top w:val="nil"/>
              <w:left w:val="nil"/>
              <w:bottom w:val="single" w:sz="4" w:space="0" w:color="auto"/>
              <w:right w:val="single" w:sz="4" w:space="0" w:color="auto"/>
            </w:tcBorders>
            <w:vAlign w:val="center"/>
            <w:hideMark/>
          </w:tcPr>
          <w:p w14:paraId="247EABD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83.47</w:t>
            </w:r>
          </w:p>
        </w:tc>
        <w:tc>
          <w:tcPr>
            <w:tcW w:w="1029" w:type="dxa"/>
            <w:tcBorders>
              <w:top w:val="nil"/>
              <w:left w:val="nil"/>
              <w:bottom w:val="single" w:sz="4" w:space="0" w:color="auto"/>
              <w:right w:val="single" w:sz="4" w:space="0" w:color="auto"/>
            </w:tcBorders>
            <w:vAlign w:val="center"/>
            <w:hideMark/>
          </w:tcPr>
          <w:p w14:paraId="2A939C2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124.92</w:t>
            </w:r>
          </w:p>
        </w:tc>
        <w:tc>
          <w:tcPr>
            <w:tcW w:w="875" w:type="dxa"/>
            <w:tcBorders>
              <w:top w:val="nil"/>
              <w:left w:val="nil"/>
              <w:bottom w:val="single" w:sz="4" w:space="0" w:color="auto"/>
              <w:right w:val="single" w:sz="4" w:space="0" w:color="auto"/>
            </w:tcBorders>
            <w:vAlign w:val="center"/>
            <w:hideMark/>
          </w:tcPr>
          <w:p w14:paraId="7BDAEC8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42.79</w:t>
            </w:r>
          </w:p>
        </w:tc>
        <w:tc>
          <w:tcPr>
            <w:tcW w:w="933" w:type="dxa"/>
            <w:tcBorders>
              <w:top w:val="nil"/>
              <w:left w:val="nil"/>
              <w:bottom w:val="single" w:sz="4" w:space="0" w:color="auto"/>
              <w:right w:val="single" w:sz="4" w:space="0" w:color="auto"/>
            </w:tcBorders>
            <w:vAlign w:val="center"/>
            <w:hideMark/>
          </w:tcPr>
          <w:p w14:paraId="18B08E6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99.16</w:t>
            </w:r>
          </w:p>
        </w:tc>
        <w:tc>
          <w:tcPr>
            <w:tcW w:w="884" w:type="dxa"/>
            <w:tcBorders>
              <w:top w:val="nil"/>
              <w:left w:val="nil"/>
              <w:bottom w:val="single" w:sz="4" w:space="0" w:color="auto"/>
              <w:right w:val="single" w:sz="4" w:space="0" w:color="auto"/>
            </w:tcBorders>
            <w:vAlign w:val="center"/>
            <w:hideMark/>
          </w:tcPr>
          <w:p w14:paraId="4854927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1820.64</w:t>
            </w:r>
          </w:p>
        </w:tc>
        <w:tc>
          <w:tcPr>
            <w:tcW w:w="898" w:type="dxa"/>
            <w:tcBorders>
              <w:top w:val="nil"/>
              <w:left w:val="nil"/>
              <w:bottom w:val="single" w:sz="4" w:space="0" w:color="auto"/>
              <w:right w:val="single" w:sz="4" w:space="0" w:color="auto"/>
            </w:tcBorders>
            <w:vAlign w:val="center"/>
            <w:hideMark/>
          </w:tcPr>
          <w:p w14:paraId="6F84834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1717.52</w:t>
            </w:r>
          </w:p>
        </w:tc>
        <w:tc>
          <w:tcPr>
            <w:tcW w:w="1023" w:type="dxa"/>
            <w:tcBorders>
              <w:top w:val="nil"/>
              <w:left w:val="nil"/>
              <w:bottom w:val="single" w:sz="4" w:space="0" w:color="auto"/>
              <w:right w:val="single" w:sz="4" w:space="0" w:color="auto"/>
            </w:tcBorders>
            <w:vAlign w:val="center"/>
            <w:hideMark/>
          </w:tcPr>
          <w:p w14:paraId="49ADFC2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2052.5</w:t>
            </w:r>
          </w:p>
        </w:tc>
        <w:tc>
          <w:tcPr>
            <w:tcW w:w="767" w:type="dxa"/>
            <w:tcBorders>
              <w:top w:val="nil"/>
              <w:left w:val="nil"/>
              <w:bottom w:val="single" w:sz="4" w:space="0" w:color="auto"/>
              <w:right w:val="single" w:sz="4" w:space="0" w:color="auto"/>
            </w:tcBorders>
            <w:vAlign w:val="center"/>
            <w:hideMark/>
          </w:tcPr>
          <w:p w14:paraId="32AF8CF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50.05</w:t>
            </w:r>
          </w:p>
        </w:tc>
        <w:tc>
          <w:tcPr>
            <w:tcW w:w="960" w:type="dxa"/>
            <w:tcBorders>
              <w:top w:val="nil"/>
              <w:left w:val="nil"/>
              <w:bottom w:val="single" w:sz="4" w:space="0" w:color="auto"/>
              <w:right w:val="single" w:sz="4" w:space="0" w:color="auto"/>
            </w:tcBorders>
            <w:vAlign w:val="center"/>
            <w:hideMark/>
          </w:tcPr>
          <w:p w14:paraId="13C05C1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1884.53</w:t>
            </w:r>
          </w:p>
        </w:tc>
        <w:tc>
          <w:tcPr>
            <w:tcW w:w="817" w:type="dxa"/>
            <w:tcBorders>
              <w:top w:val="nil"/>
              <w:left w:val="nil"/>
              <w:bottom w:val="single" w:sz="4" w:space="0" w:color="auto"/>
              <w:right w:val="single" w:sz="4" w:space="0" w:color="auto"/>
            </w:tcBorders>
            <w:vAlign w:val="center"/>
            <w:hideMark/>
          </w:tcPr>
          <w:p w14:paraId="5599AF3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140.28</w:t>
            </w:r>
          </w:p>
        </w:tc>
        <w:tc>
          <w:tcPr>
            <w:tcW w:w="890" w:type="dxa"/>
            <w:tcBorders>
              <w:top w:val="nil"/>
              <w:left w:val="nil"/>
              <w:bottom w:val="single" w:sz="4" w:space="0" w:color="auto"/>
              <w:right w:val="single" w:sz="4" w:space="0" w:color="auto"/>
            </w:tcBorders>
            <w:vAlign w:val="center"/>
            <w:hideMark/>
          </w:tcPr>
          <w:p w14:paraId="03E3375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3877.42</w:t>
            </w:r>
          </w:p>
        </w:tc>
        <w:tc>
          <w:tcPr>
            <w:tcW w:w="894" w:type="dxa"/>
            <w:tcBorders>
              <w:top w:val="nil"/>
              <w:left w:val="nil"/>
              <w:bottom w:val="single" w:sz="4" w:space="0" w:color="auto"/>
              <w:right w:val="single" w:sz="4" w:space="0" w:color="auto"/>
            </w:tcBorders>
            <w:vAlign w:val="center"/>
            <w:hideMark/>
          </w:tcPr>
          <w:p w14:paraId="3ECF734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3987.22</w:t>
            </w:r>
          </w:p>
        </w:tc>
      </w:tr>
      <w:tr w:rsidR="008930D1" w:rsidRPr="008930D1" w14:paraId="0934828E"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FCAD93E"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Interest Receipts</w:t>
            </w:r>
          </w:p>
        </w:tc>
        <w:tc>
          <w:tcPr>
            <w:tcW w:w="1080" w:type="dxa"/>
            <w:tcBorders>
              <w:top w:val="nil"/>
              <w:left w:val="nil"/>
              <w:bottom w:val="single" w:sz="4" w:space="0" w:color="auto"/>
              <w:right w:val="single" w:sz="4" w:space="0" w:color="auto"/>
            </w:tcBorders>
            <w:vAlign w:val="center"/>
            <w:hideMark/>
          </w:tcPr>
          <w:p w14:paraId="73FCD68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170" w:type="dxa"/>
            <w:tcBorders>
              <w:top w:val="nil"/>
              <w:left w:val="nil"/>
              <w:bottom w:val="single" w:sz="4" w:space="0" w:color="auto"/>
              <w:right w:val="single" w:sz="4" w:space="0" w:color="auto"/>
            </w:tcBorders>
            <w:vAlign w:val="center"/>
            <w:hideMark/>
          </w:tcPr>
          <w:p w14:paraId="45BE929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80" w:type="dxa"/>
            <w:tcBorders>
              <w:top w:val="nil"/>
              <w:left w:val="nil"/>
              <w:bottom w:val="single" w:sz="4" w:space="0" w:color="auto"/>
              <w:right w:val="single" w:sz="4" w:space="0" w:color="auto"/>
            </w:tcBorders>
            <w:vAlign w:val="center"/>
            <w:hideMark/>
          </w:tcPr>
          <w:p w14:paraId="3B0AA8D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9" w:type="dxa"/>
            <w:tcBorders>
              <w:top w:val="nil"/>
              <w:left w:val="nil"/>
              <w:bottom w:val="single" w:sz="4" w:space="0" w:color="auto"/>
              <w:right w:val="single" w:sz="4" w:space="0" w:color="auto"/>
            </w:tcBorders>
            <w:vAlign w:val="center"/>
            <w:hideMark/>
          </w:tcPr>
          <w:p w14:paraId="22FAF40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75" w:type="dxa"/>
            <w:tcBorders>
              <w:top w:val="nil"/>
              <w:left w:val="nil"/>
              <w:bottom w:val="single" w:sz="4" w:space="0" w:color="auto"/>
              <w:right w:val="single" w:sz="4" w:space="0" w:color="auto"/>
            </w:tcBorders>
            <w:vAlign w:val="center"/>
            <w:hideMark/>
          </w:tcPr>
          <w:p w14:paraId="106F85E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33" w:type="dxa"/>
            <w:tcBorders>
              <w:top w:val="nil"/>
              <w:left w:val="nil"/>
              <w:bottom w:val="single" w:sz="4" w:space="0" w:color="auto"/>
              <w:right w:val="single" w:sz="4" w:space="0" w:color="auto"/>
            </w:tcBorders>
            <w:vAlign w:val="center"/>
            <w:hideMark/>
          </w:tcPr>
          <w:p w14:paraId="2171E4D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84" w:type="dxa"/>
            <w:tcBorders>
              <w:top w:val="nil"/>
              <w:left w:val="nil"/>
              <w:bottom w:val="single" w:sz="4" w:space="0" w:color="auto"/>
              <w:right w:val="single" w:sz="4" w:space="0" w:color="auto"/>
            </w:tcBorders>
            <w:vAlign w:val="center"/>
            <w:hideMark/>
          </w:tcPr>
          <w:p w14:paraId="2963C1E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8" w:type="dxa"/>
            <w:tcBorders>
              <w:top w:val="nil"/>
              <w:left w:val="nil"/>
              <w:bottom w:val="single" w:sz="4" w:space="0" w:color="auto"/>
              <w:right w:val="single" w:sz="4" w:space="0" w:color="auto"/>
            </w:tcBorders>
            <w:vAlign w:val="center"/>
            <w:hideMark/>
          </w:tcPr>
          <w:p w14:paraId="73117EB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381.89</w:t>
            </w:r>
          </w:p>
        </w:tc>
        <w:tc>
          <w:tcPr>
            <w:tcW w:w="1023" w:type="dxa"/>
            <w:tcBorders>
              <w:top w:val="nil"/>
              <w:left w:val="nil"/>
              <w:bottom w:val="single" w:sz="4" w:space="0" w:color="auto"/>
              <w:right w:val="single" w:sz="4" w:space="0" w:color="auto"/>
            </w:tcBorders>
            <w:vAlign w:val="center"/>
            <w:hideMark/>
          </w:tcPr>
          <w:p w14:paraId="0136681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767" w:type="dxa"/>
            <w:tcBorders>
              <w:top w:val="nil"/>
              <w:left w:val="nil"/>
              <w:bottom w:val="single" w:sz="4" w:space="0" w:color="auto"/>
              <w:right w:val="single" w:sz="4" w:space="0" w:color="auto"/>
            </w:tcBorders>
            <w:vAlign w:val="center"/>
            <w:hideMark/>
          </w:tcPr>
          <w:p w14:paraId="1F43930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60" w:type="dxa"/>
            <w:tcBorders>
              <w:top w:val="nil"/>
              <w:left w:val="nil"/>
              <w:bottom w:val="single" w:sz="4" w:space="0" w:color="auto"/>
              <w:right w:val="single" w:sz="4" w:space="0" w:color="auto"/>
            </w:tcBorders>
            <w:vAlign w:val="center"/>
            <w:hideMark/>
          </w:tcPr>
          <w:p w14:paraId="7E6BF2C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362.48</w:t>
            </w:r>
          </w:p>
        </w:tc>
        <w:tc>
          <w:tcPr>
            <w:tcW w:w="817" w:type="dxa"/>
            <w:tcBorders>
              <w:top w:val="nil"/>
              <w:left w:val="nil"/>
              <w:bottom w:val="single" w:sz="4" w:space="0" w:color="auto"/>
              <w:right w:val="single" w:sz="4" w:space="0" w:color="auto"/>
            </w:tcBorders>
            <w:vAlign w:val="center"/>
            <w:hideMark/>
          </w:tcPr>
          <w:p w14:paraId="0E4E422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0" w:type="dxa"/>
            <w:tcBorders>
              <w:top w:val="nil"/>
              <w:left w:val="nil"/>
              <w:bottom w:val="single" w:sz="4" w:space="0" w:color="auto"/>
              <w:right w:val="single" w:sz="4" w:space="0" w:color="auto"/>
            </w:tcBorders>
            <w:vAlign w:val="center"/>
            <w:hideMark/>
          </w:tcPr>
          <w:p w14:paraId="6B4BCF4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517.35</w:t>
            </w:r>
          </w:p>
        </w:tc>
        <w:tc>
          <w:tcPr>
            <w:tcW w:w="894" w:type="dxa"/>
            <w:tcBorders>
              <w:top w:val="nil"/>
              <w:left w:val="nil"/>
              <w:bottom w:val="single" w:sz="4" w:space="0" w:color="auto"/>
              <w:right w:val="single" w:sz="4" w:space="0" w:color="auto"/>
            </w:tcBorders>
            <w:vAlign w:val="center"/>
            <w:hideMark/>
          </w:tcPr>
          <w:p w14:paraId="565B576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r>
      <w:tr w:rsidR="008930D1" w:rsidRPr="008930D1" w14:paraId="1F060B7C"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3E81324A" w14:textId="11CC5F6F"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(a) SEB</w:t>
            </w:r>
          </w:p>
        </w:tc>
        <w:tc>
          <w:tcPr>
            <w:tcW w:w="1080" w:type="dxa"/>
            <w:tcBorders>
              <w:top w:val="nil"/>
              <w:left w:val="nil"/>
              <w:bottom w:val="single" w:sz="4" w:space="0" w:color="auto"/>
              <w:right w:val="single" w:sz="4" w:space="0" w:color="auto"/>
            </w:tcBorders>
            <w:vAlign w:val="center"/>
            <w:hideMark/>
          </w:tcPr>
          <w:p w14:paraId="7D731D4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170" w:type="dxa"/>
            <w:tcBorders>
              <w:top w:val="nil"/>
              <w:left w:val="nil"/>
              <w:bottom w:val="single" w:sz="4" w:space="0" w:color="auto"/>
              <w:right w:val="single" w:sz="4" w:space="0" w:color="auto"/>
            </w:tcBorders>
            <w:vAlign w:val="center"/>
            <w:hideMark/>
          </w:tcPr>
          <w:p w14:paraId="4436B87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80" w:type="dxa"/>
            <w:tcBorders>
              <w:top w:val="nil"/>
              <w:left w:val="nil"/>
              <w:bottom w:val="single" w:sz="4" w:space="0" w:color="auto"/>
              <w:right w:val="single" w:sz="4" w:space="0" w:color="auto"/>
            </w:tcBorders>
            <w:vAlign w:val="center"/>
            <w:hideMark/>
          </w:tcPr>
          <w:p w14:paraId="02502D6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9" w:type="dxa"/>
            <w:tcBorders>
              <w:top w:val="nil"/>
              <w:left w:val="nil"/>
              <w:bottom w:val="single" w:sz="4" w:space="0" w:color="auto"/>
              <w:right w:val="single" w:sz="4" w:space="0" w:color="auto"/>
            </w:tcBorders>
            <w:vAlign w:val="center"/>
            <w:hideMark/>
          </w:tcPr>
          <w:p w14:paraId="58EAF01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75" w:type="dxa"/>
            <w:tcBorders>
              <w:top w:val="nil"/>
              <w:left w:val="nil"/>
              <w:bottom w:val="single" w:sz="4" w:space="0" w:color="auto"/>
              <w:right w:val="single" w:sz="4" w:space="0" w:color="auto"/>
            </w:tcBorders>
            <w:vAlign w:val="center"/>
            <w:hideMark/>
          </w:tcPr>
          <w:p w14:paraId="480A294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33" w:type="dxa"/>
            <w:tcBorders>
              <w:top w:val="nil"/>
              <w:left w:val="nil"/>
              <w:bottom w:val="single" w:sz="4" w:space="0" w:color="auto"/>
              <w:right w:val="single" w:sz="4" w:space="0" w:color="auto"/>
            </w:tcBorders>
            <w:vAlign w:val="center"/>
            <w:hideMark/>
          </w:tcPr>
          <w:p w14:paraId="48DE881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84" w:type="dxa"/>
            <w:tcBorders>
              <w:top w:val="nil"/>
              <w:left w:val="nil"/>
              <w:bottom w:val="single" w:sz="4" w:space="0" w:color="auto"/>
              <w:right w:val="single" w:sz="4" w:space="0" w:color="auto"/>
            </w:tcBorders>
            <w:vAlign w:val="center"/>
            <w:hideMark/>
          </w:tcPr>
          <w:p w14:paraId="1C17F1D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8" w:type="dxa"/>
            <w:tcBorders>
              <w:top w:val="nil"/>
              <w:left w:val="nil"/>
              <w:bottom w:val="single" w:sz="4" w:space="0" w:color="auto"/>
              <w:right w:val="single" w:sz="4" w:space="0" w:color="auto"/>
            </w:tcBorders>
            <w:vAlign w:val="center"/>
            <w:hideMark/>
          </w:tcPr>
          <w:p w14:paraId="5DA6696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3" w:type="dxa"/>
            <w:tcBorders>
              <w:top w:val="nil"/>
              <w:left w:val="nil"/>
              <w:bottom w:val="single" w:sz="4" w:space="0" w:color="auto"/>
              <w:right w:val="single" w:sz="4" w:space="0" w:color="auto"/>
            </w:tcBorders>
            <w:vAlign w:val="center"/>
            <w:hideMark/>
          </w:tcPr>
          <w:p w14:paraId="54265E2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767" w:type="dxa"/>
            <w:tcBorders>
              <w:top w:val="nil"/>
              <w:left w:val="nil"/>
              <w:bottom w:val="single" w:sz="4" w:space="0" w:color="auto"/>
              <w:right w:val="single" w:sz="4" w:space="0" w:color="auto"/>
            </w:tcBorders>
            <w:vAlign w:val="center"/>
            <w:hideMark/>
          </w:tcPr>
          <w:p w14:paraId="5EF6A77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60" w:type="dxa"/>
            <w:tcBorders>
              <w:top w:val="nil"/>
              <w:left w:val="nil"/>
              <w:bottom w:val="single" w:sz="4" w:space="0" w:color="auto"/>
              <w:right w:val="single" w:sz="4" w:space="0" w:color="auto"/>
            </w:tcBorders>
            <w:vAlign w:val="center"/>
            <w:hideMark/>
          </w:tcPr>
          <w:p w14:paraId="3782EA3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17" w:type="dxa"/>
            <w:tcBorders>
              <w:top w:val="nil"/>
              <w:left w:val="nil"/>
              <w:bottom w:val="single" w:sz="4" w:space="0" w:color="auto"/>
              <w:right w:val="single" w:sz="4" w:space="0" w:color="auto"/>
            </w:tcBorders>
            <w:vAlign w:val="center"/>
            <w:hideMark/>
          </w:tcPr>
          <w:p w14:paraId="345F974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0" w:type="dxa"/>
            <w:tcBorders>
              <w:top w:val="nil"/>
              <w:left w:val="nil"/>
              <w:bottom w:val="single" w:sz="4" w:space="0" w:color="auto"/>
              <w:right w:val="single" w:sz="4" w:space="0" w:color="auto"/>
            </w:tcBorders>
            <w:vAlign w:val="center"/>
            <w:hideMark/>
          </w:tcPr>
          <w:p w14:paraId="523C003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4" w:type="dxa"/>
            <w:tcBorders>
              <w:top w:val="nil"/>
              <w:left w:val="nil"/>
              <w:bottom w:val="single" w:sz="4" w:space="0" w:color="auto"/>
              <w:right w:val="single" w:sz="4" w:space="0" w:color="auto"/>
            </w:tcBorders>
            <w:vAlign w:val="center"/>
            <w:hideMark/>
          </w:tcPr>
          <w:p w14:paraId="62E24F3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r>
      <w:tr w:rsidR="008930D1" w:rsidRPr="008930D1" w14:paraId="0375B1EF"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5F35C5A" w14:textId="6875DB92"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(b) RTC</w:t>
            </w:r>
          </w:p>
        </w:tc>
        <w:tc>
          <w:tcPr>
            <w:tcW w:w="1080" w:type="dxa"/>
            <w:tcBorders>
              <w:top w:val="nil"/>
              <w:left w:val="nil"/>
              <w:bottom w:val="single" w:sz="4" w:space="0" w:color="auto"/>
              <w:right w:val="single" w:sz="4" w:space="0" w:color="auto"/>
            </w:tcBorders>
            <w:vAlign w:val="center"/>
            <w:hideMark/>
          </w:tcPr>
          <w:p w14:paraId="242ACD6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16.38</w:t>
            </w:r>
          </w:p>
        </w:tc>
        <w:tc>
          <w:tcPr>
            <w:tcW w:w="1170" w:type="dxa"/>
            <w:tcBorders>
              <w:top w:val="nil"/>
              <w:left w:val="nil"/>
              <w:bottom w:val="single" w:sz="4" w:space="0" w:color="auto"/>
              <w:right w:val="single" w:sz="4" w:space="0" w:color="auto"/>
            </w:tcBorders>
            <w:vAlign w:val="center"/>
            <w:hideMark/>
          </w:tcPr>
          <w:p w14:paraId="1916A0B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18.48</w:t>
            </w:r>
          </w:p>
        </w:tc>
        <w:tc>
          <w:tcPr>
            <w:tcW w:w="1080" w:type="dxa"/>
            <w:tcBorders>
              <w:top w:val="nil"/>
              <w:left w:val="nil"/>
              <w:bottom w:val="single" w:sz="4" w:space="0" w:color="auto"/>
              <w:right w:val="single" w:sz="4" w:space="0" w:color="auto"/>
            </w:tcBorders>
            <w:vAlign w:val="center"/>
            <w:hideMark/>
          </w:tcPr>
          <w:p w14:paraId="141F699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9" w:type="dxa"/>
            <w:tcBorders>
              <w:top w:val="nil"/>
              <w:left w:val="nil"/>
              <w:bottom w:val="single" w:sz="4" w:space="0" w:color="auto"/>
              <w:right w:val="single" w:sz="4" w:space="0" w:color="auto"/>
            </w:tcBorders>
            <w:vAlign w:val="center"/>
            <w:hideMark/>
          </w:tcPr>
          <w:p w14:paraId="14227DA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75" w:type="dxa"/>
            <w:tcBorders>
              <w:top w:val="nil"/>
              <w:left w:val="nil"/>
              <w:bottom w:val="single" w:sz="4" w:space="0" w:color="auto"/>
              <w:right w:val="single" w:sz="4" w:space="0" w:color="auto"/>
            </w:tcBorders>
            <w:vAlign w:val="center"/>
            <w:hideMark/>
          </w:tcPr>
          <w:p w14:paraId="0A3C3C0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33" w:type="dxa"/>
            <w:tcBorders>
              <w:top w:val="nil"/>
              <w:left w:val="nil"/>
              <w:bottom w:val="single" w:sz="4" w:space="0" w:color="auto"/>
              <w:right w:val="single" w:sz="4" w:space="0" w:color="auto"/>
            </w:tcBorders>
            <w:vAlign w:val="center"/>
            <w:hideMark/>
          </w:tcPr>
          <w:p w14:paraId="43D88F4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84" w:type="dxa"/>
            <w:tcBorders>
              <w:top w:val="nil"/>
              <w:left w:val="nil"/>
              <w:bottom w:val="single" w:sz="4" w:space="0" w:color="auto"/>
              <w:right w:val="single" w:sz="4" w:space="0" w:color="auto"/>
            </w:tcBorders>
            <w:vAlign w:val="center"/>
            <w:hideMark/>
          </w:tcPr>
          <w:p w14:paraId="65FD2E0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8.83</w:t>
            </w:r>
          </w:p>
        </w:tc>
        <w:tc>
          <w:tcPr>
            <w:tcW w:w="898" w:type="dxa"/>
            <w:tcBorders>
              <w:top w:val="nil"/>
              <w:left w:val="nil"/>
              <w:bottom w:val="single" w:sz="4" w:space="0" w:color="auto"/>
              <w:right w:val="single" w:sz="4" w:space="0" w:color="auto"/>
            </w:tcBorders>
            <w:vAlign w:val="center"/>
            <w:hideMark/>
          </w:tcPr>
          <w:p w14:paraId="3CDB5B7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11.58</w:t>
            </w:r>
          </w:p>
        </w:tc>
        <w:tc>
          <w:tcPr>
            <w:tcW w:w="1023" w:type="dxa"/>
            <w:tcBorders>
              <w:top w:val="nil"/>
              <w:left w:val="nil"/>
              <w:bottom w:val="single" w:sz="4" w:space="0" w:color="auto"/>
              <w:right w:val="single" w:sz="4" w:space="0" w:color="auto"/>
            </w:tcBorders>
            <w:vAlign w:val="center"/>
            <w:hideMark/>
          </w:tcPr>
          <w:p w14:paraId="4651DD4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7.64</w:t>
            </w:r>
          </w:p>
        </w:tc>
        <w:tc>
          <w:tcPr>
            <w:tcW w:w="767" w:type="dxa"/>
            <w:tcBorders>
              <w:top w:val="nil"/>
              <w:left w:val="nil"/>
              <w:bottom w:val="single" w:sz="4" w:space="0" w:color="auto"/>
              <w:right w:val="single" w:sz="4" w:space="0" w:color="auto"/>
            </w:tcBorders>
            <w:vAlign w:val="center"/>
            <w:hideMark/>
          </w:tcPr>
          <w:p w14:paraId="4DA27A8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60" w:type="dxa"/>
            <w:tcBorders>
              <w:top w:val="nil"/>
              <w:left w:val="nil"/>
              <w:bottom w:val="single" w:sz="4" w:space="0" w:color="auto"/>
              <w:right w:val="single" w:sz="4" w:space="0" w:color="auto"/>
            </w:tcBorders>
            <w:vAlign w:val="center"/>
            <w:hideMark/>
          </w:tcPr>
          <w:p w14:paraId="6D4289E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13.76</w:t>
            </w:r>
          </w:p>
        </w:tc>
        <w:tc>
          <w:tcPr>
            <w:tcW w:w="817" w:type="dxa"/>
            <w:tcBorders>
              <w:top w:val="nil"/>
              <w:left w:val="nil"/>
              <w:bottom w:val="single" w:sz="4" w:space="0" w:color="auto"/>
              <w:right w:val="single" w:sz="4" w:space="0" w:color="auto"/>
            </w:tcBorders>
            <w:vAlign w:val="center"/>
            <w:hideMark/>
          </w:tcPr>
          <w:p w14:paraId="2CB1DB2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0" w:type="dxa"/>
            <w:tcBorders>
              <w:top w:val="nil"/>
              <w:left w:val="nil"/>
              <w:bottom w:val="single" w:sz="4" w:space="0" w:color="auto"/>
              <w:right w:val="single" w:sz="4" w:space="0" w:color="auto"/>
            </w:tcBorders>
            <w:vAlign w:val="center"/>
            <w:hideMark/>
          </w:tcPr>
          <w:p w14:paraId="3E315ED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23.96</w:t>
            </w:r>
          </w:p>
        </w:tc>
        <w:tc>
          <w:tcPr>
            <w:tcW w:w="894" w:type="dxa"/>
            <w:tcBorders>
              <w:top w:val="nil"/>
              <w:left w:val="nil"/>
              <w:bottom w:val="single" w:sz="4" w:space="0" w:color="auto"/>
              <w:right w:val="single" w:sz="4" w:space="0" w:color="auto"/>
            </w:tcBorders>
            <w:vAlign w:val="center"/>
            <w:hideMark/>
          </w:tcPr>
          <w:p w14:paraId="070FC7E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31.56</w:t>
            </w:r>
          </w:p>
        </w:tc>
      </w:tr>
      <w:tr w:rsidR="008930D1" w:rsidRPr="008930D1" w14:paraId="1F600FDA"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5537C157" w14:textId="0C755D5D"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(c) Others</w:t>
            </w:r>
          </w:p>
        </w:tc>
        <w:tc>
          <w:tcPr>
            <w:tcW w:w="1080" w:type="dxa"/>
            <w:tcBorders>
              <w:top w:val="nil"/>
              <w:left w:val="nil"/>
              <w:bottom w:val="single" w:sz="4" w:space="0" w:color="auto"/>
              <w:right w:val="single" w:sz="4" w:space="0" w:color="auto"/>
            </w:tcBorders>
            <w:vAlign w:val="center"/>
            <w:hideMark/>
          </w:tcPr>
          <w:p w14:paraId="5701043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96.17</w:t>
            </w:r>
          </w:p>
        </w:tc>
        <w:tc>
          <w:tcPr>
            <w:tcW w:w="1170" w:type="dxa"/>
            <w:tcBorders>
              <w:top w:val="nil"/>
              <w:left w:val="nil"/>
              <w:bottom w:val="single" w:sz="4" w:space="0" w:color="auto"/>
              <w:right w:val="single" w:sz="4" w:space="0" w:color="auto"/>
            </w:tcBorders>
            <w:vAlign w:val="center"/>
            <w:hideMark/>
          </w:tcPr>
          <w:p w14:paraId="5D0AA09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315.55</w:t>
            </w:r>
          </w:p>
        </w:tc>
        <w:tc>
          <w:tcPr>
            <w:tcW w:w="1080" w:type="dxa"/>
            <w:tcBorders>
              <w:top w:val="nil"/>
              <w:left w:val="nil"/>
              <w:bottom w:val="single" w:sz="4" w:space="0" w:color="auto"/>
              <w:right w:val="single" w:sz="4" w:space="0" w:color="auto"/>
            </w:tcBorders>
            <w:vAlign w:val="center"/>
            <w:hideMark/>
          </w:tcPr>
          <w:p w14:paraId="7BC0BEE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5.15</w:t>
            </w:r>
          </w:p>
        </w:tc>
        <w:tc>
          <w:tcPr>
            <w:tcW w:w="1029" w:type="dxa"/>
            <w:tcBorders>
              <w:top w:val="nil"/>
              <w:left w:val="nil"/>
              <w:bottom w:val="single" w:sz="4" w:space="0" w:color="auto"/>
              <w:right w:val="single" w:sz="4" w:space="0" w:color="auto"/>
            </w:tcBorders>
            <w:vAlign w:val="center"/>
            <w:hideMark/>
          </w:tcPr>
          <w:p w14:paraId="2C68F7F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5.09</w:t>
            </w:r>
          </w:p>
        </w:tc>
        <w:tc>
          <w:tcPr>
            <w:tcW w:w="875" w:type="dxa"/>
            <w:tcBorders>
              <w:top w:val="nil"/>
              <w:left w:val="nil"/>
              <w:bottom w:val="single" w:sz="4" w:space="0" w:color="auto"/>
              <w:right w:val="single" w:sz="4" w:space="0" w:color="auto"/>
            </w:tcBorders>
            <w:vAlign w:val="center"/>
            <w:hideMark/>
          </w:tcPr>
          <w:p w14:paraId="51FD9A5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10.29</w:t>
            </w:r>
          </w:p>
        </w:tc>
        <w:tc>
          <w:tcPr>
            <w:tcW w:w="933" w:type="dxa"/>
            <w:tcBorders>
              <w:top w:val="nil"/>
              <w:left w:val="nil"/>
              <w:bottom w:val="single" w:sz="4" w:space="0" w:color="auto"/>
              <w:right w:val="single" w:sz="4" w:space="0" w:color="auto"/>
            </w:tcBorders>
            <w:vAlign w:val="center"/>
            <w:hideMark/>
          </w:tcPr>
          <w:p w14:paraId="0917E79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3.89</w:t>
            </w:r>
          </w:p>
        </w:tc>
        <w:tc>
          <w:tcPr>
            <w:tcW w:w="884" w:type="dxa"/>
            <w:tcBorders>
              <w:top w:val="nil"/>
              <w:left w:val="nil"/>
              <w:bottom w:val="single" w:sz="4" w:space="0" w:color="auto"/>
              <w:right w:val="single" w:sz="4" w:space="0" w:color="auto"/>
            </w:tcBorders>
            <w:vAlign w:val="center"/>
            <w:hideMark/>
          </w:tcPr>
          <w:p w14:paraId="751D0EE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28.58</w:t>
            </w:r>
          </w:p>
        </w:tc>
        <w:tc>
          <w:tcPr>
            <w:tcW w:w="898" w:type="dxa"/>
            <w:tcBorders>
              <w:top w:val="nil"/>
              <w:left w:val="nil"/>
              <w:bottom w:val="single" w:sz="4" w:space="0" w:color="auto"/>
              <w:right w:val="single" w:sz="4" w:space="0" w:color="auto"/>
            </w:tcBorders>
            <w:vAlign w:val="center"/>
            <w:hideMark/>
          </w:tcPr>
          <w:p w14:paraId="76D0CB5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121.36</w:t>
            </w:r>
          </w:p>
        </w:tc>
        <w:tc>
          <w:tcPr>
            <w:tcW w:w="1023" w:type="dxa"/>
            <w:tcBorders>
              <w:top w:val="nil"/>
              <w:left w:val="nil"/>
              <w:bottom w:val="single" w:sz="4" w:space="0" w:color="auto"/>
              <w:right w:val="single" w:sz="4" w:space="0" w:color="auto"/>
            </w:tcBorders>
            <w:vAlign w:val="center"/>
            <w:hideMark/>
          </w:tcPr>
          <w:p w14:paraId="4314CCC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50.42</w:t>
            </w:r>
          </w:p>
        </w:tc>
        <w:tc>
          <w:tcPr>
            <w:tcW w:w="767" w:type="dxa"/>
            <w:tcBorders>
              <w:top w:val="nil"/>
              <w:left w:val="nil"/>
              <w:bottom w:val="single" w:sz="4" w:space="0" w:color="auto"/>
              <w:right w:val="single" w:sz="4" w:space="0" w:color="auto"/>
            </w:tcBorders>
            <w:vAlign w:val="center"/>
            <w:hideMark/>
          </w:tcPr>
          <w:p w14:paraId="0FFFB20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1.73</w:t>
            </w:r>
          </w:p>
        </w:tc>
        <w:tc>
          <w:tcPr>
            <w:tcW w:w="960" w:type="dxa"/>
            <w:tcBorders>
              <w:top w:val="nil"/>
              <w:left w:val="nil"/>
              <w:bottom w:val="single" w:sz="4" w:space="0" w:color="auto"/>
              <w:right w:val="single" w:sz="4" w:space="0" w:color="auto"/>
            </w:tcBorders>
            <w:vAlign w:val="center"/>
            <w:hideMark/>
          </w:tcPr>
          <w:p w14:paraId="5F5C721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249.48</w:t>
            </w:r>
          </w:p>
        </w:tc>
        <w:tc>
          <w:tcPr>
            <w:tcW w:w="817" w:type="dxa"/>
            <w:tcBorders>
              <w:top w:val="nil"/>
              <w:left w:val="nil"/>
              <w:bottom w:val="single" w:sz="4" w:space="0" w:color="auto"/>
              <w:right w:val="single" w:sz="4" w:space="0" w:color="auto"/>
            </w:tcBorders>
            <w:vAlign w:val="center"/>
            <w:hideMark/>
          </w:tcPr>
          <w:p w14:paraId="78915F6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5.82</w:t>
            </w:r>
          </w:p>
        </w:tc>
        <w:tc>
          <w:tcPr>
            <w:tcW w:w="890" w:type="dxa"/>
            <w:tcBorders>
              <w:top w:val="nil"/>
              <w:left w:val="nil"/>
              <w:bottom w:val="single" w:sz="4" w:space="0" w:color="auto"/>
              <w:right w:val="single" w:sz="4" w:space="0" w:color="auto"/>
            </w:tcBorders>
            <w:vAlign w:val="center"/>
            <w:hideMark/>
          </w:tcPr>
          <w:p w14:paraId="7C06C39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217.21</w:t>
            </w:r>
          </w:p>
        </w:tc>
        <w:tc>
          <w:tcPr>
            <w:tcW w:w="894" w:type="dxa"/>
            <w:tcBorders>
              <w:top w:val="nil"/>
              <w:left w:val="nil"/>
              <w:bottom w:val="single" w:sz="4" w:space="0" w:color="auto"/>
              <w:right w:val="single" w:sz="4" w:space="0" w:color="auto"/>
            </w:tcBorders>
            <w:vAlign w:val="center"/>
            <w:hideMark/>
          </w:tcPr>
          <w:p w14:paraId="2A8A86B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255.53</w:t>
            </w:r>
          </w:p>
        </w:tc>
      </w:tr>
      <w:tr w:rsidR="008930D1" w:rsidRPr="008930D1" w14:paraId="1BAA55D1"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34CD61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 Dividends</w:t>
            </w:r>
          </w:p>
        </w:tc>
        <w:tc>
          <w:tcPr>
            <w:tcW w:w="1080" w:type="dxa"/>
            <w:tcBorders>
              <w:top w:val="nil"/>
              <w:left w:val="nil"/>
              <w:bottom w:val="single" w:sz="4" w:space="0" w:color="auto"/>
              <w:right w:val="single" w:sz="4" w:space="0" w:color="auto"/>
            </w:tcBorders>
            <w:vAlign w:val="center"/>
            <w:hideMark/>
          </w:tcPr>
          <w:p w14:paraId="75BE1D8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54.5</w:t>
            </w:r>
          </w:p>
        </w:tc>
        <w:tc>
          <w:tcPr>
            <w:tcW w:w="1170" w:type="dxa"/>
            <w:tcBorders>
              <w:top w:val="nil"/>
              <w:left w:val="nil"/>
              <w:bottom w:val="single" w:sz="4" w:space="0" w:color="auto"/>
              <w:right w:val="single" w:sz="4" w:space="0" w:color="auto"/>
            </w:tcBorders>
            <w:vAlign w:val="center"/>
            <w:hideMark/>
          </w:tcPr>
          <w:p w14:paraId="197F907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123.25</w:t>
            </w:r>
          </w:p>
        </w:tc>
        <w:tc>
          <w:tcPr>
            <w:tcW w:w="1080" w:type="dxa"/>
            <w:tcBorders>
              <w:top w:val="nil"/>
              <w:left w:val="nil"/>
              <w:bottom w:val="single" w:sz="4" w:space="0" w:color="auto"/>
              <w:right w:val="single" w:sz="4" w:space="0" w:color="auto"/>
            </w:tcBorders>
            <w:vAlign w:val="center"/>
            <w:hideMark/>
          </w:tcPr>
          <w:p w14:paraId="4DD62FE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3.1</w:t>
            </w:r>
          </w:p>
        </w:tc>
        <w:tc>
          <w:tcPr>
            <w:tcW w:w="1029" w:type="dxa"/>
            <w:tcBorders>
              <w:top w:val="nil"/>
              <w:left w:val="nil"/>
              <w:bottom w:val="single" w:sz="4" w:space="0" w:color="auto"/>
              <w:right w:val="single" w:sz="4" w:space="0" w:color="auto"/>
            </w:tcBorders>
            <w:vAlign w:val="center"/>
            <w:hideMark/>
          </w:tcPr>
          <w:p w14:paraId="2CF952E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8.9</w:t>
            </w:r>
          </w:p>
        </w:tc>
        <w:tc>
          <w:tcPr>
            <w:tcW w:w="875" w:type="dxa"/>
            <w:tcBorders>
              <w:top w:val="nil"/>
              <w:left w:val="nil"/>
              <w:bottom w:val="single" w:sz="4" w:space="0" w:color="auto"/>
              <w:right w:val="single" w:sz="4" w:space="0" w:color="auto"/>
            </w:tcBorders>
            <w:vAlign w:val="center"/>
            <w:hideMark/>
          </w:tcPr>
          <w:p w14:paraId="73EDCCB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w:t>
            </w:r>
          </w:p>
        </w:tc>
        <w:tc>
          <w:tcPr>
            <w:tcW w:w="933" w:type="dxa"/>
            <w:tcBorders>
              <w:top w:val="nil"/>
              <w:left w:val="nil"/>
              <w:bottom w:val="single" w:sz="4" w:space="0" w:color="auto"/>
              <w:right w:val="single" w:sz="4" w:space="0" w:color="auto"/>
            </w:tcBorders>
            <w:vAlign w:val="center"/>
            <w:hideMark/>
          </w:tcPr>
          <w:p w14:paraId="04D38B2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4.55</w:t>
            </w:r>
          </w:p>
        </w:tc>
        <w:tc>
          <w:tcPr>
            <w:tcW w:w="884" w:type="dxa"/>
            <w:tcBorders>
              <w:top w:val="nil"/>
              <w:left w:val="nil"/>
              <w:bottom w:val="single" w:sz="4" w:space="0" w:color="auto"/>
              <w:right w:val="single" w:sz="4" w:space="0" w:color="auto"/>
            </w:tcBorders>
            <w:vAlign w:val="center"/>
            <w:hideMark/>
          </w:tcPr>
          <w:p w14:paraId="428E4EF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89.8</w:t>
            </w:r>
          </w:p>
        </w:tc>
        <w:tc>
          <w:tcPr>
            <w:tcW w:w="898" w:type="dxa"/>
            <w:tcBorders>
              <w:top w:val="nil"/>
              <w:left w:val="nil"/>
              <w:bottom w:val="single" w:sz="4" w:space="0" w:color="auto"/>
              <w:right w:val="single" w:sz="4" w:space="0" w:color="auto"/>
            </w:tcBorders>
            <w:vAlign w:val="center"/>
            <w:hideMark/>
          </w:tcPr>
          <w:p w14:paraId="6878B7A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62.95</w:t>
            </w:r>
          </w:p>
        </w:tc>
        <w:tc>
          <w:tcPr>
            <w:tcW w:w="1023" w:type="dxa"/>
            <w:tcBorders>
              <w:top w:val="nil"/>
              <w:left w:val="nil"/>
              <w:bottom w:val="single" w:sz="4" w:space="0" w:color="auto"/>
              <w:right w:val="single" w:sz="4" w:space="0" w:color="auto"/>
            </w:tcBorders>
            <w:vAlign w:val="center"/>
            <w:hideMark/>
          </w:tcPr>
          <w:p w14:paraId="7A2AF5B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45.7</w:t>
            </w:r>
          </w:p>
        </w:tc>
        <w:tc>
          <w:tcPr>
            <w:tcW w:w="767" w:type="dxa"/>
            <w:tcBorders>
              <w:top w:val="nil"/>
              <w:left w:val="nil"/>
              <w:bottom w:val="single" w:sz="4" w:space="0" w:color="auto"/>
              <w:right w:val="single" w:sz="4" w:space="0" w:color="auto"/>
            </w:tcBorders>
            <w:vAlign w:val="center"/>
            <w:hideMark/>
          </w:tcPr>
          <w:p w14:paraId="5D2111B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2.15</w:t>
            </w:r>
          </w:p>
        </w:tc>
        <w:tc>
          <w:tcPr>
            <w:tcW w:w="960" w:type="dxa"/>
            <w:tcBorders>
              <w:top w:val="nil"/>
              <w:left w:val="nil"/>
              <w:bottom w:val="single" w:sz="4" w:space="0" w:color="auto"/>
              <w:right w:val="single" w:sz="4" w:space="0" w:color="auto"/>
            </w:tcBorders>
            <w:vAlign w:val="center"/>
            <w:hideMark/>
          </w:tcPr>
          <w:p w14:paraId="58B2A2E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90.1</w:t>
            </w:r>
          </w:p>
        </w:tc>
        <w:tc>
          <w:tcPr>
            <w:tcW w:w="817" w:type="dxa"/>
            <w:tcBorders>
              <w:top w:val="nil"/>
              <w:left w:val="nil"/>
              <w:bottom w:val="single" w:sz="4" w:space="0" w:color="auto"/>
              <w:right w:val="single" w:sz="4" w:space="0" w:color="auto"/>
            </w:tcBorders>
            <w:vAlign w:val="center"/>
            <w:hideMark/>
          </w:tcPr>
          <w:p w14:paraId="5821566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6.65</w:t>
            </w:r>
          </w:p>
        </w:tc>
        <w:tc>
          <w:tcPr>
            <w:tcW w:w="890" w:type="dxa"/>
            <w:tcBorders>
              <w:top w:val="nil"/>
              <w:left w:val="nil"/>
              <w:bottom w:val="single" w:sz="4" w:space="0" w:color="auto"/>
              <w:right w:val="single" w:sz="4" w:space="0" w:color="auto"/>
            </w:tcBorders>
            <w:vAlign w:val="center"/>
            <w:hideMark/>
          </w:tcPr>
          <w:p w14:paraId="11FDAF3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257.95</w:t>
            </w:r>
          </w:p>
        </w:tc>
        <w:tc>
          <w:tcPr>
            <w:tcW w:w="894" w:type="dxa"/>
            <w:tcBorders>
              <w:top w:val="nil"/>
              <w:left w:val="nil"/>
              <w:bottom w:val="single" w:sz="4" w:space="0" w:color="auto"/>
              <w:right w:val="single" w:sz="4" w:space="0" w:color="auto"/>
            </w:tcBorders>
            <w:vAlign w:val="center"/>
            <w:hideMark/>
          </w:tcPr>
          <w:p w14:paraId="4C3801D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68.2</w:t>
            </w:r>
          </w:p>
        </w:tc>
      </w:tr>
      <w:tr w:rsidR="008930D1" w:rsidRPr="008930D1" w14:paraId="143D2694"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70AAF0D0"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Forest</w:t>
            </w:r>
          </w:p>
        </w:tc>
        <w:tc>
          <w:tcPr>
            <w:tcW w:w="1080" w:type="dxa"/>
            <w:tcBorders>
              <w:top w:val="nil"/>
              <w:left w:val="nil"/>
              <w:bottom w:val="single" w:sz="4" w:space="0" w:color="auto"/>
              <w:right w:val="single" w:sz="4" w:space="0" w:color="auto"/>
            </w:tcBorders>
            <w:vAlign w:val="center"/>
            <w:hideMark/>
          </w:tcPr>
          <w:p w14:paraId="68E55D1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2001.66</w:t>
            </w:r>
          </w:p>
        </w:tc>
        <w:tc>
          <w:tcPr>
            <w:tcW w:w="1170" w:type="dxa"/>
            <w:tcBorders>
              <w:top w:val="nil"/>
              <w:left w:val="nil"/>
              <w:bottom w:val="single" w:sz="4" w:space="0" w:color="auto"/>
              <w:right w:val="single" w:sz="4" w:space="0" w:color="auto"/>
            </w:tcBorders>
            <w:vAlign w:val="center"/>
            <w:hideMark/>
          </w:tcPr>
          <w:p w14:paraId="4231FD9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783.96</w:t>
            </w:r>
          </w:p>
        </w:tc>
        <w:tc>
          <w:tcPr>
            <w:tcW w:w="1080" w:type="dxa"/>
            <w:tcBorders>
              <w:top w:val="nil"/>
              <w:left w:val="nil"/>
              <w:bottom w:val="single" w:sz="4" w:space="0" w:color="auto"/>
              <w:right w:val="single" w:sz="4" w:space="0" w:color="auto"/>
            </w:tcBorders>
            <w:vAlign w:val="center"/>
            <w:hideMark/>
          </w:tcPr>
          <w:p w14:paraId="12DB9FA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5.21</w:t>
            </w:r>
          </w:p>
        </w:tc>
        <w:tc>
          <w:tcPr>
            <w:tcW w:w="1029" w:type="dxa"/>
            <w:tcBorders>
              <w:top w:val="nil"/>
              <w:left w:val="nil"/>
              <w:bottom w:val="single" w:sz="4" w:space="0" w:color="auto"/>
              <w:right w:val="single" w:sz="4" w:space="0" w:color="auto"/>
            </w:tcBorders>
            <w:vAlign w:val="center"/>
            <w:hideMark/>
          </w:tcPr>
          <w:p w14:paraId="0E8933F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16.58</w:t>
            </w:r>
          </w:p>
        </w:tc>
        <w:tc>
          <w:tcPr>
            <w:tcW w:w="875" w:type="dxa"/>
            <w:tcBorders>
              <w:top w:val="nil"/>
              <w:left w:val="nil"/>
              <w:bottom w:val="single" w:sz="4" w:space="0" w:color="auto"/>
              <w:right w:val="single" w:sz="4" w:space="0" w:color="auto"/>
            </w:tcBorders>
            <w:vAlign w:val="center"/>
            <w:hideMark/>
          </w:tcPr>
          <w:p w14:paraId="409B8A8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2.32</w:t>
            </w:r>
          </w:p>
        </w:tc>
        <w:tc>
          <w:tcPr>
            <w:tcW w:w="933" w:type="dxa"/>
            <w:tcBorders>
              <w:top w:val="nil"/>
              <w:left w:val="nil"/>
              <w:bottom w:val="single" w:sz="4" w:space="0" w:color="auto"/>
              <w:right w:val="single" w:sz="4" w:space="0" w:color="auto"/>
            </w:tcBorders>
            <w:vAlign w:val="center"/>
            <w:hideMark/>
          </w:tcPr>
          <w:p w14:paraId="2A1F652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8.12</w:t>
            </w:r>
          </w:p>
        </w:tc>
        <w:tc>
          <w:tcPr>
            <w:tcW w:w="884" w:type="dxa"/>
            <w:tcBorders>
              <w:top w:val="nil"/>
              <w:left w:val="nil"/>
              <w:bottom w:val="single" w:sz="4" w:space="0" w:color="auto"/>
              <w:right w:val="single" w:sz="4" w:space="0" w:color="auto"/>
            </w:tcBorders>
            <w:vAlign w:val="center"/>
            <w:hideMark/>
          </w:tcPr>
          <w:p w14:paraId="1178041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359.9</w:t>
            </w:r>
          </w:p>
        </w:tc>
        <w:tc>
          <w:tcPr>
            <w:tcW w:w="898" w:type="dxa"/>
            <w:tcBorders>
              <w:top w:val="nil"/>
              <w:left w:val="nil"/>
              <w:bottom w:val="single" w:sz="4" w:space="0" w:color="auto"/>
              <w:right w:val="single" w:sz="4" w:space="0" w:color="auto"/>
            </w:tcBorders>
            <w:vAlign w:val="center"/>
            <w:hideMark/>
          </w:tcPr>
          <w:p w14:paraId="4441194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28.31</w:t>
            </w:r>
          </w:p>
        </w:tc>
        <w:tc>
          <w:tcPr>
            <w:tcW w:w="1023" w:type="dxa"/>
            <w:tcBorders>
              <w:top w:val="nil"/>
              <w:left w:val="nil"/>
              <w:bottom w:val="single" w:sz="4" w:space="0" w:color="auto"/>
              <w:right w:val="single" w:sz="4" w:space="0" w:color="auto"/>
            </w:tcBorders>
            <w:vAlign w:val="center"/>
            <w:hideMark/>
          </w:tcPr>
          <w:p w14:paraId="1072AFF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51.88</w:t>
            </w:r>
          </w:p>
        </w:tc>
        <w:tc>
          <w:tcPr>
            <w:tcW w:w="767" w:type="dxa"/>
            <w:tcBorders>
              <w:top w:val="nil"/>
              <w:left w:val="nil"/>
              <w:bottom w:val="single" w:sz="4" w:space="0" w:color="auto"/>
              <w:right w:val="single" w:sz="4" w:space="0" w:color="auto"/>
            </w:tcBorders>
            <w:vAlign w:val="center"/>
            <w:hideMark/>
          </w:tcPr>
          <w:p w14:paraId="1AD5C9B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5.63</w:t>
            </w:r>
          </w:p>
        </w:tc>
        <w:tc>
          <w:tcPr>
            <w:tcW w:w="960" w:type="dxa"/>
            <w:tcBorders>
              <w:top w:val="nil"/>
              <w:left w:val="nil"/>
              <w:bottom w:val="single" w:sz="4" w:space="0" w:color="auto"/>
              <w:right w:val="single" w:sz="4" w:space="0" w:color="auto"/>
            </w:tcBorders>
            <w:vAlign w:val="center"/>
            <w:hideMark/>
          </w:tcPr>
          <w:p w14:paraId="16A908D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162.51</w:t>
            </w:r>
          </w:p>
        </w:tc>
        <w:tc>
          <w:tcPr>
            <w:tcW w:w="817" w:type="dxa"/>
            <w:tcBorders>
              <w:top w:val="nil"/>
              <w:left w:val="nil"/>
              <w:bottom w:val="single" w:sz="4" w:space="0" w:color="auto"/>
              <w:right w:val="single" w:sz="4" w:space="0" w:color="auto"/>
            </w:tcBorders>
            <w:vAlign w:val="center"/>
            <w:hideMark/>
          </w:tcPr>
          <w:p w14:paraId="6DC3F36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21.53</w:t>
            </w:r>
          </w:p>
        </w:tc>
        <w:tc>
          <w:tcPr>
            <w:tcW w:w="890" w:type="dxa"/>
            <w:tcBorders>
              <w:top w:val="nil"/>
              <w:left w:val="nil"/>
              <w:bottom w:val="single" w:sz="4" w:space="0" w:color="auto"/>
              <w:right w:val="single" w:sz="4" w:space="0" w:color="auto"/>
            </w:tcBorders>
            <w:vAlign w:val="center"/>
            <w:hideMark/>
          </w:tcPr>
          <w:p w14:paraId="115D4FB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414.95</w:t>
            </w:r>
          </w:p>
        </w:tc>
        <w:tc>
          <w:tcPr>
            <w:tcW w:w="894" w:type="dxa"/>
            <w:tcBorders>
              <w:top w:val="nil"/>
              <w:left w:val="nil"/>
              <w:bottom w:val="single" w:sz="4" w:space="0" w:color="auto"/>
              <w:right w:val="single" w:sz="4" w:space="0" w:color="auto"/>
            </w:tcBorders>
            <w:vAlign w:val="center"/>
            <w:hideMark/>
          </w:tcPr>
          <w:p w14:paraId="43C9152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147.95</w:t>
            </w:r>
          </w:p>
        </w:tc>
      </w:tr>
      <w:tr w:rsidR="008930D1" w:rsidRPr="008930D1" w14:paraId="01DA0C42"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8FDB218"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(iv) Mines And Minerals</w:t>
            </w:r>
          </w:p>
        </w:tc>
        <w:tc>
          <w:tcPr>
            <w:tcW w:w="1080" w:type="dxa"/>
            <w:tcBorders>
              <w:top w:val="nil"/>
              <w:left w:val="nil"/>
              <w:bottom w:val="single" w:sz="4" w:space="0" w:color="auto"/>
              <w:right w:val="single" w:sz="4" w:space="0" w:color="auto"/>
            </w:tcBorders>
            <w:vAlign w:val="center"/>
            <w:hideMark/>
          </w:tcPr>
          <w:p w14:paraId="07A5EA4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773.11</w:t>
            </w:r>
          </w:p>
        </w:tc>
        <w:tc>
          <w:tcPr>
            <w:tcW w:w="1170" w:type="dxa"/>
            <w:tcBorders>
              <w:top w:val="nil"/>
              <w:left w:val="nil"/>
              <w:bottom w:val="single" w:sz="4" w:space="0" w:color="auto"/>
              <w:right w:val="single" w:sz="4" w:space="0" w:color="auto"/>
            </w:tcBorders>
            <w:vAlign w:val="center"/>
            <w:hideMark/>
          </w:tcPr>
          <w:p w14:paraId="0319A26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131.28</w:t>
            </w:r>
          </w:p>
        </w:tc>
        <w:tc>
          <w:tcPr>
            <w:tcW w:w="1080" w:type="dxa"/>
            <w:tcBorders>
              <w:top w:val="nil"/>
              <w:left w:val="nil"/>
              <w:bottom w:val="single" w:sz="4" w:space="0" w:color="auto"/>
              <w:right w:val="single" w:sz="4" w:space="0" w:color="auto"/>
            </w:tcBorders>
            <w:vAlign w:val="center"/>
            <w:hideMark/>
          </w:tcPr>
          <w:p w14:paraId="0977FF8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9" w:type="dxa"/>
            <w:tcBorders>
              <w:top w:val="nil"/>
              <w:left w:val="nil"/>
              <w:bottom w:val="single" w:sz="4" w:space="0" w:color="auto"/>
              <w:right w:val="single" w:sz="4" w:space="0" w:color="auto"/>
            </w:tcBorders>
            <w:vAlign w:val="center"/>
            <w:hideMark/>
          </w:tcPr>
          <w:p w14:paraId="5B924A5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24.33</w:t>
            </w:r>
          </w:p>
        </w:tc>
        <w:tc>
          <w:tcPr>
            <w:tcW w:w="875" w:type="dxa"/>
            <w:tcBorders>
              <w:top w:val="nil"/>
              <w:left w:val="nil"/>
              <w:bottom w:val="single" w:sz="4" w:space="0" w:color="auto"/>
              <w:right w:val="single" w:sz="4" w:space="0" w:color="auto"/>
            </w:tcBorders>
            <w:vAlign w:val="center"/>
            <w:hideMark/>
          </w:tcPr>
          <w:p w14:paraId="163ABED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33" w:type="dxa"/>
            <w:tcBorders>
              <w:top w:val="nil"/>
              <w:left w:val="nil"/>
              <w:bottom w:val="single" w:sz="4" w:space="0" w:color="auto"/>
              <w:right w:val="single" w:sz="4" w:space="0" w:color="auto"/>
            </w:tcBorders>
            <w:vAlign w:val="center"/>
            <w:hideMark/>
          </w:tcPr>
          <w:p w14:paraId="66B8277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7.66</w:t>
            </w:r>
          </w:p>
        </w:tc>
        <w:tc>
          <w:tcPr>
            <w:tcW w:w="884" w:type="dxa"/>
            <w:tcBorders>
              <w:top w:val="nil"/>
              <w:left w:val="nil"/>
              <w:bottom w:val="single" w:sz="4" w:space="0" w:color="auto"/>
              <w:right w:val="single" w:sz="4" w:space="0" w:color="auto"/>
            </w:tcBorders>
            <w:vAlign w:val="center"/>
            <w:hideMark/>
          </w:tcPr>
          <w:p w14:paraId="41CE75D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287.15</w:t>
            </w:r>
          </w:p>
        </w:tc>
        <w:tc>
          <w:tcPr>
            <w:tcW w:w="898" w:type="dxa"/>
            <w:tcBorders>
              <w:top w:val="nil"/>
              <w:left w:val="nil"/>
              <w:bottom w:val="single" w:sz="4" w:space="0" w:color="auto"/>
              <w:right w:val="single" w:sz="4" w:space="0" w:color="auto"/>
            </w:tcBorders>
            <w:vAlign w:val="center"/>
            <w:hideMark/>
          </w:tcPr>
          <w:p w14:paraId="288AA34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2.66</w:t>
            </w:r>
          </w:p>
        </w:tc>
        <w:tc>
          <w:tcPr>
            <w:tcW w:w="1023" w:type="dxa"/>
            <w:tcBorders>
              <w:top w:val="nil"/>
              <w:left w:val="nil"/>
              <w:bottom w:val="single" w:sz="4" w:space="0" w:color="auto"/>
              <w:right w:val="single" w:sz="4" w:space="0" w:color="auto"/>
            </w:tcBorders>
            <w:vAlign w:val="center"/>
            <w:hideMark/>
          </w:tcPr>
          <w:p w14:paraId="69A59D4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425.01</w:t>
            </w:r>
          </w:p>
        </w:tc>
        <w:tc>
          <w:tcPr>
            <w:tcW w:w="767" w:type="dxa"/>
            <w:tcBorders>
              <w:top w:val="nil"/>
              <w:left w:val="nil"/>
              <w:bottom w:val="single" w:sz="4" w:space="0" w:color="auto"/>
              <w:right w:val="single" w:sz="4" w:space="0" w:color="auto"/>
            </w:tcBorders>
            <w:vAlign w:val="center"/>
            <w:hideMark/>
          </w:tcPr>
          <w:p w14:paraId="11905EA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0.13</w:t>
            </w:r>
          </w:p>
        </w:tc>
        <w:tc>
          <w:tcPr>
            <w:tcW w:w="960" w:type="dxa"/>
            <w:tcBorders>
              <w:top w:val="nil"/>
              <w:left w:val="nil"/>
              <w:bottom w:val="single" w:sz="4" w:space="0" w:color="auto"/>
              <w:right w:val="single" w:sz="4" w:space="0" w:color="auto"/>
            </w:tcBorders>
            <w:vAlign w:val="center"/>
            <w:hideMark/>
          </w:tcPr>
          <w:p w14:paraId="6A8BF1A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49.61</w:t>
            </w:r>
          </w:p>
        </w:tc>
        <w:tc>
          <w:tcPr>
            <w:tcW w:w="817" w:type="dxa"/>
            <w:tcBorders>
              <w:top w:val="nil"/>
              <w:left w:val="nil"/>
              <w:bottom w:val="single" w:sz="4" w:space="0" w:color="auto"/>
              <w:right w:val="single" w:sz="4" w:space="0" w:color="auto"/>
            </w:tcBorders>
            <w:vAlign w:val="center"/>
            <w:hideMark/>
          </w:tcPr>
          <w:p w14:paraId="15C35ED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56.64</w:t>
            </w:r>
          </w:p>
        </w:tc>
        <w:tc>
          <w:tcPr>
            <w:tcW w:w="890" w:type="dxa"/>
            <w:tcBorders>
              <w:top w:val="nil"/>
              <w:left w:val="nil"/>
              <w:bottom w:val="single" w:sz="4" w:space="0" w:color="auto"/>
              <w:right w:val="single" w:sz="4" w:space="0" w:color="auto"/>
            </w:tcBorders>
            <w:vAlign w:val="center"/>
            <w:hideMark/>
          </w:tcPr>
          <w:p w14:paraId="031AA55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69.7</w:t>
            </w:r>
          </w:p>
        </w:tc>
        <w:tc>
          <w:tcPr>
            <w:tcW w:w="894" w:type="dxa"/>
            <w:tcBorders>
              <w:top w:val="nil"/>
              <w:left w:val="nil"/>
              <w:bottom w:val="single" w:sz="4" w:space="0" w:color="auto"/>
              <w:right w:val="single" w:sz="4" w:space="0" w:color="auto"/>
            </w:tcBorders>
            <w:vAlign w:val="center"/>
            <w:hideMark/>
          </w:tcPr>
          <w:p w14:paraId="3045D3C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2057.02</w:t>
            </w:r>
          </w:p>
        </w:tc>
      </w:tr>
      <w:tr w:rsidR="008930D1" w:rsidRPr="008930D1" w14:paraId="2021D958"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2514E25F"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 Irrigation *</w:t>
            </w:r>
          </w:p>
        </w:tc>
        <w:tc>
          <w:tcPr>
            <w:tcW w:w="1080" w:type="dxa"/>
            <w:tcBorders>
              <w:top w:val="nil"/>
              <w:left w:val="nil"/>
              <w:bottom w:val="single" w:sz="4" w:space="0" w:color="auto"/>
              <w:right w:val="single" w:sz="4" w:space="0" w:color="auto"/>
            </w:tcBorders>
            <w:vAlign w:val="center"/>
            <w:hideMark/>
          </w:tcPr>
          <w:p w14:paraId="2D3D184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218.17</w:t>
            </w:r>
          </w:p>
        </w:tc>
        <w:tc>
          <w:tcPr>
            <w:tcW w:w="1170" w:type="dxa"/>
            <w:tcBorders>
              <w:top w:val="nil"/>
              <w:left w:val="nil"/>
              <w:bottom w:val="single" w:sz="4" w:space="0" w:color="auto"/>
              <w:right w:val="single" w:sz="4" w:space="0" w:color="auto"/>
            </w:tcBorders>
            <w:vAlign w:val="center"/>
            <w:hideMark/>
          </w:tcPr>
          <w:p w14:paraId="1BDA1EE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229.89</w:t>
            </w:r>
          </w:p>
        </w:tc>
        <w:tc>
          <w:tcPr>
            <w:tcW w:w="1080" w:type="dxa"/>
            <w:tcBorders>
              <w:top w:val="nil"/>
              <w:left w:val="nil"/>
              <w:bottom w:val="single" w:sz="4" w:space="0" w:color="auto"/>
              <w:right w:val="single" w:sz="4" w:space="0" w:color="auto"/>
            </w:tcBorders>
            <w:vAlign w:val="center"/>
            <w:hideMark/>
          </w:tcPr>
          <w:p w14:paraId="19DFA6E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5.83</w:t>
            </w:r>
          </w:p>
        </w:tc>
        <w:tc>
          <w:tcPr>
            <w:tcW w:w="1029" w:type="dxa"/>
            <w:tcBorders>
              <w:top w:val="nil"/>
              <w:left w:val="nil"/>
              <w:bottom w:val="single" w:sz="4" w:space="0" w:color="auto"/>
              <w:right w:val="single" w:sz="4" w:space="0" w:color="auto"/>
            </w:tcBorders>
            <w:vAlign w:val="center"/>
            <w:hideMark/>
          </w:tcPr>
          <w:p w14:paraId="3413E8B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4.52</w:t>
            </w:r>
          </w:p>
        </w:tc>
        <w:tc>
          <w:tcPr>
            <w:tcW w:w="875" w:type="dxa"/>
            <w:tcBorders>
              <w:top w:val="nil"/>
              <w:left w:val="nil"/>
              <w:bottom w:val="single" w:sz="4" w:space="0" w:color="auto"/>
              <w:right w:val="single" w:sz="4" w:space="0" w:color="auto"/>
            </w:tcBorders>
            <w:vAlign w:val="center"/>
            <w:hideMark/>
          </w:tcPr>
          <w:p w14:paraId="7AD31EF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0.86</w:t>
            </w:r>
          </w:p>
        </w:tc>
        <w:tc>
          <w:tcPr>
            <w:tcW w:w="933" w:type="dxa"/>
            <w:tcBorders>
              <w:top w:val="nil"/>
              <w:left w:val="nil"/>
              <w:bottom w:val="single" w:sz="4" w:space="0" w:color="auto"/>
              <w:right w:val="single" w:sz="4" w:space="0" w:color="auto"/>
            </w:tcBorders>
            <w:vAlign w:val="center"/>
            <w:hideMark/>
          </w:tcPr>
          <w:p w14:paraId="105831A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2.56</w:t>
            </w:r>
          </w:p>
        </w:tc>
        <w:tc>
          <w:tcPr>
            <w:tcW w:w="884" w:type="dxa"/>
            <w:tcBorders>
              <w:top w:val="nil"/>
              <w:left w:val="nil"/>
              <w:bottom w:val="single" w:sz="4" w:space="0" w:color="auto"/>
              <w:right w:val="single" w:sz="4" w:space="0" w:color="auto"/>
            </w:tcBorders>
            <w:vAlign w:val="center"/>
            <w:hideMark/>
          </w:tcPr>
          <w:p w14:paraId="22752BB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161.99</w:t>
            </w:r>
          </w:p>
        </w:tc>
        <w:tc>
          <w:tcPr>
            <w:tcW w:w="898" w:type="dxa"/>
            <w:tcBorders>
              <w:top w:val="nil"/>
              <w:left w:val="nil"/>
              <w:bottom w:val="single" w:sz="4" w:space="0" w:color="auto"/>
              <w:right w:val="single" w:sz="4" w:space="0" w:color="auto"/>
            </w:tcBorders>
            <w:vAlign w:val="center"/>
            <w:hideMark/>
          </w:tcPr>
          <w:p w14:paraId="041B85E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373.25</w:t>
            </w:r>
          </w:p>
        </w:tc>
        <w:tc>
          <w:tcPr>
            <w:tcW w:w="1023" w:type="dxa"/>
            <w:tcBorders>
              <w:top w:val="nil"/>
              <w:left w:val="nil"/>
              <w:bottom w:val="single" w:sz="4" w:space="0" w:color="auto"/>
              <w:right w:val="single" w:sz="4" w:space="0" w:color="auto"/>
            </w:tcBorders>
            <w:vAlign w:val="center"/>
            <w:hideMark/>
          </w:tcPr>
          <w:p w14:paraId="2EEC575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220.15</w:t>
            </w:r>
          </w:p>
        </w:tc>
        <w:tc>
          <w:tcPr>
            <w:tcW w:w="767" w:type="dxa"/>
            <w:tcBorders>
              <w:top w:val="nil"/>
              <w:left w:val="nil"/>
              <w:bottom w:val="single" w:sz="4" w:space="0" w:color="auto"/>
              <w:right w:val="single" w:sz="4" w:space="0" w:color="auto"/>
            </w:tcBorders>
            <w:vAlign w:val="center"/>
            <w:hideMark/>
          </w:tcPr>
          <w:p w14:paraId="3BDE8FF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0.86</w:t>
            </w:r>
          </w:p>
        </w:tc>
        <w:tc>
          <w:tcPr>
            <w:tcW w:w="960" w:type="dxa"/>
            <w:tcBorders>
              <w:top w:val="nil"/>
              <w:left w:val="nil"/>
              <w:bottom w:val="single" w:sz="4" w:space="0" w:color="auto"/>
              <w:right w:val="single" w:sz="4" w:space="0" w:color="auto"/>
            </w:tcBorders>
            <w:vAlign w:val="center"/>
            <w:hideMark/>
          </w:tcPr>
          <w:p w14:paraId="644528B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144.83</w:t>
            </w:r>
          </w:p>
        </w:tc>
        <w:tc>
          <w:tcPr>
            <w:tcW w:w="817" w:type="dxa"/>
            <w:tcBorders>
              <w:top w:val="nil"/>
              <w:left w:val="nil"/>
              <w:bottom w:val="single" w:sz="4" w:space="0" w:color="auto"/>
              <w:right w:val="single" w:sz="4" w:space="0" w:color="auto"/>
            </w:tcBorders>
            <w:vAlign w:val="center"/>
            <w:hideMark/>
          </w:tcPr>
          <w:p w14:paraId="4C38646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8.24</w:t>
            </w:r>
          </w:p>
        </w:tc>
        <w:tc>
          <w:tcPr>
            <w:tcW w:w="890" w:type="dxa"/>
            <w:tcBorders>
              <w:top w:val="nil"/>
              <w:left w:val="nil"/>
              <w:bottom w:val="single" w:sz="4" w:space="0" w:color="auto"/>
              <w:right w:val="single" w:sz="4" w:space="0" w:color="auto"/>
            </w:tcBorders>
            <w:vAlign w:val="center"/>
            <w:hideMark/>
          </w:tcPr>
          <w:p w14:paraId="2A708E6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1307.57</w:t>
            </w:r>
          </w:p>
        </w:tc>
        <w:tc>
          <w:tcPr>
            <w:tcW w:w="894" w:type="dxa"/>
            <w:tcBorders>
              <w:top w:val="nil"/>
              <w:left w:val="nil"/>
              <w:bottom w:val="single" w:sz="4" w:space="0" w:color="auto"/>
              <w:right w:val="single" w:sz="4" w:space="0" w:color="auto"/>
            </w:tcBorders>
            <w:vAlign w:val="center"/>
            <w:hideMark/>
          </w:tcPr>
          <w:p w14:paraId="3B14984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331.08</w:t>
            </w:r>
          </w:p>
        </w:tc>
      </w:tr>
      <w:tr w:rsidR="008930D1" w:rsidRPr="008930D1" w14:paraId="6547733F"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D9BD5BE"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(vi) Others</w:t>
            </w:r>
          </w:p>
        </w:tc>
        <w:tc>
          <w:tcPr>
            <w:tcW w:w="1080" w:type="dxa"/>
            <w:tcBorders>
              <w:top w:val="nil"/>
              <w:left w:val="nil"/>
              <w:bottom w:val="single" w:sz="4" w:space="0" w:color="auto"/>
              <w:right w:val="single" w:sz="4" w:space="0" w:color="auto"/>
            </w:tcBorders>
            <w:vAlign w:val="center"/>
            <w:hideMark/>
          </w:tcPr>
          <w:p w14:paraId="6E63AC8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1575.64</w:t>
            </w:r>
          </w:p>
        </w:tc>
        <w:tc>
          <w:tcPr>
            <w:tcW w:w="1170" w:type="dxa"/>
            <w:tcBorders>
              <w:top w:val="nil"/>
              <w:left w:val="nil"/>
              <w:bottom w:val="single" w:sz="4" w:space="0" w:color="auto"/>
              <w:right w:val="single" w:sz="4" w:space="0" w:color="auto"/>
            </w:tcBorders>
            <w:vAlign w:val="center"/>
            <w:hideMark/>
          </w:tcPr>
          <w:p w14:paraId="00DE43A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6815.23</w:t>
            </w:r>
          </w:p>
        </w:tc>
        <w:tc>
          <w:tcPr>
            <w:tcW w:w="1080" w:type="dxa"/>
            <w:tcBorders>
              <w:top w:val="nil"/>
              <w:left w:val="nil"/>
              <w:bottom w:val="single" w:sz="4" w:space="0" w:color="auto"/>
              <w:right w:val="single" w:sz="4" w:space="0" w:color="auto"/>
            </w:tcBorders>
            <w:vAlign w:val="center"/>
            <w:hideMark/>
          </w:tcPr>
          <w:p w14:paraId="69D5651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64.18</w:t>
            </w:r>
          </w:p>
        </w:tc>
        <w:tc>
          <w:tcPr>
            <w:tcW w:w="1029" w:type="dxa"/>
            <w:tcBorders>
              <w:top w:val="nil"/>
              <w:left w:val="nil"/>
              <w:bottom w:val="single" w:sz="4" w:space="0" w:color="auto"/>
              <w:right w:val="single" w:sz="4" w:space="0" w:color="auto"/>
            </w:tcBorders>
            <w:vAlign w:val="center"/>
            <w:hideMark/>
          </w:tcPr>
          <w:p w14:paraId="3A94B30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65.5</w:t>
            </w:r>
          </w:p>
        </w:tc>
        <w:tc>
          <w:tcPr>
            <w:tcW w:w="875" w:type="dxa"/>
            <w:tcBorders>
              <w:top w:val="nil"/>
              <w:left w:val="nil"/>
              <w:bottom w:val="single" w:sz="4" w:space="0" w:color="auto"/>
              <w:right w:val="single" w:sz="4" w:space="0" w:color="auto"/>
            </w:tcBorders>
            <w:vAlign w:val="center"/>
            <w:hideMark/>
          </w:tcPr>
          <w:p w14:paraId="75A5AA6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27.92</w:t>
            </w:r>
          </w:p>
        </w:tc>
        <w:tc>
          <w:tcPr>
            <w:tcW w:w="933" w:type="dxa"/>
            <w:tcBorders>
              <w:top w:val="nil"/>
              <w:left w:val="nil"/>
              <w:bottom w:val="single" w:sz="4" w:space="0" w:color="auto"/>
              <w:right w:val="single" w:sz="4" w:space="0" w:color="auto"/>
            </w:tcBorders>
            <w:vAlign w:val="center"/>
            <w:hideMark/>
          </w:tcPr>
          <w:p w14:paraId="6F87F3F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72.38</w:t>
            </w:r>
          </w:p>
        </w:tc>
        <w:tc>
          <w:tcPr>
            <w:tcW w:w="884" w:type="dxa"/>
            <w:tcBorders>
              <w:top w:val="nil"/>
              <w:left w:val="nil"/>
              <w:bottom w:val="single" w:sz="4" w:space="0" w:color="auto"/>
              <w:right w:val="single" w:sz="4" w:space="0" w:color="auto"/>
            </w:tcBorders>
            <w:vAlign w:val="center"/>
            <w:hideMark/>
          </w:tcPr>
          <w:p w14:paraId="4DA7E30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884.39</w:t>
            </w:r>
          </w:p>
        </w:tc>
        <w:tc>
          <w:tcPr>
            <w:tcW w:w="898" w:type="dxa"/>
            <w:tcBorders>
              <w:top w:val="nil"/>
              <w:left w:val="nil"/>
              <w:bottom w:val="single" w:sz="4" w:space="0" w:color="auto"/>
              <w:right w:val="single" w:sz="4" w:space="0" w:color="auto"/>
            </w:tcBorders>
            <w:vAlign w:val="center"/>
            <w:hideMark/>
          </w:tcPr>
          <w:p w14:paraId="3CBDBE0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735.52</w:t>
            </w:r>
          </w:p>
        </w:tc>
        <w:tc>
          <w:tcPr>
            <w:tcW w:w="1023" w:type="dxa"/>
            <w:tcBorders>
              <w:top w:val="nil"/>
              <w:left w:val="nil"/>
              <w:bottom w:val="single" w:sz="4" w:space="0" w:color="auto"/>
              <w:right w:val="single" w:sz="4" w:space="0" w:color="auto"/>
            </w:tcBorders>
            <w:vAlign w:val="center"/>
            <w:hideMark/>
          </w:tcPr>
          <w:p w14:paraId="5630637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1251.7</w:t>
            </w:r>
          </w:p>
        </w:tc>
        <w:tc>
          <w:tcPr>
            <w:tcW w:w="767" w:type="dxa"/>
            <w:tcBorders>
              <w:top w:val="nil"/>
              <w:left w:val="nil"/>
              <w:bottom w:val="single" w:sz="4" w:space="0" w:color="auto"/>
              <w:right w:val="single" w:sz="4" w:space="0" w:color="auto"/>
            </w:tcBorders>
            <w:vAlign w:val="center"/>
            <w:hideMark/>
          </w:tcPr>
          <w:p w14:paraId="1963CFC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39.55</w:t>
            </w:r>
          </w:p>
        </w:tc>
        <w:tc>
          <w:tcPr>
            <w:tcW w:w="960" w:type="dxa"/>
            <w:tcBorders>
              <w:top w:val="nil"/>
              <w:left w:val="nil"/>
              <w:bottom w:val="single" w:sz="4" w:space="0" w:color="auto"/>
              <w:right w:val="single" w:sz="4" w:space="0" w:color="auto"/>
            </w:tcBorders>
            <w:vAlign w:val="center"/>
            <w:hideMark/>
          </w:tcPr>
          <w:p w14:paraId="2526C41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811.76</w:t>
            </w:r>
          </w:p>
        </w:tc>
        <w:tc>
          <w:tcPr>
            <w:tcW w:w="817" w:type="dxa"/>
            <w:tcBorders>
              <w:top w:val="nil"/>
              <w:left w:val="nil"/>
              <w:bottom w:val="single" w:sz="4" w:space="0" w:color="auto"/>
              <w:right w:val="single" w:sz="4" w:space="0" w:color="auto"/>
            </w:tcBorders>
            <w:vAlign w:val="center"/>
            <w:hideMark/>
          </w:tcPr>
          <w:p w14:paraId="5B3D3BB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41.4</w:t>
            </w:r>
          </w:p>
        </w:tc>
        <w:tc>
          <w:tcPr>
            <w:tcW w:w="890" w:type="dxa"/>
            <w:tcBorders>
              <w:top w:val="nil"/>
              <w:left w:val="nil"/>
              <w:bottom w:val="single" w:sz="4" w:space="0" w:color="auto"/>
              <w:right w:val="single" w:sz="4" w:space="0" w:color="auto"/>
            </w:tcBorders>
            <w:vAlign w:val="center"/>
            <w:hideMark/>
          </w:tcPr>
          <w:p w14:paraId="5728860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1068.73</w:t>
            </w:r>
          </w:p>
        </w:tc>
        <w:tc>
          <w:tcPr>
            <w:tcW w:w="894" w:type="dxa"/>
            <w:tcBorders>
              <w:top w:val="nil"/>
              <w:left w:val="nil"/>
              <w:bottom w:val="single" w:sz="4" w:space="0" w:color="auto"/>
              <w:right w:val="single" w:sz="4" w:space="0" w:color="auto"/>
            </w:tcBorders>
            <w:vAlign w:val="center"/>
            <w:hideMark/>
          </w:tcPr>
          <w:p w14:paraId="48AB0E1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1095.88</w:t>
            </w:r>
          </w:p>
        </w:tc>
      </w:tr>
      <w:tr w:rsidR="008930D1" w:rsidRPr="008930D1" w14:paraId="4C4C31F7"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11D2643"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 xml:space="preserve">3. Non-Plan Grants </w:t>
            </w:r>
            <w:proofErr w:type="gramStart"/>
            <w:r w:rsidRPr="00767C21">
              <w:rPr>
                <w:rFonts w:ascii="Arial" w:eastAsia="Times New Roman" w:hAnsi="Arial" w:cs="Arial"/>
                <w:b/>
                <w:bCs/>
                <w:color w:val="2B2D31"/>
                <w:kern w:val="0"/>
                <w:sz w:val="13"/>
                <w:szCs w:val="13"/>
                <w:lang w:eastAsia="en-IN"/>
                <w14:ligatures w14:val="none"/>
              </w:rPr>
              <w:t>From</w:t>
            </w:r>
            <w:proofErr w:type="gramEnd"/>
            <w:r w:rsidRPr="00767C21">
              <w:rPr>
                <w:rFonts w:ascii="Arial" w:eastAsia="Times New Roman" w:hAnsi="Arial" w:cs="Arial"/>
                <w:b/>
                <w:bCs/>
                <w:color w:val="2B2D31"/>
                <w:kern w:val="0"/>
                <w:sz w:val="13"/>
                <w:szCs w:val="13"/>
                <w:lang w:eastAsia="en-IN"/>
                <w14:ligatures w14:val="none"/>
              </w:rPr>
              <w:t xml:space="preserve"> </w:t>
            </w:r>
            <w:proofErr w:type="gramStart"/>
            <w:r w:rsidRPr="00767C21">
              <w:rPr>
                <w:rFonts w:ascii="Arial" w:eastAsia="Times New Roman" w:hAnsi="Arial" w:cs="Arial"/>
                <w:b/>
                <w:bCs/>
                <w:color w:val="2B2D31"/>
                <w:kern w:val="0"/>
                <w:sz w:val="13"/>
                <w:szCs w:val="13"/>
                <w:lang w:eastAsia="en-IN"/>
                <w14:ligatures w14:val="none"/>
              </w:rPr>
              <w:t>The</w:t>
            </w:r>
            <w:proofErr w:type="gramEnd"/>
            <w:r w:rsidRPr="00767C21">
              <w:rPr>
                <w:rFonts w:ascii="Arial" w:eastAsia="Times New Roman" w:hAnsi="Arial" w:cs="Arial"/>
                <w:b/>
                <w:bCs/>
                <w:color w:val="2B2D31"/>
                <w:kern w:val="0"/>
                <w:sz w:val="13"/>
                <w:szCs w:val="13"/>
                <w:lang w:eastAsia="en-IN"/>
                <w14:ligatures w14:val="none"/>
              </w:rPr>
              <w:t xml:space="preserve"> Centre</w:t>
            </w:r>
          </w:p>
        </w:tc>
        <w:tc>
          <w:tcPr>
            <w:tcW w:w="1080" w:type="dxa"/>
            <w:tcBorders>
              <w:top w:val="nil"/>
              <w:left w:val="nil"/>
              <w:bottom w:val="single" w:sz="4" w:space="0" w:color="auto"/>
              <w:right w:val="single" w:sz="4" w:space="0" w:color="auto"/>
            </w:tcBorders>
            <w:vAlign w:val="center"/>
            <w:hideMark/>
          </w:tcPr>
          <w:p w14:paraId="56517AC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126.75</w:t>
            </w:r>
          </w:p>
        </w:tc>
        <w:tc>
          <w:tcPr>
            <w:tcW w:w="1170" w:type="dxa"/>
            <w:tcBorders>
              <w:top w:val="nil"/>
              <w:left w:val="nil"/>
              <w:bottom w:val="single" w:sz="4" w:space="0" w:color="auto"/>
              <w:right w:val="single" w:sz="4" w:space="0" w:color="auto"/>
            </w:tcBorders>
            <w:vAlign w:val="center"/>
            <w:hideMark/>
          </w:tcPr>
          <w:p w14:paraId="0EE11FF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289.87</w:t>
            </w:r>
          </w:p>
        </w:tc>
        <w:tc>
          <w:tcPr>
            <w:tcW w:w="1080" w:type="dxa"/>
            <w:tcBorders>
              <w:top w:val="nil"/>
              <w:left w:val="nil"/>
              <w:bottom w:val="single" w:sz="4" w:space="0" w:color="auto"/>
              <w:right w:val="single" w:sz="4" w:space="0" w:color="auto"/>
            </w:tcBorders>
            <w:vAlign w:val="center"/>
            <w:hideMark/>
          </w:tcPr>
          <w:p w14:paraId="6D93C74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6.77</w:t>
            </w:r>
          </w:p>
        </w:tc>
        <w:tc>
          <w:tcPr>
            <w:tcW w:w="1029" w:type="dxa"/>
            <w:tcBorders>
              <w:top w:val="nil"/>
              <w:left w:val="nil"/>
              <w:bottom w:val="single" w:sz="4" w:space="0" w:color="auto"/>
              <w:right w:val="single" w:sz="4" w:space="0" w:color="auto"/>
            </w:tcBorders>
            <w:vAlign w:val="center"/>
            <w:hideMark/>
          </w:tcPr>
          <w:p w14:paraId="594FECD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13.72</w:t>
            </w:r>
          </w:p>
        </w:tc>
        <w:tc>
          <w:tcPr>
            <w:tcW w:w="875" w:type="dxa"/>
            <w:tcBorders>
              <w:top w:val="nil"/>
              <w:left w:val="nil"/>
              <w:bottom w:val="single" w:sz="4" w:space="0" w:color="auto"/>
              <w:right w:val="single" w:sz="4" w:space="0" w:color="auto"/>
            </w:tcBorders>
            <w:vAlign w:val="center"/>
            <w:hideMark/>
          </w:tcPr>
          <w:p w14:paraId="6A3EDBF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6.15</w:t>
            </w:r>
          </w:p>
        </w:tc>
        <w:tc>
          <w:tcPr>
            <w:tcW w:w="933" w:type="dxa"/>
            <w:tcBorders>
              <w:top w:val="nil"/>
              <w:left w:val="nil"/>
              <w:bottom w:val="single" w:sz="4" w:space="0" w:color="auto"/>
              <w:right w:val="single" w:sz="4" w:space="0" w:color="auto"/>
            </w:tcBorders>
            <w:vAlign w:val="center"/>
            <w:hideMark/>
          </w:tcPr>
          <w:p w14:paraId="088A3C8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4.16</w:t>
            </w:r>
          </w:p>
        </w:tc>
        <w:tc>
          <w:tcPr>
            <w:tcW w:w="884" w:type="dxa"/>
            <w:tcBorders>
              <w:top w:val="nil"/>
              <w:left w:val="nil"/>
              <w:bottom w:val="single" w:sz="4" w:space="0" w:color="auto"/>
              <w:right w:val="single" w:sz="4" w:space="0" w:color="auto"/>
            </w:tcBorders>
            <w:vAlign w:val="center"/>
            <w:hideMark/>
          </w:tcPr>
          <w:p w14:paraId="3A3FA7D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104.72</w:t>
            </w:r>
          </w:p>
        </w:tc>
        <w:tc>
          <w:tcPr>
            <w:tcW w:w="898" w:type="dxa"/>
            <w:tcBorders>
              <w:top w:val="nil"/>
              <w:left w:val="nil"/>
              <w:bottom w:val="single" w:sz="4" w:space="0" w:color="auto"/>
              <w:right w:val="single" w:sz="4" w:space="0" w:color="auto"/>
            </w:tcBorders>
            <w:vAlign w:val="center"/>
            <w:hideMark/>
          </w:tcPr>
          <w:p w14:paraId="37166C1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86.7</w:t>
            </w:r>
          </w:p>
        </w:tc>
        <w:tc>
          <w:tcPr>
            <w:tcW w:w="1023" w:type="dxa"/>
            <w:tcBorders>
              <w:top w:val="nil"/>
              <w:left w:val="nil"/>
              <w:bottom w:val="single" w:sz="4" w:space="0" w:color="auto"/>
              <w:right w:val="single" w:sz="4" w:space="0" w:color="auto"/>
            </w:tcBorders>
            <w:vAlign w:val="center"/>
            <w:hideMark/>
          </w:tcPr>
          <w:p w14:paraId="723DCD2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84.18</w:t>
            </w:r>
          </w:p>
        </w:tc>
        <w:tc>
          <w:tcPr>
            <w:tcW w:w="767" w:type="dxa"/>
            <w:tcBorders>
              <w:top w:val="nil"/>
              <w:left w:val="nil"/>
              <w:bottom w:val="single" w:sz="4" w:space="0" w:color="auto"/>
              <w:right w:val="single" w:sz="4" w:space="0" w:color="auto"/>
            </w:tcBorders>
            <w:vAlign w:val="center"/>
            <w:hideMark/>
          </w:tcPr>
          <w:p w14:paraId="47F340D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60" w:type="dxa"/>
            <w:tcBorders>
              <w:top w:val="nil"/>
              <w:left w:val="nil"/>
              <w:bottom w:val="single" w:sz="4" w:space="0" w:color="auto"/>
              <w:right w:val="single" w:sz="4" w:space="0" w:color="auto"/>
            </w:tcBorders>
            <w:vAlign w:val="center"/>
            <w:hideMark/>
          </w:tcPr>
          <w:p w14:paraId="5A0BF1B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125.16</w:t>
            </w:r>
          </w:p>
        </w:tc>
        <w:tc>
          <w:tcPr>
            <w:tcW w:w="817" w:type="dxa"/>
            <w:tcBorders>
              <w:top w:val="nil"/>
              <w:left w:val="nil"/>
              <w:bottom w:val="single" w:sz="4" w:space="0" w:color="auto"/>
              <w:right w:val="single" w:sz="4" w:space="0" w:color="auto"/>
            </w:tcBorders>
            <w:vAlign w:val="center"/>
            <w:hideMark/>
          </w:tcPr>
          <w:p w14:paraId="1743EED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13.66</w:t>
            </w:r>
          </w:p>
        </w:tc>
        <w:tc>
          <w:tcPr>
            <w:tcW w:w="890" w:type="dxa"/>
            <w:tcBorders>
              <w:top w:val="nil"/>
              <w:left w:val="nil"/>
              <w:bottom w:val="single" w:sz="4" w:space="0" w:color="auto"/>
              <w:right w:val="single" w:sz="4" w:space="0" w:color="auto"/>
            </w:tcBorders>
            <w:vAlign w:val="center"/>
            <w:hideMark/>
          </w:tcPr>
          <w:p w14:paraId="242F6CC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248.04</w:t>
            </w:r>
          </w:p>
        </w:tc>
        <w:tc>
          <w:tcPr>
            <w:tcW w:w="894" w:type="dxa"/>
            <w:tcBorders>
              <w:top w:val="nil"/>
              <w:left w:val="nil"/>
              <w:bottom w:val="single" w:sz="4" w:space="0" w:color="auto"/>
              <w:right w:val="single" w:sz="4" w:space="0" w:color="auto"/>
            </w:tcBorders>
            <w:vAlign w:val="center"/>
            <w:hideMark/>
          </w:tcPr>
          <w:p w14:paraId="4A6CD5A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133.89</w:t>
            </w:r>
          </w:p>
        </w:tc>
      </w:tr>
      <w:tr w:rsidR="008930D1" w:rsidRPr="008930D1" w14:paraId="09D9FAFE"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2225BE94"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II- Revenue Expenditure</w:t>
            </w:r>
          </w:p>
        </w:tc>
        <w:tc>
          <w:tcPr>
            <w:tcW w:w="1080" w:type="dxa"/>
            <w:tcBorders>
              <w:top w:val="nil"/>
              <w:left w:val="nil"/>
              <w:bottom w:val="single" w:sz="4" w:space="0" w:color="auto"/>
              <w:right w:val="single" w:sz="4" w:space="0" w:color="auto"/>
            </w:tcBorders>
            <w:vAlign w:val="center"/>
            <w:hideMark/>
          </w:tcPr>
          <w:p w14:paraId="1D0CF22F"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18650.85</w:t>
            </w:r>
          </w:p>
        </w:tc>
        <w:tc>
          <w:tcPr>
            <w:tcW w:w="1170" w:type="dxa"/>
            <w:tcBorders>
              <w:top w:val="nil"/>
              <w:left w:val="nil"/>
              <w:bottom w:val="single" w:sz="4" w:space="0" w:color="auto"/>
              <w:right w:val="single" w:sz="4" w:space="0" w:color="auto"/>
            </w:tcBorders>
            <w:vAlign w:val="center"/>
            <w:hideMark/>
          </w:tcPr>
          <w:p w14:paraId="14B3B451"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30118.93</w:t>
            </w:r>
          </w:p>
        </w:tc>
        <w:tc>
          <w:tcPr>
            <w:tcW w:w="1080" w:type="dxa"/>
            <w:tcBorders>
              <w:top w:val="nil"/>
              <w:left w:val="nil"/>
              <w:bottom w:val="single" w:sz="4" w:space="0" w:color="auto"/>
              <w:right w:val="single" w:sz="4" w:space="0" w:color="auto"/>
            </w:tcBorders>
            <w:vAlign w:val="center"/>
            <w:hideMark/>
          </w:tcPr>
          <w:p w14:paraId="4D194697"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1250.31</w:t>
            </w:r>
          </w:p>
        </w:tc>
        <w:tc>
          <w:tcPr>
            <w:tcW w:w="1029" w:type="dxa"/>
            <w:tcBorders>
              <w:top w:val="nil"/>
              <w:left w:val="nil"/>
              <w:bottom w:val="single" w:sz="4" w:space="0" w:color="auto"/>
              <w:right w:val="single" w:sz="4" w:space="0" w:color="auto"/>
            </w:tcBorders>
            <w:vAlign w:val="center"/>
            <w:hideMark/>
          </w:tcPr>
          <w:p w14:paraId="5DB5ED6A"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1125.06</w:t>
            </w:r>
          </w:p>
        </w:tc>
        <w:tc>
          <w:tcPr>
            <w:tcW w:w="875" w:type="dxa"/>
            <w:tcBorders>
              <w:top w:val="nil"/>
              <w:left w:val="nil"/>
              <w:bottom w:val="single" w:sz="4" w:space="0" w:color="auto"/>
              <w:right w:val="single" w:sz="4" w:space="0" w:color="auto"/>
            </w:tcBorders>
            <w:vAlign w:val="center"/>
            <w:hideMark/>
          </w:tcPr>
          <w:p w14:paraId="2761DE31"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1081.96</w:t>
            </w:r>
          </w:p>
        </w:tc>
        <w:tc>
          <w:tcPr>
            <w:tcW w:w="933" w:type="dxa"/>
            <w:tcBorders>
              <w:top w:val="nil"/>
              <w:left w:val="nil"/>
              <w:bottom w:val="single" w:sz="4" w:space="0" w:color="auto"/>
              <w:right w:val="single" w:sz="4" w:space="0" w:color="auto"/>
            </w:tcBorders>
            <w:vAlign w:val="center"/>
            <w:hideMark/>
          </w:tcPr>
          <w:p w14:paraId="7095B9BE"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1471.75</w:t>
            </w:r>
          </w:p>
        </w:tc>
        <w:tc>
          <w:tcPr>
            <w:tcW w:w="884" w:type="dxa"/>
            <w:tcBorders>
              <w:top w:val="nil"/>
              <w:left w:val="nil"/>
              <w:bottom w:val="single" w:sz="4" w:space="0" w:color="auto"/>
              <w:right w:val="single" w:sz="4" w:space="0" w:color="auto"/>
            </w:tcBorders>
            <w:vAlign w:val="center"/>
            <w:hideMark/>
          </w:tcPr>
          <w:p w14:paraId="3B0393DA"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9628.12</w:t>
            </w:r>
          </w:p>
        </w:tc>
        <w:tc>
          <w:tcPr>
            <w:tcW w:w="898" w:type="dxa"/>
            <w:tcBorders>
              <w:top w:val="nil"/>
              <w:left w:val="nil"/>
              <w:bottom w:val="single" w:sz="4" w:space="0" w:color="auto"/>
              <w:right w:val="single" w:sz="4" w:space="0" w:color="auto"/>
            </w:tcBorders>
            <w:vAlign w:val="center"/>
            <w:hideMark/>
          </w:tcPr>
          <w:p w14:paraId="134BE658"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9610.84</w:t>
            </w:r>
          </w:p>
        </w:tc>
        <w:tc>
          <w:tcPr>
            <w:tcW w:w="1023" w:type="dxa"/>
            <w:tcBorders>
              <w:top w:val="nil"/>
              <w:left w:val="nil"/>
              <w:bottom w:val="single" w:sz="4" w:space="0" w:color="auto"/>
              <w:right w:val="single" w:sz="4" w:space="0" w:color="auto"/>
            </w:tcBorders>
            <w:vAlign w:val="center"/>
            <w:hideMark/>
          </w:tcPr>
          <w:p w14:paraId="61D070C5"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13736.76</w:t>
            </w:r>
          </w:p>
        </w:tc>
        <w:tc>
          <w:tcPr>
            <w:tcW w:w="767" w:type="dxa"/>
            <w:tcBorders>
              <w:top w:val="nil"/>
              <w:left w:val="nil"/>
              <w:bottom w:val="single" w:sz="4" w:space="0" w:color="auto"/>
              <w:right w:val="single" w:sz="4" w:space="0" w:color="auto"/>
            </w:tcBorders>
            <w:vAlign w:val="center"/>
            <w:hideMark/>
          </w:tcPr>
          <w:p w14:paraId="14831541"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368.66</w:t>
            </w:r>
          </w:p>
        </w:tc>
        <w:tc>
          <w:tcPr>
            <w:tcW w:w="960" w:type="dxa"/>
            <w:tcBorders>
              <w:top w:val="nil"/>
              <w:left w:val="nil"/>
              <w:bottom w:val="single" w:sz="4" w:space="0" w:color="auto"/>
              <w:right w:val="single" w:sz="4" w:space="0" w:color="auto"/>
            </w:tcBorders>
            <w:vAlign w:val="center"/>
            <w:hideMark/>
          </w:tcPr>
          <w:p w14:paraId="03D3105F"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21368.61</w:t>
            </w:r>
          </w:p>
        </w:tc>
        <w:tc>
          <w:tcPr>
            <w:tcW w:w="817" w:type="dxa"/>
            <w:tcBorders>
              <w:top w:val="nil"/>
              <w:left w:val="nil"/>
              <w:bottom w:val="single" w:sz="4" w:space="0" w:color="auto"/>
              <w:right w:val="single" w:sz="4" w:space="0" w:color="auto"/>
            </w:tcBorders>
            <w:vAlign w:val="center"/>
            <w:hideMark/>
          </w:tcPr>
          <w:p w14:paraId="5327B100"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1696.46</w:t>
            </w:r>
          </w:p>
        </w:tc>
        <w:tc>
          <w:tcPr>
            <w:tcW w:w="890" w:type="dxa"/>
            <w:tcBorders>
              <w:top w:val="nil"/>
              <w:left w:val="nil"/>
              <w:bottom w:val="single" w:sz="4" w:space="0" w:color="auto"/>
              <w:right w:val="single" w:sz="4" w:space="0" w:color="auto"/>
            </w:tcBorders>
            <w:vAlign w:val="center"/>
            <w:hideMark/>
          </w:tcPr>
          <w:p w14:paraId="34BE3873"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34432.58</w:t>
            </w:r>
          </w:p>
        </w:tc>
        <w:tc>
          <w:tcPr>
            <w:tcW w:w="894" w:type="dxa"/>
            <w:tcBorders>
              <w:top w:val="nil"/>
              <w:left w:val="nil"/>
              <w:bottom w:val="single" w:sz="4" w:space="0" w:color="auto"/>
              <w:right w:val="single" w:sz="4" w:space="0" w:color="auto"/>
            </w:tcBorders>
            <w:vAlign w:val="center"/>
            <w:hideMark/>
          </w:tcPr>
          <w:p w14:paraId="00885964"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20143.26</w:t>
            </w:r>
          </w:p>
        </w:tc>
      </w:tr>
      <w:tr w:rsidR="008930D1" w:rsidRPr="008930D1" w14:paraId="1E706E55"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A7E9574"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(a) Category (ii) Items</w:t>
            </w:r>
          </w:p>
        </w:tc>
        <w:tc>
          <w:tcPr>
            <w:tcW w:w="1080" w:type="dxa"/>
            <w:tcBorders>
              <w:top w:val="nil"/>
              <w:left w:val="nil"/>
              <w:bottom w:val="single" w:sz="4" w:space="0" w:color="auto"/>
              <w:right w:val="single" w:sz="4" w:space="0" w:color="auto"/>
            </w:tcBorders>
            <w:vAlign w:val="center"/>
            <w:hideMark/>
          </w:tcPr>
          <w:p w14:paraId="3538447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9783.29 (9934.10)</w:t>
            </w:r>
          </w:p>
        </w:tc>
        <w:tc>
          <w:tcPr>
            <w:tcW w:w="1170" w:type="dxa"/>
            <w:tcBorders>
              <w:top w:val="nil"/>
              <w:left w:val="nil"/>
              <w:bottom w:val="single" w:sz="4" w:space="0" w:color="auto"/>
              <w:right w:val="single" w:sz="4" w:space="0" w:color="auto"/>
            </w:tcBorders>
            <w:vAlign w:val="center"/>
            <w:hideMark/>
          </w:tcPr>
          <w:p w14:paraId="4AA6753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16023.21 (18546.45)</w:t>
            </w:r>
          </w:p>
        </w:tc>
        <w:tc>
          <w:tcPr>
            <w:tcW w:w="1080" w:type="dxa"/>
            <w:tcBorders>
              <w:top w:val="nil"/>
              <w:left w:val="nil"/>
              <w:bottom w:val="single" w:sz="4" w:space="0" w:color="auto"/>
              <w:right w:val="single" w:sz="4" w:space="0" w:color="auto"/>
            </w:tcBorders>
            <w:vAlign w:val="center"/>
            <w:hideMark/>
          </w:tcPr>
          <w:p w14:paraId="6EEB65C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878.3</w:t>
            </w:r>
          </w:p>
        </w:tc>
        <w:tc>
          <w:tcPr>
            <w:tcW w:w="1029" w:type="dxa"/>
            <w:tcBorders>
              <w:top w:val="nil"/>
              <w:left w:val="nil"/>
              <w:bottom w:val="single" w:sz="4" w:space="0" w:color="auto"/>
              <w:right w:val="single" w:sz="4" w:space="0" w:color="auto"/>
            </w:tcBorders>
            <w:vAlign w:val="center"/>
            <w:hideMark/>
          </w:tcPr>
          <w:p w14:paraId="57AB8A0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756.92</w:t>
            </w:r>
          </w:p>
        </w:tc>
        <w:tc>
          <w:tcPr>
            <w:tcW w:w="875" w:type="dxa"/>
            <w:tcBorders>
              <w:top w:val="nil"/>
              <w:left w:val="nil"/>
              <w:bottom w:val="single" w:sz="4" w:space="0" w:color="auto"/>
              <w:right w:val="single" w:sz="4" w:space="0" w:color="auto"/>
            </w:tcBorders>
            <w:vAlign w:val="center"/>
            <w:hideMark/>
          </w:tcPr>
          <w:p w14:paraId="6ADC3F7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843.3</w:t>
            </w:r>
          </w:p>
        </w:tc>
        <w:tc>
          <w:tcPr>
            <w:tcW w:w="933" w:type="dxa"/>
            <w:tcBorders>
              <w:top w:val="nil"/>
              <w:left w:val="nil"/>
              <w:bottom w:val="single" w:sz="4" w:space="0" w:color="auto"/>
              <w:right w:val="single" w:sz="4" w:space="0" w:color="auto"/>
            </w:tcBorders>
            <w:vAlign w:val="center"/>
            <w:hideMark/>
          </w:tcPr>
          <w:p w14:paraId="1E7C505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1063.53</w:t>
            </w:r>
          </w:p>
        </w:tc>
        <w:tc>
          <w:tcPr>
            <w:tcW w:w="884" w:type="dxa"/>
            <w:tcBorders>
              <w:top w:val="nil"/>
              <w:left w:val="nil"/>
              <w:bottom w:val="single" w:sz="4" w:space="0" w:color="auto"/>
              <w:right w:val="single" w:sz="4" w:space="0" w:color="auto"/>
            </w:tcBorders>
            <w:vAlign w:val="center"/>
            <w:hideMark/>
          </w:tcPr>
          <w:p w14:paraId="2221E60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5738.72 (5625.45)</w:t>
            </w:r>
          </w:p>
        </w:tc>
        <w:tc>
          <w:tcPr>
            <w:tcW w:w="898" w:type="dxa"/>
            <w:tcBorders>
              <w:top w:val="nil"/>
              <w:left w:val="nil"/>
              <w:bottom w:val="single" w:sz="4" w:space="0" w:color="auto"/>
              <w:right w:val="single" w:sz="4" w:space="0" w:color="auto"/>
            </w:tcBorders>
            <w:vAlign w:val="center"/>
            <w:hideMark/>
          </w:tcPr>
          <w:p w14:paraId="09817F2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4360.54 (5285.38)</w:t>
            </w:r>
          </w:p>
        </w:tc>
        <w:tc>
          <w:tcPr>
            <w:tcW w:w="1023" w:type="dxa"/>
            <w:tcBorders>
              <w:top w:val="nil"/>
              <w:left w:val="nil"/>
              <w:bottom w:val="single" w:sz="4" w:space="0" w:color="auto"/>
              <w:right w:val="single" w:sz="4" w:space="0" w:color="auto"/>
            </w:tcBorders>
            <w:vAlign w:val="center"/>
            <w:hideMark/>
          </w:tcPr>
          <w:p w14:paraId="47F76C8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7388.16 (6993.00)</w:t>
            </w:r>
          </w:p>
        </w:tc>
        <w:tc>
          <w:tcPr>
            <w:tcW w:w="767" w:type="dxa"/>
            <w:tcBorders>
              <w:top w:val="nil"/>
              <w:left w:val="nil"/>
              <w:bottom w:val="single" w:sz="4" w:space="0" w:color="auto"/>
              <w:right w:val="single" w:sz="4" w:space="0" w:color="auto"/>
            </w:tcBorders>
            <w:vAlign w:val="center"/>
            <w:hideMark/>
          </w:tcPr>
          <w:p w14:paraId="7A0C73A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244.22</w:t>
            </w:r>
          </w:p>
        </w:tc>
        <w:tc>
          <w:tcPr>
            <w:tcW w:w="960" w:type="dxa"/>
            <w:tcBorders>
              <w:top w:val="nil"/>
              <w:left w:val="nil"/>
              <w:bottom w:val="single" w:sz="4" w:space="0" w:color="auto"/>
              <w:right w:val="single" w:sz="4" w:space="0" w:color="auto"/>
            </w:tcBorders>
            <w:vAlign w:val="center"/>
            <w:hideMark/>
          </w:tcPr>
          <w:p w14:paraId="4ABEA9D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13746.81 (13404.80)</w:t>
            </w:r>
          </w:p>
        </w:tc>
        <w:tc>
          <w:tcPr>
            <w:tcW w:w="817" w:type="dxa"/>
            <w:tcBorders>
              <w:top w:val="nil"/>
              <w:left w:val="nil"/>
              <w:bottom w:val="single" w:sz="4" w:space="0" w:color="auto"/>
              <w:right w:val="single" w:sz="4" w:space="0" w:color="auto"/>
            </w:tcBorders>
            <w:vAlign w:val="center"/>
            <w:hideMark/>
          </w:tcPr>
          <w:p w14:paraId="0F873A1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1244.25</w:t>
            </w:r>
          </w:p>
        </w:tc>
        <w:tc>
          <w:tcPr>
            <w:tcW w:w="890" w:type="dxa"/>
            <w:tcBorders>
              <w:top w:val="nil"/>
              <w:left w:val="nil"/>
              <w:bottom w:val="single" w:sz="4" w:space="0" w:color="auto"/>
              <w:right w:val="single" w:sz="4" w:space="0" w:color="auto"/>
            </w:tcBorders>
            <w:vAlign w:val="center"/>
            <w:hideMark/>
          </w:tcPr>
          <w:p w14:paraId="51CB22D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21094.19 (20134.43)</w:t>
            </w:r>
          </w:p>
        </w:tc>
        <w:tc>
          <w:tcPr>
            <w:tcW w:w="894" w:type="dxa"/>
            <w:tcBorders>
              <w:top w:val="nil"/>
              <w:left w:val="nil"/>
              <w:bottom w:val="single" w:sz="4" w:space="0" w:color="auto"/>
              <w:right w:val="single" w:sz="4" w:space="0" w:color="auto"/>
            </w:tcBorders>
            <w:vAlign w:val="center"/>
            <w:hideMark/>
          </w:tcPr>
          <w:p w14:paraId="7903B62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12766.55 (13683.99)</w:t>
            </w:r>
          </w:p>
        </w:tc>
      </w:tr>
      <w:tr w:rsidR="008930D1" w:rsidRPr="008930D1" w14:paraId="6C356095"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5A457D22"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Police</w:t>
            </w:r>
          </w:p>
        </w:tc>
        <w:tc>
          <w:tcPr>
            <w:tcW w:w="1080" w:type="dxa"/>
            <w:tcBorders>
              <w:top w:val="nil"/>
              <w:left w:val="nil"/>
              <w:bottom w:val="single" w:sz="4" w:space="0" w:color="auto"/>
              <w:right w:val="single" w:sz="4" w:space="0" w:color="auto"/>
            </w:tcBorders>
            <w:vAlign w:val="center"/>
            <w:hideMark/>
          </w:tcPr>
          <w:p w14:paraId="36DE5B6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1197.65 (1365.53)</w:t>
            </w:r>
          </w:p>
        </w:tc>
        <w:tc>
          <w:tcPr>
            <w:tcW w:w="1170" w:type="dxa"/>
            <w:tcBorders>
              <w:top w:val="nil"/>
              <w:left w:val="nil"/>
              <w:bottom w:val="single" w:sz="4" w:space="0" w:color="auto"/>
              <w:right w:val="single" w:sz="4" w:space="0" w:color="auto"/>
            </w:tcBorders>
            <w:vAlign w:val="center"/>
            <w:hideMark/>
          </w:tcPr>
          <w:p w14:paraId="0B65D81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1669.00 (2127.44)</w:t>
            </w:r>
          </w:p>
        </w:tc>
        <w:tc>
          <w:tcPr>
            <w:tcW w:w="1080" w:type="dxa"/>
            <w:tcBorders>
              <w:top w:val="nil"/>
              <w:left w:val="nil"/>
              <w:bottom w:val="single" w:sz="4" w:space="0" w:color="auto"/>
              <w:right w:val="single" w:sz="4" w:space="0" w:color="auto"/>
            </w:tcBorders>
            <w:vAlign w:val="center"/>
            <w:hideMark/>
          </w:tcPr>
          <w:p w14:paraId="5D1F910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196.91</w:t>
            </w:r>
          </w:p>
        </w:tc>
        <w:tc>
          <w:tcPr>
            <w:tcW w:w="1029" w:type="dxa"/>
            <w:tcBorders>
              <w:top w:val="nil"/>
              <w:left w:val="nil"/>
              <w:bottom w:val="single" w:sz="4" w:space="0" w:color="auto"/>
              <w:right w:val="single" w:sz="4" w:space="0" w:color="auto"/>
            </w:tcBorders>
            <w:vAlign w:val="center"/>
            <w:hideMark/>
          </w:tcPr>
          <w:p w14:paraId="1F0B3C2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156.11</w:t>
            </w:r>
          </w:p>
        </w:tc>
        <w:tc>
          <w:tcPr>
            <w:tcW w:w="875" w:type="dxa"/>
            <w:tcBorders>
              <w:top w:val="nil"/>
              <w:left w:val="nil"/>
              <w:bottom w:val="single" w:sz="4" w:space="0" w:color="auto"/>
              <w:right w:val="single" w:sz="4" w:space="0" w:color="auto"/>
            </w:tcBorders>
            <w:vAlign w:val="center"/>
            <w:hideMark/>
          </w:tcPr>
          <w:p w14:paraId="0D0FFED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90.33</w:t>
            </w:r>
          </w:p>
        </w:tc>
        <w:tc>
          <w:tcPr>
            <w:tcW w:w="933" w:type="dxa"/>
            <w:tcBorders>
              <w:top w:val="nil"/>
              <w:left w:val="nil"/>
              <w:bottom w:val="single" w:sz="4" w:space="0" w:color="auto"/>
              <w:right w:val="single" w:sz="4" w:space="0" w:color="auto"/>
            </w:tcBorders>
            <w:vAlign w:val="center"/>
            <w:hideMark/>
          </w:tcPr>
          <w:p w14:paraId="39AF261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329</w:t>
            </w:r>
          </w:p>
        </w:tc>
        <w:tc>
          <w:tcPr>
            <w:tcW w:w="884" w:type="dxa"/>
            <w:tcBorders>
              <w:top w:val="nil"/>
              <w:left w:val="nil"/>
              <w:bottom w:val="single" w:sz="4" w:space="0" w:color="auto"/>
              <w:right w:val="single" w:sz="4" w:space="0" w:color="auto"/>
            </w:tcBorders>
            <w:vAlign w:val="center"/>
            <w:hideMark/>
          </w:tcPr>
          <w:p w14:paraId="0F55007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585.34 (519.83)</w:t>
            </w:r>
          </w:p>
        </w:tc>
        <w:tc>
          <w:tcPr>
            <w:tcW w:w="898" w:type="dxa"/>
            <w:tcBorders>
              <w:top w:val="nil"/>
              <w:left w:val="nil"/>
              <w:bottom w:val="single" w:sz="4" w:space="0" w:color="auto"/>
              <w:right w:val="single" w:sz="4" w:space="0" w:color="auto"/>
            </w:tcBorders>
            <w:vAlign w:val="center"/>
            <w:hideMark/>
          </w:tcPr>
          <w:p w14:paraId="4B00CE3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516.83 (752.49)</w:t>
            </w:r>
          </w:p>
        </w:tc>
        <w:tc>
          <w:tcPr>
            <w:tcW w:w="1023" w:type="dxa"/>
            <w:tcBorders>
              <w:top w:val="nil"/>
              <w:left w:val="nil"/>
              <w:bottom w:val="single" w:sz="4" w:space="0" w:color="auto"/>
              <w:right w:val="single" w:sz="4" w:space="0" w:color="auto"/>
            </w:tcBorders>
            <w:vAlign w:val="center"/>
            <w:hideMark/>
          </w:tcPr>
          <w:p w14:paraId="78F327A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751.93 (793.09)</w:t>
            </w:r>
          </w:p>
        </w:tc>
        <w:tc>
          <w:tcPr>
            <w:tcW w:w="767" w:type="dxa"/>
            <w:tcBorders>
              <w:top w:val="nil"/>
              <w:left w:val="nil"/>
              <w:bottom w:val="single" w:sz="4" w:space="0" w:color="auto"/>
              <w:right w:val="single" w:sz="4" w:space="0" w:color="auto"/>
            </w:tcBorders>
            <w:vAlign w:val="center"/>
            <w:hideMark/>
          </w:tcPr>
          <w:p w14:paraId="2344590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34.96</w:t>
            </w:r>
          </w:p>
        </w:tc>
        <w:tc>
          <w:tcPr>
            <w:tcW w:w="960" w:type="dxa"/>
            <w:tcBorders>
              <w:top w:val="nil"/>
              <w:left w:val="nil"/>
              <w:bottom w:val="single" w:sz="4" w:space="0" w:color="auto"/>
              <w:right w:val="single" w:sz="4" w:space="0" w:color="auto"/>
            </w:tcBorders>
            <w:vAlign w:val="center"/>
            <w:hideMark/>
          </w:tcPr>
          <w:p w14:paraId="1018400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1161.00 (954.92)</w:t>
            </w:r>
          </w:p>
        </w:tc>
        <w:tc>
          <w:tcPr>
            <w:tcW w:w="817" w:type="dxa"/>
            <w:tcBorders>
              <w:top w:val="nil"/>
              <w:left w:val="nil"/>
              <w:bottom w:val="single" w:sz="4" w:space="0" w:color="auto"/>
              <w:right w:val="single" w:sz="4" w:space="0" w:color="auto"/>
            </w:tcBorders>
            <w:vAlign w:val="center"/>
            <w:hideMark/>
          </w:tcPr>
          <w:p w14:paraId="0D5D284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217.58</w:t>
            </w:r>
          </w:p>
        </w:tc>
        <w:tc>
          <w:tcPr>
            <w:tcW w:w="890" w:type="dxa"/>
            <w:tcBorders>
              <w:top w:val="nil"/>
              <w:left w:val="nil"/>
              <w:bottom w:val="single" w:sz="4" w:space="0" w:color="auto"/>
              <w:right w:val="single" w:sz="4" w:space="0" w:color="auto"/>
            </w:tcBorders>
            <w:vAlign w:val="center"/>
            <w:hideMark/>
          </w:tcPr>
          <w:p w14:paraId="49DE2C0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2739.58 (2549.49)</w:t>
            </w:r>
          </w:p>
        </w:tc>
        <w:tc>
          <w:tcPr>
            <w:tcW w:w="894" w:type="dxa"/>
            <w:tcBorders>
              <w:top w:val="nil"/>
              <w:left w:val="nil"/>
              <w:bottom w:val="single" w:sz="4" w:space="0" w:color="auto"/>
              <w:right w:val="single" w:sz="4" w:space="0" w:color="auto"/>
            </w:tcBorders>
            <w:vAlign w:val="center"/>
            <w:hideMark/>
          </w:tcPr>
          <w:p w14:paraId="6B4C611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1431.10 (1466.15)</w:t>
            </w:r>
          </w:p>
        </w:tc>
      </w:tr>
      <w:tr w:rsidR="008930D1" w:rsidRPr="008930D1" w14:paraId="76E06492"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56C71B01"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 Education</w:t>
            </w:r>
          </w:p>
        </w:tc>
        <w:tc>
          <w:tcPr>
            <w:tcW w:w="1080" w:type="dxa"/>
            <w:tcBorders>
              <w:top w:val="nil"/>
              <w:left w:val="nil"/>
              <w:bottom w:val="single" w:sz="4" w:space="0" w:color="auto"/>
              <w:right w:val="single" w:sz="4" w:space="0" w:color="auto"/>
            </w:tcBorders>
            <w:vAlign w:val="center"/>
            <w:hideMark/>
          </w:tcPr>
          <w:p w14:paraId="2F63DE5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4199.91 (3404.79)</w:t>
            </w:r>
          </w:p>
        </w:tc>
        <w:tc>
          <w:tcPr>
            <w:tcW w:w="1170" w:type="dxa"/>
            <w:tcBorders>
              <w:top w:val="nil"/>
              <w:left w:val="nil"/>
              <w:bottom w:val="single" w:sz="4" w:space="0" w:color="auto"/>
              <w:right w:val="single" w:sz="4" w:space="0" w:color="auto"/>
            </w:tcBorders>
            <w:vAlign w:val="center"/>
            <w:hideMark/>
          </w:tcPr>
          <w:p w14:paraId="2555757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7269.97 (8312.03)</w:t>
            </w:r>
          </w:p>
        </w:tc>
        <w:tc>
          <w:tcPr>
            <w:tcW w:w="1080" w:type="dxa"/>
            <w:tcBorders>
              <w:top w:val="nil"/>
              <w:left w:val="nil"/>
              <w:bottom w:val="single" w:sz="4" w:space="0" w:color="auto"/>
              <w:right w:val="single" w:sz="4" w:space="0" w:color="auto"/>
            </w:tcBorders>
            <w:vAlign w:val="center"/>
            <w:hideMark/>
          </w:tcPr>
          <w:p w14:paraId="5A872E9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311.84</w:t>
            </w:r>
          </w:p>
        </w:tc>
        <w:tc>
          <w:tcPr>
            <w:tcW w:w="1029" w:type="dxa"/>
            <w:tcBorders>
              <w:top w:val="nil"/>
              <w:left w:val="nil"/>
              <w:bottom w:val="single" w:sz="4" w:space="0" w:color="auto"/>
              <w:right w:val="single" w:sz="4" w:space="0" w:color="auto"/>
            </w:tcBorders>
            <w:vAlign w:val="center"/>
            <w:hideMark/>
          </w:tcPr>
          <w:p w14:paraId="0F14309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199.24</w:t>
            </w:r>
          </w:p>
        </w:tc>
        <w:tc>
          <w:tcPr>
            <w:tcW w:w="875" w:type="dxa"/>
            <w:tcBorders>
              <w:top w:val="nil"/>
              <w:left w:val="nil"/>
              <w:bottom w:val="single" w:sz="4" w:space="0" w:color="auto"/>
              <w:right w:val="single" w:sz="4" w:space="0" w:color="auto"/>
            </w:tcBorders>
            <w:vAlign w:val="center"/>
            <w:hideMark/>
          </w:tcPr>
          <w:p w14:paraId="149854B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228.09</w:t>
            </w:r>
          </w:p>
        </w:tc>
        <w:tc>
          <w:tcPr>
            <w:tcW w:w="933" w:type="dxa"/>
            <w:tcBorders>
              <w:top w:val="nil"/>
              <w:left w:val="nil"/>
              <w:bottom w:val="single" w:sz="4" w:space="0" w:color="auto"/>
              <w:right w:val="single" w:sz="4" w:space="0" w:color="auto"/>
            </w:tcBorders>
            <w:vAlign w:val="center"/>
            <w:hideMark/>
          </w:tcPr>
          <w:p w14:paraId="32F5C33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228.84</w:t>
            </w:r>
          </w:p>
        </w:tc>
        <w:tc>
          <w:tcPr>
            <w:tcW w:w="884" w:type="dxa"/>
            <w:tcBorders>
              <w:top w:val="nil"/>
              <w:left w:val="nil"/>
              <w:bottom w:val="single" w:sz="4" w:space="0" w:color="auto"/>
              <w:right w:val="single" w:sz="4" w:space="0" w:color="auto"/>
            </w:tcBorders>
            <w:vAlign w:val="center"/>
            <w:hideMark/>
          </w:tcPr>
          <w:p w14:paraId="1950238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2430.89 (1991.45)</w:t>
            </w:r>
          </w:p>
        </w:tc>
        <w:tc>
          <w:tcPr>
            <w:tcW w:w="898" w:type="dxa"/>
            <w:tcBorders>
              <w:top w:val="nil"/>
              <w:left w:val="nil"/>
              <w:bottom w:val="single" w:sz="4" w:space="0" w:color="auto"/>
              <w:right w:val="single" w:sz="4" w:space="0" w:color="auto"/>
            </w:tcBorders>
            <w:vAlign w:val="center"/>
            <w:hideMark/>
          </w:tcPr>
          <w:p w14:paraId="326FAB2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1826.53 (2435.73)</w:t>
            </w:r>
          </w:p>
        </w:tc>
        <w:tc>
          <w:tcPr>
            <w:tcW w:w="1023" w:type="dxa"/>
            <w:tcBorders>
              <w:top w:val="nil"/>
              <w:left w:val="nil"/>
              <w:bottom w:val="single" w:sz="4" w:space="0" w:color="auto"/>
              <w:right w:val="single" w:sz="4" w:space="0" w:color="auto"/>
            </w:tcBorders>
            <w:vAlign w:val="center"/>
            <w:hideMark/>
          </w:tcPr>
          <w:p w14:paraId="0105474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3076.11 (3066.86)</w:t>
            </w:r>
          </w:p>
        </w:tc>
        <w:tc>
          <w:tcPr>
            <w:tcW w:w="767" w:type="dxa"/>
            <w:tcBorders>
              <w:top w:val="nil"/>
              <w:left w:val="nil"/>
              <w:bottom w:val="single" w:sz="4" w:space="0" w:color="auto"/>
              <w:right w:val="single" w:sz="4" w:space="0" w:color="auto"/>
            </w:tcBorders>
            <w:vAlign w:val="center"/>
            <w:hideMark/>
          </w:tcPr>
          <w:p w14:paraId="428CB91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76.11</w:t>
            </w:r>
          </w:p>
        </w:tc>
        <w:tc>
          <w:tcPr>
            <w:tcW w:w="960" w:type="dxa"/>
            <w:tcBorders>
              <w:top w:val="nil"/>
              <w:left w:val="nil"/>
              <w:bottom w:val="single" w:sz="4" w:space="0" w:color="auto"/>
              <w:right w:val="single" w:sz="4" w:space="0" w:color="auto"/>
            </w:tcBorders>
            <w:vAlign w:val="center"/>
            <w:hideMark/>
          </w:tcPr>
          <w:p w14:paraId="2BA5DE6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5338.44 (4977.33)</w:t>
            </w:r>
          </w:p>
        </w:tc>
        <w:tc>
          <w:tcPr>
            <w:tcW w:w="817" w:type="dxa"/>
            <w:tcBorders>
              <w:top w:val="nil"/>
              <w:left w:val="nil"/>
              <w:bottom w:val="single" w:sz="4" w:space="0" w:color="auto"/>
              <w:right w:val="single" w:sz="4" w:space="0" w:color="auto"/>
            </w:tcBorders>
            <w:vAlign w:val="center"/>
            <w:hideMark/>
          </w:tcPr>
          <w:p w14:paraId="1552176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480.82</w:t>
            </w:r>
          </w:p>
        </w:tc>
        <w:tc>
          <w:tcPr>
            <w:tcW w:w="890" w:type="dxa"/>
            <w:tcBorders>
              <w:top w:val="nil"/>
              <w:left w:val="nil"/>
              <w:bottom w:val="single" w:sz="4" w:space="0" w:color="auto"/>
              <w:right w:val="single" w:sz="4" w:space="0" w:color="auto"/>
            </w:tcBorders>
            <w:vAlign w:val="center"/>
            <w:hideMark/>
          </w:tcPr>
          <w:p w14:paraId="0959435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7607.97 (6981.77)</w:t>
            </w:r>
          </w:p>
        </w:tc>
        <w:tc>
          <w:tcPr>
            <w:tcW w:w="894" w:type="dxa"/>
            <w:tcBorders>
              <w:top w:val="nil"/>
              <w:left w:val="nil"/>
              <w:bottom w:val="single" w:sz="4" w:space="0" w:color="auto"/>
              <w:right w:val="single" w:sz="4" w:space="0" w:color="auto"/>
            </w:tcBorders>
            <w:vAlign w:val="center"/>
            <w:hideMark/>
          </w:tcPr>
          <w:p w14:paraId="4078D71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5103.04 (5887.42)</w:t>
            </w:r>
          </w:p>
        </w:tc>
      </w:tr>
      <w:tr w:rsidR="008930D1" w:rsidRPr="008930D1" w14:paraId="730B24E7"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197F1F5D"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Medical And Public Health</w:t>
            </w:r>
          </w:p>
        </w:tc>
        <w:tc>
          <w:tcPr>
            <w:tcW w:w="1080" w:type="dxa"/>
            <w:tcBorders>
              <w:top w:val="nil"/>
              <w:left w:val="nil"/>
              <w:bottom w:val="single" w:sz="4" w:space="0" w:color="auto"/>
              <w:right w:val="single" w:sz="4" w:space="0" w:color="auto"/>
            </w:tcBorders>
            <w:vAlign w:val="center"/>
            <w:hideMark/>
          </w:tcPr>
          <w:p w14:paraId="3CE3030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925.65 (908.40)</w:t>
            </w:r>
          </w:p>
        </w:tc>
        <w:tc>
          <w:tcPr>
            <w:tcW w:w="1170" w:type="dxa"/>
            <w:tcBorders>
              <w:top w:val="nil"/>
              <w:left w:val="nil"/>
              <w:bottom w:val="single" w:sz="4" w:space="0" w:color="auto"/>
              <w:right w:val="single" w:sz="4" w:space="0" w:color="auto"/>
            </w:tcBorders>
            <w:vAlign w:val="center"/>
            <w:hideMark/>
          </w:tcPr>
          <w:p w14:paraId="6BF8385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1829.51 (1489.60)</w:t>
            </w:r>
          </w:p>
        </w:tc>
        <w:tc>
          <w:tcPr>
            <w:tcW w:w="1080" w:type="dxa"/>
            <w:tcBorders>
              <w:top w:val="nil"/>
              <w:left w:val="nil"/>
              <w:bottom w:val="single" w:sz="4" w:space="0" w:color="auto"/>
              <w:right w:val="single" w:sz="4" w:space="0" w:color="auto"/>
            </w:tcBorders>
            <w:vAlign w:val="center"/>
            <w:hideMark/>
          </w:tcPr>
          <w:p w14:paraId="2C96A47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65.67</w:t>
            </w:r>
          </w:p>
        </w:tc>
        <w:tc>
          <w:tcPr>
            <w:tcW w:w="1029" w:type="dxa"/>
            <w:tcBorders>
              <w:top w:val="nil"/>
              <w:left w:val="nil"/>
              <w:bottom w:val="single" w:sz="4" w:space="0" w:color="auto"/>
              <w:right w:val="single" w:sz="4" w:space="0" w:color="auto"/>
            </w:tcBorders>
            <w:vAlign w:val="center"/>
            <w:hideMark/>
          </w:tcPr>
          <w:p w14:paraId="2A3160D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100.85</w:t>
            </w:r>
          </w:p>
        </w:tc>
        <w:tc>
          <w:tcPr>
            <w:tcW w:w="875" w:type="dxa"/>
            <w:tcBorders>
              <w:top w:val="nil"/>
              <w:left w:val="nil"/>
              <w:bottom w:val="single" w:sz="4" w:space="0" w:color="auto"/>
              <w:right w:val="single" w:sz="4" w:space="0" w:color="auto"/>
            </w:tcBorders>
            <w:vAlign w:val="center"/>
            <w:hideMark/>
          </w:tcPr>
          <w:p w14:paraId="435D2DF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107.75</w:t>
            </w:r>
          </w:p>
        </w:tc>
        <w:tc>
          <w:tcPr>
            <w:tcW w:w="933" w:type="dxa"/>
            <w:tcBorders>
              <w:top w:val="nil"/>
              <w:left w:val="nil"/>
              <w:bottom w:val="single" w:sz="4" w:space="0" w:color="auto"/>
              <w:right w:val="single" w:sz="4" w:space="0" w:color="auto"/>
            </w:tcBorders>
            <w:vAlign w:val="center"/>
            <w:hideMark/>
          </w:tcPr>
          <w:p w14:paraId="68B91AF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106.27</w:t>
            </w:r>
          </w:p>
        </w:tc>
        <w:tc>
          <w:tcPr>
            <w:tcW w:w="884" w:type="dxa"/>
            <w:tcBorders>
              <w:top w:val="nil"/>
              <w:left w:val="nil"/>
              <w:bottom w:val="single" w:sz="4" w:space="0" w:color="auto"/>
              <w:right w:val="single" w:sz="4" w:space="0" w:color="auto"/>
            </w:tcBorders>
            <w:vAlign w:val="center"/>
            <w:hideMark/>
          </w:tcPr>
          <w:p w14:paraId="204D804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563.08 (576.12)</w:t>
            </w:r>
          </w:p>
        </w:tc>
        <w:tc>
          <w:tcPr>
            <w:tcW w:w="898" w:type="dxa"/>
            <w:tcBorders>
              <w:top w:val="nil"/>
              <w:left w:val="nil"/>
              <w:bottom w:val="single" w:sz="4" w:space="0" w:color="auto"/>
              <w:right w:val="single" w:sz="4" w:space="0" w:color="auto"/>
            </w:tcBorders>
            <w:vAlign w:val="center"/>
            <w:hideMark/>
          </w:tcPr>
          <w:p w14:paraId="583FF7B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668.89 (626.40)</w:t>
            </w:r>
          </w:p>
        </w:tc>
        <w:tc>
          <w:tcPr>
            <w:tcW w:w="1023" w:type="dxa"/>
            <w:tcBorders>
              <w:top w:val="nil"/>
              <w:left w:val="nil"/>
              <w:bottom w:val="single" w:sz="4" w:space="0" w:color="auto"/>
              <w:right w:val="single" w:sz="4" w:space="0" w:color="auto"/>
            </w:tcBorders>
            <w:vAlign w:val="center"/>
            <w:hideMark/>
          </w:tcPr>
          <w:p w14:paraId="291011D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886.22 (849.09)</w:t>
            </w:r>
          </w:p>
        </w:tc>
        <w:tc>
          <w:tcPr>
            <w:tcW w:w="767" w:type="dxa"/>
            <w:tcBorders>
              <w:top w:val="nil"/>
              <w:left w:val="nil"/>
              <w:bottom w:val="single" w:sz="4" w:space="0" w:color="auto"/>
              <w:right w:val="single" w:sz="4" w:space="0" w:color="auto"/>
            </w:tcBorders>
            <w:vAlign w:val="center"/>
            <w:hideMark/>
          </w:tcPr>
          <w:p w14:paraId="6889021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26.84</w:t>
            </w:r>
          </w:p>
        </w:tc>
        <w:tc>
          <w:tcPr>
            <w:tcW w:w="960" w:type="dxa"/>
            <w:tcBorders>
              <w:top w:val="nil"/>
              <w:left w:val="nil"/>
              <w:bottom w:val="single" w:sz="4" w:space="0" w:color="auto"/>
              <w:right w:val="single" w:sz="4" w:space="0" w:color="auto"/>
            </w:tcBorders>
            <w:vAlign w:val="center"/>
            <w:hideMark/>
          </w:tcPr>
          <w:p w14:paraId="6B22849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1563.39 (1464.24)</w:t>
            </w:r>
          </w:p>
        </w:tc>
        <w:tc>
          <w:tcPr>
            <w:tcW w:w="817" w:type="dxa"/>
            <w:tcBorders>
              <w:top w:val="nil"/>
              <w:left w:val="nil"/>
              <w:bottom w:val="single" w:sz="4" w:space="0" w:color="auto"/>
              <w:right w:val="single" w:sz="4" w:space="0" w:color="auto"/>
            </w:tcBorders>
            <w:vAlign w:val="center"/>
            <w:hideMark/>
          </w:tcPr>
          <w:p w14:paraId="2645C3A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88.05</w:t>
            </w:r>
          </w:p>
        </w:tc>
        <w:tc>
          <w:tcPr>
            <w:tcW w:w="890" w:type="dxa"/>
            <w:tcBorders>
              <w:top w:val="nil"/>
              <w:left w:val="nil"/>
              <w:bottom w:val="single" w:sz="4" w:space="0" w:color="auto"/>
              <w:right w:val="single" w:sz="4" w:space="0" w:color="auto"/>
            </w:tcBorders>
            <w:vAlign w:val="center"/>
            <w:hideMark/>
          </w:tcPr>
          <w:p w14:paraId="5D7021C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1703.80 (1532.90)</w:t>
            </w:r>
          </w:p>
        </w:tc>
        <w:tc>
          <w:tcPr>
            <w:tcW w:w="894" w:type="dxa"/>
            <w:tcBorders>
              <w:top w:val="nil"/>
              <w:left w:val="nil"/>
              <w:bottom w:val="single" w:sz="4" w:space="0" w:color="auto"/>
              <w:right w:val="single" w:sz="4" w:space="0" w:color="auto"/>
            </w:tcBorders>
            <w:vAlign w:val="center"/>
            <w:hideMark/>
          </w:tcPr>
          <w:p w14:paraId="31CBD08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1646.74 (1700.34)</w:t>
            </w:r>
          </w:p>
        </w:tc>
      </w:tr>
      <w:tr w:rsidR="008930D1" w:rsidRPr="008930D1" w14:paraId="2698A3BE"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D93A0AA"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(iv) Others</w:t>
            </w:r>
          </w:p>
        </w:tc>
        <w:tc>
          <w:tcPr>
            <w:tcW w:w="1080" w:type="dxa"/>
            <w:tcBorders>
              <w:top w:val="nil"/>
              <w:left w:val="nil"/>
              <w:bottom w:val="single" w:sz="4" w:space="0" w:color="auto"/>
              <w:right w:val="single" w:sz="4" w:space="0" w:color="auto"/>
            </w:tcBorders>
            <w:vAlign w:val="center"/>
            <w:hideMark/>
          </w:tcPr>
          <w:p w14:paraId="73875F3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3383.79 (4164.56)</w:t>
            </w:r>
          </w:p>
        </w:tc>
        <w:tc>
          <w:tcPr>
            <w:tcW w:w="1170" w:type="dxa"/>
            <w:tcBorders>
              <w:top w:val="nil"/>
              <w:left w:val="nil"/>
              <w:bottom w:val="single" w:sz="4" w:space="0" w:color="auto"/>
              <w:right w:val="single" w:sz="4" w:space="0" w:color="auto"/>
            </w:tcBorders>
            <w:vAlign w:val="center"/>
            <w:hideMark/>
          </w:tcPr>
          <w:p w14:paraId="2B5CA96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5254.73 (6617.38)</w:t>
            </w:r>
          </w:p>
        </w:tc>
        <w:tc>
          <w:tcPr>
            <w:tcW w:w="1080" w:type="dxa"/>
            <w:tcBorders>
              <w:top w:val="nil"/>
              <w:left w:val="nil"/>
              <w:bottom w:val="single" w:sz="4" w:space="0" w:color="auto"/>
              <w:right w:val="single" w:sz="4" w:space="0" w:color="auto"/>
            </w:tcBorders>
            <w:vAlign w:val="center"/>
            <w:hideMark/>
          </w:tcPr>
          <w:p w14:paraId="1CDCC2E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266.96</w:t>
            </w:r>
          </w:p>
        </w:tc>
        <w:tc>
          <w:tcPr>
            <w:tcW w:w="1029" w:type="dxa"/>
            <w:tcBorders>
              <w:top w:val="nil"/>
              <w:left w:val="nil"/>
              <w:bottom w:val="single" w:sz="4" w:space="0" w:color="auto"/>
              <w:right w:val="single" w:sz="4" w:space="0" w:color="auto"/>
            </w:tcBorders>
            <w:vAlign w:val="center"/>
            <w:hideMark/>
          </w:tcPr>
          <w:p w14:paraId="5C2D8E2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300.72</w:t>
            </w:r>
          </w:p>
        </w:tc>
        <w:tc>
          <w:tcPr>
            <w:tcW w:w="875" w:type="dxa"/>
            <w:tcBorders>
              <w:top w:val="nil"/>
              <w:left w:val="nil"/>
              <w:bottom w:val="single" w:sz="4" w:space="0" w:color="auto"/>
              <w:right w:val="single" w:sz="4" w:space="0" w:color="auto"/>
            </w:tcBorders>
            <w:vAlign w:val="center"/>
            <w:hideMark/>
          </w:tcPr>
          <w:p w14:paraId="5AB43D0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417.13</w:t>
            </w:r>
          </w:p>
        </w:tc>
        <w:tc>
          <w:tcPr>
            <w:tcW w:w="933" w:type="dxa"/>
            <w:tcBorders>
              <w:top w:val="nil"/>
              <w:left w:val="nil"/>
              <w:bottom w:val="single" w:sz="4" w:space="0" w:color="auto"/>
              <w:right w:val="single" w:sz="4" w:space="0" w:color="auto"/>
            </w:tcBorders>
            <w:vAlign w:val="center"/>
            <w:hideMark/>
          </w:tcPr>
          <w:p w14:paraId="4F95DF8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374.31</w:t>
            </w:r>
          </w:p>
        </w:tc>
        <w:tc>
          <w:tcPr>
            <w:tcW w:w="884" w:type="dxa"/>
            <w:tcBorders>
              <w:top w:val="nil"/>
              <w:left w:val="nil"/>
              <w:bottom w:val="single" w:sz="4" w:space="0" w:color="auto"/>
              <w:right w:val="single" w:sz="4" w:space="0" w:color="auto"/>
            </w:tcBorders>
            <w:vAlign w:val="center"/>
            <w:hideMark/>
          </w:tcPr>
          <w:p w14:paraId="43AC26E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1757.23 (2136.36)</w:t>
            </w:r>
          </w:p>
        </w:tc>
        <w:tc>
          <w:tcPr>
            <w:tcW w:w="898" w:type="dxa"/>
            <w:tcBorders>
              <w:top w:val="nil"/>
              <w:left w:val="nil"/>
              <w:bottom w:val="single" w:sz="4" w:space="0" w:color="auto"/>
              <w:right w:val="single" w:sz="4" w:space="0" w:color="auto"/>
            </w:tcBorders>
            <w:vAlign w:val="center"/>
            <w:hideMark/>
          </w:tcPr>
          <w:p w14:paraId="3E5DAAB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1348.29 (1470.76)</w:t>
            </w:r>
          </w:p>
        </w:tc>
        <w:tc>
          <w:tcPr>
            <w:tcW w:w="1023" w:type="dxa"/>
            <w:tcBorders>
              <w:top w:val="nil"/>
              <w:left w:val="nil"/>
              <w:bottom w:val="single" w:sz="4" w:space="0" w:color="auto"/>
              <w:right w:val="single" w:sz="4" w:space="0" w:color="auto"/>
            </w:tcBorders>
            <w:vAlign w:val="center"/>
            <w:hideMark/>
          </w:tcPr>
          <w:p w14:paraId="2A69E6F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2427.87 (2046.19)</w:t>
            </w:r>
          </w:p>
        </w:tc>
        <w:tc>
          <w:tcPr>
            <w:tcW w:w="767" w:type="dxa"/>
            <w:tcBorders>
              <w:top w:val="nil"/>
              <w:left w:val="nil"/>
              <w:bottom w:val="single" w:sz="4" w:space="0" w:color="auto"/>
              <w:right w:val="single" w:sz="4" w:space="0" w:color="auto"/>
            </w:tcBorders>
            <w:vAlign w:val="center"/>
            <w:hideMark/>
          </w:tcPr>
          <w:p w14:paraId="3BCDB6E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101.89</w:t>
            </w:r>
          </w:p>
        </w:tc>
        <w:tc>
          <w:tcPr>
            <w:tcW w:w="960" w:type="dxa"/>
            <w:tcBorders>
              <w:top w:val="nil"/>
              <w:left w:val="nil"/>
              <w:bottom w:val="single" w:sz="4" w:space="0" w:color="auto"/>
              <w:right w:val="single" w:sz="4" w:space="0" w:color="auto"/>
            </w:tcBorders>
            <w:vAlign w:val="center"/>
            <w:hideMark/>
          </w:tcPr>
          <w:p w14:paraId="5DEF298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4060.72 (4318.87)</w:t>
            </w:r>
          </w:p>
        </w:tc>
        <w:tc>
          <w:tcPr>
            <w:tcW w:w="817" w:type="dxa"/>
            <w:tcBorders>
              <w:top w:val="nil"/>
              <w:left w:val="nil"/>
              <w:bottom w:val="single" w:sz="4" w:space="0" w:color="auto"/>
              <w:right w:val="single" w:sz="4" w:space="0" w:color="auto"/>
            </w:tcBorders>
            <w:vAlign w:val="center"/>
            <w:hideMark/>
          </w:tcPr>
          <w:p w14:paraId="3B18861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457.8</w:t>
            </w:r>
          </w:p>
        </w:tc>
        <w:tc>
          <w:tcPr>
            <w:tcW w:w="890" w:type="dxa"/>
            <w:tcBorders>
              <w:top w:val="nil"/>
              <w:left w:val="nil"/>
              <w:bottom w:val="single" w:sz="4" w:space="0" w:color="auto"/>
              <w:right w:val="single" w:sz="4" w:space="0" w:color="auto"/>
            </w:tcBorders>
            <w:vAlign w:val="center"/>
            <w:hideMark/>
          </w:tcPr>
          <w:p w14:paraId="36DE0C9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5553.48 (5608.68)</w:t>
            </w:r>
          </w:p>
        </w:tc>
        <w:tc>
          <w:tcPr>
            <w:tcW w:w="894" w:type="dxa"/>
            <w:tcBorders>
              <w:top w:val="nil"/>
              <w:left w:val="nil"/>
              <w:bottom w:val="single" w:sz="4" w:space="0" w:color="auto"/>
              <w:right w:val="single" w:sz="4" w:space="0" w:color="auto"/>
            </w:tcBorders>
            <w:vAlign w:val="center"/>
            <w:hideMark/>
          </w:tcPr>
          <w:p w14:paraId="7F95883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4162.63 (4132.40)</w:t>
            </w:r>
          </w:p>
        </w:tc>
      </w:tr>
      <w:tr w:rsidR="008930D1" w:rsidRPr="008930D1" w14:paraId="1FFFAF35"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8CE752F"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 Provision For Pay Parity</w:t>
            </w:r>
          </w:p>
        </w:tc>
        <w:tc>
          <w:tcPr>
            <w:tcW w:w="1080" w:type="dxa"/>
            <w:tcBorders>
              <w:top w:val="nil"/>
              <w:left w:val="nil"/>
              <w:bottom w:val="single" w:sz="4" w:space="0" w:color="auto"/>
              <w:right w:val="single" w:sz="4" w:space="0" w:color="auto"/>
            </w:tcBorders>
            <w:vAlign w:val="center"/>
            <w:hideMark/>
          </w:tcPr>
          <w:p w14:paraId="337258A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76.29 (90.82)</w:t>
            </w:r>
          </w:p>
        </w:tc>
        <w:tc>
          <w:tcPr>
            <w:tcW w:w="1170" w:type="dxa"/>
            <w:tcBorders>
              <w:top w:val="nil"/>
              <w:left w:val="nil"/>
              <w:bottom w:val="single" w:sz="4" w:space="0" w:color="auto"/>
              <w:right w:val="single" w:sz="4" w:space="0" w:color="auto"/>
            </w:tcBorders>
            <w:vAlign w:val="center"/>
            <w:hideMark/>
          </w:tcPr>
          <w:p w14:paraId="44BFCA9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80" w:type="dxa"/>
            <w:tcBorders>
              <w:top w:val="nil"/>
              <w:left w:val="nil"/>
              <w:bottom w:val="single" w:sz="4" w:space="0" w:color="auto"/>
              <w:right w:val="single" w:sz="4" w:space="0" w:color="auto"/>
            </w:tcBorders>
            <w:vAlign w:val="center"/>
            <w:hideMark/>
          </w:tcPr>
          <w:p w14:paraId="0CCB1CF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36.92</w:t>
            </w:r>
          </w:p>
        </w:tc>
        <w:tc>
          <w:tcPr>
            <w:tcW w:w="1029" w:type="dxa"/>
            <w:tcBorders>
              <w:top w:val="nil"/>
              <w:left w:val="nil"/>
              <w:bottom w:val="single" w:sz="4" w:space="0" w:color="auto"/>
              <w:right w:val="single" w:sz="4" w:space="0" w:color="auto"/>
            </w:tcBorders>
            <w:vAlign w:val="center"/>
            <w:hideMark/>
          </w:tcPr>
          <w:p w14:paraId="6722954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75" w:type="dxa"/>
            <w:tcBorders>
              <w:top w:val="nil"/>
              <w:left w:val="nil"/>
              <w:bottom w:val="single" w:sz="4" w:space="0" w:color="auto"/>
              <w:right w:val="single" w:sz="4" w:space="0" w:color="auto"/>
            </w:tcBorders>
            <w:vAlign w:val="center"/>
            <w:hideMark/>
          </w:tcPr>
          <w:p w14:paraId="34C5C06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33" w:type="dxa"/>
            <w:tcBorders>
              <w:top w:val="nil"/>
              <w:left w:val="nil"/>
              <w:bottom w:val="single" w:sz="4" w:space="0" w:color="auto"/>
              <w:right w:val="single" w:sz="4" w:space="0" w:color="auto"/>
            </w:tcBorders>
            <w:vAlign w:val="center"/>
            <w:hideMark/>
          </w:tcPr>
          <w:p w14:paraId="2173E43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25.11</w:t>
            </w:r>
          </w:p>
        </w:tc>
        <w:tc>
          <w:tcPr>
            <w:tcW w:w="884" w:type="dxa"/>
            <w:tcBorders>
              <w:top w:val="nil"/>
              <w:left w:val="nil"/>
              <w:bottom w:val="single" w:sz="4" w:space="0" w:color="auto"/>
              <w:right w:val="single" w:sz="4" w:space="0" w:color="auto"/>
            </w:tcBorders>
            <w:vAlign w:val="center"/>
            <w:hideMark/>
          </w:tcPr>
          <w:p w14:paraId="760640C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402.18 (401.69)</w:t>
            </w:r>
          </w:p>
        </w:tc>
        <w:tc>
          <w:tcPr>
            <w:tcW w:w="898" w:type="dxa"/>
            <w:tcBorders>
              <w:top w:val="nil"/>
              <w:left w:val="nil"/>
              <w:bottom w:val="single" w:sz="4" w:space="0" w:color="auto"/>
              <w:right w:val="single" w:sz="4" w:space="0" w:color="auto"/>
            </w:tcBorders>
            <w:vAlign w:val="center"/>
            <w:hideMark/>
          </w:tcPr>
          <w:p w14:paraId="68EF303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3" w:type="dxa"/>
            <w:tcBorders>
              <w:top w:val="nil"/>
              <w:left w:val="nil"/>
              <w:bottom w:val="single" w:sz="4" w:space="0" w:color="auto"/>
              <w:right w:val="single" w:sz="4" w:space="0" w:color="auto"/>
            </w:tcBorders>
            <w:vAlign w:val="center"/>
            <w:hideMark/>
          </w:tcPr>
          <w:p w14:paraId="3B196A7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246.03 (237.77)</w:t>
            </w:r>
          </w:p>
        </w:tc>
        <w:tc>
          <w:tcPr>
            <w:tcW w:w="767" w:type="dxa"/>
            <w:tcBorders>
              <w:top w:val="nil"/>
              <w:left w:val="nil"/>
              <w:bottom w:val="single" w:sz="4" w:space="0" w:color="auto"/>
              <w:right w:val="single" w:sz="4" w:space="0" w:color="auto"/>
            </w:tcBorders>
            <w:vAlign w:val="center"/>
            <w:hideMark/>
          </w:tcPr>
          <w:p w14:paraId="591587A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4.42</w:t>
            </w:r>
          </w:p>
        </w:tc>
        <w:tc>
          <w:tcPr>
            <w:tcW w:w="960" w:type="dxa"/>
            <w:tcBorders>
              <w:top w:val="nil"/>
              <w:left w:val="nil"/>
              <w:bottom w:val="single" w:sz="4" w:space="0" w:color="auto"/>
              <w:right w:val="single" w:sz="4" w:space="0" w:color="auto"/>
            </w:tcBorders>
            <w:vAlign w:val="center"/>
            <w:hideMark/>
          </w:tcPr>
          <w:p w14:paraId="2A02159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1623.26 (1689.44)</w:t>
            </w:r>
          </w:p>
        </w:tc>
        <w:tc>
          <w:tcPr>
            <w:tcW w:w="817" w:type="dxa"/>
            <w:tcBorders>
              <w:top w:val="nil"/>
              <w:left w:val="nil"/>
              <w:bottom w:val="single" w:sz="4" w:space="0" w:color="auto"/>
              <w:right w:val="single" w:sz="4" w:space="0" w:color="auto"/>
            </w:tcBorders>
            <w:vAlign w:val="center"/>
            <w:hideMark/>
          </w:tcPr>
          <w:p w14:paraId="2D04233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0" w:type="dxa"/>
            <w:tcBorders>
              <w:top w:val="nil"/>
              <w:left w:val="nil"/>
              <w:bottom w:val="single" w:sz="4" w:space="0" w:color="auto"/>
              <w:right w:val="single" w:sz="4" w:space="0" w:color="auto"/>
            </w:tcBorders>
            <w:vAlign w:val="center"/>
            <w:hideMark/>
          </w:tcPr>
          <w:p w14:paraId="12C7E68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3489.36 (3461.59)</w:t>
            </w:r>
          </w:p>
        </w:tc>
        <w:tc>
          <w:tcPr>
            <w:tcW w:w="894" w:type="dxa"/>
            <w:tcBorders>
              <w:top w:val="nil"/>
              <w:left w:val="nil"/>
              <w:bottom w:val="single" w:sz="4" w:space="0" w:color="auto"/>
              <w:right w:val="single" w:sz="4" w:space="0" w:color="auto"/>
            </w:tcBorders>
            <w:vAlign w:val="center"/>
            <w:hideMark/>
          </w:tcPr>
          <w:p w14:paraId="19E2771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423.04 (497.68)</w:t>
            </w:r>
          </w:p>
        </w:tc>
      </w:tr>
      <w:tr w:rsidR="008930D1" w:rsidRPr="008930D1" w14:paraId="5ACD18E6"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2EF155C7"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(b) Other Expenditure</w:t>
            </w:r>
          </w:p>
        </w:tc>
        <w:tc>
          <w:tcPr>
            <w:tcW w:w="1080" w:type="dxa"/>
            <w:tcBorders>
              <w:top w:val="nil"/>
              <w:left w:val="nil"/>
              <w:bottom w:val="single" w:sz="4" w:space="0" w:color="auto"/>
              <w:right w:val="single" w:sz="4" w:space="0" w:color="auto"/>
            </w:tcBorders>
            <w:vAlign w:val="center"/>
            <w:hideMark/>
          </w:tcPr>
          <w:p w14:paraId="7B747EB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8867.56</w:t>
            </w:r>
          </w:p>
        </w:tc>
        <w:tc>
          <w:tcPr>
            <w:tcW w:w="1170" w:type="dxa"/>
            <w:tcBorders>
              <w:top w:val="nil"/>
              <w:left w:val="nil"/>
              <w:bottom w:val="single" w:sz="4" w:space="0" w:color="auto"/>
              <w:right w:val="single" w:sz="4" w:space="0" w:color="auto"/>
            </w:tcBorders>
            <w:vAlign w:val="center"/>
            <w:hideMark/>
          </w:tcPr>
          <w:p w14:paraId="3F2F3BD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14095.72</w:t>
            </w:r>
          </w:p>
        </w:tc>
        <w:tc>
          <w:tcPr>
            <w:tcW w:w="1080" w:type="dxa"/>
            <w:tcBorders>
              <w:top w:val="nil"/>
              <w:left w:val="nil"/>
              <w:bottom w:val="single" w:sz="4" w:space="0" w:color="auto"/>
              <w:right w:val="single" w:sz="4" w:space="0" w:color="auto"/>
            </w:tcBorders>
            <w:vAlign w:val="center"/>
            <w:hideMark/>
          </w:tcPr>
          <w:p w14:paraId="12180BB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372.01</w:t>
            </w:r>
          </w:p>
        </w:tc>
        <w:tc>
          <w:tcPr>
            <w:tcW w:w="1029" w:type="dxa"/>
            <w:tcBorders>
              <w:top w:val="nil"/>
              <w:left w:val="nil"/>
              <w:bottom w:val="single" w:sz="4" w:space="0" w:color="auto"/>
              <w:right w:val="single" w:sz="4" w:space="0" w:color="auto"/>
            </w:tcBorders>
            <w:vAlign w:val="center"/>
            <w:hideMark/>
          </w:tcPr>
          <w:p w14:paraId="3F86261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368.14</w:t>
            </w:r>
          </w:p>
        </w:tc>
        <w:tc>
          <w:tcPr>
            <w:tcW w:w="875" w:type="dxa"/>
            <w:tcBorders>
              <w:top w:val="nil"/>
              <w:left w:val="nil"/>
              <w:bottom w:val="single" w:sz="4" w:space="0" w:color="auto"/>
              <w:right w:val="single" w:sz="4" w:space="0" w:color="auto"/>
            </w:tcBorders>
            <w:vAlign w:val="center"/>
            <w:hideMark/>
          </w:tcPr>
          <w:p w14:paraId="186F826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238.66</w:t>
            </w:r>
          </w:p>
        </w:tc>
        <w:tc>
          <w:tcPr>
            <w:tcW w:w="933" w:type="dxa"/>
            <w:tcBorders>
              <w:top w:val="nil"/>
              <w:left w:val="nil"/>
              <w:bottom w:val="single" w:sz="4" w:space="0" w:color="auto"/>
              <w:right w:val="single" w:sz="4" w:space="0" w:color="auto"/>
            </w:tcBorders>
            <w:vAlign w:val="center"/>
            <w:hideMark/>
          </w:tcPr>
          <w:p w14:paraId="08EA07D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408.22</w:t>
            </w:r>
          </w:p>
        </w:tc>
        <w:tc>
          <w:tcPr>
            <w:tcW w:w="884" w:type="dxa"/>
            <w:tcBorders>
              <w:top w:val="nil"/>
              <w:left w:val="nil"/>
              <w:bottom w:val="single" w:sz="4" w:space="0" w:color="auto"/>
              <w:right w:val="single" w:sz="4" w:space="0" w:color="auto"/>
            </w:tcBorders>
            <w:vAlign w:val="center"/>
            <w:hideMark/>
          </w:tcPr>
          <w:p w14:paraId="153C01A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3889.4</w:t>
            </w:r>
          </w:p>
        </w:tc>
        <w:tc>
          <w:tcPr>
            <w:tcW w:w="898" w:type="dxa"/>
            <w:tcBorders>
              <w:top w:val="nil"/>
              <w:left w:val="nil"/>
              <w:bottom w:val="single" w:sz="4" w:space="0" w:color="auto"/>
              <w:right w:val="single" w:sz="4" w:space="0" w:color="auto"/>
            </w:tcBorders>
            <w:vAlign w:val="center"/>
            <w:hideMark/>
          </w:tcPr>
          <w:p w14:paraId="3A1813C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5250.3</w:t>
            </w:r>
          </w:p>
        </w:tc>
        <w:tc>
          <w:tcPr>
            <w:tcW w:w="1023" w:type="dxa"/>
            <w:tcBorders>
              <w:top w:val="nil"/>
              <w:left w:val="nil"/>
              <w:bottom w:val="single" w:sz="4" w:space="0" w:color="auto"/>
              <w:right w:val="single" w:sz="4" w:space="0" w:color="auto"/>
            </w:tcBorders>
            <w:vAlign w:val="center"/>
            <w:hideMark/>
          </w:tcPr>
          <w:p w14:paraId="48BB5DE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6348.6</w:t>
            </w:r>
          </w:p>
        </w:tc>
        <w:tc>
          <w:tcPr>
            <w:tcW w:w="767" w:type="dxa"/>
            <w:tcBorders>
              <w:top w:val="nil"/>
              <w:left w:val="nil"/>
              <w:bottom w:val="single" w:sz="4" w:space="0" w:color="auto"/>
              <w:right w:val="single" w:sz="4" w:space="0" w:color="auto"/>
            </w:tcBorders>
            <w:vAlign w:val="center"/>
            <w:hideMark/>
          </w:tcPr>
          <w:p w14:paraId="570F6CD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124.44</w:t>
            </w:r>
          </w:p>
        </w:tc>
        <w:tc>
          <w:tcPr>
            <w:tcW w:w="960" w:type="dxa"/>
            <w:tcBorders>
              <w:top w:val="nil"/>
              <w:left w:val="nil"/>
              <w:bottom w:val="single" w:sz="4" w:space="0" w:color="auto"/>
              <w:right w:val="single" w:sz="4" w:space="0" w:color="auto"/>
            </w:tcBorders>
            <w:vAlign w:val="center"/>
            <w:hideMark/>
          </w:tcPr>
          <w:p w14:paraId="05CF7E3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7621.8</w:t>
            </w:r>
          </w:p>
        </w:tc>
        <w:tc>
          <w:tcPr>
            <w:tcW w:w="817" w:type="dxa"/>
            <w:tcBorders>
              <w:top w:val="nil"/>
              <w:left w:val="nil"/>
              <w:bottom w:val="single" w:sz="4" w:space="0" w:color="auto"/>
              <w:right w:val="single" w:sz="4" w:space="0" w:color="auto"/>
            </w:tcBorders>
            <w:vAlign w:val="center"/>
            <w:hideMark/>
          </w:tcPr>
          <w:p w14:paraId="04293B4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452.21</w:t>
            </w:r>
          </w:p>
        </w:tc>
        <w:tc>
          <w:tcPr>
            <w:tcW w:w="890" w:type="dxa"/>
            <w:tcBorders>
              <w:top w:val="nil"/>
              <w:left w:val="nil"/>
              <w:bottom w:val="single" w:sz="4" w:space="0" w:color="auto"/>
              <w:right w:val="single" w:sz="4" w:space="0" w:color="auto"/>
            </w:tcBorders>
            <w:vAlign w:val="center"/>
            <w:hideMark/>
          </w:tcPr>
          <w:p w14:paraId="3CD4CB7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13338.39</w:t>
            </w:r>
          </w:p>
        </w:tc>
        <w:tc>
          <w:tcPr>
            <w:tcW w:w="894" w:type="dxa"/>
            <w:tcBorders>
              <w:top w:val="nil"/>
              <w:left w:val="nil"/>
              <w:bottom w:val="single" w:sz="4" w:space="0" w:color="auto"/>
              <w:right w:val="single" w:sz="4" w:space="0" w:color="auto"/>
            </w:tcBorders>
            <w:vAlign w:val="center"/>
            <w:hideMark/>
          </w:tcPr>
          <w:p w14:paraId="4A8E93E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7376.71</w:t>
            </w:r>
          </w:p>
        </w:tc>
      </w:tr>
      <w:tr w:rsidR="008930D1" w:rsidRPr="008930D1" w14:paraId="662A73E2"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94125CC"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w:t>
            </w:r>
            <w:proofErr w:type="spellStart"/>
            <w:r w:rsidRPr="00767C21">
              <w:rPr>
                <w:rFonts w:ascii="Arial" w:eastAsia="Times New Roman" w:hAnsi="Arial" w:cs="Arial"/>
                <w:color w:val="2B2D31"/>
                <w:kern w:val="0"/>
                <w:sz w:val="13"/>
                <w:szCs w:val="13"/>
                <w:lang w:eastAsia="en-IN"/>
                <w14:ligatures w14:val="none"/>
              </w:rPr>
              <w:t>i</w:t>
            </w:r>
            <w:proofErr w:type="spellEnd"/>
            <w:r w:rsidRPr="00767C21">
              <w:rPr>
                <w:rFonts w:ascii="Arial" w:eastAsia="Times New Roman" w:hAnsi="Arial" w:cs="Arial"/>
                <w:color w:val="2B2D31"/>
                <w:kern w:val="0"/>
                <w:sz w:val="13"/>
                <w:szCs w:val="13"/>
                <w:lang w:eastAsia="en-IN"/>
                <w14:ligatures w14:val="none"/>
              </w:rPr>
              <w:t>) Interest Payment</w:t>
            </w:r>
          </w:p>
        </w:tc>
        <w:tc>
          <w:tcPr>
            <w:tcW w:w="1080" w:type="dxa"/>
            <w:tcBorders>
              <w:top w:val="nil"/>
              <w:left w:val="nil"/>
              <w:bottom w:val="single" w:sz="4" w:space="0" w:color="auto"/>
              <w:right w:val="single" w:sz="4" w:space="0" w:color="auto"/>
            </w:tcBorders>
            <w:vAlign w:val="center"/>
            <w:hideMark/>
          </w:tcPr>
          <w:p w14:paraId="2353A85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3941.6</w:t>
            </w:r>
          </w:p>
        </w:tc>
        <w:tc>
          <w:tcPr>
            <w:tcW w:w="1170" w:type="dxa"/>
            <w:tcBorders>
              <w:top w:val="nil"/>
              <w:left w:val="nil"/>
              <w:bottom w:val="single" w:sz="4" w:space="0" w:color="auto"/>
              <w:right w:val="single" w:sz="4" w:space="0" w:color="auto"/>
            </w:tcBorders>
            <w:vAlign w:val="center"/>
            <w:hideMark/>
          </w:tcPr>
          <w:p w14:paraId="5B6E42B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5731.24</w:t>
            </w:r>
          </w:p>
        </w:tc>
        <w:tc>
          <w:tcPr>
            <w:tcW w:w="1080" w:type="dxa"/>
            <w:tcBorders>
              <w:top w:val="nil"/>
              <w:left w:val="nil"/>
              <w:bottom w:val="single" w:sz="4" w:space="0" w:color="auto"/>
              <w:right w:val="single" w:sz="4" w:space="0" w:color="auto"/>
            </w:tcBorders>
            <w:vAlign w:val="center"/>
            <w:hideMark/>
          </w:tcPr>
          <w:p w14:paraId="30030F6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162.74</w:t>
            </w:r>
          </w:p>
        </w:tc>
        <w:tc>
          <w:tcPr>
            <w:tcW w:w="1029" w:type="dxa"/>
            <w:tcBorders>
              <w:top w:val="nil"/>
              <w:left w:val="nil"/>
              <w:bottom w:val="single" w:sz="4" w:space="0" w:color="auto"/>
              <w:right w:val="single" w:sz="4" w:space="0" w:color="auto"/>
            </w:tcBorders>
            <w:vAlign w:val="center"/>
            <w:hideMark/>
          </w:tcPr>
          <w:p w14:paraId="0073760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126</w:t>
            </w:r>
          </w:p>
        </w:tc>
        <w:tc>
          <w:tcPr>
            <w:tcW w:w="875" w:type="dxa"/>
            <w:tcBorders>
              <w:top w:val="nil"/>
              <w:left w:val="nil"/>
              <w:bottom w:val="single" w:sz="4" w:space="0" w:color="auto"/>
              <w:right w:val="single" w:sz="4" w:space="0" w:color="auto"/>
            </w:tcBorders>
            <w:vAlign w:val="center"/>
            <w:hideMark/>
          </w:tcPr>
          <w:p w14:paraId="6882E10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85.83</w:t>
            </w:r>
          </w:p>
        </w:tc>
        <w:tc>
          <w:tcPr>
            <w:tcW w:w="933" w:type="dxa"/>
            <w:tcBorders>
              <w:top w:val="nil"/>
              <w:left w:val="nil"/>
              <w:bottom w:val="single" w:sz="4" w:space="0" w:color="auto"/>
              <w:right w:val="single" w:sz="4" w:space="0" w:color="auto"/>
            </w:tcBorders>
            <w:vAlign w:val="center"/>
            <w:hideMark/>
          </w:tcPr>
          <w:p w14:paraId="00007DA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214.08</w:t>
            </w:r>
          </w:p>
        </w:tc>
        <w:tc>
          <w:tcPr>
            <w:tcW w:w="884" w:type="dxa"/>
            <w:tcBorders>
              <w:top w:val="nil"/>
              <w:left w:val="nil"/>
              <w:bottom w:val="single" w:sz="4" w:space="0" w:color="auto"/>
              <w:right w:val="single" w:sz="4" w:space="0" w:color="auto"/>
            </w:tcBorders>
            <w:vAlign w:val="center"/>
            <w:hideMark/>
          </w:tcPr>
          <w:p w14:paraId="2DE12B0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2303.12</w:t>
            </w:r>
          </w:p>
        </w:tc>
        <w:tc>
          <w:tcPr>
            <w:tcW w:w="898" w:type="dxa"/>
            <w:tcBorders>
              <w:top w:val="nil"/>
              <w:left w:val="nil"/>
              <w:bottom w:val="single" w:sz="4" w:space="0" w:color="auto"/>
              <w:right w:val="single" w:sz="4" w:space="0" w:color="auto"/>
            </w:tcBorders>
            <w:vAlign w:val="center"/>
            <w:hideMark/>
          </w:tcPr>
          <w:p w14:paraId="323BE68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3319.35</w:t>
            </w:r>
          </w:p>
        </w:tc>
        <w:tc>
          <w:tcPr>
            <w:tcW w:w="1023" w:type="dxa"/>
            <w:tcBorders>
              <w:top w:val="nil"/>
              <w:left w:val="nil"/>
              <w:bottom w:val="single" w:sz="4" w:space="0" w:color="auto"/>
              <w:right w:val="single" w:sz="4" w:space="0" w:color="auto"/>
            </w:tcBorders>
            <w:vAlign w:val="center"/>
            <w:hideMark/>
          </w:tcPr>
          <w:p w14:paraId="3F07F23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3334.27</w:t>
            </w:r>
          </w:p>
        </w:tc>
        <w:tc>
          <w:tcPr>
            <w:tcW w:w="767" w:type="dxa"/>
            <w:tcBorders>
              <w:top w:val="nil"/>
              <w:left w:val="nil"/>
              <w:bottom w:val="single" w:sz="4" w:space="0" w:color="auto"/>
              <w:right w:val="single" w:sz="4" w:space="0" w:color="auto"/>
            </w:tcBorders>
            <w:vAlign w:val="center"/>
            <w:hideMark/>
          </w:tcPr>
          <w:p w14:paraId="2EE4A0D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55.61</w:t>
            </w:r>
          </w:p>
        </w:tc>
        <w:tc>
          <w:tcPr>
            <w:tcW w:w="960" w:type="dxa"/>
            <w:tcBorders>
              <w:top w:val="nil"/>
              <w:left w:val="nil"/>
              <w:bottom w:val="single" w:sz="4" w:space="0" w:color="auto"/>
              <w:right w:val="single" w:sz="4" w:space="0" w:color="auto"/>
            </w:tcBorders>
            <w:vAlign w:val="center"/>
            <w:hideMark/>
          </w:tcPr>
          <w:p w14:paraId="13FA548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2672.1</w:t>
            </w:r>
          </w:p>
        </w:tc>
        <w:tc>
          <w:tcPr>
            <w:tcW w:w="817" w:type="dxa"/>
            <w:tcBorders>
              <w:top w:val="nil"/>
              <w:left w:val="nil"/>
              <w:bottom w:val="single" w:sz="4" w:space="0" w:color="auto"/>
              <w:right w:val="single" w:sz="4" w:space="0" w:color="auto"/>
            </w:tcBorders>
            <w:vAlign w:val="center"/>
            <w:hideMark/>
          </w:tcPr>
          <w:p w14:paraId="0589C0B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193.26</w:t>
            </w:r>
          </w:p>
        </w:tc>
        <w:tc>
          <w:tcPr>
            <w:tcW w:w="890" w:type="dxa"/>
            <w:tcBorders>
              <w:top w:val="nil"/>
              <w:left w:val="nil"/>
              <w:bottom w:val="single" w:sz="4" w:space="0" w:color="auto"/>
              <w:right w:val="single" w:sz="4" w:space="0" w:color="auto"/>
            </w:tcBorders>
            <w:vAlign w:val="center"/>
            <w:hideMark/>
          </w:tcPr>
          <w:p w14:paraId="10B422F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7781.9</w:t>
            </w:r>
          </w:p>
        </w:tc>
        <w:tc>
          <w:tcPr>
            <w:tcW w:w="894" w:type="dxa"/>
            <w:tcBorders>
              <w:top w:val="nil"/>
              <w:left w:val="nil"/>
              <w:bottom w:val="single" w:sz="4" w:space="0" w:color="auto"/>
              <w:right w:val="single" w:sz="4" w:space="0" w:color="auto"/>
            </w:tcBorders>
            <w:vAlign w:val="center"/>
            <w:hideMark/>
          </w:tcPr>
          <w:p w14:paraId="69AE7E2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4075.18</w:t>
            </w:r>
          </w:p>
        </w:tc>
      </w:tr>
      <w:tr w:rsidR="008930D1" w:rsidRPr="008930D1" w14:paraId="40320496"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05AC9D84"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 xml:space="preserve">(ii) Social Security </w:t>
            </w:r>
            <w:proofErr w:type="gramStart"/>
            <w:r w:rsidRPr="00767C21">
              <w:rPr>
                <w:rFonts w:ascii="Arial" w:eastAsia="Times New Roman" w:hAnsi="Arial" w:cs="Arial"/>
                <w:color w:val="2B2D31"/>
                <w:kern w:val="0"/>
                <w:sz w:val="13"/>
                <w:szCs w:val="13"/>
                <w:lang w:eastAsia="en-IN"/>
                <w14:ligatures w14:val="none"/>
              </w:rPr>
              <w:t>And</w:t>
            </w:r>
            <w:proofErr w:type="gramEnd"/>
            <w:r w:rsidRPr="00767C21">
              <w:rPr>
                <w:rFonts w:ascii="Arial" w:eastAsia="Times New Roman" w:hAnsi="Arial" w:cs="Arial"/>
                <w:color w:val="2B2D31"/>
                <w:kern w:val="0"/>
                <w:sz w:val="13"/>
                <w:szCs w:val="13"/>
                <w:lang w:eastAsia="en-IN"/>
                <w14:ligatures w14:val="none"/>
              </w:rPr>
              <w:t xml:space="preserve"> Welfare</w:t>
            </w:r>
          </w:p>
        </w:tc>
        <w:tc>
          <w:tcPr>
            <w:tcW w:w="1080" w:type="dxa"/>
            <w:tcBorders>
              <w:top w:val="nil"/>
              <w:left w:val="nil"/>
              <w:bottom w:val="single" w:sz="4" w:space="0" w:color="auto"/>
              <w:right w:val="single" w:sz="4" w:space="0" w:color="auto"/>
            </w:tcBorders>
            <w:vAlign w:val="center"/>
            <w:hideMark/>
          </w:tcPr>
          <w:p w14:paraId="4A23807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1135.31</w:t>
            </w:r>
          </w:p>
        </w:tc>
        <w:tc>
          <w:tcPr>
            <w:tcW w:w="1170" w:type="dxa"/>
            <w:tcBorders>
              <w:top w:val="nil"/>
              <w:left w:val="nil"/>
              <w:bottom w:val="single" w:sz="4" w:space="0" w:color="auto"/>
              <w:right w:val="single" w:sz="4" w:space="0" w:color="auto"/>
            </w:tcBorders>
            <w:vAlign w:val="center"/>
            <w:hideMark/>
          </w:tcPr>
          <w:p w14:paraId="4F03E87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789.2</w:t>
            </w:r>
          </w:p>
        </w:tc>
        <w:tc>
          <w:tcPr>
            <w:tcW w:w="1080" w:type="dxa"/>
            <w:tcBorders>
              <w:top w:val="nil"/>
              <w:left w:val="nil"/>
              <w:bottom w:val="single" w:sz="4" w:space="0" w:color="auto"/>
              <w:right w:val="single" w:sz="4" w:space="0" w:color="auto"/>
            </w:tcBorders>
            <w:vAlign w:val="center"/>
            <w:hideMark/>
          </w:tcPr>
          <w:p w14:paraId="63FAD10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22.5</w:t>
            </w:r>
          </w:p>
        </w:tc>
        <w:tc>
          <w:tcPr>
            <w:tcW w:w="1029" w:type="dxa"/>
            <w:tcBorders>
              <w:top w:val="nil"/>
              <w:left w:val="nil"/>
              <w:bottom w:val="single" w:sz="4" w:space="0" w:color="auto"/>
              <w:right w:val="single" w:sz="4" w:space="0" w:color="auto"/>
            </w:tcBorders>
            <w:vAlign w:val="center"/>
            <w:hideMark/>
          </w:tcPr>
          <w:p w14:paraId="2832270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12.8</w:t>
            </w:r>
          </w:p>
        </w:tc>
        <w:tc>
          <w:tcPr>
            <w:tcW w:w="875" w:type="dxa"/>
            <w:tcBorders>
              <w:top w:val="nil"/>
              <w:left w:val="nil"/>
              <w:bottom w:val="single" w:sz="4" w:space="0" w:color="auto"/>
              <w:right w:val="single" w:sz="4" w:space="0" w:color="auto"/>
            </w:tcBorders>
            <w:vAlign w:val="center"/>
            <w:hideMark/>
          </w:tcPr>
          <w:p w14:paraId="270F17F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57.95</w:t>
            </w:r>
          </w:p>
        </w:tc>
        <w:tc>
          <w:tcPr>
            <w:tcW w:w="933" w:type="dxa"/>
            <w:tcBorders>
              <w:top w:val="nil"/>
              <w:left w:val="nil"/>
              <w:bottom w:val="single" w:sz="4" w:space="0" w:color="auto"/>
              <w:right w:val="single" w:sz="4" w:space="0" w:color="auto"/>
            </w:tcBorders>
            <w:vAlign w:val="center"/>
            <w:hideMark/>
          </w:tcPr>
          <w:p w14:paraId="09167CC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20.95</w:t>
            </w:r>
          </w:p>
        </w:tc>
        <w:tc>
          <w:tcPr>
            <w:tcW w:w="884" w:type="dxa"/>
            <w:tcBorders>
              <w:top w:val="nil"/>
              <w:left w:val="nil"/>
              <w:bottom w:val="single" w:sz="4" w:space="0" w:color="auto"/>
              <w:right w:val="single" w:sz="4" w:space="0" w:color="auto"/>
            </w:tcBorders>
            <w:vAlign w:val="center"/>
            <w:hideMark/>
          </w:tcPr>
          <w:p w14:paraId="3EBE8EC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182.53</w:t>
            </w:r>
          </w:p>
        </w:tc>
        <w:tc>
          <w:tcPr>
            <w:tcW w:w="898" w:type="dxa"/>
            <w:tcBorders>
              <w:top w:val="nil"/>
              <w:left w:val="nil"/>
              <w:bottom w:val="single" w:sz="4" w:space="0" w:color="auto"/>
              <w:right w:val="single" w:sz="4" w:space="0" w:color="auto"/>
            </w:tcBorders>
            <w:vAlign w:val="center"/>
            <w:hideMark/>
          </w:tcPr>
          <w:p w14:paraId="2F792F8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243.03</w:t>
            </w:r>
          </w:p>
        </w:tc>
        <w:tc>
          <w:tcPr>
            <w:tcW w:w="1023" w:type="dxa"/>
            <w:tcBorders>
              <w:top w:val="nil"/>
              <w:left w:val="nil"/>
              <w:bottom w:val="single" w:sz="4" w:space="0" w:color="auto"/>
              <w:right w:val="single" w:sz="4" w:space="0" w:color="auto"/>
            </w:tcBorders>
            <w:vAlign w:val="center"/>
            <w:hideMark/>
          </w:tcPr>
          <w:p w14:paraId="57204A5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215.35</w:t>
            </w:r>
          </w:p>
        </w:tc>
        <w:tc>
          <w:tcPr>
            <w:tcW w:w="767" w:type="dxa"/>
            <w:tcBorders>
              <w:top w:val="nil"/>
              <w:left w:val="nil"/>
              <w:bottom w:val="single" w:sz="4" w:space="0" w:color="auto"/>
              <w:right w:val="single" w:sz="4" w:space="0" w:color="auto"/>
            </w:tcBorders>
            <w:vAlign w:val="center"/>
            <w:hideMark/>
          </w:tcPr>
          <w:p w14:paraId="0CCFF93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1.95</w:t>
            </w:r>
          </w:p>
        </w:tc>
        <w:tc>
          <w:tcPr>
            <w:tcW w:w="960" w:type="dxa"/>
            <w:tcBorders>
              <w:top w:val="nil"/>
              <w:left w:val="nil"/>
              <w:bottom w:val="single" w:sz="4" w:space="0" w:color="auto"/>
              <w:right w:val="single" w:sz="4" w:space="0" w:color="auto"/>
            </w:tcBorders>
            <w:vAlign w:val="center"/>
            <w:hideMark/>
          </w:tcPr>
          <w:p w14:paraId="219798A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2030.97</w:t>
            </w:r>
          </w:p>
        </w:tc>
        <w:tc>
          <w:tcPr>
            <w:tcW w:w="817" w:type="dxa"/>
            <w:tcBorders>
              <w:top w:val="nil"/>
              <w:left w:val="nil"/>
              <w:bottom w:val="single" w:sz="4" w:space="0" w:color="auto"/>
              <w:right w:val="single" w:sz="4" w:space="0" w:color="auto"/>
            </w:tcBorders>
            <w:vAlign w:val="center"/>
            <w:hideMark/>
          </w:tcPr>
          <w:p w14:paraId="4FC72B6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52.71</w:t>
            </w:r>
          </w:p>
        </w:tc>
        <w:tc>
          <w:tcPr>
            <w:tcW w:w="890" w:type="dxa"/>
            <w:tcBorders>
              <w:top w:val="nil"/>
              <w:left w:val="nil"/>
              <w:bottom w:val="single" w:sz="4" w:space="0" w:color="auto"/>
              <w:right w:val="single" w:sz="4" w:space="0" w:color="auto"/>
            </w:tcBorders>
            <w:vAlign w:val="center"/>
            <w:hideMark/>
          </w:tcPr>
          <w:p w14:paraId="26DA1E1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520.41</w:t>
            </w:r>
          </w:p>
        </w:tc>
        <w:tc>
          <w:tcPr>
            <w:tcW w:w="894" w:type="dxa"/>
            <w:tcBorders>
              <w:top w:val="nil"/>
              <w:left w:val="nil"/>
              <w:bottom w:val="single" w:sz="4" w:space="0" w:color="auto"/>
              <w:right w:val="single" w:sz="4" w:space="0" w:color="auto"/>
            </w:tcBorders>
            <w:vAlign w:val="center"/>
            <w:hideMark/>
          </w:tcPr>
          <w:p w14:paraId="18C106E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441.59</w:t>
            </w:r>
          </w:p>
        </w:tc>
      </w:tr>
      <w:tr w:rsidR="008930D1" w:rsidRPr="008930D1" w14:paraId="4070837D"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59E6CB54"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(iii) Irrigation *</w:t>
            </w:r>
          </w:p>
        </w:tc>
        <w:tc>
          <w:tcPr>
            <w:tcW w:w="1080" w:type="dxa"/>
            <w:tcBorders>
              <w:top w:val="nil"/>
              <w:left w:val="nil"/>
              <w:bottom w:val="single" w:sz="4" w:space="0" w:color="auto"/>
              <w:right w:val="single" w:sz="4" w:space="0" w:color="auto"/>
            </w:tcBorders>
            <w:vAlign w:val="center"/>
            <w:hideMark/>
          </w:tcPr>
          <w:p w14:paraId="0613316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238.01</w:t>
            </w:r>
          </w:p>
        </w:tc>
        <w:tc>
          <w:tcPr>
            <w:tcW w:w="1170" w:type="dxa"/>
            <w:tcBorders>
              <w:top w:val="nil"/>
              <w:left w:val="nil"/>
              <w:bottom w:val="single" w:sz="4" w:space="0" w:color="auto"/>
              <w:right w:val="single" w:sz="4" w:space="0" w:color="auto"/>
            </w:tcBorders>
            <w:vAlign w:val="center"/>
            <w:hideMark/>
          </w:tcPr>
          <w:p w14:paraId="295A243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271.56</w:t>
            </w:r>
          </w:p>
        </w:tc>
        <w:tc>
          <w:tcPr>
            <w:tcW w:w="1080" w:type="dxa"/>
            <w:tcBorders>
              <w:top w:val="nil"/>
              <w:left w:val="nil"/>
              <w:bottom w:val="single" w:sz="4" w:space="0" w:color="auto"/>
              <w:right w:val="single" w:sz="4" w:space="0" w:color="auto"/>
            </w:tcBorders>
            <w:vAlign w:val="center"/>
            <w:hideMark/>
          </w:tcPr>
          <w:p w14:paraId="022D156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34.97</w:t>
            </w:r>
          </w:p>
        </w:tc>
        <w:tc>
          <w:tcPr>
            <w:tcW w:w="1029" w:type="dxa"/>
            <w:tcBorders>
              <w:top w:val="nil"/>
              <w:left w:val="nil"/>
              <w:bottom w:val="single" w:sz="4" w:space="0" w:color="auto"/>
              <w:right w:val="single" w:sz="4" w:space="0" w:color="auto"/>
            </w:tcBorders>
            <w:vAlign w:val="center"/>
            <w:hideMark/>
          </w:tcPr>
          <w:p w14:paraId="1699B5D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7.26</w:t>
            </w:r>
          </w:p>
        </w:tc>
        <w:tc>
          <w:tcPr>
            <w:tcW w:w="875" w:type="dxa"/>
            <w:tcBorders>
              <w:top w:val="nil"/>
              <w:left w:val="nil"/>
              <w:bottom w:val="single" w:sz="4" w:space="0" w:color="auto"/>
              <w:right w:val="single" w:sz="4" w:space="0" w:color="auto"/>
            </w:tcBorders>
            <w:vAlign w:val="center"/>
            <w:hideMark/>
          </w:tcPr>
          <w:p w14:paraId="21E24BF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1.35</w:t>
            </w:r>
          </w:p>
        </w:tc>
        <w:tc>
          <w:tcPr>
            <w:tcW w:w="933" w:type="dxa"/>
            <w:tcBorders>
              <w:top w:val="nil"/>
              <w:left w:val="nil"/>
              <w:bottom w:val="single" w:sz="4" w:space="0" w:color="auto"/>
              <w:right w:val="single" w:sz="4" w:space="0" w:color="auto"/>
            </w:tcBorders>
            <w:vAlign w:val="center"/>
            <w:hideMark/>
          </w:tcPr>
          <w:p w14:paraId="0188C5B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3.81</w:t>
            </w:r>
          </w:p>
        </w:tc>
        <w:tc>
          <w:tcPr>
            <w:tcW w:w="884" w:type="dxa"/>
            <w:tcBorders>
              <w:top w:val="nil"/>
              <w:left w:val="nil"/>
              <w:bottom w:val="single" w:sz="4" w:space="0" w:color="auto"/>
              <w:right w:val="single" w:sz="4" w:space="0" w:color="auto"/>
            </w:tcBorders>
            <w:vAlign w:val="center"/>
            <w:hideMark/>
          </w:tcPr>
          <w:p w14:paraId="7716549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238.09</w:t>
            </w:r>
          </w:p>
        </w:tc>
        <w:tc>
          <w:tcPr>
            <w:tcW w:w="898" w:type="dxa"/>
            <w:tcBorders>
              <w:top w:val="nil"/>
              <w:left w:val="nil"/>
              <w:bottom w:val="single" w:sz="4" w:space="0" w:color="auto"/>
              <w:right w:val="single" w:sz="4" w:space="0" w:color="auto"/>
            </w:tcBorders>
            <w:vAlign w:val="center"/>
            <w:hideMark/>
          </w:tcPr>
          <w:p w14:paraId="2EB85E3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492.63</w:t>
            </w:r>
          </w:p>
        </w:tc>
        <w:tc>
          <w:tcPr>
            <w:tcW w:w="1023" w:type="dxa"/>
            <w:tcBorders>
              <w:top w:val="nil"/>
              <w:left w:val="nil"/>
              <w:bottom w:val="single" w:sz="4" w:space="0" w:color="auto"/>
              <w:right w:val="single" w:sz="4" w:space="0" w:color="auto"/>
            </w:tcBorders>
            <w:vAlign w:val="center"/>
            <w:hideMark/>
          </w:tcPr>
          <w:p w14:paraId="7203CAF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238.63</w:t>
            </w:r>
          </w:p>
        </w:tc>
        <w:tc>
          <w:tcPr>
            <w:tcW w:w="767" w:type="dxa"/>
            <w:tcBorders>
              <w:top w:val="nil"/>
              <w:left w:val="nil"/>
              <w:bottom w:val="single" w:sz="4" w:space="0" w:color="auto"/>
              <w:right w:val="single" w:sz="4" w:space="0" w:color="auto"/>
            </w:tcBorders>
            <w:vAlign w:val="center"/>
            <w:hideMark/>
          </w:tcPr>
          <w:p w14:paraId="168EFF5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1.78</w:t>
            </w:r>
          </w:p>
        </w:tc>
        <w:tc>
          <w:tcPr>
            <w:tcW w:w="960" w:type="dxa"/>
            <w:tcBorders>
              <w:top w:val="nil"/>
              <w:left w:val="nil"/>
              <w:bottom w:val="single" w:sz="4" w:space="0" w:color="auto"/>
              <w:right w:val="single" w:sz="4" w:space="0" w:color="auto"/>
            </w:tcBorders>
            <w:vAlign w:val="center"/>
            <w:hideMark/>
          </w:tcPr>
          <w:p w14:paraId="06E56AE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162.49</w:t>
            </w:r>
          </w:p>
        </w:tc>
        <w:tc>
          <w:tcPr>
            <w:tcW w:w="817" w:type="dxa"/>
            <w:tcBorders>
              <w:top w:val="nil"/>
              <w:left w:val="nil"/>
              <w:bottom w:val="single" w:sz="4" w:space="0" w:color="auto"/>
              <w:right w:val="single" w:sz="4" w:space="0" w:color="auto"/>
            </w:tcBorders>
            <w:vAlign w:val="center"/>
            <w:hideMark/>
          </w:tcPr>
          <w:p w14:paraId="2A437E7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16.82</w:t>
            </w:r>
          </w:p>
        </w:tc>
        <w:tc>
          <w:tcPr>
            <w:tcW w:w="890" w:type="dxa"/>
            <w:tcBorders>
              <w:top w:val="nil"/>
              <w:left w:val="nil"/>
              <w:bottom w:val="single" w:sz="4" w:space="0" w:color="auto"/>
              <w:right w:val="single" w:sz="4" w:space="0" w:color="auto"/>
            </w:tcBorders>
            <w:vAlign w:val="center"/>
            <w:hideMark/>
          </w:tcPr>
          <w:p w14:paraId="7A57141C"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1778.3</w:t>
            </w:r>
          </w:p>
        </w:tc>
        <w:tc>
          <w:tcPr>
            <w:tcW w:w="894" w:type="dxa"/>
            <w:tcBorders>
              <w:top w:val="nil"/>
              <w:left w:val="nil"/>
              <w:bottom w:val="single" w:sz="4" w:space="0" w:color="auto"/>
              <w:right w:val="single" w:sz="4" w:space="0" w:color="auto"/>
            </w:tcBorders>
            <w:vAlign w:val="center"/>
            <w:hideMark/>
          </w:tcPr>
          <w:p w14:paraId="79AB6C8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598.03</w:t>
            </w:r>
          </w:p>
        </w:tc>
      </w:tr>
      <w:tr w:rsidR="008930D1" w:rsidRPr="008930D1" w14:paraId="2D02508E"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37712EA6"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(iv) Buildings Including Housing</w:t>
            </w:r>
          </w:p>
        </w:tc>
        <w:tc>
          <w:tcPr>
            <w:tcW w:w="1080" w:type="dxa"/>
            <w:tcBorders>
              <w:top w:val="nil"/>
              <w:left w:val="nil"/>
              <w:bottom w:val="single" w:sz="4" w:space="0" w:color="auto"/>
              <w:right w:val="single" w:sz="4" w:space="0" w:color="auto"/>
            </w:tcBorders>
            <w:vAlign w:val="center"/>
            <w:hideMark/>
          </w:tcPr>
          <w:p w14:paraId="0C1760C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166.09</w:t>
            </w:r>
          </w:p>
        </w:tc>
        <w:tc>
          <w:tcPr>
            <w:tcW w:w="1170" w:type="dxa"/>
            <w:tcBorders>
              <w:top w:val="nil"/>
              <w:left w:val="nil"/>
              <w:bottom w:val="single" w:sz="4" w:space="0" w:color="auto"/>
              <w:right w:val="single" w:sz="4" w:space="0" w:color="auto"/>
            </w:tcBorders>
            <w:vAlign w:val="center"/>
            <w:hideMark/>
          </w:tcPr>
          <w:p w14:paraId="77E8C79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298.26</w:t>
            </w:r>
          </w:p>
        </w:tc>
        <w:tc>
          <w:tcPr>
            <w:tcW w:w="1080" w:type="dxa"/>
            <w:tcBorders>
              <w:top w:val="nil"/>
              <w:left w:val="nil"/>
              <w:bottom w:val="single" w:sz="4" w:space="0" w:color="auto"/>
              <w:right w:val="single" w:sz="4" w:space="0" w:color="auto"/>
            </w:tcBorders>
            <w:vAlign w:val="center"/>
            <w:hideMark/>
          </w:tcPr>
          <w:p w14:paraId="383F1F5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12.54</w:t>
            </w:r>
          </w:p>
        </w:tc>
        <w:tc>
          <w:tcPr>
            <w:tcW w:w="1029" w:type="dxa"/>
            <w:tcBorders>
              <w:top w:val="nil"/>
              <w:left w:val="nil"/>
              <w:bottom w:val="single" w:sz="4" w:space="0" w:color="auto"/>
              <w:right w:val="single" w:sz="4" w:space="0" w:color="auto"/>
            </w:tcBorders>
            <w:vAlign w:val="center"/>
            <w:hideMark/>
          </w:tcPr>
          <w:p w14:paraId="68A21AC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25.41</w:t>
            </w:r>
          </w:p>
        </w:tc>
        <w:tc>
          <w:tcPr>
            <w:tcW w:w="875" w:type="dxa"/>
            <w:tcBorders>
              <w:top w:val="nil"/>
              <w:left w:val="nil"/>
              <w:bottom w:val="single" w:sz="4" w:space="0" w:color="auto"/>
              <w:right w:val="single" w:sz="4" w:space="0" w:color="auto"/>
            </w:tcBorders>
            <w:vAlign w:val="center"/>
            <w:hideMark/>
          </w:tcPr>
          <w:p w14:paraId="2DE9494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10.83</w:t>
            </w:r>
          </w:p>
        </w:tc>
        <w:tc>
          <w:tcPr>
            <w:tcW w:w="933" w:type="dxa"/>
            <w:tcBorders>
              <w:top w:val="nil"/>
              <w:left w:val="nil"/>
              <w:bottom w:val="single" w:sz="4" w:space="0" w:color="auto"/>
              <w:right w:val="single" w:sz="4" w:space="0" w:color="auto"/>
            </w:tcBorders>
            <w:vAlign w:val="center"/>
            <w:hideMark/>
          </w:tcPr>
          <w:p w14:paraId="69AC5F7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24.16</w:t>
            </w:r>
          </w:p>
        </w:tc>
        <w:tc>
          <w:tcPr>
            <w:tcW w:w="884" w:type="dxa"/>
            <w:tcBorders>
              <w:top w:val="nil"/>
              <w:left w:val="nil"/>
              <w:bottom w:val="single" w:sz="4" w:space="0" w:color="auto"/>
              <w:right w:val="single" w:sz="4" w:space="0" w:color="auto"/>
            </w:tcBorders>
            <w:vAlign w:val="center"/>
            <w:hideMark/>
          </w:tcPr>
          <w:p w14:paraId="14D62C3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150.4</w:t>
            </w:r>
          </w:p>
        </w:tc>
        <w:tc>
          <w:tcPr>
            <w:tcW w:w="898" w:type="dxa"/>
            <w:tcBorders>
              <w:top w:val="nil"/>
              <w:left w:val="nil"/>
              <w:bottom w:val="single" w:sz="4" w:space="0" w:color="auto"/>
              <w:right w:val="single" w:sz="4" w:space="0" w:color="auto"/>
            </w:tcBorders>
            <w:vAlign w:val="center"/>
            <w:hideMark/>
          </w:tcPr>
          <w:p w14:paraId="776A523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95.96</w:t>
            </w:r>
          </w:p>
        </w:tc>
        <w:tc>
          <w:tcPr>
            <w:tcW w:w="1023" w:type="dxa"/>
            <w:tcBorders>
              <w:top w:val="nil"/>
              <w:left w:val="nil"/>
              <w:bottom w:val="single" w:sz="4" w:space="0" w:color="auto"/>
              <w:right w:val="single" w:sz="4" w:space="0" w:color="auto"/>
            </w:tcBorders>
            <w:vAlign w:val="center"/>
            <w:hideMark/>
          </w:tcPr>
          <w:p w14:paraId="44E07F2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99.66</w:t>
            </w:r>
          </w:p>
        </w:tc>
        <w:tc>
          <w:tcPr>
            <w:tcW w:w="767" w:type="dxa"/>
            <w:tcBorders>
              <w:top w:val="nil"/>
              <w:left w:val="nil"/>
              <w:bottom w:val="single" w:sz="4" w:space="0" w:color="auto"/>
              <w:right w:val="single" w:sz="4" w:space="0" w:color="auto"/>
            </w:tcBorders>
            <w:vAlign w:val="center"/>
            <w:hideMark/>
          </w:tcPr>
          <w:p w14:paraId="737A516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6.79</w:t>
            </w:r>
          </w:p>
        </w:tc>
        <w:tc>
          <w:tcPr>
            <w:tcW w:w="960" w:type="dxa"/>
            <w:tcBorders>
              <w:top w:val="nil"/>
              <w:left w:val="nil"/>
              <w:bottom w:val="single" w:sz="4" w:space="0" w:color="auto"/>
              <w:right w:val="single" w:sz="4" w:space="0" w:color="auto"/>
            </w:tcBorders>
            <w:vAlign w:val="center"/>
            <w:hideMark/>
          </w:tcPr>
          <w:p w14:paraId="3692E27F"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121.12</w:t>
            </w:r>
          </w:p>
        </w:tc>
        <w:tc>
          <w:tcPr>
            <w:tcW w:w="817" w:type="dxa"/>
            <w:tcBorders>
              <w:top w:val="nil"/>
              <w:left w:val="nil"/>
              <w:bottom w:val="single" w:sz="4" w:space="0" w:color="auto"/>
              <w:right w:val="single" w:sz="4" w:space="0" w:color="auto"/>
            </w:tcBorders>
            <w:vAlign w:val="center"/>
            <w:hideMark/>
          </w:tcPr>
          <w:p w14:paraId="3C07ED9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22.95</w:t>
            </w:r>
          </w:p>
        </w:tc>
        <w:tc>
          <w:tcPr>
            <w:tcW w:w="890" w:type="dxa"/>
            <w:tcBorders>
              <w:top w:val="nil"/>
              <w:left w:val="nil"/>
              <w:bottom w:val="single" w:sz="4" w:space="0" w:color="auto"/>
              <w:right w:val="single" w:sz="4" w:space="0" w:color="auto"/>
            </w:tcBorders>
            <w:vAlign w:val="center"/>
            <w:hideMark/>
          </w:tcPr>
          <w:p w14:paraId="1732905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255.51</w:t>
            </w:r>
          </w:p>
        </w:tc>
        <w:tc>
          <w:tcPr>
            <w:tcW w:w="894" w:type="dxa"/>
            <w:tcBorders>
              <w:top w:val="nil"/>
              <w:left w:val="nil"/>
              <w:bottom w:val="single" w:sz="4" w:space="0" w:color="auto"/>
              <w:right w:val="single" w:sz="4" w:space="0" w:color="auto"/>
            </w:tcBorders>
            <w:vAlign w:val="center"/>
            <w:hideMark/>
          </w:tcPr>
          <w:p w14:paraId="09D78B2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176.67</w:t>
            </w:r>
          </w:p>
        </w:tc>
      </w:tr>
      <w:tr w:rsidR="008930D1" w:rsidRPr="008930D1" w14:paraId="3A2230B7"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CD914F4"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 Roads And Bridges</w:t>
            </w:r>
          </w:p>
        </w:tc>
        <w:tc>
          <w:tcPr>
            <w:tcW w:w="1080" w:type="dxa"/>
            <w:tcBorders>
              <w:top w:val="nil"/>
              <w:left w:val="nil"/>
              <w:bottom w:val="single" w:sz="4" w:space="0" w:color="auto"/>
              <w:right w:val="single" w:sz="4" w:space="0" w:color="auto"/>
            </w:tcBorders>
            <w:vAlign w:val="center"/>
            <w:hideMark/>
          </w:tcPr>
          <w:p w14:paraId="3F05A56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829.51</w:t>
            </w:r>
          </w:p>
        </w:tc>
        <w:tc>
          <w:tcPr>
            <w:tcW w:w="1170" w:type="dxa"/>
            <w:tcBorders>
              <w:top w:val="nil"/>
              <w:left w:val="nil"/>
              <w:bottom w:val="single" w:sz="4" w:space="0" w:color="auto"/>
              <w:right w:val="single" w:sz="4" w:space="0" w:color="auto"/>
            </w:tcBorders>
            <w:vAlign w:val="center"/>
            <w:hideMark/>
          </w:tcPr>
          <w:p w14:paraId="56A7A60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967.83</w:t>
            </w:r>
          </w:p>
        </w:tc>
        <w:tc>
          <w:tcPr>
            <w:tcW w:w="1080" w:type="dxa"/>
            <w:tcBorders>
              <w:top w:val="nil"/>
              <w:left w:val="nil"/>
              <w:bottom w:val="single" w:sz="4" w:space="0" w:color="auto"/>
              <w:right w:val="single" w:sz="4" w:space="0" w:color="auto"/>
            </w:tcBorders>
            <w:vAlign w:val="center"/>
            <w:hideMark/>
          </w:tcPr>
          <w:p w14:paraId="78984DA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23.33</w:t>
            </w:r>
          </w:p>
        </w:tc>
        <w:tc>
          <w:tcPr>
            <w:tcW w:w="1029" w:type="dxa"/>
            <w:tcBorders>
              <w:top w:val="nil"/>
              <w:left w:val="nil"/>
              <w:bottom w:val="single" w:sz="4" w:space="0" w:color="auto"/>
              <w:right w:val="single" w:sz="4" w:space="0" w:color="auto"/>
            </w:tcBorders>
            <w:vAlign w:val="center"/>
            <w:hideMark/>
          </w:tcPr>
          <w:p w14:paraId="05E8D37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81.32</w:t>
            </w:r>
          </w:p>
        </w:tc>
        <w:tc>
          <w:tcPr>
            <w:tcW w:w="875" w:type="dxa"/>
            <w:tcBorders>
              <w:top w:val="nil"/>
              <w:left w:val="nil"/>
              <w:bottom w:val="single" w:sz="4" w:space="0" w:color="auto"/>
              <w:right w:val="single" w:sz="4" w:space="0" w:color="auto"/>
            </w:tcBorders>
            <w:vAlign w:val="center"/>
            <w:hideMark/>
          </w:tcPr>
          <w:p w14:paraId="5005728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25.88</w:t>
            </w:r>
          </w:p>
        </w:tc>
        <w:tc>
          <w:tcPr>
            <w:tcW w:w="933" w:type="dxa"/>
            <w:tcBorders>
              <w:top w:val="nil"/>
              <w:left w:val="nil"/>
              <w:bottom w:val="single" w:sz="4" w:space="0" w:color="auto"/>
              <w:right w:val="single" w:sz="4" w:space="0" w:color="auto"/>
            </w:tcBorders>
            <w:vAlign w:val="center"/>
            <w:hideMark/>
          </w:tcPr>
          <w:p w14:paraId="7C08111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40.12</w:t>
            </w:r>
          </w:p>
        </w:tc>
        <w:tc>
          <w:tcPr>
            <w:tcW w:w="884" w:type="dxa"/>
            <w:tcBorders>
              <w:top w:val="nil"/>
              <w:left w:val="nil"/>
              <w:bottom w:val="single" w:sz="4" w:space="0" w:color="auto"/>
              <w:right w:val="single" w:sz="4" w:space="0" w:color="auto"/>
            </w:tcBorders>
            <w:vAlign w:val="center"/>
            <w:hideMark/>
          </w:tcPr>
          <w:p w14:paraId="5C839975"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360.99</w:t>
            </w:r>
          </w:p>
        </w:tc>
        <w:tc>
          <w:tcPr>
            <w:tcW w:w="898" w:type="dxa"/>
            <w:tcBorders>
              <w:top w:val="nil"/>
              <w:left w:val="nil"/>
              <w:bottom w:val="single" w:sz="4" w:space="0" w:color="auto"/>
              <w:right w:val="single" w:sz="4" w:space="0" w:color="auto"/>
            </w:tcBorders>
            <w:vAlign w:val="center"/>
            <w:hideMark/>
          </w:tcPr>
          <w:p w14:paraId="3FA3071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337.06</w:t>
            </w:r>
          </w:p>
        </w:tc>
        <w:tc>
          <w:tcPr>
            <w:tcW w:w="1023" w:type="dxa"/>
            <w:tcBorders>
              <w:top w:val="nil"/>
              <w:left w:val="nil"/>
              <w:bottom w:val="single" w:sz="4" w:space="0" w:color="auto"/>
              <w:right w:val="single" w:sz="4" w:space="0" w:color="auto"/>
            </w:tcBorders>
            <w:vAlign w:val="center"/>
            <w:hideMark/>
          </w:tcPr>
          <w:p w14:paraId="6C53617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556.32</w:t>
            </w:r>
          </w:p>
        </w:tc>
        <w:tc>
          <w:tcPr>
            <w:tcW w:w="767" w:type="dxa"/>
            <w:tcBorders>
              <w:top w:val="nil"/>
              <w:left w:val="nil"/>
              <w:bottom w:val="single" w:sz="4" w:space="0" w:color="auto"/>
              <w:right w:val="single" w:sz="4" w:space="0" w:color="auto"/>
            </w:tcBorders>
            <w:vAlign w:val="center"/>
            <w:hideMark/>
          </w:tcPr>
          <w:p w14:paraId="55CF960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24.6</w:t>
            </w:r>
          </w:p>
        </w:tc>
        <w:tc>
          <w:tcPr>
            <w:tcW w:w="960" w:type="dxa"/>
            <w:tcBorders>
              <w:top w:val="nil"/>
              <w:left w:val="nil"/>
              <w:bottom w:val="single" w:sz="4" w:space="0" w:color="auto"/>
              <w:right w:val="single" w:sz="4" w:space="0" w:color="auto"/>
            </w:tcBorders>
            <w:vAlign w:val="center"/>
            <w:hideMark/>
          </w:tcPr>
          <w:p w14:paraId="17BA9AF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626.58</w:t>
            </w:r>
          </w:p>
        </w:tc>
        <w:tc>
          <w:tcPr>
            <w:tcW w:w="817" w:type="dxa"/>
            <w:tcBorders>
              <w:top w:val="nil"/>
              <w:left w:val="nil"/>
              <w:bottom w:val="single" w:sz="4" w:space="0" w:color="auto"/>
              <w:right w:val="single" w:sz="4" w:space="0" w:color="auto"/>
            </w:tcBorders>
            <w:vAlign w:val="center"/>
            <w:hideMark/>
          </w:tcPr>
          <w:p w14:paraId="6CD830E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42.03</w:t>
            </w:r>
          </w:p>
        </w:tc>
        <w:tc>
          <w:tcPr>
            <w:tcW w:w="890" w:type="dxa"/>
            <w:tcBorders>
              <w:top w:val="nil"/>
              <w:left w:val="nil"/>
              <w:bottom w:val="single" w:sz="4" w:space="0" w:color="auto"/>
              <w:right w:val="single" w:sz="4" w:space="0" w:color="auto"/>
            </w:tcBorders>
            <w:vAlign w:val="center"/>
            <w:hideMark/>
          </w:tcPr>
          <w:p w14:paraId="3CD8DDB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1360.49</w:t>
            </w:r>
          </w:p>
        </w:tc>
        <w:tc>
          <w:tcPr>
            <w:tcW w:w="894" w:type="dxa"/>
            <w:tcBorders>
              <w:top w:val="nil"/>
              <w:left w:val="nil"/>
              <w:bottom w:val="single" w:sz="4" w:space="0" w:color="auto"/>
              <w:right w:val="single" w:sz="4" w:space="0" w:color="auto"/>
            </w:tcBorders>
            <w:vAlign w:val="center"/>
            <w:hideMark/>
          </w:tcPr>
          <w:p w14:paraId="66BEA08D"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552.69</w:t>
            </w:r>
          </w:p>
        </w:tc>
      </w:tr>
      <w:tr w:rsidR="008930D1" w:rsidRPr="008930D1" w14:paraId="40A7B966"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4CB3C11C" w14:textId="77777777" w:rsidR="008930D1" w:rsidRPr="00767C21" w:rsidRDefault="008930D1" w:rsidP="009141DF">
            <w:pPr>
              <w:spacing w:after="0" w:line="240" w:lineRule="auto"/>
              <w:ind w:firstLineChars="100" w:firstLine="130"/>
              <w:rPr>
                <w:rFonts w:ascii="Arial" w:eastAsia="Times New Roman" w:hAnsi="Arial" w:cs="Arial"/>
                <w:color w:val="2B2D31"/>
                <w:kern w:val="0"/>
                <w:sz w:val="13"/>
                <w:szCs w:val="13"/>
                <w:lang w:eastAsia="en-IN"/>
                <w14:ligatures w14:val="none"/>
              </w:rPr>
            </w:pPr>
            <w:r w:rsidRPr="00767C21">
              <w:rPr>
                <w:rFonts w:ascii="Arial" w:eastAsia="Times New Roman" w:hAnsi="Arial" w:cs="Arial"/>
                <w:color w:val="2B2D31"/>
                <w:kern w:val="0"/>
                <w:sz w:val="13"/>
                <w:szCs w:val="13"/>
                <w:lang w:eastAsia="en-IN"/>
                <w14:ligatures w14:val="none"/>
              </w:rPr>
              <w:t>(vi) Others</w:t>
            </w:r>
          </w:p>
        </w:tc>
        <w:tc>
          <w:tcPr>
            <w:tcW w:w="1080" w:type="dxa"/>
            <w:tcBorders>
              <w:top w:val="nil"/>
              <w:left w:val="nil"/>
              <w:bottom w:val="single" w:sz="4" w:space="0" w:color="auto"/>
              <w:right w:val="single" w:sz="4" w:space="0" w:color="auto"/>
            </w:tcBorders>
            <w:vAlign w:val="center"/>
            <w:hideMark/>
          </w:tcPr>
          <w:p w14:paraId="270426D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2557.04</w:t>
            </w:r>
          </w:p>
        </w:tc>
        <w:tc>
          <w:tcPr>
            <w:tcW w:w="1170" w:type="dxa"/>
            <w:tcBorders>
              <w:top w:val="nil"/>
              <w:left w:val="nil"/>
              <w:bottom w:val="single" w:sz="4" w:space="0" w:color="auto"/>
              <w:right w:val="single" w:sz="4" w:space="0" w:color="auto"/>
            </w:tcBorders>
            <w:vAlign w:val="center"/>
            <w:hideMark/>
          </w:tcPr>
          <w:p w14:paraId="6552CD8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6037.63</w:t>
            </w:r>
          </w:p>
        </w:tc>
        <w:tc>
          <w:tcPr>
            <w:tcW w:w="1080" w:type="dxa"/>
            <w:tcBorders>
              <w:top w:val="nil"/>
              <w:left w:val="nil"/>
              <w:bottom w:val="single" w:sz="4" w:space="0" w:color="auto"/>
              <w:right w:val="single" w:sz="4" w:space="0" w:color="auto"/>
            </w:tcBorders>
            <w:vAlign w:val="center"/>
            <w:hideMark/>
          </w:tcPr>
          <w:p w14:paraId="34A2F86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115.93</w:t>
            </w:r>
          </w:p>
        </w:tc>
        <w:tc>
          <w:tcPr>
            <w:tcW w:w="1029" w:type="dxa"/>
            <w:tcBorders>
              <w:top w:val="nil"/>
              <w:left w:val="nil"/>
              <w:bottom w:val="single" w:sz="4" w:space="0" w:color="auto"/>
              <w:right w:val="single" w:sz="4" w:space="0" w:color="auto"/>
            </w:tcBorders>
            <w:vAlign w:val="center"/>
            <w:hideMark/>
          </w:tcPr>
          <w:p w14:paraId="6B204AC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115.35</w:t>
            </w:r>
          </w:p>
        </w:tc>
        <w:tc>
          <w:tcPr>
            <w:tcW w:w="875" w:type="dxa"/>
            <w:tcBorders>
              <w:top w:val="nil"/>
              <w:left w:val="nil"/>
              <w:bottom w:val="single" w:sz="4" w:space="0" w:color="auto"/>
              <w:right w:val="single" w:sz="4" w:space="0" w:color="auto"/>
            </w:tcBorders>
            <w:vAlign w:val="center"/>
            <w:hideMark/>
          </w:tcPr>
          <w:p w14:paraId="50E1997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56.82</w:t>
            </w:r>
          </w:p>
        </w:tc>
        <w:tc>
          <w:tcPr>
            <w:tcW w:w="933" w:type="dxa"/>
            <w:tcBorders>
              <w:top w:val="nil"/>
              <w:left w:val="nil"/>
              <w:bottom w:val="single" w:sz="4" w:space="0" w:color="auto"/>
              <w:right w:val="single" w:sz="4" w:space="0" w:color="auto"/>
            </w:tcBorders>
            <w:vAlign w:val="center"/>
            <w:hideMark/>
          </w:tcPr>
          <w:p w14:paraId="79C88CA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105.1</w:t>
            </w:r>
          </w:p>
        </w:tc>
        <w:tc>
          <w:tcPr>
            <w:tcW w:w="884" w:type="dxa"/>
            <w:tcBorders>
              <w:top w:val="nil"/>
              <w:left w:val="nil"/>
              <w:bottom w:val="single" w:sz="4" w:space="0" w:color="auto"/>
              <w:right w:val="single" w:sz="4" w:space="0" w:color="auto"/>
            </w:tcBorders>
            <w:vAlign w:val="center"/>
            <w:hideMark/>
          </w:tcPr>
          <w:p w14:paraId="1DC874CE"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654.27</w:t>
            </w:r>
          </w:p>
        </w:tc>
        <w:tc>
          <w:tcPr>
            <w:tcW w:w="898" w:type="dxa"/>
            <w:tcBorders>
              <w:top w:val="nil"/>
              <w:left w:val="nil"/>
              <w:bottom w:val="single" w:sz="4" w:space="0" w:color="auto"/>
              <w:right w:val="single" w:sz="4" w:space="0" w:color="auto"/>
            </w:tcBorders>
            <w:vAlign w:val="center"/>
            <w:hideMark/>
          </w:tcPr>
          <w:p w14:paraId="2E35B4D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762.27</w:t>
            </w:r>
          </w:p>
        </w:tc>
        <w:tc>
          <w:tcPr>
            <w:tcW w:w="1023" w:type="dxa"/>
            <w:tcBorders>
              <w:top w:val="nil"/>
              <w:left w:val="nil"/>
              <w:bottom w:val="single" w:sz="4" w:space="0" w:color="auto"/>
              <w:right w:val="single" w:sz="4" w:space="0" w:color="auto"/>
            </w:tcBorders>
            <w:vAlign w:val="center"/>
            <w:hideMark/>
          </w:tcPr>
          <w:p w14:paraId="5D666F5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1904.37</w:t>
            </w:r>
          </w:p>
        </w:tc>
        <w:tc>
          <w:tcPr>
            <w:tcW w:w="767" w:type="dxa"/>
            <w:tcBorders>
              <w:top w:val="nil"/>
              <w:left w:val="nil"/>
              <w:bottom w:val="single" w:sz="4" w:space="0" w:color="auto"/>
              <w:right w:val="single" w:sz="4" w:space="0" w:color="auto"/>
            </w:tcBorders>
            <w:vAlign w:val="center"/>
            <w:hideMark/>
          </w:tcPr>
          <w:p w14:paraId="3DC97BE0"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33.71</w:t>
            </w:r>
          </w:p>
        </w:tc>
        <w:tc>
          <w:tcPr>
            <w:tcW w:w="960" w:type="dxa"/>
            <w:tcBorders>
              <w:top w:val="nil"/>
              <w:left w:val="nil"/>
              <w:bottom w:val="single" w:sz="4" w:space="0" w:color="auto"/>
              <w:right w:val="single" w:sz="4" w:space="0" w:color="auto"/>
            </w:tcBorders>
            <w:vAlign w:val="center"/>
            <w:hideMark/>
          </w:tcPr>
          <w:p w14:paraId="75A2071B"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2008.54</w:t>
            </w:r>
          </w:p>
        </w:tc>
        <w:tc>
          <w:tcPr>
            <w:tcW w:w="817" w:type="dxa"/>
            <w:tcBorders>
              <w:top w:val="nil"/>
              <w:left w:val="nil"/>
              <w:bottom w:val="single" w:sz="4" w:space="0" w:color="auto"/>
              <w:right w:val="single" w:sz="4" w:space="0" w:color="auto"/>
            </w:tcBorders>
            <w:vAlign w:val="center"/>
            <w:hideMark/>
          </w:tcPr>
          <w:p w14:paraId="63F782A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124.44</w:t>
            </w:r>
          </w:p>
        </w:tc>
        <w:tc>
          <w:tcPr>
            <w:tcW w:w="890" w:type="dxa"/>
            <w:tcBorders>
              <w:top w:val="nil"/>
              <w:left w:val="nil"/>
              <w:bottom w:val="single" w:sz="4" w:space="0" w:color="auto"/>
              <w:right w:val="single" w:sz="4" w:space="0" w:color="auto"/>
            </w:tcBorders>
            <w:vAlign w:val="center"/>
            <w:hideMark/>
          </w:tcPr>
          <w:p w14:paraId="295B4304"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1641.78</w:t>
            </w:r>
          </w:p>
        </w:tc>
        <w:tc>
          <w:tcPr>
            <w:tcW w:w="894" w:type="dxa"/>
            <w:tcBorders>
              <w:top w:val="nil"/>
              <w:left w:val="nil"/>
              <w:bottom w:val="single" w:sz="4" w:space="0" w:color="auto"/>
              <w:right w:val="single" w:sz="4" w:space="0" w:color="auto"/>
            </w:tcBorders>
            <w:vAlign w:val="center"/>
            <w:hideMark/>
          </w:tcPr>
          <w:p w14:paraId="2D26B2D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1532.55</w:t>
            </w:r>
          </w:p>
        </w:tc>
      </w:tr>
      <w:tr w:rsidR="008930D1" w:rsidRPr="008930D1" w14:paraId="73346651"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7D8048FB"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III- Adjustment</w:t>
            </w:r>
          </w:p>
        </w:tc>
        <w:tc>
          <w:tcPr>
            <w:tcW w:w="1080" w:type="dxa"/>
            <w:tcBorders>
              <w:top w:val="nil"/>
              <w:left w:val="nil"/>
              <w:bottom w:val="single" w:sz="4" w:space="0" w:color="auto"/>
              <w:right w:val="single" w:sz="4" w:space="0" w:color="auto"/>
            </w:tcBorders>
            <w:vAlign w:val="center"/>
            <w:hideMark/>
          </w:tcPr>
          <w:p w14:paraId="3D7CB799"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170" w:type="dxa"/>
            <w:tcBorders>
              <w:top w:val="nil"/>
              <w:left w:val="nil"/>
              <w:bottom w:val="single" w:sz="4" w:space="0" w:color="auto"/>
              <w:right w:val="single" w:sz="4" w:space="0" w:color="auto"/>
            </w:tcBorders>
            <w:vAlign w:val="center"/>
            <w:hideMark/>
          </w:tcPr>
          <w:p w14:paraId="749C508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-1517.7</w:t>
            </w:r>
          </w:p>
        </w:tc>
        <w:tc>
          <w:tcPr>
            <w:tcW w:w="1080" w:type="dxa"/>
            <w:tcBorders>
              <w:top w:val="nil"/>
              <w:left w:val="nil"/>
              <w:bottom w:val="single" w:sz="4" w:space="0" w:color="auto"/>
              <w:right w:val="single" w:sz="4" w:space="0" w:color="auto"/>
            </w:tcBorders>
            <w:vAlign w:val="center"/>
            <w:hideMark/>
          </w:tcPr>
          <w:p w14:paraId="2BC96298"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1029" w:type="dxa"/>
            <w:tcBorders>
              <w:top w:val="nil"/>
              <w:left w:val="nil"/>
              <w:bottom w:val="single" w:sz="4" w:space="0" w:color="auto"/>
              <w:right w:val="single" w:sz="4" w:space="0" w:color="auto"/>
            </w:tcBorders>
            <w:vAlign w:val="center"/>
            <w:hideMark/>
          </w:tcPr>
          <w:p w14:paraId="67D8334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75" w:type="dxa"/>
            <w:tcBorders>
              <w:top w:val="nil"/>
              <w:left w:val="nil"/>
              <w:bottom w:val="single" w:sz="4" w:space="0" w:color="auto"/>
              <w:right w:val="single" w:sz="4" w:space="0" w:color="auto"/>
            </w:tcBorders>
            <w:vAlign w:val="center"/>
            <w:hideMark/>
          </w:tcPr>
          <w:p w14:paraId="6C338D92"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33" w:type="dxa"/>
            <w:tcBorders>
              <w:top w:val="nil"/>
              <w:left w:val="nil"/>
              <w:bottom w:val="single" w:sz="4" w:space="0" w:color="auto"/>
              <w:right w:val="single" w:sz="4" w:space="0" w:color="auto"/>
            </w:tcBorders>
            <w:vAlign w:val="center"/>
            <w:hideMark/>
          </w:tcPr>
          <w:p w14:paraId="10CAFA07"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84" w:type="dxa"/>
            <w:tcBorders>
              <w:top w:val="nil"/>
              <w:left w:val="nil"/>
              <w:bottom w:val="single" w:sz="4" w:space="0" w:color="auto"/>
              <w:right w:val="single" w:sz="4" w:space="0" w:color="auto"/>
            </w:tcBorders>
            <w:vAlign w:val="center"/>
            <w:hideMark/>
          </w:tcPr>
          <w:p w14:paraId="55E685E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8" w:type="dxa"/>
            <w:tcBorders>
              <w:top w:val="nil"/>
              <w:left w:val="nil"/>
              <w:bottom w:val="single" w:sz="4" w:space="0" w:color="auto"/>
              <w:right w:val="single" w:sz="4" w:space="0" w:color="auto"/>
            </w:tcBorders>
            <w:vAlign w:val="center"/>
            <w:hideMark/>
          </w:tcPr>
          <w:p w14:paraId="07AAF07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-599.2</w:t>
            </w:r>
          </w:p>
        </w:tc>
        <w:tc>
          <w:tcPr>
            <w:tcW w:w="1023" w:type="dxa"/>
            <w:tcBorders>
              <w:top w:val="nil"/>
              <w:left w:val="nil"/>
              <w:bottom w:val="single" w:sz="4" w:space="0" w:color="auto"/>
              <w:right w:val="single" w:sz="4" w:space="0" w:color="auto"/>
            </w:tcBorders>
            <w:vAlign w:val="center"/>
            <w:hideMark/>
          </w:tcPr>
          <w:p w14:paraId="43D6E183"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767" w:type="dxa"/>
            <w:tcBorders>
              <w:top w:val="nil"/>
              <w:left w:val="nil"/>
              <w:bottom w:val="single" w:sz="4" w:space="0" w:color="auto"/>
              <w:right w:val="single" w:sz="4" w:space="0" w:color="auto"/>
            </w:tcBorders>
            <w:vAlign w:val="center"/>
            <w:hideMark/>
          </w:tcPr>
          <w:p w14:paraId="25963CD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960" w:type="dxa"/>
            <w:tcBorders>
              <w:top w:val="nil"/>
              <w:left w:val="nil"/>
              <w:bottom w:val="single" w:sz="4" w:space="0" w:color="auto"/>
              <w:right w:val="single" w:sz="4" w:space="0" w:color="auto"/>
            </w:tcBorders>
            <w:vAlign w:val="center"/>
            <w:hideMark/>
          </w:tcPr>
          <w:p w14:paraId="0FA93E01"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-227.95</w:t>
            </w:r>
          </w:p>
        </w:tc>
        <w:tc>
          <w:tcPr>
            <w:tcW w:w="817" w:type="dxa"/>
            <w:tcBorders>
              <w:top w:val="nil"/>
              <w:left w:val="nil"/>
              <w:bottom w:val="single" w:sz="4" w:space="0" w:color="auto"/>
              <w:right w:val="single" w:sz="4" w:space="0" w:color="auto"/>
            </w:tcBorders>
            <w:vAlign w:val="center"/>
            <w:hideMark/>
          </w:tcPr>
          <w:p w14:paraId="6ABC78CA"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0" w:type="dxa"/>
            <w:tcBorders>
              <w:top w:val="nil"/>
              <w:left w:val="nil"/>
              <w:bottom w:val="single" w:sz="4" w:space="0" w:color="auto"/>
              <w:right w:val="single" w:sz="4" w:space="0" w:color="auto"/>
            </w:tcBorders>
            <w:vAlign w:val="center"/>
            <w:hideMark/>
          </w:tcPr>
          <w:p w14:paraId="5B72C1B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w:t>
            </w:r>
          </w:p>
        </w:tc>
        <w:tc>
          <w:tcPr>
            <w:tcW w:w="894" w:type="dxa"/>
            <w:tcBorders>
              <w:top w:val="nil"/>
              <w:left w:val="nil"/>
              <w:bottom w:val="single" w:sz="4" w:space="0" w:color="auto"/>
              <w:right w:val="single" w:sz="4" w:space="0" w:color="auto"/>
            </w:tcBorders>
            <w:vAlign w:val="center"/>
            <w:hideMark/>
          </w:tcPr>
          <w:p w14:paraId="5C7E4546" w14:textId="77777777" w:rsidR="008930D1" w:rsidRPr="00767C21" w:rsidRDefault="008930D1" w:rsidP="009141DF">
            <w:pPr>
              <w:spacing w:after="0" w:line="240" w:lineRule="auto"/>
              <w:ind w:firstLineChars="100" w:firstLine="130"/>
              <w:jc w:val="center"/>
              <w:rPr>
                <w:rFonts w:ascii="Arial" w:eastAsia="Times New Roman" w:hAnsi="Arial" w:cs="Arial"/>
                <w:color w:val="000000"/>
                <w:kern w:val="0"/>
                <w:sz w:val="13"/>
                <w:szCs w:val="13"/>
                <w:lang w:eastAsia="en-IN"/>
                <w14:ligatures w14:val="none"/>
              </w:rPr>
            </w:pPr>
            <w:r w:rsidRPr="00767C21">
              <w:rPr>
                <w:rFonts w:ascii="Arial" w:eastAsia="Times New Roman" w:hAnsi="Arial" w:cs="Arial"/>
                <w:color w:val="000000"/>
                <w:kern w:val="0"/>
                <w:sz w:val="13"/>
                <w:szCs w:val="13"/>
                <w:lang w:eastAsia="en-IN"/>
                <w14:ligatures w14:val="none"/>
              </w:rPr>
              <w:t>-310.65</w:t>
            </w:r>
          </w:p>
        </w:tc>
      </w:tr>
      <w:tr w:rsidR="008930D1" w:rsidRPr="008930D1" w14:paraId="54A98E3E" w14:textId="77777777" w:rsidTr="009141DF">
        <w:trPr>
          <w:trHeight w:val="20"/>
        </w:trPr>
        <w:tc>
          <w:tcPr>
            <w:tcW w:w="2515" w:type="dxa"/>
            <w:tcBorders>
              <w:top w:val="nil"/>
              <w:left w:val="single" w:sz="4" w:space="0" w:color="auto"/>
              <w:bottom w:val="single" w:sz="4" w:space="0" w:color="auto"/>
              <w:right w:val="single" w:sz="4" w:space="0" w:color="auto"/>
            </w:tcBorders>
            <w:shd w:val="clear" w:color="000000" w:fill="FFFFFF"/>
            <w:vAlign w:val="center"/>
            <w:hideMark/>
          </w:tcPr>
          <w:p w14:paraId="3C46341A" w14:textId="77777777" w:rsidR="008930D1" w:rsidRPr="00767C21" w:rsidRDefault="008930D1" w:rsidP="009141DF">
            <w:pPr>
              <w:spacing w:after="0" w:line="240" w:lineRule="auto"/>
              <w:ind w:firstLineChars="100" w:firstLine="131"/>
              <w:rPr>
                <w:rFonts w:ascii="Arial" w:eastAsia="Times New Roman" w:hAnsi="Arial" w:cs="Arial"/>
                <w:b/>
                <w:bCs/>
                <w:color w:val="2B2D31"/>
                <w:kern w:val="0"/>
                <w:sz w:val="13"/>
                <w:szCs w:val="13"/>
                <w:lang w:eastAsia="en-IN"/>
                <w14:ligatures w14:val="none"/>
              </w:rPr>
            </w:pPr>
            <w:r w:rsidRPr="00767C21">
              <w:rPr>
                <w:rFonts w:ascii="Arial" w:eastAsia="Times New Roman" w:hAnsi="Arial" w:cs="Arial"/>
                <w:b/>
                <w:bCs/>
                <w:color w:val="2B2D31"/>
                <w:kern w:val="0"/>
                <w:sz w:val="13"/>
                <w:szCs w:val="13"/>
                <w:lang w:eastAsia="en-IN"/>
                <w14:ligatures w14:val="none"/>
              </w:rPr>
              <w:t xml:space="preserve">IV- Surplus/Deficit </w:t>
            </w:r>
            <w:proofErr w:type="gramStart"/>
            <w:r w:rsidRPr="00767C21">
              <w:rPr>
                <w:rFonts w:ascii="Arial" w:eastAsia="Times New Roman" w:hAnsi="Arial" w:cs="Arial"/>
                <w:b/>
                <w:bCs/>
                <w:color w:val="2B2D31"/>
                <w:kern w:val="0"/>
                <w:sz w:val="13"/>
                <w:szCs w:val="13"/>
                <w:lang w:eastAsia="en-IN"/>
                <w14:ligatures w14:val="none"/>
              </w:rPr>
              <w:t>On</w:t>
            </w:r>
            <w:proofErr w:type="gramEnd"/>
            <w:r w:rsidRPr="00767C21">
              <w:rPr>
                <w:rFonts w:ascii="Arial" w:eastAsia="Times New Roman" w:hAnsi="Arial" w:cs="Arial"/>
                <w:b/>
                <w:bCs/>
                <w:color w:val="2B2D31"/>
                <w:kern w:val="0"/>
                <w:sz w:val="13"/>
                <w:szCs w:val="13"/>
                <w:lang w:eastAsia="en-IN"/>
                <w14:ligatures w14:val="none"/>
              </w:rPr>
              <w:t xml:space="preserve"> Revenue Account (I-II+III)</w:t>
            </w:r>
          </w:p>
        </w:tc>
        <w:tc>
          <w:tcPr>
            <w:tcW w:w="1080" w:type="dxa"/>
            <w:tcBorders>
              <w:top w:val="nil"/>
              <w:left w:val="nil"/>
              <w:bottom w:val="single" w:sz="4" w:space="0" w:color="auto"/>
              <w:right w:val="single" w:sz="4" w:space="0" w:color="auto"/>
            </w:tcBorders>
            <w:vAlign w:val="center"/>
            <w:hideMark/>
          </w:tcPr>
          <w:p w14:paraId="6C499AE4"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-5306.5</w:t>
            </w:r>
          </w:p>
        </w:tc>
        <w:tc>
          <w:tcPr>
            <w:tcW w:w="1170" w:type="dxa"/>
            <w:tcBorders>
              <w:top w:val="nil"/>
              <w:left w:val="nil"/>
              <w:bottom w:val="single" w:sz="4" w:space="0" w:color="auto"/>
              <w:right w:val="single" w:sz="4" w:space="0" w:color="auto"/>
            </w:tcBorders>
            <w:vAlign w:val="center"/>
            <w:hideMark/>
          </w:tcPr>
          <w:p w14:paraId="5EC807AD"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5489.2</w:t>
            </w:r>
          </w:p>
        </w:tc>
        <w:tc>
          <w:tcPr>
            <w:tcW w:w="1080" w:type="dxa"/>
            <w:tcBorders>
              <w:top w:val="nil"/>
              <w:left w:val="nil"/>
              <w:bottom w:val="single" w:sz="4" w:space="0" w:color="auto"/>
              <w:right w:val="single" w:sz="4" w:space="0" w:color="auto"/>
            </w:tcBorders>
            <w:vAlign w:val="center"/>
            <w:hideMark/>
          </w:tcPr>
          <w:p w14:paraId="3ADB5296"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-1081.72</w:t>
            </w:r>
          </w:p>
        </w:tc>
        <w:tc>
          <w:tcPr>
            <w:tcW w:w="1029" w:type="dxa"/>
            <w:tcBorders>
              <w:top w:val="nil"/>
              <w:left w:val="nil"/>
              <w:bottom w:val="single" w:sz="4" w:space="0" w:color="auto"/>
              <w:right w:val="single" w:sz="4" w:space="0" w:color="auto"/>
            </w:tcBorders>
            <w:vAlign w:val="center"/>
            <w:hideMark/>
          </w:tcPr>
          <w:p w14:paraId="0AFC1D10"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-814.39</w:t>
            </w:r>
          </w:p>
        </w:tc>
        <w:tc>
          <w:tcPr>
            <w:tcW w:w="875" w:type="dxa"/>
            <w:tcBorders>
              <w:top w:val="nil"/>
              <w:left w:val="nil"/>
              <w:bottom w:val="single" w:sz="4" w:space="0" w:color="auto"/>
              <w:right w:val="single" w:sz="4" w:space="0" w:color="auto"/>
            </w:tcBorders>
            <w:vAlign w:val="center"/>
            <w:hideMark/>
          </w:tcPr>
          <w:p w14:paraId="04F396C1"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-1017.26</w:t>
            </w:r>
          </w:p>
        </w:tc>
        <w:tc>
          <w:tcPr>
            <w:tcW w:w="933" w:type="dxa"/>
            <w:tcBorders>
              <w:top w:val="nil"/>
              <w:left w:val="nil"/>
              <w:bottom w:val="single" w:sz="4" w:space="0" w:color="auto"/>
              <w:right w:val="single" w:sz="4" w:space="0" w:color="auto"/>
            </w:tcBorders>
            <w:vAlign w:val="center"/>
            <w:hideMark/>
          </w:tcPr>
          <w:p w14:paraId="0FEB1679"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-1240.55</w:t>
            </w:r>
          </w:p>
        </w:tc>
        <w:tc>
          <w:tcPr>
            <w:tcW w:w="884" w:type="dxa"/>
            <w:tcBorders>
              <w:top w:val="nil"/>
              <w:left w:val="nil"/>
              <w:bottom w:val="single" w:sz="4" w:space="0" w:color="auto"/>
              <w:right w:val="single" w:sz="4" w:space="0" w:color="auto"/>
            </w:tcBorders>
            <w:vAlign w:val="center"/>
            <w:hideMark/>
          </w:tcPr>
          <w:p w14:paraId="48C9E7D0"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-4792.29</w:t>
            </w:r>
          </w:p>
        </w:tc>
        <w:tc>
          <w:tcPr>
            <w:tcW w:w="898" w:type="dxa"/>
            <w:tcBorders>
              <w:top w:val="nil"/>
              <w:left w:val="nil"/>
              <w:bottom w:val="single" w:sz="4" w:space="0" w:color="auto"/>
              <w:right w:val="single" w:sz="4" w:space="0" w:color="auto"/>
            </w:tcBorders>
            <w:vAlign w:val="center"/>
            <w:hideMark/>
          </w:tcPr>
          <w:p w14:paraId="04CEF7D3"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-114.77</w:t>
            </w:r>
          </w:p>
        </w:tc>
        <w:tc>
          <w:tcPr>
            <w:tcW w:w="1023" w:type="dxa"/>
            <w:tcBorders>
              <w:top w:val="nil"/>
              <w:left w:val="nil"/>
              <w:bottom w:val="single" w:sz="4" w:space="0" w:color="auto"/>
              <w:right w:val="single" w:sz="4" w:space="0" w:color="auto"/>
            </w:tcBorders>
            <w:vAlign w:val="center"/>
            <w:hideMark/>
          </w:tcPr>
          <w:p w14:paraId="1306044A"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-5100.22</w:t>
            </w:r>
          </w:p>
        </w:tc>
        <w:tc>
          <w:tcPr>
            <w:tcW w:w="767" w:type="dxa"/>
            <w:tcBorders>
              <w:top w:val="nil"/>
              <w:left w:val="nil"/>
              <w:bottom w:val="single" w:sz="4" w:space="0" w:color="auto"/>
              <w:right w:val="single" w:sz="4" w:space="0" w:color="auto"/>
            </w:tcBorders>
            <w:vAlign w:val="center"/>
            <w:hideMark/>
          </w:tcPr>
          <w:p w14:paraId="68DF4BEB"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-240.93</w:t>
            </w:r>
          </w:p>
        </w:tc>
        <w:tc>
          <w:tcPr>
            <w:tcW w:w="960" w:type="dxa"/>
            <w:tcBorders>
              <w:top w:val="nil"/>
              <w:left w:val="nil"/>
              <w:bottom w:val="single" w:sz="4" w:space="0" w:color="auto"/>
              <w:right w:val="single" w:sz="4" w:space="0" w:color="auto"/>
            </w:tcBorders>
            <w:vAlign w:val="center"/>
            <w:hideMark/>
          </w:tcPr>
          <w:p w14:paraId="597069AF"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-1712.12</w:t>
            </w:r>
          </w:p>
        </w:tc>
        <w:tc>
          <w:tcPr>
            <w:tcW w:w="817" w:type="dxa"/>
            <w:tcBorders>
              <w:top w:val="nil"/>
              <w:left w:val="nil"/>
              <w:bottom w:val="single" w:sz="4" w:space="0" w:color="auto"/>
              <w:right w:val="single" w:sz="4" w:space="0" w:color="auto"/>
            </w:tcBorders>
            <w:vAlign w:val="center"/>
            <w:hideMark/>
          </w:tcPr>
          <w:p w14:paraId="48934D51"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-1422.67</w:t>
            </w:r>
          </w:p>
        </w:tc>
        <w:tc>
          <w:tcPr>
            <w:tcW w:w="890" w:type="dxa"/>
            <w:tcBorders>
              <w:top w:val="nil"/>
              <w:left w:val="nil"/>
              <w:bottom w:val="single" w:sz="4" w:space="0" w:color="auto"/>
              <w:right w:val="single" w:sz="4" w:space="0" w:color="auto"/>
            </w:tcBorders>
            <w:vAlign w:val="center"/>
            <w:hideMark/>
          </w:tcPr>
          <w:p w14:paraId="560A0819"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-14225.14</w:t>
            </w:r>
          </w:p>
        </w:tc>
        <w:tc>
          <w:tcPr>
            <w:tcW w:w="894" w:type="dxa"/>
            <w:tcBorders>
              <w:top w:val="nil"/>
              <w:left w:val="nil"/>
              <w:bottom w:val="single" w:sz="4" w:space="0" w:color="auto"/>
              <w:right w:val="single" w:sz="4" w:space="0" w:color="auto"/>
            </w:tcBorders>
            <w:vAlign w:val="center"/>
            <w:hideMark/>
          </w:tcPr>
          <w:p w14:paraId="59E58198" w14:textId="77777777" w:rsidR="008930D1" w:rsidRPr="00767C21" w:rsidRDefault="008930D1" w:rsidP="009141DF">
            <w:pPr>
              <w:spacing w:after="0" w:line="240" w:lineRule="auto"/>
              <w:ind w:firstLineChars="100" w:firstLine="131"/>
              <w:jc w:val="center"/>
              <w:rPr>
                <w:rFonts w:ascii="Arial" w:eastAsia="Times New Roman" w:hAnsi="Arial" w:cs="Arial"/>
                <w:b/>
                <w:bCs/>
                <w:color w:val="000000"/>
                <w:kern w:val="0"/>
                <w:sz w:val="13"/>
                <w:szCs w:val="13"/>
                <w:lang w:eastAsia="en-IN"/>
                <w14:ligatures w14:val="none"/>
              </w:rPr>
            </w:pPr>
            <w:r w:rsidRPr="00767C21">
              <w:rPr>
                <w:rFonts w:ascii="Arial" w:eastAsia="Times New Roman" w:hAnsi="Arial" w:cs="Arial"/>
                <w:b/>
                <w:bCs/>
                <w:color w:val="000000"/>
                <w:kern w:val="0"/>
                <w:sz w:val="13"/>
                <w:szCs w:val="13"/>
                <w:lang w:eastAsia="en-IN"/>
                <w14:ligatures w14:val="none"/>
              </w:rPr>
              <w:t>-4678.96</w:t>
            </w:r>
          </w:p>
        </w:tc>
      </w:tr>
    </w:tbl>
    <w:p w14:paraId="7E8749DB" w14:textId="32B810C0" w:rsidR="009141DF" w:rsidRPr="00767C21" w:rsidRDefault="009141DF" w:rsidP="009141DF">
      <w:pPr>
        <w:pStyle w:val="NoSpacing"/>
        <w:rPr>
          <w:rFonts w:ascii="Times New Roman" w:hAnsi="Times New Roman" w:cs="Times New Roman"/>
          <w:sz w:val="16"/>
          <w:szCs w:val="14"/>
        </w:rPr>
      </w:pPr>
      <w:r w:rsidRPr="00767C21">
        <w:rPr>
          <w:rFonts w:ascii="Times New Roman" w:hAnsi="Times New Roman" w:cs="Times New Roman"/>
          <w:sz w:val="16"/>
          <w:szCs w:val="14"/>
        </w:rPr>
        <w:t xml:space="preserve">Major, medium </w:t>
      </w:r>
      <w:proofErr w:type="spellStart"/>
      <w:r w:rsidRPr="00767C21">
        <w:rPr>
          <w:rFonts w:ascii="Times New Roman" w:hAnsi="Times New Roman" w:cs="Times New Roman"/>
          <w:sz w:val="16"/>
          <w:szCs w:val="14"/>
        </w:rPr>
        <w:t>nd</w:t>
      </w:r>
      <w:proofErr w:type="spellEnd"/>
      <w:r w:rsidRPr="00767C21">
        <w:rPr>
          <w:rFonts w:ascii="Times New Roman" w:hAnsi="Times New Roman" w:cs="Times New Roman"/>
          <w:sz w:val="16"/>
          <w:szCs w:val="14"/>
        </w:rPr>
        <w:t xml:space="preserve"> minor irrigation</w:t>
      </w:r>
    </w:p>
    <w:p w14:paraId="36FCBD6F" w14:textId="340E5CF0" w:rsidR="009141DF" w:rsidRPr="00767C21" w:rsidRDefault="009141DF" w:rsidP="009141DF">
      <w:pPr>
        <w:pStyle w:val="NoSpacing"/>
        <w:rPr>
          <w:rFonts w:ascii="Times New Roman" w:hAnsi="Times New Roman" w:cs="Times New Roman"/>
          <w:sz w:val="16"/>
          <w:szCs w:val="14"/>
        </w:rPr>
        <w:sectPr w:rsidR="009141DF" w:rsidRPr="00767C21" w:rsidSect="00153234">
          <w:pgSz w:w="16838" w:h="11906" w:orient="landscape"/>
          <w:pgMar w:top="851" w:right="284" w:bottom="1134" w:left="567" w:header="709" w:footer="709" w:gutter="0"/>
          <w:cols w:space="708"/>
          <w:docGrid w:linePitch="360"/>
        </w:sectPr>
      </w:pPr>
      <w:proofErr w:type="gramStart"/>
      <w:r w:rsidRPr="00767C21">
        <w:rPr>
          <w:rFonts w:ascii="Times New Roman" w:hAnsi="Times New Roman" w:cs="Times New Roman"/>
          <w:sz w:val="16"/>
          <w:szCs w:val="14"/>
        </w:rPr>
        <w:t>Note :</w:t>
      </w:r>
      <w:proofErr w:type="gramEnd"/>
      <w:r w:rsidRPr="00767C21">
        <w:rPr>
          <w:rFonts w:ascii="Times New Roman" w:hAnsi="Times New Roman" w:cs="Times New Roman"/>
          <w:sz w:val="16"/>
          <w:szCs w:val="14"/>
        </w:rPr>
        <w:t xml:space="preserve"> For comparison, the figures based on an alternative exercise attempted on traditional line are shown in brackets. In respect the Special category State and Foa, only the traditional exercise was done.</w:t>
      </w:r>
    </w:p>
    <w:p w14:paraId="62E381FB" w14:textId="20D1B093" w:rsidR="006D75FD" w:rsidRPr="00153234" w:rsidRDefault="00C03BA9" w:rsidP="006D75FD">
      <w:pPr>
        <w:pStyle w:val="Heading2"/>
        <w:rPr>
          <w:sz w:val="20"/>
          <w:szCs w:val="20"/>
        </w:rPr>
      </w:pPr>
      <w:bookmarkStart w:id="89" w:name="_Toc221293002"/>
      <w:bookmarkStart w:id="90" w:name="_Toc222399493"/>
      <w:r w:rsidRPr="00153234">
        <w:rPr>
          <w:sz w:val="20"/>
          <w:szCs w:val="20"/>
        </w:rPr>
        <w:lastRenderedPageBreak/>
        <w:t>ANNEXURE III.19</w:t>
      </w:r>
      <w:r w:rsidR="006D75FD" w:rsidRPr="00153234">
        <w:rPr>
          <w:sz w:val="20"/>
          <w:szCs w:val="20"/>
        </w:rPr>
        <w:br/>
      </w:r>
      <w:r w:rsidRPr="00153234">
        <w:rPr>
          <w:sz w:val="20"/>
          <w:szCs w:val="20"/>
        </w:rPr>
        <w:t xml:space="preserve">Comparison </w:t>
      </w:r>
      <w:proofErr w:type="gramStart"/>
      <w:r w:rsidRPr="00153234">
        <w:rPr>
          <w:sz w:val="20"/>
          <w:szCs w:val="20"/>
        </w:rPr>
        <w:t>Of</w:t>
      </w:r>
      <w:proofErr w:type="gramEnd"/>
      <w:r w:rsidRPr="00153234">
        <w:rPr>
          <w:sz w:val="20"/>
          <w:szCs w:val="20"/>
        </w:rPr>
        <w:t xml:space="preserve"> Normative Estimates </w:t>
      </w:r>
      <w:proofErr w:type="gramStart"/>
      <w:r w:rsidRPr="00153234">
        <w:rPr>
          <w:sz w:val="20"/>
          <w:szCs w:val="20"/>
        </w:rPr>
        <w:t>With</w:t>
      </w:r>
      <w:proofErr w:type="gramEnd"/>
      <w:r w:rsidRPr="00153234">
        <w:rPr>
          <w:sz w:val="20"/>
          <w:szCs w:val="20"/>
        </w:rPr>
        <w:t xml:space="preserve"> Conventional Estimates </w:t>
      </w:r>
      <w:proofErr w:type="gramStart"/>
      <w:r w:rsidRPr="00153234">
        <w:rPr>
          <w:sz w:val="20"/>
          <w:szCs w:val="20"/>
        </w:rPr>
        <w:t>Of</w:t>
      </w:r>
      <w:proofErr w:type="gramEnd"/>
      <w:r w:rsidRPr="00153234">
        <w:rPr>
          <w:sz w:val="20"/>
          <w:szCs w:val="20"/>
        </w:rPr>
        <w:t xml:space="preserve"> Tax Revenue </w:t>
      </w:r>
      <w:proofErr w:type="gramStart"/>
      <w:r w:rsidRPr="00153234">
        <w:rPr>
          <w:sz w:val="20"/>
          <w:szCs w:val="20"/>
        </w:rPr>
        <w:t>And</w:t>
      </w:r>
      <w:proofErr w:type="gramEnd"/>
      <w:r w:rsidRPr="00153234">
        <w:rPr>
          <w:sz w:val="20"/>
          <w:szCs w:val="20"/>
        </w:rPr>
        <w:t xml:space="preserve"> Expenditure 1990-95</w:t>
      </w:r>
      <w:bookmarkEnd w:id="89"/>
      <w:bookmarkEnd w:id="90"/>
    </w:p>
    <w:p w14:paraId="0C5F2CF8" w14:textId="4CFE5E23" w:rsidR="00C03BA9" w:rsidRPr="00153234" w:rsidRDefault="006D75FD" w:rsidP="006D75FD">
      <w:pPr>
        <w:tabs>
          <w:tab w:val="left" w:pos="2319"/>
        </w:tabs>
        <w:spacing w:after="0"/>
        <w:jc w:val="center"/>
        <w:rPr>
          <w:rFonts w:ascii="Times New Roman" w:hAnsi="Times New Roman" w:cs="Times New Roman"/>
          <w:sz w:val="22"/>
          <w:szCs w:val="20"/>
        </w:rPr>
      </w:pPr>
      <w:r w:rsidRPr="00153234">
        <w:rPr>
          <w:rFonts w:ascii="Times New Roman" w:hAnsi="Times New Roman" w:cs="Times New Roman"/>
          <w:sz w:val="18"/>
          <w:szCs w:val="16"/>
        </w:rPr>
        <w:t>(Para 3.82)</w:t>
      </w:r>
      <w:r w:rsidR="00C03BA9" w:rsidRPr="00AA6AF4">
        <w:rPr>
          <w:rFonts w:ascii="Times New Roman" w:hAnsi="Times New Roman" w:cs="Times New Roman"/>
        </w:rPr>
        <w:br/>
      </w:r>
      <w:r w:rsidR="00C03BA9" w:rsidRPr="00153234">
        <w:rPr>
          <w:rFonts w:ascii="Times New Roman" w:hAnsi="Times New Roman" w:cs="Times New Roman"/>
          <w:sz w:val="18"/>
          <w:szCs w:val="16"/>
        </w:rPr>
        <w:t>(Non - Special Category States Excluding Goa)</w:t>
      </w:r>
    </w:p>
    <w:p w14:paraId="3A4CE3C3" w14:textId="77777777" w:rsidR="00C03BA9" w:rsidRPr="00153234" w:rsidRDefault="00C03BA9" w:rsidP="006D75FD">
      <w:pPr>
        <w:tabs>
          <w:tab w:val="left" w:pos="2319"/>
        </w:tabs>
        <w:spacing w:after="0"/>
        <w:jc w:val="right"/>
        <w:rPr>
          <w:rFonts w:ascii="Times New Roman" w:hAnsi="Times New Roman" w:cs="Times New Roman"/>
          <w:sz w:val="18"/>
          <w:szCs w:val="16"/>
        </w:rPr>
      </w:pPr>
      <w:r w:rsidRPr="00153234">
        <w:rPr>
          <w:rFonts w:ascii="Times New Roman" w:hAnsi="Times New Roman" w:cs="Times New Roman"/>
          <w:i/>
          <w:iCs/>
          <w:sz w:val="18"/>
          <w:szCs w:val="16"/>
        </w:rPr>
        <w:t>(Rs. Crore)</w:t>
      </w:r>
    </w:p>
    <w:tbl>
      <w:tblPr>
        <w:tblStyle w:val="TableGrid"/>
        <w:tblW w:w="10343" w:type="dxa"/>
        <w:jc w:val="center"/>
        <w:tblLook w:val="04A0" w:firstRow="1" w:lastRow="0" w:firstColumn="1" w:lastColumn="0" w:noHBand="0" w:noVBand="1"/>
      </w:tblPr>
      <w:tblGrid>
        <w:gridCol w:w="1723"/>
        <w:gridCol w:w="945"/>
        <w:gridCol w:w="1132"/>
        <w:gridCol w:w="1147"/>
        <w:gridCol w:w="945"/>
        <w:gridCol w:w="1132"/>
        <w:gridCol w:w="1147"/>
        <w:gridCol w:w="1147"/>
        <w:gridCol w:w="1025"/>
      </w:tblGrid>
      <w:tr w:rsidR="00153234" w:rsidRPr="00153234" w14:paraId="610BA976" w14:textId="77777777" w:rsidTr="00153234">
        <w:trPr>
          <w:trHeight w:val="20"/>
          <w:jc w:val="center"/>
        </w:trPr>
        <w:tc>
          <w:tcPr>
            <w:tcW w:w="1838" w:type="dxa"/>
            <w:vAlign w:val="center"/>
            <w:hideMark/>
          </w:tcPr>
          <w:p w14:paraId="32CA7620" w14:textId="77777777" w:rsidR="00153234" w:rsidRPr="00153234" w:rsidRDefault="00153234" w:rsidP="006D75FD">
            <w:pPr>
              <w:pStyle w:val="NoSpacing"/>
              <w:rPr>
                <w:rFonts w:ascii="Times New Roman" w:hAnsi="Times New Roman" w:cs="Times New Roman"/>
                <w:sz w:val="16"/>
                <w:szCs w:val="16"/>
              </w:rPr>
            </w:pPr>
          </w:p>
        </w:tc>
        <w:tc>
          <w:tcPr>
            <w:tcW w:w="3109" w:type="dxa"/>
            <w:gridSpan w:val="3"/>
            <w:vAlign w:val="center"/>
            <w:hideMark/>
          </w:tcPr>
          <w:p w14:paraId="554E1713" w14:textId="4C7F8F7C"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Tax Revenues</w:t>
            </w:r>
          </w:p>
        </w:tc>
        <w:tc>
          <w:tcPr>
            <w:tcW w:w="3224" w:type="dxa"/>
            <w:gridSpan w:val="3"/>
            <w:vAlign w:val="center"/>
            <w:hideMark/>
          </w:tcPr>
          <w:p w14:paraId="52FC5BD0" w14:textId="3A603A9B"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Non - Plan Rev. Expenditure</w:t>
            </w:r>
          </w:p>
        </w:tc>
        <w:tc>
          <w:tcPr>
            <w:tcW w:w="1147" w:type="dxa"/>
            <w:vMerge w:val="restart"/>
            <w:vAlign w:val="center"/>
            <w:hideMark/>
          </w:tcPr>
          <w:p w14:paraId="3CC0DA2C" w14:textId="77777777" w:rsidR="00153234" w:rsidRPr="00153234" w:rsidRDefault="00153234" w:rsidP="006D75FD">
            <w:pPr>
              <w:pStyle w:val="NoSpacing"/>
              <w:jc w:val="center"/>
              <w:rPr>
                <w:rFonts w:ascii="Times New Roman" w:hAnsi="Times New Roman" w:cs="Times New Roman"/>
                <w:b/>
                <w:bCs/>
                <w:sz w:val="16"/>
                <w:szCs w:val="16"/>
              </w:rPr>
            </w:pPr>
            <w:r w:rsidRPr="00153234">
              <w:rPr>
                <w:rFonts w:ascii="Times New Roman" w:hAnsi="Times New Roman" w:cs="Times New Roman"/>
                <w:b/>
                <w:bCs/>
                <w:sz w:val="16"/>
                <w:szCs w:val="16"/>
              </w:rPr>
              <w:t>Net Improvement</w:t>
            </w:r>
          </w:p>
          <w:p w14:paraId="365B2DF4" w14:textId="4D7E991C" w:rsidR="00153234" w:rsidRPr="00153234" w:rsidRDefault="00153234" w:rsidP="006D75FD">
            <w:pPr>
              <w:pStyle w:val="NoSpacing"/>
              <w:jc w:val="center"/>
              <w:rPr>
                <w:rFonts w:ascii="Times New Roman" w:hAnsi="Times New Roman" w:cs="Times New Roman"/>
                <w:b/>
                <w:bCs/>
                <w:sz w:val="16"/>
                <w:szCs w:val="16"/>
              </w:rPr>
            </w:pPr>
            <w:r w:rsidRPr="00153234">
              <w:rPr>
                <w:rFonts w:ascii="Times New Roman" w:hAnsi="Times New Roman" w:cs="Times New Roman"/>
                <w:b/>
                <w:bCs/>
                <w:sz w:val="16"/>
                <w:szCs w:val="16"/>
              </w:rPr>
              <w:t>(col 3+6)</w:t>
            </w:r>
          </w:p>
        </w:tc>
        <w:tc>
          <w:tcPr>
            <w:tcW w:w="1025" w:type="dxa"/>
            <w:vMerge w:val="restart"/>
            <w:vAlign w:val="center"/>
            <w:hideMark/>
          </w:tcPr>
          <w:p w14:paraId="62FEB8FD" w14:textId="77777777" w:rsidR="00153234" w:rsidRPr="00153234" w:rsidRDefault="00153234" w:rsidP="006D75FD">
            <w:pPr>
              <w:pStyle w:val="NoSpacing"/>
              <w:jc w:val="center"/>
              <w:rPr>
                <w:rFonts w:ascii="Times New Roman" w:hAnsi="Times New Roman" w:cs="Times New Roman"/>
                <w:b/>
                <w:bCs/>
                <w:sz w:val="16"/>
                <w:szCs w:val="16"/>
              </w:rPr>
            </w:pPr>
            <w:r w:rsidRPr="00153234">
              <w:rPr>
                <w:rFonts w:ascii="Times New Roman" w:hAnsi="Times New Roman" w:cs="Times New Roman"/>
                <w:b/>
                <w:bCs/>
                <w:sz w:val="16"/>
                <w:szCs w:val="16"/>
              </w:rPr>
              <w:t>Adjustment Made</w:t>
            </w:r>
          </w:p>
        </w:tc>
      </w:tr>
      <w:tr w:rsidR="00153234" w:rsidRPr="00153234" w14:paraId="5D38769A" w14:textId="77777777" w:rsidTr="00153234">
        <w:trPr>
          <w:trHeight w:val="20"/>
          <w:jc w:val="center"/>
        </w:trPr>
        <w:tc>
          <w:tcPr>
            <w:tcW w:w="1838" w:type="dxa"/>
            <w:vAlign w:val="center"/>
            <w:hideMark/>
          </w:tcPr>
          <w:p w14:paraId="1770EEC2" w14:textId="77777777" w:rsidR="00153234" w:rsidRPr="00153234" w:rsidRDefault="00153234" w:rsidP="006D75FD">
            <w:pPr>
              <w:pStyle w:val="NoSpacing"/>
              <w:rPr>
                <w:rFonts w:ascii="Times New Roman" w:hAnsi="Times New Roman" w:cs="Times New Roman"/>
                <w:b/>
                <w:bCs/>
                <w:sz w:val="16"/>
                <w:szCs w:val="16"/>
              </w:rPr>
            </w:pPr>
          </w:p>
        </w:tc>
        <w:tc>
          <w:tcPr>
            <w:tcW w:w="830" w:type="dxa"/>
            <w:vAlign w:val="center"/>
            <w:hideMark/>
          </w:tcPr>
          <w:p w14:paraId="6284489D" w14:textId="77777777"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Normative Estimates</w:t>
            </w:r>
          </w:p>
        </w:tc>
        <w:tc>
          <w:tcPr>
            <w:tcW w:w="1132" w:type="dxa"/>
            <w:vAlign w:val="center"/>
            <w:hideMark/>
          </w:tcPr>
          <w:p w14:paraId="07E29B76" w14:textId="77777777"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Conventional Estimates</w:t>
            </w:r>
          </w:p>
        </w:tc>
        <w:tc>
          <w:tcPr>
            <w:tcW w:w="1147" w:type="dxa"/>
            <w:vAlign w:val="center"/>
            <w:hideMark/>
          </w:tcPr>
          <w:p w14:paraId="1B72AAFA" w14:textId="77777777"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Improvement (col. 1-2)</w:t>
            </w:r>
          </w:p>
        </w:tc>
        <w:tc>
          <w:tcPr>
            <w:tcW w:w="945" w:type="dxa"/>
            <w:vAlign w:val="center"/>
            <w:hideMark/>
          </w:tcPr>
          <w:p w14:paraId="1915F9A3" w14:textId="77777777"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Normative Estimates</w:t>
            </w:r>
          </w:p>
        </w:tc>
        <w:tc>
          <w:tcPr>
            <w:tcW w:w="1132" w:type="dxa"/>
            <w:vAlign w:val="center"/>
            <w:hideMark/>
          </w:tcPr>
          <w:p w14:paraId="7B169A42" w14:textId="77777777"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Conventional Estimates</w:t>
            </w:r>
          </w:p>
        </w:tc>
        <w:tc>
          <w:tcPr>
            <w:tcW w:w="1147" w:type="dxa"/>
            <w:vAlign w:val="center"/>
            <w:hideMark/>
          </w:tcPr>
          <w:p w14:paraId="2D28D116" w14:textId="77777777" w:rsidR="00153234" w:rsidRPr="00153234" w:rsidRDefault="00153234"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Improvement (col 5-4)</w:t>
            </w:r>
          </w:p>
        </w:tc>
        <w:tc>
          <w:tcPr>
            <w:tcW w:w="1147" w:type="dxa"/>
            <w:vMerge/>
            <w:vAlign w:val="center"/>
            <w:hideMark/>
          </w:tcPr>
          <w:p w14:paraId="11E9FD41" w14:textId="53B0B29C" w:rsidR="00153234" w:rsidRPr="00153234" w:rsidRDefault="00153234" w:rsidP="006D75FD">
            <w:pPr>
              <w:pStyle w:val="NoSpacing"/>
              <w:jc w:val="center"/>
              <w:rPr>
                <w:rFonts w:ascii="Times New Roman" w:hAnsi="Times New Roman" w:cs="Times New Roman"/>
                <w:sz w:val="16"/>
                <w:szCs w:val="16"/>
              </w:rPr>
            </w:pPr>
          </w:p>
        </w:tc>
        <w:tc>
          <w:tcPr>
            <w:tcW w:w="1025" w:type="dxa"/>
            <w:vMerge/>
            <w:vAlign w:val="center"/>
            <w:hideMark/>
          </w:tcPr>
          <w:p w14:paraId="58A56C4C" w14:textId="77777777" w:rsidR="00153234" w:rsidRPr="00153234" w:rsidRDefault="00153234" w:rsidP="006D75FD">
            <w:pPr>
              <w:pStyle w:val="NoSpacing"/>
              <w:jc w:val="center"/>
              <w:rPr>
                <w:rFonts w:ascii="Times New Roman" w:hAnsi="Times New Roman" w:cs="Times New Roman"/>
                <w:sz w:val="16"/>
                <w:szCs w:val="16"/>
              </w:rPr>
            </w:pPr>
          </w:p>
        </w:tc>
      </w:tr>
      <w:tr w:rsidR="00153234" w:rsidRPr="00153234" w14:paraId="33C0EDA5" w14:textId="77777777" w:rsidTr="00153234">
        <w:trPr>
          <w:trHeight w:val="20"/>
          <w:jc w:val="center"/>
        </w:trPr>
        <w:tc>
          <w:tcPr>
            <w:tcW w:w="1838" w:type="dxa"/>
            <w:vAlign w:val="center"/>
            <w:hideMark/>
          </w:tcPr>
          <w:p w14:paraId="5A2AC75D" w14:textId="77777777" w:rsidR="00C03BA9" w:rsidRPr="00153234" w:rsidRDefault="00C03BA9" w:rsidP="006D75FD">
            <w:pPr>
              <w:pStyle w:val="NoSpacing"/>
              <w:rPr>
                <w:rFonts w:ascii="Times New Roman" w:hAnsi="Times New Roman" w:cs="Times New Roman"/>
                <w:sz w:val="16"/>
                <w:szCs w:val="16"/>
              </w:rPr>
            </w:pPr>
          </w:p>
        </w:tc>
        <w:tc>
          <w:tcPr>
            <w:tcW w:w="830" w:type="dxa"/>
            <w:vAlign w:val="center"/>
            <w:hideMark/>
          </w:tcPr>
          <w:p w14:paraId="362F175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(1)</w:t>
            </w:r>
          </w:p>
        </w:tc>
        <w:tc>
          <w:tcPr>
            <w:tcW w:w="1132" w:type="dxa"/>
            <w:vAlign w:val="center"/>
            <w:hideMark/>
          </w:tcPr>
          <w:p w14:paraId="479E8B2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(2)</w:t>
            </w:r>
          </w:p>
        </w:tc>
        <w:tc>
          <w:tcPr>
            <w:tcW w:w="1147" w:type="dxa"/>
            <w:vAlign w:val="center"/>
            <w:hideMark/>
          </w:tcPr>
          <w:p w14:paraId="284CC291"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(3)</w:t>
            </w:r>
          </w:p>
        </w:tc>
        <w:tc>
          <w:tcPr>
            <w:tcW w:w="945" w:type="dxa"/>
            <w:vAlign w:val="center"/>
            <w:hideMark/>
          </w:tcPr>
          <w:p w14:paraId="23D0EA0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(4)</w:t>
            </w:r>
          </w:p>
        </w:tc>
        <w:tc>
          <w:tcPr>
            <w:tcW w:w="1132" w:type="dxa"/>
            <w:vAlign w:val="center"/>
            <w:hideMark/>
          </w:tcPr>
          <w:p w14:paraId="20AECE9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(5)</w:t>
            </w:r>
          </w:p>
        </w:tc>
        <w:tc>
          <w:tcPr>
            <w:tcW w:w="1147" w:type="dxa"/>
            <w:vAlign w:val="center"/>
            <w:hideMark/>
          </w:tcPr>
          <w:p w14:paraId="6D38F5C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(6)</w:t>
            </w:r>
          </w:p>
        </w:tc>
        <w:tc>
          <w:tcPr>
            <w:tcW w:w="1147" w:type="dxa"/>
            <w:vAlign w:val="center"/>
            <w:hideMark/>
          </w:tcPr>
          <w:p w14:paraId="3D39116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(7)</w:t>
            </w:r>
          </w:p>
        </w:tc>
        <w:tc>
          <w:tcPr>
            <w:tcW w:w="1025" w:type="dxa"/>
            <w:vAlign w:val="center"/>
            <w:hideMark/>
          </w:tcPr>
          <w:p w14:paraId="515E8FD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(8)</w:t>
            </w:r>
          </w:p>
        </w:tc>
      </w:tr>
      <w:tr w:rsidR="00153234" w:rsidRPr="00153234" w14:paraId="17E3A757" w14:textId="77777777" w:rsidTr="00153234">
        <w:trPr>
          <w:trHeight w:val="20"/>
          <w:jc w:val="center"/>
        </w:trPr>
        <w:tc>
          <w:tcPr>
            <w:tcW w:w="1838" w:type="dxa"/>
            <w:vAlign w:val="center"/>
            <w:hideMark/>
          </w:tcPr>
          <w:p w14:paraId="0B6991CF"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1. ANDHRA PRADESH</w:t>
            </w:r>
          </w:p>
        </w:tc>
        <w:tc>
          <w:tcPr>
            <w:tcW w:w="830" w:type="dxa"/>
            <w:vAlign w:val="center"/>
            <w:hideMark/>
          </w:tcPr>
          <w:p w14:paraId="6C0B74E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16469.51</w:t>
            </w:r>
          </w:p>
        </w:tc>
        <w:tc>
          <w:tcPr>
            <w:tcW w:w="1132" w:type="dxa"/>
            <w:vAlign w:val="center"/>
            <w:hideMark/>
          </w:tcPr>
          <w:p w14:paraId="0E8FF545"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16765.45</w:t>
            </w:r>
          </w:p>
        </w:tc>
        <w:tc>
          <w:tcPr>
            <w:tcW w:w="1147" w:type="dxa"/>
            <w:vAlign w:val="center"/>
            <w:hideMark/>
          </w:tcPr>
          <w:p w14:paraId="43C1129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-295.94</w:t>
            </w:r>
          </w:p>
        </w:tc>
        <w:tc>
          <w:tcPr>
            <w:tcW w:w="945" w:type="dxa"/>
            <w:vAlign w:val="center"/>
            <w:hideMark/>
          </w:tcPr>
          <w:p w14:paraId="60F2D90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11092.06</w:t>
            </w:r>
          </w:p>
        </w:tc>
        <w:tc>
          <w:tcPr>
            <w:tcW w:w="1132" w:type="dxa"/>
            <w:vAlign w:val="center"/>
            <w:hideMark/>
          </w:tcPr>
          <w:p w14:paraId="5F7C1DB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12123.72</w:t>
            </w:r>
          </w:p>
        </w:tc>
        <w:tc>
          <w:tcPr>
            <w:tcW w:w="1147" w:type="dxa"/>
            <w:vAlign w:val="center"/>
            <w:hideMark/>
          </w:tcPr>
          <w:p w14:paraId="378D8060"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1031.66</w:t>
            </w:r>
          </w:p>
        </w:tc>
        <w:tc>
          <w:tcPr>
            <w:tcW w:w="1147" w:type="dxa"/>
            <w:vAlign w:val="center"/>
            <w:hideMark/>
          </w:tcPr>
          <w:p w14:paraId="4A82BCD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735.72</w:t>
            </w:r>
          </w:p>
        </w:tc>
        <w:tc>
          <w:tcPr>
            <w:tcW w:w="1025" w:type="dxa"/>
            <w:vAlign w:val="center"/>
            <w:hideMark/>
          </w:tcPr>
          <w:p w14:paraId="149449E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367.85</w:t>
            </w:r>
          </w:p>
        </w:tc>
      </w:tr>
      <w:tr w:rsidR="00153234" w:rsidRPr="00153234" w14:paraId="7CDD4876" w14:textId="77777777" w:rsidTr="00153234">
        <w:trPr>
          <w:trHeight w:val="20"/>
          <w:jc w:val="center"/>
        </w:trPr>
        <w:tc>
          <w:tcPr>
            <w:tcW w:w="1838" w:type="dxa"/>
            <w:vAlign w:val="center"/>
            <w:hideMark/>
          </w:tcPr>
          <w:p w14:paraId="13978395"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2. BIHAR</w:t>
            </w:r>
          </w:p>
        </w:tc>
        <w:tc>
          <w:tcPr>
            <w:tcW w:w="830" w:type="dxa"/>
            <w:vAlign w:val="center"/>
            <w:hideMark/>
          </w:tcPr>
          <w:p w14:paraId="369FAFD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6557.24</w:t>
            </w:r>
          </w:p>
        </w:tc>
        <w:tc>
          <w:tcPr>
            <w:tcW w:w="1132" w:type="dxa"/>
            <w:vAlign w:val="center"/>
            <w:hideMark/>
          </w:tcPr>
          <w:p w14:paraId="2729943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6513.40</w:t>
            </w:r>
          </w:p>
        </w:tc>
        <w:tc>
          <w:tcPr>
            <w:tcW w:w="1147" w:type="dxa"/>
            <w:vAlign w:val="center"/>
            <w:hideMark/>
          </w:tcPr>
          <w:p w14:paraId="0128A66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43.84</w:t>
            </w:r>
          </w:p>
        </w:tc>
        <w:tc>
          <w:tcPr>
            <w:tcW w:w="945" w:type="dxa"/>
            <w:vAlign w:val="center"/>
            <w:hideMark/>
          </w:tcPr>
          <w:p w14:paraId="0F857B4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11183.27</w:t>
            </w:r>
          </w:p>
        </w:tc>
        <w:tc>
          <w:tcPr>
            <w:tcW w:w="1132" w:type="dxa"/>
            <w:vAlign w:val="center"/>
            <w:hideMark/>
          </w:tcPr>
          <w:p w14:paraId="0ED6A71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11368.16</w:t>
            </w:r>
          </w:p>
        </w:tc>
        <w:tc>
          <w:tcPr>
            <w:tcW w:w="1147" w:type="dxa"/>
            <w:vAlign w:val="center"/>
            <w:hideMark/>
          </w:tcPr>
          <w:p w14:paraId="5BD5C67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184.89</w:t>
            </w:r>
          </w:p>
        </w:tc>
        <w:tc>
          <w:tcPr>
            <w:tcW w:w="1147" w:type="dxa"/>
            <w:vAlign w:val="center"/>
            <w:hideMark/>
          </w:tcPr>
          <w:p w14:paraId="332C550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228.73</w:t>
            </w:r>
          </w:p>
        </w:tc>
        <w:tc>
          <w:tcPr>
            <w:tcW w:w="1025" w:type="dxa"/>
            <w:vAlign w:val="center"/>
            <w:hideMark/>
          </w:tcPr>
          <w:p w14:paraId="46C7DFB0"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114.35</w:t>
            </w:r>
          </w:p>
        </w:tc>
      </w:tr>
      <w:tr w:rsidR="00153234" w:rsidRPr="00153234" w14:paraId="7F4105E1" w14:textId="77777777" w:rsidTr="00153234">
        <w:trPr>
          <w:trHeight w:val="20"/>
          <w:jc w:val="center"/>
        </w:trPr>
        <w:tc>
          <w:tcPr>
            <w:tcW w:w="1838" w:type="dxa"/>
            <w:vAlign w:val="center"/>
            <w:hideMark/>
          </w:tcPr>
          <w:p w14:paraId="5031DBCA"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3. GUJARAT</w:t>
            </w:r>
          </w:p>
        </w:tc>
        <w:tc>
          <w:tcPr>
            <w:tcW w:w="830" w:type="dxa"/>
            <w:vAlign w:val="center"/>
            <w:hideMark/>
          </w:tcPr>
          <w:p w14:paraId="23C9B73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13090.54</w:t>
            </w:r>
          </w:p>
        </w:tc>
        <w:tc>
          <w:tcPr>
            <w:tcW w:w="1132" w:type="dxa"/>
            <w:vAlign w:val="center"/>
            <w:hideMark/>
          </w:tcPr>
          <w:p w14:paraId="0C8682D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13028.81</w:t>
            </w:r>
          </w:p>
        </w:tc>
        <w:tc>
          <w:tcPr>
            <w:tcW w:w="1147" w:type="dxa"/>
            <w:vAlign w:val="center"/>
            <w:hideMark/>
          </w:tcPr>
          <w:p w14:paraId="1F570F8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61.73</w:t>
            </w:r>
          </w:p>
        </w:tc>
        <w:tc>
          <w:tcPr>
            <w:tcW w:w="945" w:type="dxa"/>
            <w:vAlign w:val="center"/>
            <w:hideMark/>
          </w:tcPr>
          <w:p w14:paraId="69FAC30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9946.47</w:t>
            </w:r>
          </w:p>
        </w:tc>
        <w:tc>
          <w:tcPr>
            <w:tcW w:w="1132" w:type="dxa"/>
            <w:vAlign w:val="center"/>
            <w:hideMark/>
          </w:tcPr>
          <w:p w14:paraId="54196E8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10103.26</w:t>
            </w:r>
          </w:p>
        </w:tc>
        <w:tc>
          <w:tcPr>
            <w:tcW w:w="1147" w:type="dxa"/>
            <w:vAlign w:val="center"/>
            <w:hideMark/>
          </w:tcPr>
          <w:p w14:paraId="6EB1788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156.79</w:t>
            </w:r>
          </w:p>
        </w:tc>
        <w:tc>
          <w:tcPr>
            <w:tcW w:w="1147" w:type="dxa"/>
            <w:vAlign w:val="center"/>
            <w:hideMark/>
          </w:tcPr>
          <w:p w14:paraId="296A6E59"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218.52</w:t>
            </w:r>
          </w:p>
        </w:tc>
        <w:tc>
          <w:tcPr>
            <w:tcW w:w="1025" w:type="dxa"/>
            <w:vAlign w:val="center"/>
            <w:hideMark/>
          </w:tcPr>
          <w:p w14:paraId="73181DE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109.25</w:t>
            </w:r>
          </w:p>
        </w:tc>
      </w:tr>
      <w:tr w:rsidR="00153234" w:rsidRPr="00153234" w14:paraId="10A5E37F" w14:textId="77777777" w:rsidTr="00153234">
        <w:trPr>
          <w:trHeight w:val="20"/>
          <w:jc w:val="center"/>
        </w:trPr>
        <w:tc>
          <w:tcPr>
            <w:tcW w:w="1838" w:type="dxa"/>
            <w:vAlign w:val="center"/>
            <w:hideMark/>
          </w:tcPr>
          <w:p w14:paraId="7C8B8172"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4. HARYANA</w:t>
            </w:r>
          </w:p>
        </w:tc>
        <w:tc>
          <w:tcPr>
            <w:tcW w:w="830" w:type="dxa"/>
            <w:vAlign w:val="center"/>
            <w:hideMark/>
          </w:tcPr>
          <w:p w14:paraId="0EF1E43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6152.43</w:t>
            </w:r>
          </w:p>
        </w:tc>
        <w:tc>
          <w:tcPr>
            <w:tcW w:w="1132" w:type="dxa"/>
            <w:vAlign w:val="center"/>
            <w:hideMark/>
          </w:tcPr>
          <w:p w14:paraId="70CD81F9"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5973.11</w:t>
            </w:r>
          </w:p>
        </w:tc>
        <w:tc>
          <w:tcPr>
            <w:tcW w:w="1147" w:type="dxa"/>
            <w:vAlign w:val="center"/>
            <w:hideMark/>
          </w:tcPr>
          <w:p w14:paraId="170025C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179.32</w:t>
            </w:r>
          </w:p>
        </w:tc>
        <w:tc>
          <w:tcPr>
            <w:tcW w:w="945" w:type="dxa"/>
            <w:vAlign w:val="center"/>
            <w:hideMark/>
          </w:tcPr>
          <w:p w14:paraId="7BB6ABC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3042.86</w:t>
            </w:r>
          </w:p>
        </w:tc>
        <w:tc>
          <w:tcPr>
            <w:tcW w:w="1132" w:type="dxa"/>
            <w:vAlign w:val="center"/>
            <w:hideMark/>
          </w:tcPr>
          <w:p w14:paraId="29E97CC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3196.91</w:t>
            </w:r>
          </w:p>
        </w:tc>
        <w:tc>
          <w:tcPr>
            <w:tcW w:w="1147" w:type="dxa"/>
            <w:vAlign w:val="center"/>
            <w:hideMark/>
          </w:tcPr>
          <w:p w14:paraId="7D65168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154.05</w:t>
            </w:r>
          </w:p>
        </w:tc>
        <w:tc>
          <w:tcPr>
            <w:tcW w:w="1147" w:type="dxa"/>
            <w:vAlign w:val="center"/>
            <w:hideMark/>
          </w:tcPr>
          <w:p w14:paraId="2A1E9F1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333.37</w:t>
            </w:r>
          </w:p>
        </w:tc>
        <w:tc>
          <w:tcPr>
            <w:tcW w:w="1025" w:type="dxa"/>
            <w:vAlign w:val="center"/>
            <w:hideMark/>
          </w:tcPr>
          <w:p w14:paraId="73C967F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166.70</w:t>
            </w:r>
          </w:p>
        </w:tc>
      </w:tr>
      <w:tr w:rsidR="00153234" w:rsidRPr="00153234" w14:paraId="20D3A247" w14:textId="77777777" w:rsidTr="00153234">
        <w:trPr>
          <w:trHeight w:val="20"/>
          <w:jc w:val="center"/>
        </w:trPr>
        <w:tc>
          <w:tcPr>
            <w:tcW w:w="1838" w:type="dxa"/>
            <w:vAlign w:val="center"/>
            <w:hideMark/>
          </w:tcPr>
          <w:p w14:paraId="47152952"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5. KARNATAKA</w:t>
            </w:r>
          </w:p>
        </w:tc>
        <w:tc>
          <w:tcPr>
            <w:tcW w:w="830" w:type="dxa"/>
            <w:vAlign w:val="center"/>
            <w:hideMark/>
          </w:tcPr>
          <w:p w14:paraId="11DF12B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13030.70</w:t>
            </w:r>
          </w:p>
        </w:tc>
        <w:tc>
          <w:tcPr>
            <w:tcW w:w="1132" w:type="dxa"/>
            <w:vAlign w:val="center"/>
            <w:hideMark/>
          </w:tcPr>
          <w:p w14:paraId="35DEE8B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13058.78</w:t>
            </w:r>
          </w:p>
        </w:tc>
        <w:tc>
          <w:tcPr>
            <w:tcW w:w="1147" w:type="dxa"/>
            <w:vAlign w:val="center"/>
            <w:hideMark/>
          </w:tcPr>
          <w:p w14:paraId="4392078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-28.08</w:t>
            </w:r>
          </w:p>
        </w:tc>
        <w:tc>
          <w:tcPr>
            <w:tcW w:w="945" w:type="dxa"/>
            <w:vAlign w:val="center"/>
            <w:hideMark/>
          </w:tcPr>
          <w:p w14:paraId="54377A1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9074.26</w:t>
            </w:r>
          </w:p>
        </w:tc>
        <w:tc>
          <w:tcPr>
            <w:tcW w:w="1132" w:type="dxa"/>
            <w:vAlign w:val="center"/>
            <w:hideMark/>
          </w:tcPr>
          <w:p w14:paraId="6F54B3F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9332.99</w:t>
            </w:r>
          </w:p>
        </w:tc>
        <w:tc>
          <w:tcPr>
            <w:tcW w:w="1147" w:type="dxa"/>
            <w:vAlign w:val="center"/>
            <w:hideMark/>
          </w:tcPr>
          <w:p w14:paraId="1F88766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258.73</w:t>
            </w:r>
          </w:p>
        </w:tc>
        <w:tc>
          <w:tcPr>
            <w:tcW w:w="1147" w:type="dxa"/>
            <w:vAlign w:val="center"/>
            <w:hideMark/>
          </w:tcPr>
          <w:p w14:paraId="513404E5"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230.65</w:t>
            </w:r>
          </w:p>
        </w:tc>
        <w:tc>
          <w:tcPr>
            <w:tcW w:w="1025" w:type="dxa"/>
            <w:vAlign w:val="center"/>
            <w:hideMark/>
          </w:tcPr>
          <w:p w14:paraId="53ACA21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115.35</w:t>
            </w:r>
          </w:p>
        </w:tc>
      </w:tr>
      <w:tr w:rsidR="00153234" w:rsidRPr="00153234" w14:paraId="0B66DA84" w14:textId="77777777" w:rsidTr="00153234">
        <w:trPr>
          <w:trHeight w:val="20"/>
          <w:jc w:val="center"/>
        </w:trPr>
        <w:tc>
          <w:tcPr>
            <w:tcW w:w="1838" w:type="dxa"/>
            <w:vAlign w:val="center"/>
            <w:hideMark/>
          </w:tcPr>
          <w:p w14:paraId="720547AB"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6. KERALA</w:t>
            </w:r>
          </w:p>
        </w:tc>
        <w:tc>
          <w:tcPr>
            <w:tcW w:w="830" w:type="dxa"/>
            <w:vAlign w:val="center"/>
            <w:hideMark/>
          </w:tcPr>
          <w:p w14:paraId="4F9B6F1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8340.80</w:t>
            </w:r>
          </w:p>
        </w:tc>
        <w:tc>
          <w:tcPr>
            <w:tcW w:w="1132" w:type="dxa"/>
            <w:vAlign w:val="center"/>
            <w:hideMark/>
          </w:tcPr>
          <w:p w14:paraId="1900DA6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8704.23</w:t>
            </w:r>
          </w:p>
        </w:tc>
        <w:tc>
          <w:tcPr>
            <w:tcW w:w="1147" w:type="dxa"/>
            <w:vAlign w:val="center"/>
            <w:hideMark/>
          </w:tcPr>
          <w:p w14:paraId="50C8A67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-363.43</w:t>
            </w:r>
          </w:p>
        </w:tc>
        <w:tc>
          <w:tcPr>
            <w:tcW w:w="945" w:type="dxa"/>
            <w:vAlign w:val="center"/>
            <w:hideMark/>
          </w:tcPr>
          <w:p w14:paraId="3CA64040"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7528.47</w:t>
            </w:r>
          </w:p>
        </w:tc>
        <w:tc>
          <w:tcPr>
            <w:tcW w:w="1132" w:type="dxa"/>
            <w:vAlign w:val="center"/>
            <w:hideMark/>
          </w:tcPr>
          <w:p w14:paraId="50FBB31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8249.24</w:t>
            </w:r>
          </w:p>
        </w:tc>
        <w:tc>
          <w:tcPr>
            <w:tcW w:w="1147" w:type="dxa"/>
            <w:vAlign w:val="center"/>
            <w:hideMark/>
          </w:tcPr>
          <w:p w14:paraId="63132D89"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720.77</w:t>
            </w:r>
          </w:p>
        </w:tc>
        <w:tc>
          <w:tcPr>
            <w:tcW w:w="1147" w:type="dxa"/>
            <w:vAlign w:val="center"/>
            <w:hideMark/>
          </w:tcPr>
          <w:p w14:paraId="71C6BDF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357.34</w:t>
            </w:r>
          </w:p>
        </w:tc>
        <w:tc>
          <w:tcPr>
            <w:tcW w:w="1025" w:type="dxa"/>
            <w:vAlign w:val="center"/>
            <w:hideMark/>
          </w:tcPr>
          <w:p w14:paraId="70731E85"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178.70</w:t>
            </w:r>
          </w:p>
        </w:tc>
      </w:tr>
      <w:tr w:rsidR="00153234" w:rsidRPr="00153234" w14:paraId="39B0BB3F" w14:textId="77777777" w:rsidTr="00153234">
        <w:trPr>
          <w:trHeight w:val="20"/>
          <w:jc w:val="center"/>
        </w:trPr>
        <w:tc>
          <w:tcPr>
            <w:tcW w:w="1838" w:type="dxa"/>
            <w:vAlign w:val="center"/>
            <w:hideMark/>
          </w:tcPr>
          <w:p w14:paraId="03D9B9B9"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7</w:t>
            </w:r>
            <w:r w:rsidRPr="00153234">
              <w:rPr>
                <w:rFonts w:ascii="Times New Roman" w:hAnsi="Times New Roman" w:cs="Times New Roman"/>
                <w:sz w:val="14"/>
                <w:szCs w:val="14"/>
              </w:rPr>
              <w:t>. MADHYA PRADESH</w:t>
            </w:r>
          </w:p>
        </w:tc>
        <w:tc>
          <w:tcPr>
            <w:tcW w:w="830" w:type="dxa"/>
            <w:vAlign w:val="center"/>
            <w:hideMark/>
          </w:tcPr>
          <w:p w14:paraId="52B6916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8481.97</w:t>
            </w:r>
          </w:p>
        </w:tc>
        <w:tc>
          <w:tcPr>
            <w:tcW w:w="1132" w:type="dxa"/>
            <w:vAlign w:val="center"/>
            <w:hideMark/>
          </w:tcPr>
          <w:p w14:paraId="40F5C44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8944.23</w:t>
            </w:r>
          </w:p>
        </w:tc>
        <w:tc>
          <w:tcPr>
            <w:tcW w:w="1147" w:type="dxa"/>
            <w:vAlign w:val="center"/>
            <w:hideMark/>
          </w:tcPr>
          <w:p w14:paraId="2F78F001"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-462.26</w:t>
            </w:r>
          </w:p>
        </w:tc>
        <w:tc>
          <w:tcPr>
            <w:tcW w:w="945" w:type="dxa"/>
            <w:vAlign w:val="center"/>
            <w:hideMark/>
          </w:tcPr>
          <w:p w14:paraId="4D9C200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9783.29</w:t>
            </w:r>
          </w:p>
        </w:tc>
        <w:tc>
          <w:tcPr>
            <w:tcW w:w="1132" w:type="dxa"/>
            <w:vAlign w:val="center"/>
            <w:hideMark/>
          </w:tcPr>
          <w:p w14:paraId="7985287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9934.10</w:t>
            </w:r>
          </w:p>
        </w:tc>
        <w:tc>
          <w:tcPr>
            <w:tcW w:w="1147" w:type="dxa"/>
            <w:vAlign w:val="center"/>
            <w:hideMark/>
          </w:tcPr>
          <w:p w14:paraId="046F715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150.81</w:t>
            </w:r>
          </w:p>
        </w:tc>
        <w:tc>
          <w:tcPr>
            <w:tcW w:w="1147" w:type="dxa"/>
            <w:vAlign w:val="center"/>
            <w:hideMark/>
          </w:tcPr>
          <w:p w14:paraId="425B20E5"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-311.45</w:t>
            </w:r>
          </w:p>
        </w:tc>
        <w:tc>
          <w:tcPr>
            <w:tcW w:w="1025" w:type="dxa"/>
            <w:vAlign w:val="center"/>
            <w:hideMark/>
          </w:tcPr>
          <w:p w14:paraId="3D09BD52" w14:textId="655854E5" w:rsidR="00C03BA9" w:rsidRPr="00153234" w:rsidRDefault="00C03BA9" w:rsidP="006D75FD">
            <w:pPr>
              <w:pStyle w:val="NoSpacing"/>
              <w:jc w:val="center"/>
              <w:rPr>
                <w:rFonts w:ascii="Times New Roman" w:hAnsi="Times New Roman" w:cs="Times New Roman"/>
                <w:sz w:val="16"/>
                <w:szCs w:val="16"/>
              </w:rPr>
            </w:pPr>
          </w:p>
        </w:tc>
      </w:tr>
      <w:tr w:rsidR="00153234" w:rsidRPr="00153234" w14:paraId="6BBFB2B9" w14:textId="77777777" w:rsidTr="00153234">
        <w:trPr>
          <w:trHeight w:val="20"/>
          <w:jc w:val="center"/>
        </w:trPr>
        <w:tc>
          <w:tcPr>
            <w:tcW w:w="1838" w:type="dxa"/>
            <w:vAlign w:val="center"/>
            <w:hideMark/>
          </w:tcPr>
          <w:p w14:paraId="4C0C2C2A"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8. MAHARASHTRA</w:t>
            </w:r>
          </w:p>
        </w:tc>
        <w:tc>
          <w:tcPr>
            <w:tcW w:w="830" w:type="dxa"/>
            <w:vAlign w:val="center"/>
            <w:hideMark/>
          </w:tcPr>
          <w:p w14:paraId="0A071DA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28418.32</w:t>
            </w:r>
          </w:p>
        </w:tc>
        <w:tc>
          <w:tcPr>
            <w:tcW w:w="1132" w:type="dxa"/>
            <w:vAlign w:val="center"/>
            <w:hideMark/>
          </w:tcPr>
          <w:p w14:paraId="4E0953B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27906.13</w:t>
            </w:r>
          </w:p>
        </w:tc>
        <w:tc>
          <w:tcPr>
            <w:tcW w:w="1147" w:type="dxa"/>
            <w:vAlign w:val="center"/>
            <w:hideMark/>
          </w:tcPr>
          <w:p w14:paraId="56DCF78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512.19</w:t>
            </w:r>
          </w:p>
        </w:tc>
        <w:tc>
          <w:tcPr>
            <w:tcW w:w="945" w:type="dxa"/>
            <w:vAlign w:val="center"/>
            <w:hideMark/>
          </w:tcPr>
          <w:p w14:paraId="7610FFC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16023.21</w:t>
            </w:r>
          </w:p>
        </w:tc>
        <w:tc>
          <w:tcPr>
            <w:tcW w:w="1132" w:type="dxa"/>
            <w:vAlign w:val="center"/>
            <w:hideMark/>
          </w:tcPr>
          <w:p w14:paraId="0530B02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18546.45</w:t>
            </w:r>
          </w:p>
        </w:tc>
        <w:tc>
          <w:tcPr>
            <w:tcW w:w="1147" w:type="dxa"/>
            <w:vAlign w:val="center"/>
            <w:hideMark/>
          </w:tcPr>
          <w:p w14:paraId="37E1EF8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2523.24</w:t>
            </w:r>
          </w:p>
        </w:tc>
        <w:tc>
          <w:tcPr>
            <w:tcW w:w="1147" w:type="dxa"/>
            <w:vAlign w:val="center"/>
            <w:hideMark/>
          </w:tcPr>
          <w:p w14:paraId="71AEEC7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3035.43</w:t>
            </w:r>
          </w:p>
        </w:tc>
        <w:tc>
          <w:tcPr>
            <w:tcW w:w="1025" w:type="dxa"/>
            <w:vAlign w:val="center"/>
            <w:hideMark/>
          </w:tcPr>
          <w:p w14:paraId="5EB1F2E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1517.70</w:t>
            </w:r>
          </w:p>
        </w:tc>
      </w:tr>
      <w:tr w:rsidR="00153234" w:rsidRPr="00153234" w14:paraId="5A29F72A" w14:textId="77777777" w:rsidTr="00153234">
        <w:trPr>
          <w:trHeight w:val="20"/>
          <w:jc w:val="center"/>
        </w:trPr>
        <w:tc>
          <w:tcPr>
            <w:tcW w:w="1838" w:type="dxa"/>
            <w:vAlign w:val="center"/>
            <w:hideMark/>
          </w:tcPr>
          <w:p w14:paraId="34384F41"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9. ORISSA</w:t>
            </w:r>
          </w:p>
        </w:tc>
        <w:tc>
          <w:tcPr>
            <w:tcW w:w="830" w:type="dxa"/>
            <w:vAlign w:val="center"/>
            <w:hideMark/>
          </w:tcPr>
          <w:p w14:paraId="6F4547C1"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2910.47</w:t>
            </w:r>
          </w:p>
        </w:tc>
        <w:tc>
          <w:tcPr>
            <w:tcW w:w="1132" w:type="dxa"/>
            <w:vAlign w:val="center"/>
            <w:hideMark/>
          </w:tcPr>
          <w:p w14:paraId="4FDE9A7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2842.40</w:t>
            </w:r>
          </w:p>
        </w:tc>
        <w:tc>
          <w:tcPr>
            <w:tcW w:w="1147" w:type="dxa"/>
            <w:vAlign w:val="center"/>
            <w:hideMark/>
          </w:tcPr>
          <w:p w14:paraId="29D8C20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68.07</w:t>
            </w:r>
          </w:p>
        </w:tc>
        <w:tc>
          <w:tcPr>
            <w:tcW w:w="945" w:type="dxa"/>
            <w:vAlign w:val="center"/>
            <w:hideMark/>
          </w:tcPr>
          <w:p w14:paraId="7B98C84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5738.72</w:t>
            </w:r>
          </w:p>
        </w:tc>
        <w:tc>
          <w:tcPr>
            <w:tcW w:w="1132" w:type="dxa"/>
            <w:vAlign w:val="center"/>
            <w:hideMark/>
          </w:tcPr>
          <w:p w14:paraId="2F494DE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5625.45</w:t>
            </w:r>
          </w:p>
        </w:tc>
        <w:tc>
          <w:tcPr>
            <w:tcW w:w="1147" w:type="dxa"/>
            <w:vAlign w:val="center"/>
            <w:hideMark/>
          </w:tcPr>
          <w:p w14:paraId="2A3E4A3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-113.27</w:t>
            </w:r>
          </w:p>
        </w:tc>
        <w:tc>
          <w:tcPr>
            <w:tcW w:w="1147" w:type="dxa"/>
            <w:vAlign w:val="center"/>
            <w:hideMark/>
          </w:tcPr>
          <w:p w14:paraId="32B3169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-45.20</w:t>
            </w:r>
          </w:p>
        </w:tc>
        <w:tc>
          <w:tcPr>
            <w:tcW w:w="1025" w:type="dxa"/>
            <w:vAlign w:val="center"/>
            <w:hideMark/>
          </w:tcPr>
          <w:p w14:paraId="1B77B365" w14:textId="77777777" w:rsidR="00C03BA9" w:rsidRPr="00153234" w:rsidRDefault="00C03BA9" w:rsidP="006D75FD">
            <w:pPr>
              <w:pStyle w:val="NoSpacing"/>
              <w:jc w:val="center"/>
              <w:rPr>
                <w:rFonts w:ascii="Times New Roman" w:hAnsi="Times New Roman" w:cs="Times New Roman"/>
                <w:sz w:val="16"/>
                <w:szCs w:val="16"/>
              </w:rPr>
            </w:pPr>
          </w:p>
        </w:tc>
      </w:tr>
      <w:tr w:rsidR="00153234" w:rsidRPr="00153234" w14:paraId="3426E17F" w14:textId="77777777" w:rsidTr="00153234">
        <w:trPr>
          <w:trHeight w:val="20"/>
          <w:jc w:val="center"/>
        </w:trPr>
        <w:tc>
          <w:tcPr>
            <w:tcW w:w="1838" w:type="dxa"/>
            <w:vAlign w:val="center"/>
            <w:hideMark/>
          </w:tcPr>
          <w:p w14:paraId="16FBFF6B"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10. PUNJAB</w:t>
            </w:r>
          </w:p>
        </w:tc>
        <w:tc>
          <w:tcPr>
            <w:tcW w:w="830" w:type="dxa"/>
            <w:vAlign w:val="center"/>
            <w:hideMark/>
          </w:tcPr>
          <w:p w14:paraId="5C827AB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8291.05</w:t>
            </w:r>
          </w:p>
        </w:tc>
        <w:tc>
          <w:tcPr>
            <w:tcW w:w="1132" w:type="dxa"/>
            <w:vAlign w:val="center"/>
            <w:hideMark/>
          </w:tcPr>
          <w:p w14:paraId="14A9DBC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8017.48</w:t>
            </w:r>
          </w:p>
        </w:tc>
        <w:tc>
          <w:tcPr>
            <w:tcW w:w="1147" w:type="dxa"/>
            <w:vAlign w:val="center"/>
            <w:hideMark/>
          </w:tcPr>
          <w:p w14:paraId="536218D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273.57</w:t>
            </w:r>
          </w:p>
        </w:tc>
        <w:tc>
          <w:tcPr>
            <w:tcW w:w="945" w:type="dxa"/>
            <w:vAlign w:val="center"/>
            <w:hideMark/>
          </w:tcPr>
          <w:p w14:paraId="755FFA5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4360.54</w:t>
            </w:r>
          </w:p>
        </w:tc>
        <w:tc>
          <w:tcPr>
            <w:tcW w:w="1132" w:type="dxa"/>
            <w:vAlign w:val="center"/>
            <w:hideMark/>
          </w:tcPr>
          <w:p w14:paraId="7E14070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5285.38</w:t>
            </w:r>
          </w:p>
        </w:tc>
        <w:tc>
          <w:tcPr>
            <w:tcW w:w="1147" w:type="dxa"/>
            <w:vAlign w:val="center"/>
            <w:hideMark/>
          </w:tcPr>
          <w:p w14:paraId="615EFB40"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924.84</w:t>
            </w:r>
          </w:p>
        </w:tc>
        <w:tc>
          <w:tcPr>
            <w:tcW w:w="1147" w:type="dxa"/>
            <w:vAlign w:val="center"/>
            <w:hideMark/>
          </w:tcPr>
          <w:p w14:paraId="13D9A06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1198.41</w:t>
            </w:r>
          </w:p>
        </w:tc>
        <w:tc>
          <w:tcPr>
            <w:tcW w:w="1025" w:type="dxa"/>
            <w:vAlign w:val="center"/>
            <w:hideMark/>
          </w:tcPr>
          <w:p w14:paraId="1EEAE38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599.20</w:t>
            </w:r>
          </w:p>
        </w:tc>
      </w:tr>
      <w:tr w:rsidR="00153234" w:rsidRPr="00153234" w14:paraId="30B69091" w14:textId="77777777" w:rsidTr="00153234">
        <w:trPr>
          <w:trHeight w:val="20"/>
          <w:jc w:val="center"/>
        </w:trPr>
        <w:tc>
          <w:tcPr>
            <w:tcW w:w="1838" w:type="dxa"/>
            <w:vAlign w:val="center"/>
            <w:hideMark/>
          </w:tcPr>
          <w:p w14:paraId="52A594DC"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11. RAJASTHAN</w:t>
            </w:r>
          </w:p>
        </w:tc>
        <w:tc>
          <w:tcPr>
            <w:tcW w:w="830" w:type="dxa"/>
            <w:vAlign w:val="center"/>
            <w:hideMark/>
          </w:tcPr>
          <w:p w14:paraId="354C9FF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6499.86</w:t>
            </w:r>
          </w:p>
        </w:tc>
        <w:tc>
          <w:tcPr>
            <w:tcW w:w="1132" w:type="dxa"/>
            <w:vAlign w:val="center"/>
            <w:hideMark/>
          </w:tcPr>
          <w:p w14:paraId="57A119E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6796.73</w:t>
            </w:r>
          </w:p>
        </w:tc>
        <w:tc>
          <w:tcPr>
            <w:tcW w:w="1147" w:type="dxa"/>
            <w:vAlign w:val="center"/>
            <w:hideMark/>
          </w:tcPr>
          <w:p w14:paraId="5A6C5B1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-296.87</w:t>
            </w:r>
          </w:p>
        </w:tc>
        <w:tc>
          <w:tcPr>
            <w:tcW w:w="945" w:type="dxa"/>
            <w:vAlign w:val="center"/>
            <w:hideMark/>
          </w:tcPr>
          <w:p w14:paraId="09F01BF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7388.16</w:t>
            </w:r>
          </w:p>
        </w:tc>
        <w:tc>
          <w:tcPr>
            <w:tcW w:w="1132" w:type="dxa"/>
            <w:vAlign w:val="center"/>
            <w:hideMark/>
          </w:tcPr>
          <w:p w14:paraId="5B6E721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6993.00</w:t>
            </w:r>
          </w:p>
        </w:tc>
        <w:tc>
          <w:tcPr>
            <w:tcW w:w="1147" w:type="dxa"/>
            <w:vAlign w:val="center"/>
            <w:hideMark/>
          </w:tcPr>
          <w:p w14:paraId="371B59C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-395.16</w:t>
            </w:r>
          </w:p>
        </w:tc>
        <w:tc>
          <w:tcPr>
            <w:tcW w:w="1147" w:type="dxa"/>
            <w:vAlign w:val="center"/>
            <w:hideMark/>
          </w:tcPr>
          <w:p w14:paraId="2F512D4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-692.03</w:t>
            </w:r>
          </w:p>
        </w:tc>
        <w:tc>
          <w:tcPr>
            <w:tcW w:w="1025" w:type="dxa"/>
            <w:vAlign w:val="center"/>
            <w:hideMark/>
          </w:tcPr>
          <w:p w14:paraId="584380F1" w14:textId="77777777" w:rsidR="00C03BA9" w:rsidRPr="00153234" w:rsidRDefault="00C03BA9" w:rsidP="006D75FD">
            <w:pPr>
              <w:pStyle w:val="NoSpacing"/>
              <w:jc w:val="center"/>
              <w:rPr>
                <w:rFonts w:ascii="Times New Roman" w:hAnsi="Times New Roman" w:cs="Times New Roman"/>
                <w:sz w:val="16"/>
                <w:szCs w:val="16"/>
              </w:rPr>
            </w:pPr>
          </w:p>
        </w:tc>
      </w:tr>
      <w:tr w:rsidR="00153234" w:rsidRPr="00153234" w14:paraId="5216541E" w14:textId="77777777" w:rsidTr="00153234">
        <w:trPr>
          <w:trHeight w:val="20"/>
          <w:jc w:val="center"/>
        </w:trPr>
        <w:tc>
          <w:tcPr>
            <w:tcW w:w="1838" w:type="dxa"/>
            <w:vAlign w:val="center"/>
            <w:hideMark/>
          </w:tcPr>
          <w:p w14:paraId="66D4DD8B"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12. TAMIL NADU</w:t>
            </w:r>
          </w:p>
        </w:tc>
        <w:tc>
          <w:tcPr>
            <w:tcW w:w="830" w:type="dxa"/>
            <w:vAlign w:val="center"/>
            <w:hideMark/>
          </w:tcPr>
          <w:p w14:paraId="0F4419A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17874.75</w:t>
            </w:r>
          </w:p>
        </w:tc>
        <w:tc>
          <w:tcPr>
            <w:tcW w:w="1132" w:type="dxa"/>
            <w:vAlign w:val="center"/>
            <w:hideMark/>
          </w:tcPr>
          <w:p w14:paraId="4298F4A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17076.83</w:t>
            </w:r>
          </w:p>
        </w:tc>
        <w:tc>
          <w:tcPr>
            <w:tcW w:w="1147" w:type="dxa"/>
            <w:vAlign w:val="center"/>
            <w:hideMark/>
          </w:tcPr>
          <w:p w14:paraId="00EFAF5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797.92</w:t>
            </w:r>
          </w:p>
        </w:tc>
        <w:tc>
          <w:tcPr>
            <w:tcW w:w="945" w:type="dxa"/>
            <w:vAlign w:val="center"/>
            <w:hideMark/>
          </w:tcPr>
          <w:p w14:paraId="0625BD2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13746.81</w:t>
            </w:r>
          </w:p>
        </w:tc>
        <w:tc>
          <w:tcPr>
            <w:tcW w:w="1132" w:type="dxa"/>
            <w:vAlign w:val="center"/>
            <w:hideMark/>
          </w:tcPr>
          <w:p w14:paraId="70D624E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13404.80</w:t>
            </w:r>
          </w:p>
        </w:tc>
        <w:tc>
          <w:tcPr>
            <w:tcW w:w="1147" w:type="dxa"/>
            <w:vAlign w:val="center"/>
            <w:hideMark/>
          </w:tcPr>
          <w:p w14:paraId="6252D644"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-342.01</w:t>
            </w:r>
          </w:p>
        </w:tc>
        <w:tc>
          <w:tcPr>
            <w:tcW w:w="1147" w:type="dxa"/>
            <w:vAlign w:val="center"/>
            <w:hideMark/>
          </w:tcPr>
          <w:p w14:paraId="1EF2E491"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455.91</w:t>
            </w:r>
          </w:p>
        </w:tc>
        <w:tc>
          <w:tcPr>
            <w:tcW w:w="1025" w:type="dxa"/>
            <w:vAlign w:val="center"/>
            <w:hideMark/>
          </w:tcPr>
          <w:p w14:paraId="67375DC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227.95</w:t>
            </w:r>
          </w:p>
        </w:tc>
      </w:tr>
      <w:tr w:rsidR="00153234" w:rsidRPr="00153234" w14:paraId="5CCF9754" w14:textId="77777777" w:rsidTr="00153234">
        <w:trPr>
          <w:trHeight w:val="20"/>
          <w:jc w:val="center"/>
        </w:trPr>
        <w:tc>
          <w:tcPr>
            <w:tcW w:w="1838" w:type="dxa"/>
            <w:vAlign w:val="center"/>
            <w:hideMark/>
          </w:tcPr>
          <w:p w14:paraId="3DA5EA26" w14:textId="77777777" w:rsidR="00C03BA9" w:rsidRPr="00153234" w:rsidRDefault="00C03BA9" w:rsidP="006D75FD">
            <w:pPr>
              <w:pStyle w:val="NoSpacing"/>
              <w:rPr>
                <w:rFonts w:ascii="Times New Roman" w:hAnsi="Times New Roman" w:cs="Times New Roman"/>
                <w:sz w:val="16"/>
                <w:szCs w:val="16"/>
              </w:rPr>
            </w:pPr>
            <w:r w:rsidRPr="00A47262">
              <w:rPr>
                <w:rFonts w:ascii="Times New Roman" w:hAnsi="Times New Roman" w:cs="Times New Roman"/>
                <w:sz w:val="14"/>
                <w:szCs w:val="14"/>
              </w:rPr>
              <w:t>13. UTTAR PRADESH</w:t>
            </w:r>
          </w:p>
        </w:tc>
        <w:tc>
          <w:tcPr>
            <w:tcW w:w="830" w:type="dxa"/>
            <w:vAlign w:val="center"/>
            <w:hideMark/>
          </w:tcPr>
          <w:p w14:paraId="2114992F"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16081.98</w:t>
            </w:r>
          </w:p>
        </w:tc>
        <w:tc>
          <w:tcPr>
            <w:tcW w:w="1132" w:type="dxa"/>
            <w:vAlign w:val="center"/>
            <w:hideMark/>
          </w:tcPr>
          <w:p w14:paraId="2E4570B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15280.67</w:t>
            </w:r>
          </w:p>
        </w:tc>
        <w:tc>
          <w:tcPr>
            <w:tcW w:w="1147" w:type="dxa"/>
            <w:vAlign w:val="center"/>
            <w:hideMark/>
          </w:tcPr>
          <w:p w14:paraId="3901479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801.31</w:t>
            </w:r>
          </w:p>
        </w:tc>
        <w:tc>
          <w:tcPr>
            <w:tcW w:w="945" w:type="dxa"/>
            <w:vAlign w:val="center"/>
            <w:hideMark/>
          </w:tcPr>
          <w:p w14:paraId="0124270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21094.19</w:t>
            </w:r>
          </w:p>
        </w:tc>
        <w:tc>
          <w:tcPr>
            <w:tcW w:w="1132" w:type="dxa"/>
            <w:vAlign w:val="center"/>
            <w:hideMark/>
          </w:tcPr>
          <w:p w14:paraId="62FAE43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20134.43</w:t>
            </w:r>
          </w:p>
        </w:tc>
        <w:tc>
          <w:tcPr>
            <w:tcW w:w="1147" w:type="dxa"/>
            <w:vAlign w:val="center"/>
            <w:hideMark/>
          </w:tcPr>
          <w:p w14:paraId="4E12825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-959.76</w:t>
            </w:r>
          </w:p>
        </w:tc>
        <w:tc>
          <w:tcPr>
            <w:tcW w:w="1147" w:type="dxa"/>
            <w:vAlign w:val="center"/>
            <w:hideMark/>
          </w:tcPr>
          <w:p w14:paraId="371F909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-158.45</w:t>
            </w:r>
          </w:p>
        </w:tc>
        <w:tc>
          <w:tcPr>
            <w:tcW w:w="1025" w:type="dxa"/>
            <w:vAlign w:val="center"/>
            <w:hideMark/>
          </w:tcPr>
          <w:p w14:paraId="50FB8950" w14:textId="77777777" w:rsidR="00C03BA9" w:rsidRPr="00153234" w:rsidRDefault="00C03BA9" w:rsidP="006D75FD">
            <w:pPr>
              <w:pStyle w:val="NoSpacing"/>
              <w:jc w:val="center"/>
              <w:rPr>
                <w:rFonts w:ascii="Times New Roman" w:hAnsi="Times New Roman" w:cs="Times New Roman"/>
                <w:sz w:val="16"/>
                <w:szCs w:val="16"/>
              </w:rPr>
            </w:pPr>
          </w:p>
        </w:tc>
      </w:tr>
      <w:tr w:rsidR="00153234" w:rsidRPr="00153234" w14:paraId="60532393" w14:textId="77777777" w:rsidTr="00153234">
        <w:trPr>
          <w:trHeight w:val="20"/>
          <w:jc w:val="center"/>
        </w:trPr>
        <w:tc>
          <w:tcPr>
            <w:tcW w:w="1838" w:type="dxa"/>
            <w:vAlign w:val="center"/>
            <w:hideMark/>
          </w:tcPr>
          <w:p w14:paraId="22ED667B"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sz w:val="16"/>
                <w:szCs w:val="16"/>
              </w:rPr>
              <w:t>14. WEST BENGAL</w:t>
            </w:r>
          </w:p>
        </w:tc>
        <w:tc>
          <w:tcPr>
            <w:tcW w:w="830" w:type="dxa"/>
            <w:vAlign w:val="center"/>
            <w:hideMark/>
          </w:tcPr>
          <w:p w14:paraId="088144E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11653.82</w:t>
            </w:r>
          </w:p>
        </w:tc>
        <w:tc>
          <w:tcPr>
            <w:tcW w:w="1132" w:type="dxa"/>
            <w:vAlign w:val="center"/>
            <w:hideMark/>
          </w:tcPr>
          <w:p w14:paraId="623DA2B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11949.94</w:t>
            </w:r>
          </w:p>
        </w:tc>
        <w:tc>
          <w:tcPr>
            <w:tcW w:w="1147" w:type="dxa"/>
            <w:vAlign w:val="center"/>
            <w:hideMark/>
          </w:tcPr>
          <w:p w14:paraId="719935C7"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-296.12</w:t>
            </w:r>
          </w:p>
        </w:tc>
        <w:tc>
          <w:tcPr>
            <w:tcW w:w="945" w:type="dxa"/>
            <w:vAlign w:val="center"/>
            <w:hideMark/>
          </w:tcPr>
          <w:p w14:paraId="1DB0FC9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12766.55</w:t>
            </w:r>
          </w:p>
        </w:tc>
        <w:tc>
          <w:tcPr>
            <w:tcW w:w="1132" w:type="dxa"/>
            <w:vAlign w:val="center"/>
            <w:hideMark/>
          </w:tcPr>
          <w:p w14:paraId="29D62875"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13683.99</w:t>
            </w:r>
          </w:p>
        </w:tc>
        <w:tc>
          <w:tcPr>
            <w:tcW w:w="1147" w:type="dxa"/>
            <w:vAlign w:val="center"/>
            <w:hideMark/>
          </w:tcPr>
          <w:p w14:paraId="17DAEBEB"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917.44</w:t>
            </w:r>
          </w:p>
        </w:tc>
        <w:tc>
          <w:tcPr>
            <w:tcW w:w="1147" w:type="dxa"/>
            <w:vAlign w:val="center"/>
            <w:hideMark/>
          </w:tcPr>
          <w:p w14:paraId="449960ED"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621.32</w:t>
            </w:r>
          </w:p>
        </w:tc>
        <w:tc>
          <w:tcPr>
            <w:tcW w:w="1025" w:type="dxa"/>
            <w:vAlign w:val="center"/>
            <w:hideMark/>
          </w:tcPr>
          <w:p w14:paraId="4B2833AC"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sz w:val="16"/>
                <w:szCs w:val="16"/>
              </w:rPr>
              <w:t>310.65</w:t>
            </w:r>
          </w:p>
        </w:tc>
      </w:tr>
      <w:tr w:rsidR="00153234" w:rsidRPr="00153234" w14:paraId="1E627F7F" w14:textId="77777777" w:rsidTr="00153234">
        <w:trPr>
          <w:trHeight w:val="20"/>
          <w:jc w:val="center"/>
        </w:trPr>
        <w:tc>
          <w:tcPr>
            <w:tcW w:w="1838" w:type="dxa"/>
            <w:vAlign w:val="center"/>
            <w:hideMark/>
          </w:tcPr>
          <w:p w14:paraId="7088B34A" w14:textId="77777777" w:rsidR="00C03BA9" w:rsidRPr="00153234" w:rsidRDefault="00C03BA9" w:rsidP="006D75FD">
            <w:pPr>
              <w:pStyle w:val="NoSpacing"/>
              <w:rPr>
                <w:rFonts w:ascii="Times New Roman" w:hAnsi="Times New Roman" w:cs="Times New Roman"/>
                <w:sz w:val="16"/>
                <w:szCs w:val="16"/>
              </w:rPr>
            </w:pPr>
            <w:r w:rsidRPr="00153234">
              <w:rPr>
                <w:rFonts w:ascii="Times New Roman" w:hAnsi="Times New Roman" w:cs="Times New Roman"/>
                <w:b/>
                <w:bCs/>
                <w:sz w:val="16"/>
                <w:szCs w:val="16"/>
              </w:rPr>
              <w:t>TOTAL</w:t>
            </w:r>
          </w:p>
        </w:tc>
        <w:tc>
          <w:tcPr>
            <w:tcW w:w="830" w:type="dxa"/>
            <w:vAlign w:val="center"/>
            <w:hideMark/>
          </w:tcPr>
          <w:p w14:paraId="47530582"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163853.44</w:t>
            </w:r>
          </w:p>
        </w:tc>
        <w:tc>
          <w:tcPr>
            <w:tcW w:w="1132" w:type="dxa"/>
            <w:vAlign w:val="center"/>
            <w:hideMark/>
          </w:tcPr>
          <w:p w14:paraId="57072E28"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162858.19</w:t>
            </w:r>
          </w:p>
        </w:tc>
        <w:tc>
          <w:tcPr>
            <w:tcW w:w="1147" w:type="dxa"/>
            <w:vAlign w:val="center"/>
            <w:hideMark/>
          </w:tcPr>
          <w:p w14:paraId="49829DE1"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995.25</w:t>
            </w:r>
          </w:p>
        </w:tc>
        <w:tc>
          <w:tcPr>
            <w:tcW w:w="945" w:type="dxa"/>
            <w:vAlign w:val="center"/>
            <w:hideMark/>
          </w:tcPr>
          <w:p w14:paraId="32EFA96A"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142768.86</w:t>
            </w:r>
          </w:p>
        </w:tc>
        <w:tc>
          <w:tcPr>
            <w:tcW w:w="1132" w:type="dxa"/>
            <w:vAlign w:val="center"/>
            <w:hideMark/>
          </w:tcPr>
          <w:p w14:paraId="2F4317D5"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147981.88</w:t>
            </w:r>
          </w:p>
        </w:tc>
        <w:tc>
          <w:tcPr>
            <w:tcW w:w="1147" w:type="dxa"/>
            <w:vAlign w:val="center"/>
            <w:hideMark/>
          </w:tcPr>
          <w:p w14:paraId="3BF6156E"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5213.02</w:t>
            </w:r>
          </w:p>
        </w:tc>
        <w:tc>
          <w:tcPr>
            <w:tcW w:w="1147" w:type="dxa"/>
            <w:vAlign w:val="center"/>
            <w:hideMark/>
          </w:tcPr>
          <w:p w14:paraId="6AA0E8A3"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6208.27</w:t>
            </w:r>
          </w:p>
        </w:tc>
        <w:tc>
          <w:tcPr>
            <w:tcW w:w="1025" w:type="dxa"/>
            <w:vAlign w:val="center"/>
            <w:hideMark/>
          </w:tcPr>
          <w:p w14:paraId="3A09A096" w14:textId="77777777" w:rsidR="00C03BA9" w:rsidRPr="00153234" w:rsidRDefault="00C03BA9" w:rsidP="006D75FD">
            <w:pPr>
              <w:pStyle w:val="NoSpacing"/>
              <w:jc w:val="center"/>
              <w:rPr>
                <w:rFonts w:ascii="Times New Roman" w:hAnsi="Times New Roman" w:cs="Times New Roman"/>
                <w:sz w:val="16"/>
                <w:szCs w:val="16"/>
              </w:rPr>
            </w:pPr>
            <w:r w:rsidRPr="00153234">
              <w:rPr>
                <w:rFonts w:ascii="Times New Roman" w:hAnsi="Times New Roman" w:cs="Times New Roman"/>
                <w:b/>
                <w:bCs/>
                <w:sz w:val="16"/>
                <w:szCs w:val="16"/>
              </w:rPr>
              <w:t>3707.70</w:t>
            </w:r>
          </w:p>
        </w:tc>
      </w:tr>
    </w:tbl>
    <w:p w14:paraId="08BA0727" w14:textId="77777777" w:rsidR="00C03BA9" w:rsidRPr="00AA6AF4" w:rsidRDefault="00C03BA9" w:rsidP="008A4F60">
      <w:pPr>
        <w:pStyle w:val="Heading2"/>
        <w:jc w:val="left"/>
      </w:pPr>
    </w:p>
    <w:p w14:paraId="7F77B05E" w14:textId="428664A6" w:rsidR="0038163E" w:rsidRPr="00D42ADC" w:rsidRDefault="0038163E" w:rsidP="006D75FD">
      <w:pPr>
        <w:pStyle w:val="Heading2"/>
        <w:rPr>
          <w:sz w:val="20"/>
          <w:szCs w:val="20"/>
        </w:rPr>
      </w:pPr>
      <w:bookmarkStart w:id="91" w:name="_Toc221293003"/>
      <w:bookmarkStart w:id="92" w:name="_Toc222399494"/>
      <w:r w:rsidRPr="00D42ADC">
        <w:rPr>
          <w:sz w:val="20"/>
          <w:szCs w:val="20"/>
        </w:rPr>
        <w:t>ANNEXURE IV.1</w:t>
      </w:r>
      <w:r w:rsidR="006D75FD" w:rsidRPr="00D42ADC">
        <w:rPr>
          <w:sz w:val="20"/>
          <w:szCs w:val="20"/>
        </w:rPr>
        <w:br/>
      </w:r>
      <w:r w:rsidRPr="00D42ADC">
        <w:rPr>
          <w:sz w:val="20"/>
          <w:szCs w:val="20"/>
        </w:rPr>
        <w:t xml:space="preserve">Summary </w:t>
      </w:r>
      <w:proofErr w:type="gramStart"/>
      <w:r w:rsidRPr="00D42ADC">
        <w:rPr>
          <w:sz w:val="20"/>
          <w:szCs w:val="20"/>
        </w:rPr>
        <w:t>Of</w:t>
      </w:r>
      <w:proofErr w:type="gramEnd"/>
      <w:r w:rsidRPr="00D42ADC">
        <w:rPr>
          <w:sz w:val="20"/>
          <w:szCs w:val="20"/>
        </w:rPr>
        <w:t xml:space="preserve"> </w:t>
      </w:r>
      <w:proofErr w:type="gramStart"/>
      <w:r w:rsidRPr="00D42ADC">
        <w:rPr>
          <w:sz w:val="20"/>
          <w:szCs w:val="20"/>
        </w:rPr>
        <w:t>The</w:t>
      </w:r>
      <w:proofErr w:type="gramEnd"/>
      <w:r w:rsidRPr="00D42ADC">
        <w:rPr>
          <w:sz w:val="20"/>
          <w:szCs w:val="20"/>
        </w:rPr>
        <w:t xml:space="preserve"> Central Government's Forecast </w:t>
      </w:r>
      <w:proofErr w:type="gramStart"/>
      <w:r w:rsidRPr="00D42ADC">
        <w:rPr>
          <w:sz w:val="20"/>
          <w:szCs w:val="20"/>
        </w:rPr>
        <w:t>By</w:t>
      </w:r>
      <w:proofErr w:type="gramEnd"/>
      <w:r w:rsidRPr="00D42ADC">
        <w:rPr>
          <w:sz w:val="20"/>
          <w:szCs w:val="20"/>
        </w:rPr>
        <w:t xml:space="preserve"> </w:t>
      </w:r>
      <w:proofErr w:type="gramStart"/>
      <w:r w:rsidRPr="00D42ADC">
        <w:rPr>
          <w:sz w:val="20"/>
          <w:szCs w:val="20"/>
        </w:rPr>
        <w:t>The</w:t>
      </w:r>
      <w:proofErr w:type="gramEnd"/>
      <w:r w:rsidRPr="00D42ADC">
        <w:rPr>
          <w:sz w:val="20"/>
          <w:szCs w:val="20"/>
        </w:rPr>
        <w:t xml:space="preserve"> Ministry </w:t>
      </w:r>
      <w:proofErr w:type="gramStart"/>
      <w:r w:rsidRPr="00D42ADC">
        <w:rPr>
          <w:sz w:val="20"/>
          <w:szCs w:val="20"/>
        </w:rPr>
        <w:t>Of</w:t>
      </w:r>
      <w:proofErr w:type="gramEnd"/>
      <w:r w:rsidRPr="00D42ADC">
        <w:rPr>
          <w:sz w:val="20"/>
          <w:szCs w:val="20"/>
        </w:rPr>
        <w:t xml:space="preserve"> Finance </w:t>
      </w:r>
      <w:proofErr w:type="gramStart"/>
      <w:r w:rsidRPr="00D42ADC">
        <w:rPr>
          <w:sz w:val="20"/>
          <w:szCs w:val="20"/>
        </w:rPr>
        <w:t>And</w:t>
      </w:r>
      <w:proofErr w:type="gramEnd"/>
      <w:r w:rsidRPr="00D42ADC">
        <w:rPr>
          <w:sz w:val="20"/>
          <w:szCs w:val="20"/>
        </w:rPr>
        <w:t xml:space="preserve"> </w:t>
      </w:r>
      <w:proofErr w:type="gramStart"/>
      <w:r w:rsidRPr="00D42ADC">
        <w:rPr>
          <w:sz w:val="20"/>
          <w:szCs w:val="20"/>
        </w:rPr>
        <w:t>As</w:t>
      </w:r>
      <w:proofErr w:type="gramEnd"/>
      <w:r w:rsidRPr="00D42ADC">
        <w:rPr>
          <w:sz w:val="20"/>
          <w:szCs w:val="20"/>
        </w:rPr>
        <w:t xml:space="preserve"> Reassessed</w:t>
      </w:r>
      <w:r w:rsidR="00D42ADC">
        <w:rPr>
          <w:sz w:val="20"/>
          <w:szCs w:val="20"/>
        </w:rPr>
        <w:br/>
      </w:r>
      <w:r w:rsidRPr="00D42ADC">
        <w:rPr>
          <w:sz w:val="20"/>
          <w:szCs w:val="20"/>
        </w:rPr>
        <w:t xml:space="preserve">For </w:t>
      </w:r>
      <w:proofErr w:type="gramStart"/>
      <w:r w:rsidRPr="00D42ADC">
        <w:rPr>
          <w:sz w:val="20"/>
          <w:szCs w:val="20"/>
        </w:rPr>
        <w:t>The</w:t>
      </w:r>
      <w:proofErr w:type="gramEnd"/>
      <w:r w:rsidRPr="00D42ADC">
        <w:rPr>
          <w:sz w:val="20"/>
          <w:szCs w:val="20"/>
        </w:rPr>
        <w:t xml:space="preserve"> Period 1990-95.</w:t>
      </w:r>
      <w:bookmarkEnd w:id="91"/>
      <w:bookmarkEnd w:id="92"/>
    </w:p>
    <w:p w14:paraId="6DD71E8F" w14:textId="70BC3C2C" w:rsidR="006D75FD" w:rsidRPr="00D42ADC" w:rsidRDefault="006D75FD" w:rsidP="006D75FD">
      <w:pPr>
        <w:spacing w:after="0"/>
        <w:jc w:val="center"/>
        <w:rPr>
          <w:rFonts w:ascii="Times New Roman" w:hAnsi="Times New Roman" w:cs="Times New Roman"/>
          <w:sz w:val="18"/>
          <w:szCs w:val="16"/>
        </w:rPr>
      </w:pPr>
      <w:r w:rsidRPr="00D42ADC">
        <w:rPr>
          <w:rFonts w:ascii="Times New Roman" w:hAnsi="Times New Roman" w:cs="Times New Roman"/>
          <w:sz w:val="18"/>
          <w:szCs w:val="16"/>
        </w:rPr>
        <w:t>(Para 4.23)</w:t>
      </w:r>
    </w:p>
    <w:p w14:paraId="39F669B0" w14:textId="4690DBE6" w:rsidR="0038163E" w:rsidRPr="006D75FD" w:rsidRDefault="0038163E" w:rsidP="00D42ADC">
      <w:pPr>
        <w:spacing w:after="0"/>
        <w:ind w:left="7200"/>
        <w:rPr>
          <w:rFonts w:ascii="Times New Roman" w:hAnsi="Times New Roman" w:cs="Times New Roman"/>
          <w:sz w:val="18"/>
          <w:szCs w:val="16"/>
        </w:rPr>
      </w:pPr>
      <w:r w:rsidRPr="006D75FD">
        <w:rPr>
          <w:rFonts w:ascii="Times New Roman" w:hAnsi="Times New Roman" w:cs="Times New Roman"/>
          <w:i/>
          <w:iCs/>
          <w:sz w:val="18"/>
          <w:szCs w:val="16"/>
        </w:rPr>
        <w:t>(Rs. Crore)</w:t>
      </w:r>
    </w:p>
    <w:tbl>
      <w:tblPr>
        <w:tblStyle w:val="TableGrid"/>
        <w:tblW w:w="0" w:type="auto"/>
        <w:jc w:val="center"/>
        <w:tblLook w:val="04A0" w:firstRow="1" w:lastRow="0" w:firstColumn="1" w:lastColumn="0" w:noHBand="0" w:noVBand="1"/>
      </w:tblPr>
      <w:tblGrid>
        <w:gridCol w:w="2547"/>
        <w:gridCol w:w="2410"/>
        <w:gridCol w:w="2268"/>
      </w:tblGrid>
      <w:tr w:rsidR="0038163E" w:rsidRPr="00D42ADC" w14:paraId="659102F6" w14:textId="77777777" w:rsidTr="00D42ADC">
        <w:trPr>
          <w:trHeight w:val="57"/>
          <w:jc w:val="center"/>
        </w:trPr>
        <w:tc>
          <w:tcPr>
            <w:tcW w:w="2547" w:type="dxa"/>
            <w:vAlign w:val="center"/>
            <w:hideMark/>
          </w:tcPr>
          <w:p w14:paraId="3D4160CD" w14:textId="5C69C737" w:rsidR="0038163E" w:rsidRPr="00D42ADC" w:rsidRDefault="0038163E" w:rsidP="006D75FD">
            <w:pPr>
              <w:pStyle w:val="NoSpacing"/>
              <w:rPr>
                <w:rFonts w:ascii="Times New Roman" w:hAnsi="Times New Roman" w:cs="Times New Roman"/>
                <w:sz w:val="16"/>
                <w:szCs w:val="14"/>
              </w:rPr>
            </w:pPr>
          </w:p>
        </w:tc>
        <w:tc>
          <w:tcPr>
            <w:tcW w:w="2410" w:type="dxa"/>
            <w:vAlign w:val="center"/>
            <w:hideMark/>
          </w:tcPr>
          <w:p w14:paraId="102B667A" w14:textId="77777777" w:rsidR="0038163E" w:rsidRPr="00D42ADC" w:rsidRDefault="0038163E" w:rsidP="006D75FD">
            <w:pPr>
              <w:pStyle w:val="NoSpacing"/>
              <w:jc w:val="center"/>
              <w:rPr>
                <w:rFonts w:ascii="Times New Roman" w:hAnsi="Times New Roman" w:cs="Times New Roman"/>
                <w:b/>
                <w:bCs/>
                <w:sz w:val="16"/>
                <w:szCs w:val="14"/>
              </w:rPr>
            </w:pPr>
            <w:r w:rsidRPr="00D42ADC">
              <w:rPr>
                <w:rFonts w:ascii="Times New Roman" w:hAnsi="Times New Roman" w:cs="Times New Roman"/>
                <w:b/>
                <w:bCs/>
                <w:sz w:val="16"/>
                <w:szCs w:val="14"/>
              </w:rPr>
              <w:t>Estimates furnished by Min. of Finance (At Current Prices)</w:t>
            </w:r>
          </w:p>
        </w:tc>
        <w:tc>
          <w:tcPr>
            <w:tcW w:w="2268" w:type="dxa"/>
            <w:vAlign w:val="center"/>
            <w:hideMark/>
          </w:tcPr>
          <w:p w14:paraId="6C070D2A" w14:textId="77777777" w:rsidR="0038163E" w:rsidRPr="00D42ADC" w:rsidRDefault="0038163E" w:rsidP="006D75FD">
            <w:pPr>
              <w:pStyle w:val="NoSpacing"/>
              <w:jc w:val="center"/>
              <w:rPr>
                <w:rFonts w:ascii="Times New Roman" w:hAnsi="Times New Roman" w:cs="Times New Roman"/>
                <w:b/>
                <w:bCs/>
                <w:sz w:val="16"/>
                <w:szCs w:val="14"/>
              </w:rPr>
            </w:pPr>
            <w:r w:rsidRPr="00D42ADC">
              <w:rPr>
                <w:rFonts w:ascii="Times New Roman" w:hAnsi="Times New Roman" w:cs="Times New Roman"/>
                <w:b/>
                <w:bCs/>
                <w:sz w:val="16"/>
                <w:szCs w:val="14"/>
              </w:rPr>
              <w:t>Reassessed Estimates (At Current Prices)</w:t>
            </w:r>
          </w:p>
        </w:tc>
      </w:tr>
      <w:tr w:rsidR="0038163E" w:rsidRPr="00D42ADC" w14:paraId="3CFFE9DB" w14:textId="77777777" w:rsidTr="00D42ADC">
        <w:trPr>
          <w:trHeight w:val="57"/>
          <w:jc w:val="center"/>
        </w:trPr>
        <w:tc>
          <w:tcPr>
            <w:tcW w:w="2547" w:type="dxa"/>
            <w:vAlign w:val="center"/>
            <w:hideMark/>
          </w:tcPr>
          <w:p w14:paraId="072B7734" w14:textId="77777777" w:rsidR="0038163E" w:rsidRPr="00D42ADC" w:rsidRDefault="0038163E" w:rsidP="006D75FD">
            <w:pPr>
              <w:pStyle w:val="NoSpacing"/>
              <w:rPr>
                <w:rFonts w:ascii="Times New Roman" w:hAnsi="Times New Roman" w:cs="Times New Roman"/>
                <w:b/>
                <w:bCs/>
                <w:sz w:val="16"/>
                <w:szCs w:val="14"/>
              </w:rPr>
            </w:pPr>
            <w:r w:rsidRPr="00D42ADC">
              <w:rPr>
                <w:rFonts w:ascii="Times New Roman" w:hAnsi="Times New Roman" w:cs="Times New Roman"/>
                <w:b/>
                <w:bCs/>
                <w:sz w:val="16"/>
                <w:szCs w:val="14"/>
              </w:rPr>
              <w:t>I. Revenue Receipt</w:t>
            </w:r>
          </w:p>
        </w:tc>
        <w:tc>
          <w:tcPr>
            <w:tcW w:w="2410" w:type="dxa"/>
            <w:vAlign w:val="center"/>
            <w:hideMark/>
          </w:tcPr>
          <w:p w14:paraId="2988C595" w14:textId="77777777" w:rsidR="0038163E" w:rsidRPr="00D42ADC" w:rsidRDefault="0038163E" w:rsidP="006D75FD">
            <w:pPr>
              <w:pStyle w:val="NoSpacing"/>
              <w:jc w:val="center"/>
              <w:rPr>
                <w:rFonts w:ascii="Times New Roman" w:hAnsi="Times New Roman" w:cs="Times New Roman"/>
                <w:b/>
                <w:bCs/>
                <w:sz w:val="16"/>
                <w:szCs w:val="14"/>
              </w:rPr>
            </w:pPr>
            <w:r w:rsidRPr="00D42ADC">
              <w:rPr>
                <w:rFonts w:ascii="Times New Roman" w:hAnsi="Times New Roman" w:cs="Times New Roman"/>
                <w:b/>
                <w:bCs/>
                <w:sz w:val="16"/>
                <w:szCs w:val="14"/>
              </w:rPr>
              <w:t>421388</w:t>
            </w:r>
          </w:p>
        </w:tc>
        <w:tc>
          <w:tcPr>
            <w:tcW w:w="2268" w:type="dxa"/>
            <w:vAlign w:val="center"/>
            <w:hideMark/>
          </w:tcPr>
          <w:p w14:paraId="7F10A7BD" w14:textId="77777777" w:rsidR="0038163E" w:rsidRPr="00D42ADC" w:rsidRDefault="0038163E" w:rsidP="006D75FD">
            <w:pPr>
              <w:pStyle w:val="NoSpacing"/>
              <w:jc w:val="center"/>
              <w:rPr>
                <w:rFonts w:ascii="Times New Roman" w:hAnsi="Times New Roman" w:cs="Times New Roman"/>
                <w:b/>
                <w:bCs/>
                <w:sz w:val="16"/>
                <w:szCs w:val="14"/>
              </w:rPr>
            </w:pPr>
            <w:r w:rsidRPr="00D42ADC">
              <w:rPr>
                <w:rFonts w:ascii="Times New Roman" w:hAnsi="Times New Roman" w:cs="Times New Roman"/>
                <w:b/>
                <w:bCs/>
                <w:sz w:val="16"/>
                <w:szCs w:val="14"/>
              </w:rPr>
              <w:t>466502</w:t>
            </w:r>
          </w:p>
        </w:tc>
      </w:tr>
      <w:tr w:rsidR="0038163E" w:rsidRPr="00D42ADC" w14:paraId="64D5DBAD" w14:textId="77777777" w:rsidTr="00D42ADC">
        <w:trPr>
          <w:trHeight w:val="57"/>
          <w:jc w:val="center"/>
        </w:trPr>
        <w:tc>
          <w:tcPr>
            <w:tcW w:w="2547" w:type="dxa"/>
            <w:vAlign w:val="center"/>
            <w:hideMark/>
          </w:tcPr>
          <w:p w14:paraId="40BB5B7D"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(a) Tax Receipts (gross)</w:t>
            </w:r>
          </w:p>
        </w:tc>
        <w:tc>
          <w:tcPr>
            <w:tcW w:w="2410" w:type="dxa"/>
            <w:vAlign w:val="center"/>
            <w:hideMark/>
          </w:tcPr>
          <w:p w14:paraId="6EB19795"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337344</w:t>
            </w:r>
          </w:p>
        </w:tc>
        <w:tc>
          <w:tcPr>
            <w:tcW w:w="2268" w:type="dxa"/>
            <w:vAlign w:val="center"/>
            <w:hideMark/>
          </w:tcPr>
          <w:p w14:paraId="2E1132C8"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370014</w:t>
            </w:r>
          </w:p>
        </w:tc>
      </w:tr>
      <w:tr w:rsidR="0038163E" w:rsidRPr="00D42ADC" w14:paraId="6BD0EFA1" w14:textId="77777777" w:rsidTr="00D42ADC">
        <w:trPr>
          <w:trHeight w:val="57"/>
          <w:jc w:val="center"/>
        </w:trPr>
        <w:tc>
          <w:tcPr>
            <w:tcW w:w="2547" w:type="dxa"/>
            <w:vAlign w:val="center"/>
            <w:hideMark/>
          </w:tcPr>
          <w:p w14:paraId="7B595E73"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1. Income Tax</w:t>
            </w:r>
          </w:p>
        </w:tc>
        <w:tc>
          <w:tcPr>
            <w:tcW w:w="2410" w:type="dxa"/>
            <w:vAlign w:val="center"/>
            <w:hideMark/>
          </w:tcPr>
          <w:p w14:paraId="2E89637B"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27359</w:t>
            </w:r>
          </w:p>
        </w:tc>
        <w:tc>
          <w:tcPr>
            <w:tcW w:w="2268" w:type="dxa"/>
            <w:vAlign w:val="center"/>
            <w:hideMark/>
          </w:tcPr>
          <w:p w14:paraId="67BA2957"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28508</w:t>
            </w:r>
          </w:p>
        </w:tc>
      </w:tr>
      <w:tr w:rsidR="0038163E" w:rsidRPr="00D42ADC" w14:paraId="168C39A5" w14:textId="77777777" w:rsidTr="00D42ADC">
        <w:trPr>
          <w:trHeight w:val="57"/>
          <w:jc w:val="center"/>
        </w:trPr>
        <w:tc>
          <w:tcPr>
            <w:tcW w:w="2547" w:type="dxa"/>
            <w:vAlign w:val="center"/>
            <w:hideMark/>
          </w:tcPr>
          <w:p w14:paraId="4985EB73"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2. Corporation Tax</w:t>
            </w:r>
          </w:p>
        </w:tc>
        <w:tc>
          <w:tcPr>
            <w:tcW w:w="2410" w:type="dxa"/>
            <w:vAlign w:val="center"/>
            <w:hideMark/>
          </w:tcPr>
          <w:p w14:paraId="31A66D46"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30191</w:t>
            </w:r>
          </w:p>
        </w:tc>
        <w:tc>
          <w:tcPr>
            <w:tcW w:w="2268" w:type="dxa"/>
            <w:vAlign w:val="center"/>
            <w:hideMark/>
          </w:tcPr>
          <w:p w14:paraId="58BAEFBE"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33836</w:t>
            </w:r>
          </w:p>
        </w:tc>
      </w:tr>
      <w:tr w:rsidR="0038163E" w:rsidRPr="00D42ADC" w14:paraId="23F93C8A" w14:textId="77777777" w:rsidTr="00D42ADC">
        <w:trPr>
          <w:trHeight w:val="57"/>
          <w:jc w:val="center"/>
        </w:trPr>
        <w:tc>
          <w:tcPr>
            <w:tcW w:w="2547" w:type="dxa"/>
            <w:vAlign w:val="center"/>
            <w:hideMark/>
          </w:tcPr>
          <w:p w14:paraId="1C8C3ED1"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3. Union Excise duties</w:t>
            </w:r>
          </w:p>
        </w:tc>
        <w:tc>
          <w:tcPr>
            <w:tcW w:w="2410" w:type="dxa"/>
            <w:vAlign w:val="center"/>
            <w:hideMark/>
          </w:tcPr>
          <w:p w14:paraId="4B52A387"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145103</w:t>
            </w:r>
          </w:p>
        </w:tc>
        <w:tc>
          <w:tcPr>
            <w:tcW w:w="2268" w:type="dxa"/>
            <w:vAlign w:val="center"/>
            <w:hideMark/>
          </w:tcPr>
          <w:p w14:paraId="3C585673"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161526</w:t>
            </w:r>
          </w:p>
        </w:tc>
      </w:tr>
      <w:tr w:rsidR="0038163E" w:rsidRPr="00D42ADC" w14:paraId="68C3070A" w14:textId="77777777" w:rsidTr="00D42ADC">
        <w:trPr>
          <w:trHeight w:val="57"/>
          <w:jc w:val="center"/>
        </w:trPr>
        <w:tc>
          <w:tcPr>
            <w:tcW w:w="2547" w:type="dxa"/>
            <w:vAlign w:val="center"/>
            <w:hideMark/>
          </w:tcPr>
          <w:p w14:paraId="2B944DE7"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4. Customs</w:t>
            </w:r>
          </w:p>
        </w:tc>
        <w:tc>
          <w:tcPr>
            <w:tcW w:w="2410" w:type="dxa"/>
            <w:vAlign w:val="center"/>
            <w:hideMark/>
          </w:tcPr>
          <w:p w14:paraId="737D739A"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127221</w:t>
            </w:r>
          </w:p>
        </w:tc>
        <w:tc>
          <w:tcPr>
            <w:tcW w:w="2268" w:type="dxa"/>
            <w:vAlign w:val="center"/>
            <w:hideMark/>
          </w:tcPr>
          <w:p w14:paraId="2EC8CF3C"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136674</w:t>
            </w:r>
          </w:p>
        </w:tc>
      </w:tr>
      <w:tr w:rsidR="0038163E" w:rsidRPr="00D42ADC" w14:paraId="508F310F" w14:textId="77777777" w:rsidTr="00D42ADC">
        <w:trPr>
          <w:trHeight w:val="57"/>
          <w:jc w:val="center"/>
        </w:trPr>
        <w:tc>
          <w:tcPr>
            <w:tcW w:w="2547" w:type="dxa"/>
            <w:vAlign w:val="center"/>
            <w:hideMark/>
          </w:tcPr>
          <w:p w14:paraId="1CF1E719"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5. Other tax revenues</w:t>
            </w:r>
          </w:p>
        </w:tc>
        <w:tc>
          <w:tcPr>
            <w:tcW w:w="2410" w:type="dxa"/>
            <w:vAlign w:val="center"/>
            <w:hideMark/>
          </w:tcPr>
          <w:p w14:paraId="073B631B"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7470</w:t>
            </w:r>
          </w:p>
        </w:tc>
        <w:tc>
          <w:tcPr>
            <w:tcW w:w="2268" w:type="dxa"/>
            <w:vAlign w:val="center"/>
            <w:hideMark/>
          </w:tcPr>
          <w:p w14:paraId="0C55BF0E"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9470</w:t>
            </w:r>
          </w:p>
        </w:tc>
      </w:tr>
      <w:tr w:rsidR="0038163E" w:rsidRPr="00D42ADC" w14:paraId="3FEDE6A4" w14:textId="77777777" w:rsidTr="00D42ADC">
        <w:trPr>
          <w:trHeight w:val="57"/>
          <w:jc w:val="center"/>
        </w:trPr>
        <w:tc>
          <w:tcPr>
            <w:tcW w:w="2547" w:type="dxa"/>
            <w:vAlign w:val="center"/>
            <w:hideMark/>
          </w:tcPr>
          <w:p w14:paraId="2059F666"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(b) Non-Tax Receipts</w:t>
            </w:r>
          </w:p>
        </w:tc>
        <w:tc>
          <w:tcPr>
            <w:tcW w:w="2410" w:type="dxa"/>
            <w:vAlign w:val="center"/>
            <w:hideMark/>
          </w:tcPr>
          <w:p w14:paraId="364E7AC0"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84044</w:t>
            </w:r>
          </w:p>
        </w:tc>
        <w:tc>
          <w:tcPr>
            <w:tcW w:w="2268" w:type="dxa"/>
            <w:vAlign w:val="center"/>
            <w:hideMark/>
          </w:tcPr>
          <w:p w14:paraId="7BC7ED77"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96488</w:t>
            </w:r>
          </w:p>
        </w:tc>
      </w:tr>
      <w:tr w:rsidR="0038163E" w:rsidRPr="00D42ADC" w14:paraId="4BD77238" w14:textId="77777777" w:rsidTr="00D42ADC">
        <w:trPr>
          <w:trHeight w:val="57"/>
          <w:jc w:val="center"/>
        </w:trPr>
        <w:tc>
          <w:tcPr>
            <w:tcW w:w="2547" w:type="dxa"/>
            <w:vAlign w:val="center"/>
            <w:hideMark/>
          </w:tcPr>
          <w:p w14:paraId="24B5F786"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1. Interest Receipts</w:t>
            </w:r>
          </w:p>
        </w:tc>
        <w:tc>
          <w:tcPr>
            <w:tcW w:w="2410" w:type="dxa"/>
            <w:vAlign w:val="center"/>
            <w:hideMark/>
          </w:tcPr>
          <w:p w14:paraId="73E59044"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52457</w:t>
            </w:r>
          </w:p>
        </w:tc>
        <w:tc>
          <w:tcPr>
            <w:tcW w:w="2268" w:type="dxa"/>
            <w:vAlign w:val="center"/>
            <w:hideMark/>
          </w:tcPr>
          <w:p w14:paraId="48DC7092"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57214</w:t>
            </w:r>
          </w:p>
        </w:tc>
      </w:tr>
      <w:tr w:rsidR="0038163E" w:rsidRPr="00D42ADC" w14:paraId="2565898E" w14:textId="77777777" w:rsidTr="00D42ADC">
        <w:trPr>
          <w:trHeight w:val="57"/>
          <w:jc w:val="center"/>
        </w:trPr>
        <w:tc>
          <w:tcPr>
            <w:tcW w:w="2547" w:type="dxa"/>
            <w:vAlign w:val="center"/>
            <w:hideMark/>
          </w:tcPr>
          <w:p w14:paraId="2345BEBD"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2. Dividends And Profits</w:t>
            </w:r>
          </w:p>
        </w:tc>
        <w:tc>
          <w:tcPr>
            <w:tcW w:w="2410" w:type="dxa"/>
            <w:vAlign w:val="center"/>
            <w:hideMark/>
          </w:tcPr>
          <w:p w14:paraId="45B31DD2"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7626</w:t>
            </w:r>
          </w:p>
        </w:tc>
        <w:tc>
          <w:tcPr>
            <w:tcW w:w="2268" w:type="dxa"/>
            <w:vAlign w:val="center"/>
            <w:hideMark/>
          </w:tcPr>
          <w:p w14:paraId="038BCDDF"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13257</w:t>
            </w:r>
          </w:p>
        </w:tc>
      </w:tr>
      <w:tr w:rsidR="0038163E" w:rsidRPr="00D42ADC" w14:paraId="1D7BCC1E" w14:textId="77777777" w:rsidTr="00D42ADC">
        <w:trPr>
          <w:trHeight w:val="57"/>
          <w:jc w:val="center"/>
        </w:trPr>
        <w:tc>
          <w:tcPr>
            <w:tcW w:w="2547" w:type="dxa"/>
            <w:vAlign w:val="center"/>
            <w:hideMark/>
          </w:tcPr>
          <w:p w14:paraId="435AC023" w14:textId="77777777" w:rsidR="0038163E" w:rsidRPr="00D42ADC" w:rsidRDefault="0038163E" w:rsidP="006D75FD">
            <w:pPr>
              <w:pStyle w:val="NoSpacing"/>
              <w:rPr>
                <w:rFonts w:ascii="Times New Roman" w:hAnsi="Times New Roman" w:cs="Times New Roman"/>
                <w:sz w:val="16"/>
                <w:szCs w:val="14"/>
              </w:rPr>
            </w:pPr>
            <w:r w:rsidRPr="00D42ADC">
              <w:rPr>
                <w:rFonts w:ascii="Times New Roman" w:hAnsi="Times New Roman" w:cs="Times New Roman"/>
                <w:sz w:val="16"/>
                <w:szCs w:val="14"/>
              </w:rPr>
              <w:t>3. Other Non-Tax Receipts</w:t>
            </w:r>
          </w:p>
        </w:tc>
        <w:tc>
          <w:tcPr>
            <w:tcW w:w="2410" w:type="dxa"/>
            <w:vAlign w:val="center"/>
            <w:hideMark/>
          </w:tcPr>
          <w:p w14:paraId="0B89D75C"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23961</w:t>
            </w:r>
          </w:p>
        </w:tc>
        <w:tc>
          <w:tcPr>
            <w:tcW w:w="2268" w:type="dxa"/>
            <w:vAlign w:val="center"/>
            <w:hideMark/>
          </w:tcPr>
          <w:p w14:paraId="42179354" w14:textId="77777777" w:rsidR="0038163E" w:rsidRPr="00D42ADC" w:rsidRDefault="0038163E" w:rsidP="006D75FD">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26017</w:t>
            </w:r>
          </w:p>
        </w:tc>
      </w:tr>
      <w:tr w:rsidR="00D42ADC" w:rsidRPr="00D42ADC" w14:paraId="7EF89811" w14:textId="77777777" w:rsidTr="00D42ADC">
        <w:trPr>
          <w:trHeight w:val="57"/>
          <w:jc w:val="center"/>
        </w:trPr>
        <w:tc>
          <w:tcPr>
            <w:tcW w:w="2547" w:type="dxa"/>
            <w:vAlign w:val="center"/>
          </w:tcPr>
          <w:p w14:paraId="4DBB6246" w14:textId="4C7E75B9" w:rsidR="00D42ADC" w:rsidRPr="00D42ADC" w:rsidRDefault="00D42ADC" w:rsidP="00D42ADC">
            <w:pPr>
              <w:pStyle w:val="NoSpacing"/>
              <w:rPr>
                <w:rFonts w:ascii="Times New Roman" w:hAnsi="Times New Roman" w:cs="Times New Roman"/>
                <w:b/>
                <w:bCs/>
                <w:sz w:val="16"/>
                <w:szCs w:val="14"/>
              </w:rPr>
            </w:pPr>
            <w:r w:rsidRPr="00D42ADC">
              <w:rPr>
                <w:rFonts w:ascii="Times New Roman" w:hAnsi="Times New Roman" w:cs="Times New Roman"/>
                <w:b/>
                <w:bCs/>
                <w:sz w:val="16"/>
                <w:szCs w:val="14"/>
              </w:rPr>
              <w:t xml:space="preserve">II. Non-Plan Expenditure </w:t>
            </w:r>
            <w:proofErr w:type="gramStart"/>
            <w:r w:rsidRPr="00D42ADC">
              <w:rPr>
                <w:rFonts w:ascii="Times New Roman" w:hAnsi="Times New Roman" w:cs="Times New Roman"/>
                <w:b/>
                <w:bCs/>
                <w:sz w:val="16"/>
                <w:szCs w:val="14"/>
              </w:rPr>
              <w:t>On</w:t>
            </w:r>
            <w:proofErr w:type="gramEnd"/>
            <w:r w:rsidRPr="00D42ADC">
              <w:rPr>
                <w:rFonts w:ascii="Times New Roman" w:hAnsi="Times New Roman" w:cs="Times New Roman"/>
                <w:b/>
                <w:bCs/>
                <w:sz w:val="16"/>
                <w:szCs w:val="14"/>
              </w:rPr>
              <w:t xml:space="preserve"> Revenue Account.</w:t>
            </w:r>
          </w:p>
        </w:tc>
        <w:tc>
          <w:tcPr>
            <w:tcW w:w="2410" w:type="dxa"/>
            <w:vAlign w:val="center"/>
          </w:tcPr>
          <w:p w14:paraId="28B5FB89" w14:textId="2A772368" w:rsidR="00D42ADC" w:rsidRPr="00D42ADC" w:rsidRDefault="00D42ADC" w:rsidP="00D42ADC">
            <w:pPr>
              <w:pStyle w:val="NoSpacing"/>
              <w:jc w:val="center"/>
              <w:rPr>
                <w:rFonts w:ascii="Times New Roman" w:hAnsi="Times New Roman" w:cs="Times New Roman"/>
                <w:b/>
                <w:bCs/>
                <w:sz w:val="16"/>
                <w:szCs w:val="14"/>
              </w:rPr>
            </w:pPr>
            <w:r w:rsidRPr="00D42ADC">
              <w:rPr>
                <w:rFonts w:ascii="Times New Roman" w:hAnsi="Times New Roman" w:cs="Times New Roman"/>
                <w:b/>
                <w:bCs/>
                <w:sz w:val="16"/>
                <w:szCs w:val="14"/>
              </w:rPr>
              <w:t>374994</w:t>
            </w:r>
          </w:p>
        </w:tc>
        <w:tc>
          <w:tcPr>
            <w:tcW w:w="2268" w:type="dxa"/>
            <w:vAlign w:val="center"/>
          </w:tcPr>
          <w:p w14:paraId="687F8405" w14:textId="37962785" w:rsidR="00D42ADC" w:rsidRPr="00D42ADC" w:rsidRDefault="00D42ADC" w:rsidP="00D42ADC">
            <w:pPr>
              <w:pStyle w:val="NoSpacing"/>
              <w:jc w:val="center"/>
              <w:rPr>
                <w:rFonts w:ascii="Times New Roman" w:hAnsi="Times New Roman" w:cs="Times New Roman"/>
                <w:b/>
                <w:bCs/>
                <w:sz w:val="16"/>
                <w:szCs w:val="14"/>
              </w:rPr>
            </w:pPr>
            <w:r w:rsidRPr="00D42ADC">
              <w:rPr>
                <w:rFonts w:ascii="Times New Roman" w:hAnsi="Times New Roman" w:cs="Times New Roman"/>
                <w:b/>
                <w:bCs/>
                <w:sz w:val="16"/>
                <w:szCs w:val="14"/>
              </w:rPr>
              <w:t>317231</w:t>
            </w:r>
          </w:p>
        </w:tc>
      </w:tr>
      <w:tr w:rsidR="00D42ADC" w:rsidRPr="00D42ADC" w14:paraId="2C3A354C" w14:textId="77777777" w:rsidTr="00D42ADC">
        <w:trPr>
          <w:trHeight w:val="57"/>
          <w:jc w:val="center"/>
        </w:trPr>
        <w:tc>
          <w:tcPr>
            <w:tcW w:w="2547" w:type="dxa"/>
            <w:vAlign w:val="center"/>
          </w:tcPr>
          <w:p w14:paraId="1AD9E70A" w14:textId="1676F1E2" w:rsidR="00D42ADC" w:rsidRPr="00D42ADC" w:rsidRDefault="00D42ADC" w:rsidP="00D42ADC">
            <w:pPr>
              <w:pStyle w:val="NoSpacing"/>
              <w:rPr>
                <w:rFonts w:ascii="Times New Roman" w:hAnsi="Times New Roman" w:cs="Times New Roman"/>
                <w:sz w:val="16"/>
                <w:szCs w:val="14"/>
              </w:rPr>
            </w:pPr>
            <w:r w:rsidRPr="00D42ADC">
              <w:rPr>
                <w:rFonts w:ascii="Times New Roman" w:hAnsi="Times New Roman" w:cs="Times New Roman"/>
                <w:sz w:val="16"/>
                <w:szCs w:val="14"/>
              </w:rPr>
              <w:t>1. Interest Payments</w:t>
            </w:r>
          </w:p>
        </w:tc>
        <w:tc>
          <w:tcPr>
            <w:tcW w:w="2410" w:type="dxa"/>
            <w:vAlign w:val="center"/>
          </w:tcPr>
          <w:p w14:paraId="34811DCF" w14:textId="6C2A3966" w:rsidR="00D42ADC" w:rsidRPr="00D42ADC" w:rsidRDefault="00D42ADC" w:rsidP="00D42ADC">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151255</w:t>
            </w:r>
          </w:p>
        </w:tc>
        <w:tc>
          <w:tcPr>
            <w:tcW w:w="2268" w:type="dxa"/>
            <w:vAlign w:val="center"/>
          </w:tcPr>
          <w:p w14:paraId="58616A5C" w14:textId="2AE8F724" w:rsidR="00D42ADC" w:rsidRPr="00D42ADC" w:rsidRDefault="00D42ADC" w:rsidP="00D42ADC">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123880</w:t>
            </w:r>
          </w:p>
        </w:tc>
      </w:tr>
      <w:tr w:rsidR="00D42ADC" w:rsidRPr="00D42ADC" w14:paraId="07CF7673" w14:textId="77777777" w:rsidTr="00D42ADC">
        <w:trPr>
          <w:trHeight w:val="57"/>
          <w:jc w:val="center"/>
        </w:trPr>
        <w:tc>
          <w:tcPr>
            <w:tcW w:w="2547" w:type="dxa"/>
            <w:vAlign w:val="center"/>
          </w:tcPr>
          <w:p w14:paraId="3D1EB85D" w14:textId="465DE7EF" w:rsidR="00D42ADC" w:rsidRPr="00D42ADC" w:rsidRDefault="00D42ADC" w:rsidP="00D42ADC">
            <w:pPr>
              <w:pStyle w:val="NoSpacing"/>
              <w:rPr>
                <w:rFonts w:ascii="Times New Roman" w:hAnsi="Times New Roman" w:cs="Times New Roman"/>
                <w:sz w:val="16"/>
                <w:szCs w:val="14"/>
              </w:rPr>
            </w:pPr>
            <w:r w:rsidRPr="00D42ADC">
              <w:rPr>
                <w:rFonts w:ascii="Times New Roman" w:hAnsi="Times New Roman" w:cs="Times New Roman"/>
                <w:sz w:val="16"/>
                <w:szCs w:val="14"/>
              </w:rPr>
              <w:t>2. Major Subsidies</w:t>
            </w:r>
          </w:p>
        </w:tc>
        <w:tc>
          <w:tcPr>
            <w:tcW w:w="2410" w:type="dxa"/>
            <w:vAlign w:val="center"/>
          </w:tcPr>
          <w:p w14:paraId="5E939602" w14:textId="1B979D15" w:rsidR="00D42ADC" w:rsidRPr="00D42ADC" w:rsidRDefault="00D42ADC" w:rsidP="00D42ADC">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58433</w:t>
            </w:r>
          </w:p>
        </w:tc>
        <w:tc>
          <w:tcPr>
            <w:tcW w:w="2268" w:type="dxa"/>
            <w:vAlign w:val="center"/>
          </w:tcPr>
          <w:p w14:paraId="5EEEBCD7" w14:textId="2271FFA1" w:rsidR="00D42ADC" w:rsidRPr="00D42ADC" w:rsidRDefault="00D42ADC" w:rsidP="00D42ADC">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47338</w:t>
            </w:r>
          </w:p>
        </w:tc>
      </w:tr>
      <w:tr w:rsidR="00D42ADC" w:rsidRPr="00D42ADC" w14:paraId="748345E4" w14:textId="77777777" w:rsidTr="00D42ADC">
        <w:trPr>
          <w:trHeight w:val="57"/>
          <w:jc w:val="center"/>
        </w:trPr>
        <w:tc>
          <w:tcPr>
            <w:tcW w:w="2547" w:type="dxa"/>
            <w:vAlign w:val="center"/>
          </w:tcPr>
          <w:p w14:paraId="4E1F78EE" w14:textId="0A688488" w:rsidR="00D42ADC" w:rsidRPr="00D42ADC" w:rsidRDefault="00D42ADC" w:rsidP="00D42ADC">
            <w:pPr>
              <w:pStyle w:val="NoSpacing"/>
              <w:rPr>
                <w:rFonts w:ascii="Times New Roman" w:hAnsi="Times New Roman" w:cs="Times New Roman"/>
                <w:sz w:val="16"/>
                <w:szCs w:val="14"/>
              </w:rPr>
            </w:pPr>
            <w:r w:rsidRPr="00D42ADC">
              <w:rPr>
                <w:rFonts w:ascii="Times New Roman" w:hAnsi="Times New Roman" w:cs="Times New Roman"/>
                <w:sz w:val="16"/>
                <w:szCs w:val="14"/>
              </w:rPr>
              <w:t>3. Other Non-Plan Expenditure</w:t>
            </w:r>
          </w:p>
        </w:tc>
        <w:tc>
          <w:tcPr>
            <w:tcW w:w="2410" w:type="dxa"/>
            <w:vAlign w:val="center"/>
          </w:tcPr>
          <w:p w14:paraId="286F1C9A" w14:textId="66B0FBFE" w:rsidR="00D42ADC" w:rsidRPr="00D42ADC" w:rsidRDefault="00D42ADC" w:rsidP="00D42ADC">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165306</w:t>
            </w:r>
          </w:p>
        </w:tc>
        <w:tc>
          <w:tcPr>
            <w:tcW w:w="2268" w:type="dxa"/>
            <w:vAlign w:val="center"/>
          </w:tcPr>
          <w:p w14:paraId="49A90720" w14:textId="2EC02E05" w:rsidR="00D42ADC" w:rsidRPr="00D42ADC" w:rsidRDefault="00D42ADC" w:rsidP="00D42ADC">
            <w:pPr>
              <w:pStyle w:val="NoSpacing"/>
              <w:jc w:val="center"/>
              <w:rPr>
                <w:rFonts w:ascii="Times New Roman" w:hAnsi="Times New Roman" w:cs="Times New Roman"/>
                <w:sz w:val="16"/>
                <w:szCs w:val="14"/>
              </w:rPr>
            </w:pPr>
            <w:r w:rsidRPr="00D42ADC">
              <w:rPr>
                <w:rFonts w:ascii="Times New Roman" w:hAnsi="Times New Roman" w:cs="Times New Roman"/>
                <w:sz w:val="16"/>
                <w:szCs w:val="14"/>
              </w:rPr>
              <w:t>146013</w:t>
            </w:r>
          </w:p>
        </w:tc>
      </w:tr>
    </w:tbl>
    <w:p w14:paraId="35C445D0" w14:textId="4FFE845B" w:rsidR="0038163E" w:rsidRPr="00D42ADC" w:rsidRDefault="0038163E" w:rsidP="00D42ADC">
      <w:pPr>
        <w:pStyle w:val="Heading2"/>
        <w:rPr>
          <w:sz w:val="20"/>
          <w:szCs w:val="20"/>
        </w:rPr>
      </w:pPr>
      <w:bookmarkStart w:id="93" w:name="_Toc221293004"/>
      <w:bookmarkStart w:id="94" w:name="_Toc222399495"/>
      <w:r w:rsidRPr="00D42ADC">
        <w:rPr>
          <w:sz w:val="20"/>
          <w:szCs w:val="20"/>
        </w:rPr>
        <w:t>ANNEXURE V.1</w:t>
      </w:r>
      <w:r w:rsidR="008A4F60" w:rsidRPr="00D42ADC">
        <w:rPr>
          <w:sz w:val="20"/>
          <w:szCs w:val="20"/>
        </w:rPr>
        <w:br/>
      </w:r>
      <w:proofErr w:type="spellStart"/>
      <w:r w:rsidRPr="00D42ADC">
        <w:rPr>
          <w:sz w:val="20"/>
          <w:szCs w:val="20"/>
        </w:rPr>
        <w:t>Statewise</w:t>
      </w:r>
      <w:proofErr w:type="spellEnd"/>
      <w:r w:rsidRPr="00D42ADC">
        <w:rPr>
          <w:sz w:val="20"/>
          <w:szCs w:val="20"/>
        </w:rPr>
        <w:t xml:space="preserve"> Assessment </w:t>
      </w:r>
      <w:proofErr w:type="gramStart"/>
      <w:r w:rsidRPr="00D42ADC">
        <w:rPr>
          <w:sz w:val="20"/>
          <w:szCs w:val="20"/>
        </w:rPr>
        <w:t>Of</w:t>
      </w:r>
      <w:proofErr w:type="gramEnd"/>
      <w:r w:rsidRPr="00D42ADC">
        <w:rPr>
          <w:sz w:val="20"/>
          <w:szCs w:val="20"/>
        </w:rPr>
        <w:t xml:space="preserve"> Income Tax (Excluding Tax </w:t>
      </w:r>
      <w:proofErr w:type="gramStart"/>
      <w:r w:rsidRPr="00D42ADC">
        <w:rPr>
          <w:sz w:val="20"/>
          <w:szCs w:val="20"/>
        </w:rPr>
        <w:t>On</w:t>
      </w:r>
      <w:proofErr w:type="gramEnd"/>
      <w:r w:rsidRPr="00D42ADC">
        <w:rPr>
          <w:sz w:val="20"/>
          <w:szCs w:val="20"/>
        </w:rPr>
        <w:t xml:space="preserve"> Union Emoluments) For </w:t>
      </w:r>
      <w:proofErr w:type="gramStart"/>
      <w:r w:rsidRPr="00D42ADC">
        <w:rPr>
          <w:sz w:val="20"/>
          <w:szCs w:val="20"/>
        </w:rPr>
        <w:t>The</w:t>
      </w:r>
      <w:proofErr w:type="gramEnd"/>
      <w:r w:rsidRPr="00D42ADC">
        <w:rPr>
          <w:sz w:val="20"/>
          <w:szCs w:val="20"/>
        </w:rPr>
        <w:t xml:space="preserve"> Years</w:t>
      </w:r>
      <w:r w:rsidR="00D42ADC">
        <w:rPr>
          <w:sz w:val="20"/>
          <w:szCs w:val="20"/>
        </w:rPr>
        <w:br/>
      </w:r>
      <w:r w:rsidRPr="00D42ADC">
        <w:rPr>
          <w:sz w:val="20"/>
          <w:szCs w:val="20"/>
        </w:rPr>
        <w:t>1985-86, 1986-87 And 1987-88</w:t>
      </w:r>
      <w:bookmarkEnd w:id="93"/>
      <w:bookmarkEnd w:id="94"/>
    </w:p>
    <w:p w14:paraId="5FF9C549" w14:textId="0C126015" w:rsidR="008A4F60" w:rsidRPr="00D42ADC" w:rsidRDefault="008A4F60" w:rsidP="008A4F60">
      <w:pPr>
        <w:spacing w:after="0"/>
        <w:jc w:val="center"/>
        <w:rPr>
          <w:rFonts w:ascii="Times New Roman" w:hAnsi="Times New Roman" w:cs="Times New Roman"/>
          <w:i/>
          <w:iCs/>
          <w:sz w:val="12"/>
          <w:szCs w:val="10"/>
        </w:rPr>
      </w:pPr>
      <w:r w:rsidRPr="00D42ADC">
        <w:rPr>
          <w:rFonts w:ascii="Times New Roman" w:hAnsi="Times New Roman" w:cs="Times New Roman"/>
          <w:sz w:val="18"/>
          <w:szCs w:val="16"/>
        </w:rPr>
        <w:t>(Para 5.7)</w:t>
      </w:r>
    </w:p>
    <w:p w14:paraId="182BDF1E" w14:textId="6E93C39D" w:rsidR="0038163E" w:rsidRPr="008A4F60" w:rsidRDefault="0038163E" w:rsidP="00D42ADC">
      <w:pPr>
        <w:spacing w:after="0"/>
        <w:ind w:left="5040"/>
        <w:jc w:val="center"/>
        <w:rPr>
          <w:rFonts w:ascii="Times New Roman" w:hAnsi="Times New Roman" w:cs="Times New Roman"/>
          <w:sz w:val="18"/>
          <w:szCs w:val="16"/>
        </w:rPr>
      </w:pPr>
      <w:r w:rsidRPr="008A4F60">
        <w:rPr>
          <w:rFonts w:ascii="Times New Roman" w:hAnsi="Times New Roman" w:cs="Times New Roman"/>
          <w:i/>
          <w:iCs/>
          <w:sz w:val="18"/>
          <w:szCs w:val="16"/>
        </w:rPr>
        <w:t>(Rs. Crore)</w:t>
      </w:r>
    </w:p>
    <w:tbl>
      <w:tblPr>
        <w:tblStyle w:val="TableGrid"/>
        <w:tblW w:w="6374" w:type="dxa"/>
        <w:jc w:val="center"/>
        <w:tblLook w:val="04A0" w:firstRow="1" w:lastRow="0" w:firstColumn="1" w:lastColumn="0" w:noHBand="0" w:noVBand="1"/>
      </w:tblPr>
      <w:tblGrid>
        <w:gridCol w:w="442"/>
        <w:gridCol w:w="1821"/>
        <w:gridCol w:w="993"/>
        <w:gridCol w:w="992"/>
        <w:gridCol w:w="850"/>
        <w:gridCol w:w="1276"/>
      </w:tblGrid>
      <w:tr w:rsidR="0038163E" w:rsidRPr="00767C21" w14:paraId="6EC7087B" w14:textId="77777777" w:rsidTr="00D42ADC">
        <w:trPr>
          <w:trHeight w:val="29"/>
          <w:jc w:val="center"/>
        </w:trPr>
        <w:tc>
          <w:tcPr>
            <w:tcW w:w="442" w:type="dxa"/>
            <w:vAlign w:val="center"/>
            <w:hideMark/>
          </w:tcPr>
          <w:p w14:paraId="661B44E2" w14:textId="77777777" w:rsidR="0038163E" w:rsidRPr="00767C21" w:rsidRDefault="0038163E" w:rsidP="008A4F60">
            <w:pPr>
              <w:pStyle w:val="NoSpacing"/>
              <w:jc w:val="center"/>
              <w:rPr>
                <w:rFonts w:ascii="Times New Roman" w:hAnsi="Times New Roman" w:cs="Times New Roman"/>
                <w:sz w:val="16"/>
                <w:szCs w:val="16"/>
              </w:rPr>
            </w:pPr>
          </w:p>
        </w:tc>
        <w:tc>
          <w:tcPr>
            <w:tcW w:w="1821" w:type="dxa"/>
            <w:vAlign w:val="center"/>
            <w:hideMark/>
          </w:tcPr>
          <w:p w14:paraId="3F2E7AC7"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States</w:t>
            </w:r>
          </w:p>
        </w:tc>
        <w:tc>
          <w:tcPr>
            <w:tcW w:w="993" w:type="dxa"/>
            <w:vAlign w:val="center"/>
            <w:hideMark/>
          </w:tcPr>
          <w:p w14:paraId="7528F49D"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1985-86</w:t>
            </w:r>
          </w:p>
        </w:tc>
        <w:tc>
          <w:tcPr>
            <w:tcW w:w="992" w:type="dxa"/>
            <w:vAlign w:val="center"/>
            <w:hideMark/>
          </w:tcPr>
          <w:p w14:paraId="3F3D2073"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1986-87</w:t>
            </w:r>
          </w:p>
        </w:tc>
        <w:tc>
          <w:tcPr>
            <w:tcW w:w="850" w:type="dxa"/>
            <w:vAlign w:val="center"/>
            <w:hideMark/>
          </w:tcPr>
          <w:p w14:paraId="2712A788"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1987-88</w:t>
            </w:r>
          </w:p>
        </w:tc>
        <w:tc>
          <w:tcPr>
            <w:tcW w:w="1276" w:type="dxa"/>
            <w:vAlign w:val="center"/>
            <w:hideMark/>
          </w:tcPr>
          <w:p w14:paraId="11B1D863"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Total 1985-86 To 1987-88</w:t>
            </w:r>
          </w:p>
        </w:tc>
      </w:tr>
      <w:tr w:rsidR="0038163E" w:rsidRPr="00767C21" w14:paraId="7967A5E1" w14:textId="77777777" w:rsidTr="00D42ADC">
        <w:trPr>
          <w:trHeight w:val="29"/>
          <w:jc w:val="center"/>
        </w:trPr>
        <w:tc>
          <w:tcPr>
            <w:tcW w:w="442" w:type="dxa"/>
            <w:vAlign w:val="center"/>
            <w:hideMark/>
          </w:tcPr>
          <w:p w14:paraId="649D519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w:t>
            </w:r>
          </w:p>
        </w:tc>
        <w:tc>
          <w:tcPr>
            <w:tcW w:w="1821" w:type="dxa"/>
            <w:vAlign w:val="center"/>
            <w:hideMark/>
          </w:tcPr>
          <w:p w14:paraId="024EFD53"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Andhra Pradesh</w:t>
            </w:r>
          </w:p>
        </w:tc>
        <w:tc>
          <w:tcPr>
            <w:tcW w:w="993" w:type="dxa"/>
            <w:vAlign w:val="center"/>
            <w:hideMark/>
          </w:tcPr>
          <w:p w14:paraId="2B58FDD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82.13</w:t>
            </w:r>
          </w:p>
        </w:tc>
        <w:tc>
          <w:tcPr>
            <w:tcW w:w="992" w:type="dxa"/>
            <w:vAlign w:val="center"/>
            <w:hideMark/>
          </w:tcPr>
          <w:p w14:paraId="101007A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93.65</w:t>
            </w:r>
          </w:p>
        </w:tc>
        <w:tc>
          <w:tcPr>
            <w:tcW w:w="850" w:type="dxa"/>
            <w:vAlign w:val="center"/>
            <w:hideMark/>
          </w:tcPr>
          <w:p w14:paraId="5201EED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111.97</w:t>
            </w:r>
          </w:p>
        </w:tc>
        <w:tc>
          <w:tcPr>
            <w:tcW w:w="1276" w:type="dxa"/>
            <w:vAlign w:val="center"/>
            <w:hideMark/>
          </w:tcPr>
          <w:p w14:paraId="2F34031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287.75</w:t>
            </w:r>
          </w:p>
        </w:tc>
      </w:tr>
      <w:tr w:rsidR="0038163E" w:rsidRPr="00767C21" w14:paraId="4686EC12" w14:textId="77777777" w:rsidTr="00D42ADC">
        <w:trPr>
          <w:trHeight w:val="29"/>
          <w:jc w:val="center"/>
        </w:trPr>
        <w:tc>
          <w:tcPr>
            <w:tcW w:w="442" w:type="dxa"/>
            <w:vAlign w:val="center"/>
            <w:hideMark/>
          </w:tcPr>
          <w:p w14:paraId="185393B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w:t>
            </w:r>
          </w:p>
        </w:tc>
        <w:tc>
          <w:tcPr>
            <w:tcW w:w="1821" w:type="dxa"/>
            <w:vAlign w:val="center"/>
            <w:hideMark/>
          </w:tcPr>
          <w:p w14:paraId="59577BD2"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Arunachal Pradesh</w:t>
            </w:r>
          </w:p>
        </w:tc>
        <w:tc>
          <w:tcPr>
            <w:tcW w:w="993" w:type="dxa"/>
            <w:vAlign w:val="center"/>
            <w:hideMark/>
          </w:tcPr>
          <w:p w14:paraId="0C36100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0.70</w:t>
            </w:r>
          </w:p>
        </w:tc>
        <w:tc>
          <w:tcPr>
            <w:tcW w:w="992" w:type="dxa"/>
            <w:vAlign w:val="center"/>
            <w:hideMark/>
          </w:tcPr>
          <w:p w14:paraId="111226E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0.71</w:t>
            </w:r>
          </w:p>
        </w:tc>
        <w:tc>
          <w:tcPr>
            <w:tcW w:w="850" w:type="dxa"/>
            <w:vAlign w:val="center"/>
            <w:hideMark/>
          </w:tcPr>
          <w:p w14:paraId="006C1D0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0.73</w:t>
            </w:r>
          </w:p>
        </w:tc>
        <w:tc>
          <w:tcPr>
            <w:tcW w:w="1276" w:type="dxa"/>
            <w:vAlign w:val="center"/>
            <w:hideMark/>
          </w:tcPr>
          <w:p w14:paraId="4EA2619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2.14</w:t>
            </w:r>
          </w:p>
        </w:tc>
      </w:tr>
      <w:tr w:rsidR="0038163E" w:rsidRPr="00767C21" w14:paraId="13E6EDA2" w14:textId="77777777" w:rsidTr="00D42ADC">
        <w:trPr>
          <w:trHeight w:val="29"/>
          <w:jc w:val="center"/>
        </w:trPr>
        <w:tc>
          <w:tcPr>
            <w:tcW w:w="442" w:type="dxa"/>
            <w:vAlign w:val="center"/>
            <w:hideMark/>
          </w:tcPr>
          <w:p w14:paraId="411B4A6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w:t>
            </w:r>
          </w:p>
        </w:tc>
        <w:tc>
          <w:tcPr>
            <w:tcW w:w="1821" w:type="dxa"/>
            <w:vAlign w:val="center"/>
            <w:hideMark/>
          </w:tcPr>
          <w:p w14:paraId="4F021F6B"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Assam</w:t>
            </w:r>
          </w:p>
        </w:tc>
        <w:tc>
          <w:tcPr>
            <w:tcW w:w="993" w:type="dxa"/>
            <w:vAlign w:val="center"/>
            <w:hideMark/>
          </w:tcPr>
          <w:p w14:paraId="1F7C291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23.58</w:t>
            </w:r>
          </w:p>
        </w:tc>
        <w:tc>
          <w:tcPr>
            <w:tcW w:w="992" w:type="dxa"/>
            <w:vAlign w:val="center"/>
            <w:hideMark/>
          </w:tcPr>
          <w:p w14:paraId="7940E2F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17.64</w:t>
            </w:r>
          </w:p>
        </w:tc>
        <w:tc>
          <w:tcPr>
            <w:tcW w:w="850" w:type="dxa"/>
            <w:vAlign w:val="center"/>
            <w:hideMark/>
          </w:tcPr>
          <w:p w14:paraId="495023D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29.29</w:t>
            </w:r>
          </w:p>
        </w:tc>
        <w:tc>
          <w:tcPr>
            <w:tcW w:w="1276" w:type="dxa"/>
            <w:vAlign w:val="center"/>
            <w:hideMark/>
          </w:tcPr>
          <w:p w14:paraId="227C416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70.51</w:t>
            </w:r>
          </w:p>
        </w:tc>
      </w:tr>
      <w:tr w:rsidR="0038163E" w:rsidRPr="00767C21" w14:paraId="1DA57342" w14:textId="77777777" w:rsidTr="00D42ADC">
        <w:trPr>
          <w:trHeight w:val="29"/>
          <w:jc w:val="center"/>
        </w:trPr>
        <w:tc>
          <w:tcPr>
            <w:tcW w:w="442" w:type="dxa"/>
            <w:vAlign w:val="center"/>
            <w:hideMark/>
          </w:tcPr>
          <w:p w14:paraId="1D371D1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w:t>
            </w:r>
          </w:p>
        </w:tc>
        <w:tc>
          <w:tcPr>
            <w:tcW w:w="1821" w:type="dxa"/>
            <w:vAlign w:val="center"/>
            <w:hideMark/>
          </w:tcPr>
          <w:p w14:paraId="6662FE60"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Bihar</w:t>
            </w:r>
          </w:p>
        </w:tc>
        <w:tc>
          <w:tcPr>
            <w:tcW w:w="993" w:type="dxa"/>
            <w:vAlign w:val="center"/>
            <w:hideMark/>
          </w:tcPr>
          <w:p w14:paraId="7EC5839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34.62</w:t>
            </w:r>
          </w:p>
        </w:tc>
        <w:tc>
          <w:tcPr>
            <w:tcW w:w="992" w:type="dxa"/>
            <w:vAlign w:val="center"/>
            <w:hideMark/>
          </w:tcPr>
          <w:p w14:paraId="7A56F69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47.24</w:t>
            </w:r>
          </w:p>
        </w:tc>
        <w:tc>
          <w:tcPr>
            <w:tcW w:w="850" w:type="dxa"/>
            <w:vAlign w:val="center"/>
            <w:hideMark/>
          </w:tcPr>
          <w:p w14:paraId="753F406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72.34</w:t>
            </w:r>
          </w:p>
        </w:tc>
        <w:tc>
          <w:tcPr>
            <w:tcW w:w="1276" w:type="dxa"/>
            <w:vAlign w:val="center"/>
            <w:hideMark/>
          </w:tcPr>
          <w:p w14:paraId="1696436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154.20</w:t>
            </w:r>
          </w:p>
        </w:tc>
      </w:tr>
      <w:tr w:rsidR="0038163E" w:rsidRPr="00767C21" w14:paraId="7BF4AFA5" w14:textId="77777777" w:rsidTr="00D42ADC">
        <w:trPr>
          <w:trHeight w:val="29"/>
          <w:jc w:val="center"/>
        </w:trPr>
        <w:tc>
          <w:tcPr>
            <w:tcW w:w="442" w:type="dxa"/>
            <w:vAlign w:val="center"/>
            <w:hideMark/>
          </w:tcPr>
          <w:p w14:paraId="6F43697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w:t>
            </w:r>
          </w:p>
        </w:tc>
        <w:tc>
          <w:tcPr>
            <w:tcW w:w="1821" w:type="dxa"/>
            <w:vAlign w:val="center"/>
            <w:hideMark/>
          </w:tcPr>
          <w:p w14:paraId="0831E6CE"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Goa</w:t>
            </w:r>
          </w:p>
        </w:tc>
        <w:tc>
          <w:tcPr>
            <w:tcW w:w="993" w:type="dxa"/>
            <w:vAlign w:val="center"/>
            <w:hideMark/>
          </w:tcPr>
          <w:p w14:paraId="7D7027F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6.98</w:t>
            </w:r>
          </w:p>
        </w:tc>
        <w:tc>
          <w:tcPr>
            <w:tcW w:w="992" w:type="dxa"/>
            <w:vAlign w:val="center"/>
            <w:hideMark/>
          </w:tcPr>
          <w:p w14:paraId="52B9A18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7.24</w:t>
            </w:r>
          </w:p>
        </w:tc>
        <w:tc>
          <w:tcPr>
            <w:tcW w:w="850" w:type="dxa"/>
            <w:vAlign w:val="center"/>
            <w:hideMark/>
          </w:tcPr>
          <w:p w14:paraId="36772C8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11.02</w:t>
            </w:r>
          </w:p>
        </w:tc>
        <w:tc>
          <w:tcPr>
            <w:tcW w:w="1276" w:type="dxa"/>
            <w:vAlign w:val="center"/>
            <w:hideMark/>
          </w:tcPr>
          <w:p w14:paraId="14F451D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25.24</w:t>
            </w:r>
          </w:p>
        </w:tc>
      </w:tr>
      <w:tr w:rsidR="0038163E" w:rsidRPr="00767C21" w14:paraId="4F992CA5" w14:textId="77777777" w:rsidTr="00D42ADC">
        <w:trPr>
          <w:trHeight w:val="29"/>
          <w:jc w:val="center"/>
        </w:trPr>
        <w:tc>
          <w:tcPr>
            <w:tcW w:w="442" w:type="dxa"/>
            <w:vAlign w:val="center"/>
            <w:hideMark/>
          </w:tcPr>
          <w:p w14:paraId="7503478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w:t>
            </w:r>
          </w:p>
        </w:tc>
        <w:tc>
          <w:tcPr>
            <w:tcW w:w="1821" w:type="dxa"/>
            <w:vAlign w:val="center"/>
            <w:hideMark/>
          </w:tcPr>
          <w:p w14:paraId="19DBBFD1"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Gujarat</w:t>
            </w:r>
          </w:p>
        </w:tc>
        <w:tc>
          <w:tcPr>
            <w:tcW w:w="993" w:type="dxa"/>
            <w:vAlign w:val="center"/>
            <w:hideMark/>
          </w:tcPr>
          <w:p w14:paraId="1E5A6A3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193.53</w:t>
            </w:r>
          </w:p>
        </w:tc>
        <w:tc>
          <w:tcPr>
            <w:tcW w:w="992" w:type="dxa"/>
            <w:vAlign w:val="center"/>
            <w:hideMark/>
          </w:tcPr>
          <w:p w14:paraId="0DA905F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245.26</w:t>
            </w:r>
          </w:p>
        </w:tc>
        <w:tc>
          <w:tcPr>
            <w:tcW w:w="850" w:type="dxa"/>
            <w:vAlign w:val="center"/>
            <w:hideMark/>
          </w:tcPr>
          <w:p w14:paraId="28577E1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275.81</w:t>
            </w:r>
          </w:p>
        </w:tc>
        <w:tc>
          <w:tcPr>
            <w:tcW w:w="1276" w:type="dxa"/>
            <w:vAlign w:val="center"/>
            <w:hideMark/>
          </w:tcPr>
          <w:p w14:paraId="3F8E427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714.60</w:t>
            </w:r>
          </w:p>
        </w:tc>
      </w:tr>
      <w:tr w:rsidR="0038163E" w:rsidRPr="00767C21" w14:paraId="366F28BE" w14:textId="77777777" w:rsidTr="00D42ADC">
        <w:trPr>
          <w:trHeight w:val="29"/>
          <w:jc w:val="center"/>
        </w:trPr>
        <w:tc>
          <w:tcPr>
            <w:tcW w:w="442" w:type="dxa"/>
            <w:vAlign w:val="center"/>
            <w:hideMark/>
          </w:tcPr>
          <w:p w14:paraId="4252861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w:t>
            </w:r>
          </w:p>
        </w:tc>
        <w:tc>
          <w:tcPr>
            <w:tcW w:w="1821" w:type="dxa"/>
            <w:vAlign w:val="center"/>
            <w:hideMark/>
          </w:tcPr>
          <w:p w14:paraId="72EFEE02"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Haryana</w:t>
            </w:r>
          </w:p>
        </w:tc>
        <w:tc>
          <w:tcPr>
            <w:tcW w:w="993" w:type="dxa"/>
            <w:vAlign w:val="center"/>
            <w:hideMark/>
          </w:tcPr>
          <w:p w14:paraId="798ABD0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16.47</w:t>
            </w:r>
          </w:p>
        </w:tc>
        <w:tc>
          <w:tcPr>
            <w:tcW w:w="992" w:type="dxa"/>
            <w:vAlign w:val="center"/>
            <w:hideMark/>
          </w:tcPr>
          <w:p w14:paraId="5A81E05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23.94</w:t>
            </w:r>
          </w:p>
        </w:tc>
        <w:tc>
          <w:tcPr>
            <w:tcW w:w="850" w:type="dxa"/>
            <w:vAlign w:val="center"/>
            <w:hideMark/>
          </w:tcPr>
          <w:p w14:paraId="4388A27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22.45</w:t>
            </w:r>
          </w:p>
        </w:tc>
        <w:tc>
          <w:tcPr>
            <w:tcW w:w="1276" w:type="dxa"/>
            <w:vAlign w:val="center"/>
            <w:hideMark/>
          </w:tcPr>
          <w:p w14:paraId="6BCD1A1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62.86</w:t>
            </w:r>
          </w:p>
        </w:tc>
      </w:tr>
      <w:tr w:rsidR="0038163E" w:rsidRPr="00767C21" w14:paraId="04DE9552" w14:textId="77777777" w:rsidTr="00D42ADC">
        <w:trPr>
          <w:trHeight w:val="29"/>
          <w:jc w:val="center"/>
        </w:trPr>
        <w:tc>
          <w:tcPr>
            <w:tcW w:w="442" w:type="dxa"/>
            <w:vAlign w:val="center"/>
            <w:hideMark/>
          </w:tcPr>
          <w:p w14:paraId="617ADE0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w:t>
            </w:r>
          </w:p>
        </w:tc>
        <w:tc>
          <w:tcPr>
            <w:tcW w:w="1821" w:type="dxa"/>
            <w:vAlign w:val="center"/>
            <w:hideMark/>
          </w:tcPr>
          <w:p w14:paraId="41A3DC87"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Himachal Pradesh</w:t>
            </w:r>
          </w:p>
        </w:tc>
        <w:tc>
          <w:tcPr>
            <w:tcW w:w="993" w:type="dxa"/>
            <w:vAlign w:val="center"/>
            <w:hideMark/>
          </w:tcPr>
          <w:p w14:paraId="464FECC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8.57</w:t>
            </w:r>
          </w:p>
        </w:tc>
        <w:tc>
          <w:tcPr>
            <w:tcW w:w="992" w:type="dxa"/>
            <w:vAlign w:val="center"/>
            <w:hideMark/>
          </w:tcPr>
          <w:p w14:paraId="033C527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7.30</w:t>
            </w:r>
          </w:p>
        </w:tc>
        <w:tc>
          <w:tcPr>
            <w:tcW w:w="850" w:type="dxa"/>
            <w:vAlign w:val="center"/>
            <w:hideMark/>
          </w:tcPr>
          <w:p w14:paraId="3C333D9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7.48</w:t>
            </w:r>
          </w:p>
        </w:tc>
        <w:tc>
          <w:tcPr>
            <w:tcW w:w="1276" w:type="dxa"/>
            <w:vAlign w:val="center"/>
            <w:hideMark/>
          </w:tcPr>
          <w:p w14:paraId="14CFD9A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23.35</w:t>
            </w:r>
          </w:p>
        </w:tc>
      </w:tr>
      <w:tr w:rsidR="0038163E" w:rsidRPr="00767C21" w14:paraId="11562896" w14:textId="77777777" w:rsidTr="00D42ADC">
        <w:trPr>
          <w:trHeight w:val="29"/>
          <w:jc w:val="center"/>
        </w:trPr>
        <w:tc>
          <w:tcPr>
            <w:tcW w:w="442" w:type="dxa"/>
            <w:vAlign w:val="center"/>
            <w:hideMark/>
          </w:tcPr>
          <w:p w14:paraId="6A132B9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w:t>
            </w:r>
          </w:p>
        </w:tc>
        <w:tc>
          <w:tcPr>
            <w:tcW w:w="1821" w:type="dxa"/>
            <w:vAlign w:val="center"/>
            <w:hideMark/>
          </w:tcPr>
          <w:p w14:paraId="7C7C915A"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Jammu and Kashmir</w:t>
            </w:r>
          </w:p>
        </w:tc>
        <w:tc>
          <w:tcPr>
            <w:tcW w:w="993" w:type="dxa"/>
            <w:vAlign w:val="center"/>
            <w:hideMark/>
          </w:tcPr>
          <w:p w14:paraId="51E124C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9.04</w:t>
            </w:r>
          </w:p>
        </w:tc>
        <w:tc>
          <w:tcPr>
            <w:tcW w:w="992" w:type="dxa"/>
            <w:vAlign w:val="center"/>
            <w:hideMark/>
          </w:tcPr>
          <w:p w14:paraId="454DB71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10.49</w:t>
            </w:r>
          </w:p>
        </w:tc>
        <w:tc>
          <w:tcPr>
            <w:tcW w:w="850" w:type="dxa"/>
            <w:vAlign w:val="center"/>
            <w:hideMark/>
          </w:tcPr>
          <w:p w14:paraId="5175FFC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17.15</w:t>
            </w:r>
          </w:p>
        </w:tc>
        <w:tc>
          <w:tcPr>
            <w:tcW w:w="1276" w:type="dxa"/>
            <w:vAlign w:val="center"/>
            <w:hideMark/>
          </w:tcPr>
          <w:p w14:paraId="36E1D93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36.68</w:t>
            </w:r>
          </w:p>
        </w:tc>
      </w:tr>
      <w:tr w:rsidR="0038163E" w:rsidRPr="00767C21" w14:paraId="3AC85307" w14:textId="77777777" w:rsidTr="00D42ADC">
        <w:trPr>
          <w:trHeight w:val="29"/>
          <w:jc w:val="center"/>
        </w:trPr>
        <w:tc>
          <w:tcPr>
            <w:tcW w:w="442" w:type="dxa"/>
            <w:vAlign w:val="center"/>
            <w:hideMark/>
          </w:tcPr>
          <w:p w14:paraId="315FB8A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w:t>
            </w:r>
          </w:p>
        </w:tc>
        <w:tc>
          <w:tcPr>
            <w:tcW w:w="1821" w:type="dxa"/>
            <w:vAlign w:val="center"/>
            <w:hideMark/>
          </w:tcPr>
          <w:p w14:paraId="403C381C"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Karnataka</w:t>
            </w:r>
          </w:p>
        </w:tc>
        <w:tc>
          <w:tcPr>
            <w:tcW w:w="993" w:type="dxa"/>
            <w:vAlign w:val="center"/>
            <w:hideMark/>
          </w:tcPr>
          <w:p w14:paraId="614168A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81.09</w:t>
            </w:r>
          </w:p>
        </w:tc>
        <w:tc>
          <w:tcPr>
            <w:tcW w:w="992" w:type="dxa"/>
            <w:vAlign w:val="center"/>
            <w:hideMark/>
          </w:tcPr>
          <w:p w14:paraId="2558D0B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114.69</w:t>
            </w:r>
          </w:p>
        </w:tc>
        <w:tc>
          <w:tcPr>
            <w:tcW w:w="850" w:type="dxa"/>
            <w:vAlign w:val="center"/>
            <w:hideMark/>
          </w:tcPr>
          <w:p w14:paraId="5B4CEF7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127.06</w:t>
            </w:r>
          </w:p>
        </w:tc>
        <w:tc>
          <w:tcPr>
            <w:tcW w:w="1276" w:type="dxa"/>
            <w:vAlign w:val="center"/>
            <w:hideMark/>
          </w:tcPr>
          <w:p w14:paraId="318AF43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322.84</w:t>
            </w:r>
          </w:p>
        </w:tc>
      </w:tr>
      <w:tr w:rsidR="0038163E" w:rsidRPr="00767C21" w14:paraId="127222DD" w14:textId="77777777" w:rsidTr="00D42ADC">
        <w:trPr>
          <w:trHeight w:val="29"/>
          <w:jc w:val="center"/>
        </w:trPr>
        <w:tc>
          <w:tcPr>
            <w:tcW w:w="442" w:type="dxa"/>
            <w:vAlign w:val="center"/>
            <w:hideMark/>
          </w:tcPr>
          <w:p w14:paraId="3225F3F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w:t>
            </w:r>
          </w:p>
        </w:tc>
        <w:tc>
          <w:tcPr>
            <w:tcW w:w="1821" w:type="dxa"/>
            <w:vAlign w:val="center"/>
            <w:hideMark/>
          </w:tcPr>
          <w:p w14:paraId="750DC61D"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Kerala</w:t>
            </w:r>
          </w:p>
        </w:tc>
        <w:tc>
          <w:tcPr>
            <w:tcW w:w="993" w:type="dxa"/>
            <w:vAlign w:val="center"/>
            <w:hideMark/>
          </w:tcPr>
          <w:p w14:paraId="2C762FE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63.21</w:t>
            </w:r>
          </w:p>
        </w:tc>
        <w:tc>
          <w:tcPr>
            <w:tcW w:w="992" w:type="dxa"/>
            <w:vAlign w:val="center"/>
            <w:hideMark/>
          </w:tcPr>
          <w:p w14:paraId="4D17D9E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69.35</w:t>
            </w:r>
          </w:p>
        </w:tc>
        <w:tc>
          <w:tcPr>
            <w:tcW w:w="850" w:type="dxa"/>
            <w:vAlign w:val="center"/>
            <w:hideMark/>
          </w:tcPr>
          <w:p w14:paraId="2710375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75.51</w:t>
            </w:r>
          </w:p>
        </w:tc>
        <w:tc>
          <w:tcPr>
            <w:tcW w:w="1276" w:type="dxa"/>
            <w:vAlign w:val="center"/>
            <w:hideMark/>
          </w:tcPr>
          <w:p w14:paraId="34288B3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208.07</w:t>
            </w:r>
          </w:p>
        </w:tc>
      </w:tr>
      <w:tr w:rsidR="0038163E" w:rsidRPr="00767C21" w14:paraId="773DD3E9" w14:textId="77777777" w:rsidTr="00D42ADC">
        <w:trPr>
          <w:trHeight w:val="29"/>
          <w:jc w:val="center"/>
        </w:trPr>
        <w:tc>
          <w:tcPr>
            <w:tcW w:w="442" w:type="dxa"/>
            <w:vAlign w:val="center"/>
            <w:hideMark/>
          </w:tcPr>
          <w:p w14:paraId="3FB0364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w:t>
            </w:r>
          </w:p>
        </w:tc>
        <w:tc>
          <w:tcPr>
            <w:tcW w:w="1821" w:type="dxa"/>
            <w:vAlign w:val="center"/>
            <w:hideMark/>
          </w:tcPr>
          <w:p w14:paraId="661E1767"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Madhya Pradesh</w:t>
            </w:r>
          </w:p>
        </w:tc>
        <w:tc>
          <w:tcPr>
            <w:tcW w:w="993" w:type="dxa"/>
            <w:vAlign w:val="center"/>
            <w:hideMark/>
          </w:tcPr>
          <w:p w14:paraId="2B74C8A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52.78</w:t>
            </w:r>
          </w:p>
        </w:tc>
        <w:tc>
          <w:tcPr>
            <w:tcW w:w="992" w:type="dxa"/>
            <w:vAlign w:val="center"/>
            <w:hideMark/>
          </w:tcPr>
          <w:p w14:paraId="3A434AC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69.01</w:t>
            </w:r>
          </w:p>
        </w:tc>
        <w:tc>
          <w:tcPr>
            <w:tcW w:w="850" w:type="dxa"/>
            <w:vAlign w:val="center"/>
            <w:hideMark/>
          </w:tcPr>
          <w:p w14:paraId="4299458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88.05</w:t>
            </w:r>
          </w:p>
        </w:tc>
        <w:tc>
          <w:tcPr>
            <w:tcW w:w="1276" w:type="dxa"/>
            <w:vAlign w:val="center"/>
            <w:hideMark/>
          </w:tcPr>
          <w:p w14:paraId="0D0E437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209.84</w:t>
            </w:r>
          </w:p>
        </w:tc>
      </w:tr>
      <w:tr w:rsidR="0038163E" w:rsidRPr="00767C21" w14:paraId="73C93714" w14:textId="77777777" w:rsidTr="00D42ADC">
        <w:trPr>
          <w:trHeight w:val="29"/>
          <w:jc w:val="center"/>
        </w:trPr>
        <w:tc>
          <w:tcPr>
            <w:tcW w:w="442" w:type="dxa"/>
            <w:vAlign w:val="center"/>
            <w:hideMark/>
          </w:tcPr>
          <w:p w14:paraId="19F782A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w:t>
            </w:r>
          </w:p>
        </w:tc>
        <w:tc>
          <w:tcPr>
            <w:tcW w:w="1821" w:type="dxa"/>
            <w:vAlign w:val="center"/>
            <w:hideMark/>
          </w:tcPr>
          <w:p w14:paraId="475B7DC2"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Maharashtra</w:t>
            </w:r>
          </w:p>
        </w:tc>
        <w:tc>
          <w:tcPr>
            <w:tcW w:w="993" w:type="dxa"/>
            <w:vAlign w:val="center"/>
            <w:hideMark/>
          </w:tcPr>
          <w:p w14:paraId="1BF44D7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512.23</w:t>
            </w:r>
          </w:p>
        </w:tc>
        <w:tc>
          <w:tcPr>
            <w:tcW w:w="992" w:type="dxa"/>
            <w:vAlign w:val="center"/>
            <w:hideMark/>
          </w:tcPr>
          <w:p w14:paraId="064C03A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613.06</w:t>
            </w:r>
          </w:p>
        </w:tc>
        <w:tc>
          <w:tcPr>
            <w:tcW w:w="850" w:type="dxa"/>
            <w:vAlign w:val="center"/>
            <w:hideMark/>
          </w:tcPr>
          <w:p w14:paraId="2D35E7F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614.23</w:t>
            </w:r>
          </w:p>
        </w:tc>
        <w:tc>
          <w:tcPr>
            <w:tcW w:w="1276" w:type="dxa"/>
            <w:vAlign w:val="center"/>
            <w:hideMark/>
          </w:tcPr>
          <w:p w14:paraId="081048E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1739.52</w:t>
            </w:r>
          </w:p>
        </w:tc>
      </w:tr>
      <w:tr w:rsidR="0038163E" w:rsidRPr="00767C21" w14:paraId="30A2C3A7" w14:textId="77777777" w:rsidTr="00D42ADC">
        <w:trPr>
          <w:trHeight w:val="29"/>
          <w:jc w:val="center"/>
        </w:trPr>
        <w:tc>
          <w:tcPr>
            <w:tcW w:w="442" w:type="dxa"/>
            <w:vAlign w:val="center"/>
            <w:hideMark/>
          </w:tcPr>
          <w:p w14:paraId="0952FBD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w:t>
            </w:r>
          </w:p>
        </w:tc>
        <w:tc>
          <w:tcPr>
            <w:tcW w:w="1821" w:type="dxa"/>
            <w:vAlign w:val="center"/>
            <w:hideMark/>
          </w:tcPr>
          <w:p w14:paraId="4F935D03"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Manipur</w:t>
            </w:r>
          </w:p>
        </w:tc>
        <w:tc>
          <w:tcPr>
            <w:tcW w:w="993" w:type="dxa"/>
            <w:vAlign w:val="center"/>
            <w:hideMark/>
          </w:tcPr>
          <w:p w14:paraId="63641EF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0.60</w:t>
            </w:r>
          </w:p>
        </w:tc>
        <w:tc>
          <w:tcPr>
            <w:tcW w:w="992" w:type="dxa"/>
            <w:vAlign w:val="center"/>
            <w:hideMark/>
          </w:tcPr>
          <w:p w14:paraId="1305ED7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0.53</w:t>
            </w:r>
          </w:p>
        </w:tc>
        <w:tc>
          <w:tcPr>
            <w:tcW w:w="850" w:type="dxa"/>
            <w:vAlign w:val="center"/>
            <w:hideMark/>
          </w:tcPr>
          <w:p w14:paraId="6574878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0.57</w:t>
            </w:r>
          </w:p>
        </w:tc>
        <w:tc>
          <w:tcPr>
            <w:tcW w:w="1276" w:type="dxa"/>
            <w:vAlign w:val="center"/>
            <w:hideMark/>
          </w:tcPr>
          <w:p w14:paraId="427F81C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1.70</w:t>
            </w:r>
          </w:p>
        </w:tc>
      </w:tr>
      <w:tr w:rsidR="0038163E" w:rsidRPr="00767C21" w14:paraId="003DE0F9" w14:textId="77777777" w:rsidTr="00D42ADC">
        <w:trPr>
          <w:trHeight w:val="29"/>
          <w:jc w:val="center"/>
        </w:trPr>
        <w:tc>
          <w:tcPr>
            <w:tcW w:w="442" w:type="dxa"/>
            <w:vAlign w:val="center"/>
            <w:hideMark/>
          </w:tcPr>
          <w:p w14:paraId="6F38AA0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w:t>
            </w:r>
          </w:p>
        </w:tc>
        <w:tc>
          <w:tcPr>
            <w:tcW w:w="1821" w:type="dxa"/>
            <w:vAlign w:val="center"/>
            <w:hideMark/>
          </w:tcPr>
          <w:p w14:paraId="6BDF5F2D"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Meghalaya</w:t>
            </w:r>
          </w:p>
        </w:tc>
        <w:tc>
          <w:tcPr>
            <w:tcW w:w="993" w:type="dxa"/>
            <w:vAlign w:val="center"/>
            <w:hideMark/>
          </w:tcPr>
          <w:p w14:paraId="735327C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1.61</w:t>
            </w:r>
          </w:p>
        </w:tc>
        <w:tc>
          <w:tcPr>
            <w:tcW w:w="992" w:type="dxa"/>
            <w:vAlign w:val="center"/>
            <w:hideMark/>
          </w:tcPr>
          <w:p w14:paraId="5829BC7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1.65</w:t>
            </w:r>
          </w:p>
        </w:tc>
        <w:tc>
          <w:tcPr>
            <w:tcW w:w="850" w:type="dxa"/>
            <w:vAlign w:val="center"/>
            <w:hideMark/>
          </w:tcPr>
          <w:p w14:paraId="542FB32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1.93</w:t>
            </w:r>
          </w:p>
        </w:tc>
        <w:tc>
          <w:tcPr>
            <w:tcW w:w="1276" w:type="dxa"/>
            <w:vAlign w:val="center"/>
            <w:hideMark/>
          </w:tcPr>
          <w:p w14:paraId="44F82F5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5.19</w:t>
            </w:r>
          </w:p>
        </w:tc>
      </w:tr>
      <w:tr w:rsidR="0038163E" w:rsidRPr="00767C21" w14:paraId="60475AEB" w14:textId="77777777" w:rsidTr="00D42ADC">
        <w:trPr>
          <w:trHeight w:val="29"/>
          <w:jc w:val="center"/>
        </w:trPr>
        <w:tc>
          <w:tcPr>
            <w:tcW w:w="442" w:type="dxa"/>
            <w:vAlign w:val="center"/>
            <w:hideMark/>
          </w:tcPr>
          <w:p w14:paraId="60EC704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w:t>
            </w:r>
          </w:p>
        </w:tc>
        <w:tc>
          <w:tcPr>
            <w:tcW w:w="1821" w:type="dxa"/>
            <w:vAlign w:val="center"/>
            <w:hideMark/>
          </w:tcPr>
          <w:p w14:paraId="699CE428"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Mizoram</w:t>
            </w:r>
          </w:p>
        </w:tc>
        <w:tc>
          <w:tcPr>
            <w:tcW w:w="993" w:type="dxa"/>
            <w:vAlign w:val="center"/>
            <w:hideMark/>
          </w:tcPr>
          <w:p w14:paraId="42E9C4D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w:t>
            </w:r>
          </w:p>
        </w:tc>
        <w:tc>
          <w:tcPr>
            <w:tcW w:w="992" w:type="dxa"/>
            <w:vAlign w:val="center"/>
            <w:hideMark/>
          </w:tcPr>
          <w:p w14:paraId="1D327FE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w:t>
            </w:r>
          </w:p>
        </w:tc>
        <w:tc>
          <w:tcPr>
            <w:tcW w:w="850" w:type="dxa"/>
            <w:vAlign w:val="center"/>
            <w:hideMark/>
          </w:tcPr>
          <w:p w14:paraId="356148B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w:t>
            </w:r>
          </w:p>
        </w:tc>
        <w:tc>
          <w:tcPr>
            <w:tcW w:w="1276" w:type="dxa"/>
            <w:vAlign w:val="center"/>
            <w:hideMark/>
          </w:tcPr>
          <w:p w14:paraId="702F43C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0.03</w:t>
            </w:r>
          </w:p>
        </w:tc>
      </w:tr>
      <w:tr w:rsidR="0038163E" w:rsidRPr="00767C21" w14:paraId="3181F923" w14:textId="77777777" w:rsidTr="00D42ADC">
        <w:trPr>
          <w:trHeight w:val="29"/>
          <w:jc w:val="center"/>
        </w:trPr>
        <w:tc>
          <w:tcPr>
            <w:tcW w:w="442" w:type="dxa"/>
            <w:vAlign w:val="center"/>
            <w:hideMark/>
          </w:tcPr>
          <w:p w14:paraId="2C77C38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w:t>
            </w:r>
          </w:p>
        </w:tc>
        <w:tc>
          <w:tcPr>
            <w:tcW w:w="1821" w:type="dxa"/>
            <w:vAlign w:val="center"/>
            <w:hideMark/>
          </w:tcPr>
          <w:p w14:paraId="09943FC6"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Nagaland</w:t>
            </w:r>
          </w:p>
        </w:tc>
        <w:tc>
          <w:tcPr>
            <w:tcW w:w="993" w:type="dxa"/>
            <w:vAlign w:val="center"/>
            <w:hideMark/>
          </w:tcPr>
          <w:p w14:paraId="175F57D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0.28</w:t>
            </w:r>
          </w:p>
        </w:tc>
        <w:tc>
          <w:tcPr>
            <w:tcW w:w="992" w:type="dxa"/>
            <w:vAlign w:val="center"/>
            <w:hideMark/>
          </w:tcPr>
          <w:p w14:paraId="3FB97C7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0.28</w:t>
            </w:r>
          </w:p>
        </w:tc>
        <w:tc>
          <w:tcPr>
            <w:tcW w:w="850" w:type="dxa"/>
            <w:vAlign w:val="center"/>
            <w:hideMark/>
          </w:tcPr>
          <w:p w14:paraId="49E8C54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0.31</w:t>
            </w:r>
          </w:p>
        </w:tc>
        <w:tc>
          <w:tcPr>
            <w:tcW w:w="1276" w:type="dxa"/>
            <w:vAlign w:val="center"/>
            <w:hideMark/>
          </w:tcPr>
          <w:p w14:paraId="01E461A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0.87</w:t>
            </w:r>
          </w:p>
        </w:tc>
      </w:tr>
      <w:tr w:rsidR="0038163E" w:rsidRPr="00767C21" w14:paraId="2C81398D" w14:textId="77777777" w:rsidTr="00D42ADC">
        <w:trPr>
          <w:trHeight w:val="29"/>
          <w:jc w:val="center"/>
        </w:trPr>
        <w:tc>
          <w:tcPr>
            <w:tcW w:w="442" w:type="dxa"/>
            <w:vAlign w:val="center"/>
            <w:hideMark/>
          </w:tcPr>
          <w:p w14:paraId="623F8E8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w:t>
            </w:r>
          </w:p>
        </w:tc>
        <w:tc>
          <w:tcPr>
            <w:tcW w:w="1821" w:type="dxa"/>
            <w:vAlign w:val="center"/>
            <w:hideMark/>
          </w:tcPr>
          <w:p w14:paraId="3B4BC795"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Orissa</w:t>
            </w:r>
          </w:p>
        </w:tc>
        <w:tc>
          <w:tcPr>
            <w:tcW w:w="993" w:type="dxa"/>
            <w:vAlign w:val="center"/>
            <w:hideMark/>
          </w:tcPr>
          <w:p w14:paraId="6534603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13.75</w:t>
            </w:r>
          </w:p>
        </w:tc>
        <w:tc>
          <w:tcPr>
            <w:tcW w:w="992" w:type="dxa"/>
            <w:vAlign w:val="center"/>
            <w:hideMark/>
          </w:tcPr>
          <w:p w14:paraId="255CFE7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14.24</w:t>
            </w:r>
          </w:p>
        </w:tc>
        <w:tc>
          <w:tcPr>
            <w:tcW w:w="850" w:type="dxa"/>
            <w:vAlign w:val="center"/>
            <w:hideMark/>
          </w:tcPr>
          <w:p w14:paraId="7B9A1FA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13.92</w:t>
            </w:r>
          </w:p>
        </w:tc>
        <w:tc>
          <w:tcPr>
            <w:tcW w:w="1276" w:type="dxa"/>
            <w:vAlign w:val="center"/>
            <w:hideMark/>
          </w:tcPr>
          <w:p w14:paraId="62BDF58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41.91</w:t>
            </w:r>
          </w:p>
        </w:tc>
      </w:tr>
      <w:tr w:rsidR="0038163E" w:rsidRPr="00767C21" w14:paraId="110E15B7" w14:textId="77777777" w:rsidTr="00D42ADC">
        <w:trPr>
          <w:trHeight w:val="29"/>
          <w:jc w:val="center"/>
        </w:trPr>
        <w:tc>
          <w:tcPr>
            <w:tcW w:w="442" w:type="dxa"/>
            <w:vAlign w:val="center"/>
            <w:hideMark/>
          </w:tcPr>
          <w:p w14:paraId="7489933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w:t>
            </w:r>
          </w:p>
        </w:tc>
        <w:tc>
          <w:tcPr>
            <w:tcW w:w="1821" w:type="dxa"/>
            <w:vAlign w:val="center"/>
            <w:hideMark/>
          </w:tcPr>
          <w:p w14:paraId="5CE17946"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Punjab</w:t>
            </w:r>
          </w:p>
        </w:tc>
        <w:tc>
          <w:tcPr>
            <w:tcW w:w="993" w:type="dxa"/>
            <w:vAlign w:val="center"/>
            <w:hideMark/>
          </w:tcPr>
          <w:p w14:paraId="50F6599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79.21</w:t>
            </w:r>
          </w:p>
        </w:tc>
        <w:tc>
          <w:tcPr>
            <w:tcW w:w="992" w:type="dxa"/>
            <w:vAlign w:val="center"/>
            <w:hideMark/>
          </w:tcPr>
          <w:p w14:paraId="15D86DB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61.17</w:t>
            </w:r>
          </w:p>
        </w:tc>
        <w:tc>
          <w:tcPr>
            <w:tcW w:w="850" w:type="dxa"/>
            <w:vAlign w:val="center"/>
            <w:hideMark/>
          </w:tcPr>
          <w:p w14:paraId="2AF6009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61.77</w:t>
            </w:r>
          </w:p>
        </w:tc>
        <w:tc>
          <w:tcPr>
            <w:tcW w:w="1276" w:type="dxa"/>
            <w:vAlign w:val="center"/>
            <w:hideMark/>
          </w:tcPr>
          <w:p w14:paraId="3A81650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202.15</w:t>
            </w:r>
          </w:p>
        </w:tc>
      </w:tr>
      <w:tr w:rsidR="0038163E" w:rsidRPr="00767C21" w14:paraId="2E01B2CC" w14:textId="77777777" w:rsidTr="00D42ADC">
        <w:trPr>
          <w:trHeight w:val="29"/>
          <w:jc w:val="center"/>
        </w:trPr>
        <w:tc>
          <w:tcPr>
            <w:tcW w:w="442" w:type="dxa"/>
            <w:vAlign w:val="center"/>
            <w:hideMark/>
          </w:tcPr>
          <w:p w14:paraId="6463C23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lastRenderedPageBreak/>
              <w:t>20.</w:t>
            </w:r>
          </w:p>
        </w:tc>
        <w:tc>
          <w:tcPr>
            <w:tcW w:w="1821" w:type="dxa"/>
            <w:vAlign w:val="center"/>
            <w:hideMark/>
          </w:tcPr>
          <w:p w14:paraId="621F267A"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Rajasthan</w:t>
            </w:r>
          </w:p>
        </w:tc>
        <w:tc>
          <w:tcPr>
            <w:tcW w:w="993" w:type="dxa"/>
            <w:vAlign w:val="center"/>
            <w:hideMark/>
          </w:tcPr>
          <w:p w14:paraId="6013F66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53.65</w:t>
            </w:r>
          </w:p>
        </w:tc>
        <w:tc>
          <w:tcPr>
            <w:tcW w:w="992" w:type="dxa"/>
            <w:vAlign w:val="center"/>
            <w:hideMark/>
          </w:tcPr>
          <w:p w14:paraId="78DFBBD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40.37</w:t>
            </w:r>
          </w:p>
        </w:tc>
        <w:tc>
          <w:tcPr>
            <w:tcW w:w="850" w:type="dxa"/>
            <w:vAlign w:val="center"/>
            <w:hideMark/>
          </w:tcPr>
          <w:p w14:paraId="3A35B6F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39.92</w:t>
            </w:r>
          </w:p>
        </w:tc>
        <w:tc>
          <w:tcPr>
            <w:tcW w:w="1276" w:type="dxa"/>
            <w:vAlign w:val="center"/>
            <w:hideMark/>
          </w:tcPr>
          <w:p w14:paraId="39B9F53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133.94</w:t>
            </w:r>
          </w:p>
        </w:tc>
      </w:tr>
      <w:tr w:rsidR="0038163E" w:rsidRPr="00767C21" w14:paraId="0C85219D" w14:textId="77777777" w:rsidTr="00D42ADC">
        <w:trPr>
          <w:trHeight w:val="29"/>
          <w:jc w:val="center"/>
        </w:trPr>
        <w:tc>
          <w:tcPr>
            <w:tcW w:w="442" w:type="dxa"/>
            <w:vAlign w:val="center"/>
            <w:hideMark/>
          </w:tcPr>
          <w:p w14:paraId="1235183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w:t>
            </w:r>
          </w:p>
        </w:tc>
        <w:tc>
          <w:tcPr>
            <w:tcW w:w="1821" w:type="dxa"/>
            <w:vAlign w:val="center"/>
            <w:hideMark/>
          </w:tcPr>
          <w:p w14:paraId="19EE1912"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Sikkim</w:t>
            </w:r>
          </w:p>
        </w:tc>
        <w:tc>
          <w:tcPr>
            <w:tcW w:w="993" w:type="dxa"/>
            <w:vAlign w:val="center"/>
            <w:hideMark/>
          </w:tcPr>
          <w:p w14:paraId="5E44986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992" w:type="dxa"/>
            <w:vAlign w:val="center"/>
            <w:hideMark/>
          </w:tcPr>
          <w:p w14:paraId="0896E76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850" w:type="dxa"/>
            <w:vAlign w:val="center"/>
            <w:hideMark/>
          </w:tcPr>
          <w:p w14:paraId="20393C2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1276" w:type="dxa"/>
            <w:vAlign w:val="center"/>
            <w:hideMark/>
          </w:tcPr>
          <w:p w14:paraId="4EC5922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r>
      <w:tr w:rsidR="0038163E" w:rsidRPr="00767C21" w14:paraId="40E02B4C" w14:textId="77777777" w:rsidTr="00D42ADC">
        <w:trPr>
          <w:trHeight w:val="29"/>
          <w:jc w:val="center"/>
        </w:trPr>
        <w:tc>
          <w:tcPr>
            <w:tcW w:w="442" w:type="dxa"/>
            <w:vAlign w:val="center"/>
            <w:hideMark/>
          </w:tcPr>
          <w:p w14:paraId="6A673B0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22.</w:t>
            </w:r>
          </w:p>
        </w:tc>
        <w:tc>
          <w:tcPr>
            <w:tcW w:w="1821" w:type="dxa"/>
            <w:vAlign w:val="center"/>
            <w:hideMark/>
          </w:tcPr>
          <w:p w14:paraId="15508830"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Tamil Nadu</w:t>
            </w:r>
          </w:p>
        </w:tc>
        <w:tc>
          <w:tcPr>
            <w:tcW w:w="993" w:type="dxa"/>
            <w:vAlign w:val="center"/>
            <w:hideMark/>
          </w:tcPr>
          <w:p w14:paraId="4D854A9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179.29</w:t>
            </w:r>
          </w:p>
        </w:tc>
        <w:tc>
          <w:tcPr>
            <w:tcW w:w="992" w:type="dxa"/>
            <w:vAlign w:val="center"/>
            <w:hideMark/>
          </w:tcPr>
          <w:p w14:paraId="0D8B62B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215.88</w:t>
            </w:r>
          </w:p>
        </w:tc>
        <w:tc>
          <w:tcPr>
            <w:tcW w:w="850" w:type="dxa"/>
            <w:vAlign w:val="center"/>
            <w:hideMark/>
          </w:tcPr>
          <w:p w14:paraId="3755DFF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207.14</w:t>
            </w:r>
          </w:p>
        </w:tc>
        <w:tc>
          <w:tcPr>
            <w:tcW w:w="1276" w:type="dxa"/>
            <w:vAlign w:val="center"/>
            <w:hideMark/>
          </w:tcPr>
          <w:p w14:paraId="747ED5E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602.31</w:t>
            </w:r>
          </w:p>
        </w:tc>
      </w:tr>
      <w:tr w:rsidR="0038163E" w:rsidRPr="00767C21" w14:paraId="48C6C513" w14:textId="77777777" w:rsidTr="00D42ADC">
        <w:trPr>
          <w:trHeight w:val="29"/>
          <w:jc w:val="center"/>
        </w:trPr>
        <w:tc>
          <w:tcPr>
            <w:tcW w:w="442" w:type="dxa"/>
            <w:vAlign w:val="center"/>
            <w:hideMark/>
          </w:tcPr>
          <w:p w14:paraId="72E9E78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w:t>
            </w:r>
          </w:p>
        </w:tc>
        <w:tc>
          <w:tcPr>
            <w:tcW w:w="1821" w:type="dxa"/>
            <w:vAlign w:val="center"/>
            <w:hideMark/>
          </w:tcPr>
          <w:p w14:paraId="12646650"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Tripura</w:t>
            </w:r>
          </w:p>
        </w:tc>
        <w:tc>
          <w:tcPr>
            <w:tcW w:w="993" w:type="dxa"/>
            <w:vAlign w:val="center"/>
            <w:hideMark/>
          </w:tcPr>
          <w:p w14:paraId="30B5C22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0.44</w:t>
            </w:r>
          </w:p>
        </w:tc>
        <w:tc>
          <w:tcPr>
            <w:tcW w:w="992" w:type="dxa"/>
            <w:vAlign w:val="center"/>
            <w:hideMark/>
          </w:tcPr>
          <w:p w14:paraId="47E57F9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0.51</w:t>
            </w:r>
          </w:p>
        </w:tc>
        <w:tc>
          <w:tcPr>
            <w:tcW w:w="850" w:type="dxa"/>
            <w:vAlign w:val="center"/>
            <w:hideMark/>
          </w:tcPr>
          <w:p w14:paraId="4A5CE3F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0.68</w:t>
            </w:r>
          </w:p>
        </w:tc>
        <w:tc>
          <w:tcPr>
            <w:tcW w:w="1276" w:type="dxa"/>
            <w:vAlign w:val="center"/>
            <w:hideMark/>
          </w:tcPr>
          <w:p w14:paraId="68A2CE0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1.63</w:t>
            </w:r>
          </w:p>
        </w:tc>
      </w:tr>
      <w:tr w:rsidR="0038163E" w:rsidRPr="00767C21" w14:paraId="0C7FFA45" w14:textId="77777777" w:rsidTr="00D42ADC">
        <w:trPr>
          <w:trHeight w:val="29"/>
          <w:jc w:val="center"/>
        </w:trPr>
        <w:tc>
          <w:tcPr>
            <w:tcW w:w="442" w:type="dxa"/>
            <w:vAlign w:val="center"/>
            <w:hideMark/>
          </w:tcPr>
          <w:p w14:paraId="0C833E4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w:t>
            </w:r>
          </w:p>
        </w:tc>
        <w:tc>
          <w:tcPr>
            <w:tcW w:w="1821" w:type="dxa"/>
            <w:vAlign w:val="center"/>
            <w:hideMark/>
          </w:tcPr>
          <w:p w14:paraId="21F8CB23"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Uttar Pradesh</w:t>
            </w:r>
          </w:p>
        </w:tc>
        <w:tc>
          <w:tcPr>
            <w:tcW w:w="993" w:type="dxa"/>
            <w:vAlign w:val="center"/>
            <w:hideMark/>
          </w:tcPr>
          <w:p w14:paraId="6095D10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95.47</w:t>
            </w:r>
          </w:p>
        </w:tc>
        <w:tc>
          <w:tcPr>
            <w:tcW w:w="992" w:type="dxa"/>
            <w:vAlign w:val="center"/>
            <w:hideMark/>
          </w:tcPr>
          <w:p w14:paraId="6E811F8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122.58</w:t>
            </w:r>
          </w:p>
        </w:tc>
        <w:tc>
          <w:tcPr>
            <w:tcW w:w="850" w:type="dxa"/>
            <w:vAlign w:val="center"/>
            <w:hideMark/>
          </w:tcPr>
          <w:p w14:paraId="6AA2A4E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120.44</w:t>
            </w:r>
          </w:p>
        </w:tc>
        <w:tc>
          <w:tcPr>
            <w:tcW w:w="1276" w:type="dxa"/>
            <w:vAlign w:val="center"/>
            <w:hideMark/>
          </w:tcPr>
          <w:p w14:paraId="7C9C1FE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338.49</w:t>
            </w:r>
          </w:p>
        </w:tc>
      </w:tr>
      <w:tr w:rsidR="0038163E" w:rsidRPr="00767C21" w14:paraId="42FC8E2D" w14:textId="77777777" w:rsidTr="00D42ADC">
        <w:trPr>
          <w:trHeight w:val="29"/>
          <w:jc w:val="center"/>
        </w:trPr>
        <w:tc>
          <w:tcPr>
            <w:tcW w:w="442" w:type="dxa"/>
            <w:vAlign w:val="center"/>
            <w:hideMark/>
          </w:tcPr>
          <w:p w14:paraId="24B0E28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w:t>
            </w:r>
          </w:p>
        </w:tc>
        <w:tc>
          <w:tcPr>
            <w:tcW w:w="1821" w:type="dxa"/>
            <w:vAlign w:val="center"/>
            <w:hideMark/>
          </w:tcPr>
          <w:p w14:paraId="30EF87D3"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West Bengal</w:t>
            </w:r>
          </w:p>
        </w:tc>
        <w:tc>
          <w:tcPr>
            <w:tcW w:w="993" w:type="dxa"/>
            <w:vAlign w:val="center"/>
            <w:hideMark/>
          </w:tcPr>
          <w:p w14:paraId="703A6C4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167.79</w:t>
            </w:r>
          </w:p>
        </w:tc>
        <w:tc>
          <w:tcPr>
            <w:tcW w:w="992" w:type="dxa"/>
            <w:vAlign w:val="center"/>
            <w:hideMark/>
          </w:tcPr>
          <w:p w14:paraId="0C58328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180.45</w:t>
            </w:r>
          </w:p>
        </w:tc>
        <w:tc>
          <w:tcPr>
            <w:tcW w:w="850" w:type="dxa"/>
            <w:vAlign w:val="center"/>
            <w:hideMark/>
          </w:tcPr>
          <w:p w14:paraId="2E9796B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150.97</w:t>
            </w:r>
          </w:p>
        </w:tc>
        <w:tc>
          <w:tcPr>
            <w:tcW w:w="1276" w:type="dxa"/>
            <w:vAlign w:val="center"/>
            <w:hideMark/>
          </w:tcPr>
          <w:p w14:paraId="087D1E3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499.21</w:t>
            </w:r>
          </w:p>
        </w:tc>
      </w:tr>
      <w:tr w:rsidR="0038163E" w:rsidRPr="00767C21" w14:paraId="1B692D94" w14:textId="77777777" w:rsidTr="00D42ADC">
        <w:trPr>
          <w:trHeight w:val="29"/>
          <w:jc w:val="center"/>
        </w:trPr>
        <w:tc>
          <w:tcPr>
            <w:tcW w:w="442" w:type="dxa"/>
            <w:vAlign w:val="center"/>
            <w:hideMark/>
          </w:tcPr>
          <w:p w14:paraId="6DE733A7" w14:textId="77777777" w:rsidR="0038163E" w:rsidRPr="00767C21" w:rsidRDefault="0038163E" w:rsidP="008A4F60">
            <w:pPr>
              <w:pStyle w:val="NoSpacing"/>
              <w:jc w:val="center"/>
              <w:rPr>
                <w:rFonts w:ascii="Times New Roman" w:hAnsi="Times New Roman" w:cs="Times New Roman"/>
                <w:sz w:val="16"/>
                <w:szCs w:val="16"/>
              </w:rPr>
            </w:pPr>
          </w:p>
        </w:tc>
        <w:tc>
          <w:tcPr>
            <w:tcW w:w="1821" w:type="dxa"/>
            <w:vAlign w:val="center"/>
            <w:hideMark/>
          </w:tcPr>
          <w:p w14:paraId="59B58FAB"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b/>
                <w:bCs/>
                <w:sz w:val="16"/>
                <w:szCs w:val="16"/>
              </w:rPr>
              <w:t>All States</w:t>
            </w:r>
          </w:p>
        </w:tc>
        <w:tc>
          <w:tcPr>
            <w:tcW w:w="993" w:type="dxa"/>
            <w:vAlign w:val="center"/>
            <w:hideMark/>
          </w:tcPr>
          <w:p w14:paraId="255572A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1677.03</w:t>
            </w:r>
          </w:p>
        </w:tc>
        <w:tc>
          <w:tcPr>
            <w:tcW w:w="992" w:type="dxa"/>
            <w:vAlign w:val="center"/>
            <w:hideMark/>
          </w:tcPr>
          <w:p w14:paraId="5A1C613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1957.25</w:t>
            </w:r>
          </w:p>
        </w:tc>
        <w:tc>
          <w:tcPr>
            <w:tcW w:w="850" w:type="dxa"/>
            <w:vAlign w:val="center"/>
            <w:hideMark/>
          </w:tcPr>
          <w:p w14:paraId="0DCA27B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2050.75</w:t>
            </w:r>
          </w:p>
        </w:tc>
        <w:tc>
          <w:tcPr>
            <w:tcW w:w="1276" w:type="dxa"/>
            <w:vAlign w:val="center"/>
            <w:hideMark/>
          </w:tcPr>
          <w:p w14:paraId="1F625BD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5685.03</w:t>
            </w:r>
          </w:p>
        </w:tc>
      </w:tr>
      <w:tr w:rsidR="0038163E" w:rsidRPr="00767C21" w14:paraId="2C34030F" w14:textId="77777777" w:rsidTr="00D42ADC">
        <w:trPr>
          <w:trHeight w:val="29"/>
          <w:jc w:val="center"/>
        </w:trPr>
        <w:tc>
          <w:tcPr>
            <w:tcW w:w="442" w:type="dxa"/>
            <w:vAlign w:val="center"/>
            <w:hideMark/>
          </w:tcPr>
          <w:p w14:paraId="2D0659A3" w14:textId="77777777" w:rsidR="0038163E" w:rsidRPr="00767C21" w:rsidRDefault="0038163E" w:rsidP="008A4F60">
            <w:pPr>
              <w:pStyle w:val="NoSpacing"/>
              <w:jc w:val="center"/>
              <w:rPr>
                <w:rFonts w:ascii="Times New Roman" w:hAnsi="Times New Roman" w:cs="Times New Roman"/>
                <w:sz w:val="16"/>
                <w:szCs w:val="16"/>
              </w:rPr>
            </w:pPr>
          </w:p>
        </w:tc>
        <w:tc>
          <w:tcPr>
            <w:tcW w:w="1821" w:type="dxa"/>
            <w:vAlign w:val="center"/>
            <w:hideMark/>
          </w:tcPr>
          <w:p w14:paraId="67A99801"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b/>
                <w:bCs/>
                <w:sz w:val="16"/>
                <w:szCs w:val="16"/>
              </w:rPr>
              <w:t>Union Territories</w:t>
            </w:r>
          </w:p>
        </w:tc>
        <w:tc>
          <w:tcPr>
            <w:tcW w:w="993" w:type="dxa"/>
            <w:vAlign w:val="center"/>
            <w:hideMark/>
          </w:tcPr>
          <w:p w14:paraId="70395DB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162.51</w:t>
            </w:r>
          </w:p>
        </w:tc>
        <w:tc>
          <w:tcPr>
            <w:tcW w:w="992" w:type="dxa"/>
            <w:vAlign w:val="center"/>
            <w:hideMark/>
          </w:tcPr>
          <w:p w14:paraId="63CE13C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208.65</w:t>
            </w:r>
          </w:p>
        </w:tc>
        <w:tc>
          <w:tcPr>
            <w:tcW w:w="850" w:type="dxa"/>
            <w:vAlign w:val="center"/>
            <w:hideMark/>
          </w:tcPr>
          <w:p w14:paraId="73D94CF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250.45</w:t>
            </w:r>
          </w:p>
        </w:tc>
        <w:tc>
          <w:tcPr>
            <w:tcW w:w="1276" w:type="dxa"/>
            <w:vAlign w:val="center"/>
            <w:hideMark/>
          </w:tcPr>
          <w:p w14:paraId="726BCA1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621.61</w:t>
            </w:r>
          </w:p>
        </w:tc>
      </w:tr>
      <w:tr w:rsidR="0038163E" w:rsidRPr="00767C21" w14:paraId="223DD94C" w14:textId="77777777" w:rsidTr="00D42ADC">
        <w:trPr>
          <w:trHeight w:val="29"/>
          <w:jc w:val="center"/>
        </w:trPr>
        <w:tc>
          <w:tcPr>
            <w:tcW w:w="442" w:type="dxa"/>
            <w:vAlign w:val="center"/>
            <w:hideMark/>
          </w:tcPr>
          <w:p w14:paraId="62662D4A" w14:textId="77777777" w:rsidR="0038163E" w:rsidRPr="00767C21" w:rsidRDefault="0038163E" w:rsidP="008A4F60">
            <w:pPr>
              <w:pStyle w:val="NoSpacing"/>
              <w:jc w:val="center"/>
              <w:rPr>
                <w:rFonts w:ascii="Times New Roman" w:hAnsi="Times New Roman" w:cs="Times New Roman"/>
                <w:sz w:val="16"/>
                <w:szCs w:val="16"/>
              </w:rPr>
            </w:pPr>
          </w:p>
        </w:tc>
        <w:tc>
          <w:tcPr>
            <w:tcW w:w="1821" w:type="dxa"/>
            <w:vAlign w:val="center"/>
            <w:hideMark/>
          </w:tcPr>
          <w:p w14:paraId="04E45DBB"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b/>
                <w:bCs/>
                <w:sz w:val="16"/>
                <w:szCs w:val="16"/>
              </w:rPr>
              <w:t>All India</w:t>
            </w:r>
          </w:p>
        </w:tc>
        <w:tc>
          <w:tcPr>
            <w:tcW w:w="993" w:type="dxa"/>
            <w:vAlign w:val="center"/>
            <w:hideMark/>
          </w:tcPr>
          <w:p w14:paraId="47EC8D5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1839.54</w:t>
            </w:r>
          </w:p>
        </w:tc>
        <w:tc>
          <w:tcPr>
            <w:tcW w:w="992" w:type="dxa"/>
            <w:vAlign w:val="center"/>
            <w:hideMark/>
          </w:tcPr>
          <w:p w14:paraId="58F774E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2165.90</w:t>
            </w:r>
          </w:p>
        </w:tc>
        <w:tc>
          <w:tcPr>
            <w:tcW w:w="850" w:type="dxa"/>
            <w:vAlign w:val="center"/>
            <w:hideMark/>
          </w:tcPr>
          <w:p w14:paraId="284DDA5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2301.20</w:t>
            </w:r>
          </w:p>
        </w:tc>
        <w:tc>
          <w:tcPr>
            <w:tcW w:w="1276" w:type="dxa"/>
            <w:vAlign w:val="center"/>
            <w:hideMark/>
          </w:tcPr>
          <w:p w14:paraId="4DBE8D4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6306.64</w:t>
            </w:r>
          </w:p>
        </w:tc>
      </w:tr>
    </w:tbl>
    <w:p w14:paraId="34D28157" w14:textId="4260393A" w:rsidR="0038163E" w:rsidRPr="00D42ADC" w:rsidRDefault="0038163E" w:rsidP="00D42ADC">
      <w:pPr>
        <w:ind w:left="2160"/>
        <w:rPr>
          <w:rFonts w:ascii="Times New Roman" w:hAnsi="Times New Roman" w:cs="Times New Roman"/>
          <w:sz w:val="16"/>
          <w:szCs w:val="14"/>
        </w:rPr>
      </w:pPr>
      <w:proofErr w:type="gramStart"/>
      <w:r w:rsidRPr="00D42ADC">
        <w:rPr>
          <w:rFonts w:ascii="Times New Roman" w:hAnsi="Times New Roman" w:cs="Times New Roman"/>
          <w:sz w:val="16"/>
          <w:szCs w:val="14"/>
        </w:rPr>
        <w:t>Source :</w:t>
      </w:r>
      <w:proofErr w:type="gramEnd"/>
      <w:r w:rsidRPr="00D42ADC">
        <w:rPr>
          <w:rFonts w:ascii="Times New Roman" w:hAnsi="Times New Roman" w:cs="Times New Roman"/>
          <w:sz w:val="16"/>
          <w:szCs w:val="14"/>
        </w:rPr>
        <w:t xml:space="preserve"> Ministry of Finance - Department of Revenue - Central Board of Direct Taxes.</w:t>
      </w:r>
    </w:p>
    <w:p w14:paraId="6F6D8ECA" w14:textId="78C11A9D" w:rsidR="0038163E" w:rsidRPr="00D42ADC" w:rsidRDefault="0038163E" w:rsidP="008A4F60">
      <w:pPr>
        <w:pStyle w:val="Heading2"/>
        <w:rPr>
          <w:b w:val="0"/>
          <w:bCs w:val="0"/>
          <w:sz w:val="20"/>
          <w:szCs w:val="20"/>
        </w:rPr>
      </w:pPr>
      <w:bookmarkStart w:id="95" w:name="_Toc221293005"/>
      <w:bookmarkStart w:id="96" w:name="_Toc222399496"/>
      <w:r w:rsidRPr="00D42ADC">
        <w:rPr>
          <w:rStyle w:val="Heading2Char"/>
          <w:b/>
          <w:bCs/>
          <w:sz w:val="20"/>
          <w:szCs w:val="20"/>
        </w:rPr>
        <w:t>ANNEXURE V.2</w:t>
      </w:r>
      <w:r w:rsidR="008A4F60" w:rsidRPr="00D42ADC">
        <w:rPr>
          <w:rStyle w:val="Heading2Char"/>
          <w:b/>
          <w:bCs/>
          <w:sz w:val="20"/>
          <w:szCs w:val="20"/>
        </w:rPr>
        <w:br/>
      </w:r>
      <w:r w:rsidRPr="00D42ADC">
        <w:rPr>
          <w:rStyle w:val="Heading2Char"/>
          <w:b/>
          <w:bCs/>
          <w:sz w:val="20"/>
          <w:szCs w:val="20"/>
        </w:rPr>
        <w:t xml:space="preserve">States Arranged </w:t>
      </w:r>
      <w:proofErr w:type="gramStart"/>
      <w:r w:rsidRPr="00D42ADC">
        <w:rPr>
          <w:rStyle w:val="Heading2Char"/>
          <w:b/>
          <w:bCs/>
          <w:sz w:val="20"/>
          <w:szCs w:val="20"/>
        </w:rPr>
        <w:t>In</w:t>
      </w:r>
      <w:proofErr w:type="gramEnd"/>
      <w:r w:rsidRPr="00D42ADC">
        <w:rPr>
          <w:rStyle w:val="Heading2Char"/>
          <w:b/>
          <w:bCs/>
          <w:sz w:val="20"/>
          <w:szCs w:val="20"/>
        </w:rPr>
        <w:t xml:space="preserve"> Descending Order </w:t>
      </w:r>
      <w:proofErr w:type="gramStart"/>
      <w:r w:rsidRPr="00D42ADC">
        <w:rPr>
          <w:rStyle w:val="Heading2Char"/>
          <w:b/>
          <w:bCs/>
          <w:sz w:val="20"/>
          <w:szCs w:val="20"/>
        </w:rPr>
        <w:t>Of</w:t>
      </w:r>
      <w:proofErr w:type="gramEnd"/>
      <w:r w:rsidRPr="00D42ADC">
        <w:rPr>
          <w:rStyle w:val="Heading2Char"/>
          <w:b/>
          <w:bCs/>
          <w:sz w:val="20"/>
          <w:szCs w:val="20"/>
        </w:rPr>
        <w:t xml:space="preserve"> Per Capita State Domestic </w:t>
      </w:r>
      <w:proofErr w:type="gramStart"/>
      <w:r w:rsidRPr="00D42ADC">
        <w:rPr>
          <w:rStyle w:val="Heading2Char"/>
          <w:b/>
          <w:bCs/>
          <w:sz w:val="20"/>
          <w:szCs w:val="20"/>
        </w:rPr>
        <w:t>Product :</w:t>
      </w:r>
      <w:proofErr w:type="gramEnd"/>
      <w:r w:rsidRPr="00D42ADC">
        <w:rPr>
          <w:rStyle w:val="Heading2Char"/>
          <w:b/>
          <w:bCs/>
          <w:sz w:val="20"/>
          <w:szCs w:val="20"/>
        </w:rPr>
        <w:t xml:space="preserve"> New Series</w:t>
      </w:r>
      <w:r w:rsidRPr="00D42ADC">
        <w:rPr>
          <w:b w:val="0"/>
          <w:bCs w:val="0"/>
          <w:sz w:val="20"/>
          <w:szCs w:val="20"/>
        </w:rPr>
        <w:br/>
        <w:t>(Average of three years, 1982-85, at current prices)</w:t>
      </w:r>
      <w:bookmarkEnd w:id="95"/>
      <w:bookmarkEnd w:id="96"/>
    </w:p>
    <w:p w14:paraId="4570641E" w14:textId="03BDA267" w:rsidR="008A4F60" w:rsidRPr="00D42ADC" w:rsidRDefault="008A4F60" w:rsidP="008A4F60">
      <w:pPr>
        <w:spacing w:after="0"/>
        <w:jc w:val="center"/>
        <w:rPr>
          <w:rFonts w:ascii="Times New Roman" w:hAnsi="Times New Roman" w:cs="Times New Roman"/>
          <w:i/>
          <w:iCs/>
          <w:sz w:val="18"/>
          <w:szCs w:val="16"/>
        </w:rPr>
      </w:pPr>
      <w:r w:rsidRPr="00D42ADC">
        <w:rPr>
          <w:rFonts w:ascii="Times New Roman" w:hAnsi="Times New Roman" w:cs="Times New Roman"/>
          <w:sz w:val="18"/>
          <w:szCs w:val="16"/>
        </w:rPr>
        <w:t>(Para 5.8)</w:t>
      </w:r>
    </w:p>
    <w:p w14:paraId="2A4D6F18" w14:textId="27332A0B" w:rsidR="0038163E" w:rsidRPr="008A4F60" w:rsidRDefault="008A4F60" w:rsidP="008A4F60">
      <w:pPr>
        <w:spacing w:after="0"/>
        <w:jc w:val="center"/>
        <w:rPr>
          <w:rFonts w:ascii="Times New Roman" w:hAnsi="Times New Roman" w:cs="Times New Roman"/>
          <w:sz w:val="18"/>
          <w:szCs w:val="16"/>
        </w:rPr>
      </w:pP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sidR="0038163E" w:rsidRPr="008A4F60">
        <w:rPr>
          <w:rFonts w:ascii="Times New Roman" w:hAnsi="Times New Roman" w:cs="Times New Roman"/>
          <w:i/>
          <w:iCs/>
          <w:sz w:val="18"/>
          <w:szCs w:val="16"/>
        </w:rPr>
        <w:t>(Rupees)</w:t>
      </w:r>
    </w:p>
    <w:tbl>
      <w:tblPr>
        <w:tblStyle w:val="TableGrid"/>
        <w:tblW w:w="4815" w:type="dxa"/>
        <w:jc w:val="center"/>
        <w:tblLook w:val="04A0" w:firstRow="1" w:lastRow="0" w:firstColumn="1" w:lastColumn="0" w:noHBand="0" w:noVBand="1"/>
      </w:tblPr>
      <w:tblGrid>
        <w:gridCol w:w="562"/>
        <w:gridCol w:w="2410"/>
        <w:gridCol w:w="1843"/>
      </w:tblGrid>
      <w:tr w:rsidR="0038163E" w:rsidRPr="00D42ADC" w14:paraId="6B373821" w14:textId="77777777" w:rsidTr="00D42ADC">
        <w:trPr>
          <w:trHeight w:val="20"/>
          <w:jc w:val="center"/>
        </w:trPr>
        <w:tc>
          <w:tcPr>
            <w:tcW w:w="562" w:type="dxa"/>
            <w:vAlign w:val="center"/>
            <w:hideMark/>
          </w:tcPr>
          <w:p w14:paraId="77ABB718" w14:textId="77777777" w:rsidR="0038163E" w:rsidRPr="00D42ADC" w:rsidRDefault="0038163E" w:rsidP="008A4F60">
            <w:pPr>
              <w:pStyle w:val="NoSpacing"/>
              <w:jc w:val="center"/>
              <w:rPr>
                <w:rFonts w:ascii="Times New Roman" w:hAnsi="Times New Roman" w:cs="Times New Roman"/>
                <w:sz w:val="16"/>
                <w:szCs w:val="16"/>
              </w:rPr>
            </w:pPr>
          </w:p>
        </w:tc>
        <w:tc>
          <w:tcPr>
            <w:tcW w:w="2410" w:type="dxa"/>
            <w:vAlign w:val="center"/>
            <w:hideMark/>
          </w:tcPr>
          <w:p w14:paraId="119C0996" w14:textId="77777777" w:rsidR="0038163E" w:rsidRPr="00D42ADC" w:rsidRDefault="0038163E" w:rsidP="008A4F60">
            <w:pPr>
              <w:pStyle w:val="NoSpacing"/>
              <w:jc w:val="center"/>
              <w:rPr>
                <w:rFonts w:ascii="Times New Roman" w:hAnsi="Times New Roman" w:cs="Times New Roman"/>
                <w:b/>
                <w:bCs/>
                <w:sz w:val="16"/>
                <w:szCs w:val="16"/>
              </w:rPr>
            </w:pPr>
            <w:r w:rsidRPr="00D42ADC">
              <w:rPr>
                <w:rFonts w:ascii="Times New Roman" w:hAnsi="Times New Roman" w:cs="Times New Roman"/>
                <w:b/>
                <w:bCs/>
                <w:sz w:val="16"/>
                <w:szCs w:val="16"/>
              </w:rPr>
              <w:t>States</w:t>
            </w:r>
          </w:p>
        </w:tc>
        <w:tc>
          <w:tcPr>
            <w:tcW w:w="1843" w:type="dxa"/>
            <w:vAlign w:val="center"/>
            <w:hideMark/>
          </w:tcPr>
          <w:p w14:paraId="2A286854" w14:textId="77777777" w:rsidR="0038163E" w:rsidRPr="00D42ADC" w:rsidRDefault="0038163E" w:rsidP="008A4F60">
            <w:pPr>
              <w:pStyle w:val="NoSpacing"/>
              <w:jc w:val="center"/>
              <w:rPr>
                <w:rFonts w:ascii="Times New Roman" w:hAnsi="Times New Roman" w:cs="Times New Roman"/>
                <w:b/>
                <w:bCs/>
                <w:sz w:val="16"/>
                <w:szCs w:val="16"/>
              </w:rPr>
            </w:pPr>
            <w:r w:rsidRPr="00D42ADC">
              <w:rPr>
                <w:rFonts w:ascii="Times New Roman" w:hAnsi="Times New Roman" w:cs="Times New Roman"/>
                <w:b/>
                <w:bCs/>
                <w:sz w:val="16"/>
                <w:szCs w:val="16"/>
              </w:rPr>
              <w:t>Per Capita Income</w:t>
            </w:r>
          </w:p>
        </w:tc>
      </w:tr>
      <w:tr w:rsidR="0038163E" w:rsidRPr="00D42ADC" w14:paraId="7B59D1C5" w14:textId="77777777" w:rsidTr="00D42ADC">
        <w:trPr>
          <w:trHeight w:val="20"/>
          <w:jc w:val="center"/>
        </w:trPr>
        <w:tc>
          <w:tcPr>
            <w:tcW w:w="562" w:type="dxa"/>
            <w:vAlign w:val="center"/>
            <w:hideMark/>
          </w:tcPr>
          <w:p w14:paraId="40712D1E"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w:t>
            </w:r>
          </w:p>
        </w:tc>
        <w:tc>
          <w:tcPr>
            <w:tcW w:w="2410" w:type="dxa"/>
            <w:vAlign w:val="center"/>
            <w:hideMark/>
          </w:tcPr>
          <w:p w14:paraId="50DCBDBA"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Goa</w:t>
            </w:r>
          </w:p>
        </w:tc>
        <w:tc>
          <w:tcPr>
            <w:tcW w:w="1843" w:type="dxa"/>
            <w:vAlign w:val="center"/>
            <w:hideMark/>
          </w:tcPr>
          <w:p w14:paraId="3F675CA4"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4437</w:t>
            </w:r>
          </w:p>
        </w:tc>
      </w:tr>
      <w:tr w:rsidR="0038163E" w:rsidRPr="00D42ADC" w14:paraId="41F30C6A" w14:textId="77777777" w:rsidTr="00D42ADC">
        <w:trPr>
          <w:trHeight w:val="20"/>
          <w:jc w:val="center"/>
        </w:trPr>
        <w:tc>
          <w:tcPr>
            <w:tcW w:w="562" w:type="dxa"/>
            <w:vAlign w:val="center"/>
            <w:hideMark/>
          </w:tcPr>
          <w:p w14:paraId="3FD17CBC"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w:t>
            </w:r>
          </w:p>
        </w:tc>
        <w:tc>
          <w:tcPr>
            <w:tcW w:w="2410" w:type="dxa"/>
            <w:vAlign w:val="center"/>
            <w:hideMark/>
          </w:tcPr>
          <w:p w14:paraId="62AB1009"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Punjab</w:t>
            </w:r>
          </w:p>
        </w:tc>
        <w:tc>
          <w:tcPr>
            <w:tcW w:w="1843" w:type="dxa"/>
            <w:vAlign w:val="center"/>
            <w:hideMark/>
          </w:tcPr>
          <w:p w14:paraId="57931E02"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4013</w:t>
            </w:r>
          </w:p>
        </w:tc>
      </w:tr>
      <w:tr w:rsidR="0038163E" w:rsidRPr="00D42ADC" w14:paraId="272E3957" w14:textId="77777777" w:rsidTr="00D42ADC">
        <w:trPr>
          <w:trHeight w:val="20"/>
          <w:jc w:val="center"/>
        </w:trPr>
        <w:tc>
          <w:tcPr>
            <w:tcW w:w="562" w:type="dxa"/>
            <w:vAlign w:val="center"/>
            <w:hideMark/>
          </w:tcPr>
          <w:p w14:paraId="2430289C"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3.</w:t>
            </w:r>
          </w:p>
        </w:tc>
        <w:tc>
          <w:tcPr>
            <w:tcW w:w="2410" w:type="dxa"/>
            <w:vAlign w:val="center"/>
            <w:hideMark/>
          </w:tcPr>
          <w:p w14:paraId="6692A3F0"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Maharashtra</w:t>
            </w:r>
          </w:p>
        </w:tc>
        <w:tc>
          <w:tcPr>
            <w:tcW w:w="1843" w:type="dxa"/>
            <w:vAlign w:val="center"/>
            <w:hideMark/>
          </w:tcPr>
          <w:p w14:paraId="22A82207"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3384</w:t>
            </w:r>
          </w:p>
        </w:tc>
      </w:tr>
      <w:tr w:rsidR="0038163E" w:rsidRPr="00D42ADC" w14:paraId="372F3805" w14:textId="77777777" w:rsidTr="00D42ADC">
        <w:trPr>
          <w:trHeight w:val="20"/>
          <w:jc w:val="center"/>
        </w:trPr>
        <w:tc>
          <w:tcPr>
            <w:tcW w:w="562" w:type="dxa"/>
            <w:vAlign w:val="center"/>
            <w:hideMark/>
          </w:tcPr>
          <w:p w14:paraId="335A8D6E"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4.</w:t>
            </w:r>
          </w:p>
        </w:tc>
        <w:tc>
          <w:tcPr>
            <w:tcW w:w="2410" w:type="dxa"/>
            <w:vAlign w:val="center"/>
            <w:hideMark/>
          </w:tcPr>
          <w:p w14:paraId="33F09219"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Haryana</w:t>
            </w:r>
          </w:p>
        </w:tc>
        <w:tc>
          <w:tcPr>
            <w:tcW w:w="1843" w:type="dxa"/>
            <w:vAlign w:val="center"/>
            <w:hideMark/>
          </w:tcPr>
          <w:p w14:paraId="2F219A75"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3043</w:t>
            </w:r>
          </w:p>
        </w:tc>
      </w:tr>
      <w:tr w:rsidR="0038163E" w:rsidRPr="00D42ADC" w14:paraId="66699136" w14:textId="77777777" w:rsidTr="00D42ADC">
        <w:trPr>
          <w:trHeight w:val="20"/>
          <w:jc w:val="center"/>
        </w:trPr>
        <w:tc>
          <w:tcPr>
            <w:tcW w:w="562" w:type="dxa"/>
            <w:vAlign w:val="center"/>
            <w:hideMark/>
          </w:tcPr>
          <w:p w14:paraId="2984F687"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5.</w:t>
            </w:r>
          </w:p>
        </w:tc>
        <w:tc>
          <w:tcPr>
            <w:tcW w:w="2410" w:type="dxa"/>
            <w:vAlign w:val="center"/>
            <w:hideMark/>
          </w:tcPr>
          <w:p w14:paraId="6CF2634B"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Gujarat</w:t>
            </w:r>
          </w:p>
        </w:tc>
        <w:tc>
          <w:tcPr>
            <w:tcW w:w="1843" w:type="dxa"/>
            <w:vAlign w:val="center"/>
            <w:hideMark/>
          </w:tcPr>
          <w:p w14:paraId="29D834AD"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2919</w:t>
            </w:r>
          </w:p>
        </w:tc>
      </w:tr>
      <w:tr w:rsidR="0038163E" w:rsidRPr="00D42ADC" w14:paraId="20AA4ECD" w14:textId="77777777" w:rsidTr="00D42ADC">
        <w:trPr>
          <w:trHeight w:val="20"/>
          <w:jc w:val="center"/>
        </w:trPr>
        <w:tc>
          <w:tcPr>
            <w:tcW w:w="562" w:type="dxa"/>
            <w:vAlign w:val="center"/>
            <w:hideMark/>
          </w:tcPr>
          <w:p w14:paraId="7AF49F94"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6.</w:t>
            </w:r>
          </w:p>
        </w:tc>
        <w:tc>
          <w:tcPr>
            <w:tcW w:w="2410" w:type="dxa"/>
            <w:vAlign w:val="center"/>
            <w:hideMark/>
          </w:tcPr>
          <w:p w14:paraId="159ADE3D"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Arunachal Pradesh</w:t>
            </w:r>
          </w:p>
        </w:tc>
        <w:tc>
          <w:tcPr>
            <w:tcW w:w="1843" w:type="dxa"/>
            <w:vAlign w:val="center"/>
            <w:hideMark/>
          </w:tcPr>
          <w:p w14:paraId="714C8C2B"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2746</w:t>
            </w:r>
          </w:p>
        </w:tc>
      </w:tr>
      <w:tr w:rsidR="0038163E" w:rsidRPr="00D42ADC" w14:paraId="12B8ACC3" w14:textId="77777777" w:rsidTr="00D42ADC">
        <w:trPr>
          <w:trHeight w:val="20"/>
          <w:jc w:val="center"/>
        </w:trPr>
        <w:tc>
          <w:tcPr>
            <w:tcW w:w="562" w:type="dxa"/>
            <w:vAlign w:val="center"/>
            <w:hideMark/>
          </w:tcPr>
          <w:p w14:paraId="409DC7A5"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7.</w:t>
            </w:r>
          </w:p>
        </w:tc>
        <w:tc>
          <w:tcPr>
            <w:tcW w:w="2410" w:type="dxa"/>
            <w:vAlign w:val="center"/>
            <w:hideMark/>
          </w:tcPr>
          <w:p w14:paraId="0000CF20"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Sikkim</w:t>
            </w:r>
          </w:p>
        </w:tc>
        <w:tc>
          <w:tcPr>
            <w:tcW w:w="1843" w:type="dxa"/>
            <w:vAlign w:val="center"/>
            <w:hideMark/>
          </w:tcPr>
          <w:p w14:paraId="3A16AB5C"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2570</w:t>
            </w:r>
          </w:p>
        </w:tc>
      </w:tr>
      <w:tr w:rsidR="0038163E" w:rsidRPr="00D42ADC" w14:paraId="61BC0ECD" w14:textId="77777777" w:rsidTr="00D42ADC">
        <w:trPr>
          <w:trHeight w:val="20"/>
          <w:jc w:val="center"/>
        </w:trPr>
        <w:tc>
          <w:tcPr>
            <w:tcW w:w="562" w:type="dxa"/>
            <w:vAlign w:val="center"/>
            <w:hideMark/>
          </w:tcPr>
          <w:p w14:paraId="51C868EA"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8.</w:t>
            </w:r>
          </w:p>
        </w:tc>
        <w:tc>
          <w:tcPr>
            <w:tcW w:w="2410" w:type="dxa"/>
            <w:vAlign w:val="center"/>
            <w:hideMark/>
          </w:tcPr>
          <w:p w14:paraId="106DBC11"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Karnataka</w:t>
            </w:r>
          </w:p>
        </w:tc>
        <w:tc>
          <w:tcPr>
            <w:tcW w:w="1843" w:type="dxa"/>
            <w:vAlign w:val="center"/>
            <w:hideMark/>
          </w:tcPr>
          <w:p w14:paraId="5CD49098"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2461</w:t>
            </w:r>
          </w:p>
        </w:tc>
      </w:tr>
      <w:tr w:rsidR="0038163E" w:rsidRPr="00D42ADC" w14:paraId="618F2282" w14:textId="77777777" w:rsidTr="00D42ADC">
        <w:trPr>
          <w:trHeight w:val="20"/>
          <w:jc w:val="center"/>
        </w:trPr>
        <w:tc>
          <w:tcPr>
            <w:tcW w:w="562" w:type="dxa"/>
            <w:vAlign w:val="center"/>
            <w:hideMark/>
          </w:tcPr>
          <w:p w14:paraId="0690CAC8"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9.</w:t>
            </w:r>
          </w:p>
        </w:tc>
        <w:tc>
          <w:tcPr>
            <w:tcW w:w="2410" w:type="dxa"/>
            <w:vAlign w:val="center"/>
            <w:hideMark/>
          </w:tcPr>
          <w:p w14:paraId="7BC01B3E"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Jammu and Kashmir</w:t>
            </w:r>
          </w:p>
        </w:tc>
        <w:tc>
          <w:tcPr>
            <w:tcW w:w="1843" w:type="dxa"/>
            <w:vAlign w:val="center"/>
            <w:hideMark/>
          </w:tcPr>
          <w:p w14:paraId="13E20965"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2380</w:t>
            </w:r>
          </w:p>
        </w:tc>
      </w:tr>
      <w:tr w:rsidR="0038163E" w:rsidRPr="00D42ADC" w14:paraId="668A3BF6" w14:textId="77777777" w:rsidTr="00D42ADC">
        <w:trPr>
          <w:trHeight w:val="20"/>
          <w:jc w:val="center"/>
        </w:trPr>
        <w:tc>
          <w:tcPr>
            <w:tcW w:w="562" w:type="dxa"/>
            <w:vAlign w:val="center"/>
            <w:hideMark/>
          </w:tcPr>
          <w:p w14:paraId="4B2BC59E"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10.</w:t>
            </w:r>
          </w:p>
        </w:tc>
        <w:tc>
          <w:tcPr>
            <w:tcW w:w="2410" w:type="dxa"/>
            <w:vAlign w:val="center"/>
            <w:hideMark/>
          </w:tcPr>
          <w:p w14:paraId="694929EB"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Nagaland</w:t>
            </w:r>
          </w:p>
        </w:tc>
        <w:tc>
          <w:tcPr>
            <w:tcW w:w="1843" w:type="dxa"/>
            <w:vAlign w:val="center"/>
            <w:hideMark/>
          </w:tcPr>
          <w:p w14:paraId="36DA0F50"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2268</w:t>
            </w:r>
          </w:p>
        </w:tc>
      </w:tr>
      <w:tr w:rsidR="0038163E" w:rsidRPr="00D42ADC" w14:paraId="027A1ACF" w14:textId="77777777" w:rsidTr="00D42ADC">
        <w:trPr>
          <w:trHeight w:val="20"/>
          <w:jc w:val="center"/>
        </w:trPr>
        <w:tc>
          <w:tcPr>
            <w:tcW w:w="562" w:type="dxa"/>
            <w:vAlign w:val="center"/>
            <w:hideMark/>
          </w:tcPr>
          <w:p w14:paraId="602B4CA5"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11.</w:t>
            </w:r>
          </w:p>
        </w:tc>
        <w:tc>
          <w:tcPr>
            <w:tcW w:w="2410" w:type="dxa"/>
            <w:vAlign w:val="center"/>
            <w:hideMark/>
          </w:tcPr>
          <w:p w14:paraId="78282E94"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West Bengal</w:t>
            </w:r>
          </w:p>
        </w:tc>
        <w:tc>
          <w:tcPr>
            <w:tcW w:w="1843" w:type="dxa"/>
            <w:vAlign w:val="center"/>
            <w:hideMark/>
          </w:tcPr>
          <w:p w14:paraId="388FDF66"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2230</w:t>
            </w:r>
          </w:p>
        </w:tc>
      </w:tr>
      <w:tr w:rsidR="0038163E" w:rsidRPr="00D42ADC" w14:paraId="20E2576B" w14:textId="77777777" w:rsidTr="00D42ADC">
        <w:trPr>
          <w:trHeight w:val="20"/>
          <w:jc w:val="center"/>
        </w:trPr>
        <w:tc>
          <w:tcPr>
            <w:tcW w:w="562" w:type="dxa"/>
            <w:vAlign w:val="center"/>
            <w:hideMark/>
          </w:tcPr>
          <w:p w14:paraId="21632701"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12.</w:t>
            </w:r>
          </w:p>
        </w:tc>
        <w:tc>
          <w:tcPr>
            <w:tcW w:w="2410" w:type="dxa"/>
            <w:vAlign w:val="center"/>
            <w:hideMark/>
          </w:tcPr>
          <w:p w14:paraId="73DC26DB"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Manipur</w:t>
            </w:r>
          </w:p>
        </w:tc>
        <w:tc>
          <w:tcPr>
            <w:tcW w:w="1843" w:type="dxa"/>
            <w:vAlign w:val="center"/>
            <w:hideMark/>
          </w:tcPr>
          <w:p w14:paraId="5FCB9A11"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2205</w:t>
            </w:r>
          </w:p>
        </w:tc>
      </w:tr>
      <w:tr w:rsidR="0038163E" w:rsidRPr="00D42ADC" w14:paraId="38010B03" w14:textId="77777777" w:rsidTr="00D42ADC">
        <w:trPr>
          <w:trHeight w:val="20"/>
          <w:jc w:val="center"/>
        </w:trPr>
        <w:tc>
          <w:tcPr>
            <w:tcW w:w="562" w:type="dxa"/>
            <w:vAlign w:val="center"/>
            <w:hideMark/>
          </w:tcPr>
          <w:p w14:paraId="26406429"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13.</w:t>
            </w:r>
          </w:p>
        </w:tc>
        <w:tc>
          <w:tcPr>
            <w:tcW w:w="2410" w:type="dxa"/>
            <w:vAlign w:val="center"/>
            <w:hideMark/>
          </w:tcPr>
          <w:p w14:paraId="0F4F4CE4"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Kerala</w:t>
            </w:r>
          </w:p>
        </w:tc>
        <w:tc>
          <w:tcPr>
            <w:tcW w:w="1843" w:type="dxa"/>
            <w:vAlign w:val="center"/>
            <w:hideMark/>
          </w:tcPr>
          <w:p w14:paraId="7045920E"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2144</w:t>
            </w:r>
          </w:p>
        </w:tc>
      </w:tr>
      <w:tr w:rsidR="0038163E" w:rsidRPr="00D42ADC" w14:paraId="6C70A0C2" w14:textId="77777777" w:rsidTr="00D42ADC">
        <w:trPr>
          <w:trHeight w:val="20"/>
          <w:jc w:val="center"/>
        </w:trPr>
        <w:tc>
          <w:tcPr>
            <w:tcW w:w="562" w:type="dxa"/>
            <w:vAlign w:val="center"/>
            <w:hideMark/>
          </w:tcPr>
          <w:p w14:paraId="1B104989"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14.</w:t>
            </w:r>
          </w:p>
        </w:tc>
        <w:tc>
          <w:tcPr>
            <w:tcW w:w="2410" w:type="dxa"/>
            <w:vAlign w:val="center"/>
            <w:hideMark/>
          </w:tcPr>
          <w:p w14:paraId="5AE1BF45"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Tamil Nadu</w:t>
            </w:r>
          </w:p>
        </w:tc>
        <w:tc>
          <w:tcPr>
            <w:tcW w:w="1843" w:type="dxa"/>
            <w:vAlign w:val="center"/>
            <w:hideMark/>
          </w:tcPr>
          <w:p w14:paraId="2173A43E"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2142</w:t>
            </w:r>
          </w:p>
        </w:tc>
      </w:tr>
      <w:tr w:rsidR="0038163E" w:rsidRPr="00D42ADC" w14:paraId="3B05A648" w14:textId="77777777" w:rsidTr="00D42ADC">
        <w:trPr>
          <w:trHeight w:val="20"/>
          <w:jc w:val="center"/>
        </w:trPr>
        <w:tc>
          <w:tcPr>
            <w:tcW w:w="562" w:type="dxa"/>
            <w:vAlign w:val="center"/>
            <w:hideMark/>
          </w:tcPr>
          <w:p w14:paraId="37D42232"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15.</w:t>
            </w:r>
          </w:p>
        </w:tc>
        <w:tc>
          <w:tcPr>
            <w:tcW w:w="2410" w:type="dxa"/>
            <w:vAlign w:val="center"/>
            <w:hideMark/>
          </w:tcPr>
          <w:p w14:paraId="6030AB68"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Himachal Pradesh</w:t>
            </w:r>
          </w:p>
        </w:tc>
        <w:tc>
          <w:tcPr>
            <w:tcW w:w="1843" w:type="dxa"/>
            <w:vAlign w:val="center"/>
            <w:hideMark/>
          </w:tcPr>
          <w:p w14:paraId="462CAD6A"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2103</w:t>
            </w:r>
          </w:p>
        </w:tc>
      </w:tr>
      <w:tr w:rsidR="0038163E" w:rsidRPr="00D42ADC" w14:paraId="18982CC1" w14:textId="77777777" w:rsidTr="00D42ADC">
        <w:trPr>
          <w:trHeight w:val="20"/>
          <w:jc w:val="center"/>
        </w:trPr>
        <w:tc>
          <w:tcPr>
            <w:tcW w:w="562" w:type="dxa"/>
            <w:vAlign w:val="center"/>
            <w:hideMark/>
          </w:tcPr>
          <w:p w14:paraId="62C8EBC6"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16.</w:t>
            </w:r>
          </w:p>
        </w:tc>
        <w:tc>
          <w:tcPr>
            <w:tcW w:w="2410" w:type="dxa"/>
            <w:vAlign w:val="center"/>
            <w:hideMark/>
          </w:tcPr>
          <w:p w14:paraId="510A000B"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Andhra Pradesh</w:t>
            </w:r>
          </w:p>
        </w:tc>
        <w:tc>
          <w:tcPr>
            <w:tcW w:w="1843" w:type="dxa"/>
            <w:vAlign w:val="center"/>
            <w:hideMark/>
          </w:tcPr>
          <w:p w14:paraId="07B07C2B"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2053</w:t>
            </w:r>
          </w:p>
        </w:tc>
      </w:tr>
      <w:tr w:rsidR="0038163E" w:rsidRPr="00D42ADC" w14:paraId="7784A7B4" w14:textId="77777777" w:rsidTr="00D42ADC">
        <w:trPr>
          <w:trHeight w:val="20"/>
          <w:jc w:val="center"/>
        </w:trPr>
        <w:tc>
          <w:tcPr>
            <w:tcW w:w="562" w:type="dxa"/>
            <w:vAlign w:val="center"/>
            <w:hideMark/>
          </w:tcPr>
          <w:p w14:paraId="20F9A542"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17.</w:t>
            </w:r>
          </w:p>
        </w:tc>
        <w:tc>
          <w:tcPr>
            <w:tcW w:w="2410" w:type="dxa"/>
            <w:vAlign w:val="center"/>
            <w:hideMark/>
          </w:tcPr>
          <w:p w14:paraId="244590D9"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Meghalaya</w:t>
            </w:r>
          </w:p>
        </w:tc>
        <w:tc>
          <w:tcPr>
            <w:tcW w:w="1843" w:type="dxa"/>
            <w:vAlign w:val="center"/>
            <w:hideMark/>
          </w:tcPr>
          <w:p w14:paraId="1BD28D55"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1960</w:t>
            </w:r>
          </w:p>
        </w:tc>
      </w:tr>
      <w:tr w:rsidR="0038163E" w:rsidRPr="00D42ADC" w14:paraId="62D3ACDF" w14:textId="77777777" w:rsidTr="00D42ADC">
        <w:trPr>
          <w:trHeight w:val="20"/>
          <w:jc w:val="center"/>
        </w:trPr>
        <w:tc>
          <w:tcPr>
            <w:tcW w:w="562" w:type="dxa"/>
            <w:vAlign w:val="center"/>
            <w:hideMark/>
          </w:tcPr>
          <w:p w14:paraId="37229C94"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18.</w:t>
            </w:r>
          </w:p>
        </w:tc>
        <w:tc>
          <w:tcPr>
            <w:tcW w:w="2410" w:type="dxa"/>
            <w:vAlign w:val="center"/>
            <w:hideMark/>
          </w:tcPr>
          <w:p w14:paraId="45DD9ABA"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Assam</w:t>
            </w:r>
          </w:p>
        </w:tc>
        <w:tc>
          <w:tcPr>
            <w:tcW w:w="1843" w:type="dxa"/>
            <w:vAlign w:val="center"/>
            <w:hideMark/>
          </w:tcPr>
          <w:p w14:paraId="6185BDEA"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1863</w:t>
            </w:r>
          </w:p>
        </w:tc>
      </w:tr>
      <w:tr w:rsidR="0038163E" w:rsidRPr="00D42ADC" w14:paraId="55082EF9" w14:textId="77777777" w:rsidTr="00D42ADC">
        <w:trPr>
          <w:trHeight w:val="20"/>
          <w:jc w:val="center"/>
        </w:trPr>
        <w:tc>
          <w:tcPr>
            <w:tcW w:w="562" w:type="dxa"/>
            <w:vAlign w:val="center"/>
            <w:hideMark/>
          </w:tcPr>
          <w:p w14:paraId="6D9BD24E"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19.</w:t>
            </w:r>
          </w:p>
        </w:tc>
        <w:tc>
          <w:tcPr>
            <w:tcW w:w="2410" w:type="dxa"/>
            <w:vAlign w:val="center"/>
            <w:hideMark/>
          </w:tcPr>
          <w:p w14:paraId="0DDFFEBD"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Madhya Pradesh</w:t>
            </w:r>
          </w:p>
        </w:tc>
        <w:tc>
          <w:tcPr>
            <w:tcW w:w="1843" w:type="dxa"/>
            <w:vAlign w:val="center"/>
            <w:hideMark/>
          </w:tcPr>
          <w:p w14:paraId="653C4AA3"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1860</w:t>
            </w:r>
          </w:p>
        </w:tc>
      </w:tr>
      <w:tr w:rsidR="0038163E" w:rsidRPr="00D42ADC" w14:paraId="58E4EB47" w14:textId="77777777" w:rsidTr="00D42ADC">
        <w:trPr>
          <w:trHeight w:val="20"/>
          <w:jc w:val="center"/>
        </w:trPr>
        <w:tc>
          <w:tcPr>
            <w:tcW w:w="562" w:type="dxa"/>
            <w:vAlign w:val="center"/>
            <w:hideMark/>
          </w:tcPr>
          <w:p w14:paraId="35FEE58B"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20.</w:t>
            </w:r>
          </w:p>
        </w:tc>
        <w:tc>
          <w:tcPr>
            <w:tcW w:w="2410" w:type="dxa"/>
            <w:vAlign w:val="center"/>
            <w:hideMark/>
          </w:tcPr>
          <w:p w14:paraId="0EB8CC3B"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Rajasthan</w:t>
            </w:r>
          </w:p>
        </w:tc>
        <w:tc>
          <w:tcPr>
            <w:tcW w:w="1843" w:type="dxa"/>
            <w:vAlign w:val="center"/>
            <w:hideMark/>
          </w:tcPr>
          <w:p w14:paraId="627FB8E4"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1820</w:t>
            </w:r>
          </w:p>
        </w:tc>
      </w:tr>
      <w:tr w:rsidR="0038163E" w:rsidRPr="00D42ADC" w14:paraId="47595042" w14:textId="77777777" w:rsidTr="00D42ADC">
        <w:trPr>
          <w:trHeight w:val="20"/>
          <w:jc w:val="center"/>
        </w:trPr>
        <w:tc>
          <w:tcPr>
            <w:tcW w:w="562" w:type="dxa"/>
            <w:vAlign w:val="center"/>
            <w:hideMark/>
          </w:tcPr>
          <w:p w14:paraId="6122E493"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21.</w:t>
            </w:r>
          </w:p>
        </w:tc>
        <w:tc>
          <w:tcPr>
            <w:tcW w:w="2410" w:type="dxa"/>
            <w:vAlign w:val="center"/>
            <w:hideMark/>
          </w:tcPr>
          <w:p w14:paraId="12A7B6D1"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Tripura</w:t>
            </w:r>
          </w:p>
        </w:tc>
        <w:tc>
          <w:tcPr>
            <w:tcW w:w="1843" w:type="dxa"/>
            <w:vAlign w:val="center"/>
            <w:hideMark/>
          </w:tcPr>
          <w:p w14:paraId="471D3A7B"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1784</w:t>
            </w:r>
          </w:p>
        </w:tc>
      </w:tr>
      <w:tr w:rsidR="0038163E" w:rsidRPr="00D42ADC" w14:paraId="6B5FDE9E" w14:textId="77777777" w:rsidTr="00D42ADC">
        <w:trPr>
          <w:trHeight w:val="20"/>
          <w:jc w:val="center"/>
        </w:trPr>
        <w:tc>
          <w:tcPr>
            <w:tcW w:w="562" w:type="dxa"/>
            <w:vAlign w:val="center"/>
            <w:hideMark/>
          </w:tcPr>
          <w:p w14:paraId="4868CA12"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22.</w:t>
            </w:r>
          </w:p>
        </w:tc>
        <w:tc>
          <w:tcPr>
            <w:tcW w:w="2410" w:type="dxa"/>
            <w:vAlign w:val="center"/>
            <w:hideMark/>
          </w:tcPr>
          <w:p w14:paraId="771CE310"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Mizoram</w:t>
            </w:r>
          </w:p>
        </w:tc>
        <w:tc>
          <w:tcPr>
            <w:tcW w:w="1843" w:type="dxa"/>
            <w:vAlign w:val="center"/>
            <w:hideMark/>
          </w:tcPr>
          <w:p w14:paraId="2A3FC471"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1778</w:t>
            </w:r>
          </w:p>
        </w:tc>
      </w:tr>
      <w:tr w:rsidR="0038163E" w:rsidRPr="00D42ADC" w14:paraId="3DAA738C" w14:textId="77777777" w:rsidTr="00D42ADC">
        <w:trPr>
          <w:trHeight w:val="20"/>
          <w:jc w:val="center"/>
        </w:trPr>
        <w:tc>
          <w:tcPr>
            <w:tcW w:w="562" w:type="dxa"/>
            <w:vAlign w:val="center"/>
            <w:hideMark/>
          </w:tcPr>
          <w:p w14:paraId="57EC3CBF"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23.</w:t>
            </w:r>
          </w:p>
        </w:tc>
        <w:tc>
          <w:tcPr>
            <w:tcW w:w="2410" w:type="dxa"/>
            <w:vAlign w:val="center"/>
            <w:hideMark/>
          </w:tcPr>
          <w:p w14:paraId="1CE35437"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Orissa</w:t>
            </w:r>
          </w:p>
        </w:tc>
        <w:tc>
          <w:tcPr>
            <w:tcW w:w="1843" w:type="dxa"/>
            <w:vAlign w:val="center"/>
            <w:hideMark/>
          </w:tcPr>
          <w:p w14:paraId="582279E0"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1728</w:t>
            </w:r>
          </w:p>
        </w:tc>
      </w:tr>
      <w:tr w:rsidR="0038163E" w:rsidRPr="00D42ADC" w14:paraId="7D9C09CC" w14:textId="77777777" w:rsidTr="00D42ADC">
        <w:trPr>
          <w:trHeight w:val="20"/>
          <w:jc w:val="center"/>
        </w:trPr>
        <w:tc>
          <w:tcPr>
            <w:tcW w:w="562" w:type="dxa"/>
            <w:vAlign w:val="center"/>
            <w:hideMark/>
          </w:tcPr>
          <w:p w14:paraId="4F1F8E49"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24.</w:t>
            </w:r>
          </w:p>
        </w:tc>
        <w:tc>
          <w:tcPr>
            <w:tcW w:w="2410" w:type="dxa"/>
            <w:vAlign w:val="center"/>
            <w:hideMark/>
          </w:tcPr>
          <w:p w14:paraId="08A26ADA"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Uttar Pradesh</w:t>
            </w:r>
          </w:p>
        </w:tc>
        <w:tc>
          <w:tcPr>
            <w:tcW w:w="1843" w:type="dxa"/>
            <w:vAlign w:val="center"/>
            <w:hideMark/>
          </w:tcPr>
          <w:p w14:paraId="59E9E8FD"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1713</w:t>
            </w:r>
          </w:p>
        </w:tc>
      </w:tr>
      <w:tr w:rsidR="0038163E" w:rsidRPr="00D42ADC" w14:paraId="211E4702" w14:textId="77777777" w:rsidTr="00D42ADC">
        <w:trPr>
          <w:trHeight w:val="20"/>
          <w:jc w:val="center"/>
        </w:trPr>
        <w:tc>
          <w:tcPr>
            <w:tcW w:w="562" w:type="dxa"/>
            <w:vAlign w:val="center"/>
            <w:hideMark/>
          </w:tcPr>
          <w:p w14:paraId="6630D9C8"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25.</w:t>
            </w:r>
          </w:p>
        </w:tc>
        <w:tc>
          <w:tcPr>
            <w:tcW w:w="2410" w:type="dxa"/>
            <w:vAlign w:val="center"/>
            <w:hideMark/>
          </w:tcPr>
          <w:p w14:paraId="7B1FC577"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sz w:val="16"/>
                <w:szCs w:val="16"/>
              </w:rPr>
              <w:t>Bihar</w:t>
            </w:r>
          </w:p>
        </w:tc>
        <w:tc>
          <w:tcPr>
            <w:tcW w:w="1843" w:type="dxa"/>
            <w:vAlign w:val="center"/>
            <w:hideMark/>
          </w:tcPr>
          <w:p w14:paraId="0CE75115"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sz w:val="16"/>
                <w:szCs w:val="16"/>
              </w:rPr>
              <w:t>1323</w:t>
            </w:r>
          </w:p>
        </w:tc>
      </w:tr>
      <w:tr w:rsidR="0038163E" w:rsidRPr="00D42ADC" w14:paraId="00AA802C" w14:textId="77777777" w:rsidTr="00D42ADC">
        <w:trPr>
          <w:trHeight w:val="20"/>
          <w:jc w:val="center"/>
        </w:trPr>
        <w:tc>
          <w:tcPr>
            <w:tcW w:w="562" w:type="dxa"/>
            <w:vAlign w:val="center"/>
            <w:hideMark/>
          </w:tcPr>
          <w:p w14:paraId="2196C9EE" w14:textId="77777777" w:rsidR="0038163E" w:rsidRPr="00D42ADC" w:rsidRDefault="0038163E" w:rsidP="008A4F60">
            <w:pPr>
              <w:pStyle w:val="NoSpacing"/>
              <w:jc w:val="center"/>
              <w:rPr>
                <w:rFonts w:ascii="Times New Roman" w:hAnsi="Times New Roman" w:cs="Times New Roman"/>
                <w:sz w:val="16"/>
                <w:szCs w:val="16"/>
              </w:rPr>
            </w:pPr>
          </w:p>
        </w:tc>
        <w:tc>
          <w:tcPr>
            <w:tcW w:w="2410" w:type="dxa"/>
            <w:vAlign w:val="center"/>
            <w:hideMark/>
          </w:tcPr>
          <w:p w14:paraId="30CD7DC3"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b/>
                <w:bCs/>
                <w:sz w:val="16"/>
                <w:szCs w:val="16"/>
              </w:rPr>
              <w:t>All States' Average</w:t>
            </w:r>
          </w:p>
        </w:tc>
        <w:tc>
          <w:tcPr>
            <w:tcW w:w="1843" w:type="dxa"/>
            <w:vAlign w:val="center"/>
            <w:hideMark/>
          </w:tcPr>
          <w:p w14:paraId="565E748F"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b/>
                <w:bCs/>
                <w:sz w:val="16"/>
                <w:szCs w:val="16"/>
              </w:rPr>
              <w:t>2165</w:t>
            </w:r>
          </w:p>
        </w:tc>
      </w:tr>
      <w:tr w:rsidR="0038163E" w:rsidRPr="00D42ADC" w14:paraId="17B2A518" w14:textId="77777777" w:rsidTr="00D42ADC">
        <w:trPr>
          <w:trHeight w:val="20"/>
          <w:jc w:val="center"/>
        </w:trPr>
        <w:tc>
          <w:tcPr>
            <w:tcW w:w="562" w:type="dxa"/>
            <w:vAlign w:val="center"/>
            <w:hideMark/>
          </w:tcPr>
          <w:p w14:paraId="2803D2E1" w14:textId="77777777" w:rsidR="0038163E" w:rsidRPr="00D42ADC" w:rsidRDefault="0038163E" w:rsidP="008A4F60">
            <w:pPr>
              <w:pStyle w:val="NoSpacing"/>
              <w:jc w:val="center"/>
              <w:rPr>
                <w:rFonts w:ascii="Times New Roman" w:hAnsi="Times New Roman" w:cs="Times New Roman"/>
                <w:sz w:val="16"/>
                <w:szCs w:val="16"/>
              </w:rPr>
            </w:pPr>
          </w:p>
        </w:tc>
        <w:tc>
          <w:tcPr>
            <w:tcW w:w="2410" w:type="dxa"/>
            <w:vAlign w:val="center"/>
            <w:hideMark/>
          </w:tcPr>
          <w:p w14:paraId="35BDD2BD"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b/>
                <w:bCs/>
                <w:sz w:val="16"/>
                <w:szCs w:val="16"/>
              </w:rPr>
              <w:t>Union Territories</w:t>
            </w:r>
          </w:p>
        </w:tc>
        <w:tc>
          <w:tcPr>
            <w:tcW w:w="1843" w:type="dxa"/>
            <w:vAlign w:val="center"/>
            <w:hideMark/>
          </w:tcPr>
          <w:p w14:paraId="4E4A6933"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b/>
                <w:bCs/>
                <w:sz w:val="16"/>
                <w:szCs w:val="16"/>
              </w:rPr>
              <w:t>5002</w:t>
            </w:r>
          </w:p>
        </w:tc>
      </w:tr>
      <w:tr w:rsidR="0038163E" w:rsidRPr="00D42ADC" w14:paraId="5C19DA00" w14:textId="77777777" w:rsidTr="00D42ADC">
        <w:trPr>
          <w:trHeight w:val="20"/>
          <w:jc w:val="center"/>
        </w:trPr>
        <w:tc>
          <w:tcPr>
            <w:tcW w:w="562" w:type="dxa"/>
            <w:vAlign w:val="center"/>
            <w:hideMark/>
          </w:tcPr>
          <w:p w14:paraId="3B743BD9" w14:textId="77777777" w:rsidR="0038163E" w:rsidRPr="00D42ADC" w:rsidRDefault="0038163E" w:rsidP="008A4F60">
            <w:pPr>
              <w:pStyle w:val="NoSpacing"/>
              <w:jc w:val="center"/>
              <w:rPr>
                <w:rFonts w:ascii="Times New Roman" w:hAnsi="Times New Roman" w:cs="Times New Roman"/>
                <w:sz w:val="16"/>
                <w:szCs w:val="16"/>
              </w:rPr>
            </w:pPr>
          </w:p>
        </w:tc>
        <w:tc>
          <w:tcPr>
            <w:tcW w:w="2410" w:type="dxa"/>
            <w:vAlign w:val="center"/>
            <w:hideMark/>
          </w:tcPr>
          <w:p w14:paraId="7528BB29" w14:textId="77777777" w:rsidR="0038163E" w:rsidRPr="00D42ADC" w:rsidRDefault="0038163E" w:rsidP="008A4F60">
            <w:pPr>
              <w:pStyle w:val="NoSpacing"/>
              <w:rPr>
                <w:rFonts w:ascii="Times New Roman" w:hAnsi="Times New Roman" w:cs="Times New Roman"/>
                <w:sz w:val="16"/>
                <w:szCs w:val="16"/>
              </w:rPr>
            </w:pPr>
            <w:r w:rsidRPr="00D42ADC">
              <w:rPr>
                <w:rFonts w:ascii="Times New Roman" w:hAnsi="Times New Roman" w:cs="Times New Roman"/>
                <w:b/>
                <w:bCs/>
                <w:sz w:val="16"/>
                <w:szCs w:val="16"/>
              </w:rPr>
              <w:t>All India Average</w:t>
            </w:r>
          </w:p>
        </w:tc>
        <w:tc>
          <w:tcPr>
            <w:tcW w:w="1843" w:type="dxa"/>
            <w:vAlign w:val="center"/>
            <w:hideMark/>
          </w:tcPr>
          <w:p w14:paraId="36A1111A" w14:textId="77777777" w:rsidR="0038163E" w:rsidRPr="00D42ADC" w:rsidRDefault="0038163E" w:rsidP="008A4F60">
            <w:pPr>
              <w:pStyle w:val="NoSpacing"/>
              <w:jc w:val="center"/>
              <w:rPr>
                <w:rFonts w:ascii="Times New Roman" w:hAnsi="Times New Roman" w:cs="Times New Roman"/>
                <w:sz w:val="16"/>
                <w:szCs w:val="16"/>
              </w:rPr>
            </w:pPr>
            <w:r w:rsidRPr="00D42ADC">
              <w:rPr>
                <w:rFonts w:ascii="Times New Roman" w:hAnsi="Times New Roman" w:cs="Times New Roman"/>
                <w:b/>
                <w:bCs/>
                <w:sz w:val="16"/>
                <w:szCs w:val="16"/>
              </w:rPr>
              <w:t>2199</w:t>
            </w:r>
          </w:p>
        </w:tc>
      </w:tr>
    </w:tbl>
    <w:p w14:paraId="62BDFFD8" w14:textId="77777777" w:rsidR="00767C21" w:rsidRDefault="00767C21" w:rsidP="008A4F60">
      <w:pPr>
        <w:pStyle w:val="Heading2"/>
        <w:rPr>
          <w:sz w:val="20"/>
          <w:szCs w:val="20"/>
        </w:rPr>
      </w:pPr>
      <w:bookmarkStart w:id="97" w:name="_Toc221293006"/>
    </w:p>
    <w:p w14:paraId="6AB66F8C" w14:textId="140A1B17" w:rsidR="0038163E" w:rsidRPr="00D42ADC" w:rsidRDefault="0038163E" w:rsidP="008A4F60">
      <w:pPr>
        <w:pStyle w:val="Heading2"/>
        <w:rPr>
          <w:sz w:val="20"/>
          <w:szCs w:val="20"/>
        </w:rPr>
      </w:pPr>
      <w:bookmarkStart w:id="98" w:name="_Toc222399497"/>
      <w:r w:rsidRPr="00D42ADC">
        <w:rPr>
          <w:sz w:val="20"/>
          <w:szCs w:val="20"/>
        </w:rPr>
        <w:t>ANNEXURE V.3A</w:t>
      </w:r>
      <w:r w:rsidR="008A4F60" w:rsidRPr="00D42ADC">
        <w:rPr>
          <w:sz w:val="20"/>
          <w:szCs w:val="20"/>
        </w:rPr>
        <w:br/>
      </w:r>
      <w:r w:rsidRPr="00D42ADC">
        <w:rPr>
          <w:sz w:val="20"/>
          <w:szCs w:val="20"/>
        </w:rPr>
        <w:t xml:space="preserve">Composite Index </w:t>
      </w:r>
      <w:proofErr w:type="gramStart"/>
      <w:r w:rsidRPr="00D42ADC">
        <w:rPr>
          <w:sz w:val="20"/>
          <w:szCs w:val="20"/>
        </w:rPr>
        <w:t>Of</w:t>
      </w:r>
      <w:proofErr w:type="gramEnd"/>
      <w:r w:rsidRPr="00D42ADC">
        <w:rPr>
          <w:sz w:val="20"/>
          <w:szCs w:val="20"/>
        </w:rPr>
        <w:t xml:space="preserve"> Backwardness</w:t>
      </w:r>
      <w:r w:rsidRPr="00D42ADC">
        <w:rPr>
          <w:sz w:val="20"/>
          <w:szCs w:val="20"/>
        </w:rPr>
        <w:br/>
      </w:r>
      <w:r w:rsidRPr="00D42ADC">
        <w:rPr>
          <w:i/>
          <w:iCs/>
          <w:sz w:val="20"/>
          <w:szCs w:val="20"/>
        </w:rPr>
        <w:t>(All India)</w:t>
      </w:r>
      <w:bookmarkEnd w:id="97"/>
      <w:bookmarkEnd w:id="98"/>
    </w:p>
    <w:p w14:paraId="0DB4F974" w14:textId="72D288BE" w:rsidR="008A4F60" w:rsidRPr="00D42ADC" w:rsidRDefault="008A4F60" w:rsidP="00D42ADC">
      <w:pPr>
        <w:spacing w:after="0"/>
        <w:jc w:val="center"/>
        <w:rPr>
          <w:rFonts w:ascii="Times New Roman" w:hAnsi="Times New Roman" w:cs="Times New Roman"/>
          <w:sz w:val="18"/>
          <w:szCs w:val="16"/>
        </w:rPr>
      </w:pPr>
      <w:r w:rsidRPr="00D42ADC">
        <w:rPr>
          <w:rFonts w:ascii="Times New Roman" w:hAnsi="Times New Roman" w:cs="Times New Roman"/>
          <w:sz w:val="18"/>
          <w:szCs w:val="16"/>
        </w:rPr>
        <w:t>(Para 5.10)</w:t>
      </w:r>
    </w:p>
    <w:tbl>
      <w:tblPr>
        <w:tblStyle w:val="TableGrid"/>
        <w:tblW w:w="0" w:type="auto"/>
        <w:jc w:val="center"/>
        <w:tblLook w:val="04A0" w:firstRow="1" w:lastRow="0" w:firstColumn="1" w:lastColumn="0" w:noHBand="0" w:noVBand="1"/>
      </w:tblPr>
      <w:tblGrid>
        <w:gridCol w:w="416"/>
        <w:gridCol w:w="1541"/>
        <w:gridCol w:w="1517"/>
        <w:gridCol w:w="993"/>
        <w:gridCol w:w="1559"/>
        <w:gridCol w:w="992"/>
        <w:gridCol w:w="1985"/>
      </w:tblGrid>
      <w:tr w:rsidR="0038163E" w:rsidRPr="00767C21" w14:paraId="0B5ED94F" w14:textId="77777777" w:rsidTr="00767C21">
        <w:trPr>
          <w:trHeight w:val="57"/>
          <w:jc w:val="center"/>
        </w:trPr>
        <w:tc>
          <w:tcPr>
            <w:tcW w:w="0" w:type="auto"/>
            <w:vAlign w:val="center"/>
            <w:hideMark/>
          </w:tcPr>
          <w:p w14:paraId="73E24F42" w14:textId="77777777" w:rsidR="0038163E" w:rsidRPr="00767C21" w:rsidRDefault="0038163E" w:rsidP="008A4F60">
            <w:pPr>
              <w:pStyle w:val="NoSpacing"/>
              <w:jc w:val="center"/>
              <w:rPr>
                <w:rFonts w:ascii="Times New Roman" w:hAnsi="Times New Roman" w:cs="Times New Roman"/>
                <w:sz w:val="16"/>
                <w:szCs w:val="16"/>
              </w:rPr>
            </w:pPr>
          </w:p>
        </w:tc>
        <w:tc>
          <w:tcPr>
            <w:tcW w:w="0" w:type="auto"/>
            <w:vAlign w:val="center"/>
            <w:hideMark/>
          </w:tcPr>
          <w:p w14:paraId="4C078B6A"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States</w:t>
            </w:r>
          </w:p>
        </w:tc>
        <w:tc>
          <w:tcPr>
            <w:tcW w:w="1517" w:type="dxa"/>
            <w:vAlign w:val="center"/>
            <w:hideMark/>
          </w:tcPr>
          <w:p w14:paraId="587C45D6"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SC/ST Population 1981</w:t>
            </w:r>
          </w:p>
        </w:tc>
        <w:tc>
          <w:tcPr>
            <w:tcW w:w="993" w:type="dxa"/>
            <w:vAlign w:val="center"/>
            <w:hideMark/>
          </w:tcPr>
          <w:p w14:paraId="329004E6"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Relative Shares</w:t>
            </w:r>
          </w:p>
        </w:tc>
        <w:tc>
          <w:tcPr>
            <w:tcW w:w="1559" w:type="dxa"/>
            <w:vAlign w:val="center"/>
            <w:hideMark/>
          </w:tcPr>
          <w:p w14:paraId="5A18C372"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Agricultural Labourers 1981</w:t>
            </w:r>
          </w:p>
        </w:tc>
        <w:tc>
          <w:tcPr>
            <w:tcW w:w="992" w:type="dxa"/>
            <w:vAlign w:val="center"/>
            <w:hideMark/>
          </w:tcPr>
          <w:p w14:paraId="030EC8BB"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Relative Shares</w:t>
            </w:r>
          </w:p>
        </w:tc>
        <w:tc>
          <w:tcPr>
            <w:tcW w:w="1985" w:type="dxa"/>
            <w:vAlign w:val="center"/>
            <w:hideMark/>
          </w:tcPr>
          <w:p w14:paraId="69375904" w14:textId="77777777" w:rsidR="0038163E" w:rsidRPr="00767C21" w:rsidRDefault="0038163E" w:rsidP="008A4F60">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Weighted (Combined) Relative Shares</w:t>
            </w:r>
          </w:p>
        </w:tc>
      </w:tr>
      <w:tr w:rsidR="0038163E" w:rsidRPr="00767C21" w14:paraId="7026D5D4" w14:textId="77777777" w:rsidTr="00767C21">
        <w:trPr>
          <w:trHeight w:val="57"/>
          <w:jc w:val="center"/>
        </w:trPr>
        <w:tc>
          <w:tcPr>
            <w:tcW w:w="0" w:type="auto"/>
            <w:vAlign w:val="center"/>
            <w:hideMark/>
          </w:tcPr>
          <w:p w14:paraId="50C3509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w:t>
            </w:r>
          </w:p>
        </w:tc>
        <w:tc>
          <w:tcPr>
            <w:tcW w:w="0" w:type="auto"/>
            <w:vAlign w:val="center"/>
            <w:hideMark/>
          </w:tcPr>
          <w:p w14:paraId="6FF68C3C"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Andhra Pradesh</w:t>
            </w:r>
          </w:p>
        </w:tc>
        <w:tc>
          <w:tcPr>
            <w:tcW w:w="1517" w:type="dxa"/>
            <w:vAlign w:val="center"/>
            <w:hideMark/>
          </w:tcPr>
          <w:p w14:paraId="606ED78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11137731</w:t>
            </w:r>
          </w:p>
        </w:tc>
        <w:tc>
          <w:tcPr>
            <w:tcW w:w="993" w:type="dxa"/>
            <w:vAlign w:val="center"/>
            <w:hideMark/>
          </w:tcPr>
          <w:p w14:paraId="174F281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6.9692</w:t>
            </w:r>
          </w:p>
        </w:tc>
        <w:tc>
          <w:tcPr>
            <w:tcW w:w="1559" w:type="dxa"/>
            <w:vAlign w:val="center"/>
            <w:hideMark/>
          </w:tcPr>
          <w:p w14:paraId="52C1D03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8325017</w:t>
            </w:r>
          </w:p>
        </w:tc>
        <w:tc>
          <w:tcPr>
            <w:tcW w:w="992" w:type="dxa"/>
            <w:vAlign w:val="center"/>
            <w:hideMark/>
          </w:tcPr>
          <w:p w14:paraId="705DFAB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14.8524</w:t>
            </w:r>
          </w:p>
        </w:tc>
        <w:tc>
          <w:tcPr>
            <w:tcW w:w="1985" w:type="dxa"/>
            <w:vAlign w:val="center"/>
            <w:hideMark/>
          </w:tcPr>
          <w:p w14:paraId="606725E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10.9108</w:t>
            </w:r>
          </w:p>
        </w:tc>
      </w:tr>
      <w:tr w:rsidR="0038163E" w:rsidRPr="00767C21" w14:paraId="6E097F12" w14:textId="77777777" w:rsidTr="00767C21">
        <w:trPr>
          <w:trHeight w:val="57"/>
          <w:jc w:val="center"/>
        </w:trPr>
        <w:tc>
          <w:tcPr>
            <w:tcW w:w="0" w:type="auto"/>
            <w:vAlign w:val="center"/>
            <w:hideMark/>
          </w:tcPr>
          <w:p w14:paraId="1CE612F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w:t>
            </w:r>
          </w:p>
        </w:tc>
        <w:tc>
          <w:tcPr>
            <w:tcW w:w="0" w:type="auto"/>
            <w:vAlign w:val="center"/>
            <w:hideMark/>
          </w:tcPr>
          <w:p w14:paraId="41724567"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Arunachal Pradesh</w:t>
            </w:r>
          </w:p>
        </w:tc>
        <w:tc>
          <w:tcPr>
            <w:tcW w:w="1517" w:type="dxa"/>
            <w:vAlign w:val="center"/>
            <w:hideMark/>
          </w:tcPr>
          <w:p w14:paraId="57DD58A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444086</w:t>
            </w:r>
          </w:p>
        </w:tc>
        <w:tc>
          <w:tcPr>
            <w:tcW w:w="993" w:type="dxa"/>
            <w:vAlign w:val="center"/>
            <w:hideMark/>
          </w:tcPr>
          <w:p w14:paraId="61A00A5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0.2779</w:t>
            </w:r>
          </w:p>
        </w:tc>
        <w:tc>
          <w:tcPr>
            <w:tcW w:w="1559" w:type="dxa"/>
            <w:vAlign w:val="center"/>
            <w:hideMark/>
          </w:tcPr>
          <w:p w14:paraId="53BA74F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7796</w:t>
            </w:r>
          </w:p>
        </w:tc>
        <w:tc>
          <w:tcPr>
            <w:tcW w:w="992" w:type="dxa"/>
            <w:vAlign w:val="center"/>
            <w:hideMark/>
          </w:tcPr>
          <w:p w14:paraId="3326FAA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0.0139</w:t>
            </w:r>
          </w:p>
        </w:tc>
        <w:tc>
          <w:tcPr>
            <w:tcW w:w="1985" w:type="dxa"/>
            <w:vAlign w:val="center"/>
            <w:hideMark/>
          </w:tcPr>
          <w:p w14:paraId="7969E1D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0.1459</w:t>
            </w:r>
          </w:p>
        </w:tc>
      </w:tr>
      <w:tr w:rsidR="0038163E" w:rsidRPr="00767C21" w14:paraId="44A9E61E" w14:textId="77777777" w:rsidTr="00767C21">
        <w:trPr>
          <w:trHeight w:val="57"/>
          <w:jc w:val="center"/>
        </w:trPr>
        <w:tc>
          <w:tcPr>
            <w:tcW w:w="0" w:type="auto"/>
            <w:vAlign w:val="center"/>
            <w:hideMark/>
          </w:tcPr>
          <w:p w14:paraId="7D5CB58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w:t>
            </w:r>
          </w:p>
        </w:tc>
        <w:tc>
          <w:tcPr>
            <w:tcW w:w="0" w:type="auto"/>
            <w:vAlign w:val="center"/>
            <w:hideMark/>
          </w:tcPr>
          <w:p w14:paraId="68ACA361"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Assam</w:t>
            </w:r>
          </w:p>
        </w:tc>
        <w:tc>
          <w:tcPr>
            <w:tcW w:w="1517" w:type="dxa"/>
            <w:vAlign w:val="center"/>
            <w:hideMark/>
          </w:tcPr>
          <w:p w14:paraId="4204A80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3430150</w:t>
            </w:r>
          </w:p>
        </w:tc>
        <w:tc>
          <w:tcPr>
            <w:tcW w:w="993" w:type="dxa"/>
            <w:vAlign w:val="center"/>
            <w:hideMark/>
          </w:tcPr>
          <w:p w14:paraId="47AE6AE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2.1463</w:t>
            </w:r>
          </w:p>
        </w:tc>
        <w:tc>
          <w:tcPr>
            <w:tcW w:w="1559" w:type="dxa"/>
            <w:vAlign w:val="center"/>
            <w:hideMark/>
          </w:tcPr>
          <w:p w14:paraId="09473A3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552048</w:t>
            </w:r>
          </w:p>
        </w:tc>
        <w:tc>
          <w:tcPr>
            <w:tcW w:w="992" w:type="dxa"/>
            <w:vAlign w:val="center"/>
            <w:hideMark/>
          </w:tcPr>
          <w:p w14:paraId="0C9223B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0.9849</w:t>
            </w:r>
          </w:p>
        </w:tc>
        <w:tc>
          <w:tcPr>
            <w:tcW w:w="1985" w:type="dxa"/>
            <w:vAlign w:val="center"/>
            <w:hideMark/>
          </w:tcPr>
          <w:p w14:paraId="5D709FA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1.5656</w:t>
            </w:r>
          </w:p>
        </w:tc>
      </w:tr>
      <w:tr w:rsidR="0038163E" w:rsidRPr="00767C21" w14:paraId="761D22D1" w14:textId="77777777" w:rsidTr="00767C21">
        <w:trPr>
          <w:trHeight w:val="57"/>
          <w:jc w:val="center"/>
        </w:trPr>
        <w:tc>
          <w:tcPr>
            <w:tcW w:w="0" w:type="auto"/>
            <w:vAlign w:val="center"/>
            <w:hideMark/>
          </w:tcPr>
          <w:p w14:paraId="44EDF0E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w:t>
            </w:r>
          </w:p>
        </w:tc>
        <w:tc>
          <w:tcPr>
            <w:tcW w:w="0" w:type="auto"/>
            <w:vAlign w:val="center"/>
            <w:hideMark/>
          </w:tcPr>
          <w:p w14:paraId="7740A0BE"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Bihar</w:t>
            </w:r>
          </w:p>
        </w:tc>
        <w:tc>
          <w:tcPr>
            <w:tcW w:w="1517" w:type="dxa"/>
            <w:vAlign w:val="center"/>
            <w:hideMark/>
          </w:tcPr>
          <w:p w14:paraId="0563816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15953235</w:t>
            </w:r>
          </w:p>
        </w:tc>
        <w:tc>
          <w:tcPr>
            <w:tcW w:w="993" w:type="dxa"/>
            <w:vAlign w:val="center"/>
            <w:hideMark/>
          </w:tcPr>
          <w:p w14:paraId="556800F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9.9824</w:t>
            </w:r>
          </w:p>
        </w:tc>
        <w:tc>
          <w:tcPr>
            <w:tcW w:w="1559" w:type="dxa"/>
            <w:vAlign w:val="center"/>
            <w:hideMark/>
          </w:tcPr>
          <w:p w14:paraId="11F9040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7366973</w:t>
            </w:r>
          </w:p>
        </w:tc>
        <w:tc>
          <w:tcPr>
            <w:tcW w:w="992" w:type="dxa"/>
            <w:vAlign w:val="center"/>
            <w:hideMark/>
          </w:tcPr>
          <w:p w14:paraId="191D532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13.1432</w:t>
            </w:r>
          </w:p>
        </w:tc>
        <w:tc>
          <w:tcPr>
            <w:tcW w:w="1985" w:type="dxa"/>
            <w:vAlign w:val="center"/>
            <w:hideMark/>
          </w:tcPr>
          <w:p w14:paraId="150B85E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11.5628</w:t>
            </w:r>
          </w:p>
        </w:tc>
      </w:tr>
      <w:tr w:rsidR="0038163E" w:rsidRPr="00767C21" w14:paraId="2D2C8F4B" w14:textId="77777777" w:rsidTr="00767C21">
        <w:trPr>
          <w:trHeight w:val="57"/>
          <w:jc w:val="center"/>
        </w:trPr>
        <w:tc>
          <w:tcPr>
            <w:tcW w:w="0" w:type="auto"/>
            <w:vAlign w:val="center"/>
            <w:hideMark/>
          </w:tcPr>
          <w:p w14:paraId="56CDB0B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w:t>
            </w:r>
          </w:p>
        </w:tc>
        <w:tc>
          <w:tcPr>
            <w:tcW w:w="0" w:type="auto"/>
            <w:vAlign w:val="center"/>
            <w:hideMark/>
          </w:tcPr>
          <w:p w14:paraId="2C0097C6"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Goa</w:t>
            </w:r>
          </w:p>
        </w:tc>
        <w:tc>
          <w:tcPr>
            <w:tcW w:w="1517" w:type="dxa"/>
            <w:vAlign w:val="center"/>
            <w:hideMark/>
          </w:tcPr>
          <w:p w14:paraId="2DCB4B1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21309</w:t>
            </w:r>
          </w:p>
        </w:tc>
        <w:tc>
          <w:tcPr>
            <w:tcW w:w="993" w:type="dxa"/>
            <w:vAlign w:val="center"/>
            <w:hideMark/>
          </w:tcPr>
          <w:p w14:paraId="6B0D7C9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0.0133</w:t>
            </w:r>
          </w:p>
        </w:tc>
        <w:tc>
          <w:tcPr>
            <w:tcW w:w="1559" w:type="dxa"/>
            <w:vAlign w:val="center"/>
            <w:hideMark/>
          </w:tcPr>
          <w:p w14:paraId="7F726E2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30556</w:t>
            </w:r>
          </w:p>
        </w:tc>
        <w:tc>
          <w:tcPr>
            <w:tcW w:w="992" w:type="dxa"/>
            <w:vAlign w:val="center"/>
            <w:hideMark/>
          </w:tcPr>
          <w:p w14:paraId="63F87CD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0.0545</w:t>
            </w:r>
          </w:p>
        </w:tc>
        <w:tc>
          <w:tcPr>
            <w:tcW w:w="1985" w:type="dxa"/>
            <w:vAlign w:val="center"/>
            <w:hideMark/>
          </w:tcPr>
          <w:p w14:paraId="4EDA70F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0.0339</w:t>
            </w:r>
          </w:p>
        </w:tc>
      </w:tr>
      <w:tr w:rsidR="0038163E" w:rsidRPr="00767C21" w14:paraId="049DA299" w14:textId="77777777" w:rsidTr="00767C21">
        <w:trPr>
          <w:trHeight w:val="57"/>
          <w:jc w:val="center"/>
        </w:trPr>
        <w:tc>
          <w:tcPr>
            <w:tcW w:w="0" w:type="auto"/>
            <w:vAlign w:val="center"/>
            <w:hideMark/>
          </w:tcPr>
          <w:p w14:paraId="218208B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w:t>
            </w:r>
          </w:p>
        </w:tc>
        <w:tc>
          <w:tcPr>
            <w:tcW w:w="0" w:type="auto"/>
            <w:vAlign w:val="center"/>
            <w:hideMark/>
          </w:tcPr>
          <w:p w14:paraId="149601FF"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Gujarat</w:t>
            </w:r>
          </w:p>
        </w:tc>
        <w:tc>
          <w:tcPr>
            <w:tcW w:w="1517" w:type="dxa"/>
            <w:vAlign w:val="center"/>
            <w:hideMark/>
          </w:tcPr>
          <w:p w14:paraId="59D7441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7286883</w:t>
            </w:r>
          </w:p>
        </w:tc>
        <w:tc>
          <w:tcPr>
            <w:tcW w:w="993" w:type="dxa"/>
            <w:vAlign w:val="center"/>
            <w:hideMark/>
          </w:tcPr>
          <w:p w14:paraId="325CFA6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4.5596</w:t>
            </w:r>
          </w:p>
        </w:tc>
        <w:tc>
          <w:tcPr>
            <w:tcW w:w="1559" w:type="dxa"/>
            <w:vAlign w:val="center"/>
            <w:hideMark/>
          </w:tcPr>
          <w:p w14:paraId="33FE400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2488300</w:t>
            </w:r>
          </w:p>
        </w:tc>
        <w:tc>
          <w:tcPr>
            <w:tcW w:w="992" w:type="dxa"/>
            <w:vAlign w:val="center"/>
            <w:hideMark/>
          </w:tcPr>
          <w:p w14:paraId="3BEABF0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4.4393</w:t>
            </w:r>
          </w:p>
        </w:tc>
        <w:tc>
          <w:tcPr>
            <w:tcW w:w="1985" w:type="dxa"/>
            <w:vAlign w:val="center"/>
            <w:hideMark/>
          </w:tcPr>
          <w:p w14:paraId="37B0619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4.4995</w:t>
            </w:r>
          </w:p>
        </w:tc>
      </w:tr>
      <w:tr w:rsidR="0038163E" w:rsidRPr="00767C21" w14:paraId="16B8B786" w14:textId="77777777" w:rsidTr="00767C21">
        <w:trPr>
          <w:trHeight w:val="57"/>
          <w:jc w:val="center"/>
        </w:trPr>
        <w:tc>
          <w:tcPr>
            <w:tcW w:w="0" w:type="auto"/>
            <w:vAlign w:val="center"/>
            <w:hideMark/>
          </w:tcPr>
          <w:p w14:paraId="2E7383E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w:t>
            </w:r>
          </w:p>
        </w:tc>
        <w:tc>
          <w:tcPr>
            <w:tcW w:w="0" w:type="auto"/>
            <w:vAlign w:val="center"/>
            <w:hideMark/>
          </w:tcPr>
          <w:p w14:paraId="2097F0DD"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Haryana</w:t>
            </w:r>
          </w:p>
        </w:tc>
        <w:tc>
          <w:tcPr>
            <w:tcW w:w="1517" w:type="dxa"/>
            <w:vAlign w:val="center"/>
            <w:hideMark/>
          </w:tcPr>
          <w:p w14:paraId="00000DC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2464012</w:t>
            </w:r>
          </w:p>
        </w:tc>
        <w:tc>
          <w:tcPr>
            <w:tcW w:w="993" w:type="dxa"/>
            <w:vAlign w:val="center"/>
            <w:hideMark/>
          </w:tcPr>
          <w:p w14:paraId="1D1C52D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1.5418</w:t>
            </w:r>
          </w:p>
        </w:tc>
        <w:tc>
          <w:tcPr>
            <w:tcW w:w="1559" w:type="dxa"/>
            <w:vAlign w:val="center"/>
            <w:hideMark/>
          </w:tcPr>
          <w:p w14:paraId="62A2147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590324</w:t>
            </w:r>
          </w:p>
        </w:tc>
        <w:tc>
          <w:tcPr>
            <w:tcW w:w="992" w:type="dxa"/>
            <w:vAlign w:val="center"/>
            <w:hideMark/>
          </w:tcPr>
          <w:p w14:paraId="7EF8CAA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1.0532</w:t>
            </w:r>
          </w:p>
        </w:tc>
        <w:tc>
          <w:tcPr>
            <w:tcW w:w="1985" w:type="dxa"/>
            <w:vAlign w:val="center"/>
            <w:hideMark/>
          </w:tcPr>
          <w:p w14:paraId="2982B72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1.2975</w:t>
            </w:r>
          </w:p>
        </w:tc>
      </w:tr>
      <w:tr w:rsidR="0038163E" w:rsidRPr="00767C21" w14:paraId="24788FF7" w14:textId="77777777" w:rsidTr="00767C21">
        <w:trPr>
          <w:trHeight w:val="57"/>
          <w:jc w:val="center"/>
        </w:trPr>
        <w:tc>
          <w:tcPr>
            <w:tcW w:w="0" w:type="auto"/>
            <w:vAlign w:val="center"/>
            <w:hideMark/>
          </w:tcPr>
          <w:p w14:paraId="4765422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w:t>
            </w:r>
          </w:p>
        </w:tc>
        <w:tc>
          <w:tcPr>
            <w:tcW w:w="0" w:type="auto"/>
            <w:vAlign w:val="center"/>
            <w:hideMark/>
          </w:tcPr>
          <w:p w14:paraId="12A8C8E3"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Himachal Pradesh</w:t>
            </w:r>
          </w:p>
        </w:tc>
        <w:tc>
          <w:tcPr>
            <w:tcW w:w="1517" w:type="dxa"/>
            <w:vAlign w:val="center"/>
            <w:hideMark/>
          </w:tcPr>
          <w:p w14:paraId="702F6EB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1251221</w:t>
            </w:r>
          </w:p>
        </w:tc>
        <w:tc>
          <w:tcPr>
            <w:tcW w:w="993" w:type="dxa"/>
            <w:vAlign w:val="center"/>
            <w:hideMark/>
          </w:tcPr>
          <w:p w14:paraId="66B6B8B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0.7829</w:t>
            </w:r>
          </w:p>
        </w:tc>
        <w:tc>
          <w:tcPr>
            <w:tcW w:w="1559" w:type="dxa"/>
            <w:vAlign w:val="center"/>
            <w:hideMark/>
          </w:tcPr>
          <w:p w14:paraId="0ADA4AA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40072</w:t>
            </w:r>
          </w:p>
        </w:tc>
        <w:tc>
          <w:tcPr>
            <w:tcW w:w="992" w:type="dxa"/>
            <w:vAlign w:val="center"/>
            <w:hideMark/>
          </w:tcPr>
          <w:p w14:paraId="736DFB1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0.0715</w:t>
            </w:r>
          </w:p>
        </w:tc>
        <w:tc>
          <w:tcPr>
            <w:tcW w:w="1985" w:type="dxa"/>
            <w:vAlign w:val="center"/>
            <w:hideMark/>
          </w:tcPr>
          <w:p w14:paraId="5D47BF0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0.4272</w:t>
            </w:r>
          </w:p>
        </w:tc>
      </w:tr>
      <w:tr w:rsidR="0038163E" w:rsidRPr="00767C21" w14:paraId="6283309C" w14:textId="77777777" w:rsidTr="00767C21">
        <w:trPr>
          <w:trHeight w:val="57"/>
          <w:jc w:val="center"/>
        </w:trPr>
        <w:tc>
          <w:tcPr>
            <w:tcW w:w="0" w:type="auto"/>
            <w:vAlign w:val="center"/>
            <w:hideMark/>
          </w:tcPr>
          <w:p w14:paraId="4037CC7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w:t>
            </w:r>
          </w:p>
        </w:tc>
        <w:tc>
          <w:tcPr>
            <w:tcW w:w="0" w:type="auto"/>
            <w:vAlign w:val="center"/>
            <w:hideMark/>
          </w:tcPr>
          <w:p w14:paraId="37AB29D3"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Jammu and Kashmir</w:t>
            </w:r>
          </w:p>
        </w:tc>
        <w:tc>
          <w:tcPr>
            <w:tcW w:w="1517" w:type="dxa"/>
            <w:vAlign w:val="center"/>
            <w:hideMark/>
          </w:tcPr>
          <w:p w14:paraId="3C70598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497363</w:t>
            </w:r>
          </w:p>
        </w:tc>
        <w:tc>
          <w:tcPr>
            <w:tcW w:w="993" w:type="dxa"/>
            <w:vAlign w:val="center"/>
            <w:hideMark/>
          </w:tcPr>
          <w:p w14:paraId="3D27234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0.3112</w:t>
            </w:r>
          </w:p>
        </w:tc>
        <w:tc>
          <w:tcPr>
            <w:tcW w:w="1559" w:type="dxa"/>
            <w:vAlign w:val="center"/>
            <w:hideMark/>
          </w:tcPr>
          <w:p w14:paraId="21820E9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63540</w:t>
            </w:r>
          </w:p>
        </w:tc>
        <w:tc>
          <w:tcPr>
            <w:tcW w:w="992" w:type="dxa"/>
            <w:vAlign w:val="center"/>
            <w:hideMark/>
          </w:tcPr>
          <w:p w14:paraId="1576E45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0.1134</w:t>
            </w:r>
          </w:p>
        </w:tc>
        <w:tc>
          <w:tcPr>
            <w:tcW w:w="1985" w:type="dxa"/>
            <w:vAlign w:val="center"/>
            <w:hideMark/>
          </w:tcPr>
          <w:p w14:paraId="0D21BE0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0.2123</w:t>
            </w:r>
          </w:p>
        </w:tc>
      </w:tr>
      <w:tr w:rsidR="0038163E" w:rsidRPr="00767C21" w14:paraId="4471ECE7" w14:textId="77777777" w:rsidTr="00767C21">
        <w:trPr>
          <w:trHeight w:val="57"/>
          <w:jc w:val="center"/>
        </w:trPr>
        <w:tc>
          <w:tcPr>
            <w:tcW w:w="0" w:type="auto"/>
            <w:vAlign w:val="center"/>
            <w:hideMark/>
          </w:tcPr>
          <w:p w14:paraId="5DECC15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w:t>
            </w:r>
          </w:p>
        </w:tc>
        <w:tc>
          <w:tcPr>
            <w:tcW w:w="0" w:type="auto"/>
            <w:vAlign w:val="center"/>
            <w:hideMark/>
          </w:tcPr>
          <w:p w14:paraId="5EC2EDD1"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Karnataka</w:t>
            </w:r>
          </w:p>
        </w:tc>
        <w:tc>
          <w:tcPr>
            <w:tcW w:w="1517" w:type="dxa"/>
            <w:vAlign w:val="center"/>
            <w:hideMark/>
          </w:tcPr>
          <w:p w14:paraId="772A4D6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7420556</w:t>
            </w:r>
          </w:p>
        </w:tc>
        <w:tc>
          <w:tcPr>
            <w:tcW w:w="993" w:type="dxa"/>
            <w:vAlign w:val="center"/>
            <w:hideMark/>
          </w:tcPr>
          <w:p w14:paraId="2CE7760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4.6433</w:t>
            </w:r>
          </w:p>
        </w:tc>
        <w:tc>
          <w:tcPr>
            <w:tcW w:w="1559" w:type="dxa"/>
            <w:vAlign w:val="center"/>
            <w:hideMark/>
          </w:tcPr>
          <w:p w14:paraId="46A6D04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3655197</w:t>
            </w:r>
          </w:p>
        </w:tc>
        <w:tc>
          <w:tcPr>
            <w:tcW w:w="992" w:type="dxa"/>
            <w:vAlign w:val="center"/>
            <w:hideMark/>
          </w:tcPr>
          <w:p w14:paraId="08909A9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6.5211</w:t>
            </w:r>
          </w:p>
        </w:tc>
        <w:tc>
          <w:tcPr>
            <w:tcW w:w="1985" w:type="dxa"/>
            <w:vAlign w:val="center"/>
            <w:hideMark/>
          </w:tcPr>
          <w:p w14:paraId="2E88780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5.5822</w:t>
            </w:r>
          </w:p>
        </w:tc>
      </w:tr>
      <w:tr w:rsidR="0038163E" w:rsidRPr="00767C21" w14:paraId="7000DAAF" w14:textId="77777777" w:rsidTr="00767C21">
        <w:trPr>
          <w:trHeight w:val="57"/>
          <w:jc w:val="center"/>
        </w:trPr>
        <w:tc>
          <w:tcPr>
            <w:tcW w:w="0" w:type="auto"/>
            <w:vAlign w:val="center"/>
            <w:hideMark/>
          </w:tcPr>
          <w:p w14:paraId="619A288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w:t>
            </w:r>
          </w:p>
        </w:tc>
        <w:tc>
          <w:tcPr>
            <w:tcW w:w="0" w:type="auto"/>
            <w:vAlign w:val="center"/>
            <w:hideMark/>
          </w:tcPr>
          <w:p w14:paraId="72113E8B"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Kerala</w:t>
            </w:r>
          </w:p>
        </w:tc>
        <w:tc>
          <w:tcPr>
            <w:tcW w:w="1517" w:type="dxa"/>
            <w:vAlign w:val="center"/>
            <w:hideMark/>
          </w:tcPr>
          <w:p w14:paraId="1A995E9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2810857</w:t>
            </w:r>
          </w:p>
        </w:tc>
        <w:tc>
          <w:tcPr>
            <w:tcW w:w="993" w:type="dxa"/>
            <w:vAlign w:val="center"/>
            <w:hideMark/>
          </w:tcPr>
          <w:p w14:paraId="08CED00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1.7588</w:t>
            </w:r>
          </w:p>
        </w:tc>
        <w:tc>
          <w:tcPr>
            <w:tcW w:w="1559" w:type="dxa"/>
            <w:vAlign w:val="center"/>
            <w:hideMark/>
          </w:tcPr>
          <w:p w14:paraId="01104C9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1917362</w:t>
            </w:r>
          </w:p>
        </w:tc>
        <w:tc>
          <w:tcPr>
            <w:tcW w:w="992" w:type="dxa"/>
            <w:vAlign w:val="center"/>
            <w:hideMark/>
          </w:tcPr>
          <w:p w14:paraId="69578D8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3.4207</w:t>
            </w:r>
          </w:p>
        </w:tc>
        <w:tc>
          <w:tcPr>
            <w:tcW w:w="1985" w:type="dxa"/>
            <w:vAlign w:val="center"/>
            <w:hideMark/>
          </w:tcPr>
          <w:p w14:paraId="5EDD6F3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2.5898</w:t>
            </w:r>
          </w:p>
        </w:tc>
      </w:tr>
      <w:tr w:rsidR="0038163E" w:rsidRPr="00767C21" w14:paraId="1A84D42B" w14:textId="77777777" w:rsidTr="00767C21">
        <w:trPr>
          <w:trHeight w:val="57"/>
          <w:jc w:val="center"/>
        </w:trPr>
        <w:tc>
          <w:tcPr>
            <w:tcW w:w="0" w:type="auto"/>
            <w:vAlign w:val="center"/>
            <w:hideMark/>
          </w:tcPr>
          <w:p w14:paraId="6BD26AE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w:t>
            </w:r>
          </w:p>
        </w:tc>
        <w:tc>
          <w:tcPr>
            <w:tcW w:w="0" w:type="auto"/>
            <w:vAlign w:val="center"/>
            <w:hideMark/>
          </w:tcPr>
          <w:p w14:paraId="025B0499"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Madhya Pradesh</w:t>
            </w:r>
          </w:p>
        </w:tc>
        <w:tc>
          <w:tcPr>
            <w:tcW w:w="1517" w:type="dxa"/>
            <w:vAlign w:val="center"/>
            <w:hideMark/>
          </w:tcPr>
          <w:p w14:paraId="78CC006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19345564</w:t>
            </w:r>
          </w:p>
        </w:tc>
        <w:tc>
          <w:tcPr>
            <w:tcW w:w="993" w:type="dxa"/>
            <w:vAlign w:val="center"/>
            <w:hideMark/>
          </w:tcPr>
          <w:p w14:paraId="453755D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12.1051</w:t>
            </w:r>
          </w:p>
        </w:tc>
        <w:tc>
          <w:tcPr>
            <w:tcW w:w="1559" w:type="dxa"/>
            <w:vAlign w:val="center"/>
            <w:hideMark/>
          </w:tcPr>
          <w:p w14:paraId="76E415E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4857829</w:t>
            </w:r>
          </w:p>
        </w:tc>
        <w:tc>
          <w:tcPr>
            <w:tcW w:w="992" w:type="dxa"/>
            <w:vAlign w:val="center"/>
            <w:hideMark/>
          </w:tcPr>
          <w:p w14:paraId="27293D1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8.6667</w:t>
            </w:r>
          </w:p>
        </w:tc>
        <w:tc>
          <w:tcPr>
            <w:tcW w:w="1985" w:type="dxa"/>
            <w:vAlign w:val="center"/>
            <w:hideMark/>
          </w:tcPr>
          <w:p w14:paraId="7419BD6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10.3859</w:t>
            </w:r>
          </w:p>
        </w:tc>
      </w:tr>
      <w:tr w:rsidR="0038163E" w:rsidRPr="00767C21" w14:paraId="3B62180C" w14:textId="77777777" w:rsidTr="00767C21">
        <w:trPr>
          <w:trHeight w:val="57"/>
          <w:jc w:val="center"/>
        </w:trPr>
        <w:tc>
          <w:tcPr>
            <w:tcW w:w="0" w:type="auto"/>
            <w:vAlign w:val="center"/>
            <w:hideMark/>
          </w:tcPr>
          <w:p w14:paraId="74CC39E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w:t>
            </w:r>
          </w:p>
        </w:tc>
        <w:tc>
          <w:tcPr>
            <w:tcW w:w="0" w:type="auto"/>
            <w:vAlign w:val="center"/>
            <w:hideMark/>
          </w:tcPr>
          <w:p w14:paraId="59D558C9"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Maharashtra</w:t>
            </w:r>
          </w:p>
        </w:tc>
        <w:tc>
          <w:tcPr>
            <w:tcW w:w="1517" w:type="dxa"/>
            <w:vAlign w:val="center"/>
            <w:hideMark/>
          </w:tcPr>
          <w:p w14:paraId="68BBEE2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10251801</w:t>
            </w:r>
          </w:p>
        </w:tc>
        <w:tc>
          <w:tcPr>
            <w:tcW w:w="993" w:type="dxa"/>
            <w:vAlign w:val="center"/>
            <w:hideMark/>
          </w:tcPr>
          <w:p w14:paraId="0CAC7E4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6.4149</w:t>
            </w:r>
          </w:p>
        </w:tc>
        <w:tc>
          <w:tcPr>
            <w:tcW w:w="1559" w:type="dxa"/>
            <w:vAlign w:val="center"/>
            <w:hideMark/>
          </w:tcPr>
          <w:p w14:paraId="5074318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6470855</w:t>
            </w:r>
          </w:p>
        </w:tc>
        <w:tc>
          <w:tcPr>
            <w:tcW w:w="992" w:type="dxa"/>
            <w:vAlign w:val="center"/>
            <w:hideMark/>
          </w:tcPr>
          <w:p w14:paraId="149D889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11.5444</w:t>
            </w:r>
          </w:p>
        </w:tc>
        <w:tc>
          <w:tcPr>
            <w:tcW w:w="1985" w:type="dxa"/>
            <w:vAlign w:val="center"/>
            <w:hideMark/>
          </w:tcPr>
          <w:p w14:paraId="7A8E2D0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8.9796</w:t>
            </w:r>
          </w:p>
        </w:tc>
      </w:tr>
      <w:tr w:rsidR="0038163E" w:rsidRPr="00767C21" w14:paraId="32FD671F" w14:textId="77777777" w:rsidTr="00767C21">
        <w:trPr>
          <w:trHeight w:val="57"/>
          <w:jc w:val="center"/>
        </w:trPr>
        <w:tc>
          <w:tcPr>
            <w:tcW w:w="0" w:type="auto"/>
            <w:vAlign w:val="center"/>
            <w:hideMark/>
          </w:tcPr>
          <w:p w14:paraId="3D41485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w:t>
            </w:r>
          </w:p>
        </w:tc>
        <w:tc>
          <w:tcPr>
            <w:tcW w:w="0" w:type="auto"/>
            <w:vAlign w:val="center"/>
            <w:hideMark/>
          </w:tcPr>
          <w:p w14:paraId="0C8041F7"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Manipur</w:t>
            </w:r>
          </w:p>
        </w:tc>
        <w:tc>
          <w:tcPr>
            <w:tcW w:w="1517" w:type="dxa"/>
            <w:vAlign w:val="center"/>
            <w:hideMark/>
          </w:tcPr>
          <w:p w14:paraId="2F6F61D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405730</w:t>
            </w:r>
          </w:p>
        </w:tc>
        <w:tc>
          <w:tcPr>
            <w:tcW w:w="993" w:type="dxa"/>
            <w:vAlign w:val="center"/>
            <w:hideMark/>
          </w:tcPr>
          <w:p w14:paraId="5F096F6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0.2539</w:t>
            </w:r>
          </w:p>
        </w:tc>
        <w:tc>
          <w:tcPr>
            <w:tcW w:w="1559" w:type="dxa"/>
            <w:vAlign w:val="center"/>
            <w:hideMark/>
          </w:tcPr>
          <w:p w14:paraId="0803139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28613</w:t>
            </w:r>
          </w:p>
        </w:tc>
        <w:tc>
          <w:tcPr>
            <w:tcW w:w="992" w:type="dxa"/>
            <w:vAlign w:val="center"/>
            <w:hideMark/>
          </w:tcPr>
          <w:p w14:paraId="79134D8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0.0510</w:t>
            </w:r>
          </w:p>
        </w:tc>
        <w:tc>
          <w:tcPr>
            <w:tcW w:w="1985" w:type="dxa"/>
            <w:vAlign w:val="center"/>
            <w:hideMark/>
          </w:tcPr>
          <w:p w14:paraId="74927E1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0.1525</w:t>
            </w:r>
          </w:p>
        </w:tc>
      </w:tr>
      <w:tr w:rsidR="0038163E" w:rsidRPr="00767C21" w14:paraId="641B3648" w14:textId="77777777" w:rsidTr="00767C21">
        <w:trPr>
          <w:trHeight w:val="57"/>
          <w:jc w:val="center"/>
        </w:trPr>
        <w:tc>
          <w:tcPr>
            <w:tcW w:w="0" w:type="auto"/>
            <w:vAlign w:val="center"/>
            <w:hideMark/>
          </w:tcPr>
          <w:p w14:paraId="3E69CD7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w:t>
            </w:r>
          </w:p>
        </w:tc>
        <w:tc>
          <w:tcPr>
            <w:tcW w:w="0" w:type="auto"/>
            <w:vAlign w:val="center"/>
            <w:hideMark/>
          </w:tcPr>
          <w:p w14:paraId="7BFCAA84"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Meghalaya</w:t>
            </w:r>
          </w:p>
        </w:tc>
        <w:tc>
          <w:tcPr>
            <w:tcW w:w="1517" w:type="dxa"/>
            <w:vAlign w:val="center"/>
            <w:hideMark/>
          </w:tcPr>
          <w:p w14:paraId="27268B0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1081837</w:t>
            </w:r>
          </w:p>
        </w:tc>
        <w:tc>
          <w:tcPr>
            <w:tcW w:w="993" w:type="dxa"/>
            <w:vAlign w:val="center"/>
            <w:hideMark/>
          </w:tcPr>
          <w:p w14:paraId="0CB170B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0.6769</w:t>
            </w:r>
          </w:p>
        </w:tc>
        <w:tc>
          <w:tcPr>
            <w:tcW w:w="1559" w:type="dxa"/>
            <w:vAlign w:val="center"/>
            <w:hideMark/>
          </w:tcPr>
          <w:p w14:paraId="0E3E64D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57899</w:t>
            </w:r>
          </w:p>
        </w:tc>
        <w:tc>
          <w:tcPr>
            <w:tcW w:w="992" w:type="dxa"/>
            <w:vAlign w:val="center"/>
            <w:hideMark/>
          </w:tcPr>
          <w:p w14:paraId="0AAF5AB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0.1033</w:t>
            </w:r>
          </w:p>
        </w:tc>
        <w:tc>
          <w:tcPr>
            <w:tcW w:w="1985" w:type="dxa"/>
            <w:vAlign w:val="center"/>
            <w:hideMark/>
          </w:tcPr>
          <w:p w14:paraId="043799F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0.3901</w:t>
            </w:r>
          </w:p>
        </w:tc>
      </w:tr>
      <w:tr w:rsidR="0038163E" w:rsidRPr="00767C21" w14:paraId="4375C7D3" w14:textId="77777777" w:rsidTr="00767C21">
        <w:trPr>
          <w:trHeight w:val="57"/>
          <w:jc w:val="center"/>
        </w:trPr>
        <w:tc>
          <w:tcPr>
            <w:tcW w:w="0" w:type="auto"/>
            <w:vAlign w:val="center"/>
            <w:hideMark/>
          </w:tcPr>
          <w:p w14:paraId="02FE4AE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w:t>
            </w:r>
          </w:p>
        </w:tc>
        <w:tc>
          <w:tcPr>
            <w:tcW w:w="0" w:type="auto"/>
            <w:vAlign w:val="center"/>
            <w:hideMark/>
          </w:tcPr>
          <w:p w14:paraId="708CB5EB"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Mizoram</w:t>
            </w:r>
          </w:p>
        </w:tc>
        <w:tc>
          <w:tcPr>
            <w:tcW w:w="1517" w:type="dxa"/>
            <w:vAlign w:val="center"/>
            <w:hideMark/>
          </w:tcPr>
          <w:p w14:paraId="612BDA1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462042</w:t>
            </w:r>
          </w:p>
        </w:tc>
        <w:tc>
          <w:tcPr>
            <w:tcW w:w="993" w:type="dxa"/>
            <w:vAlign w:val="center"/>
            <w:hideMark/>
          </w:tcPr>
          <w:p w14:paraId="6A5A1CC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0.2891</w:t>
            </w:r>
          </w:p>
        </w:tc>
        <w:tc>
          <w:tcPr>
            <w:tcW w:w="1559" w:type="dxa"/>
            <w:vAlign w:val="center"/>
            <w:hideMark/>
          </w:tcPr>
          <w:p w14:paraId="1E0F3DF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5118</w:t>
            </w:r>
          </w:p>
        </w:tc>
        <w:tc>
          <w:tcPr>
            <w:tcW w:w="992" w:type="dxa"/>
            <w:vAlign w:val="center"/>
            <w:hideMark/>
          </w:tcPr>
          <w:p w14:paraId="49C8D24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0.0091</w:t>
            </w:r>
          </w:p>
        </w:tc>
        <w:tc>
          <w:tcPr>
            <w:tcW w:w="1985" w:type="dxa"/>
            <w:vAlign w:val="center"/>
            <w:hideMark/>
          </w:tcPr>
          <w:p w14:paraId="38377AF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0.1491</w:t>
            </w:r>
          </w:p>
        </w:tc>
      </w:tr>
      <w:tr w:rsidR="0038163E" w:rsidRPr="00767C21" w14:paraId="5754F473" w14:textId="77777777" w:rsidTr="00767C21">
        <w:trPr>
          <w:trHeight w:val="57"/>
          <w:jc w:val="center"/>
        </w:trPr>
        <w:tc>
          <w:tcPr>
            <w:tcW w:w="0" w:type="auto"/>
            <w:vAlign w:val="center"/>
            <w:hideMark/>
          </w:tcPr>
          <w:p w14:paraId="187FBEE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w:t>
            </w:r>
          </w:p>
        </w:tc>
        <w:tc>
          <w:tcPr>
            <w:tcW w:w="0" w:type="auto"/>
            <w:vAlign w:val="center"/>
            <w:hideMark/>
          </w:tcPr>
          <w:p w14:paraId="77CC3255"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Nagaland</w:t>
            </w:r>
          </w:p>
        </w:tc>
        <w:tc>
          <w:tcPr>
            <w:tcW w:w="1517" w:type="dxa"/>
            <w:vAlign w:val="center"/>
            <w:hideMark/>
          </w:tcPr>
          <w:p w14:paraId="6FB3D57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650885</w:t>
            </w:r>
          </w:p>
        </w:tc>
        <w:tc>
          <w:tcPr>
            <w:tcW w:w="993" w:type="dxa"/>
            <w:vAlign w:val="center"/>
            <w:hideMark/>
          </w:tcPr>
          <w:p w14:paraId="611160B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0.4073</w:t>
            </w:r>
          </w:p>
        </w:tc>
        <w:tc>
          <w:tcPr>
            <w:tcW w:w="1559" w:type="dxa"/>
            <w:vAlign w:val="center"/>
            <w:hideMark/>
          </w:tcPr>
          <w:p w14:paraId="72B7492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2979</w:t>
            </w:r>
          </w:p>
        </w:tc>
        <w:tc>
          <w:tcPr>
            <w:tcW w:w="992" w:type="dxa"/>
            <w:vAlign w:val="center"/>
            <w:hideMark/>
          </w:tcPr>
          <w:p w14:paraId="7C7D673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0.0053</w:t>
            </w:r>
          </w:p>
        </w:tc>
        <w:tc>
          <w:tcPr>
            <w:tcW w:w="1985" w:type="dxa"/>
            <w:vAlign w:val="center"/>
            <w:hideMark/>
          </w:tcPr>
          <w:p w14:paraId="71EE202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0.2063</w:t>
            </w:r>
          </w:p>
        </w:tc>
      </w:tr>
      <w:tr w:rsidR="0038163E" w:rsidRPr="00767C21" w14:paraId="636B5E68" w14:textId="77777777" w:rsidTr="00767C21">
        <w:trPr>
          <w:trHeight w:val="57"/>
          <w:jc w:val="center"/>
        </w:trPr>
        <w:tc>
          <w:tcPr>
            <w:tcW w:w="0" w:type="auto"/>
            <w:vAlign w:val="center"/>
            <w:hideMark/>
          </w:tcPr>
          <w:p w14:paraId="7132D01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w:t>
            </w:r>
          </w:p>
        </w:tc>
        <w:tc>
          <w:tcPr>
            <w:tcW w:w="0" w:type="auto"/>
            <w:vAlign w:val="center"/>
            <w:hideMark/>
          </w:tcPr>
          <w:p w14:paraId="45660D46"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Orissa</w:t>
            </w:r>
          </w:p>
        </w:tc>
        <w:tc>
          <w:tcPr>
            <w:tcW w:w="1517" w:type="dxa"/>
            <w:vAlign w:val="center"/>
            <w:hideMark/>
          </w:tcPr>
          <w:p w14:paraId="7718074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9780610</w:t>
            </w:r>
          </w:p>
        </w:tc>
        <w:tc>
          <w:tcPr>
            <w:tcW w:w="993" w:type="dxa"/>
            <w:vAlign w:val="center"/>
            <w:hideMark/>
          </w:tcPr>
          <w:p w14:paraId="6FDC084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6.1200</w:t>
            </w:r>
          </w:p>
        </w:tc>
        <w:tc>
          <w:tcPr>
            <w:tcW w:w="1559" w:type="dxa"/>
            <w:vAlign w:val="center"/>
            <w:hideMark/>
          </w:tcPr>
          <w:p w14:paraId="6735A15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2396974</w:t>
            </w:r>
          </w:p>
        </w:tc>
        <w:tc>
          <w:tcPr>
            <w:tcW w:w="992" w:type="dxa"/>
            <w:vAlign w:val="center"/>
            <w:hideMark/>
          </w:tcPr>
          <w:p w14:paraId="0F7A9C6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4.2764</w:t>
            </w:r>
          </w:p>
        </w:tc>
        <w:tc>
          <w:tcPr>
            <w:tcW w:w="1985" w:type="dxa"/>
            <w:vAlign w:val="center"/>
            <w:hideMark/>
          </w:tcPr>
          <w:p w14:paraId="6DD0196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5.1982</w:t>
            </w:r>
          </w:p>
        </w:tc>
      </w:tr>
      <w:tr w:rsidR="0038163E" w:rsidRPr="00767C21" w14:paraId="4AD43487" w14:textId="77777777" w:rsidTr="00767C21">
        <w:trPr>
          <w:trHeight w:val="57"/>
          <w:jc w:val="center"/>
        </w:trPr>
        <w:tc>
          <w:tcPr>
            <w:tcW w:w="0" w:type="auto"/>
            <w:vAlign w:val="center"/>
            <w:hideMark/>
          </w:tcPr>
          <w:p w14:paraId="29119B7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w:t>
            </w:r>
          </w:p>
        </w:tc>
        <w:tc>
          <w:tcPr>
            <w:tcW w:w="0" w:type="auto"/>
            <w:vAlign w:val="center"/>
            <w:hideMark/>
          </w:tcPr>
          <w:p w14:paraId="2385FC59"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Punjab</w:t>
            </w:r>
          </w:p>
        </w:tc>
        <w:tc>
          <w:tcPr>
            <w:tcW w:w="1517" w:type="dxa"/>
            <w:vAlign w:val="center"/>
            <w:hideMark/>
          </w:tcPr>
          <w:p w14:paraId="662EAD2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4511703</w:t>
            </w:r>
          </w:p>
        </w:tc>
        <w:tc>
          <w:tcPr>
            <w:tcW w:w="993" w:type="dxa"/>
            <w:vAlign w:val="center"/>
            <w:hideMark/>
          </w:tcPr>
          <w:p w14:paraId="27B6CF8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2.8231</w:t>
            </w:r>
          </w:p>
        </w:tc>
        <w:tc>
          <w:tcPr>
            <w:tcW w:w="1559" w:type="dxa"/>
            <w:vAlign w:val="center"/>
            <w:hideMark/>
          </w:tcPr>
          <w:p w14:paraId="2B440D4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1092225</w:t>
            </w:r>
          </w:p>
        </w:tc>
        <w:tc>
          <w:tcPr>
            <w:tcW w:w="992" w:type="dxa"/>
            <w:vAlign w:val="center"/>
            <w:hideMark/>
          </w:tcPr>
          <w:p w14:paraId="6CBE9FE7"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1.9486</w:t>
            </w:r>
          </w:p>
        </w:tc>
        <w:tc>
          <w:tcPr>
            <w:tcW w:w="1985" w:type="dxa"/>
            <w:vAlign w:val="center"/>
            <w:hideMark/>
          </w:tcPr>
          <w:p w14:paraId="680960D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2.3859</w:t>
            </w:r>
          </w:p>
        </w:tc>
      </w:tr>
      <w:tr w:rsidR="0038163E" w:rsidRPr="00767C21" w14:paraId="7FE2BC93" w14:textId="77777777" w:rsidTr="00767C21">
        <w:trPr>
          <w:trHeight w:val="57"/>
          <w:jc w:val="center"/>
        </w:trPr>
        <w:tc>
          <w:tcPr>
            <w:tcW w:w="0" w:type="auto"/>
            <w:vAlign w:val="center"/>
            <w:hideMark/>
          </w:tcPr>
          <w:p w14:paraId="49EFE98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w:t>
            </w:r>
          </w:p>
        </w:tc>
        <w:tc>
          <w:tcPr>
            <w:tcW w:w="0" w:type="auto"/>
            <w:vAlign w:val="center"/>
            <w:hideMark/>
          </w:tcPr>
          <w:p w14:paraId="13DE824A"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Rajasthan</w:t>
            </w:r>
          </w:p>
        </w:tc>
        <w:tc>
          <w:tcPr>
            <w:tcW w:w="1517" w:type="dxa"/>
            <w:vAlign w:val="center"/>
            <w:hideMark/>
          </w:tcPr>
          <w:p w14:paraId="5A3904B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10022003</w:t>
            </w:r>
          </w:p>
        </w:tc>
        <w:tc>
          <w:tcPr>
            <w:tcW w:w="993" w:type="dxa"/>
            <w:vAlign w:val="center"/>
            <w:hideMark/>
          </w:tcPr>
          <w:p w14:paraId="58776E7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6.2711</w:t>
            </w:r>
          </w:p>
        </w:tc>
        <w:tc>
          <w:tcPr>
            <w:tcW w:w="1559" w:type="dxa"/>
            <w:vAlign w:val="center"/>
            <w:hideMark/>
          </w:tcPr>
          <w:p w14:paraId="78D4F68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764625</w:t>
            </w:r>
          </w:p>
        </w:tc>
        <w:tc>
          <w:tcPr>
            <w:tcW w:w="992" w:type="dxa"/>
            <w:vAlign w:val="center"/>
            <w:hideMark/>
          </w:tcPr>
          <w:p w14:paraId="1D03C26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1.3641</w:t>
            </w:r>
          </w:p>
        </w:tc>
        <w:tc>
          <w:tcPr>
            <w:tcW w:w="1985" w:type="dxa"/>
            <w:vAlign w:val="center"/>
            <w:hideMark/>
          </w:tcPr>
          <w:p w14:paraId="344616B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3.8176</w:t>
            </w:r>
          </w:p>
        </w:tc>
      </w:tr>
      <w:tr w:rsidR="0038163E" w:rsidRPr="00767C21" w14:paraId="1E931FC3" w14:textId="77777777" w:rsidTr="00767C21">
        <w:trPr>
          <w:trHeight w:val="57"/>
          <w:jc w:val="center"/>
        </w:trPr>
        <w:tc>
          <w:tcPr>
            <w:tcW w:w="0" w:type="auto"/>
            <w:vAlign w:val="center"/>
            <w:hideMark/>
          </w:tcPr>
          <w:p w14:paraId="38695FE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w:t>
            </w:r>
          </w:p>
        </w:tc>
        <w:tc>
          <w:tcPr>
            <w:tcW w:w="0" w:type="auto"/>
            <w:vAlign w:val="center"/>
            <w:hideMark/>
          </w:tcPr>
          <w:p w14:paraId="3D909DD9"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Sikkim</w:t>
            </w:r>
          </w:p>
        </w:tc>
        <w:tc>
          <w:tcPr>
            <w:tcW w:w="1517" w:type="dxa"/>
            <w:vAlign w:val="center"/>
            <w:hideMark/>
          </w:tcPr>
          <w:p w14:paraId="7004568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91904</w:t>
            </w:r>
          </w:p>
        </w:tc>
        <w:tc>
          <w:tcPr>
            <w:tcW w:w="993" w:type="dxa"/>
            <w:vAlign w:val="center"/>
            <w:hideMark/>
          </w:tcPr>
          <w:p w14:paraId="7177C0C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0.0575</w:t>
            </w:r>
          </w:p>
        </w:tc>
        <w:tc>
          <w:tcPr>
            <w:tcW w:w="1559" w:type="dxa"/>
            <w:vAlign w:val="center"/>
            <w:hideMark/>
          </w:tcPr>
          <w:p w14:paraId="1A2B360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4887</w:t>
            </w:r>
          </w:p>
        </w:tc>
        <w:tc>
          <w:tcPr>
            <w:tcW w:w="992" w:type="dxa"/>
            <w:vAlign w:val="center"/>
            <w:hideMark/>
          </w:tcPr>
          <w:p w14:paraId="06C4C37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0.0087</w:t>
            </w:r>
          </w:p>
        </w:tc>
        <w:tc>
          <w:tcPr>
            <w:tcW w:w="1985" w:type="dxa"/>
            <w:vAlign w:val="center"/>
            <w:hideMark/>
          </w:tcPr>
          <w:p w14:paraId="458BC86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0.0331</w:t>
            </w:r>
          </w:p>
        </w:tc>
      </w:tr>
      <w:tr w:rsidR="0038163E" w:rsidRPr="00767C21" w14:paraId="4745AC68" w14:textId="77777777" w:rsidTr="00767C21">
        <w:trPr>
          <w:trHeight w:val="57"/>
          <w:jc w:val="center"/>
        </w:trPr>
        <w:tc>
          <w:tcPr>
            <w:tcW w:w="0" w:type="auto"/>
            <w:vAlign w:val="center"/>
            <w:hideMark/>
          </w:tcPr>
          <w:p w14:paraId="0D362C3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22.</w:t>
            </w:r>
          </w:p>
        </w:tc>
        <w:tc>
          <w:tcPr>
            <w:tcW w:w="0" w:type="auto"/>
            <w:vAlign w:val="center"/>
            <w:hideMark/>
          </w:tcPr>
          <w:p w14:paraId="724C2D66"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Tamil Nadu</w:t>
            </w:r>
          </w:p>
        </w:tc>
        <w:tc>
          <w:tcPr>
            <w:tcW w:w="1517" w:type="dxa"/>
            <w:vAlign w:val="center"/>
            <w:hideMark/>
          </w:tcPr>
          <w:p w14:paraId="6F768AF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9401521</w:t>
            </w:r>
          </w:p>
        </w:tc>
        <w:tc>
          <w:tcPr>
            <w:tcW w:w="993" w:type="dxa"/>
            <w:vAlign w:val="center"/>
            <w:hideMark/>
          </w:tcPr>
          <w:p w14:paraId="31BD97D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5.8829</w:t>
            </w:r>
          </w:p>
        </w:tc>
        <w:tc>
          <w:tcPr>
            <w:tcW w:w="1559" w:type="dxa"/>
            <w:vAlign w:val="center"/>
            <w:hideMark/>
          </w:tcPr>
          <w:p w14:paraId="517808C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6037601</w:t>
            </w:r>
          </w:p>
        </w:tc>
        <w:tc>
          <w:tcPr>
            <w:tcW w:w="992" w:type="dxa"/>
            <w:vAlign w:val="center"/>
            <w:hideMark/>
          </w:tcPr>
          <w:p w14:paraId="04F567B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10.7715</w:t>
            </w:r>
          </w:p>
        </w:tc>
        <w:tc>
          <w:tcPr>
            <w:tcW w:w="1985" w:type="dxa"/>
            <w:vAlign w:val="center"/>
            <w:hideMark/>
          </w:tcPr>
          <w:p w14:paraId="55981AB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8.3271</w:t>
            </w:r>
          </w:p>
        </w:tc>
      </w:tr>
      <w:tr w:rsidR="0038163E" w:rsidRPr="00767C21" w14:paraId="75382636" w14:textId="77777777" w:rsidTr="00767C21">
        <w:trPr>
          <w:trHeight w:val="57"/>
          <w:jc w:val="center"/>
        </w:trPr>
        <w:tc>
          <w:tcPr>
            <w:tcW w:w="0" w:type="auto"/>
            <w:vAlign w:val="center"/>
            <w:hideMark/>
          </w:tcPr>
          <w:p w14:paraId="56F3E80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w:t>
            </w:r>
          </w:p>
        </w:tc>
        <w:tc>
          <w:tcPr>
            <w:tcW w:w="0" w:type="auto"/>
            <w:vAlign w:val="center"/>
            <w:hideMark/>
          </w:tcPr>
          <w:p w14:paraId="66190AA4"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Tripura</w:t>
            </w:r>
          </w:p>
        </w:tc>
        <w:tc>
          <w:tcPr>
            <w:tcW w:w="1517" w:type="dxa"/>
            <w:vAlign w:val="center"/>
            <w:hideMark/>
          </w:tcPr>
          <w:p w14:paraId="69BA14F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894304</w:t>
            </w:r>
          </w:p>
        </w:tc>
        <w:tc>
          <w:tcPr>
            <w:tcW w:w="993" w:type="dxa"/>
            <w:vAlign w:val="center"/>
            <w:hideMark/>
          </w:tcPr>
          <w:p w14:paraId="22C303FA"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0.5596</w:t>
            </w:r>
          </w:p>
        </w:tc>
        <w:tc>
          <w:tcPr>
            <w:tcW w:w="1559" w:type="dxa"/>
            <w:vAlign w:val="center"/>
            <w:hideMark/>
          </w:tcPr>
          <w:p w14:paraId="2E7C42CC"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146089</w:t>
            </w:r>
          </w:p>
        </w:tc>
        <w:tc>
          <w:tcPr>
            <w:tcW w:w="992" w:type="dxa"/>
            <w:vAlign w:val="center"/>
            <w:hideMark/>
          </w:tcPr>
          <w:p w14:paraId="701B4FB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0.2606</w:t>
            </w:r>
          </w:p>
        </w:tc>
        <w:tc>
          <w:tcPr>
            <w:tcW w:w="1985" w:type="dxa"/>
            <w:vAlign w:val="center"/>
            <w:hideMark/>
          </w:tcPr>
          <w:p w14:paraId="62CD335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0.4101</w:t>
            </w:r>
          </w:p>
        </w:tc>
      </w:tr>
      <w:tr w:rsidR="0038163E" w:rsidRPr="00767C21" w14:paraId="34B8677B" w14:textId="77777777" w:rsidTr="00767C21">
        <w:trPr>
          <w:trHeight w:val="57"/>
          <w:jc w:val="center"/>
        </w:trPr>
        <w:tc>
          <w:tcPr>
            <w:tcW w:w="0" w:type="auto"/>
            <w:vAlign w:val="center"/>
            <w:hideMark/>
          </w:tcPr>
          <w:p w14:paraId="061EE50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w:t>
            </w:r>
          </w:p>
        </w:tc>
        <w:tc>
          <w:tcPr>
            <w:tcW w:w="0" w:type="auto"/>
            <w:vAlign w:val="center"/>
            <w:hideMark/>
          </w:tcPr>
          <w:p w14:paraId="6A43DC62"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Uttar Pradesh</w:t>
            </w:r>
          </w:p>
        </w:tc>
        <w:tc>
          <w:tcPr>
            <w:tcW w:w="1517" w:type="dxa"/>
            <w:vAlign w:val="center"/>
            <w:hideMark/>
          </w:tcPr>
          <w:p w14:paraId="486A7BF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23686044</w:t>
            </w:r>
          </w:p>
        </w:tc>
        <w:tc>
          <w:tcPr>
            <w:tcW w:w="993" w:type="dxa"/>
            <w:vAlign w:val="center"/>
            <w:hideMark/>
          </w:tcPr>
          <w:p w14:paraId="3822567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14.8211</w:t>
            </w:r>
          </w:p>
        </w:tc>
        <w:tc>
          <w:tcPr>
            <w:tcW w:w="1559" w:type="dxa"/>
            <w:vAlign w:val="center"/>
            <w:hideMark/>
          </w:tcPr>
          <w:p w14:paraId="185C2C1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5177074</w:t>
            </w:r>
          </w:p>
        </w:tc>
        <w:tc>
          <w:tcPr>
            <w:tcW w:w="992" w:type="dxa"/>
            <w:vAlign w:val="center"/>
            <w:hideMark/>
          </w:tcPr>
          <w:p w14:paraId="2314107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9.2362</w:t>
            </w:r>
          </w:p>
        </w:tc>
        <w:tc>
          <w:tcPr>
            <w:tcW w:w="1985" w:type="dxa"/>
            <w:vAlign w:val="center"/>
            <w:hideMark/>
          </w:tcPr>
          <w:p w14:paraId="53C7D80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12.0287</w:t>
            </w:r>
          </w:p>
        </w:tc>
      </w:tr>
      <w:tr w:rsidR="0038163E" w:rsidRPr="00767C21" w14:paraId="3C363F62" w14:textId="77777777" w:rsidTr="00767C21">
        <w:trPr>
          <w:trHeight w:val="57"/>
          <w:jc w:val="center"/>
        </w:trPr>
        <w:tc>
          <w:tcPr>
            <w:tcW w:w="0" w:type="auto"/>
            <w:vAlign w:val="center"/>
            <w:hideMark/>
          </w:tcPr>
          <w:p w14:paraId="21669DB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lastRenderedPageBreak/>
              <w:t>25.</w:t>
            </w:r>
          </w:p>
        </w:tc>
        <w:tc>
          <w:tcPr>
            <w:tcW w:w="0" w:type="auto"/>
            <w:vAlign w:val="center"/>
            <w:hideMark/>
          </w:tcPr>
          <w:p w14:paraId="78BD72FB"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sz w:val="16"/>
                <w:szCs w:val="16"/>
              </w:rPr>
              <w:t>West Bengal</w:t>
            </w:r>
          </w:p>
        </w:tc>
        <w:tc>
          <w:tcPr>
            <w:tcW w:w="1517" w:type="dxa"/>
            <w:vAlign w:val="center"/>
            <w:hideMark/>
          </w:tcPr>
          <w:p w14:paraId="16F110E8"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15071440</w:t>
            </w:r>
          </w:p>
        </w:tc>
        <w:tc>
          <w:tcPr>
            <w:tcW w:w="993" w:type="dxa"/>
            <w:vAlign w:val="center"/>
            <w:hideMark/>
          </w:tcPr>
          <w:p w14:paraId="3922425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9.4306</w:t>
            </w:r>
          </w:p>
        </w:tc>
        <w:tc>
          <w:tcPr>
            <w:tcW w:w="1559" w:type="dxa"/>
            <w:vAlign w:val="center"/>
            <w:hideMark/>
          </w:tcPr>
          <w:p w14:paraId="7258B87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3891531</w:t>
            </w:r>
          </w:p>
        </w:tc>
        <w:tc>
          <w:tcPr>
            <w:tcW w:w="992" w:type="dxa"/>
            <w:vAlign w:val="center"/>
            <w:hideMark/>
          </w:tcPr>
          <w:p w14:paraId="50A9561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6.9427</w:t>
            </w:r>
          </w:p>
        </w:tc>
        <w:tc>
          <w:tcPr>
            <w:tcW w:w="1985" w:type="dxa"/>
            <w:vAlign w:val="center"/>
            <w:hideMark/>
          </w:tcPr>
          <w:p w14:paraId="0B57A3D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8.1867</w:t>
            </w:r>
          </w:p>
        </w:tc>
      </w:tr>
      <w:tr w:rsidR="0038163E" w:rsidRPr="00767C21" w14:paraId="6CC5F16B" w14:textId="77777777" w:rsidTr="00767C21">
        <w:trPr>
          <w:trHeight w:val="57"/>
          <w:jc w:val="center"/>
        </w:trPr>
        <w:tc>
          <w:tcPr>
            <w:tcW w:w="0" w:type="auto"/>
            <w:vAlign w:val="center"/>
            <w:hideMark/>
          </w:tcPr>
          <w:p w14:paraId="082A743D" w14:textId="77777777" w:rsidR="0038163E" w:rsidRPr="00767C21" w:rsidRDefault="0038163E" w:rsidP="008A4F60">
            <w:pPr>
              <w:pStyle w:val="NoSpacing"/>
              <w:jc w:val="center"/>
              <w:rPr>
                <w:rFonts w:ascii="Times New Roman" w:hAnsi="Times New Roman" w:cs="Times New Roman"/>
                <w:sz w:val="16"/>
                <w:szCs w:val="16"/>
              </w:rPr>
            </w:pPr>
          </w:p>
        </w:tc>
        <w:tc>
          <w:tcPr>
            <w:tcW w:w="0" w:type="auto"/>
            <w:vAlign w:val="center"/>
            <w:hideMark/>
          </w:tcPr>
          <w:p w14:paraId="5FB9EF45"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b/>
                <w:bCs/>
                <w:sz w:val="16"/>
                <w:szCs w:val="16"/>
              </w:rPr>
              <w:t>All States</w:t>
            </w:r>
          </w:p>
        </w:tc>
        <w:tc>
          <w:tcPr>
            <w:tcW w:w="1517" w:type="dxa"/>
            <w:vAlign w:val="center"/>
            <w:hideMark/>
          </w:tcPr>
          <w:p w14:paraId="7B1D233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158374791</w:t>
            </w:r>
          </w:p>
        </w:tc>
        <w:tc>
          <w:tcPr>
            <w:tcW w:w="993" w:type="dxa"/>
            <w:vAlign w:val="center"/>
            <w:hideMark/>
          </w:tcPr>
          <w:p w14:paraId="27DD36E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99.0998</w:t>
            </w:r>
          </w:p>
        </w:tc>
        <w:tc>
          <w:tcPr>
            <w:tcW w:w="1559" w:type="dxa"/>
            <w:vAlign w:val="center"/>
            <w:hideMark/>
          </w:tcPr>
          <w:p w14:paraId="6C8FCC5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55971484</w:t>
            </w:r>
          </w:p>
        </w:tc>
        <w:tc>
          <w:tcPr>
            <w:tcW w:w="992" w:type="dxa"/>
            <w:vAlign w:val="center"/>
            <w:hideMark/>
          </w:tcPr>
          <w:p w14:paraId="639E83E3"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99.8568</w:t>
            </w:r>
          </w:p>
        </w:tc>
        <w:tc>
          <w:tcPr>
            <w:tcW w:w="1985" w:type="dxa"/>
            <w:vAlign w:val="center"/>
            <w:hideMark/>
          </w:tcPr>
          <w:p w14:paraId="53367F7E"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99.4783</w:t>
            </w:r>
          </w:p>
        </w:tc>
      </w:tr>
      <w:tr w:rsidR="0038163E" w:rsidRPr="00767C21" w14:paraId="525D3AC4" w14:textId="77777777" w:rsidTr="00767C21">
        <w:trPr>
          <w:trHeight w:val="57"/>
          <w:jc w:val="center"/>
        </w:trPr>
        <w:tc>
          <w:tcPr>
            <w:tcW w:w="0" w:type="auto"/>
            <w:vAlign w:val="center"/>
            <w:hideMark/>
          </w:tcPr>
          <w:p w14:paraId="00CB7E40" w14:textId="77777777" w:rsidR="0038163E" w:rsidRPr="00767C21" w:rsidRDefault="0038163E" w:rsidP="008A4F60">
            <w:pPr>
              <w:pStyle w:val="NoSpacing"/>
              <w:jc w:val="center"/>
              <w:rPr>
                <w:rFonts w:ascii="Times New Roman" w:hAnsi="Times New Roman" w:cs="Times New Roman"/>
                <w:sz w:val="16"/>
                <w:szCs w:val="16"/>
              </w:rPr>
            </w:pPr>
          </w:p>
        </w:tc>
        <w:tc>
          <w:tcPr>
            <w:tcW w:w="0" w:type="auto"/>
            <w:vAlign w:val="center"/>
            <w:hideMark/>
          </w:tcPr>
          <w:p w14:paraId="19B711C7"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b/>
                <w:bCs/>
                <w:sz w:val="16"/>
                <w:szCs w:val="16"/>
              </w:rPr>
              <w:t>Union Territories</w:t>
            </w:r>
          </w:p>
        </w:tc>
        <w:tc>
          <w:tcPr>
            <w:tcW w:w="1517" w:type="dxa"/>
            <w:vAlign w:val="center"/>
            <w:hideMark/>
          </w:tcPr>
          <w:p w14:paraId="1F31BF6F"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1438620</w:t>
            </w:r>
          </w:p>
        </w:tc>
        <w:tc>
          <w:tcPr>
            <w:tcW w:w="993" w:type="dxa"/>
            <w:vAlign w:val="center"/>
            <w:hideMark/>
          </w:tcPr>
          <w:p w14:paraId="5289D6E2"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0.9002</w:t>
            </w:r>
          </w:p>
        </w:tc>
        <w:tc>
          <w:tcPr>
            <w:tcW w:w="1559" w:type="dxa"/>
            <w:vAlign w:val="center"/>
            <w:hideMark/>
          </w:tcPr>
          <w:p w14:paraId="0D057E39"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80259</w:t>
            </w:r>
          </w:p>
        </w:tc>
        <w:tc>
          <w:tcPr>
            <w:tcW w:w="992" w:type="dxa"/>
            <w:vAlign w:val="center"/>
            <w:hideMark/>
          </w:tcPr>
          <w:p w14:paraId="26C811E6"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0.1432</w:t>
            </w:r>
          </w:p>
        </w:tc>
        <w:tc>
          <w:tcPr>
            <w:tcW w:w="1985" w:type="dxa"/>
            <w:vAlign w:val="center"/>
            <w:hideMark/>
          </w:tcPr>
          <w:p w14:paraId="64635914"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0.5217</w:t>
            </w:r>
          </w:p>
        </w:tc>
      </w:tr>
      <w:tr w:rsidR="0038163E" w:rsidRPr="00767C21" w14:paraId="3B423F3D" w14:textId="77777777" w:rsidTr="00767C21">
        <w:trPr>
          <w:trHeight w:val="57"/>
          <w:jc w:val="center"/>
        </w:trPr>
        <w:tc>
          <w:tcPr>
            <w:tcW w:w="0" w:type="auto"/>
            <w:vAlign w:val="center"/>
            <w:hideMark/>
          </w:tcPr>
          <w:p w14:paraId="5DA45D9F" w14:textId="77777777" w:rsidR="0038163E" w:rsidRPr="00767C21" w:rsidRDefault="0038163E" w:rsidP="008A4F60">
            <w:pPr>
              <w:pStyle w:val="NoSpacing"/>
              <w:jc w:val="center"/>
              <w:rPr>
                <w:rFonts w:ascii="Times New Roman" w:hAnsi="Times New Roman" w:cs="Times New Roman"/>
                <w:sz w:val="16"/>
                <w:szCs w:val="16"/>
              </w:rPr>
            </w:pPr>
          </w:p>
        </w:tc>
        <w:tc>
          <w:tcPr>
            <w:tcW w:w="0" w:type="auto"/>
            <w:vAlign w:val="center"/>
            <w:hideMark/>
          </w:tcPr>
          <w:p w14:paraId="05A89699" w14:textId="77777777" w:rsidR="0038163E" w:rsidRPr="00767C21" w:rsidRDefault="0038163E" w:rsidP="008A4F60">
            <w:pPr>
              <w:pStyle w:val="NoSpacing"/>
              <w:rPr>
                <w:rFonts w:ascii="Times New Roman" w:hAnsi="Times New Roman" w:cs="Times New Roman"/>
                <w:sz w:val="16"/>
                <w:szCs w:val="16"/>
              </w:rPr>
            </w:pPr>
            <w:r w:rsidRPr="00767C21">
              <w:rPr>
                <w:rFonts w:ascii="Times New Roman" w:hAnsi="Times New Roman" w:cs="Times New Roman"/>
                <w:b/>
                <w:bCs/>
                <w:sz w:val="16"/>
                <w:szCs w:val="16"/>
              </w:rPr>
              <w:t>All India</w:t>
            </w:r>
          </w:p>
        </w:tc>
        <w:tc>
          <w:tcPr>
            <w:tcW w:w="1517" w:type="dxa"/>
            <w:vAlign w:val="center"/>
            <w:hideMark/>
          </w:tcPr>
          <w:p w14:paraId="2FA62C65"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159813411</w:t>
            </w:r>
          </w:p>
        </w:tc>
        <w:tc>
          <w:tcPr>
            <w:tcW w:w="993" w:type="dxa"/>
            <w:vAlign w:val="center"/>
            <w:hideMark/>
          </w:tcPr>
          <w:p w14:paraId="1501FD1B"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100.0000</w:t>
            </w:r>
          </w:p>
        </w:tc>
        <w:tc>
          <w:tcPr>
            <w:tcW w:w="1559" w:type="dxa"/>
            <w:vAlign w:val="center"/>
            <w:hideMark/>
          </w:tcPr>
          <w:p w14:paraId="0857A331"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56051743</w:t>
            </w:r>
          </w:p>
        </w:tc>
        <w:tc>
          <w:tcPr>
            <w:tcW w:w="992" w:type="dxa"/>
            <w:vAlign w:val="center"/>
            <w:hideMark/>
          </w:tcPr>
          <w:p w14:paraId="251C52FD"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100.0000</w:t>
            </w:r>
          </w:p>
        </w:tc>
        <w:tc>
          <w:tcPr>
            <w:tcW w:w="1985" w:type="dxa"/>
            <w:vAlign w:val="center"/>
            <w:hideMark/>
          </w:tcPr>
          <w:p w14:paraId="4AA872A0" w14:textId="77777777" w:rsidR="0038163E" w:rsidRPr="00767C21" w:rsidRDefault="0038163E" w:rsidP="008A4F60">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100.0000</w:t>
            </w:r>
          </w:p>
        </w:tc>
      </w:tr>
    </w:tbl>
    <w:p w14:paraId="4114D70A" w14:textId="77777777" w:rsidR="00767C21" w:rsidRDefault="00767C21" w:rsidP="00BA5D99">
      <w:pPr>
        <w:pStyle w:val="Heading2"/>
        <w:rPr>
          <w:sz w:val="20"/>
          <w:szCs w:val="20"/>
        </w:rPr>
      </w:pPr>
      <w:bookmarkStart w:id="99" w:name="_Toc221293007"/>
    </w:p>
    <w:p w14:paraId="4CEA50EA" w14:textId="2E0CEE0B" w:rsidR="00A10B88" w:rsidRPr="00D42ADC" w:rsidRDefault="00A10B88" w:rsidP="00BA5D99">
      <w:pPr>
        <w:pStyle w:val="Heading2"/>
        <w:rPr>
          <w:sz w:val="20"/>
          <w:szCs w:val="20"/>
        </w:rPr>
      </w:pPr>
      <w:bookmarkStart w:id="100" w:name="_Toc222399498"/>
      <w:r w:rsidRPr="00D42ADC">
        <w:rPr>
          <w:sz w:val="20"/>
          <w:szCs w:val="20"/>
        </w:rPr>
        <w:t>ANNEXURE V.3</w:t>
      </w:r>
      <w:r w:rsidR="00BA5D99" w:rsidRPr="00D42ADC">
        <w:rPr>
          <w:sz w:val="20"/>
          <w:szCs w:val="20"/>
        </w:rPr>
        <w:t>8</w:t>
      </w:r>
      <w:r w:rsidR="00BA5D99" w:rsidRPr="00D42ADC">
        <w:rPr>
          <w:sz w:val="20"/>
          <w:szCs w:val="20"/>
        </w:rPr>
        <w:br/>
      </w:r>
      <w:r w:rsidRPr="00D42ADC">
        <w:rPr>
          <w:sz w:val="20"/>
          <w:szCs w:val="20"/>
        </w:rPr>
        <w:t xml:space="preserve">Composite Index </w:t>
      </w:r>
      <w:proofErr w:type="gramStart"/>
      <w:r w:rsidRPr="00D42ADC">
        <w:rPr>
          <w:sz w:val="20"/>
          <w:szCs w:val="20"/>
        </w:rPr>
        <w:t>Of</w:t>
      </w:r>
      <w:proofErr w:type="gramEnd"/>
      <w:r w:rsidRPr="00D42ADC">
        <w:rPr>
          <w:sz w:val="20"/>
          <w:szCs w:val="20"/>
        </w:rPr>
        <w:t xml:space="preserve"> Backwardness (All States)</w:t>
      </w:r>
      <w:bookmarkEnd w:id="99"/>
      <w:bookmarkEnd w:id="100"/>
    </w:p>
    <w:p w14:paraId="5D980B79" w14:textId="2CFD08E2" w:rsidR="00BA5D99" w:rsidRPr="00D42ADC" w:rsidRDefault="00BA5D99" w:rsidP="00D42ADC">
      <w:pPr>
        <w:spacing w:after="0"/>
        <w:jc w:val="center"/>
        <w:rPr>
          <w:rFonts w:ascii="Times New Roman" w:hAnsi="Times New Roman" w:cs="Times New Roman"/>
          <w:sz w:val="18"/>
          <w:szCs w:val="16"/>
        </w:rPr>
      </w:pPr>
      <w:r w:rsidRPr="00D42ADC">
        <w:rPr>
          <w:rFonts w:ascii="Times New Roman" w:hAnsi="Times New Roman" w:cs="Times New Roman"/>
          <w:sz w:val="18"/>
          <w:szCs w:val="16"/>
        </w:rPr>
        <w:t>(Para 5.10)</w:t>
      </w:r>
    </w:p>
    <w:tbl>
      <w:tblPr>
        <w:tblStyle w:val="TableGrid"/>
        <w:tblW w:w="8926" w:type="dxa"/>
        <w:jc w:val="center"/>
        <w:tblLook w:val="04A0" w:firstRow="1" w:lastRow="0" w:firstColumn="1" w:lastColumn="0" w:noHBand="0" w:noVBand="1"/>
      </w:tblPr>
      <w:tblGrid>
        <w:gridCol w:w="416"/>
        <w:gridCol w:w="1489"/>
        <w:gridCol w:w="1492"/>
        <w:gridCol w:w="993"/>
        <w:gridCol w:w="1559"/>
        <w:gridCol w:w="992"/>
        <w:gridCol w:w="1985"/>
      </w:tblGrid>
      <w:tr w:rsidR="00A10B88" w:rsidRPr="00767C21" w14:paraId="7B74C3FC" w14:textId="77777777" w:rsidTr="00767C21">
        <w:trPr>
          <w:trHeight w:val="20"/>
          <w:jc w:val="center"/>
        </w:trPr>
        <w:tc>
          <w:tcPr>
            <w:tcW w:w="0" w:type="auto"/>
            <w:vAlign w:val="center"/>
            <w:hideMark/>
          </w:tcPr>
          <w:p w14:paraId="542EF9DF" w14:textId="77777777" w:rsidR="00A10B88" w:rsidRPr="00767C21" w:rsidRDefault="00A10B88" w:rsidP="00BA5D99">
            <w:pPr>
              <w:pStyle w:val="NoSpacing"/>
              <w:jc w:val="center"/>
              <w:rPr>
                <w:rFonts w:ascii="Times New Roman" w:hAnsi="Times New Roman" w:cs="Times New Roman"/>
                <w:sz w:val="16"/>
                <w:szCs w:val="16"/>
              </w:rPr>
            </w:pPr>
          </w:p>
        </w:tc>
        <w:tc>
          <w:tcPr>
            <w:tcW w:w="0" w:type="auto"/>
            <w:vAlign w:val="center"/>
            <w:hideMark/>
          </w:tcPr>
          <w:p w14:paraId="2934CA30" w14:textId="77777777" w:rsidR="00A10B88" w:rsidRPr="00767C21" w:rsidRDefault="00A10B88" w:rsidP="00BA5D99">
            <w:pPr>
              <w:pStyle w:val="NoSpacing"/>
              <w:rPr>
                <w:rFonts w:ascii="Times New Roman" w:hAnsi="Times New Roman" w:cs="Times New Roman"/>
                <w:b/>
                <w:bCs/>
                <w:sz w:val="16"/>
                <w:szCs w:val="16"/>
              </w:rPr>
            </w:pPr>
            <w:r w:rsidRPr="00767C21">
              <w:rPr>
                <w:rFonts w:ascii="Times New Roman" w:hAnsi="Times New Roman" w:cs="Times New Roman"/>
                <w:b/>
                <w:bCs/>
                <w:sz w:val="16"/>
                <w:szCs w:val="16"/>
              </w:rPr>
              <w:t>States</w:t>
            </w:r>
          </w:p>
        </w:tc>
        <w:tc>
          <w:tcPr>
            <w:tcW w:w="1492" w:type="dxa"/>
            <w:vAlign w:val="center"/>
            <w:hideMark/>
          </w:tcPr>
          <w:p w14:paraId="693D55AC" w14:textId="77777777" w:rsidR="00A10B88" w:rsidRPr="00767C21" w:rsidRDefault="00A10B88" w:rsidP="00BA5D99">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SC/ST Population 1981</w:t>
            </w:r>
          </w:p>
        </w:tc>
        <w:tc>
          <w:tcPr>
            <w:tcW w:w="993" w:type="dxa"/>
            <w:vAlign w:val="center"/>
            <w:hideMark/>
          </w:tcPr>
          <w:p w14:paraId="710C9733" w14:textId="77777777" w:rsidR="00A10B88" w:rsidRPr="00767C21" w:rsidRDefault="00A10B88" w:rsidP="00BA5D99">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Relative Shares</w:t>
            </w:r>
          </w:p>
        </w:tc>
        <w:tc>
          <w:tcPr>
            <w:tcW w:w="1559" w:type="dxa"/>
            <w:vAlign w:val="center"/>
            <w:hideMark/>
          </w:tcPr>
          <w:p w14:paraId="0B117911" w14:textId="77777777" w:rsidR="00A10B88" w:rsidRPr="00767C21" w:rsidRDefault="00A10B88" w:rsidP="00BA5D99">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Agricultural Labourers 1981</w:t>
            </w:r>
          </w:p>
        </w:tc>
        <w:tc>
          <w:tcPr>
            <w:tcW w:w="992" w:type="dxa"/>
            <w:vAlign w:val="center"/>
            <w:hideMark/>
          </w:tcPr>
          <w:p w14:paraId="385E2644" w14:textId="77777777" w:rsidR="00A10B88" w:rsidRPr="00767C21" w:rsidRDefault="00A10B88" w:rsidP="00BA5D99">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Relative Shares</w:t>
            </w:r>
          </w:p>
        </w:tc>
        <w:tc>
          <w:tcPr>
            <w:tcW w:w="1985" w:type="dxa"/>
            <w:vAlign w:val="center"/>
            <w:hideMark/>
          </w:tcPr>
          <w:p w14:paraId="0EEED52C" w14:textId="77777777" w:rsidR="00A10B88" w:rsidRPr="00767C21" w:rsidRDefault="00A10B88" w:rsidP="00BA5D99">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Weighted (Combined) Relative Shares</w:t>
            </w:r>
          </w:p>
        </w:tc>
      </w:tr>
      <w:tr w:rsidR="00A10B88" w:rsidRPr="00767C21" w14:paraId="24E6A728" w14:textId="77777777" w:rsidTr="00767C21">
        <w:trPr>
          <w:trHeight w:val="20"/>
          <w:jc w:val="center"/>
        </w:trPr>
        <w:tc>
          <w:tcPr>
            <w:tcW w:w="0" w:type="auto"/>
            <w:vAlign w:val="center"/>
            <w:hideMark/>
          </w:tcPr>
          <w:p w14:paraId="498F93EE" w14:textId="77777777" w:rsidR="00A10B88" w:rsidRPr="00767C21" w:rsidRDefault="00A10B88" w:rsidP="00BA5D99">
            <w:pPr>
              <w:pStyle w:val="NoSpacing"/>
              <w:jc w:val="center"/>
              <w:rPr>
                <w:rFonts w:ascii="Times New Roman" w:hAnsi="Times New Roman" w:cs="Times New Roman"/>
                <w:b/>
                <w:bCs/>
                <w:sz w:val="16"/>
                <w:szCs w:val="16"/>
              </w:rPr>
            </w:pPr>
          </w:p>
        </w:tc>
        <w:tc>
          <w:tcPr>
            <w:tcW w:w="0" w:type="auto"/>
            <w:vAlign w:val="center"/>
            <w:hideMark/>
          </w:tcPr>
          <w:p w14:paraId="242AF531"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b/>
                <w:bCs/>
                <w:sz w:val="16"/>
                <w:szCs w:val="16"/>
              </w:rPr>
              <w:t>(1)</w:t>
            </w:r>
          </w:p>
        </w:tc>
        <w:tc>
          <w:tcPr>
            <w:tcW w:w="1492" w:type="dxa"/>
            <w:vAlign w:val="center"/>
            <w:hideMark/>
          </w:tcPr>
          <w:p w14:paraId="1F0D2993"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(2)</w:t>
            </w:r>
          </w:p>
        </w:tc>
        <w:tc>
          <w:tcPr>
            <w:tcW w:w="993" w:type="dxa"/>
            <w:vAlign w:val="center"/>
            <w:hideMark/>
          </w:tcPr>
          <w:p w14:paraId="5700BEE6"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(3)</w:t>
            </w:r>
          </w:p>
        </w:tc>
        <w:tc>
          <w:tcPr>
            <w:tcW w:w="1559" w:type="dxa"/>
            <w:vAlign w:val="center"/>
            <w:hideMark/>
          </w:tcPr>
          <w:p w14:paraId="52A856DE"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(4)</w:t>
            </w:r>
          </w:p>
        </w:tc>
        <w:tc>
          <w:tcPr>
            <w:tcW w:w="992" w:type="dxa"/>
            <w:vAlign w:val="center"/>
            <w:hideMark/>
          </w:tcPr>
          <w:p w14:paraId="1F197045"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(5)</w:t>
            </w:r>
          </w:p>
        </w:tc>
        <w:tc>
          <w:tcPr>
            <w:tcW w:w="1985" w:type="dxa"/>
            <w:vAlign w:val="center"/>
            <w:hideMark/>
          </w:tcPr>
          <w:p w14:paraId="2DF4D6F1"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(6)</w:t>
            </w:r>
          </w:p>
        </w:tc>
      </w:tr>
      <w:tr w:rsidR="00A10B88" w:rsidRPr="00767C21" w14:paraId="6300AABA" w14:textId="77777777" w:rsidTr="00767C21">
        <w:trPr>
          <w:trHeight w:val="20"/>
          <w:jc w:val="center"/>
        </w:trPr>
        <w:tc>
          <w:tcPr>
            <w:tcW w:w="0" w:type="auto"/>
            <w:vAlign w:val="center"/>
            <w:hideMark/>
          </w:tcPr>
          <w:p w14:paraId="3FA76792"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w:t>
            </w:r>
          </w:p>
        </w:tc>
        <w:tc>
          <w:tcPr>
            <w:tcW w:w="0" w:type="auto"/>
            <w:vAlign w:val="center"/>
            <w:hideMark/>
          </w:tcPr>
          <w:p w14:paraId="143D352B"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Andhra Pradesh</w:t>
            </w:r>
          </w:p>
        </w:tc>
        <w:tc>
          <w:tcPr>
            <w:tcW w:w="1492" w:type="dxa"/>
            <w:vAlign w:val="center"/>
            <w:hideMark/>
          </w:tcPr>
          <w:p w14:paraId="0B2D6008"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11137731</w:t>
            </w:r>
          </w:p>
        </w:tc>
        <w:tc>
          <w:tcPr>
            <w:tcW w:w="993" w:type="dxa"/>
            <w:vAlign w:val="center"/>
            <w:hideMark/>
          </w:tcPr>
          <w:p w14:paraId="66C9C93A"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7.0325</w:t>
            </w:r>
          </w:p>
        </w:tc>
        <w:tc>
          <w:tcPr>
            <w:tcW w:w="1559" w:type="dxa"/>
            <w:vAlign w:val="center"/>
            <w:hideMark/>
          </w:tcPr>
          <w:p w14:paraId="6639AA5B"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8325017</w:t>
            </w:r>
          </w:p>
        </w:tc>
        <w:tc>
          <w:tcPr>
            <w:tcW w:w="992" w:type="dxa"/>
            <w:vAlign w:val="center"/>
            <w:hideMark/>
          </w:tcPr>
          <w:p w14:paraId="4D4961AA"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14.8737</w:t>
            </w:r>
          </w:p>
        </w:tc>
        <w:tc>
          <w:tcPr>
            <w:tcW w:w="1985" w:type="dxa"/>
            <w:vAlign w:val="center"/>
            <w:hideMark/>
          </w:tcPr>
          <w:p w14:paraId="1334933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10.9531</w:t>
            </w:r>
          </w:p>
        </w:tc>
      </w:tr>
      <w:tr w:rsidR="00A10B88" w:rsidRPr="00767C21" w14:paraId="6603BC05" w14:textId="77777777" w:rsidTr="00767C21">
        <w:trPr>
          <w:trHeight w:val="20"/>
          <w:jc w:val="center"/>
        </w:trPr>
        <w:tc>
          <w:tcPr>
            <w:tcW w:w="0" w:type="auto"/>
            <w:vAlign w:val="center"/>
            <w:hideMark/>
          </w:tcPr>
          <w:p w14:paraId="2BA2842D"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w:t>
            </w:r>
          </w:p>
        </w:tc>
        <w:tc>
          <w:tcPr>
            <w:tcW w:w="0" w:type="auto"/>
            <w:vAlign w:val="center"/>
            <w:hideMark/>
          </w:tcPr>
          <w:p w14:paraId="14B58DB0"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Arunachal Pradesh</w:t>
            </w:r>
          </w:p>
        </w:tc>
        <w:tc>
          <w:tcPr>
            <w:tcW w:w="1492" w:type="dxa"/>
            <w:vAlign w:val="center"/>
            <w:hideMark/>
          </w:tcPr>
          <w:p w14:paraId="14095C87"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444086</w:t>
            </w:r>
          </w:p>
        </w:tc>
        <w:tc>
          <w:tcPr>
            <w:tcW w:w="993" w:type="dxa"/>
            <w:vAlign w:val="center"/>
            <w:hideMark/>
          </w:tcPr>
          <w:p w14:paraId="462F546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0.2804</w:t>
            </w:r>
          </w:p>
        </w:tc>
        <w:tc>
          <w:tcPr>
            <w:tcW w:w="1559" w:type="dxa"/>
            <w:vAlign w:val="center"/>
            <w:hideMark/>
          </w:tcPr>
          <w:p w14:paraId="20C4BC98"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7796</w:t>
            </w:r>
          </w:p>
        </w:tc>
        <w:tc>
          <w:tcPr>
            <w:tcW w:w="992" w:type="dxa"/>
            <w:vAlign w:val="center"/>
            <w:hideMark/>
          </w:tcPr>
          <w:p w14:paraId="3683E54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0.0139</w:t>
            </w:r>
          </w:p>
        </w:tc>
        <w:tc>
          <w:tcPr>
            <w:tcW w:w="1985" w:type="dxa"/>
            <w:vAlign w:val="center"/>
            <w:hideMark/>
          </w:tcPr>
          <w:p w14:paraId="7CFF3791"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0.1472</w:t>
            </w:r>
          </w:p>
        </w:tc>
      </w:tr>
      <w:tr w:rsidR="00A10B88" w:rsidRPr="00767C21" w14:paraId="4AE04746" w14:textId="77777777" w:rsidTr="00767C21">
        <w:trPr>
          <w:trHeight w:val="20"/>
          <w:jc w:val="center"/>
        </w:trPr>
        <w:tc>
          <w:tcPr>
            <w:tcW w:w="0" w:type="auto"/>
            <w:vAlign w:val="center"/>
            <w:hideMark/>
          </w:tcPr>
          <w:p w14:paraId="3850FFE2"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w:t>
            </w:r>
          </w:p>
        </w:tc>
        <w:tc>
          <w:tcPr>
            <w:tcW w:w="0" w:type="auto"/>
            <w:vAlign w:val="center"/>
            <w:hideMark/>
          </w:tcPr>
          <w:p w14:paraId="16754271"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Assam</w:t>
            </w:r>
          </w:p>
        </w:tc>
        <w:tc>
          <w:tcPr>
            <w:tcW w:w="1492" w:type="dxa"/>
            <w:vAlign w:val="center"/>
            <w:hideMark/>
          </w:tcPr>
          <w:p w14:paraId="2B82AB8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3430150</w:t>
            </w:r>
          </w:p>
        </w:tc>
        <w:tc>
          <w:tcPr>
            <w:tcW w:w="993" w:type="dxa"/>
            <w:vAlign w:val="center"/>
            <w:hideMark/>
          </w:tcPr>
          <w:p w14:paraId="4EFA9ED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2.1658</w:t>
            </w:r>
          </w:p>
        </w:tc>
        <w:tc>
          <w:tcPr>
            <w:tcW w:w="1559" w:type="dxa"/>
            <w:vAlign w:val="center"/>
            <w:hideMark/>
          </w:tcPr>
          <w:p w14:paraId="7FACD80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552048</w:t>
            </w:r>
          </w:p>
        </w:tc>
        <w:tc>
          <w:tcPr>
            <w:tcW w:w="992" w:type="dxa"/>
            <w:vAlign w:val="center"/>
            <w:hideMark/>
          </w:tcPr>
          <w:p w14:paraId="24E76ACB"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0.9863</w:t>
            </w:r>
          </w:p>
        </w:tc>
        <w:tc>
          <w:tcPr>
            <w:tcW w:w="1985" w:type="dxa"/>
            <w:vAlign w:val="center"/>
            <w:hideMark/>
          </w:tcPr>
          <w:p w14:paraId="5CF8ABB6"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1.5761</w:t>
            </w:r>
          </w:p>
        </w:tc>
      </w:tr>
      <w:tr w:rsidR="00A10B88" w:rsidRPr="00767C21" w14:paraId="58A5B824" w14:textId="77777777" w:rsidTr="00767C21">
        <w:trPr>
          <w:trHeight w:val="20"/>
          <w:jc w:val="center"/>
        </w:trPr>
        <w:tc>
          <w:tcPr>
            <w:tcW w:w="0" w:type="auto"/>
            <w:vAlign w:val="center"/>
            <w:hideMark/>
          </w:tcPr>
          <w:p w14:paraId="191B2053"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w:t>
            </w:r>
          </w:p>
        </w:tc>
        <w:tc>
          <w:tcPr>
            <w:tcW w:w="0" w:type="auto"/>
            <w:vAlign w:val="center"/>
            <w:hideMark/>
          </w:tcPr>
          <w:p w14:paraId="40B3C61A"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Bihar</w:t>
            </w:r>
          </w:p>
        </w:tc>
        <w:tc>
          <w:tcPr>
            <w:tcW w:w="1492" w:type="dxa"/>
            <w:vAlign w:val="center"/>
            <w:hideMark/>
          </w:tcPr>
          <w:p w14:paraId="4BC3A4E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15953235</w:t>
            </w:r>
          </w:p>
        </w:tc>
        <w:tc>
          <w:tcPr>
            <w:tcW w:w="993" w:type="dxa"/>
            <w:vAlign w:val="center"/>
            <w:hideMark/>
          </w:tcPr>
          <w:p w14:paraId="2B99A9AD"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10.0731</w:t>
            </w:r>
          </w:p>
        </w:tc>
        <w:tc>
          <w:tcPr>
            <w:tcW w:w="1559" w:type="dxa"/>
            <w:vAlign w:val="center"/>
            <w:hideMark/>
          </w:tcPr>
          <w:p w14:paraId="410F2C7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7366973</w:t>
            </w:r>
          </w:p>
        </w:tc>
        <w:tc>
          <w:tcPr>
            <w:tcW w:w="992" w:type="dxa"/>
            <w:vAlign w:val="center"/>
            <w:hideMark/>
          </w:tcPr>
          <w:p w14:paraId="7E288F5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13.1620</w:t>
            </w:r>
          </w:p>
        </w:tc>
        <w:tc>
          <w:tcPr>
            <w:tcW w:w="1985" w:type="dxa"/>
            <w:vAlign w:val="center"/>
            <w:hideMark/>
          </w:tcPr>
          <w:p w14:paraId="750EECF7"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11.6176</w:t>
            </w:r>
          </w:p>
        </w:tc>
      </w:tr>
      <w:tr w:rsidR="00A10B88" w:rsidRPr="00767C21" w14:paraId="18A373C2" w14:textId="77777777" w:rsidTr="00767C21">
        <w:trPr>
          <w:trHeight w:val="20"/>
          <w:jc w:val="center"/>
        </w:trPr>
        <w:tc>
          <w:tcPr>
            <w:tcW w:w="0" w:type="auto"/>
            <w:vAlign w:val="center"/>
            <w:hideMark/>
          </w:tcPr>
          <w:p w14:paraId="68961305"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w:t>
            </w:r>
          </w:p>
        </w:tc>
        <w:tc>
          <w:tcPr>
            <w:tcW w:w="0" w:type="auto"/>
            <w:vAlign w:val="center"/>
            <w:hideMark/>
          </w:tcPr>
          <w:p w14:paraId="60648DC4"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Goa</w:t>
            </w:r>
          </w:p>
        </w:tc>
        <w:tc>
          <w:tcPr>
            <w:tcW w:w="1492" w:type="dxa"/>
            <w:vAlign w:val="center"/>
            <w:hideMark/>
          </w:tcPr>
          <w:p w14:paraId="0C9F8813"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21309</w:t>
            </w:r>
          </w:p>
        </w:tc>
        <w:tc>
          <w:tcPr>
            <w:tcW w:w="993" w:type="dxa"/>
            <w:vAlign w:val="center"/>
            <w:hideMark/>
          </w:tcPr>
          <w:p w14:paraId="5F33FBA5"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0.0135</w:t>
            </w:r>
          </w:p>
        </w:tc>
        <w:tc>
          <w:tcPr>
            <w:tcW w:w="1559" w:type="dxa"/>
            <w:vAlign w:val="center"/>
            <w:hideMark/>
          </w:tcPr>
          <w:p w14:paraId="6849D25D"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30556</w:t>
            </w:r>
          </w:p>
        </w:tc>
        <w:tc>
          <w:tcPr>
            <w:tcW w:w="992" w:type="dxa"/>
            <w:vAlign w:val="center"/>
            <w:hideMark/>
          </w:tcPr>
          <w:p w14:paraId="7318296D"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0.0546</w:t>
            </w:r>
          </w:p>
        </w:tc>
        <w:tc>
          <w:tcPr>
            <w:tcW w:w="1985" w:type="dxa"/>
            <w:vAlign w:val="center"/>
            <w:hideMark/>
          </w:tcPr>
          <w:p w14:paraId="00FA2D2B"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0.0340</w:t>
            </w:r>
          </w:p>
        </w:tc>
      </w:tr>
      <w:tr w:rsidR="00A10B88" w:rsidRPr="00767C21" w14:paraId="0087D176" w14:textId="77777777" w:rsidTr="00767C21">
        <w:trPr>
          <w:trHeight w:val="20"/>
          <w:jc w:val="center"/>
        </w:trPr>
        <w:tc>
          <w:tcPr>
            <w:tcW w:w="0" w:type="auto"/>
            <w:vAlign w:val="center"/>
            <w:hideMark/>
          </w:tcPr>
          <w:p w14:paraId="519CA89A"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w:t>
            </w:r>
          </w:p>
        </w:tc>
        <w:tc>
          <w:tcPr>
            <w:tcW w:w="0" w:type="auto"/>
            <w:vAlign w:val="center"/>
            <w:hideMark/>
          </w:tcPr>
          <w:p w14:paraId="01FCFA19"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Gujarat</w:t>
            </w:r>
          </w:p>
        </w:tc>
        <w:tc>
          <w:tcPr>
            <w:tcW w:w="1492" w:type="dxa"/>
            <w:vAlign w:val="center"/>
            <w:hideMark/>
          </w:tcPr>
          <w:p w14:paraId="61133A4A"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7286883</w:t>
            </w:r>
          </w:p>
        </w:tc>
        <w:tc>
          <w:tcPr>
            <w:tcW w:w="993" w:type="dxa"/>
            <w:vAlign w:val="center"/>
            <w:hideMark/>
          </w:tcPr>
          <w:p w14:paraId="39B02557"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4.6010</w:t>
            </w:r>
          </w:p>
        </w:tc>
        <w:tc>
          <w:tcPr>
            <w:tcW w:w="1559" w:type="dxa"/>
            <w:vAlign w:val="center"/>
            <w:hideMark/>
          </w:tcPr>
          <w:p w14:paraId="35956022"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2488300</w:t>
            </w:r>
          </w:p>
        </w:tc>
        <w:tc>
          <w:tcPr>
            <w:tcW w:w="992" w:type="dxa"/>
            <w:vAlign w:val="center"/>
            <w:hideMark/>
          </w:tcPr>
          <w:p w14:paraId="3E95D6E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4.4457</w:t>
            </w:r>
          </w:p>
        </w:tc>
        <w:tc>
          <w:tcPr>
            <w:tcW w:w="1985" w:type="dxa"/>
            <w:vAlign w:val="center"/>
            <w:hideMark/>
          </w:tcPr>
          <w:p w14:paraId="15628B5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4.5233</w:t>
            </w:r>
          </w:p>
        </w:tc>
      </w:tr>
      <w:tr w:rsidR="00A10B88" w:rsidRPr="00767C21" w14:paraId="4C788B0F" w14:textId="77777777" w:rsidTr="00767C21">
        <w:trPr>
          <w:trHeight w:val="20"/>
          <w:jc w:val="center"/>
        </w:trPr>
        <w:tc>
          <w:tcPr>
            <w:tcW w:w="0" w:type="auto"/>
            <w:vAlign w:val="center"/>
            <w:hideMark/>
          </w:tcPr>
          <w:p w14:paraId="757B5B5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w:t>
            </w:r>
          </w:p>
        </w:tc>
        <w:tc>
          <w:tcPr>
            <w:tcW w:w="0" w:type="auto"/>
            <w:vAlign w:val="center"/>
            <w:hideMark/>
          </w:tcPr>
          <w:p w14:paraId="186B9FF4"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Haryana</w:t>
            </w:r>
          </w:p>
        </w:tc>
        <w:tc>
          <w:tcPr>
            <w:tcW w:w="1492" w:type="dxa"/>
            <w:vAlign w:val="center"/>
            <w:hideMark/>
          </w:tcPr>
          <w:p w14:paraId="73E40B03"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2464012</w:t>
            </w:r>
          </w:p>
        </w:tc>
        <w:tc>
          <w:tcPr>
            <w:tcW w:w="993" w:type="dxa"/>
            <w:vAlign w:val="center"/>
            <w:hideMark/>
          </w:tcPr>
          <w:p w14:paraId="0E8754D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1.5558</w:t>
            </w:r>
          </w:p>
        </w:tc>
        <w:tc>
          <w:tcPr>
            <w:tcW w:w="1559" w:type="dxa"/>
            <w:vAlign w:val="center"/>
            <w:hideMark/>
          </w:tcPr>
          <w:p w14:paraId="78CECBE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590324</w:t>
            </w:r>
          </w:p>
        </w:tc>
        <w:tc>
          <w:tcPr>
            <w:tcW w:w="992" w:type="dxa"/>
            <w:vAlign w:val="center"/>
            <w:hideMark/>
          </w:tcPr>
          <w:p w14:paraId="3070D97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1.0547</w:t>
            </w:r>
          </w:p>
        </w:tc>
        <w:tc>
          <w:tcPr>
            <w:tcW w:w="1985" w:type="dxa"/>
            <w:vAlign w:val="center"/>
            <w:hideMark/>
          </w:tcPr>
          <w:p w14:paraId="7453C34E"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1.3052</w:t>
            </w:r>
          </w:p>
        </w:tc>
      </w:tr>
      <w:tr w:rsidR="00A10B88" w:rsidRPr="00767C21" w14:paraId="22FCD3EE" w14:textId="77777777" w:rsidTr="00767C21">
        <w:trPr>
          <w:trHeight w:val="20"/>
          <w:jc w:val="center"/>
        </w:trPr>
        <w:tc>
          <w:tcPr>
            <w:tcW w:w="0" w:type="auto"/>
            <w:vAlign w:val="center"/>
            <w:hideMark/>
          </w:tcPr>
          <w:p w14:paraId="477BA4E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w:t>
            </w:r>
          </w:p>
        </w:tc>
        <w:tc>
          <w:tcPr>
            <w:tcW w:w="0" w:type="auto"/>
            <w:vAlign w:val="center"/>
            <w:hideMark/>
          </w:tcPr>
          <w:p w14:paraId="6D710AD3"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Himachal Pradesh</w:t>
            </w:r>
          </w:p>
        </w:tc>
        <w:tc>
          <w:tcPr>
            <w:tcW w:w="1492" w:type="dxa"/>
            <w:vAlign w:val="center"/>
            <w:hideMark/>
          </w:tcPr>
          <w:p w14:paraId="24B93E9C"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1251221</w:t>
            </w:r>
          </w:p>
        </w:tc>
        <w:tc>
          <w:tcPr>
            <w:tcW w:w="993" w:type="dxa"/>
            <w:vAlign w:val="center"/>
            <w:hideMark/>
          </w:tcPr>
          <w:p w14:paraId="71A3A72F"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0.7900</w:t>
            </w:r>
          </w:p>
        </w:tc>
        <w:tc>
          <w:tcPr>
            <w:tcW w:w="1559" w:type="dxa"/>
            <w:vAlign w:val="center"/>
            <w:hideMark/>
          </w:tcPr>
          <w:p w14:paraId="2E519EFA"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40072</w:t>
            </w:r>
          </w:p>
        </w:tc>
        <w:tc>
          <w:tcPr>
            <w:tcW w:w="992" w:type="dxa"/>
            <w:vAlign w:val="center"/>
            <w:hideMark/>
          </w:tcPr>
          <w:p w14:paraId="0C4C9BB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0.0716</w:t>
            </w:r>
          </w:p>
        </w:tc>
        <w:tc>
          <w:tcPr>
            <w:tcW w:w="1985" w:type="dxa"/>
            <w:vAlign w:val="center"/>
            <w:hideMark/>
          </w:tcPr>
          <w:p w14:paraId="71FD719F"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0.4308</w:t>
            </w:r>
          </w:p>
        </w:tc>
      </w:tr>
      <w:tr w:rsidR="00A10B88" w:rsidRPr="00767C21" w14:paraId="27AF23DE" w14:textId="77777777" w:rsidTr="00767C21">
        <w:trPr>
          <w:trHeight w:val="20"/>
          <w:jc w:val="center"/>
        </w:trPr>
        <w:tc>
          <w:tcPr>
            <w:tcW w:w="0" w:type="auto"/>
            <w:vAlign w:val="center"/>
            <w:hideMark/>
          </w:tcPr>
          <w:p w14:paraId="585B0BFB"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w:t>
            </w:r>
          </w:p>
        </w:tc>
        <w:tc>
          <w:tcPr>
            <w:tcW w:w="0" w:type="auto"/>
            <w:vAlign w:val="center"/>
            <w:hideMark/>
          </w:tcPr>
          <w:p w14:paraId="37E770B4"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Jammu and Kashmir</w:t>
            </w:r>
          </w:p>
        </w:tc>
        <w:tc>
          <w:tcPr>
            <w:tcW w:w="1492" w:type="dxa"/>
            <w:vAlign w:val="center"/>
            <w:hideMark/>
          </w:tcPr>
          <w:p w14:paraId="44DB7F0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497363</w:t>
            </w:r>
          </w:p>
        </w:tc>
        <w:tc>
          <w:tcPr>
            <w:tcW w:w="993" w:type="dxa"/>
            <w:vAlign w:val="center"/>
            <w:hideMark/>
          </w:tcPr>
          <w:p w14:paraId="33A5475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0.3140</w:t>
            </w:r>
          </w:p>
        </w:tc>
        <w:tc>
          <w:tcPr>
            <w:tcW w:w="1559" w:type="dxa"/>
            <w:vAlign w:val="center"/>
            <w:hideMark/>
          </w:tcPr>
          <w:p w14:paraId="66AEFB52"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63540</w:t>
            </w:r>
          </w:p>
        </w:tc>
        <w:tc>
          <w:tcPr>
            <w:tcW w:w="992" w:type="dxa"/>
            <w:vAlign w:val="center"/>
            <w:hideMark/>
          </w:tcPr>
          <w:p w14:paraId="61EC5865"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0.1135</w:t>
            </w:r>
          </w:p>
        </w:tc>
        <w:tc>
          <w:tcPr>
            <w:tcW w:w="1985" w:type="dxa"/>
            <w:vAlign w:val="center"/>
            <w:hideMark/>
          </w:tcPr>
          <w:p w14:paraId="43081234"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0.2138</w:t>
            </w:r>
          </w:p>
        </w:tc>
      </w:tr>
      <w:tr w:rsidR="00A10B88" w:rsidRPr="00767C21" w14:paraId="3853112F" w14:textId="77777777" w:rsidTr="00767C21">
        <w:trPr>
          <w:trHeight w:val="20"/>
          <w:jc w:val="center"/>
        </w:trPr>
        <w:tc>
          <w:tcPr>
            <w:tcW w:w="0" w:type="auto"/>
            <w:vAlign w:val="center"/>
            <w:hideMark/>
          </w:tcPr>
          <w:p w14:paraId="04FFC05D"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w:t>
            </w:r>
          </w:p>
        </w:tc>
        <w:tc>
          <w:tcPr>
            <w:tcW w:w="0" w:type="auto"/>
            <w:vAlign w:val="center"/>
            <w:hideMark/>
          </w:tcPr>
          <w:p w14:paraId="6283528D" w14:textId="77777777" w:rsidR="00A10B88" w:rsidRPr="00767C21" w:rsidRDefault="00A10B88" w:rsidP="00BA5D99">
            <w:pPr>
              <w:pStyle w:val="NoSpacing"/>
              <w:rPr>
                <w:rFonts w:ascii="Times New Roman" w:hAnsi="Times New Roman" w:cs="Times New Roman"/>
                <w:sz w:val="16"/>
                <w:szCs w:val="16"/>
              </w:rPr>
            </w:pPr>
            <w:r w:rsidRPr="00767C21">
              <w:rPr>
                <w:rFonts w:ascii="Times New Roman" w:hAnsi="Times New Roman" w:cs="Times New Roman"/>
                <w:sz w:val="16"/>
                <w:szCs w:val="16"/>
              </w:rPr>
              <w:t>Karnataka</w:t>
            </w:r>
          </w:p>
        </w:tc>
        <w:tc>
          <w:tcPr>
            <w:tcW w:w="1492" w:type="dxa"/>
            <w:vAlign w:val="center"/>
            <w:hideMark/>
          </w:tcPr>
          <w:p w14:paraId="6302CFD9"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7420556</w:t>
            </w:r>
          </w:p>
        </w:tc>
        <w:tc>
          <w:tcPr>
            <w:tcW w:w="993" w:type="dxa"/>
            <w:vAlign w:val="center"/>
            <w:hideMark/>
          </w:tcPr>
          <w:p w14:paraId="7DECB5DC"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4.6854</w:t>
            </w:r>
          </w:p>
        </w:tc>
        <w:tc>
          <w:tcPr>
            <w:tcW w:w="1559" w:type="dxa"/>
            <w:vAlign w:val="center"/>
            <w:hideMark/>
          </w:tcPr>
          <w:p w14:paraId="7D09A6B0"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3655197</w:t>
            </w:r>
          </w:p>
        </w:tc>
        <w:tc>
          <w:tcPr>
            <w:tcW w:w="992" w:type="dxa"/>
            <w:vAlign w:val="center"/>
            <w:hideMark/>
          </w:tcPr>
          <w:p w14:paraId="764CB22F"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6.5305</w:t>
            </w:r>
          </w:p>
        </w:tc>
        <w:tc>
          <w:tcPr>
            <w:tcW w:w="1985" w:type="dxa"/>
            <w:vAlign w:val="center"/>
            <w:hideMark/>
          </w:tcPr>
          <w:p w14:paraId="775CA5D7" w14:textId="77777777" w:rsidR="00A10B88" w:rsidRPr="00767C21" w:rsidRDefault="00A10B88" w:rsidP="00BA5D99">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5.6080</w:t>
            </w:r>
          </w:p>
        </w:tc>
      </w:tr>
      <w:tr w:rsidR="00A10B88" w:rsidRPr="00767C21" w14:paraId="0DBF136E" w14:textId="77777777" w:rsidTr="00767C21">
        <w:trPr>
          <w:trHeight w:val="20"/>
          <w:jc w:val="center"/>
        </w:trPr>
        <w:tc>
          <w:tcPr>
            <w:tcW w:w="0" w:type="auto"/>
            <w:vAlign w:val="center"/>
            <w:hideMark/>
          </w:tcPr>
          <w:p w14:paraId="65C6F71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11.</w:t>
            </w:r>
          </w:p>
        </w:tc>
        <w:tc>
          <w:tcPr>
            <w:tcW w:w="0" w:type="auto"/>
            <w:vAlign w:val="center"/>
            <w:hideMark/>
          </w:tcPr>
          <w:p w14:paraId="1D01FDFB"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Kerala</w:t>
            </w:r>
          </w:p>
        </w:tc>
        <w:tc>
          <w:tcPr>
            <w:tcW w:w="1492" w:type="dxa"/>
            <w:vAlign w:val="center"/>
            <w:hideMark/>
          </w:tcPr>
          <w:p w14:paraId="70794AB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2810857</w:t>
            </w:r>
          </w:p>
        </w:tc>
        <w:tc>
          <w:tcPr>
            <w:tcW w:w="993" w:type="dxa"/>
            <w:vAlign w:val="center"/>
            <w:hideMark/>
          </w:tcPr>
          <w:p w14:paraId="78353C9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1.7748</w:t>
            </w:r>
          </w:p>
        </w:tc>
        <w:tc>
          <w:tcPr>
            <w:tcW w:w="1559" w:type="dxa"/>
            <w:vAlign w:val="center"/>
            <w:hideMark/>
          </w:tcPr>
          <w:p w14:paraId="2D61E6CA"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1917362</w:t>
            </w:r>
          </w:p>
        </w:tc>
        <w:tc>
          <w:tcPr>
            <w:tcW w:w="992" w:type="dxa"/>
            <w:vAlign w:val="center"/>
            <w:hideMark/>
          </w:tcPr>
          <w:p w14:paraId="1FDF91F3"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3.4256</w:t>
            </w:r>
          </w:p>
        </w:tc>
        <w:tc>
          <w:tcPr>
            <w:tcW w:w="1985" w:type="dxa"/>
            <w:vAlign w:val="center"/>
            <w:hideMark/>
          </w:tcPr>
          <w:p w14:paraId="5EEEE47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2.6002</w:t>
            </w:r>
          </w:p>
        </w:tc>
      </w:tr>
      <w:tr w:rsidR="00A10B88" w:rsidRPr="00767C21" w14:paraId="535370A6" w14:textId="77777777" w:rsidTr="00767C21">
        <w:trPr>
          <w:trHeight w:val="20"/>
          <w:jc w:val="center"/>
        </w:trPr>
        <w:tc>
          <w:tcPr>
            <w:tcW w:w="0" w:type="auto"/>
            <w:vAlign w:val="center"/>
            <w:hideMark/>
          </w:tcPr>
          <w:p w14:paraId="76591BE7"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12.</w:t>
            </w:r>
          </w:p>
        </w:tc>
        <w:tc>
          <w:tcPr>
            <w:tcW w:w="0" w:type="auto"/>
            <w:vAlign w:val="center"/>
            <w:hideMark/>
          </w:tcPr>
          <w:p w14:paraId="53906EEB"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Madhya Pradesh</w:t>
            </w:r>
          </w:p>
        </w:tc>
        <w:tc>
          <w:tcPr>
            <w:tcW w:w="1492" w:type="dxa"/>
            <w:vAlign w:val="center"/>
            <w:hideMark/>
          </w:tcPr>
          <w:p w14:paraId="66FC0CE7"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19345564</w:t>
            </w:r>
          </w:p>
        </w:tc>
        <w:tc>
          <w:tcPr>
            <w:tcW w:w="993" w:type="dxa"/>
            <w:vAlign w:val="center"/>
            <w:hideMark/>
          </w:tcPr>
          <w:p w14:paraId="6E87EA75"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12.2151</w:t>
            </w:r>
          </w:p>
        </w:tc>
        <w:tc>
          <w:tcPr>
            <w:tcW w:w="1559" w:type="dxa"/>
            <w:vAlign w:val="center"/>
            <w:hideMark/>
          </w:tcPr>
          <w:p w14:paraId="6F3A83F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4857829</w:t>
            </w:r>
          </w:p>
        </w:tc>
        <w:tc>
          <w:tcPr>
            <w:tcW w:w="992" w:type="dxa"/>
            <w:vAlign w:val="center"/>
            <w:hideMark/>
          </w:tcPr>
          <w:p w14:paraId="32E55F2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8.6791</w:t>
            </w:r>
          </w:p>
        </w:tc>
        <w:tc>
          <w:tcPr>
            <w:tcW w:w="1985" w:type="dxa"/>
            <w:vAlign w:val="center"/>
            <w:hideMark/>
          </w:tcPr>
          <w:p w14:paraId="247FBBC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10.4471</w:t>
            </w:r>
          </w:p>
        </w:tc>
      </w:tr>
      <w:tr w:rsidR="00A10B88" w:rsidRPr="00767C21" w14:paraId="77950D6F" w14:textId="77777777" w:rsidTr="00767C21">
        <w:trPr>
          <w:trHeight w:val="20"/>
          <w:jc w:val="center"/>
        </w:trPr>
        <w:tc>
          <w:tcPr>
            <w:tcW w:w="0" w:type="auto"/>
            <w:vAlign w:val="center"/>
            <w:hideMark/>
          </w:tcPr>
          <w:p w14:paraId="4315625A"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13.</w:t>
            </w:r>
          </w:p>
        </w:tc>
        <w:tc>
          <w:tcPr>
            <w:tcW w:w="0" w:type="auto"/>
            <w:vAlign w:val="center"/>
            <w:hideMark/>
          </w:tcPr>
          <w:p w14:paraId="266AEC91"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Maharashtra</w:t>
            </w:r>
          </w:p>
        </w:tc>
        <w:tc>
          <w:tcPr>
            <w:tcW w:w="1492" w:type="dxa"/>
            <w:vAlign w:val="center"/>
            <w:hideMark/>
          </w:tcPr>
          <w:p w14:paraId="6F02304B"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10251801</w:t>
            </w:r>
          </w:p>
        </w:tc>
        <w:tc>
          <w:tcPr>
            <w:tcW w:w="993" w:type="dxa"/>
            <w:vAlign w:val="center"/>
            <w:hideMark/>
          </w:tcPr>
          <w:p w14:paraId="4203A13C"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6.4731</w:t>
            </w:r>
          </w:p>
        </w:tc>
        <w:tc>
          <w:tcPr>
            <w:tcW w:w="1559" w:type="dxa"/>
            <w:vAlign w:val="center"/>
            <w:hideMark/>
          </w:tcPr>
          <w:p w14:paraId="204D5B8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6470855</w:t>
            </w:r>
          </w:p>
        </w:tc>
        <w:tc>
          <w:tcPr>
            <w:tcW w:w="992" w:type="dxa"/>
            <w:vAlign w:val="center"/>
            <w:hideMark/>
          </w:tcPr>
          <w:p w14:paraId="52BD36F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11.5610</w:t>
            </w:r>
          </w:p>
        </w:tc>
        <w:tc>
          <w:tcPr>
            <w:tcW w:w="1985" w:type="dxa"/>
            <w:vAlign w:val="center"/>
            <w:hideMark/>
          </w:tcPr>
          <w:p w14:paraId="3FF365CC"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9.0171</w:t>
            </w:r>
          </w:p>
        </w:tc>
      </w:tr>
      <w:tr w:rsidR="00A10B88" w:rsidRPr="00767C21" w14:paraId="45F57FDC" w14:textId="77777777" w:rsidTr="00767C21">
        <w:trPr>
          <w:trHeight w:val="20"/>
          <w:jc w:val="center"/>
        </w:trPr>
        <w:tc>
          <w:tcPr>
            <w:tcW w:w="0" w:type="auto"/>
            <w:vAlign w:val="center"/>
            <w:hideMark/>
          </w:tcPr>
          <w:p w14:paraId="2C3162B9"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14.</w:t>
            </w:r>
          </w:p>
        </w:tc>
        <w:tc>
          <w:tcPr>
            <w:tcW w:w="0" w:type="auto"/>
            <w:vAlign w:val="center"/>
            <w:hideMark/>
          </w:tcPr>
          <w:p w14:paraId="7DA50F5F"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Manipur</w:t>
            </w:r>
          </w:p>
        </w:tc>
        <w:tc>
          <w:tcPr>
            <w:tcW w:w="1492" w:type="dxa"/>
            <w:vAlign w:val="center"/>
            <w:hideMark/>
          </w:tcPr>
          <w:p w14:paraId="404BAA3F"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405730</w:t>
            </w:r>
          </w:p>
        </w:tc>
        <w:tc>
          <w:tcPr>
            <w:tcW w:w="993" w:type="dxa"/>
            <w:vAlign w:val="center"/>
            <w:hideMark/>
          </w:tcPr>
          <w:p w14:paraId="31CEFABF"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0.2562</w:t>
            </w:r>
          </w:p>
        </w:tc>
        <w:tc>
          <w:tcPr>
            <w:tcW w:w="1559" w:type="dxa"/>
            <w:vAlign w:val="center"/>
            <w:hideMark/>
          </w:tcPr>
          <w:p w14:paraId="6C762C47"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28613</w:t>
            </w:r>
          </w:p>
        </w:tc>
        <w:tc>
          <w:tcPr>
            <w:tcW w:w="992" w:type="dxa"/>
            <w:vAlign w:val="center"/>
            <w:hideMark/>
          </w:tcPr>
          <w:p w14:paraId="0C8D972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0.0511</w:t>
            </w:r>
          </w:p>
        </w:tc>
        <w:tc>
          <w:tcPr>
            <w:tcW w:w="1985" w:type="dxa"/>
            <w:vAlign w:val="center"/>
            <w:hideMark/>
          </w:tcPr>
          <w:p w14:paraId="2EEC9AA5"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0.1537</w:t>
            </w:r>
          </w:p>
        </w:tc>
      </w:tr>
      <w:tr w:rsidR="00A10B88" w:rsidRPr="00767C21" w14:paraId="5CFE42FD" w14:textId="77777777" w:rsidTr="00767C21">
        <w:trPr>
          <w:trHeight w:val="20"/>
          <w:jc w:val="center"/>
        </w:trPr>
        <w:tc>
          <w:tcPr>
            <w:tcW w:w="0" w:type="auto"/>
            <w:vAlign w:val="center"/>
            <w:hideMark/>
          </w:tcPr>
          <w:p w14:paraId="7637058B"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15.</w:t>
            </w:r>
          </w:p>
        </w:tc>
        <w:tc>
          <w:tcPr>
            <w:tcW w:w="0" w:type="auto"/>
            <w:vAlign w:val="center"/>
            <w:hideMark/>
          </w:tcPr>
          <w:p w14:paraId="37DC918B"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Meghalaya</w:t>
            </w:r>
          </w:p>
        </w:tc>
        <w:tc>
          <w:tcPr>
            <w:tcW w:w="1492" w:type="dxa"/>
            <w:vAlign w:val="center"/>
            <w:hideMark/>
          </w:tcPr>
          <w:p w14:paraId="23C858A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1081837</w:t>
            </w:r>
          </w:p>
        </w:tc>
        <w:tc>
          <w:tcPr>
            <w:tcW w:w="993" w:type="dxa"/>
            <w:vAlign w:val="center"/>
            <w:hideMark/>
          </w:tcPr>
          <w:p w14:paraId="57FD4892"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0.6831</w:t>
            </w:r>
          </w:p>
        </w:tc>
        <w:tc>
          <w:tcPr>
            <w:tcW w:w="1559" w:type="dxa"/>
            <w:vAlign w:val="center"/>
            <w:hideMark/>
          </w:tcPr>
          <w:p w14:paraId="2AD5DD5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57899</w:t>
            </w:r>
          </w:p>
        </w:tc>
        <w:tc>
          <w:tcPr>
            <w:tcW w:w="992" w:type="dxa"/>
            <w:vAlign w:val="center"/>
            <w:hideMark/>
          </w:tcPr>
          <w:p w14:paraId="6998ECFA"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0.1034</w:t>
            </w:r>
          </w:p>
        </w:tc>
        <w:tc>
          <w:tcPr>
            <w:tcW w:w="1985" w:type="dxa"/>
            <w:vAlign w:val="center"/>
            <w:hideMark/>
          </w:tcPr>
          <w:p w14:paraId="2AC830A0"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0.3933</w:t>
            </w:r>
          </w:p>
        </w:tc>
      </w:tr>
      <w:tr w:rsidR="00A10B88" w:rsidRPr="00767C21" w14:paraId="39AF6653" w14:textId="77777777" w:rsidTr="00767C21">
        <w:trPr>
          <w:trHeight w:val="20"/>
          <w:jc w:val="center"/>
        </w:trPr>
        <w:tc>
          <w:tcPr>
            <w:tcW w:w="0" w:type="auto"/>
            <w:vAlign w:val="center"/>
            <w:hideMark/>
          </w:tcPr>
          <w:p w14:paraId="215CCE1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16.</w:t>
            </w:r>
          </w:p>
        </w:tc>
        <w:tc>
          <w:tcPr>
            <w:tcW w:w="0" w:type="auto"/>
            <w:vAlign w:val="center"/>
            <w:hideMark/>
          </w:tcPr>
          <w:p w14:paraId="005AE43C"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Mizoram</w:t>
            </w:r>
          </w:p>
        </w:tc>
        <w:tc>
          <w:tcPr>
            <w:tcW w:w="1492" w:type="dxa"/>
            <w:vAlign w:val="center"/>
            <w:hideMark/>
          </w:tcPr>
          <w:p w14:paraId="39F274CA"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462042</w:t>
            </w:r>
          </w:p>
        </w:tc>
        <w:tc>
          <w:tcPr>
            <w:tcW w:w="993" w:type="dxa"/>
            <w:vAlign w:val="center"/>
            <w:hideMark/>
          </w:tcPr>
          <w:p w14:paraId="25773C8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0.2917</w:t>
            </w:r>
          </w:p>
        </w:tc>
        <w:tc>
          <w:tcPr>
            <w:tcW w:w="1559" w:type="dxa"/>
            <w:vAlign w:val="center"/>
            <w:hideMark/>
          </w:tcPr>
          <w:p w14:paraId="6A5AED4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5118</w:t>
            </w:r>
          </w:p>
        </w:tc>
        <w:tc>
          <w:tcPr>
            <w:tcW w:w="992" w:type="dxa"/>
            <w:vAlign w:val="center"/>
            <w:hideMark/>
          </w:tcPr>
          <w:p w14:paraId="3D4D8087"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0.0091</w:t>
            </w:r>
          </w:p>
        </w:tc>
        <w:tc>
          <w:tcPr>
            <w:tcW w:w="1985" w:type="dxa"/>
            <w:vAlign w:val="center"/>
            <w:hideMark/>
          </w:tcPr>
          <w:p w14:paraId="61489CAC"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0.1504</w:t>
            </w:r>
          </w:p>
        </w:tc>
      </w:tr>
      <w:tr w:rsidR="00A10B88" w:rsidRPr="00767C21" w14:paraId="39764879" w14:textId="77777777" w:rsidTr="00767C21">
        <w:trPr>
          <w:trHeight w:val="20"/>
          <w:jc w:val="center"/>
        </w:trPr>
        <w:tc>
          <w:tcPr>
            <w:tcW w:w="0" w:type="auto"/>
            <w:vAlign w:val="center"/>
            <w:hideMark/>
          </w:tcPr>
          <w:p w14:paraId="18F550F3"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17.</w:t>
            </w:r>
          </w:p>
        </w:tc>
        <w:tc>
          <w:tcPr>
            <w:tcW w:w="0" w:type="auto"/>
            <w:vAlign w:val="center"/>
            <w:hideMark/>
          </w:tcPr>
          <w:p w14:paraId="162F491B"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Nagaland</w:t>
            </w:r>
          </w:p>
        </w:tc>
        <w:tc>
          <w:tcPr>
            <w:tcW w:w="1492" w:type="dxa"/>
            <w:vAlign w:val="center"/>
            <w:hideMark/>
          </w:tcPr>
          <w:p w14:paraId="2F144795"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650885</w:t>
            </w:r>
          </w:p>
        </w:tc>
        <w:tc>
          <w:tcPr>
            <w:tcW w:w="993" w:type="dxa"/>
            <w:vAlign w:val="center"/>
            <w:hideMark/>
          </w:tcPr>
          <w:p w14:paraId="380AF080"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0.4110</w:t>
            </w:r>
          </w:p>
        </w:tc>
        <w:tc>
          <w:tcPr>
            <w:tcW w:w="1559" w:type="dxa"/>
            <w:vAlign w:val="center"/>
            <w:hideMark/>
          </w:tcPr>
          <w:p w14:paraId="16B94262"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2979</w:t>
            </w:r>
          </w:p>
        </w:tc>
        <w:tc>
          <w:tcPr>
            <w:tcW w:w="992" w:type="dxa"/>
            <w:vAlign w:val="center"/>
            <w:hideMark/>
          </w:tcPr>
          <w:p w14:paraId="5C3461F2"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0.0053</w:t>
            </w:r>
          </w:p>
        </w:tc>
        <w:tc>
          <w:tcPr>
            <w:tcW w:w="1985" w:type="dxa"/>
            <w:vAlign w:val="center"/>
            <w:hideMark/>
          </w:tcPr>
          <w:p w14:paraId="609E718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0.2082</w:t>
            </w:r>
          </w:p>
        </w:tc>
      </w:tr>
      <w:tr w:rsidR="00A10B88" w:rsidRPr="00767C21" w14:paraId="66610D70" w14:textId="77777777" w:rsidTr="00767C21">
        <w:trPr>
          <w:trHeight w:val="20"/>
          <w:jc w:val="center"/>
        </w:trPr>
        <w:tc>
          <w:tcPr>
            <w:tcW w:w="0" w:type="auto"/>
            <w:vAlign w:val="center"/>
            <w:hideMark/>
          </w:tcPr>
          <w:p w14:paraId="09C70A2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18.</w:t>
            </w:r>
          </w:p>
        </w:tc>
        <w:tc>
          <w:tcPr>
            <w:tcW w:w="0" w:type="auto"/>
            <w:vAlign w:val="center"/>
            <w:hideMark/>
          </w:tcPr>
          <w:p w14:paraId="33DE0703"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Orissa</w:t>
            </w:r>
          </w:p>
        </w:tc>
        <w:tc>
          <w:tcPr>
            <w:tcW w:w="1492" w:type="dxa"/>
            <w:vAlign w:val="center"/>
            <w:hideMark/>
          </w:tcPr>
          <w:p w14:paraId="67BFCD70"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9780610</w:t>
            </w:r>
          </w:p>
        </w:tc>
        <w:tc>
          <w:tcPr>
            <w:tcW w:w="993" w:type="dxa"/>
            <w:vAlign w:val="center"/>
            <w:hideMark/>
          </w:tcPr>
          <w:p w14:paraId="4439293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6.1756</w:t>
            </w:r>
          </w:p>
        </w:tc>
        <w:tc>
          <w:tcPr>
            <w:tcW w:w="1559" w:type="dxa"/>
            <w:vAlign w:val="center"/>
            <w:hideMark/>
          </w:tcPr>
          <w:p w14:paraId="5FEFE40C"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2396974</w:t>
            </w:r>
          </w:p>
        </w:tc>
        <w:tc>
          <w:tcPr>
            <w:tcW w:w="992" w:type="dxa"/>
            <w:vAlign w:val="center"/>
            <w:hideMark/>
          </w:tcPr>
          <w:p w14:paraId="110C86D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4.2825</w:t>
            </w:r>
          </w:p>
        </w:tc>
        <w:tc>
          <w:tcPr>
            <w:tcW w:w="1985" w:type="dxa"/>
            <w:vAlign w:val="center"/>
            <w:hideMark/>
          </w:tcPr>
          <w:p w14:paraId="289E925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5.2291</w:t>
            </w:r>
          </w:p>
        </w:tc>
      </w:tr>
      <w:tr w:rsidR="00A10B88" w:rsidRPr="00767C21" w14:paraId="16ED94DF" w14:textId="77777777" w:rsidTr="00767C21">
        <w:trPr>
          <w:trHeight w:val="20"/>
          <w:jc w:val="center"/>
        </w:trPr>
        <w:tc>
          <w:tcPr>
            <w:tcW w:w="0" w:type="auto"/>
            <w:vAlign w:val="center"/>
            <w:hideMark/>
          </w:tcPr>
          <w:p w14:paraId="344D68D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19.</w:t>
            </w:r>
          </w:p>
        </w:tc>
        <w:tc>
          <w:tcPr>
            <w:tcW w:w="0" w:type="auto"/>
            <w:vAlign w:val="center"/>
            <w:hideMark/>
          </w:tcPr>
          <w:p w14:paraId="18BCC4B3"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Punjab</w:t>
            </w:r>
          </w:p>
        </w:tc>
        <w:tc>
          <w:tcPr>
            <w:tcW w:w="1492" w:type="dxa"/>
            <w:vAlign w:val="center"/>
            <w:hideMark/>
          </w:tcPr>
          <w:p w14:paraId="1CD2B569"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4511703</w:t>
            </w:r>
          </w:p>
        </w:tc>
        <w:tc>
          <w:tcPr>
            <w:tcW w:w="993" w:type="dxa"/>
            <w:vAlign w:val="center"/>
            <w:hideMark/>
          </w:tcPr>
          <w:p w14:paraId="5A86415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2.8488</w:t>
            </w:r>
          </w:p>
        </w:tc>
        <w:tc>
          <w:tcPr>
            <w:tcW w:w="1559" w:type="dxa"/>
            <w:vAlign w:val="center"/>
            <w:hideMark/>
          </w:tcPr>
          <w:p w14:paraId="6B851897"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1092225</w:t>
            </w:r>
          </w:p>
        </w:tc>
        <w:tc>
          <w:tcPr>
            <w:tcW w:w="992" w:type="dxa"/>
            <w:vAlign w:val="center"/>
            <w:hideMark/>
          </w:tcPr>
          <w:p w14:paraId="6C0D5A5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1.9514</w:t>
            </w:r>
          </w:p>
        </w:tc>
        <w:tc>
          <w:tcPr>
            <w:tcW w:w="1985" w:type="dxa"/>
            <w:vAlign w:val="center"/>
            <w:hideMark/>
          </w:tcPr>
          <w:p w14:paraId="574F43EC"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2.4001</w:t>
            </w:r>
          </w:p>
        </w:tc>
      </w:tr>
      <w:tr w:rsidR="00A10B88" w:rsidRPr="00767C21" w14:paraId="02E0B1AD" w14:textId="77777777" w:rsidTr="00767C21">
        <w:trPr>
          <w:trHeight w:val="20"/>
          <w:jc w:val="center"/>
        </w:trPr>
        <w:tc>
          <w:tcPr>
            <w:tcW w:w="0" w:type="auto"/>
            <w:vAlign w:val="center"/>
            <w:hideMark/>
          </w:tcPr>
          <w:p w14:paraId="3374E43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20.</w:t>
            </w:r>
          </w:p>
        </w:tc>
        <w:tc>
          <w:tcPr>
            <w:tcW w:w="0" w:type="auto"/>
            <w:vAlign w:val="center"/>
            <w:hideMark/>
          </w:tcPr>
          <w:p w14:paraId="2663C41C"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Rajasthan</w:t>
            </w:r>
          </w:p>
        </w:tc>
        <w:tc>
          <w:tcPr>
            <w:tcW w:w="1492" w:type="dxa"/>
            <w:vAlign w:val="center"/>
            <w:hideMark/>
          </w:tcPr>
          <w:p w14:paraId="5C672D81"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10022003</w:t>
            </w:r>
          </w:p>
        </w:tc>
        <w:tc>
          <w:tcPr>
            <w:tcW w:w="993" w:type="dxa"/>
            <w:vAlign w:val="center"/>
            <w:hideMark/>
          </w:tcPr>
          <w:p w14:paraId="7D4984B4"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6.3280</w:t>
            </w:r>
          </w:p>
        </w:tc>
        <w:tc>
          <w:tcPr>
            <w:tcW w:w="1559" w:type="dxa"/>
            <w:vAlign w:val="center"/>
            <w:hideMark/>
          </w:tcPr>
          <w:p w14:paraId="0874DB3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764625</w:t>
            </w:r>
          </w:p>
        </w:tc>
        <w:tc>
          <w:tcPr>
            <w:tcW w:w="992" w:type="dxa"/>
            <w:vAlign w:val="center"/>
            <w:hideMark/>
          </w:tcPr>
          <w:p w14:paraId="060B71BB"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1.3661</w:t>
            </w:r>
          </w:p>
        </w:tc>
        <w:tc>
          <w:tcPr>
            <w:tcW w:w="1985" w:type="dxa"/>
            <w:vAlign w:val="center"/>
            <w:hideMark/>
          </w:tcPr>
          <w:p w14:paraId="0016B9C0"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3.8471</w:t>
            </w:r>
          </w:p>
        </w:tc>
      </w:tr>
      <w:tr w:rsidR="00A10B88" w:rsidRPr="00767C21" w14:paraId="23D3B6BC" w14:textId="77777777" w:rsidTr="00767C21">
        <w:trPr>
          <w:trHeight w:val="20"/>
          <w:jc w:val="center"/>
        </w:trPr>
        <w:tc>
          <w:tcPr>
            <w:tcW w:w="0" w:type="auto"/>
            <w:vAlign w:val="center"/>
            <w:hideMark/>
          </w:tcPr>
          <w:p w14:paraId="010CF2CC"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21.</w:t>
            </w:r>
          </w:p>
        </w:tc>
        <w:tc>
          <w:tcPr>
            <w:tcW w:w="0" w:type="auto"/>
            <w:vAlign w:val="center"/>
            <w:hideMark/>
          </w:tcPr>
          <w:p w14:paraId="68CB3F09"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Sikkim</w:t>
            </w:r>
          </w:p>
        </w:tc>
        <w:tc>
          <w:tcPr>
            <w:tcW w:w="1492" w:type="dxa"/>
            <w:vAlign w:val="center"/>
            <w:hideMark/>
          </w:tcPr>
          <w:p w14:paraId="583E3C7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91904</w:t>
            </w:r>
          </w:p>
        </w:tc>
        <w:tc>
          <w:tcPr>
            <w:tcW w:w="993" w:type="dxa"/>
            <w:vAlign w:val="center"/>
            <w:hideMark/>
          </w:tcPr>
          <w:p w14:paraId="66A3831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0.0580</w:t>
            </w:r>
          </w:p>
        </w:tc>
        <w:tc>
          <w:tcPr>
            <w:tcW w:w="1559" w:type="dxa"/>
            <w:vAlign w:val="center"/>
            <w:hideMark/>
          </w:tcPr>
          <w:p w14:paraId="29E9EB7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4887</w:t>
            </w:r>
          </w:p>
        </w:tc>
        <w:tc>
          <w:tcPr>
            <w:tcW w:w="992" w:type="dxa"/>
            <w:vAlign w:val="center"/>
            <w:hideMark/>
          </w:tcPr>
          <w:p w14:paraId="0DFB1EB5"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0.0087</w:t>
            </w:r>
          </w:p>
        </w:tc>
        <w:tc>
          <w:tcPr>
            <w:tcW w:w="1985" w:type="dxa"/>
            <w:vAlign w:val="center"/>
            <w:hideMark/>
          </w:tcPr>
          <w:p w14:paraId="75D5BD7F"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0.0334</w:t>
            </w:r>
          </w:p>
        </w:tc>
      </w:tr>
      <w:tr w:rsidR="00A10B88" w:rsidRPr="00767C21" w14:paraId="57848364" w14:textId="77777777" w:rsidTr="00767C21">
        <w:trPr>
          <w:trHeight w:val="20"/>
          <w:jc w:val="center"/>
        </w:trPr>
        <w:tc>
          <w:tcPr>
            <w:tcW w:w="0" w:type="auto"/>
            <w:vAlign w:val="center"/>
            <w:hideMark/>
          </w:tcPr>
          <w:p w14:paraId="0C161F0B"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22.</w:t>
            </w:r>
          </w:p>
        </w:tc>
        <w:tc>
          <w:tcPr>
            <w:tcW w:w="0" w:type="auto"/>
            <w:vAlign w:val="center"/>
            <w:hideMark/>
          </w:tcPr>
          <w:p w14:paraId="47B1AD2E"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Tamil Nadu</w:t>
            </w:r>
          </w:p>
        </w:tc>
        <w:tc>
          <w:tcPr>
            <w:tcW w:w="1492" w:type="dxa"/>
            <w:vAlign w:val="center"/>
            <w:hideMark/>
          </w:tcPr>
          <w:p w14:paraId="064DA2CB"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9401521</w:t>
            </w:r>
          </w:p>
        </w:tc>
        <w:tc>
          <w:tcPr>
            <w:tcW w:w="993" w:type="dxa"/>
            <w:vAlign w:val="center"/>
            <w:hideMark/>
          </w:tcPr>
          <w:p w14:paraId="6B6AFA7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5.9362</w:t>
            </w:r>
          </w:p>
        </w:tc>
        <w:tc>
          <w:tcPr>
            <w:tcW w:w="1559" w:type="dxa"/>
            <w:vAlign w:val="center"/>
            <w:hideMark/>
          </w:tcPr>
          <w:p w14:paraId="0218AF2F"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6037601</w:t>
            </w:r>
          </w:p>
        </w:tc>
        <w:tc>
          <w:tcPr>
            <w:tcW w:w="992" w:type="dxa"/>
            <w:vAlign w:val="center"/>
            <w:hideMark/>
          </w:tcPr>
          <w:p w14:paraId="080557D9"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10.7869</w:t>
            </w:r>
          </w:p>
        </w:tc>
        <w:tc>
          <w:tcPr>
            <w:tcW w:w="1985" w:type="dxa"/>
            <w:vAlign w:val="center"/>
            <w:hideMark/>
          </w:tcPr>
          <w:p w14:paraId="5007D50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8.3616</w:t>
            </w:r>
          </w:p>
        </w:tc>
      </w:tr>
      <w:tr w:rsidR="00A10B88" w:rsidRPr="00767C21" w14:paraId="6F01DF8B" w14:textId="77777777" w:rsidTr="00767C21">
        <w:trPr>
          <w:trHeight w:val="20"/>
          <w:jc w:val="center"/>
        </w:trPr>
        <w:tc>
          <w:tcPr>
            <w:tcW w:w="0" w:type="auto"/>
            <w:vAlign w:val="center"/>
            <w:hideMark/>
          </w:tcPr>
          <w:p w14:paraId="11B168A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23.</w:t>
            </w:r>
          </w:p>
        </w:tc>
        <w:tc>
          <w:tcPr>
            <w:tcW w:w="0" w:type="auto"/>
            <w:vAlign w:val="center"/>
            <w:hideMark/>
          </w:tcPr>
          <w:p w14:paraId="5E09640D"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Tripura</w:t>
            </w:r>
          </w:p>
        </w:tc>
        <w:tc>
          <w:tcPr>
            <w:tcW w:w="1492" w:type="dxa"/>
            <w:vAlign w:val="center"/>
            <w:hideMark/>
          </w:tcPr>
          <w:p w14:paraId="29503133"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894304</w:t>
            </w:r>
          </w:p>
        </w:tc>
        <w:tc>
          <w:tcPr>
            <w:tcW w:w="993" w:type="dxa"/>
            <w:vAlign w:val="center"/>
            <w:hideMark/>
          </w:tcPr>
          <w:p w14:paraId="047C2947"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0.5647</w:t>
            </w:r>
          </w:p>
        </w:tc>
        <w:tc>
          <w:tcPr>
            <w:tcW w:w="1559" w:type="dxa"/>
            <w:vAlign w:val="center"/>
            <w:hideMark/>
          </w:tcPr>
          <w:p w14:paraId="2A4841AA"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146089</w:t>
            </w:r>
          </w:p>
        </w:tc>
        <w:tc>
          <w:tcPr>
            <w:tcW w:w="992" w:type="dxa"/>
            <w:vAlign w:val="center"/>
            <w:hideMark/>
          </w:tcPr>
          <w:p w14:paraId="310BEB6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0.2610</w:t>
            </w:r>
          </w:p>
        </w:tc>
        <w:tc>
          <w:tcPr>
            <w:tcW w:w="1985" w:type="dxa"/>
            <w:vAlign w:val="center"/>
            <w:hideMark/>
          </w:tcPr>
          <w:p w14:paraId="3153982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0.4128</w:t>
            </w:r>
          </w:p>
        </w:tc>
      </w:tr>
      <w:tr w:rsidR="00A10B88" w:rsidRPr="00767C21" w14:paraId="73FFF778" w14:textId="77777777" w:rsidTr="00767C21">
        <w:trPr>
          <w:trHeight w:val="20"/>
          <w:jc w:val="center"/>
        </w:trPr>
        <w:tc>
          <w:tcPr>
            <w:tcW w:w="0" w:type="auto"/>
            <w:vAlign w:val="center"/>
            <w:hideMark/>
          </w:tcPr>
          <w:p w14:paraId="35E9D899"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24.</w:t>
            </w:r>
          </w:p>
        </w:tc>
        <w:tc>
          <w:tcPr>
            <w:tcW w:w="0" w:type="auto"/>
            <w:vAlign w:val="center"/>
            <w:hideMark/>
          </w:tcPr>
          <w:p w14:paraId="67273E38"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Uttar Pradesh</w:t>
            </w:r>
          </w:p>
        </w:tc>
        <w:tc>
          <w:tcPr>
            <w:tcW w:w="1492" w:type="dxa"/>
            <w:vAlign w:val="center"/>
            <w:hideMark/>
          </w:tcPr>
          <w:p w14:paraId="678AE5F9"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23686044</w:t>
            </w:r>
          </w:p>
        </w:tc>
        <w:tc>
          <w:tcPr>
            <w:tcW w:w="993" w:type="dxa"/>
            <w:vAlign w:val="center"/>
            <w:hideMark/>
          </w:tcPr>
          <w:p w14:paraId="56A5766B"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14.9557</w:t>
            </w:r>
          </w:p>
        </w:tc>
        <w:tc>
          <w:tcPr>
            <w:tcW w:w="1559" w:type="dxa"/>
            <w:vAlign w:val="center"/>
            <w:hideMark/>
          </w:tcPr>
          <w:p w14:paraId="24BCD57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5177074</w:t>
            </w:r>
          </w:p>
        </w:tc>
        <w:tc>
          <w:tcPr>
            <w:tcW w:w="992" w:type="dxa"/>
            <w:vAlign w:val="center"/>
            <w:hideMark/>
          </w:tcPr>
          <w:p w14:paraId="7B5613F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9.2495</w:t>
            </w:r>
          </w:p>
        </w:tc>
        <w:tc>
          <w:tcPr>
            <w:tcW w:w="1985" w:type="dxa"/>
            <w:vAlign w:val="center"/>
            <w:hideMark/>
          </w:tcPr>
          <w:p w14:paraId="3048CD7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12.1026</w:t>
            </w:r>
          </w:p>
        </w:tc>
      </w:tr>
      <w:tr w:rsidR="00A10B88" w:rsidRPr="00767C21" w14:paraId="2D7EA8A6" w14:textId="77777777" w:rsidTr="00767C21">
        <w:trPr>
          <w:trHeight w:val="20"/>
          <w:jc w:val="center"/>
        </w:trPr>
        <w:tc>
          <w:tcPr>
            <w:tcW w:w="0" w:type="auto"/>
            <w:vAlign w:val="center"/>
            <w:hideMark/>
          </w:tcPr>
          <w:p w14:paraId="3DC5A63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25.</w:t>
            </w:r>
          </w:p>
        </w:tc>
        <w:tc>
          <w:tcPr>
            <w:tcW w:w="0" w:type="auto"/>
            <w:vAlign w:val="center"/>
            <w:hideMark/>
          </w:tcPr>
          <w:p w14:paraId="62873E83"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sz w:val="16"/>
                <w:szCs w:val="16"/>
              </w:rPr>
              <w:t>West Bengal</w:t>
            </w:r>
          </w:p>
        </w:tc>
        <w:tc>
          <w:tcPr>
            <w:tcW w:w="1492" w:type="dxa"/>
            <w:vAlign w:val="center"/>
            <w:hideMark/>
          </w:tcPr>
          <w:p w14:paraId="797604F3"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15071440</w:t>
            </w:r>
          </w:p>
        </w:tc>
        <w:tc>
          <w:tcPr>
            <w:tcW w:w="993" w:type="dxa"/>
            <w:vAlign w:val="center"/>
            <w:hideMark/>
          </w:tcPr>
          <w:p w14:paraId="3FA8C48E"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9.5163</w:t>
            </w:r>
          </w:p>
        </w:tc>
        <w:tc>
          <w:tcPr>
            <w:tcW w:w="1559" w:type="dxa"/>
            <w:vAlign w:val="center"/>
            <w:hideMark/>
          </w:tcPr>
          <w:p w14:paraId="4889532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3891531</w:t>
            </w:r>
          </w:p>
        </w:tc>
        <w:tc>
          <w:tcPr>
            <w:tcW w:w="992" w:type="dxa"/>
            <w:vAlign w:val="center"/>
            <w:hideMark/>
          </w:tcPr>
          <w:p w14:paraId="5748CC26"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6.9527</w:t>
            </w:r>
          </w:p>
        </w:tc>
        <w:tc>
          <w:tcPr>
            <w:tcW w:w="1985" w:type="dxa"/>
            <w:vAlign w:val="center"/>
            <w:hideMark/>
          </w:tcPr>
          <w:p w14:paraId="1ECCAFB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sz w:val="16"/>
                <w:szCs w:val="16"/>
              </w:rPr>
              <w:t>8.2345</w:t>
            </w:r>
          </w:p>
        </w:tc>
      </w:tr>
      <w:tr w:rsidR="00A10B88" w:rsidRPr="00767C21" w14:paraId="09276BAA" w14:textId="77777777" w:rsidTr="00767C21">
        <w:trPr>
          <w:trHeight w:val="20"/>
          <w:jc w:val="center"/>
        </w:trPr>
        <w:tc>
          <w:tcPr>
            <w:tcW w:w="0" w:type="auto"/>
            <w:vAlign w:val="center"/>
            <w:hideMark/>
          </w:tcPr>
          <w:p w14:paraId="6F18AA9D" w14:textId="77777777" w:rsidR="00A10B88" w:rsidRPr="00767C21" w:rsidRDefault="00A10B88" w:rsidP="00BA5D99">
            <w:pPr>
              <w:pStyle w:val="NoSpacing"/>
              <w:spacing w:line="240" w:lineRule="atLeast"/>
              <w:jc w:val="center"/>
              <w:rPr>
                <w:rFonts w:ascii="Times New Roman" w:hAnsi="Times New Roman" w:cs="Times New Roman"/>
                <w:sz w:val="16"/>
                <w:szCs w:val="16"/>
              </w:rPr>
            </w:pPr>
          </w:p>
        </w:tc>
        <w:tc>
          <w:tcPr>
            <w:tcW w:w="0" w:type="auto"/>
            <w:vAlign w:val="center"/>
            <w:hideMark/>
          </w:tcPr>
          <w:p w14:paraId="20563FB9" w14:textId="77777777" w:rsidR="00A10B88" w:rsidRPr="00767C21" w:rsidRDefault="00A10B88" w:rsidP="00BA5D99">
            <w:pPr>
              <w:pStyle w:val="NoSpacing"/>
              <w:spacing w:line="240" w:lineRule="atLeast"/>
              <w:rPr>
                <w:rFonts w:ascii="Times New Roman" w:hAnsi="Times New Roman" w:cs="Times New Roman"/>
                <w:sz w:val="16"/>
                <w:szCs w:val="16"/>
              </w:rPr>
            </w:pPr>
            <w:r w:rsidRPr="00767C21">
              <w:rPr>
                <w:rFonts w:ascii="Times New Roman" w:hAnsi="Times New Roman" w:cs="Times New Roman"/>
                <w:b/>
                <w:bCs/>
                <w:sz w:val="16"/>
                <w:szCs w:val="16"/>
              </w:rPr>
              <w:t>Total</w:t>
            </w:r>
          </w:p>
        </w:tc>
        <w:tc>
          <w:tcPr>
            <w:tcW w:w="1492" w:type="dxa"/>
            <w:vAlign w:val="center"/>
            <w:hideMark/>
          </w:tcPr>
          <w:p w14:paraId="27D76B42"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b/>
                <w:bCs/>
                <w:sz w:val="16"/>
                <w:szCs w:val="16"/>
              </w:rPr>
              <w:t>158374791</w:t>
            </w:r>
          </w:p>
        </w:tc>
        <w:tc>
          <w:tcPr>
            <w:tcW w:w="993" w:type="dxa"/>
            <w:vAlign w:val="center"/>
            <w:hideMark/>
          </w:tcPr>
          <w:p w14:paraId="0E3A8EA8"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b/>
                <w:bCs/>
                <w:sz w:val="16"/>
                <w:szCs w:val="16"/>
              </w:rPr>
              <w:t>100.0000</w:t>
            </w:r>
          </w:p>
        </w:tc>
        <w:tc>
          <w:tcPr>
            <w:tcW w:w="1559" w:type="dxa"/>
            <w:vAlign w:val="center"/>
            <w:hideMark/>
          </w:tcPr>
          <w:p w14:paraId="777F880A"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b/>
                <w:bCs/>
                <w:sz w:val="16"/>
                <w:szCs w:val="16"/>
              </w:rPr>
              <w:t>55971484</w:t>
            </w:r>
          </w:p>
        </w:tc>
        <w:tc>
          <w:tcPr>
            <w:tcW w:w="992" w:type="dxa"/>
            <w:vAlign w:val="center"/>
            <w:hideMark/>
          </w:tcPr>
          <w:p w14:paraId="7292CCA2"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b/>
                <w:bCs/>
                <w:sz w:val="16"/>
                <w:szCs w:val="16"/>
              </w:rPr>
              <w:t>100.0000</w:t>
            </w:r>
          </w:p>
        </w:tc>
        <w:tc>
          <w:tcPr>
            <w:tcW w:w="1985" w:type="dxa"/>
            <w:vAlign w:val="center"/>
            <w:hideMark/>
          </w:tcPr>
          <w:p w14:paraId="04C15D5D" w14:textId="77777777" w:rsidR="00A10B88" w:rsidRPr="00767C21" w:rsidRDefault="00A10B88" w:rsidP="00BA5D99">
            <w:pPr>
              <w:pStyle w:val="NoSpacing"/>
              <w:spacing w:line="240" w:lineRule="atLeast"/>
              <w:jc w:val="center"/>
              <w:rPr>
                <w:rFonts w:ascii="Times New Roman" w:hAnsi="Times New Roman" w:cs="Times New Roman"/>
                <w:sz w:val="16"/>
                <w:szCs w:val="16"/>
              </w:rPr>
            </w:pPr>
            <w:r w:rsidRPr="00767C21">
              <w:rPr>
                <w:rFonts w:ascii="Times New Roman" w:hAnsi="Times New Roman" w:cs="Times New Roman"/>
                <w:b/>
                <w:bCs/>
                <w:sz w:val="16"/>
                <w:szCs w:val="16"/>
              </w:rPr>
              <w:t>100.0000</w:t>
            </w:r>
          </w:p>
        </w:tc>
      </w:tr>
    </w:tbl>
    <w:p w14:paraId="2AE70632" w14:textId="755D591F" w:rsidR="00BA5D99" w:rsidRPr="00D42ADC" w:rsidRDefault="00A10B88" w:rsidP="00CF6CCC">
      <w:pPr>
        <w:pStyle w:val="Heading2"/>
        <w:spacing w:line="240" w:lineRule="atLeast"/>
        <w:rPr>
          <w:b w:val="0"/>
          <w:bCs w:val="0"/>
          <w:sz w:val="20"/>
          <w:szCs w:val="20"/>
        </w:rPr>
      </w:pPr>
      <w:bookmarkStart w:id="101" w:name="_Toc221293008"/>
      <w:bookmarkStart w:id="102" w:name="_Toc222399499"/>
      <w:r w:rsidRPr="00D42ADC">
        <w:rPr>
          <w:rStyle w:val="Heading2Char"/>
          <w:b/>
          <w:bCs/>
          <w:sz w:val="20"/>
          <w:szCs w:val="20"/>
        </w:rPr>
        <w:t>ANNEXURE V.4</w:t>
      </w:r>
      <w:r w:rsidR="00BA5D99" w:rsidRPr="00D42ADC">
        <w:rPr>
          <w:rStyle w:val="Heading2Char"/>
          <w:b/>
          <w:bCs/>
          <w:sz w:val="20"/>
          <w:szCs w:val="20"/>
        </w:rPr>
        <w:br/>
      </w:r>
      <w:r w:rsidRPr="00D42ADC">
        <w:rPr>
          <w:rStyle w:val="Heading2Char"/>
          <w:b/>
          <w:bCs/>
          <w:sz w:val="20"/>
          <w:szCs w:val="20"/>
        </w:rPr>
        <w:t xml:space="preserve">Comparable Estimates </w:t>
      </w:r>
      <w:proofErr w:type="gramStart"/>
      <w:r w:rsidRPr="00D42ADC">
        <w:rPr>
          <w:rStyle w:val="Heading2Char"/>
          <w:b/>
          <w:bCs/>
          <w:sz w:val="20"/>
          <w:szCs w:val="20"/>
        </w:rPr>
        <w:t>Of</w:t>
      </w:r>
      <w:proofErr w:type="gramEnd"/>
      <w:r w:rsidRPr="00D42ADC">
        <w:rPr>
          <w:rStyle w:val="Heading2Char"/>
          <w:b/>
          <w:bCs/>
          <w:sz w:val="20"/>
          <w:szCs w:val="20"/>
        </w:rPr>
        <w:t xml:space="preserve"> Net State Domestic Product </w:t>
      </w:r>
      <w:proofErr w:type="gramStart"/>
      <w:r w:rsidRPr="00D42ADC">
        <w:rPr>
          <w:rStyle w:val="Heading2Char"/>
          <w:b/>
          <w:bCs/>
          <w:sz w:val="20"/>
          <w:szCs w:val="20"/>
        </w:rPr>
        <w:t>At</w:t>
      </w:r>
      <w:proofErr w:type="gramEnd"/>
      <w:r w:rsidRPr="00D42ADC">
        <w:rPr>
          <w:rStyle w:val="Heading2Char"/>
          <w:b/>
          <w:bCs/>
          <w:sz w:val="20"/>
          <w:szCs w:val="20"/>
        </w:rPr>
        <w:t xml:space="preserve"> Current Prices (1982-83 To 1984-85) - New Series</w:t>
      </w:r>
      <w:bookmarkEnd w:id="101"/>
      <w:bookmarkEnd w:id="102"/>
    </w:p>
    <w:p w14:paraId="09294165" w14:textId="51404D6C" w:rsidR="00BA5D99" w:rsidRPr="00D42ADC" w:rsidRDefault="00BA5D99" w:rsidP="00D42ADC">
      <w:pPr>
        <w:spacing w:after="0"/>
        <w:jc w:val="center"/>
        <w:rPr>
          <w:rFonts w:ascii="Times New Roman" w:hAnsi="Times New Roman" w:cs="Times New Roman"/>
          <w:sz w:val="20"/>
          <w:szCs w:val="18"/>
        </w:rPr>
      </w:pPr>
      <w:bookmarkStart w:id="103" w:name="_Toc221293009"/>
      <w:r w:rsidRPr="00D42ADC">
        <w:rPr>
          <w:rFonts w:ascii="Times New Roman" w:hAnsi="Times New Roman" w:cs="Times New Roman"/>
          <w:sz w:val="20"/>
          <w:szCs w:val="18"/>
        </w:rPr>
        <w:t>(Para 5.17)</w:t>
      </w:r>
      <w:bookmarkEnd w:id="103"/>
    </w:p>
    <w:p w14:paraId="6B4D9FB1" w14:textId="1BF42D7C" w:rsidR="00BA5D99" w:rsidRPr="0084657D" w:rsidRDefault="00BA5D99" w:rsidP="00D42ADC">
      <w:pPr>
        <w:spacing w:after="0" w:line="240" w:lineRule="atLeast"/>
        <w:ind w:left="4320" w:firstLine="720"/>
        <w:jc w:val="center"/>
        <w:rPr>
          <w:i/>
          <w:iCs/>
          <w:sz w:val="18"/>
          <w:szCs w:val="16"/>
        </w:rPr>
      </w:pPr>
      <w:r w:rsidRPr="0084657D">
        <w:rPr>
          <w:i/>
          <w:iCs/>
          <w:sz w:val="18"/>
          <w:szCs w:val="16"/>
        </w:rPr>
        <w:t>(Rs. Lakh)</w:t>
      </w:r>
    </w:p>
    <w:tbl>
      <w:tblPr>
        <w:tblW w:w="6516" w:type="dxa"/>
        <w:jc w:val="center"/>
        <w:tblLook w:val="04A0" w:firstRow="1" w:lastRow="0" w:firstColumn="1" w:lastColumn="0" w:noHBand="0" w:noVBand="1"/>
      </w:tblPr>
      <w:tblGrid>
        <w:gridCol w:w="421"/>
        <w:gridCol w:w="1554"/>
        <w:gridCol w:w="856"/>
        <w:gridCol w:w="856"/>
        <w:gridCol w:w="856"/>
        <w:gridCol w:w="856"/>
        <w:gridCol w:w="1117"/>
      </w:tblGrid>
      <w:tr w:rsidR="00CF6CCC" w:rsidRPr="00CF6CCC" w14:paraId="7F721B2E" w14:textId="77777777" w:rsidTr="00D42ADC">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A4D20DD"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1554" w:type="dxa"/>
            <w:tcBorders>
              <w:top w:val="single" w:sz="4" w:space="0" w:color="auto"/>
              <w:left w:val="nil"/>
              <w:bottom w:val="single" w:sz="4" w:space="0" w:color="auto"/>
              <w:right w:val="single" w:sz="4" w:space="0" w:color="auto"/>
            </w:tcBorders>
            <w:vAlign w:val="center"/>
            <w:hideMark/>
          </w:tcPr>
          <w:p w14:paraId="0BF29428" w14:textId="77777777" w:rsidR="00CF6CCC" w:rsidRPr="00CF6CCC" w:rsidRDefault="00CF6CCC" w:rsidP="00CF6CCC">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 </w:t>
            </w:r>
          </w:p>
        </w:tc>
        <w:tc>
          <w:tcPr>
            <w:tcW w:w="856" w:type="dxa"/>
            <w:tcBorders>
              <w:top w:val="single" w:sz="4" w:space="0" w:color="auto"/>
              <w:left w:val="nil"/>
              <w:bottom w:val="single" w:sz="4" w:space="0" w:color="auto"/>
              <w:right w:val="single" w:sz="4" w:space="0" w:color="auto"/>
            </w:tcBorders>
            <w:vAlign w:val="center"/>
            <w:hideMark/>
          </w:tcPr>
          <w:p w14:paraId="742A7C26"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1982-83</w:t>
            </w:r>
          </w:p>
        </w:tc>
        <w:tc>
          <w:tcPr>
            <w:tcW w:w="856" w:type="dxa"/>
            <w:tcBorders>
              <w:top w:val="single" w:sz="4" w:space="0" w:color="auto"/>
              <w:left w:val="nil"/>
              <w:bottom w:val="single" w:sz="4" w:space="0" w:color="auto"/>
              <w:right w:val="single" w:sz="4" w:space="0" w:color="auto"/>
            </w:tcBorders>
            <w:vAlign w:val="center"/>
            <w:hideMark/>
          </w:tcPr>
          <w:p w14:paraId="1CE9B1CC"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1983-84</w:t>
            </w:r>
          </w:p>
        </w:tc>
        <w:tc>
          <w:tcPr>
            <w:tcW w:w="856" w:type="dxa"/>
            <w:tcBorders>
              <w:top w:val="single" w:sz="4" w:space="0" w:color="auto"/>
              <w:left w:val="nil"/>
              <w:bottom w:val="single" w:sz="4" w:space="0" w:color="auto"/>
              <w:right w:val="single" w:sz="4" w:space="0" w:color="auto"/>
            </w:tcBorders>
            <w:vAlign w:val="center"/>
            <w:hideMark/>
          </w:tcPr>
          <w:p w14:paraId="4C56997A"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1984-85</w:t>
            </w:r>
          </w:p>
        </w:tc>
        <w:tc>
          <w:tcPr>
            <w:tcW w:w="856" w:type="dxa"/>
            <w:tcBorders>
              <w:top w:val="single" w:sz="4" w:space="0" w:color="auto"/>
              <w:left w:val="nil"/>
              <w:bottom w:val="single" w:sz="4" w:space="0" w:color="auto"/>
              <w:right w:val="single" w:sz="4" w:space="0" w:color="auto"/>
            </w:tcBorders>
            <w:vAlign w:val="center"/>
            <w:hideMark/>
          </w:tcPr>
          <w:p w14:paraId="314ACA44"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Total</w:t>
            </w:r>
          </w:p>
        </w:tc>
        <w:tc>
          <w:tcPr>
            <w:tcW w:w="1117" w:type="dxa"/>
            <w:tcBorders>
              <w:top w:val="single" w:sz="4" w:space="0" w:color="auto"/>
              <w:left w:val="nil"/>
              <w:bottom w:val="single" w:sz="4" w:space="0" w:color="auto"/>
              <w:right w:val="single" w:sz="4" w:space="0" w:color="auto"/>
            </w:tcBorders>
            <w:vAlign w:val="center"/>
            <w:hideMark/>
          </w:tcPr>
          <w:p w14:paraId="1D3E7097"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Average (1982-85)</w:t>
            </w:r>
          </w:p>
        </w:tc>
      </w:tr>
      <w:tr w:rsidR="00CF6CCC" w:rsidRPr="00CF6CCC" w14:paraId="16B6BE6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789BB1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w:t>
            </w:r>
          </w:p>
        </w:tc>
        <w:tc>
          <w:tcPr>
            <w:tcW w:w="1554" w:type="dxa"/>
            <w:tcBorders>
              <w:top w:val="nil"/>
              <w:left w:val="nil"/>
              <w:bottom w:val="single" w:sz="4" w:space="0" w:color="auto"/>
              <w:right w:val="single" w:sz="4" w:space="0" w:color="auto"/>
            </w:tcBorders>
            <w:vAlign w:val="center"/>
            <w:hideMark/>
          </w:tcPr>
          <w:p w14:paraId="59DBDD57"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Andhra Pradesh</w:t>
            </w:r>
          </w:p>
        </w:tc>
        <w:tc>
          <w:tcPr>
            <w:tcW w:w="856" w:type="dxa"/>
            <w:tcBorders>
              <w:top w:val="nil"/>
              <w:left w:val="nil"/>
              <w:bottom w:val="single" w:sz="4" w:space="0" w:color="auto"/>
              <w:right w:val="single" w:sz="4" w:space="0" w:color="auto"/>
            </w:tcBorders>
            <w:vAlign w:val="center"/>
            <w:hideMark/>
          </w:tcPr>
          <w:p w14:paraId="62C726F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990706</w:t>
            </w:r>
          </w:p>
        </w:tc>
        <w:tc>
          <w:tcPr>
            <w:tcW w:w="856" w:type="dxa"/>
            <w:tcBorders>
              <w:top w:val="nil"/>
              <w:left w:val="nil"/>
              <w:bottom w:val="single" w:sz="4" w:space="0" w:color="auto"/>
              <w:right w:val="single" w:sz="4" w:space="0" w:color="auto"/>
            </w:tcBorders>
            <w:vAlign w:val="center"/>
            <w:hideMark/>
          </w:tcPr>
          <w:p w14:paraId="0D2F0C8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1211448</w:t>
            </w:r>
          </w:p>
        </w:tc>
        <w:tc>
          <w:tcPr>
            <w:tcW w:w="856" w:type="dxa"/>
            <w:tcBorders>
              <w:top w:val="nil"/>
              <w:left w:val="nil"/>
              <w:bottom w:val="single" w:sz="4" w:space="0" w:color="auto"/>
              <w:right w:val="single" w:sz="4" w:space="0" w:color="auto"/>
            </w:tcBorders>
            <w:vAlign w:val="center"/>
            <w:hideMark/>
          </w:tcPr>
          <w:p w14:paraId="61006A5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1269209</w:t>
            </w:r>
          </w:p>
        </w:tc>
        <w:tc>
          <w:tcPr>
            <w:tcW w:w="856" w:type="dxa"/>
            <w:tcBorders>
              <w:top w:val="nil"/>
              <w:left w:val="nil"/>
              <w:bottom w:val="single" w:sz="4" w:space="0" w:color="auto"/>
              <w:right w:val="single" w:sz="4" w:space="0" w:color="auto"/>
            </w:tcBorders>
            <w:vAlign w:val="center"/>
            <w:hideMark/>
          </w:tcPr>
          <w:p w14:paraId="67FD4B0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3471363</w:t>
            </w:r>
          </w:p>
        </w:tc>
        <w:tc>
          <w:tcPr>
            <w:tcW w:w="1117" w:type="dxa"/>
            <w:tcBorders>
              <w:top w:val="nil"/>
              <w:left w:val="nil"/>
              <w:bottom w:val="single" w:sz="4" w:space="0" w:color="auto"/>
              <w:right w:val="single" w:sz="4" w:space="0" w:color="auto"/>
            </w:tcBorders>
            <w:vAlign w:val="center"/>
            <w:hideMark/>
          </w:tcPr>
          <w:p w14:paraId="7B340BD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1157121</w:t>
            </w:r>
          </w:p>
        </w:tc>
      </w:tr>
      <w:tr w:rsidR="00CF6CCC" w:rsidRPr="00CF6CCC" w14:paraId="5165EBB4"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BB2342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w:t>
            </w:r>
          </w:p>
        </w:tc>
        <w:tc>
          <w:tcPr>
            <w:tcW w:w="1554" w:type="dxa"/>
            <w:tcBorders>
              <w:top w:val="nil"/>
              <w:left w:val="nil"/>
              <w:bottom w:val="single" w:sz="4" w:space="0" w:color="auto"/>
              <w:right w:val="single" w:sz="4" w:space="0" w:color="auto"/>
            </w:tcBorders>
            <w:vAlign w:val="center"/>
            <w:hideMark/>
          </w:tcPr>
          <w:p w14:paraId="7E88913D"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Arunachal Pradesh</w:t>
            </w:r>
          </w:p>
        </w:tc>
        <w:tc>
          <w:tcPr>
            <w:tcW w:w="856" w:type="dxa"/>
            <w:tcBorders>
              <w:top w:val="nil"/>
              <w:left w:val="nil"/>
              <w:bottom w:val="single" w:sz="4" w:space="0" w:color="auto"/>
              <w:right w:val="single" w:sz="4" w:space="0" w:color="auto"/>
            </w:tcBorders>
            <w:vAlign w:val="center"/>
            <w:hideMark/>
          </w:tcPr>
          <w:p w14:paraId="5838CAC5"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15852</w:t>
            </w:r>
          </w:p>
        </w:tc>
        <w:tc>
          <w:tcPr>
            <w:tcW w:w="856" w:type="dxa"/>
            <w:tcBorders>
              <w:top w:val="nil"/>
              <w:left w:val="nil"/>
              <w:bottom w:val="single" w:sz="4" w:space="0" w:color="auto"/>
              <w:right w:val="single" w:sz="4" w:space="0" w:color="auto"/>
            </w:tcBorders>
            <w:vAlign w:val="center"/>
            <w:hideMark/>
          </w:tcPr>
          <w:p w14:paraId="15C7B9E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19609</w:t>
            </w:r>
          </w:p>
        </w:tc>
        <w:tc>
          <w:tcPr>
            <w:tcW w:w="856" w:type="dxa"/>
            <w:tcBorders>
              <w:top w:val="nil"/>
              <w:left w:val="nil"/>
              <w:bottom w:val="single" w:sz="4" w:space="0" w:color="auto"/>
              <w:right w:val="single" w:sz="4" w:space="0" w:color="auto"/>
            </w:tcBorders>
            <w:vAlign w:val="center"/>
            <w:hideMark/>
          </w:tcPr>
          <w:p w14:paraId="2A34116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20704</w:t>
            </w:r>
          </w:p>
        </w:tc>
        <w:tc>
          <w:tcPr>
            <w:tcW w:w="856" w:type="dxa"/>
            <w:tcBorders>
              <w:top w:val="nil"/>
              <w:left w:val="nil"/>
              <w:bottom w:val="single" w:sz="4" w:space="0" w:color="auto"/>
              <w:right w:val="single" w:sz="4" w:space="0" w:color="auto"/>
            </w:tcBorders>
            <w:vAlign w:val="center"/>
            <w:hideMark/>
          </w:tcPr>
          <w:p w14:paraId="2A8BD27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56165</w:t>
            </w:r>
          </w:p>
        </w:tc>
        <w:tc>
          <w:tcPr>
            <w:tcW w:w="1117" w:type="dxa"/>
            <w:tcBorders>
              <w:top w:val="nil"/>
              <w:left w:val="nil"/>
              <w:bottom w:val="single" w:sz="4" w:space="0" w:color="auto"/>
              <w:right w:val="single" w:sz="4" w:space="0" w:color="auto"/>
            </w:tcBorders>
            <w:vAlign w:val="center"/>
            <w:hideMark/>
          </w:tcPr>
          <w:p w14:paraId="5115EE5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18722</w:t>
            </w:r>
          </w:p>
        </w:tc>
      </w:tr>
      <w:tr w:rsidR="00CF6CCC" w:rsidRPr="00CF6CCC" w14:paraId="29CA1E23"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E103FA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w:t>
            </w:r>
          </w:p>
        </w:tc>
        <w:tc>
          <w:tcPr>
            <w:tcW w:w="1554" w:type="dxa"/>
            <w:tcBorders>
              <w:top w:val="nil"/>
              <w:left w:val="nil"/>
              <w:bottom w:val="single" w:sz="4" w:space="0" w:color="auto"/>
              <w:right w:val="single" w:sz="4" w:space="0" w:color="auto"/>
            </w:tcBorders>
            <w:vAlign w:val="center"/>
            <w:hideMark/>
          </w:tcPr>
          <w:p w14:paraId="60665BF4"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Assam</w:t>
            </w:r>
          </w:p>
        </w:tc>
        <w:tc>
          <w:tcPr>
            <w:tcW w:w="856" w:type="dxa"/>
            <w:tcBorders>
              <w:top w:val="nil"/>
              <w:left w:val="nil"/>
              <w:bottom w:val="single" w:sz="4" w:space="0" w:color="auto"/>
              <w:right w:val="single" w:sz="4" w:space="0" w:color="auto"/>
            </w:tcBorders>
            <w:vAlign w:val="center"/>
            <w:hideMark/>
          </w:tcPr>
          <w:p w14:paraId="51E296A0"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327776</w:t>
            </w:r>
          </w:p>
        </w:tc>
        <w:tc>
          <w:tcPr>
            <w:tcW w:w="856" w:type="dxa"/>
            <w:tcBorders>
              <w:top w:val="nil"/>
              <w:left w:val="nil"/>
              <w:bottom w:val="single" w:sz="4" w:space="0" w:color="auto"/>
              <w:right w:val="single" w:sz="4" w:space="0" w:color="auto"/>
            </w:tcBorders>
            <w:vAlign w:val="center"/>
            <w:hideMark/>
          </w:tcPr>
          <w:p w14:paraId="7CB9630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393060</w:t>
            </w:r>
          </w:p>
        </w:tc>
        <w:tc>
          <w:tcPr>
            <w:tcW w:w="856" w:type="dxa"/>
            <w:tcBorders>
              <w:top w:val="nil"/>
              <w:left w:val="nil"/>
              <w:bottom w:val="single" w:sz="4" w:space="0" w:color="auto"/>
              <w:right w:val="single" w:sz="4" w:space="0" w:color="auto"/>
            </w:tcBorders>
            <w:vAlign w:val="center"/>
            <w:hideMark/>
          </w:tcPr>
          <w:p w14:paraId="6F19A4E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465925</w:t>
            </w:r>
          </w:p>
        </w:tc>
        <w:tc>
          <w:tcPr>
            <w:tcW w:w="856" w:type="dxa"/>
            <w:tcBorders>
              <w:top w:val="nil"/>
              <w:left w:val="nil"/>
              <w:bottom w:val="single" w:sz="4" w:space="0" w:color="auto"/>
              <w:right w:val="single" w:sz="4" w:space="0" w:color="auto"/>
            </w:tcBorders>
            <w:vAlign w:val="center"/>
            <w:hideMark/>
          </w:tcPr>
          <w:p w14:paraId="45D8920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1186761</w:t>
            </w:r>
          </w:p>
        </w:tc>
        <w:tc>
          <w:tcPr>
            <w:tcW w:w="1117" w:type="dxa"/>
            <w:tcBorders>
              <w:top w:val="nil"/>
              <w:left w:val="nil"/>
              <w:bottom w:val="single" w:sz="4" w:space="0" w:color="auto"/>
              <w:right w:val="single" w:sz="4" w:space="0" w:color="auto"/>
            </w:tcBorders>
            <w:vAlign w:val="center"/>
            <w:hideMark/>
          </w:tcPr>
          <w:p w14:paraId="2066FB7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395587</w:t>
            </w:r>
          </w:p>
        </w:tc>
      </w:tr>
      <w:tr w:rsidR="00CF6CCC" w:rsidRPr="00CF6CCC" w14:paraId="49E41AE3"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9F2DBA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w:t>
            </w:r>
          </w:p>
        </w:tc>
        <w:tc>
          <w:tcPr>
            <w:tcW w:w="1554" w:type="dxa"/>
            <w:tcBorders>
              <w:top w:val="nil"/>
              <w:left w:val="nil"/>
              <w:bottom w:val="single" w:sz="4" w:space="0" w:color="auto"/>
              <w:right w:val="single" w:sz="4" w:space="0" w:color="auto"/>
            </w:tcBorders>
            <w:vAlign w:val="center"/>
            <w:hideMark/>
          </w:tcPr>
          <w:p w14:paraId="04E0DB87"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Bihar</w:t>
            </w:r>
          </w:p>
        </w:tc>
        <w:tc>
          <w:tcPr>
            <w:tcW w:w="856" w:type="dxa"/>
            <w:tcBorders>
              <w:top w:val="nil"/>
              <w:left w:val="nil"/>
              <w:bottom w:val="single" w:sz="4" w:space="0" w:color="auto"/>
              <w:right w:val="single" w:sz="4" w:space="0" w:color="auto"/>
            </w:tcBorders>
            <w:vAlign w:val="center"/>
            <w:hideMark/>
          </w:tcPr>
          <w:p w14:paraId="41527F5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827324</w:t>
            </w:r>
          </w:p>
        </w:tc>
        <w:tc>
          <w:tcPr>
            <w:tcW w:w="856" w:type="dxa"/>
            <w:tcBorders>
              <w:top w:val="nil"/>
              <w:left w:val="nil"/>
              <w:bottom w:val="single" w:sz="4" w:space="0" w:color="auto"/>
              <w:right w:val="single" w:sz="4" w:space="0" w:color="auto"/>
            </w:tcBorders>
            <w:vAlign w:val="center"/>
            <w:hideMark/>
          </w:tcPr>
          <w:p w14:paraId="14EB25E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969824</w:t>
            </w:r>
          </w:p>
        </w:tc>
        <w:tc>
          <w:tcPr>
            <w:tcW w:w="856" w:type="dxa"/>
            <w:tcBorders>
              <w:top w:val="nil"/>
              <w:left w:val="nil"/>
              <w:bottom w:val="single" w:sz="4" w:space="0" w:color="auto"/>
              <w:right w:val="single" w:sz="4" w:space="0" w:color="auto"/>
            </w:tcBorders>
            <w:vAlign w:val="center"/>
            <w:hideMark/>
          </w:tcPr>
          <w:p w14:paraId="1C1938A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1142014</w:t>
            </w:r>
          </w:p>
        </w:tc>
        <w:tc>
          <w:tcPr>
            <w:tcW w:w="856" w:type="dxa"/>
            <w:tcBorders>
              <w:top w:val="nil"/>
              <w:left w:val="nil"/>
              <w:bottom w:val="single" w:sz="4" w:space="0" w:color="auto"/>
              <w:right w:val="single" w:sz="4" w:space="0" w:color="auto"/>
            </w:tcBorders>
            <w:vAlign w:val="center"/>
            <w:hideMark/>
          </w:tcPr>
          <w:p w14:paraId="0EA01C1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2939162</w:t>
            </w:r>
          </w:p>
        </w:tc>
        <w:tc>
          <w:tcPr>
            <w:tcW w:w="1117" w:type="dxa"/>
            <w:tcBorders>
              <w:top w:val="nil"/>
              <w:left w:val="nil"/>
              <w:bottom w:val="single" w:sz="4" w:space="0" w:color="auto"/>
              <w:right w:val="single" w:sz="4" w:space="0" w:color="auto"/>
            </w:tcBorders>
            <w:vAlign w:val="center"/>
            <w:hideMark/>
          </w:tcPr>
          <w:p w14:paraId="2F617C2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979721</w:t>
            </w:r>
          </w:p>
        </w:tc>
      </w:tr>
      <w:tr w:rsidR="00CF6CCC" w:rsidRPr="00CF6CCC" w14:paraId="05EBC5D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EE85DF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w:t>
            </w:r>
          </w:p>
        </w:tc>
        <w:tc>
          <w:tcPr>
            <w:tcW w:w="1554" w:type="dxa"/>
            <w:tcBorders>
              <w:top w:val="nil"/>
              <w:left w:val="nil"/>
              <w:bottom w:val="single" w:sz="4" w:space="0" w:color="auto"/>
              <w:right w:val="single" w:sz="4" w:space="0" w:color="auto"/>
            </w:tcBorders>
            <w:vAlign w:val="center"/>
            <w:hideMark/>
          </w:tcPr>
          <w:p w14:paraId="4368BA78"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Goa</w:t>
            </w:r>
          </w:p>
        </w:tc>
        <w:tc>
          <w:tcPr>
            <w:tcW w:w="856" w:type="dxa"/>
            <w:tcBorders>
              <w:top w:val="nil"/>
              <w:left w:val="nil"/>
              <w:bottom w:val="single" w:sz="4" w:space="0" w:color="auto"/>
              <w:right w:val="single" w:sz="4" w:space="0" w:color="auto"/>
            </w:tcBorders>
            <w:vAlign w:val="center"/>
            <w:hideMark/>
          </w:tcPr>
          <w:p w14:paraId="23C6783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42180</w:t>
            </w:r>
          </w:p>
        </w:tc>
        <w:tc>
          <w:tcPr>
            <w:tcW w:w="856" w:type="dxa"/>
            <w:tcBorders>
              <w:top w:val="nil"/>
              <w:left w:val="nil"/>
              <w:bottom w:val="single" w:sz="4" w:space="0" w:color="auto"/>
              <w:right w:val="single" w:sz="4" w:space="0" w:color="auto"/>
            </w:tcBorders>
            <w:vAlign w:val="center"/>
            <w:hideMark/>
          </w:tcPr>
          <w:p w14:paraId="0FFEC20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44279</w:t>
            </w:r>
          </w:p>
        </w:tc>
        <w:tc>
          <w:tcPr>
            <w:tcW w:w="856" w:type="dxa"/>
            <w:tcBorders>
              <w:top w:val="nil"/>
              <w:left w:val="nil"/>
              <w:bottom w:val="single" w:sz="4" w:space="0" w:color="auto"/>
              <w:right w:val="single" w:sz="4" w:space="0" w:color="auto"/>
            </w:tcBorders>
            <w:vAlign w:val="center"/>
            <w:hideMark/>
          </w:tcPr>
          <w:p w14:paraId="3B665D8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56433</w:t>
            </w:r>
          </w:p>
        </w:tc>
        <w:tc>
          <w:tcPr>
            <w:tcW w:w="856" w:type="dxa"/>
            <w:tcBorders>
              <w:top w:val="nil"/>
              <w:left w:val="nil"/>
              <w:bottom w:val="single" w:sz="4" w:space="0" w:color="auto"/>
              <w:right w:val="single" w:sz="4" w:space="0" w:color="auto"/>
            </w:tcBorders>
            <w:vAlign w:val="center"/>
            <w:hideMark/>
          </w:tcPr>
          <w:p w14:paraId="611F2630"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142892</w:t>
            </w:r>
          </w:p>
        </w:tc>
        <w:tc>
          <w:tcPr>
            <w:tcW w:w="1117" w:type="dxa"/>
            <w:tcBorders>
              <w:top w:val="nil"/>
              <w:left w:val="nil"/>
              <w:bottom w:val="single" w:sz="4" w:space="0" w:color="auto"/>
              <w:right w:val="single" w:sz="4" w:space="0" w:color="auto"/>
            </w:tcBorders>
            <w:vAlign w:val="center"/>
            <w:hideMark/>
          </w:tcPr>
          <w:p w14:paraId="0308DBF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47631</w:t>
            </w:r>
          </w:p>
        </w:tc>
      </w:tr>
      <w:tr w:rsidR="00CF6CCC" w:rsidRPr="00CF6CCC" w14:paraId="5F01D3C4"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11074B0"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w:t>
            </w:r>
          </w:p>
        </w:tc>
        <w:tc>
          <w:tcPr>
            <w:tcW w:w="1554" w:type="dxa"/>
            <w:tcBorders>
              <w:top w:val="nil"/>
              <w:left w:val="nil"/>
              <w:bottom w:val="single" w:sz="4" w:space="0" w:color="auto"/>
              <w:right w:val="single" w:sz="4" w:space="0" w:color="auto"/>
            </w:tcBorders>
            <w:vAlign w:val="center"/>
            <w:hideMark/>
          </w:tcPr>
          <w:p w14:paraId="2F595048"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Gujarat</w:t>
            </w:r>
          </w:p>
        </w:tc>
        <w:tc>
          <w:tcPr>
            <w:tcW w:w="856" w:type="dxa"/>
            <w:tcBorders>
              <w:top w:val="nil"/>
              <w:left w:val="nil"/>
              <w:bottom w:val="single" w:sz="4" w:space="0" w:color="auto"/>
              <w:right w:val="single" w:sz="4" w:space="0" w:color="auto"/>
            </w:tcBorders>
            <w:vAlign w:val="center"/>
            <w:hideMark/>
          </w:tcPr>
          <w:p w14:paraId="1069A83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895750</w:t>
            </w:r>
          </w:p>
        </w:tc>
        <w:tc>
          <w:tcPr>
            <w:tcW w:w="856" w:type="dxa"/>
            <w:tcBorders>
              <w:top w:val="nil"/>
              <w:left w:val="nil"/>
              <w:bottom w:val="single" w:sz="4" w:space="0" w:color="auto"/>
              <w:right w:val="single" w:sz="4" w:space="0" w:color="auto"/>
            </w:tcBorders>
            <w:vAlign w:val="center"/>
            <w:hideMark/>
          </w:tcPr>
          <w:p w14:paraId="4067C39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1105388</w:t>
            </w:r>
          </w:p>
        </w:tc>
        <w:tc>
          <w:tcPr>
            <w:tcW w:w="856" w:type="dxa"/>
            <w:tcBorders>
              <w:top w:val="nil"/>
              <w:left w:val="nil"/>
              <w:bottom w:val="single" w:sz="4" w:space="0" w:color="auto"/>
              <w:right w:val="single" w:sz="4" w:space="0" w:color="auto"/>
            </w:tcBorders>
            <w:vAlign w:val="center"/>
            <w:hideMark/>
          </w:tcPr>
          <w:p w14:paraId="67C8324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1154468</w:t>
            </w:r>
          </w:p>
        </w:tc>
        <w:tc>
          <w:tcPr>
            <w:tcW w:w="856" w:type="dxa"/>
            <w:tcBorders>
              <w:top w:val="nil"/>
              <w:left w:val="nil"/>
              <w:bottom w:val="single" w:sz="4" w:space="0" w:color="auto"/>
              <w:right w:val="single" w:sz="4" w:space="0" w:color="auto"/>
            </w:tcBorders>
            <w:vAlign w:val="center"/>
            <w:hideMark/>
          </w:tcPr>
          <w:p w14:paraId="063CC7C0"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3155606</w:t>
            </w:r>
          </w:p>
        </w:tc>
        <w:tc>
          <w:tcPr>
            <w:tcW w:w="1117" w:type="dxa"/>
            <w:tcBorders>
              <w:top w:val="nil"/>
              <w:left w:val="nil"/>
              <w:bottom w:val="single" w:sz="4" w:space="0" w:color="auto"/>
              <w:right w:val="single" w:sz="4" w:space="0" w:color="auto"/>
            </w:tcBorders>
            <w:vAlign w:val="center"/>
            <w:hideMark/>
          </w:tcPr>
          <w:p w14:paraId="64C7C5F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1051869</w:t>
            </w:r>
          </w:p>
        </w:tc>
      </w:tr>
      <w:tr w:rsidR="00CF6CCC" w:rsidRPr="00CF6CCC" w14:paraId="2E7BAE06"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6425F3E5"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w:t>
            </w:r>
          </w:p>
        </w:tc>
        <w:tc>
          <w:tcPr>
            <w:tcW w:w="1554" w:type="dxa"/>
            <w:tcBorders>
              <w:top w:val="nil"/>
              <w:left w:val="nil"/>
              <w:bottom w:val="single" w:sz="4" w:space="0" w:color="auto"/>
              <w:right w:val="single" w:sz="4" w:space="0" w:color="auto"/>
            </w:tcBorders>
            <w:vAlign w:val="center"/>
            <w:hideMark/>
          </w:tcPr>
          <w:p w14:paraId="1F0A9566"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Haryana</w:t>
            </w:r>
          </w:p>
        </w:tc>
        <w:tc>
          <w:tcPr>
            <w:tcW w:w="856" w:type="dxa"/>
            <w:tcBorders>
              <w:top w:val="nil"/>
              <w:left w:val="nil"/>
              <w:bottom w:val="single" w:sz="4" w:space="0" w:color="auto"/>
              <w:right w:val="single" w:sz="4" w:space="0" w:color="auto"/>
            </w:tcBorders>
            <w:vAlign w:val="center"/>
            <w:hideMark/>
          </w:tcPr>
          <w:p w14:paraId="7412318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387616</w:t>
            </w:r>
          </w:p>
        </w:tc>
        <w:tc>
          <w:tcPr>
            <w:tcW w:w="856" w:type="dxa"/>
            <w:tcBorders>
              <w:top w:val="nil"/>
              <w:left w:val="nil"/>
              <w:bottom w:val="single" w:sz="4" w:space="0" w:color="auto"/>
              <w:right w:val="single" w:sz="4" w:space="0" w:color="auto"/>
            </w:tcBorders>
            <w:vAlign w:val="center"/>
            <w:hideMark/>
          </w:tcPr>
          <w:p w14:paraId="7903398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416563</w:t>
            </w:r>
          </w:p>
        </w:tc>
        <w:tc>
          <w:tcPr>
            <w:tcW w:w="856" w:type="dxa"/>
            <w:tcBorders>
              <w:top w:val="nil"/>
              <w:left w:val="nil"/>
              <w:bottom w:val="single" w:sz="4" w:space="0" w:color="auto"/>
              <w:right w:val="single" w:sz="4" w:space="0" w:color="auto"/>
            </w:tcBorders>
            <w:vAlign w:val="center"/>
            <w:hideMark/>
          </w:tcPr>
          <w:p w14:paraId="0BC3958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464903</w:t>
            </w:r>
          </w:p>
        </w:tc>
        <w:tc>
          <w:tcPr>
            <w:tcW w:w="856" w:type="dxa"/>
            <w:tcBorders>
              <w:top w:val="nil"/>
              <w:left w:val="nil"/>
              <w:bottom w:val="single" w:sz="4" w:space="0" w:color="auto"/>
              <w:right w:val="single" w:sz="4" w:space="0" w:color="auto"/>
            </w:tcBorders>
            <w:vAlign w:val="center"/>
            <w:hideMark/>
          </w:tcPr>
          <w:p w14:paraId="694C955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1269082</w:t>
            </w:r>
          </w:p>
        </w:tc>
        <w:tc>
          <w:tcPr>
            <w:tcW w:w="1117" w:type="dxa"/>
            <w:tcBorders>
              <w:top w:val="nil"/>
              <w:left w:val="nil"/>
              <w:bottom w:val="single" w:sz="4" w:space="0" w:color="auto"/>
              <w:right w:val="single" w:sz="4" w:space="0" w:color="auto"/>
            </w:tcBorders>
            <w:vAlign w:val="center"/>
            <w:hideMark/>
          </w:tcPr>
          <w:p w14:paraId="3A0A0C0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423027</w:t>
            </w:r>
          </w:p>
        </w:tc>
      </w:tr>
      <w:tr w:rsidR="00CF6CCC" w:rsidRPr="00CF6CCC" w14:paraId="6250B023"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9CFFB5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w:t>
            </w:r>
          </w:p>
        </w:tc>
        <w:tc>
          <w:tcPr>
            <w:tcW w:w="1554" w:type="dxa"/>
            <w:tcBorders>
              <w:top w:val="nil"/>
              <w:left w:val="nil"/>
              <w:bottom w:val="single" w:sz="4" w:space="0" w:color="auto"/>
              <w:right w:val="single" w:sz="4" w:space="0" w:color="auto"/>
            </w:tcBorders>
            <w:vAlign w:val="center"/>
            <w:hideMark/>
          </w:tcPr>
          <w:p w14:paraId="1AEA064F"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Himachal Pradesh</w:t>
            </w:r>
          </w:p>
        </w:tc>
        <w:tc>
          <w:tcPr>
            <w:tcW w:w="856" w:type="dxa"/>
            <w:tcBorders>
              <w:top w:val="nil"/>
              <w:left w:val="nil"/>
              <w:bottom w:val="single" w:sz="4" w:space="0" w:color="auto"/>
              <w:right w:val="single" w:sz="4" w:space="0" w:color="auto"/>
            </w:tcBorders>
            <w:vAlign w:val="center"/>
            <w:hideMark/>
          </w:tcPr>
          <w:p w14:paraId="1F00C60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88550</w:t>
            </w:r>
          </w:p>
        </w:tc>
        <w:tc>
          <w:tcPr>
            <w:tcW w:w="856" w:type="dxa"/>
            <w:tcBorders>
              <w:top w:val="nil"/>
              <w:left w:val="nil"/>
              <w:bottom w:val="single" w:sz="4" w:space="0" w:color="auto"/>
              <w:right w:val="single" w:sz="4" w:space="0" w:color="auto"/>
            </w:tcBorders>
            <w:vAlign w:val="center"/>
            <w:hideMark/>
          </w:tcPr>
          <w:p w14:paraId="7BBA301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97377</w:t>
            </w:r>
          </w:p>
        </w:tc>
        <w:tc>
          <w:tcPr>
            <w:tcW w:w="856" w:type="dxa"/>
            <w:tcBorders>
              <w:top w:val="nil"/>
              <w:left w:val="nil"/>
              <w:bottom w:val="single" w:sz="4" w:space="0" w:color="auto"/>
              <w:right w:val="single" w:sz="4" w:space="0" w:color="auto"/>
            </w:tcBorders>
            <w:vAlign w:val="center"/>
            <w:hideMark/>
          </w:tcPr>
          <w:p w14:paraId="30D3E6F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98061</w:t>
            </w:r>
          </w:p>
        </w:tc>
        <w:tc>
          <w:tcPr>
            <w:tcW w:w="856" w:type="dxa"/>
            <w:tcBorders>
              <w:top w:val="nil"/>
              <w:left w:val="nil"/>
              <w:bottom w:val="single" w:sz="4" w:space="0" w:color="auto"/>
              <w:right w:val="single" w:sz="4" w:space="0" w:color="auto"/>
            </w:tcBorders>
            <w:vAlign w:val="center"/>
            <w:hideMark/>
          </w:tcPr>
          <w:p w14:paraId="4C50F22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283988</w:t>
            </w:r>
          </w:p>
        </w:tc>
        <w:tc>
          <w:tcPr>
            <w:tcW w:w="1117" w:type="dxa"/>
            <w:tcBorders>
              <w:top w:val="nil"/>
              <w:left w:val="nil"/>
              <w:bottom w:val="single" w:sz="4" w:space="0" w:color="auto"/>
              <w:right w:val="single" w:sz="4" w:space="0" w:color="auto"/>
            </w:tcBorders>
            <w:vAlign w:val="center"/>
            <w:hideMark/>
          </w:tcPr>
          <w:p w14:paraId="5866297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94662</w:t>
            </w:r>
          </w:p>
        </w:tc>
      </w:tr>
      <w:tr w:rsidR="00CF6CCC" w:rsidRPr="00CF6CCC" w14:paraId="40A76EC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C82119F"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w:t>
            </w:r>
          </w:p>
        </w:tc>
        <w:tc>
          <w:tcPr>
            <w:tcW w:w="1554" w:type="dxa"/>
            <w:tcBorders>
              <w:top w:val="nil"/>
              <w:left w:val="nil"/>
              <w:bottom w:val="single" w:sz="4" w:space="0" w:color="auto"/>
              <w:right w:val="single" w:sz="4" w:space="0" w:color="auto"/>
            </w:tcBorders>
            <w:vAlign w:val="center"/>
            <w:hideMark/>
          </w:tcPr>
          <w:p w14:paraId="34EAD19C"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Jammu and Kashmir</w:t>
            </w:r>
          </w:p>
        </w:tc>
        <w:tc>
          <w:tcPr>
            <w:tcW w:w="856" w:type="dxa"/>
            <w:tcBorders>
              <w:top w:val="nil"/>
              <w:left w:val="nil"/>
              <w:bottom w:val="single" w:sz="4" w:space="0" w:color="auto"/>
              <w:right w:val="single" w:sz="4" w:space="0" w:color="auto"/>
            </w:tcBorders>
            <w:vAlign w:val="center"/>
            <w:hideMark/>
          </w:tcPr>
          <w:p w14:paraId="2F78272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128892</w:t>
            </w:r>
          </w:p>
        </w:tc>
        <w:tc>
          <w:tcPr>
            <w:tcW w:w="856" w:type="dxa"/>
            <w:tcBorders>
              <w:top w:val="nil"/>
              <w:left w:val="nil"/>
              <w:bottom w:val="single" w:sz="4" w:space="0" w:color="auto"/>
              <w:right w:val="single" w:sz="4" w:space="0" w:color="auto"/>
            </w:tcBorders>
            <w:vAlign w:val="center"/>
            <w:hideMark/>
          </w:tcPr>
          <w:p w14:paraId="2F823EE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149375</w:t>
            </w:r>
          </w:p>
        </w:tc>
        <w:tc>
          <w:tcPr>
            <w:tcW w:w="856" w:type="dxa"/>
            <w:tcBorders>
              <w:top w:val="nil"/>
              <w:left w:val="nil"/>
              <w:bottom w:val="single" w:sz="4" w:space="0" w:color="auto"/>
              <w:right w:val="single" w:sz="4" w:space="0" w:color="auto"/>
            </w:tcBorders>
            <w:vAlign w:val="center"/>
            <w:hideMark/>
          </w:tcPr>
          <w:p w14:paraId="32B4384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175073</w:t>
            </w:r>
          </w:p>
        </w:tc>
        <w:tc>
          <w:tcPr>
            <w:tcW w:w="856" w:type="dxa"/>
            <w:tcBorders>
              <w:top w:val="nil"/>
              <w:left w:val="nil"/>
              <w:bottom w:val="single" w:sz="4" w:space="0" w:color="auto"/>
              <w:right w:val="single" w:sz="4" w:space="0" w:color="auto"/>
            </w:tcBorders>
            <w:vAlign w:val="center"/>
            <w:hideMark/>
          </w:tcPr>
          <w:p w14:paraId="46DFC825"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453340</w:t>
            </w:r>
          </w:p>
        </w:tc>
        <w:tc>
          <w:tcPr>
            <w:tcW w:w="1117" w:type="dxa"/>
            <w:tcBorders>
              <w:top w:val="nil"/>
              <w:left w:val="nil"/>
              <w:bottom w:val="single" w:sz="4" w:space="0" w:color="auto"/>
              <w:right w:val="single" w:sz="4" w:space="0" w:color="auto"/>
            </w:tcBorders>
            <w:vAlign w:val="center"/>
            <w:hideMark/>
          </w:tcPr>
          <w:p w14:paraId="120E10C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151113</w:t>
            </w:r>
          </w:p>
        </w:tc>
      </w:tr>
      <w:tr w:rsidR="00CF6CCC" w:rsidRPr="00CF6CCC" w14:paraId="32FCC7F9"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250934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w:t>
            </w:r>
          </w:p>
        </w:tc>
        <w:tc>
          <w:tcPr>
            <w:tcW w:w="1554" w:type="dxa"/>
            <w:tcBorders>
              <w:top w:val="nil"/>
              <w:left w:val="nil"/>
              <w:bottom w:val="single" w:sz="4" w:space="0" w:color="auto"/>
              <w:right w:val="single" w:sz="4" w:space="0" w:color="auto"/>
            </w:tcBorders>
            <w:vAlign w:val="center"/>
            <w:hideMark/>
          </w:tcPr>
          <w:p w14:paraId="182E778A"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Karnataka</w:t>
            </w:r>
          </w:p>
        </w:tc>
        <w:tc>
          <w:tcPr>
            <w:tcW w:w="856" w:type="dxa"/>
            <w:tcBorders>
              <w:top w:val="nil"/>
              <w:left w:val="nil"/>
              <w:bottom w:val="single" w:sz="4" w:space="0" w:color="auto"/>
              <w:right w:val="single" w:sz="4" w:space="0" w:color="auto"/>
            </w:tcBorders>
            <w:vAlign w:val="center"/>
            <w:hideMark/>
          </w:tcPr>
          <w:p w14:paraId="49ACA8E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828745</w:t>
            </w:r>
          </w:p>
        </w:tc>
        <w:tc>
          <w:tcPr>
            <w:tcW w:w="856" w:type="dxa"/>
            <w:tcBorders>
              <w:top w:val="nil"/>
              <w:left w:val="nil"/>
              <w:bottom w:val="single" w:sz="4" w:space="0" w:color="auto"/>
              <w:right w:val="single" w:sz="4" w:space="0" w:color="auto"/>
            </w:tcBorders>
            <w:vAlign w:val="center"/>
            <w:hideMark/>
          </w:tcPr>
          <w:p w14:paraId="7FD8492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978485</w:t>
            </w:r>
          </w:p>
        </w:tc>
        <w:tc>
          <w:tcPr>
            <w:tcW w:w="856" w:type="dxa"/>
            <w:tcBorders>
              <w:top w:val="nil"/>
              <w:left w:val="nil"/>
              <w:bottom w:val="single" w:sz="4" w:space="0" w:color="auto"/>
              <w:right w:val="single" w:sz="4" w:space="0" w:color="auto"/>
            </w:tcBorders>
            <w:vAlign w:val="center"/>
            <w:hideMark/>
          </w:tcPr>
          <w:p w14:paraId="277A856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1101567</w:t>
            </w:r>
          </w:p>
        </w:tc>
        <w:tc>
          <w:tcPr>
            <w:tcW w:w="856" w:type="dxa"/>
            <w:tcBorders>
              <w:top w:val="nil"/>
              <w:left w:val="nil"/>
              <w:bottom w:val="single" w:sz="4" w:space="0" w:color="auto"/>
              <w:right w:val="single" w:sz="4" w:space="0" w:color="auto"/>
            </w:tcBorders>
            <w:vAlign w:val="center"/>
            <w:hideMark/>
          </w:tcPr>
          <w:p w14:paraId="225D8BF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2908797</w:t>
            </w:r>
          </w:p>
        </w:tc>
        <w:tc>
          <w:tcPr>
            <w:tcW w:w="1117" w:type="dxa"/>
            <w:tcBorders>
              <w:top w:val="nil"/>
              <w:left w:val="nil"/>
              <w:bottom w:val="single" w:sz="4" w:space="0" w:color="auto"/>
              <w:right w:val="single" w:sz="4" w:space="0" w:color="auto"/>
            </w:tcBorders>
            <w:vAlign w:val="center"/>
            <w:hideMark/>
          </w:tcPr>
          <w:p w14:paraId="79CFC67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969599</w:t>
            </w:r>
          </w:p>
        </w:tc>
      </w:tr>
      <w:tr w:rsidR="00CF6CCC" w:rsidRPr="00CF6CCC" w14:paraId="685A80A4"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26907D1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w:t>
            </w:r>
          </w:p>
        </w:tc>
        <w:tc>
          <w:tcPr>
            <w:tcW w:w="1554" w:type="dxa"/>
            <w:tcBorders>
              <w:top w:val="nil"/>
              <w:left w:val="nil"/>
              <w:bottom w:val="single" w:sz="4" w:space="0" w:color="auto"/>
              <w:right w:val="single" w:sz="4" w:space="0" w:color="auto"/>
            </w:tcBorders>
            <w:vAlign w:val="center"/>
            <w:hideMark/>
          </w:tcPr>
          <w:p w14:paraId="101BA8D6"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Kerala</w:t>
            </w:r>
          </w:p>
        </w:tc>
        <w:tc>
          <w:tcPr>
            <w:tcW w:w="856" w:type="dxa"/>
            <w:tcBorders>
              <w:top w:val="nil"/>
              <w:left w:val="nil"/>
              <w:bottom w:val="single" w:sz="4" w:space="0" w:color="auto"/>
              <w:right w:val="single" w:sz="4" w:space="0" w:color="auto"/>
            </w:tcBorders>
            <w:vAlign w:val="center"/>
            <w:hideMark/>
          </w:tcPr>
          <w:p w14:paraId="1028C62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495316</w:t>
            </w:r>
          </w:p>
        </w:tc>
        <w:tc>
          <w:tcPr>
            <w:tcW w:w="856" w:type="dxa"/>
            <w:tcBorders>
              <w:top w:val="nil"/>
              <w:left w:val="nil"/>
              <w:bottom w:val="single" w:sz="4" w:space="0" w:color="auto"/>
              <w:right w:val="single" w:sz="4" w:space="0" w:color="auto"/>
            </w:tcBorders>
            <w:vAlign w:val="center"/>
            <w:hideMark/>
          </w:tcPr>
          <w:p w14:paraId="07477B2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573124</w:t>
            </w:r>
          </w:p>
        </w:tc>
        <w:tc>
          <w:tcPr>
            <w:tcW w:w="856" w:type="dxa"/>
            <w:tcBorders>
              <w:top w:val="nil"/>
              <w:left w:val="nil"/>
              <w:bottom w:val="single" w:sz="4" w:space="0" w:color="auto"/>
              <w:right w:val="single" w:sz="4" w:space="0" w:color="auto"/>
            </w:tcBorders>
            <w:vAlign w:val="center"/>
            <w:hideMark/>
          </w:tcPr>
          <w:p w14:paraId="5C4D241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648615</w:t>
            </w:r>
          </w:p>
        </w:tc>
        <w:tc>
          <w:tcPr>
            <w:tcW w:w="856" w:type="dxa"/>
            <w:tcBorders>
              <w:top w:val="nil"/>
              <w:left w:val="nil"/>
              <w:bottom w:val="single" w:sz="4" w:space="0" w:color="auto"/>
              <w:right w:val="single" w:sz="4" w:space="0" w:color="auto"/>
            </w:tcBorders>
            <w:vAlign w:val="center"/>
            <w:hideMark/>
          </w:tcPr>
          <w:p w14:paraId="166F8AA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1717055</w:t>
            </w:r>
          </w:p>
        </w:tc>
        <w:tc>
          <w:tcPr>
            <w:tcW w:w="1117" w:type="dxa"/>
            <w:tcBorders>
              <w:top w:val="nil"/>
              <w:left w:val="nil"/>
              <w:bottom w:val="single" w:sz="4" w:space="0" w:color="auto"/>
              <w:right w:val="single" w:sz="4" w:space="0" w:color="auto"/>
            </w:tcBorders>
            <w:vAlign w:val="center"/>
            <w:hideMark/>
          </w:tcPr>
          <w:p w14:paraId="50264CB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572352</w:t>
            </w:r>
          </w:p>
        </w:tc>
      </w:tr>
      <w:tr w:rsidR="00CF6CCC" w:rsidRPr="00CF6CCC" w14:paraId="299A8A9F"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306043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w:t>
            </w:r>
          </w:p>
        </w:tc>
        <w:tc>
          <w:tcPr>
            <w:tcW w:w="1554" w:type="dxa"/>
            <w:tcBorders>
              <w:top w:val="nil"/>
              <w:left w:val="nil"/>
              <w:bottom w:val="single" w:sz="4" w:space="0" w:color="auto"/>
              <w:right w:val="single" w:sz="4" w:space="0" w:color="auto"/>
            </w:tcBorders>
            <w:vAlign w:val="center"/>
            <w:hideMark/>
          </w:tcPr>
          <w:p w14:paraId="48DBCC3A"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Madhya Pradesh</w:t>
            </w:r>
          </w:p>
        </w:tc>
        <w:tc>
          <w:tcPr>
            <w:tcW w:w="856" w:type="dxa"/>
            <w:tcBorders>
              <w:top w:val="nil"/>
              <w:left w:val="nil"/>
              <w:bottom w:val="single" w:sz="4" w:space="0" w:color="auto"/>
              <w:right w:val="single" w:sz="4" w:space="0" w:color="auto"/>
            </w:tcBorders>
            <w:vAlign w:val="center"/>
            <w:hideMark/>
          </w:tcPr>
          <w:p w14:paraId="3336B3C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901116</w:t>
            </w:r>
          </w:p>
        </w:tc>
        <w:tc>
          <w:tcPr>
            <w:tcW w:w="856" w:type="dxa"/>
            <w:tcBorders>
              <w:top w:val="nil"/>
              <w:left w:val="nil"/>
              <w:bottom w:val="single" w:sz="4" w:space="0" w:color="auto"/>
              <w:right w:val="single" w:sz="4" w:space="0" w:color="auto"/>
            </w:tcBorders>
            <w:vAlign w:val="center"/>
            <w:hideMark/>
          </w:tcPr>
          <w:p w14:paraId="549C741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1062298</w:t>
            </w:r>
          </w:p>
        </w:tc>
        <w:tc>
          <w:tcPr>
            <w:tcW w:w="856" w:type="dxa"/>
            <w:tcBorders>
              <w:top w:val="nil"/>
              <w:left w:val="nil"/>
              <w:bottom w:val="single" w:sz="4" w:space="0" w:color="auto"/>
              <w:right w:val="single" w:sz="4" w:space="0" w:color="auto"/>
            </w:tcBorders>
            <w:vAlign w:val="center"/>
            <w:hideMark/>
          </w:tcPr>
          <w:p w14:paraId="111DC40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1121461</w:t>
            </w:r>
          </w:p>
        </w:tc>
        <w:tc>
          <w:tcPr>
            <w:tcW w:w="856" w:type="dxa"/>
            <w:tcBorders>
              <w:top w:val="nil"/>
              <w:left w:val="nil"/>
              <w:bottom w:val="single" w:sz="4" w:space="0" w:color="auto"/>
              <w:right w:val="single" w:sz="4" w:space="0" w:color="auto"/>
            </w:tcBorders>
            <w:vAlign w:val="center"/>
            <w:hideMark/>
          </w:tcPr>
          <w:p w14:paraId="3DF5690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3084875</w:t>
            </w:r>
          </w:p>
        </w:tc>
        <w:tc>
          <w:tcPr>
            <w:tcW w:w="1117" w:type="dxa"/>
            <w:tcBorders>
              <w:top w:val="nil"/>
              <w:left w:val="nil"/>
              <w:bottom w:val="single" w:sz="4" w:space="0" w:color="auto"/>
              <w:right w:val="single" w:sz="4" w:space="0" w:color="auto"/>
            </w:tcBorders>
            <w:vAlign w:val="center"/>
            <w:hideMark/>
          </w:tcPr>
          <w:p w14:paraId="0ACB056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1028292</w:t>
            </w:r>
          </w:p>
        </w:tc>
      </w:tr>
      <w:tr w:rsidR="00CF6CCC" w:rsidRPr="00CF6CCC" w14:paraId="14519763"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28C4BF9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13</w:t>
            </w:r>
          </w:p>
        </w:tc>
        <w:tc>
          <w:tcPr>
            <w:tcW w:w="1554" w:type="dxa"/>
            <w:tcBorders>
              <w:top w:val="nil"/>
              <w:left w:val="nil"/>
              <w:bottom w:val="single" w:sz="4" w:space="0" w:color="auto"/>
              <w:right w:val="single" w:sz="4" w:space="0" w:color="auto"/>
            </w:tcBorders>
            <w:vAlign w:val="center"/>
            <w:hideMark/>
          </w:tcPr>
          <w:p w14:paraId="1EF5F44C"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Maharashtra</w:t>
            </w:r>
          </w:p>
        </w:tc>
        <w:tc>
          <w:tcPr>
            <w:tcW w:w="856" w:type="dxa"/>
            <w:tcBorders>
              <w:top w:val="nil"/>
              <w:left w:val="nil"/>
              <w:bottom w:val="single" w:sz="4" w:space="0" w:color="auto"/>
              <w:right w:val="single" w:sz="4" w:space="0" w:color="auto"/>
            </w:tcBorders>
            <w:vAlign w:val="center"/>
            <w:hideMark/>
          </w:tcPr>
          <w:p w14:paraId="5CA9BA2F"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1932505</w:t>
            </w:r>
          </w:p>
        </w:tc>
        <w:tc>
          <w:tcPr>
            <w:tcW w:w="856" w:type="dxa"/>
            <w:tcBorders>
              <w:top w:val="nil"/>
              <w:left w:val="nil"/>
              <w:bottom w:val="single" w:sz="4" w:space="0" w:color="auto"/>
              <w:right w:val="single" w:sz="4" w:space="0" w:color="auto"/>
            </w:tcBorders>
            <w:vAlign w:val="center"/>
            <w:hideMark/>
          </w:tcPr>
          <w:p w14:paraId="76588E3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2270745</w:t>
            </w:r>
          </w:p>
        </w:tc>
        <w:tc>
          <w:tcPr>
            <w:tcW w:w="856" w:type="dxa"/>
            <w:tcBorders>
              <w:top w:val="nil"/>
              <w:left w:val="nil"/>
              <w:bottom w:val="single" w:sz="4" w:space="0" w:color="auto"/>
              <w:right w:val="single" w:sz="4" w:space="0" w:color="auto"/>
            </w:tcBorders>
            <w:vAlign w:val="center"/>
            <w:hideMark/>
          </w:tcPr>
          <w:p w14:paraId="3E54B87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2549625</w:t>
            </w:r>
          </w:p>
        </w:tc>
        <w:tc>
          <w:tcPr>
            <w:tcW w:w="856" w:type="dxa"/>
            <w:tcBorders>
              <w:top w:val="nil"/>
              <w:left w:val="nil"/>
              <w:bottom w:val="single" w:sz="4" w:space="0" w:color="auto"/>
              <w:right w:val="single" w:sz="4" w:space="0" w:color="auto"/>
            </w:tcBorders>
            <w:vAlign w:val="center"/>
            <w:hideMark/>
          </w:tcPr>
          <w:p w14:paraId="533550A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6752875</w:t>
            </w:r>
          </w:p>
        </w:tc>
        <w:tc>
          <w:tcPr>
            <w:tcW w:w="1117" w:type="dxa"/>
            <w:tcBorders>
              <w:top w:val="nil"/>
              <w:left w:val="nil"/>
              <w:bottom w:val="single" w:sz="4" w:space="0" w:color="auto"/>
              <w:right w:val="single" w:sz="4" w:space="0" w:color="auto"/>
            </w:tcBorders>
            <w:vAlign w:val="center"/>
            <w:hideMark/>
          </w:tcPr>
          <w:p w14:paraId="3F64AD1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2250958</w:t>
            </w:r>
          </w:p>
        </w:tc>
      </w:tr>
      <w:tr w:rsidR="00CF6CCC" w:rsidRPr="00CF6CCC" w14:paraId="31DF5CC3"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19297BBF"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14</w:t>
            </w:r>
          </w:p>
        </w:tc>
        <w:tc>
          <w:tcPr>
            <w:tcW w:w="1554" w:type="dxa"/>
            <w:tcBorders>
              <w:top w:val="nil"/>
              <w:left w:val="nil"/>
              <w:bottom w:val="single" w:sz="4" w:space="0" w:color="auto"/>
              <w:right w:val="single" w:sz="4" w:space="0" w:color="auto"/>
            </w:tcBorders>
            <w:vAlign w:val="center"/>
            <w:hideMark/>
          </w:tcPr>
          <w:p w14:paraId="677D0C80"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Manipur</w:t>
            </w:r>
          </w:p>
        </w:tc>
        <w:tc>
          <w:tcPr>
            <w:tcW w:w="856" w:type="dxa"/>
            <w:tcBorders>
              <w:top w:val="nil"/>
              <w:left w:val="nil"/>
              <w:bottom w:val="single" w:sz="4" w:space="0" w:color="auto"/>
              <w:right w:val="single" w:sz="4" w:space="0" w:color="auto"/>
            </w:tcBorders>
            <w:vAlign w:val="center"/>
            <w:hideMark/>
          </w:tcPr>
          <w:p w14:paraId="43557A9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27631</w:t>
            </w:r>
          </w:p>
        </w:tc>
        <w:tc>
          <w:tcPr>
            <w:tcW w:w="856" w:type="dxa"/>
            <w:tcBorders>
              <w:top w:val="nil"/>
              <w:left w:val="nil"/>
              <w:bottom w:val="single" w:sz="4" w:space="0" w:color="auto"/>
              <w:right w:val="single" w:sz="4" w:space="0" w:color="auto"/>
            </w:tcBorders>
            <w:vAlign w:val="center"/>
            <w:hideMark/>
          </w:tcPr>
          <w:p w14:paraId="414CE8D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33854</w:t>
            </w:r>
          </w:p>
        </w:tc>
        <w:tc>
          <w:tcPr>
            <w:tcW w:w="856" w:type="dxa"/>
            <w:tcBorders>
              <w:top w:val="nil"/>
              <w:left w:val="nil"/>
              <w:bottom w:val="single" w:sz="4" w:space="0" w:color="auto"/>
              <w:right w:val="single" w:sz="4" w:space="0" w:color="auto"/>
            </w:tcBorders>
            <w:vAlign w:val="center"/>
            <w:hideMark/>
          </w:tcPr>
          <w:p w14:paraId="3E8E69B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39199</w:t>
            </w:r>
          </w:p>
        </w:tc>
        <w:tc>
          <w:tcPr>
            <w:tcW w:w="856" w:type="dxa"/>
            <w:tcBorders>
              <w:top w:val="nil"/>
              <w:left w:val="nil"/>
              <w:bottom w:val="single" w:sz="4" w:space="0" w:color="auto"/>
              <w:right w:val="single" w:sz="4" w:space="0" w:color="auto"/>
            </w:tcBorders>
            <w:vAlign w:val="center"/>
            <w:hideMark/>
          </w:tcPr>
          <w:p w14:paraId="787A3585"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100684</w:t>
            </w:r>
          </w:p>
        </w:tc>
        <w:tc>
          <w:tcPr>
            <w:tcW w:w="1117" w:type="dxa"/>
            <w:tcBorders>
              <w:top w:val="nil"/>
              <w:left w:val="nil"/>
              <w:bottom w:val="single" w:sz="4" w:space="0" w:color="auto"/>
              <w:right w:val="single" w:sz="4" w:space="0" w:color="auto"/>
            </w:tcBorders>
            <w:vAlign w:val="center"/>
            <w:hideMark/>
          </w:tcPr>
          <w:p w14:paraId="0364175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33561</w:t>
            </w:r>
          </w:p>
        </w:tc>
      </w:tr>
      <w:tr w:rsidR="00CF6CCC" w:rsidRPr="00CF6CCC" w14:paraId="1DD57F7F"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60F6729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15</w:t>
            </w:r>
          </w:p>
        </w:tc>
        <w:tc>
          <w:tcPr>
            <w:tcW w:w="1554" w:type="dxa"/>
            <w:tcBorders>
              <w:top w:val="nil"/>
              <w:left w:val="nil"/>
              <w:bottom w:val="single" w:sz="4" w:space="0" w:color="auto"/>
              <w:right w:val="single" w:sz="4" w:space="0" w:color="auto"/>
            </w:tcBorders>
            <w:vAlign w:val="center"/>
            <w:hideMark/>
          </w:tcPr>
          <w:p w14:paraId="6997DFB4"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Meghalaya</w:t>
            </w:r>
          </w:p>
        </w:tc>
        <w:tc>
          <w:tcPr>
            <w:tcW w:w="856" w:type="dxa"/>
            <w:tcBorders>
              <w:top w:val="nil"/>
              <w:left w:val="nil"/>
              <w:bottom w:val="single" w:sz="4" w:space="0" w:color="auto"/>
              <w:right w:val="single" w:sz="4" w:space="0" w:color="auto"/>
            </w:tcBorders>
            <w:vAlign w:val="center"/>
            <w:hideMark/>
          </w:tcPr>
          <w:p w14:paraId="026DE11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24489</w:t>
            </w:r>
          </w:p>
        </w:tc>
        <w:tc>
          <w:tcPr>
            <w:tcW w:w="856" w:type="dxa"/>
            <w:tcBorders>
              <w:top w:val="nil"/>
              <w:left w:val="nil"/>
              <w:bottom w:val="single" w:sz="4" w:space="0" w:color="auto"/>
              <w:right w:val="single" w:sz="4" w:space="0" w:color="auto"/>
            </w:tcBorders>
            <w:vAlign w:val="center"/>
            <w:hideMark/>
          </w:tcPr>
          <w:p w14:paraId="4C61345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28297</w:t>
            </w:r>
          </w:p>
        </w:tc>
        <w:tc>
          <w:tcPr>
            <w:tcW w:w="856" w:type="dxa"/>
            <w:tcBorders>
              <w:top w:val="nil"/>
              <w:left w:val="nil"/>
              <w:bottom w:val="single" w:sz="4" w:space="0" w:color="auto"/>
              <w:right w:val="single" w:sz="4" w:space="0" w:color="auto"/>
            </w:tcBorders>
            <w:vAlign w:val="center"/>
            <w:hideMark/>
          </w:tcPr>
          <w:p w14:paraId="48224A5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31871</w:t>
            </w:r>
          </w:p>
        </w:tc>
        <w:tc>
          <w:tcPr>
            <w:tcW w:w="856" w:type="dxa"/>
            <w:tcBorders>
              <w:top w:val="nil"/>
              <w:left w:val="nil"/>
              <w:bottom w:val="single" w:sz="4" w:space="0" w:color="auto"/>
              <w:right w:val="single" w:sz="4" w:space="0" w:color="auto"/>
            </w:tcBorders>
            <w:vAlign w:val="center"/>
            <w:hideMark/>
          </w:tcPr>
          <w:p w14:paraId="668B072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84657</w:t>
            </w:r>
          </w:p>
        </w:tc>
        <w:tc>
          <w:tcPr>
            <w:tcW w:w="1117" w:type="dxa"/>
            <w:tcBorders>
              <w:top w:val="nil"/>
              <w:left w:val="nil"/>
              <w:bottom w:val="single" w:sz="4" w:space="0" w:color="auto"/>
              <w:right w:val="single" w:sz="4" w:space="0" w:color="auto"/>
            </w:tcBorders>
            <w:vAlign w:val="center"/>
            <w:hideMark/>
          </w:tcPr>
          <w:p w14:paraId="7E9E66A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28219</w:t>
            </w:r>
          </w:p>
        </w:tc>
      </w:tr>
      <w:tr w:rsidR="00CF6CCC" w:rsidRPr="00CF6CCC" w14:paraId="46519832"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2288E8C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16</w:t>
            </w:r>
          </w:p>
        </w:tc>
        <w:tc>
          <w:tcPr>
            <w:tcW w:w="1554" w:type="dxa"/>
            <w:tcBorders>
              <w:top w:val="nil"/>
              <w:left w:val="nil"/>
              <w:bottom w:val="single" w:sz="4" w:space="0" w:color="auto"/>
              <w:right w:val="single" w:sz="4" w:space="0" w:color="auto"/>
            </w:tcBorders>
            <w:vAlign w:val="center"/>
            <w:hideMark/>
          </w:tcPr>
          <w:p w14:paraId="7957ED1E"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Mizoram</w:t>
            </w:r>
          </w:p>
        </w:tc>
        <w:tc>
          <w:tcPr>
            <w:tcW w:w="856" w:type="dxa"/>
            <w:tcBorders>
              <w:top w:val="nil"/>
              <w:left w:val="nil"/>
              <w:bottom w:val="single" w:sz="4" w:space="0" w:color="auto"/>
              <w:right w:val="single" w:sz="4" w:space="0" w:color="auto"/>
            </w:tcBorders>
            <w:vAlign w:val="center"/>
            <w:hideMark/>
          </w:tcPr>
          <w:p w14:paraId="3D30804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7766</w:t>
            </w:r>
          </w:p>
        </w:tc>
        <w:tc>
          <w:tcPr>
            <w:tcW w:w="856" w:type="dxa"/>
            <w:tcBorders>
              <w:top w:val="nil"/>
              <w:left w:val="nil"/>
              <w:bottom w:val="single" w:sz="4" w:space="0" w:color="auto"/>
              <w:right w:val="single" w:sz="4" w:space="0" w:color="auto"/>
            </w:tcBorders>
            <w:vAlign w:val="center"/>
            <w:hideMark/>
          </w:tcPr>
          <w:p w14:paraId="08B5D85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9471</w:t>
            </w:r>
          </w:p>
        </w:tc>
        <w:tc>
          <w:tcPr>
            <w:tcW w:w="856" w:type="dxa"/>
            <w:tcBorders>
              <w:top w:val="nil"/>
              <w:left w:val="nil"/>
              <w:bottom w:val="single" w:sz="4" w:space="0" w:color="auto"/>
              <w:right w:val="single" w:sz="4" w:space="0" w:color="auto"/>
            </w:tcBorders>
            <w:vAlign w:val="center"/>
            <w:hideMark/>
          </w:tcPr>
          <w:p w14:paraId="433881E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12199</w:t>
            </w:r>
          </w:p>
        </w:tc>
        <w:tc>
          <w:tcPr>
            <w:tcW w:w="856" w:type="dxa"/>
            <w:tcBorders>
              <w:top w:val="nil"/>
              <w:left w:val="nil"/>
              <w:bottom w:val="single" w:sz="4" w:space="0" w:color="auto"/>
              <w:right w:val="single" w:sz="4" w:space="0" w:color="auto"/>
            </w:tcBorders>
            <w:vAlign w:val="center"/>
            <w:hideMark/>
          </w:tcPr>
          <w:p w14:paraId="69DD4D8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29436</w:t>
            </w:r>
          </w:p>
        </w:tc>
        <w:tc>
          <w:tcPr>
            <w:tcW w:w="1117" w:type="dxa"/>
            <w:tcBorders>
              <w:top w:val="nil"/>
              <w:left w:val="nil"/>
              <w:bottom w:val="single" w:sz="4" w:space="0" w:color="auto"/>
              <w:right w:val="single" w:sz="4" w:space="0" w:color="auto"/>
            </w:tcBorders>
            <w:vAlign w:val="center"/>
            <w:hideMark/>
          </w:tcPr>
          <w:p w14:paraId="69F3BAC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9812</w:t>
            </w:r>
          </w:p>
        </w:tc>
      </w:tr>
      <w:tr w:rsidR="00CF6CCC" w:rsidRPr="00CF6CCC" w14:paraId="52DCD10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348949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17</w:t>
            </w:r>
          </w:p>
        </w:tc>
        <w:tc>
          <w:tcPr>
            <w:tcW w:w="1554" w:type="dxa"/>
            <w:tcBorders>
              <w:top w:val="nil"/>
              <w:left w:val="nil"/>
              <w:bottom w:val="single" w:sz="4" w:space="0" w:color="auto"/>
              <w:right w:val="single" w:sz="4" w:space="0" w:color="auto"/>
            </w:tcBorders>
            <w:vAlign w:val="center"/>
            <w:hideMark/>
          </w:tcPr>
          <w:p w14:paraId="5278A025"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Nagaland</w:t>
            </w:r>
          </w:p>
        </w:tc>
        <w:tc>
          <w:tcPr>
            <w:tcW w:w="856" w:type="dxa"/>
            <w:tcBorders>
              <w:top w:val="nil"/>
              <w:left w:val="nil"/>
              <w:bottom w:val="single" w:sz="4" w:space="0" w:color="auto"/>
              <w:right w:val="single" w:sz="4" w:space="0" w:color="auto"/>
            </w:tcBorders>
            <w:vAlign w:val="center"/>
            <w:hideMark/>
          </w:tcPr>
          <w:p w14:paraId="78A495F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17139</w:t>
            </w:r>
          </w:p>
        </w:tc>
        <w:tc>
          <w:tcPr>
            <w:tcW w:w="856" w:type="dxa"/>
            <w:tcBorders>
              <w:top w:val="nil"/>
              <w:left w:val="nil"/>
              <w:bottom w:val="single" w:sz="4" w:space="0" w:color="auto"/>
              <w:right w:val="single" w:sz="4" w:space="0" w:color="auto"/>
            </w:tcBorders>
            <w:vAlign w:val="center"/>
            <w:hideMark/>
          </w:tcPr>
          <w:p w14:paraId="5D1AEFF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19215</w:t>
            </w:r>
          </w:p>
        </w:tc>
        <w:tc>
          <w:tcPr>
            <w:tcW w:w="856" w:type="dxa"/>
            <w:tcBorders>
              <w:top w:val="nil"/>
              <w:left w:val="nil"/>
              <w:bottom w:val="single" w:sz="4" w:space="0" w:color="auto"/>
              <w:right w:val="single" w:sz="4" w:space="0" w:color="auto"/>
            </w:tcBorders>
            <w:vAlign w:val="center"/>
            <w:hideMark/>
          </w:tcPr>
          <w:p w14:paraId="6D75981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22526</w:t>
            </w:r>
          </w:p>
        </w:tc>
        <w:tc>
          <w:tcPr>
            <w:tcW w:w="856" w:type="dxa"/>
            <w:tcBorders>
              <w:top w:val="nil"/>
              <w:left w:val="nil"/>
              <w:bottom w:val="single" w:sz="4" w:space="0" w:color="auto"/>
              <w:right w:val="single" w:sz="4" w:space="0" w:color="auto"/>
            </w:tcBorders>
            <w:vAlign w:val="center"/>
            <w:hideMark/>
          </w:tcPr>
          <w:p w14:paraId="5358D31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58880</w:t>
            </w:r>
          </w:p>
        </w:tc>
        <w:tc>
          <w:tcPr>
            <w:tcW w:w="1117" w:type="dxa"/>
            <w:tcBorders>
              <w:top w:val="nil"/>
              <w:left w:val="nil"/>
              <w:bottom w:val="single" w:sz="4" w:space="0" w:color="auto"/>
              <w:right w:val="single" w:sz="4" w:space="0" w:color="auto"/>
            </w:tcBorders>
            <w:vAlign w:val="center"/>
            <w:hideMark/>
          </w:tcPr>
          <w:p w14:paraId="11A71BA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19627</w:t>
            </w:r>
          </w:p>
        </w:tc>
      </w:tr>
      <w:tr w:rsidR="00CF6CCC" w:rsidRPr="00CF6CCC" w14:paraId="0B5214D1"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C4AC61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18</w:t>
            </w:r>
          </w:p>
        </w:tc>
        <w:tc>
          <w:tcPr>
            <w:tcW w:w="1554" w:type="dxa"/>
            <w:tcBorders>
              <w:top w:val="nil"/>
              <w:left w:val="nil"/>
              <w:bottom w:val="single" w:sz="4" w:space="0" w:color="auto"/>
              <w:right w:val="single" w:sz="4" w:space="0" w:color="auto"/>
            </w:tcBorders>
            <w:vAlign w:val="center"/>
            <w:hideMark/>
          </w:tcPr>
          <w:p w14:paraId="5B9E3912"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Orissa</w:t>
            </w:r>
          </w:p>
        </w:tc>
        <w:tc>
          <w:tcPr>
            <w:tcW w:w="856" w:type="dxa"/>
            <w:tcBorders>
              <w:top w:val="nil"/>
              <w:left w:val="nil"/>
              <w:bottom w:val="single" w:sz="4" w:space="0" w:color="auto"/>
              <w:right w:val="single" w:sz="4" w:space="0" w:color="auto"/>
            </w:tcBorders>
            <w:vAlign w:val="center"/>
            <w:hideMark/>
          </w:tcPr>
          <w:p w14:paraId="600043C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394916</w:t>
            </w:r>
          </w:p>
        </w:tc>
        <w:tc>
          <w:tcPr>
            <w:tcW w:w="856" w:type="dxa"/>
            <w:tcBorders>
              <w:top w:val="nil"/>
              <w:left w:val="nil"/>
              <w:bottom w:val="single" w:sz="4" w:space="0" w:color="auto"/>
              <w:right w:val="single" w:sz="4" w:space="0" w:color="auto"/>
            </w:tcBorders>
            <w:vAlign w:val="center"/>
            <w:hideMark/>
          </w:tcPr>
          <w:p w14:paraId="0534F3C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519939</w:t>
            </w:r>
          </w:p>
        </w:tc>
        <w:tc>
          <w:tcPr>
            <w:tcW w:w="856" w:type="dxa"/>
            <w:tcBorders>
              <w:top w:val="nil"/>
              <w:left w:val="nil"/>
              <w:bottom w:val="single" w:sz="4" w:space="0" w:color="auto"/>
              <w:right w:val="single" w:sz="4" w:space="0" w:color="auto"/>
            </w:tcBorders>
            <w:vAlign w:val="center"/>
            <w:hideMark/>
          </w:tcPr>
          <w:p w14:paraId="5B78BB8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518687</w:t>
            </w:r>
          </w:p>
        </w:tc>
        <w:tc>
          <w:tcPr>
            <w:tcW w:w="856" w:type="dxa"/>
            <w:tcBorders>
              <w:top w:val="nil"/>
              <w:left w:val="nil"/>
              <w:bottom w:val="single" w:sz="4" w:space="0" w:color="auto"/>
              <w:right w:val="single" w:sz="4" w:space="0" w:color="auto"/>
            </w:tcBorders>
            <w:vAlign w:val="center"/>
            <w:hideMark/>
          </w:tcPr>
          <w:p w14:paraId="41BF50F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1433542</w:t>
            </w:r>
          </w:p>
        </w:tc>
        <w:tc>
          <w:tcPr>
            <w:tcW w:w="1117" w:type="dxa"/>
            <w:tcBorders>
              <w:top w:val="nil"/>
              <w:left w:val="nil"/>
              <w:bottom w:val="single" w:sz="4" w:space="0" w:color="auto"/>
              <w:right w:val="single" w:sz="4" w:space="0" w:color="auto"/>
            </w:tcBorders>
            <w:vAlign w:val="center"/>
            <w:hideMark/>
          </w:tcPr>
          <w:p w14:paraId="6392A1B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477847</w:t>
            </w:r>
          </w:p>
        </w:tc>
      </w:tr>
      <w:tr w:rsidR="00CF6CCC" w:rsidRPr="00CF6CCC" w14:paraId="12402BDB"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66F53FA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19</w:t>
            </w:r>
          </w:p>
        </w:tc>
        <w:tc>
          <w:tcPr>
            <w:tcW w:w="1554" w:type="dxa"/>
            <w:tcBorders>
              <w:top w:val="nil"/>
              <w:left w:val="nil"/>
              <w:bottom w:val="single" w:sz="4" w:space="0" w:color="auto"/>
              <w:right w:val="single" w:sz="4" w:space="0" w:color="auto"/>
            </w:tcBorders>
            <w:vAlign w:val="center"/>
            <w:hideMark/>
          </w:tcPr>
          <w:p w14:paraId="699816E6"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Punjab</w:t>
            </w:r>
          </w:p>
        </w:tc>
        <w:tc>
          <w:tcPr>
            <w:tcW w:w="856" w:type="dxa"/>
            <w:tcBorders>
              <w:top w:val="nil"/>
              <w:left w:val="nil"/>
              <w:bottom w:val="single" w:sz="4" w:space="0" w:color="auto"/>
              <w:right w:val="single" w:sz="4" w:space="0" w:color="auto"/>
            </w:tcBorders>
            <w:vAlign w:val="center"/>
            <w:hideMark/>
          </w:tcPr>
          <w:p w14:paraId="0AB373F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636896</w:t>
            </w:r>
          </w:p>
        </w:tc>
        <w:tc>
          <w:tcPr>
            <w:tcW w:w="856" w:type="dxa"/>
            <w:tcBorders>
              <w:top w:val="nil"/>
              <w:left w:val="nil"/>
              <w:bottom w:val="single" w:sz="4" w:space="0" w:color="auto"/>
              <w:right w:val="single" w:sz="4" w:space="0" w:color="auto"/>
            </w:tcBorders>
            <w:vAlign w:val="center"/>
            <w:hideMark/>
          </w:tcPr>
          <w:p w14:paraId="2174684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699319</w:t>
            </w:r>
          </w:p>
        </w:tc>
        <w:tc>
          <w:tcPr>
            <w:tcW w:w="856" w:type="dxa"/>
            <w:tcBorders>
              <w:top w:val="nil"/>
              <w:left w:val="nil"/>
              <w:bottom w:val="single" w:sz="4" w:space="0" w:color="auto"/>
              <w:right w:val="single" w:sz="4" w:space="0" w:color="auto"/>
            </w:tcBorders>
            <w:vAlign w:val="center"/>
            <w:hideMark/>
          </w:tcPr>
          <w:p w14:paraId="09D04ED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799490</w:t>
            </w:r>
          </w:p>
        </w:tc>
        <w:tc>
          <w:tcPr>
            <w:tcW w:w="856" w:type="dxa"/>
            <w:tcBorders>
              <w:top w:val="nil"/>
              <w:left w:val="nil"/>
              <w:bottom w:val="single" w:sz="4" w:space="0" w:color="auto"/>
              <w:right w:val="single" w:sz="4" w:space="0" w:color="auto"/>
            </w:tcBorders>
            <w:vAlign w:val="center"/>
            <w:hideMark/>
          </w:tcPr>
          <w:p w14:paraId="176C938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2135705</w:t>
            </w:r>
          </w:p>
        </w:tc>
        <w:tc>
          <w:tcPr>
            <w:tcW w:w="1117" w:type="dxa"/>
            <w:tcBorders>
              <w:top w:val="nil"/>
              <w:left w:val="nil"/>
              <w:bottom w:val="single" w:sz="4" w:space="0" w:color="auto"/>
              <w:right w:val="single" w:sz="4" w:space="0" w:color="auto"/>
            </w:tcBorders>
            <w:vAlign w:val="center"/>
            <w:hideMark/>
          </w:tcPr>
          <w:p w14:paraId="3B644F3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711902</w:t>
            </w:r>
          </w:p>
        </w:tc>
      </w:tr>
      <w:tr w:rsidR="00CF6CCC" w:rsidRPr="00CF6CCC" w14:paraId="6A3AF6AE"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2DF247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20</w:t>
            </w:r>
          </w:p>
        </w:tc>
        <w:tc>
          <w:tcPr>
            <w:tcW w:w="1554" w:type="dxa"/>
            <w:tcBorders>
              <w:top w:val="nil"/>
              <w:left w:val="nil"/>
              <w:bottom w:val="single" w:sz="4" w:space="0" w:color="auto"/>
              <w:right w:val="single" w:sz="4" w:space="0" w:color="auto"/>
            </w:tcBorders>
            <w:vAlign w:val="center"/>
            <w:hideMark/>
          </w:tcPr>
          <w:p w14:paraId="05877E2B"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Rajasthan</w:t>
            </w:r>
          </w:p>
        </w:tc>
        <w:tc>
          <w:tcPr>
            <w:tcW w:w="856" w:type="dxa"/>
            <w:tcBorders>
              <w:top w:val="nil"/>
              <w:left w:val="nil"/>
              <w:bottom w:val="single" w:sz="4" w:space="0" w:color="auto"/>
              <w:right w:val="single" w:sz="4" w:space="0" w:color="auto"/>
            </w:tcBorders>
            <w:vAlign w:val="center"/>
            <w:hideMark/>
          </w:tcPr>
          <w:p w14:paraId="39FFF849"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574674</w:t>
            </w:r>
          </w:p>
        </w:tc>
        <w:tc>
          <w:tcPr>
            <w:tcW w:w="856" w:type="dxa"/>
            <w:tcBorders>
              <w:top w:val="nil"/>
              <w:left w:val="nil"/>
              <w:bottom w:val="single" w:sz="4" w:space="0" w:color="auto"/>
              <w:right w:val="single" w:sz="4" w:space="0" w:color="auto"/>
            </w:tcBorders>
            <w:vAlign w:val="center"/>
            <w:hideMark/>
          </w:tcPr>
          <w:p w14:paraId="2BE4D8F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719680</w:t>
            </w:r>
          </w:p>
        </w:tc>
        <w:tc>
          <w:tcPr>
            <w:tcW w:w="856" w:type="dxa"/>
            <w:tcBorders>
              <w:top w:val="nil"/>
              <w:left w:val="nil"/>
              <w:bottom w:val="single" w:sz="4" w:space="0" w:color="auto"/>
              <w:right w:val="single" w:sz="4" w:space="0" w:color="auto"/>
            </w:tcBorders>
            <w:vAlign w:val="center"/>
            <w:hideMark/>
          </w:tcPr>
          <w:p w14:paraId="0565654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717391</w:t>
            </w:r>
          </w:p>
        </w:tc>
        <w:tc>
          <w:tcPr>
            <w:tcW w:w="856" w:type="dxa"/>
            <w:tcBorders>
              <w:top w:val="nil"/>
              <w:left w:val="nil"/>
              <w:bottom w:val="single" w:sz="4" w:space="0" w:color="auto"/>
              <w:right w:val="single" w:sz="4" w:space="0" w:color="auto"/>
            </w:tcBorders>
            <w:vAlign w:val="center"/>
            <w:hideMark/>
          </w:tcPr>
          <w:p w14:paraId="1DEA7EC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2011745</w:t>
            </w:r>
          </w:p>
        </w:tc>
        <w:tc>
          <w:tcPr>
            <w:tcW w:w="1117" w:type="dxa"/>
            <w:tcBorders>
              <w:top w:val="nil"/>
              <w:left w:val="nil"/>
              <w:bottom w:val="single" w:sz="4" w:space="0" w:color="auto"/>
              <w:right w:val="single" w:sz="4" w:space="0" w:color="auto"/>
            </w:tcBorders>
            <w:vAlign w:val="center"/>
            <w:hideMark/>
          </w:tcPr>
          <w:p w14:paraId="480E5E0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670582</w:t>
            </w:r>
          </w:p>
        </w:tc>
      </w:tr>
      <w:tr w:rsidR="00CF6CCC" w:rsidRPr="00CF6CCC" w14:paraId="79CC2FDD"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31668D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21</w:t>
            </w:r>
          </w:p>
        </w:tc>
        <w:tc>
          <w:tcPr>
            <w:tcW w:w="1554" w:type="dxa"/>
            <w:tcBorders>
              <w:top w:val="nil"/>
              <w:left w:val="nil"/>
              <w:bottom w:val="single" w:sz="4" w:space="0" w:color="auto"/>
              <w:right w:val="single" w:sz="4" w:space="0" w:color="auto"/>
            </w:tcBorders>
            <w:vAlign w:val="center"/>
            <w:hideMark/>
          </w:tcPr>
          <w:p w14:paraId="3DC20FEC"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Sikkim</w:t>
            </w:r>
          </w:p>
        </w:tc>
        <w:tc>
          <w:tcPr>
            <w:tcW w:w="856" w:type="dxa"/>
            <w:tcBorders>
              <w:top w:val="nil"/>
              <w:left w:val="nil"/>
              <w:bottom w:val="single" w:sz="4" w:space="0" w:color="auto"/>
              <w:right w:val="single" w:sz="4" w:space="0" w:color="auto"/>
            </w:tcBorders>
            <w:vAlign w:val="center"/>
            <w:hideMark/>
          </w:tcPr>
          <w:p w14:paraId="58E9B390"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7418</w:t>
            </w:r>
          </w:p>
        </w:tc>
        <w:tc>
          <w:tcPr>
            <w:tcW w:w="856" w:type="dxa"/>
            <w:tcBorders>
              <w:top w:val="nil"/>
              <w:left w:val="nil"/>
              <w:bottom w:val="single" w:sz="4" w:space="0" w:color="auto"/>
              <w:right w:val="single" w:sz="4" w:space="0" w:color="auto"/>
            </w:tcBorders>
            <w:vAlign w:val="center"/>
            <w:hideMark/>
          </w:tcPr>
          <w:p w14:paraId="189A8B8F"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8711</w:t>
            </w:r>
          </w:p>
        </w:tc>
        <w:tc>
          <w:tcPr>
            <w:tcW w:w="856" w:type="dxa"/>
            <w:tcBorders>
              <w:top w:val="nil"/>
              <w:left w:val="nil"/>
              <w:bottom w:val="single" w:sz="4" w:space="0" w:color="auto"/>
              <w:right w:val="single" w:sz="4" w:space="0" w:color="auto"/>
            </w:tcBorders>
            <w:vAlign w:val="center"/>
            <w:hideMark/>
          </w:tcPr>
          <w:p w14:paraId="7BE8A42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10920</w:t>
            </w:r>
          </w:p>
        </w:tc>
        <w:tc>
          <w:tcPr>
            <w:tcW w:w="856" w:type="dxa"/>
            <w:tcBorders>
              <w:top w:val="nil"/>
              <w:left w:val="nil"/>
              <w:bottom w:val="single" w:sz="4" w:space="0" w:color="auto"/>
              <w:right w:val="single" w:sz="4" w:space="0" w:color="auto"/>
            </w:tcBorders>
            <w:vAlign w:val="center"/>
            <w:hideMark/>
          </w:tcPr>
          <w:p w14:paraId="26EF00C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27049</w:t>
            </w:r>
          </w:p>
        </w:tc>
        <w:tc>
          <w:tcPr>
            <w:tcW w:w="1117" w:type="dxa"/>
            <w:tcBorders>
              <w:top w:val="nil"/>
              <w:left w:val="nil"/>
              <w:bottom w:val="single" w:sz="4" w:space="0" w:color="auto"/>
              <w:right w:val="single" w:sz="4" w:space="0" w:color="auto"/>
            </w:tcBorders>
            <w:vAlign w:val="center"/>
            <w:hideMark/>
          </w:tcPr>
          <w:p w14:paraId="39FEA9F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9016</w:t>
            </w:r>
          </w:p>
        </w:tc>
      </w:tr>
      <w:tr w:rsidR="00CF6CCC" w:rsidRPr="00CF6CCC" w14:paraId="3A206C2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29553323"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22</w:t>
            </w:r>
          </w:p>
        </w:tc>
        <w:tc>
          <w:tcPr>
            <w:tcW w:w="1554" w:type="dxa"/>
            <w:tcBorders>
              <w:top w:val="nil"/>
              <w:left w:val="nil"/>
              <w:bottom w:val="single" w:sz="4" w:space="0" w:color="auto"/>
              <w:right w:val="single" w:sz="4" w:space="0" w:color="auto"/>
            </w:tcBorders>
            <w:vAlign w:val="center"/>
            <w:hideMark/>
          </w:tcPr>
          <w:p w14:paraId="44979750"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Tamil Nadu</w:t>
            </w:r>
          </w:p>
        </w:tc>
        <w:tc>
          <w:tcPr>
            <w:tcW w:w="856" w:type="dxa"/>
            <w:tcBorders>
              <w:top w:val="nil"/>
              <w:left w:val="nil"/>
              <w:bottom w:val="single" w:sz="4" w:space="0" w:color="auto"/>
              <w:right w:val="single" w:sz="4" w:space="0" w:color="auto"/>
            </w:tcBorders>
            <w:vAlign w:val="center"/>
            <w:hideMark/>
          </w:tcPr>
          <w:p w14:paraId="0694AA7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914066</w:t>
            </w:r>
          </w:p>
        </w:tc>
        <w:tc>
          <w:tcPr>
            <w:tcW w:w="856" w:type="dxa"/>
            <w:tcBorders>
              <w:top w:val="nil"/>
              <w:left w:val="nil"/>
              <w:bottom w:val="single" w:sz="4" w:space="0" w:color="auto"/>
              <w:right w:val="single" w:sz="4" w:space="0" w:color="auto"/>
            </w:tcBorders>
            <w:vAlign w:val="center"/>
            <w:hideMark/>
          </w:tcPr>
          <w:p w14:paraId="105D2965"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1071027</w:t>
            </w:r>
          </w:p>
        </w:tc>
        <w:tc>
          <w:tcPr>
            <w:tcW w:w="856" w:type="dxa"/>
            <w:tcBorders>
              <w:top w:val="nil"/>
              <w:left w:val="nil"/>
              <w:bottom w:val="single" w:sz="4" w:space="0" w:color="auto"/>
              <w:right w:val="single" w:sz="4" w:space="0" w:color="auto"/>
            </w:tcBorders>
            <w:vAlign w:val="center"/>
            <w:hideMark/>
          </w:tcPr>
          <w:p w14:paraId="6109D31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1265703</w:t>
            </w:r>
          </w:p>
        </w:tc>
        <w:tc>
          <w:tcPr>
            <w:tcW w:w="856" w:type="dxa"/>
            <w:tcBorders>
              <w:top w:val="nil"/>
              <w:left w:val="nil"/>
              <w:bottom w:val="single" w:sz="4" w:space="0" w:color="auto"/>
              <w:right w:val="single" w:sz="4" w:space="0" w:color="auto"/>
            </w:tcBorders>
            <w:vAlign w:val="center"/>
            <w:hideMark/>
          </w:tcPr>
          <w:p w14:paraId="50F3290A"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3250796</w:t>
            </w:r>
          </w:p>
        </w:tc>
        <w:tc>
          <w:tcPr>
            <w:tcW w:w="1117" w:type="dxa"/>
            <w:tcBorders>
              <w:top w:val="nil"/>
              <w:left w:val="nil"/>
              <w:bottom w:val="single" w:sz="4" w:space="0" w:color="auto"/>
              <w:right w:val="single" w:sz="4" w:space="0" w:color="auto"/>
            </w:tcBorders>
            <w:vAlign w:val="center"/>
            <w:hideMark/>
          </w:tcPr>
          <w:p w14:paraId="1B7A33C2"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1083599</w:t>
            </w:r>
          </w:p>
        </w:tc>
      </w:tr>
      <w:tr w:rsidR="00CF6CCC" w:rsidRPr="00CF6CCC" w14:paraId="245EC5FB"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08E0C88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23</w:t>
            </w:r>
          </w:p>
        </w:tc>
        <w:tc>
          <w:tcPr>
            <w:tcW w:w="1554" w:type="dxa"/>
            <w:tcBorders>
              <w:top w:val="nil"/>
              <w:left w:val="nil"/>
              <w:bottom w:val="single" w:sz="4" w:space="0" w:color="auto"/>
              <w:right w:val="single" w:sz="4" w:space="0" w:color="auto"/>
            </w:tcBorders>
            <w:vAlign w:val="center"/>
            <w:hideMark/>
          </w:tcPr>
          <w:p w14:paraId="32792EF8"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Tripura</w:t>
            </w:r>
          </w:p>
        </w:tc>
        <w:tc>
          <w:tcPr>
            <w:tcW w:w="856" w:type="dxa"/>
            <w:tcBorders>
              <w:top w:val="nil"/>
              <w:left w:val="nil"/>
              <w:bottom w:val="single" w:sz="4" w:space="0" w:color="auto"/>
              <w:right w:val="single" w:sz="4" w:space="0" w:color="auto"/>
            </w:tcBorders>
            <w:vAlign w:val="center"/>
            <w:hideMark/>
          </w:tcPr>
          <w:p w14:paraId="6E0BB0B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35374</w:t>
            </w:r>
          </w:p>
        </w:tc>
        <w:tc>
          <w:tcPr>
            <w:tcW w:w="856" w:type="dxa"/>
            <w:tcBorders>
              <w:top w:val="nil"/>
              <w:left w:val="nil"/>
              <w:bottom w:val="single" w:sz="4" w:space="0" w:color="auto"/>
              <w:right w:val="single" w:sz="4" w:space="0" w:color="auto"/>
            </w:tcBorders>
            <w:vAlign w:val="center"/>
            <w:hideMark/>
          </w:tcPr>
          <w:p w14:paraId="5187476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38304</w:t>
            </w:r>
          </w:p>
        </w:tc>
        <w:tc>
          <w:tcPr>
            <w:tcW w:w="856" w:type="dxa"/>
            <w:tcBorders>
              <w:top w:val="nil"/>
              <w:left w:val="nil"/>
              <w:bottom w:val="single" w:sz="4" w:space="0" w:color="auto"/>
              <w:right w:val="single" w:sz="4" w:space="0" w:color="auto"/>
            </w:tcBorders>
            <w:vAlign w:val="center"/>
            <w:hideMark/>
          </w:tcPr>
          <w:p w14:paraId="4DCB1C0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44066</w:t>
            </w:r>
          </w:p>
        </w:tc>
        <w:tc>
          <w:tcPr>
            <w:tcW w:w="856" w:type="dxa"/>
            <w:tcBorders>
              <w:top w:val="nil"/>
              <w:left w:val="nil"/>
              <w:bottom w:val="single" w:sz="4" w:space="0" w:color="auto"/>
              <w:right w:val="single" w:sz="4" w:space="0" w:color="auto"/>
            </w:tcBorders>
            <w:vAlign w:val="center"/>
            <w:hideMark/>
          </w:tcPr>
          <w:p w14:paraId="03FFEC3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117744</w:t>
            </w:r>
          </w:p>
        </w:tc>
        <w:tc>
          <w:tcPr>
            <w:tcW w:w="1117" w:type="dxa"/>
            <w:tcBorders>
              <w:top w:val="nil"/>
              <w:left w:val="nil"/>
              <w:bottom w:val="single" w:sz="4" w:space="0" w:color="auto"/>
              <w:right w:val="single" w:sz="4" w:space="0" w:color="auto"/>
            </w:tcBorders>
            <w:vAlign w:val="center"/>
            <w:hideMark/>
          </w:tcPr>
          <w:p w14:paraId="0C15335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39248</w:t>
            </w:r>
          </w:p>
        </w:tc>
      </w:tr>
      <w:tr w:rsidR="00CF6CCC" w:rsidRPr="00CF6CCC" w14:paraId="41996742"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62DDE4F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24</w:t>
            </w:r>
          </w:p>
        </w:tc>
        <w:tc>
          <w:tcPr>
            <w:tcW w:w="1554" w:type="dxa"/>
            <w:tcBorders>
              <w:top w:val="nil"/>
              <w:left w:val="nil"/>
              <w:bottom w:val="single" w:sz="4" w:space="0" w:color="auto"/>
              <w:right w:val="single" w:sz="4" w:space="0" w:color="auto"/>
            </w:tcBorders>
            <w:vAlign w:val="center"/>
            <w:hideMark/>
          </w:tcPr>
          <w:p w14:paraId="75A55C60"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Uttar Pradesh</w:t>
            </w:r>
          </w:p>
        </w:tc>
        <w:tc>
          <w:tcPr>
            <w:tcW w:w="856" w:type="dxa"/>
            <w:tcBorders>
              <w:top w:val="nil"/>
              <w:left w:val="nil"/>
              <w:bottom w:val="single" w:sz="4" w:space="0" w:color="auto"/>
              <w:right w:val="single" w:sz="4" w:space="0" w:color="auto"/>
            </w:tcBorders>
            <w:vAlign w:val="center"/>
            <w:hideMark/>
          </w:tcPr>
          <w:p w14:paraId="63D5B2C1"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1828520</w:t>
            </w:r>
          </w:p>
        </w:tc>
        <w:tc>
          <w:tcPr>
            <w:tcW w:w="856" w:type="dxa"/>
            <w:tcBorders>
              <w:top w:val="nil"/>
              <w:left w:val="nil"/>
              <w:bottom w:val="single" w:sz="4" w:space="0" w:color="auto"/>
              <w:right w:val="single" w:sz="4" w:space="0" w:color="auto"/>
            </w:tcBorders>
            <w:vAlign w:val="center"/>
            <w:hideMark/>
          </w:tcPr>
          <w:p w14:paraId="183774E6"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2000192</w:t>
            </w:r>
          </w:p>
        </w:tc>
        <w:tc>
          <w:tcPr>
            <w:tcW w:w="856" w:type="dxa"/>
            <w:tcBorders>
              <w:top w:val="nil"/>
              <w:left w:val="nil"/>
              <w:bottom w:val="single" w:sz="4" w:space="0" w:color="auto"/>
              <w:right w:val="single" w:sz="4" w:space="0" w:color="auto"/>
            </w:tcBorders>
            <w:vAlign w:val="center"/>
            <w:hideMark/>
          </w:tcPr>
          <w:p w14:paraId="228C6CC7"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2200054</w:t>
            </w:r>
          </w:p>
        </w:tc>
        <w:tc>
          <w:tcPr>
            <w:tcW w:w="856" w:type="dxa"/>
            <w:tcBorders>
              <w:top w:val="nil"/>
              <w:left w:val="nil"/>
              <w:bottom w:val="single" w:sz="4" w:space="0" w:color="auto"/>
              <w:right w:val="single" w:sz="4" w:space="0" w:color="auto"/>
            </w:tcBorders>
            <w:vAlign w:val="center"/>
            <w:hideMark/>
          </w:tcPr>
          <w:p w14:paraId="0035E43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6028766</w:t>
            </w:r>
          </w:p>
        </w:tc>
        <w:tc>
          <w:tcPr>
            <w:tcW w:w="1117" w:type="dxa"/>
            <w:tcBorders>
              <w:top w:val="nil"/>
              <w:left w:val="nil"/>
              <w:bottom w:val="single" w:sz="4" w:space="0" w:color="auto"/>
              <w:right w:val="single" w:sz="4" w:space="0" w:color="auto"/>
            </w:tcBorders>
            <w:vAlign w:val="center"/>
            <w:hideMark/>
          </w:tcPr>
          <w:p w14:paraId="2E81B8C0"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2009588</w:t>
            </w:r>
          </w:p>
        </w:tc>
      </w:tr>
      <w:tr w:rsidR="00CF6CCC" w:rsidRPr="00CF6CCC" w14:paraId="22DD127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351B181C"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25</w:t>
            </w:r>
          </w:p>
        </w:tc>
        <w:tc>
          <w:tcPr>
            <w:tcW w:w="1554" w:type="dxa"/>
            <w:tcBorders>
              <w:top w:val="nil"/>
              <w:left w:val="nil"/>
              <w:bottom w:val="single" w:sz="4" w:space="0" w:color="auto"/>
              <w:right w:val="single" w:sz="4" w:space="0" w:color="auto"/>
            </w:tcBorders>
            <w:vAlign w:val="center"/>
            <w:hideMark/>
          </w:tcPr>
          <w:p w14:paraId="6B78A86F" w14:textId="77777777" w:rsidR="00CF6CCC" w:rsidRPr="00CF6CCC" w:rsidRDefault="00CF6CCC" w:rsidP="00CF6CCC">
            <w:pPr>
              <w:spacing w:after="0" w:line="240" w:lineRule="auto"/>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West Bengal</w:t>
            </w:r>
          </w:p>
        </w:tc>
        <w:tc>
          <w:tcPr>
            <w:tcW w:w="856" w:type="dxa"/>
            <w:tcBorders>
              <w:top w:val="nil"/>
              <w:left w:val="nil"/>
              <w:bottom w:val="single" w:sz="4" w:space="0" w:color="auto"/>
              <w:right w:val="single" w:sz="4" w:space="0" w:color="auto"/>
            </w:tcBorders>
            <w:vAlign w:val="center"/>
            <w:hideMark/>
          </w:tcPr>
          <w:p w14:paraId="0EE2A85B"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1100427</w:t>
            </w:r>
          </w:p>
        </w:tc>
        <w:tc>
          <w:tcPr>
            <w:tcW w:w="856" w:type="dxa"/>
            <w:tcBorders>
              <w:top w:val="nil"/>
              <w:left w:val="nil"/>
              <w:bottom w:val="single" w:sz="4" w:space="0" w:color="auto"/>
              <w:right w:val="single" w:sz="4" w:space="0" w:color="auto"/>
            </w:tcBorders>
            <w:vAlign w:val="center"/>
            <w:hideMark/>
          </w:tcPr>
          <w:p w14:paraId="2861729E"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1280301</w:t>
            </w:r>
          </w:p>
        </w:tc>
        <w:tc>
          <w:tcPr>
            <w:tcW w:w="856" w:type="dxa"/>
            <w:tcBorders>
              <w:top w:val="nil"/>
              <w:left w:val="nil"/>
              <w:bottom w:val="single" w:sz="4" w:space="0" w:color="auto"/>
              <w:right w:val="single" w:sz="4" w:space="0" w:color="auto"/>
            </w:tcBorders>
            <w:vAlign w:val="center"/>
            <w:hideMark/>
          </w:tcPr>
          <w:p w14:paraId="3D76DCC8"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1470874</w:t>
            </w:r>
          </w:p>
        </w:tc>
        <w:tc>
          <w:tcPr>
            <w:tcW w:w="856" w:type="dxa"/>
            <w:tcBorders>
              <w:top w:val="nil"/>
              <w:left w:val="nil"/>
              <w:bottom w:val="single" w:sz="4" w:space="0" w:color="auto"/>
              <w:right w:val="single" w:sz="4" w:space="0" w:color="auto"/>
            </w:tcBorders>
            <w:vAlign w:val="center"/>
            <w:hideMark/>
          </w:tcPr>
          <w:p w14:paraId="1400C624"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3851602</w:t>
            </w:r>
          </w:p>
        </w:tc>
        <w:tc>
          <w:tcPr>
            <w:tcW w:w="1117" w:type="dxa"/>
            <w:tcBorders>
              <w:top w:val="nil"/>
              <w:left w:val="nil"/>
              <w:bottom w:val="single" w:sz="4" w:space="0" w:color="auto"/>
              <w:right w:val="single" w:sz="4" w:space="0" w:color="auto"/>
            </w:tcBorders>
            <w:vAlign w:val="center"/>
            <w:hideMark/>
          </w:tcPr>
          <w:p w14:paraId="7CBE129D" w14:textId="77777777" w:rsidR="00CF6CCC" w:rsidRPr="00CF6CCC" w:rsidRDefault="00CF6CCC" w:rsidP="00CF6CC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CF6CCC">
              <w:rPr>
                <w:rFonts w:ascii="Times New Roman" w:eastAsia="Times New Roman" w:hAnsi="Times New Roman" w:cs="Times New Roman"/>
                <w:color w:val="000000"/>
                <w:kern w:val="0"/>
                <w:sz w:val="16"/>
                <w:szCs w:val="16"/>
                <w:lang w:eastAsia="en-IN" w:bidi="ar-SA"/>
                <w14:ligatures w14:val="none"/>
              </w:rPr>
              <w:t>1283667</w:t>
            </w:r>
          </w:p>
        </w:tc>
      </w:tr>
      <w:tr w:rsidR="00CF6CCC" w:rsidRPr="00CF6CCC" w14:paraId="01F7875F"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161920D7"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1554" w:type="dxa"/>
            <w:tcBorders>
              <w:top w:val="nil"/>
              <w:left w:val="nil"/>
              <w:bottom w:val="single" w:sz="4" w:space="0" w:color="auto"/>
              <w:right w:val="single" w:sz="4" w:space="0" w:color="auto"/>
            </w:tcBorders>
            <w:vAlign w:val="center"/>
            <w:hideMark/>
          </w:tcPr>
          <w:p w14:paraId="5D0D9CE3"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856" w:type="dxa"/>
            <w:tcBorders>
              <w:top w:val="nil"/>
              <w:left w:val="nil"/>
              <w:bottom w:val="single" w:sz="4" w:space="0" w:color="auto"/>
              <w:right w:val="single" w:sz="4" w:space="0" w:color="auto"/>
            </w:tcBorders>
            <w:vAlign w:val="center"/>
            <w:hideMark/>
          </w:tcPr>
          <w:p w14:paraId="6E48A6ED"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856" w:type="dxa"/>
            <w:tcBorders>
              <w:top w:val="nil"/>
              <w:left w:val="nil"/>
              <w:bottom w:val="single" w:sz="4" w:space="0" w:color="auto"/>
              <w:right w:val="single" w:sz="4" w:space="0" w:color="auto"/>
            </w:tcBorders>
            <w:vAlign w:val="center"/>
            <w:hideMark/>
          </w:tcPr>
          <w:p w14:paraId="7438B29A"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856" w:type="dxa"/>
            <w:tcBorders>
              <w:top w:val="nil"/>
              <w:left w:val="nil"/>
              <w:bottom w:val="single" w:sz="4" w:space="0" w:color="auto"/>
              <w:right w:val="single" w:sz="4" w:space="0" w:color="auto"/>
            </w:tcBorders>
            <w:vAlign w:val="center"/>
            <w:hideMark/>
          </w:tcPr>
          <w:p w14:paraId="3E28BC5A"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856" w:type="dxa"/>
            <w:tcBorders>
              <w:top w:val="nil"/>
              <w:left w:val="nil"/>
              <w:bottom w:val="single" w:sz="4" w:space="0" w:color="auto"/>
              <w:right w:val="single" w:sz="4" w:space="0" w:color="auto"/>
            </w:tcBorders>
            <w:vAlign w:val="center"/>
            <w:hideMark/>
          </w:tcPr>
          <w:p w14:paraId="3BCE8CA8"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1117" w:type="dxa"/>
            <w:tcBorders>
              <w:top w:val="nil"/>
              <w:left w:val="nil"/>
              <w:bottom w:val="single" w:sz="4" w:space="0" w:color="auto"/>
              <w:right w:val="single" w:sz="4" w:space="0" w:color="auto"/>
            </w:tcBorders>
            <w:vAlign w:val="center"/>
            <w:hideMark/>
          </w:tcPr>
          <w:p w14:paraId="7DF6D933"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r>
      <w:tr w:rsidR="00CF6CCC" w:rsidRPr="00CF6CCC" w14:paraId="6D66122C"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1010F525"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1554" w:type="dxa"/>
            <w:tcBorders>
              <w:top w:val="nil"/>
              <w:left w:val="nil"/>
              <w:bottom w:val="single" w:sz="4" w:space="0" w:color="auto"/>
              <w:right w:val="single" w:sz="4" w:space="0" w:color="auto"/>
            </w:tcBorders>
            <w:vAlign w:val="center"/>
            <w:hideMark/>
          </w:tcPr>
          <w:p w14:paraId="759957AB" w14:textId="77777777" w:rsidR="00CF6CCC" w:rsidRPr="00CF6CCC" w:rsidRDefault="00CF6CCC" w:rsidP="00CF6CCC">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All States</w:t>
            </w:r>
          </w:p>
        </w:tc>
        <w:tc>
          <w:tcPr>
            <w:tcW w:w="856" w:type="dxa"/>
            <w:tcBorders>
              <w:top w:val="nil"/>
              <w:left w:val="nil"/>
              <w:bottom w:val="single" w:sz="4" w:space="0" w:color="auto"/>
              <w:right w:val="single" w:sz="4" w:space="0" w:color="auto"/>
            </w:tcBorders>
            <w:vAlign w:val="center"/>
            <w:hideMark/>
          </w:tcPr>
          <w:p w14:paraId="16C53A0D"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13431644</w:t>
            </w:r>
          </w:p>
        </w:tc>
        <w:tc>
          <w:tcPr>
            <w:tcW w:w="856" w:type="dxa"/>
            <w:tcBorders>
              <w:top w:val="nil"/>
              <w:left w:val="nil"/>
              <w:bottom w:val="single" w:sz="4" w:space="0" w:color="auto"/>
              <w:right w:val="single" w:sz="4" w:space="0" w:color="auto"/>
            </w:tcBorders>
            <w:vAlign w:val="center"/>
            <w:hideMark/>
          </w:tcPr>
          <w:p w14:paraId="2750D32D"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15719885</w:t>
            </w:r>
          </w:p>
        </w:tc>
        <w:tc>
          <w:tcPr>
            <w:tcW w:w="856" w:type="dxa"/>
            <w:tcBorders>
              <w:top w:val="nil"/>
              <w:left w:val="nil"/>
              <w:bottom w:val="single" w:sz="4" w:space="0" w:color="auto"/>
              <w:right w:val="single" w:sz="4" w:space="0" w:color="auto"/>
            </w:tcBorders>
            <w:vAlign w:val="center"/>
            <w:hideMark/>
          </w:tcPr>
          <w:p w14:paraId="62C21FA4"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17401038</w:t>
            </w:r>
          </w:p>
        </w:tc>
        <w:tc>
          <w:tcPr>
            <w:tcW w:w="856" w:type="dxa"/>
            <w:tcBorders>
              <w:top w:val="nil"/>
              <w:left w:val="nil"/>
              <w:bottom w:val="single" w:sz="4" w:space="0" w:color="auto"/>
              <w:right w:val="single" w:sz="4" w:space="0" w:color="auto"/>
            </w:tcBorders>
            <w:vAlign w:val="center"/>
            <w:hideMark/>
          </w:tcPr>
          <w:p w14:paraId="4C44BC8E"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46552567</w:t>
            </w:r>
          </w:p>
        </w:tc>
        <w:tc>
          <w:tcPr>
            <w:tcW w:w="1117" w:type="dxa"/>
            <w:tcBorders>
              <w:top w:val="nil"/>
              <w:left w:val="nil"/>
              <w:bottom w:val="single" w:sz="4" w:space="0" w:color="auto"/>
              <w:right w:val="single" w:sz="4" w:space="0" w:color="auto"/>
            </w:tcBorders>
            <w:vAlign w:val="center"/>
            <w:hideMark/>
          </w:tcPr>
          <w:p w14:paraId="04027599"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15517522</w:t>
            </w:r>
          </w:p>
        </w:tc>
      </w:tr>
      <w:tr w:rsidR="00CF6CCC" w:rsidRPr="00CF6CCC" w14:paraId="21DB4DF0"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FD40689"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lastRenderedPageBreak/>
              <w:t> </w:t>
            </w:r>
          </w:p>
        </w:tc>
        <w:tc>
          <w:tcPr>
            <w:tcW w:w="1554" w:type="dxa"/>
            <w:tcBorders>
              <w:top w:val="nil"/>
              <w:left w:val="nil"/>
              <w:bottom w:val="single" w:sz="4" w:space="0" w:color="auto"/>
              <w:right w:val="single" w:sz="4" w:space="0" w:color="auto"/>
            </w:tcBorders>
            <w:vAlign w:val="center"/>
            <w:hideMark/>
          </w:tcPr>
          <w:p w14:paraId="040BACFC" w14:textId="77777777" w:rsidR="00CF6CCC" w:rsidRPr="00CF6CCC" w:rsidRDefault="00CF6CCC" w:rsidP="00CF6CCC">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Union Territories</w:t>
            </w:r>
          </w:p>
        </w:tc>
        <w:tc>
          <w:tcPr>
            <w:tcW w:w="856" w:type="dxa"/>
            <w:tcBorders>
              <w:top w:val="nil"/>
              <w:left w:val="nil"/>
              <w:bottom w:val="single" w:sz="4" w:space="0" w:color="auto"/>
              <w:right w:val="single" w:sz="4" w:space="0" w:color="auto"/>
            </w:tcBorders>
            <w:vAlign w:val="center"/>
            <w:hideMark/>
          </w:tcPr>
          <w:p w14:paraId="4EF7F2B9"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382069</w:t>
            </w:r>
          </w:p>
        </w:tc>
        <w:tc>
          <w:tcPr>
            <w:tcW w:w="856" w:type="dxa"/>
            <w:tcBorders>
              <w:top w:val="nil"/>
              <w:left w:val="nil"/>
              <w:bottom w:val="single" w:sz="4" w:space="0" w:color="auto"/>
              <w:right w:val="single" w:sz="4" w:space="0" w:color="auto"/>
            </w:tcBorders>
            <w:vAlign w:val="center"/>
            <w:hideMark/>
          </w:tcPr>
          <w:p w14:paraId="19277F5F"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419913</w:t>
            </w:r>
          </w:p>
        </w:tc>
        <w:tc>
          <w:tcPr>
            <w:tcW w:w="856" w:type="dxa"/>
            <w:tcBorders>
              <w:top w:val="nil"/>
              <w:left w:val="nil"/>
              <w:bottom w:val="single" w:sz="4" w:space="0" w:color="auto"/>
              <w:right w:val="single" w:sz="4" w:space="0" w:color="auto"/>
            </w:tcBorders>
            <w:vAlign w:val="center"/>
            <w:hideMark/>
          </w:tcPr>
          <w:p w14:paraId="1B4E2306"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482056</w:t>
            </w:r>
          </w:p>
        </w:tc>
        <w:tc>
          <w:tcPr>
            <w:tcW w:w="856" w:type="dxa"/>
            <w:tcBorders>
              <w:top w:val="nil"/>
              <w:left w:val="nil"/>
              <w:bottom w:val="single" w:sz="4" w:space="0" w:color="auto"/>
              <w:right w:val="single" w:sz="4" w:space="0" w:color="auto"/>
            </w:tcBorders>
            <w:vAlign w:val="center"/>
            <w:hideMark/>
          </w:tcPr>
          <w:p w14:paraId="1FA269E9"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1284038</w:t>
            </w:r>
          </w:p>
        </w:tc>
        <w:tc>
          <w:tcPr>
            <w:tcW w:w="1117" w:type="dxa"/>
            <w:tcBorders>
              <w:top w:val="nil"/>
              <w:left w:val="nil"/>
              <w:bottom w:val="single" w:sz="4" w:space="0" w:color="auto"/>
              <w:right w:val="single" w:sz="4" w:space="0" w:color="auto"/>
            </w:tcBorders>
            <w:vAlign w:val="center"/>
            <w:hideMark/>
          </w:tcPr>
          <w:p w14:paraId="34C5C31F"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428013</w:t>
            </w:r>
          </w:p>
        </w:tc>
      </w:tr>
      <w:tr w:rsidR="00CF6CCC" w:rsidRPr="00CF6CCC" w14:paraId="6D646CB3" w14:textId="77777777" w:rsidTr="00D42ADC">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549A336" w14:textId="77777777" w:rsidR="00CF6CCC" w:rsidRPr="00CF6CCC" w:rsidRDefault="00CF6CCC" w:rsidP="00CF6CCC">
            <w:pPr>
              <w:spacing w:after="0" w:line="240" w:lineRule="auto"/>
              <w:rPr>
                <w:rFonts w:ascii="Aptos" w:eastAsia="Times New Roman" w:hAnsi="Aptos" w:cs="Times New Roman"/>
                <w:color w:val="000000"/>
                <w:kern w:val="0"/>
                <w:szCs w:val="24"/>
                <w:lang w:eastAsia="en-IN" w:bidi="ar-SA"/>
                <w14:ligatures w14:val="none"/>
              </w:rPr>
            </w:pPr>
            <w:r w:rsidRPr="00CF6CCC">
              <w:rPr>
                <w:rFonts w:ascii="Aptos" w:eastAsia="Times New Roman" w:hAnsi="Aptos" w:cs="Times New Roman"/>
                <w:color w:val="000000"/>
                <w:kern w:val="0"/>
                <w:szCs w:val="24"/>
                <w:lang w:eastAsia="en-IN" w:bidi="ar-SA"/>
                <w14:ligatures w14:val="none"/>
              </w:rPr>
              <w:t> </w:t>
            </w:r>
          </w:p>
        </w:tc>
        <w:tc>
          <w:tcPr>
            <w:tcW w:w="1554" w:type="dxa"/>
            <w:tcBorders>
              <w:top w:val="nil"/>
              <w:left w:val="nil"/>
              <w:bottom w:val="single" w:sz="4" w:space="0" w:color="auto"/>
              <w:right w:val="single" w:sz="4" w:space="0" w:color="auto"/>
            </w:tcBorders>
            <w:vAlign w:val="center"/>
            <w:hideMark/>
          </w:tcPr>
          <w:p w14:paraId="25074335" w14:textId="77777777" w:rsidR="00CF6CCC" w:rsidRPr="00CF6CCC" w:rsidRDefault="00CF6CCC" w:rsidP="00CF6CCC">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All India</w:t>
            </w:r>
          </w:p>
        </w:tc>
        <w:tc>
          <w:tcPr>
            <w:tcW w:w="856" w:type="dxa"/>
            <w:tcBorders>
              <w:top w:val="nil"/>
              <w:left w:val="nil"/>
              <w:bottom w:val="single" w:sz="4" w:space="0" w:color="auto"/>
              <w:right w:val="single" w:sz="4" w:space="0" w:color="auto"/>
            </w:tcBorders>
            <w:vAlign w:val="center"/>
            <w:hideMark/>
          </w:tcPr>
          <w:p w14:paraId="22AA1402"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13813713</w:t>
            </w:r>
          </w:p>
        </w:tc>
        <w:tc>
          <w:tcPr>
            <w:tcW w:w="856" w:type="dxa"/>
            <w:tcBorders>
              <w:top w:val="nil"/>
              <w:left w:val="nil"/>
              <w:bottom w:val="single" w:sz="4" w:space="0" w:color="auto"/>
              <w:right w:val="single" w:sz="4" w:space="0" w:color="auto"/>
            </w:tcBorders>
            <w:vAlign w:val="center"/>
            <w:hideMark/>
          </w:tcPr>
          <w:p w14:paraId="71CE5CB3"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16139798</w:t>
            </w:r>
          </w:p>
        </w:tc>
        <w:tc>
          <w:tcPr>
            <w:tcW w:w="856" w:type="dxa"/>
            <w:tcBorders>
              <w:top w:val="nil"/>
              <w:left w:val="nil"/>
              <w:bottom w:val="single" w:sz="4" w:space="0" w:color="auto"/>
              <w:right w:val="single" w:sz="4" w:space="0" w:color="auto"/>
            </w:tcBorders>
            <w:vAlign w:val="center"/>
            <w:hideMark/>
          </w:tcPr>
          <w:p w14:paraId="14C74647"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17883094</w:t>
            </w:r>
          </w:p>
        </w:tc>
        <w:tc>
          <w:tcPr>
            <w:tcW w:w="856" w:type="dxa"/>
            <w:tcBorders>
              <w:top w:val="nil"/>
              <w:left w:val="nil"/>
              <w:bottom w:val="single" w:sz="4" w:space="0" w:color="auto"/>
              <w:right w:val="single" w:sz="4" w:space="0" w:color="auto"/>
            </w:tcBorders>
            <w:vAlign w:val="center"/>
            <w:hideMark/>
          </w:tcPr>
          <w:p w14:paraId="3BDFC006"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47836605</w:t>
            </w:r>
          </w:p>
        </w:tc>
        <w:tc>
          <w:tcPr>
            <w:tcW w:w="1117" w:type="dxa"/>
            <w:tcBorders>
              <w:top w:val="nil"/>
              <w:left w:val="nil"/>
              <w:bottom w:val="single" w:sz="4" w:space="0" w:color="auto"/>
              <w:right w:val="single" w:sz="4" w:space="0" w:color="auto"/>
            </w:tcBorders>
            <w:vAlign w:val="center"/>
            <w:hideMark/>
          </w:tcPr>
          <w:p w14:paraId="11D682CB" w14:textId="77777777" w:rsidR="00CF6CCC" w:rsidRPr="00CF6CCC" w:rsidRDefault="00CF6CCC" w:rsidP="00CF6CC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CF6CCC">
              <w:rPr>
                <w:rFonts w:ascii="Times New Roman" w:eastAsia="Times New Roman" w:hAnsi="Times New Roman" w:cs="Times New Roman"/>
                <w:b/>
                <w:bCs/>
                <w:color w:val="000000"/>
                <w:kern w:val="0"/>
                <w:sz w:val="16"/>
                <w:szCs w:val="16"/>
                <w:lang w:eastAsia="en-IN" w:bidi="ar-SA"/>
                <w14:ligatures w14:val="none"/>
              </w:rPr>
              <w:t>15945535</w:t>
            </w:r>
          </w:p>
        </w:tc>
      </w:tr>
    </w:tbl>
    <w:p w14:paraId="753BA181" w14:textId="574819BC" w:rsidR="00A10B88" w:rsidRPr="001A43EB" w:rsidRDefault="00A10B88" w:rsidP="00D42ADC">
      <w:pPr>
        <w:spacing w:after="0" w:line="240" w:lineRule="atLeast"/>
        <w:ind w:left="2160"/>
        <w:rPr>
          <w:rFonts w:ascii="Times New Roman" w:hAnsi="Times New Roman" w:cs="Times New Roman"/>
        </w:rPr>
      </w:pPr>
      <w:proofErr w:type="gramStart"/>
      <w:r w:rsidRPr="00D42ADC">
        <w:rPr>
          <w:rFonts w:ascii="Times New Roman" w:hAnsi="Times New Roman" w:cs="Times New Roman"/>
          <w:sz w:val="16"/>
          <w:szCs w:val="14"/>
        </w:rPr>
        <w:t>Source :</w:t>
      </w:r>
      <w:proofErr w:type="gramEnd"/>
      <w:r w:rsidRPr="00D42ADC">
        <w:rPr>
          <w:rFonts w:ascii="Times New Roman" w:hAnsi="Times New Roman" w:cs="Times New Roman"/>
          <w:sz w:val="16"/>
          <w:szCs w:val="14"/>
        </w:rPr>
        <w:t xml:space="preserve"> Central Statistical Organisation (CSO).</w:t>
      </w:r>
    </w:p>
    <w:p w14:paraId="521068A5" w14:textId="7972E663" w:rsidR="001D3365" w:rsidRPr="00C5201E" w:rsidRDefault="00A10B88" w:rsidP="001D3365">
      <w:pPr>
        <w:pStyle w:val="Heading2"/>
        <w:rPr>
          <w:sz w:val="20"/>
          <w:szCs w:val="20"/>
        </w:rPr>
      </w:pPr>
      <w:bookmarkStart w:id="104" w:name="_Toc221293010"/>
      <w:bookmarkStart w:id="105" w:name="_Toc222399500"/>
      <w:r w:rsidRPr="00C5201E">
        <w:rPr>
          <w:sz w:val="20"/>
          <w:szCs w:val="20"/>
        </w:rPr>
        <w:t>ANNEXURE V.5</w:t>
      </w:r>
      <w:r w:rsidR="001D3365" w:rsidRPr="00C5201E">
        <w:rPr>
          <w:sz w:val="20"/>
          <w:szCs w:val="20"/>
        </w:rPr>
        <w:br/>
      </w:r>
      <w:r w:rsidRPr="00C5201E">
        <w:rPr>
          <w:sz w:val="20"/>
          <w:szCs w:val="20"/>
        </w:rPr>
        <w:t>Population</w:t>
      </w:r>
      <w:bookmarkEnd w:id="104"/>
      <w:bookmarkEnd w:id="105"/>
    </w:p>
    <w:p w14:paraId="57A722EB" w14:textId="44F27936" w:rsidR="00A10B88" w:rsidRPr="00AA6AF4" w:rsidRDefault="001D3365" w:rsidP="001D3365">
      <w:pPr>
        <w:spacing w:after="0" w:line="240" w:lineRule="atLeast"/>
        <w:jc w:val="center"/>
        <w:rPr>
          <w:rFonts w:ascii="Times New Roman" w:hAnsi="Times New Roman" w:cs="Times New Roman"/>
        </w:rPr>
      </w:pPr>
      <w:r w:rsidRPr="00C5201E">
        <w:rPr>
          <w:rFonts w:ascii="Times New Roman" w:hAnsi="Times New Roman" w:cs="Times New Roman"/>
          <w:sz w:val="18"/>
          <w:szCs w:val="16"/>
        </w:rPr>
        <w:t>(Para 5.19)</w:t>
      </w:r>
      <w:r w:rsidR="00A10B88" w:rsidRPr="00AA6AF4">
        <w:rPr>
          <w:rFonts w:ascii="Times New Roman" w:hAnsi="Times New Roman" w:cs="Times New Roman"/>
        </w:rPr>
        <w:br/>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sidR="00A10B88" w:rsidRPr="001D3365">
        <w:rPr>
          <w:rFonts w:ascii="Times New Roman" w:hAnsi="Times New Roman" w:cs="Times New Roman"/>
          <w:i/>
          <w:iCs/>
          <w:sz w:val="18"/>
          <w:szCs w:val="16"/>
        </w:rPr>
        <w:t>(In lakh)</w:t>
      </w:r>
    </w:p>
    <w:tbl>
      <w:tblPr>
        <w:tblStyle w:val="TableGrid"/>
        <w:tblW w:w="6232" w:type="dxa"/>
        <w:jc w:val="center"/>
        <w:tblLook w:val="04A0" w:firstRow="1" w:lastRow="0" w:firstColumn="1" w:lastColumn="0" w:noHBand="0" w:noVBand="1"/>
      </w:tblPr>
      <w:tblGrid>
        <w:gridCol w:w="421"/>
        <w:gridCol w:w="1701"/>
        <w:gridCol w:w="1984"/>
        <w:gridCol w:w="2126"/>
      </w:tblGrid>
      <w:tr w:rsidR="009E5379" w:rsidRPr="00C5201E" w14:paraId="1264E946" w14:textId="77777777" w:rsidTr="00C5201E">
        <w:trPr>
          <w:trHeight w:val="20"/>
          <w:jc w:val="center"/>
        </w:trPr>
        <w:tc>
          <w:tcPr>
            <w:tcW w:w="421" w:type="dxa"/>
            <w:vAlign w:val="center"/>
            <w:hideMark/>
          </w:tcPr>
          <w:p w14:paraId="41F36CEF" w14:textId="77777777" w:rsidR="00A10B88" w:rsidRPr="00C5201E" w:rsidRDefault="00A10B88" w:rsidP="00C5201E">
            <w:pPr>
              <w:pStyle w:val="NoSpacing"/>
              <w:rPr>
                <w:rFonts w:ascii="Times New Roman" w:hAnsi="Times New Roman" w:cs="Times New Roman"/>
                <w:sz w:val="16"/>
                <w:szCs w:val="16"/>
              </w:rPr>
            </w:pPr>
          </w:p>
        </w:tc>
        <w:tc>
          <w:tcPr>
            <w:tcW w:w="1701" w:type="dxa"/>
            <w:vAlign w:val="center"/>
            <w:hideMark/>
          </w:tcPr>
          <w:p w14:paraId="32A6E551" w14:textId="77777777" w:rsidR="00A10B88" w:rsidRPr="00C5201E" w:rsidRDefault="00A10B88" w:rsidP="00C5201E">
            <w:pPr>
              <w:pStyle w:val="NoSpacing"/>
              <w:jc w:val="center"/>
              <w:rPr>
                <w:rFonts w:ascii="Times New Roman" w:hAnsi="Times New Roman" w:cs="Times New Roman"/>
                <w:b/>
                <w:bCs/>
                <w:sz w:val="16"/>
                <w:szCs w:val="16"/>
              </w:rPr>
            </w:pPr>
            <w:r w:rsidRPr="00C5201E">
              <w:rPr>
                <w:rFonts w:ascii="Times New Roman" w:hAnsi="Times New Roman" w:cs="Times New Roman"/>
                <w:b/>
                <w:bCs/>
                <w:sz w:val="16"/>
                <w:szCs w:val="16"/>
              </w:rPr>
              <w:t>States</w:t>
            </w:r>
          </w:p>
        </w:tc>
        <w:tc>
          <w:tcPr>
            <w:tcW w:w="1984" w:type="dxa"/>
            <w:vAlign w:val="center"/>
            <w:hideMark/>
          </w:tcPr>
          <w:p w14:paraId="47B81BC2" w14:textId="77777777" w:rsidR="00A10B88" w:rsidRPr="00C5201E" w:rsidRDefault="00A10B88" w:rsidP="00C5201E">
            <w:pPr>
              <w:pStyle w:val="NoSpacing"/>
              <w:jc w:val="center"/>
              <w:rPr>
                <w:rFonts w:ascii="Times New Roman" w:hAnsi="Times New Roman" w:cs="Times New Roman"/>
                <w:b/>
                <w:bCs/>
                <w:sz w:val="16"/>
                <w:szCs w:val="16"/>
              </w:rPr>
            </w:pPr>
            <w:r w:rsidRPr="00C5201E">
              <w:rPr>
                <w:rFonts w:ascii="Times New Roman" w:hAnsi="Times New Roman" w:cs="Times New Roman"/>
                <w:b/>
                <w:bCs/>
                <w:sz w:val="16"/>
                <w:szCs w:val="16"/>
              </w:rPr>
              <w:t>Population 1971 Census</w:t>
            </w:r>
          </w:p>
        </w:tc>
        <w:tc>
          <w:tcPr>
            <w:tcW w:w="2126" w:type="dxa"/>
            <w:vAlign w:val="center"/>
            <w:hideMark/>
          </w:tcPr>
          <w:p w14:paraId="7D0DB851" w14:textId="77777777" w:rsidR="00A10B88" w:rsidRPr="00C5201E" w:rsidRDefault="00A10B88" w:rsidP="00C5201E">
            <w:pPr>
              <w:pStyle w:val="NoSpacing"/>
              <w:jc w:val="center"/>
              <w:rPr>
                <w:rFonts w:ascii="Times New Roman" w:hAnsi="Times New Roman" w:cs="Times New Roman"/>
                <w:b/>
                <w:bCs/>
                <w:sz w:val="16"/>
                <w:szCs w:val="16"/>
              </w:rPr>
            </w:pPr>
            <w:r w:rsidRPr="00C5201E">
              <w:rPr>
                <w:rFonts w:ascii="Times New Roman" w:hAnsi="Times New Roman" w:cs="Times New Roman"/>
                <w:b/>
                <w:bCs/>
                <w:sz w:val="16"/>
                <w:szCs w:val="16"/>
              </w:rPr>
              <w:t>Population 1981 Census</w:t>
            </w:r>
          </w:p>
        </w:tc>
      </w:tr>
      <w:tr w:rsidR="009E5379" w:rsidRPr="00C5201E" w14:paraId="3974CBB7" w14:textId="77777777" w:rsidTr="00C5201E">
        <w:trPr>
          <w:trHeight w:val="20"/>
          <w:jc w:val="center"/>
        </w:trPr>
        <w:tc>
          <w:tcPr>
            <w:tcW w:w="421" w:type="dxa"/>
            <w:vAlign w:val="center"/>
            <w:hideMark/>
          </w:tcPr>
          <w:p w14:paraId="4455E0FF" w14:textId="77777777" w:rsidR="00A10B88" w:rsidRPr="00C5201E" w:rsidRDefault="00A10B88" w:rsidP="00C5201E">
            <w:pPr>
              <w:pStyle w:val="NoSpacing"/>
              <w:rPr>
                <w:rFonts w:ascii="Times New Roman" w:hAnsi="Times New Roman" w:cs="Times New Roman"/>
                <w:sz w:val="16"/>
                <w:szCs w:val="16"/>
              </w:rPr>
            </w:pPr>
          </w:p>
        </w:tc>
        <w:tc>
          <w:tcPr>
            <w:tcW w:w="1701" w:type="dxa"/>
            <w:vAlign w:val="center"/>
            <w:hideMark/>
          </w:tcPr>
          <w:p w14:paraId="2DA563D0" w14:textId="77777777" w:rsidR="00A10B88" w:rsidRPr="00C5201E" w:rsidRDefault="00A10B88" w:rsidP="00C5201E">
            <w:pPr>
              <w:pStyle w:val="NoSpacing"/>
              <w:jc w:val="center"/>
              <w:rPr>
                <w:rFonts w:ascii="Times New Roman" w:hAnsi="Times New Roman" w:cs="Times New Roman"/>
                <w:b/>
                <w:bCs/>
                <w:sz w:val="16"/>
                <w:szCs w:val="16"/>
              </w:rPr>
            </w:pPr>
            <w:r w:rsidRPr="00C5201E">
              <w:rPr>
                <w:rFonts w:ascii="Times New Roman" w:hAnsi="Times New Roman" w:cs="Times New Roman"/>
                <w:b/>
                <w:bCs/>
                <w:sz w:val="16"/>
                <w:szCs w:val="16"/>
              </w:rPr>
              <w:t>(1)</w:t>
            </w:r>
          </w:p>
        </w:tc>
        <w:tc>
          <w:tcPr>
            <w:tcW w:w="1984" w:type="dxa"/>
            <w:vAlign w:val="center"/>
            <w:hideMark/>
          </w:tcPr>
          <w:p w14:paraId="3CF2FFD9" w14:textId="77777777" w:rsidR="00A10B88" w:rsidRPr="00C5201E" w:rsidRDefault="00A10B88" w:rsidP="00C5201E">
            <w:pPr>
              <w:pStyle w:val="NoSpacing"/>
              <w:jc w:val="center"/>
              <w:rPr>
                <w:rFonts w:ascii="Times New Roman" w:hAnsi="Times New Roman" w:cs="Times New Roman"/>
                <w:b/>
                <w:bCs/>
                <w:sz w:val="16"/>
                <w:szCs w:val="16"/>
              </w:rPr>
            </w:pPr>
            <w:r w:rsidRPr="00C5201E">
              <w:rPr>
                <w:rFonts w:ascii="Times New Roman" w:hAnsi="Times New Roman" w:cs="Times New Roman"/>
                <w:b/>
                <w:bCs/>
                <w:sz w:val="16"/>
                <w:szCs w:val="16"/>
              </w:rPr>
              <w:t>(2)</w:t>
            </w:r>
          </w:p>
        </w:tc>
        <w:tc>
          <w:tcPr>
            <w:tcW w:w="2126" w:type="dxa"/>
            <w:vAlign w:val="center"/>
            <w:hideMark/>
          </w:tcPr>
          <w:p w14:paraId="514E0724" w14:textId="77777777" w:rsidR="00A10B88" w:rsidRPr="00C5201E" w:rsidRDefault="00A10B88" w:rsidP="00C5201E">
            <w:pPr>
              <w:pStyle w:val="NoSpacing"/>
              <w:jc w:val="center"/>
              <w:rPr>
                <w:rFonts w:ascii="Times New Roman" w:hAnsi="Times New Roman" w:cs="Times New Roman"/>
                <w:b/>
                <w:bCs/>
                <w:sz w:val="16"/>
                <w:szCs w:val="16"/>
              </w:rPr>
            </w:pPr>
            <w:r w:rsidRPr="00C5201E">
              <w:rPr>
                <w:rFonts w:ascii="Times New Roman" w:hAnsi="Times New Roman" w:cs="Times New Roman"/>
                <w:b/>
                <w:bCs/>
                <w:sz w:val="16"/>
                <w:szCs w:val="16"/>
              </w:rPr>
              <w:t>(3)</w:t>
            </w:r>
          </w:p>
        </w:tc>
      </w:tr>
      <w:tr w:rsidR="009E5379" w:rsidRPr="00C5201E" w14:paraId="0513BD66" w14:textId="77777777" w:rsidTr="00C5201E">
        <w:trPr>
          <w:trHeight w:val="20"/>
          <w:jc w:val="center"/>
        </w:trPr>
        <w:tc>
          <w:tcPr>
            <w:tcW w:w="421" w:type="dxa"/>
            <w:vAlign w:val="center"/>
            <w:hideMark/>
          </w:tcPr>
          <w:p w14:paraId="50B80AF0"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w:t>
            </w:r>
          </w:p>
        </w:tc>
        <w:tc>
          <w:tcPr>
            <w:tcW w:w="1701" w:type="dxa"/>
            <w:vAlign w:val="center"/>
            <w:hideMark/>
          </w:tcPr>
          <w:p w14:paraId="3F8882C3"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Andhra Pradesh</w:t>
            </w:r>
          </w:p>
        </w:tc>
        <w:tc>
          <w:tcPr>
            <w:tcW w:w="1984" w:type="dxa"/>
            <w:vAlign w:val="center"/>
            <w:hideMark/>
          </w:tcPr>
          <w:p w14:paraId="730D4A0E"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435.03</w:t>
            </w:r>
          </w:p>
        </w:tc>
        <w:tc>
          <w:tcPr>
            <w:tcW w:w="2126" w:type="dxa"/>
            <w:vAlign w:val="center"/>
            <w:hideMark/>
          </w:tcPr>
          <w:p w14:paraId="5FDEE568"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535.50</w:t>
            </w:r>
          </w:p>
        </w:tc>
      </w:tr>
      <w:tr w:rsidR="009E5379" w:rsidRPr="00C5201E" w14:paraId="1EF2C848" w14:textId="77777777" w:rsidTr="00C5201E">
        <w:trPr>
          <w:trHeight w:val="20"/>
          <w:jc w:val="center"/>
        </w:trPr>
        <w:tc>
          <w:tcPr>
            <w:tcW w:w="421" w:type="dxa"/>
            <w:vAlign w:val="center"/>
            <w:hideMark/>
          </w:tcPr>
          <w:p w14:paraId="615593C5"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w:t>
            </w:r>
          </w:p>
        </w:tc>
        <w:tc>
          <w:tcPr>
            <w:tcW w:w="1701" w:type="dxa"/>
            <w:vAlign w:val="center"/>
            <w:hideMark/>
          </w:tcPr>
          <w:p w14:paraId="2B12E2BB"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Arunachal Pradesh</w:t>
            </w:r>
          </w:p>
        </w:tc>
        <w:tc>
          <w:tcPr>
            <w:tcW w:w="1984" w:type="dxa"/>
            <w:vAlign w:val="center"/>
            <w:hideMark/>
          </w:tcPr>
          <w:p w14:paraId="0E90E492"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4.68</w:t>
            </w:r>
          </w:p>
        </w:tc>
        <w:tc>
          <w:tcPr>
            <w:tcW w:w="2126" w:type="dxa"/>
            <w:vAlign w:val="center"/>
            <w:hideMark/>
          </w:tcPr>
          <w:p w14:paraId="679D7733"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6.32</w:t>
            </w:r>
          </w:p>
        </w:tc>
      </w:tr>
      <w:tr w:rsidR="009E5379" w:rsidRPr="00C5201E" w14:paraId="67949B68" w14:textId="77777777" w:rsidTr="00C5201E">
        <w:trPr>
          <w:trHeight w:val="20"/>
          <w:jc w:val="center"/>
        </w:trPr>
        <w:tc>
          <w:tcPr>
            <w:tcW w:w="421" w:type="dxa"/>
            <w:vAlign w:val="center"/>
            <w:hideMark/>
          </w:tcPr>
          <w:p w14:paraId="62FA2315"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3.</w:t>
            </w:r>
          </w:p>
        </w:tc>
        <w:tc>
          <w:tcPr>
            <w:tcW w:w="1701" w:type="dxa"/>
            <w:vAlign w:val="center"/>
            <w:hideMark/>
          </w:tcPr>
          <w:p w14:paraId="3120CDEC"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Assam</w:t>
            </w:r>
          </w:p>
        </w:tc>
        <w:tc>
          <w:tcPr>
            <w:tcW w:w="1984" w:type="dxa"/>
            <w:vAlign w:val="center"/>
            <w:hideMark/>
          </w:tcPr>
          <w:p w14:paraId="5288A2C9"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146.25</w:t>
            </w:r>
          </w:p>
        </w:tc>
        <w:tc>
          <w:tcPr>
            <w:tcW w:w="2126" w:type="dxa"/>
            <w:vAlign w:val="center"/>
            <w:hideMark/>
          </w:tcPr>
          <w:p w14:paraId="5ED9E0DE" w14:textId="60F8758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 xml:space="preserve">198.97 </w:t>
            </w:r>
            <w:r w:rsidR="001D3365" w:rsidRPr="00C5201E">
              <w:rPr>
                <w:rFonts w:ascii="Times New Roman" w:hAnsi="Times New Roman" w:cs="Times New Roman"/>
                <w:sz w:val="16"/>
                <w:szCs w:val="16"/>
              </w:rPr>
              <w:t>1/</w:t>
            </w:r>
          </w:p>
        </w:tc>
      </w:tr>
      <w:tr w:rsidR="009E5379" w:rsidRPr="00C5201E" w14:paraId="2EDFBCB1" w14:textId="77777777" w:rsidTr="00C5201E">
        <w:trPr>
          <w:trHeight w:val="20"/>
          <w:jc w:val="center"/>
        </w:trPr>
        <w:tc>
          <w:tcPr>
            <w:tcW w:w="421" w:type="dxa"/>
            <w:vAlign w:val="center"/>
            <w:hideMark/>
          </w:tcPr>
          <w:p w14:paraId="4B1AE129"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4.</w:t>
            </w:r>
          </w:p>
        </w:tc>
        <w:tc>
          <w:tcPr>
            <w:tcW w:w="1701" w:type="dxa"/>
            <w:vAlign w:val="center"/>
            <w:hideMark/>
          </w:tcPr>
          <w:p w14:paraId="613CCFD0"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Bihar</w:t>
            </w:r>
          </w:p>
        </w:tc>
        <w:tc>
          <w:tcPr>
            <w:tcW w:w="1984" w:type="dxa"/>
            <w:vAlign w:val="center"/>
            <w:hideMark/>
          </w:tcPr>
          <w:p w14:paraId="74FD4A4E"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563.53</w:t>
            </w:r>
          </w:p>
        </w:tc>
        <w:tc>
          <w:tcPr>
            <w:tcW w:w="2126" w:type="dxa"/>
            <w:vAlign w:val="center"/>
            <w:hideMark/>
          </w:tcPr>
          <w:p w14:paraId="34189A2F"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699.15</w:t>
            </w:r>
          </w:p>
        </w:tc>
      </w:tr>
      <w:tr w:rsidR="009E5379" w:rsidRPr="00C5201E" w14:paraId="25A64A63" w14:textId="77777777" w:rsidTr="00C5201E">
        <w:trPr>
          <w:trHeight w:val="20"/>
          <w:jc w:val="center"/>
        </w:trPr>
        <w:tc>
          <w:tcPr>
            <w:tcW w:w="421" w:type="dxa"/>
            <w:vAlign w:val="center"/>
            <w:hideMark/>
          </w:tcPr>
          <w:p w14:paraId="58568DF1"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5.</w:t>
            </w:r>
          </w:p>
        </w:tc>
        <w:tc>
          <w:tcPr>
            <w:tcW w:w="1701" w:type="dxa"/>
            <w:vAlign w:val="center"/>
            <w:hideMark/>
          </w:tcPr>
          <w:p w14:paraId="0B9046DF"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Goa</w:t>
            </w:r>
          </w:p>
        </w:tc>
        <w:tc>
          <w:tcPr>
            <w:tcW w:w="1984" w:type="dxa"/>
            <w:vAlign w:val="center"/>
            <w:hideMark/>
          </w:tcPr>
          <w:p w14:paraId="38FB9734"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7.95</w:t>
            </w:r>
          </w:p>
        </w:tc>
        <w:tc>
          <w:tcPr>
            <w:tcW w:w="2126" w:type="dxa"/>
            <w:vAlign w:val="center"/>
            <w:hideMark/>
          </w:tcPr>
          <w:p w14:paraId="26E47697"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10.07</w:t>
            </w:r>
          </w:p>
        </w:tc>
      </w:tr>
      <w:tr w:rsidR="009E5379" w:rsidRPr="00C5201E" w14:paraId="34BBB272" w14:textId="77777777" w:rsidTr="00C5201E">
        <w:trPr>
          <w:trHeight w:val="20"/>
          <w:jc w:val="center"/>
        </w:trPr>
        <w:tc>
          <w:tcPr>
            <w:tcW w:w="421" w:type="dxa"/>
            <w:vAlign w:val="center"/>
            <w:hideMark/>
          </w:tcPr>
          <w:p w14:paraId="77806F09"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6.</w:t>
            </w:r>
          </w:p>
        </w:tc>
        <w:tc>
          <w:tcPr>
            <w:tcW w:w="1701" w:type="dxa"/>
            <w:vAlign w:val="center"/>
            <w:hideMark/>
          </w:tcPr>
          <w:p w14:paraId="15309985" w14:textId="77777777" w:rsidR="00A10B88" w:rsidRPr="00C5201E" w:rsidRDefault="00A10B88"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Gujarat</w:t>
            </w:r>
          </w:p>
        </w:tc>
        <w:tc>
          <w:tcPr>
            <w:tcW w:w="1984" w:type="dxa"/>
            <w:vAlign w:val="center"/>
            <w:hideMark/>
          </w:tcPr>
          <w:p w14:paraId="047E3081"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266.97</w:t>
            </w:r>
          </w:p>
        </w:tc>
        <w:tc>
          <w:tcPr>
            <w:tcW w:w="2126" w:type="dxa"/>
            <w:vAlign w:val="center"/>
            <w:hideMark/>
          </w:tcPr>
          <w:p w14:paraId="78176647" w14:textId="77777777" w:rsidR="00A10B88" w:rsidRPr="00C5201E" w:rsidRDefault="00A10B88"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340.86</w:t>
            </w:r>
          </w:p>
        </w:tc>
      </w:tr>
      <w:tr w:rsidR="00B16A23" w:rsidRPr="00C5201E" w14:paraId="74E3D7A0" w14:textId="77777777" w:rsidTr="00C5201E">
        <w:trPr>
          <w:trHeight w:val="20"/>
          <w:jc w:val="center"/>
        </w:trPr>
        <w:tc>
          <w:tcPr>
            <w:tcW w:w="421" w:type="dxa"/>
            <w:vAlign w:val="center"/>
          </w:tcPr>
          <w:p w14:paraId="2CE45F5B" w14:textId="048A54AE"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7.</w:t>
            </w:r>
          </w:p>
        </w:tc>
        <w:tc>
          <w:tcPr>
            <w:tcW w:w="1701" w:type="dxa"/>
            <w:vAlign w:val="center"/>
          </w:tcPr>
          <w:p w14:paraId="502AF8B4" w14:textId="49DF5720"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Haryana</w:t>
            </w:r>
          </w:p>
        </w:tc>
        <w:tc>
          <w:tcPr>
            <w:tcW w:w="1984" w:type="dxa"/>
            <w:vAlign w:val="center"/>
          </w:tcPr>
          <w:p w14:paraId="1B93F8A5" w14:textId="181E3E25"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100.37</w:t>
            </w:r>
          </w:p>
        </w:tc>
        <w:tc>
          <w:tcPr>
            <w:tcW w:w="2126" w:type="dxa"/>
            <w:vAlign w:val="center"/>
          </w:tcPr>
          <w:p w14:paraId="16B690F5" w14:textId="5B42CAE9"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129.23</w:t>
            </w:r>
          </w:p>
        </w:tc>
      </w:tr>
      <w:tr w:rsidR="00B16A23" w:rsidRPr="00C5201E" w14:paraId="7723FAD7" w14:textId="77777777" w:rsidTr="00C5201E">
        <w:trPr>
          <w:trHeight w:val="20"/>
          <w:jc w:val="center"/>
        </w:trPr>
        <w:tc>
          <w:tcPr>
            <w:tcW w:w="421" w:type="dxa"/>
            <w:vAlign w:val="center"/>
          </w:tcPr>
          <w:p w14:paraId="526BE7AF" w14:textId="2C6F32B3"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8.</w:t>
            </w:r>
          </w:p>
        </w:tc>
        <w:tc>
          <w:tcPr>
            <w:tcW w:w="1701" w:type="dxa"/>
            <w:vAlign w:val="center"/>
          </w:tcPr>
          <w:p w14:paraId="10A418B7" w14:textId="40F8BFA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Himachal Pradesh</w:t>
            </w:r>
          </w:p>
        </w:tc>
        <w:tc>
          <w:tcPr>
            <w:tcW w:w="1984" w:type="dxa"/>
            <w:vAlign w:val="center"/>
          </w:tcPr>
          <w:p w14:paraId="0254ECCA" w14:textId="21DCBC6A"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34.60</w:t>
            </w:r>
          </w:p>
        </w:tc>
        <w:tc>
          <w:tcPr>
            <w:tcW w:w="2126" w:type="dxa"/>
            <w:vAlign w:val="center"/>
          </w:tcPr>
          <w:p w14:paraId="0F0CBFBA" w14:textId="2C34ED13"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42.81</w:t>
            </w:r>
          </w:p>
        </w:tc>
      </w:tr>
      <w:tr w:rsidR="00B16A23" w:rsidRPr="00C5201E" w14:paraId="75B2F7D1" w14:textId="77777777" w:rsidTr="00C5201E">
        <w:trPr>
          <w:trHeight w:val="20"/>
          <w:jc w:val="center"/>
        </w:trPr>
        <w:tc>
          <w:tcPr>
            <w:tcW w:w="421" w:type="dxa"/>
            <w:vAlign w:val="center"/>
          </w:tcPr>
          <w:p w14:paraId="6A3EDE9C" w14:textId="0577BF15"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9.</w:t>
            </w:r>
          </w:p>
        </w:tc>
        <w:tc>
          <w:tcPr>
            <w:tcW w:w="1701" w:type="dxa"/>
            <w:vAlign w:val="center"/>
          </w:tcPr>
          <w:p w14:paraId="08EEECF4" w14:textId="5DEA3F8D"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Jammu and Kashmir</w:t>
            </w:r>
          </w:p>
        </w:tc>
        <w:tc>
          <w:tcPr>
            <w:tcW w:w="1984" w:type="dxa"/>
            <w:vAlign w:val="center"/>
          </w:tcPr>
          <w:p w14:paraId="5104FDCB" w14:textId="4A2A0A1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46.17</w:t>
            </w:r>
            <w:r w:rsidR="001D3365" w:rsidRPr="00C5201E">
              <w:rPr>
                <w:rFonts w:ascii="Times New Roman" w:hAnsi="Times New Roman" w:cs="Times New Roman"/>
                <w:sz w:val="16"/>
                <w:szCs w:val="16"/>
              </w:rPr>
              <w:t xml:space="preserve"> 2/</w:t>
            </w:r>
          </w:p>
        </w:tc>
        <w:tc>
          <w:tcPr>
            <w:tcW w:w="2126" w:type="dxa"/>
            <w:vAlign w:val="center"/>
          </w:tcPr>
          <w:p w14:paraId="47893494" w14:textId="30E9B40B"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59.87</w:t>
            </w:r>
          </w:p>
        </w:tc>
      </w:tr>
      <w:tr w:rsidR="00B16A23" w:rsidRPr="00C5201E" w14:paraId="546005EE" w14:textId="77777777" w:rsidTr="00C5201E">
        <w:trPr>
          <w:trHeight w:val="20"/>
          <w:jc w:val="center"/>
        </w:trPr>
        <w:tc>
          <w:tcPr>
            <w:tcW w:w="421" w:type="dxa"/>
            <w:vAlign w:val="center"/>
          </w:tcPr>
          <w:p w14:paraId="420F3B58" w14:textId="10ACE988"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10.</w:t>
            </w:r>
          </w:p>
        </w:tc>
        <w:tc>
          <w:tcPr>
            <w:tcW w:w="1701" w:type="dxa"/>
            <w:vAlign w:val="center"/>
          </w:tcPr>
          <w:p w14:paraId="5D647B21" w14:textId="5487D096"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Karnataka</w:t>
            </w:r>
          </w:p>
        </w:tc>
        <w:tc>
          <w:tcPr>
            <w:tcW w:w="1984" w:type="dxa"/>
            <w:vAlign w:val="center"/>
          </w:tcPr>
          <w:p w14:paraId="72D48ADC" w14:textId="7959DD96"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292.99</w:t>
            </w:r>
          </w:p>
        </w:tc>
        <w:tc>
          <w:tcPr>
            <w:tcW w:w="2126" w:type="dxa"/>
            <w:vAlign w:val="center"/>
          </w:tcPr>
          <w:p w14:paraId="5EE00D03" w14:textId="0796AE32"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371.36</w:t>
            </w:r>
          </w:p>
        </w:tc>
      </w:tr>
      <w:tr w:rsidR="00B16A23" w:rsidRPr="00C5201E" w14:paraId="7E85F1B7" w14:textId="77777777" w:rsidTr="00C5201E">
        <w:trPr>
          <w:trHeight w:val="20"/>
          <w:jc w:val="center"/>
        </w:trPr>
        <w:tc>
          <w:tcPr>
            <w:tcW w:w="421" w:type="dxa"/>
            <w:vAlign w:val="center"/>
          </w:tcPr>
          <w:p w14:paraId="77D256A7" w14:textId="3AA55A7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11.</w:t>
            </w:r>
          </w:p>
        </w:tc>
        <w:tc>
          <w:tcPr>
            <w:tcW w:w="1701" w:type="dxa"/>
            <w:vAlign w:val="center"/>
          </w:tcPr>
          <w:p w14:paraId="5B532BB1" w14:textId="748BE702"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Kerala</w:t>
            </w:r>
          </w:p>
        </w:tc>
        <w:tc>
          <w:tcPr>
            <w:tcW w:w="1984" w:type="dxa"/>
            <w:vAlign w:val="center"/>
          </w:tcPr>
          <w:p w14:paraId="20C01C37" w14:textId="362A33E2"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213.47</w:t>
            </w:r>
          </w:p>
        </w:tc>
        <w:tc>
          <w:tcPr>
            <w:tcW w:w="2126" w:type="dxa"/>
            <w:vAlign w:val="center"/>
          </w:tcPr>
          <w:p w14:paraId="05072793" w14:textId="0C153E32"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254.54</w:t>
            </w:r>
          </w:p>
        </w:tc>
      </w:tr>
      <w:tr w:rsidR="00B16A23" w:rsidRPr="00C5201E" w14:paraId="442F18F4" w14:textId="77777777" w:rsidTr="00C5201E">
        <w:trPr>
          <w:trHeight w:val="20"/>
          <w:jc w:val="center"/>
        </w:trPr>
        <w:tc>
          <w:tcPr>
            <w:tcW w:w="421" w:type="dxa"/>
            <w:vAlign w:val="center"/>
          </w:tcPr>
          <w:p w14:paraId="5177975C" w14:textId="25FFB685"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12.</w:t>
            </w:r>
          </w:p>
        </w:tc>
        <w:tc>
          <w:tcPr>
            <w:tcW w:w="1701" w:type="dxa"/>
            <w:vAlign w:val="center"/>
          </w:tcPr>
          <w:p w14:paraId="73F67D95" w14:textId="5E09C230" w:rsidR="00B16A23" w:rsidRPr="00C5201E" w:rsidRDefault="00B16A23" w:rsidP="00C5201E">
            <w:pPr>
              <w:pStyle w:val="NoSpacing"/>
              <w:rPr>
                <w:rFonts w:ascii="Times New Roman" w:hAnsi="Times New Roman" w:cs="Times New Roman"/>
                <w:sz w:val="16"/>
                <w:szCs w:val="16"/>
              </w:rPr>
            </w:pPr>
            <w:proofErr w:type="spellStart"/>
            <w:r w:rsidRPr="00C5201E">
              <w:rPr>
                <w:rFonts w:ascii="Times New Roman" w:hAnsi="Times New Roman" w:cs="Times New Roman"/>
                <w:sz w:val="16"/>
                <w:szCs w:val="16"/>
              </w:rPr>
              <w:t>Madhaya</w:t>
            </w:r>
            <w:proofErr w:type="spellEnd"/>
            <w:r w:rsidRPr="00C5201E">
              <w:rPr>
                <w:rFonts w:ascii="Times New Roman" w:hAnsi="Times New Roman" w:cs="Times New Roman"/>
                <w:sz w:val="16"/>
                <w:szCs w:val="16"/>
              </w:rPr>
              <w:t xml:space="preserve"> Pradesh</w:t>
            </w:r>
          </w:p>
        </w:tc>
        <w:tc>
          <w:tcPr>
            <w:tcW w:w="1984" w:type="dxa"/>
            <w:vAlign w:val="center"/>
          </w:tcPr>
          <w:p w14:paraId="523CC32D" w14:textId="376B9C48"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416.54</w:t>
            </w:r>
          </w:p>
        </w:tc>
        <w:tc>
          <w:tcPr>
            <w:tcW w:w="2126" w:type="dxa"/>
            <w:vAlign w:val="center"/>
          </w:tcPr>
          <w:p w14:paraId="00186D8B" w14:textId="36573EC3"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521.79</w:t>
            </w:r>
          </w:p>
        </w:tc>
      </w:tr>
      <w:tr w:rsidR="00B16A23" w:rsidRPr="00C5201E" w14:paraId="78B34E00" w14:textId="77777777" w:rsidTr="00C5201E">
        <w:trPr>
          <w:trHeight w:val="20"/>
          <w:jc w:val="center"/>
        </w:trPr>
        <w:tc>
          <w:tcPr>
            <w:tcW w:w="421" w:type="dxa"/>
            <w:vAlign w:val="center"/>
          </w:tcPr>
          <w:p w14:paraId="50F56596" w14:textId="4C0F990E"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13.</w:t>
            </w:r>
          </w:p>
        </w:tc>
        <w:tc>
          <w:tcPr>
            <w:tcW w:w="1701" w:type="dxa"/>
            <w:vAlign w:val="center"/>
          </w:tcPr>
          <w:p w14:paraId="71471CEE" w14:textId="0D6F7C3D"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Maharashtra</w:t>
            </w:r>
          </w:p>
        </w:tc>
        <w:tc>
          <w:tcPr>
            <w:tcW w:w="1984" w:type="dxa"/>
            <w:vAlign w:val="center"/>
          </w:tcPr>
          <w:p w14:paraId="502DD6D0" w14:textId="08FDF4F3"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504.12</w:t>
            </w:r>
          </w:p>
        </w:tc>
        <w:tc>
          <w:tcPr>
            <w:tcW w:w="2126" w:type="dxa"/>
            <w:vAlign w:val="center"/>
          </w:tcPr>
          <w:p w14:paraId="0996C940" w14:textId="11AAB804"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627.84</w:t>
            </w:r>
          </w:p>
        </w:tc>
      </w:tr>
      <w:tr w:rsidR="00B16A23" w:rsidRPr="00C5201E" w14:paraId="49D1007C" w14:textId="77777777" w:rsidTr="00C5201E">
        <w:trPr>
          <w:trHeight w:val="20"/>
          <w:jc w:val="center"/>
        </w:trPr>
        <w:tc>
          <w:tcPr>
            <w:tcW w:w="421" w:type="dxa"/>
            <w:vAlign w:val="center"/>
          </w:tcPr>
          <w:p w14:paraId="3671A98E" w14:textId="5D622B99"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14.</w:t>
            </w:r>
          </w:p>
        </w:tc>
        <w:tc>
          <w:tcPr>
            <w:tcW w:w="1701" w:type="dxa"/>
            <w:vAlign w:val="center"/>
          </w:tcPr>
          <w:p w14:paraId="4182853A" w14:textId="1A2F64A0"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Manipur</w:t>
            </w:r>
          </w:p>
        </w:tc>
        <w:tc>
          <w:tcPr>
            <w:tcW w:w="1984" w:type="dxa"/>
            <w:vAlign w:val="center"/>
          </w:tcPr>
          <w:p w14:paraId="473DD757" w14:textId="27341203"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10.73</w:t>
            </w:r>
          </w:p>
        </w:tc>
        <w:tc>
          <w:tcPr>
            <w:tcW w:w="2126" w:type="dxa"/>
            <w:vAlign w:val="center"/>
          </w:tcPr>
          <w:p w14:paraId="2A7AF335" w14:textId="13A3C64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14.21</w:t>
            </w:r>
          </w:p>
        </w:tc>
      </w:tr>
      <w:tr w:rsidR="00B16A23" w:rsidRPr="00C5201E" w14:paraId="1BAB8743" w14:textId="77777777" w:rsidTr="00C5201E">
        <w:trPr>
          <w:trHeight w:val="20"/>
          <w:jc w:val="center"/>
        </w:trPr>
        <w:tc>
          <w:tcPr>
            <w:tcW w:w="421" w:type="dxa"/>
            <w:vAlign w:val="center"/>
          </w:tcPr>
          <w:p w14:paraId="0830BDFF" w14:textId="0CFB16D9"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15.</w:t>
            </w:r>
          </w:p>
        </w:tc>
        <w:tc>
          <w:tcPr>
            <w:tcW w:w="1701" w:type="dxa"/>
            <w:vAlign w:val="center"/>
          </w:tcPr>
          <w:p w14:paraId="50F588C6" w14:textId="17A8300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Meghalaya</w:t>
            </w:r>
          </w:p>
        </w:tc>
        <w:tc>
          <w:tcPr>
            <w:tcW w:w="1984" w:type="dxa"/>
            <w:vAlign w:val="center"/>
          </w:tcPr>
          <w:p w14:paraId="768CE30D" w14:textId="2A46D13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10.12</w:t>
            </w:r>
          </w:p>
        </w:tc>
        <w:tc>
          <w:tcPr>
            <w:tcW w:w="2126" w:type="dxa"/>
            <w:vAlign w:val="center"/>
          </w:tcPr>
          <w:p w14:paraId="15EF62BC" w14:textId="79D5C515"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13.36</w:t>
            </w:r>
          </w:p>
        </w:tc>
      </w:tr>
      <w:tr w:rsidR="00B16A23" w:rsidRPr="00C5201E" w14:paraId="5DB41FEE" w14:textId="77777777" w:rsidTr="00C5201E">
        <w:trPr>
          <w:trHeight w:val="20"/>
          <w:jc w:val="center"/>
        </w:trPr>
        <w:tc>
          <w:tcPr>
            <w:tcW w:w="421" w:type="dxa"/>
            <w:vAlign w:val="center"/>
          </w:tcPr>
          <w:p w14:paraId="5B042478" w14:textId="18F6B21D"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16.</w:t>
            </w:r>
          </w:p>
        </w:tc>
        <w:tc>
          <w:tcPr>
            <w:tcW w:w="1701" w:type="dxa"/>
            <w:vAlign w:val="center"/>
          </w:tcPr>
          <w:p w14:paraId="48F7E862" w14:textId="4B1BC333"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Mizoram</w:t>
            </w:r>
          </w:p>
        </w:tc>
        <w:tc>
          <w:tcPr>
            <w:tcW w:w="1984" w:type="dxa"/>
            <w:vAlign w:val="center"/>
          </w:tcPr>
          <w:p w14:paraId="699ADACE" w14:textId="031C4C01"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3.32</w:t>
            </w:r>
          </w:p>
        </w:tc>
        <w:tc>
          <w:tcPr>
            <w:tcW w:w="2126" w:type="dxa"/>
            <w:vAlign w:val="center"/>
          </w:tcPr>
          <w:p w14:paraId="74C8FD8E" w14:textId="6F9C78F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4.94</w:t>
            </w:r>
          </w:p>
        </w:tc>
      </w:tr>
      <w:tr w:rsidR="00B16A23" w:rsidRPr="00C5201E" w14:paraId="42CE0BCF" w14:textId="77777777" w:rsidTr="00C5201E">
        <w:trPr>
          <w:trHeight w:val="20"/>
          <w:jc w:val="center"/>
        </w:trPr>
        <w:tc>
          <w:tcPr>
            <w:tcW w:w="421" w:type="dxa"/>
            <w:vAlign w:val="center"/>
          </w:tcPr>
          <w:p w14:paraId="4FAE58CD" w14:textId="60DA4559"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17.</w:t>
            </w:r>
          </w:p>
        </w:tc>
        <w:tc>
          <w:tcPr>
            <w:tcW w:w="1701" w:type="dxa"/>
            <w:vAlign w:val="center"/>
          </w:tcPr>
          <w:p w14:paraId="6E918F08" w14:textId="30A3442B"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Nagaland</w:t>
            </w:r>
          </w:p>
        </w:tc>
        <w:tc>
          <w:tcPr>
            <w:tcW w:w="1984" w:type="dxa"/>
            <w:vAlign w:val="center"/>
          </w:tcPr>
          <w:p w14:paraId="61290896" w14:textId="027B017D"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5.16</w:t>
            </w:r>
          </w:p>
        </w:tc>
        <w:tc>
          <w:tcPr>
            <w:tcW w:w="2126" w:type="dxa"/>
            <w:vAlign w:val="center"/>
          </w:tcPr>
          <w:p w14:paraId="7E3B44DF" w14:textId="43F4C00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7.75</w:t>
            </w:r>
          </w:p>
        </w:tc>
      </w:tr>
      <w:tr w:rsidR="00B16A23" w:rsidRPr="00C5201E" w14:paraId="5DB2DBDB" w14:textId="77777777" w:rsidTr="00C5201E">
        <w:trPr>
          <w:trHeight w:val="20"/>
          <w:jc w:val="center"/>
        </w:trPr>
        <w:tc>
          <w:tcPr>
            <w:tcW w:w="421" w:type="dxa"/>
            <w:vAlign w:val="center"/>
          </w:tcPr>
          <w:p w14:paraId="609461EF" w14:textId="1F786993"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18.</w:t>
            </w:r>
          </w:p>
        </w:tc>
        <w:tc>
          <w:tcPr>
            <w:tcW w:w="1701" w:type="dxa"/>
            <w:vAlign w:val="center"/>
          </w:tcPr>
          <w:p w14:paraId="377DFD05" w14:textId="6976F561"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Orissa</w:t>
            </w:r>
          </w:p>
        </w:tc>
        <w:tc>
          <w:tcPr>
            <w:tcW w:w="1984" w:type="dxa"/>
            <w:vAlign w:val="center"/>
          </w:tcPr>
          <w:p w14:paraId="77607192" w14:textId="13B0874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219.45</w:t>
            </w:r>
          </w:p>
        </w:tc>
        <w:tc>
          <w:tcPr>
            <w:tcW w:w="2126" w:type="dxa"/>
            <w:vAlign w:val="center"/>
          </w:tcPr>
          <w:p w14:paraId="49F1D630" w14:textId="76432827"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263.70</w:t>
            </w:r>
          </w:p>
        </w:tc>
      </w:tr>
      <w:tr w:rsidR="00B16A23" w:rsidRPr="00C5201E" w14:paraId="43C63A78" w14:textId="77777777" w:rsidTr="00C5201E">
        <w:trPr>
          <w:trHeight w:val="20"/>
          <w:jc w:val="center"/>
        </w:trPr>
        <w:tc>
          <w:tcPr>
            <w:tcW w:w="421" w:type="dxa"/>
            <w:vAlign w:val="center"/>
          </w:tcPr>
          <w:p w14:paraId="60034088" w14:textId="09684D31"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19.</w:t>
            </w:r>
          </w:p>
        </w:tc>
        <w:tc>
          <w:tcPr>
            <w:tcW w:w="1701" w:type="dxa"/>
            <w:vAlign w:val="center"/>
          </w:tcPr>
          <w:p w14:paraId="77CF86A2" w14:textId="01660F5F"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Punjab</w:t>
            </w:r>
          </w:p>
        </w:tc>
        <w:tc>
          <w:tcPr>
            <w:tcW w:w="1984" w:type="dxa"/>
            <w:vAlign w:val="center"/>
          </w:tcPr>
          <w:p w14:paraId="6F6CDDE6" w14:textId="43685653"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135.51</w:t>
            </w:r>
          </w:p>
        </w:tc>
        <w:tc>
          <w:tcPr>
            <w:tcW w:w="2126" w:type="dxa"/>
            <w:vAlign w:val="center"/>
          </w:tcPr>
          <w:p w14:paraId="3E89B3DF" w14:textId="14C48B71"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167.89</w:t>
            </w:r>
          </w:p>
        </w:tc>
      </w:tr>
      <w:tr w:rsidR="00B16A23" w:rsidRPr="00C5201E" w14:paraId="33A77FE7" w14:textId="77777777" w:rsidTr="00C5201E">
        <w:trPr>
          <w:trHeight w:val="20"/>
          <w:jc w:val="center"/>
        </w:trPr>
        <w:tc>
          <w:tcPr>
            <w:tcW w:w="421" w:type="dxa"/>
            <w:vAlign w:val="center"/>
          </w:tcPr>
          <w:p w14:paraId="0723A389" w14:textId="53263276"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20.</w:t>
            </w:r>
          </w:p>
        </w:tc>
        <w:tc>
          <w:tcPr>
            <w:tcW w:w="1701" w:type="dxa"/>
            <w:vAlign w:val="center"/>
          </w:tcPr>
          <w:p w14:paraId="7D456CB2" w14:textId="7B6AAC7C"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Rajasthan</w:t>
            </w:r>
          </w:p>
        </w:tc>
        <w:tc>
          <w:tcPr>
            <w:tcW w:w="1984" w:type="dxa"/>
            <w:vAlign w:val="center"/>
          </w:tcPr>
          <w:p w14:paraId="6B67F620" w14:textId="46680629"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257.66</w:t>
            </w:r>
          </w:p>
        </w:tc>
        <w:tc>
          <w:tcPr>
            <w:tcW w:w="2126" w:type="dxa"/>
            <w:vAlign w:val="center"/>
          </w:tcPr>
          <w:p w14:paraId="0E5A276F" w14:textId="1FC12924"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342.62</w:t>
            </w:r>
          </w:p>
        </w:tc>
      </w:tr>
      <w:tr w:rsidR="00B16A23" w:rsidRPr="00C5201E" w14:paraId="74A35B24" w14:textId="77777777" w:rsidTr="00C5201E">
        <w:trPr>
          <w:trHeight w:val="20"/>
          <w:jc w:val="center"/>
        </w:trPr>
        <w:tc>
          <w:tcPr>
            <w:tcW w:w="421" w:type="dxa"/>
            <w:vAlign w:val="center"/>
          </w:tcPr>
          <w:p w14:paraId="658F9BE9" w14:textId="5054002D"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21.</w:t>
            </w:r>
          </w:p>
        </w:tc>
        <w:tc>
          <w:tcPr>
            <w:tcW w:w="1701" w:type="dxa"/>
            <w:vAlign w:val="center"/>
          </w:tcPr>
          <w:p w14:paraId="515D2A69" w14:textId="41979DBB"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Sikkim</w:t>
            </w:r>
          </w:p>
        </w:tc>
        <w:tc>
          <w:tcPr>
            <w:tcW w:w="1984" w:type="dxa"/>
            <w:vAlign w:val="center"/>
          </w:tcPr>
          <w:p w14:paraId="7E30E624" w14:textId="708AF189"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2.10</w:t>
            </w:r>
          </w:p>
        </w:tc>
        <w:tc>
          <w:tcPr>
            <w:tcW w:w="2126" w:type="dxa"/>
            <w:vAlign w:val="center"/>
          </w:tcPr>
          <w:p w14:paraId="34F9F7C7" w14:textId="1D611679"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3.16</w:t>
            </w:r>
          </w:p>
        </w:tc>
      </w:tr>
      <w:tr w:rsidR="00B16A23" w:rsidRPr="00C5201E" w14:paraId="2DD96E10" w14:textId="77777777" w:rsidTr="00C5201E">
        <w:trPr>
          <w:trHeight w:val="20"/>
          <w:jc w:val="center"/>
        </w:trPr>
        <w:tc>
          <w:tcPr>
            <w:tcW w:w="421" w:type="dxa"/>
            <w:vAlign w:val="center"/>
          </w:tcPr>
          <w:p w14:paraId="5A2A36DB" w14:textId="30A7E39E"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22.</w:t>
            </w:r>
          </w:p>
        </w:tc>
        <w:tc>
          <w:tcPr>
            <w:tcW w:w="1701" w:type="dxa"/>
            <w:vAlign w:val="center"/>
          </w:tcPr>
          <w:p w14:paraId="20875098" w14:textId="33D3FF10"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Tamil Nadu</w:t>
            </w:r>
          </w:p>
        </w:tc>
        <w:tc>
          <w:tcPr>
            <w:tcW w:w="1984" w:type="dxa"/>
            <w:vAlign w:val="center"/>
          </w:tcPr>
          <w:p w14:paraId="022B9351" w14:textId="66ECDA68"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411.99</w:t>
            </w:r>
          </w:p>
        </w:tc>
        <w:tc>
          <w:tcPr>
            <w:tcW w:w="2126" w:type="dxa"/>
            <w:vAlign w:val="center"/>
          </w:tcPr>
          <w:p w14:paraId="5CBF3176" w14:textId="2783C091"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484.08</w:t>
            </w:r>
          </w:p>
        </w:tc>
      </w:tr>
      <w:tr w:rsidR="00B16A23" w:rsidRPr="00C5201E" w14:paraId="0B603A64" w14:textId="77777777" w:rsidTr="00C5201E">
        <w:trPr>
          <w:trHeight w:val="20"/>
          <w:jc w:val="center"/>
        </w:trPr>
        <w:tc>
          <w:tcPr>
            <w:tcW w:w="421" w:type="dxa"/>
            <w:vAlign w:val="center"/>
          </w:tcPr>
          <w:p w14:paraId="7D3C7071" w14:textId="047F4D07"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23.</w:t>
            </w:r>
          </w:p>
        </w:tc>
        <w:tc>
          <w:tcPr>
            <w:tcW w:w="1701" w:type="dxa"/>
            <w:vAlign w:val="center"/>
          </w:tcPr>
          <w:p w14:paraId="12B2A566" w14:textId="22BAAA8F"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Tripura</w:t>
            </w:r>
          </w:p>
        </w:tc>
        <w:tc>
          <w:tcPr>
            <w:tcW w:w="1984" w:type="dxa"/>
            <w:vAlign w:val="center"/>
          </w:tcPr>
          <w:p w14:paraId="6A8007C1" w14:textId="6E2DFF72"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15.56</w:t>
            </w:r>
          </w:p>
        </w:tc>
        <w:tc>
          <w:tcPr>
            <w:tcW w:w="2126" w:type="dxa"/>
            <w:vAlign w:val="center"/>
          </w:tcPr>
          <w:p w14:paraId="4CB65ED0" w14:textId="75ADADE6"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20.53</w:t>
            </w:r>
          </w:p>
        </w:tc>
      </w:tr>
      <w:tr w:rsidR="00B16A23" w:rsidRPr="00C5201E" w14:paraId="333D6D0D" w14:textId="77777777" w:rsidTr="00C5201E">
        <w:trPr>
          <w:trHeight w:val="20"/>
          <w:jc w:val="center"/>
        </w:trPr>
        <w:tc>
          <w:tcPr>
            <w:tcW w:w="421" w:type="dxa"/>
            <w:vAlign w:val="center"/>
          </w:tcPr>
          <w:p w14:paraId="3C2A0CA6" w14:textId="22F54991"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24.</w:t>
            </w:r>
          </w:p>
        </w:tc>
        <w:tc>
          <w:tcPr>
            <w:tcW w:w="1701" w:type="dxa"/>
            <w:vAlign w:val="center"/>
          </w:tcPr>
          <w:p w14:paraId="34341432" w14:textId="371400A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Uttar Pradesh</w:t>
            </w:r>
          </w:p>
        </w:tc>
        <w:tc>
          <w:tcPr>
            <w:tcW w:w="1984" w:type="dxa"/>
            <w:vAlign w:val="center"/>
          </w:tcPr>
          <w:p w14:paraId="4CF79E7A" w14:textId="15695990"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883.41</w:t>
            </w:r>
          </w:p>
        </w:tc>
        <w:tc>
          <w:tcPr>
            <w:tcW w:w="2126" w:type="dxa"/>
            <w:vAlign w:val="center"/>
          </w:tcPr>
          <w:p w14:paraId="52877FC4" w14:textId="059DB5D1"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1108.62</w:t>
            </w:r>
          </w:p>
        </w:tc>
      </w:tr>
      <w:tr w:rsidR="00B16A23" w:rsidRPr="00C5201E" w14:paraId="5D5A1DF7" w14:textId="77777777" w:rsidTr="00C5201E">
        <w:trPr>
          <w:trHeight w:val="20"/>
          <w:jc w:val="center"/>
        </w:trPr>
        <w:tc>
          <w:tcPr>
            <w:tcW w:w="421" w:type="dxa"/>
            <w:vAlign w:val="center"/>
          </w:tcPr>
          <w:p w14:paraId="69E992F3" w14:textId="0E54D7DD"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25.</w:t>
            </w:r>
          </w:p>
        </w:tc>
        <w:tc>
          <w:tcPr>
            <w:tcW w:w="1701" w:type="dxa"/>
            <w:vAlign w:val="center"/>
          </w:tcPr>
          <w:p w14:paraId="40B75862" w14:textId="67E9F0F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West Bengal</w:t>
            </w:r>
          </w:p>
        </w:tc>
        <w:tc>
          <w:tcPr>
            <w:tcW w:w="1984" w:type="dxa"/>
            <w:vAlign w:val="center"/>
          </w:tcPr>
          <w:p w14:paraId="54C674DA" w14:textId="14CDBF46"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443.12</w:t>
            </w:r>
          </w:p>
        </w:tc>
        <w:tc>
          <w:tcPr>
            <w:tcW w:w="2126" w:type="dxa"/>
            <w:vAlign w:val="center"/>
          </w:tcPr>
          <w:p w14:paraId="5C7DB373" w14:textId="342F92D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545.81</w:t>
            </w:r>
          </w:p>
        </w:tc>
      </w:tr>
      <w:tr w:rsidR="00B16A23" w:rsidRPr="00C5201E" w14:paraId="28E03E20" w14:textId="77777777" w:rsidTr="00C5201E">
        <w:trPr>
          <w:trHeight w:val="20"/>
          <w:jc w:val="center"/>
        </w:trPr>
        <w:tc>
          <w:tcPr>
            <w:tcW w:w="421" w:type="dxa"/>
            <w:vAlign w:val="center"/>
          </w:tcPr>
          <w:p w14:paraId="1F612F99" w14:textId="77777777" w:rsidR="00B16A23" w:rsidRPr="00C5201E" w:rsidRDefault="00B16A23" w:rsidP="00C5201E">
            <w:pPr>
              <w:pStyle w:val="NoSpacing"/>
              <w:rPr>
                <w:rFonts w:ascii="Times New Roman" w:hAnsi="Times New Roman" w:cs="Times New Roman"/>
                <w:sz w:val="16"/>
                <w:szCs w:val="16"/>
              </w:rPr>
            </w:pPr>
          </w:p>
        </w:tc>
        <w:tc>
          <w:tcPr>
            <w:tcW w:w="1701" w:type="dxa"/>
            <w:vAlign w:val="center"/>
          </w:tcPr>
          <w:p w14:paraId="6E6BB674" w14:textId="2021BEC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All States</w:t>
            </w:r>
          </w:p>
        </w:tc>
        <w:tc>
          <w:tcPr>
            <w:tcW w:w="1984" w:type="dxa"/>
            <w:vAlign w:val="center"/>
          </w:tcPr>
          <w:p w14:paraId="354370FC" w14:textId="49A02B8F"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5430.80</w:t>
            </w:r>
          </w:p>
        </w:tc>
        <w:tc>
          <w:tcPr>
            <w:tcW w:w="2126" w:type="dxa"/>
            <w:vAlign w:val="center"/>
          </w:tcPr>
          <w:p w14:paraId="77523C4D" w14:textId="20B3FC4B"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6774.98</w:t>
            </w:r>
          </w:p>
        </w:tc>
      </w:tr>
      <w:tr w:rsidR="00B16A23" w:rsidRPr="00C5201E" w14:paraId="5AE979C1" w14:textId="77777777" w:rsidTr="00C5201E">
        <w:trPr>
          <w:trHeight w:val="20"/>
          <w:jc w:val="center"/>
        </w:trPr>
        <w:tc>
          <w:tcPr>
            <w:tcW w:w="421" w:type="dxa"/>
            <w:vAlign w:val="center"/>
          </w:tcPr>
          <w:p w14:paraId="57F8526C" w14:textId="77777777" w:rsidR="00B16A23" w:rsidRPr="00C5201E" w:rsidRDefault="00B16A23" w:rsidP="00C5201E">
            <w:pPr>
              <w:pStyle w:val="NoSpacing"/>
              <w:rPr>
                <w:rFonts w:ascii="Times New Roman" w:hAnsi="Times New Roman" w:cs="Times New Roman"/>
                <w:sz w:val="16"/>
                <w:szCs w:val="16"/>
              </w:rPr>
            </w:pPr>
          </w:p>
        </w:tc>
        <w:tc>
          <w:tcPr>
            <w:tcW w:w="1701" w:type="dxa"/>
            <w:vAlign w:val="center"/>
          </w:tcPr>
          <w:p w14:paraId="6C7EDB8A" w14:textId="381B1114"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Union Territories</w:t>
            </w:r>
          </w:p>
        </w:tc>
        <w:tc>
          <w:tcPr>
            <w:tcW w:w="1984" w:type="dxa"/>
            <w:vAlign w:val="center"/>
          </w:tcPr>
          <w:p w14:paraId="59B922F6" w14:textId="6A5955A0"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50.80</w:t>
            </w:r>
          </w:p>
        </w:tc>
        <w:tc>
          <w:tcPr>
            <w:tcW w:w="2126" w:type="dxa"/>
            <w:vAlign w:val="center"/>
          </w:tcPr>
          <w:p w14:paraId="2E7F0B83" w14:textId="0FE5F38C"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76.87</w:t>
            </w:r>
          </w:p>
        </w:tc>
      </w:tr>
      <w:tr w:rsidR="00B16A23" w:rsidRPr="00C5201E" w14:paraId="1091EAD9" w14:textId="77777777" w:rsidTr="00C5201E">
        <w:trPr>
          <w:trHeight w:val="20"/>
          <w:jc w:val="center"/>
        </w:trPr>
        <w:tc>
          <w:tcPr>
            <w:tcW w:w="421" w:type="dxa"/>
            <w:vAlign w:val="center"/>
          </w:tcPr>
          <w:p w14:paraId="1696BAD6" w14:textId="77777777" w:rsidR="00B16A23" w:rsidRPr="00C5201E" w:rsidRDefault="00B16A23" w:rsidP="00C5201E">
            <w:pPr>
              <w:pStyle w:val="NoSpacing"/>
              <w:rPr>
                <w:rFonts w:ascii="Times New Roman" w:hAnsi="Times New Roman" w:cs="Times New Roman"/>
                <w:sz w:val="16"/>
                <w:szCs w:val="16"/>
              </w:rPr>
            </w:pPr>
          </w:p>
        </w:tc>
        <w:tc>
          <w:tcPr>
            <w:tcW w:w="1701" w:type="dxa"/>
            <w:vAlign w:val="center"/>
          </w:tcPr>
          <w:p w14:paraId="2F8A5B57" w14:textId="18951D4E" w:rsidR="00B16A23" w:rsidRPr="00C5201E" w:rsidRDefault="00B16A23" w:rsidP="00C5201E">
            <w:pPr>
              <w:pStyle w:val="NoSpacing"/>
              <w:rPr>
                <w:rFonts w:ascii="Times New Roman" w:hAnsi="Times New Roman" w:cs="Times New Roman"/>
                <w:sz w:val="16"/>
                <w:szCs w:val="16"/>
              </w:rPr>
            </w:pPr>
            <w:r w:rsidRPr="00C5201E">
              <w:rPr>
                <w:rFonts w:ascii="Times New Roman" w:hAnsi="Times New Roman" w:cs="Times New Roman"/>
                <w:sz w:val="16"/>
                <w:szCs w:val="16"/>
              </w:rPr>
              <w:t>All India</w:t>
            </w:r>
          </w:p>
        </w:tc>
        <w:tc>
          <w:tcPr>
            <w:tcW w:w="1984" w:type="dxa"/>
            <w:vAlign w:val="center"/>
          </w:tcPr>
          <w:p w14:paraId="69DEE9E7" w14:textId="2B91E89E"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5481.60</w:t>
            </w:r>
          </w:p>
        </w:tc>
        <w:tc>
          <w:tcPr>
            <w:tcW w:w="2126" w:type="dxa"/>
            <w:vAlign w:val="center"/>
          </w:tcPr>
          <w:p w14:paraId="27C01FD5" w14:textId="1795C07B" w:rsidR="00B16A23" w:rsidRPr="00C5201E" w:rsidRDefault="00B16A23" w:rsidP="00C5201E">
            <w:pPr>
              <w:pStyle w:val="NoSpacing"/>
              <w:jc w:val="center"/>
              <w:rPr>
                <w:rFonts w:ascii="Times New Roman" w:hAnsi="Times New Roman" w:cs="Times New Roman"/>
                <w:sz w:val="16"/>
                <w:szCs w:val="16"/>
              </w:rPr>
            </w:pPr>
            <w:r w:rsidRPr="00C5201E">
              <w:rPr>
                <w:rFonts w:ascii="Times New Roman" w:hAnsi="Times New Roman" w:cs="Times New Roman"/>
                <w:sz w:val="16"/>
                <w:szCs w:val="16"/>
              </w:rPr>
              <w:t>6851.85</w:t>
            </w:r>
          </w:p>
        </w:tc>
      </w:tr>
    </w:tbl>
    <w:p w14:paraId="1058C80E" w14:textId="1DB4E6E3" w:rsidR="001D3365" w:rsidRPr="00C5201E" w:rsidRDefault="001D3365" w:rsidP="00C5201E">
      <w:pPr>
        <w:pStyle w:val="FootnoteText"/>
        <w:ind w:left="2160"/>
        <w:rPr>
          <w:rFonts w:ascii="Times New Roman" w:hAnsi="Times New Roman" w:cs="Times New Roman"/>
          <w:sz w:val="16"/>
          <w:szCs w:val="16"/>
        </w:rPr>
      </w:pPr>
      <w:r w:rsidRPr="00C5201E">
        <w:rPr>
          <w:rFonts w:ascii="Times New Roman" w:hAnsi="Times New Roman" w:cs="Times New Roman"/>
          <w:sz w:val="16"/>
          <w:szCs w:val="16"/>
        </w:rPr>
        <w:t>1/ Projected Figure.</w:t>
      </w:r>
    </w:p>
    <w:p w14:paraId="22B756CE" w14:textId="77777777" w:rsidR="00C5201E" w:rsidRDefault="001D3365" w:rsidP="00C5201E">
      <w:pPr>
        <w:pStyle w:val="FootnoteText"/>
        <w:ind w:left="2160"/>
        <w:rPr>
          <w:rFonts w:ascii="Times New Roman" w:hAnsi="Times New Roman" w:cs="Times New Roman"/>
          <w:sz w:val="16"/>
          <w:szCs w:val="16"/>
        </w:rPr>
      </w:pPr>
      <w:r w:rsidRPr="00C5201E">
        <w:rPr>
          <w:rFonts w:ascii="Times New Roman" w:hAnsi="Times New Roman" w:cs="Times New Roman"/>
          <w:sz w:val="16"/>
          <w:szCs w:val="16"/>
        </w:rPr>
        <w:t>2/ Population figures exclude population of area under unlawful occupation of Pakistan</w:t>
      </w:r>
    </w:p>
    <w:p w14:paraId="3D079463" w14:textId="4E22A8EC" w:rsidR="001D3365" w:rsidRPr="00C5201E" w:rsidRDefault="001D3365" w:rsidP="00C5201E">
      <w:pPr>
        <w:pStyle w:val="FootnoteText"/>
        <w:ind w:left="2160"/>
        <w:rPr>
          <w:rFonts w:ascii="Times New Roman" w:hAnsi="Times New Roman" w:cs="Times New Roman"/>
          <w:sz w:val="16"/>
          <w:szCs w:val="16"/>
        </w:rPr>
      </w:pPr>
      <w:r w:rsidRPr="00C5201E">
        <w:rPr>
          <w:rFonts w:ascii="Times New Roman" w:hAnsi="Times New Roman" w:cs="Times New Roman"/>
          <w:sz w:val="16"/>
          <w:szCs w:val="16"/>
        </w:rPr>
        <w:t xml:space="preserve"> and China where Census could not be taken.</w:t>
      </w:r>
    </w:p>
    <w:p w14:paraId="394B6FEA" w14:textId="6E89D3FB" w:rsidR="00C03BA9" w:rsidRPr="00C5201E" w:rsidRDefault="001D3365" w:rsidP="00C5201E">
      <w:pPr>
        <w:pStyle w:val="FootnoteText"/>
        <w:ind w:left="2160"/>
        <w:rPr>
          <w:rFonts w:ascii="Times New Roman" w:hAnsi="Times New Roman" w:cs="Times New Roman"/>
          <w:sz w:val="16"/>
          <w:szCs w:val="16"/>
        </w:rPr>
      </w:pPr>
      <w:r w:rsidRPr="00C5201E">
        <w:rPr>
          <w:rFonts w:ascii="Times New Roman" w:hAnsi="Times New Roman" w:cs="Times New Roman"/>
          <w:b/>
          <w:bCs/>
          <w:sz w:val="16"/>
          <w:szCs w:val="16"/>
        </w:rPr>
        <w:t>Source:</w:t>
      </w:r>
      <w:r w:rsidRPr="00C5201E">
        <w:rPr>
          <w:rFonts w:ascii="Times New Roman" w:hAnsi="Times New Roman" w:cs="Times New Roman"/>
          <w:sz w:val="16"/>
          <w:szCs w:val="16"/>
        </w:rPr>
        <w:t> Census of India, 1971 and 1981.</w:t>
      </w:r>
    </w:p>
    <w:p w14:paraId="33DBF6FF" w14:textId="0B5A7D7A" w:rsidR="009E5379" w:rsidRPr="00C5201E" w:rsidRDefault="009E5379" w:rsidP="005B5929">
      <w:pPr>
        <w:pStyle w:val="Heading2"/>
        <w:rPr>
          <w:sz w:val="20"/>
          <w:szCs w:val="20"/>
        </w:rPr>
      </w:pPr>
      <w:bookmarkStart w:id="106" w:name="_Toc221293011"/>
      <w:bookmarkStart w:id="107" w:name="_Toc222399501"/>
      <w:r w:rsidRPr="00C5201E">
        <w:rPr>
          <w:sz w:val="20"/>
          <w:szCs w:val="20"/>
        </w:rPr>
        <w:t>ANNEXURE V.6</w:t>
      </w:r>
      <w:r w:rsidR="001D3365" w:rsidRPr="00C5201E">
        <w:rPr>
          <w:sz w:val="20"/>
          <w:szCs w:val="20"/>
        </w:rPr>
        <w:br/>
      </w:r>
      <w:r w:rsidRPr="00C5201E">
        <w:rPr>
          <w:sz w:val="20"/>
          <w:szCs w:val="20"/>
        </w:rPr>
        <w:t xml:space="preserve">State-wise Passenger Earnings </w:t>
      </w:r>
      <w:proofErr w:type="gramStart"/>
      <w:r w:rsidRPr="00C5201E">
        <w:rPr>
          <w:sz w:val="20"/>
          <w:szCs w:val="20"/>
        </w:rPr>
        <w:t>On</w:t>
      </w:r>
      <w:proofErr w:type="gramEnd"/>
      <w:r w:rsidRPr="00C5201E">
        <w:rPr>
          <w:sz w:val="20"/>
          <w:szCs w:val="20"/>
        </w:rPr>
        <w:t xml:space="preserve"> </w:t>
      </w:r>
      <w:proofErr w:type="gramStart"/>
      <w:r w:rsidRPr="00C5201E">
        <w:rPr>
          <w:sz w:val="20"/>
          <w:szCs w:val="20"/>
        </w:rPr>
        <w:t>The</w:t>
      </w:r>
      <w:proofErr w:type="gramEnd"/>
      <w:r w:rsidRPr="00C5201E">
        <w:rPr>
          <w:sz w:val="20"/>
          <w:szCs w:val="20"/>
        </w:rPr>
        <w:t xml:space="preserve"> Basis </w:t>
      </w:r>
      <w:proofErr w:type="gramStart"/>
      <w:r w:rsidRPr="00C5201E">
        <w:rPr>
          <w:sz w:val="20"/>
          <w:szCs w:val="20"/>
        </w:rPr>
        <w:t>Of</w:t>
      </w:r>
      <w:proofErr w:type="gramEnd"/>
      <w:r w:rsidRPr="00C5201E">
        <w:rPr>
          <w:sz w:val="20"/>
          <w:szCs w:val="20"/>
        </w:rPr>
        <w:t xml:space="preserve"> </w:t>
      </w:r>
      <w:proofErr w:type="gramStart"/>
      <w:r w:rsidRPr="00C5201E">
        <w:rPr>
          <w:sz w:val="20"/>
          <w:szCs w:val="20"/>
        </w:rPr>
        <w:t>The</w:t>
      </w:r>
      <w:proofErr w:type="gramEnd"/>
      <w:r w:rsidRPr="00C5201E">
        <w:rPr>
          <w:sz w:val="20"/>
          <w:szCs w:val="20"/>
        </w:rPr>
        <w:t xml:space="preserve"> Originating Stations</w:t>
      </w:r>
      <w:bookmarkStart w:id="108" w:name="_Toc221293012"/>
      <w:bookmarkEnd w:id="106"/>
      <w:r w:rsidR="005B5929" w:rsidRPr="00C5201E">
        <w:rPr>
          <w:sz w:val="20"/>
          <w:szCs w:val="20"/>
        </w:rPr>
        <w:br/>
      </w:r>
      <w:r w:rsidRPr="00C5201E">
        <w:rPr>
          <w:sz w:val="20"/>
          <w:szCs w:val="20"/>
        </w:rPr>
        <w:t xml:space="preserve">Located </w:t>
      </w:r>
      <w:proofErr w:type="gramStart"/>
      <w:r w:rsidRPr="00C5201E">
        <w:rPr>
          <w:sz w:val="20"/>
          <w:szCs w:val="20"/>
        </w:rPr>
        <w:t>In</w:t>
      </w:r>
      <w:proofErr w:type="gramEnd"/>
      <w:r w:rsidRPr="00C5201E">
        <w:rPr>
          <w:sz w:val="20"/>
          <w:szCs w:val="20"/>
        </w:rPr>
        <w:t xml:space="preserve"> Each State Fo </w:t>
      </w:r>
      <w:proofErr w:type="gramStart"/>
      <w:r w:rsidRPr="00C5201E">
        <w:rPr>
          <w:sz w:val="20"/>
          <w:szCs w:val="20"/>
        </w:rPr>
        <w:t>The</w:t>
      </w:r>
      <w:proofErr w:type="gramEnd"/>
      <w:r w:rsidRPr="00C5201E">
        <w:rPr>
          <w:sz w:val="20"/>
          <w:szCs w:val="20"/>
        </w:rPr>
        <w:t xml:space="preserve"> Years 1984-85 To 1987-88</w:t>
      </w:r>
      <w:bookmarkEnd w:id="107"/>
      <w:bookmarkEnd w:id="108"/>
    </w:p>
    <w:p w14:paraId="67BE2551" w14:textId="04AA85F2" w:rsidR="001D3365" w:rsidRPr="00C5201E" w:rsidRDefault="001D3365" w:rsidP="001D3365">
      <w:pPr>
        <w:tabs>
          <w:tab w:val="left" w:pos="963"/>
        </w:tabs>
        <w:spacing w:after="0" w:line="240" w:lineRule="auto"/>
        <w:jc w:val="center"/>
        <w:rPr>
          <w:rFonts w:ascii="Times New Roman" w:hAnsi="Times New Roman" w:cs="Times New Roman"/>
          <w:b/>
          <w:bCs/>
          <w:sz w:val="18"/>
          <w:szCs w:val="16"/>
        </w:rPr>
      </w:pPr>
      <w:r w:rsidRPr="00C5201E">
        <w:rPr>
          <w:rFonts w:ascii="Times New Roman" w:hAnsi="Times New Roman" w:cs="Times New Roman"/>
          <w:sz w:val="18"/>
          <w:szCs w:val="16"/>
        </w:rPr>
        <w:t>(Para 5.29)</w:t>
      </w:r>
    </w:p>
    <w:p w14:paraId="23A47717" w14:textId="3A9E4DEB" w:rsidR="009210C4" w:rsidRPr="001D3365" w:rsidRDefault="00C5201E" w:rsidP="00C5201E">
      <w:pPr>
        <w:tabs>
          <w:tab w:val="left" w:pos="963"/>
        </w:tabs>
        <w:spacing w:after="0" w:line="240" w:lineRule="auto"/>
        <w:jc w:val="center"/>
        <w:rPr>
          <w:rFonts w:ascii="Times New Roman" w:hAnsi="Times New Roman" w:cs="Times New Roman"/>
          <w:sz w:val="18"/>
          <w:szCs w:val="16"/>
        </w:rPr>
      </w:pP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sidR="009E5379" w:rsidRPr="001D3365">
        <w:rPr>
          <w:rFonts w:ascii="Times New Roman" w:hAnsi="Times New Roman" w:cs="Times New Roman"/>
          <w:i/>
          <w:iCs/>
          <w:sz w:val="18"/>
          <w:szCs w:val="16"/>
        </w:rPr>
        <w:t>(Rs. Lakh</w:t>
      </w:r>
      <w:r w:rsidR="009210C4" w:rsidRPr="001D3365">
        <w:rPr>
          <w:rFonts w:ascii="Times New Roman" w:hAnsi="Times New Roman" w:cs="Times New Roman"/>
          <w:i/>
          <w:iCs/>
          <w:sz w:val="18"/>
          <w:szCs w:val="16"/>
        </w:rPr>
        <w:t>)</w:t>
      </w:r>
    </w:p>
    <w:tbl>
      <w:tblPr>
        <w:tblStyle w:val="TableGrid"/>
        <w:tblW w:w="0" w:type="auto"/>
        <w:jc w:val="center"/>
        <w:tblLook w:val="04A0" w:firstRow="1" w:lastRow="0" w:firstColumn="1" w:lastColumn="0" w:noHBand="0" w:noVBand="1"/>
      </w:tblPr>
      <w:tblGrid>
        <w:gridCol w:w="416"/>
        <w:gridCol w:w="1541"/>
        <w:gridCol w:w="896"/>
        <w:gridCol w:w="896"/>
        <w:gridCol w:w="896"/>
        <w:gridCol w:w="896"/>
        <w:gridCol w:w="1278"/>
        <w:gridCol w:w="1417"/>
      </w:tblGrid>
      <w:tr w:rsidR="00DB6AB9" w:rsidRPr="00767C21" w14:paraId="36527AA9" w14:textId="77777777" w:rsidTr="00C5201E">
        <w:trPr>
          <w:trHeight w:val="20"/>
          <w:jc w:val="center"/>
        </w:trPr>
        <w:tc>
          <w:tcPr>
            <w:tcW w:w="0" w:type="auto"/>
            <w:vMerge w:val="restart"/>
            <w:vAlign w:val="center"/>
            <w:hideMark/>
          </w:tcPr>
          <w:p w14:paraId="7779847E" w14:textId="77777777" w:rsidR="00DB6AB9" w:rsidRPr="00767C21" w:rsidRDefault="00DB6AB9" w:rsidP="001D3365">
            <w:pPr>
              <w:pStyle w:val="NoSpacing"/>
              <w:jc w:val="center"/>
              <w:rPr>
                <w:rFonts w:ascii="Times New Roman" w:hAnsi="Times New Roman" w:cs="Times New Roman"/>
                <w:sz w:val="16"/>
                <w:szCs w:val="16"/>
              </w:rPr>
            </w:pPr>
          </w:p>
        </w:tc>
        <w:tc>
          <w:tcPr>
            <w:tcW w:w="0" w:type="auto"/>
            <w:vMerge w:val="restart"/>
            <w:vAlign w:val="center"/>
            <w:hideMark/>
          </w:tcPr>
          <w:p w14:paraId="0BDCDF7F" w14:textId="77777777"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States</w:t>
            </w:r>
          </w:p>
        </w:tc>
        <w:tc>
          <w:tcPr>
            <w:tcW w:w="0" w:type="auto"/>
            <w:gridSpan w:val="4"/>
            <w:vAlign w:val="center"/>
          </w:tcPr>
          <w:p w14:paraId="265A0E25" w14:textId="3495F43D" w:rsidR="00DB6AB9" w:rsidRPr="00767C21" w:rsidRDefault="00DB6AB9" w:rsidP="001D3365">
            <w:pPr>
              <w:jc w:val="center"/>
              <w:rPr>
                <w:rFonts w:ascii="Times New Roman" w:hAnsi="Times New Roman" w:cs="Times New Roman"/>
                <w:b/>
                <w:bCs/>
                <w:sz w:val="16"/>
                <w:szCs w:val="16"/>
              </w:rPr>
            </w:pPr>
            <w:r w:rsidRPr="00767C21">
              <w:rPr>
                <w:rFonts w:ascii="Times New Roman" w:hAnsi="Times New Roman" w:cs="Times New Roman"/>
                <w:b/>
                <w:bCs/>
                <w:sz w:val="16"/>
                <w:szCs w:val="16"/>
              </w:rPr>
              <w:t>Years</w:t>
            </w:r>
          </w:p>
        </w:tc>
        <w:tc>
          <w:tcPr>
            <w:tcW w:w="1278" w:type="dxa"/>
            <w:vMerge w:val="restart"/>
            <w:vAlign w:val="center"/>
            <w:hideMark/>
          </w:tcPr>
          <w:p w14:paraId="67DD652D" w14:textId="77777777"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Total 1984-85 To 1987-88</w:t>
            </w:r>
          </w:p>
        </w:tc>
        <w:tc>
          <w:tcPr>
            <w:tcW w:w="1417" w:type="dxa"/>
            <w:vMerge w:val="restart"/>
            <w:vAlign w:val="center"/>
            <w:hideMark/>
          </w:tcPr>
          <w:p w14:paraId="337F50FB" w14:textId="77777777"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Average 1984-85 To 1987-88</w:t>
            </w:r>
          </w:p>
        </w:tc>
      </w:tr>
      <w:tr w:rsidR="00DB6AB9" w:rsidRPr="00767C21" w14:paraId="1C589791" w14:textId="77777777" w:rsidTr="00C5201E">
        <w:trPr>
          <w:trHeight w:val="20"/>
          <w:jc w:val="center"/>
        </w:trPr>
        <w:tc>
          <w:tcPr>
            <w:tcW w:w="0" w:type="auto"/>
            <w:vMerge/>
            <w:vAlign w:val="center"/>
          </w:tcPr>
          <w:p w14:paraId="7B7443ED" w14:textId="77777777" w:rsidR="00DB6AB9" w:rsidRPr="00767C21" w:rsidRDefault="00DB6AB9" w:rsidP="001D3365">
            <w:pPr>
              <w:pStyle w:val="NoSpacing"/>
              <w:jc w:val="center"/>
              <w:rPr>
                <w:rFonts w:ascii="Times New Roman" w:hAnsi="Times New Roman" w:cs="Times New Roman"/>
                <w:sz w:val="16"/>
                <w:szCs w:val="16"/>
              </w:rPr>
            </w:pPr>
          </w:p>
        </w:tc>
        <w:tc>
          <w:tcPr>
            <w:tcW w:w="0" w:type="auto"/>
            <w:vMerge/>
            <w:vAlign w:val="center"/>
          </w:tcPr>
          <w:p w14:paraId="365EE3FE" w14:textId="77777777" w:rsidR="00DB6AB9" w:rsidRPr="00767C21" w:rsidRDefault="00DB6AB9" w:rsidP="001D3365">
            <w:pPr>
              <w:pStyle w:val="NoSpacing"/>
              <w:rPr>
                <w:rFonts w:ascii="Times New Roman" w:hAnsi="Times New Roman" w:cs="Times New Roman"/>
                <w:b/>
                <w:bCs/>
                <w:sz w:val="16"/>
                <w:szCs w:val="16"/>
              </w:rPr>
            </w:pPr>
          </w:p>
        </w:tc>
        <w:tc>
          <w:tcPr>
            <w:tcW w:w="0" w:type="auto"/>
            <w:vAlign w:val="center"/>
          </w:tcPr>
          <w:p w14:paraId="715D5BB7" w14:textId="7EA8E9E0"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1984-85</w:t>
            </w:r>
          </w:p>
        </w:tc>
        <w:tc>
          <w:tcPr>
            <w:tcW w:w="0" w:type="auto"/>
            <w:vAlign w:val="center"/>
          </w:tcPr>
          <w:p w14:paraId="25947085" w14:textId="3121323C"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1985-86</w:t>
            </w:r>
          </w:p>
        </w:tc>
        <w:tc>
          <w:tcPr>
            <w:tcW w:w="0" w:type="auto"/>
            <w:vAlign w:val="center"/>
          </w:tcPr>
          <w:p w14:paraId="4AAD6DAA" w14:textId="6190E503"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1986-87</w:t>
            </w:r>
          </w:p>
        </w:tc>
        <w:tc>
          <w:tcPr>
            <w:tcW w:w="0" w:type="auto"/>
            <w:vAlign w:val="center"/>
          </w:tcPr>
          <w:p w14:paraId="7A54FA4E" w14:textId="0EAE8D4B" w:rsidR="00DB6AB9" w:rsidRPr="00767C21" w:rsidRDefault="00DB6AB9" w:rsidP="001D3365">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1987-88</w:t>
            </w:r>
          </w:p>
        </w:tc>
        <w:tc>
          <w:tcPr>
            <w:tcW w:w="1278" w:type="dxa"/>
            <w:vMerge/>
            <w:vAlign w:val="center"/>
          </w:tcPr>
          <w:p w14:paraId="29138397" w14:textId="77777777" w:rsidR="00DB6AB9" w:rsidRPr="00767C21" w:rsidRDefault="00DB6AB9" w:rsidP="001D3365">
            <w:pPr>
              <w:pStyle w:val="NoSpacing"/>
              <w:jc w:val="center"/>
              <w:rPr>
                <w:rFonts w:ascii="Times New Roman" w:hAnsi="Times New Roman" w:cs="Times New Roman"/>
                <w:b/>
                <w:bCs/>
                <w:sz w:val="16"/>
                <w:szCs w:val="16"/>
              </w:rPr>
            </w:pPr>
          </w:p>
        </w:tc>
        <w:tc>
          <w:tcPr>
            <w:tcW w:w="1417" w:type="dxa"/>
            <w:vMerge/>
            <w:vAlign w:val="center"/>
          </w:tcPr>
          <w:p w14:paraId="6CABF811" w14:textId="77777777" w:rsidR="00DB6AB9" w:rsidRPr="00767C21" w:rsidRDefault="00DB6AB9" w:rsidP="001D3365">
            <w:pPr>
              <w:pStyle w:val="NoSpacing"/>
              <w:jc w:val="center"/>
              <w:rPr>
                <w:rFonts w:ascii="Times New Roman" w:hAnsi="Times New Roman" w:cs="Times New Roman"/>
                <w:b/>
                <w:bCs/>
                <w:sz w:val="16"/>
                <w:szCs w:val="16"/>
              </w:rPr>
            </w:pPr>
          </w:p>
        </w:tc>
      </w:tr>
      <w:tr w:rsidR="009210C4" w:rsidRPr="00767C21" w14:paraId="7FAD0829" w14:textId="77777777" w:rsidTr="00C5201E">
        <w:trPr>
          <w:trHeight w:val="20"/>
          <w:jc w:val="center"/>
        </w:trPr>
        <w:tc>
          <w:tcPr>
            <w:tcW w:w="0" w:type="auto"/>
            <w:vAlign w:val="center"/>
            <w:hideMark/>
          </w:tcPr>
          <w:p w14:paraId="1538783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w:t>
            </w:r>
          </w:p>
        </w:tc>
        <w:tc>
          <w:tcPr>
            <w:tcW w:w="0" w:type="auto"/>
            <w:vAlign w:val="center"/>
            <w:hideMark/>
          </w:tcPr>
          <w:p w14:paraId="3267BEA0" w14:textId="30A9D738"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Andhra Pradesh</w:t>
            </w:r>
          </w:p>
        </w:tc>
        <w:tc>
          <w:tcPr>
            <w:tcW w:w="0" w:type="auto"/>
            <w:vAlign w:val="center"/>
            <w:hideMark/>
          </w:tcPr>
          <w:p w14:paraId="5108DD4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10511.22</w:t>
            </w:r>
          </w:p>
        </w:tc>
        <w:tc>
          <w:tcPr>
            <w:tcW w:w="0" w:type="auto"/>
            <w:vAlign w:val="center"/>
            <w:hideMark/>
          </w:tcPr>
          <w:p w14:paraId="5C1D24B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12038.01</w:t>
            </w:r>
          </w:p>
        </w:tc>
        <w:tc>
          <w:tcPr>
            <w:tcW w:w="0" w:type="auto"/>
            <w:vAlign w:val="center"/>
            <w:hideMark/>
          </w:tcPr>
          <w:p w14:paraId="65163DF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13051.49</w:t>
            </w:r>
          </w:p>
        </w:tc>
        <w:tc>
          <w:tcPr>
            <w:tcW w:w="0" w:type="auto"/>
            <w:vAlign w:val="center"/>
            <w:hideMark/>
          </w:tcPr>
          <w:p w14:paraId="21553E5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14174.01</w:t>
            </w:r>
          </w:p>
        </w:tc>
        <w:tc>
          <w:tcPr>
            <w:tcW w:w="1278" w:type="dxa"/>
            <w:vAlign w:val="center"/>
            <w:hideMark/>
          </w:tcPr>
          <w:p w14:paraId="5E45A69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49774.73</w:t>
            </w:r>
          </w:p>
        </w:tc>
        <w:tc>
          <w:tcPr>
            <w:tcW w:w="1417" w:type="dxa"/>
            <w:vAlign w:val="center"/>
            <w:hideMark/>
          </w:tcPr>
          <w:p w14:paraId="3114A28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12443.68</w:t>
            </w:r>
          </w:p>
        </w:tc>
      </w:tr>
      <w:tr w:rsidR="009210C4" w:rsidRPr="00767C21" w14:paraId="27DE88BE" w14:textId="77777777" w:rsidTr="00C5201E">
        <w:trPr>
          <w:trHeight w:val="20"/>
          <w:jc w:val="center"/>
        </w:trPr>
        <w:tc>
          <w:tcPr>
            <w:tcW w:w="0" w:type="auto"/>
            <w:vAlign w:val="center"/>
            <w:hideMark/>
          </w:tcPr>
          <w:p w14:paraId="2C1F004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w:t>
            </w:r>
          </w:p>
        </w:tc>
        <w:tc>
          <w:tcPr>
            <w:tcW w:w="0" w:type="auto"/>
            <w:vAlign w:val="center"/>
            <w:hideMark/>
          </w:tcPr>
          <w:p w14:paraId="3C5ABFDF"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Arunachal Pradesh</w:t>
            </w:r>
          </w:p>
        </w:tc>
        <w:tc>
          <w:tcPr>
            <w:tcW w:w="0" w:type="auto"/>
            <w:vAlign w:val="center"/>
            <w:hideMark/>
          </w:tcPr>
          <w:p w14:paraId="007F8F3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4.70</w:t>
            </w:r>
          </w:p>
        </w:tc>
        <w:tc>
          <w:tcPr>
            <w:tcW w:w="0" w:type="auto"/>
            <w:vAlign w:val="center"/>
            <w:hideMark/>
          </w:tcPr>
          <w:p w14:paraId="38A5726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12.01</w:t>
            </w:r>
          </w:p>
        </w:tc>
        <w:tc>
          <w:tcPr>
            <w:tcW w:w="0" w:type="auto"/>
            <w:vAlign w:val="center"/>
            <w:hideMark/>
          </w:tcPr>
          <w:p w14:paraId="3E23330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12.41</w:t>
            </w:r>
          </w:p>
        </w:tc>
        <w:tc>
          <w:tcPr>
            <w:tcW w:w="0" w:type="auto"/>
            <w:vAlign w:val="center"/>
            <w:hideMark/>
          </w:tcPr>
          <w:p w14:paraId="6768CB9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25.03</w:t>
            </w:r>
          </w:p>
        </w:tc>
        <w:tc>
          <w:tcPr>
            <w:tcW w:w="1278" w:type="dxa"/>
            <w:vAlign w:val="center"/>
            <w:hideMark/>
          </w:tcPr>
          <w:p w14:paraId="3A58117D"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54.15</w:t>
            </w:r>
          </w:p>
        </w:tc>
        <w:tc>
          <w:tcPr>
            <w:tcW w:w="1417" w:type="dxa"/>
            <w:vAlign w:val="center"/>
            <w:hideMark/>
          </w:tcPr>
          <w:p w14:paraId="5FA3BEE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13.54</w:t>
            </w:r>
          </w:p>
        </w:tc>
      </w:tr>
      <w:tr w:rsidR="009210C4" w:rsidRPr="00767C21" w14:paraId="3A2A11D0" w14:textId="77777777" w:rsidTr="00C5201E">
        <w:trPr>
          <w:trHeight w:val="20"/>
          <w:jc w:val="center"/>
        </w:trPr>
        <w:tc>
          <w:tcPr>
            <w:tcW w:w="0" w:type="auto"/>
            <w:vAlign w:val="center"/>
            <w:hideMark/>
          </w:tcPr>
          <w:p w14:paraId="1F30B40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w:t>
            </w:r>
          </w:p>
        </w:tc>
        <w:tc>
          <w:tcPr>
            <w:tcW w:w="0" w:type="auto"/>
            <w:vAlign w:val="center"/>
            <w:hideMark/>
          </w:tcPr>
          <w:p w14:paraId="2A77EDBA"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Assam</w:t>
            </w:r>
          </w:p>
        </w:tc>
        <w:tc>
          <w:tcPr>
            <w:tcW w:w="0" w:type="auto"/>
            <w:vAlign w:val="center"/>
            <w:hideMark/>
          </w:tcPr>
          <w:p w14:paraId="55E7C95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1884.98</w:t>
            </w:r>
          </w:p>
        </w:tc>
        <w:tc>
          <w:tcPr>
            <w:tcW w:w="0" w:type="auto"/>
            <w:vAlign w:val="center"/>
            <w:hideMark/>
          </w:tcPr>
          <w:p w14:paraId="3824077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2384.38</w:t>
            </w:r>
          </w:p>
        </w:tc>
        <w:tc>
          <w:tcPr>
            <w:tcW w:w="0" w:type="auto"/>
            <w:vAlign w:val="center"/>
            <w:hideMark/>
          </w:tcPr>
          <w:p w14:paraId="593F398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2764.80</w:t>
            </w:r>
          </w:p>
        </w:tc>
        <w:tc>
          <w:tcPr>
            <w:tcW w:w="0" w:type="auto"/>
            <w:vAlign w:val="center"/>
            <w:hideMark/>
          </w:tcPr>
          <w:p w14:paraId="698F771D"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2999.40</w:t>
            </w:r>
          </w:p>
        </w:tc>
        <w:tc>
          <w:tcPr>
            <w:tcW w:w="1278" w:type="dxa"/>
            <w:vAlign w:val="center"/>
            <w:hideMark/>
          </w:tcPr>
          <w:p w14:paraId="3FD989C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10033.56</w:t>
            </w:r>
          </w:p>
        </w:tc>
        <w:tc>
          <w:tcPr>
            <w:tcW w:w="1417" w:type="dxa"/>
            <w:vAlign w:val="center"/>
            <w:hideMark/>
          </w:tcPr>
          <w:p w14:paraId="17873C8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2508.39</w:t>
            </w:r>
          </w:p>
        </w:tc>
      </w:tr>
      <w:tr w:rsidR="009210C4" w:rsidRPr="00767C21" w14:paraId="051F65C9" w14:textId="77777777" w:rsidTr="00C5201E">
        <w:trPr>
          <w:trHeight w:val="20"/>
          <w:jc w:val="center"/>
        </w:trPr>
        <w:tc>
          <w:tcPr>
            <w:tcW w:w="0" w:type="auto"/>
            <w:vAlign w:val="center"/>
            <w:hideMark/>
          </w:tcPr>
          <w:p w14:paraId="7AFA1B5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w:t>
            </w:r>
          </w:p>
        </w:tc>
        <w:tc>
          <w:tcPr>
            <w:tcW w:w="0" w:type="auto"/>
            <w:vAlign w:val="center"/>
            <w:hideMark/>
          </w:tcPr>
          <w:p w14:paraId="67F712EC"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Bihar</w:t>
            </w:r>
          </w:p>
        </w:tc>
        <w:tc>
          <w:tcPr>
            <w:tcW w:w="0" w:type="auto"/>
            <w:vAlign w:val="center"/>
            <w:hideMark/>
          </w:tcPr>
          <w:p w14:paraId="0C9DC49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10731.39</w:t>
            </w:r>
          </w:p>
        </w:tc>
        <w:tc>
          <w:tcPr>
            <w:tcW w:w="0" w:type="auto"/>
            <w:vAlign w:val="center"/>
            <w:hideMark/>
          </w:tcPr>
          <w:p w14:paraId="1B8AF0E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12916.14</w:t>
            </w:r>
          </w:p>
        </w:tc>
        <w:tc>
          <w:tcPr>
            <w:tcW w:w="0" w:type="auto"/>
            <w:vAlign w:val="center"/>
            <w:hideMark/>
          </w:tcPr>
          <w:p w14:paraId="3C489BE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15308.85</w:t>
            </w:r>
          </w:p>
        </w:tc>
        <w:tc>
          <w:tcPr>
            <w:tcW w:w="0" w:type="auto"/>
            <w:vAlign w:val="center"/>
            <w:hideMark/>
          </w:tcPr>
          <w:p w14:paraId="4892639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16016.36</w:t>
            </w:r>
          </w:p>
        </w:tc>
        <w:tc>
          <w:tcPr>
            <w:tcW w:w="1278" w:type="dxa"/>
            <w:vAlign w:val="center"/>
            <w:hideMark/>
          </w:tcPr>
          <w:p w14:paraId="3303237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54972.74</w:t>
            </w:r>
          </w:p>
        </w:tc>
        <w:tc>
          <w:tcPr>
            <w:tcW w:w="1417" w:type="dxa"/>
            <w:vAlign w:val="center"/>
            <w:hideMark/>
          </w:tcPr>
          <w:p w14:paraId="1A74925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13743.19</w:t>
            </w:r>
          </w:p>
        </w:tc>
      </w:tr>
      <w:tr w:rsidR="009210C4" w:rsidRPr="00767C21" w14:paraId="2B7EB8DA" w14:textId="77777777" w:rsidTr="00C5201E">
        <w:trPr>
          <w:trHeight w:val="20"/>
          <w:jc w:val="center"/>
        </w:trPr>
        <w:tc>
          <w:tcPr>
            <w:tcW w:w="0" w:type="auto"/>
            <w:vAlign w:val="center"/>
            <w:hideMark/>
          </w:tcPr>
          <w:p w14:paraId="2090706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w:t>
            </w:r>
          </w:p>
        </w:tc>
        <w:tc>
          <w:tcPr>
            <w:tcW w:w="0" w:type="auto"/>
            <w:vAlign w:val="center"/>
            <w:hideMark/>
          </w:tcPr>
          <w:p w14:paraId="603471C9"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Goa</w:t>
            </w:r>
          </w:p>
        </w:tc>
        <w:tc>
          <w:tcPr>
            <w:tcW w:w="0" w:type="auto"/>
            <w:vAlign w:val="center"/>
            <w:hideMark/>
          </w:tcPr>
          <w:p w14:paraId="56FE147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178.60</w:t>
            </w:r>
          </w:p>
        </w:tc>
        <w:tc>
          <w:tcPr>
            <w:tcW w:w="0" w:type="auto"/>
            <w:vAlign w:val="center"/>
            <w:hideMark/>
          </w:tcPr>
          <w:p w14:paraId="6C64215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212.11</w:t>
            </w:r>
          </w:p>
        </w:tc>
        <w:tc>
          <w:tcPr>
            <w:tcW w:w="0" w:type="auto"/>
            <w:vAlign w:val="center"/>
            <w:hideMark/>
          </w:tcPr>
          <w:p w14:paraId="58613B4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233.21</w:t>
            </w:r>
          </w:p>
        </w:tc>
        <w:tc>
          <w:tcPr>
            <w:tcW w:w="0" w:type="auto"/>
            <w:vAlign w:val="center"/>
            <w:hideMark/>
          </w:tcPr>
          <w:p w14:paraId="252C507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262.64</w:t>
            </w:r>
          </w:p>
        </w:tc>
        <w:tc>
          <w:tcPr>
            <w:tcW w:w="1278" w:type="dxa"/>
            <w:vAlign w:val="center"/>
            <w:hideMark/>
          </w:tcPr>
          <w:p w14:paraId="3016A84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886.56</w:t>
            </w:r>
          </w:p>
        </w:tc>
        <w:tc>
          <w:tcPr>
            <w:tcW w:w="1417" w:type="dxa"/>
            <w:vAlign w:val="center"/>
            <w:hideMark/>
          </w:tcPr>
          <w:p w14:paraId="7041E86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221.64</w:t>
            </w:r>
          </w:p>
        </w:tc>
      </w:tr>
      <w:tr w:rsidR="009210C4" w:rsidRPr="00767C21" w14:paraId="70257165" w14:textId="77777777" w:rsidTr="00C5201E">
        <w:trPr>
          <w:trHeight w:val="20"/>
          <w:jc w:val="center"/>
        </w:trPr>
        <w:tc>
          <w:tcPr>
            <w:tcW w:w="0" w:type="auto"/>
            <w:vAlign w:val="center"/>
            <w:hideMark/>
          </w:tcPr>
          <w:p w14:paraId="3786447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w:t>
            </w:r>
          </w:p>
        </w:tc>
        <w:tc>
          <w:tcPr>
            <w:tcW w:w="0" w:type="auto"/>
            <w:vAlign w:val="center"/>
            <w:hideMark/>
          </w:tcPr>
          <w:p w14:paraId="34FD1E5C"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Gujarat</w:t>
            </w:r>
          </w:p>
        </w:tc>
        <w:tc>
          <w:tcPr>
            <w:tcW w:w="0" w:type="auto"/>
            <w:vAlign w:val="center"/>
            <w:hideMark/>
          </w:tcPr>
          <w:p w14:paraId="6D8291CD"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8237.38</w:t>
            </w:r>
          </w:p>
        </w:tc>
        <w:tc>
          <w:tcPr>
            <w:tcW w:w="0" w:type="auto"/>
            <w:vAlign w:val="center"/>
            <w:hideMark/>
          </w:tcPr>
          <w:p w14:paraId="4520524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9130.33</w:t>
            </w:r>
          </w:p>
        </w:tc>
        <w:tc>
          <w:tcPr>
            <w:tcW w:w="0" w:type="auto"/>
            <w:vAlign w:val="center"/>
            <w:hideMark/>
          </w:tcPr>
          <w:p w14:paraId="0400F10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9574.37</w:t>
            </w:r>
          </w:p>
        </w:tc>
        <w:tc>
          <w:tcPr>
            <w:tcW w:w="0" w:type="auto"/>
            <w:vAlign w:val="center"/>
            <w:hideMark/>
          </w:tcPr>
          <w:p w14:paraId="332AF90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11079.56</w:t>
            </w:r>
          </w:p>
        </w:tc>
        <w:tc>
          <w:tcPr>
            <w:tcW w:w="1278" w:type="dxa"/>
            <w:vAlign w:val="center"/>
            <w:hideMark/>
          </w:tcPr>
          <w:p w14:paraId="12A03B7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38021.64</w:t>
            </w:r>
          </w:p>
        </w:tc>
        <w:tc>
          <w:tcPr>
            <w:tcW w:w="1417" w:type="dxa"/>
            <w:vAlign w:val="center"/>
            <w:hideMark/>
          </w:tcPr>
          <w:p w14:paraId="2816075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9505.41</w:t>
            </w:r>
          </w:p>
        </w:tc>
      </w:tr>
      <w:tr w:rsidR="009210C4" w:rsidRPr="00767C21" w14:paraId="3549B735" w14:textId="77777777" w:rsidTr="00C5201E">
        <w:trPr>
          <w:trHeight w:val="20"/>
          <w:jc w:val="center"/>
        </w:trPr>
        <w:tc>
          <w:tcPr>
            <w:tcW w:w="0" w:type="auto"/>
            <w:vAlign w:val="center"/>
            <w:hideMark/>
          </w:tcPr>
          <w:p w14:paraId="677C1E2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w:t>
            </w:r>
          </w:p>
        </w:tc>
        <w:tc>
          <w:tcPr>
            <w:tcW w:w="0" w:type="auto"/>
            <w:vAlign w:val="center"/>
            <w:hideMark/>
          </w:tcPr>
          <w:p w14:paraId="1F9CF4AA"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Haryana</w:t>
            </w:r>
          </w:p>
        </w:tc>
        <w:tc>
          <w:tcPr>
            <w:tcW w:w="0" w:type="auto"/>
            <w:vAlign w:val="center"/>
            <w:hideMark/>
          </w:tcPr>
          <w:p w14:paraId="6362F05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2016.28</w:t>
            </w:r>
          </w:p>
        </w:tc>
        <w:tc>
          <w:tcPr>
            <w:tcW w:w="0" w:type="auto"/>
            <w:vAlign w:val="center"/>
            <w:hideMark/>
          </w:tcPr>
          <w:p w14:paraId="65AAA6C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2412.48</w:t>
            </w:r>
          </w:p>
        </w:tc>
        <w:tc>
          <w:tcPr>
            <w:tcW w:w="0" w:type="auto"/>
            <w:vAlign w:val="center"/>
            <w:hideMark/>
          </w:tcPr>
          <w:p w14:paraId="5ECDC99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3033.19</w:t>
            </w:r>
          </w:p>
        </w:tc>
        <w:tc>
          <w:tcPr>
            <w:tcW w:w="0" w:type="auto"/>
            <w:vAlign w:val="center"/>
            <w:hideMark/>
          </w:tcPr>
          <w:p w14:paraId="17BC35E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3424.82</w:t>
            </w:r>
          </w:p>
        </w:tc>
        <w:tc>
          <w:tcPr>
            <w:tcW w:w="1278" w:type="dxa"/>
            <w:vAlign w:val="center"/>
            <w:hideMark/>
          </w:tcPr>
          <w:p w14:paraId="2A6D66D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10886.77</w:t>
            </w:r>
          </w:p>
        </w:tc>
        <w:tc>
          <w:tcPr>
            <w:tcW w:w="1417" w:type="dxa"/>
            <w:vAlign w:val="center"/>
            <w:hideMark/>
          </w:tcPr>
          <w:p w14:paraId="420E2FB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2721.69</w:t>
            </w:r>
          </w:p>
        </w:tc>
      </w:tr>
      <w:tr w:rsidR="009210C4" w:rsidRPr="00767C21" w14:paraId="355A4530" w14:textId="77777777" w:rsidTr="00C5201E">
        <w:trPr>
          <w:trHeight w:val="20"/>
          <w:jc w:val="center"/>
        </w:trPr>
        <w:tc>
          <w:tcPr>
            <w:tcW w:w="0" w:type="auto"/>
            <w:vAlign w:val="center"/>
            <w:hideMark/>
          </w:tcPr>
          <w:p w14:paraId="68062E6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w:t>
            </w:r>
          </w:p>
        </w:tc>
        <w:tc>
          <w:tcPr>
            <w:tcW w:w="0" w:type="auto"/>
            <w:vAlign w:val="center"/>
            <w:hideMark/>
          </w:tcPr>
          <w:p w14:paraId="502F8142"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Himachal Pradesh</w:t>
            </w:r>
          </w:p>
        </w:tc>
        <w:tc>
          <w:tcPr>
            <w:tcW w:w="0" w:type="auto"/>
            <w:vAlign w:val="center"/>
            <w:hideMark/>
          </w:tcPr>
          <w:p w14:paraId="497E984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129.67</w:t>
            </w:r>
          </w:p>
        </w:tc>
        <w:tc>
          <w:tcPr>
            <w:tcW w:w="0" w:type="auto"/>
            <w:vAlign w:val="center"/>
            <w:hideMark/>
          </w:tcPr>
          <w:p w14:paraId="18A459F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156.26</w:t>
            </w:r>
          </w:p>
        </w:tc>
        <w:tc>
          <w:tcPr>
            <w:tcW w:w="0" w:type="auto"/>
            <w:vAlign w:val="center"/>
            <w:hideMark/>
          </w:tcPr>
          <w:p w14:paraId="741D57B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178.10</w:t>
            </w:r>
          </w:p>
        </w:tc>
        <w:tc>
          <w:tcPr>
            <w:tcW w:w="0" w:type="auto"/>
            <w:vAlign w:val="center"/>
            <w:hideMark/>
          </w:tcPr>
          <w:p w14:paraId="24B9E2C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187.94</w:t>
            </w:r>
          </w:p>
        </w:tc>
        <w:tc>
          <w:tcPr>
            <w:tcW w:w="1278" w:type="dxa"/>
            <w:vAlign w:val="center"/>
            <w:hideMark/>
          </w:tcPr>
          <w:p w14:paraId="0A3E2FE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651.97</w:t>
            </w:r>
          </w:p>
        </w:tc>
        <w:tc>
          <w:tcPr>
            <w:tcW w:w="1417" w:type="dxa"/>
            <w:vAlign w:val="center"/>
            <w:hideMark/>
          </w:tcPr>
          <w:p w14:paraId="0EC1A16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162.99</w:t>
            </w:r>
          </w:p>
        </w:tc>
      </w:tr>
      <w:tr w:rsidR="009210C4" w:rsidRPr="00767C21" w14:paraId="4A40E60F" w14:textId="77777777" w:rsidTr="00C5201E">
        <w:trPr>
          <w:trHeight w:val="20"/>
          <w:jc w:val="center"/>
        </w:trPr>
        <w:tc>
          <w:tcPr>
            <w:tcW w:w="0" w:type="auto"/>
            <w:vAlign w:val="center"/>
            <w:hideMark/>
          </w:tcPr>
          <w:p w14:paraId="631D089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w:t>
            </w:r>
          </w:p>
        </w:tc>
        <w:tc>
          <w:tcPr>
            <w:tcW w:w="0" w:type="auto"/>
            <w:vAlign w:val="center"/>
            <w:hideMark/>
          </w:tcPr>
          <w:p w14:paraId="6BDEA37A"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Jammu and Kashmir</w:t>
            </w:r>
          </w:p>
        </w:tc>
        <w:tc>
          <w:tcPr>
            <w:tcW w:w="0" w:type="auto"/>
            <w:vAlign w:val="center"/>
            <w:hideMark/>
          </w:tcPr>
          <w:p w14:paraId="5732626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582.51</w:t>
            </w:r>
          </w:p>
        </w:tc>
        <w:tc>
          <w:tcPr>
            <w:tcW w:w="0" w:type="auto"/>
            <w:vAlign w:val="center"/>
            <w:hideMark/>
          </w:tcPr>
          <w:p w14:paraId="42F4DBC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752.19</w:t>
            </w:r>
          </w:p>
        </w:tc>
        <w:tc>
          <w:tcPr>
            <w:tcW w:w="0" w:type="auto"/>
            <w:vAlign w:val="center"/>
            <w:hideMark/>
          </w:tcPr>
          <w:p w14:paraId="46A1735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957.78</w:t>
            </w:r>
          </w:p>
        </w:tc>
        <w:tc>
          <w:tcPr>
            <w:tcW w:w="0" w:type="auto"/>
            <w:vAlign w:val="center"/>
            <w:hideMark/>
          </w:tcPr>
          <w:p w14:paraId="3AD35E2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1168.16</w:t>
            </w:r>
          </w:p>
        </w:tc>
        <w:tc>
          <w:tcPr>
            <w:tcW w:w="1278" w:type="dxa"/>
            <w:vAlign w:val="center"/>
            <w:hideMark/>
          </w:tcPr>
          <w:p w14:paraId="59CEB2F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3460.64</w:t>
            </w:r>
          </w:p>
        </w:tc>
        <w:tc>
          <w:tcPr>
            <w:tcW w:w="1417" w:type="dxa"/>
            <w:vAlign w:val="center"/>
            <w:hideMark/>
          </w:tcPr>
          <w:p w14:paraId="69B4703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865.16</w:t>
            </w:r>
          </w:p>
        </w:tc>
      </w:tr>
      <w:tr w:rsidR="009210C4" w:rsidRPr="00767C21" w14:paraId="0EE40306" w14:textId="77777777" w:rsidTr="00C5201E">
        <w:trPr>
          <w:trHeight w:val="20"/>
          <w:jc w:val="center"/>
        </w:trPr>
        <w:tc>
          <w:tcPr>
            <w:tcW w:w="0" w:type="auto"/>
            <w:vAlign w:val="center"/>
            <w:hideMark/>
          </w:tcPr>
          <w:p w14:paraId="36C6BA9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w:t>
            </w:r>
          </w:p>
        </w:tc>
        <w:tc>
          <w:tcPr>
            <w:tcW w:w="0" w:type="auto"/>
            <w:vAlign w:val="center"/>
            <w:hideMark/>
          </w:tcPr>
          <w:p w14:paraId="00F23231"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Karnataka</w:t>
            </w:r>
          </w:p>
        </w:tc>
        <w:tc>
          <w:tcPr>
            <w:tcW w:w="0" w:type="auto"/>
            <w:vAlign w:val="center"/>
            <w:hideMark/>
          </w:tcPr>
          <w:p w14:paraId="667C3FC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4550.29</w:t>
            </w:r>
          </w:p>
        </w:tc>
        <w:tc>
          <w:tcPr>
            <w:tcW w:w="0" w:type="auto"/>
            <w:vAlign w:val="center"/>
            <w:hideMark/>
          </w:tcPr>
          <w:p w14:paraId="47A7245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5294.15</w:t>
            </w:r>
          </w:p>
        </w:tc>
        <w:tc>
          <w:tcPr>
            <w:tcW w:w="0" w:type="auto"/>
            <w:vAlign w:val="center"/>
            <w:hideMark/>
          </w:tcPr>
          <w:p w14:paraId="722AC0C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5813.15</w:t>
            </w:r>
          </w:p>
        </w:tc>
        <w:tc>
          <w:tcPr>
            <w:tcW w:w="0" w:type="auto"/>
            <w:vAlign w:val="center"/>
            <w:hideMark/>
          </w:tcPr>
          <w:p w14:paraId="6D32669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6094.98</w:t>
            </w:r>
          </w:p>
        </w:tc>
        <w:tc>
          <w:tcPr>
            <w:tcW w:w="1278" w:type="dxa"/>
            <w:vAlign w:val="center"/>
            <w:hideMark/>
          </w:tcPr>
          <w:p w14:paraId="41966FA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21752.57</w:t>
            </w:r>
          </w:p>
        </w:tc>
        <w:tc>
          <w:tcPr>
            <w:tcW w:w="1417" w:type="dxa"/>
            <w:vAlign w:val="center"/>
            <w:hideMark/>
          </w:tcPr>
          <w:p w14:paraId="4346D19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5438.14</w:t>
            </w:r>
          </w:p>
        </w:tc>
      </w:tr>
      <w:tr w:rsidR="009210C4" w:rsidRPr="00767C21" w14:paraId="3706BC65" w14:textId="77777777" w:rsidTr="00C5201E">
        <w:trPr>
          <w:trHeight w:val="20"/>
          <w:jc w:val="center"/>
        </w:trPr>
        <w:tc>
          <w:tcPr>
            <w:tcW w:w="0" w:type="auto"/>
            <w:vAlign w:val="center"/>
            <w:hideMark/>
          </w:tcPr>
          <w:p w14:paraId="5C54BD3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w:t>
            </w:r>
          </w:p>
        </w:tc>
        <w:tc>
          <w:tcPr>
            <w:tcW w:w="0" w:type="auto"/>
            <w:vAlign w:val="center"/>
            <w:hideMark/>
          </w:tcPr>
          <w:p w14:paraId="39ECD8FA"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Kerala</w:t>
            </w:r>
          </w:p>
        </w:tc>
        <w:tc>
          <w:tcPr>
            <w:tcW w:w="0" w:type="auto"/>
            <w:vAlign w:val="center"/>
            <w:hideMark/>
          </w:tcPr>
          <w:p w14:paraId="4E4CC66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4941.65</w:t>
            </w:r>
          </w:p>
        </w:tc>
        <w:tc>
          <w:tcPr>
            <w:tcW w:w="0" w:type="auto"/>
            <w:vAlign w:val="center"/>
            <w:hideMark/>
          </w:tcPr>
          <w:p w14:paraId="726490F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5792.04</w:t>
            </w:r>
          </w:p>
        </w:tc>
        <w:tc>
          <w:tcPr>
            <w:tcW w:w="0" w:type="auto"/>
            <w:vAlign w:val="center"/>
            <w:hideMark/>
          </w:tcPr>
          <w:p w14:paraId="171975D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6281.28</w:t>
            </w:r>
          </w:p>
        </w:tc>
        <w:tc>
          <w:tcPr>
            <w:tcW w:w="0" w:type="auto"/>
            <w:vAlign w:val="center"/>
            <w:hideMark/>
          </w:tcPr>
          <w:p w14:paraId="46CAC8E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6674.54</w:t>
            </w:r>
          </w:p>
        </w:tc>
        <w:tc>
          <w:tcPr>
            <w:tcW w:w="1278" w:type="dxa"/>
            <w:vAlign w:val="center"/>
            <w:hideMark/>
          </w:tcPr>
          <w:p w14:paraId="6C89C27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23689.51</w:t>
            </w:r>
          </w:p>
        </w:tc>
        <w:tc>
          <w:tcPr>
            <w:tcW w:w="1417" w:type="dxa"/>
            <w:vAlign w:val="center"/>
            <w:hideMark/>
          </w:tcPr>
          <w:p w14:paraId="7BF6682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5922.38</w:t>
            </w:r>
          </w:p>
        </w:tc>
      </w:tr>
      <w:tr w:rsidR="009210C4" w:rsidRPr="00767C21" w14:paraId="56A35967" w14:textId="77777777" w:rsidTr="00C5201E">
        <w:trPr>
          <w:trHeight w:val="20"/>
          <w:jc w:val="center"/>
        </w:trPr>
        <w:tc>
          <w:tcPr>
            <w:tcW w:w="0" w:type="auto"/>
            <w:vAlign w:val="center"/>
            <w:hideMark/>
          </w:tcPr>
          <w:p w14:paraId="18763DE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w:t>
            </w:r>
          </w:p>
        </w:tc>
        <w:tc>
          <w:tcPr>
            <w:tcW w:w="0" w:type="auto"/>
            <w:vAlign w:val="center"/>
            <w:hideMark/>
          </w:tcPr>
          <w:p w14:paraId="0B312D72" w14:textId="3F656A3F"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Madhya Pradesh</w:t>
            </w:r>
          </w:p>
        </w:tc>
        <w:tc>
          <w:tcPr>
            <w:tcW w:w="0" w:type="auto"/>
            <w:vAlign w:val="center"/>
            <w:hideMark/>
          </w:tcPr>
          <w:p w14:paraId="78A92B2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7919.50</w:t>
            </w:r>
          </w:p>
        </w:tc>
        <w:tc>
          <w:tcPr>
            <w:tcW w:w="0" w:type="auto"/>
            <w:vAlign w:val="center"/>
            <w:hideMark/>
          </w:tcPr>
          <w:p w14:paraId="0CEA697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9697.18</w:t>
            </w:r>
          </w:p>
        </w:tc>
        <w:tc>
          <w:tcPr>
            <w:tcW w:w="0" w:type="auto"/>
            <w:vAlign w:val="center"/>
            <w:hideMark/>
          </w:tcPr>
          <w:p w14:paraId="17DCC77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10608.61</w:t>
            </w:r>
          </w:p>
        </w:tc>
        <w:tc>
          <w:tcPr>
            <w:tcW w:w="0" w:type="auto"/>
            <w:vAlign w:val="center"/>
            <w:hideMark/>
          </w:tcPr>
          <w:p w14:paraId="0BDD9DF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12084.72</w:t>
            </w:r>
          </w:p>
        </w:tc>
        <w:tc>
          <w:tcPr>
            <w:tcW w:w="1278" w:type="dxa"/>
            <w:vAlign w:val="center"/>
            <w:hideMark/>
          </w:tcPr>
          <w:p w14:paraId="5000DB6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40310.01</w:t>
            </w:r>
          </w:p>
        </w:tc>
        <w:tc>
          <w:tcPr>
            <w:tcW w:w="1417" w:type="dxa"/>
            <w:vAlign w:val="center"/>
            <w:hideMark/>
          </w:tcPr>
          <w:p w14:paraId="4BECCDE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10077.50</w:t>
            </w:r>
          </w:p>
        </w:tc>
      </w:tr>
      <w:tr w:rsidR="009210C4" w:rsidRPr="00767C21" w14:paraId="7C9AA312" w14:textId="77777777" w:rsidTr="00C5201E">
        <w:trPr>
          <w:trHeight w:val="20"/>
          <w:jc w:val="center"/>
        </w:trPr>
        <w:tc>
          <w:tcPr>
            <w:tcW w:w="0" w:type="auto"/>
            <w:vAlign w:val="center"/>
            <w:hideMark/>
          </w:tcPr>
          <w:p w14:paraId="53A9996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w:t>
            </w:r>
          </w:p>
        </w:tc>
        <w:tc>
          <w:tcPr>
            <w:tcW w:w="0" w:type="auto"/>
            <w:vAlign w:val="center"/>
            <w:hideMark/>
          </w:tcPr>
          <w:p w14:paraId="2C6E440E"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Maharashtra</w:t>
            </w:r>
          </w:p>
        </w:tc>
        <w:tc>
          <w:tcPr>
            <w:tcW w:w="0" w:type="auto"/>
            <w:vAlign w:val="center"/>
            <w:hideMark/>
          </w:tcPr>
          <w:p w14:paraId="1D35A5C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31049.05</w:t>
            </w:r>
          </w:p>
        </w:tc>
        <w:tc>
          <w:tcPr>
            <w:tcW w:w="0" w:type="auto"/>
            <w:vAlign w:val="center"/>
            <w:hideMark/>
          </w:tcPr>
          <w:p w14:paraId="2E2685B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36055.62</w:t>
            </w:r>
          </w:p>
        </w:tc>
        <w:tc>
          <w:tcPr>
            <w:tcW w:w="0" w:type="auto"/>
            <w:vAlign w:val="center"/>
            <w:hideMark/>
          </w:tcPr>
          <w:p w14:paraId="16E4619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40303.98</w:t>
            </w:r>
          </w:p>
        </w:tc>
        <w:tc>
          <w:tcPr>
            <w:tcW w:w="0" w:type="auto"/>
            <w:vAlign w:val="center"/>
            <w:hideMark/>
          </w:tcPr>
          <w:p w14:paraId="5280F33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43123.66</w:t>
            </w:r>
          </w:p>
        </w:tc>
        <w:tc>
          <w:tcPr>
            <w:tcW w:w="1278" w:type="dxa"/>
            <w:vAlign w:val="center"/>
            <w:hideMark/>
          </w:tcPr>
          <w:p w14:paraId="37FE52A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150532.31</w:t>
            </w:r>
          </w:p>
        </w:tc>
        <w:tc>
          <w:tcPr>
            <w:tcW w:w="1417" w:type="dxa"/>
            <w:vAlign w:val="center"/>
            <w:hideMark/>
          </w:tcPr>
          <w:p w14:paraId="32B59ED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37633.08</w:t>
            </w:r>
          </w:p>
        </w:tc>
      </w:tr>
      <w:tr w:rsidR="009210C4" w:rsidRPr="00767C21" w14:paraId="33937045" w14:textId="77777777" w:rsidTr="00C5201E">
        <w:trPr>
          <w:trHeight w:val="20"/>
          <w:jc w:val="center"/>
        </w:trPr>
        <w:tc>
          <w:tcPr>
            <w:tcW w:w="0" w:type="auto"/>
            <w:vAlign w:val="center"/>
            <w:hideMark/>
          </w:tcPr>
          <w:p w14:paraId="536EE00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w:t>
            </w:r>
          </w:p>
        </w:tc>
        <w:tc>
          <w:tcPr>
            <w:tcW w:w="0" w:type="auto"/>
            <w:vAlign w:val="center"/>
            <w:hideMark/>
          </w:tcPr>
          <w:p w14:paraId="5F944095"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Manipur</w:t>
            </w:r>
          </w:p>
        </w:tc>
        <w:tc>
          <w:tcPr>
            <w:tcW w:w="0" w:type="auto"/>
            <w:vAlign w:val="center"/>
            <w:hideMark/>
          </w:tcPr>
          <w:p w14:paraId="557E732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29.05</w:t>
            </w:r>
          </w:p>
        </w:tc>
        <w:tc>
          <w:tcPr>
            <w:tcW w:w="0" w:type="auto"/>
            <w:vAlign w:val="center"/>
            <w:hideMark/>
          </w:tcPr>
          <w:p w14:paraId="6F13EBD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14.79</w:t>
            </w:r>
          </w:p>
        </w:tc>
        <w:tc>
          <w:tcPr>
            <w:tcW w:w="0" w:type="auto"/>
            <w:vAlign w:val="center"/>
            <w:hideMark/>
          </w:tcPr>
          <w:p w14:paraId="6A4B870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18.79</w:t>
            </w:r>
          </w:p>
        </w:tc>
        <w:tc>
          <w:tcPr>
            <w:tcW w:w="0" w:type="auto"/>
            <w:vAlign w:val="center"/>
            <w:hideMark/>
          </w:tcPr>
          <w:p w14:paraId="6E88BF9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26.69</w:t>
            </w:r>
          </w:p>
        </w:tc>
        <w:tc>
          <w:tcPr>
            <w:tcW w:w="1278" w:type="dxa"/>
            <w:vAlign w:val="center"/>
            <w:hideMark/>
          </w:tcPr>
          <w:p w14:paraId="0F2AAA5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89.32</w:t>
            </w:r>
          </w:p>
        </w:tc>
        <w:tc>
          <w:tcPr>
            <w:tcW w:w="1417" w:type="dxa"/>
            <w:vAlign w:val="center"/>
            <w:hideMark/>
          </w:tcPr>
          <w:p w14:paraId="72D6C01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22.33</w:t>
            </w:r>
          </w:p>
        </w:tc>
      </w:tr>
      <w:tr w:rsidR="009210C4" w:rsidRPr="00767C21" w14:paraId="454C9B5B" w14:textId="77777777" w:rsidTr="00C5201E">
        <w:trPr>
          <w:trHeight w:val="20"/>
          <w:jc w:val="center"/>
        </w:trPr>
        <w:tc>
          <w:tcPr>
            <w:tcW w:w="0" w:type="auto"/>
            <w:vAlign w:val="center"/>
            <w:hideMark/>
          </w:tcPr>
          <w:p w14:paraId="3A46D91D"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15.</w:t>
            </w:r>
          </w:p>
        </w:tc>
        <w:tc>
          <w:tcPr>
            <w:tcW w:w="0" w:type="auto"/>
            <w:vAlign w:val="center"/>
            <w:hideMark/>
          </w:tcPr>
          <w:p w14:paraId="4B040367"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Meghalaya</w:t>
            </w:r>
          </w:p>
        </w:tc>
        <w:tc>
          <w:tcPr>
            <w:tcW w:w="0" w:type="auto"/>
            <w:vAlign w:val="center"/>
            <w:hideMark/>
          </w:tcPr>
          <w:p w14:paraId="7403666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45.36</w:t>
            </w:r>
          </w:p>
        </w:tc>
        <w:tc>
          <w:tcPr>
            <w:tcW w:w="0" w:type="auto"/>
            <w:vAlign w:val="center"/>
            <w:hideMark/>
          </w:tcPr>
          <w:p w14:paraId="417C4B0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65.05</w:t>
            </w:r>
          </w:p>
        </w:tc>
        <w:tc>
          <w:tcPr>
            <w:tcW w:w="0" w:type="auto"/>
            <w:vAlign w:val="center"/>
            <w:hideMark/>
          </w:tcPr>
          <w:p w14:paraId="5857C5B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69.12</w:t>
            </w:r>
          </w:p>
        </w:tc>
        <w:tc>
          <w:tcPr>
            <w:tcW w:w="0" w:type="auto"/>
            <w:vAlign w:val="center"/>
            <w:hideMark/>
          </w:tcPr>
          <w:p w14:paraId="3A495D8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88.68</w:t>
            </w:r>
          </w:p>
        </w:tc>
        <w:tc>
          <w:tcPr>
            <w:tcW w:w="1278" w:type="dxa"/>
            <w:vAlign w:val="center"/>
            <w:hideMark/>
          </w:tcPr>
          <w:p w14:paraId="2B956ED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268.21</w:t>
            </w:r>
          </w:p>
        </w:tc>
        <w:tc>
          <w:tcPr>
            <w:tcW w:w="1417" w:type="dxa"/>
            <w:vAlign w:val="center"/>
            <w:hideMark/>
          </w:tcPr>
          <w:p w14:paraId="1EC9F87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67.05</w:t>
            </w:r>
          </w:p>
        </w:tc>
      </w:tr>
      <w:tr w:rsidR="009210C4" w:rsidRPr="00767C21" w14:paraId="7C8F67FA" w14:textId="77777777" w:rsidTr="00C5201E">
        <w:trPr>
          <w:trHeight w:val="20"/>
          <w:jc w:val="center"/>
        </w:trPr>
        <w:tc>
          <w:tcPr>
            <w:tcW w:w="0" w:type="auto"/>
            <w:vAlign w:val="center"/>
            <w:hideMark/>
          </w:tcPr>
          <w:p w14:paraId="26F0D48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16.</w:t>
            </w:r>
          </w:p>
        </w:tc>
        <w:tc>
          <w:tcPr>
            <w:tcW w:w="0" w:type="auto"/>
            <w:vAlign w:val="center"/>
            <w:hideMark/>
          </w:tcPr>
          <w:p w14:paraId="0015995C"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Mizoram</w:t>
            </w:r>
          </w:p>
        </w:tc>
        <w:tc>
          <w:tcPr>
            <w:tcW w:w="0" w:type="auto"/>
            <w:vAlign w:val="center"/>
            <w:hideMark/>
          </w:tcPr>
          <w:p w14:paraId="57A903E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0" w:type="auto"/>
            <w:vAlign w:val="center"/>
            <w:hideMark/>
          </w:tcPr>
          <w:p w14:paraId="0A06EE6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0" w:type="auto"/>
            <w:vAlign w:val="center"/>
            <w:hideMark/>
          </w:tcPr>
          <w:p w14:paraId="46F51C8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0" w:type="auto"/>
            <w:vAlign w:val="center"/>
            <w:hideMark/>
          </w:tcPr>
          <w:p w14:paraId="4454D7A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1278" w:type="dxa"/>
            <w:vAlign w:val="center"/>
            <w:hideMark/>
          </w:tcPr>
          <w:p w14:paraId="05E16B9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1417" w:type="dxa"/>
            <w:vAlign w:val="center"/>
            <w:hideMark/>
          </w:tcPr>
          <w:p w14:paraId="33E8945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r>
      <w:tr w:rsidR="009210C4" w:rsidRPr="00767C21" w14:paraId="36A49AFA" w14:textId="77777777" w:rsidTr="00C5201E">
        <w:trPr>
          <w:trHeight w:val="20"/>
          <w:jc w:val="center"/>
        </w:trPr>
        <w:tc>
          <w:tcPr>
            <w:tcW w:w="0" w:type="auto"/>
            <w:vAlign w:val="center"/>
            <w:hideMark/>
          </w:tcPr>
          <w:p w14:paraId="2494DFA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w:t>
            </w:r>
          </w:p>
        </w:tc>
        <w:tc>
          <w:tcPr>
            <w:tcW w:w="0" w:type="auto"/>
            <w:vAlign w:val="center"/>
            <w:hideMark/>
          </w:tcPr>
          <w:p w14:paraId="7E53D610"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Nagaland</w:t>
            </w:r>
          </w:p>
        </w:tc>
        <w:tc>
          <w:tcPr>
            <w:tcW w:w="0" w:type="auto"/>
            <w:vAlign w:val="center"/>
            <w:hideMark/>
          </w:tcPr>
          <w:p w14:paraId="714814F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179.86</w:t>
            </w:r>
          </w:p>
        </w:tc>
        <w:tc>
          <w:tcPr>
            <w:tcW w:w="0" w:type="auto"/>
            <w:vAlign w:val="center"/>
            <w:hideMark/>
          </w:tcPr>
          <w:p w14:paraId="7558B94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240.91</w:t>
            </w:r>
          </w:p>
        </w:tc>
        <w:tc>
          <w:tcPr>
            <w:tcW w:w="0" w:type="auto"/>
            <w:vAlign w:val="center"/>
            <w:hideMark/>
          </w:tcPr>
          <w:p w14:paraId="67C863C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317.29</w:t>
            </w:r>
          </w:p>
        </w:tc>
        <w:tc>
          <w:tcPr>
            <w:tcW w:w="0" w:type="auto"/>
            <w:vAlign w:val="center"/>
            <w:hideMark/>
          </w:tcPr>
          <w:p w14:paraId="0DA9CAA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355.52</w:t>
            </w:r>
          </w:p>
        </w:tc>
        <w:tc>
          <w:tcPr>
            <w:tcW w:w="1278" w:type="dxa"/>
            <w:vAlign w:val="center"/>
            <w:hideMark/>
          </w:tcPr>
          <w:p w14:paraId="45D022F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1093.58</w:t>
            </w:r>
          </w:p>
        </w:tc>
        <w:tc>
          <w:tcPr>
            <w:tcW w:w="1417" w:type="dxa"/>
            <w:vAlign w:val="center"/>
            <w:hideMark/>
          </w:tcPr>
          <w:p w14:paraId="5CDA1D5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273.40</w:t>
            </w:r>
          </w:p>
        </w:tc>
      </w:tr>
      <w:tr w:rsidR="009210C4" w:rsidRPr="00767C21" w14:paraId="4AF2B5AA" w14:textId="77777777" w:rsidTr="00C5201E">
        <w:trPr>
          <w:trHeight w:val="20"/>
          <w:jc w:val="center"/>
        </w:trPr>
        <w:tc>
          <w:tcPr>
            <w:tcW w:w="0" w:type="auto"/>
            <w:vAlign w:val="center"/>
            <w:hideMark/>
          </w:tcPr>
          <w:p w14:paraId="63DA32C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w:t>
            </w:r>
          </w:p>
        </w:tc>
        <w:tc>
          <w:tcPr>
            <w:tcW w:w="0" w:type="auto"/>
            <w:vAlign w:val="center"/>
            <w:hideMark/>
          </w:tcPr>
          <w:p w14:paraId="44DABA7C"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Orissa</w:t>
            </w:r>
          </w:p>
        </w:tc>
        <w:tc>
          <w:tcPr>
            <w:tcW w:w="0" w:type="auto"/>
            <w:vAlign w:val="center"/>
            <w:hideMark/>
          </w:tcPr>
          <w:p w14:paraId="1630F7B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2122.66</w:t>
            </w:r>
          </w:p>
        </w:tc>
        <w:tc>
          <w:tcPr>
            <w:tcW w:w="0" w:type="auto"/>
            <w:vAlign w:val="center"/>
            <w:hideMark/>
          </w:tcPr>
          <w:p w14:paraId="6F9D25E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2483.60</w:t>
            </w:r>
          </w:p>
        </w:tc>
        <w:tc>
          <w:tcPr>
            <w:tcW w:w="0" w:type="auto"/>
            <w:vAlign w:val="center"/>
            <w:hideMark/>
          </w:tcPr>
          <w:p w14:paraId="7AC45F7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2893.93</w:t>
            </w:r>
          </w:p>
        </w:tc>
        <w:tc>
          <w:tcPr>
            <w:tcW w:w="0" w:type="auto"/>
            <w:vAlign w:val="center"/>
            <w:hideMark/>
          </w:tcPr>
          <w:p w14:paraId="5A8E5F5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3233.24</w:t>
            </w:r>
          </w:p>
        </w:tc>
        <w:tc>
          <w:tcPr>
            <w:tcW w:w="1278" w:type="dxa"/>
            <w:vAlign w:val="center"/>
            <w:hideMark/>
          </w:tcPr>
          <w:p w14:paraId="22ED99F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10733.43</w:t>
            </w:r>
          </w:p>
        </w:tc>
        <w:tc>
          <w:tcPr>
            <w:tcW w:w="1417" w:type="dxa"/>
            <w:vAlign w:val="center"/>
            <w:hideMark/>
          </w:tcPr>
          <w:p w14:paraId="1037E25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2683.36</w:t>
            </w:r>
          </w:p>
        </w:tc>
      </w:tr>
      <w:tr w:rsidR="009210C4" w:rsidRPr="00767C21" w14:paraId="2664FFCA" w14:textId="77777777" w:rsidTr="00C5201E">
        <w:trPr>
          <w:trHeight w:val="20"/>
          <w:jc w:val="center"/>
        </w:trPr>
        <w:tc>
          <w:tcPr>
            <w:tcW w:w="0" w:type="auto"/>
            <w:vAlign w:val="center"/>
            <w:hideMark/>
          </w:tcPr>
          <w:p w14:paraId="5C300BF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19.</w:t>
            </w:r>
          </w:p>
        </w:tc>
        <w:tc>
          <w:tcPr>
            <w:tcW w:w="0" w:type="auto"/>
            <w:vAlign w:val="center"/>
            <w:hideMark/>
          </w:tcPr>
          <w:p w14:paraId="3A487221"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Punjab</w:t>
            </w:r>
          </w:p>
        </w:tc>
        <w:tc>
          <w:tcPr>
            <w:tcW w:w="0" w:type="auto"/>
            <w:vAlign w:val="center"/>
            <w:hideMark/>
          </w:tcPr>
          <w:p w14:paraId="084F1C9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3389.81</w:t>
            </w:r>
          </w:p>
        </w:tc>
        <w:tc>
          <w:tcPr>
            <w:tcW w:w="0" w:type="auto"/>
            <w:vAlign w:val="center"/>
            <w:hideMark/>
          </w:tcPr>
          <w:p w14:paraId="5E08234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4648.65</w:t>
            </w:r>
          </w:p>
        </w:tc>
        <w:tc>
          <w:tcPr>
            <w:tcW w:w="0" w:type="auto"/>
            <w:vAlign w:val="center"/>
            <w:hideMark/>
          </w:tcPr>
          <w:p w14:paraId="793DEF2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6588.13</w:t>
            </w:r>
          </w:p>
        </w:tc>
        <w:tc>
          <w:tcPr>
            <w:tcW w:w="0" w:type="auto"/>
            <w:vAlign w:val="center"/>
            <w:hideMark/>
          </w:tcPr>
          <w:p w14:paraId="580D546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6057.93</w:t>
            </w:r>
          </w:p>
        </w:tc>
        <w:tc>
          <w:tcPr>
            <w:tcW w:w="1278" w:type="dxa"/>
            <w:vAlign w:val="center"/>
            <w:hideMark/>
          </w:tcPr>
          <w:p w14:paraId="126C098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20684.52</w:t>
            </w:r>
          </w:p>
        </w:tc>
        <w:tc>
          <w:tcPr>
            <w:tcW w:w="1417" w:type="dxa"/>
            <w:vAlign w:val="center"/>
            <w:hideMark/>
          </w:tcPr>
          <w:p w14:paraId="55B546A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5171.13</w:t>
            </w:r>
          </w:p>
        </w:tc>
      </w:tr>
      <w:tr w:rsidR="009210C4" w:rsidRPr="00767C21" w14:paraId="1837A6FA" w14:textId="77777777" w:rsidTr="00C5201E">
        <w:trPr>
          <w:trHeight w:val="20"/>
          <w:jc w:val="center"/>
        </w:trPr>
        <w:tc>
          <w:tcPr>
            <w:tcW w:w="0" w:type="auto"/>
            <w:vAlign w:val="center"/>
            <w:hideMark/>
          </w:tcPr>
          <w:p w14:paraId="0BB5B0E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w:t>
            </w:r>
          </w:p>
        </w:tc>
        <w:tc>
          <w:tcPr>
            <w:tcW w:w="0" w:type="auto"/>
            <w:vAlign w:val="center"/>
            <w:hideMark/>
          </w:tcPr>
          <w:p w14:paraId="5450D441"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Rajasthan</w:t>
            </w:r>
          </w:p>
        </w:tc>
        <w:tc>
          <w:tcPr>
            <w:tcW w:w="0" w:type="auto"/>
            <w:vAlign w:val="center"/>
            <w:hideMark/>
          </w:tcPr>
          <w:p w14:paraId="3BEB93E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6566.23</w:t>
            </w:r>
          </w:p>
        </w:tc>
        <w:tc>
          <w:tcPr>
            <w:tcW w:w="0" w:type="auto"/>
            <w:vAlign w:val="center"/>
            <w:hideMark/>
          </w:tcPr>
          <w:p w14:paraId="57952FE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7413.89</w:t>
            </w:r>
          </w:p>
        </w:tc>
        <w:tc>
          <w:tcPr>
            <w:tcW w:w="0" w:type="auto"/>
            <w:vAlign w:val="center"/>
            <w:hideMark/>
          </w:tcPr>
          <w:p w14:paraId="115A780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8205.77</w:t>
            </w:r>
          </w:p>
        </w:tc>
        <w:tc>
          <w:tcPr>
            <w:tcW w:w="0" w:type="auto"/>
            <w:vAlign w:val="center"/>
            <w:hideMark/>
          </w:tcPr>
          <w:p w14:paraId="56BA406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8268.09</w:t>
            </w:r>
          </w:p>
        </w:tc>
        <w:tc>
          <w:tcPr>
            <w:tcW w:w="1278" w:type="dxa"/>
            <w:vAlign w:val="center"/>
            <w:hideMark/>
          </w:tcPr>
          <w:p w14:paraId="4244EC2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30453.98</w:t>
            </w:r>
          </w:p>
        </w:tc>
        <w:tc>
          <w:tcPr>
            <w:tcW w:w="1417" w:type="dxa"/>
            <w:vAlign w:val="center"/>
            <w:hideMark/>
          </w:tcPr>
          <w:p w14:paraId="6923A9D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7613.50</w:t>
            </w:r>
          </w:p>
        </w:tc>
      </w:tr>
      <w:tr w:rsidR="009210C4" w:rsidRPr="00767C21" w14:paraId="6D16F572" w14:textId="77777777" w:rsidTr="00C5201E">
        <w:trPr>
          <w:trHeight w:val="20"/>
          <w:jc w:val="center"/>
        </w:trPr>
        <w:tc>
          <w:tcPr>
            <w:tcW w:w="0" w:type="auto"/>
            <w:vAlign w:val="center"/>
            <w:hideMark/>
          </w:tcPr>
          <w:p w14:paraId="2A0D80B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21.</w:t>
            </w:r>
          </w:p>
        </w:tc>
        <w:tc>
          <w:tcPr>
            <w:tcW w:w="0" w:type="auto"/>
            <w:vAlign w:val="center"/>
            <w:hideMark/>
          </w:tcPr>
          <w:p w14:paraId="630EBECB"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Sikkim</w:t>
            </w:r>
          </w:p>
        </w:tc>
        <w:tc>
          <w:tcPr>
            <w:tcW w:w="0" w:type="auto"/>
            <w:vAlign w:val="center"/>
            <w:hideMark/>
          </w:tcPr>
          <w:p w14:paraId="47BA704D"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0" w:type="auto"/>
            <w:vAlign w:val="center"/>
            <w:hideMark/>
          </w:tcPr>
          <w:p w14:paraId="56730BC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11.92</w:t>
            </w:r>
          </w:p>
        </w:tc>
        <w:tc>
          <w:tcPr>
            <w:tcW w:w="0" w:type="auto"/>
            <w:vAlign w:val="center"/>
            <w:hideMark/>
          </w:tcPr>
          <w:p w14:paraId="1698521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11.55</w:t>
            </w:r>
          </w:p>
        </w:tc>
        <w:tc>
          <w:tcPr>
            <w:tcW w:w="0" w:type="auto"/>
            <w:vAlign w:val="center"/>
            <w:hideMark/>
          </w:tcPr>
          <w:p w14:paraId="6C9168E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5.45</w:t>
            </w:r>
          </w:p>
        </w:tc>
        <w:tc>
          <w:tcPr>
            <w:tcW w:w="1278" w:type="dxa"/>
            <w:vAlign w:val="center"/>
            <w:hideMark/>
          </w:tcPr>
          <w:p w14:paraId="217198F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28.92</w:t>
            </w:r>
          </w:p>
        </w:tc>
        <w:tc>
          <w:tcPr>
            <w:tcW w:w="1417" w:type="dxa"/>
            <w:vAlign w:val="center"/>
            <w:hideMark/>
          </w:tcPr>
          <w:p w14:paraId="1E06271B"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9.64</w:t>
            </w:r>
          </w:p>
        </w:tc>
      </w:tr>
      <w:tr w:rsidR="009210C4" w:rsidRPr="00767C21" w14:paraId="405081D2" w14:textId="77777777" w:rsidTr="00C5201E">
        <w:trPr>
          <w:trHeight w:val="20"/>
          <w:jc w:val="center"/>
        </w:trPr>
        <w:tc>
          <w:tcPr>
            <w:tcW w:w="0" w:type="auto"/>
            <w:vAlign w:val="center"/>
            <w:hideMark/>
          </w:tcPr>
          <w:p w14:paraId="24D310E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22.</w:t>
            </w:r>
          </w:p>
        </w:tc>
        <w:tc>
          <w:tcPr>
            <w:tcW w:w="0" w:type="auto"/>
            <w:vAlign w:val="center"/>
            <w:hideMark/>
          </w:tcPr>
          <w:p w14:paraId="503D06F9"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Tamil Nadu</w:t>
            </w:r>
          </w:p>
        </w:tc>
        <w:tc>
          <w:tcPr>
            <w:tcW w:w="0" w:type="auto"/>
            <w:vAlign w:val="center"/>
            <w:hideMark/>
          </w:tcPr>
          <w:p w14:paraId="5041651C"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9607.62</w:t>
            </w:r>
          </w:p>
        </w:tc>
        <w:tc>
          <w:tcPr>
            <w:tcW w:w="0" w:type="auto"/>
            <w:vAlign w:val="center"/>
            <w:hideMark/>
          </w:tcPr>
          <w:p w14:paraId="77D0B72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10710.07</w:t>
            </w:r>
          </w:p>
        </w:tc>
        <w:tc>
          <w:tcPr>
            <w:tcW w:w="0" w:type="auto"/>
            <w:vAlign w:val="center"/>
            <w:hideMark/>
          </w:tcPr>
          <w:p w14:paraId="1D0FB7D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12132.83</w:t>
            </w:r>
          </w:p>
        </w:tc>
        <w:tc>
          <w:tcPr>
            <w:tcW w:w="0" w:type="auto"/>
            <w:vAlign w:val="center"/>
            <w:hideMark/>
          </w:tcPr>
          <w:p w14:paraId="7F0CE7C1"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13390.99</w:t>
            </w:r>
          </w:p>
        </w:tc>
        <w:tc>
          <w:tcPr>
            <w:tcW w:w="1278" w:type="dxa"/>
            <w:vAlign w:val="center"/>
            <w:hideMark/>
          </w:tcPr>
          <w:p w14:paraId="2D23D4D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45841.51</w:t>
            </w:r>
          </w:p>
        </w:tc>
        <w:tc>
          <w:tcPr>
            <w:tcW w:w="1417" w:type="dxa"/>
            <w:vAlign w:val="center"/>
            <w:hideMark/>
          </w:tcPr>
          <w:p w14:paraId="52A9348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11460.38</w:t>
            </w:r>
          </w:p>
        </w:tc>
      </w:tr>
      <w:tr w:rsidR="009210C4" w:rsidRPr="00767C21" w14:paraId="4357DB9A" w14:textId="77777777" w:rsidTr="00C5201E">
        <w:trPr>
          <w:trHeight w:val="20"/>
          <w:jc w:val="center"/>
        </w:trPr>
        <w:tc>
          <w:tcPr>
            <w:tcW w:w="0" w:type="auto"/>
            <w:vAlign w:val="center"/>
            <w:hideMark/>
          </w:tcPr>
          <w:p w14:paraId="6B91354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23.</w:t>
            </w:r>
          </w:p>
        </w:tc>
        <w:tc>
          <w:tcPr>
            <w:tcW w:w="0" w:type="auto"/>
            <w:vAlign w:val="center"/>
            <w:hideMark/>
          </w:tcPr>
          <w:p w14:paraId="3CB58C0E"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Tripura</w:t>
            </w:r>
          </w:p>
        </w:tc>
        <w:tc>
          <w:tcPr>
            <w:tcW w:w="0" w:type="auto"/>
            <w:vAlign w:val="center"/>
            <w:hideMark/>
          </w:tcPr>
          <w:p w14:paraId="1BCAD5D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36.29</w:t>
            </w:r>
          </w:p>
        </w:tc>
        <w:tc>
          <w:tcPr>
            <w:tcW w:w="0" w:type="auto"/>
            <w:vAlign w:val="center"/>
            <w:hideMark/>
          </w:tcPr>
          <w:p w14:paraId="4F799FD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70.67</w:t>
            </w:r>
          </w:p>
        </w:tc>
        <w:tc>
          <w:tcPr>
            <w:tcW w:w="0" w:type="auto"/>
            <w:vAlign w:val="center"/>
            <w:hideMark/>
          </w:tcPr>
          <w:p w14:paraId="07F70BE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86.85</w:t>
            </w:r>
          </w:p>
        </w:tc>
        <w:tc>
          <w:tcPr>
            <w:tcW w:w="0" w:type="auto"/>
            <w:vAlign w:val="center"/>
            <w:hideMark/>
          </w:tcPr>
          <w:p w14:paraId="2B9040E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83.52</w:t>
            </w:r>
          </w:p>
        </w:tc>
        <w:tc>
          <w:tcPr>
            <w:tcW w:w="1278" w:type="dxa"/>
            <w:vAlign w:val="center"/>
            <w:hideMark/>
          </w:tcPr>
          <w:p w14:paraId="5815FF2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277.33</w:t>
            </w:r>
          </w:p>
        </w:tc>
        <w:tc>
          <w:tcPr>
            <w:tcW w:w="1417" w:type="dxa"/>
            <w:vAlign w:val="center"/>
            <w:hideMark/>
          </w:tcPr>
          <w:p w14:paraId="5EE99DC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69.33</w:t>
            </w:r>
          </w:p>
        </w:tc>
      </w:tr>
      <w:tr w:rsidR="009210C4" w:rsidRPr="00767C21" w14:paraId="4C048087" w14:textId="77777777" w:rsidTr="00C5201E">
        <w:trPr>
          <w:trHeight w:val="20"/>
          <w:jc w:val="center"/>
        </w:trPr>
        <w:tc>
          <w:tcPr>
            <w:tcW w:w="0" w:type="auto"/>
            <w:vAlign w:val="center"/>
            <w:hideMark/>
          </w:tcPr>
          <w:p w14:paraId="1C906EC6"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w:t>
            </w:r>
          </w:p>
        </w:tc>
        <w:tc>
          <w:tcPr>
            <w:tcW w:w="0" w:type="auto"/>
            <w:vAlign w:val="center"/>
            <w:hideMark/>
          </w:tcPr>
          <w:p w14:paraId="6BF674DF"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Uttar Pradesh</w:t>
            </w:r>
          </w:p>
        </w:tc>
        <w:tc>
          <w:tcPr>
            <w:tcW w:w="0" w:type="auto"/>
            <w:vAlign w:val="center"/>
            <w:hideMark/>
          </w:tcPr>
          <w:p w14:paraId="68EE9222"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20732.84</w:t>
            </w:r>
          </w:p>
        </w:tc>
        <w:tc>
          <w:tcPr>
            <w:tcW w:w="0" w:type="auto"/>
            <w:vAlign w:val="center"/>
            <w:hideMark/>
          </w:tcPr>
          <w:p w14:paraId="23691DC3"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24037.47</w:t>
            </w:r>
          </w:p>
        </w:tc>
        <w:tc>
          <w:tcPr>
            <w:tcW w:w="0" w:type="auto"/>
            <w:vAlign w:val="center"/>
            <w:hideMark/>
          </w:tcPr>
          <w:p w14:paraId="12A77B8A"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27598.52</w:t>
            </w:r>
          </w:p>
        </w:tc>
        <w:tc>
          <w:tcPr>
            <w:tcW w:w="0" w:type="auto"/>
            <w:vAlign w:val="center"/>
            <w:hideMark/>
          </w:tcPr>
          <w:p w14:paraId="3E3B0B5D"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30299.52</w:t>
            </w:r>
          </w:p>
        </w:tc>
        <w:tc>
          <w:tcPr>
            <w:tcW w:w="1278" w:type="dxa"/>
            <w:vAlign w:val="center"/>
            <w:hideMark/>
          </w:tcPr>
          <w:p w14:paraId="7A2FCB65"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102668.35</w:t>
            </w:r>
          </w:p>
        </w:tc>
        <w:tc>
          <w:tcPr>
            <w:tcW w:w="1417" w:type="dxa"/>
            <w:vAlign w:val="center"/>
            <w:hideMark/>
          </w:tcPr>
          <w:p w14:paraId="169ACF0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25667.09</w:t>
            </w:r>
          </w:p>
        </w:tc>
      </w:tr>
      <w:tr w:rsidR="009210C4" w:rsidRPr="00767C21" w14:paraId="0D772019" w14:textId="77777777" w:rsidTr="00C5201E">
        <w:trPr>
          <w:trHeight w:val="20"/>
          <w:jc w:val="center"/>
        </w:trPr>
        <w:tc>
          <w:tcPr>
            <w:tcW w:w="0" w:type="auto"/>
            <w:vAlign w:val="center"/>
            <w:hideMark/>
          </w:tcPr>
          <w:p w14:paraId="63C39E1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25.</w:t>
            </w:r>
          </w:p>
        </w:tc>
        <w:tc>
          <w:tcPr>
            <w:tcW w:w="0" w:type="auto"/>
            <w:vAlign w:val="center"/>
            <w:hideMark/>
          </w:tcPr>
          <w:p w14:paraId="629503DD"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sz w:val="16"/>
                <w:szCs w:val="16"/>
              </w:rPr>
              <w:t>West Bengal</w:t>
            </w:r>
          </w:p>
        </w:tc>
        <w:tc>
          <w:tcPr>
            <w:tcW w:w="0" w:type="auto"/>
            <w:vAlign w:val="center"/>
            <w:hideMark/>
          </w:tcPr>
          <w:p w14:paraId="09C22CE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9953.61</w:t>
            </w:r>
          </w:p>
        </w:tc>
        <w:tc>
          <w:tcPr>
            <w:tcW w:w="0" w:type="auto"/>
            <w:vAlign w:val="center"/>
            <w:hideMark/>
          </w:tcPr>
          <w:p w14:paraId="79403CF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11372.87</w:t>
            </w:r>
          </w:p>
        </w:tc>
        <w:tc>
          <w:tcPr>
            <w:tcW w:w="0" w:type="auto"/>
            <w:vAlign w:val="center"/>
            <w:hideMark/>
          </w:tcPr>
          <w:p w14:paraId="306F4398"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13225.54</w:t>
            </w:r>
          </w:p>
        </w:tc>
        <w:tc>
          <w:tcPr>
            <w:tcW w:w="0" w:type="auto"/>
            <w:vAlign w:val="center"/>
            <w:hideMark/>
          </w:tcPr>
          <w:p w14:paraId="3780E7E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13350.32</w:t>
            </w:r>
          </w:p>
        </w:tc>
        <w:tc>
          <w:tcPr>
            <w:tcW w:w="1278" w:type="dxa"/>
            <w:vAlign w:val="center"/>
            <w:hideMark/>
          </w:tcPr>
          <w:p w14:paraId="674C450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47902.34</w:t>
            </w:r>
          </w:p>
        </w:tc>
        <w:tc>
          <w:tcPr>
            <w:tcW w:w="1417" w:type="dxa"/>
            <w:vAlign w:val="center"/>
            <w:hideMark/>
          </w:tcPr>
          <w:p w14:paraId="74020B44"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11975.59</w:t>
            </w:r>
          </w:p>
        </w:tc>
      </w:tr>
      <w:tr w:rsidR="009210C4" w:rsidRPr="00767C21" w14:paraId="1C90F0A6" w14:textId="77777777" w:rsidTr="00C5201E">
        <w:trPr>
          <w:trHeight w:val="20"/>
          <w:jc w:val="center"/>
        </w:trPr>
        <w:tc>
          <w:tcPr>
            <w:tcW w:w="0" w:type="auto"/>
            <w:vAlign w:val="center"/>
            <w:hideMark/>
          </w:tcPr>
          <w:p w14:paraId="2E17243E" w14:textId="77777777" w:rsidR="009210C4" w:rsidRPr="00767C21" w:rsidRDefault="009210C4" w:rsidP="001D3365">
            <w:pPr>
              <w:pStyle w:val="NoSpacing"/>
              <w:jc w:val="center"/>
              <w:rPr>
                <w:rFonts w:ascii="Times New Roman" w:hAnsi="Times New Roman" w:cs="Times New Roman"/>
                <w:sz w:val="16"/>
                <w:szCs w:val="16"/>
              </w:rPr>
            </w:pPr>
          </w:p>
        </w:tc>
        <w:tc>
          <w:tcPr>
            <w:tcW w:w="0" w:type="auto"/>
            <w:vAlign w:val="center"/>
            <w:hideMark/>
          </w:tcPr>
          <w:p w14:paraId="48D62B1A" w14:textId="77777777" w:rsidR="009210C4" w:rsidRPr="00767C21" w:rsidRDefault="009210C4" w:rsidP="001D3365">
            <w:pPr>
              <w:pStyle w:val="NoSpacing"/>
              <w:rPr>
                <w:rFonts w:ascii="Times New Roman" w:hAnsi="Times New Roman" w:cs="Times New Roman"/>
                <w:sz w:val="16"/>
                <w:szCs w:val="16"/>
              </w:rPr>
            </w:pPr>
            <w:r w:rsidRPr="00767C21">
              <w:rPr>
                <w:rFonts w:ascii="Times New Roman" w:hAnsi="Times New Roman" w:cs="Times New Roman"/>
                <w:b/>
                <w:bCs/>
                <w:sz w:val="16"/>
                <w:szCs w:val="16"/>
              </w:rPr>
              <w:t>Total</w:t>
            </w:r>
          </w:p>
        </w:tc>
        <w:tc>
          <w:tcPr>
            <w:tcW w:w="0" w:type="auto"/>
            <w:vAlign w:val="center"/>
            <w:hideMark/>
          </w:tcPr>
          <w:p w14:paraId="5B40505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135400.55</w:t>
            </w:r>
          </w:p>
        </w:tc>
        <w:tc>
          <w:tcPr>
            <w:tcW w:w="0" w:type="auto"/>
            <w:vAlign w:val="center"/>
            <w:hideMark/>
          </w:tcPr>
          <w:p w14:paraId="4D57403F"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157922.79</w:t>
            </w:r>
          </w:p>
        </w:tc>
        <w:tc>
          <w:tcPr>
            <w:tcW w:w="0" w:type="auto"/>
            <w:vAlign w:val="center"/>
            <w:hideMark/>
          </w:tcPr>
          <w:p w14:paraId="27488987"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179269.54</w:t>
            </w:r>
          </w:p>
        </w:tc>
        <w:tc>
          <w:tcPr>
            <w:tcW w:w="0" w:type="auto"/>
            <w:vAlign w:val="center"/>
            <w:hideMark/>
          </w:tcPr>
          <w:p w14:paraId="24D0D550"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192475.77</w:t>
            </w:r>
          </w:p>
        </w:tc>
        <w:tc>
          <w:tcPr>
            <w:tcW w:w="1278" w:type="dxa"/>
            <w:vAlign w:val="center"/>
            <w:hideMark/>
          </w:tcPr>
          <w:p w14:paraId="7A942CA9"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665068.65</w:t>
            </w:r>
          </w:p>
        </w:tc>
        <w:tc>
          <w:tcPr>
            <w:tcW w:w="1417" w:type="dxa"/>
            <w:vAlign w:val="center"/>
            <w:hideMark/>
          </w:tcPr>
          <w:p w14:paraId="21823DFE" w14:textId="77777777" w:rsidR="009210C4" w:rsidRPr="00767C21" w:rsidRDefault="009210C4" w:rsidP="001D3365">
            <w:pPr>
              <w:pStyle w:val="NoSpacing"/>
              <w:jc w:val="center"/>
              <w:rPr>
                <w:rFonts w:ascii="Times New Roman" w:hAnsi="Times New Roman" w:cs="Times New Roman"/>
                <w:sz w:val="16"/>
                <w:szCs w:val="16"/>
              </w:rPr>
            </w:pPr>
            <w:r w:rsidRPr="00767C21">
              <w:rPr>
                <w:rFonts w:ascii="Times New Roman" w:hAnsi="Times New Roman" w:cs="Times New Roman"/>
                <w:b/>
                <w:bCs/>
                <w:sz w:val="16"/>
                <w:szCs w:val="16"/>
              </w:rPr>
              <w:t>166269.59</w:t>
            </w:r>
          </w:p>
        </w:tc>
      </w:tr>
    </w:tbl>
    <w:p w14:paraId="7646F759" w14:textId="5530166F" w:rsidR="00C03BA9" w:rsidRPr="00AA6AF4" w:rsidRDefault="00C03BA9" w:rsidP="009210C4">
      <w:pPr>
        <w:pStyle w:val="NoSpacing"/>
        <w:rPr>
          <w:rFonts w:ascii="Times New Roman" w:hAnsi="Times New Roman" w:cs="Times New Roman"/>
        </w:rPr>
      </w:pPr>
    </w:p>
    <w:p w14:paraId="54C7DAE4" w14:textId="3F5B6F16" w:rsidR="00260488" w:rsidRDefault="001D3365" w:rsidP="003F4F94">
      <w:pPr>
        <w:pStyle w:val="Heading2"/>
        <w:rPr>
          <w:sz w:val="20"/>
          <w:szCs w:val="20"/>
        </w:rPr>
      </w:pPr>
      <w:bookmarkStart w:id="109" w:name="_Toc221293013"/>
      <w:bookmarkStart w:id="110" w:name="_Toc222399502"/>
      <w:r w:rsidRPr="003F4F94">
        <w:rPr>
          <w:sz w:val="20"/>
          <w:szCs w:val="20"/>
        </w:rPr>
        <w:lastRenderedPageBreak/>
        <w:t xml:space="preserve">ANNEXURE </w:t>
      </w:r>
      <w:proofErr w:type="gramStart"/>
      <w:r w:rsidRPr="003F4F94">
        <w:rPr>
          <w:sz w:val="20"/>
          <w:szCs w:val="20"/>
        </w:rPr>
        <w:t>VI.I</w:t>
      </w:r>
      <w:proofErr w:type="gramEnd"/>
      <w:r w:rsidR="003F4F94" w:rsidRPr="003F4F94">
        <w:rPr>
          <w:sz w:val="20"/>
          <w:szCs w:val="20"/>
        </w:rPr>
        <w:br/>
      </w:r>
      <w:r w:rsidR="00260488" w:rsidRPr="003F4F94">
        <w:rPr>
          <w:sz w:val="20"/>
          <w:szCs w:val="20"/>
        </w:rPr>
        <w:t xml:space="preserve">Assistance Sought </w:t>
      </w:r>
      <w:proofErr w:type="gramStart"/>
      <w:r w:rsidR="00260488" w:rsidRPr="003F4F94">
        <w:rPr>
          <w:sz w:val="20"/>
          <w:szCs w:val="20"/>
        </w:rPr>
        <w:t>By</w:t>
      </w:r>
      <w:proofErr w:type="gramEnd"/>
      <w:r w:rsidR="00260488" w:rsidRPr="003F4F94">
        <w:rPr>
          <w:sz w:val="20"/>
          <w:szCs w:val="20"/>
        </w:rPr>
        <w:t xml:space="preserve"> the State and the Ceilings Approved By </w:t>
      </w:r>
      <w:r w:rsidR="00BA14EA" w:rsidRPr="003F4F94">
        <w:rPr>
          <w:sz w:val="20"/>
          <w:szCs w:val="20"/>
        </w:rPr>
        <w:t>the government of India</w:t>
      </w:r>
      <w:r w:rsidR="003F4F94">
        <w:rPr>
          <w:sz w:val="20"/>
          <w:szCs w:val="20"/>
        </w:rPr>
        <w:br/>
      </w:r>
      <w:r w:rsidR="00BA14EA" w:rsidRPr="003F4F94">
        <w:rPr>
          <w:sz w:val="20"/>
          <w:szCs w:val="20"/>
        </w:rPr>
        <w:t xml:space="preserve">during the year </w:t>
      </w:r>
      <w:r w:rsidR="00260488" w:rsidRPr="003F4F94">
        <w:rPr>
          <w:sz w:val="20"/>
          <w:szCs w:val="20"/>
        </w:rPr>
        <w:t>(1979-80 to 198</w:t>
      </w:r>
      <w:r w:rsidR="00BA14EA" w:rsidRPr="003F4F94">
        <w:rPr>
          <w:sz w:val="20"/>
          <w:szCs w:val="20"/>
        </w:rPr>
        <w:t>8</w:t>
      </w:r>
      <w:r w:rsidR="00260488" w:rsidRPr="003F4F94">
        <w:rPr>
          <w:sz w:val="20"/>
          <w:szCs w:val="20"/>
        </w:rPr>
        <w:t>-8</w:t>
      </w:r>
      <w:r w:rsidR="00BA14EA" w:rsidRPr="003F4F94">
        <w:rPr>
          <w:sz w:val="20"/>
          <w:szCs w:val="20"/>
        </w:rPr>
        <w:t>9</w:t>
      </w:r>
      <w:r w:rsidR="00260488" w:rsidRPr="003F4F94">
        <w:rPr>
          <w:sz w:val="20"/>
          <w:szCs w:val="20"/>
        </w:rPr>
        <w:t>)</w:t>
      </w:r>
      <w:bookmarkEnd w:id="109"/>
      <w:bookmarkEnd w:id="110"/>
    </w:p>
    <w:p w14:paraId="1693859C" w14:textId="4FC67065" w:rsidR="00767C21" w:rsidRPr="00767C21" w:rsidRDefault="00767C21" w:rsidP="00767C21">
      <w:pPr>
        <w:jc w:val="right"/>
        <w:rPr>
          <w:rFonts w:ascii="Times New Roman" w:hAnsi="Times New Roman" w:cs="Times New Roman"/>
          <w:i/>
          <w:iCs/>
          <w:sz w:val="20"/>
          <w:szCs w:val="18"/>
        </w:rPr>
      </w:pPr>
      <w:r w:rsidRPr="00767C21">
        <w:rPr>
          <w:rFonts w:ascii="Times New Roman" w:hAnsi="Times New Roman" w:cs="Times New Roman"/>
          <w:i/>
          <w:iCs/>
          <w:sz w:val="20"/>
          <w:szCs w:val="18"/>
        </w:rPr>
        <w:t>(Rs. Lakh)</w:t>
      </w:r>
    </w:p>
    <w:tbl>
      <w:tblPr>
        <w:tblW w:w="11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18"/>
        <w:gridCol w:w="996"/>
        <w:gridCol w:w="775"/>
        <w:gridCol w:w="950"/>
        <w:gridCol w:w="775"/>
        <w:gridCol w:w="950"/>
        <w:gridCol w:w="775"/>
        <w:gridCol w:w="950"/>
        <w:gridCol w:w="775"/>
        <w:gridCol w:w="950"/>
        <w:gridCol w:w="775"/>
        <w:gridCol w:w="950"/>
      </w:tblGrid>
      <w:tr w:rsidR="00861457" w:rsidRPr="004705D2" w14:paraId="4F32443B" w14:textId="77777777" w:rsidTr="00861457">
        <w:trPr>
          <w:trHeight w:val="21"/>
          <w:jc w:val="center"/>
        </w:trPr>
        <w:tc>
          <w:tcPr>
            <w:tcW w:w="502" w:type="dxa"/>
            <w:vMerge w:val="restart"/>
            <w:shd w:val="clear" w:color="000000" w:fill="FFFFFF"/>
            <w:vAlign w:val="center"/>
            <w:hideMark/>
          </w:tcPr>
          <w:p w14:paraId="71B8CE45" w14:textId="77777777" w:rsidR="00861457" w:rsidRPr="00767C21" w:rsidRDefault="00861457" w:rsidP="00861457">
            <w:pPr>
              <w:spacing w:after="0" w:line="240" w:lineRule="auto"/>
              <w:jc w:val="center"/>
              <w:rPr>
                <w:rFonts w:ascii="Arial" w:eastAsia="Times New Roman" w:hAnsi="Arial" w:cs="Arial"/>
                <w:b/>
                <w:bCs/>
                <w:color w:val="2B2D31"/>
                <w:kern w:val="0"/>
                <w:sz w:val="12"/>
                <w:szCs w:val="12"/>
                <w:lang w:eastAsia="en-IN"/>
                <w14:ligatures w14:val="none"/>
              </w:rPr>
            </w:pPr>
            <w:proofErr w:type="spellStart"/>
            <w:proofErr w:type="gramStart"/>
            <w:r w:rsidRPr="00767C21">
              <w:rPr>
                <w:rFonts w:ascii="Arial" w:eastAsia="Times New Roman" w:hAnsi="Arial" w:cs="Arial"/>
                <w:b/>
                <w:bCs/>
                <w:color w:val="2B2D31"/>
                <w:kern w:val="0"/>
                <w:sz w:val="12"/>
                <w:szCs w:val="12"/>
                <w:lang w:eastAsia="en-IN"/>
                <w14:ligatures w14:val="none"/>
              </w:rPr>
              <w:t>S.No</w:t>
            </w:r>
            <w:proofErr w:type="spellEnd"/>
            <w:proofErr w:type="gramEnd"/>
          </w:p>
        </w:tc>
        <w:tc>
          <w:tcPr>
            <w:tcW w:w="1118" w:type="dxa"/>
            <w:vMerge w:val="restart"/>
            <w:shd w:val="clear" w:color="000000" w:fill="FFFFFF"/>
            <w:vAlign w:val="center"/>
            <w:hideMark/>
          </w:tcPr>
          <w:p w14:paraId="59CE2639" w14:textId="77777777" w:rsidR="00861457" w:rsidRPr="00767C21" w:rsidRDefault="00861457" w:rsidP="00861457">
            <w:pPr>
              <w:spacing w:after="0" w:line="240" w:lineRule="auto"/>
              <w:jc w:val="center"/>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State</w:t>
            </w:r>
          </w:p>
        </w:tc>
        <w:tc>
          <w:tcPr>
            <w:tcW w:w="996" w:type="dxa"/>
            <w:vMerge w:val="restart"/>
            <w:shd w:val="clear" w:color="000000" w:fill="FFFFFF"/>
            <w:vAlign w:val="center"/>
            <w:hideMark/>
          </w:tcPr>
          <w:p w14:paraId="549D4DF8" w14:textId="77777777" w:rsidR="00861457" w:rsidRPr="00767C21" w:rsidRDefault="00861457" w:rsidP="00861457">
            <w:pPr>
              <w:spacing w:after="0" w:line="240" w:lineRule="auto"/>
              <w:jc w:val="center"/>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Calamity</w:t>
            </w:r>
          </w:p>
        </w:tc>
        <w:tc>
          <w:tcPr>
            <w:tcW w:w="1725" w:type="dxa"/>
            <w:gridSpan w:val="2"/>
            <w:noWrap/>
            <w:vAlign w:val="bottom"/>
            <w:hideMark/>
          </w:tcPr>
          <w:p w14:paraId="31C50733" w14:textId="77777777" w:rsidR="00861457" w:rsidRPr="00767C21" w:rsidRDefault="00861457"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1979-80</w:t>
            </w:r>
          </w:p>
        </w:tc>
        <w:tc>
          <w:tcPr>
            <w:tcW w:w="1725" w:type="dxa"/>
            <w:gridSpan w:val="2"/>
            <w:noWrap/>
            <w:vAlign w:val="bottom"/>
            <w:hideMark/>
          </w:tcPr>
          <w:p w14:paraId="6EB1FCC7" w14:textId="77777777" w:rsidR="00861457" w:rsidRPr="00767C21" w:rsidRDefault="00861457"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1980-81 </w:t>
            </w:r>
          </w:p>
        </w:tc>
        <w:tc>
          <w:tcPr>
            <w:tcW w:w="1725" w:type="dxa"/>
            <w:gridSpan w:val="2"/>
            <w:noWrap/>
            <w:vAlign w:val="bottom"/>
            <w:hideMark/>
          </w:tcPr>
          <w:p w14:paraId="3D3B428C" w14:textId="77777777" w:rsidR="00861457" w:rsidRPr="00767C21" w:rsidRDefault="00861457"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1981-82 </w:t>
            </w:r>
          </w:p>
        </w:tc>
        <w:tc>
          <w:tcPr>
            <w:tcW w:w="1725" w:type="dxa"/>
            <w:gridSpan w:val="2"/>
            <w:noWrap/>
            <w:vAlign w:val="bottom"/>
            <w:hideMark/>
          </w:tcPr>
          <w:p w14:paraId="2574D033" w14:textId="77777777" w:rsidR="00861457" w:rsidRPr="00767C21" w:rsidRDefault="00861457"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1982-83 </w:t>
            </w:r>
          </w:p>
        </w:tc>
        <w:tc>
          <w:tcPr>
            <w:tcW w:w="1725" w:type="dxa"/>
            <w:gridSpan w:val="2"/>
            <w:noWrap/>
            <w:vAlign w:val="bottom"/>
            <w:hideMark/>
          </w:tcPr>
          <w:p w14:paraId="0D63F81E" w14:textId="77777777" w:rsidR="00861457" w:rsidRPr="00767C21" w:rsidRDefault="00861457"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1983-84 </w:t>
            </w:r>
          </w:p>
        </w:tc>
      </w:tr>
      <w:tr w:rsidR="00861457" w:rsidRPr="004705D2" w14:paraId="519328AA" w14:textId="77777777" w:rsidTr="00861457">
        <w:trPr>
          <w:trHeight w:val="21"/>
          <w:jc w:val="center"/>
        </w:trPr>
        <w:tc>
          <w:tcPr>
            <w:tcW w:w="502" w:type="dxa"/>
            <w:vMerge/>
            <w:vAlign w:val="center"/>
            <w:hideMark/>
          </w:tcPr>
          <w:p w14:paraId="56706127" w14:textId="77777777" w:rsidR="00861457" w:rsidRPr="00767C21" w:rsidRDefault="00861457" w:rsidP="00861457">
            <w:pPr>
              <w:spacing w:after="0" w:line="240" w:lineRule="auto"/>
              <w:rPr>
                <w:rFonts w:ascii="Arial" w:eastAsia="Times New Roman" w:hAnsi="Arial" w:cs="Arial"/>
                <w:b/>
                <w:bCs/>
                <w:color w:val="2B2D31"/>
                <w:kern w:val="0"/>
                <w:sz w:val="12"/>
                <w:szCs w:val="12"/>
                <w:lang w:eastAsia="en-IN"/>
                <w14:ligatures w14:val="none"/>
              </w:rPr>
            </w:pPr>
          </w:p>
        </w:tc>
        <w:tc>
          <w:tcPr>
            <w:tcW w:w="1118" w:type="dxa"/>
            <w:vMerge/>
            <w:vAlign w:val="center"/>
            <w:hideMark/>
          </w:tcPr>
          <w:p w14:paraId="304BE737" w14:textId="77777777" w:rsidR="00861457" w:rsidRPr="00767C21" w:rsidRDefault="00861457" w:rsidP="00861457">
            <w:pPr>
              <w:spacing w:after="0" w:line="240" w:lineRule="auto"/>
              <w:rPr>
                <w:rFonts w:ascii="Arial" w:eastAsia="Times New Roman" w:hAnsi="Arial" w:cs="Arial"/>
                <w:b/>
                <w:bCs/>
                <w:color w:val="2B2D31"/>
                <w:kern w:val="0"/>
                <w:sz w:val="12"/>
                <w:szCs w:val="12"/>
                <w:lang w:eastAsia="en-IN"/>
                <w14:ligatures w14:val="none"/>
              </w:rPr>
            </w:pPr>
          </w:p>
        </w:tc>
        <w:tc>
          <w:tcPr>
            <w:tcW w:w="996" w:type="dxa"/>
            <w:vMerge/>
            <w:vAlign w:val="center"/>
            <w:hideMark/>
          </w:tcPr>
          <w:p w14:paraId="6AF1FED9" w14:textId="77777777" w:rsidR="00861457" w:rsidRPr="00767C21" w:rsidRDefault="00861457" w:rsidP="00861457">
            <w:pPr>
              <w:spacing w:after="0" w:line="240" w:lineRule="auto"/>
              <w:rPr>
                <w:rFonts w:ascii="Arial" w:eastAsia="Times New Roman" w:hAnsi="Arial" w:cs="Arial"/>
                <w:b/>
                <w:bCs/>
                <w:color w:val="2B2D31"/>
                <w:kern w:val="0"/>
                <w:sz w:val="12"/>
                <w:szCs w:val="12"/>
                <w:lang w:eastAsia="en-IN"/>
                <w14:ligatures w14:val="none"/>
              </w:rPr>
            </w:pPr>
          </w:p>
        </w:tc>
        <w:tc>
          <w:tcPr>
            <w:tcW w:w="775" w:type="dxa"/>
            <w:shd w:val="clear" w:color="000000" w:fill="FFFFFF"/>
            <w:vAlign w:val="center"/>
            <w:hideMark/>
          </w:tcPr>
          <w:p w14:paraId="60CAAAD0" w14:textId="791F0F88" w:rsidR="00861457" w:rsidRPr="00767C21" w:rsidRDefault="00861457" w:rsidP="00861457">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 xml:space="preserve"> Sought</w:t>
            </w:r>
          </w:p>
        </w:tc>
        <w:tc>
          <w:tcPr>
            <w:tcW w:w="950" w:type="dxa"/>
            <w:shd w:val="clear" w:color="000000" w:fill="FFFFFF"/>
            <w:vAlign w:val="center"/>
            <w:hideMark/>
          </w:tcPr>
          <w:p w14:paraId="5A07E1A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775" w:type="dxa"/>
            <w:shd w:val="clear" w:color="000000" w:fill="FFFFFF"/>
            <w:vAlign w:val="center"/>
            <w:hideMark/>
          </w:tcPr>
          <w:p w14:paraId="7B679ED3" w14:textId="77777777" w:rsidR="00861457" w:rsidRPr="00767C21" w:rsidRDefault="00861457" w:rsidP="00861457">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 xml:space="preserve"> Sought</w:t>
            </w:r>
          </w:p>
        </w:tc>
        <w:tc>
          <w:tcPr>
            <w:tcW w:w="950" w:type="dxa"/>
            <w:shd w:val="clear" w:color="000000" w:fill="FFFFFF"/>
            <w:vAlign w:val="center"/>
            <w:hideMark/>
          </w:tcPr>
          <w:p w14:paraId="5144ED7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775" w:type="dxa"/>
            <w:shd w:val="clear" w:color="000000" w:fill="FFFFFF"/>
            <w:vAlign w:val="center"/>
            <w:hideMark/>
          </w:tcPr>
          <w:p w14:paraId="5C573FA7" w14:textId="37A3D44F"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950" w:type="dxa"/>
            <w:shd w:val="clear" w:color="000000" w:fill="FFFFFF"/>
            <w:vAlign w:val="center"/>
            <w:hideMark/>
          </w:tcPr>
          <w:p w14:paraId="1A31DDC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775" w:type="dxa"/>
            <w:shd w:val="clear" w:color="000000" w:fill="FFFFFF"/>
            <w:vAlign w:val="center"/>
            <w:hideMark/>
          </w:tcPr>
          <w:p w14:paraId="06171682" w14:textId="2314B6F0"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950" w:type="dxa"/>
            <w:shd w:val="clear" w:color="000000" w:fill="FFFFFF"/>
            <w:vAlign w:val="center"/>
            <w:hideMark/>
          </w:tcPr>
          <w:p w14:paraId="3EC7379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775" w:type="dxa"/>
            <w:shd w:val="clear" w:color="000000" w:fill="FFFFFF"/>
            <w:vAlign w:val="center"/>
            <w:hideMark/>
          </w:tcPr>
          <w:p w14:paraId="7BAB944F" w14:textId="6CBADFAA"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950" w:type="dxa"/>
            <w:shd w:val="clear" w:color="000000" w:fill="FFFFFF"/>
            <w:vAlign w:val="center"/>
            <w:hideMark/>
          </w:tcPr>
          <w:p w14:paraId="0065845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r>
      <w:tr w:rsidR="00861457" w:rsidRPr="004705D2" w14:paraId="331F2053" w14:textId="77777777" w:rsidTr="00861457">
        <w:trPr>
          <w:trHeight w:val="21"/>
          <w:jc w:val="center"/>
        </w:trPr>
        <w:tc>
          <w:tcPr>
            <w:tcW w:w="502" w:type="dxa"/>
            <w:shd w:val="clear" w:color="000000" w:fill="FFFFFF"/>
            <w:vAlign w:val="center"/>
            <w:hideMark/>
          </w:tcPr>
          <w:p w14:paraId="158BF5E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w:t>
            </w:r>
          </w:p>
        </w:tc>
        <w:tc>
          <w:tcPr>
            <w:tcW w:w="1118" w:type="dxa"/>
            <w:shd w:val="clear" w:color="000000" w:fill="FFFFFF"/>
            <w:vAlign w:val="center"/>
            <w:hideMark/>
          </w:tcPr>
          <w:p w14:paraId="35654F3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Andhra Pradesh</w:t>
            </w:r>
          </w:p>
        </w:tc>
        <w:tc>
          <w:tcPr>
            <w:tcW w:w="996" w:type="dxa"/>
            <w:shd w:val="clear" w:color="000000" w:fill="FFFFFF"/>
            <w:vAlign w:val="center"/>
            <w:hideMark/>
          </w:tcPr>
          <w:p w14:paraId="0A9E03C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6B046FC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14482</w:t>
            </w:r>
          </w:p>
        </w:tc>
        <w:tc>
          <w:tcPr>
            <w:tcW w:w="950" w:type="dxa"/>
            <w:shd w:val="clear" w:color="000000" w:fill="FFFFFF"/>
            <w:vAlign w:val="center"/>
            <w:hideMark/>
          </w:tcPr>
          <w:p w14:paraId="2440970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6122</w:t>
            </w:r>
          </w:p>
        </w:tc>
        <w:tc>
          <w:tcPr>
            <w:tcW w:w="775" w:type="dxa"/>
            <w:shd w:val="clear" w:color="000000" w:fill="FFFFFF"/>
            <w:vAlign w:val="center"/>
            <w:hideMark/>
          </w:tcPr>
          <w:p w14:paraId="5CEFE0C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1495</w:t>
            </w:r>
          </w:p>
        </w:tc>
        <w:tc>
          <w:tcPr>
            <w:tcW w:w="950" w:type="dxa"/>
            <w:shd w:val="clear" w:color="000000" w:fill="FFFFFF"/>
            <w:vAlign w:val="center"/>
            <w:hideMark/>
          </w:tcPr>
          <w:p w14:paraId="79902E2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848</w:t>
            </w:r>
          </w:p>
        </w:tc>
        <w:tc>
          <w:tcPr>
            <w:tcW w:w="775" w:type="dxa"/>
            <w:shd w:val="clear" w:color="000000" w:fill="FFFFFF"/>
            <w:vAlign w:val="center"/>
            <w:hideMark/>
          </w:tcPr>
          <w:p w14:paraId="2B48716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265</w:t>
            </w:r>
          </w:p>
        </w:tc>
        <w:tc>
          <w:tcPr>
            <w:tcW w:w="950" w:type="dxa"/>
            <w:shd w:val="clear" w:color="000000" w:fill="FFFFFF"/>
            <w:vAlign w:val="center"/>
            <w:hideMark/>
          </w:tcPr>
          <w:p w14:paraId="15335C6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82</w:t>
            </w:r>
          </w:p>
        </w:tc>
        <w:tc>
          <w:tcPr>
            <w:tcW w:w="775" w:type="dxa"/>
            <w:shd w:val="clear" w:color="000000" w:fill="FFFFFF"/>
            <w:vAlign w:val="center"/>
            <w:hideMark/>
          </w:tcPr>
          <w:p w14:paraId="6E6CA90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99DEBB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40534</w:t>
            </w:r>
          </w:p>
        </w:tc>
        <w:tc>
          <w:tcPr>
            <w:tcW w:w="775" w:type="dxa"/>
            <w:shd w:val="clear" w:color="000000" w:fill="FFFFFF"/>
            <w:vAlign w:val="center"/>
            <w:hideMark/>
          </w:tcPr>
          <w:p w14:paraId="1A692B9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9671</w:t>
            </w:r>
          </w:p>
        </w:tc>
        <w:tc>
          <w:tcPr>
            <w:tcW w:w="950" w:type="dxa"/>
            <w:shd w:val="clear" w:color="000000" w:fill="FFFFFF"/>
            <w:vAlign w:val="center"/>
            <w:hideMark/>
          </w:tcPr>
          <w:p w14:paraId="4FBA24B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47E73295" w14:textId="77777777" w:rsidTr="00861457">
        <w:trPr>
          <w:trHeight w:val="21"/>
          <w:jc w:val="center"/>
        </w:trPr>
        <w:tc>
          <w:tcPr>
            <w:tcW w:w="502" w:type="dxa"/>
            <w:shd w:val="clear" w:color="000000" w:fill="FFFFFF"/>
            <w:vAlign w:val="center"/>
            <w:hideMark/>
          </w:tcPr>
          <w:p w14:paraId="4C27F18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36AD9E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535924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1338E20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28071</w:t>
            </w:r>
          </w:p>
        </w:tc>
        <w:tc>
          <w:tcPr>
            <w:tcW w:w="950" w:type="dxa"/>
            <w:shd w:val="clear" w:color="000000" w:fill="FFFFFF"/>
            <w:vAlign w:val="center"/>
            <w:hideMark/>
          </w:tcPr>
          <w:p w14:paraId="0844815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2206</w:t>
            </w:r>
          </w:p>
        </w:tc>
        <w:tc>
          <w:tcPr>
            <w:tcW w:w="775" w:type="dxa"/>
            <w:shd w:val="clear" w:color="000000" w:fill="FFFFFF"/>
            <w:vAlign w:val="center"/>
            <w:hideMark/>
          </w:tcPr>
          <w:p w14:paraId="472282B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22788</w:t>
            </w:r>
          </w:p>
        </w:tc>
        <w:tc>
          <w:tcPr>
            <w:tcW w:w="950" w:type="dxa"/>
            <w:shd w:val="clear" w:color="000000" w:fill="FFFFFF"/>
            <w:vAlign w:val="center"/>
            <w:hideMark/>
          </w:tcPr>
          <w:p w14:paraId="11FD11A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4297</w:t>
            </w:r>
          </w:p>
        </w:tc>
        <w:tc>
          <w:tcPr>
            <w:tcW w:w="775" w:type="dxa"/>
            <w:shd w:val="clear" w:color="000000" w:fill="FFFFFF"/>
            <w:vAlign w:val="center"/>
            <w:hideMark/>
          </w:tcPr>
          <w:p w14:paraId="349AFA7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10583</w:t>
            </w:r>
          </w:p>
        </w:tc>
        <w:tc>
          <w:tcPr>
            <w:tcW w:w="950" w:type="dxa"/>
            <w:shd w:val="clear" w:color="000000" w:fill="FFFFFF"/>
            <w:vAlign w:val="center"/>
            <w:hideMark/>
          </w:tcPr>
          <w:p w14:paraId="3887E6B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2625</w:t>
            </w:r>
          </w:p>
        </w:tc>
        <w:tc>
          <w:tcPr>
            <w:tcW w:w="775" w:type="dxa"/>
            <w:shd w:val="clear" w:color="000000" w:fill="FFFFFF"/>
            <w:vAlign w:val="center"/>
            <w:hideMark/>
          </w:tcPr>
          <w:p w14:paraId="50AC11B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22024</w:t>
            </w:r>
          </w:p>
        </w:tc>
        <w:tc>
          <w:tcPr>
            <w:tcW w:w="950" w:type="dxa"/>
            <w:shd w:val="clear" w:color="000000" w:fill="FFFFFF"/>
            <w:vAlign w:val="center"/>
            <w:hideMark/>
          </w:tcPr>
          <w:p w14:paraId="74307BA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6077</w:t>
            </w:r>
          </w:p>
        </w:tc>
        <w:tc>
          <w:tcPr>
            <w:tcW w:w="775" w:type="dxa"/>
            <w:shd w:val="clear" w:color="000000" w:fill="FFFFFF"/>
            <w:vAlign w:val="center"/>
            <w:hideMark/>
          </w:tcPr>
          <w:p w14:paraId="0303F41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16512</w:t>
            </w:r>
          </w:p>
        </w:tc>
        <w:tc>
          <w:tcPr>
            <w:tcW w:w="950" w:type="dxa"/>
            <w:shd w:val="clear" w:color="000000" w:fill="FFFFFF"/>
            <w:vAlign w:val="center"/>
            <w:hideMark/>
          </w:tcPr>
          <w:p w14:paraId="49B88C3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2826</w:t>
            </w:r>
          </w:p>
        </w:tc>
      </w:tr>
      <w:tr w:rsidR="00861457" w:rsidRPr="004705D2" w14:paraId="32C751BE" w14:textId="77777777" w:rsidTr="00861457">
        <w:trPr>
          <w:trHeight w:val="21"/>
          <w:jc w:val="center"/>
        </w:trPr>
        <w:tc>
          <w:tcPr>
            <w:tcW w:w="502" w:type="dxa"/>
            <w:shd w:val="clear" w:color="000000" w:fill="FFFFFF"/>
            <w:vAlign w:val="center"/>
            <w:hideMark/>
          </w:tcPr>
          <w:p w14:paraId="0B8C558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1B8BB0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6EC103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69365CC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42553</w:t>
            </w:r>
          </w:p>
        </w:tc>
        <w:tc>
          <w:tcPr>
            <w:tcW w:w="950" w:type="dxa"/>
            <w:shd w:val="clear" w:color="000000" w:fill="FFFFFF"/>
            <w:vAlign w:val="center"/>
            <w:hideMark/>
          </w:tcPr>
          <w:p w14:paraId="659124F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8328</w:t>
            </w:r>
          </w:p>
        </w:tc>
        <w:tc>
          <w:tcPr>
            <w:tcW w:w="775" w:type="dxa"/>
            <w:shd w:val="clear" w:color="000000" w:fill="FFFFFF"/>
            <w:vAlign w:val="center"/>
            <w:hideMark/>
          </w:tcPr>
          <w:p w14:paraId="0C44E5B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24195</w:t>
            </w:r>
          </w:p>
        </w:tc>
        <w:tc>
          <w:tcPr>
            <w:tcW w:w="950" w:type="dxa"/>
            <w:shd w:val="clear" w:color="000000" w:fill="FFFFFF"/>
            <w:vAlign w:val="center"/>
            <w:hideMark/>
          </w:tcPr>
          <w:p w14:paraId="4A2C5A5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5137</w:t>
            </w:r>
          </w:p>
        </w:tc>
        <w:tc>
          <w:tcPr>
            <w:tcW w:w="775" w:type="dxa"/>
            <w:shd w:val="clear" w:color="000000" w:fill="FFFFFF"/>
            <w:vAlign w:val="center"/>
            <w:hideMark/>
          </w:tcPr>
          <w:p w14:paraId="2293A24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10768</w:t>
            </w:r>
          </w:p>
        </w:tc>
        <w:tc>
          <w:tcPr>
            <w:tcW w:w="950" w:type="dxa"/>
            <w:shd w:val="clear" w:color="000000" w:fill="FFFFFF"/>
            <w:vAlign w:val="center"/>
            <w:hideMark/>
          </w:tcPr>
          <w:p w14:paraId="14C5B81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2707</w:t>
            </w:r>
          </w:p>
        </w:tc>
        <w:tc>
          <w:tcPr>
            <w:tcW w:w="775" w:type="dxa"/>
            <w:shd w:val="clear" w:color="000000" w:fill="FFFFFF"/>
            <w:vAlign w:val="center"/>
            <w:hideMark/>
          </w:tcPr>
          <w:p w14:paraId="00332D1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22024</w:t>
            </w:r>
          </w:p>
        </w:tc>
        <w:tc>
          <w:tcPr>
            <w:tcW w:w="950" w:type="dxa"/>
            <w:shd w:val="clear" w:color="000000" w:fill="FFFFFF"/>
            <w:vAlign w:val="center"/>
            <w:hideMark/>
          </w:tcPr>
          <w:p w14:paraId="46554E5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6077</w:t>
            </w:r>
          </w:p>
        </w:tc>
        <w:tc>
          <w:tcPr>
            <w:tcW w:w="775" w:type="dxa"/>
            <w:shd w:val="clear" w:color="000000" w:fill="FFFFFF"/>
            <w:vAlign w:val="center"/>
            <w:hideMark/>
          </w:tcPr>
          <w:p w14:paraId="51ABB6B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57046</w:t>
            </w:r>
          </w:p>
        </w:tc>
        <w:tc>
          <w:tcPr>
            <w:tcW w:w="950" w:type="dxa"/>
            <w:shd w:val="clear" w:color="000000" w:fill="FFFFFF"/>
            <w:vAlign w:val="center"/>
            <w:hideMark/>
          </w:tcPr>
          <w:p w14:paraId="438DD23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12497</w:t>
            </w:r>
          </w:p>
        </w:tc>
      </w:tr>
      <w:tr w:rsidR="00861457" w:rsidRPr="004705D2" w14:paraId="4168F194" w14:textId="77777777" w:rsidTr="00861457">
        <w:trPr>
          <w:trHeight w:val="21"/>
          <w:jc w:val="center"/>
        </w:trPr>
        <w:tc>
          <w:tcPr>
            <w:tcW w:w="502" w:type="dxa"/>
            <w:shd w:val="clear" w:color="000000" w:fill="FFFFFF"/>
            <w:vAlign w:val="center"/>
            <w:hideMark/>
          </w:tcPr>
          <w:p w14:paraId="2397A8D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w:t>
            </w:r>
          </w:p>
        </w:tc>
        <w:tc>
          <w:tcPr>
            <w:tcW w:w="1118" w:type="dxa"/>
            <w:shd w:val="clear" w:color="000000" w:fill="FFFFFF"/>
            <w:vAlign w:val="center"/>
            <w:hideMark/>
          </w:tcPr>
          <w:p w14:paraId="0C35DAA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Arunachal Pradesh</w:t>
            </w:r>
          </w:p>
        </w:tc>
        <w:tc>
          <w:tcPr>
            <w:tcW w:w="996" w:type="dxa"/>
            <w:shd w:val="clear" w:color="000000" w:fill="FFFFFF"/>
            <w:vAlign w:val="center"/>
            <w:hideMark/>
          </w:tcPr>
          <w:p w14:paraId="09125DF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20AB74A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CA796D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452A45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176E57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94E9E1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8139C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35DBFB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E912E2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2A4FB2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E44687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36AE9E05" w14:textId="77777777" w:rsidTr="00861457">
        <w:trPr>
          <w:trHeight w:val="21"/>
          <w:jc w:val="center"/>
        </w:trPr>
        <w:tc>
          <w:tcPr>
            <w:tcW w:w="502" w:type="dxa"/>
            <w:shd w:val="clear" w:color="000000" w:fill="FFFFFF"/>
            <w:vAlign w:val="center"/>
            <w:hideMark/>
          </w:tcPr>
          <w:p w14:paraId="72088BC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CE69F3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677DA7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7F0542B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7DCB8B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9A6859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460C90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00CE81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A3065F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DC483A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6FA9B9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72FE37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33656D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3942BC74" w14:textId="77777777" w:rsidTr="00861457">
        <w:trPr>
          <w:trHeight w:val="21"/>
          <w:jc w:val="center"/>
        </w:trPr>
        <w:tc>
          <w:tcPr>
            <w:tcW w:w="502" w:type="dxa"/>
            <w:shd w:val="clear" w:color="000000" w:fill="FFFFFF"/>
            <w:vAlign w:val="center"/>
            <w:hideMark/>
          </w:tcPr>
          <w:p w14:paraId="63F101D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FDFFDF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F1E4E9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08BA8FC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82A048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7EFD97D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61B6443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286374E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0A889EF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3647CD9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BA6DB7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4B3F4F1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56CAB30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r>
      <w:tr w:rsidR="00861457" w:rsidRPr="004705D2" w14:paraId="0952191F" w14:textId="77777777" w:rsidTr="00861457">
        <w:trPr>
          <w:trHeight w:val="21"/>
          <w:jc w:val="center"/>
        </w:trPr>
        <w:tc>
          <w:tcPr>
            <w:tcW w:w="502" w:type="dxa"/>
            <w:shd w:val="clear" w:color="000000" w:fill="FFFFFF"/>
            <w:vAlign w:val="center"/>
            <w:hideMark/>
          </w:tcPr>
          <w:p w14:paraId="50448EB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w:t>
            </w:r>
          </w:p>
        </w:tc>
        <w:tc>
          <w:tcPr>
            <w:tcW w:w="1118" w:type="dxa"/>
            <w:shd w:val="clear" w:color="000000" w:fill="FFFFFF"/>
            <w:vAlign w:val="center"/>
            <w:hideMark/>
          </w:tcPr>
          <w:p w14:paraId="71242E3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Assam</w:t>
            </w:r>
          </w:p>
        </w:tc>
        <w:tc>
          <w:tcPr>
            <w:tcW w:w="996" w:type="dxa"/>
            <w:shd w:val="clear" w:color="000000" w:fill="FFFFFF"/>
            <w:vAlign w:val="center"/>
            <w:hideMark/>
          </w:tcPr>
          <w:p w14:paraId="140DDA1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72752DD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1628</w:t>
            </w:r>
          </w:p>
        </w:tc>
        <w:tc>
          <w:tcPr>
            <w:tcW w:w="950" w:type="dxa"/>
            <w:shd w:val="clear" w:color="000000" w:fill="FFFFFF"/>
            <w:vAlign w:val="center"/>
            <w:hideMark/>
          </w:tcPr>
          <w:p w14:paraId="146BE6B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456</w:t>
            </w:r>
          </w:p>
        </w:tc>
        <w:tc>
          <w:tcPr>
            <w:tcW w:w="775" w:type="dxa"/>
            <w:shd w:val="clear" w:color="000000" w:fill="FFFFFF"/>
            <w:vAlign w:val="center"/>
            <w:hideMark/>
          </w:tcPr>
          <w:p w14:paraId="0A7E1C0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3437</w:t>
            </w:r>
          </w:p>
        </w:tc>
        <w:tc>
          <w:tcPr>
            <w:tcW w:w="950" w:type="dxa"/>
            <w:shd w:val="clear" w:color="000000" w:fill="FFFFFF"/>
            <w:vAlign w:val="center"/>
            <w:hideMark/>
          </w:tcPr>
          <w:p w14:paraId="2304DD9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1272</w:t>
            </w:r>
          </w:p>
        </w:tc>
        <w:tc>
          <w:tcPr>
            <w:tcW w:w="775" w:type="dxa"/>
            <w:shd w:val="clear" w:color="000000" w:fill="FFFFFF"/>
            <w:vAlign w:val="center"/>
            <w:hideMark/>
          </w:tcPr>
          <w:p w14:paraId="0CB6403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6CABE6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AF713E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2484</w:t>
            </w:r>
          </w:p>
        </w:tc>
        <w:tc>
          <w:tcPr>
            <w:tcW w:w="950" w:type="dxa"/>
            <w:shd w:val="clear" w:color="000000" w:fill="FFFFFF"/>
            <w:vAlign w:val="center"/>
            <w:hideMark/>
          </w:tcPr>
          <w:p w14:paraId="23C3CF1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947</w:t>
            </w:r>
          </w:p>
        </w:tc>
        <w:tc>
          <w:tcPr>
            <w:tcW w:w="775" w:type="dxa"/>
            <w:shd w:val="clear" w:color="000000" w:fill="FFFFFF"/>
            <w:vAlign w:val="center"/>
            <w:hideMark/>
          </w:tcPr>
          <w:p w14:paraId="29EBE87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5257</w:t>
            </w:r>
          </w:p>
        </w:tc>
        <w:tc>
          <w:tcPr>
            <w:tcW w:w="950" w:type="dxa"/>
            <w:shd w:val="clear" w:color="000000" w:fill="FFFFFF"/>
            <w:vAlign w:val="center"/>
            <w:hideMark/>
          </w:tcPr>
          <w:p w14:paraId="5A40F70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1107</w:t>
            </w:r>
          </w:p>
        </w:tc>
      </w:tr>
      <w:tr w:rsidR="00861457" w:rsidRPr="004705D2" w14:paraId="2E96F2B8" w14:textId="77777777" w:rsidTr="00861457">
        <w:trPr>
          <w:trHeight w:val="21"/>
          <w:jc w:val="center"/>
        </w:trPr>
        <w:tc>
          <w:tcPr>
            <w:tcW w:w="502" w:type="dxa"/>
            <w:shd w:val="clear" w:color="000000" w:fill="FFFFFF"/>
            <w:vAlign w:val="center"/>
            <w:hideMark/>
          </w:tcPr>
          <w:p w14:paraId="2D9A6F9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8B89A1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7CFC968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0127DD5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869</w:t>
            </w:r>
          </w:p>
        </w:tc>
        <w:tc>
          <w:tcPr>
            <w:tcW w:w="950" w:type="dxa"/>
            <w:shd w:val="clear" w:color="000000" w:fill="FFFFFF"/>
            <w:vAlign w:val="center"/>
            <w:hideMark/>
          </w:tcPr>
          <w:p w14:paraId="7163F94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640</w:t>
            </w:r>
          </w:p>
        </w:tc>
        <w:tc>
          <w:tcPr>
            <w:tcW w:w="775" w:type="dxa"/>
            <w:shd w:val="clear" w:color="000000" w:fill="FFFFFF"/>
            <w:vAlign w:val="center"/>
            <w:hideMark/>
          </w:tcPr>
          <w:p w14:paraId="235FC18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B8F88F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C87604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0853BC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2529BF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636B47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BB7041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725C22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12911066" w14:textId="77777777" w:rsidTr="00861457">
        <w:trPr>
          <w:trHeight w:val="21"/>
          <w:jc w:val="center"/>
        </w:trPr>
        <w:tc>
          <w:tcPr>
            <w:tcW w:w="502" w:type="dxa"/>
            <w:shd w:val="clear" w:color="000000" w:fill="FFFFFF"/>
            <w:vAlign w:val="center"/>
            <w:hideMark/>
          </w:tcPr>
          <w:p w14:paraId="6FEA436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09298A7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19B2817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701D00C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2497</w:t>
            </w:r>
          </w:p>
        </w:tc>
        <w:tc>
          <w:tcPr>
            <w:tcW w:w="950" w:type="dxa"/>
            <w:shd w:val="clear" w:color="000000" w:fill="FFFFFF"/>
            <w:vAlign w:val="center"/>
            <w:hideMark/>
          </w:tcPr>
          <w:p w14:paraId="23B3B0A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1096</w:t>
            </w:r>
          </w:p>
        </w:tc>
        <w:tc>
          <w:tcPr>
            <w:tcW w:w="775" w:type="dxa"/>
            <w:shd w:val="clear" w:color="000000" w:fill="FFFFFF"/>
            <w:vAlign w:val="center"/>
            <w:hideMark/>
          </w:tcPr>
          <w:p w14:paraId="3F8BDE5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3437</w:t>
            </w:r>
          </w:p>
        </w:tc>
        <w:tc>
          <w:tcPr>
            <w:tcW w:w="950" w:type="dxa"/>
            <w:shd w:val="clear" w:color="000000" w:fill="FFFFFF"/>
            <w:vAlign w:val="center"/>
            <w:hideMark/>
          </w:tcPr>
          <w:p w14:paraId="73DD7EE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1272</w:t>
            </w:r>
          </w:p>
        </w:tc>
        <w:tc>
          <w:tcPr>
            <w:tcW w:w="775" w:type="dxa"/>
            <w:shd w:val="clear" w:color="000000" w:fill="FFFFFF"/>
            <w:vAlign w:val="center"/>
            <w:hideMark/>
          </w:tcPr>
          <w:p w14:paraId="13595E5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66844ED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7CD2AE1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2484</w:t>
            </w:r>
          </w:p>
        </w:tc>
        <w:tc>
          <w:tcPr>
            <w:tcW w:w="950" w:type="dxa"/>
            <w:shd w:val="clear" w:color="000000" w:fill="FFFFFF"/>
            <w:vAlign w:val="center"/>
            <w:hideMark/>
          </w:tcPr>
          <w:p w14:paraId="396E2DA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947</w:t>
            </w:r>
          </w:p>
        </w:tc>
        <w:tc>
          <w:tcPr>
            <w:tcW w:w="775" w:type="dxa"/>
            <w:shd w:val="clear" w:color="000000" w:fill="FFFFFF"/>
            <w:vAlign w:val="center"/>
            <w:hideMark/>
          </w:tcPr>
          <w:p w14:paraId="52D9620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5257</w:t>
            </w:r>
          </w:p>
        </w:tc>
        <w:tc>
          <w:tcPr>
            <w:tcW w:w="950" w:type="dxa"/>
            <w:shd w:val="clear" w:color="000000" w:fill="FFFFFF"/>
            <w:vAlign w:val="center"/>
            <w:hideMark/>
          </w:tcPr>
          <w:p w14:paraId="7891F5D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1107</w:t>
            </w:r>
          </w:p>
        </w:tc>
      </w:tr>
      <w:tr w:rsidR="00861457" w:rsidRPr="004705D2" w14:paraId="5E19C660" w14:textId="77777777" w:rsidTr="00861457">
        <w:trPr>
          <w:trHeight w:val="21"/>
          <w:jc w:val="center"/>
        </w:trPr>
        <w:tc>
          <w:tcPr>
            <w:tcW w:w="502" w:type="dxa"/>
            <w:shd w:val="clear" w:color="000000" w:fill="FFFFFF"/>
            <w:vAlign w:val="center"/>
            <w:hideMark/>
          </w:tcPr>
          <w:p w14:paraId="622EE40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w:t>
            </w:r>
          </w:p>
        </w:tc>
        <w:tc>
          <w:tcPr>
            <w:tcW w:w="1118" w:type="dxa"/>
            <w:shd w:val="clear" w:color="000000" w:fill="FFFFFF"/>
            <w:vAlign w:val="center"/>
            <w:hideMark/>
          </w:tcPr>
          <w:p w14:paraId="3BEFE67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Bihar</w:t>
            </w:r>
          </w:p>
        </w:tc>
        <w:tc>
          <w:tcPr>
            <w:tcW w:w="996" w:type="dxa"/>
            <w:shd w:val="clear" w:color="000000" w:fill="FFFFFF"/>
            <w:vAlign w:val="center"/>
            <w:hideMark/>
          </w:tcPr>
          <w:p w14:paraId="7D696D5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5093D9E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31C2BB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AC6FF4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8980</w:t>
            </w:r>
          </w:p>
        </w:tc>
        <w:tc>
          <w:tcPr>
            <w:tcW w:w="950" w:type="dxa"/>
            <w:shd w:val="clear" w:color="000000" w:fill="FFFFFF"/>
            <w:vAlign w:val="center"/>
            <w:hideMark/>
          </w:tcPr>
          <w:p w14:paraId="3F3C05C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2647</w:t>
            </w:r>
          </w:p>
        </w:tc>
        <w:tc>
          <w:tcPr>
            <w:tcW w:w="775" w:type="dxa"/>
            <w:shd w:val="clear" w:color="000000" w:fill="FFFFFF"/>
            <w:vAlign w:val="center"/>
            <w:hideMark/>
          </w:tcPr>
          <w:p w14:paraId="7CB7A6E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7865</w:t>
            </w:r>
          </w:p>
        </w:tc>
        <w:tc>
          <w:tcPr>
            <w:tcW w:w="950" w:type="dxa"/>
            <w:shd w:val="clear" w:color="000000" w:fill="FFFFFF"/>
            <w:vAlign w:val="center"/>
            <w:hideMark/>
          </w:tcPr>
          <w:p w14:paraId="2C8A911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2074</w:t>
            </w:r>
          </w:p>
        </w:tc>
        <w:tc>
          <w:tcPr>
            <w:tcW w:w="775" w:type="dxa"/>
            <w:shd w:val="clear" w:color="000000" w:fill="FFFFFF"/>
            <w:vAlign w:val="center"/>
            <w:hideMark/>
          </w:tcPr>
          <w:p w14:paraId="5AECB01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6378</w:t>
            </w:r>
          </w:p>
        </w:tc>
        <w:tc>
          <w:tcPr>
            <w:tcW w:w="950" w:type="dxa"/>
            <w:shd w:val="clear" w:color="000000" w:fill="FFFFFF"/>
            <w:vAlign w:val="center"/>
            <w:hideMark/>
          </w:tcPr>
          <w:p w14:paraId="452B430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1748</w:t>
            </w:r>
          </w:p>
        </w:tc>
        <w:tc>
          <w:tcPr>
            <w:tcW w:w="775" w:type="dxa"/>
            <w:shd w:val="clear" w:color="000000" w:fill="FFFFFF"/>
            <w:vAlign w:val="center"/>
            <w:hideMark/>
          </w:tcPr>
          <w:p w14:paraId="27B869D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8C163A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0B905583" w14:textId="77777777" w:rsidTr="00861457">
        <w:trPr>
          <w:trHeight w:val="21"/>
          <w:jc w:val="center"/>
        </w:trPr>
        <w:tc>
          <w:tcPr>
            <w:tcW w:w="502" w:type="dxa"/>
            <w:shd w:val="clear" w:color="000000" w:fill="FFFFFF"/>
            <w:vAlign w:val="center"/>
            <w:hideMark/>
          </w:tcPr>
          <w:p w14:paraId="1DDC4B9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74D676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F83C78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5D8B923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4307</w:t>
            </w:r>
          </w:p>
        </w:tc>
        <w:tc>
          <w:tcPr>
            <w:tcW w:w="950" w:type="dxa"/>
            <w:shd w:val="clear" w:color="000000" w:fill="FFFFFF"/>
            <w:vAlign w:val="center"/>
            <w:hideMark/>
          </w:tcPr>
          <w:p w14:paraId="4E74221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1182</w:t>
            </w:r>
          </w:p>
        </w:tc>
        <w:tc>
          <w:tcPr>
            <w:tcW w:w="775" w:type="dxa"/>
            <w:shd w:val="clear" w:color="000000" w:fill="FFFFFF"/>
            <w:vAlign w:val="center"/>
            <w:hideMark/>
          </w:tcPr>
          <w:p w14:paraId="584CA05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9290</w:t>
            </w:r>
          </w:p>
        </w:tc>
        <w:tc>
          <w:tcPr>
            <w:tcW w:w="950" w:type="dxa"/>
            <w:shd w:val="clear" w:color="000000" w:fill="FFFFFF"/>
            <w:vAlign w:val="center"/>
            <w:hideMark/>
          </w:tcPr>
          <w:p w14:paraId="0EB067E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2482</w:t>
            </w:r>
          </w:p>
        </w:tc>
        <w:tc>
          <w:tcPr>
            <w:tcW w:w="775" w:type="dxa"/>
            <w:shd w:val="clear" w:color="000000" w:fill="FFFFFF"/>
            <w:vAlign w:val="center"/>
            <w:hideMark/>
          </w:tcPr>
          <w:p w14:paraId="208FB0A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3791AC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8047CB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23430</w:t>
            </w:r>
          </w:p>
        </w:tc>
        <w:tc>
          <w:tcPr>
            <w:tcW w:w="950" w:type="dxa"/>
            <w:shd w:val="clear" w:color="000000" w:fill="FFFFFF"/>
            <w:vAlign w:val="center"/>
            <w:hideMark/>
          </w:tcPr>
          <w:p w14:paraId="7F32269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2501</w:t>
            </w:r>
          </w:p>
        </w:tc>
        <w:tc>
          <w:tcPr>
            <w:tcW w:w="775" w:type="dxa"/>
            <w:shd w:val="clear" w:color="000000" w:fill="FFFFFF"/>
            <w:vAlign w:val="center"/>
            <w:hideMark/>
          </w:tcPr>
          <w:p w14:paraId="41FF571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7457</w:t>
            </w:r>
          </w:p>
        </w:tc>
        <w:tc>
          <w:tcPr>
            <w:tcW w:w="950" w:type="dxa"/>
            <w:shd w:val="clear" w:color="000000" w:fill="FFFFFF"/>
            <w:vAlign w:val="center"/>
            <w:hideMark/>
          </w:tcPr>
          <w:p w14:paraId="7BBC8D9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898</w:t>
            </w:r>
          </w:p>
        </w:tc>
      </w:tr>
      <w:tr w:rsidR="00861457" w:rsidRPr="004705D2" w14:paraId="79F415D5" w14:textId="77777777" w:rsidTr="00861457">
        <w:trPr>
          <w:trHeight w:val="21"/>
          <w:jc w:val="center"/>
        </w:trPr>
        <w:tc>
          <w:tcPr>
            <w:tcW w:w="502" w:type="dxa"/>
            <w:shd w:val="clear" w:color="000000" w:fill="FFFFFF"/>
            <w:vAlign w:val="center"/>
            <w:hideMark/>
          </w:tcPr>
          <w:p w14:paraId="3B2D480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5331DCC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AF0D2F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43DAC29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4307</w:t>
            </w:r>
          </w:p>
        </w:tc>
        <w:tc>
          <w:tcPr>
            <w:tcW w:w="950" w:type="dxa"/>
            <w:shd w:val="clear" w:color="000000" w:fill="FFFFFF"/>
            <w:vAlign w:val="center"/>
            <w:hideMark/>
          </w:tcPr>
          <w:p w14:paraId="3A68322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1182</w:t>
            </w:r>
          </w:p>
        </w:tc>
        <w:tc>
          <w:tcPr>
            <w:tcW w:w="775" w:type="dxa"/>
            <w:shd w:val="clear" w:color="000000" w:fill="FFFFFF"/>
            <w:vAlign w:val="center"/>
            <w:hideMark/>
          </w:tcPr>
          <w:p w14:paraId="4A58384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16270</w:t>
            </w:r>
          </w:p>
        </w:tc>
        <w:tc>
          <w:tcPr>
            <w:tcW w:w="950" w:type="dxa"/>
            <w:shd w:val="clear" w:color="000000" w:fill="FFFFFF"/>
            <w:vAlign w:val="center"/>
            <w:hideMark/>
          </w:tcPr>
          <w:p w14:paraId="357444F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5129</w:t>
            </w:r>
          </w:p>
        </w:tc>
        <w:tc>
          <w:tcPr>
            <w:tcW w:w="775" w:type="dxa"/>
            <w:shd w:val="clear" w:color="000000" w:fill="FFFFFF"/>
            <w:vAlign w:val="center"/>
            <w:hideMark/>
          </w:tcPr>
          <w:p w14:paraId="4886F95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7865</w:t>
            </w:r>
          </w:p>
        </w:tc>
        <w:tc>
          <w:tcPr>
            <w:tcW w:w="950" w:type="dxa"/>
            <w:shd w:val="clear" w:color="000000" w:fill="FFFFFF"/>
            <w:vAlign w:val="center"/>
            <w:hideMark/>
          </w:tcPr>
          <w:p w14:paraId="7D188C9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2074</w:t>
            </w:r>
          </w:p>
        </w:tc>
        <w:tc>
          <w:tcPr>
            <w:tcW w:w="775" w:type="dxa"/>
            <w:shd w:val="clear" w:color="000000" w:fill="FFFFFF"/>
            <w:vAlign w:val="center"/>
            <w:hideMark/>
          </w:tcPr>
          <w:p w14:paraId="31D6851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29808</w:t>
            </w:r>
          </w:p>
        </w:tc>
        <w:tc>
          <w:tcPr>
            <w:tcW w:w="950" w:type="dxa"/>
            <w:shd w:val="clear" w:color="000000" w:fill="FFFFFF"/>
            <w:vAlign w:val="center"/>
            <w:hideMark/>
          </w:tcPr>
          <w:p w14:paraId="0DBC0C7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4249</w:t>
            </w:r>
          </w:p>
        </w:tc>
        <w:tc>
          <w:tcPr>
            <w:tcW w:w="775" w:type="dxa"/>
            <w:shd w:val="clear" w:color="000000" w:fill="FFFFFF"/>
            <w:vAlign w:val="center"/>
            <w:hideMark/>
          </w:tcPr>
          <w:p w14:paraId="0235D2B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7457</w:t>
            </w:r>
          </w:p>
        </w:tc>
        <w:tc>
          <w:tcPr>
            <w:tcW w:w="950" w:type="dxa"/>
            <w:shd w:val="clear" w:color="000000" w:fill="FFFFFF"/>
            <w:vAlign w:val="center"/>
            <w:hideMark/>
          </w:tcPr>
          <w:p w14:paraId="65E0BE5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898</w:t>
            </w:r>
          </w:p>
        </w:tc>
      </w:tr>
      <w:tr w:rsidR="00861457" w:rsidRPr="004705D2" w14:paraId="4609A725" w14:textId="77777777" w:rsidTr="00861457">
        <w:trPr>
          <w:trHeight w:val="21"/>
          <w:jc w:val="center"/>
        </w:trPr>
        <w:tc>
          <w:tcPr>
            <w:tcW w:w="502" w:type="dxa"/>
            <w:shd w:val="clear" w:color="000000" w:fill="FFFFFF"/>
            <w:vAlign w:val="center"/>
            <w:hideMark/>
          </w:tcPr>
          <w:p w14:paraId="23F67CA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w:t>
            </w:r>
          </w:p>
        </w:tc>
        <w:tc>
          <w:tcPr>
            <w:tcW w:w="1118" w:type="dxa"/>
            <w:shd w:val="clear" w:color="000000" w:fill="FFFFFF"/>
            <w:vAlign w:val="center"/>
            <w:hideMark/>
          </w:tcPr>
          <w:p w14:paraId="4217BD7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Goa</w:t>
            </w:r>
          </w:p>
        </w:tc>
        <w:tc>
          <w:tcPr>
            <w:tcW w:w="996" w:type="dxa"/>
            <w:shd w:val="clear" w:color="000000" w:fill="FFFFFF"/>
            <w:vAlign w:val="center"/>
            <w:hideMark/>
          </w:tcPr>
          <w:p w14:paraId="23CD93E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20AF7B1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712762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A4B8A9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F1177B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C2A505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E580D1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2FBFBA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7F1577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0B5FD8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0CBD07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586A832D" w14:textId="77777777" w:rsidTr="00861457">
        <w:trPr>
          <w:trHeight w:val="21"/>
          <w:jc w:val="center"/>
        </w:trPr>
        <w:tc>
          <w:tcPr>
            <w:tcW w:w="502" w:type="dxa"/>
            <w:shd w:val="clear" w:color="000000" w:fill="FFFFFF"/>
            <w:vAlign w:val="center"/>
            <w:hideMark/>
          </w:tcPr>
          <w:p w14:paraId="7B5E139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6321E62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686B0B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183755A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DDE698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88207F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F77D4D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32BF9D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91BA0F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3FBF07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345B87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4C1700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BF3F0D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599E4FEE" w14:textId="77777777" w:rsidTr="00861457">
        <w:trPr>
          <w:trHeight w:val="21"/>
          <w:jc w:val="center"/>
        </w:trPr>
        <w:tc>
          <w:tcPr>
            <w:tcW w:w="502" w:type="dxa"/>
            <w:shd w:val="clear" w:color="000000" w:fill="FFFFFF"/>
            <w:vAlign w:val="center"/>
            <w:hideMark/>
          </w:tcPr>
          <w:p w14:paraId="09373BE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702C02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F915AF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765BEA0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3F2D299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42A2529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68481E0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31B61B2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323CDB7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63BB7F4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2B0F937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0F99756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0D38DDB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r>
      <w:tr w:rsidR="00861457" w:rsidRPr="004705D2" w14:paraId="77F2FF91" w14:textId="77777777" w:rsidTr="00861457">
        <w:trPr>
          <w:trHeight w:val="21"/>
          <w:jc w:val="center"/>
        </w:trPr>
        <w:tc>
          <w:tcPr>
            <w:tcW w:w="502" w:type="dxa"/>
            <w:shd w:val="clear" w:color="000000" w:fill="FFFFFF"/>
            <w:vAlign w:val="center"/>
            <w:hideMark/>
          </w:tcPr>
          <w:p w14:paraId="296D3BD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w:t>
            </w:r>
          </w:p>
        </w:tc>
        <w:tc>
          <w:tcPr>
            <w:tcW w:w="1118" w:type="dxa"/>
            <w:shd w:val="clear" w:color="000000" w:fill="FFFFFF"/>
            <w:vAlign w:val="center"/>
            <w:hideMark/>
          </w:tcPr>
          <w:p w14:paraId="5E9EAEC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Gujarat</w:t>
            </w:r>
          </w:p>
        </w:tc>
        <w:tc>
          <w:tcPr>
            <w:tcW w:w="996" w:type="dxa"/>
            <w:shd w:val="clear" w:color="000000" w:fill="FFFFFF"/>
            <w:vAlign w:val="center"/>
            <w:hideMark/>
          </w:tcPr>
          <w:p w14:paraId="08A30CA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7229947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13929</w:t>
            </w:r>
          </w:p>
        </w:tc>
        <w:tc>
          <w:tcPr>
            <w:tcW w:w="950" w:type="dxa"/>
            <w:shd w:val="clear" w:color="000000" w:fill="FFFFFF"/>
            <w:vAlign w:val="center"/>
            <w:hideMark/>
          </w:tcPr>
          <w:p w14:paraId="4031C11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5060</w:t>
            </w:r>
          </w:p>
        </w:tc>
        <w:tc>
          <w:tcPr>
            <w:tcW w:w="775" w:type="dxa"/>
            <w:shd w:val="clear" w:color="000000" w:fill="FFFFFF"/>
            <w:vAlign w:val="center"/>
            <w:hideMark/>
          </w:tcPr>
          <w:p w14:paraId="4FC8A49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6129</w:t>
            </w:r>
          </w:p>
        </w:tc>
        <w:tc>
          <w:tcPr>
            <w:tcW w:w="950" w:type="dxa"/>
            <w:shd w:val="clear" w:color="000000" w:fill="FFFFFF"/>
            <w:vAlign w:val="center"/>
            <w:hideMark/>
          </w:tcPr>
          <w:p w14:paraId="5F5EC82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1898</w:t>
            </w:r>
          </w:p>
        </w:tc>
        <w:tc>
          <w:tcPr>
            <w:tcW w:w="775" w:type="dxa"/>
            <w:shd w:val="clear" w:color="000000" w:fill="FFFFFF"/>
            <w:vAlign w:val="center"/>
            <w:hideMark/>
          </w:tcPr>
          <w:p w14:paraId="5232AE0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D4B458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BB6C64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30002</w:t>
            </w:r>
          </w:p>
        </w:tc>
        <w:tc>
          <w:tcPr>
            <w:tcW w:w="950" w:type="dxa"/>
            <w:shd w:val="clear" w:color="000000" w:fill="FFFFFF"/>
            <w:vAlign w:val="center"/>
            <w:hideMark/>
          </w:tcPr>
          <w:p w14:paraId="3DE145D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7291</w:t>
            </w:r>
          </w:p>
        </w:tc>
        <w:tc>
          <w:tcPr>
            <w:tcW w:w="775" w:type="dxa"/>
            <w:shd w:val="clear" w:color="000000" w:fill="FFFFFF"/>
            <w:vAlign w:val="center"/>
            <w:hideMark/>
          </w:tcPr>
          <w:p w14:paraId="064238B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16685</w:t>
            </w:r>
          </w:p>
        </w:tc>
        <w:tc>
          <w:tcPr>
            <w:tcW w:w="950" w:type="dxa"/>
            <w:shd w:val="clear" w:color="000000" w:fill="FFFFFF"/>
            <w:vAlign w:val="center"/>
            <w:hideMark/>
          </w:tcPr>
          <w:p w14:paraId="3586302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4367</w:t>
            </w:r>
          </w:p>
        </w:tc>
      </w:tr>
      <w:tr w:rsidR="00861457" w:rsidRPr="004705D2" w14:paraId="515405D2" w14:textId="77777777" w:rsidTr="00861457">
        <w:trPr>
          <w:trHeight w:val="21"/>
          <w:jc w:val="center"/>
        </w:trPr>
        <w:tc>
          <w:tcPr>
            <w:tcW w:w="502" w:type="dxa"/>
            <w:shd w:val="clear" w:color="000000" w:fill="FFFFFF"/>
            <w:vAlign w:val="center"/>
            <w:hideMark/>
          </w:tcPr>
          <w:p w14:paraId="404359F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2DFD93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109CBD1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680EF87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15FCB2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3012E5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4298</w:t>
            </w:r>
          </w:p>
        </w:tc>
        <w:tc>
          <w:tcPr>
            <w:tcW w:w="950" w:type="dxa"/>
            <w:shd w:val="clear" w:color="000000" w:fill="FFFFFF"/>
            <w:vAlign w:val="center"/>
            <w:hideMark/>
          </w:tcPr>
          <w:p w14:paraId="0F5ADE8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612</w:t>
            </w:r>
          </w:p>
        </w:tc>
        <w:tc>
          <w:tcPr>
            <w:tcW w:w="775" w:type="dxa"/>
            <w:shd w:val="clear" w:color="000000" w:fill="FFFFFF"/>
            <w:vAlign w:val="center"/>
            <w:hideMark/>
          </w:tcPr>
          <w:p w14:paraId="2C169EC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AD52C2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F0CA0E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20197</w:t>
            </w:r>
          </w:p>
        </w:tc>
        <w:tc>
          <w:tcPr>
            <w:tcW w:w="950" w:type="dxa"/>
            <w:shd w:val="clear" w:color="000000" w:fill="FFFFFF"/>
            <w:vAlign w:val="center"/>
            <w:hideMark/>
          </w:tcPr>
          <w:p w14:paraId="0286713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3060</w:t>
            </w:r>
          </w:p>
        </w:tc>
        <w:tc>
          <w:tcPr>
            <w:tcW w:w="775" w:type="dxa"/>
            <w:shd w:val="clear" w:color="000000" w:fill="FFFFFF"/>
            <w:vAlign w:val="center"/>
            <w:hideMark/>
          </w:tcPr>
          <w:p w14:paraId="7AB187D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7B54CE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918</w:t>
            </w:r>
          </w:p>
        </w:tc>
      </w:tr>
      <w:tr w:rsidR="00861457" w:rsidRPr="004705D2" w14:paraId="33C150EB" w14:textId="77777777" w:rsidTr="00861457">
        <w:trPr>
          <w:trHeight w:val="21"/>
          <w:jc w:val="center"/>
        </w:trPr>
        <w:tc>
          <w:tcPr>
            <w:tcW w:w="502" w:type="dxa"/>
            <w:shd w:val="clear" w:color="000000" w:fill="FFFFFF"/>
            <w:vAlign w:val="center"/>
            <w:hideMark/>
          </w:tcPr>
          <w:p w14:paraId="1F70233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C035A8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17B4E8A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124F037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13929</w:t>
            </w:r>
          </w:p>
        </w:tc>
        <w:tc>
          <w:tcPr>
            <w:tcW w:w="950" w:type="dxa"/>
            <w:shd w:val="clear" w:color="000000" w:fill="FFFFFF"/>
            <w:vAlign w:val="center"/>
            <w:hideMark/>
          </w:tcPr>
          <w:p w14:paraId="7C441B0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5060</w:t>
            </w:r>
          </w:p>
        </w:tc>
        <w:tc>
          <w:tcPr>
            <w:tcW w:w="775" w:type="dxa"/>
            <w:shd w:val="clear" w:color="000000" w:fill="FFFFFF"/>
            <w:vAlign w:val="center"/>
            <w:hideMark/>
          </w:tcPr>
          <w:p w14:paraId="5BCCF97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10427</w:t>
            </w:r>
          </w:p>
        </w:tc>
        <w:tc>
          <w:tcPr>
            <w:tcW w:w="950" w:type="dxa"/>
            <w:shd w:val="clear" w:color="000000" w:fill="FFFFFF"/>
            <w:vAlign w:val="center"/>
            <w:hideMark/>
          </w:tcPr>
          <w:p w14:paraId="618B06B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2510</w:t>
            </w:r>
          </w:p>
        </w:tc>
        <w:tc>
          <w:tcPr>
            <w:tcW w:w="775" w:type="dxa"/>
            <w:shd w:val="clear" w:color="000000" w:fill="FFFFFF"/>
            <w:vAlign w:val="center"/>
            <w:hideMark/>
          </w:tcPr>
          <w:p w14:paraId="2D8CCAE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0D5103D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780E307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50199</w:t>
            </w:r>
          </w:p>
        </w:tc>
        <w:tc>
          <w:tcPr>
            <w:tcW w:w="950" w:type="dxa"/>
            <w:shd w:val="clear" w:color="000000" w:fill="FFFFFF"/>
            <w:vAlign w:val="center"/>
            <w:hideMark/>
          </w:tcPr>
          <w:p w14:paraId="536636B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10351</w:t>
            </w:r>
          </w:p>
        </w:tc>
        <w:tc>
          <w:tcPr>
            <w:tcW w:w="775" w:type="dxa"/>
            <w:shd w:val="clear" w:color="000000" w:fill="FFFFFF"/>
            <w:vAlign w:val="center"/>
            <w:hideMark/>
          </w:tcPr>
          <w:p w14:paraId="134F1E6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16685</w:t>
            </w:r>
          </w:p>
        </w:tc>
        <w:tc>
          <w:tcPr>
            <w:tcW w:w="950" w:type="dxa"/>
            <w:shd w:val="clear" w:color="000000" w:fill="FFFFFF"/>
            <w:vAlign w:val="center"/>
            <w:hideMark/>
          </w:tcPr>
          <w:p w14:paraId="5D4ED15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5285</w:t>
            </w:r>
          </w:p>
        </w:tc>
      </w:tr>
      <w:tr w:rsidR="00861457" w:rsidRPr="004705D2" w14:paraId="32A87393" w14:textId="77777777" w:rsidTr="00861457">
        <w:trPr>
          <w:trHeight w:val="21"/>
          <w:jc w:val="center"/>
        </w:trPr>
        <w:tc>
          <w:tcPr>
            <w:tcW w:w="502" w:type="dxa"/>
            <w:shd w:val="clear" w:color="000000" w:fill="FFFFFF"/>
            <w:vAlign w:val="center"/>
            <w:hideMark/>
          </w:tcPr>
          <w:p w14:paraId="1A4A133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w:t>
            </w:r>
          </w:p>
        </w:tc>
        <w:tc>
          <w:tcPr>
            <w:tcW w:w="1118" w:type="dxa"/>
            <w:shd w:val="clear" w:color="000000" w:fill="FFFFFF"/>
            <w:vAlign w:val="center"/>
            <w:hideMark/>
          </w:tcPr>
          <w:p w14:paraId="26CF5E7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Haryana</w:t>
            </w:r>
          </w:p>
        </w:tc>
        <w:tc>
          <w:tcPr>
            <w:tcW w:w="996" w:type="dxa"/>
            <w:shd w:val="clear" w:color="000000" w:fill="FFFFFF"/>
            <w:vAlign w:val="center"/>
            <w:hideMark/>
          </w:tcPr>
          <w:p w14:paraId="7C6824B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42557BB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478D3D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A645C5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2466</w:t>
            </w:r>
          </w:p>
        </w:tc>
        <w:tc>
          <w:tcPr>
            <w:tcW w:w="950" w:type="dxa"/>
            <w:shd w:val="clear" w:color="000000" w:fill="FFFFFF"/>
            <w:vAlign w:val="center"/>
            <w:hideMark/>
          </w:tcPr>
          <w:p w14:paraId="4738338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524</w:t>
            </w:r>
          </w:p>
        </w:tc>
        <w:tc>
          <w:tcPr>
            <w:tcW w:w="775" w:type="dxa"/>
            <w:shd w:val="clear" w:color="000000" w:fill="FFFFFF"/>
            <w:vAlign w:val="center"/>
            <w:hideMark/>
          </w:tcPr>
          <w:p w14:paraId="521D906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33A328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AB2820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2639</w:t>
            </w:r>
          </w:p>
        </w:tc>
        <w:tc>
          <w:tcPr>
            <w:tcW w:w="950" w:type="dxa"/>
            <w:shd w:val="clear" w:color="000000" w:fill="FFFFFF"/>
            <w:vAlign w:val="center"/>
            <w:hideMark/>
          </w:tcPr>
          <w:p w14:paraId="2D33E7F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175</w:t>
            </w:r>
          </w:p>
        </w:tc>
        <w:tc>
          <w:tcPr>
            <w:tcW w:w="775" w:type="dxa"/>
            <w:shd w:val="clear" w:color="000000" w:fill="FFFFFF"/>
            <w:vAlign w:val="center"/>
            <w:hideMark/>
          </w:tcPr>
          <w:p w14:paraId="3B57C8D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10337</w:t>
            </w:r>
          </w:p>
        </w:tc>
        <w:tc>
          <w:tcPr>
            <w:tcW w:w="950" w:type="dxa"/>
            <w:shd w:val="clear" w:color="000000" w:fill="FFFFFF"/>
            <w:vAlign w:val="center"/>
            <w:hideMark/>
          </w:tcPr>
          <w:p w14:paraId="31C0206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1707</w:t>
            </w:r>
          </w:p>
        </w:tc>
      </w:tr>
      <w:tr w:rsidR="00861457" w:rsidRPr="004705D2" w14:paraId="71487D89" w14:textId="77777777" w:rsidTr="00861457">
        <w:trPr>
          <w:trHeight w:val="21"/>
          <w:jc w:val="center"/>
        </w:trPr>
        <w:tc>
          <w:tcPr>
            <w:tcW w:w="502" w:type="dxa"/>
            <w:shd w:val="clear" w:color="000000" w:fill="FFFFFF"/>
            <w:vAlign w:val="center"/>
            <w:hideMark/>
          </w:tcPr>
          <w:p w14:paraId="0366ABE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4DDFDD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360B03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4F544EB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2532</w:t>
            </w:r>
          </w:p>
        </w:tc>
        <w:tc>
          <w:tcPr>
            <w:tcW w:w="950" w:type="dxa"/>
            <w:shd w:val="clear" w:color="000000" w:fill="FFFFFF"/>
            <w:vAlign w:val="center"/>
            <w:hideMark/>
          </w:tcPr>
          <w:p w14:paraId="705DD46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450</w:t>
            </w:r>
          </w:p>
        </w:tc>
        <w:tc>
          <w:tcPr>
            <w:tcW w:w="775" w:type="dxa"/>
            <w:shd w:val="clear" w:color="000000" w:fill="FFFFFF"/>
            <w:vAlign w:val="center"/>
            <w:hideMark/>
          </w:tcPr>
          <w:p w14:paraId="5AAA0CD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3879</w:t>
            </w:r>
          </w:p>
        </w:tc>
        <w:tc>
          <w:tcPr>
            <w:tcW w:w="950" w:type="dxa"/>
            <w:shd w:val="clear" w:color="000000" w:fill="FFFFFF"/>
            <w:vAlign w:val="center"/>
            <w:hideMark/>
          </w:tcPr>
          <w:p w14:paraId="48BA9DF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402</w:t>
            </w:r>
          </w:p>
        </w:tc>
        <w:tc>
          <w:tcPr>
            <w:tcW w:w="775" w:type="dxa"/>
            <w:shd w:val="clear" w:color="000000" w:fill="FFFFFF"/>
            <w:vAlign w:val="center"/>
            <w:hideMark/>
          </w:tcPr>
          <w:p w14:paraId="3A4A159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12263</w:t>
            </w:r>
          </w:p>
        </w:tc>
        <w:tc>
          <w:tcPr>
            <w:tcW w:w="950" w:type="dxa"/>
            <w:shd w:val="clear" w:color="000000" w:fill="FFFFFF"/>
            <w:vAlign w:val="center"/>
            <w:hideMark/>
          </w:tcPr>
          <w:p w14:paraId="472B496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825</w:t>
            </w:r>
          </w:p>
        </w:tc>
        <w:tc>
          <w:tcPr>
            <w:tcW w:w="775" w:type="dxa"/>
            <w:shd w:val="clear" w:color="000000" w:fill="FFFFFF"/>
            <w:vAlign w:val="center"/>
            <w:hideMark/>
          </w:tcPr>
          <w:p w14:paraId="62ABBE7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8405</w:t>
            </w:r>
          </w:p>
        </w:tc>
        <w:tc>
          <w:tcPr>
            <w:tcW w:w="950" w:type="dxa"/>
            <w:shd w:val="clear" w:color="000000" w:fill="FFFFFF"/>
            <w:vAlign w:val="center"/>
            <w:hideMark/>
          </w:tcPr>
          <w:p w14:paraId="71B606E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1182</w:t>
            </w:r>
          </w:p>
        </w:tc>
        <w:tc>
          <w:tcPr>
            <w:tcW w:w="775" w:type="dxa"/>
            <w:shd w:val="clear" w:color="000000" w:fill="FFFFFF"/>
            <w:vAlign w:val="center"/>
            <w:hideMark/>
          </w:tcPr>
          <w:p w14:paraId="6F34F1C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D2BB84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03B8C4B0" w14:textId="77777777" w:rsidTr="00861457">
        <w:trPr>
          <w:trHeight w:val="21"/>
          <w:jc w:val="center"/>
        </w:trPr>
        <w:tc>
          <w:tcPr>
            <w:tcW w:w="502" w:type="dxa"/>
            <w:shd w:val="clear" w:color="000000" w:fill="FFFFFF"/>
            <w:vAlign w:val="center"/>
            <w:hideMark/>
          </w:tcPr>
          <w:p w14:paraId="0504EE8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93E768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C56AEB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0479F58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2532</w:t>
            </w:r>
          </w:p>
        </w:tc>
        <w:tc>
          <w:tcPr>
            <w:tcW w:w="950" w:type="dxa"/>
            <w:shd w:val="clear" w:color="000000" w:fill="FFFFFF"/>
            <w:vAlign w:val="center"/>
            <w:hideMark/>
          </w:tcPr>
          <w:p w14:paraId="55CE163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450</w:t>
            </w:r>
          </w:p>
        </w:tc>
        <w:tc>
          <w:tcPr>
            <w:tcW w:w="775" w:type="dxa"/>
            <w:shd w:val="clear" w:color="000000" w:fill="FFFFFF"/>
            <w:vAlign w:val="center"/>
            <w:hideMark/>
          </w:tcPr>
          <w:p w14:paraId="5E36F65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6345</w:t>
            </w:r>
          </w:p>
        </w:tc>
        <w:tc>
          <w:tcPr>
            <w:tcW w:w="950" w:type="dxa"/>
            <w:shd w:val="clear" w:color="000000" w:fill="FFFFFF"/>
            <w:vAlign w:val="center"/>
            <w:hideMark/>
          </w:tcPr>
          <w:p w14:paraId="7D95A14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926</w:t>
            </w:r>
          </w:p>
        </w:tc>
        <w:tc>
          <w:tcPr>
            <w:tcW w:w="775" w:type="dxa"/>
            <w:shd w:val="clear" w:color="000000" w:fill="FFFFFF"/>
            <w:vAlign w:val="center"/>
            <w:hideMark/>
          </w:tcPr>
          <w:p w14:paraId="7058FEA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12263</w:t>
            </w:r>
          </w:p>
        </w:tc>
        <w:tc>
          <w:tcPr>
            <w:tcW w:w="950" w:type="dxa"/>
            <w:shd w:val="clear" w:color="000000" w:fill="FFFFFF"/>
            <w:vAlign w:val="center"/>
            <w:hideMark/>
          </w:tcPr>
          <w:p w14:paraId="212F239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825</w:t>
            </w:r>
          </w:p>
        </w:tc>
        <w:tc>
          <w:tcPr>
            <w:tcW w:w="775" w:type="dxa"/>
            <w:shd w:val="clear" w:color="000000" w:fill="FFFFFF"/>
            <w:vAlign w:val="center"/>
            <w:hideMark/>
          </w:tcPr>
          <w:p w14:paraId="2876261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11044</w:t>
            </w:r>
          </w:p>
        </w:tc>
        <w:tc>
          <w:tcPr>
            <w:tcW w:w="950" w:type="dxa"/>
            <w:shd w:val="clear" w:color="000000" w:fill="FFFFFF"/>
            <w:vAlign w:val="center"/>
            <w:hideMark/>
          </w:tcPr>
          <w:p w14:paraId="57A0E57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1357</w:t>
            </w:r>
          </w:p>
        </w:tc>
        <w:tc>
          <w:tcPr>
            <w:tcW w:w="775" w:type="dxa"/>
            <w:shd w:val="clear" w:color="000000" w:fill="FFFFFF"/>
            <w:vAlign w:val="center"/>
            <w:hideMark/>
          </w:tcPr>
          <w:p w14:paraId="529042F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10337</w:t>
            </w:r>
          </w:p>
        </w:tc>
        <w:tc>
          <w:tcPr>
            <w:tcW w:w="950" w:type="dxa"/>
            <w:shd w:val="clear" w:color="000000" w:fill="FFFFFF"/>
            <w:vAlign w:val="center"/>
            <w:hideMark/>
          </w:tcPr>
          <w:p w14:paraId="0366398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1707</w:t>
            </w:r>
          </w:p>
        </w:tc>
      </w:tr>
      <w:tr w:rsidR="00861457" w:rsidRPr="004705D2" w14:paraId="0EEAFEC6" w14:textId="77777777" w:rsidTr="00861457">
        <w:trPr>
          <w:trHeight w:val="21"/>
          <w:jc w:val="center"/>
        </w:trPr>
        <w:tc>
          <w:tcPr>
            <w:tcW w:w="502" w:type="dxa"/>
            <w:shd w:val="clear" w:color="000000" w:fill="FFFFFF"/>
            <w:vAlign w:val="center"/>
            <w:hideMark/>
          </w:tcPr>
          <w:p w14:paraId="625E379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w:t>
            </w:r>
          </w:p>
        </w:tc>
        <w:tc>
          <w:tcPr>
            <w:tcW w:w="1118" w:type="dxa"/>
            <w:shd w:val="clear" w:color="000000" w:fill="FFFFFF"/>
            <w:vAlign w:val="center"/>
            <w:hideMark/>
          </w:tcPr>
          <w:p w14:paraId="5387FA7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Himachal Pradesh</w:t>
            </w:r>
          </w:p>
        </w:tc>
        <w:tc>
          <w:tcPr>
            <w:tcW w:w="996" w:type="dxa"/>
            <w:shd w:val="clear" w:color="000000" w:fill="FFFFFF"/>
            <w:vAlign w:val="center"/>
            <w:hideMark/>
          </w:tcPr>
          <w:p w14:paraId="22A09A2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064755E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353</w:t>
            </w:r>
          </w:p>
        </w:tc>
        <w:tc>
          <w:tcPr>
            <w:tcW w:w="950" w:type="dxa"/>
            <w:shd w:val="clear" w:color="000000" w:fill="FFFFFF"/>
            <w:vAlign w:val="center"/>
            <w:hideMark/>
          </w:tcPr>
          <w:p w14:paraId="79B6BF6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209</w:t>
            </w:r>
          </w:p>
        </w:tc>
        <w:tc>
          <w:tcPr>
            <w:tcW w:w="775" w:type="dxa"/>
            <w:shd w:val="clear" w:color="000000" w:fill="FFFFFF"/>
            <w:vAlign w:val="center"/>
            <w:hideMark/>
          </w:tcPr>
          <w:p w14:paraId="72D8C4E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105C11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4CD184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806</w:t>
            </w:r>
          </w:p>
        </w:tc>
        <w:tc>
          <w:tcPr>
            <w:tcW w:w="950" w:type="dxa"/>
            <w:shd w:val="clear" w:color="000000" w:fill="FFFFFF"/>
            <w:vAlign w:val="center"/>
            <w:hideMark/>
          </w:tcPr>
          <w:p w14:paraId="5B29008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241</w:t>
            </w:r>
          </w:p>
        </w:tc>
        <w:tc>
          <w:tcPr>
            <w:tcW w:w="775" w:type="dxa"/>
            <w:shd w:val="clear" w:color="000000" w:fill="FFFFFF"/>
            <w:vAlign w:val="center"/>
            <w:hideMark/>
          </w:tcPr>
          <w:p w14:paraId="4F0560A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2197</w:t>
            </w:r>
          </w:p>
        </w:tc>
        <w:tc>
          <w:tcPr>
            <w:tcW w:w="950" w:type="dxa"/>
            <w:shd w:val="clear" w:color="000000" w:fill="FFFFFF"/>
            <w:vAlign w:val="center"/>
            <w:hideMark/>
          </w:tcPr>
          <w:p w14:paraId="1C5ACAC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403</w:t>
            </w:r>
          </w:p>
        </w:tc>
        <w:tc>
          <w:tcPr>
            <w:tcW w:w="775" w:type="dxa"/>
            <w:shd w:val="clear" w:color="000000" w:fill="FFFFFF"/>
            <w:vAlign w:val="center"/>
            <w:hideMark/>
          </w:tcPr>
          <w:p w14:paraId="6223014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6354</w:t>
            </w:r>
          </w:p>
        </w:tc>
        <w:tc>
          <w:tcPr>
            <w:tcW w:w="950" w:type="dxa"/>
            <w:shd w:val="clear" w:color="000000" w:fill="FFFFFF"/>
            <w:vAlign w:val="center"/>
            <w:hideMark/>
          </w:tcPr>
          <w:p w14:paraId="73F4BC5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829</w:t>
            </w:r>
          </w:p>
        </w:tc>
      </w:tr>
      <w:tr w:rsidR="00861457" w:rsidRPr="004705D2" w14:paraId="08B4456E" w14:textId="77777777" w:rsidTr="00861457">
        <w:trPr>
          <w:trHeight w:val="21"/>
          <w:jc w:val="center"/>
        </w:trPr>
        <w:tc>
          <w:tcPr>
            <w:tcW w:w="502" w:type="dxa"/>
            <w:shd w:val="clear" w:color="000000" w:fill="FFFFFF"/>
            <w:vAlign w:val="center"/>
            <w:hideMark/>
          </w:tcPr>
          <w:p w14:paraId="683CB46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BE13E9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0B2AEDA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08EC5F4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1550</w:t>
            </w:r>
          </w:p>
        </w:tc>
        <w:tc>
          <w:tcPr>
            <w:tcW w:w="950" w:type="dxa"/>
            <w:shd w:val="clear" w:color="000000" w:fill="FFFFFF"/>
            <w:vAlign w:val="center"/>
            <w:hideMark/>
          </w:tcPr>
          <w:p w14:paraId="6F0F524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370</w:t>
            </w:r>
          </w:p>
        </w:tc>
        <w:tc>
          <w:tcPr>
            <w:tcW w:w="775" w:type="dxa"/>
            <w:shd w:val="clear" w:color="000000" w:fill="FFFFFF"/>
            <w:vAlign w:val="center"/>
            <w:hideMark/>
          </w:tcPr>
          <w:p w14:paraId="39D4257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1880</w:t>
            </w:r>
          </w:p>
        </w:tc>
        <w:tc>
          <w:tcPr>
            <w:tcW w:w="950" w:type="dxa"/>
            <w:shd w:val="clear" w:color="000000" w:fill="FFFFFF"/>
            <w:vAlign w:val="center"/>
            <w:hideMark/>
          </w:tcPr>
          <w:p w14:paraId="1AAE1E9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1001</w:t>
            </w:r>
          </w:p>
        </w:tc>
        <w:tc>
          <w:tcPr>
            <w:tcW w:w="775" w:type="dxa"/>
            <w:shd w:val="clear" w:color="000000" w:fill="FFFFFF"/>
            <w:vAlign w:val="center"/>
            <w:hideMark/>
          </w:tcPr>
          <w:p w14:paraId="24D7A6C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1026</w:t>
            </w:r>
          </w:p>
        </w:tc>
        <w:tc>
          <w:tcPr>
            <w:tcW w:w="950" w:type="dxa"/>
            <w:shd w:val="clear" w:color="000000" w:fill="FFFFFF"/>
            <w:vAlign w:val="center"/>
            <w:hideMark/>
          </w:tcPr>
          <w:p w14:paraId="0026BF3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265</w:t>
            </w:r>
          </w:p>
        </w:tc>
        <w:tc>
          <w:tcPr>
            <w:tcW w:w="775" w:type="dxa"/>
            <w:shd w:val="clear" w:color="000000" w:fill="FFFFFF"/>
            <w:vAlign w:val="center"/>
            <w:hideMark/>
          </w:tcPr>
          <w:p w14:paraId="6981A7E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4150</w:t>
            </w:r>
          </w:p>
        </w:tc>
        <w:tc>
          <w:tcPr>
            <w:tcW w:w="950" w:type="dxa"/>
            <w:shd w:val="clear" w:color="000000" w:fill="FFFFFF"/>
            <w:vAlign w:val="center"/>
            <w:hideMark/>
          </w:tcPr>
          <w:p w14:paraId="2E12E80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1302</w:t>
            </w:r>
          </w:p>
        </w:tc>
        <w:tc>
          <w:tcPr>
            <w:tcW w:w="775" w:type="dxa"/>
            <w:shd w:val="clear" w:color="000000" w:fill="FFFFFF"/>
            <w:vAlign w:val="center"/>
            <w:hideMark/>
          </w:tcPr>
          <w:p w14:paraId="265BB1E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6C5AE1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5B0A54FC" w14:textId="77777777" w:rsidTr="00861457">
        <w:trPr>
          <w:trHeight w:val="21"/>
          <w:jc w:val="center"/>
        </w:trPr>
        <w:tc>
          <w:tcPr>
            <w:tcW w:w="502" w:type="dxa"/>
            <w:shd w:val="clear" w:color="000000" w:fill="FFFFFF"/>
            <w:vAlign w:val="center"/>
            <w:hideMark/>
          </w:tcPr>
          <w:p w14:paraId="06D852B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3EA3AC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BDEC22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6BCA6F4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1903</w:t>
            </w:r>
          </w:p>
        </w:tc>
        <w:tc>
          <w:tcPr>
            <w:tcW w:w="950" w:type="dxa"/>
            <w:shd w:val="clear" w:color="000000" w:fill="FFFFFF"/>
            <w:vAlign w:val="center"/>
            <w:hideMark/>
          </w:tcPr>
          <w:p w14:paraId="501B402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579</w:t>
            </w:r>
          </w:p>
        </w:tc>
        <w:tc>
          <w:tcPr>
            <w:tcW w:w="775" w:type="dxa"/>
            <w:shd w:val="clear" w:color="000000" w:fill="FFFFFF"/>
            <w:vAlign w:val="center"/>
            <w:hideMark/>
          </w:tcPr>
          <w:p w14:paraId="4079A1F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1880</w:t>
            </w:r>
          </w:p>
        </w:tc>
        <w:tc>
          <w:tcPr>
            <w:tcW w:w="950" w:type="dxa"/>
            <w:shd w:val="clear" w:color="000000" w:fill="FFFFFF"/>
            <w:vAlign w:val="center"/>
            <w:hideMark/>
          </w:tcPr>
          <w:p w14:paraId="154658B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1001</w:t>
            </w:r>
          </w:p>
        </w:tc>
        <w:tc>
          <w:tcPr>
            <w:tcW w:w="775" w:type="dxa"/>
            <w:shd w:val="clear" w:color="000000" w:fill="FFFFFF"/>
            <w:vAlign w:val="center"/>
            <w:hideMark/>
          </w:tcPr>
          <w:p w14:paraId="46C741B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1832</w:t>
            </w:r>
          </w:p>
        </w:tc>
        <w:tc>
          <w:tcPr>
            <w:tcW w:w="950" w:type="dxa"/>
            <w:shd w:val="clear" w:color="000000" w:fill="FFFFFF"/>
            <w:vAlign w:val="center"/>
            <w:hideMark/>
          </w:tcPr>
          <w:p w14:paraId="653121B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506</w:t>
            </w:r>
          </w:p>
        </w:tc>
        <w:tc>
          <w:tcPr>
            <w:tcW w:w="775" w:type="dxa"/>
            <w:shd w:val="clear" w:color="000000" w:fill="FFFFFF"/>
            <w:vAlign w:val="center"/>
            <w:hideMark/>
          </w:tcPr>
          <w:p w14:paraId="28E806B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6257</w:t>
            </w:r>
          </w:p>
        </w:tc>
        <w:tc>
          <w:tcPr>
            <w:tcW w:w="950" w:type="dxa"/>
            <w:shd w:val="clear" w:color="000000" w:fill="FFFFFF"/>
            <w:vAlign w:val="center"/>
            <w:hideMark/>
          </w:tcPr>
          <w:p w14:paraId="6857212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1705</w:t>
            </w:r>
          </w:p>
        </w:tc>
        <w:tc>
          <w:tcPr>
            <w:tcW w:w="775" w:type="dxa"/>
            <w:shd w:val="clear" w:color="000000" w:fill="FFFFFF"/>
            <w:vAlign w:val="center"/>
            <w:hideMark/>
          </w:tcPr>
          <w:p w14:paraId="71A0B51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6354</w:t>
            </w:r>
          </w:p>
        </w:tc>
        <w:tc>
          <w:tcPr>
            <w:tcW w:w="950" w:type="dxa"/>
            <w:shd w:val="clear" w:color="000000" w:fill="FFFFFF"/>
            <w:vAlign w:val="center"/>
            <w:hideMark/>
          </w:tcPr>
          <w:p w14:paraId="3D50AD0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829</w:t>
            </w:r>
          </w:p>
        </w:tc>
      </w:tr>
      <w:tr w:rsidR="00861457" w:rsidRPr="004705D2" w14:paraId="03FB10A8" w14:textId="77777777" w:rsidTr="00861457">
        <w:trPr>
          <w:trHeight w:val="21"/>
          <w:jc w:val="center"/>
        </w:trPr>
        <w:tc>
          <w:tcPr>
            <w:tcW w:w="502" w:type="dxa"/>
            <w:shd w:val="clear" w:color="000000" w:fill="FFFFFF"/>
            <w:vAlign w:val="center"/>
            <w:hideMark/>
          </w:tcPr>
          <w:p w14:paraId="366B1BE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w:t>
            </w:r>
          </w:p>
        </w:tc>
        <w:tc>
          <w:tcPr>
            <w:tcW w:w="1118" w:type="dxa"/>
            <w:shd w:val="clear" w:color="000000" w:fill="FFFFFF"/>
            <w:vAlign w:val="center"/>
            <w:hideMark/>
          </w:tcPr>
          <w:p w14:paraId="461ACE1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Jammu and Kashmir</w:t>
            </w:r>
          </w:p>
        </w:tc>
        <w:tc>
          <w:tcPr>
            <w:tcW w:w="996" w:type="dxa"/>
            <w:shd w:val="clear" w:color="000000" w:fill="FFFFFF"/>
            <w:vAlign w:val="center"/>
            <w:hideMark/>
          </w:tcPr>
          <w:p w14:paraId="0D60A89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50305BB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64</w:t>
            </w:r>
          </w:p>
        </w:tc>
        <w:tc>
          <w:tcPr>
            <w:tcW w:w="950" w:type="dxa"/>
            <w:shd w:val="clear" w:color="000000" w:fill="FFFFFF"/>
            <w:vAlign w:val="center"/>
            <w:hideMark/>
          </w:tcPr>
          <w:p w14:paraId="6A3BFB9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w:t>
            </w:r>
          </w:p>
        </w:tc>
        <w:tc>
          <w:tcPr>
            <w:tcW w:w="775" w:type="dxa"/>
            <w:shd w:val="clear" w:color="000000" w:fill="FFFFFF"/>
            <w:vAlign w:val="center"/>
            <w:hideMark/>
          </w:tcPr>
          <w:p w14:paraId="1A2F7D7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AEDEFA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50F282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126</w:t>
            </w:r>
          </w:p>
        </w:tc>
        <w:tc>
          <w:tcPr>
            <w:tcW w:w="950" w:type="dxa"/>
            <w:shd w:val="clear" w:color="000000" w:fill="FFFFFF"/>
            <w:vAlign w:val="center"/>
            <w:hideMark/>
          </w:tcPr>
          <w:p w14:paraId="3183C47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w:t>
            </w:r>
          </w:p>
        </w:tc>
        <w:tc>
          <w:tcPr>
            <w:tcW w:w="775" w:type="dxa"/>
            <w:shd w:val="clear" w:color="000000" w:fill="FFFFFF"/>
            <w:vAlign w:val="center"/>
            <w:hideMark/>
          </w:tcPr>
          <w:p w14:paraId="27141B5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96893F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C025F8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1358</w:t>
            </w:r>
          </w:p>
        </w:tc>
        <w:tc>
          <w:tcPr>
            <w:tcW w:w="950" w:type="dxa"/>
            <w:shd w:val="clear" w:color="000000" w:fill="FFFFFF"/>
            <w:vAlign w:val="center"/>
            <w:hideMark/>
          </w:tcPr>
          <w:p w14:paraId="12167E6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100</w:t>
            </w:r>
          </w:p>
        </w:tc>
      </w:tr>
      <w:tr w:rsidR="00861457" w:rsidRPr="004705D2" w14:paraId="693C0298" w14:textId="77777777" w:rsidTr="00861457">
        <w:trPr>
          <w:trHeight w:val="21"/>
          <w:jc w:val="center"/>
        </w:trPr>
        <w:tc>
          <w:tcPr>
            <w:tcW w:w="502" w:type="dxa"/>
            <w:shd w:val="clear" w:color="000000" w:fill="FFFFFF"/>
            <w:vAlign w:val="center"/>
            <w:hideMark/>
          </w:tcPr>
          <w:p w14:paraId="51BAA01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F9CB93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A7A86E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0995A1E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2400</w:t>
            </w:r>
          </w:p>
        </w:tc>
        <w:tc>
          <w:tcPr>
            <w:tcW w:w="950" w:type="dxa"/>
            <w:shd w:val="clear" w:color="000000" w:fill="FFFFFF"/>
            <w:vAlign w:val="center"/>
            <w:hideMark/>
          </w:tcPr>
          <w:p w14:paraId="4C7038C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279</w:t>
            </w:r>
          </w:p>
        </w:tc>
        <w:tc>
          <w:tcPr>
            <w:tcW w:w="775" w:type="dxa"/>
            <w:shd w:val="clear" w:color="000000" w:fill="FFFFFF"/>
            <w:vAlign w:val="center"/>
            <w:hideMark/>
          </w:tcPr>
          <w:p w14:paraId="083E6CA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DDA238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49186A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DE7664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14B485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0234BA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51A574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E922FA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3ED1FB6A" w14:textId="77777777" w:rsidTr="00861457">
        <w:trPr>
          <w:trHeight w:val="21"/>
          <w:jc w:val="center"/>
        </w:trPr>
        <w:tc>
          <w:tcPr>
            <w:tcW w:w="502" w:type="dxa"/>
            <w:shd w:val="clear" w:color="000000" w:fill="FFFFFF"/>
            <w:vAlign w:val="center"/>
            <w:hideMark/>
          </w:tcPr>
          <w:p w14:paraId="3E3C7FF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207405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B3D0AB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4FD22ED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2544</w:t>
            </w:r>
          </w:p>
        </w:tc>
        <w:tc>
          <w:tcPr>
            <w:tcW w:w="950" w:type="dxa"/>
            <w:shd w:val="clear" w:color="000000" w:fill="FFFFFF"/>
            <w:vAlign w:val="center"/>
            <w:hideMark/>
          </w:tcPr>
          <w:p w14:paraId="4D5C6FD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292</w:t>
            </w:r>
          </w:p>
        </w:tc>
        <w:tc>
          <w:tcPr>
            <w:tcW w:w="775" w:type="dxa"/>
            <w:shd w:val="clear" w:color="000000" w:fill="FFFFFF"/>
            <w:vAlign w:val="center"/>
            <w:hideMark/>
          </w:tcPr>
          <w:p w14:paraId="6E3C1EC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37528D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10AD49E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126</w:t>
            </w:r>
          </w:p>
        </w:tc>
        <w:tc>
          <w:tcPr>
            <w:tcW w:w="950" w:type="dxa"/>
            <w:shd w:val="clear" w:color="000000" w:fill="FFFFFF"/>
            <w:vAlign w:val="center"/>
            <w:hideMark/>
          </w:tcPr>
          <w:p w14:paraId="62F7FAE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40</w:t>
            </w:r>
          </w:p>
        </w:tc>
        <w:tc>
          <w:tcPr>
            <w:tcW w:w="775" w:type="dxa"/>
            <w:shd w:val="clear" w:color="000000" w:fill="FFFFFF"/>
            <w:vAlign w:val="center"/>
            <w:hideMark/>
          </w:tcPr>
          <w:p w14:paraId="5E624D2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C36E96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61A5B1A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1358</w:t>
            </w:r>
          </w:p>
        </w:tc>
        <w:tc>
          <w:tcPr>
            <w:tcW w:w="950" w:type="dxa"/>
            <w:shd w:val="clear" w:color="000000" w:fill="FFFFFF"/>
            <w:vAlign w:val="center"/>
            <w:hideMark/>
          </w:tcPr>
          <w:p w14:paraId="2C9DDA7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100</w:t>
            </w:r>
          </w:p>
        </w:tc>
      </w:tr>
      <w:tr w:rsidR="00861457" w:rsidRPr="004705D2" w14:paraId="4901815F" w14:textId="77777777" w:rsidTr="00861457">
        <w:trPr>
          <w:trHeight w:val="21"/>
          <w:jc w:val="center"/>
        </w:trPr>
        <w:tc>
          <w:tcPr>
            <w:tcW w:w="502" w:type="dxa"/>
            <w:shd w:val="clear" w:color="000000" w:fill="FFFFFF"/>
            <w:vAlign w:val="center"/>
            <w:hideMark/>
          </w:tcPr>
          <w:p w14:paraId="18A6ED9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w:t>
            </w:r>
          </w:p>
        </w:tc>
        <w:tc>
          <w:tcPr>
            <w:tcW w:w="1118" w:type="dxa"/>
            <w:shd w:val="clear" w:color="000000" w:fill="FFFFFF"/>
            <w:vAlign w:val="center"/>
            <w:hideMark/>
          </w:tcPr>
          <w:p w14:paraId="56F5C31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Karnataka</w:t>
            </w:r>
          </w:p>
        </w:tc>
        <w:tc>
          <w:tcPr>
            <w:tcW w:w="996" w:type="dxa"/>
            <w:shd w:val="clear" w:color="000000" w:fill="FFFFFF"/>
            <w:vAlign w:val="center"/>
            <w:hideMark/>
          </w:tcPr>
          <w:p w14:paraId="2D4B737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4299C26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FC47E6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033099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2557</w:t>
            </w:r>
          </w:p>
        </w:tc>
        <w:tc>
          <w:tcPr>
            <w:tcW w:w="950" w:type="dxa"/>
            <w:shd w:val="clear" w:color="000000" w:fill="FFFFFF"/>
            <w:vAlign w:val="center"/>
            <w:hideMark/>
          </w:tcPr>
          <w:p w14:paraId="5103D89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348</w:t>
            </w:r>
          </w:p>
        </w:tc>
        <w:tc>
          <w:tcPr>
            <w:tcW w:w="775" w:type="dxa"/>
            <w:shd w:val="clear" w:color="000000" w:fill="FFFFFF"/>
            <w:vAlign w:val="center"/>
            <w:hideMark/>
          </w:tcPr>
          <w:p w14:paraId="1B98366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1412</w:t>
            </w:r>
          </w:p>
        </w:tc>
        <w:tc>
          <w:tcPr>
            <w:tcW w:w="950" w:type="dxa"/>
            <w:shd w:val="clear" w:color="000000" w:fill="FFFFFF"/>
            <w:vAlign w:val="center"/>
            <w:hideMark/>
          </w:tcPr>
          <w:p w14:paraId="396BCD5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281</w:t>
            </w:r>
          </w:p>
        </w:tc>
        <w:tc>
          <w:tcPr>
            <w:tcW w:w="775" w:type="dxa"/>
            <w:shd w:val="clear" w:color="000000" w:fill="FFFFFF"/>
            <w:vAlign w:val="center"/>
            <w:hideMark/>
          </w:tcPr>
          <w:p w14:paraId="77B10D6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2080</w:t>
            </w:r>
          </w:p>
        </w:tc>
        <w:tc>
          <w:tcPr>
            <w:tcW w:w="950" w:type="dxa"/>
            <w:shd w:val="clear" w:color="000000" w:fill="FFFFFF"/>
            <w:vAlign w:val="center"/>
            <w:hideMark/>
          </w:tcPr>
          <w:p w14:paraId="5E5BBB8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443</w:t>
            </w:r>
          </w:p>
        </w:tc>
        <w:tc>
          <w:tcPr>
            <w:tcW w:w="775" w:type="dxa"/>
            <w:shd w:val="clear" w:color="000000" w:fill="FFFFFF"/>
            <w:vAlign w:val="center"/>
            <w:hideMark/>
          </w:tcPr>
          <w:p w14:paraId="0035E9D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1899</w:t>
            </w:r>
          </w:p>
        </w:tc>
        <w:tc>
          <w:tcPr>
            <w:tcW w:w="950" w:type="dxa"/>
            <w:shd w:val="clear" w:color="000000" w:fill="FFFFFF"/>
            <w:vAlign w:val="center"/>
            <w:hideMark/>
          </w:tcPr>
          <w:p w14:paraId="2F5773C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329</w:t>
            </w:r>
          </w:p>
        </w:tc>
      </w:tr>
      <w:tr w:rsidR="00861457" w:rsidRPr="004705D2" w14:paraId="3A6988A8" w14:textId="77777777" w:rsidTr="00861457">
        <w:trPr>
          <w:trHeight w:val="21"/>
          <w:jc w:val="center"/>
        </w:trPr>
        <w:tc>
          <w:tcPr>
            <w:tcW w:w="502" w:type="dxa"/>
            <w:shd w:val="clear" w:color="000000" w:fill="FFFFFF"/>
            <w:vAlign w:val="center"/>
            <w:hideMark/>
          </w:tcPr>
          <w:p w14:paraId="59CCE6D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4C08AF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099FFCC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59B1FA7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BE3B28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945B1F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25667</w:t>
            </w:r>
          </w:p>
        </w:tc>
        <w:tc>
          <w:tcPr>
            <w:tcW w:w="950" w:type="dxa"/>
            <w:shd w:val="clear" w:color="000000" w:fill="FFFFFF"/>
            <w:vAlign w:val="center"/>
            <w:hideMark/>
          </w:tcPr>
          <w:p w14:paraId="51C8923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665</w:t>
            </w:r>
          </w:p>
        </w:tc>
        <w:tc>
          <w:tcPr>
            <w:tcW w:w="775" w:type="dxa"/>
            <w:shd w:val="clear" w:color="000000" w:fill="FFFFFF"/>
            <w:vAlign w:val="center"/>
            <w:hideMark/>
          </w:tcPr>
          <w:p w14:paraId="169F1BA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6804</w:t>
            </w:r>
          </w:p>
        </w:tc>
        <w:tc>
          <w:tcPr>
            <w:tcW w:w="950" w:type="dxa"/>
            <w:shd w:val="clear" w:color="000000" w:fill="FFFFFF"/>
            <w:vAlign w:val="center"/>
            <w:hideMark/>
          </w:tcPr>
          <w:p w14:paraId="70F3D7C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1381</w:t>
            </w:r>
          </w:p>
        </w:tc>
        <w:tc>
          <w:tcPr>
            <w:tcW w:w="775" w:type="dxa"/>
            <w:shd w:val="clear" w:color="000000" w:fill="FFFFFF"/>
            <w:vAlign w:val="center"/>
            <w:hideMark/>
          </w:tcPr>
          <w:p w14:paraId="55AA343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3420</w:t>
            </w:r>
          </w:p>
        </w:tc>
        <w:tc>
          <w:tcPr>
            <w:tcW w:w="950" w:type="dxa"/>
            <w:shd w:val="clear" w:color="000000" w:fill="FFFFFF"/>
            <w:vAlign w:val="center"/>
            <w:hideMark/>
          </w:tcPr>
          <w:p w14:paraId="7DA278C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881</w:t>
            </w:r>
          </w:p>
        </w:tc>
        <w:tc>
          <w:tcPr>
            <w:tcW w:w="775" w:type="dxa"/>
            <w:shd w:val="clear" w:color="000000" w:fill="FFFFFF"/>
            <w:vAlign w:val="center"/>
            <w:hideMark/>
          </w:tcPr>
          <w:p w14:paraId="5D01213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1681</w:t>
            </w:r>
          </w:p>
        </w:tc>
        <w:tc>
          <w:tcPr>
            <w:tcW w:w="950" w:type="dxa"/>
            <w:shd w:val="clear" w:color="000000" w:fill="FFFFFF"/>
            <w:vAlign w:val="center"/>
            <w:hideMark/>
          </w:tcPr>
          <w:p w14:paraId="0F65408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1400</w:t>
            </w:r>
          </w:p>
        </w:tc>
      </w:tr>
      <w:tr w:rsidR="00861457" w:rsidRPr="004705D2" w14:paraId="73F99D5A" w14:textId="77777777" w:rsidTr="00861457">
        <w:trPr>
          <w:trHeight w:val="21"/>
          <w:jc w:val="center"/>
        </w:trPr>
        <w:tc>
          <w:tcPr>
            <w:tcW w:w="502" w:type="dxa"/>
            <w:shd w:val="clear" w:color="000000" w:fill="FFFFFF"/>
            <w:vAlign w:val="center"/>
            <w:hideMark/>
          </w:tcPr>
          <w:p w14:paraId="7DAC7A6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5CE0DEC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9CEF02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52DEDD2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4AD81A9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5F809D0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28224</w:t>
            </w:r>
          </w:p>
        </w:tc>
        <w:tc>
          <w:tcPr>
            <w:tcW w:w="950" w:type="dxa"/>
            <w:shd w:val="clear" w:color="000000" w:fill="FFFFFF"/>
            <w:vAlign w:val="center"/>
            <w:hideMark/>
          </w:tcPr>
          <w:p w14:paraId="6415A3C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1013</w:t>
            </w:r>
          </w:p>
        </w:tc>
        <w:tc>
          <w:tcPr>
            <w:tcW w:w="775" w:type="dxa"/>
            <w:shd w:val="clear" w:color="000000" w:fill="FFFFFF"/>
            <w:vAlign w:val="center"/>
            <w:hideMark/>
          </w:tcPr>
          <w:p w14:paraId="2D3A1CD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8216</w:t>
            </w:r>
          </w:p>
        </w:tc>
        <w:tc>
          <w:tcPr>
            <w:tcW w:w="950" w:type="dxa"/>
            <w:shd w:val="clear" w:color="000000" w:fill="FFFFFF"/>
            <w:vAlign w:val="center"/>
            <w:hideMark/>
          </w:tcPr>
          <w:p w14:paraId="2971E38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1662</w:t>
            </w:r>
          </w:p>
        </w:tc>
        <w:tc>
          <w:tcPr>
            <w:tcW w:w="775" w:type="dxa"/>
            <w:shd w:val="clear" w:color="000000" w:fill="FFFFFF"/>
            <w:vAlign w:val="center"/>
            <w:hideMark/>
          </w:tcPr>
          <w:p w14:paraId="1132E0C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5500</w:t>
            </w:r>
          </w:p>
        </w:tc>
        <w:tc>
          <w:tcPr>
            <w:tcW w:w="950" w:type="dxa"/>
            <w:shd w:val="clear" w:color="000000" w:fill="FFFFFF"/>
            <w:vAlign w:val="center"/>
            <w:hideMark/>
          </w:tcPr>
          <w:p w14:paraId="67E5FC3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1324</w:t>
            </w:r>
          </w:p>
        </w:tc>
        <w:tc>
          <w:tcPr>
            <w:tcW w:w="775" w:type="dxa"/>
            <w:shd w:val="clear" w:color="000000" w:fill="FFFFFF"/>
            <w:vAlign w:val="center"/>
            <w:hideMark/>
          </w:tcPr>
          <w:p w14:paraId="7D0AE17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3580</w:t>
            </w:r>
          </w:p>
        </w:tc>
        <w:tc>
          <w:tcPr>
            <w:tcW w:w="950" w:type="dxa"/>
            <w:shd w:val="clear" w:color="000000" w:fill="FFFFFF"/>
            <w:vAlign w:val="center"/>
            <w:hideMark/>
          </w:tcPr>
          <w:p w14:paraId="25777CC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1729</w:t>
            </w:r>
          </w:p>
        </w:tc>
      </w:tr>
      <w:tr w:rsidR="00861457" w:rsidRPr="004705D2" w14:paraId="7915FDB9" w14:textId="77777777" w:rsidTr="00861457">
        <w:trPr>
          <w:trHeight w:val="21"/>
          <w:jc w:val="center"/>
        </w:trPr>
        <w:tc>
          <w:tcPr>
            <w:tcW w:w="502" w:type="dxa"/>
            <w:shd w:val="clear" w:color="000000" w:fill="FFFFFF"/>
            <w:vAlign w:val="center"/>
            <w:hideMark/>
          </w:tcPr>
          <w:p w14:paraId="4A166A1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w:t>
            </w:r>
          </w:p>
        </w:tc>
        <w:tc>
          <w:tcPr>
            <w:tcW w:w="1118" w:type="dxa"/>
            <w:shd w:val="clear" w:color="000000" w:fill="FFFFFF"/>
            <w:vAlign w:val="center"/>
            <w:hideMark/>
          </w:tcPr>
          <w:p w14:paraId="58F12A3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Kerala</w:t>
            </w:r>
          </w:p>
        </w:tc>
        <w:tc>
          <w:tcPr>
            <w:tcW w:w="996" w:type="dxa"/>
            <w:shd w:val="clear" w:color="000000" w:fill="FFFFFF"/>
            <w:vAlign w:val="center"/>
            <w:hideMark/>
          </w:tcPr>
          <w:p w14:paraId="36ED070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3E334DD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13F0B9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AABDCA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3467</w:t>
            </w:r>
          </w:p>
        </w:tc>
        <w:tc>
          <w:tcPr>
            <w:tcW w:w="950" w:type="dxa"/>
            <w:shd w:val="clear" w:color="000000" w:fill="FFFFFF"/>
            <w:vAlign w:val="center"/>
            <w:hideMark/>
          </w:tcPr>
          <w:p w14:paraId="2E3C826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909</w:t>
            </w:r>
          </w:p>
        </w:tc>
        <w:tc>
          <w:tcPr>
            <w:tcW w:w="775" w:type="dxa"/>
            <w:shd w:val="clear" w:color="000000" w:fill="FFFFFF"/>
            <w:vAlign w:val="center"/>
            <w:hideMark/>
          </w:tcPr>
          <w:p w14:paraId="626388F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4010</w:t>
            </w:r>
          </w:p>
        </w:tc>
        <w:tc>
          <w:tcPr>
            <w:tcW w:w="950" w:type="dxa"/>
            <w:shd w:val="clear" w:color="000000" w:fill="FFFFFF"/>
            <w:vAlign w:val="center"/>
            <w:hideMark/>
          </w:tcPr>
          <w:p w14:paraId="1F89C2D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843</w:t>
            </w:r>
          </w:p>
        </w:tc>
        <w:tc>
          <w:tcPr>
            <w:tcW w:w="775" w:type="dxa"/>
            <w:shd w:val="clear" w:color="000000" w:fill="FFFFFF"/>
            <w:vAlign w:val="center"/>
            <w:hideMark/>
          </w:tcPr>
          <w:p w14:paraId="0303C56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2403</w:t>
            </w:r>
          </w:p>
        </w:tc>
        <w:tc>
          <w:tcPr>
            <w:tcW w:w="950" w:type="dxa"/>
            <w:shd w:val="clear" w:color="000000" w:fill="FFFFFF"/>
            <w:vAlign w:val="center"/>
            <w:hideMark/>
          </w:tcPr>
          <w:p w14:paraId="42B82B4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w:t>
            </w:r>
          </w:p>
        </w:tc>
        <w:tc>
          <w:tcPr>
            <w:tcW w:w="775" w:type="dxa"/>
            <w:shd w:val="clear" w:color="000000" w:fill="FFFFFF"/>
            <w:vAlign w:val="center"/>
            <w:hideMark/>
          </w:tcPr>
          <w:p w14:paraId="2E61F5A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F18E4F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61AC5AAB" w14:textId="77777777" w:rsidTr="00861457">
        <w:trPr>
          <w:trHeight w:val="21"/>
          <w:jc w:val="center"/>
        </w:trPr>
        <w:tc>
          <w:tcPr>
            <w:tcW w:w="502" w:type="dxa"/>
            <w:shd w:val="clear" w:color="000000" w:fill="FFFFFF"/>
            <w:vAlign w:val="center"/>
            <w:hideMark/>
          </w:tcPr>
          <w:p w14:paraId="5BB3A26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56A67E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E20763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2E62D98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14075A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0ED439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946776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F5FA72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39D2D6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FE2DFB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2357</w:t>
            </w:r>
          </w:p>
        </w:tc>
        <w:tc>
          <w:tcPr>
            <w:tcW w:w="950" w:type="dxa"/>
            <w:shd w:val="clear" w:color="000000" w:fill="FFFFFF"/>
            <w:vAlign w:val="center"/>
            <w:hideMark/>
          </w:tcPr>
          <w:p w14:paraId="1DAE5F6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410</w:t>
            </w:r>
          </w:p>
        </w:tc>
        <w:tc>
          <w:tcPr>
            <w:tcW w:w="775" w:type="dxa"/>
            <w:shd w:val="clear" w:color="000000" w:fill="FFFFFF"/>
            <w:vAlign w:val="center"/>
            <w:hideMark/>
          </w:tcPr>
          <w:p w14:paraId="458DE08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22960</w:t>
            </w:r>
          </w:p>
        </w:tc>
        <w:tc>
          <w:tcPr>
            <w:tcW w:w="950" w:type="dxa"/>
            <w:shd w:val="clear" w:color="000000" w:fill="FFFFFF"/>
            <w:vAlign w:val="center"/>
            <w:hideMark/>
          </w:tcPr>
          <w:p w14:paraId="6EEBA88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4246</w:t>
            </w:r>
          </w:p>
        </w:tc>
      </w:tr>
      <w:tr w:rsidR="00861457" w:rsidRPr="004705D2" w14:paraId="7AC3767F" w14:textId="77777777" w:rsidTr="00861457">
        <w:trPr>
          <w:trHeight w:val="21"/>
          <w:jc w:val="center"/>
        </w:trPr>
        <w:tc>
          <w:tcPr>
            <w:tcW w:w="502" w:type="dxa"/>
            <w:shd w:val="clear" w:color="000000" w:fill="FFFFFF"/>
            <w:vAlign w:val="center"/>
            <w:hideMark/>
          </w:tcPr>
          <w:p w14:paraId="2C1F2B1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2C3CF9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6CFFB85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294F84F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6AAD141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0CE92CD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3467</w:t>
            </w:r>
          </w:p>
        </w:tc>
        <w:tc>
          <w:tcPr>
            <w:tcW w:w="950" w:type="dxa"/>
            <w:shd w:val="clear" w:color="000000" w:fill="FFFFFF"/>
            <w:vAlign w:val="center"/>
            <w:hideMark/>
          </w:tcPr>
          <w:p w14:paraId="686B316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909</w:t>
            </w:r>
          </w:p>
        </w:tc>
        <w:tc>
          <w:tcPr>
            <w:tcW w:w="775" w:type="dxa"/>
            <w:shd w:val="clear" w:color="000000" w:fill="FFFFFF"/>
            <w:vAlign w:val="center"/>
            <w:hideMark/>
          </w:tcPr>
          <w:p w14:paraId="7353978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4010</w:t>
            </w:r>
          </w:p>
        </w:tc>
        <w:tc>
          <w:tcPr>
            <w:tcW w:w="950" w:type="dxa"/>
            <w:shd w:val="clear" w:color="000000" w:fill="FFFFFF"/>
            <w:vAlign w:val="center"/>
            <w:hideMark/>
          </w:tcPr>
          <w:p w14:paraId="68E8348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843</w:t>
            </w:r>
          </w:p>
        </w:tc>
        <w:tc>
          <w:tcPr>
            <w:tcW w:w="775" w:type="dxa"/>
            <w:shd w:val="clear" w:color="000000" w:fill="FFFFFF"/>
            <w:vAlign w:val="center"/>
            <w:hideMark/>
          </w:tcPr>
          <w:p w14:paraId="2F35462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4760</w:t>
            </w:r>
          </w:p>
        </w:tc>
        <w:tc>
          <w:tcPr>
            <w:tcW w:w="950" w:type="dxa"/>
            <w:shd w:val="clear" w:color="000000" w:fill="FFFFFF"/>
            <w:vAlign w:val="center"/>
            <w:hideMark/>
          </w:tcPr>
          <w:p w14:paraId="29D1888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421</w:t>
            </w:r>
          </w:p>
        </w:tc>
        <w:tc>
          <w:tcPr>
            <w:tcW w:w="775" w:type="dxa"/>
            <w:shd w:val="clear" w:color="000000" w:fill="FFFFFF"/>
            <w:vAlign w:val="center"/>
            <w:hideMark/>
          </w:tcPr>
          <w:p w14:paraId="666FA9F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22960</w:t>
            </w:r>
          </w:p>
        </w:tc>
        <w:tc>
          <w:tcPr>
            <w:tcW w:w="950" w:type="dxa"/>
            <w:shd w:val="clear" w:color="000000" w:fill="FFFFFF"/>
            <w:vAlign w:val="center"/>
            <w:hideMark/>
          </w:tcPr>
          <w:p w14:paraId="64D92DE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4246</w:t>
            </w:r>
          </w:p>
        </w:tc>
      </w:tr>
      <w:tr w:rsidR="00861457" w:rsidRPr="004705D2" w14:paraId="06BE1B2C" w14:textId="77777777" w:rsidTr="00861457">
        <w:trPr>
          <w:trHeight w:val="21"/>
          <w:jc w:val="center"/>
        </w:trPr>
        <w:tc>
          <w:tcPr>
            <w:tcW w:w="502" w:type="dxa"/>
            <w:shd w:val="clear" w:color="000000" w:fill="FFFFFF"/>
            <w:vAlign w:val="center"/>
            <w:hideMark/>
          </w:tcPr>
          <w:p w14:paraId="37A5D61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w:t>
            </w:r>
          </w:p>
        </w:tc>
        <w:tc>
          <w:tcPr>
            <w:tcW w:w="1118" w:type="dxa"/>
            <w:shd w:val="clear" w:color="000000" w:fill="FFFFFF"/>
            <w:vAlign w:val="center"/>
            <w:hideMark/>
          </w:tcPr>
          <w:p w14:paraId="7012A57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Madhya Pradesh</w:t>
            </w:r>
          </w:p>
        </w:tc>
        <w:tc>
          <w:tcPr>
            <w:tcW w:w="996" w:type="dxa"/>
            <w:shd w:val="clear" w:color="000000" w:fill="FFFFFF"/>
            <w:vAlign w:val="center"/>
            <w:hideMark/>
          </w:tcPr>
          <w:p w14:paraId="16639FA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06F08B3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51A2DC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85BE35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82E7B7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A42864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5261EA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2736DE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6083</w:t>
            </w:r>
          </w:p>
        </w:tc>
        <w:tc>
          <w:tcPr>
            <w:tcW w:w="950" w:type="dxa"/>
            <w:shd w:val="clear" w:color="000000" w:fill="FFFFFF"/>
            <w:vAlign w:val="center"/>
            <w:hideMark/>
          </w:tcPr>
          <w:p w14:paraId="414BD9F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221</w:t>
            </w:r>
          </w:p>
        </w:tc>
        <w:tc>
          <w:tcPr>
            <w:tcW w:w="775" w:type="dxa"/>
            <w:shd w:val="clear" w:color="000000" w:fill="FFFFFF"/>
            <w:vAlign w:val="center"/>
            <w:hideMark/>
          </w:tcPr>
          <w:p w14:paraId="15F672B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2393</w:t>
            </w:r>
          </w:p>
        </w:tc>
        <w:tc>
          <w:tcPr>
            <w:tcW w:w="950" w:type="dxa"/>
            <w:shd w:val="clear" w:color="000000" w:fill="FFFFFF"/>
            <w:vAlign w:val="center"/>
            <w:hideMark/>
          </w:tcPr>
          <w:p w14:paraId="2A9A911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669</w:t>
            </w:r>
          </w:p>
        </w:tc>
      </w:tr>
      <w:tr w:rsidR="00861457" w:rsidRPr="004705D2" w14:paraId="2628FD8B" w14:textId="77777777" w:rsidTr="00861457">
        <w:trPr>
          <w:trHeight w:val="21"/>
          <w:jc w:val="center"/>
        </w:trPr>
        <w:tc>
          <w:tcPr>
            <w:tcW w:w="502" w:type="dxa"/>
            <w:shd w:val="clear" w:color="000000" w:fill="FFFFFF"/>
            <w:vAlign w:val="center"/>
            <w:hideMark/>
          </w:tcPr>
          <w:p w14:paraId="4625105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6F0E40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2679A4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4B96A48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9555</w:t>
            </w:r>
          </w:p>
        </w:tc>
        <w:tc>
          <w:tcPr>
            <w:tcW w:w="950" w:type="dxa"/>
            <w:shd w:val="clear" w:color="000000" w:fill="FFFFFF"/>
            <w:vAlign w:val="center"/>
            <w:hideMark/>
          </w:tcPr>
          <w:p w14:paraId="6D32D03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2280</w:t>
            </w:r>
          </w:p>
        </w:tc>
        <w:tc>
          <w:tcPr>
            <w:tcW w:w="775" w:type="dxa"/>
            <w:shd w:val="clear" w:color="000000" w:fill="FFFFFF"/>
            <w:vAlign w:val="center"/>
            <w:hideMark/>
          </w:tcPr>
          <w:p w14:paraId="516AD3E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11922</w:t>
            </w:r>
          </w:p>
        </w:tc>
        <w:tc>
          <w:tcPr>
            <w:tcW w:w="950" w:type="dxa"/>
            <w:shd w:val="clear" w:color="000000" w:fill="FFFFFF"/>
            <w:vAlign w:val="center"/>
            <w:hideMark/>
          </w:tcPr>
          <w:p w14:paraId="0A4F28F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4790</w:t>
            </w:r>
          </w:p>
        </w:tc>
        <w:tc>
          <w:tcPr>
            <w:tcW w:w="775" w:type="dxa"/>
            <w:shd w:val="clear" w:color="000000" w:fill="FFFFFF"/>
            <w:vAlign w:val="center"/>
            <w:hideMark/>
          </w:tcPr>
          <w:p w14:paraId="19E4725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C0333D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1E7CC5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13375</w:t>
            </w:r>
          </w:p>
        </w:tc>
        <w:tc>
          <w:tcPr>
            <w:tcW w:w="950" w:type="dxa"/>
            <w:shd w:val="clear" w:color="000000" w:fill="FFFFFF"/>
            <w:vAlign w:val="center"/>
            <w:hideMark/>
          </w:tcPr>
          <w:p w14:paraId="44960EC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4099</w:t>
            </w:r>
          </w:p>
        </w:tc>
        <w:tc>
          <w:tcPr>
            <w:tcW w:w="775" w:type="dxa"/>
            <w:shd w:val="clear" w:color="000000" w:fill="FFFFFF"/>
            <w:vAlign w:val="center"/>
            <w:hideMark/>
          </w:tcPr>
          <w:p w14:paraId="4BC1A97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7272</w:t>
            </w:r>
          </w:p>
        </w:tc>
        <w:tc>
          <w:tcPr>
            <w:tcW w:w="950" w:type="dxa"/>
            <w:shd w:val="clear" w:color="000000" w:fill="FFFFFF"/>
            <w:vAlign w:val="center"/>
            <w:hideMark/>
          </w:tcPr>
          <w:p w14:paraId="5F8FAE9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2229</w:t>
            </w:r>
          </w:p>
        </w:tc>
      </w:tr>
      <w:tr w:rsidR="00861457" w:rsidRPr="004705D2" w14:paraId="6005AC16" w14:textId="77777777" w:rsidTr="00861457">
        <w:trPr>
          <w:trHeight w:val="21"/>
          <w:jc w:val="center"/>
        </w:trPr>
        <w:tc>
          <w:tcPr>
            <w:tcW w:w="502" w:type="dxa"/>
            <w:shd w:val="clear" w:color="000000" w:fill="FFFFFF"/>
            <w:vAlign w:val="center"/>
            <w:hideMark/>
          </w:tcPr>
          <w:p w14:paraId="0D93838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6F2AB20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3FDAA4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4579AAD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9555</w:t>
            </w:r>
          </w:p>
        </w:tc>
        <w:tc>
          <w:tcPr>
            <w:tcW w:w="950" w:type="dxa"/>
            <w:shd w:val="clear" w:color="000000" w:fill="FFFFFF"/>
            <w:vAlign w:val="center"/>
            <w:hideMark/>
          </w:tcPr>
          <w:p w14:paraId="679B3C5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2280</w:t>
            </w:r>
          </w:p>
        </w:tc>
        <w:tc>
          <w:tcPr>
            <w:tcW w:w="775" w:type="dxa"/>
            <w:shd w:val="clear" w:color="000000" w:fill="FFFFFF"/>
            <w:vAlign w:val="center"/>
            <w:hideMark/>
          </w:tcPr>
          <w:p w14:paraId="4967A23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11922</w:t>
            </w:r>
          </w:p>
        </w:tc>
        <w:tc>
          <w:tcPr>
            <w:tcW w:w="950" w:type="dxa"/>
            <w:shd w:val="clear" w:color="000000" w:fill="FFFFFF"/>
            <w:vAlign w:val="center"/>
            <w:hideMark/>
          </w:tcPr>
          <w:p w14:paraId="27C6D71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4790</w:t>
            </w:r>
          </w:p>
        </w:tc>
        <w:tc>
          <w:tcPr>
            <w:tcW w:w="775" w:type="dxa"/>
            <w:shd w:val="clear" w:color="000000" w:fill="FFFFFF"/>
            <w:vAlign w:val="center"/>
            <w:hideMark/>
          </w:tcPr>
          <w:p w14:paraId="1235A52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2F0CC9C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18A62C5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19458</w:t>
            </w:r>
          </w:p>
        </w:tc>
        <w:tc>
          <w:tcPr>
            <w:tcW w:w="950" w:type="dxa"/>
            <w:shd w:val="clear" w:color="000000" w:fill="FFFFFF"/>
            <w:vAlign w:val="center"/>
            <w:hideMark/>
          </w:tcPr>
          <w:p w14:paraId="39FEE26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4320</w:t>
            </w:r>
          </w:p>
        </w:tc>
        <w:tc>
          <w:tcPr>
            <w:tcW w:w="775" w:type="dxa"/>
            <w:shd w:val="clear" w:color="000000" w:fill="FFFFFF"/>
            <w:vAlign w:val="center"/>
            <w:hideMark/>
          </w:tcPr>
          <w:p w14:paraId="0240BED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9665</w:t>
            </w:r>
          </w:p>
        </w:tc>
        <w:tc>
          <w:tcPr>
            <w:tcW w:w="950" w:type="dxa"/>
            <w:shd w:val="clear" w:color="000000" w:fill="FFFFFF"/>
            <w:vAlign w:val="center"/>
            <w:hideMark/>
          </w:tcPr>
          <w:p w14:paraId="08E54E9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2898</w:t>
            </w:r>
          </w:p>
        </w:tc>
      </w:tr>
      <w:tr w:rsidR="00861457" w:rsidRPr="004705D2" w14:paraId="509EF64C" w14:textId="77777777" w:rsidTr="00861457">
        <w:trPr>
          <w:trHeight w:val="21"/>
          <w:jc w:val="center"/>
        </w:trPr>
        <w:tc>
          <w:tcPr>
            <w:tcW w:w="502" w:type="dxa"/>
            <w:shd w:val="clear" w:color="000000" w:fill="FFFFFF"/>
            <w:vAlign w:val="center"/>
            <w:hideMark/>
          </w:tcPr>
          <w:p w14:paraId="54A7AAA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w:t>
            </w:r>
          </w:p>
        </w:tc>
        <w:tc>
          <w:tcPr>
            <w:tcW w:w="1118" w:type="dxa"/>
            <w:shd w:val="clear" w:color="000000" w:fill="FFFFFF"/>
            <w:vAlign w:val="center"/>
            <w:hideMark/>
          </w:tcPr>
          <w:p w14:paraId="3F4B0EC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Maharashtra</w:t>
            </w:r>
          </w:p>
        </w:tc>
        <w:tc>
          <w:tcPr>
            <w:tcW w:w="996" w:type="dxa"/>
            <w:shd w:val="clear" w:color="000000" w:fill="FFFFFF"/>
            <w:vAlign w:val="center"/>
            <w:hideMark/>
          </w:tcPr>
          <w:p w14:paraId="3D82CC0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5DD9D2F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87EAD2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EC4F10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45F872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FD1263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5B391D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4EE2BE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018595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127956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10584</w:t>
            </w:r>
          </w:p>
        </w:tc>
        <w:tc>
          <w:tcPr>
            <w:tcW w:w="950" w:type="dxa"/>
            <w:shd w:val="clear" w:color="000000" w:fill="FFFFFF"/>
            <w:vAlign w:val="center"/>
            <w:hideMark/>
          </w:tcPr>
          <w:p w14:paraId="469B588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2468</w:t>
            </w:r>
          </w:p>
        </w:tc>
      </w:tr>
      <w:tr w:rsidR="00861457" w:rsidRPr="004705D2" w14:paraId="18181945" w14:textId="77777777" w:rsidTr="00861457">
        <w:trPr>
          <w:trHeight w:val="21"/>
          <w:jc w:val="center"/>
        </w:trPr>
        <w:tc>
          <w:tcPr>
            <w:tcW w:w="502" w:type="dxa"/>
            <w:shd w:val="clear" w:color="000000" w:fill="FFFFFF"/>
            <w:vAlign w:val="center"/>
            <w:hideMark/>
          </w:tcPr>
          <w:p w14:paraId="7D5BAC9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0F99ED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34F3A3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5178BB2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3968</w:t>
            </w:r>
          </w:p>
        </w:tc>
        <w:tc>
          <w:tcPr>
            <w:tcW w:w="950" w:type="dxa"/>
            <w:shd w:val="clear" w:color="000000" w:fill="FFFFFF"/>
            <w:vAlign w:val="center"/>
            <w:hideMark/>
          </w:tcPr>
          <w:p w14:paraId="1FB08DF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854</w:t>
            </w:r>
          </w:p>
        </w:tc>
        <w:tc>
          <w:tcPr>
            <w:tcW w:w="775" w:type="dxa"/>
            <w:shd w:val="clear" w:color="000000" w:fill="FFFFFF"/>
            <w:vAlign w:val="center"/>
            <w:hideMark/>
          </w:tcPr>
          <w:p w14:paraId="53437C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3995</w:t>
            </w:r>
          </w:p>
        </w:tc>
        <w:tc>
          <w:tcPr>
            <w:tcW w:w="950" w:type="dxa"/>
            <w:shd w:val="clear" w:color="000000" w:fill="FFFFFF"/>
            <w:vAlign w:val="center"/>
            <w:hideMark/>
          </w:tcPr>
          <w:p w14:paraId="5F02613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1625</w:t>
            </w:r>
          </w:p>
        </w:tc>
        <w:tc>
          <w:tcPr>
            <w:tcW w:w="775" w:type="dxa"/>
            <w:shd w:val="clear" w:color="000000" w:fill="FFFFFF"/>
            <w:vAlign w:val="center"/>
            <w:hideMark/>
          </w:tcPr>
          <w:p w14:paraId="79585D2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DF9DF9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60419B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14095</w:t>
            </w:r>
          </w:p>
        </w:tc>
        <w:tc>
          <w:tcPr>
            <w:tcW w:w="950" w:type="dxa"/>
            <w:shd w:val="clear" w:color="000000" w:fill="FFFFFF"/>
            <w:vAlign w:val="center"/>
            <w:hideMark/>
          </w:tcPr>
          <w:p w14:paraId="665A9A1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5689</w:t>
            </w:r>
          </w:p>
        </w:tc>
        <w:tc>
          <w:tcPr>
            <w:tcW w:w="775" w:type="dxa"/>
            <w:shd w:val="clear" w:color="000000" w:fill="FFFFFF"/>
            <w:vAlign w:val="center"/>
            <w:hideMark/>
          </w:tcPr>
          <w:p w14:paraId="3CD5D7F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1760</w:t>
            </w:r>
          </w:p>
        </w:tc>
        <w:tc>
          <w:tcPr>
            <w:tcW w:w="950" w:type="dxa"/>
            <w:shd w:val="clear" w:color="000000" w:fill="FFFFFF"/>
            <w:vAlign w:val="center"/>
            <w:hideMark/>
          </w:tcPr>
          <w:p w14:paraId="72CC063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1163</w:t>
            </w:r>
          </w:p>
        </w:tc>
      </w:tr>
      <w:tr w:rsidR="00861457" w:rsidRPr="004705D2" w14:paraId="79F3BF2D" w14:textId="77777777" w:rsidTr="00861457">
        <w:trPr>
          <w:trHeight w:val="21"/>
          <w:jc w:val="center"/>
        </w:trPr>
        <w:tc>
          <w:tcPr>
            <w:tcW w:w="502" w:type="dxa"/>
            <w:shd w:val="clear" w:color="000000" w:fill="FFFFFF"/>
            <w:vAlign w:val="center"/>
            <w:hideMark/>
          </w:tcPr>
          <w:p w14:paraId="6F8E2E1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C8A901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AC62EC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0FFE38A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3968</w:t>
            </w:r>
          </w:p>
        </w:tc>
        <w:tc>
          <w:tcPr>
            <w:tcW w:w="950" w:type="dxa"/>
            <w:shd w:val="clear" w:color="000000" w:fill="FFFFFF"/>
            <w:vAlign w:val="center"/>
            <w:hideMark/>
          </w:tcPr>
          <w:p w14:paraId="26D031C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854</w:t>
            </w:r>
          </w:p>
        </w:tc>
        <w:tc>
          <w:tcPr>
            <w:tcW w:w="775" w:type="dxa"/>
            <w:shd w:val="clear" w:color="000000" w:fill="FFFFFF"/>
            <w:vAlign w:val="center"/>
            <w:hideMark/>
          </w:tcPr>
          <w:p w14:paraId="1C11F08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3995</w:t>
            </w:r>
          </w:p>
        </w:tc>
        <w:tc>
          <w:tcPr>
            <w:tcW w:w="950" w:type="dxa"/>
            <w:shd w:val="clear" w:color="000000" w:fill="FFFFFF"/>
            <w:vAlign w:val="center"/>
            <w:hideMark/>
          </w:tcPr>
          <w:p w14:paraId="7745AAC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1625</w:t>
            </w:r>
          </w:p>
        </w:tc>
        <w:tc>
          <w:tcPr>
            <w:tcW w:w="775" w:type="dxa"/>
            <w:shd w:val="clear" w:color="000000" w:fill="FFFFFF"/>
            <w:vAlign w:val="center"/>
            <w:hideMark/>
          </w:tcPr>
          <w:p w14:paraId="46B5B3E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43C307C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2C0DF78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14095</w:t>
            </w:r>
          </w:p>
        </w:tc>
        <w:tc>
          <w:tcPr>
            <w:tcW w:w="950" w:type="dxa"/>
            <w:shd w:val="clear" w:color="000000" w:fill="FFFFFF"/>
            <w:vAlign w:val="center"/>
            <w:hideMark/>
          </w:tcPr>
          <w:p w14:paraId="2EDD72D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5689</w:t>
            </w:r>
          </w:p>
        </w:tc>
        <w:tc>
          <w:tcPr>
            <w:tcW w:w="775" w:type="dxa"/>
            <w:shd w:val="clear" w:color="000000" w:fill="FFFFFF"/>
            <w:vAlign w:val="center"/>
            <w:hideMark/>
          </w:tcPr>
          <w:p w14:paraId="008AC36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12344</w:t>
            </w:r>
          </w:p>
        </w:tc>
        <w:tc>
          <w:tcPr>
            <w:tcW w:w="950" w:type="dxa"/>
            <w:shd w:val="clear" w:color="000000" w:fill="FFFFFF"/>
            <w:vAlign w:val="center"/>
            <w:hideMark/>
          </w:tcPr>
          <w:p w14:paraId="6676E31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3631</w:t>
            </w:r>
          </w:p>
        </w:tc>
      </w:tr>
      <w:tr w:rsidR="00861457" w:rsidRPr="004705D2" w14:paraId="6E7BDEC7" w14:textId="77777777" w:rsidTr="00861457">
        <w:trPr>
          <w:trHeight w:val="21"/>
          <w:jc w:val="center"/>
        </w:trPr>
        <w:tc>
          <w:tcPr>
            <w:tcW w:w="502" w:type="dxa"/>
            <w:shd w:val="clear" w:color="000000" w:fill="FFFFFF"/>
            <w:vAlign w:val="center"/>
            <w:hideMark/>
          </w:tcPr>
          <w:p w14:paraId="16FA1F6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14</w:t>
            </w:r>
          </w:p>
        </w:tc>
        <w:tc>
          <w:tcPr>
            <w:tcW w:w="1118" w:type="dxa"/>
            <w:shd w:val="clear" w:color="000000" w:fill="FFFFFF"/>
            <w:vAlign w:val="center"/>
            <w:hideMark/>
          </w:tcPr>
          <w:p w14:paraId="149293C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Manipur</w:t>
            </w:r>
          </w:p>
        </w:tc>
        <w:tc>
          <w:tcPr>
            <w:tcW w:w="996" w:type="dxa"/>
            <w:shd w:val="clear" w:color="000000" w:fill="FFFFFF"/>
            <w:vAlign w:val="center"/>
            <w:hideMark/>
          </w:tcPr>
          <w:p w14:paraId="563CBE7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7364C94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C89A88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812AAF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F36A06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DB53A6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189</w:t>
            </w:r>
          </w:p>
        </w:tc>
        <w:tc>
          <w:tcPr>
            <w:tcW w:w="950" w:type="dxa"/>
            <w:shd w:val="clear" w:color="000000" w:fill="FFFFFF"/>
            <w:vAlign w:val="center"/>
            <w:hideMark/>
          </w:tcPr>
          <w:p w14:paraId="6C8D91B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161</w:t>
            </w:r>
          </w:p>
        </w:tc>
        <w:tc>
          <w:tcPr>
            <w:tcW w:w="775" w:type="dxa"/>
            <w:shd w:val="clear" w:color="000000" w:fill="FFFFFF"/>
            <w:vAlign w:val="center"/>
            <w:hideMark/>
          </w:tcPr>
          <w:p w14:paraId="0E1B608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B533FC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3C3D27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A6D4EF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487E2DAE" w14:textId="77777777" w:rsidTr="00861457">
        <w:trPr>
          <w:trHeight w:val="21"/>
          <w:jc w:val="center"/>
        </w:trPr>
        <w:tc>
          <w:tcPr>
            <w:tcW w:w="502" w:type="dxa"/>
            <w:shd w:val="clear" w:color="000000" w:fill="FFFFFF"/>
            <w:vAlign w:val="center"/>
            <w:hideMark/>
          </w:tcPr>
          <w:p w14:paraId="211E723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80FFCC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08600CA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67D1E6F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530</w:t>
            </w:r>
          </w:p>
        </w:tc>
        <w:tc>
          <w:tcPr>
            <w:tcW w:w="950" w:type="dxa"/>
            <w:shd w:val="clear" w:color="000000" w:fill="FFFFFF"/>
            <w:vAlign w:val="center"/>
            <w:hideMark/>
          </w:tcPr>
          <w:p w14:paraId="7A956C9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272</w:t>
            </w:r>
          </w:p>
        </w:tc>
        <w:tc>
          <w:tcPr>
            <w:tcW w:w="775" w:type="dxa"/>
            <w:shd w:val="clear" w:color="000000" w:fill="FFFFFF"/>
            <w:vAlign w:val="center"/>
            <w:hideMark/>
          </w:tcPr>
          <w:p w14:paraId="5173A9C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D4632A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912234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7E1641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CC9B0C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08EB34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D7FA7F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55BA96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37F3FB96" w14:textId="77777777" w:rsidTr="00861457">
        <w:trPr>
          <w:trHeight w:val="21"/>
          <w:jc w:val="center"/>
        </w:trPr>
        <w:tc>
          <w:tcPr>
            <w:tcW w:w="502" w:type="dxa"/>
            <w:shd w:val="clear" w:color="000000" w:fill="FFFFFF"/>
            <w:vAlign w:val="center"/>
            <w:hideMark/>
          </w:tcPr>
          <w:p w14:paraId="2BAB499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65324C5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5A696F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72F97B6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530</w:t>
            </w:r>
          </w:p>
        </w:tc>
        <w:tc>
          <w:tcPr>
            <w:tcW w:w="950" w:type="dxa"/>
            <w:shd w:val="clear" w:color="000000" w:fill="FFFFFF"/>
            <w:vAlign w:val="center"/>
            <w:hideMark/>
          </w:tcPr>
          <w:p w14:paraId="67FF44A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272</w:t>
            </w:r>
          </w:p>
        </w:tc>
        <w:tc>
          <w:tcPr>
            <w:tcW w:w="775" w:type="dxa"/>
            <w:shd w:val="clear" w:color="000000" w:fill="FFFFFF"/>
            <w:vAlign w:val="center"/>
            <w:hideMark/>
          </w:tcPr>
          <w:p w14:paraId="46F9A3C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20D768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098882A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189</w:t>
            </w:r>
          </w:p>
        </w:tc>
        <w:tc>
          <w:tcPr>
            <w:tcW w:w="950" w:type="dxa"/>
            <w:shd w:val="clear" w:color="000000" w:fill="FFFFFF"/>
            <w:vAlign w:val="center"/>
            <w:hideMark/>
          </w:tcPr>
          <w:p w14:paraId="55089B9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161</w:t>
            </w:r>
          </w:p>
        </w:tc>
        <w:tc>
          <w:tcPr>
            <w:tcW w:w="775" w:type="dxa"/>
            <w:shd w:val="clear" w:color="000000" w:fill="FFFFFF"/>
            <w:vAlign w:val="center"/>
            <w:hideMark/>
          </w:tcPr>
          <w:p w14:paraId="464559F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6D99A42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3A3B98A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B5C1DE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r>
      <w:tr w:rsidR="00861457" w:rsidRPr="004705D2" w14:paraId="43A4A80E" w14:textId="77777777" w:rsidTr="00861457">
        <w:trPr>
          <w:trHeight w:val="21"/>
          <w:jc w:val="center"/>
        </w:trPr>
        <w:tc>
          <w:tcPr>
            <w:tcW w:w="502" w:type="dxa"/>
            <w:shd w:val="clear" w:color="000000" w:fill="FFFFFF"/>
            <w:vAlign w:val="center"/>
            <w:hideMark/>
          </w:tcPr>
          <w:p w14:paraId="26078D1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15</w:t>
            </w:r>
          </w:p>
        </w:tc>
        <w:tc>
          <w:tcPr>
            <w:tcW w:w="1118" w:type="dxa"/>
            <w:shd w:val="clear" w:color="000000" w:fill="FFFFFF"/>
            <w:vAlign w:val="center"/>
            <w:hideMark/>
          </w:tcPr>
          <w:p w14:paraId="0ABBD4B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Meghalaya</w:t>
            </w:r>
          </w:p>
        </w:tc>
        <w:tc>
          <w:tcPr>
            <w:tcW w:w="996" w:type="dxa"/>
            <w:shd w:val="clear" w:color="000000" w:fill="FFFFFF"/>
            <w:vAlign w:val="center"/>
            <w:hideMark/>
          </w:tcPr>
          <w:p w14:paraId="62DD316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5ABCEE9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D1B181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376F08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4F67F9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F8AFE6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24DC6C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CCE82B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100</w:t>
            </w:r>
          </w:p>
        </w:tc>
        <w:tc>
          <w:tcPr>
            <w:tcW w:w="950" w:type="dxa"/>
            <w:shd w:val="clear" w:color="000000" w:fill="FFFFFF"/>
            <w:vAlign w:val="center"/>
            <w:hideMark/>
          </w:tcPr>
          <w:p w14:paraId="1979DE4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33</w:t>
            </w:r>
          </w:p>
        </w:tc>
        <w:tc>
          <w:tcPr>
            <w:tcW w:w="775" w:type="dxa"/>
            <w:shd w:val="clear" w:color="000000" w:fill="FFFFFF"/>
            <w:vAlign w:val="center"/>
            <w:hideMark/>
          </w:tcPr>
          <w:p w14:paraId="7351504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244</w:t>
            </w:r>
          </w:p>
        </w:tc>
        <w:tc>
          <w:tcPr>
            <w:tcW w:w="950" w:type="dxa"/>
            <w:shd w:val="clear" w:color="000000" w:fill="FFFFFF"/>
            <w:vAlign w:val="center"/>
            <w:hideMark/>
          </w:tcPr>
          <w:p w14:paraId="1182027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73</w:t>
            </w:r>
          </w:p>
        </w:tc>
      </w:tr>
      <w:tr w:rsidR="00861457" w:rsidRPr="004705D2" w14:paraId="5714385B" w14:textId="77777777" w:rsidTr="00861457">
        <w:trPr>
          <w:trHeight w:val="21"/>
          <w:jc w:val="center"/>
        </w:trPr>
        <w:tc>
          <w:tcPr>
            <w:tcW w:w="502" w:type="dxa"/>
            <w:shd w:val="clear" w:color="000000" w:fill="FFFFFF"/>
            <w:vAlign w:val="center"/>
            <w:hideMark/>
          </w:tcPr>
          <w:p w14:paraId="1ECFF65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B2ACFA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46D4EA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106E2DD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300</w:t>
            </w:r>
          </w:p>
        </w:tc>
        <w:tc>
          <w:tcPr>
            <w:tcW w:w="950" w:type="dxa"/>
            <w:shd w:val="clear" w:color="000000" w:fill="FFFFFF"/>
            <w:vAlign w:val="center"/>
            <w:hideMark/>
          </w:tcPr>
          <w:p w14:paraId="6DE233A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77</w:t>
            </w:r>
          </w:p>
        </w:tc>
        <w:tc>
          <w:tcPr>
            <w:tcW w:w="775" w:type="dxa"/>
            <w:shd w:val="clear" w:color="000000" w:fill="FFFFFF"/>
            <w:vAlign w:val="center"/>
            <w:hideMark/>
          </w:tcPr>
          <w:p w14:paraId="19E55D2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F32500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835916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A1833B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D84299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23CCF0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1DF813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66DA30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6CBDDDFA" w14:textId="77777777" w:rsidTr="00861457">
        <w:trPr>
          <w:trHeight w:val="21"/>
          <w:jc w:val="center"/>
        </w:trPr>
        <w:tc>
          <w:tcPr>
            <w:tcW w:w="502" w:type="dxa"/>
            <w:shd w:val="clear" w:color="000000" w:fill="FFFFFF"/>
            <w:vAlign w:val="center"/>
            <w:hideMark/>
          </w:tcPr>
          <w:p w14:paraId="3DC2DBB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773E17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39D278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2F01968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300</w:t>
            </w:r>
          </w:p>
        </w:tc>
        <w:tc>
          <w:tcPr>
            <w:tcW w:w="950" w:type="dxa"/>
            <w:shd w:val="clear" w:color="000000" w:fill="FFFFFF"/>
            <w:vAlign w:val="center"/>
            <w:hideMark/>
          </w:tcPr>
          <w:p w14:paraId="6AF9370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77</w:t>
            </w:r>
          </w:p>
        </w:tc>
        <w:tc>
          <w:tcPr>
            <w:tcW w:w="775" w:type="dxa"/>
            <w:shd w:val="clear" w:color="000000" w:fill="FFFFFF"/>
            <w:vAlign w:val="center"/>
            <w:hideMark/>
          </w:tcPr>
          <w:p w14:paraId="75C1BE6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24B300D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0233F63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E79B27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3DBF425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100</w:t>
            </w:r>
          </w:p>
        </w:tc>
        <w:tc>
          <w:tcPr>
            <w:tcW w:w="950" w:type="dxa"/>
            <w:shd w:val="clear" w:color="000000" w:fill="FFFFFF"/>
            <w:vAlign w:val="center"/>
            <w:hideMark/>
          </w:tcPr>
          <w:p w14:paraId="6D60D14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33</w:t>
            </w:r>
          </w:p>
        </w:tc>
        <w:tc>
          <w:tcPr>
            <w:tcW w:w="775" w:type="dxa"/>
            <w:shd w:val="clear" w:color="000000" w:fill="FFFFFF"/>
            <w:vAlign w:val="center"/>
            <w:hideMark/>
          </w:tcPr>
          <w:p w14:paraId="364A850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244</w:t>
            </w:r>
          </w:p>
        </w:tc>
        <w:tc>
          <w:tcPr>
            <w:tcW w:w="950" w:type="dxa"/>
            <w:shd w:val="clear" w:color="000000" w:fill="FFFFFF"/>
            <w:vAlign w:val="center"/>
            <w:hideMark/>
          </w:tcPr>
          <w:p w14:paraId="63DE931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73</w:t>
            </w:r>
          </w:p>
        </w:tc>
      </w:tr>
      <w:tr w:rsidR="00861457" w:rsidRPr="004705D2" w14:paraId="1E3992C0" w14:textId="77777777" w:rsidTr="00861457">
        <w:trPr>
          <w:trHeight w:val="21"/>
          <w:jc w:val="center"/>
        </w:trPr>
        <w:tc>
          <w:tcPr>
            <w:tcW w:w="502" w:type="dxa"/>
            <w:shd w:val="clear" w:color="000000" w:fill="FFFFFF"/>
            <w:vAlign w:val="center"/>
            <w:hideMark/>
          </w:tcPr>
          <w:p w14:paraId="4AF9ACF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w:t>
            </w:r>
          </w:p>
        </w:tc>
        <w:tc>
          <w:tcPr>
            <w:tcW w:w="1118" w:type="dxa"/>
            <w:shd w:val="clear" w:color="000000" w:fill="FFFFFF"/>
            <w:vAlign w:val="center"/>
            <w:hideMark/>
          </w:tcPr>
          <w:p w14:paraId="676E58C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Mizoram</w:t>
            </w:r>
          </w:p>
        </w:tc>
        <w:tc>
          <w:tcPr>
            <w:tcW w:w="996" w:type="dxa"/>
            <w:shd w:val="clear" w:color="000000" w:fill="FFFFFF"/>
            <w:vAlign w:val="center"/>
            <w:hideMark/>
          </w:tcPr>
          <w:p w14:paraId="0F508F3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2093821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5F31E1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AD597B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F29448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D35F59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A1B447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31EACA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AD23C3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E5CD0A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9BCE21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7D8C266A" w14:textId="77777777" w:rsidTr="00861457">
        <w:trPr>
          <w:trHeight w:val="21"/>
          <w:jc w:val="center"/>
        </w:trPr>
        <w:tc>
          <w:tcPr>
            <w:tcW w:w="502" w:type="dxa"/>
            <w:shd w:val="clear" w:color="000000" w:fill="FFFFFF"/>
            <w:vAlign w:val="center"/>
            <w:hideMark/>
          </w:tcPr>
          <w:p w14:paraId="21BF8AC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C3C6CA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5222E5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4B59C03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D2FBF5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BCB6F4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677C88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C54106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005E57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D41840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57249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C70DBB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0A9CF8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766741D7" w14:textId="77777777" w:rsidTr="00861457">
        <w:trPr>
          <w:trHeight w:val="21"/>
          <w:jc w:val="center"/>
        </w:trPr>
        <w:tc>
          <w:tcPr>
            <w:tcW w:w="502" w:type="dxa"/>
            <w:shd w:val="clear" w:color="000000" w:fill="FFFFFF"/>
            <w:vAlign w:val="center"/>
            <w:hideMark/>
          </w:tcPr>
          <w:p w14:paraId="04AABAA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24C8569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4AEAD3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2C388A2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017B15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77FBF80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867FE9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689DAD4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040C99B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7272BC8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36B865B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5B22AD9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5C6A55B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r>
      <w:tr w:rsidR="00861457" w:rsidRPr="004705D2" w14:paraId="38C863E1" w14:textId="77777777" w:rsidTr="00861457">
        <w:trPr>
          <w:trHeight w:val="21"/>
          <w:jc w:val="center"/>
        </w:trPr>
        <w:tc>
          <w:tcPr>
            <w:tcW w:w="502" w:type="dxa"/>
            <w:shd w:val="clear" w:color="000000" w:fill="FFFFFF"/>
            <w:vAlign w:val="center"/>
            <w:hideMark/>
          </w:tcPr>
          <w:p w14:paraId="7255D8A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w:t>
            </w:r>
          </w:p>
        </w:tc>
        <w:tc>
          <w:tcPr>
            <w:tcW w:w="1118" w:type="dxa"/>
            <w:shd w:val="clear" w:color="000000" w:fill="FFFFFF"/>
            <w:vAlign w:val="center"/>
            <w:hideMark/>
          </w:tcPr>
          <w:p w14:paraId="6266638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Nagaland</w:t>
            </w:r>
          </w:p>
        </w:tc>
        <w:tc>
          <w:tcPr>
            <w:tcW w:w="996" w:type="dxa"/>
            <w:shd w:val="clear" w:color="000000" w:fill="FFFFFF"/>
            <w:vAlign w:val="center"/>
            <w:hideMark/>
          </w:tcPr>
          <w:p w14:paraId="0D05F80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390A172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32682B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770862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2D6AB4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075B65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EE0B82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E06199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B0F8F2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EF32C2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163</w:t>
            </w:r>
          </w:p>
        </w:tc>
        <w:tc>
          <w:tcPr>
            <w:tcW w:w="950" w:type="dxa"/>
            <w:shd w:val="clear" w:color="000000" w:fill="FFFFFF"/>
            <w:vAlign w:val="center"/>
            <w:hideMark/>
          </w:tcPr>
          <w:p w14:paraId="51F1800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77</w:t>
            </w:r>
          </w:p>
        </w:tc>
      </w:tr>
      <w:tr w:rsidR="00861457" w:rsidRPr="004705D2" w14:paraId="6B484B34" w14:textId="77777777" w:rsidTr="00861457">
        <w:trPr>
          <w:trHeight w:val="21"/>
          <w:jc w:val="center"/>
        </w:trPr>
        <w:tc>
          <w:tcPr>
            <w:tcW w:w="502" w:type="dxa"/>
            <w:shd w:val="clear" w:color="000000" w:fill="FFFFFF"/>
            <w:vAlign w:val="center"/>
            <w:hideMark/>
          </w:tcPr>
          <w:p w14:paraId="7AAC8D7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8BB3F0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26DF00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5E9EC38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405</w:t>
            </w:r>
          </w:p>
        </w:tc>
        <w:tc>
          <w:tcPr>
            <w:tcW w:w="950" w:type="dxa"/>
            <w:shd w:val="clear" w:color="000000" w:fill="FFFFFF"/>
            <w:vAlign w:val="center"/>
            <w:hideMark/>
          </w:tcPr>
          <w:p w14:paraId="0BC0746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67</w:t>
            </w:r>
          </w:p>
        </w:tc>
        <w:tc>
          <w:tcPr>
            <w:tcW w:w="775" w:type="dxa"/>
            <w:shd w:val="clear" w:color="000000" w:fill="FFFFFF"/>
            <w:vAlign w:val="center"/>
            <w:hideMark/>
          </w:tcPr>
          <w:p w14:paraId="713E632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16E401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D9E388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9EB826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AF5F23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859470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406895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9D0D35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17EE73BC" w14:textId="77777777" w:rsidTr="00861457">
        <w:trPr>
          <w:trHeight w:val="21"/>
          <w:jc w:val="center"/>
        </w:trPr>
        <w:tc>
          <w:tcPr>
            <w:tcW w:w="502" w:type="dxa"/>
            <w:shd w:val="clear" w:color="000000" w:fill="FFFFFF"/>
            <w:vAlign w:val="center"/>
            <w:hideMark/>
          </w:tcPr>
          <w:p w14:paraId="4F79F63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4E84ED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F24546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1FC7FC1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405</w:t>
            </w:r>
          </w:p>
        </w:tc>
        <w:tc>
          <w:tcPr>
            <w:tcW w:w="950" w:type="dxa"/>
            <w:shd w:val="clear" w:color="000000" w:fill="FFFFFF"/>
            <w:vAlign w:val="center"/>
            <w:hideMark/>
          </w:tcPr>
          <w:p w14:paraId="561FE3E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67</w:t>
            </w:r>
          </w:p>
        </w:tc>
        <w:tc>
          <w:tcPr>
            <w:tcW w:w="775" w:type="dxa"/>
            <w:shd w:val="clear" w:color="000000" w:fill="FFFFFF"/>
            <w:vAlign w:val="center"/>
            <w:hideMark/>
          </w:tcPr>
          <w:p w14:paraId="207759C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DBB217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2EFFE91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2A9CD6F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5DEEA40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2716AD0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2BF7D5C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163</w:t>
            </w:r>
          </w:p>
        </w:tc>
        <w:tc>
          <w:tcPr>
            <w:tcW w:w="950" w:type="dxa"/>
            <w:shd w:val="clear" w:color="000000" w:fill="FFFFFF"/>
            <w:vAlign w:val="center"/>
            <w:hideMark/>
          </w:tcPr>
          <w:p w14:paraId="5DD0378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77</w:t>
            </w:r>
          </w:p>
        </w:tc>
      </w:tr>
      <w:tr w:rsidR="00861457" w:rsidRPr="004705D2" w14:paraId="774C4FBA" w14:textId="77777777" w:rsidTr="00861457">
        <w:trPr>
          <w:trHeight w:val="21"/>
          <w:jc w:val="center"/>
        </w:trPr>
        <w:tc>
          <w:tcPr>
            <w:tcW w:w="502" w:type="dxa"/>
            <w:shd w:val="clear" w:color="000000" w:fill="FFFFFF"/>
            <w:vAlign w:val="center"/>
            <w:hideMark/>
          </w:tcPr>
          <w:p w14:paraId="31DAB04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w:t>
            </w:r>
          </w:p>
        </w:tc>
        <w:tc>
          <w:tcPr>
            <w:tcW w:w="1118" w:type="dxa"/>
            <w:shd w:val="clear" w:color="000000" w:fill="FFFFFF"/>
            <w:vAlign w:val="center"/>
            <w:hideMark/>
          </w:tcPr>
          <w:p w14:paraId="2DA9DB2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Orissa</w:t>
            </w:r>
          </w:p>
        </w:tc>
        <w:tc>
          <w:tcPr>
            <w:tcW w:w="996" w:type="dxa"/>
            <w:shd w:val="clear" w:color="000000" w:fill="FFFFFF"/>
            <w:vAlign w:val="center"/>
            <w:hideMark/>
          </w:tcPr>
          <w:p w14:paraId="684A347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01CAF73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27AF83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290F36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11230</w:t>
            </w:r>
          </w:p>
        </w:tc>
        <w:tc>
          <w:tcPr>
            <w:tcW w:w="950" w:type="dxa"/>
            <w:shd w:val="clear" w:color="000000" w:fill="FFFFFF"/>
            <w:vAlign w:val="center"/>
            <w:hideMark/>
          </w:tcPr>
          <w:p w14:paraId="2DD79C3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4289</w:t>
            </w:r>
          </w:p>
        </w:tc>
        <w:tc>
          <w:tcPr>
            <w:tcW w:w="775" w:type="dxa"/>
            <w:shd w:val="clear" w:color="000000" w:fill="FFFFFF"/>
            <w:vAlign w:val="center"/>
            <w:hideMark/>
          </w:tcPr>
          <w:p w14:paraId="4390372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1112</w:t>
            </w:r>
          </w:p>
        </w:tc>
        <w:tc>
          <w:tcPr>
            <w:tcW w:w="950" w:type="dxa"/>
            <w:shd w:val="clear" w:color="000000" w:fill="FFFFFF"/>
            <w:vAlign w:val="center"/>
            <w:hideMark/>
          </w:tcPr>
          <w:p w14:paraId="0EA1B3B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1079</w:t>
            </w:r>
          </w:p>
        </w:tc>
        <w:tc>
          <w:tcPr>
            <w:tcW w:w="775" w:type="dxa"/>
            <w:shd w:val="clear" w:color="000000" w:fill="FFFFFF"/>
            <w:vAlign w:val="center"/>
            <w:hideMark/>
          </w:tcPr>
          <w:p w14:paraId="6C77F1F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78757</w:t>
            </w:r>
          </w:p>
        </w:tc>
        <w:tc>
          <w:tcPr>
            <w:tcW w:w="950" w:type="dxa"/>
            <w:shd w:val="clear" w:color="000000" w:fill="FFFFFF"/>
            <w:vAlign w:val="center"/>
            <w:hideMark/>
          </w:tcPr>
          <w:p w14:paraId="508B121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17052</w:t>
            </w:r>
          </w:p>
        </w:tc>
        <w:tc>
          <w:tcPr>
            <w:tcW w:w="775" w:type="dxa"/>
            <w:shd w:val="clear" w:color="000000" w:fill="FFFFFF"/>
            <w:vAlign w:val="center"/>
            <w:hideMark/>
          </w:tcPr>
          <w:p w14:paraId="0242939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F25C6E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2290</w:t>
            </w:r>
          </w:p>
        </w:tc>
      </w:tr>
      <w:tr w:rsidR="00861457" w:rsidRPr="004705D2" w14:paraId="20428E89" w14:textId="77777777" w:rsidTr="00861457">
        <w:trPr>
          <w:trHeight w:val="21"/>
          <w:jc w:val="center"/>
        </w:trPr>
        <w:tc>
          <w:tcPr>
            <w:tcW w:w="502" w:type="dxa"/>
            <w:shd w:val="clear" w:color="000000" w:fill="FFFFFF"/>
            <w:vAlign w:val="center"/>
            <w:hideMark/>
          </w:tcPr>
          <w:p w14:paraId="459B922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C4388B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5E0891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51F7B1E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7214</w:t>
            </w:r>
          </w:p>
        </w:tc>
        <w:tc>
          <w:tcPr>
            <w:tcW w:w="950" w:type="dxa"/>
            <w:shd w:val="clear" w:color="000000" w:fill="FFFFFF"/>
            <w:vAlign w:val="center"/>
            <w:hideMark/>
          </w:tcPr>
          <w:p w14:paraId="2670215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1405</w:t>
            </w:r>
          </w:p>
        </w:tc>
        <w:tc>
          <w:tcPr>
            <w:tcW w:w="775" w:type="dxa"/>
            <w:shd w:val="clear" w:color="000000" w:fill="FFFFFF"/>
            <w:vAlign w:val="center"/>
            <w:hideMark/>
          </w:tcPr>
          <w:p w14:paraId="36BBD23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5668</w:t>
            </w:r>
          </w:p>
        </w:tc>
        <w:tc>
          <w:tcPr>
            <w:tcW w:w="950" w:type="dxa"/>
            <w:shd w:val="clear" w:color="000000" w:fill="FFFFFF"/>
            <w:vAlign w:val="center"/>
            <w:hideMark/>
          </w:tcPr>
          <w:p w14:paraId="5E7C1FA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1808</w:t>
            </w:r>
          </w:p>
        </w:tc>
        <w:tc>
          <w:tcPr>
            <w:tcW w:w="775" w:type="dxa"/>
            <w:shd w:val="clear" w:color="000000" w:fill="FFFFFF"/>
            <w:vAlign w:val="center"/>
            <w:hideMark/>
          </w:tcPr>
          <w:p w14:paraId="5AD7592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284274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2E491A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26484</w:t>
            </w:r>
          </w:p>
        </w:tc>
        <w:tc>
          <w:tcPr>
            <w:tcW w:w="950" w:type="dxa"/>
            <w:shd w:val="clear" w:color="000000" w:fill="FFFFFF"/>
            <w:vAlign w:val="center"/>
            <w:hideMark/>
          </w:tcPr>
          <w:p w14:paraId="45B4CE5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1998</w:t>
            </w:r>
          </w:p>
        </w:tc>
        <w:tc>
          <w:tcPr>
            <w:tcW w:w="775" w:type="dxa"/>
            <w:shd w:val="clear" w:color="000000" w:fill="FFFFFF"/>
            <w:vAlign w:val="center"/>
            <w:hideMark/>
          </w:tcPr>
          <w:p w14:paraId="445BF60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14965</w:t>
            </w:r>
          </w:p>
        </w:tc>
        <w:tc>
          <w:tcPr>
            <w:tcW w:w="950" w:type="dxa"/>
            <w:shd w:val="clear" w:color="000000" w:fill="FFFFFF"/>
            <w:vAlign w:val="center"/>
            <w:hideMark/>
          </w:tcPr>
          <w:p w14:paraId="16FA6D5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2464</w:t>
            </w:r>
          </w:p>
        </w:tc>
      </w:tr>
      <w:tr w:rsidR="00861457" w:rsidRPr="004705D2" w14:paraId="14A089C1" w14:textId="77777777" w:rsidTr="00861457">
        <w:trPr>
          <w:trHeight w:val="21"/>
          <w:jc w:val="center"/>
        </w:trPr>
        <w:tc>
          <w:tcPr>
            <w:tcW w:w="502" w:type="dxa"/>
            <w:shd w:val="clear" w:color="000000" w:fill="FFFFFF"/>
            <w:vAlign w:val="center"/>
            <w:hideMark/>
          </w:tcPr>
          <w:p w14:paraId="3462DA0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F52806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B15BF8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7C62318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7214</w:t>
            </w:r>
          </w:p>
        </w:tc>
        <w:tc>
          <w:tcPr>
            <w:tcW w:w="950" w:type="dxa"/>
            <w:shd w:val="clear" w:color="000000" w:fill="FFFFFF"/>
            <w:vAlign w:val="center"/>
            <w:hideMark/>
          </w:tcPr>
          <w:p w14:paraId="5E13EA4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1405</w:t>
            </w:r>
          </w:p>
        </w:tc>
        <w:tc>
          <w:tcPr>
            <w:tcW w:w="775" w:type="dxa"/>
            <w:shd w:val="clear" w:color="000000" w:fill="FFFFFF"/>
            <w:vAlign w:val="center"/>
            <w:hideMark/>
          </w:tcPr>
          <w:p w14:paraId="3D10846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16898</w:t>
            </w:r>
          </w:p>
        </w:tc>
        <w:tc>
          <w:tcPr>
            <w:tcW w:w="950" w:type="dxa"/>
            <w:shd w:val="clear" w:color="000000" w:fill="FFFFFF"/>
            <w:vAlign w:val="center"/>
            <w:hideMark/>
          </w:tcPr>
          <w:p w14:paraId="3DB3797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6097</w:t>
            </w:r>
          </w:p>
        </w:tc>
        <w:tc>
          <w:tcPr>
            <w:tcW w:w="775" w:type="dxa"/>
            <w:shd w:val="clear" w:color="000000" w:fill="FFFFFF"/>
            <w:vAlign w:val="center"/>
            <w:hideMark/>
          </w:tcPr>
          <w:p w14:paraId="2947D09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1112</w:t>
            </w:r>
          </w:p>
        </w:tc>
        <w:tc>
          <w:tcPr>
            <w:tcW w:w="950" w:type="dxa"/>
            <w:shd w:val="clear" w:color="000000" w:fill="FFFFFF"/>
            <w:vAlign w:val="center"/>
            <w:hideMark/>
          </w:tcPr>
          <w:p w14:paraId="43198B6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1079</w:t>
            </w:r>
          </w:p>
        </w:tc>
        <w:tc>
          <w:tcPr>
            <w:tcW w:w="775" w:type="dxa"/>
            <w:shd w:val="clear" w:color="000000" w:fill="FFFFFF"/>
            <w:vAlign w:val="center"/>
            <w:hideMark/>
          </w:tcPr>
          <w:p w14:paraId="46055C0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105241</w:t>
            </w:r>
          </w:p>
        </w:tc>
        <w:tc>
          <w:tcPr>
            <w:tcW w:w="950" w:type="dxa"/>
            <w:shd w:val="clear" w:color="000000" w:fill="FFFFFF"/>
            <w:vAlign w:val="center"/>
            <w:hideMark/>
          </w:tcPr>
          <w:p w14:paraId="56A9986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19050</w:t>
            </w:r>
          </w:p>
        </w:tc>
        <w:tc>
          <w:tcPr>
            <w:tcW w:w="775" w:type="dxa"/>
            <w:shd w:val="clear" w:color="000000" w:fill="FFFFFF"/>
            <w:vAlign w:val="center"/>
            <w:hideMark/>
          </w:tcPr>
          <w:p w14:paraId="4348389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14965</w:t>
            </w:r>
          </w:p>
        </w:tc>
        <w:tc>
          <w:tcPr>
            <w:tcW w:w="950" w:type="dxa"/>
            <w:shd w:val="clear" w:color="000000" w:fill="FFFFFF"/>
            <w:vAlign w:val="center"/>
            <w:hideMark/>
          </w:tcPr>
          <w:p w14:paraId="44AF501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4762</w:t>
            </w:r>
          </w:p>
        </w:tc>
      </w:tr>
      <w:tr w:rsidR="00861457" w:rsidRPr="004705D2" w14:paraId="3FD8AB40" w14:textId="77777777" w:rsidTr="00861457">
        <w:trPr>
          <w:trHeight w:val="21"/>
          <w:jc w:val="center"/>
        </w:trPr>
        <w:tc>
          <w:tcPr>
            <w:tcW w:w="502" w:type="dxa"/>
            <w:shd w:val="clear" w:color="000000" w:fill="FFFFFF"/>
            <w:vAlign w:val="center"/>
            <w:hideMark/>
          </w:tcPr>
          <w:p w14:paraId="6DD16D3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w:t>
            </w:r>
          </w:p>
        </w:tc>
        <w:tc>
          <w:tcPr>
            <w:tcW w:w="1118" w:type="dxa"/>
            <w:shd w:val="clear" w:color="000000" w:fill="FFFFFF"/>
            <w:vAlign w:val="center"/>
            <w:hideMark/>
          </w:tcPr>
          <w:p w14:paraId="165757A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Punjab</w:t>
            </w:r>
          </w:p>
        </w:tc>
        <w:tc>
          <w:tcPr>
            <w:tcW w:w="996" w:type="dxa"/>
            <w:shd w:val="clear" w:color="000000" w:fill="FFFFFF"/>
            <w:vAlign w:val="center"/>
            <w:hideMark/>
          </w:tcPr>
          <w:p w14:paraId="2FCA93E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099A11B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6A7584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CF357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E66B44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51EB79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6763E3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13E023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2E825A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EF9C66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F3CF03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79B1790D" w14:textId="77777777" w:rsidTr="00861457">
        <w:trPr>
          <w:trHeight w:val="21"/>
          <w:jc w:val="center"/>
        </w:trPr>
        <w:tc>
          <w:tcPr>
            <w:tcW w:w="502" w:type="dxa"/>
            <w:shd w:val="clear" w:color="000000" w:fill="FFFFFF"/>
            <w:vAlign w:val="center"/>
            <w:hideMark/>
          </w:tcPr>
          <w:p w14:paraId="762E895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257DFA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02C6FC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33C8D1E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A285B2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93D229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9658CC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7D7249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3A3441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977152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873058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FA80B1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CBF808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4CF91AAF" w14:textId="77777777" w:rsidTr="00861457">
        <w:trPr>
          <w:trHeight w:val="21"/>
          <w:jc w:val="center"/>
        </w:trPr>
        <w:tc>
          <w:tcPr>
            <w:tcW w:w="502" w:type="dxa"/>
            <w:shd w:val="clear" w:color="000000" w:fill="FFFFFF"/>
            <w:vAlign w:val="center"/>
            <w:hideMark/>
          </w:tcPr>
          <w:p w14:paraId="287DDDA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FAD72A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3C13B3A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5AE0D36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E1A20C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4B686BC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FFA8F8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4A60DB4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00C9E7B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5CCB7A6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05228A6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1923271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4A0841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r>
      <w:tr w:rsidR="00861457" w:rsidRPr="004705D2" w14:paraId="7A9BD74A" w14:textId="77777777" w:rsidTr="00861457">
        <w:trPr>
          <w:trHeight w:val="21"/>
          <w:jc w:val="center"/>
        </w:trPr>
        <w:tc>
          <w:tcPr>
            <w:tcW w:w="502" w:type="dxa"/>
            <w:shd w:val="clear" w:color="000000" w:fill="FFFFFF"/>
            <w:vAlign w:val="center"/>
            <w:hideMark/>
          </w:tcPr>
          <w:p w14:paraId="0B8196C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20</w:t>
            </w:r>
          </w:p>
        </w:tc>
        <w:tc>
          <w:tcPr>
            <w:tcW w:w="1118" w:type="dxa"/>
            <w:shd w:val="clear" w:color="000000" w:fill="FFFFFF"/>
            <w:vAlign w:val="center"/>
            <w:hideMark/>
          </w:tcPr>
          <w:p w14:paraId="0582E72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Rajasthan</w:t>
            </w:r>
          </w:p>
        </w:tc>
        <w:tc>
          <w:tcPr>
            <w:tcW w:w="996" w:type="dxa"/>
            <w:shd w:val="clear" w:color="000000" w:fill="FFFFFF"/>
            <w:vAlign w:val="center"/>
            <w:hideMark/>
          </w:tcPr>
          <w:p w14:paraId="09EB85B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2B7655B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11625</w:t>
            </w:r>
          </w:p>
        </w:tc>
        <w:tc>
          <w:tcPr>
            <w:tcW w:w="950" w:type="dxa"/>
            <w:shd w:val="clear" w:color="000000" w:fill="FFFFFF"/>
            <w:vAlign w:val="center"/>
            <w:hideMark/>
          </w:tcPr>
          <w:p w14:paraId="75C30DD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1648</w:t>
            </w:r>
          </w:p>
        </w:tc>
        <w:tc>
          <w:tcPr>
            <w:tcW w:w="775" w:type="dxa"/>
            <w:shd w:val="clear" w:color="000000" w:fill="FFFFFF"/>
            <w:vAlign w:val="center"/>
            <w:hideMark/>
          </w:tcPr>
          <w:p w14:paraId="56F6F26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ABF539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8F64B0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39446</w:t>
            </w:r>
          </w:p>
        </w:tc>
        <w:tc>
          <w:tcPr>
            <w:tcW w:w="950" w:type="dxa"/>
            <w:shd w:val="clear" w:color="000000" w:fill="FFFFFF"/>
            <w:vAlign w:val="center"/>
            <w:hideMark/>
          </w:tcPr>
          <w:p w14:paraId="1BA830F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4506</w:t>
            </w:r>
          </w:p>
        </w:tc>
        <w:tc>
          <w:tcPr>
            <w:tcW w:w="775" w:type="dxa"/>
            <w:shd w:val="clear" w:color="000000" w:fill="FFFFFF"/>
            <w:vAlign w:val="center"/>
            <w:hideMark/>
          </w:tcPr>
          <w:p w14:paraId="1E6B583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32</w:t>
            </w:r>
          </w:p>
        </w:tc>
        <w:tc>
          <w:tcPr>
            <w:tcW w:w="950" w:type="dxa"/>
            <w:shd w:val="clear" w:color="000000" w:fill="FFFFFF"/>
            <w:vAlign w:val="center"/>
            <w:hideMark/>
          </w:tcPr>
          <w:p w14:paraId="1723D95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32</w:t>
            </w:r>
          </w:p>
        </w:tc>
        <w:tc>
          <w:tcPr>
            <w:tcW w:w="775" w:type="dxa"/>
            <w:shd w:val="clear" w:color="000000" w:fill="FFFFFF"/>
            <w:vAlign w:val="center"/>
            <w:hideMark/>
          </w:tcPr>
          <w:p w14:paraId="5555FAF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6000</w:t>
            </w:r>
          </w:p>
        </w:tc>
        <w:tc>
          <w:tcPr>
            <w:tcW w:w="950" w:type="dxa"/>
            <w:shd w:val="clear" w:color="000000" w:fill="FFFFFF"/>
            <w:vAlign w:val="center"/>
            <w:hideMark/>
          </w:tcPr>
          <w:p w14:paraId="5E8A4C3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893</w:t>
            </w:r>
          </w:p>
        </w:tc>
      </w:tr>
      <w:tr w:rsidR="00861457" w:rsidRPr="004705D2" w14:paraId="097EC2C9" w14:textId="77777777" w:rsidTr="00861457">
        <w:trPr>
          <w:trHeight w:val="21"/>
          <w:jc w:val="center"/>
        </w:trPr>
        <w:tc>
          <w:tcPr>
            <w:tcW w:w="502" w:type="dxa"/>
            <w:shd w:val="clear" w:color="000000" w:fill="FFFFFF"/>
            <w:vAlign w:val="center"/>
            <w:hideMark/>
          </w:tcPr>
          <w:p w14:paraId="479F19E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DB0D17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35F837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4243348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8067</w:t>
            </w:r>
          </w:p>
        </w:tc>
        <w:tc>
          <w:tcPr>
            <w:tcW w:w="950" w:type="dxa"/>
            <w:shd w:val="clear" w:color="000000" w:fill="FFFFFF"/>
            <w:vAlign w:val="center"/>
            <w:hideMark/>
          </w:tcPr>
          <w:p w14:paraId="2743507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1875</w:t>
            </w:r>
          </w:p>
        </w:tc>
        <w:tc>
          <w:tcPr>
            <w:tcW w:w="775" w:type="dxa"/>
            <w:shd w:val="clear" w:color="000000" w:fill="FFFFFF"/>
            <w:vAlign w:val="center"/>
            <w:hideMark/>
          </w:tcPr>
          <w:p w14:paraId="5C73109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12084</w:t>
            </w:r>
          </w:p>
        </w:tc>
        <w:tc>
          <w:tcPr>
            <w:tcW w:w="950" w:type="dxa"/>
            <w:shd w:val="clear" w:color="000000" w:fill="FFFFFF"/>
            <w:vAlign w:val="center"/>
            <w:hideMark/>
          </w:tcPr>
          <w:p w14:paraId="45505A8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4030</w:t>
            </w:r>
          </w:p>
        </w:tc>
        <w:tc>
          <w:tcPr>
            <w:tcW w:w="775" w:type="dxa"/>
            <w:shd w:val="clear" w:color="000000" w:fill="FFFFFF"/>
            <w:vAlign w:val="center"/>
            <w:hideMark/>
          </w:tcPr>
          <w:p w14:paraId="36ACE50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25043</w:t>
            </w:r>
          </w:p>
        </w:tc>
        <w:tc>
          <w:tcPr>
            <w:tcW w:w="950" w:type="dxa"/>
            <w:shd w:val="clear" w:color="000000" w:fill="FFFFFF"/>
            <w:vAlign w:val="center"/>
            <w:hideMark/>
          </w:tcPr>
          <w:p w14:paraId="21DBE39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8783</w:t>
            </w:r>
          </w:p>
        </w:tc>
        <w:tc>
          <w:tcPr>
            <w:tcW w:w="775" w:type="dxa"/>
            <w:shd w:val="clear" w:color="000000" w:fill="FFFFFF"/>
            <w:vAlign w:val="center"/>
            <w:hideMark/>
          </w:tcPr>
          <w:p w14:paraId="0BB5DBD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27130</w:t>
            </w:r>
          </w:p>
        </w:tc>
        <w:tc>
          <w:tcPr>
            <w:tcW w:w="950" w:type="dxa"/>
            <w:shd w:val="clear" w:color="000000" w:fill="FFFFFF"/>
            <w:vAlign w:val="center"/>
            <w:hideMark/>
          </w:tcPr>
          <w:p w14:paraId="5AC06AE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7400</w:t>
            </w:r>
          </w:p>
        </w:tc>
        <w:tc>
          <w:tcPr>
            <w:tcW w:w="775" w:type="dxa"/>
            <w:shd w:val="clear" w:color="000000" w:fill="FFFFFF"/>
            <w:vAlign w:val="center"/>
            <w:hideMark/>
          </w:tcPr>
          <w:p w14:paraId="22D0F90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10568</w:t>
            </w:r>
          </w:p>
        </w:tc>
        <w:tc>
          <w:tcPr>
            <w:tcW w:w="950" w:type="dxa"/>
            <w:shd w:val="clear" w:color="000000" w:fill="FFFFFF"/>
            <w:vAlign w:val="center"/>
            <w:hideMark/>
          </w:tcPr>
          <w:p w14:paraId="45EF543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3985</w:t>
            </w:r>
          </w:p>
        </w:tc>
      </w:tr>
      <w:tr w:rsidR="00861457" w:rsidRPr="004705D2" w14:paraId="019202E8" w14:textId="77777777" w:rsidTr="00861457">
        <w:trPr>
          <w:trHeight w:val="21"/>
          <w:jc w:val="center"/>
        </w:trPr>
        <w:tc>
          <w:tcPr>
            <w:tcW w:w="502" w:type="dxa"/>
            <w:shd w:val="clear" w:color="000000" w:fill="FFFFFF"/>
            <w:vAlign w:val="center"/>
            <w:hideMark/>
          </w:tcPr>
          <w:p w14:paraId="5F0355B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DFC05E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687B402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5B587B0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19692</w:t>
            </w:r>
          </w:p>
        </w:tc>
        <w:tc>
          <w:tcPr>
            <w:tcW w:w="950" w:type="dxa"/>
            <w:shd w:val="clear" w:color="000000" w:fill="FFFFFF"/>
            <w:vAlign w:val="center"/>
            <w:hideMark/>
          </w:tcPr>
          <w:p w14:paraId="6C7455C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3523</w:t>
            </w:r>
          </w:p>
        </w:tc>
        <w:tc>
          <w:tcPr>
            <w:tcW w:w="775" w:type="dxa"/>
            <w:shd w:val="clear" w:color="000000" w:fill="FFFFFF"/>
            <w:vAlign w:val="center"/>
            <w:hideMark/>
          </w:tcPr>
          <w:p w14:paraId="460B301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12084</w:t>
            </w:r>
          </w:p>
        </w:tc>
        <w:tc>
          <w:tcPr>
            <w:tcW w:w="950" w:type="dxa"/>
            <w:shd w:val="clear" w:color="000000" w:fill="FFFFFF"/>
            <w:vAlign w:val="center"/>
            <w:hideMark/>
          </w:tcPr>
          <w:p w14:paraId="364003B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4030</w:t>
            </w:r>
          </w:p>
        </w:tc>
        <w:tc>
          <w:tcPr>
            <w:tcW w:w="775" w:type="dxa"/>
            <w:shd w:val="clear" w:color="000000" w:fill="FFFFFF"/>
            <w:vAlign w:val="center"/>
            <w:hideMark/>
          </w:tcPr>
          <w:p w14:paraId="50DB9A3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64489</w:t>
            </w:r>
          </w:p>
        </w:tc>
        <w:tc>
          <w:tcPr>
            <w:tcW w:w="950" w:type="dxa"/>
            <w:shd w:val="clear" w:color="000000" w:fill="FFFFFF"/>
            <w:vAlign w:val="center"/>
            <w:hideMark/>
          </w:tcPr>
          <w:p w14:paraId="13B8DB5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13289</w:t>
            </w:r>
          </w:p>
        </w:tc>
        <w:tc>
          <w:tcPr>
            <w:tcW w:w="775" w:type="dxa"/>
            <w:shd w:val="clear" w:color="000000" w:fill="FFFFFF"/>
            <w:vAlign w:val="center"/>
            <w:hideMark/>
          </w:tcPr>
          <w:p w14:paraId="35C2A55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27162</w:t>
            </w:r>
          </w:p>
        </w:tc>
        <w:tc>
          <w:tcPr>
            <w:tcW w:w="950" w:type="dxa"/>
            <w:shd w:val="clear" w:color="000000" w:fill="FFFFFF"/>
            <w:vAlign w:val="center"/>
            <w:hideMark/>
          </w:tcPr>
          <w:p w14:paraId="074ED30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7432</w:t>
            </w:r>
          </w:p>
        </w:tc>
        <w:tc>
          <w:tcPr>
            <w:tcW w:w="775" w:type="dxa"/>
            <w:shd w:val="clear" w:color="000000" w:fill="FFFFFF"/>
            <w:vAlign w:val="center"/>
            <w:hideMark/>
          </w:tcPr>
          <w:p w14:paraId="760373A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17368</w:t>
            </w:r>
          </w:p>
        </w:tc>
        <w:tc>
          <w:tcPr>
            <w:tcW w:w="950" w:type="dxa"/>
            <w:shd w:val="clear" w:color="000000" w:fill="FFFFFF"/>
            <w:vAlign w:val="center"/>
            <w:hideMark/>
          </w:tcPr>
          <w:p w14:paraId="7D780CD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4878</w:t>
            </w:r>
          </w:p>
        </w:tc>
      </w:tr>
      <w:tr w:rsidR="00861457" w:rsidRPr="004705D2" w14:paraId="73F372DB" w14:textId="77777777" w:rsidTr="00861457">
        <w:trPr>
          <w:trHeight w:val="21"/>
          <w:jc w:val="center"/>
        </w:trPr>
        <w:tc>
          <w:tcPr>
            <w:tcW w:w="502" w:type="dxa"/>
            <w:shd w:val="clear" w:color="000000" w:fill="FFFFFF"/>
            <w:vAlign w:val="center"/>
            <w:hideMark/>
          </w:tcPr>
          <w:p w14:paraId="59862D8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21</w:t>
            </w:r>
          </w:p>
        </w:tc>
        <w:tc>
          <w:tcPr>
            <w:tcW w:w="1118" w:type="dxa"/>
            <w:shd w:val="clear" w:color="000000" w:fill="FFFFFF"/>
            <w:vAlign w:val="center"/>
            <w:hideMark/>
          </w:tcPr>
          <w:p w14:paraId="0B8EB86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Sikkim</w:t>
            </w:r>
          </w:p>
        </w:tc>
        <w:tc>
          <w:tcPr>
            <w:tcW w:w="996" w:type="dxa"/>
            <w:shd w:val="clear" w:color="000000" w:fill="FFFFFF"/>
            <w:vAlign w:val="center"/>
            <w:hideMark/>
          </w:tcPr>
          <w:p w14:paraId="7D44B9C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509805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30E28C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13EA9B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5C029CE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B49998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415</w:t>
            </w:r>
          </w:p>
        </w:tc>
        <w:tc>
          <w:tcPr>
            <w:tcW w:w="950" w:type="dxa"/>
            <w:shd w:val="clear" w:color="000000" w:fill="FFFFFF"/>
            <w:vAlign w:val="center"/>
            <w:hideMark/>
          </w:tcPr>
          <w:p w14:paraId="0193353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222</w:t>
            </w:r>
          </w:p>
        </w:tc>
        <w:tc>
          <w:tcPr>
            <w:tcW w:w="775" w:type="dxa"/>
            <w:shd w:val="clear" w:color="000000" w:fill="FFFFFF"/>
            <w:vAlign w:val="center"/>
            <w:hideMark/>
          </w:tcPr>
          <w:p w14:paraId="076D7E4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E92814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577309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88FE93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2E6FD414" w14:textId="77777777" w:rsidTr="00861457">
        <w:trPr>
          <w:trHeight w:val="21"/>
          <w:jc w:val="center"/>
        </w:trPr>
        <w:tc>
          <w:tcPr>
            <w:tcW w:w="502" w:type="dxa"/>
            <w:shd w:val="clear" w:color="000000" w:fill="FFFFFF"/>
            <w:vAlign w:val="center"/>
            <w:hideMark/>
          </w:tcPr>
          <w:p w14:paraId="5D8A2BC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8BF353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7A69150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2C57D70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0DFFCC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BF1601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5FF5D1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0A3315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FA9C03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E3FA20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401</w:t>
            </w:r>
          </w:p>
        </w:tc>
        <w:tc>
          <w:tcPr>
            <w:tcW w:w="950" w:type="dxa"/>
            <w:shd w:val="clear" w:color="000000" w:fill="FFFFFF"/>
            <w:vAlign w:val="center"/>
            <w:hideMark/>
          </w:tcPr>
          <w:p w14:paraId="7A3781D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17</w:t>
            </w:r>
          </w:p>
        </w:tc>
        <w:tc>
          <w:tcPr>
            <w:tcW w:w="775" w:type="dxa"/>
            <w:shd w:val="clear" w:color="000000" w:fill="FFFFFF"/>
            <w:vAlign w:val="center"/>
            <w:hideMark/>
          </w:tcPr>
          <w:p w14:paraId="3E7C0D4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64</w:t>
            </w:r>
          </w:p>
        </w:tc>
        <w:tc>
          <w:tcPr>
            <w:tcW w:w="950" w:type="dxa"/>
            <w:shd w:val="clear" w:color="000000" w:fill="FFFFFF"/>
            <w:vAlign w:val="center"/>
            <w:hideMark/>
          </w:tcPr>
          <w:p w14:paraId="3815913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w:t>
            </w:r>
          </w:p>
        </w:tc>
      </w:tr>
      <w:tr w:rsidR="00861457" w:rsidRPr="004705D2" w14:paraId="1A856D0A" w14:textId="77777777" w:rsidTr="00861457">
        <w:trPr>
          <w:trHeight w:val="21"/>
          <w:jc w:val="center"/>
        </w:trPr>
        <w:tc>
          <w:tcPr>
            <w:tcW w:w="502" w:type="dxa"/>
            <w:shd w:val="clear" w:color="000000" w:fill="FFFFFF"/>
            <w:vAlign w:val="center"/>
            <w:hideMark/>
          </w:tcPr>
          <w:p w14:paraId="1327BD7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69D1D0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0470883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6C266FA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199588E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18B19A8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7081DEA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4147433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415</w:t>
            </w:r>
          </w:p>
        </w:tc>
        <w:tc>
          <w:tcPr>
            <w:tcW w:w="950" w:type="dxa"/>
            <w:shd w:val="clear" w:color="000000" w:fill="FFFFFF"/>
            <w:vAlign w:val="center"/>
            <w:hideMark/>
          </w:tcPr>
          <w:p w14:paraId="65EAAF1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222</w:t>
            </w:r>
          </w:p>
        </w:tc>
        <w:tc>
          <w:tcPr>
            <w:tcW w:w="775" w:type="dxa"/>
            <w:shd w:val="clear" w:color="000000" w:fill="FFFFFF"/>
            <w:vAlign w:val="center"/>
            <w:hideMark/>
          </w:tcPr>
          <w:p w14:paraId="774C90F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401</w:t>
            </w:r>
          </w:p>
        </w:tc>
        <w:tc>
          <w:tcPr>
            <w:tcW w:w="950" w:type="dxa"/>
            <w:shd w:val="clear" w:color="000000" w:fill="FFFFFF"/>
            <w:vAlign w:val="center"/>
            <w:hideMark/>
          </w:tcPr>
          <w:p w14:paraId="4F637FF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w:t>
            </w:r>
          </w:p>
        </w:tc>
        <w:tc>
          <w:tcPr>
            <w:tcW w:w="775" w:type="dxa"/>
            <w:shd w:val="clear" w:color="000000" w:fill="FFFFFF"/>
            <w:vAlign w:val="center"/>
            <w:hideMark/>
          </w:tcPr>
          <w:p w14:paraId="373043C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64</w:t>
            </w:r>
          </w:p>
        </w:tc>
        <w:tc>
          <w:tcPr>
            <w:tcW w:w="950" w:type="dxa"/>
            <w:shd w:val="clear" w:color="000000" w:fill="FFFFFF"/>
            <w:vAlign w:val="center"/>
            <w:hideMark/>
          </w:tcPr>
          <w:p w14:paraId="51A3F89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w:t>
            </w:r>
          </w:p>
        </w:tc>
      </w:tr>
      <w:tr w:rsidR="00861457" w:rsidRPr="004705D2" w14:paraId="1E4FA558" w14:textId="77777777" w:rsidTr="00861457">
        <w:trPr>
          <w:trHeight w:val="21"/>
          <w:jc w:val="center"/>
        </w:trPr>
        <w:tc>
          <w:tcPr>
            <w:tcW w:w="502" w:type="dxa"/>
            <w:shd w:val="clear" w:color="000000" w:fill="FFFFFF"/>
            <w:vAlign w:val="center"/>
            <w:hideMark/>
          </w:tcPr>
          <w:p w14:paraId="0BB4CF7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w:t>
            </w:r>
          </w:p>
        </w:tc>
        <w:tc>
          <w:tcPr>
            <w:tcW w:w="1118" w:type="dxa"/>
            <w:shd w:val="clear" w:color="000000" w:fill="FFFFFF"/>
            <w:vAlign w:val="center"/>
            <w:hideMark/>
          </w:tcPr>
          <w:p w14:paraId="32887A0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Tamil Nadu</w:t>
            </w:r>
          </w:p>
        </w:tc>
        <w:tc>
          <w:tcPr>
            <w:tcW w:w="996" w:type="dxa"/>
            <w:shd w:val="clear" w:color="000000" w:fill="FFFFFF"/>
            <w:vAlign w:val="center"/>
            <w:hideMark/>
          </w:tcPr>
          <w:p w14:paraId="38BE17F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6FA9314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8271</w:t>
            </w:r>
          </w:p>
        </w:tc>
        <w:tc>
          <w:tcPr>
            <w:tcW w:w="950" w:type="dxa"/>
            <w:shd w:val="clear" w:color="000000" w:fill="FFFFFF"/>
            <w:vAlign w:val="center"/>
            <w:hideMark/>
          </w:tcPr>
          <w:p w14:paraId="48D4112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2250</w:t>
            </w:r>
          </w:p>
        </w:tc>
        <w:tc>
          <w:tcPr>
            <w:tcW w:w="775" w:type="dxa"/>
            <w:shd w:val="clear" w:color="000000" w:fill="FFFFFF"/>
            <w:vAlign w:val="center"/>
            <w:hideMark/>
          </w:tcPr>
          <w:p w14:paraId="0AA33DB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3837DE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682F53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90726E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26D8FB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0303BA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56E128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12912</w:t>
            </w:r>
          </w:p>
        </w:tc>
        <w:tc>
          <w:tcPr>
            <w:tcW w:w="950" w:type="dxa"/>
            <w:shd w:val="clear" w:color="000000" w:fill="FFFFFF"/>
            <w:vAlign w:val="center"/>
            <w:hideMark/>
          </w:tcPr>
          <w:p w14:paraId="5ACA4F4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4119</w:t>
            </w:r>
          </w:p>
        </w:tc>
      </w:tr>
      <w:tr w:rsidR="00861457" w:rsidRPr="004705D2" w14:paraId="6D8B7E2C" w14:textId="77777777" w:rsidTr="00861457">
        <w:trPr>
          <w:trHeight w:val="21"/>
          <w:jc w:val="center"/>
        </w:trPr>
        <w:tc>
          <w:tcPr>
            <w:tcW w:w="502" w:type="dxa"/>
            <w:shd w:val="clear" w:color="000000" w:fill="FFFFFF"/>
            <w:vAlign w:val="center"/>
            <w:hideMark/>
          </w:tcPr>
          <w:p w14:paraId="7086D8F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003D635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E1855F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16A6FDB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F60FA1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6666908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7C28A6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D43FCE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16068</w:t>
            </w:r>
          </w:p>
        </w:tc>
        <w:tc>
          <w:tcPr>
            <w:tcW w:w="950" w:type="dxa"/>
            <w:shd w:val="clear" w:color="000000" w:fill="FFFFFF"/>
            <w:vAlign w:val="center"/>
            <w:hideMark/>
          </w:tcPr>
          <w:p w14:paraId="4449732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4977</w:t>
            </w:r>
          </w:p>
        </w:tc>
        <w:tc>
          <w:tcPr>
            <w:tcW w:w="775" w:type="dxa"/>
            <w:shd w:val="clear" w:color="000000" w:fill="FFFFFF"/>
            <w:vAlign w:val="center"/>
            <w:hideMark/>
          </w:tcPr>
          <w:p w14:paraId="50D334B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1839</w:t>
            </w:r>
          </w:p>
        </w:tc>
        <w:tc>
          <w:tcPr>
            <w:tcW w:w="950" w:type="dxa"/>
            <w:shd w:val="clear" w:color="000000" w:fill="FFFFFF"/>
            <w:vAlign w:val="center"/>
            <w:hideMark/>
          </w:tcPr>
          <w:p w14:paraId="519B693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1839</w:t>
            </w:r>
          </w:p>
        </w:tc>
        <w:tc>
          <w:tcPr>
            <w:tcW w:w="775" w:type="dxa"/>
            <w:shd w:val="clear" w:color="000000" w:fill="FFFFFF"/>
            <w:vAlign w:val="center"/>
            <w:hideMark/>
          </w:tcPr>
          <w:p w14:paraId="5220370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21945</w:t>
            </w:r>
          </w:p>
        </w:tc>
        <w:tc>
          <w:tcPr>
            <w:tcW w:w="950" w:type="dxa"/>
            <w:shd w:val="clear" w:color="000000" w:fill="FFFFFF"/>
            <w:vAlign w:val="center"/>
            <w:hideMark/>
          </w:tcPr>
          <w:p w14:paraId="38ECBFE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5915</w:t>
            </w:r>
          </w:p>
        </w:tc>
      </w:tr>
      <w:tr w:rsidR="00861457" w:rsidRPr="004705D2" w14:paraId="08226401" w14:textId="77777777" w:rsidTr="00861457">
        <w:trPr>
          <w:trHeight w:val="21"/>
          <w:jc w:val="center"/>
        </w:trPr>
        <w:tc>
          <w:tcPr>
            <w:tcW w:w="502" w:type="dxa"/>
            <w:shd w:val="clear" w:color="000000" w:fill="FFFFFF"/>
            <w:vAlign w:val="center"/>
            <w:hideMark/>
          </w:tcPr>
          <w:p w14:paraId="1B745C1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59FDACC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73DB3B7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3C8636C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8271</w:t>
            </w:r>
          </w:p>
        </w:tc>
        <w:tc>
          <w:tcPr>
            <w:tcW w:w="950" w:type="dxa"/>
            <w:shd w:val="clear" w:color="000000" w:fill="FFFFFF"/>
            <w:vAlign w:val="center"/>
            <w:hideMark/>
          </w:tcPr>
          <w:p w14:paraId="03EF45D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2250</w:t>
            </w:r>
          </w:p>
        </w:tc>
        <w:tc>
          <w:tcPr>
            <w:tcW w:w="775" w:type="dxa"/>
            <w:shd w:val="clear" w:color="000000" w:fill="FFFFFF"/>
            <w:vAlign w:val="center"/>
            <w:hideMark/>
          </w:tcPr>
          <w:p w14:paraId="0D56CD4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560EE36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1436DDD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16068</w:t>
            </w:r>
          </w:p>
        </w:tc>
        <w:tc>
          <w:tcPr>
            <w:tcW w:w="950" w:type="dxa"/>
            <w:shd w:val="clear" w:color="000000" w:fill="FFFFFF"/>
            <w:vAlign w:val="center"/>
            <w:hideMark/>
          </w:tcPr>
          <w:p w14:paraId="17E9E29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4977</w:t>
            </w:r>
          </w:p>
        </w:tc>
        <w:tc>
          <w:tcPr>
            <w:tcW w:w="775" w:type="dxa"/>
            <w:shd w:val="clear" w:color="000000" w:fill="FFFFFF"/>
            <w:vAlign w:val="center"/>
            <w:hideMark/>
          </w:tcPr>
          <w:p w14:paraId="02A59D8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1839</w:t>
            </w:r>
          </w:p>
        </w:tc>
        <w:tc>
          <w:tcPr>
            <w:tcW w:w="950" w:type="dxa"/>
            <w:shd w:val="clear" w:color="000000" w:fill="FFFFFF"/>
            <w:vAlign w:val="center"/>
            <w:hideMark/>
          </w:tcPr>
          <w:p w14:paraId="26984CF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1839</w:t>
            </w:r>
          </w:p>
        </w:tc>
        <w:tc>
          <w:tcPr>
            <w:tcW w:w="775" w:type="dxa"/>
            <w:shd w:val="clear" w:color="000000" w:fill="FFFFFF"/>
            <w:vAlign w:val="center"/>
            <w:hideMark/>
          </w:tcPr>
          <w:p w14:paraId="3BCE215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34857</w:t>
            </w:r>
          </w:p>
        </w:tc>
        <w:tc>
          <w:tcPr>
            <w:tcW w:w="950" w:type="dxa"/>
            <w:shd w:val="clear" w:color="000000" w:fill="FFFFFF"/>
            <w:vAlign w:val="center"/>
            <w:hideMark/>
          </w:tcPr>
          <w:p w14:paraId="6DE1BD2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10034</w:t>
            </w:r>
          </w:p>
        </w:tc>
      </w:tr>
      <w:tr w:rsidR="00861457" w:rsidRPr="004705D2" w14:paraId="6E59C5B5" w14:textId="77777777" w:rsidTr="00861457">
        <w:trPr>
          <w:trHeight w:val="21"/>
          <w:jc w:val="center"/>
        </w:trPr>
        <w:tc>
          <w:tcPr>
            <w:tcW w:w="502" w:type="dxa"/>
            <w:shd w:val="clear" w:color="000000" w:fill="FFFFFF"/>
            <w:vAlign w:val="center"/>
            <w:hideMark/>
          </w:tcPr>
          <w:p w14:paraId="2A631DF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23</w:t>
            </w:r>
          </w:p>
        </w:tc>
        <w:tc>
          <w:tcPr>
            <w:tcW w:w="1118" w:type="dxa"/>
            <w:shd w:val="clear" w:color="000000" w:fill="FFFFFF"/>
            <w:vAlign w:val="center"/>
            <w:hideMark/>
          </w:tcPr>
          <w:p w14:paraId="3780FE3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Tripura</w:t>
            </w:r>
          </w:p>
        </w:tc>
        <w:tc>
          <w:tcPr>
            <w:tcW w:w="996" w:type="dxa"/>
            <w:shd w:val="clear" w:color="000000" w:fill="FFFFFF"/>
            <w:vAlign w:val="center"/>
            <w:hideMark/>
          </w:tcPr>
          <w:p w14:paraId="6AA494D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46EFADD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3EBE1F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3B49E0E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1C4511A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0C2D51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D75874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0D3AA4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97</w:t>
            </w:r>
          </w:p>
        </w:tc>
        <w:tc>
          <w:tcPr>
            <w:tcW w:w="950" w:type="dxa"/>
            <w:shd w:val="clear" w:color="000000" w:fill="FFFFFF"/>
            <w:vAlign w:val="center"/>
            <w:hideMark/>
          </w:tcPr>
          <w:p w14:paraId="6338267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56</w:t>
            </w:r>
          </w:p>
        </w:tc>
        <w:tc>
          <w:tcPr>
            <w:tcW w:w="775" w:type="dxa"/>
            <w:shd w:val="clear" w:color="000000" w:fill="FFFFFF"/>
            <w:vAlign w:val="center"/>
            <w:hideMark/>
          </w:tcPr>
          <w:p w14:paraId="7C2826F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1943</w:t>
            </w:r>
          </w:p>
        </w:tc>
        <w:tc>
          <w:tcPr>
            <w:tcW w:w="950" w:type="dxa"/>
            <w:shd w:val="clear" w:color="000000" w:fill="FFFFFF"/>
            <w:vAlign w:val="center"/>
            <w:hideMark/>
          </w:tcPr>
          <w:p w14:paraId="2B6C21C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450</w:t>
            </w:r>
          </w:p>
        </w:tc>
      </w:tr>
      <w:tr w:rsidR="00861457" w:rsidRPr="004705D2" w14:paraId="5836178A" w14:textId="77777777" w:rsidTr="00861457">
        <w:trPr>
          <w:trHeight w:val="21"/>
          <w:jc w:val="center"/>
        </w:trPr>
        <w:tc>
          <w:tcPr>
            <w:tcW w:w="502" w:type="dxa"/>
            <w:shd w:val="clear" w:color="000000" w:fill="FFFFFF"/>
            <w:vAlign w:val="center"/>
            <w:hideMark/>
          </w:tcPr>
          <w:p w14:paraId="0502A3D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51546F4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2F3EFB5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1E3E44E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347</w:t>
            </w:r>
          </w:p>
        </w:tc>
        <w:tc>
          <w:tcPr>
            <w:tcW w:w="950" w:type="dxa"/>
            <w:shd w:val="clear" w:color="000000" w:fill="FFFFFF"/>
            <w:vAlign w:val="center"/>
            <w:hideMark/>
          </w:tcPr>
          <w:p w14:paraId="55E6202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133</w:t>
            </w:r>
          </w:p>
        </w:tc>
        <w:tc>
          <w:tcPr>
            <w:tcW w:w="775" w:type="dxa"/>
            <w:shd w:val="clear" w:color="000000" w:fill="FFFFFF"/>
            <w:vAlign w:val="center"/>
            <w:hideMark/>
          </w:tcPr>
          <w:p w14:paraId="786BF73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0F7052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F8D171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62BC6FA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7213410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325</w:t>
            </w:r>
          </w:p>
        </w:tc>
        <w:tc>
          <w:tcPr>
            <w:tcW w:w="950" w:type="dxa"/>
            <w:shd w:val="clear" w:color="000000" w:fill="FFFFFF"/>
            <w:vAlign w:val="center"/>
            <w:hideMark/>
          </w:tcPr>
          <w:p w14:paraId="67B2F66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91</w:t>
            </w:r>
          </w:p>
        </w:tc>
        <w:tc>
          <w:tcPr>
            <w:tcW w:w="775" w:type="dxa"/>
            <w:shd w:val="clear" w:color="000000" w:fill="FFFFFF"/>
            <w:vAlign w:val="center"/>
            <w:hideMark/>
          </w:tcPr>
          <w:p w14:paraId="57A371E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455BCB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r>
      <w:tr w:rsidR="00861457" w:rsidRPr="004705D2" w14:paraId="31B01721" w14:textId="77777777" w:rsidTr="00861457">
        <w:trPr>
          <w:trHeight w:val="21"/>
          <w:jc w:val="center"/>
        </w:trPr>
        <w:tc>
          <w:tcPr>
            <w:tcW w:w="502" w:type="dxa"/>
            <w:shd w:val="clear" w:color="000000" w:fill="FFFFFF"/>
            <w:vAlign w:val="center"/>
            <w:hideMark/>
          </w:tcPr>
          <w:p w14:paraId="2E31FF8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4F246AD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3242FB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5E478FB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347</w:t>
            </w:r>
          </w:p>
        </w:tc>
        <w:tc>
          <w:tcPr>
            <w:tcW w:w="950" w:type="dxa"/>
            <w:shd w:val="clear" w:color="000000" w:fill="FFFFFF"/>
            <w:vAlign w:val="center"/>
            <w:hideMark/>
          </w:tcPr>
          <w:p w14:paraId="7A61529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133</w:t>
            </w:r>
          </w:p>
        </w:tc>
        <w:tc>
          <w:tcPr>
            <w:tcW w:w="775" w:type="dxa"/>
            <w:shd w:val="clear" w:color="000000" w:fill="FFFFFF"/>
            <w:vAlign w:val="center"/>
            <w:hideMark/>
          </w:tcPr>
          <w:p w14:paraId="02A984E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3C5B7D7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1CE9DE6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950" w:type="dxa"/>
            <w:shd w:val="clear" w:color="000000" w:fill="FFFFFF"/>
            <w:vAlign w:val="center"/>
            <w:hideMark/>
          </w:tcPr>
          <w:p w14:paraId="53061CE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t>
            </w:r>
          </w:p>
        </w:tc>
        <w:tc>
          <w:tcPr>
            <w:tcW w:w="775" w:type="dxa"/>
            <w:shd w:val="clear" w:color="000000" w:fill="FFFFFF"/>
            <w:vAlign w:val="center"/>
            <w:hideMark/>
          </w:tcPr>
          <w:p w14:paraId="2C8F19E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422</w:t>
            </w:r>
          </w:p>
        </w:tc>
        <w:tc>
          <w:tcPr>
            <w:tcW w:w="950" w:type="dxa"/>
            <w:shd w:val="clear" w:color="000000" w:fill="FFFFFF"/>
            <w:vAlign w:val="center"/>
            <w:hideMark/>
          </w:tcPr>
          <w:p w14:paraId="08E1091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147</w:t>
            </w:r>
          </w:p>
        </w:tc>
        <w:tc>
          <w:tcPr>
            <w:tcW w:w="775" w:type="dxa"/>
            <w:shd w:val="clear" w:color="000000" w:fill="FFFFFF"/>
            <w:vAlign w:val="center"/>
            <w:hideMark/>
          </w:tcPr>
          <w:p w14:paraId="3C27436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1943</w:t>
            </w:r>
          </w:p>
        </w:tc>
        <w:tc>
          <w:tcPr>
            <w:tcW w:w="950" w:type="dxa"/>
            <w:shd w:val="clear" w:color="000000" w:fill="FFFFFF"/>
            <w:vAlign w:val="center"/>
            <w:hideMark/>
          </w:tcPr>
          <w:p w14:paraId="4950894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450</w:t>
            </w:r>
          </w:p>
        </w:tc>
      </w:tr>
      <w:tr w:rsidR="00861457" w:rsidRPr="004705D2" w14:paraId="4C0A9B56" w14:textId="77777777" w:rsidTr="00861457">
        <w:trPr>
          <w:trHeight w:val="21"/>
          <w:jc w:val="center"/>
        </w:trPr>
        <w:tc>
          <w:tcPr>
            <w:tcW w:w="502" w:type="dxa"/>
            <w:shd w:val="clear" w:color="000000" w:fill="FFFFFF"/>
            <w:vAlign w:val="center"/>
            <w:hideMark/>
          </w:tcPr>
          <w:p w14:paraId="4B7423C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24</w:t>
            </w:r>
          </w:p>
        </w:tc>
        <w:tc>
          <w:tcPr>
            <w:tcW w:w="1118" w:type="dxa"/>
            <w:shd w:val="clear" w:color="000000" w:fill="FFFFFF"/>
            <w:vAlign w:val="center"/>
            <w:hideMark/>
          </w:tcPr>
          <w:p w14:paraId="418C89F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Uttar Pradesh</w:t>
            </w:r>
          </w:p>
        </w:tc>
        <w:tc>
          <w:tcPr>
            <w:tcW w:w="996" w:type="dxa"/>
            <w:shd w:val="clear" w:color="000000" w:fill="FFFFFF"/>
            <w:vAlign w:val="center"/>
            <w:hideMark/>
          </w:tcPr>
          <w:p w14:paraId="479697C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774AC56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A84CFA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241EE04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41379</w:t>
            </w:r>
          </w:p>
        </w:tc>
        <w:tc>
          <w:tcPr>
            <w:tcW w:w="950" w:type="dxa"/>
            <w:shd w:val="clear" w:color="000000" w:fill="FFFFFF"/>
            <w:vAlign w:val="center"/>
            <w:hideMark/>
          </w:tcPr>
          <w:p w14:paraId="4F8E0C5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7905</w:t>
            </w:r>
          </w:p>
        </w:tc>
        <w:tc>
          <w:tcPr>
            <w:tcW w:w="775" w:type="dxa"/>
            <w:shd w:val="clear" w:color="000000" w:fill="FFFFFF"/>
            <w:vAlign w:val="center"/>
            <w:hideMark/>
          </w:tcPr>
          <w:p w14:paraId="177CEAB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36055</w:t>
            </w:r>
          </w:p>
        </w:tc>
        <w:tc>
          <w:tcPr>
            <w:tcW w:w="950" w:type="dxa"/>
            <w:shd w:val="clear" w:color="000000" w:fill="FFFFFF"/>
            <w:vAlign w:val="center"/>
            <w:hideMark/>
          </w:tcPr>
          <w:p w14:paraId="2E45E27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4546</w:t>
            </w:r>
          </w:p>
        </w:tc>
        <w:tc>
          <w:tcPr>
            <w:tcW w:w="775" w:type="dxa"/>
            <w:shd w:val="clear" w:color="000000" w:fill="FFFFFF"/>
            <w:vAlign w:val="center"/>
            <w:hideMark/>
          </w:tcPr>
          <w:p w14:paraId="4A0D197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43701</w:t>
            </w:r>
          </w:p>
        </w:tc>
        <w:tc>
          <w:tcPr>
            <w:tcW w:w="950" w:type="dxa"/>
            <w:shd w:val="clear" w:color="000000" w:fill="FFFFFF"/>
            <w:vAlign w:val="center"/>
            <w:hideMark/>
          </w:tcPr>
          <w:p w14:paraId="7395B85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6723</w:t>
            </w:r>
          </w:p>
        </w:tc>
        <w:tc>
          <w:tcPr>
            <w:tcW w:w="775" w:type="dxa"/>
            <w:shd w:val="clear" w:color="000000" w:fill="FFFFFF"/>
            <w:vAlign w:val="center"/>
            <w:hideMark/>
          </w:tcPr>
          <w:p w14:paraId="51CE264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56376</w:t>
            </w:r>
          </w:p>
        </w:tc>
        <w:tc>
          <w:tcPr>
            <w:tcW w:w="950" w:type="dxa"/>
            <w:shd w:val="clear" w:color="000000" w:fill="FFFFFF"/>
            <w:vAlign w:val="center"/>
            <w:hideMark/>
          </w:tcPr>
          <w:p w14:paraId="6C9FDDB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5726</w:t>
            </w:r>
          </w:p>
        </w:tc>
      </w:tr>
      <w:tr w:rsidR="00861457" w:rsidRPr="004705D2" w14:paraId="26EC2680" w14:textId="77777777" w:rsidTr="00861457">
        <w:trPr>
          <w:trHeight w:val="21"/>
          <w:jc w:val="center"/>
        </w:trPr>
        <w:tc>
          <w:tcPr>
            <w:tcW w:w="502" w:type="dxa"/>
            <w:shd w:val="clear" w:color="000000" w:fill="FFFFFF"/>
            <w:vAlign w:val="center"/>
            <w:hideMark/>
          </w:tcPr>
          <w:p w14:paraId="4DF61FD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631312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5837BD7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6D6D959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45707</w:t>
            </w:r>
          </w:p>
        </w:tc>
        <w:tc>
          <w:tcPr>
            <w:tcW w:w="950" w:type="dxa"/>
            <w:shd w:val="clear" w:color="000000" w:fill="FFFFFF"/>
            <w:vAlign w:val="center"/>
            <w:hideMark/>
          </w:tcPr>
          <w:p w14:paraId="2011982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3491</w:t>
            </w:r>
          </w:p>
        </w:tc>
        <w:tc>
          <w:tcPr>
            <w:tcW w:w="775" w:type="dxa"/>
            <w:shd w:val="clear" w:color="000000" w:fill="FFFFFF"/>
            <w:vAlign w:val="center"/>
            <w:hideMark/>
          </w:tcPr>
          <w:p w14:paraId="5E05F9A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12223</w:t>
            </w:r>
          </w:p>
        </w:tc>
        <w:tc>
          <w:tcPr>
            <w:tcW w:w="950" w:type="dxa"/>
            <w:shd w:val="clear" w:color="000000" w:fill="FFFFFF"/>
            <w:vAlign w:val="center"/>
            <w:hideMark/>
          </w:tcPr>
          <w:p w14:paraId="2646BF4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4752</w:t>
            </w:r>
          </w:p>
        </w:tc>
        <w:tc>
          <w:tcPr>
            <w:tcW w:w="775" w:type="dxa"/>
            <w:shd w:val="clear" w:color="000000" w:fill="FFFFFF"/>
            <w:vAlign w:val="center"/>
            <w:hideMark/>
          </w:tcPr>
          <w:p w14:paraId="0324D13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367A532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0DD5509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B81BBF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4B160B3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3600</w:t>
            </w:r>
          </w:p>
        </w:tc>
        <w:tc>
          <w:tcPr>
            <w:tcW w:w="950" w:type="dxa"/>
            <w:shd w:val="clear" w:color="000000" w:fill="FFFFFF"/>
            <w:vAlign w:val="center"/>
            <w:hideMark/>
          </w:tcPr>
          <w:p w14:paraId="27BA08B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157</w:t>
            </w:r>
          </w:p>
        </w:tc>
      </w:tr>
      <w:tr w:rsidR="00861457" w:rsidRPr="004705D2" w14:paraId="37A4EA7D" w14:textId="77777777" w:rsidTr="00861457">
        <w:trPr>
          <w:trHeight w:val="21"/>
          <w:jc w:val="center"/>
        </w:trPr>
        <w:tc>
          <w:tcPr>
            <w:tcW w:w="502" w:type="dxa"/>
            <w:shd w:val="clear" w:color="000000" w:fill="FFFFFF"/>
            <w:vAlign w:val="center"/>
            <w:hideMark/>
          </w:tcPr>
          <w:p w14:paraId="4C8DB8D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73F80C3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0DFA194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4EA7F37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45707</w:t>
            </w:r>
          </w:p>
        </w:tc>
        <w:tc>
          <w:tcPr>
            <w:tcW w:w="950" w:type="dxa"/>
            <w:shd w:val="clear" w:color="000000" w:fill="FFFFFF"/>
            <w:vAlign w:val="center"/>
            <w:hideMark/>
          </w:tcPr>
          <w:p w14:paraId="1C34B53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3491</w:t>
            </w:r>
          </w:p>
        </w:tc>
        <w:tc>
          <w:tcPr>
            <w:tcW w:w="775" w:type="dxa"/>
            <w:shd w:val="clear" w:color="000000" w:fill="FFFFFF"/>
            <w:vAlign w:val="center"/>
            <w:hideMark/>
          </w:tcPr>
          <w:p w14:paraId="2D18B84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53602</w:t>
            </w:r>
          </w:p>
        </w:tc>
        <w:tc>
          <w:tcPr>
            <w:tcW w:w="950" w:type="dxa"/>
            <w:shd w:val="clear" w:color="000000" w:fill="FFFFFF"/>
            <w:vAlign w:val="center"/>
            <w:hideMark/>
          </w:tcPr>
          <w:p w14:paraId="28633A1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12657</w:t>
            </w:r>
          </w:p>
        </w:tc>
        <w:tc>
          <w:tcPr>
            <w:tcW w:w="775" w:type="dxa"/>
            <w:shd w:val="clear" w:color="000000" w:fill="FFFFFF"/>
            <w:vAlign w:val="center"/>
            <w:hideMark/>
          </w:tcPr>
          <w:p w14:paraId="01B84F3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36055</w:t>
            </w:r>
          </w:p>
        </w:tc>
        <w:tc>
          <w:tcPr>
            <w:tcW w:w="950" w:type="dxa"/>
            <w:shd w:val="clear" w:color="000000" w:fill="FFFFFF"/>
            <w:vAlign w:val="center"/>
            <w:hideMark/>
          </w:tcPr>
          <w:p w14:paraId="16C38FB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4546</w:t>
            </w:r>
          </w:p>
        </w:tc>
        <w:tc>
          <w:tcPr>
            <w:tcW w:w="775" w:type="dxa"/>
            <w:shd w:val="clear" w:color="000000" w:fill="FFFFFF"/>
            <w:vAlign w:val="center"/>
            <w:hideMark/>
          </w:tcPr>
          <w:p w14:paraId="676CB20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43701</w:t>
            </w:r>
          </w:p>
        </w:tc>
        <w:tc>
          <w:tcPr>
            <w:tcW w:w="950" w:type="dxa"/>
            <w:shd w:val="clear" w:color="000000" w:fill="FFFFFF"/>
            <w:vAlign w:val="center"/>
            <w:hideMark/>
          </w:tcPr>
          <w:p w14:paraId="4FF5910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6723</w:t>
            </w:r>
          </w:p>
        </w:tc>
        <w:tc>
          <w:tcPr>
            <w:tcW w:w="775" w:type="dxa"/>
            <w:shd w:val="clear" w:color="000000" w:fill="FFFFFF"/>
            <w:vAlign w:val="center"/>
            <w:hideMark/>
          </w:tcPr>
          <w:p w14:paraId="1AC98A0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59976</w:t>
            </w:r>
          </w:p>
        </w:tc>
        <w:tc>
          <w:tcPr>
            <w:tcW w:w="950" w:type="dxa"/>
            <w:shd w:val="clear" w:color="000000" w:fill="FFFFFF"/>
            <w:vAlign w:val="center"/>
            <w:hideMark/>
          </w:tcPr>
          <w:p w14:paraId="40C0987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5883</w:t>
            </w:r>
          </w:p>
        </w:tc>
      </w:tr>
      <w:tr w:rsidR="00861457" w:rsidRPr="004705D2" w14:paraId="445889DF" w14:textId="77777777" w:rsidTr="00861457">
        <w:trPr>
          <w:trHeight w:val="21"/>
          <w:jc w:val="center"/>
        </w:trPr>
        <w:tc>
          <w:tcPr>
            <w:tcW w:w="502" w:type="dxa"/>
            <w:shd w:val="clear" w:color="000000" w:fill="FFFFFF"/>
            <w:vAlign w:val="center"/>
            <w:hideMark/>
          </w:tcPr>
          <w:p w14:paraId="4CC4832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25</w:t>
            </w:r>
          </w:p>
        </w:tc>
        <w:tc>
          <w:tcPr>
            <w:tcW w:w="1118" w:type="dxa"/>
            <w:shd w:val="clear" w:color="000000" w:fill="FFFFFF"/>
            <w:vAlign w:val="center"/>
            <w:hideMark/>
          </w:tcPr>
          <w:p w14:paraId="29E8E69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West Bengal</w:t>
            </w:r>
          </w:p>
        </w:tc>
        <w:tc>
          <w:tcPr>
            <w:tcW w:w="996" w:type="dxa"/>
            <w:shd w:val="clear" w:color="000000" w:fill="FFFFFF"/>
            <w:vAlign w:val="center"/>
            <w:hideMark/>
          </w:tcPr>
          <w:p w14:paraId="66E2B36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Flood, etc.</w:t>
            </w:r>
          </w:p>
        </w:tc>
        <w:tc>
          <w:tcPr>
            <w:tcW w:w="775" w:type="dxa"/>
            <w:shd w:val="clear" w:color="000000" w:fill="FFFFFF"/>
            <w:vAlign w:val="center"/>
            <w:hideMark/>
          </w:tcPr>
          <w:p w14:paraId="220A398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D4D130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10E0F05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4222</w:t>
            </w:r>
          </w:p>
        </w:tc>
        <w:tc>
          <w:tcPr>
            <w:tcW w:w="950" w:type="dxa"/>
            <w:shd w:val="clear" w:color="000000" w:fill="FFFFFF"/>
            <w:vAlign w:val="center"/>
            <w:hideMark/>
          </w:tcPr>
          <w:p w14:paraId="2070A44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2356</w:t>
            </w:r>
          </w:p>
        </w:tc>
        <w:tc>
          <w:tcPr>
            <w:tcW w:w="775" w:type="dxa"/>
            <w:shd w:val="clear" w:color="000000" w:fill="FFFFFF"/>
            <w:vAlign w:val="center"/>
            <w:hideMark/>
          </w:tcPr>
          <w:p w14:paraId="1C5A0E0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5907</w:t>
            </w:r>
          </w:p>
        </w:tc>
        <w:tc>
          <w:tcPr>
            <w:tcW w:w="950" w:type="dxa"/>
            <w:shd w:val="clear" w:color="000000" w:fill="FFFFFF"/>
            <w:vAlign w:val="center"/>
            <w:hideMark/>
          </w:tcPr>
          <w:p w14:paraId="45D825A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1818</w:t>
            </w:r>
          </w:p>
        </w:tc>
        <w:tc>
          <w:tcPr>
            <w:tcW w:w="775" w:type="dxa"/>
            <w:shd w:val="clear" w:color="000000" w:fill="FFFFFF"/>
            <w:vAlign w:val="center"/>
            <w:hideMark/>
          </w:tcPr>
          <w:p w14:paraId="1028BFE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0657952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758</w:t>
            </w:r>
          </w:p>
        </w:tc>
        <w:tc>
          <w:tcPr>
            <w:tcW w:w="775" w:type="dxa"/>
            <w:shd w:val="clear" w:color="000000" w:fill="FFFFFF"/>
            <w:vAlign w:val="center"/>
            <w:hideMark/>
          </w:tcPr>
          <w:p w14:paraId="6902D46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2C9AA92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68</w:t>
            </w:r>
          </w:p>
        </w:tc>
      </w:tr>
      <w:tr w:rsidR="00861457" w:rsidRPr="004705D2" w14:paraId="7DC19CB0" w14:textId="77777777" w:rsidTr="00861457">
        <w:trPr>
          <w:trHeight w:val="21"/>
          <w:jc w:val="center"/>
        </w:trPr>
        <w:tc>
          <w:tcPr>
            <w:tcW w:w="502" w:type="dxa"/>
            <w:shd w:val="clear" w:color="000000" w:fill="FFFFFF"/>
            <w:vAlign w:val="center"/>
            <w:hideMark/>
          </w:tcPr>
          <w:p w14:paraId="13AE132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182131D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4C81857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Drought</w:t>
            </w:r>
          </w:p>
        </w:tc>
        <w:tc>
          <w:tcPr>
            <w:tcW w:w="775" w:type="dxa"/>
            <w:shd w:val="clear" w:color="000000" w:fill="FFFFFF"/>
            <w:vAlign w:val="center"/>
            <w:hideMark/>
          </w:tcPr>
          <w:p w14:paraId="1FEA960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9474</w:t>
            </w:r>
          </w:p>
        </w:tc>
        <w:tc>
          <w:tcPr>
            <w:tcW w:w="950" w:type="dxa"/>
            <w:shd w:val="clear" w:color="000000" w:fill="FFFFFF"/>
            <w:vAlign w:val="center"/>
            <w:hideMark/>
          </w:tcPr>
          <w:p w14:paraId="0589616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2767</w:t>
            </w:r>
          </w:p>
        </w:tc>
        <w:tc>
          <w:tcPr>
            <w:tcW w:w="775" w:type="dxa"/>
            <w:shd w:val="clear" w:color="000000" w:fill="FFFFFF"/>
            <w:vAlign w:val="center"/>
            <w:hideMark/>
          </w:tcPr>
          <w:p w14:paraId="026B943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742231A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ED904C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950" w:type="dxa"/>
            <w:shd w:val="clear" w:color="000000" w:fill="FFFFFF"/>
            <w:vAlign w:val="center"/>
            <w:hideMark/>
          </w:tcPr>
          <w:p w14:paraId="46984C8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w:t>
            </w:r>
          </w:p>
        </w:tc>
        <w:tc>
          <w:tcPr>
            <w:tcW w:w="775" w:type="dxa"/>
            <w:shd w:val="clear" w:color="000000" w:fill="FFFFFF"/>
            <w:vAlign w:val="center"/>
            <w:hideMark/>
          </w:tcPr>
          <w:p w14:paraId="5BBCF73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28132</w:t>
            </w:r>
          </w:p>
        </w:tc>
        <w:tc>
          <w:tcPr>
            <w:tcW w:w="950" w:type="dxa"/>
            <w:shd w:val="clear" w:color="000000" w:fill="FFFFFF"/>
            <w:vAlign w:val="center"/>
            <w:hideMark/>
          </w:tcPr>
          <w:p w14:paraId="7B65C65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7727</w:t>
            </w:r>
          </w:p>
        </w:tc>
        <w:tc>
          <w:tcPr>
            <w:tcW w:w="775" w:type="dxa"/>
            <w:shd w:val="clear" w:color="000000" w:fill="FFFFFF"/>
            <w:vAlign w:val="center"/>
            <w:hideMark/>
          </w:tcPr>
          <w:p w14:paraId="0A76AFA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10233</w:t>
            </w:r>
          </w:p>
        </w:tc>
        <w:tc>
          <w:tcPr>
            <w:tcW w:w="950" w:type="dxa"/>
            <w:shd w:val="clear" w:color="000000" w:fill="FFFFFF"/>
            <w:vAlign w:val="center"/>
            <w:hideMark/>
          </w:tcPr>
          <w:p w14:paraId="063D6E6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3059</w:t>
            </w:r>
          </w:p>
        </w:tc>
      </w:tr>
      <w:tr w:rsidR="00861457" w:rsidRPr="004705D2" w14:paraId="07EE0FA6" w14:textId="77777777" w:rsidTr="00861457">
        <w:trPr>
          <w:trHeight w:val="21"/>
          <w:jc w:val="center"/>
        </w:trPr>
        <w:tc>
          <w:tcPr>
            <w:tcW w:w="502" w:type="dxa"/>
            <w:shd w:val="clear" w:color="000000" w:fill="FFFFFF"/>
            <w:vAlign w:val="center"/>
            <w:hideMark/>
          </w:tcPr>
          <w:p w14:paraId="07A5176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637EBF6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1082949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7C8C009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9474</w:t>
            </w:r>
          </w:p>
        </w:tc>
        <w:tc>
          <w:tcPr>
            <w:tcW w:w="950" w:type="dxa"/>
            <w:shd w:val="clear" w:color="000000" w:fill="FFFFFF"/>
            <w:vAlign w:val="center"/>
            <w:hideMark/>
          </w:tcPr>
          <w:p w14:paraId="220035A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2767</w:t>
            </w:r>
          </w:p>
        </w:tc>
        <w:tc>
          <w:tcPr>
            <w:tcW w:w="775" w:type="dxa"/>
            <w:shd w:val="clear" w:color="000000" w:fill="FFFFFF"/>
            <w:vAlign w:val="center"/>
            <w:hideMark/>
          </w:tcPr>
          <w:p w14:paraId="7D16ADD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4222</w:t>
            </w:r>
          </w:p>
        </w:tc>
        <w:tc>
          <w:tcPr>
            <w:tcW w:w="950" w:type="dxa"/>
            <w:shd w:val="clear" w:color="000000" w:fill="FFFFFF"/>
            <w:vAlign w:val="center"/>
            <w:hideMark/>
          </w:tcPr>
          <w:p w14:paraId="6A17119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2356</w:t>
            </w:r>
          </w:p>
        </w:tc>
        <w:tc>
          <w:tcPr>
            <w:tcW w:w="775" w:type="dxa"/>
            <w:shd w:val="clear" w:color="000000" w:fill="FFFFFF"/>
            <w:vAlign w:val="center"/>
            <w:hideMark/>
          </w:tcPr>
          <w:p w14:paraId="120A2EE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5907</w:t>
            </w:r>
          </w:p>
        </w:tc>
        <w:tc>
          <w:tcPr>
            <w:tcW w:w="950" w:type="dxa"/>
            <w:shd w:val="clear" w:color="000000" w:fill="FFFFFF"/>
            <w:vAlign w:val="center"/>
            <w:hideMark/>
          </w:tcPr>
          <w:p w14:paraId="2BB679D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1818</w:t>
            </w:r>
          </w:p>
        </w:tc>
        <w:tc>
          <w:tcPr>
            <w:tcW w:w="775" w:type="dxa"/>
            <w:shd w:val="clear" w:color="000000" w:fill="FFFFFF"/>
            <w:vAlign w:val="center"/>
            <w:hideMark/>
          </w:tcPr>
          <w:p w14:paraId="126BD9E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28132</w:t>
            </w:r>
          </w:p>
        </w:tc>
        <w:tc>
          <w:tcPr>
            <w:tcW w:w="950" w:type="dxa"/>
            <w:shd w:val="clear" w:color="000000" w:fill="FFFFFF"/>
            <w:vAlign w:val="center"/>
            <w:hideMark/>
          </w:tcPr>
          <w:p w14:paraId="4E928B37"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8485</w:t>
            </w:r>
          </w:p>
        </w:tc>
        <w:tc>
          <w:tcPr>
            <w:tcW w:w="775" w:type="dxa"/>
            <w:shd w:val="clear" w:color="000000" w:fill="FFFFFF"/>
            <w:vAlign w:val="center"/>
            <w:hideMark/>
          </w:tcPr>
          <w:p w14:paraId="66F3AE3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10233</w:t>
            </w:r>
          </w:p>
        </w:tc>
        <w:tc>
          <w:tcPr>
            <w:tcW w:w="950" w:type="dxa"/>
            <w:shd w:val="clear" w:color="000000" w:fill="FFFFFF"/>
            <w:vAlign w:val="center"/>
            <w:hideMark/>
          </w:tcPr>
          <w:p w14:paraId="2D6E9F9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3119</w:t>
            </w:r>
          </w:p>
        </w:tc>
      </w:tr>
      <w:tr w:rsidR="00861457" w:rsidRPr="004705D2" w14:paraId="74733BA3" w14:textId="77777777" w:rsidTr="00861457">
        <w:trPr>
          <w:trHeight w:val="21"/>
          <w:jc w:val="center"/>
        </w:trPr>
        <w:tc>
          <w:tcPr>
            <w:tcW w:w="502" w:type="dxa"/>
            <w:shd w:val="clear" w:color="000000" w:fill="FFFFFF"/>
            <w:vAlign w:val="center"/>
            <w:hideMark/>
          </w:tcPr>
          <w:p w14:paraId="52DAFCF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627694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GRAND TOTAL</w:t>
            </w:r>
          </w:p>
        </w:tc>
        <w:tc>
          <w:tcPr>
            <w:tcW w:w="996" w:type="dxa"/>
            <w:shd w:val="clear" w:color="000000" w:fill="FFFFFF"/>
            <w:vAlign w:val="center"/>
            <w:hideMark/>
          </w:tcPr>
          <w:p w14:paraId="20FE583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Flood, etc.</w:t>
            </w:r>
          </w:p>
        </w:tc>
        <w:tc>
          <w:tcPr>
            <w:tcW w:w="775" w:type="dxa"/>
            <w:shd w:val="clear" w:color="000000" w:fill="FFFFFF"/>
            <w:vAlign w:val="center"/>
            <w:hideMark/>
          </w:tcPr>
          <w:p w14:paraId="588B92F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50352</w:t>
            </w:r>
          </w:p>
        </w:tc>
        <w:tc>
          <w:tcPr>
            <w:tcW w:w="950" w:type="dxa"/>
            <w:shd w:val="clear" w:color="000000" w:fill="FFFFFF"/>
            <w:vAlign w:val="center"/>
            <w:hideMark/>
          </w:tcPr>
          <w:p w14:paraId="7D911AA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15758</w:t>
            </w:r>
          </w:p>
        </w:tc>
        <w:tc>
          <w:tcPr>
            <w:tcW w:w="775" w:type="dxa"/>
            <w:shd w:val="clear" w:color="000000" w:fill="FFFFFF"/>
            <w:vAlign w:val="center"/>
            <w:hideMark/>
          </w:tcPr>
          <w:p w14:paraId="42B7DF6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85362</w:t>
            </w:r>
          </w:p>
        </w:tc>
        <w:tc>
          <w:tcPr>
            <w:tcW w:w="950" w:type="dxa"/>
            <w:shd w:val="clear" w:color="000000" w:fill="FFFFFF"/>
            <w:vAlign w:val="center"/>
            <w:hideMark/>
          </w:tcPr>
          <w:p w14:paraId="2302DD9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22988</w:t>
            </w:r>
          </w:p>
        </w:tc>
        <w:tc>
          <w:tcPr>
            <w:tcW w:w="775" w:type="dxa"/>
            <w:shd w:val="clear" w:color="000000" w:fill="FFFFFF"/>
            <w:vAlign w:val="center"/>
            <w:hideMark/>
          </w:tcPr>
          <w:p w14:paraId="3FFCD6C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97608</w:t>
            </w:r>
          </w:p>
        </w:tc>
        <w:tc>
          <w:tcPr>
            <w:tcW w:w="950" w:type="dxa"/>
            <w:shd w:val="clear" w:color="000000" w:fill="FFFFFF"/>
            <w:vAlign w:val="center"/>
            <w:hideMark/>
          </w:tcPr>
          <w:p w14:paraId="61C79A94"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15893</w:t>
            </w:r>
          </w:p>
        </w:tc>
        <w:tc>
          <w:tcPr>
            <w:tcW w:w="775" w:type="dxa"/>
            <w:shd w:val="clear" w:color="000000" w:fill="FFFFFF"/>
            <w:vAlign w:val="center"/>
            <w:hideMark/>
          </w:tcPr>
          <w:p w14:paraId="4182124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176863</w:t>
            </w:r>
          </w:p>
        </w:tc>
        <w:tc>
          <w:tcPr>
            <w:tcW w:w="950" w:type="dxa"/>
            <w:shd w:val="clear" w:color="000000" w:fill="FFFFFF"/>
            <w:vAlign w:val="center"/>
            <w:hideMark/>
          </w:tcPr>
          <w:p w14:paraId="3603366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35893</w:t>
            </w:r>
          </w:p>
        </w:tc>
        <w:tc>
          <w:tcPr>
            <w:tcW w:w="775" w:type="dxa"/>
            <w:shd w:val="clear" w:color="000000" w:fill="FFFFFF"/>
            <w:vAlign w:val="center"/>
            <w:hideMark/>
          </w:tcPr>
          <w:p w14:paraId="344C0C9A"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173839</w:t>
            </w:r>
          </w:p>
        </w:tc>
        <w:tc>
          <w:tcPr>
            <w:tcW w:w="950" w:type="dxa"/>
            <w:shd w:val="clear" w:color="000000" w:fill="FFFFFF"/>
            <w:vAlign w:val="center"/>
            <w:hideMark/>
          </w:tcPr>
          <w:p w14:paraId="648C465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34943</w:t>
            </w:r>
          </w:p>
        </w:tc>
      </w:tr>
      <w:tr w:rsidR="00861457" w:rsidRPr="004705D2" w14:paraId="2702EFD4" w14:textId="77777777" w:rsidTr="00861457">
        <w:trPr>
          <w:trHeight w:val="21"/>
          <w:jc w:val="center"/>
        </w:trPr>
        <w:tc>
          <w:tcPr>
            <w:tcW w:w="502" w:type="dxa"/>
            <w:shd w:val="clear" w:color="000000" w:fill="FFFFFF"/>
            <w:vAlign w:val="center"/>
            <w:hideMark/>
          </w:tcPr>
          <w:p w14:paraId="03C3D9B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0B844B4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6D4897B1"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Drought</w:t>
            </w:r>
          </w:p>
        </w:tc>
        <w:tc>
          <w:tcPr>
            <w:tcW w:w="775" w:type="dxa"/>
            <w:shd w:val="clear" w:color="000000" w:fill="FFFFFF"/>
            <w:vAlign w:val="center"/>
            <w:hideMark/>
          </w:tcPr>
          <w:p w14:paraId="14F0444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125384</w:t>
            </w:r>
          </w:p>
        </w:tc>
        <w:tc>
          <w:tcPr>
            <w:tcW w:w="950" w:type="dxa"/>
            <w:shd w:val="clear" w:color="000000" w:fill="FFFFFF"/>
            <w:vAlign w:val="center"/>
            <w:hideMark/>
          </w:tcPr>
          <w:p w14:paraId="6078560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18348</w:t>
            </w:r>
          </w:p>
        </w:tc>
        <w:tc>
          <w:tcPr>
            <w:tcW w:w="775" w:type="dxa"/>
            <w:shd w:val="clear" w:color="000000" w:fill="FFFFFF"/>
            <w:vAlign w:val="center"/>
            <w:hideMark/>
          </w:tcPr>
          <w:p w14:paraId="0389E6AD"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113606</w:t>
            </w:r>
          </w:p>
        </w:tc>
        <w:tc>
          <w:tcPr>
            <w:tcW w:w="950" w:type="dxa"/>
            <w:shd w:val="clear" w:color="000000" w:fill="FFFFFF"/>
            <w:vAlign w:val="center"/>
            <w:hideMark/>
          </w:tcPr>
          <w:p w14:paraId="5C6325E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26464</w:t>
            </w:r>
          </w:p>
        </w:tc>
        <w:tc>
          <w:tcPr>
            <w:tcW w:w="775" w:type="dxa"/>
            <w:shd w:val="clear" w:color="000000" w:fill="FFFFFF"/>
            <w:vAlign w:val="center"/>
            <w:hideMark/>
          </w:tcPr>
          <w:p w14:paraId="62B3064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71707</w:t>
            </w:r>
          </w:p>
        </w:tc>
        <w:tc>
          <w:tcPr>
            <w:tcW w:w="950" w:type="dxa"/>
            <w:shd w:val="clear" w:color="000000" w:fill="FFFFFF"/>
            <w:vAlign w:val="center"/>
            <w:hideMark/>
          </w:tcPr>
          <w:p w14:paraId="0905DF4B"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18856</w:t>
            </w:r>
          </w:p>
        </w:tc>
        <w:tc>
          <w:tcPr>
            <w:tcW w:w="775" w:type="dxa"/>
            <w:shd w:val="clear" w:color="000000" w:fill="FFFFFF"/>
            <w:vAlign w:val="center"/>
            <w:hideMark/>
          </w:tcPr>
          <w:p w14:paraId="4153E48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193925</w:t>
            </w:r>
          </w:p>
        </w:tc>
        <w:tc>
          <w:tcPr>
            <w:tcW w:w="950" w:type="dxa"/>
            <w:shd w:val="clear" w:color="000000" w:fill="FFFFFF"/>
            <w:vAlign w:val="center"/>
            <w:hideMark/>
          </w:tcPr>
          <w:p w14:paraId="4A724C2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45073</w:t>
            </w:r>
          </w:p>
        </w:tc>
        <w:tc>
          <w:tcPr>
            <w:tcW w:w="775" w:type="dxa"/>
            <w:shd w:val="clear" w:color="000000" w:fill="FFFFFF"/>
            <w:vAlign w:val="center"/>
            <w:hideMark/>
          </w:tcPr>
          <w:p w14:paraId="1DDF865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119017</w:t>
            </w:r>
          </w:p>
        </w:tc>
        <w:tc>
          <w:tcPr>
            <w:tcW w:w="950" w:type="dxa"/>
            <w:shd w:val="clear" w:color="000000" w:fill="FFFFFF"/>
            <w:vAlign w:val="center"/>
            <w:hideMark/>
          </w:tcPr>
          <w:p w14:paraId="2330ED0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29264</w:t>
            </w:r>
          </w:p>
        </w:tc>
      </w:tr>
      <w:tr w:rsidR="00861457" w:rsidRPr="004705D2" w14:paraId="497C56F0" w14:textId="77777777" w:rsidTr="00861457">
        <w:trPr>
          <w:trHeight w:val="21"/>
          <w:jc w:val="center"/>
        </w:trPr>
        <w:tc>
          <w:tcPr>
            <w:tcW w:w="502" w:type="dxa"/>
            <w:shd w:val="clear" w:color="000000" w:fill="FFFFFF"/>
            <w:vAlign w:val="center"/>
            <w:hideMark/>
          </w:tcPr>
          <w:p w14:paraId="36B7654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1118" w:type="dxa"/>
            <w:shd w:val="clear" w:color="000000" w:fill="FFFFFF"/>
            <w:vAlign w:val="center"/>
            <w:hideMark/>
          </w:tcPr>
          <w:p w14:paraId="34B4C5F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996" w:type="dxa"/>
            <w:shd w:val="clear" w:color="000000" w:fill="FFFFFF"/>
            <w:vAlign w:val="center"/>
            <w:hideMark/>
          </w:tcPr>
          <w:p w14:paraId="161B2332"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TOTAL</w:t>
            </w:r>
          </w:p>
        </w:tc>
        <w:tc>
          <w:tcPr>
            <w:tcW w:w="775" w:type="dxa"/>
            <w:shd w:val="clear" w:color="000000" w:fill="FFFFFF"/>
            <w:vAlign w:val="center"/>
            <w:hideMark/>
          </w:tcPr>
          <w:p w14:paraId="2A21EAD0"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175736</w:t>
            </w:r>
          </w:p>
        </w:tc>
        <w:tc>
          <w:tcPr>
            <w:tcW w:w="950" w:type="dxa"/>
            <w:shd w:val="clear" w:color="000000" w:fill="FFFFFF"/>
            <w:vAlign w:val="center"/>
            <w:hideMark/>
          </w:tcPr>
          <w:p w14:paraId="723A097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34106</w:t>
            </w:r>
          </w:p>
        </w:tc>
        <w:tc>
          <w:tcPr>
            <w:tcW w:w="775" w:type="dxa"/>
            <w:shd w:val="clear" w:color="000000" w:fill="FFFFFF"/>
            <w:vAlign w:val="center"/>
            <w:hideMark/>
          </w:tcPr>
          <w:p w14:paraId="378B487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198968</w:t>
            </w:r>
          </w:p>
        </w:tc>
        <w:tc>
          <w:tcPr>
            <w:tcW w:w="950" w:type="dxa"/>
            <w:shd w:val="clear" w:color="000000" w:fill="FFFFFF"/>
            <w:vAlign w:val="center"/>
            <w:hideMark/>
          </w:tcPr>
          <w:p w14:paraId="7567FCD5"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49452</w:t>
            </w:r>
          </w:p>
        </w:tc>
        <w:tc>
          <w:tcPr>
            <w:tcW w:w="775" w:type="dxa"/>
            <w:shd w:val="clear" w:color="000000" w:fill="FFFFFF"/>
            <w:vAlign w:val="center"/>
            <w:hideMark/>
          </w:tcPr>
          <w:p w14:paraId="315B5E08"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169315</w:t>
            </w:r>
          </w:p>
        </w:tc>
        <w:tc>
          <w:tcPr>
            <w:tcW w:w="950" w:type="dxa"/>
            <w:shd w:val="clear" w:color="000000" w:fill="FFFFFF"/>
            <w:vAlign w:val="center"/>
            <w:hideMark/>
          </w:tcPr>
          <w:p w14:paraId="19332D0E"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34749</w:t>
            </w:r>
          </w:p>
        </w:tc>
        <w:tc>
          <w:tcPr>
            <w:tcW w:w="775" w:type="dxa"/>
            <w:shd w:val="clear" w:color="000000" w:fill="FFFFFF"/>
            <w:vAlign w:val="center"/>
            <w:hideMark/>
          </w:tcPr>
          <w:p w14:paraId="5B5424E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370788</w:t>
            </w:r>
          </w:p>
        </w:tc>
        <w:tc>
          <w:tcPr>
            <w:tcW w:w="950" w:type="dxa"/>
            <w:shd w:val="clear" w:color="000000" w:fill="FFFFFF"/>
            <w:vAlign w:val="center"/>
            <w:hideMark/>
          </w:tcPr>
          <w:p w14:paraId="4617F82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80966</w:t>
            </w:r>
          </w:p>
        </w:tc>
        <w:tc>
          <w:tcPr>
            <w:tcW w:w="775" w:type="dxa"/>
            <w:shd w:val="clear" w:color="000000" w:fill="FFFFFF"/>
            <w:vAlign w:val="center"/>
            <w:hideMark/>
          </w:tcPr>
          <w:p w14:paraId="2097A1EC"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292856</w:t>
            </w:r>
          </w:p>
        </w:tc>
        <w:tc>
          <w:tcPr>
            <w:tcW w:w="950" w:type="dxa"/>
            <w:shd w:val="clear" w:color="000000" w:fill="FFFFFF"/>
            <w:vAlign w:val="center"/>
            <w:hideMark/>
          </w:tcPr>
          <w:p w14:paraId="742BA59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64207</w:t>
            </w:r>
          </w:p>
        </w:tc>
      </w:tr>
    </w:tbl>
    <w:p w14:paraId="57DFFDD5" w14:textId="26223794" w:rsidR="00861457" w:rsidRPr="004705D2" w:rsidRDefault="00861457" w:rsidP="009210C4">
      <w:pPr>
        <w:tabs>
          <w:tab w:val="left" w:pos="3862"/>
        </w:tabs>
        <w:rPr>
          <w:rFonts w:ascii="Times New Roman" w:hAnsi="Times New Roman" w:cs="Times New Roman"/>
          <w:highlight w:val="yellow"/>
        </w:rPr>
      </w:pPr>
    </w:p>
    <w:p w14:paraId="09BAFBCA" w14:textId="77777777" w:rsidR="00861457" w:rsidRPr="004705D2" w:rsidRDefault="00861457">
      <w:pPr>
        <w:rPr>
          <w:rFonts w:ascii="Times New Roman" w:hAnsi="Times New Roman" w:cs="Times New Roman"/>
          <w:highlight w:val="yellow"/>
        </w:rPr>
      </w:pPr>
      <w:r w:rsidRPr="004705D2">
        <w:rPr>
          <w:rFonts w:ascii="Times New Roman" w:hAnsi="Times New Roman" w:cs="Times New Roman"/>
          <w:highlight w:val="yellow"/>
        </w:rPr>
        <w:br w:type="page"/>
      </w:r>
    </w:p>
    <w:tbl>
      <w:tblPr>
        <w:tblW w:w="10251" w:type="dxa"/>
        <w:jc w:val="center"/>
        <w:tblLayout w:type="fixed"/>
        <w:tblLook w:val="04A0" w:firstRow="1" w:lastRow="0" w:firstColumn="1" w:lastColumn="0" w:noHBand="0" w:noVBand="1"/>
      </w:tblPr>
      <w:tblGrid>
        <w:gridCol w:w="449"/>
        <w:gridCol w:w="808"/>
        <w:gridCol w:w="777"/>
        <w:gridCol w:w="536"/>
        <w:gridCol w:w="654"/>
        <w:gridCol w:w="536"/>
        <w:gridCol w:w="654"/>
        <w:gridCol w:w="621"/>
        <w:gridCol w:w="569"/>
        <w:gridCol w:w="584"/>
        <w:gridCol w:w="557"/>
        <w:gridCol w:w="630"/>
        <w:gridCol w:w="540"/>
        <w:gridCol w:w="700"/>
        <w:gridCol w:w="701"/>
        <w:gridCol w:w="426"/>
        <w:gridCol w:w="503"/>
        <w:gridCol w:w="6"/>
      </w:tblGrid>
      <w:tr w:rsidR="004705D2" w:rsidRPr="004705D2" w14:paraId="2EF64E93" w14:textId="77777777" w:rsidTr="00493B1C">
        <w:trPr>
          <w:trHeight w:val="35"/>
          <w:jc w:val="center"/>
        </w:trPr>
        <w:tc>
          <w:tcPr>
            <w:tcW w:w="4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87B66" w14:textId="77777777" w:rsidR="004705D2" w:rsidRPr="00767C21" w:rsidRDefault="004705D2" w:rsidP="00861457">
            <w:pPr>
              <w:spacing w:after="0" w:line="240" w:lineRule="auto"/>
              <w:jc w:val="center"/>
              <w:rPr>
                <w:rFonts w:ascii="Arial" w:eastAsia="Times New Roman" w:hAnsi="Arial" w:cs="Arial"/>
                <w:b/>
                <w:bCs/>
                <w:color w:val="2B2D31"/>
                <w:kern w:val="0"/>
                <w:sz w:val="12"/>
                <w:szCs w:val="12"/>
                <w:lang w:eastAsia="en-IN"/>
                <w14:ligatures w14:val="none"/>
              </w:rPr>
            </w:pPr>
            <w:proofErr w:type="spellStart"/>
            <w:proofErr w:type="gramStart"/>
            <w:r w:rsidRPr="00767C21">
              <w:rPr>
                <w:rFonts w:ascii="Arial" w:eastAsia="Times New Roman" w:hAnsi="Arial" w:cs="Arial"/>
                <w:b/>
                <w:bCs/>
                <w:color w:val="2B2D31"/>
                <w:kern w:val="0"/>
                <w:sz w:val="12"/>
                <w:szCs w:val="12"/>
                <w:lang w:eastAsia="en-IN"/>
                <w14:ligatures w14:val="none"/>
              </w:rPr>
              <w:lastRenderedPageBreak/>
              <w:t>S.No</w:t>
            </w:r>
            <w:proofErr w:type="spellEnd"/>
            <w:proofErr w:type="gramEnd"/>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0792AB02"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State</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20B732FC"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Calamity</w:t>
            </w:r>
          </w:p>
        </w:tc>
        <w:tc>
          <w:tcPr>
            <w:tcW w:w="1190" w:type="dxa"/>
            <w:gridSpan w:val="2"/>
            <w:tcBorders>
              <w:top w:val="single" w:sz="4" w:space="0" w:color="auto"/>
              <w:left w:val="nil"/>
              <w:bottom w:val="single" w:sz="4" w:space="0" w:color="auto"/>
              <w:right w:val="single" w:sz="4" w:space="0" w:color="auto"/>
            </w:tcBorders>
            <w:noWrap/>
            <w:vAlign w:val="bottom"/>
            <w:hideMark/>
          </w:tcPr>
          <w:p w14:paraId="2F2BBD6C"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1984-85 </w:t>
            </w:r>
          </w:p>
        </w:tc>
        <w:tc>
          <w:tcPr>
            <w:tcW w:w="1190" w:type="dxa"/>
            <w:gridSpan w:val="2"/>
            <w:tcBorders>
              <w:top w:val="single" w:sz="4" w:space="0" w:color="auto"/>
              <w:left w:val="nil"/>
              <w:bottom w:val="single" w:sz="4" w:space="0" w:color="auto"/>
              <w:right w:val="single" w:sz="4" w:space="0" w:color="auto"/>
            </w:tcBorders>
            <w:noWrap/>
            <w:vAlign w:val="bottom"/>
            <w:hideMark/>
          </w:tcPr>
          <w:p w14:paraId="3C0EA3D6"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1985-86</w:t>
            </w:r>
          </w:p>
        </w:tc>
        <w:tc>
          <w:tcPr>
            <w:tcW w:w="1190" w:type="dxa"/>
            <w:gridSpan w:val="2"/>
            <w:tcBorders>
              <w:top w:val="single" w:sz="4" w:space="0" w:color="auto"/>
              <w:left w:val="nil"/>
              <w:bottom w:val="single" w:sz="4" w:space="0" w:color="auto"/>
              <w:right w:val="single" w:sz="4" w:space="0" w:color="auto"/>
            </w:tcBorders>
            <w:noWrap/>
            <w:vAlign w:val="bottom"/>
            <w:hideMark/>
          </w:tcPr>
          <w:p w14:paraId="18B02D26"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1986-87 </w:t>
            </w:r>
          </w:p>
        </w:tc>
        <w:tc>
          <w:tcPr>
            <w:tcW w:w="1141" w:type="dxa"/>
            <w:gridSpan w:val="2"/>
            <w:tcBorders>
              <w:top w:val="single" w:sz="4" w:space="0" w:color="auto"/>
              <w:left w:val="nil"/>
              <w:bottom w:val="single" w:sz="4" w:space="0" w:color="auto"/>
              <w:right w:val="single" w:sz="4" w:space="0" w:color="auto"/>
            </w:tcBorders>
            <w:noWrap/>
            <w:vAlign w:val="bottom"/>
            <w:hideMark/>
          </w:tcPr>
          <w:p w14:paraId="39C0CD91"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1987-88</w:t>
            </w:r>
          </w:p>
        </w:tc>
        <w:tc>
          <w:tcPr>
            <w:tcW w:w="1170" w:type="dxa"/>
            <w:gridSpan w:val="2"/>
            <w:tcBorders>
              <w:top w:val="single" w:sz="4" w:space="0" w:color="auto"/>
              <w:left w:val="nil"/>
              <w:bottom w:val="single" w:sz="4" w:space="0" w:color="auto"/>
              <w:right w:val="single" w:sz="4" w:space="0" w:color="auto"/>
            </w:tcBorders>
            <w:noWrap/>
            <w:vAlign w:val="bottom"/>
            <w:hideMark/>
          </w:tcPr>
          <w:p w14:paraId="349B0772"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1988-89</w:t>
            </w:r>
          </w:p>
        </w:tc>
        <w:tc>
          <w:tcPr>
            <w:tcW w:w="1401" w:type="dxa"/>
            <w:gridSpan w:val="2"/>
            <w:tcBorders>
              <w:top w:val="single" w:sz="4" w:space="0" w:color="auto"/>
              <w:left w:val="nil"/>
              <w:bottom w:val="single" w:sz="4" w:space="0" w:color="auto"/>
              <w:right w:val="single" w:sz="4" w:space="0" w:color="auto"/>
            </w:tcBorders>
            <w:noWrap/>
            <w:vAlign w:val="bottom"/>
            <w:hideMark/>
          </w:tcPr>
          <w:p w14:paraId="3A797D1A"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1979-89</w:t>
            </w:r>
          </w:p>
        </w:tc>
        <w:tc>
          <w:tcPr>
            <w:tcW w:w="426" w:type="dxa"/>
            <w:vMerge w:val="restart"/>
            <w:tcBorders>
              <w:top w:val="single" w:sz="4" w:space="0" w:color="auto"/>
              <w:left w:val="single" w:sz="4" w:space="0" w:color="auto"/>
              <w:right w:val="single" w:sz="4" w:space="0" w:color="auto"/>
            </w:tcBorders>
            <w:vAlign w:val="center"/>
            <w:hideMark/>
          </w:tcPr>
          <w:p w14:paraId="61C11C5E"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Fund Proposed (Rs. Cr)</w:t>
            </w:r>
          </w:p>
        </w:tc>
        <w:tc>
          <w:tcPr>
            <w:tcW w:w="509" w:type="dxa"/>
            <w:gridSpan w:val="2"/>
            <w:tcBorders>
              <w:top w:val="single" w:sz="4" w:space="0" w:color="auto"/>
              <w:left w:val="single" w:sz="4" w:space="0" w:color="auto"/>
              <w:bottom w:val="single" w:sz="4" w:space="0" w:color="auto"/>
              <w:right w:val="single" w:sz="4" w:space="0" w:color="auto"/>
            </w:tcBorders>
            <w:vAlign w:val="center"/>
            <w:hideMark/>
          </w:tcPr>
          <w:p w14:paraId="486A3EC1" w14:textId="77777777" w:rsidR="004705D2" w:rsidRPr="00767C21" w:rsidRDefault="004705D2" w:rsidP="00861457">
            <w:pPr>
              <w:spacing w:after="0" w:line="240" w:lineRule="auto"/>
              <w:jc w:val="center"/>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Centre's Share</w:t>
            </w:r>
          </w:p>
        </w:tc>
      </w:tr>
      <w:tr w:rsidR="004705D2" w:rsidRPr="004705D2" w14:paraId="723406F5" w14:textId="77777777" w:rsidTr="004705D2">
        <w:trPr>
          <w:gridAfter w:val="1"/>
          <w:wAfter w:w="6" w:type="dxa"/>
          <w:trHeight w:val="35"/>
          <w:jc w:val="center"/>
        </w:trPr>
        <w:tc>
          <w:tcPr>
            <w:tcW w:w="449" w:type="dxa"/>
            <w:vMerge/>
            <w:tcBorders>
              <w:top w:val="single" w:sz="4" w:space="0" w:color="auto"/>
              <w:left w:val="single" w:sz="4" w:space="0" w:color="auto"/>
              <w:bottom w:val="single" w:sz="4" w:space="0" w:color="auto"/>
              <w:right w:val="single" w:sz="4" w:space="0" w:color="auto"/>
            </w:tcBorders>
            <w:vAlign w:val="center"/>
            <w:hideMark/>
          </w:tcPr>
          <w:p w14:paraId="3A313CC9" w14:textId="77777777" w:rsidR="004705D2" w:rsidRPr="00767C21" w:rsidRDefault="004705D2" w:rsidP="00861457">
            <w:pPr>
              <w:spacing w:after="0" w:line="240" w:lineRule="auto"/>
              <w:rPr>
                <w:rFonts w:ascii="Arial" w:eastAsia="Times New Roman" w:hAnsi="Arial" w:cs="Arial"/>
                <w:b/>
                <w:bCs/>
                <w:color w:val="2B2D31"/>
                <w:kern w:val="0"/>
                <w:sz w:val="12"/>
                <w:szCs w:val="12"/>
                <w:lang w:eastAsia="en-IN"/>
                <w14:ligatures w14:val="none"/>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0DF5CDA1" w14:textId="77777777" w:rsidR="004705D2" w:rsidRPr="00767C21" w:rsidRDefault="004705D2" w:rsidP="00861457">
            <w:pPr>
              <w:spacing w:after="0" w:line="240" w:lineRule="auto"/>
              <w:rPr>
                <w:rFonts w:ascii="Arial" w:eastAsia="Times New Roman" w:hAnsi="Arial" w:cs="Arial"/>
                <w:b/>
                <w:bCs/>
                <w:color w:val="000000"/>
                <w:kern w:val="0"/>
                <w:sz w:val="12"/>
                <w:szCs w:val="12"/>
                <w:lang w:eastAsia="en-IN"/>
                <w14:ligatures w14:val="none"/>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29DE4E77" w14:textId="77777777" w:rsidR="004705D2" w:rsidRPr="00767C21" w:rsidRDefault="004705D2" w:rsidP="00861457">
            <w:pPr>
              <w:spacing w:after="0" w:line="240" w:lineRule="auto"/>
              <w:rPr>
                <w:rFonts w:ascii="Arial" w:eastAsia="Times New Roman" w:hAnsi="Arial" w:cs="Arial"/>
                <w:b/>
                <w:bCs/>
                <w:color w:val="000000"/>
                <w:kern w:val="0"/>
                <w:sz w:val="12"/>
                <w:szCs w:val="12"/>
                <w:lang w:eastAsia="en-IN"/>
                <w14:ligatures w14:val="none"/>
              </w:rPr>
            </w:pPr>
          </w:p>
        </w:tc>
        <w:tc>
          <w:tcPr>
            <w:tcW w:w="536" w:type="dxa"/>
            <w:tcBorders>
              <w:top w:val="nil"/>
              <w:left w:val="nil"/>
              <w:bottom w:val="single" w:sz="4" w:space="0" w:color="auto"/>
              <w:right w:val="single" w:sz="4" w:space="0" w:color="auto"/>
            </w:tcBorders>
            <w:shd w:val="clear" w:color="000000" w:fill="FFFFFF"/>
            <w:vAlign w:val="center"/>
            <w:hideMark/>
          </w:tcPr>
          <w:p w14:paraId="5074EED1" w14:textId="46BD6126"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654" w:type="dxa"/>
            <w:tcBorders>
              <w:top w:val="nil"/>
              <w:left w:val="nil"/>
              <w:bottom w:val="single" w:sz="4" w:space="0" w:color="auto"/>
              <w:right w:val="single" w:sz="4" w:space="0" w:color="auto"/>
            </w:tcBorders>
            <w:shd w:val="clear" w:color="000000" w:fill="FFFFFF"/>
            <w:vAlign w:val="center"/>
            <w:hideMark/>
          </w:tcPr>
          <w:p w14:paraId="30FA9B9F" w14:textId="77777777"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536" w:type="dxa"/>
            <w:tcBorders>
              <w:top w:val="nil"/>
              <w:left w:val="nil"/>
              <w:bottom w:val="single" w:sz="4" w:space="0" w:color="auto"/>
              <w:right w:val="single" w:sz="4" w:space="0" w:color="auto"/>
            </w:tcBorders>
            <w:shd w:val="clear" w:color="000000" w:fill="FFFFFF"/>
            <w:vAlign w:val="center"/>
            <w:hideMark/>
          </w:tcPr>
          <w:p w14:paraId="1930F87B" w14:textId="6CD3AFA7"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654" w:type="dxa"/>
            <w:tcBorders>
              <w:top w:val="nil"/>
              <w:left w:val="nil"/>
              <w:bottom w:val="single" w:sz="4" w:space="0" w:color="auto"/>
              <w:right w:val="single" w:sz="4" w:space="0" w:color="auto"/>
            </w:tcBorders>
            <w:shd w:val="clear" w:color="000000" w:fill="FFFFFF"/>
            <w:vAlign w:val="center"/>
            <w:hideMark/>
          </w:tcPr>
          <w:p w14:paraId="06B958BC" w14:textId="77777777" w:rsidR="004705D2" w:rsidRPr="00767C21" w:rsidRDefault="004705D2"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621" w:type="dxa"/>
            <w:tcBorders>
              <w:top w:val="nil"/>
              <w:left w:val="nil"/>
              <w:bottom w:val="single" w:sz="4" w:space="0" w:color="auto"/>
              <w:right w:val="single" w:sz="4" w:space="0" w:color="auto"/>
            </w:tcBorders>
            <w:shd w:val="clear" w:color="000000" w:fill="FFFFFF"/>
            <w:vAlign w:val="center"/>
            <w:hideMark/>
          </w:tcPr>
          <w:p w14:paraId="0F8DD3CE" w14:textId="28BA6789"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569" w:type="dxa"/>
            <w:tcBorders>
              <w:top w:val="nil"/>
              <w:left w:val="nil"/>
              <w:bottom w:val="single" w:sz="4" w:space="0" w:color="auto"/>
              <w:right w:val="single" w:sz="4" w:space="0" w:color="auto"/>
            </w:tcBorders>
            <w:shd w:val="clear" w:color="000000" w:fill="FFFFFF"/>
            <w:vAlign w:val="center"/>
            <w:hideMark/>
          </w:tcPr>
          <w:p w14:paraId="4F033F75" w14:textId="77777777" w:rsidR="004705D2" w:rsidRPr="00767C21" w:rsidRDefault="004705D2"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584" w:type="dxa"/>
            <w:tcBorders>
              <w:top w:val="nil"/>
              <w:left w:val="nil"/>
              <w:bottom w:val="single" w:sz="4" w:space="0" w:color="auto"/>
              <w:right w:val="single" w:sz="4" w:space="0" w:color="auto"/>
            </w:tcBorders>
            <w:shd w:val="clear" w:color="000000" w:fill="FFFFFF"/>
            <w:vAlign w:val="center"/>
            <w:hideMark/>
          </w:tcPr>
          <w:p w14:paraId="4AA63921" w14:textId="62B59E13"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557" w:type="dxa"/>
            <w:tcBorders>
              <w:top w:val="nil"/>
              <w:left w:val="nil"/>
              <w:bottom w:val="single" w:sz="4" w:space="0" w:color="auto"/>
              <w:right w:val="single" w:sz="4" w:space="0" w:color="auto"/>
            </w:tcBorders>
            <w:shd w:val="clear" w:color="000000" w:fill="FFFFFF"/>
            <w:vAlign w:val="center"/>
            <w:hideMark/>
          </w:tcPr>
          <w:p w14:paraId="65EA87B8" w14:textId="77777777" w:rsidR="004705D2" w:rsidRPr="00767C21" w:rsidRDefault="004705D2"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630" w:type="dxa"/>
            <w:tcBorders>
              <w:top w:val="nil"/>
              <w:left w:val="nil"/>
              <w:bottom w:val="single" w:sz="4" w:space="0" w:color="auto"/>
              <w:right w:val="single" w:sz="4" w:space="0" w:color="auto"/>
            </w:tcBorders>
            <w:shd w:val="clear" w:color="000000" w:fill="FFFFFF"/>
            <w:vAlign w:val="center"/>
            <w:hideMark/>
          </w:tcPr>
          <w:p w14:paraId="71658AC9" w14:textId="0C3B86F8"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Sought</w:t>
            </w:r>
          </w:p>
        </w:tc>
        <w:tc>
          <w:tcPr>
            <w:tcW w:w="540" w:type="dxa"/>
            <w:tcBorders>
              <w:top w:val="nil"/>
              <w:left w:val="nil"/>
              <w:bottom w:val="single" w:sz="4" w:space="0" w:color="auto"/>
              <w:right w:val="single" w:sz="4" w:space="0" w:color="auto"/>
            </w:tcBorders>
            <w:shd w:val="clear" w:color="000000" w:fill="FFFFFF"/>
            <w:vAlign w:val="center"/>
            <w:hideMark/>
          </w:tcPr>
          <w:p w14:paraId="5F8A4544" w14:textId="77777777" w:rsidR="004705D2" w:rsidRPr="00767C21" w:rsidRDefault="004705D2"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Approved</w:t>
            </w:r>
          </w:p>
        </w:tc>
        <w:tc>
          <w:tcPr>
            <w:tcW w:w="700" w:type="dxa"/>
            <w:tcBorders>
              <w:top w:val="nil"/>
              <w:left w:val="nil"/>
              <w:bottom w:val="single" w:sz="4" w:space="0" w:color="auto"/>
              <w:right w:val="single" w:sz="4" w:space="0" w:color="auto"/>
            </w:tcBorders>
            <w:vAlign w:val="center"/>
            <w:hideMark/>
          </w:tcPr>
          <w:p w14:paraId="56903278" w14:textId="77777777" w:rsidR="004705D2" w:rsidRPr="00767C21" w:rsidRDefault="004705D2" w:rsidP="00861457">
            <w:pPr>
              <w:spacing w:after="0" w:line="240" w:lineRule="auto"/>
              <w:ind w:firstLineChars="100" w:firstLine="12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xml:space="preserve"> Total Sought</w:t>
            </w:r>
          </w:p>
        </w:tc>
        <w:tc>
          <w:tcPr>
            <w:tcW w:w="701" w:type="dxa"/>
            <w:tcBorders>
              <w:top w:val="nil"/>
              <w:left w:val="nil"/>
              <w:bottom w:val="single" w:sz="4" w:space="0" w:color="auto"/>
              <w:right w:val="single" w:sz="4" w:space="0" w:color="auto"/>
            </w:tcBorders>
            <w:vAlign w:val="center"/>
            <w:hideMark/>
          </w:tcPr>
          <w:p w14:paraId="74ED0D97" w14:textId="77777777" w:rsidR="004705D2" w:rsidRPr="00767C21" w:rsidRDefault="004705D2" w:rsidP="00861457">
            <w:pPr>
              <w:spacing w:after="0" w:line="240" w:lineRule="auto"/>
              <w:ind w:firstLineChars="100" w:firstLine="12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 Approved</w:t>
            </w:r>
          </w:p>
        </w:tc>
        <w:tc>
          <w:tcPr>
            <w:tcW w:w="426" w:type="dxa"/>
            <w:vMerge/>
            <w:tcBorders>
              <w:left w:val="single" w:sz="4" w:space="0" w:color="auto"/>
              <w:bottom w:val="single" w:sz="4" w:space="0" w:color="auto"/>
              <w:right w:val="single" w:sz="4" w:space="0" w:color="auto"/>
            </w:tcBorders>
            <w:vAlign w:val="center"/>
            <w:hideMark/>
          </w:tcPr>
          <w:p w14:paraId="452F5E8E" w14:textId="77777777" w:rsidR="004705D2" w:rsidRPr="00767C21" w:rsidRDefault="004705D2" w:rsidP="00861457">
            <w:pPr>
              <w:spacing w:after="0" w:line="240" w:lineRule="auto"/>
              <w:rPr>
                <w:rFonts w:ascii="Arial" w:eastAsia="Times New Roman" w:hAnsi="Arial" w:cs="Arial"/>
                <w:b/>
                <w:bCs/>
                <w:color w:val="000000"/>
                <w:kern w:val="0"/>
                <w:sz w:val="12"/>
                <w:szCs w:val="12"/>
                <w:lang w:eastAsia="en-IN"/>
                <w14:ligatures w14:val="none"/>
              </w:rPr>
            </w:pPr>
          </w:p>
        </w:tc>
        <w:tc>
          <w:tcPr>
            <w:tcW w:w="503" w:type="dxa"/>
            <w:tcBorders>
              <w:top w:val="single" w:sz="4" w:space="0" w:color="auto"/>
              <w:left w:val="single" w:sz="4" w:space="0" w:color="auto"/>
              <w:bottom w:val="single" w:sz="4" w:space="0" w:color="auto"/>
              <w:right w:val="single" w:sz="4" w:space="0" w:color="auto"/>
            </w:tcBorders>
            <w:vAlign w:val="center"/>
            <w:hideMark/>
          </w:tcPr>
          <w:p w14:paraId="454B3B70" w14:textId="77777777" w:rsidR="004705D2" w:rsidRPr="00767C21" w:rsidRDefault="004705D2" w:rsidP="00861457">
            <w:pPr>
              <w:spacing w:after="0" w:line="240" w:lineRule="auto"/>
              <w:rPr>
                <w:rFonts w:ascii="Arial" w:eastAsia="Times New Roman" w:hAnsi="Arial" w:cs="Arial"/>
                <w:b/>
                <w:bCs/>
                <w:color w:val="000000"/>
                <w:kern w:val="0"/>
                <w:sz w:val="12"/>
                <w:szCs w:val="12"/>
                <w:lang w:eastAsia="en-IN"/>
                <w14:ligatures w14:val="none"/>
              </w:rPr>
            </w:pPr>
          </w:p>
        </w:tc>
      </w:tr>
      <w:tr w:rsidR="004705D2" w:rsidRPr="004705D2" w14:paraId="01DABEB0"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0FBEBF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w:t>
            </w:r>
          </w:p>
        </w:tc>
        <w:tc>
          <w:tcPr>
            <w:tcW w:w="808" w:type="dxa"/>
            <w:tcBorders>
              <w:top w:val="nil"/>
              <w:left w:val="nil"/>
              <w:bottom w:val="single" w:sz="4" w:space="0" w:color="auto"/>
              <w:right w:val="single" w:sz="4" w:space="0" w:color="auto"/>
            </w:tcBorders>
            <w:vAlign w:val="center"/>
            <w:hideMark/>
          </w:tcPr>
          <w:p w14:paraId="6B97A85C"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Andhra Pradesh</w:t>
            </w:r>
          </w:p>
        </w:tc>
        <w:tc>
          <w:tcPr>
            <w:tcW w:w="777" w:type="dxa"/>
            <w:tcBorders>
              <w:top w:val="nil"/>
              <w:left w:val="nil"/>
              <w:bottom w:val="single" w:sz="4" w:space="0" w:color="auto"/>
              <w:right w:val="single" w:sz="4" w:space="0" w:color="auto"/>
            </w:tcBorders>
            <w:vAlign w:val="center"/>
            <w:hideMark/>
          </w:tcPr>
          <w:p w14:paraId="3422BE85"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33F3B9C7"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10430</w:t>
            </w:r>
          </w:p>
        </w:tc>
        <w:tc>
          <w:tcPr>
            <w:tcW w:w="654" w:type="dxa"/>
            <w:tcBorders>
              <w:top w:val="nil"/>
              <w:left w:val="nil"/>
              <w:bottom w:val="single" w:sz="4" w:space="0" w:color="auto"/>
              <w:right w:val="single" w:sz="4" w:space="0" w:color="auto"/>
            </w:tcBorders>
            <w:vAlign w:val="center"/>
            <w:hideMark/>
          </w:tcPr>
          <w:p w14:paraId="282AC962"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2991</w:t>
            </w:r>
          </w:p>
        </w:tc>
        <w:tc>
          <w:tcPr>
            <w:tcW w:w="536" w:type="dxa"/>
            <w:tcBorders>
              <w:top w:val="nil"/>
              <w:left w:val="nil"/>
              <w:bottom w:val="single" w:sz="4" w:space="0" w:color="auto"/>
              <w:right w:val="single" w:sz="4" w:space="0" w:color="auto"/>
            </w:tcBorders>
            <w:vAlign w:val="center"/>
            <w:hideMark/>
          </w:tcPr>
          <w:p w14:paraId="0C7C7006"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CE24B3B"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1279</w:t>
            </w:r>
          </w:p>
        </w:tc>
        <w:tc>
          <w:tcPr>
            <w:tcW w:w="621" w:type="dxa"/>
            <w:tcBorders>
              <w:top w:val="nil"/>
              <w:left w:val="nil"/>
              <w:bottom w:val="single" w:sz="4" w:space="0" w:color="auto"/>
              <w:right w:val="single" w:sz="4" w:space="0" w:color="auto"/>
            </w:tcBorders>
            <w:vAlign w:val="center"/>
            <w:hideMark/>
          </w:tcPr>
          <w:p w14:paraId="306CE0FD"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127590</w:t>
            </w:r>
          </w:p>
        </w:tc>
        <w:tc>
          <w:tcPr>
            <w:tcW w:w="569" w:type="dxa"/>
            <w:tcBorders>
              <w:top w:val="nil"/>
              <w:left w:val="nil"/>
              <w:bottom w:val="single" w:sz="4" w:space="0" w:color="auto"/>
              <w:right w:val="single" w:sz="4" w:space="0" w:color="auto"/>
            </w:tcBorders>
            <w:vAlign w:val="center"/>
            <w:hideMark/>
          </w:tcPr>
          <w:p w14:paraId="5C00197C"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13951</w:t>
            </w:r>
          </w:p>
        </w:tc>
        <w:tc>
          <w:tcPr>
            <w:tcW w:w="584" w:type="dxa"/>
            <w:tcBorders>
              <w:top w:val="nil"/>
              <w:left w:val="nil"/>
              <w:bottom w:val="single" w:sz="4" w:space="0" w:color="auto"/>
              <w:right w:val="single" w:sz="4" w:space="0" w:color="auto"/>
            </w:tcBorders>
            <w:vAlign w:val="center"/>
            <w:hideMark/>
          </w:tcPr>
          <w:p w14:paraId="0ADE8025"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13864</w:t>
            </w:r>
          </w:p>
        </w:tc>
        <w:tc>
          <w:tcPr>
            <w:tcW w:w="557" w:type="dxa"/>
            <w:tcBorders>
              <w:top w:val="nil"/>
              <w:left w:val="nil"/>
              <w:bottom w:val="single" w:sz="4" w:space="0" w:color="auto"/>
              <w:right w:val="single" w:sz="4" w:space="0" w:color="auto"/>
            </w:tcBorders>
            <w:vAlign w:val="center"/>
            <w:hideMark/>
          </w:tcPr>
          <w:p w14:paraId="14E6B39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746</w:t>
            </w:r>
          </w:p>
        </w:tc>
        <w:tc>
          <w:tcPr>
            <w:tcW w:w="630" w:type="dxa"/>
            <w:tcBorders>
              <w:top w:val="nil"/>
              <w:left w:val="nil"/>
              <w:bottom w:val="single" w:sz="4" w:space="0" w:color="auto"/>
              <w:right w:val="single" w:sz="4" w:space="0" w:color="auto"/>
            </w:tcBorders>
            <w:vAlign w:val="center"/>
            <w:hideMark/>
          </w:tcPr>
          <w:p w14:paraId="71850292"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27156</w:t>
            </w:r>
          </w:p>
        </w:tc>
        <w:tc>
          <w:tcPr>
            <w:tcW w:w="540" w:type="dxa"/>
            <w:tcBorders>
              <w:top w:val="nil"/>
              <w:left w:val="nil"/>
              <w:bottom w:val="single" w:sz="4" w:space="0" w:color="auto"/>
              <w:right w:val="single" w:sz="4" w:space="0" w:color="auto"/>
            </w:tcBorders>
            <w:vAlign w:val="center"/>
            <w:hideMark/>
          </w:tcPr>
          <w:p w14:paraId="16C07CE6"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3226</w:t>
            </w:r>
          </w:p>
        </w:tc>
        <w:tc>
          <w:tcPr>
            <w:tcW w:w="700" w:type="dxa"/>
            <w:tcBorders>
              <w:top w:val="nil"/>
              <w:left w:val="nil"/>
              <w:bottom w:val="single" w:sz="4" w:space="0" w:color="auto"/>
              <w:right w:val="single" w:sz="4" w:space="0" w:color="auto"/>
            </w:tcBorders>
            <w:vAlign w:val="center"/>
            <w:hideMark/>
          </w:tcPr>
          <w:p w14:paraId="71843FB8"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235816</w:t>
            </w:r>
          </w:p>
        </w:tc>
        <w:tc>
          <w:tcPr>
            <w:tcW w:w="701" w:type="dxa"/>
            <w:tcBorders>
              <w:top w:val="nil"/>
              <w:left w:val="nil"/>
              <w:bottom w:val="single" w:sz="4" w:space="0" w:color="auto"/>
              <w:right w:val="single" w:sz="4" w:space="0" w:color="auto"/>
            </w:tcBorders>
            <w:vAlign w:val="center"/>
            <w:hideMark/>
          </w:tcPr>
          <w:p w14:paraId="798D709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38908</w:t>
            </w:r>
          </w:p>
        </w:tc>
        <w:tc>
          <w:tcPr>
            <w:tcW w:w="426" w:type="dxa"/>
            <w:tcBorders>
              <w:top w:val="nil"/>
              <w:left w:val="nil"/>
              <w:bottom w:val="single" w:sz="4" w:space="0" w:color="auto"/>
              <w:right w:val="single" w:sz="4" w:space="0" w:color="auto"/>
            </w:tcBorders>
            <w:vAlign w:val="center"/>
            <w:hideMark/>
          </w:tcPr>
          <w:p w14:paraId="4224A59F"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2F2A619"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3E1795D"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FD222D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7B8FF8E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5D4BF853"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46827CA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36928</w:t>
            </w:r>
          </w:p>
        </w:tc>
        <w:tc>
          <w:tcPr>
            <w:tcW w:w="654" w:type="dxa"/>
            <w:tcBorders>
              <w:top w:val="nil"/>
              <w:left w:val="nil"/>
              <w:bottom w:val="single" w:sz="4" w:space="0" w:color="auto"/>
              <w:right w:val="single" w:sz="4" w:space="0" w:color="auto"/>
            </w:tcBorders>
            <w:vAlign w:val="center"/>
            <w:hideMark/>
          </w:tcPr>
          <w:p w14:paraId="16F570E8"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5442</w:t>
            </w:r>
          </w:p>
        </w:tc>
        <w:tc>
          <w:tcPr>
            <w:tcW w:w="536" w:type="dxa"/>
            <w:tcBorders>
              <w:top w:val="nil"/>
              <w:left w:val="nil"/>
              <w:bottom w:val="single" w:sz="4" w:space="0" w:color="auto"/>
              <w:right w:val="single" w:sz="4" w:space="0" w:color="auto"/>
            </w:tcBorders>
            <w:vAlign w:val="center"/>
            <w:hideMark/>
          </w:tcPr>
          <w:p w14:paraId="60F94461"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95095</w:t>
            </w:r>
          </w:p>
        </w:tc>
        <w:tc>
          <w:tcPr>
            <w:tcW w:w="654" w:type="dxa"/>
            <w:tcBorders>
              <w:top w:val="nil"/>
              <w:left w:val="nil"/>
              <w:bottom w:val="single" w:sz="4" w:space="0" w:color="auto"/>
              <w:right w:val="single" w:sz="4" w:space="0" w:color="auto"/>
            </w:tcBorders>
            <w:vAlign w:val="center"/>
            <w:hideMark/>
          </w:tcPr>
          <w:p w14:paraId="55C11DBF"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6309</w:t>
            </w:r>
          </w:p>
        </w:tc>
        <w:tc>
          <w:tcPr>
            <w:tcW w:w="621" w:type="dxa"/>
            <w:tcBorders>
              <w:top w:val="nil"/>
              <w:left w:val="nil"/>
              <w:bottom w:val="single" w:sz="4" w:space="0" w:color="auto"/>
              <w:right w:val="single" w:sz="4" w:space="0" w:color="auto"/>
            </w:tcBorders>
            <w:vAlign w:val="center"/>
            <w:hideMark/>
          </w:tcPr>
          <w:p w14:paraId="6C9F006D"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67680</w:t>
            </w:r>
          </w:p>
        </w:tc>
        <w:tc>
          <w:tcPr>
            <w:tcW w:w="569" w:type="dxa"/>
            <w:tcBorders>
              <w:top w:val="nil"/>
              <w:left w:val="nil"/>
              <w:bottom w:val="single" w:sz="4" w:space="0" w:color="auto"/>
              <w:right w:val="single" w:sz="4" w:space="0" w:color="auto"/>
            </w:tcBorders>
            <w:vAlign w:val="center"/>
            <w:hideMark/>
          </w:tcPr>
          <w:p w14:paraId="2AE03FD9"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6324</w:t>
            </w:r>
          </w:p>
        </w:tc>
        <w:tc>
          <w:tcPr>
            <w:tcW w:w="584" w:type="dxa"/>
            <w:tcBorders>
              <w:top w:val="nil"/>
              <w:left w:val="nil"/>
              <w:bottom w:val="single" w:sz="4" w:space="0" w:color="auto"/>
              <w:right w:val="single" w:sz="4" w:space="0" w:color="auto"/>
            </w:tcBorders>
            <w:vAlign w:val="center"/>
            <w:hideMark/>
          </w:tcPr>
          <w:p w14:paraId="77FE312F"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78725</w:t>
            </w:r>
          </w:p>
        </w:tc>
        <w:tc>
          <w:tcPr>
            <w:tcW w:w="557" w:type="dxa"/>
            <w:tcBorders>
              <w:top w:val="nil"/>
              <w:left w:val="nil"/>
              <w:bottom w:val="single" w:sz="4" w:space="0" w:color="auto"/>
              <w:right w:val="single" w:sz="4" w:space="0" w:color="auto"/>
            </w:tcBorders>
            <w:vAlign w:val="center"/>
            <w:hideMark/>
          </w:tcPr>
          <w:p w14:paraId="6DB1D19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8715</w:t>
            </w:r>
          </w:p>
        </w:tc>
        <w:tc>
          <w:tcPr>
            <w:tcW w:w="630" w:type="dxa"/>
            <w:tcBorders>
              <w:top w:val="nil"/>
              <w:left w:val="nil"/>
              <w:bottom w:val="single" w:sz="4" w:space="0" w:color="auto"/>
              <w:right w:val="single" w:sz="4" w:space="0" w:color="auto"/>
            </w:tcBorders>
            <w:vAlign w:val="center"/>
            <w:hideMark/>
          </w:tcPr>
          <w:p w14:paraId="59C31920"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2CA7B72B"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910</w:t>
            </w:r>
          </w:p>
        </w:tc>
        <w:tc>
          <w:tcPr>
            <w:tcW w:w="700" w:type="dxa"/>
            <w:tcBorders>
              <w:top w:val="nil"/>
              <w:left w:val="nil"/>
              <w:bottom w:val="single" w:sz="4" w:space="0" w:color="auto"/>
              <w:right w:val="single" w:sz="4" w:space="0" w:color="auto"/>
            </w:tcBorders>
            <w:vAlign w:val="center"/>
            <w:hideMark/>
          </w:tcPr>
          <w:p w14:paraId="392ABE98"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378238</w:t>
            </w:r>
          </w:p>
        </w:tc>
        <w:tc>
          <w:tcPr>
            <w:tcW w:w="701" w:type="dxa"/>
            <w:tcBorders>
              <w:top w:val="nil"/>
              <w:left w:val="nil"/>
              <w:bottom w:val="single" w:sz="4" w:space="0" w:color="auto"/>
              <w:right w:val="single" w:sz="4" w:space="0" w:color="auto"/>
            </w:tcBorders>
            <w:vAlign w:val="center"/>
            <w:hideMark/>
          </w:tcPr>
          <w:p w14:paraId="37DE9C1E"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46531</w:t>
            </w:r>
          </w:p>
        </w:tc>
        <w:tc>
          <w:tcPr>
            <w:tcW w:w="426" w:type="dxa"/>
            <w:tcBorders>
              <w:top w:val="nil"/>
              <w:left w:val="nil"/>
              <w:bottom w:val="single" w:sz="4" w:space="0" w:color="auto"/>
              <w:right w:val="single" w:sz="4" w:space="0" w:color="auto"/>
            </w:tcBorders>
            <w:vAlign w:val="center"/>
            <w:hideMark/>
          </w:tcPr>
          <w:p w14:paraId="72180F00"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004669E"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102022CD"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BF9C6F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851E37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88F425D"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4AF1BB3B"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47358</w:t>
            </w:r>
          </w:p>
        </w:tc>
        <w:tc>
          <w:tcPr>
            <w:tcW w:w="654" w:type="dxa"/>
            <w:tcBorders>
              <w:top w:val="nil"/>
              <w:left w:val="nil"/>
              <w:bottom w:val="single" w:sz="4" w:space="0" w:color="auto"/>
              <w:right w:val="single" w:sz="4" w:space="0" w:color="auto"/>
            </w:tcBorders>
            <w:vAlign w:val="center"/>
            <w:hideMark/>
          </w:tcPr>
          <w:p w14:paraId="36A8B14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8433</w:t>
            </w:r>
          </w:p>
        </w:tc>
        <w:tc>
          <w:tcPr>
            <w:tcW w:w="536" w:type="dxa"/>
            <w:tcBorders>
              <w:top w:val="nil"/>
              <w:left w:val="nil"/>
              <w:bottom w:val="single" w:sz="4" w:space="0" w:color="auto"/>
              <w:right w:val="single" w:sz="4" w:space="0" w:color="auto"/>
            </w:tcBorders>
            <w:vAlign w:val="center"/>
            <w:hideMark/>
          </w:tcPr>
          <w:p w14:paraId="00A5F1C0"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95095</w:t>
            </w:r>
          </w:p>
        </w:tc>
        <w:tc>
          <w:tcPr>
            <w:tcW w:w="654" w:type="dxa"/>
            <w:tcBorders>
              <w:top w:val="nil"/>
              <w:left w:val="nil"/>
              <w:bottom w:val="single" w:sz="4" w:space="0" w:color="auto"/>
              <w:right w:val="single" w:sz="4" w:space="0" w:color="auto"/>
            </w:tcBorders>
            <w:vAlign w:val="center"/>
            <w:hideMark/>
          </w:tcPr>
          <w:p w14:paraId="7937F703"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7588</w:t>
            </w:r>
          </w:p>
        </w:tc>
        <w:tc>
          <w:tcPr>
            <w:tcW w:w="621" w:type="dxa"/>
            <w:tcBorders>
              <w:top w:val="nil"/>
              <w:left w:val="nil"/>
              <w:bottom w:val="single" w:sz="4" w:space="0" w:color="auto"/>
              <w:right w:val="single" w:sz="4" w:space="0" w:color="auto"/>
            </w:tcBorders>
            <w:vAlign w:val="center"/>
            <w:hideMark/>
          </w:tcPr>
          <w:p w14:paraId="730C2AFE"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195270</w:t>
            </w:r>
          </w:p>
        </w:tc>
        <w:tc>
          <w:tcPr>
            <w:tcW w:w="569" w:type="dxa"/>
            <w:tcBorders>
              <w:top w:val="nil"/>
              <w:left w:val="nil"/>
              <w:bottom w:val="single" w:sz="4" w:space="0" w:color="auto"/>
              <w:right w:val="single" w:sz="4" w:space="0" w:color="auto"/>
            </w:tcBorders>
            <w:vAlign w:val="center"/>
            <w:hideMark/>
          </w:tcPr>
          <w:p w14:paraId="34DA5639"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20275</w:t>
            </w:r>
          </w:p>
        </w:tc>
        <w:tc>
          <w:tcPr>
            <w:tcW w:w="584" w:type="dxa"/>
            <w:tcBorders>
              <w:top w:val="nil"/>
              <w:left w:val="nil"/>
              <w:bottom w:val="single" w:sz="4" w:space="0" w:color="auto"/>
              <w:right w:val="single" w:sz="4" w:space="0" w:color="auto"/>
            </w:tcBorders>
            <w:vAlign w:val="center"/>
            <w:hideMark/>
          </w:tcPr>
          <w:p w14:paraId="372A9D9A"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92589</w:t>
            </w:r>
          </w:p>
        </w:tc>
        <w:tc>
          <w:tcPr>
            <w:tcW w:w="557" w:type="dxa"/>
            <w:tcBorders>
              <w:top w:val="nil"/>
              <w:left w:val="nil"/>
              <w:bottom w:val="single" w:sz="4" w:space="0" w:color="auto"/>
              <w:right w:val="single" w:sz="4" w:space="0" w:color="auto"/>
            </w:tcBorders>
            <w:vAlign w:val="center"/>
            <w:hideMark/>
          </w:tcPr>
          <w:p w14:paraId="78ECEF10"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9461</w:t>
            </w:r>
          </w:p>
        </w:tc>
        <w:tc>
          <w:tcPr>
            <w:tcW w:w="630" w:type="dxa"/>
            <w:tcBorders>
              <w:top w:val="nil"/>
              <w:left w:val="nil"/>
              <w:bottom w:val="single" w:sz="4" w:space="0" w:color="auto"/>
              <w:right w:val="single" w:sz="4" w:space="0" w:color="auto"/>
            </w:tcBorders>
            <w:vAlign w:val="center"/>
            <w:hideMark/>
          </w:tcPr>
          <w:p w14:paraId="349C3C03"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27156</w:t>
            </w:r>
          </w:p>
        </w:tc>
        <w:tc>
          <w:tcPr>
            <w:tcW w:w="540" w:type="dxa"/>
            <w:tcBorders>
              <w:top w:val="nil"/>
              <w:left w:val="nil"/>
              <w:bottom w:val="single" w:sz="4" w:space="0" w:color="auto"/>
              <w:right w:val="single" w:sz="4" w:space="0" w:color="auto"/>
            </w:tcBorders>
            <w:vAlign w:val="center"/>
            <w:hideMark/>
          </w:tcPr>
          <w:p w14:paraId="68B71B06"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4136</w:t>
            </w:r>
          </w:p>
        </w:tc>
        <w:tc>
          <w:tcPr>
            <w:tcW w:w="700" w:type="dxa"/>
            <w:tcBorders>
              <w:top w:val="nil"/>
              <w:left w:val="nil"/>
              <w:bottom w:val="single" w:sz="4" w:space="0" w:color="auto"/>
              <w:right w:val="single" w:sz="4" w:space="0" w:color="auto"/>
            </w:tcBorders>
            <w:vAlign w:val="center"/>
            <w:hideMark/>
          </w:tcPr>
          <w:p w14:paraId="5394B08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614054</w:t>
            </w:r>
          </w:p>
        </w:tc>
        <w:tc>
          <w:tcPr>
            <w:tcW w:w="701" w:type="dxa"/>
            <w:tcBorders>
              <w:top w:val="nil"/>
              <w:left w:val="nil"/>
              <w:bottom w:val="single" w:sz="4" w:space="0" w:color="auto"/>
              <w:right w:val="single" w:sz="4" w:space="0" w:color="auto"/>
            </w:tcBorders>
            <w:vAlign w:val="center"/>
            <w:hideMark/>
          </w:tcPr>
          <w:p w14:paraId="0A446AAF"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85439</w:t>
            </w:r>
          </w:p>
        </w:tc>
        <w:tc>
          <w:tcPr>
            <w:tcW w:w="426" w:type="dxa"/>
            <w:tcBorders>
              <w:top w:val="nil"/>
              <w:left w:val="nil"/>
              <w:bottom w:val="single" w:sz="4" w:space="0" w:color="auto"/>
              <w:right w:val="single" w:sz="4" w:space="0" w:color="auto"/>
            </w:tcBorders>
            <w:vAlign w:val="center"/>
            <w:hideMark/>
          </w:tcPr>
          <w:p w14:paraId="7DBD6DEC"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86</w:t>
            </w:r>
          </w:p>
        </w:tc>
        <w:tc>
          <w:tcPr>
            <w:tcW w:w="503" w:type="dxa"/>
            <w:tcBorders>
              <w:top w:val="nil"/>
              <w:left w:val="nil"/>
              <w:bottom w:val="single" w:sz="4" w:space="0" w:color="auto"/>
              <w:right w:val="single" w:sz="4" w:space="0" w:color="auto"/>
            </w:tcBorders>
            <w:vAlign w:val="center"/>
            <w:hideMark/>
          </w:tcPr>
          <w:p w14:paraId="672EF955"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64.5</w:t>
            </w:r>
          </w:p>
        </w:tc>
      </w:tr>
      <w:tr w:rsidR="004705D2" w:rsidRPr="004705D2" w14:paraId="2DCF8F06"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BE3BBA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w:t>
            </w:r>
          </w:p>
        </w:tc>
        <w:tc>
          <w:tcPr>
            <w:tcW w:w="808" w:type="dxa"/>
            <w:tcBorders>
              <w:top w:val="nil"/>
              <w:left w:val="nil"/>
              <w:bottom w:val="single" w:sz="4" w:space="0" w:color="auto"/>
              <w:right w:val="single" w:sz="4" w:space="0" w:color="auto"/>
            </w:tcBorders>
            <w:vAlign w:val="center"/>
            <w:hideMark/>
          </w:tcPr>
          <w:p w14:paraId="2AA3FEAB"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Arunachal Pradesh</w:t>
            </w:r>
          </w:p>
        </w:tc>
        <w:tc>
          <w:tcPr>
            <w:tcW w:w="777" w:type="dxa"/>
            <w:tcBorders>
              <w:top w:val="nil"/>
              <w:left w:val="nil"/>
              <w:bottom w:val="single" w:sz="4" w:space="0" w:color="auto"/>
              <w:right w:val="single" w:sz="4" w:space="0" w:color="auto"/>
            </w:tcBorders>
            <w:vAlign w:val="center"/>
            <w:hideMark/>
          </w:tcPr>
          <w:p w14:paraId="706DB4A5"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3BB80591"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DBA6D9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140BBCA9"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215161B5"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4A1E2D14"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02B42752"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54551A1A"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3218</w:t>
            </w:r>
          </w:p>
        </w:tc>
        <w:tc>
          <w:tcPr>
            <w:tcW w:w="557" w:type="dxa"/>
            <w:tcBorders>
              <w:top w:val="nil"/>
              <w:left w:val="nil"/>
              <w:bottom w:val="single" w:sz="4" w:space="0" w:color="auto"/>
              <w:right w:val="single" w:sz="4" w:space="0" w:color="auto"/>
            </w:tcBorders>
            <w:vAlign w:val="center"/>
            <w:hideMark/>
          </w:tcPr>
          <w:p w14:paraId="5FD742D1"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683</w:t>
            </w:r>
          </w:p>
        </w:tc>
        <w:tc>
          <w:tcPr>
            <w:tcW w:w="630" w:type="dxa"/>
            <w:tcBorders>
              <w:top w:val="nil"/>
              <w:left w:val="nil"/>
              <w:bottom w:val="single" w:sz="4" w:space="0" w:color="auto"/>
              <w:right w:val="single" w:sz="4" w:space="0" w:color="auto"/>
            </w:tcBorders>
            <w:vAlign w:val="center"/>
            <w:hideMark/>
          </w:tcPr>
          <w:p w14:paraId="602B47EE"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9964</w:t>
            </w:r>
          </w:p>
        </w:tc>
        <w:tc>
          <w:tcPr>
            <w:tcW w:w="540" w:type="dxa"/>
            <w:tcBorders>
              <w:top w:val="nil"/>
              <w:left w:val="nil"/>
              <w:bottom w:val="single" w:sz="4" w:space="0" w:color="auto"/>
              <w:right w:val="single" w:sz="4" w:space="0" w:color="auto"/>
            </w:tcBorders>
            <w:vAlign w:val="center"/>
            <w:hideMark/>
          </w:tcPr>
          <w:p w14:paraId="777366E6"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648</w:t>
            </w:r>
          </w:p>
        </w:tc>
        <w:tc>
          <w:tcPr>
            <w:tcW w:w="700" w:type="dxa"/>
            <w:tcBorders>
              <w:top w:val="nil"/>
              <w:left w:val="nil"/>
              <w:bottom w:val="single" w:sz="4" w:space="0" w:color="auto"/>
              <w:right w:val="single" w:sz="4" w:space="0" w:color="auto"/>
            </w:tcBorders>
            <w:vAlign w:val="center"/>
            <w:hideMark/>
          </w:tcPr>
          <w:p w14:paraId="213F85E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13182</w:t>
            </w:r>
          </w:p>
        </w:tc>
        <w:tc>
          <w:tcPr>
            <w:tcW w:w="701" w:type="dxa"/>
            <w:tcBorders>
              <w:top w:val="nil"/>
              <w:left w:val="nil"/>
              <w:bottom w:val="single" w:sz="4" w:space="0" w:color="auto"/>
              <w:right w:val="single" w:sz="4" w:space="0" w:color="auto"/>
            </w:tcBorders>
            <w:vAlign w:val="center"/>
            <w:hideMark/>
          </w:tcPr>
          <w:p w14:paraId="1D00F4F8"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1331</w:t>
            </w:r>
          </w:p>
        </w:tc>
        <w:tc>
          <w:tcPr>
            <w:tcW w:w="426" w:type="dxa"/>
            <w:tcBorders>
              <w:top w:val="nil"/>
              <w:left w:val="nil"/>
              <w:bottom w:val="single" w:sz="4" w:space="0" w:color="auto"/>
              <w:right w:val="single" w:sz="4" w:space="0" w:color="auto"/>
            </w:tcBorders>
            <w:vAlign w:val="center"/>
            <w:hideMark/>
          </w:tcPr>
          <w:p w14:paraId="48C27FD9"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68AF72AF"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3A6BE8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EAE9EC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C0E7B68"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32A11E5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6A150BF3"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4785327"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571ACBE5"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A0CEA08"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1C7B0695"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36B8352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53DC0DC1"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3C08973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309E7E6A"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4B646307"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6537D80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1" w:type="dxa"/>
            <w:tcBorders>
              <w:top w:val="nil"/>
              <w:left w:val="nil"/>
              <w:bottom w:val="single" w:sz="4" w:space="0" w:color="auto"/>
              <w:right w:val="single" w:sz="4" w:space="0" w:color="auto"/>
            </w:tcBorders>
            <w:vAlign w:val="center"/>
            <w:hideMark/>
          </w:tcPr>
          <w:p w14:paraId="2A68B375"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426" w:type="dxa"/>
            <w:tcBorders>
              <w:top w:val="nil"/>
              <w:left w:val="nil"/>
              <w:bottom w:val="single" w:sz="4" w:space="0" w:color="auto"/>
              <w:right w:val="single" w:sz="4" w:space="0" w:color="auto"/>
            </w:tcBorders>
            <w:vAlign w:val="center"/>
            <w:hideMark/>
          </w:tcPr>
          <w:p w14:paraId="0DB95A96"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AD4E01F"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11A8013F"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EE7525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6B4FFBEC"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76807EC6"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3A8C5D74"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5E9F7CB"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6BD3F99D"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E1BF831"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520D48E4"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62B22B8B"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683D4FBB"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3218</w:t>
            </w:r>
          </w:p>
        </w:tc>
        <w:tc>
          <w:tcPr>
            <w:tcW w:w="557" w:type="dxa"/>
            <w:tcBorders>
              <w:top w:val="nil"/>
              <w:left w:val="nil"/>
              <w:bottom w:val="single" w:sz="4" w:space="0" w:color="auto"/>
              <w:right w:val="single" w:sz="4" w:space="0" w:color="auto"/>
            </w:tcBorders>
            <w:vAlign w:val="center"/>
            <w:hideMark/>
          </w:tcPr>
          <w:p w14:paraId="1328A9C7"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683</w:t>
            </w:r>
          </w:p>
        </w:tc>
        <w:tc>
          <w:tcPr>
            <w:tcW w:w="630" w:type="dxa"/>
            <w:tcBorders>
              <w:top w:val="nil"/>
              <w:left w:val="nil"/>
              <w:bottom w:val="single" w:sz="4" w:space="0" w:color="auto"/>
              <w:right w:val="single" w:sz="4" w:space="0" w:color="auto"/>
            </w:tcBorders>
            <w:vAlign w:val="center"/>
            <w:hideMark/>
          </w:tcPr>
          <w:p w14:paraId="1A05FFE7"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9964</w:t>
            </w:r>
          </w:p>
        </w:tc>
        <w:tc>
          <w:tcPr>
            <w:tcW w:w="540" w:type="dxa"/>
            <w:tcBorders>
              <w:top w:val="nil"/>
              <w:left w:val="nil"/>
              <w:bottom w:val="single" w:sz="4" w:space="0" w:color="auto"/>
              <w:right w:val="single" w:sz="4" w:space="0" w:color="auto"/>
            </w:tcBorders>
            <w:vAlign w:val="center"/>
            <w:hideMark/>
          </w:tcPr>
          <w:p w14:paraId="7336F4C4"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648</w:t>
            </w:r>
          </w:p>
        </w:tc>
        <w:tc>
          <w:tcPr>
            <w:tcW w:w="700" w:type="dxa"/>
            <w:tcBorders>
              <w:top w:val="nil"/>
              <w:left w:val="nil"/>
              <w:bottom w:val="single" w:sz="4" w:space="0" w:color="auto"/>
              <w:right w:val="single" w:sz="4" w:space="0" w:color="auto"/>
            </w:tcBorders>
            <w:vAlign w:val="center"/>
            <w:hideMark/>
          </w:tcPr>
          <w:p w14:paraId="1E58F7B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13182</w:t>
            </w:r>
          </w:p>
        </w:tc>
        <w:tc>
          <w:tcPr>
            <w:tcW w:w="701" w:type="dxa"/>
            <w:tcBorders>
              <w:top w:val="nil"/>
              <w:left w:val="nil"/>
              <w:bottom w:val="single" w:sz="4" w:space="0" w:color="auto"/>
              <w:right w:val="single" w:sz="4" w:space="0" w:color="auto"/>
            </w:tcBorders>
            <w:vAlign w:val="center"/>
            <w:hideMark/>
          </w:tcPr>
          <w:p w14:paraId="562412B4"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1331</w:t>
            </w:r>
          </w:p>
        </w:tc>
        <w:tc>
          <w:tcPr>
            <w:tcW w:w="426" w:type="dxa"/>
            <w:tcBorders>
              <w:top w:val="nil"/>
              <w:left w:val="nil"/>
              <w:bottom w:val="single" w:sz="4" w:space="0" w:color="auto"/>
              <w:right w:val="single" w:sz="4" w:space="0" w:color="auto"/>
            </w:tcBorders>
            <w:vAlign w:val="center"/>
            <w:hideMark/>
          </w:tcPr>
          <w:p w14:paraId="40EE5A75"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w:t>
            </w:r>
          </w:p>
        </w:tc>
        <w:tc>
          <w:tcPr>
            <w:tcW w:w="503" w:type="dxa"/>
            <w:tcBorders>
              <w:top w:val="nil"/>
              <w:left w:val="nil"/>
              <w:bottom w:val="single" w:sz="4" w:space="0" w:color="auto"/>
              <w:right w:val="single" w:sz="4" w:space="0" w:color="auto"/>
            </w:tcBorders>
            <w:vAlign w:val="center"/>
            <w:hideMark/>
          </w:tcPr>
          <w:p w14:paraId="131116E5"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w:t>
            </w:r>
          </w:p>
        </w:tc>
      </w:tr>
      <w:tr w:rsidR="004705D2" w:rsidRPr="004705D2" w14:paraId="65BE6505"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75448E3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3</w:t>
            </w:r>
          </w:p>
        </w:tc>
        <w:tc>
          <w:tcPr>
            <w:tcW w:w="808" w:type="dxa"/>
            <w:tcBorders>
              <w:top w:val="nil"/>
              <w:left w:val="nil"/>
              <w:bottom w:val="single" w:sz="4" w:space="0" w:color="auto"/>
              <w:right w:val="single" w:sz="4" w:space="0" w:color="auto"/>
            </w:tcBorders>
            <w:vAlign w:val="center"/>
            <w:hideMark/>
          </w:tcPr>
          <w:p w14:paraId="62120836"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Assam</w:t>
            </w:r>
          </w:p>
        </w:tc>
        <w:tc>
          <w:tcPr>
            <w:tcW w:w="777" w:type="dxa"/>
            <w:tcBorders>
              <w:top w:val="nil"/>
              <w:left w:val="nil"/>
              <w:bottom w:val="single" w:sz="4" w:space="0" w:color="auto"/>
              <w:right w:val="single" w:sz="4" w:space="0" w:color="auto"/>
            </w:tcBorders>
            <w:vAlign w:val="center"/>
            <w:hideMark/>
          </w:tcPr>
          <w:p w14:paraId="68D1ED3C"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58870D08"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15493</w:t>
            </w:r>
          </w:p>
        </w:tc>
        <w:tc>
          <w:tcPr>
            <w:tcW w:w="654" w:type="dxa"/>
            <w:tcBorders>
              <w:top w:val="nil"/>
              <w:left w:val="nil"/>
              <w:bottom w:val="single" w:sz="4" w:space="0" w:color="auto"/>
              <w:right w:val="single" w:sz="4" w:space="0" w:color="auto"/>
            </w:tcBorders>
            <w:vAlign w:val="center"/>
            <w:hideMark/>
          </w:tcPr>
          <w:p w14:paraId="500BDDD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3942</w:t>
            </w:r>
          </w:p>
        </w:tc>
        <w:tc>
          <w:tcPr>
            <w:tcW w:w="536" w:type="dxa"/>
            <w:tcBorders>
              <w:top w:val="nil"/>
              <w:left w:val="nil"/>
              <w:bottom w:val="single" w:sz="4" w:space="0" w:color="auto"/>
              <w:right w:val="single" w:sz="4" w:space="0" w:color="auto"/>
            </w:tcBorders>
            <w:vAlign w:val="center"/>
            <w:hideMark/>
          </w:tcPr>
          <w:p w14:paraId="724B986A"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9003</w:t>
            </w:r>
          </w:p>
        </w:tc>
        <w:tc>
          <w:tcPr>
            <w:tcW w:w="654" w:type="dxa"/>
            <w:tcBorders>
              <w:top w:val="nil"/>
              <w:left w:val="nil"/>
              <w:bottom w:val="single" w:sz="4" w:space="0" w:color="auto"/>
              <w:right w:val="single" w:sz="4" w:space="0" w:color="auto"/>
            </w:tcBorders>
            <w:vAlign w:val="center"/>
            <w:hideMark/>
          </w:tcPr>
          <w:p w14:paraId="592303A2"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2385</w:t>
            </w:r>
          </w:p>
        </w:tc>
        <w:tc>
          <w:tcPr>
            <w:tcW w:w="621" w:type="dxa"/>
            <w:tcBorders>
              <w:top w:val="nil"/>
              <w:left w:val="nil"/>
              <w:bottom w:val="single" w:sz="4" w:space="0" w:color="auto"/>
              <w:right w:val="single" w:sz="4" w:space="0" w:color="auto"/>
            </w:tcBorders>
            <w:vAlign w:val="center"/>
            <w:hideMark/>
          </w:tcPr>
          <w:p w14:paraId="2F4F31B3"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33865</w:t>
            </w:r>
          </w:p>
        </w:tc>
        <w:tc>
          <w:tcPr>
            <w:tcW w:w="569" w:type="dxa"/>
            <w:tcBorders>
              <w:top w:val="nil"/>
              <w:left w:val="nil"/>
              <w:bottom w:val="single" w:sz="4" w:space="0" w:color="auto"/>
              <w:right w:val="single" w:sz="4" w:space="0" w:color="auto"/>
            </w:tcBorders>
            <w:vAlign w:val="center"/>
            <w:hideMark/>
          </w:tcPr>
          <w:p w14:paraId="0C325D52"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3194</w:t>
            </w:r>
          </w:p>
        </w:tc>
        <w:tc>
          <w:tcPr>
            <w:tcW w:w="584" w:type="dxa"/>
            <w:tcBorders>
              <w:top w:val="nil"/>
              <w:left w:val="nil"/>
              <w:bottom w:val="single" w:sz="4" w:space="0" w:color="auto"/>
              <w:right w:val="single" w:sz="4" w:space="0" w:color="auto"/>
            </w:tcBorders>
            <w:vAlign w:val="center"/>
            <w:hideMark/>
          </w:tcPr>
          <w:p w14:paraId="0332DC99"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38655</w:t>
            </w:r>
          </w:p>
        </w:tc>
        <w:tc>
          <w:tcPr>
            <w:tcW w:w="557" w:type="dxa"/>
            <w:tcBorders>
              <w:top w:val="nil"/>
              <w:left w:val="nil"/>
              <w:bottom w:val="single" w:sz="4" w:space="0" w:color="auto"/>
              <w:right w:val="single" w:sz="4" w:space="0" w:color="auto"/>
            </w:tcBorders>
            <w:vAlign w:val="center"/>
            <w:hideMark/>
          </w:tcPr>
          <w:p w14:paraId="514589D6"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6250</w:t>
            </w:r>
          </w:p>
        </w:tc>
        <w:tc>
          <w:tcPr>
            <w:tcW w:w="630" w:type="dxa"/>
            <w:tcBorders>
              <w:top w:val="nil"/>
              <w:left w:val="nil"/>
              <w:bottom w:val="single" w:sz="4" w:space="0" w:color="auto"/>
              <w:right w:val="single" w:sz="4" w:space="0" w:color="auto"/>
            </w:tcBorders>
            <w:vAlign w:val="center"/>
            <w:hideMark/>
          </w:tcPr>
          <w:p w14:paraId="73C5AFAE"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82421</w:t>
            </w:r>
          </w:p>
        </w:tc>
        <w:tc>
          <w:tcPr>
            <w:tcW w:w="540" w:type="dxa"/>
            <w:tcBorders>
              <w:top w:val="nil"/>
              <w:left w:val="nil"/>
              <w:bottom w:val="single" w:sz="4" w:space="0" w:color="auto"/>
              <w:right w:val="single" w:sz="4" w:space="0" w:color="auto"/>
            </w:tcBorders>
            <w:vAlign w:val="center"/>
            <w:hideMark/>
          </w:tcPr>
          <w:p w14:paraId="01F1AE5C"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8541</w:t>
            </w:r>
          </w:p>
        </w:tc>
        <w:tc>
          <w:tcPr>
            <w:tcW w:w="700" w:type="dxa"/>
            <w:tcBorders>
              <w:top w:val="nil"/>
              <w:left w:val="nil"/>
              <w:bottom w:val="single" w:sz="4" w:space="0" w:color="auto"/>
              <w:right w:val="single" w:sz="4" w:space="0" w:color="auto"/>
            </w:tcBorders>
            <w:vAlign w:val="center"/>
            <w:hideMark/>
          </w:tcPr>
          <w:p w14:paraId="2FBAB48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192243</w:t>
            </w:r>
          </w:p>
        </w:tc>
        <w:tc>
          <w:tcPr>
            <w:tcW w:w="701" w:type="dxa"/>
            <w:tcBorders>
              <w:top w:val="nil"/>
              <w:left w:val="nil"/>
              <w:bottom w:val="single" w:sz="4" w:space="0" w:color="auto"/>
              <w:right w:val="single" w:sz="4" w:space="0" w:color="auto"/>
            </w:tcBorders>
            <w:vAlign w:val="center"/>
            <w:hideMark/>
          </w:tcPr>
          <w:p w14:paraId="28AD306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28094</w:t>
            </w:r>
          </w:p>
        </w:tc>
        <w:tc>
          <w:tcPr>
            <w:tcW w:w="426" w:type="dxa"/>
            <w:tcBorders>
              <w:top w:val="nil"/>
              <w:left w:val="nil"/>
              <w:bottom w:val="single" w:sz="4" w:space="0" w:color="auto"/>
              <w:right w:val="single" w:sz="4" w:space="0" w:color="auto"/>
            </w:tcBorders>
            <w:vAlign w:val="center"/>
            <w:hideMark/>
          </w:tcPr>
          <w:p w14:paraId="1726020F"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829C6DA"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403758C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4366A2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6922A63"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7070ECDB"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373B860B"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19230D6"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6068373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91C1387"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6525E45A"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8193</w:t>
            </w:r>
          </w:p>
        </w:tc>
        <w:tc>
          <w:tcPr>
            <w:tcW w:w="569" w:type="dxa"/>
            <w:tcBorders>
              <w:top w:val="nil"/>
              <w:left w:val="nil"/>
              <w:bottom w:val="single" w:sz="4" w:space="0" w:color="auto"/>
              <w:right w:val="single" w:sz="4" w:space="0" w:color="auto"/>
            </w:tcBorders>
            <w:vAlign w:val="center"/>
            <w:hideMark/>
          </w:tcPr>
          <w:p w14:paraId="79B64761"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740</w:t>
            </w:r>
          </w:p>
        </w:tc>
        <w:tc>
          <w:tcPr>
            <w:tcW w:w="584" w:type="dxa"/>
            <w:tcBorders>
              <w:top w:val="nil"/>
              <w:left w:val="nil"/>
              <w:bottom w:val="single" w:sz="4" w:space="0" w:color="auto"/>
              <w:right w:val="single" w:sz="4" w:space="0" w:color="auto"/>
            </w:tcBorders>
            <w:vAlign w:val="center"/>
            <w:hideMark/>
          </w:tcPr>
          <w:p w14:paraId="60DD49A6"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245F576C"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78A99635"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1CF4768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6972E118"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9062</w:t>
            </w:r>
          </w:p>
        </w:tc>
        <w:tc>
          <w:tcPr>
            <w:tcW w:w="701" w:type="dxa"/>
            <w:tcBorders>
              <w:top w:val="nil"/>
              <w:left w:val="nil"/>
              <w:bottom w:val="single" w:sz="4" w:space="0" w:color="auto"/>
              <w:right w:val="single" w:sz="4" w:space="0" w:color="auto"/>
            </w:tcBorders>
            <w:vAlign w:val="center"/>
            <w:hideMark/>
          </w:tcPr>
          <w:p w14:paraId="77323254"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1380</w:t>
            </w:r>
          </w:p>
        </w:tc>
        <w:tc>
          <w:tcPr>
            <w:tcW w:w="426" w:type="dxa"/>
            <w:tcBorders>
              <w:top w:val="nil"/>
              <w:left w:val="nil"/>
              <w:bottom w:val="single" w:sz="4" w:space="0" w:color="auto"/>
              <w:right w:val="single" w:sz="4" w:space="0" w:color="auto"/>
            </w:tcBorders>
            <w:vAlign w:val="center"/>
            <w:hideMark/>
          </w:tcPr>
          <w:p w14:paraId="5BC1ADD6"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036C52F"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0B140560"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65535F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2E04FC2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0497A4C"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6DE57632"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15493</w:t>
            </w:r>
          </w:p>
        </w:tc>
        <w:tc>
          <w:tcPr>
            <w:tcW w:w="654" w:type="dxa"/>
            <w:tcBorders>
              <w:top w:val="nil"/>
              <w:left w:val="nil"/>
              <w:bottom w:val="single" w:sz="4" w:space="0" w:color="auto"/>
              <w:right w:val="single" w:sz="4" w:space="0" w:color="auto"/>
            </w:tcBorders>
            <w:vAlign w:val="center"/>
            <w:hideMark/>
          </w:tcPr>
          <w:p w14:paraId="16F44C09"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3942</w:t>
            </w:r>
          </w:p>
        </w:tc>
        <w:tc>
          <w:tcPr>
            <w:tcW w:w="536" w:type="dxa"/>
            <w:tcBorders>
              <w:top w:val="nil"/>
              <w:left w:val="nil"/>
              <w:bottom w:val="single" w:sz="4" w:space="0" w:color="auto"/>
              <w:right w:val="single" w:sz="4" w:space="0" w:color="auto"/>
            </w:tcBorders>
            <w:vAlign w:val="center"/>
            <w:hideMark/>
          </w:tcPr>
          <w:p w14:paraId="3515B017"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9003</w:t>
            </w:r>
          </w:p>
        </w:tc>
        <w:tc>
          <w:tcPr>
            <w:tcW w:w="654" w:type="dxa"/>
            <w:tcBorders>
              <w:top w:val="nil"/>
              <w:left w:val="nil"/>
              <w:bottom w:val="single" w:sz="4" w:space="0" w:color="auto"/>
              <w:right w:val="single" w:sz="4" w:space="0" w:color="auto"/>
            </w:tcBorders>
            <w:vAlign w:val="center"/>
            <w:hideMark/>
          </w:tcPr>
          <w:p w14:paraId="1C112C63"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2385</w:t>
            </w:r>
          </w:p>
        </w:tc>
        <w:tc>
          <w:tcPr>
            <w:tcW w:w="621" w:type="dxa"/>
            <w:tcBorders>
              <w:top w:val="nil"/>
              <w:left w:val="nil"/>
              <w:bottom w:val="single" w:sz="4" w:space="0" w:color="auto"/>
              <w:right w:val="single" w:sz="4" w:space="0" w:color="auto"/>
            </w:tcBorders>
            <w:vAlign w:val="center"/>
            <w:hideMark/>
          </w:tcPr>
          <w:p w14:paraId="59E0971F"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42058</w:t>
            </w:r>
          </w:p>
        </w:tc>
        <w:tc>
          <w:tcPr>
            <w:tcW w:w="569" w:type="dxa"/>
            <w:tcBorders>
              <w:top w:val="nil"/>
              <w:left w:val="nil"/>
              <w:bottom w:val="single" w:sz="4" w:space="0" w:color="auto"/>
              <w:right w:val="single" w:sz="4" w:space="0" w:color="auto"/>
            </w:tcBorders>
            <w:vAlign w:val="center"/>
            <w:hideMark/>
          </w:tcPr>
          <w:p w14:paraId="18127334"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3934</w:t>
            </w:r>
          </w:p>
        </w:tc>
        <w:tc>
          <w:tcPr>
            <w:tcW w:w="584" w:type="dxa"/>
            <w:tcBorders>
              <w:top w:val="nil"/>
              <w:left w:val="nil"/>
              <w:bottom w:val="single" w:sz="4" w:space="0" w:color="auto"/>
              <w:right w:val="single" w:sz="4" w:space="0" w:color="auto"/>
            </w:tcBorders>
            <w:vAlign w:val="center"/>
            <w:hideMark/>
          </w:tcPr>
          <w:p w14:paraId="16DA5DCC"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38655</w:t>
            </w:r>
          </w:p>
        </w:tc>
        <w:tc>
          <w:tcPr>
            <w:tcW w:w="557" w:type="dxa"/>
            <w:tcBorders>
              <w:top w:val="nil"/>
              <w:left w:val="nil"/>
              <w:bottom w:val="single" w:sz="4" w:space="0" w:color="auto"/>
              <w:right w:val="single" w:sz="4" w:space="0" w:color="auto"/>
            </w:tcBorders>
            <w:vAlign w:val="center"/>
            <w:hideMark/>
          </w:tcPr>
          <w:p w14:paraId="524D0EA9"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6250</w:t>
            </w:r>
          </w:p>
        </w:tc>
        <w:tc>
          <w:tcPr>
            <w:tcW w:w="630" w:type="dxa"/>
            <w:tcBorders>
              <w:top w:val="nil"/>
              <w:left w:val="nil"/>
              <w:bottom w:val="single" w:sz="4" w:space="0" w:color="auto"/>
              <w:right w:val="single" w:sz="4" w:space="0" w:color="auto"/>
            </w:tcBorders>
            <w:vAlign w:val="center"/>
            <w:hideMark/>
          </w:tcPr>
          <w:p w14:paraId="71384208"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82421</w:t>
            </w:r>
          </w:p>
        </w:tc>
        <w:tc>
          <w:tcPr>
            <w:tcW w:w="540" w:type="dxa"/>
            <w:tcBorders>
              <w:top w:val="nil"/>
              <w:left w:val="nil"/>
              <w:bottom w:val="single" w:sz="4" w:space="0" w:color="auto"/>
              <w:right w:val="single" w:sz="4" w:space="0" w:color="auto"/>
            </w:tcBorders>
            <w:vAlign w:val="center"/>
            <w:hideMark/>
          </w:tcPr>
          <w:p w14:paraId="164A288A"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8541</w:t>
            </w:r>
          </w:p>
        </w:tc>
        <w:tc>
          <w:tcPr>
            <w:tcW w:w="700" w:type="dxa"/>
            <w:tcBorders>
              <w:top w:val="nil"/>
              <w:left w:val="nil"/>
              <w:bottom w:val="single" w:sz="4" w:space="0" w:color="auto"/>
              <w:right w:val="single" w:sz="4" w:space="0" w:color="auto"/>
            </w:tcBorders>
            <w:vAlign w:val="center"/>
            <w:hideMark/>
          </w:tcPr>
          <w:p w14:paraId="360204E2"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201305</w:t>
            </w:r>
          </w:p>
        </w:tc>
        <w:tc>
          <w:tcPr>
            <w:tcW w:w="701" w:type="dxa"/>
            <w:tcBorders>
              <w:top w:val="nil"/>
              <w:left w:val="nil"/>
              <w:bottom w:val="single" w:sz="4" w:space="0" w:color="auto"/>
              <w:right w:val="single" w:sz="4" w:space="0" w:color="auto"/>
            </w:tcBorders>
            <w:vAlign w:val="center"/>
            <w:hideMark/>
          </w:tcPr>
          <w:p w14:paraId="06822846"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29474</w:t>
            </w:r>
          </w:p>
        </w:tc>
        <w:tc>
          <w:tcPr>
            <w:tcW w:w="426" w:type="dxa"/>
            <w:tcBorders>
              <w:top w:val="nil"/>
              <w:left w:val="nil"/>
              <w:bottom w:val="single" w:sz="4" w:space="0" w:color="auto"/>
              <w:right w:val="single" w:sz="4" w:space="0" w:color="auto"/>
            </w:tcBorders>
            <w:vAlign w:val="center"/>
            <w:hideMark/>
          </w:tcPr>
          <w:p w14:paraId="4A4FB48F"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30</w:t>
            </w:r>
          </w:p>
        </w:tc>
        <w:tc>
          <w:tcPr>
            <w:tcW w:w="503" w:type="dxa"/>
            <w:tcBorders>
              <w:top w:val="nil"/>
              <w:left w:val="nil"/>
              <w:bottom w:val="single" w:sz="4" w:space="0" w:color="auto"/>
              <w:right w:val="single" w:sz="4" w:space="0" w:color="auto"/>
            </w:tcBorders>
            <w:vAlign w:val="center"/>
            <w:hideMark/>
          </w:tcPr>
          <w:p w14:paraId="6ECEB574"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22.5</w:t>
            </w:r>
          </w:p>
        </w:tc>
      </w:tr>
      <w:tr w:rsidR="004705D2" w:rsidRPr="004705D2" w14:paraId="7A30CAC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A1EEC73"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4</w:t>
            </w:r>
          </w:p>
        </w:tc>
        <w:tc>
          <w:tcPr>
            <w:tcW w:w="808" w:type="dxa"/>
            <w:tcBorders>
              <w:top w:val="nil"/>
              <w:left w:val="nil"/>
              <w:bottom w:val="single" w:sz="4" w:space="0" w:color="auto"/>
              <w:right w:val="single" w:sz="4" w:space="0" w:color="auto"/>
            </w:tcBorders>
            <w:vAlign w:val="center"/>
            <w:hideMark/>
          </w:tcPr>
          <w:p w14:paraId="2F61B09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Bihar</w:t>
            </w:r>
          </w:p>
        </w:tc>
        <w:tc>
          <w:tcPr>
            <w:tcW w:w="777" w:type="dxa"/>
            <w:tcBorders>
              <w:top w:val="nil"/>
              <w:left w:val="nil"/>
              <w:bottom w:val="single" w:sz="4" w:space="0" w:color="auto"/>
              <w:right w:val="single" w:sz="4" w:space="0" w:color="auto"/>
            </w:tcBorders>
            <w:vAlign w:val="center"/>
            <w:hideMark/>
          </w:tcPr>
          <w:p w14:paraId="51BFC51A"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44F95E25"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20494</w:t>
            </w:r>
          </w:p>
        </w:tc>
        <w:tc>
          <w:tcPr>
            <w:tcW w:w="654" w:type="dxa"/>
            <w:tcBorders>
              <w:top w:val="nil"/>
              <w:left w:val="nil"/>
              <w:bottom w:val="single" w:sz="4" w:space="0" w:color="auto"/>
              <w:right w:val="single" w:sz="4" w:space="0" w:color="auto"/>
            </w:tcBorders>
            <w:vAlign w:val="center"/>
            <w:hideMark/>
          </w:tcPr>
          <w:p w14:paraId="2D9D9A44"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5894</w:t>
            </w:r>
          </w:p>
        </w:tc>
        <w:tc>
          <w:tcPr>
            <w:tcW w:w="536" w:type="dxa"/>
            <w:tcBorders>
              <w:top w:val="nil"/>
              <w:left w:val="nil"/>
              <w:bottom w:val="single" w:sz="4" w:space="0" w:color="auto"/>
              <w:right w:val="single" w:sz="4" w:space="0" w:color="auto"/>
            </w:tcBorders>
            <w:vAlign w:val="center"/>
            <w:hideMark/>
          </w:tcPr>
          <w:p w14:paraId="123400F7"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7015CA89"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0F07DC90"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26833</w:t>
            </w:r>
          </w:p>
        </w:tc>
        <w:tc>
          <w:tcPr>
            <w:tcW w:w="569" w:type="dxa"/>
            <w:tcBorders>
              <w:top w:val="nil"/>
              <w:left w:val="nil"/>
              <w:bottom w:val="single" w:sz="4" w:space="0" w:color="auto"/>
              <w:right w:val="single" w:sz="4" w:space="0" w:color="auto"/>
            </w:tcBorders>
            <w:vAlign w:val="center"/>
            <w:hideMark/>
          </w:tcPr>
          <w:p w14:paraId="3BA53E47"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3694</w:t>
            </w:r>
          </w:p>
        </w:tc>
        <w:tc>
          <w:tcPr>
            <w:tcW w:w="584" w:type="dxa"/>
            <w:tcBorders>
              <w:top w:val="nil"/>
              <w:left w:val="nil"/>
              <w:bottom w:val="single" w:sz="4" w:space="0" w:color="auto"/>
              <w:right w:val="single" w:sz="4" w:space="0" w:color="auto"/>
            </w:tcBorders>
            <w:vAlign w:val="center"/>
            <w:hideMark/>
          </w:tcPr>
          <w:p w14:paraId="4D530BF3"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73596</w:t>
            </w:r>
          </w:p>
        </w:tc>
        <w:tc>
          <w:tcPr>
            <w:tcW w:w="557" w:type="dxa"/>
            <w:tcBorders>
              <w:top w:val="nil"/>
              <w:left w:val="nil"/>
              <w:bottom w:val="single" w:sz="4" w:space="0" w:color="auto"/>
              <w:right w:val="single" w:sz="4" w:space="0" w:color="auto"/>
            </w:tcBorders>
            <w:vAlign w:val="center"/>
            <w:hideMark/>
          </w:tcPr>
          <w:p w14:paraId="05FE412C"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8337</w:t>
            </w:r>
          </w:p>
        </w:tc>
        <w:tc>
          <w:tcPr>
            <w:tcW w:w="630" w:type="dxa"/>
            <w:tcBorders>
              <w:top w:val="nil"/>
              <w:left w:val="nil"/>
              <w:bottom w:val="single" w:sz="4" w:space="0" w:color="auto"/>
              <w:right w:val="single" w:sz="4" w:space="0" w:color="auto"/>
            </w:tcBorders>
            <w:vAlign w:val="center"/>
            <w:hideMark/>
          </w:tcPr>
          <w:p w14:paraId="0616EAF0"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15289</w:t>
            </w:r>
          </w:p>
        </w:tc>
        <w:tc>
          <w:tcPr>
            <w:tcW w:w="540" w:type="dxa"/>
            <w:tcBorders>
              <w:top w:val="nil"/>
              <w:left w:val="nil"/>
              <w:bottom w:val="single" w:sz="4" w:space="0" w:color="auto"/>
              <w:right w:val="single" w:sz="4" w:space="0" w:color="auto"/>
            </w:tcBorders>
            <w:vAlign w:val="center"/>
            <w:hideMark/>
          </w:tcPr>
          <w:p w14:paraId="383FA446"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2740</w:t>
            </w:r>
          </w:p>
        </w:tc>
        <w:tc>
          <w:tcPr>
            <w:tcW w:w="700" w:type="dxa"/>
            <w:tcBorders>
              <w:top w:val="nil"/>
              <w:left w:val="nil"/>
              <w:bottom w:val="single" w:sz="4" w:space="0" w:color="auto"/>
              <w:right w:val="single" w:sz="4" w:space="0" w:color="auto"/>
            </w:tcBorders>
            <w:vAlign w:val="center"/>
            <w:hideMark/>
          </w:tcPr>
          <w:p w14:paraId="7C8DD5E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159435</w:t>
            </w:r>
          </w:p>
        </w:tc>
        <w:tc>
          <w:tcPr>
            <w:tcW w:w="701" w:type="dxa"/>
            <w:tcBorders>
              <w:top w:val="nil"/>
              <w:left w:val="nil"/>
              <w:bottom w:val="single" w:sz="4" w:space="0" w:color="auto"/>
              <w:right w:val="single" w:sz="4" w:space="0" w:color="auto"/>
            </w:tcBorders>
            <w:vAlign w:val="center"/>
            <w:hideMark/>
          </w:tcPr>
          <w:p w14:paraId="68544C98"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27134</w:t>
            </w:r>
          </w:p>
        </w:tc>
        <w:tc>
          <w:tcPr>
            <w:tcW w:w="426" w:type="dxa"/>
            <w:tcBorders>
              <w:top w:val="nil"/>
              <w:left w:val="nil"/>
              <w:bottom w:val="single" w:sz="4" w:space="0" w:color="auto"/>
              <w:right w:val="single" w:sz="4" w:space="0" w:color="auto"/>
            </w:tcBorders>
            <w:vAlign w:val="center"/>
            <w:hideMark/>
          </w:tcPr>
          <w:p w14:paraId="050B544A"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EAD5208"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0809B52"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CDF43C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C36FD7B"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4A744A1"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6000B25F"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5C7D73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2E97C6E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FB72E32"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0173DB35"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54AD25B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118CD6CB"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6318EB9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4E138C8C"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5F03BEA2"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2DB53CA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44484</w:t>
            </w:r>
          </w:p>
        </w:tc>
        <w:tc>
          <w:tcPr>
            <w:tcW w:w="701" w:type="dxa"/>
            <w:tcBorders>
              <w:top w:val="nil"/>
              <w:left w:val="nil"/>
              <w:bottom w:val="single" w:sz="4" w:space="0" w:color="auto"/>
              <w:right w:val="single" w:sz="4" w:space="0" w:color="auto"/>
            </w:tcBorders>
            <w:vAlign w:val="center"/>
            <w:hideMark/>
          </w:tcPr>
          <w:p w14:paraId="1CE46015"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7063</w:t>
            </w:r>
          </w:p>
        </w:tc>
        <w:tc>
          <w:tcPr>
            <w:tcW w:w="426" w:type="dxa"/>
            <w:tcBorders>
              <w:top w:val="nil"/>
              <w:left w:val="nil"/>
              <w:bottom w:val="single" w:sz="4" w:space="0" w:color="auto"/>
              <w:right w:val="single" w:sz="4" w:space="0" w:color="auto"/>
            </w:tcBorders>
            <w:vAlign w:val="center"/>
            <w:hideMark/>
          </w:tcPr>
          <w:p w14:paraId="0046CCD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72C1078"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9826BDD"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0D364D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8D073F4"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FFD4E67"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43B59B70"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20494</w:t>
            </w:r>
          </w:p>
        </w:tc>
        <w:tc>
          <w:tcPr>
            <w:tcW w:w="654" w:type="dxa"/>
            <w:tcBorders>
              <w:top w:val="nil"/>
              <w:left w:val="nil"/>
              <w:bottom w:val="single" w:sz="4" w:space="0" w:color="auto"/>
              <w:right w:val="single" w:sz="4" w:space="0" w:color="auto"/>
            </w:tcBorders>
            <w:vAlign w:val="center"/>
            <w:hideMark/>
          </w:tcPr>
          <w:p w14:paraId="2918DF3F"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5894</w:t>
            </w:r>
          </w:p>
        </w:tc>
        <w:tc>
          <w:tcPr>
            <w:tcW w:w="536" w:type="dxa"/>
            <w:tcBorders>
              <w:top w:val="nil"/>
              <w:left w:val="nil"/>
              <w:bottom w:val="single" w:sz="4" w:space="0" w:color="auto"/>
              <w:right w:val="single" w:sz="4" w:space="0" w:color="auto"/>
            </w:tcBorders>
            <w:vAlign w:val="center"/>
            <w:hideMark/>
          </w:tcPr>
          <w:p w14:paraId="3A393945"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056ED8C"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61E3F9C3"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26833</w:t>
            </w:r>
          </w:p>
        </w:tc>
        <w:tc>
          <w:tcPr>
            <w:tcW w:w="569" w:type="dxa"/>
            <w:tcBorders>
              <w:top w:val="nil"/>
              <w:left w:val="nil"/>
              <w:bottom w:val="single" w:sz="4" w:space="0" w:color="auto"/>
              <w:right w:val="single" w:sz="4" w:space="0" w:color="auto"/>
            </w:tcBorders>
            <w:vAlign w:val="center"/>
            <w:hideMark/>
          </w:tcPr>
          <w:p w14:paraId="01F188E2"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3694</w:t>
            </w:r>
          </w:p>
        </w:tc>
        <w:tc>
          <w:tcPr>
            <w:tcW w:w="584" w:type="dxa"/>
            <w:tcBorders>
              <w:top w:val="nil"/>
              <w:left w:val="nil"/>
              <w:bottom w:val="single" w:sz="4" w:space="0" w:color="auto"/>
              <w:right w:val="single" w:sz="4" w:space="0" w:color="auto"/>
            </w:tcBorders>
            <w:vAlign w:val="center"/>
            <w:hideMark/>
          </w:tcPr>
          <w:p w14:paraId="2A1CEDD1"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73596</w:t>
            </w:r>
          </w:p>
        </w:tc>
        <w:tc>
          <w:tcPr>
            <w:tcW w:w="557" w:type="dxa"/>
            <w:tcBorders>
              <w:top w:val="nil"/>
              <w:left w:val="nil"/>
              <w:bottom w:val="single" w:sz="4" w:space="0" w:color="auto"/>
              <w:right w:val="single" w:sz="4" w:space="0" w:color="auto"/>
            </w:tcBorders>
            <w:vAlign w:val="center"/>
            <w:hideMark/>
          </w:tcPr>
          <w:p w14:paraId="32DC28BF"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8337</w:t>
            </w:r>
          </w:p>
        </w:tc>
        <w:tc>
          <w:tcPr>
            <w:tcW w:w="630" w:type="dxa"/>
            <w:tcBorders>
              <w:top w:val="nil"/>
              <w:left w:val="nil"/>
              <w:bottom w:val="single" w:sz="4" w:space="0" w:color="auto"/>
              <w:right w:val="single" w:sz="4" w:space="0" w:color="auto"/>
            </w:tcBorders>
            <w:vAlign w:val="center"/>
            <w:hideMark/>
          </w:tcPr>
          <w:p w14:paraId="4313EC3F"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15289</w:t>
            </w:r>
          </w:p>
        </w:tc>
        <w:tc>
          <w:tcPr>
            <w:tcW w:w="540" w:type="dxa"/>
            <w:tcBorders>
              <w:top w:val="nil"/>
              <w:left w:val="nil"/>
              <w:bottom w:val="single" w:sz="4" w:space="0" w:color="auto"/>
              <w:right w:val="single" w:sz="4" w:space="0" w:color="auto"/>
            </w:tcBorders>
            <w:vAlign w:val="center"/>
            <w:hideMark/>
          </w:tcPr>
          <w:p w14:paraId="6E5B03F3"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2740</w:t>
            </w:r>
          </w:p>
        </w:tc>
        <w:tc>
          <w:tcPr>
            <w:tcW w:w="700" w:type="dxa"/>
            <w:tcBorders>
              <w:top w:val="nil"/>
              <w:left w:val="nil"/>
              <w:bottom w:val="single" w:sz="4" w:space="0" w:color="auto"/>
              <w:right w:val="single" w:sz="4" w:space="0" w:color="auto"/>
            </w:tcBorders>
            <w:vAlign w:val="center"/>
            <w:hideMark/>
          </w:tcPr>
          <w:p w14:paraId="34B38407"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203919</w:t>
            </w:r>
          </w:p>
        </w:tc>
        <w:tc>
          <w:tcPr>
            <w:tcW w:w="701" w:type="dxa"/>
            <w:tcBorders>
              <w:top w:val="nil"/>
              <w:left w:val="nil"/>
              <w:bottom w:val="single" w:sz="4" w:space="0" w:color="auto"/>
              <w:right w:val="single" w:sz="4" w:space="0" w:color="auto"/>
            </w:tcBorders>
            <w:vAlign w:val="center"/>
            <w:hideMark/>
          </w:tcPr>
          <w:p w14:paraId="65DCD908"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34197</w:t>
            </w:r>
          </w:p>
        </w:tc>
        <w:tc>
          <w:tcPr>
            <w:tcW w:w="426" w:type="dxa"/>
            <w:tcBorders>
              <w:top w:val="nil"/>
              <w:left w:val="nil"/>
              <w:bottom w:val="single" w:sz="4" w:space="0" w:color="auto"/>
              <w:right w:val="single" w:sz="4" w:space="0" w:color="auto"/>
            </w:tcBorders>
            <w:vAlign w:val="center"/>
            <w:hideMark/>
          </w:tcPr>
          <w:p w14:paraId="647EF599"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35</w:t>
            </w:r>
          </w:p>
        </w:tc>
        <w:tc>
          <w:tcPr>
            <w:tcW w:w="503" w:type="dxa"/>
            <w:tcBorders>
              <w:top w:val="nil"/>
              <w:left w:val="nil"/>
              <w:bottom w:val="single" w:sz="4" w:space="0" w:color="auto"/>
              <w:right w:val="single" w:sz="4" w:space="0" w:color="auto"/>
            </w:tcBorders>
            <w:vAlign w:val="center"/>
            <w:hideMark/>
          </w:tcPr>
          <w:p w14:paraId="75A0EBC9"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26.25</w:t>
            </w:r>
          </w:p>
        </w:tc>
      </w:tr>
      <w:tr w:rsidR="004705D2" w:rsidRPr="004705D2" w14:paraId="3F13768B"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B70E23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5</w:t>
            </w:r>
          </w:p>
        </w:tc>
        <w:tc>
          <w:tcPr>
            <w:tcW w:w="808" w:type="dxa"/>
            <w:tcBorders>
              <w:top w:val="nil"/>
              <w:left w:val="nil"/>
              <w:bottom w:val="single" w:sz="4" w:space="0" w:color="auto"/>
              <w:right w:val="single" w:sz="4" w:space="0" w:color="auto"/>
            </w:tcBorders>
            <w:vAlign w:val="center"/>
            <w:hideMark/>
          </w:tcPr>
          <w:p w14:paraId="14A32529"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Goa</w:t>
            </w:r>
          </w:p>
        </w:tc>
        <w:tc>
          <w:tcPr>
            <w:tcW w:w="777" w:type="dxa"/>
            <w:tcBorders>
              <w:top w:val="nil"/>
              <w:left w:val="nil"/>
              <w:bottom w:val="single" w:sz="4" w:space="0" w:color="auto"/>
              <w:right w:val="single" w:sz="4" w:space="0" w:color="auto"/>
            </w:tcBorders>
            <w:vAlign w:val="center"/>
            <w:hideMark/>
          </w:tcPr>
          <w:p w14:paraId="51D54CD1"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7EF0CD3B"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76FE526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15AD4BDC"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444012D"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2FEDF56A"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56ECA3B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4F51BD3C"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0DD57626"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512250FE"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2C89FB2A"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44753A66"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1" w:type="dxa"/>
            <w:tcBorders>
              <w:top w:val="nil"/>
              <w:left w:val="nil"/>
              <w:bottom w:val="single" w:sz="4" w:space="0" w:color="auto"/>
              <w:right w:val="single" w:sz="4" w:space="0" w:color="auto"/>
            </w:tcBorders>
            <w:vAlign w:val="center"/>
            <w:hideMark/>
          </w:tcPr>
          <w:p w14:paraId="604E211C"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426" w:type="dxa"/>
            <w:tcBorders>
              <w:top w:val="nil"/>
              <w:left w:val="nil"/>
              <w:bottom w:val="single" w:sz="4" w:space="0" w:color="auto"/>
              <w:right w:val="single" w:sz="4" w:space="0" w:color="auto"/>
            </w:tcBorders>
            <w:noWrap/>
            <w:vAlign w:val="bottom"/>
            <w:hideMark/>
          </w:tcPr>
          <w:p w14:paraId="30592902" w14:textId="77777777" w:rsidR="00861457" w:rsidRPr="00767C21" w:rsidRDefault="00861457" w:rsidP="004705D2">
            <w:pPr>
              <w:spacing w:after="0" w:line="240" w:lineRule="auto"/>
              <w:ind w:left="-73" w:firstLineChars="19" w:firstLine="23"/>
              <w:rPr>
                <w:rFonts w:ascii="Aptos Narrow" w:eastAsia="Times New Roman" w:hAnsi="Aptos Narrow" w:cs="Times New Roman"/>
                <w:color w:val="000000"/>
                <w:kern w:val="0"/>
                <w:sz w:val="12"/>
                <w:szCs w:val="12"/>
                <w:lang w:eastAsia="en-IN"/>
                <w14:ligatures w14:val="none"/>
              </w:rPr>
            </w:pPr>
            <w:r w:rsidRPr="00767C21">
              <w:rPr>
                <w:rFonts w:ascii="Aptos Narrow" w:eastAsia="Times New Roman" w:hAnsi="Aptos Narrow" w:cs="Times New Roman"/>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noWrap/>
            <w:vAlign w:val="bottom"/>
            <w:hideMark/>
          </w:tcPr>
          <w:p w14:paraId="6786F28A" w14:textId="77777777" w:rsidR="00861457" w:rsidRPr="00767C21" w:rsidRDefault="00861457" w:rsidP="004705D2">
            <w:pPr>
              <w:spacing w:after="0" w:line="240" w:lineRule="auto"/>
              <w:ind w:left="-52"/>
              <w:rPr>
                <w:rFonts w:ascii="Aptos Narrow" w:eastAsia="Times New Roman" w:hAnsi="Aptos Narrow" w:cs="Times New Roman"/>
                <w:color w:val="000000"/>
                <w:kern w:val="0"/>
                <w:sz w:val="12"/>
                <w:szCs w:val="12"/>
                <w:lang w:eastAsia="en-IN"/>
                <w14:ligatures w14:val="none"/>
              </w:rPr>
            </w:pPr>
            <w:r w:rsidRPr="00767C21">
              <w:rPr>
                <w:rFonts w:ascii="Aptos Narrow" w:eastAsia="Times New Roman" w:hAnsi="Aptos Narrow" w:cs="Times New Roman"/>
                <w:color w:val="000000"/>
                <w:kern w:val="0"/>
                <w:sz w:val="12"/>
                <w:szCs w:val="12"/>
                <w:lang w:eastAsia="en-IN"/>
                <w14:ligatures w14:val="none"/>
              </w:rPr>
              <w:t> </w:t>
            </w:r>
          </w:p>
        </w:tc>
      </w:tr>
      <w:tr w:rsidR="004705D2" w:rsidRPr="004705D2" w14:paraId="33676A4E"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8B7873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63CC19B5" w14:textId="77777777" w:rsidR="00861457" w:rsidRPr="00767C21" w:rsidRDefault="00861457" w:rsidP="00861457">
            <w:pPr>
              <w:spacing w:after="0" w:line="240" w:lineRule="auto"/>
              <w:ind w:firstLineChars="100" w:firstLine="12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280319D5"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1A02DB7F"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7AAB45D0"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17A242F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6F0924A"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16290B6F"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3FA8600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39793ABF"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7ACF866D"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06650A06"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6D3E368F"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06BFF680"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1" w:type="dxa"/>
            <w:tcBorders>
              <w:top w:val="nil"/>
              <w:left w:val="nil"/>
              <w:bottom w:val="single" w:sz="4" w:space="0" w:color="auto"/>
              <w:right w:val="single" w:sz="4" w:space="0" w:color="auto"/>
            </w:tcBorders>
            <w:vAlign w:val="center"/>
            <w:hideMark/>
          </w:tcPr>
          <w:p w14:paraId="0D604B5E"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426" w:type="dxa"/>
            <w:tcBorders>
              <w:top w:val="nil"/>
              <w:left w:val="nil"/>
              <w:bottom w:val="single" w:sz="4" w:space="0" w:color="auto"/>
              <w:right w:val="single" w:sz="4" w:space="0" w:color="auto"/>
            </w:tcBorders>
            <w:vAlign w:val="center"/>
            <w:hideMark/>
          </w:tcPr>
          <w:p w14:paraId="423817D6"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7CF7398A"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r>
      <w:tr w:rsidR="004705D2" w:rsidRPr="004705D2" w14:paraId="3738DEDE"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165FFE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6116813A" w14:textId="77777777" w:rsidR="00861457" w:rsidRPr="00767C21" w:rsidRDefault="00861457" w:rsidP="00861457">
            <w:pPr>
              <w:spacing w:after="0" w:line="240" w:lineRule="auto"/>
              <w:ind w:firstLineChars="100" w:firstLine="12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37687F23"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3EE23F3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8A061E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0BD96A03"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2EC4AF4F"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4A8648B5"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1CA02DE2"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480D00AE"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35DFFB4A"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6CB804D2"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6A9DDC4E"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45198B74"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1" w:type="dxa"/>
            <w:tcBorders>
              <w:top w:val="nil"/>
              <w:left w:val="nil"/>
              <w:bottom w:val="single" w:sz="4" w:space="0" w:color="auto"/>
              <w:right w:val="single" w:sz="4" w:space="0" w:color="auto"/>
            </w:tcBorders>
            <w:vAlign w:val="center"/>
            <w:hideMark/>
          </w:tcPr>
          <w:p w14:paraId="0007C94C"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426" w:type="dxa"/>
            <w:tcBorders>
              <w:top w:val="nil"/>
              <w:left w:val="nil"/>
              <w:bottom w:val="single" w:sz="4" w:space="0" w:color="auto"/>
              <w:right w:val="single" w:sz="4" w:space="0" w:color="auto"/>
            </w:tcBorders>
            <w:vAlign w:val="center"/>
            <w:hideMark/>
          </w:tcPr>
          <w:p w14:paraId="45C20827"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FBFAC11"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r>
      <w:tr w:rsidR="004705D2" w:rsidRPr="004705D2" w14:paraId="272ED2B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BCACA8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6</w:t>
            </w:r>
          </w:p>
        </w:tc>
        <w:tc>
          <w:tcPr>
            <w:tcW w:w="808" w:type="dxa"/>
            <w:tcBorders>
              <w:top w:val="nil"/>
              <w:left w:val="nil"/>
              <w:bottom w:val="single" w:sz="4" w:space="0" w:color="auto"/>
              <w:right w:val="single" w:sz="4" w:space="0" w:color="auto"/>
            </w:tcBorders>
            <w:vAlign w:val="center"/>
            <w:hideMark/>
          </w:tcPr>
          <w:p w14:paraId="4DC9969B"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Gujarat</w:t>
            </w:r>
          </w:p>
        </w:tc>
        <w:tc>
          <w:tcPr>
            <w:tcW w:w="777" w:type="dxa"/>
            <w:tcBorders>
              <w:top w:val="nil"/>
              <w:left w:val="nil"/>
              <w:bottom w:val="single" w:sz="4" w:space="0" w:color="auto"/>
              <w:right w:val="single" w:sz="4" w:space="0" w:color="auto"/>
            </w:tcBorders>
            <w:vAlign w:val="center"/>
            <w:hideMark/>
          </w:tcPr>
          <w:p w14:paraId="49A39D29"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24D11A78"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4F128A4"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32B0D426"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4C794F7"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37AA956F"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263384A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21753039"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27C7B29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331BAB1E"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17253</w:t>
            </w:r>
          </w:p>
        </w:tc>
        <w:tc>
          <w:tcPr>
            <w:tcW w:w="540" w:type="dxa"/>
            <w:tcBorders>
              <w:top w:val="nil"/>
              <w:left w:val="nil"/>
              <w:bottom w:val="single" w:sz="4" w:space="0" w:color="auto"/>
              <w:right w:val="single" w:sz="4" w:space="0" w:color="auto"/>
            </w:tcBorders>
            <w:vAlign w:val="center"/>
            <w:hideMark/>
          </w:tcPr>
          <w:p w14:paraId="47806A53"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2702</w:t>
            </w:r>
          </w:p>
        </w:tc>
        <w:tc>
          <w:tcPr>
            <w:tcW w:w="700" w:type="dxa"/>
            <w:tcBorders>
              <w:top w:val="nil"/>
              <w:left w:val="nil"/>
              <w:bottom w:val="single" w:sz="4" w:space="0" w:color="auto"/>
              <w:right w:val="single" w:sz="4" w:space="0" w:color="auto"/>
            </w:tcBorders>
            <w:vAlign w:val="center"/>
            <w:hideMark/>
          </w:tcPr>
          <w:p w14:paraId="247BD67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83998</w:t>
            </w:r>
          </w:p>
        </w:tc>
        <w:tc>
          <w:tcPr>
            <w:tcW w:w="701" w:type="dxa"/>
            <w:tcBorders>
              <w:top w:val="nil"/>
              <w:left w:val="nil"/>
              <w:bottom w:val="single" w:sz="4" w:space="0" w:color="auto"/>
              <w:right w:val="single" w:sz="4" w:space="0" w:color="auto"/>
            </w:tcBorders>
            <w:vAlign w:val="center"/>
            <w:hideMark/>
          </w:tcPr>
          <w:p w14:paraId="3DE00ED7"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21318</w:t>
            </w:r>
          </w:p>
        </w:tc>
        <w:tc>
          <w:tcPr>
            <w:tcW w:w="426" w:type="dxa"/>
            <w:tcBorders>
              <w:top w:val="nil"/>
              <w:left w:val="nil"/>
              <w:bottom w:val="single" w:sz="4" w:space="0" w:color="auto"/>
              <w:right w:val="single" w:sz="4" w:space="0" w:color="auto"/>
            </w:tcBorders>
            <w:vAlign w:val="center"/>
            <w:hideMark/>
          </w:tcPr>
          <w:p w14:paraId="57A625FF"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C0C83F3"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CF4E4FF"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4A56EE0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3F769AE"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59DDC7A"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54200ADD"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6C4D924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76F0BCDF"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17736</w:t>
            </w:r>
          </w:p>
        </w:tc>
        <w:tc>
          <w:tcPr>
            <w:tcW w:w="654" w:type="dxa"/>
            <w:tcBorders>
              <w:top w:val="nil"/>
              <w:left w:val="nil"/>
              <w:bottom w:val="single" w:sz="4" w:space="0" w:color="auto"/>
              <w:right w:val="single" w:sz="4" w:space="0" w:color="auto"/>
            </w:tcBorders>
            <w:vAlign w:val="center"/>
            <w:hideMark/>
          </w:tcPr>
          <w:p w14:paraId="0C8AC18F"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3183</w:t>
            </w:r>
          </w:p>
        </w:tc>
        <w:tc>
          <w:tcPr>
            <w:tcW w:w="621" w:type="dxa"/>
            <w:tcBorders>
              <w:top w:val="nil"/>
              <w:left w:val="nil"/>
              <w:bottom w:val="single" w:sz="4" w:space="0" w:color="auto"/>
              <w:right w:val="single" w:sz="4" w:space="0" w:color="auto"/>
            </w:tcBorders>
            <w:vAlign w:val="center"/>
            <w:hideMark/>
          </w:tcPr>
          <w:p w14:paraId="423038E1"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105930</w:t>
            </w:r>
          </w:p>
        </w:tc>
        <w:tc>
          <w:tcPr>
            <w:tcW w:w="569" w:type="dxa"/>
            <w:tcBorders>
              <w:top w:val="nil"/>
              <w:left w:val="nil"/>
              <w:bottom w:val="single" w:sz="4" w:space="0" w:color="auto"/>
              <w:right w:val="single" w:sz="4" w:space="0" w:color="auto"/>
            </w:tcBorders>
            <w:vAlign w:val="center"/>
            <w:hideMark/>
          </w:tcPr>
          <w:p w14:paraId="4F02F6D7"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15058</w:t>
            </w:r>
          </w:p>
        </w:tc>
        <w:tc>
          <w:tcPr>
            <w:tcW w:w="584" w:type="dxa"/>
            <w:tcBorders>
              <w:top w:val="nil"/>
              <w:left w:val="nil"/>
              <w:bottom w:val="single" w:sz="4" w:space="0" w:color="auto"/>
              <w:right w:val="single" w:sz="4" w:space="0" w:color="auto"/>
            </w:tcBorders>
            <w:vAlign w:val="center"/>
            <w:hideMark/>
          </w:tcPr>
          <w:p w14:paraId="3FC46D8C"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129904</w:t>
            </w:r>
          </w:p>
        </w:tc>
        <w:tc>
          <w:tcPr>
            <w:tcW w:w="557" w:type="dxa"/>
            <w:tcBorders>
              <w:top w:val="nil"/>
              <w:left w:val="nil"/>
              <w:bottom w:val="single" w:sz="4" w:space="0" w:color="auto"/>
              <w:right w:val="single" w:sz="4" w:space="0" w:color="auto"/>
            </w:tcBorders>
            <w:vAlign w:val="center"/>
            <w:hideMark/>
          </w:tcPr>
          <w:p w14:paraId="6DAB6CB9"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27841</w:t>
            </w:r>
          </w:p>
        </w:tc>
        <w:tc>
          <w:tcPr>
            <w:tcW w:w="630" w:type="dxa"/>
            <w:tcBorders>
              <w:top w:val="nil"/>
              <w:left w:val="nil"/>
              <w:bottom w:val="single" w:sz="4" w:space="0" w:color="auto"/>
              <w:right w:val="single" w:sz="4" w:space="0" w:color="auto"/>
            </w:tcBorders>
            <w:vAlign w:val="center"/>
            <w:hideMark/>
          </w:tcPr>
          <w:p w14:paraId="6476DF61"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31092</w:t>
            </w:r>
          </w:p>
        </w:tc>
        <w:tc>
          <w:tcPr>
            <w:tcW w:w="540" w:type="dxa"/>
            <w:tcBorders>
              <w:top w:val="nil"/>
              <w:left w:val="nil"/>
              <w:bottom w:val="single" w:sz="4" w:space="0" w:color="auto"/>
              <w:right w:val="single" w:sz="4" w:space="0" w:color="auto"/>
            </w:tcBorders>
            <w:vAlign w:val="center"/>
            <w:hideMark/>
          </w:tcPr>
          <w:p w14:paraId="3F6474EA"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12774</w:t>
            </w:r>
          </w:p>
        </w:tc>
        <w:tc>
          <w:tcPr>
            <w:tcW w:w="700" w:type="dxa"/>
            <w:tcBorders>
              <w:top w:val="nil"/>
              <w:left w:val="nil"/>
              <w:bottom w:val="single" w:sz="4" w:space="0" w:color="auto"/>
              <w:right w:val="single" w:sz="4" w:space="0" w:color="auto"/>
            </w:tcBorders>
            <w:vAlign w:val="center"/>
            <w:hideMark/>
          </w:tcPr>
          <w:p w14:paraId="0BE60556"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309157</w:t>
            </w:r>
          </w:p>
        </w:tc>
        <w:tc>
          <w:tcPr>
            <w:tcW w:w="701" w:type="dxa"/>
            <w:tcBorders>
              <w:top w:val="nil"/>
              <w:left w:val="nil"/>
              <w:bottom w:val="single" w:sz="4" w:space="0" w:color="auto"/>
              <w:right w:val="single" w:sz="4" w:space="0" w:color="auto"/>
            </w:tcBorders>
            <w:vAlign w:val="center"/>
            <w:hideMark/>
          </w:tcPr>
          <w:p w14:paraId="12675CEE"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63446</w:t>
            </w:r>
          </w:p>
        </w:tc>
        <w:tc>
          <w:tcPr>
            <w:tcW w:w="426" w:type="dxa"/>
            <w:tcBorders>
              <w:top w:val="nil"/>
              <w:left w:val="nil"/>
              <w:bottom w:val="single" w:sz="4" w:space="0" w:color="auto"/>
              <w:right w:val="single" w:sz="4" w:space="0" w:color="auto"/>
            </w:tcBorders>
            <w:vAlign w:val="center"/>
            <w:hideMark/>
          </w:tcPr>
          <w:p w14:paraId="2264E224"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3444417"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7941CD3"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A01DEC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4CC77D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31D92F9"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609C3292"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634CFC41"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1B763510"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17736</w:t>
            </w:r>
          </w:p>
        </w:tc>
        <w:tc>
          <w:tcPr>
            <w:tcW w:w="654" w:type="dxa"/>
            <w:tcBorders>
              <w:top w:val="nil"/>
              <w:left w:val="nil"/>
              <w:bottom w:val="single" w:sz="4" w:space="0" w:color="auto"/>
              <w:right w:val="single" w:sz="4" w:space="0" w:color="auto"/>
            </w:tcBorders>
            <w:vAlign w:val="center"/>
            <w:hideMark/>
          </w:tcPr>
          <w:p w14:paraId="20DE6C6C"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3183</w:t>
            </w:r>
          </w:p>
        </w:tc>
        <w:tc>
          <w:tcPr>
            <w:tcW w:w="621" w:type="dxa"/>
            <w:tcBorders>
              <w:top w:val="nil"/>
              <w:left w:val="nil"/>
              <w:bottom w:val="single" w:sz="4" w:space="0" w:color="auto"/>
              <w:right w:val="single" w:sz="4" w:space="0" w:color="auto"/>
            </w:tcBorders>
            <w:vAlign w:val="center"/>
            <w:hideMark/>
          </w:tcPr>
          <w:p w14:paraId="0FF23B43"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105930</w:t>
            </w:r>
          </w:p>
        </w:tc>
        <w:tc>
          <w:tcPr>
            <w:tcW w:w="569" w:type="dxa"/>
            <w:tcBorders>
              <w:top w:val="nil"/>
              <w:left w:val="nil"/>
              <w:bottom w:val="single" w:sz="4" w:space="0" w:color="auto"/>
              <w:right w:val="single" w:sz="4" w:space="0" w:color="auto"/>
            </w:tcBorders>
            <w:vAlign w:val="center"/>
            <w:hideMark/>
          </w:tcPr>
          <w:p w14:paraId="5AD82C84"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15058</w:t>
            </w:r>
          </w:p>
        </w:tc>
        <w:tc>
          <w:tcPr>
            <w:tcW w:w="584" w:type="dxa"/>
            <w:tcBorders>
              <w:top w:val="nil"/>
              <w:left w:val="nil"/>
              <w:bottom w:val="single" w:sz="4" w:space="0" w:color="auto"/>
              <w:right w:val="single" w:sz="4" w:space="0" w:color="auto"/>
            </w:tcBorders>
            <w:vAlign w:val="center"/>
            <w:hideMark/>
          </w:tcPr>
          <w:p w14:paraId="3230A01E"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129904</w:t>
            </w:r>
          </w:p>
        </w:tc>
        <w:tc>
          <w:tcPr>
            <w:tcW w:w="557" w:type="dxa"/>
            <w:tcBorders>
              <w:top w:val="nil"/>
              <w:left w:val="nil"/>
              <w:bottom w:val="single" w:sz="4" w:space="0" w:color="auto"/>
              <w:right w:val="single" w:sz="4" w:space="0" w:color="auto"/>
            </w:tcBorders>
            <w:vAlign w:val="center"/>
            <w:hideMark/>
          </w:tcPr>
          <w:p w14:paraId="0E7B626A"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27841</w:t>
            </w:r>
          </w:p>
        </w:tc>
        <w:tc>
          <w:tcPr>
            <w:tcW w:w="630" w:type="dxa"/>
            <w:tcBorders>
              <w:top w:val="nil"/>
              <w:left w:val="nil"/>
              <w:bottom w:val="single" w:sz="4" w:space="0" w:color="auto"/>
              <w:right w:val="single" w:sz="4" w:space="0" w:color="auto"/>
            </w:tcBorders>
            <w:vAlign w:val="center"/>
            <w:hideMark/>
          </w:tcPr>
          <w:p w14:paraId="2E7B22DF"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48345</w:t>
            </w:r>
          </w:p>
        </w:tc>
        <w:tc>
          <w:tcPr>
            <w:tcW w:w="540" w:type="dxa"/>
            <w:tcBorders>
              <w:top w:val="nil"/>
              <w:left w:val="nil"/>
              <w:bottom w:val="single" w:sz="4" w:space="0" w:color="auto"/>
              <w:right w:val="single" w:sz="4" w:space="0" w:color="auto"/>
            </w:tcBorders>
            <w:vAlign w:val="center"/>
            <w:hideMark/>
          </w:tcPr>
          <w:p w14:paraId="44F59EDA"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15476</w:t>
            </w:r>
          </w:p>
        </w:tc>
        <w:tc>
          <w:tcPr>
            <w:tcW w:w="700" w:type="dxa"/>
            <w:tcBorders>
              <w:top w:val="nil"/>
              <w:left w:val="nil"/>
              <w:bottom w:val="single" w:sz="4" w:space="0" w:color="auto"/>
              <w:right w:val="single" w:sz="4" w:space="0" w:color="auto"/>
            </w:tcBorders>
            <w:vAlign w:val="center"/>
            <w:hideMark/>
          </w:tcPr>
          <w:p w14:paraId="1DDBE2DF"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393155</w:t>
            </w:r>
          </w:p>
        </w:tc>
        <w:tc>
          <w:tcPr>
            <w:tcW w:w="701" w:type="dxa"/>
            <w:tcBorders>
              <w:top w:val="nil"/>
              <w:left w:val="nil"/>
              <w:bottom w:val="single" w:sz="4" w:space="0" w:color="auto"/>
              <w:right w:val="single" w:sz="4" w:space="0" w:color="auto"/>
            </w:tcBorders>
            <w:vAlign w:val="center"/>
            <w:hideMark/>
          </w:tcPr>
          <w:p w14:paraId="179B380A"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84764</w:t>
            </w:r>
          </w:p>
        </w:tc>
        <w:tc>
          <w:tcPr>
            <w:tcW w:w="426" w:type="dxa"/>
            <w:tcBorders>
              <w:top w:val="nil"/>
              <w:left w:val="nil"/>
              <w:bottom w:val="single" w:sz="4" w:space="0" w:color="auto"/>
              <w:right w:val="single" w:sz="4" w:space="0" w:color="auto"/>
            </w:tcBorders>
            <w:vAlign w:val="center"/>
            <w:hideMark/>
          </w:tcPr>
          <w:p w14:paraId="38C1A5DC"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85</w:t>
            </w:r>
          </w:p>
        </w:tc>
        <w:tc>
          <w:tcPr>
            <w:tcW w:w="503" w:type="dxa"/>
            <w:tcBorders>
              <w:top w:val="nil"/>
              <w:left w:val="nil"/>
              <w:bottom w:val="single" w:sz="4" w:space="0" w:color="auto"/>
              <w:right w:val="single" w:sz="4" w:space="0" w:color="auto"/>
            </w:tcBorders>
            <w:vAlign w:val="center"/>
            <w:hideMark/>
          </w:tcPr>
          <w:p w14:paraId="7804B4AC"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63.75</w:t>
            </w:r>
          </w:p>
        </w:tc>
      </w:tr>
      <w:tr w:rsidR="004705D2" w:rsidRPr="004705D2" w14:paraId="1CC3976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822ABAF"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7</w:t>
            </w:r>
          </w:p>
        </w:tc>
        <w:tc>
          <w:tcPr>
            <w:tcW w:w="808" w:type="dxa"/>
            <w:tcBorders>
              <w:top w:val="nil"/>
              <w:left w:val="nil"/>
              <w:bottom w:val="single" w:sz="4" w:space="0" w:color="auto"/>
              <w:right w:val="single" w:sz="4" w:space="0" w:color="auto"/>
            </w:tcBorders>
            <w:vAlign w:val="center"/>
            <w:hideMark/>
          </w:tcPr>
          <w:p w14:paraId="25213B0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Haryana</w:t>
            </w:r>
          </w:p>
        </w:tc>
        <w:tc>
          <w:tcPr>
            <w:tcW w:w="777" w:type="dxa"/>
            <w:tcBorders>
              <w:top w:val="nil"/>
              <w:left w:val="nil"/>
              <w:bottom w:val="single" w:sz="4" w:space="0" w:color="auto"/>
              <w:right w:val="single" w:sz="4" w:space="0" w:color="auto"/>
            </w:tcBorders>
            <w:vAlign w:val="center"/>
            <w:hideMark/>
          </w:tcPr>
          <w:p w14:paraId="06E26F50"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37D4F587"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1306</w:t>
            </w:r>
          </w:p>
        </w:tc>
        <w:tc>
          <w:tcPr>
            <w:tcW w:w="654" w:type="dxa"/>
            <w:tcBorders>
              <w:top w:val="nil"/>
              <w:left w:val="nil"/>
              <w:bottom w:val="single" w:sz="4" w:space="0" w:color="auto"/>
              <w:right w:val="single" w:sz="4" w:space="0" w:color="auto"/>
            </w:tcBorders>
            <w:vAlign w:val="center"/>
            <w:hideMark/>
          </w:tcPr>
          <w:p w14:paraId="7FDC0EF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155</w:t>
            </w:r>
          </w:p>
        </w:tc>
        <w:tc>
          <w:tcPr>
            <w:tcW w:w="536" w:type="dxa"/>
            <w:tcBorders>
              <w:top w:val="nil"/>
              <w:left w:val="nil"/>
              <w:bottom w:val="single" w:sz="4" w:space="0" w:color="auto"/>
              <w:right w:val="single" w:sz="4" w:space="0" w:color="auto"/>
            </w:tcBorders>
            <w:vAlign w:val="center"/>
            <w:hideMark/>
          </w:tcPr>
          <w:p w14:paraId="3837DCAC"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3922</w:t>
            </w:r>
          </w:p>
        </w:tc>
        <w:tc>
          <w:tcPr>
            <w:tcW w:w="654" w:type="dxa"/>
            <w:tcBorders>
              <w:top w:val="nil"/>
              <w:left w:val="nil"/>
              <w:bottom w:val="single" w:sz="4" w:space="0" w:color="auto"/>
              <w:right w:val="single" w:sz="4" w:space="0" w:color="auto"/>
            </w:tcBorders>
            <w:vAlign w:val="center"/>
            <w:hideMark/>
          </w:tcPr>
          <w:p w14:paraId="52198787"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794</w:t>
            </w:r>
          </w:p>
        </w:tc>
        <w:tc>
          <w:tcPr>
            <w:tcW w:w="621" w:type="dxa"/>
            <w:tcBorders>
              <w:top w:val="nil"/>
              <w:left w:val="nil"/>
              <w:bottom w:val="single" w:sz="4" w:space="0" w:color="auto"/>
              <w:right w:val="single" w:sz="4" w:space="0" w:color="auto"/>
            </w:tcBorders>
            <w:vAlign w:val="center"/>
            <w:hideMark/>
          </w:tcPr>
          <w:p w14:paraId="3871261A"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385</w:t>
            </w:r>
          </w:p>
        </w:tc>
        <w:tc>
          <w:tcPr>
            <w:tcW w:w="569" w:type="dxa"/>
            <w:tcBorders>
              <w:top w:val="nil"/>
              <w:left w:val="nil"/>
              <w:bottom w:val="single" w:sz="4" w:space="0" w:color="auto"/>
              <w:right w:val="single" w:sz="4" w:space="0" w:color="auto"/>
            </w:tcBorders>
            <w:vAlign w:val="center"/>
            <w:hideMark/>
          </w:tcPr>
          <w:p w14:paraId="67CF880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55</w:t>
            </w:r>
          </w:p>
        </w:tc>
        <w:tc>
          <w:tcPr>
            <w:tcW w:w="584" w:type="dxa"/>
            <w:tcBorders>
              <w:top w:val="nil"/>
              <w:left w:val="nil"/>
              <w:bottom w:val="single" w:sz="4" w:space="0" w:color="auto"/>
              <w:right w:val="single" w:sz="4" w:space="0" w:color="auto"/>
            </w:tcBorders>
            <w:vAlign w:val="center"/>
            <w:hideMark/>
          </w:tcPr>
          <w:p w14:paraId="1FA2C43F"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2261</w:t>
            </w:r>
          </w:p>
        </w:tc>
        <w:tc>
          <w:tcPr>
            <w:tcW w:w="557" w:type="dxa"/>
            <w:tcBorders>
              <w:top w:val="nil"/>
              <w:left w:val="nil"/>
              <w:bottom w:val="single" w:sz="4" w:space="0" w:color="auto"/>
              <w:right w:val="single" w:sz="4" w:space="0" w:color="auto"/>
            </w:tcBorders>
            <w:vAlign w:val="center"/>
            <w:hideMark/>
          </w:tcPr>
          <w:p w14:paraId="424F6BD8"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83</w:t>
            </w:r>
          </w:p>
        </w:tc>
        <w:tc>
          <w:tcPr>
            <w:tcW w:w="630" w:type="dxa"/>
            <w:tcBorders>
              <w:top w:val="nil"/>
              <w:left w:val="nil"/>
              <w:bottom w:val="single" w:sz="4" w:space="0" w:color="auto"/>
              <w:right w:val="single" w:sz="4" w:space="0" w:color="auto"/>
            </w:tcBorders>
            <w:vAlign w:val="center"/>
            <w:hideMark/>
          </w:tcPr>
          <w:p w14:paraId="7BE917D4"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19188</w:t>
            </w:r>
          </w:p>
        </w:tc>
        <w:tc>
          <w:tcPr>
            <w:tcW w:w="540" w:type="dxa"/>
            <w:tcBorders>
              <w:top w:val="nil"/>
              <w:left w:val="nil"/>
              <w:bottom w:val="single" w:sz="4" w:space="0" w:color="auto"/>
              <w:right w:val="single" w:sz="4" w:space="0" w:color="auto"/>
            </w:tcBorders>
            <w:vAlign w:val="center"/>
            <w:hideMark/>
          </w:tcPr>
          <w:p w14:paraId="38442277"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3265</w:t>
            </w:r>
          </w:p>
        </w:tc>
        <w:tc>
          <w:tcPr>
            <w:tcW w:w="700" w:type="dxa"/>
            <w:tcBorders>
              <w:top w:val="nil"/>
              <w:left w:val="nil"/>
              <w:bottom w:val="single" w:sz="4" w:space="0" w:color="auto"/>
              <w:right w:val="single" w:sz="4" w:space="0" w:color="auto"/>
            </w:tcBorders>
            <w:vAlign w:val="center"/>
            <w:hideMark/>
          </w:tcPr>
          <w:p w14:paraId="28EB1236"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42504</w:t>
            </w:r>
          </w:p>
        </w:tc>
        <w:tc>
          <w:tcPr>
            <w:tcW w:w="701" w:type="dxa"/>
            <w:tcBorders>
              <w:top w:val="nil"/>
              <w:left w:val="nil"/>
              <w:bottom w:val="single" w:sz="4" w:space="0" w:color="auto"/>
              <w:right w:val="single" w:sz="4" w:space="0" w:color="auto"/>
            </w:tcBorders>
            <w:vAlign w:val="center"/>
            <w:hideMark/>
          </w:tcPr>
          <w:p w14:paraId="5D26796F"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6758</w:t>
            </w:r>
          </w:p>
        </w:tc>
        <w:tc>
          <w:tcPr>
            <w:tcW w:w="426" w:type="dxa"/>
            <w:tcBorders>
              <w:top w:val="nil"/>
              <w:left w:val="nil"/>
              <w:bottom w:val="single" w:sz="4" w:space="0" w:color="auto"/>
              <w:right w:val="single" w:sz="4" w:space="0" w:color="auto"/>
            </w:tcBorders>
            <w:vAlign w:val="center"/>
            <w:hideMark/>
          </w:tcPr>
          <w:p w14:paraId="280D6CAB"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60EB1B1"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145F69A7"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6947542"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8631DD9"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D7CE280"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6B0A2C14"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15562</w:t>
            </w:r>
          </w:p>
        </w:tc>
        <w:tc>
          <w:tcPr>
            <w:tcW w:w="654" w:type="dxa"/>
            <w:tcBorders>
              <w:top w:val="nil"/>
              <w:left w:val="nil"/>
              <w:bottom w:val="single" w:sz="4" w:space="0" w:color="auto"/>
              <w:right w:val="single" w:sz="4" w:space="0" w:color="auto"/>
            </w:tcBorders>
            <w:vAlign w:val="center"/>
            <w:hideMark/>
          </w:tcPr>
          <w:p w14:paraId="0049E48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870</w:t>
            </w:r>
          </w:p>
        </w:tc>
        <w:tc>
          <w:tcPr>
            <w:tcW w:w="536" w:type="dxa"/>
            <w:tcBorders>
              <w:top w:val="nil"/>
              <w:left w:val="nil"/>
              <w:bottom w:val="single" w:sz="4" w:space="0" w:color="auto"/>
              <w:right w:val="single" w:sz="4" w:space="0" w:color="auto"/>
            </w:tcBorders>
            <w:vAlign w:val="center"/>
            <w:hideMark/>
          </w:tcPr>
          <w:p w14:paraId="2DD163EA"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6457</w:t>
            </w:r>
          </w:p>
        </w:tc>
        <w:tc>
          <w:tcPr>
            <w:tcW w:w="654" w:type="dxa"/>
            <w:tcBorders>
              <w:top w:val="nil"/>
              <w:left w:val="nil"/>
              <w:bottom w:val="single" w:sz="4" w:space="0" w:color="auto"/>
              <w:right w:val="single" w:sz="4" w:space="0" w:color="auto"/>
            </w:tcBorders>
            <w:vAlign w:val="center"/>
            <w:hideMark/>
          </w:tcPr>
          <w:p w14:paraId="54F2E36C"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921</w:t>
            </w:r>
          </w:p>
        </w:tc>
        <w:tc>
          <w:tcPr>
            <w:tcW w:w="621" w:type="dxa"/>
            <w:tcBorders>
              <w:top w:val="nil"/>
              <w:left w:val="nil"/>
              <w:bottom w:val="single" w:sz="4" w:space="0" w:color="auto"/>
              <w:right w:val="single" w:sz="4" w:space="0" w:color="auto"/>
            </w:tcBorders>
            <w:vAlign w:val="center"/>
            <w:hideMark/>
          </w:tcPr>
          <w:p w14:paraId="050B7F2E"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14162</w:t>
            </w:r>
          </w:p>
        </w:tc>
        <w:tc>
          <w:tcPr>
            <w:tcW w:w="569" w:type="dxa"/>
            <w:tcBorders>
              <w:top w:val="nil"/>
              <w:left w:val="nil"/>
              <w:bottom w:val="single" w:sz="4" w:space="0" w:color="auto"/>
              <w:right w:val="single" w:sz="4" w:space="0" w:color="auto"/>
            </w:tcBorders>
            <w:vAlign w:val="center"/>
            <w:hideMark/>
          </w:tcPr>
          <w:p w14:paraId="251AAC21"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1670</w:t>
            </w:r>
          </w:p>
        </w:tc>
        <w:tc>
          <w:tcPr>
            <w:tcW w:w="584" w:type="dxa"/>
            <w:tcBorders>
              <w:top w:val="nil"/>
              <w:left w:val="nil"/>
              <w:bottom w:val="single" w:sz="4" w:space="0" w:color="auto"/>
              <w:right w:val="single" w:sz="4" w:space="0" w:color="auto"/>
            </w:tcBorders>
            <w:vAlign w:val="center"/>
            <w:hideMark/>
          </w:tcPr>
          <w:p w14:paraId="0B4A2C1B"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48937</w:t>
            </w:r>
          </w:p>
        </w:tc>
        <w:tc>
          <w:tcPr>
            <w:tcW w:w="557" w:type="dxa"/>
            <w:tcBorders>
              <w:top w:val="nil"/>
              <w:left w:val="nil"/>
              <w:bottom w:val="single" w:sz="4" w:space="0" w:color="auto"/>
              <w:right w:val="single" w:sz="4" w:space="0" w:color="auto"/>
            </w:tcBorders>
            <w:vAlign w:val="center"/>
            <w:hideMark/>
          </w:tcPr>
          <w:p w14:paraId="378AD18A"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3727</w:t>
            </w:r>
          </w:p>
        </w:tc>
        <w:tc>
          <w:tcPr>
            <w:tcW w:w="630" w:type="dxa"/>
            <w:tcBorders>
              <w:top w:val="nil"/>
              <w:left w:val="nil"/>
              <w:bottom w:val="single" w:sz="4" w:space="0" w:color="auto"/>
              <w:right w:val="single" w:sz="4" w:space="0" w:color="auto"/>
            </w:tcBorders>
            <w:vAlign w:val="center"/>
            <w:hideMark/>
          </w:tcPr>
          <w:p w14:paraId="63956AC8"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762E57B7"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69</w:t>
            </w:r>
          </w:p>
        </w:tc>
        <w:tc>
          <w:tcPr>
            <w:tcW w:w="700" w:type="dxa"/>
            <w:tcBorders>
              <w:top w:val="nil"/>
              <w:left w:val="nil"/>
              <w:bottom w:val="single" w:sz="4" w:space="0" w:color="auto"/>
              <w:right w:val="single" w:sz="4" w:space="0" w:color="auto"/>
            </w:tcBorders>
            <w:vAlign w:val="center"/>
            <w:hideMark/>
          </w:tcPr>
          <w:p w14:paraId="6AE7F83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112197</w:t>
            </w:r>
          </w:p>
        </w:tc>
        <w:tc>
          <w:tcPr>
            <w:tcW w:w="701" w:type="dxa"/>
            <w:tcBorders>
              <w:top w:val="nil"/>
              <w:left w:val="nil"/>
              <w:bottom w:val="single" w:sz="4" w:space="0" w:color="auto"/>
              <w:right w:val="single" w:sz="4" w:space="0" w:color="auto"/>
            </w:tcBorders>
            <w:vAlign w:val="center"/>
            <w:hideMark/>
          </w:tcPr>
          <w:p w14:paraId="602B70F6"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10116</w:t>
            </w:r>
          </w:p>
        </w:tc>
        <w:tc>
          <w:tcPr>
            <w:tcW w:w="426" w:type="dxa"/>
            <w:tcBorders>
              <w:top w:val="nil"/>
              <w:left w:val="nil"/>
              <w:bottom w:val="single" w:sz="4" w:space="0" w:color="auto"/>
              <w:right w:val="single" w:sz="4" w:space="0" w:color="auto"/>
            </w:tcBorders>
            <w:vAlign w:val="center"/>
            <w:hideMark/>
          </w:tcPr>
          <w:p w14:paraId="7D9972BE"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02D3DA03"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177F4F48"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B64E6D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8F989CB"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782824F5"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371EC0A4"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16868</w:t>
            </w:r>
          </w:p>
        </w:tc>
        <w:tc>
          <w:tcPr>
            <w:tcW w:w="654" w:type="dxa"/>
            <w:tcBorders>
              <w:top w:val="nil"/>
              <w:left w:val="nil"/>
              <w:bottom w:val="single" w:sz="4" w:space="0" w:color="auto"/>
              <w:right w:val="single" w:sz="4" w:space="0" w:color="auto"/>
            </w:tcBorders>
            <w:vAlign w:val="center"/>
            <w:hideMark/>
          </w:tcPr>
          <w:p w14:paraId="31D13450"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1025</w:t>
            </w:r>
          </w:p>
        </w:tc>
        <w:tc>
          <w:tcPr>
            <w:tcW w:w="536" w:type="dxa"/>
            <w:tcBorders>
              <w:top w:val="nil"/>
              <w:left w:val="nil"/>
              <w:bottom w:val="single" w:sz="4" w:space="0" w:color="auto"/>
              <w:right w:val="single" w:sz="4" w:space="0" w:color="auto"/>
            </w:tcBorders>
            <w:vAlign w:val="center"/>
            <w:hideMark/>
          </w:tcPr>
          <w:p w14:paraId="41D0A7A5"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10379</w:t>
            </w:r>
          </w:p>
        </w:tc>
        <w:tc>
          <w:tcPr>
            <w:tcW w:w="654" w:type="dxa"/>
            <w:tcBorders>
              <w:top w:val="nil"/>
              <w:left w:val="nil"/>
              <w:bottom w:val="single" w:sz="4" w:space="0" w:color="auto"/>
              <w:right w:val="single" w:sz="4" w:space="0" w:color="auto"/>
            </w:tcBorders>
            <w:vAlign w:val="center"/>
            <w:hideMark/>
          </w:tcPr>
          <w:p w14:paraId="7CBC42D3"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1715</w:t>
            </w:r>
          </w:p>
        </w:tc>
        <w:tc>
          <w:tcPr>
            <w:tcW w:w="621" w:type="dxa"/>
            <w:tcBorders>
              <w:top w:val="nil"/>
              <w:left w:val="nil"/>
              <w:bottom w:val="single" w:sz="4" w:space="0" w:color="auto"/>
              <w:right w:val="single" w:sz="4" w:space="0" w:color="auto"/>
            </w:tcBorders>
            <w:vAlign w:val="center"/>
            <w:hideMark/>
          </w:tcPr>
          <w:p w14:paraId="5D5C8958"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14547</w:t>
            </w:r>
          </w:p>
        </w:tc>
        <w:tc>
          <w:tcPr>
            <w:tcW w:w="569" w:type="dxa"/>
            <w:tcBorders>
              <w:top w:val="nil"/>
              <w:left w:val="nil"/>
              <w:bottom w:val="single" w:sz="4" w:space="0" w:color="auto"/>
              <w:right w:val="single" w:sz="4" w:space="0" w:color="auto"/>
            </w:tcBorders>
            <w:vAlign w:val="center"/>
            <w:hideMark/>
          </w:tcPr>
          <w:p w14:paraId="420DD600"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1725</w:t>
            </w:r>
          </w:p>
        </w:tc>
        <w:tc>
          <w:tcPr>
            <w:tcW w:w="584" w:type="dxa"/>
            <w:tcBorders>
              <w:top w:val="nil"/>
              <w:left w:val="nil"/>
              <w:bottom w:val="single" w:sz="4" w:space="0" w:color="auto"/>
              <w:right w:val="single" w:sz="4" w:space="0" w:color="auto"/>
            </w:tcBorders>
            <w:vAlign w:val="center"/>
            <w:hideMark/>
          </w:tcPr>
          <w:p w14:paraId="27D7A075"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51198</w:t>
            </w:r>
          </w:p>
        </w:tc>
        <w:tc>
          <w:tcPr>
            <w:tcW w:w="557" w:type="dxa"/>
            <w:tcBorders>
              <w:top w:val="nil"/>
              <w:left w:val="nil"/>
              <w:bottom w:val="single" w:sz="4" w:space="0" w:color="auto"/>
              <w:right w:val="single" w:sz="4" w:space="0" w:color="auto"/>
            </w:tcBorders>
            <w:vAlign w:val="center"/>
            <w:hideMark/>
          </w:tcPr>
          <w:p w14:paraId="163375E8"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3810</w:t>
            </w:r>
          </w:p>
        </w:tc>
        <w:tc>
          <w:tcPr>
            <w:tcW w:w="630" w:type="dxa"/>
            <w:tcBorders>
              <w:top w:val="nil"/>
              <w:left w:val="nil"/>
              <w:bottom w:val="single" w:sz="4" w:space="0" w:color="auto"/>
              <w:right w:val="single" w:sz="4" w:space="0" w:color="auto"/>
            </w:tcBorders>
            <w:vAlign w:val="center"/>
            <w:hideMark/>
          </w:tcPr>
          <w:p w14:paraId="4F3F111C"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19188</w:t>
            </w:r>
          </w:p>
        </w:tc>
        <w:tc>
          <w:tcPr>
            <w:tcW w:w="540" w:type="dxa"/>
            <w:tcBorders>
              <w:top w:val="nil"/>
              <w:left w:val="nil"/>
              <w:bottom w:val="single" w:sz="4" w:space="0" w:color="auto"/>
              <w:right w:val="single" w:sz="4" w:space="0" w:color="auto"/>
            </w:tcBorders>
            <w:vAlign w:val="center"/>
            <w:hideMark/>
          </w:tcPr>
          <w:p w14:paraId="4180321E"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3334</w:t>
            </w:r>
          </w:p>
        </w:tc>
        <w:tc>
          <w:tcPr>
            <w:tcW w:w="700" w:type="dxa"/>
            <w:tcBorders>
              <w:top w:val="nil"/>
              <w:left w:val="nil"/>
              <w:bottom w:val="single" w:sz="4" w:space="0" w:color="auto"/>
              <w:right w:val="single" w:sz="4" w:space="0" w:color="auto"/>
            </w:tcBorders>
            <w:vAlign w:val="center"/>
            <w:hideMark/>
          </w:tcPr>
          <w:p w14:paraId="6E0F85A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154701</w:t>
            </w:r>
          </w:p>
        </w:tc>
        <w:tc>
          <w:tcPr>
            <w:tcW w:w="701" w:type="dxa"/>
            <w:tcBorders>
              <w:top w:val="nil"/>
              <w:left w:val="nil"/>
              <w:bottom w:val="single" w:sz="4" w:space="0" w:color="auto"/>
              <w:right w:val="single" w:sz="4" w:space="0" w:color="auto"/>
            </w:tcBorders>
            <w:vAlign w:val="center"/>
            <w:hideMark/>
          </w:tcPr>
          <w:p w14:paraId="64877949"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16874</w:t>
            </w:r>
          </w:p>
        </w:tc>
        <w:tc>
          <w:tcPr>
            <w:tcW w:w="426" w:type="dxa"/>
            <w:tcBorders>
              <w:top w:val="nil"/>
              <w:left w:val="nil"/>
              <w:bottom w:val="single" w:sz="4" w:space="0" w:color="auto"/>
              <w:right w:val="single" w:sz="4" w:space="0" w:color="auto"/>
            </w:tcBorders>
            <w:vAlign w:val="center"/>
            <w:hideMark/>
          </w:tcPr>
          <w:p w14:paraId="3C44DE14"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w:t>
            </w:r>
          </w:p>
        </w:tc>
        <w:tc>
          <w:tcPr>
            <w:tcW w:w="503" w:type="dxa"/>
            <w:tcBorders>
              <w:top w:val="nil"/>
              <w:left w:val="nil"/>
              <w:bottom w:val="single" w:sz="4" w:space="0" w:color="auto"/>
              <w:right w:val="single" w:sz="4" w:space="0" w:color="auto"/>
            </w:tcBorders>
            <w:vAlign w:val="center"/>
            <w:hideMark/>
          </w:tcPr>
          <w:p w14:paraId="39088912"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12.75</w:t>
            </w:r>
          </w:p>
        </w:tc>
      </w:tr>
      <w:tr w:rsidR="004705D2" w:rsidRPr="004705D2" w14:paraId="63D7B8AB"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A114B89"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8</w:t>
            </w:r>
          </w:p>
        </w:tc>
        <w:tc>
          <w:tcPr>
            <w:tcW w:w="808" w:type="dxa"/>
            <w:tcBorders>
              <w:top w:val="nil"/>
              <w:left w:val="nil"/>
              <w:bottom w:val="single" w:sz="4" w:space="0" w:color="auto"/>
              <w:right w:val="single" w:sz="4" w:space="0" w:color="auto"/>
            </w:tcBorders>
            <w:vAlign w:val="center"/>
            <w:hideMark/>
          </w:tcPr>
          <w:p w14:paraId="548B7A1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Himachal Pradesh</w:t>
            </w:r>
          </w:p>
        </w:tc>
        <w:tc>
          <w:tcPr>
            <w:tcW w:w="777" w:type="dxa"/>
            <w:tcBorders>
              <w:top w:val="nil"/>
              <w:left w:val="nil"/>
              <w:bottom w:val="single" w:sz="4" w:space="0" w:color="auto"/>
              <w:right w:val="single" w:sz="4" w:space="0" w:color="auto"/>
            </w:tcBorders>
            <w:vAlign w:val="center"/>
            <w:hideMark/>
          </w:tcPr>
          <w:p w14:paraId="05D7D4D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440C378F"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530</w:t>
            </w:r>
          </w:p>
        </w:tc>
        <w:tc>
          <w:tcPr>
            <w:tcW w:w="654" w:type="dxa"/>
            <w:tcBorders>
              <w:top w:val="nil"/>
              <w:left w:val="nil"/>
              <w:bottom w:val="single" w:sz="4" w:space="0" w:color="auto"/>
              <w:right w:val="single" w:sz="4" w:space="0" w:color="auto"/>
            </w:tcBorders>
            <w:vAlign w:val="center"/>
            <w:hideMark/>
          </w:tcPr>
          <w:p w14:paraId="23BC366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273</w:t>
            </w:r>
          </w:p>
        </w:tc>
        <w:tc>
          <w:tcPr>
            <w:tcW w:w="536" w:type="dxa"/>
            <w:tcBorders>
              <w:top w:val="nil"/>
              <w:left w:val="nil"/>
              <w:bottom w:val="single" w:sz="4" w:space="0" w:color="auto"/>
              <w:right w:val="single" w:sz="4" w:space="0" w:color="auto"/>
            </w:tcBorders>
            <w:vAlign w:val="center"/>
            <w:hideMark/>
          </w:tcPr>
          <w:p w14:paraId="0680C666"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8209</w:t>
            </w:r>
          </w:p>
        </w:tc>
        <w:tc>
          <w:tcPr>
            <w:tcW w:w="654" w:type="dxa"/>
            <w:tcBorders>
              <w:top w:val="nil"/>
              <w:left w:val="nil"/>
              <w:bottom w:val="single" w:sz="4" w:space="0" w:color="auto"/>
              <w:right w:val="single" w:sz="4" w:space="0" w:color="auto"/>
            </w:tcBorders>
            <w:vAlign w:val="center"/>
            <w:hideMark/>
          </w:tcPr>
          <w:p w14:paraId="1547DF85"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1240</w:t>
            </w:r>
          </w:p>
        </w:tc>
        <w:tc>
          <w:tcPr>
            <w:tcW w:w="621" w:type="dxa"/>
            <w:tcBorders>
              <w:top w:val="nil"/>
              <w:left w:val="nil"/>
              <w:bottom w:val="single" w:sz="4" w:space="0" w:color="auto"/>
              <w:right w:val="single" w:sz="4" w:space="0" w:color="auto"/>
            </w:tcBorders>
            <w:vAlign w:val="center"/>
            <w:hideMark/>
          </w:tcPr>
          <w:p w14:paraId="0156A818"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18566</w:t>
            </w:r>
          </w:p>
        </w:tc>
        <w:tc>
          <w:tcPr>
            <w:tcW w:w="569" w:type="dxa"/>
            <w:tcBorders>
              <w:top w:val="nil"/>
              <w:left w:val="nil"/>
              <w:bottom w:val="single" w:sz="4" w:space="0" w:color="auto"/>
              <w:right w:val="single" w:sz="4" w:space="0" w:color="auto"/>
            </w:tcBorders>
            <w:vAlign w:val="center"/>
            <w:hideMark/>
          </w:tcPr>
          <w:p w14:paraId="747B4BB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1670</w:t>
            </w:r>
          </w:p>
        </w:tc>
        <w:tc>
          <w:tcPr>
            <w:tcW w:w="584" w:type="dxa"/>
            <w:tcBorders>
              <w:top w:val="nil"/>
              <w:left w:val="nil"/>
              <w:bottom w:val="single" w:sz="4" w:space="0" w:color="auto"/>
              <w:right w:val="single" w:sz="4" w:space="0" w:color="auto"/>
            </w:tcBorders>
            <w:vAlign w:val="center"/>
            <w:hideMark/>
          </w:tcPr>
          <w:p w14:paraId="39150274"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6880</w:t>
            </w:r>
          </w:p>
        </w:tc>
        <w:tc>
          <w:tcPr>
            <w:tcW w:w="557" w:type="dxa"/>
            <w:tcBorders>
              <w:top w:val="nil"/>
              <w:left w:val="nil"/>
              <w:bottom w:val="single" w:sz="4" w:space="0" w:color="auto"/>
              <w:right w:val="single" w:sz="4" w:space="0" w:color="auto"/>
            </w:tcBorders>
            <w:vAlign w:val="center"/>
            <w:hideMark/>
          </w:tcPr>
          <w:p w14:paraId="760BE019"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1029</w:t>
            </w:r>
          </w:p>
        </w:tc>
        <w:tc>
          <w:tcPr>
            <w:tcW w:w="630" w:type="dxa"/>
            <w:tcBorders>
              <w:top w:val="nil"/>
              <w:left w:val="nil"/>
              <w:bottom w:val="single" w:sz="4" w:space="0" w:color="auto"/>
              <w:right w:val="single" w:sz="4" w:space="0" w:color="auto"/>
            </w:tcBorders>
            <w:vAlign w:val="center"/>
            <w:hideMark/>
          </w:tcPr>
          <w:p w14:paraId="40A1159E"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29077</w:t>
            </w:r>
          </w:p>
        </w:tc>
        <w:tc>
          <w:tcPr>
            <w:tcW w:w="540" w:type="dxa"/>
            <w:tcBorders>
              <w:top w:val="nil"/>
              <w:left w:val="nil"/>
              <w:bottom w:val="single" w:sz="4" w:space="0" w:color="auto"/>
              <w:right w:val="single" w:sz="4" w:space="0" w:color="auto"/>
            </w:tcBorders>
            <w:vAlign w:val="center"/>
            <w:hideMark/>
          </w:tcPr>
          <w:p w14:paraId="7EC73605"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3340</w:t>
            </w:r>
          </w:p>
        </w:tc>
        <w:tc>
          <w:tcPr>
            <w:tcW w:w="700" w:type="dxa"/>
            <w:tcBorders>
              <w:top w:val="nil"/>
              <w:left w:val="nil"/>
              <w:bottom w:val="single" w:sz="4" w:space="0" w:color="auto"/>
              <w:right w:val="single" w:sz="4" w:space="0" w:color="auto"/>
            </w:tcBorders>
            <w:vAlign w:val="center"/>
            <w:hideMark/>
          </w:tcPr>
          <w:p w14:paraId="3B70660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72882</w:t>
            </w:r>
          </w:p>
        </w:tc>
        <w:tc>
          <w:tcPr>
            <w:tcW w:w="701" w:type="dxa"/>
            <w:tcBorders>
              <w:top w:val="nil"/>
              <w:left w:val="nil"/>
              <w:bottom w:val="single" w:sz="4" w:space="0" w:color="auto"/>
              <w:right w:val="single" w:sz="4" w:space="0" w:color="auto"/>
            </w:tcBorders>
            <w:vAlign w:val="center"/>
            <w:hideMark/>
          </w:tcPr>
          <w:p w14:paraId="620749CC"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9234</w:t>
            </w:r>
          </w:p>
        </w:tc>
        <w:tc>
          <w:tcPr>
            <w:tcW w:w="426" w:type="dxa"/>
            <w:tcBorders>
              <w:top w:val="nil"/>
              <w:left w:val="nil"/>
              <w:bottom w:val="single" w:sz="4" w:space="0" w:color="auto"/>
              <w:right w:val="single" w:sz="4" w:space="0" w:color="auto"/>
            </w:tcBorders>
            <w:vAlign w:val="center"/>
            <w:hideMark/>
          </w:tcPr>
          <w:p w14:paraId="4CA711D7"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4064532D"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5F68A08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5D4515C"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D421D13"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0C6235E7"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2EBA83C9"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6786</w:t>
            </w:r>
          </w:p>
        </w:tc>
        <w:tc>
          <w:tcPr>
            <w:tcW w:w="654" w:type="dxa"/>
            <w:tcBorders>
              <w:top w:val="nil"/>
              <w:left w:val="nil"/>
              <w:bottom w:val="single" w:sz="4" w:space="0" w:color="auto"/>
              <w:right w:val="single" w:sz="4" w:space="0" w:color="auto"/>
            </w:tcBorders>
            <w:vAlign w:val="center"/>
            <w:hideMark/>
          </w:tcPr>
          <w:p w14:paraId="445E779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547</w:t>
            </w:r>
          </w:p>
        </w:tc>
        <w:tc>
          <w:tcPr>
            <w:tcW w:w="536" w:type="dxa"/>
            <w:tcBorders>
              <w:top w:val="nil"/>
              <w:left w:val="nil"/>
              <w:bottom w:val="single" w:sz="4" w:space="0" w:color="auto"/>
              <w:right w:val="single" w:sz="4" w:space="0" w:color="auto"/>
            </w:tcBorders>
            <w:vAlign w:val="center"/>
            <w:hideMark/>
          </w:tcPr>
          <w:p w14:paraId="771E667E"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17903</w:t>
            </w:r>
          </w:p>
        </w:tc>
        <w:tc>
          <w:tcPr>
            <w:tcW w:w="654" w:type="dxa"/>
            <w:tcBorders>
              <w:top w:val="nil"/>
              <w:left w:val="nil"/>
              <w:bottom w:val="single" w:sz="4" w:space="0" w:color="auto"/>
              <w:right w:val="single" w:sz="4" w:space="0" w:color="auto"/>
            </w:tcBorders>
            <w:vAlign w:val="center"/>
            <w:hideMark/>
          </w:tcPr>
          <w:p w14:paraId="644EE808"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3036</w:t>
            </w:r>
          </w:p>
        </w:tc>
        <w:tc>
          <w:tcPr>
            <w:tcW w:w="621" w:type="dxa"/>
            <w:tcBorders>
              <w:top w:val="nil"/>
              <w:left w:val="nil"/>
              <w:bottom w:val="single" w:sz="4" w:space="0" w:color="auto"/>
              <w:right w:val="single" w:sz="4" w:space="0" w:color="auto"/>
            </w:tcBorders>
            <w:vAlign w:val="center"/>
            <w:hideMark/>
          </w:tcPr>
          <w:p w14:paraId="42286947"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7056</w:t>
            </w:r>
          </w:p>
        </w:tc>
        <w:tc>
          <w:tcPr>
            <w:tcW w:w="569" w:type="dxa"/>
            <w:tcBorders>
              <w:top w:val="nil"/>
              <w:left w:val="nil"/>
              <w:bottom w:val="single" w:sz="4" w:space="0" w:color="auto"/>
              <w:right w:val="single" w:sz="4" w:space="0" w:color="auto"/>
            </w:tcBorders>
            <w:vAlign w:val="center"/>
            <w:hideMark/>
          </w:tcPr>
          <w:p w14:paraId="235B91A0"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70</w:t>
            </w:r>
          </w:p>
        </w:tc>
        <w:tc>
          <w:tcPr>
            <w:tcW w:w="584" w:type="dxa"/>
            <w:tcBorders>
              <w:top w:val="nil"/>
              <w:left w:val="nil"/>
              <w:bottom w:val="single" w:sz="4" w:space="0" w:color="auto"/>
              <w:right w:val="single" w:sz="4" w:space="0" w:color="auto"/>
            </w:tcBorders>
            <w:vAlign w:val="center"/>
            <w:hideMark/>
          </w:tcPr>
          <w:p w14:paraId="0AEE6FE2"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27464</w:t>
            </w:r>
          </w:p>
        </w:tc>
        <w:tc>
          <w:tcPr>
            <w:tcW w:w="557" w:type="dxa"/>
            <w:tcBorders>
              <w:top w:val="nil"/>
              <w:left w:val="nil"/>
              <w:bottom w:val="single" w:sz="4" w:space="0" w:color="auto"/>
              <w:right w:val="single" w:sz="4" w:space="0" w:color="auto"/>
            </w:tcBorders>
            <w:vAlign w:val="center"/>
            <w:hideMark/>
          </w:tcPr>
          <w:p w14:paraId="7846F2E3"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1816</w:t>
            </w:r>
          </w:p>
        </w:tc>
        <w:tc>
          <w:tcPr>
            <w:tcW w:w="630" w:type="dxa"/>
            <w:tcBorders>
              <w:top w:val="nil"/>
              <w:left w:val="nil"/>
              <w:bottom w:val="single" w:sz="4" w:space="0" w:color="auto"/>
              <w:right w:val="single" w:sz="4" w:space="0" w:color="auto"/>
            </w:tcBorders>
            <w:vAlign w:val="center"/>
            <w:hideMark/>
          </w:tcPr>
          <w:p w14:paraId="54E0DABC"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51344A45"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99</w:t>
            </w:r>
          </w:p>
        </w:tc>
        <w:tc>
          <w:tcPr>
            <w:tcW w:w="700" w:type="dxa"/>
            <w:tcBorders>
              <w:top w:val="nil"/>
              <w:left w:val="nil"/>
              <w:bottom w:val="single" w:sz="4" w:space="0" w:color="auto"/>
              <w:right w:val="single" w:sz="4" w:space="0" w:color="auto"/>
            </w:tcBorders>
            <w:vAlign w:val="center"/>
            <w:hideMark/>
          </w:tcPr>
          <w:p w14:paraId="5E120917"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67815</w:t>
            </w:r>
          </w:p>
        </w:tc>
        <w:tc>
          <w:tcPr>
            <w:tcW w:w="701" w:type="dxa"/>
            <w:tcBorders>
              <w:top w:val="nil"/>
              <w:left w:val="nil"/>
              <w:bottom w:val="single" w:sz="4" w:space="0" w:color="auto"/>
              <w:right w:val="single" w:sz="4" w:space="0" w:color="auto"/>
            </w:tcBorders>
            <w:vAlign w:val="center"/>
            <w:hideMark/>
          </w:tcPr>
          <w:p w14:paraId="74F390E4"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8506</w:t>
            </w:r>
          </w:p>
        </w:tc>
        <w:tc>
          <w:tcPr>
            <w:tcW w:w="426" w:type="dxa"/>
            <w:tcBorders>
              <w:top w:val="nil"/>
              <w:left w:val="nil"/>
              <w:bottom w:val="single" w:sz="4" w:space="0" w:color="auto"/>
              <w:right w:val="single" w:sz="4" w:space="0" w:color="auto"/>
            </w:tcBorders>
            <w:vAlign w:val="center"/>
            <w:hideMark/>
          </w:tcPr>
          <w:p w14:paraId="3F0A7D5B"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077CFB9"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E63F21F"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4BE26CD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875AD13"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57D843F"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1B4756A1"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7316</w:t>
            </w:r>
          </w:p>
        </w:tc>
        <w:tc>
          <w:tcPr>
            <w:tcW w:w="654" w:type="dxa"/>
            <w:tcBorders>
              <w:top w:val="nil"/>
              <w:left w:val="nil"/>
              <w:bottom w:val="single" w:sz="4" w:space="0" w:color="auto"/>
              <w:right w:val="single" w:sz="4" w:space="0" w:color="auto"/>
            </w:tcBorders>
            <w:vAlign w:val="center"/>
            <w:hideMark/>
          </w:tcPr>
          <w:p w14:paraId="1AD32DF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820</w:t>
            </w:r>
          </w:p>
        </w:tc>
        <w:tc>
          <w:tcPr>
            <w:tcW w:w="536" w:type="dxa"/>
            <w:tcBorders>
              <w:top w:val="nil"/>
              <w:left w:val="nil"/>
              <w:bottom w:val="single" w:sz="4" w:space="0" w:color="auto"/>
              <w:right w:val="single" w:sz="4" w:space="0" w:color="auto"/>
            </w:tcBorders>
            <w:vAlign w:val="center"/>
            <w:hideMark/>
          </w:tcPr>
          <w:p w14:paraId="32981209"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26112</w:t>
            </w:r>
          </w:p>
        </w:tc>
        <w:tc>
          <w:tcPr>
            <w:tcW w:w="654" w:type="dxa"/>
            <w:tcBorders>
              <w:top w:val="nil"/>
              <w:left w:val="nil"/>
              <w:bottom w:val="single" w:sz="4" w:space="0" w:color="auto"/>
              <w:right w:val="single" w:sz="4" w:space="0" w:color="auto"/>
            </w:tcBorders>
            <w:vAlign w:val="center"/>
            <w:hideMark/>
          </w:tcPr>
          <w:p w14:paraId="0EF8B5EB"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4276</w:t>
            </w:r>
          </w:p>
        </w:tc>
        <w:tc>
          <w:tcPr>
            <w:tcW w:w="621" w:type="dxa"/>
            <w:tcBorders>
              <w:top w:val="nil"/>
              <w:left w:val="nil"/>
              <w:bottom w:val="single" w:sz="4" w:space="0" w:color="auto"/>
              <w:right w:val="single" w:sz="4" w:space="0" w:color="auto"/>
            </w:tcBorders>
            <w:vAlign w:val="center"/>
            <w:hideMark/>
          </w:tcPr>
          <w:p w14:paraId="7667B942"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25622</w:t>
            </w:r>
          </w:p>
        </w:tc>
        <w:tc>
          <w:tcPr>
            <w:tcW w:w="569" w:type="dxa"/>
            <w:tcBorders>
              <w:top w:val="nil"/>
              <w:left w:val="nil"/>
              <w:bottom w:val="single" w:sz="4" w:space="0" w:color="auto"/>
              <w:right w:val="single" w:sz="4" w:space="0" w:color="auto"/>
            </w:tcBorders>
            <w:vAlign w:val="center"/>
            <w:hideMark/>
          </w:tcPr>
          <w:p w14:paraId="043AFE5C"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1740</w:t>
            </w:r>
          </w:p>
        </w:tc>
        <w:tc>
          <w:tcPr>
            <w:tcW w:w="584" w:type="dxa"/>
            <w:tcBorders>
              <w:top w:val="nil"/>
              <w:left w:val="nil"/>
              <w:bottom w:val="single" w:sz="4" w:space="0" w:color="auto"/>
              <w:right w:val="single" w:sz="4" w:space="0" w:color="auto"/>
            </w:tcBorders>
            <w:vAlign w:val="center"/>
            <w:hideMark/>
          </w:tcPr>
          <w:p w14:paraId="663CB9C1"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34344</w:t>
            </w:r>
          </w:p>
        </w:tc>
        <w:tc>
          <w:tcPr>
            <w:tcW w:w="557" w:type="dxa"/>
            <w:tcBorders>
              <w:top w:val="nil"/>
              <w:left w:val="nil"/>
              <w:bottom w:val="single" w:sz="4" w:space="0" w:color="auto"/>
              <w:right w:val="single" w:sz="4" w:space="0" w:color="auto"/>
            </w:tcBorders>
            <w:vAlign w:val="center"/>
            <w:hideMark/>
          </w:tcPr>
          <w:p w14:paraId="42AF1301"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2845</w:t>
            </w:r>
          </w:p>
        </w:tc>
        <w:tc>
          <w:tcPr>
            <w:tcW w:w="630" w:type="dxa"/>
            <w:tcBorders>
              <w:top w:val="nil"/>
              <w:left w:val="nil"/>
              <w:bottom w:val="single" w:sz="4" w:space="0" w:color="auto"/>
              <w:right w:val="single" w:sz="4" w:space="0" w:color="auto"/>
            </w:tcBorders>
            <w:vAlign w:val="center"/>
            <w:hideMark/>
          </w:tcPr>
          <w:p w14:paraId="5178EACC"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29077</w:t>
            </w:r>
          </w:p>
        </w:tc>
        <w:tc>
          <w:tcPr>
            <w:tcW w:w="540" w:type="dxa"/>
            <w:tcBorders>
              <w:top w:val="nil"/>
              <w:left w:val="nil"/>
              <w:bottom w:val="single" w:sz="4" w:space="0" w:color="auto"/>
              <w:right w:val="single" w:sz="4" w:space="0" w:color="auto"/>
            </w:tcBorders>
            <w:vAlign w:val="center"/>
            <w:hideMark/>
          </w:tcPr>
          <w:p w14:paraId="26D4815B"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3439</w:t>
            </w:r>
          </w:p>
        </w:tc>
        <w:tc>
          <w:tcPr>
            <w:tcW w:w="700" w:type="dxa"/>
            <w:tcBorders>
              <w:top w:val="nil"/>
              <w:left w:val="nil"/>
              <w:bottom w:val="single" w:sz="4" w:space="0" w:color="auto"/>
              <w:right w:val="single" w:sz="4" w:space="0" w:color="auto"/>
            </w:tcBorders>
            <w:vAlign w:val="center"/>
            <w:hideMark/>
          </w:tcPr>
          <w:p w14:paraId="41735374"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140697</w:t>
            </w:r>
          </w:p>
        </w:tc>
        <w:tc>
          <w:tcPr>
            <w:tcW w:w="701" w:type="dxa"/>
            <w:tcBorders>
              <w:top w:val="nil"/>
              <w:left w:val="nil"/>
              <w:bottom w:val="single" w:sz="4" w:space="0" w:color="auto"/>
              <w:right w:val="single" w:sz="4" w:space="0" w:color="auto"/>
            </w:tcBorders>
            <w:vAlign w:val="center"/>
            <w:hideMark/>
          </w:tcPr>
          <w:p w14:paraId="0055695A"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17740</w:t>
            </w:r>
          </w:p>
        </w:tc>
        <w:tc>
          <w:tcPr>
            <w:tcW w:w="426" w:type="dxa"/>
            <w:tcBorders>
              <w:top w:val="nil"/>
              <w:left w:val="nil"/>
              <w:bottom w:val="single" w:sz="4" w:space="0" w:color="auto"/>
              <w:right w:val="single" w:sz="4" w:space="0" w:color="auto"/>
            </w:tcBorders>
            <w:vAlign w:val="center"/>
            <w:hideMark/>
          </w:tcPr>
          <w:p w14:paraId="67B75DDC"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w:t>
            </w:r>
          </w:p>
        </w:tc>
        <w:tc>
          <w:tcPr>
            <w:tcW w:w="503" w:type="dxa"/>
            <w:tcBorders>
              <w:top w:val="nil"/>
              <w:left w:val="nil"/>
              <w:bottom w:val="single" w:sz="4" w:space="0" w:color="auto"/>
              <w:right w:val="single" w:sz="4" w:space="0" w:color="auto"/>
            </w:tcBorders>
            <w:vAlign w:val="center"/>
            <w:hideMark/>
          </w:tcPr>
          <w:p w14:paraId="0098BBA9"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13.5</w:t>
            </w:r>
          </w:p>
        </w:tc>
      </w:tr>
      <w:tr w:rsidR="004705D2" w:rsidRPr="004705D2" w14:paraId="024CF4F9"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B4C8426" w14:textId="77777777" w:rsidR="00861457" w:rsidRPr="00767C21" w:rsidRDefault="00861457" w:rsidP="00861457">
            <w:pPr>
              <w:spacing w:after="0" w:line="240" w:lineRule="auto"/>
              <w:ind w:firstLineChars="100" w:firstLine="120"/>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9</w:t>
            </w:r>
          </w:p>
        </w:tc>
        <w:tc>
          <w:tcPr>
            <w:tcW w:w="808" w:type="dxa"/>
            <w:tcBorders>
              <w:top w:val="nil"/>
              <w:left w:val="nil"/>
              <w:bottom w:val="single" w:sz="4" w:space="0" w:color="auto"/>
              <w:right w:val="single" w:sz="4" w:space="0" w:color="auto"/>
            </w:tcBorders>
            <w:vAlign w:val="center"/>
            <w:hideMark/>
          </w:tcPr>
          <w:p w14:paraId="217698F9"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Jammu &amp; Kashmir</w:t>
            </w:r>
          </w:p>
        </w:tc>
        <w:tc>
          <w:tcPr>
            <w:tcW w:w="777" w:type="dxa"/>
            <w:tcBorders>
              <w:top w:val="nil"/>
              <w:left w:val="nil"/>
              <w:bottom w:val="single" w:sz="4" w:space="0" w:color="auto"/>
              <w:right w:val="single" w:sz="4" w:space="0" w:color="auto"/>
            </w:tcBorders>
            <w:vAlign w:val="center"/>
            <w:hideMark/>
          </w:tcPr>
          <w:p w14:paraId="5DD742E6"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262E6578"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609</w:t>
            </w:r>
          </w:p>
        </w:tc>
        <w:tc>
          <w:tcPr>
            <w:tcW w:w="654" w:type="dxa"/>
            <w:tcBorders>
              <w:top w:val="nil"/>
              <w:left w:val="nil"/>
              <w:bottom w:val="single" w:sz="4" w:space="0" w:color="auto"/>
              <w:right w:val="single" w:sz="4" w:space="0" w:color="auto"/>
            </w:tcBorders>
            <w:vAlign w:val="center"/>
            <w:hideMark/>
          </w:tcPr>
          <w:p w14:paraId="5CF7865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378</w:t>
            </w:r>
          </w:p>
        </w:tc>
        <w:tc>
          <w:tcPr>
            <w:tcW w:w="536" w:type="dxa"/>
            <w:tcBorders>
              <w:top w:val="nil"/>
              <w:left w:val="nil"/>
              <w:bottom w:val="single" w:sz="4" w:space="0" w:color="auto"/>
              <w:right w:val="single" w:sz="4" w:space="0" w:color="auto"/>
            </w:tcBorders>
            <w:vAlign w:val="center"/>
            <w:hideMark/>
          </w:tcPr>
          <w:p w14:paraId="1EEA4221"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BF7A323"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063A4392"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8095</w:t>
            </w:r>
          </w:p>
        </w:tc>
        <w:tc>
          <w:tcPr>
            <w:tcW w:w="569" w:type="dxa"/>
            <w:tcBorders>
              <w:top w:val="nil"/>
              <w:left w:val="nil"/>
              <w:bottom w:val="single" w:sz="4" w:space="0" w:color="auto"/>
              <w:right w:val="single" w:sz="4" w:space="0" w:color="auto"/>
            </w:tcBorders>
            <w:vAlign w:val="center"/>
            <w:hideMark/>
          </w:tcPr>
          <w:p w14:paraId="043EE0F4"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2192</w:t>
            </w:r>
          </w:p>
        </w:tc>
        <w:tc>
          <w:tcPr>
            <w:tcW w:w="584" w:type="dxa"/>
            <w:tcBorders>
              <w:top w:val="nil"/>
              <w:left w:val="nil"/>
              <w:bottom w:val="single" w:sz="4" w:space="0" w:color="auto"/>
              <w:right w:val="single" w:sz="4" w:space="0" w:color="auto"/>
            </w:tcBorders>
            <w:vAlign w:val="center"/>
            <w:hideMark/>
          </w:tcPr>
          <w:p w14:paraId="7B48AADB"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26853</w:t>
            </w:r>
          </w:p>
        </w:tc>
        <w:tc>
          <w:tcPr>
            <w:tcW w:w="557" w:type="dxa"/>
            <w:tcBorders>
              <w:top w:val="nil"/>
              <w:left w:val="nil"/>
              <w:bottom w:val="single" w:sz="4" w:space="0" w:color="auto"/>
              <w:right w:val="single" w:sz="4" w:space="0" w:color="auto"/>
            </w:tcBorders>
            <w:vAlign w:val="center"/>
            <w:hideMark/>
          </w:tcPr>
          <w:p w14:paraId="2DCF98EF"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2161</w:t>
            </w:r>
          </w:p>
        </w:tc>
        <w:tc>
          <w:tcPr>
            <w:tcW w:w="630" w:type="dxa"/>
            <w:tcBorders>
              <w:top w:val="nil"/>
              <w:left w:val="nil"/>
              <w:bottom w:val="single" w:sz="4" w:space="0" w:color="auto"/>
              <w:right w:val="single" w:sz="4" w:space="0" w:color="auto"/>
            </w:tcBorders>
            <w:vAlign w:val="center"/>
            <w:hideMark/>
          </w:tcPr>
          <w:p w14:paraId="102AC897"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29390</w:t>
            </w:r>
          </w:p>
        </w:tc>
        <w:tc>
          <w:tcPr>
            <w:tcW w:w="540" w:type="dxa"/>
            <w:tcBorders>
              <w:top w:val="nil"/>
              <w:left w:val="nil"/>
              <w:bottom w:val="single" w:sz="4" w:space="0" w:color="auto"/>
              <w:right w:val="single" w:sz="4" w:space="0" w:color="auto"/>
            </w:tcBorders>
            <w:vAlign w:val="center"/>
            <w:hideMark/>
          </w:tcPr>
          <w:p w14:paraId="545E126F"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3780</w:t>
            </w:r>
          </w:p>
        </w:tc>
        <w:tc>
          <w:tcPr>
            <w:tcW w:w="700" w:type="dxa"/>
            <w:tcBorders>
              <w:top w:val="nil"/>
              <w:left w:val="nil"/>
              <w:bottom w:val="single" w:sz="4" w:space="0" w:color="auto"/>
              <w:right w:val="single" w:sz="4" w:space="0" w:color="auto"/>
            </w:tcBorders>
            <w:vAlign w:val="center"/>
            <w:hideMark/>
          </w:tcPr>
          <w:p w14:paraId="37F61467"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66495</w:t>
            </w:r>
          </w:p>
        </w:tc>
        <w:tc>
          <w:tcPr>
            <w:tcW w:w="701" w:type="dxa"/>
            <w:tcBorders>
              <w:top w:val="nil"/>
              <w:left w:val="nil"/>
              <w:bottom w:val="single" w:sz="4" w:space="0" w:color="auto"/>
              <w:right w:val="single" w:sz="4" w:space="0" w:color="auto"/>
            </w:tcBorders>
            <w:vAlign w:val="center"/>
            <w:hideMark/>
          </w:tcPr>
          <w:p w14:paraId="7679725B"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8664</w:t>
            </w:r>
          </w:p>
        </w:tc>
        <w:tc>
          <w:tcPr>
            <w:tcW w:w="426" w:type="dxa"/>
            <w:tcBorders>
              <w:top w:val="nil"/>
              <w:left w:val="nil"/>
              <w:bottom w:val="single" w:sz="4" w:space="0" w:color="auto"/>
              <w:right w:val="single" w:sz="4" w:space="0" w:color="auto"/>
            </w:tcBorders>
            <w:vAlign w:val="center"/>
            <w:hideMark/>
          </w:tcPr>
          <w:p w14:paraId="2C24FD14"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20DB106"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AF57567"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D5E940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060AFE7"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848EA9C"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505D5DA1"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28DDC61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5F059A67"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3050</w:t>
            </w:r>
          </w:p>
        </w:tc>
        <w:tc>
          <w:tcPr>
            <w:tcW w:w="654" w:type="dxa"/>
            <w:tcBorders>
              <w:top w:val="nil"/>
              <w:left w:val="nil"/>
              <w:bottom w:val="single" w:sz="4" w:space="0" w:color="auto"/>
              <w:right w:val="single" w:sz="4" w:space="0" w:color="auto"/>
            </w:tcBorders>
            <w:vAlign w:val="center"/>
            <w:hideMark/>
          </w:tcPr>
          <w:p w14:paraId="75013BC7"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412</w:t>
            </w:r>
          </w:p>
        </w:tc>
        <w:tc>
          <w:tcPr>
            <w:tcW w:w="621" w:type="dxa"/>
            <w:tcBorders>
              <w:top w:val="nil"/>
              <w:left w:val="nil"/>
              <w:bottom w:val="single" w:sz="4" w:space="0" w:color="auto"/>
              <w:right w:val="single" w:sz="4" w:space="0" w:color="auto"/>
            </w:tcBorders>
            <w:vAlign w:val="center"/>
            <w:hideMark/>
          </w:tcPr>
          <w:p w14:paraId="4B5F43BE"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20B6B302"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1BFE052F"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16906</w:t>
            </w:r>
          </w:p>
        </w:tc>
        <w:tc>
          <w:tcPr>
            <w:tcW w:w="557" w:type="dxa"/>
            <w:tcBorders>
              <w:top w:val="nil"/>
              <w:left w:val="nil"/>
              <w:bottom w:val="single" w:sz="4" w:space="0" w:color="auto"/>
              <w:right w:val="single" w:sz="4" w:space="0" w:color="auto"/>
            </w:tcBorders>
            <w:vAlign w:val="center"/>
            <w:hideMark/>
          </w:tcPr>
          <w:p w14:paraId="7B198B0D"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1650</w:t>
            </w:r>
          </w:p>
        </w:tc>
        <w:tc>
          <w:tcPr>
            <w:tcW w:w="630" w:type="dxa"/>
            <w:tcBorders>
              <w:top w:val="nil"/>
              <w:left w:val="nil"/>
              <w:bottom w:val="single" w:sz="4" w:space="0" w:color="auto"/>
              <w:right w:val="single" w:sz="4" w:space="0" w:color="auto"/>
            </w:tcBorders>
            <w:vAlign w:val="center"/>
            <w:hideMark/>
          </w:tcPr>
          <w:p w14:paraId="1DF86DA8"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5E938A4A"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261</w:t>
            </w:r>
          </w:p>
        </w:tc>
        <w:tc>
          <w:tcPr>
            <w:tcW w:w="700" w:type="dxa"/>
            <w:tcBorders>
              <w:top w:val="nil"/>
              <w:left w:val="nil"/>
              <w:bottom w:val="single" w:sz="4" w:space="0" w:color="auto"/>
              <w:right w:val="single" w:sz="4" w:space="0" w:color="auto"/>
            </w:tcBorders>
            <w:vAlign w:val="center"/>
            <w:hideMark/>
          </w:tcPr>
          <w:p w14:paraId="5D2D24E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22436</w:t>
            </w:r>
          </w:p>
        </w:tc>
        <w:tc>
          <w:tcPr>
            <w:tcW w:w="701" w:type="dxa"/>
            <w:tcBorders>
              <w:top w:val="nil"/>
              <w:left w:val="nil"/>
              <w:bottom w:val="single" w:sz="4" w:space="0" w:color="auto"/>
              <w:right w:val="single" w:sz="4" w:space="0" w:color="auto"/>
            </w:tcBorders>
            <w:vAlign w:val="center"/>
            <w:hideMark/>
          </w:tcPr>
          <w:p w14:paraId="27EE9574"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2602</w:t>
            </w:r>
          </w:p>
        </w:tc>
        <w:tc>
          <w:tcPr>
            <w:tcW w:w="426" w:type="dxa"/>
            <w:tcBorders>
              <w:top w:val="nil"/>
              <w:left w:val="nil"/>
              <w:bottom w:val="single" w:sz="4" w:space="0" w:color="auto"/>
              <w:right w:val="single" w:sz="4" w:space="0" w:color="auto"/>
            </w:tcBorders>
            <w:vAlign w:val="center"/>
            <w:hideMark/>
          </w:tcPr>
          <w:p w14:paraId="06E85890"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A9A427D"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1B5D6DF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5A5A88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F3F91D8"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24CAF1E6"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18AEC3A6"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609</w:t>
            </w:r>
          </w:p>
        </w:tc>
        <w:tc>
          <w:tcPr>
            <w:tcW w:w="654" w:type="dxa"/>
            <w:tcBorders>
              <w:top w:val="nil"/>
              <w:left w:val="nil"/>
              <w:bottom w:val="single" w:sz="4" w:space="0" w:color="auto"/>
              <w:right w:val="single" w:sz="4" w:space="0" w:color="auto"/>
            </w:tcBorders>
            <w:vAlign w:val="center"/>
            <w:hideMark/>
          </w:tcPr>
          <w:p w14:paraId="03946889"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378</w:t>
            </w:r>
          </w:p>
        </w:tc>
        <w:tc>
          <w:tcPr>
            <w:tcW w:w="536" w:type="dxa"/>
            <w:tcBorders>
              <w:top w:val="nil"/>
              <w:left w:val="nil"/>
              <w:bottom w:val="single" w:sz="4" w:space="0" w:color="auto"/>
              <w:right w:val="single" w:sz="4" w:space="0" w:color="auto"/>
            </w:tcBorders>
            <w:vAlign w:val="center"/>
            <w:hideMark/>
          </w:tcPr>
          <w:p w14:paraId="6F7B1035"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3050</w:t>
            </w:r>
          </w:p>
        </w:tc>
        <w:tc>
          <w:tcPr>
            <w:tcW w:w="654" w:type="dxa"/>
            <w:tcBorders>
              <w:top w:val="nil"/>
              <w:left w:val="nil"/>
              <w:bottom w:val="single" w:sz="4" w:space="0" w:color="auto"/>
              <w:right w:val="single" w:sz="4" w:space="0" w:color="auto"/>
            </w:tcBorders>
            <w:vAlign w:val="center"/>
            <w:hideMark/>
          </w:tcPr>
          <w:p w14:paraId="5F29A32F"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412</w:t>
            </w:r>
          </w:p>
        </w:tc>
        <w:tc>
          <w:tcPr>
            <w:tcW w:w="621" w:type="dxa"/>
            <w:tcBorders>
              <w:top w:val="nil"/>
              <w:left w:val="nil"/>
              <w:bottom w:val="single" w:sz="4" w:space="0" w:color="auto"/>
              <w:right w:val="single" w:sz="4" w:space="0" w:color="auto"/>
            </w:tcBorders>
            <w:vAlign w:val="center"/>
            <w:hideMark/>
          </w:tcPr>
          <w:p w14:paraId="5B662B7F"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8095</w:t>
            </w:r>
          </w:p>
        </w:tc>
        <w:tc>
          <w:tcPr>
            <w:tcW w:w="569" w:type="dxa"/>
            <w:tcBorders>
              <w:top w:val="nil"/>
              <w:left w:val="nil"/>
              <w:bottom w:val="single" w:sz="4" w:space="0" w:color="auto"/>
              <w:right w:val="single" w:sz="4" w:space="0" w:color="auto"/>
            </w:tcBorders>
            <w:vAlign w:val="center"/>
            <w:hideMark/>
          </w:tcPr>
          <w:p w14:paraId="799F96C7"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2192</w:t>
            </w:r>
          </w:p>
        </w:tc>
        <w:tc>
          <w:tcPr>
            <w:tcW w:w="584" w:type="dxa"/>
            <w:tcBorders>
              <w:top w:val="nil"/>
              <w:left w:val="nil"/>
              <w:bottom w:val="single" w:sz="4" w:space="0" w:color="auto"/>
              <w:right w:val="single" w:sz="4" w:space="0" w:color="auto"/>
            </w:tcBorders>
            <w:vAlign w:val="center"/>
            <w:hideMark/>
          </w:tcPr>
          <w:p w14:paraId="7A6842DB"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43759</w:t>
            </w:r>
          </w:p>
        </w:tc>
        <w:tc>
          <w:tcPr>
            <w:tcW w:w="557" w:type="dxa"/>
            <w:tcBorders>
              <w:top w:val="nil"/>
              <w:left w:val="nil"/>
              <w:bottom w:val="single" w:sz="4" w:space="0" w:color="auto"/>
              <w:right w:val="single" w:sz="4" w:space="0" w:color="auto"/>
            </w:tcBorders>
            <w:vAlign w:val="center"/>
            <w:hideMark/>
          </w:tcPr>
          <w:p w14:paraId="0CD9C16D"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3811</w:t>
            </w:r>
          </w:p>
        </w:tc>
        <w:tc>
          <w:tcPr>
            <w:tcW w:w="630" w:type="dxa"/>
            <w:tcBorders>
              <w:top w:val="nil"/>
              <w:left w:val="nil"/>
              <w:bottom w:val="single" w:sz="4" w:space="0" w:color="auto"/>
              <w:right w:val="single" w:sz="4" w:space="0" w:color="auto"/>
            </w:tcBorders>
            <w:vAlign w:val="center"/>
            <w:hideMark/>
          </w:tcPr>
          <w:p w14:paraId="18DE1B70"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29390</w:t>
            </w:r>
          </w:p>
        </w:tc>
        <w:tc>
          <w:tcPr>
            <w:tcW w:w="540" w:type="dxa"/>
            <w:tcBorders>
              <w:top w:val="nil"/>
              <w:left w:val="nil"/>
              <w:bottom w:val="single" w:sz="4" w:space="0" w:color="auto"/>
              <w:right w:val="single" w:sz="4" w:space="0" w:color="auto"/>
            </w:tcBorders>
            <w:vAlign w:val="center"/>
            <w:hideMark/>
          </w:tcPr>
          <w:p w14:paraId="1BCF4AF1"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4041</w:t>
            </w:r>
          </w:p>
        </w:tc>
        <w:tc>
          <w:tcPr>
            <w:tcW w:w="700" w:type="dxa"/>
            <w:tcBorders>
              <w:top w:val="nil"/>
              <w:left w:val="nil"/>
              <w:bottom w:val="single" w:sz="4" w:space="0" w:color="auto"/>
              <w:right w:val="single" w:sz="4" w:space="0" w:color="auto"/>
            </w:tcBorders>
            <w:vAlign w:val="center"/>
            <w:hideMark/>
          </w:tcPr>
          <w:p w14:paraId="7A7ABC50"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88931</w:t>
            </w:r>
          </w:p>
        </w:tc>
        <w:tc>
          <w:tcPr>
            <w:tcW w:w="701" w:type="dxa"/>
            <w:tcBorders>
              <w:top w:val="nil"/>
              <w:left w:val="nil"/>
              <w:bottom w:val="single" w:sz="4" w:space="0" w:color="auto"/>
              <w:right w:val="single" w:sz="4" w:space="0" w:color="auto"/>
            </w:tcBorders>
            <w:vAlign w:val="center"/>
            <w:hideMark/>
          </w:tcPr>
          <w:p w14:paraId="5197552D"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11266</w:t>
            </w:r>
          </w:p>
        </w:tc>
        <w:tc>
          <w:tcPr>
            <w:tcW w:w="426" w:type="dxa"/>
            <w:tcBorders>
              <w:top w:val="nil"/>
              <w:left w:val="nil"/>
              <w:bottom w:val="single" w:sz="4" w:space="0" w:color="auto"/>
              <w:right w:val="single" w:sz="4" w:space="0" w:color="auto"/>
            </w:tcBorders>
            <w:vAlign w:val="center"/>
            <w:hideMark/>
          </w:tcPr>
          <w:p w14:paraId="35AB92F7"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w:t>
            </w:r>
          </w:p>
        </w:tc>
        <w:tc>
          <w:tcPr>
            <w:tcW w:w="503" w:type="dxa"/>
            <w:tcBorders>
              <w:top w:val="nil"/>
              <w:left w:val="nil"/>
              <w:bottom w:val="single" w:sz="4" w:space="0" w:color="auto"/>
              <w:right w:val="single" w:sz="4" w:space="0" w:color="auto"/>
            </w:tcBorders>
            <w:vAlign w:val="center"/>
            <w:hideMark/>
          </w:tcPr>
          <w:p w14:paraId="1231CBA0"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w:t>
            </w:r>
          </w:p>
        </w:tc>
      </w:tr>
      <w:tr w:rsidR="004705D2" w:rsidRPr="004705D2" w14:paraId="6DD7F907"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A4FDF49"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10</w:t>
            </w:r>
          </w:p>
        </w:tc>
        <w:tc>
          <w:tcPr>
            <w:tcW w:w="808" w:type="dxa"/>
            <w:tcBorders>
              <w:top w:val="nil"/>
              <w:left w:val="nil"/>
              <w:bottom w:val="single" w:sz="4" w:space="0" w:color="auto"/>
              <w:right w:val="single" w:sz="4" w:space="0" w:color="auto"/>
            </w:tcBorders>
            <w:vAlign w:val="center"/>
            <w:hideMark/>
          </w:tcPr>
          <w:p w14:paraId="1535F5D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Karnataka</w:t>
            </w:r>
          </w:p>
        </w:tc>
        <w:tc>
          <w:tcPr>
            <w:tcW w:w="777" w:type="dxa"/>
            <w:tcBorders>
              <w:top w:val="nil"/>
              <w:left w:val="nil"/>
              <w:bottom w:val="single" w:sz="4" w:space="0" w:color="auto"/>
              <w:right w:val="single" w:sz="4" w:space="0" w:color="auto"/>
            </w:tcBorders>
            <w:vAlign w:val="center"/>
            <w:hideMark/>
          </w:tcPr>
          <w:p w14:paraId="52244E4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55DB1311"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50774BE4"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0BA74612"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2B37C4A8"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158029A4"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70CA2C6D"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1717461D"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72E98B64"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049578C3"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28572</w:t>
            </w:r>
          </w:p>
        </w:tc>
        <w:tc>
          <w:tcPr>
            <w:tcW w:w="540" w:type="dxa"/>
            <w:tcBorders>
              <w:top w:val="nil"/>
              <w:left w:val="nil"/>
              <w:bottom w:val="single" w:sz="4" w:space="0" w:color="auto"/>
              <w:right w:val="single" w:sz="4" w:space="0" w:color="auto"/>
            </w:tcBorders>
            <w:vAlign w:val="center"/>
            <w:hideMark/>
          </w:tcPr>
          <w:p w14:paraId="75468703"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1538</w:t>
            </w:r>
          </w:p>
        </w:tc>
        <w:tc>
          <w:tcPr>
            <w:tcW w:w="700" w:type="dxa"/>
            <w:tcBorders>
              <w:top w:val="nil"/>
              <w:left w:val="nil"/>
              <w:bottom w:val="single" w:sz="4" w:space="0" w:color="auto"/>
              <w:right w:val="single" w:sz="4" w:space="0" w:color="auto"/>
            </w:tcBorders>
            <w:vAlign w:val="center"/>
            <w:hideMark/>
          </w:tcPr>
          <w:p w14:paraId="2DB6647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36520</w:t>
            </w:r>
          </w:p>
        </w:tc>
        <w:tc>
          <w:tcPr>
            <w:tcW w:w="701" w:type="dxa"/>
            <w:tcBorders>
              <w:top w:val="nil"/>
              <w:left w:val="nil"/>
              <w:bottom w:val="single" w:sz="4" w:space="0" w:color="auto"/>
              <w:right w:val="single" w:sz="4" w:space="0" w:color="auto"/>
            </w:tcBorders>
            <w:vAlign w:val="center"/>
            <w:hideMark/>
          </w:tcPr>
          <w:p w14:paraId="493821AF"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2939</w:t>
            </w:r>
          </w:p>
        </w:tc>
        <w:tc>
          <w:tcPr>
            <w:tcW w:w="426" w:type="dxa"/>
            <w:tcBorders>
              <w:top w:val="nil"/>
              <w:left w:val="nil"/>
              <w:bottom w:val="single" w:sz="4" w:space="0" w:color="auto"/>
              <w:right w:val="single" w:sz="4" w:space="0" w:color="auto"/>
            </w:tcBorders>
            <w:vAlign w:val="center"/>
            <w:hideMark/>
          </w:tcPr>
          <w:p w14:paraId="0971203A"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3EE08E4"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BA0EDB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179787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7C0EDE2B"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16E0444"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54A68D3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20950</w:t>
            </w:r>
          </w:p>
        </w:tc>
        <w:tc>
          <w:tcPr>
            <w:tcW w:w="654" w:type="dxa"/>
            <w:tcBorders>
              <w:top w:val="nil"/>
              <w:left w:val="nil"/>
              <w:bottom w:val="single" w:sz="4" w:space="0" w:color="auto"/>
              <w:right w:val="single" w:sz="4" w:space="0" w:color="auto"/>
            </w:tcBorders>
            <w:vAlign w:val="center"/>
            <w:hideMark/>
          </w:tcPr>
          <w:p w14:paraId="1484D2D3"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3413</w:t>
            </w:r>
          </w:p>
        </w:tc>
        <w:tc>
          <w:tcPr>
            <w:tcW w:w="536" w:type="dxa"/>
            <w:tcBorders>
              <w:top w:val="nil"/>
              <w:left w:val="nil"/>
              <w:bottom w:val="single" w:sz="4" w:space="0" w:color="auto"/>
              <w:right w:val="single" w:sz="4" w:space="0" w:color="auto"/>
            </w:tcBorders>
            <w:vAlign w:val="center"/>
            <w:hideMark/>
          </w:tcPr>
          <w:p w14:paraId="46989995"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58793</w:t>
            </w:r>
          </w:p>
        </w:tc>
        <w:tc>
          <w:tcPr>
            <w:tcW w:w="654" w:type="dxa"/>
            <w:tcBorders>
              <w:top w:val="nil"/>
              <w:left w:val="nil"/>
              <w:bottom w:val="single" w:sz="4" w:space="0" w:color="auto"/>
              <w:right w:val="single" w:sz="4" w:space="0" w:color="auto"/>
            </w:tcBorders>
            <w:vAlign w:val="center"/>
            <w:hideMark/>
          </w:tcPr>
          <w:p w14:paraId="6748B40E"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6246</w:t>
            </w:r>
          </w:p>
        </w:tc>
        <w:tc>
          <w:tcPr>
            <w:tcW w:w="621" w:type="dxa"/>
            <w:tcBorders>
              <w:top w:val="nil"/>
              <w:left w:val="nil"/>
              <w:bottom w:val="single" w:sz="4" w:space="0" w:color="auto"/>
              <w:right w:val="single" w:sz="4" w:space="0" w:color="auto"/>
            </w:tcBorders>
            <w:vAlign w:val="center"/>
            <w:hideMark/>
          </w:tcPr>
          <w:p w14:paraId="6B306F80"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750</w:t>
            </w:r>
          </w:p>
        </w:tc>
        <w:tc>
          <w:tcPr>
            <w:tcW w:w="569" w:type="dxa"/>
            <w:tcBorders>
              <w:top w:val="nil"/>
              <w:left w:val="nil"/>
              <w:bottom w:val="single" w:sz="4" w:space="0" w:color="auto"/>
              <w:right w:val="single" w:sz="4" w:space="0" w:color="auto"/>
            </w:tcBorders>
            <w:vAlign w:val="center"/>
            <w:hideMark/>
          </w:tcPr>
          <w:p w14:paraId="3C32695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5000</w:t>
            </w:r>
          </w:p>
        </w:tc>
        <w:tc>
          <w:tcPr>
            <w:tcW w:w="584" w:type="dxa"/>
            <w:tcBorders>
              <w:top w:val="nil"/>
              <w:left w:val="nil"/>
              <w:bottom w:val="single" w:sz="4" w:space="0" w:color="auto"/>
              <w:right w:val="single" w:sz="4" w:space="0" w:color="auto"/>
            </w:tcBorders>
            <w:vAlign w:val="center"/>
            <w:hideMark/>
          </w:tcPr>
          <w:p w14:paraId="7500723E"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25680</w:t>
            </w:r>
          </w:p>
        </w:tc>
        <w:tc>
          <w:tcPr>
            <w:tcW w:w="557" w:type="dxa"/>
            <w:tcBorders>
              <w:top w:val="nil"/>
              <w:left w:val="nil"/>
              <w:bottom w:val="single" w:sz="4" w:space="0" w:color="auto"/>
              <w:right w:val="single" w:sz="4" w:space="0" w:color="auto"/>
            </w:tcBorders>
            <w:vAlign w:val="center"/>
            <w:hideMark/>
          </w:tcPr>
          <w:p w14:paraId="2D2B987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2561</w:t>
            </w:r>
          </w:p>
        </w:tc>
        <w:tc>
          <w:tcPr>
            <w:tcW w:w="630" w:type="dxa"/>
            <w:tcBorders>
              <w:top w:val="nil"/>
              <w:left w:val="nil"/>
              <w:bottom w:val="single" w:sz="4" w:space="0" w:color="auto"/>
              <w:right w:val="single" w:sz="4" w:space="0" w:color="auto"/>
            </w:tcBorders>
            <w:vAlign w:val="center"/>
            <w:hideMark/>
          </w:tcPr>
          <w:p w14:paraId="7C856625"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24AC93E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2196</w:t>
            </w:r>
          </w:p>
        </w:tc>
        <w:tc>
          <w:tcPr>
            <w:tcW w:w="700" w:type="dxa"/>
            <w:tcBorders>
              <w:top w:val="nil"/>
              <w:left w:val="nil"/>
              <w:bottom w:val="single" w:sz="4" w:space="0" w:color="auto"/>
              <w:right w:val="single" w:sz="4" w:space="0" w:color="auto"/>
            </w:tcBorders>
            <w:vAlign w:val="center"/>
            <w:hideMark/>
          </w:tcPr>
          <w:p w14:paraId="0BB1CAB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143733</w:t>
            </w:r>
          </w:p>
        </w:tc>
        <w:tc>
          <w:tcPr>
            <w:tcW w:w="701" w:type="dxa"/>
            <w:tcBorders>
              <w:top w:val="nil"/>
              <w:left w:val="nil"/>
              <w:bottom w:val="single" w:sz="4" w:space="0" w:color="auto"/>
              <w:right w:val="single" w:sz="4" w:space="0" w:color="auto"/>
            </w:tcBorders>
            <w:vAlign w:val="center"/>
            <w:hideMark/>
          </w:tcPr>
          <w:p w14:paraId="3EBAE696"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23743</w:t>
            </w:r>
          </w:p>
        </w:tc>
        <w:tc>
          <w:tcPr>
            <w:tcW w:w="426" w:type="dxa"/>
            <w:tcBorders>
              <w:top w:val="nil"/>
              <w:left w:val="nil"/>
              <w:bottom w:val="single" w:sz="4" w:space="0" w:color="auto"/>
              <w:right w:val="single" w:sz="4" w:space="0" w:color="auto"/>
            </w:tcBorders>
            <w:vAlign w:val="center"/>
            <w:hideMark/>
          </w:tcPr>
          <w:p w14:paraId="232CD7FE"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0A66FA67"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BC5DC5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7CBD34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175302C"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7C5D89B"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0C139D3C"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20950</w:t>
            </w:r>
          </w:p>
        </w:tc>
        <w:tc>
          <w:tcPr>
            <w:tcW w:w="654" w:type="dxa"/>
            <w:tcBorders>
              <w:top w:val="nil"/>
              <w:left w:val="nil"/>
              <w:bottom w:val="single" w:sz="4" w:space="0" w:color="auto"/>
              <w:right w:val="single" w:sz="4" w:space="0" w:color="auto"/>
            </w:tcBorders>
            <w:vAlign w:val="center"/>
            <w:hideMark/>
          </w:tcPr>
          <w:p w14:paraId="6783C1F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3413</w:t>
            </w:r>
          </w:p>
        </w:tc>
        <w:tc>
          <w:tcPr>
            <w:tcW w:w="536" w:type="dxa"/>
            <w:tcBorders>
              <w:top w:val="nil"/>
              <w:left w:val="nil"/>
              <w:bottom w:val="single" w:sz="4" w:space="0" w:color="auto"/>
              <w:right w:val="single" w:sz="4" w:space="0" w:color="auto"/>
            </w:tcBorders>
            <w:vAlign w:val="center"/>
            <w:hideMark/>
          </w:tcPr>
          <w:p w14:paraId="44B5F3C8"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58793</w:t>
            </w:r>
          </w:p>
        </w:tc>
        <w:tc>
          <w:tcPr>
            <w:tcW w:w="654" w:type="dxa"/>
            <w:tcBorders>
              <w:top w:val="nil"/>
              <w:left w:val="nil"/>
              <w:bottom w:val="single" w:sz="4" w:space="0" w:color="auto"/>
              <w:right w:val="single" w:sz="4" w:space="0" w:color="auto"/>
            </w:tcBorders>
            <w:vAlign w:val="center"/>
            <w:hideMark/>
          </w:tcPr>
          <w:p w14:paraId="13561693"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6246</w:t>
            </w:r>
          </w:p>
        </w:tc>
        <w:tc>
          <w:tcPr>
            <w:tcW w:w="621" w:type="dxa"/>
            <w:tcBorders>
              <w:top w:val="nil"/>
              <w:left w:val="nil"/>
              <w:bottom w:val="single" w:sz="4" w:space="0" w:color="auto"/>
              <w:right w:val="single" w:sz="4" w:space="0" w:color="auto"/>
            </w:tcBorders>
            <w:vAlign w:val="center"/>
            <w:hideMark/>
          </w:tcPr>
          <w:p w14:paraId="68ACD3DA"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750</w:t>
            </w:r>
          </w:p>
        </w:tc>
        <w:tc>
          <w:tcPr>
            <w:tcW w:w="569" w:type="dxa"/>
            <w:tcBorders>
              <w:top w:val="nil"/>
              <w:left w:val="nil"/>
              <w:bottom w:val="single" w:sz="4" w:space="0" w:color="auto"/>
              <w:right w:val="single" w:sz="4" w:space="0" w:color="auto"/>
            </w:tcBorders>
            <w:vAlign w:val="center"/>
            <w:hideMark/>
          </w:tcPr>
          <w:p w14:paraId="494832DA"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5000</w:t>
            </w:r>
          </w:p>
        </w:tc>
        <w:tc>
          <w:tcPr>
            <w:tcW w:w="584" w:type="dxa"/>
            <w:tcBorders>
              <w:top w:val="nil"/>
              <w:left w:val="nil"/>
              <w:bottom w:val="single" w:sz="4" w:space="0" w:color="auto"/>
              <w:right w:val="single" w:sz="4" w:space="0" w:color="auto"/>
            </w:tcBorders>
            <w:vAlign w:val="center"/>
            <w:hideMark/>
          </w:tcPr>
          <w:p w14:paraId="71D3BB2C"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25680</w:t>
            </w:r>
          </w:p>
        </w:tc>
        <w:tc>
          <w:tcPr>
            <w:tcW w:w="557" w:type="dxa"/>
            <w:tcBorders>
              <w:top w:val="nil"/>
              <w:left w:val="nil"/>
              <w:bottom w:val="single" w:sz="4" w:space="0" w:color="auto"/>
              <w:right w:val="single" w:sz="4" w:space="0" w:color="auto"/>
            </w:tcBorders>
            <w:vAlign w:val="center"/>
            <w:hideMark/>
          </w:tcPr>
          <w:p w14:paraId="62C068FD"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2561</w:t>
            </w:r>
          </w:p>
        </w:tc>
        <w:tc>
          <w:tcPr>
            <w:tcW w:w="630" w:type="dxa"/>
            <w:tcBorders>
              <w:top w:val="nil"/>
              <w:left w:val="nil"/>
              <w:bottom w:val="single" w:sz="4" w:space="0" w:color="auto"/>
              <w:right w:val="single" w:sz="4" w:space="0" w:color="auto"/>
            </w:tcBorders>
            <w:vAlign w:val="center"/>
            <w:hideMark/>
          </w:tcPr>
          <w:p w14:paraId="0A88A23B"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28572</w:t>
            </w:r>
          </w:p>
        </w:tc>
        <w:tc>
          <w:tcPr>
            <w:tcW w:w="540" w:type="dxa"/>
            <w:tcBorders>
              <w:top w:val="nil"/>
              <w:left w:val="nil"/>
              <w:bottom w:val="single" w:sz="4" w:space="0" w:color="auto"/>
              <w:right w:val="single" w:sz="4" w:space="0" w:color="auto"/>
            </w:tcBorders>
            <w:vAlign w:val="center"/>
            <w:hideMark/>
          </w:tcPr>
          <w:p w14:paraId="36C46FA0"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3734</w:t>
            </w:r>
          </w:p>
        </w:tc>
        <w:tc>
          <w:tcPr>
            <w:tcW w:w="700" w:type="dxa"/>
            <w:tcBorders>
              <w:top w:val="nil"/>
              <w:left w:val="nil"/>
              <w:bottom w:val="single" w:sz="4" w:space="0" w:color="auto"/>
              <w:right w:val="single" w:sz="4" w:space="0" w:color="auto"/>
            </w:tcBorders>
            <w:vAlign w:val="center"/>
            <w:hideMark/>
          </w:tcPr>
          <w:p w14:paraId="28FB1DD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180253</w:t>
            </w:r>
          </w:p>
        </w:tc>
        <w:tc>
          <w:tcPr>
            <w:tcW w:w="701" w:type="dxa"/>
            <w:tcBorders>
              <w:top w:val="nil"/>
              <w:left w:val="nil"/>
              <w:bottom w:val="single" w:sz="4" w:space="0" w:color="auto"/>
              <w:right w:val="single" w:sz="4" w:space="0" w:color="auto"/>
            </w:tcBorders>
            <w:vAlign w:val="center"/>
            <w:hideMark/>
          </w:tcPr>
          <w:p w14:paraId="44B3F32E"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26682</w:t>
            </w:r>
          </w:p>
        </w:tc>
        <w:tc>
          <w:tcPr>
            <w:tcW w:w="426" w:type="dxa"/>
            <w:tcBorders>
              <w:top w:val="nil"/>
              <w:left w:val="nil"/>
              <w:bottom w:val="single" w:sz="4" w:space="0" w:color="auto"/>
              <w:right w:val="single" w:sz="4" w:space="0" w:color="auto"/>
            </w:tcBorders>
            <w:vAlign w:val="center"/>
            <w:hideMark/>
          </w:tcPr>
          <w:p w14:paraId="46850925"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w:t>
            </w:r>
          </w:p>
        </w:tc>
        <w:tc>
          <w:tcPr>
            <w:tcW w:w="503" w:type="dxa"/>
            <w:tcBorders>
              <w:top w:val="nil"/>
              <w:left w:val="nil"/>
              <w:bottom w:val="single" w:sz="4" w:space="0" w:color="auto"/>
              <w:right w:val="single" w:sz="4" w:space="0" w:color="auto"/>
            </w:tcBorders>
            <w:vAlign w:val="center"/>
            <w:hideMark/>
          </w:tcPr>
          <w:p w14:paraId="78BCBDAF"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20.25</w:t>
            </w:r>
          </w:p>
        </w:tc>
      </w:tr>
      <w:tr w:rsidR="004705D2" w:rsidRPr="004705D2" w14:paraId="3925727F"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70A28929"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11</w:t>
            </w:r>
          </w:p>
        </w:tc>
        <w:tc>
          <w:tcPr>
            <w:tcW w:w="808" w:type="dxa"/>
            <w:tcBorders>
              <w:top w:val="nil"/>
              <w:left w:val="nil"/>
              <w:bottom w:val="single" w:sz="4" w:space="0" w:color="auto"/>
              <w:right w:val="single" w:sz="4" w:space="0" w:color="auto"/>
            </w:tcBorders>
            <w:vAlign w:val="center"/>
            <w:hideMark/>
          </w:tcPr>
          <w:p w14:paraId="2674D37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Kerala</w:t>
            </w:r>
          </w:p>
        </w:tc>
        <w:tc>
          <w:tcPr>
            <w:tcW w:w="777" w:type="dxa"/>
            <w:tcBorders>
              <w:top w:val="nil"/>
              <w:left w:val="nil"/>
              <w:bottom w:val="single" w:sz="4" w:space="0" w:color="auto"/>
              <w:right w:val="single" w:sz="4" w:space="0" w:color="auto"/>
            </w:tcBorders>
            <w:vAlign w:val="center"/>
            <w:hideMark/>
          </w:tcPr>
          <w:p w14:paraId="6AE179E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670DC464"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19515</w:t>
            </w:r>
          </w:p>
        </w:tc>
        <w:tc>
          <w:tcPr>
            <w:tcW w:w="654" w:type="dxa"/>
            <w:tcBorders>
              <w:top w:val="nil"/>
              <w:left w:val="nil"/>
              <w:bottom w:val="single" w:sz="4" w:space="0" w:color="auto"/>
              <w:right w:val="single" w:sz="4" w:space="0" w:color="auto"/>
            </w:tcBorders>
            <w:vAlign w:val="center"/>
            <w:hideMark/>
          </w:tcPr>
          <w:p w14:paraId="163422B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2133</w:t>
            </w:r>
          </w:p>
        </w:tc>
        <w:tc>
          <w:tcPr>
            <w:tcW w:w="536" w:type="dxa"/>
            <w:tcBorders>
              <w:top w:val="nil"/>
              <w:left w:val="nil"/>
              <w:bottom w:val="single" w:sz="4" w:space="0" w:color="auto"/>
              <w:right w:val="single" w:sz="4" w:space="0" w:color="auto"/>
            </w:tcBorders>
            <w:vAlign w:val="center"/>
            <w:hideMark/>
          </w:tcPr>
          <w:p w14:paraId="6925BADF"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74336</w:t>
            </w:r>
          </w:p>
        </w:tc>
        <w:tc>
          <w:tcPr>
            <w:tcW w:w="654" w:type="dxa"/>
            <w:tcBorders>
              <w:top w:val="nil"/>
              <w:left w:val="nil"/>
              <w:bottom w:val="single" w:sz="4" w:space="0" w:color="auto"/>
              <w:right w:val="single" w:sz="4" w:space="0" w:color="auto"/>
            </w:tcBorders>
            <w:vAlign w:val="center"/>
            <w:hideMark/>
          </w:tcPr>
          <w:p w14:paraId="677EF3C5"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13479</w:t>
            </w:r>
          </w:p>
        </w:tc>
        <w:tc>
          <w:tcPr>
            <w:tcW w:w="621" w:type="dxa"/>
            <w:tcBorders>
              <w:top w:val="nil"/>
              <w:left w:val="nil"/>
              <w:bottom w:val="single" w:sz="4" w:space="0" w:color="auto"/>
              <w:right w:val="single" w:sz="4" w:space="0" w:color="auto"/>
            </w:tcBorders>
            <w:vAlign w:val="center"/>
            <w:hideMark/>
          </w:tcPr>
          <w:p w14:paraId="0C5AC8F3"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21591</w:t>
            </w:r>
          </w:p>
        </w:tc>
        <w:tc>
          <w:tcPr>
            <w:tcW w:w="569" w:type="dxa"/>
            <w:tcBorders>
              <w:top w:val="nil"/>
              <w:left w:val="nil"/>
              <w:bottom w:val="single" w:sz="4" w:space="0" w:color="auto"/>
              <w:right w:val="single" w:sz="4" w:space="0" w:color="auto"/>
            </w:tcBorders>
            <w:vAlign w:val="center"/>
            <w:hideMark/>
          </w:tcPr>
          <w:p w14:paraId="11DBD9D6"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2667</w:t>
            </w:r>
          </w:p>
        </w:tc>
        <w:tc>
          <w:tcPr>
            <w:tcW w:w="584" w:type="dxa"/>
            <w:tcBorders>
              <w:top w:val="nil"/>
              <w:left w:val="nil"/>
              <w:bottom w:val="single" w:sz="4" w:space="0" w:color="auto"/>
              <w:right w:val="single" w:sz="4" w:space="0" w:color="auto"/>
            </w:tcBorders>
            <w:vAlign w:val="center"/>
            <w:hideMark/>
          </w:tcPr>
          <w:p w14:paraId="3A40AC20"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5E18291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5FEDD6B6"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9286</w:t>
            </w:r>
          </w:p>
        </w:tc>
        <w:tc>
          <w:tcPr>
            <w:tcW w:w="540" w:type="dxa"/>
            <w:tcBorders>
              <w:top w:val="nil"/>
              <w:left w:val="nil"/>
              <w:bottom w:val="single" w:sz="4" w:space="0" w:color="auto"/>
              <w:right w:val="single" w:sz="4" w:space="0" w:color="auto"/>
            </w:tcBorders>
            <w:vAlign w:val="center"/>
            <w:hideMark/>
          </w:tcPr>
          <w:p w14:paraId="4252DF28"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1055</w:t>
            </w:r>
          </w:p>
        </w:tc>
        <w:tc>
          <w:tcPr>
            <w:tcW w:w="700" w:type="dxa"/>
            <w:tcBorders>
              <w:top w:val="nil"/>
              <w:left w:val="nil"/>
              <w:bottom w:val="single" w:sz="4" w:space="0" w:color="auto"/>
              <w:right w:val="single" w:sz="4" w:space="0" w:color="auto"/>
            </w:tcBorders>
            <w:vAlign w:val="center"/>
            <w:hideMark/>
          </w:tcPr>
          <w:p w14:paraId="0047CF9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134608</w:t>
            </w:r>
          </w:p>
        </w:tc>
        <w:tc>
          <w:tcPr>
            <w:tcW w:w="701" w:type="dxa"/>
            <w:tcBorders>
              <w:top w:val="nil"/>
              <w:left w:val="nil"/>
              <w:bottom w:val="single" w:sz="4" w:space="0" w:color="auto"/>
              <w:right w:val="single" w:sz="4" w:space="0" w:color="auto"/>
            </w:tcBorders>
            <w:vAlign w:val="center"/>
            <w:hideMark/>
          </w:tcPr>
          <w:p w14:paraId="5DF4517C"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21097</w:t>
            </w:r>
          </w:p>
        </w:tc>
        <w:tc>
          <w:tcPr>
            <w:tcW w:w="426" w:type="dxa"/>
            <w:tcBorders>
              <w:top w:val="nil"/>
              <w:left w:val="nil"/>
              <w:bottom w:val="single" w:sz="4" w:space="0" w:color="auto"/>
              <w:right w:val="single" w:sz="4" w:space="0" w:color="auto"/>
            </w:tcBorders>
            <w:vAlign w:val="center"/>
            <w:hideMark/>
          </w:tcPr>
          <w:p w14:paraId="00E6FCA3"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8769B02"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D6FBD88"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CA63E1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0A9BF6B"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B214077"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55B2F1D7"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CF4B26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626DD9F6"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5781</w:t>
            </w:r>
          </w:p>
        </w:tc>
        <w:tc>
          <w:tcPr>
            <w:tcW w:w="654" w:type="dxa"/>
            <w:tcBorders>
              <w:top w:val="nil"/>
              <w:left w:val="nil"/>
              <w:bottom w:val="single" w:sz="4" w:space="0" w:color="auto"/>
              <w:right w:val="single" w:sz="4" w:space="0" w:color="auto"/>
            </w:tcBorders>
            <w:vAlign w:val="center"/>
            <w:hideMark/>
          </w:tcPr>
          <w:p w14:paraId="2B4F8E75"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30</w:t>
            </w:r>
          </w:p>
        </w:tc>
        <w:tc>
          <w:tcPr>
            <w:tcW w:w="621" w:type="dxa"/>
            <w:tcBorders>
              <w:top w:val="nil"/>
              <w:left w:val="nil"/>
              <w:bottom w:val="single" w:sz="4" w:space="0" w:color="auto"/>
              <w:right w:val="single" w:sz="4" w:space="0" w:color="auto"/>
            </w:tcBorders>
            <w:vAlign w:val="center"/>
            <w:hideMark/>
          </w:tcPr>
          <w:p w14:paraId="2618DB0C"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22982C36"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42E4C6B8"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88610</w:t>
            </w:r>
          </w:p>
        </w:tc>
        <w:tc>
          <w:tcPr>
            <w:tcW w:w="557" w:type="dxa"/>
            <w:tcBorders>
              <w:top w:val="nil"/>
              <w:left w:val="nil"/>
              <w:bottom w:val="single" w:sz="4" w:space="0" w:color="auto"/>
              <w:right w:val="single" w:sz="4" w:space="0" w:color="auto"/>
            </w:tcBorders>
            <w:vAlign w:val="center"/>
            <w:hideMark/>
          </w:tcPr>
          <w:p w14:paraId="5DA85609"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4561</w:t>
            </w:r>
          </w:p>
        </w:tc>
        <w:tc>
          <w:tcPr>
            <w:tcW w:w="630" w:type="dxa"/>
            <w:tcBorders>
              <w:top w:val="nil"/>
              <w:left w:val="nil"/>
              <w:bottom w:val="single" w:sz="4" w:space="0" w:color="auto"/>
              <w:right w:val="single" w:sz="4" w:space="0" w:color="auto"/>
            </w:tcBorders>
            <w:vAlign w:val="center"/>
            <w:hideMark/>
          </w:tcPr>
          <w:p w14:paraId="1DF98544"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087A4E0F"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275</w:t>
            </w:r>
          </w:p>
        </w:tc>
        <w:tc>
          <w:tcPr>
            <w:tcW w:w="700" w:type="dxa"/>
            <w:tcBorders>
              <w:top w:val="nil"/>
              <w:left w:val="nil"/>
              <w:bottom w:val="single" w:sz="4" w:space="0" w:color="auto"/>
              <w:right w:val="single" w:sz="4" w:space="0" w:color="auto"/>
            </w:tcBorders>
            <w:vAlign w:val="center"/>
            <w:hideMark/>
          </w:tcPr>
          <w:p w14:paraId="57114C72"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119708</w:t>
            </w:r>
          </w:p>
        </w:tc>
        <w:tc>
          <w:tcPr>
            <w:tcW w:w="701" w:type="dxa"/>
            <w:tcBorders>
              <w:top w:val="nil"/>
              <w:left w:val="nil"/>
              <w:bottom w:val="single" w:sz="4" w:space="0" w:color="auto"/>
              <w:right w:val="single" w:sz="4" w:space="0" w:color="auto"/>
            </w:tcBorders>
            <w:vAlign w:val="center"/>
            <w:hideMark/>
          </w:tcPr>
          <w:p w14:paraId="4DAE97B1"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9522</w:t>
            </w:r>
          </w:p>
        </w:tc>
        <w:tc>
          <w:tcPr>
            <w:tcW w:w="426" w:type="dxa"/>
            <w:tcBorders>
              <w:top w:val="nil"/>
              <w:left w:val="nil"/>
              <w:bottom w:val="single" w:sz="4" w:space="0" w:color="auto"/>
              <w:right w:val="single" w:sz="4" w:space="0" w:color="auto"/>
            </w:tcBorders>
            <w:vAlign w:val="center"/>
            <w:hideMark/>
          </w:tcPr>
          <w:p w14:paraId="3DFE38D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CD689C2"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C12BEBB"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2C6CD0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FB3FEA7"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073D0B3D"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4BE4C9F9"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19515</w:t>
            </w:r>
          </w:p>
        </w:tc>
        <w:tc>
          <w:tcPr>
            <w:tcW w:w="654" w:type="dxa"/>
            <w:tcBorders>
              <w:top w:val="nil"/>
              <w:left w:val="nil"/>
              <w:bottom w:val="single" w:sz="4" w:space="0" w:color="auto"/>
              <w:right w:val="single" w:sz="4" w:space="0" w:color="auto"/>
            </w:tcBorders>
            <w:vAlign w:val="center"/>
            <w:hideMark/>
          </w:tcPr>
          <w:p w14:paraId="232532BF"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2133</w:t>
            </w:r>
          </w:p>
        </w:tc>
        <w:tc>
          <w:tcPr>
            <w:tcW w:w="536" w:type="dxa"/>
            <w:tcBorders>
              <w:top w:val="nil"/>
              <w:left w:val="nil"/>
              <w:bottom w:val="single" w:sz="4" w:space="0" w:color="auto"/>
              <w:right w:val="single" w:sz="4" w:space="0" w:color="auto"/>
            </w:tcBorders>
            <w:vAlign w:val="center"/>
            <w:hideMark/>
          </w:tcPr>
          <w:p w14:paraId="65188255"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80117</w:t>
            </w:r>
          </w:p>
        </w:tc>
        <w:tc>
          <w:tcPr>
            <w:tcW w:w="654" w:type="dxa"/>
            <w:tcBorders>
              <w:top w:val="nil"/>
              <w:left w:val="nil"/>
              <w:bottom w:val="single" w:sz="4" w:space="0" w:color="auto"/>
              <w:right w:val="single" w:sz="4" w:space="0" w:color="auto"/>
            </w:tcBorders>
            <w:vAlign w:val="center"/>
            <w:hideMark/>
          </w:tcPr>
          <w:p w14:paraId="784CD283"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13509</w:t>
            </w:r>
          </w:p>
        </w:tc>
        <w:tc>
          <w:tcPr>
            <w:tcW w:w="621" w:type="dxa"/>
            <w:tcBorders>
              <w:top w:val="nil"/>
              <w:left w:val="nil"/>
              <w:bottom w:val="single" w:sz="4" w:space="0" w:color="auto"/>
              <w:right w:val="single" w:sz="4" w:space="0" w:color="auto"/>
            </w:tcBorders>
            <w:vAlign w:val="center"/>
            <w:hideMark/>
          </w:tcPr>
          <w:p w14:paraId="3634F16A"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21591</w:t>
            </w:r>
          </w:p>
        </w:tc>
        <w:tc>
          <w:tcPr>
            <w:tcW w:w="569" w:type="dxa"/>
            <w:tcBorders>
              <w:top w:val="nil"/>
              <w:left w:val="nil"/>
              <w:bottom w:val="single" w:sz="4" w:space="0" w:color="auto"/>
              <w:right w:val="single" w:sz="4" w:space="0" w:color="auto"/>
            </w:tcBorders>
            <w:vAlign w:val="center"/>
            <w:hideMark/>
          </w:tcPr>
          <w:p w14:paraId="281E32DF"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2667</w:t>
            </w:r>
          </w:p>
        </w:tc>
        <w:tc>
          <w:tcPr>
            <w:tcW w:w="584" w:type="dxa"/>
            <w:tcBorders>
              <w:top w:val="nil"/>
              <w:left w:val="nil"/>
              <w:bottom w:val="single" w:sz="4" w:space="0" w:color="auto"/>
              <w:right w:val="single" w:sz="4" w:space="0" w:color="auto"/>
            </w:tcBorders>
            <w:vAlign w:val="center"/>
            <w:hideMark/>
          </w:tcPr>
          <w:p w14:paraId="299253CE"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88610</w:t>
            </w:r>
          </w:p>
        </w:tc>
        <w:tc>
          <w:tcPr>
            <w:tcW w:w="557" w:type="dxa"/>
            <w:tcBorders>
              <w:top w:val="nil"/>
              <w:left w:val="nil"/>
              <w:bottom w:val="single" w:sz="4" w:space="0" w:color="auto"/>
              <w:right w:val="single" w:sz="4" w:space="0" w:color="auto"/>
            </w:tcBorders>
            <w:vAlign w:val="center"/>
            <w:hideMark/>
          </w:tcPr>
          <w:p w14:paraId="6DA5C18D"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4561</w:t>
            </w:r>
          </w:p>
        </w:tc>
        <w:tc>
          <w:tcPr>
            <w:tcW w:w="630" w:type="dxa"/>
            <w:tcBorders>
              <w:top w:val="nil"/>
              <w:left w:val="nil"/>
              <w:bottom w:val="single" w:sz="4" w:space="0" w:color="auto"/>
              <w:right w:val="single" w:sz="4" w:space="0" w:color="auto"/>
            </w:tcBorders>
            <w:vAlign w:val="center"/>
            <w:hideMark/>
          </w:tcPr>
          <w:p w14:paraId="0AFF3583"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9286</w:t>
            </w:r>
          </w:p>
        </w:tc>
        <w:tc>
          <w:tcPr>
            <w:tcW w:w="540" w:type="dxa"/>
            <w:tcBorders>
              <w:top w:val="nil"/>
              <w:left w:val="nil"/>
              <w:bottom w:val="single" w:sz="4" w:space="0" w:color="auto"/>
              <w:right w:val="single" w:sz="4" w:space="0" w:color="auto"/>
            </w:tcBorders>
            <w:vAlign w:val="center"/>
            <w:hideMark/>
          </w:tcPr>
          <w:p w14:paraId="7BB49CA8"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1330</w:t>
            </w:r>
          </w:p>
        </w:tc>
        <w:tc>
          <w:tcPr>
            <w:tcW w:w="700" w:type="dxa"/>
            <w:tcBorders>
              <w:top w:val="nil"/>
              <w:left w:val="nil"/>
              <w:bottom w:val="single" w:sz="4" w:space="0" w:color="auto"/>
              <w:right w:val="single" w:sz="4" w:space="0" w:color="auto"/>
            </w:tcBorders>
            <w:vAlign w:val="center"/>
            <w:hideMark/>
          </w:tcPr>
          <w:p w14:paraId="5AEAD077"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254316</w:t>
            </w:r>
          </w:p>
        </w:tc>
        <w:tc>
          <w:tcPr>
            <w:tcW w:w="701" w:type="dxa"/>
            <w:tcBorders>
              <w:top w:val="nil"/>
              <w:left w:val="nil"/>
              <w:bottom w:val="single" w:sz="4" w:space="0" w:color="auto"/>
              <w:right w:val="single" w:sz="4" w:space="0" w:color="auto"/>
            </w:tcBorders>
            <w:vAlign w:val="center"/>
            <w:hideMark/>
          </w:tcPr>
          <w:p w14:paraId="7D4C53BF"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30619</w:t>
            </w:r>
          </w:p>
        </w:tc>
        <w:tc>
          <w:tcPr>
            <w:tcW w:w="426" w:type="dxa"/>
            <w:tcBorders>
              <w:top w:val="nil"/>
              <w:left w:val="nil"/>
              <w:bottom w:val="single" w:sz="4" w:space="0" w:color="auto"/>
              <w:right w:val="single" w:sz="4" w:space="0" w:color="auto"/>
            </w:tcBorders>
            <w:vAlign w:val="center"/>
            <w:hideMark/>
          </w:tcPr>
          <w:p w14:paraId="7435C384"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31</w:t>
            </w:r>
          </w:p>
        </w:tc>
        <w:tc>
          <w:tcPr>
            <w:tcW w:w="503" w:type="dxa"/>
            <w:tcBorders>
              <w:top w:val="nil"/>
              <w:left w:val="nil"/>
              <w:bottom w:val="single" w:sz="4" w:space="0" w:color="auto"/>
              <w:right w:val="single" w:sz="4" w:space="0" w:color="auto"/>
            </w:tcBorders>
            <w:vAlign w:val="center"/>
            <w:hideMark/>
          </w:tcPr>
          <w:p w14:paraId="4D9A85FB"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23.25</w:t>
            </w:r>
          </w:p>
        </w:tc>
      </w:tr>
      <w:tr w:rsidR="004705D2" w:rsidRPr="004705D2" w14:paraId="7506B17B"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62BEFE4"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12</w:t>
            </w:r>
          </w:p>
        </w:tc>
        <w:tc>
          <w:tcPr>
            <w:tcW w:w="808" w:type="dxa"/>
            <w:tcBorders>
              <w:top w:val="nil"/>
              <w:left w:val="nil"/>
              <w:bottom w:val="single" w:sz="4" w:space="0" w:color="auto"/>
              <w:right w:val="single" w:sz="4" w:space="0" w:color="auto"/>
            </w:tcBorders>
            <w:vAlign w:val="center"/>
            <w:hideMark/>
          </w:tcPr>
          <w:p w14:paraId="4E9EBD24"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Madhya Pradesh</w:t>
            </w:r>
          </w:p>
        </w:tc>
        <w:tc>
          <w:tcPr>
            <w:tcW w:w="777" w:type="dxa"/>
            <w:tcBorders>
              <w:top w:val="nil"/>
              <w:left w:val="nil"/>
              <w:bottom w:val="single" w:sz="4" w:space="0" w:color="auto"/>
              <w:right w:val="single" w:sz="4" w:space="0" w:color="auto"/>
            </w:tcBorders>
            <w:vAlign w:val="center"/>
            <w:hideMark/>
          </w:tcPr>
          <w:p w14:paraId="3ACAFA93"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17FBB3D8"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2301</w:t>
            </w:r>
          </w:p>
        </w:tc>
        <w:tc>
          <w:tcPr>
            <w:tcW w:w="654" w:type="dxa"/>
            <w:tcBorders>
              <w:top w:val="nil"/>
              <w:left w:val="nil"/>
              <w:bottom w:val="single" w:sz="4" w:space="0" w:color="auto"/>
              <w:right w:val="single" w:sz="4" w:space="0" w:color="auto"/>
            </w:tcBorders>
            <w:vAlign w:val="center"/>
            <w:hideMark/>
          </w:tcPr>
          <w:p w14:paraId="2E2F222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591</w:t>
            </w:r>
          </w:p>
        </w:tc>
        <w:tc>
          <w:tcPr>
            <w:tcW w:w="536" w:type="dxa"/>
            <w:tcBorders>
              <w:top w:val="nil"/>
              <w:left w:val="nil"/>
              <w:bottom w:val="single" w:sz="4" w:space="0" w:color="auto"/>
              <w:right w:val="single" w:sz="4" w:space="0" w:color="auto"/>
            </w:tcBorders>
            <w:vAlign w:val="center"/>
            <w:hideMark/>
          </w:tcPr>
          <w:p w14:paraId="613E5DA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09CAD6F"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05B65145"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8288</w:t>
            </w:r>
          </w:p>
        </w:tc>
        <w:tc>
          <w:tcPr>
            <w:tcW w:w="569" w:type="dxa"/>
            <w:tcBorders>
              <w:top w:val="nil"/>
              <w:left w:val="nil"/>
              <w:bottom w:val="single" w:sz="4" w:space="0" w:color="auto"/>
              <w:right w:val="single" w:sz="4" w:space="0" w:color="auto"/>
            </w:tcBorders>
            <w:vAlign w:val="center"/>
            <w:hideMark/>
          </w:tcPr>
          <w:p w14:paraId="3E5884A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759</w:t>
            </w:r>
          </w:p>
        </w:tc>
        <w:tc>
          <w:tcPr>
            <w:tcW w:w="584" w:type="dxa"/>
            <w:tcBorders>
              <w:top w:val="nil"/>
              <w:left w:val="nil"/>
              <w:bottom w:val="single" w:sz="4" w:space="0" w:color="auto"/>
              <w:right w:val="single" w:sz="4" w:space="0" w:color="auto"/>
            </w:tcBorders>
            <w:vAlign w:val="center"/>
            <w:hideMark/>
          </w:tcPr>
          <w:p w14:paraId="64E5EA89"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63636AE0"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7807FCCC"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657A0DC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166E7178"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19065</w:t>
            </w:r>
          </w:p>
        </w:tc>
        <w:tc>
          <w:tcPr>
            <w:tcW w:w="701" w:type="dxa"/>
            <w:tcBorders>
              <w:top w:val="nil"/>
              <w:left w:val="nil"/>
              <w:bottom w:val="single" w:sz="4" w:space="0" w:color="auto"/>
              <w:right w:val="single" w:sz="4" w:space="0" w:color="auto"/>
            </w:tcBorders>
            <w:vAlign w:val="center"/>
            <w:hideMark/>
          </w:tcPr>
          <w:p w14:paraId="2603BF98"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2240</w:t>
            </w:r>
          </w:p>
        </w:tc>
        <w:tc>
          <w:tcPr>
            <w:tcW w:w="426" w:type="dxa"/>
            <w:tcBorders>
              <w:top w:val="nil"/>
              <w:left w:val="nil"/>
              <w:bottom w:val="single" w:sz="4" w:space="0" w:color="auto"/>
              <w:right w:val="single" w:sz="4" w:space="0" w:color="auto"/>
            </w:tcBorders>
            <w:vAlign w:val="center"/>
            <w:hideMark/>
          </w:tcPr>
          <w:p w14:paraId="78D9EA2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AF7F1DE"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51CDFB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CD3A1B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7DF0926B"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12E0D0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2EB5BC33"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11257</w:t>
            </w:r>
          </w:p>
        </w:tc>
        <w:tc>
          <w:tcPr>
            <w:tcW w:w="654" w:type="dxa"/>
            <w:tcBorders>
              <w:top w:val="nil"/>
              <w:left w:val="nil"/>
              <w:bottom w:val="single" w:sz="4" w:space="0" w:color="auto"/>
              <w:right w:val="single" w:sz="4" w:space="0" w:color="auto"/>
            </w:tcBorders>
            <w:vAlign w:val="center"/>
            <w:hideMark/>
          </w:tcPr>
          <w:p w14:paraId="0D01CC6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1138</w:t>
            </w:r>
          </w:p>
        </w:tc>
        <w:tc>
          <w:tcPr>
            <w:tcW w:w="536" w:type="dxa"/>
            <w:tcBorders>
              <w:top w:val="nil"/>
              <w:left w:val="nil"/>
              <w:bottom w:val="single" w:sz="4" w:space="0" w:color="auto"/>
              <w:right w:val="single" w:sz="4" w:space="0" w:color="auto"/>
            </w:tcBorders>
            <w:vAlign w:val="center"/>
            <w:hideMark/>
          </w:tcPr>
          <w:p w14:paraId="190AE655"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27742</w:t>
            </w:r>
          </w:p>
        </w:tc>
        <w:tc>
          <w:tcPr>
            <w:tcW w:w="654" w:type="dxa"/>
            <w:tcBorders>
              <w:top w:val="nil"/>
              <w:left w:val="nil"/>
              <w:bottom w:val="single" w:sz="4" w:space="0" w:color="auto"/>
              <w:right w:val="single" w:sz="4" w:space="0" w:color="auto"/>
            </w:tcBorders>
            <w:vAlign w:val="center"/>
            <w:hideMark/>
          </w:tcPr>
          <w:p w14:paraId="523301BA"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5111</w:t>
            </w:r>
          </w:p>
        </w:tc>
        <w:tc>
          <w:tcPr>
            <w:tcW w:w="621" w:type="dxa"/>
            <w:tcBorders>
              <w:top w:val="nil"/>
              <w:left w:val="nil"/>
              <w:bottom w:val="single" w:sz="4" w:space="0" w:color="auto"/>
              <w:right w:val="single" w:sz="4" w:space="0" w:color="auto"/>
            </w:tcBorders>
            <w:vAlign w:val="center"/>
            <w:hideMark/>
          </w:tcPr>
          <w:p w14:paraId="09D614EA"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15449</w:t>
            </w:r>
          </w:p>
        </w:tc>
        <w:tc>
          <w:tcPr>
            <w:tcW w:w="569" w:type="dxa"/>
            <w:tcBorders>
              <w:top w:val="nil"/>
              <w:left w:val="nil"/>
              <w:bottom w:val="single" w:sz="4" w:space="0" w:color="auto"/>
              <w:right w:val="single" w:sz="4" w:space="0" w:color="auto"/>
            </w:tcBorders>
            <w:vAlign w:val="center"/>
            <w:hideMark/>
          </w:tcPr>
          <w:p w14:paraId="74ED0E66"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2270</w:t>
            </w:r>
          </w:p>
        </w:tc>
        <w:tc>
          <w:tcPr>
            <w:tcW w:w="584" w:type="dxa"/>
            <w:tcBorders>
              <w:top w:val="nil"/>
              <w:left w:val="nil"/>
              <w:bottom w:val="single" w:sz="4" w:space="0" w:color="auto"/>
              <w:right w:val="single" w:sz="4" w:space="0" w:color="auto"/>
            </w:tcBorders>
            <w:vAlign w:val="center"/>
            <w:hideMark/>
          </w:tcPr>
          <w:p w14:paraId="454E6481"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44124</w:t>
            </w:r>
          </w:p>
        </w:tc>
        <w:tc>
          <w:tcPr>
            <w:tcW w:w="557" w:type="dxa"/>
            <w:tcBorders>
              <w:top w:val="nil"/>
              <w:left w:val="nil"/>
              <w:bottom w:val="single" w:sz="4" w:space="0" w:color="auto"/>
              <w:right w:val="single" w:sz="4" w:space="0" w:color="auto"/>
            </w:tcBorders>
            <w:vAlign w:val="center"/>
            <w:hideMark/>
          </w:tcPr>
          <w:p w14:paraId="6B726FA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7405</w:t>
            </w:r>
          </w:p>
        </w:tc>
        <w:tc>
          <w:tcPr>
            <w:tcW w:w="630" w:type="dxa"/>
            <w:tcBorders>
              <w:top w:val="nil"/>
              <w:left w:val="nil"/>
              <w:bottom w:val="single" w:sz="4" w:space="0" w:color="auto"/>
              <w:right w:val="single" w:sz="4" w:space="0" w:color="auto"/>
            </w:tcBorders>
            <w:vAlign w:val="center"/>
            <w:hideMark/>
          </w:tcPr>
          <w:p w14:paraId="2032E5EA"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29712</w:t>
            </w:r>
          </w:p>
        </w:tc>
        <w:tc>
          <w:tcPr>
            <w:tcW w:w="540" w:type="dxa"/>
            <w:tcBorders>
              <w:top w:val="nil"/>
              <w:left w:val="nil"/>
              <w:bottom w:val="single" w:sz="4" w:space="0" w:color="auto"/>
              <w:right w:val="single" w:sz="4" w:space="0" w:color="auto"/>
            </w:tcBorders>
            <w:vAlign w:val="center"/>
            <w:hideMark/>
          </w:tcPr>
          <w:p w14:paraId="5BAAFFF9"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4721</w:t>
            </w:r>
          </w:p>
        </w:tc>
        <w:tc>
          <w:tcPr>
            <w:tcW w:w="700" w:type="dxa"/>
            <w:tcBorders>
              <w:top w:val="nil"/>
              <w:left w:val="nil"/>
              <w:bottom w:val="single" w:sz="4" w:space="0" w:color="auto"/>
              <w:right w:val="single" w:sz="4" w:space="0" w:color="auto"/>
            </w:tcBorders>
            <w:vAlign w:val="center"/>
            <w:hideMark/>
          </w:tcPr>
          <w:p w14:paraId="4A2AD59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170408</w:t>
            </w:r>
          </w:p>
        </w:tc>
        <w:tc>
          <w:tcPr>
            <w:tcW w:w="701" w:type="dxa"/>
            <w:tcBorders>
              <w:top w:val="nil"/>
              <w:left w:val="nil"/>
              <w:bottom w:val="single" w:sz="4" w:space="0" w:color="auto"/>
              <w:right w:val="single" w:sz="4" w:space="0" w:color="auto"/>
            </w:tcBorders>
            <w:vAlign w:val="center"/>
            <w:hideMark/>
          </w:tcPr>
          <w:p w14:paraId="6851BFED"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34043</w:t>
            </w:r>
          </w:p>
        </w:tc>
        <w:tc>
          <w:tcPr>
            <w:tcW w:w="426" w:type="dxa"/>
            <w:tcBorders>
              <w:top w:val="nil"/>
              <w:left w:val="nil"/>
              <w:bottom w:val="single" w:sz="4" w:space="0" w:color="auto"/>
              <w:right w:val="single" w:sz="4" w:space="0" w:color="auto"/>
            </w:tcBorders>
            <w:vAlign w:val="center"/>
            <w:hideMark/>
          </w:tcPr>
          <w:p w14:paraId="233CC369"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6D216497"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5550AC6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FBED72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74FE58E"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5F2646E2"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5A7A452F"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13558</w:t>
            </w:r>
          </w:p>
        </w:tc>
        <w:tc>
          <w:tcPr>
            <w:tcW w:w="654" w:type="dxa"/>
            <w:tcBorders>
              <w:top w:val="nil"/>
              <w:left w:val="nil"/>
              <w:bottom w:val="single" w:sz="4" w:space="0" w:color="auto"/>
              <w:right w:val="single" w:sz="4" w:space="0" w:color="auto"/>
            </w:tcBorders>
            <w:vAlign w:val="center"/>
            <w:hideMark/>
          </w:tcPr>
          <w:p w14:paraId="1FBD0A4C"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1729</w:t>
            </w:r>
          </w:p>
        </w:tc>
        <w:tc>
          <w:tcPr>
            <w:tcW w:w="536" w:type="dxa"/>
            <w:tcBorders>
              <w:top w:val="nil"/>
              <w:left w:val="nil"/>
              <w:bottom w:val="single" w:sz="4" w:space="0" w:color="auto"/>
              <w:right w:val="single" w:sz="4" w:space="0" w:color="auto"/>
            </w:tcBorders>
            <w:vAlign w:val="center"/>
            <w:hideMark/>
          </w:tcPr>
          <w:p w14:paraId="3240C081"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27742</w:t>
            </w:r>
          </w:p>
        </w:tc>
        <w:tc>
          <w:tcPr>
            <w:tcW w:w="654" w:type="dxa"/>
            <w:tcBorders>
              <w:top w:val="nil"/>
              <w:left w:val="nil"/>
              <w:bottom w:val="single" w:sz="4" w:space="0" w:color="auto"/>
              <w:right w:val="single" w:sz="4" w:space="0" w:color="auto"/>
            </w:tcBorders>
            <w:vAlign w:val="center"/>
            <w:hideMark/>
          </w:tcPr>
          <w:p w14:paraId="7925E5DC"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5111</w:t>
            </w:r>
          </w:p>
        </w:tc>
        <w:tc>
          <w:tcPr>
            <w:tcW w:w="621" w:type="dxa"/>
            <w:tcBorders>
              <w:top w:val="nil"/>
              <w:left w:val="nil"/>
              <w:bottom w:val="single" w:sz="4" w:space="0" w:color="auto"/>
              <w:right w:val="single" w:sz="4" w:space="0" w:color="auto"/>
            </w:tcBorders>
            <w:vAlign w:val="center"/>
            <w:hideMark/>
          </w:tcPr>
          <w:p w14:paraId="3DF01053"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23737</w:t>
            </w:r>
          </w:p>
        </w:tc>
        <w:tc>
          <w:tcPr>
            <w:tcW w:w="569" w:type="dxa"/>
            <w:tcBorders>
              <w:top w:val="nil"/>
              <w:left w:val="nil"/>
              <w:bottom w:val="single" w:sz="4" w:space="0" w:color="auto"/>
              <w:right w:val="single" w:sz="4" w:space="0" w:color="auto"/>
            </w:tcBorders>
            <w:vAlign w:val="center"/>
            <w:hideMark/>
          </w:tcPr>
          <w:p w14:paraId="3DAF0D1B"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3029</w:t>
            </w:r>
          </w:p>
        </w:tc>
        <w:tc>
          <w:tcPr>
            <w:tcW w:w="584" w:type="dxa"/>
            <w:tcBorders>
              <w:top w:val="nil"/>
              <w:left w:val="nil"/>
              <w:bottom w:val="single" w:sz="4" w:space="0" w:color="auto"/>
              <w:right w:val="single" w:sz="4" w:space="0" w:color="auto"/>
            </w:tcBorders>
            <w:vAlign w:val="center"/>
            <w:hideMark/>
          </w:tcPr>
          <w:p w14:paraId="7F968D30"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44124</w:t>
            </w:r>
          </w:p>
        </w:tc>
        <w:tc>
          <w:tcPr>
            <w:tcW w:w="557" w:type="dxa"/>
            <w:tcBorders>
              <w:top w:val="nil"/>
              <w:left w:val="nil"/>
              <w:bottom w:val="single" w:sz="4" w:space="0" w:color="auto"/>
              <w:right w:val="single" w:sz="4" w:space="0" w:color="auto"/>
            </w:tcBorders>
            <w:vAlign w:val="center"/>
            <w:hideMark/>
          </w:tcPr>
          <w:p w14:paraId="4DB3561C"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7405</w:t>
            </w:r>
          </w:p>
        </w:tc>
        <w:tc>
          <w:tcPr>
            <w:tcW w:w="630" w:type="dxa"/>
            <w:tcBorders>
              <w:top w:val="nil"/>
              <w:left w:val="nil"/>
              <w:bottom w:val="single" w:sz="4" w:space="0" w:color="auto"/>
              <w:right w:val="single" w:sz="4" w:space="0" w:color="auto"/>
            </w:tcBorders>
            <w:vAlign w:val="center"/>
            <w:hideMark/>
          </w:tcPr>
          <w:p w14:paraId="73FB4AC2"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29712</w:t>
            </w:r>
          </w:p>
        </w:tc>
        <w:tc>
          <w:tcPr>
            <w:tcW w:w="540" w:type="dxa"/>
            <w:tcBorders>
              <w:top w:val="nil"/>
              <w:left w:val="nil"/>
              <w:bottom w:val="single" w:sz="4" w:space="0" w:color="auto"/>
              <w:right w:val="single" w:sz="4" w:space="0" w:color="auto"/>
            </w:tcBorders>
            <w:vAlign w:val="center"/>
            <w:hideMark/>
          </w:tcPr>
          <w:p w14:paraId="0A6FE579"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4721</w:t>
            </w:r>
          </w:p>
        </w:tc>
        <w:tc>
          <w:tcPr>
            <w:tcW w:w="700" w:type="dxa"/>
            <w:tcBorders>
              <w:top w:val="nil"/>
              <w:left w:val="nil"/>
              <w:bottom w:val="single" w:sz="4" w:space="0" w:color="auto"/>
              <w:right w:val="single" w:sz="4" w:space="0" w:color="auto"/>
            </w:tcBorders>
            <w:vAlign w:val="center"/>
            <w:hideMark/>
          </w:tcPr>
          <w:p w14:paraId="01C30324"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189473</w:t>
            </w:r>
          </w:p>
        </w:tc>
        <w:tc>
          <w:tcPr>
            <w:tcW w:w="701" w:type="dxa"/>
            <w:tcBorders>
              <w:top w:val="nil"/>
              <w:left w:val="nil"/>
              <w:bottom w:val="single" w:sz="4" w:space="0" w:color="auto"/>
              <w:right w:val="single" w:sz="4" w:space="0" w:color="auto"/>
            </w:tcBorders>
            <w:vAlign w:val="center"/>
            <w:hideMark/>
          </w:tcPr>
          <w:p w14:paraId="315C27B0"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36283</w:t>
            </w:r>
          </w:p>
        </w:tc>
        <w:tc>
          <w:tcPr>
            <w:tcW w:w="426" w:type="dxa"/>
            <w:tcBorders>
              <w:top w:val="nil"/>
              <w:left w:val="nil"/>
              <w:bottom w:val="single" w:sz="4" w:space="0" w:color="auto"/>
              <w:right w:val="single" w:sz="4" w:space="0" w:color="auto"/>
            </w:tcBorders>
            <w:vAlign w:val="center"/>
            <w:hideMark/>
          </w:tcPr>
          <w:p w14:paraId="376B59D7"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37</w:t>
            </w:r>
          </w:p>
        </w:tc>
        <w:tc>
          <w:tcPr>
            <w:tcW w:w="503" w:type="dxa"/>
            <w:tcBorders>
              <w:top w:val="nil"/>
              <w:left w:val="nil"/>
              <w:bottom w:val="single" w:sz="4" w:space="0" w:color="auto"/>
              <w:right w:val="single" w:sz="4" w:space="0" w:color="auto"/>
            </w:tcBorders>
            <w:vAlign w:val="center"/>
            <w:hideMark/>
          </w:tcPr>
          <w:p w14:paraId="2C6261DA"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27.75</w:t>
            </w:r>
          </w:p>
        </w:tc>
      </w:tr>
      <w:tr w:rsidR="004705D2" w:rsidRPr="004705D2" w14:paraId="0ADA309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2F1EA52"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13</w:t>
            </w:r>
          </w:p>
        </w:tc>
        <w:tc>
          <w:tcPr>
            <w:tcW w:w="808" w:type="dxa"/>
            <w:tcBorders>
              <w:top w:val="nil"/>
              <w:left w:val="nil"/>
              <w:bottom w:val="single" w:sz="4" w:space="0" w:color="auto"/>
              <w:right w:val="single" w:sz="4" w:space="0" w:color="auto"/>
            </w:tcBorders>
            <w:vAlign w:val="center"/>
            <w:hideMark/>
          </w:tcPr>
          <w:p w14:paraId="65B70089"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Maharashtra</w:t>
            </w:r>
          </w:p>
        </w:tc>
        <w:tc>
          <w:tcPr>
            <w:tcW w:w="777" w:type="dxa"/>
            <w:tcBorders>
              <w:top w:val="nil"/>
              <w:left w:val="nil"/>
              <w:bottom w:val="single" w:sz="4" w:space="0" w:color="auto"/>
              <w:right w:val="single" w:sz="4" w:space="0" w:color="auto"/>
            </w:tcBorders>
            <w:vAlign w:val="center"/>
            <w:hideMark/>
          </w:tcPr>
          <w:p w14:paraId="389C832D"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67613567"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74AAB6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269D5E7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3621</w:t>
            </w:r>
          </w:p>
        </w:tc>
        <w:tc>
          <w:tcPr>
            <w:tcW w:w="654" w:type="dxa"/>
            <w:tcBorders>
              <w:top w:val="nil"/>
              <w:left w:val="nil"/>
              <w:bottom w:val="single" w:sz="4" w:space="0" w:color="auto"/>
              <w:right w:val="single" w:sz="4" w:space="0" w:color="auto"/>
            </w:tcBorders>
            <w:vAlign w:val="center"/>
            <w:hideMark/>
          </w:tcPr>
          <w:p w14:paraId="7E3EA85D"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1420</w:t>
            </w:r>
          </w:p>
        </w:tc>
        <w:tc>
          <w:tcPr>
            <w:tcW w:w="621" w:type="dxa"/>
            <w:tcBorders>
              <w:top w:val="nil"/>
              <w:left w:val="nil"/>
              <w:bottom w:val="single" w:sz="4" w:space="0" w:color="auto"/>
              <w:right w:val="single" w:sz="4" w:space="0" w:color="auto"/>
            </w:tcBorders>
            <w:vAlign w:val="center"/>
            <w:hideMark/>
          </w:tcPr>
          <w:p w14:paraId="44CDF883"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2029</w:t>
            </w:r>
          </w:p>
        </w:tc>
        <w:tc>
          <w:tcPr>
            <w:tcW w:w="569" w:type="dxa"/>
            <w:tcBorders>
              <w:top w:val="nil"/>
              <w:left w:val="nil"/>
              <w:bottom w:val="single" w:sz="4" w:space="0" w:color="auto"/>
              <w:right w:val="single" w:sz="4" w:space="0" w:color="auto"/>
            </w:tcBorders>
            <w:vAlign w:val="center"/>
            <w:hideMark/>
          </w:tcPr>
          <w:p w14:paraId="2CC395D4"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600</w:t>
            </w:r>
          </w:p>
        </w:tc>
        <w:tc>
          <w:tcPr>
            <w:tcW w:w="584" w:type="dxa"/>
            <w:tcBorders>
              <w:top w:val="nil"/>
              <w:left w:val="nil"/>
              <w:bottom w:val="single" w:sz="4" w:space="0" w:color="auto"/>
              <w:right w:val="single" w:sz="4" w:space="0" w:color="auto"/>
            </w:tcBorders>
            <w:vAlign w:val="center"/>
            <w:hideMark/>
          </w:tcPr>
          <w:p w14:paraId="6657B07E"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4D1AC0BE"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1661133D"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17496</w:t>
            </w:r>
          </w:p>
        </w:tc>
        <w:tc>
          <w:tcPr>
            <w:tcW w:w="540" w:type="dxa"/>
            <w:tcBorders>
              <w:top w:val="nil"/>
              <w:left w:val="nil"/>
              <w:bottom w:val="single" w:sz="4" w:space="0" w:color="auto"/>
              <w:right w:val="single" w:sz="4" w:space="0" w:color="auto"/>
            </w:tcBorders>
            <w:vAlign w:val="center"/>
            <w:hideMark/>
          </w:tcPr>
          <w:p w14:paraId="252BD95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2197</w:t>
            </w:r>
          </w:p>
        </w:tc>
        <w:tc>
          <w:tcPr>
            <w:tcW w:w="700" w:type="dxa"/>
            <w:tcBorders>
              <w:top w:val="nil"/>
              <w:left w:val="nil"/>
              <w:bottom w:val="single" w:sz="4" w:space="0" w:color="auto"/>
              <w:right w:val="single" w:sz="4" w:space="0" w:color="auto"/>
            </w:tcBorders>
            <w:vAlign w:val="center"/>
            <w:hideMark/>
          </w:tcPr>
          <w:p w14:paraId="1E3C96D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33730</w:t>
            </w:r>
          </w:p>
        </w:tc>
        <w:tc>
          <w:tcPr>
            <w:tcW w:w="701" w:type="dxa"/>
            <w:tcBorders>
              <w:top w:val="nil"/>
              <w:left w:val="nil"/>
              <w:bottom w:val="single" w:sz="4" w:space="0" w:color="auto"/>
              <w:right w:val="single" w:sz="4" w:space="0" w:color="auto"/>
            </w:tcBorders>
            <w:vAlign w:val="center"/>
            <w:hideMark/>
          </w:tcPr>
          <w:p w14:paraId="1573D2EF"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6685</w:t>
            </w:r>
          </w:p>
        </w:tc>
        <w:tc>
          <w:tcPr>
            <w:tcW w:w="426" w:type="dxa"/>
            <w:tcBorders>
              <w:top w:val="nil"/>
              <w:left w:val="nil"/>
              <w:bottom w:val="single" w:sz="4" w:space="0" w:color="auto"/>
              <w:right w:val="single" w:sz="4" w:space="0" w:color="auto"/>
            </w:tcBorders>
            <w:vAlign w:val="center"/>
            <w:hideMark/>
          </w:tcPr>
          <w:p w14:paraId="176FD4F9"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84A0623"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4968E1C"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F874D2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34A79667"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C41C0F7"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21948B84"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12132</w:t>
            </w:r>
          </w:p>
        </w:tc>
        <w:tc>
          <w:tcPr>
            <w:tcW w:w="654" w:type="dxa"/>
            <w:tcBorders>
              <w:top w:val="nil"/>
              <w:left w:val="nil"/>
              <w:bottom w:val="single" w:sz="4" w:space="0" w:color="auto"/>
              <w:right w:val="single" w:sz="4" w:space="0" w:color="auto"/>
            </w:tcBorders>
            <w:vAlign w:val="center"/>
            <w:hideMark/>
          </w:tcPr>
          <w:p w14:paraId="5AB8FAE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3182</w:t>
            </w:r>
          </w:p>
        </w:tc>
        <w:tc>
          <w:tcPr>
            <w:tcW w:w="536" w:type="dxa"/>
            <w:tcBorders>
              <w:top w:val="nil"/>
              <w:left w:val="nil"/>
              <w:bottom w:val="single" w:sz="4" w:space="0" w:color="auto"/>
              <w:right w:val="single" w:sz="4" w:space="0" w:color="auto"/>
            </w:tcBorders>
            <w:vAlign w:val="center"/>
            <w:hideMark/>
          </w:tcPr>
          <w:p w14:paraId="057D5EDC"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49894</w:t>
            </w:r>
          </w:p>
        </w:tc>
        <w:tc>
          <w:tcPr>
            <w:tcW w:w="654" w:type="dxa"/>
            <w:tcBorders>
              <w:top w:val="nil"/>
              <w:left w:val="nil"/>
              <w:bottom w:val="single" w:sz="4" w:space="0" w:color="auto"/>
              <w:right w:val="single" w:sz="4" w:space="0" w:color="auto"/>
            </w:tcBorders>
            <w:vAlign w:val="center"/>
            <w:hideMark/>
          </w:tcPr>
          <w:p w14:paraId="35ACDE96"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6556</w:t>
            </w:r>
          </w:p>
        </w:tc>
        <w:tc>
          <w:tcPr>
            <w:tcW w:w="621" w:type="dxa"/>
            <w:tcBorders>
              <w:top w:val="nil"/>
              <w:left w:val="nil"/>
              <w:bottom w:val="single" w:sz="4" w:space="0" w:color="auto"/>
              <w:right w:val="single" w:sz="4" w:space="0" w:color="auto"/>
            </w:tcBorders>
            <w:vAlign w:val="center"/>
            <w:hideMark/>
          </w:tcPr>
          <w:p w14:paraId="43E3F0F7"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55301</w:t>
            </w:r>
          </w:p>
        </w:tc>
        <w:tc>
          <w:tcPr>
            <w:tcW w:w="569" w:type="dxa"/>
            <w:tcBorders>
              <w:top w:val="nil"/>
              <w:left w:val="nil"/>
              <w:bottom w:val="single" w:sz="4" w:space="0" w:color="auto"/>
              <w:right w:val="single" w:sz="4" w:space="0" w:color="auto"/>
            </w:tcBorders>
            <w:vAlign w:val="center"/>
            <w:hideMark/>
          </w:tcPr>
          <w:p w14:paraId="1AA010B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9576</w:t>
            </w:r>
          </w:p>
        </w:tc>
        <w:tc>
          <w:tcPr>
            <w:tcW w:w="584" w:type="dxa"/>
            <w:tcBorders>
              <w:top w:val="nil"/>
              <w:left w:val="nil"/>
              <w:bottom w:val="single" w:sz="4" w:space="0" w:color="auto"/>
              <w:right w:val="single" w:sz="4" w:space="0" w:color="auto"/>
            </w:tcBorders>
            <w:vAlign w:val="center"/>
            <w:hideMark/>
          </w:tcPr>
          <w:p w14:paraId="09AE2648"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41465</w:t>
            </w:r>
          </w:p>
        </w:tc>
        <w:tc>
          <w:tcPr>
            <w:tcW w:w="557" w:type="dxa"/>
            <w:tcBorders>
              <w:top w:val="nil"/>
              <w:left w:val="nil"/>
              <w:bottom w:val="single" w:sz="4" w:space="0" w:color="auto"/>
              <w:right w:val="single" w:sz="4" w:space="0" w:color="auto"/>
            </w:tcBorders>
            <w:vAlign w:val="center"/>
            <w:hideMark/>
          </w:tcPr>
          <w:p w14:paraId="78FF5DE9"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5899</w:t>
            </w:r>
          </w:p>
        </w:tc>
        <w:tc>
          <w:tcPr>
            <w:tcW w:w="630" w:type="dxa"/>
            <w:tcBorders>
              <w:top w:val="nil"/>
              <w:left w:val="nil"/>
              <w:bottom w:val="single" w:sz="4" w:space="0" w:color="auto"/>
              <w:right w:val="single" w:sz="4" w:space="0" w:color="auto"/>
            </w:tcBorders>
            <w:vAlign w:val="center"/>
            <w:hideMark/>
          </w:tcPr>
          <w:p w14:paraId="77C2B7F7"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17751</w:t>
            </w:r>
          </w:p>
        </w:tc>
        <w:tc>
          <w:tcPr>
            <w:tcW w:w="540" w:type="dxa"/>
            <w:tcBorders>
              <w:top w:val="nil"/>
              <w:left w:val="nil"/>
              <w:bottom w:val="single" w:sz="4" w:space="0" w:color="auto"/>
              <w:right w:val="single" w:sz="4" w:space="0" w:color="auto"/>
            </w:tcBorders>
            <w:vAlign w:val="center"/>
            <w:hideMark/>
          </w:tcPr>
          <w:p w14:paraId="0418768B"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2732</w:t>
            </w:r>
          </w:p>
        </w:tc>
        <w:tc>
          <w:tcPr>
            <w:tcW w:w="700" w:type="dxa"/>
            <w:tcBorders>
              <w:top w:val="nil"/>
              <w:left w:val="nil"/>
              <w:bottom w:val="single" w:sz="4" w:space="0" w:color="auto"/>
              <w:right w:val="single" w:sz="4" w:space="0" w:color="auto"/>
            </w:tcBorders>
            <w:vAlign w:val="center"/>
            <w:hideMark/>
          </w:tcPr>
          <w:p w14:paraId="3988770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200361</w:t>
            </w:r>
          </w:p>
        </w:tc>
        <w:tc>
          <w:tcPr>
            <w:tcW w:w="701" w:type="dxa"/>
            <w:tcBorders>
              <w:top w:val="nil"/>
              <w:left w:val="nil"/>
              <w:bottom w:val="single" w:sz="4" w:space="0" w:color="auto"/>
              <w:right w:val="single" w:sz="4" w:space="0" w:color="auto"/>
            </w:tcBorders>
            <w:vAlign w:val="center"/>
            <w:hideMark/>
          </w:tcPr>
          <w:p w14:paraId="434C35A5"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37276</w:t>
            </w:r>
          </w:p>
        </w:tc>
        <w:tc>
          <w:tcPr>
            <w:tcW w:w="426" w:type="dxa"/>
            <w:tcBorders>
              <w:top w:val="nil"/>
              <w:left w:val="nil"/>
              <w:bottom w:val="single" w:sz="4" w:space="0" w:color="auto"/>
              <w:right w:val="single" w:sz="4" w:space="0" w:color="auto"/>
            </w:tcBorders>
            <w:vAlign w:val="center"/>
            <w:hideMark/>
          </w:tcPr>
          <w:p w14:paraId="5DB2C173"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DB42FB2"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9CBC7B3"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4ED6CF3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21D770EE"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114240A"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5CB77BB5"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12132</w:t>
            </w:r>
          </w:p>
        </w:tc>
        <w:tc>
          <w:tcPr>
            <w:tcW w:w="654" w:type="dxa"/>
            <w:tcBorders>
              <w:top w:val="nil"/>
              <w:left w:val="nil"/>
              <w:bottom w:val="single" w:sz="4" w:space="0" w:color="auto"/>
              <w:right w:val="single" w:sz="4" w:space="0" w:color="auto"/>
            </w:tcBorders>
            <w:vAlign w:val="center"/>
            <w:hideMark/>
          </w:tcPr>
          <w:p w14:paraId="0611B410"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3182</w:t>
            </w:r>
          </w:p>
        </w:tc>
        <w:tc>
          <w:tcPr>
            <w:tcW w:w="536" w:type="dxa"/>
            <w:tcBorders>
              <w:top w:val="nil"/>
              <w:left w:val="nil"/>
              <w:bottom w:val="single" w:sz="4" w:space="0" w:color="auto"/>
              <w:right w:val="single" w:sz="4" w:space="0" w:color="auto"/>
            </w:tcBorders>
            <w:vAlign w:val="center"/>
            <w:hideMark/>
          </w:tcPr>
          <w:p w14:paraId="70356D1A"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53515</w:t>
            </w:r>
          </w:p>
        </w:tc>
        <w:tc>
          <w:tcPr>
            <w:tcW w:w="654" w:type="dxa"/>
            <w:tcBorders>
              <w:top w:val="nil"/>
              <w:left w:val="nil"/>
              <w:bottom w:val="single" w:sz="4" w:space="0" w:color="auto"/>
              <w:right w:val="single" w:sz="4" w:space="0" w:color="auto"/>
            </w:tcBorders>
            <w:vAlign w:val="center"/>
            <w:hideMark/>
          </w:tcPr>
          <w:p w14:paraId="4CA76D7D"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7976</w:t>
            </w:r>
          </w:p>
        </w:tc>
        <w:tc>
          <w:tcPr>
            <w:tcW w:w="621" w:type="dxa"/>
            <w:tcBorders>
              <w:top w:val="nil"/>
              <w:left w:val="nil"/>
              <w:bottom w:val="single" w:sz="4" w:space="0" w:color="auto"/>
              <w:right w:val="single" w:sz="4" w:space="0" w:color="auto"/>
            </w:tcBorders>
            <w:vAlign w:val="center"/>
            <w:hideMark/>
          </w:tcPr>
          <w:p w14:paraId="4E2035BE"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57330</w:t>
            </w:r>
          </w:p>
        </w:tc>
        <w:tc>
          <w:tcPr>
            <w:tcW w:w="569" w:type="dxa"/>
            <w:tcBorders>
              <w:top w:val="nil"/>
              <w:left w:val="nil"/>
              <w:bottom w:val="single" w:sz="4" w:space="0" w:color="auto"/>
              <w:right w:val="single" w:sz="4" w:space="0" w:color="auto"/>
            </w:tcBorders>
            <w:vAlign w:val="center"/>
            <w:hideMark/>
          </w:tcPr>
          <w:p w14:paraId="44BA91FD"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10176</w:t>
            </w:r>
          </w:p>
        </w:tc>
        <w:tc>
          <w:tcPr>
            <w:tcW w:w="584" w:type="dxa"/>
            <w:tcBorders>
              <w:top w:val="nil"/>
              <w:left w:val="nil"/>
              <w:bottom w:val="single" w:sz="4" w:space="0" w:color="auto"/>
              <w:right w:val="single" w:sz="4" w:space="0" w:color="auto"/>
            </w:tcBorders>
            <w:vAlign w:val="center"/>
            <w:hideMark/>
          </w:tcPr>
          <w:p w14:paraId="447F7A31"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41465</w:t>
            </w:r>
          </w:p>
        </w:tc>
        <w:tc>
          <w:tcPr>
            <w:tcW w:w="557" w:type="dxa"/>
            <w:tcBorders>
              <w:top w:val="nil"/>
              <w:left w:val="nil"/>
              <w:bottom w:val="single" w:sz="4" w:space="0" w:color="auto"/>
              <w:right w:val="single" w:sz="4" w:space="0" w:color="auto"/>
            </w:tcBorders>
            <w:vAlign w:val="center"/>
            <w:hideMark/>
          </w:tcPr>
          <w:p w14:paraId="697F7720"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5899</w:t>
            </w:r>
          </w:p>
        </w:tc>
        <w:tc>
          <w:tcPr>
            <w:tcW w:w="630" w:type="dxa"/>
            <w:tcBorders>
              <w:top w:val="nil"/>
              <w:left w:val="nil"/>
              <w:bottom w:val="single" w:sz="4" w:space="0" w:color="auto"/>
              <w:right w:val="single" w:sz="4" w:space="0" w:color="auto"/>
            </w:tcBorders>
            <w:vAlign w:val="center"/>
            <w:hideMark/>
          </w:tcPr>
          <w:p w14:paraId="5A09F1D9"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35247</w:t>
            </w:r>
          </w:p>
        </w:tc>
        <w:tc>
          <w:tcPr>
            <w:tcW w:w="540" w:type="dxa"/>
            <w:tcBorders>
              <w:top w:val="nil"/>
              <w:left w:val="nil"/>
              <w:bottom w:val="single" w:sz="4" w:space="0" w:color="auto"/>
              <w:right w:val="single" w:sz="4" w:space="0" w:color="auto"/>
            </w:tcBorders>
            <w:vAlign w:val="center"/>
            <w:hideMark/>
          </w:tcPr>
          <w:p w14:paraId="4A8FE8E6"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4929</w:t>
            </w:r>
          </w:p>
        </w:tc>
        <w:tc>
          <w:tcPr>
            <w:tcW w:w="700" w:type="dxa"/>
            <w:tcBorders>
              <w:top w:val="nil"/>
              <w:left w:val="nil"/>
              <w:bottom w:val="single" w:sz="4" w:space="0" w:color="auto"/>
              <w:right w:val="single" w:sz="4" w:space="0" w:color="auto"/>
            </w:tcBorders>
            <w:vAlign w:val="center"/>
            <w:hideMark/>
          </w:tcPr>
          <w:p w14:paraId="0DE69BF2"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234091</w:t>
            </w:r>
          </w:p>
        </w:tc>
        <w:tc>
          <w:tcPr>
            <w:tcW w:w="701" w:type="dxa"/>
            <w:tcBorders>
              <w:top w:val="nil"/>
              <w:left w:val="nil"/>
              <w:bottom w:val="single" w:sz="4" w:space="0" w:color="auto"/>
              <w:right w:val="single" w:sz="4" w:space="0" w:color="auto"/>
            </w:tcBorders>
            <w:vAlign w:val="center"/>
            <w:hideMark/>
          </w:tcPr>
          <w:p w14:paraId="62F944F7"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43961</w:t>
            </w:r>
          </w:p>
        </w:tc>
        <w:tc>
          <w:tcPr>
            <w:tcW w:w="426" w:type="dxa"/>
            <w:tcBorders>
              <w:top w:val="nil"/>
              <w:left w:val="nil"/>
              <w:bottom w:val="single" w:sz="4" w:space="0" w:color="auto"/>
              <w:right w:val="single" w:sz="4" w:space="0" w:color="auto"/>
            </w:tcBorders>
            <w:vAlign w:val="center"/>
            <w:hideMark/>
          </w:tcPr>
          <w:p w14:paraId="0FD79E76"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44</w:t>
            </w:r>
          </w:p>
        </w:tc>
        <w:tc>
          <w:tcPr>
            <w:tcW w:w="503" w:type="dxa"/>
            <w:tcBorders>
              <w:top w:val="nil"/>
              <w:left w:val="nil"/>
              <w:bottom w:val="single" w:sz="4" w:space="0" w:color="auto"/>
              <w:right w:val="single" w:sz="4" w:space="0" w:color="auto"/>
            </w:tcBorders>
            <w:vAlign w:val="center"/>
            <w:hideMark/>
          </w:tcPr>
          <w:p w14:paraId="5DE6C977"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33</w:t>
            </w:r>
          </w:p>
        </w:tc>
      </w:tr>
      <w:tr w:rsidR="004705D2" w:rsidRPr="004705D2" w14:paraId="5D88B158"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9B90655"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14</w:t>
            </w:r>
          </w:p>
        </w:tc>
        <w:tc>
          <w:tcPr>
            <w:tcW w:w="808" w:type="dxa"/>
            <w:tcBorders>
              <w:top w:val="nil"/>
              <w:left w:val="nil"/>
              <w:bottom w:val="single" w:sz="4" w:space="0" w:color="auto"/>
              <w:right w:val="single" w:sz="4" w:space="0" w:color="auto"/>
            </w:tcBorders>
            <w:vAlign w:val="center"/>
            <w:hideMark/>
          </w:tcPr>
          <w:p w14:paraId="6A34985C"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Manipur</w:t>
            </w:r>
          </w:p>
        </w:tc>
        <w:tc>
          <w:tcPr>
            <w:tcW w:w="777" w:type="dxa"/>
            <w:tcBorders>
              <w:top w:val="nil"/>
              <w:left w:val="nil"/>
              <w:bottom w:val="single" w:sz="4" w:space="0" w:color="auto"/>
              <w:right w:val="single" w:sz="4" w:space="0" w:color="auto"/>
            </w:tcBorders>
            <w:vAlign w:val="center"/>
            <w:hideMark/>
          </w:tcPr>
          <w:p w14:paraId="7EC5E513"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08F1FA13"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200</w:t>
            </w:r>
          </w:p>
        </w:tc>
        <w:tc>
          <w:tcPr>
            <w:tcW w:w="654" w:type="dxa"/>
            <w:tcBorders>
              <w:top w:val="nil"/>
              <w:left w:val="nil"/>
              <w:bottom w:val="single" w:sz="4" w:space="0" w:color="auto"/>
              <w:right w:val="single" w:sz="4" w:space="0" w:color="auto"/>
            </w:tcBorders>
            <w:vAlign w:val="center"/>
            <w:hideMark/>
          </w:tcPr>
          <w:p w14:paraId="46135B3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28</w:t>
            </w:r>
          </w:p>
        </w:tc>
        <w:tc>
          <w:tcPr>
            <w:tcW w:w="536" w:type="dxa"/>
            <w:tcBorders>
              <w:top w:val="nil"/>
              <w:left w:val="nil"/>
              <w:bottom w:val="single" w:sz="4" w:space="0" w:color="auto"/>
              <w:right w:val="single" w:sz="4" w:space="0" w:color="auto"/>
            </w:tcBorders>
            <w:vAlign w:val="center"/>
            <w:hideMark/>
          </w:tcPr>
          <w:p w14:paraId="6F9FC657"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454</w:t>
            </w:r>
          </w:p>
        </w:tc>
        <w:tc>
          <w:tcPr>
            <w:tcW w:w="654" w:type="dxa"/>
            <w:tcBorders>
              <w:top w:val="nil"/>
              <w:left w:val="nil"/>
              <w:bottom w:val="single" w:sz="4" w:space="0" w:color="auto"/>
              <w:right w:val="single" w:sz="4" w:space="0" w:color="auto"/>
            </w:tcBorders>
            <w:vAlign w:val="center"/>
            <w:hideMark/>
          </w:tcPr>
          <w:p w14:paraId="5F88E4A0"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160</w:t>
            </w:r>
          </w:p>
        </w:tc>
        <w:tc>
          <w:tcPr>
            <w:tcW w:w="621" w:type="dxa"/>
            <w:tcBorders>
              <w:top w:val="nil"/>
              <w:left w:val="nil"/>
              <w:bottom w:val="single" w:sz="4" w:space="0" w:color="auto"/>
              <w:right w:val="single" w:sz="4" w:space="0" w:color="auto"/>
            </w:tcBorders>
            <w:vAlign w:val="center"/>
            <w:hideMark/>
          </w:tcPr>
          <w:p w14:paraId="21B7B30E"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1289</w:t>
            </w:r>
          </w:p>
        </w:tc>
        <w:tc>
          <w:tcPr>
            <w:tcW w:w="569" w:type="dxa"/>
            <w:tcBorders>
              <w:top w:val="nil"/>
              <w:left w:val="nil"/>
              <w:bottom w:val="single" w:sz="4" w:space="0" w:color="auto"/>
              <w:right w:val="single" w:sz="4" w:space="0" w:color="auto"/>
            </w:tcBorders>
            <w:vAlign w:val="center"/>
            <w:hideMark/>
          </w:tcPr>
          <w:p w14:paraId="1F5CED44"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196</w:t>
            </w:r>
          </w:p>
        </w:tc>
        <w:tc>
          <w:tcPr>
            <w:tcW w:w="584" w:type="dxa"/>
            <w:tcBorders>
              <w:top w:val="nil"/>
              <w:left w:val="nil"/>
              <w:bottom w:val="single" w:sz="4" w:space="0" w:color="auto"/>
              <w:right w:val="single" w:sz="4" w:space="0" w:color="auto"/>
            </w:tcBorders>
            <w:vAlign w:val="center"/>
            <w:hideMark/>
          </w:tcPr>
          <w:p w14:paraId="4B0700A0"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66AFD96F"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033552F7"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3464</w:t>
            </w:r>
          </w:p>
        </w:tc>
        <w:tc>
          <w:tcPr>
            <w:tcW w:w="540" w:type="dxa"/>
            <w:tcBorders>
              <w:top w:val="nil"/>
              <w:left w:val="nil"/>
              <w:bottom w:val="single" w:sz="4" w:space="0" w:color="auto"/>
              <w:right w:val="single" w:sz="4" w:space="0" w:color="auto"/>
            </w:tcBorders>
            <w:vAlign w:val="center"/>
            <w:hideMark/>
          </w:tcPr>
          <w:p w14:paraId="2FBC86D4"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166</w:t>
            </w:r>
          </w:p>
        </w:tc>
        <w:tc>
          <w:tcPr>
            <w:tcW w:w="700" w:type="dxa"/>
            <w:tcBorders>
              <w:top w:val="nil"/>
              <w:left w:val="nil"/>
              <w:bottom w:val="single" w:sz="4" w:space="0" w:color="auto"/>
              <w:right w:val="single" w:sz="4" w:space="0" w:color="auto"/>
            </w:tcBorders>
            <w:vAlign w:val="center"/>
            <w:hideMark/>
          </w:tcPr>
          <w:p w14:paraId="6E8D363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5596</w:t>
            </w:r>
          </w:p>
        </w:tc>
        <w:tc>
          <w:tcPr>
            <w:tcW w:w="701" w:type="dxa"/>
            <w:tcBorders>
              <w:top w:val="nil"/>
              <w:left w:val="nil"/>
              <w:bottom w:val="single" w:sz="4" w:space="0" w:color="auto"/>
              <w:right w:val="single" w:sz="4" w:space="0" w:color="auto"/>
            </w:tcBorders>
            <w:vAlign w:val="center"/>
            <w:hideMark/>
          </w:tcPr>
          <w:p w14:paraId="3A663D4A"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711</w:t>
            </w:r>
          </w:p>
        </w:tc>
        <w:tc>
          <w:tcPr>
            <w:tcW w:w="426" w:type="dxa"/>
            <w:tcBorders>
              <w:top w:val="nil"/>
              <w:left w:val="nil"/>
              <w:bottom w:val="single" w:sz="4" w:space="0" w:color="auto"/>
              <w:right w:val="single" w:sz="4" w:space="0" w:color="auto"/>
            </w:tcBorders>
            <w:vAlign w:val="center"/>
            <w:hideMark/>
          </w:tcPr>
          <w:p w14:paraId="7F4A2136"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9E912F2"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00AED42"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008583B"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3B2DB26A"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322645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396F997F"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96072B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541D4DD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340F566"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6E1302EC"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198</w:t>
            </w:r>
          </w:p>
        </w:tc>
        <w:tc>
          <w:tcPr>
            <w:tcW w:w="569" w:type="dxa"/>
            <w:tcBorders>
              <w:top w:val="nil"/>
              <w:left w:val="nil"/>
              <w:bottom w:val="single" w:sz="4" w:space="0" w:color="auto"/>
              <w:right w:val="single" w:sz="4" w:space="0" w:color="auto"/>
            </w:tcBorders>
            <w:vAlign w:val="center"/>
            <w:hideMark/>
          </w:tcPr>
          <w:p w14:paraId="6A6412C4"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76</w:t>
            </w:r>
          </w:p>
        </w:tc>
        <w:tc>
          <w:tcPr>
            <w:tcW w:w="584" w:type="dxa"/>
            <w:tcBorders>
              <w:top w:val="nil"/>
              <w:left w:val="nil"/>
              <w:bottom w:val="single" w:sz="4" w:space="0" w:color="auto"/>
              <w:right w:val="single" w:sz="4" w:space="0" w:color="auto"/>
            </w:tcBorders>
            <w:vAlign w:val="center"/>
            <w:hideMark/>
          </w:tcPr>
          <w:p w14:paraId="1C30E3DD"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1AA25607"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60CAFB9F"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6623DBA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08AD734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736</w:t>
            </w:r>
          </w:p>
        </w:tc>
        <w:tc>
          <w:tcPr>
            <w:tcW w:w="701" w:type="dxa"/>
            <w:tcBorders>
              <w:top w:val="nil"/>
              <w:left w:val="nil"/>
              <w:bottom w:val="single" w:sz="4" w:space="0" w:color="auto"/>
              <w:right w:val="single" w:sz="4" w:space="0" w:color="auto"/>
            </w:tcBorders>
            <w:vAlign w:val="center"/>
            <w:hideMark/>
          </w:tcPr>
          <w:p w14:paraId="012D1337"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348</w:t>
            </w:r>
          </w:p>
        </w:tc>
        <w:tc>
          <w:tcPr>
            <w:tcW w:w="426" w:type="dxa"/>
            <w:tcBorders>
              <w:top w:val="nil"/>
              <w:left w:val="nil"/>
              <w:bottom w:val="single" w:sz="4" w:space="0" w:color="auto"/>
              <w:right w:val="single" w:sz="4" w:space="0" w:color="auto"/>
            </w:tcBorders>
            <w:vAlign w:val="center"/>
            <w:hideMark/>
          </w:tcPr>
          <w:p w14:paraId="3946C7F9"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6B726EA0"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11F6E75"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E3CBDA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B440D0D"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5CB588B5"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3B4A718E"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200</w:t>
            </w:r>
          </w:p>
        </w:tc>
        <w:tc>
          <w:tcPr>
            <w:tcW w:w="654" w:type="dxa"/>
            <w:tcBorders>
              <w:top w:val="nil"/>
              <w:left w:val="nil"/>
              <w:bottom w:val="single" w:sz="4" w:space="0" w:color="auto"/>
              <w:right w:val="single" w:sz="4" w:space="0" w:color="auto"/>
            </w:tcBorders>
            <w:vAlign w:val="center"/>
            <w:hideMark/>
          </w:tcPr>
          <w:p w14:paraId="31F31A5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w:t>
            </w:r>
          </w:p>
        </w:tc>
        <w:tc>
          <w:tcPr>
            <w:tcW w:w="536" w:type="dxa"/>
            <w:tcBorders>
              <w:top w:val="nil"/>
              <w:left w:val="nil"/>
              <w:bottom w:val="single" w:sz="4" w:space="0" w:color="auto"/>
              <w:right w:val="single" w:sz="4" w:space="0" w:color="auto"/>
            </w:tcBorders>
            <w:vAlign w:val="center"/>
            <w:hideMark/>
          </w:tcPr>
          <w:p w14:paraId="56467FEE"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454</w:t>
            </w:r>
          </w:p>
        </w:tc>
        <w:tc>
          <w:tcPr>
            <w:tcW w:w="654" w:type="dxa"/>
            <w:tcBorders>
              <w:top w:val="nil"/>
              <w:left w:val="nil"/>
              <w:bottom w:val="single" w:sz="4" w:space="0" w:color="auto"/>
              <w:right w:val="single" w:sz="4" w:space="0" w:color="auto"/>
            </w:tcBorders>
            <w:vAlign w:val="center"/>
            <w:hideMark/>
          </w:tcPr>
          <w:p w14:paraId="69A69EC2"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160</w:t>
            </w:r>
          </w:p>
        </w:tc>
        <w:tc>
          <w:tcPr>
            <w:tcW w:w="621" w:type="dxa"/>
            <w:tcBorders>
              <w:top w:val="nil"/>
              <w:left w:val="nil"/>
              <w:bottom w:val="single" w:sz="4" w:space="0" w:color="auto"/>
              <w:right w:val="single" w:sz="4" w:space="0" w:color="auto"/>
            </w:tcBorders>
            <w:vAlign w:val="center"/>
            <w:hideMark/>
          </w:tcPr>
          <w:p w14:paraId="38255563"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1487</w:t>
            </w:r>
          </w:p>
        </w:tc>
        <w:tc>
          <w:tcPr>
            <w:tcW w:w="569" w:type="dxa"/>
            <w:tcBorders>
              <w:top w:val="nil"/>
              <w:left w:val="nil"/>
              <w:bottom w:val="single" w:sz="4" w:space="0" w:color="auto"/>
              <w:right w:val="single" w:sz="4" w:space="0" w:color="auto"/>
            </w:tcBorders>
            <w:vAlign w:val="center"/>
            <w:hideMark/>
          </w:tcPr>
          <w:p w14:paraId="0B4999CC"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272</w:t>
            </w:r>
          </w:p>
        </w:tc>
        <w:tc>
          <w:tcPr>
            <w:tcW w:w="584" w:type="dxa"/>
            <w:tcBorders>
              <w:top w:val="nil"/>
              <w:left w:val="nil"/>
              <w:bottom w:val="single" w:sz="4" w:space="0" w:color="auto"/>
              <w:right w:val="single" w:sz="4" w:space="0" w:color="auto"/>
            </w:tcBorders>
            <w:vAlign w:val="center"/>
            <w:hideMark/>
          </w:tcPr>
          <w:p w14:paraId="219DF0FE"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4332F77F"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154D97F5"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3464</w:t>
            </w:r>
          </w:p>
        </w:tc>
        <w:tc>
          <w:tcPr>
            <w:tcW w:w="540" w:type="dxa"/>
            <w:tcBorders>
              <w:top w:val="nil"/>
              <w:left w:val="nil"/>
              <w:bottom w:val="single" w:sz="4" w:space="0" w:color="auto"/>
              <w:right w:val="single" w:sz="4" w:space="0" w:color="auto"/>
            </w:tcBorders>
            <w:vAlign w:val="center"/>
            <w:hideMark/>
          </w:tcPr>
          <w:p w14:paraId="5CCB5D28"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166</w:t>
            </w:r>
          </w:p>
        </w:tc>
        <w:tc>
          <w:tcPr>
            <w:tcW w:w="700" w:type="dxa"/>
            <w:tcBorders>
              <w:top w:val="nil"/>
              <w:left w:val="nil"/>
              <w:bottom w:val="single" w:sz="4" w:space="0" w:color="auto"/>
              <w:right w:val="single" w:sz="4" w:space="0" w:color="auto"/>
            </w:tcBorders>
            <w:vAlign w:val="center"/>
            <w:hideMark/>
          </w:tcPr>
          <w:p w14:paraId="00C1A87E"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6332</w:t>
            </w:r>
          </w:p>
        </w:tc>
        <w:tc>
          <w:tcPr>
            <w:tcW w:w="701" w:type="dxa"/>
            <w:tcBorders>
              <w:top w:val="nil"/>
              <w:left w:val="nil"/>
              <w:bottom w:val="single" w:sz="4" w:space="0" w:color="auto"/>
              <w:right w:val="single" w:sz="4" w:space="0" w:color="auto"/>
            </w:tcBorders>
            <w:vAlign w:val="center"/>
            <w:hideMark/>
          </w:tcPr>
          <w:p w14:paraId="20699EE6"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1059</w:t>
            </w:r>
          </w:p>
        </w:tc>
        <w:tc>
          <w:tcPr>
            <w:tcW w:w="426" w:type="dxa"/>
            <w:tcBorders>
              <w:top w:val="nil"/>
              <w:left w:val="nil"/>
              <w:bottom w:val="single" w:sz="4" w:space="0" w:color="auto"/>
              <w:right w:val="single" w:sz="4" w:space="0" w:color="auto"/>
            </w:tcBorders>
            <w:vAlign w:val="center"/>
            <w:hideMark/>
          </w:tcPr>
          <w:p w14:paraId="0F01AF15"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w:t>
            </w:r>
          </w:p>
        </w:tc>
        <w:tc>
          <w:tcPr>
            <w:tcW w:w="503" w:type="dxa"/>
            <w:tcBorders>
              <w:top w:val="nil"/>
              <w:left w:val="nil"/>
              <w:bottom w:val="single" w:sz="4" w:space="0" w:color="auto"/>
              <w:right w:val="single" w:sz="4" w:space="0" w:color="auto"/>
            </w:tcBorders>
            <w:vAlign w:val="center"/>
            <w:hideMark/>
          </w:tcPr>
          <w:p w14:paraId="4EA66938"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0.75</w:t>
            </w:r>
          </w:p>
        </w:tc>
      </w:tr>
      <w:tr w:rsidR="004705D2" w:rsidRPr="004705D2" w14:paraId="2B92CB4B"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DDD7040"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15</w:t>
            </w:r>
          </w:p>
        </w:tc>
        <w:tc>
          <w:tcPr>
            <w:tcW w:w="808" w:type="dxa"/>
            <w:tcBorders>
              <w:top w:val="nil"/>
              <w:left w:val="nil"/>
              <w:bottom w:val="single" w:sz="4" w:space="0" w:color="auto"/>
              <w:right w:val="single" w:sz="4" w:space="0" w:color="auto"/>
            </w:tcBorders>
            <w:vAlign w:val="center"/>
            <w:hideMark/>
          </w:tcPr>
          <w:p w14:paraId="0327F064"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Meghalaya</w:t>
            </w:r>
          </w:p>
        </w:tc>
        <w:tc>
          <w:tcPr>
            <w:tcW w:w="777" w:type="dxa"/>
            <w:tcBorders>
              <w:top w:val="nil"/>
              <w:left w:val="nil"/>
              <w:bottom w:val="single" w:sz="4" w:space="0" w:color="auto"/>
              <w:right w:val="single" w:sz="4" w:space="0" w:color="auto"/>
            </w:tcBorders>
            <w:vAlign w:val="center"/>
            <w:hideMark/>
          </w:tcPr>
          <w:p w14:paraId="2E3DD517"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1524A602"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765</w:t>
            </w:r>
          </w:p>
        </w:tc>
        <w:tc>
          <w:tcPr>
            <w:tcW w:w="654" w:type="dxa"/>
            <w:tcBorders>
              <w:top w:val="nil"/>
              <w:left w:val="nil"/>
              <w:bottom w:val="single" w:sz="4" w:space="0" w:color="auto"/>
              <w:right w:val="single" w:sz="4" w:space="0" w:color="auto"/>
            </w:tcBorders>
            <w:vAlign w:val="center"/>
            <w:hideMark/>
          </w:tcPr>
          <w:p w14:paraId="3A014C4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293</w:t>
            </w:r>
          </w:p>
        </w:tc>
        <w:tc>
          <w:tcPr>
            <w:tcW w:w="536" w:type="dxa"/>
            <w:tcBorders>
              <w:top w:val="nil"/>
              <w:left w:val="nil"/>
              <w:bottom w:val="single" w:sz="4" w:space="0" w:color="auto"/>
              <w:right w:val="single" w:sz="4" w:space="0" w:color="auto"/>
            </w:tcBorders>
            <w:vAlign w:val="center"/>
            <w:hideMark/>
          </w:tcPr>
          <w:p w14:paraId="5ED735EC"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478</w:t>
            </w:r>
          </w:p>
        </w:tc>
        <w:tc>
          <w:tcPr>
            <w:tcW w:w="654" w:type="dxa"/>
            <w:tcBorders>
              <w:top w:val="nil"/>
              <w:left w:val="nil"/>
              <w:bottom w:val="single" w:sz="4" w:space="0" w:color="auto"/>
              <w:right w:val="single" w:sz="4" w:space="0" w:color="auto"/>
            </w:tcBorders>
            <w:vAlign w:val="center"/>
            <w:hideMark/>
          </w:tcPr>
          <w:p w14:paraId="013C968D"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261</w:t>
            </w:r>
          </w:p>
        </w:tc>
        <w:tc>
          <w:tcPr>
            <w:tcW w:w="621" w:type="dxa"/>
            <w:tcBorders>
              <w:top w:val="nil"/>
              <w:left w:val="nil"/>
              <w:bottom w:val="single" w:sz="4" w:space="0" w:color="auto"/>
              <w:right w:val="single" w:sz="4" w:space="0" w:color="auto"/>
            </w:tcBorders>
            <w:vAlign w:val="center"/>
            <w:hideMark/>
          </w:tcPr>
          <w:p w14:paraId="0C683D59"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725</w:t>
            </w:r>
          </w:p>
        </w:tc>
        <w:tc>
          <w:tcPr>
            <w:tcW w:w="569" w:type="dxa"/>
            <w:tcBorders>
              <w:top w:val="nil"/>
              <w:left w:val="nil"/>
              <w:bottom w:val="single" w:sz="4" w:space="0" w:color="auto"/>
              <w:right w:val="single" w:sz="4" w:space="0" w:color="auto"/>
            </w:tcBorders>
            <w:vAlign w:val="center"/>
            <w:hideMark/>
          </w:tcPr>
          <w:p w14:paraId="16063390"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192</w:t>
            </w:r>
          </w:p>
        </w:tc>
        <w:tc>
          <w:tcPr>
            <w:tcW w:w="584" w:type="dxa"/>
            <w:tcBorders>
              <w:top w:val="nil"/>
              <w:left w:val="nil"/>
              <w:bottom w:val="single" w:sz="4" w:space="0" w:color="auto"/>
              <w:right w:val="single" w:sz="4" w:space="0" w:color="auto"/>
            </w:tcBorders>
            <w:vAlign w:val="center"/>
            <w:hideMark/>
          </w:tcPr>
          <w:p w14:paraId="06F4CB15"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781FA374"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70CE91E3"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1921</w:t>
            </w:r>
          </w:p>
        </w:tc>
        <w:tc>
          <w:tcPr>
            <w:tcW w:w="540" w:type="dxa"/>
            <w:tcBorders>
              <w:top w:val="nil"/>
              <w:left w:val="nil"/>
              <w:bottom w:val="single" w:sz="4" w:space="0" w:color="auto"/>
              <w:right w:val="single" w:sz="4" w:space="0" w:color="auto"/>
            </w:tcBorders>
            <w:vAlign w:val="center"/>
            <w:hideMark/>
          </w:tcPr>
          <w:p w14:paraId="3FBF938C"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415</w:t>
            </w:r>
          </w:p>
        </w:tc>
        <w:tc>
          <w:tcPr>
            <w:tcW w:w="700" w:type="dxa"/>
            <w:tcBorders>
              <w:top w:val="nil"/>
              <w:left w:val="nil"/>
              <w:bottom w:val="single" w:sz="4" w:space="0" w:color="auto"/>
              <w:right w:val="single" w:sz="4" w:space="0" w:color="auto"/>
            </w:tcBorders>
            <w:vAlign w:val="center"/>
            <w:hideMark/>
          </w:tcPr>
          <w:p w14:paraId="338C32D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4233</w:t>
            </w:r>
          </w:p>
        </w:tc>
        <w:tc>
          <w:tcPr>
            <w:tcW w:w="701" w:type="dxa"/>
            <w:tcBorders>
              <w:top w:val="nil"/>
              <w:left w:val="nil"/>
              <w:bottom w:val="single" w:sz="4" w:space="0" w:color="auto"/>
              <w:right w:val="single" w:sz="4" w:space="0" w:color="auto"/>
            </w:tcBorders>
            <w:vAlign w:val="center"/>
            <w:hideMark/>
          </w:tcPr>
          <w:p w14:paraId="2487E2F6"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1267</w:t>
            </w:r>
          </w:p>
        </w:tc>
        <w:tc>
          <w:tcPr>
            <w:tcW w:w="426" w:type="dxa"/>
            <w:tcBorders>
              <w:top w:val="nil"/>
              <w:left w:val="nil"/>
              <w:bottom w:val="single" w:sz="4" w:space="0" w:color="auto"/>
              <w:right w:val="single" w:sz="4" w:space="0" w:color="auto"/>
            </w:tcBorders>
            <w:vAlign w:val="center"/>
            <w:hideMark/>
          </w:tcPr>
          <w:p w14:paraId="0C1AC452"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79EA462B"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4FB33A60"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98DD6D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1779A60"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346A050E"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6250BC0E"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E4B5A5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3BD5EC70"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8DC51F1"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57404871"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86</w:t>
            </w:r>
          </w:p>
        </w:tc>
        <w:tc>
          <w:tcPr>
            <w:tcW w:w="569" w:type="dxa"/>
            <w:tcBorders>
              <w:top w:val="nil"/>
              <w:left w:val="nil"/>
              <w:bottom w:val="single" w:sz="4" w:space="0" w:color="auto"/>
              <w:right w:val="single" w:sz="4" w:space="0" w:color="auto"/>
            </w:tcBorders>
            <w:vAlign w:val="center"/>
            <w:hideMark/>
          </w:tcPr>
          <w:p w14:paraId="5827F23D"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w:t>
            </w:r>
          </w:p>
        </w:tc>
        <w:tc>
          <w:tcPr>
            <w:tcW w:w="584" w:type="dxa"/>
            <w:tcBorders>
              <w:top w:val="nil"/>
              <w:left w:val="nil"/>
              <w:bottom w:val="single" w:sz="4" w:space="0" w:color="auto"/>
              <w:right w:val="single" w:sz="4" w:space="0" w:color="auto"/>
            </w:tcBorders>
            <w:vAlign w:val="center"/>
            <w:hideMark/>
          </w:tcPr>
          <w:p w14:paraId="0F84EA2D"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791875E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3A70B3B4"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10AAD9A2"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056BDC2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386</w:t>
            </w:r>
          </w:p>
        </w:tc>
        <w:tc>
          <w:tcPr>
            <w:tcW w:w="701" w:type="dxa"/>
            <w:tcBorders>
              <w:top w:val="nil"/>
              <w:left w:val="nil"/>
              <w:bottom w:val="single" w:sz="4" w:space="0" w:color="auto"/>
              <w:right w:val="single" w:sz="4" w:space="0" w:color="auto"/>
            </w:tcBorders>
            <w:vAlign w:val="center"/>
            <w:hideMark/>
          </w:tcPr>
          <w:p w14:paraId="15E9251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94</w:t>
            </w:r>
          </w:p>
        </w:tc>
        <w:tc>
          <w:tcPr>
            <w:tcW w:w="426" w:type="dxa"/>
            <w:tcBorders>
              <w:top w:val="nil"/>
              <w:left w:val="nil"/>
              <w:bottom w:val="single" w:sz="4" w:space="0" w:color="auto"/>
              <w:right w:val="single" w:sz="4" w:space="0" w:color="auto"/>
            </w:tcBorders>
            <w:vAlign w:val="center"/>
            <w:hideMark/>
          </w:tcPr>
          <w:p w14:paraId="2C401522"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1777AEA"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5DF39218"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9D346C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294EE1DD"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523B9D25"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540887AE"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765</w:t>
            </w:r>
          </w:p>
        </w:tc>
        <w:tc>
          <w:tcPr>
            <w:tcW w:w="654" w:type="dxa"/>
            <w:tcBorders>
              <w:top w:val="nil"/>
              <w:left w:val="nil"/>
              <w:bottom w:val="single" w:sz="4" w:space="0" w:color="auto"/>
              <w:right w:val="single" w:sz="4" w:space="0" w:color="auto"/>
            </w:tcBorders>
            <w:vAlign w:val="center"/>
            <w:hideMark/>
          </w:tcPr>
          <w:p w14:paraId="664A05FC"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293</w:t>
            </w:r>
          </w:p>
        </w:tc>
        <w:tc>
          <w:tcPr>
            <w:tcW w:w="536" w:type="dxa"/>
            <w:tcBorders>
              <w:top w:val="nil"/>
              <w:left w:val="nil"/>
              <w:bottom w:val="single" w:sz="4" w:space="0" w:color="auto"/>
              <w:right w:val="single" w:sz="4" w:space="0" w:color="auto"/>
            </w:tcBorders>
            <w:vAlign w:val="center"/>
            <w:hideMark/>
          </w:tcPr>
          <w:p w14:paraId="40D48457"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478</w:t>
            </w:r>
          </w:p>
        </w:tc>
        <w:tc>
          <w:tcPr>
            <w:tcW w:w="654" w:type="dxa"/>
            <w:tcBorders>
              <w:top w:val="nil"/>
              <w:left w:val="nil"/>
              <w:bottom w:val="single" w:sz="4" w:space="0" w:color="auto"/>
              <w:right w:val="single" w:sz="4" w:space="0" w:color="auto"/>
            </w:tcBorders>
            <w:vAlign w:val="center"/>
            <w:hideMark/>
          </w:tcPr>
          <w:p w14:paraId="33E5D7BF"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261</w:t>
            </w:r>
          </w:p>
        </w:tc>
        <w:tc>
          <w:tcPr>
            <w:tcW w:w="621" w:type="dxa"/>
            <w:tcBorders>
              <w:top w:val="nil"/>
              <w:left w:val="nil"/>
              <w:bottom w:val="single" w:sz="4" w:space="0" w:color="auto"/>
              <w:right w:val="single" w:sz="4" w:space="0" w:color="auto"/>
            </w:tcBorders>
            <w:vAlign w:val="center"/>
            <w:hideMark/>
          </w:tcPr>
          <w:p w14:paraId="13928192"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811</w:t>
            </w:r>
          </w:p>
        </w:tc>
        <w:tc>
          <w:tcPr>
            <w:tcW w:w="569" w:type="dxa"/>
            <w:tcBorders>
              <w:top w:val="nil"/>
              <w:left w:val="nil"/>
              <w:bottom w:val="single" w:sz="4" w:space="0" w:color="auto"/>
              <w:right w:val="single" w:sz="4" w:space="0" w:color="auto"/>
            </w:tcBorders>
            <w:vAlign w:val="center"/>
            <w:hideMark/>
          </w:tcPr>
          <w:p w14:paraId="768186F1"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209</w:t>
            </w:r>
          </w:p>
        </w:tc>
        <w:tc>
          <w:tcPr>
            <w:tcW w:w="584" w:type="dxa"/>
            <w:tcBorders>
              <w:top w:val="nil"/>
              <w:left w:val="nil"/>
              <w:bottom w:val="single" w:sz="4" w:space="0" w:color="auto"/>
              <w:right w:val="single" w:sz="4" w:space="0" w:color="auto"/>
            </w:tcBorders>
            <w:vAlign w:val="center"/>
            <w:hideMark/>
          </w:tcPr>
          <w:p w14:paraId="6222C1A3"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6A6B6E3E"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36712D2C"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1921</w:t>
            </w:r>
          </w:p>
        </w:tc>
        <w:tc>
          <w:tcPr>
            <w:tcW w:w="540" w:type="dxa"/>
            <w:tcBorders>
              <w:top w:val="nil"/>
              <w:left w:val="nil"/>
              <w:bottom w:val="single" w:sz="4" w:space="0" w:color="auto"/>
              <w:right w:val="single" w:sz="4" w:space="0" w:color="auto"/>
            </w:tcBorders>
            <w:vAlign w:val="center"/>
            <w:hideMark/>
          </w:tcPr>
          <w:p w14:paraId="2EDEB2FF"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415</w:t>
            </w:r>
          </w:p>
        </w:tc>
        <w:tc>
          <w:tcPr>
            <w:tcW w:w="700" w:type="dxa"/>
            <w:tcBorders>
              <w:top w:val="nil"/>
              <w:left w:val="nil"/>
              <w:bottom w:val="single" w:sz="4" w:space="0" w:color="auto"/>
              <w:right w:val="single" w:sz="4" w:space="0" w:color="auto"/>
            </w:tcBorders>
            <w:vAlign w:val="center"/>
            <w:hideMark/>
          </w:tcPr>
          <w:p w14:paraId="3085BB7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4619</w:t>
            </w:r>
          </w:p>
        </w:tc>
        <w:tc>
          <w:tcPr>
            <w:tcW w:w="701" w:type="dxa"/>
            <w:tcBorders>
              <w:top w:val="nil"/>
              <w:left w:val="nil"/>
              <w:bottom w:val="single" w:sz="4" w:space="0" w:color="auto"/>
              <w:right w:val="single" w:sz="4" w:space="0" w:color="auto"/>
            </w:tcBorders>
            <w:vAlign w:val="center"/>
            <w:hideMark/>
          </w:tcPr>
          <w:p w14:paraId="15750A50"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1361</w:t>
            </w:r>
          </w:p>
        </w:tc>
        <w:tc>
          <w:tcPr>
            <w:tcW w:w="426" w:type="dxa"/>
            <w:tcBorders>
              <w:top w:val="nil"/>
              <w:left w:val="nil"/>
              <w:bottom w:val="single" w:sz="4" w:space="0" w:color="auto"/>
              <w:right w:val="single" w:sz="4" w:space="0" w:color="auto"/>
            </w:tcBorders>
            <w:vAlign w:val="center"/>
            <w:hideMark/>
          </w:tcPr>
          <w:p w14:paraId="4619693E"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w:t>
            </w:r>
          </w:p>
        </w:tc>
        <w:tc>
          <w:tcPr>
            <w:tcW w:w="503" w:type="dxa"/>
            <w:tcBorders>
              <w:top w:val="nil"/>
              <w:left w:val="nil"/>
              <w:bottom w:val="single" w:sz="4" w:space="0" w:color="auto"/>
              <w:right w:val="single" w:sz="4" w:space="0" w:color="auto"/>
            </w:tcBorders>
            <w:vAlign w:val="center"/>
            <w:hideMark/>
          </w:tcPr>
          <w:p w14:paraId="57E7429E"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w:t>
            </w:r>
          </w:p>
        </w:tc>
      </w:tr>
      <w:tr w:rsidR="004705D2" w:rsidRPr="004705D2" w14:paraId="3C8D1EF2"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43895BB"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16</w:t>
            </w:r>
          </w:p>
        </w:tc>
        <w:tc>
          <w:tcPr>
            <w:tcW w:w="808" w:type="dxa"/>
            <w:tcBorders>
              <w:top w:val="nil"/>
              <w:left w:val="nil"/>
              <w:bottom w:val="single" w:sz="4" w:space="0" w:color="auto"/>
              <w:right w:val="single" w:sz="4" w:space="0" w:color="auto"/>
            </w:tcBorders>
            <w:vAlign w:val="center"/>
            <w:hideMark/>
          </w:tcPr>
          <w:p w14:paraId="69D5202A"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Mizoram</w:t>
            </w:r>
          </w:p>
        </w:tc>
        <w:tc>
          <w:tcPr>
            <w:tcW w:w="777" w:type="dxa"/>
            <w:tcBorders>
              <w:top w:val="nil"/>
              <w:left w:val="nil"/>
              <w:bottom w:val="single" w:sz="4" w:space="0" w:color="auto"/>
              <w:right w:val="single" w:sz="4" w:space="0" w:color="auto"/>
            </w:tcBorders>
            <w:vAlign w:val="center"/>
            <w:hideMark/>
          </w:tcPr>
          <w:p w14:paraId="303FE76A"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1E9DA686"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210A346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1F8A19F5"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012961C"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34157C4D"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374E5E6E"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54896E3D"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3756F08E"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1D573BA0"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950</w:t>
            </w:r>
          </w:p>
        </w:tc>
        <w:tc>
          <w:tcPr>
            <w:tcW w:w="540" w:type="dxa"/>
            <w:tcBorders>
              <w:top w:val="nil"/>
              <w:left w:val="nil"/>
              <w:bottom w:val="single" w:sz="4" w:space="0" w:color="auto"/>
              <w:right w:val="single" w:sz="4" w:space="0" w:color="auto"/>
            </w:tcBorders>
            <w:vAlign w:val="center"/>
            <w:hideMark/>
          </w:tcPr>
          <w:p w14:paraId="369719E7"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130</w:t>
            </w:r>
          </w:p>
        </w:tc>
        <w:tc>
          <w:tcPr>
            <w:tcW w:w="700" w:type="dxa"/>
            <w:tcBorders>
              <w:top w:val="nil"/>
              <w:left w:val="nil"/>
              <w:bottom w:val="single" w:sz="4" w:space="0" w:color="auto"/>
              <w:right w:val="single" w:sz="4" w:space="0" w:color="auto"/>
            </w:tcBorders>
            <w:vAlign w:val="center"/>
            <w:hideMark/>
          </w:tcPr>
          <w:p w14:paraId="5DC99645"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950</w:t>
            </w:r>
          </w:p>
        </w:tc>
        <w:tc>
          <w:tcPr>
            <w:tcW w:w="701" w:type="dxa"/>
            <w:tcBorders>
              <w:top w:val="nil"/>
              <w:left w:val="nil"/>
              <w:bottom w:val="single" w:sz="4" w:space="0" w:color="auto"/>
              <w:right w:val="single" w:sz="4" w:space="0" w:color="auto"/>
            </w:tcBorders>
            <w:vAlign w:val="center"/>
            <w:hideMark/>
          </w:tcPr>
          <w:p w14:paraId="1996CFBA"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130</w:t>
            </w:r>
          </w:p>
        </w:tc>
        <w:tc>
          <w:tcPr>
            <w:tcW w:w="426" w:type="dxa"/>
            <w:tcBorders>
              <w:top w:val="nil"/>
              <w:left w:val="nil"/>
              <w:bottom w:val="single" w:sz="4" w:space="0" w:color="auto"/>
              <w:right w:val="single" w:sz="4" w:space="0" w:color="auto"/>
            </w:tcBorders>
            <w:vAlign w:val="center"/>
            <w:hideMark/>
          </w:tcPr>
          <w:p w14:paraId="49ABD34F"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FD65524"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A2A00C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CE8EDBA"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EF4BACE" w14:textId="77777777" w:rsidR="00861457" w:rsidRPr="00767C21" w:rsidRDefault="00861457" w:rsidP="00861457">
            <w:pPr>
              <w:spacing w:after="0" w:line="240" w:lineRule="auto"/>
              <w:ind w:firstLineChars="100" w:firstLine="12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DAF608D"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7C17FAC1"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EFBAFE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58991400"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3A13C57"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5B947E24"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6AB80F2E"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322B4B54"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41F59368"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0524D7F9"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717E211A"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0EC8E4C0"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1" w:type="dxa"/>
            <w:tcBorders>
              <w:top w:val="nil"/>
              <w:left w:val="nil"/>
              <w:bottom w:val="single" w:sz="4" w:space="0" w:color="auto"/>
              <w:right w:val="single" w:sz="4" w:space="0" w:color="auto"/>
            </w:tcBorders>
            <w:vAlign w:val="center"/>
            <w:hideMark/>
          </w:tcPr>
          <w:p w14:paraId="4BFC486E"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426" w:type="dxa"/>
            <w:tcBorders>
              <w:top w:val="nil"/>
              <w:left w:val="nil"/>
              <w:bottom w:val="single" w:sz="4" w:space="0" w:color="auto"/>
              <w:right w:val="single" w:sz="4" w:space="0" w:color="auto"/>
            </w:tcBorders>
            <w:vAlign w:val="center"/>
            <w:hideMark/>
          </w:tcPr>
          <w:p w14:paraId="28738405"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729C8868"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569E54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86BD96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C8151C4"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282A88E6"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02D297FB"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641D230A"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4CD632F1"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506D1F24"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05508EE2"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7E862FAB"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7CDF9C78"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2982906C"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10EB3736"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950</w:t>
            </w:r>
          </w:p>
        </w:tc>
        <w:tc>
          <w:tcPr>
            <w:tcW w:w="540" w:type="dxa"/>
            <w:tcBorders>
              <w:top w:val="nil"/>
              <w:left w:val="nil"/>
              <w:bottom w:val="single" w:sz="4" w:space="0" w:color="auto"/>
              <w:right w:val="single" w:sz="4" w:space="0" w:color="auto"/>
            </w:tcBorders>
            <w:vAlign w:val="center"/>
            <w:hideMark/>
          </w:tcPr>
          <w:p w14:paraId="2AB1BA08"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130</w:t>
            </w:r>
          </w:p>
        </w:tc>
        <w:tc>
          <w:tcPr>
            <w:tcW w:w="700" w:type="dxa"/>
            <w:tcBorders>
              <w:top w:val="nil"/>
              <w:left w:val="nil"/>
              <w:bottom w:val="single" w:sz="4" w:space="0" w:color="auto"/>
              <w:right w:val="single" w:sz="4" w:space="0" w:color="auto"/>
            </w:tcBorders>
            <w:vAlign w:val="center"/>
            <w:hideMark/>
          </w:tcPr>
          <w:p w14:paraId="7F3A8D35"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950</w:t>
            </w:r>
          </w:p>
        </w:tc>
        <w:tc>
          <w:tcPr>
            <w:tcW w:w="701" w:type="dxa"/>
            <w:tcBorders>
              <w:top w:val="nil"/>
              <w:left w:val="nil"/>
              <w:bottom w:val="single" w:sz="4" w:space="0" w:color="auto"/>
              <w:right w:val="single" w:sz="4" w:space="0" w:color="auto"/>
            </w:tcBorders>
            <w:vAlign w:val="center"/>
            <w:hideMark/>
          </w:tcPr>
          <w:p w14:paraId="04483553"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130</w:t>
            </w:r>
          </w:p>
        </w:tc>
        <w:tc>
          <w:tcPr>
            <w:tcW w:w="426" w:type="dxa"/>
            <w:tcBorders>
              <w:top w:val="nil"/>
              <w:left w:val="nil"/>
              <w:bottom w:val="single" w:sz="4" w:space="0" w:color="auto"/>
              <w:right w:val="single" w:sz="4" w:space="0" w:color="auto"/>
            </w:tcBorders>
            <w:vAlign w:val="center"/>
            <w:hideMark/>
          </w:tcPr>
          <w:p w14:paraId="6132696C"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w:t>
            </w:r>
          </w:p>
        </w:tc>
        <w:tc>
          <w:tcPr>
            <w:tcW w:w="503" w:type="dxa"/>
            <w:tcBorders>
              <w:top w:val="nil"/>
              <w:left w:val="nil"/>
              <w:bottom w:val="single" w:sz="4" w:space="0" w:color="auto"/>
              <w:right w:val="single" w:sz="4" w:space="0" w:color="auto"/>
            </w:tcBorders>
            <w:vAlign w:val="center"/>
            <w:hideMark/>
          </w:tcPr>
          <w:p w14:paraId="66033DE2"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0.75</w:t>
            </w:r>
          </w:p>
        </w:tc>
      </w:tr>
      <w:tr w:rsidR="004705D2" w:rsidRPr="004705D2" w14:paraId="44DCB8E6"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A8E07B8"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17</w:t>
            </w:r>
          </w:p>
        </w:tc>
        <w:tc>
          <w:tcPr>
            <w:tcW w:w="808" w:type="dxa"/>
            <w:tcBorders>
              <w:top w:val="nil"/>
              <w:left w:val="nil"/>
              <w:bottom w:val="single" w:sz="4" w:space="0" w:color="auto"/>
              <w:right w:val="single" w:sz="4" w:space="0" w:color="auto"/>
            </w:tcBorders>
            <w:vAlign w:val="center"/>
            <w:hideMark/>
          </w:tcPr>
          <w:p w14:paraId="65CB14C1"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Nagaland</w:t>
            </w:r>
          </w:p>
        </w:tc>
        <w:tc>
          <w:tcPr>
            <w:tcW w:w="777" w:type="dxa"/>
            <w:tcBorders>
              <w:top w:val="nil"/>
              <w:left w:val="nil"/>
              <w:bottom w:val="single" w:sz="4" w:space="0" w:color="auto"/>
              <w:right w:val="single" w:sz="4" w:space="0" w:color="auto"/>
            </w:tcBorders>
            <w:vAlign w:val="center"/>
            <w:hideMark/>
          </w:tcPr>
          <w:p w14:paraId="3AE81411"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7456B5D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D8B58B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25D658BE"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432</w:t>
            </w:r>
          </w:p>
        </w:tc>
        <w:tc>
          <w:tcPr>
            <w:tcW w:w="654" w:type="dxa"/>
            <w:tcBorders>
              <w:top w:val="nil"/>
              <w:left w:val="nil"/>
              <w:bottom w:val="single" w:sz="4" w:space="0" w:color="auto"/>
              <w:right w:val="single" w:sz="4" w:space="0" w:color="auto"/>
            </w:tcBorders>
            <w:vAlign w:val="center"/>
            <w:hideMark/>
          </w:tcPr>
          <w:p w14:paraId="2B172DB8"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24</w:t>
            </w:r>
          </w:p>
        </w:tc>
        <w:tc>
          <w:tcPr>
            <w:tcW w:w="621" w:type="dxa"/>
            <w:tcBorders>
              <w:top w:val="nil"/>
              <w:left w:val="nil"/>
              <w:bottom w:val="single" w:sz="4" w:space="0" w:color="auto"/>
              <w:right w:val="single" w:sz="4" w:space="0" w:color="auto"/>
            </w:tcBorders>
            <w:vAlign w:val="center"/>
            <w:hideMark/>
          </w:tcPr>
          <w:p w14:paraId="3341A444"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784795EC"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6D4F7B0A"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682</w:t>
            </w:r>
          </w:p>
        </w:tc>
        <w:tc>
          <w:tcPr>
            <w:tcW w:w="557" w:type="dxa"/>
            <w:tcBorders>
              <w:top w:val="nil"/>
              <w:left w:val="nil"/>
              <w:bottom w:val="single" w:sz="4" w:space="0" w:color="auto"/>
              <w:right w:val="single" w:sz="4" w:space="0" w:color="auto"/>
            </w:tcBorders>
            <w:vAlign w:val="center"/>
            <w:hideMark/>
          </w:tcPr>
          <w:p w14:paraId="1D3015A9"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198</w:t>
            </w:r>
          </w:p>
        </w:tc>
        <w:tc>
          <w:tcPr>
            <w:tcW w:w="630" w:type="dxa"/>
            <w:tcBorders>
              <w:top w:val="nil"/>
              <w:left w:val="nil"/>
              <w:bottom w:val="single" w:sz="4" w:space="0" w:color="auto"/>
              <w:right w:val="single" w:sz="4" w:space="0" w:color="auto"/>
            </w:tcBorders>
            <w:vAlign w:val="center"/>
            <w:hideMark/>
          </w:tcPr>
          <w:p w14:paraId="58BBC4F1"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367F3582"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49347B8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1277</w:t>
            </w:r>
          </w:p>
        </w:tc>
        <w:tc>
          <w:tcPr>
            <w:tcW w:w="701" w:type="dxa"/>
            <w:tcBorders>
              <w:top w:val="nil"/>
              <w:left w:val="nil"/>
              <w:bottom w:val="single" w:sz="4" w:space="0" w:color="auto"/>
              <w:right w:val="single" w:sz="4" w:space="0" w:color="auto"/>
            </w:tcBorders>
            <w:vAlign w:val="center"/>
            <w:hideMark/>
          </w:tcPr>
          <w:p w14:paraId="7D7449A0"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291</w:t>
            </w:r>
          </w:p>
        </w:tc>
        <w:tc>
          <w:tcPr>
            <w:tcW w:w="426" w:type="dxa"/>
            <w:tcBorders>
              <w:top w:val="nil"/>
              <w:left w:val="nil"/>
              <w:bottom w:val="single" w:sz="4" w:space="0" w:color="auto"/>
              <w:right w:val="single" w:sz="4" w:space="0" w:color="auto"/>
            </w:tcBorders>
            <w:vAlign w:val="center"/>
            <w:hideMark/>
          </w:tcPr>
          <w:p w14:paraId="71397FED"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45ED8A3A"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4F7ED33"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2AE239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D99835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54FC499"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3035D2F6"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BEAF5B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1FE253B7"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8B25737"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7CC8BA9C"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3BABE683"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4CB70289"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2220</w:t>
            </w:r>
          </w:p>
        </w:tc>
        <w:tc>
          <w:tcPr>
            <w:tcW w:w="557" w:type="dxa"/>
            <w:tcBorders>
              <w:top w:val="nil"/>
              <w:left w:val="nil"/>
              <w:bottom w:val="single" w:sz="4" w:space="0" w:color="auto"/>
              <w:right w:val="single" w:sz="4" w:space="0" w:color="auto"/>
            </w:tcBorders>
            <w:vAlign w:val="center"/>
            <w:hideMark/>
          </w:tcPr>
          <w:p w14:paraId="23E91E88"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363</w:t>
            </w:r>
          </w:p>
        </w:tc>
        <w:tc>
          <w:tcPr>
            <w:tcW w:w="630" w:type="dxa"/>
            <w:tcBorders>
              <w:top w:val="nil"/>
              <w:left w:val="nil"/>
              <w:bottom w:val="single" w:sz="4" w:space="0" w:color="auto"/>
              <w:right w:val="single" w:sz="4" w:space="0" w:color="auto"/>
            </w:tcBorders>
            <w:vAlign w:val="center"/>
            <w:hideMark/>
          </w:tcPr>
          <w:p w14:paraId="41451C4D"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w:t>
            </w:r>
          </w:p>
        </w:tc>
        <w:tc>
          <w:tcPr>
            <w:tcW w:w="540" w:type="dxa"/>
            <w:tcBorders>
              <w:top w:val="nil"/>
              <w:left w:val="nil"/>
              <w:bottom w:val="single" w:sz="4" w:space="0" w:color="auto"/>
              <w:right w:val="single" w:sz="4" w:space="0" w:color="auto"/>
            </w:tcBorders>
            <w:vAlign w:val="center"/>
            <w:hideMark/>
          </w:tcPr>
          <w:p w14:paraId="135B8819"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w:t>
            </w:r>
          </w:p>
        </w:tc>
        <w:tc>
          <w:tcPr>
            <w:tcW w:w="700" w:type="dxa"/>
            <w:tcBorders>
              <w:top w:val="nil"/>
              <w:left w:val="nil"/>
              <w:bottom w:val="single" w:sz="4" w:space="0" w:color="auto"/>
              <w:right w:val="single" w:sz="4" w:space="0" w:color="auto"/>
            </w:tcBorders>
            <w:vAlign w:val="center"/>
            <w:hideMark/>
          </w:tcPr>
          <w:p w14:paraId="3980DD8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2625</w:t>
            </w:r>
          </w:p>
        </w:tc>
        <w:tc>
          <w:tcPr>
            <w:tcW w:w="701" w:type="dxa"/>
            <w:tcBorders>
              <w:top w:val="nil"/>
              <w:left w:val="nil"/>
              <w:bottom w:val="single" w:sz="4" w:space="0" w:color="auto"/>
              <w:right w:val="single" w:sz="4" w:space="0" w:color="auto"/>
            </w:tcBorders>
            <w:vAlign w:val="center"/>
            <w:hideMark/>
          </w:tcPr>
          <w:p w14:paraId="1FC06C7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457</w:t>
            </w:r>
          </w:p>
        </w:tc>
        <w:tc>
          <w:tcPr>
            <w:tcW w:w="426" w:type="dxa"/>
            <w:tcBorders>
              <w:top w:val="nil"/>
              <w:left w:val="nil"/>
              <w:bottom w:val="single" w:sz="4" w:space="0" w:color="auto"/>
              <w:right w:val="single" w:sz="4" w:space="0" w:color="auto"/>
            </w:tcBorders>
            <w:vAlign w:val="center"/>
            <w:hideMark/>
          </w:tcPr>
          <w:p w14:paraId="340D45C7"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7C3AC080"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17EF13E9"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653C3B9"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36887656"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2C308AD3"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5D4A825D"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0E780F17"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2EE7AF03"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432</w:t>
            </w:r>
          </w:p>
        </w:tc>
        <w:tc>
          <w:tcPr>
            <w:tcW w:w="654" w:type="dxa"/>
            <w:tcBorders>
              <w:top w:val="nil"/>
              <w:left w:val="nil"/>
              <w:bottom w:val="single" w:sz="4" w:space="0" w:color="auto"/>
              <w:right w:val="single" w:sz="4" w:space="0" w:color="auto"/>
            </w:tcBorders>
            <w:vAlign w:val="center"/>
            <w:hideMark/>
          </w:tcPr>
          <w:p w14:paraId="0931CEC6"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24</w:t>
            </w:r>
          </w:p>
        </w:tc>
        <w:tc>
          <w:tcPr>
            <w:tcW w:w="621" w:type="dxa"/>
            <w:tcBorders>
              <w:top w:val="nil"/>
              <w:left w:val="nil"/>
              <w:bottom w:val="single" w:sz="4" w:space="0" w:color="auto"/>
              <w:right w:val="single" w:sz="4" w:space="0" w:color="auto"/>
            </w:tcBorders>
            <w:vAlign w:val="center"/>
            <w:hideMark/>
          </w:tcPr>
          <w:p w14:paraId="56D63CBF"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73E55BC7"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40FECCD1"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2902</w:t>
            </w:r>
          </w:p>
        </w:tc>
        <w:tc>
          <w:tcPr>
            <w:tcW w:w="557" w:type="dxa"/>
            <w:tcBorders>
              <w:top w:val="nil"/>
              <w:left w:val="nil"/>
              <w:bottom w:val="single" w:sz="4" w:space="0" w:color="auto"/>
              <w:right w:val="single" w:sz="4" w:space="0" w:color="auto"/>
            </w:tcBorders>
            <w:vAlign w:val="center"/>
            <w:hideMark/>
          </w:tcPr>
          <w:p w14:paraId="0A043A95"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553</w:t>
            </w:r>
          </w:p>
        </w:tc>
        <w:tc>
          <w:tcPr>
            <w:tcW w:w="630" w:type="dxa"/>
            <w:tcBorders>
              <w:top w:val="nil"/>
              <w:left w:val="nil"/>
              <w:bottom w:val="single" w:sz="4" w:space="0" w:color="auto"/>
              <w:right w:val="single" w:sz="4" w:space="0" w:color="auto"/>
            </w:tcBorders>
            <w:vAlign w:val="center"/>
            <w:hideMark/>
          </w:tcPr>
          <w:p w14:paraId="5F4812A2"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w:t>
            </w:r>
          </w:p>
        </w:tc>
        <w:tc>
          <w:tcPr>
            <w:tcW w:w="540" w:type="dxa"/>
            <w:tcBorders>
              <w:top w:val="nil"/>
              <w:left w:val="nil"/>
              <w:bottom w:val="single" w:sz="4" w:space="0" w:color="auto"/>
              <w:right w:val="single" w:sz="4" w:space="0" w:color="auto"/>
            </w:tcBorders>
            <w:vAlign w:val="center"/>
            <w:hideMark/>
          </w:tcPr>
          <w:p w14:paraId="6AFFCD01"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w:t>
            </w:r>
          </w:p>
        </w:tc>
        <w:tc>
          <w:tcPr>
            <w:tcW w:w="700" w:type="dxa"/>
            <w:tcBorders>
              <w:top w:val="nil"/>
              <w:left w:val="nil"/>
              <w:bottom w:val="single" w:sz="4" w:space="0" w:color="auto"/>
              <w:right w:val="single" w:sz="4" w:space="0" w:color="auto"/>
            </w:tcBorders>
            <w:vAlign w:val="center"/>
            <w:hideMark/>
          </w:tcPr>
          <w:p w14:paraId="72689EB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3902</w:t>
            </w:r>
          </w:p>
        </w:tc>
        <w:tc>
          <w:tcPr>
            <w:tcW w:w="701" w:type="dxa"/>
            <w:tcBorders>
              <w:top w:val="nil"/>
              <w:left w:val="nil"/>
              <w:bottom w:val="single" w:sz="4" w:space="0" w:color="auto"/>
              <w:right w:val="single" w:sz="4" w:space="0" w:color="auto"/>
            </w:tcBorders>
            <w:vAlign w:val="center"/>
            <w:hideMark/>
          </w:tcPr>
          <w:p w14:paraId="329EB0C5"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748</w:t>
            </w:r>
          </w:p>
        </w:tc>
        <w:tc>
          <w:tcPr>
            <w:tcW w:w="426" w:type="dxa"/>
            <w:tcBorders>
              <w:top w:val="nil"/>
              <w:left w:val="nil"/>
              <w:bottom w:val="single" w:sz="4" w:space="0" w:color="auto"/>
              <w:right w:val="single" w:sz="4" w:space="0" w:color="auto"/>
            </w:tcBorders>
            <w:vAlign w:val="center"/>
            <w:hideMark/>
          </w:tcPr>
          <w:p w14:paraId="0CF05601"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w:t>
            </w:r>
          </w:p>
        </w:tc>
        <w:tc>
          <w:tcPr>
            <w:tcW w:w="503" w:type="dxa"/>
            <w:tcBorders>
              <w:top w:val="nil"/>
              <w:left w:val="nil"/>
              <w:bottom w:val="single" w:sz="4" w:space="0" w:color="auto"/>
              <w:right w:val="single" w:sz="4" w:space="0" w:color="auto"/>
            </w:tcBorders>
            <w:vAlign w:val="center"/>
            <w:hideMark/>
          </w:tcPr>
          <w:p w14:paraId="7B200F12"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0.75</w:t>
            </w:r>
          </w:p>
        </w:tc>
      </w:tr>
      <w:tr w:rsidR="004705D2" w:rsidRPr="004705D2" w14:paraId="215F2C2D"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49DB9A8D"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18</w:t>
            </w:r>
          </w:p>
        </w:tc>
        <w:tc>
          <w:tcPr>
            <w:tcW w:w="808" w:type="dxa"/>
            <w:tcBorders>
              <w:top w:val="nil"/>
              <w:left w:val="nil"/>
              <w:bottom w:val="single" w:sz="4" w:space="0" w:color="auto"/>
              <w:right w:val="single" w:sz="4" w:space="0" w:color="auto"/>
            </w:tcBorders>
            <w:vAlign w:val="center"/>
            <w:hideMark/>
          </w:tcPr>
          <w:p w14:paraId="08C4E2F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Orissa</w:t>
            </w:r>
          </w:p>
        </w:tc>
        <w:tc>
          <w:tcPr>
            <w:tcW w:w="777" w:type="dxa"/>
            <w:tcBorders>
              <w:top w:val="nil"/>
              <w:left w:val="nil"/>
              <w:bottom w:val="single" w:sz="4" w:space="0" w:color="auto"/>
              <w:right w:val="single" w:sz="4" w:space="0" w:color="auto"/>
            </w:tcBorders>
            <w:vAlign w:val="center"/>
            <w:hideMark/>
          </w:tcPr>
          <w:p w14:paraId="044341F3"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2345A733"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16124</w:t>
            </w:r>
          </w:p>
        </w:tc>
        <w:tc>
          <w:tcPr>
            <w:tcW w:w="654" w:type="dxa"/>
            <w:tcBorders>
              <w:top w:val="nil"/>
              <w:left w:val="nil"/>
              <w:bottom w:val="single" w:sz="4" w:space="0" w:color="auto"/>
              <w:right w:val="single" w:sz="4" w:space="0" w:color="auto"/>
            </w:tcBorders>
            <w:vAlign w:val="center"/>
            <w:hideMark/>
          </w:tcPr>
          <w:p w14:paraId="422C118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2343</w:t>
            </w:r>
          </w:p>
        </w:tc>
        <w:tc>
          <w:tcPr>
            <w:tcW w:w="536" w:type="dxa"/>
            <w:tcBorders>
              <w:top w:val="nil"/>
              <w:left w:val="nil"/>
              <w:bottom w:val="single" w:sz="4" w:space="0" w:color="auto"/>
              <w:right w:val="single" w:sz="4" w:space="0" w:color="auto"/>
            </w:tcBorders>
            <w:vAlign w:val="center"/>
            <w:hideMark/>
          </w:tcPr>
          <w:p w14:paraId="2FA9B5F2"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19615</w:t>
            </w:r>
          </w:p>
        </w:tc>
        <w:tc>
          <w:tcPr>
            <w:tcW w:w="654" w:type="dxa"/>
            <w:tcBorders>
              <w:top w:val="nil"/>
              <w:left w:val="nil"/>
              <w:bottom w:val="single" w:sz="4" w:space="0" w:color="auto"/>
              <w:right w:val="single" w:sz="4" w:space="0" w:color="auto"/>
            </w:tcBorders>
            <w:vAlign w:val="center"/>
            <w:hideMark/>
          </w:tcPr>
          <w:p w14:paraId="1CB5E473"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3422</w:t>
            </w:r>
          </w:p>
        </w:tc>
        <w:tc>
          <w:tcPr>
            <w:tcW w:w="621" w:type="dxa"/>
            <w:tcBorders>
              <w:top w:val="nil"/>
              <w:left w:val="nil"/>
              <w:bottom w:val="single" w:sz="4" w:space="0" w:color="auto"/>
              <w:right w:val="single" w:sz="4" w:space="0" w:color="auto"/>
            </w:tcBorders>
            <w:vAlign w:val="center"/>
            <w:hideMark/>
          </w:tcPr>
          <w:p w14:paraId="0909D9F6"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8352</w:t>
            </w:r>
          </w:p>
        </w:tc>
        <w:tc>
          <w:tcPr>
            <w:tcW w:w="569" w:type="dxa"/>
            <w:tcBorders>
              <w:top w:val="nil"/>
              <w:left w:val="nil"/>
              <w:bottom w:val="single" w:sz="4" w:space="0" w:color="auto"/>
              <w:right w:val="single" w:sz="4" w:space="0" w:color="auto"/>
            </w:tcBorders>
            <w:vAlign w:val="center"/>
            <w:hideMark/>
          </w:tcPr>
          <w:p w14:paraId="59FB5F19"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724</w:t>
            </w:r>
          </w:p>
        </w:tc>
        <w:tc>
          <w:tcPr>
            <w:tcW w:w="584" w:type="dxa"/>
            <w:tcBorders>
              <w:top w:val="nil"/>
              <w:left w:val="nil"/>
              <w:bottom w:val="single" w:sz="4" w:space="0" w:color="auto"/>
              <w:right w:val="single" w:sz="4" w:space="0" w:color="auto"/>
            </w:tcBorders>
            <w:vAlign w:val="center"/>
            <w:hideMark/>
          </w:tcPr>
          <w:p w14:paraId="1B7C2CC8"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05CEC150"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67DAC691"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4F00A4D5"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66C05864"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135190</w:t>
            </w:r>
          </w:p>
        </w:tc>
        <w:tc>
          <w:tcPr>
            <w:tcW w:w="701" w:type="dxa"/>
            <w:tcBorders>
              <w:top w:val="nil"/>
              <w:left w:val="nil"/>
              <w:bottom w:val="single" w:sz="4" w:space="0" w:color="auto"/>
              <w:right w:val="single" w:sz="4" w:space="0" w:color="auto"/>
            </w:tcBorders>
            <w:vAlign w:val="center"/>
            <w:hideMark/>
          </w:tcPr>
          <w:p w14:paraId="7C0BEC6F"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31207</w:t>
            </w:r>
          </w:p>
        </w:tc>
        <w:tc>
          <w:tcPr>
            <w:tcW w:w="426" w:type="dxa"/>
            <w:tcBorders>
              <w:top w:val="nil"/>
              <w:left w:val="nil"/>
              <w:bottom w:val="single" w:sz="4" w:space="0" w:color="auto"/>
              <w:right w:val="single" w:sz="4" w:space="0" w:color="auto"/>
            </w:tcBorders>
            <w:vAlign w:val="center"/>
            <w:hideMark/>
          </w:tcPr>
          <w:p w14:paraId="707A650B"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283479E"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16D6072"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B2E818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222C0750"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0E2157CA"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30319E0D"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5037</w:t>
            </w:r>
          </w:p>
        </w:tc>
        <w:tc>
          <w:tcPr>
            <w:tcW w:w="654" w:type="dxa"/>
            <w:tcBorders>
              <w:top w:val="nil"/>
              <w:left w:val="nil"/>
              <w:bottom w:val="single" w:sz="4" w:space="0" w:color="auto"/>
              <w:right w:val="single" w:sz="4" w:space="0" w:color="auto"/>
            </w:tcBorders>
            <w:vAlign w:val="center"/>
            <w:hideMark/>
          </w:tcPr>
          <w:p w14:paraId="7A891F0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295</w:t>
            </w:r>
          </w:p>
        </w:tc>
        <w:tc>
          <w:tcPr>
            <w:tcW w:w="536" w:type="dxa"/>
            <w:tcBorders>
              <w:top w:val="nil"/>
              <w:left w:val="nil"/>
              <w:bottom w:val="single" w:sz="4" w:space="0" w:color="auto"/>
              <w:right w:val="single" w:sz="4" w:space="0" w:color="auto"/>
            </w:tcBorders>
            <w:vAlign w:val="center"/>
            <w:hideMark/>
          </w:tcPr>
          <w:p w14:paraId="797751BC"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6537</w:t>
            </w:r>
          </w:p>
        </w:tc>
        <w:tc>
          <w:tcPr>
            <w:tcW w:w="654" w:type="dxa"/>
            <w:tcBorders>
              <w:top w:val="nil"/>
              <w:left w:val="nil"/>
              <w:bottom w:val="single" w:sz="4" w:space="0" w:color="auto"/>
              <w:right w:val="single" w:sz="4" w:space="0" w:color="auto"/>
            </w:tcBorders>
            <w:vAlign w:val="center"/>
            <w:hideMark/>
          </w:tcPr>
          <w:p w14:paraId="71879A8C"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600</w:t>
            </w:r>
          </w:p>
        </w:tc>
        <w:tc>
          <w:tcPr>
            <w:tcW w:w="621" w:type="dxa"/>
            <w:tcBorders>
              <w:top w:val="nil"/>
              <w:left w:val="nil"/>
              <w:bottom w:val="single" w:sz="4" w:space="0" w:color="auto"/>
              <w:right w:val="single" w:sz="4" w:space="0" w:color="auto"/>
            </w:tcBorders>
            <w:vAlign w:val="center"/>
            <w:hideMark/>
          </w:tcPr>
          <w:p w14:paraId="7A40D36F"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23FC3CC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1EB4E7C7"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17613</w:t>
            </w:r>
          </w:p>
        </w:tc>
        <w:tc>
          <w:tcPr>
            <w:tcW w:w="557" w:type="dxa"/>
            <w:tcBorders>
              <w:top w:val="nil"/>
              <w:left w:val="nil"/>
              <w:bottom w:val="single" w:sz="4" w:space="0" w:color="auto"/>
              <w:right w:val="single" w:sz="4" w:space="0" w:color="auto"/>
            </w:tcBorders>
            <w:vAlign w:val="center"/>
            <w:hideMark/>
          </w:tcPr>
          <w:p w14:paraId="1D2C8155"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4780</w:t>
            </w:r>
          </w:p>
        </w:tc>
        <w:tc>
          <w:tcPr>
            <w:tcW w:w="630" w:type="dxa"/>
            <w:tcBorders>
              <w:top w:val="nil"/>
              <w:left w:val="nil"/>
              <w:bottom w:val="single" w:sz="4" w:space="0" w:color="auto"/>
              <w:right w:val="single" w:sz="4" w:space="0" w:color="auto"/>
            </w:tcBorders>
            <w:vAlign w:val="center"/>
            <w:hideMark/>
          </w:tcPr>
          <w:p w14:paraId="4F6A4AA8"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1494</w:t>
            </w:r>
          </w:p>
        </w:tc>
        <w:tc>
          <w:tcPr>
            <w:tcW w:w="540" w:type="dxa"/>
            <w:tcBorders>
              <w:top w:val="nil"/>
              <w:left w:val="nil"/>
              <w:bottom w:val="single" w:sz="4" w:space="0" w:color="auto"/>
              <w:right w:val="single" w:sz="4" w:space="0" w:color="auto"/>
            </w:tcBorders>
            <w:vAlign w:val="center"/>
            <w:hideMark/>
          </w:tcPr>
          <w:p w14:paraId="3BBEF263"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1494</w:t>
            </w:r>
          </w:p>
        </w:tc>
        <w:tc>
          <w:tcPr>
            <w:tcW w:w="700" w:type="dxa"/>
            <w:tcBorders>
              <w:top w:val="nil"/>
              <w:left w:val="nil"/>
              <w:bottom w:val="single" w:sz="4" w:space="0" w:color="auto"/>
              <w:right w:val="single" w:sz="4" w:space="0" w:color="auto"/>
            </w:tcBorders>
            <w:vAlign w:val="center"/>
            <w:hideMark/>
          </w:tcPr>
          <w:p w14:paraId="27659443"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83518</w:t>
            </w:r>
          </w:p>
        </w:tc>
        <w:tc>
          <w:tcPr>
            <w:tcW w:w="701" w:type="dxa"/>
            <w:tcBorders>
              <w:top w:val="nil"/>
              <w:left w:val="nil"/>
              <w:bottom w:val="single" w:sz="4" w:space="0" w:color="auto"/>
              <w:right w:val="single" w:sz="4" w:space="0" w:color="auto"/>
            </w:tcBorders>
            <w:vAlign w:val="center"/>
            <w:hideMark/>
          </w:tcPr>
          <w:p w14:paraId="7EF58F1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14844</w:t>
            </w:r>
          </w:p>
        </w:tc>
        <w:tc>
          <w:tcPr>
            <w:tcW w:w="426" w:type="dxa"/>
            <w:tcBorders>
              <w:top w:val="nil"/>
              <w:left w:val="nil"/>
              <w:bottom w:val="single" w:sz="4" w:space="0" w:color="auto"/>
              <w:right w:val="single" w:sz="4" w:space="0" w:color="auto"/>
            </w:tcBorders>
            <w:vAlign w:val="center"/>
            <w:hideMark/>
          </w:tcPr>
          <w:p w14:paraId="2D7EC9B5"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740CFDB1"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40969E2F"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4C19B3A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10EF1E1"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05620C26"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1D78C541"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21161</w:t>
            </w:r>
          </w:p>
        </w:tc>
        <w:tc>
          <w:tcPr>
            <w:tcW w:w="654" w:type="dxa"/>
            <w:tcBorders>
              <w:top w:val="nil"/>
              <w:left w:val="nil"/>
              <w:bottom w:val="single" w:sz="4" w:space="0" w:color="auto"/>
              <w:right w:val="single" w:sz="4" w:space="0" w:color="auto"/>
            </w:tcBorders>
            <w:vAlign w:val="center"/>
            <w:hideMark/>
          </w:tcPr>
          <w:p w14:paraId="3D3411F9"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2638</w:t>
            </w:r>
          </w:p>
        </w:tc>
        <w:tc>
          <w:tcPr>
            <w:tcW w:w="536" w:type="dxa"/>
            <w:tcBorders>
              <w:top w:val="nil"/>
              <w:left w:val="nil"/>
              <w:bottom w:val="single" w:sz="4" w:space="0" w:color="auto"/>
              <w:right w:val="single" w:sz="4" w:space="0" w:color="auto"/>
            </w:tcBorders>
            <w:vAlign w:val="center"/>
            <w:hideMark/>
          </w:tcPr>
          <w:p w14:paraId="11A2629D"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26152</w:t>
            </w:r>
          </w:p>
        </w:tc>
        <w:tc>
          <w:tcPr>
            <w:tcW w:w="654" w:type="dxa"/>
            <w:tcBorders>
              <w:top w:val="nil"/>
              <w:left w:val="nil"/>
              <w:bottom w:val="single" w:sz="4" w:space="0" w:color="auto"/>
              <w:right w:val="single" w:sz="4" w:space="0" w:color="auto"/>
            </w:tcBorders>
            <w:vAlign w:val="center"/>
            <w:hideMark/>
          </w:tcPr>
          <w:p w14:paraId="1DADDCC1"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4022</w:t>
            </w:r>
          </w:p>
        </w:tc>
        <w:tc>
          <w:tcPr>
            <w:tcW w:w="621" w:type="dxa"/>
            <w:tcBorders>
              <w:top w:val="nil"/>
              <w:left w:val="nil"/>
              <w:bottom w:val="single" w:sz="4" w:space="0" w:color="auto"/>
              <w:right w:val="single" w:sz="4" w:space="0" w:color="auto"/>
            </w:tcBorders>
            <w:vAlign w:val="center"/>
            <w:hideMark/>
          </w:tcPr>
          <w:p w14:paraId="31FAA909"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8352</w:t>
            </w:r>
          </w:p>
        </w:tc>
        <w:tc>
          <w:tcPr>
            <w:tcW w:w="569" w:type="dxa"/>
            <w:tcBorders>
              <w:top w:val="nil"/>
              <w:left w:val="nil"/>
              <w:bottom w:val="single" w:sz="4" w:space="0" w:color="auto"/>
              <w:right w:val="single" w:sz="4" w:space="0" w:color="auto"/>
            </w:tcBorders>
            <w:vAlign w:val="center"/>
            <w:hideMark/>
          </w:tcPr>
          <w:p w14:paraId="78339EB3"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724</w:t>
            </w:r>
          </w:p>
        </w:tc>
        <w:tc>
          <w:tcPr>
            <w:tcW w:w="584" w:type="dxa"/>
            <w:tcBorders>
              <w:top w:val="nil"/>
              <w:left w:val="nil"/>
              <w:bottom w:val="single" w:sz="4" w:space="0" w:color="auto"/>
              <w:right w:val="single" w:sz="4" w:space="0" w:color="auto"/>
            </w:tcBorders>
            <w:vAlign w:val="center"/>
            <w:hideMark/>
          </w:tcPr>
          <w:p w14:paraId="6F5C3076"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17613</w:t>
            </w:r>
          </w:p>
        </w:tc>
        <w:tc>
          <w:tcPr>
            <w:tcW w:w="557" w:type="dxa"/>
            <w:tcBorders>
              <w:top w:val="nil"/>
              <w:left w:val="nil"/>
              <w:bottom w:val="single" w:sz="4" w:space="0" w:color="auto"/>
              <w:right w:val="single" w:sz="4" w:space="0" w:color="auto"/>
            </w:tcBorders>
            <w:vAlign w:val="center"/>
            <w:hideMark/>
          </w:tcPr>
          <w:p w14:paraId="3EBC0D63"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4780</w:t>
            </w:r>
          </w:p>
        </w:tc>
        <w:tc>
          <w:tcPr>
            <w:tcW w:w="630" w:type="dxa"/>
            <w:tcBorders>
              <w:top w:val="nil"/>
              <w:left w:val="nil"/>
              <w:bottom w:val="single" w:sz="4" w:space="0" w:color="auto"/>
              <w:right w:val="single" w:sz="4" w:space="0" w:color="auto"/>
            </w:tcBorders>
            <w:vAlign w:val="center"/>
            <w:hideMark/>
          </w:tcPr>
          <w:p w14:paraId="4F5A65CE"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1494</w:t>
            </w:r>
          </w:p>
        </w:tc>
        <w:tc>
          <w:tcPr>
            <w:tcW w:w="540" w:type="dxa"/>
            <w:tcBorders>
              <w:top w:val="nil"/>
              <w:left w:val="nil"/>
              <w:bottom w:val="single" w:sz="4" w:space="0" w:color="auto"/>
              <w:right w:val="single" w:sz="4" w:space="0" w:color="auto"/>
            </w:tcBorders>
            <w:vAlign w:val="center"/>
            <w:hideMark/>
          </w:tcPr>
          <w:p w14:paraId="5A007DAE"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1494</w:t>
            </w:r>
          </w:p>
        </w:tc>
        <w:tc>
          <w:tcPr>
            <w:tcW w:w="700" w:type="dxa"/>
            <w:tcBorders>
              <w:top w:val="nil"/>
              <w:left w:val="nil"/>
              <w:bottom w:val="single" w:sz="4" w:space="0" w:color="auto"/>
              <w:right w:val="single" w:sz="4" w:space="0" w:color="auto"/>
            </w:tcBorders>
            <w:vAlign w:val="center"/>
            <w:hideMark/>
          </w:tcPr>
          <w:p w14:paraId="5FE260F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218708</w:t>
            </w:r>
          </w:p>
        </w:tc>
        <w:tc>
          <w:tcPr>
            <w:tcW w:w="701" w:type="dxa"/>
            <w:tcBorders>
              <w:top w:val="nil"/>
              <w:left w:val="nil"/>
              <w:bottom w:val="single" w:sz="4" w:space="0" w:color="auto"/>
              <w:right w:val="single" w:sz="4" w:space="0" w:color="auto"/>
            </w:tcBorders>
            <w:vAlign w:val="center"/>
            <w:hideMark/>
          </w:tcPr>
          <w:p w14:paraId="0AAFAF84"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46051</w:t>
            </w:r>
          </w:p>
        </w:tc>
        <w:tc>
          <w:tcPr>
            <w:tcW w:w="426" w:type="dxa"/>
            <w:tcBorders>
              <w:top w:val="nil"/>
              <w:left w:val="nil"/>
              <w:bottom w:val="single" w:sz="4" w:space="0" w:color="auto"/>
              <w:right w:val="single" w:sz="4" w:space="0" w:color="auto"/>
            </w:tcBorders>
            <w:vAlign w:val="center"/>
            <w:hideMark/>
          </w:tcPr>
          <w:p w14:paraId="10ED1A1F"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w:t>
            </w:r>
          </w:p>
        </w:tc>
        <w:tc>
          <w:tcPr>
            <w:tcW w:w="503" w:type="dxa"/>
            <w:tcBorders>
              <w:top w:val="nil"/>
              <w:left w:val="nil"/>
              <w:bottom w:val="single" w:sz="4" w:space="0" w:color="auto"/>
              <w:right w:val="single" w:sz="4" w:space="0" w:color="auto"/>
            </w:tcBorders>
            <w:vAlign w:val="center"/>
            <w:hideMark/>
          </w:tcPr>
          <w:p w14:paraId="730FCF75"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35.25</w:t>
            </w:r>
          </w:p>
        </w:tc>
      </w:tr>
      <w:tr w:rsidR="004705D2" w:rsidRPr="004705D2" w14:paraId="6013009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D3F5374"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19</w:t>
            </w:r>
          </w:p>
        </w:tc>
        <w:tc>
          <w:tcPr>
            <w:tcW w:w="808" w:type="dxa"/>
            <w:tcBorders>
              <w:top w:val="nil"/>
              <w:left w:val="nil"/>
              <w:bottom w:val="single" w:sz="4" w:space="0" w:color="auto"/>
              <w:right w:val="single" w:sz="4" w:space="0" w:color="auto"/>
            </w:tcBorders>
            <w:vAlign w:val="center"/>
            <w:hideMark/>
          </w:tcPr>
          <w:p w14:paraId="317175F0"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Punjab</w:t>
            </w:r>
          </w:p>
        </w:tc>
        <w:tc>
          <w:tcPr>
            <w:tcW w:w="777" w:type="dxa"/>
            <w:tcBorders>
              <w:top w:val="nil"/>
              <w:left w:val="nil"/>
              <w:bottom w:val="single" w:sz="4" w:space="0" w:color="auto"/>
              <w:right w:val="single" w:sz="4" w:space="0" w:color="auto"/>
            </w:tcBorders>
            <w:vAlign w:val="center"/>
            <w:hideMark/>
          </w:tcPr>
          <w:p w14:paraId="68C6482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19CA394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7E0485C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0E8DF2FA"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47411</w:t>
            </w:r>
          </w:p>
        </w:tc>
        <w:tc>
          <w:tcPr>
            <w:tcW w:w="654" w:type="dxa"/>
            <w:tcBorders>
              <w:top w:val="nil"/>
              <w:left w:val="nil"/>
              <w:bottom w:val="single" w:sz="4" w:space="0" w:color="auto"/>
              <w:right w:val="single" w:sz="4" w:space="0" w:color="auto"/>
            </w:tcBorders>
            <w:vAlign w:val="center"/>
            <w:hideMark/>
          </w:tcPr>
          <w:p w14:paraId="76AF0AB4"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6088</w:t>
            </w:r>
          </w:p>
        </w:tc>
        <w:tc>
          <w:tcPr>
            <w:tcW w:w="621" w:type="dxa"/>
            <w:tcBorders>
              <w:top w:val="nil"/>
              <w:left w:val="nil"/>
              <w:bottom w:val="single" w:sz="4" w:space="0" w:color="auto"/>
              <w:right w:val="single" w:sz="4" w:space="0" w:color="auto"/>
            </w:tcBorders>
            <w:vAlign w:val="center"/>
            <w:hideMark/>
          </w:tcPr>
          <w:p w14:paraId="343A89D6"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7773</w:t>
            </w:r>
          </w:p>
        </w:tc>
        <w:tc>
          <w:tcPr>
            <w:tcW w:w="569" w:type="dxa"/>
            <w:tcBorders>
              <w:top w:val="nil"/>
              <w:left w:val="nil"/>
              <w:bottom w:val="single" w:sz="4" w:space="0" w:color="auto"/>
              <w:right w:val="single" w:sz="4" w:space="0" w:color="auto"/>
            </w:tcBorders>
            <w:vAlign w:val="center"/>
            <w:hideMark/>
          </w:tcPr>
          <w:p w14:paraId="44C6A6B1"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1808</w:t>
            </w:r>
          </w:p>
        </w:tc>
        <w:tc>
          <w:tcPr>
            <w:tcW w:w="584" w:type="dxa"/>
            <w:tcBorders>
              <w:top w:val="nil"/>
              <w:left w:val="nil"/>
              <w:bottom w:val="single" w:sz="4" w:space="0" w:color="auto"/>
              <w:right w:val="single" w:sz="4" w:space="0" w:color="auto"/>
            </w:tcBorders>
            <w:vAlign w:val="center"/>
            <w:hideMark/>
          </w:tcPr>
          <w:p w14:paraId="13F5A6E0"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13669</w:t>
            </w:r>
          </w:p>
        </w:tc>
        <w:tc>
          <w:tcPr>
            <w:tcW w:w="557" w:type="dxa"/>
            <w:tcBorders>
              <w:top w:val="nil"/>
              <w:left w:val="nil"/>
              <w:bottom w:val="single" w:sz="4" w:space="0" w:color="auto"/>
              <w:right w:val="single" w:sz="4" w:space="0" w:color="auto"/>
            </w:tcBorders>
            <w:vAlign w:val="center"/>
            <w:hideMark/>
          </w:tcPr>
          <w:p w14:paraId="520F994B"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148</w:t>
            </w:r>
          </w:p>
        </w:tc>
        <w:tc>
          <w:tcPr>
            <w:tcW w:w="630" w:type="dxa"/>
            <w:tcBorders>
              <w:top w:val="nil"/>
              <w:left w:val="nil"/>
              <w:bottom w:val="single" w:sz="4" w:space="0" w:color="auto"/>
              <w:right w:val="single" w:sz="4" w:space="0" w:color="auto"/>
            </w:tcBorders>
            <w:vAlign w:val="center"/>
            <w:hideMark/>
          </w:tcPr>
          <w:p w14:paraId="3B78BBBF"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85794</w:t>
            </w:r>
          </w:p>
        </w:tc>
        <w:tc>
          <w:tcPr>
            <w:tcW w:w="540" w:type="dxa"/>
            <w:tcBorders>
              <w:top w:val="nil"/>
              <w:left w:val="nil"/>
              <w:bottom w:val="single" w:sz="4" w:space="0" w:color="auto"/>
              <w:right w:val="single" w:sz="4" w:space="0" w:color="auto"/>
            </w:tcBorders>
            <w:vAlign w:val="center"/>
            <w:hideMark/>
          </w:tcPr>
          <w:p w14:paraId="21C75EA3"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15030</w:t>
            </w:r>
          </w:p>
        </w:tc>
        <w:tc>
          <w:tcPr>
            <w:tcW w:w="700" w:type="dxa"/>
            <w:tcBorders>
              <w:top w:val="nil"/>
              <w:left w:val="nil"/>
              <w:bottom w:val="single" w:sz="4" w:space="0" w:color="auto"/>
              <w:right w:val="single" w:sz="4" w:space="0" w:color="auto"/>
            </w:tcBorders>
            <w:vAlign w:val="center"/>
            <w:hideMark/>
          </w:tcPr>
          <w:p w14:paraId="78865B4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154647</w:t>
            </w:r>
          </w:p>
        </w:tc>
        <w:tc>
          <w:tcPr>
            <w:tcW w:w="701" w:type="dxa"/>
            <w:tcBorders>
              <w:top w:val="nil"/>
              <w:left w:val="nil"/>
              <w:bottom w:val="single" w:sz="4" w:space="0" w:color="auto"/>
              <w:right w:val="single" w:sz="4" w:space="0" w:color="auto"/>
            </w:tcBorders>
            <w:vAlign w:val="center"/>
            <w:hideMark/>
          </w:tcPr>
          <w:p w14:paraId="55694268"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23074</w:t>
            </w:r>
          </w:p>
        </w:tc>
        <w:tc>
          <w:tcPr>
            <w:tcW w:w="426" w:type="dxa"/>
            <w:tcBorders>
              <w:top w:val="nil"/>
              <w:left w:val="nil"/>
              <w:bottom w:val="single" w:sz="4" w:space="0" w:color="auto"/>
              <w:right w:val="single" w:sz="4" w:space="0" w:color="auto"/>
            </w:tcBorders>
            <w:vAlign w:val="center"/>
            <w:hideMark/>
          </w:tcPr>
          <w:p w14:paraId="42257ADB"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2E6ECB1"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724F5FE"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4099257"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E400161"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8819DAF"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2F8B2C4D"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2445</w:t>
            </w:r>
          </w:p>
        </w:tc>
        <w:tc>
          <w:tcPr>
            <w:tcW w:w="654" w:type="dxa"/>
            <w:tcBorders>
              <w:top w:val="nil"/>
              <w:left w:val="nil"/>
              <w:bottom w:val="single" w:sz="4" w:space="0" w:color="auto"/>
              <w:right w:val="single" w:sz="4" w:space="0" w:color="auto"/>
            </w:tcBorders>
            <w:vAlign w:val="center"/>
            <w:hideMark/>
          </w:tcPr>
          <w:p w14:paraId="092F44C4"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635</w:t>
            </w:r>
          </w:p>
        </w:tc>
        <w:tc>
          <w:tcPr>
            <w:tcW w:w="536" w:type="dxa"/>
            <w:tcBorders>
              <w:top w:val="nil"/>
              <w:left w:val="nil"/>
              <w:bottom w:val="single" w:sz="4" w:space="0" w:color="auto"/>
              <w:right w:val="single" w:sz="4" w:space="0" w:color="auto"/>
            </w:tcBorders>
            <w:vAlign w:val="center"/>
            <w:hideMark/>
          </w:tcPr>
          <w:p w14:paraId="756DCEEB"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1876</w:t>
            </w:r>
          </w:p>
        </w:tc>
        <w:tc>
          <w:tcPr>
            <w:tcW w:w="654" w:type="dxa"/>
            <w:tcBorders>
              <w:top w:val="nil"/>
              <w:left w:val="nil"/>
              <w:bottom w:val="single" w:sz="4" w:space="0" w:color="auto"/>
              <w:right w:val="single" w:sz="4" w:space="0" w:color="auto"/>
            </w:tcBorders>
            <w:vAlign w:val="center"/>
            <w:hideMark/>
          </w:tcPr>
          <w:p w14:paraId="10A804A9"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850</w:t>
            </w:r>
          </w:p>
        </w:tc>
        <w:tc>
          <w:tcPr>
            <w:tcW w:w="621" w:type="dxa"/>
            <w:tcBorders>
              <w:top w:val="nil"/>
              <w:left w:val="nil"/>
              <w:bottom w:val="single" w:sz="4" w:space="0" w:color="auto"/>
              <w:right w:val="single" w:sz="4" w:space="0" w:color="auto"/>
            </w:tcBorders>
            <w:vAlign w:val="center"/>
            <w:hideMark/>
          </w:tcPr>
          <w:p w14:paraId="18C78177"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38BE834E"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7FC00F57"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50505</w:t>
            </w:r>
          </w:p>
        </w:tc>
        <w:tc>
          <w:tcPr>
            <w:tcW w:w="557" w:type="dxa"/>
            <w:tcBorders>
              <w:top w:val="nil"/>
              <w:left w:val="nil"/>
              <w:bottom w:val="single" w:sz="4" w:space="0" w:color="auto"/>
              <w:right w:val="single" w:sz="4" w:space="0" w:color="auto"/>
            </w:tcBorders>
            <w:vAlign w:val="center"/>
            <w:hideMark/>
          </w:tcPr>
          <w:p w14:paraId="06196BCE"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2594</w:t>
            </w:r>
          </w:p>
        </w:tc>
        <w:tc>
          <w:tcPr>
            <w:tcW w:w="630" w:type="dxa"/>
            <w:tcBorders>
              <w:top w:val="nil"/>
              <w:left w:val="nil"/>
              <w:bottom w:val="single" w:sz="4" w:space="0" w:color="auto"/>
              <w:right w:val="single" w:sz="4" w:space="0" w:color="auto"/>
            </w:tcBorders>
            <w:vAlign w:val="center"/>
            <w:hideMark/>
          </w:tcPr>
          <w:p w14:paraId="1849603B"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51FD7938"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359</w:t>
            </w:r>
          </w:p>
        </w:tc>
        <w:tc>
          <w:tcPr>
            <w:tcW w:w="700" w:type="dxa"/>
            <w:tcBorders>
              <w:top w:val="nil"/>
              <w:left w:val="nil"/>
              <w:bottom w:val="single" w:sz="4" w:space="0" w:color="auto"/>
              <w:right w:val="single" w:sz="4" w:space="0" w:color="auto"/>
            </w:tcBorders>
            <w:vAlign w:val="center"/>
            <w:hideMark/>
          </w:tcPr>
          <w:p w14:paraId="0420459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54826</w:t>
            </w:r>
          </w:p>
        </w:tc>
        <w:tc>
          <w:tcPr>
            <w:tcW w:w="701" w:type="dxa"/>
            <w:tcBorders>
              <w:top w:val="nil"/>
              <w:left w:val="nil"/>
              <w:bottom w:val="single" w:sz="4" w:space="0" w:color="auto"/>
              <w:right w:val="single" w:sz="4" w:space="0" w:color="auto"/>
            </w:tcBorders>
            <w:vAlign w:val="center"/>
            <w:hideMark/>
          </w:tcPr>
          <w:p w14:paraId="651B83EE"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4438</w:t>
            </w:r>
          </w:p>
        </w:tc>
        <w:tc>
          <w:tcPr>
            <w:tcW w:w="426" w:type="dxa"/>
            <w:tcBorders>
              <w:top w:val="nil"/>
              <w:left w:val="nil"/>
              <w:bottom w:val="single" w:sz="4" w:space="0" w:color="auto"/>
              <w:right w:val="single" w:sz="4" w:space="0" w:color="auto"/>
            </w:tcBorders>
            <w:vAlign w:val="center"/>
            <w:hideMark/>
          </w:tcPr>
          <w:p w14:paraId="6BA130E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1DD0567"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D9DBB1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FFDE6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6A76B19C"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688ACC0"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24581DFD"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2445</w:t>
            </w:r>
          </w:p>
        </w:tc>
        <w:tc>
          <w:tcPr>
            <w:tcW w:w="654" w:type="dxa"/>
            <w:tcBorders>
              <w:top w:val="nil"/>
              <w:left w:val="nil"/>
              <w:bottom w:val="single" w:sz="4" w:space="0" w:color="auto"/>
              <w:right w:val="single" w:sz="4" w:space="0" w:color="auto"/>
            </w:tcBorders>
            <w:vAlign w:val="center"/>
            <w:hideMark/>
          </w:tcPr>
          <w:p w14:paraId="63833D6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635</w:t>
            </w:r>
          </w:p>
        </w:tc>
        <w:tc>
          <w:tcPr>
            <w:tcW w:w="536" w:type="dxa"/>
            <w:tcBorders>
              <w:top w:val="nil"/>
              <w:left w:val="nil"/>
              <w:bottom w:val="single" w:sz="4" w:space="0" w:color="auto"/>
              <w:right w:val="single" w:sz="4" w:space="0" w:color="auto"/>
            </w:tcBorders>
            <w:vAlign w:val="center"/>
            <w:hideMark/>
          </w:tcPr>
          <w:p w14:paraId="3CD6EDEF"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49287</w:t>
            </w:r>
          </w:p>
        </w:tc>
        <w:tc>
          <w:tcPr>
            <w:tcW w:w="654" w:type="dxa"/>
            <w:tcBorders>
              <w:top w:val="nil"/>
              <w:left w:val="nil"/>
              <w:bottom w:val="single" w:sz="4" w:space="0" w:color="auto"/>
              <w:right w:val="single" w:sz="4" w:space="0" w:color="auto"/>
            </w:tcBorders>
            <w:vAlign w:val="center"/>
            <w:hideMark/>
          </w:tcPr>
          <w:p w14:paraId="1C72C40A"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6938</w:t>
            </w:r>
          </w:p>
        </w:tc>
        <w:tc>
          <w:tcPr>
            <w:tcW w:w="621" w:type="dxa"/>
            <w:tcBorders>
              <w:top w:val="nil"/>
              <w:left w:val="nil"/>
              <w:bottom w:val="single" w:sz="4" w:space="0" w:color="auto"/>
              <w:right w:val="single" w:sz="4" w:space="0" w:color="auto"/>
            </w:tcBorders>
            <w:vAlign w:val="center"/>
            <w:hideMark/>
          </w:tcPr>
          <w:p w14:paraId="79D781C8"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7773</w:t>
            </w:r>
          </w:p>
        </w:tc>
        <w:tc>
          <w:tcPr>
            <w:tcW w:w="569" w:type="dxa"/>
            <w:tcBorders>
              <w:top w:val="nil"/>
              <w:left w:val="nil"/>
              <w:bottom w:val="single" w:sz="4" w:space="0" w:color="auto"/>
              <w:right w:val="single" w:sz="4" w:space="0" w:color="auto"/>
            </w:tcBorders>
            <w:vAlign w:val="center"/>
            <w:hideMark/>
          </w:tcPr>
          <w:p w14:paraId="5B9AC0CD"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1808</w:t>
            </w:r>
          </w:p>
        </w:tc>
        <w:tc>
          <w:tcPr>
            <w:tcW w:w="584" w:type="dxa"/>
            <w:tcBorders>
              <w:top w:val="nil"/>
              <w:left w:val="nil"/>
              <w:bottom w:val="single" w:sz="4" w:space="0" w:color="auto"/>
              <w:right w:val="single" w:sz="4" w:space="0" w:color="auto"/>
            </w:tcBorders>
            <w:vAlign w:val="center"/>
            <w:hideMark/>
          </w:tcPr>
          <w:p w14:paraId="5AE36F15"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64174</w:t>
            </w:r>
          </w:p>
        </w:tc>
        <w:tc>
          <w:tcPr>
            <w:tcW w:w="557" w:type="dxa"/>
            <w:tcBorders>
              <w:top w:val="nil"/>
              <w:left w:val="nil"/>
              <w:bottom w:val="single" w:sz="4" w:space="0" w:color="auto"/>
              <w:right w:val="single" w:sz="4" w:space="0" w:color="auto"/>
            </w:tcBorders>
            <w:vAlign w:val="center"/>
            <w:hideMark/>
          </w:tcPr>
          <w:p w14:paraId="62296712"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2742</w:t>
            </w:r>
          </w:p>
        </w:tc>
        <w:tc>
          <w:tcPr>
            <w:tcW w:w="630" w:type="dxa"/>
            <w:tcBorders>
              <w:top w:val="nil"/>
              <w:left w:val="nil"/>
              <w:bottom w:val="single" w:sz="4" w:space="0" w:color="auto"/>
              <w:right w:val="single" w:sz="4" w:space="0" w:color="auto"/>
            </w:tcBorders>
            <w:vAlign w:val="center"/>
            <w:hideMark/>
          </w:tcPr>
          <w:p w14:paraId="696413B3"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85794</w:t>
            </w:r>
          </w:p>
        </w:tc>
        <w:tc>
          <w:tcPr>
            <w:tcW w:w="540" w:type="dxa"/>
            <w:tcBorders>
              <w:top w:val="nil"/>
              <w:left w:val="nil"/>
              <w:bottom w:val="single" w:sz="4" w:space="0" w:color="auto"/>
              <w:right w:val="single" w:sz="4" w:space="0" w:color="auto"/>
            </w:tcBorders>
            <w:vAlign w:val="center"/>
            <w:hideMark/>
          </w:tcPr>
          <w:p w14:paraId="3F54A506"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15389</w:t>
            </w:r>
          </w:p>
        </w:tc>
        <w:tc>
          <w:tcPr>
            <w:tcW w:w="700" w:type="dxa"/>
            <w:tcBorders>
              <w:top w:val="nil"/>
              <w:left w:val="nil"/>
              <w:bottom w:val="single" w:sz="4" w:space="0" w:color="auto"/>
              <w:right w:val="single" w:sz="4" w:space="0" w:color="auto"/>
            </w:tcBorders>
            <w:vAlign w:val="center"/>
            <w:hideMark/>
          </w:tcPr>
          <w:p w14:paraId="2D4BBFB5"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209473</w:t>
            </w:r>
          </w:p>
        </w:tc>
        <w:tc>
          <w:tcPr>
            <w:tcW w:w="701" w:type="dxa"/>
            <w:tcBorders>
              <w:top w:val="nil"/>
              <w:left w:val="nil"/>
              <w:bottom w:val="single" w:sz="4" w:space="0" w:color="auto"/>
              <w:right w:val="single" w:sz="4" w:space="0" w:color="auto"/>
            </w:tcBorders>
            <w:vAlign w:val="center"/>
            <w:hideMark/>
          </w:tcPr>
          <w:p w14:paraId="4E064524"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27512</w:t>
            </w:r>
          </w:p>
        </w:tc>
        <w:tc>
          <w:tcPr>
            <w:tcW w:w="426" w:type="dxa"/>
            <w:tcBorders>
              <w:top w:val="nil"/>
              <w:left w:val="nil"/>
              <w:bottom w:val="single" w:sz="4" w:space="0" w:color="auto"/>
              <w:right w:val="single" w:sz="4" w:space="0" w:color="auto"/>
            </w:tcBorders>
            <w:vAlign w:val="center"/>
            <w:hideMark/>
          </w:tcPr>
          <w:p w14:paraId="61974D5E"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w:t>
            </w:r>
          </w:p>
        </w:tc>
        <w:tc>
          <w:tcPr>
            <w:tcW w:w="503" w:type="dxa"/>
            <w:tcBorders>
              <w:top w:val="nil"/>
              <w:left w:val="nil"/>
              <w:bottom w:val="single" w:sz="4" w:space="0" w:color="auto"/>
              <w:right w:val="single" w:sz="4" w:space="0" w:color="auto"/>
            </w:tcBorders>
            <w:vAlign w:val="center"/>
            <w:hideMark/>
          </w:tcPr>
          <w:p w14:paraId="04800072"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21</w:t>
            </w:r>
          </w:p>
        </w:tc>
      </w:tr>
      <w:tr w:rsidR="004705D2" w:rsidRPr="004705D2" w14:paraId="4221FAA8"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71FBC4B"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20</w:t>
            </w:r>
          </w:p>
        </w:tc>
        <w:tc>
          <w:tcPr>
            <w:tcW w:w="808" w:type="dxa"/>
            <w:tcBorders>
              <w:top w:val="nil"/>
              <w:left w:val="nil"/>
              <w:bottom w:val="single" w:sz="4" w:space="0" w:color="auto"/>
              <w:right w:val="single" w:sz="4" w:space="0" w:color="auto"/>
            </w:tcBorders>
            <w:vAlign w:val="center"/>
            <w:hideMark/>
          </w:tcPr>
          <w:p w14:paraId="47878002"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Rajasthan</w:t>
            </w:r>
          </w:p>
        </w:tc>
        <w:tc>
          <w:tcPr>
            <w:tcW w:w="777" w:type="dxa"/>
            <w:tcBorders>
              <w:top w:val="nil"/>
              <w:left w:val="nil"/>
              <w:bottom w:val="single" w:sz="4" w:space="0" w:color="auto"/>
              <w:right w:val="single" w:sz="4" w:space="0" w:color="auto"/>
            </w:tcBorders>
            <w:vAlign w:val="center"/>
            <w:hideMark/>
          </w:tcPr>
          <w:p w14:paraId="3446A2BF"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14DE40F2"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2225</w:t>
            </w:r>
          </w:p>
        </w:tc>
        <w:tc>
          <w:tcPr>
            <w:tcW w:w="654" w:type="dxa"/>
            <w:tcBorders>
              <w:top w:val="nil"/>
              <w:left w:val="nil"/>
              <w:bottom w:val="single" w:sz="4" w:space="0" w:color="auto"/>
              <w:right w:val="single" w:sz="4" w:space="0" w:color="auto"/>
            </w:tcBorders>
            <w:vAlign w:val="center"/>
            <w:hideMark/>
          </w:tcPr>
          <w:p w14:paraId="2D6E494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499</w:t>
            </w:r>
          </w:p>
        </w:tc>
        <w:tc>
          <w:tcPr>
            <w:tcW w:w="536" w:type="dxa"/>
            <w:tcBorders>
              <w:top w:val="nil"/>
              <w:left w:val="nil"/>
              <w:bottom w:val="single" w:sz="4" w:space="0" w:color="auto"/>
              <w:right w:val="single" w:sz="4" w:space="0" w:color="auto"/>
            </w:tcBorders>
            <w:vAlign w:val="center"/>
            <w:hideMark/>
          </w:tcPr>
          <w:p w14:paraId="7AFECA16"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1B9BBA43"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40455104"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4012</w:t>
            </w:r>
          </w:p>
        </w:tc>
        <w:tc>
          <w:tcPr>
            <w:tcW w:w="569" w:type="dxa"/>
            <w:tcBorders>
              <w:top w:val="nil"/>
              <w:left w:val="nil"/>
              <w:bottom w:val="single" w:sz="4" w:space="0" w:color="auto"/>
              <w:right w:val="single" w:sz="4" w:space="0" w:color="auto"/>
            </w:tcBorders>
            <w:vAlign w:val="center"/>
            <w:hideMark/>
          </w:tcPr>
          <w:p w14:paraId="3E41D487"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875</w:t>
            </w:r>
          </w:p>
        </w:tc>
        <w:tc>
          <w:tcPr>
            <w:tcW w:w="584" w:type="dxa"/>
            <w:tcBorders>
              <w:top w:val="nil"/>
              <w:left w:val="nil"/>
              <w:bottom w:val="single" w:sz="4" w:space="0" w:color="auto"/>
              <w:right w:val="single" w:sz="4" w:space="0" w:color="auto"/>
            </w:tcBorders>
            <w:vAlign w:val="center"/>
            <w:hideMark/>
          </w:tcPr>
          <w:p w14:paraId="7E832338"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07EB15EE"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60B5053B"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2932</w:t>
            </w:r>
          </w:p>
        </w:tc>
        <w:tc>
          <w:tcPr>
            <w:tcW w:w="540" w:type="dxa"/>
            <w:tcBorders>
              <w:top w:val="nil"/>
              <w:left w:val="nil"/>
              <w:bottom w:val="single" w:sz="4" w:space="0" w:color="auto"/>
              <w:right w:val="single" w:sz="4" w:space="0" w:color="auto"/>
            </w:tcBorders>
            <w:vAlign w:val="center"/>
            <w:hideMark/>
          </w:tcPr>
          <w:p w14:paraId="1B96840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214</w:t>
            </w:r>
          </w:p>
        </w:tc>
        <w:tc>
          <w:tcPr>
            <w:tcW w:w="700" w:type="dxa"/>
            <w:tcBorders>
              <w:top w:val="nil"/>
              <w:left w:val="nil"/>
              <w:bottom w:val="single" w:sz="4" w:space="0" w:color="auto"/>
              <w:right w:val="single" w:sz="4" w:space="0" w:color="auto"/>
            </w:tcBorders>
            <w:vAlign w:val="center"/>
            <w:hideMark/>
          </w:tcPr>
          <w:p w14:paraId="7852A620"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67072</w:t>
            </w:r>
          </w:p>
        </w:tc>
        <w:tc>
          <w:tcPr>
            <w:tcW w:w="701" w:type="dxa"/>
            <w:tcBorders>
              <w:top w:val="nil"/>
              <w:left w:val="nil"/>
              <w:bottom w:val="single" w:sz="4" w:space="0" w:color="auto"/>
              <w:right w:val="single" w:sz="4" w:space="0" w:color="auto"/>
            </w:tcBorders>
            <w:vAlign w:val="center"/>
            <w:hideMark/>
          </w:tcPr>
          <w:p w14:paraId="15BC075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8667</w:t>
            </w:r>
          </w:p>
        </w:tc>
        <w:tc>
          <w:tcPr>
            <w:tcW w:w="426" w:type="dxa"/>
            <w:tcBorders>
              <w:top w:val="nil"/>
              <w:left w:val="nil"/>
              <w:bottom w:val="single" w:sz="4" w:space="0" w:color="auto"/>
              <w:right w:val="single" w:sz="4" w:space="0" w:color="auto"/>
            </w:tcBorders>
            <w:vAlign w:val="center"/>
            <w:hideMark/>
          </w:tcPr>
          <w:p w14:paraId="6971ABA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48D22D55"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0E39A8E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C99E4A3"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26E5006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3A4C67CC"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2036DFCB"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4547</w:t>
            </w:r>
          </w:p>
        </w:tc>
        <w:tc>
          <w:tcPr>
            <w:tcW w:w="654" w:type="dxa"/>
            <w:tcBorders>
              <w:top w:val="nil"/>
              <w:left w:val="nil"/>
              <w:bottom w:val="single" w:sz="4" w:space="0" w:color="auto"/>
              <w:right w:val="single" w:sz="4" w:space="0" w:color="auto"/>
            </w:tcBorders>
            <w:vAlign w:val="center"/>
            <w:hideMark/>
          </w:tcPr>
          <w:p w14:paraId="74342AB0"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543</w:t>
            </w:r>
          </w:p>
        </w:tc>
        <w:tc>
          <w:tcPr>
            <w:tcW w:w="536" w:type="dxa"/>
            <w:tcBorders>
              <w:top w:val="nil"/>
              <w:left w:val="nil"/>
              <w:bottom w:val="single" w:sz="4" w:space="0" w:color="auto"/>
              <w:right w:val="single" w:sz="4" w:space="0" w:color="auto"/>
            </w:tcBorders>
            <w:vAlign w:val="center"/>
            <w:hideMark/>
          </w:tcPr>
          <w:p w14:paraId="105687C5"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45517</w:t>
            </w:r>
          </w:p>
        </w:tc>
        <w:tc>
          <w:tcPr>
            <w:tcW w:w="654" w:type="dxa"/>
            <w:tcBorders>
              <w:top w:val="nil"/>
              <w:left w:val="nil"/>
              <w:bottom w:val="single" w:sz="4" w:space="0" w:color="auto"/>
              <w:right w:val="single" w:sz="4" w:space="0" w:color="auto"/>
            </w:tcBorders>
            <w:vAlign w:val="center"/>
            <w:hideMark/>
          </w:tcPr>
          <w:p w14:paraId="62A33E59"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9212</w:t>
            </w:r>
          </w:p>
        </w:tc>
        <w:tc>
          <w:tcPr>
            <w:tcW w:w="621" w:type="dxa"/>
            <w:tcBorders>
              <w:top w:val="nil"/>
              <w:left w:val="nil"/>
              <w:bottom w:val="single" w:sz="4" w:space="0" w:color="auto"/>
              <w:right w:val="single" w:sz="4" w:space="0" w:color="auto"/>
            </w:tcBorders>
            <w:vAlign w:val="center"/>
            <w:hideMark/>
          </w:tcPr>
          <w:p w14:paraId="2B9BB580"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96135</w:t>
            </w:r>
          </w:p>
        </w:tc>
        <w:tc>
          <w:tcPr>
            <w:tcW w:w="569" w:type="dxa"/>
            <w:tcBorders>
              <w:top w:val="nil"/>
              <w:left w:val="nil"/>
              <w:bottom w:val="single" w:sz="4" w:space="0" w:color="auto"/>
              <w:right w:val="single" w:sz="4" w:space="0" w:color="auto"/>
            </w:tcBorders>
            <w:vAlign w:val="center"/>
            <w:hideMark/>
          </w:tcPr>
          <w:p w14:paraId="0F8EA8D3"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14145</w:t>
            </w:r>
          </w:p>
        </w:tc>
        <w:tc>
          <w:tcPr>
            <w:tcW w:w="584" w:type="dxa"/>
            <w:tcBorders>
              <w:top w:val="nil"/>
              <w:left w:val="nil"/>
              <w:bottom w:val="single" w:sz="4" w:space="0" w:color="auto"/>
              <w:right w:val="single" w:sz="4" w:space="0" w:color="auto"/>
            </w:tcBorders>
            <w:vAlign w:val="center"/>
            <w:hideMark/>
          </w:tcPr>
          <w:p w14:paraId="6EEF5867"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223911</w:t>
            </w:r>
          </w:p>
        </w:tc>
        <w:tc>
          <w:tcPr>
            <w:tcW w:w="557" w:type="dxa"/>
            <w:tcBorders>
              <w:top w:val="nil"/>
              <w:left w:val="nil"/>
              <w:bottom w:val="single" w:sz="4" w:space="0" w:color="auto"/>
              <w:right w:val="single" w:sz="4" w:space="0" w:color="auto"/>
            </w:tcBorders>
            <w:vAlign w:val="center"/>
            <w:hideMark/>
          </w:tcPr>
          <w:p w14:paraId="6F1F58A2"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41904</w:t>
            </w:r>
          </w:p>
        </w:tc>
        <w:tc>
          <w:tcPr>
            <w:tcW w:w="630" w:type="dxa"/>
            <w:tcBorders>
              <w:top w:val="nil"/>
              <w:left w:val="nil"/>
              <w:bottom w:val="single" w:sz="4" w:space="0" w:color="auto"/>
              <w:right w:val="single" w:sz="4" w:space="0" w:color="auto"/>
            </w:tcBorders>
            <w:vAlign w:val="center"/>
            <w:hideMark/>
          </w:tcPr>
          <w:p w14:paraId="20982A60"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101266</w:t>
            </w:r>
          </w:p>
        </w:tc>
        <w:tc>
          <w:tcPr>
            <w:tcW w:w="540" w:type="dxa"/>
            <w:tcBorders>
              <w:top w:val="nil"/>
              <w:left w:val="nil"/>
              <w:bottom w:val="single" w:sz="4" w:space="0" w:color="auto"/>
              <w:right w:val="single" w:sz="4" w:space="0" w:color="auto"/>
            </w:tcBorders>
            <w:vAlign w:val="center"/>
            <w:hideMark/>
          </w:tcPr>
          <w:p w14:paraId="089E7188"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23038</w:t>
            </w:r>
          </w:p>
        </w:tc>
        <w:tc>
          <w:tcPr>
            <w:tcW w:w="700" w:type="dxa"/>
            <w:tcBorders>
              <w:top w:val="nil"/>
              <w:left w:val="nil"/>
              <w:bottom w:val="single" w:sz="4" w:space="0" w:color="auto"/>
              <w:right w:val="single" w:sz="4" w:space="0" w:color="auto"/>
            </w:tcBorders>
            <w:vAlign w:val="center"/>
            <w:hideMark/>
          </w:tcPr>
          <w:p w14:paraId="41761AE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554268</w:t>
            </w:r>
          </w:p>
        </w:tc>
        <w:tc>
          <w:tcPr>
            <w:tcW w:w="701" w:type="dxa"/>
            <w:tcBorders>
              <w:top w:val="nil"/>
              <w:left w:val="nil"/>
              <w:bottom w:val="single" w:sz="4" w:space="0" w:color="auto"/>
              <w:right w:val="single" w:sz="4" w:space="0" w:color="auto"/>
            </w:tcBorders>
            <w:vAlign w:val="center"/>
            <w:hideMark/>
          </w:tcPr>
          <w:p w14:paraId="6AF358CC"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114915</w:t>
            </w:r>
          </w:p>
        </w:tc>
        <w:tc>
          <w:tcPr>
            <w:tcW w:w="426" w:type="dxa"/>
            <w:tcBorders>
              <w:top w:val="nil"/>
              <w:left w:val="nil"/>
              <w:bottom w:val="single" w:sz="4" w:space="0" w:color="auto"/>
              <w:right w:val="single" w:sz="4" w:space="0" w:color="auto"/>
            </w:tcBorders>
            <w:vAlign w:val="center"/>
            <w:hideMark/>
          </w:tcPr>
          <w:p w14:paraId="14A2897E"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3A815228"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22A9D5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510FCEE"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7C428F5"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0B63E11A"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11BF485D"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6772</w:t>
            </w:r>
          </w:p>
        </w:tc>
        <w:tc>
          <w:tcPr>
            <w:tcW w:w="654" w:type="dxa"/>
            <w:tcBorders>
              <w:top w:val="nil"/>
              <w:left w:val="nil"/>
              <w:bottom w:val="single" w:sz="4" w:space="0" w:color="auto"/>
              <w:right w:val="single" w:sz="4" w:space="0" w:color="auto"/>
            </w:tcBorders>
            <w:vAlign w:val="center"/>
            <w:hideMark/>
          </w:tcPr>
          <w:p w14:paraId="7247C7D0"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11042</w:t>
            </w:r>
          </w:p>
        </w:tc>
        <w:tc>
          <w:tcPr>
            <w:tcW w:w="536" w:type="dxa"/>
            <w:tcBorders>
              <w:top w:val="nil"/>
              <w:left w:val="nil"/>
              <w:bottom w:val="single" w:sz="4" w:space="0" w:color="auto"/>
              <w:right w:val="single" w:sz="4" w:space="0" w:color="auto"/>
            </w:tcBorders>
            <w:vAlign w:val="center"/>
            <w:hideMark/>
          </w:tcPr>
          <w:p w14:paraId="46C960F6"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45517</w:t>
            </w:r>
          </w:p>
        </w:tc>
        <w:tc>
          <w:tcPr>
            <w:tcW w:w="654" w:type="dxa"/>
            <w:tcBorders>
              <w:top w:val="nil"/>
              <w:left w:val="nil"/>
              <w:bottom w:val="single" w:sz="4" w:space="0" w:color="auto"/>
              <w:right w:val="single" w:sz="4" w:space="0" w:color="auto"/>
            </w:tcBorders>
            <w:vAlign w:val="center"/>
            <w:hideMark/>
          </w:tcPr>
          <w:p w14:paraId="36999482"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9212</w:t>
            </w:r>
          </w:p>
        </w:tc>
        <w:tc>
          <w:tcPr>
            <w:tcW w:w="621" w:type="dxa"/>
            <w:tcBorders>
              <w:top w:val="nil"/>
              <w:left w:val="nil"/>
              <w:bottom w:val="single" w:sz="4" w:space="0" w:color="auto"/>
              <w:right w:val="single" w:sz="4" w:space="0" w:color="auto"/>
            </w:tcBorders>
            <w:vAlign w:val="center"/>
            <w:hideMark/>
          </w:tcPr>
          <w:p w14:paraId="3CE32295"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100147</w:t>
            </w:r>
          </w:p>
        </w:tc>
        <w:tc>
          <w:tcPr>
            <w:tcW w:w="569" w:type="dxa"/>
            <w:tcBorders>
              <w:top w:val="nil"/>
              <w:left w:val="nil"/>
              <w:bottom w:val="single" w:sz="4" w:space="0" w:color="auto"/>
              <w:right w:val="single" w:sz="4" w:space="0" w:color="auto"/>
            </w:tcBorders>
            <w:vAlign w:val="center"/>
            <w:hideMark/>
          </w:tcPr>
          <w:p w14:paraId="70B2826C"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15020</w:t>
            </w:r>
          </w:p>
        </w:tc>
        <w:tc>
          <w:tcPr>
            <w:tcW w:w="584" w:type="dxa"/>
            <w:tcBorders>
              <w:top w:val="nil"/>
              <w:left w:val="nil"/>
              <w:bottom w:val="single" w:sz="4" w:space="0" w:color="auto"/>
              <w:right w:val="single" w:sz="4" w:space="0" w:color="auto"/>
            </w:tcBorders>
            <w:vAlign w:val="center"/>
            <w:hideMark/>
          </w:tcPr>
          <w:p w14:paraId="0B425057"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223911</w:t>
            </w:r>
          </w:p>
        </w:tc>
        <w:tc>
          <w:tcPr>
            <w:tcW w:w="557" w:type="dxa"/>
            <w:tcBorders>
              <w:top w:val="nil"/>
              <w:left w:val="nil"/>
              <w:bottom w:val="single" w:sz="4" w:space="0" w:color="auto"/>
              <w:right w:val="single" w:sz="4" w:space="0" w:color="auto"/>
            </w:tcBorders>
            <w:vAlign w:val="center"/>
            <w:hideMark/>
          </w:tcPr>
          <w:p w14:paraId="0A10CAB0"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41904</w:t>
            </w:r>
          </w:p>
        </w:tc>
        <w:tc>
          <w:tcPr>
            <w:tcW w:w="630" w:type="dxa"/>
            <w:tcBorders>
              <w:top w:val="nil"/>
              <w:left w:val="nil"/>
              <w:bottom w:val="single" w:sz="4" w:space="0" w:color="auto"/>
              <w:right w:val="single" w:sz="4" w:space="0" w:color="auto"/>
            </w:tcBorders>
            <w:vAlign w:val="center"/>
            <w:hideMark/>
          </w:tcPr>
          <w:p w14:paraId="413C7470"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104198</w:t>
            </w:r>
          </w:p>
        </w:tc>
        <w:tc>
          <w:tcPr>
            <w:tcW w:w="540" w:type="dxa"/>
            <w:tcBorders>
              <w:top w:val="nil"/>
              <w:left w:val="nil"/>
              <w:bottom w:val="single" w:sz="4" w:space="0" w:color="auto"/>
              <w:right w:val="single" w:sz="4" w:space="0" w:color="auto"/>
            </w:tcBorders>
            <w:vAlign w:val="center"/>
            <w:hideMark/>
          </w:tcPr>
          <w:p w14:paraId="474BD6DC"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23252</w:t>
            </w:r>
          </w:p>
        </w:tc>
        <w:tc>
          <w:tcPr>
            <w:tcW w:w="700" w:type="dxa"/>
            <w:tcBorders>
              <w:top w:val="nil"/>
              <w:left w:val="nil"/>
              <w:bottom w:val="single" w:sz="4" w:space="0" w:color="auto"/>
              <w:right w:val="single" w:sz="4" w:space="0" w:color="auto"/>
            </w:tcBorders>
            <w:vAlign w:val="center"/>
            <w:hideMark/>
          </w:tcPr>
          <w:p w14:paraId="437E9E86"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621340</w:t>
            </w:r>
          </w:p>
        </w:tc>
        <w:tc>
          <w:tcPr>
            <w:tcW w:w="701" w:type="dxa"/>
            <w:tcBorders>
              <w:top w:val="nil"/>
              <w:left w:val="nil"/>
              <w:bottom w:val="single" w:sz="4" w:space="0" w:color="auto"/>
              <w:right w:val="single" w:sz="4" w:space="0" w:color="auto"/>
            </w:tcBorders>
            <w:vAlign w:val="center"/>
            <w:hideMark/>
          </w:tcPr>
          <w:p w14:paraId="6B944408"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123582</w:t>
            </w:r>
          </w:p>
        </w:tc>
        <w:tc>
          <w:tcPr>
            <w:tcW w:w="426" w:type="dxa"/>
            <w:tcBorders>
              <w:top w:val="nil"/>
              <w:left w:val="nil"/>
              <w:bottom w:val="single" w:sz="4" w:space="0" w:color="auto"/>
              <w:right w:val="single" w:sz="4" w:space="0" w:color="auto"/>
            </w:tcBorders>
            <w:vAlign w:val="center"/>
            <w:hideMark/>
          </w:tcPr>
          <w:p w14:paraId="3202E071"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124</w:t>
            </w:r>
          </w:p>
        </w:tc>
        <w:tc>
          <w:tcPr>
            <w:tcW w:w="503" w:type="dxa"/>
            <w:tcBorders>
              <w:top w:val="nil"/>
              <w:left w:val="nil"/>
              <w:bottom w:val="single" w:sz="4" w:space="0" w:color="auto"/>
              <w:right w:val="single" w:sz="4" w:space="0" w:color="auto"/>
            </w:tcBorders>
            <w:vAlign w:val="center"/>
            <w:hideMark/>
          </w:tcPr>
          <w:p w14:paraId="33691A81"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93</w:t>
            </w:r>
          </w:p>
        </w:tc>
      </w:tr>
      <w:tr w:rsidR="004705D2" w:rsidRPr="004705D2" w14:paraId="1328AC83"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7E290E3"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21</w:t>
            </w:r>
          </w:p>
        </w:tc>
        <w:tc>
          <w:tcPr>
            <w:tcW w:w="808" w:type="dxa"/>
            <w:tcBorders>
              <w:top w:val="nil"/>
              <w:left w:val="nil"/>
              <w:bottom w:val="single" w:sz="4" w:space="0" w:color="auto"/>
              <w:right w:val="single" w:sz="4" w:space="0" w:color="auto"/>
            </w:tcBorders>
            <w:vAlign w:val="center"/>
            <w:hideMark/>
          </w:tcPr>
          <w:p w14:paraId="69DD011F"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Sikkim</w:t>
            </w:r>
          </w:p>
        </w:tc>
        <w:tc>
          <w:tcPr>
            <w:tcW w:w="777" w:type="dxa"/>
            <w:tcBorders>
              <w:top w:val="nil"/>
              <w:left w:val="nil"/>
              <w:bottom w:val="single" w:sz="4" w:space="0" w:color="auto"/>
              <w:right w:val="single" w:sz="4" w:space="0" w:color="auto"/>
            </w:tcBorders>
            <w:vAlign w:val="center"/>
            <w:hideMark/>
          </w:tcPr>
          <w:p w14:paraId="5E80E5FD"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1204120D"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4467</w:t>
            </w:r>
          </w:p>
        </w:tc>
        <w:tc>
          <w:tcPr>
            <w:tcW w:w="654" w:type="dxa"/>
            <w:tcBorders>
              <w:top w:val="nil"/>
              <w:left w:val="nil"/>
              <w:bottom w:val="single" w:sz="4" w:space="0" w:color="auto"/>
              <w:right w:val="single" w:sz="4" w:space="0" w:color="auto"/>
            </w:tcBorders>
            <w:vAlign w:val="center"/>
            <w:hideMark/>
          </w:tcPr>
          <w:p w14:paraId="413528D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830</w:t>
            </w:r>
          </w:p>
        </w:tc>
        <w:tc>
          <w:tcPr>
            <w:tcW w:w="536" w:type="dxa"/>
            <w:tcBorders>
              <w:top w:val="nil"/>
              <w:left w:val="nil"/>
              <w:bottom w:val="single" w:sz="4" w:space="0" w:color="auto"/>
              <w:right w:val="single" w:sz="4" w:space="0" w:color="auto"/>
            </w:tcBorders>
            <w:vAlign w:val="center"/>
            <w:hideMark/>
          </w:tcPr>
          <w:p w14:paraId="2F6D32E0"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2804</w:t>
            </w:r>
          </w:p>
        </w:tc>
        <w:tc>
          <w:tcPr>
            <w:tcW w:w="654" w:type="dxa"/>
            <w:tcBorders>
              <w:top w:val="nil"/>
              <w:left w:val="nil"/>
              <w:bottom w:val="single" w:sz="4" w:space="0" w:color="auto"/>
              <w:right w:val="single" w:sz="4" w:space="0" w:color="auto"/>
            </w:tcBorders>
            <w:vAlign w:val="center"/>
            <w:hideMark/>
          </w:tcPr>
          <w:p w14:paraId="0B4582A3"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407</w:t>
            </w:r>
          </w:p>
        </w:tc>
        <w:tc>
          <w:tcPr>
            <w:tcW w:w="621" w:type="dxa"/>
            <w:tcBorders>
              <w:top w:val="nil"/>
              <w:left w:val="nil"/>
              <w:bottom w:val="single" w:sz="4" w:space="0" w:color="auto"/>
              <w:right w:val="single" w:sz="4" w:space="0" w:color="auto"/>
            </w:tcBorders>
            <w:vAlign w:val="center"/>
            <w:hideMark/>
          </w:tcPr>
          <w:p w14:paraId="04B150BB"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3291</w:t>
            </w:r>
          </w:p>
        </w:tc>
        <w:tc>
          <w:tcPr>
            <w:tcW w:w="569" w:type="dxa"/>
            <w:tcBorders>
              <w:top w:val="nil"/>
              <w:left w:val="nil"/>
              <w:bottom w:val="single" w:sz="4" w:space="0" w:color="auto"/>
              <w:right w:val="single" w:sz="4" w:space="0" w:color="auto"/>
            </w:tcBorders>
            <w:vAlign w:val="center"/>
            <w:hideMark/>
          </w:tcPr>
          <w:p w14:paraId="2172BB2D"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99</w:t>
            </w:r>
          </w:p>
        </w:tc>
        <w:tc>
          <w:tcPr>
            <w:tcW w:w="584" w:type="dxa"/>
            <w:tcBorders>
              <w:top w:val="nil"/>
              <w:left w:val="nil"/>
              <w:bottom w:val="single" w:sz="4" w:space="0" w:color="auto"/>
              <w:right w:val="single" w:sz="4" w:space="0" w:color="auto"/>
            </w:tcBorders>
            <w:vAlign w:val="center"/>
            <w:hideMark/>
          </w:tcPr>
          <w:p w14:paraId="49836B63"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2237</w:t>
            </w:r>
          </w:p>
        </w:tc>
        <w:tc>
          <w:tcPr>
            <w:tcW w:w="557" w:type="dxa"/>
            <w:tcBorders>
              <w:top w:val="nil"/>
              <w:left w:val="nil"/>
              <w:bottom w:val="single" w:sz="4" w:space="0" w:color="auto"/>
              <w:right w:val="single" w:sz="4" w:space="0" w:color="auto"/>
            </w:tcBorders>
            <w:vAlign w:val="center"/>
            <w:hideMark/>
          </w:tcPr>
          <w:p w14:paraId="51BB9E17"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419</w:t>
            </w:r>
          </w:p>
        </w:tc>
        <w:tc>
          <w:tcPr>
            <w:tcW w:w="630" w:type="dxa"/>
            <w:tcBorders>
              <w:top w:val="nil"/>
              <w:left w:val="nil"/>
              <w:bottom w:val="single" w:sz="4" w:space="0" w:color="auto"/>
              <w:right w:val="single" w:sz="4" w:space="0" w:color="auto"/>
            </w:tcBorders>
            <w:vAlign w:val="center"/>
            <w:hideMark/>
          </w:tcPr>
          <w:p w14:paraId="25ACAC21"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3277</w:t>
            </w:r>
          </w:p>
        </w:tc>
        <w:tc>
          <w:tcPr>
            <w:tcW w:w="540" w:type="dxa"/>
            <w:tcBorders>
              <w:top w:val="nil"/>
              <w:left w:val="nil"/>
              <w:bottom w:val="single" w:sz="4" w:space="0" w:color="auto"/>
              <w:right w:val="single" w:sz="4" w:space="0" w:color="auto"/>
            </w:tcBorders>
            <w:vAlign w:val="center"/>
            <w:hideMark/>
          </w:tcPr>
          <w:p w14:paraId="6C54244F"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851</w:t>
            </w:r>
          </w:p>
        </w:tc>
        <w:tc>
          <w:tcPr>
            <w:tcW w:w="700" w:type="dxa"/>
            <w:tcBorders>
              <w:top w:val="nil"/>
              <w:left w:val="nil"/>
              <w:bottom w:val="single" w:sz="4" w:space="0" w:color="auto"/>
              <w:right w:val="single" w:sz="4" w:space="0" w:color="auto"/>
            </w:tcBorders>
            <w:vAlign w:val="center"/>
            <w:hideMark/>
          </w:tcPr>
          <w:p w14:paraId="7301DEF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16491</w:t>
            </w:r>
          </w:p>
        </w:tc>
        <w:tc>
          <w:tcPr>
            <w:tcW w:w="701" w:type="dxa"/>
            <w:tcBorders>
              <w:top w:val="nil"/>
              <w:left w:val="nil"/>
              <w:bottom w:val="single" w:sz="4" w:space="0" w:color="auto"/>
              <w:right w:val="single" w:sz="4" w:space="0" w:color="auto"/>
            </w:tcBorders>
            <w:vAlign w:val="center"/>
            <w:hideMark/>
          </w:tcPr>
          <w:p w14:paraId="29D46628"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2828</w:t>
            </w:r>
          </w:p>
        </w:tc>
        <w:tc>
          <w:tcPr>
            <w:tcW w:w="426" w:type="dxa"/>
            <w:tcBorders>
              <w:top w:val="nil"/>
              <w:left w:val="nil"/>
              <w:bottom w:val="single" w:sz="4" w:space="0" w:color="auto"/>
              <w:right w:val="single" w:sz="4" w:space="0" w:color="auto"/>
            </w:tcBorders>
            <w:vAlign w:val="center"/>
            <w:hideMark/>
          </w:tcPr>
          <w:p w14:paraId="545FC2B4"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78BD59BD"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352F26E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A6ED30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28A2077D"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B060160"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606FBE34"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w:t>
            </w:r>
          </w:p>
        </w:tc>
        <w:tc>
          <w:tcPr>
            <w:tcW w:w="654" w:type="dxa"/>
            <w:tcBorders>
              <w:top w:val="nil"/>
              <w:left w:val="nil"/>
              <w:bottom w:val="single" w:sz="4" w:space="0" w:color="auto"/>
              <w:right w:val="single" w:sz="4" w:space="0" w:color="auto"/>
            </w:tcBorders>
            <w:vAlign w:val="center"/>
            <w:hideMark/>
          </w:tcPr>
          <w:p w14:paraId="39E0B452"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w:t>
            </w:r>
          </w:p>
        </w:tc>
        <w:tc>
          <w:tcPr>
            <w:tcW w:w="536" w:type="dxa"/>
            <w:tcBorders>
              <w:top w:val="nil"/>
              <w:left w:val="nil"/>
              <w:bottom w:val="single" w:sz="4" w:space="0" w:color="auto"/>
              <w:right w:val="single" w:sz="4" w:space="0" w:color="auto"/>
            </w:tcBorders>
            <w:vAlign w:val="center"/>
            <w:hideMark/>
          </w:tcPr>
          <w:p w14:paraId="7C72890C"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51009AB4"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1F3BC349"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52BF7D7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173D360B"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224F087C"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4D053145"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5B40150F"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4474B6F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486</w:t>
            </w:r>
          </w:p>
        </w:tc>
        <w:tc>
          <w:tcPr>
            <w:tcW w:w="701" w:type="dxa"/>
            <w:tcBorders>
              <w:top w:val="nil"/>
              <w:left w:val="nil"/>
              <w:bottom w:val="single" w:sz="4" w:space="0" w:color="auto"/>
              <w:right w:val="single" w:sz="4" w:space="0" w:color="auto"/>
            </w:tcBorders>
            <w:vAlign w:val="center"/>
            <w:hideMark/>
          </w:tcPr>
          <w:p w14:paraId="4C9D003F"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w:t>
            </w:r>
          </w:p>
        </w:tc>
        <w:tc>
          <w:tcPr>
            <w:tcW w:w="426" w:type="dxa"/>
            <w:tcBorders>
              <w:top w:val="nil"/>
              <w:left w:val="nil"/>
              <w:bottom w:val="single" w:sz="4" w:space="0" w:color="auto"/>
              <w:right w:val="single" w:sz="4" w:space="0" w:color="auto"/>
            </w:tcBorders>
            <w:vAlign w:val="center"/>
            <w:hideMark/>
          </w:tcPr>
          <w:p w14:paraId="3E1F3FC9"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4FDEE620"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8D5B7D6"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CF343A0"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B7652AD"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54E92F0"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0267BDBC"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4488</w:t>
            </w:r>
          </w:p>
        </w:tc>
        <w:tc>
          <w:tcPr>
            <w:tcW w:w="654" w:type="dxa"/>
            <w:tcBorders>
              <w:top w:val="nil"/>
              <w:left w:val="nil"/>
              <w:bottom w:val="single" w:sz="4" w:space="0" w:color="auto"/>
              <w:right w:val="single" w:sz="4" w:space="0" w:color="auto"/>
            </w:tcBorders>
            <w:vAlign w:val="center"/>
            <w:hideMark/>
          </w:tcPr>
          <w:p w14:paraId="60E67FC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840</w:t>
            </w:r>
          </w:p>
        </w:tc>
        <w:tc>
          <w:tcPr>
            <w:tcW w:w="536" w:type="dxa"/>
            <w:tcBorders>
              <w:top w:val="nil"/>
              <w:left w:val="nil"/>
              <w:bottom w:val="single" w:sz="4" w:space="0" w:color="auto"/>
              <w:right w:val="single" w:sz="4" w:space="0" w:color="auto"/>
            </w:tcBorders>
            <w:vAlign w:val="center"/>
            <w:hideMark/>
          </w:tcPr>
          <w:p w14:paraId="05C0F520"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2804</w:t>
            </w:r>
          </w:p>
        </w:tc>
        <w:tc>
          <w:tcPr>
            <w:tcW w:w="654" w:type="dxa"/>
            <w:tcBorders>
              <w:top w:val="nil"/>
              <w:left w:val="nil"/>
              <w:bottom w:val="single" w:sz="4" w:space="0" w:color="auto"/>
              <w:right w:val="single" w:sz="4" w:space="0" w:color="auto"/>
            </w:tcBorders>
            <w:vAlign w:val="center"/>
            <w:hideMark/>
          </w:tcPr>
          <w:p w14:paraId="56889275"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407</w:t>
            </w:r>
          </w:p>
        </w:tc>
        <w:tc>
          <w:tcPr>
            <w:tcW w:w="621" w:type="dxa"/>
            <w:tcBorders>
              <w:top w:val="nil"/>
              <w:left w:val="nil"/>
              <w:bottom w:val="single" w:sz="4" w:space="0" w:color="auto"/>
              <w:right w:val="single" w:sz="4" w:space="0" w:color="auto"/>
            </w:tcBorders>
            <w:vAlign w:val="center"/>
            <w:hideMark/>
          </w:tcPr>
          <w:p w14:paraId="5067776E"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3291</w:t>
            </w:r>
          </w:p>
        </w:tc>
        <w:tc>
          <w:tcPr>
            <w:tcW w:w="569" w:type="dxa"/>
            <w:tcBorders>
              <w:top w:val="nil"/>
              <w:left w:val="nil"/>
              <w:bottom w:val="single" w:sz="4" w:space="0" w:color="auto"/>
              <w:right w:val="single" w:sz="4" w:space="0" w:color="auto"/>
            </w:tcBorders>
            <w:vAlign w:val="center"/>
            <w:hideMark/>
          </w:tcPr>
          <w:p w14:paraId="2C5DAA80"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99</w:t>
            </w:r>
          </w:p>
        </w:tc>
        <w:tc>
          <w:tcPr>
            <w:tcW w:w="584" w:type="dxa"/>
            <w:tcBorders>
              <w:top w:val="nil"/>
              <w:left w:val="nil"/>
              <w:bottom w:val="single" w:sz="4" w:space="0" w:color="auto"/>
              <w:right w:val="single" w:sz="4" w:space="0" w:color="auto"/>
            </w:tcBorders>
            <w:vAlign w:val="center"/>
            <w:hideMark/>
          </w:tcPr>
          <w:p w14:paraId="2062CDCA"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2237</w:t>
            </w:r>
          </w:p>
        </w:tc>
        <w:tc>
          <w:tcPr>
            <w:tcW w:w="557" w:type="dxa"/>
            <w:tcBorders>
              <w:top w:val="nil"/>
              <w:left w:val="nil"/>
              <w:bottom w:val="single" w:sz="4" w:space="0" w:color="auto"/>
              <w:right w:val="single" w:sz="4" w:space="0" w:color="auto"/>
            </w:tcBorders>
            <w:vAlign w:val="center"/>
            <w:hideMark/>
          </w:tcPr>
          <w:p w14:paraId="097D7755"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419</w:t>
            </w:r>
          </w:p>
        </w:tc>
        <w:tc>
          <w:tcPr>
            <w:tcW w:w="630" w:type="dxa"/>
            <w:tcBorders>
              <w:top w:val="nil"/>
              <w:left w:val="nil"/>
              <w:bottom w:val="single" w:sz="4" w:space="0" w:color="auto"/>
              <w:right w:val="single" w:sz="4" w:space="0" w:color="auto"/>
            </w:tcBorders>
            <w:vAlign w:val="center"/>
            <w:hideMark/>
          </w:tcPr>
          <w:p w14:paraId="2D57AD28"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3277</w:t>
            </w:r>
          </w:p>
        </w:tc>
        <w:tc>
          <w:tcPr>
            <w:tcW w:w="540" w:type="dxa"/>
            <w:tcBorders>
              <w:top w:val="nil"/>
              <w:left w:val="nil"/>
              <w:bottom w:val="single" w:sz="4" w:space="0" w:color="auto"/>
              <w:right w:val="single" w:sz="4" w:space="0" w:color="auto"/>
            </w:tcBorders>
            <w:vAlign w:val="center"/>
            <w:hideMark/>
          </w:tcPr>
          <w:p w14:paraId="179A90A1"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851</w:t>
            </w:r>
          </w:p>
        </w:tc>
        <w:tc>
          <w:tcPr>
            <w:tcW w:w="700" w:type="dxa"/>
            <w:tcBorders>
              <w:top w:val="nil"/>
              <w:left w:val="nil"/>
              <w:bottom w:val="single" w:sz="4" w:space="0" w:color="auto"/>
              <w:right w:val="single" w:sz="4" w:space="0" w:color="auto"/>
            </w:tcBorders>
            <w:vAlign w:val="center"/>
            <w:hideMark/>
          </w:tcPr>
          <w:p w14:paraId="1FAB33B4"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16977</w:t>
            </w:r>
          </w:p>
        </w:tc>
        <w:tc>
          <w:tcPr>
            <w:tcW w:w="701" w:type="dxa"/>
            <w:tcBorders>
              <w:top w:val="nil"/>
              <w:left w:val="nil"/>
              <w:bottom w:val="single" w:sz="4" w:space="0" w:color="auto"/>
              <w:right w:val="single" w:sz="4" w:space="0" w:color="auto"/>
            </w:tcBorders>
            <w:vAlign w:val="center"/>
            <w:hideMark/>
          </w:tcPr>
          <w:p w14:paraId="05EB313F"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2859</w:t>
            </w:r>
          </w:p>
        </w:tc>
        <w:tc>
          <w:tcPr>
            <w:tcW w:w="426" w:type="dxa"/>
            <w:tcBorders>
              <w:top w:val="nil"/>
              <w:left w:val="nil"/>
              <w:bottom w:val="single" w:sz="4" w:space="0" w:color="auto"/>
              <w:right w:val="single" w:sz="4" w:space="0" w:color="auto"/>
            </w:tcBorders>
            <w:vAlign w:val="center"/>
            <w:hideMark/>
          </w:tcPr>
          <w:p w14:paraId="2ACD01D9"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w:t>
            </w:r>
          </w:p>
        </w:tc>
        <w:tc>
          <w:tcPr>
            <w:tcW w:w="503" w:type="dxa"/>
            <w:tcBorders>
              <w:top w:val="nil"/>
              <w:left w:val="nil"/>
              <w:bottom w:val="single" w:sz="4" w:space="0" w:color="auto"/>
              <w:right w:val="single" w:sz="4" w:space="0" w:color="auto"/>
            </w:tcBorders>
            <w:vAlign w:val="center"/>
            <w:hideMark/>
          </w:tcPr>
          <w:p w14:paraId="15CCB202"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2.25</w:t>
            </w:r>
          </w:p>
        </w:tc>
      </w:tr>
      <w:tr w:rsidR="004705D2" w:rsidRPr="004705D2" w14:paraId="10EBB630"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69FA8706"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22</w:t>
            </w:r>
          </w:p>
        </w:tc>
        <w:tc>
          <w:tcPr>
            <w:tcW w:w="808" w:type="dxa"/>
            <w:tcBorders>
              <w:top w:val="nil"/>
              <w:left w:val="nil"/>
              <w:bottom w:val="single" w:sz="4" w:space="0" w:color="auto"/>
              <w:right w:val="single" w:sz="4" w:space="0" w:color="auto"/>
            </w:tcBorders>
            <w:vAlign w:val="center"/>
            <w:hideMark/>
          </w:tcPr>
          <w:p w14:paraId="4B1ADBC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Tamil Nadu</w:t>
            </w:r>
          </w:p>
        </w:tc>
        <w:tc>
          <w:tcPr>
            <w:tcW w:w="777" w:type="dxa"/>
            <w:tcBorders>
              <w:top w:val="nil"/>
              <w:left w:val="nil"/>
              <w:bottom w:val="single" w:sz="4" w:space="0" w:color="auto"/>
              <w:right w:val="single" w:sz="4" w:space="0" w:color="auto"/>
            </w:tcBorders>
            <w:vAlign w:val="center"/>
            <w:hideMark/>
          </w:tcPr>
          <w:p w14:paraId="606F3385"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25184C4F"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10678</w:t>
            </w:r>
          </w:p>
        </w:tc>
        <w:tc>
          <w:tcPr>
            <w:tcW w:w="654" w:type="dxa"/>
            <w:tcBorders>
              <w:top w:val="nil"/>
              <w:left w:val="nil"/>
              <w:bottom w:val="single" w:sz="4" w:space="0" w:color="auto"/>
              <w:right w:val="single" w:sz="4" w:space="0" w:color="auto"/>
            </w:tcBorders>
            <w:vAlign w:val="center"/>
            <w:hideMark/>
          </w:tcPr>
          <w:p w14:paraId="3034481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2799</w:t>
            </w:r>
          </w:p>
        </w:tc>
        <w:tc>
          <w:tcPr>
            <w:tcW w:w="536" w:type="dxa"/>
            <w:tcBorders>
              <w:top w:val="nil"/>
              <w:left w:val="nil"/>
              <w:bottom w:val="single" w:sz="4" w:space="0" w:color="auto"/>
              <w:right w:val="single" w:sz="4" w:space="0" w:color="auto"/>
            </w:tcBorders>
            <w:vAlign w:val="center"/>
            <w:hideMark/>
          </w:tcPr>
          <w:p w14:paraId="60BF836F"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18201</w:t>
            </w:r>
          </w:p>
        </w:tc>
        <w:tc>
          <w:tcPr>
            <w:tcW w:w="654" w:type="dxa"/>
            <w:tcBorders>
              <w:top w:val="nil"/>
              <w:left w:val="nil"/>
              <w:bottom w:val="single" w:sz="4" w:space="0" w:color="auto"/>
              <w:right w:val="single" w:sz="4" w:space="0" w:color="auto"/>
            </w:tcBorders>
            <w:vAlign w:val="center"/>
            <w:hideMark/>
          </w:tcPr>
          <w:p w14:paraId="2E221FAD"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6781</w:t>
            </w:r>
          </w:p>
        </w:tc>
        <w:tc>
          <w:tcPr>
            <w:tcW w:w="621" w:type="dxa"/>
            <w:tcBorders>
              <w:top w:val="nil"/>
              <w:left w:val="nil"/>
              <w:bottom w:val="single" w:sz="4" w:space="0" w:color="auto"/>
              <w:right w:val="single" w:sz="4" w:space="0" w:color="auto"/>
            </w:tcBorders>
            <w:vAlign w:val="center"/>
            <w:hideMark/>
          </w:tcPr>
          <w:p w14:paraId="6E260E54"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4500AE97"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4636BD48"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3D08589C"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043C3044"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14146125"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6CDF8402"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50062</w:t>
            </w:r>
          </w:p>
        </w:tc>
        <w:tc>
          <w:tcPr>
            <w:tcW w:w="701" w:type="dxa"/>
            <w:tcBorders>
              <w:top w:val="nil"/>
              <w:left w:val="nil"/>
              <w:bottom w:val="single" w:sz="4" w:space="0" w:color="auto"/>
              <w:right w:val="single" w:sz="4" w:space="0" w:color="auto"/>
            </w:tcBorders>
            <w:vAlign w:val="center"/>
            <w:hideMark/>
          </w:tcPr>
          <w:p w14:paraId="55D82A1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15949</w:t>
            </w:r>
          </w:p>
        </w:tc>
        <w:tc>
          <w:tcPr>
            <w:tcW w:w="426" w:type="dxa"/>
            <w:tcBorders>
              <w:top w:val="nil"/>
              <w:left w:val="nil"/>
              <w:bottom w:val="single" w:sz="4" w:space="0" w:color="auto"/>
              <w:right w:val="single" w:sz="4" w:space="0" w:color="auto"/>
            </w:tcBorders>
            <w:vAlign w:val="center"/>
            <w:hideMark/>
          </w:tcPr>
          <w:p w14:paraId="60D303BA"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A42D4D5"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CF9A443"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3DB91BDD"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16ED19E"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36C5632"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3E336DB1"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5604071D"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7391C397"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3A0972D0"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17867240"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31002</w:t>
            </w:r>
          </w:p>
        </w:tc>
        <w:tc>
          <w:tcPr>
            <w:tcW w:w="569" w:type="dxa"/>
            <w:tcBorders>
              <w:top w:val="nil"/>
              <w:left w:val="nil"/>
              <w:bottom w:val="single" w:sz="4" w:space="0" w:color="auto"/>
              <w:right w:val="single" w:sz="4" w:space="0" w:color="auto"/>
            </w:tcBorders>
            <w:vAlign w:val="center"/>
            <w:hideMark/>
          </w:tcPr>
          <w:p w14:paraId="1BD9CF2E"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3177</w:t>
            </w:r>
          </w:p>
        </w:tc>
        <w:tc>
          <w:tcPr>
            <w:tcW w:w="584" w:type="dxa"/>
            <w:tcBorders>
              <w:top w:val="nil"/>
              <w:left w:val="nil"/>
              <w:bottom w:val="single" w:sz="4" w:space="0" w:color="auto"/>
              <w:right w:val="single" w:sz="4" w:space="0" w:color="auto"/>
            </w:tcBorders>
            <w:vAlign w:val="center"/>
            <w:hideMark/>
          </w:tcPr>
          <w:p w14:paraId="0DEDC798"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40116</w:t>
            </w:r>
          </w:p>
        </w:tc>
        <w:tc>
          <w:tcPr>
            <w:tcW w:w="557" w:type="dxa"/>
            <w:tcBorders>
              <w:top w:val="nil"/>
              <w:left w:val="nil"/>
              <w:bottom w:val="single" w:sz="4" w:space="0" w:color="auto"/>
              <w:right w:val="single" w:sz="4" w:space="0" w:color="auto"/>
            </w:tcBorders>
            <w:vAlign w:val="center"/>
            <w:hideMark/>
          </w:tcPr>
          <w:p w14:paraId="760EC850"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6143</w:t>
            </w:r>
          </w:p>
        </w:tc>
        <w:tc>
          <w:tcPr>
            <w:tcW w:w="630" w:type="dxa"/>
            <w:tcBorders>
              <w:top w:val="nil"/>
              <w:left w:val="nil"/>
              <w:bottom w:val="single" w:sz="4" w:space="0" w:color="auto"/>
              <w:right w:val="single" w:sz="4" w:space="0" w:color="auto"/>
            </w:tcBorders>
            <w:vAlign w:val="center"/>
            <w:hideMark/>
          </w:tcPr>
          <w:p w14:paraId="3027AAD0"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473</w:t>
            </w:r>
          </w:p>
        </w:tc>
        <w:tc>
          <w:tcPr>
            <w:tcW w:w="540" w:type="dxa"/>
            <w:tcBorders>
              <w:top w:val="nil"/>
              <w:left w:val="nil"/>
              <w:bottom w:val="single" w:sz="4" w:space="0" w:color="auto"/>
              <w:right w:val="single" w:sz="4" w:space="0" w:color="auto"/>
            </w:tcBorders>
            <w:vAlign w:val="center"/>
            <w:hideMark/>
          </w:tcPr>
          <w:p w14:paraId="7CD0A9E0"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473</w:t>
            </w:r>
          </w:p>
        </w:tc>
        <w:tc>
          <w:tcPr>
            <w:tcW w:w="700" w:type="dxa"/>
            <w:tcBorders>
              <w:top w:val="nil"/>
              <w:left w:val="nil"/>
              <w:bottom w:val="single" w:sz="4" w:space="0" w:color="auto"/>
              <w:right w:val="single" w:sz="4" w:space="0" w:color="auto"/>
            </w:tcBorders>
            <w:vAlign w:val="center"/>
            <w:hideMark/>
          </w:tcPr>
          <w:p w14:paraId="6C11FF0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109131</w:t>
            </w:r>
          </w:p>
        </w:tc>
        <w:tc>
          <w:tcPr>
            <w:tcW w:w="701" w:type="dxa"/>
            <w:tcBorders>
              <w:top w:val="nil"/>
              <w:left w:val="nil"/>
              <w:bottom w:val="single" w:sz="4" w:space="0" w:color="auto"/>
              <w:right w:val="single" w:sz="4" w:space="0" w:color="auto"/>
            </w:tcBorders>
            <w:vAlign w:val="center"/>
            <w:hideMark/>
          </w:tcPr>
          <w:p w14:paraId="09722ED4"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22524</w:t>
            </w:r>
          </w:p>
        </w:tc>
        <w:tc>
          <w:tcPr>
            <w:tcW w:w="426" w:type="dxa"/>
            <w:tcBorders>
              <w:top w:val="nil"/>
              <w:left w:val="nil"/>
              <w:bottom w:val="single" w:sz="4" w:space="0" w:color="auto"/>
              <w:right w:val="single" w:sz="4" w:space="0" w:color="auto"/>
            </w:tcBorders>
            <w:vAlign w:val="center"/>
            <w:hideMark/>
          </w:tcPr>
          <w:p w14:paraId="7C7B28CB"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BD8F347"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8560B4E"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401F8464"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426D975"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31710AE9"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58BC6954"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10678</w:t>
            </w:r>
          </w:p>
        </w:tc>
        <w:tc>
          <w:tcPr>
            <w:tcW w:w="654" w:type="dxa"/>
            <w:tcBorders>
              <w:top w:val="nil"/>
              <w:left w:val="nil"/>
              <w:bottom w:val="single" w:sz="4" w:space="0" w:color="auto"/>
              <w:right w:val="single" w:sz="4" w:space="0" w:color="auto"/>
            </w:tcBorders>
            <w:vAlign w:val="center"/>
            <w:hideMark/>
          </w:tcPr>
          <w:p w14:paraId="4F21AFCE"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2799</w:t>
            </w:r>
          </w:p>
        </w:tc>
        <w:tc>
          <w:tcPr>
            <w:tcW w:w="536" w:type="dxa"/>
            <w:tcBorders>
              <w:top w:val="nil"/>
              <w:left w:val="nil"/>
              <w:bottom w:val="single" w:sz="4" w:space="0" w:color="auto"/>
              <w:right w:val="single" w:sz="4" w:space="0" w:color="auto"/>
            </w:tcBorders>
            <w:vAlign w:val="center"/>
            <w:hideMark/>
          </w:tcPr>
          <w:p w14:paraId="5A624814"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18201</w:t>
            </w:r>
          </w:p>
        </w:tc>
        <w:tc>
          <w:tcPr>
            <w:tcW w:w="654" w:type="dxa"/>
            <w:tcBorders>
              <w:top w:val="nil"/>
              <w:left w:val="nil"/>
              <w:bottom w:val="single" w:sz="4" w:space="0" w:color="auto"/>
              <w:right w:val="single" w:sz="4" w:space="0" w:color="auto"/>
            </w:tcBorders>
            <w:vAlign w:val="center"/>
            <w:hideMark/>
          </w:tcPr>
          <w:p w14:paraId="077403BB"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6781</w:t>
            </w:r>
          </w:p>
        </w:tc>
        <w:tc>
          <w:tcPr>
            <w:tcW w:w="621" w:type="dxa"/>
            <w:tcBorders>
              <w:top w:val="nil"/>
              <w:left w:val="nil"/>
              <w:bottom w:val="single" w:sz="4" w:space="0" w:color="auto"/>
              <w:right w:val="single" w:sz="4" w:space="0" w:color="auto"/>
            </w:tcBorders>
            <w:vAlign w:val="center"/>
            <w:hideMark/>
          </w:tcPr>
          <w:p w14:paraId="08BFD5F5"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31002</w:t>
            </w:r>
          </w:p>
        </w:tc>
        <w:tc>
          <w:tcPr>
            <w:tcW w:w="569" w:type="dxa"/>
            <w:tcBorders>
              <w:top w:val="nil"/>
              <w:left w:val="nil"/>
              <w:bottom w:val="single" w:sz="4" w:space="0" w:color="auto"/>
              <w:right w:val="single" w:sz="4" w:space="0" w:color="auto"/>
            </w:tcBorders>
            <w:vAlign w:val="center"/>
            <w:hideMark/>
          </w:tcPr>
          <w:p w14:paraId="427FD43F"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3177</w:t>
            </w:r>
          </w:p>
        </w:tc>
        <w:tc>
          <w:tcPr>
            <w:tcW w:w="584" w:type="dxa"/>
            <w:tcBorders>
              <w:top w:val="nil"/>
              <w:left w:val="nil"/>
              <w:bottom w:val="single" w:sz="4" w:space="0" w:color="auto"/>
              <w:right w:val="single" w:sz="4" w:space="0" w:color="auto"/>
            </w:tcBorders>
            <w:vAlign w:val="center"/>
            <w:hideMark/>
          </w:tcPr>
          <w:p w14:paraId="3CFE503A"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40116</w:t>
            </w:r>
          </w:p>
        </w:tc>
        <w:tc>
          <w:tcPr>
            <w:tcW w:w="557" w:type="dxa"/>
            <w:tcBorders>
              <w:top w:val="nil"/>
              <w:left w:val="nil"/>
              <w:bottom w:val="single" w:sz="4" w:space="0" w:color="auto"/>
              <w:right w:val="single" w:sz="4" w:space="0" w:color="auto"/>
            </w:tcBorders>
            <w:vAlign w:val="center"/>
            <w:hideMark/>
          </w:tcPr>
          <w:p w14:paraId="035884A9"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6143</w:t>
            </w:r>
          </w:p>
        </w:tc>
        <w:tc>
          <w:tcPr>
            <w:tcW w:w="630" w:type="dxa"/>
            <w:tcBorders>
              <w:top w:val="nil"/>
              <w:left w:val="nil"/>
              <w:bottom w:val="single" w:sz="4" w:space="0" w:color="auto"/>
              <w:right w:val="single" w:sz="4" w:space="0" w:color="auto"/>
            </w:tcBorders>
            <w:vAlign w:val="center"/>
            <w:hideMark/>
          </w:tcPr>
          <w:p w14:paraId="75E5F4B9"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473</w:t>
            </w:r>
          </w:p>
        </w:tc>
        <w:tc>
          <w:tcPr>
            <w:tcW w:w="540" w:type="dxa"/>
            <w:tcBorders>
              <w:top w:val="nil"/>
              <w:left w:val="nil"/>
              <w:bottom w:val="single" w:sz="4" w:space="0" w:color="auto"/>
              <w:right w:val="single" w:sz="4" w:space="0" w:color="auto"/>
            </w:tcBorders>
            <w:vAlign w:val="center"/>
            <w:hideMark/>
          </w:tcPr>
          <w:p w14:paraId="11EA594B"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473</w:t>
            </w:r>
          </w:p>
        </w:tc>
        <w:tc>
          <w:tcPr>
            <w:tcW w:w="700" w:type="dxa"/>
            <w:tcBorders>
              <w:top w:val="nil"/>
              <w:left w:val="nil"/>
              <w:bottom w:val="single" w:sz="4" w:space="0" w:color="auto"/>
              <w:right w:val="single" w:sz="4" w:space="0" w:color="auto"/>
            </w:tcBorders>
            <w:vAlign w:val="center"/>
            <w:hideMark/>
          </w:tcPr>
          <w:p w14:paraId="66703DE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159193</w:t>
            </w:r>
          </w:p>
        </w:tc>
        <w:tc>
          <w:tcPr>
            <w:tcW w:w="701" w:type="dxa"/>
            <w:tcBorders>
              <w:top w:val="nil"/>
              <w:left w:val="nil"/>
              <w:bottom w:val="single" w:sz="4" w:space="0" w:color="auto"/>
              <w:right w:val="single" w:sz="4" w:space="0" w:color="auto"/>
            </w:tcBorders>
            <w:vAlign w:val="center"/>
            <w:hideMark/>
          </w:tcPr>
          <w:p w14:paraId="7B04A953"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38473</w:t>
            </w:r>
          </w:p>
        </w:tc>
        <w:tc>
          <w:tcPr>
            <w:tcW w:w="426" w:type="dxa"/>
            <w:tcBorders>
              <w:top w:val="nil"/>
              <w:left w:val="nil"/>
              <w:bottom w:val="single" w:sz="4" w:space="0" w:color="auto"/>
              <w:right w:val="single" w:sz="4" w:space="0" w:color="auto"/>
            </w:tcBorders>
            <w:vAlign w:val="center"/>
            <w:hideMark/>
          </w:tcPr>
          <w:p w14:paraId="7CE0DB7F"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39</w:t>
            </w:r>
          </w:p>
        </w:tc>
        <w:tc>
          <w:tcPr>
            <w:tcW w:w="503" w:type="dxa"/>
            <w:tcBorders>
              <w:top w:val="nil"/>
              <w:left w:val="nil"/>
              <w:bottom w:val="single" w:sz="4" w:space="0" w:color="auto"/>
              <w:right w:val="single" w:sz="4" w:space="0" w:color="auto"/>
            </w:tcBorders>
            <w:vAlign w:val="center"/>
            <w:hideMark/>
          </w:tcPr>
          <w:p w14:paraId="59518B33"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29.25</w:t>
            </w:r>
          </w:p>
        </w:tc>
      </w:tr>
      <w:tr w:rsidR="004705D2" w:rsidRPr="004705D2" w14:paraId="3CA647BE"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7FC78C5"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23</w:t>
            </w:r>
          </w:p>
        </w:tc>
        <w:tc>
          <w:tcPr>
            <w:tcW w:w="808" w:type="dxa"/>
            <w:tcBorders>
              <w:top w:val="nil"/>
              <w:left w:val="nil"/>
              <w:bottom w:val="single" w:sz="4" w:space="0" w:color="auto"/>
              <w:right w:val="single" w:sz="4" w:space="0" w:color="auto"/>
            </w:tcBorders>
            <w:vAlign w:val="center"/>
            <w:hideMark/>
          </w:tcPr>
          <w:p w14:paraId="7BB1D157"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Tripura</w:t>
            </w:r>
          </w:p>
        </w:tc>
        <w:tc>
          <w:tcPr>
            <w:tcW w:w="777" w:type="dxa"/>
            <w:tcBorders>
              <w:top w:val="nil"/>
              <w:left w:val="nil"/>
              <w:bottom w:val="single" w:sz="4" w:space="0" w:color="auto"/>
              <w:right w:val="single" w:sz="4" w:space="0" w:color="auto"/>
            </w:tcBorders>
            <w:vAlign w:val="center"/>
            <w:hideMark/>
          </w:tcPr>
          <w:p w14:paraId="6FB8E426"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2315753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1244</w:t>
            </w:r>
          </w:p>
        </w:tc>
        <w:tc>
          <w:tcPr>
            <w:tcW w:w="654" w:type="dxa"/>
            <w:tcBorders>
              <w:top w:val="nil"/>
              <w:left w:val="nil"/>
              <w:bottom w:val="single" w:sz="4" w:space="0" w:color="auto"/>
              <w:right w:val="single" w:sz="4" w:space="0" w:color="auto"/>
            </w:tcBorders>
            <w:vAlign w:val="center"/>
            <w:hideMark/>
          </w:tcPr>
          <w:p w14:paraId="093EE972"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730</w:t>
            </w:r>
          </w:p>
        </w:tc>
        <w:tc>
          <w:tcPr>
            <w:tcW w:w="536" w:type="dxa"/>
            <w:tcBorders>
              <w:top w:val="nil"/>
              <w:left w:val="nil"/>
              <w:bottom w:val="single" w:sz="4" w:space="0" w:color="auto"/>
              <w:right w:val="single" w:sz="4" w:space="0" w:color="auto"/>
            </w:tcBorders>
            <w:vAlign w:val="center"/>
            <w:hideMark/>
          </w:tcPr>
          <w:p w14:paraId="4D8E76CE"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991</w:t>
            </w:r>
          </w:p>
        </w:tc>
        <w:tc>
          <w:tcPr>
            <w:tcW w:w="654" w:type="dxa"/>
            <w:tcBorders>
              <w:top w:val="nil"/>
              <w:left w:val="nil"/>
              <w:bottom w:val="single" w:sz="4" w:space="0" w:color="auto"/>
              <w:right w:val="single" w:sz="4" w:space="0" w:color="auto"/>
            </w:tcBorders>
            <w:vAlign w:val="center"/>
            <w:hideMark/>
          </w:tcPr>
          <w:p w14:paraId="6D70A61C"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442</w:t>
            </w:r>
          </w:p>
        </w:tc>
        <w:tc>
          <w:tcPr>
            <w:tcW w:w="621" w:type="dxa"/>
            <w:tcBorders>
              <w:top w:val="nil"/>
              <w:left w:val="nil"/>
              <w:bottom w:val="single" w:sz="4" w:space="0" w:color="auto"/>
              <w:right w:val="single" w:sz="4" w:space="0" w:color="auto"/>
            </w:tcBorders>
            <w:vAlign w:val="center"/>
            <w:hideMark/>
          </w:tcPr>
          <w:p w14:paraId="15A161E2"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304</w:t>
            </w:r>
          </w:p>
        </w:tc>
        <w:tc>
          <w:tcPr>
            <w:tcW w:w="569" w:type="dxa"/>
            <w:tcBorders>
              <w:top w:val="nil"/>
              <w:left w:val="nil"/>
              <w:bottom w:val="single" w:sz="4" w:space="0" w:color="auto"/>
              <w:right w:val="single" w:sz="4" w:space="0" w:color="auto"/>
            </w:tcBorders>
            <w:vAlign w:val="center"/>
            <w:hideMark/>
          </w:tcPr>
          <w:p w14:paraId="6B34C92E"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114</w:t>
            </w:r>
          </w:p>
        </w:tc>
        <w:tc>
          <w:tcPr>
            <w:tcW w:w="584" w:type="dxa"/>
            <w:tcBorders>
              <w:top w:val="nil"/>
              <w:left w:val="nil"/>
              <w:bottom w:val="single" w:sz="4" w:space="0" w:color="auto"/>
              <w:right w:val="single" w:sz="4" w:space="0" w:color="auto"/>
            </w:tcBorders>
            <w:vAlign w:val="center"/>
            <w:hideMark/>
          </w:tcPr>
          <w:p w14:paraId="6316DEBF"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7F6C3B18"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762415A1"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641</w:t>
            </w:r>
          </w:p>
        </w:tc>
        <w:tc>
          <w:tcPr>
            <w:tcW w:w="540" w:type="dxa"/>
            <w:tcBorders>
              <w:top w:val="nil"/>
              <w:left w:val="nil"/>
              <w:bottom w:val="single" w:sz="4" w:space="0" w:color="auto"/>
              <w:right w:val="single" w:sz="4" w:space="0" w:color="auto"/>
            </w:tcBorders>
            <w:vAlign w:val="center"/>
            <w:hideMark/>
          </w:tcPr>
          <w:p w14:paraId="615EC2E3"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196</w:t>
            </w:r>
          </w:p>
        </w:tc>
        <w:tc>
          <w:tcPr>
            <w:tcW w:w="700" w:type="dxa"/>
            <w:tcBorders>
              <w:top w:val="nil"/>
              <w:left w:val="nil"/>
              <w:bottom w:val="single" w:sz="4" w:space="0" w:color="auto"/>
              <w:right w:val="single" w:sz="4" w:space="0" w:color="auto"/>
            </w:tcBorders>
            <w:vAlign w:val="center"/>
            <w:hideMark/>
          </w:tcPr>
          <w:p w14:paraId="0B6772F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5220</w:t>
            </w:r>
          </w:p>
        </w:tc>
        <w:tc>
          <w:tcPr>
            <w:tcW w:w="701" w:type="dxa"/>
            <w:tcBorders>
              <w:top w:val="nil"/>
              <w:left w:val="nil"/>
              <w:bottom w:val="single" w:sz="4" w:space="0" w:color="auto"/>
              <w:right w:val="single" w:sz="4" w:space="0" w:color="auto"/>
            </w:tcBorders>
            <w:vAlign w:val="center"/>
            <w:hideMark/>
          </w:tcPr>
          <w:p w14:paraId="1AB2CBF8"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1988</w:t>
            </w:r>
          </w:p>
        </w:tc>
        <w:tc>
          <w:tcPr>
            <w:tcW w:w="426" w:type="dxa"/>
            <w:tcBorders>
              <w:top w:val="nil"/>
              <w:left w:val="nil"/>
              <w:bottom w:val="single" w:sz="4" w:space="0" w:color="auto"/>
              <w:right w:val="single" w:sz="4" w:space="0" w:color="auto"/>
            </w:tcBorders>
            <w:vAlign w:val="center"/>
            <w:hideMark/>
          </w:tcPr>
          <w:p w14:paraId="5847B93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2986D4F"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67C0AAD"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21B07E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720B3ED9"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3476F66E"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52D8AD81"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5D851C02"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56905304"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79CD9592"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5EEFE910"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430</w:t>
            </w:r>
          </w:p>
        </w:tc>
        <w:tc>
          <w:tcPr>
            <w:tcW w:w="569" w:type="dxa"/>
            <w:tcBorders>
              <w:top w:val="nil"/>
              <w:left w:val="nil"/>
              <w:bottom w:val="single" w:sz="4" w:space="0" w:color="auto"/>
              <w:right w:val="single" w:sz="4" w:space="0" w:color="auto"/>
            </w:tcBorders>
            <w:vAlign w:val="center"/>
            <w:hideMark/>
          </w:tcPr>
          <w:p w14:paraId="34CD01BA"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86</w:t>
            </w:r>
          </w:p>
        </w:tc>
        <w:tc>
          <w:tcPr>
            <w:tcW w:w="584" w:type="dxa"/>
            <w:tcBorders>
              <w:top w:val="nil"/>
              <w:left w:val="nil"/>
              <w:bottom w:val="single" w:sz="4" w:space="0" w:color="auto"/>
              <w:right w:val="single" w:sz="4" w:space="0" w:color="auto"/>
            </w:tcBorders>
            <w:vAlign w:val="center"/>
            <w:hideMark/>
          </w:tcPr>
          <w:p w14:paraId="37C7FA2A"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0DD4DC93"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3A1EB989"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47C09735"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4275AF4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1110</w:t>
            </w:r>
          </w:p>
        </w:tc>
        <w:tc>
          <w:tcPr>
            <w:tcW w:w="701" w:type="dxa"/>
            <w:tcBorders>
              <w:top w:val="nil"/>
              <w:left w:val="nil"/>
              <w:bottom w:val="single" w:sz="4" w:space="0" w:color="auto"/>
              <w:right w:val="single" w:sz="4" w:space="0" w:color="auto"/>
            </w:tcBorders>
            <w:vAlign w:val="center"/>
            <w:hideMark/>
          </w:tcPr>
          <w:p w14:paraId="37D3487C"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311</w:t>
            </w:r>
          </w:p>
        </w:tc>
        <w:tc>
          <w:tcPr>
            <w:tcW w:w="426" w:type="dxa"/>
            <w:tcBorders>
              <w:top w:val="nil"/>
              <w:left w:val="nil"/>
              <w:bottom w:val="single" w:sz="4" w:space="0" w:color="auto"/>
              <w:right w:val="single" w:sz="4" w:space="0" w:color="auto"/>
            </w:tcBorders>
            <w:vAlign w:val="center"/>
            <w:hideMark/>
          </w:tcPr>
          <w:p w14:paraId="3F908E45"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27AEC303"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5C5DD009"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FB27EB8"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4DB413A9"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0632ACA"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476D4C8B"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1244</w:t>
            </w:r>
          </w:p>
        </w:tc>
        <w:tc>
          <w:tcPr>
            <w:tcW w:w="654" w:type="dxa"/>
            <w:tcBorders>
              <w:top w:val="nil"/>
              <w:left w:val="nil"/>
              <w:bottom w:val="single" w:sz="4" w:space="0" w:color="auto"/>
              <w:right w:val="single" w:sz="4" w:space="0" w:color="auto"/>
            </w:tcBorders>
            <w:vAlign w:val="center"/>
            <w:hideMark/>
          </w:tcPr>
          <w:p w14:paraId="471E3D13"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730</w:t>
            </w:r>
          </w:p>
        </w:tc>
        <w:tc>
          <w:tcPr>
            <w:tcW w:w="536" w:type="dxa"/>
            <w:tcBorders>
              <w:top w:val="nil"/>
              <w:left w:val="nil"/>
              <w:bottom w:val="single" w:sz="4" w:space="0" w:color="auto"/>
              <w:right w:val="single" w:sz="4" w:space="0" w:color="auto"/>
            </w:tcBorders>
            <w:vAlign w:val="center"/>
            <w:hideMark/>
          </w:tcPr>
          <w:p w14:paraId="6E19CDCD"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991</w:t>
            </w:r>
          </w:p>
        </w:tc>
        <w:tc>
          <w:tcPr>
            <w:tcW w:w="654" w:type="dxa"/>
            <w:tcBorders>
              <w:top w:val="nil"/>
              <w:left w:val="nil"/>
              <w:bottom w:val="single" w:sz="4" w:space="0" w:color="auto"/>
              <w:right w:val="single" w:sz="4" w:space="0" w:color="auto"/>
            </w:tcBorders>
            <w:vAlign w:val="center"/>
            <w:hideMark/>
          </w:tcPr>
          <w:p w14:paraId="6EF931BF"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442</w:t>
            </w:r>
          </w:p>
        </w:tc>
        <w:tc>
          <w:tcPr>
            <w:tcW w:w="621" w:type="dxa"/>
            <w:tcBorders>
              <w:top w:val="nil"/>
              <w:left w:val="nil"/>
              <w:bottom w:val="single" w:sz="4" w:space="0" w:color="auto"/>
              <w:right w:val="single" w:sz="4" w:space="0" w:color="auto"/>
            </w:tcBorders>
            <w:vAlign w:val="center"/>
            <w:hideMark/>
          </w:tcPr>
          <w:p w14:paraId="68F66B63"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743</w:t>
            </w:r>
          </w:p>
        </w:tc>
        <w:tc>
          <w:tcPr>
            <w:tcW w:w="569" w:type="dxa"/>
            <w:tcBorders>
              <w:top w:val="nil"/>
              <w:left w:val="nil"/>
              <w:bottom w:val="single" w:sz="4" w:space="0" w:color="auto"/>
              <w:right w:val="single" w:sz="4" w:space="0" w:color="auto"/>
            </w:tcBorders>
            <w:vAlign w:val="center"/>
            <w:hideMark/>
          </w:tcPr>
          <w:p w14:paraId="5082B0AC"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200</w:t>
            </w:r>
          </w:p>
        </w:tc>
        <w:tc>
          <w:tcPr>
            <w:tcW w:w="584" w:type="dxa"/>
            <w:tcBorders>
              <w:top w:val="nil"/>
              <w:left w:val="nil"/>
              <w:bottom w:val="single" w:sz="4" w:space="0" w:color="auto"/>
              <w:right w:val="single" w:sz="4" w:space="0" w:color="auto"/>
            </w:tcBorders>
            <w:vAlign w:val="center"/>
            <w:hideMark/>
          </w:tcPr>
          <w:p w14:paraId="40C08C0E"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35C9B932"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16D29147"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641</w:t>
            </w:r>
          </w:p>
        </w:tc>
        <w:tc>
          <w:tcPr>
            <w:tcW w:w="540" w:type="dxa"/>
            <w:tcBorders>
              <w:top w:val="nil"/>
              <w:left w:val="nil"/>
              <w:bottom w:val="single" w:sz="4" w:space="0" w:color="auto"/>
              <w:right w:val="single" w:sz="4" w:space="0" w:color="auto"/>
            </w:tcBorders>
            <w:vAlign w:val="center"/>
            <w:hideMark/>
          </w:tcPr>
          <w:p w14:paraId="271C09AA"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196</w:t>
            </w:r>
          </w:p>
        </w:tc>
        <w:tc>
          <w:tcPr>
            <w:tcW w:w="700" w:type="dxa"/>
            <w:tcBorders>
              <w:top w:val="nil"/>
              <w:left w:val="nil"/>
              <w:bottom w:val="single" w:sz="4" w:space="0" w:color="auto"/>
              <w:right w:val="single" w:sz="4" w:space="0" w:color="auto"/>
            </w:tcBorders>
            <w:vAlign w:val="center"/>
            <w:hideMark/>
          </w:tcPr>
          <w:p w14:paraId="79AB936C"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6330</w:t>
            </w:r>
          </w:p>
        </w:tc>
        <w:tc>
          <w:tcPr>
            <w:tcW w:w="701" w:type="dxa"/>
            <w:tcBorders>
              <w:top w:val="nil"/>
              <w:left w:val="nil"/>
              <w:bottom w:val="single" w:sz="4" w:space="0" w:color="auto"/>
              <w:right w:val="single" w:sz="4" w:space="0" w:color="auto"/>
            </w:tcBorders>
            <w:vAlign w:val="center"/>
            <w:hideMark/>
          </w:tcPr>
          <w:p w14:paraId="4643A02D"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2298</w:t>
            </w:r>
          </w:p>
        </w:tc>
        <w:tc>
          <w:tcPr>
            <w:tcW w:w="426" w:type="dxa"/>
            <w:tcBorders>
              <w:top w:val="nil"/>
              <w:left w:val="nil"/>
              <w:bottom w:val="single" w:sz="4" w:space="0" w:color="auto"/>
              <w:right w:val="single" w:sz="4" w:space="0" w:color="auto"/>
            </w:tcBorders>
            <w:vAlign w:val="center"/>
            <w:hideMark/>
          </w:tcPr>
          <w:p w14:paraId="2B64C7A0"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w:t>
            </w:r>
          </w:p>
        </w:tc>
        <w:tc>
          <w:tcPr>
            <w:tcW w:w="503" w:type="dxa"/>
            <w:tcBorders>
              <w:top w:val="nil"/>
              <w:left w:val="nil"/>
              <w:bottom w:val="single" w:sz="4" w:space="0" w:color="auto"/>
              <w:right w:val="single" w:sz="4" w:space="0" w:color="auto"/>
            </w:tcBorders>
            <w:vAlign w:val="center"/>
            <w:hideMark/>
          </w:tcPr>
          <w:p w14:paraId="544B0078"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2.25</w:t>
            </w:r>
          </w:p>
        </w:tc>
      </w:tr>
      <w:tr w:rsidR="004705D2" w:rsidRPr="004705D2" w14:paraId="7F44B40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602DE4F"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24</w:t>
            </w:r>
          </w:p>
        </w:tc>
        <w:tc>
          <w:tcPr>
            <w:tcW w:w="808" w:type="dxa"/>
            <w:tcBorders>
              <w:top w:val="nil"/>
              <w:left w:val="nil"/>
              <w:bottom w:val="single" w:sz="4" w:space="0" w:color="auto"/>
              <w:right w:val="single" w:sz="4" w:space="0" w:color="auto"/>
            </w:tcBorders>
            <w:vAlign w:val="center"/>
            <w:hideMark/>
          </w:tcPr>
          <w:p w14:paraId="07174BE7"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Uttar Pradesh</w:t>
            </w:r>
          </w:p>
        </w:tc>
        <w:tc>
          <w:tcPr>
            <w:tcW w:w="777" w:type="dxa"/>
            <w:tcBorders>
              <w:top w:val="nil"/>
              <w:left w:val="nil"/>
              <w:bottom w:val="single" w:sz="4" w:space="0" w:color="auto"/>
              <w:right w:val="single" w:sz="4" w:space="0" w:color="auto"/>
            </w:tcBorders>
            <w:vAlign w:val="center"/>
            <w:hideMark/>
          </w:tcPr>
          <w:p w14:paraId="23C7902C"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39F2A4C0"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26417</w:t>
            </w:r>
          </w:p>
        </w:tc>
        <w:tc>
          <w:tcPr>
            <w:tcW w:w="654" w:type="dxa"/>
            <w:tcBorders>
              <w:top w:val="nil"/>
              <w:left w:val="nil"/>
              <w:bottom w:val="single" w:sz="4" w:space="0" w:color="auto"/>
              <w:right w:val="single" w:sz="4" w:space="0" w:color="auto"/>
            </w:tcBorders>
            <w:vAlign w:val="center"/>
            <w:hideMark/>
          </w:tcPr>
          <w:p w14:paraId="2CA73F8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5724</w:t>
            </w:r>
          </w:p>
        </w:tc>
        <w:tc>
          <w:tcPr>
            <w:tcW w:w="536" w:type="dxa"/>
            <w:tcBorders>
              <w:top w:val="nil"/>
              <w:left w:val="nil"/>
              <w:bottom w:val="single" w:sz="4" w:space="0" w:color="auto"/>
              <w:right w:val="single" w:sz="4" w:space="0" w:color="auto"/>
            </w:tcBorders>
            <w:vAlign w:val="center"/>
            <w:hideMark/>
          </w:tcPr>
          <w:p w14:paraId="273C04F7"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131475</w:t>
            </w:r>
          </w:p>
        </w:tc>
        <w:tc>
          <w:tcPr>
            <w:tcW w:w="654" w:type="dxa"/>
            <w:tcBorders>
              <w:top w:val="nil"/>
              <w:left w:val="nil"/>
              <w:bottom w:val="single" w:sz="4" w:space="0" w:color="auto"/>
              <w:right w:val="single" w:sz="4" w:space="0" w:color="auto"/>
            </w:tcBorders>
            <w:vAlign w:val="center"/>
            <w:hideMark/>
          </w:tcPr>
          <w:p w14:paraId="44974E0C"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13748</w:t>
            </w:r>
          </w:p>
        </w:tc>
        <w:tc>
          <w:tcPr>
            <w:tcW w:w="621" w:type="dxa"/>
            <w:tcBorders>
              <w:top w:val="nil"/>
              <w:left w:val="nil"/>
              <w:bottom w:val="single" w:sz="4" w:space="0" w:color="auto"/>
              <w:right w:val="single" w:sz="4" w:space="0" w:color="auto"/>
            </w:tcBorders>
            <w:vAlign w:val="center"/>
            <w:hideMark/>
          </w:tcPr>
          <w:p w14:paraId="7B9A05C9"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98805</w:t>
            </w:r>
          </w:p>
        </w:tc>
        <w:tc>
          <w:tcPr>
            <w:tcW w:w="569" w:type="dxa"/>
            <w:tcBorders>
              <w:top w:val="nil"/>
              <w:left w:val="nil"/>
              <w:bottom w:val="single" w:sz="4" w:space="0" w:color="auto"/>
              <w:right w:val="single" w:sz="4" w:space="0" w:color="auto"/>
            </w:tcBorders>
            <w:vAlign w:val="center"/>
            <w:hideMark/>
          </w:tcPr>
          <w:p w14:paraId="5EDCF1A5"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6762</w:t>
            </w:r>
          </w:p>
        </w:tc>
        <w:tc>
          <w:tcPr>
            <w:tcW w:w="584" w:type="dxa"/>
            <w:tcBorders>
              <w:top w:val="nil"/>
              <w:left w:val="nil"/>
              <w:bottom w:val="single" w:sz="4" w:space="0" w:color="auto"/>
              <w:right w:val="single" w:sz="4" w:space="0" w:color="auto"/>
            </w:tcBorders>
            <w:vAlign w:val="center"/>
            <w:hideMark/>
          </w:tcPr>
          <w:p w14:paraId="5D2F2A12"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18696</w:t>
            </w:r>
          </w:p>
        </w:tc>
        <w:tc>
          <w:tcPr>
            <w:tcW w:w="557" w:type="dxa"/>
            <w:tcBorders>
              <w:top w:val="nil"/>
              <w:left w:val="nil"/>
              <w:bottom w:val="single" w:sz="4" w:space="0" w:color="auto"/>
              <w:right w:val="single" w:sz="4" w:space="0" w:color="auto"/>
            </w:tcBorders>
            <w:vAlign w:val="center"/>
            <w:hideMark/>
          </w:tcPr>
          <w:p w14:paraId="756DDA4A"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2049</w:t>
            </w:r>
          </w:p>
        </w:tc>
        <w:tc>
          <w:tcPr>
            <w:tcW w:w="630" w:type="dxa"/>
            <w:tcBorders>
              <w:top w:val="nil"/>
              <w:left w:val="nil"/>
              <w:bottom w:val="single" w:sz="4" w:space="0" w:color="auto"/>
              <w:right w:val="single" w:sz="4" w:space="0" w:color="auto"/>
            </w:tcBorders>
            <w:vAlign w:val="center"/>
            <w:hideMark/>
          </w:tcPr>
          <w:p w14:paraId="125C3C5A"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50778</w:t>
            </w:r>
          </w:p>
        </w:tc>
        <w:tc>
          <w:tcPr>
            <w:tcW w:w="540" w:type="dxa"/>
            <w:tcBorders>
              <w:top w:val="nil"/>
              <w:left w:val="nil"/>
              <w:bottom w:val="single" w:sz="4" w:space="0" w:color="auto"/>
              <w:right w:val="single" w:sz="4" w:space="0" w:color="auto"/>
            </w:tcBorders>
            <w:vAlign w:val="center"/>
            <w:hideMark/>
          </w:tcPr>
          <w:p w14:paraId="7783F8B9"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4080</w:t>
            </w:r>
          </w:p>
        </w:tc>
        <w:tc>
          <w:tcPr>
            <w:tcW w:w="700" w:type="dxa"/>
            <w:tcBorders>
              <w:top w:val="nil"/>
              <w:left w:val="nil"/>
              <w:bottom w:val="single" w:sz="4" w:space="0" w:color="auto"/>
              <w:right w:val="single" w:sz="4" w:space="0" w:color="auto"/>
            </w:tcBorders>
            <w:vAlign w:val="center"/>
            <w:hideMark/>
          </w:tcPr>
          <w:p w14:paraId="1CE9BB9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503682</w:t>
            </w:r>
          </w:p>
        </w:tc>
        <w:tc>
          <w:tcPr>
            <w:tcW w:w="701" w:type="dxa"/>
            <w:tcBorders>
              <w:top w:val="nil"/>
              <w:left w:val="nil"/>
              <w:bottom w:val="single" w:sz="4" w:space="0" w:color="auto"/>
              <w:right w:val="single" w:sz="4" w:space="0" w:color="auto"/>
            </w:tcBorders>
            <w:vAlign w:val="center"/>
            <w:hideMark/>
          </w:tcPr>
          <w:p w14:paraId="4DCF0073"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57254</w:t>
            </w:r>
          </w:p>
        </w:tc>
        <w:tc>
          <w:tcPr>
            <w:tcW w:w="426" w:type="dxa"/>
            <w:tcBorders>
              <w:top w:val="nil"/>
              <w:left w:val="nil"/>
              <w:bottom w:val="single" w:sz="4" w:space="0" w:color="auto"/>
              <w:right w:val="single" w:sz="4" w:space="0" w:color="auto"/>
            </w:tcBorders>
            <w:vAlign w:val="center"/>
            <w:hideMark/>
          </w:tcPr>
          <w:p w14:paraId="19511F23"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8242FA5"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54019CE1"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9BBE171"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7C45EA2"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36F1145"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26F6422F"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18145</w:t>
            </w:r>
          </w:p>
        </w:tc>
        <w:tc>
          <w:tcPr>
            <w:tcW w:w="654" w:type="dxa"/>
            <w:tcBorders>
              <w:top w:val="nil"/>
              <w:left w:val="nil"/>
              <w:bottom w:val="single" w:sz="4" w:space="0" w:color="auto"/>
              <w:right w:val="single" w:sz="4" w:space="0" w:color="auto"/>
            </w:tcBorders>
            <w:vAlign w:val="center"/>
            <w:hideMark/>
          </w:tcPr>
          <w:p w14:paraId="5055CECE"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810</w:t>
            </w:r>
          </w:p>
        </w:tc>
        <w:tc>
          <w:tcPr>
            <w:tcW w:w="536" w:type="dxa"/>
            <w:tcBorders>
              <w:top w:val="nil"/>
              <w:left w:val="nil"/>
              <w:bottom w:val="single" w:sz="4" w:space="0" w:color="auto"/>
              <w:right w:val="single" w:sz="4" w:space="0" w:color="auto"/>
            </w:tcBorders>
            <w:vAlign w:val="center"/>
            <w:hideMark/>
          </w:tcPr>
          <w:p w14:paraId="06EB847D"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54353</w:t>
            </w:r>
          </w:p>
        </w:tc>
        <w:tc>
          <w:tcPr>
            <w:tcW w:w="654" w:type="dxa"/>
            <w:tcBorders>
              <w:top w:val="nil"/>
              <w:left w:val="nil"/>
              <w:bottom w:val="single" w:sz="4" w:space="0" w:color="auto"/>
              <w:right w:val="single" w:sz="4" w:space="0" w:color="auto"/>
            </w:tcBorders>
            <w:vAlign w:val="center"/>
            <w:hideMark/>
          </w:tcPr>
          <w:p w14:paraId="1446661C"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5170</w:t>
            </w:r>
          </w:p>
        </w:tc>
        <w:tc>
          <w:tcPr>
            <w:tcW w:w="621" w:type="dxa"/>
            <w:tcBorders>
              <w:top w:val="nil"/>
              <w:left w:val="nil"/>
              <w:bottom w:val="single" w:sz="4" w:space="0" w:color="auto"/>
              <w:right w:val="single" w:sz="4" w:space="0" w:color="auto"/>
            </w:tcBorders>
            <w:vAlign w:val="center"/>
            <w:hideMark/>
          </w:tcPr>
          <w:p w14:paraId="6BC80A93"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47482</w:t>
            </w:r>
          </w:p>
        </w:tc>
        <w:tc>
          <w:tcPr>
            <w:tcW w:w="569" w:type="dxa"/>
            <w:tcBorders>
              <w:top w:val="nil"/>
              <w:left w:val="nil"/>
              <w:bottom w:val="single" w:sz="4" w:space="0" w:color="auto"/>
              <w:right w:val="single" w:sz="4" w:space="0" w:color="auto"/>
            </w:tcBorders>
            <w:vAlign w:val="center"/>
            <w:hideMark/>
          </w:tcPr>
          <w:p w14:paraId="744A9166"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1088</w:t>
            </w:r>
          </w:p>
        </w:tc>
        <w:tc>
          <w:tcPr>
            <w:tcW w:w="584" w:type="dxa"/>
            <w:tcBorders>
              <w:top w:val="nil"/>
              <w:left w:val="nil"/>
              <w:bottom w:val="single" w:sz="4" w:space="0" w:color="auto"/>
              <w:right w:val="single" w:sz="4" w:space="0" w:color="auto"/>
            </w:tcBorders>
            <w:vAlign w:val="center"/>
            <w:hideMark/>
          </w:tcPr>
          <w:p w14:paraId="6BB8FAC0"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131411</w:t>
            </w:r>
          </w:p>
        </w:tc>
        <w:tc>
          <w:tcPr>
            <w:tcW w:w="557" w:type="dxa"/>
            <w:tcBorders>
              <w:top w:val="nil"/>
              <w:left w:val="nil"/>
              <w:bottom w:val="single" w:sz="4" w:space="0" w:color="auto"/>
              <w:right w:val="single" w:sz="4" w:space="0" w:color="auto"/>
            </w:tcBorders>
            <w:vAlign w:val="center"/>
            <w:hideMark/>
          </w:tcPr>
          <w:p w14:paraId="32788BF7"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15554</w:t>
            </w:r>
          </w:p>
        </w:tc>
        <w:tc>
          <w:tcPr>
            <w:tcW w:w="630" w:type="dxa"/>
            <w:tcBorders>
              <w:top w:val="nil"/>
              <w:left w:val="nil"/>
              <w:bottom w:val="single" w:sz="4" w:space="0" w:color="auto"/>
              <w:right w:val="single" w:sz="4" w:space="0" w:color="auto"/>
            </w:tcBorders>
            <w:vAlign w:val="center"/>
            <w:hideMark/>
          </w:tcPr>
          <w:p w14:paraId="559E5214"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35BFB0D1"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1234</w:t>
            </w:r>
          </w:p>
        </w:tc>
        <w:tc>
          <w:tcPr>
            <w:tcW w:w="700" w:type="dxa"/>
            <w:tcBorders>
              <w:top w:val="nil"/>
              <w:left w:val="nil"/>
              <w:bottom w:val="single" w:sz="4" w:space="0" w:color="auto"/>
              <w:right w:val="single" w:sz="4" w:space="0" w:color="auto"/>
            </w:tcBorders>
            <w:vAlign w:val="center"/>
            <w:hideMark/>
          </w:tcPr>
          <w:p w14:paraId="15EF1CD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312921</w:t>
            </w:r>
          </w:p>
        </w:tc>
        <w:tc>
          <w:tcPr>
            <w:tcW w:w="701" w:type="dxa"/>
            <w:tcBorders>
              <w:top w:val="nil"/>
              <w:left w:val="nil"/>
              <w:bottom w:val="single" w:sz="4" w:space="0" w:color="auto"/>
              <w:right w:val="single" w:sz="4" w:space="0" w:color="auto"/>
            </w:tcBorders>
            <w:vAlign w:val="center"/>
            <w:hideMark/>
          </w:tcPr>
          <w:p w14:paraId="11313E11"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32264</w:t>
            </w:r>
          </w:p>
        </w:tc>
        <w:tc>
          <w:tcPr>
            <w:tcW w:w="426" w:type="dxa"/>
            <w:tcBorders>
              <w:top w:val="nil"/>
              <w:left w:val="nil"/>
              <w:bottom w:val="single" w:sz="4" w:space="0" w:color="auto"/>
              <w:right w:val="single" w:sz="4" w:space="0" w:color="auto"/>
            </w:tcBorders>
            <w:vAlign w:val="center"/>
            <w:hideMark/>
          </w:tcPr>
          <w:p w14:paraId="2926D83C"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2424944"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6B6BC222"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CEC422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6EB2808C"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50FA6568"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31112C03"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44562</w:t>
            </w:r>
          </w:p>
        </w:tc>
        <w:tc>
          <w:tcPr>
            <w:tcW w:w="654" w:type="dxa"/>
            <w:tcBorders>
              <w:top w:val="nil"/>
              <w:left w:val="nil"/>
              <w:bottom w:val="single" w:sz="4" w:space="0" w:color="auto"/>
              <w:right w:val="single" w:sz="4" w:space="0" w:color="auto"/>
            </w:tcBorders>
            <w:vAlign w:val="center"/>
            <w:hideMark/>
          </w:tcPr>
          <w:p w14:paraId="7AD231C6"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6534</w:t>
            </w:r>
          </w:p>
        </w:tc>
        <w:tc>
          <w:tcPr>
            <w:tcW w:w="536" w:type="dxa"/>
            <w:tcBorders>
              <w:top w:val="nil"/>
              <w:left w:val="nil"/>
              <w:bottom w:val="single" w:sz="4" w:space="0" w:color="auto"/>
              <w:right w:val="single" w:sz="4" w:space="0" w:color="auto"/>
            </w:tcBorders>
            <w:vAlign w:val="center"/>
            <w:hideMark/>
          </w:tcPr>
          <w:p w14:paraId="6CCC6C18"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185028</w:t>
            </w:r>
          </w:p>
        </w:tc>
        <w:tc>
          <w:tcPr>
            <w:tcW w:w="654" w:type="dxa"/>
            <w:tcBorders>
              <w:top w:val="nil"/>
              <w:left w:val="nil"/>
              <w:bottom w:val="single" w:sz="4" w:space="0" w:color="auto"/>
              <w:right w:val="single" w:sz="4" w:space="0" w:color="auto"/>
            </w:tcBorders>
            <w:vAlign w:val="center"/>
            <w:hideMark/>
          </w:tcPr>
          <w:p w14:paraId="795BB599"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18910</w:t>
            </w:r>
          </w:p>
        </w:tc>
        <w:tc>
          <w:tcPr>
            <w:tcW w:w="621" w:type="dxa"/>
            <w:tcBorders>
              <w:top w:val="nil"/>
              <w:left w:val="nil"/>
              <w:bottom w:val="single" w:sz="4" w:space="0" w:color="auto"/>
              <w:right w:val="single" w:sz="4" w:space="0" w:color="auto"/>
            </w:tcBorders>
            <w:vAlign w:val="center"/>
            <w:hideMark/>
          </w:tcPr>
          <w:p w14:paraId="4E52A98A"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146287</w:t>
            </w:r>
          </w:p>
        </w:tc>
        <w:tc>
          <w:tcPr>
            <w:tcW w:w="569" w:type="dxa"/>
            <w:tcBorders>
              <w:top w:val="nil"/>
              <w:left w:val="nil"/>
              <w:bottom w:val="single" w:sz="4" w:space="0" w:color="auto"/>
              <w:right w:val="single" w:sz="4" w:space="0" w:color="auto"/>
            </w:tcBorders>
            <w:vAlign w:val="center"/>
            <w:hideMark/>
          </w:tcPr>
          <w:p w14:paraId="543EEFD1"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7850</w:t>
            </w:r>
          </w:p>
        </w:tc>
        <w:tc>
          <w:tcPr>
            <w:tcW w:w="584" w:type="dxa"/>
            <w:tcBorders>
              <w:top w:val="nil"/>
              <w:left w:val="nil"/>
              <w:bottom w:val="single" w:sz="4" w:space="0" w:color="auto"/>
              <w:right w:val="single" w:sz="4" w:space="0" w:color="auto"/>
            </w:tcBorders>
            <w:vAlign w:val="center"/>
            <w:hideMark/>
          </w:tcPr>
          <w:p w14:paraId="0D831938"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150107</w:t>
            </w:r>
          </w:p>
        </w:tc>
        <w:tc>
          <w:tcPr>
            <w:tcW w:w="557" w:type="dxa"/>
            <w:tcBorders>
              <w:top w:val="nil"/>
              <w:left w:val="nil"/>
              <w:bottom w:val="single" w:sz="4" w:space="0" w:color="auto"/>
              <w:right w:val="single" w:sz="4" w:space="0" w:color="auto"/>
            </w:tcBorders>
            <w:vAlign w:val="center"/>
            <w:hideMark/>
          </w:tcPr>
          <w:p w14:paraId="796B2938"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17603</w:t>
            </w:r>
          </w:p>
        </w:tc>
        <w:tc>
          <w:tcPr>
            <w:tcW w:w="630" w:type="dxa"/>
            <w:tcBorders>
              <w:top w:val="nil"/>
              <w:left w:val="nil"/>
              <w:bottom w:val="single" w:sz="4" w:space="0" w:color="auto"/>
              <w:right w:val="single" w:sz="4" w:space="0" w:color="auto"/>
            </w:tcBorders>
            <w:vAlign w:val="center"/>
            <w:hideMark/>
          </w:tcPr>
          <w:p w14:paraId="1F194C2C"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50778</w:t>
            </w:r>
          </w:p>
        </w:tc>
        <w:tc>
          <w:tcPr>
            <w:tcW w:w="540" w:type="dxa"/>
            <w:tcBorders>
              <w:top w:val="nil"/>
              <w:left w:val="nil"/>
              <w:bottom w:val="single" w:sz="4" w:space="0" w:color="auto"/>
              <w:right w:val="single" w:sz="4" w:space="0" w:color="auto"/>
            </w:tcBorders>
            <w:vAlign w:val="center"/>
            <w:hideMark/>
          </w:tcPr>
          <w:p w14:paraId="288BED28"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5314</w:t>
            </w:r>
          </w:p>
        </w:tc>
        <w:tc>
          <w:tcPr>
            <w:tcW w:w="700" w:type="dxa"/>
            <w:tcBorders>
              <w:top w:val="nil"/>
              <w:left w:val="nil"/>
              <w:bottom w:val="single" w:sz="4" w:space="0" w:color="auto"/>
              <w:right w:val="single" w:sz="4" w:space="0" w:color="auto"/>
            </w:tcBorders>
            <w:vAlign w:val="center"/>
            <w:hideMark/>
          </w:tcPr>
          <w:p w14:paraId="1B15E1B6"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816603</w:t>
            </w:r>
          </w:p>
        </w:tc>
        <w:tc>
          <w:tcPr>
            <w:tcW w:w="701" w:type="dxa"/>
            <w:tcBorders>
              <w:top w:val="nil"/>
              <w:left w:val="nil"/>
              <w:bottom w:val="single" w:sz="4" w:space="0" w:color="auto"/>
              <w:right w:val="single" w:sz="4" w:space="0" w:color="auto"/>
            </w:tcBorders>
            <w:vAlign w:val="center"/>
            <w:hideMark/>
          </w:tcPr>
          <w:p w14:paraId="3180D637"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89519</w:t>
            </w:r>
          </w:p>
        </w:tc>
        <w:tc>
          <w:tcPr>
            <w:tcW w:w="426" w:type="dxa"/>
            <w:tcBorders>
              <w:top w:val="nil"/>
              <w:left w:val="nil"/>
              <w:bottom w:val="single" w:sz="4" w:space="0" w:color="auto"/>
              <w:right w:val="single" w:sz="4" w:space="0" w:color="auto"/>
            </w:tcBorders>
            <w:vAlign w:val="center"/>
            <w:hideMark/>
          </w:tcPr>
          <w:p w14:paraId="36A6C051"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90</w:t>
            </w:r>
          </w:p>
        </w:tc>
        <w:tc>
          <w:tcPr>
            <w:tcW w:w="503" w:type="dxa"/>
            <w:tcBorders>
              <w:top w:val="nil"/>
              <w:left w:val="nil"/>
              <w:bottom w:val="single" w:sz="4" w:space="0" w:color="auto"/>
              <w:right w:val="single" w:sz="4" w:space="0" w:color="auto"/>
            </w:tcBorders>
            <w:vAlign w:val="center"/>
            <w:hideMark/>
          </w:tcPr>
          <w:p w14:paraId="362CB014"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67.5</w:t>
            </w:r>
          </w:p>
        </w:tc>
      </w:tr>
      <w:tr w:rsidR="004705D2" w:rsidRPr="004705D2" w14:paraId="570CC017"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0038E83" w14:textId="77777777" w:rsidR="00861457" w:rsidRPr="00767C21" w:rsidRDefault="00861457" w:rsidP="004705D2">
            <w:pPr>
              <w:spacing w:after="0" w:line="240" w:lineRule="auto"/>
              <w:rPr>
                <w:rFonts w:ascii="Arial" w:eastAsia="Times New Roman" w:hAnsi="Arial" w:cs="Arial"/>
                <w:b/>
                <w:bCs/>
                <w:color w:val="2B2D31"/>
                <w:kern w:val="0"/>
                <w:sz w:val="12"/>
                <w:szCs w:val="12"/>
                <w:lang w:eastAsia="en-IN"/>
                <w14:ligatures w14:val="none"/>
              </w:rPr>
            </w:pPr>
            <w:r w:rsidRPr="00767C21">
              <w:rPr>
                <w:rFonts w:ascii="Arial" w:eastAsia="Times New Roman" w:hAnsi="Arial" w:cs="Arial"/>
                <w:b/>
                <w:bCs/>
                <w:color w:val="2B2D31"/>
                <w:kern w:val="0"/>
                <w:sz w:val="12"/>
                <w:szCs w:val="12"/>
                <w:lang w:eastAsia="en-IN"/>
                <w14:ligatures w14:val="none"/>
              </w:rPr>
              <w:t>25</w:t>
            </w:r>
          </w:p>
        </w:tc>
        <w:tc>
          <w:tcPr>
            <w:tcW w:w="808" w:type="dxa"/>
            <w:tcBorders>
              <w:top w:val="nil"/>
              <w:left w:val="nil"/>
              <w:bottom w:val="single" w:sz="4" w:space="0" w:color="auto"/>
              <w:right w:val="single" w:sz="4" w:space="0" w:color="auto"/>
            </w:tcBorders>
            <w:vAlign w:val="center"/>
            <w:hideMark/>
          </w:tcPr>
          <w:p w14:paraId="437EEA51"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West Bengal</w:t>
            </w:r>
          </w:p>
        </w:tc>
        <w:tc>
          <w:tcPr>
            <w:tcW w:w="777" w:type="dxa"/>
            <w:tcBorders>
              <w:top w:val="nil"/>
              <w:left w:val="nil"/>
              <w:bottom w:val="single" w:sz="4" w:space="0" w:color="auto"/>
              <w:right w:val="single" w:sz="4" w:space="0" w:color="auto"/>
            </w:tcBorders>
            <w:vAlign w:val="center"/>
            <w:hideMark/>
          </w:tcPr>
          <w:p w14:paraId="76EFFE23"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6FF58750"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15752</w:t>
            </w:r>
          </w:p>
        </w:tc>
        <w:tc>
          <w:tcPr>
            <w:tcW w:w="654" w:type="dxa"/>
            <w:tcBorders>
              <w:top w:val="nil"/>
              <w:left w:val="nil"/>
              <w:bottom w:val="single" w:sz="4" w:space="0" w:color="auto"/>
              <w:right w:val="single" w:sz="4" w:space="0" w:color="auto"/>
            </w:tcBorders>
            <w:vAlign w:val="center"/>
            <w:hideMark/>
          </w:tcPr>
          <w:p w14:paraId="3954F8F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4803</w:t>
            </w:r>
          </w:p>
        </w:tc>
        <w:tc>
          <w:tcPr>
            <w:tcW w:w="536" w:type="dxa"/>
            <w:tcBorders>
              <w:top w:val="nil"/>
              <w:left w:val="nil"/>
              <w:bottom w:val="single" w:sz="4" w:space="0" w:color="auto"/>
              <w:right w:val="single" w:sz="4" w:space="0" w:color="auto"/>
            </w:tcBorders>
            <w:vAlign w:val="center"/>
            <w:hideMark/>
          </w:tcPr>
          <w:p w14:paraId="0BE084D6"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2817</w:t>
            </w:r>
          </w:p>
        </w:tc>
        <w:tc>
          <w:tcPr>
            <w:tcW w:w="654" w:type="dxa"/>
            <w:tcBorders>
              <w:top w:val="nil"/>
              <w:left w:val="nil"/>
              <w:bottom w:val="single" w:sz="4" w:space="0" w:color="auto"/>
              <w:right w:val="single" w:sz="4" w:space="0" w:color="auto"/>
            </w:tcBorders>
            <w:vAlign w:val="center"/>
            <w:hideMark/>
          </w:tcPr>
          <w:p w14:paraId="3F54BC71"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1065</w:t>
            </w:r>
          </w:p>
        </w:tc>
        <w:tc>
          <w:tcPr>
            <w:tcW w:w="621" w:type="dxa"/>
            <w:tcBorders>
              <w:top w:val="nil"/>
              <w:left w:val="nil"/>
              <w:bottom w:val="single" w:sz="4" w:space="0" w:color="auto"/>
              <w:right w:val="single" w:sz="4" w:space="0" w:color="auto"/>
            </w:tcBorders>
            <w:vAlign w:val="center"/>
            <w:hideMark/>
          </w:tcPr>
          <w:p w14:paraId="30CE0575"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27362</w:t>
            </w:r>
          </w:p>
        </w:tc>
        <w:tc>
          <w:tcPr>
            <w:tcW w:w="569" w:type="dxa"/>
            <w:tcBorders>
              <w:top w:val="nil"/>
              <w:left w:val="nil"/>
              <w:bottom w:val="single" w:sz="4" w:space="0" w:color="auto"/>
              <w:right w:val="single" w:sz="4" w:space="0" w:color="auto"/>
            </w:tcBorders>
            <w:vAlign w:val="center"/>
            <w:hideMark/>
          </w:tcPr>
          <w:p w14:paraId="6AB41B24"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3538</w:t>
            </w:r>
          </w:p>
        </w:tc>
        <w:tc>
          <w:tcPr>
            <w:tcW w:w="584" w:type="dxa"/>
            <w:tcBorders>
              <w:top w:val="nil"/>
              <w:left w:val="nil"/>
              <w:bottom w:val="single" w:sz="4" w:space="0" w:color="auto"/>
              <w:right w:val="single" w:sz="4" w:space="0" w:color="auto"/>
            </w:tcBorders>
            <w:vAlign w:val="center"/>
            <w:hideMark/>
          </w:tcPr>
          <w:p w14:paraId="1A82126A"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26463</w:t>
            </w:r>
          </w:p>
        </w:tc>
        <w:tc>
          <w:tcPr>
            <w:tcW w:w="557" w:type="dxa"/>
            <w:tcBorders>
              <w:top w:val="nil"/>
              <w:left w:val="nil"/>
              <w:bottom w:val="single" w:sz="4" w:space="0" w:color="auto"/>
              <w:right w:val="single" w:sz="4" w:space="0" w:color="auto"/>
            </w:tcBorders>
            <w:vAlign w:val="center"/>
            <w:hideMark/>
          </w:tcPr>
          <w:p w14:paraId="0B093A49"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8284</w:t>
            </w:r>
          </w:p>
        </w:tc>
        <w:tc>
          <w:tcPr>
            <w:tcW w:w="630" w:type="dxa"/>
            <w:tcBorders>
              <w:top w:val="nil"/>
              <w:left w:val="nil"/>
              <w:bottom w:val="single" w:sz="4" w:space="0" w:color="auto"/>
              <w:right w:val="single" w:sz="4" w:space="0" w:color="auto"/>
            </w:tcBorders>
            <w:vAlign w:val="center"/>
            <w:hideMark/>
          </w:tcPr>
          <w:p w14:paraId="7C0DCAD2"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17956</w:t>
            </w:r>
          </w:p>
        </w:tc>
        <w:tc>
          <w:tcPr>
            <w:tcW w:w="540" w:type="dxa"/>
            <w:tcBorders>
              <w:top w:val="nil"/>
              <w:left w:val="nil"/>
              <w:bottom w:val="single" w:sz="4" w:space="0" w:color="auto"/>
              <w:right w:val="single" w:sz="4" w:space="0" w:color="auto"/>
            </w:tcBorders>
            <w:vAlign w:val="center"/>
            <w:hideMark/>
          </w:tcPr>
          <w:p w14:paraId="382AE55B"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3713</w:t>
            </w:r>
          </w:p>
        </w:tc>
        <w:tc>
          <w:tcPr>
            <w:tcW w:w="700" w:type="dxa"/>
            <w:tcBorders>
              <w:top w:val="nil"/>
              <w:left w:val="nil"/>
              <w:bottom w:val="single" w:sz="4" w:space="0" w:color="auto"/>
              <w:right w:val="single" w:sz="4" w:space="0" w:color="auto"/>
            </w:tcBorders>
            <w:vAlign w:val="center"/>
            <w:hideMark/>
          </w:tcPr>
          <w:p w14:paraId="60ADB2B1"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100479</w:t>
            </w:r>
          </w:p>
        </w:tc>
        <w:tc>
          <w:tcPr>
            <w:tcW w:w="701" w:type="dxa"/>
            <w:tcBorders>
              <w:top w:val="nil"/>
              <w:left w:val="nil"/>
              <w:bottom w:val="single" w:sz="4" w:space="0" w:color="auto"/>
              <w:right w:val="single" w:sz="4" w:space="0" w:color="auto"/>
            </w:tcBorders>
            <w:vAlign w:val="center"/>
            <w:hideMark/>
          </w:tcPr>
          <w:p w14:paraId="02AD19F4"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26395</w:t>
            </w:r>
          </w:p>
        </w:tc>
        <w:tc>
          <w:tcPr>
            <w:tcW w:w="426" w:type="dxa"/>
            <w:tcBorders>
              <w:top w:val="nil"/>
              <w:left w:val="nil"/>
              <w:bottom w:val="single" w:sz="4" w:space="0" w:color="auto"/>
              <w:right w:val="single" w:sz="4" w:space="0" w:color="auto"/>
            </w:tcBorders>
            <w:vAlign w:val="center"/>
            <w:hideMark/>
          </w:tcPr>
          <w:p w14:paraId="45C95D76"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59135E12"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71DFAA3D"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F320D3F"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5E32EA06"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6248D499"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1F10EB6B"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672428A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36" w:type="dxa"/>
            <w:tcBorders>
              <w:top w:val="nil"/>
              <w:left w:val="nil"/>
              <w:bottom w:val="single" w:sz="4" w:space="0" w:color="auto"/>
              <w:right w:val="single" w:sz="4" w:space="0" w:color="auto"/>
            </w:tcBorders>
            <w:vAlign w:val="center"/>
            <w:hideMark/>
          </w:tcPr>
          <w:p w14:paraId="71399FFB"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54" w:type="dxa"/>
            <w:tcBorders>
              <w:top w:val="nil"/>
              <w:left w:val="nil"/>
              <w:bottom w:val="single" w:sz="4" w:space="0" w:color="auto"/>
              <w:right w:val="single" w:sz="4" w:space="0" w:color="auto"/>
            </w:tcBorders>
            <w:vAlign w:val="center"/>
            <w:hideMark/>
          </w:tcPr>
          <w:p w14:paraId="4ABB5B4A"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21" w:type="dxa"/>
            <w:tcBorders>
              <w:top w:val="nil"/>
              <w:left w:val="nil"/>
              <w:bottom w:val="single" w:sz="4" w:space="0" w:color="auto"/>
              <w:right w:val="single" w:sz="4" w:space="0" w:color="auto"/>
            </w:tcBorders>
            <w:vAlign w:val="center"/>
            <w:hideMark/>
          </w:tcPr>
          <w:p w14:paraId="10AA1082"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69" w:type="dxa"/>
            <w:tcBorders>
              <w:top w:val="nil"/>
              <w:left w:val="nil"/>
              <w:bottom w:val="single" w:sz="4" w:space="0" w:color="auto"/>
              <w:right w:val="single" w:sz="4" w:space="0" w:color="auto"/>
            </w:tcBorders>
            <w:vAlign w:val="center"/>
            <w:hideMark/>
          </w:tcPr>
          <w:p w14:paraId="674810E8"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84" w:type="dxa"/>
            <w:tcBorders>
              <w:top w:val="nil"/>
              <w:left w:val="nil"/>
              <w:bottom w:val="single" w:sz="4" w:space="0" w:color="auto"/>
              <w:right w:val="single" w:sz="4" w:space="0" w:color="auto"/>
            </w:tcBorders>
            <w:vAlign w:val="center"/>
            <w:hideMark/>
          </w:tcPr>
          <w:p w14:paraId="52BD91A3"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57" w:type="dxa"/>
            <w:tcBorders>
              <w:top w:val="nil"/>
              <w:left w:val="nil"/>
              <w:bottom w:val="single" w:sz="4" w:space="0" w:color="auto"/>
              <w:right w:val="single" w:sz="4" w:space="0" w:color="auto"/>
            </w:tcBorders>
            <w:vAlign w:val="center"/>
            <w:hideMark/>
          </w:tcPr>
          <w:p w14:paraId="4D88EFA2"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630" w:type="dxa"/>
            <w:tcBorders>
              <w:top w:val="nil"/>
              <w:left w:val="nil"/>
              <w:bottom w:val="single" w:sz="4" w:space="0" w:color="auto"/>
              <w:right w:val="single" w:sz="4" w:space="0" w:color="auto"/>
            </w:tcBorders>
            <w:vAlign w:val="center"/>
            <w:hideMark/>
          </w:tcPr>
          <w:p w14:paraId="195DF664"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540" w:type="dxa"/>
            <w:tcBorders>
              <w:top w:val="nil"/>
              <w:left w:val="nil"/>
              <w:bottom w:val="single" w:sz="4" w:space="0" w:color="auto"/>
              <w:right w:val="single" w:sz="4" w:space="0" w:color="auto"/>
            </w:tcBorders>
            <w:vAlign w:val="center"/>
            <w:hideMark/>
          </w:tcPr>
          <w:p w14:paraId="44C21A51"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w:t>
            </w:r>
          </w:p>
        </w:tc>
        <w:tc>
          <w:tcPr>
            <w:tcW w:w="700" w:type="dxa"/>
            <w:tcBorders>
              <w:top w:val="nil"/>
              <w:left w:val="nil"/>
              <w:bottom w:val="single" w:sz="4" w:space="0" w:color="auto"/>
              <w:right w:val="single" w:sz="4" w:space="0" w:color="auto"/>
            </w:tcBorders>
            <w:vAlign w:val="center"/>
            <w:hideMark/>
          </w:tcPr>
          <w:p w14:paraId="657873E9"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47840</w:t>
            </w:r>
          </w:p>
        </w:tc>
        <w:tc>
          <w:tcPr>
            <w:tcW w:w="701" w:type="dxa"/>
            <w:tcBorders>
              <w:top w:val="nil"/>
              <w:left w:val="nil"/>
              <w:bottom w:val="single" w:sz="4" w:space="0" w:color="auto"/>
              <w:right w:val="single" w:sz="4" w:space="0" w:color="auto"/>
            </w:tcBorders>
            <w:vAlign w:val="center"/>
            <w:hideMark/>
          </w:tcPr>
          <w:p w14:paraId="59038D5B"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13553</w:t>
            </w:r>
          </w:p>
        </w:tc>
        <w:tc>
          <w:tcPr>
            <w:tcW w:w="426" w:type="dxa"/>
            <w:tcBorders>
              <w:top w:val="nil"/>
              <w:left w:val="nil"/>
              <w:bottom w:val="single" w:sz="4" w:space="0" w:color="auto"/>
              <w:right w:val="single" w:sz="4" w:space="0" w:color="auto"/>
            </w:tcBorders>
            <w:vAlign w:val="center"/>
            <w:hideMark/>
          </w:tcPr>
          <w:p w14:paraId="7852C27C"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9FBF481"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1DDE57F"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2C92DAE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18E48365"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11918B5E"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179C482D"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15752</w:t>
            </w:r>
          </w:p>
        </w:tc>
        <w:tc>
          <w:tcPr>
            <w:tcW w:w="654" w:type="dxa"/>
            <w:tcBorders>
              <w:top w:val="nil"/>
              <w:left w:val="nil"/>
              <w:bottom w:val="single" w:sz="4" w:space="0" w:color="auto"/>
              <w:right w:val="single" w:sz="4" w:space="0" w:color="auto"/>
            </w:tcBorders>
            <w:vAlign w:val="center"/>
            <w:hideMark/>
          </w:tcPr>
          <w:p w14:paraId="6189B492"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4803</w:t>
            </w:r>
          </w:p>
        </w:tc>
        <w:tc>
          <w:tcPr>
            <w:tcW w:w="536" w:type="dxa"/>
            <w:tcBorders>
              <w:top w:val="nil"/>
              <w:left w:val="nil"/>
              <w:bottom w:val="single" w:sz="4" w:space="0" w:color="auto"/>
              <w:right w:val="single" w:sz="4" w:space="0" w:color="auto"/>
            </w:tcBorders>
            <w:vAlign w:val="center"/>
            <w:hideMark/>
          </w:tcPr>
          <w:p w14:paraId="7AE13727"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2817</w:t>
            </w:r>
          </w:p>
        </w:tc>
        <w:tc>
          <w:tcPr>
            <w:tcW w:w="654" w:type="dxa"/>
            <w:tcBorders>
              <w:top w:val="nil"/>
              <w:left w:val="nil"/>
              <w:bottom w:val="single" w:sz="4" w:space="0" w:color="auto"/>
              <w:right w:val="single" w:sz="4" w:space="0" w:color="auto"/>
            </w:tcBorders>
            <w:vAlign w:val="center"/>
            <w:hideMark/>
          </w:tcPr>
          <w:p w14:paraId="2D0DC583"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1065</w:t>
            </w:r>
          </w:p>
        </w:tc>
        <w:tc>
          <w:tcPr>
            <w:tcW w:w="621" w:type="dxa"/>
            <w:tcBorders>
              <w:top w:val="nil"/>
              <w:left w:val="nil"/>
              <w:bottom w:val="single" w:sz="4" w:space="0" w:color="auto"/>
              <w:right w:val="single" w:sz="4" w:space="0" w:color="auto"/>
            </w:tcBorders>
            <w:vAlign w:val="center"/>
            <w:hideMark/>
          </w:tcPr>
          <w:p w14:paraId="045EED43"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27362</w:t>
            </w:r>
          </w:p>
        </w:tc>
        <w:tc>
          <w:tcPr>
            <w:tcW w:w="569" w:type="dxa"/>
            <w:tcBorders>
              <w:top w:val="nil"/>
              <w:left w:val="nil"/>
              <w:bottom w:val="single" w:sz="4" w:space="0" w:color="auto"/>
              <w:right w:val="single" w:sz="4" w:space="0" w:color="auto"/>
            </w:tcBorders>
            <w:vAlign w:val="center"/>
            <w:hideMark/>
          </w:tcPr>
          <w:p w14:paraId="48C0DF6F"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3538</w:t>
            </w:r>
          </w:p>
        </w:tc>
        <w:tc>
          <w:tcPr>
            <w:tcW w:w="584" w:type="dxa"/>
            <w:tcBorders>
              <w:top w:val="nil"/>
              <w:left w:val="nil"/>
              <w:bottom w:val="single" w:sz="4" w:space="0" w:color="auto"/>
              <w:right w:val="single" w:sz="4" w:space="0" w:color="auto"/>
            </w:tcBorders>
            <w:vAlign w:val="center"/>
            <w:hideMark/>
          </w:tcPr>
          <w:p w14:paraId="2A4872BA"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26463</w:t>
            </w:r>
          </w:p>
        </w:tc>
        <w:tc>
          <w:tcPr>
            <w:tcW w:w="557" w:type="dxa"/>
            <w:tcBorders>
              <w:top w:val="nil"/>
              <w:left w:val="nil"/>
              <w:bottom w:val="single" w:sz="4" w:space="0" w:color="auto"/>
              <w:right w:val="single" w:sz="4" w:space="0" w:color="auto"/>
            </w:tcBorders>
            <w:vAlign w:val="center"/>
            <w:hideMark/>
          </w:tcPr>
          <w:p w14:paraId="38661566"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8284</w:t>
            </w:r>
          </w:p>
        </w:tc>
        <w:tc>
          <w:tcPr>
            <w:tcW w:w="630" w:type="dxa"/>
            <w:tcBorders>
              <w:top w:val="nil"/>
              <w:left w:val="nil"/>
              <w:bottom w:val="single" w:sz="4" w:space="0" w:color="auto"/>
              <w:right w:val="single" w:sz="4" w:space="0" w:color="auto"/>
            </w:tcBorders>
            <w:vAlign w:val="center"/>
            <w:hideMark/>
          </w:tcPr>
          <w:p w14:paraId="3F4FBD00"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17956</w:t>
            </w:r>
          </w:p>
        </w:tc>
        <w:tc>
          <w:tcPr>
            <w:tcW w:w="540" w:type="dxa"/>
            <w:tcBorders>
              <w:top w:val="nil"/>
              <w:left w:val="nil"/>
              <w:bottom w:val="single" w:sz="4" w:space="0" w:color="auto"/>
              <w:right w:val="single" w:sz="4" w:space="0" w:color="auto"/>
            </w:tcBorders>
            <w:vAlign w:val="center"/>
            <w:hideMark/>
          </w:tcPr>
          <w:p w14:paraId="711285C2"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3713</w:t>
            </w:r>
          </w:p>
        </w:tc>
        <w:tc>
          <w:tcPr>
            <w:tcW w:w="700" w:type="dxa"/>
            <w:tcBorders>
              <w:top w:val="nil"/>
              <w:left w:val="nil"/>
              <w:bottom w:val="single" w:sz="4" w:space="0" w:color="auto"/>
              <w:right w:val="single" w:sz="4" w:space="0" w:color="auto"/>
            </w:tcBorders>
            <w:vAlign w:val="center"/>
            <w:hideMark/>
          </w:tcPr>
          <w:p w14:paraId="6EA25EBB"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148319</w:t>
            </w:r>
          </w:p>
        </w:tc>
        <w:tc>
          <w:tcPr>
            <w:tcW w:w="701" w:type="dxa"/>
            <w:tcBorders>
              <w:top w:val="nil"/>
              <w:left w:val="nil"/>
              <w:bottom w:val="single" w:sz="4" w:space="0" w:color="auto"/>
              <w:right w:val="single" w:sz="4" w:space="0" w:color="auto"/>
            </w:tcBorders>
            <w:vAlign w:val="center"/>
            <w:hideMark/>
          </w:tcPr>
          <w:p w14:paraId="6619247E"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39948</w:t>
            </w:r>
          </w:p>
        </w:tc>
        <w:tc>
          <w:tcPr>
            <w:tcW w:w="426" w:type="dxa"/>
            <w:tcBorders>
              <w:top w:val="nil"/>
              <w:left w:val="nil"/>
              <w:bottom w:val="single" w:sz="4" w:space="0" w:color="auto"/>
              <w:right w:val="single" w:sz="4" w:space="0" w:color="auto"/>
            </w:tcBorders>
            <w:vAlign w:val="center"/>
            <w:hideMark/>
          </w:tcPr>
          <w:p w14:paraId="6D99D9A7"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40</w:t>
            </w:r>
          </w:p>
        </w:tc>
        <w:tc>
          <w:tcPr>
            <w:tcW w:w="503" w:type="dxa"/>
            <w:tcBorders>
              <w:top w:val="nil"/>
              <w:left w:val="nil"/>
              <w:bottom w:val="single" w:sz="4" w:space="0" w:color="auto"/>
              <w:right w:val="single" w:sz="4" w:space="0" w:color="auto"/>
            </w:tcBorders>
            <w:vAlign w:val="center"/>
            <w:hideMark/>
          </w:tcPr>
          <w:p w14:paraId="423FBA61"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30</w:t>
            </w:r>
          </w:p>
        </w:tc>
      </w:tr>
      <w:tr w:rsidR="004705D2" w:rsidRPr="004705D2" w14:paraId="7CA2A630"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58B9ECD6"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6FBFB451"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GRAND TOTAL</w:t>
            </w:r>
          </w:p>
        </w:tc>
        <w:tc>
          <w:tcPr>
            <w:tcW w:w="777" w:type="dxa"/>
            <w:tcBorders>
              <w:top w:val="nil"/>
              <w:left w:val="nil"/>
              <w:bottom w:val="single" w:sz="4" w:space="0" w:color="auto"/>
              <w:right w:val="single" w:sz="4" w:space="0" w:color="auto"/>
            </w:tcBorders>
            <w:vAlign w:val="center"/>
            <w:hideMark/>
          </w:tcPr>
          <w:p w14:paraId="28757AD1"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Flood, etc.</w:t>
            </w:r>
          </w:p>
        </w:tc>
        <w:tc>
          <w:tcPr>
            <w:tcW w:w="536" w:type="dxa"/>
            <w:tcBorders>
              <w:top w:val="nil"/>
              <w:left w:val="nil"/>
              <w:bottom w:val="single" w:sz="4" w:space="0" w:color="auto"/>
              <w:right w:val="single" w:sz="4" w:space="0" w:color="auto"/>
            </w:tcBorders>
            <w:vAlign w:val="center"/>
            <w:hideMark/>
          </w:tcPr>
          <w:p w14:paraId="3DF57346"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148550</w:t>
            </w:r>
          </w:p>
        </w:tc>
        <w:tc>
          <w:tcPr>
            <w:tcW w:w="654" w:type="dxa"/>
            <w:tcBorders>
              <w:top w:val="nil"/>
              <w:left w:val="nil"/>
              <w:bottom w:val="single" w:sz="4" w:space="0" w:color="auto"/>
              <w:right w:val="single" w:sz="4" w:space="0" w:color="auto"/>
            </w:tcBorders>
            <w:vAlign w:val="center"/>
            <w:hideMark/>
          </w:tcPr>
          <w:p w14:paraId="0C542BFC"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34406</w:t>
            </w:r>
          </w:p>
        </w:tc>
        <w:tc>
          <w:tcPr>
            <w:tcW w:w="536" w:type="dxa"/>
            <w:tcBorders>
              <w:top w:val="nil"/>
              <w:left w:val="nil"/>
              <w:bottom w:val="single" w:sz="4" w:space="0" w:color="auto"/>
              <w:right w:val="single" w:sz="4" w:space="0" w:color="auto"/>
            </w:tcBorders>
            <w:vAlign w:val="center"/>
            <w:hideMark/>
          </w:tcPr>
          <w:p w14:paraId="14281713"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323769</w:t>
            </w:r>
          </w:p>
        </w:tc>
        <w:tc>
          <w:tcPr>
            <w:tcW w:w="654" w:type="dxa"/>
            <w:tcBorders>
              <w:top w:val="nil"/>
              <w:left w:val="nil"/>
              <w:bottom w:val="single" w:sz="4" w:space="0" w:color="auto"/>
              <w:right w:val="single" w:sz="4" w:space="0" w:color="auto"/>
            </w:tcBorders>
            <w:vAlign w:val="center"/>
            <w:hideMark/>
          </w:tcPr>
          <w:p w14:paraId="6109F40A"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52987</w:t>
            </w:r>
          </w:p>
        </w:tc>
        <w:tc>
          <w:tcPr>
            <w:tcW w:w="621" w:type="dxa"/>
            <w:tcBorders>
              <w:top w:val="nil"/>
              <w:left w:val="nil"/>
              <w:bottom w:val="single" w:sz="4" w:space="0" w:color="auto"/>
              <w:right w:val="single" w:sz="4" w:space="0" w:color="auto"/>
            </w:tcBorders>
            <w:vAlign w:val="center"/>
            <w:hideMark/>
          </w:tcPr>
          <w:p w14:paraId="55E4100E"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399155</w:t>
            </w:r>
          </w:p>
        </w:tc>
        <w:tc>
          <w:tcPr>
            <w:tcW w:w="569" w:type="dxa"/>
            <w:tcBorders>
              <w:top w:val="nil"/>
              <w:left w:val="nil"/>
              <w:bottom w:val="single" w:sz="4" w:space="0" w:color="auto"/>
              <w:right w:val="single" w:sz="4" w:space="0" w:color="auto"/>
            </w:tcBorders>
            <w:vAlign w:val="center"/>
            <w:hideMark/>
          </w:tcPr>
          <w:p w14:paraId="2948BC8F"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43091</w:t>
            </w:r>
          </w:p>
        </w:tc>
        <w:tc>
          <w:tcPr>
            <w:tcW w:w="584" w:type="dxa"/>
            <w:tcBorders>
              <w:top w:val="nil"/>
              <w:left w:val="nil"/>
              <w:bottom w:val="single" w:sz="4" w:space="0" w:color="auto"/>
              <w:right w:val="single" w:sz="4" w:space="0" w:color="auto"/>
            </w:tcBorders>
            <w:vAlign w:val="center"/>
            <w:hideMark/>
          </w:tcPr>
          <w:p w14:paraId="66767AC3"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227074</w:t>
            </w:r>
          </w:p>
        </w:tc>
        <w:tc>
          <w:tcPr>
            <w:tcW w:w="557" w:type="dxa"/>
            <w:tcBorders>
              <w:top w:val="nil"/>
              <w:left w:val="nil"/>
              <w:bottom w:val="single" w:sz="4" w:space="0" w:color="auto"/>
              <w:right w:val="single" w:sz="4" w:space="0" w:color="auto"/>
            </w:tcBorders>
            <w:vAlign w:val="center"/>
            <w:hideMark/>
          </w:tcPr>
          <w:p w14:paraId="6A50693F"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30213</w:t>
            </w:r>
          </w:p>
        </w:tc>
        <w:tc>
          <w:tcPr>
            <w:tcW w:w="630" w:type="dxa"/>
            <w:tcBorders>
              <w:top w:val="nil"/>
              <w:left w:val="nil"/>
              <w:bottom w:val="single" w:sz="4" w:space="0" w:color="auto"/>
              <w:right w:val="single" w:sz="4" w:space="0" w:color="auto"/>
            </w:tcBorders>
            <w:vAlign w:val="center"/>
            <w:hideMark/>
          </w:tcPr>
          <w:p w14:paraId="29E290FF"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452805</w:t>
            </w:r>
          </w:p>
        </w:tc>
        <w:tc>
          <w:tcPr>
            <w:tcW w:w="540" w:type="dxa"/>
            <w:tcBorders>
              <w:top w:val="nil"/>
              <w:left w:val="nil"/>
              <w:bottom w:val="single" w:sz="4" w:space="0" w:color="auto"/>
              <w:right w:val="single" w:sz="4" w:space="0" w:color="auto"/>
            </w:tcBorders>
            <w:vAlign w:val="center"/>
            <w:hideMark/>
          </w:tcPr>
          <w:p w14:paraId="73E14AD2"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57827</w:t>
            </w:r>
          </w:p>
        </w:tc>
        <w:tc>
          <w:tcPr>
            <w:tcW w:w="700" w:type="dxa"/>
            <w:tcBorders>
              <w:top w:val="nil"/>
              <w:left w:val="nil"/>
              <w:bottom w:val="single" w:sz="4" w:space="0" w:color="auto"/>
              <w:right w:val="single" w:sz="4" w:space="0" w:color="auto"/>
            </w:tcBorders>
            <w:vAlign w:val="center"/>
            <w:hideMark/>
          </w:tcPr>
          <w:p w14:paraId="25003F5F"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2138115</w:t>
            </w:r>
          </w:p>
        </w:tc>
        <w:tc>
          <w:tcPr>
            <w:tcW w:w="701" w:type="dxa"/>
            <w:tcBorders>
              <w:top w:val="nil"/>
              <w:left w:val="nil"/>
              <w:bottom w:val="single" w:sz="4" w:space="0" w:color="auto"/>
              <w:right w:val="single" w:sz="4" w:space="0" w:color="auto"/>
            </w:tcBorders>
            <w:vAlign w:val="center"/>
            <w:hideMark/>
          </w:tcPr>
          <w:p w14:paraId="158BD457"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344853</w:t>
            </w:r>
          </w:p>
        </w:tc>
        <w:tc>
          <w:tcPr>
            <w:tcW w:w="426" w:type="dxa"/>
            <w:tcBorders>
              <w:top w:val="nil"/>
              <w:left w:val="nil"/>
              <w:bottom w:val="single" w:sz="4" w:space="0" w:color="auto"/>
              <w:right w:val="single" w:sz="4" w:space="0" w:color="auto"/>
            </w:tcBorders>
            <w:vAlign w:val="center"/>
            <w:hideMark/>
          </w:tcPr>
          <w:p w14:paraId="305DC341"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1818708E"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4705D2" w14:paraId="2690B424"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06CE7EE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3AE6C99E"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42D1959B" w14:textId="77777777" w:rsidR="00861457" w:rsidRPr="00767C21" w:rsidRDefault="00861457" w:rsidP="004705D2">
            <w:pPr>
              <w:spacing w:after="0" w:line="240" w:lineRule="auto"/>
              <w:ind w:left="-79" w:firstLineChars="9" w:firstLine="1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Drought</w:t>
            </w:r>
          </w:p>
        </w:tc>
        <w:tc>
          <w:tcPr>
            <w:tcW w:w="536" w:type="dxa"/>
            <w:tcBorders>
              <w:top w:val="nil"/>
              <w:left w:val="nil"/>
              <w:bottom w:val="single" w:sz="4" w:space="0" w:color="auto"/>
              <w:right w:val="single" w:sz="4" w:space="0" w:color="auto"/>
            </w:tcBorders>
            <w:vAlign w:val="center"/>
            <w:hideMark/>
          </w:tcPr>
          <w:p w14:paraId="7D6521AA" w14:textId="77777777" w:rsidR="00861457" w:rsidRPr="00767C21" w:rsidRDefault="00861457" w:rsidP="004705D2">
            <w:pPr>
              <w:spacing w:after="0" w:line="240" w:lineRule="auto"/>
              <w:ind w:leftChars="-26" w:left="2" w:hangingChars="53" w:hanging="6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133810</w:t>
            </w:r>
          </w:p>
        </w:tc>
        <w:tc>
          <w:tcPr>
            <w:tcW w:w="654" w:type="dxa"/>
            <w:tcBorders>
              <w:top w:val="nil"/>
              <w:left w:val="nil"/>
              <w:bottom w:val="single" w:sz="4" w:space="0" w:color="auto"/>
              <w:right w:val="single" w:sz="4" w:space="0" w:color="auto"/>
            </w:tcBorders>
            <w:vAlign w:val="center"/>
            <w:hideMark/>
          </w:tcPr>
          <w:p w14:paraId="2BC9661A"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16885</w:t>
            </w:r>
          </w:p>
        </w:tc>
        <w:tc>
          <w:tcPr>
            <w:tcW w:w="536" w:type="dxa"/>
            <w:tcBorders>
              <w:top w:val="nil"/>
              <w:left w:val="nil"/>
              <w:bottom w:val="single" w:sz="4" w:space="0" w:color="auto"/>
              <w:right w:val="single" w:sz="4" w:space="0" w:color="auto"/>
            </w:tcBorders>
            <w:vAlign w:val="center"/>
            <w:hideMark/>
          </w:tcPr>
          <w:p w14:paraId="685ECA49" w14:textId="77777777" w:rsidR="00861457" w:rsidRPr="00767C21" w:rsidRDefault="00861457" w:rsidP="004705D2">
            <w:pPr>
              <w:spacing w:after="0" w:line="240" w:lineRule="auto"/>
              <w:ind w:left="-89"/>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398734</w:t>
            </w:r>
          </w:p>
        </w:tc>
        <w:tc>
          <w:tcPr>
            <w:tcW w:w="654" w:type="dxa"/>
            <w:tcBorders>
              <w:top w:val="nil"/>
              <w:left w:val="nil"/>
              <w:bottom w:val="single" w:sz="4" w:space="0" w:color="auto"/>
              <w:right w:val="single" w:sz="4" w:space="0" w:color="auto"/>
            </w:tcBorders>
            <w:vAlign w:val="center"/>
            <w:hideMark/>
          </w:tcPr>
          <w:p w14:paraId="1783405E" w14:textId="77777777" w:rsidR="00861457" w:rsidRPr="00767C21" w:rsidRDefault="00861457" w:rsidP="004705D2">
            <w:pPr>
              <w:spacing w:after="0" w:line="240" w:lineRule="auto"/>
              <w:ind w:left="-5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47644</w:t>
            </w:r>
          </w:p>
        </w:tc>
        <w:tc>
          <w:tcPr>
            <w:tcW w:w="621" w:type="dxa"/>
            <w:tcBorders>
              <w:top w:val="nil"/>
              <w:left w:val="nil"/>
              <w:bottom w:val="single" w:sz="4" w:space="0" w:color="auto"/>
              <w:right w:val="single" w:sz="4" w:space="0" w:color="auto"/>
            </w:tcBorders>
            <w:vAlign w:val="center"/>
            <w:hideMark/>
          </w:tcPr>
          <w:p w14:paraId="21491491" w14:textId="77777777" w:rsidR="00861457" w:rsidRPr="00767C21" w:rsidRDefault="00861457" w:rsidP="004705D2">
            <w:pPr>
              <w:spacing w:after="0" w:line="240" w:lineRule="auto"/>
              <w:ind w:leftChars="-14" w:left="1" w:hangingChars="29" w:hanging="3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449862</w:t>
            </w:r>
          </w:p>
        </w:tc>
        <w:tc>
          <w:tcPr>
            <w:tcW w:w="569" w:type="dxa"/>
            <w:tcBorders>
              <w:top w:val="nil"/>
              <w:left w:val="nil"/>
              <w:bottom w:val="single" w:sz="4" w:space="0" w:color="auto"/>
              <w:right w:val="single" w:sz="4" w:space="0" w:color="auto"/>
            </w:tcBorders>
            <w:vAlign w:val="center"/>
            <w:hideMark/>
          </w:tcPr>
          <w:p w14:paraId="0BA6BDEB" w14:textId="77777777" w:rsidR="00861457" w:rsidRPr="00767C21" w:rsidRDefault="00861457" w:rsidP="004705D2">
            <w:pPr>
              <w:spacing w:after="0" w:line="240" w:lineRule="auto"/>
              <w:ind w:left="-85"/>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59298</w:t>
            </w:r>
          </w:p>
        </w:tc>
        <w:tc>
          <w:tcPr>
            <w:tcW w:w="584" w:type="dxa"/>
            <w:tcBorders>
              <w:top w:val="nil"/>
              <w:left w:val="nil"/>
              <w:bottom w:val="single" w:sz="4" w:space="0" w:color="auto"/>
              <w:right w:val="single" w:sz="4" w:space="0" w:color="auto"/>
            </w:tcBorders>
            <w:vAlign w:val="center"/>
            <w:hideMark/>
          </w:tcPr>
          <w:p w14:paraId="16D09F8A" w14:textId="77777777" w:rsidR="00861457" w:rsidRPr="00767C21" w:rsidRDefault="00861457" w:rsidP="004705D2">
            <w:pPr>
              <w:spacing w:after="0" w:line="240" w:lineRule="auto"/>
              <w:ind w:left="-61"/>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967578</w:t>
            </w:r>
          </w:p>
        </w:tc>
        <w:tc>
          <w:tcPr>
            <w:tcW w:w="557" w:type="dxa"/>
            <w:tcBorders>
              <w:top w:val="nil"/>
              <w:left w:val="nil"/>
              <w:bottom w:val="single" w:sz="4" w:space="0" w:color="auto"/>
              <w:right w:val="single" w:sz="4" w:space="0" w:color="auto"/>
            </w:tcBorders>
            <w:vAlign w:val="center"/>
            <w:hideMark/>
          </w:tcPr>
          <w:p w14:paraId="5C852954" w14:textId="77777777" w:rsidR="00861457" w:rsidRPr="00767C21" w:rsidRDefault="00861457" w:rsidP="004705D2">
            <w:pPr>
              <w:spacing w:after="0" w:line="240" w:lineRule="auto"/>
              <w:ind w:left="-6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135512</w:t>
            </w:r>
          </w:p>
        </w:tc>
        <w:tc>
          <w:tcPr>
            <w:tcW w:w="630" w:type="dxa"/>
            <w:tcBorders>
              <w:top w:val="nil"/>
              <w:left w:val="nil"/>
              <w:bottom w:val="single" w:sz="4" w:space="0" w:color="auto"/>
              <w:right w:val="single" w:sz="4" w:space="0" w:color="auto"/>
            </w:tcBorders>
            <w:vAlign w:val="center"/>
            <w:hideMark/>
          </w:tcPr>
          <w:p w14:paraId="7B8F5E31" w14:textId="77777777" w:rsidR="00861457" w:rsidRPr="00767C21" w:rsidRDefault="00861457" w:rsidP="004705D2">
            <w:pPr>
              <w:spacing w:after="0" w:line="240" w:lineRule="auto"/>
              <w:ind w:left="-5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179821</w:t>
            </w:r>
          </w:p>
        </w:tc>
        <w:tc>
          <w:tcPr>
            <w:tcW w:w="540" w:type="dxa"/>
            <w:tcBorders>
              <w:top w:val="nil"/>
              <w:left w:val="nil"/>
              <w:bottom w:val="single" w:sz="4" w:space="0" w:color="auto"/>
              <w:right w:val="single" w:sz="4" w:space="0" w:color="auto"/>
            </w:tcBorders>
            <w:vAlign w:val="center"/>
            <w:hideMark/>
          </w:tcPr>
          <w:p w14:paraId="461D8678" w14:textId="77777777" w:rsidR="00861457" w:rsidRPr="00767C21" w:rsidRDefault="00861457" w:rsidP="004705D2">
            <w:pPr>
              <w:spacing w:after="0" w:line="240" w:lineRule="auto"/>
              <w:ind w:left="-84"/>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50662</w:t>
            </w:r>
          </w:p>
        </w:tc>
        <w:tc>
          <w:tcPr>
            <w:tcW w:w="700" w:type="dxa"/>
            <w:tcBorders>
              <w:top w:val="nil"/>
              <w:left w:val="nil"/>
              <w:bottom w:val="single" w:sz="4" w:space="0" w:color="auto"/>
              <w:right w:val="single" w:sz="4" w:space="0" w:color="auto"/>
            </w:tcBorders>
            <w:vAlign w:val="center"/>
            <w:hideMark/>
          </w:tcPr>
          <w:p w14:paraId="75BC8F6B" w14:textId="77777777" w:rsidR="00861457" w:rsidRPr="00767C21" w:rsidRDefault="00861457" w:rsidP="004705D2">
            <w:pPr>
              <w:spacing w:after="0" w:line="240" w:lineRule="auto"/>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2745443</w:t>
            </w:r>
          </w:p>
        </w:tc>
        <w:tc>
          <w:tcPr>
            <w:tcW w:w="701" w:type="dxa"/>
            <w:tcBorders>
              <w:top w:val="nil"/>
              <w:left w:val="nil"/>
              <w:bottom w:val="single" w:sz="4" w:space="0" w:color="auto"/>
              <w:right w:val="single" w:sz="4" w:space="0" w:color="auto"/>
            </w:tcBorders>
            <w:vAlign w:val="center"/>
            <w:hideMark/>
          </w:tcPr>
          <w:p w14:paraId="5DD6F64D" w14:textId="77777777" w:rsidR="00861457" w:rsidRPr="00767C21" w:rsidRDefault="00861457" w:rsidP="004705D2">
            <w:pPr>
              <w:spacing w:after="0" w:line="240" w:lineRule="auto"/>
              <w:ind w:left="-82" w:firstLineChars="6" w:firstLine="7"/>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44800*</w:t>
            </w:r>
          </w:p>
        </w:tc>
        <w:tc>
          <w:tcPr>
            <w:tcW w:w="426" w:type="dxa"/>
            <w:tcBorders>
              <w:top w:val="nil"/>
              <w:left w:val="nil"/>
              <w:bottom w:val="single" w:sz="4" w:space="0" w:color="auto"/>
              <w:right w:val="single" w:sz="4" w:space="0" w:color="auto"/>
            </w:tcBorders>
            <w:vAlign w:val="center"/>
            <w:hideMark/>
          </w:tcPr>
          <w:p w14:paraId="1AB3E0AF" w14:textId="77777777" w:rsidR="00861457" w:rsidRPr="00767C21" w:rsidRDefault="00861457" w:rsidP="004705D2">
            <w:pPr>
              <w:spacing w:after="0" w:line="240" w:lineRule="auto"/>
              <w:ind w:left="-73" w:firstLineChars="19" w:firstLine="23"/>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503" w:type="dxa"/>
            <w:tcBorders>
              <w:top w:val="nil"/>
              <w:left w:val="nil"/>
              <w:bottom w:val="single" w:sz="4" w:space="0" w:color="auto"/>
              <w:right w:val="single" w:sz="4" w:space="0" w:color="auto"/>
            </w:tcBorders>
            <w:vAlign w:val="center"/>
            <w:hideMark/>
          </w:tcPr>
          <w:p w14:paraId="01BF64F5" w14:textId="77777777" w:rsidR="00861457" w:rsidRPr="00767C21" w:rsidRDefault="00861457" w:rsidP="004705D2">
            <w:pPr>
              <w:spacing w:after="0" w:line="240" w:lineRule="auto"/>
              <w:ind w:left="-52"/>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r>
      <w:tr w:rsidR="004705D2" w:rsidRPr="00861457" w14:paraId="2AD6C20A" w14:textId="77777777" w:rsidTr="004705D2">
        <w:trPr>
          <w:gridAfter w:val="1"/>
          <w:wAfter w:w="6" w:type="dxa"/>
          <w:trHeight w:val="35"/>
          <w:jc w:val="center"/>
        </w:trPr>
        <w:tc>
          <w:tcPr>
            <w:tcW w:w="449" w:type="dxa"/>
            <w:tcBorders>
              <w:top w:val="nil"/>
              <w:left w:val="single" w:sz="4" w:space="0" w:color="auto"/>
              <w:bottom w:val="single" w:sz="4" w:space="0" w:color="auto"/>
              <w:right w:val="single" w:sz="4" w:space="0" w:color="auto"/>
            </w:tcBorders>
            <w:shd w:val="clear" w:color="000000" w:fill="FFFFFF"/>
            <w:vAlign w:val="center"/>
            <w:hideMark/>
          </w:tcPr>
          <w:p w14:paraId="185B9835" w14:textId="77777777" w:rsidR="00861457" w:rsidRPr="00767C21" w:rsidRDefault="00861457" w:rsidP="00861457">
            <w:pPr>
              <w:spacing w:after="0" w:line="240" w:lineRule="auto"/>
              <w:ind w:firstLineChars="100" w:firstLine="120"/>
              <w:rPr>
                <w:rFonts w:ascii="Arial" w:eastAsia="Times New Roman" w:hAnsi="Arial" w:cs="Arial"/>
                <w:color w:val="2B2D31"/>
                <w:kern w:val="0"/>
                <w:sz w:val="12"/>
                <w:szCs w:val="12"/>
                <w:lang w:eastAsia="en-IN"/>
                <w14:ligatures w14:val="none"/>
              </w:rPr>
            </w:pPr>
            <w:r w:rsidRPr="00767C21">
              <w:rPr>
                <w:rFonts w:ascii="Arial" w:eastAsia="Times New Roman" w:hAnsi="Arial" w:cs="Arial"/>
                <w:color w:val="2B2D31"/>
                <w:kern w:val="0"/>
                <w:sz w:val="12"/>
                <w:szCs w:val="12"/>
                <w:lang w:eastAsia="en-IN"/>
                <w14:ligatures w14:val="none"/>
              </w:rPr>
              <w:t> </w:t>
            </w:r>
          </w:p>
        </w:tc>
        <w:tc>
          <w:tcPr>
            <w:tcW w:w="808" w:type="dxa"/>
            <w:tcBorders>
              <w:top w:val="nil"/>
              <w:left w:val="nil"/>
              <w:bottom w:val="single" w:sz="4" w:space="0" w:color="auto"/>
              <w:right w:val="single" w:sz="4" w:space="0" w:color="auto"/>
            </w:tcBorders>
            <w:vAlign w:val="center"/>
            <w:hideMark/>
          </w:tcPr>
          <w:p w14:paraId="0CEAEC8B" w14:textId="77777777" w:rsidR="00861457" w:rsidRPr="00767C21" w:rsidRDefault="00861457" w:rsidP="00861457">
            <w:pPr>
              <w:spacing w:after="0" w:line="240" w:lineRule="auto"/>
              <w:ind w:firstLineChars="100" w:firstLine="120"/>
              <w:rPr>
                <w:rFonts w:ascii="Arial" w:eastAsia="Times New Roman" w:hAnsi="Arial" w:cs="Arial"/>
                <w:color w:val="000000"/>
                <w:kern w:val="0"/>
                <w:sz w:val="12"/>
                <w:szCs w:val="12"/>
                <w:lang w:eastAsia="en-IN"/>
                <w14:ligatures w14:val="none"/>
              </w:rPr>
            </w:pPr>
            <w:r w:rsidRPr="00767C21">
              <w:rPr>
                <w:rFonts w:ascii="Arial" w:eastAsia="Times New Roman" w:hAnsi="Arial" w:cs="Arial"/>
                <w:color w:val="000000"/>
                <w:kern w:val="0"/>
                <w:sz w:val="12"/>
                <w:szCs w:val="12"/>
                <w:lang w:eastAsia="en-IN"/>
                <w14:ligatures w14:val="none"/>
              </w:rPr>
              <w:t> </w:t>
            </w:r>
          </w:p>
        </w:tc>
        <w:tc>
          <w:tcPr>
            <w:tcW w:w="777" w:type="dxa"/>
            <w:tcBorders>
              <w:top w:val="nil"/>
              <w:left w:val="nil"/>
              <w:bottom w:val="single" w:sz="4" w:space="0" w:color="auto"/>
              <w:right w:val="single" w:sz="4" w:space="0" w:color="auto"/>
            </w:tcBorders>
            <w:vAlign w:val="center"/>
            <w:hideMark/>
          </w:tcPr>
          <w:p w14:paraId="2B814852" w14:textId="77777777" w:rsidR="00861457" w:rsidRPr="00767C21" w:rsidRDefault="00861457" w:rsidP="004705D2">
            <w:pPr>
              <w:spacing w:after="0" w:line="240" w:lineRule="auto"/>
              <w:ind w:left="-79" w:firstLineChars="9" w:firstLine="1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TOTAL</w:t>
            </w:r>
          </w:p>
        </w:tc>
        <w:tc>
          <w:tcPr>
            <w:tcW w:w="536" w:type="dxa"/>
            <w:tcBorders>
              <w:top w:val="nil"/>
              <w:left w:val="nil"/>
              <w:bottom w:val="single" w:sz="4" w:space="0" w:color="auto"/>
              <w:right w:val="single" w:sz="4" w:space="0" w:color="auto"/>
            </w:tcBorders>
            <w:vAlign w:val="center"/>
            <w:hideMark/>
          </w:tcPr>
          <w:p w14:paraId="19C031A1" w14:textId="77777777" w:rsidR="00861457" w:rsidRPr="00767C21" w:rsidRDefault="00861457" w:rsidP="004705D2">
            <w:pPr>
              <w:spacing w:after="0" w:line="240" w:lineRule="auto"/>
              <w:ind w:leftChars="-26" w:left="2" w:hangingChars="53" w:hanging="6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282360</w:t>
            </w:r>
          </w:p>
        </w:tc>
        <w:tc>
          <w:tcPr>
            <w:tcW w:w="654" w:type="dxa"/>
            <w:tcBorders>
              <w:top w:val="nil"/>
              <w:left w:val="nil"/>
              <w:bottom w:val="single" w:sz="4" w:space="0" w:color="auto"/>
              <w:right w:val="single" w:sz="4" w:space="0" w:color="auto"/>
            </w:tcBorders>
            <w:vAlign w:val="center"/>
            <w:hideMark/>
          </w:tcPr>
          <w:p w14:paraId="7D3CBE08"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51291</w:t>
            </w:r>
          </w:p>
        </w:tc>
        <w:tc>
          <w:tcPr>
            <w:tcW w:w="536" w:type="dxa"/>
            <w:tcBorders>
              <w:top w:val="nil"/>
              <w:left w:val="nil"/>
              <w:bottom w:val="single" w:sz="4" w:space="0" w:color="auto"/>
              <w:right w:val="single" w:sz="4" w:space="0" w:color="auto"/>
            </w:tcBorders>
            <w:vAlign w:val="center"/>
            <w:hideMark/>
          </w:tcPr>
          <w:p w14:paraId="1E53433A" w14:textId="77777777" w:rsidR="00861457" w:rsidRPr="00767C21" w:rsidRDefault="00861457" w:rsidP="004705D2">
            <w:pPr>
              <w:spacing w:after="0" w:line="240" w:lineRule="auto"/>
              <w:ind w:left="-89"/>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714503</w:t>
            </w:r>
          </w:p>
        </w:tc>
        <w:tc>
          <w:tcPr>
            <w:tcW w:w="654" w:type="dxa"/>
            <w:tcBorders>
              <w:top w:val="nil"/>
              <w:left w:val="nil"/>
              <w:bottom w:val="single" w:sz="4" w:space="0" w:color="auto"/>
              <w:right w:val="single" w:sz="4" w:space="0" w:color="auto"/>
            </w:tcBorders>
            <w:vAlign w:val="center"/>
            <w:hideMark/>
          </w:tcPr>
          <w:p w14:paraId="7B46C788" w14:textId="77777777" w:rsidR="00861457" w:rsidRPr="00767C21" w:rsidRDefault="00861457" w:rsidP="004705D2">
            <w:pPr>
              <w:spacing w:after="0" w:line="240" w:lineRule="auto"/>
              <w:ind w:left="-5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100631</w:t>
            </w:r>
          </w:p>
        </w:tc>
        <w:tc>
          <w:tcPr>
            <w:tcW w:w="621" w:type="dxa"/>
            <w:tcBorders>
              <w:top w:val="nil"/>
              <w:left w:val="nil"/>
              <w:bottom w:val="single" w:sz="4" w:space="0" w:color="auto"/>
              <w:right w:val="single" w:sz="4" w:space="0" w:color="auto"/>
            </w:tcBorders>
            <w:vAlign w:val="center"/>
            <w:hideMark/>
          </w:tcPr>
          <w:p w14:paraId="6561A6D6" w14:textId="77777777" w:rsidR="00861457" w:rsidRPr="00767C21" w:rsidRDefault="00861457" w:rsidP="004705D2">
            <w:pPr>
              <w:spacing w:after="0" w:line="240" w:lineRule="auto"/>
              <w:ind w:leftChars="-14" w:left="1" w:hangingChars="29" w:hanging="3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849017</w:t>
            </w:r>
          </w:p>
        </w:tc>
        <w:tc>
          <w:tcPr>
            <w:tcW w:w="569" w:type="dxa"/>
            <w:tcBorders>
              <w:top w:val="nil"/>
              <w:left w:val="nil"/>
              <w:bottom w:val="single" w:sz="4" w:space="0" w:color="auto"/>
              <w:right w:val="single" w:sz="4" w:space="0" w:color="auto"/>
            </w:tcBorders>
            <w:vAlign w:val="center"/>
            <w:hideMark/>
          </w:tcPr>
          <w:p w14:paraId="6E4A5873" w14:textId="77777777" w:rsidR="00861457" w:rsidRPr="00767C21" w:rsidRDefault="00861457" w:rsidP="004705D2">
            <w:pPr>
              <w:spacing w:after="0" w:line="240" w:lineRule="auto"/>
              <w:ind w:left="-85"/>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102389</w:t>
            </w:r>
          </w:p>
        </w:tc>
        <w:tc>
          <w:tcPr>
            <w:tcW w:w="584" w:type="dxa"/>
            <w:tcBorders>
              <w:top w:val="nil"/>
              <w:left w:val="nil"/>
              <w:bottom w:val="single" w:sz="4" w:space="0" w:color="auto"/>
              <w:right w:val="single" w:sz="4" w:space="0" w:color="auto"/>
            </w:tcBorders>
            <w:vAlign w:val="center"/>
            <w:hideMark/>
          </w:tcPr>
          <w:p w14:paraId="35302585" w14:textId="77777777" w:rsidR="00861457" w:rsidRPr="00767C21" w:rsidRDefault="00861457" w:rsidP="004705D2">
            <w:pPr>
              <w:spacing w:after="0" w:line="240" w:lineRule="auto"/>
              <w:ind w:left="-61"/>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1194651</w:t>
            </w:r>
          </w:p>
        </w:tc>
        <w:tc>
          <w:tcPr>
            <w:tcW w:w="557" w:type="dxa"/>
            <w:tcBorders>
              <w:top w:val="nil"/>
              <w:left w:val="nil"/>
              <w:bottom w:val="single" w:sz="4" w:space="0" w:color="auto"/>
              <w:right w:val="single" w:sz="4" w:space="0" w:color="auto"/>
            </w:tcBorders>
            <w:vAlign w:val="center"/>
            <w:hideMark/>
          </w:tcPr>
          <w:p w14:paraId="131C2EF8" w14:textId="77777777" w:rsidR="00861457" w:rsidRPr="00767C21" w:rsidRDefault="00861457" w:rsidP="004705D2">
            <w:pPr>
              <w:spacing w:after="0" w:line="240" w:lineRule="auto"/>
              <w:ind w:left="-6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165892</w:t>
            </w:r>
          </w:p>
        </w:tc>
        <w:tc>
          <w:tcPr>
            <w:tcW w:w="630" w:type="dxa"/>
            <w:tcBorders>
              <w:top w:val="nil"/>
              <w:left w:val="nil"/>
              <w:bottom w:val="single" w:sz="4" w:space="0" w:color="auto"/>
              <w:right w:val="single" w:sz="4" w:space="0" w:color="auto"/>
            </w:tcBorders>
            <w:vAlign w:val="center"/>
            <w:hideMark/>
          </w:tcPr>
          <w:p w14:paraId="3B4296CB" w14:textId="77777777" w:rsidR="00861457" w:rsidRPr="00767C21" w:rsidRDefault="00861457" w:rsidP="004705D2">
            <w:pPr>
              <w:spacing w:after="0" w:line="240" w:lineRule="auto"/>
              <w:ind w:left="-50"/>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632626</w:t>
            </w:r>
          </w:p>
        </w:tc>
        <w:tc>
          <w:tcPr>
            <w:tcW w:w="540" w:type="dxa"/>
            <w:tcBorders>
              <w:top w:val="nil"/>
              <w:left w:val="nil"/>
              <w:bottom w:val="single" w:sz="4" w:space="0" w:color="auto"/>
              <w:right w:val="single" w:sz="4" w:space="0" w:color="auto"/>
            </w:tcBorders>
            <w:vAlign w:val="center"/>
            <w:hideMark/>
          </w:tcPr>
          <w:p w14:paraId="049FB427" w14:textId="77777777" w:rsidR="00861457" w:rsidRPr="00767C21" w:rsidRDefault="00861457" w:rsidP="004705D2">
            <w:pPr>
              <w:spacing w:after="0" w:line="240" w:lineRule="auto"/>
              <w:ind w:left="-84"/>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108429</w:t>
            </w:r>
          </w:p>
        </w:tc>
        <w:tc>
          <w:tcPr>
            <w:tcW w:w="700" w:type="dxa"/>
            <w:tcBorders>
              <w:top w:val="nil"/>
              <w:left w:val="nil"/>
              <w:bottom w:val="single" w:sz="4" w:space="0" w:color="auto"/>
              <w:right w:val="single" w:sz="4" w:space="0" w:color="auto"/>
            </w:tcBorders>
            <w:vAlign w:val="center"/>
            <w:hideMark/>
          </w:tcPr>
          <w:p w14:paraId="7DCEFDCD" w14:textId="77777777" w:rsidR="00861457" w:rsidRPr="00767C21" w:rsidRDefault="00861457" w:rsidP="004705D2">
            <w:pPr>
              <w:spacing w:after="0" w:line="240" w:lineRule="auto"/>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4883558</w:t>
            </w:r>
          </w:p>
        </w:tc>
        <w:tc>
          <w:tcPr>
            <w:tcW w:w="701" w:type="dxa"/>
            <w:tcBorders>
              <w:top w:val="nil"/>
              <w:left w:val="nil"/>
              <w:bottom w:val="single" w:sz="4" w:space="0" w:color="auto"/>
              <w:right w:val="single" w:sz="4" w:space="0" w:color="auto"/>
            </w:tcBorders>
            <w:vAlign w:val="center"/>
            <w:hideMark/>
          </w:tcPr>
          <w:p w14:paraId="08EBA62D" w14:textId="77777777" w:rsidR="00861457" w:rsidRPr="00767C21" w:rsidRDefault="00861457" w:rsidP="004705D2">
            <w:pPr>
              <w:spacing w:after="0" w:line="240" w:lineRule="auto"/>
              <w:ind w:left="-82" w:firstLineChars="6" w:firstLine="7"/>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792965</w:t>
            </w:r>
          </w:p>
        </w:tc>
        <w:tc>
          <w:tcPr>
            <w:tcW w:w="426" w:type="dxa"/>
            <w:tcBorders>
              <w:top w:val="nil"/>
              <w:left w:val="nil"/>
              <w:bottom w:val="single" w:sz="4" w:space="0" w:color="auto"/>
              <w:right w:val="single" w:sz="4" w:space="0" w:color="auto"/>
            </w:tcBorders>
            <w:vAlign w:val="center"/>
            <w:hideMark/>
          </w:tcPr>
          <w:p w14:paraId="5352B3D6" w14:textId="77777777" w:rsidR="00861457" w:rsidRPr="00767C21" w:rsidRDefault="00861457" w:rsidP="004705D2">
            <w:pPr>
              <w:spacing w:after="0" w:line="240" w:lineRule="auto"/>
              <w:ind w:left="-73" w:firstLineChars="19" w:firstLine="23"/>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804</w:t>
            </w:r>
          </w:p>
        </w:tc>
        <w:tc>
          <w:tcPr>
            <w:tcW w:w="503" w:type="dxa"/>
            <w:tcBorders>
              <w:top w:val="nil"/>
              <w:left w:val="nil"/>
              <w:bottom w:val="single" w:sz="4" w:space="0" w:color="auto"/>
              <w:right w:val="single" w:sz="4" w:space="0" w:color="auto"/>
            </w:tcBorders>
            <w:vAlign w:val="center"/>
            <w:hideMark/>
          </w:tcPr>
          <w:p w14:paraId="26C9E805" w14:textId="77777777" w:rsidR="00861457" w:rsidRPr="00767C21" w:rsidRDefault="00861457" w:rsidP="004705D2">
            <w:pPr>
              <w:spacing w:after="0" w:line="240" w:lineRule="auto"/>
              <w:ind w:left="-52"/>
              <w:rPr>
                <w:rFonts w:ascii="Arial" w:eastAsia="Times New Roman" w:hAnsi="Arial" w:cs="Arial"/>
                <w:b/>
                <w:bCs/>
                <w:color w:val="000000"/>
                <w:kern w:val="0"/>
                <w:sz w:val="12"/>
                <w:szCs w:val="12"/>
                <w:lang w:eastAsia="en-IN"/>
                <w14:ligatures w14:val="none"/>
              </w:rPr>
            </w:pPr>
            <w:r w:rsidRPr="00767C21">
              <w:rPr>
                <w:rFonts w:ascii="Arial" w:eastAsia="Times New Roman" w:hAnsi="Arial" w:cs="Arial"/>
                <w:b/>
                <w:bCs/>
                <w:color w:val="000000"/>
                <w:kern w:val="0"/>
                <w:sz w:val="12"/>
                <w:szCs w:val="12"/>
                <w:lang w:eastAsia="en-IN"/>
                <w14:ligatures w14:val="none"/>
              </w:rPr>
              <w:t>603</w:t>
            </w:r>
          </w:p>
        </w:tc>
      </w:tr>
    </w:tbl>
    <w:p w14:paraId="46F737A9" w14:textId="77777777" w:rsidR="00861457" w:rsidRDefault="00861457" w:rsidP="009210C4">
      <w:pPr>
        <w:tabs>
          <w:tab w:val="left" w:pos="3862"/>
        </w:tabs>
        <w:rPr>
          <w:rFonts w:ascii="Times New Roman" w:hAnsi="Times New Roman" w:cs="Times New Roman"/>
        </w:rPr>
      </w:pPr>
    </w:p>
    <w:p w14:paraId="6893187A" w14:textId="6637AD48" w:rsidR="001D3365" w:rsidRPr="00FC559A" w:rsidRDefault="001D3365">
      <w:pPr>
        <w:rPr>
          <w:rFonts w:ascii="Times New Roman" w:hAnsi="Times New Roman" w:cs="Times New Roman"/>
        </w:rPr>
      </w:pPr>
    </w:p>
    <w:p w14:paraId="604D4C55" w14:textId="35C5C908" w:rsidR="002E3EF8" w:rsidRPr="00EC10FA" w:rsidRDefault="00861457" w:rsidP="00EC10FA">
      <w:pPr>
        <w:pStyle w:val="Heading2"/>
        <w:rPr>
          <w:sz w:val="20"/>
          <w:szCs w:val="20"/>
        </w:rPr>
      </w:pPr>
      <w:bookmarkStart w:id="111" w:name="_Toc221293014"/>
      <w:r>
        <w:br w:type="page"/>
      </w:r>
      <w:bookmarkStart w:id="112" w:name="_Toc222399503"/>
      <w:r w:rsidR="002E3EF8" w:rsidRPr="00EC10FA">
        <w:rPr>
          <w:sz w:val="20"/>
          <w:szCs w:val="20"/>
        </w:rPr>
        <w:lastRenderedPageBreak/>
        <w:t>ANNEXURE VII.1</w:t>
      </w:r>
      <w:r w:rsidR="00EC10FA" w:rsidRPr="00EC10FA">
        <w:rPr>
          <w:sz w:val="20"/>
          <w:szCs w:val="20"/>
        </w:rPr>
        <w:br/>
      </w:r>
      <w:r w:rsidR="002E3EF8" w:rsidRPr="00EC10FA">
        <w:rPr>
          <w:sz w:val="20"/>
          <w:szCs w:val="20"/>
        </w:rPr>
        <w:t>States' Revenue Plan Financing</w:t>
      </w:r>
      <w:bookmarkEnd w:id="111"/>
      <w:bookmarkEnd w:id="112"/>
    </w:p>
    <w:p w14:paraId="6A010744" w14:textId="4480B277" w:rsidR="001D3365" w:rsidRPr="003F4F94" w:rsidRDefault="001D3365" w:rsidP="003F4F94">
      <w:pPr>
        <w:spacing w:after="0"/>
        <w:jc w:val="center"/>
        <w:rPr>
          <w:rFonts w:ascii="Times New Roman" w:hAnsi="Times New Roman" w:cs="Times New Roman"/>
          <w:sz w:val="18"/>
          <w:szCs w:val="18"/>
        </w:rPr>
      </w:pPr>
      <w:r w:rsidRPr="003F4F94">
        <w:rPr>
          <w:rFonts w:ascii="Times New Roman" w:hAnsi="Times New Roman" w:cs="Times New Roman"/>
          <w:sz w:val="18"/>
          <w:szCs w:val="18"/>
        </w:rPr>
        <w:t>(Para 7.10)</w:t>
      </w:r>
    </w:p>
    <w:tbl>
      <w:tblPr>
        <w:tblStyle w:val="TableGrid"/>
        <w:tblW w:w="0" w:type="auto"/>
        <w:jc w:val="center"/>
        <w:tblLook w:val="04A0" w:firstRow="1" w:lastRow="0" w:firstColumn="1" w:lastColumn="0" w:noHBand="0" w:noVBand="1"/>
      </w:tblPr>
      <w:tblGrid>
        <w:gridCol w:w="1696"/>
        <w:gridCol w:w="1418"/>
        <w:gridCol w:w="1559"/>
        <w:gridCol w:w="1843"/>
        <w:gridCol w:w="1843"/>
      </w:tblGrid>
      <w:tr w:rsidR="002E3EF8" w:rsidRPr="003F4F94" w14:paraId="40E8E58A" w14:textId="77777777" w:rsidTr="003F4F94">
        <w:trPr>
          <w:trHeight w:val="113"/>
          <w:jc w:val="center"/>
        </w:trPr>
        <w:tc>
          <w:tcPr>
            <w:tcW w:w="1696" w:type="dxa"/>
            <w:vAlign w:val="center"/>
            <w:hideMark/>
          </w:tcPr>
          <w:p w14:paraId="10764C32" w14:textId="77777777" w:rsidR="002E3EF8" w:rsidRPr="003F4F94" w:rsidRDefault="002E3EF8" w:rsidP="00F6454C">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States</w:t>
            </w:r>
          </w:p>
        </w:tc>
        <w:tc>
          <w:tcPr>
            <w:tcW w:w="1418" w:type="dxa"/>
            <w:vAlign w:val="center"/>
            <w:hideMark/>
          </w:tcPr>
          <w:p w14:paraId="1C4247EF" w14:textId="610F672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Share Of Total Expenditure of 40000</w:t>
            </w:r>
          </w:p>
          <w:p w14:paraId="2555E28C" w14:textId="1311A1DB" w:rsidR="002E3EF8" w:rsidRPr="003F4F94" w:rsidRDefault="002E3EF8" w:rsidP="001D3365">
            <w:pPr>
              <w:pStyle w:val="NoSpacing"/>
              <w:jc w:val="center"/>
              <w:rPr>
                <w:rFonts w:ascii="Times New Roman" w:hAnsi="Times New Roman" w:cs="Times New Roman"/>
                <w:b/>
                <w:bCs/>
                <w:sz w:val="16"/>
                <w:szCs w:val="14"/>
              </w:rPr>
            </w:pPr>
          </w:p>
        </w:tc>
        <w:tc>
          <w:tcPr>
            <w:tcW w:w="1559" w:type="dxa"/>
            <w:vAlign w:val="center"/>
            <w:hideMark/>
          </w:tcPr>
          <w:p w14:paraId="68E3E845"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 xml:space="preserve">Total Amount Available </w:t>
            </w:r>
            <w:proofErr w:type="gramStart"/>
            <w:r w:rsidRPr="003F4F94">
              <w:rPr>
                <w:rFonts w:ascii="Times New Roman" w:hAnsi="Times New Roman" w:cs="Times New Roman"/>
                <w:b/>
                <w:bCs/>
                <w:sz w:val="16"/>
                <w:szCs w:val="14"/>
              </w:rPr>
              <w:t>For</w:t>
            </w:r>
            <w:proofErr w:type="gramEnd"/>
            <w:r w:rsidRPr="003F4F94">
              <w:rPr>
                <w:rFonts w:ascii="Times New Roman" w:hAnsi="Times New Roman" w:cs="Times New Roman"/>
                <w:b/>
                <w:bCs/>
                <w:sz w:val="16"/>
                <w:szCs w:val="14"/>
              </w:rPr>
              <w:t xml:space="preserve"> Plan</w:t>
            </w:r>
          </w:p>
          <w:p w14:paraId="6AE0DA2A" w14:textId="3748E434" w:rsidR="002E3EF8" w:rsidRPr="003F4F94" w:rsidRDefault="002E3EF8" w:rsidP="001D3365">
            <w:pPr>
              <w:pStyle w:val="NoSpacing"/>
              <w:jc w:val="center"/>
              <w:rPr>
                <w:rFonts w:ascii="Times New Roman" w:hAnsi="Times New Roman" w:cs="Times New Roman"/>
                <w:b/>
                <w:bCs/>
                <w:sz w:val="16"/>
                <w:szCs w:val="14"/>
              </w:rPr>
            </w:pPr>
          </w:p>
        </w:tc>
        <w:tc>
          <w:tcPr>
            <w:tcW w:w="1843" w:type="dxa"/>
            <w:vAlign w:val="center"/>
            <w:hideMark/>
          </w:tcPr>
          <w:p w14:paraId="760447D4"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Difference Between Col 1 and 2 Where Col 1 Is Higher</w:t>
            </w:r>
          </w:p>
          <w:p w14:paraId="4F1E7E22" w14:textId="628DD592" w:rsidR="002E3EF8" w:rsidRPr="003F4F94" w:rsidRDefault="002E3EF8" w:rsidP="001D3365">
            <w:pPr>
              <w:pStyle w:val="NoSpacing"/>
              <w:jc w:val="center"/>
              <w:rPr>
                <w:rFonts w:ascii="Times New Roman" w:hAnsi="Times New Roman" w:cs="Times New Roman"/>
                <w:b/>
                <w:bCs/>
                <w:sz w:val="16"/>
                <w:szCs w:val="14"/>
              </w:rPr>
            </w:pPr>
          </w:p>
        </w:tc>
        <w:tc>
          <w:tcPr>
            <w:tcW w:w="1843" w:type="dxa"/>
            <w:vAlign w:val="center"/>
            <w:hideMark/>
          </w:tcPr>
          <w:p w14:paraId="7D6B19D6"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50 per cent Of Col 3 (Plan Deficit Grants)</w:t>
            </w:r>
          </w:p>
          <w:p w14:paraId="5FD9C860" w14:textId="358E554D" w:rsidR="002E3EF8" w:rsidRPr="003F4F94" w:rsidRDefault="002E3EF8" w:rsidP="001D3365">
            <w:pPr>
              <w:pStyle w:val="NoSpacing"/>
              <w:jc w:val="center"/>
              <w:rPr>
                <w:rFonts w:ascii="Times New Roman" w:hAnsi="Times New Roman" w:cs="Times New Roman"/>
                <w:b/>
                <w:bCs/>
                <w:sz w:val="16"/>
                <w:szCs w:val="14"/>
              </w:rPr>
            </w:pPr>
          </w:p>
        </w:tc>
      </w:tr>
      <w:tr w:rsidR="00A84590" w:rsidRPr="003F4F94" w14:paraId="10CC2442" w14:textId="77777777" w:rsidTr="003F4F94">
        <w:trPr>
          <w:trHeight w:val="113"/>
          <w:jc w:val="center"/>
        </w:trPr>
        <w:tc>
          <w:tcPr>
            <w:tcW w:w="1696" w:type="dxa"/>
            <w:vAlign w:val="center"/>
          </w:tcPr>
          <w:p w14:paraId="65355394" w14:textId="77777777" w:rsidR="00A84590" w:rsidRPr="003F4F94" w:rsidRDefault="00A84590" w:rsidP="00F6454C">
            <w:pPr>
              <w:pStyle w:val="NoSpacing"/>
              <w:rPr>
                <w:rFonts w:ascii="Times New Roman" w:hAnsi="Times New Roman" w:cs="Times New Roman"/>
                <w:b/>
                <w:bCs/>
                <w:sz w:val="16"/>
                <w:szCs w:val="14"/>
              </w:rPr>
            </w:pPr>
          </w:p>
        </w:tc>
        <w:tc>
          <w:tcPr>
            <w:tcW w:w="1418" w:type="dxa"/>
            <w:vAlign w:val="center"/>
          </w:tcPr>
          <w:p w14:paraId="49D4532B" w14:textId="267B1778" w:rsidR="00A84590" w:rsidRPr="003F4F94" w:rsidRDefault="00A84590"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(1)</w:t>
            </w:r>
          </w:p>
        </w:tc>
        <w:tc>
          <w:tcPr>
            <w:tcW w:w="1559" w:type="dxa"/>
            <w:vAlign w:val="center"/>
          </w:tcPr>
          <w:p w14:paraId="718782DE" w14:textId="026760D5" w:rsidR="00A84590" w:rsidRPr="003F4F94" w:rsidRDefault="00A84590"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(2)</w:t>
            </w:r>
          </w:p>
        </w:tc>
        <w:tc>
          <w:tcPr>
            <w:tcW w:w="1843" w:type="dxa"/>
            <w:vAlign w:val="center"/>
          </w:tcPr>
          <w:p w14:paraId="76B46E37" w14:textId="764735F3" w:rsidR="00A84590" w:rsidRPr="003F4F94" w:rsidRDefault="00A84590"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(3)</w:t>
            </w:r>
          </w:p>
        </w:tc>
        <w:tc>
          <w:tcPr>
            <w:tcW w:w="1843" w:type="dxa"/>
            <w:vAlign w:val="center"/>
          </w:tcPr>
          <w:p w14:paraId="02F51FA8" w14:textId="306B3095" w:rsidR="00A84590" w:rsidRPr="003F4F94" w:rsidRDefault="00A84590"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(4)</w:t>
            </w:r>
          </w:p>
        </w:tc>
      </w:tr>
      <w:tr w:rsidR="002E3EF8" w:rsidRPr="003F4F94" w14:paraId="2D5D4FD1" w14:textId="77777777" w:rsidTr="003F4F94">
        <w:trPr>
          <w:trHeight w:val="113"/>
          <w:jc w:val="center"/>
        </w:trPr>
        <w:tc>
          <w:tcPr>
            <w:tcW w:w="1696" w:type="dxa"/>
            <w:vAlign w:val="center"/>
            <w:hideMark/>
          </w:tcPr>
          <w:p w14:paraId="41BAB0BB"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1. Andhra Pradesh</w:t>
            </w:r>
          </w:p>
        </w:tc>
        <w:tc>
          <w:tcPr>
            <w:tcW w:w="1418" w:type="dxa"/>
            <w:vAlign w:val="center"/>
            <w:hideMark/>
          </w:tcPr>
          <w:p w14:paraId="321AC85B"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3345.20</w:t>
            </w:r>
          </w:p>
        </w:tc>
        <w:tc>
          <w:tcPr>
            <w:tcW w:w="1559" w:type="dxa"/>
            <w:vAlign w:val="center"/>
            <w:hideMark/>
          </w:tcPr>
          <w:p w14:paraId="48851D68"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2662.69</w:t>
            </w:r>
          </w:p>
        </w:tc>
        <w:tc>
          <w:tcPr>
            <w:tcW w:w="1843" w:type="dxa"/>
            <w:vAlign w:val="center"/>
            <w:hideMark/>
          </w:tcPr>
          <w:p w14:paraId="35C5EA29"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682.51</w:t>
            </w:r>
          </w:p>
        </w:tc>
        <w:tc>
          <w:tcPr>
            <w:tcW w:w="1843" w:type="dxa"/>
            <w:vAlign w:val="center"/>
            <w:hideMark/>
          </w:tcPr>
          <w:p w14:paraId="04B4F666"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341.25</w:t>
            </w:r>
          </w:p>
        </w:tc>
      </w:tr>
      <w:tr w:rsidR="002E3EF8" w:rsidRPr="003F4F94" w14:paraId="106F13BD" w14:textId="77777777" w:rsidTr="003F4F94">
        <w:trPr>
          <w:trHeight w:val="113"/>
          <w:jc w:val="center"/>
        </w:trPr>
        <w:tc>
          <w:tcPr>
            <w:tcW w:w="1696" w:type="dxa"/>
            <w:vAlign w:val="center"/>
            <w:hideMark/>
          </w:tcPr>
          <w:p w14:paraId="6FCBD792"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2. Bihar</w:t>
            </w:r>
          </w:p>
        </w:tc>
        <w:tc>
          <w:tcPr>
            <w:tcW w:w="1418" w:type="dxa"/>
            <w:vAlign w:val="center"/>
            <w:hideMark/>
          </w:tcPr>
          <w:p w14:paraId="7A19E349"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5045.60</w:t>
            </w:r>
          </w:p>
        </w:tc>
        <w:tc>
          <w:tcPr>
            <w:tcW w:w="1559" w:type="dxa"/>
            <w:vAlign w:val="center"/>
            <w:hideMark/>
          </w:tcPr>
          <w:p w14:paraId="4E317369"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2297.06</w:t>
            </w:r>
          </w:p>
        </w:tc>
        <w:tc>
          <w:tcPr>
            <w:tcW w:w="1843" w:type="dxa"/>
            <w:vAlign w:val="center"/>
            <w:hideMark/>
          </w:tcPr>
          <w:p w14:paraId="5A2561C7"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2748.54</w:t>
            </w:r>
          </w:p>
        </w:tc>
        <w:tc>
          <w:tcPr>
            <w:tcW w:w="1843" w:type="dxa"/>
            <w:vAlign w:val="center"/>
            <w:hideMark/>
          </w:tcPr>
          <w:p w14:paraId="6724F8F1"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1374.27</w:t>
            </w:r>
          </w:p>
        </w:tc>
      </w:tr>
      <w:tr w:rsidR="002E3EF8" w:rsidRPr="003F4F94" w14:paraId="14D451F9" w14:textId="77777777" w:rsidTr="003F4F94">
        <w:trPr>
          <w:trHeight w:val="113"/>
          <w:jc w:val="center"/>
        </w:trPr>
        <w:tc>
          <w:tcPr>
            <w:tcW w:w="1696" w:type="dxa"/>
            <w:vAlign w:val="center"/>
            <w:hideMark/>
          </w:tcPr>
          <w:p w14:paraId="1054F981"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3. Gujarat</w:t>
            </w:r>
          </w:p>
        </w:tc>
        <w:tc>
          <w:tcPr>
            <w:tcW w:w="1418" w:type="dxa"/>
            <w:vAlign w:val="center"/>
            <w:hideMark/>
          </w:tcPr>
          <w:p w14:paraId="26F4740D"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1779.20</w:t>
            </w:r>
          </w:p>
        </w:tc>
        <w:tc>
          <w:tcPr>
            <w:tcW w:w="1559" w:type="dxa"/>
            <w:vAlign w:val="center"/>
            <w:hideMark/>
          </w:tcPr>
          <w:p w14:paraId="0B14D451"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2018.18</w:t>
            </w:r>
          </w:p>
        </w:tc>
        <w:tc>
          <w:tcPr>
            <w:tcW w:w="1843" w:type="dxa"/>
            <w:vAlign w:val="center"/>
            <w:hideMark/>
          </w:tcPr>
          <w:p w14:paraId="3921E6BE"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c>
          <w:tcPr>
            <w:tcW w:w="1843" w:type="dxa"/>
            <w:vAlign w:val="center"/>
            <w:hideMark/>
          </w:tcPr>
          <w:p w14:paraId="649DCD28"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r>
      <w:tr w:rsidR="002E3EF8" w:rsidRPr="003F4F94" w14:paraId="09AD2BC3" w14:textId="77777777" w:rsidTr="003F4F94">
        <w:trPr>
          <w:trHeight w:val="113"/>
          <w:jc w:val="center"/>
        </w:trPr>
        <w:tc>
          <w:tcPr>
            <w:tcW w:w="1696" w:type="dxa"/>
            <w:vAlign w:val="center"/>
            <w:hideMark/>
          </w:tcPr>
          <w:p w14:paraId="30597A26"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4. Haryana</w:t>
            </w:r>
          </w:p>
        </w:tc>
        <w:tc>
          <w:tcPr>
            <w:tcW w:w="1418" w:type="dxa"/>
            <w:vAlign w:val="center"/>
            <w:hideMark/>
          </w:tcPr>
          <w:p w14:paraId="73AFE296"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844.40</w:t>
            </w:r>
          </w:p>
        </w:tc>
        <w:tc>
          <w:tcPr>
            <w:tcW w:w="1559" w:type="dxa"/>
            <w:vAlign w:val="center"/>
            <w:hideMark/>
          </w:tcPr>
          <w:p w14:paraId="3D948C14"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1220.02</w:t>
            </w:r>
          </w:p>
        </w:tc>
        <w:tc>
          <w:tcPr>
            <w:tcW w:w="1843" w:type="dxa"/>
            <w:vAlign w:val="center"/>
            <w:hideMark/>
          </w:tcPr>
          <w:p w14:paraId="06CEB136"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c>
          <w:tcPr>
            <w:tcW w:w="1843" w:type="dxa"/>
            <w:vAlign w:val="center"/>
            <w:hideMark/>
          </w:tcPr>
          <w:p w14:paraId="42712535"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r>
      <w:tr w:rsidR="002E3EF8" w:rsidRPr="003F4F94" w14:paraId="675DC4EA" w14:textId="77777777" w:rsidTr="003F4F94">
        <w:trPr>
          <w:trHeight w:val="113"/>
          <w:jc w:val="center"/>
        </w:trPr>
        <w:tc>
          <w:tcPr>
            <w:tcW w:w="1696" w:type="dxa"/>
            <w:vAlign w:val="center"/>
            <w:hideMark/>
          </w:tcPr>
          <w:p w14:paraId="53749295"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5. Karnataka</w:t>
            </w:r>
          </w:p>
        </w:tc>
        <w:tc>
          <w:tcPr>
            <w:tcW w:w="1418" w:type="dxa"/>
            <w:vAlign w:val="center"/>
            <w:hideMark/>
          </w:tcPr>
          <w:p w14:paraId="3A28478E"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2206.40</w:t>
            </w:r>
          </w:p>
        </w:tc>
        <w:tc>
          <w:tcPr>
            <w:tcW w:w="1559" w:type="dxa"/>
            <w:vAlign w:val="center"/>
            <w:hideMark/>
          </w:tcPr>
          <w:p w14:paraId="364DDBDE"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2344.32</w:t>
            </w:r>
          </w:p>
        </w:tc>
        <w:tc>
          <w:tcPr>
            <w:tcW w:w="1843" w:type="dxa"/>
            <w:vAlign w:val="center"/>
            <w:hideMark/>
          </w:tcPr>
          <w:p w14:paraId="63F89FD9"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c>
          <w:tcPr>
            <w:tcW w:w="1843" w:type="dxa"/>
            <w:vAlign w:val="center"/>
            <w:hideMark/>
          </w:tcPr>
          <w:p w14:paraId="54193D9E"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r>
      <w:tr w:rsidR="002E3EF8" w:rsidRPr="003F4F94" w14:paraId="413AF8D5" w14:textId="77777777" w:rsidTr="003F4F94">
        <w:trPr>
          <w:trHeight w:val="113"/>
          <w:jc w:val="center"/>
        </w:trPr>
        <w:tc>
          <w:tcPr>
            <w:tcW w:w="1696" w:type="dxa"/>
            <w:vAlign w:val="center"/>
            <w:hideMark/>
          </w:tcPr>
          <w:p w14:paraId="13584224"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6. Kerala</w:t>
            </w:r>
          </w:p>
        </w:tc>
        <w:tc>
          <w:tcPr>
            <w:tcW w:w="1418" w:type="dxa"/>
            <w:vAlign w:val="center"/>
            <w:hideMark/>
          </w:tcPr>
          <w:p w14:paraId="3BEE1F98"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1312.00</w:t>
            </w:r>
          </w:p>
        </w:tc>
        <w:tc>
          <w:tcPr>
            <w:tcW w:w="1559" w:type="dxa"/>
            <w:vAlign w:val="center"/>
            <w:hideMark/>
          </w:tcPr>
          <w:p w14:paraId="393ECCC1"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486.92</w:t>
            </w:r>
          </w:p>
        </w:tc>
        <w:tc>
          <w:tcPr>
            <w:tcW w:w="1843" w:type="dxa"/>
            <w:vAlign w:val="center"/>
            <w:hideMark/>
          </w:tcPr>
          <w:p w14:paraId="3941ED58"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825.08</w:t>
            </w:r>
          </w:p>
        </w:tc>
        <w:tc>
          <w:tcPr>
            <w:tcW w:w="1843" w:type="dxa"/>
            <w:vAlign w:val="center"/>
            <w:hideMark/>
          </w:tcPr>
          <w:p w14:paraId="313B0BA8"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412.54</w:t>
            </w:r>
          </w:p>
        </w:tc>
      </w:tr>
      <w:tr w:rsidR="002E3EF8" w:rsidRPr="003F4F94" w14:paraId="181C3026" w14:textId="77777777" w:rsidTr="003F4F94">
        <w:trPr>
          <w:trHeight w:val="113"/>
          <w:jc w:val="center"/>
        </w:trPr>
        <w:tc>
          <w:tcPr>
            <w:tcW w:w="1696" w:type="dxa"/>
            <w:vAlign w:val="center"/>
            <w:hideMark/>
          </w:tcPr>
          <w:p w14:paraId="0E68E431"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7. Madhya Pradesh</w:t>
            </w:r>
          </w:p>
        </w:tc>
        <w:tc>
          <w:tcPr>
            <w:tcW w:w="1418" w:type="dxa"/>
            <w:vAlign w:val="center"/>
            <w:hideMark/>
          </w:tcPr>
          <w:p w14:paraId="6906D2FC"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3528.80</w:t>
            </w:r>
          </w:p>
        </w:tc>
        <w:tc>
          <w:tcPr>
            <w:tcW w:w="1559" w:type="dxa"/>
            <w:vAlign w:val="center"/>
            <w:hideMark/>
          </w:tcPr>
          <w:p w14:paraId="45D90DAD"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1433.19</w:t>
            </w:r>
          </w:p>
        </w:tc>
        <w:tc>
          <w:tcPr>
            <w:tcW w:w="1843" w:type="dxa"/>
            <w:vAlign w:val="center"/>
            <w:hideMark/>
          </w:tcPr>
          <w:p w14:paraId="32EE708D"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2095.61</w:t>
            </w:r>
          </w:p>
        </w:tc>
        <w:tc>
          <w:tcPr>
            <w:tcW w:w="1843" w:type="dxa"/>
            <w:vAlign w:val="center"/>
            <w:hideMark/>
          </w:tcPr>
          <w:p w14:paraId="0060AEBD"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1047.81</w:t>
            </w:r>
          </w:p>
        </w:tc>
      </w:tr>
      <w:tr w:rsidR="002E3EF8" w:rsidRPr="003F4F94" w14:paraId="7F332A6D" w14:textId="77777777" w:rsidTr="003F4F94">
        <w:trPr>
          <w:trHeight w:val="113"/>
          <w:jc w:val="center"/>
        </w:trPr>
        <w:tc>
          <w:tcPr>
            <w:tcW w:w="1696" w:type="dxa"/>
            <w:vAlign w:val="center"/>
            <w:hideMark/>
          </w:tcPr>
          <w:p w14:paraId="0C6FF115"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8. Maharashtra</w:t>
            </w:r>
          </w:p>
        </w:tc>
        <w:tc>
          <w:tcPr>
            <w:tcW w:w="1418" w:type="dxa"/>
            <w:vAlign w:val="center"/>
            <w:hideMark/>
          </w:tcPr>
          <w:p w14:paraId="3D807B37"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3555.60</w:t>
            </w:r>
          </w:p>
        </w:tc>
        <w:tc>
          <w:tcPr>
            <w:tcW w:w="1559" w:type="dxa"/>
            <w:vAlign w:val="center"/>
            <w:hideMark/>
          </w:tcPr>
          <w:p w14:paraId="0503CF0C"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5363.22</w:t>
            </w:r>
          </w:p>
        </w:tc>
        <w:tc>
          <w:tcPr>
            <w:tcW w:w="1843" w:type="dxa"/>
            <w:vAlign w:val="center"/>
            <w:hideMark/>
          </w:tcPr>
          <w:p w14:paraId="7E2AB1C8"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c>
          <w:tcPr>
            <w:tcW w:w="1843" w:type="dxa"/>
            <w:vAlign w:val="center"/>
            <w:hideMark/>
          </w:tcPr>
          <w:p w14:paraId="46F34F39"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w:t>
            </w:r>
          </w:p>
        </w:tc>
      </w:tr>
      <w:tr w:rsidR="002E3EF8" w:rsidRPr="003F4F94" w14:paraId="1C5FCA74" w14:textId="77777777" w:rsidTr="003F4F94">
        <w:trPr>
          <w:trHeight w:val="113"/>
          <w:jc w:val="center"/>
        </w:trPr>
        <w:tc>
          <w:tcPr>
            <w:tcW w:w="1696" w:type="dxa"/>
            <w:vAlign w:val="center"/>
            <w:hideMark/>
          </w:tcPr>
          <w:p w14:paraId="68EF86F0"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9. Orissa</w:t>
            </w:r>
          </w:p>
        </w:tc>
        <w:tc>
          <w:tcPr>
            <w:tcW w:w="1418" w:type="dxa"/>
            <w:vAlign w:val="center"/>
            <w:hideMark/>
          </w:tcPr>
          <w:p w14:paraId="4818A264"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1602.00</w:t>
            </w:r>
          </w:p>
        </w:tc>
        <w:tc>
          <w:tcPr>
            <w:tcW w:w="1559" w:type="dxa"/>
            <w:vAlign w:val="center"/>
            <w:hideMark/>
          </w:tcPr>
          <w:p w14:paraId="741AC42C"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493.00</w:t>
            </w:r>
          </w:p>
        </w:tc>
        <w:tc>
          <w:tcPr>
            <w:tcW w:w="1843" w:type="dxa"/>
            <w:vAlign w:val="center"/>
            <w:hideMark/>
          </w:tcPr>
          <w:p w14:paraId="41E4B0C3"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1109.00</w:t>
            </w:r>
          </w:p>
        </w:tc>
        <w:tc>
          <w:tcPr>
            <w:tcW w:w="1843" w:type="dxa"/>
            <w:vAlign w:val="center"/>
            <w:hideMark/>
          </w:tcPr>
          <w:p w14:paraId="7D5E0E84"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554.50</w:t>
            </w:r>
          </w:p>
        </w:tc>
      </w:tr>
      <w:tr w:rsidR="002E3EF8" w:rsidRPr="003F4F94" w14:paraId="2E26D188" w14:textId="77777777" w:rsidTr="003F4F94">
        <w:trPr>
          <w:trHeight w:val="113"/>
          <w:jc w:val="center"/>
        </w:trPr>
        <w:tc>
          <w:tcPr>
            <w:tcW w:w="1696" w:type="dxa"/>
            <w:vAlign w:val="center"/>
            <w:hideMark/>
          </w:tcPr>
          <w:p w14:paraId="21E67838"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10. Punjab</w:t>
            </w:r>
          </w:p>
        </w:tc>
        <w:tc>
          <w:tcPr>
            <w:tcW w:w="1418" w:type="dxa"/>
            <w:vAlign w:val="center"/>
            <w:hideMark/>
          </w:tcPr>
          <w:p w14:paraId="219EB90A"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926.00</w:t>
            </w:r>
          </w:p>
        </w:tc>
        <w:tc>
          <w:tcPr>
            <w:tcW w:w="1559" w:type="dxa"/>
            <w:vAlign w:val="center"/>
            <w:hideMark/>
          </w:tcPr>
          <w:p w14:paraId="612D6D0D"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818.18</w:t>
            </w:r>
          </w:p>
        </w:tc>
        <w:tc>
          <w:tcPr>
            <w:tcW w:w="1843" w:type="dxa"/>
            <w:vAlign w:val="center"/>
            <w:hideMark/>
          </w:tcPr>
          <w:p w14:paraId="26BD834F"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107.82</w:t>
            </w:r>
          </w:p>
        </w:tc>
        <w:tc>
          <w:tcPr>
            <w:tcW w:w="1843" w:type="dxa"/>
            <w:vAlign w:val="center"/>
            <w:hideMark/>
          </w:tcPr>
          <w:p w14:paraId="4F6343A4"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53.91</w:t>
            </w:r>
          </w:p>
        </w:tc>
      </w:tr>
      <w:tr w:rsidR="002E3EF8" w:rsidRPr="003F4F94" w14:paraId="1FF981BA" w14:textId="77777777" w:rsidTr="003F4F94">
        <w:trPr>
          <w:trHeight w:val="113"/>
          <w:jc w:val="center"/>
        </w:trPr>
        <w:tc>
          <w:tcPr>
            <w:tcW w:w="1696" w:type="dxa"/>
            <w:vAlign w:val="center"/>
            <w:hideMark/>
          </w:tcPr>
          <w:p w14:paraId="224117EA"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11. Rajasthan</w:t>
            </w:r>
          </w:p>
        </w:tc>
        <w:tc>
          <w:tcPr>
            <w:tcW w:w="1418" w:type="dxa"/>
            <w:vAlign w:val="center"/>
            <w:hideMark/>
          </w:tcPr>
          <w:p w14:paraId="363F26C1"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2472.80</w:t>
            </w:r>
          </w:p>
        </w:tc>
        <w:tc>
          <w:tcPr>
            <w:tcW w:w="1559" w:type="dxa"/>
            <w:vAlign w:val="center"/>
            <w:hideMark/>
          </w:tcPr>
          <w:p w14:paraId="2FBE7D2D"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552.00</w:t>
            </w:r>
          </w:p>
        </w:tc>
        <w:tc>
          <w:tcPr>
            <w:tcW w:w="1843" w:type="dxa"/>
            <w:vAlign w:val="center"/>
            <w:hideMark/>
          </w:tcPr>
          <w:p w14:paraId="39D4F0A1"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1920.80</w:t>
            </w:r>
          </w:p>
        </w:tc>
        <w:tc>
          <w:tcPr>
            <w:tcW w:w="1843" w:type="dxa"/>
            <w:vAlign w:val="center"/>
            <w:hideMark/>
          </w:tcPr>
          <w:p w14:paraId="39201CB1"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960.40</w:t>
            </w:r>
          </w:p>
        </w:tc>
      </w:tr>
      <w:tr w:rsidR="002E3EF8" w:rsidRPr="003F4F94" w14:paraId="377EA25E" w14:textId="77777777" w:rsidTr="003F4F94">
        <w:trPr>
          <w:trHeight w:val="113"/>
          <w:jc w:val="center"/>
        </w:trPr>
        <w:tc>
          <w:tcPr>
            <w:tcW w:w="1696" w:type="dxa"/>
            <w:vAlign w:val="center"/>
            <w:hideMark/>
          </w:tcPr>
          <w:p w14:paraId="41F284BA"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12. Tamil Nadu</w:t>
            </w:r>
          </w:p>
        </w:tc>
        <w:tc>
          <w:tcPr>
            <w:tcW w:w="1418" w:type="dxa"/>
            <w:vAlign w:val="center"/>
            <w:hideMark/>
          </w:tcPr>
          <w:p w14:paraId="0FDAAA57"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2454.00</w:t>
            </w:r>
          </w:p>
        </w:tc>
        <w:tc>
          <w:tcPr>
            <w:tcW w:w="1559" w:type="dxa"/>
            <w:vAlign w:val="center"/>
            <w:hideMark/>
          </w:tcPr>
          <w:p w14:paraId="52C58C1E"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2366.42</w:t>
            </w:r>
          </w:p>
        </w:tc>
        <w:tc>
          <w:tcPr>
            <w:tcW w:w="1843" w:type="dxa"/>
            <w:vAlign w:val="center"/>
            <w:hideMark/>
          </w:tcPr>
          <w:p w14:paraId="7F9D43CB"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87.58</w:t>
            </w:r>
          </w:p>
        </w:tc>
        <w:tc>
          <w:tcPr>
            <w:tcW w:w="1843" w:type="dxa"/>
            <w:vAlign w:val="center"/>
            <w:hideMark/>
          </w:tcPr>
          <w:p w14:paraId="4F3ECE56"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43.79</w:t>
            </w:r>
          </w:p>
        </w:tc>
      </w:tr>
      <w:tr w:rsidR="002E3EF8" w:rsidRPr="003F4F94" w14:paraId="292294CF" w14:textId="77777777" w:rsidTr="003F4F94">
        <w:trPr>
          <w:trHeight w:val="113"/>
          <w:jc w:val="center"/>
        </w:trPr>
        <w:tc>
          <w:tcPr>
            <w:tcW w:w="1696" w:type="dxa"/>
            <w:vAlign w:val="center"/>
            <w:hideMark/>
          </w:tcPr>
          <w:p w14:paraId="1027C3EC"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13. Uttar Pradesh</w:t>
            </w:r>
          </w:p>
        </w:tc>
        <w:tc>
          <w:tcPr>
            <w:tcW w:w="1418" w:type="dxa"/>
            <w:vAlign w:val="center"/>
            <w:hideMark/>
          </w:tcPr>
          <w:p w14:paraId="6093EB0E"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7664.00</w:t>
            </w:r>
          </w:p>
        </w:tc>
        <w:tc>
          <w:tcPr>
            <w:tcW w:w="1559" w:type="dxa"/>
            <w:vAlign w:val="center"/>
            <w:hideMark/>
          </w:tcPr>
          <w:p w14:paraId="25AD6C60"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1891.00</w:t>
            </w:r>
          </w:p>
        </w:tc>
        <w:tc>
          <w:tcPr>
            <w:tcW w:w="1843" w:type="dxa"/>
            <w:vAlign w:val="center"/>
            <w:hideMark/>
          </w:tcPr>
          <w:p w14:paraId="0923751F"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5773.00</w:t>
            </w:r>
          </w:p>
        </w:tc>
        <w:tc>
          <w:tcPr>
            <w:tcW w:w="1843" w:type="dxa"/>
            <w:vAlign w:val="center"/>
            <w:hideMark/>
          </w:tcPr>
          <w:p w14:paraId="3050DC5C"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2886.50</w:t>
            </w:r>
          </w:p>
        </w:tc>
      </w:tr>
      <w:tr w:rsidR="002E3EF8" w:rsidRPr="003F4F94" w14:paraId="2A680138" w14:textId="77777777" w:rsidTr="003F4F94">
        <w:trPr>
          <w:trHeight w:val="113"/>
          <w:jc w:val="center"/>
        </w:trPr>
        <w:tc>
          <w:tcPr>
            <w:tcW w:w="1696" w:type="dxa"/>
            <w:vAlign w:val="center"/>
            <w:hideMark/>
          </w:tcPr>
          <w:p w14:paraId="2EB38571" w14:textId="77777777" w:rsidR="002E3EF8" w:rsidRPr="003F4F94" w:rsidRDefault="002E3EF8" w:rsidP="00F6454C">
            <w:pPr>
              <w:pStyle w:val="NoSpacing"/>
              <w:rPr>
                <w:rFonts w:ascii="Times New Roman" w:hAnsi="Times New Roman" w:cs="Times New Roman"/>
                <w:sz w:val="16"/>
                <w:szCs w:val="14"/>
              </w:rPr>
            </w:pPr>
            <w:r w:rsidRPr="003F4F94">
              <w:rPr>
                <w:rFonts w:ascii="Times New Roman" w:hAnsi="Times New Roman" w:cs="Times New Roman"/>
                <w:sz w:val="16"/>
                <w:szCs w:val="14"/>
              </w:rPr>
              <w:t>14. West Bengal</w:t>
            </w:r>
          </w:p>
        </w:tc>
        <w:tc>
          <w:tcPr>
            <w:tcW w:w="1418" w:type="dxa"/>
            <w:vAlign w:val="center"/>
            <w:hideMark/>
          </w:tcPr>
          <w:p w14:paraId="38131B64"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3264.00</w:t>
            </w:r>
          </w:p>
        </w:tc>
        <w:tc>
          <w:tcPr>
            <w:tcW w:w="1559" w:type="dxa"/>
            <w:vAlign w:val="center"/>
            <w:hideMark/>
          </w:tcPr>
          <w:p w14:paraId="500E8EEA"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1266.71</w:t>
            </w:r>
          </w:p>
        </w:tc>
        <w:tc>
          <w:tcPr>
            <w:tcW w:w="1843" w:type="dxa"/>
            <w:vAlign w:val="center"/>
            <w:hideMark/>
          </w:tcPr>
          <w:p w14:paraId="598D7AB4"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1997.29</w:t>
            </w:r>
          </w:p>
        </w:tc>
        <w:tc>
          <w:tcPr>
            <w:tcW w:w="1843" w:type="dxa"/>
            <w:vAlign w:val="center"/>
            <w:hideMark/>
          </w:tcPr>
          <w:p w14:paraId="23A9211C" w14:textId="77777777" w:rsidR="002E3EF8" w:rsidRPr="003F4F94" w:rsidRDefault="002E3EF8" w:rsidP="001D3365">
            <w:pPr>
              <w:pStyle w:val="NoSpacing"/>
              <w:jc w:val="center"/>
              <w:rPr>
                <w:rFonts w:ascii="Times New Roman" w:hAnsi="Times New Roman" w:cs="Times New Roman"/>
                <w:sz w:val="16"/>
                <w:szCs w:val="14"/>
              </w:rPr>
            </w:pPr>
            <w:r w:rsidRPr="003F4F94">
              <w:rPr>
                <w:rFonts w:ascii="Times New Roman" w:hAnsi="Times New Roman" w:cs="Times New Roman"/>
                <w:sz w:val="16"/>
                <w:szCs w:val="14"/>
              </w:rPr>
              <w:t>998.65</w:t>
            </w:r>
          </w:p>
        </w:tc>
      </w:tr>
      <w:tr w:rsidR="002E3EF8" w:rsidRPr="003F4F94" w14:paraId="5B020391" w14:textId="77777777" w:rsidTr="003F4F94">
        <w:trPr>
          <w:trHeight w:val="113"/>
          <w:jc w:val="center"/>
        </w:trPr>
        <w:tc>
          <w:tcPr>
            <w:tcW w:w="1696" w:type="dxa"/>
            <w:vAlign w:val="center"/>
            <w:hideMark/>
          </w:tcPr>
          <w:p w14:paraId="73039735" w14:textId="77777777" w:rsidR="002E3EF8" w:rsidRPr="003F4F94" w:rsidRDefault="002E3EF8" w:rsidP="00F6454C">
            <w:pPr>
              <w:pStyle w:val="NoSpacing"/>
              <w:rPr>
                <w:rFonts w:ascii="Times New Roman" w:hAnsi="Times New Roman" w:cs="Times New Roman"/>
                <w:b/>
                <w:bCs/>
                <w:sz w:val="16"/>
                <w:szCs w:val="14"/>
              </w:rPr>
            </w:pPr>
            <w:r w:rsidRPr="003F4F94">
              <w:rPr>
                <w:rFonts w:ascii="Times New Roman" w:hAnsi="Times New Roman" w:cs="Times New Roman"/>
                <w:b/>
                <w:bCs/>
                <w:sz w:val="16"/>
                <w:szCs w:val="14"/>
              </w:rPr>
              <w:t>TOTAL</w:t>
            </w:r>
          </w:p>
        </w:tc>
        <w:tc>
          <w:tcPr>
            <w:tcW w:w="1418" w:type="dxa"/>
            <w:vAlign w:val="center"/>
            <w:hideMark/>
          </w:tcPr>
          <w:p w14:paraId="6BCCD299"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40000.00</w:t>
            </w:r>
          </w:p>
        </w:tc>
        <w:tc>
          <w:tcPr>
            <w:tcW w:w="1559" w:type="dxa"/>
            <w:vAlign w:val="center"/>
            <w:hideMark/>
          </w:tcPr>
          <w:p w14:paraId="2BB82BA6"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25212.91</w:t>
            </w:r>
          </w:p>
        </w:tc>
        <w:tc>
          <w:tcPr>
            <w:tcW w:w="1843" w:type="dxa"/>
            <w:vAlign w:val="center"/>
            <w:hideMark/>
          </w:tcPr>
          <w:p w14:paraId="536F40B7"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17347.23</w:t>
            </w:r>
          </w:p>
        </w:tc>
        <w:tc>
          <w:tcPr>
            <w:tcW w:w="1843" w:type="dxa"/>
            <w:vAlign w:val="center"/>
            <w:hideMark/>
          </w:tcPr>
          <w:p w14:paraId="6E129C45" w14:textId="77777777" w:rsidR="002E3EF8" w:rsidRPr="003F4F94" w:rsidRDefault="002E3EF8" w:rsidP="001D3365">
            <w:pPr>
              <w:pStyle w:val="NoSpacing"/>
              <w:jc w:val="center"/>
              <w:rPr>
                <w:rFonts w:ascii="Times New Roman" w:hAnsi="Times New Roman" w:cs="Times New Roman"/>
                <w:b/>
                <w:bCs/>
                <w:sz w:val="16"/>
                <w:szCs w:val="14"/>
              </w:rPr>
            </w:pPr>
            <w:r w:rsidRPr="003F4F94">
              <w:rPr>
                <w:rFonts w:ascii="Times New Roman" w:hAnsi="Times New Roman" w:cs="Times New Roman"/>
                <w:b/>
                <w:bCs/>
                <w:sz w:val="16"/>
                <w:szCs w:val="14"/>
              </w:rPr>
              <w:t>8673.62</w:t>
            </w:r>
          </w:p>
        </w:tc>
      </w:tr>
    </w:tbl>
    <w:p w14:paraId="1B7A2D9A" w14:textId="54057A1E" w:rsidR="002E3EF8" w:rsidRPr="003F4F94" w:rsidRDefault="002E3EF8" w:rsidP="00EC10FA">
      <w:pPr>
        <w:pStyle w:val="Heading2"/>
        <w:rPr>
          <w:sz w:val="20"/>
          <w:szCs w:val="20"/>
        </w:rPr>
      </w:pPr>
      <w:bookmarkStart w:id="113" w:name="_Toc221293015"/>
      <w:bookmarkStart w:id="114" w:name="_Toc222399504"/>
      <w:r w:rsidRPr="003F4F94">
        <w:rPr>
          <w:sz w:val="20"/>
          <w:szCs w:val="20"/>
        </w:rPr>
        <w:t>A</w:t>
      </w:r>
      <w:r w:rsidR="0027660A" w:rsidRPr="003F4F94">
        <w:rPr>
          <w:sz w:val="20"/>
          <w:szCs w:val="20"/>
        </w:rPr>
        <w:t>NNEXURE</w:t>
      </w:r>
      <w:r w:rsidRPr="003F4F94">
        <w:rPr>
          <w:sz w:val="20"/>
          <w:szCs w:val="20"/>
        </w:rPr>
        <w:t xml:space="preserve"> VII. 2</w:t>
      </w:r>
      <w:r w:rsidR="00F6454C" w:rsidRPr="003F4F94">
        <w:rPr>
          <w:sz w:val="20"/>
          <w:szCs w:val="20"/>
        </w:rPr>
        <w:br/>
      </w:r>
      <w:r w:rsidRPr="003F4F94">
        <w:rPr>
          <w:sz w:val="20"/>
          <w:szCs w:val="20"/>
        </w:rPr>
        <w:t>States' Revenue Plan Financing</w:t>
      </w:r>
      <w:bookmarkEnd w:id="113"/>
      <w:bookmarkEnd w:id="114"/>
    </w:p>
    <w:p w14:paraId="65F792BB" w14:textId="77777777" w:rsidR="00F6454C" w:rsidRPr="003F4F94" w:rsidRDefault="00F6454C" w:rsidP="00F6454C">
      <w:pPr>
        <w:spacing w:after="0"/>
        <w:jc w:val="center"/>
        <w:rPr>
          <w:rFonts w:ascii="Times New Roman" w:hAnsi="Times New Roman" w:cs="Times New Roman"/>
          <w:sz w:val="18"/>
          <w:szCs w:val="16"/>
        </w:rPr>
      </w:pPr>
      <w:r w:rsidRPr="003F4F94">
        <w:rPr>
          <w:rFonts w:ascii="Times New Roman" w:hAnsi="Times New Roman" w:cs="Times New Roman"/>
          <w:sz w:val="18"/>
          <w:szCs w:val="16"/>
        </w:rPr>
        <w:t>(Para 7.12)</w:t>
      </w:r>
    </w:p>
    <w:p w14:paraId="191BDECD" w14:textId="771C807D" w:rsidR="002E3EF8" w:rsidRPr="00F6454C" w:rsidRDefault="002E3EF8" w:rsidP="00EC10FA">
      <w:pPr>
        <w:spacing w:after="0"/>
        <w:ind w:left="6480" w:firstLine="720"/>
        <w:jc w:val="center"/>
        <w:rPr>
          <w:rFonts w:ascii="Times New Roman" w:hAnsi="Times New Roman" w:cs="Times New Roman"/>
          <w:sz w:val="18"/>
          <w:szCs w:val="16"/>
        </w:rPr>
      </w:pPr>
      <w:r w:rsidRPr="00F6454C">
        <w:rPr>
          <w:rFonts w:ascii="Times New Roman" w:hAnsi="Times New Roman" w:cs="Times New Roman"/>
          <w:i/>
          <w:iCs/>
          <w:sz w:val="18"/>
          <w:szCs w:val="16"/>
        </w:rPr>
        <w:t>(Rs. Crore)</w:t>
      </w:r>
    </w:p>
    <w:tbl>
      <w:tblPr>
        <w:tblStyle w:val="TableGrid"/>
        <w:tblW w:w="8500" w:type="dxa"/>
        <w:jc w:val="center"/>
        <w:tblLook w:val="04A0" w:firstRow="1" w:lastRow="0" w:firstColumn="1" w:lastColumn="0" w:noHBand="0" w:noVBand="1"/>
      </w:tblPr>
      <w:tblGrid>
        <w:gridCol w:w="1980"/>
        <w:gridCol w:w="1571"/>
        <w:gridCol w:w="1547"/>
        <w:gridCol w:w="1843"/>
        <w:gridCol w:w="1559"/>
      </w:tblGrid>
      <w:tr w:rsidR="002E3EF8" w:rsidRPr="00767C21" w14:paraId="62B77D60" w14:textId="77777777" w:rsidTr="003F4F94">
        <w:trPr>
          <w:trHeight w:val="20"/>
          <w:jc w:val="center"/>
        </w:trPr>
        <w:tc>
          <w:tcPr>
            <w:tcW w:w="1980" w:type="dxa"/>
            <w:vAlign w:val="center"/>
            <w:hideMark/>
          </w:tcPr>
          <w:p w14:paraId="5D3F2A73" w14:textId="77777777" w:rsidR="002E3EF8" w:rsidRPr="00767C21" w:rsidRDefault="002E3EF8"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States</w:t>
            </w:r>
          </w:p>
        </w:tc>
        <w:tc>
          <w:tcPr>
            <w:tcW w:w="1571" w:type="dxa"/>
            <w:vAlign w:val="center"/>
            <w:hideMark/>
          </w:tcPr>
          <w:p w14:paraId="5B4C5EA9" w14:textId="45EF387D" w:rsidR="002E3EF8" w:rsidRPr="00767C21" w:rsidRDefault="002E3EF8"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Total Revenue Plan Expenditure</w:t>
            </w:r>
          </w:p>
        </w:tc>
        <w:tc>
          <w:tcPr>
            <w:tcW w:w="1547" w:type="dxa"/>
            <w:vAlign w:val="center"/>
            <w:hideMark/>
          </w:tcPr>
          <w:p w14:paraId="1BD84DEB" w14:textId="4A9E9578" w:rsidR="002E3EF8" w:rsidRPr="00767C21" w:rsidRDefault="002E3EF8"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Share In Central Assistance</w:t>
            </w:r>
          </w:p>
        </w:tc>
        <w:tc>
          <w:tcPr>
            <w:tcW w:w="1843" w:type="dxa"/>
            <w:vAlign w:val="center"/>
            <w:hideMark/>
          </w:tcPr>
          <w:p w14:paraId="5431DFA6" w14:textId="60CBC11D" w:rsidR="002E3EF8" w:rsidRPr="00767C21" w:rsidRDefault="002E3EF8"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Difference Between Col 1 and 2 Where Col 1 Is Higher</w:t>
            </w:r>
          </w:p>
        </w:tc>
        <w:tc>
          <w:tcPr>
            <w:tcW w:w="1559" w:type="dxa"/>
            <w:vAlign w:val="center"/>
            <w:hideMark/>
          </w:tcPr>
          <w:p w14:paraId="185DD4C0" w14:textId="67F4904D" w:rsidR="002E3EF8" w:rsidRPr="00767C21" w:rsidRDefault="002E3EF8"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 xml:space="preserve">50 Per Cent </w:t>
            </w:r>
            <w:proofErr w:type="gramStart"/>
            <w:r w:rsidRPr="00767C21">
              <w:rPr>
                <w:rFonts w:ascii="Times New Roman" w:hAnsi="Times New Roman" w:cs="Times New Roman"/>
                <w:b/>
                <w:bCs/>
                <w:sz w:val="16"/>
                <w:szCs w:val="16"/>
              </w:rPr>
              <w:t>Of</w:t>
            </w:r>
            <w:proofErr w:type="gramEnd"/>
            <w:r w:rsidRPr="00767C21">
              <w:rPr>
                <w:rFonts w:ascii="Times New Roman" w:hAnsi="Times New Roman" w:cs="Times New Roman"/>
                <w:b/>
                <w:bCs/>
                <w:sz w:val="16"/>
                <w:szCs w:val="16"/>
              </w:rPr>
              <w:t xml:space="preserve"> Col 3 (Plan Deficit Grants)</w:t>
            </w:r>
          </w:p>
        </w:tc>
      </w:tr>
      <w:tr w:rsidR="00AE13D4" w:rsidRPr="00767C21" w14:paraId="082CEF05" w14:textId="77777777" w:rsidTr="003F4F94">
        <w:trPr>
          <w:trHeight w:val="20"/>
          <w:jc w:val="center"/>
        </w:trPr>
        <w:tc>
          <w:tcPr>
            <w:tcW w:w="1980" w:type="dxa"/>
            <w:vAlign w:val="center"/>
          </w:tcPr>
          <w:p w14:paraId="4F5201A6" w14:textId="77777777" w:rsidR="00AE13D4" w:rsidRPr="00767C21" w:rsidRDefault="00AE13D4" w:rsidP="00F6454C">
            <w:pPr>
              <w:pStyle w:val="NoSpacing"/>
              <w:jc w:val="center"/>
              <w:rPr>
                <w:rFonts w:ascii="Times New Roman" w:hAnsi="Times New Roman" w:cs="Times New Roman"/>
                <w:sz w:val="16"/>
                <w:szCs w:val="16"/>
              </w:rPr>
            </w:pPr>
          </w:p>
        </w:tc>
        <w:tc>
          <w:tcPr>
            <w:tcW w:w="1571" w:type="dxa"/>
            <w:vAlign w:val="center"/>
          </w:tcPr>
          <w:p w14:paraId="18162562" w14:textId="54B72068" w:rsidR="00AE13D4" w:rsidRPr="00767C21" w:rsidRDefault="00AE13D4"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(1)</w:t>
            </w:r>
          </w:p>
        </w:tc>
        <w:tc>
          <w:tcPr>
            <w:tcW w:w="1547" w:type="dxa"/>
            <w:vAlign w:val="center"/>
          </w:tcPr>
          <w:p w14:paraId="24A4DF8B" w14:textId="10631817" w:rsidR="00AE13D4" w:rsidRPr="00767C21" w:rsidRDefault="00AE13D4"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(2)</w:t>
            </w:r>
          </w:p>
        </w:tc>
        <w:tc>
          <w:tcPr>
            <w:tcW w:w="1843" w:type="dxa"/>
            <w:vAlign w:val="center"/>
          </w:tcPr>
          <w:p w14:paraId="6420A126" w14:textId="449FE9D2" w:rsidR="00AE13D4" w:rsidRPr="00767C21" w:rsidRDefault="00AE13D4"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(3)</w:t>
            </w:r>
          </w:p>
        </w:tc>
        <w:tc>
          <w:tcPr>
            <w:tcW w:w="1559" w:type="dxa"/>
            <w:vAlign w:val="center"/>
          </w:tcPr>
          <w:p w14:paraId="52D31DD9" w14:textId="45D9F15C" w:rsidR="00AE13D4" w:rsidRPr="00767C21" w:rsidRDefault="00AE13D4" w:rsidP="00F6454C">
            <w:pPr>
              <w:pStyle w:val="NoSpacing"/>
              <w:jc w:val="center"/>
              <w:rPr>
                <w:rFonts w:ascii="Times New Roman" w:hAnsi="Times New Roman" w:cs="Times New Roman"/>
                <w:b/>
                <w:bCs/>
                <w:sz w:val="16"/>
                <w:szCs w:val="16"/>
              </w:rPr>
            </w:pPr>
            <w:r w:rsidRPr="00767C21">
              <w:rPr>
                <w:rFonts w:ascii="Times New Roman" w:hAnsi="Times New Roman" w:cs="Times New Roman"/>
                <w:b/>
                <w:bCs/>
                <w:sz w:val="16"/>
                <w:szCs w:val="16"/>
              </w:rPr>
              <w:t>(4)</w:t>
            </w:r>
          </w:p>
        </w:tc>
      </w:tr>
      <w:tr w:rsidR="002E3EF8" w:rsidRPr="00767C21" w14:paraId="22C8E338" w14:textId="77777777" w:rsidTr="003F4F94">
        <w:trPr>
          <w:trHeight w:val="20"/>
          <w:jc w:val="center"/>
        </w:trPr>
        <w:tc>
          <w:tcPr>
            <w:tcW w:w="1980" w:type="dxa"/>
            <w:vAlign w:val="center"/>
            <w:hideMark/>
          </w:tcPr>
          <w:p w14:paraId="3451AB7C" w14:textId="77777777" w:rsidR="002E3EF8" w:rsidRPr="00767C21" w:rsidRDefault="002E3EF8" w:rsidP="00F6454C">
            <w:pPr>
              <w:pStyle w:val="NoSpacing"/>
              <w:rPr>
                <w:rFonts w:ascii="Times New Roman" w:hAnsi="Times New Roman" w:cs="Times New Roman"/>
                <w:sz w:val="16"/>
                <w:szCs w:val="16"/>
              </w:rPr>
            </w:pPr>
            <w:r w:rsidRPr="00767C21">
              <w:rPr>
                <w:rFonts w:ascii="Times New Roman" w:hAnsi="Times New Roman" w:cs="Times New Roman"/>
                <w:sz w:val="16"/>
                <w:szCs w:val="16"/>
              </w:rPr>
              <w:t>1. Assam</w:t>
            </w:r>
          </w:p>
        </w:tc>
        <w:tc>
          <w:tcPr>
            <w:tcW w:w="1571" w:type="dxa"/>
            <w:vAlign w:val="center"/>
            <w:hideMark/>
          </w:tcPr>
          <w:p w14:paraId="3C2C8532"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1880.75</w:t>
            </w:r>
          </w:p>
        </w:tc>
        <w:tc>
          <w:tcPr>
            <w:tcW w:w="1547" w:type="dxa"/>
            <w:vAlign w:val="center"/>
            <w:hideMark/>
          </w:tcPr>
          <w:p w14:paraId="12FE9E24"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1252.93</w:t>
            </w:r>
          </w:p>
        </w:tc>
        <w:tc>
          <w:tcPr>
            <w:tcW w:w="1843" w:type="dxa"/>
            <w:vAlign w:val="center"/>
            <w:hideMark/>
          </w:tcPr>
          <w:p w14:paraId="4D058FC9"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627.82</w:t>
            </w:r>
          </w:p>
        </w:tc>
        <w:tc>
          <w:tcPr>
            <w:tcW w:w="1559" w:type="dxa"/>
            <w:vAlign w:val="center"/>
            <w:hideMark/>
          </w:tcPr>
          <w:p w14:paraId="696A0183"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313.91</w:t>
            </w:r>
          </w:p>
        </w:tc>
      </w:tr>
      <w:tr w:rsidR="002E3EF8" w:rsidRPr="00767C21" w14:paraId="161BA13C" w14:textId="77777777" w:rsidTr="003F4F94">
        <w:trPr>
          <w:trHeight w:val="20"/>
          <w:jc w:val="center"/>
        </w:trPr>
        <w:tc>
          <w:tcPr>
            <w:tcW w:w="1980" w:type="dxa"/>
            <w:vAlign w:val="center"/>
            <w:hideMark/>
          </w:tcPr>
          <w:p w14:paraId="0FC1B303" w14:textId="77777777" w:rsidR="002E3EF8" w:rsidRPr="00767C21" w:rsidRDefault="002E3EF8" w:rsidP="00F6454C">
            <w:pPr>
              <w:pStyle w:val="NoSpacing"/>
              <w:rPr>
                <w:rFonts w:ascii="Times New Roman" w:hAnsi="Times New Roman" w:cs="Times New Roman"/>
                <w:sz w:val="16"/>
                <w:szCs w:val="16"/>
              </w:rPr>
            </w:pPr>
            <w:r w:rsidRPr="00767C21">
              <w:rPr>
                <w:rFonts w:ascii="Times New Roman" w:hAnsi="Times New Roman" w:cs="Times New Roman"/>
                <w:sz w:val="16"/>
                <w:szCs w:val="16"/>
              </w:rPr>
              <w:t>2. Goa</w:t>
            </w:r>
          </w:p>
        </w:tc>
        <w:tc>
          <w:tcPr>
            <w:tcW w:w="1571" w:type="dxa"/>
            <w:vAlign w:val="center"/>
            <w:hideMark/>
          </w:tcPr>
          <w:p w14:paraId="14FD4180"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185.53</w:t>
            </w:r>
          </w:p>
        </w:tc>
        <w:tc>
          <w:tcPr>
            <w:tcW w:w="1547" w:type="dxa"/>
            <w:vAlign w:val="center"/>
            <w:hideMark/>
          </w:tcPr>
          <w:p w14:paraId="52C682F2"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201.47</w:t>
            </w:r>
          </w:p>
        </w:tc>
        <w:tc>
          <w:tcPr>
            <w:tcW w:w="1843" w:type="dxa"/>
            <w:vAlign w:val="center"/>
            <w:hideMark/>
          </w:tcPr>
          <w:p w14:paraId="249A67A4"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c>
          <w:tcPr>
            <w:tcW w:w="1559" w:type="dxa"/>
            <w:vAlign w:val="center"/>
            <w:hideMark/>
          </w:tcPr>
          <w:p w14:paraId="5286BD5E"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w:t>
            </w:r>
          </w:p>
        </w:tc>
      </w:tr>
      <w:tr w:rsidR="002E3EF8" w:rsidRPr="00767C21" w14:paraId="3B2E19F2" w14:textId="77777777" w:rsidTr="003F4F94">
        <w:trPr>
          <w:trHeight w:val="20"/>
          <w:jc w:val="center"/>
        </w:trPr>
        <w:tc>
          <w:tcPr>
            <w:tcW w:w="1980" w:type="dxa"/>
            <w:vAlign w:val="center"/>
            <w:hideMark/>
          </w:tcPr>
          <w:p w14:paraId="3D05255B" w14:textId="77777777" w:rsidR="002E3EF8" w:rsidRPr="00767C21" w:rsidRDefault="002E3EF8" w:rsidP="00F6454C">
            <w:pPr>
              <w:pStyle w:val="NoSpacing"/>
              <w:rPr>
                <w:rFonts w:ascii="Times New Roman" w:hAnsi="Times New Roman" w:cs="Times New Roman"/>
                <w:sz w:val="16"/>
                <w:szCs w:val="16"/>
              </w:rPr>
            </w:pPr>
            <w:r w:rsidRPr="00767C21">
              <w:rPr>
                <w:rFonts w:ascii="Times New Roman" w:hAnsi="Times New Roman" w:cs="Times New Roman"/>
                <w:sz w:val="16"/>
                <w:szCs w:val="16"/>
              </w:rPr>
              <w:t>3. Jammu and Kashmir</w:t>
            </w:r>
          </w:p>
        </w:tc>
        <w:tc>
          <w:tcPr>
            <w:tcW w:w="1571" w:type="dxa"/>
            <w:vAlign w:val="center"/>
            <w:hideMark/>
          </w:tcPr>
          <w:p w14:paraId="0976F47F"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1070.67</w:t>
            </w:r>
          </w:p>
        </w:tc>
        <w:tc>
          <w:tcPr>
            <w:tcW w:w="1547" w:type="dxa"/>
            <w:vAlign w:val="center"/>
            <w:hideMark/>
          </w:tcPr>
          <w:p w14:paraId="338E56D9"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1044.08</w:t>
            </w:r>
          </w:p>
        </w:tc>
        <w:tc>
          <w:tcPr>
            <w:tcW w:w="1843" w:type="dxa"/>
            <w:vAlign w:val="center"/>
            <w:hideMark/>
          </w:tcPr>
          <w:p w14:paraId="76A68AD6"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26.59</w:t>
            </w:r>
          </w:p>
        </w:tc>
        <w:tc>
          <w:tcPr>
            <w:tcW w:w="1559" w:type="dxa"/>
            <w:vAlign w:val="center"/>
            <w:hideMark/>
          </w:tcPr>
          <w:p w14:paraId="6E2922EF" w14:textId="77777777" w:rsidR="002E3EF8" w:rsidRPr="00767C21" w:rsidRDefault="002E3EF8" w:rsidP="00F6454C">
            <w:pPr>
              <w:pStyle w:val="NoSpacing"/>
              <w:jc w:val="center"/>
              <w:rPr>
                <w:rFonts w:ascii="Times New Roman" w:hAnsi="Times New Roman" w:cs="Times New Roman"/>
                <w:sz w:val="16"/>
                <w:szCs w:val="16"/>
              </w:rPr>
            </w:pPr>
            <w:r w:rsidRPr="00767C21">
              <w:rPr>
                <w:rFonts w:ascii="Times New Roman" w:hAnsi="Times New Roman" w:cs="Times New Roman"/>
                <w:sz w:val="16"/>
                <w:szCs w:val="16"/>
              </w:rPr>
              <w:t>13.30</w:t>
            </w:r>
          </w:p>
        </w:tc>
      </w:tr>
    </w:tbl>
    <w:p w14:paraId="7E35654A" w14:textId="35443DAE" w:rsidR="002E3EF8" w:rsidRPr="003F4F94" w:rsidRDefault="002E3EF8" w:rsidP="00EC10FA">
      <w:pPr>
        <w:pStyle w:val="Heading2"/>
        <w:rPr>
          <w:sz w:val="20"/>
          <w:szCs w:val="20"/>
        </w:rPr>
      </w:pPr>
      <w:bookmarkStart w:id="115" w:name="_Toc221293016"/>
      <w:bookmarkStart w:id="116" w:name="_Toc222399505"/>
      <w:r w:rsidRPr="003F4F94">
        <w:rPr>
          <w:sz w:val="20"/>
          <w:szCs w:val="20"/>
        </w:rPr>
        <w:t>A</w:t>
      </w:r>
      <w:r w:rsidR="0027660A" w:rsidRPr="003F4F94">
        <w:rPr>
          <w:sz w:val="20"/>
          <w:szCs w:val="20"/>
        </w:rPr>
        <w:t>NNEXURE</w:t>
      </w:r>
      <w:r w:rsidRPr="003F4F94">
        <w:rPr>
          <w:sz w:val="20"/>
          <w:szCs w:val="20"/>
        </w:rPr>
        <w:t xml:space="preserve"> VII.3</w:t>
      </w:r>
      <w:r w:rsidR="00F6454C" w:rsidRPr="003F4F94">
        <w:rPr>
          <w:sz w:val="20"/>
          <w:szCs w:val="20"/>
        </w:rPr>
        <w:br/>
      </w:r>
      <w:r w:rsidRPr="003F4F94">
        <w:rPr>
          <w:sz w:val="20"/>
          <w:szCs w:val="20"/>
        </w:rPr>
        <w:t xml:space="preserve">Revenue Account Position </w:t>
      </w:r>
      <w:proofErr w:type="gramStart"/>
      <w:r w:rsidRPr="003F4F94">
        <w:rPr>
          <w:sz w:val="20"/>
          <w:szCs w:val="20"/>
        </w:rPr>
        <w:t>Of</w:t>
      </w:r>
      <w:proofErr w:type="gramEnd"/>
      <w:r w:rsidRPr="003F4F94">
        <w:rPr>
          <w:sz w:val="20"/>
          <w:szCs w:val="20"/>
        </w:rPr>
        <w:t xml:space="preserve"> Central Government </w:t>
      </w:r>
      <w:proofErr w:type="gramStart"/>
      <w:r w:rsidRPr="003F4F94">
        <w:rPr>
          <w:sz w:val="20"/>
          <w:szCs w:val="20"/>
        </w:rPr>
        <w:t>Resources :</w:t>
      </w:r>
      <w:proofErr w:type="gramEnd"/>
      <w:r w:rsidRPr="003F4F94">
        <w:rPr>
          <w:sz w:val="20"/>
          <w:szCs w:val="20"/>
        </w:rPr>
        <w:t xml:space="preserve"> 1990-95</w:t>
      </w:r>
      <w:bookmarkEnd w:id="115"/>
      <w:bookmarkEnd w:id="116"/>
    </w:p>
    <w:p w14:paraId="6EA0E9A9" w14:textId="51BE5F11" w:rsidR="00F6454C" w:rsidRPr="003F4F94" w:rsidRDefault="00F6454C" w:rsidP="00F6454C">
      <w:pPr>
        <w:spacing w:after="0"/>
        <w:jc w:val="center"/>
        <w:rPr>
          <w:rFonts w:ascii="Times New Roman" w:hAnsi="Times New Roman" w:cs="Times New Roman"/>
          <w:sz w:val="18"/>
          <w:szCs w:val="18"/>
        </w:rPr>
      </w:pPr>
      <w:r w:rsidRPr="003F4F94">
        <w:rPr>
          <w:rFonts w:ascii="Times New Roman" w:hAnsi="Times New Roman" w:cs="Times New Roman"/>
          <w:sz w:val="18"/>
          <w:szCs w:val="18"/>
        </w:rPr>
        <w:t>(Para 7.18 and 7.29</w:t>
      </w:r>
    </w:p>
    <w:p w14:paraId="58C5868C" w14:textId="4BBEB7E0" w:rsidR="002E3EF8" w:rsidRPr="00F6454C" w:rsidRDefault="002E3EF8" w:rsidP="003F4F94">
      <w:pPr>
        <w:spacing w:after="0"/>
        <w:ind w:left="7200" w:firstLine="720"/>
        <w:jc w:val="center"/>
        <w:rPr>
          <w:rFonts w:ascii="Times New Roman" w:hAnsi="Times New Roman" w:cs="Times New Roman"/>
          <w:b/>
          <w:bCs/>
          <w:sz w:val="20"/>
          <w:szCs w:val="18"/>
        </w:rPr>
      </w:pPr>
      <w:r w:rsidRPr="00F6454C">
        <w:rPr>
          <w:rFonts w:ascii="Times New Roman" w:hAnsi="Times New Roman" w:cs="Times New Roman"/>
          <w:i/>
          <w:iCs/>
          <w:sz w:val="18"/>
          <w:szCs w:val="16"/>
        </w:rPr>
        <w:t>(Rs. Crore)</w:t>
      </w:r>
    </w:p>
    <w:tbl>
      <w:tblPr>
        <w:tblStyle w:val="TableGrid"/>
        <w:tblW w:w="11205" w:type="dxa"/>
        <w:jc w:val="center"/>
        <w:tblLook w:val="04A0" w:firstRow="1" w:lastRow="0" w:firstColumn="1" w:lastColumn="0" w:noHBand="0" w:noVBand="1"/>
      </w:tblPr>
      <w:tblGrid>
        <w:gridCol w:w="5252"/>
        <w:gridCol w:w="1134"/>
        <w:gridCol w:w="850"/>
        <w:gridCol w:w="992"/>
        <w:gridCol w:w="851"/>
        <w:gridCol w:w="850"/>
        <w:gridCol w:w="1276"/>
      </w:tblGrid>
      <w:tr w:rsidR="002E3EF8" w:rsidRPr="003F4F94" w14:paraId="6F1DD8A0" w14:textId="77777777" w:rsidTr="00767C21">
        <w:trPr>
          <w:trHeight w:val="20"/>
          <w:jc w:val="center"/>
        </w:trPr>
        <w:tc>
          <w:tcPr>
            <w:tcW w:w="5252" w:type="dxa"/>
            <w:vAlign w:val="center"/>
            <w:hideMark/>
          </w:tcPr>
          <w:p w14:paraId="2CC7803A" w14:textId="77777777" w:rsidR="002E3EF8" w:rsidRPr="003F4F94" w:rsidRDefault="002E3EF8" w:rsidP="0084657D">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Items</w:t>
            </w:r>
          </w:p>
        </w:tc>
        <w:tc>
          <w:tcPr>
            <w:tcW w:w="1134" w:type="dxa"/>
            <w:vAlign w:val="center"/>
            <w:hideMark/>
          </w:tcPr>
          <w:p w14:paraId="3E536E7A" w14:textId="77777777" w:rsidR="002E3EF8" w:rsidRPr="003F4F94" w:rsidRDefault="002E3EF8"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1990-91</w:t>
            </w:r>
          </w:p>
          <w:p w14:paraId="7C8F02F7" w14:textId="1942EFFB" w:rsidR="002E3EF8" w:rsidRPr="003F4F94" w:rsidRDefault="002E3EF8" w:rsidP="00F6454C">
            <w:pPr>
              <w:pStyle w:val="NoSpacing"/>
              <w:jc w:val="center"/>
              <w:rPr>
                <w:rFonts w:ascii="Times New Roman" w:hAnsi="Times New Roman" w:cs="Times New Roman"/>
                <w:b/>
                <w:bCs/>
                <w:sz w:val="16"/>
                <w:szCs w:val="16"/>
              </w:rPr>
            </w:pPr>
          </w:p>
        </w:tc>
        <w:tc>
          <w:tcPr>
            <w:tcW w:w="850" w:type="dxa"/>
            <w:vAlign w:val="center"/>
            <w:hideMark/>
          </w:tcPr>
          <w:p w14:paraId="3050759C" w14:textId="11C0DFE8" w:rsidR="002E3EF8" w:rsidRPr="003F4F94" w:rsidRDefault="002E3EF8"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1991-92</w:t>
            </w:r>
          </w:p>
          <w:p w14:paraId="1571AC07" w14:textId="662B13D4" w:rsidR="002E3EF8" w:rsidRPr="003F4F94" w:rsidRDefault="002E3EF8" w:rsidP="00F6454C">
            <w:pPr>
              <w:pStyle w:val="NoSpacing"/>
              <w:jc w:val="center"/>
              <w:rPr>
                <w:rFonts w:ascii="Times New Roman" w:hAnsi="Times New Roman" w:cs="Times New Roman"/>
                <w:b/>
                <w:bCs/>
                <w:sz w:val="16"/>
                <w:szCs w:val="16"/>
              </w:rPr>
            </w:pPr>
          </w:p>
        </w:tc>
        <w:tc>
          <w:tcPr>
            <w:tcW w:w="992" w:type="dxa"/>
            <w:vAlign w:val="center"/>
            <w:hideMark/>
          </w:tcPr>
          <w:p w14:paraId="4C5D5A82" w14:textId="77777777" w:rsidR="002E3EF8" w:rsidRPr="003F4F94" w:rsidRDefault="002E3EF8"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1992-93</w:t>
            </w:r>
          </w:p>
          <w:p w14:paraId="44E14A68" w14:textId="65AA1B0A" w:rsidR="002E3EF8" w:rsidRPr="003F4F94" w:rsidRDefault="002E3EF8" w:rsidP="00F6454C">
            <w:pPr>
              <w:pStyle w:val="NoSpacing"/>
              <w:jc w:val="center"/>
              <w:rPr>
                <w:rFonts w:ascii="Times New Roman" w:hAnsi="Times New Roman" w:cs="Times New Roman"/>
                <w:b/>
                <w:bCs/>
                <w:sz w:val="16"/>
                <w:szCs w:val="16"/>
              </w:rPr>
            </w:pPr>
          </w:p>
        </w:tc>
        <w:tc>
          <w:tcPr>
            <w:tcW w:w="851" w:type="dxa"/>
            <w:vAlign w:val="center"/>
            <w:hideMark/>
          </w:tcPr>
          <w:p w14:paraId="5F0E610F" w14:textId="77777777" w:rsidR="002E3EF8" w:rsidRPr="003F4F94" w:rsidRDefault="002E3EF8"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1993-94</w:t>
            </w:r>
          </w:p>
          <w:p w14:paraId="11F044A9" w14:textId="25AF9E6E" w:rsidR="002E3EF8" w:rsidRPr="003F4F94" w:rsidRDefault="002E3EF8" w:rsidP="00F6454C">
            <w:pPr>
              <w:pStyle w:val="NoSpacing"/>
              <w:jc w:val="center"/>
              <w:rPr>
                <w:rFonts w:ascii="Times New Roman" w:hAnsi="Times New Roman" w:cs="Times New Roman"/>
                <w:b/>
                <w:bCs/>
                <w:sz w:val="16"/>
                <w:szCs w:val="16"/>
              </w:rPr>
            </w:pPr>
          </w:p>
        </w:tc>
        <w:tc>
          <w:tcPr>
            <w:tcW w:w="850" w:type="dxa"/>
            <w:vAlign w:val="center"/>
            <w:hideMark/>
          </w:tcPr>
          <w:p w14:paraId="2A5D410A" w14:textId="77777777" w:rsidR="002E3EF8" w:rsidRPr="003F4F94" w:rsidRDefault="002E3EF8"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1994-95</w:t>
            </w:r>
          </w:p>
          <w:p w14:paraId="4986C8CF" w14:textId="4FD4A482" w:rsidR="002E3EF8" w:rsidRPr="003F4F94" w:rsidRDefault="002E3EF8" w:rsidP="00F6454C">
            <w:pPr>
              <w:pStyle w:val="NoSpacing"/>
              <w:jc w:val="center"/>
              <w:rPr>
                <w:rFonts w:ascii="Times New Roman" w:hAnsi="Times New Roman" w:cs="Times New Roman"/>
                <w:b/>
                <w:bCs/>
                <w:sz w:val="16"/>
                <w:szCs w:val="16"/>
              </w:rPr>
            </w:pPr>
          </w:p>
        </w:tc>
        <w:tc>
          <w:tcPr>
            <w:tcW w:w="1276" w:type="dxa"/>
            <w:vAlign w:val="center"/>
            <w:hideMark/>
          </w:tcPr>
          <w:p w14:paraId="0DBE9D42" w14:textId="77777777" w:rsidR="002E3EF8" w:rsidRPr="003F4F94" w:rsidRDefault="002E3EF8"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Total 1990-95</w:t>
            </w:r>
          </w:p>
          <w:p w14:paraId="52D276A1" w14:textId="1239253B" w:rsidR="002E3EF8" w:rsidRPr="003F4F94" w:rsidRDefault="002E3EF8" w:rsidP="00F6454C">
            <w:pPr>
              <w:pStyle w:val="NoSpacing"/>
              <w:jc w:val="center"/>
              <w:rPr>
                <w:rFonts w:ascii="Times New Roman" w:hAnsi="Times New Roman" w:cs="Times New Roman"/>
                <w:b/>
                <w:bCs/>
                <w:sz w:val="16"/>
                <w:szCs w:val="16"/>
              </w:rPr>
            </w:pPr>
          </w:p>
        </w:tc>
      </w:tr>
      <w:tr w:rsidR="00AE13D4" w:rsidRPr="003F4F94" w14:paraId="4FD5B32F" w14:textId="77777777" w:rsidTr="00767C21">
        <w:trPr>
          <w:trHeight w:val="20"/>
          <w:jc w:val="center"/>
        </w:trPr>
        <w:tc>
          <w:tcPr>
            <w:tcW w:w="5252" w:type="dxa"/>
            <w:vAlign w:val="center"/>
          </w:tcPr>
          <w:p w14:paraId="7CFFAF73" w14:textId="77777777" w:rsidR="00AE13D4" w:rsidRPr="003F4F94" w:rsidRDefault="00AE13D4" w:rsidP="00F6454C">
            <w:pPr>
              <w:pStyle w:val="NoSpacing"/>
              <w:rPr>
                <w:rFonts w:ascii="Times New Roman" w:hAnsi="Times New Roman" w:cs="Times New Roman"/>
                <w:b/>
                <w:bCs/>
                <w:sz w:val="16"/>
                <w:szCs w:val="16"/>
              </w:rPr>
            </w:pPr>
          </w:p>
        </w:tc>
        <w:tc>
          <w:tcPr>
            <w:tcW w:w="1134" w:type="dxa"/>
            <w:vAlign w:val="center"/>
          </w:tcPr>
          <w:p w14:paraId="77FADB91" w14:textId="23A719DB" w:rsidR="00AE13D4" w:rsidRPr="003F4F94" w:rsidRDefault="00AE13D4"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(1)</w:t>
            </w:r>
          </w:p>
        </w:tc>
        <w:tc>
          <w:tcPr>
            <w:tcW w:w="850" w:type="dxa"/>
            <w:vAlign w:val="center"/>
          </w:tcPr>
          <w:p w14:paraId="6DC62F33" w14:textId="5C97BE00" w:rsidR="00AE13D4" w:rsidRPr="003F4F94" w:rsidRDefault="00AE13D4"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(2)</w:t>
            </w:r>
          </w:p>
        </w:tc>
        <w:tc>
          <w:tcPr>
            <w:tcW w:w="992" w:type="dxa"/>
            <w:vAlign w:val="center"/>
          </w:tcPr>
          <w:p w14:paraId="670DBC86" w14:textId="4460DEDD" w:rsidR="00AE13D4" w:rsidRPr="003F4F94" w:rsidRDefault="00AE13D4"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(3)</w:t>
            </w:r>
          </w:p>
        </w:tc>
        <w:tc>
          <w:tcPr>
            <w:tcW w:w="851" w:type="dxa"/>
            <w:vAlign w:val="center"/>
          </w:tcPr>
          <w:p w14:paraId="15064A68" w14:textId="5352AE75" w:rsidR="00AE13D4" w:rsidRPr="003F4F94" w:rsidRDefault="00AE13D4"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(4)</w:t>
            </w:r>
          </w:p>
        </w:tc>
        <w:tc>
          <w:tcPr>
            <w:tcW w:w="850" w:type="dxa"/>
            <w:vAlign w:val="center"/>
          </w:tcPr>
          <w:p w14:paraId="2D613693" w14:textId="2BB7F67B" w:rsidR="00AE13D4" w:rsidRPr="003F4F94" w:rsidRDefault="00AE13D4"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(5)</w:t>
            </w:r>
          </w:p>
        </w:tc>
        <w:tc>
          <w:tcPr>
            <w:tcW w:w="1276" w:type="dxa"/>
            <w:vAlign w:val="center"/>
          </w:tcPr>
          <w:p w14:paraId="05776120" w14:textId="355603A1" w:rsidR="00AE13D4" w:rsidRPr="003F4F94" w:rsidRDefault="00AE13D4" w:rsidP="00F6454C">
            <w:pPr>
              <w:pStyle w:val="NoSpacing"/>
              <w:jc w:val="center"/>
              <w:rPr>
                <w:rFonts w:ascii="Times New Roman" w:hAnsi="Times New Roman" w:cs="Times New Roman"/>
                <w:b/>
                <w:bCs/>
                <w:sz w:val="16"/>
                <w:szCs w:val="16"/>
              </w:rPr>
            </w:pPr>
            <w:r w:rsidRPr="003F4F94">
              <w:rPr>
                <w:rFonts w:ascii="Times New Roman" w:hAnsi="Times New Roman" w:cs="Times New Roman"/>
                <w:b/>
                <w:bCs/>
                <w:sz w:val="16"/>
                <w:szCs w:val="16"/>
              </w:rPr>
              <w:t>(6)</w:t>
            </w:r>
          </w:p>
        </w:tc>
      </w:tr>
      <w:tr w:rsidR="002E3EF8" w:rsidRPr="003F4F94" w14:paraId="3727C8C1" w14:textId="77777777" w:rsidTr="00767C21">
        <w:trPr>
          <w:trHeight w:val="20"/>
          <w:jc w:val="center"/>
        </w:trPr>
        <w:tc>
          <w:tcPr>
            <w:tcW w:w="5252" w:type="dxa"/>
            <w:vAlign w:val="center"/>
            <w:hideMark/>
          </w:tcPr>
          <w:p w14:paraId="670C5FAB"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I. Revenue Receipts</w:t>
            </w:r>
          </w:p>
        </w:tc>
        <w:tc>
          <w:tcPr>
            <w:tcW w:w="1134" w:type="dxa"/>
            <w:vAlign w:val="center"/>
            <w:hideMark/>
          </w:tcPr>
          <w:p w14:paraId="60BF128A"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1D3715CC"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654BE888"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2C2496CE"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12BA17CF"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083011CE"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57FEB043" w14:textId="77777777" w:rsidTr="00767C21">
        <w:trPr>
          <w:trHeight w:val="20"/>
          <w:jc w:val="center"/>
        </w:trPr>
        <w:tc>
          <w:tcPr>
            <w:tcW w:w="5252" w:type="dxa"/>
            <w:vAlign w:val="center"/>
            <w:hideMark/>
          </w:tcPr>
          <w:p w14:paraId="0C4D6171"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(a) Tax Receipts</w:t>
            </w:r>
          </w:p>
        </w:tc>
        <w:tc>
          <w:tcPr>
            <w:tcW w:w="1134" w:type="dxa"/>
            <w:vAlign w:val="center"/>
            <w:hideMark/>
          </w:tcPr>
          <w:p w14:paraId="0F9FF0EA"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05E9F1B7"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7AEAAF80"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185BC048"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12EC4A86"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0DF3AB48"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1ABC0536" w14:textId="77777777" w:rsidTr="00767C21">
        <w:trPr>
          <w:trHeight w:val="20"/>
          <w:jc w:val="center"/>
        </w:trPr>
        <w:tc>
          <w:tcPr>
            <w:tcW w:w="5252" w:type="dxa"/>
            <w:vAlign w:val="center"/>
            <w:hideMark/>
          </w:tcPr>
          <w:p w14:paraId="60BCE2A3"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1. Income Tax</w:t>
            </w:r>
          </w:p>
        </w:tc>
        <w:tc>
          <w:tcPr>
            <w:tcW w:w="1134" w:type="dxa"/>
            <w:vAlign w:val="center"/>
            <w:hideMark/>
          </w:tcPr>
          <w:p w14:paraId="494F816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4670</w:t>
            </w:r>
          </w:p>
        </w:tc>
        <w:tc>
          <w:tcPr>
            <w:tcW w:w="850" w:type="dxa"/>
            <w:vAlign w:val="center"/>
            <w:hideMark/>
          </w:tcPr>
          <w:p w14:paraId="0A24EFE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5136</w:t>
            </w:r>
          </w:p>
        </w:tc>
        <w:tc>
          <w:tcPr>
            <w:tcW w:w="992" w:type="dxa"/>
            <w:vAlign w:val="center"/>
            <w:hideMark/>
          </w:tcPr>
          <w:p w14:paraId="4613C7A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5650</w:t>
            </w:r>
          </w:p>
        </w:tc>
        <w:tc>
          <w:tcPr>
            <w:tcW w:w="851" w:type="dxa"/>
            <w:vAlign w:val="center"/>
            <w:hideMark/>
          </w:tcPr>
          <w:p w14:paraId="7FDE687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6215</w:t>
            </w:r>
          </w:p>
        </w:tc>
        <w:tc>
          <w:tcPr>
            <w:tcW w:w="850" w:type="dxa"/>
            <w:vAlign w:val="center"/>
            <w:hideMark/>
          </w:tcPr>
          <w:p w14:paraId="125A9C8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6837</w:t>
            </w:r>
          </w:p>
        </w:tc>
        <w:tc>
          <w:tcPr>
            <w:tcW w:w="1276" w:type="dxa"/>
            <w:vAlign w:val="center"/>
            <w:hideMark/>
          </w:tcPr>
          <w:p w14:paraId="3933FEA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28508</w:t>
            </w:r>
          </w:p>
        </w:tc>
      </w:tr>
      <w:tr w:rsidR="002E3EF8" w:rsidRPr="003F4F94" w14:paraId="0799DAC5" w14:textId="77777777" w:rsidTr="00767C21">
        <w:trPr>
          <w:trHeight w:val="20"/>
          <w:jc w:val="center"/>
        </w:trPr>
        <w:tc>
          <w:tcPr>
            <w:tcW w:w="5252" w:type="dxa"/>
            <w:vAlign w:val="center"/>
            <w:hideMark/>
          </w:tcPr>
          <w:p w14:paraId="3A20AE3A"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2. Corporation Tax</w:t>
            </w:r>
          </w:p>
        </w:tc>
        <w:tc>
          <w:tcPr>
            <w:tcW w:w="1134" w:type="dxa"/>
            <w:vAlign w:val="center"/>
            <w:hideMark/>
          </w:tcPr>
          <w:p w14:paraId="12C8B71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5326</w:t>
            </w:r>
          </w:p>
        </w:tc>
        <w:tc>
          <w:tcPr>
            <w:tcW w:w="850" w:type="dxa"/>
            <w:vAlign w:val="center"/>
            <w:hideMark/>
          </w:tcPr>
          <w:p w14:paraId="3924ED4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5965</w:t>
            </w:r>
          </w:p>
        </w:tc>
        <w:tc>
          <w:tcPr>
            <w:tcW w:w="992" w:type="dxa"/>
            <w:vAlign w:val="center"/>
            <w:hideMark/>
          </w:tcPr>
          <w:p w14:paraId="58AED92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6681</w:t>
            </w:r>
          </w:p>
        </w:tc>
        <w:tc>
          <w:tcPr>
            <w:tcW w:w="851" w:type="dxa"/>
            <w:vAlign w:val="center"/>
            <w:hideMark/>
          </w:tcPr>
          <w:p w14:paraId="46CCFD9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7483</w:t>
            </w:r>
          </w:p>
        </w:tc>
        <w:tc>
          <w:tcPr>
            <w:tcW w:w="850" w:type="dxa"/>
            <w:vAlign w:val="center"/>
            <w:hideMark/>
          </w:tcPr>
          <w:p w14:paraId="4129569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8381</w:t>
            </w:r>
          </w:p>
        </w:tc>
        <w:tc>
          <w:tcPr>
            <w:tcW w:w="1276" w:type="dxa"/>
            <w:vAlign w:val="center"/>
            <w:hideMark/>
          </w:tcPr>
          <w:p w14:paraId="69EB6BF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33836</w:t>
            </w:r>
          </w:p>
        </w:tc>
      </w:tr>
      <w:tr w:rsidR="002E3EF8" w:rsidRPr="003F4F94" w14:paraId="0A762424" w14:textId="77777777" w:rsidTr="00767C21">
        <w:trPr>
          <w:trHeight w:val="20"/>
          <w:jc w:val="center"/>
        </w:trPr>
        <w:tc>
          <w:tcPr>
            <w:tcW w:w="5252" w:type="dxa"/>
            <w:vAlign w:val="center"/>
            <w:hideMark/>
          </w:tcPr>
          <w:p w14:paraId="346A6A98"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3. Excise Duties</w:t>
            </w:r>
          </w:p>
        </w:tc>
        <w:tc>
          <w:tcPr>
            <w:tcW w:w="1134" w:type="dxa"/>
            <w:vAlign w:val="center"/>
            <w:hideMark/>
          </w:tcPr>
          <w:p w14:paraId="7188177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25426</w:t>
            </w:r>
          </w:p>
        </w:tc>
        <w:tc>
          <w:tcPr>
            <w:tcW w:w="850" w:type="dxa"/>
            <w:vAlign w:val="center"/>
            <w:hideMark/>
          </w:tcPr>
          <w:p w14:paraId="0CF83C2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28477</w:t>
            </w:r>
          </w:p>
        </w:tc>
        <w:tc>
          <w:tcPr>
            <w:tcW w:w="992" w:type="dxa"/>
            <w:vAlign w:val="center"/>
            <w:hideMark/>
          </w:tcPr>
          <w:p w14:paraId="2A2909A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31894</w:t>
            </w:r>
          </w:p>
        </w:tc>
        <w:tc>
          <w:tcPr>
            <w:tcW w:w="851" w:type="dxa"/>
            <w:vAlign w:val="center"/>
            <w:hideMark/>
          </w:tcPr>
          <w:p w14:paraId="0364F35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35721</w:t>
            </w:r>
          </w:p>
        </w:tc>
        <w:tc>
          <w:tcPr>
            <w:tcW w:w="850" w:type="dxa"/>
            <w:vAlign w:val="center"/>
            <w:hideMark/>
          </w:tcPr>
          <w:p w14:paraId="52D7FAA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40008</w:t>
            </w:r>
          </w:p>
        </w:tc>
        <w:tc>
          <w:tcPr>
            <w:tcW w:w="1276" w:type="dxa"/>
            <w:vAlign w:val="center"/>
            <w:hideMark/>
          </w:tcPr>
          <w:p w14:paraId="42B73B9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161526</w:t>
            </w:r>
          </w:p>
        </w:tc>
      </w:tr>
      <w:tr w:rsidR="002E3EF8" w:rsidRPr="003F4F94" w14:paraId="565631F3" w14:textId="77777777" w:rsidTr="00767C21">
        <w:trPr>
          <w:trHeight w:val="20"/>
          <w:jc w:val="center"/>
        </w:trPr>
        <w:tc>
          <w:tcPr>
            <w:tcW w:w="5252" w:type="dxa"/>
            <w:vAlign w:val="center"/>
            <w:hideMark/>
          </w:tcPr>
          <w:p w14:paraId="71553E76"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4. Customs</w:t>
            </w:r>
          </w:p>
        </w:tc>
        <w:tc>
          <w:tcPr>
            <w:tcW w:w="1134" w:type="dxa"/>
            <w:vAlign w:val="center"/>
            <w:hideMark/>
          </w:tcPr>
          <w:p w14:paraId="6E4A165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20473</w:t>
            </w:r>
          </w:p>
        </w:tc>
        <w:tc>
          <w:tcPr>
            <w:tcW w:w="850" w:type="dxa"/>
            <w:vAlign w:val="center"/>
            <w:hideMark/>
          </w:tcPr>
          <w:p w14:paraId="2B483A5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23441</w:t>
            </w:r>
          </w:p>
        </w:tc>
        <w:tc>
          <w:tcPr>
            <w:tcW w:w="992" w:type="dxa"/>
            <w:vAlign w:val="center"/>
            <w:hideMark/>
          </w:tcPr>
          <w:p w14:paraId="0CF1CAC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26840</w:t>
            </w:r>
          </w:p>
        </w:tc>
        <w:tc>
          <w:tcPr>
            <w:tcW w:w="851" w:type="dxa"/>
            <w:vAlign w:val="center"/>
            <w:hideMark/>
          </w:tcPr>
          <w:p w14:paraId="32FD2B9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30732</w:t>
            </w:r>
          </w:p>
        </w:tc>
        <w:tc>
          <w:tcPr>
            <w:tcW w:w="850" w:type="dxa"/>
            <w:vAlign w:val="center"/>
            <w:hideMark/>
          </w:tcPr>
          <w:p w14:paraId="357DAD3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35188</w:t>
            </w:r>
          </w:p>
        </w:tc>
        <w:tc>
          <w:tcPr>
            <w:tcW w:w="1276" w:type="dxa"/>
            <w:vAlign w:val="center"/>
            <w:hideMark/>
          </w:tcPr>
          <w:p w14:paraId="316A4E9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136674</w:t>
            </w:r>
          </w:p>
        </w:tc>
      </w:tr>
      <w:tr w:rsidR="002E3EF8" w:rsidRPr="003F4F94" w14:paraId="450339D2" w14:textId="77777777" w:rsidTr="00767C21">
        <w:trPr>
          <w:trHeight w:val="20"/>
          <w:jc w:val="center"/>
        </w:trPr>
        <w:tc>
          <w:tcPr>
            <w:tcW w:w="5252" w:type="dxa"/>
            <w:vAlign w:val="center"/>
            <w:hideMark/>
          </w:tcPr>
          <w:p w14:paraId="43C72679"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5. Other Tax Revenues</w:t>
            </w:r>
          </w:p>
        </w:tc>
        <w:tc>
          <w:tcPr>
            <w:tcW w:w="1134" w:type="dxa"/>
            <w:vAlign w:val="center"/>
            <w:hideMark/>
          </w:tcPr>
          <w:p w14:paraId="4A1BB8B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1461</w:t>
            </w:r>
          </w:p>
        </w:tc>
        <w:tc>
          <w:tcPr>
            <w:tcW w:w="850" w:type="dxa"/>
            <w:vAlign w:val="center"/>
            <w:hideMark/>
          </w:tcPr>
          <w:p w14:paraId="248A064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1651</w:t>
            </w:r>
          </w:p>
        </w:tc>
        <w:tc>
          <w:tcPr>
            <w:tcW w:w="992" w:type="dxa"/>
            <w:vAlign w:val="center"/>
            <w:hideMark/>
          </w:tcPr>
          <w:p w14:paraId="5E1F4AF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1866</w:t>
            </w:r>
          </w:p>
        </w:tc>
        <w:tc>
          <w:tcPr>
            <w:tcW w:w="851" w:type="dxa"/>
            <w:vAlign w:val="center"/>
            <w:hideMark/>
          </w:tcPr>
          <w:p w14:paraId="718C1E5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2109</w:t>
            </w:r>
          </w:p>
        </w:tc>
        <w:tc>
          <w:tcPr>
            <w:tcW w:w="850" w:type="dxa"/>
            <w:vAlign w:val="center"/>
            <w:hideMark/>
          </w:tcPr>
          <w:p w14:paraId="2775521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2383</w:t>
            </w:r>
          </w:p>
        </w:tc>
        <w:tc>
          <w:tcPr>
            <w:tcW w:w="1276" w:type="dxa"/>
            <w:vAlign w:val="center"/>
            <w:hideMark/>
          </w:tcPr>
          <w:p w14:paraId="5ADC004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9470</w:t>
            </w:r>
          </w:p>
        </w:tc>
      </w:tr>
      <w:tr w:rsidR="002E3EF8" w:rsidRPr="003F4F94" w14:paraId="72271845" w14:textId="77777777" w:rsidTr="00767C21">
        <w:trPr>
          <w:trHeight w:val="20"/>
          <w:jc w:val="center"/>
        </w:trPr>
        <w:tc>
          <w:tcPr>
            <w:tcW w:w="5252" w:type="dxa"/>
            <w:vAlign w:val="center"/>
            <w:hideMark/>
          </w:tcPr>
          <w:p w14:paraId="27CE1691"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 - (a)</w:t>
            </w:r>
          </w:p>
        </w:tc>
        <w:tc>
          <w:tcPr>
            <w:tcW w:w="1134" w:type="dxa"/>
            <w:vAlign w:val="center"/>
            <w:hideMark/>
          </w:tcPr>
          <w:p w14:paraId="2844740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57356</w:t>
            </w:r>
          </w:p>
        </w:tc>
        <w:tc>
          <w:tcPr>
            <w:tcW w:w="850" w:type="dxa"/>
            <w:vAlign w:val="center"/>
            <w:hideMark/>
          </w:tcPr>
          <w:p w14:paraId="6523B84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64670</w:t>
            </w:r>
          </w:p>
        </w:tc>
        <w:tc>
          <w:tcPr>
            <w:tcW w:w="992" w:type="dxa"/>
            <w:vAlign w:val="center"/>
            <w:hideMark/>
          </w:tcPr>
          <w:p w14:paraId="2660B10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72931</w:t>
            </w:r>
          </w:p>
        </w:tc>
        <w:tc>
          <w:tcPr>
            <w:tcW w:w="851" w:type="dxa"/>
            <w:vAlign w:val="center"/>
            <w:hideMark/>
          </w:tcPr>
          <w:p w14:paraId="6673B5A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82260</w:t>
            </w:r>
          </w:p>
        </w:tc>
        <w:tc>
          <w:tcPr>
            <w:tcW w:w="850" w:type="dxa"/>
            <w:vAlign w:val="center"/>
            <w:hideMark/>
          </w:tcPr>
          <w:p w14:paraId="000CA14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92797</w:t>
            </w:r>
          </w:p>
        </w:tc>
        <w:tc>
          <w:tcPr>
            <w:tcW w:w="1276" w:type="dxa"/>
            <w:vAlign w:val="center"/>
            <w:hideMark/>
          </w:tcPr>
          <w:p w14:paraId="7F942A4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370014</w:t>
            </w:r>
          </w:p>
        </w:tc>
      </w:tr>
      <w:tr w:rsidR="002E3EF8" w:rsidRPr="003F4F94" w14:paraId="2B0EEE25" w14:textId="77777777" w:rsidTr="00767C21">
        <w:trPr>
          <w:trHeight w:val="20"/>
          <w:jc w:val="center"/>
        </w:trPr>
        <w:tc>
          <w:tcPr>
            <w:tcW w:w="5252" w:type="dxa"/>
            <w:vAlign w:val="center"/>
            <w:hideMark/>
          </w:tcPr>
          <w:p w14:paraId="60DB1051"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 xml:space="preserve">(b) </w:t>
            </w:r>
            <w:proofErr w:type="gramStart"/>
            <w:r w:rsidRPr="003F4F94">
              <w:rPr>
                <w:rFonts w:ascii="Times New Roman" w:hAnsi="Times New Roman" w:cs="Times New Roman"/>
                <w:sz w:val="16"/>
                <w:szCs w:val="16"/>
              </w:rPr>
              <w:t>Non Tax</w:t>
            </w:r>
            <w:proofErr w:type="gramEnd"/>
            <w:r w:rsidRPr="003F4F94">
              <w:rPr>
                <w:rFonts w:ascii="Times New Roman" w:hAnsi="Times New Roman" w:cs="Times New Roman"/>
                <w:sz w:val="16"/>
                <w:szCs w:val="16"/>
              </w:rPr>
              <w:t xml:space="preserve"> Revenues</w:t>
            </w:r>
          </w:p>
        </w:tc>
        <w:tc>
          <w:tcPr>
            <w:tcW w:w="1134" w:type="dxa"/>
            <w:vAlign w:val="center"/>
            <w:hideMark/>
          </w:tcPr>
          <w:p w14:paraId="4F0DDA01"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61712563"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4CB43CAD"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3988A066"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497E43F1"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0C015B0E"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33194641" w14:textId="77777777" w:rsidTr="00767C21">
        <w:trPr>
          <w:trHeight w:val="20"/>
          <w:jc w:val="center"/>
        </w:trPr>
        <w:tc>
          <w:tcPr>
            <w:tcW w:w="5252" w:type="dxa"/>
            <w:vAlign w:val="center"/>
            <w:hideMark/>
          </w:tcPr>
          <w:p w14:paraId="76D2D4E9"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1. Interest</w:t>
            </w:r>
          </w:p>
        </w:tc>
        <w:tc>
          <w:tcPr>
            <w:tcW w:w="1134" w:type="dxa"/>
            <w:vAlign w:val="center"/>
            <w:hideMark/>
          </w:tcPr>
          <w:p w14:paraId="113ED5D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9006</w:t>
            </w:r>
          </w:p>
        </w:tc>
        <w:tc>
          <w:tcPr>
            <w:tcW w:w="850" w:type="dxa"/>
            <w:vAlign w:val="center"/>
            <w:hideMark/>
          </w:tcPr>
          <w:p w14:paraId="329DB7C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10087</w:t>
            </w:r>
          </w:p>
        </w:tc>
        <w:tc>
          <w:tcPr>
            <w:tcW w:w="992" w:type="dxa"/>
            <w:vAlign w:val="center"/>
            <w:hideMark/>
          </w:tcPr>
          <w:p w14:paraId="67A002A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11297</w:t>
            </w:r>
          </w:p>
        </w:tc>
        <w:tc>
          <w:tcPr>
            <w:tcW w:w="851" w:type="dxa"/>
            <w:vAlign w:val="center"/>
            <w:hideMark/>
          </w:tcPr>
          <w:p w14:paraId="0092340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12653</w:t>
            </w:r>
          </w:p>
        </w:tc>
        <w:tc>
          <w:tcPr>
            <w:tcW w:w="850" w:type="dxa"/>
            <w:vAlign w:val="center"/>
            <w:hideMark/>
          </w:tcPr>
          <w:p w14:paraId="03E1EFD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14171</w:t>
            </w:r>
          </w:p>
        </w:tc>
        <w:tc>
          <w:tcPr>
            <w:tcW w:w="1276" w:type="dxa"/>
            <w:vAlign w:val="center"/>
            <w:hideMark/>
          </w:tcPr>
          <w:p w14:paraId="0DB9FC8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57214</w:t>
            </w:r>
          </w:p>
        </w:tc>
      </w:tr>
      <w:tr w:rsidR="002E3EF8" w:rsidRPr="003F4F94" w14:paraId="34E88D7A" w14:textId="77777777" w:rsidTr="00767C21">
        <w:trPr>
          <w:trHeight w:val="20"/>
          <w:jc w:val="center"/>
        </w:trPr>
        <w:tc>
          <w:tcPr>
            <w:tcW w:w="5252" w:type="dxa"/>
            <w:vAlign w:val="center"/>
            <w:hideMark/>
          </w:tcPr>
          <w:p w14:paraId="6BA8EE34"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2. Dividends</w:t>
            </w:r>
          </w:p>
        </w:tc>
        <w:tc>
          <w:tcPr>
            <w:tcW w:w="1134" w:type="dxa"/>
            <w:vAlign w:val="center"/>
            <w:hideMark/>
          </w:tcPr>
          <w:p w14:paraId="4AC734F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2399</w:t>
            </w:r>
          </w:p>
        </w:tc>
        <w:tc>
          <w:tcPr>
            <w:tcW w:w="850" w:type="dxa"/>
            <w:vAlign w:val="center"/>
            <w:hideMark/>
          </w:tcPr>
          <w:p w14:paraId="57475C6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2519</w:t>
            </w:r>
          </w:p>
        </w:tc>
        <w:tc>
          <w:tcPr>
            <w:tcW w:w="992" w:type="dxa"/>
            <w:vAlign w:val="center"/>
            <w:hideMark/>
          </w:tcPr>
          <w:p w14:paraId="67B13E4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2645</w:t>
            </w:r>
          </w:p>
        </w:tc>
        <w:tc>
          <w:tcPr>
            <w:tcW w:w="851" w:type="dxa"/>
            <w:vAlign w:val="center"/>
            <w:hideMark/>
          </w:tcPr>
          <w:p w14:paraId="15AFEA1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2778</w:t>
            </w:r>
          </w:p>
        </w:tc>
        <w:tc>
          <w:tcPr>
            <w:tcW w:w="850" w:type="dxa"/>
            <w:vAlign w:val="center"/>
            <w:hideMark/>
          </w:tcPr>
          <w:p w14:paraId="18B521B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2916</w:t>
            </w:r>
          </w:p>
        </w:tc>
        <w:tc>
          <w:tcPr>
            <w:tcW w:w="1276" w:type="dxa"/>
            <w:vAlign w:val="center"/>
            <w:hideMark/>
          </w:tcPr>
          <w:p w14:paraId="77DB58B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13257</w:t>
            </w:r>
          </w:p>
        </w:tc>
      </w:tr>
      <w:tr w:rsidR="002E3EF8" w:rsidRPr="003F4F94" w14:paraId="1E5C2B34" w14:textId="77777777" w:rsidTr="00767C21">
        <w:trPr>
          <w:trHeight w:val="20"/>
          <w:jc w:val="center"/>
        </w:trPr>
        <w:tc>
          <w:tcPr>
            <w:tcW w:w="5252" w:type="dxa"/>
            <w:vAlign w:val="center"/>
            <w:hideMark/>
          </w:tcPr>
          <w:p w14:paraId="58883EFC"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 xml:space="preserve">3. Other </w:t>
            </w:r>
            <w:proofErr w:type="spellStart"/>
            <w:proofErr w:type="gramStart"/>
            <w:r w:rsidRPr="003F4F94">
              <w:rPr>
                <w:rFonts w:ascii="Times New Roman" w:hAnsi="Times New Roman" w:cs="Times New Roman"/>
                <w:sz w:val="16"/>
                <w:szCs w:val="16"/>
              </w:rPr>
              <w:t>Non Tax</w:t>
            </w:r>
            <w:proofErr w:type="spellEnd"/>
            <w:proofErr w:type="gramEnd"/>
            <w:r w:rsidRPr="003F4F94">
              <w:rPr>
                <w:rFonts w:ascii="Times New Roman" w:hAnsi="Times New Roman" w:cs="Times New Roman"/>
                <w:sz w:val="16"/>
                <w:szCs w:val="16"/>
              </w:rPr>
              <w:t xml:space="preserve"> Receipts</w:t>
            </w:r>
          </w:p>
        </w:tc>
        <w:tc>
          <w:tcPr>
            <w:tcW w:w="1134" w:type="dxa"/>
            <w:vAlign w:val="center"/>
            <w:hideMark/>
          </w:tcPr>
          <w:p w14:paraId="7DE5363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4615</w:t>
            </w:r>
          </w:p>
        </w:tc>
        <w:tc>
          <w:tcPr>
            <w:tcW w:w="850" w:type="dxa"/>
            <w:vAlign w:val="center"/>
            <w:hideMark/>
          </w:tcPr>
          <w:p w14:paraId="5D5CDE2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4892</w:t>
            </w:r>
          </w:p>
        </w:tc>
        <w:tc>
          <w:tcPr>
            <w:tcW w:w="992" w:type="dxa"/>
            <w:vAlign w:val="center"/>
            <w:hideMark/>
          </w:tcPr>
          <w:p w14:paraId="4EC43F3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5186</w:t>
            </w:r>
          </w:p>
        </w:tc>
        <w:tc>
          <w:tcPr>
            <w:tcW w:w="851" w:type="dxa"/>
            <w:vAlign w:val="center"/>
            <w:hideMark/>
          </w:tcPr>
          <w:p w14:paraId="59BAC74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5497</w:t>
            </w:r>
          </w:p>
        </w:tc>
        <w:tc>
          <w:tcPr>
            <w:tcW w:w="850" w:type="dxa"/>
            <w:vAlign w:val="center"/>
            <w:hideMark/>
          </w:tcPr>
          <w:p w14:paraId="6D7C9B0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5827</w:t>
            </w:r>
          </w:p>
        </w:tc>
        <w:tc>
          <w:tcPr>
            <w:tcW w:w="1276" w:type="dxa"/>
            <w:vAlign w:val="center"/>
            <w:hideMark/>
          </w:tcPr>
          <w:p w14:paraId="6054556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26017</w:t>
            </w:r>
          </w:p>
        </w:tc>
      </w:tr>
      <w:tr w:rsidR="002E3EF8" w:rsidRPr="003F4F94" w14:paraId="5DFC701F" w14:textId="77777777" w:rsidTr="00767C21">
        <w:trPr>
          <w:trHeight w:val="20"/>
          <w:jc w:val="center"/>
        </w:trPr>
        <w:tc>
          <w:tcPr>
            <w:tcW w:w="5252" w:type="dxa"/>
            <w:vAlign w:val="center"/>
            <w:hideMark/>
          </w:tcPr>
          <w:p w14:paraId="50F22FDF"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 - (b)</w:t>
            </w:r>
          </w:p>
        </w:tc>
        <w:tc>
          <w:tcPr>
            <w:tcW w:w="1134" w:type="dxa"/>
            <w:vAlign w:val="center"/>
            <w:hideMark/>
          </w:tcPr>
          <w:p w14:paraId="762370E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16020</w:t>
            </w:r>
          </w:p>
        </w:tc>
        <w:tc>
          <w:tcPr>
            <w:tcW w:w="850" w:type="dxa"/>
            <w:vAlign w:val="center"/>
            <w:hideMark/>
          </w:tcPr>
          <w:p w14:paraId="48AE2CA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17498</w:t>
            </w:r>
          </w:p>
        </w:tc>
        <w:tc>
          <w:tcPr>
            <w:tcW w:w="992" w:type="dxa"/>
            <w:vAlign w:val="center"/>
            <w:hideMark/>
          </w:tcPr>
          <w:p w14:paraId="5CF4A08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19128</w:t>
            </w:r>
          </w:p>
        </w:tc>
        <w:tc>
          <w:tcPr>
            <w:tcW w:w="851" w:type="dxa"/>
            <w:vAlign w:val="center"/>
            <w:hideMark/>
          </w:tcPr>
          <w:p w14:paraId="2FBEE69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20928</w:t>
            </w:r>
          </w:p>
        </w:tc>
        <w:tc>
          <w:tcPr>
            <w:tcW w:w="850" w:type="dxa"/>
            <w:vAlign w:val="center"/>
            <w:hideMark/>
          </w:tcPr>
          <w:p w14:paraId="49A0BAE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22914</w:t>
            </w:r>
          </w:p>
        </w:tc>
        <w:tc>
          <w:tcPr>
            <w:tcW w:w="1276" w:type="dxa"/>
            <w:vAlign w:val="center"/>
            <w:hideMark/>
          </w:tcPr>
          <w:p w14:paraId="362FAC9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96488</w:t>
            </w:r>
          </w:p>
        </w:tc>
      </w:tr>
      <w:tr w:rsidR="002E3EF8" w:rsidRPr="003F4F94" w14:paraId="63E065C4" w14:textId="77777777" w:rsidTr="00767C21">
        <w:trPr>
          <w:trHeight w:val="20"/>
          <w:jc w:val="center"/>
        </w:trPr>
        <w:tc>
          <w:tcPr>
            <w:tcW w:w="5252" w:type="dxa"/>
            <w:vAlign w:val="center"/>
            <w:hideMark/>
          </w:tcPr>
          <w:p w14:paraId="3866449B"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Total-I - (</w:t>
            </w:r>
            <w:proofErr w:type="spellStart"/>
            <w:r w:rsidRPr="003F4F94">
              <w:rPr>
                <w:rFonts w:ascii="Times New Roman" w:hAnsi="Times New Roman" w:cs="Times New Roman"/>
                <w:sz w:val="16"/>
                <w:szCs w:val="16"/>
              </w:rPr>
              <w:t>a+b</w:t>
            </w:r>
            <w:proofErr w:type="spellEnd"/>
            <w:r w:rsidRPr="003F4F94">
              <w:rPr>
                <w:rFonts w:ascii="Times New Roman" w:hAnsi="Times New Roman" w:cs="Times New Roman"/>
                <w:sz w:val="16"/>
                <w:szCs w:val="16"/>
              </w:rPr>
              <w:t>)</w:t>
            </w:r>
          </w:p>
        </w:tc>
        <w:tc>
          <w:tcPr>
            <w:tcW w:w="1134" w:type="dxa"/>
            <w:vAlign w:val="center"/>
            <w:hideMark/>
          </w:tcPr>
          <w:p w14:paraId="4662C50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73376</w:t>
            </w:r>
          </w:p>
        </w:tc>
        <w:tc>
          <w:tcPr>
            <w:tcW w:w="850" w:type="dxa"/>
            <w:vAlign w:val="center"/>
            <w:hideMark/>
          </w:tcPr>
          <w:p w14:paraId="562C70E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82168</w:t>
            </w:r>
          </w:p>
        </w:tc>
        <w:tc>
          <w:tcPr>
            <w:tcW w:w="992" w:type="dxa"/>
            <w:vAlign w:val="center"/>
            <w:hideMark/>
          </w:tcPr>
          <w:p w14:paraId="01F4614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92059</w:t>
            </w:r>
          </w:p>
        </w:tc>
        <w:tc>
          <w:tcPr>
            <w:tcW w:w="851" w:type="dxa"/>
            <w:vAlign w:val="center"/>
            <w:hideMark/>
          </w:tcPr>
          <w:p w14:paraId="1745ABD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103188</w:t>
            </w:r>
          </w:p>
        </w:tc>
        <w:tc>
          <w:tcPr>
            <w:tcW w:w="850" w:type="dxa"/>
            <w:vAlign w:val="center"/>
            <w:hideMark/>
          </w:tcPr>
          <w:p w14:paraId="66DDAA3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115711</w:t>
            </w:r>
          </w:p>
        </w:tc>
        <w:tc>
          <w:tcPr>
            <w:tcW w:w="1276" w:type="dxa"/>
            <w:vAlign w:val="center"/>
            <w:hideMark/>
          </w:tcPr>
          <w:p w14:paraId="60D8451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466502</w:t>
            </w:r>
          </w:p>
        </w:tc>
      </w:tr>
      <w:tr w:rsidR="002E3EF8" w:rsidRPr="003F4F94" w14:paraId="3876D70C" w14:textId="77777777" w:rsidTr="00767C21">
        <w:trPr>
          <w:trHeight w:val="20"/>
          <w:jc w:val="center"/>
        </w:trPr>
        <w:tc>
          <w:tcPr>
            <w:tcW w:w="5252" w:type="dxa"/>
            <w:vAlign w:val="center"/>
            <w:hideMark/>
          </w:tcPr>
          <w:p w14:paraId="32ACF030"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II. Non Plan Revenue Expenditure</w:t>
            </w:r>
          </w:p>
        </w:tc>
        <w:tc>
          <w:tcPr>
            <w:tcW w:w="1134" w:type="dxa"/>
            <w:vAlign w:val="center"/>
            <w:hideMark/>
          </w:tcPr>
          <w:p w14:paraId="2F872F11"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7025598B"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63E91671"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000ECB17"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5291E342"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41C833C5"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7D0B5FD8" w14:textId="77777777" w:rsidTr="00767C21">
        <w:trPr>
          <w:trHeight w:val="20"/>
          <w:jc w:val="center"/>
        </w:trPr>
        <w:tc>
          <w:tcPr>
            <w:tcW w:w="5252" w:type="dxa"/>
            <w:vAlign w:val="center"/>
            <w:hideMark/>
          </w:tcPr>
          <w:p w14:paraId="4224AFF7"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1. Interest Payments</w:t>
            </w:r>
          </w:p>
        </w:tc>
        <w:tc>
          <w:tcPr>
            <w:tcW w:w="1134" w:type="dxa"/>
            <w:vAlign w:val="center"/>
            <w:hideMark/>
          </w:tcPr>
          <w:p w14:paraId="147F70F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19500</w:t>
            </w:r>
          </w:p>
        </w:tc>
        <w:tc>
          <w:tcPr>
            <w:tcW w:w="850" w:type="dxa"/>
            <w:vAlign w:val="center"/>
            <w:hideMark/>
          </w:tcPr>
          <w:p w14:paraId="781CC21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21840</w:t>
            </w:r>
          </w:p>
        </w:tc>
        <w:tc>
          <w:tcPr>
            <w:tcW w:w="992" w:type="dxa"/>
            <w:vAlign w:val="center"/>
            <w:hideMark/>
          </w:tcPr>
          <w:p w14:paraId="024DCAF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24461</w:t>
            </w:r>
          </w:p>
        </w:tc>
        <w:tc>
          <w:tcPr>
            <w:tcW w:w="851" w:type="dxa"/>
            <w:vAlign w:val="center"/>
            <w:hideMark/>
          </w:tcPr>
          <w:p w14:paraId="7D700F9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27396</w:t>
            </w:r>
          </w:p>
        </w:tc>
        <w:tc>
          <w:tcPr>
            <w:tcW w:w="850" w:type="dxa"/>
            <w:vAlign w:val="center"/>
            <w:hideMark/>
          </w:tcPr>
          <w:p w14:paraId="4F13E87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30683</w:t>
            </w:r>
          </w:p>
        </w:tc>
        <w:tc>
          <w:tcPr>
            <w:tcW w:w="1276" w:type="dxa"/>
            <w:vAlign w:val="center"/>
            <w:hideMark/>
          </w:tcPr>
          <w:p w14:paraId="49CA9D8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123880</w:t>
            </w:r>
          </w:p>
        </w:tc>
      </w:tr>
      <w:tr w:rsidR="002E3EF8" w:rsidRPr="003F4F94" w14:paraId="469510DA" w14:textId="77777777" w:rsidTr="00767C21">
        <w:trPr>
          <w:trHeight w:val="20"/>
          <w:jc w:val="center"/>
        </w:trPr>
        <w:tc>
          <w:tcPr>
            <w:tcW w:w="5252" w:type="dxa"/>
            <w:vAlign w:val="center"/>
            <w:hideMark/>
          </w:tcPr>
          <w:p w14:paraId="3868ED10"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2. Major Subsidies</w:t>
            </w:r>
          </w:p>
        </w:tc>
        <w:tc>
          <w:tcPr>
            <w:tcW w:w="1134" w:type="dxa"/>
            <w:vAlign w:val="center"/>
            <w:hideMark/>
          </w:tcPr>
          <w:p w14:paraId="2C5B419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8069</w:t>
            </w:r>
          </w:p>
        </w:tc>
        <w:tc>
          <w:tcPr>
            <w:tcW w:w="850" w:type="dxa"/>
            <w:vAlign w:val="center"/>
            <w:hideMark/>
          </w:tcPr>
          <w:p w14:paraId="43EF782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8714</w:t>
            </w:r>
          </w:p>
        </w:tc>
        <w:tc>
          <w:tcPr>
            <w:tcW w:w="992" w:type="dxa"/>
            <w:vAlign w:val="center"/>
            <w:hideMark/>
          </w:tcPr>
          <w:p w14:paraId="54E20CA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9412</w:t>
            </w:r>
          </w:p>
        </w:tc>
        <w:tc>
          <w:tcPr>
            <w:tcW w:w="851" w:type="dxa"/>
            <w:vAlign w:val="center"/>
            <w:hideMark/>
          </w:tcPr>
          <w:p w14:paraId="7F0CF06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10165</w:t>
            </w:r>
          </w:p>
        </w:tc>
        <w:tc>
          <w:tcPr>
            <w:tcW w:w="850" w:type="dxa"/>
            <w:vAlign w:val="center"/>
            <w:hideMark/>
          </w:tcPr>
          <w:p w14:paraId="2E6FC26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10978</w:t>
            </w:r>
          </w:p>
        </w:tc>
        <w:tc>
          <w:tcPr>
            <w:tcW w:w="1276" w:type="dxa"/>
            <w:vAlign w:val="center"/>
            <w:hideMark/>
          </w:tcPr>
          <w:p w14:paraId="10812C8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47338</w:t>
            </w:r>
          </w:p>
        </w:tc>
      </w:tr>
      <w:tr w:rsidR="002E3EF8" w:rsidRPr="003F4F94" w14:paraId="03DD6FC9" w14:textId="77777777" w:rsidTr="00767C21">
        <w:trPr>
          <w:trHeight w:val="20"/>
          <w:jc w:val="center"/>
        </w:trPr>
        <w:tc>
          <w:tcPr>
            <w:tcW w:w="5252" w:type="dxa"/>
            <w:vAlign w:val="center"/>
            <w:hideMark/>
          </w:tcPr>
          <w:p w14:paraId="5FB459AE"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3. Other Non-Plan Revenue Expenditure</w:t>
            </w:r>
          </w:p>
        </w:tc>
        <w:tc>
          <w:tcPr>
            <w:tcW w:w="1134" w:type="dxa"/>
            <w:vAlign w:val="center"/>
            <w:hideMark/>
          </w:tcPr>
          <w:p w14:paraId="24E143E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24754</w:t>
            </w:r>
          </w:p>
        </w:tc>
        <w:tc>
          <w:tcPr>
            <w:tcW w:w="850" w:type="dxa"/>
            <w:vAlign w:val="center"/>
            <w:hideMark/>
          </w:tcPr>
          <w:p w14:paraId="70F79B2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26797</w:t>
            </w:r>
          </w:p>
        </w:tc>
        <w:tc>
          <w:tcPr>
            <w:tcW w:w="992" w:type="dxa"/>
            <w:vAlign w:val="center"/>
            <w:hideMark/>
          </w:tcPr>
          <w:p w14:paraId="6608595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29013</w:t>
            </w:r>
          </w:p>
        </w:tc>
        <w:tc>
          <w:tcPr>
            <w:tcW w:w="851" w:type="dxa"/>
            <w:vAlign w:val="center"/>
            <w:hideMark/>
          </w:tcPr>
          <w:p w14:paraId="6958831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31419</w:t>
            </w:r>
          </w:p>
        </w:tc>
        <w:tc>
          <w:tcPr>
            <w:tcW w:w="850" w:type="dxa"/>
            <w:vAlign w:val="center"/>
            <w:hideMark/>
          </w:tcPr>
          <w:p w14:paraId="03A93E4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34030</w:t>
            </w:r>
          </w:p>
        </w:tc>
        <w:tc>
          <w:tcPr>
            <w:tcW w:w="1276" w:type="dxa"/>
            <w:vAlign w:val="center"/>
            <w:hideMark/>
          </w:tcPr>
          <w:p w14:paraId="0EC7037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146013</w:t>
            </w:r>
          </w:p>
        </w:tc>
      </w:tr>
      <w:tr w:rsidR="002E3EF8" w:rsidRPr="003F4F94" w14:paraId="3B31B1D4" w14:textId="77777777" w:rsidTr="00767C21">
        <w:trPr>
          <w:trHeight w:val="20"/>
          <w:jc w:val="center"/>
        </w:trPr>
        <w:tc>
          <w:tcPr>
            <w:tcW w:w="5252" w:type="dxa"/>
            <w:vAlign w:val="center"/>
            <w:hideMark/>
          </w:tcPr>
          <w:p w14:paraId="61162D49"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 - II</w:t>
            </w:r>
          </w:p>
        </w:tc>
        <w:tc>
          <w:tcPr>
            <w:tcW w:w="1134" w:type="dxa"/>
            <w:vAlign w:val="center"/>
            <w:hideMark/>
          </w:tcPr>
          <w:p w14:paraId="2AD43D5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52323</w:t>
            </w:r>
          </w:p>
        </w:tc>
        <w:tc>
          <w:tcPr>
            <w:tcW w:w="850" w:type="dxa"/>
            <w:vAlign w:val="center"/>
            <w:hideMark/>
          </w:tcPr>
          <w:p w14:paraId="2B42C53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57351</w:t>
            </w:r>
          </w:p>
        </w:tc>
        <w:tc>
          <w:tcPr>
            <w:tcW w:w="992" w:type="dxa"/>
            <w:vAlign w:val="center"/>
            <w:hideMark/>
          </w:tcPr>
          <w:p w14:paraId="3B94C42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62886</w:t>
            </w:r>
          </w:p>
        </w:tc>
        <w:tc>
          <w:tcPr>
            <w:tcW w:w="851" w:type="dxa"/>
            <w:vAlign w:val="center"/>
            <w:hideMark/>
          </w:tcPr>
          <w:p w14:paraId="553682C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68980</w:t>
            </w:r>
          </w:p>
        </w:tc>
        <w:tc>
          <w:tcPr>
            <w:tcW w:w="850" w:type="dxa"/>
            <w:vAlign w:val="center"/>
            <w:hideMark/>
          </w:tcPr>
          <w:p w14:paraId="27431DD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75691</w:t>
            </w:r>
          </w:p>
        </w:tc>
        <w:tc>
          <w:tcPr>
            <w:tcW w:w="1276" w:type="dxa"/>
            <w:vAlign w:val="center"/>
            <w:hideMark/>
          </w:tcPr>
          <w:p w14:paraId="54DCF1B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317231</w:t>
            </w:r>
          </w:p>
        </w:tc>
      </w:tr>
      <w:tr w:rsidR="002E3EF8" w:rsidRPr="003F4F94" w14:paraId="1EC7212E" w14:textId="77777777" w:rsidTr="00767C21">
        <w:trPr>
          <w:trHeight w:val="20"/>
          <w:jc w:val="center"/>
        </w:trPr>
        <w:tc>
          <w:tcPr>
            <w:tcW w:w="5252" w:type="dxa"/>
            <w:vAlign w:val="center"/>
            <w:hideMark/>
          </w:tcPr>
          <w:p w14:paraId="7C7FDC44"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III. Non-Plan Revenue Surplus (I-II)</w:t>
            </w:r>
          </w:p>
        </w:tc>
        <w:tc>
          <w:tcPr>
            <w:tcW w:w="1134" w:type="dxa"/>
            <w:vAlign w:val="center"/>
            <w:hideMark/>
          </w:tcPr>
          <w:p w14:paraId="50321D2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21053</w:t>
            </w:r>
          </w:p>
        </w:tc>
        <w:tc>
          <w:tcPr>
            <w:tcW w:w="850" w:type="dxa"/>
            <w:vAlign w:val="center"/>
            <w:hideMark/>
          </w:tcPr>
          <w:p w14:paraId="2D9461B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24817</w:t>
            </w:r>
          </w:p>
        </w:tc>
        <w:tc>
          <w:tcPr>
            <w:tcW w:w="992" w:type="dxa"/>
            <w:vAlign w:val="center"/>
            <w:hideMark/>
          </w:tcPr>
          <w:p w14:paraId="3075847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29173</w:t>
            </w:r>
          </w:p>
        </w:tc>
        <w:tc>
          <w:tcPr>
            <w:tcW w:w="851" w:type="dxa"/>
            <w:vAlign w:val="center"/>
            <w:hideMark/>
          </w:tcPr>
          <w:p w14:paraId="2766D08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34208</w:t>
            </w:r>
          </w:p>
        </w:tc>
        <w:tc>
          <w:tcPr>
            <w:tcW w:w="850" w:type="dxa"/>
            <w:vAlign w:val="center"/>
            <w:hideMark/>
          </w:tcPr>
          <w:p w14:paraId="2E5A669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40020</w:t>
            </w:r>
          </w:p>
        </w:tc>
        <w:tc>
          <w:tcPr>
            <w:tcW w:w="1276" w:type="dxa"/>
            <w:vAlign w:val="center"/>
            <w:hideMark/>
          </w:tcPr>
          <w:p w14:paraId="5D1F8F3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149271</w:t>
            </w:r>
          </w:p>
        </w:tc>
      </w:tr>
      <w:tr w:rsidR="002E3EF8" w:rsidRPr="003F4F94" w14:paraId="1ED5856E" w14:textId="77777777" w:rsidTr="00767C21">
        <w:trPr>
          <w:trHeight w:val="20"/>
          <w:jc w:val="center"/>
        </w:trPr>
        <w:tc>
          <w:tcPr>
            <w:tcW w:w="5252" w:type="dxa"/>
            <w:vAlign w:val="center"/>
            <w:hideMark/>
          </w:tcPr>
          <w:p w14:paraId="5850AB84"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IV. Transfers to States under Finance Commission Recommendations</w:t>
            </w:r>
          </w:p>
        </w:tc>
        <w:tc>
          <w:tcPr>
            <w:tcW w:w="1134" w:type="dxa"/>
            <w:vAlign w:val="center"/>
            <w:hideMark/>
          </w:tcPr>
          <w:p w14:paraId="29D0BD92"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480562FB"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11B301F7"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1B5F1ED9"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2B2F3490"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4D0047F6"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3556B085" w14:textId="77777777" w:rsidTr="00767C21">
        <w:trPr>
          <w:trHeight w:val="20"/>
          <w:jc w:val="center"/>
        </w:trPr>
        <w:tc>
          <w:tcPr>
            <w:tcW w:w="5252" w:type="dxa"/>
            <w:vAlign w:val="center"/>
            <w:hideMark/>
          </w:tcPr>
          <w:p w14:paraId="006C975E"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(a) Share of Taxes</w:t>
            </w:r>
          </w:p>
        </w:tc>
        <w:tc>
          <w:tcPr>
            <w:tcW w:w="1134" w:type="dxa"/>
            <w:vAlign w:val="center"/>
            <w:hideMark/>
          </w:tcPr>
          <w:p w14:paraId="60F7B2C9"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1992A75C"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2A2B274D"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548F7543"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1E925F56"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70603178"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2B740326" w14:textId="77777777" w:rsidTr="00767C21">
        <w:trPr>
          <w:trHeight w:val="20"/>
          <w:jc w:val="center"/>
        </w:trPr>
        <w:tc>
          <w:tcPr>
            <w:tcW w:w="5252" w:type="dxa"/>
            <w:vAlign w:val="center"/>
            <w:hideMark/>
          </w:tcPr>
          <w:p w14:paraId="59BEB5C2"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1. Income Tax</w:t>
            </w:r>
          </w:p>
        </w:tc>
        <w:tc>
          <w:tcPr>
            <w:tcW w:w="1134" w:type="dxa"/>
            <w:vAlign w:val="center"/>
            <w:hideMark/>
          </w:tcPr>
          <w:p w14:paraId="044FAC5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3428</w:t>
            </w:r>
          </w:p>
        </w:tc>
        <w:tc>
          <w:tcPr>
            <w:tcW w:w="850" w:type="dxa"/>
            <w:vAlign w:val="center"/>
            <w:hideMark/>
          </w:tcPr>
          <w:p w14:paraId="7F936FC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3770</w:t>
            </w:r>
          </w:p>
        </w:tc>
        <w:tc>
          <w:tcPr>
            <w:tcW w:w="992" w:type="dxa"/>
            <w:vAlign w:val="center"/>
            <w:hideMark/>
          </w:tcPr>
          <w:p w14:paraId="56340DE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4147</w:t>
            </w:r>
          </w:p>
        </w:tc>
        <w:tc>
          <w:tcPr>
            <w:tcW w:w="851" w:type="dxa"/>
            <w:vAlign w:val="center"/>
            <w:hideMark/>
          </w:tcPr>
          <w:p w14:paraId="2605D38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4562</w:t>
            </w:r>
          </w:p>
        </w:tc>
        <w:tc>
          <w:tcPr>
            <w:tcW w:w="850" w:type="dxa"/>
            <w:vAlign w:val="center"/>
            <w:hideMark/>
          </w:tcPr>
          <w:p w14:paraId="4891750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5018</w:t>
            </w:r>
          </w:p>
        </w:tc>
        <w:tc>
          <w:tcPr>
            <w:tcW w:w="1276" w:type="dxa"/>
            <w:vAlign w:val="center"/>
            <w:hideMark/>
          </w:tcPr>
          <w:p w14:paraId="0F437F3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20925</w:t>
            </w:r>
          </w:p>
        </w:tc>
      </w:tr>
      <w:tr w:rsidR="002E3EF8" w:rsidRPr="003F4F94" w14:paraId="7F27FEB4" w14:textId="77777777" w:rsidTr="00767C21">
        <w:trPr>
          <w:trHeight w:val="20"/>
          <w:jc w:val="center"/>
        </w:trPr>
        <w:tc>
          <w:tcPr>
            <w:tcW w:w="5252" w:type="dxa"/>
            <w:vAlign w:val="center"/>
            <w:hideMark/>
          </w:tcPr>
          <w:p w14:paraId="1CA99C0D"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2. Excise Duties (Incl. Add. Ex. Duties)</w:t>
            </w:r>
          </w:p>
        </w:tc>
        <w:tc>
          <w:tcPr>
            <w:tcW w:w="1134" w:type="dxa"/>
            <w:vAlign w:val="center"/>
            <w:hideMark/>
          </w:tcPr>
          <w:p w14:paraId="31D470F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10422</w:t>
            </w:r>
          </w:p>
        </w:tc>
        <w:tc>
          <w:tcPr>
            <w:tcW w:w="850" w:type="dxa"/>
            <w:vAlign w:val="center"/>
            <w:hideMark/>
          </w:tcPr>
          <w:p w14:paraId="3DFFAB0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11672</w:t>
            </w:r>
          </w:p>
        </w:tc>
        <w:tc>
          <w:tcPr>
            <w:tcW w:w="992" w:type="dxa"/>
            <w:vAlign w:val="center"/>
            <w:hideMark/>
          </w:tcPr>
          <w:p w14:paraId="1451BEF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13073</w:t>
            </w:r>
          </w:p>
        </w:tc>
        <w:tc>
          <w:tcPr>
            <w:tcW w:w="851" w:type="dxa"/>
            <w:vAlign w:val="center"/>
            <w:hideMark/>
          </w:tcPr>
          <w:p w14:paraId="1F1871F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14641</w:t>
            </w:r>
          </w:p>
        </w:tc>
        <w:tc>
          <w:tcPr>
            <w:tcW w:w="850" w:type="dxa"/>
            <w:vAlign w:val="center"/>
            <w:hideMark/>
          </w:tcPr>
          <w:p w14:paraId="07D7B3F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16399</w:t>
            </w:r>
          </w:p>
        </w:tc>
        <w:tc>
          <w:tcPr>
            <w:tcW w:w="1276" w:type="dxa"/>
            <w:vAlign w:val="center"/>
            <w:hideMark/>
          </w:tcPr>
          <w:p w14:paraId="7920ECC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66207</w:t>
            </w:r>
          </w:p>
        </w:tc>
      </w:tr>
      <w:tr w:rsidR="002E3EF8" w:rsidRPr="003F4F94" w14:paraId="64A4B46A" w14:textId="77777777" w:rsidTr="00767C21">
        <w:trPr>
          <w:trHeight w:val="20"/>
          <w:jc w:val="center"/>
        </w:trPr>
        <w:tc>
          <w:tcPr>
            <w:tcW w:w="5252" w:type="dxa"/>
            <w:vAlign w:val="center"/>
            <w:hideMark/>
          </w:tcPr>
          <w:p w14:paraId="3C6347FC"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3. Grants in lieu of Tax on Railway Passenger Fares</w:t>
            </w:r>
          </w:p>
        </w:tc>
        <w:tc>
          <w:tcPr>
            <w:tcW w:w="1134" w:type="dxa"/>
            <w:vAlign w:val="center"/>
            <w:hideMark/>
          </w:tcPr>
          <w:p w14:paraId="47CD6D7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150</w:t>
            </w:r>
          </w:p>
        </w:tc>
        <w:tc>
          <w:tcPr>
            <w:tcW w:w="850" w:type="dxa"/>
            <w:vAlign w:val="center"/>
            <w:hideMark/>
          </w:tcPr>
          <w:p w14:paraId="2EEDE6D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150</w:t>
            </w:r>
          </w:p>
        </w:tc>
        <w:tc>
          <w:tcPr>
            <w:tcW w:w="992" w:type="dxa"/>
            <w:vAlign w:val="center"/>
            <w:hideMark/>
          </w:tcPr>
          <w:p w14:paraId="77BDBA2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150</w:t>
            </w:r>
          </w:p>
        </w:tc>
        <w:tc>
          <w:tcPr>
            <w:tcW w:w="851" w:type="dxa"/>
            <w:vAlign w:val="center"/>
            <w:hideMark/>
          </w:tcPr>
          <w:p w14:paraId="449BEB5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150</w:t>
            </w:r>
          </w:p>
        </w:tc>
        <w:tc>
          <w:tcPr>
            <w:tcW w:w="850" w:type="dxa"/>
            <w:vAlign w:val="center"/>
            <w:hideMark/>
          </w:tcPr>
          <w:p w14:paraId="2C9F919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150</w:t>
            </w:r>
          </w:p>
        </w:tc>
        <w:tc>
          <w:tcPr>
            <w:tcW w:w="1276" w:type="dxa"/>
            <w:vAlign w:val="center"/>
            <w:hideMark/>
          </w:tcPr>
          <w:p w14:paraId="00A2124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750</w:t>
            </w:r>
          </w:p>
        </w:tc>
      </w:tr>
      <w:tr w:rsidR="002E3EF8" w:rsidRPr="003F4F94" w14:paraId="692B12CE" w14:textId="77777777" w:rsidTr="00767C21">
        <w:trPr>
          <w:trHeight w:val="20"/>
          <w:jc w:val="center"/>
        </w:trPr>
        <w:tc>
          <w:tcPr>
            <w:tcW w:w="5252" w:type="dxa"/>
            <w:vAlign w:val="center"/>
            <w:hideMark/>
          </w:tcPr>
          <w:p w14:paraId="1DAA394D"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 - (a)</w:t>
            </w:r>
          </w:p>
        </w:tc>
        <w:tc>
          <w:tcPr>
            <w:tcW w:w="1134" w:type="dxa"/>
            <w:vAlign w:val="center"/>
            <w:hideMark/>
          </w:tcPr>
          <w:p w14:paraId="2665086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14000</w:t>
            </w:r>
          </w:p>
        </w:tc>
        <w:tc>
          <w:tcPr>
            <w:tcW w:w="850" w:type="dxa"/>
            <w:vAlign w:val="center"/>
            <w:hideMark/>
          </w:tcPr>
          <w:p w14:paraId="0D00318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15592</w:t>
            </w:r>
          </w:p>
        </w:tc>
        <w:tc>
          <w:tcPr>
            <w:tcW w:w="992" w:type="dxa"/>
            <w:vAlign w:val="center"/>
            <w:hideMark/>
          </w:tcPr>
          <w:p w14:paraId="5B7A022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17370</w:t>
            </w:r>
          </w:p>
        </w:tc>
        <w:tc>
          <w:tcPr>
            <w:tcW w:w="851" w:type="dxa"/>
            <w:vAlign w:val="center"/>
            <w:hideMark/>
          </w:tcPr>
          <w:p w14:paraId="72B09B4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19353</w:t>
            </w:r>
          </w:p>
        </w:tc>
        <w:tc>
          <w:tcPr>
            <w:tcW w:w="850" w:type="dxa"/>
            <w:vAlign w:val="center"/>
            <w:hideMark/>
          </w:tcPr>
          <w:p w14:paraId="7C4102B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21567</w:t>
            </w:r>
          </w:p>
        </w:tc>
        <w:tc>
          <w:tcPr>
            <w:tcW w:w="1276" w:type="dxa"/>
            <w:vAlign w:val="center"/>
            <w:hideMark/>
          </w:tcPr>
          <w:p w14:paraId="6511710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87882</w:t>
            </w:r>
          </w:p>
        </w:tc>
      </w:tr>
      <w:tr w:rsidR="002E3EF8" w:rsidRPr="003F4F94" w14:paraId="5E69B94F" w14:textId="77777777" w:rsidTr="00767C21">
        <w:trPr>
          <w:trHeight w:val="20"/>
          <w:jc w:val="center"/>
        </w:trPr>
        <w:tc>
          <w:tcPr>
            <w:tcW w:w="5252" w:type="dxa"/>
            <w:vAlign w:val="center"/>
            <w:hideMark/>
          </w:tcPr>
          <w:p w14:paraId="347D582E"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(b) Grants under Article 275(1)</w:t>
            </w:r>
          </w:p>
        </w:tc>
        <w:tc>
          <w:tcPr>
            <w:tcW w:w="1134" w:type="dxa"/>
            <w:vAlign w:val="center"/>
            <w:hideMark/>
          </w:tcPr>
          <w:p w14:paraId="47ACB36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3030</w:t>
            </w:r>
          </w:p>
        </w:tc>
        <w:tc>
          <w:tcPr>
            <w:tcW w:w="850" w:type="dxa"/>
            <w:vAlign w:val="center"/>
            <w:hideMark/>
          </w:tcPr>
          <w:p w14:paraId="476B565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3245</w:t>
            </w:r>
          </w:p>
        </w:tc>
        <w:tc>
          <w:tcPr>
            <w:tcW w:w="992" w:type="dxa"/>
            <w:vAlign w:val="center"/>
            <w:hideMark/>
          </w:tcPr>
          <w:p w14:paraId="7BDB9B2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3595</w:t>
            </w:r>
          </w:p>
        </w:tc>
        <w:tc>
          <w:tcPr>
            <w:tcW w:w="851" w:type="dxa"/>
            <w:vAlign w:val="center"/>
            <w:hideMark/>
          </w:tcPr>
          <w:p w14:paraId="32DCCBD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3910</w:t>
            </w:r>
          </w:p>
        </w:tc>
        <w:tc>
          <w:tcPr>
            <w:tcW w:w="850" w:type="dxa"/>
            <w:vAlign w:val="center"/>
            <w:hideMark/>
          </w:tcPr>
          <w:p w14:paraId="5B84BD7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4400</w:t>
            </w:r>
          </w:p>
        </w:tc>
        <w:tc>
          <w:tcPr>
            <w:tcW w:w="1276" w:type="dxa"/>
            <w:vAlign w:val="center"/>
            <w:hideMark/>
          </w:tcPr>
          <w:p w14:paraId="0E65473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18180</w:t>
            </w:r>
          </w:p>
        </w:tc>
      </w:tr>
      <w:tr w:rsidR="002E3EF8" w:rsidRPr="003F4F94" w14:paraId="35FC4E80" w14:textId="77777777" w:rsidTr="00767C21">
        <w:trPr>
          <w:trHeight w:val="20"/>
          <w:jc w:val="center"/>
        </w:trPr>
        <w:tc>
          <w:tcPr>
            <w:tcW w:w="5252" w:type="dxa"/>
            <w:vAlign w:val="center"/>
            <w:hideMark/>
          </w:tcPr>
          <w:p w14:paraId="18F6EB9C"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 - IV (</w:t>
            </w:r>
            <w:proofErr w:type="spellStart"/>
            <w:r w:rsidRPr="003F4F94">
              <w:rPr>
                <w:rFonts w:ascii="Times New Roman" w:hAnsi="Times New Roman" w:cs="Times New Roman"/>
                <w:sz w:val="16"/>
                <w:szCs w:val="16"/>
              </w:rPr>
              <w:t>a+b</w:t>
            </w:r>
            <w:proofErr w:type="spellEnd"/>
            <w:r w:rsidRPr="003F4F94">
              <w:rPr>
                <w:rFonts w:ascii="Times New Roman" w:hAnsi="Times New Roman" w:cs="Times New Roman"/>
                <w:sz w:val="16"/>
                <w:szCs w:val="16"/>
              </w:rPr>
              <w:t>)</w:t>
            </w:r>
          </w:p>
        </w:tc>
        <w:tc>
          <w:tcPr>
            <w:tcW w:w="1134" w:type="dxa"/>
            <w:vAlign w:val="center"/>
            <w:hideMark/>
          </w:tcPr>
          <w:p w14:paraId="53B9865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17030</w:t>
            </w:r>
          </w:p>
        </w:tc>
        <w:tc>
          <w:tcPr>
            <w:tcW w:w="850" w:type="dxa"/>
            <w:vAlign w:val="center"/>
            <w:hideMark/>
          </w:tcPr>
          <w:p w14:paraId="0F63295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18837</w:t>
            </w:r>
          </w:p>
        </w:tc>
        <w:tc>
          <w:tcPr>
            <w:tcW w:w="992" w:type="dxa"/>
            <w:vAlign w:val="center"/>
            <w:hideMark/>
          </w:tcPr>
          <w:p w14:paraId="6A36E7B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20965</w:t>
            </w:r>
          </w:p>
        </w:tc>
        <w:tc>
          <w:tcPr>
            <w:tcW w:w="851" w:type="dxa"/>
            <w:vAlign w:val="center"/>
            <w:hideMark/>
          </w:tcPr>
          <w:p w14:paraId="57645F4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23263</w:t>
            </w:r>
          </w:p>
        </w:tc>
        <w:tc>
          <w:tcPr>
            <w:tcW w:w="850" w:type="dxa"/>
            <w:vAlign w:val="center"/>
            <w:hideMark/>
          </w:tcPr>
          <w:p w14:paraId="40A6F92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25967</w:t>
            </w:r>
          </w:p>
        </w:tc>
        <w:tc>
          <w:tcPr>
            <w:tcW w:w="1276" w:type="dxa"/>
            <w:vAlign w:val="center"/>
            <w:hideMark/>
          </w:tcPr>
          <w:p w14:paraId="60B25F3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106062</w:t>
            </w:r>
          </w:p>
        </w:tc>
      </w:tr>
      <w:tr w:rsidR="002E3EF8" w:rsidRPr="003F4F94" w14:paraId="231AE1B1" w14:textId="77777777" w:rsidTr="00767C21">
        <w:trPr>
          <w:trHeight w:val="20"/>
          <w:jc w:val="center"/>
        </w:trPr>
        <w:tc>
          <w:tcPr>
            <w:tcW w:w="5252" w:type="dxa"/>
            <w:vAlign w:val="center"/>
            <w:hideMark/>
          </w:tcPr>
          <w:p w14:paraId="2B5C45D7"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V. Plan Expenditure on Revenue Account</w:t>
            </w:r>
          </w:p>
        </w:tc>
        <w:tc>
          <w:tcPr>
            <w:tcW w:w="1134" w:type="dxa"/>
            <w:vAlign w:val="center"/>
            <w:hideMark/>
          </w:tcPr>
          <w:p w14:paraId="0DF00B92"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4CF897EF" w14:textId="77777777" w:rsidR="002E3EF8" w:rsidRPr="003F4F94" w:rsidRDefault="002E3EF8" w:rsidP="00F6454C">
            <w:pPr>
              <w:pStyle w:val="NoSpacing"/>
              <w:jc w:val="center"/>
              <w:rPr>
                <w:rFonts w:ascii="Times New Roman" w:hAnsi="Times New Roman" w:cs="Times New Roman"/>
                <w:sz w:val="16"/>
                <w:szCs w:val="16"/>
              </w:rPr>
            </w:pPr>
          </w:p>
        </w:tc>
        <w:tc>
          <w:tcPr>
            <w:tcW w:w="992" w:type="dxa"/>
            <w:vAlign w:val="center"/>
            <w:hideMark/>
          </w:tcPr>
          <w:p w14:paraId="77E998FE" w14:textId="77777777" w:rsidR="002E3EF8" w:rsidRPr="003F4F94" w:rsidRDefault="002E3EF8" w:rsidP="00F6454C">
            <w:pPr>
              <w:pStyle w:val="NoSpacing"/>
              <w:jc w:val="center"/>
              <w:rPr>
                <w:rFonts w:ascii="Times New Roman" w:hAnsi="Times New Roman" w:cs="Times New Roman"/>
                <w:sz w:val="16"/>
                <w:szCs w:val="16"/>
              </w:rPr>
            </w:pPr>
          </w:p>
        </w:tc>
        <w:tc>
          <w:tcPr>
            <w:tcW w:w="851" w:type="dxa"/>
            <w:vAlign w:val="center"/>
            <w:hideMark/>
          </w:tcPr>
          <w:p w14:paraId="579F3B10" w14:textId="77777777" w:rsidR="002E3EF8" w:rsidRPr="003F4F94" w:rsidRDefault="002E3EF8" w:rsidP="00F6454C">
            <w:pPr>
              <w:pStyle w:val="NoSpacing"/>
              <w:jc w:val="center"/>
              <w:rPr>
                <w:rFonts w:ascii="Times New Roman" w:hAnsi="Times New Roman" w:cs="Times New Roman"/>
                <w:sz w:val="16"/>
                <w:szCs w:val="16"/>
              </w:rPr>
            </w:pPr>
          </w:p>
        </w:tc>
        <w:tc>
          <w:tcPr>
            <w:tcW w:w="850" w:type="dxa"/>
            <w:vAlign w:val="center"/>
            <w:hideMark/>
          </w:tcPr>
          <w:p w14:paraId="12A9B925" w14:textId="77777777" w:rsidR="002E3EF8" w:rsidRPr="003F4F94" w:rsidRDefault="002E3EF8" w:rsidP="00F6454C">
            <w:pPr>
              <w:pStyle w:val="NoSpacing"/>
              <w:jc w:val="center"/>
              <w:rPr>
                <w:rFonts w:ascii="Times New Roman" w:hAnsi="Times New Roman" w:cs="Times New Roman"/>
                <w:sz w:val="16"/>
                <w:szCs w:val="16"/>
              </w:rPr>
            </w:pPr>
          </w:p>
        </w:tc>
        <w:tc>
          <w:tcPr>
            <w:tcW w:w="1276" w:type="dxa"/>
            <w:vAlign w:val="center"/>
            <w:hideMark/>
          </w:tcPr>
          <w:p w14:paraId="14307C3D" w14:textId="77777777" w:rsidR="002E3EF8" w:rsidRPr="003F4F94" w:rsidRDefault="002E3EF8" w:rsidP="00F6454C">
            <w:pPr>
              <w:pStyle w:val="NoSpacing"/>
              <w:jc w:val="center"/>
              <w:rPr>
                <w:rFonts w:ascii="Times New Roman" w:hAnsi="Times New Roman" w:cs="Times New Roman"/>
                <w:sz w:val="16"/>
                <w:szCs w:val="16"/>
              </w:rPr>
            </w:pPr>
          </w:p>
        </w:tc>
      </w:tr>
      <w:tr w:rsidR="002E3EF8" w:rsidRPr="003F4F94" w14:paraId="0AD3D94A" w14:textId="77777777" w:rsidTr="00767C21">
        <w:trPr>
          <w:trHeight w:val="20"/>
          <w:jc w:val="center"/>
        </w:trPr>
        <w:tc>
          <w:tcPr>
            <w:tcW w:w="5252" w:type="dxa"/>
            <w:vAlign w:val="center"/>
            <w:hideMark/>
          </w:tcPr>
          <w:p w14:paraId="5950F93F"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1. Centre's own plan</w:t>
            </w:r>
          </w:p>
        </w:tc>
        <w:tc>
          <w:tcPr>
            <w:tcW w:w="1134" w:type="dxa"/>
            <w:vAlign w:val="center"/>
            <w:hideMark/>
          </w:tcPr>
          <w:p w14:paraId="1276DDB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3486</w:t>
            </w:r>
          </w:p>
        </w:tc>
        <w:tc>
          <w:tcPr>
            <w:tcW w:w="850" w:type="dxa"/>
            <w:vAlign w:val="center"/>
            <w:hideMark/>
          </w:tcPr>
          <w:p w14:paraId="7523E08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3730</w:t>
            </w:r>
          </w:p>
        </w:tc>
        <w:tc>
          <w:tcPr>
            <w:tcW w:w="992" w:type="dxa"/>
            <w:vAlign w:val="center"/>
            <w:hideMark/>
          </w:tcPr>
          <w:p w14:paraId="7C68DC2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3991</w:t>
            </w:r>
          </w:p>
        </w:tc>
        <w:tc>
          <w:tcPr>
            <w:tcW w:w="851" w:type="dxa"/>
            <w:vAlign w:val="center"/>
            <w:hideMark/>
          </w:tcPr>
          <w:p w14:paraId="5DD39B6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4270</w:t>
            </w:r>
          </w:p>
        </w:tc>
        <w:tc>
          <w:tcPr>
            <w:tcW w:w="850" w:type="dxa"/>
            <w:vAlign w:val="center"/>
            <w:hideMark/>
          </w:tcPr>
          <w:p w14:paraId="19FE0F1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4569</w:t>
            </w:r>
          </w:p>
        </w:tc>
        <w:tc>
          <w:tcPr>
            <w:tcW w:w="1276" w:type="dxa"/>
            <w:vAlign w:val="center"/>
            <w:hideMark/>
          </w:tcPr>
          <w:p w14:paraId="4295E08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20046</w:t>
            </w:r>
          </w:p>
        </w:tc>
      </w:tr>
      <w:tr w:rsidR="002E3EF8" w:rsidRPr="003F4F94" w14:paraId="65277C71" w14:textId="77777777" w:rsidTr="00767C21">
        <w:trPr>
          <w:trHeight w:val="20"/>
          <w:jc w:val="center"/>
        </w:trPr>
        <w:tc>
          <w:tcPr>
            <w:tcW w:w="5252" w:type="dxa"/>
            <w:vAlign w:val="center"/>
            <w:hideMark/>
          </w:tcPr>
          <w:p w14:paraId="7C43A679"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2. Union Territory Plan</w:t>
            </w:r>
          </w:p>
        </w:tc>
        <w:tc>
          <w:tcPr>
            <w:tcW w:w="1134" w:type="dxa"/>
            <w:vAlign w:val="center"/>
            <w:hideMark/>
          </w:tcPr>
          <w:p w14:paraId="4A5671C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303</w:t>
            </w:r>
          </w:p>
        </w:tc>
        <w:tc>
          <w:tcPr>
            <w:tcW w:w="850" w:type="dxa"/>
            <w:vAlign w:val="center"/>
            <w:hideMark/>
          </w:tcPr>
          <w:p w14:paraId="7158E3C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324</w:t>
            </w:r>
          </w:p>
        </w:tc>
        <w:tc>
          <w:tcPr>
            <w:tcW w:w="992" w:type="dxa"/>
            <w:vAlign w:val="center"/>
            <w:hideMark/>
          </w:tcPr>
          <w:p w14:paraId="7A27DB87"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347</w:t>
            </w:r>
          </w:p>
        </w:tc>
        <w:tc>
          <w:tcPr>
            <w:tcW w:w="851" w:type="dxa"/>
            <w:vAlign w:val="center"/>
            <w:hideMark/>
          </w:tcPr>
          <w:p w14:paraId="661DC2C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371</w:t>
            </w:r>
          </w:p>
        </w:tc>
        <w:tc>
          <w:tcPr>
            <w:tcW w:w="850" w:type="dxa"/>
            <w:vAlign w:val="center"/>
            <w:hideMark/>
          </w:tcPr>
          <w:p w14:paraId="1EC5319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397</w:t>
            </w:r>
          </w:p>
        </w:tc>
        <w:tc>
          <w:tcPr>
            <w:tcW w:w="1276" w:type="dxa"/>
            <w:vAlign w:val="center"/>
            <w:hideMark/>
          </w:tcPr>
          <w:p w14:paraId="0E0B5E2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1742</w:t>
            </w:r>
          </w:p>
        </w:tc>
      </w:tr>
      <w:tr w:rsidR="002E3EF8" w:rsidRPr="003F4F94" w14:paraId="42DE1AFA" w14:textId="77777777" w:rsidTr="00767C21">
        <w:trPr>
          <w:trHeight w:val="20"/>
          <w:jc w:val="center"/>
        </w:trPr>
        <w:tc>
          <w:tcPr>
            <w:tcW w:w="5252" w:type="dxa"/>
            <w:vAlign w:val="center"/>
            <w:hideMark/>
          </w:tcPr>
          <w:p w14:paraId="36DDF46F"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3. Grants to States for State Plans</w:t>
            </w:r>
          </w:p>
        </w:tc>
        <w:tc>
          <w:tcPr>
            <w:tcW w:w="1134" w:type="dxa"/>
            <w:vAlign w:val="center"/>
            <w:hideMark/>
          </w:tcPr>
          <w:p w14:paraId="7BF72A0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4100</w:t>
            </w:r>
          </w:p>
        </w:tc>
        <w:tc>
          <w:tcPr>
            <w:tcW w:w="850" w:type="dxa"/>
            <w:vAlign w:val="center"/>
            <w:hideMark/>
          </w:tcPr>
          <w:p w14:paraId="54152BD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4545</w:t>
            </w:r>
          </w:p>
        </w:tc>
        <w:tc>
          <w:tcPr>
            <w:tcW w:w="992" w:type="dxa"/>
            <w:vAlign w:val="center"/>
            <w:hideMark/>
          </w:tcPr>
          <w:p w14:paraId="4B40699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5020</w:t>
            </w:r>
          </w:p>
        </w:tc>
        <w:tc>
          <w:tcPr>
            <w:tcW w:w="851" w:type="dxa"/>
            <w:vAlign w:val="center"/>
            <w:hideMark/>
          </w:tcPr>
          <w:p w14:paraId="011EC6E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5535</w:t>
            </w:r>
          </w:p>
        </w:tc>
        <w:tc>
          <w:tcPr>
            <w:tcW w:w="850" w:type="dxa"/>
            <w:vAlign w:val="center"/>
            <w:hideMark/>
          </w:tcPr>
          <w:p w14:paraId="14C2577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6085</w:t>
            </w:r>
          </w:p>
        </w:tc>
        <w:tc>
          <w:tcPr>
            <w:tcW w:w="1276" w:type="dxa"/>
            <w:vAlign w:val="center"/>
            <w:hideMark/>
          </w:tcPr>
          <w:p w14:paraId="7EA2B3F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25285</w:t>
            </w:r>
          </w:p>
        </w:tc>
      </w:tr>
      <w:tr w:rsidR="002E3EF8" w:rsidRPr="003F4F94" w14:paraId="56181892" w14:textId="77777777" w:rsidTr="00767C21">
        <w:trPr>
          <w:trHeight w:val="20"/>
          <w:jc w:val="center"/>
        </w:trPr>
        <w:tc>
          <w:tcPr>
            <w:tcW w:w="5252" w:type="dxa"/>
            <w:vAlign w:val="center"/>
            <w:hideMark/>
          </w:tcPr>
          <w:p w14:paraId="5DBDB2C6"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4. Grants for Union Territory Plans</w:t>
            </w:r>
          </w:p>
        </w:tc>
        <w:tc>
          <w:tcPr>
            <w:tcW w:w="1134" w:type="dxa"/>
            <w:vAlign w:val="center"/>
            <w:hideMark/>
          </w:tcPr>
          <w:p w14:paraId="51803A7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41</w:t>
            </w:r>
          </w:p>
        </w:tc>
        <w:tc>
          <w:tcPr>
            <w:tcW w:w="850" w:type="dxa"/>
            <w:vAlign w:val="center"/>
            <w:hideMark/>
          </w:tcPr>
          <w:p w14:paraId="3F5077B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45</w:t>
            </w:r>
          </w:p>
        </w:tc>
        <w:tc>
          <w:tcPr>
            <w:tcW w:w="992" w:type="dxa"/>
            <w:vAlign w:val="center"/>
            <w:hideMark/>
          </w:tcPr>
          <w:p w14:paraId="0D0EA5E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49</w:t>
            </w:r>
          </w:p>
        </w:tc>
        <w:tc>
          <w:tcPr>
            <w:tcW w:w="851" w:type="dxa"/>
            <w:vAlign w:val="center"/>
            <w:hideMark/>
          </w:tcPr>
          <w:p w14:paraId="05FFDF7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54</w:t>
            </w:r>
          </w:p>
        </w:tc>
        <w:tc>
          <w:tcPr>
            <w:tcW w:w="850" w:type="dxa"/>
            <w:vAlign w:val="center"/>
            <w:hideMark/>
          </w:tcPr>
          <w:p w14:paraId="442BDF4C"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59</w:t>
            </w:r>
          </w:p>
        </w:tc>
        <w:tc>
          <w:tcPr>
            <w:tcW w:w="1276" w:type="dxa"/>
            <w:vAlign w:val="center"/>
            <w:hideMark/>
          </w:tcPr>
          <w:p w14:paraId="62223A0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248</w:t>
            </w:r>
          </w:p>
        </w:tc>
      </w:tr>
      <w:tr w:rsidR="002E3EF8" w:rsidRPr="003F4F94" w14:paraId="2A42E9D5" w14:textId="77777777" w:rsidTr="00767C21">
        <w:trPr>
          <w:trHeight w:val="20"/>
          <w:jc w:val="center"/>
        </w:trPr>
        <w:tc>
          <w:tcPr>
            <w:tcW w:w="5252" w:type="dxa"/>
            <w:vAlign w:val="center"/>
            <w:hideMark/>
          </w:tcPr>
          <w:p w14:paraId="75737B91"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5. Grants to States for Central and Centrally Sponsored Schemes</w:t>
            </w:r>
          </w:p>
        </w:tc>
        <w:tc>
          <w:tcPr>
            <w:tcW w:w="1134" w:type="dxa"/>
            <w:vAlign w:val="center"/>
            <w:hideMark/>
          </w:tcPr>
          <w:p w14:paraId="6A58646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4582</w:t>
            </w:r>
          </w:p>
        </w:tc>
        <w:tc>
          <w:tcPr>
            <w:tcW w:w="850" w:type="dxa"/>
            <w:vAlign w:val="center"/>
            <w:hideMark/>
          </w:tcPr>
          <w:p w14:paraId="5C10D80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4903</w:t>
            </w:r>
          </w:p>
        </w:tc>
        <w:tc>
          <w:tcPr>
            <w:tcW w:w="992" w:type="dxa"/>
            <w:vAlign w:val="center"/>
            <w:hideMark/>
          </w:tcPr>
          <w:p w14:paraId="0D3B594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5246</w:t>
            </w:r>
          </w:p>
        </w:tc>
        <w:tc>
          <w:tcPr>
            <w:tcW w:w="851" w:type="dxa"/>
            <w:vAlign w:val="center"/>
            <w:hideMark/>
          </w:tcPr>
          <w:p w14:paraId="38DC09F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5613</w:t>
            </w:r>
          </w:p>
        </w:tc>
        <w:tc>
          <w:tcPr>
            <w:tcW w:w="850" w:type="dxa"/>
            <w:vAlign w:val="center"/>
            <w:hideMark/>
          </w:tcPr>
          <w:p w14:paraId="6C777CDB"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6006</w:t>
            </w:r>
          </w:p>
        </w:tc>
        <w:tc>
          <w:tcPr>
            <w:tcW w:w="1276" w:type="dxa"/>
            <w:vAlign w:val="center"/>
            <w:hideMark/>
          </w:tcPr>
          <w:p w14:paraId="3EFDD0E0"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26350</w:t>
            </w:r>
          </w:p>
        </w:tc>
      </w:tr>
      <w:tr w:rsidR="002E3EF8" w:rsidRPr="003F4F94" w14:paraId="710FE8EA" w14:textId="77777777" w:rsidTr="00767C21">
        <w:trPr>
          <w:trHeight w:val="20"/>
          <w:jc w:val="center"/>
        </w:trPr>
        <w:tc>
          <w:tcPr>
            <w:tcW w:w="5252" w:type="dxa"/>
            <w:vAlign w:val="center"/>
            <w:hideMark/>
          </w:tcPr>
          <w:p w14:paraId="64115CA7"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6. Grants to Union Territories for Central and Centrally Sponsored Schemes</w:t>
            </w:r>
          </w:p>
        </w:tc>
        <w:tc>
          <w:tcPr>
            <w:tcW w:w="1134" w:type="dxa"/>
            <w:vAlign w:val="center"/>
            <w:hideMark/>
          </w:tcPr>
          <w:p w14:paraId="091C6F6D"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31</w:t>
            </w:r>
          </w:p>
        </w:tc>
        <w:tc>
          <w:tcPr>
            <w:tcW w:w="850" w:type="dxa"/>
            <w:vAlign w:val="center"/>
            <w:hideMark/>
          </w:tcPr>
          <w:p w14:paraId="22EB6CA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33</w:t>
            </w:r>
          </w:p>
        </w:tc>
        <w:tc>
          <w:tcPr>
            <w:tcW w:w="992" w:type="dxa"/>
            <w:vAlign w:val="center"/>
            <w:hideMark/>
          </w:tcPr>
          <w:p w14:paraId="3CB359F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35</w:t>
            </w:r>
          </w:p>
        </w:tc>
        <w:tc>
          <w:tcPr>
            <w:tcW w:w="851" w:type="dxa"/>
            <w:vAlign w:val="center"/>
            <w:hideMark/>
          </w:tcPr>
          <w:p w14:paraId="479048A1"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37</w:t>
            </w:r>
          </w:p>
        </w:tc>
        <w:tc>
          <w:tcPr>
            <w:tcW w:w="850" w:type="dxa"/>
            <w:vAlign w:val="center"/>
            <w:hideMark/>
          </w:tcPr>
          <w:p w14:paraId="053F1CC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40</w:t>
            </w:r>
          </w:p>
        </w:tc>
        <w:tc>
          <w:tcPr>
            <w:tcW w:w="1276" w:type="dxa"/>
            <w:vAlign w:val="center"/>
            <w:hideMark/>
          </w:tcPr>
          <w:p w14:paraId="61400BC2"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176</w:t>
            </w:r>
          </w:p>
        </w:tc>
      </w:tr>
      <w:tr w:rsidR="002E3EF8" w:rsidRPr="003F4F94" w14:paraId="004FE126" w14:textId="77777777" w:rsidTr="00767C21">
        <w:trPr>
          <w:trHeight w:val="20"/>
          <w:jc w:val="center"/>
        </w:trPr>
        <w:tc>
          <w:tcPr>
            <w:tcW w:w="5252" w:type="dxa"/>
            <w:vAlign w:val="center"/>
            <w:hideMark/>
          </w:tcPr>
          <w:p w14:paraId="0A67583D"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Total - (V)</w:t>
            </w:r>
          </w:p>
        </w:tc>
        <w:tc>
          <w:tcPr>
            <w:tcW w:w="1134" w:type="dxa"/>
            <w:vAlign w:val="center"/>
            <w:hideMark/>
          </w:tcPr>
          <w:p w14:paraId="39B0E01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12543</w:t>
            </w:r>
          </w:p>
        </w:tc>
        <w:tc>
          <w:tcPr>
            <w:tcW w:w="850" w:type="dxa"/>
            <w:vAlign w:val="center"/>
            <w:hideMark/>
          </w:tcPr>
          <w:p w14:paraId="5192D56F"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13850</w:t>
            </w:r>
          </w:p>
        </w:tc>
        <w:tc>
          <w:tcPr>
            <w:tcW w:w="992" w:type="dxa"/>
            <w:vAlign w:val="center"/>
            <w:hideMark/>
          </w:tcPr>
          <w:p w14:paraId="0912EACE"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14688</w:t>
            </w:r>
          </w:p>
        </w:tc>
        <w:tc>
          <w:tcPr>
            <w:tcW w:w="851" w:type="dxa"/>
            <w:vAlign w:val="center"/>
            <w:hideMark/>
          </w:tcPr>
          <w:p w14:paraId="35C68E65"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15880</w:t>
            </w:r>
          </w:p>
        </w:tc>
        <w:tc>
          <w:tcPr>
            <w:tcW w:w="850" w:type="dxa"/>
            <w:vAlign w:val="center"/>
            <w:hideMark/>
          </w:tcPr>
          <w:p w14:paraId="1D517CF4"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17156</w:t>
            </w:r>
          </w:p>
        </w:tc>
        <w:tc>
          <w:tcPr>
            <w:tcW w:w="1276" w:type="dxa"/>
            <w:vAlign w:val="center"/>
            <w:hideMark/>
          </w:tcPr>
          <w:p w14:paraId="5A33625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73847</w:t>
            </w:r>
          </w:p>
        </w:tc>
      </w:tr>
      <w:tr w:rsidR="002E3EF8" w:rsidRPr="003F4F94" w14:paraId="2C6C2E01" w14:textId="77777777" w:rsidTr="00767C21">
        <w:trPr>
          <w:trHeight w:val="20"/>
          <w:jc w:val="center"/>
        </w:trPr>
        <w:tc>
          <w:tcPr>
            <w:tcW w:w="5252" w:type="dxa"/>
            <w:vAlign w:val="center"/>
            <w:hideMark/>
          </w:tcPr>
          <w:p w14:paraId="137D1DDD" w14:textId="77777777" w:rsidR="002E3EF8" w:rsidRPr="003F4F94" w:rsidRDefault="002E3EF8" w:rsidP="00F6454C">
            <w:pPr>
              <w:pStyle w:val="NoSpacing"/>
              <w:rPr>
                <w:rFonts w:ascii="Times New Roman" w:hAnsi="Times New Roman" w:cs="Times New Roman"/>
                <w:sz w:val="16"/>
                <w:szCs w:val="16"/>
              </w:rPr>
            </w:pPr>
            <w:r w:rsidRPr="003F4F94">
              <w:rPr>
                <w:rFonts w:ascii="Times New Roman" w:hAnsi="Times New Roman" w:cs="Times New Roman"/>
                <w:sz w:val="16"/>
                <w:szCs w:val="16"/>
              </w:rPr>
              <w:t>VI Surplus(+)/</w:t>
            </w:r>
            <w:proofErr w:type="gramStart"/>
            <w:r w:rsidRPr="003F4F94">
              <w:rPr>
                <w:rFonts w:ascii="Times New Roman" w:hAnsi="Times New Roman" w:cs="Times New Roman"/>
                <w:sz w:val="16"/>
                <w:szCs w:val="16"/>
              </w:rPr>
              <w:t>Deficit(</w:t>
            </w:r>
            <w:proofErr w:type="gramEnd"/>
            <w:r w:rsidRPr="003F4F94">
              <w:rPr>
                <w:rFonts w:ascii="Times New Roman" w:hAnsi="Times New Roman" w:cs="Times New Roman"/>
                <w:sz w:val="16"/>
                <w:szCs w:val="16"/>
              </w:rPr>
              <w:t>-) on Revenue Account (III-IV-V)</w:t>
            </w:r>
          </w:p>
        </w:tc>
        <w:tc>
          <w:tcPr>
            <w:tcW w:w="1134" w:type="dxa"/>
            <w:vAlign w:val="center"/>
            <w:hideMark/>
          </w:tcPr>
          <w:p w14:paraId="41EF5D7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-8520</w:t>
            </w:r>
          </w:p>
        </w:tc>
        <w:tc>
          <w:tcPr>
            <w:tcW w:w="850" w:type="dxa"/>
            <w:vAlign w:val="center"/>
            <w:hideMark/>
          </w:tcPr>
          <w:p w14:paraId="16E1463A"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-7870</w:t>
            </w:r>
          </w:p>
        </w:tc>
        <w:tc>
          <w:tcPr>
            <w:tcW w:w="992" w:type="dxa"/>
            <w:vAlign w:val="center"/>
            <w:hideMark/>
          </w:tcPr>
          <w:p w14:paraId="5B4FDA43"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-6480</w:t>
            </w:r>
          </w:p>
        </w:tc>
        <w:tc>
          <w:tcPr>
            <w:tcW w:w="851" w:type="dxa"/>
            <w:vAlign w:val="center"/>
            <w:hideMark/>
          </w:tcPr>
          <w:p w14:paraId="21752936"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-4935</w:t>
            </w:r>
          </w:p>
        </w:tc>
        <w:tc>
          <w:tcPr>
            <w:tcW w:w="850" w:type="dxa"/>
            <w:vAlign w:val="center"/>
            <w:hideMark/>
          </w:tcPr>
          <w:p w14:paraId="26BAD389"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-3103</w:t>
            </w:r>
          </w:p>
        </w:tc>
        <w:tc>
          <w:tcPr>
            <w:tcW w:w="1276" w:type="dxa"/>
            <w:vAlign w:val="center"/>
            <w:hideMark/>
          </w:tcPr>
          <w:p w14:paraId="6851FD38" w14:textId="77777777" w:rsidR="002E3EF8" w:rsidRPr="003F4F94" w:rsidRDefault="002E3EF8" w:rsidP="00F6454C">
            <w:pPr>
              <w:pStyle w:val="NoSpacing"/>
              <w:jc w:val="center"/>
              <w:rPr>
                <w:rFonts w:ascii="Times New Roman" w:hAnsi="Times New Roman" w:cs="Times New Roman"/>
                <w:sz w:val="16"/>
                <w:szCs w:val="16"/>
              </w:rPr>
            </w:pPr>
            <w:r w:rsidRPr="003F4F94">
              <w:rPr>
                <w:rFonts w:ascii="Times New Roman" w:hAnsi="Times New Roman" w:cs="Times New Roman"/>
                <w:sz w:val="16"/>
                <w:szCs w:val="16"/>
              </w:rPr>
              <w:t>-30638</w:t>
            </w:r>
          </w:p>
        </w:tc>
      </w:tr>
    </w:tbl>
    <w:p w14:paraId="4799A861" w14:textId="11F2B68F" w:rsidR="00F6454C" w:rsidRPr="003F4F94" w:rsidRDefault="00E65B33" w:rsidP="00F6454C">
      <w:pPr>
        <w:pStyle w:val="Heading2"/>
        <w:rPr>
          <w:sz w:val="20"/>
          <w:szCs w:val="20"/>
        </w:rPr>
      </w:pPr>
      <w:bookmarkStart w:id="117" w:name="_Toc221293017"/>
      <w:bookmarkStart w:id="118" w:name="_Toc222399506"/>
      <w:r w:rsidRPr="003F4F94">
        <w:rPr>
          <w:sz w:val="20"/>
          <w:szCs w:val="20"/>
        </w:rPr>
        <w:lastRenderedPageBreak/>
        <w:t>ANNEXURE VII.4</w:t>
      </w:r>
      <w:r w:rsidR="00F6454C" w:rsidRPr="003F4F94">
        <w:rPr>
          <w:sz w:val="20"/>
          <w:szCs w:val="20"/>
        </w:rPr>
        <w:br/>
      </w:r>
      <w:r w:rsidRPr="003F4F94">
        <w:rPr>
          <w:sz w:val="20"/>
          <w:szCs w:val="20"/>
        </w:rPr>
        <w:t>OVERALL REVENUE ACCOUNT POSITION</w:t>
      </w:r>
      <w:bookmarkEnd w:id="117"/>
      <w:bookmarkEnd w:id="118"/>
    </w:p>
    <w:p w14:paraId="2CA32F54" w14:textId="77777777" w:rsidR="00F6454C" w:rsidRPr="003F4F94" w:rsidRDefault="00F6454C" w:rsidP="00F6454C">
      <w:pPr>
        <w:tabs>
          <w:tab w:val="left" w:pos="3862"/>
        </w:tabs>
        <w:spacing w:after="0"/>
        <w:jc w:val="center"/>
        <w:rPr>
          <w:rFonts w:ascii="Times New Roman" w:hAnsi="Times New Roman" w:cs="Times New Roman"/>
          <w:sz w:val="18"/>
          <w:szCs w:val="16"/>
        </w:rPr>
      </w:pPr>
      <w:r w:rsidRPr="003F4F94">
        <w:rPr>
          <w:rFonts w:ascii="Times New Roman" w:hAnsi="Times New Roman" w:cs="Times New Roman"/>
          <w:b/>
          <w:bCs/>
          <w:sz w:val="18"/>
          <w:szCs w:val="16"/>
        </w:rPr>
        <w:t>(Para 7.27)</w:t>
      </w:r>
    </w:p>
    <w:p w14:paraId="17266E3E" w14:textId="272B2E11" w:rsidR="00E65B33" w:rsidRPr="00F6454C" w:rsidRDefault="00AA0ADC" w:rsidP="00AA0ADC">
      <w:pPr>
        <w:tabs>
          <w:tab w:val="left" w:pos="3862"/>
        </w:tabs>
        <w:spacing w:after="0"/>
        <w:jc w:val="center"/>
        <w:rPr>
          <w:rFonts w:ascii="Times New Roman" w:hAnsi="Times New Roman" w:cs="Times New Roman"/>
          <w:sz w:val="20"/>
          <w:szCs w:val="18"/>
        </w:rPr>
      </w:pPr>
      <w:r>
        <w:rPr>
          <w:rFonts w:ascii="Times New Roman" w:hAnsi="Times New Roman" w:cs="Times New Roman"/>
          <w:i/>
          <w:iCs/>
          <w:sz w:val="20"/>
          <w:szCs w:val="18"/>
        </w:rPr>
        <w:tab/>
      </w:r>
      <w:r>
        <w:rPr>
          <w:rFonts w:ascii="Times New Roman" w:hAnsi="Times New Roman" w:cs="Times New Roman"/>
          <w:i/>
          <w:iCs/>
          <w:sz w:val="20"/>
          <w:szCs w:val="18"/>
        </w:rPr>
        <w:tab/>
      </w:r>
      <w:r>
        <w:rPr>
          <w:rFonts w:ascii="Times New Roman" w:hAnsi="Times New Roman" w:cs="Times New Roman"/>
          <w:i/>
          <w:iCs/>
          <w:sz w:val="20"/>
          <w:szCs w:val="18"/>
        </w:rPr>
        <w:tab/>
      </w:r>
      <w:r>
        <w:rPr>
          <w:rFonts w:ascii="Times New Roman" w:hAnsi="Times New Roman" w:cs="Times New Roman"/>
          <w:i/>
          <w:iCs/>
          <w:sz w:val="20"/>
          <w:szCs w:val="18"/>
        </w:rPr>
        <w:tab/>
      </w:r>
      <w:r>
        <w:rPr>
          <w:rFonts w:ascii="Times New Roman" w:hAnsi="Times New Roman" w:cs="Times New Roman"/>
          <w:i/>
          <w:iCs/>
          <w:sz w:val="20"/>
          <w:szCs w:val="18"/>
        </w:rPr>
        <w:tab/>
      </w:r>
      <w:r>
        <w:rPr>
          <w:rFonts w:ascii="Times New Roman" w:hAnsi="Times New Roman" w:cs="Times New Roman"/>
          <w:i/>
          <w:iCs/>
          <w:sz w:val="20"/>
          <w:szCs w:val="18"/>
        </w:rPr>
        <w:tab/>
      </w:r>
      <w:r>
        <w:rPr>
          <w:rFonts w:ascii="Times New Roman" w:hAnsi="Times New Roman" w:cs="Times New Roman"/>
          <w:i/>
          <w:iCs/>
          <w:sz w:val="20"/>
          <w:szCs w:val="18"/>
        </w:rPr>
        <w:tab/>
      </w:r>
      <w:r w:rsidR="00E65B33" w:rsidRPr="00F6454C">
        <w:rPr>
          <w:rFonts w:ascii="Times New Roman" w:hAnsi="Times New Roman" w:cs="Times New Roman"/>
          <w:i/>
          <w:iCs/>
          <w:sz w:val="20"/>
          <w:szCs w:val="18"/>
        </w:rPr>
        <w:t>(Rs. Crore)</w:t>
      </w:r>
    </w:p>
    <w:tbl>
      <w:tblPr>
        <w:tblStyle w:val="TableGrid"/>
        <w:tblW w:w="9209" w:type="dxa"/>
        <w:jc w:val="center"/>
        <w:tblLayout w:type="fixed"/>
        <w:tblLook w:val="04A0" w:firstRow="1" w:lastRow="0" w:firstColumn="1" w:lastColumn="0" w:noHBand="0" w:noVBand="1"/>
      </w:tblPr>
      <w:tblGrid>
        <w:gridCol w:w="846"/>
        <w:gridCol w:w="971"/>
        <w:gridCol w:w="979"/>
        <w:gridCol w:w="1063"/>
        <w:gridCol w:w="1133"/>
        <w:gridCol w:w="1016"/>
        <w:gridCol w:w="1174"/>
        <w:gridCol w:w="893"/>
        <w:gridCol w:w="1134"/>
      </w:tblGrid>
      <w:tr w:rsidR="00AA0ADC" w:rsidRPr="00AA0ADC" w14:paraId="7811A004" w14:textId="77777777" w:rsidTr="00AA0ADC">
        <w:trPr>
          <w:trHeight w:val="20"/>
          <w:jc w:val="center"/>
        </w:trPr>
        <w:tc>
          <w:tcPr>
            <w:tcW w:w="846" w:type="dxa"/>
            <w:vAlign w:val="center"/>
            <w:hideMark/>
          </w:tcPr>
          <w:p w14:paraId="38600E60" w14:textId="77777777" w:rsidR="00E65B33" w:rsidRPr="00AA0ADC" w:rsidRDefault="00E65B33" w:rsidP="0084657D">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Year</w:t>
            </w:r>
          </w:p>
        </w:tc>
        <w:tc>
          <w:tcPr>
            <w:tcW w:w="971" w:type="dxa"/>
            <w:vAlign w:val="center"/>
            <w:hideMark/>
          </w:tcPr>
          <w:p w14:paraId="58144826" w14:textId="1BA3B2A4"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 xml:space="preserve">Pre-devolution surplus </w:t>
            </w:r>
            <w:r w:rsidR="00AA0ADC" w:rsidRPr="00AA0ADC">
              <w:rPr>
                <w:rFonts w:ascii="Times New Roman" w:hAnsi="Times New Roman" w:cs="Times New Roman"/>
                <w:b/>
                <w:bCs/>
                <w:sz w:val="18"/>
                <w:szCs w:val="18"/>
              </w:rPr>
              <w:t>deficit (</w:t>
            </w:r>
            <w:r w:rsidRPr="00AA0ADC">
              <w:rPr>
                <w:rFonts w:ascii="Times New Roman" w:hAnsi="Times New Roman" w:cs="Times New Roman"/>
                <w:b/>
                <w:bCs/>
                <w:sz w:val="18"/>
                <w:szCs w:val="18"/>
              </w:rPr>
              <w:t>-)</w:t>
            </w:r>
          </w:p>
        </w:tc>
        <w:tc>
          <w:tcPr>
            <w:tcW w:w="979" w:type="dxa"/>
            <w:vAlign w:val="center"/>
            <w:hideMark/>
          </w:tcPr>
          <w:p w14:paraId="1D20BA64"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Share in taxes including grant in lieu of railway passenger fare tax</w:t>
            </w:r>
          </w:p>
        </w:tc>
        <w:tc>
          <w:tcPr>
            <w:tcW w:w="1063" w:type="dxa"/>
            <w:vAlign w:val="center"/>
            <w:hideMark/>
          </w:tcPr>
          <w:p w14:paraId="0B9B46FA"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Non-Plan surplus or deficit (-) after devolution of share in taxes and railway passenger fare tax</w:t>
            </w:r>
          </w:p>
        </w:tc>
        <w:tc>
          <w:tcPr>
            <w:tcW w:w="1133" w:type="dxa"/>
            <w:vAlign w:val="center"/>
            <w:hideMark/>
          </w:tcPr>
          <w:p w14:paraId="5EFEA495"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Plan revenue expenditure (minimum)</w:t>
            </w:r>
          </w:p>
        </w:tc>
        <w:tc>
          <w:tcPr>
            <w:tcW w:w="1016" w:type="dxa"/>
            <w:vAlign w:val="center"/>
            <w:hideMark/>
          </w:tcPr>
          <w:p w14:paraId="69FCD812"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Grant portion of Central Assistance</w:t>
            </w:r>
          </w:p>
        </w:tc>
        <w:tc>
          <w:tcPr>
            <w:tcW w:w="1174" w:type="dxa"/>
            <w:vAlign w:val="center"/>
            <w:hideMark/>
          </w:tcPr>
          <w:p w14:paraId="23FA129E"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Revenue surplus or deficit (-) after receiving share in taxes, Central assistance and meeting revenue plan expenditure</w:t>
            </w:r>
          </w:p>
        </w:tc>
        <w:tc>
          <w:tcPr>
            <w:tcW w:w="893" w:type="dxa"/>
            <w:vAlign w:val="center"/>
            <w:hideMark/>
          </w:tcPr>
          <w:p w14:paraId="4BA8F656"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Grants under Article 275(1)</w:t>
            </w:r>
          </w:p>
        </w:tc>
        <w:tc>
          <w:tcPr>
            <w:tcW w:w="1134" w:type="dxa"/>
            <w:vAlign w:val="center"/>
            <w:hideMark/>
          </w:tcPr>
          <w:p w14:paraId="2BFF3143" w14:textId="77777777" w:rsidR="00E65B33" w:rsidRPr="00AA0ADC" w:rsidRDefault="00E65B33"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Total revenue account surplus or deficit (-) (difference between 7 &amp; 8)</w:t>
            </w:r>
          </w:p>
        </w:tc>
      </w:tr>
      <w:tr w:rsidR="003F4F94" w:rsidRPr="00AA0ADC" w14:paraId="03D1E819" w14:textId="77777777" w:rsidTr="00AA0ADC">
        <w:trPr>
          <w:trHeight w:val="20"/>
          <w:jc w:val="center"/>
        </w:trPr>
        <w:tc>
          <w:tcPr>
            <w:tcW w:w="9209" w:type="dxa"/>
            <w:gridSpan w:val="9"/>
            <w:vAlign w:val="center"/>
            <w:hideMark/>
          </w:tcPr>
          <w:p w14:paraId="44E0EC31" w14:textId="63819AA5"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ANDHRA</w:t>
            </w:r>
            <w:r w:rsidR="003F4F94" w:rsidRPr="00AA0ADC">
              <w:rPr>
                <w:rFonts w:ascii="Times New Roman" w:hAnsi="Times New Roman" w:cs="Times New Roman"/>
                <w:b/>
                <w:bCs/>
                <w:sz w:val="18"/>
                <w:szCs w:val="18"/>
              </w:rPr>
              <w:t xml:space="preserve"> PRADESH</w:t>
            </w:r>
          </w:p>
        </w:tc>
      </w:tr>
      <w:tr w:rsidR="00AA0ADC" w:rsidRPr="00AA0ADC" w14:paraId="2902351C" w14:textId="77777777" w:rsidTr="00AA0ADC">
        <w:trPr>
          <w:trHeight w:val="20"/>
          <w:jc w:val="center"/>
        </w:trPr>
        <w:tc>
          <w:tcPr>
            <w:tcW w:w="846" w:type="dxa"/>
            <w:vAlign w:val="center"/>
            <w:hideMark/>
          </w:tcPr>
          <w:p w14:paraId="26C1C7D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731B9AB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- 473.98</w:t>
            </w:r>
          </w:p>
        </w:tc>
        <w:tc>
          <w:tcPr>
            <w:tcW w:w="979" w:type="dxa"/>
            <w:vAlign w:val="center"/>
            <w:hideMark/>
          </w:tcPr>
          <w:p w14:paraId="050BD0C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1048.45</w:t>
            </w:r>
          </w:p>
        </w:tc>
        <w:tc>
          <w:tcPr>
            <w:tcW w:w="1063" w:type="dxa"/>
            <w:vAlign w:val="center"/>
            <w:hideMark/>
          </w:tcPr>
          <w:p w14:paraId="31560C6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574.47</w:t>
            </w:r>
          </w:p>
        </w:tc>
        <w:tc>
          <w:tcPr>
            <w:tcW w:w="1133" w:type="dxa"/>
            <w:vAlign w:val="center"/>
            <w:hideMark/>
          </w:tcPr>
          <w:p w14:paraId="4D27CE7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581.65</w:t>
            </w:r>
          </w:p>
        </w:tc>
        <w:tc>
          <w:tcPr>
            <w:tcW w:w="1016" w:type="dxa"/>
            <w:vAlign w:val="center"/>
            <w:hideMark/>
          </w:tcPr>
          <w:p w14:paraId="0B29C59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151.52</w:t>
            </w:r>
          </w:p>
        </w:tc>
        <w:tc>
          <w:tcPr>
            <w:tcW w:w="1174" w:type="dxa"/>
            <w:vAlign w:val="center"/>
            <w:hideMark/>
          </w:tcPr>
          <w:p w14:paraId="5C8EEBF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144.34</w:t>
            </w:r>
          </w:p>
        </w:tc>
        <w:tc>
          <w:tcPr>
            <w:tcW w:w="893" w:type="dxa"/>
            <w:vAlign w:val="center"/>
            <w:hideMark/>
          </w:tcPr>
          <w:p w14:paraId="71FEDA4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46.07</w:t>
            </w:r>
          </w:p>
        </w:tc>
        <w:tc>
          <w:tcPr>
            <w:tcW w:w="1134" w:type="dxa"/>
            <w:vAlign w:val="center"/>
            <w:hideMark/>
          </w:tcPr>
          <w:p w14:paraId="5908286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190.41</w:t>
            </w:r>
          </w:p>
        </w:tc>
      </w:tr>
      <w:tr w:rsidR="00AA0ADC" w:rsidRPr="00AA0ADC" w14:paraId="690D308B" w14:textId="77777777" w:rsidTr="00AA0ADC">
        <w:trPr>
          <w:trHeight w:val="20"/>
          <w:jc w:val="center"/>
        </w:trPr>
        <w:tc>
          <w:tcPr>
            <w:tcW w:w="846" w:type="dxa"/>
            <w:vAlign w:val="center"/>
            <w:hideMark/>
          </w:tcPr>
          <w:p w14:paraId="54BC302A"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52908F8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- 459.81</w:t>
            </w:r>
          </w:p>
        </w:tc>
        <w:tc>
          <w:tcPr>
            <w:tcW w:w="979" w:type="dxa"/>
            <w:vAlign w:val="center"/>
            <w:hideMark/>
          </w:tcPr>
          <w:p w14:paraId="0EDFFB5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1167.24</w:t>
            </w:r>
          </w:p>
        </w:tc>
        <w:tc>
          <w:tcPr>
            <w:tcW w:w="1063" w:type="dxa"/>
            <w:vAlign w:val="center"/>
            <w:hideMark/>
          </w:tcPr>
          <w:p w14:paraId="41B9769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707.43</w:t>
            </w:r>
          </w:p>
        </w:tc>
        <w:tc>
          <w:tcPr>
            <w:tcW w:w="1133" w:type="dxa"/>
            <w:vAlign w:val="center"/>
            <w:hideMark/>
          </w:tcPr>
          <w:p w14:paraId="03077E1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622.46</w:t>
            </w:r>
          </w:p>
        </w:tc>
        <w:tc>
          <w:tcPr>
            <w:tcW w:w="1016" w:type="dxa"/>
            <w:vAlign w:val="center"/>
            <w:hideMark/>
          </w:tcPr>
          <w:p w14:paraId="517CD5C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170.46</w:t>
            </w:r>
          </w:p>
        </w:tc>
        <w:tc>
          <w:tcPr>
            <w:tcW w:w="1174" w:type="dxa"/>
            <w:vAlign w:val="center"/>
            <w:hideMark/>
          </w:tcPr>
          <w:p w14:paraId="3D23021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255.43</w:t>
            </w:r>
          </w:p>
        </w:tc>
        <w:tc>
          <w:tcPr>
            <w:tcW w:w="893" w:type="dxa"/>
            <w:vAlign w:val="center"/>
            <w:hideMark/>
          </w:tcPr>
          <w:p w14:paraId="0313734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54.60</w:t>
            </w:r>
          </w:p>
        </w:tc>
        <w:tc>
          <w:tcPr>
            <w:tcW w:w="1134" w:type="dxa"/>
            <w:vAlign w:val="center"/>
            <w:hideMark/>
          </w:tcPr>
          <w:p w14:paraId="1C399B7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310.03</w:t>
            </w:r>
          </w:p>
        </w:tc>
      </w:tr>
      <w:tr w:rsidR="00AA0ADC" w:rsidRPr="00AA0ADC" w14:paraId="3CAD1678" w14:textId="77777777" w:rsidTr="00AA0ADC">
        <w:trPr>
          <w:trHeight w:val="20"/>
          <w:jc w:val="center"/>
        </w:trPr>
        <w:tc>
          <w:tcPr>
            <w:tcW w:w="846" w:type="dxa"/>
            <w:vAlign w:val="center"/>
            <w:hideMark/>
          </w:tcPr>
          <w:p w14:paraId="3A0C23F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7ECC313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- 446.96</w:t>
            </w:r>
          </w:p>
        </w:tc>
        <w:tc>
          <w:tcPr>
            <w:tcW w:w="979" w:type="dxa"/>
            <w:vAlign w:val="center"/>
            <w:hideMark/>
          </w:tcPr>
          <w:p w14:paraId="7A88E23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1299.77</w:t>
            </w:r>
          </w:p>
        </w:tc>
        <w:tc>
          <w:tcPr>
            <w:tcW w:w="1063" w:type="dxa"/>
            <w:vAlign w:val="center"/>
            <w:hideMark/>
          </w:tcPr>
          <w:p w14:paraId="705A827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852.81</w:t>
            </w:r>
          </w:p>
        </w:tc>
        <w:tc>
          <w:tcPr>
            <w:tcW w:w="1133" w:type="dxa"/>
            <w:vAlign w:val="center"/>
            <w:hideMark/>
          </w:tcPr>
          <w:p w14:paraId="5B4CC5A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666.03</w:t>
            </w:r>
          </w:p>
        </w:tc>
        <w:tc>
          <w:tcPr>
            <w:tcW w:w="1016" w:type="dxa"/>
            <w:vAlign w:val="center"/>
            <w:hideMark/>
          </w:tcPr>
          <w:p w14:paraId="2B47AC8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189.40</w:t>
            </w:r>
          </w:p>
        </w:tc>
        <w:tc>
          <w:tcPr>
            <w:tcW w:w="1174" w:type="dxa"/>
            <w:vAlign w:val="center"/>
            <w:hideMark/>
          </w:tcPr>
          <w:p w14:paraId="77B373F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376.18</w:t>
            </w:r>
          </w:p>
        </w:tc>
        <w:tc>
          <w:tcPr>
            <w:tcW w:w="893" w:type="dxa"/>
            <w:vAlign w:val="center"/>
            <w:hideMark/>
          </w:tcPr>
          <w:p w14:paraId="3A7597C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66.54</w:t>
            </w:r>
          </w:p>
        </w:tc>
        <w:tc>
          <w:tcPr>
            <w:tcW w:w="1134" w:type="dxa"/>
            <w:vAlign w:val="center"/>
            <w:hideMark/>
          </w:tcPr>
          <w:p w14:paraId="4C4CE2F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442.72</w:t>
            </w:r>
          </w:p>
        </w:tc>
      </w:tr>
      <w:tr w:rsidR="00AA0ADC" w:rsidRPr="00AA0ADC" w14:paraId="2ADDB03D" w14:textId="77777777" w:rsidTr="00AA0ADC">
        <w:trPr>
          <w:trHeight w:val="20"/>
          <w:jc w:val="center"/>
        </w:trPr>
        <w:tc>
          <w:tcPr>
            <w:tcW w:w="846" w:type="dxa"/>
            <w:vAlign w:val="center"/>
            <w:hideMark/>
          </w:tcPr>
          <w:p w14:paraId="5743DE8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61BC87D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- 432.67</w:t>
            </w:r>
          </w:p>
        </w:tc>
        <w:tc>
          <w:tcPr>
            <w:tcW w:w="979" w:type="dxa"/>
            <w:vAlign w:val="center"/>
            <w:hideMark/>
          </w:tcPr>
          <w:p w14:paraId="18B4B9D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1447.53</w:t>
            </w:r>
          </w:p>
        </w:tc>
        <w:tc>
          <w:tcPr>
            <w:tcW w:w="1063" w:type="dxa"/>
            <w:vAlign w:val="center"/>
            <w:hideMark/>
          </w:tcPr>
          <w:p w14:paraId="684A72C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1014.86</w:t>
            </w:r>
          </w:p>
        </w:tc>
        <w:tc>
          <w:tcPr>
            <w:tcW w:w="1133" w:type="dxa"/>
            <w:vAlign w:val="center"/>
            <w:hideMark/>
          </w:tcPr>
          <w:p w14:paraId="0B2217E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712.61</w:t>
            </w:r>
          </w:p>
        </w:tc>
        <w:tc>
          <w:tcPr>
            <w:tcW w:w="1016" w:type="dxa"/>
            <w:vAlign w:val="center"/>
            <w:hideMark/>
          </w:tcPr>
          <w:p w14:paraId="35FCE4E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208.34</w:t>
            </w:r>
          </w:p>
        </w:tc>
        <w:tc>
          <w:tcPr>
            <w:tcW w:w="1174" w:type="dxa"/>
            <w:vAlign w:val="center"/>
            <w:hideMark/>
          </w:tcPr>
          <w:p w14:paraId="41E6F4F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510.59</w:t>
            </w:r>
          </w:p>
        </w:tc>
        <w:tc>
          <w:tcPr>
            <w:tcW w:w="893" w:type="dxa"/>
            <w:vAlign w:val="center"/>
            <w:hideMark/>
          </w:tcPr>
          <w:p w14:paraId="544FBF2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78.49</w:t>
            </w:r>
          </w:p>
        </w:tc>
        <w:tc>
          <w:tcPr>
            <w:tcW w:w="1134" w:type="dxa"/>
            <w:vAlign w:val="center"/>
            <w:hideMark/>
          </w:tcPr>
          <w:p w14:paraId="12643F5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589.08</w:t>
            </w:r>
          </w:p>
        </w:tc>
      </w:tr>
      <w:tr w:rsidR="00AA0ADC" w:rsidRPr="00AA0ADC" w14:paraId="2A52F5CB" w14:textId="77777777" w:rsidTr="00AA0ADC">
        <w:trPr>
          <w:trHeight w:val="20"/>
          <w:jc w:val="center"/>
        </w:trPr>
        <w:tc>
          <w:tcPr>
            <w:tcW w:w="846" w:type="dxa"/>
            <w:vAlign w:val="center"/>
            <w:hideMark/>
          </w:tcPr>
          <w:p w14:paraId="15BED547"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5508B25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- 472.83</w:t>
            </w:r>
          </w:p>
        </w:tc>
        <w:tc>
          <w:tcPr>
            <w:tcW w:w="979" w:type="dxa"/>
            <w:vAlign w:val="center"/>
            <w:hideMark/>
          </w:tcPr>
          <w:p w14:paraId="49AEEAF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1612.48</w:t>
            </w:r>
          </w:p>
        </w:tc>
        <w:tc>
          <w:tcPr>
            <w:tcW w:w="1063" w:type="dxa"/>
            <w:vAlign w:val="center"/>
            <w:hideMark/>
          </w:tcPr>
          <w:p w14:paraId="56787EB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1139.65</w:t>
            </w:r>
          </w:p>
        </w:tc>
        <w:tc>
          <w:tcPr>
            <w:tcW w:w="1133" w:type="dxa"/>
            <w:vAlign w:val="center"/>
            <w:hideMark/>
          </w:tcPr>
          <w:p w14:paraId="67A0FCE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762.45</w:t>
            </w:r>
          </w:p>
        </w:tc>
        <w:tc>
          <w:tcPr>
            <w:tcW w:w="1016" w:type="dxa"/>
            <w:vAlign w:val="center"/>
            <w:hideMark/>
          </w:tcPr>
          <w:p w14:paraId="26140BE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227.28</w:t>
            </w:r>
          </w:p>
        </w:tc>
        <w:tc>
          <w:tcPr>
            <w:tcW w:w="1174" w:type="dxa"/>
            <w:vAlign w:val="center"/>
            <w:hideMark/>
          </w:tcPr>
          <w:p w14:paraId="6A18934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604.48</w:t>
            </w:r>
          </w:p>
        </w:tc>
        <w:tc>
          <w:tcPr>
            <w:tcW w:w="893" w:type="dxa"/>
            <w:vAlign w:val="center"/>
            <w:hideMark/>
          </w:tcPr>
          <w:p w14:paraId="4BD6CAC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95.55</w:t>
            </w:r>
          </w:p>
        </w:tc>
        <w:tc>
          <w:tcPr>
            <w:tcW w:w="1134" w:type="dxa"/>
            <w:vAlign w:val="center"/>
            <w:hideMark/>
          </w:tcPr>
          <w:p w14:paraId="0A2E392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700.03</w:t>
            </w:r>
          </w:p>
        </w:tc>
      </w:tr>
      <w:tr w:rsidR="00AA0ADC" w:rsidRPr="00AA0ADC" w14:paraId="2155B8C9" w14:textId="77777777" w:rsidTr="00AA0ADC">
        <w:trPr>
          <w:trHeight w:val="20"/>
          <w:jc w:val="center"/>
        </w:trPr>
        <w:tc>
          <w:tcPr>
            <w:tcW w:w="846" w:type="dxa"/>
            <w:vAlign w:val="center"/>
            <w:hideMark/>
          </w:tcPr>
          <w:p w14:paraId="4BAC2CCF"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273FE6A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- 2286.25</w:t>
            </w:r>
          </w:p>
        </w:tc>
        <w:tc>
          <w:tcPr>
            <w:tcW w:w="979" w:type="dxa"/>
            <w:vAlign w:val="center"/>
            <w:hideMark/>
          </w:tcPr>
          <w:p w14:paraId="59806C4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6575.47</w:t>
            </w:r>
          </w:p>
        </w:tc>
        <w:tc>
          <w:tcPr>
            <w:tcW w:w="1063" w:type="dxa"/>
            <w:vAlign w:val="center"/>
            <w:hideMark/>
          </w:tcPr>
          <w:p w14:paraId="2EC606C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4289.22</w:t>
            </w:r>
          </w:p>
        </w:tc>
        <w:tc>
          <w:tcPr>
            <w:tcW w:w="1133" w:type="dxa"/>
            <w:vAlign w:val="center"/>
            <w:hideMark/>
          </w:tcPr>
          <w:p w14:paraId="7DFEE23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3345.20</w:t>
            </w:r>
          </w:p>
        </w:tc>
        <w:tc>
          <w:tcPr>
            <w:tcW w:w="1016" w:type="dxa"/>
            <w:vAlign w:val="center"/>
            <w:hideMark/>
          </w:tcPr>
          <w:p w14:paraId="36398E0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947.00</w:t>
            </w:r>
          </w:p>
        </w:tc>
        <w:tc>
          <w:tcPr>
            <w:tcW w:w="1174" w:type="dxa"/>
            <w:vAlign w:val="center"/>
            <w:hideMark/>
          </w:tcPr>
          <w:p w14:paraId="590B97E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1891.02</w:t>
            </w:r>
          </w:p>
        </w:tc>
        <w:tc>
          <w:tcPr>
            <w:tcW w:w="893" w:type="dxa"/>
            <w:vAlign w:val="center"/>
            <w:hideMark/>
          </w:tcPr>
          <w:p w14:paraId="2CCFA3E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341.25</w:t>
            </w:r>
          </w:p>
        </w:tc>
        <w:tc>
          <w:tcPr>
            <w:tcW w:w="1134" w:type="dxa"/>
            <w:vAlign w:val="center"/>
            <w:hideMark/>
          </w:tcPr>
          <w:p w14:paraId="34CFC21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2232.27</w:t>
            </w:r>
          </w:p>
        </w:tc>
      </w:tr>
      <w:tr w:rsidR="003F4F94" w:rsidRPr="00AA0ADC" w14:paraId="0CDB2918" w14:textId="77777777" w:rsidTr="00AA0ADC">
        <w:trPr>
          <w:trHeight w:val="20"/>
          <w:jc w:val="center"/>
        </w:trPr>
        <w:tc>
          <w:tcPr>
            <w:tcW w:w="9209" w:type="dxa"/>
            <w:gridSpan w:val="9"/>
            <w:vAlign w:val="center"/>
            <w:hideMark/>
          </w:tcPr>
          <w:p w14:paraId="11CD524E" w14:textId="463B43C0"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BIHAR</w:t>
            </w:r>
          </w:p>
        </w:tc>
      </w:tr>
      <w:tr w:rsidR="00AA0ADC" w:rsidRPr="00AA0ADC" w14:paraId="6CE29DC2" w14:textId="77777777" w:rsidTr="00AA0ADC">
        <w:trPr>
          <w:trHeight w:val="20"/>
          <w:jc w:val="center"/>
        </w:trPr>
        <w:tc>
          <w:tcPr>
            <w:tcW w:w="846" w:type="dxa"/>
            <w:vAlign w:val="center"/>
            <w:hideMark/>
          </w:tcPr>
          <w:p w14:paraId="4EC43E6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599A061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-1360.17</w:t>
            </w:r>
          </w:p>
        </w:tc>
        <w:tc>
          <w:tcPr>
            <w:tcW w:w="979" w:type="dxa"/>
            <w:vAlign w:val="center"/>
            <w:hideMark/>
          </w:tcPr>
          <w:p w14:paraId="04E7E3E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1541.53</w:t>
            </w:r>
          </w:p>
        </w:tc>
        <w:tc>
          <w:tcPr>
            <w:tcW w:w="1063" w:type="dxa"/>
            <w:vAlign w:val="center"/>
            <w:hideMark/>
          </w:tcPr>
          <w:p w14:paraId="4F1E654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181.36</w:t>
            </w:r>
          </w:p>
        </w:tc>
        <w:tc>
          <w:tcPr>
            <w:tcW w:w="1133" w:type="dxa"/>
            <w:vAlign w:val="center"/>
            <w:hideMark/>
          </w:tcPr>
          <w:p w14:paraId="5C1FA77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877.30</w:t>
            </w:r>
          </w:p>
        </w:tc>
        <w:tc>
          <w:tcPr>
            <w:tcW w:w="1016" w:type="dxa"/>
            <w:vAlign w:val="center"/>
            <w:hideMark/>
          </w:tcPr>
          <w:p w14:paraId="456837D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202.72</w:t>
            </w:r>
          </w:p>
        </w:tc>
        <w:tc>
          <w:tcPr>
            <w:tcW w:w="1174" w:type="dxa"/>
            <w:vAlign w:val="center"/>
            <w:hideMark/>
          </w:tcPr>
          <w:p w14:paraId="4A32915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- 493.22</w:t>
            </w:r>
          </w:p>
        </w:tc>
        <w:tc>
          <w:tcPr>
            <w:tcW w:w="893" w:type="dxa"/>
            <w:vAlign w:val="center"/>
            <w:hideMark/>
          </w:tcPr>
          <w:p w14:paraId="10FD86F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185.53</w:t>
            </w:r>
          </w:p>
        </w:tc>
        <w:tc>
          <w:tcPr>
            <w:tcW w:w="1134" w:type="dxa"/>
            <w:vAlign w:val="center"/>
            <w:hideMark/>
          </w:tcPr>
          <w:p w14:paraId="692FE14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- 307.69</w:t>
            </w:r>
          </w:p>
        </w:tc>
      </w:tr>
      <w:tr w:rsidR="00AA0ADC" w:rsidRPr="00AA0ADC" w14:paraId="134B4E69" w14:textId="77777777" w:rsidTr="00AA0ADC">
        <w:trPr>
          <w:trHeight w:val="20"/>
          <w:jc w:val="center"/>
        </w:trPr>
        <w:tc>
          <w:tcPr>
            <w:tcW w:w="846" w:type="dxa"/>
            <w:vAlign w:val="center"/>
            <w:hideMark/>
          </w:tcPr>
          <w:p w14:paraId="4CCB1F6D"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27816D7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-1350.17</w:t>
            </w:r>
          </w:p>
        </w:tc>
        <w:tc>
          <w:tcPr>
            <w:tcW w:w="979" w:type="dxa"/>
            <w:vAlign w:val="center"/>
            <w:hideMark/>
          </w:tcPr>
          <w:p w14:paraId="2B524CE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1716.45</w:t>
            </w:r>
          </w:p>
        </w:tc>
        <w:tc>
          <w:tcPr>
            <w:tcW w:w="1063" w:type="dxa"/>
            <w:vAlign w:val="center"/>
            <w:hideMark/>
          </w:tcPr>
          <w:p w14:paraId="0F5CCA0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366.28</w:t>
            </w:r>
          </w:p>
        </w:tc>
        <w:tc>
          <w:tcPr>
            <w:tcW w:w="1133" w:type="dxa"/>
            <w:vAlign w:val="center"/>
            <w:hideMark/>
          </w:tcPr>
          <w:p w14:paraId="75BF4A6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938.86</w:t>
            </w:r>
          </w:p>
        </w:tc>
        <w:tc>
          <w:tcPr>
            <w:tcW w:w="1016" w:type="dxa"/>
            <w:vAlign w:val="center"/>
            <w:hideMark/>
          </w:tcPr>
          <w:p w14:paraId="469645C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228.06</w:t>
            </w:r>
          </w:p>
        </w:tc>
        <w:tc>
          <w:tcPr>
            <w:tcW w:w="1174" w:type="dxa"/>
            <w:vAlign w:val="center"/>
            <w:hideMark/>
          </w:tcPr>
          <w:p w14:paraId="0DFFE6F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- 344.52</w:t>
            </w:r>
          </w:p>
        </w:tc>
        <w:tc>
          <w:tcPr>
            <w:tcW w:w="893" w:type="dxa"/>
            <w:vAlign w:val="center"/>
            <w:hideMark/>
          </w:tcPr>
          <w:p w14:paraId="2D4B8AD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219.88</w:t>
            </w:r>
          </w:p>
        </w:tc>
        <w:tc>
          <w:tcPr>
            <w:tcW w:w="1134" w:type="dxa"/>
            <w:vAlign w:val="center"/>
            <w:hideMark/>
          </w:tcPr>
          <w:p w14:paraId="461AF58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- 124.64</w:t>
            </w:r>
          </w:p>
        </w:tc>
      </w:tr>
      <w:tr w:rsidR="00AA0ADC" w:rsidRPr="00AA0ADC" w14:paraId="6DFC1D5D" w14:textId="77777777" w:rsidTr="00AA0ADC">
        <w:trPr>
          <w:trHeight w:val="20"/>
          <w:jc w:val="center"/>
        </w:trPr>
        <w:tc>
          <w:tcPr>
            <w:tcW w:w="846" w:type="dxa"/>
            <w:vAlign w:val="center"/>
            <w:hideMark/>
          </w:tcPr>
          <w:p w14:paraId="4B0BD55B"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2004DB4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- 1400.45</w:t>
            </w:r>
          </w:p>
        </w:tc>
        <w:tc>
          <w:tcPr>
            <w:tcW w:w="979" w:type="dxa"/>
            <w:vAlign w:val="center"/>
            <w:hideMark/>
          </w:tcPr>
          <w:p w14:paraId="755CF6C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1911.58</w:t>
            </w:r>
          </w:p>
        </w:tc>
        <w:tc>
          <w:tcPr>
            <w:tcW w:w="1063" w:type="dxa"/>
            <w:vAlign w:val="center"/>
            <w:hideMark/>
          </w:tcPr>
          <w:p w14:paraId="0A731A4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511.13</w:t>
            </w:r>
          </w:p>
        </w:tc>
        <w:tc>
          <w:tcPr>
            <w:tcW w:w="1133" w:type="dxa"/>
            <w:vAlign w:val="center"/>
            <w:hideMark/>
          </w:tcPr>
          <w:p w14:paraId="7CC44A2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1004.58</w:t>
            </w:r>
          </w:p>
        </w:tc>
        <w:tc>
          <w:tcPr>
            <w:tcW w:w="1016" w:type="dxa"/>
            <w:vAlign w:val="center"/>
            <w:hideMark/>
          </w:tcPr>
          <w:p w14:paraId="115D4F4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253.40</w:t>
            </w:r>
          </w:p>
        </w:tc>
        <w:tc>
          <w:tcPr>
            <w:tcW w:w="1174" w:type="dxa"/>
            <w:vAlign w:val="center"/>
            <w:hideMark/>
          </w:tcPr>
          <w:p w14:paraId="43B7F92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- 240.05</w:t>
            </w:r>
          </w:p>
        </w:tc>
        <w:tc>
          <w:tcPr>
            <w:tcW w:w="893" w:type="dxa"/>
            <w:vAlign w:val="center"/>
            <w:hideMark/>
          </w:tcPr>
          <w:p w14:paraId="03DDAE7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267.98</w:t>
            </w:r>
          </w:p>
        </w:tc>
        <w:tc>
          <w:tcPr>
            <w:tcW w:w="1134" w:type="dxa"/>
            <w:vAlign w:val="center"/>
            <w:hideMark/>
          </w:tcPr>
          <w:p w14:paraId="6A7A397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27.93</w:t>
            </w:r>
          </w:p>
        </w:tc>
      </w:tr>
      <w:tr w:rsidR="00AA0ADC" w:rsidRPr="00AA0ADC" w14:paraId="73DFCF20" w14:textId="77777777" w:rsidTr="00AA0ADC">
        <w:trPr>
          <w:trHeight w:val="20"/>
          <w:jc w:val="center"/>
        </w:trPr>
        <w:tc>
          <w:tcPr>
            <w:tcW w:w="846" w:type="dxa"/>
            <w:vAlign w:val="center"/>
            <w:hideMark/>
          </w:tcPr>
          <w:p w14:paraId="7BFF786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12BA54B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-1453.42</w:t>
            </w:r>
          </w:p>
        </w:tc>
        <w:tc>
          <w:tcPr>
            <w:tcW w:w="979" w:type="dxa"/>
            <w:vAlign w:val="center"/>
            <w:hideMark/>
          </w:tcPr>
          <w:p w14:paraId="114FE55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2129.12</w:t>
            </w:r>
          </w:p>
        </w:tc>
        <w:tc>
          <w:tcPr>
            <w:tcW w:w="1063" w:type="dxa"/>
            <w:vAlign w:val="center"/>
            <w:hideMark/>
          </w:tcPr>
          <w:p w14:paraId="411E08A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675.70</w:t>
            </w:r>
          </w:p>
        </w:tc>
        <w:tc>
          <w:tcPr>
            <w:tcW w:w="1133" w:type="dxa"/>
            <w:vAlign w:val="center"/>
            <w:hideMark/>
          </w:tcPr>
          <w:p w14:paraId="383FDF6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1074.84</w:t>
            </w:r>
          </w:p>
        </w:tc>
        <w:tc>
          <w:tcPr>
            <w:tcW w:w="1016" w:type="dxa"/>
            <w:vAlign w:val="center"/>
            <w:hideMark/>
          </w:tcPr>
          <w:p w14:paraId="0569D38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278.74</w:t>
            </w:r>
          </w:p>
        </w:tc>
        <w:tc>
          <w:tcPr>
            <w:tcW w:w="1174" w:type="dxa"/>
            <w:vAlign w:val="center"/>
            <w:hideMark/>
          </w:tcPr>
          <w:p w14:paraId="47E581F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- 120.40</w:t>
            </w:r>
          </w:p>
        </w:tc>
        <w:tc>
          <w:tcPr>
            <w:tcW w:w="893" w:type="dxa"/>
            <w:vAlign w:val="center"/>
            <w:hideMark/>
          </w:tcPr>
          <w:p w14:paraId="4AB8C8D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316.08</w:t>
            </w:r>
          </w:p>
        </w:tc>
        <w:tc>
          <w:tcPr>
            <w:tcW w:w="1134" w:type="dxa"/>
            <w:vAlign w:val="center"/>
            <w:hideMark/>
          </w:tcPr>
          <w:p w14:paraId="2DFD923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195.68</w:t>
            </w:r>
          </w:p>
        </w:tc>
      </w:tr>
      <w:tr w:rsidR="00AA0ADC" w:rsidRPr="00AA0ADC" w14:paraId="061AC7B6" w14:textId="77777777" w:rsidTr="00AA0ADC">
        <w:trPr>
          <w:trHeight w:val="20"/>
          <w:jc w:val="center"/>
        </w:trPr>
        <w:tc>
          <w:tcPr>
            <w:tcW w:w="846" w:type="dxa"/>
            <w:vAlign w:val="center"/>
            <w:hideMark/>
          </w:tcPr>
          <w:p w14:paraId="6C19FBD4"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3BDEE1F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- 1531.17</w:t>
            </w:r>
          </w:p>
        </w:tc>
        <w:tc>
          <w:tcPr>
            <w:tcW w:w="979" w:type="dxa"/>
            <w:vAlign w:val="center"/>
            <w:hideMark/>
          </w:tcPr>
          <w:p w14:paraId="708E79A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2371.85</w:t>
            </w:r>
          </w:p>
        </w:tc>
        <w:tc>
          <w:tcPr>
            <w:tcW w:w="1063" w:type="dxa"/>
            <w:vAlign w:val="center"/>
            <w:hideMark/>
          </w:tcPr>
          <w:p w14:paraId="24DD976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840.68</w:t>
            </w:r>
          </w:p>
        </w:tc>
        <w:tc>
          <w:tcPr>
            <w:tcW w:w="1133" w:type="dxa"/>
            <w:vAlign w:val="center"/>
            <w:hideMark/>
          </w:tcPr>
          <w:p w14:paraId="6405B94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1150.02</w:t>
            </w:r>
          </w:p>
        </w:tc>
        <w:tc>
          <w:tcPr>
            <w:tcW w:w="1016" w:type="dxa"/>
            <w:vAlign w:val="center"/>
            <w:hideMark/>
          </w:tcPr>
          <w:p w14:paraId="4AA1025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304.08</w:t>
            </w:r>
          </w:p>
        </w:tc>
        <w:tc>
          <w:tcPr>
            <w:tcW w:w="1174" w:type="dxa"/>
            <w:vAlign w:val="center"/>
            <w:hideMark/>
          </w:tcPr>
          <w:p w14:paraId="1DE312D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- 5.26</w:t>
            </w:r>
          </w:p>
        </w:tc>
        <w:tc>
          <w:tcPr>
            <w:tcW w:w="893" w:type="dxa"/>
            <w:vAlign w:val="center"/>
            <w:hideMark/>
          </w:tcPr>
          <w:p w14:paraId="2B561F5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384.80</w:t>
            </w:r>
          </w:p>
        </w:tc>
        <w:tc>
          <w:tcPr>
            <w:tcW w:w="1134" w:type="dxa"/>
            <w:vAlign w:val="center"/>
            <w:hideMark/>
          </w:tcPr>
          <w:p w14:paraId="21FD1BA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379.54</w:t>
            </w:r>
          </w:p>
        </w:tc>
      </w:tr>
      <w:tr w:rsidR="00AA0ADC" w:rsidRPr="00AA0ADC" w14:paraId="463BBA4C" w14:textId="77777777" w:rsidTr="00AA0ADC">
        <w:trPr>
          <w:trHeight w:val="20"/>
          <w:jc w:val="center"/>
        </w:trPr>
        <w:tc>
          <w:tcPr>
            <w:tcW w:w="846" w:type="dxa"/>
            <w:vAlign w:val="center"/>
            <w:hideMark/>
          </w:tcPr>
          <w:p w14:paraId="4C6C5620"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7330EEA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- 7095.38</w:t>
            </w:r>
          </w:p>
        </w:tc>
        <w:tc>
          <w:tcPr>
            <w:tcW w:w="979" w:type="dxa"/>
            <w:vAlign w:val="center"/>
            <w:hideMark/>
          </w:tcPr>
          <w:p w14:paraId="373F6AA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9670.53</w:t>
            </w:r>
          </w:p>
        </w:tc>
        <w:tc>
          <w:tcPr>
            <w:tcW w:w="1063" w:type="dxa"/>
            <w:vAlign w:val="center"/>
            <w:hideMark/>
          </w:tcPr>
          <w:p w14:paraId="16EAA21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2575.15</w:t>
            </w:r>
          </w:p>
        </w:tc>
        <w:tc>
          <w:tcPr>
            <w:tcW w:w="1133" w:type="dxa"/>
            <w:vAlign w:val="center"/>
            <w:hideMark/>
          </w:tcPr>
          <w:p w14:paraId="4259330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5045.60</w:t>
            </w:r>
          </w:p>
        </w:tc>
        <w:tc>
          <w:tcPr>
            <w:tcW w:w="1016" w:type="dxa"/>
            <w:vAlign w:val="center"/>
            <w:hideMark/>
          </w:tcPr>
          <w:p w14:paraId="7306A7B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1267.00</w:t>
            </w:r>
          </w:p>
        </w:tc>
        <w:tc>
          <w:tcPr>
            <w:tcW w:w="1174" w:type="dxa"/>
            <w:vAlign w:val="center"/>
            <w:hideMark/>
          </w:tcPr>
          <w:p w14:paraId="615D2F6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- 1203.45</w:t>
            </w:r>
          </w:p>
        </w:tc>
        <w:tc>
          <w:tcPr>
            <w:tcW w:w="893" w:type="dxa"/>
            <w:vAlign w:val="center"/>
            <w:hideMark/>
          </w:tcPr>
          <w:p w14:paraId="4EF19D4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1374.27</w:t>
            </w:r>
          </w:p>
        </w:tc>
        <w:tc>
          <w:tcPr>
            <w:tcW w:w="1134" w:type="dxa"/>
            <w:vAlign w:val="center"/>
            <w:hideMark/>
          </w:tcPr>
          <w:p w14:paraId="262A779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170.82</w:t>
            </w:r>
          </w:p>
        </w:tc>
      </w:tr>
      <w:tr w:rsidR="003F4F94" w:rsidRPr="00AA0ADC" w14:paraId="745734F0" w14:textId="77777777" w:rsidTr="00AA0ADC">
        <w:trPr>
          <w:trHeight w:val="20"/>
          <w:jc w:val="center"/>
        </w:trPr>
        <w:tc>
          <w:tcPr>
            <w:tcW w:w="9209" w:type="dxa"/>
            <w:gridSpan w:val="9"/>
            <w:vAlign w:val="center"/>
            <w:hideMark/>
          </w:tcPr>
          <w:p w14:paraId="3F5328F6" w14:textId="6EBC5256"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GUJARAT</w:t>
            </w:r>
          </w:p>
        </w:tc>
      </w:tr>
      <w:tr w:rsidR="00AA0ADC" w:rsidRPr="00AA0ADC" w14:paraId="6DC5CA87" w14:textId="77777777" w:rsidTr="00AA0ADC">
        <w:trPr>
          <w:trHeight w:val="20"/>
          <w:jc w:val="center"/>
        </w:trPr>
        <w:tc>
          <w:tcPr>
            <w:tcW w:w="846" w:type="dxa"/>
            <w:vAlign w:val="center"/>
            <w:hideMark/>
          </w:tcPr>
          <w:p w14:paraId="5096D7A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45DBA38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- 44.22</w:t>
            </w:r>
          </w:p>
        </w:tc>
        <w:tc>
          <w:tcPr>
            <w:tcW w:w="979" w:type="dxa"/>
            <w:vAlign w:val="center"/>
            <w:hideMark/>
          </w:tcPr>
          <w:p w14:paraId="161DD3B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542.28</w:t>
            </w:r>
          </w:p>
        </w:tc>
        <w:tc>
          <w:tcPr>
            <w:tcW w:w="1063" w:type="dxa"/>
            <w:vAlign w:val="center"/>
            <w:hideMark/>
          </w:tcPr>
          <w:p w14:paraId="1150644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498.06</w:t>
            </w:r>
          </w:p>
        </w:tc>
        <w:tc>
          <w:tcPr>
            <w:tcW w:w="1133" w:type="dxa"/>
            <w:vAlign w:val="center"/>
            <w:hideMark/>
          </w:tcPr>
          <w:p w14:paraId="5424E71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309.36</w:t>
            </w:r>
          </w:p>
        </w:tc>
        <w:tc>
          <w:tcPr>
            <w:tcW w:w="1016" w:type="dxa"/>
            <w:vAlign w:val="center"/>
            <w:hideMark/>
          </w:tcPr>
          <w:p w14:paraId="26C246A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69.60</w:t>
            </w:r>
          </w:p>
        </w:tc>
        <w:tc>
          <w:tcPr>
            <w:tcW w:w="1174" w:type="dxa"/>
            <w:vAlign w:val="center"/>
            <w:hideMark/>
          </w:tcPr>
          <w:p w14:paraId="061C703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258.30</w:t>
            </w:r>
          </w:p>
        </w:tc>
        <w:tc>
          <w:tcPr>
            <w:tcW w:w="893" w:type="dxa"/>
            <w:vAlign w:val="center"/>
            <w:hideMark/>
          </w:tcPr>
          <w:p w14:paraId="0C09029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50B5E95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258.30</w:t>
            </w:r>
          </w:p>
        </w:tc>
      </w:tr>
      <w:tr w:rsidR="00AA0ADC" w:rsidRPr="00AA0ADC" w14:paraId="3C2B61EB" w14:textId="77777777" w:rsidTr="00AA0ADC">
        <w:trPr>
          <w:trHeight w:val="20"/>
          <w:jc w:val="center"/>
        </w:trPr>
        <w:tc>
          <w:tcPr>
            <w:tcW w:w="846" w:type="dxa"/>
            <w:vAlign w:val="center"/>
            <w:hideMark/>
          </w:tcPr>
          <w:p w14:paraId="57F79D0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514FABF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27.41</w:t>
            </w:r>
          </w:p>
        </w:tc>
        <w:tc>
          <w:tcPr>
            <w:tcW w:w="979" w:type="dxa"/>
            <w:vAlign w:val="center"/>
            <w:hideMark/>
          </w:tcPr>
          <w:p w14:paraId="788448A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603.20</w:t>
            </w:r>
          </w:p>
        </w:tc>
        <w:tc>
          <w:tcPr>
            <w:tcW w:w="1063" w:type="dxa"/>
            <w:vAlign w:val="center"/>
            <w:hideMark/>
          </w:tcPr>
          <w:p w14:paraId="05E4953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630.61</w:t>
            </w:r>
          </w:p>
        </w:tc>
        <w:tc>
          <w:tcPr>
            <w:tcW w:w="1133" w:type="dxa"/>
            <w:vAlign w:val="center"/>
            <w:hideMark/>
          </w:tcPr>
          <w:p w14:paraId="2D3D821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331.06</w:t>
            </w:r>
          </w:p>
        </w:tc>
        <w:tc>
          <w:tcPr>
            <w:tcW w:w="1016" w:type="dxa"/>
            <w:vAlign w:val="center"/>
            <w:hideMark/>
          </w:tcPr>
          <w:p w14:paraId="2BB4E37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78.30</w:t>
            </w:r>
          </w:p>
        </w:tc>
        <w:tc>
          <w:tcPr>
            <w:tcW w:w="1174" w:type="dxa"/>
            <w:vAlign w:val="center"/>
            <w:hideMark/>
          </w:tcPr>
          <w:p w14:paraId="5587BCD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377.85</w:t>
            </w:r>
          </w:p>
        </w:tc>
        <w:tc>
          <w:tcPr>
            <w:tcW w:w="893" w:type="dxa"/>
            <w:vAlign w:val="center"/>
            <w:hideMark/>
          </w:tcPr>
          <w:p w14:paraId="5363CE0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36E2F70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377.85</w:t>
            </w:r>
          </w:p>
        </w:tc>
      </w:tr>
      <w:tr w:rsidR="00AA0ADC" w:rsidRPr="00AA0ADC" w14:paraId="28A5DD33" w14:textId="77777777" w:rsidTr="00AA0ADC">
        <w:trPr>
          <w:trHeight w:val="20"/>
          <w:jc w:val="center"/>
        </w:trPr>
        <w:tc>
          <w:tcPr>
            <w:tcW w:w="846" w:type="dxa"/>
            <w:vAlign w:val="center"/>
            <w:hideMark/>
          </w:tcPr>
          <w:p w14:paraId="67584BCF"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4161436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106.03</w:t>
            </w:r>
          </w:p>
        </w:tc>
        <w:tc>
          <w:tcPr>
            <w:tcW w:w="979" w:type="dxa"/>
            <w:vAlign w:val="center"/>
            <w:hideMark/>
          </w:tcPr>
          <w:p w14:paraId="4B6496C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671.11</w:t>
            </w:r>
          </w:p>
        </w:tc>
        <w:tc>
          <w:tcPr>
            <w:tcW w:w="1063" w:type="dxa"/>
            <w:vAlign w:val="center"/>
            <w:hideMark/>
          </w:tcPr>
          <w:p w14:paraId="6CF8EC2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777.14</w:t>
            </w:r>
          </w:p>
        </w:tc>
        <w:tc>
          <w:tcPr>
            <w:tcW w:w="1133" w:type="dxa"/>
            <w:vAlign w:val="center"/>
            <w:hideMark/>
          </w:tcPr>
          <w:p w14:paraId="2488F6F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354.24</w:t>
            </w:r>
          </w:p>
        </w:tc>
        <w:tc>
          <w:tcPr>
            <w:tcW w:w="1016" w:type="dxa"/>
            <w:vAlign w:val="center"/>
            <w:hideMark/>
          </w:tcPr>
          <w:p w14:paraId="3577A81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87.00</w:t>
            </w:r>
          </w:p>
        </w:tc>
        <w:tc>
          <w:tcPr>
            <w:tcW w:w="1174" w:type="dxa"/>
            <w:vAlign w:val="center"/>
            <w:hideMark/>
          </w:tcPr>
          <w:p w14:paraId="4A77667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509.90</w:t>
            </w:r>
          </w:p>
        </w:tc>
        <w:tc>
          <w:tcPr>
            <w:tcW w:w="893" w:type="dxa"/>
            <w:vAlign w:val="center"/>
            <w:hideMark/>
          </w:tcPr>
          <w:p w14:paraId="61A20E2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21071B0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509.90</w:t>
            </w:r>
          </w:p>
        </w:tc>
      </w:tr>
      <w:tr w:rsidR="00AA0ADC" w:rsidRPr="00AA0ADC" w14:paraId="65C48818" w14:textId="77777777" w:rsidTr="00AA0ADC">
        <w:trPr>
          <w:trHeight w:val="20"/>
          <w:jc w:val="center"/>
        </w:trPr>
        <w:tc>
          <w:tcPr>
            <w:tcW w:w="846" w:type="dxa"/>
            <w:vAlign w:val="center"/>
            <w:hideMark/>
          </w:tcPr>
          <w:p w14:paraId="7E23C3B1"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3D17592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203.32</w:t>
            </w:r>
          </w:p>
        </w:tc>
        <w:tc>
          <w:tcPr>
            <w:tcW w:w="979" w:type="dxa"/>
            <w:vAlign w:val="center"/>
            <w:hideMark/>
          </w:tcPr>
          <w:p w14:paraId="43C4371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746.80</w:t>
            </w:r>
          </w:p>
        </w:tc>
        <w:tc>
          <w:tcPr>
            <w:tcW w:w="1063" w:type="dxa"/>
            <w:vAlign w:val="center"/>
            <w:hideMark/>
          </w:tcPr>
          <w:p w14:paraId="5983165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950.12</w:t>
            </w:r>
          </w:p>
        </w:tc>
        <w:tc>
          <w:tcPr>
            <w:tcW w:w="1133" w:type="dxa"/>
            <w:vAlign w:val="center"/>
            <w:hideMark/>
          </w:tcPr>
          <w:p w14:paraId="14FE154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379.02</w:t>
            </w:r>
          </w:p>
        </w:tc>
        <w:tc>
          <w:tcPr>
            <w:tcW w:w="1016" w:type="dxa"/>
            <w:vAlign w:val="center"/>
            <w:hideMark/>
          </w:tcPr>
          <w:p w14:paraId="728210D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95.70</w:t>
            </w:r>
          </w:p>
        </w:tc>
        <w:tc>
          <w:tcPr>
            <w:tcW w:w="1174" w:type="dxa"/>
            <w:vAlign w:val="center"/>
            <w:hideMark/>
          </w:tcPr>
          <w:p w14:paraId="02CBF03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666.80</w:t>
            </w:r>
          </w:p>
        </w:tc>
        <w:tc>
          <w:tcPr>
            <w:tcW w:w="893" w:type="dxa"/>
            <w:vAlign w:val="center"/>
            <w:hideMark/>
          </w:tcPr>
          <w:p w14:paraId="64CBB3D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75C01A7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666.80</w:t>
            </w:r>
          </w:p>
        </w:tc>
      </w:tr>
      <w:tr w:rsidR="00AA0ADC" w:rsidRPr="00AA0ADC" w14:paraId="1AAB999E" w14:textId="77777777" w:rsidTr="00AA0ADC">
        <w:trPr>
          <w:trHeight w:val="20"/>
          <w:jc w:val="center"/>
        </w:trPr>
        <w:tc>
          <w:tcPr>
            <w:tcW w:w="846" w:type="dxa"/>
            <w:vAlign w:val="center"/>
            <w:hideMark/>
          </w:tcPr>
          <w:p w14:paraId="3FA5EF8A"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5BE34D6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270.72</w:t>
            </w:r>
          </w:p>
        </w:tc>
        <w:tc>
          <w:tcPr>
            <w:tcW w:w="979" w:type="dxa"/>
            <w:vAlign w:val="center"/>
            <w:hideMark/>
          </w:tcPr>
          <w:p w14:paraId="3A1D8B8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831.29</w:t>
            </w:r>
          </w:p>
        </w:tc>
        <w:tc>
          <w:tcPr>
            <w:tcW w:w="1063" w:type="dxa"/>
            <w:vAlign w:val="center"/>
            <w:hideMark/>
          </w:tcPr>
          <w:p w14:paraId="1A7EF12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1102.01</w:t>
            </w:r>
          </w:p>
        </w:tc>
        <w:tc>
          <w:tcPr>
            <w:tcW w:w="1133" w:type="dxa"/>
            <w:vAlign w:val="center"/>
            <w:hideMark/>
          </w:tcPr>
          <w:p w14:paraId="12F6D5C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405.52</w:t>
            </w:r>
          </w:p>
        </w:tc>
        <w:tc>
          <w:tcPr>
            <w:tcW w:w="1016" w:type="dxa"/>
            <w:vAlign w:val="center"/>
            <w:hideMark/>
          </w:tcPr>
          <w:p w14:paraId="22737D3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104.40</w:t>
            </w:r>
          </w:p>
        </w:tc>
        <w:tc>
          <w:tcPr>
            <w:tcW w:w="1174" w:type="dxa"/>
            <w:vAlign w:val="center"/>
            <w:hideMark/>
          </w:tcPr>
          <w:p w14:paraId="4396BB7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800.89</w:t>
            </w:r>
          </w:p>
        </w:tc>
        <w:tc>
          <w:tcPr>
            <w:tcW w:w="893" w:type="dxa"/>
            <w:vAlign w:val="center"/>
            <w:hideMark/>
          </w:tcPr>
          <w:p w14:paraId="08A25E9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581437C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800.89</w:t>
            </w:r>
          </w:p>
        </w:tc>
      </w:tr>
      <w:tr w:rsidR="00AA0ADC" w:rsidRPr="00AA0ADC" w14:paraId="6DCF82B0" w14:textId="77777777" w:rsidTr="00AA0ADC">
        <w:trPr>
          <w:trHeight w:val="20"/>
          <w:jc w:val="center"/>
        </w:trPr>
        <w:tc>
          <w:tcPr>
            <w:tcW w:w="846" w:type="dxa"/>
            <w:vAlign w:val="center"/>
            <w:hideMark/>
          </w:tcPr>
          <w:p w14:paraId="4431063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27C807D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563.26</w:t>
            </w:r>
          </w:p>
        </w:tc>
        <w:tc>
          <w:tcPr>
            <w:tcW w:w="979" w:type="dxa"/>
            <w:vAlign w:val="center"/>
            <w:hideMark/>
          </w:tcPr>
          <w:p w14:paraId="3FE225E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3394.68</w:t>
            </w:r>
          </w:p>
        </w:tc>
        <w:tc>
          <w:tcPr>
            <w:tcW w:w="1063" w:type="dxa"/>
            <w:vAlign w:val="center"/>
            <w:hideMark/>
          </w:tcPr>
          <w:p w14:paraId="61D5552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3957.94</w:t>
            </w:r>
          </w:p>
        </w:tc>
        <w:tc>
          <w:tcPr>
            <w:tcW w:w="1133" w:type="dxa"/>
            <w:vAlign w:val="center"/>
            <w:hideMark/>
          </w:tcPr>
          <w:p w14:paraId="5031910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1779.20</w:t>
            </w:r>
          </w:p>
        </w:tc>
        <w:tc>
          <w:tcPr>
            <w:tcW w:w="1016" w:type="dxa"/>
            <w:vAlign w:val="center"/>
            <w:hideMark/>
          </w:tcPr>
          <w:p w14:paraId="18950EF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435.00</w:t>
            </w:r>
          </w:p>
        </w:tc>
        <w:tc>
          <w:tcPr>
            <w:tcW w:w="1174" w:type="dxa"/>
            <w:vAlign w:val="center"/>
            <w:hideMark/>
          </w:tcPr>
          <w:p w14:paraId="296CACC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2613.74</w:t>
            </w:r>
          </w:p>
        </w:tc>
        <w:tc>
          <w:tcPr>
            <w:tcW w:w="893" w:type="dxa"/>
            <w:vAlign w:val="center"/>
            <w:hideMark/>
          </w:tcPr>
          <w:p w14:paraId="492DBA0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7A46163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2613.74</w:t>
            </w:r>
          </w:p>
        </w:tc>
      </w:tr>
      <w:tr w:rsidR="003F4F94" w:rsidRPr="00AA0ADC" w14:paraId="7E537B9E" w14:textId="77777777" w:rsidTr="00AA0ADC">
        <w:trPr>
          <w:trHeight w:val="20"/>
          <w:jc w:val="center"/>
        </w:trPr>
        <w:tc>
          <w:tcPr>
            <w:tcW w:w="9209" w:type="dxa"/>
            <w:gridSpan w:val="9"/>
            <w:vAlign w:val="center"/>
            <w:hideMark/>
          </w:tcPr>
          <w:p w14:paraId="2253A7A7" w14:textId="3C57599B"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HARYANA</w:t>
            </w:r>
          </w:p>
        </w:tc>
      </w:tr>
      <w:tr w:rsidR="00AA0ADC" w:rsidRPr="00AA0ADC" w14:paraId="4DA281F3" w14:textId="77777777" w:rsidTr="00AA0ADC">
        <w:trPr>
          <w:trHeight w:val="20"/>
          <w:jc w:val="center"/>
        </w:trPr>
        <w:tc>
          <w:tcPr>
            <w:tcW w:w="846" w:type="dxa"/>
            <w:vAlign w:val="center"/>
            <w:hideMark/>
          </w:tcPr>
          <w:p w14:paraId="63BA6750"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011A5F4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158.57</w:t>
            </w:r>
          </w:p>
        </w:tc>
        <w:tc>
          <w:tcPr>
            <w:tcW w:w="979" w:type="dxa"/>
            <w:vAlign w:val="center"/>
            <w:hideMark/>
          </w:tcPr>
          <w:p w14:paraId="6BC5D9E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180.24</w:t>
            </w:r>
          </w:p>
        </w:tc>
        <w:tc>
          <w:tcPr>
            <w:tcW w:w="1063" w:type="dxa"/>
            <w:vAlign w:val="center"/>
            <w:hideMark/>
          </w:tcPr>
          <w:p w14:paraId="2044FB6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338.81</w:t>
            </w:r>
          </w:p>
        </w:tc>
        <w:tc>
          <w:tcPr>
            <w:tcW w:w="1133" w:type="dxa"/>
            <w:vAlign w:val="center"/>
            <w:hideMark/>
          </w:tcPr>
          <w:p w14:paraId="116CD83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146.82</w:t>
            </w:r>
          </w:p>
        </w:tc>
        <w:tc>
          <w:tcPr>
            <w:tcW w:w="1016" w:type="dxa"/>
            <w:vAlign w:val="center"/>
            <w:hideMark/>
          </w:tcPr>
          <w:p w14:paraId="17AF61E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34.88</w:t>
            </w:r>
          </w:p>
        </w:tc>
        <w:tc>
          <w:tcPr>
            <w:tcW w:w="1174" w:type="dxa"/>
            <w:vAlign w:val="center"/>
            <w:hideMark/>
          </w:tcPr>
          <w:p w14:paraId="3E4B2C3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226.87</w:t>
            </w:r>
          </w:p>
        </w:tc>
        <w:tc>
          <w:tcPr>
            <w:tcW w:w="893" w:type="dxa"/>
            <w:vAlign w:val="center"/>
            <w:hideMark/>
          </w:tcPr>
          <w:p w14:paraId="64ECF3C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71510E6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226.87</w:t>
            </w:r>
          </w:p>
        </w:tc>
      </w:tr>
      <w:tr w:rsidR="00AA0ADC" w:rsidRPr="00AA0ADC" w14:paraId="50A1AFB4" w14:textId="77777777" w:rsidTr="00AA0ADC">
        <w:trPr>
          <w:trHeight w:val="20"/>
          <w:jc w:val="center"/>
        </w:trPr>
        <w:tc>
          <w:tcPr>
            <w:tcW w:w="846" w:type="dxa"/>
            <w:vAlign w:val="center"/>
            <w:hideMark/>
          </w:tcPr>
          <w:p w14:paraId="6E601CEB"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784254C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206.81</w:t>
            </w:r>
          </w:p>
        </w:tc>
        <w:tc>
          <w:tcPr>
            <w:tcW w:w="979" w:type="dxa"/>
            <w:vAlign w:val="center"/>
            <w:hideMark/>
          </w:tcPr>
          <w:p w14:paraId="23BC89B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200.71</w:t>
            </w:r>
          </w:p>
        </w:tc>
        <w:tc>
          <w:tcPr>
            <w:tcW w:w="1063" w:type="dxa"/>
            <w:vAlign w:val="center"/>
            <w:hideMark/>
          </w:tcPr>
          <w:p w14:paraId="12FB85A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407.52</w:t>
            </w:r>
          </w:p>
        </w:tc>
        <w:tc>
          <w:tcPr>
            <w:tcW w:w="1133" w:type="dxa"/>
            <w:vAlign w:val="center"/>
            <w:hideMark/>
          </w:tcPr>
          <w:p w14:paraId="5643012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157.12</w:t>
            </w:r>
          </w:p>
        </w:tc>
        <w:tc>
          <w:tcPr>
            <w:tcW w:w="1016" w:type="dxa"/>
            <w:vAlign w:val="center"/>
            <w:hideMark/>
          </w:tcPr>
          <w:p w14:paraId="63910D5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39.24</w:t>
            </w:r>
          </w:p>
        </w:tc>
        <w:tc>
          <w:tcPr>
            <w:tcW w:w="1174" w:type="dxa"/>
            <w:vAlign w:val="center"/>
            <w:hideMark/>
          </w:tcPr>
          <w:p w14:paraId="4EB89A7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289.64</w:t>
            </w:r>
          </w:p>
        </w:tc>
        <w:tc>
          <w:tcPr>
            <w:tcW w:w="893" w:type="dxa"/>
            <w:vAlign w:val="center"/>
            <w:hideMark/>
          </w:tcPr>
          <w:p w14:paraId="1B0AB05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041C66D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289.64</w:t>
            </w:r>
          </w:p>
        </w:tc>
      </w:tr>
      <w:tr w:rsidR="00AA0ADC" w:rsidRPr="00AA0ADC" w14:paraId="1D5DD490" w14:textId="77777777" w:rsidTr="00AA0ADC">
        <w:trPr>
          <w:trHeight w:val="20"/>
          <w:jc w:val="center"/>
        </w:trPr>
        <w:tc>
          <w:tcPr>
            <w:tcW w:w="846" w:type="dxa"/>
            <w:vAlign w:val="center"/>
            <w:hideMark/>
          </w:tcPr>
          <w:p w14:paraId="65DE5A50"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1E3BABA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256.45</w:t>
            </w:r>
          </w:p>
        </w:tc>
        <w:tc>
          <w:tcPr>
            <w:tcW w:w="979" w:type="dxa"/>
            <w:vAlign w:val="center"/>
            <w:hideMark/>
          </w:tcPr>
          <w:p w14:paraId="72359B9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223.55</w:t>
            </w:r>
          </w:p>
        </w:tc>
        <w:tc>
          <w:tcPr>
            <w:tcW w:w="1063" w:type="dxa"/>
            <w:vAlign w:val="center"/>
            <w:hideMark/>
          </w:tcPr>
          <w:p w14:paraId="0D9E828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480.00</w:t>
            </w:r>
          </w:p>
        </w:tc>
        <w:tc>
          <w:tcPr>
            <w:tcW w:w="1133" w:type="dxa"/>
            <w:vAlign w:val="center"/>
            <w:hideMark/>
          </w:tcPr>
          <w:p w14:paraId="1501BE4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168.12</w:t>
            </w:r>
          </w:p>
        </w:tc>
        <w:tc>
          <w:tcPr>
            <w:tcW w:w="1016" w:type="dxa"/>
            <w:vAlign w:val="center"/>
            <w:hideMark/>
          </w:tcPr>
          <w:p w14:paraId="7EED3F5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43.60</w:t>
            </w:r>
          </w:p>
        </w:tc>
        <w:tc>
          <w:tcPr>
            <w:tcW w:w="1174" w:type="dxa"/>
            <w:vAlign w:val="center"/>
            <w:hideMark/>
          </w:tcPr>
          <w:p w14:paraId="6EA5055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355.48</w:t>
            </w:r>
          </w:p>
        </w:tc>
        <w:tc>
          <w:tcPr>
            <w:tcW w:w="893" w:type="dxa"/>
            <w:vAlign w:val="center"/>
            <w:hideMark/>
          </w:tcPr>
          <w:p w14:paraId="4BCAAEC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399ED4F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355.48</w:t>
            </w:r>
          </w:p>
        </w:tc>
      </w:tr>
      <w:tr w:rsidR="00AA0ADC" w:rsidRPr="00AA0ADC" w14:paraId="7607AC73" w14:textId="77777777" w:rsidTr="00AA0ADC">
        <w:trPr>
          <w:trHeight w:val="20"/>
          <w:jc w:val="center"/>
        </w:trPr>
        <w:tc>
          <w:tcPr>
            <w:tcW w:w="846" w:type="dxa"/>
            <w:vAlign w:val="center"/>
            <w:hideMark/>
          </w:tcPr>
          <w:p w14:paraId="33B06C4F"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1237DDE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337.42</w:t>
            </w:r>
          </w:p>
        </w:tc>
        <w:tc>
          <w:tcPr>
            <w:tcW w:w="979" w:type="dxa"/>
            <w:vAlign w:val="center"/>
            <w:hideMark/>
          </w:tcPr>
          <w:p w14:paraId="0449B50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249.04</w:t>
            </w:r>
          </w:p>
        </w:tc>
        <w:tc>
          <w:tcPr>
            <w:tcW w:w="1063" w:type="dxa"/>
            <w:vAlign w:val="center"/>
            <w:hideMark/>
          </w:tcPr>
          <w:p w14:paraId="1AB27E8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586.46</w:t>
            </w:r>
          </w:p>
        </w:tc>
        <w:tc>
          <w:tcPr>
            <w:tcW w:w="1133" w:type="dxa"/>
            <w:vAlign w:val="center"/>
            <w:hideMark/>
          </w:tcPr>
          <w:p w14:paraId="4CAD92C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179.88</w:t>
            </w:r>
          </w:p>
        </w:tc>
        <w:tc>
          <w:tcPr>
            <w:tcW w:w="1016" w:type="dxa"/>
            <w:vAlign w:val="center"/>
            <w:hideMark/>
          </w:tcPr>
          <w:p w14:paraId="39E3E46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47.96</w:t>
            </w:r>
          </w:p>
        </w:tc>
        <w:tc>
          <w:tcPr>
            <w:tcW w:w="1174" w:type="dxa"/>
            <w:vAlign w:val="center"/>
            <w:hideMark/>
          </w:tcPr>
          <w:p w14:paraId="76BE520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454.54</w:t>
            </w:r>
          </w:p>
        </w:tc>
        <w:tc>
          <w:tcPr>
            <w:tcW w:w="893" w:type="dxa"/>
            <w:vAlign w:val="center"/>
            <w:hideMark/>
          </w:tcPr>
          <w:p w14:paraId="7E5CE39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4C9472D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454.54</w:t>
            </w:r>
          </w:p>
        </w:tc>
      </w:tr>
      <w:tr w:rsidR="00AA0ADC" w:rsidRPr="00AA0ADC" w14:paraId="05D3AB99" w14:textId="77777777" w:rsidTr="00AA0ADC">
        <w:trPr>
          <w:trHeight w:val="20"/>
          <w:jc w:val="center"/>
        </w:trPr>
        <w:tc>
          <w:tcPr>
            <w:tcW w:w="846" w:type="dxa"/>
            <w:vAlign w:val="center"/>
            <w:hideMark/>
          </w:tcPr>
          <w:p w14:paraId="1F6FB70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1BCC8BB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414.75</w:t>
            </w:r>
          </w:p>
        </w:tc>
        <w:tc>
          <w:tcPr>
            <w:tcW w:w="979" w:type="dxa"/>
            <w:vAlign w:val="center"/>
            <w:hideMark/>
          </w:tcPr>
          <w:p w14:paraId="1117AF1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277.52</w:t>
            </w:r>
          </w:p>
        </w:tc>
        <w:tc>
          <w:tcPr>
            <w:tcW w:w="1063" w:type="dxa"/>
            <w:vAlign w:val="center"/>
            <w:hideMark/>
          </w:tcPr>
          <w:p w14:paraId="54A5ACA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692.27</w:t>
            </w:r>
          </w:p>
        </w:tc>
        <w:tc>
          <w:tcPr>
            <w:tcW w:w="1133" w:type="dxa"/>
            <w:vAlign w:val="center"/>
            <w:hideMark/>
          </w:tcPr>
          <w:p w14:paraId="72DD303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192.46</w:t>
            </w:r>
          </w:p>
        </w:tc>
        <w:tc>
          <w:tcPr>
            <w:tcW w:w="1016" w:type="dxa"/>
            <w:vAlign w:val="center"/>
            <w:hideMark/>
          </w:tcPr>
          <w:p w14:paraId="2A8FE55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52.32</w:t>
            </w:r>
          </w:p>
        </w:tc>
        <w:tc>
          <w:tcPr>
            <w:tcW w:w="1174" w:type="dxa"/>
            <w:vAlign w:val="center"/>
            <w:hideMark/>
          </w:tcPr>
          <w:p w14:paraId="6D5DB3A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552.13</w:t>
            </w:r>
          </w:p>
        </w:tc>
        <w:tc>
          <w:tcPr>
            <w:tcW w:w="893" w:type="dxa"/>
            <w:vAlign w:val="center"/>
            <w:hideMark/>
          </w:tcPr>
          <w:p w14:paraId="3EC1522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197A59C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552.13</w:t>
            </w:r>
          </w:p>
        </w:tc>
      </w:tr>
      <w:tr w:rsidR="00AA0ADC" w:rsidRPr="00AA0ADC" w14:paraId="203308B1" w14:textId="77777777" w:rsidTr="00AA0ADC">
        <w:trPr>
          <w:trHeight w:val="20"/>
          <w:jc w:val="center"/>
        </w:trPr>
        <w:tc>
          <w:tcPr>
            <w:tcW w:w="846" w:type="dxa"/>
            <w:vAlign w:val="center"/>
            <w:hideMark/>
          </w:tcPr>
          <w:p w14:paraId="246AC0CF"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2E738FD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1374.00</w:t>
            </w:r>
          </w:p>
        </w:tc>
        <w:tc>
          <w:tcPr>
            <w:tcW w:w="979" w:type="dxa"/>
            <w:vAlign w:val="center"/>
            <w:hideMark/>
          </w:tcPr>
          <w:p w14:paraId="22618E8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1131.06</w:t>
            </w:r>
          </w:p>
        </w:tc>
        <w:tc>
          <w:tcPr>
            <w:tcW w:w="1063" w:type="dxa"/>
            <w:vAlign w:val="center"/>
            <w:hideMark/>
          </w:tcPr>
          <w:p w14:paraId="13A6D5E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2505.06</w:t>
            </w:r>
          </w:p>
        </w:tc>
        <w:tc>
          <w:tcPr>
            <w:tcW w:w="1133" w:type="dxa"/>
            <w:vAlign w:val="center"/>
            <w:hideMark/>
          </w:tcPr>
          <w:p w14:paraId="02698DA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844.40</w:t>
            </w:r>
          </w:p>
        </w:tc>
        <w:tc>
          <w:tcPr>
            <w:tcW w:w="1016" w:type="dxa"/>
            <w:vAlign w:val="center"/>
            <w:hideMark/>
          </w:tcPr>
          <w:p w14:paraId="266B63F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218.00</w:t>
            </w:r>
          </w:p>
        </w:tc>
        <w:tc>
          <w:tcPr>
            <w:tcW w:w="1174" w:type="dxa"/>
            <w:vAlign w:val="center"/>
            <w:hideMark/>
          </w:tcPr>
          <w:p w14:paraId="00E67B4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1878.66</w:t>
            </w:r>
          </w:p>
        </w:tc>
        <w:tc>
          <w:tcPr>
            <w:tcW w:w="893" w:type="dxa"/>
            <w:vAlign w:val="center"/>
            <w:hideMark/>
          </w:tcPr>
          <w:p w14:paraId="251367D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7484A82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1878.66</w:t>
            </w:r>
          </w:p>
        </w:tc>
      </w:tr>
      <w:tr w:rsidR="003F4F94" w:rsidRPr="00AA0ADC" w14:paraId="2039E557" w14:textId="77777777" w:rsidTr="00AA0ADC">
        <w:trPr>
          <w:trHeight w:val="20"/>
          <w:jc w:val="center"/>
        </w:trPr>
        <w:tc>
          <w:tcPr>
            <w:tcW w:w="9209" w:type="dxa"/>
            <w:gridSpan w:val="9"/>
            <w:vAlign w:val="center"/>
            <w:hideMark/>
          </w:tcPr>
          <w:p w14:paraId="7898FD4A" w14:textId="241E2484"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KARNATAKA</w:t>
            </w:r>
          </w:p>
        </w:tc>
      </w:tr>
      <w:tr w:rsidR="00AA0ADC" w:rsidRPr="00AA0ADC" w14:paraId="74F51982" w14:textId="77777777" w:rsidTr="00AA0ADC">
        <w:trPr>
          <w:trHeight w:val="20"/>
          <w:jc w:val="center"/>
        </w:trPr>
        <w:tc>
          <w:tcPr>
            <w:tcW w:w="846" w:type="dxa"/>
            <w:vAlign w:val="center"/>
            <w:hideMark/>
          </w:tcPr>
          <w:p w14:paraId="681FEBFB"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2BACF0E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-19.21</w:t>
            </w:r>
          </w:p>
        </w:tc>
        <w:tc>
          <w:tcPr>
            <w:tcW w:w="979" w:type="dxa"/>
            <w:vAlign w:val="center"/>
            <w:hideMark/>
          </w:tcPr>
          <w:p w14:paraId="24A3676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631.32</w:t>
            </w:r>
          </w:p>
        </w:tc>
        <w:tc>
          <w:tcPr>
            <w:tcW w:w="1063" w:type="dxa"/>
            <w:vAlign w:val="center"/>
            <w:hideMark/>
          </w:tcPr>
          <w:p w14:paraId="2BC3845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612.11</w:t>
            </w:r>
          </w:p>
        </w:tc>
        <w:tc>
          <w:tcPr>
            <w:tcW w:w="1133" w:type="dxa"/>
            <w:vAlign w:val="center"/>
            <w:hideMark/>
          </w:tcPr>
          <w:p w14:paraId="06B8928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383.64</w:t>
            </w:r>
          </w:p>
        </w:tc>
        <w:tc>
          <w:tcPr>
            <w:tcW w:w="1016" w:type="dxa"/>
            <w:vAlign w:val="center"/>
            <w:hideMark/>
          </w:tcPr>
          <w:p w14:paraId="71D9791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76.16</w:t>
            </w:r>
          </w:p>
        </w:tc>
        <w:tc>
          <w:tcPr>
            <w:tcW w:w="1174" w:type="dxa"/>
            <w:vAlign w:val="center"/>
            <w:hideMark/>
          </w:tcPr>
          <w:p w14:paraId="3F0653F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304.63</w:t>
            </w:r>
          </w:p>
        </w:tc>
        <w:tc>
          <w:tcPr>
            <w:tcW w:w="893" w:type="dxa"/>
            <w:vAlign w:val="center"/>
            <w:hideMark/>
          </w:tcPr>
          <w:p w14:paraId="70D0465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0127F52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304.63</w:t>
            </w:r>
          </w:p>
        </w:tc>
      </w:tr>
      <w:tr w:rsidR="00AA0ADC" w:rsidRPr="00AA0ADC" w14:paraId="3F76E6AA" w14:textId="77777777" w:rsidTr="00AA0ADC">
        <w:trPr>
          <w:trHeight w:val="20"/>
          <w:jc w:val="center"/>
        </w:trPr>
        <w:tc>
          <w:tcPr>
            <w:tcW w:w="846" w:type="dxa"/>
            <w:vAlign w:val="center"/>
            <w:hideMark/>
          </w:tcPr>
          <w:p w14:paraId="79E0747B"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32E1796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54.37</w:t>
            </w:r>
          </w:p>
        </w:tc>
        <w:tc>
          <w:tcPr>
            <w:tcW w:w="979" w:type="dxa"/>
            <w:vAlign w:val="center"/>
            <w:hideMark/>
          </w:tcPr>
          <w:p w14:paraId="0EFB8C3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703.09</w:t>
            </w:r>
          </w:p>
        </w:tc>
        <w:tc>
          <w:tcPr>
            <w:tcW w:w="1063" w:type="dxa"/>
            <w:vAlign w:val="center"/>
            <w:hideMark/>
          </w:tcPr>
          <w:p w14:paraId="633DB52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757.46</w:t>
            </w:r>
          </w:p>
        </w:tc>
        <w:tc>
          <w:tcPr>
            <w:tcW w:w="1133" w:type="dxa"/>
            <w:vAlign w:val="center"/>
            <w:hideMark/>
          </w:tcPr>
          <w:p w14:paraId="515B56F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410.56</w:t>
            </w:r>
          </w:p>
        </w:tc>
        <w:tc>
          <w:tcPr>
            <w:tcW w:w="1016" w:type="dxa"/>
            <w:vAlign w:val="center"/>
            <w:hideMark/>
          </w:tcPr>
          <w:p w14:paraId="3824D5C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85.68</w:t>
            </w:r>
          </w:p>
        </w:tc>
        <w:tc>
          <w:tcPr>
            <w:tcW w:w="1174" w:type="dxa"/>
            <w:vAlign w:val="center"/>
            <w:hideMark/>
          </w:tcPr>
          <w:p w14:paraId="7829A05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432.58</w:t>
            </w:r>
          </w:p>
        </w:tc>
        <w:tc>
          <w:tcPr>
            <w:tcW w:w="893" w:type="dxa"/>
            <w:vAlign w:val="center"/>
            <w:hideMark/>
          </w:tcPr>
          <w:p w14:paraId="6FF8DEC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39885D7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432.58</w:t>
            </w:r>
          </w:p>
        </w:tc>
      </w:tr>
      <w:tr w:rsidR="00AA0ADC" w:rsidRPr="00AA0ADC" w14:paraId="3B9D7A15" w14:textId="77777777" w:rsidTr="00AA0ADC">
        <w:trPr>
          <w:trHeight w:val="20"/>
          <w:jc w:val="center"/>
        </w:trPr>
        <w:tc>
          <w:tcPr>
            <w:tcW w:w="846" w:type="dxa"/>
            <w:vAlign w:val="center"/>
            <w:hideMark/>
          </w:tcPr>
          <w:p w14:paraId="4F7BDD53"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5DE6A3A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137.29</w:t>
            </w:r>
          </w:p>
        </w:tc>
        <w:tc>
          <w:tcPr>
            <w:tcW w:w="979" w:type="dxa"/>
            <w:vAlign w:val="center"/>
            <w:hideMark/>
          </w:tcPr>
          <w:p w14:paraId="74200F3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783.14</w:t>
            </w:r>
          </w:p>
        </w:tc>
        <w:tc>
          <w:tcPr>
            <w:tcW w:w="1063" w:type="dxa"/>
            <w:vAlign w:val="center"/>
            <w:hideMark/>
          </w:tcPr>
          <w:p w14:paraId="0CF5500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920.43</w:t>
            </w:r>
          </w:p>
        </w:tc>
        <w:tc>
          <w:tcPr>
            <w:tcW w:w="1133" w:type="dxa"/>
            <w:vAlign w:val="center"/>
            <w:hideMark/>
          </w:tcPr>
          <w:p w14:paraId="3A0C17A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439.29</w:t>
            </w:r>
          </w:p>
        </w:tc>
        <w:tc>
          <w:tcPr>
            <w:tcW w:w="1016" w:type="dxa"/>
            <w:vAlign w:val="center"/>
            <w:hideMark/>
          </w:tcPr>
          <w:p w14:paraId="7CF425D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95.20</w:t>
            </w:r>
          </w:p>
        </w:tc>
        <w:tc>
          <w:tcPr>
            <w:tcW w:w="1174" w:type="dxa"/>
            <w:vAlign w:val="center"/>
            <w:hideMark/>
          </w:tcPr>
          <w:p w14:paraId="3D5D014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576.34</w:t>
            </w:r>
          </w:p>
        </w:tc>
        <w:tc>
          <w:tcPr>
            <w:tcW w:w="893" w:type="dxa"/>
            <w:vAlign w:val="center"/>
            <w:hideMark/>
          </w:tcPr>
          <w:p w14:paraId="3406B59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00724A6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576.34</w:t>
            </w:r>
          </w:p>
        </w:tc>
      </w:tr>
      <w:tr w:rsidR="00AA0ADC" w:rsidRPr="00AA0ADC" w14:paraId="075340BD" w14:textId="77777777" w:rsidTr="00AA0ADC">
        <w:trPr>
          <w:trHeight w:val="20"/>
          <w:jc w:val="center"/>
        </w:trPr>
        <w:tc>
          <w:tcPr>
            <w:tcW w:w="846" w:type="dxa"/>
            <w:vAlign w:val="center"/>
            <w:hideMark/>
          </w:tcPr>
          <w:p w14:paraId="23614C9A"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66C46E2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231.71</w:t>
            </w:r>
          </w:p>
        </w:tc>
        <w:tc>
          <w:tcPr>
            <w:tcW w:w="979" w:type="dxa"/>
            <w:vAlign w:val="center"/>
            <w:hideMark/>
          </w:tcPr>
          <w:p w14:paraId="18C2056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872.40</w:t>
            </w:r>
          </w:p>
        </w:tc>
        <w:tc>
          <w:tcPr>
            <w:tcW w:w="1063" w:type="dxa"/>
            <w:vAlign w:val="center"/>
            <w:hideMark/>
          </w:tcPr>
          <w:p w14:paraId="66567F0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1104.11</w:t>
            </w:r>
          </w:p>
        </w:tc>
        <w:tc>
          <w:tcPr>
            <w:tcW w:w="1133" w:type="dxa"/>
            <w:vAlign w:val="center"/>
            <w:hideMark/>
          </w:tcPr>
          <w:p w14:paraId="1F5459B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470.02</w:t>
            </w:r>
          </w:p>
        </w:tc>
        <w:tc>
          <w:tcPr>
            <w:tcW w:w="1016" w:type="dxa"/>
            <w:vAlign w:val="center"/>
            <w:hideMark/>
          </w:tcPr>
          <w:p w14:paraId="02023BA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104.72</w:t>
            </w:r>
          </w:p>
        </w:tc>
        <w:tc>
          <w:tcPr>
            <w:tcW w:w="1174" w:type="dxa"/>
            <w:vAlign w:val="center"/>
            <w:hideMark/>
          </w:tcPr>
          <w:p w14:paraId="2AB6AF9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738.81</w:t>
            </w:r>
          </w:p>
        </w:tc>
        <w:tc>
          <w:tcPr>
            <w:tcW w:w="893" w:type="dxa"/>
            <w:vAlign w:val="center"/>
            <w:hideMark/>
          </w:tcPr>
          <w:p w14:paraId="3D7BD3E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527C584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738.81</w:t>
            </w:r>
          </w:p>
        </w:tc>
      </w:tr>
      <w:tr w:rsidR="00AA0ADC" w:rsidRPr="00AA0ADC" w14:paraId="7DAB8D98" w14:textId="77777777" w:rsidTr="00AA0ADC">
        <w:trPr>
          <w:trHeight w:val="20"/>
          <w:jc w:val="center"/>
        </w:trPr>
        <w:tc>
          <w:tcPr>
            <w:tcW w:w="846" w:type="dxa"/>
            <w:vAlign w:val="center"/>
            <w:hideMark/>
          </w:tcPr>
          <w:p w14:paraId="1FE734D4"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03E27C4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304.61</w:t>
            </w:r>
          </w:p>
        </w:tc>
        <w:tc>
          <w:tcPr>
            <w:tcW w:w="979" w:type="dxa"/>
            <w:vAlign w:val="center"/>
            <w:hideMark/>
          </w:tcPr>
          <w:p w14:paraId="22C5E89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972.07</w:t>
            </w:r>
          </w:p>
        </w:tc>
        <w:tc>
          <w:tcPr>
            <w:tcW w:w="1063" w:type="dxa"/>
            <w:vAlign w:val="center"/>
            <w:hideMark/>
          </w:tcPr>
          <w:p w14:paraId="1D79937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1276.68</w:t>
            </w:r>
          </w:p>
        </w:tc>
        <w:tc>
          <w:tcPr>
            <w:tcW w:w="1133" w:type="dxa"/>
            <w:vAlign w:val="center"/>
            <w:hideMark/>
          </w:tcPr>
          <w:p w14:paraId="5C1A500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502.89</w:t>
            </w:r>
          </w:p>
        </w:tc>
        <w:tc>
          <w:tcPr>
            <w:tcW w:w="1016" w:type="dxa"/>
            <w:vAlign w:val="center"/>
            <w:hideMark/>
          </w:tcPr>
          <w:p w14:paraId="787D380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114.24</w:t>
            </w:r>
          </w:p>
        </w:tc>
        <w:tc>
          <w:tcPr>
            <w:tcW w:w="1174" w:type="dxa"/>
            <w:vAlign w:val="center"/>
            <w:hideMark/>
          </w:tcPr>
          <w:p w14:paraId="76DAEDF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888.03</w:t>
            </w:r>
          </w:p>
        </w:tc>
        <w:tc>
          <w:tcPr>
            <w:tcW w:w="893" w:type="dxa"/>
            <w:vAlign w:val="center"/>
            <w:hideMark/>
          </w:tcPr>
          <w:p w14:paraId="47E8B23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4508CCF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888.03</w:t>
            </w:r>
          </w:p>
        </w:tc>
      </w:tr>
      <w:tr w:rsidR="00AA0ADC" w:rsidRPr="00AA0ADC" w14:paraId="231721AB" w14:textId="77777777" w:rsidTr="00AA0ADC">
        <w:trPr>
          <w:trHeight w:val="20"/>
          <w:jc w:val="center"/>
        </w:trPr>
        <w:tc>
          <w:tcPr>
            <w:tcW w:w="846" w:type="dxa"/>
            <w:vAlign w:val="center"/>
            <w:hideMark/>
          </w:tcPr>
          <w:p w14:paraId="3964021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4CB03E2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708.77</w:t>
            </w:r>
          </w:p>
        </w:tc>
        <w:tc>
          <w:tcPr>
            <w:tcW w:w="979" w:type="dxa"/>
            <w:vAlign w:val="center"/>
            <w:hideMark/>
          </w:tcPr>
          <w:p w14:paraId="204C972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3962.02</w:t>
            </w:r>
          </w:p>
        </w:tc>
        <w:tc>
          <w:tcPr>
            <w:tcW w:w="1063" w:type="dxa"/>
            <w:vAlign w:val="center"/>
            <w:hideMark/>
          </w:tcPr>
          <w:p w14:paraId="354EEC1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4670.79</w:t>
            </w:r>
          </w:p>
        </w:tc>
        <w:tc>
          <w:tcPr>
            <w:tcW w:w="1133" w:type="dxa"/>
            <w:vAlign w:val="center"/>
            <w:hideMark/>
          </w:tcPr>
          <w:p w14:paraId="2FC2ED3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2206.40</w:t>
            </w:r>
          </w:p>
        </w:tc>
        <w:tc>
          <w:tcPr>
            <w:tcW w:w="1016" w:type="dxa"/>
            <w:vAlign w:val="center"/>
            <w:hideMark/>
          </w:tcPr>
          <w:p w14:paraId="6412404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476.00</w:t>
            </w:r>
          </w:p>
        </w:tc>
        <w:tc>
          <w:tcPr>
            <w:tcW w:w="1174" w:type="dxa"/>
            <w:vAlign w:val="center"/>
            <w:hideMark/>
          </w:tcPr>
          <w:p w14:paraId="2B39991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2940.39</w:t>
            </w:r>
          </w:p>
        </w:tc>
        <w:tc>
          <w:tcPr>
            <w:tcW w:w="893" w:type="dxa"/>
            <w:vAlign w:val="center"/>
            <w:hideMark/>
          </w:tcPr>
          <w:p w14:paraId="5BB326B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w:t>
            </w:r>
          </w:p>
        </w:tc>
        <w:tc>
          <w:tcPr>
            <w:tcW w:w="1134" w:type="dxa"/>
            <w:vAlign w:val="center"/>
            <w:hideMark/>
          </w:tcPr>
          <w:p w14:paraId="02E194D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2940.39</w:t>
            </w:r>
          </w:p>
        </w:tc>
      </w:tr>
      <w:tr w:rsidR="003F4F94" w:rsidRPr="00AA0ADC" w14:paraId="2D149068" w14:textId="77777777" w:rsidTr="00AA0ADC">
        <w:trPr>
          <w:trHeight w:val="20"/>
          <w:jc w:val="center"/>
        </w:trPr>
        <w:tc>
          <w:tcPr>
            <w:tcW w:w="9209" w:type="dxa"/>
            <w:gridSpan w:val="9"/>
            <w:vAlign w:val="center"/>
            <w:hideMark/>
          </w:tcPr>
          <w:p w14:paraId="491E5E4D" w14:textId="2C758759"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KERALA</w:t>
            </w:r>
          </w:p>
        </w:tc>
      </w:tr>
      <w:tr w:rsidR="00AA0ADC" w:rsidRPr="00AA0ADC" w14:paraId="5606D9B0" w14:textId="77777777" w:rsidTr="00AA0ADC">
        <w:trPr>
          <w:trHeight w:val="20"/>
          <w:jc w:val="center"/>
        </w:trPr>
        <w:tc>
          <w:tcPr>
            <w:tcW w:w="846" w:type="dxa"/>
            <w:vAlign w:val="center"/>
            <w:hideMark/>
          </w:tcPr>
          <w:p w14:paraId="08F4B6DB"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2F17B79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- 590.43</w:t>
            </w:r>
          </w:p>
        </w:tc>
        <w:tc>
          <w:tcPr>
            <w:tcW w:w="979" w:type="dxa"/>
            <w:vAlign w:val="center"/>
            <w:hideMark/>
          </w:tcPr>
          <w:p w14:paraId="3BE9FE8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465.64</w:t>
            </w:r>
          </w:p>
        </w:tc>
        <w:tc>
          <w:tcPr>
            <w:tcW w:w="1063" w:type="dxa"/>
            <w:vAlign w:val="center"/>
            <w:hideMark/>
          </w:tcPr>
          <w:p w14:paraId="1AD589F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- 124.79</w:t>
            </w:r>
          </w:p>
        </w:tc>
        <w:tc>
          <w:tcPr>
            <w:tcW w:w="1133" w:type="dxa"/>
            <w:vAlign w:val="center"/>
            <w:hideMark/>
          </w:tcPr>
          <w:p w14:paraId="0D1B4A5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228.12</w:t>
            </w:r>
          </w:p>
        </w:tc>
        <w:tc>
          <w:tcPr>
            <w:tcW w:w="1016" w:type="dxa"/>
            <w:vAlign w:val="center"/>
            <w:hideMark/>
          </w:tcPr>
          <w:p w14:paraId="6AFF8B2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77.76</w:t>
            </w:r>
          </w:p>
        </w:tc>
        <w:tc>
          <w:tcPr>
            <w:tcW w:w="1174" w:type="dxa"/>
            <w:vAlign w:val="center"/>
            <w:hideMark/>
          </w:tcPr>
          <w:p w14:paraId="688A1CB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- 275.15</w:t>
            </w:r>
          </w:p>
        </w:tc>
        <w:tc>
          <w:tcPr>
            <w:tcW w:w="893" w:type="dxa"/>
            <w:vAlign w:val="center"/>
            <w:hideMark/>
          </w:tcPr>
          <w:p w14:paraId="157BEE7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55.69</w:t>
            </w:r>
          </w:p>
        </w:tc>
        <w:tc>
          <w:tcPr>
            <w:tcW w:w="1134" w:type="dxa"/>
            <w:vAlign w:val="center"/>
            <w:hideMark/>
          </w:tcPr>
          <w:p w14:paraId="4E77691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- 219.46</w:t>
            </w:r>
          </w:p>
        </w:tc>
      </w:tr>
      <w:tr w:rsidR="00AA0ADC" w:rsidRPr="00AA0ADC" w14:paraId="59494633" w14:textId="77777777" w:rsidTr="00AA0ADC">
        <w:trPr>
          <w:trHeight w:val="20"/>
          <w:jc w:val="center"/>
        </w:trPr>
        <w:tc>
          <w:tcPr>
            <w:tcW w:w="846" w:type="dxa"/>
            <w:vAlign w:val="center"/>
            <w:hideMark/>
          </w:tcPr>
          <w:p w14:paraId="5FDA225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4E63F83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- 605.13</w:t>
            </w:r>
          </w:p>
        </w:tc>
        <w:tc>
          <w:tcPr>
            <w:tcW w:w="979" w:type="dxa"/>
            <w:vAlign w:val="center"/>
            <w:hideMark/>
          </w:tcPr>
          <w:p w14:paraId="6C36079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518.29</w:t>
            </w:r>
          </w:p>
        </w:tc>
        <w:tc>
          <w:tcPr>
            <w:tcW w:w="1063" w:type="dxa"/>
            <w:vAlign w:val="center"/>
            <w:hideMark/>
          </w:tcPr>
          <w:p w14:paraId="6FCDC26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- 86.84</w:t>
            </w:r>
          </w:p>
        </w:tc>
        <w:tc>
          <w:tcPr>
            <w:tcW w:w="1133" w:type="dxa"/>
            <w:vAlign w:val="center"/>
            <w:hideMark/>
          </w:tcPr>
          <w:p w14:paraId="43A8038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244.13</w:t>
            </w:r>
          </w:p>
        </w:tc>
        <w:tc>
          <w:tcPr>
            <w:tcW w:w="1016" w:type="dxa"/>
            <w:vAlign w:val="center"/>
            <w:hideMark/>
          </w:tcPr>
          <w:p w14:paraId="1F9CDDC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87.48</w:t>
            </w:r>
          </w:p>
        </w:tc>
        <w:tc>
          <w:tcPr>
            <w:tcW w:w="1174" w:type="dxa"/>
            <w:vAlign w:val="center"/>
            <w:hideMark/>
          </w:tcPr>
          <w:p w14:paraId="5FF45BC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- 243.49</w:t>
            </w:r>
          </w:p>
        </w:tc>
        <w:tc>
          <w:tcPr>
            <w:tcW w:w="893" w:type="dxa"/>
            <w:vAlign w:val="center"/>
            <w:hideMark/>
          </w:tcPr>
          <w:p w14:paraId="3C70D3C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66.01</w:t>
            </w:r>
          </w:p>
        </w:tc>
        <w:tc>
          <w:tcPr>
            <w:tcW w:w="1134" w:type="dxa"/>
            <w:vAlign w:val="center"/>
            <w:hideMark/>
          </w:tcPr>
          <w:p w14:paraId="4F78686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- 177.48</w:t>
            </w:r>
          </w:p>
        </w:tc>
      </w:tr>
      <w:tr w:rsidR="00AA0ADC" w:rsidRPr="00AA0ADC" w14:paraId="07768B9F" w14:textId="77777777" w:rsidTr="00AA0ADC">
        <w:trPr>
          <w:trHeight w:val="20"/>
          <w:jc w:val="center"/>
        </w:trPr>
        <w:tc>
          <w:tcPr>
            <w:tcW w:w="846" w:type="dxa"/>
            <w:vAlign w:val="center"/>
            <w:hideMark/>
          </w:tcPr>
          <w:p w14:paraId="6B17011F"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6C92DFF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- 580.62</w:t>
            </w:r>
          </w:p>
        </w:tc>
        <w:tc>
          <w:tcPr>
            <w:tcW w:w="979" w:type="dxa"/>
            <w:vAlign w:val="center"/>
            <w:hideMark/>
          </w:tcPr>
          <w:p w14:paraId="59A81C7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577.03</w:t>
            </w:r>
          </w:p>
        </w:tc>
        <w:tc>
          <w:tcPr>
            <w:tcW w:w="1063" w:type="dxa"/>
            <w:vAlign w:val="center"/>
            <w:hideMark/>
          </w:tcPr>
          <w:p w14:paraId="2158F18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- 3.59</w:t>
            </w:r>
          </w:p>
        </w:tc>
        <w:tc>
          <w:tcPr>
            <w:tcW w:w="1133" w:type="dxa"/>
            <w:vAlign w:val="center"/>
            <w:hideMark/>
          </w:tcPr>
          <w:p w14:paraId="6C376C6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261.22</w:t>
            </w:r>
          </w:p>
        </w:tc>
        <w:tc>
          <w:tcPr>
            <w:tcW w:w="1016" w:type="dxa"/>
            <w:vAlign w:val="center"/>
            <w:hideMark/>
          </w:tcPr>
          <w:p w14:paraId="2546EF3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97.20</w:t>
            </w:r>
          </w:p>
        </w:tc>
        <w:tc>
          <w:tcPr>
            <w:tcW w:w="1174" w:type="dxa"/>
            <w:vAlign w:val="center"/>
            <w:hideMark/>
          </w:tcPr>
          <w:p w14:paraId="2D538FD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- 167.61</w:t>
            </w:r>
          </w:p>
        </w:tc>
        <w:tc>
          <w:tcPr>
            <w:tcW w:w="893" w:type="dxa"/>
            <w:vAlign w:val="center"/>
            <w:hideMark/>
          </w:tcPr>
          <w:p w14:paraId="79C2A8F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80.45</w:t>
            </w:r>
          </w:p>
        </w:tc>
        <w:tc>
          <w:tcPr>
            <w:tcW w:w="1134" w:type="dxa"/>
            <w:vAlign w:val="center"/>
            <w:hideMark/>
          </w:tcPr>
          <w:p w14:paraId="3BD8CE7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- 87.16</w:t>
            </w:r>
          </w:p>
        </w:tc>
      </w:tr>
      <w:tr w:rsidR="00AA0ADC" w:rsidRPr="00AA0ADC" w14:paraId="310F7DA6" w14:textId="77777777" w:rsidTr="00AA0ADC">
        <w:trPr>
          <w:trHeight w:val="20"/>
          <w:jc w:val="center"/>
        </w:trPr>
        <w:tc>
          <w:tcPr>
            <w:tcW w:w="846" w:type="dxa"/>
            <w:vAlign w:val="center"/>
            <w:hideMark/>
          </w:tcPr>
          <w:p w14:paraId="69D7100D"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7A8FB2E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- 574.19</w:t>
            </w:r>
          </w:p>
        </w:tc>
        <w:tc>
          <w:tcPr>
            <w:tcW w:w="979" w:type="dxa"/>
            <w:vAlign w:val="center"/>
            <w:hideMark/>
          </w:tcPr>
          <w:p w14:paraId="75CEAB7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642.53</w:t>
            </w:r>
          </w:p>
        </w:tc>
        <w:tc>
          <w:tcPr>
            <w:tcW w:w="1063" w:type="dxa"/>
            <w:vAlign w:val="center"/>
            <w:hideMark/>
          </w:tcPr>
          <w:p w14:paraId="14940D5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68.34</w:t>
            </w:r>
          </w:p>
        </w:tc>
        <w:tc>
          <w:tcPr>
            <w:tcW w:w="1133" w:type="dxa"/>
            <w:vAlign w:val="center"/>
            <w:hideMark/>
          </w:tcPr>
          <w:p w14:paraId="0ED126E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279.49</w:t>
            </w:r>
          </w:p>
        </w:tc>
        <w:tc>
          <w:tcPr>
            <w:tcW w:w="1016" w:type="dxa"/>
            <w:vAlign w:val="center"/>
            <w:hideMark/>
          </w:tcPr>
          <w:p w14:paraId="08CEA41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106.92</w:t>
            </w:r>
          </w:p>
        </w:tc>
        <w:tc>
          <w:tcPr>
            <w:tcW w:w="1174" w:type="dxa"/>
            <w:vAlign w:val="center"/>
            <w:hideMark/>
          </w:tcPr>
          <w:p w14:paraId="7A79F25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- 104.23</w:t>
            </w:r>
          </w:p>
        </w:tc>
        <w:tc>
          <w:tcPr>
            <w:tcW w:w="893" w:type="dxa"/>
            <w:vAlign w:val="center"/>
            <w:hideMark/>
          </w:tcPr>
          <w:p w14:paraId="3352508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94.88</w:t>
            </w:r>
          </w:p>
        </w:tc>
        <w:tc>
          <w:tcPr>
            <w:tcW w:w="1134" w:type="dxa"/>
            <w:vAlign w:val="center"/>
            <w:hideMark/>
          </w:tcPr>
          <w:p w14:paraId="77E897A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- 9.35</w:t>
            </w:r>
          </w:p>
        </w:tc>
      </w:tr>
      <w:tr w:rsidR="00AA0ADC" w:rsidRPr="00AA0ADC" w14:paraId="43440905" w14:textId="77777777" w:rsidTr="00AA0ADC">
        <w:trPr>
          <w:trHeight w:val="20"/>
          <w:jc w:val="center"/>
        </w:trPr>
        <w:tc>
          <w:tcPr>
            <w:tcW w:w="846" w:type="dxa"/>
            <w:vAlign w:val="center"/>
            <w:hideMark/>
          </w:tcPr>
          <w:p w14:paraId="3A540CF7"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45823A6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- 566.44</w:t>
            </w:r>
          </w:p>
        </w:tc>
        <w:tc>
          <w:tcPr>
            <w:tcW w:w="979" w:type="dxa"/>
            <w:vAlign w:val="center"/>
            <w:hideMark/>
          </w:tcPr>
          <w:p w14:paraId="3007064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715.61</w:t>
            </w:r>
          </w:p>
        </w:tc>
        <w:tc>
          <w:tcPr>
            <w:tcW w:w="1063" w:type="dxa"/>
            <w:vAlign w:val="center"/>
            <w:hideMark/>
          </w:tcPr>
          <w:p w14:paraId="1889174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149.17</w:t>
            </w:r>
          </w:p>
        </w:tc>
        <w:tc>
          <w:tcPr>
            <w:tcW w:w="1133" w:type="dxa"/>
            <w:vAlign w:val="center"/>
            <w:hideMark/>
          </w:tcPr>
          <w:p w14:paraId="5E4FDDA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299.04</w:t>
            </w:r>
          </w:p>
        </w:tc>
        <w:tc>
          <w:tcPr>
            <w:tcW w:w="1016" w:type="dxa"/>
            <w:vAlign w:val="center"/>
            <w:hideMark/>
          </w:tcPr>
          <w:p w14:paraId="38F84DF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116.64</w:t>
            </w:r>
          </w:p>
        </w:tc>
        <w:tc>
          <w:tcPr>
            <w:tcW w:w="1174" w:type="dxa"/>
            <w:vAlign w:val="center"/>
            <w:hideMark/>
          </w:tcPr>
          <w:p w14:paraId="28D3592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- 33.23</w:t>
            </w:r>
          </w:p>
        </w:tc>
        <w:tc>
          <w:tcPr>
            <w:tcW w:w="893" w:type="dxa"/>
            <w:vAlign w:val="center"/>
            <w:hideMark/>
          </w:tcPr>
          <w:p w14:paraId="4F0F893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115.51</w:t>
            </w:r>
          </w:p>
        </w:tc>
        <w:tc>
          <w:tcPr>
            <w:tcW w:w="1134" w:type="dxa"/>
            <w:vAlign w:val="center"/>
            <w:hideMark/>
          </w:tcPr>
          <w:p w14:paraId="220F628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82.28</w:t>
            </w:r>
          </w:p>
        </w:tc>
      </w:tr>
      <w:tr w:rsidR="00AA0ADC" w:rsidRPr="00AA0ADC" w14:paraId="4CE1CDFF" w14:textId="77777777" w:rsidTr="00AA0ADC">
        <w:trPr>
          <w:trHeight w:val="20"/>
          <w:jc w:val="center"/>
        </w:trPr>
        <w:tc>
          <w:tcPr>
            <w:tcW w:w="846" w:type="dxa"/>
            <w:vAlign w:val="center"/>
            <w:hideMark/>
          </w:tcPr>
          <w:p w14:paraId="241AEA3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379750C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- 2916.81</w:t>
            </w:r>
          </w:p>
        </w:tc>
        <w:tc>
          <w:tcPr>
            <w:tcW w:w="979" w:type="dxa"/>
            <w:vAlign w:val="center"/>
            <w:hideMark/>
          </w:tcPr>
          <w:p w14:paraId="430319F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2919.10</w:t>
            </w:r>
          </w:p>
        </w:tc>
        <w:tc>
          <w:tcPr>
            <w:tcW w:w="1063" w:type="dxa"/>
            <w:vAlign w:val="center"/>
            <w:hideMark/>
          </w:tcPr>
          <w:p w14:paraId="6907141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2.29</w:t>
            </w:r>
          </w:p>
        </w:tc>
        <w:tc>
          <w:tcPr>
            <w:tcW w:w="1133" w:type="dxa"/>
            <w:vAlign w:val="center"/>
            <w:hideMark/>
          </w:tcPr>
          <w:p w14:paraId="4F9B3CA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1312.00</w:t>
            </w:r>
          </w:p>
        </w:tc>
        <w:tc>
          <w:tcPr>
            <w:tcW w:w="1016" w:type="dxa"/>
            <w:vAlign w:val="center"/>
            <w:hideMark/>
          </w:tcPr>
          <w:p w14:paraId="1173B62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486.00</w:t>
            </w:r>
          </w:p>
        </w:tc>
        <w:tc>
          <w:tcPr>
            <w:tcW w:w="1174" w:type="dxa"/>
            <w:vAlign w:val="center"/>
            <w:hideMark/>
          </w:tcPr>
          <w:p w14:paraId="1F1EDE71"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- 823.71</w:t>
            </w:r>
          </w:p>
        </w:tc>
        <w:tc>
          <w:tcPr>
            <w:tcW w:w="893" w:type="dxa"/>
            <w:vAlign w:val="center"/>
            <w:hideMark/>
          </w:tcPr>
          <w:p w14:paraId="7E484F5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412.54</w:t>
            </w:r>
          </w:p>
        </w:tc>
        <w:tc>
          <w:tcPr>
            <w:tcW w:w="1134" w:type="dxa"/>
            <w:vAlign w:val="center"/>
            <w:hideMark/>
          </w:tcPr>
          <w:p w14:paraId="3718C8F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- 411.17</w:t>
            </w:r>
          </w:p>
        </w:tc>
      </w:tr>
      <w:tr w:rsidR="003F4F94" w:rsidRPr="00AA0ADC" w14:paraId="6D9BD8AB" w14:textId="77777777" w:rsidTr="00AA0ADC">
        <w:trPr>
          <w:trHeight w:val="20"/>
          <w:jc w:val="center"/>
        </w:trPr>
        <w:tc>
          <w:tcPr>
            <w:tcW w:w="9209" w:type="dxa"/>
            <w:gridSpan w:val="9"/>
            <w:vAlign w:val="center"/>
            <w:hideMark/>
          </w:tcPr>
          <w:p w14:paraId="77435835" w14:textId="0F136A0D" w:rsidR="003F4F94" w:rsidRPr="00AA0ADC" w:rsidRDefault="00AA0ADC" w:rsidP="003F4F94">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MADHYA</w:t>
            </w:r>
            <w:r w:rsidR="003F4F94" w:rsidRPr="00AA0ADC">
              <w:rPr>
                <w:rFonts w:ascii="Times New Roman" w:hAnsi="Times New Roman" w:cs="Times New Roman"/>
                <w:b/>
                <w:bCs/>
                <w:sz w:val="18"/>
                <w:szCs w:val="18"/>
              </w:rPr>
              <w:t xml:space="preserve"> PRADESH</w:t>
            </w:r>
          </w:p>
        </w:tc>
      </w:tr>
      <w:tr w:rsidR="00AA0ADC" w:rsidRPr="00AA0ADC" w14:paraId="761C6C07" w14:textId="77777777" w:rsidTr="00AA0ADC">
        <w:trPr>
          <w:trHeight w:val="20"/>
          <w:jc w:val="center"/>
        </w:trPr>
        <w:tc>
          <w:tcPr>
            <w:tcW w:w="846" w:type="dxa"/>
            <w:vAlign w:val="center"/>
            <w:hideMark/>
          </w:tcPr>
          <w:p w14:paraId="0ED41C39"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971" w:type="dxa"/>
            <w:vAlign w:val="center"/>
            <w:hideMark/>
          </w:tcPr>
          <w:p w14:paraId="7A4B732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-932.07</w:t>
            </w:r>
          </w:p>
        </w:tc>
        <w:tc>
          <w:tcPr>
            <w:tcW w:w="979" w:type="dxa"/>
            <w:vAlign w:val="center"/>
            <w:hideMark/>
          </w:tcPr>
          <w:p w14:paraId="3B8E4F3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1041.50</w:t>
            </w:r>
          </w:p>
        </w:tc>
        <w:tc>
          <w:tcPr>
            <w:tcW w:w="1063" w:type="dxa"/>
            <w:vAlign w:val="center"/>
            <w:hideMark/>
          </w:tcPr>
          <w:p w14:paraId="5D8241C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109.43</w:t>
            </w:r>
          </w:p>
        </w:tc>
        <w:tc>
          <w:tcPr>
            <w:tcW w:w="1133" w:type="dxa"/>
            <w:vAlign w:val="center"/>
            <w:hideMark/>
          </w:tcPr>
          <w:p w14:paraId="69235E9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613.57</w:t>
            </w:r>
          </w:p>
        </w:tc>
        <w:tc>
          <w:tcPr>
            <w:tcW w:w="1016" w:type="dxa"/>
            <w:vAlign w:val="center"/>
            <w:hideMark/>
          </w:tcPr>
          <w:p w14:paraId="0CF0B02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150.72</w:t>
            </w:r>
          </w:p>
        </w:tc>
        <w:tc>
          <w:tcPr>
            <w:tcW w:w="1174" w:type="dxa"/>
            <w:vAlign w:val="center"/>
            <w:hideMark/>
          </w:tcPr>
          <w:p w14:paraId="08A1C3B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-353.42</w:t>
            </w:r>
          </w:p>
        </w:tc>
        <w:tc>
          <w:tcPr>
            <w:tcW w:w="893" w:type="dxa"/>
            <w:vAlign w:val="center"/>
            <w:hideMark/>
          </w:tcPr>
          <w:p w14:paraId="40DD581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141.45</w:t>
            </w:r>
          </w:p>
        </w:tc>
        <w:tc>
          <w:tcPr>
            <w:tcW w:w="1134" w:type="dxa"/>
            <w:vAlign w:val="center"/>
            <w:hideMark/>
          </w:tcPr>
          <w:p w14:paraId="0689F8D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-211.97</w:t>
            </w:r>
          </w:p>
        </w:tc>
      </w:tr>
      <w:tr w:rsidR="00AA0ADC" w:rsidRPr="00AA0ADC" w14:paraId="47002AE2" w14:textId="77777777" w:rsidTr="00AA0ADC">
        <w:trPr>
          <w:trHeight w:val="20"/>
          <w:jc w:val="center"/>
        </w:trPr>
        <w:tc>
          <w:tcPr>
            <w:tcW w:w="846" w:type="dxa"/>
            <w:vAlign w:val="center"/>
            <w:hideMark/>
          </w:tcPr>
          <w:p w14:paraId="3B694885"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971" w:type="dxa"/>
            <w:vAlign w:val="center"/>
            <w:hideMark/>
          </w:tcPr>
          <w:p w14:paraId="510FF97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-984.59</w:t>
            </w:r>
          </w:p>
        </w:tc>
        <w:tc>
          <w:tcPr>
            <w:tcW w:w="979" w:type="dxa"/>
            <w:vAlign w:val="center"/>
            <w:hideMark/>
          </w:tcPr>
          <w:p w14:paraId="6CE1702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1159.75</w:t>
            </w:r>
          </w:p>
        </w:tc>
        <w:tc>
          <w:tcPr>
            <w:tcW w:w="1063" w:type="dxa"/>
            <w:vAlign w:val="center"/>
            <w:hideMark/>
          </w:tcPr>
          <w:p w14:paraId="1F98EEB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175.16</w:t>
            </w:r>
          </w:p>
        </w:tc>
        <w:tc>
          <w:tcPr>
            <w:tcW w:w="1133" w:type="dxa"/>
            <w:vAlign w:val="center"/>
            <w:hideMark/>
          </w:tcPr>
          <w:p w14:paraId="490B059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656.62</w:t>
            </w:r>
          </w:p>
        </w:tc>
        <w:tc>
          <w:tcPr>
            <w:tcW w:w="1016" w:type="dxa"/>
            <w:vAlign w:val="center"/>
            <w:hideMark/>
          </w:tcPr>
          <w:p w14:paraId="46E2A8F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169.56</w:t>
            </w:r>
          </w:p>
        </w:tc>
        <w:tc>
          <w:tcPr>
            <w:tcW w:w="1174" w:type="dxa"/>
            <w:vAlign w:val="center"/>
            <w:hideMark/>
          </w:tcPr>
          <w:p w14:paraId="00797C5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-311.90</w:t>
            </w:r>
          </w:p>
        </w:tc>
        <w:tc>
          <w:tcPr>
            <w:tcW w:w="893" w:type="dxa"/>
            <w:vAlign w:val="center"/>
            <w:hideMark/>
          </w:tcPr>
          <w:p w14:paraId="4FA35F8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167.65</w:t>
            </w:r>
          </w:p>
        </w:tc>
        <w:tc>
          <w:tcPr>
            <w:tcW w:w="1134" w:type="dxa"/>
            <w:vAlign w:val="center"/>
            <w:hideMark/>
          </w:tcPr>
          <w:p w14:paraId="4993D28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-144.25</w:t>
            </w:r>
          </w:p>
        </w:tc>
      </w:tr>
      <w:tr w:rsidR="00AA0ADC" w:rsidRPr="00AA0ADC" w14:paraId="3FECDE02" w14:textId="77777777" w:rsidTr="00AA0ADC">
        <w:trPr>
          <w:trHeight w:val="20"/>
          <w:jc w:val="center"/>
        </w:trPr>
        <w:tc>
          <w:tcPr>
            <w:tcW w:w="846" w:type="dxa"/>
            <w:vAlign w:val="center"/>
            <w:hideMark/>
          </w:tcPr>
          <w:p w14:paraId="6C79EF86"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971" w:type="dxa"/>
            <w:vAlign w:val="center"/>
            <w:hideMark/>
          </w:tcPr>
          <w:p w14:paraId="1CE6D63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-1044.31</w:t>
            </w:r>
          </w:p>
        </w:tc>
        <w:tc>
          <w:tcPr>
            <w:tcW w:w="979" w:type="dxa"/>
            <w:vAlign w:val="center"/>
            <w:hideMark/>
          </w:tcPr>
          <w:p w14:paraId="5EB4395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1291.65</w:t>
            </w:r>
          </w:p>
        </w:tc>
        <w:tc>
          <w:tcPr>
            <w:tcW w:w="1063" w:type="dxa"/>
            <w:vAlign w:val="center"/>
            <w:hideMark/>
          </w:tcPr>
          <w:p w14:paraId="4309B8FE"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247.34</w:t>
            </w:r>
          </w:p>
        </w:tc>
        <w:tc>
          <w:tcPr>
            <w:tcW w:w="1133" w:type="dxa"/>
            <w:vAlign w:val="center"/>
            <w:hideMark/>
          </w:tcPr>
          <w:p w14:paraId="670ACD0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702.59</w:t>
            </w:r>
          </w:p>
        </w:tc>
        <w:tc>
          <w:tcPr>
            <w:tcW w:w="1016" w:type="dxa"/>
            <w:vAlign w:val="center"/>
            <w:hideMark/>
          </w:tcPr>
          <w:p w14:paraId="2469515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188.40</w:t>
            </w:r>
          </w:p>
        </w:tc>
        <w:tc>
          <w:tcPr>
            <w:tcW w:w="1174" w:type="dxa"/>
            <w:vAlign w:val="center"/>
            <w:hideMark/>
          </w:tcPr>
          <w:p w14:paraId="7761C2A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-266.85</w:t>
            </w:r>
          </w:p>
        </w:tc>
        <w:tc>
          <w:tcPr>
            <w:tcW w:w="893" w:type="dxa"/>
            <w:vAlign w:val="center"/>
            <w:hideMark/>
          </w:tcPr>
          <w:p w14:paraId="7C766BC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204.32</w:t>
            </w:r>
          </w:p>
        </w:tc>
        <w:tc>
          <w:tcPr>
            <w:tcW w:w="1134" w:type="dxa"/>
            <w:vAlign w:val="center"/>
            <w:hideMark/>
          </w:tcPr>
          <w:p w14:paraId="6611476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-62.53</w:t>
            </w:r>
          </w:p>
        </w:tc>
      </w:tr>
      <w:tr w:rsidR="00AA0ADC" w:rsidRPr="00AA0ADC" w14:paraId="42233462" w14:textId="77777777" w:rsidTr="00AA0ADC">
        <w:trPr>
          <w:trHeight w:val="20"/>
          <w:jc w:val="center"/>
        </w:trPr>
        <w:tc>
          <w:tcPr>
            <w:tcW w:w="846" w:type="dxa"/>
            <w:vAlign w:val="center"/>
            <w:hideMark/>
          </w:tcPr>
          <w:p w14:paraId="7D0DD747"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971" w:type="dxa"/>
            <w:vAlign w:val="center"/>
            <w:hideMark/>
          </w:tcPr>
          <w:p w14:paraId="1708B5D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-1111.96</w:t>
            </w:r>
          </w:p>
        </w:tc>
        <w:tc>
          <w:tcPr>
            <w:tcW w:w="979" w:type="dxa"/>
            <w:vAlign w:val="center"/>
            <w:hideMark/>
          </w:tcPr>
          <w:p w14:paraId="44355E2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1438.73</w:t>
            </w:r>
          </w:p>
        </w:tc>
        <w:tc>
          <w:tcPr>
            <w:tcW w:w="1063" w:type="dxa"/>
            <w:vAlign w:val="center"/>
            <w:hideMark/>
          </w:tcPr>
          <w:p w14:paraId="4E6A2F4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326.77</w:t>
            </w:r>
          </w:p>
        </w:tc>
        <w:tc>
          <w:tcPr>
            <w:tcW w:w="1133" w:type="dxa"/>
            <w:vAlign w:val="center"/>
            <w:hideMark/>
          </w:tcPr>
          <w:p w14:paraId="5AA55FB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751.72</w:t>
            </w:r>
          </w:p>
        </w:tc>
        <w:tc>
          <w:tcPr>
            <w:tcW w:w="1016" w:type="dxa"/>
            <w:vAlign w:val="center"/>
            <w:hideMark/>
          </w:tcPr>
          <w:p w14:paraId="1556831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207.24</w:t>
            </w:r>
          </w:p>
        </w:tc>
        <w:tc>
          <w:tcPr>
            <w:tcW w:w="1174" w:type="dxa"/>
            <w:vAlign w:val="center"/>
            <w:hideMark/>
          </w:tcPr>
          <w:p w14:paraId="32EEFFD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-217.71</w:t>
            </w:r>
          </w:p>
        </w:tc>
        <w:tc>
          <w:tcPr>
            <w:tcW w:w="893" w:type="dxa"/>
            <w:vAlign w:val="center"/>
            <w:hideMark/>
          </w:tcPr>
          <w:p w14:paraId="15DA8F37"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241.00</w:t>
            </w:r>
          </w:p>
        </w:tc>
        <w:tc>
          <w:tcPr>
            <w:tcW w:w="1134" w:type="dxa"/>
            <w:vAlign w:val="center"/>
            <w:hideMark/>
          </w:tcPr>
          <w:p w14:paraId="7CB4E0DB"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23.29</w:t>
            </w:r>
          </w:p>
        </w:tc>
      </w:tr>
      <w:tr w:rsidR="00AA0ADC" w:rsidRPr="00AA0ADC" w14:paraId="79D390FB" w14:textId="77777777" w:rsidTr="00AA0ADC">
        <w:trPr>
          <w:trHeight w:val="20"/>
          <w:jc w:val="center"/>
        </w:trPr>
        <w:tc>
          <w:tcPr>
            <w:tcW w:w="846" w:type="dxa"/>
            <w:vAlign w:val="center"/>
            <w:hideMark/>
          </w:tcPr>
          <w:p w14:paraId="5B9D7322"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971" w:type="dxa"/>
            <w:vAlign w:val="center"/>
            <w:hideMark/>
          </w:tcPr>
          <w:p w14:paraId="4256CFE5"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-1233.57</w:t>
            </w:r>
          </w:p>
        </w:tc>
        <w:tc>
          <w:tcPr>
            <w:tcW w:w="979" w:type="dxa"/>
            <w:vAlign w:val="center"/>
            <w:hideMark/>
          </w:tcPr>
          <w:p w14:paraId="1772574A"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1602.85</w:t>
            </w:r>
          </w:p>
        </w:tc>
        <w:tc>
          <w:tcPr>
            <w:tcW w:w="1063" w:type="dxa"/>
            <w:vAlign w:val="center"/>
            <w:hideMark/>
          </w:tcPr>
          <w:p w14:paraId="188B7638"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369.28</w:t>
            </w:r>
          </w:p>
        </w:tc>
        <w:tc>
          <w:tcPr>
            <w:tcW w:w="1133" w:type="dxa"/>
            <w:vAlign w:val="center"/>
            <w:hideMark/>
          </w:tcPr>
          <w:p w14:paraId="39430EF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804.30</w:t>
            </w:r>
          </w:p>
        </w:tc>
        <w:tc>
          <w:tcPr>
            <w:tcW w:w="1016" w:type="dxa"/>
            <w:vAlign w:val="center"/>
            <w:hideMark/>
          </w:tcPr>
          <w:p w14:paraId="5CA31F82"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226.08</w:t>
            </w:r>
          </w:p>
        </w:tc>
        <w:tc>
          <w:tcPr>
            <w:tcW w:w="1174" w:type="dxa"/>
            <w:vAlign w:val="center"/>
            <w:hideMark/>
          </w:tcPr>
          <w:p w14:paraId="78FC940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-208.94</w:t>
            </w:r>
          </w:p>
        </w:tc>
        <w:tc>
          <w:tcPr>
            <w:tcW w:w="893" w:type="dxa"/>
            <w:vAlign w:val="center"/>
            <w:hideMark/>
          </w:tcPr>
          <w:p w14:paraId="0CC75CD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293.39</w:t>
            </w:r>
          </w:p>
        </w:tc>
        <w:tc>
          <w:tcPr>
            <w:tcW w:w="1134" w:type="dxa"/>
            <w:vAlign w:val="center"/>
            <w:hideMark/>
          </w:tcPr>
          <w:p w14:paraId="57412920"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84.45</w:t>
            </w:r>
          </w:p>
        </w:tc>
      </w:tr>
      <w:tr w:rsidR="00AA0ADC" w:rsidRPr="00AA0ADC" w14:paraId="569A802E" w14:textId="77777777" w:rsidTr="00AA0ADC">
        <w:trPr>
          <w:trHeight w:val="20"/>
          <w:jc w:val="center"/>
        </w:trPr>
        <w:tc>
          <w:tcPr>
            <w:tcW w:w="846" w:type="dxa"/>
            <w:vAlign w:val="center"/>
            <w:hideMark/>
          </w:tcPr>
          <w:p w14:paraId="446DDDA7" w14:textId="77777777" w:rsidR="00E65B33" w:rsidRPr="00AA0ADC" w:rsidRDefault="00E65B33"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971" w:type="dxa"/>
            <w:vAlign w:val="center"/>
            <w:hideMark/>
          </w:tcPr>
          <w:p w14:paraId="45DD1BD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-5306.50</w:t>
            </w:r>
          </w:p>
        </w:tc>
        <w:tc>
          <w:tcPr>
            <w:tcW w:w="979" w:type="dxa"/>
            <w:vAlign w:val="center"/>
            <w:hideMark/>
          </w:tcPr>
          <w:p w14:paraId="4E83096F"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6534.48</w:t>
            </w:r>
          </w:p>
        </w:tc>
        <w:tc>
          <w:tcPr>
            <w:tcW w:w="1063" w:type="dxa"/>
            <w:vAlign w:val="center"/>
            <w:hideMark/>
          </w:tcPr>
          <w:p w14:paraId="140DD5D9"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1227.98</w:t>
            </w:r>
          </w:p>
        </w:tc>
        <w:tc>
          <w:tcPr>
            <w:tcW w:w="1133" w:type="dxa"/>
            <w:vAlign w:val="center"/>
            <w:hideMark/>
          </w:tcPr>
          <w:p w14:paraId="71D1963C"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3528.80</w:t>
            </w:r>
          </w:p>
        </w:tc>
        <w:tc>
          <w:tcPr>
            <w:tcW w:w="1016" w:type="dxa"/>
            <w:vAlign w:val="center"/>
            <w:hideMark/>
          </w:tcPr>
          <w:p w14:paraId="107D62AD"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942.00</w:t>
            </w:r>
          </w:p>
        </w:tc>
        <w:tc>
          <w:tcPr>
            <w:tcW w:w="1174" w:type="dxa"/>
            <w:vAlign w:val="center"/>
            <w:hideMark/>
          </w:tcPr>
          <w:p w14:paraId="353F4976"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-1358.82</w:t>
            </w:r>
          </w:p>
        </w:tc>
        <w:tc>
          <w:tcPr>
            <w:tcW w:w="893" w:type="dxa"/>
            <w:vAlign w:val="center"/>
            <w:hideMark/>
          </w:tcPr>
          <w:p w14:paraId="57F1F9B3"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1047.81</w:t>
            </w:r>
          </w:p>
        </w:tc>
        <w:tc>
          <w:tcPr>
            <w:tcW w:w="1134" w:type="dxa"/>
            <w:vAlign w:val="center"/>
            <w:hideMark/>
          </w:tcPr>
          <w:p w14:paraId="79052CF4" w14:textId="77777777" w:rsidR="00E65B33" w:rsidRPr="00AA0ADC" w:rsidRDefault="00E65B33"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-311.01</w:t>
            </w:r>
          </w:p>
        </w:tc>
      </w:tr>
    </w:tbl>
    <w:p w14:paraId="077B7CD5" w14:textId="77777777" w:rsidR="003F4F94" w:rsidRDefault="003F4F94" w:rsidP="007C6818">
      <w:pPr>
        <w:tabs>
          <w:tab w:val="left" w:pos="3862"/>
        </w:tabs>
        <w:spacing w:after="0"/>
        <w:rPr>
          <w:rFonts w:ascii="Times New Roman" w:hAnsi="Times New Roman" w:cs="Times New Roman"/>
        </w:rPr>
      </w:pPr>
    </w:p>
    <w:p w14:paraId="5DF48229" w14:textId="77777777" w:rsidR="00AA0ADC" w:rsidRDefault="00AA0ADC" w:rsidP="007C6818">
      <w:pPr>
        <w:tabs>
          <w:tab w:val="left" w:pos="3862"/>
        </w:tabs>
        <w:spacing w:after="0"/>
        <w:rPr>
          <w:rFonts w:ascii="Times New Roman" w:hAnsi="Times New Roman" w:cs="Times New Roman"/>
        </w:rPr>
      </w:pPr>
    </w:p>
    <w:p w14:paraId="0A02129C" w14:textId="77777777" w:rsidR="00AA0ADC" w:rsidRDefault="00AA0ADC" w:rsidP="007C6818">
      <w:pPr>
        <w:tabs>
          <w:tab w:val="left" w:pos="3862"/>
        </w:tabs>
        <w:spacing w:after="0"/>
        <w:rPr>
          <w:rFonts w:ascii="Times New Roman" w:hAnsi="Times New Roman" w:cs="Times New Roman"/>
        </w:rPr>
      </w:pPr>
    </w:p>
    <w:p w14:paraId="31B85B85" w14:textId="2B68F352" w:rsidR="007C6818" w:rsidRPr="007C6818" w:rsidRDefault="00AA0ADC" w:rsidP="00AA0ADC">
      <w:pPr>
        <w:tabs>
          <w:tab w:val="left" w:pos="3862"/>
        </w:tabs>
        <w:spacing w:after="0"/>
        <w:jc w:val="center"/>
        <w:rPr>
          <w:rFonts w:ascii="Times New Roman" w:hAnsi="Times New Roman" w:cs="Times New Roman"/>
          <w:i/>
          <w:iCs/>
          <w:sz w:val="18"/>
          <w:szCs w:val="16"/>
        </w:rPr>
      </w:pPr>
      <w:r>
        <w:rPr>
          <w:rFonts w:ascii="Times New Roman" w:hAnsi="Times New Roman" w:cs="Times New Roman"/>
          <w:i/>
          <w:iCs/>
          <w:sz w:val="18"/>
          <w:szCs w:val="16"/>
        </w:rPr>
        <w:lastRenderedPageBreak/>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sidR="007C6818" w:rsidRPr="007C6818">
        <w:rPr>
          <w:rFonts w:ascii="Times New Roman" w:hAnsi="Times New Roman" w:cs="Times New Roman"/>
          <w:i/>
          <w:iCs/>
          <w:sz w:val="18"/>
          <w:szCs w:val="16"/>
        </w:rPr>
        <w:t>(Rs. Crore)</w:t>
      </w:r>
    </w:p>
    <w:tbl>
      <w:tblPr>
        <w:tblW w:w="9493" w:type="dxa"/>
        <w:jc w:val="center"/>
        <w:tblLook w:val="04A0" w:firstRow="1" w:lastRow="0" w:firstColumn="1" w:lastColumn="0" w:noHBand="0" w:noVBand="1"/>
      </w:tblPr>
      <w:tblGrid>
        <w:gridCol w:w="846"/>
        <w:gridCol w:w="1027"/>
        <w:gridCol w:w="976"/>
        <w:gridCol w:w="1027"/>
        <w:gridCol w:w="1136"/>
        <w:gridCol w:w="1016"/>
        <w:gridCol w:w="1338"/>
        <w:gridCol w:w="993"/>
        <w:gridCol w:w="1134"/>
      </w:tblGrid>
      <w:tr w:rsidR="00F6454C" w:rsidRPr="00AA0ADC" w14:paraId="0FAA88C9" w14:textId="77777777" w:rsidTr="00AA0ADC">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DD12901"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Year</w:t>
            </w:r>
          </w:p>
        </w:tc>
        <w:tc>
          <w:tcPr>
            <w:tcW w:w="1027" w:type="dxa"/>
            <w:tcBorders>
              <w:top w:val="single" w:sz="4" w:space="0" w:color="auto"/>
              <w:left w:val="nil"/>
              <w:bottom w:val="single" w:sz="4" w:space="0" w:color="auto"/>
              <w:right w:val="single" w:sz="4" w:space="0" w:color="auto"/>
            </w:tcBorders>
            <w:vAlign w:val="center"/>
            <w:hideMark/>
          </w:tcPr>
          <w:p w14:paraId="2C1ECA4E"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 xml:space="preserve">Pre-devolution surplus </w:t>
            </w:r>
            <w:proofErr w:type="gramStart"/>
            <w:r w:rsidRPr="00AA0ADC">
              <w:rPr>
                <w:rFonts w:ascii="Times New Roman" w:eastAsia="Times New Roman" w:hAnsi="Times New Roman" w:cs="Times New Roman"/>
                <w:b/>
                <w:bCs/>
                <w:color w:val="000000"/>
                <w:kern w:val="0"/>
                <w:sz w:val="18"/>
                <w:szCs w:val="18"/>
                <w:lang w:eastAsia="en-IN" w:bidi="ar-SA"/>
                <w14:ligatures w14:val="none"/>
              </w:rPr>
              <w:t>deficit(</w:t>
            </w:r>
            <w:proofErr w:type="gramEnd"/>
            <w:r w:rsidRPr="00AA0ADC">
              <w:rPr>
                <w:rFonts w:ascii="Times New Roman" w:eastAsia="Times New Roman" w:hAnsi="Times New Roman" w:cs="Times New Roman"/>
                <w:b/>
                <w:bCs/>
                <w:color w:val="000000"/>
                <w:kern w:val="0"/>
                <w:sz w:val="18"/>
                <w:szCs w:val="18"/>
                <w:lang w:eastAsia="en-IN" w:bidi="ar-SA"/>
                <w14:ligatures w14:val="none"/>
              </w:rPr>
              <w:t>-)</w:t>
            </w:r>
          </w:p>
        </w:tc>
        <w:tc>
          <w:tcPr>
            <w:tcW w:w="976" w:type="dxa"/>
            <w:tcBorders>
              <w:top w:val="single" w:sz="4" w:space="0" w:color="auto"/>
              <w:left w:val="nil"/>
              <w:bottom w:val="single" w:sz="4" w:space="0" w:color="auto"/>
              <w:right w:val="single" w:sz="4" w:space="0" w:color="auto"/>
            </w:tcBorders>
            <w:vAlign w:val="center"/>
            <w:hideMark/>
          </w:tcPr>
          <w:p w14:paraId="3443DBFE"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Share in taxes including grant in lieu of railway passenger fare tax</w:t>
            </w:r>
          </w:p>
        </w:tc>
        <w:tc>
          <w:tcPr>
            <w:tcW w:w="1027" w:type="dxa"/>
            <w:tcBorders>
              <w:top w:val="single" w:sz="4" w:space="0" w:color="auto"/>
              <w:left w:val="nil"/>
              <w:bottom w:val="single" w:sz="4" w:space="0" w:color="auto"/>
              <w:right w:val="single" w:sz="4" w:space="0" w:color="auto"/>
            </w:tcBorders>
            <w:vAlign w:val="center"/>
            <w:hideMark/>
          </w:tcPr>
          <w:p w14:paraId="2A5B67F5"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Non-Plan surplus or deficit (-) after devolution of share in taxes and railway passenger fare tax</w:t>
            </w:r>
          </w:p>
        </w:tc>
        <w:tc>
          <w:tcPr>
            <w:tcW w:w="1136" w:type="dxa"/>
            <w:tcBorders>
              <w:top w:val="single" w:sz="4" w:space="0" w:color="auto"/>
              <w:left w:val="nil"/>
              <w:bottom w:val="single" w:sz="4" w:space="0" w:color="auto"/>
              <w:right w:val="single" w:sz="4" w:space="0" w:color="auto"/>
            </w:tcBorders>
            <w:vAlign w:val="center"/>
            <w:hideMark/>
          </w:tcPr>
          <w:p w14:paraId="0FAFDCD3"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Plan revenue expenditure (minimum)</w:t>
            </w:r>
          </w:p>
        </w:tc>
        <w:tc>
          <w:tcPr>
            <w:tcW w:w="1016" w:type="dxa"/>
            <w:tcBorders>
              <w:top w:val="single" w:sz="4" w:space="0" w:color="auto"/>
              <w:left w:val="nil"/>
              <w:bottom w:val="single" w:sz="4" w:space="0" w:color="auto"/>
              <w:right w:val="single" w:sz="4" w:space="0" w:color="auto"/>
            </w:tcBorders>
            <w:vAlign w:val="center"/>
            <w:hideMark/>
          </w:tcPr>
          <w:p w14:paraId="68B754AE"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Grant portion of Central Assistance</w:t>
            </w:r>
          </w:p>
        </w:tc>
        <w:tc>
          <w:tcPr>
            <w:tcW w:w="1338" w:type="dxa"/>
            <w:tcBorders>
              <w:top w:val="single" w:sz="4" w:space="0" w:color="auto"/>
              <w:left w:val="nil"/>
              <w:bottom w:val="single" w:sz="4" w:space="0" w:color="auto"/>
              <w:right w:val="single" w:sz="4" w:space="0" w:color="auto"/>
            </w:tcBorders>
            <w:vAlign w:val="center"/>
            <w:hideMark/>
          </w:tcPr>
          <w:p w14:paraId="5C3882BB"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Revenue surplus or deficit (-) after receiving share in taxes, Central assistance and meeting revenue plan expenditure</w:t>
            </w:r>
          </w:p>
        </w:tc>
        <w:tc>
          <w:tcPr>
            <w:tcW w:w="993" w:type="dxa"/>
            <w:tcBorders>
              <w:top w:val="single" w:sz="4" w:space="0" w:color="auto"/>
              <w:left w:val="nil"/>
              <w:bottom w:val="single" w:sz="4" w:space="0" w:color="auto"/>
              <w:right w:val="single" w:sz="4" w:space="0" w:color="auto"/>
            </w:tcBorders>
            <w:vAlign w:val="center"/>
            <w:hideMark/>
          </w:tcPr>
          <w:p w14:paraId="7EFC32DF"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Grants under Article 275(1)</w:t>
            </w:r>
          </w:p>
        </w:tc>
        <w:tc>
          <w:tcPr>
            <w:tcW w:w="1134" w:type="dxa"/>
            <w:tcBorders>
              <w:top w:val="single" w:sz="4" w:space="0" w:color="auto"/>
              <w:left w:val="nil"/>
              <w:bottom w:val="single" w:sz="4" w:space="0" w:color="auto"/>
              <w:right w:val="single" w:sz="4" w:space="0" w:color="auto"/>
            </w:tcBorders>
            <w:vAlign w:val="center"/>
            <w:hideMark/>
          </w:tcPr>
          <w:p w14:paraId="2C388747" w14:textId="77777777" w:rsidR="00F6454C" w:rsidRPr="00AA0ADC" w:rsidRDefault="00F6454C" w:rsidP="00F645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Total revenue account surplus or deficit (-) (difference between 7 &amp; 8)</w:t>
            </w:r>
          </w:p>
        </w:tc>
      </w:tr>
      <w:tr w:rsidR="00AA0ADC" w:rsidRPr="00AA0ADC" w14:paraId="180BB67D"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vAlign w:val="center"/>
            <w:hideMark/>
          </w:tcPr>
          <w:p w14:paraId="412087EF" w14:textId="38A54AD6" w:rsidR="00AA0ADC" w:rsidRPr="00AA0ADC" w:rsidRDefault="00AA0ADC" w:rsidP="00AA0AD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MAHARASHTRA </w:t>
            </w:r>
          </w:p>
        </w:tc>
      </w:tr>
      <w:tr w:rsidR="00F6454C" w:rsidRPr="00AA0ADC" w14:paraId="67670EFC"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464AB0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75013E2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597.73</w:t>
            </w:r>
          </w:p>
        </w:tc>
        <w:tc>
          <w:tcPr>
            <w:tcW w:w="976" w:type="dxa"/>
            <w:tcBorders>
              <w:top w:val="nil"/>
              <w:left w:val="nil"/>
              <w:bottom w:val="single" w:sz="4" w:space="0" w:color="auto"/>
              <w:right w:val="single" w:sz="4" w:space="0" w:color="auto"/>
            </w:tcBorders>
            <w:vAlign w:val="center"/>
            <w:hideMark/>
          </w:tcPr>
          <w:p w14:paraId="4BBA0A2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968.41</w:t>
            </w:r>
          </w:p>
        </w:tc>
        <w:tc>
          <w:tcPr>
            <w:tcW w:w="1027" w:type="dxa"/>
            <w:tcBorders>
              <w:top w:val="nil"/>
              <w:left w:val="nil"/>
              <w:bottom w:val="single" w:sz="4" w:space="0" w:color="auto"/>
              <w:right w:val="single" w:sz="4" w:space="0" w:color="auto"/>
            </w:tcBorders>
            <w:vAlign w:val="center"/>
            <w:hideMark/>
          </w:tcPr>
          <w:p w14:paraId="3B24459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1566.14</w:t>
            </w:r>
          </w:p>
        </w:tc>
        <w:tc>
          <w:tcPr>
            <w:tcW w:w="1136" w:type="dxa"/>
            <w:tcBorders>
              <w:top w:val="nil"/>
              <w:left w:val="nil"/>
              <w:bottom w:val="single" w:sz="4" w:space="0" w:color="auto"/>
              <w:right w:val="single" w:sz="4" w:space="0" w:color="auto"/>
            </w:tcBorders>
            <w:vAlign w:val="center"/>
            <w:hideMark/>
          </w:tcPr>
          <w:p w14:paraId="798FBB3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618.23</w:t>
            </w:r>
          </w:p>
        </w:tc>
        <w:tc>
          <w:tcPr>
            <w:tcW w:w="1016" w:type="dxa"/>
            <w:tcBorders>
              <w:top w:val="nil"/>
              <w:left w:val="nil"/>
              <w:bottom w:val="single" w:sz="4" w:space="0" w:color="auto"/>
              <w:right w:val="single" w:sz="4" w:space="0" w:color="auto"/>
            </w:tcBorders>
            <w:vAlign w:val="center"/>
            <w:hideMark/>
          </w:tcPr>
          <w:p w14:paraId="1A0E917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120.48</w:t>
            </w:r>
          </w:p>
        </w:tc>
        <w:tc>
          <w:tcPr>
            <w:tcW w:w="1338" w:type="dxa"/>
            <w:tcBorders>
              <w:top w:val="nil"/>
              <w:left w:val="nil"/>
              <w:bottom w:val="single" w:sz="4" w:space="0" w:color="auto"/>
              <w:right w:val="single" w:sz="4" w:space="0" w:color="auto"/>
            </w:tcBorders>
            <w:vAlign w:val="center"/>
            <w:hideMark/>
          </w:tcPr>
          <w:p w14:paraId="3BEE48C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1068.39</w:t>
            </w:r>
          </w:p>
        </w:tc>
        <w:tc>
          <w:tcPr>
            <w:tcW w:w="993" w:type="dxa"/>
            <w:tcBorders>
              <w:top w:val="nil"/>
              <w:left w:val="nil"/>
              <w:bottom w:val="single" w:sz="4" w:space="0" w:color="auto"/>
              <w:right w:val="single" w:sz="4" w:space="0" w:color="auto"/>
            </w:tcBorders>
            <w:vAlign w:val="center"/>
            <w:hideMark/>
          </w:tcPr>
          <w:p w14:paraId="3F6B0B5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089F6EB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1068.39</w:t>
            </w:r>
          </w:p>
        </w:tc>
      </w:tr>
      <w:tr w:rsidR="00F6454C" w:rsidRPr="00AA0ADC" w14:paraId="7CD9EFA4"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7B6D5B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3C31336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831.05</w:t>
            </w:r>
          </w:p>
        </w:tc>
        <w:tc>
          <w:tcPr>
            <w:tcW w:w="976" w:type="dxa"/>
            <w:tcBorders>
              <w:top w:val="nil"/>
              <w:left w:val="nil"/>
              <w:bottom w:val="single" w:sz="4" w:space="0" w:color="auto"/>
              <w:right w:val="single" w:sz="4" w:space="0" w:color="auto"/>
            </w:tcBorders>
            <w:vAlign w:val="center"/>
            <w:hideMark/>
          </w:tcPr>
          <w:p w14:paraId="468DEE8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1074.88</w:t>
            </w:r>
          </w:p>
        </w:tc>
        <w:tc>
          <w:tcPr>
            <w:tcW w:w="1027" w:type="dxa"/>
            <w:tcBorders>
              <w:top w:val="nil"/>
              <w:left w:val="nil"/>
              <w:bottom w:val="single" w:sz="4" w:space="0" w:color="auto"/>
              <w:right w:val="single" w:sz="4" w:space="0" w:color="auto"/>
            </w:tcBorders>
            <w:vAlign w:val="center"/>
            <w:hideMark/>
          </w:tcPr>
          <w:p w14:paraId="4E04916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1905.93</w:t>
            </w:r>
          </w:p>
        </w:tc>
        <w:tc>
          <w:tcPr>
            <w:tcW w:w="1136" w:type="dxa"/>
            <w:tcBorders>
              <w:top w:val="nil"/>
              <w:left w:val="nil"/>
              <w:bottom w:val="single" w:sz="4" w:space="0" w:color="auto"/>
              <w:right w:val="single" w:sz="4" w:space="0" w:color="auto"/>
            </w:tcBorders>
            <w:vAlign w:val="center"/>
            <w:hideMark/>
          </w:tcPr>
          <w:p w14:paraId="204AE68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661.61</w:t>
            </w:r>
          </w:p>
        </w:tc>
        <w:tc>
          <w:tcPr>
            <w:tcW w:w="1016" w:type="dxa"/>
            <w:tcBorders>
              <w:top w:val="nil"/>
              <w:left w:val="nil"/>
              <w:bottom w:val="single" w:sz="4" w:space="0" w:color="auto"/>
              <w:right w:val="single" w:sz="4" w:space="0" w:color="auto"/>
            </w:tcBorders>
            <w:vAlign w:val="center"/>
            <w:hideMark/>
          </w:tcPr>
          <w:p w14:paraId="747A6EC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135.54</w:t>
            </w:r>
          </w:p>
        </w:tc>
        <w:tc>
          <w:tcPr>
            <w:tcW w:w="1338" w:type="dxa"/>
            <w:tcBorders>
              <w:top w:val="nil"/>
              <w:left w:val="nil"/>
              <w:bottom w:val="single" w:sz="4" w:space="0" w:color="auto"/>
              <w:right w:val="single" w:sz="4" w:space="0" w:color="auto"/>
            </w:tcBorders>
            <w:vAlign w:val="center"/>
            <w:hideMark/>
          </w:tcPr>
          <w:p w14:paraId="17F9C3A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1379.86</w:t>
            </w:r>
          </w:p>
        </w:tc>
        <w:tc>
          <w:tcPr>
            <w:tcW w:w="993" w:type="dxa"/>
            <w:tcBorders>
              <w:top w:val="nil"/>
              <w:left w:val="nil"/>
              <w:bottom w:val="single" w:sz="4" w:space="0" w:color="auto"/>
              <w:right w:val="single" w:sz="4" w:space="0" w:color="auto"/>
            </w:tcBorders>
            <w:vAlign w:val="center"/>
            <w:hideMark/>
          </w:tcPr>
          <w:p w14:paraId="63D3D06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4FEE1CF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1379.86</w:t>
            </w:r>
          </w:p>
        </w:tc>
      </w:tr>
      <w:tr w:rsidR="00F6454C" w:rsidRPr="00AA0ADC" w14:paraId="76FD5586"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4FCB6475"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48D9BC5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1084.35</w:t>
            </w:r>
          </w:p>
        </w:tc>
        <w:tc>
          <w:tcPr>
            <w:tcW w:w="976" w:type="dxa"/>
            <w:tcBorders>
              <w:top w:val="nil"/>
              <w:left w:val="nil"/>
              <w:bottom w:val="single" w:sz="4" w:space="0" w:color="auto"/>
              <w:right w:val="single" w:sz="4" w:space="0" w:color="auto"/>
            </w:tcBorders>
            <w:vAlign w:val="center"/>
            <w:hideMark/>
          </w:tcPr>
          <w:p w14:paraId="641B154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1193.6</w:t>
            </w:r>
          </w:p>
        </w:tc>
        <w:tc>
          <w:tcPr>
            <w:tcW w:w="1027" w:type="dxa"/>
            <w:tcBorders>
              <w:top w:val="nil"/>
              <w:left w:val="nil"/>
              <w:bottom w:val="single" w:sz="4" w:space="0" w:color="auto"/>
              <w:right w:val="single" w:sz="4" w:space="0" w:color="auto"/>
            </w:tcBorders>
            <w:vAlign w:val="center"/>
            <w:hideMark/>
          </w:tcPr>
          <w:p w14:paraId="7E0CC73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2277.95</w:t>
            </w:r>
          </w:p>
        </w:tc>
        <w:tc>
          <w:tcPr>
            <w:tcW w:w="1136" w:type="dxa"/>
            <w:tcBorders>
              <w:top w:val="nil"/>
              <w:left w:val="nil"/>
              <w:bottom w:val="single" w:sz="4" w:space="0" w:color="auto"/>
              <w:right w:val="single" w:sz="4" w:space="0" w:color="auto"/>
            </w:tcBorders>
            <w:vAlign w:val="center"/>
            <w:hideMark/>
          </w:tcPr>
          <w:p w14:paraId="4B439B8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707.92</w:t>
            </w:r>
          </w:p>
        </w:tc>
        <w:tc>
          <w:tcPr>
            <w:tcW w:w="1016" w:type="dxa"/>
            <w:tcBorders>
              <w:top w:val="nil"/>
              <w:left w:val="nil"/>
              <w:bottom w:val="single" w:sz="4" w:space="0" w:color="auto"/>
              <w:right w:val="single" w:sz="4" w:space="0" w:color="auto"/>
            </w:tcBorders>
            <w:vAlign w:val="center"/>
            <w:hideMark/>
          </w:tcPr>
          <w:p w14:paraId="7BB2E20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150.6</w:t>
            </w:r>
          </w:p>
        </w:tc>
        <w:tc>
          <w:tcPr>
            <w:tcW w:w="1338" w:type="dxa"/>
            <w:tcBorders>
              <w:top w:val="nil"/>
              <w:left w:val="nil"/>
              <w:bottom w:val="single" w:sz="4" w:space="0" w:color="auto"/>
              <w:right w:val="single" w:sz="4" w:space="0" w:color="auto"/>
            </w:tcBorders>
            <w:vAlign w:val="center"/>
            <w:hideMark/>
          </w:tcPr>
          <w:p w14:paraId="18974CF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1720.63</w:t>
            </w:r>
          </w:p>
        </w:tc>
        <w:tc>
          <w:tcPr>
            <w:tcW w:w="993" w:type="dxa"/>
            <w:tcBorders>
              <w:top w:val="nil"/>
              <w:left w:val="nil"/>
              <w:bottom w:val="single" w:sz="4" w:space="0" w:color="auto"/>
              <w:right w:val="single" w:sz="4" w:space="0" w:color="auto"/>
            </w:tcBorders>
            <w:vAlign w:val="center"/>
            <w:hideMark/>
          </w:tcPr>
          <w:p w14:paraId="7F71635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3BFD143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1720.63</w:t>
            </w:r>
          </w:p>
        </w:tc>
      </w:tr>
      <w:tr w:rsidR="00F6454C" w:rsidRPr="00AA0ADC" w14:paraId="70F76557"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FC6E3D2"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3C1EF01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1363.55</w:t>
            </w:r>
          </w:p>
        </w:tc>
        <w:tc>
          <w:tcPr>
            <w:tcW w:w="976" w:type="dxa"/>
            <w:tcBorders>
              <w:top w:val="nil"/>
              <w:left w:val="nil"/>
              <w:bottom w:val="single" w:sz="4" w:space="0" w:color="auto"/>
              <w:right w:val="single" w:sz="4" w:space="0" w:color="auto"/>
            </w:tcBorders>
            <w:vAlign w:val="center"/>
            <w:hideMark/>
          </w:tcPr>
          <w:p w14:paraId="09ED857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1325.91</w:t>
            </w:r>
          </w:p>
        </w:tc>
        <w:tc>
          <w:tcPr>
            <w:tcW w:w="1027" w:type="dxa"/>
            <w:tcBorders>
              <w:top w:val="nil"/>
              <w:left w:val="nil"/>
              <w:bottom w:val="single" w:sz="4" w:space="0" w:color="auto"/>
              <w:right w:val="single" w:sz="4" w:space="0" w:color="auto"/>
            </w:tcBorders>
            <w:vAlign w:val="center"/>
            <w:hideMark/>
          </w:tcPr>
          <w:p w14:paraId="7826CBC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2689.46</w:t>
            </w:r>
          </w:p>
        </w:tc>
        <w:tc>
          <w:tcPr>
            <w:tcW w:w="1136" w:type="dxa"/>
            <w:tcBorders>
              <w:top w:val="nil"/>
              <w:left w:val="nil"/>
              <w:bottom w:val="single" w:sz="4" w:space="0" w:color="auto"/>
              <w:right w:val="single" w:sz="4" w:space="0" w:color="auto"/>
            </w:tcBorders>
            <w:vAlign w:val="center"/>
            <w:hideMark/>
          </w:tcPr>
          <w:p w14:paraId="0365449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757.43</w:t>
            </w:r>
          </w:p>
        </w:tc>
        <w:tc>
          <w:tcPr>
            <w:tcW w:w="1016" w:type="dxa"/>
            <w:tcBorders>
              <w:top w:val="nil"/>
              <w:left w:val="nil"/>
              <w:bottom w:val="single" w:sz="4" w:space="0" w:color="auto"/>
              <w:right w:val="single" w:sz="4" w:space="0" w:color="auto"/>
            </w:tcBorders>
            <w:vAlign w:val="center"/>
            <w:hideMark/>
          </w:tcPr>
          <w:p w14:paraId="5F0491C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165.66</w:t>
            </w:r>
          </w:p>
        </w:tc>
        <w:tc>
          <w:tcPr>
            <w:tcW w:w="1338" w:type="dxa"/>
            <w:tcBorders>
              <w:top w:val="nil"/>
              <w:left w:val="nil"/>
              <w:bottom w:val="single" w:sz="4" w:space="0" w:color="auto"/>
              <w:right w:val="single" w:sz="4" w:space="0" w:color="auto"/>
            </w:tcBorders>
            <w:vAlign w:val="center"/>
            <w:hideMark/>
          </w:tcPr>
          <w:p w14:paraId="4D5A032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2097.69</w:t>
            </w:r>
          </w:p>
        </w:tc>
        <w:tc>
          <w:tcPr>
            <w:tcW w:w="993" w:type="dxa"/>
            <w:tcBorders>
              <w:top w:val="nil"/>
              <w:left w:val="nil"/>
              <w:bottom w:val="single" w:sz="4" w:space="0" w:color="auto"/>
              <w:right w:val="single" w:sz="4" w:space="0" w:color="auto"/>
            </w:tcBorders>
            <w:vAlign w:val="center"/>
            <w:hideMark/>
          </w:tcPr>
          <w:p w14:paraId="1137799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18402C7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2097.69</w:t>
            </w:r>
          </w:p>
        </w:tc>
      </w:tr>
      <w:tr w:rsidR="00F6454C" w:rsidRPr="00AA0ADC" w14:paraId="406F96F1"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DF7A1B5"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0003743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1612.52</w:t>
            </w:r>
          </w:p>
        </w:tc>
        <w:tc>
          <w:tcPr>
            <w:tcW w:w="976" w:type="dxa"/>
            <w:tcBorders>
              <w:top w:val="nil"/>
              <w:left w:val="nil"/>
              <w:bottom w:val="single" w:sz="4" w:space="0" w:color="auto"/>
              <w:right w:val="single" w:sz="4" w:space="0" w:color="auto"/>
            </w:tcBorders>
            <w:vAlign w:val="center"/>
            <w:hideMark/>
          </w:tcPr>
          <w:p w14:paraId="1F8D7B0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1473.56</w:t>
            </w:r>
          </w:p>
        </w:tc>
        <w:tc>
          <w:tcPr>
            <w:tcW w:w="1027" w:type="dxa"/>
            <w:tcBorders>
              <w:top w:val="nil"/>
              <w:left w:val="nil"/>
              <w:bottom w:val="single" w:sz="4" w:space="0" w:color="auto"/>
              <w:right w:val="single" w:sz="4" w:space="0" w:color="auto"/>
            </w:tcBorders>
            <w:vAlign w:val="center"/>
            <w:hideMark/>
          </w:tcPr>
          <w:p w14:paraId="11B5A5B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3086.08</w:t>
            </w:r>
          </w:p>
        </w:tc>
        <w:tc>
          <w:tcPr>
            <w:tcW w:w="1136" w:type="dxa"/>
            <w:tcBorders>
              <w:top w:val="nil"/>
              <w:left w:val="nil"/>
              <w:bottom w:val="single" w:sz="4" w:space="0" w:color="auto"/>
              <w:right w:val="single" w:sz="4" w:space="0" w:color="auto"/>
            </w:tcBorders>
            <w:vAlign w:val="center"/>
            <w:hideMark/>
          </w:tcPr>
          <w:p w14:paraId="00A353E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810.41</w:t>
            </w:r>
          </w:p>
        </w:tc>
        <w:tc>
          <w:tcPr>
            <w:tcW w:w="1016" w:type="dxa"/>
            <w:tcBorders>
              <w:top w:val="nil"/>
              <w:left w:val="nil"/>
              <w:bottom w:val="single" w:sz="4" w:space="0" w:color="auto"/>
              <w:right w:val="single" w:sz="4" w:space="0" w:color="auto"/>
            </w:tcBorders>
            <w:vAlign w:val="center"/>
            <w:hideMark/>
          </w:tcPr>
          <w:p w14:paraId="14D6B52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180.72</w:t>
            </w:r>
          </w:p>
        </w:tc>
        <w:tc>
          <w:tcPr>
            <w:tcW w:w="1338" w:type="dxa"/>
            <w:tcBorders>
              <w:top w:val="nil"/>
              <w:left w:val="nil"/>
              <w:bottom w:val="single" w:sz="4" w:space="0" w:color="auto"/>
              <w:right w:val="single" w:sz="4" w:space="0" w:color="auto"/>
            </w:tcBorders>
            <w:vAlign w:val="center"/>
            <w:hideMark/>
          </w:tcPr>
          <w:p w14:paraId="0BEF538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2456.39</w:t>
            </w:r>
          </w:p>
        </w:tc>
        <w:tc>
          <w:tcPr>
            <w:tcW w:w="993" w:type="dxa"/>
            <w:tcBorders>
              <w:top w:val="nil"/>
              <w:left w:val="nil"/>
              <w:bottom w:val="single" w:sz="4" w:space="0" w:color="auto"/>
              <w:right w:val="single" w:sz="4" w:space="0" w:color="auto"/>
            </w:tcBorders>
            <w:vAlign w:val="center"/>
            <w:hideMark/>
          </w:tcPr>
          <w:p w14:paraId="7764F10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7680A60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2456.39</w:t>
            </w:r>
          </w:p>
        </w:tc>
      </w:tr>
      <w:tr w:rsidR="00F6454C" w:rsidRPr="00AA0ADC" w14:paraId="4ABCD292"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3FE8162"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25B63A4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5489.2</w:t>
            </w:r>
          </w:p>
        </w:tc>
        <w:tc>
          <w:tcPr>
            <w:tcW w:w="976" w:type="dxa"/>
            <w:tcBorders>
              <w:top w:val="nil"/>
              <w:left w:val="nil"/>
              <w:bottom w:val="single" w:sz="4" w:space="0" w:color="auto"/>
              <w:right w:val="single" w:sz="4" w:space="0" w:color="auto"/>
            </w:tcBorders>
            <w:vAlign w:val="center"/>
            <w:hideMark/>
          </w:tcPr>
          <w:p w14:paraId="5AE7BAE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6036.36</w:t>
            </w:r>
          </w:p>
        </w:tc>
        <w:tc>
          <w:tcPr>
            <w:tcW w:w="1027" w:type="dxa"/>
            <w:tcBorders>
              <w:top w:val="nil"/>
              <w:left w:val="nil"/>
              <w:bottom w:val="single" w:sz="4" w:space="0" w:color="auto"/>
              <w:right w:val="single" w:sz="4" w:space="0" w:color="auto"/>
            </w:tcBorders>
            <w:vAlign w:val="center"/>
            <w:hideMark/>
          </w:tcPr>
          <w:p w14:paraId="06F9C70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11525.56</w:t>
            </w:r>
          </w:p>
        </w:tc>
        <w:tc>
          <w:tcPr>
            <w:tcW w:w="1136" w:type="dxa"/>
            <w:tcBorders>
              <w:top w:val="nil"/>
              <w:left w:val="nil"/>
              <w:bottom w:val="single" w:sz="4" w:space="0" w:color="auto"/>
              <w:right w:val="single" w:sz="4" w:space="0" w:color="auto"/>
            </w:tcBorders>
            <w:vAlign w:val="center"/>
            <w:hideMark/>
          </w:tcPr>
          <w:p w14:paraId="3753FC6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3555.6</w:t>
            </w:r>
          </w:p>
        </w:tc>
        <w:tc>
          <w:tcPr>
            <w:tcW w:w="1016" w:type="dxa"/>
            <w:tcBorders>
              <w:top w:val="nil"/>
              <w:left w:val="nil"/>
              <w:bottom w:val="single" w:sz="4" w:space="0" w:color="auto"/>
              <w:right w:val="single" w:sz="4" w:space="0" w:color="auto"/>
            </w:tcBorders>
            <w:vAlign w:val="center"/>
            <w:hideMark/>
          </w:tcPr>
          <w:p w14:paraId="2C05E39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753</w:t>
            </w:r>
          </w:p>
        </w:tc>
        <w:tc>
          <w:tcPr>
            <w:tcW w:w="1338" w:type="dxa"/>
            <w:tcBorders>
              <w:top w:val="nil"/>
              <w:left w:val="nil"/>
              <w:bottom w:val="single" w:sz="4" w:space="0" w:color="auto"/>
              <w:right w:val="single" w:sz="4" w:space="0" w:color="auto"/>
            </w:tcBorders>
            <w:vAlign w:val="center"/>
            <w:hideMark/>
          </w:tcPr>
          <w:p w14:paraId="78F9D7B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8722.96</w:t>
            </w:r>
          </w:p>
        </w:tc>
        <w:tc>
          <w:tcPr>
            <w:tcW w:w="993" w:type="dxa"/>
            <w:tcBorders>
              <w:top w:val="nil"/>
              <w:left w:val="nil"/>
              <w:bottom w:val="single" w:sz="4" w:space="0" w:color="auto"/>
              <w:right w:val="single" w:sz="4" w:space="0" w:color="auto"/>
            </w:tcBorders>
            <w:vAlign w:val="center"/>
            <w:hideMark/>
          </w:tcPr>
          <w:p w14:paraId="23D5BE4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w:t>
            </w:r>
          </w:p>
        </w:tc>
        <w:tc>
          <w:tcPr>
            <w:tcW w:w="1134" w:type="dxa"/>
            <w:tcBorders>
              <w:top w:val="nil"/>
              <w:left w:val="nil"/>
              <w:bottom w:val="single" w:sz="4" w:space="0" w:color="auto"/>
              <w:right w:val="single" w:sz="4" w:space="0" w:color="auto"/>
            </w:tcBorders>
            <w:vAlign w:val="center"/>
            <w:hideMark/>
          </w:tcPr>
          <w:p w14:paraId="59F297F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8722.96</w:t>
            </w:r>
          </w:p>
        </w:tc>
      </w:tr>
      <w:tr w:rsidR="00AA0ADC" w:rsidRPr="00AA0ADC" w14:paraId="3E8739DA"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328F4CEF" w14:textId="3F5C114C"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ORISSA</w:t>
            </w:r>
          </w:p>
        </w:tc>
      </w:tr>
      <w:tr w:rsidR="00F6454C" w:rsidRPr="00AA0ADC" w14:paraId="3C6ED0EB"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4C32F8B"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2F03CF0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-803.71</w:t>
            </w:r>
          </w:p>
        </w:tc>
        <w:tc>
          <w:tcPr>
            <w:tcW w:w="976" w:type="dxa"/>
            <w:tcBorders>
              <w:top w:val="nil"/>
              <w:left w:val="nil"/>
              <w:bottom w:val="single" w:sz="4" w:space="0" w:color="auto"/>
              <w:right w:val="single" w:sz="4" w:space="0" w:color="auto"/>
            </w:tcBorders>
            <w:vAlign w:val="center"/>
            <w:hideMark/>
          </w:tcPr>
          <w:p w14:paraId="402ADA3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677.52</w:t>
            </w:r>
          </w:p>
        </w:tc>
        <w:tc>
          <w:tcPr>
            <w:tcW w:w="1027" w:type="dxa"/>
            <w:tcBorders>
              <w:top w:val="nil"/>
              <w:left w:val="nil"/>
              <w:bottom w:val="single" w:sz="4" w:space="0" w:color="auto"/>
              <w:right w:val="single" w:sz="4" w:space="0" w:color="auto"/>
            </w:tcBorders>
            <w:vAlign w:val="center"/>
            <w:hideMark/>
          </w:tcPr>
          <w:p w14:paraId="4703896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-126.19</w:t>
            </w:r>
          </w:p>
        </w:tc>
        <w:tc>
          <w:tcPr>
            <w:tcW w:w="1136" w:type="dxa"/>
            <w:tcBorders>
              <w:top w:val="nil"/>
              <w:left w:val="nil"/>
              <w:bottom w:val="single" w:sz="4" w:space="0" w:color="auto"/>
              <w:right w:val="single" w:sz="4" w:space="0" w:color="auto"/>
            </w:tcBorders>
            <w:vAlign w:val="center"/>
            <w:hideMark/>
          </w:tcPr>
          <w:p w14:paraId="6DBA876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278.55</w:t>
            </w:r>
          </w:p>
        </w:tc>
        <w:tc>
          <w:tcPr>
            <w:tcW w:w="1016" w:type="dxa"/>
            <w:tcBorders>
              <w:top w:val="nil"/>
              <w:left w:val="nil"/>
              <w:bottom w:val="single" w:sz="4" w:space="0" w:color="auto"/>
              <w:right w:val="single" w:sz="4" w:space="0" w:color="auto"/>
            </w:tcBorders>
            <w:vAlign w:val="center"/>
            <w:hideMark/>
          </w:tcPr>
          <w:p w14:paraId="27E8B47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78.88</w:t>
            </w:r>
          </w:p>
        </w:tc>
        <w:tc>
          <w:tcPr>
            <w:tcW w:w="1338" w:type="dxa"/>
            <w:tcBorders>
              <w:top w:val="nil"/>
              <w:left w:val="nil"/>
              <w:bottom w:val="single" w:sz="4" w:space="0" w:color="auto"/>
              <w:right w:val="single" w:sz="4" w:space="0" w:color="auto"/>
            </w:tcBorders>
            <w:vAlign w:val="center"/>
            <w:hideMark/>
          </w:tcPr>
          <w:p w14:paraId="255EEDA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-325.86</w:t>
            </w:r>
          </w:p>
        </w:tc>
        <w:tc>
          <w:tcPr>
            <w:tcW w:w="993" w:type="dxa"/>
            <w:tcBorders>
              <w:top w:val="nil"/>
              <w:left w:val="nil"/>
              <w:bottom w:val="single" w:sz="4" w:space="0" w:color="auto"/>
              <w:right w:val="single" w:sz="4" w:space="0" w:color="auto"/>
            </w:tcBorders>
            <w:vAlign w:val="center"/>
            <w:hideMark/>
          </w:tcPr>
          <w:p w14:paraId="45CFE5A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146.2</w:t>
            </w:r>
          </w:p>
        </w:tc>
        <w:tc>
          <w:tcPr>
            <w:tcW w:w="1134" w:type="dxa"/>
            <w:tcBorders>
              <w:top w:val="nil"/>
              <w:left w:val="nil"/>
              <w:bottom w:val="single" w:sz="4" w:space="0" w:color="auto"/>
              <w:right w:val="single" w:sz="4" w:space="0" w:color="auto"/>
            </w:tcBorders>
            <w:vAlign w:val="center"/>
            <w:hideMark/>
          </w:tcPr>
          <w:p w14:paraId="53AA042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-179.66</w:t>
            </w:r>
          </w:p>
        </w:tc>
      </w:tr>
      <w:tr w:rsidR="00F6454C" w:rsidRPr="00AA0ADC" w14:paraId="157B4616"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251A569"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11435F0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-870.46</w:t>
            </w:r>
          </w:p>
        </w:tc>
        <w:tc>
          <w:tcPr>
            <w:tcW w:w="976" w:type="dxa"/>
            <w:tcBorders>
              <w:top w:val="nil"/>
              <w:left w:val="nil"/>
              <w:bottom w:val="single" w:sz="4" w:space="0" w:color="auto"/>
              <w:right w:val="single" w:sz="4" w:space="0" w:color="auto"/>
            </w:tcBorders>
            <w:vAlign w:val="center"/>
            <w:hideMark/>
          </w:tcPr>
          <w:p w14:paraId="60A2282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755.46</w:t>
            </w:r>
          </w:p>
        </w:tc>
        <w:tc>
          <w:tcPr>
            <w:tcW w:w="1027" w:type="dxa"/>
            <w:tcBorders>
              <w:top w:val="nil"/>
              <w:left w:val="nil"/>
              <w:bottom w:val="single" w:sz="4" w:space="0" w:color="auto"/>
              <w:right w:val="single" w:sz="4" w:space="0" w:color="auto"/>
            </w:tcBorders>
            <w:vAlign w:val="center"/>
            <w:hideMark/>
          </w:tcPr>
          <w:p w14:paraId="47EB340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-115</w:t>
            </w:r>
          </w:p>
        </w:tc>
        <w:tc>
          <w:tcPr>
            <w:tcW w:w="1136" w:type="dxa"/>
            <w:tcBorders>
              <w:top w:val="nil"/>
              <w:left w:val="nil"/>
              <w:bottom w:val="single" w:sz="4" w:space="0" w:color="auto"/>
              <w:right w:val="single" w:sz="4" w:space="0" w:color="auto"/>
            </w:tcBorders>
            <w:vAlign w:val="center"/>
            <w:hideMark/>
          </w:tcPr>
          <w:p w14:paraId="25373AB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298.09</w:t>
            </w:r>
          </w:p>
        </w:tc>
        <w:tc>
          <w:tcPr>
            <w:tcW w:w="1016" w:type="dxa"/>
            <w:tcBorders>
              <w:top w:val="nil"/>
              <w:left w:val="nil"/>
              <w:bottom w:val="single" w:sz="4" w:space="0" w:color="auto"/>
              <w:right w:val="single" w:sz="4" w:space="0" w:color="auto"/>
            </w:tcBorders>
            <w:vAlign w:val="center"/>
            <w:hideMark/>
          </w:tcPr>
          <w:p w14:paraId="52D57B3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88.74</w:t>
            </w:r>
          </w:p>
        </w:tc>
        <w:tc>
          <w:tcPr>
            <w:tcW w:w="1338" w:type="dxa"/>
            <w:tcBorders>
              <w:top w:val="nil"/>
              <w:left w:val="nil"/>
              <w:bottom w:val="single" w:sz="4" w:space="0" w:color="auto"/>
              <w:right w:val="single" w:sz="4" w:space="0" w:color="auto"/>
            </w:tcBorders>
            <w:vAlign w:val="center"/>
            <w:hideMark/>
          </w:tcPr>
          <w:p w14:paraId="62E3DD6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-324.35</w:t>
            </w:r>
          </w:p>
        </w:tc>
        <w:tc>
          <w:tcPr>
            <w:tcW w:w="993" w:type="dxa"/>
            <w:tcBorders>
              <w:top w:val="nil"/>
              <w:left w:val="nil"/>
              <w:bottom w:val="single" w:sz="4" w:space="0" w:color="auto"/>
              <w:right w:val="single" w:sz="4" w:space="0" w:color="auto"/>
            </w:tcBorders>
            <w:vAlign w:val="center"/>
            <w:hideMark/>
          </w:tcPr>
          <w:p w14:paraId="5AB22AC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173.28</w:t>
            </w:r>
          </w:p>
        </w:tc>
        <w:tc>
          <w:tcPr>
            <w:tcW w:w="1134" w:type="dxa"/>
            <w:tcBorders>
              <w:top w:val="nil"/>
              <w:left w:val="nil"/>
              <w:bottom w:val="single" w:sz="4" w:space="0" w:color="auto"/>
              <w:right w:val="single" w:sz="4" w:space="0" w:color="auto"/>
            </w:tcBorders>
            <w:vAlign w:val="center"/>
            <w:hideMark/>
          </w:tcPr>
          <w:p w14:paraId="0021385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-151.07</w:t>
            </w:r>
          </w:p>
        </w:tc>
      </w:tr>
      <w:tr w:rsidR="00F6454C" w:rsidRPr="00AA0ADC" w14:paraId="1B351820"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353C83B9"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6D962E3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-945.05</w:t>
            </w:r>
          </w:p>
        </w:tc>
        <w:tc>
          <w:tcPr>
            <w:tcW w:w="976" w:type="dxa"/>
            <w:tcBorders>
              <w:top w:val="nil"/>
              <w:left w:val="nil"/>
              <w:bottom w:val="single" w:sz="4" w:space="0" w:color="auto"/>
              <w:right w:val="single" w:sz="4" w:space="0" w:color="auto"/>
            </w:tcBorders>
            <w:vAlign w:val="center"/>
            <w:hideMark/>
          </w:tcPr>
          <w:p w14:paraId="357820D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842.61</w:t>
            </w:r>
          </w:p>
        </w:tc>
        <w:tc>
          <w:tcPr>
            <w:tcW w:w="1027" w:type="dxa"/>
            <w:tcBorders>
              <w:top w:val="nil"/>
              <w:left w:val="nil"/>
              <w:bottom w:val="single" w:sz="4" w:space="0" w:color="auto"/>
              <w:right w:val="single" w:sz="4" w:space="0" w:color="auto"/>
            </w:tcBorders>
            <w:vAlign w:val="center"/>
            <w:hideMark/>
          </w:tcPr>
          <w:p w14:paraId="5C90B3B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-102.44</w:t>
            </w:r>
          </w:p>
        </w:tc>
        <w:tc>
          <w:tcPr>
            <w:tcW w:w="1136" w:type="dxa"/>
            <w:tcBorders>
              <w:top w:val="nil"/>
              <w:left w:val="nil"/>
              <w:bottom w:val="single" w:sz="4" w:space="0" w:color="auto"/>
              <w:right w:val="single" w:sz="4" w:space="0" w:color="auto"/>
            </w:tcBorders>
            <w:vAlign w:val="center"/>
            <w:hideMark/>
          </w:tcPr>
          <w:p w14:paraId="364C5F7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318.96</w:t>
            </w:r>
          </w:p>
        </w:tc>
        <w:tc>
          <w:tcPr>
            <w:tcW w:w="1016" w:type="dxa"/>
            <w:tcBorders>
              <w:top w:val="nil"/>
              <w:left w:val="nil"/>
              <w:bottom w:val="single" w:sz="4" w:space="0" w:color="auto"/>
              <w:right w:val="single" w:sz="4" w:space="0" w:color="auto"/>
            </w:tcBorders>
            <w:vAlign w:val="center"/>
            <w:hideMark/>
          </w:tcPr>
          <w:p w14:paraId="2AF7DB4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98.6</w:t>
            </w:r>
          </w:p>
        </w:tc>
        <w:tc>
          <w:tcPr>
            <w:tcW w:w="1338" w:type="dxa"/>
            <w:tcBorders>
              <w:top w:val="nil"/>
              <w:left w:val="nil"/>
              <w:bottom w:val="single" w:sz="4" w:space="0" w:color="auto"/>
              <w:right w:val="single" w:sz="4" w:space="0" w:color="auto"/>
            </w:tcBorders>
            <w:vAlign w:val="center"/>
            <w:hideMark/>
          </w:tcPr>
          <w:p w14:paraId="01A34A3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-322.8</w:t>
            </w:r>
          </w:p>
        </w:tc>
        <w:tc>
          <w:tcPr>
            <w:tcW w:w="993" w:type="dxa"/>
            <w:tcBorders>
              <w:top w:val="nil"/>
              <w:left w:val="nil"/>
              <w:bottom w:val="single" w:sz="4" w:space="0" w:color="auto"/>
              <w:right w:val="single" w:sz="4" w:space="0" w:color="auto"/>
            </w:tcBorders>
            <w:vAlign w:val="center"/>
            <w:hideMark/>
          </w:tcPr>
          <w:p w14:paraId="7062241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211.18</w:t>
            </w:r>
          </w:p>
        </w:tc>
        <w:tc>
          <w:tcPr>
            <w:tcW w:w="1134" w:type="dxa"/>
            <w:tcBorders>
              <w:top w:val="nil"/>
              <w:left w:val="nil"/>
              <w:bottom w:val="single" w:sz="4" w:space="0" w:color="auto"/>
              <w:right w:val="single" w:sz="4" w:space="0" w:color="auto"/>
            </w:tcBorders>
            <w:vAlign w:val="center"/>
            <w:hideMark/>
          </w:tcPr>
          <w:p w14:paraId="0010AFC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-111.62</w:t>
            </w:r>
          </w:p>
        </w:tc>
      </w:tr>
      <w:tr w:rsidR="00F6454C" w:rsidRPr="00AA0ADC" w14:paraId="2E18B6C6"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EEB567F"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0562299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-1028.16</w:t>
            </w:r>
          </w:p>
        </w:tc>
        <w:tc>
          <w:tcPr>
            <w:tcW w:w="976" w:type="dxa"/>
            <w:tcBorders>
              <w:top w:val="nil"/>
              <w:left w:val="nil"/>
              <w:bottom w:val="single" w:sz="4" w:space="0" w:color="auto"/>
              <w:right w:val="single" w:sz="4" w:space="0" w:color="auto"/>
            </w:tcBorders>
            <w:vAlign w:val="center"/>
            <w:hideMark/>
          </w:tcPr>
          <w:p w14:paraId="21E17AF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939.82</w:t>
            </w:r>
          </w:p>
        </w:tc>
        <w:tc>
          <w:tcPr>
            <w:tcW w:w="1027" w:type="dxa"/>
            <w:tcBorders>
              <w:top w:val="nil"/>
              <w:left w:val="nil"/>
              <w:bottom w:val="single" w:sz="4" w:space="0" w:color="auto"/>
              <w:right w:val="single" w:sz="4" w:space="0" w:color="auto"/>
            </w:tcBorders>
            <w:vAlign w:val="center"/>
            <w:hideMark/>
          </w:tcPr>
          <w:p w14:paraId="62362C2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-88.34</w:t>
            </w:r>
          </w:p>
        </w:tc>
        <w:tc>
          <w:tcPr>
            <w:tcW w:w="1136" w:type="dxa"/>
            <w:tcBorders>
              <w:top w:val="nil"/>
              <w:left w:val="nil"/>
              <w:bottom w:val="single" w:sz="4" w:space="0" w:color="auto"/>
              <w:right w:val="single" w:sz="4" w:space="0" w:color="auto"/>
            </w:tcBorders>
            <w:vAlign w:val="center"/>
            <w:hideMark/>
          </w:tcPr>
          <w:p w14:paraId="5349457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341.26</w:t>
            </w:r>
          </w:p>
        </w:tc>
        <w:tc>
          <w:tcPr>
            <w:tcW w:w="1016" w:type="dxa"/>
            <w:tcBorders>
              <w:top w:val="nil"/>
              <w:left w:val="nil"/>
              <w:bottom w:val="single" w:sz="4" w:space="0" w:color="auto"/>
              <w:right w:val="single" w:sz="4" w:space="0" w:color="auto"/>
            </w:tcBorders>
            <w:vAlign w:val="center"/>
            <w:hideMark/>
          </w:tcPr>
          <w:p w14:paraId="3CF9AF0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108.46</w:t>
            </w:r>
          </w:p>
        </w:tc>
        <w:tc>
          <w:tcPr>
            <w:tcW w:w="1338" w:type="dxa"/>
            <w:tcBorders>
              <w:top w:val="nil"/>
              <w:left w:val="nil"/>
              <w:bottom w:val="single" w:sz="4" w:space="0" w:color="auto"/>
              <w:right w:val="single" w:sz="4" w:space="0" w:color="auto"/>
            </w:tcBorders>
            <w:vAlign w:val="center"/>
            <w:hideMark/>
          </w:tcPr>
          <w:p w14:paraId="51BC9B7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-321.14</w:t>
            </w:r>
          </w:p>
        </w:tc>
        <w:tc>
          <w:tcPr>
            <w:tcW w:w="993" w:type="dxa"/>
            <w:tcBorders>
              <w:top w:val="nil"/>
              <w:left w:val="nil"/>
              <w:bottom w:val="single" w:sz="4" w:space="0" w:color="auto"/>
              <w:right w:val="single" w:sz="4" w:space="0" w:color="auto"/>
            </w:tcBorders>
            <w:vAlign w:val="center"/>
            <w:hideMark/>
          </w:tcPr>
          <w:p w14:paraId="4BA55B6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249.09</w:t>
            </w:r>
          </w:p>
        </w:tc>
        <w:tc>
          <w:tcPr>
            <w:tcW w:w="1134" w:type="dxa"/>
            <w:tcBorders>
              <w:top w:val="nil"/>
              <w:left w:val="nil"/>
              <w:bottom w:val="single" w:sz="4" w:space="0" w:color="auto"/>
              <w:right w:val="single" w:sz="4" w:space="0" w:color="auto"/>
            </w:tcBorders>
            <w:vAlign w:val="center"/>
            <w:hideMark/>
          </w:tcPr>
          <w:p w14:paraId="21B1691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-72.05</w:t>
            </w:r>
          </w:p>
        </w:tc>
      </w:tr>
      <w:tr w:rsidR="00F6454C" w:rsidRPr="00AA0ADC" w14:paraId="36CE636B"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5289E9A"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0259372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-1144.91</w:t>
            </w:r>
          </w:p>
        </w:tc>
        <w:tc>
          <w:tcPr>
            <w:tcW w:w="976" w:type="dxa"/>
            <w:tcBorders>
              <w:top w:val="nil"/>
              <w:left w:val="nil"/>
              <w:bottom w:val="single" w:sz="4" w:space="0" w:color="auto"/>
              <w:right w:val="single" w:sz="4" w:space="0" w:color="auto"/>
            </w:tcBorders>
            <w:vAlign w:val="center"/>
            <w:hideMark/>
          </w:tcPr>
          <w:p w14:paraId="33A6091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1048.4</w:t>
            </w:r>
          </w:p>
        </w:tc>
        <w:tc>
          <w:tcPr>
            <w:tcW w:w="1027" w:type="dxa"/>
            <w:tcBorders>
              <w:top w:val="nil"/>
              <w:left w:val="nil"/>
              <w:bottom w:val="single" w:sz="4" w:space="0" w:color="auto"/>
              <w:right w:val="single" w:sz="4" w:space="0" w:color="auto"/>
            </w:tcBorders>
            <w:vAlign w:val="center"/>
            <w:hideMark/>
          </w:tcPr>
          <w:p w14:paraId="03B7B87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-96.51</w:t>
            </w:r>
          </w:p>
        </w:tc>
        <w:tc>
          <w:tcPr>
            <w:tcW w:w="1136" w:type="dxa"/>
            <w:tcBorders>
              <w:top w:val="nil"/>
              <w:left w:val="nil"/>
              <w:bottom w:val="single" w:sz="4" w:space="0" w:color="auto"/>
              <w:right w:val="single" w:sz="4" w:space="0" w:color="auto"/>
            </w:tcBorders>
            <w:vAlign w:val="center"/>
            <w:hideMark/>
          </w:tcPr>
          <w:p w14:paraId="3A2C501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365.14</w:t>
            </w:r>
          </w:p>
        </w:tc>
        <w:tc>
          <w:tcPr>
            <w:tcW w:w="1016" w:type="dxa"/>
            <w:tcBorders>
              <w:top w:val="nil"/>
              <w:left w:val="nil"/>
              <w:bottom w:val="single" w:sz="4" w:space="0" w:color="auto"/>
              <w:right w:val="single" w:sz="4" w:space="0" w:color="auto"/>
            </w:tcBorders>
            <w:vAlign w:val="center"/>
            <w:hideMark/>
          </w:tcPr>
          <w:p w14:paraId="5108AE2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118.32</w:t>
            </w:r>
          </w:p>
        </w:tc>
        <w:tc>
          <w:tcPr>
            <w:tcW w:w="1338" w:type="dxa"/>
            <w:tcBorders>
              <w:top w:val="nil"/>
              <w:left w:val="nil"/>
              <w:bottom w:val="single" w:sz="4" w:space="0" w:color="auto"/>
              <w:right w:val="single" w:sz="4" w:space="0" w:color="auto"/>
            </w:tcBorders>
            <w:vAlign w:val="center"/>
            <w:hideMark/>
          </w:tcPr>
          <w:p w14:paraId="550D484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-343.33</w:t>
            </w:r>
          </w:p>
        </w:tc>
        <w:tc>
          <w:tcPr>
            <w:tcW w:w="993" w:type="dxa"/>
            <w:tcBorders>
              <w:top w:val="nil"/>
              <w:left w:val="nil"/>
              <w:bottom w:val="single" w:sz="4" w:space="0" w:color="auto"/>
              <w:right w:val="single" w:sz="4" w:space="0" w:color="auto"/>
            </w:tcBorders>
            <w:vAlign w:val="center"/>
            <w:hideMark/>
          </w:tcPr>
          <w:p w14:paraId="7999FA1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303.23</w:t>
            </w:r>
          </w:p>
        </w:tc>
        <w:tc>
          <w:tcPr>
            <w:tcW w:w="1134" w:type="dxa"/>
            <w:tcBorders>
              <w:top w:val="nil"/>
              <w:left w:val="nil"/>
              <w:bottom w:val="single" w:sz="4" w:space="0" w:color="auto"/>
              <w:right w:val="single" w:sz="4" w:space="0" w:color="auto"/>
            </w:tcBorders>
            <w:vAlign w:val="center"/>
            <w:hideMark/>
          </w:tcPr>
          <w:p w14:paraId="231D518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-40.1</w:t>
            </w:r>
          </w:p>
        </w:tc>
      </w:tr>
      <w:tr w:rsidR="00F6454C" w:rsidRPr="00AA0ADC" w14:paraId="78996B87"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26C8C781"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7F9A6C3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-4792.29</w:t>
            </w:r>
          </w:p>
        </w:tc>
        <w:tc>
          <w:tcPr>
            <w:tcW w:w="976" w:type="dxa"/>
            <w:tcBorders>
              <w:top w:val="nil"/>
              <w:left w:val="nil"/>
              <w:bottom w:val="single" w:sz="4" w:space="0" w:color="auto"/>
              <w:right w:val="single" w:sz="4" w:space="0" w:color="auto"/>
            </w:tcBorders>
            <w:vAlign w:val="center"/>
            <w:hideMark/>
          </w:tcPr>
          <w:p w14:paraId="6236575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4263.81</w:t>
            </w:r>
          </w:p>
        </w:tc>
        <w:tc>
          <w:tcPr>
            <w:tcW w:w="1027" w:type="dxa"/>
            <w:tcBorders>
              <w:top w:val="nil"/>
              <w:left w:val="nil"/>
              <w:bottom w:val="single" w:sz="4" w:space="0" w:color="auto"/>
              <w:right w:val="single" w:sz="4" w:space="0" w:color="auto"/>
            </w:tcBorders>
            <w:vAlign w:val="center"/>
            <w:hideMark/>
          </w:tcPr>
          <w:p w14:paraId="59C18B0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-528.48</w:t>
            </w:r>
          </w:p>
        </w:tc>
        <w:tc>
          <w:tcPr>
            <w:tcW w:w="1136" w:type="dxa"/>
            <w:tcBorders>
              <w:top w:val="nil"/>
              <w:left w:val="nil"/>
              <w:bottom w:val="single" w:sz="4" w:space="0" w:color="auto"/>
              <w:right w:val="single" w:sz="4" w:space="0" w:color="auto"/>
            </w:tcBorders>
            <w:vAlign w:val="center"/>
            <w:hideMark/>
          </w:tcPr>
          <w:p w14:paraId="70FF975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1602</w:t>
            </w:r>
          </w:p>
        </w:tc>
        <w:tc>
          <w:tcPr>
            <w:tcW w:w="1016" w:type="dxa"/>
            <w:tcBorders>
              <w:top w:val="nil"/>
              <w:left w:val="nil"/>
              <w:bottom w:val="single" w:sz="4" w:space="0" w:color="auto"/>
              <w:right w:val="single" w:sz="4" w:space="0" w:color="auto"/>
            </w:tcBorders>
            <w:vAlign w:val="center"/>
            <w:hideMark/>
          </w:tcPr>
          <w:p w14:paraId="185E7C0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493</w:t>
            </w:r>
          </w:p>
        </w:tc>
        <w:tc>
          <w:tcPr>
            <w:tcW w:w="1338" w:type="dxa"/>
            <w:tcBorders>
              <w:top w:val="nil"/>
              <w:left w:val="nil"/>
              <w:bottom w:val="single" w:sz="4" w:space="0" w:color="auto"/>
              <w:right w:val="single" w:sz="4" w:space="0" w:color="auto"/>
            </w:tcBorders>
            <w:vAlign w:val="center"/>
            <w:hideMark/>
          </w:tcPr>
          <w:p w14:paraId="7BC865F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-1637.48</w:t>
            </w:r>
          </w:p>
        </w:tc>
        <w:tc>
          <w:tcPr>
            <w:tcW w:w="993" w:type="dxa"/>
            <w:tcBorders>
              <w:top w:val="nil"/>
              <w:left w:val="nil"/>
              <w:bottom w:val="single" w:sz="4" w:space="0" w:color="auto"/>
              <w:right w:val="single" w:sz="4" w:space="0" w:color="auto"/>
            </w:tcBorders>
            <w:vAlign w:val="center"/>
            <w:hideMark/>
          </w:tcPr>
          <w:p w14:paraId="51FC9DA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1082.98</w:t>
            </w:r>
          </w:p>
        </w:tc>
        <w:tc>
          <w:tcPr>
            <w:tcW w:w="1134" w:type="dxa"/>
            <w:tcBorders>
              <w:top w:val="nil"/>
              <w:left w:val="nil"/>
              <w:bottom w:val="single" w:sz="4" w:space="0" w:color="auto"/>
              <w:right w:val="single" w:sz="4" w:space="0" w:color="auto"/>
            </w:tcBorders>
            <w:vAlign w:val="center"/>
            <w:hideMark/>
          </w:tcPr>
          <w:p w14:paraId="63380EB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-554.5</w:t>
            </w:r>
          </w:p>
        </w:tc>
      </w:tr>
      <w:tr w:rsidR="00AA0ADC" w:rsidRPr="00AA0ADC" w14:paraId="02F078AB"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5131EA25" w14:textId="410BD053"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PUNJAB</w:t>
            </w:r>
          </w:p>
        </w:tc>
      </w:tr>
      <w:tr w:rsidR="00F6454C" w:rsidRPr="00AA0ADC" w14:paraId="1861C7EE"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E51E8D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075DC30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-204.5</w:t>
            </w:r>
          </w:p>
        </w:tc>
        <w:tc>
          <w:tcPr>
            <w:tcW w:w="976" w:type="dxa"/>
            <w:tcBorders>
              <w:top w:val="nil"/>
              <w:left w:val="nil"/>
              <w:bottom w:val="single" w:sz="4" w:space="0" w:color="auto"/>
              <w:right w:val="single" w:sz="4" w:space="0" w:color="auto"/>
            </w:tcBorders>
            <w:vAlign w:val="center"/>
            <w:hideMark/>
          </w:tcPr>
          <w:p w14:paraId="3310460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241.79</w:t>
            </w:r>
          </w:p>
        </w:tc>
        <w:tc>
          <w:tcPr>
            <w:tcW w:w="1027" w:type="dxa"/>
            <w:tcBorders>
              <w:top w:val="nil"/>
              <w:left w:val="nil"/>
              <w:bottom w:val="single" w:sz="4" w:space="0" w:color="auto"/>
              <w:right w:val="single" w:sz="4" w:space="0" w:color="auto"/>
            </w:tcBorders>
            <w:vAlign w:val="center"/>
            <w:hideMark/>
          </w:tcPr>
          <w:p w14:paraId="125C3E6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37.29</w:t>
            </w:r>
          </w:p>
        </w:tc>
        <w:tc>
          <w:tcPr>
            <w:tcW w:w="1136" w:type="dxa"/>
            <w:tcBorders>
              <w:top w:val="nil"/>
              <w:left w:val="nil"/>
              <w:bottom w:val="single" w:sz="4" w:space="0" w:color="auto"/>
              <w:right w:val="single" w:sz="4" w:space="0" w:color="auto"/>
            </w:tcBorders>
            <w:vAlign w:val="center"/>
            <w:hideMark/>
          </w:tcPr>
          <w:p w14:paraId="77D2116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161.01</w:t>
            </w:r>
          </w:p>
        </w:tc>
        <w:tc>
          <w:tcPr>
            <w:tcW w:w="1016" w:type="dxa"/>
            <w:tcBorders>
              <w:top w:val="nil"/>
              <w:left w:val="nil"/>
              <w:bottom w:val="single" w:sz="4" w:space="0" w:color="auto"/>
              <w:right w:val="single" w:sz="4" w:space="0" w:color="auto"/>
            </w:tcBorders>
            <w:vAlign w:val="center"/>
            <w:hideMark/>
          </w:tcPr>
          <w:p w14:paraId="50F1F05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41.28</w:t>
            </w:r>
          </w:p>
        </w:tc>
        <w:tc>
          <w:tcPr>
            <w:tcW w:w="1338" w:type="dxa"/>
            <w:tcBorders>
              <w:top w:val="nil"/>
              <w:left w:val="nil"/>
              <w:bottom w:val="single" w:sz="4" w:space="0" w:color="auto"/>
              <w:right w:val="single" w:sz="4" w:space="0" w:color="auto"/>
            </w:tcBorders>
            <w:vAlign w:val="center"/>
            <w:hideMark/>
          </w:tcPr>
          <w:p w14:paraId="6C9EDAC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-82.44</w:t>
            </w:r>
          </w:p>
        </w:tc>
        <w:tc>
          <w:tcPr>
            <w:tcW w:w="993" w:type="dxa"/>
            <w:tcBorders>
              <w:top w:val="nil"/>
              <w:left w:val="nil"/>
              <w:bottom w:val="single" w:sz="4" w:space="0" w:color="auto"/>
              <w:right w:val="single" w:sz="4" w:space="0" w:color="auto"/>
            </w:tcBorders>
            <w:vAlign w:val="center"/>
            <w:hideMark/>
          </w:tcPr>
          <w:p w14:paraId="253AF61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7.28</w:t>
            </w:r>
          </w:p>
        </w:tc>
        <w:tc>
          <w:tcPr>
            <w:tcW w:w="1134" w:type="dxa"/>
            <w:tcBorders>
              <w:top w:val="nil"/>
              <w:left w:val="nil"/>
              <w:bottom w:val="single" w:sz="4" w:space="0" w:color="auto"/>
              <w:right w:val="single" w:sz="4" w:space="0" w:color="auto"/>
            </w:tcBorders>
            <w:vAlign w:val="center"/>
            <w:hideMark/>
          </w:tcPr>
          <w:p w14:paraId="61FF40B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-75.16</w:t>
            </w:r>
          </w:p>
        </w:tc>
      </w:tr>
      <w:tr w:rsidR="00F6454C" w:rsidRPr="00AA0ADC" w14:paraId="23A68405"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A3FB21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789F811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-109.5</w:t>
            </w:r>
          </w:p>
        </w:tc>
        <w:tc>
          <w:tcPr>
            <w:tcW w:w="976" w:type="dxa"/>
            <w:tcBorders>
              <w:top w:val="nil"/>
              <w:left w:val="nil"/>
              <w:bottom w:val="single" w:sz="4" w:space="0" w:color="auto"/>
              <w:right w:val="single" w:sz="4" w:space="0" w:color="auto"/>
            </w:tcBorders>
            <w:vAlign w:val="center"/>
            <w:hideMark/>
          </w:tcPr>
          <w:p w14:paraId="1A27D7F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269.07</w:t>
            </w:r>
          </w:p>
        </w:tc>
        <w:tc>
          <w:tcPr>
            <w:tcW w:w="1027" w:type="dxa"/>
            <w:tcBorders>
              <w:top w:val="nil"/>
              <w:left w:val="nil"/>
              <w:bottom w:val="single" w:sz="4" w:space="0" w:color="auto"/>
              <w:right w:val="single" w:sz="4" w:space="0" w:color="auto"/>
            </w:tcBorders>
            <w:vAlign w:val="center"/>
            <w:hideMark/>
          </w:tcPr>
          <w:p w14:paraId="0595411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159.57</w:t>
            </w:r>
          </w:p>
        </w:tc>
        <w:tc>
          <w:tcPr>
            <w:tcW w:w="1136" w:type="dxa"/>
            <w:tcBorders>
              <w:top w:val="nil"/>
              <w:left w:val="nil"/>
              <w:bottom w:val="single" w:sz="4" w:space="0" w:color="auto"/>
              <w:right w:val="single" w:sz="4" w:space="0" w:color="auto"/>
            </w:tcBorders>
            <w:vAlign w:val="center"/>
            <w:hideMark/>
          </w:tcPr>
          <w:p w14:paraId="49EF4D8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172.3</w:t>
            </w:r>
          </w:p>
        </w:tc>
        <w:tc>
          <w:tcPr>
            <w:tcW w:w="1016" w:type="dxa"/>
            <w:tcBorders>
              <w:top w:val="nil"/>
              <w:left w:val="nil"/>
              <w:bottom w:val="single" w:sz="4" w:space="0" w:color="auto"/>
              <w:right w:val="single" w:sz="4" w:space="0" w:color="auto"/>
            </w:tcBorders>
            <w:vAlign w:val="center"/>
            <w:hideMark/>
          </w:tcPr>
          <w:p w14:paraId="7C7DE7A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46.44</w:t>
            </w:r>
          </w:p>
        </w:tc>
        <w:tc>
          <w:tcPr>
            <w:tcW w:w="1338" w:type="dxa"/>
            <w:tcBorders>
              <w:top w:val="nil"/>
              <w:left w:val="nil"/>
              <w:bottom w:val="single" w:sz="4" w:space="0" w:color="auto"/>
              <w:right w:val="single" w:sz="4" w:space="0" w:color="auto"/>
            </w:tcBorders>
            <w:vAlign w:val="center"/>
            <w:hideMark/>
          </w:tcPr>
          <w:p w14:paraId="052D6AB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33.71</w:t>
            </w:r>
          </w:p>
        </w:tc>
        <w:tc>
          <w:tcPr>
            <w:tcW w:w="993" w:type="dxa"/>
            <w:tcBorders>
              <w:top w:val="nil"/>
              <w:left w:val="nil"/>
              <w:bottom w:val="single" w:sz="4" w:space="0" w:color="auto"/>
              <w:right w:val="single" w:sz="4" w:space="0" w:color="auto"/>
            </w:tcBorders>
            <w:vAlign w:val="center"/>
            <w:hideMark/>
          </w:tcPr>
          <w:p w14:paraId="3A64591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8.63</w:t>
            </w:r>
          </w:p>
        </w:tc>
        <w:tc>
          <w:tcPr>
            <w:tcW w:w="1134" w:type="dxa"/>
            <w:tcBorders>
              <w:top w:val="nil"/>
              <w:left w:val="nil"/>
              <w:bottom w:val="single" w:sz="4" w:space="0" w:color="auto"/>
              <w:right w:val="single" w:sz="4" w:space="0" w:color="auto"/>
            </w:tcBorders>
            <w:vAlign w:val="center"/>
            <w:hideMark/>
          </w:tcPr>
          <w:p w14:paraId="36BA499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42.34</w:t>
            </w:r>
          </w:p>
        </w:tc>
      </w:tr>
      <w:tr w:rsidR="00F6454C" w:rsidRPr="00AA0ADC" w14:paraId="095721B2"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46237CF2"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5A7D348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-25.91</w:t>
            </w:r>
          </w:p>
        </w:tc>
        <w:tc>
          <w:tcPr>
            <w:tcW w:w="976" w:type="dxa"/>
            <w:tcBorders>
              <w:top w:val="nil"/>
              <w:left w:val="nil"/>
              <w:bottom w:val="single" w:sz="4" w:space="0" w:color="auto"/>
              <w:right w:val="single" w:sz="4" w:space="0" w:color="auto"/>
            </w:tcBorders>
            <w:vAlign w:val="center"/>
            <w:hideMark/>
          </w:tcPr>
          <w:p w14:paraId="1055902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299.51</w:t>
            </w:r>
          </w:p>
        </w:tc>
        <w:tc>
          <w:tcPr>
            <w:tcW w:w="1027" w:type="dxa"/>
            <w:tcBorders>
              <w:top w:val="nil"/>
              <w:left w:val="nil"/>
              <w:bottom w:val="single" w:sz="4" w:space="0" w:color="auto"/>
              <w:right w:val="single" w:sz="4" w:space="0" w:color="auto"/>
            </w:tcBorders>
            <w:vAlign w:val="center"/>
            <w:hideMark/>
          </w:tcPr>
          <w:p w14:paraId="3D8862A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273.6</w:t>
            </w:r>
          </w:p>
        </w:tc>
        <w:tc>
          <w:tcPr>
            <w:tcW w:w="1136" w:type="dxa"/>
            <w:tcBorders>
              <w:top w:val="nil"/>
              <w:left w:val="nil"/>
              <w:bottom w:val="single" w:sz="4" w:space="0" w:color="auto"/>
              <w:right w:val="single" w:sz="4" w:space="0" w:color="auto"/>
            </w:tcBorders>
            <w:vAlign w:val="center"/>
            <w:hideMark/>
          </w:tcPr>
          <w:p w14:paraId="343DF19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184.37</w:t>
            </w:r>
          </w:p>
        </w:tc>
        <w:tc>
          <w:tcPr>
            <w:tcW w:w="1016" w:type="dxa"/>
            <w:tcBorders>
              <w:top w:val="nil"/>
              <w:left w:val="nil"/>
              <w:bottom w:val="single" w:sz="4" w:space="0" w:color="auto"/>
              <w:right w:val="single" w:sz="4" w:space="0" w:color="auto"/>
            </w:tcBorders>
            <w:vAlign w:val="center"/>
            <w:hideMark/>
          </w:tcPr>
          <w:p w14:paraId="4769316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51.6</w:t>
            </w:r>
          </w:p>
        </w:tc>
        <w:tc>
          <w:tcPr>
            <w:tcW w:w="1338" w:type="dxa"/>
            <w:tcBorders>
              <w:top w:val="nil"/>
              <w:left w:val="nil"/>
              <w:bottom w:val="single" w:sz="4" w:space="0" w:color="auto"/>
              <w:right w:val="single" w:sz="4" w:space="0" w:color="auto"/>
            </w:tcBorders>
            <w:vAlign w:val="center"/>
            <w:hideMark/>
          </w:tcPr>
          <w:p w14:paraId="2998FB3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140.83</w:t>
            </w:r>
          </w:p>
        </w:tc>
        <w:tc>
          <w:tcPr>
            <w:tcW w:w="993" w:type="dxa"/>
            <w:tcBorders>
              <w:top w:val="nil"/>
              <w:left w:val="nil"/>
              <w:bottom w:val="single" w:sz="4" w:space="0" w:color="auto"/>
              <w:right w:val="single" w:sz="4" w:space="0" w:color="auto"/>
            </w:tcBorders>
            <w:vAlign w:val="center"/>
            <w:hideMark/>
          </w:tcPr>
          <w:p w14:paraId="6CEA025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10.51</w:t>
            </w:r>
          </w:p>
        </w:tc>
        <w:tc>
          <w:tcPr>
            <w:tcW w:w="1134" w:type="dxa"/>
            <w:tcBorders>
              <w:top w:val="nil"/>
              <w:left w:val="nil"/>
              <w:bottom w:val="single" w:sz="4" w:space="0" w:color="auto"/>
              <w:right w:val="single" w:sz="4" w:space="0" w:color="auto"/>
            </w:tcBorders>
            <w:vAlign w:val="center"/>
            <w:hideMark/>
          </w:tcPr>
          <w:p w14:paraId="68686E2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151.34</w:t>
            </w:r>
          </w:p>
        </w:tc>
      </w:tr>
      <w:tr w:rsidR="00F6454C" w:rsidRPr="00AA0ADC" w14:paraId="1AA4688E"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EB4545F"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1715AEE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64.77</w:t>
            </w:r>
          </w:p>
        </w:tc>
        <w:tc>
          <w:tcPr>
            <w:tcW w:w="976" w:type="dxa"/>
            <w:tcBorders>
              <w:top w:val="nil"/>
              <w:left w:val="nil"/>
              <w:bottom w:val="single" w:sz="4" w:space="0" w:color="auto"/>
              <w:right w:val="single" w:sz="4" w:space="0" w:color="auto"/>
            </w:tcBorders>
            <w:vAlign w:val="center"/>
            <w:hideMark/>
          </w:tcPr>
          <w:p w14:paraId="35E2DD0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333.46</w:t>
            </w:r>
          </w:p>
        </w:tc>
        <w:tc>
          <w:tcPr>
            <w:tcW w:w="1027" w:type="dxa"/>
            <w:tcBorders>
              <w:top w:val="nil"/>
              <w:left w:val="nil"/>
              <w:bottom w:val="single" w:sz="4" w:space="0" w:color="auto"/>
              <w:right w:val="single" w:sz="4" w:space="0" w:color="auto"/>
            </w:tcBorders>
            <w:vAlign w:val="center"/>
            <w:hideMark/>
          </w:tcPr>
          <w:p w14:paraId="5B45657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398.23</w:t>
            </w:r>
          </w:p>
        </w:tc>
        <w:tc>
          <w:tcPr>
            <w:tcW w:w="1136" w:type="dxa"/>
            <w:tcBorders>
              <w:top w:val="nil"/>
              <w:left w:val="nil"/>
              <w:bottom w:val="single" w:sz="4" w:space="0" w:color="auto"/>
              <w:right w:val="single" w:sz="4" w:space="0" w:color="auto"/>
            </w:tcBorders>
            <w:vAlign w:val="center"/>
            <w:hideMark/>
          </w:tcPr>
          <w:p w14:paraId="1051D0C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197.26</w:t>
            </w:r>
          </w:p>
        </w:tc>
        <w:tc>
          <w:tcPr>
            <w:tcW w:w="1016" w:type="dxa"/>
            <w:tcBorders>
              <w:top w:val="nil"/>
              <w:left w:val="nil"/>
              <w:bottom w:val="single" w:sz="4" w:space="0" w:color="auto"/>
              <w:right w:val="single" w:sz="4" w:space="0" w:color="auto"/>
            </w:tcBorders>
            <w:vAlign w:val="center"/>
            <w:hideMark/>
          </w:tcPr>
          <w:p w14:paraId="2DC45B7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56.76</w:t>
            </w:r>
          </w:p>
        </w:tc>
        <w:tc>
          <w:tcPr>
            <w:tcW w:w="1338" w:type="dxa"/>
            <w:tcBorders>
              <w:top w:val="nil"/>
              <w:left w:val="nil"/>
              <w:bottom w:val="single" w:sz="4" w:space="0" w:color="auto"/>
              <w:right w:val="single" w:sz="4" w:space="0" w:color="auto"/>
            </w:tcBorders>
            <w:vAlign w:val="center"/>
            <w:hideMark/>
          </w:tcPr>
          <w:p w14:paraId="60F6660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257.73</w:t>
            </w:r>
          </w:p>
        </w:tc>
        <w:tc>
          <w:tcPr>
            <w:tcW w:w="993" w:type="dxa"/>
            <w:tcBorders>
              <w:top w:val="nil"/>
              <w:left w:val="nil"/>
              <w:bottom w:val="single" w:sz="4" w:space="0" w:color="auto"/>
              <w:right w:val="single" w:sz="4" w:space="0" w:color="auto"/>
            </w:tcBorders>
            <w:vAlign w:val="center"/>
            <w:hideMark/>
          </w:tcPr>
          <w:p w14:paraId="67B6284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12.4</w:t>
            </w:r>
          </w:p>
        </w:tc>
        <w:tc>
          <w:tcPr>
            <w:tcW w:w="1134" w:type="dxa"/>
            <w:tcBorders>
              <w:top w:val="nil"/>
              <w:left w:val="nil"/>
              <w:bottom w:val="single" w:sz="4" w:space="0" w:color="auto"/>
              <w:right w:val="single" w:sz="4" w:space="0" w:color="auto"/>
            </w:tcBorders>
            <w:vAlign w:val="center"/>
            <w:hideMark/>
          </w:tcPr>
          <w:p w14:paraId="523371D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270.13</w:t>
            </w:r>
          </w:p>
        </w:tc>
      </w:tr>
      <w:tr w:rsidR="00F6454C" w:rsidRPr="00AA0ADC" w14:paraId="1F94DB6E"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304BE2AF"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6A4417E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160.37</w:t>
            </w:r>
          </w:p>
        </w:tc>
        <w:tc>
          <w:tcPr>
            <w:tcW w:w="976" w:type="dxa"/>
            <w:tcBorders>
              <w:top w:val="nil"/>
              <w:left w:val="nil"/>
              <w:bottom w:val="single" w:sz="4" w:space="0" w:color="auto"/>
              <w:right w:val="single" w:sz="4" w:space="0" w:color="auto"/>
            </w:tcBorders>
            <w:vAlign w:val="center"/>
            <w:hideMark/>
          </w:tcPr>
          <w:p w14:paraId="5156124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371.39</w:t>
            </w:r>
          </w:p>
        </w:tc>
        <w:tc>
          <w:tcPr>
            <w:tcW w:w="1027" w:type="dxa"/>
            <w:tcBorders>
              <w:top w:val="nil"/>
              <w:left w:val="nil"/>
              <w:bottom w:val="single" w:sz="4" w:space="0" w:color="auto"/>
              <w:right w:val="single" w:sz="4" w:space="0" w:color="auto"/>
            </w:tcBorders>
            <w:vAlign w:val="center"/>
            <w:hideMark/>
          </w:tcPr>
          <w:p w14:paraId="6E08C07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531.76</w:t>
            </w:r>
          </w:p>
        </w:tc>
        <w:tc>
          <w:tcPr>
            <w:tcW w:w="1136" w:type="dxa"/>
            <w:tcBorders>
              <w:top w:val="nil"/>
              <w:left w:val="nil"/>
              <w:bottom w:val="single" w:sz="4" w:space="0" w:color="auto"/>
              <w:right w:val="single" w:sz="4" w:space="0" w:color="auto"/>
            </w:tcBorders>
            <w:vAlign w:val="center"/>
            <w:hideMark/>
          </w:tcPr>
          <w:p w14:paraId="60CD047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211.06</w:t>
            </w:r>
          </w:p>
        </w:tc>
        <w:tc>
          <w:tcPr>
            <w:tcW w:w="1016" w:type="dxa"/>
            <w:tcBorders>
              <w:top w:val="nil"/>
              <w:left w:val="nil"/>
              <w:bottom w:val="single" w:sz="4" w:space="0" w:color="auto"/>
              <w:right w:val="single" w:sz="4" w:space="0" w:color="auto"/>
            </w:tcBorders>
            <w:vAlign w:val="center"/>
            <w:hideMark/>
          </w:tcPr>
          <w:p w14:paraId="3431956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61.92</w:t>
            </w:r>
          </w:p>
        </w:tc>
        <w:tc>
          <w:tcPr>
            <w:tcW w:w="1338" w:type="dxa"/>
            <w:tcBorders>
              <w:top w:val="nil"/>
              <w:left w:val="nil"/>
              <w:bottom w:val="single" w:sz="4" w:space="0" w:color="auto"/>
              <w:right w:val="single" w:sz="4" w:space="0" w:color="auto"/>
            </w:tcBorders>
            <w:vAlign w:val="center"/>
            <w:hideMark/>
          </w:tcPr>
          <w:p w14:paraId="6D3DB5D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382.62</w:t>
            </w:r>
          </w:p>
        </w:tc>
        <w:tc>
          <w:tcPr>
            <w:tcW w:w="993" w:type="dxa"/>
            <w:tcBorders>
              <w:top w:val="nil"/>
              <w:left w:val="nil"/>
              <w:bottom w:val="single" w:sz="4" w:space="0" w:color="auto"/>
              <w:right w:val="single" w:sz="4" w:space="0" w:color="auto"/>
            </w:tcBorders>
            <w:vAlign w:val="center"/>
            <w:hideMark/>
          </w:tcPr>
          <w:p w14:paraId="7376952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15.09</w:t>
            </w:r>
          </w:p>
        </w:tc>
        <w:tc>
          <w:tcPr>
            <w:tcW w:w="1134" w:type="dxa"/>
            <w:tcBorders>
              <w:top w:val="nil"/>
              <w:left w:val="nil"/>
              <w:bottom w:val="single" w:sz="4" w:space="0" w:color="auto"/>
              <w:right w:val="single" w:sz="4" w:space="0" w:color="auto"/>
            </w:tcBorders>
            <w:vAlign w:val="center"/>
            <w:hideMark/>
          </w:tcPr>
          <w:p w14:paraId="2745107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397.71</w:t>
            </w:r>
          </w:p>
        </w:tc>
      </w:tr>
      <w:tr w:rsidR="00F6454C" w:rsidRPr="00AA0ADC" w14:paraId="1B3329F5"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2CB2C1A9"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60BC3AC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114.77</w:t>
            </w:r>
          </w:p>
        </w:tc>
        <w:tc>
          <w:tcPr>
            <w:tcW w:w="976" w:type="dxa"/>
            <w:tcBorders>
              <w:top w:val="nil"/>
              <w:left w:val="nil"/>
              <w:bottom w:val="single" w:sz="4" w:space="0" w:color="auto"/>
              <w:right w:val="single" w:sz="4" w:space="0" w:color="auto"/>
            </w:tcBorders>
            <w:vAlign w:val="center"/>
            <w:hideMark/>
          </w:tcPr>
          <w:p w14:paraId="30288C1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1515.22</w:t>
            </w:r>
          </w:p>
        </w:tc>
        <w:tc>
          <w:tcPr>
            <w:tcW w:w="1027" w:type="dxa"/>
            <w:tcBorders>
              <w:top w:val="nil"/>
              <w:left w:val="nil"/>
              <w:bottom w:val="single" w:sz="4" w:space="0" w:color="auto"/>
              <w:right w:val="single" w:sz="4" w:space="0" w:color="auto"/>
            </w:tcBorders>
            <w:vAlign w:val="center"/>
            <w:hideMark/>
          </w:tcPr>
          <w:p w14:paraId="1E93EC8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1400.45</w:t>
            </w:r>
          </w:p>
        </w:tc>
        <w:tc>
          <w:tcPr>
            <w:tcW w:w="1136" w:type="dxa"/>
            <w:tcBorders>
              <w:top w:val="nil"/>
              <w:left w:val="nil"/>
              <w:bottom w:val="single" w:sz="4" w:space="0" w:color="auto"/>
              <w:right w:val="single" w:sz="4" w:space="0" w:color="auto"/>
            </w:tcBorders>
            <w:vAlign w:val="center"/>
            <w:hideMark/>
          </w:tcPr>
          <w:p w14:paraId="2BE5050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926</w:t>
            </w:r>
          </w:p>
        </w:tc>
        <w:tc>
          <w:tcPr>
            <w:tcW w:w="1016" w:type="dxa"/>
            <w:tcBorders>
              <w:top w:val="nil"/>
              <w:left w:val="nil"/>
              <w:bottom w:val="single" w:sz="4" w:space="0" w:color="auto"/>
              <w:right w:val="single" w:sz="4" w:space="0" w:color="auto"/>
            </w:tcBorders>
            <w:vAlign w:val="center"/>
            <w:hideMark/>
          </w:tcPr>
          <w:p w14:paraId="0BFDBFA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258</w:t>
            </w:r>
          </w:p>
        </w:tc>
        <w:tc>
          <w:tcPr>
            <w:tcW w:w="1338" w:type="dxa"/>
            <w:tcBorders>
              <w:top w:val="nil"/>
              <w:left w:val="nil"/>
              <w:bottom w:val="single" w:sz="4" w:space="0" w:color="auto"/>
              <w:right w:val="single" w:sz="4" w:space="0" w:color="auto"/>
            </w:tcBorders>
            <w:vAlign w:val="center"/>
            <w:hideMark/>
          </w:tcPr>
          <w:p w14:paraId="20AEE7D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732.45</w:t>
            </w:r>
          </w:p>
        </w:tc>
        <w:tc>
          <w:tcPr>
            <w:tcW w:w="993" w:type="dxa"/>
            <w:tcBorders>
              <w:top w:val="nil"/>
              <w:left w:val="nil"/>
              <w:bottom w:val="single" w:sz="4" w:space="0" w:color="auto"/>
              <w:right w:val="single" w:sz="4" w:space="0" w:color="auto"/>
            </w:tcBorders>
            <w:vAlign w:val="center"/>
            <w:hideMark/>
          </w:tcPr>
          <w:p w14:paraId="7100684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53.91</w:t>
            </w:r>
          </w:p>
        </w:tc>
        <w:tc>
          <w:tcPr>
            <w:tcW w:w="1134" w:type="dxa"/>
            <w:tcBorders>
              <w:top w:val="nil"/>
              <w:left w:val="nil"/>
              <w:bottom w:val="single" w:sz="4" w:space="0" w:color="auto"/>
              <w:right w:val="single" w:sz="4" w:space="0" w:color="auto"/>
            </w:tcBorders>
            <w:vAlign w:val="center"/>
            <w:hideMark/>
          </w:tcPr>
          <w:p w14:paraId="37ADA22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786.36</w:t>
            </w:r>
          </w:p>
        </w:tc>
      </w:tr>
      <w:tr w:rsidR="00AA0ADC" w:rsidRPr="00AA0ADC" w14:paraId="595365A1"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209A44F0" w14:textId="6FA03339"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RAJASTHAN</w:t>
            </w:r>
          </w:p>
        </w:tc>
      </w:tr>
      <w:tr w:rsidR="00F6454C" w:rsidRPr="00AA0ADC" w14:paraId="31672BFB"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F6EC566"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0797DA3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-849.67</w:t>
            </w:r>
          </w:p>
        </w:tc>
        <w:tc>
          <w:tcPr>
            <w:tcW w:w="976" w:type="dxa"/>
            <w:tcBorders>
              <w:top w:val="nil"/>
              <w:left w:val="nil"/>
              <w:bottom w:val="single" w:sz="4" w:space="0" w:color="auto"/>
              <w:right w:val="single" w:sz="4" w:space="0" w:color="auto"/>
            </w:tcBorders>
            <w:vAlign w:val="center"/>
            <w:hideMark/>
          </w:tcPr>
          <w:p w14:paraId="679A07E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734.25</w:t>
            </w:r>
          </w:p>
        </w:tc>
        <w:tc>
          <w:tcPr>
            <w:tcW w:w="1027" w:type="dxa"/>
            <w:tcBorders>
              <w:top w:val="nil"/>
              <w:left w:val="nil"/>
              <w:bottom w:val="single" w:sz="4" w:space="0" w:color="auto"/>
              <w:right w:val="single" w:sz="4" w:space="0" w:color="auto"/>
            </w:tcBorders>
            <w:vAlign w:val="center"/>
            <w:hideMark/>
          </w:tcPr>
          <w:p w14:paraId="1B2EFA8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-115.42</w:t>
            </w:r>
          </w:p>
        </w:tc>
        <w:tc>
          <w:tcPr>
            <w:tcW w:w="1136" w:type="dxa"/>
            <w:tcBorders>
              <w:top w:val="nil"/>
              <w:left w:val="nil"/>
              <w:bottom w:val="single" w:sz="4" w:space="0" w:color="auto"/>
              <w:right w:val="single" w:sz="4" w:space="0" w:color="auto"/>
            </w:tcBorders>
            <w:vAlign w:val="center"/>
            <w:hideMark/>
          </w:tcPr>
          <w:p w14:paraId="744E927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429.96</w:t>
            </w:r>
          </w:p>
        </w:tc>
        <w:tc>
          <w:tcPr>
            <w:tcW w:w="1016" w:type="dxa"/>
            <w:tcBorders>
              <w:top w:val="nil"/>
              <w:left w:val="nil"/>
              <w:bottom w:val="single" w:sz="4" w:space="0" w:color="auto"/>
              <w:right w:val="single" w:sz="4" w:space="0" w:color="auto"/>
            </w:tcBorders>
            <w:vAlign w:val="center"/>
            <w:hideMark/>
          </w:tcPr>
          <w:p w14:paraId="0555D59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88.32</w:t>
            </w:r>
          </w:p>
        </w:tc>
        <w:tc>
          <w:tcPr>
            <w:tcW w:w="1338" w:type="dxa"/>
            <w:tcBorders>
              <w:top w:val="nil"/>
              <w:left w:val="nil"/>
              <w:bottom w:val="single" w:sz="4" w:space="0" w:color="auto"/>
              <w:right w:val="single" w:sz="4" w:space="0" w:color="auto"/>
            </w:tcBorders>
            <w:vAlign w:val="center"/>
            <w:hideMark/>
          </w:tcPr>
          <w:p w14:paraId="48F0E7F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-457.06</w:t>
            </w:r>
          </w:p>
        </w:tc>
        <w:tc>
          <w:tcPr>
            <w:tcW w:w="993" w:type="dxa"/>
            <w:tcBorders>
              <w:top w:val="nil"/>
              <w:left w:val="nil"/>
              <w:bottom w:val="single" w:sz="4" w:space="0" w:color="auto"/>
              <w:right w:val="single" w:sz="4" w:space="0" w:color="auto"/>
            </w:tcBorders>
            <w:vAlign w:val="center"/>
            <w:hideMark/>
          </w:tcPr>
          <w:p w14:paraId="5CFEBE5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195.32</w:t>
            </w:r>
          </w:p>
        </w:tc>
        <w:tc>
          <w:tcPr>
            <w:tcW w:w="1134" w:type="dxa"/>
            <w:tcBorders>
              <w:top w:val="nil"/>
              <w:left w:val="nil"/>
              <w:bottom w:val="single" w:sz="4" w:space="0" w:color="auto"/>
              <w:right w:val="single" w:sz="4" w:space="0" w:color="auto"/>
            </w:tcBorders>
            <w:vAlign w:val="center"/>
            <w:hideMark/>
          </w:tcPr>
          <w:p w14:paraId="33D9463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-261.74</w:t>
            </w:r>
          </w:p>
        </w:tc>
      </w:tr>
      <w:tr w:rsidR="00F6454C" w:rsidRPr="00AA0ADC" w14:paraId="5D51A59B"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E0F1605"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03CCB5D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-921.23</w:t>
            </w:r>
          </w:p>
        </w:tc>
        <w:tc>
          <w:tcPr>
            <w:tcW w:w="976" w:type="dxa"/>
            <w:tcBorders>
              <w:top w:val="nil"/>
              <w:left w:val="nil"/>
              <w:bottom w:val="single" w:sz="4" w:space="0" w:color="auto"/>
              <w:right w:val="single" w:sz="4" w:space="0" w:color="auto"/>
            </w:tcBorders>
            <w:vAlign w:val="center"/>
            <w:hideMark/>
          </w:tcPr>
          <w:p w14:paraId="5F69459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818.11</w:t>
            </w:r>
          </w:p>
        </w:tc>
        <w:tc>
          <w:tcPr>
            <w:tcW w:w="1027" w:type="dxa"/>
            <w:tcBorders>
              <w:top w:val="nil"/>
              <w:left w:val="nil"/>
              <w:bottom w:val="single" w:sz="4" w:space="0" w:color="auto"/>
              <w:right w:val="single" w:sz="4" w:space="0" w:color="auto"/>
            </w:tcBorders>
            <w:vAlign w:val="center"/>
            <w:hideMark/>
          </w:tcPr>
          <w:p w14:paraId="649F59B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-103.12</w:t>
            </w:r>
          </w:p>
        </w:tc>
        <w:tc>
          <w:tcPr>
            <w:tcW w:w="1136" w:type="dxa"/>
            <w:tcBorders>
              <w:top w:val="nil"/>
              <w:left w:val="nil"/>
              <w:bottom w:val="single" w:sz="4" w:space="0" w:color="auto"/>
              <w:right w:val="single" w:sz="4" w:space="0" w:color="auto"/>
            </w:tcBorders>
            <w:vAlign w:val="center"/>
            <w:hideMark/>
          </w:tcPr>
          <w:p w14:paraId="5041B39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460.13</w:t>
            </w:r>
          </w:p>
        </w:tc>
        <w:tc>
          <w:tcPr>
            <w:tcW w:w="1016" w:type="dxa"/>
            <w:tcBorders>
              <w:top w:val="nil"/>
              <w:left w:val="nil"/>
              <w:bottom w:val="single" w:sz="4" w:space="0" w:color="auto"/>
              <w:right w:val="single" w:sz="4" w:space="0" w:color="auto"/>
            </w:tcBorders>
            <w:vAlign w:val="center"/>
            <w:hideMark/>
          </w:tcPr>
          <w:p w14:paraId="0393C09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99.36</w:t>
            </w:r>
          </w:p>
        </w:tc>
        <w:tc>
          <w:tcPr>
            <w:tcW w:w="1338" w:type="dxa"/>
            <w:tcBorders>
              <w:top w:val="nil"/>
              <w:left w:val="nil"/>
              <w:bottom w:val="single" w:sz="4" w:space="0" w:color="auto"/>
              <w:right w:val="single" w:sz="4" w:space="0" w:color="auto"/>
            </w:tcBorders>
            <w:vAlign w:val="center"/>
            <w:hideMark/>
          </w:tcPr>
          <w:p w14:paraId="564F0ED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-463.89</w:t>
            </w:r>
          </w:p>
        </w:tc>
        <w:tc>
          <w:tcPr>
            <w:tcW w:w="993" w:type="dxa"/>
            <w:tcBorders>
              <w:top w:val="nil"/>
              <w:left w:val="nil"/>
              <w:bottom w:val="single" w:sz="4" w:space="0" w:color="auto"/>
              <w:right w:val="single" w:sz="4" w:space="0" w:color="auto"/>
            </w:tcBorders>
            <w:vAlign w:val="center"/>
            <w:hideMark/>
          </w:tcPr>
          <w:p w14:paraId="31F8D5E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231.49</w:t>
            </w:r>
          </w:p>
        </w:tc>
        <w:tc>
          <w:tcPr>
            <w:tcW w:w="1134" w:type="dxa"/>
            <w:tcBorders>
              <w:top w:val="nil"/>
              <w:left w:val="nil"/>
              <w:bottom w:val="single" w:sz="4" w:space="0" w:color="auto"/>
              <w:right w:val="single" w:sz="4" w:space="0" w:color="auto"/>
            </w:tcBorders>
            <w:vAlign w:val="center"/>
            <w:hideMark/>
          </w:tcPr>
          <w:p w14:paraId="3232AE3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-232.4</w:t>
            </w:r>
          </w:p>
        </w:tc>
      </w:tr>
      <w:tr w:rsidR="00F6454C" w:rsidRPr="00AA0ADC" w14:paraId="22187480"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204B054D"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7917143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-1002.75</w:t>
            </w:r>
          </w:p>
        </w:tc>
        <w:tc>
          <w:tcPr>
            <w:tcW w:w="976" w:type="dxa"/>
            <w:tcBorders>
              <w:top w:val="nil"/>
              <w:left w:val="nil"/>
              <w:bottom w:val="single" w:sz="4" w:space="0" w:color="auto"/>
              <w:right w:val="single" w:sz="4" w:space="0" w:color="auto"/>
            </w:tcBorders>
            <w:vAlign w:val="center"/>
            <w:hideMark/>
          </w:tcPr>
          <w:p w14:paraId="056F797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911.85</w:t>
            </w:r>
          </w:p>
        </w:tc>
        <w:tc>
          <w:tcPr>
            <w:tcW w:w="1027" w:type="dxa"/>
            <w:tcBorders>
              <w:top w:val="nil"/>
              <w:left w:val="nil"/>
              <w:bottom w:val="single" w:sz="4" w:space="0" w:color="auto"/>
              <w:right w:val="single" w:sz="4" w:space="0" w:color="auto"/>
            </w:tcBorders>
            <w:vAlign w:val="center"/>
            <w:hideMark/>
          </w:tcPr>
          <w:p w14:paraId="2094A5D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-90.9</w:t>
            </w:r>
          </w:p>
        </w:tc>
        <w:tc>
          <w:tcPr>
            <w:tcW w:w="1136" w:type="dxa"/>
            <w:tcBorders>
              <w:top w:val="nil"/>
              <w:left w:val="nil"/>
              <w:bottom w:val="single" w:sz="4" w:space="0" w:color="auto"/>
              <w:right w:val="single" w:sz="4" w:space="0" w:color="auto"/>
            </w:tcBorders>
            <w:vAlign w:val="center"/>
            <w:hideMark/>
          </w:tcPr>
          <w:p w14:paraId="01AA5B5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492.33</w:t>
            </w:r>
          </w:p>
        </w:tc>
        <w:tc>
          <w:tcPr>
            <w:tcW w:w="1016" w:type="dxa"/>
            <w:tcBorders>
              <w:top w:val="nil"/>
              <w:left w:val="nil"/>
              <w:bottom w:val="single" w:sz="4" w:space="0" w:color="auto"/>
              <w:right w:val="single" w:sz="4" w:space="0" w:color="auto"/>
            </w:tcBorders>
            <w:vAlign w:val="center"/>
            <w:hideMark/>
          </w:tcPr>
          <w:p w14:paraId="7F7E90E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110.4</w:t>
            </w:r>
          </w:p>
        </w:tc>
        <w:tc>
          <w:tcPr>
            <w:tcW w:w="1338" w:type="dxa"/>
            <w:tcBorders>
              <w:top w:val="nil"/>
              <w:left w:val="nil"/>
              <w:bottom w:val="single" w:sz="4" w:space="0" w:color="auto"/>
              <w:right w:val="single" w:sz="4" w:space="0" w:color="auto"/>
            </w:tcBorders>
            <w:vAlign w:val="center"/>
            <w:hideMark/>
          </w:tcPr>
          <w:p w14:paraId="3589397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-472.83</w:t>
            </w:r>
          </w:p>
        </w:tc>
        <w:tc>
          <w:tcPr>
            <w:tcW w:w="993" w:type="dxa"/>
            <w:tcBorders>
              <w:top w:val="nil"/>
              <w:left w:val="nil"/>
              <w:bottom w:val="single" w:sz="4" w:space="0" w:color="auto"/>
              <w:right w:val="single" w:sz="4" w:space="0" w:color="auto"/>
            </w:tcBorders>
            <w:vAlign w:val="center"/>
            <w:hideMark/>
          </w:tcPr>
          <w:p w14:paraId="6C6E904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282.12</w:t>
            </w:r>
          </w:p>
        </w:tc>
        <w:tc>
          <w:tcPr>
            <w:tcW w:w="1134" w:type="dxa"/>
            <w:tcBorders>
              <w:top w:val="nil"/>
              <w:left w:val="nil"/>
              <w:bottom w:val="single" w:sz="4" w:space="0" w:color="auto"/>
              <w:right w:val="single" w:sz="4" w:space="0" w:color="auto"/>
            </w:tcBorders>
            <w:vAlign w:val="center"/>
            <w:hideMark/>
          </w:tcPr>
          <w:p w14:paraId="68A1CBE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-190.71</w:t>
            </w:r>
          </w:p>
        </w:tc>
      </w:tr>
      <w:tr w:rsidR="00F6454C" w:rsidRPr="00AA0ADC" w14:paraId="40441235"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F3A1796"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12A79B1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-1095</w:t>
            </w:r>
          </w:p>
        </w:tc>
        <w:tc>
          <w:tcPr>
            <w:tcW w:w="976" w:type="dxa"/>
            <w:tcBorders>
              <w:top w:val="nil"/>
              <w:left w:val="nil"/>
              <w:bottom w:val="single" w:sz="4" w:space="0" w:color="auto"/>
              <w:right w:val="single" w:sz="4" w:space="0" w:color="auto"/>
            </w:tcBorders>
            <w:vAlign w:val="center"/>
            <w:hideMark/>
          </w:tcPr>
          <w:p w14:paraId="42F6047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1016.42</w:t>
            </w:r>
          </w:p>
        </w:tc>
        <w:tc>
          <w:tcPr>
            <w:tcW w:w="1027" w:type="dxa"/>
            <w:tcBorders>
              <w:top w:val="nil"/>
              <w:left w:val="nil"/>
              <w:bottom w:val="single" w:sz="4" w:space="0" w:color="auto"/>
              <w:right w:val="single" w:sz="4" w:space="0" w:color="auto"/>
            </w:tcBorders>
            <w:vAlign w:val="center"/>
            <w:hideMark/>
          </w:tcPr>
          <w:p w14:paraId="7316492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-78.58</w:t>
            </w:r>
          </w:p>
        </w:tc>
        <w:tc>
          <w:tcPr>
            <w:tcW w:w="1136" w:type="dxa"/>
            <w:tcBorders>
              <w:top w:val="nil"/>
              <w:left w:val="nil"/>
              <w:bottom w:val="single" w:sz="4" w:space="0" w:color="auto"/>
              <w:right w:val="single" w:sz="4" w:space="0" w:color="auto"/>
            </w:tcBorders>
            <w:vAlign w:val="center"/>
            <w:hideMark/>
          </w:tcPr>
          <w:p w14:paraId="3900798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526.77</w:t>
            </w:r>
          </w:p>
        </w:tc>
        <w:tc>
          <w:tcPr>
            <w:tcW w:w="1016" w:type="dxa"/>
            <w:tcBorders>
              <w:top w:val="nil"/>
              <w:left w:val="nil"/>
              <w:bottom w:val="single" w:sz="4" w:space="0" w:color="auto"/>
              <w:right w:val="single" w:sz="4" w:space="0" w:color="auto"/>
            </w:tcBorders>
            <w:vAlign w:val="center"/>
            <w:hideMark/>
          </w:tcPr>
          <w:p w14:paraId="6242809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121.44</w:t>
            </w:r>
          </w:p>
        </w:tc>
        <w:tc>
          <w:tcPr>
            <w:tcW w:w="1338" w:type="dxa"/>
            <w:tcBorders>
              <w:top w:val="nil"/>
              <w:left w:val="nil"/>
              <w:bottom w:val="single" w:sz="4" w:space="0" w:color="auto"/>
              <w:right w:val="single" w:sz="4" w:space="0" w:color="auto"/>
            </w:tcBorders>
            <w:vAlign w:val="center"/>
            <w:hideMark/>
          </w:tcPr>
          <w:p w14:paraId="2C4CE1B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-483.91</w:t>
            </w:r>
          </w:p>
        </w:tc>
        <w:tc>
          <w:tcPr>
            <w:tcW w:w="993" w:type="dxa"/>
            <w:tcBorders>
              <w:top w:val="nil"/>
              <w:left w:val="nil"/>
              <w:bottom w:val="single" w:sz="4" w:space="0" w:color="auto"/>
              <w:right w:val="single" w:sz="4" w:space="0" w:color="auto"/>
            </w:tcBorders>
            <w:vAlign w:val="center"/>
            <w:hideMark/>
          </w:tcPr>
          <w:p w14:paraId="1C7B61A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332.76</w:t>
            </w:r>
          </w:p>
        </w:tc>
        <w:tc>
          <w:tcPr>
            <w:tcW w:w="1134" w:type="dxa"/>
            <w:tcBorders>
              <w:top w:val="nil"/>
              <w:left w:val="nil"/>
              <w:bottom w:val="single" w:sz="4" w:space="0" w:color="auto"/>
              <w:right w:val="single" w:sz="4" w:space="0" w:color="auto"/>
            </w:tcBorders>
            <w:vAlign w:val="center"/>
            <w:hideMark/>
          </w:tcPr>
          <w:p w14:paraId="445D098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-151.15</w:t>
            </w:r>
          </w:p>
        </w:tc>
      </w:tr>
      <w:tr w:rsidR="00F6454C" w:rsidRPr="00AA0ADC" w14:paraId="02A0F614"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E7B46A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2A51845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-1231.57</w:t>
            </w:r>
          </w:p>
        </w:tc>
        <w:tc>
          <w:tcPr>
            <w:tcW w:w="976" w:type="dxa"/>
            <w:tcBorders>
              <w:top w:val="nil"/>
              <w:left w:val="nil"/>
              <w:bottom w:val="single" w:sz="4" w:space="0" w:color="auto"/>
              <w:right w:val="single" w:sz="4" w:space="0" w:color="auto"/>
            </w:tcBorders>
            <w:vAlign w:val="center"/>
            <w:hideMark/>
          </w:tcPr>
          <w:p w14:paraId="144F3FD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1133.2</w:t>
            </w:r>
          </w:p>
        </w:tc>
        <w:tc>
          <w:tcPr>
            <w:tcW w:w="1027" w:type="dxa"/>
            <w:tcBorders>
              <w:top w:val="nil"/>
              <w:left w:val="nil"/>
              <w:bottom w:val="single" w:sz="4" w:space="0" w:color="auto"/>
              <w:right w:val="single" w:sz="4" w:space="0" w:color="auto"/>
            </w:tcBorders>
            <w:vAlign w:val="center"/>
            <w:hideMark/>
          </w:tcPr>
          <w:p w14:paraId="3F502DE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-98.37</w:t>
            </w:r>
          </w:p>
        </w:tc>
        <w:tc>
          <w:tcPr>
            <w:tcW w:w="1136" w:type="dxa"/>
            <w:tcBorders>
              <w:top w:val="nil"/>
              <w:left w:val="nil"/>
              <w:bottom w:val="single" w:sz="4" w:space="0" w:color="auto"/>
              <w:right w:val="single" w:sz="4" w:space="0" w:color="auto"/>
            </w:tcBorders>
            <w:vAlign w:val="center"/>
            <w:hideMark/>
          </w:tcPr>
          <w:p w14:paraId="01FF111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563.61</w:t>
            </w:r>
          </w:p>
        </w:tc>
        <w:tc>
          <w:tcPr>
            <w:tcW w:w="1016" w:type="dxa"/>
            <w:tcBorders>
              <w:top w:val="nil"/>
              <w:left w:val="nil"/>
              <w:bottom w:val="single" w:sz="4" w:space="0" w:color="auto"/>
              <w:right w:val="single" w:sz="4" w:space="0" w:color="auto"/>
            </w:tcBorders>
            <w:vAlign w:val="center"/>
            <w:hideMark/>
          </w:tcPr>
          <w:p w14:paraId="313EEB4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132.48</w:t>
            </w:r>
          </w:p>
        </w:tc>
        <w:tc>
          <w:tcPr>
            <w:tcW w:w="1338" w:type="dxa"/>
            <w:tcBorders>
              <w:top w:val="nil"/>
              <w:left w:val="nil"/>
              <w:bottom w:val="single" w:sz="4" w:space="0" w:color="auto"/>
              <w:right w:val="single" w:sz="4" w:space="0" w:color="auto"/>
            </w:tcBorders>
            <w:vAlign w:val="center"/>
            <w:hideMark/>
          </w:tcPr>
          <w:p w14:paraId="55D4F9C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-529.5</w:t>
            </w:r>
          </w:p>
        </w:tc>
        <w:tc>
          <w:tcPr>
            <w:tcW w:w="993" w:type="dxa"/>
            <w:tcBorders>
              <w:top w:val="nil"/>
              <w:left w:val="nil"/>
              <w:bottom w:val="single" w:sz="4" w:space="0" w:color="auto"/>
              <w:right w:val="single" w:sz="4" w:space="0" w:color="auto"/>
            </w:tcBorders>
            <w:vAlign w:val="center"/>
            <w:hideMark/>
          </w:tcPr>
          <w:p w14:paraId="667F493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405.1</w:t>
            </w:r>
          </w:p>
        </w:tc>
        <w:tc>
          <w:tcPr>
            <w:tcW w:w="1134" w:type="dxa"/>
            <w:tcBorders>
              <w:top w:val="nil"/>
              <w:left w:val="nil"/>
              <w:bottom w:val="single" w:sz="4" w:space="0" w:color="auto"/>
              <w:right w:val="single" w:sz="4" w:space="0" w:color="auto"/>
            </w:tcBorders>
            <w:vAlign w:val="center"/>
            <w:hideMark/>
          </w:tcPr>
          <w:p w14:paraId="3C28C1D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-124.4</w:t>
            </w:r>
          </w:p>
        </w:tc>
      </w:tr>
      <w:tr w:rsidR="00F6454C" w:rsidRPr="00AA0ADC" w14:paraId="639E6ABF"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40D0DBE"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33D51FD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-5100.22</w:t>
            </w:r>
          </w:p>
        </w:tc>
        <w:tc>
          <w:tcPr>
            <w:tcW w:w="976" w:type="dxa"/>
            <w:tcBorders>
              <w:top w:val="nil"/>
              <w:left w:val="nil"/>
              <w:bottom w:val="single" w:sz="4" w:space="0" w:color="auto"/>
              <w:right w:val="single" w:sz="4" w:space="0" w:color="auto"/>
            </w:tcBorders>
            <w:vAlign w:val="center"/>
            <w:hideMark/>
          </w:tcPr>
          <w:p w14:paraId="1234838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4613.83</w:t>
            </w:r>
          </w:p>
        </w:tc>
        <w:tc>
          <w:tcPr>
            <w:tcW w:w="1027" w:type="dxa"/>
            <w:tcBorders>
              <w:top w:val="nil"/>
              <w:left w:val="nil"/>
              <w:bottom w:val="single" w:sz="4" w:space="0" w:color="auto"/>
              <w:right w:val="single" w:sz="4" w:space="0" w:color="auto"/>
            </w:tcBorders>
            <w:vAlign w:val="center"/>
            <w:hideMark/>
          </w:tcPr>
          <w:p w14:paraId="03A5CF5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-486.39</w:t>
            </w:r>
          </w:p>
        </w:tc>
        <w:tc>
          <w:tcPr>
            <w:tcW w:w="1136" w:type="dxa"/>
            <w:tcBorders>
              <w:top w:val="nil"/>
              <w:left w:val="nil"/>
              <w:bottom w:val="single" w:sz="4" w:space="0" w:color="auto"/>
              <w:right w:val="single" w:sz="4" w:space="0" w:color="auto"/>
            </w:tcBorders>
            <w:vAlign w:val="center"/>
            <w:hideMark/>
          </w:tcPr>
          <w:p w14:paraId="0B112B6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2472.8</w:t>
            </w:r>
          </w:p>
        </w:tc>
        <w:tc>
          <w:tcPr>
            <w:tcW w:w="1016" w:type="dxa"/>
            <w:tcBorders>
              <w:top w:val="nil"/>
              <w:left w:val="nil"/>
              <w:bottom w:val="single" w:sz="4" w:space="0" w:color="auto"/>
              <w:right w:val="single" w:sz="4" w:space="0" w:color="auto"/>
            </w:tcBorders>
            <w:vAlign w:val="center"/>
            <w:hideMark/>
          </w:tcPr>
          <w:p w14:paraId="2CBA071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552</w:t>
            </w:r>
          </w:p>
        </w:tc>
        <w:tc>
          <w:tcPr>
            <w:tcW w:w="1338" w:type="dxa"/>
            <w:tcBorders>
              <w:top w:val="nil"/>
              <w:left w:val="nil"/>
              <w:bottom w:val="single" w:sz="4" w:space="0" w:color="auto"/>
              <w:right w:val="single" w:sz="4" w:space="0" w:color="auto"/>
            </w:tcBorders>
            <w:vAlign w:val="center"/>
            <w:hideMark/>
          </w:tcPr>
          <w:p w14:paraId="77AF224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-2407.19</w:t>
            </w:r>
          </w:p>
        </w:tc>
        <w:tc>
          <w:tcPr>
            <w:tcW w:w="993" w:type="dxa"/>
            <w:tcBorders>
              <w:top w:val="nil"/>
              <w:left w:val="nil"/>
              <w:bottom w:val="single" w:sz="4" w:space="0" w:color="auto"/>
              <w:right w:val="single" w:sz="4" w:space="0" w:color="auto"/>
            </w:tcBorders>
            <w:vAlign w:val="center"/>
            <w:hideMark/>
          </w:tcPr>
          <w:p w14:paraId="14C2A94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1446.79</w:t>
            </w:r>
          </w:p>
        </w:tc>
        <w:tc>
          <w:tcPr>
            <w:tcW w:w="1134" w:type="dxa"/>
            <w:tcBorders>
              <w:top w:val="nil"/>
              <w:left w:val="nil"/>
              <w:bottom w:val="single" w:sz="4" w:space="0" w:color="auto"/>
              <w:right w:val="single" w:sz="4" w:space="0" w:color="auto"/>
            </w:tcBorders>
            <w:vAlign w:val="center"/>
            <w:hideMark/>
          </w:tcPr>
          <w:p w14:paraId="0AE3E39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-960.4</w:t>
            </w:r>
          </w:p>
        </w:tc>
      </w:tr>
      <w:tr w:rsidR="00AA0ADC" w:rsidRPr="00AA0ADC" w14:paraId="0FB336C9"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37108460" w14:textId="2E0F93BD"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TAMIL NADU</w:t>
            </w:r>
          </w:p>
        </w:tc>
      </w:tr>
      <w:tr w:rsidR="00F6454C" w:rsidRPr="00AA0ADC" w14:paraId="0FDFC4CD"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94983AD"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444D68B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-582.49</w:t>
            </w:r>
          </w:p>
        </w:tc>
        <w:tc>
          <w:tcPr>
            <w:tcW w:w="976" w:type="dxa"/>
            <w:tcBorders>
              <w:top w:val="nil"/>
              <w:left w:val="nil"/>
              <w:bottom w:val="single" w:sz="4" w:space="0" w:color="auto"/>
              <w:right w:val="single" w:sz="4" w:space="0" w:color="auto"/>
            </w:tcBorders>
            <w:vAlign w:val="center"/>
            <w:hideMark/>
          </w:tcPr>
          <w:p w14:paraId="68B6879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958.58</w:t>
            </w:r>
          </w:p>
        </w:tc>
        <w:tc>
          <w:tcPr>
            <w:tcW w:w="1027" w:type="dxa"/>
            <w:tcBorders>
              <w:top w:val="nil"/>
              <w:left w:val="nil"/>
              <w:bottom w:val="single" w:sz="4" w:space="0" w:color="auto"/>
              <w:right w:val="single" w:sz="4" w:space="0" w:color="auto"/>
            </w:tcBorders>
            <w:vAlign w:val="center"/>
            <w:hideMark/>
          </w:tcPr>
          <w:p w14:paraId="3D7CD9F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376.09</w:t>
            </w:r>
          </w:p>
        </w:tc>
        <w:tc>
          <w:tcPr>
            <w:tcW w:w="1136" w:type="dxa"/>
            <w:tcBorders>
              <w:top w:val="nil"/>
              <w:left w:val="nil"/>
              <w:bottom w:val="single" w:sz="4" w:space="0" w:color="auto"/>
              <w:right w:val="single" w:sz="4" w:space="0" w:color="auto"/>
            </w:tcBorders>
            <w:vAlign w:val="center"/>
            <w:hideMark/>
          </w:tcPr>
          <w:p w14:paraId="79C39DD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426.69</w:t>
            </w:r>
          </w:p>
        </w:tc>
        <w:tc>
          <w:tcPr>
            <w:tcW w:w="1016" w:type="dxa"/>
            <w:tcBorders>
              <w:top w:val="nil"/>
              <w:left w:val="nil"/>
              <w:bottom w:val="single" w:sz="4" w:space="0" w:color="auto"/>
              <w:right w:val="single" w:sz="4" w:space="0" w:color="auto"/>
            </w:tcBorders>
            <w:vAlign w:val="center"/>
            <w:hideMark/>
          </w:tcPr>
          <w:p w14:paraId="608B46A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103.68</w:t>
            </w:r>
          </w:p>
        </w:tc>
        <w:tc>
          <w:tcPr>
            <w:tcW w:w="1338" w:type="dxa"/>
            <w:tcBorders>
              <w:top w:val="nil"/>
              <w:left w:val="nil"/>
              <w:bottom w:val="single" w:sz="4" w:space="0" w:color="auto"/>
              <w:right w:val="single" w:sz="4" w:space="0" w:color="auto"/>
            </w:tcBorders>
            <w:vAlign w:val="center"/>
            <w:hideMark/>
          </w:tcPr>
          <w:p w14:paraId="5A215C5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53.08</w:t>
            </w:r>
          </w:p>
        </w:tc>
        <w:tc>
          <w:tcPr>
            <w:tcW w:w="993" w:type="dxa"/>
            <w:tcBorders>
              <w:top w:val="nil"/>
              <w:left w:val="nil"/>
              <w:bottom w:val="single" w:sz="4" w:space="0" w:color="auto"/>
              <w:right w:val="single" w:sz="4" w:space="0" w:color="auto"/>
            </w:tcBorders>
            <w:vAlign w:val="center"/>
            <w:hideMark/>
          </w:tcPr>
          <w:p w14:paraId="4CE044E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5.91</w:t>
            </w:r>
          </w:p>
        </w:tc>
        <w:tc>
          <w:tcPr>
            <w:tcW w:w="1134" w:type="dxa"/>
            <w:tcBorders>
              <w:top w:val="nil"/>
              <w:left w:val="nil"/>
              <w:bottom w:val="single" w:sz="4" w:space="0" w:color="auto"/>
              <w:right w:val="single" w:sz="4" w:space="0" w:color="auto"/>
            </w:tcBorders>
            <w:vAlign w:val="center"/>
            <w:hideMark/>
          </w:tcPr>
          <w:p w14:paraId="52BF4C5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58.99</w:t>
            </w:r>
          </w:p>
        </w:tc>
      </w:tr>
      <w:tr w:rsidR="00F6454C" w:rsidRPr="00AA0ADC" w14:paraId="31BDB44C"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68DAC3D"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541569B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-477.13</w:t>
            </w:r>
          </w:p>
        </w:tc>
        <w:tc>
          <w:tcPr>
            <w:tcW w:w="976" w:type="dxa"/>
            <w:tcBorders>
              <w:top w:val="nil"/>
              <w:left w:val="nil"/>
              <w:bottom w:val="single" w:sz="4" w:space="0" w:color="auto"/>
              <w:right w:val="single" w:sz="4" w:space="0" w:color="auto"/>
            </w:tcBorders>
            <w:vAlign w:val="center"/>
            <w:hideMark/>
          </w:tcPr>
          <w:p w14:paraId="54865FB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1066.9</w:t>
            </w:r>
          </w:p>
        </w:tc>
        <w:tc>
          <w:tcPr>
            <w:tcW w:w="1027" w:type="dxa"/>
            <w:tcBorders>
              <w:top w:val="nil"/>
              <w:left w:val="nil"/>
              <w:bottom w:val="single" w:sz="4" w:space="0" w:color="auto"/>
              <w:right w:val="single" w:sz="4" w:space="0" w:color="auto"/>
            </w:tcBorders>
            <w:vAlign w:val="center"/>
            <w:hideMark/>
          </w:tcPr>
          <w:p w14:paraId="4213949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589.77</w:t>
            </w:r>
          </w:p>
        </w:tc>
        <w:tc>
          <w:tcPr>
            <w:tcW w:w="1136" w:type="dxa"/>
            <w:tcBorders>
              <w:top w:val="nil"/>
              <w:left w:val="nil"/>
              <w:bottom w:val="single" w:sz="4" w:space="0" w:color="auto"/>
              <w:right w:val="single" w:sz="4" w:space="0" w:color="auto"/>
            </w:tcBorders>
            <w:vAlign w:val="center"/>
            <w:hideMark/>
          </w:tcPr>
          <w:p w14:paraId="0438A19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456.63</w:t>
            </w:r>
          </w:p>
        </w:tc>
        <w:tc>
          <w:tcPr>
            <w:tcW w:w="1016" w:type="dxa"/>
            <w:tcBorders>
              <w:top w:val="nil"/>
              <w:left w:val="nil"/>
              <w:bottom w:val="single" w:sz="4" w:space="0" w:color="auto"/>
              <w:right w:val="single" w:sz="4" w:space="0" w:color="auto"/>
            </w:tcBorders>
            <w:vAlign w:val="center"/>
            <w:hideMark/>
          </w:tcPr>
          <w:p w14:paraId="0B9C59A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116.64</w:t>
            </w:r>
          </w:p>
        </w:tc>
        <w:tc>
          <w:tcPr>
            <w:tcW w:w="1338" w:type="dxa"/>
            <w:tcBorders>
              <w:top w:val="nil"/>
              <w:left w:val="nil"/>
              <w:bottom w:val="single" w:sz="4" w:space="0" w:color="auto"/>
              <w:right w:val="single" w:sz="4" w:space="0" w:color="auto"/>
            </w:tcBorders>
            <w:vAlign w:val="center"/>
            <w:hideMark/>
          </w:tcPr>
          <w:p w14:paraId="0827305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249.78</w:t>
            </w:r>
          </w:p>
        </w:tc>
        <w:tc>
          <w:tcPr>
            <w:tcW w:w="993" w:type="dxa"/>
            <w:tcBorders>
              <w:top w:val="nil"/>
              <w:left w:val="nil"/>
              <w:bottom w:val="single" w:sz="4" w:space="0" w:color="auto"/>
              <w:right w:val="single" w:sz="4" w:space="0" w:color="auto"/>
            </w:tcBorders>
            <w:vAlign w:val="center"/>
            <w:hideMark/>
          </w:tcPr>
          <w:p w14:paraId="627510B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7.01</w:t>
            </w:r>
          </w:p>
        </w:tc>
        <w:tc>
          <w:tcPr>
            <w:tcW w:w="1134" w:type="dxa"/>
            <w:tcBorders>
              <w:top w:val="nil"/>
              <w:left w:val="nil"/>
              <w:bottom w:val="single" w:sz="4" w:space="0" w:color="auto"/>
              <w:right w:val="single" w:sz="4" w:space="0" w:color="auto"/>
            </w:tcBorders>
            <w:vAlign w:val="center"/>
            <w:hideMark/>
          </w:tcPr>
          <w:p w14:paraId="400F9B1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256.79</w:t>
            </w:r>
          </w:p>
        </w:tc>
      </w:tr>
      <w:tr w:rsidR="00F6454C" w:rsidRPr="00AA0ADC" w14:paraId="5B90E7D6"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5BA938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71B9E28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-352.87</w:t>
            </w:r>
          </w:p>
        </w:tc>
        <w:tc>
          <w:tcPr>
            <w:tcW w:w="976" w:type="dxa"/>
            <w:tcBorders>
              <w:top w:val="nil"/>
              <w:left w:val="nil"/>
              <w:bottom w:val="single" w:sz="4" w:space="0" w:color="auto"/>
              <w:right w:val="single" w:sz="4" w:space="0" w:color="auto"/>
            </w:tcBorders>
            <w:vAlign w:val="center"/>
            <w:hideMark/>
          </w:tcPr>
          <w:p w14:paraId="0333478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1187.7</w:t>
            </w:r>
          </w:p>
        </w:tc>
        <w:tc>
          <w:tcPr>
            <w:tcW w:w="1027" w:type="dxa"/>
            <w:tcBorders>
              <w:top w:val="nil"/>
              <w:left w:val="nil"/>
              <w:bottom w:val="single" w:sz="4" w:space="0" w:color="auto"/>
              <w:right w:val="single" w:sz="4" w:space="0" w:color="auto"/>
            </w:tcBorders>
            <w:vAlign w:val="center"/>
            <w:hideMark/>
          </w:tcPr>
          <w:p w14:paraId="614AF53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834.83</w:t>
            </w:r>
          </w:p>
        </w:tc>
        <w:tc>
          <w:tcPr>
            <w:tcW w:w="1136" w:type="dxa"/>
            <w:tcBorders>
              <w:top w:val="nil"/>
              <w:left w:val="nil"/>
              <w:bottom w:val="single" w:sz="4" w:space="0" w:color="auto"/>
              <w:right w:val="single" w:sz="4" w:space="0" w:color="auto"/>
            </w:tcBorders>
            <w:vAlign w:val="center"/>
            <w:hideMark/>
          </w:tcPr>
          <w:p w14:paraId="13ADC7D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488.59</w:t>
            </w:r>
          </w:p>
        </w:tc>
        <w:tc>
          <w:tcPr>
            <w:tcW w:w="1016" w:type="dxa"/>
            <w:tcBorders>
              <w:top w:val="nil"/>
              <w:left w:val="nil"/>
              <w:bottom w:val="single" w:sz="4" w:space="0" w:color="auto"/>
              <w:right w:val="single" w:sz="4" w:space="0" w:color="auto"/>
            </w:tcBorders>
            <w:vAlign w:val="center"/>
            <w:hideMark/>
          </w:tcPr>
          <w:p w14:paraId="0CD7C4C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129.6</w:t>
            </w:r>
          </w:p>
        </w:tc>
        <w:tc>
          <w:tcPr>
            <w:tcW w:w="1338" w:type="dxa"/>
            <w:tcBorders>
              <w:top w:val="nil"/>
              <w:left w:val="nil"/>
              <w:bottom w:val="single" w:sz="4" w:space="0" w:color="auto"/>
              <w:right w:val="single" w:sz="4" w:space="0" w:color="auto"/>
            </w:tcBorders>
            <w:vAlign w:val="center"/>
            <w:hideMark/>
          </w:tcPr>
          <w:p w14:paraId="4CA4683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475.84</w:t>
            </w:r>
          </w:p>
        </w:tc>
        <w:tc>
          <w:tcPr>
            <w:tcW w:w="993" w:type="dxa"/>
            <w:tcBorders>
              <w:top w:val="nil"/>
              <w:left w:val="nil"/>
              <w:bottom w:val="single" w:sz="4" w:space="0" w:color="auto"/>
              <w:right w:val="single" w:sz="4" w:space="0" w:color="auto"/>
            </w:tcBorders>
            <w:vAlign w:val="center"/>
            <w:hideMark/>
          </w:tcPr>
          <w:p w14:paraId="5A4018F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8.54</w:t>
            </w:r>
          </w:p>
        </w:tc>
        <w:tc>
          <w:tcPr>
            <w:tcW w:w="1134" w:type="dxa"/>
            <w:tcBorders>
              <w:top w:val="nil"/>
              <w:left w:val="nil"/>
              <w:bottom w:val="single" w:sz="4" w:space="0" w:color="auto"/>
              <w:right w:val="single" w:sz="4" w:space="0" w:color="auto"/>
            </w:tcBorders>
            <w:vAlign w:val="center"/>
            <w:hideMark/>
          </w:tcPr>
          <w:p w14:paraId="6809D08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484.38</w:t>
            </w:r>
          </w:p>
        </w:tc>
      </w:tr>
      <w:tr w:rsidR="00F6454C" w:rsidRPr="00AA0ADC" w14:paraId="48043F1C"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11AEA10"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6092422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-208.88</w:t>
            </w:r>
          </w:p>
        </w:tc>
        <w:tc>
          <w:tcPr>
            <w:tcW w:w="976" w:type="dxa"/>
            <w:tcBorders>
              <w:top w:val="nil"/>
              <w:left w:val="nil"/>
              <w:bottom w:val="single" w:sz="4" w:space="0" w:color="auto"/>
              <w:right w:val="single" w:sz="4" w:space="0" w:color="auto"/>
            </w:tcBorders>
            <w:vAlign w:val="center"/>
            <w:hideMark/>
          </w:tcPr>
          <w:p w14:paraId="6601946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1322.36</w:t>
            </w:r>
          </w:p>
        </w:tc>
        <w:tc>
          <w:tcPr>
            <w:tcW w:w="1027" w:type="dxa"/>
            <w:tcBorders>
              <w:top w:val="nil"/>
              <w:left w:val="nil"/>
              <w:bottom w:val="single" w:sz="4" w:space="0" w:color="auto"/>
              <w:right w:val="single" w:sz="4" w:space="0" w:color="auto"/>
            </w:tcBorders>
            <w:vAlign w:val="center"/>
            <w:hideMark/>
          </w:tcPr>
          <w:p w14:paraId="65A8493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1114.08</w:t>
            </w:r>
          </w:p>
        </w:tc>
        <w:tc>
          <w:tcPr>
            <w:tcW w:w="1136" w:type="dxa"/>
            <w:tcBorders>
              <w:top w:val="nil"/>
              <w:left w:val="nil"/>
              <w:bottom w:val="single" w:sz="4" w:space="0" w:color="auto"/>
              <w:right w:val="single" w:sz="4" w:space="0" w:color="auto"/>
            </w:tcBorders>
            <w:vAlign w:val="center"/>
            <w:hideMark/>
          </w:tcPr>
          <w:p w14:paraId="040E2D4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522.76</w:t>
            </w:r>
          </w:p>
        </w:tc>
        <w:tc>
          <w:tcPr>
            <w:tcW w:w="1016" w:type="dxa"/>
            <w:tcBorders>
              <w:top w:val="nil"/>
              <w:left w:val="nil"/>
              <w:bottom w:val="single" w:sz="4" w:space="0" w:color="auto"/>
              <w:right w:val="single" w:sz="4" w:space="0" w:color="auto"/>
            </w:tcBorders>
            <w:vAlign w:val="center"/>
            <w:hideMark/>
          </w:tcPr>
          <w:p w14:paraId="2EEBFC9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142.56</w:t>
            </w:r>
          </w:p>
        </w:tc>
        <w:tc>
          <w:tcPr>
            <w:tcW w:w="1338" w:type="dxa"/>
            <w:tcBorders>
              <w:top w:val="nil"/>
              <w:left w:val="nil"/>
              <w:bottom w:val="single" w:sz="4" w:space="0" w:color="auto"/>
              <w:right w:val="single" w:sz="4" w:space="0" w:color="auto"/>
            </w:tcBorders>
            <w:vAlign w:val="center"/>
            <w:hideMark/>
          </w:tcPr>
          <w:p w14:paraId="2E4734F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733.88</w:t>
            </w:r>
          </w:p>
        </w:tc>
        <w:tc>
          <w:tcPr>
            <w:tcW w:w="993" w:type="dxa"/>
            <w:tcBorders>
              <w:top w:val="nil"/>
              <w:left w:val="nil"/>
              <w:bottom w:val="single" w:sz="4" w:space="0" w:color="auto"/>
              <w:right w:val="single" w:sz="4" w:space="0" w:color="auto"/>
            </w:tcBorders>
            <w:vAlign w:val="center"/>
            <w:hideMark/>
          </w:tcPr>
          <w:p w14:paraId="7CC762A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10.07</w:t>
            </w:r>
          </w:p>
        </w:tc>
        <w:tc>
          <w:tcPr>
            <w:tcW w:w="1134" w:type="dxa"/>
            <w:tcBorders>
              <w:top w:val="nil"/>
              <w:left w:val="nil"/>
              <w:bottom w:val="single" w:sz="4" w:space="0" w:color="auto"/>
              <w:right w:val="single" w:sz="4" w:space="0" w:color="auto"/>
            </w:tcBorders>
            <w:vAlign w:val="center"/>
            <w:hideMark/>
          </w:tcPr>
          <w:p w14:paraId="081FD39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743.95</w:t>
            </w:r>
          </w:p>
        </w:tc>
      </w:tr>
      <w:tr w:rsidR="00F6454C" w:rsidRPr="00AA0ADC" w14:paraId="04205F04"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5F6026A"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29C7964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-91.35</w:t>
            </w:r>
          </w:p>
        </w:tc>
        <w:tc>
          <w:tcPr>
            <w:tcW w:w="976" w:type="dxa"/>
            <w:tcBorders>
              <w:top w:val="nil"/>
              <w:left w:val="nil"/>
              <w:bottom w:val="single" w:sz="4" w:space="0" w:color="auto"/>
              <w:right w:val="single" w:sz="4" w:space="0" w:color="auto"/>
            </w:tcBorders>
            <w:vAlign w:val="center"/>
            <w:hideMark/>
          </w:tcPr>
          <w:p w14:paraId="68DC8EE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1472.62</w:t>
            </w:r>
          </w:p>
        </w:tc>
        <w:tc>
          <w:tcPr>
            <w:tcW w:w="1027" w:type="dxa"/>
            <w:tcBorders>
              <w:top w:val="nil"/>
              <w:left w:val="nil"/>
              <w:bottom w:val="single" w:sz="4" w:space="0" w:color="auto"/>
              <w:right w:val="single" w:sz="4" w:space="0" w:color="auto"/>
            </w:tcBorders>
            <w:vAlign w:val="center"/>
            <w:hideMark/>
          </w:tcPr>
          <w:p w14:paraId="7063632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1381.27</w:t>
            </w:r>
          </w:p>
        </w:tc>
        <w:tc>
          <w:tcPr>
            <w:tcW w:w="1136" w:type="dxa"/>
            <w:tcBorders>
              <w:top w:val="nil"/>
              <w:left w:val="nil"/>
              <w:bottom w:val="single" w:sz="4" w:space="0" w:color="auto"/>
              <w:right w:val="single" w:sz="4" w:space="0" w:color="auto"/>
            </w:tcBorders>
            <w:vAlign w:val="center"/>
            <w:hideMark/>
          </w:tcPr>
          <w:p w14:paraId="2FE089B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559.33</w:t>
            </w:r>
          </w:p>
        </w:tc>
        <w:tc>
          <w:tcPr>
            <w:tcW w:w="1016" w:type="dxa"/>
            <w:tcBorders>
              <w:top w:val="nil"/>
              <w:left w:val="nil"/>
              <w:bottom w:val="single" w:sz="4" w:space="0" w:color="auto"/>
              <w:right w:val="single" w:sz="4" w:space="0" w:color="auto"/>
            </w:tcBorders>
            <w:vAlign w:val="center"/>
            <w:hideMark/>
          </w:tcPr>
          <w:p w14:paraId="54101FB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155.52</w:t>
            </w:r>
          </w:p>
        </w:tc>
        <w:tc>
          <w:tcPr>
            <w:tcW w:w="1338" w:type="dxa"/>
            <w:tcBorders>
              <w:top w:val="nil"/>
              <w:left w:val="nil"/>
              <w:bottom w:val="single" w:sz="4" w:space="0" w:color="auto"/>
              <w:right w:val="single" w:sz="4" w:space="0" w:color="auto"/>
            </w:tcBorders>
            <w:vAlign w:val="center"/>
            <w:hideMark/>
          </w:tcPr>
          <w:p w14:paraId="099CF74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977.46</w:t>
            </w:r>
          </w:p>
        </w:tc>
        <w:tc>
          <w:tcPr>
            <w:tcW w:w="993" w:type="dxa"/>
            <w:tcBorders>
              <w:top w:val="nil"/>
              <w:left w:val="nil"/>
              <w:bottom w:val="single" w:sz="4" w:space="0" w:color="auto"/>
              <w:right w:val="single" w:sz="4" w:space="0" w:color="auto"/>
            </w:tcBorders>
            <w:vAlign w:val="center"/>
            <w:hideMark/>
          </w:tcPr>
          <w:p w14:paraId="65C77C8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12.26</w:t>
            </w:r>
          </w:p>
        </w:tc>
        <w:tc>
          <w:tcPr>
            <w:tcW w:w="1134" w:type="dxa"/>
            <w:tcBorders>
              <w:top w:val="nil"/>
              <w:left w:val="nil"/>
              <w:bottom w:val="single" w:sz="4" w:space="0" w:color="auto"/>
              <w:right w:val="single" w:sz="4" w:space="0" w:color="auto"/>
            </w:tcBorders>
            <w:vAlign w:val="center"/>
            <w:hideMark/>
          </w:tcPr>
          <w:p w14:paraId="3100BB5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989.72</w:t>
            </w:r>
          </w:p>
        </w:tc>
      </w:tr>
      <w:tr w:rsidR="00F6454C" w:rsidRPr="00AA0ADC" w14:paraId="786B111D"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8E9BE78"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6A3CED4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-1712.72</w:t>
            </w:r>
          </w:p>
        </w:tc>
        <w:tc>
          <w:tcPr>
            <w:tcW w:w="976" w:type="dxa"/>
            <w:tcBorders>
              <w:top w:val="nil"/>
              <w:left w:val="nil"/>
              <w:bottom w:val="single" w:sz="4" w:space="0" w:color="auto"/>
              <w:right w:val="single" w:sz="4" w:space="0" w:color="auto"/>
            </w:tcBorders>
            <w:vAlign w:val="center"/>
            <w:hideMark/>
          </w:tcPr>
          <w:p w14:paraId="3E67243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6008.16</w:t>
            </w:r>
          </w:p>
        </w:tc>
        <w:tc>
          <w:tcPr>
            <w:tcW w:w="1027" w:type="dxa"/>
            <w:tcBorders>
              <w:top w:val="nil"/>
              <w:left w:val="nil"/>
              <w:bottom w:val="single" w:sz="4" w:space="0" w:color="auto"/>
              <w:right w:val="single" w:sz="4" w:space="0" w:color="auto"/>
            </w:tcBorders>
            <w:vAlign w:val="center"/>
            <w:hideMark/>
          </w:tcPr>
          <w:p w14:paraId="15E53C0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4296.04</w:t>
            </w:r>
          </w:p>
        </w:tc>
        <w:tc>
          <w:tcPr>
            <w:tcW w:w="1136" w:type="dxa"/>
            <w:tcBorders>
              <w:top w:val="nil"/>
              <w:left w:val="nil"/>
              <w:bottom w:val="single" w:sz="4" w:space="0" w:color="auto"/>
              <w:right w:val="single" w:sz="4" w:space="0" w:color="auto"/>
            </w:tcBorders>
            <w:vAlign w:val="center"/>
            <w:hideMark/>
          </w:tcPr>
          <w:p w14:paraId="163BCD0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2454</w:t>
            </w:r>
          </w:p>
        </w:tc>
        <w:tc>
          <w:tcPr>
            <w:tcW w:w="1016" w:type="dxa"/>
            <w:tcBorders>
              <w:top w:val="nil"/>
              <w:left w:val="nil"/>
              <w:bottom w:val="single" w:sz="4" w:space="0" w:color="auto"/>
              <w:right w:val="single" w:sz="4" w:space="0" w:color="auto"/>
            </w:tcBorders>
            <w:vAlign w:val="center"/>
            <w:hideMark/>
          </w:tcPr>
          <w:p w14:paraId="0F35572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648</w:t>
            </w:r>
          </w:p>
        </w:tc>
        <w:tc>
          <w:tcPr>
            <w:tcW w:w="1338" w:type="dxa"/>
            <w:tcBorders>
              <w:top w:val="nil"/>
              <w:left w:val="nil"/>
              <w:bottom w:val="single" w:sz="4" w:space="0" w:color="auto"/>
              <w:right w:val="single" w:sz="4" w:space="0" w:color="auto"/>
            </w:tcBorders>
            <w:vAlign w:val="center"/>
            <w:hideMark/>
          </w:tcPr>
          <w:p w14:paraId="0C5CD28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2490.04</w:t>
            </w:r>
          </w:p>
        </w:tc>
        <w:tc>
          <w:tcPr>
            <w:tcW w:w="993" w:type="dxa"/>
            <w:tcBorders>
              <w:top w:val="nil"/>
              <w:left w:val="nil"/>
              <w:bottom w:val="single" w:sz="4" w:space="0" w:color="auto"/>
              <w:right w:val="single" w:sz="4" w:space="0" w:color="auto"/>
            </w:tcBorders>
            <w:vAlign w:val="center"/>
            <w:hideMark/>
          </w:tcPr>
          <w:p w14:paraId="60044AD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43.79</w:t>
            </w:r>
          </w:p>
        </w:tc>
        <w:tc>
          <w:tcPr>
            <w:tcW w:w="1134" w:type="dxa"/>
            <w:tcBorders>
              <w:top w:val="nil"/>
              <w:left w:val="nil"/>
              <w:bottom w:val="single" w:sz="4" w:space="0" w:color="auto"/>
              <w:right w:val="single" w:sz="4" w:space="0" w:color="auto"/>
            </w:tcBorders>
            <w:vAlign w:val="center"/>
            <w:hideMark/>
          </w:tcPr>
          <w:p w14:paraId="1FB8323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2533.83</w:t>
            </w:r>
          </w:p>
        </w:tc>
      </w:tr>
      <w:tr w:rsidR="00AA0ADC" w:rsidRPr="00AA0ADC" w14:paraId="3A6BA1FA"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1102FB34" w14:textId="74164F45"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UTTAR PRADESH</w:t>
            </w:r>
          </w:p>
        </w:tc>
      </w:tr>
      <w:tr w:rsidR="00F6454C" w:rsidRPr="00AA0ADC" w14:paraId="2C170A5E"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4E31D47A"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68B1324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-2377.83</w:t>
            </w:r>
          </w:p>
        </w:tc>
        <w:tc>
          <w:tcPr>
            <w:tcW w:w="976" w:type="dxa"/>
            <w:tcBorders>
              <w:top w:val="nil"/>
              <w:left w:val="nil"/>
              <w:bottom w:val="single" w:sz="4" w:space="0" w:color="auto"/>
              <w:right w:val="single" w:sz="4" w:space="0" w:color="auto"/>
            </w:tcBorders>
            <w:vAlign w:val="center"/>
            <w:hideMark/>
          </w:tcPr>
          <w:p w14:paraId="70E36F9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2211.78</w:t>
            </w:r>
          </w:p>
        </w:tc>
        <w:tc>
          <w:tcPr>
            <w:tcW w:w="1027" w:type="dxa"/>
            <w:tcBorders>
              <w:top w:val="nil"/>
              <w:left w:val="nil"/>
              <w:bottom w:val="single" w:sz="4" w:space="0" w:color="auto"/>
              <w:right w:val="single" w:sz="4" w:space="0" w:color="auto"/>
            </w:tcBorders>
            <w:vAlign w:val="center"/>
            <w:hideMark/>
          </w:tcPr>
          <w:p w14:paraId="603DCA5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-166.05</w:t>
            </w:r>
          </w:p>
        </w:tc>
        <w:tc>
          <w:tcPr>
            <w:tcW w:w="1136" w:type="dxa"/>
            <w:tcBorders>
              <w:top w:val="nil"/>
              <w:left w:val="nil"/>
              <w:bottom w:val="single" w:sz="4" w:space="0" w:color="auto"/>
              <w:right w:val="single" w:sz="4" w:space="0" w:color="auto"/>
            </w:tcBorders>
            <w:vAlign w:val="center"/>
            <w:hideMark/>
          </w:tcPr>
          <w:p w14:paraId="3D88C35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1332.57</w:t>
            </w:r>
          </w:p>
        </w:tc>
        <w:tc>
          <w:tcPr>
            <w:tcW w:w="1016" w:type="dxa"/>
            <w:tcBorders>
              <w:top w:val="nil"/>
              <w:left w:val="nil"/>
              <w:bottom w:val="single" w:sz="4" w:space="0" w:color="auto"/>
              <w:right w:val="single" w:sz="4" w:space="0" w:color="auto"/>
            </w:tcBorders>
            <w:vAlign w:val="center"/>
            <w:hideMark/>
          </w:tcPr>
          <w:p w14:paraId="42BA1ED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302.56</w:t>
            </w:r>
          </w:p>
        </w:tc>
        <w:tc>
          <w:tcPr>
            <w:tcW w:w="1338" w:type="dxa"/>
            <w:tcBorders>
              <w:top w:val="nil"/>
              <w:left w:val="nil"/>
              <w:bottom w:val="single" w:sz="4" w:space="0" w:color="auto"/>
              <w:right w:val="single" w:sz="4" w:space="0" w:color="auto"/>
            </w:tcBorders>
            <w:vAlign w:val="center"/>
            <w:hideMark/>
          </w:tcPr>
          <w:p w14:paraId="793D25B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-1196.06</w:t>
            </w:r>
          </w:p>
        </w:tc>
        <w:tc>
          <w:tcPr>
            <w:tcW w:w="993" w:type="dxa"/>
            <w:tcBorders>
              <w:top w:val="nil"/>
              <w:left w:val="nil"/>
              <w:bottom w:val="single" w:sz="4" w:space="0" w:color="auto"/>
              <w:right w:val="single" w:sz="4" w:space="0" w:color="auto"/>
            </w:tcBorders>
            <w:vAlign w:val="center"/>
            <w:hideMark/>
          </w:tcPr>
          <w:p w14:paraId="39DBFB7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436.74</w:t>
            </w:r>
          </w:p>
        </w:tc>
        <w:tc>
          <w:tcPr>
            <w:tcW w:w="1134" w:type="dxa"/>
            <w:tcBorders>
              <w:top w:val="nil"/>
              <w:left w:val="nil"/>
              <w:bottom w:val="single" w:sz="4" w:space="0" w:color="auto"/>
              <w:right w:val="single" w:sz="4" w:space="0" w:color="auto"/>
            </w:tcBorders>
            <w:vAlign w:val="center"/>
            <w:hideMark/>
          </w:tcPr>
          <w:p w14:paraId="474B3AA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-759.32</w:t>
            </w:r>
          </w:p>
        </w:tc>
      </w:tr>
      <w:tr w:rsidR="00F6454C" w:rsidRPr="00AA0ADC" w14:paraId="3791E451"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AF573DF"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056ADC9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-2570.42</w:t>
            </w:r>
          </w:p>
        </w:tc>
        <w:tc>
          <w:tcPr>
            <w:tcW w:w="976" w:type="dxa"/>
            <w:tcBorders>
              <w:top w:val="nil"/>
              <w:left w:val="nil"/>
              <w:bottom w:val="single" w:sz="4" w:space="0" w:color="auto"/>
              <w:right w:val="single" w:sz="4" w:space="0" w:color="auto"/>
            </w:tcBorders>
            <w:vAlign w:val="center"/>
            <w:hideMark/>
          </w:tcPr>
          <w:p w14:paraId="6F9CAD7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2462.76</w:t>
            </w:r>
          </w:p>
        </w:tc>
        <w:tc>
          <w:tcPr>
            <w:tcW w:w="1027" w:type="dxa"/>
            <w:tcBorders>
              <w:top w:val="nil"/>
              <w:left w:val="nil"/>
              <w:bottom w:val="single" w:sz="4" w:space="0" w:color="auto"/>
              <w:right w:val="single" w:sz="4" w:space="0" w:color="auto"/>
            </w:tcBorders>
            <w:vAlign w:val="center"/>
            <w:hideMark/>
          </w:tcPr>
          <w:p w14:paraId="68B7CC0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-107.66</w:t>
            </w:r>
          </w:p>
        </w:tc>
        <w:tc>
          <w:tcPr>
            <w:tcW w:w="1136" w:type="dxa"/>
            <w:tcBorders>
              <w:top w:val="nil"/>
              <w:left w:val="nil"/>
              <w:bottom w:val="single" w:sz="4" w:space="0" w:color="auto"/>
              <w:right w:val="single" w:sz="4" w:space="0" w:color="auto"/>
            </w:tcBorders>
            <w:vAlign w:val="center"/>
            <w:hideMark/>
          </w:tcPr>
          <w:p w14:paraId="6E1B170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1426.08</w:t>
            </w:r>
          </w:p>
        </w:tc>
        <w:tc>
          <w:tcPr>
            <w:tcW w:w="1016" w:type="dxa"/>
            <w:tcBorders>
              <w:top w:val="nil"/>
              <w:left w:val="nil"/>
              <w:bottom w:val="single" w:sz="4" w:space="0" w:color="auto"/>
              <w:right w:val="single" w:sz="4" w:space="0" w:color="auto"/>
            </w:tcBorders>
            <w:vAlign w:val="center"/>
            <w:hideMark/>
          </w:tcPr>
          <w:p w14:paraId="2050979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340.38</w:t>
            </w:r>
          </w:p>
        </w:tc>
        <w:tc>
          <w:tcPr>
            <w:tcW w:w="1338" w:type="dxa"/>
            <w:tcBorders>
              <w:top w:val="nil"/>
              <w:left w:val="nil"/>
              <w:bottom w:val="single" w:sz="4" w:space="0" w:color="auto"/>
              <w:right w:val="single" w:sz="4" w:space="0" w:color="auto"/>
            </w:tcBorders>
            <w:vAlign w:val="center"/>
            <w:hideMark/>
          </w:tcPr>
          <w:p w14:paraId="4ED3EFC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-1193.36</w:t>
            </w:r>
          </w:p>
        </w:tc>
        <w:tc>
          <w:tcPr>
            <w:tcW w:w="993" w:type="dxa"/>
            <w:tcBorders>
              <w:top w:val="nil"/>
              <w:left w:val="nil"/>
              <w:bottom w:val="single" w:sz="4" w:space="0" w:color="auto"/>
              <w:right w:val="single" w:sz="4" w:space="0" w:color="auto"/>
            </w:tcBorders>
            <w:vAlign w:val="center"/>
            <w:hideMark/>
          </w:tcPr>
          <w:p w14:paraId="33A30F3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517.62</w:t>
            </w:r>
          </w:p>
        </w:tc>
        <w:tc>
          <w:tcPr>
            <w:tcW w:w="1134" w:type="dxa"/>
            <w:tcBorders>
              <w:top w:val="nil"/>
              <w:left w:val="nil"/>
              <w:bottom w:val="single" w:sz="4" w:space="0" w:color="auto"/>
              <w:right w:val="single" w:sz="4" w:space="0" w:color="auto"/>
            </w:tcBorders>
            <w:vAlign w:val="center"/>
            <w:hideMark/>
          </w:tcPr>
          <w:p w14:paraId="118BB45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-675.74</w:t>
            </w:r>
          </w:p>
        </w:tc>
      </w:tr>
      <w:tr w:rsidR="00F6454C" w:rsidRPr="00AA0ADC" w14:paraId="74D354E2"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2F0BD2E"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1896920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-2790.64</w:t>
            </w:r>
          </w:p>
        </w:tc>
        <w:tc>
          <w:tcPr>
            <w:tcW w:w="976" w:type="dxa"/>
            <w:tcBorders>
              <w:top w:val="nil"/>
              <w:left w:val="nil"/>
              <w:bottom w:val="single" w:sz="4" w:space="0" w:color="auto"/>
              <w:right w:val="single" w:sz="4" w:space="0" w:color="auto"/>
            </w:tcBorders>
            <w:vAlign w:val="center"/>
            <w:hideMark/>
          </w:tcPr>
          <w:p w14:paraId="636D34B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2742.89</w:t>
            </w:r>
          </w:p>
        </w:tc>
        <w:tc>
          <w:tcPr>
            <w:tcW w:w="1027" w:type="dxa"/>
            <w:tcBorders>
              <w:top w:val="nil"/>
              <w:left w:val="nil"/>
              <w:bottom w:val="single" w:sz="4" w:space="0" w:color="auto"/>
              <w:right w:val="single" w:sz="4" w:space="0" w:color="auto"/>
            </w:tcBorders>
            <w:vAlign w:val="center"/>
            <w:hideMark/>
          </w:tcPr>
          <w:p w14:paraId="6F8C3B5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-47.75</w:t>
            </w:r>
          </w:p>
        </w:tc>
        <w:tc>
          <w:tcPr>
            <w:tcW w:w="1136" w:type="dxa"/>
            <w:tcBorders>
              <w:top w:val="nil"/>
              <w:left w:val="nil"/>
              <w:bottom w:val="single" w:sz="4" w:space="0" w:color="auto"/>
              <w:right w:val="single" w:sz="4" w:space="0" w:color="auto"/>
            </w:tcBorders>
            <w:vAlign w:val="center"/>
            <w:hideMark/>
          </w:tcPr>
          <w:p w14:paraId="71CCE01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1525.9</w:t>
            </w:r>
          </w:p>
        </w:tc>
        <w:tc>
          <w:tcPr>
            <w:tcW w:w="1016" w:type="dxa"/>
            <w:tcBorders>
              <w:top w:val="nil"/>
              <w:left w:val="nil"/>
              <w:bottom w:val="single" w:sz="4" w:space="0" w:color="auto"/>
              <w:right w:val="single" w:sz="4" w:space="0" w:color="auto"/>
            </w:tcBorders>
            <w:vAlign w:val="center"/>
            <w:hideMark/>
          </w:tcPr>
          <w:p w14:paraId="5BBE368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378.2</w:t>
            </w:r>
          </w:p>
        </w:tc>
        <w:tc>
          <w:tcPr>
            <w:tcW w:w="1338" w:type="dxa"/>
            <w:tcBorders>
              <w:top w:val="nil"/>
              <w:left w:val="nil"/>
              <w:bottom w:val="single" w:sz="4" w:space="0" w:color="auto"/>
              <w:right w:val="single" w:sz="4" w:space="0" w:color="auto"/>
            </w:tcBorders>
            <w:vAlign w:val="center"/>
            <w:hideMark/>
          </w:tcPr>
          <w:p w14:paraId="2B3E1D2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-1195.45</w:t>
            </w:r>
          </w:p>
        </w:tc>
        <w:tc>
          <w:tcPr>
            <w:tcW w:w="993" w:type="dxa"/>
            <w:tcBorders>
              <w:top w:val="nil"/>
              <w:left w:val="nil"/>
              <w:bottom w:val="single" w:sz="4" w:space="0" w:color="auto"/>
              <w:right w:val="single" w:sz="4" w:space="0" w:color="auto"/>
            </w:tcBorders>
            <w:vAlign w:val="center"/>
            <w:hideMark/>
          </w:tcPr>
          <w:p w14:paraId="08F21C2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630.84</w:t>
            </w:r>
          </w:p>
        </w:tc>
        <w:tc>
          <w:tcPr>
            <w:tcW w:w="1134" w:type="dxa"/>
            <w:tcBorders>
              <w:top w:val="nil"/>
              <w:left w:val="nil"/>
              <w:bottom w:val="single" w:sz="4" w:space="0" w:color="auto"/>
              <w:right w:val="single" w:sz="4" w:space="0" w:color="auto"/>
            </w:tcBorders>
            <w:vAlign w:val="center"/>
            <w:hideMark/>
          </w:tcPr>
          <w:p w14:paraId="4B2F68C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-564.61</w:t>
            </w:r>
          </w:p>
        </w:tc>
      </w:tr>
      <w:tr w:rsidR="00F6454C" w:rsidRPr="00AA0ADC" w14:paraId="0F111C0A"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A6C63F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5B43593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-3840.95</w:t>
            </w:r>
          </w:p>
        </w:tc>
        <w:tc>
          <w:tcPr>
            <w:tcW w:w="976" w:type="dxa"/>
            <w:tcBorders>
              <w:top w:val="nil"/>
              <w:left w:val="nil"/>
              <w:bottom w:val="single" w:sz="4" w:space="0" w:color="auto"/>
              <w:right w:val="single" w:sz="4" w:space="0" w:color="auto"/>
            </w:tcBorders>
            <w:vAlign w:val="center"/>
            <w:hideMark/>
          </w:tcPr>
          <w:p w14:paraId="41C34B9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3055.23</w:t>
            </w:r>
          </w:p>
        </w:tc>
        <w:tc>
          <w:tcPr>
            <w:tcW w:w="1027" w:type="dxa"/>
            <w:tcBorders>
              <w:top w:val="nil"/>
              <w:left w:val="nil"/>
              <w:bottom w:val="single" w:sz="4" w:space="0" w:color="auto"/>
              <w:right w:val="single" w:sz="4" w:space="0" w:color="auto"/>
            </w:tcBorders>
            <w:vAlign w:val="center"/>
            <w:hideMark/>
          </w:tcPr>
          <w:p w14:paraId="7C37657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14.28</w:t>
            </w:r>
          </w:p>
        </w:tc>
        <w:tc>
          <w:tcPr>
            <w:tcW w:w="1136" w:type="dxa"/>
            <w:tcBorders>
              <w:top w:val="nil"/>
              <w:left w:val="nil"/>
              <w:bottom w:val="single" w:sz="4" w:space="0" w:color="auto"/>
              <w:right w:val="single" w:sz="4" w:space="0" w:color="auto"/>
            </w:tcBorders>
            <w:vAlign w:val="center"/>
            <w:hideMark/>
          </w:tcPr>
          <w:p w14:paraId="743CC4B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1632.63</w:t>
            </w:r>
          </w:p>
        </w:tc>
        <w:tc>
          <w:tcPr>
            <w:tcW w:w="1016" w:type="dxa"/>
            <w:tcBorders>
              <w:top w:val="nil"/>
              <w:left w:val="nil"/>
              <w:bottom w:val="single" w:sz="4" w:space="0" w:color="auto"/>
              <w:right w:val="single" w:sz="4" w:space="0" w:color="auto"/>
            </w:tcBorders>
            <w:vAlign w:val="center"/>
            <w:hideMark/>
          </w:tcPr>
          <w:p w14:paraId="5A52D6A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416.82</w:t>
            </w:r>
          </w:p>
        </w:tc>
        <w:tc>
          <w:tcPr>
            <w:tcW w:w="1338" w:type="dxa"/>
            <w:tcBorders>
              <w:top w:val="nil"/>
              <w:left w:val="nil"/>
              <w:bottom w:val="single" w:sz="4" w:space="0" w:color="auto"/>
              <w:right w:val="single" w:sz="4" w:space="0" w:color="auto"/>
            </w:tcBorders>
            <w:vAlign w:val="center"/>
            <w:hideMark/>
          </w:tcPr>
          <w:p w14:paraId="370287F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-1202.33</w:t>
            </w:r>
          </w:p>
        </w:tc>
        <w:tc>
          <w:tcPr>
            <w:tcW w:w="993" w:type="dxa"/>
            <w:tcBorders>
              <w:top w:val="nil"/>
              <w:left w:val="nil"/>
              <w:bottom w:val="single" w:sz="4" w:space="0" w:color="auto"/>
              <w:right w:val="single" w:sz="4" w:space="0" w:color="auto"/>
            </w:tcBorders>
            <w:vAlign w:val="center"/>
            <w:hideMark/>
          </w:tcPr>
          <w:p w14:paraId="77279FE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744.07</w:t>
            </w:r>
          </w:p>
        </w:tc>
        <w:tc>
          <w:tcPr>
            <w:tcW w:w="1134" w:type="dxa"/>
            <w:tcBorders>
              <w:top w:val="nil"/>
              <w:left w:val="nil"/>
              <w:bottom w:val="single" w:sz="4" w:space="0" w:color="auto"/>
              <w:right w:val="single" w:sz="4" w:space="0" w:color="auto"/>
            </w:tcBorders>
            <w:vAlign w:val="center"/>
            <w:hideMark/>
          </w:tcPr>
          <w:p w14:paraId="462EDE4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-458.26</w:t>
            </w:r>
          </w:p>
        </w:tc>
      </w:tr>
      <w:tr w:rsidR="00F6454C" w:rsidRPr="00AA0ADC" w14:paraId="4DDBCDA8"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E6D567F"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639BF5B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-3445.38</w:t>
            </w:r>
          </w:p>
        </w:tc>
        <w:tc>
          <w:tcPr>
            <w:tcW w:w="976" w:type="dxa"/>
            <w:tcBorders>
              <w:top w:val="nil"/>
              <w:left w:val="nil"/>
              <w:bottom w:val="single" w:sz="4" w:space="0" w:color="auto"/>
              <w:right w:val="single" w:sz="4" w:space="0" w:color="auto"/>
            </w:tcBorders>
            <w:vAlign w:val="center"/>
            <w:hideMark/>
          </w:tcPr>
          <w:p w14:paraId="712E546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3403.88</w:t>
            </w:r>
          </w:p>
        </w:tc>
        <w:tc>
          <w:tcPr>
            <w:tcW w:w="1027" w:type="dxa"/>
            <w:tcBorders>
              <w:top w:val="nil"/>
              <w:left w:val="nil"/>
              <w:bottom w:val="single" w:sz="4" w:space="0" w:color="auto"/>
              <w:right w:val="single" w:sz="4" w:space="0" w:color="auto"/>
            </w:tcBorders>
            <w:vAlign w:val="center"/>
            <w:hideMark/>
          </w:tcPr>
          <w:p w14:paraId="1969EFD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-41.42</w:t>
            </w:r>
          </w:p>
        </w:tc>
        <w:tc>
          <w:tcPr>
            <w:tcW w:w="1136" w:type="dxa"/>
            <w:tcBorders>
              <w:top w:val="nil"/>
              <w:left w:val="nil"/>
              <w:bottom w:val="single" w:sz="4" w:space="0" w:color="auto"/>
              <w:right w:val="single" w:sz="4" w:space="0" w:color="auto"/>
            </w:tcBorders>
            <w:vAlign w:val="center"/>
            <w:hideMark/>
          </w:tcPr>
          <w:p w14:paraId="1022793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1746.82</w:t>
            </w:r>
          </w:p>
        </w:tc>
        <w:tc>
          <w:tcPr>
            <w:tcW w:w="1016" w:type="dxa"/>
            <w:tcBorders>
              <w:top w:val="nil"/>
              <w:left w:val="nil"/>
              <w:bottom w:val="single" w:sz="4" w:space="0" w:color="auto"/>
              <w:right w:val="single" w:sz="4" w:space="0" w:color="auto"/>
            </w:tcBorders>
            <w:vAlign w:val="center"/>
            <w:hideMark/>
          </w:tcPr>
          <w:p w14:paraId="1590638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453.84</w:t>
            </w:r>
          </w:p>
        </w:tc>
        <w:tc>
          <w:tcPr>
            <w:tcW w:w="1338" w:type="dxa"/>
            <w:tcBorders>
              <w:top w:val="nil"/>
              <w:left w:val="nil"/>
              <w:bottom w:val="single" w:sz="4" w:space="0" w:color="auto"/>
              <w:right w:val="single" w:sz="4" w:space="0" w:color="auto"/>
            </w:tcBorders>
            <w:vAlign w:val="center"/>
            <w:hideMark/>
          </w:tcPr>
          <w:p w14:paraId="5F482A1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-1334.4</w:t>
            </w:r>
          </w:p>
        </w:tc>
        <w:tc>
          <w:tcPr>
            <w:tcW w:w="993" w:type="dxa"/>
            <w:tcBorders>
              <w:top w:val="nil"/>
              <w:left w:val="nil"/>
              <w:bottom w:val="single" w:sz="4" w:space="0" w:color="auto"/>
              <w:right w:val="single" w:sz="4" w:space="0" w:color="auto"/>
            </w:tcBorders>
            <w:vAlign w:val="center"/>
            <w:hideMark/>
          </w:tcPr>
          <w:p w14:paraId="6E8440B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905.83</w:t>
            </w:r>
          </w:p>
        </w:tc>
        <w:tc>
          <w:tcPr>
            <w:tcW w:w="1134" w:type="dxa"/>
            <w:tcBorders>
              <w:top w:val="nil"/>
              <w:left w:val="nil"/>
              <w:bottom w:val="single" w:sz="4" w:space="0" w:color="auto"/>
              <w:right w:val="single" w:sz="4" w:space="0" w:color="auto"/>
            </w:tcBorders>
            <w:vAlign w:val="center"/>
            <w:hideMark/>
          </w:tcPr>
          <w:p w14:paraId="62B4D1A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-428.57</w:t>
            </w:r>
          </w:p>
        </w:tc>
      </w:tr>
      <w:tr w:rsidR="00F6454C" w:rsidRPr="00AA0ADC" w14:paraId="279D2D7B"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46D85A5"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78ACB5B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-14225.14</w:t>
            </w:r>
          </w:p>
        </w:tc>
        <w:tc>
          <w:tcPr>
            <w:tcW w:w="976" w:type="dxa"/>
            <w:tcBorders>
              <w:top w:val="nil"/>
              <w:left w:val="nil"/>
              <w:bottom w:val="single" w:sz="4" w:space="0" w:color="auto"/>
              <w:right w:val="single" w:sz="4" w:space="0" w:color="auto"/>
            </w:tcBorders>
            <w:vAlign w:val="center"/>
            <w:hideMark/>
          </w:tcPr>
          <w:p w14:paraId="14C46F8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13876.54</w:t>
            </w:r>
          </w:p>
        </w:tc>
        <w:tc>
          <w:tcPr>
            <w:tcW w:w="1027" w:type="dxa"/>
            <w:tcBorders>
              <w:top w:val="nil"/>
              <w:left w:val="nil"/>
              <w:bottom w:val="single" w:sz="4" w:space="0" w:color="auto"/>
              <w:right w:val="single" w:sz="4" w:space="0" w:color="auto"/>
            </w:tcBorders>
            <w:vAlign w:val="center"/>
            <w:hideMark/>
          </w:tcPr>
          <w:p w14:paraId="4EF812B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-348.6</w:t>
            </w:r>
          </w:p>
        </w:tc>
        <w:tc>
          <w:tcPr>
            <w:tcW w:w="1136" w:type="dxa"/>
            <w:tcBorders>
              <w:top w:val="nil"/>
              <w:left w:val="nil"/>
              <w:bottom w:val="single" w:sz="4" w:space="0" w:color="auto"/>
              <w:right w:val="single" w:sz="4" w:space="0" w:color="auto"/>
            </w:tcBorders>
            <w:vAlign w:val="center"/>
            <w:hideMark/>
          </w:tcPr>
          <w:p w14:paraId="1DF2F3E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7664</w:t>
            </w:r>
          </w:p>
        </w:tc>
        <w:tc>
          <w:tcPr>
            <w:tcW w:w="1016" w:type="dxa"/>
            <w:tcBorders>
              <w:top w:val="nil"/>
              <w:left w:val="nil"/>
              <w:bottom w:val="single" w:sz="4" w:space="0" w:color="auto"/>
              <w:right w:val="single" w:sz="4" w:space="0" w:color="auto"/>
            </w:tcBorders>
            <w:vAlign w:val="center"/>
            <w:hideMark/>
          </w:tcPr>
          <w:p w14:paraId="0C840E0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1891</w:t>
            </w:r>
          </w:p>
        </w:tc>
        <w:tc>
          <w:tcPr>
            <w:tcW w:w="1338" w:type="dxa"/>
            <w:tcBorders>
              <w:top w:val="nil"/>
              <w:left w:val="nil"/>
              <w:bottom w:val="single" w:sz="4" w:space="0" w:color="auto"/>
              <w:right w:val="single" w:sz="4" w:space="0" w:color="auto"/>
            </w:tcBorders>
            <w:vAlign w:val="center"/>
            <w:hideMark/>
          </w:tcPr>
          <w:p w14:paraId="411B215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-6121.6</w:t>
            </w:r>
          </w:p>
        </w:tc>
        <w:tc>
          <w:tcPr>
            <w:tcW w:w="993" w:type="dxa"/>
            <w:tcBorders>
              <w:top w:val="nil"/>
              <w:left w:val="nil"/>
              <w:bottom w:val="single" w:sz="4" w:space="0" w:color="auto"/>
              <w:right w:val="single" w:sz="4" w:space="0" w:color="auto"/>
            </w:tcBorders>
            <w:vAlign w:val="center"/>
            <w:hideMark/>
          </w:tcPr>
          <w:p w14:paraId="48DA2D8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3235.1</w:t>
            </w:r>
          </w:p>
        </w:tc>
        <w:tc>
          <w:tcPr>
            <w:tcW w:w="1134" w:type="dxa"/>
            <w:tcBorders>
              <w:top w:val="nil"/>
              <w:left w:val="nil"/>
              <w:bottom w:val="single" w:sz="4" w:space="0" w:color="auto"/>
              <w:right w:val="single" w:sz="4" w:space="0" w:color="auto"/>
            </w:tcBorders>
            <w:vAlign w:val="center"/>
            <w:hideMark/>
          </w:tcPr>
          <w:p w14:paraId="7510FBE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-2886.5</w:t>
            </w:r>
          </w:p>
        </w:tc>
      </w:tr>
      <w:tr w:rsidR="00AA0ADC" w:rsidRPr="00AA0ADC" w14:paraId="7C7D9B4A"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6BDC4630" w14:textId="1244ABF1"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WEST BENGAL</w:t>
            </w:r>
          </w:p>
        </w:tc>
      </w:tr>
      <w:tr w:rsidR="00F6454C" w:rsidRPr="00AA0ADC" w14:paraId="43FF0FD5"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9BB6FD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26BDDAE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-1076.42</w:t>
            </w:r>
          </w:p>
        </w:tc>
        <w:tc>
          <w:tcPr>
            <w:tcW w:w="976" w:type="dxa"/>
            <w:tcBorders>
              <w:top w:val="nil"/>
              <w:left w:val="nil"/>
              <w:bottom w:val="single" w:sz="4" w:space="0" w:color="auto"/>
              <w:right w:val="single" w:sz="4" w:space="0" w:color="auto"/>
            </w:tcBorders>
            <w:vAlign w:val="center"/>
            <w:hideMark/>
          </w:tcPr>
          <w:p w14:paraId="5C8497E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998.51</w:t>
            </w:r>
          </w:p>
        </w:tc>
        <w:tc>
          <w:tcPr>
            <w:tcW w:w="1027" w:type="dxa"/>
            <w:tcBorders>
              <w:top w:val="nil"/>
              <w:left w:val="nil"/>
              <w:bottom w:val="single" w:sz="4" w:space="0" w:color="auto"/>
              <w:right w:val="single" w:sz="4" w:space="0" w:color="auto"/>
            </w:tcBorders>
            <w:vAlign w:val="center"/>
            <w:hideMark/>
          </w:tcPr>
          <w:p w14:paraId="65C36E2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-77.91</w:t>
            </w:r>
          </w:p>
        </w:tc>
        <w:tc>
          <w:tcPr>
            <w:tcW w:w="1136" w:type="dxa"/>
            <w:tcBorders>
              <w:top w:val="nil"/>
              <w:left w:val="nil"/>
              <w:bottom w:val="single" w:sz="4" w:space="0" w:color="auto"/>
              <w:right w:val="single" w:sz="4" w:space="0" w:color="auto"/>
            </w:tcBorders>
            <w:vAlign w:val="center"/>
            <w:hideMark/>
          </w:tcPr>
          <w:p w14:paraId="156598B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567.53</w:t>
            </w:r>
          </w:p>
        </w:tc>
        <w:tc>
          <w:tcPr>
            <w:tcW w:w="1016" w:type="dxa"/>
            <w:tcBorders>
              <w:top w:val="nil"/>
              <w:left w:val="nil"/>
              <w:bottom w:val="single" w:sz="4" w:space="0" w:color="auto"/>
              <w:right w:val="single" w:sz="4" w:space="0" w:color="auto"/>
            </w:tcBorders>
            <w:vAlign w:val="center"/>
            <w:hideMark/>
          </w:tcPr>
          <w:p w14:paraId="75A0C0C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101.44</w:t>
            </w:r>
          </w:p>
        </w:tc>
        <w:tc>
          <w:tcPr>
            <w:tcW w:w="1338" w:type="dxa"/>
            <w:tcBorders>
              <w:top w:val="nil"/>
              <w:left w:val="nil"/>
              <w:bottom w:val="single" w:sz="4" w:space="0" w:color="auto"/>
              <w:right w:val="single" w:sz="4" w:space="0" w:color="auto"/>
            </w:tcBorders>
            <w:vAlign w:val="center"/>
            <w:hideMark/>
          </w:tcPr>
          <w:p w14:paraId="33108EC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-544</w:t>
            </w:r>
          </w:p>
        </w:tc>
        <w:tc>
          <w:tcPr>
            <w:tcW w:w="993" w:type="dxa"/>
            <w:tcBorders>
              <w:top w:val="nil"/>
              <w:left w:val="nil"/>
              <w:bottom w:val="single" w:sz="4" w:space="0" w:color="auto"/>
              <w:right w:val="single" w:sz="4" w:space="0" w:color="auto"/>
            </w:tcBorders>
            <w:vAlign w:val="center"/>
            <w:hideMark/>
          </w:tcPr>
          <w:p w14:paraId="1D412A5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134.82</w:t>
            </w:r>
          </w:p>
        </w:tc>
        <w:tc>
          <w:tcPr>
            <w:tcW w:w="1134" w:type="dxa"/>
            <w:tcBorders>
              <w:top w:val="nil"/>
              <w:left w:val="nil"/>
              <w:bottom w:val="single" w:sz="4" w:space="0" w:color="auto"/>
              <w:right w:val="single" w:sz="4" w:space="0" w:color="auto"/>
            </w:tcBorders>
            <w:vAlign w:val="center"/>
            <w:hideMark/>
          </w:tcPr>
          <w:p w14:paraId="680286E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-409.18</w:t>
            </w:r>
          </w:p>
        </w:tc>
      </w:tr>
      <w:tr w:rsidR="00F6454C" w:rsidRPr="00AA0ADC" w14:paraId="49DD8D05"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2B0F412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03429EA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-1014.91</w:t>
            </w:r>
          </w:p>
        </w:tc>
        <w:tc>
          <w:tcPr>
            <w:tcW w:w="976" w:type="dxa"/>
            <w:tcBorders>
              <w:top w:val="nil"/>
              <w:left w:val="nil"/>
              <w:bottom w:val="single" w:sz="4" w:space="0" w:color="auto"/>
              <w:right w:val="single" w:sz="4" w:space="0" w:color="auto"/>
            </w:tcBorders>
            <w:vAlign w:val="center"/>
            <w:hideMark/>
          </w:tcPr>
          <w:p w14:paraId="2DCC41D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1111.53</w:t>
            </w:r>
          </w:p>
        </w:tc>
        <w:tc>
          <w:tcPr>
            <w:tcW w:w="1027" w:type="dxa"/>
            <w:tcBorders>
              <w:top w:val="nil"/>
              <w:left w:val="nil"/>
              <w:bottom w:val="single" w:sz="4" w:space="0" w:color="auto"/>
              <w:right w:val="single" w:sz="4" w:space="0" w:color="auto"/>
            </w:tcBorders>
            <w:vAlign w:val="center"/>
            <w:hideMark/>
          </w:tcPr>
          <w:p w14:paraId="10065CD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96.62</w:t>
            </w:r>
          </w:p>
        </w:tc>
        <w:tc>
          <w:tcPr>
            <w:tcW w:w="1136" w:type="dxa"/>
            <w:tcBorders>
              <w:top w:val="nil"/>
              <w:left w:val="nil"/>
              <w:bottom w:val="single" w:sz="4" w:space="0" w:color="auto"/>
              <w:right w:val="single" w:sz="4" w:space="0" w:color="auto"/>
            </w:tcBorders>
            <w:vAlign w:val="center"/>
            <w:hideMark/>
          </w:tcPr>
          <w:p w14:paraId="5F23F05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607.35</w:t>
            </w:r>
          </w:p>
        </w:tc>
        <w:tc>
          <w:tcPr>
            <w:tcW w:w="1016" w:type="dxa"/>
            <w:tcBorders>
              <w:top w:val="nil"/>
              <w:left w:val="nil"/>
              <w:bottom w:val="single" w:sz="4" w:space="0" w:color="auto"/>
              <w:right w:val="single" w:sz="4" w:space="0" w:color="auto"/>
            </w:tcBorders>
            <w:vAlign w:val="center"/>
            <w:hideMark/>
          </w:tcPr>
          <w:p w14:paraId="00C7B30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114.12</w:t>
            </w:r>
          </w:p>
        </w:tc>
        <w:tc>
          <w:tcPr>
            <w:tcW w:w="1338" w:type="dxa"/>
            <w:tcBorders>
              <w:top w:val="nil"/>
              <w:left w:val="nil"/>
              <w:bottom w:val="single" w:sz="4" w:space="0" w:color="auto"/>
              <w:right w:val="single" w:sz="4" w:space="0" w:color="auto"/>
            </w:tcBorders>
            <w:vAlign w:val="center"/>
            <w:hideMark/>
          </w:tcPr>
          <w:p w14:paraId="082B548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-396.61</w:t>
            </w:r>
          </w:p>
        </w:tc>
        <w:tc>
          <w:tcPr>
            <w:tcW w:w="993" w:type="dxa"/>
            <w:tcBorders>
              <w:top w:val="nil"/>
              <w:left w:val="nil"/>
              <w:bottom w:val="single" w:sz="4" w:space="0" w:color="auto"/>
              <w:right w:val="single" w:sz="4" w:space="0" w:color="auto"/>
            </w:tcBorders>
            <w:vAlign w:val="center"/>
            <w:hideMark/>
          </w:tcPr>
          <w:p w14:paraId="0156A21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159.78</w:t>
            </w:r>
          </w:p>
        </w:tc>
        <w:tc>
          <w:tcPr>
            <w:tcW w:w="1134" w:type="dxa"/>
            <w:tcBorders>
              <w:top w:val="nil"/>
              <w:left w:val="nil"/>
              <w:bottom w:val="single" w:sz="4" w:space="0" w:color="auto"/>
              <w:right w:val="single" w:sz="4" w:space="0" w:color="auto"/>
            </w:tcBorders>
            <w:vAlign w:val="center"/>
            <w:hideMark/>
          </w:tcPr>
          <w:p w14:paraId="7395835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-236.83</w:t>
            </w:r>
          </w:p>
        </w:tc>
      </w:tr>
      <w:tr w:rsidR="00F6454C" w:rsidRPr="00AA0ADC" w14:paraId="32B983B8"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377DABF"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380FBAB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-988.16</w:t>
            </w:r>
          </w:p>
        </w:tc>
        <w:tc>
          <w:tcPr>
            <w:tcW w:w="976" w:type="dxa"/>
            <w:tcBorders>
              <w:top w:val="nil"/>
              <w:left w:val="nil"/>
              <w:bottom w:val="single" w:sz="4" w:space="0" w:color="auto"/>
              <w:right w:val="single" w:sz="4" w:space="0" w:color="auto"/>
            </w:tcBorders>
            <w:vAlign w:val="center"/>
            <w:hideMark/>
          </w:tcPr>
          <w:p w14:paraId="4E7BA6F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1237.58</w:t>
            </w:r>
          </w:p>
        </w:tc>
        <w:tc>
          <w:tcPr>
            <w:tcW w:w="1027" w:type="dxa"/>
            <w:tcBorders>
              <w:top w:val="nil"/>
              <w:left w:val="nil"/>
              <w:bottom w:val="single" w:sz="4" w:space="0" w:color="auto"/>
              <w:right w:val="single" w:sz="4" w:space="0" w:color="auto"/>
            </w:tcBorders>
            <w:vAlign w:val="center"/>
            <w:hideMark/>
          </w:tcPr>
          <w:p w14:paraId="78C16EC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249.42</w:t>
            </w:r>
          </w:p>
        </w:tc>
        <w:tc>
          <w:tcPr>
            <w:tcW w:w="1136" w:type="dxa"/>
            <w:tcBorders>
              <w:top w:val="nil"/>
              <w:left w:val="nil"/>
              <w:bottom w:val="single" w:sz="4" w:space="0" w:color="auto"/>
              <w:right w:val="single" w:sz="4" w:space="0" w:color="auto"/>
            </w:tcBorders>
            <w:vAlign w:val="center"/>
            <w:hideMark/>
          </w:tcPr>
          <w:p w14:paraId="2FC3BDB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649.86</w:t>
            </w:r>
          </w:p>
        </w:tc>
        <w:tc>
          <w:tcPr>
            <w:tcW w:w="1016" w:type="dxa"/>
            <w:tcBorders>
              <w:top w:val="nil"/>
              <w:left w:val="nil"/>
              <w:bottom w:val="single" w:sz="4" w:space="0" w:color="auto"/>
              <w:right w:val="single" w:sz="4" w:space="0" w:color="auto"/>
            </w:tcBorders>
            <w:vAlign w:val="center"/>
            <w:hideMark/>
          </w:tcPr>
          <w:p w14:paraId="0351948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126.8</w:t>
            </w:r>
          </w:p>
        </w:tc>
        <w:tc>
          <w:tcPr>
            <w:tcW w:w="1338" w:type="dxa"/>
            <w:tcBorders>
              <w:top w:val="nil"/>
              <w:left w:val="nil"/>
              <w:bottom w:val="single" w:sz="4" w:space="0" w:color="auto"/>
              <w:right w:val="single" w:sz="4" w:space="0" w:color="auto"/>
            </w:tcBorders>
            <w:vAlign w:val="center"/>
            <w:hideMark/>
          </w:tcPr>
          <w:p w14:paraId="6BBB0B3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-273.64</w:t>
            </w:r>
          </w:p>
        </w:tc>
        <w:tc>
          <w:tcPr>
            <w:tcW w:w="993" w:type="dxa"/>
            <w:tcBorders>
              <w:top w:val="nil"/>
              <w:left w:val="nil"/>
              <w:bottom w:val="single" w:sz="4" w:space="0" w:color="auto"/>
              <w:right w:val="single" w:sz="4" w:space="0" w:color="auto"/>
            </w:tcBorders>
            <w:vAlign w:val="center"/>
            <w:hideMark/>
          </w:tcPr>
          <w:p w14:paraId="01A9AAC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194.74</w:t>
            </w:r>
          </w:p>
        </w:tc>
        <w:tc>
          <w:tcPr>
            <w:tcW w:w="1134" w:type="dxa"/>
            <w:tcBorders>
              <w:top w:val="nil"/>
              <w:left w:val="nil"/>
              <w:bottom w:val="single" w:sz="4" w:space="0" w:color="auto"/>
              <w:right w:val="single" w:sz="4" w:space="0" w:color="auto"/>
            </w:tcBorders>
            <w:vAlign w:val="center"/>
            <w:hideMark/>
          </w:tcPr>
          <w:p w14:paraId="6509597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-78.9</w:t>
            </w:r>
          </w:p>
        </w:tc>
      </w:tr>
      <w:tr w:rsidR="00F6454C" w:rsidRPr="00AA0ADC" w14:paraId="2542AD70"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1FF0137"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7EDE468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-853.26</w:t>
            </w:r>
          </w:p>
        </w:tc>
        <w:tc>
          <w:tcPr>
            <w:tcW w:w="976" w:type="dxa"/>
            <w:tcBorders>
              <w:top w:val="nil"/>
              <w:left w:val="nil"/>
              <w:bottom w:val="single" w:sz="4" w:space="0" w:color="auto"/>
              <w:right w:val="single" w:sz="4" w:space="0" w:color="auto"/>
            </w:tcBorders>
            <w:vAlign w:val="center"/>
            <w:hideMark/>
          </w:tcPr>
          <w:p w14:paraId="3043FDE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1378.14</w:t>
            </w:r>
          </w:p>
        </w:tc>
        <w:tc>
          <w:tcPr>
            <w:tcW w:w="1027" w:type="dxa"/>
            <w:tcBorders>
              <w:top w:val="nil"/>
              <w:left w:val="nil"/>
              <w:bottom w:val="single" w:sz="4" w:space="0" w:color="auto"/>
              <w:right w:val="single" w:sz="4" w:space="0" w:color="auto"/>
            </w:tcBorders>
            <w:vAlign w:val="center"/>
            <w:hideMark/>
          </w:tcPr>
          <w:p w14:paraId="3B6FAF5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524.88</w:t>
            </w:r>
          </w:p>
        </w:tc>
        <w:tc>
          <w:tcPr>
            <w:tcW w:w="1136" w:type="dxa"/>
            <w:tcBorders>
              <w:top w:val="nil"/>
              <w:left w:val="nil"/>
              <w:bottom w:val="single" w:sz="4" w:space="0" w:color="auto"/>
              <w:right w:val="single" w:sz="4" w:space="0" w:color="auto"/>
            </w:tcBorders>
            <w:vAlign w:val="center"/>
            <w:hideMark/>
          </w:tcPr>
          <w:p w14:paraId="46A5F66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695.31</w:t>
            </w:r>
          </w:p>
        </w:tc>
        <w:tc>
          <w:tcPr>
            <w:tcW w:w="1016" w:type="dxa"/>
            <w:tcBorders>
              <w:top w:val="nil"/>
              <w:left w:val="nil"/>
              <w:bottom w:val="single" w:sz="4" w:space="0" w:color="auto"/>
              <w:right w:val="single" w:sz="4" w:space="0" w:color="auto"/>
            </w:tcBorders>
            <w:vAlign w:val="center"/>
            <w:hideMark/>
          </w:tcPr>
          <w:p w14:paraId="67EA421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139.48</w:t>
            </w:r>
          </w:p>
        </w:tc>
        <w:tc>
          <w:tcPr>
            <w:tcW w:w="1338" w:type="dxa"/>
            <w:tcBorders>
              <w:top w:val="nil"/>
              <w:left w:val="nil"/>
              <w:bottom w:val="single" w:sz="4" w:space="0" w:color="auto"/>
              <w:right w:val="single" w:sz="4" w:space="0" w:color="auto"/>
            </w:tcBorders>
            <w:vAlign w:val="center"/>
            <w:hideMark/>
          </w:tcPr>
          <w:p w14:paraId="20F6CF3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-30.95</w:t>
            </w:r>
          </w:p>
        </w:tc>
        <w:tc>
          <w:tcPr>
            <w:tcW w:w="993" w:type="dxa"/>
            <w:tcBorders>
              <w:top w:val="nil"/>
              <w:left w:val="nil"/>
              <w:bottom w:val="single" w:sz="4" w:space="0" w:color="auto"/>
              <w:right w:val="single" w:sz="4" w:space="0" w:color="auto"/>
            </w:tcBorders>
            <w:vAlign w:val="center"/>
            <w:hideMark/>
          </w:tcPr>
          <w:p w14:paraId="3779314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229.69</w:t>
            </w:r>
          </w:p>
        </w:tc>
        <w:tc>
          <w:tcPr>
            <w:tcW w:w="1134" w:type="dxa"/>
            <w:tcBorders>
              <w:top w:val="nil"/>
              <w:left w:val="nil"/>
              <w:bottom w:val="single" w:sz="4" w:space="0" w:color="auto"/>
              <w:right w:val="single" w:sz="4" w:space="0" w:color="auto"/>
            </w:tcBorders>
            <w:vAlign w:val="center"/>
            <w:hideMark/>
          </w:tcPr>
          <w:p w14:paraId="3F651E2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198.74</w:t>
            </w:r>
          </w:p>
        </w:tc>
      </w:tr>
      <w:tr w:rsidR="00F6454C" w:rsidRPr="00AA0ADC" w14:paraId="475DB382"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A04716A"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677FAD2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-746.23</w:t>
            </w:r>
          </w:p>
        </w:tc>
        <w:tc>
          <w:tcPr>
            <w:tcW w:w="976" w:type="dxa"/>
            <w:tcBorders>
              <w:top w:val="nil"/>
              <w:left w:val="nil"/>
              <w:bottom w:val="single" w:sz="4" w:space="0" w:color="auto"/>
              <w:right w:val="single" w:sz="4" w:space="0" w:color="auto"/>
            </w:tcBorders>
            <w:vAlign w:val="center"/>
            <w:hideMark/>
          </w:tcPr>
          <w:p w14:paraId="28235DA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1534.99</w:t>
            </w:r>
          </w:p>
        </w:tc>
        <w:tc>
          <w:tcPr>
            <w:tcW w:w="1027" w:type="dxa"/>
            <w:tcBorders>
              <w:top w:val="nil"/>
              <w:left w:val="nil"/>
              <w:bottom w:val="single" w:sz="4" w:space="0" w:color="auto"/>
              <w:right w:val="single" w:sz="4" w:space="0" w:color="auto"/>
            </w:tcBorders>
            <w:vAlign w:val="center"/>
            <w:hideMark/>
          </w:tcPr>
          <w:p w14:paraId="6FCBD1D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788.76</w:t>
            </w:r>
          </w:p>
        </w:tc>
        <w:tc>
          <w:tcPr>
            <w:tcW w:w="1136" w:type="dxa"/>
            <w:tcBorders>
              <w:top w:val="nil"/>
              <w:left w:val="nil"/>
              <w:bottom w:val="single" w:sz="4" w:space="0" w:color="auto"/>
              <w:right w:val="single" w:sz="4" w:space="0" w:color="auto"/>
            </w:tcBorders>
            <w:vAlign w:val="center"/>
            <w:hideMark/>
          </w:tcPr>
          <w:p w14:paraId="793EE61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743.95</w:t>
            </w:r>
          </w:p>
        </w:tc>
        <w:tc>
          <w:tcPr>
            <w:tcW w:w="1016" w:type="dxa"/>
            <w:tcBorders>
              <w:top w:val="nil"/>
              <w:left w:val="nil"/>
              <w:bottom w:val="single" w:sz="4" w:space="0" w:color="auto"/>
              <w:right w:val="single" w:sz="4" w:space="0" w:color="auto"/>
            </w:tcBorders>
            <w:vAlign w:val="center"/>
            <w:hideMark/>
          </w:tcPr>
          <w:p w14:paraId="7D0E2C9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152.16</w:t>
            </w:r>
          </w:p>
        </w:tc>
        <w:tc>
          <w:tcPr>
            <w:tcW w:w="1338" w:type="dxa"/>
            <w:tcBorders>
              <w:top w:val="nil"/>
              <w:left w:val="nil"/>
              <w:bottom w:val="single" w:sz="4" w:space="0" w:color="auto"/>
              <w:right w:val="single" w:sz="4" w:space="0" w:color="auto"/>
            </w:tcBorders>
            <w:vAlign w:val="center"/>
            <w:hideMark/>
          </w:tcPr>
          <w:p w14:paraId="23D273A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196.97</w:t>
            </w:r>
          </w:p>
        </w:tc>
        <w:tc>
          <w:tcPr>
            <w:tcW w:w="993" w:type="dxa"/>
            <w:tcBorders>
              <w:top w:val="nil"/>
              <w:left w:val="nil"/>
              <w:bottom w:val="single" w:sz="4" w:space="0" w:color="auto"/>
              <w:right w:val="single" w:sz="4" w:space="0" w:color="auto"/>
            </w:tcBorders>
            <w:vAlign w:val="center"/>
            <w:hideMark/>
          </w:tcPr>
          <w:p w14:paraId="5BABA7C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279.62</w:t>
            </w:r>
          </w:p>
        </w:tc>
        <w:tc>
          <w:tcPr>
            <w:tcW w:w="1134" w:type="dxa"/>
            <w:tcBorders>
              <w:top w:val="nil"/>
              <w:left w:val="nil"/>
              <w:bottom w:val="single" w:sz="4" w:space="0" w:color="auto"/>
              <w:right w:val="single" w:sz="4" w:space="0" w:color="auto"/>
            </w:tcBorders>
            <w:vAlign w:val="center"/>
            <w:hideMark/>
          </w:tcPr>
          <w:p w14:paraId="6351776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476.59</w:t>
            </w:r>
          </w:p>
        </w:tc>
      </w:tr>
      <w:tr w:rsidR="00F6454C" w:rsidRPr="00AA0ADC" w14:paraId="3D6339B8"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0BC51F3"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03A0BB5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-4678.98</w:t>
            </w:r>
          </w:p>
        </w:tc>
        <w:tc>
          <w:tcPr>
            <w:tcW w:w="976" w:type="dxa"/>
            <w:tcBorders>
              <w:top w:val="nil"/>
              <w:left w:val="nil"/>
              <w:bottom w:val="single" w:sz="4" w:space="0" w:color="auto"/>
              <w:right w:val="single" w:sz="4" w:space="0" w:color="auto"/>
            </w:tcBorders>
            <w:vAlign w:val="center"/>
            <w:hideMark/>
          </w:tcPr>
          <w:p w14:paraId="483E8C0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6260.75</w:t>
            </w:r>
          </w:p>
        </w:tc>
        <w:tc>
          <w:tcPr>
            <w:tcW w:w="1027" w:type="dxa"/>
            <w:tcBorders>
              <w:top w:val="nil"/>
              <w:left w:val="nil"/>
              <w:bottom w:val="single" w:sz="4" w:space="0" w:color="auto"/>
              <w:right w:val="single" w:sz="4" w:space="0" w:color="auto"/>
            </w:tcBorders>
            <w:vAlign w:val="center"/>
            <w:hideMark/>
          </w:tcPr>
          <w:p w14:paraId="228FE46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1581.77</w:t>
            </w:r>
          </w:p>
        </w:tc>
        <w:tc>
          <w:tcPr>
            <w:tcW w:w="1136" w:type="dxa"/>
            <w:tcBorders>
              <w:top w:val="nil"/>
              <w:left w:val="nil"/>
              <w:bottom w:val="single" w:sz="4" w:space="0" w:color="auto"/>
              <w:right w:val="single" w:sz="4" w:space="0" w:color="auto"/>
            </w:tcBorders>
            <w:vAlign w:val="center"/>
            <w:hideMark/>
          </w:tcPr>
          <w:p w14:paraId="053B26A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3264</w:t>
            </w:r>
          </w:p>
        </w:tc>
        <w:tc>
          <w:tcPr>
            <w:tcW w:w="1016" w:type="dxa"/>
            <w:tcBorders>
              <w:top w:val="nil"/>
              <w:left w:val="nil"/>
              <w:bottom w:val="single" w:sz="4" w:space="0" w:color="auto"/>
              <w:right w:val="single" w:sz="4" w:space="0" w:color="auto"/>
            </w:tcBorders>
            <w:vAlign w:val="center"/>
            <w:hideMark/>
          </w:tcPr>
          <w:p w14:paraId="4946B49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634</w:t>
            </w:r>
          </w:p>
        </w:tc>
        <w:tc>
          <w:tcPr>
            <w:tcW w:w="1338" w:type="dxa"/>
            <w:tcBorders>
              <w:top w:val="nil"/>
              <w:left w:val="nil"/>
              <w:bottom w:val="single" w:sz="4" w:space="0" w:color="auto"/>
              <w:right w:val="single" w:sz="4" w:space="0" w:color="auto"/>
            </w:tcBorders>
            <w:vAlign w:val="center"/>
            <w:hideMark/>
          </w:tcPr>
          <w:p w14:paraId="388A586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-1048.23</w:t>
            </w:r>
          </w:p>
        </w:tc>
        <w:tc>
          <w:tcPr>
            <w:tcW w:w="993" w:type="dxa"/>
            <w:tcBorders>
              <w:top w:val="nil"/>
              <w:left w:val="nil"/>
              <w:bottom w:val="single" w:sz="4" w:space="0" w:color="auto"/>
              <w:right w:val="single" w:sz="4" w:space="0" w:color="auto"/>
            </w:tcBorders>
            <w:vAlign w:val="center"/>
            <w:hideMark/>
          </w:tcPr>
          <w:p w14:paraId="2E6F0C1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998.65</w:t>
            </w:r>
          </w:p>
        </w:tc>
        <w:tc>
          <w:tcPr>
            <w:tcW w:w="1134" w:type="dxa"/>
            <w:tcBorders>
              <w:top w:val="nil"/>
              <w:left w:val="nil"/>
              <w:bottom w:val="single" w:sz="4" w:space="0" w:color="auto"/>
              <w:right w:val="single" w:sz="4" w:space="0" w:color="auto"/>
            </w:tcBorders>
            <w:vAlign w:val="center"/>
            <w:hideMark/>
          </w:tcPr>
          <w:p w14:paraId="752F948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-49.58</w:t>
            </w:r>
          </w:p>
        </w:tc>
      </w:tr>
      <w:tr w:rsidR="00AA0ADC" w:rsidRPr="00AA0ADC" w14:paraId="15D30284" w14:textId="77777777" w:rsidTr="00AA0ADC">
        <w:trPr>
          <w:trHeight w:val="20"/>
          <w:jc w:val="center"/>
        </w:trPr>
        <w:tc>
          <w:tcPr>
            <w:tcW w:w="9493" w:type="dxa"/>
            <w:gridSpan w:val="9"/>
            <w:tcBorders>
              <w:top w:val="nil"/>
              <w:left w:val="single" w:sz="4" w:space="0" w:color="auto"/>
              <w:bottom w:val="single" w:sz="4" w:space="0" w:color="auto"/>
              <w:right w:val="single" w:sz="4" w:space="0" w:color="auto"/>
            </w:tcBorders>
            <w:noWrap/>
            <w:vAlign w:val="center"/>
            <w:hideMark/>
          </w:tcPr>
          <w:p w14:paraId="7600C002" w14:textId="1CA7CEF1" w:rsidR="00AA0ADC" w:rsidRPr="00AA0ADC" w:rsidRDefault="00AA0ADC" w:rsidP="00F6454C">
            <w:pPr>
              <w:spacing w:after="0" w:line="240" w:lineRule="auto"/>
              <w:rPr>
                <w:rFonts w:ascii="Times New Roman" w:eastAsia="Times New Roman" w:hAnsi="Times New Roman" w:cs="Times New Roman"/>
                <w:b/>
                <w:bCs/>
                <w:color w:val="000000"/>
                <w:kern w:val="0"/>
                <w:sz w:val="18"/>
                <w:szCs w:val="18"/>
                <w:lang w:eastAsia="en-IN" w:bidi="ar-SA"/>
                <w14:ligatures w14:val="none"/>
              </w:rPr>
            </w:pPr>
            <w:r w:rsidRPr="00AA0ADC">
              <w:rPr>
                <w:rFonts w:ascii="Times New Roman" w:eastAsia="Times New Roman" w:hAnsi="Times New Roman" w:cs="Times New Roman"/>
                <w:b/>
                <w:bCs/>
                <w:color w:val="000000"/>
                <w:kern w:val="0"/>
                <w:sz w:val="18"/>
                <w:szCs w:val="18"/>
                <w:lang w:eastAsia="en-IN" w:bidi="ar-SA"/>
                <w14:ligatures w14:val="none"/>
              </w:rPr>
              <w:t>STATE: ASSAM</w:t>
            </w:r>
          </w:p>
        </w:tc>
      </w:tr>
      <w:tr w:rsidR="00F6454C" w:rsidRPr="00AA0ADC" w14:paraId="3280CF02"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B144A1C"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1990-91</w:t>
            </w:r>
          </w:p>
        </w:tc>
        <w:tc>
          <w:tcPr>
            <w:tcW w:w="1027" w:type="dxa"/>
            <w:tcBorders>
              <w:top w:val="nil"/>
              <w:left w:val="nil"/>
              <w:bottom w:val="single" w:sz="4" w:space="0" w:color="auto"/>
              <w:right w:val="single" w:sz="4" w:space="0" w:color="auto"/>
            </w:tcBorders>
            <w:vAlign w:val="center"/>
            <w:hideMark/>
          </w:tcPr>
          <w:p w14:paraId="346BEAF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-634.73</w:t>
            </w:r>
          </w:p>
        </w:tc>
        <w:tc>
          <w:tcPr>
            <w:tcW w:w="976" w:type="dxa"/>
            <w:tcBorders>
              <w:top w:val="nil"/>
              <w:left w:val="nil"/>
              <w:bottom w:val="single" w:sz="4" w:space="0" w:color="auto"/>
              <w:right w:val="single" w:sz="4" w:space="0" w:color="auto"/>
            </w:tcBorders>
            <w:vAlign w:val="center"/>
            <w:hideMark/>
          </w:tcPr>
          <w:p w14:paraId="2B20E01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471.5</w:t>
            </w:r>
          </w:p>
        </w:tc>
        <w:tc>
          <w:tcPr>
            <w:tcW w:w="1027" w:type="dxa"/>
            <w:tcBorders>
              <w:top w:val="nil"/>
              <w:left w:val="nil"/>
              <w:bottom w:val="single" w:sz="4" w:space="0" w:color="auto"/>
              <w:right w:val="single" w:sz="4" w:space="0" w:color="auto"/>
            </w:tcBorders>
            <w:vAlign w:val="center"/>
            <w:hideMark/>
          </w:tcPr>
          <w:p w14:paraId="2740AEB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-163.23</w:t>
            </w:r>
          </w:p>
        </w:tc>
        <w:tc>
          <w:tcPr>
            <w:tcW w:w="1136" w:type="dxa"/>
            <w:tcBorders>
              <w:top w:val="nil"/>
              <w:left w:val="nil"/>
              <w:bottom w:val="single" w:sz="4" w:space="0" w:color="auto"/>
              <w:right w:val="single" w:sz="4" w:space="0" w:color="auto"/>
            </w:tcBorders>
            <w:vAlign w:val="center"/>
            <w:hideMark/>
          </w:tcPr>
          <w:p w14:paraId="777B615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327.05</w:t>
            </w:r>
          </w:p>
        </w:tc>
        <w:tc>
          <w:tcPr>
            <w:tcW w:w="1016" w:type="dxa"/>
            <w:tcBorders>
              <w:top w:val="nil"/>
              <w:left w:val="nil"/>
              <w:bottom w:val="single" w:sz="4" w:space="0" w:color="auto"/>
              <w:right w:val="single" w:sz="4" w:space="0" w:color="auto"/>
            </w:tcBorders>
            <w:vAlign w:val="center"/>
            <w:hideMark/>
          </w:tcPr>
          <w:p w14:paraId="5352560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205.23</w:t>
            </w:r>
          </w:p>
        </w:tc>
        <w:tc>
          <w:tcPr>
            <w:tcW w:w="1338" w:type="dxa"/>
            <w:tcBorders>
              <w:top w:val="nil"/>
              <w:left w:val="nil"/>
              <w:bottom w:val="single" w:sz="4" w:space="0" w:color="auto"/>
              <w:right w:val="single" w:sz="4" w:space="0" w:color="auto"/>
            </w:tcBorders>
            <w:vAlign w:val="center"/>
            <w:hideMark/>
          </w:tcPr>
          <w:p w14:paraId="18BACAC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-285.05</w:t>
            </w:r>
          </w:p>
        </w:tc>
        <w:tc>
          <w:tcPr>
            <w:tcW w:w="993" w:type="dxa"/>
            <w:tcBorders>
              <w:top w:val="nil"/>
              <w:left w:val="nil"/>
              <w:bottom w:val="single" w:sz="4" w:space="0" w:color="auto"/>
              <w:right w:val="single" w:sz="4" w:space="0" w:color="auto"/>
            </w:tcBorders>
            <w:vAlign w:val="center"/>
            <w:hideMark/>
          </w:tcPr>
          <w:p w14:paraId="5101AFF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205.61</w:t>
            </w:r>
          </w:p>
        </w:tc>
        <w:tc>
          <w:tcPr>
            <w:tcW w:w="1134" w:type="dxa"/>
            <w:tcBorders>
              <w:top w:val="nil"/>
              <w:left w:val="nil"/>
              <w:bottom w:val="single" w:sz="4" w:space="0" w:color="auto"/>
              <w:right w:val="single" w:sz="4" w:space="0" w:color="auto"/>
            </w:tcBorders>
            <w:vAlign w:val="center"/>
            <w:hideMark/>
          </w:tcPr>
          <w:p w14:paraId="48C7C29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-79.44</w:t>
            </w:r>
          </w:p>
        </w:tc>
      </w:tr>
      <w:tr w:rsidR="00F6454C" w:rsidRPr="00AA0ADC" w14:paraId="7D98BBC0"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12924364"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1991-92</w:t>
            </w:r>
          </w:p>
        </w:tc>
        <w:tc>
          <w:tcPr>
            <w:tcW w:w="1027" w:type="dxa"/>
            <w:tcBorders>
              <w:top w:val="nil"/>
              <w:left w:val="nil"/>
              <w:bottom w:val="single" w:sz="4" w:space="0" w:color="auto"/>
              <w:right w:val="single" w:sz="4" w:space="0" w:color="auto"/>
            </w:tcBorders>
            <w:vAlign w:val="center"/>
            <w:hideMark/>
          </w:tcPr>
          <w:p w14:paraId="103007A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-655.34</w:t>
            </w:r>
          </w:p>
        </w:tc>
        <w:tc>
          <w:tcPr>
            <w:tcW w:w="976" w:type="dxa"/>
            <w:tcBorders>
              <w:top w:val="nil"/>
              <w:left w:val="nil"/>
              <w:bottom w:val="single" w:sz="4" w:space="0" w:color="auto"/>
              <w:right w:val="single" w:sz="4" w:space="0" w:color="auto"/>
            </w:tcBorders>
            <w:vAlign w:val="center"/>
            <w:hideMark/>
          </w:tcPr>
          <w:p w14:paraId="1DA17D1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525.89</w:t>
            </w:r>
          </w:p>
        </w:tc>
        <w:tc>
          <w:tcPr>
            <w:tcW w:w="1027" w:type="dxa"/>
            <w:tcBorders>
              <w:top w:val="nil"/>
              <w:left w:val="nil"/>
              <w:bottom w:val="single" w:sz="4" w:space="0" w:color="auto"/>
              <w:right w:val="single" w:sz="4" w:space="0" w:color="auto"/>
            </w:tcBorders>
            <w:vAlign w:val="center"/>
            <w:hideMark/>
          </w:tcPr>
          <w:p w14:paraId="5748876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-129.45</w:t>
            </w:r>
          </w:p>
        </w:tc>
        <w:tc>
          <w:tcPr>
            <w:tcW w:w="1136" w:type="dxa"/>
            <w:tcBorders>
              <w:top w:val="nil"/>
              <w:left w:val="nil"/>
              <w:bottom w:val="single" w:sz="4" w:space="0" w:color="auto"/>
              <w:right w:val="single" w:sz="4" w:space="0" w:color="auto"/>
            </w:tcBorders>
            <w:vAlign w:val="center"/>
            <w:hideMark/>
          </w:tcPr>
          <w:p w14:paraId="147FBFD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349.94</w:t>
            </w:r>
          </w:p>
        </w:tc>
        <w:tc>
          <w:tcPr>
            <w:tcW w:w="1016" w:type="dxa"/>
            <w:tcBorders>
              <w:top w:val="nil"/>
              <w:left w:val="nil"/>
              <w:bottom w:val="single" w:sz="4" w:space="0" w:color="auto"/>
              <w:right w:val="single" w:sz="4" w:space="0" w:color="auto"/>
            </w:tcBorders>
            <w:vAlign w:val="center"/>
            <w:hideMark/>
          </w:tcPr>
          <w:p w14:paraId="03EFFFF1"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225.75</w:t>
            </w:r>
          </w:p>
        </w:tc>
        <w:tc>
          <w:tcPr>
            <w:tcW w:w="1338" w:type="dxa"/>
            <w:tcBorders>
              <w:top w:val="nil"/>
              <w:left w:val="nil"/>
              <w:bottom w:val="single" w:sz="4" w:space="0" w:color="auto"/>
              <w:right w:val="single" w:sz="4" w:space="0" w:color="auto"/>
            </w:tcBorders>
            <w:vAlign w:val="center"/>
            <w:hideMark/>
          </w:tcPr>
          <w:p w14:paraId="293A69B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-253.64</w:t>
            </w:r>
          </w:p>
        </w:tc>
        <w:tc>
          <w:tcPr>
            <w:tcW w:w="993" w:type="dxa"/>
            <w:tcBorders>
              <w:top w:val="nil"/>
              <w:left w:val="nil"/>
              <w:bottom w:val="single" w:sz="4" w:space="0" w:color="auto"/>
              <w:right w:val="single" w:sz="4" w:space="0" w:color="auto"/>
            </w:tcBorders>
            <w:vAlign w:val="center"/>
            <w:hideMark/>
          </w:tcPr>
          <w:p w14:paraId="40F55410"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179.68</w:t>
            </w:r>
          </w:p>
        </w:tc>
        <w:tc>
          <w:tcPr>
            <w:tcW w:w="1134" w:type="dxa"/>
            <w:tcBorders>
              <w:top w:val="nil"/>
              <w:left w:val="nil"/>
              <w:bottom w:val="single" w:sz="4" w:space="0" w:color="auto"/>
              <w:right w:val="single" w:sz="4" w:space="0" w:color="auto"/>
            </w:tcBorders>
            <w:vAlign w:val="center"/>
            <w:hideMark/>
          </w:tcPr>
          <w:p w14:paraId="1EA6BC7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-73.96</w:t>
            </w:r>
          </w:p>
        </w:tc>
      </w:tr>
      <w:tr w:rsidR="00F6454C" w:rsidRPr="00AA0ADC" w14:paraId="3B4476D4"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767C07D"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1992-93</w:t>
            </w:r>
          </w:p>
        </w:tc>
        <w:tc>
          <w:tcPr>
            <w:tcW w:w="1027" w:type="dxa"/>
            <w:tcBorders>
              <w:top w:val="nil"/>
              <w:left w:val="nil"/>
              <w:bottom w:val="single" w:sz="4" w:space="0" w:color="auto"/>
              <w:right w:val="single" w:sz="4" w:space="0" w:color="auto"/>
            </w:tcBorders>
            <w:vAlign w:val="center"/>
            <w:hideMark/>
          </w:tcPr>
          <w:p w14:paraId="1250727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-698.44</w:t>
            </w:r>
          </w:p>
        </w:tc>
        <w:tc>
          <w:tcPr>
            <w:tcW w:w="976" w:type="dxa"/>
            <w:tcBorders>
              <w:top w:val="nil"/>
              <w:left w:val="nil"/>
              <w:bottom w:val="single" w:sz="4" w:space="0" w:color="auto"/>
              <w:right w:val="single" w:sz="4" w:space="0" w:color="auto"/>
            </w:tcBorders>
            <w:vAlign w:val="center"/>
            <w:hideMark/>
          </w:tcPr>
          <w:p w14:paraId="3344577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586.78</w:t>
            </w:r>
          </w:p>
        </w:tc>
        <w:tc>
          <w:tcPr>
            <w:tcW w:w="1027" w:type="dxa"/>
            <w:tcBorders>
              <w:top w:val="nil"/>
              <w:left w:val="nil"/>
              <w:bottom w:val="single" w:sz="4" w:space="0" w:color="auto"/>
              <w:right w:val="single" w:sz="4" w:space="0" w:color="auto"/>
            </w:tcBorders>
            <w:vAlign w:val="center"/>
            <w:hideMark/>
          </w:tcPr>
          <w:p w14:paraId="5FDD0D7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-111.66</w:t>
            </w:r>
          </w:p>
        </w:tc>
        <w:tc>
          <w:tcPr>
            <w:tcW w:w="1136" w:type="dxa"/>
            <w:tcBorders>
              <w:top w:val="nil"/>
              <w:left w:val="nil"/>
              <w:bottom w:val="single" w:sz="4" w:space="0" w:color="auto"/>
              <w:right w:val="single" w:sz="4" w:space="0" w:color="auto"/>
            </w:tcBorders>
            <w:vAlign w:val="center"/>
            <w:hideMark/>
          </w:tcPr>
          <w:p w14:paraId="3E5B14EE"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374.43</w:t>
            </w:r>
          </w:p>
        </w:tc>
        <w:tc>
          <w:tcPr>
            <w:tcW w:w="1016" w:type="dxa"/>
            <w:tcBorders>
              <w:top w:val="nil"/>
              <w:left w:val="nil"/>
              <w:bottom w:val="single" w:sz="4" w:space="0" w:color="auto"/>
              <w:right w:val="single" w:sz="4" w:space="0" w:color="auto"/>
            </w:tcBorders>
            <w:vAlign w:val="center"/>
            <w:hideMark/>
          </w:tcPr>
          <w:p w14:paraId="473EC1DB"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248.32</w:t>
            </w:r>
          </w:p>
        </w:tc>
        <w:tc>
          <w:tcPr>
            <w:tcW w:w="1338" w:type="dxa"/>
            <w:tcBorders>
              <w:top w:val="nil"/>
              <w:left w:val="nil"/>
              <w:bottom w:val="single" w:sz="4" w:space="0" w:color="auto"/>
              <w:right w:val="single" w:sz="4" w:space="0" w:color="auto"/>
            </w:tcBorders>
            <w:vAlign w:val="center"/>
            <w:hideMark/>
          </w:tcPr>
          <w:p w14:paraId="4D9FCEC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-237.77</w:t>
            </w:r>
          </w:p>
        </w:tc>
        <w:tc>
          <w:tcPr>
            <w:tcW w:w="993" w:type="dxa"/>
            <w:tcBorders>
              <w:top w:val="nil"/>
              <w:left w:val="nil"/>
              <w:bottom w:val="single" w:sz="4" w:space="0" w:color="auto"/>
              <w:right w:val="single" w:sz="4" w:space="0" w:color="auto"/>
            </w:tcBorders>
            <w:vAlign w:val="center"/>
            <w:hideMark/>
          </w:tcPr>
          <w:p w14:paraId="06CC17B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172.87</w:t>
            </w:r>
          </w:p>
        </w:tc>
        <w:tc>
          <w:tcPr>
            <w:tcW w:w="1134" w:type="dxa"/>
            <w:tcBorders>
              <w:top w:val="nil"/>
              <w:left w:val="nil"/>
              <w:bottom w:val="single" w:sz="4" w:space="0" w:color="auto"/>
              <w:right w:val="single" w:sz="4" w:space="0" w:color="auto"/>
            </w:tcBorders>
            <w:vAlign w:val="center"/>
            <w:hideMark/>
          </w:tcPr>
          <w:p w14:paraId="5EB75BA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-64.9</w:t>
            </w:r>
          </w:p>
        </w:tc>
      </w:tr>
      <w:tr w:rsidR="00F6454C" w:rsidRPr="00AA0ADC" w14:paraId="33D3AA08"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4C8F7656"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1993-94</w:t>
            </w:r>
          </w:p>
        </w:tc>
        <w:tc>
          <w:tcPr>
            <w:tcW w:w="1027" w:type="dxa"/>
            <w:tcBorders>
              <w:top w:val="nil"/>
              <w:left w:val="nil"/>
              <w:bottom w:val="single" w:sz="4" w:space="0" w:color="auto"/>
              <w:right w:val="single" w:sz="4" w:space="0" w:color="auto"/>
            </w:tcBorders>
            <w:vAlign w:val="center"/>
            <w:hideMark/>
          </w:tcPr>
          <w:p w14:paraId="36BB9A7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-743.96</w:t>
            </w:r>
          </w:p>
        </w:tc>
        <w:tc>
          <w:tcPr>
            <w:tcW w:w="976" w:type="dxa"/>
            <w:tcBorders>
              <w:top w:val="nil"/>
              <w:left w:val="nil"/>
              <w:bottom w:val="single" w:sz="4" w:space="0" w:color="auto"/>
              <w:right w:val="single" w:sz="4" w:space="0" w:color="auto"/>
            </w:tcBorders>
            <w:vAlign w:val="center"/>
            <w:hideMark/>
          </w:tcPr>
          <w:p w14:paraId="56224756"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654.74</w:t>
            </w:r>
          </w:p>
        </w:tc>
        <w:tc>
          <w:tcPr>
            <w:tcW w:w="1027" w:type="dxa"/>
            <w:tcBorders>
              <w:top w:val="nil"/>
              <w:left w:val="nil"/>
              <w:bottom w:val="single" w:sz="4" w:space="0" w:color="auto"/>
              <w:right w:val="single" w:sz="4" w:space="0" w:color="auto"/>
            </w:tcBorders>
            <w:vAlign w:val="center"/>
            <w:hideMark/>
          </w:tcPr>
          <w:p w14:paraId="7C17823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-89.22</w:t>
            </w:r>
          </w:p>
        </w:tc>
        <w:tc>
          <w:tcPr>
            <w:tcW w:w="1136" w:type="dxa"/>
            <w:tcBorders>
              <w:top w:val="nil"/>
              <w:left w:val="nil"/>
              <w:bottom w:val="single" w:sz="4" w:space="0" w:color="auto"/>
              <w:right w:val="single" w:sz="4" w:space="0" w:color="auto"/>
            </w:tcBorders>
            <w:vAlign w:val="center"/>
            <w:hideMark/>
          </w:tcPr>
          <w:p w14:paraId="2CEC2964"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400.64</w:t>
            </w:r>
          </w:p>
        </w:tc>
        <w:tc>
          <w:tcPr>
            <w:tcW w:w="1016" w:type="dxa"/>
            <w:tcBorders>
              <w:top w:val="nil"/>
              <w:left w:val="nil"/>
              <w:bottom w:val="single" w:sz="4" w:space="0" w:color="auto"/>
              <w:right w:val="single" w:sz="4" w:space="0" w:color="auto"/>
            </w:tcBorders>
            <w:vAlign w:val="center"/>
            <w:hideMark/>
          </w:tcPr>
          <w:p w14:paraId="7AFCA2E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273.16</w:t>
            </w:r>
          </w:p>
        </w:tc>
        <w:tc>
          <w:tcPr>
            <w:tcW w:w="1338" w:type="dxa"/>
            <w:tcBorders>
              <w:top w:val="nil"/>
              <w:left w:val="nil"/>
              <w:bottom w:val="single" w:sz="4" w:space="0" w:color="auto"/>
              <w:right w:val="single" w:sz="4" w:space="0" w:color="auto"/>
            </w:tcBorders>
            <w:vAlign w:val="center"/>
            <w:hideMark/>
          </w:tcPr>
          <w:p w14:paraId="4901DC3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-216.7</w:t>
            </w:r>
          </w:p>
        </w:tc>
        <w:tc>
          <w:tcPr>
            <w:tcW w:w="993" w:type="dxa"/>
            <w:tcBorders>
              <w:top w:val="nil"/>
              <w:left w:val="nil"/>
              <w:bottom w:val="single" w:sz="4" w:space="0" w:color="auto"/>
              <w:right w:val="single" w:sz="4" w:space="0" w:color="auto"/>
            </w:tcBorders>
            <w:vAlign w:val="center"/>
            <w:hideMark/>
          </w:tcPr>
          <w:p w14:paraId="67693C3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161.42</w:t>
            </w:r>
          </w:p>
        </w:tc>
        <w:tc>
          <w:tcPr>
            <w:tcW w:w="1134" w:type="dxa"/>
            <w:tcBorders>
              <w:top w:val="nil"/>
              <w:left w:val="nil"/>
              <w:bottom w:val="single" w:sz="4" w:space="0" w:color="auto"/>
              <w:right w:val="single" w:sz="4" w:space="0" w:color="auto"/>
            </w:tcBorders>
            <w:vAlign w:val="center"/>
            <w:hideMark/>
          </w:tcPr>
          <w:p w14:paraId="4B37B97C"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-55.28</w:t>
            </w:r>
          </w:p>
        </w:tc>
      </w:tr>
      <w:tr w:rsidR="00F6454C" w:rsidRPr="00AA0ADC" w14:paraId="778FE8EC"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5A2EC288"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1994-95</w:t>
            </w:r>
          </w:p>
        </w:tc>
        <w:tc>
          <w:tcPr>
            <w:tcW w:w="1027" w:type="dxa"/>
            <w:tcBorders>
              <w:top w:val="nil"/>
              <w:left w:val="nil"/>
              <w:bottom w:val="single" w:sz="4" w:space="0" w:color="auto"/>
              <w:right w:val="single" w:sz="4" w:space="0" w:color="auto"/>
            </w:tcBorders>
            <w:vAlign w:val="center"/>
            <w:hideMark/>
          </w:tcPr>
          <w:p w14:paraId="4EE9BC2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-797.42</w:t>
            </w:r>
          </w:p>
        </w:tc>
        <w:tc>
          <w:tcPr>
            <w:tcW w:w="976" w:type="dxa"/>
            <w:tcBorders>
              <w:top w:val="nil"/>
              <w:left w:val="nil"/>
              <w:bottom w:val="single" w:sz="4" w:space="0" w:color="auto"/>
              <w:right w:val="single" w:sz="4" w:space="0" w:color="auto"/>
            </w:tcBorders>
            <w:vAlign w:val="center"/>
            <w:hideMark/>
          </w:tcPr>
          <w:p w14:paraId="77E377A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730.66</w:t>
            </w:r>
          </w:p>
        </w:tc>
        <w:tc>
          <w:tcPr>
            <w:tcW w:w="1027" w:type="dxa"/>
            <w:tcBorders>
              <w:top w:val="nil"/>
              <w:left w:val="nil"/>
              <w:bottom w:val="single" w:sz="4" w:space="0" w:color="auto"/>
              <w:right w:val="single" w:sz="4" w:space="0" w:color="auto"/>
            </w:tcBorders>
            <w:vAlign w:val="center"/>
            <w:hideMark/>
          </w:tcPr>
          <w:p w14:paraId="6C726C4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-66.76</w:t>
            </w:r>
          </w:p>
        </w:tc>
        <w:tc>
          <w:tcPr>
            <w:tcW w:w="1136" w:type="dxa"/>
            <w:tcBorders>
              <w:top w:val="nil"/>
              <w:left w:val="nil"/>
              <w:bottom w:val="single" w:sz="4" w:space="0" w:color="auto"/>
              <w:right w:val="single" w:sz="4" w:space="0" w:color="auto"/>
            </w:tcBorders>
            <w:vAlign w:val="center"/>
            <w:hideMark/>
          </w:tcPr>
          <w:p w14:paraId="7CB0D08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428.69</w:t>
            </w:r>
          </w:p>
        </w:tc>
        <w:tc>
          <w:tcPr>
            <w:tcW w:w="1016" w:type="dxa"/>
            <w:tcBorders>
              <w:top w:val="nil"/>
              <w:left w:val="nil"/>
              <w:bottom w:val="single" w:sz="4" w:space="0" w:color="auto"/>
              <w:right w:val="single" w:sz="4" w:space="0" w:color="auto"/>
            </w:tcBorders>
            <w:vAlign w:val="center"/>
            <w:hideMark/>
          </w:tcPr>
          <w:p w14:paraId="263DE60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300.47</w:t>
            </w:r>
          </w:p>
        </w:tc>
        <w:tc>
          <w:tcPr>
            <w:tcW w:w="1338" w:type="dxa"/>
            <w:tcBorders>
              <w:top w:val="nil"/>
              <w:left w:val="nil"/>
              <w:bottom w:val="single" w:sz="4" w:space="0" w:color="auto"/>
              <w:right w:val="single" w:sz="4" w:space="0" w:color="auto"/>
            </w:tcBorders>
            <w:vAlign w:val="center"/>
            <w:hideMark/>
          </w:tcPr>
          <w:p w14:paraId="2FAE598F"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-194.98</w:t>
            </w:r>
          </w:p>
        </w:tc>
        <w:tc>
          <w:tcPr>
            <w:tcW w:w="993" w:type="dxa"/>
            <w:tcBorders>
              <w:top w:val="nil"/>
              <w:left w:val="nil"/>
              <w:bottom w:val="single" w:sz="4" w:space="0" w:color="auto"/>
              <w:right w:val="single" w:sz="4" w:space="0" w:color="auto"/>
            </w:tcBorders>
            <w:vAlign w:val="center"/>
            <w:hideMark/>
          </w:tcPr>
          <w:p w14:paraId="4EAE9392"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154.65</w:t>
            </w:r>
          </w:p>
        </w:tc>
        <w:tc>
          <w:tcPr>
            <w:tcW w:w="1134" w:type="dxa"/>
            <w:tcBorders>
              <w:top w:val="nil"/>
              <w:left w:val="nil"/>
              <w:bottom w:val="single" w:sz="4" w:space="0" w:color="auto"/>
              <w:right w:val="single" w:sz="4" w:space="0" w:color="auto"/>
            </w:tcBorders>
            <w:vAlign w:val="center"/>
            <w:hideMark/>
          </w:tcPr>
          <w:p w14:paraId="1A6032F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-40.33</w:t>
            </w:r>
          </w:p>
        </w:tc>
      </w:tr>
      <w:tr w:rsidR="00F6454C" w:rsidRPr="00AA0ADC" w14:paraId="6B6CCBA7" w14:textId="77777777" w:rsidTr="00AA0ADC">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66E7929A" w14:textId="77777777" w:rsidR="00F6454C" w:rsidRPr="00AA0ADC" w:rsidRDefault="00F6454C" w:rsidP="00F645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1995-96</w:t>
            </w:r>
          </w:p>
        </w:tc>
        <w:tc>
          <w:tcPr>
            <w:tcW w:w="1027" w:type="dxa"/>
            <w:tcBorders>
              <w:top w:val="nil"/>
              <w:left w:val="nil"/>
              <w:bottom w:val="single" w:sz="4" w:space="0" w:color="auto"/>
              <w:right w:val="single" w:sz="4" w:space="0" w:color="auto"/>
            </w:tcBorders>
            <w:vAlign w:val="center"/>
            <w:hideMark/>
          </w:tcPr>
          <w:p w14:paraId="5CF01B4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-3529.89</w:t>
            </w:r>
          </w:p>
        </w:tc>
        <w:tc>
          <w:tcPr>
            <w:tcW w:w="976" w:type="dxa"/>
            <w:tcBorders>
              <w:top w:val="nil"/>
              <w:left w:val="nil"/>
              <w:bottom w:val="single" w:sz="4" w:space="0" w:color="auto"/>
              <w:right w:val="single" w:sz="4" w:space="0" w:color="auto"/>
            </w:tcBorders>
            <w:vAlign w:val="center"/>
            <w:hideMark/>
          </w:tcPr>
          <w:p w14:paraId="02542E65"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2969.57</w:t>
            </w:r>
          </w:p>
        </w:tc>
        <w:tc>
          <w:tcPr>
            <w:tcW w:w="1027" w:type="dxa"/>
            <w:tcBorders>
              <w:top w:val="nil"/>
              <w:left w:val="nil"/>
              <w:bottom w:val="single" w:sz="4" w:space="0" w:color="auto"/>
              <w:right w:val="single" w:sz="4" w:space="0" w:color="auto"/>
            </w:tcBorders>
            <w:vAlign w:val="center"/>
            <w:hideMark/>
          </w:tcPr>
          <w:p w14:paraId="72848EDD"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-560.32</w:t>
            </w:r>
          </w:p>
        </w:tc>
        <w:tc>
          <w:tcPr>
            <w:tcW w:w="1136" w:type="dxa"/>
            <w:tcBorders>
              <w:top w:val="nil"/>
              <w:left w:val="nil"/>
              <w:bottom w:val="single" w:sz="4" w:space="0" w:color="auto"/>
              <w:right w:val="single" w:sz="4" w:space="0" w:color="auto"/>
            </w:tcBorders>
            <w:vAlign w:val="center"/>
            <w:hideMark/>
          </w:tcPr>
          <w:p w14:paraId="62699AA3"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1880.75</w:t>
            </w:r>
          </w:p>
        </w:tc>
        <w:tc>
          <w:tcPr>
            <w:tcW w:w="1016" w:type="dxa"/>
            <w:tcBorders>
              <w:top w:val="nil"/>
              <w:left w:val="nil"/>
              <w:bottom w:val="single" w:sz="4" w:space="0" w:color="auto"/>
              <w:right w:val="single" w:sz="4" w:space="0" w:color="auto"/>
            </w:tcBorders>
            <w:vAlign w:val="center"/>
            <w:hideMark/>
          </w:tcPr>
          <w:p w14:paraId="085E54C8"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1252.93</w:t>
            </w:r>
          </w:p>
        </w:tc>
        <w:tc>
          <w:tcPr>
            <w:tcW w:w="1338" w:type="dxa"/>
            <w:tcBorders>
              <w:top w:val="nil"/>
              <w:left w:val="nil"/>
              <w:bottom w:val="single" w:sz="4" w:space="0" w:color="auto"/>
              <w:right w:val="single" w:sz="4" w:space="0" w:color="auto"/>
            </w:tcBorders>
            <w:vAlign w:val="center"/>
            <w:hideMark/>
          </w:tcPr>
          <w:p w14:paraId="25E72FE9"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-1188.14</w:t>
            </w:r>
          </w:p>
        </w:tc>
        <w:tc>
          <w:tcPr>
            <w:tcW w:w="993" w:type="dxa"/>
            <w:tcBorders>
              <w:top w:val="nil"/>
              <w:left w:val="nil"/>
              <w:bottom w:val="single" w:sz="4" w:space="0" w:color="auto"/>
              <w:right w:val="single" w:sz="4" w:space="0" w:color="auto"/>
            </w:tcBorders>
            <w:vAlign w:val="center"/>
            <w:hideMark/>
          </w:tcPr>
          <w:p w14:paraId="3125BA6A"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874.23</w:t>
            </w:r>
          </w:p>
        </w:tc>
        <w:tc>
          <w:tcPr>
            <w:tcW w:w="1134" w:type="dxa"/>
            <w:tcBorders>
              <w:top w:val="nil"/>
              <w:left w:val="nil"/>
              <w:bottom w:val="single" w:sz="4" w:space="0" w:color="auto"/>
              <w:right w:val="single" w:sz="4" w:space="0" w:color="auto"/>
            </w:tcBorders>
            <w:vAlign w:val="center"/>
            <w:hideMark/>
          </w:tcPr>
          <w:p w14:paraId="0F6D33E7" w14:textId="77777777" w:rsidR="00F6454C" w:rsidRPr="00AA0ADC" w:rsidRDefault="00F6454C" w:rsidP="00F645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AA0ADC">
              <w:rPr>
                <w:rFonts w:ascii="Times New Roman" w:eastAsia="Times New Roman" w:hAnsi="Times New Roman" w:cs="Times New Roman"/>
                <w:color w:val="000000"/>
                <w:kern w:val="0"/>
                <w:sz w:val="18"/>
                <w:szCs w:val="18"/>
                <w:lang w:eastAsia="en-IN" w:bidi="ar-SA"/>
                <w14:ligatures w14:val="none"/>
              </w:rPr>
              <w:t>-313.91</w:t>
            </w:r>
          </w:p>
        </w:tc>
      </w:tr>
    </w:tbl>
    <w:p w14:paraId="5D3FA0CA" w14:textId="77777777" w:rsidR="00AA0ADC" w:rsidRDefault="00AA0ADC" w:rsidP="00AA0ADC">
      <w:pPr>
        <w:tabs>
          <w:tab w:val="left" w:pos="3862"/>
        </w:tabs>
        <w:spacing w:after="0"/>
        <w:rPr>
          <w:rFonts w:ascii="Times New Roman" w:hAnsi="Times New Roman" w:cs="Times New Roman"/>
        </w:rPr>
      </w:pPr>
    </w:p>
    <w:p w14:paraId="51659784" w14:textId="77777777" w:rsidR="00AA0ADC" w:rsidRDefault="00AA0ADC" w:rsidP="00AA0ADC">
      <w:pPr>
        <w:tabs>
          <w:tab w:val="left" w:pos="3862"/>
        </w:tabs>
        <w:spacing w:after="0"/>
        <w:rPr>
          <w:rFonts w:ascii="Times New Roman" w:hAnsi="Times New Roman" w:cs="Times New Roman"/>
        </w:rPr>
      </w:pPr>
    </w:p>
    <w:p w14:paraId="17BFAC51" w14:textId="5AFDB069" w:rsidR="002C06DC" w:rsidRPr="007C6818" w:rsidRDefault="007C6818" w:rsidP="00AA0ADC">
      <w:pPr>
        <w:tabs>
          <w:tab w:val="left" w:pos="3862"/>
        </w:tabs>
        <w:spacing w:after="0"/>
        <w:jc w:val="right"/>
        <w:rPr>
          <w:rFonts w:ascii="Times New Roman" w:hAnsi="Times New Roman" w:cs="Times New Roman"/>
          <w:i/>
          <w:iCs/>
          <w:sz w:val="18"/>
          <w:szCs w:val="16"/>
        </w:rPr>
      </w:pPr>
      <w:r w:rsidRPr="007C6818">
        <w:rPr>
          <w:rFonts w:ascii="Times New Roman" w:hAnsi="Times New Roman" w:cs="Times New Roman"/>
          <w:i/>
          <w:iCs/>
          <w:sz w:val="18"/>
          <w:szCs w:val="16"/>
        </w:rPr>
        <w:lastRenderedPageBreak/>
        <w:t>(Rs. Crore)</w:t>
      </w:r>
    </w:p>
    <w:tbl>
      <w:tblPr>
        <w:tblStyle w:val="TableGrid"/>
        <w:tblW w:w="9776" w:type="dxa"/>
        <w:jc w:val="center"/>
        <w:tblLook w:val="04A0" w:firstRow="1" w:lastRow="0" w:firstColumn="1" w:lastColumn="0" w:noHBand="0" w:noVBand="1"/>
      </w:tblPr>
      <w:tblGrid>
        <w:gridCol w:w="836"/>
        <w:gridCol w:w="1027"/>
        <w:gridCol w:w="1092"/>
        <w:gridCol w:w="1263"/>
        <w:gridCol w:w="1133"/>
        <w:gridCol w:w="1016"/>
        <w:gridCol w:w="1248"/>
        <w:gridCol w:w="1118"/>
        <w:gridCol w:w="1043"/>
      </w:tblGrid>
      <w:tr w:rsidR="00B302E0" w:rsidRPr="00AA0ADC" w14:paraId="631B2132" w14:textId="77777777" w:rsidTr="00B302E0">
        <w:trPr>
          <w:trHeight w:val="20"/>
          <w:jc w:val="center"/>
        </w:trPr>
        <w:tc>
          <w:tcPr>
            <w:tcW w:w="847" w:type="dxa"/>
            <w:vAlign w:val="center"/>
            <w:hideMark/>
          </w:tcPr>
          <w:p w14:paraId="2F424BB6"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Year</w:t>
            </w:r>
          </w:p>
        </w:tc>
        <w:tc>
          <w:tcPr>
            <w:tcW w:w="1027" w:type="dxa"/>
            <w:vAlign w:val="center"/>
            <w:hideMark/>
          </w:tcPr>
          <w:p w14:paraId="1D5F4602"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 xml:space="preserve">Pre-devolution surplus </w:t>
            </w:r>
            <w:proofErr w:type="gramStart"/>
            <w:r w:rsidRPr="00AA0ADC">
              <w:rPr>
                <w:rFonts w:ascii="Times New Roman" w:hAnsi="Times New Roman" w:cs="Times New Roman"/>
                <w:b/>
                <w:bCs/>
                <w:sz w:val="18"/>
                <w:szCs w:val="18"/>
              </w:rPr>
              <w:t>deficit(</w:t>
            </w:r>
            <w:proofErr w:type="gramEnd"/>
            <w:r w:rsidRPr="00AA0ADC">
              <w:rPr>
                <w:rFonts w:ascii="Times New Roman" w:hAnsi="Times New Roman" w:cs="Times New Roman"/>
                <w:b/>
                <w:bCs/>
                <w:sz w:val="18"/>
                <w:szCs w:val="18"/>
              </w:rPr>
              <w:t>-)</w:t>
            </w:r>
          </w:p>
        </w:tc>
        <w:tc>
          <w:tcPr>
            <w:tcW w:w="1098" w:type="dxa"/>
            <w:vAlign w:val="center"/>
            <w:hideMark/>
          </w:tcPr>
          <w:p w14:paraId="6B0D79BD"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Share in taxes including grant in lieu of railway passenger fare tax</w:t>
            </w:r>
          </w:p>
        </w:tc>
        <w:tc>
          <w:tcPr>
            <w:tcW w:w="1275" w:type="dxa"/>
            <w:vAlign w:val="center"/>
            <w:hideMark/>
          </w:tcPr>
          <w:p w14:paraId="7F043EA5"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Non-Plan surplus or deficit (-) after devolution of share in taxes and railway passenger fare tax grant</w:t>
            </w:r>
          </w:p>
        </w:tc>
        <w:tc>
          <w:tcPr>
            <w:tcW w:w="1133" w:type="dxa"/>
            <w:vAlign w:val="center"/>
            <w:hideMark/>
          </w:tcPr>
          <w:p w14:paraId="60E42ADD"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Plan revenue expenditure (minimum)</w:t>
            </w:r>
          </w:p>
        </w:tc>
        <w:tc>
          <w:tcPr>
            <w:tcW w:w="1016" w:type="dxa"/>
            <w:vAlign w:val="center"/>
            <w:hideMark/>
          </w:tcPr>
          <w:p w14:paraId="2C4D41EB"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Grant portion of Central Assistance</w:t>
            </w:r>
          </w:p>
        </w:tc>
        <w:tc>
          <w:tcPr>
            <w:tcW w:w="1254" w:type="dxa"/>
            <w:vAlign w:val="center"/>
            <w:hideMark/>
          </w:tcPr>
          <w:p w14:paraId="2AE6A1D9"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Revenue surplus or deficit (-) after receiving share in taxes, Central assistance and meeting revenue plan expenditure</w:t>
            </w:r>
          </w:p>
        </w:tc>
        <w:tc>
          <w:tcPr>
            <w:tcW w:w="1134" w:type="dxa"/>
            <w:vAlign w:val="center"/>
            <w:hideMark/>
          </w:tcPr>
          <w:p w14:paraId="6CDBD4A0"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Grants under Article 275(1)</w:t>
            </w:r>
          </w:p>
        </w:tc>
        <w:tc>
          <w:tcPr>
            <w:tcW w:w="992" w:type="dxa"/>
            <w:vAlign w:val="center"/>
            <w:hideMark/>
          </w:tcPr>
          <w:p w14:paraId="4878F350" w14:textId="77777777" w:rsidR="002C06DC" w:rsidRPr="00AA0ADC" w:rsidRDefault="002C06DC" w:rsidP="00F6454C">
            <w:pPr>
              <w:pStyle w:val="NoSpacing"/>
              <w:jc w:val="center"/>
              <w:rPr>
                <w:rFonts w:ascii="Times New Roman" w:hAnsi="Times New Roman" w:cs="Times New Roman"/>
                <w:b/>
                <w:bCs/>
                <w:sz w:val="18"/>
                <w:szCs w:val="18"/>
              </w:rPr>
            </w:pPr>
            <w:r w:rsidRPr="00AA0ADC">
              <w:rPr>
                <w:rFonts w:ascii="Times New Roman" w:hAnsi="Times New Roman" w:cs="Times New Roman"/>
                <w:b/>
                <w:bCs/>
                <w:sz w:val="18"/>
                <w:szCs w:val="18"/>
              </w:rPr>
              <w:t>Total revenue account surplus or deficit (-) (difference between 7 &amp; 8)</w:t>
            </w:r>
          </w:p>
        </w:tc>
      </w:tr>
      <w:tr w:rsidR="00AA0ADC" w:rsidRPr="00AA0ADC" w14:paraId="31738A55" w14:textId="77777777" w:rsidTr="00B302E0">
        <w:trPr>
          <w:trHeight w:val="20"/>
          <w:jc w:val="center"/>
        </w:trPr>
        <w:tc>
          <w:tcPr>
            <w:tcW w:w="9776" w:type="dxa"/>
            <w:gridSpan w:val="9"/>
            <w:vAlign w:val="center"/>
            <w:hideMark/>
          </w:tcPr>
          <w:p w14:paraId="7344CCD9" w14:textId="2A8B02AF" w:rsidR="00AA0ADC" w:rsidRPr="00AA0ADC" w:rsidRDefault="00AA0ADC" w:rsidP="00AA0ADC">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GOA</w:t>
            </w:r>
          </w:p>
        </w:tc>
      </w:tr>
      <w:tr w:rsidR="00B302E0" w:rsidRPr="00AA0ADC" w14:paraId="0D7D89AC" w14:textId="77777777" w:rsidTr="00B302E0">
        <w:trPr>
          <w:trHeight w:val="20"/>
          <w:jc w:val="center"/>
        </w:trPr>
        <w:tc>
          <w:tcPr>
            <w:tcW w:w="847" w:type="dxa"/>
            <w:vAlign w:val="center"/>
            <w:hideMark/>
          </w:tcPr>
          <w:p w14:paraId="388EAF21"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54E14D1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- 87.15</w:t>
            </w:r>
          </w:p>
        </w:tc>
        <w:tc>
          <w:tcPr>
            <w:tcW w:w="1098" w:type="dxa"/>
            <w:vAlign w:val="center"/>
            <w:hideMark/>
          </w:tcPr>
          <w:p w14:paraId="62567B5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53.49</w:t>
            </w:r>
          </w:p>
        </w:tc>
        <w:tc>
          <w:tcPr>
            <w:tcW w:w="1275" w:type="dxa"/>
            <w:vAlign w:val="center"/>
            <w:hideMark/>
          </w:tcPr>
          <w:p w14:paraId="2AC67D3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- 33.66</w:t>
            </w:r>
          </w:p>
        </w:tc>
        <w:tc>
          <w:tcPr>
            <w:tcW w:w="1133" w:type="dxa"/>
            <w:vAlign w:val="center"/>
            <w:hideMark/>
          </w:tcPr>
          <w:p w14:paraId="1BBF75B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32.26</w:t>
            </w:r>
          </w:p>
        </w:tc>
        <w:tc>
          <w:tcPr>
            <w:tcW w:w="1016" w:type="dxa"/>
            <w:vAlign w:val="center"/>
            <w:hideMark/>
          </w:tcPr>
          <w:p w14:paraId="1B12A35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33.00</w:t>
            </w:r>
          </w:p>
        </w:tc>
        <w:tc>
          <w:tcPr>
            <w:tcW w:w="1254" w:type="dxa"/>
            <w:vAlign w:val="center"/>
            <w:hideMark/>
          </w:tcPr>
          <w:p w14:paraId="35107E7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- 32.92</w:t>
            </w:r>
          </w:p>
        </w:tc>
        <w:tc>
          <w:tcPr>
            <w:tcW w:w="1134" w:type="dxa"/>
            <w:vAlign w:val="center"/>
            <w:hideMark/>
          </w:tcPr>
          <w:p w14:paraId="54CFA65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33.66</w:t>
            </w:r>
          </w:p>
        </w:tc>
        <w:tc>
          <w:tcPr>
            <w:tcW w:w="992" w:type="dxa"/>
            <w:vAlign w:val="center"/>
            <w:hideMark/>
          </w:tcPr>
          <w:p w14:paraId="3D2D4A0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0.74</w:t>
            </w:r>
          </w:p>
        </w:tc>
      </w:tr>
      <w:tr w:rsidR="00B302E0" w:rsidRPr="00AA0ADC" w14:paraId="07693501" w14:textId="77777777" w:rsidTr="00B302E0">
        <w:trPr>
          <w:trHeight w:val="20"/>
          <w:jc w:val="center"/>
        </w:trPr>
        <w:tc>
          <w:tcPr>
            <w:tcW w:w="847" w:type="dxa"/>
            <w:vAlign w:val="center"/>
            <w:hideMark/>
          </w:tcPr>
          <w:p w14:paraId="24173585"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296D055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- 93.09</w:t>
            </w:r>
          </w:p>
        </w:tc>
        <w:tc>
          <w:tcPr>
            <w:tcW w:w="1098" w:type="dxa"/>
            <w:vAlign w:val="center"/>
            <w:hideMark/>
          </w:tcPr>
          <w:p w14:paraId="56727BC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59.78</w:t>
            </w:r>
          </w:p>
        </w:tc>
        <w:tc>
          <w:tcPr>
            <w:tcW w:w="1275" w:type="dxa"/>
            <w:vAlign w:val="center"/>
            <w:hideMark/>
          </w:tcPr>
          <w:p w14:paraId="01042CD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- 33.31</w:t>
            </w:r>
          </w:p>
        </w:tc>
        <w:tc>
          <w:tcPr>
            <w:tcW w:w="1133" w:type="dxa"/>
            <w:vAlign w:val="center"/>
            <w:hideMark/>
          </w:tcPr>
          <w:p w14:paraId="1839AF0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34.52</w:t>
            </w:r>
          </w:p>
        </w:tc>
        <w:tc>
          <w:tcPr>
            <w:tcW w:w="1016" w:type="dxa"/>
            <w:vAlign w:val="center"/>
            <w:hideMark/>
          </w:tcPr>
          <w:p w14:paraId="77FCF88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36.30</w:t>
            </w:r>
          </w:p>
        </w:tc>
        <w:tc>
          <w:tcPr>
            <w:tcW w:w="1254" w:type="dxa"/>
            <w:vAlign w:val="center"/>
            <w:hideMark/>
          </w:tcPr>
          <w:p w14:paraId="3ED7864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- 31.53</w:t>
            </w:r>
          </w:p>
        </w:tc>
        <w:tc>
          <w:tcPr>
            <w:tcW w:w="1134" w:type="dxa"/>
            <w:vAlign w:val="center"/>
            <w:hideMark/>
          </w:tcPr>
          <w:p w14:paraId="6D48618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33.31</w:t>
            </w:r>
          </w:p>
        </w:tc>
        <w:tc>
          <w:tcPr>
            <w:tcW w:w="992" w:type="dxa"/>
            <w:vAlign w:val="center"/>
            <w:hideMark/>
          </w:tcPr>
          <w:p w14:paraId="0CD2A0A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1.78</w:t>
            </w:r>
          </w:p>
        </w:tc>
      </w:tr>
      <w:tr w:rsidR="00B302E0" w:rsidRPr="00AA0ADC" w14:paraId="5088C7CD" w14:textId="77777777" w:rsidTr="00B302E0">
        <w:trPr>
          <w:trHeight w:val="20"/>
          <w:jc w:val="center"/>
        </w:trPr>
        <w:tc>
          <w:tcPr>
            <w:tcW w:w="847" w:type="dxa"/>
            <w:vAlign w:val="center"/>
            <w:hideMark/>
          </w:tcPr>
          <w:p w14:paraId="6A232C25"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62617DE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- 99.92</w:t>
            </w:r>
          </w:p>
        </w:tc>
        <w:tc>
          <w:tcPr>
            <w:tcW w:w="1098" w:type="dxa"/>
            <w:vAlign w:val="center"/>
            <w:hideMark/>
          </w:tcPr>
          <w:p w14:paraId="5127E76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66.86</w:t>
            </w:r>
          </w:p>
        </w:tc>
        <w:tc>
          <w:tcPr>
            <w:tcW w:w="1275" w:type="dxa"/>
            <w:vAlign w:val="center"/>
            <w:hideMark/>
          </w:tcPr>
          <w:p w14:paraId="02E618A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- 33.06</w:t>
            </w:r>
          </w:p>
        </w:tc>
        <w:tc>
          <w:tcPr>
            <w:tcW w:w="1133" w:type="dxa"/>
            <w:vAlign w:val="center"/>
            <w:hideMark/>
          </w:tcPr>
          <w:p w14:paraId="504C0F7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36.94</w:t>
            </w:r>
          </w:p>
        </w:tc>
        <w:tc>
          <w:tcPr>
            <w:tcW w:w="1016" w:type="dxa"/>
            <w:vAlign w:val="center"/>
            <w:hideMark/>
          </w:tcPr>
          <w:p w14:paraId="10FA117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39.93</w:t>
            </w:r>
          </w:p>
        </w:tc>
        <w:tc>
          <w:tcPr>
            <w:tcW w:w="1254" w:type="dxa"/>
            <w:vAlign w:val="center"/>
            <w:hideMark/>
          </w:tcPr>
          <w:p w14:paraId="647BD1E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- 30.07</w:t>
            </w:r>
          </w:p>
        </w:tc>
        <w:tc>
          <w:tcPr>
            <w:tcW w:w="1134" w:type="dxa"/>
            <w:vAlign w:val="center"/>
            <w:hideMark/>
          </w:tcPr>
          <w:p w14:paraId="7D313B9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33.06</w:t>
            </w:r>
          </w:p>
        </w:tc>
        <w:tc>
          <w:tcPr>
            <w:tcW w:w="992" w:type="dxa"/>
            <w:vAlign w:val="center"/>
            <w:hideMark/>
          </w:tcPr>
          <w:p w14:paraId="64C7655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2.99</w:t>
            </w:r>
          </w:p>
        </w:tc>
      </w:tr>
      <w:tr w:rsidR="00B302E0" w:rsidRPr="00AA0ADC" w14:paraId="589B92C9" w14:textId="77777777" w:rsidTr="00B302E0">
        <w:trPr>
          <w:trHeight w:val="20"/>
          <w:jc w:val="center"/>
        </w:trPr>
        <w:tc>
          <w:tcPr>
            <w:tcW w:w="847" w:type="dxa"/>
            <w:vAlign w:val="center"/>
            <w:hideMark/>
          </w:tcPr>
          <w:p w14:paraId="2A65D898"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2032FFE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- 107.66</w:t>
            </w:r>
          </w:p>
        </w:tc>
        <w:tc>
          <w:tcPr>
            <w:tcW w:w="1098" w:type="dxa"/>
            <w:vAlign w:val="center"/>
            <w:hideMark/>
          </w:tcPr>
          <w:p w14:paraId="5F8F519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74.78</w:t>
            </w:r>
          </w:p>
        </w:tc>
        <w:tc>
          <w:tcPr>
            <w:tcW w:w="1275" w:type="dxa"/>
            <w:vAlign w:val="center"/>
            <w:hideMark/>
          </w:tcPr>
          <w:p w14:paraId="1839516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- 32.88</w:t>
            </w:r>
          </w:p>
        </w:tc>
        <w:tc>
          <w:tcPr>
            <w:tcW w:w="1133" w:type="dxa"/>
            <w:vAlign w:val="center"/>
            <w:hideMark/>
          </w:tcPr>
          <w:p w14:paraId="69F42CC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39.52</w:t>
            </w:r>
          </w:p>
        </w:tc>
        <w:tc>
          <w:tcPr>
            <w:tcW w:w="1016" w:type="dxa"/>
            <w:vAlign w:val="center"/>
            <w:hideMark/>
          </w:tcPr>
          <w:p w14:paraId="576620F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43.92</w:t>
            </w:r>
          </w:p>
        </w:tc>
        <w:tc>
          <w:tcPr>
            <w:tcW w:w="1254" w:type="dxa"/>
            <w:vAlign w:val="center"/>
            <w:hideMark/>
          </w:tcPr>
          <w:p w14:paraId="040B5B5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- 28.48</w:t>
            </w:r>
          </w:p>
        </w:tc>
        <w:tc>
          <w:tcPr>
            <w:tcW w:w="1134" w:type="dxa"/>
            <w:vAlign w:val="center"/>
            <w:hideMark/>
          </w:tcPr>
          <w:p w14:paraId="42BB76D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32.88</w:t>
            </w:r>
          </w:p>
        </w:tc>
        <w:tc>
          <w:tcPr>
            <w:tcW w:w="992" w:type="dxa"/>
            <w:vAlign w:val="center"/>
            <w:hideMark/>
          </w:tcPr>
          <w:p w14:paraId="2CC9E67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4.40</w:t>
            </w:r>
          </w:p>
        </w:tc>
      </w:tr>
      <w:tr w:rsidR="00B302E0" w:rsidRPr="00AA0ADC" w14:paraId="0E144792" w14:textId="77777777" w:rsidTr="00B302E0">
        <w:trPr>
          <w:trHeight w:val="20"/>
          <w:jc w:val="center"/>
        </w:trPr>
        <w:tc>
          <w:tcPr>
            <w:tcW w:w="847" w:type="dxa"/>
            <w:vAlign w:val="center"/>
            <w:hideMark/>
          </w:tcPr>
          <w:p w14:paraId="635B1943"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38E4FCE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- 117.30</w:t>
            </w:r>
          </w:p>
        </w:tc>
        <w:tc>
          <w:tcPr>
            <w:tcW w:w="1098" w:type="dxa"/>
            <w:vAlign w:val="center"/>
            <w:hideMark/>
          </w:tcPr>
          <w:p w14:paraId="43C7E4E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83.63</w:t>
            </w:r>
          </w:p>
        </w:tc>
        <w:tc>
          <w:tcPr>
            <w:tcW w:w="1275" w:type="dxa"/>
            <w:vAlign w:val="center"/>
            <w:hideMark/>
          </w:tcPr>
          <w:p w14:paraId="66A5D68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- 33.67</w:t>
            </w:r>
          </w:p>
        </w:tc>
        <w:tc>
          <w:tcPr>
            <w:tcW w:w="1133" w:type="dxa"/>
            <w:vAlign w:val="center"/>
            <w:hideMark/>
          </w:tcPr>
          <w:p w14:paraId="0323B3A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42.29</w:t>
            </w:r>
          </w:p>
        </w:tc>
        <w:tc>
          <w:tcPr>
            <w:tcW w:w="1016" w:type="dxa"/>
            <w:vAlign w:val="center"/>
            <w:hideMark/>
          </w:tcPr>
          <w:p w14:paraId="0BAF4FB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48.32</w:t>
            </w:r>
          </w:p>
        </w:tc>
        <w:tc>
          <w:tcPr>
            <w:tcW w:w="1254" w:type="dxa"/>
            <w:vAlign w:val="center"/>
            <w:hideMark/>
          </w:tcPr>
          <w:p w14:paraId="5F917DE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- 27.64</w:t>
            </w:r>
          </w:p>
        </w:tc>
        <w:tc>
          <w:tcPr>
            <w:tcW w:w="1134" w:type="dxa"/>
            <w:vAlign w:val="center"/>
            <w:hideMark/>
          </w:tcPr>
          <w:p w14:paraId="6B985C7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33.67</w:t>
            </w:r>
          </w:p>
        </w:tc>
        <w:tc>
          <w:tcPr>
            <w:tcW w:w="992" w:type="dxa"/>
            <w:vAlign w:val="center"/>
            <w:hideMark/>
          </w:tcPr>
          <w:p w14:paraId="4F1FB29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6.03</w:t>
            </w:r>
          </w:p>
        </w:tc>
      </w:tr>
      <w:tr w:rsidR="00B302E0" w:rsidRPr="00AA0ADC" w14:paraId="49F25B64" w14:textId="77777777" w:rsidTr="00B302E0">
        <w:trPr>
          <w:trHeight w:val="20"/>
          <w:jc w:val="center"/>
        </w:trPr>
        <w:tc>
          <w:tcPr>
            <w:tcW w:w="847" w:type="dxa"/>
            <w:vAlign w:val="center"/>
            <w:hideMark/>
          </w:tcPr>
          <w:p w14:paraId="3B0A5C4B"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1783823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- 505.12</w:t>
            </w:r>
          </w:p>
        </w:tc>
        <w:tc>
          <w:tcPr>
            <w:tcW w:w="1098" w:type="dxa"/>
            <w:vAlign w:val="center"/>
            <w:hideMark/>
          </w:tcPr>
          <w:p w14:paraId="2B26363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338.54</w:t>
            </w:r>
          </w:p>
        </w:tc>
        <w:tc>
          <w:tcPr>
            <w:tcW w:w="1275" w:type="dxa"/>
            <w:vAlign w:val="center"/>
            <w:hideMark/>
          </w:tcPr>
          <w:p w14:paraId="73FAC07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- 166.58</w:t>
            </w:r>
          </w:p>
        </w:tc>
        <w:tc>
          <w:tcPr>
            <w:tcW w:w="1133" w:type="dxa"/>
            <w:vAlign w:val="center"/>
            <w:hideMark/>
          </w:tcPr>
          <w:p w14:paraId="75B6389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185.53</w:t>
            </w:r>
          </w:p>
        </w:tc>
        <w:tc>
          <w:tcPr>
            <w:tcW w:w="1016" w:type="dxa"/>
            <w:vAlign w:val="center"/>
            <w:hideMark/>
          </w:tcPr>
          <w:p w14:paraId="6AA6153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201.47</w:t>
            </w:r>
          </w:p>
        </w:tc>
        <w:tc>
          <w:tcPr>
            <w:tcW w:w="1254" w:type="dxa"/>
            <w:vAlign w:val="center"/>
            <w:hideMark/>
          </w:tcPr>
          <w:p w14:paraId="0089559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- 150.64</w:t>
            </w:r>
          </w:p>
        </w:tc>
        <w:tc>
          <w:tcPr>
            <w:tcW w:w="1134" w:type="dxa"/>
            <w:vAlign w:val="center"/>
            <w:hideMark/>
          </w:tcPr>
          <w:p w14:paraId="2FA4936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166.58</w:t>
            </w:r>
          </w:p>
        </w:tc>
        <w:tc>
          <w:tcPr>
            <w:tcW w:w="992" w:type="dxa"/>
            <w:vAlign w:val="center"/>
            <w:hideMark/>
          </w:tcPr>
          <w:p w14:paraId="57B8070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15.94</w:t>
            </w:r>
          </w:p>
        </w:tc>
      </w:tr>
      <w:tr w:rsidR="00AA0ADC" w:rsidRPr="00AA0ADC" w14:paraId="05A3788E" w14:textId="77777777" w:rsidTr="00B302E0">
        <w:trPr>
          <w:trHeight w:val="20"/>
          <w:jc w:val="center"/>
        </w:trPr>
        <w:tc>
          <w:tcPr>
            <w:tcW w:w="9776" w:type="dxa"/>
            <w:gridSpan w:val="9"/>
            <w:vAlign w:val="center"/>
            <w:hideMark/>
          </w:tcPr>
          <w:p w14:paraId="4F1577D8" w14:textId="0B18DA57" w:rsidR="00AA0ADC" w:rsidRPr="00AA0ADC" w:rsidRDefault="00AA0ADC" w:rsidP="00AA0ADC">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JAMMU AND KASHMIR</w:t>
            </w:r>
          </w:p>
        </w:tc>
      </w:tr>
      <w:tr w:rsidR="00B302E0" w:rsidRPr="00AA0ADC" w14:paraId="462396AB" w14:textId="77777777" w:rsidTr="00B302E0">
        <w:trPr>
          <w:trHeight w:val="20"/>
          <w:jc w:val="center"/>
        </w:trPr>
        <w:tc>
          <w:tcPr>
            <w:tcW w:w="847" w:type="dxa"/>
            <w:vAlign w:val="center"/>
            <w:hideMark/>
          </w:tcPr>
          <w:p w14:paraId="6B54A651"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297D5D4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- 559.38</w:t>
            </w:r>
          </w:p>
        </w:tc>
        <w:tc>
          <w:tcPr>
            <w:tcW w:w="1098" w:type="dxa"/>
            <w:vAlign w:val="center"/>
            <w:hideMark/>
          </w:tcPr>
          <w:p w14:paraId="496F226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350.19</w:t>
            </w:r>
          </w:p>
        </w:tc>
        <w:tc>
          <w:tcPr>
            <w:tcW w:w="1275" w:type="dxa"/>
            <w:vAlign w:val="center"/>
            <w:hideMark/>
          </w:tcPr>
          <w:p w14:paraId="4787FEE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- 209.19</w:t>
            </w:r>
          </w:p>
        </w:tc>
        <w:tc>
          <w:tcPr>
            <w:tcW w:w="1133" w:type="dxa"/>
            <w:vAlign w:val="center"/>
            <w:hideMark/>
          </w:tcPr>
          <w:p w14:paraId="474A6E7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186.18</w:t>
            </w:r>
          </w:p>
        </w:tc>
        <w:tc>
          <w:tcPr>
            <w:tcW w:w="1016" w:type="dxa"/>
            <w:vAlign w:val="center"/>
            <w:hideMark/>
          </w:tcPr>
          <w:p w14:paraId="0D7D55F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171.02</w:t>
            </w:r>
          </w:p>
        </w:tc>
        <w:tc>
          <w:tcPr>
            <w:tcW w:w="1254" w:type="dxa"/>
            <w:vAlign w:val="center"/>
            <w:hideMark/>
          </w:tcPr>
          <w:p w14:paraId="1C5823E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- 224.35</w:t>
            </w:r>
          </w:p>
        </w:tc>
        <w:tc>
          <w:tcPr>
            <w:tcW w:w="1134" w:type="dxa"/>
            <w:vAlign w:val="center"/>
            <w:hideMark/>
          </w:tcPr>
          <w:p w14:paraId="7C6509D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210.99</w:t>
            </w:r>
          </w:p>
        </w:tc>
        <w:tc>
          <w:tcPr>
            <w:tcW w:w="992" w:type="dxa"/>
            <w:vAlign w:val="center"/>
            <w:hideMark/>
          </w:tcPr>
          <w:p w14:paraId="4B3833A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- 13.36</w:t>
            </w:r>
          </w:p>
        </w:tc>
      </w:tr>
      <w:tr w:rsidR="00B302E0" w:rsidRPr="00AA0ADC" w14:paraId="2FE25C51" w14:textId="77777777" w:rsidTr="00B302E0">
        <w:trPr>
          <w:trHeight w:val="20"/>
          <w:jc w:val="center"/>
        </w:trPr>
        <w:tc>
          <w:tcPr>
            <w:tcW w:w="847" w:type="dxa"/>
            <w:vAlign w:val="center"/>
            <w:hideMark/>
          </w:tcPr>
          <w:p w14:paraId="5E57ECA5"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6E1E5D9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- 602.96</w:t>
            </w:r>
          </w:p>
        </w:tc>
        <w:tc>
          <w:tcPr>
            <w:tcW w:w="1098" w:type="dxa"/>
            <w:vAlign w:val="center"/>
            <w:hideMark/>
          </w:tcPr>
          <w:p w14:paraId="1DF8658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391.49</w:t>
            </w:r>
          </w:p>
        </w:tc>
        <w:tc>
          <w:tcPr>
            <w:tcW w:w="1275" w:type="dxa"/>
            <w:vAlign w:val="center"/>
            <w:hideMark/>
          </w:tcPr>
          <w:p w14:paraId="5D5BF4E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- 211.47</w:t>
            </w:r>
          </w:p>
        </w:tc>
        <w:tc>
          <w:tcPr>
            <w:tcW w:w="1133" w:type="dxa"/>
            <w:vAlign w:val="center"/>
            <w:hideMark/>
          </w:tcPr>
          <w:p w14:paraId="2BD06F8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199.21</w:t>
            </w:r>
          </w:p>
        </w:tc>
        <w:tc>
          <w:tcPr>
            <w:tcW w:w="1016" w:type="dxa"/>
            <w:vAlign w:val="center"/>
            <w:hideMark/>
          </w:tcPr>
          <w:p w14:paraId="765488A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188.12</w:t>
            </w:r>
          </w:p>
        </w:tc>
        <w:tc>
          <w:tcPr>
            <w:tcW w:w="1254" w:type="dxa"/>
            <w:vAlign w:val="center"/>
            <w:hideMark/>
          </w:tcPr>
          <w:p w14:paraId="240B685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- 222.56</w:t>
            </w:r>
          </w:p>
        </w:tc>
        <w:tc>
          <w:tcPr>
            <w:tcW w:w="1134" w:type="dxa"/>
            <w:vAlign w:val="center"/>
            <w:hideMark/>
          </w:tcPr>
          <w:p w14:paraId="64AF1DE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213.60</w:t>
            </w:r>
          </w:p>
        </w:tc>
        <w:tc>
          <w:tcPr>
            <w:tcW w:w="992" w:type="dxa"/>
            <w:vAlign w:val="center"/>
            <w:hideMark/>
          </w:tcPr>
          <w:p w14:paraId="2D1C407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- 8.96</w:t>
            </w:r>
          </w:p>
        </w:tc>
      </w:tr>
      <w:tr w:rsidR="00B302E0" w:rsidRPr="00AA0ADC" w14:paraId="427587D3" w14:textId="77777777" w:rsidTr="00B302E0">
        <w:trPr>
          <w:trHeight w:val="20"/>
          <w:jc w:val="center"/>
        </w:trPr>
        <w:tc>
          <w:tcPr>
            <w:tcW w:w="847" w:type="dxa"/>
            <w:vAlign w:val="center"/>
            <w:hideMark/>
          </w:tcPr>
          <w:p w14:paraId="19FC5AA8"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012EA09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- 659.67</w:t>
            </w:r>
          </w:p>
        </w:tc>
        <w:tc>
          <w:tcPr>
            <w:tcW w:w="1098" w:type="dxa"/>
            <w:vAlign w:val="center"/>
            <w:hideMark/>
          </w:tcPr>
          <w:p w14:paraId="74D3BE9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437.91</w:t>
            </w:r>
          </w:p>
        </w:tc>
        <w:tc>
          <w:tcPr>
            <w:tcW w:w="1275" w:type="dxa"/>
            <w:vAlign w:val="center"/>
            <w:hideMark/>
          </w:tcPr>
          <w:p w14:paraId="7A43526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- 221.76</w:t>
            </w:r>
          </w:p>
        </w:tc>
        <w:tc>
          <w:tcPr>
            <w:tcW w:w="1133" w:type="dxa"/>
            <w:vAlign w:val="center"/>
            <w:hideMark/>
          </w:tcPr>
          <w:p w14:paraId="03BC99E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213.16</w:t>
            </w:r>
          </w:p>
        </w:tc>
        <w:tc>
          <w:tcPr>
            <w:tcW w:w="1016" w:type="dxa"/>
            <w:vAlign w:val="center"/>
            <w:hideMark/>
          </w:tcPr>
          <w:p w14:paraId="7567EE3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206.93</w:t>
            </w:r>
          </w:p>
        </w:tc>
        <w:tc>
          <w:tcPr>
            <w:tcW w:w="1254" w:type="dxa"/>
            <w:vAlign w:val="center"/>
            <w:hideMark/>
          </w:tcPr>
          <w:p w14:paraId="2F2B2EB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- 227.99</w:t>
            </w:r>
          </w:p>
        </w:tc>
        <w:tc>
          <w:tcPr>
            <w:tcW w:w="1134" w:type="dxa"/>
            <w:vAlign w:val="center"/>
            <w:hideMark/>
          </w:tcPr>
          <w:p w14:paraId="26AB0D7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224.35</w:t>
            </w:r>
          </w:p>
        </w:tc>
        <w:tc>
          <w:tcPr>
            <w:tcW w:w="992" w:type="dxa"/>
            <w:vAlign w:val="center"/>
            <w:hideMark/>
          </w:tcPr>
          <w:p w14:paraId="0B2FC3C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- 3.64</w:t>
            </w:r>
          </w:p>
        </w:tc>
      </w:tr>
      <w:tr w:rsidR="00B302E0" w:rsidRPr="00AA0ADC" w14:paraId="312F1B0E" w14:textId="77777777" w:rsidTr="00B302E0">
        <w:trPr>
          <w:trHeight w:val="20"/>
          <w:jc w:val="center"/>
        </w:trPr>
        <w:tc>
          <w:tcPr>
            <w:tcW w:w="847" w:type="dxa"/>
            <w:vAlign w:val="center"/>
            <w:hideMark/>
          </w:tcPr>
          <w:p w14:paraId="31E872C9"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3D88474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- 707.64</w:t>
            </w:r>
          </w:p>
        </w:tc>
        <w:tc>
          <w:tcPr>
            <w:tcW w:w="1098" w:type="dxa"/>
            <w:vAlign w:val="center"/>
            <w:hideMark/>
          </w:tcPr>
          <w:p w14:paraId="3023933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489.83</w:t>
            </w:r>
          </w:p>
        </w:tc>
        <w:tc>
          <w:tcPr>
            <w:tcW w:w="1275" w:type="dxa"/>
            <w:vAlign w:val="center"/>
            <w:hideMark/>
          </w:tcPr>
          <w:p w14:paraId="5FD25FD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- 217.81</w:t>
            </w:r>
          </w:p>
        </w:tc>
        <w:tc>
          <w:tcPr>
            <w:tcW w:w="1133" w:type="dxa"/>
            <w:vAlign w:val="center"/>
            <w:hideMark/>
          </w:tcPr>
          <w:p w14:paraId="24B3BF4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228.08</w:t>
            </w:r>
          </w:p>
        </w:tc>
        <w:tc>
          <w:tcPr>
            <w:tcW w:w="1016" w:type="dxa"/>
            <w:vAlign w:val="center"/>
            <w:hideMark/>
          </w:tcPr>
          <w:p w14:paraId="1EBDF08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227.62</w:t>
            </w:r>
          </w:p>
        </w:tc>
        <w:tc>
          <w:tcPr>
            <w:tcW w:w="1254" w:type="dxa"/>
            <w:vAlign w:val="center"/>
            <w:hideMark/>
          </w:tcPr>
          <w:p w14:paraId="77C0DD1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- 218.27</w:t>
            </w:r>
          </w:p>
        </w:tc>
        <w:tc>
          <w:tcPr>
            <w:tcW w:w="1134" w:type="dxa"/>
            <w:vAlign w:val="center"/>
            <w:hideMark/>
          </w:tcPr>
          <w:p w14:paraId="3CEF36E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220.87</w:t>
            </w:r>
          </w:p>
        </w:tc>
        <w:tc>
          <w:tcPr>
            <w:tcW w:w="992" w:type="dxa"/>
            <w:vAlign w:val="center"/>
            <w:hideMark/>
          </w:tcPr>
          <w:p w14:paraId="401999D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2.60</w:t>
            </w:r>
          </w:p>
        </w:tc>
      </w:tr>
      <w:tr w:rsidR="00B302E0" w:rsidRPr="00AA0ADC" w14:paraId="15017538" w14:textId="77777777" w:rsidTr="00B302E0">
        <w:trPr>
          <w:trHeight w:val="20"/>
          <w:jc w:val="center"/>
        </w:trPr>
        <w:tc>
          <w:tcPr>
            <w:tcW w:w="847" w:type="dxa"/>
            <w:vAlign w:val="center"/>
            <w:hideMark/>
          </w:tcPr>
          <w:p w14:paraId="772DB509"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2F87090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-770.79</w:t>
            </w:r>
          </w:p>
        </w:tc>
        <w:tc>
          <w:tcPr>
            <w:tcW w:w="1098" w:type="dxa"/>
            <w:vAlign w:val="center"/>
            <w:hideMark/>
          </w:tcPr>
          <w:p w14:paraId="6A71A3E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547.90</w:t>
            </w:r>
          </w:p>
        </w:tc>
        <w:tc>
          <w:tcPr>
            <w:tcW w:w="1275" w:type="dxa"/>
            <w:vAlign w:val="center"/>
            <w:hideMark/>
          </w:tcPr>
          <w:p w14:paraId="24AA0A1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- 222.89</w:t>
            </w:r>
          </w:p>
        </w:tc>
        <w:tc>
          <w:tcPr>
            <w:tcW w:w="1133" w:type="dxa"/>
            <w:vAlign w:val="center"/>
            <w:hideMark/>
          </w:tcPr>
          <w:p w14:paraId="2A521C8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244.04</w:t>
            </w:r>
          </w:p>
        </w:tc>
        <w:tc>
          <w:tcPr>
            <w:tcW w:w="1016" w:type="dxa"/>
            <w:vAlign w:val="center"/>
            <w:hideMark/>
          </w:tcPr>
          <w:p w14:paraId="2B1C35E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250.39</w:t>
            </w:r>
          </w:p>
        </w:tc>
        <w:tc>
          <w:tcPr>
            <w:tcW w:w="1254" w:type="dxa"/>
            <w:vAlign w:val="center"/>
            <w:hideMark/>
          </w:tcPr>
          <w:p w14:paraId="744D1C8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- 216.54</w:t>
            </w:r>
          </w:p>
        </w:tc>
        <w:tc>
          <w:tcPr>
            <w:tcW w:w="1134" w:type="dxa"/>
            <w:vAlign w:val="center"/>
            <w:hideMark/>
          </w:tcPr>
          <w:p w14:paraId="4D4D8FE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226.61</w:t>
            </w:r>
          </w:p>
        </w:tc>
        <w:tc>
          <w:tcPr>
            <w:tcW w:w="992" w:type="dxa"/>
            <w:vAlign w:val="center"/>
            <w:hideMark/>
          </w:tcPr>
          <w:p w14:paraId="3395CDB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10.07</w:t>
            </w:r>
          </w:p>
        </w:tc>
      </w:tr>
      <w:tr w:rsidR="00B302E0" w:rsidRPr="00AA0ADC" w14:paraId="635E5E7E" w14:textId="77777777" w:rsidTr="00B302E0">
        <w:trPr>
          <w:trHeight w:val="20"/>
          <w:jc w:val="center"/>
        </w:trPr>
        <w:tc>
          <w:tcPr>
            <w:tcW w:w="847" w:type="dxa"/>
            <w:vAlign w:val="center"/>
            <w:hideMark/>
          </w:tcPr>
          <w:p w14:paraId="73FA9E5D"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709A386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- 3300.44</w:t>
            </w:r>
          </w:p>
        </w:tc>
        <w:tc>
          <w:tcPr>
            <w:tcW w:w="1098" w:type="dxa"/>
            <w:vAlign w:val="center"/>
            <w:hideMark/>
          </w:tcPr>
          <w:p w14:paraId="67722FA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2217.32</w:t>
            </w:r>
          </w:p>
        </w:tc>
        <w:tc>
          <w:tcPr>
            <w:tcW w:w="1275" w:type="dxa"/>
            <w:vAlign w:val="center"/>
            <w:hideMark/>
          </w:tcPr>
          <w:p w14:paraId="229B76C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- 1083.12</w:t>
            </w:r>
          </w:p>
        </w:tc>
        <w:tc>
          <w:tcPr>
            <w:tcW w:w="1133" w:type="dxa"/>
            <w:vAlign w:val="center"/>
            <w:hideMark/>
          </w:tcPr>
          <w:p w14:paraId="4128B15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1070.67</w:t>
            </w:r>
          </w:p>
        </w:tc>
        <w:tc>
          <w:tcPr>
            <w:tcW w:w="1016" w:type="dxa"/>
            <w:vAlign w:val="center"/>
            <w:hideMark/>
          </w:tcPr>
          <w:p w14:paraId="5127686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1044.08</w:t>
            </w:r>
          </w:p>
        </w:tc>
        <w:tc>
          <w:tcPr>
            <w:tcW w:w="1254" w:type="dxa"/>
            <w:vAlign w:val="center"/>
            <w:hideMark/>
          </w:tcPr>
          <w:p w14:paraId="6FDC706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- 1109.71</w:t>
            </w:r>
          </w:p>
        </w:tc>
        <w:tc>
          <w:tcPr>
            <w:tcW w:w="1134" w:type="dxa"/>
            <w:vAlign w:val="center"/>
            <w:hideMark/>
          </w:tcPr>
          <w:p w14:paraId="76D0584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1096.42</w:t>
            </w:r>
          </w:p>
        </w:tc>
        <w:tc>
          <w:tcPr>
            <w:tcW w:w="992" w:type="dxa"/>
            <w:vAlign w:val="center"/>
            <w:hideMark/>
          </w:tcPr>
          <w:p w14:paraId="31D8C08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- 13.29</w:t>
            </w:r>
          </w:p>
        </w:tc>
      </w:tr>
      <w:tr w:rsidR="00AA0ADC" w:rsidRPr="00AA0ADC" w14:paraId="1E0DDB0A" w14:textId="77777777" w:rsidTr="00B302E0">
        <w:trPr>
          <w:trHeight w:val="20"/>
          <w:jc w:val="center"/>
        </w:trPr>
        <w:tc>
          <w:tcPr>
            <w:tcW w:w="9776" w:type="dxa"/>
            <w:gridSpan w:val="9"/>
            <w:vAlign w:val="center"/>
            <w:hideMark/>
          </w:tcPr>
          <w:p w14:paraId="2C0D8757" w14:textId="60682ADB" w:rsidR="00AA0ADC" w:rsidRPr="00AA0ADC" w:rsidRDefault="00AA0ADC" w:rsidP="00AA0ADC">
            <w:pPr>
              <w:pStyle w:val="NoSpacing"/>
              <w:rPr>
                <w:rFonts w:ascii="Times New Roman" w:hAnsi="Times New Roman" w:cs="Times New Roman"/>
                <w:b/>
                <w:bCs/>
                <w:sz w:val="18"/>
                <w:szCs w:val="18"/>
              </w:rPr>
            </w:pPr>
            <w:r w:rsidRPr="00AA0ADC">
              <w:rPr>
                <w:rFonts w:ascii="Times New Roman" w:hAnsi="Times New Roman" w:cs="Times New Roman"/>
                <w:b/>
                <w:bCs/>
                <w:sz w:val="18"/>
                <w:szCs w:val="18"/>
              </w:rPr>
              <w:t>State: ARUNACHAL PRADESH</w:t>
            </w:r>
          </w:p>
        </w:tc>
      </w:tr>
      <w:tr w:rsidR="00B302E0" w:rsidRPr="00AA0ADC" w14:paraId="526D4101" w14:textId="77777777" w:rsidTr="00B302E0">
        <w:trPr>
          <w:trHeight w:val="20"/>
          <w:jc w:val="center"/>
        </w:trPr>
        <w:tc>
          <w:tcPr>
            <w:tcW w:w="847" w:type="dxa"/>
            <w:vAlign w:val="center"/>
            <w:hideMark/>
          </w:tcPr>
          <w:p w14:paraId="1498DE96"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479FCCB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- 140.35</w:t>
            </w:r>
          </w:p>
        </w:tc>
        <w:tc>
          <w:tcPr>
            <w:tcW w:w="1098" w:type="dxa"/>
            <w:vAlign w:val="center"/>
            <w:hideMark/>
          </w:tcPr>
          <w:p w14:paraId="587CCF4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82.70</w:t>
            </w:r>
          </w:p>
        </w:tc>
        <w:tc>
          <w:tcPr>
            <w:tcW w:w="1275" w:type="dxa"/>
            <w:vAlign w:val="center"/>
            <w:hideMark/>
          </w:tcPr>
          <w:p w14:paraId="4729F33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- 57.65</w:t>
            </w:r>
          </w:p>
        </w:tc>
        <w:tc>
          <w:tcPr>
            <w:tcW w:w="1133" w:type="dxa"/>
            <w:vAlign w:val="center"/>
            <w:hideMark/>
          </w:tcPr>
          <w:p w14:paraId="2F63BBC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55.81</w:t>
            </w:r>
          </w:p>
        </w:tc>
        <w:tc>
          <w:tcPr>
            <w:tcW w:w="1016" w:type="dxa"/>
            <w:vAlign w:val="center"/>
            <w:hideMark/>
          </w:tcPr>
          <w:p w14:paraId="2027896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146.20</w:t>
            </w:r>
          </w:p>
        </w:tc>
        <w:tc>
          <w:tcPr>
            <w:tcW w:w="1254" w:type="dxa"/>
            <w:vAlign w:val="center"/>
            <w:hideMark/>
          </w:tcPr>
          <w:p w14:paraId="27CDF7A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32.74</w:t>
            </w:r>
          </w:p>
        </w:tc>
        <w:tc>
          <w:tcPr>
            <w:tcW w:w="1134" w:type="dxa"/>
            <w:vAlign w:val="center"/>
            <w:hideMark/>
          </w:tcPr>
          <w:p w14:paraId="23A36C7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57.65</w:t>
            </w:r>
          </w:p>
        </w:tc>
        <w:tc>
          <w:tcPr>
            <w:tcW w:w="992" w:type="dxa"/>
            <w:vAlign w:val="center"/>
            <w:hideMark/>
          </w:tcPr>
          <w:p w14:paraId="4F85933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90.39</w:t>
            </w:r>
          </w:p>
        </w:tc>
      </w:tr>
      <w:tr w:rsidR="00B302E0" w:rsidRPr="00AA0ADC" w14:paraId="3123CEE7" w14:textId="77777777" w:rsidTr="00B302E0">
        <w:trPr>
          <w:trHeight w:val="20"/>
          <w:jc w:val="center"/>
        </w:trPr>
        <w:tc>
          <w:tcPr>
            <w:tcW w:w="847" w:type="dxa"/>
            <w:vAlign w:val="center"/>
            <w:hideMark/>
          </w:tcPr>
          <w:p w14:paraId="44639AA8"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3C30E9F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- 151.97</w:t>
            </w:r>
          </w:p>
        </w:tc>
        <w:tc>
          <w:tcPr>
            <w:tcW w:w="1098" w:type="dxa"/>
            <w:vAlign w:val="center"/>
            <w:hideMark/>
          </w:tcPr>
          <w:p w14:paraId="3B8C4E6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92.52</w:t>
            </w:r>
          </w:p>
        </w:tc>
        <w:tc>
          <w:tcPr>
            <w:tcW w:w="1275" w:type="dxa"/>
            <w:vAlign w:val="center"/>
            <w:hideMark/>
          </w:tcPr>
          <w:p w14:paraId="10A946B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- 59.45</w:t>
            </w:r>
          </w:p>
        </w:tc>
        <w:tc>
          <w:tcPr>
            <w:tcW w:w="1133" w:type="dxa"/>
            <w:vAlign w:val="center"/>
            <w:hideMark/>
          </w:tcPr>
          <w:p w14:paraId="490AF79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59.72</w:t>
            </w:r>
          </w:p>
        </w:tc>
        <w:tc>
          <w:tcPr>
            <w:tcW w:w="1016" w:type="dxa"/>
            <w:vAlign w:val="center"/>
            <w:hideMark/>
          </w:tcPr>
          <w:p w14:paraId="44C9CB5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168.13</w:t>
            </w:r>
          </w:p>
        </w:tc>
        <w:tc>
          <w:tcPr>
            <w:tcW w:w="1254" w:type="dxa"/>
            <w:vAlign w:val="center"/>
            <w:hideMark/>
          </w:tcPr>
          <w:p w14:paraId="0C8A1D1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48.96</w:t>
            </w:r>
          </w:p>
        </w:tc>
        <w:tc>
          <w:tcPr>
            <w:tcW w:w="1134" w:type="dxa"/>
            <w:vAlign w:val="center"/>
            <w:hideMark/>
          </w:tcPr>
          <w:p w14:paraId="298A274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59.45</w:t>
            </w:r>
          </w:p>
        </w:tc>
        <w:tc>
          <w:tcPr>
            <w:tcW w:w="992" w:type="dxa"/>
            <w:vAlign w:val="center"/>
            <w:hideMark/>
          </w:tcPr>
          <w:p w14:paraId="3411FD0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108.41</w:t>
            </w:r>
          </w:p>
        </w:tc>
      </w:tr>
      <w:tr w:rsidR="00B302E0" w:rsidRPr="00AA0ADC" w14:paraId="6C7C8DC5" w14:textId="77777777" w:rsidTr="00B302E0">
        <w:trPr>
          <w:trHeight w:val="20"/>
          <w:jc w:val="center"/>
        </w:trPr>
        <w:tc>
          <w:tcPr>
            <w:tcW w:w="847" w:type="dxa"/>
            <w:vAlign w:val="center"/>
            <w:hideMark/>
          </w:tcPr>
          <w:p w14:paraId="45C54EF5"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3D72DB1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- 164.35</w:t>
            </w:r>
          </w:p>
        </w:tc>
        <w:tc>
          <w:tcPr>
            <w:tcW w:w="1098" w:type="dxa"/>
            <w:vAlign w:val="center"/>
            <w:hideMark/>
          </w:tcPr>
          <w:p w14:paraId="7A4B727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103.59</w:t>
            </w:r>
          </w:p>
        </w:tc>
        <w:tc>
          <w:tcPr>
            <w:tcW w:w="1275" w:type="dxa"/>
            <w:vAlign w:val="center"/>
            <w:hideMark/>
          </w:tcPr>
          <w:p w14:paraId="3B7253A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- 60.76</w:t>
            </w:r>
          </w:p>
        </w:tc>
        <w:tc>
          <w:tcPr>
            <w:tcW w:w="1133" w:type="dxa"/>
            <w:vAlign w:val="center"/>
            <w:hideMark/>
          </w:tcPr>
          <w:p w14:paraId="2BFF4DF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63.90</w:t>
            </w:r>
          </w:p>
        </w:tc>
        <w:tc>
          <w:tcPr>
            <w:tcW w:w="1016" w:type="dxa"/>
            <w:vAlign w:val="center"/>
            <w:hideMark/>
          </w:tcPr>
          <w:p w14:paraId="7C5F981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193.35</w:t>
            </w:r>
          </w:p>
        </w:tc>
        <w:tc>
          <w:tcPr>
            <w:tcW w:w="1254" w:type="dxa"/>
            <w:vAlign w:val="center"/>
            <w:hideMark/>
          </w:tcPr>
          <w:p w14:paraId="7A5B42A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68.69</w:t>
            </w:r>
          </w:p>
        </w:tc>
        <w:tc>
          <w:tcPr>
            <w:tcW w:w="1134" w:type="dxa"/>
            <w:vAlign w:val="center"/>
            <w:hideMark/>
          </w:tcPr>
          <w:p w14:paraId="1A193B2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60.76</w:t>
            </w:r>
          </w:p>
        </w:tc>
        <w:tc>
          <w:tcPr>
            <w:tcW w:w="992" w:type="dxa"/>
            <w:vAlign w:val="center"/>
            <w:hideMark/>
          </w:tcPr>
          <w:p w14:paraId="54FF982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129.45</w:t>
            </w:r>
          </w:p>
        </w:tc>
      </w:tr>
      <w:tr w:rsidR="00B302E0" w:rsidRPr="00AA0ADC" w14:paraId="3931067E" w14:textId="77777777" w:rsidTr="00B302E0">
        <w:trPr>
          <w:trHeight w:val="20"/>
          <w:jc w:val="center"/>
        </w:trPr>
        <w:tc>
          <w:tcPr>
            <w:tcW w:w="847" w:type="dxa"/>
            <w:vAlign w:val="center"/>
            <w:hideMark/>
          </w:tcPr>
          <w:p w14:paraId="01579F9A"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1992931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- 177.45</w:t>
            </w:r>
          </w:p>
        </w:tc>
        <w:tc>
          <w:tcPr>
            <w:tcW w:w="1098" w:type="dxa"/>
            <w:vAlign w:val="center"/>
            <w:hideMark/>
          </w:tcPr>
          <w:p w14:paraId="272293E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115.97</w:t>
            </w:r>
          </w:p>
        </w:tc>
        <w:tc>
          <w:tcPr>
            <w:tcW w:w="1275" w:type="dxa"/>
            <w:vAlign w:val="center"/>
            <w:hideMark/>
          </w:tcPr>
          <w:p w14:paraId="7490FE7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- 61.48</w:t>
            </w:r>
          </w:p>
        </w:tc>
        <w:tc>
          <w:tcPr>
            <w:tcW w:w="1133" w:type="dxa"/>
            <w:vAlign w:val="center"/>
            <w:hideMark/>
          </w:tcPr>
          <w:p w14:paraId="797FE36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68.37</w:t>
            </w:r>
          </w:p>
        </w:tc>
        <w:tc>
          <w:tcPr>
            <w:tcW w:w="1016" w:type="dxa"/>
            <w:vAlign w:val="center"/>
            <w:hideMark/>
          </w:tcPr>
          <w:p w14:paraId="3A42D9E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222.35</w:t>
            </w:r>
          </w:p>
        </w:tc>
        <w:tc>
          <w:tcPr>
            <w:tcW w:w="1254" w:type="dxa"/>
            <w:vAlign w:val="center"/>
            <w:hideMark/>
          </w:tcPr>
          <w:p w14:paraId="31AF434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92.50</w:t>
            </w:r>
          </w:p>
        </w:tc>
        <w:tc>
          <w:tcPr>
            <w:tcW w:w="1134" w:type="dxa"/>
            <w:vAlign w:val="center"/>
            <w:hideMark/>
          </w:tcPr>
          <w:p w14:paraId="2BB496A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61.48</w:t>
            </w:r>
          </w:p>
        </w:tc>
        <w:tc>
          <w:tcPr>
            <w:tcW w:w="992" w:type="dxa"/>
            <w:vAlign w:val="center"/>
            <w:hideMark/>
          </w:tcPr>
          <w:p w14:paraId="4A04E77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153.98</w:t>
            </w:r>
          </w:p>
        </w:tc>
      </w:tr>
      <w:tr w:rsidR="00B302E0" w:rsidRPr="00AA0ADC" w14:paraId="5FBDAA1B" w14:textId="77777777" w:rsidTr="00B302E0">
        <w:trPr>
          <w:trHeight w:val="20"/>
          <w:jc w:val="center"/>
        </w:trPr>
        <w:tc>
          <w:tcPr>
            <w:tcW w:w="847" w:type="dxa"/>
            <w:vAlign w:val="center"/>
            <w:hideMark/>
          </w:tcPr>
          <w:p w14:paraId="28D2DB14"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3C2B56C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- 193.26</w:t>
            </w:r>
          </w:p>
        </w:tc>
        <w:tc>
          <w:tcPr>
            <w:tcW w:w="1098" w:type="dxa"/>
            <w:vAlign w:val="center"/>
            <w:hideMark/>
          </w:tcPr>
          <w:p w14:paraId="65ADA35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129.81</w:t>
            </w:r>
          </w:p>
        </w:tc>
        <w:tc>
          <w:tcPr>
            <w:tcW w:w="1275" w:type="dxa"/>
            <w:vAlign w:val="center"/>
            <w:hideMark/>
          </w:tcPr>
          <w:p w14:paraId="5160AC5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- 63.45</w:t>
            </w:r>
          </w:p>
        </w:tc>
        <w:tc>
          <w:tcPr>
            <w:tcW w:w="1133" w:type="dxa"/>
            <w:vAlign w:val="center"/>
            <w:hideMark/>
          </w:tcPr>
          <w:p w14:paraId="04BFFD4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73.16</w:t>
            </w:r>
          </w:p>
        </w:tc>
        <w:tc>
          <w:tcPr>
            <w:tcW w:w="1016" w:type="dxa"/>
            <w:vAlign w:val="center"/>
            <w:hideMark/>
          </w:tcPr>
          <w:p w14:paraId="5464D38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255.70</w:t>
            </w:r>
          </w:p>
        </w:tc>
        <w:tc>
          <w:tcPr>
            <w:tcW w:w="1254" w:type="dxa"/>
            <w:vAlign w:val="center"/>
            <w:hideMark/>
          </w:tcPr>
          <w:p w14:paraId="3B12CA9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119.09</w:t>
            </w:r>
          </w:p>
        </w:tc>
        <w:tc>
          <w:tcPr>
            <w:tcW w:w="1134" w:type="dxa"/>
            <w:vAlign w:val="center"/>
            <w:hideMark/>
          </w:tcPr>
          <w:p w14:paraId="5AF3BF3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63.45</w:t>
            </w:r>
          </w:p>
        </w:tc>
        <w:tc>
          <w:tcPr>
            <w:tcW w:w="992" w:type="dxa"/>
            <w:vAlign w:val="center"/>
            <w:hideMark/>
          </w:tcPr>
          <w:p w14:paraId="53FB036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182.54</w:t>
            </w:r>
          </w:p>
        </w:tc>
      </w:tr>
      <w:tr w:rsidR="00B302E0" w:rsidRPr="00AA0ADC" w14:paraId="5854B039" w14:textId="77777777" w:rsidTr="00B302E0">
        <w:trPr>
          <w:trHeight w:val="20"/>
          <w:jc w:val="center"/>
        </w:trPr>
        <w:tc>
          <w:tcPr>
            <w:tcW w:w="847" w:type="dxa"/>
            <w:vAlign w:val="center"/>
            <w:hideMark/>
          </w:tcPr>
          <w:p w14:paraId="0A33B00B"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7BF54E7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- 827.38</w:t>
            </w:r>
          </w:p>
        </w:tc>
        <w:tc>
          <w:tcPr>
            <w:tcW w:w="1098" w:type="dxa"/>
            <w:vAlign w:val="center"/>
            <w:hideMark/>
          </w:tcPr>
          <w:p w14:paraId="0CD10FF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524.59</w:t>
            </w:r>
          </w:p>
        </w:tc>
        <w:tc>
          <w:tcPr>
            <w:tcW w:w="1275" w:type="dxa"/>
            <w:vAlign w:val="center"/>
            <w:hideMark/>
          </w:tcPr>
          <w:p w14:paraId="4B5E48A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- 302.79</w:t>
            </w:r>
          </w:p>
        </w:tc>
        <w:tc>
          <w:tcPr>
            <w:tcW w:w="1133" w:type="dxa"/>
            <w:vAlign w:val="center"/>
            <w:hideMark/>
          </w:tcPr>
          <w:p w14:paraId="7B15106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320.96</w:t>
            </w:r>
          </w:p>
        </w:tc>
        <w:tc>
          <w:tcPr>
            <w:tcW w:w="1016" w:type="dxa"/>
            <w:vAlign w:val="center"/>
            <w:hideMark/>
          </w:tcPr>
          <w:p w14:paraId="7223C11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985.73</w:t>
            </w:r>
          </w:p>
        </w:tc>
        <w:tc>
          <w:tcPr>
            <w:tcW w:w="1254" w:type="dxa"/>
            <w:vAlign w:val="center"/>
            <w:hideMark/>
          </w:tcPr>
          <w:p w14:paraId="60B3A90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361.98</w:t>
            </w:r>
          </w:p>
        </w:tc>
        <w:tc>
          <w:tcPr>
            <w:tcW w:w="1134" w:type="dxa"/>
            <w:vAlign w:val="center"/>
            <w:hideMark/>
          </w:tcPr>
          <w:p w14:paraId="676886B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302.79</w:t>
            </w:r>
          </w:p>
        </w:tc>
        <w:tc>
          <w:tcPr>
            <w:tcW w:w="992" w:type="dxa"/>
            <w:vAlign w:val="center"/>
            <w:hideMark/>
          </w:tcPr>
          <w:p w14:paraId="300559D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664.77</w:t>
            </w:r>
          </w:p>
        </w:tc>
      </w:tr>
      <w:tr w:rsidR="00B302E0" w:rsidRPr="00AA0ADC" w14:paraId="30949BA4" w14:textId="77777777" w:rsidTr="00B302E0">
        <w:trPr>
          <w:trHeight w:val="20"/>
          <w:jc w:val="center"/>
        </w:trPr>
        <w:tc>
          <w:tcPr>
            <w:tcW w:w="9776" w:type="dxa"/>
            <w:gridSpan w:val="9"/>
            <w:vAlign w:val="center"/>
            <w:hideMark/>
          </w:tcPr>
          <w:p w14:paraId="45282808" w14:textId="44433D66" w:rsidR="00B302E0" w:rsidRPr="00B302E0" w:rsidRDefault="00B302E0" w:rsidP="00B302E0">
            <w:pPr>
              <w:pStyle w:val="NoSpacing"/>
              <w:rPr>
                <w:rFonts w:ascii="Times New Roman" w:hAnsi="Times New Roman" w:cs="Times New Roman"/>
                <w:b/>
                <w:bCs/>
                <w:sz w:val="18"/>
                <w:szCs w:val="18"/>
              </w:rPr>
            </w:pPr>
            <w:r w:rsidRPr="00B302E0">
              <w:rPr>
                <w:rFonts w:ascii="Times New Roman" w:hAnsi="Times New Roman" w:cs="Times New Roman"/>
                <w:b/>
                <w:bCs/>
                <w:sz w:val="18"/>
                <w:szCs w:val="18"/>
              </w:rPr>
              <w:t>State: HIMACHAL PRADESH</w:t>
            </w:r>
          </w:p>
        </w:tc>
      </w:tr>
      <w:tr w:rsidR="00B302E0" w:rsidRPr="00AA0ADC" w14:paraId="1643D306" w14:textId="77777777" w:rsidTr="00B302E0">
        <w:trPr>
          <w:trHeight w:val="20"/>
          <w:jc w:val="center"/>
        </w:trPr>
        <w:tc>
          <w:tcPr>
            <w:tcW w:w="847" w:type="dxa"/>
            <w:vAlign w:val="center"/>
            <w:hideMark/>
          </w:tcPr>
          <w:p w14:paraId="5023A929"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031D67C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- 314.44</w:t>
            </w:r>
          </w:p>
        </w:tc>
        <w:tc>
          <w:tcPr>
            <w:tcW w:w="1098" w:type="dxa"/>
            <w:vAlign w:val="center"/>
            <w:hideMark/>
          </w:tcPr>
          <w:p w14:paraId="1A232DF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200.69</w:t>
            </w:r>
          </w:p>
        </w:tc>
        <w:tc>
          <w:tcPr>
            <w:tcW w:w="1275" w:type="dxa"/>
            <w:vAlign w:val="center"/>
            <w:hideMark/>
          </w:tcPr>
          <w:p w14:paraId="52A7FD9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- 113.75</w:t>
            </w:r>
          </w:p>
        </w:tc>
        <w:tc>
          <w:tcPr>
            <w:tcW w:w="1133" w:type="dxa"/>
            <w:vAlign w:val="center"/>
            <w:hideMark/>
          </w:tcPr>
          <w:p w14:paraId="11B8103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142.30</w:t>
            </w:r>
          </w:p>
        </w:tc>
        <w:tc>
          <w:tcPr>
            <w:tcW w:w="1016" w:type="dxa"/>
            <w:vAlign w:val="center"/>
            <w:hideMark/>
          </w:tcPr>
          <w:p w14:paraId="5D53456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197.65</w:t>
            </w:r>
          </w:p>
        </w:tc>
        <w:tc>
          <w:tcPr>
            <w:tcW w:w="1254" w:type="dxa"/>
            <w:vAlign w:val="center"/>
            <w:hideMark/>
          </w:tcPr>
          <w:p w14:paraId="5E9A736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- 58.40</w:t>
            </w:r>
          </w:p>
        </w:tc>
        <w:tc>
          <w:tcPr>
            <w:tcW w:w="1134" w:type="dxa"/>
            <w:vAlign w:val="center"/>
            <w:hideMark/>
          </w:tcPr>
          <w:p w14:paraId="664B3C3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113.75</w:t>
            </w:r>
          </w:p>
        </w:tc>
        <w:tc>
          <w:tcPr>
            <w:tcW w:w="992" w:type="dxa"/>
            <w:vAlign w:val="center"/>
            <w:hideMark/>
          </w:tcPr>
          <w:p w14:paraId="6F511FF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55.35</w:t>
            </w:r>
          </w:p>
        </w:tc>
      </w:tr>
      <w:tr w:rsidR="00B302E0" w:rsidRPr="00AA0ADC" w14:paraId="1B1C2007" w14:textId="77777777" w:rsidTr="00B302E0">
        <w:trPr>
          <w:trHeight w:val="20"/>
          <w:jc w:val="center"/>
        </w:trPr>
        <w:tc>
          <w:tcPr>
            <w:tcW w:w="847" w:type="dxa"/>
            <w:vAlign w:val="center"/>
            <w:hideMark/>
          </w:tcPr>
          <w:p w14:paraId="43033890"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6D9DCCA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- 333.93</w:t>
            </w:r>
          </w:p>
        </w:tc>
        <w:tc>
          <w:tcPr>
            <w:tcW w:w="1098" w:type="dxa"/>
            <w:vAlign w:val="center"/>
            <w:hideMark/>
          </w:tcPr>
          <w:p w14:paraId="59C1AC9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224.26</w:t>
            </w:r>
          </w:p>
        </w:tc>
        <w:tc>
          <w:tcPr>
            <w:tcW w:w="1275" w:type="dxa"/>
            <w:vAlign w:val="center"/>
            <w:hideMark/>
          </w:tcPr>
          <w:p w14:paraId="7606E90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- 109.67</w:t>
            </w:r>
          </w:p>
        </w:tc>
        <w:tc>
          <w:tcPr>
            <w:tcW w:w="1133" w:type="dxa"/>
            <w:vAlign w:val="center"/>
            <w:hideMark/>
          </w:tcPr>
          <w:p w14:paraId="0227B3E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152.26</w:t>
            </w:r>
          </w:p>
        </w:tc>
        <w:tc>
          <w:tcPr>
            <w:tcW w:w="1016" w:type="dxa"/>
            <w:vAlign w:val="center"/>
            <w:hideMark/>
          </w:tcPr>
          <w:p w14:paraId="482C608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227.30</w:t>
            </w:r>
          </w:p>
        </w:tc>
        <w:tc>
          <w:tcPr>
            <w:tcW w:w="1254" w:type="dxa"/>
            <w:vAlign w:val="center"/>
            <w:hideMark/>
          </w:tcPr>
          <w:p w14:paraId="6980182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- 34.63</w:t>
            </w:r>
          </w:p>
        </w:tc>
        <w:tc>
          <w:tcPr>
            <w:tcW w:w="1134" w:type="dxa"/>
            <w:vAlign w:val="center"/>
            <w:hideMark/>
          </w:tcPr>
          <w:p w14:paraId="722C4DD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109.67</w:t>
            </w:r>
          </w:p>
        </w:tc>
        <w:tc>
          <w:tcPr>
            <w:tcW w:w="992" w:type="dxa"/>
            <w:vAlign w:val="center"/>
            <w:hideMark/>
          </w:tcPr>
          <w:p w14:paraId="28B3F71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75.04</w:t>
            </w:r>
          </w:p>
        </w:tc>
      </w:tr>
      <w:tr w:rsidR="00B302E0" w:rsidRPr="00AA0ADC" w14:paraId="1203AF3D" w14:textId="77777777" w:rsidTr="00B302E0">
        <w:trPr>
          <w:trHeight w:val="20"/>
          <w:jc w:val="center"/>
        </w:trPr>
        <w:tc>
          <w:tcPr>
            <w:tcW w:w="847" w:type="dxa"/>
            <w:vAlign w:val="center"/>
            <w:hideMark/>
          </w:tcPr>
          <w:p w14:paraId="21057620"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69916B5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- 355.24</w:t>
            </w:r>
          </w:p>
        </w:tc>
        <w:tc>
          <w:tcPr>
            <w:tcW w:w="1098" w:type="dxa"/>
            <w:vAlign w:val="center"/>
            <w:hideMark/>
          </w:tcPr>
          <w:p w14:paraId="0ACFA78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250.74</w:t>
            </w:r>
          </w:p>
        </w:tc>
        <w:tc>
          <w:tcPr>
            <w:tcW w:w="1275" w:type="dxa"/>
            <w:vAlign w:val="center"/>
            <w:hideMark/>
          </w:tcPr>
          <w:p w14:paraId="5B5B6F8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- 104.50</w:t>
            </w:r>
          </w:p>
        </w:tc>
        <w:tc>
          <w:tcPr>
            <w:tcW w:w="1133" w:type="dxa"/>
            <w:vAlign w:val="center"/>
            <w:hideMark/>
          </w:tcPr>
          <w:p w14:paraId="5DD1E3A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162.92</w:t>
            </w:r>
          </w:p>
        </w:tc>
        <w:tc>
          <w:tcPr>
            <w:tcW w:w="1016" w:type="dxa"/>
            <w:vAlign w:val="center"/>
            <w:hideMark/>
          </w:tcPr>
          <w:p w14:paraId="58169F0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261.39</w:t>
            </w:r>
          </w:p>
        </w:tc>
        <w:tc>
          <w:tcPr>
            <w:tcW w:w="1254" w:type="dxa"/>
            <w:vAlign w:val="center"/>
            <w:hideMark/>
          </w:tcPr>
          <w:p w14:paraId="76DFE64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- 6.03</w:t>
            </w:r>
          </w:p>
        </w:tc>
        <w:tc>
          <w:tcPr>
            <w:tcW w:w="1134" w:type="dxa"/>
            <w:vAlign w:val="center"/>
            <w:hideMark/>
          </w:tcPr>
          <w:p w14:paraId="0692DD2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104.50</w:t>
            </w:r>
          </w:p>
        </w:tc>
        <w:tc>
          <w:tcPr>
            <w:tcW w:w="992" w:type="dxa"/>
            <w:vAlign w:val="center"/>
            <w:hideMark/>
          </w:tcPr>
          <w:p w14:paraId="4B3A2E0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98.47</w:t>
            </w:r>
          </w:p>
        </w:tc>
      </w:tr>
      <w:tr w:rsidR="00B302E0" w:rsidRPr="00AA0ADC" w14:paraId="6413F738" w14:textId="77777777" w:rsidTr="00B302E0">
        <w:trPr>
          <w:trHeight w:val="20"/>
          <w:jc w:val="center"/>
        </w:trPr>
        <w:tc>
          <w:tcPr>
            <w:tcW w:w="847" w:type="dxa"/>
            <w:vAlign w:val="center"/>
            <w:hideMark/>
          </w:tcPr>
          <w:p w14:paraId="32666697"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1D7A87D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- 378.64</w:t>
            </w:r>
          </w:p>
        </w:tc>
        <w:tc>
          <w:tcPr>
            <w:tcW w:w="1098" w:type="dxa"/>
            <w:vAlign w:val="center"/>
            <w:hideMark/>
          </w:tcPr>
          <w:p w14:paraId="00BB47C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280.32</w:t>
            </w:r>
          </w:p>
        </w:tc>
        <w:tc>
          <w:tcPr>
            <w:tcW w:w="1275" w:type="dxa"/>
            <w:vAlign w:val="center"/>
            <w:hideMark/>
          </w:tcPr>
          <w:p w14:paraId="2BBCBDD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- 98.32</w:t>
            </w:r>
          </w:p>
        </w:tc>
        <w:tc>
          <w:tcPr>
            <w:tcW w:w="1133" w:type="dxa"/>
            <w:vAlign w:val="center"/>
            <w:hideMark/>
          </w:tcPr>
          <w:p w14:paraId="02CB84D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174.32</w:t>
            </w:r>
          </w:p>
        </w:tc>
        <w:tc>
          <w:tcPr>
            <w:tcW w:w="1016" w:type="dxa"/>
            <w:vAlign w:val="center"/>
            <w:hideMark/>
          </w:tcPr>
          <w:p w14:paraId="54B4507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300.60</w:t>
            </w:r>
          </w:p>
        </w:tc>
        <w:tc>
          <w:tcPr>
            <w:tcW w:w="1254" w:type="dxa"/>
            <w:vAlign w:val="center"/>
            <w:hideMark/>
          </w:tcPr>
          <w:p w14:paraId="247F95F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27.96</w:t>
            </w:r>
          </w:p>
        </w:tc>
        <w:tc>
          <w:tcPr>
            <w:tcW w:w="1134" w:type="dxa"/>
            <w:vAlign w:val="center"/>
            <w:hideMark/>
          </w:tcPr>
          <w:p w14:paraId="4DA9551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98.32</w:t>
            </w:r>
          </w:p>
        </w:tc>
        <w:tc>
          <w:tcPr>
            <w:tcW w:w="992" w:type="dxa"/>
            <w:vAlign w:val="center"/>
            <w:hideMark/>
          </w:tcPr>
          <w:p w14:paraId="7433035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126.28</w:t>
            </w:r>
          </w:p>
        </w:tc>
      </w:tr>
      <w:tr w:rsidR="00B302E0" w:rsidRPr="00AA0ADC" w14:paraId="185F778D" w14:textId="77777777" w:rsidTr="00B302E0">
        <w:trPr>
          <w:trHeight w:val="20"/>
          <w:jc w:val="center"/>
        </w:trPr>
        <w:tc>
          <w:tcPr>
            <w:tcW w:w="847" w:type="dxa"/>
            <w:vAlign w:val="center"/>
            <w:hideMark/>
          </w:tcPr>
          <w:p w14:paraId="6D001EA5"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38A4911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- 410.27</w:t>
            </w:r>
          </w:p>
        </w:tc>
        <w:tc>
          <w:tcPr>
            <w:tcW w:w="1098" w:type="dxa"/>
            <w:vAlign w:val="center"/>
            <w:hideMark/>
          </w:tcPr>
          <w:p w14:paraId="1C5EB74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313.42</w:t>
            </w:r>
          </w:p>
        </w:tc>
        <w:tc>
          <w:tcPr>
            <w:tcW w:w="1275" w:type="dxa"/>
            <w:vAlign w:val="center"/>
            <w:hideMark/>
          </w:tcPr>
          <w:p w14:paraId="78A936A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- 96.85</w:t>
            </w:r>
          </w:p>
        </w:tc>
        <w:tc>
          <w:tcPr>
            <w:tcW w:w="1133" w:type="dxa"/>
            <w:vAlign w:val="center"/>
            <w:hideMark/>
          </w:tcPr>
          <w:p w14:paraId="0EA21F5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186.53</w:t>
            </w:r>
          </w:p>
        </w:tc>
        <w:tc>
          <w:tcPr>
            <w:tcW w:w="1016" w:type="dxa"/>
            <w:vAlign w:val="center"/>
            <w:hideMark/>
          </w:tcPr>
          <w:p w14:paraId="7C99773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345.69</w:t>
            </w:r>
          </w:p>
        </w:tc>
        <w:tc>
          <w:tcPr>
            <w:tcW w:w="1254" w:type="dxa"/>
            <w:vAlign w:val="center"/>
            <w:hideMark/>
          </w:tcPr>
          <w:p w14:paraId="267F69A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62.31</w:t>
            </w:r>
          </w:p>
        </w:tc>
        <w:tc>
          <w:tcPr>
            <w:tcW w:w="1134" w:type="dxa"/>
            <w:vAlign w:val="center"/>
            <w:hideMark/>
          </w:tcPr>
          <w:p w14:paraId="0105CC8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96.85</w:t>
            </w:r>
          </w:p>
        </w:tc>
        <w:tc>
          <w:tcPr>
            <w:tcW w:w="992" w:type="dxa"/>
            <w:vAlign w:val="center"/>
            <w:hideMark/>
          </w:tcPr>
          <w:p w14:paraId="5683C66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159.16</w:t>
            </w:r>
          </w:p>
        </w:tc>
      </w:tr>
      <w:tr w:rsidR="00B302E0" w:rsidRPr="00AA0ADC" w14:paraId="791088CD" w14:textId="77777777" w:rsidTr="00B302E0">
        <w:trPr>
          <w:trHeight w:val="20"/>
          <w:jc w:val="center"/>
        </w:trPr>
        <w:tc>
          <w:tcPr>
            <w:tcW w:w="847" w:type="dxa"/>
            <w:vAlign w:val="center"/>
            <w:hideMark/>
          </w:tcPr>
          <w:p w14:paraId="217A0D27"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62575C1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- 1792.52</w:t>
            </w:r>
          </w:p>
        </w:tc>
        <w:tc>
          <w:tcPr>
            <w:tcW w:w="1098" w:type="dxa"/>
            <w:vAlign w:val="center"/>
            <w:hideMark/>
          </w:tcPr>
          <w:p w14:paraId="4C74F72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1269.43</w:t>
            </w:r>
          </w:p>
        </w:tc>
        <w:tc>
          <w:tcPr>
            <w:tcW w:w="1275" w:type="dxa"/>
            <w:vAlign w:val="center"/>
            <w:hideMark/>
          </w:tcPr>
          <w:p w14:paraId="3E39BB3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- 523.09</w:t>
            </w:r>
          </w:p>
        </w:tc>
        <w:tc>
          <w:tcPr>
            <w:tcW w:w="1133" w:type="dxa"/>
            <w:vAlign w:val="center"/>
            <w:hideMark/>
          </w:tcPr>
          <w:p w14:paraId="47CF8A4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818.33</w:t>
            </w:r>
          </w:p>
        </w:tc>
        <w:tc>
          <w:tcPr>
            <w:tcW w:w="1016" w:type="dxa"/>
            <w:vAlign w:val="center"/>
            <w:hideMark/>
          </w:tcPr>
          <w:p w14:paraId="7FF90EE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1332.63</w:t>
            </w:r>
          </w:p>
        </w:tc>
        <w:tc>
          <w:tcPr>
            <w:tcW w:w="1254" w:type="dxa"/>
            <w:vAlign w:val="center"/>
            <w:hideMark/>
          </w:tcPr>
          <w:p w14:paraId="10BD7B7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- 8.79</w:t>
            </w:r>
          </w:p>
        </w:tc>
        <w:tc>
          <w:tcPr>
            <w:tcW w:w="1134" w:type="dxa"/>
            <w:vAlign w:val="center"/>
            <w:hideMark/>
          </w:tcPr>
          <w:p w14:paraId="5036BCC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523.09</w:t>
            </w:r>
          </w:p>
        </w:tc>
        <w:tc>
          <w:tcPr>
            <w:tcW w:w="992" w:type="dxa"/>
            <w:vAlign w:val="center"/>
            <w:hideMark/>
          </w:tcPr>
          <w:p w14:paraId="5EF506B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514.30</w:t>
            </w:r>
          </w:p>
        </w:tc>
      </w:tr>
      <w:tr w:rsidR="00B302E0" w:rsidRPr="00AA0ADC" w14:paraId="2F37D57A" w14:textId="77777777" w:rsidTr="00B302E0">
        <w:trPr>
          <w:trHeight w:val="20"/>
          <w:jc w:val="center"/>
        </w:trPr>
        <w:tc>
          <w:tcPr>
            <w:tcW w:w="9776" w:type="dxa"/>
            <w:gridSpan w:val="9"/>
            <w:vAlign w:val="center"/>
            <w:hideMark/>
          </w:tcPr>
          <w:p w14:paraId="2C721261" w14:textId="07271DD1" w:rsidR="00B302E0" w:rsidRPr="00B302E0" w:rsidRDefault="00B302E0" w:rsidP="00B302E0">
            <w:pPr>
              <w:pStyle w:val="NoSpacing"/>
              <w:rPr>
                <w:rFonts w:ascii="Times New Roman" w:hAnsi="Times New Roman" w:cs="Times New Roman"/>
                <w:b/>
                <w:bCs/>
                <w:sz w:val="18"/>
                <w:szCs w:val="18"/>
              </w:rPr>
            </w:pPr>
            <w:r w:rsidRPr="00B302E0">
              <w:rPr>
                <w:rFonts w:ascii="Times New Roman" w:hAnsi="Times New Roman" w:cs="Times New Roman"/>
                <w:b/>
                <w:bCs/>
                <w:sz w:val="18"/>
                <w:szCs w:val="18"/>
              </w:rPr>
              <w:t>State: MANIPUR</w:t>
            </w:r>
          </w:p>
        </w:tc>
      </w:tr>
      <w:tr w:rsidR="00B302E0" w:rsidRPr="00AA0ADC" w14:paraId="244EFF1B" w14:textId="77777777" w:rsidTr="00B302E0">
        <w:trPr>
          <w:trHeight w:val="20"/>
          <w:jc w:val="center"/>
        </w:trPr>
        <w:tc>
          <w:tcPr>
            <w:tcW w:w="847" w:type="dxa"/>
            <w:vAlign w:val="center"/>
            <w:hideMark/>
          </w:tcPr>
          <w:p w14:paraId="0C0572AE"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480D2A0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- 186.94</w:t>
            </w:r>
          </w:p>
        </w:tc>
        <w:tc>
          <w:tcPr>
            <w:tcW w:w="1098" w:type="dxa"/>
            <w:vAlign w:val="center"/>
            <w:hideMark/>
          </w:tcPr>
          <w:p w14:paraId="3C11CD1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112.02</w:t>
            </w:r>
          </w:p>
        </w:tc>
        <w:tc>
          <w:tcPr>
            <w:tcW w:w="1275" w:type="dxa"/>
            <w:vAlign w:val="center"/>
            <w:hideMark/>
          </w:tcPr>
          <w:p w14:paraId="11F6E6C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- 74.92</w:t>
            </w:r>
          </w:p>
        </w:tc>
        <w:tc>
          <w:tcPr>
            <w:tcW w:w="1133" w:type="dxa"/>
            <w:vAlign w:val="center"/>
            <w:hideMark/>
          </w:tcPr>
          <w:p w14:paraId="4800CCF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51.01</w:t>
            </w:r>
          </w:p>
        </w:tc>
        <w:tc>
          <w:tcPr>
            <w:tcW w:w="1016" w:type="dxa"/>
            <w:vAlign w:val="center"/>
            <w:hideMark/>
          </w:tcPr>
          <w:p w14:paraId="61C4FE8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139.44</w:t>
            </w:r>
          </w:p>
        </w:tc>
        <w:tc>
          <w:tcPr>
            <w:tcW w:w="1254" w:type="dxa"/>
            <w:vAlign w:val="center"/>
            <w:hideMark/>
          </w:tcPr>
          <w:p w14:paraId="5D66054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13.51</w:t>
            </w:r>
          </w:p>
        </w:tc>
        <w:tc>
          <w:tcPr>
            <w:tcW w:w="1134" w:type="dxa"/>
            <w:vAlign w:val="center"/>
            <w:hideMark/>
          </w:tcPr>
          <w:p w14:paraId="2DE4FBB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74.92</w:t>
            </w:r>
          </w:p>
        </w:tc>
        <w:tc>
          <w:tcPr>
            <w:tcW w:w="992" w:type="dxa"/>
            <w:vAlign w:val="center"/>
            <w:hideMark/>
          </w:tcPr>
          <w:p w14:paraId="44985DB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88.43</w:t>
            </w:r>
          </w:p>
        </w:tc>
      </w:tr>
      <w:tr w:rsidR="00B302E0" w:rsidRPr="00AA0ADC" w14:paraId="27024A29" w14:textId="77777777" w:rsidTr="00B302E0">
        <w:trPr>
          <w:trHeight w:val="20"/>
          <w:jc w:val="center"/>
        </w:trPr>
        <w:tc>
          <w:tcPr>
            <w:tcW w:w="847" w:type="dxa"/>
            <w:vAlign w:val="center"/>
            <w:hideMark/>
          </w:tcPr>
          <w:p w14:paraId="059D844E"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06E9617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- 200.20</w:t>
            </w:r>
          </w:p>
        </w:tc>
        <w:tc>
          <w:tcPr>
            <w:tcW w:w="1098" w:type="dxa"/>
            <w:vAlign w:val="center"/>
            <w:hideMark/>
          </w:tcPr>
          <w:p w14:paraId="424D678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125.30</w:t>
            </w:r>
          </w:p>
        </w:tc>
        <w:tc>
          <w:tcPr>
            <w:tcW w:w="1275" w:type="dxa"/>
            <w:vAlign w:val="center"/>
            <w:hideMark/>
          </w:tcPr>
          <w:p w14:paraId="2E8A6B1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- 74.90</w:t>
            </w:r>
          </w:p>
        </w:tc>
        <w:tc>
          <w:tcPr>
            <w:tcW w:w="1133" w:type="dxa"/>
            <w:vAlign w:val="center"/>
            <w:hideMark/>
          </w:tcPr>
          <w:p w14:paraId="0F3ADCD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54.58</w:t>
            </w:r>
          </w:p>
        </w:tc>
        <w:tc>
          <w:tcPr>
            <w:tcW w:w="1016" w:type="dxa"/>
            <w:vAlign w:val="center"/>
            <w:hideMark/>
          </w:tcPr>
          <w:p w14:paraId="6036361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160.35</w:t>
            </w:r>
          </w:p>
        </w:tc>
        <w:tc>
          <w:tcPr>
            <w:tcW w:w="1254" w:type="dxa"/>
            <w:vAlign w:val="center"/>
            <w:hideMark/>
          </w:tcPr>
          <w:p w14:paraId="1AC6B78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30.87</w:t>
            </w:r>
          </w:p>
        </w:tc>
        <w:tc>
          <w:tcPr>
            <w:tcW w:w="1134" w:type="dxa"/>
            <w:vAlign w:val="center"/>
            <w:hideMark/>
          </w:tcPr>
          <w:p w14:paraId="547A6F7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74.90</w:t>
            </w:r>
          </w:p>
        </w:tc>
        <w:tc>
          <w:tcPr>
            <w:tcW w:w="992" w:type="dxa"/>
            <w:vAlign w:val="center"/>
            <w:hideMark/>
          </w:tcPr>
          <w:p w14:paraId="7813B48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105.77</w:t>
            </w:r>
          </w:p>
        </w:tc>
      </w:tr>
      <w:tr w:rsidR="00B302E0" w:rsidRPr="00AA0ADC" w14:paraId="4BFB1817" w14:textId="77777777" w:rsidTr="00B302E0">
        <w:trPr>
          <w:trHeight w:val="20"/>
          <w:jc w:val="center"/>
        </w:trPr>
        <w:tc>
          <w:tcPr>
            <w:tcW w:w="847" w:type="dxa"/>
            <w:vAlign w:val="center"/>
            <w:hideMark/>
          </w:tcPr>
          <w:p w14:paraId="1DE3BE92"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451298F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- 214.63</w:t>
            </w:r>
          </w:p>
        </w:tc>
        <w:tc>
          <w:tcPr>
            <w:tcW w:w="1098" w:type="dxa"/>
            <w:vAlign w:val="center"/>
            <w:hideMark/>
          </w:tcPr>
          <w:p w14:paraId="75822E5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140.23</w:t>
            </w:r>
          </w:p>
        </w:tc>
        <w:tc>
          <w:tcPr>
            <w:tcW w:w="1275" w:type="dxa"/>
            <w:vAlign w:val="center"/>
            <w:hideMark/>
          </w:tcPr>
          <w:p w14:paraId="1E38A2D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- 74.40</w:t>
            </w:r>
          </w:p>
        </w:tc>
        <w:tc>
          <w:tcPr>
            <w:tcW w:w="1133" w:type="dxa"/>
            <w:vAlign w:val="center"/>
            <w:hideMark/>
          </w:tcPr>
          <w:p w14:paraId="7DCACBE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58.40</w:t>
            </w:r>
          </w:p>
        </w:tc>
        <w:tc>
          <w:tcPr>
            <w:tcW w:w="1016" w:type="dxa"/>
            <w:vAlign w:val="center"/>
            <w:hideMark/>
          </w:tcPr>
          <w:p w14:paraId="67FDE5B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184.41</w:t>
            </w:r>
          </w:p>
        </w:tc>
        <w:tc>
          <w:tcPr>
            <w:tcW w:w="1254" w:type="dxa"/>
            <w:vAlign w:val="center"/>
            <w:hideMark/>
          </w:tcPr>
          <w:p w14:paraId="1262745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51.61</w:t>
            </w:r>
          </w:p>
        </w:tc>
        <w:tc>
          <w:tcPr>
            <w:tcW w:w="1134" w:type="dxa"/>
            <w:vAlign w:val="center"/>
            <w:hideMark/>
          </w:tcPr>
          <w:p w14:paraId="66155BA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74.40</w:t>
            </w:r>
          </w:p>
        </w:tc>
        <w:tc>
          <w:tcPr>
            <w:tcW w:w="992" w:type="dxa"/>
            <w:vAlign w:val="center"/>
            <w:hideMark/>
          </w:tcPr>
          <w:p w14:paraId="5C693AA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126.01</w:t>
            </w:r>
          </w:p>
        </w:tc>
      </w:tr>
      <w:tr w:rsidR="00B302E0" w:rsidRPr="00AA0ADC" w14:paraId="40126EFE" w14:textId="77777777" w:rsidTr="00B302E0">
        <w:trPr>
          <w:trHeight w:val="20"/>
          <w:jc w:val="center"/>
        </w:trPr>
        <w:tc>
          <w:tcPr>
            <w:tcW w:w="847" w:type="dxa"/>
            <w:vAlign w:val="center"/>
            <w:hideMark/>
          </w:tcPr>
          <w:p w14:paraId="7AD80FE1"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4DE62FA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- 230.24</w:t>
            </w:r>
          </w:p>
        </w:tc>
        <w:tc>
          <w:tcPr>
            <w:tcW w:w="1098" w:type="dxa"/>
            <w:vAlign w:val="center"/>
            <w:hideMark/>
          </w:tcPr>
          <w:p w14:paraId="12BF493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156.92</w:t>
            </w:r>
          </w:p>
        </w:tc>
        <w:tc>
          <w:tcPr>
            <w:tcW w:w="1275" w:type="dxa"/>
            <w:vAlign w:val="center"/>
            <w:hideMark/>
          </w:tcPr>
          <w:p w14:paraId="4F68FFF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- 73.32</w:t>
            </w:r>
          </w:p>
        </w:tc>
        <w:tc>
          <w:tcPr>
            <w:tcW w:w="1133" w:type="dxa"/>
            <w:vAlign w:val="center"/>
            <w:hideMark/>
          </w:tcPr>
          <w:p w14:paraId="0A2FEAD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62.49</w:t>
            </w:r>
          </w:p>
        </w:tc>
        <w:tc>
          <w:tcPr>
            <w:tcW w:w="1016" w:type="dxa"/>
            <w:vAlign w:val="center"/>
            <w:hideMark/>
          </w:tcPr>
          <w:p w14:paraId="6B51F51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212.07</w:t>
            </w:r>
          </w:p>
        </w:tc>
        <w:tc>
          <w:tcPr>
            <w:tcW w:w="1254" w:type="dxa"/>
            <w:vAlign w:val="center"/>
            <w:hideMark/>
          </w:tcPr>
          <w:p w14:paraId="4234D7F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76.26</w:t>
            </w:r>
          </w:p>
        </w:tc>
        <w:tc>
          <w:tcPr>
            <w:tcW w:w="1134" w:type="dxa"/>
            <w:vAlign w:val="center"/>
            <w:hideMark/>
          </w:tcPr>
          <w:p w14:paraId="004DD96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73.32</w:t>
            </w:r>
          </w:p>
        </w:tc>
        <w:tc>
          <w:tcPr>
            <w:tcW w:w="992" w:type="dxa"/>
            <w:vAlign w:val="center"/>
            <w:hideMark/>
          </w:tcPr>
          <w:p w14:paraId="459A008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149.58</w:t>
            </w:r>
          </w:p>
        </w:tc>
      </w:tr>
      <w:tr w:rsidR="00B302E0" w:rsidRPr="00AA0ADC" w14:paraId="4E0A8830" w14:textId="77777777" w:rsidTr="00B302E0">
        <w:trPr>
          <w:trHeight w:val="20"/>
          <w:jc w:val="center"/>
        </w:trPr>
        <w:tc>
          <w:tcPr>
            <w:tcW w:w="847" w:type="dxa"/>
            <w:vAlign w:val="center"/>
            <w:hideMark/>
          </w:tcPr>
          <w:p w14:paraId="1E38E07D"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0708E99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- 249.71</w:t>
            </w:r>
          </w:p>
        </w:tc>
        <w:tc>
          <w:tcPr>
            <w:tcW w:w="1098" w:type="dxa"/>
            <w:vAlign w:val="center"/>
            <w:hideMark/>
          </w:tcPr>
          <w:p w14:paraId="7BF4FE1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175.60</w:t>
            </w:r>
          </w:p>
        </w:tc>
        <w:tc>
          <w:tcPr>
            <w:tcW w:w="1275" w:type="dxa"/>
            <w:vAlign w:val="center"/>
            <w:hideMark/>
          </w:tcPr>
          <w:p w14:paraId="00C4D52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- 74.11</w:t>
            </w:r>
          </w:p>
        </w:tc>
        <w:tc>
          <w:tcPr>
            <w:tcW w:w="1133" w:type="dxa"/>
            <w:vAlign w:val="center"/>
            <w:hideMark/>
          </w:tcPr>
          <w:p w14:paraId="1A33264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66.86</w:t>
            </w:r>
          </w:p>
        </w:tc>
        <w:tc>
          <w:tcPr>
            <w:tcW w:w="1016" w:type="dxa"/>
            <w:vAlign w:val="center"/>
            <w:hideMark/>
          </w:tcPr>
          <w:p w14:paraId="3750EA4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243.88</w:t>
            </w:r>
          </w:p>
        </w:tc>
        <w:tc>
          <w:tcPr>
            <w:tcW w:w="1254" w:type="dxa"/>
            <w:vAlign w:val="center"/>
            <w:hideMark/>
          </w:tcPr>
          <w:p w14:paraId="3637B13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102.91</w:t>
            </w:r>
          </w:p>
        </w:tc>
        <w:tc>
          <w:tcPr>
            <w:tcW w:w="1134" w:type="dxa"/>
            <w:vAlign w:val="center"/>
            <w:hideMark/>
          </w:tcPr>
          <w:p w14:paraId="11976FC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74.11</w:t>
            </w:r>
          </w:p>
        </w:tc>
        <w:tc>
          <w:tcPr>
            <w:tcW w:w="992" w:type="dxa"/>
            <w:vAlign w:val="center"/>
            <w:hideMark/>
          </w:tcPr>
          <w:p w14:paraId="79A8712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177.02</w:t>
            </w:r>
          </w:p>
        </w:tc>
      </w:tr>
      <w:tr w:rsidR="00B302E0" w:rsidRPr="00AA0ADC" w14:paraId="1A0F1E95" w14:textId="77777777" w:rsidTr="00B302E0">
        <w:trPr>
          <w:trHeight w:val="20"/>
          <w:jc w:val="center"/>
        </w:trPr>
        <w:tc>
          <w:tcPr>
            <w:tcW w:w="847" w:type="dxa"/>
            <w:vAlign w:val="center"/>
            <w:hideMark/>
          </w:tcPr>
          <w:p w14:paraId="0517862A"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72829BD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- 1081.72</w:t>
            </w:r>
          </w:p>
        </w:tc>
        <w:tc>
          <w:tcPr>
            <w:tcW w:w="1098" w:type="dxa"/>
            <w:vAlign w:val="center"/>
            <w:hideMark/>
          </w:tcPr>
          <w:p w14:paraId="17A2B71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710.07</w:t>
            </w:r>
          </w:p>
        </w:tc>
        <w:tc>
          <w:tcPr>
            <w:tcW w:w="1275" w:type="dxa"/>
            <w:vAlign w:val="center"/>
            <w:hideMark/>
          </w:tcPr>
          <w:p w14:paraId="5855E72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- 371.65</w:t>
            </w:r>
          </w:p>
        </w:tc>
        <w:tc>
          <w:tcPr>
            <w:tcW w:w="1133" w:type="dxa"/>
            <w:vAlign w:val="center"/>
            <w:hideMark/>
          </w:tcPr>
          <w:p w14:paraId="7291DD8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293.34</w:t>
            </w:r>
          </w:p>
        </w:tc>
        <w:tc>
          <w:tcPr>
            <w:tcW w:w="1016" w:type="dxa"/>
            <w:vAlign w:val="center"/>
            <w:hideMark/>
          </w:tcPr>
          <w:p w14:paraId="60EC180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940.15</w:t>
            </w:r>
          </w:p>
        </w:tc>
        <w:tc>
          <w:tcPr>
            <w:tcW w:w="1254" w:type="dxa"/>
            <w:vAlign w:val="center"/>
            <w:hideMark/>
          </w:tcPr>
          <w:p w14:paraId="5C63716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275.16</w:t>
            </w:r>
          </w:p>
        </w:tc>
        <w:tc>
          <w:tcPr>
            <w:tcW w:w="1134" w:type="dxa"/>
            <w:vAlign w:val="center"/>
            <w:hideMark/>
          </w:tcPr>
          <w:p w14:paraId="6E017B1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371.65</w:t>
            </w:r>
          </w:p>
        </w:tc>
        <w:tc>
          <w:tcPr>
            <w:tcW w:w="992" w:type="dxa"/>
            <w:vAlign w:val="center"/>
            <w:hideMark/>
          </w:tcPr>
          <w:p w14:paraId="49DC0DE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646.81</w:t>
            </w:r>
          </w:p>
        </w:tc>
      </w:tr>
      <w:tr w:rsidR="00B302E0" w:rsidRPr="00AA0ADC" w14:paraId="2FE109D9" w14:textId="77777777" w:rsidTr="00B302E0">
        <w:trPr>
          <w:trHeight w:val="20"/>
          <w:jc w:val="center"/>
        </w:trPr>
        <w:tc>
          <w:tcPr>
            <w:tcW w:w="847" w:type="dxa"/>
            <w:vAlign w:val="center"/>
            <w:hideMark/>
          </w:tcPr>
          <w:p w14:paraId="5114F9AB" w14:textId="77777777" w:rsidR="002C06DC" w:rsidRPr="00AA0ADC" w:rsidRDefault="002C06DC" w:rsidP="00F6454C">
            <w:pPr>
              <w:pStyle w:val="NoSpacing"/>
              <w:rPr>
                <w:rFonts w:ascii="Times New Roman" w:hAnsi="Times New Roman" w:cs="Times New Roman"/>
                <w:sz w:val="18"/>
                <w:szCs w:val="18"/>
              </w:rPr>
            </w:pPr>
          </w:p>
        </w:tc>
        <w:tc>
          <w:tcPr>
            <w:tcW w:w="1027" w:type="dxa"/>
            <w:vAlign w:val="center"/>
            <w:hideMark/>
          </w:tcPr>
          <w:p w14:paraId="2CBAF029" w14:textId="77777777" w:rsidR="002C06DC" w:rsidRPr="00AA0ADC" w:rsidRDefault="002C06DC" w:rsidP="00F6454C">
            <w:pPr>
              <w:pStyle w:val="NoSpacing"/>
              <w:jc w:val="center"/>
              <w:rPr>
                <w:rFonts w:ascii="Times New Roman" w:hAnsi="Times New Roman" w:cs="Times New Roman"/>
                <w:sz w:val="18"/>
                <w:szCs w:val="18"/>
              </w:rPr>
            </w:pPr>
          </w:p>
        </w:tc>
        <w:tc>
          <w:tcPr>
            <w:tcW w:w="1098" w:type="dxa"/>
            <w:vAlign w:val="center"/>
            <w:hideMark/>
          </w:tcPr>
          <w:p w14:paraId="1A9C22F9" w14:textId="77777777" w:rsidR="002C06DC" w:rsidRPr="00AA0ADC" w:rsidRDefault="002C06DC" w:rsidP="00F6454C">
            <w:pPr>
              <w:pStyle w:val="NoSpacing"/>
              <w:jc w:val="center"/>
              <w:rPr>
                <w:rFonts w:ascii="Times New Roman" w:hAnsi="Times New Roman" w:cs="Times New Roman"/>
                <w:sz w:val="18"/>
                <w:szCs w:val="18"/>
              </w:rPr>
            </w:pPr>
          </w:p>
        </w:tc>
        <w:tc>
          <w:tcPr>
            <w:tcW w:w="1275" w:type="dxa"/>
            <w:vAlign w:val="center"/>
            <w:hideMark/>
          </w:tcPr>
          <w:p w14:paraId="72F66845" w14:textId="77777777" w:rsidR="002C06DC" w:rsidRPr="00AA0ADC" w:rsidRDefault="002C06DC" w:rsidP="00F6454C">
            <w:pPr>
              <w:pStyle w:val="NoSpacing"/>
              <w:jc w:val="center"/>
              <w:rPr>
                <w:rFonts w:ascii="Times New Roman" w:hAnsi="Times New Roman" w:cs="Times New Roman"/>
                <w:sz w:val="18"/>
                <w:szCs w:val="18"/>
              </w:rPr>
            </w:pPr>
          </w:p>
        </w:tc>
        <w:tc>
          <w:tcPr>
            <w:tcW w:w="1133" w:type="dxa"/>
            <w:vAlign w:val="center"/>
            <w:hideMark/>
          </w:tcPr>
          <w:p w14:paraId="720B19A5" w14:textId="77777777" w:rsidR="002C06DC" w:rsidRPr="00AA0ADC" w:rsidRDefault="002C06DC" w:rsidP="00F6454C">
            <w:pPr>
              <w:pStyle w:val="NoSpacing"/>
              <w:jc w:val="center"/>
              <w:rPr>
                <w:rFonts w:ascii="Times New Roman" w:hAnsi="Times New Roman" w:cs="Times New Roman"/>
                <w:sz w:val="18"/>
                <w:szCs w:val="18"/>
              </w:rPr>
            </w:pPr>
          </w:p>
        </w:tc>
        <w:tc>
          <w:tcPr>
            <w:tcW w:w="1016" w:type="dxa"/>
            <w:vAlign w:val="center"/>
            <w:hideMark/>
          </w:tcPr>
          <w:p w14:paraId="2EE3D570" w14:textId="77777777" w:rsidR="002C06DC" w:rsidRPr="00AA0ADC" w:rsidRDefault="002C06DC" w:rsidP="00F6454C">
            <w:pPr>
              <w:pStyle w:val="NoSpacing"/>
              <w:jc w:val="center"/>
              <w:rPr>
                <w:rFonts w:ascii="Times New Roman" w:hAnsi="Times New Roman" w:cs="Times New Roman"/>
                <w:sz w:val="18"/>
                <w:szCs w:val="18"/>
              </w:rPr>
            </w:pPr>
          </w:p>
        </w:tc>
        <w:tc>
          <w:tcPr>
            <w:tcW w:w="1254" w:type="dxa"/>
            <w:vAlign w:val="center"/>
            <w:hideMark/>
          </w:tcPr>
          <w:p w14:paraId="75800552" w14:textId="77777777" w:rsidR="002C06DC" w:rsidRPr="00AA0ADC" w:rsidRDefault="002C06DC" w:rsidP="00F6454C">
            <w:pPr>
              <w:pStyle w:val="NoSpacing"/>
              <w:jc w:val="center"/>
              <w:rPr>
                <w:rFonts w:ascii="Times New Roman" w:hAnsi="Times New Roman" w:cs="Times New Roman"/>
                <w:sz w:val="18"/>
                <w:szCs w:val="18"/>
              </w:rPr>
            </w:pPr>
          </w:p>
        </w:tc>
        <w:tc>
          <w:tcPr>
            <w:tcW w:w="1134" w:type="dxa"/>
            <w:vAlign w:val="center"/>
            <w:hideMark/>
          </w:tcPr>
          <w:p w14:paraId="4B59209C" w14:textId="77777777" w:rsidR="002C06DC" w:rsidRPr="00AA0ADC" w:rsidRDefault="002C06DC" w:rsidP="00F6454C">
            <w:pPr>
              <w:pStyle w:val="NoSpacing"/>
              <w:jc w:val="center"/>
              <w:rPr>
                <w:rFonts w:ascii="Times New Roman" w:hAnsi="Times New Roman" w:cs="Times New Roman"/>
                <w:sz w:val="18"/>
                <w:szCs w:val="18"/>
              </w:rPr>
            </w:pPr>
          </w:p>
        </w:tc>
        <w:tc>
          <w:tcPr>
            <w:tcW w:w="992" w:type="dxa"/>
            <w:vAlign w:val="center"/>
            <w:hideMark/>
          </w:tcPr>
          <w:p w14:paraId="3544EA66" w14:textId="77777777" w:rsidR="002C06DC" w:rsidRPr="00AA0ADC" w:rsidRDefault="002C06DC" w:rsidP="00F6454C">
            <w:pPr>
              <w:pStyle w:val="NoSpacing"/>
              <w:jc w:val="center"/>
              <w:rPr>
                <w:rFonts w:ascii="Times New Roman" w:hAnsi="Times New Roman" w:cs="Times New Roman"/>
                <w:sz w:val="18"/>
                <w:szCs w:val="18"/>
              </w:rPr>
            </w:pPr>
          </w:p>
        </w:tc>
      </w:tr>
      <w:tr w:rsidR="00B302E0" w:rsidRPr="00AA0ADC" w14:paraId="10311FEB" w14:textId="77777777" w:rsidTr="00B302E0">
        <w:trPr>
          <w:trHeight w:val="20"/>
          <w:jc w:val="center"/>
        </w:trPr>
        <w:tc>
          <w:tcPr>
            <w:tcW w:w="9776" w:type="dxa"/>
            <w:gridSpan w:val="9"/>
            <w:vAlign w:val="center"/>
            <w:hideMark/>
          </w:tcPr>
          <w:p w14:paraId="6DE54912" w14:textId="7C06F23B" w:rsidR="00B302E0" w:rsidRPr="00B302E0" w:rsidRDefault="00B302E0" w:rsidP="00B302E0">
            <w:pPr>
              <w:pStyle w:val="NoSpacing"/>
              <w:rPr>
                <w:rFonts w:ascii="Times New Roman" w:hAnsi="Times New Roman" w:cs="Times New Roman"/>
                <w:b/>
                <w:bCs/>
                <w:sz w:val="18"/>
                <w:szCs w:val="18"/>
              </w:rPr>
            </w:pPr>
            <w:r w:rsidRPr="00B302E0">
              <w:rPr>
                <w:rFonts w:ascii="Times New Roman" w:hAnsi="Times New Roman" w:cs="Times New Roman"/>
                <w:b/>
                <w:bCs/>
                <w:sz w:val="18"/>
                <w:szCs w:val="18"/>
              </w:rPr>
              <w:t>State: MEGHALAYA</w:t>
            </w:r>
          </w:p>
        </w:tc>
      </w:tr>
      <w:tr w:rsidR="00B302E0" w:rsidRPr="00AA0ADC" w14:paraId="17C7A576" w14:textId="77777777" w:rsidTr="00B302E0">
        <w:trPr>
          <w:trHeight w:val="20"/>
          <w:jc w:val="center"/>
        </w:trPr>
        <w:tc>
          <w:tcPr>
            <w:tcW w:w="847" w:type="dxa"/>
            <w:vAlign w:val="center"/>
            <w:hideMark/>
          </w:tcPr>
          <w:p w14:paraId="47A22EE5"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33EDEDB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- 147.85</w:t>
            </w:r>
          </w:p>
        </w:tc>
        <w:tc>
          <w:tcPr>
            <w:tcW w:w="1098" w:type="dxa"/>
            <w:vAlign w:val="center"/>
            <w:hideMark/>
          </w:tcPr>
          <w:p w14:paraId="49C48BB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88.17</w:t>
            </w:r>
          </w:p>
        </w:tc>
        <w:tc>
          <w:tcPr>
            <w:tcW w:w="1275" w:type="dxa"/>
            <w:vAlign w:val="center"/>
            <w:hideMark/>
          </w:tcPr>
          <w:p w14:paraId="14310BA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- 58.88</w:t>
            </w:r>
          </w:p>
        </w:tc>
        <w:tc>
          <w:tcPr>
            <w:tcW w:w="1133" w:type="dxa"/>
            <w:vAlign w:val="center"/>
            <w:hideMark/>
          </w:tcPr>
          <w:p w14:paraId="3899D30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64.75</w:t>
            </w:r>
          </w:p>
        </w:tc>
        <w:tc>
          <w:tcPr>
            <w:tcW w:w="1016" w:type="dxa"/>
            <w:vAlign w:val="center"/>
            <w:hideMark/>
          </w:tcPr>
          <w:p w14:paraId="00416B9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134.35</w:t>
            </w:r>
          </w:p>
        </w:tc>
        <w:tc>
          <w:tcPr>
            <w:tcW w:w="1254" w:type="dxa"/>
            <w:vAlign w:val="center"/>
            <w:hideMark/>
          </w:tcPr>
          <w:p w14:paraId="68C9549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10.72</w:t>
            </w:r>
          </w:p>
        </w:tc>
        <w:tc>
          <w:tcPr>
            <w:tcW w:w="1134" w:type="dxa"/>
            <w:vAlign w:val="center"/>
            <w:hideMark/>
          </w:tcPr>
          <w:p w14:paraId="0EBF5C2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58.88</w:t>
            </w:r>
          </w:p>
        </w:tc>
        <w:tc>
          <w:tcPr>
            <w:tcW w:w="992" w:type="dxa"/>
            <w:vAlign w:val="center"/>
            <w:hideMark/>
          </w:tcPr>
          <w:p w14:paraId="5E3E517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69.68</w:t>
            </w:r>
          </w:p>
        </w:tc>
      </w:tr>
      <w:tr w:rsidR="00B302E0" w:rsidRPr="00AA0ADC" w14:paraId="20CEED64" w14:textId="77777777" w:rsidTr="00B302E0">
        <w:trPr>
          <w:trHeight w:val="20"/>
          <w:jc w:val="center"/>
        </w:trPr>
        <w:tc>
          <w:tcPr>
            <w:tcW w:w="847" w:type="dxa"/>
            <w:vAlign w:val="center"/>
            <w:hideMark/>
          </w:tcPr>
          <w:p w14:paraId="61235CEF"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24B1181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- 148.89</w:t>
            </w:r>
          </w:p>
        </w:tc>
        <w:tc>
          <w:tcPr>
            <w:tcW w:w="1098" w:type="dxa"/>
            <w:vAlign w:val="center"/>
            <w:hideMark/>
          </w:tcPr>
          <w:p w14:paraId="38F5E6F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98.57</w:t>
            </w:r>
          </w:p>
        </w:tc>
        <w:tc>
          <w:tcPr>
            <w:tcW w:w="1275" w:type="dxa"/>
            <w:vAlign w:val="center"/>
            <w:hideMark/>
          </w:tcPr>
          <w:p w14:paraId="4CAAB64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- 50.32</w:t>
            </w:r>
          </w:p>
        </w:tc>
        <w:tc>
          <w:tcPr>
            <w:tcW w:w="1133" w:type="dxa"/>
            <w:vAlign w:val="center"/>
            <w:hideMark/>
          </w:tcPr>
          <w:p w14:paraId="4C1F70C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69.28</w:t>
            </w:r>
          </w:p>
        </w:tc>
        <w:tc>
          <w:tcPr>
            <w:tcW w:w="1016" w:type="dxa"/>
            <w:vAlign w:val="center"/>
            <w:hideMark/>
          </w:tcPr>
          <w:p w14:paraId="6D36317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154.51</w:t>
            </w:r>
          </w:p>
        </w:tc>
        <w:tc>
          <w:tcPr>
            <w:tcW w:w="1254" w:type="dxa"/>
            <w:vAlign w:val="center"/>
            <w:hideMark/>
          </w:tcPr>
          <w:p w14:paraId="5315BF9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34.91</w:t>
            </w:r>
          </w:p>
        </w:tc>
        <w:tc>
          <w:tcPr>
            <w:tcW w:w="1134" w:type="dxa"/>
            <w:vAlign w:val="center"/>
            <w:hideMark/>
          </w:tcPr>
          <w:p w14:paraId="0464A1D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50.32</w:t>
            </w:r>
          </w:p>
        </w:tc>
        <w:tc>
          <w:tcPr>
            <w:tcW w:w="992" w:type="dxa"/>
            <w:vAlign w:val="center"/>
            <w:hideMark/>
          </w:tcPr>
          <w:p w14:paraId="23A234C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85.23</w:t>
            </w:r>
          </w:p>
        </w:tc>
      </w:tr>
      <w:tr w:rsidR="00B302E0" w:rsidRPr="00AA0ADC" w14:paraId="17757D74" w14:textId="77777777" w:rsidTr="00B302E0">
        <w:trPr>
          <w:trHeight w:val="20"/>
          <w:jc w:val="center"/>
        </w:trPr>
        <w:tc>
          <w:tcPr>
            <w:tcW w:w="847" w:type="dxa"/>
            <w:vAlign w:val="center"/>
            <w:hideMark/>
          </w:tcPr>
          <w:p w14:paraId="3D75D2EB"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6C29670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- 161.51</w:t>
            </w:r>
          </w:p>
        </w:tc>
        <w:tc>
          <w:tcPr>
            <w:tcW w:w="1098" w:type="dxa"/>
            <w:vAlign w:val="center"/>
            <w:hideMark/>
          </w:tcPr>
          <w:p w14:paraId="0B6323D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110.24</w:t>
            </w:r>
          </w:p>
        </w:tc>
        <w:tc>
          <w:tcPr>
            <w:tcW w:w="1275" w:type="dxa"/>
            <w:vAlign w:val="center"/>
            <w:hideMark/>
          </w:tcPr>
          <w:p w14:paraId="756362F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- 51.27</w:t>
            </w:r>
          </w:p>
        </w:tc>
        <w:tc>
          <w:tcPr>
            <w:tcW w:w="1133" w:type="dxa"/>
            <w:vAlign w:val="center"/>
            <w:hideMark/>
          </w:tcPr>
          <w:p w14:paraId="00D9B3B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74.13</w:t>
            </w:r>
          </w:p>
        </w:tc>
        <w:tc>
          <w:tcPr>
            <w:tcW w:w="1016" w:type="dxa"/>
            <w:vAlign w:val="center"/>
            <w:hideMark/>
          </w:tcPr>
          <w:p w14:paraId="3ACF6C3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177.68</w:t>
            </w:r>
          </w:p>
        </w:tc>
        <w:tc>
          <w:tcPr>
            <w:tcW w:w="1254" w:type="dxa"/>
            <w:vAlign w:val="center"/>
            <w:hideMark/>
          </w:tcPr>
          <w:p w14:paraId="427818F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52.28</w:t>
            </w:r>
          </w:p>
        </w:tc>
        <w:tc>
          <w:tcPr>
            <w:tcW w:w="1134" w:type="dxa"/>
            <w:vAlign w:val="center"/>
            <w:hideMark/>
          </w:tcPr>
          <w:p w14:paraId="1462482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51.27</w:t>
            </w:r>
          </w:p>
        </w:tc>
        <w:tc>
          <w:tcPr>
            <w:tcW w:w="992" w:type="dxa"/>
            <w:vAlign w:val="center"/>
            <w:hideMark/>
          </w:tcPr>
          <w:p w14:paraId="1977794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103.55</w:t>
            </w:r>
          </w:p>
        </w:tc>
      </w:tr>
      <w:tr w:rsidR="00B302E0" w:rsidRPr="00AA0ADC" w14:paraId="2BA72C27" w14:textId="77777777" w:rsidTr="00B302E0">
        <w:trPr>
          <w:trHeight w:val="20"/>
          <w:jc w:val="center"/>
        </w:trPr>
        <w:tc>
          <w:tcPr>
            <w:tcW w:w="847" w:type="dxa"/>
            <w:vAlign w:val="center"/>
            <w:hideMark/>
          </w:tcPr>
          <w:p w14:paraId="115A95FF"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5B391CB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- 171.85</w:t>
            </w:r>
          </w:p>
        </w:tc>
        <w:tc>
          <w:tcPr>
            <w:tcW w:w="1098" w:type="dxa"/>
            <w:vAlign w:val="center"/>
            <w:hideMark/>
          </w:tcPr>
          <w:p w14:paraId="390FAAD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123.31</w:t>
            </w:r>
          </w:p>
        </w:tc>
        <w:tc>
          <w:tcPr>
            <w:tcW w:w="1275" w:type="dxa"/>
            <w:vAlign w:val="center"/>
            <w:hideMark/>
          </w:tcPr>
          <w:p w14:paraId="2918E3F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- 48.54</w:t>
            </w:r>
          </w:p>
        </w:tc>
        <w:tc>
          <w:tcPr>
            <w:tcW w:w="1133" w:type="dxa"/>
            <w:vAlign w:val="center"/>
            <w:hideMark/>
          </w:tcPr>
          <w:p w14:paraId="3AEDBAD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79.32</w:t>
            </w:r>
          </w:p>
        </w:tc>
        <w:tc>
          <w:tcPr>
            <w:tcW w:w="1016" w:type="dxa"/>
            <w:vAlign w:val="center"/>
            <w:hideMark/>
          </w:tcPr>
          <w:p w14:paraId="4D24C01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204.34</w:t>
            </w:r>
          </w:p>
        </w:tc>
        <w:tc>
          <w:tcPr>
            <w:tcW w:w="1254" w:type="dxa"/>
            <w:vAlign w:val="center"/>
            <w:hideMark/>
          </w:tcPr>
          <w:p w14:paraId="15E9F5D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76.48</w:t>
            </w:r>
          </w:p>
        </w:tc>
        <w:tc>
          <w:tcPr>
            <w:tcW w:w="1134" w:type="dxa"/>
            <w:vAlign w:val="center"/>
            <w:hideMark/>
          </w:tcPr>
          <w:p w14:paraId="4B8A126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48.54</w:t>
            </w:r>
          </w:p>
        </w:tc>
        <w:tc>
          <w:tcPr>
            <w:tcW w:w="992" w:type="dxa"/>
            <w:vAlign w:val="center"/>
            <w:hideMark/>
          </w:tcPr>
          <w:p w14:paraId="0AEFC6B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125.02</w:t>
            </w:r>
          </w:p>
        </w:tc>
      </w:tr>
      <w:tr w:rsidR="00B302E0" w:rsidRPr="00AA0ADC" w14:paraId="78B4B0CC" w14:textId="77777777" w:rsidTr="00B302E0">
        <w:trPr>
          <w:trHeight w:val="20"/>
          <w:jc w:val="center"/>
        </w:trPr>
        <w:tc>
          <w:tcPr>
            <w:tcW w:w="847" w:type="dxa"/>
            <w:vAlign w:val="center"/>
            <w:hideMark/>
          </w:tcPr>
          <w:p w14:paraId="4755AD8F"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3CF0152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- 185.09</w:t>
            </w:r>
          </w:p>
        </w:tc>
        <w:tc>
          <w:tcPr>
            <w:tcW w:w="1098" w:type="dxa"/>
            <w:vAlign w:val="center"/>
            <w:hideMark/>
          </w:tcPr>
          <w:p w14:paraId="61692B1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137.92</w:t>
            </w:r>
          </w:p>
        </w:tc>
        <w:tc>
          <w:tcPr>
            <w:tcW w:w="1275" w:type="dxa"/>
            <w:vAlign w:val="center"/>
            <w:hideMark/>
          </w:tcPr>
          <w:p w14:paraId="1AA7506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- 47.17</w:t>
            </w:r>
          </w:p>
        </w:tc>
        <w:tc>
          <w:tcPr>
            <w:tcW w:w="1133" w:type="dxa"/>
            <w:vAlign w:val="center"/>
            <w:hideMark/>
          </w:tcPr>
          <w:p w14:paraId="1FC5201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84.87</w:t>
            </w:r>
          </w:p>
        </w:tc>
        <w:tc>
          <w:tcPr>
            <w:tcW w:w="1016" w:type="dxa"/>
            <w:vAlign w:val="center"/>
            <w:hideMark/>
          </w:tcPr>
          <w:p w14:paraId="686DF36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234.99</w:t>
            </w:r>
          </w:p>
        </w:tc>
        <w:tc>
          <w:tcPr>
            <w:tcW w:w="1254" w:type="dxa"/>
            <w:vAlign w:val="center"/>
            <w:hideMark/>
          </w:tcPr>
          <w:p w14:paraId="5D20258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102.95</w:t>
            </w:r>
          </w:p>
        </w:tc>
        <w:tc>
          <w:tcPr>
            <w:tcW w:w="1134" w:type="dxa"/>
            <w:vAlign w:val="center"/>
            <w:hideMark/>
          </w:tcPr>
          <w:p w14:paraId="354C040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47.17</w:t>
            </w:r>
          </w:p>
        </w:tc>
        <w:tc>
          <w:tcPr>
            <w:tcW w:w="992" w:type="dxa"/>
            <w:vAlign w:val="center"/>
            <w:hideMark/>
          </w:tcPr>
          <w:p w14:paraId="404380E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150.12</w:t>
            </w:r>
          </w:p>
        </w:tc>
      </w:tr>
      <w:tr w:rsidR="00B302E0" w:rsidRPr="00AA0ADC" w14:paraId="080FE370" w14:textId="77777777" w:rsidTr="00B302E0">
        <w:trPr>
          <w:trHeight w:val="20"/>
          <w:jc w:val="center"/>
        </w:trPr>
        <w:tc>
          <w:tcPr>
            <w:tcW w:w="847" w:type="dxa"/>
            <w:vAlign w:val="center"/>
            <w:hideMark/>
          </w:tcPr>
          <w:p w14:paraId="46EF799F"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6C1997C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- 814.39</w:t>
            </w:r>
          </w:p>
        </w:tc>
        <w:tc>
          <w:tcPr>
            <w:tcW w:w="1098" w:type="dxa"/>
            <w:vAlign w:val="center"/>
            <w:hideMark/>
          </w:tcPr>
          <w:p w14:paraId="2CE1D23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558.21</w:t>
            </w:r>
          </w:p>
        </w:tc>
        <w:tc>
          <w:tcPr>
            <w:tcW w:w="1275" w:type="dxa"/>
            <w:vAlign w:val="center"/>
            <w:hideMark/>
          </w:tcPr>
          <w:p w14:paraId="6E4B59A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- 256.18</w:t>
            </w:r>
          </w:p>
        </w:tc>
        <w:tc>
          <w:tcPr>
            <w:tcW w:w="1133" w:type="dxa"/>
            <w:vAlign w:val="center"/>
            <w:hideMark/>
          </w:tcPr>
          <w:p w14:paraId="5BBC5B2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372.35</w:t>
            </w:r>
          </w:p>
        </w:tc>
        <w:tc>
          <w:tcPr>
            <w:tcW w:w="1016" w:type="dxa"/>
            <w:vAlign w:val="center"/>
            <w:hideMark/>
          </w:tcPr>
          <w:p w14:paraId="6401B33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905.87</w:t>
            </w:r>
          </w:p>
        </w:tc>
        <w:tc>
          <w:tcPr>
            <w:tcW w:w="1254" w:type="dxa"/>
            <w:vAlign w:val="center"/>
            <w:hideMark/>
          </w:tcPr>
          <w:p w14:paraId="3045533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277.34</w:t>
            </w:r>
          </w:p>
        </w:tc>
        <w:tc>
          <w:tcPr>
            <w:tcW w:w="1134" w:type="dxa"/>
            <w:vAlign w:val="center"/>
            <w:hideMark/>
          </w:tcPr>
          <w:p w14:paraId="6E95758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256.18</w:t>
            </w:r>
          </w:p>
        </w:tc>
        <w:tc>
          <w:tcPr>
            <w:tcW w:w="992" w:type="dxa"/>
            <w:vAlign w:val="center"/>
            <w:hideMark/>
          </w:tcPr>
          <w:p w14:paraId="76CBEB5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533.52</w:t>
            </w:r>
          </w:p>
        </w:tc>
      </w:tr>
      <w:tr w:rsidR="00B302E0" w:rsidRPr="00AA0ADC" w14:paraId="0597B249" w14:textId="77777777" w:rsidTr="00B302E0">
        <w:trPr>
          <w:trHeight w:val="20"/>
          <w:jc w:val="center"/>
        </w:trPr>
        <w:tc>
          <w:tcPr>
            <w:tcW w:w="9776" w:type="dxa"/>
            <w:gridSpan w:val="9"/>
            <w:vAlign w:val="center"/>
            <w:hideMark/>
          </w:tcPr>
          <w:p w14:paraId="53949151" w14:textId="796FF0DA" w:rsidR="00B302E0" w:rsidRPr="00B302E0" w:rsidRDefault="00B302E0" w:rsidP="00B302E0">
            <w:pPr>
              <w:pStyle w:val="NoSpacing"/>
              <w:rPr>
                <w:rFonts w:ascii="Times New Roman" w:hAnsi="Times New Roman" w:cs="Times New Roman"/>
                <w:b/>
                <w:bCs/>
                <w:sz w:val="18"/>
                <w:szCs w:val="18"/>
              </w:rPr>
            </w:pPr>
            <w:r w:rsidRPr="00B302E0">
              <w:rPr>
                <w:rFonts w:ascii="Times New Roman" w:hAnsi="Times New Roman" w:cs="Times New Roman"/>
                <w:b/>
                <w:bCs/>
                <w:sz w:val="18"/>
                <w:szCs w:val="18"/>
              </w:rPr>
              <w:t>State: MIZORAM</w:t>
            </w:r>
          </w:p>
        </w:tc>
      </w:tr>
      <w:tr w:rsidR="00B302E0" w:rsidRPr="00AA0ADC" w14:paraId="1FD7EAE4" w14:textId="77777777" w:rsidTr="00B302E0">
        <w:trPr>
          <w:trHeight w:val="20"/>
          <w:jc w:val="center"/>
        </w:trPr>
        <w:tc>
          <w:tcPr>
            <w:tcW w:w="847" w:type="dxa"/>
            <w:vAlign w:val="center"/>
            <w:hideMark/>
          </w:tcPr>
          <w:p w14:paraId="64BB1472"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1990-91</w:t>
            </w:r>
          </w:p>
        </w:tc>
        <w:tc>
          <w:tcPr>
            <w:tcW w:w="1027" w:type="dxa"/>
            <w:vAlign w:val="center"/>
            <w:hideMark/>
          </w:tcPr>
          <w:p w14:paraId="780C578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- 175.21</w:t>
            </w:r>
          </w:p>
        </w:tc>
        <w:tc>
          <w:tcPr>
            <w:tcW w:w="1098" w:type="dxa"/>
            <w:vAlign w:val="center"/>
            <w:hideMark/>
          </w:tcPr>
          <w:p w14:paraId="0C87C79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100.46</w:t>
            </w:r>
          </w:p>
        </w:tc>
        <w:tc>
          <w:tcPr>
            <w:tcW w:w="1275" w:type="dxa"/>
            <w:vAlign w:val="center"/>
            <w:hideMark/>
          </w:tcPr>
          <w:p w14:paraId="5000C00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- 74.75</w:t>
            </w:r>
          </w:p>
        </w:tc>
        <w:tc>
          <w:tcPr>
            <w:tcW w:w="1133" w:type="dxa"/>
            <w:vAlign w:val="center"/>
            <w:hideMark/>
          </w:tcPr>
          <w:p w14:paraId="47D2992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62.08</w:t>
            </w:r>
          </w:p>
        </w:tc>
        <w:tc>
          <w:tcPr>
            <w:tcW w:w="1016" w:type="dxa"/>
            <w:vAlign w:val="center"/>
            <w:hideMark/>
          </w:tcPr>
          <w:p w14:paraId="754ABFF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86.80</w:t>
            </w:r>
          </w:p>
        </w:tc>
        <w:tc>
          <w:tcPr>
            <w:tcW w:w="1254" w:type="dxa"/>
            <w:vAlign w:val="center"/>
            <w:hideMark/>
          </w:tcPr>
          <w:p w14:paraId="4FB258A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- 50.03</w:t>
            </w:r>
          </w:p>
        </w:tc>
        <w:tc>
          <w:tcPr>
            <w:tcW w:w="1134" w:type="dxa"/>
            <w:vAlign w:val="center"/>
            <w:hideMark/>
          </w:tcPr>
          <w:p w14:paraId="080062F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74.75</w:t>
            </w:r>
          </w:p>
        </w:tc>
        <w:tc>
          <w:tcPr>
            <w:tcW w:w="992" w:type="dxa"/>
            <w:vAlign w:val="center"/>
            <w:hideMark/>
          </w:tcPr>
          <w:p w14:paraId="11E1D5E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24.72</w:t>
            </w:r>
          </w:p>
        </w:tc>
      </w:tr>
      <w:tr w:rsidR="00B302E0" w:rsidRPr="00AA0ADC" w14:paraId="7D353F1B" w14:textId="77777777" w:rsidTr="00B302E0">
        <w:trPr>
          <w:trHeight w:val="20"/>
          <w:jc w:val="center"/>
        </w:trPr>
        <w:tc>
          <w:tcPr>
            <w:tcW w:w="847" w:type="dxa"/>
            <w:vAlign w:val="center"/>
            <w:hideMark/>
          </w:tcPr>
          <w:p w14:paraId="395AFCDA"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1991-92</w:t>
            </w:r>
          </w:p>
        </w:tc>
        <w:tc>
          <w:tcPr>
            <w:tcW w:w="1027" w:type="dxa"/>
            <w:vAlign w:val="center"/>
            <w:hideMark/>
          </w:tcPr>
          <w:p w14:paraId="72A310BB"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- 188.63</w:t>
            </w:r>
          </w:p>
        </w:tc>
        <w:tc>
          <w:tcPr>
            <w:tcW w:w="1098" w:type="dxa"/>
            <w:vAlign w:val="center"/>
            <w:hideMark/>
          </w:tcPr>
          <w:p w14:paraId="74C5D87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112.41</w:t>
            </w:r>
          </w:p>
        </w:tc>
        <w:tc>
          <w:tcPr>
            <w:tcW w:w="1275" w:type="dxa"/>
            <w:vAlign w:val="center"/>
            <w:hideMark/>
          </w:tcPr>
          <w:p w14:paraId="650DEA8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- 76.22</w:t>
            </w:r>
          </w:p>
        </w:tc>
        <w:tc>
          <w:tcPr>
            <w:tcW w:w="1133" w:type="dxa"/>
            <w:vAlign w:val="center"/>
            <w:hideMark/>
          </w:tcPr>
          <w:p w14:paraId="61EB17C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66.43</w:t>
            </w:r>
          </w:p>
        </w:tc>
        <w:tc>
          <w:tcPr>
            <w:tcW w:w="1016" w:type="dxa"/>
            <w:vAlign w:val="center"/>
            <w:hideMark/>
          </w:tcPr>
          <w:p w14:paraId="12FC2C3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99.82</w:t>
            </w:r>
          </w:p>
        </w:tc>
        <w:tc>
          <w:tcPr>
            <w:tcW w:w="1254" w:type="dxa"/>
            <w:vAlign w:val="center"/>
            <w:hideMark/>
          </w:tcPr>
          <w:p w14:paraId="6F39550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- 42.83</w:t>
            </w:r>
          </w:p>
        </w:tc>
        <w:tc>
          <w:tcPr>
            <w:tcW w:w="1134" w:type="dxa"/>
            <w:vAlign w:val="center"/>
            <w:hideMark/>
          </w:tcPr>
          <w:p w14:paraId="057F0074"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76.22</w:t>
            </w:r>
          </w:p>
        </w:tc>
        <w:tc>
          <w:tcPr>
            <w:tcW w:w="992" w:type="dxa"/>
            <w:vAlign w:val="center"/>
            <w:hideMark/>
          </w:tcPr>
          <w:p w14:paraId="744103A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33.39</w:t>
            </w:r>
          </w:p>
        </w:tc>
      </w:tr>
      <w:tr w:rsidR="00B302E0" w:rsidRPr="00AA0ADC" w14:paraId="276BBCB7" w14:textId="77777777" w:rsidTr="00B302E0">
        <w:trPr>
          <w:trHeight w:val="20"/>
          <w:jc w:val="center"/>
        </w:trPr>
        <w:tc>
          <w:tcPr>
            <w:tcW w:w="847" w:type="dxa"/>
            <w:vAlign w:val="center"/>
            <w:hideMark/>
          </w:tcPr>
          <w:p w14:paraId="7EC2E651"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1992-93</w:t>
            </w:r>
          </w:p>
        </w:tc>
        <w:tc>
          <w:tcPr>
            <w:tcW w:w="1027" w:type="dxa"/>
            <w:vAlign w:val="center"/>
            <w:hideMark/>
          </w:tcPr>
          <w:p w14:paraId="160AA6D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- 202.04</w:t>
            </w:r>
          </w:p>
        </w:tc>
        <w:tc>
          <w:tcPr>
            <w:tcW w:w="1098" w:type="dxa"/>
            <w:vAlign w:val="center"/>
            <w:hideMark/>
          </w:tcPr>
          <w:p w14:paraId="31AF51D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125.88</w:t>
            </w:r>
          </w:p>
        </w:tc>
        <w:tc>
          <w:tcPr>
            <w:tcW w:w="1275" w:type="dxa"/>
            <w:vAlign w:val="center"/>
            <w:hideMark/>
          </w:tcPr>
          <w:p w14:paraId="2DE430E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- 76.16</w:t>
            </w:r>
          </w:p>
        </w:tc>
        <w:tc>
          <w:tcPr>
            <w:tcW w:w="1133" w:type="dxa"/>
            <w:vAlign w:val="center"/>
            <w:hideMark/>
          </w:tcPr>
          <w:p w14:paraId="2634C87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71.08</w:t>
            </w:r>
          </w:p>
        </w:tc>
        <w:tc>
          <w:tcPr>
            <w:tcW w:w="1016" w:type="dxa"/>
            <w:vAlign w:val="center"/>
            <w:hideMark/>
          </w:tcPr>
          <w:p w14:paraId="51FA453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114.80</w:t>
            </w:r>
          </w:p>
        </w:tc>
        <w:tc>
          <w:tcPr>
            <w:tcW w:w="1254" w:type="dxa"/>
            <w:vAlign w:val="center"/>
            <w:hideMark/>
          </w:tcPr>
          <w:p w14:paraId="093DD7E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- 32.44</w:t>
            </w:r>
          </w:p>
        </w:tc>
        <w:tc>
          <w:tcPr>
            <w:tcW w:w="1134" w:type="dxa"/>
            <w:vAlign w:val="center"/>
            <w:hideMark/>
          </w:tcPr>
          <w:p w14:paraId="24905DA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76.16</w:t>
            </w:r>
          </w:p>
        </w:tc>
        <w:tc>
          <w:tcPr>
            <w:tcW w:w="992" w:type="dxa"/>
            <w:vAlign w:val="center"/>
            <w:hideMark/>
          </w:tcPr>
          <w:p w14:paraId="5164E9D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43.72</w:t>
            </w:r>
          </w:p>
        </w:tc>
      </w:tr>
      <w:tr w:rsidR="00B302E0" w:rsidRPr="00AA0ADC" w14:paraId="3300934E" w14:textId="77777777" w:rsidTr="00B302E0">
        <w:trPr>
          <w:trHeight w:val="20"/>
          <w:jc w:val="center"/>
        </w:trPr>
        <w:tc>
          <w:tcPr>
            <w:tcW w:w="847" w:type="dxa"/>
            <w:vAlign w:val="center"/>
            <w:hideMark/>
          </w:tcPr>
          <w:p w14:paraId="6B3389A0"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1993-94</w:t>
            </w:r>
          </w:p>
        </w:tc>
        <w:tc>
          <w:tcPr>
            <w:tcW w:w="1027" w:type="dxa"/>
            <w:vAlign w:val="center"/>
            <w:hideMark/>
          </w:tcPr>
          <w:p w14:paraId="3333B47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- 217.36</w:t>
            </w:r>
          </w:p>
        </w:tc>
        <w:tc>
          <w:tcPr>
            <w:tcW w:w="1098" w:type="dxa"/>
            <w:vAlign w:val="center"/>
            <w:hideMark/>
          </w:tcPr>
          <w:p w14:paraId="619EFE1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140.93</w:t>
            </w:r>
          </w:p>
        </w:tc>
        <w:tc>
          <w:tcPr>
            <w:tcW w:w="1275" w:type="dxa"/>
            <w:vAlign w:val="center"/>
            <w:hideMark/>
          </w:tcPr>
          <w:p w14:paraId="2B868F6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- 76.43</w:t>
            </w:r>
          </w:p>
        </w:tc>
        <w:tc>
          <w:tcPr>
            <w:tcW w:w="1133" w:type="dxa"/>
            <w:vAlign w:val="center"/>
            <w:hideMark/>
          </w:tcPr>
          <w:p w14:paraId="6438FE9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76.05</w:t>
            </w:r>
          </w:p>
        </w:tc>
        <w:tc>
          <w:tcPr>
            <w:tcW w:w="1016" w:type="dxa"/>
            <w:vAlign w:val="center"/>
            <w:hideMark/>
          </w:tcPr>
          <w:p w14:paraId="798CF22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132.01</w:t>
            </w:r>
          </w:p>
        </w:tc>
        <w:tc>
          <w:tcPr>
            <w:tcW w:w="1254" w:type="dxa"/>
            <w:vAlign w:val="center"/>
            <w:hideMark/>
          </w:tcPr>
          <w:p w14:paraId="2F338F1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- 20.47</w:t>
            </w:r>
          </w:p>
        </w:tc>
        <w:tc>
          <w:tcPr>
            <w:tcW w:w="1134" w:type="dxa"/>
            <w:vAlign w:val="center"/>
            <w:hideMark/>
          </w:tcPr>
          <w:p w14:paraId="6804A6F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76.43</w:t>
            </w:r>
          </w:p>
        </w:tc>
        <w:tc>
          <w:tcPr>
            <w:tcW w:w="992" w:type="dxa"/>
            <w:vAlign w:val="center"/>
            <w:hideMark/>
          </w:tcPr>
          <w:p w14:paraId="158539A1"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55.96</w:t>
            </w:r>
          </w:p>
        </w:tc>
      </w:tr>
      <w:tr w:rsidR="00B302E0" w:rsidRPr="00AA0ADC" w14:paraId="05E094CB" w14:textId="77777777" w:rsidTr="00B302E0">
        <w:trPr>
          <w:trHeight w:val="20"/>
          <w:jc w:val="center"/>
        </w:trPr>
        <w:tc>
          <w:tcPr>
            <w:tcW w:w="847" w:type="dxa"/>
            <w:vAlign w:val="center"/>
            <w:hideMark/>
          </w:tcPr>
          <w:p w14:paraId="381FEB8E"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1994-95</w:t>
            </w:r>
          </w:p>
        </w:tc>
        <w:tc>
          <w:tcPr>
            <w:tcW w:w="1027" w:type="dxa"/>
            <w:vAlign w:val="center"/>
            <w:hideMark/>
          </w:tcPr>
          <w:p w14:paraId="3B9C86B8"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- 234.02</w:t>
            </w:r>
          </w:p>
        </w:tc>
        <w:tc>
          <w:tcPr>
            <w:tcW w:w="1098" w:type="dxa"/>
            <w:vAlign w:val="center"/>
            <w:hideMark/>
          </w:tcPr>
          <w:p w14:paraId="7EE91C6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157.79</w:t>
            </w:r>
          </w:p>
        </w:tc>
        <w:tc>
          <w:tcPr>
            <w:tcW w:w="1275" w:type="dxa"/>
            <w:vAlign w:val="center"/>
            <w:hideMark/>
          </w:tcPr>
          <w:p w14:paraId="4FF39A4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- 76.23</w:t>
            </w:r>
          </w:p>
        </w:tc>
        <w:tc>
          <w:tcPr>
            <w:tcW w:w="1133" w:type="dxa"/>
            <w:vAlign w:val="center"/>
            <w:hideMark/>
          </w:tcPr>
          <w:p w14:paraId="4F7236D6"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81.38</w:t>
            </w:r>
          </w:p>
        </w:tc>
        <w:tc>
          <w:tcPr>
            <w:tcW w:w="1016" w:type="dxa"/>
            <w:vAlign w:val="center"/>
            <w:hideMark/>
          </w:tcPr>
          <w:p w14:paraId="6BAE8D8D"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151.82</w:t>
            </w:r>
          </w:p>
        </w:tc>
        <w:tc>
          <w:tcPr>
            <w:tcW w:w="1254" w:type="dxa"/>
            <w:vAlign w:val="center"/>
            <w:hideMark/>
          </w:tcPr>
          <w:p w14:paraId="227943F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- 5.79</w:t>
            </w:r>
          </w:p>
        </w:tc>
        <w:tc>
          <w:tcPr>
            <w:tcW w:w="1134" w:type="dxa"/>
            <w:vAlign w:val="center"/>
            <w:hideMark/>
          </w:tcPr>
          <w:p w14:paraId="21308025"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76.23</w:t>
            </w:r>
          </w:p>
        </w:tc>
        <w:tc>
          <w:tcPr>
            <w:tcW w:w="992" w:type="dxa"/>
            <w:vAlign w:val="center"/>
            <w:hideMark/>
          </w:tcPr>
          <w:p w14:paraId="5CB0CE20"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70.44</w:t>
            </w:r>
          </w:p>
        </w:tc>
      </w:tr>
      <w:tr w:rsidR="00B302E0" w:rsidRPr="00AA0ADC" w14:paraId="7C5B7338" w14:textId="77777777" w:rsidTr="00B302E0">
        <w:trPr>
          <w:trHeight w:val="20"/>
          <w:jc w:val="center"/>
        </w:trPr>
        <w:tc>
          <w:tcPr>
            <w:tcW w:w="847" w:type="dxa"/>
            <w:vAlign w:val="center"/>
            <w:hideMark/>
          </w:tcPr>
          <w:p w14:paraId="13B8EA31" w14:textId="77777777" w:rsidR="002C06DC" w:rsidRPr="00AA0ADC" w:rsidRDefault="002C06DC" w:rsidP="00F6454C">
            <w:pPr>
              <w:pStyle w:val="NoSpacing"/>
              <w:rPr>
                <w:rFonts w:ascii="Times New Roman" w:hAnsi="Times New Roman" w:cs="Times New Roman"/>
                <w:sz w:val="18"/>
                <w:szCs w:val="18"/>
              </w:rPr>
            </w:pPr>
            <w:r w:rsidRPr="00AA0ADC">
              <w:rPr>
                <w:rFonts w:ascii="Times New Roman" w:hAnsi="Times New Roman" w:cs="Times New Roman"/>
                <w:sz w:val="18"/>
                <w:szCs w:val="18"/>
              </w:rPr>
              <w:t>1990-95</w:t>
            </w:r>
          </w:p>
        </w:tc>
        <w:tc>
          <w:tcPr>
            <w:tcW w:w="1027" w:type="dxa"/>
            <w:vAlign w:val="center"/>
            <w:hideMark/>
          </w:tcPr>
          <w:p w14:paraId="37FD275A"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- 1017.26</w:t>
            </w:r>
          </w:p>
        </w:tc>
        <w:tc>
          <w:tcPr>
            <w:tcW w:w="1098" w:type="dxa"/>
            <w:vAlign w:val="center"/>
            <w:hideMark/>
          </w:tcPr>
          <w:p w14:paraId="05DB8177"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637.47</w:t>
            </w:r>
          </w:p>
        </w:tc>
        <w:tc>
          <w:tcPr>
            <w:tcW w:w="1275" w:type="dxa"/>
            <w:vAlign w:val="center"/>
            <w:hideMark/>
          </w:tcPr>
          <w:p w14:paraId="51025692"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- 379.79</w:t>
            </w:r>
          </w:p>
        </w:tc>
        <w:tc>
          <w:tcPr>
            <w:tcW w:w="1133" w:type="dxa"/>
            <w:vAlign w:val="center"/>
            <w:hideMark/>
          </w:tcPr>
          <w:p w14:paraId="61BFFC8C"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357.02</w:t>
            </w:r>
          </w:p>
        </w:tc>
        <w:tc>
          <w:tcPr>
            <w:tcW w:w="1016" w:type="dxa"/>
            <w:vAlign w:val="center"/>
            <w:hideMark/>
          </w:tcPr>
          <w:p w14:paraId="1D487B13"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585.25</w:t>
            </w:r>
          </w:p>
        </w:tc>
        <w:tc>
          <w:tcPr>
            <w:tcW w:w="1254" w:type="dxa"/>
            <w:vAlign w:val="center"/>
            <w:hideMark/>
          </w:tcPr>
          <w:p w14:paraId="00A6572E"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- 151.56</w:t>
            </w:r>
          </w:p>
        </w:tc>
        <w:tc>
          <w:tcPr>
            <w:tcW w:w="1134" w:type="dxa"/>
            <w:vAlign w:val="center"/>
            <w:hideMark/>
          </w:tcPr>
          <w:p w14:paraId="086B39EF"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379.79</w:t>
            </w:r>
          </w:p>
        </w:tc>
        <w:tc>
          <w:tcPr>
            <w:tcW w:w="992" w:type="dxa"/>
            <w:vAlign w:val="center"/>
            <w:hideMark/>
          </w:tcPr>
          <w:p w14:paraId="149A3E79" w14:textId="77777777" w:rsidR="002C06DC" w:rsidRPr="00AA0ADC" w:rsidRDefault="002C06DC" w:rsidP="00F6454C">
            <w:pPr>
              <w:pStyle w:val="NoSpacing"/>
              <w:jc w:val="center"/>
              <w:rPr>
                <w:rFonts w:ascii="Times New Roman" w:hAnsi="Times New Roman" w:cs="Times New Roman"/>
                <w:sz w:val="18"/>
                <w:szCs w:val="18"/>
              </w:rPr>
            </w:pPr>
            <w:r w:rsidRPr="00AA0ADC">
              <w:rPr>
                <w:rFonts w:ascii="Times New Roman" w:hAnsi="Times New Roman" w:cs="Times New Roman"/>
                <w:sz w:val="18"/>
                <w:szCs w:val="18"/>
              </w:rPr>
              <w:t>228.23</w:t>
            </w:r>
          </w:p>
        </w:tc>
      </w:tr>
    </w:tbl>
    <w:p w14:paraId="50F0AB16" w14:textId="77777777" w:rsidR="00AA0ADC" w:rsidRDefault="00AA0ADC" w:rsidP="007C6818">
      <w:pPr>
        <w:tabs>
          <w:tab w:val="left" w:pos="3862"/>
        </w:tabs>
        <w:spacing w:after="0"/>
        <w:jc w:val="right"/>
        <w:rPr>
          <w:rFonts w:ascii="Times New Roman" w:hAnsi="Times New Roman" w:cs="Times New Roman"/>
          <w:i/>
          <w:iCs/>
          <w:sz w:val="18"/>
          <w:szCs w:val="16"/>
        </w:rPr>
      </w:pPr>
    </w:p>
    <w:p w14:paraId="258F731F" w14:textId="77777777" w:rsidR="00AA0ADC" w:rsidRDefault="00AA0ADC" w:rsidP="007C6818">
      <w:pPr>
        <w:tabs>
          <w:tab w:val="left" w:pos="3862"/>
        </w:tabs>
        <w:spacing w:after="0"/>
        <w:jc w:val="right"/>
        <w:rPr>
          <w:rFonts w:ascii="Times New Roman" w:hAnsi="Times New Roman" w:cs="Times New Roman"/>
          <w:i/>
          <w:iCs/>
          <w:sz w:val="18"/>
          <w:szCs w:val="16"/>
        </w:rPr>
      </w:pPr>
    </w:p>
    <w:p w14:paraId="3A1EF884" w14:textId="77777777" w:rsidR="00AA0ADC" w:rsidRDefault="00AA0ADC" w:rsidP="007C6818">
      <w:pPr>
        <w:tabs>
          <w:tab w:val="left" w:pos="3862"/>
        </w:tabs>
        <w:spacing w:after="0"/>
        <w:jc w:val="right"/>
        <w:rPr>
          <w:rFonts w:ascii="Times New Roman" w:hAnsi="Times New Roman" w:cs="Times New Roman"/>
          <w:i/>
          <w:iCs/>
          <w:sz w:val="18"/>
          <w:szCs w:val="16"/>
        </w:rPr>
      </w:pPr>
    </w:p>
    <w:p w14:paraId="55E9EBB1" w14:textId="77777777" w:rsidR="00AA0ADC" w:rsidRDefault="00AA0ADC" w:rsidP="007C6818">
      <w:pPr>
        <w:tabs>
          <w:tab w:val="left" w:pos="3862"/>
        </w:tabs>
        <w:spacing w:after="0"/>
        <w:jc w:val="right"/>
        <w:rPr>
          <w:rFonts w:ascii="Times New Roman" w:hAnsi="Times New Roman" w:cs="Times New Roman"/>
          <w:i/>
          <w:iCs/>
          <w:sz w:val="18"/>
          <w:szCs w:val="16"/>
        </w:rPr>
      </w:pPr>
    </w:p>
    <w:p w14:paraId="1594A462" w14:textId="77777777" w:rsidR="00AA0ADC" w:rsidRDefault="00AA0ADC" w:rsidP="005A01B2">
      <w:pPr>
        <w:tabs>
          <w:tab w:val="left" w:pos="3862"/>
        </w:tabs>
        <w:spacing w:after="0"/>
        <w:rPr>
          <w:rFonts w:ascii="Times New Roman" w:hAnsi="Times New Roman" w:cs="Times New Roman"/>
          <w:i/>
          <w:iCs/>
          <w:sz w:val="18"/>
          <w:szCs w:val="16"/>
        </w:rPr>
      </w:pPr>
    </w:p>
    <w:p w14:paraId="695FB156" w14:textId="77777777" w:rsidR="005A01B2" w:rsidRDefault="005A01B2" w:rsidP="005A01B2">
      <w:pPr>
        <w:tabs>
          <w:tab w:val="left" w:pos="3862"/>
        </w:tabs>
        <w:spacing w:after="0"/>
        <w:rPr>
          <w:rFonts w:ascii="Times New Roman" w:hAnsi="Times New Roman" w:cs="Times New Roman"/>
          <w:i/>
          <w:iCs/>
          <w:sz w:val="18"/>
          <w:szCs w:val="16"/>
        </w:rPr>
      </w:pPr>
    </w:p>
    <w:p w14:paraId="0E8C16CE" w14:textId="77777777" w:rsidR="00AA0ADC" w:rsidRDefault="00AA0ADC" w:rsidP="007C6818">
      <w:pPr>
        <w:tabs>
          <w:tab w:val="left" w:pos="3862"/>
        </w:tabs>
        <w:spacing w:after="0"/>
        <w:jc w:val="right"/>
        <w:rPr>
          <w:rFonts w:ascii="Times New Roman" w:hAnsi="Times New Roman" w:cs="Times New Roman"/>
          <w:i/>
          <w:iCs/>
          <w:sz w:val="18"/>
          <w:szCs w:val="16"/>
        </w:rPr>
      </w:pPr>
    </w:p>
    <w:p w14:paraId="4EEF2BA1" w14:textId="0272F0CA" w:rsidR="002C06DC" w:rsidRPr="007C6818" w:rsidRDefault="007C6818" w:rsidP="007C6818">
      <w:pPr>
        <w:tabs>
          <w:tab w:val="left" w:pos="3862"/>
        </w:tabs>
        <w:spacing w:after="0"/>
        <w:jc w:val="right"/>
        <w:rPr>
          <w:rFonts w:ascii="Times New Roman" w:hAnsi="Times New Roman" w:cs="Times New Roman"/>
          <w:i/>
          <w:iCs/>
          <w:sz w:val="18"/>
          <w:szCs w:val="16"/>
        </w:rPr>
      </w:pPr>
      <w:r w:rsidRPr="007C6818">
        <w:rPr>
          <w:rFonts w:ascii="Times New Roman" w:hAnsi="Times New Roman" w:cs="Times New Roman"/>
          <w:i/>
          <w:iCs/>
          <w:sz w:val="18"/>
          <w:szCs w:val="16"/>
        </w:rPr>
        <w:lastRenderedPageBreak/>
        <w:t>(Rs. Crore)</w:t>
      </w:r>
    </w:p>
    <w:tbl>
      <w:tblPr>
        <w:tblStyle w:val="TableGrid"/>
        <w:tblW w:w="9493" w:type="dxa"/>
        <w:jc w:val="center"/>
        <w:tblLook w:val="04A0" w:firstRow="1" w:lastRow="0" w:firstColumn="1" w:lastColumn="0" w:noHBand="0" w:noVBand="1"/>
      </w:tblPr>
      <w:tblGrid>
        <w:gridCol w:w="846"/>
        <w:gridCol w:w="937"/>
        <w:gridCol w:w="1047"/>
        <w:gridCol w:w="1276"/>
        <w:gridCol w:w="1031"/>
        <w:gridCol w:w="954"/>
        <w:gridCol w:w="1275"/>
        <w:gridCol w:w="993"/>
        <w:gridCol w:w="1134"/>
      </w:tblGrid>
      <w:tr w:rsidR="005A01B2" w:rsidRPr="005A01B2" w14:paraId="66C6464E" w14:textId="77777777" w:rsidTr="005A01B2">
        <w:trPr>
          <w:trHeight w:val="20"/>
          <w:jc w:val="center"/>
        </w:trPr>
        <w:tc>
          <w:tcPr>
            <w:tcW w:w="846" w:type="dxa"/>
            <w:vAlign w:val="center"/>
            <w:hideMark/>
          </w:tcPr>
          <w:p w14:paraId="48698FE3" w14:textId="77777777" w:rsidR="002C06DC" w:rsidRPr="005A01B2" w:rsidRDefault="002C06DC" w:rsidP="00BB0BF6">
            <w:pPr>
              <w:pStyle w:val="NoSpacing"/>
              <w:rPr>
                <w:rFonts w:ascii="Times New Roman" w:hAnsi="Times New Roman" w:cs="Times New Roman"/>
                <w:b/>
                <w:bCs/>
                <w:sz w:val="16"/>
                <w:szCs w:val="16"/>
              </w:rPr>
            </w:pPr>
            <w:r w:rsidRPr="005A01B2">
              <w:rPr>
                <w:rFonts w:ascii="Times New Roman" w:hAnsi="Times New Roman" w:cs="Times New Roman"/>
                <w:b/>
                <w:bCs/>
                <w:sz w:val="16"/>
                <w:szCs w:val="16"/>
              </w:rPr>
              <w:t>Year</w:t>
            </w:r>
          </w:p>
        </w:tc>
        <w:tc>
          <w:tcPr>
            <w:tcW w:w="937" w:type="dxa"/>
            <w:vAlign w:val="center"/>
            <w:hideMark/>
          </w:tcPr>
          <w:p w14:paraId="14C1CD7C"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 xml:space="preserve">Pre-devolution surplus </w:t>
            </w:r>
            <w:proofErr w:type="gramStart"/>
            <w:r w:rsidRPr="005A01B2">
              <w:rPr>
                <w:rFonts w:ascii="Times New Roman" w:hAnsi="Times New Roman" w:cs="Times New Roman"/>
                <w:b/>
                <w:bCs/>
                <w:sz w:val="16"/>
                <w:szCs w:val="16"/>
              </w:rPr>
              <w:t>deficit(</w:t>
            </w:r>
            <w:proofErr w:type="gramEnd"/>
            <w:r w:rsidRPr="005A01B2">
              <w:rPr>
                <w:rFonts w:ascii="Times New Roman" w:hAnsi="Times New Roman" w:cs="Times New Roman"/>
                <w:b/>
                <w:bCs/>
                <w:sz w:val="16"/>
                <w:szCs w:val="16"/>
              </w:rPr>
              <w:t>-)</w:t>
            </w:r>
          </w:p>
        </w:tc>
        <w:tc>
          <w:tcPr>
            <w:tcW w:w="1047" w:type="dxa"/>
            <w:vAlign w:val="center"/>
            <w:hideMark/>
          </w:tcPr>
          <w:p w14:paraId="69F4D59A"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Share in taxes including grant in lieu of railway passenger fare tax</w:t>
            </w:r>
          </w:p>
        </w:tc>
        <w:tc>
          <w:tcPr>
            <w:tcW w:w="1276" w:type="dxa"/>
            <w:vAlign w:val="center"/>
            <w:hideMark/>
          </w:tcPr>
          <w:p w14:paraId="70B360B1"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Non-Plan surplus or deficit (-) after devolution of share in taxes and railway passenger fare tax grant</w:t>
            </w:r>
          </w:p>
        </w:tc>
        <w:tc>
          <w:tcPr>
            <w:tcW w:w="1031" w:type="dxa"/>
            <w:vAlign w:val="center"/>
            <w:hideMark/>
          </w:tcPr>
          <w:p w14:paraId="2C9147C9"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Plan revenue expenditure (minimum)</w:t>
            </w:r>
          </w:p>
        </w:tc>
        <w:tc>
          <w:tcPr>
            <w:tcW w:w="954" w:type="dxa"/>
            <w:vAlign w:val="center"/>
            <w:hideMark/>
          </w:tcPr>
          <w:p w14:paraId="5C7BA9A2"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Grant portion of Central Assistance</w:t>
            </w:r>
          </w:p>
        </w:tc>
        <w:tc>
          <w:tcPr>
            <w:tcW w:w="1275" w:type="dxa"/>
            <w:vAlign w:val="center"/>
            <w:hideMark/>
          </w:tcPr>
          <w:p w14:paraId="0F278DDC"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Revenue surplus or deficit (-) after receiving share in taxes, Central assistance and meeting revenue plan expenditure</w:t>
            </w:r>
          </w:p>
        </w:tc>
        <w:tc>
          <w:tcPr>
            <w:tcW w:w="993" w:type="dxa"/>
            <w:vAlign w:val="center"/>
            <w:hideMark/>
          </w:tcPr>
          <w:p w14:paraId="7B79FADF"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Grants under Article 275(1)</w:t>
            </w:r>
          </w:p>
        </w:tc>
        <w:tc>
          <w:tcPr>
            <w:tcW w:w="1134" w:type="dxa"/>
            <w:vAlign w:val="center"/>
            <w:hideMark/>
          </w:tcPr>
          <w:p w14:paraId="119A47EF"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Total revenue account surplus or deficit (-) (difference between 7 &amp; 8)</w:t>
            </w:r>
          </w:p>
        </w:tc>
      </w:tr>
      <w:tr w:rsidR="005A01B2" w:rsidRPr="005A01B2" w14:paraId="0F27DE6C" w14:textId="77777777" w:rsidTr="005A01B2">
        <w:trPr>
          <w:trHeight w:val="20"/>
          <w:jc w:val="center"/>
        </w:trPr>
        <w:tc>
          <w:tcPr>
            <w:tcW w:w="9493" w:type="dxa"/>
            <w:gridSpan w:val="9"/>
            <w:vAlign w:val="center"/>
            <w:hideMark/>
          </w:tcPr>
          <w:p w14:paraId="5AA88CA1" w14:textId="446F4E45" w:rsidR="005A01B2" w:rsidRPr="005A01B2" w:rsidRDefault="005A01B2" w:rsidP="005A01B2">
            <w:pPr>
              <w:pStyle w:val="NoSpacing"/>
              <w:rPr>
                <w:rFonts w:ascii="Times New Roman" w:hAnsi="Times New Roman" w:cs="Times New Roman"/>
                <w:b/>
                <w:bCs/>
                <w:sz w:val="16"/>
                <w:szCs w:val="16"/>
              </w:rPr>
            </w:pPr>
            <w:r w:rsidRPr="005A01B2">
              <w:rPr>
                <w:rFonts w:ascii="Times New Roman" w:hAnsi="Times New Roman" w:cs="Times New Roman"/>
                <w:b/>
                <w:bCs/>
                <w:sz w:val="16"/>
                <w:szCs w:val="16"/>
              </w:rPr>
              <w:t>State: NAGALAND</w:t>
            </w:r>
          </w:p>
        </w:tc>
      </w:tr>
      <w:tr w:rsidR="005A01B2" w:rsidRPr="005A01B2" w14:paraId="3BF57BF4" w14:textId="77777777" w:rsidTr="005A01B2">
        <w:trPr>
          <w:trHeight w:val="20"/>
          <w:jc w:val="center"/>
        </w:trPr>
        <w:tc>
          <w:tcPr>
            <w:tcW w:w="846" w:type="dxa"/>
            <w:vAlign w:val="center"/>
            <w:hideMark/>
          </w:tcPr>
          <w:p w14:paraId="078C9839"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1990-91</w:t>
            </w:r>
          </w:p>
        </w:tc>
        <w:tc>
          <w:tcPr>
            <w:tcW w:w="937" w:type="dxa"/>
            <w:vAlign w:val="center"/>
            <w:hideMark/>
          </w:tcPr>
          <w:p w14:paraId="37B8850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- 215.55</w:t>
            </w:r>
          </w:p>
        </w:tc>
        <w:tc>
          <w:tcPr>
            <w:tcW w:w="1047" w:type="dxa"/>
            <w:vAlign w:val="center"/>
            <w:hideMark/>
          </w:tcPr>
          <w:p w14:paraId="3CD3E12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123.29</w:t>
            </w:r>
          </w:p>
        </w:tc>
        <w:tc>
          <w:tcPr>
            <w:tcW w:w="1276" w:type="dxa"/>
            <w:vAlign w:val="center"/>
            <w:hideMark/>
          </w:tcPr>
          <w:p w14:paraId="2770F12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-92.26</w:t>
            </w:r>
          </w:p>
        </w:tc>
        <w:tc>
          <w:tcPr>
            <w:tcW w:w="1031" w:type="dxa"/>
            <w:vAlign w:val="center"/>
            <w:hideMark/>
          </w:tcPr>
          <w:p w14:paraId="32DF4AA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66.37</w:t>
            </w:r>
          </w:p>
        </w:tc>
        <w:tc>
          <w:tcPr>
            <w:tcW w:w="954" w:type="dxa"/>
            <w:vAlign w:val="center"/>
            <w:hideMark/>
          </w:tcPr>
          <w:p w14:paraId="3B40472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108.73</w:t>
            </w:r>
          </w:p>
        </w:tc>
        <w:tc>
          <w:tcPr>
            <w:tcW w:w="1275" w:type="dxa"/>
            <w:vAlign w:val="center"/>
            <w:hideMark/>
          </w:tcPr>
          <w:p w14:paraId="2BF5A1F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-49.90</w:t>
            </w:r>
          </w:p>
        </w:tc>
        <w:tc>
          <w:tcPr>
            <w:tcW w:w="993" w:type="dxa"/>
            <w:vAlign w:val="center"/>
            <w:hideMark/>
          </w:tcPr>
          <w:p w14:paraId="0954616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92.26</w:t>
            </w:r>
          </w:p>
        </w:tc>
        <w:tc>
          <w:tcPr>
            <w:tcW w:w="1134" w:type="dxa"/>
            <w:vAlign w:val="center"/>
            <w:hideMark/>
          </w:tcPr>
          <w:p w14:paraId="052A1F0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42.36</w:t>
            </w:r>
          </w:p>
        </w:tc>
      </w:tr>
      <w:tr w:rsidR="005A01B2" w:rsidRPr="005A01B2" w14:paraId="5218B1B5" w14:textId="77777777" w:rsidTr="005A01B2">
        <w:trPr>
          <w:trHeight w:val="20"/>
          <w:jc w:val="center"/>
        </w:trPr>
        <w:tc>
          <w:tcPr>
            <w:tcW w:w="846" w:type="dxa"/>
            <w:vAlign w:val="center"/>
            <w:hideMark/>
          </w:tcPr>
          <w:p w14:paraId="53A117C1"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1991-92</w:t>
            </w:r>
          </w:p>
        </w:tc>
        <w:tc>
          <w:tcPr>
            <w:tcW w:w="937" w:type="dxa"/>
            <w:vAlign w:val="center"/>
            <w:hideMark/>
          </w:tcPr>
          <w:p w14:paraId="6619385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-230.39</w:t>
            </w:r>
          </w:p>
        </w:tc>
        <w:tc>
          <w:tcPr>
            <w:tcW w:w="1047" w:type="dxa"/>
            <w:vAlign w:val="center"/>
            <w:hideMark/>
          </w:tcPr>
          <w:p w14:paraId="7092D9F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137.91</w:t>
            </w:r>
          </w:p>
        </w:tc>
        <w:tc>
          <w:tcPr>
            <w:tcW w:w="1276" w:type="dxa"/>
            <w:vAlign w:val="center"/>
            <w:hideMark/>
          </w:tcPr>
          <w:p w14:paraId="4CC09E5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-92.48</w:t>
            </w:r>
          </w:p>
        </w:tc>
        <w:tc>
          <w:tcPr>
            <w:tcW w:w="1031" w:type="dxa"/>
            <w:vAlign w:val="center"/>
            <w:hideMark/>
          </w:tcPr>
          <w:p w14:paraId="14873FB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71.02</w:t>
            </w:r>
          </w:p>
        </w:tc>
        <w:tc>
          <w:tcPr>
            <w:tcW w:w="954" w:type="dxa"/>
            <w:vAlign w:val="center"/>
            <w:hideMark/>
          </w:tcPr>
          <w:p w14:paraId="23A3BCE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125.04</w:t>
            </w:r>
          </w:p>
        </w:tc>
        <w:tc>
          <w:tcPr>
            <w:tcW w:w="1275" w:type="dxa"/>
            <w:vAlign w:val="center"/>
            <w:hideMark/>
          </w:tcPr>
          <w:p w14:paraId="5B929B9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-38.46</w:t>
            </w:r>
          </w:p>
        </w:tc>
        <w:tc>
          <w:tcPr>
            <w:tcW w:w="993" w:type="dxa"/>
            <w:vAlign w:val="center"/>
            <w:hideMark/>
          </w:tcPr>
          <w:p w14:paraId="2268007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92.48</w:t>
            </w:r>
          </w:p>
        </w:tc>
        <w:tc>
          <w:tcPr>
            <w:tcW w:w="1134" w:type="dxa"/>
            <w:vAlign w:val="center"/>
            <w:hideMark/>
          </w:tcPr>
          <w:p w14:paraId="0AE6C4C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54.02</w:t>
            </w:r>
          </w:p>
        </w:tc>
      </w:tr>
      <w:tr w:rsidR="005A01B2" w:rsidRPr="005A01B2" w14:paraId="6702CC54" w14:textId="77777777" w:rsidTr="005A01B2">
        <w:trPr>
          <w:trHeight w:val="20"/>
          <w:jc w:val="center"/>
        </w:trPr>
        <w:tc>
          <w:tcPr>
            <w:tcW w:w="846" w:type="dxa"/>
            <w:vAlign w:val="center"/>
            <w:hideMark/>
          </w:tcPr>
          <w:p w14:paraId="1866404D"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1992-93</w:t>
            </w:r>
          </w:p>
        </w:tc>
        <w:tc>
          <w:tcPr>
            <w:tcW w:w="937" w:type="dxa"/>
            <w:vAlign w:val="center"/>
            <w:hideMark/>
          </w:tcPr>
          <w:p w14:paraId="25BD91C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-248.28</w:t>
            </w:r>
          </w:p>
        </w:tc>
        <w:tc>
          <w:tcPr>
            <w:tcW w:w="1047" w:type="dxa"/>
            <w:vAlign w:val="center"/>
            <w:hideMark/>
          </w:tcPr>
          <w:p w14:paraId="748D736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154.40</w:t>
            </w:r>
          </w:p>
        </w:tc>
        <w:tc>
          <w:tcPr>
            <w:tcW w:w="1276" w:type="dxa"/>
            <w:vAlign w:val="center"/>
            <w:hideMark/>
          </w:tcPr>
          <w:p w14:paraId="71910B8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-93.88</w:t>
            </w:r>
          </w:p>
        </w:tc>
        <w:tc>
          <w:tcPr>
            <w:tcW w:w="1031" w:type="dxa"/>
            <w:vAlign w:val="center"/>
            <w:hideMark/>
          </w:tcPr>
          <w:p w14:paraId="64746DC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75.99</w:t>
            </w:r>
          </w:p>
        </w:tc>
        <w:tc>
          <w:tcPr>
            <w:tcW w:w="954" w:type="dxa"/>
            <w:vAlign w:val="center"/>
            <w:hideMark/>
          </w:tcPr>
          <w:p w14:paraId="61A4FBA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143.80</w:t>
            </w:r>
          </w:p>
        </w:tc>
        <w:tc>
          <w:tcPr>
            <w:tcW w:w="1275" w:type="dxa"/>
            <w:vAlign w:val="center"/>
            <w:hideMark/>
          </w:tcPr>
          <w:p w14:paraId="11573FF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-26.07</w:t>
            </w:r>
          </w:p>
        </w:tc>
        <w:tc>
          <w:tcPr>
            <w:tcW w:w="993" w:type="dxa"/>
            <w:vAlign w:val="center"/>
            <w:hideMark/>
          </w:tcPr>
          <w:p w14:paraId="5B3E8C3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93.88</w:t>
            </w:r>
          </w:p>
        </w:tc>
        <w:tc>
          <w:tcPr>
            <w:tcW w:w="1134" w:type="dxa"/>
            <w:vAlign w:val="center"/>
            <w:hideMark/>
          </w:tcPr>
          <w:p w14:paraId="0996533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67.81</w:t>
            </w:r>
          </w:p>
        </w:tc>
      </w:tr>
      <w:tr w:rsidR="005A01B2" w:rsidRPr="005A01B2" w14:paraId="76CAF814" w14:textId="77777777" w:rsidTr="005A01B2">
        <w:trPr>
          <w:trHeight w:val="20"/>
          <w:jc w:val="center"/>
        </w:trPr>
        <w:tc>
          <w:tcPr>
            <w:tcW w:w="846" w:type="dxa"/>
            <w:vAlign w:val="center"/>
            <w:hideMark/>
          </w:tcPr>
          <w:p w14:paraId="71659591"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1993-94</w:t>
            </w:r>
          </w:p>
        </w:tc>
        <w:tc>
          <w:tcPr>
            <w:tcW w:w="937" w:type="dxa"/>
            <w:vAlign w:val="center"/>
            <w:hideMark/>
          </w:tcPr>
          <w:p w14:paraId="6127E0D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-263.36</w:t>
            </w:r>
          </w:p>
        </w:tc>
        <w:tc>
          <w:tcPr>
            <w:tcW w:w="1047" w:type="dxa"/>
            <w:vAlign w:val="center"/>
            <w:hideMark/>
          </w:tcPr>
          <w:p w14:paraId="51E8CFF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172.82</w:t>
            </w:r>
          </w:p>
        </w:tc>
        <w:tc>
          <w:tcPr>
            <w:tcW w:w="1276" w:type="dxa"/>
            <w:vAlign w:val="center"/>
            <w:hideMark/>
          </w:tcPr>
          <w:p w14:paraId="6B7E7A3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-90.54</w:t>
            </w:r>
          </w:p>
        </w:tc>
        <w:tc>
          <w:tcPr>
            <w:tcW w:w="1031" w:type="dxa"/>
            <w:vAlign w:val="center"/>
            <w:hideMark/>
          </w:tcPr>
          <w:p w14:paraId="6E22664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81.31</w:t>
            </w:r>
          </w:p>
        </w:tc>
        <w:tc>
          <w:tcPr>
            <w:tcW w:w="954" w:type="dxa"/>
            <w:vAlign w:val="center"/>
            <w:hideMark/>
          </w:tcPr>
          <w:p w14:paraId="38BA2F0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165.37</w:t>
            </w:r>
          </w:p>
        </w:tc>
        <w:tc>
          <w:tcPr>
            <w:tcW w:w="1275" w:type="dxa"/>
            <w:vAlign w:val="center"/>
            <w:hideMark/>
          </w:tcPr>
          <w:p w14:paraId="59AAB77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-6.48</w:t>
            </w:r>
          </w:p>
        </w:tc>
        <w:tc>
          <w:tcPr>
            <w:tcW w:w="993" w:type="dxa"/>
            <w:vAlign w:val="center"/>
            <w:hideMark/>
          </w:tcPr>
          <w:p w14:paraId="054C681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90.54</w:t>
            </w:r>
          </w:p>
        </w:tc>
        <w:tc>
          <w:tcPr>
            <w:tcW w:w="1134" w:type="dxa"/>
            <w:vAlign w:val="center"/>
            <w:hideMark/>
          </w:tcPr>
          <w:p w14:paraId="5F41B50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84.06</w:t>
            </w:r>
          </w:p>
        </w:tc>
      </w:tr>
      <w:tr w:rsidR="005A01B2" w:rsidRPr="005A01B2" w14:paraId="5C5FD1C0" w14:textId="77777777" w:rsidTr="005A01B2">
        <w:trPr>
          <w:trHeight w:val="20"/>
          <w:jc w:val="center"/>
        </w:trPr>
        <w:tc>
          <w:tcPr>
            <w:tcW w:w="846" w:type="dxa"/>
            <w:vAlign w:val="center"/>
            <w:hideMark/>
          </w:tcPr>
          <w:p w14:paraId="639C00FD"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1994-95</w:t>
            </w:r>
          </w:p>
        </w:tc>
        <w:tc>
          <w:tcPr>
            <w:tcW w:w="937" w:type="dxa"/>
            <w:vAlign w:val="center"/>
            <w:hideMark/>
          </w:tcPr>
          <w:p w14:paraId="72DECF2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-282.97</w:t>
            </w:r>
          </w:p>
        </w:tc>
        <w:tc>
          <w:tcPr>
            <w:tcW w:w="1047" w:type="dxa"/>
            <w:vAlign w:val="center"/>
            <w:hideMark/>
          </w:tcPr>
          <w:p w14:paraId="68BD5AC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193.46</w:t>
            </w:r>
          </w:p>
        </w:tc>
        <w:tc>
          <w:tcPr>
            <w:tcW w:w="1276" w:type="dxa"/>
            <w:vAlign w:val="center"/>
            <w:hideMark/>
          </w:tcPr>
          <w:p w14:paraId="434FDE2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-89.51</w:t>
            </w:r>
          </w:p>
        </w:tc>
        <w:tc>
          <w:tcPr>
            <w:tcW w:w="1031" w:type="dxa"/>
            <w:vAlign w:val="center"/>
            <w:hideMark/>
          </w:tcPr>
          <w:p w14:paraId="6A0A6CE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90.54</w:t>
            </w:r>
          </w:p>
        </w:tc>
        <w:tc>
          <w:tcPr>
            <w:tcW w:w="954" w:type="dxa"/>
            <w:vAlign w:val="center"/>
            <w:hideMark/>
          </w:tcPr>
          <w:p w14:paraId="2D01125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190.17</w:t>
            </w:r>
          </w:p>
        </w:tc>
        <w:tc>
          <w:tcPr>
            <w:tcW w:w="1275" w:type="dxa"/>
            <w:vAlign w:val="center"/>
            <w:hideMark/>
          </w:tcPr>
          <w:p w14:paraId="1D2887F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13.66</w:t>
            </w:r>
          </w:p>
        </w:tc>
        <w:tc>
          <w:tcPr>
            <w:tcW w:w="993" w:type="dxa"/>
            <w:vAlign w:val="center"/>
            <w:hideMark/>
          </w:tcPr>
          <w:p w14:paraId="36F3EC3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89.51</w:t>
            </w:r>
          </w:p>
        </w:tc>
        <w:tc>
          <w:tcPr>
            <w:tcW w:w="1134" w:type="dxa"/>
            <w:vAlign w:val="center"/>
            <w:hideMark/>
          </w:tcPr>
          <w:p w14:paraId="46B9AE4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103.17</w:t>
            </w:r>
          </w:p>
        </w:tc>
      </w:tr>
      <w:tr w:rsidR="005A01B2" w:rsidRPr="005A01B2" w14:paraId="1C3882C1" w14:textId="77777777" w:rsidTr="005A01B2">
        <w:trPr>
          <w:trHeight w:val="20"/>
          <w:jc w:val="center"/>
        </w:trPr>
        <w:tc>
          <w:tcPr>
            <w:tcW w:w="846" w:type="dxa"/>
            <w:vAlign w:val="center"/>
            <w:hideMark/>
          </w:tcPr>
          <w:p w14:paraId="62FEAB88"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1990-95</w:t>
            </w:r>
          </w:p>
        </w:tc>
        <w:tc>
          <w:tcPr>
            <w:tcW w:w="937" w:type="dxa"/>
            <w:vAlign w:val="center"/>
            <w:hideMark/>
          </w:tcPr>
          <w:p w14:paraId="5F07791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-1240.55</w:t>
            </w:r>
          </w:p>
        </w:tc>
        <w:tc>
          <w:tcPr>
            <w:tcW w:w="1047" w:type="dxa"/>
            <w:vAlign w:val="center"/>
            <w:hideMark/>
          </w:tcPr>
          <w:p w14:paraId="3CBE3F4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781.88</w:t>
            </w:r>
          </w:p>
        </w:tc>
        <w:tc>
          <w:tcPr>
            <w:tcW w:w="1276" w:type="dxa"/>
            <w:vAlign w:val="center"/>
            <w:hideMark/>
          </w:tcPr>
          <w:p w14:paraId="698E564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-458.67</w:t>
            </w:r>
          </w:p>
        </w:tc>
        <w:tc>
          <w:tcPr>
            <w:tcW w:w="1031" w:type="dxa"/>
            <w:vAlign w:val="center"/>
            <w:hideMark/>
          </w:tcPr>
          <w:p w14:paraId="14914A6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381.69</w:t>
            </w:r>
          </w:p>
        </w:tc>
        <w:tc>
          <w:tcPr>
            <w:tcW w:w="954" w:type="dxa"/>
            <w:vAlign w:val="center"/>
            <w:hideMark/>
          </w:tcPr>
          <w:p w14:paraId="24DEF12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733.11</w:t>
            </w:r>
          </w:p>
        </w:tc>
        <w:tc>
          <w:tcPr>
            <w:tcW w:w="1275" w:type="dxa"/>
            <w:vAlign w:val="center"/>
            <w:hideMark/>
          </w:tcPr>
          <w:p w14:paraId="17D672C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-107.25</w:t>
            </w:r>
          </w:p>
        </w:tc>
        <w:tc>
          <w:tcPr>
            <w:tcW w:w="993" w:type="dxa"/>
            <w:vAlign w:val="center"/>
            <w:hideMark/>
          </w:tcPr>
          <w:p w14:paraId="18FE480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458.67</w:t>
            </w:r>
          </w:p>
        </w:tc>
        <w:tc>
          <w:tcPr>
            <w:tcW w:w="1134" w:type="dxa"/>
            <w:vAlign w:val="center"/>
            <w:hideMark/>
          </w:tcPr>
          <w:p w14:paraId="6E1E51E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351.42</w:t>
            </w:r>
          </w:p>
        </w:tc>
      </w:tr>
      <w:tr w:rsidR="005A01B2" w:rsidRPr="005A01B2" w14:paraId="4F40C525" w14:textId="77777777" w:rsidTr="005A01B2">
        <w:trPr>
          <w:trHeight w:val="20"/>
          <w:jc w:val="center"/>
        </w:trPr>
        <w:tc>
          <w:tcPr>
            <w:tcW w:w="9493" w:type="dxa"/>
            <w:gridSpan w:val="9"/>
            <w:vAlign w:val="center"/>
            <w:hideMark/>
          </w:tcPr>
          <w:p w14:paraId="36E3765E" w14:textId="39408690" w:rsidR="005A01B2" w:rsidRPr="005A01B2" w:rsidRDefault="005A01B2" w:rsidP="005A01B2">
            <w:pPr>
              <w:pStyle w:val="NoSpacing"/>
              <w:rPr>
                <w:rFonts w:ascii="Times New Roman" w:hAnsi="Times New Roman" w:cs="Times New Roman"/>
                <w:b/>
                <w:bCs/>
                <w:sz w:val="16"/>
                <w:szCs w:val="16"/>
              </w:rPr>
            </w:pPr>
            <w:r w:rsidRPr="005A01B2">
              <w:rPr>
                <w:rFonts w:ascii="Times New Roman" w:hAnsi="Times New Roman" w:cs="Times New Roman"/>
                <w:b/>
                <w:bCs/>
                <w:sz w:val="16"/>
                <w:szCs w:val="16"/>
              </w:rPr>
              <w:t>State: SIKKIM</w:t>
            </w:r>
          </w:p>
        </w:tc>
      </w:tr>
      <w:tr w:rsidR="005A01B2" w:rsidRPr="005A01B2" w14:paraId="132E5761" w14:textId="77777777" w:rsidTr="005A01B2">
        <w:trPr>
          <w:trHeight w:val="20"/>
          <w:jc w:val="center"/>
        </w:trPr>
        <w:tc>
          <w:tcPr>
            <w:tcW w:w="846" w:type="dxa"/>
            <w:vAlign w:val="center"/>
            <w:hideMark/>
          </w:tcPr>
          <w:p w14:paraId="02D803D9"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1990-91</w:t>
            </w:r>
          </w:p>
        </w:tc>
        <w:tc>
          <w:tcPr>
            <w:tcW w:w="937" w:type="dxa"/>
            <w:vAlign w:val="center"/>
            <w:hideMark/>
          </w:tcPr>
          <w:p w14:paraId="3418426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-42.24</w:t>
            </w:r>
          </w:p>
        </w:tc>
        <w:tc>
          <w:tcPr>
            <w:tcW w:w="1047" w:type="dxa"/>
            <w:vAlign w:val="center"/>
            <w:hideMark/>
          </w:tcPr>
          <w:p w14:paraId="21B8F19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24.65</w:t>
            </w:r>
          </w:p>
        </w:tc>
        <w:tc>
          <w:tcPr>
            <w:tcW w:w="1276" w:type="dxa"/>
            <w:vAlign w:val="center"/>
            <w:hideMark/>
          </w:tcPr>
          <w:p w14:paraId="4F1A16B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-17.59</w:t>
            </w:r>
          </w:p>
        </w:tc>
        <w:tc>
          <w:tcPr>
            <w:tcW w:w="1031" w:type="dxa"/>
            <w:vAlign w:val="center"/>
            <w:hideMark/>
          </w:tcPr>
          <w:p w14:paraId="36E6159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40.55</w:t>
            </w:r>
          </w:p>
        </w:tc>
        <w:tc>
          <w:tcPr>
            <w:tcW w:w="954" w:type="dxa"/>
            <w:vAlign w:val="center"/>
            <w:hideMark/>
          </w:tcPr>
          <w:p w14:paraId="33D6202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62.65</w:t>
            </w:r>
          </w:p>
        </w:tc>
        <w:tc>
          <w:tcPr>
            <w:tcW w:w="1275" w:type="dxa"/>
            <w:vAlign w:val="center"/>
            <w:hideMark/>
          </w:tcPr>
          <w:p w14:paraId="389C9F7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4.51</w:t>
            </w:r>
          </w:p>
        </w:tc>
        <w:tc>
          <w:tcPr>
            <w:tcW w:w="993" w:type="dxa"/>
            <w:vAlign w:val="center"/>
            <w:hideMark/>
          </w:tcPr>
          <w:p w14:paraId="6B9F22A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17.59</w:t>
            </w:r>
          </w:p>
        </w:tc>
        <w:tc>
          <w:tcPr>
            <w:tcW w:w="1134" w:type="dxa"/>
            <w:vAlign w:val="center"/>
            <w:hideMark/>
          </w:tcPr>
          <w:p w14:paraId="53021D6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22.10</w:t>
            </w:r>
          </w:p>
        </w:tc>
      </w:tr>
      <w:tr w:rsidR="005A01B2" w:rsidRPr="005A01B2" w14:paraId="4A0012A6" w14:textId="77777777" w:rsidTr="005A01B2">
        <w:trPr>
          <w:trHeight w:val="20"/>
          <w:jc w:val="center"/>
        </w:trPr>
        <w:tc>
          <w:tcPr>
            <w:tcW w:w="846" w:type="dxa"/>
            <w:vAlign w:val="center"/>
            <w:hideMark/>
          </w:tcPr>
          <w:p w14:paraId="73DAD3BD"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1991-92</w:t>
            </w:r>
          </w:p>
        </w:tc>
        <w:tc>
          <w:tcPr>
            <w:tcW w:w="937" w:type="dxa"/>
            <w:vAlign w:val="center"/>
            <w:hideMark/>
          </w:tcPr>
          <w:p w14:paraId="2CFA000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-44.94</w:t>
            </w:r>
          </w:p>
        </w:tc>
        <w:tc>
          <w:tcPr>
            <w:tcW w:w="1047" w:type="dxa"/>
            <w:vAlign w:val="center"/>
            <w:hideMark/>
          </w:tcPr>
          <w:p w14:paraId="0DDF1A6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27.57</w:t>
            </w:r>
          </w:p>
        </w:tc>
        <w:tc>
          <w:tcPr>
            <w:tcW w:w="1276" w:type="dxa"/>
            <w:vAlign w:val="center"/>
            <w:hideMark/>
          </w:tcPr>
          <w:p w14:paraId="4305AF4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-17.37</w:t>
            </w:r>
          </w:p>
        </w:tc>
        <w:tc>
          <w:tcPr>
            <w:tcW w:w="1031" w:type="dxa"/>
            <w:vAlign w:val="center"/>
            <w:hideMark/>
          </w:tcPr>
          <w:p w14:paraId="4C22DF6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43.39</w:t>
            </w:r>
          </w:p>
        </w:tc>
        <w:tc>
          <w:tcPr>
            <w:tcW w:w="954" w:type="dxa"/>
            <w:vAlign w:val="center"/>
            <w:hideMark/>
          </w:tcPr>
          <w:p w14:paraId="70E2839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72.05</w:t>
            </w:r>
          </w:p>
        </w:tc>
        <w:tc>
          <w:tcPr>
            <w:tcW w:w="1275" w:type="dxa"/>
            <w:vAlign w:val="center"/>
            <w:hideMark/>
          </w:tcPr>
          <w:p w14:paraId="3CDED84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11.29</w:t>
            </w:r>
          </w:p>
        </w:tc>
        <w:tc>
          <w:tcPr>
            <w:tcW w:w="993" w:type="dxa"/>
            <w:vAlign w:val="center"/>
            <w:hideMark/>
          </w:tcPr>
          <w:p w14:paraId="4C1CCE7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17.37</w:t>
            </w:r>
          </w:p>
        </w:tc>
        <w:tc>
          <w:tcPr>
            <w:tcW w:w="1134" w:type="dxa"/>
            <w:vAlign w:val="center"/>
            <w:hideMark/>
          </w:tcPr>
          <w:p w14:paraId="0829E34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28.66</w:t>
            </w:r>
          </w:p>
        </w:tc>
      </w:tr>
      <w:tr w:rsidR="005A01B2" w:rsidRPr="005A01B2" w14:paraId="2D79A141" w14:textId="77777777" w:rsidTr="005A01B2">
        <w:trPr>
          <w:trHeight w:val="20"/>
          <w:jc w:val="center"/>
        </w:trPr>
        <w:tc>
          <w:tcPr>
            <w:tcW w:w="846" w:type="dxa"/>
            <w:vAlign w:val="center"/>
            <w:hideMark/>
          </w:tcPr>
          <w:p w14:paraId="7FD84291"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1992-93</w:t>
            </w:r>
          </w:p>
        </w:tc>
        <w:tc>
          <w:tcPr>
            <w:tcW w:w="937" w:type="dxa"/>
            <w:vAlign w:val="center"/>
            <w:hideMark/>
          </w:tcPr>
          <w:p w14:paraId="267EB3D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-47.88</w:t>
            </w:r>
          </w:p>
        </w:tc>
        <w:tc>
          <w:tcPr>
            <w:tcW w:w="1047" w:type="dxa"/>
            <w:vAlign w:val="center"/>
            <w:hideMark/>
          </w:tcPr>
          <w:p w14:paraId="65C5AF4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30.85</w:t>
            </w:r>
          </w:p>
        </w:tc>
        <w:tc>
          <w:tcPr>
            <w:tcW w:w="1276" w:type="dxa"/>
            <w:vAlign w:val="center"/>
            <w:hideMark/>
          </w:tcPr>
          <w:p w14:paraId="6BE2C3E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-17.03</w:t>
            </w:r>
          </w:p>
        </w:tc>
        <w:tc>
          <w:tcPr>
            <w:tcW w:w="1031" w:type="dxa"/>
            <w:vAlign w:val="center"/>
            <w:hideMark/>
          </w:tcPr>
          <w:p w14:paraId="7583930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46.43</w:t>
            </w:r>
          </w:p>
        </w:tc>
        <w:tc>
          <w:tcPr>
            <w:tcW w:w="954" w:type="dxa"/>
            <w:vAlign w:val="center"/>
            <w:hideMark/>
          </w:tcPr>
          <w:p w14:paraId="53AD0A8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82.86</w:t>
            </w:r>
          </w:p>
        </w:tc>
        <w:tc>
          <w:tcPr>
            <w:tcW w:w="1275" w:type="dxa"/>
            <w:vAlign w:val="center"/>
            <w:hideMark/>
          </w:tcPr>
          <w:p w14:paraId="3078B3E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19.40</w:t>
            </w:r>
          </w:p>
        </w:tc>
        <w:tc>
          <w:tcPr>
            <w:tcW w:w="993" w:type="dxa"/>
            <w:vAlign w:val="center"/>
            <w:hideMark/>
          </w:tcPr>
          <w:p w14:paraId="219B8CB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17.03</w:t>
            </w:r>
          </w:p>
        </w:tc>
        <w:tc>
          <w:tcPr>
            <w:tcW w:w="1134" w:type="dxa"/>
            <w:vAlign w:val="center"/>
            <w:hideMark/>
          </w:tcPr>
          <w:p w14:paraId="6772782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36.43</w:t>
            </w:r>
          </w:p>
        </w:tc>
      </w:tr>
      <w:tr w:rsidR="005A01B2" w:rsidRPr="005A01B2" w14:paraId="055604F3" w14:textId="77777777" w:rsidTr="005A01B2">
        <w:trPr>
          <w:trHeight w:val="20"/>
          <w:jc w:val="center"/>
        </w:trPr>
        <w:tc>
          <w:tcPr>
            <w:tcW w:w="846" w:type="dxa"/>
            <w:vAlign w:val="center"/>
            <w:hideMark/>
          </w:tcPr>
          <w:p w14:paraId="2E2C0FF5"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1993-94</w:t>
            </w:r>
          </w:p>
        </w:tc>
        <w:tc>
          <w:tcPr>
            <w:tcW w:w="937" w:type="dxa"/>
            <w:vAlign w:val="center"/>
            <w:hideMark/>
          </w:tcPr>
          <w:p w14:paraId="6B6CFF9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-51.03</w:t>
            </w:r>
          </w:p>
        </w:tc>
        <w:tc>
          <w:tcPr>
            <w:tcW w:w="1047" w:type="dxa"/>
            <w:vAlign w:val="center"/>
            <w:hideMark/>
          </w:tcPr>
          <w:p w14:paraId="4F956E8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34.53</w:t>
            </w:r>
          </w:p>
        </w:tc>
        <w:tc>
          <w:tcPr>
            <w:tcW w:w="1276" w:type="dxa"/>
            <w:vAlign w:val="center"/>
            <w:hideMark/>
          </w:tcPr>
          <w:p w14:paraId="32BD75C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-16.50</w:t>
            </w:r>
          </w:p>
        </w:tc>
        <w:tc>
          <w:tcPr>
            <w:tcW w:w="1031" w:type="dxa"/>
            <w:vAlign w:val="center"/>
            <w:hideMark/>
          </w:tcPr>
          <w:p w14:paraId="295C132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49.68</w:t>
            </w:r>
          </w:p>
        </w:tc>
        <w:tc>
          <w:tcPr>
            <w:tcW w:w="954" w:type="dxa"/>
            <w:vAlign w:val="center"/>
            <w:hideMark/>
          </w:tcPr>
          <w:p w14:paraId="4C56CFE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95.29</w:t>
            </w:r>
          </w:p>
        </w:tc>
        <w:tc>
          <w:tcPr>
            <w:tcW w:w="1275" w:type="dxa"/>
            <w:vAlign w:val="center"/>
            <w:hideMark/>
          </w:tcPr>
          <w:p w14:paraId="39728E8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29.11</w:t>
            </w:r>
          </w:p>
        </w:tc>
        <w:tc>
          <w:tcPr>
            <w:tcW w:w="993" w:type="dxa"/>
            <w:vAlign w:val="center"/>
            <w:hideMark/>
          </w:tcPr>
          <w:p w14:paraId="7AD1F6E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16.50</w:t>
            </w:r>
          </w:p>
        </w:tc>
        <w:tc>
          <w:tcPr>
            <w:tcW w:w="1134" w:type="dxa"/>
            <w:vAlign w:val="center"/>
            <w:hideMark/>
          </w:tcPr>
          <w:p w14:paraId="63F9E86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45.61</w:t>
            </w:r>
          </w:p>
        </w:tc>
      </w:tr>
      <w:tr w:rsidR="005A01B2" w:rsidRPr="005A01B2" w14:paraId="68E4995E" w14:textId="77777777" w:rsidTr="005A01B2">
        <w:trPr>
          <w:trHeight w:val="20"/>
          <w:jc w:val="center"/>
        </w:trPr>
        <w:tc>
          <w:tcPr>
            <w:tcW w:w="846" w:type="dxa"/>
            <w:vAlign w:val="center"/>
            <w:hideMark/>
          </w:tcPr>
          <w:p w14:paraId="50089AF8"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1994-95</w:t>
            </w:r>
          </w:p>
        </w:tc>
        <w:tc>
          <w:tcPr>
            <w:tcW w:w="937" w:type="dxa"/>
            <w:vAlign w:val="center"/>
            <w:hideMark/>
          </w:tcPr>
          <w:p w14:paraId="752DFAE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-54.84</w:t>
            </w:r>
          </w:p>
        </w:tc>
        <w:tc>
          <w:tcPr>
            <w:tcW w:w="1047" w:type="dxa"/>
            <w:vAlign w:val="center"/>
            <w:hideMark/>
          </w:tcPr>
          <w:p w14:paraId="7FFE5AF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38.65</w:t>
            </w:r>
          </w:p>
        </w:tc>
        <w:tc>
          <w:tcPr>
            <w:tcW w:w="1276" w:type="dxa"/>
            <w:vAlign w:val="center"/>
            <w:hideMark/>
          </w:tcPr>
          <w:p w14:paraId="5BF4654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-16.19</w:t>
            </w:r>
          </w:p>
        </w:tc>
        <w:tc>
          <w:tcPr>
            <w:tcW w:w="1031" w:type="dxa"/>
            <w:vAlign w:val="center"/>
            <w:hideMark/>
          </w:tcPr>
          <w:p w14:paraId="49DF6EB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53.16</w:t>
            </w:r>
          </w:p>
        </w:tc>
        <w:tc>
          <w:tcPr>
            <w:tcW w:w="954" w:type="dxa"/>
            <w:vAlign w:val="center"/>
            <w:hideMark/>
          </w:tcPr>
          <w:p w14:paraId="1BA7A60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109.58</w:t>
            </w:r>
          </w:p>
        </w:tc>
        <w:tc>
          <w:tcPr>
            <w:tcW w:w="1275" w:type="dxa"/>
            <w:vAlign w:val="center"/>
            <w:hideMark/>
          </w:tcPr>
          <w:p w14:paraId="0999D0F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40.23</w:t>
            </w:r>
          </w:p>
        </w:tc>
        <w:tc>
          <w:tcPr>
            <w:tcW w:w="993" w:type="dxa"/>
            <w:vAlign w:val="center"/>
            <w:hideMark/>
          </w:tcPr>
          <w:p w14:paraId="6CF316F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16.19</w:t>
            </w:r>
          </w:p>
        </w:tc>
        <w:tc>
          <w:tcPr>
            <w:tcW w:w="1134" w:type="dxa"/>
            <w:vAlign w:val="center"/>
            <w:hideMark/>
          </w:tcPr>
          <w:p w14:paraId="44C5874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56.42</w:t>
            </w:r>
          </w:p>
        </w:tc>
      </w:tr>
      <w:tr w:rsidR="005A01B2" w:rsidRPr="005A01B2" w14:paraId="1E8463BC" w14:textId="77777777" w:rsidTr="005A01B2">
        <w:trPr>
          <w:trHeight w:val="20"/>
          <w:jc w:val="center"/>
        </w:trPr>
        <w:tc>
          <w:tcPr>
            <w:tcW w:w="846" w:type="dxa"/>
            <w:vAlign w:val="center"/>
            <w:hideMark/>
          </w:tcPr>
          <w:p w14:paraId="24DCA9C7"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1990-95</w:t>
            </w:r>
          </w:p>
        </w:tc>
        <w:tc>
          <w:tcPr>
            <w:tcW w:w="937" w:type="dxa"/>
            <w:vAlign w:val="center"/>
            <w:hideMark/>
          </w:tcPr>
          <w:p w14:paraId="406A101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-240.93</w:t>
            </w:r>
          </w:p>
        </w:tc>
        <w:tc>
          <w:tcPr>
            <w:tcW w:w="1047" w:type="dxa"/>
            <w:vAlign w:val="center"/>
            <w:hideMark/>
          </w:tcPr>
          <w:p w14:paraId="3FF7D8D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156.25</w:t>
            </w:r>
          </w:p>
        </w:tc>
        <w:tc>
          <w:tcPr>
            <w:tcW w:w="1276" w:type="dxa"/>
            <w:vAlign w:val="center"/>
            <w:hideMark/>
          </w:tcPr>
          <w:p w14:paraId="2246501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-84.68</w:t>
            </w:r>
          </w:p>
        </w:tc>
        <w:tc>
          <w:tcPr>
            <w:tcW w:w="1031" w:type="dxa"/>
            <w:vAlign w:val="center"/>
            <w:hideMark/>
          </w:tcPr>
          <w:p w14:paraId="7E7BBE6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233.21</w:t>
            </w:r>
          </w:p>
        </w:tc>
        <w:tc>
          <w:tcPr>
            <w:tcW w:w="954" w:type="dxa"/>
            <w:vAlign w:val="center"/>
            <w:hideMark/>
          </w:tcPr>
          <w:p w14:paraId="6C45324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422.43</w:t>
            </w:r>
          </w:p>
        </w:tc>
        <w:tc>
          <w:tcPr>
            <w:tcW w:w="1275" w:type="dxa"/>
            <w:vAlign w:val="center"/>
            <w:hideMark/>
          </w:tcPr>
          <w:p w14:paraId="35A720D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104.54</w:t>
            </w:r>
          </w:p>
        </w:tc>
        <w:tc>
          <w:tcPr>
            <w:tcW w:w="993" w:type="dxa"/>
            <w:vAlign w:val="center"/>
            <w:hideMark/>
          </w:tcPr>
          <w:p w14:paraId="67A4B25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84.68</w:t>
            </w:r>
          </w:p>
        </w:tc>
        <w:tc>
          <w:tcPr>
            <w:tcW w:w="1134" w:type="dxa"/>
            <w:vAlign w:val="center"/>
            <w:hideMark/>
          </w:tcPr>
          <w:p w14:paraId="345AE80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189.22</w:t>
            </w:r>
          </w:p>
        </w:tc>
      </w:tr>
      <w:tr w:rsidR="005A01B2" w:rsidRPr="005A01B2" w14:paraId="7B2D339B" w14:textId="77777777" w:rsidTr="005A01B2">
        <w:trPr>
          <w:trHeight w:val="20"/>
          <w:jc w:val="center"/>
        </w:trPr>
        <w:tc>
          <w:tcPr>
            <w:tcW w:w="9493" w:type="dxa"/>
            <w:gridSpan w:val="9"/>
            <w:vAlign w:val="center"/>
            <w:hideMark/>
          </w:tcPr>
          <w:p w14:paraId="538046E9" w14:textId="2F6C079B" w:rsidR="005A01B2" w:rsidRPr="005A01B2" w:rsidRDefault="005A01B2" w:rsidP="005A01B2">
            <w:pPr>
              <w:pStyle w:val="NoSpacing"/>
              <w:rPr>
                <w:rFonts w:ascii="Times New Roman" w:hAnsi="Times New Roman" w:cs="Times New Roman"/>
                <w:b/>
                <w:bCs/>
                <w:sz w:val="16"/>
                <w:szCs w:val="16"/>
              </w:rPr>
            </w:pPr>
            <w:r w:rsidRPr="005A01B2">
              <w:rPr>
                <w:rFonts w:ascii="Times New Roman" w:hAnsi="Times New Roman" w:cs="Times New Roman"/>
                <w:b/>
                <w:bCs/>
                <w:sz w:val="16"/>
                <w:szCs w:val="16"/>
              </w:rPr>
              <w:t>State: TRIPURA</w:t>
            </w:r>
          </w:p>
        </w:tc>
      </w:tr>
      <w:tr w:rsidR="005A01B2" w:rsidRPr="005A01B2" w14:paraId="4B17D096" w14:textId="77777777" w:rsidTr="005A01B2">
        <w:trPr>
          <w:trHeight w:val="20"/>
          <w:jc w:val="center"/>
        </w:trPr>
        <w:tc>
          <w:tcPr>
            <w:tcW w:w="846" w:type="dxa"/>
            <w:vAlign w:val="center"/>
            <w:hideMark/>
          </w:tcPr>
          <w:p w14:paraId="1021AEC8"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1990-91</w:t>
            </w:r>
          </w:p>
        </w:tc>
        <w:tc>
          <w:tcPr>
            <w:tcW w:w="937" w:type="dxa"/>
            <w:vAlign w:val="center"/>
            <w:hideMark/>
          </w:tcPr>
          <w:p w14:paraId="773AF0A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-252.23</w:t>
            </w:r>
          </w:p>
        </w:tc>
        <w:tc>
          <w:tcPr>
            <w:tcW w:w="1047" w:type="dxa"/>
            <w:vAlign w:val="center"/>
            <w:hideMark/>
          </w:tcPr>
          <w:p w14:paraId="2B2FAAF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151.04</w:t>
            </w:r>
          </w:p>
        </w:tc>
        <w:tc>
          <w:tcPr>
            <w:tcW w:w="1276" w:type="dxa"/>
            <w:vAlign w:val="center"/>
            <w:hideMark/>
          </w:tcPr>
          <w:p w14:paraId="5EBD725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-101.19</w:t>
            </w:r>
          </w:p>
        </w:tc>
        <w:tc>
          <w:tcPr>
            <w:tcW w:w="1031" w:type="dxa"/>
            <w:vAlign w:val="center"/>
            <w:hideMark/>
          </w:tcPr>
          <w:p w14:paraId="24D8FD9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114.09</w:t>
            </w:r>
          </w:p>
        </w:tc>
        <w:tc>
          <w:tcPr>
            <w:tcW w:w="954" w:type="dxa"/>
            <w:vAlign w:val="center"/>
            <w:hideMark/>
          </w:tcPr>
          <w:p w14:paraId="3385D00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149.01</w:t>
            </w:r>
          </w:p>
        </w:tc>
        <w:tc>
          <w:tcPr>
            <w:tcW w:w="1275" w:type="dxa"/>
            <w:vAlign w:val="center"/>
            <w:hideMark/>
          </w:tcPr>
          <w:p w14:paraId="2F8AFA5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-66.27</w:t>
            </w:r>
          </w:p>
        </w:tc>
        <w:tc>
          <w:tcPr>
            <w:tcW w:w="993" w:type="dxa"/>
            <w:vAlign w:val="center"/>
            <w:hideMark/>
          </w:tcPr>
          <w:p w14:paraId="01B25B8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101.19</w:t>
            </w:r>
          </w:p>
        </w:tc>
        <w:tc>
          <w:tcPr>
            <w:tcW w:w="1134" w:type="dxa"/>
            <w:vAlign w:val="center"/>
            <w:hideMark/>
          </w:tcPr>
          <w:p w14:paraId="326E434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34.92</w:t>
            </w:r>
          </w:p>
        </w:tc>
      </w:tr>
      <w:tr w:rsidR="005A01B2" w:rsidRPr="005A01B2" w14:paraId="2367B0C6" w14:textId="77777777" w:rsidTr="005A01B2">
        <w:trPr>
          <w:trHeight w:val="20"/>
          <w:jc w:val="center"/>
        </w:trPr>
        <w:tc>
          <w:tcPr>
            <w:tcW w:w="846" w:type="dxa"/>
            <w:vAlign w:val="center"/>
            <w:hideMark/>
          </w:tcPr>
          <w:p w14:paraId="6BA9FA82"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1991-92</w:t>
            </w:r>
          </w:p>
        </w:tc>
        <w:tc>
          <w:tcPr>
            <w:tcW w:w="937" w:type="dxa"/>
            <w:vAlign w:val="center"/>
            <w:hideMark/>
          </w:tcPr>
          <w:p w14:paraId="72FC3C4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-270.13</w:t>
            </w:r>
          </w:p>
        </w:tc>
        <w:tc>
          <w:tcPr>
            <w:tcW w:w="1047" w:type="dxa"/>
            <w:vAlign w:val="center"/>
            <w:hideMark/>
          </w:tcPr>
          <w:p w14:paraId="51A1046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168.86</w:t>
            </w:r>
          </w:p>
        </w:tc>
        <w:tc>
          <w:tcPr>
            <w:tcW w:w="1276" w:type="dxa"/>
            <w:vAlign w:val="center"/>
            <w:hideMark/>
          </w:tcPr>
          <w:p w14:paraId="2932951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-101.27</w:t>
            </w:r>
          </w:p>
        </w:tc>
        <w:tc>
          <w:tcPr>
            <w:tcW w:w="1031" w:type="dxa"/>
            <w:vAlign w:val="center"/>
            <w:hideMark/>
          </w:tcPr>
          <w:p w14:paraId="148EA3F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122.08</w:t>
            </w:r>
          </w:p>
        </w:tc>
        <w:tc>
          <w:tcPr>
            <w:tcW w:w="954" w:type="dxa"/>
            <w:vAlign w:val="center"/>
            <w:hideMark/>
          </w:tcPr>
          <w:p w14:paraId="3F352A4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171.36</w:t>
            </w:r>
          </w:p>
        </w:tc>
        <w:tc>
          <w:tcPr>
            <w:tcW w:w="1275" w:type="dxa"/>
            <w:vAlign w:val="center"/>
            <w:hideMark/>
          </w:tcPr>
          <w:p w14:paraId="75A4913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-51.99</w:t>
            </w:r>
          </w:p>
        </w:tc>
        <w:tc>
          <w:tcPr>
            <w:tcW w:w="993" w:type="dxa"/>
            <w:vAlign w:val="center"/>
            <w:hideMark/>
          </w:tcPr>
          <w:p w14:paraId="456371C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101.27</w:t>
            </w:r>
          </w:p>
        </w:tc>
        <w:tc>
          <w:tcPr>
            <w:tcW w:w="1134" w:type="dxa"/>
            <w:vAlign w:val="center"/>
            <w:hideMark/>
          </w:tcPr>
          <w:p w14:paraId="13118D5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49.28</w:t>
            </w:r>
          </w:p>
        </w:tc>
      </w:tr>
      <w:tr w:rsidR="005A01B2" w:rsidRPr="005A01B2" w14:paraId="0A2D9E21" w14:textId="77777777" w:rsidTr="005A01B2">
        <w:trPr>
          <w:trHeight w:val="20"/>
          <w:jc w:val="center"/>
        </w:trPr>
        <w:tc>
          <w:tcPr>
            <w:tcW w:w="846" w:type="dxa"/>
            <w:vAlign w:val="center"/>
            <w:hideMark/>
          </w:tcPr>
          <w:p w14:paraId="5BF56CED"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1992-93</w:t>
            </w:r>
          </w:p>
        </w:tc>
        <w:tc>
          <w:tcPr>
            <w:tcW w:w="937" w:type="dxa"/>
            <w:vAlign w:val="center"/>
            <w:hideMark/>
          </w:tcPr>
          <w:p w14:paraId="7160A77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-285.47</w:t>
            </w:r>
          </w:p>
        </w:tc>
        <w:tc>
          <w:tcPr>
            <w:tcW w:w="1047" w:type="dxa"/>
            <w:vAlign w:val="center"/>
            <w:hideMark/>
          </w:tcPr>
          <w:p w14:paraId="2406A67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188.95</w:t>
            </w:r>
          </w:p>
        </w:tc>
        <w:tc>
          <w:tcPr>
            <w:tcW w:w="1276" w:type="dxa"/>
            <w:vAlign w:val="center"/>
            <w:hideMark/>
          </w:tcPr>
          <w:p w14:paraId="2E2C789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-96.52</w:t>
            </w:r>
          </w:p>
        </w:tc>
        <w:tc>
          <w:tcPr>
            <w:tcW w:w="1031" w:type="dxa"/>
            <w:vAlign w:val="center"/>
            <w:hideMark/>
          </w:tcPr>
          <w:p w14:paraId="7B1B51D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130.63</w:t>
            </w:r>
          </w:p>
        </w:tc>
        <w:tc>
          <w:tcPr>
            <w:tcW w:w="954" w:type="dxa"/>
            <w:vAlign w:val="center"/>
            <w:hideMark/>
          </w:tcPr>
          <w:p w14:paraId="62203B5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197.06</w:t>
            </w:r>
          </w:p>
        </w:tc>
        <w:tc>
          <w:tcPr>
            <w:tcW w:w="1275" w:type="dxa"/>
            <w:vAlign w:val="center"/>
            <w:hideMark/>
          </w:tcPr>
          <w:p w14:paraId="0990568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-30.09</w:t>
            </w:r>
          </w:p>
        </w:tc>
        <w:tc>
          <w:tcPr>
            <w:tcW w:w="993" w:type="dxa"/>
            <w:vAlign w:val="center"/>
            <w:hideMark/>
          </w:tcPr>
          <w:p w14:paraId="0154A3E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96.52</w:t>
            </w:r>
          </w:p>
        </w:tc>
        <w:tc>
          <w:tcPr>
            <w:tcW w:w="1134" w:type="dxa"/>
            <w:vAlign w:val="center"/>
            <w:hideMark/>
          </w:tcPr>
          <w:p w14:paraId="271FCDF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66.43</w:t>
            </w:r>
          </w:p>
        </w:tc>
      </w:tr>
      <w:tr w:rsidR="005A01B2" w:rsidRPr="005A01B2" w14:paraId="5DE1C99D" w14:textId="77777777" w:rsidTr="005A01B2">
        <w:trPr>
          <w:trHeight w:val="20"/>
          <w:jc w:val="center"/>
        </w:trPr>
        <w:tc>
          <w:tcPr>
            <w:tcW w:w="846" w:type="dxa"/>
            <w:vAlign w:val="center"/>
            <w:hideMark/>
          </w:tcPr>
          <w:p w14:paraId="131820B6"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1993-94</w:t>
            </w:r>
          </w:p>
        </w:tc>
        <w:tc>
          <w:tcPr>
            <w:tcW w:w="937" w:type="dxa"/>
            <w:vAlign w:val="center"/>
            <w:hideMark/>
          </w:tcPr>
          <w:p w14:paraId="1FAB913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-298.61</w:t>
            </w:r>
          </w:p>
        </w:tc>
        <w:tc>
          <w:tcPr>
            <w:tcW w:w="1047" w:type="dxa"/>
            <w:vAlign w:val="center"/>
            <w:hideMark/>
          </w:tcPr>
          <w:p w14:paraId="13EFAC5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211.36</w:t>
            </w:r>
          </w:p>
        </w:tc>
        <w:tc>
          <w:tcPr>
            <w:tcW w:w="1276" w:type="dxa"/>
            <w:vAlign w:val="center"/>
            <w:hideMark/>
          </w:tcPr>
          <w:p w14:paraId="6CB23E6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-87.25</w:t>
            </w:r>
          </w:p>
        </w:tc>
        <w:tc>
          <w:tcPr>
            <w:tcW w:w="1031" w:type="dxa"/>
            <w:vAlign w:val="center"/>
            <w:hideMark/>
          </w:tcPr>
          <w:p w14:paraId="0D110CF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139.77</w:t>
            </w:r>
          </w:p>
        </w:tc>
        <w:tc>
          <w:tcPr>
            <w:tcW w:w="954" w:type="dxa"/>
            <w:vAlign w:val="center"/>
            <w:hideMark/>
          </w:tcPr>
          <w:p w14:paraId="622B0E4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226.62</w:t>
            </w:r>
          </w:p>
        </w:tc>
        <w:tc>
          <w:tcPr>
            <w:tcW w:w="1275" w:type="dxa"/>
            <w:vAlign w:val="center"/>
            <w:hideMark/>
          </w:tcPr>
          <w:p w14:paraId="28CEF27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-0.40</w:t>
            </w:r>
          </w:p>
        </w:tc>
        <w:tc>
          <w:tcPr>
            <w:tcW w:w="993" w:type="dxa"/>
            <w:vAlign w:val="center"/>
            <w:hideMark/>
          </w:tcPr>
          <w:p w14:paraId="263875B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87.25</w:t>
            </w:r>
          </w:p>
        </w:tc>
        <w:tc>
          <w:tcPr>
            <w:tcW w:w="1134" w:type="dxa"/>
            <w:vAlign w:val="center"/>
            <w:hideMark/>
          </w:tcPr>
          <w:p w14:paraId="5F08564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86.85</w:t>
            </w:r>
          </w:p>
        </w:tc>
      </w:tr>
      <w:tr w:rsidR="005A01B2" w:rsidRPr="005A01B2" w14:paraId="7B764759" w14:textId="77777777" w:rsidTr="005A01B2">
        <w:trPr>
          <w:trHeight w:val="20"/>
          <w:jc w:val="center"/>
        </w:trPr>
        <w:tc>
          <w:tcPr>
            <w:tcW w:w="846" w:type="dxa"/>
            <w:vAlign w:val="center"/>
            <w:hideMark/>
          </w:tcPr>
          <w:p w14:paraId="3A00693F"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1994-95</w:t>
            </w:r>
          </w:p>
        </w:tc>
        <w:tc>
          <w:tcPr>
            <w:tcW w:w="937" w:type="dxa"/>
            <w:vAlign w:val="center"/>
            <w:hideMark/>
          </w:tcPr>
          <w:p w14:paraId="3CD26E3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-316.23</w:t>
            </w:r>
          </w:p>
        </w:tc>
        <w:tc>
          <w:tcPr>
            <w:tcW w:w="1047" w:type="dxa"/>
            <w:vAlign w:val="center"/>
            <w:hideMark/>
          </w:tcPr>
          <w:p w14:paraId="6FDB86D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236.45</w:t>
            </w:r>
          </w:p>
        </w:tc>
        <w:tc>
          <w:tcPr>
            <w:tcW w:w="1276" w:type="dxa"/>
            <w:vAlign w:val="center"/>
            <w:hideMark/>
          </w:tcPr>
          <w:p w14:paraId="53D0521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-79.78</w:t>
            </w:r>
          </w:p>
        </w:tc>
        <w:tc>
          <w:tcPr>
            <w:tcW w:w="1031" w:type="dxa"/>
            <w:vAlign w:val="center"/>
            <w:hideMark/>
          </w:tcPr>
          <w:p w14:paraId="79EA764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149.55</w:t>
            </w:r>
          </w:p>
        </w:tc>
        <w:tc>
          <w:tcPr>
            <w:tcW w:w="954" w:type="dxa"/>
            <w:vAlign w:val="center"/>
            <w:hideMark/>
          </w:tcPr>
          <w:p w14:paraId="32C7680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260.61</w:t>
            </w:r>
          </w:p>
        </w:tc>
        <w:tc>
          <w:tcPr>
            <w:tcW w:w="1275" w:type="dxa"/>
            <w:vAlign w:val="center"/>
            <w:hideMark/>
          </w:tcPr>
          <w:p w14:paraId="26EF2BF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31.28</w:t>
            </w:r>
          </w:p>
        </w:tc>
        <w:tc>
          <w:tcPr>
            <w:tcW w:w="993" w:type="dxa"/>
            <w:vAlign w:val="center"/>
            <w:hideMark/>
          </w:tcPr>
          <w:p w14:paraId="40765E8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79.78</w:t>
            </w:r>
          </w:p>
        </w:tc>
        <w:tc>
          <w:tcPr>
            <w:tcW w:w="1134" w:type="dxa"/>
            <w:vAlign w:val="center"/>
            <w:hideMark/>
          </w:tcPr>
          <w:p w14:paraId="1815129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111.06</w:t>
            </w:r>
          </w:p>
        </w:tc>
      </w:tr>
      <w:tr w:rsidR="005A01B2" w:rsidRPr="005A01B2" w14:paraId="261A7D20" w14:textId="77777777" w:rsidTr="005A01B2">
        <w:trPr>
          <w:trHeight w:val="20"/>
          <w:jc w:val="center"/>
        </w:trPr>
        <w:tc>
          <w:tcPr>
            <w:tcW w:w="846" w:type="dxa"/>
            <w:vAlign w:val="center"/>
            <w:hideMark/>
          </w:tcPr>
          <w:p w14:paraId="039C1925"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1990-95</w:t>
            </w:r>
          </w:p>
        </w:tc>
        <w:tc>
          <w:tcPr>
            <w:tcW w:w="937" w:type="dxa"/>
            <w:vAlign w:val="center"/>
            <w:hideMark/>
          </w:tcPr>
          <w:p w14:paraId="167D650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-1422.67</w:t>
            </w:r>
          </w:p>
        </w:tc>
        <w:tc>
          <w:tcPr>
            <w:tcW w:w="1047" w:type="dxa"/>
            <w:vAlign w:val="center"/>
            <w:hideMark/>
          </w:tcPr>
          <w:p w14:paraId="6398928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956.66</w:t>
            </w:r>
          </w:p>
        </w:tc>
        <w:tc>
          <w:tcPr>
            <w:tcW w:w="1276" w:type="dxa"/>
            <w:vAlign w:val="center"/>
            <w:hideMark/>
          </w:tcPr>
          <w:p w14:paraId="6F3B3E7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-466.01</w:t>
            </w:r>
          </w:p>
        </w:tc>
        <w:tc>
          <w:tcPr>
            <w:tcW w:w="1031" w:type="dxa"/>
            <w:vAlign w:val="center"/>
            <w:hideMark/>
          </w:tcPr>
          <w:p w14:paraId="4ED7E56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656.12</w:t>
            </w:r>
          </w:p>
        </w:tc>
        <w:tc>
          <w:tcPr>
            <w:tcW w:w="954" w:type="dxa"/>
            <w:vAlign w:val="center"/>
            <w:hideMark/>
          </w:tcPr>
          <w:p w14:paraId="4B892EA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1004.66</w:t>
            </w:r>
          </w:p>
        </w:tc>
        <w:tc>
          <w:tcPr>
            <w:tcW w:w="1275" w:type="dxa"/>
            <w:vAlign w:val="center"/>
            <w:hideMark/>
          </w:tcPr>
          <w:p w14:paraId="68D0D03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-117.47</w:t>
            </w:r>
          </w:p>
        </w:tc>
        <w:tc>
          <w:tcPr>
            <w:tcW w:w="993" w:type="dxa"/>
            <w:vAlign w:val="center"/>
            <w:hideMark/>
          </w:tcPr>
          <w:p w14:paraId="2DD14D6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466.01</w:t>
            </w:r>
          </w:p>
        </w:tc>
        <w:tc>
          <w:tcPr>
            <w:tcW w:w="1134" w:type="dxa"/>
            <w:vAlign w:val="center"/>
            <w:hideMark/>
          </w:tcPr>
          <w:p w14:paraId="5193972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348.54</w:t>
            </w:r>
          </w:p>
        </w:tc>
      </w:tr>
    </w:tbl>
    <w:p w14:paraId="0F483A13" w14:textId="60E8B35B" w:rsidR="002C06DC" w:rsidRPr="00AA6AF4" w:rsidRDefault="002C06DC" w:rsidP="007C6818">
      <w:pPr>
        <w:spacing w:after="0"/>
        <w:rPr>
          <w:rFonts w:ascii="Times New Roman" w:hAnsi="Times New Roman" w:cs="Times New Roman"/>
        </w:rPr>
      </w:pPr>
    </w:p>
    <w:p w14:paraId="48A698C4" w14:textId="429A413D" w:rsidR="002C06DC" w:rsidRPr="005A01B2" w:rsidRDefault="002C06DC" w:rsidP="00BB0BF6">
      <w:pPr>
        <w:pStyle w:val="Heading2"/>
        <w:rPr>
          <w:sz w:val="20"/>
          <w:szCs w:val="20"/>
        </w:rPr>
      </w:pPr>
      <w:bookmarkStart w:id="119" w:name="_Toc221293018"/>
      <w:bookmarkStart w:id="120" w:name="_Toc222399507"/>
      <w:r w:rsidRPr="005A01B2">
        <w:rPr>
          <w:sz w:val="20"/>
          <w:szCs w:val="20"/>
        </w:rPr>
        <w:t>ANNEXURE IX.1</w:t>
      </w:r>
      <w:r w:rsidR="00BB0BF6" w:rsidRPr="005A01B2">
        <w:rPr>
          <w:sz w:val="20"/>
          <w:szCs w:val="20"/>
        </w:rPr>
        <w:br/>
      </w:r>
      <w:r w:rsidRPr="005A01B2">
        <w:rPr>
          <w:sz w:val="20"/>
          <w:szCs w:val="20"/>
        </w:rPr>
        <w:t>COMPOSITION OF STATE GOVERNMENTS DEBT AS ON 31.03.1989</w:t>
      </w:r>
      <w:bookmarkEnd w:id="119"/>
      <w:bookmarkEnd w:id="120"/>
    </w:p>
    <w:p w14:paraId="4F2C8ABC" w14:textId="7AD33FF6" w:rsidR="00BB0BF6" w:rsidRPr="005A01B2" w:rsidRDefault="00BB0BF6" w:rsidP="00BB0BF6">
      <w:pPr>
        <w:tabs>
          <w:tab w:val="left" w:pos="3192"/>
        </w:tabs>
        <w:spacing w:after="0"/>
        <w:jc w:val="center"/>
        <w:rPr>
          <w:rFonts w:ascii="Times New Roman" w:hAnsi="Times New Roman" w:cs="Times New Roman"/>
          <w:i/>
          <w:iCs/>
          <w:sz w:val="18"/>
          <w:szCs w:val="16"/>
        </w:rPr>
      </w:pPr>
      <w:r w:rsidRPr="005A01B2">
        <w:rPr>
          <w:rFonts w:ascii="Times New Roman" w:hAnsi="Times New Roman" w:cs="Times New Roman"/>
          <w:i/>
          <w:iCs/>
          <w:sz w:val="18"/>
          <w:szCs w:val="16"/>
        </w:rPr>
        <w:t>(Para 9.4)</w:t>
      </w:r>
    </w:p>
    <w:p w14:paraId="4CBAE733" w14:textId="479EB92E" w:rsidR="002C06DC" w:rsidRPr="00BB0BF6" w:rsidRDefault="005A01B2" w:rsidP="005A01B2">
      <w:pPr>
        <w:tabs>
          <w:tab w:val="left" w:pos="3192"/>
        </w:tabs>
        <w:spacing w:after="0"/>
        <w:jc w:val="center"/>
        <w:rPr>
          <w:rFonts w:ascii="Times New Roman" w:hAnsi="Times New Roman" w:cs="Times New Roman"/>
          <w:sz w:val="18"/>
          <w:szCs w:val="16"/>
        </w:rPr>
      </w:pP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Pr>
          <w:rFonts w:ascii="Times New Roman" w:hAnsi="Times New Roman" w:cs="Times New Roman"/>
          <w:i/>
          <w:iCs/>
          <w:sz w:val="18"/>
          <w:szCs w:val="16"/>
        </w:rPr>
        <w:tab/>
      </w:r>
      <w:r w:rsidR="002C06DC" w:rsidRPr="00BB0BF6">
        <w:rPr>
          <w:rFonts w:ascii="Times New Roman" w:hAnsi="Times New Roman" w:cs="Times New Roman"/>
          <w:i/>
          <w:iCs/>
          <w:sz w:val="18"/>
          <w:szCs w:val="16"/>
        </w:rPr>
        <w:t>(Rs. Crore)</w:t>
      </w:r>
    </w:p>
    <w:tbl>
      <w:tblPr>
        <w:tblStyle w:val="TableGrid"/>
        <w:tblW w:w="9067" w:type="dxa"/>
        <w:jc w:val="center"/>
        <w:tblLook w:val="04A0" w:firstRow="1" w:lastRow="0" w:firstColumn="1" w:lastColumn="0" w:noHBand="0" w:noVBand="1"/>
      </w:tblPr>
      <w:tblGrid>
        <w:gridCol w:w="1555"/>
        <w:gridCol w:w="816"/>
        <w:gridCol w:w="1026"/>
        <w:gridCol w:w="1418"/>
        <w:gridCol w:w="1276"/>
        <w:gridCol w:w="992"/>
        <w:gridCol w:w="992"/>
        <w:gridCol w:w="992"/>
      </w:tblGrid>
      <w:tr w:rsidR="002C06DC" w:rsidRPr="005A01B2" w14:paraId="706A142F" w14:textId="77777777" w:rsidTr="005A01B2">
        <w:trPr>
          <w:trHeight w:val="20"/>
          <w:jc w:val="center"/>
        </w:trPr>
        <w:tc>
          <w:tcPr>
            <w:tcW w:w="1555" w:type="dxa"/>
            <w:vAlign w:val="center"/>
            <w:hideMark/>
          </w:tcPr>
          <w:p w14:paraId="39446EB0" w14:textId="77777777" w:rsidR="002C06DC" w:rsidRPr="005A01B2" w:rsidRDefault="002C06DC" w:rsidP="00BB0BF6">
            <w:pPr>
              <w:pStyle w:val="NoSpacing"/>
              <w:rPr>
                <w:rFonts w:ascii="Times New Roman" w:hAnsi="Times New Roman" w:cs="Times New Roman"/>
                <w:b/>
                <w:bCs/>
                <w:sz w:val="16"/>
                <w:szCs w:val="16"/>
              </w:rPr>
            </w:pPr>
            <w:r w:rsidRPr="005A01B2">
              <w:rPr>
                <w:rFonts w:ascii="Times New Roman" w:hAnsi="Times New Roman" w:cs="Times New Roman"/>
                <w:b/>
                <w:bCs/>
                <w:sz w:val="16"/>
                <w:szCs w:val="16"/>
              </w:rPr>
              <w:t>States</w:t>
            </w:r>
          </w:p>
        </w:tc>
        <w:tc>
          <w:tcPr>
            <w:tcW w:w="816" w:type="dxa"/>
            <w:vAlign w:val="center"/>
            <w:hideMark/>
          </w:tcPr>
          <w:p w14:paraId="115723A4"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Central Loans</w:t>
            </w:r>
          </w:p>
        </w:tc>
        <w:tc>
          <w:tcPr>
            <w:tcW w:w="1026" w:type="dxa"/>
            <w:vAlign w:val="center"/>
            <w:hideMark/>
          </w:tcPr>
          <w:p w14:paraId="56FF0BEA"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Market Loans &amp; Bonds</w:t>
            </w:r>
          </w:p>
        </w:tc>
        <w:tc>
          <w:tcPr>
            <w:tcW w:w="1418" w:type="dxa"/>
            <w:vAlign w:val="center"/>
            <w:hideMark/>
          </w:tcPr>
          <w:p w14:paraId="1178F8D6"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Ways and Means Advance from RBI</w:t>
            </w:r>
          </w:p>
        </w:tc>
        <w:tc>
          <w:tcPr>
            <w:tcW w:w="1276" w:type="dxa"/>
            <w:vAlign w:val="center"/>
            <w:hideMark/>
          </w:tcPr>
          <w:p w14:paraId="68EEE1A3"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Loans from Banks &amp; Other Institutions</w:t>
            </w:r>
          </w:p>
        </w:tc>
        <w:tc>
          <w:tcPr>
            <w:tcW w:w="992" w:type="dxa"/>
            <w:vAlign w:val="center"/>
            <w:hideMark/>
          </w:tcPr>
          <w:p w14:paraId="2F531763"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Provident Funds</w:t>
            </w:r>
          </w:p>
        </w:tc>
        <w:tc>
          <w:tcPr>
            <w:tcW w:w="992" w:type="dxa"/>
            <w:vAlign w:val="center"/>
            <w:hideMark/>
          </w:tcPr>
          <w:p w14:paraId="21B4FD65"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Reserve Funds &amp; Deposits</w:t>
            </w:r>
          </w:p>
        </w:tc>
        <w:tc>
          <w:tcPr>
            <w:tcW w:w="992" w:type="dxa"/>
            <w:vAlign w:val="center"/>
            <w:hideMark/>
          </w:tcPr>
          <w:p w14:paraId="3769C9A8"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Total</w:t>
            </w:r>
          </w:p>
        </w:tc>
      </w:tr>
      <w:tr w:rsidR="002C06DC" w:rsidRPr="005A01B2" w14:paraId="7124DE41" w14:textId="77777777" w:rsidTr="005A01B2">
        <w:trPr>
          <w:trHeight w:val="20"/>
          <w:jc w:val="center"/>
        </w:trPr>
        <w:tc>
          <w:tcPr>
            <w:tcW w:w="1555" w:type="dxa"/>
            <w:vAlign w:val="center"/>
            <w:hideMark/>
          </w:tcPr>
          <w:p w14:paraId="30954D54"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Andhra Pradesh</w:t>
            </w:r>
          </w:p>
        </w:tc>
        <w:tc>
          <w:tcPr>
            <w:tcW w:w="816" w:type="dxa"/>
            <w:vAlign w:val="center"/>
            <w:hideMark/>
          </w:tcPr>
          <w:p w14:paraId="6AC46BE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3349.01</w:t>
            </w:r>
          </w:p>
        </w:tc>
        <w:tc>
          <w:tcPr>
            <w:tcW w:w="1026" w:type="dxa"/>
            <w:vAlign w:val="center"/>
            <w:hideMark/>
          </w:tcPr>
          <w:p w14:paraId="0C6C555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1092.89</w:t>
            </w:r>
          </w:p>
        </w:tc>
        <w:tc>
          <w:tcPr>
            <w:tcW w:w="1418" w:type="dxa"/>
            <w:vAlign w:val="center"/>
            <w:hideMark/>
          </w:tcPr>
          <w:p w14:paraId="3312849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-2.00</w:t>
            </w:r>
          </w:p>
        </w:tc>
        <w:tc>
          <w:tcPr>
            <w:tcW w:w="1276" w:type="dxa"/>
            <w:vAlign w:val="center"/>
            <w:hideMark/>
          </w:tcPr>
          <w:p w14:paraId="6876094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143.95</w:t>
            </w:r>
          </w:p>
        </w:tc>
        <w:tc>
          <w:tcPr>
            <w:tcW w:w="992" w:type="dxa"/>
            <w:vAlign w:val="center"/>
            <w:hideMark/>
          </w:tcPr>
          <w:p w14:paraId="134E898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509.94</w:t>
            </w:r>
          </w:p>
        </w:tc>
        <w:tc>
          <w:tcPr>
            <w:tcW w:w="992" w:type="dxa"/>
            <w:vAlign w:val="center"/>
            <w:hideMark/>
          </w:tcPr>
          <w:p w14:paraId="46FF351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948.34</w:t>
            </w:r>
          </w:p>
        </w:tc>
        <w:tc>
          <w:tcPr>
            <w:tcW w:w="992" w:type="dxa"/>
            <w:vAlign w:val="center"/>
            <w:hideMark/>
          </w:tcPr>
          <w:p w14:paraId="47A3C76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6042.13</w:t>
            </w:r>
          </w:p>
        </w:tc>
      </w:tr>
      <w:tr w:rsidR="002C06DC" w:rsidRPr="005A01B2" w14:paraId="4CD2737D" w14:textId="77777777" w:rsidTr="005A01B2">
        <w:trPr>
          <w:trHeight w:val="20"/>
          <w:jc w:val="center"/>
        </w:trPr>
        <w:tc>
          <w:tcPr>
            <w:tcW w:w="1555" w:type="dxa"/>
            <w:vAlign w:val="center"/>
            <w:hideMark/>
          </w:tcPr>
          <w:p w14:paraId="2E6F53C8"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Arunachal Pradesh</w:t>
            </w:r>
          </w:p>
        </w:tc>
        <w:tc>
          <w:tcPr>
            <w:tcW w:w="816" w:type="dxa"/>
            <w:vAlign w:val="center"/>
            <w:hideMark/>
          </w:tcPr>
          <w:p w14:paraId="7FEDF65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334.57</w:t>
            </w:r>
          </w:p>
        </w:tc>
        <w:tc>
          <w:tcPr>
            <w:tcW w:w="1026" w:type="dxa"/>
            <w:vAlign w:val="center"/>
            <w:hideMark/>
          </w:tcPr>
          <w:p w14:paraId="6710943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3.00</w:t>
            </w:r>
          </w:p>
        </w:tc>
        <w:tc>
          <w:tcPr>
            <w:tcW w:w="1418" w:type="dxa"/>
            <w:vAlign w:val="center"/>
            <w:hideMark/>
          </w:tcPr>
          <w:p w14:paraId="0213D52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4DE62A9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6.50</w:t>
            </w:r>
          </w:p>
        </w:tc>
        <w:tc>
          <w:tcPr>
            <w:tcW w:w="992" w:type="dxa"/>
            <w:vAlign w:val="center"/>
            <w:hideMark/>
          </w:tcPr>
          <w:p w14:paraId="11FBC2E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992" w:type="dxa"/>
            <w:vAlign w:val="center"/>
            <w:hideMark/>
          </w:tcPr>
          <w:p w14:paraId="0270508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992" w:type="dxa"/>
            <w:vAlign w:val="center"/>
            <w:hideMark/>
          </w:tcPr>
          <w:p w14:paraId="29CD877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363.27</w:t>
            </w:r>
          </w:p>
        </w:tc>
      </w:tr>
      <w:tr w:rsidR="002C06DC" w:rsidRPr="005A01B2" w14:paraId="22610B90" w14:textId="77777777" w:rsidTr="005A01B2">
        <w:trPr>
          <w:trHeight w:val="20"/>
          <w:jc w:val="center"/>
        </w:trPr>
        <w:tc>
          <w:tcPr>
            <w:tcW w:w="1555" w:type="dxa"/>
            <w:vAlign w:val="center"/>
            <w:hideMark/>
          </w:tcPr>
          <w:p w14:paraId="40A5670A"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Assam</w:t>
            </w:r>
          </w:p>
        </w:tc>
        <w:tc>
          <w:tcPr>
            <w:tcW w:w="816" w:type="dxa"/>
            <w:vAlign w:val="center"/>
            <w:hideMark/>
          </w:tcPr>
          <w:p w14:paraId="246EC24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2711.37</w:t>
            </w:r>
          </w:p>
        </w:tc>
        <w:tc>
          <w:tcPr>
            <w:tcW w:w="1026" w:type="dxa"/>
            <w:vAlign w:val="center"/>
            <w:hideMark/>
          </w:tcPr>
          <w:p w14:paraId="4820CB6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180.73</w:t>
            </w:r>
          </w:p>
        </w:tc>
        <w:tc>
          <w:tcPr>
            <w:tcW w:w="1418" w:type="dxa"/>
            <w:vAlign w:val="center"/>
            <w:hideMark/>
          </w:tcPr>
          <w:p w14:paraId="2D27260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-0.83</w:t>
            </w:r>
          </w:p>
        </w:tc>
        <w:tc>
          <w:tcPr>
            <w:tcW w:w="1276" w:type="dxa"/>
            <w:vAlign w:val="center"/>
            <w:hideMark/>
          </w:tcPr>
          <w:p w14:paraId="51EB841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26.33</w:t>
            </w:r>
          </w:p>
        </w:tc>
        <w:tc>
          <w:tcPr>
            <w:tcW w:w="992" w:type="dxa"/>
            <w:vAlign w:val="center"/>
            <w:hideMark/>
          </w:tcPr>
          <w:p w14:paraId="5336FEC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99.81</w:t>
            </w:r>
          </w:p>
        </w:tc>
        <w:tc>
          <w:tcPr>
            <w:tcW w:w="992" w:type="dxa"/>
            <w:vAlign w:val="center"/>
            <w:hideMark/>
          </w:tcPr>
          <w:p w14:paraId="7FD920B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123.37</w:t>
            </w:r>
          </w:p>
        </w:tc>
        <w:tc>
          <w:tcPr>
            <w:tcW w:w="992" w:type="dxa"/>
            <w:vAlign w:val="center"/>
            <w:hideMark/>
          </w:tcPr>
          <w:p w14:paraId="47C9C39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3140.78</w:t>
            </w:r>
          </w:p>
        </w:tc>
      </w:tr>
      <w:tr w:rsidR="002C06DC" w:rsidRPr="005A01B2" w14:paraId="608DA54C" w14:textId="77777777" w:rsidTr="005A01B2">
        <w:trPr>
          <w:trHeight w:val="20"/>
          <w:jc w:val="center"/>
        </w:trPr>
        <w:tc>
          <w:tcPr>
            <w:tcW w:w="1555" w:type="dxa"/>
            <w:vAlign w:val="center"/>
            <w:hideMark/>
          </w:tcPr>
          <w:p w14:paraId="00056464"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Bihar</w:t>
            </w:r>
          </w:p>
        </w:tc>
        <w:tc>
          <w:tcPr>
            <w:tcW w:w="816" w:type="dxa"/>
            <w:vAlign w:val="center"/>
            <w:hideMark/>
          </w:tcPr>
          <w:p w14:paraId="69E8F1F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4055.00</w:t>
            </w:r>
          </w:p>
        </w:tc>
        <w:tc>
          <w:tcPr>
            <w:tcW w:w="1026" w:type="dxa"/>
            <w:vAlign w:val="center"/>
            <w:hideMark/>
          </w:tcPr>
          <w:p w14:paraId="2897A64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849.44</w:t>
            </w:r>
          </w:p>
        </w:tc>
        <w:tc>
          <w:tcPr>
            <w:tcW w:w="1418" w:type="dxa"/>
            <w:vAlign w:val="center"/>
            <w:hideMark/>
          </w:tcPr>
          <w:p w14:paraId="5CD33B8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0.78</w:t>
            </w:r>
          </w:p>
        </w:tc>
        <w:tc>
          <w:tcPr>
            <w:tcW w:w="1276" w:type="dxa"/>
            <w:vAlign w:val="center"/>
            <w:hideMark/>
          </w:tcPr>
          <w:p w14:paraId="2E9E767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98.21</w:t>
            </w:r>
          </w:p>
        </w:tc>
        <w:tc>
          <w:tcPr>
            <w:tcW w:w="992" w:type="dxa"/>
            <w:vAlign w:val="center"/>
            <w:hideMark/>
          </w:tcPr>
          <w:p w14:paraId="103297D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1373.91</w:t>
            </w:r>
          </w:p>
        </w:tc>
        <w:tc>
          <w:tcPr>
            <w:tcW w:w="992" w:type="dxa"/>
            <w:vAlign w:val="center"/>
            <w:hideMark/>
          </w:tcPr>
          <w:p w14:paraId="7FF7847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281.83</w:t>
            </w:r>
          </w:p>
        </w:tc>
        <w:tc>
          <w:tcPr>
            <w:tcW w:w="992" w:type="dxa"/>
            <w:vAlign w:val="center"/>
            <w:hideMark/>
          </w:tcPr>
          <w:p w14:paraId="55A2C5D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7159.17</w:t>
            </w:r>
          </w:p>
        </w:tc>
      </w:tr>
      <w:tr w:rsidR="002C06DC" w:rsidRPr="005A01B2" w14:paraId="63D99C0E" w14:textId="77777777" w:rsidTr="005A01B2">
        <w:trPr>
          <w:trHeight w:val="20"/>
          <w:jc w:val="center"/>
        </w:trPr>
        <w:tc>
          <w:tcPr>
            <w:tcW w:w="1555" w:type="dxa"/>
            <w:vAlign w:val="center"/>
            <w:hideMark/>
          </w:tcPr>
          <w:p w14:paraId="350B31AC"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Goa</w:t>
            </w:r>
          </w:p>
        </w:tc>
        <w:tc>
          <w:tcPr>
            <w:tcW w:w="816" w:type="dxa"/>
            <w:vAlign w:val="center"/>
            <w:hideMark/>
          </w:tcPr>
          <w:p w14:paraId="097D5DE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567.59</w:t>
            </w:r>
          </w:p>
        </w:tc>
        <w:tc>
          <w:tcPr>
            <w:tcW w:w="1026" w:type="dxa"/>
            <w:vAlign w:val="center"/>
            <w:hideMark/>
          </w:tcPr>
          <w:p w14:paraId="2987B57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5.60</w:t>
            </w:r>
          </w:p>
        </w:tc>
        <w:tc>
          <w:tcPr>
            <w:tcW w:w="1418" w:type="dxa"/>
            <w:vAlign w:val="center"/>
            <w:hideMark/>
          </w:tcPr>
          <w:p w14:paraId="5649749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5B09AC7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5.50</w:t>
            </w:r>
          </w:p>
        </w:tc>
        <w:tc>
          <w:tcPr>
            <w:tcW w:w="992" w:type="dxa"/>
            <w:vAlign w:val="center"/>
            <w:hideMark/>
          </w:tcPr>
          <w:p w14:paraId="1D29A67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41.37</w:t>
            </w:r>
          </w:p>
        </w:tc>
        <w:tc>
          <w:tcPr>
            <w:tcW w:w="992" w:type="dxa"/>
            <w:vAlign w:val="center"/>
            <w:hideMark/>
          </w:tcPr>
          <w:p w14:paraId="61E3481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992" w:type="dxa"/>
            <w:vAlign w:val="center"/>
            <w:hideMark/>
          </w:tcPr>
          <w:p w14:paraId="6752858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620.06</w:t>
            </w:r>
          </w:p>
        </w:tc>
      </w:tr>
      <w:tr w:rsidR="002C06DC" w:rsidRPr="005A01B2" w14:paraId="5A3FEDFF" w14:textId="77777777" w:rsidTr="005A01B2">
        <w:trPr>
          <w:trHeight w:val="20"/>
          <w:jc w:val="center"/>
        </w:trPr>
        <w:tc>
          <w:tcPr>
            <w:tcW w:w="1555" w:type="dxa"/>
            <w:vAlign w:val="center"/>
            <w:hideMark/>
          </w:tcPr>
          <w:p w14:paraId="2E44A346"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Gujarat</w:t>
            </w:r>
          </w:p>
        </w:tc>
        <w:tc>
          <w:tcPr>
            <w:tcW w:w="816" w:type="dxa"/>
            <w:vAlign w:val="center"/>
            <w:hideMark/>
          </w:tcPr>
          <w:p w14:paraId="1A38744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3455.38</w:t>
            </w:r>
          </w:p>
        </w:tc>
        <w:tc>
          <w:tcPr>
            <w:tcW w:w="1026" w:type="dxa"/>
            <w:vAlign w:val="center"/>
            <w:hideMark/>
          </w:tcPr>
          <w:p w14:paraId="02D14B9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472.18</w:t>
            </w:r>
          </w:p>
        </w:tc>
        <w:tc>
          <w:tcPr>
            <w:tcW w:w="1418" w:type="dxa"/>
            <w:vAlign w:val="center"/>
            <w:hideMark/>
          </w:tcPr>
          <w:p w14:paraId="324EA9F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0EDC349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83.08</w:t>
            </w:r>
          </w:p>
        </w:tc>
        <w:tc>
          <w:tcPr>
            <w:tcW w:w="992" w:type="dxa"/>
            <w:vAlign w:val="center"/>
            <w:hideMark/>
          </w:tcPr>
          <w:p w14:paraId="30DA61F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596.63</w:t>
            </w:r>
          </w:p>
        </w:tc>
        <w:tc>
          <w:tcPr>
            <w:tcW w:w="992" w:type="dxa"/>
            <w:vAlign w:val="center"/>
            <w:hideMark/>
          </w:tcPr>
          <w:p w14:paraId="44EE1EA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1150.92</w:t>
            </w:r>
          </w:p>
        </w:tc>
        <w:tc>
          <w:tcPr>
            <w:tcW w:w="992" w:type="dxa"/>
            <w:vAlign w:val="center"/>
            <w:hideMark/>
          </w:tcPr>
          <w:p w14:paraId="7E1A83D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5758.19</w:t>
            </w:r>
          </w:p>
        </w:tc>
      </w:tr>
      <w:tr w:rsidR="002C06DC" w:rsidRPr="005A01B2" w14:paraId="6A5784C7" w14:textId="77777777" w:rsidTr="005A01B2">
        <w:trPr>
          <w:trHeight w:val="20"/>
          <w:jc w:val="center"/>
        </w:trPr>
        <w:tc>
          <w:tcPr>
            <w:tcW w:w="1555" w:type="dxa"/>
            <w:vAlign w:val="center"/>
            <w:hideMark/>
          </w:tcPr>
          <w:p w14:paraId="619A4041"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Haryana</w:t>
            </w:r>
          </w:p>
        </w:tc>
        <w:tc>
          <w:tcPr>
            <w:tcW w:w="816" w:type="dxa"/>
            <w:vAlign w:val="center"/>
            <w:hideMark/>
          </w:tcPr>
          <w:p w14:paraId="759FD7A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1209.25</w:t>
            </w:r>
          </w:p>
        </w:tc>
        <w:tc>
          <w:tcPr>
            <w:tcW w:w="1026" w:type="dxa"/>
            <w:vAlign w:val="center"/>
            <w:hideMark/>
          </w:tcPr>
          <w:p w14:paraId="1021EE6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278.68</w:t>
            </w:r>
          </w:p>
        </w:tc>
        <w:tc>
          <w:tcPr>
            <w:tcW w:w="1418" w:type="dxa"/>
            <w:vAlign w:val="center"/>
            <w:hideMark/>
          </w:tcPr>
          <w:p w14:paraId="00C498B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1122E15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103.16</w:t>
            </w:r>
          </w:p>
        </w:tc>
        <w:tc>
          <w:tcPr>
            <w:tcW w:w="992" w:type="dxa"/>
            <w:vAlign w:val="center"/>
            <w:hideMark/>
          </w:tcPr>
          <w:p w14:paraId="022BD06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418.84</w:t>
            </w:r>
          </w:p>
        </w:tc>
        <w:tc>
          <w:tcPr>
            <w:tcW w:w="992" w:type="dxa"/>
            <w:vAlign w:val="center"/>
            <w:hideMark/>
          </w:tcPr>
          <w:p w14:paraId="65E6BFD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154.70</w:t>
            </w:r>
          </w:p>
        </w:tc>
        <w:tc>
          <w:tcPr>
            <w:tcW w:w="992" w:type="dxa"/>
            <w:vAlign w:val="center"/>
            <w:hideMark/>
          </w:tcPr>
          <w:p w14:paraId="6059A68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2164.63</w:t>
            </w:r>
          </w:p>
        </w:tc>
      </w:tr>
      <w:tr w:rsidR="002C06DC" w:rsidRPr="005A01B2" w14:paraId="111A1865" w14:textId="77777777" w:rsidTr="005A01B2">
        <w:trPr>
          <w:trHeight w:val="20"/>
          <w:jc w:val="center"/>
        </w:trPr>
        <w:tc>
          <w:tcPr>
            <w:tcW w:w="1555" w:type="dxa"/>
            <w:vAlign w:val="center"/>
            <w:hideMark/>
          </w:tcPr>
          <w:p w14:paraId="3A8DB56A"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Himachal Pradesh</w:t>
            </w:r>
          </w:p>
        </w:tc>
        <w:tc>
          <w:tcPr>
            <w:tcW w:w="816" w:type="dxa"/>
            <w:vAlign w:val="center"/>
            <w:hideMark/>
          </w:tcPr>
          <w:p w14:paraId="6975654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500.64</w:t>
            </w:r>
          </w:p>
        </w:tc>
        <w:tc>
          <w:tcPr>
            <w:tcW w:w="1026" w:type="dxa"/>
            <w:vAlign w:val="center"/>
            <w:hideMark/>
          </w:tcPr>
          <w:p w14:paraId="57BBDA8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66.24</w:t>
            </w:r>
          </w:p>
        </w:tc>
        <w:tc>
          <w:tcPr>
            <w:tcW w:w="1418" w:type="dxa"/>
            <w:vAlign w:val="center"/>
            <w:hideMark/>
          </w:tcPr>
          <w:p w14:paraId="5CBAE5D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0910A54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24.08</w:t>
            </w:r>
          </w:p>
        </w:tc>
        <w:tc>
          <w:tcPr>
            <w:tcW w:w="992" w:type="dxa"/>
            <w:vAlign w:val="center"/>
            <w:hideMark/>
          </w:tcPr>
          <w:p w14:paraId="5EA065E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182.31</w:t>
            </w:r>
          </w:p>
        </w:tc>
        <w:tc>
          <w:tcPr>
            <w:tcW w:w="992" w:type="dxa"/>
            <w:vAlign w:val="center"/>
            <w:hideMark/>
          </w:tcPr>
          <w:p w14:paraId="4A72776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28.75</w:t>
            </w:r>
          </w:p>
        </w:tc>
        <w:tc>
          <w:tcPr>
            <w:tcW w:w="992" w:type="dxa"/>
            <w:vAlign w:val="center"/>
            <w:hideMark/>
          </w:tcPr>
          <w:p w14:paraId="245CA45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802.02</w:t>
            </w:r>
          </w:p>
        </w:tc>
      </w:tr>
      <w:tr w:rsidR="002C06DC" w:rsidRPr="005A01B2" w14:paraId="21D840B6" w14:textId="77777777" w:rsidTr="005A01B2">
        <w:trPr>
          <w:trHeight w:val="20"/>
          <w:jc w:val="center"/>
        </w:trPr>
        <w:tc>
          <w:tcPr>
            <w:tcW w:w="1555" w:type="dxa"/>
            <w:vAlign w:val="center"/>
            <w:hideMark/>
          </w:tcPr>
          <w:p w14:paraId="31268C4C"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Jammu &amp; Kashmir</w:t>
            </w:r>
          </w:p>
        </w:tc>
        <w:tc>
          <w:tcPr>
            <w:tcW w:w="816" w:type="dxa"/>
            <w:vAlign w:val="center"/>
            <w:hideMark/>
          </w:tcPr>
          <w:p w14:paraId="2EE0FC8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2015.13</w:t>
            </w:r>
          </w:p>
        </w:tc>
        <w:tc>
          <w:tcPr>
            <w:tcW w:w="1026" w:type="dxa"/>
            <w:vAlign w:val="center"/>
            <w:hideMark/>
          </w:tcPr>
          <w:p w14:paraId="0844945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101.10</w:t>
            </w:r>
          </w:p>
        </w:tc>
        <w:tc>
          <w:tcPr>
            <w:tcW w:w="1418" w:type="dxa"/>
            <w:vAlign w:val="center"/>
            <w:hideMark/>
          </w:tcPr>
          <w:p w14:paraId="49FCC55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012CA49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38.23</w:t>
            </w:r>
          </w:p>
        </w:tc>
        <w:tc>
          <w:tcPr>
            <w:tcW w:w="992" w:type="dxa"/>
            <w:vAlign w:val="center"/>
            <w:hideMark/>
          </w:tcPr>
          <w:p w14:paraId="28B29E2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267.70</w:t>
            </w:r>
          </w:p>
        </w:tc>
        <w:tc>
          <w:tcPr>
            <w:tcW w:w="992" w:type="dxa"/>
            <w:vAlign w:val="center"/>
            <w:hideMark/>
          </w:tcPr>
          <w:p w14:paraId="676A169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992" w:type="dxa"/>
            <w:vAlign w:val="center"/>
            <w:hideMark/>
          </w:tcPr>
          <w:p w14:paraId="6BF1445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2422.16</w:t>
            </w:r>
          </w:p>
        </w:tc>
      </w:tr>
      <w:tr w:rsidR="002C06DC" w:rsidRPr="005A01B2" w14:paraId="19AE46ED" w14:textId="77777777" w:rsidTr="005A01B2">
        <w:trPr>
          <w:trHeight w:val="20"/>
          <w:jc w:val="center"/>
        </w:trPr>
        <w:tc>
          <w:tcPr>
            <w:tcW w:w="1555" w:type="dxa"/>
            <w:vAlign w:val="center"/>
            <w:hideMark/>
          </w:tcPr>
          <w:p w14:paraId="00373E18"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Karnataka</w:t>
            </w:r>
          </w:p>
        </w:tc>
        <w:tc>
          <w:tcPr>
            <w:tcW w:w="816" w:type="dxa"/>
            <w:vAlign w:val="center"/>
            <w:hideMark/>
          </w:tcPr>
          <w:p w14:paraId="6255C62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2301.01</w:t>
            </w:r>
          </w:p>
        </w:tc>
        <w:tc>
          <w:tcPr>
            <w:tcW w:w="1026" w:type="dxa"/>
            <w:vAlign w:val="center"/>
            <w:hideMark/>
          </w:tcPr>
          <w:p w14:paraId="0F9ECEA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597.84</w:t>
            </w:r>
          </w:p>
        </w:tc>
        <w:tc>
          <w:tcPr>
            <w:tcW w:w="1418" w:type="dxa"/>
            <w:vAlign w:val="center"/>
            <w:hideMark/>
          </w:tcPr>
          <w:p w14:paraId="5A6AF61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5470DD1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120.51</w:t>
            </w:r>
          </w:p>
        </w:tc>
        <w:tc>
          <w:tcPr>
            <w:tcW w:w="992" w:type="dxa"/>
            <w:vAlign w:val="center"/>
            <w:hideMark/>
          </w:tcPr>
          <w:p w14:paraId="08DF001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578.12</w:t>
            </w:r>
          </w:p>
        </w:tc>
        <w:tc>
          <w:tcPr>
            <w:tcW w:w="992" w:type="dxa"/>
            <w:vAlign w:val="center"/>
            <w:hideMark/>
          </w:tcPr>
          <w:p w14:paraId="6E14584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405.62</w:t>
            </w:r>
          </w:p>
        </w:tc>
        <w:tc>
          <w:tcPr>
            <w:tcW w:w="992" w:type="dxa"/>
            <w:vAlign w:val="center"/>
            <w:hideMark/>
          </w:tcPr>
          <w:p w14:paraId="1D8BDD1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4003.10</w:t>
            </w:r>
          </w:p>
        </w:tc>
      </w:tr>
      <w:tr w:rsidR="002C06DC" w:rsidRPr="005A01B2" w14:paraId="79AE75C3" w14:textId="77777777" w:rsidTr="005A01B2">
        <w:trPr>
          <w:trHeight w:val="20"/>
          <w:jc w:val="center"/>
        </w:trPr>
        <w:tc>
          <w:tcPr>
            <w:tcW w:w="1555" w:type="dxa"/>
            <w:vAlign w:val="center"/>
            <w:hideMark/>
          </w:tcPr>
          <w:p w14:paraId="4DE3BE13"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Kerala</w:t>
            </w:r>
          </w:p>
        </w:tc>
        <w:tc>
          <w:tcPr>
            <w:tcW w:w="816" w:type="dxa"/>
            <w:vAlign w:val="center"/>
            <w:hideMark/>
          </w:tcPr>
          <w:p w14:paraId="34FFBFC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1682.07</w:t>
            </w:r>
          </w:p>
        </w:tc>
        <w:tc>
          <w:tcPr>
            <w:tcW w:w="1026" w:type="dxa"/>
            <w:vAlign w:val="center"/>
            <w:hideMark/>
          </w:tcPr>
          <w:p w14:paraId="526D568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578.62</w:t>
            </w:r>
          </w:p>
        </w:tc>
        <w:tc>
          <w:tcPr>
            <w:tcW w:w="1418" w:type="dxa"/>
            <w:vAlign w:val="center"/>
            <w:hideMark/>
          </w:tcPr>
          <w:p w14:paraId="479DC1C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3.44</w:t>
            </w:r>
          </w:p>
        </w:tc>
        <w:tc>
          <w:tcPr>
            <w:tcW w:w="1276" w:type="dxa"/>
            <w:vAlign w:val="center"/>
            <w:hideMark/>
          </w:tcPr>
          <w:p w14:paraId="0A1FBA6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107.27</w:t>
            </w:r>
          </w:p>
        </w:tc>
        <w:tc>
          <w:tcPr>
            <w:tcW w:w="992" w:type="dxa"/>
            <w:vAlign w:val="center"/>
            <w:hideMark/>
          </w:tcPr>
          <w:p w14:paraId="7E3DA87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760.01</w:t>
            </w:r>
          </w:p>
        </w:tc>
        <w:tc>
          <w:tcPr>
            <w:tcW w:w="992" w:type="dxa"/>
            <w:vAlign w:val="center"/>
            <w:hideMark/>
          </w:tcPr>
          <w:p w14:paraId="1E76161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164.11</w:t>
            </w:r>
          </w:p>
        </w:tc>
        <w:tc>
          <w:tcPr>
            <w:tcW w:w="992" w:type="dxa"/>
            <w:vAlign w:val="center"/>
            <w:hideMark/>
          </w:tcPr>
          <w:p w14:paraId="333B015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3295.52</w:t>
            </w:r>
          </w:p>
        </w:tc>
      </w:tr>
      <w:tr w:rsidR="002C06DC" w:rsidRPr="005A01B2" w14:paraId="7735012A" w14:textId="77777777" w:rsidTr="005A01B2">
        <w:trPr>
          <w:trHeight w:val="20"/>
          <w:jc w:val="center"/>
        </w:trPr>
        <w:tc>
          <w:tcPr>
            <w:tcW w:w="1555" w:type="dxa"/>
            <w:vAlign w:val="center"/>
            <w:hideMark/>
          </w:tcPr>
          <w:p w14:paraId="34E8A4EA"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Madhya Pradesh</w:t>
            </w:r>
          </w:p>
        </w:tc>
        <w:tc>
          <w:tcPr>
            <w:tcW w:w="816" w:type="dxa"/>
            <w:vAlign w:val="center"/>
            <w:hideMark/>
          </w:tcPr>
          <w:p w14:paraId="5C0B6E3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3091.69</w:t>
            </w:r>
          </w:p>
        </w:tc>
        <w:tc>
          <w:tcPr>
            <w:tcW w:w="1026" w:type="dxa"/>
            <w:vAlign w:val="center"/>
            <w:hideMark/>
          </w:tcPr>
          <w:p w14:paraId="3D8FF93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355.39</w:t>
            </w:r>
          </w:p>
        </w:tc>
        <w:tc>
          <w:tcPr>
            <w:tcW w:w="1418" w:type="dxa"/>
            <w:vAlign w:val="center"/>
            <w:hideMark/>
          </w:tcPr>
          <w:p w14:paraId="5758868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7A2DB0D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125.58</w:t>
            </w:r>
          </w:p>
        </w:tc>
        <w:tc>
          <w:tcPr>
            <w:tcW w:w="992" w:type="dxa"/>
            <w:vAlign w:val="center"/>
            <w:hideMark/>
          </w:tcPr>
          <w:p w14:paraId="45E568F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1539.27</w:t>
            </w:r>
          </w:p>
        </w:tc>
        <w:tc>
          <w:tcPr>
            <w:tcW w:w="992" w:type="dxa"/>
            <w:vAlign w:val="center"/>
            <w:hideMark/>
          </w:tcPr>
          <w:p w14:paraId="0CF7BAB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540.58</w:t>
            </w:r>
          </w:p>
        </w:tc>
        <w:tc>
          <w:tcPr>
            <w:tcW w:w="992" w:type="dxa"/>
            <w:vAlign w:val="center"/>
            <w:hideMark/>
          </w:tcPr>
          <w:p w14:paraId="16C3F90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5652.51</w:t>
            </w:r>
          </w:p>
        </w:tc>
      </w:tr>
      <w:tr w:rsidR="002C06DC" w:rsidRPr="005A01B2" w14:paraId="38CF1ABE" w14:textId="77777777" w:rsidTr="005A01B2">
        <w:trPr>
          <w:trHeight w:val="20"/>
          <w:jc w:val="center"/>
        </w:trPr>
        <w:tc>
          <w:tcPr>
            <w:tcW w:w="1555" w:type="dxa"/>
            <w:vAlign w:val="center"/>
            <w:hideMark/>
          </w:tcPr>
          <w:p w14:paraId="477AABFB"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Maharashtra</w:t>
            </w:r>
          </w:p>
        </w:tc>
        <w:tc>
          <w:tcPr>
            <w:tcW w:w="816" w:type="dxa"/>
            <w:vAlign w:val="center"/>
            <w:hideMark/>
          </w:tcPr>
          <w:p w14:paraId="4824A29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5859.44</w:t>
            </w:r>
          </w:p>
        </w:tc>
        <w:tc>
          <w:tcPr>
            <w:tcW w:w="1026" w:type="dxa"/>
            <w:vAlign w:val="center"/>
            <w:hideMark/>
          </w:tcPr>
          <w:p w14:paraId="407F202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560.87</w:t>
            </w:r>
          </w:p>
        </w:tc>
        <w:tc>
          <w:tcPr>
            <w:tcW w:w="1418" w:type="dxa"/>
            <w:vAlign w:val="center"/>
            <w:hideMark/>
          </w:tcPr>
          <w:p w14:paraId="6800433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6D1F7BC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156.82</w:t>
            </w:r>
          </w:p>
        </w:tc>
        <w:tc>
          <w:tcPr>
            <w:tcW w:w="992" w:type="dxa"/>
            <w:vAlign w:val="center"/>
            <w:hideMark/>
          </w:tcPr>
          <w:p w14:paraId="6BDC899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1029.91</w:t>
            </w:r>
          </w:p>
        </w:tc>
        <w:tc>
          <w:tcPr>
            <w:tcW w:w="992" w:type="dxa"/>
            <w:vAlign w:val="center"/>
            <w:hideMark/>
          </w:tcPr>
          <w:p w14:paraId="069728E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1350.90</w:t>
            </w:r>
          </w:p>
        </w:tc>
        <w:tc>
          <w:tcPr>
            <w:tcW w:w="992" w:type="dxa"/>
            <w:vAlign w:val="center"/>
            <w:hideMark/>
          </w:tcPr>
          <w:p w14:paraId="700988B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8957.94</w:t>
            </w:r>
          </w:p>
        </w:tc>
      </w:tr>
      <w:tr w:rsidR="002C06DC" w:rsidRPr="005A01B2" w14:paraId="46B0AD2C" w14:textId="77777777" w:rsidTr="005A01B2">
        <w:trPr>
          <w:trHeight w:val="20"/>
          <w:jc w:val="center"/>
        </w:trPr>
        <w:tc>
          <w:tcPr>
            <w:tcW w:w="1555" w:type="dxa"/>
            <w:vAlign w:val="center"/>
            <w:hideMark/>
          </w:tcPr>
          <w:p w14:paraId="7C41B679"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Manipur</w:t>
            </w:r>
          </w:p>
        </w:tc>
        <w:tc>
          <w:tcPr>
            <w:tcW w:w="816" w:type="dxa"/>
            <w:vAlign w:val="center"/>
            <w:hideMark/>
          </w:tcPr>
          <w:p w14:paraId="00023CC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145.32</w:t>
            </w:r>
          </w:p>
        </w:tc>
        <w:tc>
          <w:tcPr>
            <w:tcW w:w="1026" w:type="dxa"/>
            <w:vAlign w:val="center"/>
            <w:hideMark/>
          </w:tcPr>
          <w:p w14:paraId="70E2DC8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56.41</w:t>
            </w:r>
          </w:p>
        </w:tc>
        <w:tc>
          <w:tcPr>
            <w:tcW w:w="1418" w:type="dxa"/>
            <w:vAlign w:val="center"/>
            <w:hideMark/>
          </w:tcPr>
          <w:p w14:paraId="4A3354B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2E464CF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16.86</w:t>
            </w:r>
          </w:p>
        </w:tc>
        <w:tc>
          <w:tcPr>
            <w:tcW w:w="992" w:type="dxa"/>
            <w:vAlign w:val="center"/>
            <w:hideMark/>
          </w:tcPr>
          <w:p w14:paraId="5A049BE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37.88</w:t>
            </w:r>
          </w:p>
        </w:tc>
        <w:tc>
          <w:tcPr>
            <w:tcW w:w="992" w:type="dxa"/>
            <w:vAlign w:val="center"/>
            <w:hideMark/>
          </w:tcPr>
          <w:p w14:paraId="7DDE529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38.82</w:t>
            </w:r>
          </w:p>
        </w:tc>
        <w:tc>
          <w:tcPr>
            <w:tcW w:w="992" w:type="dxa"/>
            <w:vAlign w:val="center"/>
            <w:hideMark/>
          </w:tcPr>
          <w:p w14:paraId="5512A0D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295.29</w:t>
            </w:r>
          </w:p>
        </w:tc>
      </w:tr>
      <w:tr w:rsidR="002C06DC" w:rsidRPr="005A01B2" w14:paraId="026849D8" w14:textId="77777777" w:rsidTr="005A01B2">
        <w:trPr>
          <w:trHeight w:val="20"/>
          <w:jc w:val="center"/>
        </w:trPr>
        <w:tc>
          <w:tcPr>
            <w:tcW w:w="1555" w:type="dxa"/>
            <w:vAlign w:val="center"/>
            <w:hideMark/>
          </w:tcPr>
          <w:p w14:paraId="02F047C1"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Meghalaya</w:t>
            </w:r>
          </w:p>
        </w:tc>
        <w:tc>
          <w:tcPr>
            <w:tcW w:w="816" w:type="dxa"/>
            <w:vAlign w:val="center"/>
            <w:hideMark/>
          </w:tcPr>
          <w:p w14:paraId="56FD77A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89.53</w:t>
            </w:r>
          </w:p>
        </w:tc>
        <w:tc>
          <w:tcPr>
            <w:tcW w:w="1026" w:type="dxa"/>
            <w:vAlign w:val="center"/>
            <w:hideMark/>
          </w:tcPr>
          <w:p w14:paraId="54E31E0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25.31</w:t>
            </w:r>
          </w:p>
        </w:tc>
        <w:tc>
          <w:tcPr>
            <w:tcW w:w="1418" w:type="dxa"/>
            <w:vAlign w:val="center"/>
            <w:hideMark/>
          </w:tcPr>
          <w:p w14:paraId="2803C86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342C442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9.36</w:t>
            </w:r>
          </w:p>
        </w:tc>
        <w:tc>
          <w:tcPr>
            <w:tcW w:w="992" w:type="dxa"/>
            <w:vAlign w:val="center"/>
            <w:hideMark/>
          </w:tcPr>
          <w:p w14:paraId="213E739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18.53</w:t>
            </w:r>
          </w:p>
        </w:tc>
        <w:tc>
          <w:tcPr>
            <w:tcW w:w="992" w:type="dxa"/>
            <w:vAlign w:val="center"/>
            <w:hideMark/>
          </w:tcPr>
          <w:p w14:paraId="73E62EC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10.29</w:t>
            </w:r>
          </w:p>
        </w:tc>
        <w:tc>
          <w:tcPr>
            <w:tcW w:w="992" w:type="dxa"/>
            <w:vAlign w:val="center"/>
            <w:hideMark/>
          </w:tcPr>
          <w:p w14:paraId="609D022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153.02</w:t>
            </w:r>
          </w:p>
        </w:tc>
      </w:tr>
      <w:tr w:rsidR="002C06DC" w:rsidRPr="005A01B2" w14:paraId="038C2B73" w14:textId="77777777" w:rsidTr="005A01B2">
        <w:trPr>
          <w:trHeight w:val="20"/>
          <w:jc w:val="center"/>
        </w:trPr>
        <w:tc>
          <w:tcPr>
            <w:tcW w:w="1555" w:type="dxa"/>
            <w:vAlign w:val="center"/>
            <w:hideMark/>
          </w:tcPr>
          <w:p w14:paraId="75E5955E"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Mizoram</w:t>
            </w:r>
          </w:p>
        </w:tc>
        <w:tc>
          <w:tcPr>
            <w:tcW w:w="816" w:type="dxa"/>
            <w:vAlign w:val="center"/>
            <w:hideMark/>
          </w:tcPr>
          <w:p w14:paraId="03A0364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188.42</w:t>
            </w:r>
          </w:p>
        </w:tc>
        <w:tc>
          <w:tcPr>
            <w:tcW w:w="1026" w:type="dxa"/>
            <w:vAlign w:val="center"/>
            <w:hideMark/>
          </w:tcPr>
          <w:p w14:paraId="3450222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418" w:type="dxa"/>
            <w:vAlign w:val="center"/>
            <w:hideMark/>
          </w:tcPr>
          <w:p w14:paraId="013C225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7AFF39F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1.70</w:t>
            </w:r>
          </w:p>
        </w:tc>
        <w:tc>
          <w:tcPr>
            <w:tcW w:w="992" w:type="dxa"/>
            <w:vAlign w:val="center"/>
            <w:hideMark/>
          </w:tcPr>
          <w:p w14:paraId="2C5F1C4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0.75</w:t>
            </w:r>
          </w:p>
        </w:tc>
        <w:tc>
          <w:tcPr>
            <w:tcW w:w="992" w:type="dxa"/>
            <w:vAlign w:val="center"/>
            <w:hideMark/>
          </w:tcPr>
          <w:p w14:paraId="57CBF47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992" w:type="dxa"/>
            <w:vAlign w:val="center"/>
            <w:hideMark/>
          </w:tcPr>
          <w:p w14:paraId="466DF63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190.87</w:t>
            </w:r>
          </w:p>
        </w:tc>
      </w:tr>
      <w:tr w:rsidR="002C06DC" w:rsidRPr="005A01B2" w14:paraId="5E301680" w14:textId="77777777" w:rsidTr="005A01B2">
        <w:trPr>
          <w:trHeight w:val="20"/>
          <w:jc w:val="center"/>
        </w:trPr>
        <w:tc>
          <w:tcPr>
            <w:tcW w:w="1555" w:type="dxa"/>
            <w:vAlign w:val="center"/>
            <w:hideMark/>
          </w:tcPr>
          <w:p w14:paraId="336B917A"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Nagaland</w:t>
            </w:r>
          </w:p>
        </w:tc>
        <w:tc>
          <w:tcPr>
            <w:tcW w:w="816" w:type="dxa"/>
            <w:vAlign w:val="center"/>
            <w:hideMark/>
          </w:tcPr>
          <w:p w14:paraId="40B8BFB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132.99</w:t>
            </w:r>
          </w:p>
        </w:tc>
        <w:tc>
          <w:tcPr>
            <w:tcW w:w="1026" w:type="dxa"/>
            <w:vAlign w:val="center"/>
            <w:hideMark/>
          </w:tcPr>
          <w:p w14:paraId="0AA0043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77.16</w:t>
            </w:r>
          </w:p>
        </w:tc>
        <w:tc>
          <w:tcPr>
            <w:tcW w:w="1418" w:type="dxa"/>
            <w:vAlign w:val="center"/>
            <w:hideMark/>
          </w:tcPr>
          <w:p w14:paraId="37CE439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7F03C5A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40.49</w:t>
            </w:r>
          </w:p>
        </w:tc>
        <w:tc>
          <w:tcPr>
            <w:tcW w:w="992" w:type="dxa"/>
            <w:vAlign w:val="center"/>
            <w:hideMark/>
          </w:tcPr>
          <w:p w14:paraId="4EC1A02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71.37</w:t>
            </w:r>
          </w:p>
        </w:tc>
        <w:tc>
          <w:tcPr>
            <w:tcW w:w="992" w:type="dxa"/>
            <w:vAlign w:val="center"/>
            <w:hideMark/>
          </w:tcPr>
          <w:p w14:paraId="752A034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10.77</w:t>
            </w:r>
          </w:p>
        </w:tc>
        <w:tc>
          <w:tcPr>
            <w:tcW w:w="992" w:type="dxa"/>
            <w:vAlign w:val="center"/>
            <w:hideMark/>
          </w:tcPr>
          <w:p w14:paraId="67CDD34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332.78</w:t>
            </w:r>
          </w:p>
        </w:tc>
      </w:tr>
      <w:tr w:rsidR="002C06DC" w:rsidRPr="005A01B2" w14:paraId="69F4768E" w14:textId="77777777" w:rsidTr="005A01B2">
        <w:trPr>
          <w:trHeight w:val="20"/>
          <w:jc w:val="center"/>
        </w:trPr>
        <w:tc>
          <w:tcPr>
            <w:tcW w:w="1555" w:type="dxa"/>
            <w:vAlign w:val="center"/>
            <w:hideMark/>
          </w:tcPr>
          <w:p w14:paraId="75DC0B0E"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Orissa</w:t>
            </w:r>
          </w:p>
        </w:tc>
        <w:tc>
          <w:tcPr>
            <w:tcW w:w="816" w:type="dxa"/>
            <w:vAlign w:val="center"/>
            <w:hideMark/>
          </w:tcPr>
          <w:p w14:paraId="15A1212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1995.30</w:t>
            </w:r>
          </w:p>
        </w:tc>
        <w:tc>
          <w:tcPr>
            <w:tcW w:w="1026" w:type="dxa"/>
            <w:vAlign w:val="center"/>
            <w:hideMark/>
          </w:tcPr>
          <w:p w14:paraId="6180D15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652.11</w:t>
            </w:r>
          </w:p>
        </w:tc>
        <w:tc>
          <w:tcPr>
            <w:tcW w:w="1418" w:type="dxa"/>
            <w:vAlign w:val="center"/>
            <w:hideMark/>
          </w:tcPr>
          <w:p w14:paraId="25ECEFF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0DBDE6D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88.88</w:t>
            </w:r>
          </w:p>
        </w:tc>
        <w:tc>
          <w:tcPr>
            <w:tcW w:w="992" w:type="dxa"/>
            <w:vAlign w:val="center"/>
            <w:hideMark/>
          </w:tcPr>
          <w:p w14:paraId="494E7ED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563.04</w:t>
            </w:r>
          </w:p>
        </w:tc>
        <w:tc>
          <w:tcPr>
            <w:tcW w:w="992" w:type="dxa"/>
            <w:vAlign w:val="center"/>
            <w:hideMark/>
          </w:tcPr>
          <w:p w14:paraId="636577D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291.86</w:t>
            </w:r>
          </w:p>
        </w:tc>
        <w:tc>
          <w:tcPr>
            <w:tcW w:w="992" w:type="dxa"/>
            <w:vAlign w:val="center"/>
            <w:hideMark/>
          </w:tcPr>
          <w:p w14:paraId="46B35C9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3591.19</w:t>
            </w:r>
          </w:p>
        </w:tc>
      </w:tr>
      <w:tr w:rsidR="002C06DC" w:rsidRPr="005A01B2" w14:paraId="3CD33A61" w14:textId="77777777" w:rsidTr="005A01B2">
        <w:trPr>
          <w:trHeight w:val="20"/>
          <w:jc w:val="center"/>
        </w:trPr>
        <w:tc>
          <w:tcPr>
            <w:tcW w:w="1555" w:type="dxa"/>
            <w:vAlign w:val="center"/>
            <w:hideMark/>
          </w:tcPr>
          <w:p w14:paraId="62751407"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Punjab</w:t>
            </w:r>
          </w:p>
        </w:tc>
        <w:tc>
          <w:tcPr>
            <w:tcW w:w="816" w:type="dxa"/>
            <w:vAlign w:val="center"/>
            <w:hideMark/>
          </w:tcPr>
          <w:p w14:paraId="408E46B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3774.25</w:t>
            </w:r>
          </w:p>
        </w:tc>
        <w:tc>
          <w:tcPr>
            <w:tcW w:w="1026" w:type="dxa"/>
            <w:vAlign w:val="center"/>
            <w:hideMark/>
          </w:tcPr>
          <w:p w14:paraId="2D3B526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257.36</w:t>
            </w:r>
          </w:p>
        </w:tc>
        <w:tc>
          <w:tcPr>
            <w:tcW w:w="1418" w:type="dxa"/>
            <w:vAlign w:val="center"/>
            <w:hideMark/>
          </w:tcPr>
          <w:p w14:paraId="57D4887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0F850C2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188.95</w:t>
            </w:r>
          </w:p>
        </w:tc>
        <w:tc>
          <w:tcPr>
            <w:tcW w:w="992" w:type="dxa"/>
            <w:vAlign w:val="center"/>
            <w:hideMark/>
          </w:tcPr>
          <w:p w14:paraId="7E30582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443.31</w:t>
            </w:r>
          </w:p>
        </w:tc>
        <w:tc>
          <w:tcPr>
            <w:tcW w:w="992" w:type="dxa"/>
            <w:vAlign w:val="center"/>
            <w:hideMark/>
          </w:tcPr>
          <w:p w14:paraId="1FB3F45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130.38</w:t>
            </w:r>
          </w:p>
        </w:tc>
        <w:tc>
          <w:tcPr>
            <w:tcW w:w="992" w:type="dxa"/>
            <w:vAlign w:val="center"/>
            <w:hideMark/>
          </w:tcPr>
          <w:p w14:paraId="55B2863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4794.25</w:t>
            </w:r>
          </w:p>
        </w:tc>
      </w:tr>
      <w:tr w:rsidR="002C06DC" w:rsidRPr="005A01B2" w14:paraId="5A116E62" w14:textId="77777777" w:rsidTr="005A01B2">
        <w:trPr>
          <w:trHeight w:val="20"/>
          <w:jc w:val="center"/>
        </w:trPr>
        <w:tc>
          <w:tcPr>
            <w:tcW w:w="1555" w:type="dxa"/>
            <w:vAlign w:val="center"/>
            <w:hideMark/>
          </w:tcPr>
          <w:p w14:paraId="0E736BA4"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Rajasthan</w:t>
            </w:r>
          </w:p>
        </w:tc>
        <w:tc>
          <w:tcPr>
            <w:tcW w:w="816" w:type="dxa"/>
            <w:vAlign w:val="center"/>
            <w:hideMark/>
          </w:tcPr>
          <w:p w14:paraId="7CF5223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3282.10</w:t>
            </w:r>
          </w:p>
        </w:tc>
        <w:tc>
          <w:tcPr>
            <w:tcW w:w="1026" w:type="dxa"/>
            <w:vAlign w:val="center"/>
            <w:hideMark/>
          </w:tcPr>
          <w:p w14:paraId="632F1F5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779.99</w:t>
            </w:r>
          </w:p>
        </w:tc>
        <w:tc>
          <w:tcPr>
            <w:tcW w:w="1418" w:type="dxa"/>
            <w:vAlign w:val="center"/>
            <w:hideMark/>
          </w:tcPr>
          <w:p w14:paraId="21D2AB8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2A0ACF6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91.37</w:t>
            </w:r>
          </w:p>
        </w:tc>
        <w:tc>
          <w:tcPr>
            <w:tcW w:w="992" w:type="dxa"/>
            <w:vAlign w:val="center"/>
            <w:hideMark/>
          </w:tcPr>
          <w:p w14:paraId="7BC38432"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808.59</w:t>
            </w:r>
          </w:p>
        </w:tc>
        <w:tc>
          <w:tcPr>
            <w:tcW w:w="992" w:type="dxa"/>
            <w:vAlign w:val="center"/>
            <w:hideMark/>
          </w:tcPr>
          <w:p w14:paraId="16B373F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559.64</w:t>
            </w:r>
          </w:p>
        </w:tc>
        <w:tc>
          <w:tcPr>
            <w:tcW w:w="992" w:type="dxa"/>
            <w:vAlign w:val="center"/>
            <w:hideMark/>
          </w:tcPr>
          <w:p w14:paraId="7D73AF1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5521.69</w:t>
            </w:r>
          </w:p>
        </w:tc>
      </w:tr>
      <w:tr w:rsidR="002C06DC" w:rsidRPr="005A01B2" w14:paraId="2A042C32" w14:textId="77777777" w:rsidTr="005A01B2">
        <w:trPr>
          <w:trHeight w:val="20"/>
          <w:jc w:val="center"/>
        </w:trPr>
        <w:tc>
          <w:tcPr>
            <w:tcW w:w="1555" w:type="dxa"/>
            <w:vAlign w:val="center"/>
            <w:hideMark/>
          </w:tcPr>
          <w:p w14:paraId="69C47BD8"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Sikkim</w:t>
            </w:r>
          </w:p>
        </w:tc>
        <w:tc>
          <w:tcPr>
            <w:tcW w:w="816" w:type="dxa"/>
            <w:vAlign w:val="center"/>
            <w:hideMark/>
          </w:tcPr>
          <w:p w14:paraId="31CFE9E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45.36</w:t>
            </w:r>
          </w:p>
        </w:tc>
        <w:tc>
          <w:tcPr>
            <w:tcW w:w="1026" w:type="dxa"/>
            <w:vAlign w:val="center"/>
            <w:hideMark/>
          </w:tcPr>
          <w:p w14:paraId="104E2ED9"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4.26</w:t>
            </w:r>
          </w:p>
        </w:tc>
        <w:tc>
          <w:tcPr>
            <w:tcW w:w="1418" w:type="dxa"/>
            <w:vAlign w:val="center"/>
            <w:hideMark/>
          </w:tcPr>
          <w:p w14:paraId="2267F71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097E6F3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16.14</w:t>
            </w:r>
          </w:p>
        </w:tc>
        <w:tc>
          <w:tcPr>
            <w:tcW w:w="992" w:type="dxa"/>
            <w:vAlign w:val="center"/>
            <w:hideMark/>
          </w:tcPr>
          <w:p w14:paraId="527E611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8.28</w:t>
            </w:r>
          </w:p>
        </w:tc>
        <w:tc>
          <w:tcPr>
            <w:tcW w:w="992" w:type="dxa"/>
            <w:vAlign w:val="center"/>
            <w:hideMark/>
          </w:tcPr>
          <w:p w14:paraId="556042D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992" w:type="dxa"/>
            <w:vAlign w:val="center"/>
            <w:hideMark/>
          </w:tcPr>
          <w:p w14:paraId="68F2145D"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74.04</w:t>
            </w:r>
          </w:p>
        </w:tc>
      </w:tr>
      <w:tr w:rsidR="002C06DC" w:rsidRPr="005A01B2" w14:paraId="05FF71B5" w14:textId="77777777" w:rsidTr="005A01B2">
        <w:trPr>
          <w:trHeight w:val="20"/>
          <w:jc w:val="center"/>
        </w:trPr>
        <w:tc>
          <w:tcPr>
            <w:tcW w:w="1555" w:type="dxa"/>
            <w:vAlign w:val="center"/>
            <w:hideMark/>
          </w:tcPr>
          <w:p w14:paraId="7D205007" w14:textId="2D77508E" w:rsidR="002C06DC" w:rsidRPr="005A01B2" w:rsidRDefault="00165D8B"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Tamil Nadu</w:t>
            </w:r>
          </w:p>
        </w:tc>
        <w:tc>
          <w:tcPr>
            <w:tcW w:w="816" w:type="dxa"/>
            <w:vAlign w:val="center"/>
            <w:hideMark/>
          </w:tcPr>
          <w:p w14:paraId="5BAB22E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2495.43</w:t>
            </w:r>
          </w:p>
        </w:tc>
        <w:tc>
          <w:tcPr>
            <w:tcW w:w="1026" w:type="dxa"/>
            <w:vAlign w:val="center"/>
            <w:hideMark/>
          </w:tcPr>
          <w:p w14:paraId="4F66528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735.82</w:t>
            </w:r>
          </w:p>
        </w:tc>
        <w:tc>
          <w:tcPr>
            <w:tcW w:w="1418" w:type="dxa"/>
            <w:vAlign w:val="center"/>
            <w:hideMark/>
          </w:tcPr>
          <w:p w14:paraId="2378ECBF"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711F1DD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121.19</w:t>
            </w:r>
          </w:p>
        </w:tc>
        <w:tc>
          <w:tcPr>
            <w:tcW w:w="992" w:type="dxa"/>
            <w:vAlign w:val="center"/>
            <w:hideMark/>
          </w:tcPr>
          <w:p w14:paraId="51C8EC17"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319.17</w:t>
            </w:r>
          </w:p>
        </w:tc>
        <w:tc>
          <w:tcPr>
            <w:tcW w:w="992" w:type="dxa"/>
            <w:vAlign w:val="center"/>
            <w:hideMark/>
          </w:tcPr>
          <w:p w14:paraId="24161BA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746.70</w:t>
            </w:r>
          </w:p>
        </w:tc>
        <w:tc>
          <w:tcPr>
            <w:tcW w:w="992" w:type="dxa"/>
            <w:vAlign w:val="center"/>
            <w:hideMark/>
          </w:tcPr>
          <w:p w14:paraId="7F30963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4418.31</w:t>
            </w:r>
          </w:p>
        </w:tc>
      </w:tr>
      <w:tr w:rsidR="002C06DC" w:rsidRPr="005A01B2" w14:paraId="3797C1AA" w14:textId="77777777" w:rsidTr="005A01B2">
        <w:trPr>
          <w:trHeight w:val="20"/>
          <w:jc w:val="center"/>
        </w:trPr>
        <w:tc>
          <w:tcPr>
            <w:tcW w:w="1555" w:type="dxa"/>
            <w:vAlign w:val="center"/>
            <w:hideMark/>
          </w:tcPr>
          <w:p w14:paraId="33B9E95F"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Tripura</w:t>
            </w:r>
          </w:p>
        </w:tc>
        <w:tc>
          <w:tcPr>
            <w:tcW w:w="816" w:type="dxa"/>
            <w:vAlign w:val="center"/>
            <w:hideMark/>
          </w:tcPr>
          <w:p w14:paraId="7E3AB95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119.01</w:t>
            </w:r>
          </w:p>
        </w:tc>
        <w:tc>
          <w:tcPr>
            <w:tcW w:w="1026" w:type="dxa"/>
            <w:vAlign w:val="center"/>
            <w:hideMark/>
          </w:tcPr>
          <w:p w14:paraId="2DE4A0D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58.84</w:t>
            </w:r>
          </w:p>
        </w:tc>
        <w:tc>
          <w:tcPr>
            <w:tcW w:w="1418" w:type="dxa"/>
            <w:vAlign w:val="center"/>
            <w:hideMark/>
          </w:tcPr>
          <w:p w14:paraId="36FBED9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79D59EC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41.55</w:t>
            </w:r>
          </w:p>
        </w:tc>
        <w:tc>
          <w:tcPr>
            <w:tcW w:w="992" w:type="dxa"/>
            <w:vAlign w:val="center"/>
            <w:hideMark/>
          </w:tcPr>
          <w:p w14:paraId="13382C1B"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31.90</w:t>
            </w:r>
          </w:p>
        </w:tc>
        <w:tc>
          <w:tcPr>
            <w:tcW w:w="992" w:type="dxa"/>
            <w:vAlign w:val="center"/>
            <w:hideMark/>
          </w:tcPr>
          <w:p w14:paraId="6D00C12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49.42</w:t>
            </w:r>
          </w:p>
        </w:tc>
        <w:tc>
          <w:tcPr>
            <w:tcW w:w="992" w:type="dxa"/>
            <w:vAlign w:val="center"/>
            <w:hideMark/>
          </w:tcPr>
          <w:p w14:paraId="50FDE71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300.72</w:t>
            </w:r>
          </w:p>
        </w:tc>
      </w:tr>
      <w:tr w:rsidR="002C06DC" w:rsidRPr="005A01B2" w14:paraId="5D0C06A6" w14:textId="77777777" w:rsidTr="005A01B2">
        <w:trPr>
          <w:trHeight w:val="20"/>
          <w:jc w:val="center"/>
        </w:trPr>
        <w:tc>
          <w:tcPr>
            <w:tcW w:w="1555" w:type="dxa"/>
            <w:vAlign w:val="center"/>
            <w:hideMark/>
          </w:tcPr>
          <w:p w14:paraId="53ED5BD7" w14:textId="77777777"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Uttar Pradesh</w:t>
            </w:r>
          </w:p>
        </w:tc>
        <w:tc>
          <w:tcPr>
            <w:tcW w:w="816" w:type="dxa"/>
            <w:vAlign w:val="center"/>
            <w:hideMark/>
          </w:tcPr>
          <w:p w14:paraId="53E93314"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7603.70</w:t>
            </w:r>
          </w:p>
        </w:tc>
        <w:tc>
          <w:tcPr>
            <w:tcW w:w="1026" w:type="dxa"/>
            <w:vAlign w:val="center"/>
            <w:hideMark/>
          </w:tcPr>
          <w:p w14:paraId="3459564A"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1949.55</w:t>
            </w:r>
          </w:p>
        </w:tc>
        <w:tc>
          <w:tcPr>
            <w:tcW w:w="1418" w:type="dxa"/>
            <w:vAlign w:val="center"/>
            <w:hideMark/>
          </w:tcPr>
          <w:p w14:paraId="62502E6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w:t>
            </w:r>
          </w:p>
        </w:tc>
        <w:tc>
          <w:tcPr>
            <w:tcW w:w="1276" w:type="dxa"/>
            <w:vAlign w:val="center"/>
            <w:hideMark/>
          </w:tcPr>
          <w:p w14:paraId="3911C166"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238.36</w:t>
            </w:r>
          </w:p>
        </w:tc>
        <w:tc>
          <w:tcPr>
            <w:tcW w:w="992" w:type="dxa"/>
            <w:vAlign w:val="center"/>
            <w:hideMark/>
          </w:tcPr>
          <w:p w14:paraId="7935299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837.74</w:t>
            </w:r>
          </w:p>
        </w:tc>
        <w:tc>
          <w:tcPr>
            <w:tcW w:w="992" w:type="dxa"/>
            <w:vAlign w:val="center"/>
            <w:hideMark/>
          </w:tcPr>
          <w:p w14:paraId="07886C68"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2171.77</w:t>
            </w:r>
          </w:p>
        </w:tc>
        <w:tc>
          <w:tcPr>
            <w:tcW w:w="992" w:type="dxa"/>
            <w:vAlign w:val="center"/>
            <w:hideMark/>
          </w:tcPr>
          <w:p w14:paraId="17B3854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12801.12</w:t>
            </w:r>
          </w:p>
        </w:tc>
      </w:tr>
      <w:tr w:rsidR="002C06DC" w:rsidRPr="005A01B2" w14:paraId="18F17C39" w14:textId="77777777" w:rsidTr="005A01B2">
        <w:trPr>
          <w:trHeight w:val="20"/>
          <w:jc w:val="center"/>
        </w:trPr>
        <w:tc>
          <w:tcPr>
            <w:tcW w:w="1555" w:type="dxa"/>
            <w:vAlign w:val="center"/>
            <w:hideMark/>
          </w:tcPr>
          <w:p w14:paraId="3167E7B2" w14:textId="272F4713" w:rsidR="002C06DC" w:rsidRPr="005A01B2" w:rsidRDefault="002C06DC" w:rsidP="00BB0BF6">
            <w:pPr>
              <w:pStyle w:val="NoSpacing"/>
              <w:rPr>
                <w:rFonts w:ascii="Times New Roman" w:hAnsi="Times New Roman" w:cs="Times New Roman"/>
                <w:sz w:val="16"/>
                <w:szCs w:val="16"/>
              </w:rPr>
            </w:pPr>
            <w:r w:rsidRPr="005A01B2">
              <w:rPr>
                <w:rFonts w:ascii="Times New Roman" w:hAnsi="Times New Roman" w:cs="Times New Roman"/>
                <w:sz w:val="16"/>
                <w:szCs w:val="16"/>
              </w:rPr>
              <w:t xml:space="preserve">West </w:t>
            </w:r>
            <w:r w:rsidR="00165D8B" w:rsidRPr="005A01B2">
              <w:rPr>
                <w:rFonts w:ascii="Times New Roman" w:hAnsi="Times New Roman" w:cs="Times New Roman"/>
                <w:sz w:val="16"/>
                <w:szCs w:val="16"/>
              </w:rPr>
              <w:t>Bengal</w:t>
            </w:r>
          </w:p>
        </w:tc>
        <w:tc>
          <w:tcPr>
            <w:tcW w:w="816" w:type="dxa"/>
            <w:vAlign w:val="center"/>
            <w:hideMark/>
          </w:tcPr>
          <w:p w14:paraId="7A3065E3"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4548.36</w:t>
            </w:r>
          </w:p>
        </w:tc>
        <w:tc>
          <w:tcPr>
            <w:tcW w:w="1026" w:type="dxa"/>
            <w:vAlign w:val="center"/>
            <w:hideMark/>
          </w:tcPr>
          <w:p w14:paraId="2DC1A795"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671.98</w:t>
            </w:r>
          </w:p>
        </w:tc>
        <w:tc>
          <w:tcPr>
            <w:tcW w:w="1418" w:type="dxa"/>
            <w:vAlign w:val="center"/>
            <w:hideMark/>
          </w:tcPr>
          <w:p w14:paraId="7946CB2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37.85</w:t>
            </w:r>
          </w:p>
        </w:tc>
        <w:tc>
          <w:tcPr>
            <w:tcW w:w="1276" w:type="dxa"/>
            <w:vAlign w:val="center"/>
            <w:hideMark/>
          </w:tcPr>
          <w:p w14:paraId="2BED8B90"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138.27</w:t>
            </w:r>
          </w:p>
        </w:tc>
        <w:tc>
          <w:tcPr>
            <w:tcW w:w="992" w:type="dxa"/>
            <w:vAlign w:val="center"/>
            <w:hideMark/>
          </w:tcPr>
          <w:p w14:paraId="530FE3DC"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590.25</w:t>
            </w:r>
          </w:p>
        </w:tc>
        <w:tc>
          <w:tcPr>
            <w:tcW w:w="992" w:type="dxa"/>
            <w:vAlign w:val="center"/>
            <w:hideMark/>
          </w:tcPr>
          <w:p w14:paraId="23A552E1"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619.30</w:t>
            </w:r>
          </w:p>
        </w:tc>
        <w:tc>
          <w:tcPr>
            <w:tcW w:w="992" w:type="dxa"/>
            <w:vAlign w:val="center"/>
            <w:hideMark/>
          </w:tcPr>
          <w:p w14:paraId="1869410E" w14:textId="77777777" w:rsidR="002C06DC" w:rsidRPr="005A01B2" w:rsidRDefault="002C06DC" w:rsidP="00BB0BF6">
            <w:pPr>
              <w:pStyle w:val="NoSpacing"/>
              <w:jc w:val="center"/>
              <w:rPr>
                <w:rFonts w:ascii="Times New Roman" w:hAnsi="Times New Roman" w:cs="Times New Roman"/>
                <w:sz w:val="16"/>
                <w:szCs w:val="16"/>
              </w:rPr>
            </w:pPr>
            <w:r w:rsidRPr="005A01B2">
              <w:rPr>
                <w:rFonts w:ascii="Times New Roman" w:hAnsi="Times New Roman" w:cs="Times New Roman"/>
                <w:sz w:val="16"/>
                <w:szCs w:val="16"/>
              </w:rPr>
              <w:t>6606.01</w:t>
            </w:r>
          </w:p>
        </w:tc>
      </w:tr>
      <w:tr w:rsidR="002C06DC" w:rsidRPr="005A01B2" w14:paraId="198EE889" w14:textId="77777777" w:rsidTr="005A01B2">
        <w:trPr>
          <w:trHeight w:val="20"/>
          <w:jc w:val="center"/>
        </w:trPr>
        <w:tc>
          <w:tcPr>
            <w:tcW w:w="1555" w:type="dxa"/>
            <w:vAlign w:val="center"/>
            <w:hideMark/>
          </w:tcPr>
          <w:p w14:paraId="03374AC9" w14:textId="77777777" w:rsidR="002C06DC" w:rsidRPr="005A01B2" w:rsidRDefault="002C06DC" w:rsidP="00BB0BF6">
            <w:pPr>
              <w:pStyle w:val="NoSpacing"/>
              <w:rPr>
                <w:rFonts w:ascii="Times New Roman" w:hAnsi="Times New Roman" w:cs="Times New Roman"/>
                <w:b/>
                <w:bCs/>
                <w:sz w:val="16"/>
                <w:szCs w:val="16"/>
              </w:rPr>
            </w:pPr>
            <w:r w:rsidRPr="005A01B2">
              <w:rPr>
                <w:rFonts w:ascii="Times New Roman" w:hAnsi="Times New Roman" w:cs="Times New Roman"/>
                <w:b/>
                <w:bCs/>
                <w:sz w:val="16"/>
                <w:szCs w:val="16"/>
              </w:rPr>
              <w:t>TOTAL</w:t>
            </w:r>
          </w:p>
        </w:tc>
        <w:tc>
          <w:tcPr>
            <w:tcW w:w="816" w:type="dxa"/>
            <w:vAlign w:val="center"/>
            <w:hideMark/>
          </w:tcPr>
          <w:p w14:paraId="7B3CBDB5"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56051.92</w:t>
            </w:r>
          </w:p>
        </w:tc>
        <w:tc>
          <w:tcPr>
            <w:tcW w:w="1026" w:type="dxa"/>
            <w:vAlign w:val="center"/>
            <w:hideMark/>
          </w:tcPr>
          <w:p w14:paraId="6446CDE7"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10411.37</w:t>
            </w:r>
          </w:p>
        </w:tc>
        <w:tc>
          <w:tcPr>
            <w:tcW w:w="1418" w:type="dxa"/>
            <w:vAlign w:val="center"/>
            <w:hideMark/>
          </w:tcPr>
          <w:p w14:paraId="0B55FF26"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39.24</w:t>
            </w:r>
          </w:p>
        </w:tc>
        <w:tc>
          <w:tcPr>
            <w:tcW w:w="1276" w:type="dxa"/>
            <w:vAlign w:val="center"/>
            <w:hideMark/>
          </w:tcPr>
          <w:p w14:paraId="7D29FB50"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2032.34</w:t>
            </w:r>
          </w:p>
        </w:tc>
        <w:tc>
          <w:tcPr>
            <w:tcW w:w="992" w:type="dxa"/>
            <w:vAlign w:val="center"/>
            <w:hideMark/>
          </w:tcPr>
          <w:p w14:paraId="4E9B3A33"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11147.83</w:t>
            </w:r>
          </w:p>
        </w:tc>
        <w:tc>
          <w:tcPr>
            <w:tcW w:w="992" w:type="dxa"/>
            <w:vAlign w:val="center"/>
            <w:hideMark/>
          </w:tcPr>
          <w:p w14:paraId="3414A665"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9778.07</w:t>
            </w:r>
          </w:p>
        </w:tc>
        <w:tc>
          <w:tcPr>
            <w:tcW w:w="992" w:type="dxa"/>
            <w:vAlign w:val="center"/>
            <w:hideMark/>
          </w:tcPr>
          <w:p w14:paraId="174051CD" w14:textId="77777777" w:rsidR="002C06DC" w:rsidRPr="005A01B2" w:rsidRDefault="002C06DC" w:rsidP="00BB0BF6">
            <w:pPr>
              <w:pStyle w:val="NoSpacing"/>
              <w:jc w:val="center"/>
              <w:rPr>
                <w:rFonts w:ascii="Times New Roman" w:hAnsi="Times New Roman" w:cs="Times New Roman"/>
                <w:b/>
                <w:bCs/>
                <w:sz w:val="16"/>
                <w:szCs w:val="16"/>
              </w:rPr>
            </w:pPr>
            <w:r w:rsidRPr="005A01B2">
              <w:rPr>
                <w:rFonts w:ascii="Times New Roman" w:hAnsi="Times New Roman" w:cs="Times New Roman"/>
                <w:b/>
                <w:bCs/>
                <w:sz w:val="16"/>
                <w:szCs w:val="16"/>
              </w:rPr>
              <w:t>89460.77</w:t>
            </w:r>
          </w:p>
        </w:tc>
      </w:tr>
    </w:tbl>
    <w:p w14:paraId="3194548B" w14:textId="19A6870A" w:rsidR="002C06DC" w:rsidRPr="005A01B2" w:rsidRDefault="0042541C" w:rsidP="005A01B2">
      <w:pPr>
        <w:tabs>
          <w:tab w:val="left" w:pos="3192"/>
        </w:tabs>
        <w:ind w:left="720"/>
        <w:rPr>
          <w:rFonts w:ascii="Times New Roman" w:hAnsi="Times New Roman" w:cs="Times New Roman"/>
          <w:sz w:val="16"/>
          <w:szCs w:val="14"/>
        </w:rPr>
      </w:pPr>
      <w:r w:rsidRPr="005A01B2">
        <w:rPr>
          <w:rFonts w:ascii="Times New Roman" w:hAnsi="Times New Roman" w:cs="Times New Roman"/>
          <w:sz w:val="16"/>
          <w:szCs w:val="14"/>
        </w:rPr>
        <w:t>Source: Forecast of the State Government</w:t>
      </w:r>
    </w:p>
    <w:p w14:paraId="6F01B704" w14:textId="77777777" w:rsidR="002C06DC" w:rsidRPr="00AA6AF4" w:rsidRDefault="002C06DC">
      <w:pPr>
        <w:rPr>
          <w:rFonts w:ascii="Times New Roman" w:hAnsi="Times New Roman" w:cs="Times New Roman"/>
        </w:rPr>
      </w:pPr>
      <w:r w:rsidRPr="00AA6AF4">
        <w:rPr>
          <w:rFonts w:ascii="Times New Roman" w:hAnsi="Times New Roman" w:cs="Times New Roman"/>
        </w:rPr>
        <w:br w:type="page"/>
      </w:r>
    </w:p>
    <w:p w14:paraId="4F4E7E6A" w14:textId="77777777" w:rsidR="00C50EE9" w:rsidRPr="00AA6AF4" w:rsidRDefault="00C50EE9" w:rsidP="002C06DC">
      <w:pPr>
        <w:tabs>
          <w:tab w:val="left" w:pos="3192"/>
        </w:tabs>
        <w:rPr>
          <w:rFonts w:ascii="Times New Roman" w:hAnsi="Times New Roman" w:cs="Times New Roman"/>
        </w:rPr>
        <w:sectPr w:rsidR="00C50EE9" w:rsidRPr="00AA6AF4" w:rsidSect="00053D0C">
          <w:pgSz w:w="11906" w:h="16838"/>
          <w:pgMar w:top="567" w:right="849" w:bottom="284" w:left="1134" w:header="708" w:footer="708" w:gutter="0"/>
          <w:cols w:space="708"/>
          <w:docGrid w:linePitch="360"/>
        </w:sectPr>
      </w:pPr>
    </w:p>
    <w:p w14:paraId="0AC00C76" w14:textId="24A6C4CE" w:rsidR="003F769C" w:rsidRPr="005E49FF" w:rsidRDefault="003F769C" w:rsidP="003F769C">
      <w:pPr>
        <w:pStyle w:val="Heading2"/>
        <w:rPr>
          <w:sz w:val="20"/>
          <w:szCs w:val="20"/>
        </w:rPr>
      </w:pPr>
      <w:bookmarkStart w:id="121" w:name="_Toc221293019"/>
      <w:bookmarkStart w:id="122" w:name="_Toc222399508"/>
      <w:r w:rsidRPr="005E49FF">
        <w:rPr>
          <w:sz w:val="20"/>
          <w:szCs w:val="20"/>
        </w:rPr>
        <w:lastRenderedPageBreak/>
        <w:t>ANNEXURE IX.</w:t>
      </w:r>
      <w:r w:rsidR="00C833DF" w:rsidRPr="005E49FF">
        <w:rPr>
          <w:sz w:val="20"/>
          <w:szCs w:val="20"/>
        </w:rPr>
        <w:t xml:space="preserve"> </w:t>
      </w:r>
      <w:r w:rsidRPr="005E49FF">
        <w:rPr>
          <w:sz w:val="20"/>
          <w:szCs w:val="20"/>
        </w:rPr>
        <w:br/>
      </w:r>
      <w:r w:rsidR="00C50EE9" w:rsidRPr="005E49FF">
        <w:rPr>
          <w:sz w:val="20"/>
          <w:szCs w:val="20"/>
        </w:rPr>
        <w:t xml:space="preserve">Outstandings of Central Loans </w:t>
      </w:r>
      <w:proofErr w:type="gramStart"/>
      <w:r w:rsidR="00C50EE9" w:rsidRPr="005E49FF">
        <w:rPr>
          <w:sz w:val="20"/>
          <w:szCs w:val="20"/>
        </w:rPr>
        <w:t>As</w:t>
      </w:r>
      <w:proofErr w:type="gramEnd"/>
      <w:r w:rsidR="00C50EE9" w:rsidRPr="005E49FF">
        <w:rPr>
          <w:sz w:val="20"/>
          <w:szCs w:val="20"/>
        </w:rPr>
        <w:t xml:space="preserve"> </w:t>
      </w:r>
      <w:proofErr w:type="gramStart"/>
      <w:r w:rsidR="00C50EE9" w:rsidRPr="005E49FF">
        <w:rPr>
          <w:sz w:val="20"/>
          <w:szCs w:val="20"/>
        </w:rPr>
        <w:t>At</w:t>
      </w:r>
      <w:proofErr w:type="gramEnd"/>
      <w:r w:rsidR="00C50EE9" w:rsidRPr="005E49FF">
        <w:rPr>
          <w:sz w:val="20"/>
          <w:szCs w:val="20"/>
        </w:rPr>
        <w:t xml:space="preserve"> </w:t>
      </w:r>
      <w:proofErr w:type="gramStart"/>
      <w:r w:rsidR="00C50EE9" w:rsidRPr="005E49FF">
        <w:rPr>
          <w:sz w:val="20"/>
          <w:szCs w:val="20"/>
        </w:rPr>
        <w:t>The</w:t>
      </w:r>
      <w:proofErr w:type="gramEnd"/>
      <w:r w:rsidR="00C50EE9" w:rsidRPr="005E49FF">
        <w:rPr>
          <w:sz w:val="20"/>
          <w:szCs w:val="20"/>
        </w:rPr>
        <w:t xml:space="preserve"> End Of 1988-89</w:t>
      </w:r>
      <w:bookmarkEnd w:id="121"/>
      <w:bookmarkEnd w:id="122"/>
    </w:p>
    <w:p w14:paraId="03A1D16D" w14:textId="45707BEB" w:rsidR="00C50EE9" w:rsidRPr="005E49FF" w:rsidRDefault="003F769C" w:rsidP="005E49FF">
      <w:pPr>
        <w:tabs>
          <w:tab w:val="left" w:pos="3192"/>
        </w:tabs>
        <w:spacing w:after="0"/>
        <w:jc w:val="center"/>
        <w:rPr>
          <w:rFonts w:ascii="Times New Roman" w:hAnsi="Times New Roman" w:cs="Times New Roman"/>
          <w:sz w:val="18"/>
          <w:szCs w:val="16"/>
        </w:rPr>
      </w:pPr>
      <w:r w:rsidRPr="005E49FF">
        <w:rPr>
          <w:rFonts w:ascii="Times New Roman" w:hAnsi="Times New Roman" w:cs="Times New Roman"/>
          <w:sz w:val="18"/>
          <w:szCs w:val="16"/>
        </w:rPr>
        <w:t>(Para 9.6)</w:t>
      </w:r>
      <w:r w:rsidR="00C50EE9" w:rsidRPr="00AA6AF4">
        <w:rPr>
          <w:rFonts w:ascii="Times New Roman" w:hAnsi="Times New Roman" w:cs="Times New Roman"/>
        </w:rPr>
        <w:br/>
      </w:r>
      <w:r w:rsidR="005E49FF">
        <w:rPr>
          <w:rFonts w:ascii="Times New Roman" w:hAnsi="Times New Roman" w:cs="Times New Roman"/>
          <w:i/>
          <w:iCs/>
          <w:sz w:val="18"/>
          <w:szCs w:val="16"/>
        </w:rPr>
        <w:t xml:space="preserve"> </w:t>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5E49FF">
        <w:rPr>
          <w:rFonts w:ascii="Times New Roman" w:hAnsi="Times New Roman" w:cs="Times New Roman"/>
          <w:i/>
          <w:iCs/>
          <w:sz w:val="18"/>
          <w:szCs w:val="16"/>
        </w:rPr>
        <w:tab/>
      </w:r>
      <w:r w:rsidR="00C50EE9" w:rsidRPr="003F769C">
        <w:rPr>
          <w:rFonts w:ascii="Times New Roman" w:hAnsi="Times New Roman" w:cs="Times New Roman"/>
          <w:i/>
          <w:iCs/>
          <w:sz w:val="18"/>
          <w:szCs w:val="16"/>
        </w:rPr>
        <w:t>(Rs. Crore)</w:t>
      </w:r>
    </w:p>
    <w:tbl>
      <w:tblPr>
        <w:tblStyle w:val="TableGrid"/>
        <w:tblW w:w="0" w:type="auto"/>
        <w:tblInd w:w="-856" w:type="dxa"/>
        <w:tblLook w:val="04A0" w:firstRow="1" w:lastRow="0" w:firstColumn="1" w:lastColumn="0" w:noHBand="0" w:noVBand="1"/>
      </w:tblPr>
      <w:tblGrid>
        <w:gridCol w:w="2108"/>
        <w:gridCol w:w="606"/>
        <w:gridCol w:w="559"/>
        <w:gridCol w:w="617"/>
        <w:gridCol w:w="617"/>
        <w:gridCol w:w="701"/>
        <w:gridCol w:w="701"/>
        <w:gridCol w:w="683"/>
        <w:gridCol w:w="975"/>
        <w:gridCol w:w="808"/>
        <w:gridCol w:w="772"/>
        <w:gridCol w:w="659"/>
        <w:gridCol w:w="620"/>
        <w:gridCol w:w="892"/>
        <w:gridCol w:w="1012"/>
        <w:gridCol w:w="682"/>
        <w:gridCol w:w="527"/>
        <w:gridCol w:w="574"/>
        <w:gridCol w:w="680"/>
        <w:gridCol w:w="661"/>
        <w:gridCol w:w="671"/>
      </w:tblGrid>
      <w:tr w:rsidR="00767C21" w:rsidRPr="00767C21" w14:paraId="56038E55" w14:textId="77777777" w:rsidTr="00F0262B">
        <w:trPr>
          <w:trHeight w:val="20"/>
        </w:trPr>
        <w:tc>
          <w:tcPr>
            <w:tcW w:w="2108" w:type="dxa"/>
            <w:vMerge w:val="restart"/>
            <w:vAlign w:val="center"/>
          </w:tcPr>
          <w:p w14:paraId="6DC66E26" w14:textId="3097C54C"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States</w:t>
            </w:r>
          </w:p>
        </w:tc>
        <w:tc>
          <w:tcPr>
            <w:tcW w:w="2399" w:type="dxa"/>
            <w:gridSpan w:val="4"/>
            <w:vAlign w:val="center"/>
          </w:tcPr>
          <w:p w14:paraId="40A7EEFB" w14:textId="5B991474"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 xml:space="preserve">Loan Consolidated </w:t>
            </w:r>
            <w:proofErr w:type="gramStart"/>
            <w:r w:rsidRPr="00767C21">
              <w:rPr>
                <w:rFonts w:ascii="Times New Roman" w:hAnsi="Times New Roman" w:cs="Times New Roman"/>
                <w:b/>
                <w:bCs/>
                <w:sz w:val="12"/>
                <w:szCs w:val="12"/>
              </w:rPr>
              <w:t>By</w:t>
            </w:r>
            <w:proofErr w:type="gramEnd"/>
            <w:r w:rsidRPr="00767C21">
              <w:rPr>
                <w:rFonts w:ascii="Times New Roman" w:hAnsi="Times New Roman" w:cs="Times New Roman"/>
                <w:b/>
                <w:bCs/>
                <w:sz w:val="12"/>
                <w:szCs w:val="12"/>
              </w:rPr>
              <w:t xml:space="preserve"> Previous Finance Commission </w:t>
            </w:r>
          </w:p>
        </w:tc>
        <w:tc>
          <w:tcPr>
            <w:tcW w:w="0" w:type="auto"/>
            <w:gridSpan w:val="2"/>
            <w:vAlign w:val="center"/>
          </w:tcPr>
          <w:p w14:paraId="47BA1217" w14:textId="0473D042"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 xml:space="preserve">Small Savings Loan </w:t>
            </w:r>
          </w:p>
        </w:tc>
        <w:tc>
          <w:tcPr>
            <w:tcW w:w="0" w:type="auto"/>
            <w:vMerge w:val="restart"/>
            <w:vAlign w:val="center"/>
          </w:tcPr>
          <w:p w14:paraId="4854C6AF" w14:textId="156BC0AC"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Plan Loans (Col 1)</w:t>
            </w:r>
          </w:p>
        </w:tc>
        <w:tc>
          <w:tcPr>
            <w:tcW w:w="0" w:type="auto"/>
            <w:vMerge w:val="restart"/>
            <w:vAlign w:val="center"/>
          </w:tcPr>
          <w:p w14:paraId="60F204C3" w14:textId="507F42BB"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Relief &amp; Rehabilitation Loan</w:t>
            </w:r>
          </w:p>
        </w:tc>
        <w:tc>
          <w:tcPr>
            <w:tcW w:w="0" w:type="auto"/>
            <w:vMerge w:val="restart"/>
            <w:vAlign w:val="center"/>
          </w:tcPr>
          <w:p w14:paraId="3FADA0C1" w14:textId="207F6E2F"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Loan to Clear Overdrafts</w:t>
            </w:r>
          </w:p>
        </w:tc>
        <w:tc>
          <w:tcPr>
            <w:tcW w:w="0" w:type="auto"/>
            <w:vMerge w:val="restart"/>
            <w:vAlign w:val="center"/>
          </w:tcPr>
          <w:p w14:paraId="02FCE5E2" w14:textId="3D430FAF"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Loan to Cover Gap in Resources</w:t>
            </w:r>
          </w:p>
        </w:tc>
        <w:tc>
          <w:tcPr>
            <w:tcW w:w="0" w:type="auto"/>
            <w:vMerge w:val="restart"/>
            <w:vAlign w:val="center"/>
          </w:tcPr>
          <w:p w14:paraId="3B0BB371" w14:textId="4F6B44A0"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Drought Loans</w:t>
            </w:r>
          </w:p>
        </w:tc>
        <w:tc>
          <w:tcPr>
            <w:tcW w:w="0" w:type="auto"/>
            <w:vMerge w:val="restart"/>
            <w:vAlign w:val="center"/>
          </w:tcPr>
          <w:p w14:paraId="4AEFD390" w14:textId="2BFF9A79"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Special Loans *</w:t>
            </w:r>
          </w:p>
        </w:tc>
        <w:tc>
          <w:tcPr>
            <w:tcW w:w="0" w:type="auto"/>
            <w:vMerge w:val="restart"/>
            <w:vAlign w:val="center"/>
          </w:tcPr>
          <w:p w14:paraId="6D94202A" w14:textId="76B9056B"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 xml:space="preserve">Short-term Loan for Agriculture. Inputs </w:t>
            </w:r>
          </w:p>
        </w:tc>
        <w:tc>
          <w:tcPr>
            <w:tcW w:w="0" w:type="auto"/>
            <w:vMerge w:val="restart"/>
            <w:vAlign w:val="center"/>
          </w:tcPr>
          <w:p w14:paraId="66A2D7D4" w14:textId="70E1F26A"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 xml:space="preserve">Loan for Modernisation </w:t>
            </w:r>
            <w:proofErr w:type="gramStart"/>
            <w:r w:rsidRPr="00767C21">
              <w:rPr>
                <w:rFonts w:ascii="Times New Roman" w:hAnsi="Times New Roman" w:cs="Times New Roman"/>
                <w:b/>
                <w:bCs/>
                <w:sz w:val="12"/>
                <w:szCs w:val="12"/>
              </w:rPr>
              <w:t>of  Police</w:t>
            </w:r>
            <w:proofErr w:type="gramEnd"/>
            <w:r w:rsidRPr="00767C21">
              <w:rPr>
                <w:rFonts w:ascii="Times New Roman" w:hAnsi="Times New Roman" w:cs="Times New Roman"/>
                <w:b/>
                <w:bCs/>
                <w:sz w:val="12"/>
                <w:szCs w:val="12"/>
              </w:rPr>
              <w:t xml:space="preserve"> force </w:t>
            </w:r>
          </w:p>
        </w:tc>
        <w:tc>
          <w:tcPr>
            <w:tcW w:w="0" w:type="auto"/>
            <w:vMerge w:val="restart"/>
            <w:vAlign w:val="center"/>
          </w:tcPr>
          <w:p w14:paraId="103EC180" w14:textId="0371E5EB"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Housing Loan for A.I.S officers</w:t>
            </w:r>
          </w:p>
        </w:tc>
        <w:tc>
          <w:tcPr>
            <w:tcW w:w="0" w:type="auto"/>
            <w:vMerge w:val="restart"/>
            <w:vAlign w:val="center"/>
          </w:tcPr>
          <w:p w14:paraId="52920B0A" w14:textId="64B36AA5"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N.S.S.</w:t>
            </w:r>
          </w:p>
        </w:tc>
        <w:tc>
          <w:tcPr>
            <w:tcW w:w="0" w:type="auto"/>
            <w:vMerge w:val="restart"/>
            <w:vAlign w:val="center"/>
          </w:tcPr>
          <w:p w14:paraId="47BE59AC" w14:textId="1D697E55"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Loan to Gold-smiths</w:t>
            </w:r>
          </w:p>
        </w:tc>
        <w:tc>
          <w:tcPr>
            <w:tcW w:w="0" w:type="auto"/>
            <w:vMerge w:val="restart"/>
            <w:vAlign w:val="center"/>
          </w:tcPr>
          <w:p w14:paraId="6C82E98F" w14:textId="5B1F98EA"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Loan Hirakud Project</w:t>
            </w:r>
          </w:p>
        </w:tc>
        <w:tc>
          <w:tcPr>
            <w:tcW w:w="0" w:type="auto"/>
            <w:vMerge w:val="restart"/>
            <w:vAlign w:val="center"/>
          </w:tcPr>
          <w:p w14:paraId="7546F720" w14:textId="2095D5D4"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Other Loans**</w:t>
            </w:r>
          </w:p>
        </w:tc>
        <w:tc>
          <w:tcPr>
            <w:tcW w:w="0" w:type="auto"/>
            <w:vMerge w:val="restart"/>
            <w:vAlign w:val="center"/>
          </w:tcPr>
          <w:p w14:paraId="3E838148" w14:textId="6D477CDE"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Total Loans</w:t>
            </w:r>
          </w:p>
        </w:tc>
      </w:tr>
      <w:tr w:rsidR="00767C21" w:rsidRPr="00767C21" w14:paraId="3B2BC923" w14:textId="77777777" w:rsidTr="00F0262B">
        <w:trPr>
          <w:trHeight w:val="20"/>
        </w:trPr>
        <w:tc>
          <w:tcPr>
            <w:tcW w:w="2108" w:type="dxa"/>
            <w:vMerge/>
            <w:vAlign w:val="center"/>
            <w:hideMark/>
          </w:tcPr>
          <w:p w14:paraId="71EBF0FA" w14:textId="4E65C086" w:rsidR="002920E8" w:rsidRPr="00767C21" w:rsidRDefault="002920E8" w:rsidP="003F769C">
            <w:pPr>
              <w:pStyle w:val="NoSpacing"/>
              <w:jc w:val="center"/>
              <w:rPr>
                <w:rFonts w:ascii="Times New Roman" w:hAnsi="Times New Roman" w:cs="Times New Roman"/>
                <w:sz w:val="12"/>
                <w:szCs w:val="12"/>
              </w:rPr>
            </w:pPr>
          </w:p>
        </w:tc>
        <w:tc>
          <w:tcPr>
            <w:tcW w:w="606" w:type="dxa"/>
            <w:vAlign w:val="center"/>
            <w:hideMark/>
          </w:tcPr>
          <w:p w14:paraId="0388915F" w14:textId="77777777"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15 Year Loans</w:t>
            </w:r>
          </w:p>
        </w:tc>
        <w:tc>
          <w:tcPr>
            <w:tcW w:w="0" w:type="auto"/>
            <w:vAlign w:val="center"/>
            <w:hideMark/>
          </w:tcPr>
          <w:p w14:paraId="293DA861" w14:textId="77777777"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20 Year Loans</w:t>
            </w:r>
          </w:p>
        </w:tc>
        <w:tc>
          <w:tcPr>
            <w:tcW w:w="0" w:type="auto"/>
            <w:vAlign w:val="center"/>
            <w:hideMark/>
          </w:tcPr>
          <w:p w14:paraId="3D7153ED" w14:textId="77777777"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25 Year Loans</w:t>
            </w:r>
          </w:p>
        </w:tc>
        <w:tc>
          <w:tcPr>
            <w:tcW w:w="0" w:type="auto"/>
            <w:vAlign w:val="center"/>
            <w:hideMark/>
          </w:tcPr>
          <w:p w14:paraId="3FAD77E6" w14:textId="77777777" w:rsidR="002920E8" w:rsidRPr="00767C21" w:rsidRDefault="002920E8" w:rsidP="003F769C">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30 Year Loans</w:t>
            </w:r>
          </w:p>
        </w:tc>
        <w:tc>
          <w:tcPr>
            <w:tcW w:w="0" w:type="auto"/>
            <w:vAlign w:val="center"/>
            <w:hideMark/>
          </w:tcPr>
          <w:p w14:paraId="7CDD935C" w14:textId="3799BCC0" w:rsidR="002920E8" w:rsidRPr="00767C21" w:rsidRDefault="002920E8" w:rsidP="003F769C">
            <w:pPr>
              <w:pStyle w:val="NoSpacing"/>
              <w:jc w:val="center"/>
              <w:rPr>
                <w:rFonts w:ascii="Times New Roman" w:hAnsi="Times New Roman" w:cs="Times New Roman"/>
                <w:b/>
                <w:bCs/>
                <w:sz w:val="12"/>
                <w:szCs w:val="12"/>
              </w:rPr>
            </w:pPr>
            <w:proofErr w:type="gramStart"/>
            <w:r w:rsidRPr="00767C21">
              <w:rPr>
                <w:rFonts w:ascii="Times New Roman" w:hAnsi="Times New Roman" w:cs="Times New Roman"/>
                <w:b/>
                <w:bCs/>
                <w:sz w:val="12"/>
                <w:szCs w:val="12"/>
              </w:rPr>
              <w:t>Received  Up</w:t>
            </w:r>
            <w:proofErr w:type="gramEnd"/>
            <w:r w:rsidRPr="00767C21">
              <w:rPr>
                <w:rFonts w:ascii="Times New Roman" w:hAnsi="Times New Roman" w:cs="Times New Roman"/>
                <w:b/>
                <w:bCs/>
                <w:sz w:val="12"/>
                <w:szCs w:val="12"/>
              </w:rPr>
              <w:t xml:space="preserve"> to1978-79</w:t>
            </w:r>
          </w:p>
        </w:tc>
        <w:tc>
          <w:tcPr>
            <w:tcW w:w="0" w:type="auto"/>
            <w:vAlign w:val="center"/>
            <w:hideMark/>
          </w:tcPr>
          <w:p w14:paraId="5B6B2456" w14:textId="6B06AB20" w:rsidR="002920E8" w:rsidRPr="00767C21" w:rsidRDefault="002920E8" w:rsidP="003F769C">
            <w:pPr>
              <w:pStyle w:val="NoSpacing"/>
              <w:jc w:val="center"/>
              <w:rPr>
                <w:rFonts w:ascii="Times New Roman" w:hAnsi="Times New Roman" w:cs="Times New Roman"/>
                <w:b/>
                <w:bCs/>
                <w:sz w:val="12"/>
                <w:szCs w:val="12"/>
              </w:rPr>
            </w:pPr>
            <w:proofErr w:type="gramStart"/>
            <w:r w:rsidRPr="00767C21">
              <w:rPr>
                <w:rFonts w:ascii="Times New Roman" w:hAnsi="Times New Roman" w:cs="Times New Roman"/>
                <w:b/>
                <w:bCs/>
                <w:sz w:val="12"/>
                <w:szCs w:val="12"/>
              </w:rPr>
              <w:t>Received  from</w:t>
            </w:r>
            <w:proofErr w:type="gramEnd"/>
            <w:r w:rsidRPr="00767C21">
              <w:rPr>
                <w:rFonts w:ascii="Times New Roman" w:hAnsi="Times New Roman" w:cs="Times New Roman"/>
                <w:b/>
                <w:bCs/>
                <w:sz w:val="12"/>
                <w:szCs w:val="12"/>
              </w:rPr>
              <w:t xml:space="preserve"> 1979-89</w:t>
            </w:r>
          </w:p>
        </w:tc>
        <w:tc>
          <w:tcPr>
            <w:tcW w:w="0" w:type="auto"/>
            <w:vMerge/>
            <w:vAlign w:val="center"/>
            <w:hideMark/>
          </w:tcPr>
          <w:p w14:paraId="385DD115" w14:textId="1DBDCCEF"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4285375D" w14:textId="03C8389B"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0BA9B904" w14:textId="5C47AEF8"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092B8AD9" w14:textId="66EE3D0A"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667A69BE" w14:textId="1C5A4DE6"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01377FBC" w14:textId="45710D85"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492BFD61" w14:textId="38193941"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37A440EA" w14:textId="1947F2CE"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335B2BAC" w14:textId="3584AE48"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4BA73715" w14:textId="3B9F2DF9"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68F8F30C" w14:textId="655B4028"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31910C12" w14:textId="75BC74F1"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2488D9EB" w14:textId="77E85B38" w:rsidR="002920E8" w:rsidRPr="00767C21" w:rsidRDefault="002920E8" w:rsidP="003F769C">
            <w:pPr>
              <w:pStyle w:val="NoSpacing"/>
              <w:jc w:val="center"/>
              <w:rPr>
                <w:rFonts w:ascii="Times New Roman" w:hAnsi="Times New Roman" w:cs="Times New Roman"/>
                <w:sz w:val="12"/>
                <w:szCs w:val="12"/>
              </w:rPr>
            </w:pPr>
          </w:p>
        </w:tc>
        <w:tc>
          <w:tcPr>
            <w:tcW w:w="0" w:type="auto"/>
            <w:vMerge/>
            <w:vAlign w:val="center"/>
            <w:hideMark/>
          </w:tcPr>
          <w:p w14:paraId="311CDBDF" w14:textId="1B3577F4" w:rsidR="002920E8" w:rsidRPr="00767C21" w:rsidRDefault="002920E8" w:rsidP="003F769C">
            <w:pPr>
              <w:pStyle w:val="NoSpacing"/>
              <w:jc w:val="center"/>
              <w:rPr>
                <w:rFonts w:ascii="Times New Roman" w:hAnsi="Times New Roman" w:cs="Times New Roman"/>
                <w:sz w:val="12"/>
                <w:szCs w:val="12"/>
              </w:rPr>
            </w:pPr>
          </w:p>
        </w:tc>
      </w:tr>
      <w:tr w:rsidR="00767C21" w:rsidRPr="00767C21" w14:paraId="427B64A7" w14:textId="77777777" w:rsidTr="00F0262B">
        <w:trPr>
          <w:trHeight w:val="20"/>
        </w:trPr>
        <w:tc>
          <w:tcPr>
            <w:tcW w:w="2108" w:type="dxa"/>
            <w:vAlign w:val="center"/>
            <w:hideMark/>
          </w:tcPr>
          <w:p w14:paraId="19D0165D" w14:textId="77777777" w:rsidR="00E521AF" w:rsidRPr="00767C21" w:rsidRDefault="00E521AF" w:rsidP="005E49FF">
            <w:pPr>
              <w:pStyle w:val="NoSpacing"/>
              <w:rPr>
                <w:rFonts w:ascii="Times New Roman" w:hAnsi="Times New Roman" w:cs="Times New Roman"/>
                <w:sz w:val="12"/>
                <w:szCs w:val="12"/>
              </w:rPr>
            </w:pPr>
            <w:r w:rsidRPr="00767C21">
              <w:rPr>
                <w:rFonts w:ascii="Times New Roman" w:hAnsi="Times New Roman" w:cs="Times New Roman"/>
                <w:sz w:val="12"/>
                <w:szCs w:val="12"/>
              </w:rPr>
              <w:t>1. Andhra Pradesh</w:t>
            </w:r>
          </w:p>
        </w:tc>
        <w:tc>
          <w:tcPr>
            <w:tcW w:w="606" w:type="dxa"/>
            <w:vAlign w:val="center"/>
            <w:hideMark/>
          </w:tcPr>
          <w:p w14:paraId="5EF6AEAC"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3897E1DD"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35C0ABE9"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3B8FCE34"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1236.05</w:t>
            </w:r>
          </w:p>
        </w:tc>
        <w:tc>
          <w:tcPr>
            <w:tcW w:w="0" w:type="auto"/>
            <w:vAlign w:val="center"/>
            <w:hideMark/>
          </w:tcPr>
          <w:p w14:paraId="16E68273"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49.97</w:t>
            </w:r>
          </w:p>
        </w:tc>
        <w:tc>
          <w:tcPr>
            <w:tcW w:w="0" w:type="auto"/>
            <w:vAlign w:val="center"/>
            <w:hideMark/>
          </w:tcPr>
          <w:p w14:paraId="24273C49"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811.71</w:t>
            </w:r>
          </w:p>
        </w:tc>
        <w:tc>
          <w:tcPr>
            <w:tcW w:w="0" w:type="auto"/>
            <w:vAlign w:val="center"/>
            <w:hideMark/>
          </w:tcPr>
          <w:p w14:paraId="10409371"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1175.15</w:t>
            </w:r>
          </w:p>
        </w:tc>
        <w:tc>
          <w:tcPr>
            <w:tcW w:w="0" w:type="auto"/>
            <w:vAlign w:val="center"/>
            <w:hideMark/>
          </w:tcPr>
          <w:p w14:paraId="7576655F"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2.71</w:t>
            </w:r>
          </w:p>
        </w:tc>
        <w:tc>
          <w:tcPr>
            <w:tcW w:w="0" w:type="auto"/>
            <w:vAlign w:val="center"/>
            <w:hideMark/>
          </w:tcPr>
          <w:p w14:paraId="5A1BD37D"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51.74</w:t>
            </w:r>
          </w:p>
        </w:tc>
        <w:tc>
          <w:tcPr>
            <w:tcW w:w="0" w:type="auto"/>
            <w:vAlign w:val="center"/>
            <w:hideMark/>
          </w:tcPr>
          <w:p w14:paraId="788D447D"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5E8966B2"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5.02</w:t>
            </w:r>
          </w:p>
        </w:tc>
        <w:tc>
          <w:tcPr>
            <w:tcW w:w="0" w:type="auto"/>
            <w:vAlign w:val="center"/>
            <w:hideMark/>
          </w:tcPr>
          <w:p w14:paraId="58359B18"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1B8BDF28"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5.00</w:t>
            </w:r>
          </w:p>
        </w:tc>
        <w:tc>
          <w:tcPr>
            <w:tcW w:w="0" w:type="auto"/>
            <w:vAlign w:val="center"/>
            <w:hideMark/>
          </w:tcPr>
          <w:p w14:paraId="5FFCC989"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1.68</w:t>
            </w:r>
          </w:p>
        </w:tc>
        <w:tc>
          <w:tcPr>
            <w:tcW w:w="0" w:type="auto"/>
            <w:vAlign w:val="center"/>
            <w:hideMark/>
          </w:tcPr>
          <w:p w14:paraId="7FCC7BF6"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0.51</w:t>
            </w:r>
          </w:p>
        </w:tc>
        <w:tc>
          <w:tcPr>
            <w:tcW w:w="0" w:type="auto"/>
            <w:vAlign w:val="center"/>
            <w:hideMark/>
          </w:tcPr>
          <w:p w14:paraId="62BC7B7C"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8.42</w:t>
            </w:r>
          </w:p>
        </w:tc>
        <w:tc>
          <w:tcPr>
            <w:tcW w:w="0" w:type="auto"/>
            <w:vAlign w:val="center"/>
            <w:hideMark/>
          </w:tcPr>
          <w:p w14:paraId="73DA2C45"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1.05</w:t>
            </w:r>
          </w:p>
        </w:tc>
        <w:tc>
          <w:tcPr>
            <w:tcW w:w="0" w:type="auto"/>
            <w:vAlign w:val="center"/>
            <w:hideMark/>
          </w:tcPr>
          <w:p w14:paraId="13E1464F"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44530643" w14:textId="77777777" w:rsidR="00E521AF" w:rsidRPr="00767C21" w:rsidRDefault="00E521AF" w:rsidP="003F769C">
            <w:pPr>
              <w:pStyle w:val="NoSpacing"/>
              <w:jc w:val="center"/>
              <w:rPr>
                <w:rFonts w:ascii="Times New Roman" w:hAnsi="Times New Roman" w:cs="Times New Roman"/>
                <w:sz w:val="12"/>
                <w:szCs w:val="12"/>
              </w:rPr>
            </w:pPr>
          </w:p>
        </w:tc>
        <w:tc>
          <w:tcPr>
            <w:tcW w:w="0" w:type="auto"/>
            <w:vAlign w:val="center"/>
            <w:hideMark/>
          </w:tcPr>
          <w:p w14:paraId="40240FB5" w14:textId="77777777" w:rsidR="00E521AF" w:rsidRPr="00767C21" w:rsidRDefault="00E521AF" w:rsidP="003F769C">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3349.01</w:t>
            </w:r>
          </w:p>
        </w:tc>
      </w:tr>
      <w:tr w:rsidR="00F0262B" w:rsidRPr="00767C21" w14:paraId="2CBA32FC" w14:textId="77777777" w:rsidTr="00F0262B">
        <w:trPr>
          <w:trHeight w:val="20"/>
        </w:trPr>
        <w:tc>
          <w:tcPr>
            <w:tcW w:w="2108" w:type="dxa"/>
            <w:vAlign w:val="center"/>
            <w:hideMark/>
          </w:tcPr>
          <w:p w14:paraId="12D1229A" w14:textId="77777777" w:rsidR="00F0262B" w:rsidRPr="00767C21" w:rsidRDefault="00F0262B" w:rsidP="00F0262B">
            <w:pPr>
              <w:pStyle w:val="NoSpacing"/>
              <w:rPr>
                <w:rFonts w:ascii="Times New Roman" w:hAnsi="Times New Roman" w:cs="Times New Roman"/>
                <w:sz w:val="12"/>
                <w:szCs w:val="12"/>
              </w:rPr>
            </w:pPr>
            <w:r w:rsidRPr="00767C21">
              <w:rPr>
                <w:rFonts w:ascii="Times New Roman" w:hAnsi="Times New Roman" w:cs="Times New Roman"/>
                <w:sz w:val="12"/>
                <w:szCs w:val="12"/>
              </w:rPr>
              <w:t>2. Arunachal Pradesh</w:t>
            </w:r>
          </w:p>
        </w:tc>
        <w:tc>
          <w:tcPr>
            <w:tcW w:w="606" w:type="dxa"/>
            <w:vAlign w:val="center"/>
            <w:hideMark/>
          </w:tcPr>
          <w:p w14:paraId="7C292FCE"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531BE513"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702FF1D3"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7A5D2961"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tcPr>
          <w:p w14:paraId="630966A5" w14:textId="1A20CD9F" w:rsidR="00F0262B" w:rsidRPr="00767C21" w:rsidRDefault="00F0262B" w:rsidP="00F0262B">
            <w:pPr>
              <w:pStyle w:val="NoSpacing"/>
              <w:jc w:val="center"/>
              <w:rPr>
                <w:rFonts w:ascii="Times New Roman" w:hAnsi="Times New Roman" w:cs="Times New Roman"/>
                <w:sz w:val="12"/>
                <w:szCs w:val="12"/>
              </w:rPr>
            </w:pPr>
          </w:p>
        </w:tc>
        <w:tc>
          <w:tcPr>
            <w:tcW w:w="0" w:type="auto"/>
            <w:vAlign w:val="center"/>
          </w:tcPr>
          <w:p w14:paraId="7AB3C43F" w14:textId="759D538E" w:rsidR="00F0262B" w:rsidRPr="00767C21" w:rsidRDefault="00F0262B" w:rsidP="00F0262B">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1.69</w:t>
            </w:r>
          </w:p>
        </w:tc>
        <w:tc>
          <w:tcPr>
            <w:tcW w:w="0" w:type="auto"/>
            <w:vAlign w:val="center"/>
            <w:hideMark/>
          </w:tcPr>
          <w:p w14:paraId="5D7C8BD6" w14:textId="2F9B5F94" w:rsidR="00F0262B" w:rsidRPr="00767C21" w:rsidRDefault="00F0262B" w:rsidP="00F0262B">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276.68</w:t>
            </w:r>
          </w:p>
        </w:tc>
        <w:tc>
          <w:tcPr>
            <w:tcW w:w="0" w:type="auto"/>
            <w:vAlign w:val="center"/>
            <w:hideMark/>
          </w:tcPr>
          <w:p w14:paraId="37118185"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35A2AC80"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3CC07488" w14:textId="1C44AC86" w:rsidR="00F0262B" w:rsidRPr="00767C21" w:rsidRDefault="00C833DF" w:rsidP="00F0262B">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56.20</w:t>
            </w:r>
          </w:p>
        </w:tc>
        <w:tc>
          <w:tcPr>
            <w:tcW w:w="0" w:type="auto"/>
            <w:vAlign w:val="center"/>
            <w:hideMark/>
          </w:tcPr>
          <w:p w14:paraId="3E434A91"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36906941"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5D22AE84"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168DD7DF"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5A9F384A" w14:textId="525531AA"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293F4427" w14:textId="1BE6D6AF"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7B265AC4" w14:textId="4189ABC9" w:rsidR="00F0262B" w:rsidRPr="00767C21" w:rsidRDefault="00F0262B" w:rsidP="005A0C10">
            <w:pPr>
              <w:pStyle w:val="NoSpacing"/>
              <w:rPr>
                <w:rFonts w:ascii="Times New Roman" w:hAnsi="Times New Roman" w:cs="Times New Roman"/>
                <w:sz w:val="12"/>
                <w:szCs w:val="12"/>
              </w:rPr>
            </w:pPr>
          </w:p>
        </w:tc>
        <w:tc>
          <w:tcPr>
            <w:tcW w:w="0" w:type="auto"/>
            <w:vAlign w:val="center"/>
            <w:hideMark/>
          </w:tcPr>
          <w:p w14:paraId="0974FFCD"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688612D8" w14:textId="77777777" w:rsidR="00F0262B" w:rsidRPr="00767C21" w:rsidRDefault="00F0262B" w:rsidP="00F0262B">
            <w:pPr>
              <w:pStyle w:val="NoSpacing"/>
              <w:jc w:val="center"/>
              <w:rPr>
                <w:rFonts w:ascii="Times New Roman" w:hAnsi="Times New Roman" w:cs="Times New Roman"/>
                <w:sz w:val="12"/>
                <w:szCs w:val="12"/>
              </w:rPr>
            </w:pPr>
          </w:p>
        </w:tc>
        <w:tc>
          <w:tcPr>
            <w:tcW w:w="0" w:type="auto"/>
            <w:vAlign w:val="center"/>
            <w:hideMark/>
          </w:tcPr>
          <w:p w14:paraId="7A8DCB39" w14:textId="77777777" w:rsidR="00F0262B" w:rsidRPr="00767C21" w:rsidRDefault="00F0262B" w:rsidP="00F0262B">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334.57</w:t>
            </w:r>
          </w:p>
        </w:tc>
      </w:tr>
      <w:tr w:rsidR="00C833DF" w:rsidRPr="00767C21" w14:paraId="73222911" w14:textId="77777777" w:rsidTr="005A0C10">
        <w:trPr>
          <w:trHeight w:val="20"/>
        </w:trPr>
        <w:tc>
          <w:tcPr>
            <w:tcW w:w="2108" w:type="dxa"/>
            <w:vAlign w:val="center"/>
            <w:hideMark/>
          </w:tcPr>
          <w:p w14:paraId="7E42A8F6" w14:textId="77777777" w:rsidR="00C833DF" w:rsidRPr="00767C21" w:rsidRDefault="00C833DF" w:rsidP="00C833DF">
            <w:pPr>
              <w:pStyle w:val="NoSpacing"/>
              <w:rPr>
                <w:rFonts w:ascii="Times New Roman" w:hAnsi="Times New Roman" w:cs="Times New Roman"/>
                <w:sz w:val="12"/>
                <w:szCs w:val="12"/>
              </w:rPr>
            </w:pPr>
            <w:r w:rsidRPr="00767C21">
              <w:rPr>
                <w:rFonts w:ascii="Times New Roman" w:hAnsi="Times New Roman" w:cs="Times New Roman"/>
                <w:sz w:val="12"/>
                <w:szCs w:val="12"/>
              </w:rPr>
              <w:t>3. Assam</w:t>
            </w:r>
          </w:p>
        </w:tc>
        <w:tc>
          <w:tcPr>
            <w:tcW w:w="606" w:type="dxa"/>
            <w:vAlign w:val="center"/>
            <w:hideMark/>
          </w:tcPr>
          <w:p w14:paraId="5E58E724" w14:textId="77777777"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13A84100" w14:textId="77777777"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38D24636" w14:textId="77777777"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75DC5BB5" w14:textId="7777777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746.03</w:t>
            </w:r>
          </w:p>
        </w:tc>
        <w:tc>
          <w:tcPr>
            <w:tcW w:w="0" w:type="auto"/>
            <w:vAlign w:val="center"/>
            <w:hideMark/>
          </w:tcPr>
          <w:p w14:paraId="21B723A5" w14:textId="7777777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51.51</w:t>
            </w:r>
          </w:p>
        </w:tc>
        <w:tc>
          <w:tcPr>
            <w:tcW w:w="0" w:type="auto"/>
            <w:vAlign w:val="center"/>
            <w:hideMark/>
          </w:tcPr>
          <w:p w14:paraId="09DF3235" w14:textId="7777777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399.33</w:t>
            </w:r>
          </w:p>
        </w:tc>
        <w:tc>
          <w:tcPr>
            <w:tcW w:w="0" w:type="auto"/>
            <w:vAlign w:val="center"/>
            <w:hideMark/>
          </w:tcPr>
          <w:p w14:paraId="5295D6BF" w14:textId="7777777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1416.84</w:t>
            </w:r>
          </w:p>
        </w:tc>
        <w:tc>
          <w:tcPr>
            <w:tcW w:w="0" w:type="auto"/>
            <w:vAlign w:val="center"/>
            <w:hideMark/>
          </w:tcPr>
          <w:p w14:paraId="43072F00" w14:textId="261F2276" w:rsidR="00C833DF" w:rsidRPr="00767C21" w:rsidRDefault="00C833DF" w:rsidP="00C833DF">
            <w:pPr>
              <w:pStyle w:val="NoSpacing"/>
              <w:jc w:val="center"/>
              <w:rPr>
                <w:rFonts w:ascii="Times New Roman" w:hAnsi="Times New Roman" w:cs="Times New Roman"/>
                <w:sz w:val="12"/>
                <w:szCs w:val="12"/>
              </w:rPr>
            </w:pPr>
          </w:p>
        </w:tc>
        <w:tc>
          <w:tcPr>
            <w:tcW w:w="0" w:type="auto"/>
            <w:vAlign w:val="center"/>
          </w:tcPr>
          <w:p w14:paraId="05A2E2F4" w14:textId="189A64B6"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93.26</w:t>
            </w:r>
          </w:p>
        </w:tc>
        <w:tc>
          <w:tcPr>
            <w:tcW w:w="0" w:type="auto"/>
            <w:vAlign w:val="center"/>
          </w:tcPr>
          <w:p w14:paraId="54E956D9" w14:textId="3208F250"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16B5A31E" w14:textId="00A36D07"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513F7909" w14:textId="77777777" w:rsidR="00C833DF" w:rsidRPr="00767C21" w:rsidRDefault="00C833DF" w:rsidP="00C833DF">
            <w:pPr>
              <w:pStyle w:val="NoSpacing"/>
              <w:jc w:val="center"/>
              <w:rPr>
                <w:rFonts w:ascii="Times New Roman" w:hAnsi="Times New Roman" w:cs="Times New Roman"/>
                <w:sz w:val="12"/>
                <w:szCs w:val="12"/>
              </w:rPr>
            </w:pPr>
          </w:p>
        </w:tc>
        <w:tc>
          <w:tcPr>
            <w:tcW w:w="0" w:type="auto"/>
            <w:vAlign w:val="center"/>
          </w:tcPr>
          <w:p w14:paraId="0B131E85" w14:textId="460751A3"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77869C65" w14:textId="3531426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w:t>
            </w:r>
            <w:r w:rsidR="005A0C10">
              <w:rPr>
                <w:rFonts w:ascii="Times New Roman" w:hAnsi="Times New Roman" w:cs="Times New Roman"/>
                <w:sz w:val="12"/>
                <w:szCs w:val="12"/>
              </w:rPr>
              <w:t>9</w:t>
            </w:r>
          </w:p>
        </w:tc>
        <w:tc>
          <w:tcPr>
            <w:tcW w:w="0" w:type="auto"/>
            <w:vAlign w:val="center"/>
            <w:hideMark/>
          </w:tcPr>
          <w:p w14:paraId="022AC4DC" w14:textId="4BD755CB" w:rsidR="00C833DF" w:rsidRPr="00767C21" w:rsidRDefault="005A0C10" w:rsidP="00C833DF">
            <w:pPr>
              <w:pStyle w:val="NoSpacing"/>
              <w:jc w:val="center"/>
              <w:rPr>
                <w:rFonts w:ascii="Times New Roman" w:hAnsi="Times New Roman" w:cs="Times New Roman"/>
                <w:sz w:val="12"/>
                <w:szCs w:val="12"/>
              </w:rPr>
            </w:pPr>
            <w:r>
              <w:rPr>
                <w:rFonts w:ascii="Times New Roman" w:hAnsi="Times New Roman" w:cs="Times New Roman"/>
                <w:sz w:val="12"/>
                <w:szCs w:val="12"/>
              </w:rPr>
              <w:t>0.79</w:t>
            </w:r>
          </w:p>
        </w:tc>
        <w:tc>
          <w:tcPr>
            <w:tcW w:w="0" w:type="auto"/>
            <w:vAlign w:val="center"/>
            <w:hideMark/>
          </w:tcPr>
          <w:p w14:paraId="3DCECA45" w14:textId="33F52A75" w:rsidR="00C833DF" w:rsidRPr="00767C21" w:rsidRDefault="005A0C10" w:rsidP="00C833DF">
            <w:pPr>
              <w:pStyle w:val="NoSpacing"/>
              <w:jc w:val="center"/>
              <w:rPr>
                <w:rFonts w:ascii="Times New Roman" w:hAnsi="Times New Roman" w:cs="Times New Roman"/>
                <w:sz w:val="12"/>
                <w:szCs w:val="12"/>
              </w:rPr>
            </w:pPr>
            <w:r>
              <w:rPr>
                <w:rFonts w:ascii="Times New Roman" w:hAnsi="Times New Roman" w:cs="Times New Roman"/>
                <w:sz w:val="12"/>
                <w:szCs w:val="12"/>
              </w:rPr>
              <w:t>0.56</w:t>
            </w:r>
          </w:p>
        </w:tc>
        <w:tc>
          <w:tcPr>
            <w:tcW w:w="0" w:type="auto"/>
            <w:vAlign w:val="center"/>
            <w:hideMark/>
          </w:tcPr>
          <w:p w14:paraId="41328233" w14:textId="77777777"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49B9B3CC" w14:textId="77777777" w:rsidR="00C833DF" w:rsidRPr="00767C21" w:rsidRDefault="00C833DF" w:rsidP="00C833DF">
            <w:pPr>
              <w:pStyle w:val="NoSpacing"/>
              <w:jc w:val="center"/>
              <w:rPr>
                <w:rFonts w:ascii="Times New Roman" w:hAnsi="Times New Roman" w:cs="Times New Roman"/>
                <w:sz w:val="12"/>
                <w:szCs w:val="12"/>
              </w:rPr>
            </w:pPr>
          </w:p>
        </w:tc>
        <w:tc>
          <w:tcPr>
            <w:tcW w:w="0" w:type="auto"/>
            <w:vAlign w:val="center"/>
            <w:hideMark/>
          </w:tcPr>
          <w:p w14:paraId="743367B5" w14:textId="7777777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1.46</w:t>
            </w:r>
          </w:p>
        </w:tc>
        <w:tc>
          <w:tcPr>
            <w:tcW w:w="0" w:type="auto"/>
            <w:vAlign w:val="center"/>
            <w:hideMark/>
          </w:tcPr>
          <w:p w14:paraId="731E7958" w14:textId="77777777" w:rsidR="00C833DF" w:rsidRPr="00767C21" w:rsidRDefault="00C833DF" w:rsidP="00C833DF">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2711.37</w:t>
            </w:r>
          </w:p>
        </w:tc>
      </w:tr>
      <w:tr w:rsidR="005A0C10" w:rsidRPr="00767C21" w14:paraId="5E9E358F" w14:textId="77777777" w:rsidTr="005A0C10">
        <w:trPr>
          <w:trHeight w:val="20"/>
        </w:trPr>
        <w:tc>
          <w:tcPr>
            <w:tcW w:w="2108" w:type="dxa"/>
            <w:vAlign w:val="center"/>
            <w:hideMark/>
          </w:tcPr>
          <w:p w14:paraId="008E5403"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4. Bihar</w:t>
            </w:r>
          </w:p>
        </w:tc>
        <w:tc>
          <w:tcPr>
            <w:tcW w:w="606" w:type="dxa"/>
            <w:vAlign w:val="center"/>
            <w:hideMark/>
          </w:tcPr>
          <w:p w14:paraId="6F399AA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FEFE9C5"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1E7E07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79A1988"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1309.57</w:t>
            </w:r>
          </w:p>
        </w:tc>
        <w:tc>
          <w:tcPr>
            <w:tcW w:w="0" w:type="auto"/>
            <w:vAlign w:val="center"/>
            <w:hideMark/>
          </w:tcPr>
          <w:p w14:paraId="2DD23F0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185.73</w:t>
            </w:r>
          </w:p>
        </w:tc>
        <w:tc>
          <w:tcPr>
            <w:tcW w:w="0" w:type="auto"/>
            <w:vAlign w:val="center"/>
            <w:hideMark/>
          </w:tcPr>
          <w:p w14:paraId="75C8474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1479.68</w:t>
            </w:r>
          </w:p>
        </w:tc>
        <w:tc>
          <w:tcPr>
            <w:tcW w:w="0" w:type="auto"/>
            <w:vAlign w:val="center"/>
            <w:hideMark/>
          </w:tcPr>
          <w:p w14:paraId="1F6466C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1489.50</w:t>
            </w:r>
          </w:p>
        </w:tc>
        <w:tc>
          <w:tcPr>
            <w:tcW w:w="0" w:type="auto"/>
            <w:vAlign w:val="center"/>
            <w:hideMark/>
          </w:tcPr>
          <w:p w14:paraId="36B99A4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0.42</w:t>
            </w:r>
          </w:p>
        </w:tc>
        <w:tc>
          <w:tcPr>
            <w:tcW w:w="0" w:type="auto"/>
            <w:vAlign w:val="center"/>
            <w:hideMark/>
          </w:tcPr>
          <w:p w14:paraId="095F80EA"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34.99</w:t>
            </w:r>
          </w:p>
        </w:tc>
        <w:tc>
          <w:tcPr>
            <w:tcW w:w="0" w:type="auto"/>
            <w:vAlign w:val="center"/>
            <w:hideMark/>
          </w:tcPr>
          <w:p w14:paraId="2FE1478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17.50</w:t>
            </w:r>
          </w:p>
        </w:tc>
        <w:tc>
          <w:tcPr>
            <w:tcW w:w="0" w:type="auto"/>
            <w:vAlign w:val="center"/>
            <w:hideMark/>
          </w:tcPr>
          <w:p w14:paraId="7082F56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B0DD3C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tcPr>
          <w:p w14:paraId="0C814A7D" w14:textId="6B7859E5"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11.00</w:t>
            </w:r>
          </w:p>
        </w:tc>
        <w:tc>
          <w:tcPr>
            <w:tcW w:w="0" w:type="auto"/>
            <w:vAlign w:val="center"/>
            <w:hideMark/>
          </w:tcPr>
          <w:p w14:paraId="571359E0" w14:textId="059D1808"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w:t>
            </w:r>
            <w:r>
              <w:rPr>
                <w:rFonts w:ascii="Times New Roman" w:hAnsi="Times New Roman" w:cs="Times New Roman"/>
                <w:sz w:val="12"/>
                <w:szCs w:val="12"/>
              </w:rPr>
              <w:t>0</w:t>
            </w:r>
          </w:p>
        </w:tc>
        <w:tc>
          <w:tcPr>
            <w:tcW w:w="0" w:type="auto"/>
            <w:vAlign w:val="center"/>
            <w:hideMark/>
          </w:tcPr>
          <w:p w14:paraId="1C6BD69F" w14:textId="71641CCA"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2.44</w:t>
            </w:r>
          </w:p>
        </w:tc>
        <w:tc>
          <w:tcPr>
            <w:tcW w:w="0" w:type="auto"/>
            <w:vAlign w:val="center"/>
            <w:hideMark/>
          </w:tcPr>
          <w:p w14:paraId="701548FB" w14:textId="6457838E"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1.79</w:t>
            </w:r>
          </w:p>
        </w:tc>
        <w:tc>
          <w:tcPr>
            <w:tcW w:w="0" w:type="auto"/>
            <w:vAlign w:val="center"/>
            <w:hideMark/>
          </w:tcPr>
          <w:p w14:paraId="7B9DC05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DE9A14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6DDE801" w14:textId="073919D9"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20.88</w:t>
            </w:r>
          </w:p>
        </w:tc>
        <w:tc>
          <w:tcPr>
            <w:tcW w:w="0" w:type="auto"/>
            <w:vAlign w:val="center"/>
            <w:hideMark/>
          </w:tcPr>
          <w:p w14:paraId="7A1A50E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4555.00</w:t>
            </w:r>
          </w:p>
        </w:tc>
      </w:tr>
      <w:tr w:rsidR="005A0C10" w:rsidRPr="00767C21" w14:paraId="1DDE629C" w14:textId="77777777" w:rsidTr="005A0C10">
        <w:trPr>
          <w:trHeight w:val="20"/>
        </w:trPr>
        <w:tc>
          <w:tcPr>
            <w:tcW w:w="2108" w:type="dxa"/>
            <w:vAlign w:val="center"/>
            <w:hideMark/>
          </w:tcPr>
          <w:p w14:paraId="76799D2A"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5. Goa</w:t>
            </w:r>
          </w:p>
        </w:tc>
        <w:tc>
          <w:tcPr>
            <w:tcW w:w="606" w:type="dxa"/>
            <w:vAlign w:val="center"/>
            <w:hideMark/>
          </w:tcPr>
          <w:p w14:paraId="328F5BE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0C497E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103AE7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547E9C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tcPr>
          <w:p w14:paraId="02DFA6F9" w14:textId="101B3B1A" w:rsidR="005A0C10" w:rsidRPr="00767C21" w:rsidRDefault="005A0C10" w:rsidP="005A0C10">
            <w:pPr>
              <w:pStyle w:val="NoSpacing"/>
              <w:jc w:val="center"/>
              <w:rPr>
                <w:rFonts w:ascii="Times New Roman" w:hAnsi="Times New Roman" w:cs="Times New Roman"/>
                <w:sz w:val="12"/>
                <w:szCs w:val="12"/>
              </w:rPr>
            </w:pPr>
          </w:p>
        </w:tc>
        <w:tc>
          <w:tcPr>
            <w:tcW w:w="0" w:type="auto"/>
            <w:vAlign w:val="center"/>
          </w:tcPr>
          <w:p w14:paraId="59155CB9" w14:textId="1D21E291"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25.16</w:t>
            </w:r>
          </w:p>
        </w:tc>
        <w:tc>
          <w:tcPr>
            <w:tcW w:w="0" w:type="auto"/>
            <w:vAlign w:val="center"/>
            <w:hideMark/>
          </w:tcPr>
          <w:p w14:paraId="2392FCE1" w14:textId="37FD93EB"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468.77</w:t>
            </w:r>
          </w:p>
        </w:tc>
        <w:tc>
          <w:tcPr>
            <w:tcW w:w="0" w:type="auto"/>
            <w:vAlign w:val="center"/>
            <w:hideMark/>
          </w:tcPr>
          <w:p w14:paraId="55F722C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4FD7D6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BC0240C" w14:textId="394742D9"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73.49</w:t>
            </w:r>
          </w:p>
        </w:tc>
        <w:tc>
          <w:tcPr>
            <w:tcW w:w="0" w:type="auto"/>
            <w:vAlign w:val="center"/>
          </w:tcPr>
          <w:p w14:paraId="6533951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tcPr>
          <w:p w14:paraId="06EC2838" w14:textId="132B69B0"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CCFA60A" w14:textId="21A2582B"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521A23A" w14:textId="677CB156"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0.17</w:t>
            </w:r>
          </w:p>
        </w:tc>
        <w:tc>
          <w:tcPr>
            <w:tcW w:w="0" w:type="auto"/>
            <w:vAlign w:val="center"/>
            <w:hideMark/>
          </w:tcPr>
          <w:p w14:paraId="665967AE" w14:textId="7C5CF038"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EEB6B89" w14:textId="4385C5E5"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8891AC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ED4D3A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5C890A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A62081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567.59</w:t>
            </w:r>
          </w:p>
        </w:tc>
      </w:tr>
      <w:tr w:rsidR="005A0C10" w:rsidRPr="00767C21" w14:paraId="103D7BD3" w14:textId="77777777" w:rsidTr="00F0262B">
        <w:trPr>
          <w:trHeight w:val="20"/>
        </w:trPr>
        <w:tc>
          <w:tcPr>
            <w:tcW w:w="2108" w:type="dxa"/>
            <w:vAlign w:val="center"/>
            <w:hideMark/>
          </w:tcPr>
          <w:p w14:paraId="7779A9F3"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6. Gujarat</w:t>
            </w:r>
          </w:p>
        </w:tc>
        <w:tc>
          <w:tcPr>
            <w:tcW w:w="606" w:type="dxa"/>
            <w:vAlign w:val="center"/>
            <w:hideMark/>
          </w:tcPr>
          <w:p w14:paraId="1179C0B9" w14:textId="4DCE2676"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255.38</w:t>
            </w:r>
          </w:p>
        </w:tc>
        <w:tc>
          <w:tcPr>
            <w:tcW w:w="0" w:type="auto"/>
            <w:vAlign w:val="center"/>
            <w:hideMark/>
          </w:tcPr>
          <w:p w14:paraId="06E32CFC" w14:textId="7C7C762A"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44186B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0DA7CD6" w14:textId="672C5D53"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260.35</w:t>
            </w:r>
          </w:p>
        </w:tc>
        <w:tc>
          <w:tcPr>
            <w:tcW w:w="0" w:type="auto"/>
            <w:vAlign w:val="center"/>
          </w:tcPr>
          <w:p w14:paraId="08F413D5" w14:textId="2C0522CE"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102.85</w:t>
            </w:r>
          </w:p>
        </w:tc>
        <w:tc>
          <w:tcPr>
            <w:tcW w:w="0" w:type="auto"/>
            <w:vAlign w:val="center"/>
          </w:tcPr>
          <w:p w14:paraId="16A9900C" w14:textId="5C14F0A8"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1846.52</w:t>
            </w:r>
          </w:p>
        </w:tc>
        <w:tc>
          <w:tcPr>
            <w:tcW w:w="0" w:type="auto"/>
            <w:vAlign w:val="center"/>
          </w:tcPr>
          <w:p w14:paraId="0207E2A5" w14:textId="79E0A143"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726.67</w:t>
            </w:r>
          </w:p>
        </w:tc>
        <w:tc>
          <w:tcPr>
            <w:tcW w:w="0" w:type="auto"/>
            <w:vAlign w:val="center"/>
            <w:hideMark/>
          </w:tcPr>
          <w:p w14:paraId="101B8C7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BE834AC" w14:textId="42028600"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15.45</w:t>
            </w:r>
          </w:p>
        </w:tc>
        <w:tc>
          <w:tcPr>
            <w:tcW w:w="0" w:type="auto"/>
            <w:vAlign w:val="center"/>
            <w:hideMark/>
          </w:tcPr>
          <w:p w14:paraId="66395C59" w14:textId="72F64E5C"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198AAD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165.31</w:t>
            </w:r>
          </w:p>
        </w:tc>
        <w:tc>
          <w:tcPr>
            <w:tcW w:w="0" w:type="auto"/>
            <w:vAlign w:val="center"/>
            <w:hideMark/>
          </w:tcPr>
          <w:p w14:paraId="18DE0C6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98EF4F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77.81</w:t>
            </w:r>
          </w:p>
        </w:tc>
        <w:tc>
          <w:tcPr>
            <w:tcW w:w="0" w:type="auto"/>
            <w:vAlign w:val="center"/>
            <w:hideMark/>
          </w:tcPr>
          <w:p w14:paraId="1C591D0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1.58</w:t>
            </w:r>
          </w:p>
        </w:tc>
        <w:tc>
          <w:tcPr>
            <w:tcW w:w="0" w:type="auto"/>
            <w:vAlign w:val="center"/>
            <w:hideMark/>
          </w:tcPr>
          <w:p w14:paraId="21BC235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1.00</w:t>
            </w:r>
          </w:p>
        </w:tc>
        <w:tc>
          <w:tcPr>
            <w:tcW w:w="0" w:type="auto"/>
            <w:vAlign w:val="center"/>
            <w:hideMark/>
          </w:tcPr>
          <w:p w14:paraId="49A55DA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2.46</w:t>
            </w:r>
          </w:p>
        </w:tc>
        <w:tc>
          <w:tcPr>
            <w:tcW w:w="0" w:type="auto"/>
            <w:vAlign w:val="center"/>
            <w:hideMark/>
          </w:tcPr>
          <w:p w14:paraId="6805E831" w14:textId="6AE43F73"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5A97F8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28F700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3C9D00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3455.38</w:t>
            </w:r>
          </w:p>
        </w:tc>
      </w:tr>
      <w:tr w:rsidR="005A0C10" w:rsidRPr="00767C21" w14:paraId="7E044408" w14:textId="77777777" w:rsidTr="00F0262B">
        <w:trPr>
          <w:trHeight w:val="20"/>
        </w:trPr>
        <w:tc>
          <w:tcPr>
            <w:tcW w:w="2108" w:type="dxa"/>
            <w:vAlign w:val="center"/>
            <w:hideMark/>
          </w:tcPr>
          <w:p w14:paraId="21C40FBE"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7. Haryana</w:t>
            </w:r>
          </w:p>
        </w:tc>
        <w:tc>
          <w:tcPr>
            <w:tcW w:w="606" w:type="dxa"/>
            <w:vAlign w:val="center"/>
            <w:hideMark/>
          </w:tcPr>
          <w:p w14:paraId="799CA770" w14:textId="110CC9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25.32</w:t>
            </w:r>
          </w:p>
        </w:tc>
        <w:tc>
          <w:tcPr>
            <w:tcW w:w="0" w:type="auto"/>
            <w:vAlign w:val="center"/>
            <w:hideMark/>
          </w:tcPr>
          <w:p w14:paraId="09D07578" w14:textId="4988680E"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D3720C9" w14:textId="0C430B39"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146.54</w:t>
            </w:r>
          </w:p>
        </w:tc>
        <w:tc>
          <w:tcPr>
            <w:tcW w:w="0" w:type="auto"/>
            <w:vAlign w:val="center"/>
            <w:hideMark/>
          </w:tcPr>
          <w:p w14:paraId="66F18E97" w14:textId="5E2B4C0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117.60</w:t>
            </w:r>
          </w:p>
        </w:tc>
        <w:tc>
          <w:tcPr>
            <w:tcW w:w="0" w:type="auto"/>
            <w:vAlign w:val="center"/>
          </w:tcPr>
          <w:p w14:paraId="5BF8334F" w14:textId="3E11CE64"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48.18</w:t>
            </w:r>
          </w:p>
        </w:tc>
        <w:tc>
          <w:tcPr>
            <w:tcW w:w="0" w:type="auto"/>
            <w:vAlign w:val="center"/>
          </w:tcPr>
          <w:p w14:paraId="5BD55296" w14:textId="4C279E3B"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484.57</w:t>
            </w:r>
          </w:p>
        </w:tc>
        <w:tc>
          <w:tcPr>
            <w:tcW w:w="0" w:type="auto"/>
            <w:vAlign w:val="center"/>
          </w:tcPr>
          <w:p w14:paraId="21CE2C1F" w14:textId="3527E809"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358.31</w:t>
            </w:r>
          </w:p>
        </w:tc>
        <w:tc>
          <w:tcPr>
            <w:tcW w:w="0" w:type="auto"/>
            <w:vAlign w:val="center"/>
            <w:hideMark/>
          </w:tcPr>
          <w:p w14:paraId="1A163A7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1CEE0A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22.72</w:t>
            </w:r>
          </w:p>
        </w:tc>
        <w:tc>
          <w:tcPr>
            <w:tcW w:w="0" w:type="auto"/>
            <w:vAlign w:val="center"/>
            <w:hideMark/>
          </w:tcPr>
          <w:p w14:paraId="588CF0D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200F65F" w14:textId="50F7CCAE"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4.81</w:t>
            </w:r>
          </w:p>
        </w:tc>
        <w:tc>
          <w:tcPr>
            <w:tcW w:w="0" w:type="auto"/>
            <w:vAlign w:val="center"/>
            <w:hideMark/>
          </w:tcPr>
          <w:p w14:paraId="69F87B2B" w14:textId="50BBD56E"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C9A069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BFBFD97" w14:textId="6F0F1210"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0.31</w:t>
            </w:r>
          </w:p>
        </w:tc>
        <w:tc>
          <w:tcPr>
            <w:tcW w:w="0" w:type="auto"/>
            <w:vAlign w:val="center"/>
            <w:hideMark/>
          </w:tcPr>
          <w:p w14:paraId="4D3C53CF" w14:textId="701E59A8"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w:t>
            </w:r>
            <w:r>
              <w:rPr>
                <w:rFonts w:ascii="Times New Roman" w:hAnsi="Times New Roman" w:cs="Times New Roman"/>
                <w:sz w:val="12"/>
                <w:szCs w:val="12"/>
              </w:rPr>
              <w:t>4</w:t>
            </w:r>
            <w:r w:rsidRPr="00767C21">
              <w:rPr>
                <w:rFonts w:ascii="Times New Roman" w:hAnsi="Times New Roman" w:cs="Times New Roman"/>
                <w:sz w:val="12"/>
                <w:szCs w:val="12"/>
              </w:rPr>
              <w:t>4</w:t>
            </w:r>
          </w:p>
        </w:tc>
        <w:tc>
          <w:tcPr>
            <w:tcW w:w="0" w:type="auto"/>
            <w:vAlign w:val="center"/>
            <w:hideMark/>
          </w:tcPr>
          <w:p w14:paraId="1E6810C1" w14:textId="7C17ECEA"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0.45</w:t>
            </w:r>
          </w:p>
        </w:tc>
        <w:tc>
          <w:tcPr>
            <w:tcW w:w="0" w:type="auto"/>
            <w:vAlign w:val="center"/>
            <w:hideMark/>
          </w:tcPr>
          <w:p w14:paraId="19578CD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EC1D31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CCBF6C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7C790A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1209.25</w:t>
            </w:r>
          </w:p>
        </w:tc>
      </w:tr>
      <w:tr w:rsidR="005A0C10" w:rsidRPr="00767C21" w14:paraId="538C11B3" w14:textId="77777777" w:rsidTr="00F0262B">
        <w:trPr>
          <w:trHeight w:val="20"/>
        </w:trPr>
        <w:tc>
          <w:tcPr>
            <w:tcW w:w="2108" w:type="dxa"/>
            <w:vAlign w:val="center"/>
            <w:hideMark/>
          </w:tcPr>
          <w:p w14:paraId="04B2D50E"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8. Himachal Pradesh</w:t>
            </w:r>
          </w:p>
        </w:tc>
        <w:tc>
          <w:tcPr>
            <w:tcW w:w="606" w:type="dxa"/>
            <w:vAlign w:val="center"/>
            <w:hideMark/>
          </w:tcPr>
          <w:p w14:paraId="5BA42E2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48BBDF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002F21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C0D2109" w14:textId="35AC713C"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74.46</w:t>
            </w:r>
          </w:p>
        </w:tc>
        <w:tc>
          <w:tcPr>
            <w:tcW w:w="0" w:type="auto"/>
            <w:vAlign w:val="center"/>
          </w:tcPr>
          <w:p w14:paraId="2EB92C37" w14:textId="3380EC94"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21.78</w:t>
            </w:r>
          </w:p>
        </w:tc>
        <w:tc>
          <w:tcPr>
            <w:tcW w:w="0" w:type="auto"/>
            <w:vAlign w:val="center"/>
          </w:tcPr>
          <w:p w14:paraId="10E1FA92" w14:textId="7400C52D"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228.82</w:t>
            </w:r>
          </w:p>
        </w:tc>
        <w:tc>
          <w:tcPr>
            <w:tcW w:w="0" w:type="auto"/>
            <w:vAlign w:val="center"/>
          </w:tcPr>
          <w:p w14:paraId="48567C8B" w14:textId="7208BBD5"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152.23</w:t>
            </w:r>
          </w:p>
        </w:tc>
        <w:tc>
          <w:tcPr>
            <w:tcW w:w="0" w:type="auto"/>
            <w:vAlign w:val="center"/>
            <w:hideMark/>
          </w:tcPr>
          <w:p w14:paraId="20B41A5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86477C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19.05</w:t>
            </w:r>
          </w:p>
        </w:tc>
        <w:tc>
          <w:tcPr>
            <w:tcW w:w="0" w:type="auto"/>
            <w:vAlign w:val="center"/>
            <w:hideMark/>
          </w:tcPr>
          <w:p w14:paraId="015472F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FCAA3B4" w14:textId="6CB2AECE"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2.80</w:t>
            </w:r>
          </w:p>
        </w:tc>
        <w:tc>
          <w:tcPr>
            <w:tcW w:w="0" w:type="auto"/>
            <w:vAlign w:val="center"/>
            <w:hideMark/>
          </w:tcPr>
          <w:p w14:paraId="3BF6F88C" w14:textId="7BD670CF"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CA9F52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F2DC21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0.52</w:t>
            </w:r>
          </w:p>
        </w:tc>
        <w:tc>
          <w:tcPr>
            <w:tcW w:w="0" w:type="auto"/>
            <w:vAlign w:val="center"/>
            <w:hideMark/>
          </w:tcPr>
          <w:p w14:paraId="497CA52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0.84</w:t>
            </w:r>
          </w:p>
        </w:tc>
        <w:tc>
          <w:tcPr>
            <w:tcW w:w="0" w:type="auto"/>
            <w:vAlign w:val="center"/>
            <w:hideMark/>
          </w:tcPr>
          <w:p w14:paraId="4DD9BD0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0.14</w:t>
            </w:r>
          </w:p>
        </w:tc>
        <w:tc>
          <w:tcPr>
            <w:tcW w:w="0" w:type="auto"/>
            <w:vAlign w:val="center"/>
            <w:hideMark/>
          </w:tcPr>
          <w:p w14:paraId="3535EE9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10FEFE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B7335D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DE5CA3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500.64</w:t>
            </w:r>
          </w:p>
        </w:tc>
      </w:tr>
      <w:tr w:rsidR="005A0C10" w:rsidRPr="00767C21" w14:paraId="27861AD4" w14:textId="77777777" w:rsidTr="00F0262B">
        <w:trPr>
          <w:trHeight w:val="20"/>
        </w:trPr>
        <w:tc>
          <w:tcPr>
            <w:tcW w:w="2108" w:type="dxa"/>
            <w:vAlign w:val="center"/>
            <w:hideMark/>
          </w:tcPr>
          <w:p w14:paraId="3F8FD8D1"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9. Jammu And Kashmir</w:t>
            </w:r>
          </w:p>
        </w:tc>
        <w:tc>
          <w:tcPr>
            <w:tcW w:w="606" w:type="dxa"/>
            <w:vAlign w:val="center"/>
            <w:hideMark/>
          </w:tcPr>
          <w:p w14:paraId="0C7DAD2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C67B7B5"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1FF8A1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361B7C7" w14:textId="5C994043"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685.28</w:t>
            </w:r>
          </w:p>
        </w:tc>
        <w:tc>
          <w:tcPr>
            <w:tcW w:w="0" w:type="auto"/>
            <w:vAlign w:val="center"/>
          </w:tcPr>
          <w:p w14:paraId="56D406D6" w14:textId="7E434059"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45.74</w:t>
            </w:r>
          </w:p>
        </w:tc>
        <w:tc>
          <w:tcPr>
            <w:tcW w:w="0" w:type="auto"/>
            <w:vAlign w:val="center"/>
          </w:tcPr>
          <w:p w14:paraId="1F172CC4" w14:textId="750899C1"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124.06</w:t>
            </w:r>
          </w:p>
        </w:tc>
        <w:tc>
          <w:tcPr>
            <w:tcW w:w="0" w:type="auto"/>
            <w:vAlign w:val="center"/>
          </w:tcPr>
          <w:p w14:paraId="571D19B1" w14:textId="0E6D3871"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1157.15</w:t>
            </w:r>
          </w:p>
        </w:tc>
        <w:tc>
          <w:tcPr>
            <w:tcW w:w="0" w:type="auto"/>
            <w:vAlign w:val="center"/>
            <w:hideMark/>
          </w:tcPr>
          <w:p w14:paraId="5BBC576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37282C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B10F7F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506BF5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EE72DF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5DA5F60"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1.95</w:t>
            </w:r>
          </w:p>
        </w:tc>
        <w:tc>
          <w:tcPr>
            <w:tcW w:w="0" w:type="auto"/>
            <w:vAlign w:val="center"/>
            <w:hideMark/>
          </w:tcPr>
          <w:p w14:paraId="6589C42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0.62</w:t>
            </w:r>
          </w:p>
        </w:tc>
        <w:tc>
          <w:tcPr>
            <w:tcW w:w="0" w:type="auto"/>
            <w:vAlign w:val="center"/>
            <w:hideMark/>
          </w:tcPr>
          <w:p w14:paraId="7136398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0.13</w:t>
            </w:r>
          </w:p>
        </w:tc>
        <w:tc>
          <w:tcPr>
            <w:tcW w:w="0" w:type="auto"/>
            <w:vAlign w:val="center"/>
            <w:hideMark/>
          </w:tcPr>
          <w:p w14:paraId="4849961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0.20</w:t>
            </w:r>
          </w:p>
        </w:tc>
        <w:tc>
          <w:tcPr>
            <w:tcW w:w="0" w:type="auto"/>
            <w:vAlign w:val="center"/>
            <w:hideMark/>
          </w:tcPr>
          <w:p w14:paraId="4A106E2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35E16D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BA040E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DE6BA4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2015.13</w:t>
            </w:r>
          </w:p>
        </w:tc>
      </w:tr>
      <w:tr w:rsidR="005A0C10" w:rsidRPr="00767C21" w14:paraId="4F40A256" w14:textId="77777777" w:rsidTr="00C833DF">
        <w:trPr>
          <w:trHeight w:val="20"/>
        </w:trPr>
        <w:tc>
          <w:tcPr>
            <w:tcW w:w="2108" w:type="dxa"/>
            <w:vAlign w:val="center"/>
            <w:hideMark/>
          </w:tcPr>
          <w:p w14:paraId="5EBFFE59"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10. Karnataka</w:t>
            </w:r>
          </w:p>
        </w:tc>
        <w:tc>
          <w:tcPr>
            <w:tcW w:w="606" w:type="dxa"/>
            <w:vAlign w:val="center"/>
            <w:hideMark/>
          </w:tcPr>
          <w:p w14:paraId="068D732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133.47</w:t>
            </w:r>
          </w:p>
        </w:tc>
        <w:tc>
          <w:tcPr>
            <w:tcW w:w="0" w:type="auto"/>
            <w:vAlign w:val="center"/>
            <w:hideMark/>
          </w:tcPr>
          <w:p w14:paraId="7B884CD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269.21</w:t>
            </w:r>
          </w:p>
        </w:tc>
        <w:tc>
          <w:tcPr>
            <w:tcW w:w="0" w:type="auto"/>
            <w:vAlign w:val="center"/>
            <w:hideMark/>
          </w:tcPr>
          <w:p w14:paraId="36F845CC"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D9A626C" w14:textId="65FF720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114.41</w:t>
            </w:r>
          </w:p>
        </w:tc>
        <w:tc>
          <w:tcPr>
            <w:tcW w:w="0" w:type="auto"/>
            <w:vAlign w:val="center"/>
          </w:tcPr>
          <w:p w14:paraId="56BEB5BB" w14:textId="13C66C8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75.21</w:t>
            </w:r>
          </w:p>
        </w:tc>
        <w:tc>
          <w:tcPr>
            <w:tcW w:w="0" w:type="auto"/>
            <w:vAlign w:val="center"/>
          </w:tcPr>
          <w:p w14:paraId="6D4EA15F" w14:textId="3E3F60A6"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975.52</w:t>
            </w:r>
          </w:p>
        </w:tc>
        <w:tc>
          <w:tcPr>
            <w:tcW w:w="0" w:type="auto"/>
            <w:vAlign w:val="center"/>
          </w:tcPr>
          <w:p w14:paraId="7C919C90" w14:textId="411EFE82"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658.75</w:t>
            </w:r>
          </w:p>
        </w:tc>
        <w:tc>
          <w:tcPr>
            <w:tcW w:w="0" w:type="auto"/>
            <w:vAlign w:val="center"/>
            <w:hideMark/>
          </w:tcPr>
          <w:p w14:paraId="4BEB50E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D8BA907" w14:textId="40E7DD74"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56.28</w:t>
            </w:r>
          </w:p>
        </w:tc>
        <w:tc>
          <w:tcPr>
            <w:tcW w:w="0" w:type="auto"/>
            <w:vAlign w:val="center"/>
          </w:tcPr>
          <w:p w14:paraId="11E035BB" w14:textId="085DEDBB"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17A05A6" w14:textId="4F127BFD"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5.05</w:t>
            </w:r>
          </w:p>
        </w:tc>
        <w:tc>
          <w:tcPr>
            <w:tcW w:w="0" w:type="auto"/>
            <w:vAlign w:val="center"/>
            <w:hideMark/>
          </w:tcPr>
          <w:p w14:paraId="21378C6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B12B9EA"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6.00</w:t>
            </w:r>
          </w:p>
        </w:tc>
        <w:tc>
          <w:tcPr>
            <w:tcW w:w="0" w:type="auto"/>
            <w:vAlign w:val="center"/>
            <w:hideMark/>
          </w:tcPr>
          <w:p w14:paraId="4873261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0.70</w:t>
            </w:r>
          </w:p>
        </w:tc>
        <w:tc>
          <w:tcPr>
            <w:tcW w:w="0" w:type="auto"/>
            <w:vAlign w:val="center"/>
            <w:hideMark/>
          </w:tcPr>
          <w:p w14:paraId="04882EE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0.19</w:t>
            </w:r>
          </w:p>
        </w:tc>
        <w:tc>
          <w:tcPr>
            <w:tcW w:w="0" w:type="auto"/>
            <w:vAlign w:val="center"/>
            <w:hideMark/>
          </w:tcPr>
          <w:p w14:paraId="777CD7E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4.62</w:t>
            </w:r>
          </w:p>
        </w:tc>
        <w:tc>
          <w:tcPr>
            <w:tcW w:w="0" w:type="auto"/>
            <w:vAlign w:val="center"/>
            <w:hideMark/>
          </w:tcPr>
          <w:p w14:paraId="0B74377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48011F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03E0CB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1.60</w:t>
            </w:r>
          </w:p>
        </w:tc>
        <w:tc>
          <w:tcPr>
            <w:tcW w:w="0" w:type="auto"/>
            <w:vAlign w:val="center"/>
            <w:hideMark/>
          </w:tcPr>
          <w:p w14:paraId="277BB0F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2301.01</w:t>
            </w:r>
          </w:p>
        </w:tc>
      </w:tr>
      <w:tr w:rsidR="005A0C10" w:rsidRPr="00767C21" w14:paraId="375431CC" w14:textId="77777777" w:rsidTr="00C833DF">
        <w:trPr>
          <w:trHeight w:val="20"/>
        </w:trPr>
        <w:tc>
          <w:tcPr>
            <w:tcW w:w="2108" w:type="dxa"/>
            <w:vAlign w:val="center"/>
            <w:hideMark/>
          </w:tcPr>
          <w:p w14:paraId="7DA09654"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11. Kerala</w:t>
            </w:r>
          </w:p>
        </w:tc>
        <w:tc>
          <w:tcPr>
            <w:tcW w:w="606" w:type="dxa"/>
            <w:vAlign w:val="center"/>
            <w:hideMark/>
          </w:tcPr>
          <w:p w14:paraId="14B4139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B608A7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1AC74F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281.86</w:t>
            </w:r>
          </w:p>
        </w:tc>
        <w:tc>
          <w:tcPr>
            <w:tcW w:w="0" w:type="auto"/>
            <w:vAlign w:val="center"/>
            <w:hideMark/>
          </w:tcPr>
          <w:p w14:paraId="7010B026" w14:textId="206B8AB6"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252.03</w:t>
            </w:r>
          </w:p>
        </w:tc>
        <w:tc>
          <w:tcPr>
            <w:tcW w:w="0" w:type="auto"/>
            <w:vAlign w:val="center"/>
          </w:tcPr>
          <w:p w14:paraId="4B42A262" w14:textId="58B529C1"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23.70</w:t>
            </w:r>
          </w:p>
        </w:tc>
        <w:tc>
          <w:tcPr>
            <w:tcW w:w="0" w:type="auto"/>
            <w:vAlign w:val="center"/>
          </w:tcPr>
          <w:p w14:paraId="565C57C0" w14:textId="390FAF73"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317.32</w:t>
            </w:r>
          </w:p>
        </w:tc>
        <w:tc>
          <w:tcPr>
            <w:tcW w:w="0" w:type="auto"/>
            <w:vAlign w:val="center"/>
          </w:tcPr>
          <w:p w14:paraId="2F9F4BE6" w14:textId="241E42A7"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722.98</w:t>
            </w:r>
          </w:p>
        </w:tc>
        <w:tc>
          <w:tcPr>
            <w:tcW w:w="0" w:type="auto"/>
            <w:vAlign w:val="center"/>
            <w:hideMark/>
          </w:tcPr>
          <w:p w14:paraId="734D952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0.21</w:t>
            </w:r>
          </w:p>
        </w:tc>
        <w:tc>
          <w:tcPr>
            <w:tcW w:w="0" w:type="auto"/>
            <w:vAlign w:val="center"/>
            <w:hideMark/>
          </w:tcPr>
          <w:p w14:paraId="0260B764" w14:textId="1A278AE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68.91</w:t>
            </w:r>
          </w:p>
        </w:tc>
        <w:tc>
          <w:tcPr>
            <w:tcW w:w="0" w:type="auto"/>
            <w:vAlign w:val="center"/>
          </w:tcPr>
          <w:p w14:paraId="53683B4A" w14:textId="1675C872"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0B7560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10.08</w:t>
            </w:r>
          </w:p>
        </w:tc>
        <w:tc>
          <w:tcPr>
            <w:tcW w:w="0" w:type="auto"/>
            <w:vAlign w:val="center"/>
            <w:hideMark/>
          </w:tcPr>
          <w:p w14:paraId="746D559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178668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302349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1.05</w:t>
            </w:r>
          </w:p>
        </w:tc>
        <w:tc>
          <w:tcPr>
            <w:tcW w:w="0" w:type="auto"/>
            <w:vAlign w:val="center"/>
            <w:hideMark/>
          </w:tcPr>
          <w:p w14:paraId="26A76B4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0.41</w:t>
            </w:r>
          </w:p>
        </w:tc>
        <w:tc>
          <w:tcPr>
            <w:tcW w:w="0" w:type="auto"/>
            <w:vAlign w:val="center"/>
            <w:hideMark/>
          </w:tcPr>
          <w:p w14:paraId="7FCA688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3.51</w:t>
            </w:r>
          </w:p>
        </w:tc>
        <w:tc>
          <w:tcPr>
            <w:tcW w:w="0" w:type="auto"/>
            <w:vAlign w:val="center"/>
            <w:hideMark/>
          </w:tcPr>
          <w:p w14:paraId="131869D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0.01</w:t>
            </w:r>
          </w:p>
        </w:tc>
        <w:tc>
          <w:tcPr>
            <w:tcW w:w="0" w:type="auto"/>
            <w:vAlign w:val="center"/>
            <w:hideMark/>
          </w:tcPr>
          <w:p w14:paraId="2AA2424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DD5E62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1EB34C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1682.07</w:t>
            </w:r>
          </w:p>
        </w:tc>
      </w:tr>
      <w:tr w:rsidR="005A0C10" w:rsidRPr="00767C21" w14:paraId="03638D63" w14:textId="77777777" w:rsidTr="00F0262B">
        <w:trPr>
          <w:trHeight w:val="20"/>
        </w:trPr>
        <w:tc>
          <w:tcPr>
            <w:tcW w:w="2108" w:type="dxa"/>
            <w:vAlign w:val="center"/>
            <w:hideMark/>
          </w:tcPr>
          <w:p w14:paraId="34073CD9"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12. Madhya Pradesh</w:t>
            </w:r>
          </w:p>
        </w:tc>
        <w:tc>
          <w:tcPr>
            <w:tcW w:w="606" w:type="dxa"/>
            <w:vAlign w:val="center"/>
            <w:hideMark/>
          </w:tcPr>
          <w:p w14:paraId="14B6243B" w14:textId="2304CD94"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21.18</w:t>
            </w:r>
          </w:p>
        </w:tc>
        <w:tc>
          <w:tcPr>
            <w:tcW w:w="0" w:type="auto"/>
            <w:vAlign w:val="center"/>
          </w:tcPr>
          <w:p w14:paraId="2A98A548" w14:textId="0A8F7068"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D09775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F337F8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912.09</w:t>
            </w:r>
          </w:p>
        </w:tc>
        <w:tc>
          <w:tcPr>
            <w:tcW w:w="0" w:type="auto"/>
            <w:vAlign w:val="center"/>
            <w:hideMark/>
          </w:tcPr>
          <w:p w14:paraId="65AFFF6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73.01</w:t>
            </w:r>
          </w:p>
        </w:tc>
        <w:tc>
          <w:tcPr>
            <w:tcW w:w="0" w:type="auto"/>
            <w:vAlign w:val="center"/>
            <w:hideMark/>
          </w:tcPr>
          <w:p w14:paraId="2BE54C4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771.47</w:t>
            </w:r>
          </w:p>
        </w:tc>
        <w:tc>
          <w:tcPr>
            <w:tcW w:w="0" w:type="auto"/>
            <w:vAlign w:val="center"/>
            <w:hideMark/>
          </w:tcPr>
          <w:p w14:paraId="16AC65C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1205.82</w:t>
            </w:r>
          </w:p>
        </w:tc>
        <w:tc>
          <w:tcPr>
            <w:tcW w:w="0" w:type="auto"/>
            <w:vAlign w:val="center"/>
            <w:hideMark/>
          </w:tcPr>
          <w:p w14:paraId="233387FC"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AF499DA"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10.91</w:t>
            </w:r>
          </w:p>
        </w:tc>
        <w:tc>
          <w:tcPr>
            <w:tcW w:w="0" w:type="auto"/>
            <w:vAlign w:val="center"/>
            <w:hideMark/>
          </w:tcPr>
          <w:p w14:paraId="64BF08B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FBE9AD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E46163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83.62</w:t>
            </w:r>
          </w:p>
        </w:tc>
        <w:tc>
          <w:tcPr>
            <w:tcW w:w="0" w:type="auto"/>
            <w:vAlign w:val="center"/>
            <w:hideMark/>
          </w:tcPr>
          <w:p w14:paraId="01CE66F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6.00</w:t>
            </w:r>
          </w:p>
        </w:tc>
        <w:tc>
          <w:tcPr>
            <w:tcW w:w="0" w:type="auto"/>
            <w:vAlign w:val="center"/>
            <w:hideMark/>
          </w:tcPr>
          <w:p w14:paraId="664FD8C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1.73</w:t>
            </w:r>
          </w:p>
        </w:tc>
        <w:tc>
          <w:tcPr>
            <w:tcW w:w="0" w:type="auto"/>
            <w:vAlign w:val="center"/>
            <w:hideMark/>
          </w:tcPr>
          <w:p w14:paraId="203D4BF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0.86</w:t>
            </w:r>
          </w:p>
        </w:tc>
        <w:tc>
          <w:tcPr>
            <w:tcW w:w="0" w:type="auto"/>
            <w:vAlign w:val="center"/>
            <w:hideMark/>
          </w:tcPr>
          <w:p w14:paraId="6A97967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4.70</w:t>
            </w:r>
          </w:p>
        </w:tc>
        <w:tc>
          <w:tcPr>
            <w:tcW w:w="0" w:type="auto"/>
            <w:vAlign w:val="center"/>
            <w:hideMark/>
          </w:tcPr>
          <w:p w14:paraId="5473863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EF05D3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6350F8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0.30</w:t>
            </w:r>
          </w:p>
        </w:tc>
        <w:tc>
          <w:tcPr>
            <w:tcW w:w="0" w:type="auto"/>
            <w:vAlign w:val="center"/>
            <w:hideMark/>
          </w:tcPr>
          <w:p w14:paraId="0CA0798B" w14:textId="446684C8"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 xml:space="preserve">3091.69 </w:t>
            </w:r>
          </w:p>
        </w:tc>
      </w:tr>
      <w:tr w:rsidR="005A0C10" w:rsidRPr="00767C21" w14:paraId="7F009AA7" w14:textId="77777777" w:rsidTr="00F0262B">
        <w:trPr>
          <w:trHeight w:val="20"/>
        </w:trPr>
        <w:tc>
          <w:tcPr>
            <w:tcW w:w="2108" w:type="dxa"/>
            <w:vAlign w:val="center"/>
            <w:hideMark/>
          </w:tcPr>
          <w:p w14:paraId="1D33B1CF"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13. Maharashtra</w:t>
            </w:r>
          </w:p>
        </w:tc>
        <w:tc>
          <w:tcPr>
            <w:tcW w:w="606" w:type="dxa"/>
            <w:vAlign w:val="center"/>
            <w:hideMark/>
          </w:tcPr>
          <w:p w14:paraId="6339176E" w14:textId="0A4F5DFE"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500.21</w:t>
            </w:r>
          </w:p>
        </w:tc>
        <w:tc>
          <w:tcPr>
            <w:tcW w:w="0" w:type="auto"/>
            <w:vAlign w:val="center"/>
          </w:tcPr>
          <w:p w14:paraId="2044D0DF" w14:textId="3BD80672"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B0DC2CC"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9F6C00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305.13</w:t>
            </w:r>
          </w:p>
        </w:tc>
        <w:tc>
          <w:tcPr>
            <w:tcW w:w="0" w:type="auto"/>
            <w:vAlign w:val="center"/>
            <w:hideMark/>
          </w:tcPr>
          <w:p w14:paraId="7A31EE6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272.28</w:t>
            </w:r>
          </w:p>
        </w:tc>
        <w:tc>
          <w:tcPr>
            <w:tcW w:w="0" w:type="auto"/>
            <w:vAlign w:val="center"/>
            <w:hideMark/>
          </w:tcPr>
          <w:p w14:paraId="689332F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3583.24</w:t>
            </w:r>
          </w:p>
        </w:tc>
        <w:tc>
          <w:tcPr>
            <w:tcW w:w="0" w:type="auto"/>
            <w:vAlign w:val="center"/>
            <w:hideMark/>
          </w:tcPr>
          <w:p w14:paraId="72180AD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1176.34</w:t>
            </w:r>
          </w:p>
        </w:tc>
        <w:tc>
          <w:tcPr>
            <w:tcW w:w="0" w:type="auto"/>
            <w:vAlign w:val="center"/>
            <w:hideMark/>
          </w:tcPr>
          <w:p w14:paraId="5A1D765A"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0.14</w:t>
            </w:r>
          </w:p>
        </w:tc>
        <w:tc>
          <w:tcPr>
            <w:tcW w:w="0" w:type="auto"/>
            <w:vAlign w:val="center"/>
            <w:hideMark/>
          </w:tcPr>
          <w:p w14:paraId="37522EC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6.07</w:t>
            </w:r>
          </w:p>
        </w:tc>
        <w:tc>
          <w:tcPr>
            <w:tcW w:w="0" w:type="auto"/>
            <w:vAlign w:val="center"/>
            <w:hideMark/>
          </w:tcPr>
          <w:p w14:paraId="66D8E76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A3217DC"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ECA2AA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CD38A2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4.85</w:t>
            </w:r>
          </w:p>
        </w:tc>
        <w:tc>
          <w:tcPr>
            <w:tcW w:w="0" w:type="auto"/>
            <w:vAlign w:val="center"/>
            <w:hideMark/>
          </w:tcPr>
          <w:p w14:paraId="2A67140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1.62</w:t>
            </w:r>
          </w:p>
        </w:tc>
        <w:tc>
          <w:tcPr>
            <w:tcW w:w="0" w:type="auto"/>
            <w:vAlign w:val="center"/>
            <w:hideMark/>
          </w:tcPr>
          <w:p w14:paraId="4F78ADB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1.43</w:t>
            </w:r>
          </w:p>
        </w:tc>
        <w:tc>
          <w:tcPr>
            <w:tcW w:w="0" w:type="auto"/>
            <w:vAlign w:val="center"/>
            <w:hideMark/>
          </w:tcPr>
          <w:p w14:paraId="63ADC090"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7.88</w:t>
            </w:r>
          </w:p>
        </w:tc>
        <w:tc>
          <w:tcPr>
            <w:tcW w:w="0" w:type="auto"/>
            <w:vAlign w:val="center"/>
            <w:hideMark/>
          </w:tcPr>
          <w:p w14:paraId="1BC14827"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0.25</w:t>
            </w:r>
          </w:p>
        </w:tc>
        <w:tc>
          <w:tcPr>
            <w:tcW w:w="0" w:type="auto"/>
            <w:vAlign w:val="center"/>
            <w:hideMark/>
          </w:tcPr>
          <w:p w14:paraId="60F9D2F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B1F1C8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39750B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5859.44</w:t>
            </w:r>
          </w:p>
        </w:tc>
      </w:tr>
      <w:tr w:rsidR="005A0C10" w:rsidRPr="00767C21" w14:paraId="1B80CDB9" w14:textId="77777777" w:rsidTr="00F0262B">
        <w:trPr>
          <w:trHeight w:val="20"/>
        </w:trPr>
        <w:tc>
          <w:tcPr>
            <w:tcW w:w="2108" w:type="dxa"/>
            <w:vAlign w:val="center"/>
            <w:hideMark/>
          </w:tcPr>
          <w:p w14:paraId="5539E384"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14. Manipur</w:t>
            </w:r>
          </w:p>
        </w:tc>
        <w:tc>
          <w:tcPr>
            <w:tcW w:w="606" w:type="dxa"/>
            <w:vAlign w:val="center"/>
            <w:hideMark/>
          </w:tcPr>
          <w:p w14:paraId="28DA19B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21873D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F21D9F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0B31200" w14:textId="3FFD55CB"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47.03</w:t>
            </w:r>
          </w:p>
        </w:tc>
        <w:tc>
          <w:tcPr>
            <w:tcW w:w="0" w:type="auto"/>
            <w:vAlign w:val="center"/>
          </w:tcPr>
          <w:p w14:paraId="10C651DC" w14:textId="74D11F1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0.47</w:t>
            </w:r>
          </w:p>
        </w:tc>
        <w:tc>
          <w:tcPr>
            <w:tcW w:w="0" w:type="auto"/>
            <w:vAlign w:val="center"/>
          </w:tcPr>
          <w:p w14:paraId="233F1FD1" w14:textId="15A2A719"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4.92</w:t>
            </w:r>
          </w:p>
        </w:tc>
        <w:tc>
          <w:tcPr>
            <w:tcW w:w="0" w:type="auto"/>
            <w:vAlign w:val="center"/>
          </w:tcPr>
          <w:p w14:paraId="47B465EC" w14:textId="7190F074"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48.7</w:t>
            </w:r>
          </w:p>
        </w:tc>
        <w:tc>
          <w:tcPr>
            <w:tcW w:w="0" w:type="auto"/>
            <w:vAlign w:val="center"/>
            <w:hideMark/>
          </w:tcPr>
          <w:p w14:paraId="7C0D69A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99B8D9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43.64</w:t>
            </w:r>
          </w:p>
        </w:tc>
        <w:tc>
          <w:tcPr>
            <w:tcW w:w="0" w:type="auto"/>
            <w:vAlign w:val="center"/>
            <w:hideMark/>
          </w:tcPr>
          <w:p w14:paraId="4F93331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D1CE34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847414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09F322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652FBD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0.23</w:t>
            </w:r>
          </w:p>
        </w:tc>
        <w:tc>
          <w:tcPr>
            <w:tcW w:w="0" w:type="auto"/>
            <w:vAlign w:val="center"/>
            <w:hideMark/>
          </w:tcPr>
          <w:p w14:paraId="08938D58"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0.27</w:t>
            </w:r>
          </w:p>
        </w:tc>
        <w:tc>
          <w:tcPr>
            <w:tcW w:w="0" w:type="auto"/>
            <w:vAlign w:val="center"/>
            <w:hideMark/>
          </w:tcPr>
          <w:p w14:paraId="1FA22B9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0.05</w:t>
            </w:r>
          </w:p>
        </w:tc>
        <w:tc>
          <w:tcPr>
            <w:tcW w:w="0" w:type="auto"/>
            <w:vAlign w:val="center"/>
            <w:hideMark/>
          </w:tcPr>
          <w:p w14:paraId="2B6EB8F7"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0.01</w:t>
            </w:r>
          </w:p>
        </w:tc>
        <w:tc>
          <w:tcPr>
            <w:tcW w:w="0" w:type="auto"/>
            <w:vAlign w:val="center"/>
            <w:hideMark/>
          </w:tcPr>
          <w:p w14:paraId="51BA9A4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EBE22C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F49564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145.32</w:t>
            </w:r>
          </w:p>
        </w:tc>
      </w:tr>
      <w:tr w:rsidR="005A0C10" w:rsidRPr="00767C21" w14:paraId="59B18BCA" w14:textId="77777777" w:rsidTr="00F0262B">
        <w:trPr>
          <w:trHeight w:val="20"/>
        </w:trPr>
        <w:tc>
          <w:tcPr>
            <w:tcW w:w="2108" w:type="dxa"/>
            <w:vAlign w:val="center"/>
            <w:hideMark/>
          </w:tcPr>
          <w:p w14:paraId="3760EE73"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15. Meghalaya</w:t>
            </w:r>
          </w:p>
        </w:tc>
        <w:tc>
          <w:tcPr>
            <w:tcW w:w="606" w:type="dxa"/>
            <w:vAlign w:val="center"/>
            <w:hideMark/>
          </w:tcPr>
          <w:p w14:paraId="1CA88D1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93A7B7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3A017B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FBBA9BE" w14:textId="1BF139BC"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16.54</w:t>
            </w:r>
          </w:p>
        </w:tc>
        <w:tc>
          <w:tcPr>
            <w:tcW w:w="0" w:type="auto"/>
            <w:vAlign w:val="center"/>
          </w:tcPr>
          <w:p w14:paraId="6D6BB011" w14:textId="104097F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1.33</w:t>
            </w:r>
          </w:p>
        </w:tc>
        <w:tc>
          <w:tcPr>
            <w:tcW w:w="0" w:type="auto"/>
            <w:vAlign w:val="center"/>
          </w:tcPr>
          <w:p w14:paraId="574E7868" w14:textId="1913DC0B"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23.16</w:t>
            </w:r>
          </w:p>
        </w:tc>
        <w:tc>
          <w:tcPr>
            <w:tcW w:w="0" w:type="auto"/>
            <w:vAlign w:val="center"/>
          </w:tcPr>
          <w:p w14:paraId="786E0DE9" w14:textId="4104B032"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39.33</w:t>
            </w:r>
          </w:p>
        </w:tc>
        <w:tc>
          <w:tcPr>
            <w:tcW w:w="0" w:type="auto"/>
            <w:vAlign w:val="center"/>
            <w:hideMark/>
          </w:tcPr>
          <w:p w14:paraId="1994AAA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764AA7A"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8.21</w:t>
            </w:r>
          </w:p>
        </w:tc>
        <w:tc>
          <w:tcPr>
            <w:tcW w:w="0" w:type="auto"/>
            <w:vAlign w:val="center"/>
            <w:hideMark/>
          </w:tcPr>
          <w:p w14:paraId="6BECFF4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E0A5BD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E71926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60B6BA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0.50</w:t>
            </w:r>
          </w:p>
        </w:tc>
        <w:tc>
          <w:tcPr>
            <w:tcW w:w="0" w:type="auto"/>
            <w:vAlign w:val="center"/>
            <w:hideMark/>
          </w:tcPr>
          <w:p w14:paraId="4F2D38C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0.25</w:t>
            </w:r>
          </w:p>
        </w:tc>
        <w:tc>
          <w:tcPr>
            <w:tcW w:w="0" w:type="auto"/>
            <w:vAlign w:val="center"/>
            <w:hideMark/>
          </w:tcPr>
          <w:p w14:paraId="14E8586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0.21</w:t>
            </w:r>
          </w:p>
        </w:tc>
        <w:tc>
          <w:tcPr>
            <w:tcW w:w="0" w:type="auto"/>
            <w:vAlign w:val="center"/>
            <w:hideMark/>
          </w:tcPr>
          <w:p w14:paraId="30952C8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5DA3C9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052546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17BCE9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5B0C63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89.53</w:t>
            </w:r>
          </w:p>
        </w:tc>
      </w:tr>
      <w:tr w:rsidR="005A0C10" w:rsidRPr="00767C21" w14:paraId="67F5613A" w14:textId="77777777" w:rsidTr="00F0262B">
        <w:trPr>
          <w:trHeight w:val="20"/>
        </w:trPr>
        <w:tc>
          <w:tcPr>
            <w:tcW w:w="2108" w:type="dxa"/>
            <w:vAlign w:val="center"/>
            <w:hideMark/>
          </w:tcPr>
          <w:p w14:paraId="0B4CB3BB"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16. Mizoram</w:t>
            </w:r>
          </w:p>
        </w:tc>
        <w:tc>
          <w:tcPr>
            <w:tcW w:w="606" w:type="dxa"/>
            <w:vAlign w:val="center"/>
            <w:hideMark/>
          </w:tcPr>
          <w:p w14:paraId="1897BD4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044934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1D1C4E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77BDD2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5DF4DEC"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2BD3825"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01F9C03" w14:textId="072C5577"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143.86</w:t>
            </w:r>
          </w:p>
        </w:tc>
        <w:tc>
          <w:tcPr>
            <w:tcW w:w="0" w:type="auto"/>
            <w:vAlign w:val="center"/>
            <w:hideMark/>
          </w:tcPr>
          <w:p w14:paraId="0C16AAF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CA913F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D7046A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43.89</w:t>
            </w:r>
          </w:p>
        </w:tc>
        <w:tc>
          <w:tcPr>
            <w:tcW w:w="0" w:type="auto"/>
            <w:vAlign w:val="center"/>
            <w:hideMark/>
          </w:tcPr>
          <w:p w14:paraId="3753063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721BFB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4C40275"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E9F007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4E1DDC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804E6A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F10FDE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9E8E54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6B09947"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0.67</w:t>
            </w:r>
          </w:p>
        </w:tc>
        <w:tc>
          <w:tcPr>
            <w:tcW w:w="0" w:type="auto"/>
            <w:vAlign w:val="center"/>
            <w:hideMark/>
          </w:tcPr>
          <w:p w14:paraId="2FF5136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188.42</w:t>
            </w:r>
          </w:p>
        </w:tc>
      </w:tr>
      <w:tr w:rsidR="005A0C10" w:rsidRPr="00767C21" w14:paraId="07ACEA52" w14:textId="77777777" w:rsidTr="00F0262B">
        <w:trPr>
          <w:trHeight w:val="20"/>
        </w:trPr>
        <w:tc>
          <w:tcPr>
            <w:tcW w:w="2108" w:type="dxa"/>
            <w:vAlign w:val="center"/>
            <w:hideMark/>
          </w:tcPr>
          <w:p w14:paraId="4B9FEAFA"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17. Nagaland</w:t>
            </w:r>
          </w:p>
        </w:tc>
        <w:tc>
          <w:tcPr>
            <w:tcW w:w="606" w:type="dxa"/>
            <w:vAlign w:val="center"/>
            <w:hideMark/>
          </w:tcPr>
          <w:p w14:paraId="51064AC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9701CA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D07CA0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EDEFB9D" w14:textId="4484AE5D"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23.03</w:t>
            </w:r>
          </w:p>
        </w:tc>
        <w:tc>
          <w:tcPr>
            <w:tcW w:w="0" w:type="auto"/>
            <w:vAlign w:val="center"/>
          </w:tcPr>
          <w:p w14:paraId="1B6773EE" w14:textId="3121F9EE"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0.60</w:t>
            </w:r>
          </w:p>
        </w:tc>
        <w:tc>
          <w:tcPr>
            <w:tcW w:w="0" w:type="auto"/>
            <w:vAlign w:val="center"/>
          </w:tcPr>
          <w:p w14:paraId="6AD72648" w14:textId="7F7DF89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4.87</w:t>
            </w:r>
          </w:p>
        </w:tc>
        <w:tc>
          <w:tcPr>
            <w:tcW w:w="0" w:type="auto"/>
            <w:vAlign w:val="center"/>
          </w:tcPr>
          <w:p w14:paraId="5AE49A88" w14:textId="66995E82"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68.89</w:t>
            </w:r>
          </w:p>
        </w:tc>
        <w:tc>
          <w:tcPr>
            <w:tcW w:w="0" w:type="auto"/>
            <w:vAlign w:val="center"/>
            <w:hideMark/>
          </w:tcPr>
          <w:p w14:paraId="6E6A17E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7252B4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19.97</w:t>
            </w:r>
          </w:p>
        </w:tc>
        <w:tc>
          <w:tcPr>
            <w:tcW w:w="0" w:type="auto"/>
            <w:vAlign w:val="center"/>
            <w:hideMark/>
          </w:tcPr>
          <w:p w14:paraId="67FA1B9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15.39</w:t>
            </w:r>
          </w:p>
        </w:tc>
        <w:tc>
          <w:tcPr>
            <w:tcW w:w="0" w:type="auto"/>
            <w:vAlign w:val="center"/>
            <w:hideMark/>
          </w:tcPr>
          <w:p w14:paraId="0101066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F5FB77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60E61D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0CB717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0.23</w:t>
            </w:r>
          </w:p>
        </w:tc>
        <w:tc>
          <w:tcPr>
            <w:tcW w:w="0" w:type="auto"/>
            <w:vAlign w:val="center"/>
            <w:hideMark/>
          </w:tcPr>
          <w:p w14:paraId="77CDD9C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0.01</w:t>
            </w:r>
          </w:p>
        </w:tc>
        <w:tc>
          <w:tcPr>
            <w:tcW w:w="0" w:type="auto"/>
            <w:vAlign w:val="center"/>
            <w:hideMark/>
          </w:tcPr>
          <w:p w14:paraId="2F28431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6A2B22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A9A6CF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153534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4AE242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132.99</w:t>
            </w:r>
          </w:p>
        </w:tc>
      </w:tr>
      <w:tr w:rsidR="005A0C10" w:rsidRPr="00767C21" w14:paraId="712B5D83" w14:textId="77777777" w:rsidTr="00C833DF">
        <w:trPr>
          <w:trHeight w:val="20"/>
        </w:trPr>
        <w:tc>
          <w:tcPr>
            <w:tcW w:w="2108" w:type="dxa"/>
            <w:vAlign w:val="center"/>
            <w:hideMark/>
          </w:tcPr>
          <w:p w14:paraId="0FA60796"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18. Orissa</w:t>
            </w:r>
          </w:p>
        </w:tc>
        <w:tc>
          <w:tcPr>
            <w:tcW w:w="606" w:type="dxa"/>
            <w:vAlign w:val="center"/>
            <w:hideMark/>
          </w:tcPr>
          <w:p w14:paraId="6F7DB704" w14:textId="10DEC5F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112.71</w:t>
            </w:r>
          </w:p>
        </w:tc>
        <w:tc>
          <w:tcPr>
            <w:tcW w:w="0" w:type="auto"/>
            <w:vAlign w:val="center"/>
          </w:tcPr>
          <w:p w14:paraId="44E31721" w14:textId="4D5D485B"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146.87</w:t>
            </w:r>
          </w:p>
        </w:tc>
        <w:tc>
          <w:tcPr>
            <w:tcW w:w="0" w:type="auto"/>
            <w:vAlign w:val="center"/>
          </w:tcPr>
          <w:p w14:paraId="56FB1E6F" w14:textId="673519CC"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ACB732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756.27</w:t>
            </w:r>
          </w:p>
        </w:tc>
        <w:tc>
          <w:tcPr>
            <w:tcW w:w="0" w:type="auto"/>
            <w:vAlign w:val="center"/>
            <w:hideMark/>
          </w:tcPr>
          <w:p w14:paraId="6A0E399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49.10</w:t>
            </w:r>
          </w:p>
        </w:tc>
        <w:tc>
          <w:tcPr>
            <w:tcW w:w="0" w:type="auto"/>
            <w:vAlign w:val="center"/>
            <w:hideMark/>
          </w:tcPr>
          <w:p w14:paraId="3EC3871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296.93</w:t>
            </w:r>
          </w:p>
        </w:tc>
        <w:tc>
          <w:tcPr>
            <w:tcW w:w="0" w:type="auto"/>
            <w:vAlign w:val="center"/>
            <w:hideMark/>
          </w:tcPr>
          <w:p w14:paraId="6E22F45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782.42</w:t>
            </w:r>
          </w:p>
        </w:tc>
        <w:tc>
          <w:tcPr>
            <w:tcW w:w="0" w:type="auto"/>
            <w:vAlign w:val="center"/>
          </w:tcPr>
          <w:p w14:paraId="004251EE" w14:textId="57A54B0D"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B4DD8A7" w14:textId="7BC98B60"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19.13</w:t>
            </w:r>
          </w:p>
        </w:tc>
        <w:tc>
          <w:tcPr>
            <w:tcW w:w="0" w:type="auto"/>
            <w:vAlign w:val="center"/>
            <w:hideMark/>
          </w:tcPr>
          <w:p w14:paraId="447D333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221D3A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6C2928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17D0AF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5.00</w:t>
            </w:r>
          </w:p>
        </w:tc>
        <w:tc>
          <w:tcPr>
            <w:tcW w:w="0" w:type="auto"/>
            <w:vAlign w:val="center"/>
            <w:hideMark/>
          </w:tcPr>
          <w:p w14:paraId="151B1E4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1.05</w:t>
            </w:r>
          </w:p>
        </w:tc>
        <w:tc>
          <w:tcPr>
            <w:tcW w:w="0" w:type="auto"/>
            <w:vAlign w:val="center"/>
            <w:hideMark/>
          </w:tcPr>
          <w:p w14:paraId="4C6503C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0.46</w:t>
            </w:r>
          </w:p>
        </w:tc>
        <w:tc>
          <w:tcPr>
            <w:tcW w:w="0" w:type="auto"/>
            <w:vAlign w:val="center"/>
            <w:hideMark/>
          </w:tcPr>
          <w:p w14:paraId="5A4F94E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4.14</w:t>
            </w:r>
          </w:p>
        </w:tc>
        <w:tc>
          <w:tcPr>
            <w:tcW w:w="0" w:type="auto"/>
            <w:vAlign w:val="center"/>
            <w:hideMark/>
          </w:tcPr>
          <w:p w14:paraId="3A1156E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6400A6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80.80</w:t>
            </w:r>
          </w:p>
        </w:tc>
        <w:tc>
          <w:tcPr>
            <w:tcW w:w="0" w:type="auto"/>
            <w:vAlign w:val="center"/>
            <w:hideMark/>
          </w:tcPr>
          <w:p w14:paraId="21DCD30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F97E4A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1995.30</w:t>
            </w:r>
          </w:p>
        </w:tc>
      </w:tr>
      <w:tr w:rsidR="005A0C10" w:rsidRPr="00767C21" w14:paraId="2FAAE4C0" w14:textId="77777777" w:rsidTr="00C833DF">
        <w:trPr>
          <w:trHeight w:val="20"/>
        </w:trPr>
        <w:tc>
          <w:tcPr>
            <w:tcW w:w="2108" w:type="dxa"/>
            <w:vAlign w:val="center"/>
            <w:hideMark/>
          </w:tcPr>
          <w:p w14:paraId="27AF670C"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19. Punjab</w:t>
            </w:r>
          </w:p>
        </w:tc>
        <w:tc>
          <w:tcPr>
            <w:tcW w:w="606" w:type="dxa"/>
            <w:vAlign w:val="center"/>
            <w:hideMark/>
          </w:tcPr>
          <w:p w14:paraId="0F1105F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B1E769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AB8A95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9446B2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0D0AD2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47.10</w:t>
            </w:r>
          </w:p>
        </w:tc>
        <w:tc>
          <w:tcPr>
            <w:tcW w:w="0" w:type="auto"/>
            <w:vAlign w:val="center"/>
            <w:hideMark/>
          </w:tcPr>
          <w:p w14:paraId="108EE0F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788.60</w:t>
            </w:r>
          </w:p>
        </w:tc>
        <w:tc>
          <w:tcPr>
            <w:tcW w:w="0" w:type="auto"/>
            <w:vAlign w:val="center"/>
            <w:hideMark/>
          </w:tcPr>
          <w:p w14:paraId="545A62F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347.40</w:t>
            </w:r>
          </w:p>
        </w:tc>
        <w:tc>
          <w:tcPr>
            <w:tcW w:w="0" w:type="auto"/>
            <w:vAlign w:val="center"/>
          </w:tcPr>
          <w:p w14:paraId="19647A59" w14:textId="7B3D0916"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EB6597C" w14:textId="7DF4D26A"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28.53</w:t>
            </w:r>
          </w:p>
        </w:tc>
        <w:tc>
          <w:tcPr>
            <w:tcW w:w="0" w:type="auto"/>
            <w:vAlign w:val="center"/>
            <w:hideMark/>
          </w:tcPr>
          <w:p w14:paraId="7493C9E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4B4A2C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0D6088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2300.91</w:t>
            </w:r>
          </w:p>
        </w:tc>
        <w:tc>
          <w:tcPr>
            <w:tcW w:w="0" w:type="auto"/>
            <w:vAlign w:val="center"/>
            <w:hideMark/>
          </w:tcPr>
          <w:p w14:paraId="2E1136F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577B15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1.51</w:t>
            </w:r>
          </w:p>
        </w:tc>
        <w:tc>
          <w:tcPr>
            <w:tcW w:w="0" w:type="auto"/>
            <w:vAlign w:val="center"/>
            <w:hideMark/>
          </w:tcPr>
          <w:p w14:paraId="3BDA969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0.57</w:t>
            </w:r>
          </w:p>
        </w:tc>
        <w:tc>
          <w:tcPr>
            <w:tcW w:w="0" w:type="auto"/>
            <w:vAlign w:val="center"/>
            <w:hideMark/>
          </w:tcPr>
          <w:p w14:paraId="4BCF909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0.05</w:t>
            </w:r>
          </w:p>
        </w:tc>
        <w:tc>
          <w:tcPr>
            <w:tcW w:w="0" w:type="auto"/>
            <w:vAlign w:val="center"/>
            <w:hideMark/>
          </w:tcPr>
          <w:p w14:paraId="74EBE9F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97BB08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92EFD6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ABD6A7B"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3774.25</w:t>
            </w:r>
          </w:p>
        </w:tc>
      </w:tr>
      <w:tr w:rsidR="005A0C10" w:rsidRPr="00767C21" w14:paraId="0C21A4AD" w14:textId="77777777" w:rsidTr="00C833DF">
        <w:trPr>
          <w:trHeight w:val="20"/>
        </w:trPr>
        <w:tc>
          <w:tcPr>
            <w:tcW w:w="2108" w:type="dxa"/>
            <w:vAlign w:val="center"/>
            <w:hideMark/>
          </w:tcPr>
          <w:p w14:paraId="4A165B16"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20. Rajasthan</w:t>
            </w:r>
          </w:p>
        </w:tc>
        <w:tc>
          <w:tcPr>
            <w:tcW w:w="606" w:type="dxa"/>
            <w:vAlign w:val="center"/>
            <w:hideMark/>
          </w:tcPr>
          <w:p w14:paraId="56B143D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983872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5E6033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4175451" w14:textId="6DD53531"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1010.46</w:t>
            </w:r>
          </w:p>
        </w:tc>
        <w:tc>
          <w:tcPr>
            <w:tcW w:w="0" w:type="auto"/>
            <w:vAlign w:val="center"/>
          </w:tcPr>
          <w:p w14:paraId="5E0A6564" w14:textId="2766897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50.90</w:t>
            </w:r>
          </w:p>
        </w:tc>
        <w:tc>
          <w:tcPr>
            <w:tcW w:w="0" w:type="auto"/>
            <w:vAlign w:val="center"/>
          </w:tcPr>
          <w:p w14:paraId="4FE08F7C" w14:textId="23B587C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680.01</w:t>
            </w:r>
          </w:p>
        </w:tc>
        <w:tc>
          <w:tcPr>
            <w:tcW w:w="0" w:type="auto"/>
            <w:vAlign w:val="center"/>
          </w:tcPr>
          <w:p w14:paraId="74ED5FEF" w14:textId="067B5DA1"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1132.62</w:t>
            </w:r>
          </w:p>
        </w:tc>
        <w:tc>
          <w:tcPr>
            <w:tcW w:w="0" w:type="auto"/>
            <w:vAlign w:val="center"/>
            <w:hideMark/>
          </w:tcPr>
          <w:p w14:paraId="29B13DF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31.30</w:t>
            </w:r>
          </w:p>
        </w:tc>
        <w:tc>
          <w:tcPr>
            <w:tcW w:w="0" w:type="auto"/>
            <w:vAlign w:val="center"/>
            <w:hideMark/>
          </w:tcPr>
          <w:p w14:paraId="0FA257C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17.67</w:t>
            </w:r>
          </w:p>
        </w:tc>
        <w:tc>
          <w:tcPr>
            <w:tcW w:w="0" w:type="auto"/>
            <w:vAlign w:val="center"/>
            <w:hideMark/>
          </w:tcPr>
          <w:p w14:paraId="620DAE6D" w14:textId="5663299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20.87</w:t>
            </w:r>
          </w:p>
        </w:tc>
        <w:tc>
          <w:tcPr>
            <w:tcW w:w="0" w:type="auto"/>
            <w:vAlign w:val="center"/>
          </w:tcPr>
          <w:p w14:paraId="41E97C97" w14:textId="353F6803"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324.35</w:t>
            </w:r>
          </w:p>
        </w:tc>
        <w:tc>
          <w:tcPr>
            <w:tcW w:w="0" w:type="auto"/>
            <w:vAlign w:val="center"/>
          </w:tcPr>
          <w:p w14:paraId="355D8366" w14:textId="6D377CEF"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F86B20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8.00</w:t>
            </w:r>
          </w:p>
        </w:tc>
        <w:tc>
          <w:tcPr>
            <w:tcW w:w="0" w:type="auto"/>
            <w:vAlign w:val="center"/>
            <w:hideMark/>
          </w:tcPr>
          <w:p w14:paraId="4D68857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1.50</w:t>
            </w:r>
          </w:p>
        </w:tc>
        <w:tc>
          <w:tcPr>
            <w:tcW w:w="0" w:type="auto"/>
            <w:vAlign w:val="center"/>
            <w:hideMark/>
          </w:tcPr>
          <w:p w14:paraId="3DD42428"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0.95</w:t>
            </w:r>
          </w:p>
        </w:tc>
        <w:tc>
          <w:tcPr>
            <w:tcW w:w="0" w:type="auto"/>
            <w:vAlign w:val="center"/>
            <w:hideMark/>
          </w:tcPr>
          <w:p w14:paraId="0E7BDFC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3.26</w:t>
            </w:r>
          </w:p>
        </w:tc>
        <w:tc>
          <w:tcPr>
            <w:tcW w:w="0" w:type="auto"/>
            <w:vAlign w:val="center"/>
            <w:hideMark/>
          </w:tcPr>
          <w:p w14:paraId="4144DFE9"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A4EC8D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B7B6F6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0.21</w:t>
            </w:r>
          </w:p>
        </w:tc>
        <w:tc>
          <w:tcPr>
            <w:tcW w:w="0" w:type="auto"/>
            <w:vAlign w:val="center"/>
            <w:hideMark/>
          </w:tcPr>
          <w:p w14:paraId="196D2B4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3282.10</w:t>
            </w:r>
          </w:p>
        </w:tc>
      </w:tr>
      <w:tr w:rsidR="005A0C10" w:rsidRPr="00767C21" w14:paraId="1686C549" w14:textId="77777777" w:rsidTr="00F0262B">
        <w:trPr>
          <w:trHeight w:val="20"/>
        </w:trPr>
        <w:tc>
          <w:tcPr>
            <w:tcW w:w="2108" w:type="dxa"/>
            <w:vAlign w:val="center"/>
            <w:hideMark/>
          </w:tcPr>
          <w:p w14:paraId="01B73394"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21. Sikkim</w:t>
            </w:r>
          </w:p>
        </w:tc>
        <w:tc>
          <w:tcPr>
            <w:tcW w:w="606" w:type="dxa"/>
            <w:vAlign w:val="center"/>
            <w:hideMark/>
          </w:tcPr>
          <w:p w14:paraId="6C42671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A7AC62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3100E32"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9FD7A10" w14:textId="6F387A21"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14.27</w:t>
            </w:r>
          </w:p>
        </w:tc>
        <w:tc>
          <w:tcPr>
            <w:tcW w:w="0" w:type="auto"/>
            <w:vAlign w:val="center"/>
            <w:hideMark/>
          </w:tcPr>
          <w:p w14:paraId="0C40B938" w14:textId="3FD526A6"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A0E4122" w14:textId="12718C33"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2.90</w:t>
            </w:r>
          </w:p>
        </w:tc>
        <w:tc>
          <w:tcPr>
            <w:tcW w:w="0" w:type="auto"/>
            <w:vAlign w:val="center"/>
            <w:hideMark/>
          </w:tcPr>
          <w:p w14:paraId="7FE57A22" w14:textId="09CE879E"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27.42</w:t>
            </w:r>
          </w:p>
        </w:tc>
        <w:tc>
          <w:tcPr>
            <w:tcW w:w="0" w:type="auto"/>
            <w:vAlign w:val="center"/>
            <w:hideMark/>
          </w:tcPr>
          <w:p w14:paraId="7B0DEC2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0292673"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5B4EFE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96460D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AE4C00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4A67EF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0.30</w:t>
            </w:r>
          </w:p>
        </w:tc>
        <w:tc>
          <w:tcPr>
            <w:tcW w:w="0" w:type="auto"/>
            <w:vAlign w:val="center"/>
            <w:hideMark/>
          </w:tcPr>
          <w:p w14:paraId="0260AD3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0.19</w:t>
            </w:r>
          </w:p>
        </w:tc>
        <w:tc>
          <w:tcPr>
            <w:tcW w:w="0" w:type="auto"/>
            <w:vAlign w:val="center"/>
            <w:hideMark/>
          </w:tcPr>
          <w:p w14:paraId="51E192E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0.15</w:t>
            </w:r>
          </w:p>
        </w:tc>
        <w:tc>
          <w:tcPr>
            <w:tcW w:w="0" w:type="auto"/>
            <w:vAlign w:val="center"/>
            <w:hideMark/>
          </w:tcPr>
          <w:p w14:paraId="55CEBC02"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0.12</w:t>
            </w:r>
          </w:p>
        </w:tc>
        <w:tc>
          <w:tcPr>
            <w:tcW w:w="0" w:type="auto"/>
            <w:vAlign w:val="center"/>
            <w:hideMark/>
          </w:tcPr>
          <w:p w14:paraId="770F79C1"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7BEE9EF"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2214360"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0.01</w:t>
            </w:r>
          </w:p>
        </w:tc>
        <w:tc>
          <w:tcPr>
            <w:tcW w:w="0" w:type="auto"/>
            <w:vAlign w:val="center"/>
            <w:hideMark/>
          </w:tcPr>
          <w:p w14:paraId="312293A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45.36</w:t>
            </w:r>
          </w:p>
        </w:tc>
      </w:tr>
      <w:tr w:rsidR="005A0C10" w:rsidRPr="00767C21" w14:paraId="717ADE10" w14:textId="77777777" w:rsidTr="00F0262B">
        <w:trPr>
          <w:trHeight w:val="20"/>
        </w:trPr>
        <w:tc>
          <w:tcPr>
            <w:tcW w:w="2108" w:type="dxa"/>
            <w:vAlign w:val="center"/>
            <w:hideMark/>
          </w:tcPr>
          <w:p w14:paraId="4B4B38AB"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22. Tamil Nadu</w:t>
            </w:r>
          </w:p>
        </w:tc>
        <w:tc>
          <w:tcPr>
            <w:tcW w:w="606" w:type="dxa"/>
            <w:vAlign w:val="center"/>
            <w:hideMark/>
          </w:tcPr>
          <w:p w14:paraId="1FC9C5F9" w14:textId="3FB0AD0B"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494.34</w:t>
            </w:r>
          </w:p>
        </w:tc>
        <w:tc>
          <w:tcPr>
            <w:tcW w:w="0" w:type="auto"/>
            <w:vAlign w:val="center"/>
            <w:hideMark/>
          </w:tcPr>
          <w:p w14:paraId="1ABCB0BC" w14:textId="37793345"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3D4D68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73664F7" w14:textId="01A4DB3F"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98.57</w:t>
            </w:r>
          </w:p>
        </w:tc>
        <w:tc>
          <w:tcPr>
            <w:tcW w:w="0" w:type="auto"/>
            <w:vAlign w:val="center"/>
          </w:tcPr>
          <w:p w14:paraId="6CCC177E" w14:textId="2C7BB430"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123.03</w:t>
            </w:r>
          </w:p>
        </w:tc>
        <w:tc>
          <w:tcPr>
            <w:tcW w:w="0" w:type="auto"/>
            <w:vAlign w:val="center"/>
          </w:tcPr>
          <w:p w14:paraId="6CAE2CB7" w14:textId="20BC670A"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714.96</w:t>
            </w:r>
          </w:p>
        </w:tc>
        <w:tc>
          <w:tcPr>
            <w:tcW w:w="0" w:type="auto"/>
            <w:vAlign w:val="center"/>
          </w:tcPr>
          <w:p w14:paraId="70F650B4" w14:textId="5CE69C3D"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1016.44</w:t>
            </w:r>
          </w:p>
        </w:tc>
        <w:tc>
          <w:tcPr>
            <w:tcW w:w="0" w:type="auto"/>
            <w:vAlign w:val="center"/>
            <w:hideMark/>
          </w:tcPr>
          <w:p w14:paraId="2025743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2.94</w:t>
            </w:r>
          </w:p>
        </w:tc>
        <w:tc>
          <w:tcPr>
            <w:tcW w:w="0" w:type="auto"/>
            <w:vAlign w:val="center"/>
            <w:hideMark/>
          </w:tcPr>
          <w:p w14:paraId="57E807E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20.90</w:t>
            </w:r>
          </w:p>
        </w:tc>
        <w:tc>
          <w:tcPr>
            <w:tcW w:w="0" w:type="auto"/>
            <w:vAlign w:val="center"/>
            <w:hideMark/>
          </w:tcPr>
          <w:p w14:paraId="7B83B295"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666E88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4F35A3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6D7A06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4932704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2.57</w:t>
            </w:r>
          </w:p>
        </w:tc>
        <w:tc>
          <w:tcPr>
            <w:tcW w:w="0" w:type="auto"/>
            <w:vAlign w:val="center"/>
            <w:hideMark/>
          </w:tcPr>
          <w:p w14:paraId="2F0954CA"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1.13</w:t>
            </w:r>
          </w:p>
        </w:tc>
        <w:tc>
          <w:tcPr>
            <w:tcW w:w="0" w:type="auto"/>
            <w:vAlign w:val="center"/>
            <w:hideMark/>
          </w:tcPr>
          <w:p w14:paraId="1406A7C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7.05</w:t>
            </w:r>
          </w:p>
        </w:tc>
        <w:tc>
          <w:tcPr>
            <w:tcW w:w="0" w:type="auto"/>
            <w:vAlign w:val="center"/>
            <w:hideMark/>
          </w:tcPr>
          <w:p w14:paraId="5E5FEB7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0DA04F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6FD101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13.50</w:t>
            </w:r>
          </w:p>
        </w:tc>
        <w:tc>
          <w:tcPr>
            <w:tcW w:w="0" w:type="auto"/>
            <w:vAlign w:val="center"/>
            <w:hideMark/>
          </w:tcPr>
          <w:p w14:paraId="155ED0B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2495.43</w:t>
            </w:r>
          </w:p>
        </w:tc>
      </w:tr>
      <w:tr w:rsidR="005A0C10" w:rsidRPr="00767C21" w14:paraId="61C1BE5C" w14:textId="77777777" w:rsidTr="00F0262B">
        <w:trPr>
          <w:trHeight w:val="20"/>
        </w:trPr>
        <w:tc>
          <w:tcPr>
            <w:tcW w:w="2108" w:type="dxa"/>
            <w:vAlign w:val="center"/>
            <w:hideMark/>
          </w:tcPr>
          <w:p w14:paraId="11A6123D"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23. Tripura</w:t>
            </w:r>
          </w:p>
        </w:tc>
        <w:tc>
          <w:tcPr>
            <w:tcW w:w="606" w:type="dxa"/>
            <w:vAlign w:val="center"/>
            <w:hideMark/>
          </w:tcPr>
          <w:p w14:paraId="2B165C8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3E904AF" w14:textId="297ECE9A"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14.40</w:t>
            </w:r>
          </w:p>
        </w:tc>
        <w:tc>
          <w:tcPr>
            <w:tcW w:w="0" w:type="auto"/>
            <w:vAlign w:val="center"/>
            <w:hideMark/>
          </w:tcPr>
          <w:p w14:paraId="6D656C49" w14:textId="3A4CA5BB"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6F82DFE" w14:textId="4D462A9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7.68</w:t>
            </w:r>
          </w:p>
        </w:tc>
        <w:tc>
          <w:tcPr>
            <w:tcW w:w="0" w:type="auto"/>
            <w:vAlign w:val="center"/>
          </w:tcPr>
          <w:p w14:paraId="5A0964AE" w14:textId="17DCC5B0"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1.40</w:t>
            </w:r>
          </w:p>
        </w:tc>
        <w:tc>
          <w:tcPr>
            <w:tcW w:w="0" w:type="auto"/>
            <w:vAlign w:val="center"/>
          </w:tcPr>
          <w:p w14:paraId="35684745" w14:textId="0B98BAD2"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26.82</w:t>
            </w:r>
          </w:p>
        </w:tc>
        <w:tc>
          <w:tcPr>
            <w:tcW w:w="0" w:type="auto"/>
            <w:vAlign w:val="center"/>
          </w:tcPr>
          <w:p w14:paraId="7C82F6A8" w14:textId="66633227"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52.8</w:t>
            </w:r>
          </w:p>
        </w:tc>
        <w:tc>
          <w:tcPr>
            <w:tcW w:w="0" w:type="auto"/>
            <w:vAlign w:val="center"/>
            <w:hideMark/>
          </w:tcPr>
          <w:p w14:paraId="1F7DA9B0"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32E378F0"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15.36</w:t>
            </w:r>
          </w:p>
        </w:tc>
        <w:tc>
          <w:tcPr>
            <w:tcW w:w="0" w:type="auto"/>
            <w:vAlign w:val="center"/>
            <w:hideMark/>
          </w:tcPr>
          <w:p w14:paraId="5BA36B4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7573F5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925971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22226D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0.30</w:t>
            </w:r>
          </w:p>
        </w:tc>
        <w:tc>
          <w:tcPr>
            <w:tcW w:w="0" w:type="auto"/>
            <w:vAlign w:val="center"/>
            <w:hideMark/>
          </w:tcPr>
          <w:p w14:paraId="43381B7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0.21</w:t>
            </w:r>
          </w:p>
        </w:tc>
        <w:tc>
          <w:tcPr>
            <w:tcW w:w="0" w:type="auto"/>
            <w:vAlign w:val="center"/>
            <w:hideMark/>
          </w:tcPr>
          <w:p w14:paraId="5A832BA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0.02</w:t>
            </w:r>
          </w:p>
        </w:tc>
        <w:tc>
          <w:tcPr>
            <w:tcW w:w="0" w:type="auto"/>
            <w:vAlign w:val="center"/>
            <w:hideMark/>
          </w:tcPr>
          <w:p w14:paraId="752F7E8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0.02</w:t>
            </w:r>
          </w:p>
        </w:tc>
        <w:tc>
          <w:tcPr>
            <w:tcW w:w="0" w:type="auto"/>
            <w:vAlign w:val="center"/>
            <w:hideMark/>
          </w:tcPr>
          <w:p w14:paraId="3A1737AD"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27BFA7EA"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E997B18"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11445A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119.01</w:t>
            </w:r>
          </w:p>
        </w:tc>
      </w:tr>
      <w:tr w:rsidR="005A0C10" w:rsidRPr="00767C21" w14:paraId="0CD798B1" w14:textId="77777777" w:rsidTr="00C833DF">
        <w:trPr>
          <w:trHeight w:val="20"/>
        </w:trPr>
        <w:tc>
          <w:tcPr>
            <w:tcW w:w="2108" w:type="dxa"/>
            <w:vAlign w:val="center"/>
            <w:hideMark/>
          </w:tcPr>
          <w:p w14:paraId="60B0B852"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24. Uttar Pradesh</w:t>
            </w:r>
          </w:p>
        </w:tc>
        <w:tc>
          <w:tcPr>
            <w:tcW w:w="606" w:type="dxa"/>
            <w:vAlign w:val="center"/>
            <w:hideMark/>
          </w:tcPr>
          <w:p w14:paraId="769C070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AC60D80" w14:textId="344EE99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7B00DAD0" w14:textId="52641025"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1951.90</w:t>
            </w:r>
          </w:p>
        </w:tc>
        <w:tc>
          <w:tcPr>
            <w:tcW w:w="0" w:type="auto"/>
            <w:vAlign w:val="center"/>
            <w:hideMark/>
          </w:tcPr>
          <w:p w14:paraId="6AD74C4E"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0973828"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310.84</w:t>
            </w:r>
          </w:p>
        </w:tc>
        <w:tc>
          <w:tcPr>
            <w:tcW w:w="0" w:type="auto"/>
            <w:vAlign w:val="center"/>
            <w:hideMark/>
          </w:tcPr>
          <w:p w14:paraId="24523F0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2499.60</w:t>
            </w:r>
          </w:p>
        </w:tc>
        <w:tc>
          <w:tcPr>
            <w:tcW w:w="0" w:type="auto"/>
            <w:vAlign w:val="center"/>
            <w:hideMark/>
          </w:tcPr>
          <w:p w14:paraId="0249E4D7"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2662.24</w:t>
            </w:r>
          </w:p>
        </w:tc>
        <w:tc>
          <w:tcPr>
            <w:tcW w:w="0" w:type="auto"/>
            <w:vAlign w:val="center"/>
            <w:hideMark/>
          </w:tcPr>
          <w:p w14:paraId="1A4CCD3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0.37</w:t>
            </w:r>
          </w:p>
        </w:tc>
        <w:tc>
          <w:tcPr>
            <w:tcW w:w="0" w:type="auto"/>
            <w:vAlign w:val="center"/>
            <w:hideMark/>
          </w:tcPr>
          <w:p w14:paraId="0F69009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77.62</w:t>
            </w:r>
          </w:p>
        </w:tc>
        <w:tc>
          <w:tcPr>
            <w:tcW w:w="0" w:type="auto"/>
            <w:vAlign w:val="center"/>
            <w:hideMark/>
          </w:tcPr>
          <w:p w14:paraId="4A4832EA" w14:textId="06576196"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21.00</w:t>
            </w:r>
          </w:p>
        </w:tc>
        <w:tc>
          <w:tcPr>
            <w:tcW w:w="0" w:type="auto"/>
            <w:vAlign w:val="center"/>
          </w:tcPr>
          <w:p w14:paraId="4ED60C3B" w14:textId="614766C5"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2.15</w:t>
            </w:r>
          </w:p>
        </w:tc>
        <w:tc>
          <w:tcPr>
            <w:tcW w:w="0" w:type="auto"/>
            <w:vAlign w:val="center"/>
          </w:tcPr>
          <w:p w14:paraId="04A00961" w14:textId="54A14768"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A948ED4"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60.00</w:t>
            </w:r>
          </w:p>
        </w:tc>
        <w:tc>
          <w:tcPr>
            <w:tcW w:w="0" w:type="auto"/>
            <w:vAlign w:val="center"/>
            <w:hideMark/>
          </w:tcPr>
          <w:p w14:paraId="00382486"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2.22</w:t>
            </w:r>
          </w:p>
        </w:tc>
        <w:tc>
          <w:tcPr>
            <w:tcW w:w="0" w:type="auto"/>
            <w:vAlign w:val="center"/>
            <w:hideMark/>
          </w:tcPr>
          <w:p w14:paraId="04DDE36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2.53</w:t>
            </w:r>
          </w:p>
        </w:tc>
        <w:tc>
          <w:tcPr>
            <w:tcW w:w="0" w:type="auto"/>
            <w:vAlign w:val="center"/>
            <w:hideMark/>
          </w:tcPr>
          <w:p w14:paraId="4F6A8FA9"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12.21</w:t>
            </w:r>
          </w:p>
        </w:tc>
        <w:tc>
          <w:tcPr>
            <w:tcW w:w="0" w:type="auto"/>
            <w:vAlign w:val="center"/>
            <w:hideMark/>
          </w:tcPr>
          <w:p w14:paraId="46161E0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0.80</w:t>
            </w:r>
          </w:p>
        </w:tc>
        <w:tc>
          <w:tcPr>
            <w:tcW w:w="0" w:type="auto"/>
            <w:vAlign w:val="center"/>
            <w:hideMark/>
          </w:tcPr>
          <w:p w14:paraId="598B8946"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591E373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0.22</w:t>
            </w:r>
          </w:p>
        </w:tc>
        <w:tc>
          <w:tcPr>
            <w:tcW w:w="0" w:type="auto"/>
            <w:vAlign w:val="center"/>
            <w:hideMark/>
          </w:tcPr>
          <w:p w14:paraId="773A262E"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7603.70</w:t>
            </w:r>
          </w:p>
        </w:tc>
      </w:tr>
      <w:tr w:rsidR="005A0C10" w:rsidRPr="00767C21" w14:paraId="48BB9060" w14:textId="77777777" w:rsidTr="00F0262B">
        <w:trPr>
          <w:trHeight w:val="20"/>
        </w:trPr>
        <w:tc>
          <w:tcPr>
            <w:tcW w:w="2108" w:type="dxa"/>
            <w:vAlign w:val="center"/>
            <w:hideMark/>
          </w:tcPr>
          <w:p w14:paraId="46097A05" w14:textId="77777777" w:rsidR="005A0C10" w:rsidRPr="00767C21" w:rsidRDefault="005A0C10" w:rsidP="005A0C10">
            <w:pPr>
              <w:pStyle w:val="NoSpacing"/>
              <w:rPr>
                <w:rFonts w:ascii="Times New Roman" w:hAnsi="Times New Roman" w:cs="Times New Roman"/>
                <w:sz w:val="12"/>
                <w:szCs w:val="12"/>
              </w:rPr>
            </w:pPr>
            <w:r w:rsidRPr="00767C21">
              <w:rPr>
                <w:rFonts w:ascii="Times New Roman" w:hAnsi="Times New Roman" w:cs="Times New Roman"/>
                <w:sz w:val="12"/>
                <w:szCs w:val="12"/>
              </w:rPr>
              <w:t>25. West Bengal</w:t>
            </w:r>
          </w:p>
        </w:tc>
        <w:tc>
          <w:tcPr>
            <w:tcW w:w="606" w:type="dxa"/>
            <w:vAlign w:val="center"/>
            <w:hideMark/>
          </w:tcPr>
          <w:p w14:paraId="749AE2BC"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108.00</w:t>
            </w:r>
          </w:p>
        </w:tc>
        <w:tc>
          <w:tcPr>
            <w:tcW w:w="0" w:type="auto"/>
            <w:vAlign w:val="center"/>
            <w:hideMark/>
          </w:tcPr>
          <w:p w14:paraId="74F94D17" w14:textId="364157F0"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B0F62DE" w14:textId="03D770E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503.38</w:t>
            </w:r>
          </w:p>
        </w:tc>
        <w:tc>
          <w:tcPr>
            <w:tcW w:w="0" w:type="auto"/>
            <w:vAlign w:val="center"/>
            <w:hideMark/>
          </w:tcPr>
          <w:p w14:paraId="3850ADB3" w14:textId="5F8AA3C2"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370.30</w:t>
            </w:r>
          </w:p>
        </w:tc>
        <w:tc>
          <w:tcPr>
            <w:tcW w:w="0" w:type="auto"/>
            <w:vAlign w:val="center"/>
          </w:tcPr>
          <w:p w14:paraId="0A2477B5" w14:textId="64B9304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315.96</w:t>
            </w:r>
          </w:p>
        </w:tc>
        <w:tc>
          <w:tcPr>
            <w:tcW w:w="0" w:type="auto"/>
            <w:vAlign w:val="center"/>
          </w:tcPr>
          <w:p w14:paraId="34111FC4" w14:textId="2F7DF5BA"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2402.49</w:t>
            </w:r>
          </w:p>
        </w:tc>
        <w:tc>
          <w:tcPr>
            <w:tcW w:w="0" w:type="auto"/>
            <w:vAlign w:val="center"/>
          </w:tcPr>
          <w:p w14:paraId="0FFC60D9" w14:textId="6A6048CA" w:rsidR="005A0C10" w:rsidRPr="00767C21" w:rsidRDefault="005A0C10" w:rsidP="005A0C10">
            <w:pPr>
              <w:pStyle w:val="NoSpacing"/>
              <w:jc w:val="center"/>
              <w:rPr>
                <w:rFonts w:ascii="Times New Roman" w:hAnsi="Times New Roman" w:cs="Times New Roman"/>
                <w:sz w:val="12"/>
                <w:szCs w:val="12"/>
              </w:rPr>
            </w:pPr>
            <w:r>
              <w:rPr>
                <w:rFonts w:ascii="Times New Roman" w:hAnsi="Times New Roman" w:cs="Times New Roman"/>
                <w:sz w:val="12"/>
                <w:szCs w:val="12"/>
              </w:rPr>
              <w:t>647.93</w:t>
            </w:r>
          </w:p>
        </w:tc>
        <w:tc>
          <w:tcPr>
            <w:tcW w:w="0" w:type="auto"/>
            <w:vAlign w:val="center"/>
            <w:hideMark/>
          </w:tcPr>
          <w:p w14:paraId="3002EA33"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1.85</w:t>
            </w:r>
          </w:p>
        </w:tc>
        <w:tc>
          <w:tcPr>
            <w:tcW w:w="0" w:type="auto"/>
            <w:vAlign w:val="center"/>
            <w:hideMark/>
          </w:tcPr>
          <w:p w14:paraId="7ADF8635"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66.24</w:t>
            </w:r>
          </w:p>
        </w:tc>
        <w:tc>
          <w:tcPr>
            <w:tcW w:w="0" w:type="auto"/>
            <w:vAlign w:val="center"/>
            <w:hideMark/>
          </w:tcPr>
          <w:p w14:paraId="6C2C9DBB"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6AC0027"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0F8E9D5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6D366C17"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13.05</w:t>
            </w:r>
          </w:p>
        </w:tc>
        <w:tc>
          <w:tcPr>
            <w:tcW w:w="0" w:type="auto"/>
            <w:vAlign w:val="center"/>
            <w:hideMark/>
          </w:tcPr>
          <w:p w14:paraId="5BDDA09F"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1.55</w:t>
            </w:r>
          </w:p>
        </w:tc>
        <w:tc>
          <w:tcPr>
            <w:tcW w:w="0" w:type="auto"/>
            <w:vAlign w:val="center"/>
            <w:hideMark/>
          </w:tcPr>
          <w:p w14:paraId="6067CDC0"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0.79</w:t>
            </w:r>
          </w:p>
        </w:tc>
        <w:tc>
          <w:tcPr>
            <w:tcW w:w="0" w:type="auto"/>
            <w:vAlign w:val="center"/>
            <w:hideMark/>
          </w:tcPr>
          <w:p w14:paraId="094D1E5D"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5.53</w:t>
            </w:r>
          </w:p>
        </w:tc>
        <w:tc>
          <w:tcPr>
            <w:tcW w:w="0" w:type="auto"/>
            <w:vAlign w:val="center"/>
            <w:hideMark/>
          </w:tcPr>
          <w:p w14:paraId="6E92809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0.15</w:t>
            </w:r>
          </w:p>
        </w:tc>
        <w:tc>
          <w:tcPr>
            <w:tcW w:w="0" w:type="auto"/>
            <w:vAlign w:val="center"/>
            <w:hideMark/>
          </w:tcPr>
          <w:p w14:paraId="055B3004" w14:textId="77777777" w:rsidR="005A0C10" w:rsidRPr="00767C21" w:rsidRDefault="005A0C10" w:rsidP="005A0C10">
            <w:pPr>
              <w:pStyle w:val="NoSpacing"/>
              <w:jc w:val="center"/>
              <w:rPr>
                <w:rFonts w:ascii="Times New Roman" w:hAnsi="Times New Roman" w:cs="Times New Roman"/>
                <w:sz w:val="12"/>
                <w:szCs w:val="12"/>
              </w:rPr>
            </w:pPr>
          </w:p>
        </w:tc>
        <w:tc>
          <w:tcPr>
            <w:tcW w:w="0" w:type="auto"/>
            <w:vAlign w:val="center"/>
            <w:hideMark/>
          </w:tcPr>
          <w:p w14:paraId="164DCE51" w14:textId="0AC1B5C2"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111.14</w:t>
            </w:r>
          </w:p>
        </w:tc>
        <w:tc>
          <w:tcPr>
            <w:tcW w:w="0" w:type="auto"/>
            <w:vAlign w:val="center"/>
            <w:hideMark/>
          </w:tcPr>
          <w:p w14:paraId="41F0AA21" w14:textId="77777777" w:rsidR="005A0C10" w:rsidRPr="00767C21" w:rsidRDefault="005A0C10" w:rsidP="005A0C10">
            <w:pPr>
              <w:pStyle w:val="NoSpacing"/>
              <w:jc w:val="center"/>
              <w:rPr>
                <w:rFonts w:ascii="Times New Roman" w:hAnsi="Times New Roman" w:cs="Times New Roman"/>
                <w:sz w:val="12"/>
                <w:szCs w:val="12"/>
              </w:rPr>
            </w:pPr>
            <w:r w:rsidRPr="00767C21">
              <w:rPr>
                <w:rFonts w:ascii="Times New Roman" w:hAnsi="Times New Roman" w:cs="Times New Roman"/>
                <w:sz w:val="12"/>
                <w:szCs w:val="12"/>
              </w:rPr>
              <w:t>4548.36</w:t>
            </w:r>
          </w:p>
        </w:tc>
      </w:tr>
      <w:tr w:rsidR="005A0C10" w:rsidRPr="00767C21" w14:paraId="41A7A121" w14:textId="77777777" w:rsidTr="00F0262B">
        <w:trPr>
          <w:trHeight w:val="20"/>
        </w:trPr>
        <w:tc>
          <w:tcPr>
            <w:tcW w:w="2108" w:type="dxa"/>
            <w:vAlign w:val="center"/>
            <w:hideMark/>
          </w:tcPr>
          <w:p w14:paraId="5E9E8B4A" w14:textId="77777777" w:rsidR="005A0C10" w:rsidRPr="00767C21" w:rsidRDefault="005A0C10" w:rsidP="005A0C10">
            <w:pPr>
              <w:pStyle w:val="NoSpacing"/>
              <w:rPr>
                <w:rFonts w:ascii="Times New Roman" w:hAnsi="Times New Roman" w:cs="Times New Roman"/>
                <w:b/>
                <w:bCs/>
                <w:sz w:val="12"/>
                <w:szCs w:val="12"/>
              </w:rPr>
            </w:pPr>
            <w:r w:rsidRPr="00767C21">
              <w:rPr>
                <w:rFonts w:ascii="Times New Roman" w:hAnsi="Times New Roman" w:cs="Times New Roman"/>
                <w:b/>
                <w:bCs/>
                <w:sz w:val="12"/>
                <w:szCs w:val="12"/>
              </w:rPr>
              <w:t>TOTAL</w:t>
            </w:r>
          </w:p>
        </w:tc>
        <w:tc>
          <w:tcPr>
            <w:tcW w:w="606" w:type="dxa"/>
            <w:vAlign w:val="center"/>
            <w:hideMark/>
          </w:tcPr>
          <w:p w14:paraId="03527C9D"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1650.61</w:t>
            </w:r>
          </w:p>
        </w:tc>
        <w:tc>
          <w:tcPr>
            <w:tcW w:w="0" w:type="auto"/>
            <w:vAlign w:val="center"/>
            <w:hideMark/>
          </w:tcPr>
          <w:p w14:paraId="0E8347A3"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430.48</w:t>
            </w:r>
          </w:p>
        </w:tc>
        <w:tc>
          <w:tcPr>
            <w:tcW w:w="0" w:type="auto"/>
            <w:vAlign w:val="center"/>
            <w:hideMark/>
          </w:tcPr>
          <w:p w14:paraId="5D5FFF53"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2883.68</w:t>
            </w:r>
          </w:p>
        </w:tc>
        <w:tc>
          <w:tcPr>
            <w:tcW w:w="0" w:type="auto"/>
            <w:vAlign w:val="center"/>
            <w:hideMark/>
          </w:tcPr>
          <w:p w14:paraId="46D2EC18"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8357.15</w:t>
            </w:r>
          </w:p>
        </w:tc>
        <w:tc>
          <w:tcPr>
            <w:tcW w:w="0" w:type="auto"/>
            <w:vAlign w:val="center"/>
            <w:hideMark/>
          </w:tcPr>
          <w:p w14:paraId="24B81F80"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1850.69</w:t>
            </w:r>
          </w:p>
        </w:tc>
        <w:tc>
          <w:tcPr>
            <w:tcW w:w="0" w:type="auto"/>
            <w:vAlign w:val="center"/>
            <w:hideMark/>
          </w:tcPr>
          <w:p w14:paraId="469D2F9E"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18494.35</w:t>
            </w:r>
          </w:p>
        </w:tc>
        <w:tc>
          <w:tcPr>
            <w:tcW w:w="0" w:type="auto"/>
            <w:vAlign w:val="center"/>
            <w:hideMark/>
          </w:tcPr>
          <w:p w14:paraId="17388A21" w14:textId="77777777"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17955.24</w:t>
            </w:r>
          </w:p>
        </w:tc>
        <w:tc>
          <w:tcPr>
            <w:tcW w:w="0" w:type="auto"/>
            <w:vAlign w:val="center"/>
          </w:tcPr>
          <w:p w14:paraId="0284C148" w14:textId="5C4E6BD0"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39.94</w:t>
            </w:r>
          </w:p>
        </w:tc>
        <w:tc>
          <w:tcPr>
            <w:tcW w:w="0" w:type="auto"/>
            <w:vAlign w:val="center"/>
          </w:tcPr>
          <w:p w14:paraId="39F78B59" w14:textId="478B0119"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696.65</w:t>
            </w:r>
          </w:p>
        </w:tc>
        <w:tc>
          <w:tcPr>
            <w:tcW w:w="0" w:type="auto"/>
            <w:vAlign w:val="center"/>
          </w:tcPr>
          <w:p w14:paraId="68A9A4E8" w14:textId="3AB6038F"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248.34</w:t>
            </w:r>
          </w:p>
        </w:tc>
        <w:tc>
          <w:tcPr>
            <w:tcW w:w="0" w:type="auto"/>
            <w:vAlign w:val="center"/>
          </w:tcPr>
          <w:p w14:paraId="4F284560" w14:textId="73B358DE"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519.57</w:t>
            </w:r>
          </w:p>
        </w:tc>
        <w:tc>
          <w:tcPr>
            <w:tcW w:w="0" w:type="auto"/>
            <w:vAlign w:val="center"/>
          </w:tcPr>
          <w:p w14:paraId="56FA5FB2" w14:textId="42652746"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2384.53</w:t>
            </w:r>
          </w:p>
        </w:tc>
        <w:tc>
          <w:tcPr>
            <w:tcW w:w="0" w:type="auto"/>
            <w:vAlign w:val="center"/>
          </w:tcPr>
          <w:p w14:paraId="5E36181D" w14:textId="3DA06E30"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199.76</w:t>
            </w:r>
          </w:p>
        </w:tc>
        <w:tc>
          <w:tcPr>
            <w:tcW w:w="0" w:type="auto"/>
            <w:vAlign w:val="center"/>
          </w:tcPr>
          <w:p w14:paraId="5C47F251" w14:textId="4EB00566"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24.58</w:t>
            </w:r>
          </w:p>
        </w:tc>
        <w:tc>
          <w:tcPr>
            <w:tcW w:w="0" w:type="auto"/>
            <w:vAlign w:val="center"/>
          </w:tcPr>
          <w:p w14:paraId="4F27E8D6" w14:textId="51CBEB5A"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16.13</w:t>
            </w:r>
          </w:p>
        </w:tc>
        <w:tc>
          <w:tcPr>
            <w:tcW w:w="0" w:type="auto"/>
            <w:vAlign w:val="center"/>
          </w:tcPr>
          <w:p w14:paraId="491C4AA9" w14:textId="1710B89C"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67.16</w:t>
            </w:r>
          </w:p>
        </w:tc>
        <w:tc>
          <w:tcPr>
            <w:tcW w:w="0" w:type="auto"/>
            <w:vAlign w:val="center"/>
          </w:tcPr>
          <w:p w14:paraId="5D6904F8" w14:textId="7786F523"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2.27</w:t>
            </w:r>
          </w:p>
        </w:tc>
        <w:tc>
          <w:tcPr>
            <w:tcW w:w="0" w:type="auto"/>
            <w:vAlign w:val="center"/>
          </w:tcPr>
          <w:p w14:paraId="20F07430" w14:textId="0F772FF6"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80.80</w:t>
            </w:r>
          </w:p>
        </w:tc>
        <w:tc>
          <w:tcPr>
            <w:tcW w:w="0" w:type="auto"/>
            <w:vAlign w:val="center"/>
          </w:tcPr>
          <w:p w14:paraId="43A623F6" w14:textId="6A77A7BD"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149.99</w:t>
            </w:r>
          </w:p>
        </w:tc>
        <w:tc>
          <w:tcPr>
            <w:tcW w:w="0" w:type="auto"/>
            <w:vAlign w:val="center"/>
            <w:hideMark/>
          </w:tcPr>
          <w:p w14:paraId="57BE7BFE" w14:textId="0B6AE06B" w:rsidR="005A0C10" w:rsidRPr="00767C21" w:rsidRDefault="005A0C10" w:rsidP="005A0C10">
            <w:pPr>
              <w:pStyle w:val="NoSpacing"/>
              <w:jc w:val="center"/>
              <w:rPr>
                <w:rFonts w:ascii="Times New Roman" w:hAnsi="Times New Roman" w:cs="Times New Roman"/>
                <w:b/>
                <w:bCs/>
                <w:sz w:val="12"/>
                <w:szCs w:val="12"/>
              </w:rPr>
            </w:pPr>
            <w:r w:rsidRPr="00767C21">
              <w:rPr>
                <w:rFonts w:ascii="Times New Roman" w:hAnsi="Times New Roman" w:cs="Times New Roman"/>
                <w:b/>
                <w:bCs/>
                <w:sz w:val="12"/>
                <w:szCs w:val="12"/>
              </w:rPr>
              <w:t>56051.92</w:t>
            </w:r>
          </w:p>
        </w:tc>
      </w:tr>
    </w:tbl>
    <w:p w14:paraId="4F592B80" w14:textId="49BC3818" w:rsidR="00C50EE9" w:rsidRDefault="004A39EA" w:rsidP="002C06DC">
      <w:pPr>
        <w:tabs>
          <w:tab w:val="left" w:pos="3192"/>
        </w:tabs>
        <w:rPr>
          <w:rFonts w:ascii="Times New Roman" w:hAnsi="Times New Roman" w:cs="Times New Roman"/>
          <w:sz w:val="16"/>
          <w:szCs w:val="14"/>
        </w:rPr>
      </w:pPr>
      <w:r>
        <w:rPr>
          <w:rFonts w:ascii="Times New Roman" w:hAnsi="Times New Roman" w:cs="Times New Roman"/>
          <w:sz w:val="16"/>
          <w:szCs w:val="14"/>
        </w:rPr>
        <w:t xml:space="preserve">*Refers to Bhopal Gas </w:t>
      </w:r>
      <w:proofErr w:type="spellStart"/>
      <w:r>
        <w:rPr>
          <w:rFonts w:ascii="Times New Roman" w:hAnsi="Times New Roman" w:cs="Times New Roman"/>
          <w:sz w:val="16"/>
          <w:szCs w:val="14"/>
        </w:rPr>
        <w:t>Trgedy</w:t>
      </w:r>
      <w:proofErr w:type="spellEnd"/>
      <w:r>
        <w:rPr>
          <w:rFonts w:ascii="Times New Roman" w:hAnsi="Times New Roman" w:cs="Times New Roman"/>
          <w:sz w:val="16"/>
          <w:szCs w:val="14"/>
        </w:rPr>
        <w:t xml:space="preserve"> for Madhya Pradesh</w:t>
      </w:r>
    </w:p>
    <w:p w14:paraId="015E9630" w14:textId="3C84FEAC" w:rsidR="004A39EA" w:rsidRDefault="004A39EA" w:rsidP="002C06DC">
      <w:pPr>
        <w:tabs>
          <w:tab w:val="left" w:pos="3192"/>
        </w:tabs>
        <w:rPr>
          <w:rFonts w:ascii="Times New Roman" w:hAnsi="Times New Roman" w:cs="Times New Roman"/>
          <w:sz w:val="16"/>
          <w:szCs w:val="14"/>
        </w:rPr>
      </w:pPr>
      <w:r>
        <w:rPr>
          <w:rFonts w:ascii="Times New Roman" w:hAnsi="Times New Roman" w:cs="Times New Roman"/>
          <w:sz w:val="16"/>
          <w:szCs w:val="14"/>
        </w:rPr>
        <w:t xml:space="preserve">** For Bihar includes Rs. 19.77 crore for Kosi Project; for West Bengal includes Rs. 108.33 crore for Second Bridge over </w:t>
      </w:r>
      <w:proofErr w:type="spellStart"/>
      <w:r>
        <w:rPr>
          <w:rFonts w:ascii="Times New Roman" w:hAnsi="Times New Roman" w:cs="Times New Roman"/>
          <w:sz w:val="16"/>
          <w:szCs w:val="14"/>
        </w:rPr>
        <w:t>Hoogly</w:t>
      </w:r>
      <w:proofErr w:type="spellEnd"/>
    </w:p>
    <w:p w14:paraId="66AB142A" w14:textId="592CAA22" w:rsidR="004A39EA" w:rsidRPr="004A39EA" w:rsidRDefault="004A39EA" w:rsidP="002C06DC">
      <w:pPr>
        <w:tabs>
          <w:tab w:val="left" w:pos="3192"/>
        </w:tabs>
        <w:rPr>
          <w:rFonts w:ascii="Times New Roman" w:hAnsi="Times New Roman" w:cs="Times New Roman"/>
          <w:sz w:val="16"/>
          <w:szCs w:val="14"/>
        </w:rPr>
      </w:pPr>
      <w:r>
        <w:rPr>
          <w:rFonts w:ascii="Times New Roman" w:hAnsi="Times New Roman" w:cs="Times New Roman"/>
          <w:sz w:val="16"/>
          <w:szCs w:val="14"/>
        </w:rPr>
        <w:t>Source: Forecasts of the State Governments</w:t>
      </w:r>
    </w:p>
    <w:p w14:paraId="511D591B" w14:textId="77777777" w:rsidR="00C50EE9" w:rsidRPr="00AA6AF4" w:rsidRDefault="00C50EE9">
      <w:pPr>
        <w:rPr>
          <w:rFonts w:ascii="Times New Roman" w:hAnsi="Times New Roman" w:cs="Times New Roman"/>
        </w:rPr>
      </w:pPr>
      <w:r w:rsidRPr="00AA6AF4">
        <w:rPr>
          <w:rFonts w:ascii="Times New Roman" w:hAnsi="Times New Roman" w:cs="Times New Roman"/>
        </w:rPr>
        <w:br w:type="page"/>
      </w:r>
    </w:p>
    <w:p w14:paraId="47B98024" w14:textId="77777777" w:rsidR="00C50EE9" w:rsidRPr="00AA6AF4" w:rsidRDefault="00C50EE9" w:rsidP="002C06DC">
      <w:pPr>
        <w:tabs>
          <w:tab w:val="left" w:pos="3192"/>
        </w:tabs>
        <w:rPr>
          <w:rFonts w:ascii="Times New Roman" w:hAnsi="Times New Roman" w:cs="Times New Roman"/>
          <w:sz w:val="12"/>
          <w:szCs w:val="12"/>
        </w:rPr>
        <w:sectPr w:rsidR="00C50EE9" w:rsidRPr="00AA6AF4" w:rsidSect="00C50EE9">
          <w:pgSz w:w="16838" w:h="11906" w:orient="landscape"/>
          <w:pgMar w:top="1440" w:right="567" w:bottom="1440" w:left="992" w:header="709" w:footer="709" w:gutter="0"/>
          <w:cols w:space="708"/>
          <w:docGrid w:linePitch="360"/>
        </w:sectPr>
      </w:pPr>
    </w:p>
    <w:p w14:paraId="72361A5F" w14:textId="0BB2A0E8" w:rsidR="00C50EE9" w:rsidRPr="00990E5C" w:rsidRDefault="00C50EE9" w:rsidP="003F769C">
      <w:pPr>
        <w:pStyle w:val="Heading2"/>
        <w:rPr>
          <w:sz w:val="20"/>
          <w:szCs w:val="20"/>
        </w:rPr>
      </w:pPr>
      <w:bookmarkStart w:id="123" w:name="_Toc221293020"/>
      <w:bookmarkStart w:id="124" w:name="_Toc222399509"/>
      <w:r w:rsidRPr="00990E5C">
        <w:rPr>
          <w:sz w:val="20"/>
          <w:szCs w:val="20"/>
        </w:rPr>
        <w:lastRenderedPageBreak/>
        <w:t>A</w:t>
      </w:r>
      <w:r w:rsidR="0027660A" w:rsidRPr="00990E5C">
        <w:rPr>
          <w:sz w:val="20"/>
          <w:szCs w:val="20"/>
        </w:rPr>
        <w:t>NNEXURE</w:t>
      </w:r>
      <w:r w:rsidRPr="00990E5C">
        <w:rPr>
          <w:sz w:val="20"/>
          <w:szCs w:val="20"/>
        </w:rPr>
        <w:t xml:space="preserve"> IX.3</w:t>
      </w:r>
      <w:r w:rsidR="003F769C" w:rsidRPr="00990E5C">
        <w:rPr>
          <w:sz w:val="20"/>
          <w:szCs w:val="20"/>
        </w:rPr>
        <w:br/>
      </w:r>
      <w:r w:rsidRPr="00990E5C">
        <w:rPr>
          <w:sz w:val="20"/>
          <w:szCs w:val="20"/>
        </w:rPr>
        <w:t xml:space="preserve">Repayment </w:t>
      </w:r>
      <w:proofErr w:type="gramStart"/>
      <w:r w:rsidRPr="00990E5C">
        <w:rPr>
          <w:sz w:val="20"/>
          <w:szCs w:val="20"/>
        </w:rPr>
        <w:t>Of</w:t>
      </w:r>
      <w:proofErr w:type="gramEnd"/>
      <w:r w:rsidRPr="00990E5C">
        <w:rPr>
          <w:sz w:val="20"/>
          <w:szCs w:val="20"/>
        </w:rPr>
        <w:t xml:space="preserve"> Central Loans During 1990-95 On Existing Basis</w:t>
      </w:r>
      <w:bookmarkEnd w:id="123"/>
      <w:bookmarkEnd w:id="124"/>
    </w:p>
    <w:p w14:paraId="0C960405" w14:textId="0E4288FB" w:rsidR="003F769C" w:rsidRPr="00990E5C" w:rsidRDefault="003F769C" w:rsidP="003F769C">
      <w:pPr>
        <w:tabs>
          <w:tab w:val="left" w:pos="3192"/>
        </w:tabs>
        <w:spacing w:after="0"/>
        <w:jc w:val="center"/>
        <w:rPr>
          <w:rFonts w:ascii="Times New Roman" w:hAnsi="Times New Roman" w:cs="Times New Roman"/>
          <w:i/>
          <w:iCs/>
          <w:sz w:val="18"/>
          <w:szCs w:val="16"/>
        </w:rPr>
      </w:pPr>
      <w:r w:rsidRPr="00990E5C">
        <w:rPr>
          <w:rFonts w:ascii="Times New Roman" w:hAnsi="Times New Roman" w:cs="Times New Roman"/>
          <w:i/>
          <w:iCs/>
          <w:sz w:val="18"/>
          <w:szCs w:val="16"/>
        </w:rPr>
        <w:t>(Para 9.6)</w:t>
      </w:r>
    </w:p>
    <w:p w14:paraId="209EA26E" w14:textId="3AEC431A" w:rsidR="00C50EE9" w:rsidRDefault="00344B6A" w:rsidP="00344B6A">
      <w:pPr>
        <w:tabs>
          <w:tab w:val="left" w:pos="3192"/>
        </w:tabs>
        <w:spacing w:after="0"/>
        <w:jc w:val="center"/>
        <w:rPr>
          <w:rFonts w:ascii="Times New Roman" w:hAnsi="Times New Roman" w:cs="Times New Roman"/>
          <w:i/>
          <w:iCs/>
          <w:sz w:val="12"/>
          <w:szCs w:val="12"/>
        </w:rPr>
      </w:pP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Pr>
          <w:rFonts w:ascii="Times New Roman" w:hAnsi="Times New Roman" w:cs="Times New Roman"/>
          <w:i/>
          <w:iCs/>
          <w:sz w:val="12"/>
          <w:szCs w:val="12"/>
        </w:rPr>
        <w:tab/>
      </w:r>
      <w:r w:rsidR="00C50EE9" w:rsidRPr="00990E5C">
        <w:rPr>
          <w:rFonts w:ascii="Times New Roman" w:hAnsi="Times New Roman" w:cs="Times New Roman"/>
          <w:i/>
          <w:iCs/>
          <w:sz w:val="18"/>
          <w:szCs w:val="18"/>
        </w:rPr>
        <w:t>(Rs. Crore)</w:t>
      </w:r>
    </w:p>
    <w:tbl>
      <w:tblPr>
        <w:tblW w:w="14885" w:type="dxa"/>
        <w:tblInd w:w="-289" w:type="dxa"/>
        <w:tblLayout w:type="fixed"/>
        <w:tblLook w:val="04A0" w:firstRow="1" w:lastRow="0" w:firstColumn="1" w:lastColumn="0" w:noHBand="0" w:noVBand="1"/>
      </w:tblPr>
      <w:tblGrid>
        <w:gridCol w:w="1552"/>
        <w:gridCol w:w="704"/>
        <w:gridCol w:w="580"/>
        <w:gridCol w:w="709"/>
        <w:gridCol w:w="825"/>
        <w:gridCol w:w="704"/>
        <w:gridCol w:w="845"/>
        <w:gridCol w:w="845"/>
        <w:gridCol w:w="669"/>
        <w:gridCol w:w="789"/>
        <w:gridCol w:w="851"/>
        <w:gridCol w:w="709"/>
        <w:gridCol w:w="809"/>
        <w:gridCol w:w="910"/>
        <w:gridCol w:w="899"/>
        <w:gridCol w:w="768"/>
        <w:gridCol w:w="761"/>
        <w:gridCol w:w="956"/>
      </w:tblGrid>
      <w:tr w:rsidR="00344B6A" w:rsidRPr="00767C21" w14:paraId="1BC2D056" w14:textId="77777777" w:rsidTr="00767C21">
        <w:trPr>
          <w:trHeight w:val="20"/>
        </w:trPr>
        <w:tc>
          <w:tcPr>
            <w:tcW w:w="1552" w:type="dxa"/>
            <w:vMerge w:val="restart"/>
            <w:tcBorders>
              <w:top w:val="single" w:sz="4" w:space="0" w:color="auto"/>
              <w:left w:val="single" w:sz="4" w:space="0" w:color="auto"/>
              <w:bottom w:val="nil"/>
              <w:right w:val="single" w:sz="4" w:space="0" w:color="auto"/>
            </w:tcBorders>
            <w:vAlign w:val="center"/>
            <w:hideMark/>
          </w:tcPr>
          <w:p w14:paraId="7DFC1129" w14:textId="5F82EEB6" w:rsidR="006404D6" w:rsidRPr="00767C21" w:rsidRDefault="006404D6" w:rsidP="00344B6A">
            <w:pPr>
              <w:spacing w:after="0" w:line="240" w:lineRule="auto"/>
              <w:rPr>
                <w:rFonts w:ascii="Aptos" w:eastAsia="Times New Roman" w:hAnsi="Aptos" w:cs="Times New Roman"/>
                <w:b/>
                <w:bCs/>
                <w:color w:val="000000"/>
                <w:kern w:val="0"/>
                <w:sz w:val="14"/>
                <w:szCs w:val="14"/>
                <w:lang w:eastAsia="en-IN" w:bidi="ar-SA"/>
                <w14:ligatures w14:val="none"/>
              </w:rPr>
            </w:pPr>
          </w:p>
          <w:p w14:paraId="7F87A8B0" w14:textId="4A2B5086" w:rsidR="006404D6" w:rsidRPr="00767C21" w:rsidRDefault="006404D6" w:rsidP="00344B6A">
            <w:pPr>
              <w:spacing w:after="0" w:line="240" w:lineRule="auto"/>
              <w:rPr>
                <w:rFonts w:ascii="Aptos" w:eastAsia="Times New Roman" w:hAnsi="Aptos"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States</w:t>
            </w:r>
          </w:p>
        </w:tc>
        <w:tc>
          <w:tcPr>
            <w:tcW w:w="2818" w:type="dxa"/>
            <w:gridSpan w:val="4"/>
            <w:tcBorders>
              <w:top w:val="single" w:sz="4" w:space="0" w:color="auto"/>
              <w:left w:val="nil"/>
              <w:bottom w:val="single" w:sz="4" w:space="0" w:color="auto"/>
              <w:right w:val="single" w:sz="4" w:space="0" w:color="auto"/>
            </w:tcBorders>
            <w:vAlign w:val="center"/>
            <w:hideMark/>
          </w:tcPr>
          <w:p w14:paraId="125F563C"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 xml:space="preserve">Loans Consolidated </w:t>
            </w:r>
            <w:proofErr w:type="gramStart"/>
            <w:r w:rsidRPr="00767C21">
              <w:rPr>
                <w:rFonts w:ascii="Times New Roman" w:eastAsia="Times New Roman" w:hAnsi="Times New Roman" w:cs="Times New Roman"/>
                <w:b/>
                <w:bCs/>
                <w:color w:val="000000"/>
                <w:kern w:val="0"/>
                <w:sz w:val="14"/>
                <w:szCs w:val="14"/>
                <w:lang w:eastAsia="en-IN" w:bidi="ar-SA"/>
                <w14:ligatures w14:val="none"/>
              </w:rPr>
              <w:t>By</w:t>
            </w:r>
            <w:proofErr w:type="gramEnd"/>
            <w:r w:rsidRPr="00767C21">
              <w:rPr>
                <w:rFonts w:ascii="Times New Roman" w:eastAsia="Times New Roman" w:hAnsi="Times New Roman" w:cs="Times New Roman"/>
                <w:b/>
                <w:bCs/>
                <w:color w:val="000000"/>
                <w:kern w:val="0"/>
                <w:sz w:val="14"/>
                <w:szCs w:val="14"/>
                <w:lang w:eastAsia="en-IN" w:bidi="ar-SA"/>
                <w14:ligatures w14:val="none"/>
              </w:rPr>
              <w:t xml:space="preserve"> Previous Finance Commissions</w:t>
            </w:r>
          </w:p>
        </w:tc>
        <w:tc>
          <w:tcPr>
            <w:tcW w:w="1549" w:type="dxa"/>
            <w:gridSpan w:val="2"/>
            <w:tcBorders>
              <w:top w:val="single" w:sz="4" w:space="0" w:color="auto"/>
              <w:left w:val="nil"/>
              <w:bottom w:val="single" w:sz="4" w:space="0" w:color="auto"/>
              <w:right w:val="single" w:sz="4" w:space="0" w:color="auto"/>
            </w:tcBorders>
            <w:vAlign w:val="center"/>
            <w:hideMark/>
          </w:tcPr>
          <w:p w14:paraId="25BF0946" w14:textId="3D0CB38E"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Small Savings Loan</w:t>
            </w:r>
          </w:p>
        </w:tc>
        <w:tc>
          <w:tcPr>
            <w:tcW w:w="845" w:type="dxa"/>
            <w:vMerge w:val="restart"/>
            <w:tcBorders>
              <w:top w:val="single" w:sz="4" w:space="0" w:color="auto"/>
              <w:left w:val="nil"/>
              <w:bottom w:val="nil"/>
              <w:right w:val="single" w:sz="4" w:space="0" w:color="auto"/>
            </w:tcBorders>
            <w:vAlign w:val="center"/>
            <w:hideMark/>
          </w:tcPr>
          <w:p w14:paraId="06E332B1"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Plan Loans</w:t>
            </w:r>
          </w:p>
          <w:p w14:paraId="2CD383FE" w14:textId="2B511698"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p>
        </w:tc>
        <w:tc>
          <w:tcPr>
            <w:tcW w:w="669" w:type="dxa"/>
            <w:vMerge w:val="restart"/>
            <w:tcBorders>
              <w:top w:val="single" w:sz="4" w:space="0" w:color="auto"/>
              <w:left w:val="nil"/>
              <w:bottom w:val="nil"/>
              <w:right w:val="single" w:sz="4" w:space="0" w:color="auto"/>
            </w:tcBorders>
            <w:vAlign w:val="center"/>
            <w:hideMark/>
          </w:tcPr>
          <w:p w14:paraId="497B7EA4" w14:textId="092473A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hAnsi="Times New Roman" w:cs="Times New Roman"/>
                <w:b/>
                <w:bCs/>
                <w:sz w:val="14"/>
                <w:szCs w:val="14"/>
              </w:rPr>
              <w:t>Relief &amp; Rehabilitation Loan</w:t>
            </w:r>
          </w:p>
        </w:tc>
        <w:tc>
          <w:tcPr>
            <w:tcW w:w="789" w:type="dxa"/>
            <w:vMerge w:val="restart"/>
            <w:tcBorders>
              <w:top w:val="single" w:sz="4" w:space="0" w:color="auto"/>
              <w:left w:val="nil"/>
              <w:bottom w:val="nil"/>
              <w:right w:val="single" w:sz="4" w:space="0" w:color="auto"/>
            </w:tcBorders>
            <w:vAlign w:val="center"/>
            <w:hideMark/>
          </w:tcPr>
          <w:p w14:paraId="31800A17"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Loans to Clear Overdrafts</w:t>
            </w:r>
          </w:p>
          <w:p w14:paraId="21B62B7A" w14:textId="60DC8E0C"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p>
        </w:tc>
        <w:tc>
          <w:tcPr>
            <w:tcW w:w="851" w:type="dxa"/>
            <w:vMerge w:val="restart"/>
            <w:tcBorders>
              <w:top w:val="single" w:sz="4" w:space="0" w:color="auto"/>
              <w:left w:val="nil"/>
              <w:bottom w:val="nil"/>
              <w:right w:val="single" w:sz="4" w:space="0" w:color="auto"/>
            </w:tcBorders>
            <w:vAlign w:val="center"/>
            <w:hideMark/>
          </w:tcPr>
          <w:p w14:paraId="7E11FE6C" w14:textId="1C07EAFF"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Loans to Cover Gap in Resources</w:t>
            </w:r>
          </w:p>
          <w:p w14:paraId="64AEAF40" w14:textId="0842517B"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p>
        </w:tc>
        <w:tc>
          <w:tcPr>
            <w:tcW w:w="709" w:type="dxa"/>
            <w:vMerge w:val="restart"/>
            <w:tcBorders>
              <w:top w:val="single" w:sz="4" w:space="0" w:color="auto"/>
              <w:left w:val="nil"/>
              <w:bottom w:val="nil"/>
              <w:right w:val="single" w:sz="4" w:space="0" w:color="auto"/>
            </w:tcBorders>
            <w:vAlign w:val="center"/>
            <w:hideMark/>
          </w:tcPr>
          <w:p w14:paraId="4868EFF0"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Drought Loans</w:t>
            </w:r>
          </w:p>
          <w:p w14:paraId="1C86127A" w14:textId="733C9D78"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p>
        </w:tc>
        <w:tc>
          <w:tcPr>
            <w:tcW w:w="809" w:type="dxa"/>
            <w:vMerge w:val="restart"/>
            <w:tcBorders>
              <w:top w:val="single" w:sz="4" w:space="0" w:color="auto"/>
              <w:left w:val="nil"/>
              <w:bottom w:val="nil"/>
              <w:right w:val="single" w:sz="4" w:space="0" w:color="auto"/>
            </w:tcBorders>
            <w:vAlign w:val="center"/>
            <w:hideMark/>
          </w:tcPr>
          <w:p w14:paraId="355834B2"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Special Loans</w:t>
            </w:r>
          </w:p>
          <w:p w14:paraId="5E7F9F32" w14:textId="7771F0DD"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p>
        </w:tc>
        <w:tc>
          <w:tcPr>
            <w:tcW w:w="910" w:type="dxa"/>
            <w:vMerge w:val="restart"/>
            <w:tcBorders>
              <w:top w:val="single" w:sz="4" w:space="0" w:color="auto"/>
              <w:left w:val="nil"/>
              <w:bottom w:val="nil"/>
              <w:right w:val="single" w:sz="4" w:space="0" w:color="auto"/>
            </w:tcBorders>
            <w:vAlign w:val="center"/>
            <w:hideMark/>
          </w:tcPr>
          <w:p w14:paraId="610B28F0" w14:textId="69323A41"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Loan for Modernisation of Police Force</w:t>
            </w:r>
          </w:p>
        </w:tc>
        <w:tc>
          <w:tcPr>
            <w:tcW w:w="899" w:type="dxa"/>
            <w:vMerge w:val="restart"/>
            <w:tcBorders>
              <w:top w:val="single" w:sz="4" w:space="0" w:color="auto"/>
              <w:left w:val="nil"/>
              <w:bottom w:val="nil"/>
              <w:right w:val="single" w:sz="4" w:space="0" w:color="auto"/>
            </w:tcBorders>
            <w:vAlign w:val="center"/>
            <w:hideMark/>
          </w:tcPr>
          <w:p w14:paraId="042E6EFC" w14:textId="08FDA1F2" w:rsidR="006404D6" w:rsidRPr="00767C21" w:rsidRDefault="006404D6"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r w:rsidRPr="00767C21">
              <w:rPr>
                <w:rFonts w:ascii="Times New Roman" w:hAnsi="Times New Roman" w:cs="Times New Roman"/>
                <w:b/>
                <w:bCs/>
                <w:sz w:val="14"/>
                <w:szCs w:val="14"/>
              </w:rPr>
              <w:t>Housing Loan for A.I.S officers</w:t>
            </w:r>
          </w:p>
        </w:tc>
        <w:tc>
          <w:tcPr>
            <w:tcW w:w="768" w:type="dxa"/>
            <w:vMerge w:val="restart"/>
            <w:tcBorders>
              <w:top w:val="single" w:sz="4" w:space="0" w:color="auto"/>
              <w:left w:val="nil"/>
              <w:bottom w:val="nil"/>
              <w:right w:val="single" w:sz="4" w:space="0" w:color="auto"/>
            </w:tcBorders>
            <w:vAlign w:val="center"/>
            <w:hideMark/>
          </w:tcPr>
          <w:p w14:paraId="1091E59A" w14:textId="46F1C613" w:rsidR="006404D6" w:rsidRPr="00767C21" w:rsidRDefault="006404D6" w:rsidP="00344B6A">
            <w:pPr>
              <w:spacing w:after="0" w:line="240" w:lineRule="auto"/>
              <w:jc w:val="center"/>
              <w:rPr>
                <w:rFonts w:ascii="Aptos" w:eastAsia="Times New Roman" w:hAnsi="Aptos" w:cs="Times New Roman"/>
                <w:b/>
                <w:bCs/>
                <w:color w:val="000000"/>
                <w:kern w:val="0"/>
                <w:sz w:val="14"/>
                <w:szCs w:val="14"/>
                <w:highlight w:val="yellow"/>
                <w:lang w:eastAsia="en-IN" w:bidi="ar-SA"/>
                <w14:ligatures w14:val="none"/>
              </w:rPr>
            </w:pPr>
          </w:p>
          <w:p w14:paraId="2A8A5A19" w14:textId="4822090E" w:rsidR="006404D6" w:rsidRPr="00767C21" w:rsidRDefault="006404D6" w:rsidP="00344B6A">
            <w:pPr>
              <w:spacing w:after="0" w:line="240" w:lineRule="auto"/>
              <w:jc w:val="center"/>
              <w:rPr>
                <w:rFonts w:ascii="Aptos" w:eastAsia="Times New Roman" w:hAnsi="Aptos" w:cs="Times New Roman"/>
                <w:b/>
                <w:bCs/>
                <w:color w:val="000000"/>
                <w:kern w:val="0"/>
                <w:sz w:val="14"/>
                <w:szCs w:val="14"/>
                <w:highlight w:val="yellow"/>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Hirakud Project</w:t>
            </w:r>
          </w:p>
        </w:tc>
        <w:tc>
          <w:tcPr>
            <w:tcW w:w="761" w:type="dxa"/>
            <w:vMerge w:val="restart"/>
            <w:tcBorders>
              <w:top w:val="single" w:sz="4" w:space="0" w:color="auto"/>
              <w:left w:val="nil"/>
              <w:bottom w:val="nil"/>
              <w:right w:val="single" w:sz="4" w:space="0" w:color="auto"/>
            </w:tcBorders>
            <w:vAlign w:val="center"/>
          </w:tcPr>
          <w:p w14:paraId="18AF32A6" w14:textId="1AE79237" w:rsidR="006404D6" w:rsidRPr="00767C21" w:rsidRDefault="006404D6"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Other Loans</w:t>
            </w:r>
          </w:p>
        </w:tc>
        <w:tc>
          <w:tcPr>
            <w:tcW w:w="956" w:type="dxa"/>
            <w:vMerge w:val="restart"/>
            <w:tcBorders>
              <w:top w:val="single" w:sz="4" w:space="0" w:color="auto"/>
              <w:left w:val="nil"/>
              <w:bottom w:val="nil"/>
              <w:right w:val="single" w:sz="4" w:space="0" w:color="auto"/>
            </w:tcBorders>
            <w:vAlign w:val="center"/>
          </w:tcPr>
          <w:p w14:paraId="04646D54" w14:textId="352E180F" w:rsidR="006404D6" w:rsidRPr="00767C21" w:rsidRDefault="006404D6"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Total</w:t>
            </w:r>
          </w:p>
        </w:tc>
      </w:tr>
      <w:tr w:rsidR="00AC6710" w:rsidRPr="00767C21" w14:paraId="4B8DB0D7" w14:textId="77777777" w:rsidTr="00767C21">
        <w:trPr>
          <w:trHeight w:val="20"/>
        </w:trPr>
        <w:tc>
          <w:tcPr>
            <w:tcW w:w="1552" w:type="dxa"/>
            <w:vMerge/>
            <w:tcBorders>
              <w:left w:val="single" w:sz="4" w:space="0" w:color="auto"/>
              <w:bottom w:val="single" w:sz="4" w:space="0" w:color="auto"/>
              <w:right w:val="single" w:sz="4" w:space="0" w:color="auto"/>
            </w:tcBorders>
            <w:vAlign w:val="center"/>
            <w:hideMark/>
          </w:tcPr>
          <w:p w14:paraId="1BBF3C26" w14:textId="51106B95" w:rsidR="006404D6" w:rsidRPr="00767C21" w:rsidRDefault="006404D6"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p>
        </w:tc>
        <w:tc>
          <w:tcPr>
            <w:tcW w:w="704" w:type="dxa"/>
            <w:tcBorders>
              <w:top w:val="single" w:sz="4" w:space="0" w:color="auto"/>
              <w:left w:val="nil"/>
              <w:bottom w:val="single" w:sz="4" w:space="0" w:color="auto"/>
              <w:right w:val="single" w:sz="4" w:space="0" w:color="auto"/>
            </w:tcBorders>
            <w:vAlign w:val="center"/>
            <w:hideMark/>
          </w:tcPr>
          <w:p w14:paraId="12734D88"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15 Year Loans</w:t>
            </w:r>
          </w:p>
        </w:tc>
        <w:tc>
          <w:tcPr>
            <w:tcW w:w="580" w:type="dxa"/>
            <w:tcBorders>
              <w:top w:val="single" w:sz="4" w:space="0" w:color="auto"/>
              <w:left w:val="nil"/>
              <w:bottom w:val="single" w:sz="4" w:space="0" w:color="auto"/>
              <w:right w:val="single" w:sz="4" w:space="0" w:color="auto"/>
            </w:tcBorders>
            <w:vAlign w:val="center"/>
            <w:hideMark/>
          </w:tcPr>
          <w:p w14:paraId="6C721812"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20 Year Loans</w:t>
            </w:r>
          </w:p>
        </w:tc>
        <w:tc>
          <w:tcPr>
            <w:tcW w:w="709" w:type="dxa"/>
            <w:tcBorders>
              <w:top w:val="single" w:sz="4" w:space="0" w:color="auto"/>
              <w:left w:val="nil"/>
              <w:bottom w:val="single" w:sz="4" w:space="0" w:color="auto"/>
              <w:right w:val="single" w:sz="4" w:space="0" w:color="auto"/>
            </w:tcBorders>
            <w:vAlign w:val="center"/>
            <w:hideMark/>
          </w:tcPr>
          <w:p w14:paraId="7012572F"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25 Year Loans</w:t>
            </w:r>
          </w:p>
        </w:tc>
        <w:tc>
          <w:tcPr>
            <w:tcW w:w="825" w:type="dxa"/>
            <w:tcBorders>
              <w:top w:val="single" w:sz="4" w:space="0" w:color="auto"/>
              <w:left w:val="nil"/>
              <w:bottom w:val="single" w:sz="4" w:space="0" w:color="auto"/>
              <w:right w:val="single" w:sz="4" w:space="0" w:color="auto"/>
            </w:tcBorders>
            <w:vAlign w:val="center"/>
            <w:hideMark/>
          </w:tcPr>
          <w:p w14:paraId="0AA78E9A" w14:textId="77777777" w:rsidR="006404D6" w:rsidRPr="00767C21" w:rsidRDefault="006404D6"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30 Year Loans</w:t>
            </w:r>
          </w:p>
        </w:tc>
        <w:tc>
          <w:tcPr>
            <w:tcW w:w="704" w:type="dxa"/>
            <w:tcBorders>
              <w:top w:val="single" w:sz="4" w:space="0" w:color="auto"/>
              <w:left w:val="nil"/>
              <w:bottom w:val="single" w:sz="4" w:space="0" w:color="auto"/>
              <w:right w:val="single" w:sz="4" w:space="0" w:color="auto"/>
            </w:tcBorders>
            <w:vAlign w:val="center"/>
            <w:hideMark/>
          </w:tcPr>
          <w:p w14:paraId="59166C68" w14:textId="4645159E" w:rsidR="006404D6" w:rsidRPr="00767C21" w:rsidRDefault="006404D6"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proofErr w:type="gramStart"/>
            <w:r w:rsidRPr="00767C21">
              <w:rPr>
                <w:rFonts w:ascii="Times New Roman" w:hAnsi="Times New Roman" w:cs="Times New Roman"/>
                <w:b/>
                <w:bCs/>
                <w:sz w:val="14"/>
                <w:szCs w:val="14"/>
              </w:rPr>
              <w:t>Received  Up</w:t>
            </w:r>
            <w:proofErr w:type="gramEnd"/>
            <w:r w:rsidRPr="00767C21">
              <w:rPr>
                <w:rFonts w:ascii="Times New Roman" w:hAnsi="Times New Roman" w:cs="Times New Roman"/>
                <w:b/>
                <w:bCs/>
                <w:sz w:val="14"/>
                <w:szCs w:val="14"/>
              </w:rPr>
              <w:t xml:space="preserve"> to1978-79</w:t>
            </w:r>
          </w:p>
        </w:tc>
        <w:tc>
          <w:tcPr>
            <w:tcW w:w="845" w:type="dxa"/>
            <w:tcBorders>
              <w:top w:val="single" w:sz="4" w:space="0" w:color="auto"/>
              <w:left w:val="nil"/>
              <w:bottom w:val="single" w:sz="4" w:space="0" w:color="auto"/>
              <w:right w:val="single" w:sz="4" w:space="0" w:color="auto"/>
            </w:tcBorders>
            <w:vAlign w:val="center"/>
            <w:hideMark/>
          </w:tcPr>
          <w:p w14:paraId="4C49B00A" w14:textId="3DDDFE68" w:rsidR="006404D6" w:rsidRPr="00767C21" w:rsidRDefault="006404D6"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proofErr w:type="gramStart"/>
            <w:r w:rsidRPr="00767C21">
              <w:rPr>
                <w:rFonts w:ascii="Times New Roman" w:hAnsi="Times New Roman" w:cs="Times New Roman"/>
                <w:b/>
                <w:bCs/>
                <w:sz w:val="14"/>
                <w:szCs w:val="14"/>
              </w:rPr>
              <w:t>Received  from</w:t>
            </w:r>
            <w:proofErr w:type="gramEnd"/>
            <w:r w:rsidRPr="00767C21">
              <w:rPr>
                <w:rFonts w:ascii="Times New Roman" w:hAnsi="Times New Roman" w:cs="Times New Roman"/>
                <w:b/>
                <w:bCs/>
                <w:sz w:val="14"/>
                <w:szCs w:val="14"/>
              </w:rPr>
              <w:t xml:space="preserve"> 1979-89</w:t>
            </w:r>
          </w:p>
        </w:tc>
        <w:tc>
          <w:tcPr>
            <w:tcW w:w="845" w:type="dxa"/>
            <w:vMerge/>
            <w:tcBorders>
              <w:left w:val="nil"/>
              <w:bottom w:val="single" w:sz="4" w:space="0" w:color="auto"/>
              <w:right w:val="single" w:sz="4" w:space="0" w:color="auto"/>
            </w:tcBorders>
            <w:vAlign w:val="center"/>
            <w:hideMark/>
          </w:tcPr>
          <w:p w14:paraId="41F35CCE" w14:textId="5BDB4B43" w:rsidR="006404D6" w:rsidRPr="00767C21" w:rsidRDefault="006404D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669" w:type="dxa"/>
            <w:vMerge/>
            <w:tcBorders>
              <w:left w:val="nil"/>
              <w:bottom w:val="single" w:sz="4" w:space="0" w:color="auto"/>
              <w:right w:val="single" w:sz="4" w:space="0" w:color="auto"/>
            </w:tcBorders>
            <w:vAlign w:val="center"/>
            <w:hideMark/>
          </w:tcPr>
          <w:p w14:paraId="303C1744" w14:textId="1F7CF8EF" w:rsidR="006404D6" w:rsidRPr="00767C21" w:rsidRDefault="006404D6"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89" w:type="dxa"/>
            <w:vMerge/>
            <w:tcBorders>
              <w:left w:val="nil"/>
              <w:bottom w:val="single" w:sz="4" w:space="0" w:color="auto"/>
              <w:right w:val="single" w:sz="4" w:space="0" w:color="auto"/>
            </w:tcBorders>
            <w:vAlign w:val="center"/>
            <w:hideMark/>
          </w:tcPr>
          <w:p w14:paraId="0C5549AC" w14:textId="05AF4F40" w:rsidR="006404D6" w:rsidRPr="00767C21" w:rsidRDefault="006404D6"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851" w:type="dxa"/>
            <w:vMerge/>
            <w:tcBorders>
              <w:left w:val="nil"/>
              <w:bottom w:val="single" w:sz="4" w:space="0" w:color="auto"/>
              <w:right w:val="single" w:sz="4" w:space="0" w:color="auto"/>
            </w:tcBorders>
            <w:vAlign w:val="center"/>
            <w:hideMark/>
          </w:tcPr>
          <w:p w14:paraId="3EF80747" w14:textId="274ADD21" w:rsidR="006404D6" w:rsidRPr="00767C21" w:rsidRDefault="006404D6"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09" w:type="dxa"/>
            <w:vMerge/>
            <w:tcBorders>
              <w:left w:val="nil"/>
              <w:bottom w:val="single" w:sz="4" w:space="0" w:color="auto"/>
              <w:right w:val="single" w:sz="4" w:space="0" w:color="auto"/>
            </w:tcBorders>
            <w:noWrap/>
            <w:vAlign w:val="center"/>
            <w:hideMark/>
          </w:tcPr>
          <w:p w14:paraId="4C3C06AF" w14:textId="4D476E8D" w:rsidR="006404D6" w:rsidRPr="00767C21" w:rsidRDefault="006404D6"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809" w:type="dxa"/>
            <w:vMerge/>
            <w:tcBorders>
              <w:left w:val="nil"/>
              <w:bottom w:val="single" w:sz="4" w:space="0" w:color="auto"/>
              <w:right w:val="single" w:sz="4" w:space="0" w:color="auto"/>
            </w:tcBorders>
            <w:noWrap/>
            <w:vAlign w:val="center"/>
            <w:hideMark/>
          </w:tcPr>
          <w:p w14:paraId="35D943E3" w14:textId="3505AA04" w:rsidR="006404D6" w:rsidRPr="00767C21" w:rsidRDefault="006404D6"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910" w:type="dxa"/>
            <w:vMerge/>
            <w:tcBorders>
              <w:left w:val="nil"/>
              <w:bottom w:val="single" w:sz="4" w:space="0" w:color="auto"/>
              <w:right w:val="single" w:sz="4" w:space="0" w:color="auto"/>
            </w:tcBorders>
            <w:noWrap/>
            <w:vAlign w:val="center"/>
            <w:hideMark/>
          </w:tcPr>
          <w:p w14:paraId="6B0E2CE9" w14:textId="602E09AD" w:rsidR="006404D6" w:rsidRPr="00767C21" w:rsidRDefault="006404D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99" w:type="dxa"/>
            <w:vMerge/>
            <w:tcBorders>
              <w:left w:val="nil"/>
              <w:bottom w:val="single" w:sz="4" w:space="0" w:color="auto"/>
              <w:right w:val="single" w:sz="4" w:space="0" w:color="auto"/>
            </w:tcBorders>
            <w:vAlign w:val="center"/>
            <w:hideMark/>
          </w:tcPr>
          <w:p w14:paraId="19DDD17F" w14:textId="69FE831A" w:rsidR="006404D6" w:rsidRPr="00767C21" w:rsidRDefault="006404D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68" w:type="dxa"/>
            <w:vMerge/>
            <w:tcBorders>
              <w:left w:val="nil"/>
              <w:bottom w:val="single" w:sz="4" w:space="0" w:color="auto"/>
              <w:right w:val="single" w:sz="4" w:space="0" w:color="auto"/>
            </w:tcBorders>
            <w:vAlign w:val="center"/>
            <w:hideMark/>
          </w:tcPr>
          <w:p w14:paraId="6DBAA982" w14:textId="73CA63A4" w:rsidR="006404D6" w:rsidRPr="00767C21" w:rsidRDefault="006404D6"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vMerge/>
            <w:tcBorders>
              <w:left w:val="nil"/>
              <w:bottom w:val="single" w:sz="4" w:space="0" w:color="auto"/>
              <w:right w:val="single" w:sz="4" w:space="0" w:color="auto"/>
            </w:tcBorders>
            <w:vAlign w:val="center"/>
            <w:hideMark/>
          </w:tcPr>
          <w:p w14:paraId="2D05DF28" w14:textId="189DC38D" w:rsidR="006404D6" w:rsidRPr="00767C21" w:rsidRDefault="006404D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956" w:type="dxa"/>
            <w:vMerge/>
            <w:tcBorders>
              <w:left w:val="nil"/>
              <w:bottom w:val="single" w:sz="4" w:space="0" w:color="auto"/>
              <w:right w:val="single" w:sz="4" w:space="0" w:color="auto"/>
            </w:tcBorders>
            <w:vAlign w:val="center"/>
            <w:hideMark/>
          </w:tcPr>
          <w:p w14:paraId="554ECFFB" w14:textId="480C8067" w:rsidR="006404D6" w:rsidRPr="00767C21" w:rsidRDefault="006404D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r>
      <w:tr w:rsidR="00AC6710" w:rsidRPr="00767C21" w14:paraId="4F73FF04"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15C60E16" w14:textId="77777777" w:rsidR="0062332D" w:rsidRPr="00767C21" w:rsidRDefault="0062332D"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 Andhra Pradesh</w:t>
            </w:r>
          </w:p>
        </w:tc>
        <w:tc>
          <w:tcPr>
            <w:tcW w:w="704" w:type="dxa"/>
            <w:tcBorders>
              <w:top w:val="nil"/>
              <w:left w:val="nil"/>
              <w:bottom w:val="single" w:sz="4" w:space="0" w:color="auto"/>
              <w:right w:val="single" w:sz="4" w:space="0" w:color="auto"/>
            </w:tcBorders>
            <w:vAlign w:val="center"/>
            <w:hideMark/>
          </w:tcPr>
          <w:p w14:paraId="6A171DA2" w14:textId="4448A769"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13D8C02C" w14:textId="743698CA"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7D51162C" w14:textId="6027DC2D"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2ACC8D0C" w14:textId="188D53E1"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237.66</w:t>
            </w:r>
          </w:p>
        </w:tc>
        <w:tc>
          <w:tcPr>
            <w:tcW w:w="704" w:type="dxa"/>
            <w:tcBorders>
              <w:top w:val="nil"/>
              <w:left w:val="nil"/>
              <w:bottom w:val="single" w:sz="4" w:space="0" w:color="auto"/>
              <w:right w:val="single" w:sz="4" w:space="0" w:color="auto"/>
            </w:tcBorders>
            <w:vAlign w:val="center"/>
          </w:tcPr>
          <w:p w14:paraId="044BD0F7" w14:textId="00D78BB3"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16.65</w:t>
            </w:r>
          </w:p>
        </w:tc>
        <w:tc>
          <w:tcPr>
            <w:tcW w:w="845" w:type="dxa"/>
            <w:tcBorders>
              <w:top w:val="nil"/>
              <w:left w:val="nil"/>
              <w:bottom w:val="single" w:sz="4" w:space="0" w:color="auto"/>
              <w:right w:val="single" w:sz="4" w:space="0" w:color="auto"/>
            </w:tcBorders>
            <w:vAlign w:val="center"/>
            <w:hideMark/>
          </w:tcPr>
          <w:p w14:paraId="6B9C51C5" w14:textId="5623F892"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146.05</w:t>
            </w:r>
          </w:p>
        </w:tc>
        <w:tc>
          <w:tcPr>
            <w:tcW w:w="845" w:type="dxa"/>
            <w:tcBorders>
              <w:top w:val="nil"/>
              <w:left w:val="nil"/>
              <w:bottom w:val="single" w:sz="4" w:space="0" w:color="auto"/>
              <w:right w:val="single" w:sz="4" w:space="0" w:color="auto"/>
            </w:tcBorders>
            <w:vAlign w:val="center"/>
            <w:hideMark/>
          </w:tcPr>
          <w:p w14:paraId="66F9DBB0" w14:textId="579569B6"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446.1</w:t>
            </w:r>
          </w:p>
        </w:tc>
        <w:tc>
          <w:tcPr>
            <w:tcW w:w="669" w:type="dxa"/>
            <w:tcBorders>
              <w:top w:val="nil"/>
              <w:left w:val="nil"/>
              <w:bottom w:val="single" w:sz="4" w:space="0" w:color="auto"/>
              <w:right w:val="single" w:sz="4" w:space="0" w:color="auto"/>
            </w:tcBorders>
            <w:vAlign w:val="center"/>
          </w:tcPr>
          <w:p w14:paraId="1A6DE926" w14:textId="78BCC5CA" w:rsidR="0062332D" w:rsidRPr="00767C21" w:rsidRDefault="00A6172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1.25</w:t>
            </w:r>
          </w:p>
        </w:tc>
        <w:tc>
          <w:tcPr>
            <w:tcW w:w="789" w:type="dxa"/>
            <w:tcBorders>
              <w:top w:val="nil"/>
              <w:left w:val="nil"/>
              <w:bottom w:val="single" w:sz="4" w:space="0" w:color="auto"/>
              <w:right w:val="single" w:sz="4" w:space="0" w:color="auto"/>
            </w:tcBorders>
            <w:vAlign w:val="center"/>
          </w:tcPr>
          <w:p w14:paraId="0596141A" w14:textId="6A435DA7"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698DCCE2" w14:textId="3CCB9C99"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7FF9F714" w14:textId="63875699" w:rsidR="0062332D" w:rsidRPr="00767C21" w:rsidRDefault="00A61726"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2.09</w:t>
            </w:r>
          </w:p>
        </w:tc>
        <w:tc>
          <w:tcPr>
            <w:tcW w:w="809" w:type="dxa"/>
            <w:tcBorders>
              <w:top w:val="nil"/>
              <w:left w:val="nil"/>
              <w:bottom w:val="single" w:sz="4" w:space="0" w:color="auto"/>
              <w:right w:val="single" w:sz="4" w:space="0" w:color="auto"/>
            </w:tcBorders>
            <w:noWrap/>
            <w:vAlign w:val="center"/>
          </w:tcPr>
          <w:p w14:paraId="3388B992" w14:textId="6AA80456"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1F43E0E5" w14:textId="324B3F30"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0.37</w:t>
            </w:r>
          </w:p>
        </w:tc>
        <w:tc>
          <w:tcPr>
            <w:tcW w:w="899" w:type="dxa"/>
            <w:tcBorders>
              <w:top w:val="nil"/>
              <w:left w:val="nil"/>
              <w:bottom w:val="single" w:sz="4" w:space="0" w:color="auto"/>
              <w:right w:val="single" w:sz="4" w:space="0" w:color="auto"/>
            </w:tcBorders>
            <w:vAlign w:val="center"/>
          </w:tcPr>
          <w:p w14:paraId="0A177647" w14:textId="4E8CC73E"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0.30</w:t>
            </w:r>
          </w:p>
        </w:tc>
        <w:tc>
          <w:tcPr>
            <w:tcW w:w="768" w:type="dxa"/>
            <w:tcBorders>
              <w:top w:val="nil"/>
              <w:left w:val="nil"/>
              <w:bottom w:val="single" w:sz="4" w:space="0" w:color="auto"/>
              <w:right w:val="single" w:sz="4" w:space="0" w:color="auto"/>
            </w:tcBorders>
            <w:vAlign w:val="center"/>
          </w:tcPr>
          <w:p w14:paraId="41214767" w14:textId="7D66D2B9" w:rsidR="0062332D" w:rsidRPr="00767C21" w:rsidRDefault="0062332D"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tcPr>
          <w:p w14:paraId="34BD0A71" w14:textId="0BC3D853"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tcPr>
          <w:p w14:paraId="53466A97" w14:textId="7EB671CC" w:rsidR="0062332D" w:rsidRPr="00767C21" w:rsidRDefault="0062332D"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850.47</w:t>
            </w:r>
          </w:p>
        </w:tc>
      </w:tr>
      <w:tr w:rsidR="00AC6710" w:rsidRPr="00767C21" w14:paraId="0BA0BD5C"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300B2654" w14:textId="77777777" w:rsidR="0062332D" w:rsidRPr="00767C21" w:rsidRDefault="0062332D"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 Arunachal Pradesh</w:t>
            </w:r>
          </w:p>
        </w:tc>
        <w:tc>
          <w:tcPr>
            <w:tcW w:w="704" w:type="dxa"/>
            <w:tcBorders>
              <w:top w:val="nil"/>
              <w:left w:val="nil"/>
              <w:bottom w:val="single" w:sz="4" w:space="0" w:color="auto"/>
              <w:right w:val="single" w:sz="4" w:space="0" w:color="auto"/>
            </w:tcBorders>
            <w:vAlign w:val="center"/>
            <w:hideMark/>
          </w:tcPr>
          <w:p w14:paraId="36CA313E" w14:textId="734EB15B"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hideMark/>
          </w:tcPr>
          <w:p w14:paraId="05CFF15E" w14:textId="2CF6DBA8"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hideMark/>
          </w:tcPr>
          <w:p w14:paraId="156B4E76" w14:textId="15558F94"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hideMark/>
          </w:tcPr>
          <w:p w14:paraId="50ADB7E5" w14:textId="0E71E88D"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04" w:type="dxa"/>
            <w:tcBorders>
              <w:top w:val="nil"/>
              <w:left w:val="nil"/>
              <w:bottom w:val="single" w:sz="4" w:space="0" w:color="auto"/>
              <w:right w:val="single" w:sz="4" w:space="0" w:color="auto"/>
            </w:tcBorders>
            <w:vAlign w:val="center"/>
            <w:hideMark/>
          </w:tcPr>
          <w:p w14:paraId="33749A6B" w14:textId="42F31D26"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45" w:type="dxa"/>
            <w:tcBorders>
              <w:top w:val="nil"/>
              <w:left w:val="nil"/>
              <w:bottom w:val="single" w:sz="4" w:space="0" w:color="auto"/>
              <w:right w:val="single" w:sz="4" w:space="0" w:color="auto"/>
            </w:tcBorders>
            <w:vAlign w:val="center"/>
            <w:hideMark/>
          </w:tcPr>
          <w:p w14:paraId="1B54C6A0" w14:textId="03B20FED" w:rsidR="0062332D" w:rsidRPr="00767C21" w:rsidRDefault="00380C74"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0.30</w:t>
            </w:r>
          </w:p>
        </w:tc>
        <w:tc>
          <w:tcPr>
            <w:tcW w:w="845" w:type="dxa"/>
            <w:tcBorders>
              <w:top w:val="nil"/>
              <w:left w:val="nil"/>
              <w:bottom w:val="single" w:sz="4" w:space="0" w:color="auto"/>
              <w:right w:val="single" w:sz="4" w:space="0" w:color="auto"/>
            </w:tcBorders>
            <w:vAlign w:val="center"/>
            <w:hideMark/>
          </w:tcPr>
          <w:p w14:paraId="1E54B41B" w14:textId="6119B7C2" w:rsidR="0062332D" w:rsidRPr="00767C21" w:rsidRDefault="00380C74"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125.32</w:t>
            </w:r>
          </w:p>
        </w:tc>
        <w:tc>
          <w:tcPr>
            <w:tcW w:w="669" w:type="dxa"/>
            <w:tcBorders>
              <w:top w:val="nil"/>
              <w:left w:val="nil"/>
              <w:bottom w:val="single" w:sz="4" w:space="0" w:color="auto"/>
              <w:right w:val="single" w:sz="4" w:space="0" w:color="auto"/>
            </w:tcBorders>
            <w:vAlign w:val="center"/>
          </w:tcPr>
          <w:p w14:paraId="328E2A54" w14:textId="552CB553"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2FAAD0A" w14:textId="3B6963F6"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35CD07EA" w14:textId="0689BE30" w:rsidR="0062332D"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41.13</w:t>
            </w:r>
          </w:p>
        </w:tc>
        <w:tc>
          <w:tcPr>
            <w:tcW w:w="709" w:type="dxa"/>
            <w:tcBorders>
              <w:top w:val="nil"/>
              <w:left w:val="nil"/>
              <w:bottom w:val="single" w:sz="4" w:space="0" w:color="auto"/>
              <w:right w:val="single" w:sz="4" w:space="0" w:color="auto"/>
            </w:tcBorders>
            <w:noWrap/>
            <w:vAlign w:val="center"/>
          </w:tcPr>
          <w:p w14:paraId="15B56717" w14:textId="7D1616DC"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6B4090FB" w14:textId="25AD1BF4"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hideMark/>
          </w:tcPr>
          <w:p w14:paraId="2706CCCB" w14:textId="32AB8450" w:rsidR="0062332D" w:rsidRPr="00767C21" w:rsidRDefault="0062332D"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899" w:type="dxa"/>
            <w:tcBorders>
              <w:top w:val="nil"/>
              <w:left w:val="nil"/>
              <w:bottom w:val="single" w:sz="4" w:space="0" w:color="auto"/>
              <w:right w:val="single" w:sz="4" w:space="0" w:color="auto"/>
            </w:tcBorders>
            <w:vAlign w:val="center"/>
            <w:hideMark/>
          </w:tcPr>
          <w:p w14:paraId="4AEB58E5" w14:textId="78FFCE0C"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68" w:type="dxa"/>
            <w:tcBorders>
              <w:top w:val="nil"/>
              <w:left w:val="nil"/>
              <w:bottom w:val="single" w:sz="4" w:space="0" w:color="auto"/>
              <w:right w:val="single" w:sz="4" w:space="0" w:color="auto"/>
            </w:tcBorders>
            <w:vAlign w:val="center"/>
          </w:tcPr>
          <w:p w14:paraId="41BE182B" w14:textId="6CAF09ED" w:rsidR="0062332D" w:rsidRPr="00767C21" w:rsidRDefault="0062332D"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4B1EE55" w14:textId="08908C29" w:rsidR="0062332D" w:rsidRPr="00767C21" w:rsidRDefault="0062332D"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2910FC03" w14:textId="3384E54F" w:rsidR="0062332D" w:rsidRPr="00767C21" w:rsidRDefault="00380C74"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166.58</w:t>
            </w:r>
          </w:p>
        </w:tc>
      </w:tr>
      <w:tr w:rsidR="00AC6710" w:rsidRPr="00767C21" w14:paraId="4C925461"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308D23BA" w14:textId="77777777" w:rsidR="00B734E6" w:rsidRPr="00767C21" w:rsidRDefault="00B734E6"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 Assam</w:t>
            </w:r>
          </w:p>
        </w:tc>
        <w:tc>
          <w:tcPr>
            <w:tcW w:w="704" w:type="dxa"/>
            <w:tcBorders>
              <w:top w:val="nil"/>
              <w:left w:val="nil"/>
              <w:bottom w:val="single" w:sz="4" w:space="0" w:color="auto"/>
              <w:right w:val="single" w:sz="4" w:space="0" w:color="auto"/>
            </w:tcBorders>
            <w:vAlign w:val="center"/>
            <w:hideMark/>
          </w:tcPr>
          <w:p w14:paraId="31A05DFA" w14:textId="2C5DC6A8"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hideMark/>
          </w:tcPr>
          <w:p w14:paraId="70421DA1" w14:textId="6837860B"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hideMark/>
          </w:tcPr>
          <w:p w14:paraId="33779337" w14:textId="351E5240"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hideMark/>
          </w:tcPr>
          <w:p w14:paraId="0D5763D9" w14:textId="7D84BC44"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143.38</w:t>
            </w:r>
          </w:p>
        </w:tc>
        <w:tc>
          <w:tcPr>
            <w:tcW w:w="704" w:type="dxa"/>
            <w:tcBorders>
              <w:top w:val="nil"/>
              <w:left w:val="nil"/>
              <w:bottom w:val="single" w:sz="4" w:space="0" w:color="auto"/>
              <w:right w:val="single" w:sz="4" w:space="0" w:color="auto"/>
            </w:tcBorders>
            <w:vAlign w:val="center"/>
            <w:hideMark/>
          </w:tcPr>
          <w:p w14:paraId="6C9E3E84" w14:textId="75888D86"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16.10</w:t>
            </w:r>
          </w:p>
        </w:tc>
        <w:tc>
          <w:tcPr>
            <w:tcW w:w="845" w:type="dxa"/>
            <w:tcBorders>
              <w:top w:val="nil"/>
              <w:left w:val="nil"/>
              <w:bottom w:val="single" w:sz="4" w:space="0" w:color="auto"/>
              <w:right w:val="single" w:sz="4" w:space="0" w:color="auto"/>
            </w:tcBorders>
            <w:vAlign w:val="center"/>
            <w:hideMark/>
          </w:tcPr>
          <w:p w14:paraId="0DD1411F" w14:textId="249AD2A1"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70.95</w:t>
            </w:r>
          </w:p>
        </w:tc>
        <w:tc>
          <w:tcPr>
            <w:tcW w:w="845" w:type="dxa"/>
            <w:tcBorders>
              <w:top w:val="nil"/>
              <w:left w:val="nil"/>
              <w:bottom w:val="single" w:sz="4" w:space="0" w:color="auto"/>
              <w:right w:val="single" w:sz="4" w:space="0" w:color="auto"/>
            </w:tcBorders>
            <w:vAlign w:val="center"/>
            <w:hideMark/>
          </w:tcPr>
          <w:p w14:paraId="2FBBFCC8" w14:textId="6D81B1BD"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528.84</w:t>
            </w:r>
          </w:p>
        </w:tc>
        <w:tc>
          <w:tcPr>
            <w:tcW w:w="669" w:type="dxa"/>
            <w:tcBorders>
              <w:top w:val="nil"/>
              <w:left w:val="nil"/>
              <w:bottom w:val="single" w:sz="4" w:space="0" w:color="auto"/>
              <w:right w:val="single" w:sz="4" w:space="0" w:color="auto"/>
            </w:tcBorders>
            <w:vAlign w:val="center"/>
          </w:tcPr>
          <w:p w14:paraId="59DD592D" w14:textId="42A0FC2F"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BB2E8FE" w14:textId="7EDC29C3" w:rsidR="00B734E6"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5.98</w:t>
            </w:r>
          </w:p>
        </w:tc>
        <w:tc>
          <w:tcPr>
            <w:tcW w:w="851" w:type="dxa"/>
            <w:tcBorders>
              <w:top w:val="nil"/>
              <w:left w:val="nil"/>
              <w:bottom w:val="single" w:sz="4" w:space="0" w:color="auto"/>
              <w:right w:val="single" w:sz="4" w:space="0" w:color="auto"/>
            </w:tcBorders>
            <w:vAlign w:val="center"/>
          </w:tcPr>
          <w:p w14:paraId="39A1235A" w14:textId="3326CDE6"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75D60DAE" w14:textId="2132C11A"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2FD7D22F" w14:textId="2F350CA4"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05A7263A" w14:textId="51BF84D8" w:rsidR="00B734E6"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0.35</w:t>
            </w:r>
          </w:p>
        </w:tc>
        <w:tc>
          <w:tcPr>
            <w:tcW w:w="899" w:type="dxa"/>
            <w:tcBorders>
              <w:top w:val="nil"/>
              <w:left w:val="nil"/>
              <w:bottom w:val="single" w:sz="4" w:space="0" w:color="auto"/>
              <w:right w:val="single" w:sz="4" w:space="0" w:color="auto"/>
            </w:tcBorders>
            <w:vAlign w:val="center"/>
            <w:hideMark/>
          </w:tcPr>
          <w:p w14:paraId="787227AE" w14:textId="3724079C" w:rsidR="00B734E6" w:rsidRPr="00767C21" w:rsidRDefault="00B734E6"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0.45</w:t>
            </w:r>
          </w:p>
        </w:tc>
        <w:tc>
          <w:tcPr>
            <w:tcW w:w="768" w:type="dxa"/>
            <w:tcBorders>
              <w:top w:val="nil"/>
              <w:left w:val="nil"/>
              <w:bottom w:val="single" w:sz="4" w:space="0" w:color="auto"/>
              <w:right w:val="single" w:sz="4" w:space="0" w:color="auto"/>
            </w:tcBorders>
            <w:vAlign w:val="center"/>
          </w:tcPr>
          <w:p w14:paraId="4E692948" w14:textId="121CB9B8" w:rsidR="00B734E6" w:rsidRPr="00767C21" w:rsidRDefault="00B734E6"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3619EBA" w14:textId="2107466A"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0.52</w:t>
            </w:r>
          </w:p>
        </w:tc>
        <w:tc>
          <w:tcPr>
            <w:tcW w:w="956" w:type="dxa"/>
            <w:tcBorders>
              <w:top w:val="nil"/>
              <w:left w:val="nil"/>
              <w:bottom w:val="single" w:sz="4" w:space="0" w:color="auto"/>
              <w:right w:val="single" w:sz="4" w:space="0" w:color="auto"/>
            </w:tcBorders>
            <w:vAlign w:val="center"/>
            <w:hideMark/>
          </w:tcPr>
          <w:p w14:paraId="43130ACE" w14:textId="77777777" w:rsidR="00B734E6" w:rsidRPr="00767C21" w:rsidRDefault="00B734E6"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811.67</w:t>
            </w:r>
          </w:p>
        </w:tc>
      </w:tr>
      <w:tr w:rsidR="00AC6710" w:rsidRPr="00767C21" w14:paraId="2E73A73F"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4BBFB63"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 Bihar</w:t>
            </w:r>
          </w:p>
        </w:tc>
        <w:tc>
          <w:tcPr>
            <w:tcW w:w="704" w:type="dxa"/>
            <w:tcBorders>
              <w:top w:val="nil"/>
              <w:left w:val="nil"/>
              <w:bottom w:val="single" w:sz="4" w:space="0" w:color="auto"/>
              <w:right w:val="single" w:sz="4" w:space="0" w:color="auto"/>
            </w:tcBorders>
            <w:vAlign w:val="center"/>
            <w:hideMark/>
          </w:tcPr>
          <w:p w14:paraId="5AA7B8E4" w14:textId="628F3BC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6F6CD7F2" w14:textId="6ED8E57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3DA545F1" w14:textId="3BE582D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0878FF1A" w14:textId="65C8C95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251.85</w:t>
            </w:r>
          </w:p>
        </w:tc>
        <w:tc>
          <w:tcPr>
            <w:tcW w:w="704" w:type="dxa"/>
            <w:tcBorders>
              <w:top w:val="nil"/>
              <w:left w:val="nil"/>
              <w:bottom w:val="single" w:sz="4" w:space="0" w:color="auto"/>
              <w:right w:val="single" w:sz="4" w:space="0" w:color="auto"/>
            </w:tcBorders>
            <w:vAlign w:val="center"/>
          </w:tcPr>
          <w:p w14:paraId="24DF460A" w14:textId="62E0524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58.05</w:t>
            </w:r>
          </w:p>
        </w:tc>
        <w:tc>
          <w:tcPr>
            <w:tcW w:w="845" w:type="dxa"/>
            <w:tcBorders>
              <w:top w:val="nil"/>
              <w:left w:val="nil"/>
              <w:bottom w:val="single" w:sz="4" w:space="0" w:color="auto"/>
              <w:right w:val="single" w:sz="4" w:space="0" w:color="auto"/>
            </w:tcBorders>
            <w:vAlign w:val="center"/>
          </w:tcPr>
          <w:p w14:paraId="248EACF3" w14:textId="52C1B24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257.75</w:t>
            </w:r>
          </w:p>
        </w:tc>
        <w:tc>
          <w:tcPr>
            <w:tcW w:w="845" w:type="dxa"/>
            <w:tcBorders>
              <w:top w:val="nil"/>
              <w:left w:val="nil"/>
              <w:bottom w:val="single" w:sz="4" w:space="0" w:color="auto"/>
              <w:right w:val="single" w:sz="4" w:space="0" w:color="auto"/>
            </w:tcBorders>
            <w:vAlign w:val="center"/>
          </w:tcPr>
          <w:p w14:paraId="108DAC6A" w14:textId="6BE04B7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565.44</w:t>
            </w:r>
          </w:p>
        </w:tc>
        <w:tc>
          <w:tcPr>
            <w:tcW w:w="669" w:type="dxa"/>
            <w:tcBorders>
              <w:top w:val="nil"/>
              <w:left w:val="nil"/>
              <w:bottom w:val="single" w:sz="4" w:space="0" w:color="auto"/>
              <w:right w:val="single" w:sz="4" w:space="0" w:color="auto"/>
            </w:tcBorders>
            <w:vAlign w:val="center"/>
          </w:tcPr>
          <w:p w14:paraId="261C1296" w14:textId="1250B7D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E01C130" w14:textId="0F430DE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445D06DC" w14:textId="2418512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12.50</w:t>
            </w:r>
          </w:p>
        </w:tc>
        <w:tc>
          <w:tcPr>
            <w:tcW w:w="709" w:type="dxa"/>
            <w:tcBorders>
              <w:top w:val="nil"/>
              <w:left w:val="nil"/>
              <w:bottom w:val="single" w:sz="4" w:space="0" w:color="auto"/>
              <w:right w:val="single" w:sz="4" w:space="0" w:color="auto"/>
            </w:tcBorders>
            <w:noWrap/>
            <w:vAlign w:val="center"/>
          </w:tcPr>
          <w:p w14:paraId="3FDCF725" w14:textId="12B0DE5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1B021C63" w14:textId="34F76A2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3B07C28E" w14:textId="39AF430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0.35</w:t>
            </w:r>
          </w:p>
        </w:tc>
        <w:tc>
          <w:tcPr>
            <w:tcW w:w="899" w:type="dxa"/>
            <w:tcBorders>
              <w:top w:val="nil"/>
              <w:left w:val="nil"/>
              <w:bottom w:val="single" w:sz="4" w:space="0" w:color="auto"/>
              <w:right w:val="single" w:sz="4" w:space="0" w:color="auto"/>
            </w:tcBorders>
            <w:vAlign w:val="center"/>
          </w:tcPr>
          <w:p w14:paraId="33BF8B17" w14:textId="7C44C13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1.49</w:t>
            </w:r>
          </w:p>
        </w:tc>
        <w:tc>
          <w:tcPr>
            <w:tcW w:w="768" w:type="dxa"/>
            <w:tcBorders>
              <w:top w:val="nil"/>
              <w:left w:val="nil"/>
              <w:bottom w:val="single" w:sz="4" w:space="0" w:color="auto"/>
              <w:right w:val="single" w:sz="4" w:space="0" w:color="auto"/>
            </w:tcBorders>
            <w:vAlign w:val="center"/>
          </w:tcPr>
          <w:p w14:paraId="5647D276" w14:textId="730D7B9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1C61E24B" w14:textId="2BF56AE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8.58</w:t>
            </w:r>
          </w:p>
        </w:tc>
        <w:tc>
          <w:tcPr>
            <w:tcW w:w="956" w:type="dxa"/>
            <w:tcBorders>
              <w:top w:val="nil"/>
              <w:left w:val="nil"/>
              <w:bottom w:val="single" w:sz="4" w:space="0" w:color="auto"/>
              <w:right w:val="single" w:sz="4" w:space="0" w:color="auto"/>
            </w:tcBorders>
            <w:vAlign w:val="center"/>
            <w:hideMark/>
          </w:tcPr>
          <w:p w14:paraId="72332086"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1156.01</w:t>
            </w:r>
          </w:p>
        </w:tc>
      </w:tr>
      <w:tr w:rsidR="00AC6710" w:rsidRPr="00767C21" w14:paraId="627257F7"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5E3EB63"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 Goa</w:t>
            </w:r>
          </w:p>
        </w:tc>
        <w:tc>
          <w:tcPr>
            <w:tcW w:w="704" w:type="dxa"/>
            <w:tcBorders>
              <w:top w:val="nil"/>
              <w:left w:val="nil"/>
              <w:bottom w:val="single" w:sz="4" w:space="0" w:color="auto"/>
              <w:right w:val="single" w:sz="4" w:space="0" w:color="auto"/>
            </w:tcBorders>
            <w:vAlign w:val="center"/>
            <w:hideMark/>
          </w:tcPr>
          <w:p w14:paraId="33CA0417" w14:textId="01140F4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hideMark/>
          </w:tcPr>
          <w:p w14:paraId="680BB900" w14:textId="799B7A1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24C51C41" w14:textId="44A018B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38D9A8A1" w14:textId="0DAD18E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4" w:type="dxa"/>
            <w:tcBorders>
              <w:top w:val="nil"/>
              <w:left w:val="nil"/>
              <w:bottom w:val="single" w:sz="4" w:space="0" w:color="auto"/>
              <w:right w:val="single" w:sz="4" w:space="0" w:color="auto"/>
            </w:tcBorders>
            <w:vAlign w:val="center"/>
            <w:hideMark/>
          </w:tcPr>
          <w:p w14:paraId="1126F91D" w14:textId="5CA8FB3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45" w:type="dxa"/>
            <w:tcBorders>
              <w:top w:val="nil"/>
              <w:left w:val="nil"/>
              <w:bottom w:val="single" w:sz="4" w:space="0" w:color="auto"/>
              <w:right w:val="single" w:sz="4" w:space="0" w:color="auto"/>
            </w:tcBorders>
            <w:vAlign w:val="center"/>
            <w:hideMark/>
          </w:tcPr>
          <w:p w14:paraId="1F2F9219" w14:textId="4D52448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1.22</w:t>
            </w:r>
          </w:p>
        </w:tc>
        <w:tc>
          <w:tcPr>
            <w:tcW w:w="845" w:type="dxa"/>
            <w:tcBorders>
              <w:top w:val="nil"/>
              <w:left w:val="nil"/>
              <w:bottom w:val="single" w:sz="4" w:space="0" w:color="auto"/>
              <w:right w:val="single" w:sz="4" w:space="0" w:color="auto"/>
            </w:tcBorders>
            <w:vAlign w:val="center"/>
            <w:hideMark/>
          </w:tcPr>
          <w:p w14:paraId="7F048446" w14:textId="18A6B12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201.49</w:t>
            </w:r>
          </w:p>
        </w:tc>
        <w:tc>
          <w:tcPr>
            <w:tcW w:w="669" w:type="dxa"/>
            <w:tcBorders>
              <w:top w:val="nil"/>
              <w:left w:val="nil"/>
              <w:bottom w:val="single" w:sz="4" w:space="0" w:color="auto"/>
              <w:right w:val="single" w:sz="4" w:space="0" w:color="auto"/>
            </w:tcBorders>
            <w:vAlign w:val="center"/>
          </w:tcPr>
          <w:p w14:paraId="6B535E4C" w14:textId="1991DB8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85586F6" w14:textId="4001A13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0427873A" w14:textId="1230658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53.47</w:t>
            </w:r>
          </w:p>
        </w:tc>
        <w:tc>
          <w:tcPr>
            <w:tcW w:w="709" w:type="dxa"/>
            <w:tcBorders>
              <w:top w:val="nil"/>
              <w:left w:val="nil"/>
              <w:bottom w:val="single" w:sz="4" w:space="0" w:color="auto"/>
              <w:right w:val="single" w:sz="4" w:space="0" w:color="auto"/>
            </w:tcBorders>
            <w:noWrap/>
            <w:vAlign w:val="center"/>
          </w:tcPr>
          <w:p w14:paraId="7B7B7949" w14:textId="5273D00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4AE8CEB8" w14:textId="1A79EC8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604F4395" w14:textId="13AACFC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0.03</w:t>
            </w:r>
          </w:p>
        </w:tc>
        <w:tc>
          <w:tcPr>
            <w:tcW w:w="899" w:type="dxa"/>
            <w:tcBorders>
              <w:top w:val="nil"/>
              <w:left w:val="nil"/>
              <w:bottom w:val="single" w:sz="4" w:space="0" w:color="auto"/>
              <w:right w:val="single" w:sz="4" w:space="0" w:color="auto"/>
            </w:tcBorders>
            <w:vAlign w:val="center"/>
          </w:tcPr>
          <w:p w14:paraId="5BE083B1" w14:textId="3575BA8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68" w:type="dxa"/>
            <w:tcBorders>
              <w:top w:val="nil"/>
              <w:left w:val="nil"/>
              <w:bottom w:val="single" w:sz="4" w:space="0" w:color="auto"/>
              <w:right w:val="single" w:sz="4" w:space="0" w:color="auto"/>
            </w:tcBorders>
            <w:vAlign w:val="center"/>
          </w:tcPr>
          <w:p w14:paraId="4F2911F7" w14:textId="674C49F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75A30373" w14:textId="59BA270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09C84100"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256.21</w:t>
            </w:r>
          </w:p>
        </w:tc>
      </w:tr>
      <w:tr w:rsidR="00AC6710" w:rsidRPr="00767C21" w14:paraId="46BBC3A8"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57A59D0F"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 Gujarat</w:t>
            </w:r>
          </w:p>
        </w:tc>
        <w:tc>
          <w:tcPr>
            <w:tcW w:w="704" w:type="dxa"/>
            <w:tcBorders>
              <w:top w:val="nil"/>
              <w:left w:val="nil"/>
              <w:bottom w:val="single" w:sz="4" w:space="0" w:color="auto"/>
              <w:right w:val="single" w:sz="4" w:space="0" w:color="auto"/>
            </w:tcBorders>
            <w:vAlign w:val="center"/>
            <w:hideMark/>
          </w:tcPr>
          <w:p w14:paraId="07872BBC" w14:textId="4DE6B88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119.30</w:t>
            </w:r>
          </w:p>
        </w:tc>
        <w:tc>
          <w:tcPr>
            <w:tcW w:w="580" w:type="dxa"/>
            <w:tcBorders>
              <w:top w:val="nil"/>
              <w:left w:val="nil"/>
              <w:bottom w:val="single" w:sz="4" w:space="0" w:color="auto"/>
              <w:right w:val="single" w:sz="4" w:space="0" w:color="auto"/>
            </w:tcBorders>
            <w:vAlign w:val="center"/>
          </w:tcPr>
          <w:p w14:paraId="67A57242" w14:textId="13D11B7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511D3933" w14:textId="7DF3FA2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69283098" w14:textId="2781795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65.10</w:t>
            </w:r>
          </w:p>
        </w:tc>
        <w:tc>
          <w:tcPr>
            <w:tcW w:w="704" w:type="dxa"/>
            <w:tcBorders>
              <w:top w:val="nil"/>
              <w:left w:val="nil"/>
              <w:bottom w:val="single" w:sz="4" w:space="0" w:color="auto"/>
              <w:right w:val="single" w:sz="4" w:space="0" w:color="auto"/>
            </w:tcBorders>
            <w:vAlign w:val="center"/>
          </w:tcPr>
          <w:p w14:paraId="45DD139B" w14:textId="2D19BF3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34.30</w:t>
            </w:r>
          </w:p>
        </w:tc>
        <w:tc>
          <w:tcPr>
            <w:tcW w:w="845" w:type="dxa"/>
            <w:tcBorders>
              <w:top w:val="nil"/>
              <w:left w:val="nil"/>
              <w:bottom w:val="single" w:sz="4" w:space="0" w:color="auto"/>
              <w:right w:val="single" w:sz="4" w:space="0" w:color="auto"/>
            </w:tcBorders>
            <w:vAlign w:val="center"/>
            <w:hideMark/>
          </w:tcPr>
          <w:p w14:paraId="4D45F9B9" w14:textId="0C5AA7A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311.55</w:t>
            </w:r>
          </w:p>
        </w:tc>
        <w:tc>
          <w:tcPr>
            <w:tcW w:w="845" w:type="dxa"/>
            <w:tcBorders>
              <w:top w:val="nil"/>
              <w:left w:val="nil"/>
              <w:bottom w:val="single" w:sz="4" w:space="0" w:color="auto"/>
              <w:right w:val="single" w:sz="4" w:space="0" w:color="auto"/>
            </w:tcBorders>
            <w:vAlign w:val="center"/>
            <w:hideMark/>
          </w:tcPr>
          <w:p w14:paraId="108A14F0" w14:textId="27120A4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289.95</w:t>
            </w:r>
          </w:p>
        </w:tc>
        <w:tc>
          <w:tcPr>
            <w:tcW w:w="669" w:type="dxa"/>
            <w:tcBorders>
              <w:top w:val="nil"/>
              <w:left w:val="nil"/>
              <w:bottom w:val="single" w:sz="4" w:space="0" w:color="auto"/>
              <w:right w:val="single" w:sz="4" w:space="0" w:color="auto"/>
            </w:tcBorders>
            <w:vAlign w:val="center"/>
          </w:tcPr>
          <w:p w14:paraId="1C51EFCA" w14:textId="265FCCB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0E68DF7E" w14:textId="7F316E4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6852A6B5" w14:textId="1E55274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45D267F6" w14:textId="73AFF98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63.56</w:t>
            </w:r>
          </w:p>
        </w:tc>
        <w:tc>
          <w:tcPr>
            <w:tcW w:w="809" w:type="dxa"/>
            <w:tcBorders>
              <w:top w:val="nil"/>
              <w:left w:val="nil"/>
              <w:bottom w:val="single" w:sz="4" w:space="0" w:color="auto"/>
              <w:right w:val="single" w:sz="4" w:space="0" w:color="auto"/>
            </w:tcBorders>
            <w:noWrap/>
            <w:vAlign w:val="center"/>
          </w:tcPr>
          <w:p w14:paraId="33EB2C06" w14:textId="0B9F6DC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6004ABFC" w14:textId="1AF1477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0.35</w:t>
            </w:r>
          </w:p>
        </w:tc>
        <w:tc>
          <w:tcPr>
            <w:tcW w:w="899" w:type="dxa"/>
            <w:tcBorders>
              <w:top w:val="nil"/>
              <w:left w:val="nil"/>
              <w:bottom w:val="single" w:sz="4" w:space="0" w:color="auto"/>
              <w:right w:val="single" w:sz="4" w:space="0" w:color="auto"/>
            </w:tcBorders>
            <w:vAlign w:val="center"/>
          </w:tcPr>
          <w:p w14:paraId="2E46B92A" w14:textId="5A5738F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0.60</w:t>
            </w:r>
          </w:p>
        </w:tc>
        <w:tc>
          <w:tcPr>
            <w:tcW w:w="768" w:type="dxa"/>
            <w:tcBorders>
              <w:top w:val="nil"/>
              <w:left w:val="nil"/>
              <w:bottom w:val="single" w:sz="4" w:space="0" w:color="auto"/>
              <w:right w:val="single" w:sz="4" w:space="0" w:color="auto"/>
            </w:tcBorders>
            <w:vAlign w:val="center"/>
          </w:tcPr>
          <w:p w14:paraId="6A3A5932" w14:textId="74BD91F7"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5B7CC44E" w14:textId="5578EEC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5C83C8D0"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884.71</w:t>
            </w:r>
          </w:p>
        </w:tc>
      </w:tr>
      <w:tr w:rsidR="00AC6710" w:rsidRPr="00767C21" w14:paraId="07BC7B12"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C4DD3AE"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7. Haryana</w:t>
            </w:r>
          </w:p>
        </w:tc>
        <w:tc>
          <w:tcPr>
            <w:tcW w:w="704" w:type="dxa"/>
            <w:tcBorders>
              <w:top w:val="nil"/>
              <w:left w:val="nil"/>
              <w:bottom w:val="single" w:sz="4" w:space="0" w:color="auto"/>
              <w:right w:val="single" w:sz="4" w:space="0" w:color="auto"/>
            </w:tcBorders>
            <w:vAlign w:val="center"/>
          </w:tcPr>
          <w:p w14:paraId="40BE9746" w14:textId="77AB99F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20.28</w:t>
            </w:r>
          </w:p>
        </w:tc>
        <w:tc>
          <w:tcPr>
            <w:tcW w:w="580" w:type="dxa"/>
            <w:tcBorders>
              <w:top w:val="nil"/>
              <w:left w:val="nil"/>
              <w:bottom w:val="single" w:sz="4" w:space="0" w:color="auto"/>
              <w:right w:val="single" w:sz="4" w:space="0" w:color="auto"/>
            </w:tcBorders>
            <w:vAlign w:val="center"/>
          </w:tcPr>
          <w:p w14:paraId="6ABE22D5" w14:textId="3DD9AE1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1B4B2D62" w14:textId="3C26B9F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34.90</w:t>
            </w:r>
          </w:p>
        </w:tc>
        <w:tc>
          <w:tcPr>
            <w:tcW w:w="825" w:type="dxa"/>
            <w:tcBorders>
              <w:top w:val="nil"/>
              <w:left w:val="nil"/>
              <w:bottom w:val="single" w:sz="4" w:space="0" w:color="auto"/>
              <w:right w:val="single" w:sz="4" w:space="0" w:color="auto"/>
            </w:tcBorders>
            <w:vAlign w:val="center"/>
          </w:tcPr>
          <w:p w14:paraId="2E18C093" w14:textId="3A52201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29.45</w:t>
            </w:r>
          </w:p>
        </w:tc>
        <w:tc>
          <w:tcPr>
            <w:tcW w:w="704" w:type="dxa"/>
            <w:tcBorders>
              <w:top w:val="nil"/>
              <w:left w:val="nil"/>
              <w:bottom w:val="single" w:sz="4" w:space="0" w:color="auto"/>
              <w:right w:val="single" w:sz="4" w:space="0" w:color="auto"/>
            </w:tcBorders>
            <w:vAlign w:val="center"/>
          </w:tcPr>
          <w:p w14:paraId="06A0952F" w14:textId="1462D4B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15.05</w:t>
            </w:r>
          </w:p>
        </w:tc>
        <w:tc>
          <w:tcPr>
            <w:tcW w:w="845" w:type="dxa"/>
            <w:tcBorders>
              <w:top w:val="nil"/>
              <w:left w:val="nil"/>
              <w:bottom w:val="single" w:sz="4" w:space="0" w:color="auto"/>
              <w:right w:val="single" w:sz="4" w:space="0" w:color="auto"/>
            </w:tcBorders>
            <w:vAlign w:val="center"/>
          </w:tcPr>
          <w:p w14:paraId="5987CE04" w14:textId="52DB822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95.55</w:t>
            </w:r>
          </w:p>
        </w:tc>
        <w:tc>
          <w:tcPr>
            <w:tcW w:w="845" w:type="dxa"/>
            <w:tcBorders>
              <w:top w:val="nil"/>
              <w:left w:val="nil"/>
              <w:bottom w:val="single" w:sz="4" w:space="0" w:color="auto"/>
              <w:right w:val="single" w:sz="4" w:space="0" w:color="auto"/>
            </w:tcBorders>
            <w:vAlign w:val="center"/>
          </w:tcPr>
          <w:p w14:paraId="49F75428" w14:textId="4A1E1A5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139.07</w:t>
            </w:r>
          </w:p>
        </w:tc>
        <w:tc>
          <w:tcPr>
            <w:tcW w:w="669" w:type="dxa"/>
            <w:tcBorders>
              <w:top w:val="nil"/>
              <w:left w:val="nil"/>
              <w:bottom w:val="single" w:sz="4" w:space="0" w:color="auto"/>
              <w:right w:val="single" w:sz="4" w:space="0" w:color="auto"/>
            </w:tcBorders>
            <w:vAlign w:val="center"/>
          </w:tcPr>
          <w:p w14:paraId="3064612B" w14:textId="1CA571B1"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5F071E9" w14:textId="110873E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444EAF77" w14:textId="43D0C51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19AE4E6F" w14:textId="72E1D60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1.85</w:t>
            </w:r>
          </w:p>
        </w:tc>
        <w:tc>
          <w:tcPr>
            <w:tcW w:w="809" w:type="dxa"/>
            <w:tcBorders>
              <w:top w:val="nil"/>
              <w:left w:val="nil"/>
              <w:bottom w:val="single" w:sz="4" w:space="0" w:color="auto"/>
              <w:right w:val="single" w:sz="4" w:space="0" w:color="auto"/>
            </w:tcBorders>
            <w:noWrap/>
            <w:vAlign w:val="center"/>
          </w:tcPr>
          <w:p w14:paraId="4F03C8DF" w14:textId="443C7FB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5F3DF6F7" w14:textId="354FF2C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0.09</w:t>
            </w:r>
          </w:p>
        </w:tc>
        <w:tc>
          <w:tcPr>
            <w:tcW w:w="899" w:type="dxa"/>
            <w:tcBorders>
              <w:top w:val="nil"/>
              <w:left w:val="nil"/>
              <w:bottom w:val="single" w:sz="4" w:space="0" w:color="auto"/>
              <w:right w:val="single" w:sz="4" w:space="0" w:color="auto"/>
            </w:tcBorders>
            <w:vAlign w:val="center"/>
          </w:tcPr>
          <w:p w14:paraId="67384768" w14:textId="6CEE03E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0.26</w:t>
            </w:r>
          </w:p>
        </w:tc>
        <w:tc>
          <w:tcPr>
            <w:tcW w:w="768" w:type="dxa"/>
            <w:tcBorders>
              <w:top w:val="nil"/>
              <w:left w:val="nil"/>
              <w:bottom w:val="single" w:sz="4" w:space="0" w:color="auto"/>
              <w:right w:val="single" w:sz="4" w:space="0" w:color="auto"/>
            </w:tcBorders>
            <w:vAlign w:val="center"/>
          </w:tcPr>
          <w:p w14:paraId="75184D46" w14:textId="2795B4C2"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4059773B" w14:textId="1B6DD01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433FF590" w14:textId="627E2F9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336.50</w:t>
            </w:r>
          </w:p>
        </w:tc>
      </w:tr>
      <w:tr w:rsidR="00AC6710" w:rsidRPr="00767C21" w14:paraId="2BC53C8D"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64CA0846"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 Himachal Pradesh</w:t>
            </w:r>
          </w:p>
        </w:tc>
        <w:tc>
          <w:tcPr>
            <w:tcW w:w="704" w:type="dxa"/>
            <w:tcBorders>
              <w:top w:val="nil"/>
              <w:left w:val="nil"/>
              <w:bottom w:val="single" w:sz="4" w:space="0" w:color="auto"/>
              <w:right w:val="single" w:sz="4" w:space="0" w:color="auto"/>
            </w:tcBorders>
            <w:vAlign w:val="center"/>
            <w:hideMark/>
          </w:tcPr>
          <w:p w14:paraId="35AC621C" w14:textId="5ED5D7B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313CAF9A" w14:textId="3B773E9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00298236" w14:textId="63EAA2D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53750E3C" w14:textId="56827EB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14.32</w:t>
            </w:r>
          </w:p>
        </w:tc>
        <w:tc>
          <w:tcPr>
            <w:tcW w:w="704" w:type="dxa"/>
            <w:tcBorders>
              <w:top w:val="nil"/>
              <w:left w:val="nil"/>
              <w:bottom w:val="single" w:sz="4" w:space="0" w:color="auto"/>
              <w:right w:val="single" w:sz="4" w:space="0" w:color="auto"/>
            </w:tcBorders>
            <w:vAlign w:val="center"/>
          </w:tcPr>
          <w:p w14:paraId="4CAFEB9D" w14:textId="67434AD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6.81</w:t>
            </w:r>
          </w:p>
        </w:tc>
        <w:tc>
          <w:tcPr>
            <w:tcW w:w="845" w:type="dxa"/>
            <w:tcBorders>
              <w:top w:val="nil"/>
              <w:left w:val="nil"/>
              <w:bottom w:val="single" w:sz="4" w:space="0" w:color="auto"/>
              <w:right w:val="single" w:sz="4" w:space="0" w:color="auto"/>
            </w:tcBorders>
            <w:vAlign w:val="center"/>
            <w:hideMark/>
          </w:tcPr>
          <w:p w14:paraId="13EEC9C5" w14:textId="3858C191"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37.78</w:t>
            </w:r>
          </w:p>
        </w:tc>
        <w:tc>
          <w:tcPr>
            <w:tcW w:w="845" w:type="dxa"/>
            <w:tcBorders>
              <w:top w:val="nil"/>
              <w:left w:val="nil"/>
              <w:bottom w:val="single" w:sz="4" w:space="0" w:color="auto"/>
              <w:right w:val="single" w:sz="4" w:space="0" w:color="auto"/>
            </w:tcBorders>
            <w:vAlign w:val="center"/>
            <w:hideMark/>
          </w:tcPr>
          <w:p w14:paraId="4ABF34FA" w14:textId="58DB28E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52.38</w:t>
            </w:r>
          </w:p>
        </w:tc>
        <w:tc>
          <w:tcPr>
            <w:tcW w:w="669" w:type="dxa"/>
            <w:tcBorders>
              <w:top w:val="nil"/>
              <w:left w:val="nil"/>
              <w:bottom w:val="single" w:sz="4" w:space="0" w:color="auto"/>
              <w:right w:val="single" w:sz="4" w:space="0" w:color="auto"/>
            </w:tcBorders>
            <w:vAlign w:val="center"/>
          </w:tcPr>
          <w:p w14:paraId="24602D52" w14:textId="3D306F2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8B755BE" w14:textId="2801B30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14.77</w:t>
            </w:r>
          </w:p>
        </w:tc>
        <w:tc>
          <w:tcPr>
            <w:tcW w:w="851" w:type="dxa"/>
            <w:tcBorders>
              <w:top w:val="nil"/>
              <w:left w:val="nil"/>
              <w:bottom w:val="single" w:sz="4" w:space="0" w:color="auto"/>
              <w:right w:val="single" w:sz="4" w:space="0" w:color="auto"/>
            </w:tcBorders>
            <w:vAlign w:val="center"/>
          </w:tcPr>
          <w:p w14:paraId="4C612148" w14:textId="3B266F6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45469708" w14:textId="649925A1"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1.08</w:t>
            </w:r>
          </w:p>
        </w:tc>
        <w:tc>
          <w:tcPr>
            <w:tcW w:w="809" w:type="dxa"/>
            <w:tcBorders>
              <w:top w:val="nil"/>
              <w:left w:val="nil"/>
              <w:bottom w:val="single" w:sz="4" w:space="0" w:color="auto"/>
              <w:right w:val="single" w:sz="4" w:space="0" w:color="auto"/>
            </w:tcBorders>
            <w:noWrap/>
            <w:vAlign w:val="center"/>
          </w:tcPr>
          <w:p w14:paraId="401CD982" w14:textId="0C52D20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2DD134A2" w14:textId="4EA7396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0.11</w:t>
            </w:r>
          </w:p>
        </w:tc>
        <w:tc>
          <w:tcPr>
            <w:tcW w:w="899" w:type="dxa"/>
            <w:tcBorders>
              <w:top w:val="nil"/>
              <w:left w:val="nil"/>
              <w:bottom w:val="single" w:sz="4" w:space="0" w:color="auto"/>
              <w:right w:val="single" w:sz="4" w:space="0" w:color="auto"/>
            </w:tcBorders>
            <w:vAlign w:val="center"/>
          </w:tcPr>
          <w:p w14:paraId="4DDCED9D" w14:textId="0218B30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0.47</w:t>
            </w:r>
          </w:p>
        </w:tc>
        <w:tc>
          <w:tcPr>
            <w:tcW w:w="768" w:type="dxa"/>
            <w:tcBorders>
              <w:top w:val="nil"/>
              <w:left w:val="nil"/>
              <w:bottom w:val="single" w:sz="4" w:space="0" w:color="auto"/>
              <w:right w:val="single" w:sz="4" w:space="0" w:color="auto"/>
            </w:tcBorders>
            <w:vAlign w:val="center"/>
          </w:tcPr>
          <w:p w14:paraId="2F9473CE" w14:textId="35442C0D"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6D2B8285" w14:textId="4CC1E9B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393B1C9B"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127.72</w:t>
            </w:r>
          </w:p>
        </w:tc>
      </w:tr>
      <w:tr w:rsidR="00AC6710" w:rsidRPr="00767C21" w14:paraId="6F5D4FDC"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48B0C9AF"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 Jammu and Kashmir</w:t>
            </w:r>
          </w:p>
        </w:tc>
        <w:tc>
          <w:tcPr>
            <w:tcW w:w="704" w:type="dxa"/>
            <w:tcBorders>
              <w:top w:val="nil"/>
              <w:left w:val="nil"/>
              <w:bottom w:val="single" w:sz="4" w:space="0" w:color="auto"/>
              <w:right w:val="single" w:sz="4" w:space="0" w:color="auto"/>
            </w:tcBorders>
            <w:vAlign w:val="center"/>
            <w:hideMark/>
          </w:tcPr>
          <w:p w14:paraId="41361DF5" w14:textId="462EED1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5428229C" w14:textId="38F39A5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22C49603" w14:textId="281B435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6ABBB4AC" w14:textId="68118EE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131.8</w:t>
            </w:r>
          </w:p>
        </w:tc>
        <w:tc>
          <w:tcPr>
            <w:tcW w:w="704" w:type="dxa"/>
            <w:tcBorders>
              <w:top w:val="nil"/>
              <w:left w:val="nil"/>
              <w:bottom w:val="single" w:sz="4" w:space="0" w:color="auto"/>
              <w:right w:val="single" w:sz="4" w:space="0" w:color="auto"/>
            </w:tcBorders>
            <w:vAlign w:val="center"/>
          </w:tcPr>
          <w:p w14:paraId="3E0F248B" w14:textId="04A39846"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4.05</w:t>
            </w:r>
          </w:p>
        </w:tc>
        <w:tc>
          <w:tcPr>
            <w:tcW w:w="845" w:type="dxa"/>
            <w:tcBorders>
              <w:top w:val="nil"/>
              <w:left w:val="nil"/>
              <w:bottom w:val="single" w:sz="4" w:space="0" w:color="auto"/>
              <w:right w:val="single" w:sz="4" w:space="0" w:color="auto"/>
            </w:tcBorders>
            <w:vAlign w:val="center"/>
            <w:hideMark/>
          </w:tcPr>
          <w:p w14:paraId="65F9BE36" w14:textId="3740FFA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26.42</w:t>
            </w:r>
          </w:p>
        </w:tc>
        <w:tc>
          <w:tcPr>
            <w:tcW w:w="845" w:type="dxa"/>
            <w:tcBorders>
              <w:top w:val="nil"/>
              <w:left w:val="nil"/>
              <w:bottom w:val="single" w:sz="4" w:space="0" w:color="auto"/>
              <w:right w:val="single" w:sz="4" w:space="0" w:color="auto"/>
            </w:tcBorders>
            <w:vAlign w:val="center"/>
            <w:hideMark/>
          </w:tcPr>
          <w:p w14:paraId="39031607" w14:textId="1BE5757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436.24</w:t>
            </w:r>
          </w:p>
        </w:tc>
        <w:tc>
          <w:tcPr>
            <w:tcW w:w="669" w:type="dxa"/>
            <w:tcBorders>
              <w:top w:val="nil"/>
              <w:left w:val="nil"/>
              <w:bottom w:val="single" w:sz="4" w:space="0" w:color="auto"/>
              <w:right w:val="single" w:sz="4" w:space="0" w:color="auto"/>
            </w:tcBorders>
            <w:vAlign w:val="center"/>
          </w:tcPr>
          <w:p w14:paraId="4670E069" w14:textId="0E49120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35DFC20" w14:textId="171EA91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779E4B9C" w14:textId="4C8BBC8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0EC7A6C5" w14:textId="6978DB0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2.06</w:t>
            </w:r>
          </w:p>
        </w:tc>
        <w:tc>
          <w:tcPr>
            <w:tcW w:w="809" w:type="dxa"/>
            <w:tcBorders>
              <w:top w:val="nil"/>
              <w:left w:val="nil"/>
              <w:bottom w:val="single" w:sz="4" w:space="0" w:color="auto"/>
              <w:right w:val="single" w:sz="4" w:space="0" w:color="auto"/>
            </w:tcBorders>
            <w:noWrap/>
            <w:vAlign w:val="center"/>
          </w:tcPr>
          <w:p w14:paraId="1C559A3A" w14:textId="0625E4A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1B0A6190" w14:textId="0051DD2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0.18</w:t>
            </w:r>
          </w:p>
        </w:tc>
        <w:tc>
          <w:tcPr>
            <w:tcW w:w="899" w:type="dxa"/>
            <w:tcBorders>
              <w:top w:val="nil"/>
              <w:left w:val="nil"/>
              <w:bottom w:val="single" w:sz="4" w:space="0" w:color="auto"/>
              <w:right w:val="single" w:sz="4" w:space="0" w:color="auto"/>
            </w:tcBorders>
            <w:vAlign w:val="center"/>
          </w:tcPr>
          <w:p w14:paraId="784D9784" w14:textId="0898BBA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0.05</w:t>
            </w:r>
          </w:p>
        </w:tc>
        <w:tc>
          <w:tcPr>
            <w:tcW w:w="768" w:type="dxa"/>
            <w:tcBorders>
              <w:top w:val="nil"/>
              <w:left w:val="nil"/>
              <w:bottom w:val="single" w:sz="4" w:space="0" w:color="auto"/>
              <w:right w:val="single" w:sz="4" w:space="0" w:color="auto"/>
            </w:tcBorders>
            <w:vAlign w:val="center"/>
          </w:tcPr>
          <w:p w14:paraId="53BAAAB9" w14:textId="135AC3B2"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B345A24" w14:textId="114A514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6272F63C"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598.74</w:t>
            </w:r>
          </w:p>
        </w:tc>
      </w:tr>
      <w:tr w:rsidR="00AC6710" w:rsidRPr="00767C21" w14:paraId="5FFEC292"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69CD929F"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 Karnataka</w:t>
            </w:r>
          </w:p>
        </w:tc>
        <w:tc>
          <w:tcPr>
            <w:tcW w:w="704" w:type="dxa"/>
            <w:tcBorders>
              <w:top w:val="nil"/>
              <w:left w:val="nil"/>
              <w:bottom w:val="single" w:sz="4" w:space="0" w:color="auto"/>
              <w:right w:val="single" w:sz="4" w:space="0" w:color="auto"/>
            </w:tcBorders>
            <w:vAlign w:val="center"/>
          </w:tcPr>
          <w:p w14:paraId="0E7EC697" w14:textId="259CFDA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106.78</w:t>
            </w:r>
          </w:p>
        </w:tc>
        <w:tc>
          <w:tcPr>
            <w:tcW w:w="580" w:type="dxa"/>
            <w:tcBorders>
              <w:top w:val="nil"/>
              <w:left w:val="nil"/>
              <w:bottom w:val="single" w:sz="4" w:space="0" w:color="auto"/>
              <w:right w:val="single" w:sz="4" w:space="0" w:color="auto"/>
            </w:tcBorders>
            <w:vAlign w:val="center"/>
          </w:tcPr>
          <w:p w14:paraId="309546C1" w14:textId="51A6EC0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84.13</w:t>
            </w:r>
          </w:p>
        </w:tc>
        <w:tc>
          <w:tcPr>
            <w:tcW w:w="709" w:type="dxa"/>
            <w:tcBorders>
              <w:top w:val="nil"/>
              <w:left w:val="nil"/>
              <w:bottom w:val="single" w:sz="4" w:space="0" w:color="auto"/>
              <w:right w:val="single" w:sz="4" w:space="0" w:color="auto"/>
            </w:tcBorders>
            <w:vAlign w:val="center"/>
          </w:tcPr>
          <w:p w14:paraId="69C820EB" w14:textId="7FD1DA4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3DA3CA29" w14:textId="73129A1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28.07</w:t>
            </w:r>
          </w:p>
        </w:tc>
        <w:tc>
          <w:tcPr>
            <w:tcW w:w="704" w:type="dxa"/>
            <w:tcBorders>
              <w:top w:val="nil"/>
              <w:left w:val="nil"/>
              <w:bottom w:val="single" w:sz="4" w:space="0" w:color="auto"/>
              <w:right w:val="single" w:sz="4" w:space="0" w:color="auto"/>
            </w:tcBorders>
            <w:vAlign w:val="center"/>
          </w:tcPr>
          <w:p w14:paraId="4F8F6B39" w14:textId="46DA7D8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24.14</w:t>
            </w:r>
          </w:p>
        </w:tc>
        <w:tc>
          <w:tcPr>
            <w:tcW w:w="845" w:type="dxa"/>
            <w:tcBorders>
              <w:top w:val="nil"/>
              <w:left w:val="nil"/>
              <w:bottom w:val="single" w:sz="4" w:space="0" w:color="auto"/>
              <w:right w:val="single" w:sz="4" w:space="0" w:color="auto"/>
            </w:tcBorders>
            <w:vAlign w:val="center"/>
            <w:hideMark/>
          </w:tcPr>
          <w:p w14:paraId="4C114BDD" w14:textId="6B1C633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124.51</w:t>
            </w:r>
          </w:p>
        </w:tc>
        <w:tc>
          <w:tcPr>
            <w:tcW w:w="845" w:type="dxa"/>
            <w:tcBorders>
              <w:top w:val="nil"/>
              <w:left w:val="nil"/>
              <w:bottom w:val="single" w:sz="4" w:space="0" w:color="auto"/>
              <w:right w:val="single" w:sz="4" w:space="0" w:color="auto"/>
            </w:tcBorders>
            <w:vAlign w:val="center"/>
            <w:hideMark/>
          </w:tcPr>
          <w:p w14:paraId="4E98352D" w14:textId="3B17E43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271.44</w:t>
            </w:r>
          </w:p>
        </w:tc>
        <w:tc>
          <w:tcPr>
            <w:tcW w:w="669" w:type="dxa"/>
            <w:tcBorders>
              <w:top w:val="nil"/>
              <w:left w:val="nil"/>
              <w:bottom w:val="single" w:sz="4" w:space="0" w:color="auto"/>
              <w:right w:val="single" w:sz="4" w:space="0" w:color="auto"/>
            </w:tcBorders>
            <w:vAlign w:val="center"/>
          </w:tcPr>
          <w:p w14:paraId="403CDBA9" w14:textId="618E32C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9C3B3D7" w14:textId="371952E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63D729F4" w14:textId="27CC23D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50715061" w14:textId="7F40E5A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3.88</w:t>
            </w:r>
          </w:p>
        </w:tc>
        <w:tc>
          <w:tcPr>
            <w:tcW w:w="809" w:type="dxa"/>
            <w:tcBorders>
              <w:top w:val="nil"/>
              <w:left w:val="nil"/>
              <w:bottom w:val="single" w:sz="4" w:space="0" w:color="auto"/>
              <w:right w:val="single" w:sz="4" w:space="0" w:color="auto"/>
            </w:tcBorders>
            <w:noWrap/>
            <w:vAlign w:val="center"/>
          </w:tcPr>
          <w:p w14:paraId="262571CE" w14:textId="24462F8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058BBA24" w14:textId="5F9D74C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0.17</w:t>
            </w:r>
          </w:p>
        </w:tc>
        <w:tc>
          <w:tcPr>
            <w:tcW w:w="899" w:type="dxa"/>
            <w:tcBorders>
              <w:top w:val="nil"/>
              <w:left w:val="nil"/>
              <w:bottom w:val="single" w:sz="4" w:space="0" w:color="auto"/>
              <w:right w:val="single" w:sz="4" w:space="0" w:color="auto"/>
            </w:tcBorders>
            <w:vAlign w:val="center"/>
          </w:tcPr>
          <w:p w14:paraId="5C70A36F" w14:textId="6662F02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0.12</w:t>
            </w:r>
          </w:p>
        </w:tc>
        <w:tc>
          <w:tcPr>
            <w:tcW w:w="768" w:type="dxa"/>
            <w:tcBorders>
              <w:top w:val="nil"/>
              <w:left w:val="nil"/>
              <w:bottom w:val="single" w:sz="4" w:space="0" w:color="auto"/>
              <w:right w:val="single" w:sz="4" w:space="0" w:color="auto"/>
            </w:tcBorders>
            <w:vAlign w:val="center"/>
          </w:tcPr>
          <w:p w14:paraId="683AC78B" w14:textId="1C123665"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20600C1" w14:textId="1E9AEFB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0.38</w:t>
            </w:r>
          </w:p>
        </w:tc>
        <w:tc>
          <w:tcPr>
            <w:tcW w:w="956" w:type="dxa"/>
            <w:tcBorders>
              <w:top w:val="nil"/>
              <w:left w:val="nil"/>
              <w:bottom w:val="single" w:sz="4" w:space="0" w:color="auto"/>
              <w:right w:val="single" w:sz="4" w:space="0" w:color="auto"/>
            </w:tcBorders>
            <w:vAlign w:val="center"/>
            <w:hideMark/>
          </w:tcPr>
          <w:p w14:paraId="2B57BD1D"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642.33</w:t>
            </w:r>
          </w:p>
        </w:tc>
      </w:tr>
      <w:tr w:rsidR="00AC6710" w:rsidRPr="00767C21" w14:paraId="7A6FBE34"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4B7B4E5A"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 Kerala</w:t>
            </w:r>
          </w:p>
        </w:tc>
        <w:tc>
          <w:tcPr>
            <w:tcW w:w="704" w:type="dxa"/>
            <w:tcBorders>
              <w:top w:val="nil"/>
              <w:left w:val="nil"/>
              <w:bottom w:val="single" w:sz="4" w:space="0" w:color="auto"/>
              <w:right w:val="single" w:sz="4" w:space="0" w:color="auto"/>
            </w:tcBorders>
            <w:vAlign w:val="center"/>
          </w:tcPr>
          <w:p w14:paraId="5479C170" w14:textId="486223D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5DFED15C" w14:textId="59590D5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13B290F0" w14:textId="078C974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67.11</w:t>
            </w:r>
          </w:p>
        </w:tc>
        <w:tc>
          <w:tcPr>
            <w:tcW w:w="825" w:type="dxa"/>
            <w:tcBorders>
              <w:top w:val="nil"/>
              <w:left w:val="nil"/>
              <w:bottom w:val="single" w:sz="4" w:space="0" w:color="auto"/>
              <w:right w:val="single" w:sz="4" w:space="0" w:color="auto"/>
            </w:tcBorders>
            <w:vAlign w:val="center"/>
          </w:tcPr>
          <w:p w14:paraId="446F0AD9" w14:textId="379457B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63.03</w:t>
            </w:r>
          </w:p>
        </w:tc>
        <w:tc>
          <w:tcPr>
            <w:tcW w:w="704" w:type="dxa"/>
            <w:tcBorders>
              <w:top w:val="nil"/>
              <w:left w:val="nil"/>
              <w:bottom w:val="single" w:sz="4" w:space="0" w:color="auto"/>
              <w:right w:val="single" w:sz="4" w:space="0" w:color="auto"/>
            </w:tcBorders>
            <w:vAlign w:val="center"/>
          </w:tcPr>
          <w:p w14:paraId="7300017E" w14:textId="50F6921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10.18</w:t>
            </w:r>
          </w:p>
        </w:tc>
        <w:tc>
          <w:tcPr>
            <w:tcW w:w="845" w:type="dxa"/>
            <w:tcBorders>
              <w:top w:val="nil"/>
              <w:left w:val="nil"/>
              <w:bottom w:val="single" w:sz="4" w:space="0" w:color="auto"/>
              <w:right w:val="single" w:sz="4" w:space="0" w:color="auto"/>
            </w:tcBorders>
            <w:vAlign w:val="center"/>
            <w:hideMark/>
          </w:tcPr>
          <w:p w14:paraId="624636BB" w14:textId="4F43C45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55.17</w:t>
            </w:r>
          </w:p>
        </w:tc>
        <w:tc>
          <w:tcPr>
            <w:tcW w:w="845" w:type="dxa"/>
            <w:tcBorders>
              <w:top w:val="nil"/>
              <w:left w:val="nil"/>
              <w:bottom w:val="single" w:sz="4" w:space="0" w:color="auto"/>
              <w:right w:val="single" w:sz="4" w:space="0" w:color="auto"/>
            </w:tcBorders>
            <w:vAlign w:val="center"/>
            <w:hideMark/>
          </w:tcPr>
          <w:p w14:paraId="3AAE9CCB" w14:textId="3E19D81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269.97</w:t>
            </w:r>
          </w:p>
        </w:tc>
        <w:tc>
          <w:tcPr>
            <w:tcW w:w="669" w:type="dxa"/>
            <w:tcBorders>
              <w:top w:val="nil"/>
              <w:left w:val="nil"/>
              <w:bottom w:val="single" w:sz="4" w:space="0" w:color="auto"/>
              <w:right w:val="single" w:sz="4" w:space="0" w:color="auto"/>
            </w:tcBorders>
            <w:vAlign w:val="center"/>
          </w:tcPr>
          <w:p w14:paraId="57C1F10F" w14:textId="1EC5C8E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0.13</w:t>
            </w:r>
          </w:p>
        </w:tc>
        <w:tc>
          <w:tcPr>
            <w:tcW w:w="789" w:type="dxa"/>
            <w:tcBorders>
              <w:top w:val="nil"/>
              <w:left w:val="nil"/>
              <w:bottom w:val="single" w:sz="4" w:space="0" w:color="auto"/>
              <w:right w:val="single" w:sz="4" w:space="0" w:color="auto"/>
            </w:tcBorders>
            <w:vAlign w:val="center"/>
          </w:tcPr>
          <w:p w14:paraId="4649BA12" w14:textId="189B6BD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1574146A" w14:textId="5D86D92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213FF21D" w14:textId="27CDAE1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2D380094" w14:textId="5C78CEE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587AF087" w14:textId="3697150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0.22</w:t>
            </w:r>
          </w:p>
        </w:tc>
        <w:tc>
          <w:tcPr>
            <w:tcW w:w="899" w:type="dxa"/>
            <w:tcBorders>
              <w:top w:val="nil"/>
              <w:left w:val="nil"/>
              <w:bottom w:val="single" w:sz="4" w:space="0" w:color="auto"/>
              <w:right w:val="single" w:sz="4" w:space="0" w:color="auto"/>
            </w:tcBorders>
            <w:vAlign w:val="center"/>
          </w:tcPr>
          <w:p w14:paraId="7F6A3ECF" w14:textId="60D4A246"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0.26</w:t>
            </w:r>
          </w:p>
        </w:tc>
        <w:tc>
          <w:tcPr>
            <w:tcW w:w="768" w:type="dxa"/>
            <w:tcBorders>
              <w:top w:val="nil"/>
              <w:left w:val="nil"/>
              <w:bottom w:val="single" w:sz="4" w:space="0" w:color="auto"/>
              <w:right w:val="single" w:sz="4" w:space="0" w:color="auto"/>
            </w:tcBorders>
            <w:vAlign w:val="center"/>
          </w:tcPr>
          <w:p w14:paraId="29F88E40" w14:textId="01BD730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F75FB40" w14:textId="38EB223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2C34A376" w14:textId="3D88270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469.93</w:t>
            </w:r>
          </w:p>
        </w:tc>
      </w:tr>
      <w:tr w:rsidR="00AC6710" w:rsidRPr="00767C21" w14:paraId="4F6E8CBF"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BE0D704"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 Madhya Pradesh</w:t>
            </w:r>
          </w:p>
        </w:tc>
        <w:tc>
          <w:tcPr>
            <w:tcW w:w="704" w:type="dxa"/>
            <w:tcBorders>
              <w:top w:val="nil"/>
              <w:left w:val="nil"/>
              <w:bottom w:val="single" w:sz="4" w:space="0" w:color="auto"/>
              <w:right w:val="single" w:sz="4" w:space="0" w:color="auto"/>
            </w:tcBorders>
            <w:vAlign w:val="center"/>
            <w:hideMark/>
          </w:tcPr>
          <w:p w14:paraId="6BA56D52"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16.94</w:t>
            </w:r>
          </w:p>
        </w:tc>
        <w:tc>
          <w:tcPr>
            <w:tcW w:w="580" w:type="dxa"/>
            <w:tcBorders>
              <w:top w:val="nil"/>
              <w:left w:val="nil"/>
              <w:bottom w:val="single" w:sz="4" w:space="0" w:color="auto"/>
              <w:right w:val="single" w:sz="4" w:space="0" w:color="auto"/>
            </w:tcBorders>
            <w:vAlign w:val="center"/>
          </w:tcPr>
          <w:p w14:paraId="445FDDD2" w14:textId="316605B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2CCDA505" w14:textId="04E71D9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68408196" w14:textId="35C5F65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197.4</w:t>
            </w:r>
          </w:p>
        </w:tc>
        <w:tc>
          <w:tcPr>
            <w:tcW w:w="704" w:type="dxa"/>
            <w:tcBorders>
              <w:top w:val="nil"/>
              <w:left w:val="nil"/>
              <w:bottom w:val="single" w:sz="4" w:space="0" w:color="auto"/>
              <w:right w:val="single" w:sz="4" w:space="0" w:color="auto"/>
            </w:tcBorders>
            <w:vAlign w:val="center"/>
          </w:tcPr>
          <w:p w14:paraId="0DB8505B" w14:textId="0687707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23.85</w:t>
            </w:r>
          </w:p>
        </w:tc>
        <w:tc>
          <w:tcPr>
            <w:tcW w:w="845" w:type="dxa"/>
            <w:tcBorders>
              <w:top w:val="nil"/>
              <w:left w:val="nil"/>
              <w:bottom w:val="single" w:sz="4" w:space="0" w:color="auto"/>
              <w:right w:val="single" w:sz="4" w:space="0" w:color="auto"/>
            </w:tcBorders>
            <w:vAlign w:val="center"/>
            <w:hideMark/>
          </w:tcPr>
          <w:p w14:paraId="72EF6602" w14:textId="1370E84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125.05</w:t>
            </w:r>
          </w:p>
        </w:tc>
        <w:tc>
          <w:tcPr>
            <w:tcW w:w="845" w:type="dxa"/>
            <w:tcBorders>
              <w:top w:val="nil"/>
              <w:left w:val="nil"/>
              <w:bottom w:val="single" w:sz="4" w:space="0" w:color="auto"/>
              <w:right w:val="single" w:sz="4" w:space="0" w:color="auto"/>
            </w:tcBorders>
            <w:vAlign w:val="center"/>
            <w:hideMark/>
          </w:tcPr>
          <w:p w14:paraId="65294858" w14:textId="63E5AED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453.67</w:t>
            </w:r>
          </w:p>
        </w:tc>
        <w:tc>
          <w:tcPr>
            <w:tcW w:w="669" w:type="dxa"/>
            <w:tcBorders>
              <w:top w:val="nil"/>
              <w:left w:val="nil"/>
              <w:bottom w:val="single" w:sz="4" w:space="0" w:color="auto"/>
              <w:right w:val="single" w:sz="4" w:space="0" w:color="auto"/>
            </w:tcBorders>
            <w:vAlign w:val="center"/>
          </w:tcPr>
          <w:p w14:paraId="7BC94E47" w14:textId="21DC47D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4CCF2B9" w14:textId="0FA757B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7588AA00" w14:textId="19465B6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16EEB983" w14:textId="61B8F54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5F4FA5A3" w14:textId="66AAB25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83.62</w:t>
            </w:r>
          </w:p>
        </w:tc>
        <w:tc>
          <w:tcPr>
            <w:tcW w:w="910" w:type="dxa"/>
            <w:tcBorders>
              <w:top w:val="nil"/>
              <w:left w:val="nil"/>
              <w:bottom w:val="single" w:sz="4" w:space="0" w:color="auto"/>
              <w:right w:val="single" w:sz="4" w:space="0" w:color="auto"/>
            </w:tcBorders>
            <w:noWrap/>
            <w:vAlign w:val="center"/>
          </w:tcPr>
          <w:p w14:paraId="0D925042" w14:textId="5D0E57A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0.45</w:t>
            </w:r>
          </w:p>
        </w:tc>
        <w:tc>
          <w:tcPr>
            <w:tcW w:w="899" w:type="dxa"/>
            <w:tcBorders>
              <w:top w:val="nil"/>
              <w:left w:val="nil"/>
              <w:bottom w:val="single" w:sz="4" w:space="0" w:color="auto"/>
              <w:right w:val="single" w:sz="4" w:space="0" w:color="auto"/>
            </w:tcBorders>
            <w:vAlign w:val="center"/>
          </w:tcPr>
          <w:p w14:paraId="411DB8FC" w14:textId="2FE6842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0.58</w:t>
            </w:r>
          </w:p>
        </w:tc>
        <w:tc>
          <w:tcPr>
            <w:tcW w:w="768" w:type="dxa"/>
            <w:tcBorders>
              <w:top w:val="nil"/>
              <w:left w:val="nil"/>
              <w:bottom w:val="single" w:sz="4" w:space="0" w:color="auto"/>
              <w:right w:val="single" w:sz="4" w:space="0" w:color="auto"/>
            </w:tcBorders>
            <w:vAlign w:val="center"/>
          </w:tcPr>
          <w:p w14:paraId="2C4E808D" w14:textId="5BF3493B"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5AA6755E" w14:textId="2F8D411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0.05</w:t>
            </w:r>
          </w:p>
        </w:tc>
        <w:tc>
          <w:tcPr>
            <w:tcW w:w="956" w:type="dxa"/>
            <w:tcBorders>
              <w:top w:val="nil"/>
              <w:left w:val="nil"/>
              <w:bottom w:val="single" w:sz="4" w:space="0" w:color="auto"/>
              <w:right w:val="single" w:sz="4" w:space="0" w:color="auto"/>
            </w:tcBorders>
            <w:vAlign w:val="center"/>
            <w:hideMark/>
          </w:tcPr>
          <w:p w14:paraId="3EF17050"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900.41</w:t>
            </w:r>
          </w:p>
        </w:tc>
      </w:tr>
      <w:tr w:rsidR="00AC6710" w:rsidRPr="00767C21" w14:paraId="09A8B904"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5F1A5380"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13. Maharashtra</w:t>
            </w:r>
          </w:p>
        </w:tc>
        <w:tc>
          <w:tcPr>
            <w:tcW w:w="704" w:type="dxa"/>
            <w:tcBorders>
              <w:top w:val="nil"/>
              <w:left w:val="nil"/>
              <w:bottom w:val="single" w:sz="4" w:space="0" w:color="auto"/>
              <w:right w:val="single" w:sz="4" w:space="0" w:color="auto"/>
            </w:tcBorders>
            <w:vAlign w:val="center"/>
            <w:hideMark/>
          </w:tcPr>
          <w:p w14:paraId="100246B8"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248.35</w:t>
            </w:r>
          </w:p>
        </w:tc>
        <w:tc>
          <w:tcPr>
            <w:tcW w:w="580" w:type="dxa"/>
            <w:tcBorders>
              <w:top w:val="nil"/>
              <w:left w:val="nil"/>
              <w:bottom w:val="single" w:sz="4" w:space="0" w:color="auto"/>
              <w:right w:val="single" w:sz="4" w:space="0" w:color="auto"/>
            </w:tcBorders>
            <w:vAlign w:val="center"/>
          </w:tcPr>
          <w:p w14:paraId="425FC5EE" w14:textId="4294A30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6F390111" w14:textId="35135AF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78EADF8F" w14:textId="30DB34D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78.28</w:t>
            </w:r>
          </w:p>
        </w:tc>
        <w:tc>
          <w:tcPr>
            <w:tcW w:w="704" w:type="dxa"/>
            <w:tcBorders>
              <w:top w:val="nil"/>
              <w:left w:val="nil"/>
              <w:bottom w:val="single" w:sz="4" w:space="0" w:color="auto"/>
              <w:right w:val="single" w:sz="4" w:space="0" w:color="auto"/>
            </w:tcBorders>
            <w:vAlign w:val="center"/>
          </w:tcPr>
          <w:p w14:paraId="658F70DA" w14:textId="6486A92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88.82</w:t>
            </w:r>
          </w:p>
        </w:tc>
        <w:tc>
          <w:tcPr>
            <w:tcW w:w="845" w:type="dxa"/>
            <w:tcBorders>
              <w:top w:val="nil"/>
              <w:left w:val="nil"/>
              <w:bottom w:val="single" w:sz="4" w:space="0" w:color="auto"/>
              <w:right w:val="single" w:sz="4" w:space="0" w:color="auto"/>
            </w:tcBorders>
            <w:vAlign w:val="center"/>
            <w:hideMark/>
          </w:tcPr>
          <w:p w14:paraId="4AE9376F" w14:textId="18FF57F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637.42</w:t>
            </w:r>
          </w:p>
        </w:tc>
        <w:tc>
          <w:tcPr>
            <w:tcW w:w="845" w:type="dxa"/>
            <w:tcBorders>
              <w:top w:val="nil"/>
              <w:left w:val="nil"/>
              <w:bottom w:val="single" w:sz="4" w:space="0" w:color="auto"/>
              <w:right w:val="single" w:sz="4" w:space="0" w:color="auto"/>
            </w:tcBorders>
            <w:vAlign w:val="center"/>
            <w:hideMark/>
          </w:tcPr>
          <w:p w14:paraId="700067CD" w14:textId="5CB9260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448.83</w:t>
            </w:r>
          </w:p>
        </w:tc>
        <w:tc>
          <w:tcPr>
            <w:tcW w:w="669" w:type="dxa"/>
            <w:tcBorders>
              <w:top w:val="nil"/>
              <w:left w:val="nil"/>
              <w:bottom w:val="single" w:sz="4" w:space="0" w:color="auto"/>
              <w:right w:val="single" w:sz="4" w:space="0" w:color="auto"/>
            </w:tcBorders>
            <w:vAlign w:val="center"/>
          </w:tcPr>
          <w:p w14:paraId="5A9B1271" w14:textId="20D54CF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0A1F5358" w14:textId="3B9A12F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6ECD05B9" w14:textId="3B2E5AC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4A61713C" w14:textId="0179E02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1741DB59" w14:textId="1ABDE15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5488A2EC" w14:textId="0A457EA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0.37</w:t>
            </w:r>
          </w:p>
        </w:tc>
        <w:tc>
          <w:tcPr>
            <w:tcW w:w="899" w:type="dxa"/>
            <w:tcBorders>
              <w:top w:val="nil"/>
              <w:left w:val="nil"/>
              <w:bottom w:val="single" w:sz="4" w:space="0" w:color="auto"/>
              <w:right w:val="single" w:sz="4" w:space="0" w:color="auto"/>
            </w:tcBorders>
            <w:vAlign w:val="center"/>
          </w:tcPr>
          <w:p w14:paraId="18DF1D6A" w14:textId="3969080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0.84</w:t>
            </w:r>
          </w:p>
        </w:tc>
        <w:tc>
          <w:tcPr>
            <w:tcW w:w="768" w:type="dxa"/>
            <w:tcBorders>
              <w:top w:val="nil"/>
              <w:left w:val="nil"/>
              <w:bottom w:val="single" w:sz="4" w:space="0" w:color="auto"/>
              <w:right w:val="single" w:sz="4" w:space="0" w:color="auto"/>
            </w:tcBorders>
            <w:vAlign w:val="center"/>
          </w:tcPr>
          <w:p w14:paraId="427831A4" w14:textId="1F4D4D4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18153B05" w14:textId="5906313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0185EB83"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1498.71</w:t>
            </w:r>
          </w:p>
        </w:tc>
      </w:tr>
      <w:tr w:rsidR="00AC6710" w:rsidRPr="00767C21" w14:paraId="40A1B411"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8CE7951"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 Manipur</w:t>
            </w:r>
          </w:p>
        </w:tc>
        <w:tc>
          <w:tcPr>
            <w:tcW w:w="704" w:type="dxa"/>
            <w:tcBorders>
              <w:top w:val="nil"/>
              <w:left w:val="nil"/>
              <w:bottom w:val="single" w:sz="4" w:space="0" w:color="auto"/>
              <w:right w:val="single" w:sz="4" w:space="0" w:color="auto"/>
            </w:tcBorders>
            <w:vAlign w:val="center"/>
            <w:hideMark/>
          </w:tcPr>
          <w:p w14:paraId="1410D382" w14:textId="5D9C125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648EF176" w14:textId="72283F6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5AD22C25" w14:textId="79DEC49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4BF47BBB" w14:textId="24EA162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9.07</w:t>
            </w:r>
          </w:p>
        </w:tc>
        <w:tc>
          <w:tcPr>
            <w:tcW w:w="704" w:type="dxa"/>
            <w:tcBorders>
              <w:top w:val="nil"/>
              <w:left w:val="nil"/>
              <w:bottom w:val="single" w:sz="4" w:space="0" w:color="auto"/>
              <w:right w:val="single" w:sz="4" w:space="0" w:color="auto"/>
            </w:tcBorders>
            <w:vAlign w:val="center"/>
          </w:tcPr>
          <w:p w14:paraId="7D3B8B2C" w14:textId="4361286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0.14</w:t>
            </w:r>
          </w:p>
        </w:tc>
        <w:tc>
          <w:tcPr>
            <w:tcW w:w="845" w:type="dxa"/>
            <w:tcBorders>
              <w:top w:val="nil"/>
              <w:left w:val="nil"/>
              <w:bottom w:val="single" w:sz="4" w:space="0" w:color="auto"/>
              <w:right w:val="single" w:sz="4" w:space="0" w:color="auto"/>
            </w:tcBorders>
            <w:vAlign w:val="center"/>
            <w:hideMark/>
          </w:tcPr>
          <w:p w14:paraId="705719CE" w14:textId="3630EEB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0.99</w:t>
            </w:r>
          </w:p>
        </w:tc>
        <w:tc>
          <w:tcPr>
            <w:tcW w:w="845" w:type="dxa"/>
            <w:tcBorders>
              <w:top w:val="nil"/>
              <w:left w:val="nil"/>
              <w:bottom w:val="single" w:sz="4" w:space="0" w:color="auto"/>
              <w:right w:val="single" w:sz="4" w:space="0" w:color="auto"/>
            </w:tcBorders>
            <w:vAlign w:val="center"/>
            <w:hideMark/>
          </w:tcPr>
          <w:p w14:paraId="5885F9BB" w14:textId="5E2229B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18.30</w:t>
            </w:r>
          </w:p>
        </w:tc>
        <w:tc>
          <w:tcPr>
            <w:tcW w:w="669" w:type="dxa"/>
            <w:tcBorders>
              <w:top w:val="nil"/>
              <w:left w:val="nil"/>
              <w:bottom w:val="single" w:sz="4" w:space="0" w:color="auto"/>
              <w:right w:val="single" w:sz="4" w:space="0" w:color="auto"/>
            </w:tcBorders>
            <w:vAlign w:val="center"/>
          </w:tcPr>
          <w:p w14:paraId="26CA6B8D" w14:textId="6D01361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3E8CDA49" w14:textId="3B6BBB2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34.01</w:t>
            </w:r>
          </w:p>
        </w:tc>
        <w:tc>
          <w:tcPr>
            <w:tcW w:w="851" w:type="dxa"/>
            <w:tcBorders>
              <w:top w:val="nil"/>
              <w:left w:val="nil"/>
              <w:bottom w:val="single" w:sz="4" w:space="0" w:color="auto"/>
              <w:right w:val="single" w:sz="4" w:space="0" w:color="auto"/>
            </w:tcBorders>
            <w:vAlign w:val="center"/>
          </w:tcPr>
          <w:p w14:paraId="3C9F0919" w14:textId="7C5CAF7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3C2CD11C" w14:textId="34C8392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1E5EEE86" w14:textId="31F590F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3AF14BDE" w14:textId="2718B67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0.04</w:t>
            </w:r>
          </w:p>
        </w:tc>
        <w:tc>
          <w:tcPr>
            <w:tcW w:w="899" w:type="dxa"/>
            <w:tcBorders>
              <w:top w:val="nil"/>
              <w:left w:val="nil"/>
              <w:bottom w:val="single" w:sz="4" w:space="0" w:color="auto"/>
              <w:right w:val="single" w:sz="4" w:space="0" w:color="auto"/>
            </w:tcBorders>
            <w:vAlign w:val="center"/>
          </w:tcPr>
          <w:p w14:paraId="55F85E89" w14:textId="0D65433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0.17</w:t>
            </w:r>
          </w:p>
        </w:tc>
        <w:tc>
          <w:tcPr>
            <w:tcW w:w="768" w:type="dxa"/>
            <w:tcBorders>
              <w:top w:val="nil"/>
              <w:left w:val="nil"/>
              <w:bottom w:val="single" w:sz="4" w:space="0" w:color="auto"/>
              <w:right w:val="single" w:sz="4" w:space="0" w:color="auto"/>
            </w:tcBorders>
            <w:vAlign w:val="center"/>
          </w:tcPr>
          <w:p w14:paraId="344F9446" w14:textId="739A7C66"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6BF8077C" w14:textId="4778158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254419E2" w14:textId="065F110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62.17</w:t>
            </w:r>
          </w:p>
        </w:tc>
      </w:tr>
      <w:tr w:rsidR="00AC6710" w:rsidRPr="00767C21" w14:paraId="7D483D0A"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1685B629"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15. Meghalaya</w:t>
            </w:r>
          </w:p>
        </w:tc>
        <w:tc>
          <w:tcPr>
            <w:tcW w:w="704" w:type="dxa"/>
            <w:tcBorders>
              <w:top w:val="nil"/>
              <w:left w:val="nil"/>
              <w:bottom w:val="single" w:sz="4" w:space="0" w:color="auto"/>
              <w:right w:val="single" w:sz="4" w:space="0" w:color="auto"/>
            </w:tcBorders>
            <w:vAlign w:val="center"/>
            <w:hideMark/>
          </w:tcPr>
          <w:p w14:paraId="22AA0F66" w14:textId="64DFB7C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711D80FC" w14:textId="23C7897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13EA47F3" w14:textId="5BC8072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1DD6E742" w14:textId="24F9039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3.19</w:t>
            </w:r>
          </w:p>
        </w:tc>
        <w:tc>
          <w:tcPr>
            <w:tcW w:w="704" w:type="dxa"/>
            <w:tcBorders>
              <w:top w:val="nil"/>
              <w:left w:val="nil"/>
              <w:bottom w:val="single" w:sz="4" w:space="0" w:color="auto"/>
              <w:right w:val="single" w:sz="4" w:space="0" w:color="auto"/>
            </w:tcBorders>
            <w:vAlign w:val="center"/>
          </w:tcPr>
          <w:p w14:paraId="5872885F" w14:textId="000AD8E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0.42</w:t>
            </w:r>
          </w:p>
        </w:tc>
        <w:tc>
          <w:tcPr>
            <w:tcW w:w="845" w:type="dxa"/>
            <w:tcBorders>
              <w:top w:val="nil"/>
              <w:left w:val="nil"/>
              <w:bottom w:val="single" w:sz="4" w:space="0" w:color="auto"/>
              <w:right w:val="single" w:sz="4" w:space="0" w:color="auto"/>
            </w:tcBorders>
            <w:vAlign w:val="center"/>
          </w:tcPr>
          <w:p w14:paraId="3CE68399" w14:textId="3B30AA4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4.02</w:t>
            </w:r>
          </w:p>
        </w:tc>
        <w:tc>
          <w:tcPr>
            <w:tcW w:w="845" w:type="dxa"/>
            <w:tcBorders>
              <w:top w:val="nil"/>
              <w:left w:val="nil"/>
              <w:bottom w:val="single" w:sz="4" w:space="0" w:color="auto"/>
              <w:right w:val="single" w:sz="4" w:space="0" w:color="auto"/>
            </w:tcBorders>
            <w:vAlign w:val="center"/>
            <w:hideMark/>
          </w:tcPr>
          <w:p w14:paraId="72534B50" w14:textId="08D39DB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14.71</w:t>
            </w:r>
          </w:p>
        </w:tc>
        <w:tc>
          <w:tcPr>
            <w:tcW w:w="669" w:type="dxa"/>
            <w:tcBorders>
              <w:top w:val="nil"/>
              <w:left w:val="nil"/>
              <w:bottom w:val="single" w:sz="4" w:space="0" w:color="auto"/>
              <w:right w:val="single" w:sz="4" w:space="0" w:color="auto"/>
            </w:tcBorders>
            <w:vAlign w:val="center"/>
          </w:tcPr>
          <w:p w14:paraId="007D27E3" w14:textId="32B1581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5C6FF1A0" w14:textId="76B813E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6.57</w:t>
            </w:r>
          </w:p>
        </w:tc>
        <w:tc>
          <w:tcPr>
            <w:tcW w:w="851" w:type="dxa"/>
            <w:tcBorders>
              <w:top w:val="nil"/>
              <w:left w:val="nil"/>
              <w:bottom w:val="single" w:sz="4" w:space="0" w:color="auto"/>
              <w:right w:val="single" w:sz="4" w:space="0" w:color="auto"/>
            </w:tcBorders>
            <w:vAlign w:val="center"/>
          </w:tcPr>
          <w:p w14:paraId="4D956FE0" w14:textId="0AC49D7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78F1C721" w14:textId="7B228A0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6E712643" w14:textId="6283F38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hideMark/>
          </w:tcPr>
          <w:p w14:paraId="05D5BA20" w14:textId="40B15DA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0.06</w:t>
            </w:r>
          </w:p>
        </w:tc>
        <w:tc>
          <w:tcPr>
            <w:tcW w:w="899" w:type="dxa"/>
            <w:tcBorders>
              <w:top w:val="nil"/>
              <w:left w:val="nil"/>
              <w:bottom w:val="single" w:sz="4" w:space="0" w:color="auto"/>
              <w:right w:val="single" w:sz="4" w:space="0" w:color="auto"/>
            </w:tcBorders>
            <w:vAlign w:val="center"/>
          </w:tcPr>
          <w:p w14:paraId="735212BF" w14:textId="53EE614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0.16</w:t>
            </w:r>
          </w:p>
        </w:tc>
        <w:tc>
          <w:tcPr>
            <w:tcW w:w="768" w:type="dxa"/>
            <w:tcBorders>
              <w:top w:val="nil"/>
              <w:left w:val="nil"/>
              <w:bottom w:val="single" w:sz="4" w:space="0" w:color="auto"/>
              <w:right w:val="single" w:sz="4" w:space="0" w:color="auto"/>
            </w:tcBorders>
            <w:vAlign w:val="center"/>
          </w:tcPr>
          <w:p w14:paraId="2EA62146" w14:textId="08A34C92"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65745E2" w14:textId="759A73A1"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4D20C591" w14:textId="749151B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29.13</w:t>
            </w:r>
          </w:p>
        </w:tc>
      </w:tr>
      <w:tr w:rsidR="00AC6710" w:rsidRPr="00767C21" w14:paraId="72D2BD49"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575AA204"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16. Mizoram</w:t>
            </w:r>
          </w:p>
        </w:tc>
        <w:tc>
          <w:tcPr>
            <w:tcW w:w="704" w:type="dxa"/>
            <w:tcBorders>
              <w:top w:val="nil"/>
              <w:left w:val="nil"/>
              <w:bottom w:val="single" w:sz="4" w:space="0" w:color="auto"/>
              <w:right w:val="single" w:sz="4" w:space="0" w:color="auto"/>
            </w:tcBorders>
            <w:vAlign w:val="center"/>
            <w:hideMark/>
          </w:tcPr>
          <w:p w14:paraId="4B06572F" w14:textId="4152F0F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hideMark/>
          </w:tcPr>
          <w:p w14:paraId="4D4B76D9" w14:textId="25F3B30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hideMark/>
          </w:tcPr>
          <w:p w14:paraId="631B3554" w14:textId="11274E2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hideMark/>
          </w:tcPr>
          <w:p w14:paraId="25D9B0D5" w14:textId="2BEE4D1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04" w:type="dxa"/>
            <w:tcBorders>
              <w:top w:val="nil"/>
              <w:left w:val="nil"/>
              <w:bottom w:val="single" w:sz="4" w:space="0" w:color="auto"/>
              <w:right w:val="single" w:sz="4" w:space="0" w:color="auto"/>
            </w:tcBorders>
            <w:vAlign w:val="center"/>
            <w:hideMark/>
          </w:tcPr>
          <w:p w14:paraId="2B61A2A3" w14:textId="71326FC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45" w:type="dxa"/>
            <w:tcBorders>
              <w:top w:val="nil"/>
              <w:left w:val="nil"/>
              <w:bottom w:val="single" w:sz="4" w:space="0" w:color="auto"/>
              <w:right w:val="single" w:sz="4" w:space="0" w:color="auto"/>
            </w:tcBorders>
            <w:vAlign w:val="center"/>
            <w:hideMark/>
          </w:tcPr>
          <w:p w14:paraId="5BA91716" w14:textId="05E54DC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45" w:type="dxa"/>
            <w:tcBorders>
              <w:top w:val="nil"/>
              <w:left w:val="nil"/>
              <w:bottom w:val="single" w:sz="4" w:space="0" w:color="auto"/>
              <w:right w:val="single" w:sz="4" w:space="0" w:color="auto"/>
            </w:tcBorders>
            <w:vAlign w:val="center"/>
            <w:hideMark/>
          </w:tcPr>
          <w:p w14:paraId="00E798F6" w14:textId="70104F2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63.02</w:t>
            </w:r>
          </w:p>
        </w:tc>
        <w:tc>
          <w:tcPr>
            <w:tcW w:w="669" w:type="dxa"/>
            <w:tcBorders>
              <w:top w:val="nil"/>
              <w:left w:val="nil"/>
              <w:bottom w:val="single" w:sz="4" w:space="0" w:color="auto"/>
              <w:right w:val="single" w:sz="4" w:space="0" w:color="auto"/>
            </w:tcBorders>
            <w:vAlign w:val="center"/>
          </w:tcPr>
          <w:p w14:paraId="4FE3D368" w14:textId="2BBBFF6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23225E7" w14:textId="183105E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08E51485" w14:textId="22AF6E5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29.29</w:t>
            </w:r>
          </w:p>
        </w:tc>
        <w:tc>
          <w:tcPr>
            <w:tcW w:w="709" w:type="dxa"/>
            <w:tcBorders>
              <w:top w:val="nil"/>
              <w:left w:val="nil"/>
              <w:bottom w:val="single" w:sz="4" w:space="0" w:color="auto"/>
              <w:right w:val="single" w:sz="4" w:space="0" w:color="auto"/>
            </w:tcBorders>
            <w:noWrap/>
            <w:vAlign w:val="center"/>
          </w:tcPr>
          <w:p w14:paraId="5750E0B2" w14:textId="672F2F2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54C8F736" w14:textId="588E53B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hideMark/>
          </w:tcPr>
          <w:p w14:paraId="3CC0B7B2" w14:textId="6264B6A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99" w:type="dxa"/>
            <w:tcBorders>
              <w:top w:val="nil"/>
              <w:left w:val="nil"/>
              <w:bottom w:val="single" w:sz="4" w:space="0" w:color="auto"/>
              <w:right w:val="single" w:sz="4" w:space="0" w:color="auto"/>
            </w:tcBorders>
            <w:vAlign w:val="center"/>
          </w:tcPr>
          <w:p w14:paraId="485402C7" w14:textId="3B641B8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8" w:type="dxa"/>
            <w:tcBorders>
              <w:top w:val="nil"/>
              <w:left w:val="nil"/>
              <w:bottom w:val="single" w:sz="4" w:space="0" w:color="auto"/>
              <w:right w:val="single" w:sz="4" w:space="0" w:color="auto"/>
            </w:tcBorders>
            <w:vAlign w:val="center"/>
          </w:tcPr>
          <w:p w14:paraId="59FB6156" w14:textId="7BBD25B9"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1BD2004E" w14:textId="3CB9AFA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0.19</w:t>
            </w:r>
          </w:p>
        </w:tc>
        <w:tc>
          <w:tcPr>
            <w:tcW w:w="956" w:type="dxa"/>
            <w:tcBorders>
              <w:top w:val="nil"/>
              <w:left w:val="nil"/>
              <w:bottom w:val="single" w:sz="4" w:space="0" w:color="auto"/>
              <w:right w:val="single" w:sz="4" w:space="0" w:color="auto"/>
            </w:tcBorders>
            <w:vAlign w:val="center"/>
            <w:hideMark/>
          </w:tcPr>
          <w:p w14:paraId="62625E91"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92.5</w:t>
            </w:r>
          </w:p>
        </w:tc>
      </w:tr>
      <w:tr w:rsidR="00AC6710" w:rsidRPr="00767C21" w14:paraId="1B8107C0"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19B486D8"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17. Nagaland</w:t>
            </w:r>
          </w:p>
        </w:tc>
        <w:tc>
          <w:tcPr>
            <w:tcW w:w="704" w:type="dxa"/>
            <w:tcBorders>
              <w:top w:val="nil"/>
              <w:left w:val="nil"/>
              <w:bottom w:val="single" w:sz="4" w:space="0" w:color="auto"/>
              <w:right w:val="single" w:sz="4" w:space="0" w:color="auto"/>
            </w:tcBorders>
            <w:vAlign w:val="center"/>
            <w:hideMark/>
          </w:tcPr>
          <w:p w14:paraId="3DA5C08B" w14:textId="3A93CEA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1AD8778E" w14:textId="09ABBB1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7D6F3B01" w14:textId="1C65D51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2F378CF3" w14:textId="53D0E20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4.44</w:t>
            </w:r>
          </w:p>
        </w:tc>
        <w:tc>
          <w:tcPr>
            <w:tcW w:w="704" w:type="dxa"/>
            <w:tcBorders>
              <w:top w:val="nil"/>
              <w:left w:val="nil"/>
              <w:bottom w:val="single" w:sz="4" w:space="0" w:color="auto"/>
              <w:right w:val="single" w:sz="4" w:space="0" w:color="auto"/>
            </w:tcBorders>
            <w:vAlign w:val="center"/>
          </w:tcPr>
          <w:p w14:paraId="01271C39" w14:textId="0F7C6F9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0.15</w:t>
            </w:r>
          </w:p>
        </w:tc>
        <w:tc>
          <w:tcPr>
            <w:tcW w:w="845" w:type="dxa"/>
            <w:tcBorders>
              <w:top w:val="nil"/>
              <w:left w:val="nil"/>
              <w:bottom w:val="single" w:sz="4" w:space="0" w:color="auto"/>
              <w:right w:val="single" w:sz="4" w:space="0" w:color="auto"/>
            </w:tcBorders>
            <w:vAlign w:val="center"/>
          </w:tcPr>
          <w:p w14:paraId="5472774B" w14:textId="33D1415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0.89</w:t>
            </w:r>
          </w:p>
        </w:tc>
        <w:tc>
          <w:tcPr>
            <w:tcW w:w="845" w:type="dxa"/>
            <w:tcBorders>
              <w:top w:val="nil"/>
              <w:left w:val="nil"/>
              <w:bottom w:val="single" w:sz="4" w:space="0" w:color="auto"/>
              <w:right w:val="single" w:sz="4" w:space="0" w:color="auto"/>
            </w:tcBorders>
            <w:vAlign w:val="center"/>
            <w:hideMark/>
          </w:tcPr>
          <w:p w14:paraId="4657681D" w14:textId="0B0CBA6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25.66</w:t>
            </w:r>
          </w:p>
        </w:tc>
        <w:tc>
          <w:tcPr>
            <w:tcW w:w="669" w:type="dxa"/>
            <w:tcBorders>
              <w:top w:val="nil"/>
              <w:left w:val="nil"/>
              <w:bottom w:val="single" w:sz="4" w:space="0" w:color="auto"/>
              <w:right w:val="single" w:sz="4" w:space="0" w:color="auto"/>
            </w:tcBorders>
            <w:vAlign w:val="center"/>
          </w:tcPr>
          <w:p w14:paraId="22420D1C" w14:textId="667A24D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5AFDA637" w14:textId="2D57318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13.78</w:t>
            </w:r>
          </w:p>
        </w:tc>
        <w:tc>
          <w:tcPr>
            <w:tcW w:w="851" w:type="dxa"/>
            <w:tcBorders>
              <w:top w:val="nil"/>
              <w:left w:val="nil"/>
              <w:bottom w:val="single" w:sz="4" w:space="0" w:color="auto"/>
              <w:right w:val="single" w:sz="4" w:space="0" w:color="auto"/>
            </w:tcBorders>
            <w:vAlign w:val="center"/>
          </w:tcPr>
          <w:p w14:paraId="4FDE6AEA" w14:textId="3B7DA361"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10.42</w:t>
            </w:r>
          </w:p>
        </w:tc>
        <w:tc>
          <w:tcPr>
            <w:tcW w:w="709" w:type="dxa"/>
            <w:tcBorders>
              <w:top w:val="nil"/>
              <w:left w:val="nil"/>
              <w:bottom w:val="single" w:sz="4" w:space="0" w:color="auto"/>
              <w:right w:val="single" w:sz="4" w:space="0" w:color="auto"/>
            </w:tcBorders>
            <w:noWrap/>
            <w:vAlign w:val="center"/>
          </w:tcPr>
          <w:p w14:paraId="22B8722B" w14:textId="09D7F43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1900A953" w14:textId="6641EAC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496C967D" w14:textId="54917A6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0.07</w:t>
            </w:r>
          </w:p>
        </w:tc>
        <w:tc>
          <w:tcPr>
            <w:tcW w:w="899" w:type="dxa"/>
            <w:tcBorders>
              <w:top w:val="nil"/>
              <w:left w:val="nil"/>
              <w:bottom w:val="single" w:sz="4" w:space="0" w:color="auto"/>
              <w:right w:val="single" w:sz="4" w:space="0" w:color="auto"/>
            </w:tcBorders>
            <w:vAlign w:val="center"/>
            <w:hideMark/>
          </w:tcPr>
          <w:p w14:paraId="65D6223C" w14:textId="4178439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0.01</w:t>
            </w:r>
          </w:p>
        </w:tc>
        <w:tc>
          <w:tcPr>
            <w:tcW w:w="768" w:type="dxa"/>
            <w:tcBorders>
              <w:top w:val="nil"/>
              <w:left w:val="nil"/>
              <w:bottom w:val="single" w:sz="4" w:space="0" w:color="auto"/>
              <w:right w:val="single" w:sz="4" w:space="0" w:color="auto"/>
            </w:tcBorders>
            <w:vAlign w:val="center"/>
          </w:tcPr>
          <w:p w14:paraId="62EC360E" w14:textId="225D1C40"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1AE2A442" w14:textId="441BECD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03C44468"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55.42</w:t>
            </w:r>
          </w:p>
        </w:tc>
      </w:tr>
      <w:tr w:rsidR="00AC6710" w:rsidRPr="00767C21" w14:paraId="645188AB"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40130C8B"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18. Orissa</w:t>
            </w:r>
          </w:p>
        </w:tc>
        <w:tc>
          <w:tcPr>
            <w:tcW w:w="704" w:type="dxa"/>
            <w:tcBorders>
              <w:top w:val="nil"/>
              <w:left w:val="nil"/>
              <w:bottom w:val="single" w:sz="4" w:space="0" w:color="auto"/>
              <w:right w:val="single" w:sz="4" w:space="0" w:color="auto"/>
            </w:tcBorders>
            <w:vAlign w:val="center"/>
            <w:hideMark/>
          </w:tcPr>
          <w:p w14:paraId="35D50863" w14:textId="536C306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48AF9A47" w14:textId="5F74741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13BE673E" w14:textId="1500EC4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0A8B7A03" w14:textId="6489010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145.44</w:t>
            </w:r>
          </w:p>
        </w:tc>
        <w:tc>
          <w:tcPr>
            <w:tcW w:w="704" w:type="dxa"/>
            <w:tcBorders>
              <w:top w:val="nil"/>
              <w:left w:val="nil"/>
              <w:bottom w:val="single" w:sz="4" w:space="0" w:color="auto"/>
              <w:right w:val="single" w:sz="4" w:space="0" w:color="auto"/>
            </w:tcBorders>
            <w:vAlign w:val="center"/>
          </w:tcPr>
          <w:p w14:paraId="23D47951" w14:textId="76F9C5E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15.34</w:t>
            </w:r>
          </w:p>
        </w:tc>
        <w:tc>
          <w:tcPr>
            <w:tcW w:w="845" w:type="dxa"/>
            <w:tcBorders>
              <w:top w:val="nil"/>
              <w:left w:val="nil"/>
              <w:bottom w:val="single" w:sz="4" w:space="0" w:color="auto"/>
              <w:right w:val="single" w:sz="4" w:space="0" w:color="auto"/>
            </w:tcBorders>
            <w:vAlign w:val="center"/>
          </w:tcPr>
          <w:p w14:paraId="293EE30E" w14:textId="672A36F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49.71</w:t>
            </w:r>
          </w:p>
        </w:tc>
        <w:tc>
          <w:tcPr>
            <w:tcW w:w="845" w:type="dxa"/>
            <w:tcBorders>
              <w:top w:val="nil"/>
              <w:left w:val="nil"/>
              <w:bottom w:val="single" w:sz="4" w:space="0" w:color="auto"/>
              <w:right w:val="single" w:sz="4" w:space="0" w:color="auto"/>
            </w:tcBorders>
            <w:vAlign w:val="center"/>
          </w:tcPr>
          <w:p w14:paraId="6C9966A0" w14:textId="598C5C5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290.47</w:t>
            </w:r>
          </w:p>
        </w:tc>
        <w:tc>
          <w:tcPr>
            <w:tcW w:w="669" w:type="dxa"/>
            <w:tcBorders>
              <w:top w:val="nil"/>
              <w:left w:val="nil"/>
              <w:bottom w:val="single" w:sz="4" w:space="0" w:color="auto"/>
              <w:right w:val="single" w:sz="4" w:space="0" w:color="auto"/>
            </w:tcBorders>
            <w:vAlign w:val="center"/>
          </w:tcPr>
          <w:p w14:paraId="54030075" w14:textId="250A3AE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2357DEB" w14:textId="70E3B7C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292C6C0D" w14:textId="526B373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2839F3BC" w14:textId="20C2EBF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524831F0" w14:textId="76E3EB3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36B09855" w14:textId="5E6D0D5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0.23</w:t>
            </w:r>
          </w:p>
        </w:tc>
        <w:tc>
          <w:tcPr>
            <w:tcW w:w="899" w:type="dxa"/>
            <w:tcBorders>
              <w:top w:val="nil"/>
              <w:left w:val="nil"/>
              <w:bottom w:val="single" w:sz="4" w:space="0" w:color="auto"/>
              <w:right w:val="single" w:sz="4" w:space="0" w:color="auto"/>
            </w:tcBorders>
            <w:vAlign w:val="center"/>
          </w:tcPr>
          <w:p w14:paraId="2FD0CE0B" w14:textId="3DC5D6F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0.33</w:t>
            </w:r>
          </w:p>
        </w:tc>
        <w:tc>
          <w:tcPr>
            <w:tcW w:w="768" w:type="dxa"/>
            <w:tcBorders>
              <w:top w:val="nil"/>
              <w:left w:val="nil"/>
              <w:bottom w:val="single" w:sz="4" w:space="0" w:color="auto"/>
              <w:right w:val="single" w:sz="4" w:space="0" w:color="auto"/>
            </w:tcBorders>
            <w:vAlign w:val="center"/>
            <w:hideMark/>
          </w:tcPr>
          <w:p w14:paraId="787D5BAD" w14:textId="788A387B"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8.10</w:t>
            </w:r>
          </w:p>
        </w:tc>
        <w:tc>
          <w:tcPr>
            <w:tcW w:w="761" w:type="dxa"/>
            <w:tcBorders>
              <w:top w:val="nil"/>
              <w:left w:val="nil"/>
              <w:bottom w:val="single" w:sz="4" w:space="0" w:color="auto"/>
              <w:right w:val="single" w:sz="4" w:space="0" w:color="auto"/>
            </w:tcBorders>
            <w:vAlign w:val="center"/>
            <w:hideMark/>
          </w:tcPr>
          <w:p w14:paraId="7C32FA53" w14:textId="69A5CF0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4ABA335E"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509.62</w:t>
            </w:r>
          </w:p>
        </w:tc>
      </w:tr>
      <w:tr w:rsidR="00344B6A" w:rsidRPr="00767C21" w14:paraId="65E7F859"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6F4FB10"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19. Punjab</w:t>
            </w:r>
          </w:p>
        </w:tc>
        <w:tc>
          <w:tcPr>
            <w:tcW w:w="704" w:type="dxa"/>
            <w:tcBorders>
              <w:top w:val="nil"/>
              <w:left w:val="nil"/>
              <w:bottom w:val="single" w:sz="4" w:space="0" w:color="auto"/>
              <w:right w:val="single" w:sz="4" w:space="0" w:color="auto"/>
            </w:tcBorders>
            <w:vAlign w:val="center"/>
            <w:hideMark/>
          </w:tcPr>
          <w:p w14:paraId="1F5060B8" w14:textId="041EB68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90.17</w:t>
            </w:r>
          </w:p>
        </w:tc>
        <w:tc>
          <w:tcPr>
            <w:tcW w:w="580" w:type="dxa"/>
            <w:tcBorders>
              <w:top w:val="nil"/>
              <w:left w:val="nil"/>
              <w:bottom w:val="single" w:sz="4" w:space="0" w:color="auto"/>
              <w:right w:val="single" w:sz="4" w:space="0" w:color="auto"/>
            </w:tcBorders>
            <w:vAlign w:val="center"/>
            <w:hideMark/>
          </w:tcPr>
          <w:p w14:paraId="699B2664" w14:textId="78BFDDB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45.90</w:t>
            </w:r>
          </w:p>
        </w:tc>
        <w:tc>
          <w:tcPr>
            <w:tcW w:w="709" w:type="dxa"/>
            <w:tcBorders>
              <w:top w:val="nil"/>
              <w:left w:val="nil"/>
              <w:bottom w:val="single" w:sz="4" w:space="0" w:color="auto"/>
              <w:right w:val="single" w:sz="4" w:space="0" w:color="auto"/>
            </w:tcBorders>
            <w:vAlign w:val="center"/>
          </w:tcPr>
          <w:p w14:paraId="001CC956" w14:textId="329D904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6B649725" w14:textId="6274B70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4" w:type="dxa"/>
            <w:tcBorders>
              <w:top w:val="nil"/>
              <w:left w:val="nil"/>
              <w:bottom w:val="single" w:sz="4" w:space="0" w:color="auto"/>
              <w:right w:val="single" w:sz="4" w:space="0" w:color="auto"/>
            </w:tcBorders>
            <w:vAlign w:val="center"/>
          </w:tcPr>
          <w:p w14:paraId="0D075B69" w14:textId="0BF61EF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14.11</w:t>
            </w:r>
          </w:p>
        </w:tc>
        <w:tc>
          <w:tcPr>
            <w:tcW w:w="845" w:type="dxa"/>
            <w:tcBorders>
              <w:top w:val="nil"/>
              <w:left w:val="nil"/>
              <w:bottom w:val="single" w:sz="4" w:space="0" w:color="auto"/>
              <w:right w:val="single" w:sz="4" w:space="0" w:color="auto"/>
            </w:tcBorders>
            <w:vAlign w:val="center"/>
            <w:hideMark/>
          </w:tcPr>
          <w:p w14:paraId="6E4A7B79" w14:textId="30BB4CB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119.59</w:t>
            </w:r>
          </w:p>
        </w:tc>
        <w:tc>
          <w:tcPr>
            <w:tcW w:w="845" w:type="dxa"/>
            <w:tcBorders>
              <w:top w:val="nil"/>
              <w:left w:val="nil"/>
              <w:bottom w:val="single" w:sz="4" w:space="0" w:color="auto"/>
              <w:right w:val="single" w:sz="4" w:space="0" w:color="auto"/>
            </w:tcBorders>
            <w:vAlign w:val="center"/>
            <w:hideMark/>
          </w:tcPr>
          <w:p w14:paraId="3A6FB0DE" w14:textId="078F960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137.26</w:t>
            </w:r>
          </w:p>
        </w:tc>
        <w:tc>
          <w:tcPr>
            <w:tcW w:w="669" w:type="dxa"/>
            <w:tcBorders>
              <w:top w:val="nil"/>
              <w:left w:val="nil"/>
              <w:bottom w:val="single" w:sz="4" w:space="0" w:color="auto"/>
              <w:right w:val="single" w:sz="4" w:space="0" w:color="auto"/>
            </w:tcBorders>
            <w:vAlign w:val="center"/>
          </w:tcPr>
          <w:p w14:paraId="69E0FB4E" w14:textId="2FEE464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715C430" w14:textId="045E479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19145203" w14:textId="76322BC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3B9AF835" w14:textId="7314E9E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4330EF28" w14:textId="000551E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766.95</w:t>
            </w:r>
          </w:p>
        </w:tc>
        <w:tc>
          <w:tcPr>
            <w:tcW w:w="910" w:type="dxa"/>
            <w:tcBorders>
              <w:top w:val="nil"/>
              <w:left w:val="nil"/>
              <w:bottom w:val="single" w:sz="4" w:space="0" w:color="auto"/>
              <w:right w:val="single" w:sz="4" w:space="0" w:color="auto"/>
            </w:tcBorders>
            <w:noWrap/>
            <w:vAlign w:val="center"/>
          </w:tcPr>
          <w:p w14:paraId="4753AC92" w14:textId="18A6883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0.32</w:t>
            </w:r>
          </w:p>
        </w:tc>
        <w:tc>
          <w:tcPr>
            <w:tcW w:w="899" w:type="dxa"/>
            <w:tcBorders>
              <w:top w:val="nil"/>
              <w:left w:val="nil"/>
              <w:bottom w:val="single" w:sz="4" w:space="0" w:color="auto"/>
              <w:right w:val="single" w:sz="4" w:space="0" w:color="auto"/>
            </w:tcBorders>
            <w:vAlign w:val="center"/>
          </w:tcPr>
          <w:p w14:paraId="70102B1D" w14:textId="69D3A24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0.38</w:t>
            </w:r>
          </w:p>
        </w:tc>
        <w:tc>
          <w:tcPr>
            <w:tcW w:w="768" w:type="dxa"/>
            <w:tcBorders>
              <w:top w:val="nil"/>
              <w:left w:val="nil"/>
              <w:bottom w:val="single" w:sz="4" w:space="0" w:color="auto"/>
              <w:right w:val="single" w:sz="4" w:space="0" w:color="auto"/>
            </w:tcBorders>
            <w:vAlign w:val="center"/>
          </w:tcPr>
          <w:p w14:paraId="3752DBB7" w14:textId="276A0F2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00C3CFC7" w14:textId="1905160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7306C607"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1174.66</w:t>
            </w:r>
          </w:p>
        </w:tc>
      </w:tr>
      <w:tr w:rsidR="00344B6A" w:rsidRPr="00767C21" w14:paraId="6D943412"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0F2F52D0"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20. Rajasthan</w:t>
            </w:r>
          </w:p>
        </w:tc>
        <w:tc>
          <w:tcPr>
            <w:tcW w:w="704" w:type="dxa"/>
            <w:tcBorders>
              <w:top w:val="nil"/>
              <w:left w:val="nil"/>
              <w:bottom w:val="single" w:sz="4" w:space="0" w:color="auto"/>
              <w:right w:val="single" w:sz="4" w:space="0" w:color="auto"/>
            </w:tcBorders>
            <w:vAlign w:val="center"/>
            <w:hideMark/>
          </w:tcPr>
          <w:p w14:paraId="2588BF4B" w14:textId="732B622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hideMark/>
          </w:tcPr>
          <w:p w14:paraId="0A1F6FE6" w14:textId="6C038A5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73148140" w14:textId="2244A04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74AF6504" w14:textId="5EE018F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194.33</w:t>
            </w:r>
          </w:p>
        </w:tc>
        <w:tc>
          <w:tcPr>
            <w:tcW w:w="704" w:type="dxa"/>
            <w:tcBorders>
              <w:top w:val="nil"/>
              <w:left w:val="nil"/>
              <w:bottom w:val="single" w:sz="4" w:space="0" w:color="auto"/>
              <w:right w:val="single" w:sz="4" w:space="0" w:color="auto"/>
            </w:tcBorders>
            <w:vAlign w:val="center"/>
          </w:tcPr>
          <w:p w14:paraId="07C33288" w14:textId="72BEF00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16.22</w:t>
            </w:r>
          </w:p>
        </w:tc>
        <w:tc>
          <w:tcPr>
            <w:tcW w:w="845" w:type="dxa"/>
            <w:tcBorders>
              <w:top w:val="nil"/>
              <w:left w:val="nil"/>
              <w:bottom w:val="single" w:sz="4" w:space="0" w:color="auto"/>
              <w:right w:val="single" w:sz="4" w:space="0" w:color="auto"/>
            </w:tcBorders>
            <w:vAlign w:val="center"/>
          </w:tcPr>
          <w:p w14:paraId="66764A6B" w14:textId="220B32E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112.43</w:t>
            </w:r>
          </w:p>
        </w:tc>
        <w:tc>
          <w:tcPr>
            <w:tcW w:w="845" w:type="dxa"/>
            <w:tcBorders>
              <w:top w:val="nil"/>
              <w:left w:val="nil"/>
              <w:bottom w:val="single" w:sz="4" w:space="0" w:color="auto"/>
              <w:right w:val="single" w:sz="4" w:space="0" w:color="auto"/>
            </w:tcBorders>
            <w:vAlign w:val="center"/>
            <w:hideMark/>
          </w:tcPr>
          <w:p w14:paraId="6311E1DB" w14:textId="7BF9122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408.86</w:t>
            </w:r>
          </w:p>
        </w:tc>
        <w:tc>
          <w:tcPr>
            <w:tcW w:w="669" w:type="dxa"/>
            <w:tcBorders>
              <w:top w:val="nil"/>
              <w:left w:val="nil"/>
              <w:bottom w:val="single" w:sz="4" w:space="0" w:color="auto"/>
              <w:right w:val="single" w:sz="4" w:space="0" w:color="auto"/>
            </w:tcBorders>
            <w:vAlign w:val="center"/>
          </w:tcPr>
          <w:p w14:paraId="4012797B" w14:textId="1E956276"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1FCB453E" w14:textId="0AA95E5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542C2208" w14:textId="7DC608E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3C2263D3" w14:textId="0B2AF94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0E5C641B" w14:textId="6309D48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09791A1B" w14:textId="47C59C1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0.33</w:t>
            </w:r>
          </w:p>
        </w:tc>
        <w:tc>
          <w:tcPr>
            <w:tcW w:w="899" w:type="dxa"/>
            <w:tcBorders>
              <w:top w:val="nil"/>
              <w:left w:val="nil"/>
              <w:bottom w:val="single" w:sz="4" w:space="0" w:color="auto"/>
              <w:right w:val="single" w:sz="4" w:space="0" w:color="auto"/>
            </w:tcBorders>
            <w:vAlign w:val="center"/>
          </w:tcPr>
          <w:p w14:paraId="05EB3D6D" w14:textId="77058FF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0.57</w:t>
            </w:r>
          </w:p>
        </w:tc>
        <w:tc>
          <w:tcPr>
            <w:tcW w:w="768" w:type="dxa"/>
            <w:tcBorders>
              <w:top w:val="nil"/>
              <w:left w:val="nil"/>
              <w:bottom w:val="single" w:sz="4" w:space="0" w:color="auto"/>
              <w:right w:val="single" w:sz="4" w:space="0" w:color="auto"/>
            </w:tcBorders>
            <w:vAlign w:val="center"/>
          </w:tcPr>
          <w:p w14:paraId="2CA03A3E" w14:textId="2AD4C116"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19E7267B" w14:textId="62629C2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0.10</w:t>
            </w:r>
          </w:p>
        </w:tc>
        <w:tc>
          <w:tcPr>
            <w:tcW w:w="956" w:type="dxa"/>
            <w:tcBorders>
              <w:top w:val="nil"/>
              <w:left w:val="nil"/>
              <w:bottom w:val="single" w:sz="4" w:space="0" w:color="auto"/>
              <w:right w:val="single" w:sz="4" w:space="0" w:color="auto"/>
            </w:tcBorders>
            <w:vAlign w:val="center"/>
            <w:hideMark/>
          </w:tcPr>
          <w:p w14:paraId="53BBFAE0"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877.81</w:t>
            </w:r>
          </w:p>
        </w:tc>
      </w:tr>
      <w:tr w:rsidR="00344B6A" w:rsidRPr="00767C21" w14:paraId="790E41F4"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699E886E"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21. Sikkim</w:t>
            </w:r>
          </w:p>
        </w:tc>
        <w:tc>
          <w:tcPr>
            <w:tcW w:w="704" w:type="dxa"/>
            <w:tcBorders>
              <w:top w:val="nil"/>
              <w:left w:val="nil"/>
              <w:bottom w:val="single" w:sz="4" w:space="0" w:color="auto"/>
              <w:right w:val="single" w:sz="4" w:space="0" w:color="auto"/>
            </w:tcBorders>
            <w:vAlign w:val="center"/>
            <w:hideMark/>
          </w:tcPr>
          <w:p w14:paraId="01E4C167" w14:textId="7C0CB65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3FDC2CF0" w14:textId="422854A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7CB4C695" w14:textId="1A8A2E8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3E333957" w14:textId="672A734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2.75</w:t>
            </w:r>
          </w:p>
        </w:tc>
        <w:tc>
          <w:tcPr>
            <w:tcW w:w="704" w:type="dxa"/>
            <w:tcBorders>
              <w:top w:val="nil"/>
              <w:left w:val="nil"/>
              <w:bottom w:val="single" w:sz="4" w:space="0" w:color="auto"/>
              <w:right w:val="single" w:sz="4" w:space="0" w:color="auto"/>
            </w:tcBorders>
            <w:vAlign w:val="center"/>
          </w:tcPr>
          <w:p w14:paraId="4E2B9825" w14:textId="18116F6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45" w:type="dxa"/>
            <w:tcBorders>
              <w:top w:val="nil"/>
              <w:left w:val="nil"/>
              <w:bottom w:val="single" w:sz="4" w:space="0" w:color="auto"/>
              <w:right w:val="single" w:sz="4" w:space="0" w:color="auto"/>
            </w:tcBorders>
            <w:vAlign w:val="center"/>
          </w:tcPr>
          <w:p w14:paraId="79789F9A" w14:textId="6461C70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0.44</w:t>
            </w:r>
          </w:p>
        </w:tc>
        <w:tc>
          <w:tcPr>
            <w:tcW w:w="845" w:type="dxa"/>
            <w:tcBorders>
              <w:top w:val="nil"/>
              <w:left w:val="nil"/>
              <w:bottom w:val="single" w:sz="4" w:space="0" w:color="auto"/>
              <w:right w:val="single" w:sz="4" w:space="0" w:color="auto"/>
            </w:tcBorders>
            <w:vAlign w:val="center"/>
          </w:tcPr>
          <w:p w14:paraId="238FC0D2" w14:textId="161E4E5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10.24</w:t>
            </w:r>
          </w:p>
        </w:tc>
        <w:tc>
          <w:tcPr>
            <w:tcW w:w="669" w:type="dxa"/>
            <w:tcBorders>
              <w:top w:val="nil"/>
              <w:left w:val="nil"/>
              <w:bottom w:val="single" w:sz="4" w:space="0" w:color="auto"/>
              <w:right w:val="single" w:sz="4" w:space="0" w:color="auto"/>
            </w:tcBorders>
            <w:vAlign w:val="center"/>
          </w:tcPr>
          <w:p w14:paraId="5CE50517" w14:textId="4B10FC11"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11.00</w:t>
            </w:r>
          </w:p>
        </w:tc>
        <w:tc>
          <w:tcPr>
            <w:tcW w:w="789" w:type="dxa"/>
            <w:tcBorders>
              <w:top w:val="nil"/>
              <w:left w:val="nil"/>
              <w:bottom w:val="single" w:sz="4" w:space="0" w:color="auto"/>
              <w:right w:val="single" w:sz="4" w:space="0" w:color="auto"/>
            </w:tcBorders>
            <w:vAlign w:val="center"/>
          </w:tcPr>
          <w:p w14:paraId="59012429" w14:textId="4D91ABB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1BD52CD0" w14:textId="275F588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10.44</w:t>
            </w:r>
          </w:p>
        </w:tc>
        <w:tc>
          <w:tcPr>
            <w:tcW w:w="709" w:type="dxa"/>
            <w:tcBorders>
              <w:top w:val="nil"/>
              <w:left w:val="nil"/>
              <w:bottom w:val="single" w:sz="4" w:space="0" w:color="auto"/>
              <w:right w:val="single" w:sz="4" w:space="0" w:color="auto"/>
            </w:tcBorders>
            <w:noWrap/>
            <w:vAlign w:val="center"/>
          </w:tcPr>
          <w:p w14:paraId="5C24DAF6" w14:textId="0AB35AC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123.53</w:t>
            </w:r>
          </w:p>
        </w:tc>
        <w:tc>
          <w:tcPr>
            <w:tcW w:w="809" w:type="dxa"/>
            <w:tcBorders>
              <w:top w:val="nil"/>
              <w:left w:val="nil"/>
              <w:bottom w:val="single" w:sz="4" w:space="0" w:color="auto"/>
              <w:right w:val="single" w:sz="4" w:space="0" w:color="auto"/>
            </w:tcBorders>
            <w:noWrap/>
            <w:vAlign w:val="center"/>
          </w:tcPr>
          <w:p w14:paraId="0CF10070" w14:textId="63EF127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14AA7FD6" w14:textId="0302424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0.02</w:t>
            </w:r>
          </w:p>
        </w:tc>
        <w:tc>
          <w:tcPr>
            <w:tcW w:w="899" w:type="dxa"/>
            <w:tcBorders>
              <w:top w:val="nil"/>
              <w:left w:val="nil"/>
              <w:bottom w:val="single" w:sz="4" w:space="0" w:color="auto"/>
              <w:right w:val="single" w:sz="4" w:space="0" w:color="auto"/>
            </w:tcBorders>
            <w:vAlign w:val="center"/>
          </w:tcPr>
          <w:p w14:paraId="6BF70297" w14:textId="2B715246"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0.1</w:t>
            </w:r>
          </w:p>
        </w:tc>
        <w:tc>
          <w:tcPr>
            <w:tcW w:w="768" w:type="dxa"/>
            <w:tcBorders>
              <w:top w:val="nil"/>
              <w:left w:val="nil"/>
              <w:bottom w:val="single" w:sz="4" w:space="0" w:color="auto"/>
              <w:right w:val="single" w:sz="4" w:space="0" w:color="auto"/>
            </w:tcBorders>
            <w:vAlign w:val="center"/>
          </w:tcPr>
          <w:p w14:paraId="7E2B507D" w14:textId="3F00220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5EBBD281" w14:textId="0EBB25D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66878BE2"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13.55</w:t>
            </w:r>
          </w:p>
        </w:tc>
      </w:tr>
      <w:tr w:rsidR="00344B6A" w:rsidRPr="00767C21" w14:paraId="10337DD0"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33051A36"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22. Tamil Nadu</w:t>
            </w:r>
          </w:p>
        </w:tc>
        <w:tc>
          <w:tcPr>
            <w:tcW w:w="704" w:type="dxa"/>
            <w:tcBorders>
              <w:top w:val="nil"/>
              <w:left w:val="nil"/>
              <w:bottom w:val="single" w:sz="4" w:space="0" w:color="auto"/>
              <w:right w:val="single" w:sz="4" w:space="0" w:color="auto"/>
            </w:tcBorders>
            <w:vAlign w:val="center"/>
            <w:hideMark/>
          </w:tcPr>
          <w:p w14:paraId="65CB6B19"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275.78</w:t>
            </w:r>
          </w:p>
        </w:tc>
        <w:tc>
          <w:tcPr>
            <w:tcW w:w="580" w:type="dxa"/>
            <w:tcBorders>
              <w:top w:val="nil"/>
              <w:left w:val="nil"/>
              <w:bottom w:val="single" w:sz="4" w:space="0" w:color="auto"/>
              <w:right w:val="single" w:sz="4" w:space="0" w:color="auto"/>
            </w:tcBorders>
            <w:vAlign w:val="center"/>
          </w:tcPr>
          <w:p w14:paraId="47D883FC" w14:textId="14C499B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584C3595" w14:textId="26187EC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7EB08990" w14:textId="7E19FA4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24.64</w:t>
            </w:r>
          </w:p>
        </w:tc>
        <w:tc>
          <w:tcPr>
            <w:tcW w:w="704" w:type="dxa"/>
            <w:tcBorders>
              <w:top w:val="nil"/>
              <w:left w:val="nil"/>
              <w:bottom w:val="single" w:sz="4" w:space="0" w:color="auto"/>
              <w:right w:val="single" w:sz="4" w:space="0" w:color="auto"/>
            </w:tcBorders>
            <w:vAlign w:val="center"/>
          </w:tcPr>
          <w:p w14:paraId="559A63DB" w14:textId="45A3FF7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39.14</w:t>
            </w:r>
          </w:p>
        </w:tc>
        <w:tc>
          <w:tcPr>
            <w:tcW w:w="845" w:type="dxa"/>
            <w:tcBorders>
              <w:top w:val="nil"/>
              <w:left w:val="nil"/>
              <w:bottom w:val="single" w:sz="4" w:space="0" w:color="auto"/>
              <w:right w:val="single" w:sz="4" w:space="0" w:color="auto"/>
            </w:tcBorders>
            <w:vAlign w:val="center"/>
            <w:hideMark/>
          </w:tcPr>
          <w:p w14:paraId="1EF59CDB" w14:textId="28493A3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128.68</w:t>
            </w:r>
          </w:p>
        </w:tc>
        <w:tc>
          <w:tcPr>
            <w:tcW w:w="845" w:type="dxa"/>
            <w:tcBorders>
              <w:top w:val="nil"/>
              <w:left w:val="nil"/>
              <w:bottom w:val="single" w:sz="4" w:space="0" w:color="auto"/>
              <w:right w:val="single" w:sz="4" w:space="0" w:color="auto"/>
            </w:tcBorders>
            <w:vAlign w:val="center"/>
            <w:hideMark/>
          </w:tcPr>
          <w:p w14:paraId="4F8F3E4C" w14:textId="70219F6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375.72</w:t>
            </w:r>
          </w:p>
        </w:tc>
        <w:tc>
          <w:tcPr>
            <w:tcW w:w="669" w:type="dxa"/>
            <w:tcBorders>
              <w:top w:val="nil"/>
              <w:left w:val="nil"/>
              <w:bottom w:val="single" w:sz="4" w:space="0" w:color="auto"/>
              <w:right w:val="single" w:sz="4" w:space="0" w:color="auto"/>
            </w:tcBorders>
            <w:vAlign w:val="center"/>
          </w:tcPr>
          <w:p w14:paraId="4555C10D" w14:textId="0F7D2CD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05DBE897" w14:textId="29D29A7B"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6076ACAA" w14:textId="6938DD2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43CADE5C" w14:textId="2C934BE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58C138C7" w14:textId="784FE86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hideMark/>
          </w:tcPr>
          <w:p w14:paraId="07ABFD78" w14:textId="53F26C0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0.55</w:t>
            </w:r>
          </w:p>
        </w:tc>
        <w:tc>
          <w:tcPr>
            <w:tcW w:w="899" w:type="dxa"/>
            <w:tcBorders>
              <w:top w:val="nil"/>
              <w:left w:val="nil"/>
              <w:bottom w:val="single" w:sz="4" w:space="0" w:color="auto"/>
              <w:right w:val="single" w:sz="4" w:space="0" w:color="auto"/>
            </w:tcBorders>
            <w:vAlign w:val="center"/>
          </w:tcPr>
          <w:p w14:paraId="6C278988" w14:textId="356E030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0.69</w:t>
            </w:r>
          </w:p>
        </w:tc>
        <w:tc>
          <w:tcPr>
            <w:tcW w:w="768" w:type="dxa"/>
            <w:tcBorders>
              <w:top w:val="nil"/>
              <w:left w:val="nil"/>
              <w:bottom w:val="single" w:sz="4" w:space="0" w:color="auto"/>
              <w:right w:val="single" w:sz="4" w:space="0" w:color="auto"/>
            </w:tcBorders>
            <w:vAlign w:val="center"/>
          </w:tcPr>
          <w:p w14:paraId="43D4154D" w14:textId="0325AFB3"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A41FE38" w14:textId="3CA71F2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6.75</w:t>
            </w:r>
          </w:p>
        </w:tc>
        <w:tc>
          <w:tcPr>
            <w:tcW w:w="956" w:type="dxa"/>
            <w:tcBorders>
              <w:top w:val="nil"/>
              <w:left w:val="nil"/>
              <w:bottom w:val="single" w:sz="4" w:space="0" w:color="auto"/>
              <w:right w:val="single" w:sz="4" w:space="0" w:color="auto"/>
            </w:tcBorders>
            <w:vAlign w:val="center"/>
            <w:hideMark/>
          </w:tcPr>
          <w:p w14:paraId="10C27C9E"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851.95</w:t>
            </w:r>
          </w:p>
        </w:tc>
      </w:tr>
      <w:tr w:rsidR="00344B6A" w:rsidRPr="00767C21" w14:paraId="61879150"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26E41D2"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23. Tripura</w:t>
            </w:r>
          </w:p>
        </w:tc>
        <w:tc>
          <w:tcPr>
            <w:tcW w:w="704" w:type="dxa"/>
            <w:tcBorders>
              <w:top w:val="nil"/>
              <w:left w:val="nil"/>
              <w:bottom w:val="single" w:sz="4" w:space="0" w:color="auto"/>
              <w:right w:val="single" w:sz="4" w:space="0" w:color="auto"/>
            </w:tcBorders>
            <w:vAlign w:val="center"/>
          </w:tcPr>
          <w:p w14:paraId="7ADFE409" w14:textId="7163942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7A3C29CC" w14:textId="097C643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4.50</w:t>
            </w:r>
          </w:p>
        </w:tc>
        <w:tc>
          <w:tcPr>
            <w:tcW w:w="709" w:type="dxa"/>
            <w:tcBorders>
              <w:top w:val="nil"/>
              <w:left w:val="nil"/>
              <w:bottom w:val="single" w:sz="4" w:space="0" w:color="auto"/>
              <w:right w:val="single" w:sz="4" w:space="0" w:color="auto"/>
            </w:tcBorders>
            <w:vAlign w:val="center"/>
          </w:tcPr>
          <w:p w14:paraId="711C731D" w14:textId="51890A8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25" w:type="dxa"/>
            <w:tcBorders>
              <w:top w:val="nil"/>
              <w:left w:val="nil"/>
              <w:bottom w:val="single" w:sz="4" w:space="0" w:color="auto"/>
              <w:right w:val="single" w:sz="4" w:space="0" w:color="auto"/>
            </w:tcBorders>
            <w:vAlign w:val="center"/>
          </w:tcPr>
          <w:p w14:paraId="6B79110D" w14:textId="18E25F5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1.93</w:t>
            </w:r>
          </w:p>
        </w:tc>
        <w:tc>
          <w:tcPr>
            <w:tcW w:w="704" w:type="dxa"/>
            <w:tcBorders>
              <w:top w:val="nil"/>
              <w:left w:val="nil"/>
              <w:bottom w:val="single" w:sz="4" w:space="0" w:color="auto"/>
              <w:right w:val="single" w:sz="4" w:space="0" w:color="auto"/>
            </w:tcBorders>
            <w:vAlign w:val="center"/>
          </w:tcPr>
          <w:p w14:paraId="1E9000C2" w14:textId="3F711EF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0.63</w:t>
            </w:r>
          </w:p>
        </w:tc>
        <w:tc>
          <w:tcPr>
            <w:tcW w:w="845" w:type="dxa"/>
            <w:tcBorders>
              <w:top w:val="nil"/>
              <w:left w:val="nil"/>
              <w:bottom w:val="single" w:sz="4" w:space="0" w:color="auto"/>
              <w:right w:val="single" w:sz="4" w:space="0" w:color="auto"/>
            </w:tcBorders>
            <w:vAlign w:val="center"/>
          </w:tcPr>
          <w:p w14:paraId="1579CEA6" w14:textId="71BED68E"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4.32</w:t>
            </w:r>
          </w:p>
        </w:tc>
        <w:tc>
          <w:tcPr>
            <w:tcW w:w="845" w:type="dxa"/>
            <w:tcBorders>
              <w:top w:val="nil"/>
              <w:left w:val="nil"/>
              <w:bottom w:val="single" w:sz="4" w:space="0" w:color="auto"/>
              <w:right w:val="single" w:sz="4" w:space="0" w:color="auto"/>
            </w:tcBorders>
            <w:vAlign w:val="center"/>
            <w:hideMark/>
          </w:tcPr>
          <w:p w14:paraId="7CF9644F" w14:textId="6695EF3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20.17</w:t>
            </w:r>
          </w:p>
        </w:tc>
        <w:tc>
          <w:tcPr>
            <w:tcW w:w="669" w:type="dxa"/>
            <w:tcBorders>
              <w:top w:val="nil"/>
              <w:left w:val="nil"/>
              <w:bottom w:val="single" w:sz="4" w:space="0" w:color="auto"/>
              <w:right w:val="single" w:sz="4" w:space="0" w:color="auto"/>
            </w:tcBorders>
            <w:vAlign w:val="center"/>
          </w:tcPr>
          <w:p w14:paraId="068A18C6" w14:textId="0EE30B93"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7AE510F5" w14:textId="0D557C79"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12.29</w:t>
            </w:r>
          </w:p>
        </w:tc>
        <w:tc>
          <w:tcPr>
            <w:tcW w:w="851" w:type="dxa"/>
            <w:tcBorders>
              <w:top w:val="nil"/>
              <w:left w:val="nil"/>
              <w:bottom w:val="single" w:sz="4" w:space="0" w:color="auto"/>
              <w:right w:val="single" w:sz="4" w:space="0" w:color="auto"/>
            </w:tcBorders>
            <w:vAlign w:val="center"/>
          </w:tcPr>
          <w:p w14:paraId="40C88D93" w14:textId="458999C8"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68EC22EE" w14:textId="6700BC1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4604FF32" w14:textId="502CF00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hideMark/>
          </w:tcPr>
          <w:p w14:paraId="48BEE8DF" w14:textId="72627BD8"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99" w:type="dxa"/>
            <w:tcBorders>
              <w:top w:val="nil"/>
              <w:left w:val="nil"/>
              <w:bottom w:val="single" w:sz="4" w:space="0" w:color="auto"/>
              <w:right w:val="single" w:sz="4" w:space="0" w:color="auto"/>
            </w:tcBorders>
            <w:vAlign w:val="center"/>
          </w:tcPr>
          <w:p w14:paraId="5EF88655" w14:textId="212FCD7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68" w:type="dxa"/>
            <w:tcBorders>
              <w:top w:val="nil"/>
              <w:left w:val="nil"/>
              <w:bottom w:val="single" w:sz="4" w:space="0" w:color="auto"/>
              <w:right w:val="single" w:sz="4" w:space="0" w:color="auto"/>
            </w:tcBorders>
            <w:vAlign w:val="center"/>
          </w:tcPr>
          <w:p w14:paraId="7F46441D" w14:textId="57D21B0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45B0198D" w14:textId="4736108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56" w:type="dxa"/>
            <w:tcBorders>
              <w:top w:val="nil"/>
              <w:left w:val="nil"/>
              <w:bottom w:val="single" w:sz="4" w:space="0" w:color="auto"/>
              <w:right w:val="single" w:sz="4" w:space="0" w:color="auto"/>
            </w:tcBorders>
            <w:vAlign w:val="center"/>
            <w:hideMark/>
          </w:tcPr>
          <w:p w14:paraId="0FD10A5F" w14:textId="21FE84AF"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43.90</w:t>
            </w:r>
          </w:p>
        </w:tc>
      </w:tr>
      <w:tr w:rsidR="00344B6A" w:rsidRPr="00767C21" w14:paraId="3678B787"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8DE89BF"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24. Uttar Pradesh</w:t>
            </w:r>
          </w:p>
        </w:tc>
        <w:tc>
          <w:tcPr>
            <w:tcW w:w="704" w:type="dxa"/>
            <w:tcBorders>
              <w:top w:val="nil"/>
              <w:left w:val="nil"/>
              <w:bottom w:val="single" w:sz="4" w:space="0" w:color="auto"/>
              <w:right w:val="single" w:sz="4" w:space="0" w:color="auto"/>
            </w:tcBorders>
            <w:vAlign w:val="center"/>
            <w:hideMark/>
          </w:tcPr>
          <w:p w14:paraId="7C573C80" w14:textId="00248C52"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580" w:type="dxa"/>
            <w:tcBorders>
              <w:top w:val="nil"/>
              <w:left w:val="nil"/>
              <w:bottom w:val="single" w:sz="4" w:space="0" w:color="auto"/>
              <w:right w:val="single" w:sz="4" w:space="0" w:color="auto"/>
            </w:tcBorders>
            <w:vAlign w:val="center"/>
          </w:tcPr>
          <w:p w14:paraId="39B8EBB8" w14:textId="19536D3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0637B702" w14:textId="7597C946"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464.73</w:t>
            </w:r>
          </w:p>
        </w:tc>
        <w:tc>
          <w:tcPr>
            <w:tcW w:w="825" w:type="dxa"/>
            <w:tcBorders>
              <w:top w:val="nil"/>
              <w:left w:val="nil"/>
              <w:bottom w:val="single" w:sz="4" w:space="0" w:color="auto"/>
              <w:right w:val="single" w:sz="4" w:space="0" w:color="auto"/>
            </w:tcBorders>
            <w:vAlign w:val="center"/>
          </w:tcPr>
          <w:p w14:paraId="22746DF1" w14:textId="03B2D29E"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4" w:type="dxa"/>
            <w:tcBorders>
              <w:top w:val="nil"/>
              <w:left w:val="nil"/>
              <w:bottom w:val="single" w:sz="4" w:space="0" w:color="auto"/>
              <w:right w:val="single" w:sz="4" w:space="0" w:color="auto"/>
            </w:tcBorders>
            <w:vAlign w:val="center"/>
          </w:tcPr>
          <w:p w14:paraId="67AA8273" w14:textId="4B5F5432"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99.63</w:t>
            </w:r>
          </w:p>
        </w:tc>
        <w:tc>
          <w:tcPr>
            <w:tcW w:w="845" w:type="dxa"/>
            <w:tcBorders>
              <w:top w:val="nil"/>
              <w:left w:val="nil"/>
              <w:bottom w:val="single" w:sz="4" w:space="0" w:color="auto"/>
              <w:right w:val="single" w:sz="4" w:space="0" w:color="auto"/>
            </w:tcBorders>
            <w:vAlign w:val="center"/>
          </w:tcPr>
          <w:p w14:paraId="135B760F" w14:textId="232DD31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400.14</w:t>
            </w:r>
          </w:p>
        </w:tc>
        <w:tc>
          <w:tcPr>
            <w:tcW w:w="845" w:type="dxa"/>
            <w:tcBorders>
              <w:top w:val="nil"/>
              <w:left w:val="nil"/>
              <w:bottom w:val="single" w:sz="4" w:space="0" w:color="auto"/>
              <w:right w:val="single" w:sz="4" w:space="0" w:color="auto"/>
            </w:tcBorders>
            <w:vAlign w:val="center"/>
            <w:hideMark/>
          </w:tcPr>
          <w:p w14:paraId="36CCCFBA" w14:textId="3746CDAC"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1033.44</w:t>
            </w:r>
          </w:p>
        </w:tc>
        <w:tc>
          <w:tcPr>
            <w:tcW w:w="669" w:type="dxa"/>
            <w:tcBorders>
              <w:top w:val="nil"/>
              <w:left w:val="nil"/>
              <w:bottom w:val="single" w:sz="4" w:space="0" w:color="auto"/>
              <w:right w:val="single" w:sz="4" w:space="0" w:color="auto"/>
            </w:tcBorders>
            <w:vAlign w:val="center"/>
          </w:tcPr>
          <w:p w14:paraId="6A49E7D6" w14:textId="2EA913D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304FF1B5" w14:textId="0648B735"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05F874FD" w14:textId="6BEC0624"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15.00</w:t>
            </w:r>
          </w:p>
        </w:tc>
        <w:tc>
          <w:tcPr>
            <w:tcW w:w="709" w:type="dxa"/>
            <w:tcBorders>
              <w:top w:val="nil"/>
              <w:left w:val="nil"/>
              <w:bottom w:val="single" w:sz="4" w:space="0" w:color="auto"/>
              <w:right w:val="single" w:sz="4" w:space="0" w:color="auto"/>
            </w:tcBorders>
            <w:noWrap/>
            <w:vAlign w:val="center"/>
            <w:hideMark/>
          </w:tcPr>
          <w:p w14:paraId="27ACC549" w14:textId="1527DCA4"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0.83</w:t>
            </w:r>
          </w:p>
        </w:tc>
        <w:tc>
          <w:tcPr>
            <w:tcW w:w="809" w:type="dxa"/>
            <w:tcBorders>
              <w:top w:val="nil"/>
              <w:left w:val="nil"/>
              <w:bottom w:val="single" w:sz="4" w:space="0" w:color="auto"/>
              <w:right w:val="single" w:sz="4" w:space="0" w:color="auto"/>
            </w:tcBorders>
            <w:noWrap/>
            <w:vAlign w:val="center"/>
            <w:hideMark/>
          </w:tcPr>
          <w:p w14:paraId="2A193DEA" w14:textId="3548318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tcPr>
          <w:p w14:paraId="2568FCEC" w14:textId="240FC1EF"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0.49</w:t>
            </w:r>
          </w:p>
        </w:tc>
        <w:tc>
          <w:tcPr>
            <w:tcW w:w="899" w:type="dxa"/>
            <w:tcBorders>
              <w:top w:val="nil"/>
              <w:left w:val="nil"/>
              <w:bottom w:val="single" w:sz="4" w:space="0" w:color="auto"/>
              <w:right w:val="single" w:sz="4" w:space="0" w:color="auto"/>
            </w:tcBorders>
            <w:vAlign w:val="center"/>
          </w:tcPr>
          <w:p w14:paraId="47BBA514" w14:textId="22416105"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1.58</w:t>
            </w:r>
          </w:p>
        </w:tc>
        <w:tc>
          <w:tcPr>
            <w:tcW w:w="768" w:type="dxa"/>
            <w:tcBorders>
              <w:top w:val="nil"/>
              <w:left w:val="nil"/>
              <w:bottom w:val="single" w:sz="4" w:space="0" w:color="auto"/>
              <w:right w:val="single" w:sz="4" w:space="0" w:color="auto"/>
            </w:tcBorders>
            <w:vAlign w:val="center"/>
          </w:tcPr>
          <w:p w14:paraId="04B8C4B7" w14:textId="3262B8F4"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F5F48CB" w14:textId="2DA202B7"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0.11</w:t>
            </w:r>
          </w:p>
        </w:tc>
        <w:tc>
          <w:tcPr>
            <w:tcW w:w="956" w:type="dxa"/>
            <w:tcBorders>
              <w:top w:val="nil"/>
              <w:left w:val="nil"/>
              <w:bottom w:val="single" w:sz="4" w:space="0" w:color="auto"/>
              <w:right w:val="single" w:sz="4" w:space="0" w:color="auto"/>
            </w:tcBorders>
            <w:vAlign w:val="center"/>
            <w:hideMark/>
          </w:tcPr>
          <w:p w14:paraId="457862F2"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2015.95</w:t>
            </w:r>
          </w:p>
        </w:tc>
      </w:tr>
      <w:tr w:rsidR="00344B6A" w:rsidRPr="00767C21" w14:paraId="6537A54C"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5025992C" w14:textId="77777777" w:rsidR="00344B6A" w:rsidRPr="00767C21" w:rsidRDefault="00344B6A" w:rsidP="00344B6A">
            <w:pPr>
              <w:spacing w:after="0" w:line="240" w:lineRule="auto"/>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25. West Bengal</w:t>
            </w:r>
          </w:p>
        </w:tc>
        <w:tc>
          <w:tcPr>
            <w:tcW w:w="704" w:type="dxa"/>
            <w:tcBorders>
              <w:top w:val="nil"/>
              <w:left w:val="nil"/>
              <w:bottom w:val="single" w:sz="4" w:space="0" w:color="auto"/>
              <w:right w:val="single" w:sz="4" w:space="0" w:color="auto"/>
            </w:tcBorders>
            <w:vAlign w:val="center"/>
            <w:hideMark/>
          </w:tcPr>
          <w:p w14:paraId="4D7212BD" w14:textId="72DA518A"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86.40</w:t>
            </w:r>
          </w:p>
        </w:tc>
        <w:tc>
          <w:tcPr>
            <w:tcW w:w="580" w:type="dxa"/>
            <w:tcBorders>
              <w:top w:val="nil"/>
              <w:left w:val="nil"/>
              <w:bottom w:val="single" w:sz="4" w:space="0" w:color="auto"/>
              <w:right w:val="single" w:sz="4" w:space="0" w:color="auto"/>
            </w:tcBorders>
            <w:vAlign w:val="center"/>
          </w:tcPr>
          <w:p w14:paraId="2C45A9C3" w14:textId="41E64E29"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vAlign w:val="center"/>
          </w:tcPr>
          <w:p w14:paraId="078E7429" w14:textId="45464C0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119.85</w:t>
            </w:r>
          </w:p>
        </w:tc>
        <w:tc>
          <w:tcPr>
            <w:tcW w:w="825" w:type="dxa"/>
            <w:tcBorders>
              <w:top w:val="nil"/>
              <w:left w:val="nil"/>
              <w:bottom w:val="single" w:sz="4" w:space="0" w:color="auto"/>
              <w:right w:val="single" w:sz="4" w:space="0" w:color="auto"/>
            </w:tcBorders>
            <w:vAlign w:val="center"/>
          </w:tcPr>
          <w:p w14:paraId="7F0B05F5" w14:textId="34DE80A1"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92.57</w:t>
            </w:r>
          </w:p>
        </w:tc>
        <w:tc>
          <w:tcPr>
            <w:tcW w:w="704" w:type="dxa"/>
            <w:tcBorders>
              <w:top w:val="nil"/>
              <w:left w:val="nil"/>
              <w:bottom w:val="single" w:sz="4" w:space="0" w:color="auto"/>
              <w:right w:val="single" w:sz="4" w:space="0" w:color="auto"/>
            </w:tcBorders>
            <w:vAlign w:val="center"/>
          </w:tcPr>
          <w:p w14:paraId="64F089A1" w14:textId="56F9782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100.96</w:t>
            </w:r>
          </w:p>
        </w:tc>
        <w:tc>
          <w:tcPr>
            <w:tcW w:w="845" w:type="dxa"/>
            <w:tcBorders>
              <w:top w:val="nil"/>
              <w:left w:val="nil"/>
              <w:bottom w:val="single" w:sz="4" w:space="0" w:color="auto"/>
              <w:right w:val="single" w:sz="4" w:space="0" w:color="auto"/>
            </w:tcBorders>
            <w:vAlign w:val="center"/>
          </w:tcPr>
          <w:p w14:paraId="7ADCC89D" w14:textId="3B835DF0"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433.18</w:t>
            </w:r>
          </w:p>
        </w:tc>
        <w:tc>
          <w:tcPr>
            <w:tcW w:w="845" w:type="dxa"/>
            <w:tcBorders>
              <w:top w:val="nil"/>
              <w:left w:val="nil"/>
              <w:bottom w:val="single" w:sz="4" w:space="0" w:color="auto"/>
              <w:right w:val="single" w:sz="4" w:space="0" w:color="auto"/>
            </w:tcBorders>
            <w:vAlign w:val="center"/>
          </w:tcPr>
          <w:p w14:paraId="03093B28" w14:textId="39B79E00"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237.27</w:t>
            </w:r>
          </w:p>
        </w:tc>
        <w:tc>
          <w:tcPr>
            <w:tcW w:w="669" w:type="dxa"/>
            <w:tcBorders>
              <w:top w:val="nil"/>
              <w:left w:val="nil"/>
              <w:bottom w:val="single" w:sz="4" w:space="0" w:color="auto"/>
              <w:right w:val="single" w:sz="4" w:space="0" w:color="auto"/>
            </w:tcBorders>
            <w:vAlign w:val="center"/>
          </w:tcPr>
          <w:p w14:paraId="142F146C" w14:textId="2B9A448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89" w:type="dxa"/>
            <w:tcBorders>
              <w:top w:val="nil"/>
              <w:left w:val="nil"/>
              <w:bottom w:val="single" w:sz="4" w:space="0" w:color="auto"/>
              <w:right w:val="single" w:sz="4" w:space="0" w:color="auto"/>
            </w:tcBorders>
            <w:vAlign w:val="center"/>
          </w:tcPr>
          <w:p w14:paraId="6D2F3120" w14:textId="7330A0EB"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851" w:type="dxa"/>
            <w:tcBorders>
              <w:top w:val="nil"/>
              <w:left w:val="nil"/>
              <w:bottom w:val="single" w:sz="4" w:space="0" w:color="auto"/>
              <w:right w:val="single" w:sz="4" w:space="0" w:color="auto"/>
            </w:tcBorders>
            <w:vAlign w:val="center"/>
          </w:tcPr>
          <w:p w14:paraId="467C8AD1" w14:textId="77A43FCD"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p>
        </w:tc>
        <w:tc>
          <w:tcPr>
            <w:tcW w:w="709" w:type="dxa"/>
            <w:tcBorders>
              <w:top w:val="nil"/>
              <w:left w:val="nil"/>
              <w:bottom w:val="single" w:sz="4" w:space="0" w:color="auto"/>
              <w:right w:val="single" w:sz="4" w:space="0" w:color="auto"/>
            </w:tcBorders>
            <w:noWrap/>
            <w:vAlign w:val="center"/>
          </w:tcPr>
          <w:p w14:paraId="32E646DF" w14:textId="1955477D"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809" w:type="dxa"/>
            <w:tcBorders>
              <w:top w:val="nil"/>
              <w:left w:val="nil"/>
              <w:bottom w:val="single" w:sz="4" w:space="0" w:color="auto"/>
              <w:right w:val="single" w:sz="4" w:space="0" w:color="auto"/>
            </w:tcBorders>
            <w:noWrap/>
            <w:vAlign w:val="center"/>
          </w:tcPr>
          <w:p w14:paraId="4739B5C6" w14:textId="11CA4F6A"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p>
        </w:tc>
        <w:tc>
          <w:tcPr>
            <w:tcW w:w="910" w:type="dxa"/>
            <w:tcBorders>
              <w:top w:val="nil"/>
              <w:left w:val="nil"/>
              <w:bottom w:val="single" w:sz="4" w:space="0" w:color="auto"/>
              <w:right w:val="single" w:sz="4" w:space="0" w:color="auto"/>
            </w:tcBorders>
            <w:noWrap/>
            <w:vAlign w:val="center"/>
            <w:hideMark/>
          </w:tcPr>
          <w:p w14:paraId="0BFF41D4" w14:textId="3B4EE246" w:rsidR="00344B6A" w:rsidRPr="00767C21" w:rsidRDefault="00344B6A" w:rsidP="00344B6A">
            <w:pPr>
              <w:spacing w:after="0" w:line="240" w:lineRule="auto"/>
              <w:jc w:val="center"/>
              <w:rPr>
                <w:rFonts w:ascii="Aptos" w:eastAsia="Times New Roman" w:hAnsi="Aptos" w:cs="Times New Roman"/>
                <w:color w:val="000000"/>
                <w:kern w:val="0"/>
                <w:sz w:val="14"/>
                <w:szCs w:val="14"/>
                <w:lang w:eastAsia="en-IN" w:bidi="ar-SA"/>
                <w14:ligatures w14:val="none"/>
              </w:rPr>
            </w:pPr>
            <w:r w:rsidRPr="00767C21">
              <w:rPr>
                <w:rFonts w:ascii="Aptos" w:eastAsia="Times New Roman" w:hAnsi="Aptos" w:cs="Times New Roman"/>
                <w:color w:val="000000"/>
                <w:kern w:val="0"/>
                <w:sz w:val="14"/>
                <w:szCs w:val="14"/>
                <w:lang w:eastAsia="en-IN" w:bidi="ar-SA"/>
                <w14:ligatures w14:val="none"/>
              </w:rPr>
              <w:t>0.34</w:t>
            </w:r>
          </w:p>
        </w:tc>
        <w:tc>
          <w:tcPr>
            <w:tcW w:w="899" w:type="dxa"/>
            <w:tcBorders>
              <w:top w:val="nil"/>
              <w:left w:val="nil"/>
              <w:bottom w:val="single" w:sz="4" w:space="0" w:color="auto"/>
              <w:right w:val="single" w:sz="4" w:space="0" w:color="auto"/>
            </w:tcBorders>
            <w:vAlign w:val="center"/>
            <w:hideMark/>
          </w:tcPr>
          <w:p w14:paraId="5A8D0DC6" w14:textId="1FC9D0F3"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0.48</w:t>
            </w:r>
          </w:p>
        </w:tc>
        <w:tc>
          <w:tcPr>
            <w:tcW w:w="768" w:type="dxa"/>
            <w:tcBorders>
              <w:top w:val="nil"/>
              <w:left w:val="nil"/>
              <w:bottom w:val="single" w:sz="4" w:space="0" w:color="auto"/>
              <w:right w:val="single" w:sz="4" w:space="0" w:color="auto"/>
            </w:tcBorders>
            <w:vAlign w:val="center"/>
          </w:tcPr>
          <w:p w14:paraId="705641C3" w14:textId="105E2CFA" w:rsidR="00344B6A" w:rsidRPr="00767C21" w:rsidRDefault="00344B6A" w:rsidP="00344B6A">
            <w:pPr>
              <w:spacing w:after="0" w:line="240" w:lineRule="auto"/>
              <w:jc w:val="center"/>
              <w:rPr>
                <w:rFonts w:ascii="Aptos" w:eastAsia="Times New Roman" w:hAnsi="Aptos" w:cs="Times New Roman"/>
                <w:color w:val="000000"/>
                <w:kern w:val="0"/>
                <w:sz w:val="14"/>
                <w:szCs w:val="14"/>
                <w:highlight w:val="yellow"/>
                <w:lang w:eastAsia="en-IN" w:bidi="ar-SA"/>
                <w14:ligatures w14:val="none"/>
              </w:rPr>
            </w:pPr>
          </w:p>
        </w:tc>
        <w:tc>
          <w:tcPr>
            <w:tcW w:w="761" w:type="dxa"/>
            <w:tcBorders>
              <w:top w:val="nil"/>
              <w:left w:val="nil"/>
              <w:bottom w:val="single" w:sz="4" w:space="0" w:color="auto"/>
              <w:right w:val="single" w:sz="4" w:space="0" w:color="auto"/>
            </w:tcBorders>
            <w:vAlign w:val="center"/>
            <w:hideMark/>
          </w:tcPr>
          <w:p w14:paraId="3825D811" w14:textId="6A35A06C"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30.34</w:t>
            </w:r>
          </w:p>
        </w:tc>
        <w:tc>
          <w:tcPr>
            <w:tcW w:w="956" w:type="dxa"/>
            <w:tcBorders>
              <w:top w:val="nil"/>
              <w:left w:val="nil"/>
              <w:bottom w:val="single" w:sz="4" w:space="0" w:color="auto"/>
              <w:right w:val="single" w:sz="4" w:space="0" w:color="auto"/>
            </w:tcBorders>
            <w:vAlign w:val="center"/>
            <w:hideMark/>
          </w:tcPr>
          <w:p w14:paraId="1EDED254" w14:textId="77777777" w:rsidR="00344B6A" w:rsidRPr="00767C21" w:rsidRDefault="00344B6A" w:rsidP="00344B6A">
            <w:pPr>
              <w:spacing w:after="0" w:line="240" w:lineRule="auto"/>
              <w:jc w:val="center"/>
              <w:rPr>
                <w:rFonts w:ascii="Times New Roman" w:eastAsia="Times New Roman" w:hAnsi="Times New Roman" w:cs="Times New Roman"/>
                <w:color w:val="000000"/>
                <w:kern w:val="0"/>
                <w:sz w:val="14"/>
                <w:szCs w:val="14"/>
                <w:lang w:eastAsia="en-IN" w:bidi="ar-SA"/>
                <w14:ligatures w14:val="none"/>
              </w:rPr>
            </w:pPr>
            <w:r w:rsidRPr="00767C21">
              <w:rPr>
                <w:rFonts w:ascii="Times New Roman" w:eastAsia="Times New Roman" w:hAnsi="Times New Roman" w:cs="Times New Roman"/>
                <w:color w:val="000000"/>
                <w:kern w:val="0"/>
                <w:sz w:val="14"/>
                <w:szCs w:val="14"/>
                <w:lang w:eastAsia="en-IN" w:bidi="ar-SA"/>
                <w14:ligatures w14:val="none"/>
              </w:rPr>
              <w:t>1101.39</w:t>
            </w:r>
          </w:p>
        </w:tc>
      </w:tr>
      <w:tr w:rsidR="00344B6A" w:rsidRPr="00767C21" w14:paraId="5EA9BC41" w14:textId="77777777" w:rsidTr="00767C21">
        <w:trPr>
          <w:trHeight w:val="20"/>
        </w:trPr>
        <w:tc>
          <w:tcPr>
            <w:tcW w:w="1552" w:type="dxa"/>
            <w:tcBorders>
              <w:top w:val="nil"/>
              <w:left w:val="single" w:sz="4" w:space="0" w:color="auto"/>
              <w:bottom w:val="single" w:sz="4" w:space="0" w:color="auto"/>
              <w:right w:val="single" w:sz="4" w:space="0" w:color="auto"/>
            </w:tcBorders>
            <w:vAlign w:val="center"/>
            <w:hideMark/>
          </w:tcPr>
          <w:p w14:paraId="22CD4B13" w14:textId="77777777" w:rsidR="00344B6A" w:rsidRPr="00767C21" w:rsidRDefault="00344B6A" w:rsidP="00344B6A">
            <w:pPr>
              <w:spacing w:after="0" w:line="240" w:lineRule="auto"/>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TOTAL</w:t>
            </w:r>
          </w:p>
        </w:tc>
        <w:tc>
          <w:tcPr>
            <w:tcW w:w="704" w:type="dxa"/>
            <w:tcBorders>
              <w:top w:val="nil"/>
              <w:left w:val="nil"/>
              <w:bottom w:val="single" w:sz="4" w:space="0" w:color="auto"/>
              <w:right w:val="single" w:sz="4" w:space="0" w:color="auto"/>
            </w:tcBorders>
            <w:vAlign w:val="center"/>
          </w:tcPr>
          <w:p w14:paraId="38C5D20C" w14:textId="64D138BF"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962.00</w:t>
            </w:r>
          </w:p>
        </w:tc>
        <w:tc>
          <w:tcPr>
            <w:tcW w:w="580" w:type="dxa"/>
            <w:tcBorders>
              <w:top w:val="nil"/>
              <w:left w:val="nil"/>
              <w:bottom w:val="single" w:sz="4" w:space="0" w:color="auto"/>
              <w:right w:val="single" w:sz="4" w:space="0" w:color="auto"/>
            </w:tcBorders>
            <w:vAlign w:val="center"/>
          </w:tcPr>
          <w:p w14:paraId="1817EE67" w14:textId="22430242"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134.53</w:t>
            </w:r>
          </w:p>
        </w:tc>
        <w:tc>
          <w:tcPr>
            <w:tcW w:w="709" w:type="dxa"/>
            <w:tcBorders>
              <w:top w:val="nil"/>
              <w:left w:val="nil"/>
              <w:bottom w:val="single" w:sz="4" w:space="0" w:color="auto"/>
              <w:right w:val="single" w:sz="4" w:space="0" w:color="auto"/>
            </w:tcBorders>
            <w:vAlign w:val="center"/>
          </w:tcPr>
          <w:p w14:paraId="6921A94D" w14:textId="676B8E35"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686.59</w:t>
            </w:r>
          </w:p>
        </w:tc>
        <w:tc>
          <w:tcPr>
            <w:tcW w:w="825" w:type="dxa"/>
            <w:tcBorders>
              <w:top w:val="nil"/>
              <w:left w:val="nil"/>
              <w:bottom w:val="single" w:sz="4" w:space="0" w:color="auto"/>
              <w:right w:val="single" w:sz="4" w:space="0" w:color="auto"/>
            </w:tcBorders>
            <w:vAlign w:val="center"/>
          </w:tcPr>
          <w:p w14:paraId="4B68DE8A" w14:textId="63FA54BB"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1717.33</w:t>
            </w:r>
          </w:p>
        </w:tc>
        <w:tc>
          <w:tcPr>
            <w:tcW w:w="704" w:type="dxa"/>
            <w:tcBorders>
              <w:top w:val="nil"/>
              <w:left w:val="nil"/>
              <w:bottom w:val="single" w:sz="4" w:space="0" w:color="auto"/>
              <w:right w:val="single" w:sz="4" w:space="0" w:color="auto"/>
            </w:tcBorders>
            <w:vAlign w:val="center"/>
          </w:tcPr>
          <w:p w14:paraId="112E3FBC" w14:textId="0CC09319"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584.32</w:t>
            </w:r>
          </w:p>
        </w:tc>
        <w:tc>
          <w:tcPr>
            <w:tcW w:w="845" w:type="dxa"/>
            <w:tcBorders>
              <w:top w:val="nil"/>
              <w:left w:val="nil"/>
              <w:bottom w:val="single" w:sz="4" w:space="0" w:color="auto"/>
              <w:right w:val="single" w:sz="4" w:space="0" w:color="auto"/>
            </w:tcBorders>
            <w:vAlign w:val="center"/>
          </w:tcPr>
          <w:p w14:paraId="364FBC7B" w14:textId="08700525"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3242.94</w:t>
            </w:r>
          </w:p>
        </w:tc>
        <w:tc>
          <w:tcPr>
            <w:tcW w:w="845" w:type="dxa"/>
            <w:tcBorders>
              <w:top w:val="nil"/>
              <w:left w:val="nil"/>
              <w:bottom w:val="single" w:sz="4" w:space="0" w:color="auto"/>
              <w:right w:val="single" w:sz="4" w:space="0" w:color="auto"/>
            </w:tcBorders>
            <w:vAlign w:val="center"/>
          </w:tcPr>
          <w:p w14:paraId="2BFE8277" w14:textId="33F3238B"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6863.86</w:t>
            </w:r>
          </w:p>
        </w:tc>
        <w:tc>
          <w:tcPr>
            <w:tcW w:w="669" w:type="dxa"/>
            <w:tcBorders>
              <w:top w:val="nil"/>
              <w:left w:val="nil"/>
              <w:bottom w:val="single" w:sz="4" w:space="0" w:color="auto"/>
              <w:right w:val="single" w:sz="4" w:space="0" w:color="auto"/>
            </w:tcBorders>
            <w:vAlign w:val="center"/>
          </w:tcPr>
          <w:p w14:paraId="5DDFE984" w14:textId="39579454"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12.38</w:t>
            </w:r>
          </w:p>
        </w:tc>
        <w:tc>
          <w:tcPr>
            <w:tcW w:w="789" w:type="dxa"/>
            <w:tcBorders>
              <w:top w:val="nil"/>
              <w:left w:val="nil"/>
              <w:bottom w:val="single" w:sz="4" w:space="0" w:color="auto"/>
              <w:right w:val="single" w:sz="4" w:space="0" w:color="auto"/>
            </w:tcBorders>
            <w:vAlign w:val="center"/>
          </w:tcPr>
          <w:p w14:paraId="720E686F" w14:textId="068E03CD"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132.40</w:t>
            </w:r>
          </w:p>
        </w:tc>
        <w:tc>
          <w:tcPr>
            <w:tcW w:w="851" w:type="dxa"/>
            <w:tcBorders>
              <w:top w:val="nil"/>
              <w:left w:val="nil"/>
              <w:bottom w:val="single" w:sz="4" w:space="0" w:color="auto"/>
              <w:right w:val="single" w:sz="4" w:space="0" w:color="auto"/>
            </w:tcBorders>
            <w:vAlign w:val="center"/>
          </w:tcPr>
          <w:p w14:paraId="2DC9515A" w14:textId="18FA18B2"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172.25</w:t>
            </w:r>
          </w:p>
        </w:tc>
        <w:tc>
          <w:tcPr>
            <w:tcW w:w="709" w:type="dxa"/>
            <w:tcBorders>
              <w:top w:val="nil"/>
              <w:left w:val="nil"/>
              <w:bottom w:val="single" w:sz="4" w:space="0" w:color="auto"/>
              <w:right w:val="single" w:sz="4" w:space="0" w:color="auto"/>
            </w:tcBorders>
            <w:noWrap/>
            <w:vAlign w:val="center"/>
          </w:tcPr>
          <w:p w14:paraId="1F42BA3F" w14:textId="1121D038" w:rsidR="00344B6A" w:rsidRPr="00767C21" w:rsidRDefault="00344B6A"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r w:rsidRPr="00767C21">
              <w:rPr>
                <w:rFonts w:ascii="Aptos" w:eastAsia="Times New Roman" w:hAnsi="Aptos" w:cs="Times New Roman"/>
                <w:b/>
                <w:bCs/>
                <w:color w:val="000000"/>
                <w:kern w:val="0"/>
                <w:sz w:val="14"/>
                <w:szCs w:val="14"/>
                <w:lang w:eastAsia="en-IN" w:bidi="ar-SA"/>
                <w14:ligatures w14:val="none"/>
              </w:rPr>
              <w:t>198.98</w:t>
            </w:r>
          </w:p>
        </w:tc>
        <w:tc>
          <w:tcPr>
            <w:tcW w:w="809" w:type="dxa"/>
            <w:tcBorders>
              <w:top w:val="nil"/>
              <w:left w:val="nil"/>
              <w:bottom w:val="single" w:sz="4" w:space="0" w:color="auto"/>
              <w:right w:val="single" w:sz="4" w:space="0" w:color="auto"/>
            </w:tcBorders>
            <w:noWrap/>
            <w:vAlign w:val="center"/>
          </w:tcPr>
          <w:p w14:paraId="5DEFC07A" w14:textId="7DE4506B" w:rsidR="00344B6A" w:rsidRPr="00767C21" w:rsidRDefault="00344B6A"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r w:rsidRPr="00767C21">
              <w:rPr>
                <w:rFonts w:ascii="Aptos" w:eastAsia="Times New Roman" w:hAnsi="Aptos" w:cs="Times New Roman"/>
                <w:b/>
                <w:bCs/>
                <w:color w:val="000000"/>
                <w:kern w:val="0"/>
                <w:sz w:val="14"/>
                <w:szCs w:val="14"/>
                <w:lang w:eastAsia="en-IN" w:bidi="ar-SA"/>
                <w14:ligatures w14:val="none"/>
              </w:rPr>
              <w:t>850.57</w:t>
            </w:r>
          </w:p>
        </w:tc>
        <w:tc>
          <w:tcPr>
            <w:tcW w:w="910" w:type="dxa"/>
            <w:tcBorders>
              <w:top w:val="nil"/>
              <w:left w:val="nil"/>
              <w:bottom w:val="single" w:sz="4" w:space="0" w:color="auto"/>
              <w:right w:val="single" w:sz="4" w:space="0" w:color="auto"/>
            </w:tcBorders>
            <w:noWrap/>
            <w:vAlign w:val="center"/>
          </w:tcPr>
          <w:p w14:paraId="51B7EDFF" w14:textId="191DB6AA" w:rsidR="00344B6A" w:rsidRPr="00767C21" w:rsidRDefault="00344B6A" w:rsidP="00344B6A">
            <w:pPr>
              <w:spacing w:after="0" w:line="240" w:lineRule="auto"/>
              <w:jc w:val="center"/>
              <w:rPr>
                <w:rFonts w:ascii="Aptos" w:eastAsia="Times New Roman" w:hAnsi="Aptos" w:cs="Times New Roman"/>
                <w:b/>
                <w:bCs/>
                <w:color w:val="000000"/>
                <w:kern w:val="0"/>
                <w:sz w:val="14"/>
                <w:szCs w:val="14"/>
                <w:lang w:eastAsia="en-IN" w:bidi="ar-SA"/>
                <w14:ligatures w14:val="none"/>
              </w:rPr>
            </w:pPr>
            <w:r w:rsidRPr="00767C21">
              <w:rPr>
                <w:rFonts w:ascii="Aptos" w:eastAsia="Times New Roman" w:hAnsi="Aptos" w:cs="Times New Roman"/>
                <w:b/>
                <w:bCs/>
                <w:color w:val="000000"/>
                <w:kern w:val="0"/>
                <w:sz w:val="14"/>
                <w:szCs w:val="14"/>
                <w:lang w:eastAsia="en-IN" w:bidi="ar-SA"/>
                <w14:ligatures w14:val="none"/>
              </w:rPr>
              <w:t>5.54</w:t>
            </w:r>
          </w:p>
        </w:tc>
        <w:tc>
          <w:tcPr>
            <w:tcW w:w="899" w:type="dxa"/>
            <w:tcBorders>
              <w:top w:val="nil"/>
              <w:left w:val="nil"/>
              <w:bottom w:val="single" w:sz="4" w:space="0" w:color="auto"/>
              <w:right w:val="single" w:sz="4" w:space="0" w:color="auto"/>
            </w:tcBorders>
            <w:vAlign w:val="center"/>
          </w:tcPr>
          <w:p w14:paraId="18323C23" w14:textId="4C4E3840"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9.88</w:t>
            </w:r>
          </w:p>
        </w:tc>
        <w:tc>
          <w:tcPr>
            <w:tcW w:w="768" w:type="dxa"/>
            <w:tcBorders>
              <w:top w:val="nil"/>
              <w:left w:val="nil"/>
              <w:bottom w:val="single" w:sz="4" w:space="0" w:color="auto"/>
              <w:right w:val="single" w:sz="4" w:space="0" w:color="auto"/>
            </w:tcBorders>
            <w:vAlign w:val="center"/>
          </w:tcPr>
          <w:p w14:paraId="5A39BECA" w14:textId="59C266C3"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8.10</w:t>
            </w:r>
          </w:p>
        </w:tc>
        <w:tc>
          <w:tcPr>
            <w:tcW w:w="761" w:type="dxa"/>
            <w:tcBorders>
              <w:top w:val="nil"/>
              <w:left w:val="nil"/>
              <w:bottom w:val="single" w:sz="4" w:space="0" w:color="auto"/>
              <w:right w:val="single" w:sz="4" w:space="0" w:color="auto"/>
            </w:tcBorders>
            <w:vAlign w:val="center"/>
          </w:tcPr>
          <w:p w14:paraId="74592E6F" w14:textId="4F829A6F"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47.02</w:t>
            </w:r>
          </w:p>
        </w:tc>
        <w:tc>
          <w:tcPr>
            <w:tcW w:w="956" w:type="dxa"/>
            <w:tcBorders>
              <w:top w:val="nil"/>
              <w:left w:val="nil"/>
              <w:bottom w:val="single" w:sz="4" w:space="0" w:color="auto"/>
              <w:right w:val="single" w:sz="4" w:space="0" w:color="auto"/>
            </w:tcBorders>
            <w:vAlign w:val="center"/>
          </w:tcPr>
          <w:p w14:paraId="1C575D79" w14:textId="6E7B8355" w:rsidR="00344B6A" w:rsidRPr="00767C21" w:rsidRDefault="00344B6A" w:rsidP="00344B6A">
            <w:pPr>
              <w:spacing w:after="0" w:line="240" w:lineRule="auto"/>
              <w:jc w:val="center"/>
              <w:rPr>
                <w:rFonts w:ascii="Times New Roman" w:eastAsia="Times New Roman" w:hAnsi="Times New Roman" w:cs="Times New Roman"/>
                <w:b/>
                <w:bCs/>
                <w:color w:val="000000"/>
                <w:kern w:val="0"/>
                <w:sz w:val="14"/>
                <w:szCs w:val="14"/>
                <w:lang w:eastAsia="en-IN" w:bidi="ar-SA"/>
                <w14:ligatures w14:val="none"/>
              </w:rPr>
            </w:pPr>
            <w:r w:rsidRPr="00767C21">
              <w:rPr>
                <w:rFonts w:ascii="Times New Roman" w:eastAsia="Times New Roman" w:hAnsi="Times New Roman" w:cs="Times New Roman"/>
                <w:b/>
                <w:bCs/>
                <w:color w:val="000000"/>
                <w:kern w:val="0"/>
                <w:sz w:val="14"/>
                <w:szCs w:val="14"/>
                <w:lang w:eastAsia="en-IN" w:bidi="ar-SA"/>
                <w14:ligatures w14:val="none"/>
              </w:rPr>
              <w:t>15528.59</w:t>
            </w:r>
          </w:p>
        </w:tc>
      </w:tr>
    </w:tbl>
    <w:p w14:paraId="4F8DFEDE" w14:textId="769DD192" w:rsidR="006404D6" w:rsidRPr="0084657D" w:rsidRDefault="00AC6710" w:rsidP="009F77C8">
      <w:pPr>
        <w:tabs>
          <w:tab w:val="left" w:pos="390"/>
          <w:tab w:val="left" w:pos="3192"/>
          <w:tab w:val="right" w:pos="14831"/>
        </w:tabs>
        <w:ind w:left="390"/>
        <w:rPr>
          <w:rFonts w:ascii="Times New Roman" w:hAnsi="Times New Roman" w:cs="Times New Roman"/>
          <w:sz w:val="12"/>
          <w:szCs w:val="12"/>
        </w:rPr>
        <w:sectPr w:rsidR="006404D6" w:rsidRPr="0084657D" w:rsidSect="006404D6">
          <w:pgSz w:w="16838" w:h="11906" w:orient="landscape"/>
          <w:pgMar w:top="0" w:right="567" w:bottom="425" w:left="1440" w:header="709" w:footer="709" w:gutter="0"/>
          <w:cols w:space="708"/>
          <w:docGrid w:linePitch="360"/>
        </w:sectPr>
      </w:pPr>
      <w:r w:rsidRPr="009F77C8">
        <w:rPr>
          <w:rFonts w:ascii="Times New Roman" w:hAnsi="Times New Roman" w:cs="Times New Roman"/>
          <w:sz w:val="16"/>
          <w:szCs w:val="16"/>
        </w:rPr>
        <w:t>Sources: Forecasts of State Government</w:t>
      </w:r>
    </w:p>
    <w:p w14:paraId="1820109F" w14:textId="09707EE6" w:rsidR="00FE705A" w:rsidRPr="00DC19D6" w:rsidRDefault="00CF6CCC" w:rsidP="00DC19D6">
      <w:pPr>
        <w:spacing w:after="0"/>
        <w:jc w:val="center"/>
        <w:rPr>
          <w:rFonts w:ascii="Times New Roman" w:hAnsi="Times New Roman" w:cs="Times New Roman"/>
          <w:sz w:val="18"/>
          <w:szCs w:val="18"/>
        </w:rPr>
      </w:pPr>
      <w:bookmarkStart w:id="125" w:name="_Toc222399510"/>
      <w:bookmarkStart w:id="126" w:name="_Toc221293021"/>
      <w:r w:rsidRPr="00B73D49">
        <w:rPr>
          <w:rStyle w:val="Heading2Char"/>
          <w:sz w:val="20"/>
          <w:szCs w:val="20"/>
        </w:rPr>
        <w:lastRenderedPageBreak/>
        <w:t>A</w:t>
      </w:r>
      <w:r w:rsidR="000D57BD" w:rsidRPr="00B73D49">
        <w:rPr>
          <w:rStyle w:val="Heading2Char"/>
          <w:sz w:val="20"/>
          <w:szCs w:val="20"/>
        </w:rPr>
        <w:t>NNEXURE</w:t>
      </w:r>
      <w:r w:rsidRPr="00B73D49">
        <w:rPr>
          <w:rStyle w:val="Heading2Char"/>
          <w:sz w:val="20"/>
          <w:szCs w:val="20"/>
        </w:rPr>
        <w:t xml:space="preserve"> IX.4</w:t>
      </w:r>
      <w:r w:rsidR="0073190B" w:rsidRPr="00B73D49">
        <w:rPr>
          <w:rStyle w:val="Heading2Char"/>
          <w:sz w:val="20"/>
          <w:szCs w:val="20"/>
        </w:rPr>
        <w:br/>
      </w:r>
      <w:r w:rsidR="00FE705A" w:rsidRPr="00B73D49">
        <w:rPr>
          <w:rStyle w:val="Heading2Char"/>
          <w:sz w:val="20"/>
          <w:szCs w:val="20"/>
        </w:rPr>
        <w:t xml:space="preserve">Ratio </w:t>
      </w:r>
      <w:proofErr w:type="gramStart"/>
      <w:r w:rsidR="00FE705A" w:rsidRPr="00B73D49">
        <w:rPr>
          <w:rStyle w:val="Heading2Char"/>
          <w:sz w:val="20"/>
          <w:szCs w:val="20"/>
        </w:rPr>
        <w:t>Of</w:t>
      </w:r>
      <w:proofErr w:type="gramEnd"/>
      <w:r w:rsidR="00FE705A" w:rsidRPr="00B73D49">
        <w:rPr>
          <w:rStyle w:val="Heading2Char"/>
          <w:sz w:val="20"/>
          <w:szCs w:val="20"/>
        </w:rPr>
        <w:t xml:space="preserve"> Repayments </w:t>
      </w:r>
      <w:proofErr w:type="gramStart"/>
      <w:r w:rsidR="00FE705A" w:rsidRPr="00B73D49">
        <w:rPr>
          <w:rStyle w:val="Heading2Char"/>
          <w:sz w:val="20"/>
          <w:szCs w:val="20"/>
        </w:rPr>
        <w:t>Of</w:t>
      </w:r>
      <w:proofErr w:type="gramEnd"/>
      <w:r w:rsidR="00FE705A" w:rsidRPr="00B73D49">
        <w:rPr>
          <w:rStyle w:val="Heading2Char"/>
          <w:sz w:val="20"/>
          <w:szCs w:val="20"/>
        </w:rPr>
        <w:t xml:space="preserve"> </w:t>
      </w:r>
      <w:proofErr w:type="gramStart"/>
      <w:r w:rsidR="00FE705A" w:rsidRPr="00B73D49">
        <w:rPr>
          <w:rStyle w:val="Heading2Char"/>
          <w:sz w:val="20"/>
          <w:szCs w:val="20"/>
        </w:rPr>
        <w:t>Principal</w:t>
      </w:r>
      <w:proofErr w:type="gramEnd"/>
      <w:r w:rsidR="00FE705A" w:rsidRPr="00B73D49">
        <w:rPr>
          <w:rStyle w:val="Heading2Char"/>
          <w:sz w:val="20"/>
          <w:szCs w:val="20"/>
        </w:rPr>
        <w:t xml:space="preserve"> </w:t>
      </w:r>
      <w:proofErr w:type="gramStart"/>
      <w:r w:rsidR="00FE705A" w:rsidRPr="00B73D49">
        <w:rPr>
          <w:rStyle w:val="Heading2Char"/>
          <w:sz w:val="20"/>
          <w:szCs w:val="20"/>
        </w:rPr>
        <w:t>To</w:t>
      </w:r>
      <w:proofErr w:type="gramEnd"/>
      <w:r w:rsidR="00FE705A" w:rsidRPr="00B73D49">
        <w:rPr>
          <w:rStyle w:val="Heading2Char"/>
          <w:sz w:val="20"/>
          <w:szCs w:val="20"/>
        </w:rPr>
        <w:t xml:space="preserve"> Fresh Loans </w:t>
      </w:r>
      <w:proofErr w:type="gramStart"/>
      <w:r w:rsidR="00FE705A" w:rsidRPr="00B73D49">
        <w:rPr>
          <w:rStyle w:val="Heading2Char"/>
          <w:sz w:val="20"/>
          <w:szCs w:val="20"/>
        </w:rPr>
        <w:t>From</w:t>
      </w:r>
      <w:proofErr w:type="gramEnd"/>
      <w:r w:rsidR="00FE705A" w:rsidRPr="00B73D49">
        <w:rPr>
          <w:rStyle w:val="Heading2Char"/>
          <w:sz w:val="20"/>
          <w:szCs w:val="20"/>
        </w:rPr>
        <w:t xml:space="preserve"> Centre</w:t>
      </w:r>
      <w:bookmarkEnd w:id="125"/>
      <w:r w:rsidR="00A85A4C" w:rsidRPr="00B73D49">
        <w:rPr>
          <w:rStyle w:val="Heading2Char"/>
          <w:b w:val="0"/>
          <w:bCs w:val="0"/>
          <w:sz w:val="20"/>
          <w:szCs w:val="20"/>
        </w:rPr>
        <w:br/>
      </w:r>
      <w:r w:rsidR="00FE705A" w:rsidRPr="00DC19D6">
        <w:rPr>
          <w:rFonts w:ascii="Times New Roman" w:hAnsi="Times New Roman" w:cs="Times New Roman"/>
          <w:sz w:val="18"/>
          <w:szCs w:val="18"/>
        </w:rPr>
        <w:t>(Para 9.18)</w:t>
      </w:r>
      <w:bookmarkEnd w:id="126"/>
    </w:p>
    <w:tbl>
      <w:tblPr>
        <w:tblStyle w:val="TableGrid"/>
        <w:tblW w:w="6516" w:type="dxa"/>
        <w:jc w:val="center"/>
        <w:tblLook w:val="04A0" w:firstRow="1" w:lastRow="0" w:firstColumn="1" w:lastColumn="0" w:noHBand="0" w:noVBand="1"/>
      </w:tblPr>
      <w:tblGrid>
        <w:gridCol w:w="2122"/>
        <w:gridCol w:w="1275"/>
        <w:gridCol w:w="1560"/>
        <w:gridCol w:w="1559"/>
      </w:tblGrid>
      <w:tr w:rsidR="00FE705A" w:rsidRPr="00DC19D6" w14:paraId="16373066" w14:textId="77777777" w:rsidTr="00DC19D6">
        <w:trPr>
          <w:trHeight w:val="20"/>
          <w:jc w:val="center"/>
        </w:trPr>
        <w:tc>
          <w:tcPr>
            <w:tcW w:w="2122" w:type="dxa"/>
            <w:vAlign w:val="center"/>
            <w:hideMark/>
          </w:tcPr>
          <w:p w14:paraId="212A730A"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States</w:t>
            </w:r>
          </w:p>
        </w:tc>
        <w:tc>
          <w:tcPr>
            <w:tcW w:w="1275" w:type="dxa"/>
            <w:vAlign w:val="center"/>
            <w:hideMark/>
          </w:tcPr>
          <w:p w14:paraId="748C00D9"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1987-88</w:t>
            </w:r>
          </w:p>
        </w:tc>
        <w:tc>
          <w:tcPr>
            <w:tcW w:w="1560" w:type="dxa"/>
            <w:vAlign w:val="center"/>
            <w:hideMark/>
          </w:tcPr>
          <w:p w14:paraId="3A098A34"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1988-89 (R.E.)</w:t>
            </w:r>
          </w:p>
        </w:tc>
        <w:tc>
          <w:tcPr>
            <w:tcW w:w="1559" w:type="dxa"/>
            <w:vAlign w:val="center"/>
            <w:hideMark/>
          </w:tcPr>
          <w:p w14:paraId="1B07D305"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1989-90 (B.E.)</w:t>
            </w:r>
          </w:p>
        </w:tc>
      </w:tr>
      <w:tr w:rsidR="00FE705A" w:rsidRPr="00DC19D6" w14:paraId="3D7F79D7" w14:textId="77777777" w:rsidTr="00DC19D6">
        <w:trPr>
          <w:trHeight w:val="20"/>
          <w:jc w:val="center"/>
        </w:trPr>
        <w:tc>
          <w:tcPr>
            <w:tcW w:w="2122" w:type="dxa"/>
            <w:vAlign w:val="center"/>
            <w:hideMark/>
          </w:tcPr>
          <w:p w14:paraId="5E487AC4"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 Andhra Pradesh</w:t>
            </w:r>
          </w:p>
        </w:tc>
        <w:tc>
          <w:tcPr>
            <w:tcW w:w="1275" w:type="dxa"/>
            <w:vAlign w:val="center"/>
            <w:hideMark/>
          </w:tcPr>
          <w:p w14:paraId="1D9A9682"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41.78</w:t>
            </w:r>
          </w:p>
        </w:tc>
        <w:tc>
          <w:tcPr>
            <w:tcW w:w="1560" w:type="dxa"/>
            <w:vAlign w:val="center"/>
            <w:hideMark/>
          </w:tcPr>
          <w:p w14:paraId="4E8CC2E1"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42.88</w:t>
            </w:r>
          </w:p>
        </w:tc>
        <w:tc>
          <w:tcPr>
            <w:tcW w:w="1559" w:type="dxa"/>
            <w:vAlign w:val="center"/>
            <w:hideMark/>
          </w:tcPr>
          <w:p w14:paraId="091D20C9"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39.88</w:t>
            </w:r>
          </w:p>
        </w:tc>
      </w:tr>
      <w:tr w:rsidR="00FE705A" w:rsidRPr="00DC19D6" w14:paraId="2CE5D569" w14:textId="77777777" w:rsidTr="00DC19D6">
        <w:trPr>
          <w:trHeight w:val="20"/>
          <w:jc w:val="center"/>
        </w:trPr>
        <w:tc>
          <w:tcPr>
            <w:tcW w:w="2122" w:type="dxa"/>
            <w:vAlign w:val="center"/>
            <w:hideMark/>
          </w:tcPr>
          <w:p w14:paraId="5E71F722"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 Arunachal Pradesh</w:t>
            </w:r>
          </w:p>
        </w:tc>
        <w:tc>
          <w:tcPr>
            <w:tcW w:w="1275" w:type="dxa"/>
            <w:vAlign w:val="center"/>
            <w:hideMark/>
          </w:tcPr>
          <w:p w14:paraId="5522BED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94.78</w:t>
            </w:r>
          </w:p>
        </w:tc>
        <w:tc>
          <w:tcPr>
            <w:tcW w:w="1560" w:type="dxa"/>
            <w:vAlign w:val="center"/>
            <w:hideMark/>
          </w:tcPr>
          <w:p w14:paraId="310163F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114.88</w:t>
            </w:r>
          </w:p>
        </w:tc>
        <w:tc>
          <w:tcPr>
            <w:tcW w:w="1559" w:type="dxa"/>
            <w:vAlign w:val="center"/>
            <w:hideMark/>
          </w:tcPr>
          <w:p w14:paraId="1D64538C"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116.38</w:t>
            </w:r>
          </w:p>
        </w:tc>
      </w:tr>
      <w:tr w:rsidR="00FE705A" w:rsidRPr="00DC19D6" w14:paraId="55A7E087" w14:textId="77777777" w:rsidTr="00DC19D6">
        <w:trPr>
          <w:trHeight w:val="20"/>
          <w:jc w:val="center"/>
        </w:trPr>
        <w:tc>
          <w:tcPr>
            <w:tcW w:w="2122" w:type="dxa"/>
            <w:vAlign w:val="center"/>
            <w:hideMark/>
          </w:tcPr>
          <w:p w14:paraId="0838F5CA"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3. Assam</w:t>
            </w:r>
          </w:p>
        </w:tc>
        <w:tc>
          <w:tcPr>
            <w:tcW w:w="1275" w:type="dxa"/>
            <w:vAlign w:val="center"/>
            <w:hideMark/>
          </w:tcPr>
          <w:p w14:paraId="0C39F54B"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27.28</w:t>
            </w:r>
          </w:p>
        </w:tc>
        <w:tc>
          <w:tcPr>
            <w:tcW w:w="1560" w:type="dxa"/>
            <w:vAlign w:val="center"/>
            <w:hideMark/>
          </w:tcPr>
          <w:p w14:paraId="2683E67C"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38.68</w:t>
            </w:r>
          </w:p>
        </w:tc>
        <w:tc>
          <w:tcPr>
            <w:tcW w:w="1559" w:type="dxa"/>
            <w:vAlign w:val="center"/>
            <w:hideMark/>
          </w:tcPr>
          <w:p w14:paraId="2D2DEB47"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37.90</w:t>
            </w:r>
          </w:p>
        </w:tc>
      </w:tr>
      <w:tr w:rsidR="00FE705A" w:rsidRPr="00DC19D6" w14:paraId="3CABC61E" w14:textId="77777777" w:rsidTr="00DC19D6">
        <w:trPr>
          <w:trHeight w:val="20"/>
          <w:jc w:val="center"/>
        </w:trPr>
        <w:tc>
          <w:tcPr>
            <w:tcW w:w="2122" w:type="dxa"/>
            <w:vAlign w:val="center"/>
            <w:hideMark/>
          </w:tcPr>
          <w:p w14:paraId="245D7DCD"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4. Bihar</w:t>
            </w:r>
          </w:p>
        </w:tc>
        <w:tc>
          <w:tcPr>
            <w:tcW w:w="1275" w:type="dxa"/>
            <w:vAlign w:val="center"/>
            <w:hideMark/>
          </w:tcPr>
          <w:p w14:paraId="31AFE46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41.20</w:t>
            </w:r>
          </w:p>
        </w:tc>
        <w:tc>
          <w:tcPr>
            <w:tcW w:w="1560" w:type="dxa"/>
            <w:vAlign w:val="center"/>
            <w:hideMark/>
          </w:tcPr>
          <w:p w14:paraId="43D9654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39.80</w:t>
            </w:r>
          </w:p>
        </w:tc>
        <w:tc>
          <w:tcPr>
            <w:tcW w:w="1559" w:type="dxa"/>
            <w:vAlign w:val="center"/>
            <w:hideMark/>
          </w:tcPr>
          <w:p w14:paraId="06105C26"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42.20</w:t>
            </w:r>
          </w:p>
        </w:tc>
      </w:tr>
      <w:tr w:rsidR="00FE705A" w:rsidRPr="00DC19D6" w14:paraId="1988A39B" w14:textId="77777777" w:rsidTr="00DC19D6">
        <w:trPr>
          <w:trHeight w:val="20"/>
          <w:jc w:val="center"/>
        </w:trPr>
        <w:tc>
          <w:tcPr>
            <w:tcW w:w="2122" w:type="dxa"/>
            <w:vAlign w:val="center"/>
            <w:hideMark/>
          </w:tcPr>
          <w:p w14:paraId="24DC3C1A"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5. Goa</w:t>
            </w:r>
          </w:p>
        </w:tc>
        <w:tc>
          <w:tcPr>
            <w:tcW w:w="1275" w:type="dxa"/>
            <w:vAlign w:val="center"/>
            <w:hideMark/>
          </w:tcPr>
          <w:p w14:paraId="2FFA64B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21.20</w:t>
            </w:r>
          </w:p>
        </w:tc>
        <w:tc>
          <w:tcPr>
            <w:tcW w:w="1560" w:type="dxa"/>
            <w:vAlign w:val="center"/>
            <w:hideMark/>
          </w:tcPr>
          <w:p w14:paraId="33F5E3CC"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45.40</w:t>
            </w:r>
          </w:p>
        </w:tc>
        <w:tc>
          <w:tcPr>
            <w:tcW w:w="1559" w:type="dxa"/>
            <w:vAlign w:val="center"/>
            <w:hideMark/>
          </w:tcPr>
          <w:p w14:paraId="7B30C87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44.70</w:t>
            </w:r>
          </w:p>
        </w:tc>
      </w:tr>
      <w:tr w:rsidR="00FE705A" w:rsidRPr="00DC19D6" w14:paraId="474182D2" w14:textId="77777777" w:rsidTr="00DC19D6">
        <w:trPr>
          <w:trHeight w:val="20"/>
          <w:jc w:val="center"/>
        </w:trPr>
        <w:tc>
          <w:tcPr>
            <w:tcW w:w="2122" w:type="dxa"/>
            <w:vAlign w:val="center"/>
            <w:hideMark/>
          </w:tcPr>
          <w:p w14:paraId="29F92157"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6. Gujarat</w:t>
            </w:r>
          </w:p>
        </w:tc>
        <w:tc>
          <w:tcPr>
            <w:tcW w:w="1275" w:type="dxa"/>
            <w:vAlign w:val="center"/>
            <w:hideMark/>
          </w:tcPr>
          <w:p w14:paraId="5580CAA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24.20</w:t>
            </w:r>
          </w:p>
        </w:tc>
        <w:tc>
          <w:tcPr>
            <w:tcW w:w="1560" w:type="dxa"/>
            <w:vAlign w:val="center"/>
            <w:hideMark/>
          </w:tcPr>
          <w:p w14:paraId="48EACCB8"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28.20</w:t>
            </w:r>
          </w:p>
        </w:tc>
        <w:tc>
          <w:tcPr>
            <w:tcW w:w="1559" w:type="dxa"/>
            <w:vAlign w:val="center"/>
            <w:hideMark/>
          </w:tcPr>
          <w:p w14:paraId="72BC9232"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29.60</w:t>
            </w:r>
          </w:p>
        </w:tc>
      </w:tr>
      <w:tr w:rsidR="00FE705A" w:rsidRPr="00DC19D6" w14:paraId="1C21BC53" w14:textId="77777777" w:rsidTr="00DC19D6">
        <w:trPr>
          <w:trHeight w:val="20"/>
          <w:jc w:val="center"/>
        </w:trPr>
        <w:tc>
          <w:tcPr>
            <w:tcW w:w="2122" w:type="dxa"/>
            <w:vAlign w:val="center"/>
            <w:hideMark/>
          </w:tcPr>
          <w:p w14:paraId="37449977"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7. Haryana</w:t>
            </w:r>
          </w:p>
        </w:tc>
        <w:tc>
          <w:tcPr>
            <w:tcW w:w="1275" w:type="dxa"/>
            <w:vAlign w:val="center"/>
            <w:hideMark/>
          </w:tcPr>
          <w:p w14:paraId="5DC048A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53.80</w:t>
            </w:r>
          </w:p>
        </w:tc>
        <w:tc>
          <w:tcPr>
            <w:tcW w:w="1560" w:type="dxa"/>
            <w:vAlign w:val="center"/>
            <w:hideMark/>
          </w:tcPr>
          <w:p w14:paraId="34AF905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45.10</w:t>
            </w:r>
          </w:p>
        </w:tc>
        <w:tc>
          <w:tcPr>
            <w:tcW w:w="1559" w:type="dxa"/>
            <w:vAlign w:val="center"/>
            <w:hideMark/>
          </w:tcPr>
          <w:p w14:paraId="4E408456"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42.40</w:t>
            </w:r>
          </w:p>
        </w:tc>
      </w:tr>
      <w:tr w:rsidR="00FE705A" w:rsidRPr="00DC19D6" w14:paraId="43CF4527" w14:textId="77777777" w:rsidTr="00DC19D6">
        <w:trPr>
          <w:trHeight w:val="20"/>
          <w:jc w:val="center"/>
        </w:trPr>
        <w:tc>
          <w:tcPr>
            <w:tcW w:w="2122" w:type="dxa"/>
            <w:vAlign w:val="center"/>
            <w:hideMark/>
          </w:tcPr>
          <w:p w14:paraId="554270E7"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8. Himachal Pradesh</w:t>
            </w:r>
          </w:p>
        </w:tc>
        <w:tc>
          <w:tcPr>
            <w:tcW w:w="1275" w:type="dxa"/>
            <w:vAlign w:val="center"/>
            <w:hideMark/>
          </w:tcPr>
          <w:p w14:paraId="70F222F5"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17.70</w:t>
            </w:r>
          </w:p>
        </w:tc>
        <w:tc>
          <w:tcPr>
            <w:tcW w:w="1560" w:type="dxa"/>
            <w:vAlign w:val="center"/>
            <w:hideMark/>
          </w:tcPr>
          <w:p w14:paraId="1434176E"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23.90</w:t>
            </w:r>
          </w:p>
        </w:tc>
        <w:tc>
          <w:tcPr>
            <w:tcW w:w="1559" w:type="dxa"/>
            <w:vAlign w:val="center"/>
            <w:hideMark/>
          </w:tcPr>
          <w:p w14:paraId="2D738558"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23.40</w:t>
            </w:r>
          </w:p>
        </w:tc>
      </w:tr>
      <w:tr w:rsidR="00FE705A" w:rsidRPr="00DC19D6" w14:paraId="79010EB5" w14:textId="77777777" w:rsidTr="00DC19D6">
        <w:trPr>
          <w:trHeight w:val="20"/>
          <w:jc w:val="center"/>
        </w:trPr>
        <w:tc>
          <w:tcPr>
            <w:tcW w:w="2122" w:type="dxa"/>
            <w:vAlign w:val="center"/>
            <w:hideMark/>
          </w:tcPr>
          <w:p w14:paraId="019CCE40"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9. Jammu and Kashmir</w:t>
            </w:r>
          </w:p>
        </w:tc>
        <w:tc>
          <w:tcPr>
            <w:tcW w:w="1275" w:type="dxa"/>
            <w:vAlign w:val="center"/>
            <w:hideMark/>
          </w:tcPr>
          <w:p w14:paraId="77A121F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26.20</w:t>
            </w:r>
          </w:p>
        </w:tc>
        <w:tc>
          <w:tcPr>
            <w:tcW w:w="1560" w:type="dxa"/>
            <w:vAlign w:val="center"/>
            <w:hideMark/>
          </w:tcPr>
          <w:p w14:paraId="7BA22F0B"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19.30</w:t>
            </w:r>
          </w:p>
        </w:tc>
        <w:tc>
          <w:tcPr>
            <w:tcW w:w="1559" w:type="dxa"/>
            <w:vAlign w:val="center"/>
            <w:hideMark/>
          </w:tcPr>
          <w:p w14:paraId="17F3A4AC"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28.40</w:t>
            </w:r>
          </w:p>
        </w:tc>
      </w:tr>
      <w:tr w:rsidR="00FE705A" w:rsidRPr="00DC19D6" w14:paraId="70C926CF" w14:textId="77777777" w:rsidTr="00DC19D6">
        <w:trPr>
          <w:trHeight w:val="20"/>
          <w:jc w:val="center"/>
        </w:trPr>
        <w:tc>
          <w:tcPr>
            <w:tcW w:w="2122" w:type="dxa"/>
            <w:vAlign w:val="center"/>
            <w:hideMark/>
          </w:tcPr>
          <w:p w14:paraId="389E26BF"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10. Karnataka</w:t>
            </w:r>
          </w:p>
        </w:tc>
        <w:tc>
          <w:tcPr>
            <w:tcW w:w="1275" w:type="dxa"/>
            <w:vAlign w:val="center"/>
            <w:hideMark/>
          </w:tcPr>
          <w:p w14:paraId="264143EE"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53.50</w:t>
            </w:r>
          </w:p>
        </w:tc>
        <w:tc>
          <w:tcPr>
            <w:tcW w:w="1560" w:type="dxa"/>
            <w:vAlign w:val="center"/>
            <w:hideMark/>
          </w:tcPr>
          <w:p w14:paraId="30D7D36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58.78</w:t>
            </w:r>
          </w:p>
        </w:tc>
        <w:tc>
          <w:tcPr>
            <w:tcW w:w="1559" w:type="dxa"/>
            <w:vAlign w:val="center"/>
            <w:hideMark/>
          </w:tcPr>
          <w:p w14:paraId="62D71839"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42.20</w:t>
            </w:r>
          </w:p>
        </w:tc>
      </w:tr>
      <w:tr w:rsidR="00FE705A" w:rsidRPr="00DC19D6" w14:paraId="1BF6BAE4" w14:textId="77777777" w:rsidTr="00DC19D6">
        <w:trPr>
          <w:trHeight w:val="20"/>
          <w:jc w:val="center"/>
        </w:trPr>
        <w:tc>
          <w:tcPr>
            <w:tcW w:w="2122" w:type="dxa"/>
            <w:vAlign w:val="center"/>
            <w:hideMark/>
          </w:tcPr>
          <w:p w14:paraId="6FE2C6D0"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11. Kerala</w:t>
            </w:r>
          </w:p>
        </w:tc>
        <w:tc>
          <w:tcPr>
            <w:tcW w:w="1275" w:type="dxa"/>
            <w:vAlign w:val="center"/>
            <w:hideMark/>
          </w:tcPr>
          <w:p w14:paraId="69F1FDE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60.10</w:t>
            </w:r>
          </w:p>
        </w:tc>
        <w:tc>
          <w:tcPr>
            <w:tcW w:w="1560" w:type="dxa"/>
            <w:vAlign w:val="center"/>
            <w:hideMark/>
          </w:tcPr>
          <w:p w14:paraId="03A5F610"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59.10</w:t>
            </w:r>
          </w:p>
        </w:tc>
        <w:tc>
          <w:tcPr>
            <w:tcW w:w="1559" w:type="dxa"/>
            <w:vAlign w:val="center"/>
            <w:hideMark/>
          </w:tcPr>
          <w:p w14:paraId="10DD7C50"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53.20</w:t>
            </w:r>
          </w:p>
        </w:tc>
      </w:tr>
      <w:tr w:rsidR="00FE705A" w:rsidRPr="00DC19D6" w14:paraId="6A4018D2" w14:textId="77777777" w:rsidTr="00DC19D6">
        <w:trPr>
          <w:trHeight w:val="20"/>
          <w:jc w:val="center"/>
        </w:trPr>
        <w:tc>
          <w:tcPr>
            <w:tcW w:w="2122" w:type="dxa"/>
            <w:vAlign w:val="center"/>
            <w:hideMark/>
          </w:tcPr>
          <w:p w14:paraId="636C8EA6"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12. Madhya Pradesh</w:t>
            </w:r>
          </w:p>
        </w:tc>
        <w:tc>
          <w:tcPr>
            <w:tcW w:w="1275" w:type="dxa"/>
            <w:vAlign w:val="center"/>
            <w:hideMark/>
          </w:tcPr>
          <w:p w14:paraId="56A95DA1"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35.30</w:t>
            </w:r>
          </w:p>
        </w:tc>
        <w:tc>
          <w:tcPr>
            <w:tcW w:w="1560" w:type="dxa"/>
            <w:vAlign w:val="center"/>
            <w:hideMark/>
          </w:tcPr>
          <w:p w14:paraId="3A79D5D6"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33.40</w:t>
            </w:r>
          </w:p>
        </w:tc>
        <w:tc>
          <w:tcPr>
            <w:tcW w:w="1559" w:type="dxa"/>
            <w:vAlign w:val="center"/>
            <w:hideMark/>
          </w:tcPr>
          <w:p w14:paraId="6F0D3F3E"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38.50</w:t>
            </w:r>
          </w:p>
        </w:tc>
      </w:tr>
      <w:tr w:rsidR="00FE705A" w:rsidRPr="00DC19D6" w14:paraId="4353F74E" w14:textId="77777777" w:rsidTr="00DC19D6">
        <w:trPr>
          <w:trHeight w:val="20"/>
          <w:jc w:val="center"/>
        </w:trPr>
        <w:tc>
          <w:tcPr>
            <w:tcW w:w="2122" w:type="dxa"/>
            <w:vAlign w:val="center"/>
            <w:hideMark/>
          </w:tcPr>
          <w:p w14:paraId="38050E53"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13. Maharashtra</w:t>
            </w:r>
          </w:p>
        </w:tc>
        <w:tc>
          <w:tcPr>
            <w:tcW w:w="1275" w:type="dxa"/>
            <w:vAlign w:val="center"/>
            <w:hideMark/>
          </w:tcPr>
          <w:p w14:paraId="35035E6B"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25.00</w:t>
            </w:r>
          </w:p>
        </w:tc>
        <w:tc>
          <w:tcPr>
            <w:tcW w:w="1560" w:type="dxa"/>
            <w:vAlign w:val="center"/>
            <w:hideMark/>
          </w:tcPr>
          <w:p w14:paraId="5D4A07A9"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25.30</w:t>
            </w:r>
          </w:p>
        </w:tc>
        <w:tc>
          <w:tcPr>
            <w:tcW w:w="1559" w:type="dxa"/>
            <w:vAlign w:val="center"/>
            <w:hideMark/>
          </w:tcPr>
          <w:p w14:paraId="7C14C199"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24.00</w:t>
            </w:r>
          </w:p>
        </w:tc>
      </w:tr>
      <w:tr w:rsidR="00FE705A" w:rsidRPr="00DC19D6" w14:paraId="467870C8" w14:textId="77777777" w:rsidTr="00DC19D6">
        <w:trPr>
          <w:trHeight w:val="20"/>
          <w:jc w:val="center"/>
        </w:trPr>
        <w:tc>
          <w:tcPr>
            <w:tcW w:w="2122" w:type="dxa"/>
            <w:vAlign w:val="center"/>
            <w:hideMark/>
          </w:tcPr>
          <w:p w14:paraId="07433465"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14. Manipur</w:t>
            </w:r>
          </w:p>
        </w:tc>
        <w:tc>
          <w:tcPr>
            <w:tcW w:w="1275" w:type="dxa"/>
            <w:vAlign w:val="center"/>
            <w:hideMark/>
          </w:tcPr>
          <w:p w14:paraId="383DBDFD"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96.00</w:t>
            </w:r>
          </w:p>
        </w:tc>
        <w:tc>
          <w:tcPr>
            <w:tcW w:w="1560" w:type="dxa"/>
            <w:vAlign w:val="center"/>
            <w:hideMark/>
          </w:tcPr>
          <w:p w14:paraId="33AE6EB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71.90</w:t>
            </w:r>
          </w:p>
        </w:tc>
        <w:tc>
          <w:tcPr>
            <w:tcW w:w="1559" w:type="dxa"/>
            <w:vAlign w:val="center"/>
            <w:hideMark/>
          </w:tcPr>
          <w:p w14:paraId="45D9900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85.20</w:t>
            </w:r>
          </w:p>
        </w:tc>
      </w:tr>
      <w:tr w:rsidR="00FE705A" w:rsidRPr="00DC19D6" w14:paraId="2A65E928" w14:textId="77777777" w:rsidTr="00DC19D6">
        <w:trPr>
          <w:trHeight w:val="20"/>
          <w:jc w:val="center"/>
        </w:trPr>
        <w:tc>
          <w:tcPr>
            <w:tcW w:w="2122" w:type="dxa"/>
            <w:vAlign w:val="center"/>
            <w:hideMark/>
          </w:tcPr>
          <w:p w14:paraId="158B80A0"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15. Meghalaya</w:t>
            </w:r>
          </w:p>
        </w:tc>
        <w:tc>
          <w:tcPr>
            <w:tcW w:w="1275" w:type="dxa"/>
            <w:vAlign w:val="center"/>
            <w:hideMark/>
          </w:tcPr>
          <w:p w14:paraId="23D2370B"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29.70</w:t>
            </w:r>
          </w:p>
        </w:tc>
        <w:tc>
          <w:tcPr>
            <w:tcW w:w="1560" w:type="dxa"/>
            <w:vAlign w:val="center"/>
            <w:hideMark/>
          </w:tcPr>
          <w:p w14:paraId="52966E52"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45.30</w:t>
            </w:r>
          </w:p>
        </w:tc>
        <w:tc>
          <w:tcPr>
            <w:tcW w:w="1559" w:type="dxa"/>
            <w:vAlign w:val="center"/>
            <w:hideMark/>
          </w:tcPr>
          <w:p w14:paraId="70132B02"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53.50</w:t>
            </w:r>
          </w:p>
        </w:tc>
      </w:tr>
      <w:tr w:rsidR="00FE705A" w:rsidRPr="00DC19D6" w14:paraId="57382B8A" w14:textId="77777777" w:rsidTr="00DC19D6">
        <w:trPr>
          <w:trHeight w:val="20"/>
          <w:jc w:val="center"/>
        </w:trPr>
        <w:tc>
          <w:tcPr>
            <w:tcW w:w="2122" w:type="dxa"/>
            <w:vAlign w:val="center"/>
            <w:hideMark/>
          </w:tcPr>
          <w:p w14:paraId="22AE8012"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16. Mizoram</w:t>
            </w:r>
          </w:p>
        </w:tc>
        <w:tc>
          <w:tcPr>
            <w:tcW w:w="1275" w:type="dxa"/>
            <w:vAlign w:val="center"/>
            <w:hideMark/>
          </w:tcPr>
          <w:p w14:paraId="1B73F288"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80.20</w:t>
            </w:r>
          </w:p>
        </w:tc>
        <w:tc>
          <w:tcPr>
            <w:tcW w:w="1560" w:type="dxa"/>
            <w:vAlign w:val="center"/>
            <w:hideMark/>
          </w:tcPr>
          <w:p w14:paraId="4A2C0387"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30.30</w:t>
            </w:r>
          </w:p>
        </w:tc>
        <w:tc>
          <w:tcPr>
            <w:tcW w:w="1559" w:type="dxa"/>
            <w:vAlign w:val="center"/>
            <w:hideMark/>
          </w:tcPr>
          <w:p w14:paraId="15902DC2"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29.60</w:t>
            </w:r>
          </w:p>
        </w:tc>
      </w:tr>
      <w:tr w:rsidR="00FE705A" w:rsidRPr="00DC19D6" w14:paraId="53FFB540" w14:textId="77777777" w:rsidTr="00DC19D6">
        <w:trPr>
          <w:trHeight w:val="20"/>
          <w:jc w:val="center"/>
        </w:trPr>
        <w:tc>
          <w:tcPr>
            <w:tcW w:w="2122" w:type="dxa"/>
            <w:vAlign w:val="center"/>
            <w:hideMark/>
          </w:tcPr>
          <w:p w14:paraId="20EB3297"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17. Nagaland</w:t>
            </w:r>
          </w:p>
        </w:tc>
        <w:tc>
          <w:tcPr>
            <w:tcW w:w="1275" w:type="dxa"/>
            <w:vAlign w:val="center"/>
            <w:hideMark/>
          </w:tcPr>
          <w:p w14:paraId="7A007C15"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70.30</w:t>
            </w:r>
          </w:p>
        </w:tc>
        <w:tc>
          <w:tcPr>
            <w:tcW w:w="1560" w:type="dxa"/>
            <w:vAlign w:val="center"/>
            <w:hideMark/>
          </w:tcPr>
          <w:p w14:paraId="7FA5186D"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67.18</w:t>
            </w:r>
          </w:p>
        </w:tc>
        <w:tc>
          <w:tcPr>
            <w:tcW w:w="1559" w:type="dxa"/>
            <w:vAlign w:val="center"/>
            <w:hideMark/>
          </w:tcPr>
          <w:p w14:paraId="7BA715E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103.50</w:t>
            </w:r>
          </w:p>
        </w:tc>
      </w:tr>
      <w:tr w:rsidR="00FE705A" w:rsidRPr="00DC19D6" w14:paraId="3DA31C39" w14:textId="77777777" w:rsidTr="00DC19D6">
        <w:trPr>
          <w:trHeight w:val="20"/>
          <w:jc w:val="center"/>
        </w:trPr>
        <w:tc>
          <w:tcPr>
            <w:tcW w:w="2122" w:type="dxa"/>
            <w:vAlign w:val="center"/>
            <w:hideMark/>
          </w:tcPr>
          <w:p w14:paraId="13D947F9"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18. Orissa</w:t>
            </w:r>
          </w:p>
        </w:tc>
        <w:tc>
          <w:tcPr>
            <w:tcW w:w="1275" w:type="dxa"/>
            <w:vAlign w:val="center"/>
            <w:hideMark/>
          </w:tcPr>
          <w:p w14:paraId="11AAC84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35.20</w:t>
            </w:r>
          </w:p>
        </w:tc>
        <w:tc>
          <w:tcPr>
            <w:tcW w:w="1560" w:type="dxa"/>
            <w:vAlign w:val="center"/>
            <w:hideMark/>
          </w:tcPr>
          <w:p w14:paraId="5FD1A401"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31.80</w:t>
            </w:r>
          </w:p>
        </w:tc>
        <w:tc>
          <w:tcPr>
            <w:tcW w:w="1559" w:type="dxa"/>
            <w:vAlign w:val="center"/>
            <w:hideMark/>
          </w:tcPr>
          <w:p w14:paraId="088DA94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32.80</w:t>
            </w:r>
          </w:p>
        </w:tc>
      </w:tr>
      <w:tr w:rsidR="00FE705A" w:rsidRPr="00DC19D6" w14:paraId="12DBACBB" w14:textId="77777777" w:rsidTr="00DC19D6">
        <w:trPr>
          <w:trHeight w:val="20"/>
          <w:jc w:val="center"/>
        </w:trPr>
        <w:tc>
          <w:tcPr>
            <w:tcW w:w="2122" w:type="dxa"/>
            <w:vAlign w:val="center"/>
            <w:hideMark/>
          </w:tcPr>
          <w:p w14:paraId="357E88FB"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19. Punjab</w:t>
            </w:r>
          </w:p>
        </w:tc>
        <w:tc>
          <w:tcPr>
            <w:tcW w:w="1275" w:type="dxa"/>
            <w:vAlign w:val="center"/>
            <w:hideMark/>
          </w:tcPr>
          <w:p w14:paraId="5259C998"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18.20</w:t>
            </w:r>
          </w:p>
        </w:tc>
        <w:tc>
          <w:tcPr>
            <w:tcW w:w="1560" w:type="dxa"/>
            <w:vAlign w:val="center"/>
            <w:hideMark/>
          </w:tcPr>
          <w:p w14:paraId="59979FD6"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15.00</w:t>
            </w:r>
          </w:p>
        </w:tc>
        <w:tc>
          <w:tcPr>
            <w:tcW w:w="1559" w:type="dxa"/>
            <w:vAlign w:val="center"/>
            <w:hideMark/>
          </w:tcPr>
          <w:p w14:paraId="28DBC9DB"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18.20</w:t>
            </w:r>
          </w:p>
        </w:tc>
      </w:tr>
      <w:tr w:rsidR="00FE705A" w:rsidRPr="00DC19D6" w14:paraId="180A5D06" w14:textId="77777777" w:rsidTr="00DC19D6">
        <w:trPr>
          <w:trHeight w:val="20"/>
          <w:jc w:val="center"/>
        </w:trPr>
        <w:tc>
          <w:tcPr>
            <w:tcW w:w="2122" w:type="dxa"/>
            <w:vAlign w:val="center"/>
            <w:hideMark/>
          </w:tcPr>
          <w:p w14:paraId="107E3111"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20. Rajasthan</w:t>
            </w:r>
          </w:p>
        </w:tc>
        <w:tc>
          <w:tcPr>
            <w:tcW w:w="1275" w:type="dxa"/>
            <w:vAlign w:val="center"/>
            <w:hideMark/>
          </w:tcPr>
          <w:p w14:paraId="542D1651"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48.40</w:t>
            </w:r>
          </w:p>
        </w:tc>
        <w:tc>
          <w:tcPr>
            <w:tcW w:w="1560" w:type="dxa"/>
            <w:vAlign w:val="center"/>
            <w:hideMark/>
          </w:tcPr>
          <w:p w14:paraId="60BE03A8"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39.00</w:t>
            </w:r>
          </w:p>
        </w:tc>
        <w:tc>
          <w:tcPr>
            <w:tcW w:w="1559" w:type="dxa"/>
            <w:vAlign w:val="center"/>
            <w:hideMark/>
          </w:tcPr>
          <w:p w14:paraId="749F22E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48.10</w:t>
            </w:r>
          </w:p>
        </w:tc>
      </w:tr>
      <w:tr w:rsidR="00FE705A" w:rsidRPr="00DC19D6" w14:paraId="4D8C44BD" w14:textId="77777777" w:rsidTr="00DC19D6">
        <w:trPr>
          <w:trHeight w:val="20"/>
          <w:jc w:val="center"/>
        </w:trPr>
        <w:tc>
          <w:tcPr>
            <w:tcW w:w="2122" w:type="dxa"/>
            <w:vAlign w:val="center"/>
            <w:hideMark/>
          </w:tcPr>
          <w:p w14:paraId="609F5AB6"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21. Sikkim</w:t>
            </w:r>
          </w:p>
        </w:tc>
        <w:tc>
          <w:tcPr>
            <w:tcW w:w="1275" w:type="dxa"/>
            <w:vAlign w:val="center"/>
            <w:hideMark/>
          </w:tcPr>
          <w:p w14:paraId="5C67E669"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20.80</w:t>
            </w:r>
          </w:p>
        </w:tc>
        <w:tc>
          <w:tcPr>
            <w:tcW w:w="1560" w:type="dxa"/>
            <w:vAlign w:val="center"/>
            <w:hideMark/>
          </w:tcPr>
          <w:p w14:paraId="18FF325F"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27.70</w:t>
            </w:r>
          </w:p>
        </w:tc>
        <w:tc>
          <w:tcPr>
            <w:tcW w:w="1559" w:type="dxa"/>
            <w:vAlign w:val="center"/>
            <w:hideMark/>
          </w:tcPr>
          <w:p w14:paraId="113C336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34.20</w:t>
            </w:r>
          </w:p>
        </w:tc>
      </w:tr>
      <w:tr w:rsidR="00FE705A" w:rsidRPr="00DC19D6" w14:paraId="48BA9650" w14:textId="77777777" w:rsidTr="00DC19D6">
        <w:trPr>
          <w:trHeight w:val="20"/>
          <w:jc w:val="center"/>
        </w:trPr>
        <w:tc>
          <w:tcPr>
            <w:tcW w:w="2122" w:type="dxa"/>
            <w:vAlign w:val="center"/>
            <w:hideMark/>
          </w:tcPr>
          <w:p w14:paraId="1935F675"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22. Tamil Nadu</w:t>
            </w:r>
          </w:p>
        </w:tc>
        <w:tc>
          <w:tcPr>
            <w:tcW w:w="1275" w:type="dxa"/>
            <w:vAlign w:val="center"/>
            <w:hideMark/>
          </w:tcPr>
          <w:p w14:paraId="463C9A48"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48.30</w:t>
            </w:r>
          </w:p>
        </w:tc>
        <w:tc>
          <w:tcPr>
            <w:tcW w:w="1560" w:type="dxa"/>
            <w:vAlign w:val="center"/>
            <w:hideMark/>
          </w:tcPr>
          <w:p w14:paraId="1DF78357"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41.30</w:t>
            </w:r>
          </w:p>
        </w:tc>
        <w:tc>
          <w:tcPr>
            <w:tcW w:w="1559" w:type="dxa"/>
            <w:vAlign w:val="center"/>
            <w:hideMark/>
          </w:tcPr>
          <w:p w14:paraId="3B766983"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41.30</w:t>
            </w:r>
          </w:p>
        </w:tc>
      </w:tr>
      <w:tr w:rsidR="00FE705A" w:rsidRPr="00DC19D6" w14:paraId="0AC9FA7A" w14:textId="77777777" w:rsidTr="00DC19D6">
        <w:trPr>
          <w:trHeight w:val="20"/>
          <w:jc w:val="center"/>
        </w:trPr>
        <w:tc>
          <w:tcPr>
            <w:tcW w:w="2122" w:type="dxa"/>
            <w:vAlign w:val="center"/>
            <w:hideMark/>
          </w:tcPr>
          <w:p w14:paraId="39255F18"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23. Tripura</w:t>
            </w:r>
          </w:p>
        </w:tc>
        <w:tc>
          <w:tcPr>
            <w:tcW w:w="1275" w:type="dxa"/>
            <w:vAlign w:val="center"/>
            <w:hideMark/>
          </w:tcPr>
          <w:p w14:paraId="69BDE200"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45.80</w:t>
            </w:r>
          </w:p>
        </w:tc>
        <w:tc>
          <w:tcPr>
            <w:tcW w:w="1560" w:type="dxa"/>
            <w:vAlign w:val="center"/>
            <w:hideMark/>
          </w:tcPr>
          <w:p w14:paraId="34940260"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19.10</w:t>
            </w:r>
          </w:p>
        </w:tc>
        <w:tc>
          <w:tcPr>
            <w:tcW w:w="1559" w:type="dxa"/>
            <w:vAlign w:val="center"/>
            <w:hideMark/>
          </w:tcPr>
          <w:p w14:paraId="2D2BF7B1"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21.20</w:t>
            </w:r>
          </w:p>
        </w:tc>
      </w:tr>
      <w:tr w:rsidR="00FE705A" w:rsidRPr="00DC19D6" w14:paraId="106CCE50" w14:textId="77777777" w:rsidTr="00DC19D6">
        <w:trPr>
          <w:trHeight w:val="20"/>
          <w:jc w:val="center"/>
        </w:trPr>
        <w:tc>
          <w:tcPr>
            <w:tcW w:w="2122" w:type="dxa"/>
            <w:vAlign w:val="center"/>
            <w:hideMark/>
          </w:tcPr>
          <w:p w14:paraId="019ABE24"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24. Uttar Pradesh</w:t>
            </w:r>
          </w:p>
        </w:tc>
        <w:tc>
          <w:tcPr>
            <w:tcW w:w="1275" w:type="dxa"/>
            <w:vAlign w:val="center"/>
            <w:hideMark/>
          </w:tcPr>
          <w:p w14:paraId="287D17D0"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30.90</w:t>
            </w:r>
          </w:p>
        </w:tc>
        <w:tc>
          <w:tcPr>
            <w:tcW w:w="1560" w:type="dxa"/>
            <w:vAlign w:val="center"/>
            <w:hideMark/>
          </w:tcPr>
          <w:p w14:paraId="62074AE6"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24.30</w:t>
            </w:r>
          </w:p>
        </w:tc>
        <w:tc>
          <w:tcPr>
            <w:tcW w:w="1559" w:type="dxa"/>
            <w:vAlign w:val="center"/>
            <w:hideMark/>
          </w:tcPr>
          <w:p w14:paraId="4CD131B5"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24.70</w:t>
            </w:r>
          </w:p>
        </w:tc>
      </w:tr>
      <w:tr w:rsidR="00FE705A" w:rsidRPr="00DC19D6" w14:paraId="285C5B17" w14:textId="77777777" w:rsidTr="00DC19D6">
        <w:trPr>
          <w:trHeight w:val="20"/>
          <w:jc w:val="center"/>
        </w:trPr>
        <w:tc>
          <w:tcPr>
            <w:tcW w:w="2122" w:type="dxa"/>
            <w:vAlign w:val="center"/>
            <w:hideMark/>
          </w:tcPr>
          <w:p w14:paraId="39339992" w14:textId="77777777" w:rsidR="00FE705A" w:rsidRPr="00DC19D6" w:rsidRDefault="00FE705A" w:rsidP="00CF6CCC">
            <w:pPr>
              <w:pStyle w:val="NoSpacing"/>
              <w:rPr>
                <w:rFonts w:ascii="Times New Roman" w:hAnsi="Times New Roman" w:cs="Times New Roman"/>
                <w:sz w:val="16"/>
                <w:szCs w:val="16"/>
              </w:rPr>
            </w:pPr>
            <w:r w:rsidRPr="00DC19D6">
              <w:rPr>
                <w:rFonts w:ascii="Times New Roman" w:hAnsi="Times New Roman" w:cs="Times New Roman"/>
                <w:sz w:val="16"/>
                <w:szCs w:val="16"/>
              </w:rPr>
              <w:t>25. West Bengal</w:t>
            </w:r>
          </w:p>
        </w:tc>
        <w:tc>
          <w:tcPr>
            <w:tcW w:w="1275" w:type="dxa"/>
            <w:vAlign w:val="center"/>
            <w:hideMark/>
          </w:tcPr>
          <w:p w14:paraId="0B974CF6"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65.60</w:t>
            </w:r>
          </w:p>
        </w:tc>
        <w:tc>
          <w:tcPr>
            <w:tcW w:w="1560" w:type="dxa"/>
            <w:vAlign w:val="center"/>
            <w:hideMark/>
          </w:tcPr>
          <w:p w14:paraId="46702174"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43.10</w:t>
            </w:r>
          </w:p>
        </w:tc>
        <w:tc>
          <w:tcPr>
            <w:tcW w:w="1559" w:type="dxa"/>
            <w:vAlign w:val="center"/>
            <w:hideMark/>
          </w:tcPr>
          <w:p w14:paraId="56C03FCC" w14:textId="77777777" w:rsidR="00FE705A" w:rsidRPr="00DC19D6" w:rsidRDefault="00FE705A" w:rsidP="00CF6CCC">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28.58</w:t>
            </w:r>
          </w:p>
        </w:tc>
      </w:tr>
      <w:tr w:rsidR="00FE705A" w:rsidRPr="00DC19D6" w14:paraId="1FF240B5" w14:textId="77777777" w:rsidTr="00DC19D6">
        <w:trPr>
          <w:trHeight w:val="20"/>
          <w:jc w:val="center"/>
        </w:trPr>
        <w:tc>
          <w:tcPr>
            <w:tcW w:w="2122" w:type="dxa"/>
            <w:vAlign w:val="center"/>
            <w:hideMark/>
          </w:tcPr>
          <w:p w14:paraId="7A1F3CFF" w14:textId="77777777" w:rsidR="00FE705A" w:rsidRPr="00DC19D6" w:rsidRDefault="00FE705A" w:rsidP="00CF6CCC">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TOTAL</w:t>
            </w:r>
          </w:p>
        </w:tc>
        <w:tc>
          <w:tcPr>
            <w:tcW w:w="1275" w:type="dxa"/>
            <w:vAlign w:val="center"/>
            <w:hideMark/>
          </w:tcPr>
          <w:p w14:paraId="1B73F2F5"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35.48</w:t>
            </w:r>
          </w:p>
        </w:tc>
        <w:tc>
          <w:tcPr>
            <w:tcW w:w="1560" w:type="dxa"/>
            <w:vAlign w:val="center"/>
            <w:hideMark/>
          </w:tcPr>
          <w:p w14:paraId="4A3C5F45"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32.90</w:t>
            </w:r>
          </w:p>
        </w:tc>
        <w:tc>
          <w:tcPr>
            <w:tcW w:w="1559" w:type="dxa"/>
            <w:vAlign w:val="center"/>
            <w:hideMark/>
          </w:tcPr>
          <w:p w14:paraId="091FB1BC" w14:textId="77777777" w:rsidR="00FE705A" w:rsidRPr="00DC19D6" w:rsidRDefault="00FE705A" w:rsidP="00CF6CCC">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31.80</w:t>
            </w:r>
          </w:p>
        </w:tc>
      </w:tr>
    </w:tbl>
    <w:p w14:paraId="6CE73742" w14:textId="44159C89" w:rsidR="00FE705A" w:rsidRPr="00DC19D6" w:rsidRDefault="00FE705A" w:rsidP="00DC19D6">
      <w:pPr>
        <w:pStyle w:val="Heading2"/>
        <w:rPr>
          <w:sz w:val="20"/>
          <w:szCs w:val="20"/>
        </w:rPr>
      </w:pPr>
      <w:bookmarkStart w:id="127" w:name="_Toc221293022"/>
      <w:bookmarkStart w:id="128" w:name="_Toc222399511"/>
      <w:r w:rsidRPr="00DC19D6">
        <w:rPr>
          <w:sz w:val="20"/>
          <w:szCs w:val="20"/>
        </w:rPr>
        <w:t>A</w:t>
      </w:r>
      <w:r w:rsidR="000D57BD" w:rsidRPr="00DC19D6">
        <w:rPr>
          <w:sz w:val="20"/>
          <w:szCs w:val="20"/>
        </w:rPr>
        <w:t>NNEXURE</w:t>
      </w:r>
      <w:r w:rsidRPr="00DC19D6">
        <w:rPr>
          <w:sz w:val="20"/>
          <w:szCs w:val="20"/>
        </w:rPr>
        <w:t xml:space="preserve"> IX.5</w:t>
      </w:r>
      <w:r w:rsidR="0073190B" w:rsidRPr="00DC19D6">
        <w:rPr>
          <w:sz w:val="20"/>
          <w:szCs w:val="20"/>
        </w:rPr>
        <w:br/>
      </w:r>
      <w:r w:rsidRPr="00DC19D6">
        <w:rPr>
          <w:sz w:val="20"/>
          <w:szCs w:val="20"/>
        </w:rPr>
        <w:t>General Debt Relief Scheme for State Plan Loans</w:t>
      </w:r>
      <w:bookmarkEnd w:id="127"/>
      <w:bookmarkEnd w:id="128"/>
    </w:p>
    <w:p w14:paraId="7D3FD97B" w14:textId="553885DF" w:rsidR="00FE705A" w:rsidRPr="00DC19D6" w:rsidRDefault="00FE705A" w:rsidP="00DC19D6">
      <w:pPr>
        <w:spacing w:after="0"/>
        <w:ind w:left="2127" w:firstLine="3260"/>
        <w:rPr>
          <w:rFonts w:ascii="Times New Roman" w:hAnsi="Times New Roman" w:cs="Times New Roman"/>
          <w:sz w:val="18"/>
          <w:szCs w:val="18"/>
        </w:rPr>
      </w:pPr>
      <w:r w:rsidRPr="00DC19D6">
        <w:rPr>
          <w:rFonts w:ascii="Times New Roman" w:hAnsi="Times New Roman" w:cs="Times New Roman"/>
          <w:sz w:val="18"/>
          <w:szCs w:val="18"/>
        </w:rPr>
        <w:t>(Para 9.26)</w:t>
      </w:r>
    </w:p>
    <w:tbl>
      <w:tblPr>
        <w:tblStyle w:val="TableGrid"/>
        <w:tblW w:w="8233" w:type="dxa"/>
        <w:jc w:val="center"/>
        <w:tblLayout w:type="fixed"/>
        <w:tblLook w:val="04A0" w:firstRow="1" w:lastRow="0" w:firstColumn="1" w:lastColumn="0" w:noHBand="0" w:noVBand="1"/>
      </w:tblPr>
      <w:tblGrid>
        <w:gridCol w:w="1996"/>
        <w:gridCol w:w="992"/>
        <w:gridCol w:w="992"/>
        <w:gridCol w:w="1106"/>
        <w:gridCol w:w="919"/>
        <w:gridCol w:w="1094"/>
        <w:gridCol w:w="1134"/>
      </w:tblGrid>
      <w:tr w:rsidR="0034261E" w:rsidRPr="00DC19D6" w14:paraId="67055934" w14:textId="77777777" w:rsidTr="00DC19D6">
        <w:trPr>
          <w:trHeight w:val="20"/>
          <w:jc w:val="center"/>
        </w:trPr>
        <w:tc>
          <w:tcPr>
            <w:tcW w:w="1996" w:type="dxa"/>
            <w:vAlign w:val="center"/>
            <w:hideMark/>
          </w:tcPr>
          <w:p w14:paraId="15874ED4"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Category / States</w:t>
            </w:r>
          </w:p>
        </w:tc>
        <w:tc>
          <w:tcPr>
            <w:tcW w:w="992" w:type="dxa"/>
            <w:vAlign w:val="center"/>
            <w:hideMark/>
          </w:tcPr>
          <w:p w14:paraId="02E7DA56"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Outstanding Balance as on 31.03.1990</w:t>
            </w:r>
          </w:p>
        </w:tc>
        <w:tc>
          <w:tcPr>
            <w:tcW w:w="992" w:type="dxa"/>
            <w:vAlign w:val="center"/>
            <w:hideMark/>
          </w:tcPr>
          <w:p w14:paraId="13AFB504"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Repayments During 1990-95</w:t>
            </w:r>
          </w:p>
        </w:tc>
        <w:tc>
          <w:tcPr>
            <w:tcW w:w="1106" w:type="dxa"/>
            <w:vAlign w:val="center"/>
            <w:hideMark/>
          </w:tcPr>
          <w:p w14:paraId="56C00E88"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Revised Repayments During 1990-95</w:t>
            </w:r>
          </w:p>
        </w:tc>
        <w:tc>
          <w:tcPr>
            <w:tcW w:w="919" w:type="dxa"/>
            <w:vAlign w:val="center"/>
            <w:hideMark/>
          </w:tcPr>
          <w:p w14:paraId="20FA4B1A"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Debt Relief</w:t>
            </w:r>
          </w:p>
        </w:tc>
        <w:tc>
          <w:tcPr>
            <w:tcW w:w="1094" w:type="dxa"/>
            <w:vAlign w:val="center"/>
            <w:hideMark/>
          </w:tcPr>
          <w:p w14:paraId="3D1FFA2A"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Outstanding Balance as on 31.03.95</w:t>
            </w:r>
          </w:p>
        </w:tc>
        <w:tc>
          <w:tcPr>
            <w:tcW w:w="1134" w:type="dxa"/>
            <w:vAlign w:val="center"/>
            <w:hideMark/>
          </w:tcPr>
          <w:p w14:paraId="0ECCEF4F" w14:textId="77777777" w:rsidR="00FE705A" w:rsidRPr="00DC19D6" w:rsidRDefault="00FE705A" w:rsidP="00AC6710">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Annual Repayments During 1995-2005</w:t>
            </w:r>
          </w:p>
        </w:tc>
      </w:tr>
      <w:tr w:rsidR="00FE705A" w:rsidRPr="00DC19D6" w14:paraId="79BB0C33" w14:textId="77777777" w:rsidTr="00DC19D6">
        <w:trPr>
          <w:trHeight w:val="20"/>
          <w:jc w:val="center"/>
        </w:trPr>
        <w:tc>
          <w:tcPr>
            <w:tcW w:w="1996" w:type="dxa"/>
            <w:vAlign w:val="center"/>
            <w:hideMark/>
          </w:tcPr>
          <w:p w14:paraId="533BFFDF" w14:textId="77777777" w:rsidR="00FE705A" w:rsidRPr="00DC19D6" w:rsidRDefault="00FE705A" w:rsidP="00AC6710">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CATEGORY I</w:t>
            </w:r>
          </w:p>
        </w:tc>
        <w:tc>
          <w:tcPr>
            <w:tcW w:w="992" w:type="dxa"/>
            <w:vAlign w:val="center"/>
            <w:hideMark/>
          </w:tcPr>
          <w:p w14:paraId="3FD40200" w14:textId="77777777" w:rsidR="00FE705A" w:rsidRPr="00DC19D6" w:rsidRDefault="00FE705A" w:rsidP="00AC6710">
            <w:pPr>
              <w:pStyle w:val="NoSpacing"/>
              <w:jc w:val="center"/>
              <w:rPr>
                <w:rFonts w:ascii="Times New Roman" w:hAnsi="Times New Roman" w:cs="Times New Roman"/>
                <w:sz w:val="16"/>
                <w:szCs w:val="16"/>
              </w:rPr>
            </w:pPr>
          </w:p>
        </w:tc>
        <w:tc>
          <w:tcPr>
            <w:tcW w:w="992" w:type="dxa"/>
            <w:vAlign w:val="center"/>
            <w:hideMark/>
          </w:tcPr>
          <w:p w14:paraId="435D9ABC" w14:textId="77777777" w:rsidR="00FE705A" w:rsidRPr="00DC19D6" w:rsidRDefault="00FE705A" w:rsidP="00AC6710">
            <w:pPr>
              <w:pStyle w:val="NoSpacing"/>
              <w:jc w:val="center"/>
              <w:rPr>
                <w:rFonts w:ascii="Times New Roman" w:hAnsi="Times New Roman" w:cs="Times New Roman"/>
                <w:sz w:val="16"/>
                <w:szCs w:val="16"/>
              </w:rPr>
            </w:pPr>
          </w:p>
        </w:tc>
        <w:tc>
          <w:tcPr>
            <w:tcW w:w="1106" w:type="dxa"/>
            <w:vAlign w:val="center"/>
            <w:hideMark/>
          </w:tcPr>
          <w:p w14:paraId="7905E4E0" w14:textId="77777777" w:rsidR="00FE705A" w:rsidRPr="00DC19D6" w:rsidRDefault="00FE705A" w:rsidP="00AC6710">
            <w:pPr>
              <w:pStyle w:val="NoSpacing"/>
              <w:jc w:val="center"/>
              <w:rPr>
                <w:rFonts w:ascii="Times New Roman" w:hAnsi="Times New Roman" w:cs="Times New Roman"/>
                <w:sz w:val="16"/>
                <w:szCs w:val="16"/>
              </w:rPr>
            </w:pPr>
          </w:p>
        </w:tc>
        <w:tc>
          <w:tcPr>
            <w:tcW w:w="919" w:type="dxa"/>
            <w:vAlign w:val="center"/>
            <w:hideMark/>
          </w:tcPr>
          <w:p w14:paraId="722A699F" w14:textId="77777777" w:rsidR="00FE705A" w:rsidRPr="00DC19D6" w:rsidRDefault="00FE705A" w:rsidP="00AC6710">
            <w:pPr>
              <w:pStyle w:val="NoSpacing"/>
              <w:jc w:val="center"/>
              <w:rPr>
                <w:rFonts w:ascii="Times New Roman" w:hAnsi="Times New Roman" w:cs="Times New Roman"/>
                <w:sz w:val="16"/>
                <w:szCs w:val="16"/>
              </w:rPr>
            </w:pPr>
          </w:p>
        </w:tc>
        <w:tc>
          <w:tcPr>
            <w:tcW w:w="1094" w:type="dxa"/>
            <w:vAlign w:val="center"/>
            <w:hideMark/>
          </w:tcPr>
          <w:p w14:paraId="6022E987" w14:textId="77777777" w:rsidR="00FE705A" w:rsidRPr="00DC19D6" w:rsidRDefault="00FE705A" w:rsidP="00AC6710">
            <w:pPr>
              <w:pStyle w:val="NoSpacing"/>
              <w:jc w:val="center"/>
              <w:rPr>
                <w:rFonts w:ascii="Times New Roman" w:hAnsi="Times New Roman" w:cs="Times New Roman"/>
                <w:sz w:val="16"/>
                <w:szCs w:val="16"/>
              </w:rPr>
            </w:pPr>
          </w:p>
        </w:tc>
        <w:tc>
          <w:tcPr>
            <w:tcW w:w="1134" w:type="dxa"/>
            <w:vAlign w:val="center"/>
            <w:hideMark/>
          </w:tcPr>
          <w:p w14:paraId="3665C81F" w14:textId="77777777" w:rsidR="00FE705A" w:rsidRPr="00DC19D6" w:rsidRDefault="00FE705A" w:rsidP="00AC6710">
            <w:pPr>
              <w:pStyle w:val="NoSpacing"/>
              <w:jc w:val="center"/>
              <w:rPr>
                <w:rFonts w:ascii="Times New Roman" w:hAnsi="Times New Roman" w:cs="Times New Roman"/>
                <w:sz w:val="16"/>
                <w:szCs w:val="16"/>
              </w:rPr>
            </w:pPr>
          </w:p>
        </w:tc>
      </w:tr>
      <w:tr w:rsidR="00FE705A" w:rsidRPr="00DC19D6" w14:paraId="7494CA82" w14:textId="77777777" w:rsidTr="00DC19D6">
        <w:trPr>
          <w:trHeight w:val="20"/>
          <w:jc w:val="center"/>
        </w:trPr>
        <w:tc>
          <w:tcPr>
            <w:tcW w:w="1996" w:type="dxa"/>
            <w:vAlign w:val="center"/>
            <w:hideMark/>
          </w:tcPr>
          <w:p w14:paraId="17CFF08C"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1. Tamil Nadu</w:t>
            </w:r>
          </w:p>
        </w:tc>
        <w:tc>
          <w:tcPr>
            <w:tcW w:w="992" w:type="dxa"/>
            <w:vAlign w:val="center"/>
            <w:hideMark/>
          </w:tcPr>
          <w:p w14:paraId="1F4BF39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841.89</w:t>
            </w:r>
          </w:p>
        </w:tc>
        <w:tc>
          <w:tcPr>
            <w:tcW w:w="992" w:type="dxa"/>
            <w:vAlign w:val="center"/>
            <w:hideMark/>
          </w:tcPr>
          <w:p w14:paraId="3FCDB63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343.10</w:t>
            </w:r>
          </w:p>
        </w:tc>
        <w:tc>
          <w:tcPr>
            <w:tcW w:w="1106" w:type="dxa"/>
            <w:vAlign w:val="center"/>
            <w:hideMark/>
          </w:tcPr>
          <w:p w14:paraId="51D3155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308.79</w:t>
            </w:r>
          </w:p>
        </w:tc>
        <w:tc>
          <w:tcPr>
            <w:tcW w:w="919" w:type="dxa"/>
            <w:vAlign w:val="center"/>
            <w:hideMark/>
          </w:tcPr>
          <w:p w14:paraId="29E6BCD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34.31</w:t>
            </w:r>
          </w:p>
        </w:tc>
        <w:tc>
          <w:tcPr>
            <w:tcW w:w="1094" w:type="dxa"/>
            <w:vAlign w:val="center"/>
            <w:hideMark/>
          </w:tcPr>
          <w:p w14:paraId="13E859B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533.10</w:t>
            </w:r>
          </w:p>
        </w:tc>
        <w:tc>
          <w:tcPr>
            <w:tcW w:w="1134" w:type="dxa"/>
            <w:vAlign w:val="center"/>
            <w:hideMark/>
          </w:tcPr>
          <w:p w14:paraId="53C62C0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53.31</w:t>
            </w:r>
          </w:p>
        </w:tc>
      </w:tr>
      <w:tr w:rsidR="00FE705A" w:rsidRPr="00DC19D6" w14:paraId="6C55BDBA" w14:textId="77777777" w:rsidTr="00DC19D6">
        <w:trPr>
          <w:trHeight w:val="20"/>
          <w:jc w:val="center"/>
        </w:trPr>
        <w:tc>
          <w:tcPr>
            <w:tcW w:w="1996" w:type="dxa"/>
            <w:vAlign w:val="center"/>
            <w:hideMark/>
          </w:tcPr>
          <w:p w14:paraId="0B29CAA0"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2. Madhya Pradesh</w:t>
            </w:r>
          </w:p>
        </w:tc>
        <w:tc>
          <w:tcPr>
            <w:tcW w:w="992" w:type="dxa"/>
            <w:vAlign w:val="center"/>
            <w:hideMark/>
          </w:tcPr>
          <w:p w14:paraId="5D4F171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953.42</w:t>
            </w:r>
          </w:p>
        </w:tc>
        <w:tc>
          <w:tcPr>
            <w:tcW w:w="992" w:type="dxa"/>
            <w:vAlign w:val="center"/>
            <w:hideMark/>
          </w:tcPr>
          <w:p w14:paraId="3E35CBA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391.00</w:t>
            </w:r>
          </w:p>
        </w:tc>
        <w:tc>
          <w:tcPr>
            <w:tcW w:w="1106" w:type="dxa"/>
            <w:vAlign w:val="center"/>
            <w:hideMark/>
          </w:tcPr>
          <w:p w14:paraId="30D3DBD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351.90</w:t>
            </w:r>
          </w:p>
        </w:tc>
        <w:tc>
          <w:tcPr>
            <w:tcW w:w="919" w:type="dxa"/>
            <w:vAlign w:val="center"/>
            <w:hideMark/>
          </w:tcPr>
          <w:p w14:paraId="4AA62DE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39.10</w:t>
            </w:r>
          </w:p>
        </w:tc>
        <w:tc>
          <w:tcPr>
            <w:tcW w:w="1094" w:type="dxa"/>
            <w:vAlign w:val="center"/>
            <w:hideMark/>
          </w:tcPr>
          <w:p w14:paraId="643B225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601.52</w:t>
            </w:r>
          </w:p>
        </w:tc>
        <w:tc>
          <w:tcPr>
            <w:tcW w:w="1134" w:type="dxa"/>
            <w:vAlign w:val="center"/>
            <w:hideMark/>
          </w:tcPr>
          <w:p w14:paraId="4BA0A13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60.15</w:t>
            </w:r>
          </w:p>
        </w:tc>
      </w:tr>
      <w:tr w:rsidR="00FE705A" w:rsidRPr="00DC19D6" w14:paraId="6692AA42" w14:textId="77777777" w:rsidTr="00DC19D6">
        <w:trPr>
          <w:trHeight w:val="20"/>
          <w:jc w:val="center"/>
        </w:trPr>
        <w:tc>
          <w:tcPr>
            <w:tcW w:w="1996" w:type="dxa"/>
            <w:vAlign w:val="center"/>
            <w:hideMark/>
          </w:tcPr>
          <w:p w14:paraId="305C875A"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3. Maharashtra</w:t>
            </w:r>
          </w:p>
        </w:tc>
        <w:tc>
          <w:tcPr>
            <w:tcW w:w="992" w:type="dxa"/>
            <w:vAlign w:val="center"/>
            <w:hideMark/>
          </w:tcPr>
          <w:p w14:paraId="68C1480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977.40</w:t>
            </w:r>
          </w:p>
        </w:tc>
        <w:tc>
          <w:tcPr>
            <w:tcW w:w="992" w:type="dxa"/>
            <w:vAlign w:val="center"/>
            <w:hideMark/>
          </w:tcPr>
          <w:p w14:paraId="59F6426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404.12</w:t>
            </w:r>
          </w:p>
        </w:tc>
        <w:tc>
          <w:tcPr>
            <w:tcW w:w="1106" w:type="dxa"/>
            <w:vAlign w:val="center"/>
            <w:hideMark/>
          </w:tcPr>
          <w:p w14:paraId="575EA39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363.71</w:t>
            </w:r>
          </w:p>
        </w:tc>
        <w:tc>
          <w:tcPr>
            <w:tcW w:w="919" w:type="dxa"/>
            <w:vAlign w:val="center"/>
            <w:hideMark/>
          </w:tcPr>
          <w:p w14:paraId="64B7A65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40.41</w:t>
            </w:r>
          </w:p>
        </w:tc>
        <w:tc>
          <w:tcPr>
            <w:tcW w:w="1094" w:type="dxa"/>
            <w:vAlign w:val="center"/>
            <w:hideMark/>
          </w:tcPr>
          <w:p w14:paraId="7475051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613.69</w:t>
            </w:r>
          </w:p>
        </w:tc>
        <w:tc>
          <w:tcPr>
            <w:tcW w:w="1134" w:type="dxa"/>
            <w:vAlign w:val="center"/>
            <w:hideMark/>
          </w:tcPr>
          <w:p w14:paraId="485100A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61.37</w:t>
            </w:r>
          </w:p>
        </w:tc>
      </w:tr>
      <w:tr w:rsidR="00FE705A" w:rsidRPr="00DC19D6" w14:paraId="424FC08E" w14:textId="77777777" w:rsidTr="00DC19D6">
        <w:trPr>
          <w:trHeight w:val="20"/>
          <w:jc w:val="center"/>
        </w:trPr>
        <w:tc>
          <w:tcPr>
            <w:tcW w:w="1996" w:type="dxa"/>
            <w:vAlign w:val="center"/>
            <w:hideMark/>
          </w:tcPr>
          <w:p w14:paraId="239A8A88"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4. Andhra Pradesh</w:t>
            </w:r>
          </w:p>
        </w:tc>
        <w:tc>
          <w:tcPr>
            <w:tcW w:w="992" w:type="dxa"/>
            <w:vAlign w:val="center"/>
            <w:hideMark/>
          </w:tcPr>
          <w:p w14:paraId="7AC1541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1008.02</w:t>
            </w:r>
          </w:p>
        </w:tc>
        <w:tc>
          <w:tcPr>
            <w:tcW w:w="992" w:type="dxa"/>
            <w:vAlign w:val="center"/>
            <w:hideMark/>
          </w:tcPr>
          <w:p w14:paraId="65C45B5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416.49</w:t>
            </w:r>
          </w:p>
        </w:tc>
        <w:tc>
          <w:tcPr>
            <w:tcW w:w="1106" w:type="dxa"/>
            <w:vAlign w:val="center"/>
            <w:hideMark/>
          </w:tcPr>
          <w:p w14:paraId="38F0CFA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374.84</w:t>
            </w:r>
          </w:p>
        </w:tc>
        <w:tc>
          <w:tcPr>
            <w:tcW w:w="919" w:type="dxa"/>
            <w:vAlign w:val="center"/>
            <w:hideMark/>
          </w:tcPr>
          <w:p w14:paraId="095C0D1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41.65</w:t>
            </w:r>
          </w:p>
        </w:tc>
        <w:tc>
          <w:tcPr>
            <w:tcW w:w="1094" w:type="dxa"/>
            <w:vAlign w:val="center"/>
            <w:hideMark/>
          </w:tcPr>
          <w:p w14:paraId="2B6F251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633.18</w:t>
            </w:r>
          </w:p>
        </w:tc>
        <w:tc>
          <w:tcPr>
            <w:tcW w:w="1134" w:type="dxa"/>
            <w:vAlign w:val="center"/>
            <w:hideMark/>
          </w:tcPr>
          <w:p w14:paraId="61EFA9B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63.32</w:t>
            </w:r>
          </w:p>
        </w:tc>
      </w:tr>
      <w:tr w:rsidR="00FE705A" w:rsidRPr="00DC19D6" w14:paraId="7AC9D2BD" w14:textId="77777777" w:rsidTr="00DC19D6">
        <w:trPr>
          <w:trHeight w:val="20"/>
          <w:jc w:val="center"/>
        </w:trPr>
        <w:tc>
          <w:tcPr>
            <w:tcW w:w="1996" w:type="dxa"/>
            <w:vAlign w:val="center"/>
            <w:hideMark/>
          </w:tcPr>
          <w:p w14:paraId="089ADBF5"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5. Orissa</w:t>
            </w:r>
          </w:p>
        </w:tc>
        <w:tc>
          <w:tcPr>
            <w:tcW w:w="992" w:type="dxa"/>
            <w:vAlign w:val="center"/>
            <w:hideMark/>
          </w:tcPr>
          <w:p w14:paraId="37F50DB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707.99</w:t>
            </w:r>
          </w:p>
        </w:tc>
        <w:tc>
          <w:tcPr>
            <w:tcW w:w="992" w:type="dxa"/>
            <w:vAlign w:val="center"/>
            <w:hideMark/>
          </w:tcPr>
          <w:p w14:paraId="4F1BD27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288.92</w:t>
            </w:r>
          </w:p>
        </w:tc>
        <w:tc>
          <w:tcPr>
            <w:tcW w:w="1106" w:type="dxa"/>
            <w:vAlign w:val="center"/>
            <w:hideMark/>
          </w:tcPr>
          <w:p w14:paraId="7964EBE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258.23</w:t>
            </w:r>
          </w:p>
        </w:tc>
        <w:tc>
          <w:tcPr>
            <w:tcW w:w="919" w:type="dxa"/>
            <w:vAlign w:val="center"/>
            <w:hideMark/>
          </w:tcPr>
          <w:p w14:paraId="2FBBC9C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28.69</w:t>
            </w:r>
          </w:p>
        </w:tc>
        <w:tc>
          <w:tcPr>
            <w:tcW w:w="1094" w:type="dxa"/>
            <w:vAlign w:val="center"/>
            <w:hideMark/>
          </w:tcPr>
          <w:p w14:paraId="52379EE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449.76</w:t>
            </w:r>
          </w:p>
        </w:tc>
        <w:tc>
          <w:tcPr>
            <w:tcW w:w="1134" w:type="dxa"/>
            <w:vAlign w:val="center"/>
            <w:hideMark/>
          </w:tcPr>
          <w:p w14:paraId="3AD7905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44.98</w:t>
            </w:r>
          </w:p>
        </w:tc>
      </w:tr>
      <w:tr w:rsidR="00FE705A" w:rsidRPr="00DC19D6" w14:paraId="6E1D952C" w14:textId="77777777" w:rsidTr="00DC19D6">
        <w:trPr>
          <w:trHeight w:val="20"/>
          <w:jc w:val="center"/>
        </w:trPr>
        <w:tc>
          <w:tcPr>
            <w:tcW w:w="1996" w:type="dxa"/>
            <w:vAlign w:val="center"/>
            <w:hideMark/>
          </w:tcPr>
          <w:p w14:paraId="2BA69B24"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6. Karnataka</w:t>
            </w:r>
          </w:p>
        </w:tc>
        <w:tc>
          <w:tcPr>
            <w:tcW w:w="992" w:type="dxa"/>
            <w:vAlign w:val="center"/>
            <w:hideMark/>
          </w:tcPr>
          <w:p w14:paraId="319A7EE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579.52</w:t>
            </w:r>
          </w:p>
        </w:tc>
        <w:tc>
          <w:tcPr>
            <w:tcW w:w="992" w:type="dxa"/>
            <w:vAlign w:val="center"/>
            <w:hideMark/>
          </w:tcPr>
          <w:p w14:paraId="0F045BE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242.11</w:t>
            </w:r>
          </w:p>
        </w:tc>
        <w:tc>
          <w:tcPr>
            <w:tcW w:w="1106" w:type="dxa"/>
            <w:vAlign w:val="center"/>
            <w:hideMark/>
          </w:tcPr>
          <w:p w14:paraId="3546BF4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217.90</w:t>
            </w:r>
          </w:p>
        </w:tc>
        <w:tc>
          <w:tcPr>
            <w:tcW w:w="919" w:type="dxa"/>
            <w:vAlign w:val="center"/>
            <w:hideMark/>
          </w:tcPr>
          <w:p w14:paraId="7623F0A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24.21</w:t>
            </w:r>
          </w:p>
        </w:tc>
        <w:tc>
          <w:tcPr>
            <w:tcW w:w="1094" w:type="dxa"/>
            <w:vAlign w:val="center"/>
            <w:hideMark/>
          </w:tcPr>
          <w:p w14:paraId="5BD376C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361.62</w:t>
            </w:r>
          </w:p>
        </w:tc>
        <w:tc>
          <w:tcPr>
            <w:tcW w:w="1134" w:type="dxa"/>
            <w:vAlign w:val="center"/>
            <w:hideMark/>
          </w:tcPr>
          <w:p w14:paraId="5A7FA65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36.16</w:t>
            </w:r>
          </w:p>
        </w:tc>
      </w:tr>
      <w:tr w:rsidR="00FE705A" w:rsidRPr="00DC19D6" w14:paraId="3D3AD517" w14:textId="77777777" w:rsidTr="00DC19D6">
        <w:trPr>
          <w:trHeight w:val="20"/>
          <w:jc w:val="center"/>
        </w:trPr>
        <w:tc>
          <w:tcPr>
            <w:tcW w:w="1996" w:type="dxa"/>
            <w:vAlign w:val="center"/>
            <w:hideMark/>
          </w:tcPr>
          <w:p w14:paraId="7FF0A7F3"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TOTAL - I</w:t>
            </w:r>
          </w:p>
        </w:tc>
        <w:tc>
          <w:tcPr>
            <w:tcW w:w="992" w:type="dxa"/>
            <w:vAlign w:val="center"/>
            <w:hideMark/>
          </w:tcPr>
          <w:p w14:paraId="4E6815E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5068.24</w:t>
            </w:r>
          </w:p>
        </w:tc>
        <w:tc>
          <w:tcPr>
            <w:tcW w:w="992" w:type="dxa"/>
            <w:vAlign w:val="center"/>
            <w:hideMark/>
          </w:tcPr>
          <w:p w14:paraId="0A1E20A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2083.74</w:t>
            </w:r>
          </w:p>
        </w:tc>
        <w:tc>
          <w:tcPr>
            <w:tcW w:w="1106" w:type="dxa"/>
            <w:vAlign w:val="center"/>
            <w:hideMark/>
          </w:tcPr>
          <w:p w14:paraId="40D794A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1875.37</w:t>
            </w:r>
          </w:p>
        </w:tc>
        <w:tc>
          <w:tcPr>
            <w:tcW w:w="919" w:type="dxa"/>
            <w:vAlign w:val="center"/>
            <w:hideMark/>
          </w:tcPr>
          <w:p w14:paraId="296F0A1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208.37</w:t>
            </w:r>
          </w:p>
        </w:tc>
        <w:tc>
          <w:tcPr>
            <w:tcW w:w="1094" w:type="dxa"/>
            <w:vAlign w:val="center"/>
            <w:hideMark/>
          </w:tcPr>
          <w:p w14:paraId="23E3B18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3192.87</w:t>
            </w:r>
          </w:p>
        </w:tc>
        <w:tc>
          <w:tcPr>
            <w:tcW w:w="1134" w:type="dxa"/>
            <w:vAlign w:val="center"/>
            <w:hideMark/>
          </w:tcPr>
          <w:p w14:paraId="711E94A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319.29</w:t>
            </w:r>
          </w:p>
        </w:tc>
      </w:tr>
      <w:tr w:rsidR="00FE705A" w:rsidRPr="00DC19D6" w14:paraId="5C67DA6E" w14:textId="77777777" w:rsidTr="00DC19D6">
        <w:trPr>
          <w:trHeight w:val="20"/>
          <w:jc w:val="center"/>
        </w:trPr>
        <w:tc>
          <w:tcPr>
            <w:tcW w:w="1996" w:type="dxa"/>
            <w:vAlign w:val="center"/>
            <w:hideMark/>
          </w:tcPr>
          <w:p w14:paraId="150DB331" w14:textId="77777777" w:rsidR="00FE705A" w:rsidRPr="00DC19D6" w:rsidRDefault="00FE705A" w:rsidP="00AC6710">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CATEGORY II</w:t>
            </w:r>
          </w:p>
        </w:tc>
        <w:tc>
          <w:tcPr>
            <w:tcW w:w="992" w:type="dxa"/>
            <w:vAlign w:val="center"/>
            <w:hideMark/>
          </w:tcPr>
          <w:p w14:paraId="49A01E7D" w14:textId="77777777" w:rsidR="00FE705A" w:rsidRPr="00DC19D6" w:rsidRDefault="00FE705A" w:rsidP="00AC6710">
            <w:pPr>
              <w:pStyle w:val="NoSpacing"/>
              <w:jc w:val="center"/>
              <w:rPr>
                <w:rFonts w:ascii="Times New Roman" w:hAnsi="Times New Roman" w:cs="Times New Roman"/>
                <w:sz w:val="16"/>
                <w:szCs w:val="16"/>
              </w:rPr>
            </w:pPr>
          </w:p>
        </w:tc>
        <w:tc>
          <w:tcPr>
            <w:tcW w:w="992" w:type="dxa"/>
            <w:vAlign w:val="center"/>
            <w:hideMark/>
          </w:tcPr>
          <w:p w14:paraId="1EBE8A63" w14:textId="77777777" w:rsidR="00FE705A" w:rsidRPr="00DC19D6" w:rsidRDefault="00FE705A" w:rsidP="00AC6710">
            <w:pPr>
              <w:pStyle w:val="NoSpacing"/>
              <w:jc w:val="center"/>
              <w:rPr>
                <w:rFonts w:ascii="Times New Roman" w:hAnsi="Times New Roman" w:cs="Times New Roman"/>
                <w:sz w:val="16"/>
                <w:szCs w:val="16"/>
              </w:rPr>
            </w:pPr>
          </w:p>
        </w:tc>
        <w:tc>
          <w:tcPr>
            <w:tcW w:w="1106" w:type="dxa"/>
            <w:vAlign w:val="center"/>
            <w:hideMark/>
          </w:tcPr>
          <w:p w14:paraId="0ECFBDCD" w14:textId="77777777" w:rsidR="00FE705A" w:rsidRPr="00DC19D6" w:rsidRDefault="00FE705A" w:rsidP="00AC6710">
            <w:pPr>
              <w:pStyle w:val="NoSpacing"/>
              <w:jc w:val="center"/>
              <w:rPr>
                <w:rFonts w:ascii="Times New Roman" w:hAnsi="Times New Roman" w:cs="Times New Roman"/>
                <w:sz w:val="16"/>
                <w:szCs w:val="16"/>
              </w:rPr>
            </w:pPr>
          </w:p>
        </w:tc>
        <w:tc>
          <w:tcPr>
            <w:tcW w:w="919" w:type="dxa"/>
            <w:vAlign w:val="center"/>
            <w:hideMark/>
          </w:tcPr>
          <w:p w14:paraId="52B12009" w14:textId="77777777" w:rsidR="00FE705A" w:rsidRPr="00DC19D6" w:rsidRDefault="00FE705A" w:rsidP="00AC6710">
            <w:pPr>
              <w:pStyle w:val="NoSpacing"/>
              <w:jc w:val="center"/>
              <w:rPr>
                <w:rFonts w:ascii="Times New Roman" w:hAnsi="Times New Roman" w:cs="Times New Roman"/>
                <w:sz w:val="16"/>
                <w:szCs w:val="16"/>
              </w:rPr>
            </w:pPr>
          </w:p>
        </w:tc>
        <w:tc>
          <w:tcPr>
            <w:tcW w:w="1094" w:type="dxa"/>
            <w:vAlign w:val="center"/>
            <w:hideMark/>
          </w:tcPr>
          <w:p w14:paraId="7026ECCE" w14:textId="77777777" w:rsidR="00FE705A" w:rsidRPr="00DC19D6" w:rsidRDefault="00FE705A" w:rsidP="00AC6710">
            <w:pPr>
              <w:pStyle w:val="NoSpacing"/>
              <w:jc w:val="center"/>
              <w:rPr>
                <w:rFonts w:ascii="Times New Roman" w:hAnsi="Times New Roman" w:cs="Times New Roman"/>
                <w:sz w:val="16"/>
                <w:szCs w:val="16"/>
              </w:rPr>
            </w:pPr>
          </w:p>
        </w:tc>
        <w:tc>
          <w:tcPr>
            <w:tcW w:w="1134" w:type="dxa"/>
            <w:vAlign w:val="center"/>
            <w:hideMark/>
          </w:tcPr>
          <w:p w14:paraId="20579E7D" w14:textId="77777777" w:rsidR="00FE705A" w:rsidRPr="00DC19D6" w:rsidRDefault="00FE705A" w:rsidP="00AC6710">
            <w:pPr>
              <w:pStyle w:val="NoSpacing"/>
              <w:jc w:val="center"/>
              <w:rPr>
                <w:rFonts w:ascii="Times New Roman" w:hAnsi="Times New Roman" w:cs="Times New Roman"/>
                <w:sz w:val="16"/>
                <w:szCs w:val="16"/>
              </w:rPr>
            </w:pPr>
          </w:p>
        </w:tc>
      </w:tr>
      <w:tr w:rsidR="00FE705A" w:rsidRPr="00DC19D6" w14:paraId="31BF7C19" w14:textId="77777777" w:rsidTr="00DC19D6">
        <w:trPr>
          <w:trHeight w:val="20"/>
          <w:jc w:val="center"/>
        </w:trPr>
        <w:tc>
          <w:tcPr>
            <w:tcW w:w="1996" w:type="dxa"/>
            <w:vAlign w:val="center"/>
            <w:hideMark/>
          </w:tcPr>
          <w:p w14:paraId="17339092"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1. Uttar Pradesh</w:t>
            </w:r>
          </w:p>
        </w:tc>
        <w:tc>
          <w:tcPr>
            <w:tcW w:w="992" w:type="dxa"/>
            <w:vAlign w:val="center"/>
            <w:hideMark/>
          </w:tcPr>
          <w:p w14:paraId="303DE60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2367.02</w:t>
            </w:r>
          </w:p>
        </w:tc>
        <w:tc>
          <w:tcPr>
            <w:tcW w:w="992" w:type="dxa"/>
            <w:vAlign w:val="center"/>
            <w:hideMark/>
          </w:tcPr>
          <w:p w14:paraId="51ADEB0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947.59</w:t>
            </w:r>
          </w:p>
        </w:tc>
        <w:tc>
          <w:tcPr>
            <w:tcW w:w="1106" w:type="dxa"/>
            <w:vAlign w:val="center"/>
            <w:hideMark/>
          </w:tcPr>
          <w:p w14:paraId="181EB25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876.51</w:t>
            </w:r>
          </w:p>
        </w:tc>
        <w:tc>
          <w:tcPr>
            <w:tcW w:w="919" w:type="dxa"/>
            <w:vAlign w:val="center"/>
            <w:hideMark/>
          </w:tcPr>
          <w:p w14:paraId="6CAC163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71.08</w:t>
            </w:r>
          </w:p>
        </w:tc>
        <w:tc>
          <w:tcPr>
            <w:tcW w:w="1094" w:type="dxa"/>
            <w:vAlign w:val="center"/>
            <w:hideMark/>
          </w:tcPr>
          <w:p w14:paraId="20DDCDD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1498.51</w:t>
            </w:r>
          </w:p>
        </w:tc>
        <w:tc>
          <w:tcPr>
            <w:tcW w:w="1134" w:type="dxa"/>
            <w:vAlign w:val="center"/>
            <w:hideMark/>
          </w:tcPr>
          <w:p w14:paraId="782EAD6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149.05</w:t>
            </w:r>
          </w:p>
        </w:tc>
      </w:tr>
      <w:tr w:rsidR="00FE705A" w:rsidRPr="00DC19D6" w14:paraId="1456611F" w14:textId="77777777" w:rsidTr="00DC19D6">
        <w:trPr>
          <w:trHeight w:val="20"/>
          <w:jc w:val="center"/>
        </w:trPr>
        <w:tc>
          <w:tcPr>
            <w:tcW w:w="1996" w:type="dxa"/>
            <w:vAlign w:val="center"/>
            <w:hideMark/>
          </w:tcPr>
          <w:p w14:paraId="1A0894BD"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2. Rajasthan</w:t>
            </w:r>
          </w:p>
        </w:tc>
        <w:tc>
          <w:tcPr>
            <w:tcW w:w="992" w:type="dxa"/>
            <w:vAlign w:val="center"/>
            <w:hideMark/>
          </w:tcPr>
          <w:p w14:paraId="563EDF57"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668.97</w:t>
            </w:r>
          </w:p>
        </w:tc>
        <w:tc>
          <w:tcPr>
            <w:tcW w:w="992" w:type="dxa"/>
            <w:vAlign w:val="center"/>
            <w:hideMark/>
          </w:tcPr>
          <w:p w14:paraId="450AEDC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272.51</w:t>
            </w:r>
          </w:p>
        </w:tc>
        <w:tc>
          <w:tcPr>
            <w:tcW w:w="1106" w:type="dxa"/>
            <w:vAlign w:val="center"/>
            <w:hideMark/>
          </w:tcPr>
          <w:p w14:paraId="4F51286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252.06</w:t>
            </w:r>
          </w:p>
        </w:tc>
        <w:tc>
          <w:tcPr>
            <w:tcW w:w="919" w:type="dxa"/>
            <w:vAlign w:val="center"/>
            <w:hideMark/>
          </w:tcPr>
          <w:p w14:paraId="77882FA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20.45</w:t>
            </w:r>
          </w:p>
        </w:tc>
        <w:tc>
          <w:tcPr>
            <w:tcW w:w="1094" w:type="dxa"/>
            <w:vAlign w:val="center"/>
            <w:hideMark/>
          </w:tcPr>
          <w:p w14:paraId="3E997FB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416.91</w:t>
            </w:r>
          </w:p>
        </w:tc>
        <w:tc>
          <w:tcPr>
            <w:tcW w:w="1134" w:type="dxa"/>
            <w:vAlign w:val="center"/>
            <w:hideMark/>
          </w:tcPr>
          <w:p w14:paraId="21C4C21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41.69</w:t>
            </w:r>
          </w:p>
        </w:tc>
      </w:tr>
      <w:tr w:rsidR="00FE705A" w:rsidRPr="00DC19D6" w14:paraId="03B2AC9A" w14:textId="77777777" w:rsidTr="00DC19D6">
        <w:trPr>
          <w:trHeight w:val="20"/>
          <w:jc w:val="center"/>
        </w:trPr>
        <w:tc>
          <w:tcPr>
            <w:tcW w:w="1996" w:type="dxa"/>
            <w:vAlign w:val="center"/>
            <w:hideMark/>
          </w:tcPr>
          <w:p w14:paraId="50D88C4C"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3. Gujarat</w:t>
            </w:r>
          </w:p>
        </w:tc>
        <w:tc>
          <w:tcPr>
            <w:tcW w:w="992" w:type="dxa"/>
            <w:vAlign w:val="center"/>
            <w:hideMark/>
          </w:tcPr>
          <w:p w14:paraId="1E8B15A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623.50</w:t>
            </w:r>
          </w:p>
        </w:tc>
        <w:tc>
          <w:tcPr>
            <w:tcW w:w="992" w:type="dxa"/>
            <w:vAlign w:val="center"/>
            <w:hideMark/>
          </w:tcPr>
          <w:p w14:paraId="58C9890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254.80</w:t>
            </w:r>
          </w:p>
        </w:tc>
        <w:tc>
          <w:tcPr>
            <w:tcW w:w="1106" w:type="dxa"/>
            <w:vAlign w:val="center"/>
            <w:hideMark/>
          </w:tcPr>
          <w:p w14:paraId="469B56B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235.69</w:t>
            </w:r>
          </w:p>
        </w:tc>
        <w:tc>
          <w:tcPr>
            <w:tcW w:w="919" w:type="dxa"/>
            <w:vAlign w:val="center"/>
            <w:hideMark/>
          </w:tcPr>
          <w:p w14:paraId="505B988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19.11</w:t>
            </w:r>
          </w:p>
        </w:tc>
        <w:tc>
          <w:tcPr>
            <w:tcW w:w="1094" w:type="dxa"/>
            <w:vAlign w:val="center"/>
            <w:hideMark/>
          </w:tcPr>
          <w:p w14:paraId="64F672C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387.81</w:t>
            </w:r>
          </w:p>
        </w:tc>
        <w:tc>
          <w:tcPr>
            <w:tcW w:w="1134" w:type="dxa"/>
            <w:vAlign w:val="center"/>
            <w:hideMark/>
          </w:tcPr>
          <w:p w14:paraId="5D9DA43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38.78</w:t>
            </w:r>
          </w:p>
        </w:tc>
      </w:tr>
      <w:tr w:rsidR="00FE705A" w:rsidRPr="00DC19D6" w14:paraId="5A88EBCD" w14:textId="77777777" w:rsidTr="00DC19D6">
        <w:trPr>
          <w:trHeight w:val="20"/>
          <w:jc w:val="center"/>
        </w:trPr>
        <w:tc>
          <w:tcPr>
            <w:tcW w:w="1996" w:type="dxa"/>
            <w:vAlign w:val="center"/>
            <w:hideMark/>
          </w:tcPr>
          <w:p w14:paraId="78944DC2"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TOTAL - II</w:t>
            </w:r>
          </w:p>
        </w:tc>
        <w:tc>
          <w:tcPr>
            <w:tcW w:w="992" w:type="dxa"/>
            <w:vAlign w:val="center"/>
            <w:hideMark/>
          </w:tcPr>
          <w:p w14:paraId="6C78060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3659.49</w:t>
            </w:r>
          </w:p>
        </w:tc>
        <w:tc>
          <w:tcPr>
            <w:tcW w:w="992" w:type="dxa"/>
            <w:vAlign w:val="center"/>
            <w:hideMark/>
          </w:tcPr>
          <w:p w14:paraId="538D4D9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1474.90</w:t>
            </w:r>
          </w:p>
        </w:tc>
        <w:tc>
          <w:tcPr>
            <w:tcW w:w="1106" w:type="dxa"/>
            <w:vAlign w:val="center"/>
            <w:hideMark/>
          </w:tcPr>
          <w:p w14:paraId="6EE628C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1364.26</w:t>
            </w:r>
          </w:p>
        </w:tc>
        <w:tc>
          <w:tcPr>
            <w:tcW w:w="919" w:type="dxa"/>
            <w:vAlign w:val="center"/>
            <w:hideMark/>
          </w:tcPr>
          <w:p w14:paraId="0EB6C6A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110.64</w:t>
            </w:r>
          </w:p>
        </w:tc>
        <w:tc>
          <w:tcPr>
            <w:tcW w:w="1094" w:type="dxa"/>
            <w:vAlign w:val="center"/>
            <w:hideMark/>
          </w:tcPr>
          <w:p w14:paraId="14F02B1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2295.23</w:t>
            </w:r>
          </w:p>
        </w:tc>
        <w:tc>
          <w:tcPr>
            <w:tcW w:w="1134" w:type="dxa"/>
            <w:vAlign w:val="center"/>
            <w:hideMark/>
          </w:tcPr>
          <w:p w14:paraId="5CB3030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229.52</w:t>
            </w:r>
          </w:p>
        </w:tc>
      </w:tr>
      <w:tr w:rsidR="00FE705A" w:rsidRPr="00DC19D6" w14:paraId="705FCE7C" w14:textId="77777777" w:rsidTr="00DC19D6">
        <w:trPr>
          <w:trHeight w:val="20"/>
          <w:jc w:val="center"/>
        </w:trPr>
        <w:tc>
          <w:tcPr>
            <w:tcW w:w="1996" w:type="dxa"/>
            <w:vAlign w:val="center"/>
            <w:hideMark/>
          </w:tcPr>
          <w:p w14:paraId="51CB0EC2" w14:textId="77777777" w:rsidR="00FE705A" w:rsidRPr="00DC19D6" w:rsidRDefault="00FE705A" w:rsidP="00AC6710">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CATEGORY III</w:t>
            </w:r>
          </w:p>
        </w:tc>
        <w:tc>
          <w:tcPr>
            <w:tcW w:w="992" w:type="dxa"/>
            <w:vAlign w:val="center"/>
            <w:hideMark/>
          </w:tcPr>
          <w:p w14:paraId="760208E8" w14:textId="77777777" w:rsidR="00FE705A" w:rsidRPr="00DC19D6" w:rsidRDefault="00FE705A" w:rsidP="00AC6710">
            <w:pPr>
              <w:pStyle w:val="NoSpacing"/>
              <w:jc w:val="center"/>
              <w:rPr>
                <w:rFonts w:ascii="Times New Roman" w:hAnsi="Times New Roman" w:cs="Times New Roman"/>
                <w:sz w:val="16"/>
                <w:szCs w:val="16"/>
              </w:rPr>
            </w:pPr>
          </w:p>
        </w:tc>
        <w:tc>
          <w:tcPr>
            <w:tcW w:w="992" w:type="dxa"/>
            <w:vAlign w:val="center"/>
            <w:hideMark/>
          </w:tcPr>
          <w:p w14:paraId="471CA3B8" w14:textId="77777777" w:rsidR="00FE705A" w:rsidRPr="00DC19D6" w:rsidRDefault="00FE705A" w:rsidP="00AC6710">
            <w:pPr>
              <w:pStyle w:val="NoSpacing"/>
              <w:jc w:val="center"/>
              <w:rPr>
                <w:rFonts w:ascii="Times New Roman" w:hAnsi="Times New Roman" w:cs="Times New Roman"/>
                <w:sz w:val="16"/>
                <w:szCs w:val="16"/>
              </w:rPr>
            </w:pPr>
          </w:p>
        </w:tc>
        <w:tc>
          <w:tcPr>
            <w:tcW w:w="1106" w:type="dxa"/>
            <w:vAlign w:val="center"/>
            <w:hideMark/>
          </w:tcPr>
          <w:p w14:paraId="30C19200" w14:textId="77777777" w:rsidR="00FE705A" w:rsidRPr="00DC19D6" w:rsidRDefault="00FE705A" w:rsidP="00AC6710">
            <w:pPr>
              <w:pStyle w:val="NoSpacing"/>
              <w:jc w:val="center"/>
              <w:rPr>
                <w:rFonts w:ascii="Times New Roman" w:hAnsi="Times New Roman" w:cs="Times New Roman"/>
                <w:sz w:val="16"/>
                <w:szCs w:val="16"/>
              </w:rPr>
            </w:pPr>
          </w:p>
        </w:tc>
        <w:tc>
          <w:tcPr>
            <w:tcW w:w="919" w:type="dxa"/>
            <w:vAlign w:val="center"/>
            <w:hideMark/>
          </w:tcPr>
          <w:p w14:paraId="0D0AE0C5" w14:textId="77777777" w:rsidR="00FE705A" w:rsidRPr="00DC19D6" w:rsidRDefault="00FE705A" w:rsidP="00AC6710">
            <w:pPr>
              <w:pStyle w:val="NoSpacing"/>
              <w:jc w:val="center"/>
              <w:rPr>
                <w:rFonts w:ascii="Times New Roman" w:hAnsi="Times New Roman" w:cs="Times New Roman"/>
                <w:sz w:val="16"/>
                <w:szCs w:val="16"/>
              </w:rPr>
            </w:pPr>
          </w:p>
        </w:tc>
        <w:tc>
          <w:tcPr>
            <w:tcW w:w="1094" w:type="dxa"/>
            <w:vAlign w:val="center"/>
            <w:hideMark/>
          </w:tcPr>
          <w:p w14:paraId="755DA614" w14:textId="77777777" w:rsidR="00FE705A" w:rsidRPr="00DC19D6" w:rsidRDefault="00FE705A" w:rsidP="00AC6710">
            <w:pPr>
              <w:pStyle w:val="NoSpacing"/>
              <w:jc w:val="center"/>
              <w:rPr>
                <w:rFonts w:ascii="Times New Roman" w:hAnsi="Times New Roman" w:cs="Times New Roman"/>
                <w:sz w:val="16"/>
                <w:szCs w:val="16"/>
              </w:rPr>
            </w:pPr>
          </w:p>
        </w:tc>
        <w:tc>
          <w:tcPr>
            <w:tcW w:w="1134" w:type="dxa"/>
            <w:vAlign w:val="center"/>
            <w:hideMark/>
          </w:tcPr>
          <w:p w14:paraId="24B9362B" w14:textId="77777777" w:rsidR="00FE705A" w:rsidRPr="00DC19D6" w:rsidRDefault="00FE705A" w:rsidP="00AC6710">
            <w:pPr>
              <w:pStyle w:val="NoSpacing"/>
              <w:jc w:val="center"/>
              <w:rPr>
                <w:rFonts w:ascii="Times New Roman" w:hAnsi="Times New Roman" w:cs="Times New Roman"/>
                <w:sz w:val="16"/>
                <w:szCs w:val="16"/>
              </w:rPr>
            </w:pPr>
          </w:p>
        </w:tc>
      </w:tr>
      <w:tr w:rsidR="00FE705A" w:rsidRPr="00DC19D6" w14:paraId="2EE480BA" w14:textId="77777777" w:rsidTr="00DC19D6">
        <w:trPr>
          <w:trHeight w:val="20"/>
          <w:jc w:val="center"/>
        </w:trPr>
        <w:tc>
          <w:tcPr>
            <w:tcW w:w="1996" w:type="dxa"/>
            <w:vAlign w:val="center"/>
            <w:hideMark/>
          </w:tcPr>
          <w:p w14:paraId="26815419"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1. Kerala</w:t>
            </w:r>
          </w:p>
        </w:tc>
        <w:tc>
          <w:tcPr>
            <w:tcW w:w="992" w:type="dxa"/>
            <w:vAlign w:val="center"/>
            <w:hideMark/>
          </w:tcPr>
          <w:p w14:paraId="4A84100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613.86</w:t>
            </w:r>
          </w:p>
        </w:tc>
        <w:tc>
          <w:tcPr>
            <w:tcW w:w="992" w:type="dxa"/>
            <w:vAlign w:val="center"/>
            <w:hideMark/>
          </w:tcPr>
          <w:p w14:paraId="4767F1A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251.16</w:t>
            </w:r>
          </w:p>
        </w:tc>
        <w:tc>
          <w:tcPr>
            <w:tcW w:w="1106" w:type="dxa"/>
            <w:vAlign w:val="center"/>
            <w:hideMark/>
          </w:tcPr>
          <w:p w14:paraId="79AE58F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238.61</w:t>
            </w:r>
          </w:p>
        </w:tc>
        <w:tc>
          <w:tcPr>
            <w:tcW w:w="919" w:type="dxa"/>
            <w:vAlign w:val="center"/>
            <w:hideMark/>
          </w:tcPr>
          <w:p w14:paraId="3098495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12.55</w:t>
            </w:r>
          </w:p>
        </w:tc>
        <w:tc>
          <w:tcPr>
            <w:tcW w:w="1094" w:type="dxa"/>
            <w:vAlign w:val="center"/>
            <w:hideMark/>
          </w:tcPr>
          <w:p w14:paraId="5D422BE7"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375.25</w:t>
            </w:r>
          </w:p>
        </w:tc>
        <w:tc>
          <w:tcPr>
            <w:tcW w:w="1134" w:type="dxa"/>
            <w:vAlign w:val="center"/>
            <w:hideMark/>
          </w:tcPr>
          <w:p w14:paraId="4E9B179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37.52</w:t>
            </w:r>
          </w:p>
        </w:tc>
      </w:tr>
      <w:tr w:rsidR="00FE705A" w:rsidRPr="00DC19D6" w14:paraId="6DA36AA1" w14:textId="77777777" w:rsidTr="00DC19D6">
        <w:trPr>
          <w:trHeight w:val="20"/>
          <w:jc w:val="center"/>
        </w:trPr>
        <w:tc>
          <w:tcPr>
            <w:tcW w:w="1996" w:type="dxa"/>
            <w:vAlign w:val="center"/>
            <w:hideMark/>
          </w:tcPr>
          <w:p w14:paraId="0F2B31FF"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2. Haryana</w:t>
            </w:r>
          </w:p>
        </w:tc>
        <w:tc>
          <w:tcPr>
            <w:tcW w:w="992" w:type="dxa"/>
            <w:vAlign w:val="center"/>
            <w:hideMark/>
          </w:tcPr>
          <w:p w14:paraId="0729AFA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288.58</w:t>
            </w:r>
          </w:p>
        </w:tc>
        <w:tc>
          <w:tcPr>
            <w:tcW w:w="992" w:type="dxa"/>
            <w:vAlign w:val="center"/>
            <w:hideMark/>
          </w:tcPr>
          <w:p w14:paraId="6543322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122.20</w:t>
            </w:r>
          </w:p>
        </w:tc>
        <w:tc>
          <w:tcPr>
            <w:tcW w:w="1106" w:type="dxa"/>
            <w:vAlign w:val="center"/>
            <w:hideMark/>
          </w:tcPr>
          <w:p w14:paraId="5DE75E9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116.09</w:t>
            </w:r>
          </w:p>
        </w:tc>
        <w:tc>
          <w:tcPr>
            <w:tcW w:w="919" w:type="dxa"/>
            <w:vAlign w:val="center"/>
            <w:hideMark/>
          </w:tcPr>
          <w:p w14:paraId="102422E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6.11</w:t>
            </w:r>
          </w:p>
        </w:tc>
        <w:tc>
          <w:tcPr>
            <w:tcW w:w="1094" w:type="dxa"/>
            <w:vAlign w:val="center"/>
            <w:hideMark/>
          </w:tcPr>
          <w:p w14:paraId="555B577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172.49</w:t>
            </w:r>
          </w:p>
        </w:tc>
        <w:tc>
          <w:tcPr>
            <w:tcW w:w="1134" w:type="dxa"/>
            <w:vAlign w:val="center"/>
            <w:hideMark/>
          </w:tcPr>
          <w:p w14:paraId="2C37A43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17.25</w:t>
            </w:r>
          </w:p>
        </w:tc>
      </w:tr>
      <w:tr w:rsidR="00FE705A" w:rsidRPr="00DC19D6" w14:paraId="59400F62" w14:textId="77777777" w:rsidTr="00DC19D6">
        <w:trPr>
          <w:trHeight w:val="20"/>
          <w:jc w:val="center"/>
        </w:trPr>
        <w:tc>
          <w:tcPr>
            <w:tcW w:w="1996" w:type="dxa"/>
            <w:vAlign w:val="center"/>
            <w:hideMark/>
          </w:tcPr>
          <w:p w14:paraId="313E997A"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3. Punjab</w:t>
            </w:r>
          </w:p>
        </w:tc>
        <w:tc>
          <w:tcPr>
            <w:tcW w:w="992" w:type="dxa"/>
            <w:vAlign w:val="center"/>
            <w:hideMark/>
          </w:tcPr>
          <w:p w14:paraId="4992A1E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299.54</w:t>
            </w:r>
          </w:p>
        </w:tc>
        <w:tc>
          <w:tcPr>
            <w:tcW w:w="992" w:type="dxa"/>
            <w:vAlign w:val="center"/>
            <w:hideMark/>
          </w:tcPr>
          <w:p w14:paraId="1959164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129.04</w:t>
            </w:r>
          </w:p>
        </w:tc>
        <w:tc>
          <w:tcPr>
            <w:tcW w:w="1106" w:type="dxa"/>
            <w:vAlign w:val="center"/>
            <w:hideMark/>
          </w:tcPr>
          <w:p w14:paraId="09B9281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122.59</w:t>
            </w:r>
          </w:p>
        </w:tc>
        <w:tc>
          <w:tcPr>
            <w:tcW w:w="919" w:type="dxa"/>
            <w:vAlign w:val="center"/>
            <w:hideMark/>
          </w:tcPr>
          <w:p w14:paraId="1F44DDD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6.45</w:t>
            </w:r>
          </w:p>
        </w:tc>
        <w:tc>
          <w:tcPr>
            <w:tcW w:w="1094" w:type="dxa"/>
            <w:vAlign w:val="center"/>
            <w:hideMark/>
          </w:tcPr>
          <w:p w14:paraId="2FFE696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176.95</w:t>
            </w:r>
          </w:p>
        </w:tc>
        <w:tc>
          <w:tcPr>
            <w:tcW w:w="1134" w:type="dxa"/>
            <w:vAlign w:val="center"/>
            <w:hideMark/>
          </w:tcPr>
          <w:p w14:paraId="4E1D688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17.70</w:t>
            </w:r>
          </w:p>
        </w:tc>
      </w:tr>
      <w:tr w:rsidR="00FE705A" w:rsidRPr="00DC19D6" w14:paraId="3EBA624B" w14:textId="77777777" w:rsidTr="00DC19D6">
        <w:trPr>
          <w:trHeight w:val="20"/>
          <w:jc w:val="center"/>
        </w:trPr>
        <w:tc>
          <w:tcPr>
            <w:tcW w:w="1996" w:type="dxa"/>
            <w:vAlign w:val="center"/>
            <w:hideMark/>
          </w:tcPr>
          <w:p w14:paraId="099B049D"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4. Bihar</w:t>
            </w:r>
          </w:p>
        </w:tc>
        <w:tc>
          <w:tcPr>
            <w:tcW w:w="992" w:type="dxa"/>
            <w:vAlign w:val="center"/>
            <w:hideMark/>
          </w:tcPr>
          <w:p w14:paraId="1B0C9EA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1346.55</w:t>
            </w:r>
          </w:p>
        </w:tc>
        <w:tc>
          <w:tcPr>
            <w:tcW w:w="992" w:type="dxa"/>
            <w:vAlign w:val="center"/>
            <w:hideMark/>
          </w:tcPr>
          <w:p w14:paraId="4E2E44A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552.85</w:t>
            </w:r>
          </w:p>
        </w:tc>
        <w:tc>
          <w:tcPr>
            <w:tcW w:w="1106" w:type="dxa"/>
            <w:vAlign w:val="center"/>
            <w:hideMark/>
          </w:tcPr>
          <w:p w14:paraId="600D97E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525.21</w:t>
            </w:r>
          </w:p>
        </w:tc>
        <w:tc>
          <w:tcPr>
            <w:tcW w:w="919" w:type="dxa"/>
            <w:vAlign w:val="center"/>
            <w:hideMark/>
          </w:tcPr>
          <w:p w14:paraId="0489912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27.64</w:t>
            </w:r>
          </w:p>
        </w:tc>
        <w:tc>
          <w:tcPr>
            <w:tcW w:w="1094" w:type="dxa"/>
            <w:vAlign w:val="center"/>
            <w:hideMark/>
          </w:tcPr>
          <w:p w14:paraId="2C93226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821.34</w:t>
            </w:r>
          </w:p>
        </w:tc>
        <w:tc>
          <w:tcPr>
            <w:tcW w:w="1134" w:type="dxa"/>
            <w:vAlign w:val="center"/>
            <w:hideMark/>
          </w:tcPr>
          <w:p w14:paraId="239C501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82.13</w:t>
            </w:r>
          </w:p>
        </w:tc>
      </w:tr>
      <w:tr w:rsidR="00FE705A" w:rsidRPr="00DC19D6" w14:paraId="54679769" w14:textId="77777777" w:rsidTr="00DC19D6">
        <w:trPr>
          <w:trHeight w:val="20"/>
          <w:jc w:val="center"/>
        </w:trPr>
        <w:tc>
          <w:tcPr>
            <w:tcW w:w="1996" w:type="dxa"/>
            <w:vAlign w:val="center"/>
            <w:hideMark/>
          </w:tcPr>
          <w:p w14:paraId="0F59B775"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5. West Bengal</w:t>
            </w:r>
          </w:p>
        </w:tc>
        <w:tc>
          <w:tcPr>
            <w:tcW w:w="992" w:type="dxa"/>
            <w:vAlign w:val="center"/>
            <w:hideMark/>
          </w:tcPr>
          <w:p w14:paraId="7FDFBFA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568.12</w:t>
            </w:r>
          </w:p>
        </w:tc>
        <w:tc>
          <w:tcPr>
            <w:tcW w:w="992" w:type="dxa"/>
            <w:vAlign w:val="center"/>
            <w:hideMark/>
          </w:tcPr>
          <w:p w14:paraId="45C8FDD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224.91</w:t>
            </w:r>
          </w:p>
        </w:tc>
        <w:tc>
          <w:tcPr>
            <w:tcW w:w="1106" w:type="dxa"/>
            <w:vAlign w:val="center"/>
            <w:hideMark/>
          </w:tcPr>
          <w:p w14:paraId="4ABF826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213.66</w:t>
            </w:r>
          </w:p>
        </w:tc>
        <w:tc>
          <w:tcPr>
            <w:tcW w:w="919" w:type="dxa"/>
            <w:vAlign w:val="center"/>
            <w:hideMark/>
          </w:tcPr>
          <w:p w14:paraId="2FFAFDC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11.25</w:t>
            </w:r>
          </w:p>
        </w:tc>
        <w:tc>
          <w:tcPr>
            <w:tcW w:w="1094" w:type="dxa"/>
            <w:vAlign w:val="center"/>
            <w:hideMark/>
          </w:tcPr>
          <w:p w14:paraId="4AE6193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354.46</w:t>
            </w:r>
          </w:p>
        </w:tc>
        <w:tc>
          <w:tcPr>
            <w:tcW w:w="1134" w:type="dxa"/>
            <w:vAlign w:val="center"/>
            <w:hideMark/>
          </w:tcPr>
          <w:p w14:paraId="7861A0E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35.45</w:t>
            </w:r>
          </w:p>
        </w:tc>
      </w:tr>
      <w:tr w:rsidR="00FE705A" w:rsidRPr="00DC19D6" w14:paraId="5444589F" w14:textId="77777777" w:rsidTr="00DC19D6">
        <w:trPr>
          <w:trHeight w:val="20"/>
          <w:jc w:val="center"/>
        </w:trPr>
        <w:tc>
          <w:tcPr>
            <w:tcW w:w="1996" w:type="dxa"/>
            <w:vAlign w:val="center"/>
            <w:hideMark/>
          </w:tcPr>
          <w:p w14:paraId="252885F7"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TOTAL - III</w:t>
            </w:r>
          </w:p>
        </w:tc>
        <w:tc>
          <w:tcPr>
            <w:tcW w:w="992" w:type="dxa"/>
            <w:vAlign w:val="center"/>
            <w:hideMark/>
          </w:tcPr>
          <w:p w14:paraId="1EA8210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3116.65</w:t>
            </w:r>
          </w:p>
        </w:tc>
        <w:tc>
          <w:tcPr>
            <w:tcW w:w="992" w:type="dxa"/>
            <w:vAlign w:val="center"/>
            <w:hideMark/>
          </w:tcPr>
          <w:p w14:paraId="3307201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1280.16</w:t>
            </w:r>
          </w:p>
        </w:tc>
        <w:tc>
          <w:tcPr>
            <w:tcW w:w="1106" w:type="dxa"/>
            <w:vAlign w:val="center"/>
            <w:hideMark/>
          </w:tcPr>
          <w:p w14:paraId="3368094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1216.16</w:t>
            </w:r>
          </w:p>
        </w:tc>
        <w:tc>
          <w:tcPr>
            <w:tcW w:w="919" w:type="dxa"/>
            <w:vAlign w:val="center"/>
            <w:hideMark/>
          </w:tcPr>
          <w:p w14:paraId="39397FC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64.00</w:t>
            </w:r>
          </w:p>
        </w:tc>
        <w:tc>
          <w:tcPr>
            <w:tcW w:w="1094" w:type="dxa"/>
            <w:vAlign w:val="center"/>
            <w:hideMark/>
          </w:tcPr>
          <w:p w14:paraId="6DE6CC1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1900.49</w:t>
            </w:r>
          </w:p>
        </w:tc>
        <w:tc>
          <w:tcPr>
            <w:tcW w:w="1134" w:type="dxa"/>
            <w:vAlign w:val="center"/>
            <w:hideMark/>
          </w:tcPr>
          <w:p w14:paraId="4A30FC1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190.05</w:t>
            </w:r>
          </w:p>
        </w:tc>
      </w:tr>
      <w:tr w:rsidR="00FE705A" w:rsidRPr="00DC19D6" w14:paraId="007C7D5A" w14:textId="77777777" w:rsidTr="00DC19D6">
        <w:trPr>
          <w:trHeight w:val="20"/>
          <w:jc w:val="center"/>
        </w:trPr>
        <w:tc>
          <w:tcPr>
            <w:tcW w:w="1996" w:type="dxa"/>
            <w:vAlign w:val="center"/>
            <w:hideMark/>
          </w:tcPr>
          <w:p w14:paraId="5D08AA2B" w14:textId="77777777" w:rsidR="00FE705A" w:rsidRPr="00DC19D6" w:rsidRDefault="00FE705A" w:rsidP="00AC6710">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CATEGORY IV</w:t>
            </w:r>
          </w:p>
        </w:tc>
        <w:tc>
          <w:tcPr>
            <w:tcW w:w="992" w:type="dxa"/>
            <w:vAlign w:val="center"/>
            <w:hideMark/>
          </w:tcPr>
          <w:p w14:paraId="30752EBB" w14:textId="77777777" w:rsidR="00FE705A" w:rsidRPr="00DC19D6" w:rsidRDefault="00FE705A" w:rsidP="00AC6710">
            <w:pPr>
              <w:pStyle w:val="NoSpacing"/>
              <w:jc w:val="center"/>
              <w:rPr>
                <w:rFonts w:ascii="Times New Roman" w:hAnsi="Times New Roman" w:cs="Times New Roman"/>
                <w:sz w:val="16"/>
                <w:szCs w:val="16"/>
              </w:rPr>
            </w:pPr>
          </w:p>
        </w:tc>
        <w:tc>
          <w:tcPr>
            <w:tcW w:w="992" w:type="dxa"/>
            <w:vAlign w:val="center"/>
            <w:hideMark/>
          </w:tcPr>
          <w:p w14:paraId="1A8E801F" w14:textId="77777777" w:rsidR="00FE705A" w:rsidRPr="00DC19D6" w:rsidRDefault="00FE705A" w:rsidP="00AC6710">
            <w:pPr>
              <w:pStyle w:val="NoSpacing"/>
              <w:jc w:val="center"/>
              <w:rPr>
                <w:rFonts w:ascii="Times New Roman" w:hAnsi="Times New Roman" w:cs="Times New Roman"/>
                <w:sz w:val="16"/>
                <w:szCs w:val="16"/>
              </w:rPr>
            </w:pPr>
          </w:p>
        </w:tc>
        <w:tc>
          <w:tcPr>
            <w:tcW w:w="1106" w:type="dxa"/>
            <w:vAlign w:val="center"/>
            <w:hideMark/>
          </w:tcPr>
          <w:p w14:paraId="67D5E3F9" w14:textId="77777777" w:rsidR="00FE705A" w:rsidRPr="00DC19D6" w:rsidRDefault="00FE705A" w:rsidP="00AC6710">
            <w:pPr>
              <w:pStyle w:val="NoSpacing"/>
              <w:jc w:val="center"/>
              <w:rPr>
                <w:rFonts w:ascii="Times New Roman" w:hAnsi="Times New Roman" w:cs="Times New Roman"/>
                <w:sz w:val="16"/>
                <w:szCs w:val="16"/>
              </w:rPr>
            </w:pPr>
          </w:p>
        </w:tc>
        <w:tc>
          <w:tcPr>
            <w:tcW w:w="919" w:type="dxa"/>
            <w:vAlign w:val="center"/>
            <w:hideMark/>
          </w:tcPr>
          <w:p w14:paraId="1397C8F0" w14:textId="77777777" w:rsidR="00FE705A" w:rsidRPr="00DC19D6" w:rsidRDefault="00FE705A" w:rsidP="00AC6710">
            <w:pPr>
              <w:pStyle w:val="NoSpacing"/>
              <w:jc w:val="center"/>
              <w:rPr>
                <w:rFonts w:ascii="Times New Roman" w:hAnsi="Times New Roman" w:cs="Times New Roman"/>
                <w:sz w:val="16"/>
                <w:szCs w:val="16"/>
              </w:rPr>
            </w:pPr>
          </w:p>
        </w:tc>
        <w:tc>
          <w:tcPr>
            <w:tcW w:w="1094" w:type="dxa"/>
            <w:vAlign w:val="center"/>
            <w:hideMark/>
          </w:tcPr>
          <w:p w14:paraId="41044DDE" w14:textId="77777777" w:rsidR="00FE705A" w:rsidRPr="00DC19D6" w:rsidRDefault="00FE705A" w:rsidP="00AC6710">
            <w:pPr>
              <w:pStyle w:val="NoSpacing"/>
              <w:jc w:val="center"/>
              <w:rPr>
                <w:rFonts w:ascii="Times New Roman" w:hAnsi="Times New Roman" w:cs="Times New Roman"/>
                <w:sz w:val="16"/>
                <w:szCs w:val="16"/>
              </w:rPr>
            </w:pPr>
          </w:p>
        </w:tc>
        <w:tc>
          <w:tcPr>
            <w:tcW w:w="1134" w:type="dxa"/>
            <w:vAlign w:val="center"/>
            <w:hideMark/>
          </w:tcPr>
          <w:p w14:paraId="5D2C1DB4" w14:textId="77777777" w:rsidR="00FE705A" w:rsidRPr="00DC19D6" w:rsidRDefault="00FE705A" w:rsidP="00AC6710">
            <w:pPr>
              <w:pStyle w:val="NoSpacing"/>
              <w:jc w:val="center"/>
              <w:rPr>
                <w:rFonts w:ascii="Times New Roman" w:hAnsi="Times New Roman" w:cs="Times New Roman"/>
                <w:sz w:val="16"/>
                <w:szCs w:val="16"/>
              </w:rPr>
            </w:pPr>
          </w:p>
        </w:tc>
      </w:tr>
      <w:tr w:rsidR="00FE705A" w:rsidRPr="00DC19D6" w14:paraId="3BB0ED43" w14:textId="77777777" w:rsidTr="00DC19D6">
        <w:trPr>
          <w:trHeight w:val="20"/>
          <w:jc w:val="center"/>
        </w:trPr>
        <w:tc>
          <w:tcPr>
            <w:tcW w:w="1996" w:type="dxa"/>
            <w:vAlign w:val="center"/>
            <w:hideMark/>
          </w:tcPr>
          <w:p w14:paraId="42E19BF2"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1. Arunachal Pradesh</w:t>
            </w:r>
          </w:p>
        </w:tc>
        <w:tc>
          <w:tcPr>
            <w:tcW w:w="992" w:type="dxa"/>
            <w:vAlign w:val="center"/>
            <w:hideMark/>
          </w:tcPr>
          <w:p w14:paraId="642859D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22.33</w:t>
            </w:r>
          </w:p>
        </w:tc>
        <w:tc>
          <w:tcPr>
            <w:tcW w:w="992" w:type="dxa"/>
            <w:vAlign w:val="center"/>
            <w:hideMark/>
          </w:tcPr>
          <w:p w14:paraId="7B0CA5D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8.24</w:t>
            </w:r>
          </w:p>
        </w:tc>
        <w:tc>
          <w:tcPr>
            <w:tcW w:w="1106" w:type="dxa"/>
            <w:vAlign w:val="center"/>
            <w:hideMark/>
          </w:tcPr>
          <w:p w14:paraId="2F42FD2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7.41</w:t>
            </w:r>
          </w:p>
        </w:tc>
        <w:tc>
          <w:tcPr>
            <w:tcW w:w="919" w:type="dxa"/>
            <w:vAlign w:val="center"/>
            <w:hideMark/>
          </w:tcPr>
          <w:p w14:paraId="37F779B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0.83</w:t>
            </w:r>
          </w:p>
        </w:tc>
        <w:tc>
          <w:tcPr>
            <w:tcW w:w="1094" w:type="dxa"/>
            <w:vAlign w:val="center"/>
            <w:hideMark/>
          </w:tcPr>
          <w:p w14:paraId="2C046D0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14.92</w:t>
            </w:r>
          </w:p>
        </w:tc>
        <w:tc>
          <w:tcPr>
            <w:tcW w:w="1134" w:type="dxa"/>
            <w:vAlign w:val="center"/>
            <w:hideMark/>
          </w:tcPr>
          <w:p w14:paraId="40D80E7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1.49</w:t>
            </w:r>
          </w:p>
        </w:tc>
      </w:tr>
      <w:tr w:rsidR="00FE705A" w:rsidRPr="00DC19D6" w14:paraId="29974B90" w14:textId="77777777" w:rsidTr="00DC19D6">
        <w:trPr>
          <w:trHeight w:val="20"/>
          <w:jc w:val="center"/>
        </w:trPr>
        <w:tc>
          <w:tcPr>
            <w:tcW w:w="1996" w:type="dxa"/>
            <w:vAlign w:val="center"/>
            <w:hideMark/>
          </w:tcPr>
          <w:p w14:paraId="0D8AF5FD"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2. Assam</w:t>
            </w:r>
          </w:p>
        </w:tc>
        <w:tc>
          <w:tcPr>
            <w:tcW w:w="992" w:type="dxa"/>
            <w:vAlign w:val="center"/>
            <w:hideMark/>
          </w:tcPr>
          <w:p w14:paraId="270BABC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1205.17</w:t>
            </w:r>
          </w:p>
        </w:tc>
        <w:tc>
          <w:tcPr>
            <w:tcW w:w="992" w:type="dxa"/>
            <w:vAlign w:val="center"/>
            <w:hideMark/>
          </w:tcPr>
          <w:p w14:paraId="05CA967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496.89</w:t>
            </w:r>
          </w:p>
        </w:tc>
        <w:tc>
          <w:tcPr>
            <w:tcW w:w="1106" w:type="dxa"/>
            <w:vAlign w:val="center"/>
            <w:hideMark/>
          </w:tcPr>
          <w:p w14:paraId="47FC0A0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447.20</w:t>
            </w:r>
          </w:p>
        </w:tc>
        <w:tc>
          <w:tcPr>
            <w:tcW w:w="919" w:type="dxa"/>
            <w:vAlign w:val="center"/>
            <w:hideMark/>
          </w:tcPr>
          <w:p w14:paraId="2B19BFD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49.69</w:t>
            </w:r>
          </w:p>
        </w:tc>
        <w:tc>
          <w:tcPr>
            <w:tcW w:w="1094" w:type="dxa"/>
            <w:vAlign w:val="center"/>
            <w:hideMark/>
          </w:tcPr>
          <w:p w14:paraId="15E1099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747.97</w:t>
            </w:r>
          </w:p>
        </w:tc>
        <w:tc>
          <w:tcPr>
            <w:tcW w:w="1134" w:type="dxa"/>
            <w:vAlign w:val="center"/>
            <w:hideMark/>
          </w:tcPr>
          <w:p w14:paraId="753912E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75.80</w:t>
            </w:r>
          </w:p>
        </w:tc>
      </w:tr>
      <w:tr w:rsidR="00FE705A" w:rsidRPr="00DC19D6" w14:paraId="5760BE4B" w14:textId="77777777" w:rsidTr="00DC19D6">
        <w:trPr>
          <w:trHeight w:val="20"/>
          <w:jc w:val="center"/>
        </w:trPr>
        <w:tc>
          <w:tcPr>
            <w:tcW w:w="1996" w:type="dxa"/>
            <w:vAlign w:val="center"/>
            <w:hideMark/>
          </w:tcPr>
          <w:p w14:paraId="2C3AA1C4" w14:textId="0E16CFD3"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3. Goa</w:t>
            </w:r>
          </w:p>
        </w:tc>
        <w:tc>
          <w:tcPr>
            <w:tcW w:w="992" w:type="dxa"/>
            <w:vAlign w:val="center"/>
            <w:hideMark/>
          </w:tcPr>
          <w:p w14:paraId="605C967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147.45</w:t>
            </w:r>
          </w:p>
        </w:tc>
        <w:tc>
          <w:tcPr>
            <w:tcW w:w="992" w:type="dxa"/>
            <w:vAlign w:val="center"/>
            <w:hideMark/>
          </w:tcPr>
          <w:p w14:paraId="5B066C1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55.19</w:t>
            </w:r>
          </w:p>
        </w:tc>
        <w:tc>
          <w:tcPr>
            <w:tcW w:w="1106" w:type="dxa"/>
            <w:vAlign w:val="center"/>
            <w:hideMark/>
          </w:tcPr>
          <w:p w14:paraId="206E768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49.67</w:t>
            </w:r>
          </w:p>
        </w:tc>
        <w:tc>
          <w:tcPr>
            <w:tcW w:w="919" w:type="dxa"/>
            <w:vAlign w:val="center"/>
            <w:hideMark/>
          </w:tcPr>
          <w:p w14:paraId="48C67C7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5.52</w:t>
            </w:r>
          </w:p>
        </w:tc>
        <w:tc>
          <w:tcPr>
            <w:tcW w:w="1094" w:type="dxa"/>
            <w:vAlign w:val="center"/>
            <w:hideMark/>
          </w:tcPr>
          <w:p w14:paraId="01A12C5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97.78</w:t>
            </w:r>
          </w:p>
        </w:tc>
        <w:tc>
          <w:tcPr>
            <w:tcW w:w="1134" w:type="dxa"/>
            <w:vAlign w:val="center"/>
            <w:hideMark/>
          </w:tcPr>
          <w:p w14:paraId="1F2E899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9.78</w:t>
            </w:r>
          </w:p>
        </w:tc>
      </w:tr>
      <w:tr w:rsidR="00FE705A" w:rsidRPr="00DC19D6" w14:paraId="47981609" w14:textId="77777777" w:rsidTr="00DC19D6">
        <w:trPr>
          <w:trHeight w:val="20"/>
          <w:jc w:val="center"/>
        </w:trPr>
        <w:tc>
          <w:tcPr>
            <w:tcW w:w="1996" w:type="dxa"/>
            <w:vAlign w:val="center"/>
            <w:hideMark/>
          </w:tcPr>
          <w:p w14:paraId="35712C2F"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4. Himachal Pradesh</w:t>
            </w:r>
          </w:p>
        </w:tc>
        <w:tc>
          <w:tcPr>
            <w:tcW w:w="992" w:type="dxa"/>
            <w:vAlign w:val="center"/>
            <w:hideMark/>
          </w:tcPr>
          <w:p w14:paraId="51B8DCA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86.45</w:t>
            </w:r>
          </w:p>
        </w:tc>
        <w:tc>
          <w:tcPr>
            <w:tcW w:w="992" w:type="dxa"/>
            <w:vAlign w:val="center"/>
            <w:hideMark/>
          </w:tcPr>
          <w:p w14:paraId="3BF56A0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34.90</w:t>
            </w:r>
          </w:p>
        </w:tc>
        <w:tc>
          <w:tcPr>
            <w:tcW w:w="1106" w:type="dxa"/>
            <w:vAlign w:val="center"/>
            <w:hideMark/>
          </w:tcPr>
          <w:p w14:paraId="50F252D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31.41</w:t>
            </w:r>
          </w:p>
        </w:tc>
        <w:tc>
          <w:tcPr>
            <w:tcW w:w="919" w:type="dxa"/>
            <w:vAlign w:val="center"/>
            <w:hideMark/>
          </w:tcPr>
          <w:p w14:paraId="7B60949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3.49</w:t>
            </w:r>
          </w:p>
        </w:tc>
        <w:tc>
          <w:tcPr>
            <w:tcW w:w="1094" w:type="dxa"/>
            <w:vAlign w:val="center"/>
            <w:hideMark/>
          </w:tcPr>
          <w:p w14:paraId="43321FB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55.04</w:t>
            </w:r>
          </w:p>
        </w:tc>
        <w:tc>
          <w:tcPr>
            <w:tcW w:w="1134" w:type="dxa"/>
            <w:vAlign w:val="center"/>
            <w:hideMark/>
          </w:tcPr>
          <w:p w14:paraId="74F7201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5.50</w:t>
            </w:r>
          </w:p>
        </w:tc>
      </w:tr>
      <w:tr w:rsidR="00FE705A" w:rsidRPr="00DC19D6" w14:paraId="5DD8B766" w14:textId="77777777" w:rsidTr="00DC19D6">
        <w:trPr>
          <w:trHeight w:val="20"/>
          <w:jc w:val="center"/>
        </w:trPr>
        <w:tc>
          <w:tcPr>
            <w:tcW w:w="1996" w:type="dxa"/>
            <w:vAlign w:val="center"/>
            <w:hideMark/>
          </w:tcPr>
          <w:p w14:paraId="309229EB"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5. Jammu and Kashmir</w:t>
            </w:r>
          </w:p>
        </w:tc>
        <w:tc>
          <w:tcPr>
            <w:tcW w:w="992" w:type="dxa"/>
            <w:vAlign w:val="center"/>
            <w:hideMark/>
          </w:tcPr>
          <w:p w14:paraId="725EDD4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1066.86</w:t>
            </w:r>
          </w:p>
        </w:tc>
        <w:tc>
          <w:tcPr>
            <w:tcW w:w="992" w:type="dxa"/>
            <w:vAlign w:val="center"/>
            <w:hideMark/>
          </w:tcPr>
          <w:p w14:paraId="3C5B125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432.52</w:t>
            </w:r>
          </w:p>
        </w:tc>
        <w:tc>
          <w:tcPr>
            <w:tcW w:w="1106" w:type="dxa"/>
            <w:vAlign w:val="center"/>
            <w:hideMark/>
          </w:tcPr>
          <w:p w14:paraId="0CDBFDC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389.27</w:t>
            </w:r>
          </w:p>
        </w:tc>
        <w:tc>
          <w:tcPr>
            <w:tcW w:w="919" w:type="dxa"/>
            <w:vAlign w:val="center"/>
            <w:hideMark/>
          </w:tcPr>
          <w:p w14:paraId="6EA2C70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43.25</w:t>
            </w:r>
          </w:p>
        </w:tc>
        <w:tc>
          <w:tcPr>
            <w:tcW w:w="1094" w:type="dxa"/>
            <w:vAlign w:val="center"/>
            <w:hideMark/>
          </w:tcPr>
          <w:p w14:paraId="75B94EC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677.59</w:t>
            </w:r>
          </w:p>
        </w:tc>
        <w:tc>
          <w:tcPr>
            <w:tcW w:w="1134" w:type="dxa"/>
            <w:vAlign w:val="center"/>
            <w:hideMark/>
          </w:tcPr>
          <w:p w14:paraId="6110D56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67.76</w:t>
            </w:r>
          </w:p>
        </w:tc>
      </w:tr>
      <w:tr w:rsidR="00FE705A" w:rsidRPr="00DC19D6" w14:paraId="70C1C19A" w14:textId="77777777" w:rsidTr="00DC19D6">
        <w:trPr>
          <w:trHeight w:val="20"/>
          <w:jc w:val="center"/>
        </w:trPr>
        <w:tc>
          <w:tcPr>
            <w:tcW w:w="1996" w:type="dxa"/>
            <w:vAlign w:val="center"/>
            <w:hideMark/>
          </w:tcPr>
          <w:p w14:paraId="5E00A71C"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6. Manipur</w:t>
            </w:r>
          </w:p>
        </w:tc>
        <w:tc>
          <w:tcPr>
            <w:tcW w:w="992" w:type="dxa"/>
            <w:vAlign w:val="center"/>
            <w:hideMark/>
          </w:tcPr>
          <w:p w14:paraId="5A17BBF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39.73</w:t>
            </w:r>
          </w:p>
        </w:tc>
        <w:tc>
          <w:tcPr>
            <w:tcW w:w="992" w:type="dxa"/>
            <w:vAlign w:val="center"/>
            <w:hideMark/>
          </w:tcPr>
          <w:p w14:paraId="5B92773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16.11</w:t>
            </w:r>
          </w:p>
        </w:tc>
        <w:tc>
          <w:tcPr>
            <w:tcW w:w="1106" w:type="dxa"/>
            <w:vAlign w:val="center"/>
            <w:hideMark/>
          </w:tcPr>
          <w:p w14:paraId="1CF4C20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14.50</w:t>
            </w:r>
          </w:p>
        </w:tc>
        <w:tc>
          <w:tcPr>
            <w:tcW w:w="919" w:type="dxa"/>
            <w:vAlign w:val="center"/>
            <w:hideMark/>
          </w:tcPr>
          <w:p w14:paraId="74C3D40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1.61</w:t>
            </w:r>
          </w:p>
        </w:tc>
        <w:tc>
          <w:tcPr>
            <w:tcW w:w="1094" w:type="dxa"/>
            <w:vAlign w:val="center"/>
            <w:hideMark/>
          </w:tcPr>
          <w:p w14:paraId="17AA738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25.23</w:t>
            </w:r>
          </w:p>
        </w:tc>
        <w:tc>
          <w:tcPr>
            <w:tcW w:w="1134" w:type="dxa"/>
            <w:vAlign w:val="center"/>
            <w:hideMark/>
          </w:tcPr>
          <w:p w14:paraId="011DD6B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2.52</w:t>
            </w:r>
          </w:p>
        </w:tc>
      </w:tr>
      <w:tr w:rsidR="00FE705A" w:rsidRPr="00DC19D6" w14:paraId="7579D8AF" w14:textId="77777777" w:rsidTr="00DC19D6">
        <w:trPr>
          <w:trHeight w:val="20"/>
          <w:jc w:val="center"/>
        </w:trPr>
        <w:tc>
          <w:tcPr>
            <w:tcW w:w="1996" w:type="dxa"/>
            <w:vAlign w:val="center"/>
            <w:hideMark/>
          </w:tcPr>
          <w:p w14:paraId="542D1C78"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7. Meghalaya</w:t>
            </w:r>
          </w:p>
        </w:tc>
        <w:tc>
          <w:tcPr>
            <w:tcW w:w="992" w:type="dxa"/>
            <w:vAlign w:val="center"/>
            <w:hideMark/>
          </w:tcPr>
          <w:p w14:paraId="61A9FFC8"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32.23</w:t>
            </w:r>
          </w:p>
        </w:tc>
        <w:tc>
          <w:tcPr>
            <w:tcW w:w="992" w:type="dxa"/>
            <w:vAlign w:val="center"/>
            <w:hideMark/>
          </w:tcPr>
          <w:p w14:paraId="51C693D7"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13.06</w:t>
            </w:r>
          </w:p>
        </w:tc>
        <w:tc>
          <w:tcPr>
            <w:tcW w:w="1106" w:type="dxa"/>
            <w:vAlign w:val="center"/>
            <w:hideMark/>
          </w:tcPr>
          <w:p w14:paraId="4A22866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11.76</w:t>
            </w:r>
          </w:p>
        </w:tc>
        <w:tc>
          <w:tcPr>
            <w:tcW w:w="919" w:type="dxa"/>
            <w:vAlign w:val="center"/>
            <w:hideMark/>
          </w:tcPr>
          <w:p w14:paraId="298C164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1.30</w:t>
            </w:r>
          </w:p>
        </w:tc>
        <w:tc>
          <w:tcPr>
            <w:tcW w:w="1094" w:type="dxa"/>
            <w:vAlign w:val="center"/>
            <w:hideMark/>
          </w:tcPr>
          <w:p w14:paraId="7E40A13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20.47</w:t>
            </w:r>
          </w:p>
        </w:tc>
        <w:tc>
          <w:tcPr>
            <w:tcW w:w="1134" w:type="dxa"/>
            <w:vAlign w:val="center"/>
            <w:hideMark/>
          </w:tcPr>
          <w:p w14:paraId="10750CD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2.05</w:t>
            </w:r>
          </w:p>
        </w:tc>
      </w:tr>
      <w:tr w:rsidR="00FE705A" w:rsidRPr="00DC19D6" w14:paraId="073D7CA8" w14:textId="77777777" w:rsidTr="00DC19D6">
        <w:trPr>
          <w:trHeight w:val="20"/>
          <w:jc w:val="center"/>
        </w:trPr>
        <w:tc>
          <w:tcPr>
            <w:tcW w:w="1996" w:type="dxa"/>
            <w:vAlign w:val="center"/>
            <w:hideMark/>
          </w:tcPr>
          <w:p w14:paraId="5E7AB034"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8. Mizoram*</w:t>
            </w:r>
          </w:p>
        </w:tc>
        <w:tc>
          <w:tcPr>
            <w:tcW w:w="992" w:type="dxa"/>
            <w:vAlign w:val="center"/>
            <w:hideMark/>
          </w:tcPr>
          <w:p w14:paraId="23C693D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13.39</w:t>
            </w:r>
          </w:p>
        </w:tc>
        <w:tc>
          <w:tcPr>
            <w:tcW w:w="992" w:type="dxa"/>
            <w:vAlign w:val="center"/>
            <w:hideMark/>
          </w:tcPr>
          <w:p w14:paraId="14221D2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5.22</w:t>
            </w:r>
          </w:p>
        </w:tc>
        <w:tc>
          <w:tcPr>
            <w:tcW w:w="1106" w:type="dxa"/>
            <w:vAlign w:val="center"/>
            <w:hideMark/>
          </w:tcPr>
          <w:p w14:paraId="7BC56C0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4.70</w:t>
            </w:r>
          </w:p>
        </w:tc>
        <w:tc>
          <w:tcPr>
            <w:tcW w:w="919" w:type="dxa"/>
            <w:vAlign w:val="center"/>
            <w:hideMark/>
          </w:tcPr>
          <w:p w14:paraId="5FCD78D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0.52</w:t>
            </w:r>
          </w:p>
        </w:tc>
        <w:tc>
          <w:tcPr>
            <w:tcW w:w="1094" w:type="dxa"/>
            <w:vAlign w:val="center"/>
            <w:hideMark/>
          </w:tcPr>
          <w:p w14:paraId="68A0DFF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8.69</w:t>
            </w:r>
          </w:p>
        </w:tc>
        <w:tc>
          <w:tcPr>
            <w:tcW w:w="1134" w:type="dxa"/>
            <w:vAlign w:val="center"/>
            <w:hideMark/>
          </w:tcPr>
          <w:p w14:paraId="7EBBD73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0.87</w:t>
            </w:r>
          </w:p>
        </w:tc>
      </w:tr>
      <w:tr w:rsidR="00FE705A" w:rsidRPr="00DC19D6" w14:paraId="17410976" w14:textId="77777777" w:rsidTr="00DC19D6">
        <w:trPr>
          <w:trHeight w:val="20"/>
          <w:jc w:val="center"/>
        </w:trPr>
        <w:tc>
          <w:tcPr>
            <w:tcW w:w="1996" w:type="dxa"/>
            <w:vAlign w:val="center"/>
            <w:hideMark/>
          </w:tcPr>
          <w:p w14:paraId="5CE3FABE"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9. Nagaland</w:t>
            </w:r>
          </w:p>
        </w:tc>
        <w:tc>
          <w:tcPr>
            <w:tcW w:w="992" w:type="dxa"/>
            <w:vAlign w:val="center"/>
            <w:hideMark/>
          </w:tcPr>
          <w:p w14:paraId="3117305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53.58</w:t>
            </w:r>
          </w:p>
        </w:tc>
        <w:tc>
          <w:tcPr>
            <w:tcW w:w="992" w:type="dxa"/>
            <w:vAlign w:val="center"/>
            <w:hideMark/>
          </w:tcPr>
          <w:p w14:paraId="61A5D02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21.83</w:t>
            </w:r>
          </w:p>
        </w:tc>
        <w:tc>
          <w:tcPr>
            <w:tcW w:w="1106" w:type="dxa"/>
            <w:vAlign w:val="center"/>
            <w:hideMark/>
          </w:tcPr>
          <w:p w14:paraId="312FF0AB"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19.65</w:t>
            </w:r>
          </w:p>
        </w:tc>
        <w:tc>
          <w:tcPr>
            <w:tcW w:w="919" w:type="dxa"/>
            <w:vAlign w:val="center"/>
            <w:hideMark/>
          </w:tcPr>
          <w:p w14:paraId="17308AF1"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2.18</w:t>
            </w:r>
          </w:p>
        </w:tc>
        <w:tc>
          <w:tcPr>
            <w:tcW w:w="1094" w:type="dxa"/>
            <w:vAlign w:val="center"/>
            <w:hideMark/>
          </w:tcPr>
          <w:p w14:paraId="3C4F099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33.93</w:t>
            </w:r>
          </w:p>
        </w:tc>
        <w:tc>
          <w:tcPr>
            <w:tcW w:w="1134" w:type="dxa"/>
            <w:vAlign w:val="center"/>
            <w:hideMark/>
          </w:tcPr>
          <w:p w14:paraId="3F2F5E4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3.39</w:t>
            </w:r>
          </w:p>
        </w:tc>
      </w:tr>
      <w:tr w:rsidR="00FE705A" w:rsidRPr="00DC19D6" w14:paraId="74DD1BEC" w14:textId="77777777" w:rsidTr="00DC19D6">
        <w:trPr>
          <w:trHeight w:val="20"/>
          <w:jc w:val="center"/>
        </w:trPr>
        <w:tc>
          <w:tcPr>
            <w:tcW w:w="1996" w:type="dxa"/>
            <w:vAlign w:val="center"/>
            <w:hideMark/>
          </w:tcPr>
          <w:p w14:paraId="3514BFC5"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10. Sikkim</w:t>
            </w:r>
          </w:p>
        </w:tc>
        <w:tc>
          <w:tcPr>
            <w:tcW w:w="992" w:type="dxa"/>
            <w:vAlign w:val="center"/>
            <w:hideMark/>
          </w:tcPr>
          <w:p w14:paraId="780DC27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23.17</w:t>
            </w:r>
          </w:p>
        </w:tc>
        <w:tc>
          <w:tcPr>
            <w:tcW w:w="992" w:type="dxa"/>
            <w:vAlign w:val="center"/>
            <w:hideMark/>
          </w:tcPr>
          <w:p w14:paraId="42EAC15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9.50</w:t>
            </w:r>
          </w:p>
        </w:tc>
        <w:tc>
          <w:tcPr>
            <w:tcW w:w="1106" w:type="dxa"/>
            <w:vAlign w:val="center"/>
            <w:hideMark/>
          </w:tcPr>
          <w:p w14:paraId="4307627F"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8.55</w:t>
            </w:r>
          </w:p>
        </w:tc>
        <w:tc>
          <w:tcPr>
            <w:tcW w:w="919" w:type="dxa"/>
            <w:vAlign w:val="center"/>
            <w:hideMark/>
          </w:tcPr>
          <w:p w14:paraId="0D5A77B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0.95</w:t>
            </w:r>
          </w:p>
        </w:tc>
        <w:tc>
          <w:tcPr>
            <w:tcW w:w="1094" w:type="dxa"/>
            <w:vAlign w:val="center"/>
            <w:hideMark/>
          </w:tcPr>
          <w:p w14:paraId="62AF1ED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14.62</w:t>
            </w:r>
          </w:p>
        </w:tc>
        <w:tc>
          <w:tcPr>
            <w:tcW w:w="1134" w:type="dxa"/>
            <w:vAlign w:val="center"/>
            <w:hideMark/>
          </w:tcPr>
          <w:p w14:paraId="733FE26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1.46</w:t>
            </w:r>
          </w:p>
        </w:tc>
      </w:tr>
      <w:tr w:rsidR="00FE705A" w:rsidRPr="00DC19D6" w14:paraId="65A5BE7A" w14:textId="77777777" w:rsidTr="00DC19D6">
        <w:trPr>
          <w:trHeight w:val="20"/>
          <w:jc w:val="center"/>
        </w:trPr>
        <w:tc>
          <w:tcPr>
            <w:tcW w:w="1996" w:type="dxa"/>
            <w:vAlign w:val="center"/>
            <w:hideMark/>
          </w:tcPr>
          <w:p w14:paraId="618527D7" w14:textId="77777777" w:rsidR="00FE705A" w:rsidRPr="00DC19D6" w:rsidRDefault="00FE705A" w:rsidP="00AC6710">
            <w:pPr>
              <w:pStyle w:val="NoSpacing"/>
              <w:rPr>
                <w:rFonts w:ascii="Times New Roman" w:hAnsi="Times New Roman" w:cs="Times New Roman"/>
                <w:sz w:val="16"/>
                <w:szCs w:val="16"/>
              </w:rPr>
            </w:pPr>
            <w:r w:rsidRPr="00DC19D6">
              <w:rPr>
                <w:rFonts w:ascii="Times New Roman" w:hAnsi="Times New Roman" w:cs="Times New Roman"/>
                <w:sz w:val="16"/>
                <w:szCs w:val="16"/>
              </w:rPr>
              <w:t>11. Tripura</w:t>
            </w:r>
          </w:p>
        </w:tc>
        <w:tc>
          <w:tcPr>
            <w:tcW w:w="992" w:type="dxa"/>
            <w:vAlign w:val="center"/>
            <w:hideMark/>
          </w:tcPr>
          <w:p w14:paraId="4C564DB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43.43</w:t>
            </w:r>
          </w:p>
        </w:tc>
        <w:tc>
          <w:tcPr>
            <w:tcW w:w="992" w:type="dxa"/>
            <w:vAlign w:val="center"/>
            <w:hideMark/>
          </w:tcPr>
          <w:p w14:paraId="25F0C49E"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17.71</w:t>
            </w:r>
          </w:p>
        </w:tc>
        <w:tc>
          <w:tcPr>
            <w:tcW w:w="1106" w:type="dxa"/>
            <w:vAlign w:val="center"/>
            <w:hideMark/>
          </w:tcPr>
          <w:p w14:paraId="20B3B86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15.94</w:t>
            </w:r>
          </w:p>
        </w:tc>
        <w:tc>
          <w:tcPr>
            <w:tcW w:w="919" w:type="dxa"/>
            <w:vAlign w:val="center"/>
            <w:hideMark/>
          </w:tcPr>
          <w:p w14:paraId="29B5A9C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1.77</w:t>
            </w:r>
          </w:p>
        </w:tc>
        <w:tc>
          <w:tcPr>
            <w:tcW w:w="1094" w:type="dxa"/>
            <w:vAlign w:val="center"/>
            <w:hideMark/>
          </w:tcPr>
          <w:p w14:paraId="393DE0ED"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27.49</w:t>
            </w:r>
          </w:p>
        </w:tc>
        <w:tc>
          <w:tcPr>
            <w:tcW w:w="1134" w:type="dxa"/>
            <w:vAlign w:val="center"/>
            <w:hideMark/>
          </w:tcPr>
          <w:p w14:paraId="15EAA417"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2.75</w:t>
            </w:r>
          </w:p>
        </w:tc>
      </w:tr>
      <w:tr w:rsidR="00FE705A" w:rsidRPr="00DC19D6" w14:paraId="7493A964" w14:textId="77777777" w:rsidTr="00DC19D6">
        <w:trPr>
          <w:trHeight w:val="20"/>
          <w:jc w:val="center"/>
        </w:trPr>
        <w:tc>
          <w:tcPr>
            <w:tcW w:w="1996" w:type="dxa"/>
            <w:vAlign w:val="center"/>
            <w:hideMark/>
          </w:tcPr>
          <w:p w14:paraId="22892A09" w14:textId="77777777" w:rsidR="00FE705A" w:rsidRPr="00DC19D6" w:rsidRDefault="00FE705A" w:rsidP="00AC6710">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TOTAL - IV</w:t>
            </w:r>
          </w:p>
        </w:tc>
        <w:tc>
          <w:tcPr>
            <w:tcW w:w="992" w:type="dxa"/>
            <w:vAlign w:val="center"/>
            <w:hideMark/>
          </w:tcPr>
          <w:p w14:paraId="031E5B56"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2733.79</w:t>
            </w:r>
          </w:p>
        </w:tc>
        <w:tc>
          <w:tcPr>
            <w:tcW w:w="992" w:type="dxa"/>
            <w:vAlign w:val="center"/>
            <w:hideMark/>
          </w:tcPr>
          <w:p w14:paraId="3EA2B155"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1111.17</w:t>
            </w:r>
          </w:p>
        </w:tc>
        <w:tc>
          <w:tcPr>
            <w:tcW w:w="1106" w:type="dxa"/>
            <w:vAlign w:val="center"/>
            <w:hideMark/>
          </w:tcPr>
          <w:p w14:paraId="0279E17A"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1000.86</w:t>
            </w:r>
          </w:p>
        </w:tc>
        <w:tc>
          <w:tcPr>
            <w:tcW w:w="919" w:type="dxa"/>
            <w:vAlign w:val="center"/>
            <w:hideMark/>
          </w:tcPr>
          <w:p w14:paraId="18CBB667"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111.11</w:t>
            </w:r>
          </w:p>
        </w:tc>
        <w:tc>
          <w:tcPr>
            <w:tcW w:w="1094" w:type="dxa"/>
            <w:vAlign w:val="center"/>
            <w:hideMark/>
          </w:tcPr>
          <w:p w14:paraId="5A213FE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1733.73</w:t>
            </w:r>
          </w:p>
        </w:tc>
        <w:tc>
          <w:tcPr>
            <w:tcW w:w="1134" w:type="dxa"/>
            <w:vAlign w:val="center"/>
            <w:hideMark/>
          </w:tcPr>
          <w:p w14:paraId="489E1B8C"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173.37</w:t>
            </w:r>
          </w:p>
        </w:tc>
      </w:tr>
      <w:tr w:rsidR="00FE705A" w:rsidRPr="00DC19D6" w14:paraId="18FF58D1" w14:textId="77777777" w:rsidTr="00DC19D6">
        <w:trPr>
          <w:trHeight w:val="20"/>
          <w:jc w:val="center"/>
        </w:trPr>
        <w:tc>
          <w:tcPr>
            <w:tcW w:w="1996" w:type="dxa"/>
            <w:vAlign w:val="center"/>
            <w:hideMark/>
          </w:tcPr>
          <w:p w14:paraId="5FD651DE" w14:textId="77777777" w:rsidR="00FE705A" w:rsidRPr="00DC19D6" w:rsidRDefault="00FE705A" w:rsidP="00AC6710">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Total All States (I to IV)</w:t>
            </w:r>
          </w:p>
        </w:tc>
        <w:tc>
          <w:tcPr>
            <w:tcW w:w="992" w:type="dxa"/>
            <w:vAlign w:val="center"/>
            <w:hideMark/>
          </w:tcPr>
          <w:p w14:paraId="3C0FAB4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14578.17</w:t>
            </w:r>
          </w:p>
        </w:tc>
        <w:tc>
          <w:tcPr>
            <w:tcW w:w="992" w:type="dxa"/>
            <w:vAlign w:val="center"/>
            <w:hideMark/>
          </w:tcPr>
          <w:p w14:paraId="4029D540"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5949.97</w:t>
            </w:r>
          </w:p>
        </w:tc>
        <w:tc>
          <w:tcPr>
            <w:tcW w:w="1106" w:type="dxa"/>
            <w:vAlign w:val="center"/>
            <w:hideMark/>
          </w:tcPr>
          <w:p w14:paraId="1FE6BCA9"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5455.85</w:t>
            </w:r>
          </w:p>
        </w:tc>
        <w:tc>
          <w:tcPr>
            <w:tcW w:w="919" w:type="dxa"/>
            <w:vAlign w:val="center"/>
            <w:hideMark/>
          </w:tcPr>
          <w:p w14:paraId="71E07303"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494.12</w:t>
            </w:r>
          </w:p>
        </w:tc>
        <w:tc>
          <w:tcPr>
            <w:tcW w:w="1094" w:type="dxa"/>
            <w:vAlign w:val="center"/>
            <w:hideMark/>
          </w:tcPr>
          <w:p w14:paraId="4AA92F34"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9122.32</w:t>
            </w:r>
          </w:p>
        </w:tc>
        <w:tc>
          <w:tcPr>
            <w:tcW w:w="1134" w:type="dxa"/>
            <w:vAlign w:val="center"/>
            <w:hideMark/>
          </w:tcPr>
          <w:p w14:paraId="5784B422" w14:textId="77777777" w:rsidR="00FE705A" w:rsidRPr="00DC19D6" w:rsidRDefault="00FE705A" w:rsidP="00AC6710">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912.23</w:t>
            </w:r>
          </w:p>
        </w:tc>
      </w:tr>
    </w:tbl>
    <w:p w14:paraId="7513C692" w14:textId="57099180" w:rsidR="004D6890" w:rsidRPr="00DC19D6" w:rsidRDefault="00AC6710" w:rsidP="00DC19D6">
      <w:pPr>
        <w:tabs>
          <w:tab w:val="left" w:pos="3192"/>
        </w:tabs>
        <w:ind w:left="2160"/>
        <w:rPr>
          <w:rFonts w:ascii="Times New Roman" w:hAnsi="Times New Roman" w:cs="Times New Roman"/>
          <w:sz w:val="16"/>
          <w:szCs w:val="16"/>
        </w:rPr>
      </w:pPr>
      <w:r w:rsidRPr="00DC19D6">
        <w:rPr>
          <w:rFonts w:ascii="Times New Roman" w:hAnsi="Times New Roman" w:cs="Times New Roman"/>
          <w:sz w:val="16"/>
          <w:szCs w:val="16"/>
        </w:rPr>
        <w:t>*</w:t>
      </w:r>
      <w:r w:rsidR="004D6890" w:rsidRPr="00DC19D6">
        <w:rPr>
          <w:rFonts w:ascii="Times New Roman" w:hAnsi="Times New Roman" w:cs="Times New Roman"/>
          <w:sz w:val="16"/>
          <w:szCs w:val="16"/>
        </w:rPr>
        <w:t>Loan sanctioned in 1987-89 only one consider.</w:t>
      </w:r>
      <w:r w:rsidR="004D6890" w:rsidRPr="00DC19D6">
        <w:rPr>
          <w:rFonts w:ascii="Times New Roman" w:hAnsi="Times New Roman" w:cs="Times New Roman"/>
          <w:sz w:val="16"/>
          <w:szCs w:val="16"/>
        </w:rPr>
        <w:tab/>
      </w:r>
      <w:r w:rsidR="004D6890" w:rsidRPr="00DC19D6">
        <w:rPr>
          <w:rFonts w:ascii="Times New Roman" w:hAnsi="Times New Roman" w:cs="Times New Roman"/>
          <w:sz w:val="16"/>
          <w:szCs w:val="16"/>
        </w:rPr>
        <w:tab/>
      </w:r>
    </w:p>
    <w:p w14:paraId="40D9067A" w14:textId="7C8DA143" w:rsidR="00AC6710" w:rsidRPr="00DC19D6" w:rsidRDefault="00FE705A" w:rsidP="00645A34">
      <w:pPr>
        <w:pStyle w:val="Heading2"/>
        <w:rPr>
          <w:sz w:val="20"/>
          <w:szCs w:val="20"/>
        </w:rPr>
      </w:pPr>
      <w:bookmarkStart w:id="129" w:name="_Toc221293023"/>
      <w:bookmarkStart w:id="130" w:name="_Toc222399512"/>
      <w:r w:rsidRPr="00DC19D6">
        <w:rPr>
          <w:sz w:val="20"/>
          <w:szCs w:val="20"/>
        </w:rPr>
        <w:lastRenderedPageBreak/>
        <w:t>A</w:t>
      </w:r>
      <w:r w:rsidR="000D57BD" w:rsidRPr="00DC19D6">
        <w:rPr>
          <w:sz w:val="20"/>
          <w:szCs w:val="20"/>
        </w:rPr>
        <w:t>NNEXURE</w:t>
      </w:r>
      <w:r w:rsidRPr="00DC19D6">
        <w:rPr>
          <w:sz w:val="20"/>
          <w:szCs w:val="20"/>
        </w:rPr>
        <w:t xml:space="preserve"> IX.6</w:t>
      </w:r>
      <w:r w:rsidR="004D6890" w:rsidRPr="00DC19D6">
        <w:rPr>
          <w:sz w:val="20"/>
          <w:szCs w:val="20"/>
        </w:rPr>
        <w:t xml:space="preserve"> </w:t>
      </w:r>
      <w:r w:rsidR="00AC6710" w:rsidRPr="00DC19D6">
        <w:rPr>
          <w:sz w:val="20"/>
          <w:szCs w:val="20"/>
        </w:rPr>
        <w:br/>
      </w:r>
      <w:r w:rsidR="004D6890" w:rsidRPr="00DC19D6">
        <w:rPr>
          <w:sz w:val="20"/>
          <w:szCs w:val="20"/>
        </w:rPr>
        <w:t>Summary of Debt Relief During 1990-95</w:t>
      </w:r>
      <w:bookmarkEnd w:id="129"/>
      <w:bookmarkEnd w:id="130"/>
      <w:r w:rsidR="004D6890" w:rsidRPr="00DC19D6">
        <w:rPr>
          <w:sz w:val="20"/>
          <w:szCs w:val="20"/>
        </w:rPr>
        <w:tab/>
      </w:r>
    </w:p>
    <w:p w14:paraId="7AABFB0F" w14:textId="1D686D79" w:rsidR="0084657D" w:rsidRDefault="00AC6710" w:rsidP="00DC19D6">
      <w:pPr>
        <w:tabs>
          <w:tab w:val="left" w:pos="3192"/>
        </w:tabs>
        <w:spacing w:after="0"/>
        <w:jc w:val="center"/>
        <w:rPr>
          <w:rFonts w:ascii="Times New Roman" w:hAnsi="Times New Roman" w:cs="Times New Roman"/>
          <w:sz w:val="18"/>
          <w:szCs w:val="18"/>
        </w:rPr>
      </w:pPr>
      <w:r w:rsidRPr="00AA6AF4">
        <w:rPr>
          <w:rFonts w:ascii="Times New Roman" w:hAnsi="Times New Roman" w:cs="Times New Roman"/>
          <w:i/>
          <w:iCs/>
          <w:sz w:val="18"/>
          <w:szCs w:val="18"/>
        </w:rPr>
        <w:t>(Para 9.28)</w:t>
      </w:r>
    </w:p>
    <w:p w14:paraId="17904C7E" w14:textId="1F30B1AB" w:rsidR="00645A34" w:rsidRPr="00645A34" w:rsidRDefault="00DC19D6" w:rsidP="00DC19D6">
      <w:pPr>
        <w:tabs>
          <w:tab w:val="left" w:pos="3192"/>
        </w:tabs>
        <w:spacing w:after="0"/>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sidR="004D6890" w:rsidRPr="00AA6AF4">
        <w:rPr>
          <w:rFonts w:ascii="Times New Roman" w:hAnsi="Times New Roman" w:cs="Times New Roman"/>
          <w:i/>
          <w:iCs/>
          <w:sz w:val="18"/>
          <w:szCs w:val="18"/>
        </w:rPr>
        <w:t>(Rs. Crore)</w:t>
      </w:r>
    </w:p>
    <w:tbl>
      <w:tblPr>
        <w:tblStyle w:val="TableGrid"/>
        <w:tblpPr w:leftFromText="180" w:rightFromText="180" w:vertAnchor="text" w:horzAnchor="margin" w:tblpXSpec="center" w:tblpY="48"/>
        <w:tblW w:w="8217" w:type="dxa"/>
        <w:tblLook w:val="04A0" w:firstRow="1" w:lastRow="0" w:firstColumn="1" w:lastColumn="0" w:noHBand="0" w:noVBand="1"/>
      </w:tblPr>
      <w:tblGrid>
        <w:gridCol w:w="1838"/>
        <w:gridCol w:w="1134"/>
        <w:gridCol w:w="1134"/>
        <w:gridCol w:w="1418"/>
        <w:gridCol w:w="1559"/>
        <w:gridCol w:w="1134"/>
      </w:tblGrid>
      <w:tr w:rsidR="00DC19D6" w:rsidRPr="00DC19D6" w14:paraId="00285E83" w14:textId="77777777" w:rsidTr="00DC19D6">
        <w:trPr>
          <w:trHeight w:val="20"/>
        </w:trPr>
        <w:tc>
          <w:tcPr>
            <w:tcW w:w="1838" w:type="dxa"/>
            <w:vAlign w:val="center"/>
            <w:hideMark/>
          </w:tcPr>
          <w:p w14:paraId="371EDF96"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States</w:t>
            </w:r>
          </w:p>
        </w:tc>
        <w:tc>
          <w:tcPr>
            <w:tcW w:w="1134" w:type="dxa"/>
            <w:vAlign w:val="center"/>
            <w:hideMark/>
          </w:tcPr>
          <w:p w14:paraId="36743DDB"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Loan of Erstwhile UTs</w:t>
            </w:r>
          </w:p>
        </w:tc>
        <w:tc>
          <w:tcPr>
            <w:tcW w:w="1134" w:type="dxa"/>
            <w:vAlign w:val="center"/>
            <w:hideMark/>
          </w:tcPr>
          <w:p w14:paraId="2475D586"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Drought Loans</w:t>
            </w:r>
          </w:p>
        </w:tc>
        <w:tc>
          <w:tcPr>
            <w:tcW w:w="1418" w:type="dxa"/>
            <w:vAlign w:val="center"/>
            <w:hideMark/>
          </w:tcPr>
          <w:p w14:paraId="578D3CC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Loans for Bhopal Gas Leak Tragedy</w:t>
            </w:r>
          </w:p>
        </w:tc>
        <w:tc>
          <w:tcPr>
            <w:tcW w:w="1559" w:type="dxa"/>
            <w:vAlign w:val="center"/>
            <w:hideMark/>
          </w:tcPr>
          <w:p w14:paraId="6061D351"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 xml:space="preserve">Relief on Loans </w:t>
            </w:r>
            <w:proofErr w:type="gramStart"/>
            <w:r w:rsidRPr="00DC19D6">
              <w:rPr>
                <w:rFonts w:ascii="Times New Roman" w:hAnsi="Times New Roman" w:cs="Times New Roman"/>
                <w:sz w:val="16"/>
                <w:szCs w:val="16"/>
              </w:rPr>
              <w:t>For</w:t>
            </w:r>
            <w:proofErr w:type="gramEnd"/>
            <w:r w:rsidRPr="00DC19D6">
              <w:rPr>
                <w:rFonts w:ascii="Times New Roman" w:hAnsi="Times New Roman" w:cs="Times New Roman"/>
                <w:sz w:val="16"/>
                <w:szCs w:val="16"/>
              </w:rPr>
              <w:t xml:space="preserve"> State Plan Scheme</w:t>
            </w:r>
          </w:p>
        </w:tc>
        <w:tc>
          <w:tcPr>
            <w:tcW w:w="1134" w:type="dxa"/>
            <w:vAlign w:val="center"/>
            <w:hideMark/>
          </w:tcPr>
          <w:p w14:paraId="23F4C4A3"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Total</w:t>
            </w:r>
          </w:p>
        </w:tc>
      </w:tr>
      <w:tr w:rsidR="00DC19D6" w:rsidRPr="00DC19D6" w14:paraId="6288C2B3" w14:textId="77777777" w:rsidTr="00DC19D6">
        <w:trPr>
          <w:trHeight w:val="20"/>
        </w:trPr>
        <w:tc>
          <w:tcPr>
            <w:tcW w:w="1838" w:type="dxa"/>
            <w:vAlign w:val="center"/>
            <w:hideMark/>
          </w:tcPr>
          <w:p w14:paraId="27BE6B08"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 Andhra Pradesh</w:t>
            </w:r>
          </w:p>
        </w:tc>
        <w:tc>
          <w:tcPr>
            <w:tcW w:w="1134" w:type="dxa"/>
            <w:vAlign w:val="center"/>
            <w:hideMark/>
          </w:tcPr>
          <w:p w14:paraId="4F1CE886"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3114402"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2.09</w:t>
            </w:r>
          </w:p>
        </w:tc>
        <w:tc>
          <w:tcPr>
            <w:tcW w:w="1418" w:type="dxa"/>
            <w:vAlign w:val="center"/>
            <w:hideMark/>
          </w:tcPr>
          <w:p w14:paraId="686AC6B5"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6356009E"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41.65</w:t>
            </w:r>
          </w:p>
        </w:tc>
        <w:tc>
          <w:tcPr>
            <w:tcW w:w="1134" w:type="dxa"/>
            <w:vAlign w:val="center"/>
            <w:hideMark/>
          </w:tcPr>
          <w:p w14:paraId="756298B1"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43.74</w:t>
            </w:r>
          </w:p>
        </w:tc>
      </w:tr>
      <w:tr w:rsidR="00DC19D6" w:rsidRPr="00DC19D6" w14:paraId="75408109" w14:textId="77777777" w:rsidTr="00DC19D6">
        <w:trPr>
          <w:trHeight w:val="20"/>
        </w:trPr>
        <w:tc>
          <w:tcPr>
            <w:tcW w:w="1838" w:type="dxa"/>
            <w:vAlign w:val="center"/>
            <w:hideMark/>
          </w:tcPr>
          <w:p w14:paraId="33A2255E"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 Arunachal Pradesh</w:t>
            </w:r>
          </w:p>
        </w:tc>
        <w:tc>
          <w:tcPr>
            <w:tcW w:w="1134" w:type="dxa"/>
            <w:vAlign w:val="center"/>
            <w:hideMark/>
          </w:tcPr>
          <w:p w14:paraId="6E8066E7"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116.48</w:t>
            </w:r>
          </w:p>
        </w:tc>
        <w:tc>
          <w:tcPr>
            <w:tcW w:w="1134" w:type="dxa"/>
            <w:vAlign w:val="center"/>
            <w:hideMark/>
          </w:tcPr>
          <w:p w14:paraId="4EF8B15D"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35B929F5"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B8B686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0.83</w:t>
            </w:r>
          </w:p>
        </w:tc>
        <w:tc>
          <w:tcPr>
            <w:tcW w:w="1134" w:type="dxa"/>
            <w:vAlign w:val="center"/>
            <w:hideMark/>
          </w:tcPr>
          <w:p w14:paraId="4E32284A"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117.31</w:t>
            </w:r>
          </w:p>
        </w:tc>
      </w:tr>
      <w:tr w:rsidR="00DC19D6" w:rsidRPr="00DC19D6" w14:paraId="2F2D68F4" w14:textId="77777777" w:rsidTr="00DC19D6">
        <w:trPr>
          <w:trHeight w:val="20"/>
        </w:trPr>
        <w:tc>
          <w:tcPr>
            <w:tcW w:w="1838" w:type="dxa"/>
            <w:vAlign w:val="center"/>
            <w:hideMark/>
          </w:tcPr>
          <w:p w14:paraId="46A33486"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3. Assam</w:t>
            </w:r>
          </w:p>
        </w:tc>
        <w:tc>
          <w:tcPr>
            <w:tcW w:w="1134" w:type="dxa"/>
            <w:vAlign w:val="center"/>
            <w:hideMark/>
          </w:tcPr>
          <w:p w14:paraId="7E22D510"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1954C598"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42D1895"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3114E718"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49.69</w:t>
            </w:r>
          </w:p>
        </w:tc>
        <w:tc>
          <w:tcPr>
            <w:tcW w:w="1134" w:type="dxa"/>
            <w:vAlign w:val="center"/>
            <w:hideMark/>
          </w:tcPr>
          <w:p w14:paraId="09F24AD4"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49.69</w:t>
            </w:r>
          </w:p>
        </w:tc>
      </w:tr>
      <w:tr w:rsidR="00DC19D6" w:rsidRPr="00DC19D6" w14:paraId="4BF4D8D7" w14:textId="77777777" w:rsidTr="00DC19D6">
        <w:trPr>
          <w:trHeight w:val="20"/>
        </w:trPr>
        <w:tc>
          <w:tcPr>
            <w:tcW w:w="1838" w:type="dxa"/>
            <w:vAlign w:val="center"/>
            <w:hideMark/>
          </w:tcPr>
          <w:p w14:paraId="7C202C7B"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4. Bihar</w:t>
            </w:r>
          </w:p>
        </w:tc>
        <w:tc>
          <w:tcPr>
            <w:tcW w:w="1134" w:type="dxa"/>
            <w:vAlign w:val="center"/>
            <w:hideMark/>
          </w:tcPr>
          <w:p w14:paraId="795774B3"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B24E759"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41CBFF99"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4A19683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27.64</w:t>
            </w:r>
          </w:p>
        </w:tc>
        <w:tc>
          <w:tcPr>
            <w:tcW w:w="1134" w:type="dxa"/>
            <w:vAlign w:val="center"/>
            <w:hideMark/>
          </w:tcPr>
          <w:p w14:paraId="4BC126A8"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27.64</w:t>
            </w:r>
          </w:p>
        </w:tc>
      </w:tr>
      <w:tr w:rsidR="00DC19D6" w:rsidRPr="00DC19D6" w14:paraId="5378217E" w14:textId="77777777" w:rsidTr="00DC19D6">
        <w:trPr>
          <w:trHeight w:val="20"/>
        </w:trPr>
        <w:tc>
          <w:tcPr>
            <w:tcW w:w="1838" w:type="dxa"/>
            <w:vAlign w:val="center"/>
            <w:hideMark/>
          </w:tcPr>
          <w:p w14:paraId="0B2F99D5"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5. Goa</w:t>
            </w:r>
          </w:p>
        </w:tc>
        <w:tc>
          <w:tcPr>
            <w:tcW w:w="1134" w:type="dxa"/>
            <w:vAlign w:val="center"/>
            <w:hideMark/>
          </w:tcPr>
          <w:p w14:paraId="3C2D3F2B"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23.32</w:t>
            </w:r>
          </w:p>
        </w:tc>
        <w:tc>
          <w:tcPr>
            <w:tcW w:w="1134" w:type="dxa"/>
            <w:vAlign w:val="center"/>
            <w:hideMark/>
          </w:tcPr>
          <w:p w14:paraId="2EDD36B4"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7788684F"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4716A57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5.52</w:t>
            </w:r>
          </w:p>
        </w:tc>
        <w:tc>
          <w:tcPr>
            <w:tcW w:w="1134" w:type="dxa"/>
            <w:vAlign w:val="center"/>
            <w:hideMark/>
          </w:tcPr>
          <w:p w14:paraId="4AD7CA4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28.84</w:t>
            </w:r>
          </w:p>
        </w:tc>
      </w:tr>
      <w:tr w:rsidR="00DC19D6" w:rsidRPr="00DC19D6" w14:paraId="2E9B431B" w14:textId="77777777" w:rsidTr="00DC19D6">
        <w:trPr>
          <w:trHeight w:val="20"/>
        </w:trPr>
        <w:tc>
          <w:tcPr>
            <w:tcW w:w="1838" w:type="dxa"/>
            <w:vAlign w:val="center"/>
            <w:hideMark/>
          </w:tcPr>
          <w:p w14:paraId="42A9C9D9"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6. Gujarat</w:t>
            </w:r>
          </w:p>
        </w:tc>
        <w:tc>
          <w:tcPr>
            <w:tcW w:w="1134" w:type="dxa"/>
            <w:vAlign w:val="center"/>
            <w:hideMark/>
          </w:tcPr>
          <w:p w14:paraId="06B152F7"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5BC88BF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63.56</w:t>
            </w:r>
          </w:p>
        </w:tc>
        <w:tc>
          <w:tcPr>
            <w:tcW w:w="1418" w:type="dxa"/>
            <w:vAlign w:val="center"/>
            <w:hideMark/>
          </w:tcPr>
          <w:p w14:paraId="37AF8D4E"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64CCB0BE"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19.11</w:t>
            </w:r>
          </w:p>
        </w:tc>
        <w:tc>
          <w:tcPr>
            <w:tcW w:w="1134" w:type="dxa"/>
            <w:vAlign w:val="center"/>
            <w:hideMark/>
          </w:tcPr>
          <w:p w14:paraId="1BA546D6"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82.67</w:t>
            </w:r>
          </w:p>
        </w:tc>
      </w:tr>
      <w:tr w:rsidR="00DC19D6" w:rsidRPr="00DC19D6" w14:paraId="4E74DCC6" w14:textId="77777777" w:rsidTr="00DC19D6">
        <w:trPr>
          <w:trHeight w:val="20"/>
        </w:trPr>
        <w:tc>
          <w:tcPr>
            <w:tcW w:w="1838" w:type="dxa"/>
            <w:vAlign w:val="center"/>
            <w:hideMark/>
          </w:tcPr>
          <w:p w14:paraId="156A219A"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7. Haryana</w:t>
            </w:r>
          </w:p>
        </w:tc>
        <w:tc>
          <w:tcPr>
            <w:tcW w:w="1134" w:type="dxa"/>
            <w:vAlign w:val="center"/>
            <w:hideMark/>
          </w:tcPr>
          <w:p w14:paraId="2397CCAA"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119366A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1.85</w:t>
            </w:r>
          </w:p>
        </w:tc>
        <w:tc>
          <w:tcPr>
            <w:tcW w:w="1418" w:type="dxa"/>
            <w:vAlign w:val="center"/>
            <w:hideMark/>
          </w:tcPr>
          <w:p w14:paraId="5ED701A4"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7966E803"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6.11</w:t>
            </w:r>
          </w:p>
        </w:tc>
        <w:tc>
          <w:tcPr>
            <w:tcW w:w="1134" w:type="dxa"/>
            <w:vAlign w:val="center"/>
            <w:hideMark/>
          </w:tcPr>
          <w:p w14:paraId="7BDFA975"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7.96</w:t>
            </w:r>
          </w:p>
        </w:tc>
      </w:tr>
      <w:tr w:rsidR="00DC19D6" w:rsidRPr="00DC19D6" w14:paraId="6DA37FA8" w14:textId="77777777" w:rsidTr="00DC19D6">
        <w:trPr>
          <w:trHeight w:val="20"/>
        </w:trPr>
        <w:tc>
          <w:tcPr>
            <w:tcW w:w="1838" w:type="dxa"/>
            <w:vAlign w:val="center"/>
            <w:hideMark/>
          </w:tcPr>
          <w:p w14:paraId="744667BA"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8. Himachal Pradesh</w:t>
            </w:r>
          </w:p>
        </w:tc>
        <w:tc>
          <w:tcPr>
            <w:tcW w:w="1134" w:type="dxa"/>
            <w:vAlign w:val="center"/>
            <w:hideMark/>
          </w:tcPr>
          <w:p w14:paraId="4C063591"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541E434"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1.08</w:t>
            </w:r>
          </w:p>
        </w:tc>
        <w:tc>
          <w:tcPr>
            <w:tcW w:w="1418" w:type="dxa"/>
            <w:vAlign w:val="center"/>
            <w:hideMark/>
          </w:tcPr>
          <w:p w14:paraId="6BDC6146"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008CB817"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3.49</w:t>
            </w:r>
          </w:p>
        </w:tc>
        <w:tc>
          <w:tcPr>
            <w:tcW w:w="1134" w:type="dxa"/>
            <w:vAlign w:val="center"/>
            <w:hideMark/>
          </w:tcPr>
          <w:p w14:paraId="317EEEF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4.57</w:t>
            </w:r>
          </w:p>
        </w:tc>
      </w:tr>
      <w:tr w:rsidR="00DC19D6" w:rsidRPr="00DC19D6" w14:paraId="20D1FF7B" w14:textId="77777777" w:rsidTr="00DC19D6">
        <w:trPr>
          <w:trHeight w:val="20"/>
        </w:trPr>
        <w:tc>
          <w:tcPr>
            <w:tcW w:w="1838" w:type="dxa"/>
            <w:vAlign w:val="center"/>
            <w:hideMark/>
          </w:tcPr>
          <w:p w14:paraId="34653F43"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9. Jammu and Kashmir</w:t>
            </w:r>
          </w:p>
        </w:tc>
        <w:tc>
          <w:tcPr>
            <w:tcW w:w="1134" w:type="dxa"/>
            <w:vAlign w:val="center"/>
            <w:hideMark/>
          </w:tcPr>
          <w:p w14:paraId="2B38CCE0"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3D18778E"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EAF55AE"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5776DEE8"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43.25</w:t>
            </w:r>
          </w:p>
        </w:tc>
        <w:tc>
          <w:tcPr>
            <w:tcW w:w="1134" w:type="dxa"/>
            <w:vAlign w:val="center"/>
            <w:hideMark/>
          </w:tcPr>
          <w:p w14:paraId="06525D4D"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43.25</w:t>
            </w:r>
          </w:p>
        </w:tc>
      </w:tr>
      <w:tr w:rsidR="00DC19D6" w:rsidRPr="00DC19D6" w14:paraId="3AF65FFE" w14:textId="77777777" w:rsidTr="00DC19D6">
        <w:trPr>
          <w:trHeight w:val="20"/>
        </w:trPr>
        <w:tc>
          <w:tcPr>
            <w:tcW w:w="1838" w:type="dxa"/>
            <w:vAlign w:val="center"/>
            <w:hideMark/>
          </w:tcPr>
          <w:p w14:paraId="3342E77A"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10. Karnataka</w:t>
            </w:r>
          </w:p>
        </w:tc>
        <w:tc>
          <w:tcPr>
            <w:tcW w:w="1134" w:type="dxa"/>
            <w:vAlign w:val="center"/>
            <w:hideMark/>
          </w:tcPr>
          <w:p w14:paraId="28B70C56"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116110FE"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2.06</w:t>
            </w:r>
          </w:p>
        </w:tc>
        <w:tc>
          <w:tcPr>
            <w:tcW w:w="1418" w:type="dxa"/>
            <w:vAlign w:val="center"/>
            <w:hideMark/>
          </w:tcPr>
          <w:p w14:paraId="53D59A44"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448C132C"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24.21</w:t>
            </w:r>
          </w:p>
        </w:tc>
        <w:tc>
          <w:tcPr>
            <w:tcW w:w="1134" w:type="dxa"/>
            <w:vAlign w:val="center"/>
            <w:hideMark/>
          </w:tcPr>
          <w:p w14:paraId="4CC84B1C"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26.27</w:t>
            </w:r>
          </w:p>
        </w:tc>
      </w:tr>
      <w:tr w:rsidR="00DC19D6" w:rsidRPr="00DC19D6" w14:paraId="3535CE03" w14:textId="77777777" w:rsidTr="00DC19D6">
        <w:trPr>
          <w:trHeight w:val="20"/>
        </w:trPr>
        <w:tc>
          <w:tcPr>
            <w:tcW w:w="1838" w:type="dxa"/>
            <w:vAlign w:val="center"/>
            <w:hideMark/>
          </w:tcPr>
          <w:p w14:paraId="18CD5F8E"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11. Kerala</w:t>
            </w:r>
          </w:p>
        </w:tc>
        <w:tc>
          <w:tcPr>
            <w:tcW w:w="1134" w:type="dxa"/>
            <w:vAlign w:val="center"/>
            <w:hideMark/>
          </w:tcPr>
          <w:p w14:paraId="19D77A9E"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7A87C36E"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3.88</w:t>
            </w:r>
          </w:p>
        </w:tc>
        <w:tc>
          <w:tcPr>
            <w:tcW w:w="1418" w:type="dxa"/>
            <w:vAlign w:val="center"/>
            <w:hideMark/>
          </w:tcPr>
          <w:p w14:paraId="45615077"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4158C8A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12.55</w:t>
            </w:r>
          </w:p>
        </w:tc>
        <w:tc>
          <w:tcPr>
            <w:tcW w:w="1134" w:type="dxa"/>
            <w:vAlign w:val="center"/>
            <w:hideMark/>
          </w:tcPr>
          <w:p w14:paraId="0616D6A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16.43</w:t>
            </w:r>
          </w:p>
        </w:tc>
      </w:tr>
      <w:tr w:rsidR="00DC19D6" w:rsidRPr="00DC19D6" w14:paraId="41B364B0" w14:textId="77777777" w:rsidTr="00DC19D6">
        <w:trPr>
          <w:trHeight w:val="20"/>
        </w:trPr>
        <w:tc>
          <w:tcPr>
            <w:tcW w:w="1838" w:type="dxa"/>
            <w:vAlign w:val="center"/>
            <w:hideMark/>
          </w:tcPr>
          <w:p w14:paraId="6C2D20E7"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12. Madhya Pradesh</w:t>
            </w:r>
          </w:p>
        </w:tc>
        <w:tc>
          <w:tcPr>
            <w:tcW w:w="1134" w:type="dxa"/>
            <w:vAlign w:val="center"/>
            <w:hideMark/>
          </w:tcPr>
          <w:p w14:paraId="1A5439A1"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C3384C5"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4F7944A5"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91.62</w:t>
            </w:r>
          </w:p>
        </w:tc>
        <w:tc>
          <w:tcPr>
            <w:tcW w:w="1559" w:type="dxa"/>
            <w:vAlign w:val="center"/>
            <w:hideMark/>
          </w:tcPr>
          <w:p w14:paraId="7A4B47ED"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39.10</w:t>
            </w:r>
          </w:p>
        </w:tc>
        <w:tc>
          <w:tcPr>
            <w:tcW w:w="1134" w:type="dxa"/>
            <w:vAlign w:val="center"/>
            <w:hideMark/>
          </w:tcPr>
          <w:p w14:paraId="35135512"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130.72</w:t>
            </w:r>
          </w:p>
        </w:tc>
      </w:tr>
      <w:tr w:rsidR="00DC19D6" w:rsidRPr="00DC19D6" w14:paraId="5486867F" w14:textId="77777777" w:rsidTr="00DC19D6">
        <w:trPr>
          <w:trHeight w:val="20"/>
        </w:trPr>
        <w:tc>
          <w:tcPr>
            <w:tcW w:w="1838" w:type="dxa"/>
            <w:vAlign w:val="center"/>
            <w:hideMark/>
          </w:tcPr>
          <w:p w14:paraId="1A2A82EA"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13. Maharashtra</w:t>
            </w:r>
          </w:p>
        </w:tc>
        <w:tc>
          <w:tcPr>
            <w:tcW w:w="1134" w:type="dxa"/>
            <w:vAlign w:val="center"/>
            <w:hideMark/>
          </w:tcPr>
          <w:p w14:paraId="6BED0FB7"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0080CEFA"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8910B15"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F6322A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40.41</w:t>
            </w:r>
          </w:p>
        </w:tc>
        <w:tc>
          <w:tcPr>
            <w:tcW w:w="1134" w:type="dxa"/>
            <w:vAlign w:val="center"/>
            <w:hideMark/>
          </w:tcPr>
          <w:p w14:paraId="39358044"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40.41</w:t>
            </w:r>
          </w:p>
        </w:tc>
      </w:tr>
      <w:tr w:rsidR="00DC19D6" w:rsidRPr="00DC19D6" w14:paraId="00EBF5F7" w14:textId="77777777" w:rsidTr="00DC19D6">
        <w:trPr>
          <w:trHeight w:val="20"/>
        </w:trPr>
        <w:tc>
          <w:tcPr>
            <w:tcW w:w="1838" w:type="dxa"/>
            <w:vAlign w:val="center"/>
            <w:hideMark/>
          </w:tcPr>
          <w:p w14:paraId="47E28F27"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14. Manipur</w:t>
            </w:r>
          </w:p>
        </w:tc>
        <w:tc>
          <w:tcPr>
            <w:tcW w:w="1134" w:type="dxa"/>
            <w:vAlign w:val="center"/>
            <w:hideMark/>
          </w:tcPr>
          <w:p w14:paraId="599A9CEA"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1B829D5E"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7CDBE940"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B902EBE"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1.61</w:t>
            </w:r>
          </w:p>
        </w:tc>
        <w:tc>
          <w:tcPr>
            <w:tcW w:w="1134" w:type="dxa"/>
            <w:vAlign w:val="center"/>
            <w:hideMark/>
          </w:tcPr>
          <w:p w14:paraId="055DF77C"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1.61</w:t>
            </w:r>
          </w:p>
        </w:tc>
      </w:tr>
      <w:tr w:rsidR="00DC19D6" w:rsidRPr="00DC19D6" w14:paraId="6611FD03" w14:textId="77777777" w:rsidTr="00DC19D6">
        <w:trPr>
          <w:trHeight w:val="20"/>
        </w:trPr>
        <w:tc>
          <w:tcPr>
            <w:tcW w:w="1838" w:type="dxa"/>
            <w:vAlign w:val="center"/>
            <w:hideMark/>
          </w:tcPr>
          <w:p w14:paraId="7747B4C2"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15. Meghalaya</w:t>
            </w:r>
          </w:p>
        </w:tc>
        <w:tc>
          <w:tcPr>
            <w:tcW w:w="1134" w:type="dxa"/>
            <w:vAlign w:val="center"/>
            <w:hideMark/>
          </w:tcPr>
          <w:p w14:paraId="14EE60E1"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1807540F"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C307F64"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B94052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1.30</w:t>
            </w:r>
          </w:p>
        </w:tc>
        <w:tc>
          <w:tcPr>
            <w:tcW w:w="1134" w:type="dxa"/>
            <w:vAlign w:val="center"/>
            <w:hideMark/>
          </w:tcPr>
          <w:p w14:paraId="1896A3AE"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1.30</w:t>
            </w:r>
          </w:p>
        </w:tc>
      </w:tr>
      <w:tr w:rsidR="00DC19D6" w:rsidRPr="00DC19D6" w14:paraId="2B263889" w14:textId="77777777" w:rsidTr="00DC19D6">
        <w:trPr>
          <w:trHeight w:val="20"/>
        </w:trPr>
        <w:tc>
          <w:tcPr>
            <w:tcW w:w="1838" w:type="dxa"/>
            <w:vAlign w:val="center"/>
            <w:hideMark/>
          </w:tcPr>
          <w:p w14:paraId="5B243BC6"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16. Mizoram</w:t>
            </w:r>
          </w:p>
        </w:tc>
        <w:tc>
          <w:tcPr>
            <w:tcW w:w="1134" w:type="dxa"/>
            <w:vAlign w:val="center"/>
            <w:hideMark/>
          </w:tcPr>
          <w:p w14:paraId="1815F30C"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1D19DE37"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51.20</w:t>
            </w:r>
          </w:p>
        </w:tc>
        <w:tc>
          <w:tcPr>
            <w:tcW w:w="1418" w:type="dxa"/>
            <w:vAlign w:val="center"/>
            <w:hideMark/>
          </w:tcPr>
          <w:p w14:paraId="046EA911"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2458B6C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0.52</w:t>
            </w:r>
          </w:p>
        </w:tc>
        <w:tc>
          <w:tcPr>
            <w:tcW w:w="1134" w:type="dxa"/>
            <w:vAlign w:val="center"/>
            <w:hideMark/>
          </w:tcPr>
          <w:p w14:paraId="7A690D0A"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51.72</w:t>
            </w:r>
          </w:p>
        </w:tc>
      </w:tr>
      <w:tr w:rsidR="00DC19D6" w:rsidRPr="00DC19D6" w14:paraId="3CB49C29" w14:textId="77777777" w:rsidTr="00DC19D6">
        <w:trPr>
          <w:trHeight w:val="20"/>
        </w:trPr>
        <w:tc>
          <w:tcPr>
            <w:tcW w:w="1838" w:type="dxa"/>
            <w:vAlign w:val="center"/>
            <w:hideMark/>
          </w:tcPr>
          <w:p w14:paraId="7453BC01"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17. Nagaland</w:t>
            </w:r>
          </w:p>
        </w:tc>
        <w:tc>
          <w:tcPr>
            <w:tcW w:w="1134" w:type="dxa"/>
            <w:vAlign w:val="center"/>
            <w:hideMark/>
          </w:tcPr>
          <w:p w14:paraId="4B606334"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4BCAB102"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39F581E1"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A845AA6"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2.18</w:t>
            </w:r>
          </w:p>
        </w:tc>
        <w:tc>
          <w:tcPr>
            <w:tcW w:w="1134" w:type="dxa"/>
            <w:vAlign w:val="center"/>
            <w:hideMark/>
          </w:tcPr>
          <w:p w14:paraId="629657D6"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2.18</w:t>
            </w:r>
          </w:p>
        </w:tc>
      </w:tr>
      <w:tr w:rsidR="00DC19D6" w:rsidRPr="00DC19D6" w14:paraId="2A0A93DA" w14:textId="77777777" w:rsidTr="00DC19D6">
        <w:trPr>
          <w:trHeight w:val="20"/>
        </w:trPr>
        <w:tc>
          <w:tcPr>
            <w:tcW w:w="1838" w:type="dxa"/>
            <w:vAlign w:val="center"/>
            <w:hideMark/>
          </w:tcPr>
          <w:p w14:paraId="77D7AE8D"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18. Orissa</w:t>
            </w:r>
          </w:p>
        </w:tc>
        <w:tc>
          <w:tcPr>
            <w:tcW w:w="1134" w:type="dxa"/>
            <w:vAlign w:val="center"/>
            <w:hideMark/>
          </w:tcPr>
          <w:p w14:paraId="28505960"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D817EFC"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5BF14B7B"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52E9A7E4"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28.69</w:t>
            </w:r>
          </w:p>
        </w:tc>
        <w:tc>
          <w:tcPr>
            <w:tcW w:w="1134" w:type="dxa"/>
            <w:vAlign w:val="center"/>
            <w:hideMark/>
          </w:tcPr>
          <w:p w14:paraId="68DAB97B"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28.69</w:t>
            </w:r>
          </w:p>
        </w:tc>
      </w:tr>
      <w:tr w:rsidR="00DC19D6" w:rsidRPr="00DC19D6" w14:paraId="05F5C9A3" w14:textId="77777777" w:rsidTr="00DC19D6">
        <w:trPr>
          <w:trHeight w:val="20"/>
        </w:trPr>
        <w:tc>
          <w:tcPr>
            <w:tcW w:w="1838" w:type="dxa"/>
            <w:vAlign w:val="center"/>
            <w:hideMark/>
          </w:tcPr>
          <w:p w14:paraId="72D6E8CF"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19. Punjab</w:t>
            </w:r>
          </w:p>
        </w:tc>
        <w:tc>
          <w:tcPr>
            <w:tcW w:w="1134" w:type="dxa"/>
            <w:vAlign w:val="center"/>
            <w:hideMark/>
          </w:tcPr>
          <w:p w14:paraId="39AE4C81"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6EB9BBB7"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66346ED"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09A4DE3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6.45</w:t>
            </w:r>
          </w:p>
        </w:tc>
        <w:tc>
          <w:tcPr>
            <w:tcW w:w="1134" w:type="dxa"/>
            <w:vAlign w:val="center"/>
            <w:hideMark/>
          </w:tcPr>
          <w:p w14:paraId="14EDE84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6.45</w:t>
            </w:r>
          </w:p>
        </w:tc>
      </w:tr>
      <w:tr w:rsidR="00DC19D6" w:rsidRPr="00DC19D6" w14:paraId="117B4CF1" w14:textId="77777777" w:rsidTr="00DC19D6">
        <w:trPr>
          <w:trHeight w:val="20"/>
        </w:trPr>
        <w:tc>
          <w:tcPr>
            <w:tcW w:w="1838" w:type="dxa"/>
            <w:vAlign w:val="center"/>
            <w:hideMark/>
          </w:tcPr>
          <w:p w14:paraId="414528C3"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20. Rajasthan</w:t>
            </w:r>
          </w:p>
        </w:tc>
        <w:tc>
          <w:tcPr>
            <w:tcW w:w="1134" w:type="dxa"/>
            <w:vAlign w:val="center"/>
            <w:hideMark/>
          </w:tcPr>
          <w:p w14:paraId="1539A3AC"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tcPr>
          <w:p w14:paraId="5F48C75D"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06151860"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123.53</w:t>
            </w:r>
          </w:p>
        </w:tc>
        <w:tc>
          <w:tcPr>
            <w:tcW w:w="1559" w:type="dxa"/>
            <w:vAlign w:val="center"/>
            <w:hideMark/>
          </w:tcPr>
          <w:p w14:paraId="7254C954"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20.45</w:t>
            </w:r>
          </w:p>
        </w:tc>
        <w:tc>
          <w:tcPr>
            <w:tcW w:w="1134" w:type="dxa"/>
            <w:vAlign w:val="center"/>
            <w:hideMark/>
          </w:tcPr>
          <w:p w14:paraId="39BC8D08"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143.98</w:t>
            </w:r>
          </w:p>
        </w:tc>
      </w:tr>
      <w:tr w:rsidR="00DC19D6" w:rsidRPr="00DC19D6" w14:paraId="6FF96F6E" w14:textId="77777777" w:rsidTr="00DC19D6">
        <w:trPr>
          <w:trHeight w:val="20"/>
        </w:trPr>
        <w:tc>
          <w:tcPr>
            <w:tcW w:w="1838" w:type="dxa"/>
            <w:vAlign w:val="center"/>
            <w:hideMark/>
          </w:tcPr>
          <w:p w14:paraId="424375A5"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21. Sikkim</w:t>
            </w:r>
          </w:p>
        </w:tc>
        <w:tc>
          <w:tcPr>
            <w:tcW w:w="1134" w:type="dxa"/>
            <w:vAlign w:val="center"/>
            <w:hideMark/>
          </w:tcPr>
          <w:p w14:paraId="31050858"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91DE3CC"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7AB8DC0D"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20DEE1D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0.95</w:t>
            </w:r>
          </w:p>
        </w:tc>
        <w:tc>
          <w:tcPr>
            <w:tcW w:w="1134" w:type="dxa"/>
            <w:vAlign w:val="center"/>
            <w:hideMark/>
          </w:tcPr>
          <w:p w14:paraId="218B16E1"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0.95</w:t>
            </w:r>
          </w:p>
        </w:tc>
      </w:tr>
      <w:tr w:rsidR="00DC19D6" w:rsidRPr="00DC19D6" w14:paraId="09D91B72" w14:textId="77777777" w:rsidTr="00DC19D6">
        <w:trPr>
          <w:trHeight w:val="20"/>
        </w:trPr>
        <w:tc>
          <w:tcPr>
            <w:tcW w:w="1838" w:type="dxa"/>
            <w:vAlign w:val="center"/>
            <w:hideMark/>
          </w:tcPr>
          <w:p w14:paraId="4F34C9EB"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22. Tamil Nadu</w:t>
            </w:r>
          </w:p>
        </w:tc>
        <w:tc>
          <w:tcPr>
            <w:tcW w:w="1134" w:type="dxa"/>
            <w:vAlign w:val="center"/>
            <w:hideMark/>
          </w:tcPr>
          <w:p w14:paraId="3733190F"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3E552260"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314931E"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275CC25D"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34.31</w:t>
            </w:r>
          </w:p>
        </w:tc>
        <w:tc>
          <w:tcPr>
            <w:tcW w:w="1134" w:type="dxa"/>
            <w:vAlign w:val="center"/>
            <w:hideMark/>
          </w:tcPr>
          <w:p w14:paraId="2C9922C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34.31</w:t>
            </w:r>
          </w:p>
        </w:tc>
      </w:tr>
      <w:tr w:rsidR="00DC19D6" w:rsidRPr="00DC19D6" w14:paraId="7F2F0078" w14:textId="77777777" w:rsidTr="00DC19D6">
        <w:trPr>
          <w:trHeight w:val="20"/>
        </w:trPr>
        <w:tc>
          <w:tcPr>
            <w:tcW w:w="1838" w:type="dxa"/>
            <w:vAlign w:val="center"/>
            <w:hideMark/>
          </w:tcPr>
          <w:p w14:paraId="68FE9963"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23. Tripura</w:t>
            </w:r>
          </w:p>
        </w:tc>
        <w:tc>
          <w:tcPr>
            <w:tcW w:w="1134" w:type="dxa"/>
            <w:vAlign w:val="center"/>
            <w:hideMark/>
          </w:tcPr>
          <w:p w14:paraId="0A4F54EB"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07968B4"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CB2971B"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A5BDF3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1.77</w:t>
            </w:r>
          </w:p>
        </w:tc>
        <w:tc>
          <w:tcPr>
            <w:tcW w:w="1134" w:type="dxa"/>
            <w:vAlign w:val="center"/>
            <w:hideMark/>
          </w:tcPr>
          <w:p w14:paraId="518F3D49"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1.77</w:t>
            </w:r>
          </w:p>
        </w:tc>
      </w:tr>
      <w:tr w:rsidR="00DC19D6" w:rsidRPr="00DC19D6" w14:paraId="48010067" w14:textId="77777777" w:rsidTr="00DC19D6">
        <w:trPr>
          <w:trHeight w:val="20"/>
        </w:trPr>
        <w:tc>
          <w:tcPr>
            <w:tcW w:w="1838" w:type="dxa"/>
            <w:vAlign w:val="center"/>
            <w:hideMark/>
          </w:tcPr>
          <w:p w14:paraId="4931EB76"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24. Uttar Pradesh</w:t>
            </w:r>
          </w:p>
        </w:tc>
        <w:tc>
          <w:tcPr>
            <w:tcW w:w="1134" w:type="dxa"/>
            <w:vAlign w:val="center"/>
            <w:hideMark/>
          </w:tcPr>
          <w:p w14:paraId="1B22EF0D"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26398FC1"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094CA447"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0.83</w:t>
            </w:r>
          </w:p>
        </w:tc>
        <w:tc>
          <w:tcPr>
            <w:tcW w:w="1559" w:type="dxa"/>
            <w:vAlign w:val="center"/>
          </w:tcPr>
          <w:p w14:paraId="5C46DE01"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71.08</w:t>
            </w:r>
          </w:p>
        </w:tc>
        <w:tc>
          <w:tcPr>
            <w:tcW w:w="1134" w:type="dxa"/>
            <w:vAlign w:val="center"/>
          </w:tcPr>
          <w:p w14:paraId="25BFBEA1"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71.911</w:t>
            </w:r>
          </w:p>
        </w:tc>
      </w:tr>
      <w:tr w:rsidR="00DC19D6" w:rsidRPr="00DC19D6" w14:paraId="7D7B1D6B" w14:textId="77777777" w:rsidTr="00DC19D6">
        <w:trPr>
          <w:trHeight w:val="20"/>
        </w:trPr>
        <w:tc>
          <w:tcPr>
            <w:tcW w:w="1838" w:type="dxa"/>
            <w:vAlign w:val="center"/>
            <w:hideMark/>
          </w:tcPr>
          <w:p w14:paraId="6979480E" w14:textId="77777777" w:rsidR="00DC19D6" w:rsidRPr="00DC19D6" w:rsidRDefault="00DC19D6" w:rsidP="00DC19D6">
            <w:pPr>
              <w:pStyle w:val="NoSpacing"/>
              <w:rPr>
                <w:rFonts w:ascii="Times New Roman" w:hAnsi="Times New Roman" w:cs="Times New Roman"/>
                <w:sz w:val="16"/>
                <w:szCs w:val="16"/>
              </w:rPr>
            </w:pPr>
            <w:r w:rsidRPr="00DC19D6">
              <w:rPr>
                <w:rFonts w:ascii="Times New Roman" w:hAnsi="Times New Roman" w:cs="Times New Roman"/>
                <w:sz w:val="16"/>
                <w:szCs w:val="16"/>
              </w:rPr>
              <w:t>25. West Bengal</w:t>
            </w:r>
          </w:p>
        </w:tc>
        <w:tc>
          <w:tcPr>
            <w:tcW w:w="1134" w:type="dxa"/>
            <w:vAlign w:val="center"/>
            <w:hideMark/>
          </w:tcPr>
          <w:p w14:paraId="6CCE3CB7" w14:textId="77777777" w:rsidR="00DC19D6" w:rsidRPr="00DC19D6" w:rsidRDefault="00DC19D6" w:rsidP="00DC19D6">
            <w:pPr>
              <w:pStyle w:val="NoSpacing"/>
              <w:jc w:val="center"/>
              <w:rPr>
                <w:rFonts w:ascii="Times New Roman" w:hAnsi="Times New Roman" w:cs="Times New Roman"/>
                <w:sz w:val="16"/>
                <w:szCs w:val="16"/>
              </w:rPr>
            </w:pPr>
          </w:p>
        </w:tc>
        <w:tc>
          <w:tcPr>
            <w:tcW w:w="1134" w:type="dxa"/>
            <w:vAlign w:val="center"/>
            <w:hideMark/>
          </w:tcPr>
          <w:p w14:paraId="3EFC2D72" w14:textId="77777777" w:rsidR="00DC19D6" w:rsidRPr="00DC19D6" w:rsidRDefault="00DC19D6" w:rsidP="00DC19D6">
            <w:pPr>
              <w:pStyle w:val="NoSpacing"/>
              <w:jc w:val="center"/>
              <w:rPr>
                <w:rFonts w:ascii="Times New Roman" w:hAnsi="Times New Roman" w:cs="Times New Roman"/>
                <w:sz w:val="16"/>
                <w:szCs w:val="16"/>
              </w:rPr>
            </w:pPr>
          </w:p>
        </w:tc>
        <w:tc>
          <w:tcPr>
            <w:tcW w:w="1418" w:type="dxa"/>
            <w:vAlign w:val="center"/>
            <w:hideMark/>
          </w:tcPr>
          <w:p w14:paraId="6B6836B8" w14:textId="77777777" w:rsidR="00DC19D6" w:rsidRPr="00DC19D6" w:rsidRDefault="00DC19D6" w:rsidP="00DC19D6">
            <w:pPr>
              <w:pStyle w:val="NoSpacing"/>
              <w:jc w:val="center"/>
              <w:rPr>
                <w:rFonts w:ascii="Times New Roman" w:hAnsi="Times New Roman" w:cs="Times New Roman"/>
                <w:sz w:val="16"/>
                <w:szCs w:val="16"/>
              </w:rPr>
            </w:pPr>
          </w:p>
        </w:tc>
        <w:tc>
          <w:tcPr>
            <w:tcW w:w="1559" w:type="dxa"/>
            <w:vAlign w:val="center"/>
            <w:hideMark/>
          </w:tcPr>
          <w:p w14:paraId="1808158D"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11.25</w:t>
            </w:r>
          </w:p>
        </w:tc>
        <w:tc>
          <w:tcPr>
            <w:tcW w:w="1134" w:type="dxa"/>
            <w:vAlign w:val="center"/>
            <w:hideMark/>
          </w:tcPr>
          <w:p w14:paraId="092F7A7F" w14:textId="77777777" w:rsidR="00DC19D6" w:rsidRPr="00DC19D6" w:rsidRDefault="00DC19D6" w:rsidP="00DC19D6">
            <w:pPr>
              <w:pStyle w:val="NoSpacing"/>
              <w:jc w:val="center"/>
              <w:rPr>
                <w:rFonts w:ascii="Times New Roman" w:hAnsi="Times New Roman" w:cs="Times New Roman"/>
                <w:sz w:val="16"/>
                <w:szCs w:val="16"/>
              </w:rPr>
            </w:pPr>
            <w:r w:rsidRPr="00DC19D6">
              <w:rPr>
                <w:rFonts w:ascii="Times New Roman" w:hAnsi="Times New Roman" w:cs="Times New Roman"/>
                <w:sz w:val="16"/>
                <w:szCs w:val="16"/>
              </w:rPr>
              <w:t>11.25</w:t>
            </w:r>
          </w:p>
        </w:tc>
      </w:tr>
      <w:tr w:rsidR="00DC19D6" w:rsidRPr="00DC19D6" w14:paraId="3EAE5F56" w14:textId="77777777" w:rsidTr="00DC19D6">
        <w:trPr>
          <w:trHeight w:val="20"/>
        </w:trPr>
        <w:tc>
          <w:tcPr>
            <w:tcW w:w="1838" w:type="dxa"/>
            <w:vAlign w:val="center"/>
            <w:hideMark/>
          </w:tcPr>
          <w:p w14:paraId="7724966B" w14:textId="77777777" w:rsidR="00DC19D6" w:rsidRPr="00DC19D6" w:rsidRDefault="00DC19D6" w:rsidP="00DC19D6">
            <w:pPr>
              <w:pStyle w:val="NoSpacing"/>
              <w:rPr>
                <w:rFonts w:ascii="Times New Roman" w:hAnsi="Times New Roman" w:cs="Times New Roman"/>
                <w:b/>
                <w:bCs/>
                <w:sz w:val="16"/>
                <w:szCs w:val="16"/>
              </w:rPr>
            </w:pPr>
            <w:r w:rsidRPr="00DC19D6">
              <w:rPr>
                <w:rFonts w:ascii="Times New Roman" w:hAnsi="Times New Roman" w:cs="Times New Roman"/>
                <w:b/>
                <w:bCs/>
                <w:sz w:val="16"/>
                <w:szCs w:val="16"/>
              </w:rPr>
              <w:t>TOTAL</w:t>
            </w:r>
          </w:p>
        </w:tc>
        <w:tc>
          <w:tcPr>
            <w:tcW w:w="1134" w:type="dxa"/>
            <w:vAlign w:val="center"/>
            <w:hideMark/>
          </w:tcPr>
          <w:p w14:paraId="51AB6D26" w14:textId="77777777" w:rsidR="00DC19D6" w:rsidRPr="00DC19D6" w:rsidRDefault="00DC19D6" w:rsidP="00DC19D6">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191.00</w:t>
            </w:r>
          </w:p>
        </w:tc>
        <w:tc>
          <w:tcPr>
            <w:tcW w:w="1134" w:type="dxa"/>
            <w:vAlign w:val="center"/>
            <w:hideMark/>
          </w:tcPr>
          <w:p w14:paraId="38872266" w14:textId="77777777" w:rsidR="00DC19D6" w:rsidRPr="00DC19D6" w:rsidRDefault="00DC19D6" w:rsidP="00DC19D6">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198.88</w:t>
            </w:r>
          </w:p>
        </w:tc>
        <w:tc>
          <w:tcPr>
            <w:tcW w:w="1418" w:type="dxa"/>
            <w:vAlign w:val="center"/>
            <w:hideMark/>
          </w:tcPr>
          <w:p w14:paraId="333F637E" w14:textId="77777777" w:rsidR="00DC19D6" w:rsidRPr="00DC19D6" w:rsidRDefault="00DC19D6" w:rsidP="00DC19D6">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91.62</w:t>
            </w:r>
          </w:p>
        </w:tc>
        <w:tc>
          <w:tcPr>
            <w:tcW w:w="1559" w:type="dxa"/>
            <w:vAlign w:val="center"/>
            <w:hideMark/>
          </w:tcPr>
          <w:p w14:paraId="21D8BAB5" w14:textId="77777777" w:rsidR="00DC19D6" w:rsidRPr="00DC19D6" w:rsidRDefault="00DC19D6" w:rsidP="00DC19D6">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494.12</w:t>
            </w:r>
          </w:p>
        </w:tc>
        <w:tc>
          <w:tcPr>
            <w:tcW w:w="1134" w:type="dxa"/>
            <w:vAlign w:val="center"/>
            <w:hideMark/>
          </w:tcPr>
          <w:p w14:paraId="127F74BE" w14:textId="77777777" w:rsidR="00DC19D6" w:rsidRPr="00DC19D6" w:rsidRDefault="00DC19D6" w:rsidP="00DC19D6">
            <w:pPr>
              <w:pStyle w:val="NoSpacing"/>
              <w:jc w:val="center"/>
              <w:rPr>
                <w:rFonts w:ascii="Times New Roman" w:hAnsi="Times New Roman" w:cs="Times New Roman"/>
                <w:b/>
                <w:bCs/>
                <w:sz w:val="16"/>
                <w:szCs w:val="16"/>
              </w:rPr>
            </w:pPr>
            <w:r w:rsidRPr="00DC19D6">
              <w:rPr>
                <w:rFonts w:ascii="Times New Roman" w:hAnsi="Times New Roman" w:cs="Times New Roman"/>
                <w:b/>
                <w:bCs/>
                <w:sz w:val="16"/>
                <w:szCs w:val="16"/>
              </w:rPr>
              <w:t>975.62</w:t>
            </w:r>
          </w:p>
        </w:tc>
      </w:tr>
    </w:tbl>
    <w:p w14:paraId="7A7AF704" w14:textId="77777777" w:rsidR="0034261E" w:rsidRPr="00AA6AF4" w:rsidRDefault="0034261E" w:rsidP="00DC19D6">
      <w:pPr>
        <w:tabs>
          <w:tab w:val="left" w:pos="3192"/>
        </w:tabs>
        <w:rPr>
          <w:rFonts w:ascii="Times New Roman" w:hAnsi="Times New Roman" w:cs="Times New Roman"/>
          <w:b/>
          <w:bCs/>
        </w:rPr>
      </w:pPr>
    </w:p>
    <w:p w14:paraId="60156ACF" w14:textId="495F7E26" w:rsidR="00FE705A" w:rsidRPr="00AA6AF4" w:rsidRDefault="00FE705A" w:rsidP="002C06DC">
      <w:pPr>
        <w:tabs>
          <w:tab w:val="left" w:pos="3192"/>
        </w:tabs>
        <w:rPr>
          <w:rFonts w:ascii="Times New Roman" w:hAnsi="Times New Roman" w:cs="Times New Roman"/>
          <w:sz w:val="52"/>
          <w:szCs w:val="52"/>
        </w:rPr>
      </w:pPr>
    </w:p>
    <w:p w14:paraId="66185F21" w14:textId="77777777" w:rsidR="00DF7EDA" w:rsidRPr="00AA6AF4" w:rsidRDefault="00DF7EDA" w:rsidP="00DF7EDA">
      <w:pPr>
        <w:jc w:val="center"/>
        <w:rPr>
          <w:rFonts w:ascii="Times New Roman" w:hAnsi="Times New Roman" w:cs="Times New Roman"/>
          <w:sz w:val="52"/>
          <w:szCs w:val="52"/>
        </w:rPr>
      </w:pPr>
    </w:p>
    <w:p w14:paraId="1D5E48F1" w14:textId="77777777" w:rsidR="00DF7EDA" w:rsidRPr="00AA6AF4" w:rsidRDefault="00DF7EDA" w:rsidP="00DF7EDA">
      <w:pPr>
        <w:jc w:val="center"/>
        <w:rPr>
          <w:rFonts w:ascii="Times New Roman" w:hAnsi="Times New Roman" w:cs="Times New Roman"/>
          <w:sz w:val="52"/>
          <w:szCs w:val="52"/>
        </w:rPr>
      </w:pPr>
    </w:p>
    <w:p w14:paraId="1C437BA0" w14:textId="77777777" w:rsidR="00DF7EDA" w:rsidRPr="00AA6AF4" w:rsidRDefault="00DF7EDA" w:rsidP="00DF7EDA">
      <w:pPr>
        <w:jc w:val="center"/>
        <w:rPr>
          <w:rFonts w:ascii="Times New Roman" w:hAnsi="Times New Roman" w:cs="Times New Roman"/>
          <w:sz w:val="52"/>
          <w:szCs w:val="52"/>
        </w:rPr>
      </w:pPr>
    </w:p>
    <w:p w14:paraId="30C4338F" w14:textId="77777777" w:rsidR="00DF7EDA" w:rsidRPr="00AA6AF4" w:rsidRDefault="00DF7EDA" w:rsidP="00DF7EDA">
      <w:pPr>
        <w:jc w:val="center"/>
        <w:rPr>
          <w:rFonts w:ascii="Times New Roman" w:hAnsi="Times New Roman" w:cs="Times New Roman"/>
          <w:sz w:val="52"/>
          <w:szCs w:val="52"/>
        </w:rPr>
      </w:pPr>
    </w:p>
    <w:p w14:paraId="3B8EA791" w14:textId="77777777" w:rsidR="00DF7EDA" w:rsidRPr="00AA6AF4" w:rsidRDefault="00DF7EDA" w:rsidP="00DF7EDA">
      <w:pPr>
        <w:jc w:val="center"/>
        <w:rPr>
          <w:rFonts w:ascii="Times New Roman" w:hAnsi="Times New Roman" w:cs="Times New Roman"/>
          <w:sz w:val="52"/>
          <w:szCs w:val="52"/>
        </w:rPr>
      </w:pPr>
    </w:p>
    <w:p w14:paraId="4FF93D40" w14:textId="77777777" w:rsidR="00655512" w:rsidRPr="00AA6AF4" w:rsidRDefault="00655512" w:rsidP="00DF7EDA">
      <w:pPr>
        <w:jc w:val="center"/>
        <w:rPr>
          <w:rFonts w:ascii="Times New Roman" w:hAnsi="Times New Roman" w:cs="Times New Roman"/>
          <w:sz w:val="52"/>
          <w:szCs w:val="52"/>
        </w:rPr>
      </w:pPr>
    </w:p>
    <w:p w14:paraId="16BBB43F" w14:textId="77777777" w:rsidR="00402BC5" w:rsidRDefault="00402BC5" w:rsidP="00402BC5">
      <w:pPr>
        <w:pStyle w:val="Heading1"/>
        <w:numPr>
          <w:ilvl w:val="0"/>
          <w:numId w:val="0"/>
        </w:numPr>
        <w:rPr>
          <w:sz w:val="44"/>
          <w:szCs w:val="44"/>
        </w:rPr>
      </w:pPr>
    </w:p>
    <w:p w14:paraId="7568E1F4" w14:textId="77777777" w:rsidR="00402BC5" w:rsidRDefault="00402BC5" w:rsidP="00402BC5">
      <w:pPr>
        <w:pStyle w:val="Heading1"/>
        <w:numPr>
          <w:ilvl w:val="0"/>
          <w:numId w:val="0"/>
        </w:numPr>
        <w:rPr>
          <w:sz w:val="44"/>
          <w:szCs w:val="44"/>
        </w:rPr>
      </w:pPr>
    </w:p>
    <w:p w14:paraId="529FB940" w14:textId="77777777" w:rsidR="00402BC5" w:rsidRDefault="00402BC5" w:rsidP="00402BC5">
      <w:pPr>
        <w:pStyle w:val="Heading1"/>
        <w:numPr>
          <w:ilvl w:val="0"/>
          <w:numId w:val="0"/>
        </w:numPr>
        <w:rPr>
          <w:sz w:val="44"/>
          <w:szCs w:val="44"/>
        </w:rPr>
      </w:pPr>
    </w:p>
    <w:p w14:paraId="1BCC1192" w14:textId="77777777" w:rsidR="00402BC5" w:rsidRDefault="00402BC5" w:rsidP="00402BC5">
      <w:pPr>
        <w:pStyle w:val="Heading1"/>
        <w:numPr>
          <w:ilvl w:val="0"/>
          <w:numId w:val="0"/>
        </w:numPr>
        <w:rPr>
          <w:sz w:val="44"/>
          <w:szCs w:val="44"/>
        </w:rPr>
      </w:pPr>
    </w:p>
    <w:p w14:paraId="6F774175" w14:textId="5492B8E5" w:rsidR="00FE705A" w:rsidRPr="00AA6AF4" w:rsidRDefault="00DF7EDA" w:rsidP="00402BC5">
      <w:pPr>
        <w:pStyle w:val="Heading1"/>
        <w:numPr>
          <w:ilvl w:val="0"/>
          <w:numId w:val="0"/>
        </w:numPr>
      </w:pPr>
      <w:bookmarkStart w:id="131" w:name="_Toc221293024"/>
      <w:bookmarkStart w:id="132" w:name="_Toc222399513"/>
      <w:r w:rsidRPr="00402BC5">
        <w:rPr>
          <w:sz w:val="44"/>
          <w:szCs w:val="44"/>
        </w:rPr>
        <w:t>APPENDICES</w:t>
      </w:r>
      <w:bookmarkEnd w:id="131"/>
      <w:bookmarkEnd w:id="132"/>
      <w:r w:rsidR="00FE705A" w:rsidRPr="00AA6AF4">
        <w:br w:type="page"/>
      </w:r>
    </w:p>
    <w:tbl>
      <w:tblPr>
        <w:tblStyle w:val="TableGrid"/>
        <w:tblpPr w:leftFromText="180" w:rightFromText="180" w:vertAnchor="page" w:horzAnchor="margin" w:tblpXSpec="center" w:tblpY="2720"/>
        <w:tblW w:w="10768" w:type="dxa"/>
        <w:tblLook w:val="04A0" w:firstRow="1" w:lastRow="0" w:firstColumn="1" w:lastColumn="0" w:noHBand="0" w:noVBand="1"/>
      </w:tblPr>
      <w:tblGrid>
        <w:gridCol w:w="1217"/>
        <w:gridCol w:w="8301"/>
        <w:gridCol w:w="1250"/>
      </w:tblGrid>
      <w:tr w:rsidR="00F5004E" w:rsidRPr="003E6554" w14:paraId="06687A88" w14:textId="77777777" w:rsidTr="00645A34">
        <w:trPr>
          <w:trHeight w:val="20"/>
        </w:trPr>
        <w:tc>
          <w:tcPr>
            <w:tcW w:w="0" w:type="auto"/>
            <w:hideMark/>
          </w:tcPr>
          <w:p w14:paraId="736B4E85" w14:textId="77777777" w:rsidR="00F5004E" w:rsidRPr="003E6554" w:rsidRDefault="00F5004E" w:rsidP="00F5004E">
            <w:pPr>
              <w:tabs>
                <w:tab w:val="left" w:pos="3192"/>
              </w:tabs>
              <w:spacing w:after="160" w:line="278" w:lineRule="auto"/>
              <w:rPr>
                <w:rFonts w:ascii="Times New Roman" w:hAnsi="Times New Roman" w:cs="Times New Roman"/>
                <w:b/>
                <w:bCs/>
                <w:szCs w:val="22"/>
              </w:rPr>
            </w:pPr>
            <w:r w:rsidRPr="003E6554">
              <w:rPr>
                <w:rFonts w:ascii="Times New Roman" w:hAnsi="Times New Roman" w:cs="Times New Roman"/>
                <w:b/>
                <w:bCs/>
                <w:szCs w:val="22"/>
              </w:rPr>
              <w:lastRenderedPageBreak/>
              <w:t>Appendix</w:t>
            </w:r>
          </w:p>
        </w:tc>
        <w:tc>
          <w:tcPr>
            <w:tcW w:w="0" w:type="auto"/>
            <w:hideMark/>
          </w:tcPr>
          <w:p w14:paraId="76B04710" w14:textId="77777777" w:rsidR="00F5004E" w:rsidRPr="003E6554" w:rsidRDefault="00F5004E" w:rsidP="00F5004E">
            <w:pPr>
              <w:tabs>
                <w:tab w:val="left" w:pos="3192"/>
              </w:tabs>
              <w:spacing w:after="160" w:line="278" w:lineRule="auto"/>
              <w:rPr>
                <w:rFonts w:ascii="Times New Roman" w:hAnsi="Times New Roman" w:cs="Times New Roman"/>
                <w:b/>
                <w:bCs/>
                <w:szCs w:val="22"/>
              </w:rPr>
            </w:pPr>
            <w:r w:rsidRPr="003E6554">
              <w:rPr>
                <w:rFonts w:ascii="Times New Roman" w:hAnsi="Times New Roman" w:cs="Times New Roman"/>
                <w:b/>
                <w:bCs/>
                <w:szCs w:val="22"/>
              </w:rPr>
              <w:t>Description</w:t>
            </w:r>
          </w:p>
        </w:tc>
        <w:tc>
          <w:tcPr>
            <w:tcW w:w="1250" w:type="dxa"/>
            <w:hideMark/>
          </w:tcPr>
          <w:p w14:paraId="63A32FAA" w14:textId="77777777" w:rsidR="00F5004E" w:rsidRPr="003E6554" w:rsidRDefault="00F5004E" w:rsidP="00F5004E">
            <w:pPr>
              <w:tabs>
                <w:tab w:val="left" w:pos="3192"/>
              </w:tabs>
              <w:spacing w:after="160" w:line="278" w:lineRule="auto"/>
              <w:rPr>
                <w:rFonts w:ascii="Times New Roman" w:hAnsi="Times New Roman" w:cs="Times New Roman"/>
                <w:b/>
                <w:bCs/>
                <w:szCs w:val="22"/>
              </w:rPr>
            </w:pPr>
            <w:r w:rsidRPr="003E6554">
              <w:rPr>
                <w:rFonts w:ascii="Times New Roman" w:hAnsi="Times New Roman" w:cs="Times New Roman"/>
                <w:b/>
                <w:bCs/>
                <w:szCs w:val="22"/>
              </w:rPr>
              <w:t>Page</w:t>
            </w:r>
          </w:p>
        </w:tc>
      </w:tr>
      <w:tr w:rsidR="00F5004E" w:rsidRPr="003E6554" w14:paraId="379A48A2" w14:textId="77777777" w:rsidTr="00645A34">
        <w:trPr>
          <w:trHeight w:val="20"/>
        </w:trPr>
        <w:tc>
          <w:tcPr>
            <w:tcW w:w="0" w:type="auto"/>
            <w:hideMark/>
          </w:tcPr>
          <w:p w14:paraId="71316ADA"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1.</w:t>
            </w:r>
          </w:p>
        </w:tc>
        <w:tc>
          <w:tcPr>
            <w:tcW w:w="0" w:type="auto"/>
            <w:hideMark/>
          </w:tcPr>
          <w:p w14:paraId="0FDD16EC"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 xml:space="preserve">List Of Organisations </w:t>
            </w:r>
            <w:proofErr w:type="gramStart"/>
            <w:r w:rsidRPr="003E6554">
              <w:rPr>
                <w:rFonts w:ascii="Times New Roman" w:hAnsi="Times New Roman" w:cs="Times New Roman"/>
                <w:szCs w:val="22"/>
              </w:rPr>
              <w:t>And</w:t>
            </w:r>
            <w:proofErr w:type="gramEnd"/>
            <w:r w:rsidRPr="003E6554">
              <w:rPr>
                <w:rFonts w:ascii="Times New Roman" w:hAnsi="Times New Roman" w:cs="Times New Roman"/>
                <w:szCs w:val="22"/>
              </w:rPr>
              <w:t xml:space="preserve"> Individuals Who Submitted Memoranda </w:t>
            </w:r>
            <w:proofErr w:type="gramStart"/>
            <w:r w:rsidRPr="003E6554">
              <w:rPr>
                <w:rFonts w:ascii="Times New Roman" w:hAnsi="Times New Roman" w:cs="Times New Roman"/>
                <w:szCs w:val="22"/>
              </w:rPr>
              <w:t>To</w:t>
            </w:r>
            <w:proofErr w:type="gramEnd"/>
            <w:r w:rsidRPr="003E6554">
              <w:rPr>
                <w:rFonts w:ascii="Times New Roman" w:hAnsi="Times New Roman" w:cs="Times New Roman"/>
                <w:szCs w:val="22"/>
              </w:rPr>
              <w:t xml:space="preserve"> </w:t>
            </w:r>
            <w:proofErr w:type="gramStart"/>
            <w:r w:rsidRPr="003E6554">
              <w:rPr>
                <w:rFonts w:ascii="Times New Roman" w:hAnsi="Times New Roman" w:cs="Times New Roman"/>
                <w:szCs w:val="22"/>
              </w:rPr>
              <w:t>The</w:t>
            </w:r>
            <w:proofErr w:type="gramEnd"/>
            <w:r w:rsidRPr="003E6554">
              <w:rPr>
                <w:rFonts w:ascii="Times New Roman" w:hAnsi="Times New Roman" w:cs="Times New Roman"/>
                <w:szCs w:val="22"/>
              </w:rPr>
              <w:t xml:space="preserve"> Finance Commission.</w:t>
            </w:r>
          </w:p>
        </w:tc>
        <w:tc>
          <w:tcPr>
            <w:tcW w:w="1250" w:type="dxa"/>
            <w:hideMark/>
          </w:tcPr>
          <w:p w14:paraId="2FC51A9A"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95-98</w:t>
            </w:r>
          </w:p>
        </w:tc>
      </w:tr>
      <w:tr w:rsidR="00F5004E" w:rsidRPr="003E6554" w14:paraId="57626BC6" w14:textId="77777777" w:rsidTr="00645A34">
        <w:trPr>
          <w:trHeight w:val="20"/>
        </w:trPr>
        <w:tc>
          <w:tcPr>
            <w:tcW w:w="0" w:type="auto"/>
            <w:hideMark/>
          </w:tcPr>
          <w:p w14:paraId="34E13BA7"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2.</w:t>
            </w:r>
          </w:p>
        </w:tc>
        <w:tc>
          <w:tcPr>
            <w:tcW w:w="0" w:type="auto"/>
            <w:hideMark/>
          </w:tcPr>
          <w:p w14:paraId="3FBA567A"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 xml:space="preserve">List Of Organisations </w:t>
            </w:r>
            <w:proofErr w:type="gramStart"/>
            <w:r w:rsidRPr="003E6554">
              <w:rPr>
                <w:rFonts w:ascii="Times New Roman" w:hAnsi="Times New Roman" w:cs="Times New Roman"/>
                <w:szCs w:val="22"/>
              </w:rPr>
              <w:t>And</w:t>
            </w:r>
            <w:proofErr w:type="gramEnd"/>
            <w:r w:rsidRPr="003E6554">
              <w:rPr>
                <w:rFonts w:ascii="Times New Roman" w:hAnsi="Times New Roman" w:cs="Times New Roman"/>
                <w:szCs w:val="22"/>
              </w:rPr>
              <w:t xml:space="preserve"> Individuals Who Met </w:t>
            </w:r>
            <w:proofErr w:type="gramStart"/>
            <w:r w:rsidRPr="003E6554">
              <w:rPr>
                <w:rFonts w:ascii="Times New Roman" w:hAnsi="Times New Roman" w:cs="Times New Roman"/>
                <w:szCs w:val="22"/>
              </w:rPr>
              <w:t>The</w:t>
            </w:r>
            <w:proofErr w:type="gramEnd"/>
            <w:r w:rsidRPr="003E6554">
              <w:rPr>
                <w:rFonts w:ascii="Times New Roman" w:hAnsi="Times New Roman" w:cs="Times New Roman"/>
                <w:szCs w:val="22"/>
              </w:rPr>
              <w:t xml:space="preserve"> Finance Commission.</w:t>
            </w:r>
          </w:p>
        </w:tc>
        <w:tc>
          <w:tcPr>
            <w:tcW w:w="1250" w:type="dxa"/>
            <w:hideMark/>
          </w:tcPr>
          <w:p w14:paraId="6A9453DE"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99-101</w:t>
            </w:r>
          </w:p>
        </w:tc>
      </w:tr>
      <w:tr w:rsidR="00F5004E" w:rsidRPr="003E6554" w14:paraId="62B23A4E" w14:textId="77777777" w:rsidTr="00645A34">
        <w:trPr>
          <w:trHeight w:val="20"/>
        </w:trPr>
        <w:tc>
          <w:tcPr>
            <w:tcW w:w="0" w:type="auto"/>
            <w:hideMark/>
          </w:tcPr>
          <w:p w14:paraId="75CD7BFE"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3.</w:t>
            </w:r>
          </w:p>
        </w:tc>
        <w:tc>
          <w:tcPr>
            <w:tcW w:w="0" w:type="auto"/>
            <w:hideMark/>
          </w:tcPr>
          <w:p w14:paraId="671AC325"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 xml:space="preserve">Trends In Central </w:t>
            </w:r>
            <w:proofErr w:type="gramStart"/>
            <w:r w:rsidRPr="003E6554">
              <w:rPr>
                <w:rFonts w:ascii="Times New Roman" w:hAnsi="Times New Roman" w:cs="Times New Roman"/>
                <w:szCs w:val="22"/>
              </w:rPr>
              <w:t>And</w:t>
            </w:r>
            <w:proofErr w:type="gramEnd"/>
            <w:r w:rsidRPr="003E6554">
              <w:rPr>
                <w:rFonts w:ascii="Times New Roman" w:hAnsi="Times New Roman" w:cs="Times New Roman"/>
                <w:szCs w:val="22"/>
              </w:rPr>
              <w:t xml:space="preserve"> State Finances.</w:t>
            </w:r>
          </w:p>
        </w:tc>
        <w:tc>
          <w:tcPr>
            <w:tcW w:w="1250" w:type="dxa"/>
            <w:hideMark/>
          </w:tcPr>
          <w:p w14:paraId="08BD56A9"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102-104</w:t>
            </w:r>
          </w:p>
        </w:tc>
      </w:tr>
      <w:tr w:rsidR="00F5004E" w:rsidRPr="003E6554" w14:paraId="3A5DA2CE" w14:textId="77777777" w:rsidTr="00645A34">
        <w:trPr>
          <w:trHeight w:val="20"/>
        </w:trPr>
        <w:tc>
          <w:tcPr>
            <w:tcW w:w="0" w:type="auto"/>
            <w:hideMark/>
          </w:tcPr>
          <w:p w14:paraId="6A73A2EB"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4.</w:t>
            </w:r>
          </w:p>
        </w:tc>
        <w:tc>
          <w:tcPr>
            <w:tcW w:w="0" w:type="auto"/>
            <w:hideMark/>
          </w:tcPr>
          <w:p w14:paraId="713DF061"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Estimation Of Relative Taxable Capacity - A Methodological Note</w:t>
            </w:r>
          </w:p>
        </w:tc>
        <w:tc>
          <w:tcPr>
            <w:tcW w:w="1250" w:type="dxa"/>
            <w:hideMark/>
          </w:tcPr>
          <w:p w14:paraId="703B9F5D"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105-112</w:t>
            </w:r>
          </w:p>
        </w:tc>
      </w:tr>
      <w:tr w:rsidR="00F5004E" w:rsidRPr="003E6554" w14:paraId="7B8DD2BF" w14:textId="77777777" w:rsidTr="00645A34">
        <w:trPr>
          <w:trHeight w:val="20"/>
        </w:trPr>
        <w:tc>
          <w:tcPr>
            <w:tcW w:w="0" w:type="auto"/>
            <w:hideMark/>
          </w:tcPr>
          <w:p w14:paraId="353B8198"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5.</w:t>
            </w:r>
          </w:p>
        </w:tc>
        <w:tc>
          <w:tcPr>
            <w:tcW w:w="0" w:type="auto"/>
            <w:hideMark/>
          </w:tcPr>
          <w:p w14:paraId="46E76601"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 xml:space="preserve">Estimation Of Non-Plan Revenue Expenditure Needs </w:t>
            </w:r>
            <w:proofErr w:type="gramStart"/>
            <w:r w:rsidRPr="003E6554">
              <w:rPr>
                <w:rFonts w:ascii="Times New Roman" w:hAnsi="Times New Roman" w:cs="Times New Roman"/>
                <w:szCs w:val="22"/>
              </w:rPr>
              <w:t>Of</w:t>
            </w:r>
            <w:proofErr w:type="gramEnd"/>
            <w:r w:rsidRPr="003E6554">
              <w:rPr>
                <w:rFonts w:ascii="Times New Roman" w:hAnsi="Times New Roman" w:cs="Times New Roman"/>
                <w:szCs w:val="22"/>
              </w:rPr>
              <w:t xml:space="preserve"> </w:t>
            </w:r>
            <w:proofErr w:type="gramStart"/>
            <w:r w:rsidRPr="003E6554">
              <w:rPr>
                <w:rFonts w:ascii="Times New Roman" w:hAnsi="Times New Roman" w:cs="Times New Roman"/>
                <w:szCs w:val="22"/>
              </w:rPr>
              <w:t>The</w:t>
            </w:r>
            <w:proofErr w:type="gramEnd"/>
            <w:r w:rsidRPr="003E6554">
              <w:rPr>
                <w:rFonts w:ascii="Times New Roman" w:hAnsi="Times New Roman" w:cs="Times New Roman"/>
                <w:szCs w:val="22"/>
              </w:rPr>
              <w:t xml:space="preserve"> States.</w:t>
            </w:r>
          </w:p>
        </w:tc>
        <w:tc>
          <w:tcPr>
            <w:tcW w:w="1250" w:type="dxa"/>
            <w:hideMark/>
          </w:tcPr>
          <w:p w14:paraId="364120A3"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113-130</w:t>
            </w:r>
          </w:p>
        </w:tc>
      </w:tr>
      <w:tr w:rsidR="00F5004E" w:rsidRPr="003E6554" w14:paraId="39E70005" w14:textId="77777777" w:rsidTr="00645A34">
        <w:trPr>
          <w:trHeight w:val="20"/>
        </w:trPr>
        <w:tc>
          <w:tcPr>
            <w:tcW w:w="0" w:type="auto"/>
            <w:hideMark/>
          </w:tcPr>
          <w:p w14:paraId="0ADAD8CF"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6.</w:t>
            </w:r>
          </w:p>
        </w:tc>
        <w:tc>
          <w:tcPr>
            <w:tcW w:w="0" w:type="auto"/>
            <w:hideMark/>
          </w:tcPr>
          <w:p w14:paraId="08BC3493"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 xml:space="preserve">Note On Sources </w:t>
            </w:r>
            <w:proofErr w:type="gramStart"/>
            <w:r w:rsidRPr="003E6554">
              <w:rPr>
                <w:rFonts w:ascii="Times New Roman" w:hAnsi="Times New Roman" w:cs="Times New Roman"/>
                <w:szCs w:val="22"/>
              </w:rPr>
              <w:t>Of</w:t>
            </w:r>
            <w:proofErr w:type="gramEnd"/>
            <w:r w:rsidRPr="003E6554">
              <w:rPr>
                <w:rFonts w:ascii="Times New Roman" w:hAnsi="Times New Roman" w:cs="Times New Roman"/>
                <w:szCs w:val="22"/>
              </w:rPr>
              <w:t xml:space="preserve"> </w:t>
            </w:r>
            <w:proofErr w:type="gramStart"/>
            <w:r w:rsidRPr="003E6554">
              <w:rPr>
                <w:rFonts w:ascii="Times New Roman" w:hAnsi="Times New Roman" w:cs="Times New Roman"/>
                <w:szCs w:val="22"/>
              </w:rPr>
              <w:t>And</w:t>
            </w:r>
            <w:proofErr w:type="gramEnd"/>
            <w:r w:rsidRPr="003E6554">
              <w:rPr>
                <w:rFonts w:ascii="Times New Roman" w:hAnsi="Times New Roman" w:cs="Times New Roman"/>
                <w:szCs w:val="22"/>
              </w:rPr>
              <w:t xml:space="preserve"> Method </w:t>
            </w:r>
            <w:proofErr w:type="gramStart"/>
            <w:r w:rsidRPr="003E6554">
              <w:rPr>
                <w:rFonts w:ascii="Times New Roman" w:hAnsi="Times New Roman" w:cs="Times New Roman"/>
                <w:szCs w:val="22"/>
              </w:rPr>
              <w:t>Of</w:t>
            </w:r>
            <w:proofErr w:type="gramEnd"/>
            <w:r w:rsidRPr="003E6554">
              <w:rPr>
                <w:rFonts w:ascii="Times New Roman" w:hAnsi="Times New Roman" w:cs="Times New Roman"/>
                <w:szCs w:val="22"/>
              </w:rPr>
              <w:t xml:space="preserve"> Adjustments </w:t>
            </w:r>
            <w:proofErr w:type="gramStart"/>
            <w:r w:rsidRPr="003E6554">
              <w:rPr>
                <w:rFonts w:ascii="Times New Roman" w:hAnsi="Times New Roman" w:cs="Times New Roman"/>
                <w:szCs w:val="22"/>
              </w:rPr>
              <w:t>In</w:t>
            </w:r>
            <w:proofErr w:type="gramEnd"/>
            <w:r w:rsidRPr="003E6554">
              <w:rPr>
                <w:rFonts w:ascii="Times New Roman" w:hAnsi="Times New Roman" w:cs="Times New Roman"/>
                <w:szCs w:val="22"/>
              </w:rPr>
              <w:t xml:space="preserve"> </w:t>
            </w:r>
            <w:proofErr w:type="gramStart"/>
            <w:r w:rsidRPr="003E6554">
              <w:rPr>
                <w:rFonts w:ascii="Times New Roman" w:hAnsi="Times New Roman" w:cs="Times New Roman"/>
                <w:szCs w:val="22"/>
              </w:rPr>
              <w:t>The</w:t>
            </w:r>
            <w:proofErr w:type="gramEnd"/>
            <w:r w:rsidRPr="003E6554">
              <w:rPr>
                <w:rFonts w:ascii="Times New Roman" w:hAnsi="Times New Roman" w:cs="Times New Roman"/>
                <w:szCs w:val="22"/>
              </w:rPr>
              <w:t xml:space="preserve"> Data.</w:t>
            </w:r>
          </w:p>
        </w:tc>
        <w:tc>
          <w:tcPr>
            <w:tcW w:w="1250" w:type="dxa"/>
            <w:hideMark/>
          </w:tcPr>
          <w:p w14:paraId="3739A7CC"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131-132</w:t>
            </w:r>
          </w:p>
        </w:tc>
      </w:tr>
      <w:tr w:rsidR="00F5004E" w:rsidRPr="003E6554" w14:paraId="13DB411F" w14:textId="77777777" w:rsidTr="00645A34">
        <w:trPr>
          <w:trHeight w:val="20"/>
        </w:trPr>
        <w:tc>
          <w:tcPr>
            <w:tcW w:w="0" w:type="auto"/>
            <w:hideMark/>
          </w:tcPr>
          <w:p w14:paraId="6DF8A185"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7.</w:t>
            </w:r>
          </w:p>
        </w:tc>
        <w:tc>
          <w:tcPr>
            <w:tcW w:w="0" w:type="auto"/>
            <w:hideMark/>
          </w:tcPr>
          <w:p w14:paraId="7659661F"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 xml:space="preserve">Determination Of Minimum Levels </w:t>
            </w:r>
            <w:proofErr w:type="gramStart"/>
            <w:r w:rsidRPr="003E6554">
              <w:rPr>
                <w:rFonts w:ascii="Times New Roman" w:hAnsi="Times New Roman" w:cs="Times New Roman"/>
                <w:szCs w:val="22"/>
              </w:rPr>
              <w:t>Of</w:t>
            </w:r>
            <w:proofErr w:type="gramEnd"/>
            <w:r w:rsidRPr="003E6554">
              <w:rPr>
                <w:rFonts w:ascii="Times New Roman" w:hAnsi="Times New Roman" w:cs="Times New Roman"/>
                <w:szCs w:val="22"/>
              </w:rPr>
              <w:t xml:space="preserve"> Plan Revenue Expenditures </w:t>
            </w:r>
            <w:proofErr w:type="gramStart"/>
            <w:r w:rsidRPr="003E6554">
              <w:rPr>
                <w:rFonts w:ascii="Times New Roman" w:hAnsi="Times New Roman" w:cs="Times New Roman"/>
                <w:szCs w:val="22"/>
              </w:rPr>
              <w:t>Of</w:t>
            </w:r>
            <w:proofErr w:type="gramEnd"/>
            <w:r w:rsidRPr="003E6554">
              <w:rPr>
                <w:rFonts w:ascii="Times New Roman" w:hAnsi="Times New Roman" w:cs="Times New Roman"/>
                <w:szCs w:val="22"/>
              </w:rPr>
              <w:t xml:space="preserve"> </w:t>
            </w:r>
            <w:proofErr w:type="gramStart"/>
            <w:r w:rsidRPr="003E6554">
              <w:rPr>
                <w:rFonts w:ascii="Times New Roman" w:hAnsi="Times New Roman" w:cs="Times New Roman"/>
                <w:szCs w:val="22"/>
              </w:rPr>
              <w:t>The</w:t>
            </w:r>
            <w:proofErr w:type="gramEnd"/>
            <w:r w:rsidRPr="003E6554">
              <w:rPr>
                <w:rFonts w:ascii="Times New Roman" w:hAnsi="Times New Roman" w:cs="Times New Roman"/>
                <w:szCs w:val="22"/>
              </w:rPr>
              <w:t xml:space="preserve"> States.</w:t>
            </w:r>
          </w:p>
        </w:tc>
        <w:tc>
          <w:tcPr>
            <w:tcW w:w="1250" w:type="dxa"/>
            <w:hideMark/>
          </w:tcPr>
          <w:p w14:paraId="5EAFA860" w14:textId="77777777" w:rsidR="00F5004E" w:rsidRPr="003E6554" w:rsidRDefault="00F5004E" w:rsidP="00F5004E">
            <w:pPr>
              <w:tabs>
                <w:tab w:val="left" w:pos="3192"/>
              </w:tabs>
              <w:spacing w:after="160" w:line="278" w:lineRule="auto"/>
              <w:rPr>
                <w:rFonts w:ascii="Times New Roman" w:hAnsi="Times New Roman" w:cs="Times New Roman"/>
                <w:szCs w:val="22"/>
              </w:rPr>
            </w:pPr>
            <w:r w:rsidRPr="003E6554">
              <w:rPr>
                <w:rFonts w:ascii="Times New Roman" w:hAnsi="Times New Roman" w:cs="Times New Roman"/>
                <w:szCs w:val="22"/>
              </w:rPr>
              <w:t>133-134</w:t>
            </w:r>
          </w:p>
        </w:tc>
      </w:tr>
    </w:tbl>
    <w:p w14:paraId="1FBB5A5E" w14:textId="77777777" w:rsidR="00655512" w:rsidRPr="00AA6AF4" w:rsidRDefault="00655512" w:rsidP="00655512">
      <w:pPr>
        <w:tabs>
          <w:tab w:val="left" w:pos="3192"/>
        </w:tabs>
        <w:jc w:val="center"/>
        <w:rPr>
          <w:rFonts w:ascii="Times New Roman" w:hAnsi="Times New Roman" w:cs="Times New Roman"/>
          <w:sz w:val="52"/>
          <w:szCs w:val="52"/>
        </w:rPr>
      </w:pPr>
      <w:r w:rsidRPr="00AA6AF4">
        <w:rPr>
          <w:rFonts w:ascii="Times New Roman" w:hAnsi="Times New Roman" w:cs="Times New Roman"/>
          <w:b/>
          <w:bCs/>
          <w:sz w:val="52"/>
          <w:szCs w:val="52"/>
        </w:rPr>
        <w:t>CONTENTS</w:t>
      </w:r>
    </w:p>
    <w:p w14:paraId="790DC0CD" w14:textId="77777777" w:rsidR="00F5004E" w:rsidRPr="00AA6AF4" w:rsidRDefault="00F5004E" w:rsidP="00F5004E">
      <w:pPr>
        <w:tabs>
          <w:tab w:val="left" w:pos="3192"/>
        </w:tabs>
        <w:jc w:val="center"/>
        <w:rPr>
          <w:rFonts w:ascii="Times New Roman" w:hAnsi="Times New Roman" w:cs="Times New Roman"/>
          <w:b/>
          <w:bCs/>
          <w:sz w:val="52"/>
          <w:szCs w:val="52"/>
        </w:rPr>
      </w:pPr>
    </w:p>
    <w:p w14:paraId="00D6BEB9" w14:textId="77D100D9" w:rsidR="00F5004E" w:rsidRPr="00AA6AF4" w:rsidRDefault="00F5004E">
      <w:pPr>
        <w:rPr>
          <w:rFonts w:ascii="Times New Roman" w:hAnsi="Times New Roman" w:cs="Times New Roman"/>
        </w:rPr>
      </w:pPr>
    </w:p>
    <w:p w14:paraId="785C854F" w14:textId="789376B4" w:rsidR="00513AAB" w:rsidRPr="00AA6AF4" w:rsidRDefault="00513AAB">
      <w:pPr>
        <w:rPr>
          <w:rFonts w:ascii="Times New Roman" w:hAnsi="Times New Roman" w:cs="Times New Roman"/>
        </w:rPr>
      </w:pPr>
      <w:r w:rsidRPr="00AA6AF4">
        <w:rPr>
          <w:rFonts w:ascii="Times New Roman" w:hAnsi="Times New Roman" w:cs="Times New Roman"/>
        </w:rPr>
        <w:br w:type="page"/>
      </w:r>
    </w:p>
    <w:p w14:paraId="23508733" w14:textId="1D58C60A" w:rsidR="00513AAB" w:rsidRPr="00AA6AF4" w:rsidRDefault="00D243B2" w:rsidP="00C6267F">
      <w:pPr>
        <w:pStyle w:val="Heading5"/>
        <w:sectPr w:rsidR="00513AAB" w:rsidRPr="00AA6AF4" w:rsidSect="00DC19D6">
          <w:pgSz w:w="11906" w:h="16838"/>
          <w:pgMar w:top="567" w:right="424" w:bottom="993" w:left="0" w:header="708" w:footer="708" w:gutter="0"/>
          <w:cols w:space="708"/>
          <w:docGrid w:linePitch="360"/>
        </w:sectPr>
      </w:pPr>
      <w:r w:rsidRPr="00E71728">
        <w:lastRenderedPageBreak/>
        <w:br/>
      </w:r>
      <w:bookmarkStart w:id="133" w:name="_Toc222399514"/>
      <w:r w:rsidR="00513AAB" w:rsidRPr="00E71728">
        <w:t xml:space="preserve">List Of Organisations </w:t>
      </w:r>
      <w:proofErr w:type="gramStart"/>
      <w:r w:rsidR="00513AAB" w:rsidRPr="00E71728">
        <w:t>And</w:t>
      </w:r>
      <w:proofErr w:type="gramEnd"/>
      <w:r w:rsidR="00513AAB" w:rsidRPr="00E71728">
        <w:t xml:space="preserve"> Individuals Who Submitted Memoranda </w:t>
      </w:r>
      <w:proofErr w:type="gramStart"/>
      <w:r w:rsidR="00513AAB" w:rsidRPr="00E71728">
        <w:t>To</w:t>
      </w:r>
      <w:proofErr w:type="gramEnd"/>
      <w:r w:rsidR="00513AAB" w:rsidRPr="00E71728">
        <w:t xml:space="preserve"> </w:t>
      </w:r>
      <w:proofErr w:type="gramStart"/>
      <w:r w:rsidR="00513AAB" w:rsidRPr="00E71728">
        <w:t>The</w:t>
      </w:r>
      <w:proofErr w:type="gramEnd"/>
      <w:r w:rsidR="00513AAB" w:rsidRPr="00E71728">
        <w:t xml:space="preserve"> Finance Commission</w:t>
      </w:r>
      <w:bookmarkEnd w:id="133"/>
      <w:r>
        <w:br/>
      </w:r>
    </w:p>
    <w:p w14:paraId="635F6C4B" w14:textId="77777777" w:rsidR="00513AAB" w:rsidRPr="0011091E" w:rsidRDefault="00513AAB" w:rsidP="0011091E">
      <w:pPr>
        <w:spacing w:after="0" w:line="200" w:lineRule="exact"/>
        <w:ind w:left="360"/>
        <w:jc w:val="both"/>
        <w:rPr>
          <w:rFonts w:ascii="Times New Roman" w:hAnsi="Times New Roman" w:cs="Times New Roman"/>
          <w:b/>
          <w:bCs/>
          <w:sz w:val="16"/>
          <w:szCs w:val="16"/>
          <w:u w:val="single"/>
        </w:rPr>
      </w:pPr>
      <w:r w:rsidRPr="0011091E">
        <w:rPr>
          <w:rFonts w:ascii="Times New Roman" w:hAnsi="Times New Roman" w:cs="Times New Roman"/>
          <w:b/>
          <w:bCs/>
          <w:sz w:val="16"/>
          <w:szCs w:val="16"/>
          <w:u w:val="single"/>
        </w:rPr>
        <w:t>Andhra Pradesh</w:t>
      </w:r>
    </w:p>
    <w:p w14:paraId="5ECA5EFF" w14:textId="1B28CC74"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M.S.N. Swamy, P.R.</w:t>
      </w:r>
      <w:r w:rsidR="0081122E" w:rsidRPr="00E71728">
        <w:rPr>
          <w:rFonts w:ascii="Times New Roman" w:hAnsi="Times New Roman" w:cs="Times New Roman"/>
          <w:sz w:val="16"/>
          <w:szCs w:val="16"/>
        </w:rPr>
        <w:t>D</w:t>
      </w:r>
      <w:r w:rsidRPr="00E71728">
        <w:rPr>
          <w:rFonts w:ascii="Times New Roman" w:hAnsi="Times New Roman" w:cs="Times New Roman"/>
          <w:sz w:val="16"/>
          <w:szCs w:val="16"/>
        </w:rPr>
        <w:t xml:space="preserve">., S.O. Bobbili Mandal, </w:t>
      </w:r>
      <w:proofErr w:type="spellStart"/>
      <w:r w:rsidRPr="00E71728">
        <w:rPr>
          <w:rFonts w:ascii="Times New Roman" w:hAnsi="Times New Roman" w:cs="Times New Roman"/>
          <w:sz w:val="16"/>
          <w:szCs w:val="16"/>
        </w:rPr>
        <w:t>Vijayanagaram</w:t>
      </w:r>
      <w:proofErr w:type="spellEnd"/>
      <w:r w:rsidRPr="00E71728">
        <w:rPr>
          <w:rFonts w:ascii="Times New Roman" w:hAnsi="Times New Roman" w:cs="Times New Roman"/>
          <w:sz w:val="16"/>
          <w:szCs w:val="16"/>
        </w:rPr>
        <w:t xml:space="preserve"> District, Andhra Pradesh-532558.</w:t>
      </w:r>
    </w:p>
    <w:p w14:paraId="14AB501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V.K. Parigi, Secretary, Consumer Education Centre, No. 4, Sesha Vila, 3-6-293, First Floor, Hyderabad-500029.</w:t>
      </w:r>
    </w:p>
    <w:p w14:paraId="0B2CCBC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Vavilala </w:t>
      </w:r>
      <w:proofErr w:type="spellStart"/>
      <w:r w:rsidRPr="00E71728">
        <w:rPr>
          <w:rFonts w:ascii="Times New Roman" w:hAnsi="Times New Roman" w:cs="Times New Roman"/>
          <w:sz w:val="16"/>
          <w:szCs w:val="16"/>
        </w:rPr>
        <w:t>Gopalakrishnayya</w:t>
      </w:r>
      <w:proofErr w:type="spellEnd"/>
      <w:r w:rsidRPr="00E71728">
        <w:rPr>
          <w:rFonts w:ascii="Times New Roman" w:hAnsi="Times New Roman" w:cs="Times New Roman"/>
          <w:sz w:val="16"/>
          <w:szCs w:val="16"/>
        </w:rPr>
        <w:t>, Former M.L.A., Sattenapalli-522403. (Submitted two Memoranda)</w:t>
      </w:r>
    </w:p>
    <w:p w14:paraId="5091DB45"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Y. Sivaji, Yalamanchili, Guntur-522006.</w:t>
      </w:r>
    </w:p>
    <w:p w14:paraId="0695C155"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R.D. Prasad, C/o S.G. Narayana, </w:t>
      </w:r>
      <w:proofErr w:type="spellStart"/>
      <w:r w:rsidRPr="00E71728">
        <w:rPr>
          <w:rFonts w:ascii="Times New Roman" w:hAnsi="Times New Roman" w:cs="Times New Roman"/>
          <w:sz w:val="16"/>
          <w:szCs w:val="16"/>
        </w:rPr>
        <w:t>H.No</w:t>
      </w:r>
      <w:proofErr w:type="spellEnd"/>
      <w:r w:rsidRPr="00E71728">
        <w:rPr>
          <w:rFonts w:ascii="Times New Roman" w:hAnsi="Times New Roman" w:cs="Times New Roman"/>
          <w:sz w:val="16"/>
          <w:szCs w:val="16"/>
        </w:rPr>
        <w:t xml:space="preserve">. 1/36, </w:t>
      </w:r>
      <w:proofErr w:type="spellStart"/>
      <w:r w:rsidRPr="00E71728">
        <w:rPr>
          <w:rFonts w:ascii="Times New Roman" w:hAnsi="Times New Roman" w:cs="Times New Roman"/>
          <w:sz w:val="16"/>
          <w:szCs w:val="16"/>
        </w:rPr>
        <w:t>Zeerangi</w:t>
      </w:r>
      <w:proofErr w:type="spellEnd"/>
      <w:r w:rsidRPr="00E71728">
        <w:rPr>
          <w:rFonts w:ascii="Times New Roman" w:hAnsi="Times New Roman" w:cs="Times New Roman"/>
          <w:sz w:val="16"/>
          <w:szCs w:val="16"/>
        </w:rPr>
        <w:t xml:space="preserve"> Pet Street, Adoni, District Kurnool-518301.</w:t>
      </w:r>
    </w:p>
    <w:p w14:paraId="3A26967F"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P. Janardhana Reddy, MLA, City Congress Committee, Tilak Road, Sultan Bazar, Hyderabad.</w:t>
      </w:r>
    </w:p>
    <w:p w14:paraId="75685DF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Indian Union Muslim League, A.P. General Secretary, IMUL 5-8-548/D, Arastu Complex, Abids, Hyderabad - 500001.</w:t>
      </w:r>
    </w:p>
    <w:p w14:paraId="3FE92EFC" w14:textId="77777777" w:rsidR="00513AAB" w:rsidRPr="0011091E" w:rsidRDefault="00513AAB" w:rsidP="0011091E">
      <w:pPr>
        <w:spacing w:after="0" w:line="200" w:lineRule="exact"/>
        <w:ind w:left="360"/>
        <w:jc w:val="both"/>
        <w:rPr>
          <w:rFonts w:ascii="Times New Roman" w:hAnsi="Times New Roman" w:cs="Times New Roman"/>
          <w:b/>
          <w:bCs/>
          <w:sz w:val="16"/>
          <w:szCs w:val="16"/>
          <w:u w:val="single"/>
        </w:rPr>
      </w:pPr>
      <w:r w:rsidRPr="0011091E">
        <w:rPr>
          <w:rFonts w:ascii="Times New Roman" w:hAnsi="Times New Roman" w:cs="Times New Roman"/>
          <w:b/>
          <w:bCs/>
          <w:sz w:val="16"/>
          <w:szCs w:val="16"/>
          <w:u w:val="single"/>
        </w:rPr>
        <w:t>Assam</w:t>
      </w:r>
    </w:p>
    <w:p w14:paraId="6FBC4F3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Harinath, General Secretary, Assam State Employees' Federation, C/o Cotton College, Guwahati-781001. (Submitted two Memoranda)</w:t>
      </w:r>
    </w:p>
    <w:p w14:paraId="2636D5E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D.P. Barooah, Vice Chancellor, </w:t>
      </w:r>
      <w:proofErr w:type="spellStart"/>
      <w:r w:rsidRPr="00E71728">
        <w:rPr>
          <w:rFonts w:ascii="Times New Roman" w:hAnsi="Times New Roman" w:cs="Times New Roman"/>
          <w:sz w:val="16"/>
          <w:szCs w:val="16"/>
        </w:rPr>
        <w:t>Gauhati</w:t>
      </w:r>
      <w:proofErr w:type="spellEnd"/>
      <w:r w:rsidRPr="00E71728">
        <w:rPr>
          <w:rFonts w:ascii="Times New Roman" w:hAnsi="Times New Roman" w:cs="Times New Roman"/>
          <w:sz w:val="16"/>
          <w:szCs w:val="16"/>
        </w:rPr>
        <w:t xml:space="preserve"> University, Guwahati.</w:t>
      </w:r>
    </w:p>
    <w:p w14:paraId="20B7F2E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G.C. Phukan, Retired Financial Commissioner Government of Assam, Guwahati.</w:t>
      </w:r>
    </w:p>
    <w:p w14:paraId="4BED68E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K.C. Baruah, IAS (Retired) </w:t>
      </w:r>
      <w:proofErr w:type="spellStart"/>
      <w:r w:rsidRPr="00E71728">
        <w:rPr>
          <w:rFonts w:ascii="Times New Roman" w:hAnsi="Times New Roman" w:cs="Times New Roman"/>
          <w:sz w:val="16"/>
          <w:szCs w:val="16"/>
        </w:rPr>
        <w:t>Kharghuli</w:t>
      </w:r>
      <w:proofErr w:type="spellEnd"/>
      <w:r w:rsidRPr="00E71728">
        <w:rPr>
          <w:rFonts w:ascii="Times New Roman" w:hAnsi="Times New Roman" w:cs="Times New Roman"/>
          <w:sz w:val="16"/>
          <w:szCs w:val="16"/>
        </w:rPr>
        <w:t>, Guwahati.</w:t>
      </w:r>
    </w:p>
    <w:p w14:paraId="6DDEEEA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J.N. Das, Ex-Vice Chancellor, Dibrugarh University and Presently Director, Law Research Institute, Guwahati High Court, Guwahati.</w:t>
      </w:r>
    </w:p>
    <w:p w14:paraId="1C75D94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Jayanta Rangpi, Chief Executive Member, Karbi </w:t>
      </w:r>
      <w:proofErr w:type="spellStart"/>
      <w:r w:rsidRPr="00E71728">
        <w:rPr>
          <w:rFonts w:ascii="Times New Roman" w:hAnsi="Times New Roman" w:cs="Times New Roman"/>
          <w:sz w:val="16"/>
          <w:szCs w:val="16"/>
        </w:rPr>
        <w:t>Anglong</w:t>
      </w:r>
      <w:proofErr w:type="spellEnd"/>
      <w:r w:rsidRPr="00E71728">
        <w:rPr>
          <w:rFonts w:ascii="Times New Roman" w:hAnsi="Times New Roman" w:cs="Times New Roman"/>
          <w:sz w:val="16"/>
          <w:szCs w:val="16"/>
        </w:rPr>
        <w:t xml:space="preserve"> District Council, </w:t>
      </w:r>
      <w:proofErr w:type="spellStart"/>
      <w:r w:rsidRPr="00E71728">
        <w:rPr>
          <w:rFonts w:ascii="Times New Roman" w:hAnsi="Times New Roman" w:cs="Times New Roman"/>
          <w:sz w:val="16"/>
          <w:szCs w:val="16"/>
        </w:rPr>
        <w:t>Diphu</w:t>
      </w:r>
      <w:proofErr w:type="spellEnd"/>
      <w:r w:rsidRPr="00E71728">
        <w:rPr>
          <w:rFonts w:ascii="Times New Roman" w:hAnsi="Times New Roman" w:cs="Times New Roman"/>
          <w:sz w:val="16"/>
          <w:szCs w:val="16"/>
        </w:rPr>
        <w:t>.</w:t>
      </w:r>
    </w:p>
    <w:p w14:paraId="701E430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G.C. </w:t>
      </w:r>
      <w:proofErr w:type="spellStart"/>
      <w:r w:rsidRPr="00E71728">
        <w:rPr>
          <w:rFonts w:ascii="Times New Roman" w:hAnsi="Times New Roman" w:cs="Times New Roman"/>
          <w:sz w:val="16"/>
          <w:szCs w:val="16"/>
        </w:rPr>
        <w:t>Langthasa</w:t>
      </w:r>
      <w:proofErr w:type="spellEnd"/>
      <w:r w:rsidRPr="00E71728">
        <w:rPr>
          <w:rFonts w:ascii="Times New Roman" w:hAnsi="Times New Roman" w:cs="Times New Roman"/>
          <w:sz w:val="16"/>
          <w:szCs w:val="16"/>
        </w:rPr>
        <w:t xml:space="preserve">, Chief Executive Member, North </w:t>
      </w:r>
      <w:proofErr w:type="spellStart"/>
      <w:r w:rsidRPr="00E71728">
        <w:rPr>
          <w:rFonts w:ascii="Times New Roman" w:hAnsi="Times New Roman" w:cs="Times New Roman"/>
          <w:sz w:val="16"/>
          <w:szCs w:val="16"/>
        </w:rPr>
        <w:t>Cachar</w:t>
      </w:r>
      <w:proofErr w:type="spellEnd"/>
      <w:r w:rsidRPr="00E71728">
        <w:rPr>
          <w:rFonts w:ascii="Times New Roman" w:hAnsi="Times New Roman" w:cs="Times New Roman"/>
          <w:sz w:val="16"/>
          <w:szCs w:val="16"/>
        </w:rPr>
        <w:t xml:space="preserve"> Hills Autonomous District Council, </w:t>
      </w:r>
      <w:proofErr w:type="spellStart"/>
      <w:r w:rsidRPr="00E71728">
        <w:rPr>
          <w:rFonts w:ascii="Times New Roman" w:hAnsi="Times New Roman" w:cs="Times New Roman"/>
          <w:sz w:val="16"/>
          <w:szCs w:val="16"/>
        </w:rPr>
        <w:t>Haflong</w:t>
      </w:r>
      <w:proofErr w:type="spellEnd"/>
      <w:r w:rsidRPr="00E71728">
        <w:rPr>
          <w:rFonts w:ascii="Times New Roman" w:hAnsi="Times New Roman" w:cs="Times New Roman"/>
          <w:sz w:val="16"/>
          <w:szCs w:val="16"/>
        </w:rPr>
        <w:t>.</w:t>
      </w:r>
    </w:p>
    <w:p w14:paraId="53FD43A5"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Charan Deka, Secretary General, Sadou Asom </w:t>
      </w:r>
      <w:proofErr w:type="spellStart"/>
      <w:r w:rsidRPr="00E71728">
        <w:rPr>
          <w:rFonts w:ascii="Times New Roman" w:hAnsi="Times New Roman" w:cs="Times New Roman"/>
          <w:sz w:val="16"/>
          <w:szCs w:val="16"/>
        </w:rPr>
        <w:t>Karmachari</w:t>
      </w:r>
      <w:proofErr w:type="spellEnd"/>
      <w:r w:rsidRPr="00E71728">
        <w:rPr>
          <w:rFonts w:ascii="Times New Roman" w:hAnsi="Times New Roman" w:cs="Times New Roman"/>
          <w:sz w:val="16"/>
          <w:szCs w:val="16"/>
        </w:rPr>
        <w:t xml:space="preserve"> Parishad Central Office, Guwahati.</w:t>
      </w:r>
    </w:p>
    <w:p w14:paraId="3618F97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Devakanta Kakati, IPS (Retd.) Advocate and Member Law Commission and Pay Commission, Assam, Guwahati.</w:t>
      </w:r>
    </w:p>
    <w:p w14:paraId="772732F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Chief Justice, High Court, Assam Guwahati.</w:t>
      </w:r>
    </w:p>
    <w:p w14:paraId="35DB9E7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 Deb Roy, Chief Conservator of Forests(G), Assam, Guwahati.</w:t>
      </w:r>
    </w:p>
    <w:p w14:paraId="455B795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Atul Bora, Minister of Flood Control, Government of Assam, Dispur.</w:t>
      </w:r>
    </w:p>
    <w:p w14:paraId="614A382C"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Bhrigu Kumar Phukan, Minister of Tourism, Government of Assam, Dispur.</w:t>
      </w:r>
    </w:p>
    <w:p w14:paraId="7759D3B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Registrar, Dibrugarh University, Dibrugarh.</w:t>
      </w:r>
    </w:p>
    <w:p w14:paraId="58999325" w14:textId="0FFA0058"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proofErr w:type="spellStart"/>
      <w:r w:rsidRPr="00E71728">
        <w:rPr>
          <w:rFonts w:ascii="Times New Roman" w:hAnsi="Times New Roman" w:cs="Times New Roman"/>
          <w:sz w:val="16"/>
          <w:szCs w:val="16"/>
        </w:rPr>
        <w:t>Agro</w:t>
      </w:r>
      <w:proofErr w:type="spellEnd"/>
      <w:r w:rsidRPr="00E71728">
        <w:rPr>
          <w:rFonts w:ascii="Times New Roman" w:hAnsi="Times New Roman" w:cs="Times New Roman"/>
          <w:sz w:val="16"/>
          <w:szCs w:val="16"/>
        </w:rPr>
        <w:t xml:space="preserve"> Economics Research Centre for North East India, Assam Agricultural University.</w:t>
      </w:r>
    </w:p>
    <w:p w14:paraId="4BBD0DDF" w14:textId="77777777" w:rsidR="00513AAB" w:rsidRPr="00E71728" w:rsidRDefault="00513AAB" w:rsidP="0011091E">
      <w:pPr>
        <w:spacing w:after="0" w:line="200" w:lineRule="exact"/>
        <w:jc w:val="both"/>
        <w:rPr>
          <w:rFonts w:ascii="Times New Roman" w:hAnsi="Times New Roman" w:cs="Times New Roman"/>
          <w:b/>
          <w:bCs/>
          <w:sz w:val="16"/>
          <w:szCs w:val="16"/>
          <w:u w:val="single"/>
        </w:rPr>
      </w:pPr>
    </w:p>
    <w:p w14:paraId="6431D972" w14:textId="16AED20E"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Bihar</w:t>
      </w:r>
    </w:p>
    <w:p w14:paraId="676FE16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Chaturanan Mishra, M.P. (Rajya Sabha)</w:t>
      </w:r>
    </w:p>
    <w:p w14:paraId="4A26F0F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P.K. Jha, MA, BL, Ph.D., Professor and Head, Department of Economics, L.N. Mithila University, Darbhanga, Bihar. (Submitted two Memoranda)</w:t>
      </w:r>
    </w:p>
    <w:p w14:paraId="52F7886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Yogendra Prasad Singh, General Secretary, Bihar State Non-Gazetted Employees' Federation, Patna.</w:t>
      </w:r>
    </w:p>
    <w:p w14:paraId="7D37B7B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Umadhar Prasad Singh, M.L.A., Bihar Legislative Assembly, 141, M.L.A. Flats, Water Tower, Patna. (Submitted three Memoranda)</w:t>
      </w:r>
    </w:p>
    <w:p w14:paraId="5D90F14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Rajo Singh, M.L.A, 16, Bailey Road, Patna.</w:t>
      </w:r>
    </w:p>
    <w:p w14:paraId="1C860BC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N.K. Prasad, President, Bihar Pensioner Samaj, North </w:t>
      </w:r>
      <w:proofErr w:type="spellStart"/>
      <w:r w:rsidRPr="00E71728">
        <w:rPr>
          <w:rFonts w:ascii="Times New Roman" w:hAnsi="Times New Roman" w:cs="Times New Roman"/>
          <w:sz w:val="16"/>
          <w:szCs w:val="16"/>
        </w:rPr>
        <w:t>Shreekrishan</w:t>
      </w:r>
      <w:proofErr w:type="spellEnd"/>
      <w:r w:rsidRPr="00E71728">
        <w:rPr>
          <w:rFonts w:ascii="Times New Roman" w:hAnsi="Times New Roman" w:cs="Times New Roman"/>
          <w:sz w:val="16"/>
          <w:szCs w:val="16"/>
        </w:rPr>
        <w:t xml:space="preserve"> Puri, Patna-800013.</w:t>
      </w:r>
    </w:p>
    <w:p w14:paraId="5D7EFEA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B. Kumar, Reader in Commerce, Shastri Nagar, Dhanbad-826001.</w:t>
      </w:r>
    </w:p>
    <w:p w14:paraId="6BFD18D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The General Secretary, All India Retailers Federation Patna - 800003.</w:t>
      </w:r>
    </w:p>
    <w:p w14:paraId="67AE38A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K.M. Sahay, Mayor, Patna </w:t>
      </w:r>
      <w:proofErr w:type="spellStart"/>
      <w:r w:rsidRPr="00E71728">
        <w:rPr>
          <w:rFonts w:ascii="Times New Roman" w:hAnsi="Times New Roman" w:cs="Times New Roman"/>
          <w:sz w:val="16"/>
          <w:szCs w:val="16"/>
        </w:rPr>
        <w:t>Municpal</w:t>
      </w:r>
      <w:proofErr w:type="spellEnd"/>
      <w:r w:rsidRPr="00E71728">
        <w:rPr>
          <w:rFonts w:ascii="Times New Roman" w:hAnsi="Times New Roman" w:cs="Times New Roman"/>
          <w:sz w:val="16"/>
          <w:szCs w:val="16"/>
        </w:rPr>
        <w:t xml:space="preserve"> Corporation, Budh Marg, Patna.</w:t>
      </w:r>
    </w:p>
    <w:p w14:paraId="21C0755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Bihar Jan Vikas Morcha, Patna.</w:t>
      </w:r>
    </w:p>
    <w:p w14:paraId="6F62BBE2"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S.P. </w:t>
      </w:r>
      <w:proofErr w:type="spellStart"/>
      <w:r w:rsidRPr="00E71728">
        <w:rPr>
          <w:rFonts w:ascii="Times New Roman" w:hAnsi="Times New Roman" w:cs="Times New Roman"/>
          <w:sz w:val="16"/>
          <w:szCs w:val="16"/>
        </w:rPr>
        <w:t>Tewary</w:t>
      </w:r>
      <w:proofErr w:type="spellEnd"/>
      <w:r w:rsidRPr="00E71728">
        <w:rPr>
          <w:rFonts w:ascii="Times New Roman" w:hAnsi="Times New Roman" w:cs="Times New Roman"/>
          <w:sz w:val="16"/>
          <w:szCs w:val="16"/>
        </w:rPr>
        <w:t>, Chairman, Bihar State Gazetted Officers' Federation, Patna.</w:t>
      </w:r>
    </w:p>
    <w:p w14:paraId="39CEC42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Atam Dev Singh, Chairman, Action Research Institute for Developmental Studies, F 98, </w:t>
      </w:r>
      <w:proofErr w:type="spellStart"/>
      <w:r w:rsidRPr="00E71728">
        <w:rPr>
          <w:rFonts w:ascii="Times New Roman" w:hAnsi="Times New Roman" w:cs="Times New Roman"/>
          <w:sz w:val="16"/>
          <w:szCs w:val="16"/>
        </w:rPr>
        <w:t>Srikrishnapuri</w:t>
      </w:r>
      <w:proofErr w:type="spellEnd"/>
      <w:r w:rsidRPr="00E71728">
        <w:rPr>
          <w:rFonts w:ascii="Times New Roman" w:hAnsi="Times New Roman" w:cs="Times New Roman"/>
          <w:sz w:val="16"/>
          <w:szCs w:val="16"/>
        </w:rPr>
        <w:t>, Patna.</w:t>
      </w:r>
    </w:p>
    <w:p w14:paraId="4C484ADC" w14:textId="77777777" w:rsidR="00513AAB" w:rsidRPr="0011091E" w:rsidRDefault="00513AAB" w:rsidP="0011091E">
      <w:pPr>
        <w:spacing w:after="0" w:line="200" w:lineRule="exact"/>
        <w:ind w:left="360"/>
        <w:jc w:val="both"/>
        <w:rPr>
          <w:rFonts w:ascii="Times New Roman" w:hAnsi="Times New Roman" w:cs="Times New Roman"/>
          <w:b/>
          <w:bCs/>
          <w:sz w:val="16"/>
          <w:szCs w:val="16"/>
          <w:u w:val="single"/>
        </w:rPr>
      </w:pPr>
      <w:r w:rsidRPr="0011091E">
        <w:rPr>
          <w:rFonts w:ascii="Times New Roman" w:hAnsi="Times New Roman" w:cs="Times New Roman"/>
          <w:b/>
          <w:bCs/>
          <w:sz w:val="16"/>
          <w:szCs w:val="16"/>
          <w:u w:val="single"/>
        </w:rPr>
        <w:t>Chandigarh</w:t>
      </w:r>
    </w:p>
    <w:p w14:paraId="0C6CBE5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Gian Chand, 1147/8 C, Chandigarh-160008.</w:t>
      </w:r>
    </w:p>
    <w:p w14:paraId="42CE5F47"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Delhi</w:t>
      </w:r>
    </w:p>
    <w:p w14:paraId="0229FA9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Sukomal Sen, Member of Parliament (RS) and General Secretary, All India State Government Employees' Federation, 201 B, V.P. House, Rafi Marg, New Delhi-110001.</w:t>
      </w:r>
    </w:p>
    <w:p w14:paraId="1F7E430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E.M.S. </w:t>
      </w:r>
      <w:proofErr w:type="spellStart"/>
      <w:r w:rsidRPr="00E71728">
        <w:rPr>
          <w:rFonts w:ascii="Times New Roman" w:hAnsi="Times New Roman" w:cs="Times New Roman"/>
          <w:sz w:val="16"/>
          <w:szCs w:val="16"/>
        </w:rPr>
        <w:t>Namboodripad</w:t>
      </w:r>
      <w:proofErr w:type="spellEnd"/>
      <w:r w:rsidRPr="00E71728">
        <w:rPr>
          <w:rFonts w:ascii="Times New Roman" w:hAnsi="Times New Roman" w:cs="Times New Roman"/>
          <w:sz w:val="16"/>
          <w:szCs w:val="16"/>
        </w:rPr>
        <w:t xml:space="preserve"> 14, Ashoka Road, New Delhi-110001.</w:t>
      </w:r>
    </w:p>
    <w:p w14:paraId="49DD24E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V.L. Gidwani, 15, Mayfair Apartments, Mayfair Gardens, Hauz Khas, New Delhi-110016.</w:t>
      </w:r>
    </w:p>
    <w:p w14:paraId="43DE855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S.K. Singh, Department of Economics, A.R.S.D. College, (University of Delhi), Dhaula Kuan, New Delhi-110021.</w:t>
      </w:r>
    </w:p>
    <w:p w14:paraId="4AAE545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H.L. Bhatia, Department of Economics, Shri Ram College of Commerce, University of Delhi, Delhi-110007.</w:t>
      </w:r>
    </w:p>
    <w:p w14:paraId="1CE753FF"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K.R.G. Nair, Department of Business Economics, University of Delhi, South Campus, Benito Juarez Road, New Delhi-110021.</w:t>
      </w:r>
    </w:p>
    <w:p w14:paraId="718E19C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S.K. </w:t>
      </w:r>
      <w:proofErr w:type="spellStart"/>
      <w:r w:rsidRPr="00E71728">
        <w:rPr>
          <w:rFonts w:ascii="Times New Roman" w:hAnsi="Times New Roman" w:cs="Times New Roman"/>
          <w:sz w:val="16"/>
          <w:szCs w:val="16"/>
        </w:rPr>
        <w:t>Agrawala</w:t>
      </w:r>
      <w:proofErr w:type="spellEnd"/>
      <w:r w:rsidRPr="00E71728">
        <w:rPr>
          <w:rFonts w:ascii="Times New Roman" w:hAnsi="Times New Roman" w:cs="Times New Roman"/>
          <w:sz w:val="16"/>
          <w:szCs w:val="16"/>
        </w:rPr>
        <w:t>, Secretary, Association of Indian Universities, AIU House, 16, Kota Marg, New Delhi-110002.</w:t>
      </w:r>
    </w:p>
    <w:p w14:paraId="00D35082" w14:textId="7F243763"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S.S. Ramachandran, Hon. General Secretary, All India Central Committee of Pensionary Association, Post Box No.9913, New Delhi-110064.</w:t>
      </w:r>
    </w:p>
    <w:p w14:paraId="45C43CD4" w14:textId="77777777" w:rsidR="00513AAB" w:rsidRPr="00E71728" w:rsidRDefault="00513AAB" w:rsidP="0011091E">
      <w:pPr>
        <w:spacing w:after="0" w:line="200" w:lineRule="exact"/>
        <w:ind w:firstLine="284"/>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Goa</w:t>
      </w:r>
    </w:p>
    <w:p w14:paraId="2FF751AC" w14:textId="77189DAE"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Sangum Municipal Council, Goa.</w:t>
      </w:r>
    </w:p>
    <w:p w14:paraId="622DA2B6" w14:textId="77777777" w:rsidR="00513AAB" w:rsidRPr="00E71728" w:rsidRDefault="00513AAB" w:rsidP="0011091E">
      <w:pPr>
        <w:spacing w:after="0" w:line="200" w:lineRule="exact"/>
        <w:ind w:left="720"/>
        <w:jc w:val="both"/>
        <w:rPr>
          <w:rFonts w:ascii="Times New Roman" w:hAnsi="Times New Roman" w:cs="Times New Roman"/>
          <w:sz w:val="16"/>
          <w:szCs w:val="16"/>
        </w:rPr>
      </w:pPr>
    </w:p>
    <w:p w14:paraId="06A06067" w14:textId="3E0508C1"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J.B. Gonsalves, M.L.A., Chairman, Goa, Daman and Diu Tourism Development </w:t>
      </w:r>
      <w:proofErr w:type="spellStart"/>
      <w:r w:rsidRPr="00E71728">
        <w:rPr>
          <w:rFonts w:ascii="Times New Roman" w:hAnsi="Times New Roman" w:cs="Times New Roman"/>
          <w:sz w:val="16"/>
          <w:szCs w:val="16"/>
        </w:rPr>
        <w:t>Corpn</w:t>
      </w:r>
      <w:proofErr w:type="spellEnd"/>
      <w:r w:rsidRPr="00E71728">
        <w:rPr>
          <w:rFonts w:ascii="Times New Roman" w:hAnsi="Times New Roman" w:cs="Times New Roman"/>
          <w:sz w:val="16"/>
          <w:szCs w:val="16"/>
        </w:rPr>
        <w:t>. Ltd., Inter State Bus Terminus, Panaji.</w:t>
      </w:r>
    </w:p>
    <w:p w14:paraId="519F0C42"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Gujarat</w:t>
      </w:r>
    </w:p>
    <w:p w14:paraId="5DA62CB2"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Pranav S. Desai, Anjana P. Desai, A-46, Shree Rang Villa, </w:t>
      </w:r>
      <w:proofErr w:type="spellStart"/>
      <w:r w:rsidRPr="00E71728">
        <w:rPr>
          <w:rFonts w:ascii="Times New Roman" w:hAnsi="Times New Roman" w:cs="Times New Roman"/>
          <w:sz w:val="16"/>
          <w:szCs w:val="16"/>
        </w:rPr>
        <w:t>Vastrapur</w:t>
      </w:r>
      <w:proofErr w:type="spellEnd"/>
      <w:r w:rsidRPr="00E71728">
        <w:rPr>
          <w:rFonts w:ascii="Times New Roman" w:hAnsi="Times New Roman" w:cs="Times New Roman"/>
          <w:sz w:val="16"/>
          <w:szCs w:val="16"/>
        </w:rPr>
        <w:t>, Ahmedabad-380015.</w:t>
      </w:r>
    </w:p>
    <w:p w14:paraId="4B0D9802"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A.N. Jariwala, Chairman, The Surat Art Silk Cloth Manufacturers' Association, Resham Bhavan, Lal Darwaja, Surat-395003. (Submitted two Memoranda)</w:t>
      </w:r>
    </w:p>
    <w:p w14:paraId="638D5B6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I.M. Trivedi, Prof. and Head, Department of Economics, Bhavnagar University, Gaurishankar Lake Road, Bhavnagar-364002. (Submitted three Memoranda)</w:t>
      </w:r>
    </w:p>
    <w:p w14:paraId="40F8F7C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Himmat Patel, Professor, Sardar Patel University, Vallabh Vidyanagar, (Western Railway).</w:t>
      </w:r>
    </w:p>
    <w:p w14:paraId="2A467A5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G.C. Baveja, President, Gujarat Civil Service Tribunal, Block No. 1, 1st floor, </w:t>
      </w:r>
      <w:proofErr w:type="spellStart"/>
      <w:r w:rsidRPr="00E71728">
        <w:rPr>
          <w:rFonts w:ascii="Times New Roman" w:hAnsi="Times New Roman" w:cs="Times New Roman"/>
          <w:sz w:val="16"/>
          <w:szCs w:val="16"/>
        </w:rPr>
        <w:t>Sachivalaya</w:t>
      </w:r>
      <w:proofErr w:type="spellEnd"/>
      <w:r w:rsidRPr="00E71728">
        <w:rPr>
          <w:rFonts w:ascii="Times New Roman" w:hAnsi="Times New Roman" w:cs="Times New Roman"/>
          <w:sz w:val="16"/>
          <w:szCs w:val="16"/>
        </w:rPr>
        <w:t>, Gandhinagar-382010.</w:t>
      </w:r>
    </w:p>
    <w:p w14:paraId="6CCF33E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Chimanbhai Patel, Leader of Opposition, Gujarat Vidhan Sabha, Gandhinagar-382010.</w:t>
      </w:r>
    </w:p>
    <w:p w14:paraId="6407849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Sanat Mehta, Former Finance Minister, Government of Gujarat.</w:t>
      </w:r>
    </w:p>
    <w:p w14:paraId="0F76034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Dinesh Shah, Former Finance and Planning Minister of Gujarat and Founder Director of Vikas Bharti Institute of Policy Studies Research and Futurology, Ahmedabad.</w:t>
      </w:r>
    </w:p>
    <w:p w14:paraId="3D676DC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w:t>
      </w:r>
      <w:proofErr w:type="spellStart"/>
      <w:r w:rsidRPr="00E71728">
        <w:rPr>
          <w:rFonts w:ascii="Times New Roman" w:hAnsi="Times New Roman" w:cs="Times New Roman"/>
          <w:sz w:val="16"/>
          <w:szCs w:val="16"/>
        </w:rPr>
        <w:t>Vrajlal</w:t>
      </w:r>
      <w:proofErr w:type="spellEnd"/>
      <w:r w:rsidRPr="00E71728">
        <w:rPr>
          <w:rFonts w:ascii="Times New Roman" w:hAnsi="Times New Roman" w:cs="Times New Roman"/>
          <w:sz w:val="16"/>
          <w:szCs w:val="16"/>
        </w:rPr>
        <w:t xml:space="preserve"> M. </w:t>
      </w:r>
      <w:proofErr w:type="spellStart"/>
      <w:r w:rsidRPr="00E71728">
        <w:rPr>
          <w:rFonts w:ascii="Times New Roman" w:hAnsi="Times New Roman" w:cs="Times New Roman"/>
          <w:sz w:val="16"/>
          <w:szCs w:val="16"/>
        </w:rPr>
        <w:t>Dhamonwala</w:t>
      </w:r>
      <w:proofErr w:type="spellEnd"/>
      <w:r w:rsidRPr="00E71728">
        <w:rPr>
          <w:rFonts w:ascii="Times New Roman" w:hAnsi="Times New Roman" w:cs="Times New Roman"/>
          <w:sz w:val="16"/>
          <w:szCs w:val="16"/>
        </w:rPr>
        <w:t>, Chairman, The South Gujarat Textile Processors' Association, Ring Road, Near Sahra Darwaja, Surat-395003.</w:t>
      </w:r>
    </w:p>
    <w:p w14:paraId="43EBB96C"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Haryana</w:t>
      </w:r>
    </w:p>
    <w:p w14:paraId="4535324F"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M.L. Sehgal, President, Haryana Subordinate Services Federation, Canal Colony, Tohana-125120, District Hissar.</w:t>
      </w:r>
    </w:p>
    <w:p w14:paraId="24D7E4E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R.K. Jain, IPS (Retd.), No. P-141 Rajnagar, Ghaziabad. (Through Government of Haryana)</w:t>
      </w:r>
    </w:p>
    <w:p w14:paraId="09745FF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B.R. Sharma, Assistant Comptroller (BGT), Haryana Agriculture University, Hissar.</w:t>
      </w:r>
    </w:p>
    <w:p w14:paraId="50921A23"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Himachal Pradesh</w:t>
      </w:r>
    </w:p>
    <w:p w14:paraId="10018C4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M.K. Desai, M.A., B.Ed., Documents Expert, Shimla. (Submitted two Memoranda)</w:t>
      </w:r>
    </w:p>
    <w:p w14:paraId="266F5849"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Gian Chand Totu, M.L.A., Himachal Pradesh Assembly, Shimla-171002.</w:t>
      </w:r>
    </w:p>
    <w:p w14:paraId="189AAFD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Kanwar Durga Chand, M.L.A., President Lok Dal, Set No. 3 and 4, Lytton Block, Shimla-171001.</w:t>
      </w:r>
    </w:p>
    <w:p w14:paraId="0159150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Harbhajan Singh, General Secretary, Himachal Pradesh Congress Committee, 6, The Mall, Shimla-171001.</w:t>
      </w:r>
    </w:p>
    <w:p w14:paraId="5188E81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Adarsh Kumar, Mayor, Municipal Corporation, Shimla-171001.</w:t>
      </w:r>
    </w:p>
    <w:p w14:paraId="4EA93050" w14:textId="12FAB61F"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K.C. Malhotra, Vice-Chancellor, Himachal Pradesh University, Shimla-171005.</w:t>
      </w:r>
    </w:p>
    <w:p w14:paraId="44EDB1B0" w14:textId="77777777" w:rsidR="00513AAB" w:rsidRPr="00E71728" w:rsidRDefault="00513AAB" w:rsidP="0011091E">
      <w:pPr>
        <w:spacing w:after="0" w:line="200" w:lineRule="exact"/>
        <w:rPr>
          <w:rFonts w:ascii="Times New Roman" w:hAnsi="Times New Roman" w:cs="Times New Roman"/>
          <w:sz w:val="16"/>
          <w:szCs w:val="16"/>
        </w:rPr>
      </w:pPr>
    </w:p>
    <w:p w14:paraId="63E69E2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M.P. Gupta, Dr. Y.S. Parmar University of Horticulture and Forestry, Solan-173230.</w:t>
      </w:r>
    </w:p>
    <w:p w14:paraId="214E0D25" w14:textId="77777777" w:rsidR="00513AAB" w:rsidRPr="00E71728" w:rsidRDefault="00513AAB" w:rsidP="0011091E">
      <w:pPr>
        <w:numPr>
          <w:ilvl w:val="0"/>
          <w:numId w:val="15"/>
        </w:numPr>
        <w:spacing w:after="0" w:line="200" w:lineRule="exact"/>
        <w:jc w:val="both"/>
        <w:rPr>
          <w:rFonts w:ascii="Times New Roman" w:hAnsi="Times New Roman" w:cs="Times New Roman"/>
          <w:sz w:val="14"/>
          <w:szCs w:val="14"/>
        </w:rPr>
      </w:pPr>
      <w:r w:rsidRPr="00E71728">
        <w:rPr>
          <w:rFonts w:ascii="Times New Roman" w:hAnsi="Times New Roman" w:cs="Times New Roman"/>
          <w:sz w:val="16"/>
          <w:szCs w:val="16"/>
        </w:rPr>
        <w:t xml:space="preserve">Representatives of Lahul and </w:t>
      </w:r>
      <w:proofErr w:type="spellStart"/>
      <w:r w:rsidRPr="00E71728">
        <w:rPr>
          <w:rFonts w:ascii="Times New Roman" w:hAnsi="Times New Roman" w:cs="Times New Roman"/>
          <w:sz w:val="16"/>
          <w:szCs w:val="16"/>
        </w:rPr>
        <w:t>Spiti</w:t>
      </w:r>
      <w:proofErr w:type="spellEnd"/>
      <w:r w:rsidRPr="00E71728">
        <w:rPr>
          <w:rFonts w:ascii="Times New Roman" w:hAnsi="Times New Roman" w:cs="Times New Roman"/>
          <w:sz w:val="16"/>
          <w:szCs w:val="16"/>
        </w:rPr>
        <w:t xml:space="preserve"> District of Himachal Pradesh</w:t>
      </w:r>
      <w:r w:rsidRPr="00E71728">
        <w:rPr>
          <w:rFonts w:ascii="Times New Roman" w:hAnsi="Times New Roman" w:cs="Times New Roman"/>
          <w:sz w:val="14"/>
          <w:szCs w:val="14"/>
        </w:rPr>
        <w:t>.</w:t>
      </w:r>
    </w:p>
    <w:p w14:paraId="4A5B0926" w14:textId="77777777" w:rsidR="00513AAB" w:rsidRPr="00767C21" w:rsidRDefault="00513AAB" w:rsidP="0011091E">
      <w:pPr>
        <w:spacing w:after="0" w:line="200" w:lineRule="exact"/>
        <w:ind w:left="360"/>
        <w:jc w:val="both"/>
        <w:rPr>
          <w:rFonts w:ascii="Times New Roman" w:hAnsi="Times New Roman" w:cs="Times New Roman"/>
          <w:b/>
          <w:bCs/>
          <w:sz w:val="16"/>
          <w:szCs w:val="16"/>
          <w:u w:val="single"/>
        </w:rPr>
      </w:pPr>
      <w:r w:rsidRPr="00767C21">
        <w:rPr>
          <w:rFonts w:ascii="Times New Roman" w:hAnsi="Times New Roman" w:cs="Times New Roman"/>
          <w:b/>
          <w:bCs/>
          <w:sz w:val="16"/>
          <w:szCs w:val="16"/>
          <w:u w:val="single"/>
        </w:rPr>
        <w:t>Jammu and Kashmir</w:t>
      </w:r>
    </w:p>
    <w:p w14:paraId="217AE64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Ghulam Mohi-</w:t>
      </w:r>
      <w:proofErr w:type="spellStart"/>
      <w:r w:rsidRPr="00E71728">
        <w:rPr>
          <w:rFonts w:ascii="Times New Roman" w:hAnsi="Times New Roman" w:cs="Times New Roman"/>
          <w:sz w:val="16"/>
          <w:szCs w:val="16"/>
        </w:rPr>
        <w:t>ud</w:t>
      </w:r>
      <w:proofErr w:type="spellEnd"/>
      <w:r w:rsidRPr="00E71728">
        <w:rPr>
          <w:rFonts w:ascii="Times New Roman" w:hAnsi="Times New Roman" w:cs="Times New Roman"/>
          <w:sz w:val="16"/>
          <w:szCs w:val="16"/>
        </w:rPr>
        <w:t xml:space="preserve">-din </w:t>
      </w:r>
      <w:proofErr w:type="spellStart"/>
      <w:r w:rsidRPr="00E71728">
        <w:rPr>
          <w:rFonts w:ascii="Times New Roman" w:hAnsi="Times New Roman" w:cs="Times New Roman"/>
          <w:sz w:val="16"/>
          <w:szCs w:val="16"/>
        </w:rPr>
        <w:t>Punoo</w:t>
      </w:r>
      <w:proofErr w:type="spellEnd"/>
      <w:r w:rsidRPr="00E71728">
        <w:rPr>
          <w:rFonts w:ascii="Times New Roman" w:hAnsi="Times New Roman" w:cs="Times New Roman"/>
          <w:sz w:val="16"/>
          <w:szCs w:val="16"/>
        </w:rPr>
        <w:t xml:space="preserve">, General Secretary, All Jammu and Kashmir Low Paid Employees' Federation, C/o </w:t>
      </w:r>
      <w:proofErr w:type="spellStart"/>
      <w:r w:rsidRPr="00E71728">
        <w:rPr>
          <w:rFonts w:ascii="Times New Roman" w:hAnsi="Times New Roman" w:cs="Times New Roman"/>
          <w:sz w:val="16"/>
          <w:szCs w:val="16"/>
        </w:rPr>
        <w:t>Khazir</w:t>
      </w:r>
      <w:proofErr w:type="spellEnd"/>
      <w:r w:rsidRPr="00E71728">
        <w:rPr>
          <w:rFonts w:ascii="Times New Roman" w:hAnsi="Times New Roman" w:cs="Times New Roman"/>
          <w:sz w:val="16"/>
          <w:szCs w:val="16"/>
        </w:rPr>
        <w:t xml:space="preserve"> Manzil </w:t>
      </w:r>
      <w:proofErr w:type="spellStart"/>
      <w:r w:rsidRPr="00E71728">
        <w:rPr>
          <w:rFonts w:ascii="Times New Roman" w:hAnsi="Times New Roman" w:cs="Times New Roman"/>
          <w:sz w:val="16"/>
          <w:szCs w:val="16"/>
        </w:rPr>
        <w:t>Dalgate</w:t>
      </w:r>
      <w:proofErr w:type="spellEnd"/>
      <w:r w:rsidRPr="00E71728">
        <w:rPr>
          <w:rFonts w:ascii="Times New Roman" w:hAnsi="Times New Roman" w:cs="Times New Roman"/>
          <w:sz w:val="16"/>
          <w:szCs w:val="16"/>
        </w:rPr>
        <w:t>, Srinagar-190001. (Submitted two Memoranda)</w:t>
      </w:r>
    </w:p>
    <w:p w14:paraId="02E1D63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Sampat Prakash, President, All Jammu and Kashmir Low Paid Govt. Employees' Federation, EP 714, Jogi Gate, Shahidi Chowk, Jammu Tawi-180001.</w:t>
      </w:r>
    </w:p>
    <w:p w14:paraId="2CE4B9D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President, All Kashmir Boatmen's Union, Ward No. 9, Srinagar (Kashmir), Head Office </w:t>
      </w:r>
      <w:proofErr w:type="spellStart"/>
      <w:r w:rsidRPr="00E71728">
        <w:rPr>
          <w:rFonts w:ascii="Times New Roman" w:hAnsi="Times New Roman" w:cs="Times New Roman"/>
          <w:sz w:val="16"/>
          <w:szCs w:val="16"/>
        </w:rPr>
        <w:t>Dalgate</w:t>
      </w:r>
      <w:proofErr w:type="spellEnd"/>
      <w:r w:rsidRPr="00E71728">
        <w:rPr>
          <w:rFonts w:ascii="Times New Roman" w:hAnsi="Times New Roman" w:cs="Times New Roman"/>
          <w:sz w:val="16"/>
          <w:szCs w:val="16"/>
        </w:rPr>
        <w:t xml:space="preserve"> </w:t>
      </w:r>
      <w:proofErr w:type="spellStart"/>
      <w:r w:rsidRPr="00E71728">
        <w:rPr>
          <w:rFonts w:ascii="Times New Roman" w:hAnsi="Times New Roman" w:cs="Times New Roman"/>
          <w:sz w:val="16"/>
          <w:szCs w:val="16"/>
        </w:rPr>
        <w:t>Kohna</w:t>
      </w:r>
      <w:proofErr w:type="spellEnd"/>
      <w:r w:rsidRPr="00E71728">
        <w:rPr>
          <w:rFonts w:ascii="Times New Roman" w:hAnsi="Times New Roman" w:cs="Times New Roman"/>
          <w:sz w:val="16"/>
          <w:szCs w:val="16"/>
        </w:rPr>
        <w:t xml:space="preserve"> Khan, Srinagar-190001.</w:t>
      </w:r>
    </w:p>
    <w:p w14:paraId="5DB9C16C"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Vinod Avasthi, General Secretary, Federation of Industries and Commerce, Raghunath Bazar, Jammu-180001.</w:t>
      </w:r>
    </w:p>
    <w:p w14:paraId="3A3E410C"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Kashmir Chamber of Commerce and Industries, Residency Road, Srinagar-190001.</w:t>
      </w:r>
    </w:p>
    <w:p w14:paraId="01524A05"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G.M. Khan, President, Jammu and Kashmir Civil Secretariat - </w:t>
      </w:r>
      <w:proofErr w:type="gramStart"/>
      <w:r w:rsidRPr="00E71728">
        <w:rPr>
          <w:rFonts w:ascii="Times New Roman" w:hAnsi="Times New Roman" w:cs="Times New Roman"/>
          <w:sz w:val="16"/>
          <w:szCs w:val="16"/>
        </w:rPr>
        <w:t>Non Gazetted</w:t>
      </w:r>
      <w:proofErr w:type="gramEnd"/>
      <w:r w:rsidRPr="00E71728">
        <w:rPr>
          <w:rFonts w:ascii="Times New Roman" w:hAnsi="Times New Roman" w:cs="Times New Roman"/>
          <w:sz w:val="16"/>
          <w:szCs w:val="16"/>
        </w:rPr>
        <w:t xml:space="preserve"> Employees' Union, Srinagar.</w:t>
      </w:r>
    </w:p>
    <w:p w14:paraId="4CEE616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Abdul Majid Khan, President, All Jammu and Kashmir Low Paid Employees' Federation, Jain Bazar, Jammu Tawi.</w:t>
      </w:r>
    </w:p>
    <w:p w14:paraId="701C9AF7" w14:textId="77777777" w:rsidR="00513AAB" w:rsidRPr="00E71728" w:rsidRDefault="00513AAB" w:rsidP="0011091E">
      <w:pPr>
        <w:numPr>
          <w:ilvl w:val="0"/>
          <w:numId w:val="15"/>
        </w:numPr>
        <w:spacing w:after="0" w:line="200" w:lineRule="exact"/>
        <w:jc w:val="both"/>
        <w:rPr>
          <w:rFonts w:ascii="Times New Roman" w:hAnsi="Times New Roman" w:cs="Times New Roman"/>
          <w:sz w:val="14"/>
          <w:szCs w:val="14"/>
        </w:rPr>
      </w:pPr>
      <w:r w:rsidRPr="00E71728">
        <w:rPr>
          <w:rFonts w:ascii="Times New Roman" w:hAnsi="Times New Roman" w:cs="Times New Roman"/>
          <w:sz w:val="16"/>
          <w:szCs w:val="16"/>
        </w:rPr>
        <w:lastRenderedPageBreak/>
        <w:t xml:space="preserve">Shri Rajinder </w:t>
      </w:r>
      <w:proofErr w:type="spellStart"/>
      <w:r w:rsidRPr="00E71728">
        <w:rPr>
          <w:rFonts w:ascii="Times New Roman" w:hAnsi="Times New Roman" w:cs="Times New Roman"/>
          <w:sz w:val="16"/>
          <w:szCs w:val="16"/>
        </w:rPr>
        <w:t>Motial</w:t>
      </w:r>
      <w:proofErr w:type="spellEnd"/>
      <w:r w:rsidRPr="00E71728">
        <w:rPr>
          <w:rFonts w:ascii="Times New Roman" w:hAnsi="Times New Roman" w:cs="Times New Roman"/>
          <w:sz w:val="16"/>
          <w:szCs w:val="16"/>
        </w:rPr>
        <w:t>, Secretary General, Chamber of Commerce and Industries, Jammu</w:t>
      </w:r>
      <w:r w:rsidRPr="00E71728">
        <w:rPr>
          <w:rFonts w:ascii="Times New Roman" w:hAnsi="Times New Roman" w:cs="Times New Roman"/>
          <w:sz w:val="14"/>
          <w:szCs w:val="14"/>
        </w:rPr>
        <w:t>.</w:t>
      </w:r>
    </w:p>
    <w:p w14:paraId="1471F184" w14:textId="77777777" w:rsidR="00513AAB" w:rsidRPr="00767C21" w:rsidRDefault="00513AAB" w:rsidP="0011091E">
      <w:pPr>
        <w:spacing w:after="0" w:line="200" w:lineRule="exact"/>
        <w:ind w:left="360"/>
        <w:jc w:val="both"/>
        <w:rPr>
          <w:rFonts w:ascii="Times New Roman" w:hAnsi="Times New Roman" w:cs="Times New Roman"/>
          <w:b/>
          <w:bCs/>
          <w:sz w:val="16"/>
          <w:szCs w:val="16"/>
          <w:u w:val="single"/>
        </w:rPr>
      </w:pPr>
      <w:r w:rsidRPr="00767C21">
        <w:rPr>
          <w:rFonts w:ascii="Times New Roman" w:hAnsi="Times New Roman" w:cs="Times New Roman"/>
          <w:b/>
          <w:bCs/>
          <w:sz w:val="16"/>
          <w:szCs w:val="16"/>
          <w:u w:val="single"/>
        </w:rPr>
        <w:t>Karnataka</w:t>
      </w:r>
    </w:p>
    <w:p w14:paraId="724B0B2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K.A. Keshava Murthy, President, Karnataka State Government Employees' Association, Post Box No. 592, Cubbon Park, Bangalore-560001.</w:t>
      </w:r>
    </w:p>
    <w:p w14:paraId="43F6B0F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G.R. Gaonkar, M.A., Ph.D., Reader and Head, Department of Economics, Dr. A. V. Baliga College of Arts and Science, Kumta-581374.</w:t>
      </w:r>
    </w:p>
    <w:p w14:paraId="69F0457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proofErr w:type="gramStart"/>
      <w:r w:rsidRPr="00E71728">
        <w:rPr>
          <w:rFonts w:ascii="Times New Roman" w:hAnsi="Times New Roman" w:cs="Times New Roman"/>
          <w:sz w:val="16"/>
          <w:szCs w:val="16"/>
        </w:rPr>
        <w:t>Dr.(</w:t>
      </w:r>
      <w:proofErr w:type="gramEnd"/>
      <w:r w:rsidRPr="00E71728">
        <w:rPr>
          <w:rFonts w:ascii="Times New Roman" w:hAnsi="Times New Roman" w:cs="Times New Roman"/>
          <w:sz w:val="16"/>
          <w:szCs w:val="16"/>
        </w:rPr>
        <w:t>Mrs) Hemlata Rao, Associate Professor (Economic Unit), Institute for Social and Economic Change, Nagara Bhavi P.O., Bangalore-560072.</w:t>
      </w:r>
    </w:p>
    <w:p w14:paraId="41A55CC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A.K. Agarwala, President, Aluminium Association of India, Post Box No. 1250, Science Institute Post Office, Bangalore-560012.</w:t>
      </w:r>
    </w:p>
    <w:p w14:paraId="7FE58F9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M.T. Krishnappa, President, Karnataka State Government Employees Association, Cubbon Park, Bangalore.</w:t>
      </w:r>
    </w:p>
    <w:p w14:paraId="24C193E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C. </w:t>
      </w:r>
      <w:proofErr w:type="spellStart"/>
      <w:r w:rsidRPr="00E71728">
        <w:rPr>
          <w:rFonts w:ascii="Times New Roman" w:hAnsi="Times New Roman" w:cs="Times New Roman"/>
          <w:sz w:val="16"/>
          <w:szCs w:val="16"/>
        </w:rPr>
        <w:t>Valliappa</w:t>
      </w:r>
      <w:proofErr w:type="spellEnd"/>
      <w:r w:rsidRPr="00E71728">
        <w:rPr>
          <w:rFonts w:ascii="Times New Roman" w:hAnsi="Times New Roman" w:cs="Times New Roman"/>
          <w:sz w:val="16"/>
          <w:szCs w:val="16"/>
        </w:rPr>
        <w:t xml:space="preserve">, President, Federation of Karnataka Chambers of Commerce &amp; Industry, </w:t>
      </w:r>
      <w:proofErr w:type="spellStart"/>
      <w:r w:rsidRPr="00E71728">
        <w:rPr>
          <w:rFonts w:ascii="Times New Roman" w:hAnsi="Times New Roman" w:cs="Times New Roman"/>
          <w:sz w:val="16"/>
          <w:szCs w:val="16"/>
        </w:rPr>
        <w:t>Kempegowda</w:t>
      </w:r>
      <w:proofErr w:type="spellEnd"/>
      <w:r w:rsidRPr="00E71728">
        <w:rPr>
          <w:rFonts w:ascii="Times New Roman" w:hAnsi="Times New Roman" w:cs="Times New Roman"/>
          <w:sz w:val="16"/>
          <w:szCs w:val="16"/>
        </w:rPr>
        <w:t xml:space="preserve"> Road, Bangalore - 1.</w:t>
      </w:r>
    </w:p>
    <w:p w14:paraId="3152EF4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T.N. Narasimha Murthy, Leader of the Opposition, Karnataka Legislative Council Vidhana </w:t>
      </w:r>
      <w:proofErr w:type="spellStart"/>
      <w:r w:rsidRPr="00E71728">
        <w:rPr>
          <w:rFonts w:ascii="Times New Roman" w:hAnsi="Times New Roman" w:cs="Times New Roman"/>
          <w:sz w:val="16"/>
          <w:szCs w:val="16"/>
        </w:rPr>
        <w:t>Soudha</w:t>
      </w:r>
      <w:proofErr w:type="spellEnd"/>
      <w:r w:rsidRPr="00E71728">
        <w:rPr>
          <w:rFonts w:ascii="Times New Roman" w:hAnsi="Times New Roman" w:cs="Times New Roman"/>
          <w:sz w:val="16"/>
          <w:szCs w:val="16"/>
        </w:rPr>
        <w:t>, Bangalore-1.</w:t>
      </w:r>
    </w:p>
    <w:p w14:paraId="55B2A779"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Communist Party of India, Karnataka State Committee, L-56, K.V. Temple Street, </w:t>
      </w:r>
      <w:proofErr w:type="spellStart"/>
      <w:r w:rsidRPr="00E71728">
        <w:rPr>
          <w:rFonts w:ascii="Times New Roman" w:hAnsi="Times New Roman" w:cs="Times New Roman"/>
          <w:sz w:val="16"/>
          <w:szCs w:val="16"/>
        </w:rPr>
        <w:t>Sultanpet</w:t>
      </w:r>
      <w:proofErr w:type="spellEnd"/>
      <w:r w:rsidRPr="00E71728">
        <w:rPr>
          <w:rFonts w:ascii="Times New Roman" w:hAnsi="Times New Roman" w:cs="Times New Roman"/>
          <w:sz w:val="16"/>
          <w:szCs w:val="16"/>
        </w:rPr>
        <w:t>, Bangalore - 560053.</w:t>
      </w:r>
    </w:p>
    <w:p w14:paraId="173DBE75" w14:textId="5A7F9DC5"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T.R. Satish Chandran, Director, Institute for Social and Economic Change, Bangalore.</w:t>
      </w:r>
    </w:p>
    <w:p w14:paraId="419E7D79" w14:textId="77777777" w:rsidR="00513AAB" w:rsidRPr="00E71728" w:rsidRDefault="00513AAB" w:rsidP="0011091E">
      <w:pPr>
        <w:spacing w:after="0" w:line="200" w:lineRule="exact"/>
        <w:jc w:val="both"/>
        <w:rPr>
          <w:rFonts w:ascii="Times New Roman" w:hAnsi="Times New Roman" w:cs="Times New Roman"/>
          <w:sz w:val="16"/>
          <w:szCs w:val="16"/>
        </w:rPr>
      </w:pPr>
    </w:p>
    <w:p w14:paraId="5804DD59" w14:textId="46F50A71"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Vinod Vyasulu, Professor and Head, Social Services Management Unit, Institute for Social and Economic Change, Nagara Bhavi P.O. Bangalore - 560072.</w:t>
      </w:r>
    </w:p>
    <w:p w14:paraId="4DAC79C5"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M.V. Nadkarni, Professor and Head, Ecology Economics Unit, Institute for Social and Economic Change, Bangalore - 560072.</w:t>
      </w:r>
    </w:p>
    <w:p w14:paraId="6CC85D9F" w14:textId="77777777" w:rsidR="00513AAB" w:rsidRPr="00E71728" w:rsidRDefault="00513AAB" w:rsidP="0011091E">
      <w:pPr>
        <w:spacing w:after="0" w:line="200" w:lineRule="exact"/>
        <w:jc w:val="both"/>
        <w:rPr>
          <w:rFonts w:ascii="Times New Roman" w:hAnsi="Times New Roman" w:cs="Times New Roman"/>
          <w:sz w:val="16"/>
          <w:szCs w:val="16"/>
        </w:rPr>
      </w:pPr>
    </w:p>
    <w:p w14:paraId="5DBC7B8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M.C. Shanthamurthy, MA, Head of the Department of Economics, Sri Jagadguru Renuka </w:t>
      </w:r>
      <w:proofErr w:type="spellStart"/>
      <w:r w:rsidRPr="00E71728">
        <w:rPr>
          <w:rFonts w:ascii="Times New Roman" w:hAnsi="Times New Roman" w:cs="Times New Roman"/>
          <w:sz w:val="16"/>
          <w:szCs w:val="16"/>
        </w:rPr>
        <w:t>Charye</w:t>
      </w:r>
      <w:proofErr w:type="spellEnd"/>
      <w:r w:rsidRPr="00E71728">
        <w:rPr>
          <w:rFonts w:ascii="Times New Roman" w:hAnsi="Times New Roman" w:cs="Times New Roman"/>
          <w:sz w:val="16"/>
          <w:szCs w:val="16"/>
        </w:rPr>
        <w:t xml:space="preserve"> College of Science and Arts, Bangalore - 560009.</w:t>
      </w:r>
    </w:p>
    <w:p w14:paraId="22DC7B29"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Kerala</w:t>
      </w:r>
    </w:p>
    <w:p w14:paraId="7F6D8A7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K.V. Rajendran, General Secretary, Federation of State Employees and Teachers Organisations, Kerala, N.G.O. Union Building, Trivandrum-695033.</w:t>
      </w:r>
    </w:p>
    <w:p w14:paraId="2864F3E2"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Raju V. Johnson, R/o </w:t>
      </w:r>
      <w:proofErr w:type="spellStart"/>
      <w:r w:rsidRPr="00E71728">
        <w:rPr>
          <w:rFonts w:ascii="Times New Roman" w:hAnsi="Times New Roman" w:cs="Times New Roman"/>
          <w:sz w:val="16"/>
          <w:szCs w:val="16"/>
        </w:rPr>
        <w:t>Checkattu</w:t>
      </w:r>
      <w:proofErr w:type="spellEnd"/>
      <w:r w:rsidRPr="00E71728">
        <w:rPr>
          <w:rFonts w:ascii="Times New Roman" w:hAnsi="Times New Roman" w:cs="Times New Roman"/>
          <w:sz w:val="16"/>
          <w:szCs w:val="16"/>
        </w:rPr>
        <w:t xml:space="preserve">, P.O. </w:t>
      </w:r>
      <w:proofErr w:type="spellStart"/>
      <w:r w:rsidRPr="00E71728">
        <w:rPr>
          <w:rFonts w:ascii="Times New Roman" w:hAnsi="Times New Roman" w:cs="Times New Roman"/>
          <w:sz w:val="16"/>
          <w:szCs w:val="16"/>
        </w:rPr>
        <w:t>Kalanjoor</w:t>
      </w:r>
      <w:proofErr w:type="spellEnd"/>
      <w:r w:rsidRPr="00E71728">
        <w:rPr>
          <w:rFonts w:ascii="Times New Roman" w:hAnsi="Times New Roman" w:cs="Times New Roman"/>
          <w:sz w:val="16"/>
          <w:szCs w:val="16"/>
        </w:rPr>
        <w:t xml:space="preserve">, District </w:t>
      </w:r>
      <w:proofErr w:type="spellStart"/>
      <w:r w:rsidRPr="00E71728">
        <w:rPr>
          <w:rFonts w:ascii="Times New Roman" w:hAnsi="Times New Roman" w:cs="Times New Roman"/>
          <w:sz w:val="16"/>
          <w:szCs w:val="16"/>
        </w:rPr>
        <w:t>Pathanamthitta</w:t>
      </w:r>
      <w:proofErr w:type="spellEnd"/>
      <w:r w:rsidRPr="00E71728">
        <w:rPr>
          <w:rFonts w:ascii="Times New Roman" w:hAnsi="Times New Roman" w:cs="Times New Roman"/>
          <w:sz w:val="16"/>
          <w:szCs w:val="16"/>
        </w:rPr>
        <w:t>, PIN-689694.</w:t>
      </w:r>
    </w:p>
    <w:p w14:paraId="43ECEF0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D. Unnikrishnan, Hony. Secretary, Aged Government Employees' Society, Trivandrum.</w:t>
      </w:r>
    </w:p>
    <w:p w14:paraId="739BD0A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N.M. Mohammedali, General Secretary, Kerala Gazetted Officers' Association, </w:t>
      </w:r>
      <w:proofErr w:type="spellStart"/>
      <w:r w:rsidRPr="00E71728">
        <w:rPr>
          <w:rFonts w:ascii="Times New Roman" w:hAnsi="Times New Roman" w:cs="Times New Roman"/>
          <w:sz w:val="16"/>
          <w:szCs w:val="16"/>
        </w:rPr>
        <w:t>Adhyapaka</w:t>
      </w:r>
      <w:proofErr w:type="spellEnd"/>
      <w:r w:rsidRPr="00E71728">
        <w:rPr>
          <w:rFonts w:ascii="Times New Roman" w:hAnsi="Times New Roman" w:cs="Times New Roman"/>
          <w:sz w:val="16"/>
          <w:szCs w:val="16"/>
        </w:rPr>
        <w:t xml:space="preserve"> Bhavan Road, Trivandrum.</w:t>
      </w:r>
    </w:p>
    <w:p w14:paraId="3B9FF447"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 V. Devadas, President, Federation of State Employees and Teachers Organisations, Kerala, N.G.O. Union Building, Trivandrum-695033.</w:t>
      </w:r>
    </w:p>
    <w:p w14:paraId="026B136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Prof. V. Gopalakrishna Kurup, Chairman, Kerala Public Service Commission, Trivandrum-695004.</w:t>
      </w:r>
    </w:p>
    <w:p w14:paraId="60D3EE1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M.N.V.G. Adiyodi, Chairman, Joint Council of State Service Organisation, Centre Office Service Corner, Trivandrum.</w:t>
      </w:r>
    </w:p>
    <w:p w14:paraId="3D61F7D9"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P.J. Joseph, Chairman, Kerala Congress (J) Party, Trivandrum.</w:t>
      </w:r>
    </w:p>
    <w:p w14:paraId="726E043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Kerala Pradesh Congress Committee (I).</w:t>
      </w:r>
    </w:p>
    <w:p w14:paraId="01A5922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A. </w:t>
      </w:r>
      <w:proofErr w:type="spellStart"/>
      <w:r w:rsidRPr="00E71728">
        <w:rPr>
          <w:rFonts w:ascii="Times New Roman" w:hAnsi="Times New Roman" w:cs="Times New Roman"/>
          <w:sz w:val="16"/>
          <w:szCs w:val="16"/>
        </w:rPr>
        <w:t>Neelalohithadasan</w:t>
      </w:r>
      <w:proofErr w:type="spellEnd"/>
      <w:r w:rsidRPr="00E71728">
        <w:rPr>
          <w:rFonts w:ascii="Times New Roman" w:hAnsi="Times New Roman" w:cs="Times New Roman"/>
          <w:sz w:val="16"/>
          <w:szCs w:val="16"/>
        </w:rPr>
        <w:t xml:space="preserve"> Nadar, Minister for Sports and Youth Affairs, Trivandrum.</w:t>
      </w:r>
    </w:p>
    <w:p w14:paraId="47E4643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V.J. </w:t>
      </w:r>
      <w:proofErr w:type="spellStart"/>
      <w:r w:rsidRPr="00E71728">
        <w:rPr>
          <w:rFonts w:ascii="Times New Roman" w:hAnsi="Times New Roman" w:cs="Times New Roman"/>
          <w:sz w:val="16"/>
          <w:szCs w:val="16"/>
        </w:rPr>
        <w:t>Thankappan</w:t>
      </w:r>
      <w:proofErr w:type="spellEnd"/>
      <w:r w:rsidRPr="00E71728">
        <w:rPr>
          <w:rFonts w:ascii="Times New Roman" w:hAnsi="Times New Roman" w:cs="Times New Roman"/>
          <w:sz w:val="16"/>
          <w:szCs w:val="16"/>
        </w:rPr>
        <w:t>, Minister of Local Administration.</w:t>
      </w:r>
    </w:p>
    <w:p w14:paraId="1FE481F9"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K.M. Mani, Leader, Kerala Congress (M).</w:t>
      </w:r>
    </w:p>
    <w:p w14:paraId="1C5AE80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T.N. Bhaskara Varma Thampan, Controller of Examination </w:t>
      </w:r>
      <w:proofErr w:type="spellStart"/>
      <w:r w:rsidRPr="00E71728">
        <w:rPr>
          <w:rFonts w:ascii="Times New Roman" w:hAnsi="Times New Roman" w:cs="Times New Roman"/>
          <w:sz w:val="16"/>
          <w:szCs w:val="16"/>
        </w:rPr>
        <w:t>Incharge</w:t>
      </w:r>
      <w:proofErr w:type="spellEnd"/>
      <w:r w:rsidRPr="00E71728">
        <w:rPr>
          <w:rFonts w:ascii="Times New Roman" w:hAnsi="Times New Roman" w:cs="Times New Roman"/>
          <w:sz w:val="16"/>
          <w:szCs w:val="16"/>
        </w:rPr>
        <w:t xml:space="preserve"> of Secretary, Kerala Public Service Commission, Trivandrum.</w:t>
      </w:r>
    </w:p>
    <w:p w14:paraId="66851635"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Madhya Pradesh</w:t>
      </w:r>
    </w:p>
    <w:p w14:paraId="1AB1E72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Dal Chand Jain, M.P. (Lok Sabha), Chameli Chowk, Sagar.</w:t>
      </w:r>
    </w:p>
    <w:p w14:paraId="35FD1B88"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Siremal </w:t>
      </w:r>
      <w:proofErr w:type="spellStart"/>
      <w:r w:rsidRPr="00E71728">
        <w:rPr>
          <w:rFonts w:ascii="Times New Roman" w:hAnsi="Times New Roman" w:cs="Times New Roman"/>
          <w:sz w:val="16"/>
          <w:szCs w:val="16"/>
        </w:rPr>
        <w:t>Chauradia</w:t>
      </w:r>
      <w:proofErr w:type="spellEnd"/>
      <w:r w:rsidRPr="00E71728">
        <w:rPr>
          <w:rFonts w:ascii="Times New Roman" w:hAnsi="Times New Roman" w:cs="Times New Roman"/>
          <w:sz w:val="16"/>
          <w:szCs w:val="16"/>
        </w:rPr>
        <w:t>, Tilak Marg, Neemuch-458441.</w:t>
      </w:r>
    </w:p>
    <w:p w14:paraId="4A1606E0"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Vimal Mital, Advocate, 26, Yeshwant Niwas Road, Indore-450023.</w:t>
      </w:r>
    </w:p>
    <w:p w14:paraId="4A128A6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Rajendra Jain, Principal, Government College, 93/6, Tulsi Nagar, Bhopal.</w:t>
      </w:r>
    </w:p>
    <w:p w14:paraId="44537E42"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R.S. Tiwari, Professor of Economics, Government </w:t>
      </w:r>
      <w:proofErr w:type="spellStart"/>
      <w:r w:rsidRPr="00E71728">
        <w:rPr>
          <w:rFonts w:ascii="Times New Roman" w:hAnsi="Times New Roman" w:cs="Times New Roman"/>
          <w:sz w:val="16"/>
          <w:szCs w:val="16"/>
        </w:rPr>
        <w:t>Hamidia</w:t>
      </w:r>
      <w:proofErr w:type="spellEnd"/>
      <w:r w:rsidRPr="00E71728">
        <w:rPr>
          <w:rFonts w:ascii="Times New Roman" w:hAnsi="Times New Roman" w:cs="Times New Roman"/>
          <w:sz w:val="16"/>
          <w:szCs w:val="16"/>
        </w:rPr>
        <w:t xml:space="preserve"> Arts and Commerce College, 90/28, Tantya Tope Nagar, Bhopal.</w:t>
      </w:r>
    </w:p>
    <w:p w14:paraId="521F8DB5"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Neeraj Kumar Mishra, C/o Shri </w:t>
      </w:r>
      <w:proofErr w:type="spellStart"/>
      <w:r w:rsidRPr="00E71728">
        <w:rPr>
          <w:rFonts w:ascii="Times New Roman" w:hAnsi="Times New Roman" w:cs="Times New Roman"/>
          <w:sz w:val="16"/>
          <w:szCs w:val="16"/>
        </w:rPr>
        <w:t>Vayas</w:t>
      </w:r>
      <w:proofErr w:type="spellEnd"/>
      <w:r w:rsidRPr="00E71728">
        <w:rPr>
          <w:rFonts w:ascii="Times New Roman" w:hAnsi="Times New Roman" w:cs="Times New Roman"/>
          <w:sz w:val="16"/>
          <w:szCs w:val="16"/>
        </w:rPr>
        <w:t xml:space="preserve"> Narayana Sharma, Village </w:t>
      </w:r>
      <w:proofErr w:type="spellStart"/>
      <w:r w:rsidRPr="00E71728">
        <w:rPr>
          <w:rFonts w:ascii="Times New Roman" w:hAnsi="Times New Roman" w:cs="Times New Roman"/>
          <w:sz w:val="16"/>
          <w:szCs w:val="16"/>
        </w:rPr>
        <w:t>Jarooda</w:t>
      </w:r>
      <w:proofErr w:type="spellEnd"/>
      <w:r w:rsidRPr="00E71728">
        <w:rPr>
          <w:rFonts w:ascii="Times New Roman" w:hAnsi="Times New Roman" w:cs="Times New Roman"/>
          <w:sz w:val="16"/>
          <w:szCs w:val="16"/>
        </w:rPr>
        <w:t>, Post Office Tara (Shankar Nagar), District Rayapur-492007.</w:t>
      </w:r>
    </w:p>
    <w:p w14:paraId="3BC11CF4" w14:textId="11FB5451"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A.C. Minocha, Bhopal University, Bhopal.</w:t>
      </w:r>
    </w:p>
    <w:p w14:paraId="1357AD55" w14:textId="77777777" w:rsidR="00513AAB" w:rsidRPr="00E71728" w:rsidRDefault="00513AAB" w:rsidP="0011091E">
      <w:pPr>
        <w:spacing w:after="0" w:line="200" w:lineRule="exact"/>
        <w:jc w:val="both"/>
        <w:rPr>
          <w:rFonts w:ascii="Times New Roman" w:hAnsi="Times New Roman" w:cs="Times New Roman"/>
          <w:sz w:val="16"/>
          <w:szCs w:val="16"/>
        </w:rPr>
      </w:pPr>
    </w:p>
    <w:p w14:paraId="5F21F28A" w14:textId="714F896A"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Rajendra Prasad Shukla, Speaker, Madhya Pradesh Vidhan Sabha, 2, Civil Lines, Bhopal.</w:t>
      </w:r>
    </w:p>
    <w:p w14:paraId="3462717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Kailash Joshi, M.L.A., Leader of the Opposition, Madhya Pradesh Vidhan Sabha, Bhopal.</w:t>
      </w:r>
    </w:p>
    <w:p w14:paraId="3FA71009"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Rameshwar Nikhara, M.P. (Lok Sabha), E-6/45, Bungalow T.T. Nagar, Bhopal.</w:t>
      </w:r>
    </w:p>
    <w:p w14:paraId="071EF926" w14:textId="77777777" w:rsidR="00513AAB" w:rsidRPr="00E71728" w:rsidRDefault="00513AAB" w:rsidP="0011091E">
      <w:pPr>
        <w:numPr>
          <w:ilvl w:val="0"/>
          <w:numId w:val="15"/>
        </w:numPr>
        <w:spacing w:after="0" w:line="200" w:lineRule="exact"/>
        <w:jc w:val="both"/>
        <w:rPr>
          <w:rFonts w:ascii="Times New Roman" w:hAnsi="Times New Roman" w:cs="Times New Roman"/>
          <w:sz w:val="14"/>
          <w:szCs w:val="14"/>
        </w:rPr>
      </w:pPr>
      <w:r w:rsidRPr="00E71728">
        <w:rPr>
          <w:rFonts w:ascii="Times New Roman" w:hAnsi="Times New Roman" w:cs="Times New Roman"/>
          <w:sz w:val="16"/>
          <w:szCs w:val="16"/>
        </w:rPr>
        <w:t>Shri Babu Lal Gaur, M.L.A., Chairman, Public Accounts Committee, Madhya Pradesh Vidhan</w:t>
      </w:r>
      <w:r w:rsidRPr="00E71728">
        <w:rPr>
          <w:rFonts w:ascii="Times New Roman" w:hAnsi="Times New Roman" w:cs="Times New Roman"/>
          <w:sz w:val="14"/>
          <w:szCs w:val="14"/>
        </w:rPr>
        <w:t xml:space="preserve"> Sabha, Bhopal.</w:t>
      </w:r>
    </w:p>
    <w:p w14:paraId="4A48CC0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Balakrishna Gupta, M.L.A., Bhartiya Communist Party, 5, Patel Nagar Labour Colony, Bhopal-462001.</w:t>
      </w:r>
    </w:p>
    <w:p w14:paraId="65C8A666"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Ramashanker Singh, M.L.A., 38, Racecourse Road, Gwalior-474002.</w:t>
      </w:r>
    </w:p>
    <w:p w14:paraId="5DA4802D"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Nirmal </w:t>
      </w:r>
      <w:proofErr w:type="spellStart"/>
      <w:r w:rsidRPr="00E71728">
        <w:rPr>
          <w:rFonts w:ascii="Times New Roman" w:hAnsi="Times New Roman" w:cs="Times New Roman"/>
          <w:sz w:val="16"/>
          <w:szCs w:val="16"/>
        </w:rPr>
        <w:t>Hirawat</w:t>
      </w:r>
      <w:proofErr w:type="spellEnd"/>
      <w:r w:rsidRPr="00E71728">
        <w:rPr>
          <w:rFonts w:ascii="Times New Roman" w:hAnsi="Times New Roman" w:cs="Times New Roman"/>
          <w:sz w:val="16"/>
          <w:szCs w:val="16"/>
        </w:rPr>
        <w:t xml:space="preserve">, M.L.A., </w:t>
      </w:r>
      <w:proofErr w:type="spellStart"/>
      <w:r w:rsidRPr="00E71728">
        <w:rPr>
          <w:rFonts w:ascii="Times New Roman" w:hAnsi="Times New Roman" w:cs="Times New Roman"/>
          <w:sz w:val="16"/>
          <w:szCs w:val="16"/>
        </w:rPr>
        <w:t>Kantangi</w:t>
      </w:r>
      <w:proofErr w:type="spellEnd"/>
      <w:r w:rsidRPr="00E71728">
        <w:rPr>
          <w:rFonts w:ascii="Times New Roman" w:hAnsi="Times New Roman" w:cs="Times New Roman"/>
          <w:sz w:val="16"/>
          <w:szCs w:val="16"/>
        </w:rPr>
        <w:t xml:space="preserve"> (</w:t>
      </w:r>
      <w:proofErr w:type="spellStart"/>
      <w:r w:rsidRPr="00E71728">
        <w:rPr>
          <w:rFonts w:ascii="Times New Roman" w:hAnsi="Times New Roman" w:cs="Times New Roman"/>
          <w:sz w:val="16"/>
          <w:szCs w:val="16"/>
        </w:rPr>
        <w:t>Balaghat</w:t>
      </w:r>
      <w:proofErr w:type="spellEnd"/>
      <w:r w:rsidRPr="00E71728">
        <w:rPr>
          <w:rFonts w:ascii="Times New Roman" w:hAnsi="Times New Roman" w:cs="Times New Roman"/>
          <w:sz w:val="16"/>
          <w:szCs w:val="16"/>
        </w:rPr>
        <w:t>), Madhya Pradesh.</w:t>
      </w:r>
    </w:p>
    <w:p w14:paraId="0AD6387C"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Satyabhanu Chauhan, M.L.A., Constituency S. </w:t>
      </w:r>
      <w:proofErr w:type="spellStart"/>
      <w:r w:rsidRPr="00E71728">
        <w:rPr>
          <w:rFonts w:ascii="Times New Roman" w:hAnsi="Times New Roman" w:cs="Times New Roman"/>
          <w:sz w:val="16"/>
          <w:szCs w:val="16"/>
        </w:rPr>
        <w:t>Ryour</w:t>
      </w:r>
      <w:proofErr w:type="spellEnd"/>
      <w:r w:rsidRPr="00E71728">
        <w:rPr>
          <w:rFonts w:ascii="Times New Roman" w:hAnsi="Times New Roman" w:cs="Times New Roman"/>
          <w:sz w:val="16"/>
          <w:szCs w:val="16"/>
        </w:rPr>
        <w:t xml:space="preserve"> Kalan, District </w:t>
      </w:r>
      <w:proofErr w:type="spellStart"/>
      <w:r w:rsidRPr="00E71728">
        <w:rPr>
          <w:rFonts w:ascii="Times New Roman" w:hAnsi="Times New Roman" w:cs="Times New Roman"/>
          <w:sz w:val="16"/>
          <w:szCs w:val="16"/>
        </w:rPr>
        <w:t>Murena</w:t>
      </w:r>
      <w:proofErr w:type="spellEnd"/>
      <w:r w:rsidRPr="00E71728">
        <w:rPr>
          <w:rFonts w:ascii="Times New Roman" w:hAnsi="Times New Roman" w:cs="Times New Roman"/>
          <w:sz w:val="16"/>
          <w:szCs w:val="16"/>
        </w:rPr>
        <w:t>.</w:t>
      </w:r>
    </w:p>
    <w:p w14:paraId="5741A35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Rasual Ahmed Siddiqui, M.L.A. Bhopal.</w:t>
      </w:r>
    </w:p>
    <w:p w14:paraId="0C25417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Satyadev </w:t>
      </w:r>
      <w:proofErr w:type="spellStart"/>
      <w:r w:rsidRPr="00E71728">
        <w:rPr>
          <w:rFonts w:ascii="Times New Roman" w:hAnsi="Times New Roman" w:cs="Times New Roman"/>
          <w:sz w:val="16"/>
          <w:szCs w:val="16"/>
        </w:rPr>
        <w:t>Katare</w:t>
      </w:r>
      <w:proofErr w:type="spellEnd"/>
      <w:r w:rsidRPr="00E71728">
        <w:rPr>
          <w:rFonts w:ascii="Times New Roman" w:hAnsi="Times New Roman" w:cs="Times New Roman"/>
          <w:sz w:val="16"/>
          <w:szCs w:val="16"/>
        </w:rPr>
        <w:t>, M.L.A., 100/45, Shivaji Nagar, Bhopal.</w:t>
      </w:r>
    </w:p>
    <w:p w14:paraId="0C4C3BEF"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Kanhaiya Lal Sharma, M.L.A., 144/1, Professor Colony, Bhopal.</w:t>
      </w:r>
    </w:p>
    <w:p w14:paraId="63A3F5EC"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Surender Dubey, M.L.A., 113/9, Sivaji Nagar, Bhopal.</w:t>
      </w:r>
    </w:p>
    <w:p w14:paraId="241E3E1F"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Abdul Zabbar Khan, Organiser, Bhopal Gas Tragedy Victims Women's Welfare Association, Bhopal.</w:t>
      </w:r>
    </w:p>
    <w:p w14:paraId="3741E781"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Ishwar Dass, President, Associate of State Training Institution in India &amp; Director General, Academy of Administration, Post Bag No. - 6, Bhopal - 462016.</w:t>
      </w:r>
    </w:p>
    <w:p w14:paraId="765B1B33"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Abhyas Mandal, Indore, Memorandum presented by Dr. V.D. Nagar, Professor and Head, School of Economics, Devi Ahilya Vishwavidyalaya, Indore.</w:t>
      </w:r>
    </w:p>
    <w:p w14:paraId="202F5D7A"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The Abhyas Mandal, Indore,</w:t>
      </w:r>
      <w:r w:rsidRPr="00E71728">
        <w:rPr>
          <w:rFonts w:ascii="Times New Roman" w:hAnsi="Times New Roman" w:cs="Times New Roman"/>
          <w:sz w:val="16"/>
          <w:szCs w:val="16"/>
        </w:rPr>
        <w:br/>
        <w:t>(</w:t>
      </w:r>
      <w:proofErr w:type="spellStart"/>
      <w:r w:rsidRPr="00E71728">
        <w:rPr>
          <w:rFonts w:ascii="Times New Roman" w:hAnsi="Times New Roman" w:cs="Times New Roman"/>
          <w:sz w:val="16"/>
          <w:szCs w:val="16"/>
        </w:rPr>
        <w:t>i</w:t>
      </w:r>
      <w:proofErr w:type="spellEnd"/>
      <w:r w:rsidRPr="00E71728">
        <w:rPr>
          <w:rFonts w:ascii="Times New Roman" w:hAnsi="Times New Roman" w:cs="Times New Roman"/>
          <w:sz w:val="16"/>
          <w:szCs w:val="16"/>
        </w:rPr>
        <w:t>) Indian Medical Association Madhya Pradesh Branch Indore.</w:t>
      </w:r>
      <w:r w:rsidRPr="00E71728">
        <w:rPr>
          <w:rFonts w:ascii="Times New Roman" w:hAnsi="Times New Roman" w:cs="Times New Roman"/>
          <w:sz w:val="16"/>
          <w:szCs w:val="16"/>
        </w:rPr>
        <w:br/>
        <w:t>(ii) Trained Nurses Association of India, Madhya Pradesh Branch, Indore.</w:t>
      </w:r>
      <w:r w:rsidRPr="00E71728">
        <w:rPr>
          <w:rFonts w:ascii="Times New Roman" w:hAnsi="Times New Roman" w:cs="Times New Roman"/>
          <w:sz w:val="16"/>
          <w:szCs w:val="16"/>
        </w:rPr>
        <w:br/>
        <w:t>(iii) Indore School of Social Work, Indore.</w:t>
      </w:r>
      <w:r w:rsidRPr="00E71728">
        <w:rPr>
          <w:rFonts w:ascii="Times New Roman" w:hAnsi="Times New Roman" w:cs="Times New Roman"/>
          <w:sz w:val="16"/>
          <w:szCs w:val="16"/>
        </w:rPr>
        <w:br/>
        <w:t>(iv) Development Study Cell, Indore.</w:t>
      </w:r>
      <w:r w:rsidRPr="00E71728">
        <w:rPr>
          <w:rFonts w:ascii="Times New Roman" w:hAnsi="Times New Roman" w:cs="Times New Roman"/>
          <w:sz w:val="16"/>
          <w:szCs w:val="16"/>
        </w:rPr>
        <w:br/>
        <w:t>(Submitted four Memoranda)</w:t>
      </w:r>
    </w:p>
    <w:p w14:paraId="5421E52A" w14:textId="77777777" w:rsidR="00513AAB" w:rsidRPr="00E71728" w:rsidRDefault="00513AAB"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Maharashtra</w:t>
      </w:r>
    </w:p>
    <w:p w14:paraId="39A95DD0" w14:textId="51D062F5" w:rsidR="00513AAB" w:rsidRPr="001E1E24" w:rsidRDefault="00513AAB" w:rsidP="0011091E">
      <w:pPr>
        <w:numPr>
          <w:ilvl w:val="0"/>
          <w:numId w:val="15"/>
        </w:numPr>
        <w:spacing w:after="0" w:line="200" w:lineRule="exact"/>
        <w:jc w:val="both"/>
        <w:rPr>
          <w:rFonts w:ascii="Times New Roman" w:hAnsi="Times New Roman" w:cs="Times New Roman"/>
          <w:sz w:val="14"/>
          <w:szCs w:val="14"/>
        </w:rPr>
      </w:pPr>
      <w:r w:rsidRPr="001E1E24">
        <w:rPr>
          <w:rFonts w:ascii="Times New Roman" w:hAnsi="Times New Roman" w:cs="Times New Roman"/>
          <w:sz w:val="16"/>
          <w:szCs w:val="16"/>
        </w:rPr>
        <w:t>Shri</w:t>
      </w:r>
      <w:r w:rsidRPr="00E71728">
        <w:rPr>
          <w:rFonts w:ascii="Times New Roman" w:hAnsi="Times New Roman" w:cs="Times New Roman"/>
          <w:sz w:val="16"/>
          <w:szCs w:val="16"/>
        </w:rPr>
        <w:t xml:space="preserve"> Sudam Deshmukh, M.L.A., </w:t>
      </w:r>
      <w:proofErr w:type="spellStart"/>
      <w:r w:rsidRPr="00E71728">
        <w:rPr>
          <w:rFonts w:ascii="Times New Roman" w:hAnsi="Times New Roman" w:cs="Times New Roman"/>
          <w:sz w:val="16"/>
          <w:szCs w:val="16"/>
        </w:rPr>
        <w:t>Aamdar</w:t>
      </w:r>
      <w:proofErr w:type="spellEnd"/>
      <w:r w:rsidRPr="00E71728">
        <w:rPr>
          <w:rFonts w:ascii="Times New Roman" w:hAnsi="Times New Roman" w:cs="Times New Roman"/>
          <w:sz w:val="16"/>
          <w:szCs w:val="16"/>
        </w:rPr>
        <w:t xml:space="preserve">, Maharashtra Legislative Assembly, </w:t>
      </w:r>
      <w:proofErr w:type="spellStart"/>
      <w:r w:rsidRPr="00E71728">
        <w:rPr>
          <w:rFonts w:ascii="Times New Roman" w:hAnsi="Times New Roman" w:cs="Times New Roman"/>
          <w:sz w:val="16"/>
          <w:szCs w:val="16"/>
        </w:rPr>
        <w:t>Achalpur</w:t>
      </w:r>
      <w:proofErr w:type="spellEnd"/>
      <w:r w:rsidRPr="00E71728">
        <w:rPr>
          <w:rFonts w:ascii="Times New Roman" w:hAnsi="Times New Roman" w:cs="Times New Roman"/>
          <w:sz w:val="16"/>
          <w:szCs w:val="16"/>
        </w:rPr>
        <w:t xml:space="preserve"> City, District </w:t>
      </w:r>
      <w:proofErr w:type="spellStart"/>
      <w:r w:rsidRPr="00E71728">
        <w:rPr>
          <w:rFonts w:ascii="Times New Roman" w:hAnsi="Times New Roman" w:cs="Times New Roman"/>
          <w:sz w:val="16"/>
          <w:szCs w:val="16"/>
        </w:rPr>
        <w:t>Amarawati</w:t>
      </w:r>
      <w:proofErr w:type="spellEnd"/>
      <w:r w:rsidRPr="00E71728">
        <w:rPr>
          <w:rFonts w:ascii="Times New Roman" w:hAnsi="Times New Roman" w:cs="Times New Roman"/>
          <w:sz w:val="16"/>
          <w:szCs w:val="16"/>
        </w:rPr>
        <w:t>.</w:t>
      </w:r>
    </w:p>
    <w:p w14:paraId="3180CB2E"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S.B. </w:t>
      </w:r>
      <w:proofErr w:type="spellStart"/>
      <w:r w:rsidRPr="00E71728">
        <w:rPr>
          <w:rFonts w:ascii="Times New Roman" w:hAnsi="Times New Roman" w:cs="Times New Roman"/>
          <w:sz w:val="16"/>
          <w:szCs w:val="16"/>
        </w:rPr>
        <w:t>Sakhalkar</w:t>
      </w:r>
      <w:proofErr w:type="spellEnd"/>
      <w:r w:rsidRPr="00E71728">
        <w:rPr>
          <w:rFonts w:ascii="Times New Roman" w:hAnsi="Times New Roman" w:cs="Times New Roman"/>
          <w:sz w:val="16"/>
          <w:szCs w:val="16"/>
        </w:rPr>
        <w:t xml:space="preserve">, Executive Director, Maharashtra Economic Development Council, </w:t>
      </w:r>
      <w:r w:rsidRPr="00E71728">
        <w:rPr>
          <w:rFonts w:ascii="Times New Roman" w:hAnsi="Times New Roman" w:cs="Times New Roman"/>
          <w:sz w:val="16"/>
          <w:szCs w:val="16"/>
        </w:rPr>
        <w:t>106, Nagindas Master Road, Fort, Bombay-400023.</w:t>
      </w:r>
    </w:p>
    <w:p w14:paraId="34FF7CA7"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Hashu Advani, President, B.J.P., Kathak Bhavan, Falke Marg, Dadar (East) Mumbai, Mumbai-400014.</w:t>
      </w:r>
    </w:p>
    <w:p w14:paraId="485DDD72"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S.S. </w:t>
      </w:r>
      <w:proofErr w:type="spellStart"/>
      <w:r w:rsidRPr="00E71728">
        <w:rPr>
          <w:rFonts w:ascii="Times New Roman" w:hAnsi="Times New Roman" w:cs="Times New Roman"/>
          <w:sz w:val="16"/>
          <w:szCs w:val="16"/>
        </w:rPr>
        <w:t>Acharekar</w:t>
      </w:r>
      <w:proofErr w:type="spellEnd"/>
      <w:r w:rsidRPr="00E71728">
        <w:rPr>
          <w:rFonts w:ascii="Times New Roman" w:hAnsi="Times New Roman" w:cs="Times New Roman"/>
          <w:sz w:val="16"/>
          <w:szCs w:val="16"/>
        </w:rPr>
        <w:t xml:space="preserve">, Chairman, Maharashtra State Government Employees' Confederation, C/o M-6, </w:t>
      </w:r>
      <w:proofErr w:type="spellStart"/>
      <w:r w:rsidRPr="00E71728">
        <w:rPr>
          <w:rFonts w:ascii="Times New Roman" w:hAnsi="Times New Roman" w:cs="Times New Roman"/>
          <w:sz w:val="16"/>
          <w:szCs w:val="16"/>
        </w:rPr>
        <w:t>Mantralaya</w:t>
      </w:r>
      <w:proofErr w:type="spellEnd"/>
      <w:r w:rsidRPr="00E71728">
        <w:rPr>
          <w:rFonts w:ascii="Times New Roman" w:hAnsi="Times New Roman" w:cs="Times New Roman"/>
          <w:sz w:val="16"/>
          <w:szCs w:val="16"/>
        </w:rPr>
        <w:t>, Bombay-400032.</w:t>
      </w:r>
    </w:p>
    <w:p w14:paraId="540542E4"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J.F. Patil, Reader, Department of Economics, Sivaji University, Vidyanagar, Kolhapur-416004.</w:t>
      </w:r>
    </w:p>
    <w:p w14:paraId="68E414EB" w14:textId="77777777" w:rsidR="00513AAB" w:rsidRPr="00E71728" w:rsidRDefault="00513AAB"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B.S. Vaze, General Secretary, All India Posts, Telegraphs and Others Central Government Pensioners' Association, 1082-Sadashiv Peth, Near </w:t>
      </w:r>
      <w:proofErr w:type="spellStart"/>
      <w:r w:rsidRPr="00E71728">
        <w:rPr>
          <w:rFonts w:ascii="Times New Roman" w:hAnsi="Times New Roman" w:cs="Times New Roman"/>
          <w:sz w:val="16"/>
          <w:szCs w:val="16"/>
        </w:rPr>
        <w:t>Shanipar</w:t>
      </w:r>
      <w:proofErr w:type="spellEnd"/>
      <w:r w:rsidRPr="00E71728">
        <w:rPr>
          <w:rFonts w:ascii="Times New Roman" w:hAnsi="Times New Roman" w:cs="Times New Roman"/>
          <w:sz w:val="16"/>
          <w:szCs w:val="16"/>
        </w:rPr>
        <w:t>, Pune-411030.</w:t>
      </w:r>
    </w:p>
    <w:p w14:paraId="0EEA2A5E" w14:textId="4452F1F1"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H.D. Kopardekar, Director General, All India Institute of Local Self Government, </w:t>
      </w:r>
      <w:proofErr w:type="spellStart"/>
      <w:r w:rsidRPr="00E71728">
        <w:rPr>
          <w:rFonts w:ascii="Times New Roman" w:hAnsi="Times New Roman" w:cs="Times New Roman"/>
          <w:sz w:val="16"/>
          <w:szCs w:val="16"/>
        </w:rPr>
        <w:t>Sthanikraj</w:t>
      </w:r>
      <w:proofErr w:type="spellEnd"/>
      <w:r w:rsidRPr="00E71728">
        <w:rPr>
          <w:rFonts w:ascii="Times New Roman" w:hAnsi="Times New Roman" w:cs="Times New Roman"/>
          <w:sz w:val="16"/>
          <w:szCs w:val="16"/>
        </w:rPr>
        <w:t xml:space="preserve"> Bhavan, C.D. </w:t>
      </w:r>
      <w:proofErr w:type="spellStart"/>
      <w:r w:rsidRPr="00E71728">
        <w:rPr>
          <w:rFonts w:ascii="Times New Roman" w:hAnsi="Times New Roman" w:cs="Times New Roman"/>
          <w:sz w:val="16"/>
          <w:szCs w:val="16"/>
        </w:rPr>
        <w:t>Barfiwala</w:t>
      </w:r>
      <w:proofErr w:type="spellEnd"/>
      <w:r w:rsidRPr="00E71728">
        <w:rPr>
          <w:rFonts w:ascii="Times New Roman" w:hAnsi="Times New Roman" w:cs="Times New Roman"/>
          <w:sz w:val="16"/>
          <w:szCs w:val="16"/>
        </w:rPr>
        <w:t xml:space="preserve"> Marg Andheri (West), Bombay-400058.</w:t>
      </w:r>
    </w:p>
    <w:p w14:paraId="48680E9F"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Deputy Registrar (Accounts), Marathwada University, University Campus, Aurangabad-431004.</w:t>
      </w:r>
    </w:p>
    <w:p w14:paraId="5B05C59F"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Secretary General, The Bombay Mill Owners' Association, Elphinstone Building, 10, Veer Nariman Road, Post Box No. 95, Bombay-400001.</w:t>
      </w:r>
    </w:p>
    <w:p w14:paraId="077B592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S.C. Varma, C/o Post Box No. 19966, Bombay-400021.</w:t>
      </w:r>
    </w:p>
    <w:p w14:paraId="2216FDD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D.A. Joshi, Secretary General, Federation of Indian Art Silk Weaving Industry, Resham Bhavan 78, Veer Nariman Road, Bombay-400020.</w:t>
      </w:r>
    </w:p>
    <w:p w14:paraId="6714D31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Sharad Pawar, Ex-Chief Minister, "</w:t>
      </w:r>
      <w:proofErr w:type="spellStart"/>
      <w:r w:rsidRPr="00E71728">
        <w:rPr>
          <w:rFonts w:ascii="Times New Roman" w:hAnsi="Times New Roman" w:cs="Times New Roman"/>
          <w:sz w:val="16"/>
          <w:szCs w:val="16"/>
        </w:rPr>
        <w:t>Ramalayam</w:t>
      </w:r>
      <w:proofErr w:type="spellEnd"/>
      <w:r w:rsidRPr="00E71728">
        <w:rPr>
          <w:rFonts w:ascii="Times New Roman" w:hAnsi="Times New Roman" w:cs="Times New Roman"/>
          <w:sz w:val="16"/>
          <w:szCs w:val="16"/>
        </w:rPr>
        <w:t>", 44/A, Pedder Road, Bombay-400026.</w:t>
      </w:r>
    </w:p>
    <w:p w14:paraId="24F2AC64"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Madhavrao Gaikwad, Secretary, Maharashtra Council, M.L.A., 314, S.V.P. Road, Bombay-400004.</w:t>
      </w:r>
    </w:p>
    <w:p w14:paraId="0CCC310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Maharashtra Economic Development Council, 106, Nagindas Master Road, Fort, Bombay-400023.</w:t>
      </w:r>
    </w:p>
    <w:p w14:paraId="1082867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D.R. Pendse, Economic Adviser, Tata Industries, Bombay House, 24, Homi Mody Street, Bombay-400001.</w:t>
      </w:r>
    </w:p>
    <w:p w14:paraId="7A6CFBF6"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Chandrakant Shankar Padwal, Mayor of Bombay Municipal Corporation, Bombay.</w:t>
      </w:r>
    </w:p>
    <w:p w14:paraId="420AF4D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Ramdas Nayak, Member, Standing Committee, Bombay Municipal Corporation, Bombay.</w:t>
      </w:r>
    </w:p>
    <w:p w14:paraId="395ED7DC"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Uttam </w:t>
      </w:r>
      <w:proofErr w:type="spellStart"/>
      <w:r w:rsidRPr="00E71728">
        <w:rPr>
          <w:rFonts w:ascii="Times New Roman" w:hAnsi="Times New Roman" w:cs="Times New Roman"/>
          <w:sz w:val="16"/>
          <w:szCs w:val="16"/>
        </w:rPr>
        <w:t>Thawrani</w:t>
      </w:r>
      <w:proofErr w:type="spellEnd"/>
      <w:r w:rsidRPr="00E71728">
        <w:rPr>
          <w:rFonts w:ascii="Times New Roman" w:hAnsi="Times New Roman" w:cs="Times New Roman"/>
          <w:sz w:val="16"/>
          <w:szCs w:val="16"/>
        </w:rPr>
        <w:t xml:space="preserve">, President, Vidarbha Industries Association, Bank of Maharashtra Building, </w:t>
      </w:r>
      <w:proofErr w:type="spellStart"/>
      <w:r w:rsidRPr="00E71728">
        <w:rPr>
          <w:rFonts w:ascii="Times New Roman" w:hAnsi="Times New Roman" w:cs="Times New Roman"/>
          <w:sz w:val="16"/>
          <w:szCs w:val="16"/>
        </w:rPr>
        <w:t>Sitabuldi</w:t>
      </w:r>
      <w:proofErr w:type="spellEnd"/>
      <w:r w:rsidRPr="00E71728">
        <w:rPr>
          <w:rFonts w:ascii="Times New Roman" w:hAnsi="Times New Roman" w:cs="Times New Roman"/>
          <w:sz w:val="16"/>
          <w:szCs w:val="16"/>
        </w:rPr>
        <w:t>, Nagpur-440012.</w:t>
      </w:r>
    </w:p>
    <w:p w14:paraId="068BD5E9" w14:textId="77777777" w:rsidR="00037CA7" w:rsidRPr="00E71728" w:rsidRDefault="00037CA7" w:rsidP="0011091E">
      <w:pPr>
        <w:spacing w:after="0" w:line="200" w:lineRule="exact"/>
        <w:ind w:left="36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Manipur</w:t>
      </w:r>
    </w:p>
    <w:p w14:paraId="3D9A0DF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L. </w:t>
      </w:r>
      <w:proofErr w:type="spellStart"/>
      <w:r w:rsidRPr="00E71728">
        <w:rPr>
          <w:rFonts w:ascii="Times New Roman" w:hAnsi="Times New Roman" w:cs="Times New Roman"/>
          <w:sz w:val="16"/>
          <w:szCs w:val="16"/>
        </w:rPr>
        <w:t>Joychandra</w:t>
      </w:r>
      <w:proofErr w:type="spellEnd"/>
      <w:r w:rsidRPr="00E71728">
        <w:rPr>
          <w:rFonts w:ascii="Times New Roman" w:hAnsi="Times New Roman" w:cs="Times New Roman"/>
          <w:sz w:val="16"/>
          <w:szCs w:val="16"/>
        </w:rPr>
        <w:t xml:space="preserve"> Singh, President, Joint Administrative Council, All Manipur Trade Union Council and All Manipur Government Employees' Organisation, </w:t>
      </w:r>
      <w:proofErr w:type="spellStart"/>
      <w:r w:rsidRPr="00E71728">
        <w:rPr>
          <w:rFonts w:ascii="Times New Roman" w:hAnsi="Times New Roman" w:cs="Times New Roman"/>
          <w:sz w:val="16"/>
          <w:szCs w:val="16"/>
        </w:rPr>
        <w:t>Praja</w:t>
      </w:r>
      <w:proofErr w:type="spellEnd"/>
      <w:r w:rsidRPr="00E71728">
        <w:rPr>
          <w:rFonts w:ascii="Times New Roman" w:hAnsi="Times New Roman" w:cs="Times New Roman"/>
          <w:sz w:val="16"/>
          <w:szCs w:val="16"/>
        </w:rPr>
        <w:t xml:space="preserve"> Tantra Building, </w:t>
      </w:r>
      <w:proofErr w:type="spellStart"/>
      <w:r w:rsidRPr="00E71728">
        <w:rPr>
          <w:rFonts w:ascii="Times New Roman" w:hAnsi="Times New Roman" w:cs="Times New Roman"/>
          <w:sz w:val="16"/>
          <w:szCs w:val="16"/>
        </w:rPr>
        <w:t>Praja</w:t>
      </w:r>
      <w:proofErr w:type="spellEnd"/>
      <w:r w:rsidRPr="00E71728">
        <w:rPr>
          <w:rFonts w:ascii="Times New Roman" w:hAnsi="Times New Roman" w:cs="Times New Roman"/>
          <w:sz w:val="16"/>
          <w:szCs w:val="16"/>
        </w:rPr>
        <w:t xml:space="preserve"> Tantra, Imphal.</w:t>
      </w:r>
    </w:p>
    <w:p w14:paraId="5A16405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Th. </w:t>
      </w:r>
      <w:proofErr w:type="spellStart"/>
      <w:r w:rsidRPr="00E71728">
        <w:rPr>
          <w:rFonts w:ascii="Times New Roman" w:hAnsi="Times New Roman" w:cs="Times New Roman"/>
          <w:sz w:val="16"/>
          <w:szCs w:val="16"/>
        </w:rPr>
        <w:t>Joychandra</w:t>
      </w:r>
      <w:proofErr w:type="spellEnd"/>
      <w:r w:rsidRPr="00E71728">
        <w:rPr>
          <w:rFonts w:ascii="Times New Roman" w:hAnsi="Times New Roman" w:cs="Times New Roman"/>
          <w:sz w:val="16"/>
          <w:szCs w:val="16"/>
        </w:rPr>
        <w:t xml:space="preserve"> Singh, Registrar, University of Manipur, </w:t>
      </w:r>
      <w:proofErr w:type="spellStart"/>
      <w:r w:rsidRPr="00E71728">
        <w:rPr>
          <w:rFonts w:ascii="Times New Roman" w:hAnsi="Times New Roman" w:cs="Times New Roman"/>
          <w:sz w:val="16"/>
          <w:szCs w:val="16"/>
        </w:rPr>
        <w:t>Canchipur</w:t>
      </w:r>
      <w:proofErr w:type="spellEnd"/>
      <w:r w:rsidRPr="00E71728">
        <w:rPr>
          <w:rFonts w:ascii="Times New Roman" w:hAnsi="Times New Roman" w:cs="Times New Roman"/>
          <w:sz w:val="16"/>
          <w:szCs w:val="16"/>
        </w:rPr>
        <w:t>, Imphal - 795003.</w:t>
      </w:r>
    </w:p>
    <w:p w14:paraId="22AEA59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Th Nilamani Singh, General Secretary, All Manipur College Teachers' Association, Imphal-795001.</w:t>
      </w:r>
    </w:p>
    <w:p w14:paraId="2112775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 Jayanta Kumar Singh, General Secretary, All Manipur Government College Teachers' Association, C/o Department of Chemistry, D.M. College of Science, Imphal.</w:t>
      </w:r>
    </w:p>
    <w:p w14:paraId="5C79A31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H. </w:t>
      </w:r>
      <w:proofErr w:type="spellStart"/>
      <w:r w:rsidRPr="00E71728">
        <w:rPr>
          <w:rFonts w:ascii="Times New Roman" w:hAnsi="Times New Roman" w:cs="Times New Roman"/>
          <w:sz w:val="16"/>
          <w:szCs w:val="16"/>
        </w:rPr>
        <w:t>Sanayaima</w:t>
      </w:r>
      <w:proofErr w:type="spellEnd"/>
      <w:r w:rsidRPr="00E71728">
        <w:rPr>
          <w:rFonts w:ascii="Times New Roman" w:hAnsi="Times New Roman" w:cs="Times New Roman"/>
          <w:sz w:val="16"/>
          <w:szCs w:val="16"/>
        </w:rPr>
        <w:t xml:space="preserve"> Singh, Deputy Speaker, President, </w:t>
      </w:r>
      <w:proofErr w:type="spellStart"/>
      <w:r w:rsidRPr="00E71728">
        <w:rPr>
          <w:rFonts w:ascii="Times New Roman" w:hAnsi="Times New Roman" w:cs="Times New Roman"/>
          <w:sz w:val="16"/>
          <w:szCs w:val="16"/>
        </w:rPr>
        <w:t>Loktak</w:t>
      </w:r>
      <w:proofErr w:type="spellEnd"/>
      <w:r w:rsidRPr="00E71728">
        <w:rPr>
          <w:rFonts w:ascii="Times New Roman" w:hAnsi="Times New Roman" w:cs="Times New Roman"/>
          <w:sz w:val="16"/>
          <w:szCs w:val="16"/>
        </w:rPr>
        <w:t xml:space="preserve"> Lake Development Organisation, Thanga </w:t>
      </w:r>
      <w:proofErr w:type="spellStart"/>
      <w:r w:rsidRPr="00E71728">
        <w:rPr>
          <w:rFonts w:ascii="Times New Roman" w:hAnsi="Times New Roman" w:cs="Times New Roman"/>
          <w:sz w:val="16"/>
          <w:szCs w:val="16"/>
        </w:rPr>
        <w:t>Chingkha</w:t>
      </w:r>
      <w:proofErr w:type="spellEnd"/>
      <w:r w:rsidRPr="00E71728">
        <w:rPr>
          <w:rFonts w:ascii="Times New Roman" w:hAnsi="Times New Roman" w:cs="Times New Roman"/>
          <w:sz w:val="16"/>
          <w:szCs w:val="16"/>
        </w:rPr>
        <w:t>.</w:t>
      </w:r>
    </w:p>
    <w:p w14:paraId="4171A82E"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M. </w:t>
      </w:r>
      <w:proofErr w:type="spellStart"/>
      <w:r w:rsidRPr="00E71728">
        <w:rPr>
          <w:rFonts w:ascii="Times New Roman" w:hAnsi="Times New Roman" w:cs="Times New Roman"/>
          <w:sz w:val="16"/>
          <w:szCs w:val="16"/>
        </w:rPr>
        <w:t>Koireng</w:t>
      </w:r>
      <w:proofErr w:type="spellEnd"/>
      <w:r w:rsidRPr="00E71728">
        <w:rPr>
          <w:rFonts w:ascii="Times New Roman" w:hAnsi="Times New Roman" w:cs="Times New Roman"/>
          <w:sz w:val="16"/>
          <w:szCs w:val="16"/>
        </w:rPr>
        <w:t xml:space="preserve"> Singh, Ex-Chief Minister, MLA, Chairman, I.N.A. Martyrs' Memorial Complex Advisory Committee, </w:t>
      </w:r>
      <w:proofErr w:type="spellStart"/>
      <w:r w:rsidRPr="00E71728">
        <w:rPr>
          <w:rFonts w:ascii="Times New Roman" w:hAnsi="Times New Roman" w:cs="Times New Roman"/>
          <w:sz w:val="16"/>
          <w:szCs w:val="16"/>
        </w:rPr>
        <w:t>Moirang</w:t>
      </w:r>
      <w:proofErr w:type="spellEnd"/>
      <w:r w:rsidRPr="00E71728">
        <w:rPr>
          <w:rFonts w:ascii="Times New Roman" w:hAnsi="Times New Roman" w:cs="Times New Roman"/>
          <w:sz w:val="16"/>
          <w:szCs w:val="16"/>
        </w:rPr>
        <w:t>.</w:t>
      </w:r>
    </w:p>
    <w:p w14:paraId="404DC0D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lastRenderedPageBreak/>
        <w:t>Shri B.S. Lamba, Commissioner, Finance Economics &amp; Statistics, Government of Manipur, Imphal.</w:t>
      </w:r>
    </w:p>
    <w:p w14:paraId="01EC6ABA" w14:textId="77777777" w:rsidR="00037CA7" w:rsidRPr="00E71728" w:rsidRDefault="00037CA7" w:rsidP="0011091E">
      <w:pPr>
        <w:spacing w:after="0" w:line="200" w:lineRule="exact"/>
        <w:ind w:left="720" w:hanging="436"/>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Meghalaya</w:t>
      </w:r>
    </w:p>
    <w:p w14:paraId="65C71AE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H.S. Lyngdoh, M.L.A., Chief Executive Member, Khasi Hills Autonomous District Council, Shillong.</w:t>
      </w:r>
    </w:p>
    <w:p w14:paraId="4FCEA8BF" w14:textId="77777777" w:rsidR="00037CA7" w:rsidRPr="00E71728" w:rsidRDefault="00037CA7" w:rsidP="0011091E">
      <w:pPr>
        <w:spacing w:after="0" w:line="200" w:lineRule="exact"/>
        <w:jc w:val="both"/>
        <w:rPr>
          <w:rFonts w:ascii="Times New Roman" w:hAnsi="Times New Roman" w:cs="Times New Roman"/>
          <w:sz w:val="16"/>
          <w:szCs w:val="16"/>
        </w:rPr>
      </w:pPr>
    </w:p>
    <w:p w14:paraId="462C87A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Khasi Hills Autonomous District Council, Shillong.</w:t>
      </w:r>
    </w:p>
    <w:p w14:paraId="355D949F"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The Frontier Chamber of Commerce, Shillong.</w:t>
      </w:r>
    </w:p>
    <w:p w14:paraId="621B6802"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Office of the </w:t>
      </w:r>
      <w:proofErr w:type="gramStart"/>
      <w:r w:rsidRPr="00E71728">
        <w:rPr>
          <w:rFonts w:ascii="Times New Roman" w:hAnsi="Times New Roman" w:cs="Times New Roman"/>
          <w:sz w:val="16"/>
          <w:szCs w:val="16"/>
        </w:rPr>
        <w:t>All India</w:t>
      </w:r>
      <w:proofErr w:type="gramEnd"/>
      <w:r w:rsidRPr="00E71728">
        <w:rPr>
          <w:rFonts w:ascii="Times New Roman" w:hAnsi="Times New Roman" w:cs="Times New Roman"/>
          <w:sz w:val="16"/>
          <w:szCs w:val="16"/>
        </w:rPr>
        <w:t xml:space="preserve"> Garo Union, Shillong.</w:t>
      </w:r>
    </w:p>
    <w:p w14:paraId="5072032C"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Recommendations of Chief Ministers' Conference, Chief Minister of Meghalaya.</w:t>
      </w:r>
    </w:p>
    <w:p w14:paraId="40F07EC9" w14:textId="77777777" w:rsidR="00037CA7" w:rsidRPr="00E71728" w:rsidRDefault="00037CA7" w:rsidP="0011091E">
      <w:pPr>
        <w:spacing w:after="0" w:line="200" w:lineRule="exact"/>
        <w:ind w:left="72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Orissa</w:t>
      </w:r>
    </w:p>
    <w:p w14:paraId="653CA9A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U.R.R. Patnaik, Superintending Engineer (Civil), Orissa.</w:t>
      </w:r>
    </w:p>
    <w:p w14:paraId="6345543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S.K. Padhi, 84/1, </w:t>
      </w:r>
      <w:proofErr w:type="spellStart"/>
      <w:r w:rsidRPr="00E71728">
        <w:rPr>
          <w:rFonts w:ascii="Times New Roman" w:hAnsi="Times New Roman" w:cs="Times New Roman"/>
          <w:sz w:val="16"/>
          <w:szCs w:val="16"/>
        </w:rPr>
        <w:t>Kalaraput</w:t>
      </w:r>
      <w:proofErr w:type="spellEnd"/>
      <w:r w:rsidRPr="00E71728">
        <w:rPr>
          <w:rFonts w:ascii="Times New Roman" w:hAnsi="Times New Roman" w:cs="Times New Roman"/>
          <w:sz w:val="16"/>
          <w:szCs w:val="16"/>
        </w:rPr>
        <w:t xml:space="preserve">, P.O. </w:t>
      </w:r>
      <w:proofErr w:type="spellStart"/>
      <w:r w:rsidRPr="00E71728">
        <w:rPr>
          <w:rFonts w:ascii="Times New Roman" w:hAnsi="Times New Roman" w:cs="Times New Roman"/>
          <w:sz w:val="16"/>
          <w:szCs w:val="16"/>
        </w:rPr>
        <w:t>Rasulgarh</w:t>
      </w:r>
      <w:proofErr w:type="spellEnd"/>
      <w:r w:rsidRPr="00E71728">
        <w:rPr>
          <w:rFonts w:ascii="Times New Roman" w:hAnsi="Times New Roman" w:cs="Times New Roman"/>
          <w:sz w:val="16"/>
          <w:szCs w:val="16"/>
        </w:rPr>
        <w:t>, Bhubaneswar-751010.</w:t>
      </w:r>
    </w:p>
    <w:p w14:paraId="75BBC48C"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Saroj Kumar Mishra, At-Janardan </w:t>
      </w:r>
      <w:proofErr w:type="spellStart"/>
      <w:r w:rsidRPr="00E71728">
        <w:rPr>
          <w:rFonts w:ascii="Times New Roman" w:hAnsi="Times New Roman" w:cs="Times New Roman"/>
          <w:sz w:val="16"/>
          <w:szCs w:val="16"/>
        </w:rPr>
        <w:t>Pur</w:t>
      </w:r>
      <w:proofErr w:type="spellEnd"/>
      <w:r w:rsidRPr="00E71728">
        <w:rPr>
          <w:rFonts w:ascii="Times New Roman" w:hAnsi="Times New Roman" w:cs="Times New Roman"/>
          <w:sz w:val="16"/>
          <w:szCs w:val="16"/>
        </w:rPr>
        <w:t xml:space="preserve">, P.O. </w:t>
      </w:r>
      <w:proofErr w:type="spellStart"/>
      <w:r w:rsidRPr="00E71728">
        <w:rPr>
          <w:rFonts w:ascii="Times New Roman" w:hAnsi="Times New Roman" w:cs="Times New Roman"/>
          <w:sz w:val="16"/>
          <w:szCs w:val="16"/>
        </w:rPr>
        <w:t>Keonjhargarh</w:t>
      </w:r>
      <w:proofErr w:type="spellEnd"/>
      <w:r w:rsidRPr="00E71728">
        <w:rPr>
          <w:rFonts w:ascii="Times New Roman" w:hAnsi="Times New Roman" w:cs="Times New Roman"/>
          <w:sz w:val="16"/>
          <w:szCs w:val="16"/>
        </w:rPr>
        <w:t>, District Keonjhar-758002.</w:t>
      </w:r>
    </w:p>
    <w:p w14:paraId="3F702C84"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w:t>
      </w:r>
      <w:proofErr w:type="spellStart"/>
      <w:r w:rsidRPr="00E71728">
        <w:rPr>
          <w:rFonts w:ascii="Times New Roman" w:hAnsi="Times New Roman" w:cs="Times New Roman"/>
          <w:sz w:val="16"/>
          <w:szCs w:val="16"/>
        </w:rPr>
        <w:t>Sharddhakar</w:t>
      </w:r>
      <w:proofErr w:type="spellEnd"/>
      <w:r w:rsidRPr="00E71728">
        <w:rPr>
          <w:rFonts w:ascii="Times New Roman" w:hAnsi="Times New Roman" w:cs="Times New Roman"/>
          <w:sz w:val="16"/>
          <w:szCs w:val="16"/>
        </w:rPr>
        <w:t xml:space="preserve"> Supakar, M.L.A. (Orissa), 18/1(D.S.), M.L.A. Colony, Bhubaneswar-751001.</w:t>
      </w:r>
    </w:p>
    <w:p w14:paraId="4D688EF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S.B. Panda, (BA, LLB), Sub-Divisional Office, </w:t>
      </w:r>
      <w:proofErr w:type="spellStart"/>
      <w:r w:rsidRPr="00E71728">
        <w:rPr>
          <w:rFonts w:ascii="Times New Roman" w:hAnsi="Times New Roman" w:cs="Times New Roman"/>
          <w:sz w:val="16"/>
          <w:szCs w:val="16"/>
        </w:rPr>
        <w:t>Jeypore</w:t>
      </w:r>
      <w:proofErr w:type="spellEnd"/>
      <w:r w:rsidRPr="00E71728">
        <w:rPr>
          <w:rFonts w:ascii="Times New Roman" w:hAnsi="Times New Roman" w:cs="Times New Roman"/>
          <w:sz w:val="16"/>
          <w:szCs w:val="16"/>
        </w:rPr>
        <w:t xml:space="preserve">, At/Po </w:t>
      </w:r>
      <w:proofErr w:type="spellStart"/>
      <w:r w:rsidRPr="00E71728">
        <w:rPr>
          <w:rFonts w:ascii="Times New Roman" w:hAnsi="Times New Roman" w:cs="Times New Roman"/>
          <w:sz w:val="16"/>
          <w:szCs w:val="16"/>
        </w:rPr>
        <w:t>Jeypore</w:t>
      </w:r>
      <w:proofErr w:type="spellEnd"/>
      <w:r w:rsidRPr="00E71728">
        <w:rPr>
          <w:rFonts w:ascii="Times New Roman" w:hAnsi="Times New Roman" w:cs="Times New Roman"/>
          <w:sz w:val="16"/>
          <w:szCs w:val="16"/>
        </w:rPr>
        <w:t>, District Koraput.</w:t>
      </w:r>
    </w:p>
    <w:p w14:paraId="3F412006"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Baidyanath Misra, Deputy Chairman, State Planning Board, and Director, N.K.C. Centre for Development Studies, Bhubaneswar.</w:t>
      </w:r>
    </w:p>
    <w:p w14:paraId="407669E9"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T. Kanungo, MLA, Unit - III, VIB 4/2, Bhubaneshwar. (Submitted two Memoranda)</w:t>
      </w:r>
    </w:p>
    <w:p w14:paraId="19C9E06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Chief Justice of Orissa, Bhubaneshwar.</w:t>
      </w:r>
    </w:p>
    <w:p w14:paraId="70B33B5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Habi Bulla Khan, Minister of State Community Development and Rural Reconstruction, Bhubaneswar.</w:t>
      </w:r>
    </w:p>
    <w:p w14:paraId="26F95E7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Orissa State Government Employees Coordination Committee, </w:t>
      </w:r>
      <w:proofErr w:type="spellStart"/>
      <w:r w:rsidRPr="00E71728">
        <w:rPr>
          <w:rFonts w:ascii="Times New Roman" w:hAnsi="Times New Roman" w:cs="Times New Roman"/>
          <w:sz w:val="16"/>
          <w:szCs w:val="16"/>
        </w:rPr>
        <w:t>Ashoknagar</w:t>
      </w:r>
      <w:proofErr w:type="spellEnd"/>
      <w:r w:rsidRPr="00E71728">
        <w:rPr>
          <w:rFonts w:ascii="Times New Roman" w:hAnsi="Times New Roman" w:cs="Times New Roman"/>
          <w:sz w:val="16"/>
          <w:szCs w:val="16"/>
        </w:rPr>
        <w:t>, Bhubaneswar-751009.</w:t>
      </w:r>
    </w:p>
    <w:p w14:paraId="47A9C27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Orissa State NGOS' Coordination Committee, Block No. 10, Unit - V, Bhubaneswar.</w:t>
      </w:r>
    </w:p>
    <w:p w14:paraId="56970548"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The Co-ordination Committee of Service Associations of Gazetted Officers of Orissa.</w:t>
      </w:r>
    </w:p>
    <w:p w14:paraId="7AB28D1E" w14:textId="77777777" w:rsidR="00037CA7" w:rsidRPr="00E71728" w:rsidRDefault="00037CA7" w:rsidP="0011091E">
      <w:pPr>
        <w:spacing w:after="0" w:line="200" w:lineRule="exact"/>
        <w:ind w:left="720" w:hanging="436"/>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Punjab</w:t>
      </w:r>
    </w:p>
    <w:p w14:paraId="2EDCC2A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proofErr w:type="spellStart"/>
      <w:r w:rsidRPr="00E71728">
        <w:rPr>
          <w:rFonts w:ascii="Times New Roman" w:hAnsi="Times New Roman" w:cs="Times New Roman"/>
          <w:sz w:val="16"/>
          <w:szCs w:val="16"/>
        </w:rPr>
        <w:t>Rajbans</w:t>
      </w:r>
      <w:proofErr w:type="spellEnd"/>
      <w:r w:rsidRPr="00E71728">
        <w:rPr>
          <w:rFonts w:ascii="Times New Roman" w:hAnsi="Times New Roman" w:cs="Times New Roman"/>
          <w:sz w:val="16"/>
          <w:szCs w:val="16"/>
        </w:rPr>
        <w:t xml:space="preserve"> Kaur, Professor and Head, Department of Economics, Punjabi University, Patiala-147002.</w:t>
      </w:r>
    </w:p>
    <w:p w14:paraId="6624DCE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M.L. </w:t>
      </w:r>
      <w:proofErr w:type="spellStart"/>
      <w:r w:rsidRPr="00E71728">
        <w:rPr>
          <w:rFonts w:ascii="Times New Roman" w:hAnsi="Times New Roman" w:cs="Times New Roman"/>
          <w:sz w:val="16"/>
          <w:szCs w:val="16"/>
        </w:rPr>
        <w:t>Nandrajog</w:t>
      </w:r>
      <w:proofErr w:type="spellEnd"/>
      <w:r w:rsidRPr="00E71728">
        <w:rPr>
          <w:rFonts w:ascii="Times New Roman" w:hAnsi="Times New Roman" w:cs="Times New Roman"/>
          <w:sz w:val="16"/>
          <w:szCs w:val="16"/>
        </w:rPr>
        <w:t>, Secretary General, PHD Chamber of Commerce and Industries, PHD House, Opp. Asian Games Village, New Delhi-110016.</w:t>
      </w:r>
    </w:p>
    <w:p w14:paraId="2F3A9DDF" w14:textId="77777777" w:rsidR="00037CA7" w:rsidRPr="00E71728" w:rsidRDefault="00037CA7" w:rsidP="0011091E">
      <w:pPr>
        <w:spacing w:after="0" w:line="200" w:lineRule="exact"/>
        <w:ind w:left="720"/>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Rajasthan</w:t>
      </w:r>
    </w:p>
    <w:p w14:paraId="76C750B2"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B.L. Panagariya, Raj Niketan, 7, Moti </w:t>
      </w:r>
      <w:proofErr w:type="spellStart"/>
      <w:r w:rsidRPr="00E71728">
        <w:rPr>
          <w:rFonts w:ascii="Times New Roman" w:hAnsi="Times New Roman" w:cs="Times New Roman"/>
          <w:sz w:val="16"/>
          <w:szCs w:val="16"/>
        </w:rPr>
        <w:t>Doongri</w:t>
      </w:r>
      <w:proofErr w:type="spellEnd"/>
      <w:r w:rsidRPr="00E71728">
        <w:rPr>
          <w:rFonts w:ascii="Times New Roman" w:hAnsi="Times New Roman" w:cs="Times New Roman"/>
          <w:sz w:val="16"/>
          <w:szCs w:val="16"/>
        </w:rPr>
        <w:t xml:space="preserve"> Road, Jaipur-302004.</w:t>
      </w:r>
    </w:p>
    <w:p w14:paraId="576FB0F4"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Pana Chand Gupta, Chairman, District Council, Kota.</w:t>
      </w:r>
    </w:p>
    <w:p w14:paraId="72E456E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Bhanwar Lal Bijarania, R/o </w:t>
      </w:r>
      <w:proofErr w:type="spellStart"/>
      <w:r w:rsidRPr="00E71728">
        <w:rPr>
          <w:rFonts w:ascii="Times New Roman" w:hAnsi="Times New Roman" w:cs="Times New Roman"/>
          <w:sz w:val="16"/>
          <w:szCs w:val="16"/>
        </w:rPr>
        <w:t>Kissan</w:t>
      </w:r>
      <w:proofErr w:type="spellEnd"/>
      <w:r w:rsidRPr="00E71728">
        <w:rPr>
          <w:rFonts w:ascii="Times New Roman" w:hAnsi="Times New Roman" w:cs="Times New Roman"/>
          <w:sz w:val="16"/>
          <w:szCs w:val="16"/>
        </w:rPr>
        <w:t xml:space="preserve"> Bhavan, D-107, Vidhyadhar Nagar, Jaipur-302012.</w:t>
      </w:r>
    </w:p>
    <w:p w14:paraId="3CE5F890"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Vaidya </w:t>
      </w:r>
      <w:proofErr w:type="spellStart"/>
      <w:r w:rsidRPr="00E71728">
        <w:rPr>
          <w:rFonts w:ascii="Times New Roman" w:hAnsi="Times New Roman" w:cs="Times New Roman"/>
          <w:sz w:val="16"/>
          <w:szCs w:val="16"/>
        </w:rPr>
        <w:t>Bhainroon</w:t>
      </w:r>
      <w:proofErr w:type="spellEnd"/>
      <w:r w:rsidRPr="00E71728">
        <w:rPr>
          <w:rFonts w:ascii="Times New Roman" w:hAnsi="Times New Roman" w:cs="Times New Roman"/>
          <w:sz w:val="16"/>
          <w:szCs w:val="16"/>
        </w:rPr>
        <w:t xml:space="preserve"> Lal Bhardwaj, M.L.A., President of District Congress Committee, Jaipur-302003.</w:t>
      </w:r>
    </w:p>
    <w:p w14:paraId="5D7D8BD8"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N.C. </w:t>
      </w:r>
      <w:proofErr w:type="spellStart"/>
      <w:r w:rsidRPr="00E71728">
        <w:rPr>
          <w:rFonts w:ascii="Times New Roman" w:hAnsi="Times New Roman" w:cs="Times New Roman"/>
          <w:sz w:val="16"/>
          <w:szCs w:val="16"/>
        </w:rPr>
        <w:t>Pahariya</w:t>
      </w:r>
      <w:proofErr w:type="spellEnd"/>
      <w:r w:rsidRPr="00E71728">
        <w:rPr>
          <w:rFonts w:ascii="Times New Roman" w:hAnsi="Times New Roman" w:cs="Times New Roman"/>
          <w:sz w:val="16"/>
          <w:szCs w:val="16"/>
        </w:rPr>
        <w:t>, MA, Ph.D., Associate Professor, Department of Economics, University of Rajasthan, Jaipur-302015.</w:t>
      </w:r>
    </w:p>
    <w:p w14:paraId="346ACE0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Hari Ram Bagariya, Pramukh, Office of the District Council, </w:t>
      </w:r>
      <w:proofErr w:type="spellStart"/>
      <w:r w:rsidRPr="00E71728">
        <w:rPr>
          <w:rFonts w:ascii="Times New Roman" w:hAnsi="Times New Roman" w:cs="Times New Roman"/>
          <w:sz w:val="16"/>
          <w:szCs w:val="16"/>
        </w:rPr>
        <w:t>Nagour</w:t>
      </w:r>
      <w:proofErr w:type="spellEnd"/>
      <w:r w:rsidRPr="00E71728">
        <w:rPr>
          <w:rFonts w:ascii="Times New Roman" w:hAnsi="Times New Roman" w:cs="Times New Roman"/>
          <w:sz w:val="16"/>
          <w:szCs w:val="16"/>
        </w:rPr>
        <w:t>, Rajasthan.</w:t>
      </w:r>
    </w:p>
    <w:p w14:paraId="73812BFE" w14:textId="7BCE2592"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Prof. Om Prakash, Former Vice-Chancellor, P-2, University Campus, Jaipur-302003.</w:t>
      </w:r>
    </w:p>
    <w:p w14:paraId="3D81932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Justice Guman Mal Lodha, Chief Justice, Rajasthan High Court, Jodhpur.</w:t>
      </w:r>
    </w:p>
    <w:p w14:paraId="2EF71DF4" w14:textId="77777777" w:rsidR="00037CA7" w:rsidRPr="00E71728" w:rsidRDefault="00037CA7" w:rsidP="0011091E">
      <w:pPr>
        <w:spacing w:after="0" w:line="200" w:lineRule="exact"/>
        <w:ind w:left="720" w:hanging="436"/>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Tamil Nadu</w:t>
      </w:r>
    </w:p>
    <w:p w14:paraId="5944EAD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Malcolm S. Adiseshiah, Chairman, Madras Institute of Development Studies, 79, II Main Road, Gandhi Nagar, Adyar, Madras - 600 017.</w:t>
      </w:r>
    </w:p>
    <w:p w14:paraId="43F2F63A"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Smt. R. Kohilam, Assistant Professor in Economics, Quaid-E-Millat Government College for Women, Anna Salai, Madras-600002.</w:t>
      </w:r>
    </w:p>
    <w:p w14:paraId="5ADCF60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C.A. Perumal, Professor and Head, Department of Politics and Public Admn., University of Madras, University Building, Chepauk, Madras-600005.</w:t>
      </w:r>
    </w:p>
    <w:p w14:paraId="69D70DAF"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M.K. Deena Dayalan, IPS, Retd. Postmaster General, President, All India Federation of Pensioners' Association, 10, Rajan Street, T. Nagar, Madras-600017. (Submitted two Memoranda)</w:t>
      </w:r>
    </w:p>
    <w:p w14:paraId="7A34D3AE"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M.R. Appan, General Secretary, The Tamil Nadu Government Employees' Association (Regd.), Bethol Lodge, 12, </w:t>
      </w:r>
      <w:proofErr w:type="spellStart"/>
      <w:r w:rsidRPr="00E71728">
        <w:rPr>
          <w:rFonts w:ascii="Times New Roman" w:hAnsi="Times New Roman" w:cs="Times New Roman"/>
          <w:sz w:val="16"/>
          <w:szCs w:val="16"/>
        </w:rPr>
        <w:t>Wallajah</w:t>
      </w:r>
      <w:proofErr w:type="spellEnd"/>
      <w:r w:rsidRPr="00E71728">
        <w:rPr>
          <w:rFonts w:ascii="Times New Roman" w:hAnsi="Times New Roman" w:cs="Times New Roman"/>
          <w:sz w:val="16"/>
          <w:szCs w:val="16"/>
        </w:rPr>
        <w:t xml:space="preserve"> Road Madras, 600 002.</w:t>
      </w:r>
    </w:p>
    <w:p w14:paraId="57A9A3A2"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 </w:t>
      </w:r>
      <w:proofErr w:type="spellStart"/>
      <w:r w:rsidRPr="00E71728">
        <w:rPr>
          <w:rFonts w:ascii="Times New Roman" w:hAnsi="Times New Roman" w:cs="Times New Roman"/>
          <w:sz w:val="16"/>
          <w:szCs w:val="16"/>
        </w:rPr>
        <w:t>Debendran</w:t>
      </w:r>
      <w:proofErr w:type="spellEnd"/>
      <w:r w:rsidRPr="00E71728">
        <w:rPr>
          <w:rFonts w:ascii="Times New Roman" w:hAnsi="Times New Roman" w:cs="Times New Roman"/>
          <w:sz w:val="16"/>
          <w:szCs w:val="16"/>
        </w:rPr>
        <w:t>, Registrar, Institute for Techno-Economic Studies, 76, Harrington Road, Madras-600031.</w:t>
      </w:r>
    </w:p>
    <w:p w14:paraId="21F76D92"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P.C. Mathew, ICS (Retd), 10, Third Avenue, Harrington Road, Madras - 600031.</w:t>
      </w:r>
    </w:p>
    <w:p w14:paraId="2C334D36"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w:t>
      </w:r>
      <w:proofErr w:type="spellStart"/>
      <w:r w:rsidRPr="00E71728">
        <w:rPr>
          <w:rFonts w:ascii="Times New Roman" w:hAnsi="Times New Roman" w:cs="Times New Roman"/>
          <w:sz w:val="16"/>
          <w:szCs w:val="16"/>
        </w:rPr>
        <w:t>Vedagiri</w:t>
      </w:r>
      <w:proofErr w:type="spellEnd"/>
      <w:r w:rsidRPr="00E71728">
        <w:rPr>
          <w:rFonts w:ascii="Times New Roman" w:hAnsi="Times New Roman" w:cs="Times New Roman"/>
          <w:sz w:val="16"/>
          <w:szCs w:val="16"/>
        </w:rPr>
        <w:t xml:space="preserve"> Shanmugasundaram, President, Anna Nagar Academy, No. 43, 1st Main Road, </w:t>
      </w:r>
      <w:proofErr w:type="spellStart"/>
      <w:r w:rsidRPr="00E71728">
        <w:rPr>
          <w:rFonts w:ascii="Times New Roman" w:hAnsi="Times New Roman" w:cs="Times New Roman"/>
          <w:sz w:val="16"/>
          <w:szCs w:val="16"/>
        </w:rPr>
        <w:t>Senoy</w:t>
      </w:r>
      <w:proofErr w:type="spellEnd"/>
      <w:r w:rsidRPr="00E71728">
        <w:rPr>
          <w:rFonts w:ascii="Times New Roman" w:hAnsi="Times New Roman" w:cs="Times New Roman"/>
          <w:sz w:val="16"/>
          <w:szCs w:val="16"/>
        </w:rPr>
        <w:t xml:space="preserve"> Nagar, Madras 600030.</w:t>
      </w:r>
    </w:p>
    <w:p w14:paraId="4725DBEC"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 Thirunavukkarasu, MLA, Deputy Leader of Opposition, All India Anna DMK Legislature Party, 275, Avvai </w:t>
      </w:r>
      <w:proofErr w:type="spellStart"/>
      <w:r w:rsidRPr="00E71728">
        <w:rPr>
          <w:rFonts w:ascii="Times New Roman" w:hAnsi="Times New Roman" w:cs="Times New Roman"/>
          <w:sz w:val="16"/>
          <w:szCs w:val="16"/>
        </w:rPr>
        <w:t>Shunmugam</w:t>
      </w:r>
      <w:proofErr w:type="spellEnd"/>
      <w:r w:rsidRPr="00E71728">
        <w:rPr>
          <w:rFonts w:ascii="Times New Roman" w:hAnsi="Times New Roman" w:cs="Times New Roman"/>
          <w:sz w:val="16"/>
          <w:szCs w:val="16"/>
        </w:rPr>
        <w:t xml:space="preserve"> Salai, Madras 600 014.</w:t>
      </w:r>
    </w:p>
    <w:p w14:paraId="1272B54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W.R. Varadarajan, MLA, Communist Party of India (Marxist), Tamil Nadu State Committee, 26, Car Street, </w:t>
      </w:r>
      <w:proofErr w:type="spellStart"/>
      <w:r w:rsidRPr="00E71728">
        <w:rPr>
          <w:rFonts w:ascii="Times New Roman" w:hAnsi="Times New Roman" w:cs="Times New Roman"/>
          <w:sz w:val="16"/>
          <w:szCs w:val="16"/>
        </w:rPr>
        <w:t>Triplicane</w:t>
      </w:r>
      <w:proofErr w:type="spellEnd"/>
      <w:r w:rsidRPr="00E71728">
        <w:rPr>
          <w:rFonts w:ascii="Times New Roman" w:hAnsi="Times New Roman" w:cs="Times New Roman"/>
          <w:sz w:val="16"/>
          <w:szCs w:val="16"/>
        </w:rPr>
        <w:t>, Madras 600 005.</w:t>
      </w:r>
    </w:p>
    <w:p w14:paraId="55A0C4F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D. Vaseekaran, President, All India Minorities' Party, 31, </w:t>
      </w:r>
      <w:proofErr w:type="spellStart"/>
      <w:r w:rsidRPr="00E71728">
        <w:rPr>
          <w:rFonts w:ascii="Times New Roman" w:hAnsi="Times New Roman" w:cs="Times New Roman"/>
          <w:sz w:val="16"/>
          <w:szCs w:val="16"/>
        </w:rPr>
        <w:t>Thirumoorthi</w:t>
      </w:r>
      <w:proofErr w:type="spellEnd"/>
      <w:r w:rsidRPr="00E71728">
        <w:rPr>
          <w:rFonts w:ascii="Times New Roman" w:hAnsi="Times New Roman" w:cs="Times New Roman"/>
          <w:sz w:val="16"/>
          <w:szCs w:val="16"/>
        </w:rPr>
        <w:t xml:space="preserve"> Street, </w:t>
      </w:r>
      <w:proofErr w:type="spellStart"/>
      <w:r w:rsidRPr="00E71728">
        <w:rPr>
          <w:rFonts w:ascii="Times New Roman" w:hAnsi="Times New Roman" w:cs="Times New Roman"/>
          <w:sz w:val="16"/>
          <w:szCs w:val="16"/>
        </w:rPr>
        <w:t>Theagarayanagar</w:t>
      </w:r>
      <w:proofErr w:type="spellEnd"/>
      <w:r w:rsidRPr="00E71728">
        <w:rPr>
          <w:rFonts w:ascii="Times New Roman" w:hAnsi="Times New Roman" w:cs="Times New Roman"/>
          <w:sz w:val="16"/>
          <w:szCs w:val="16"/>
        </w:rPr>
        <w:t>, Madras 600 017.</w:t>
      </w:r>
    </w:p>
    <w:p w14:paraId="13B0708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Smt. </w:t>
      </w:r>
      <w:proofErr w:type="spellStart"/>
      <w:r w:rsidRPr="00E71728">
        <w:rPr>
          <w:rFonts w:ascii="Times New Roman" w:hAnsi="Times New Roman" w:cs="Times New Roman"/>
          <w:sz w:val="16"/>
          <w:szCs w:val="16"/>
        </w:rPr>
        <w:t>Jethalal</w:t>
      </w:r>
      <w:proofErr w:type="spellEnd"/>
      <w:r w:rsidRPr="00E71728">
        <w:rPr>
          <w:rFonts w:ascii="Times New Roman" w:hAnsi="Times New Roman" w:cs="Times New Roman"/>
          <w:sz w:val="16"/>
          <w:szCs w:val="16"/>
        </w:rPr>
        <w:t xml:space="preserve"> D. Solanki, President, Tamil Nadu Chamber of Commerce and Industry, 4th Floor, 178 B, </w:t>
      </w:r>
      <w:proofErr w:type="spellStart"/>
      <w:r w:rsidRPr="00E71728">
        <w:rPr>
          <w:rFonts w:ascii="Times New Roman" w:hAnsi="Times New Roman" w:cs="Times New Roman"/>
          <w:sz w:val="16"/>
          <w:szCs w:val="16"/>
        </w:rPr>
        <w:t>Kamarajar</w:t>
      </w:r>
      <w:proofErr w:type="spellEnd"/>
      <w:r w:rsidRPr="00E71728">
        <w:rPr>
          <w:rFonts w:ascii="Times New Roman" w:hAnsi="Times New Roman" w:cs="Times New Roman"/>
          <w:sz w:val="16"/>
          <w:szCs w:val="16"/>
        </w:rPr>
        <w:t xml:space="preserve"> Road, Madurai 625 009.</w:t>
      </w:r>
    </w:p>
    <w:p w14:paraId="72DA95A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M.K. Deena Dayalan, President, All India Federation of Pensioners' Associations, 10, Rajan Street, </w:t>
      </w:r>
      <w:proofErr w:type="spellStart"/>
      <w:r w:rsidRPr="00E71728">
        <w:rPr>
          <w:rFonts w:ascii="Times New Roman" w:hAnsi="Times New Roman" w:cs="Times New Roman"/>
          <w:sz w:val="16"/>
          <w:szCs w:val="16"/>
        </w:rPr>
        <w:t>Theagarayanagar</w:t>
      </w:r>
      <w:proofErr w:type="spellEnd"/>
      <w:r w:rsidRPr="00E71728">
        <w:rPr>
          <w:rFonts w:ascii="Times New Roman" w:hAnsi="Times New Roman" w:cs="Times New Roman"/>
          <w:sz w:val="16"/>
          <w:szCs w:val="16"/>
        </w:rPr>
        <w:t>, Madras 600 017.</w:t>
      </w:r>
    </w:p>
    <w:p w14:paraId="46AB3B79"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Siva Ilango, President, Tamil Nadu Government Officials' Union, 4, Neeli Veerasamy Street, </w:t>
      </w:r>
      <w:proofErr w:type="spellStart"/>
      <w:r w:rsidRPr="00E71728">
        <w:rPr>
          <w:rFonts w:ascii="Times New Roman" w:hAnsi="Times New Roman" w:cs="Times New Roman"/>
          <w:sz w:val="16"/>
          <w:szCs w:val="16"/>
        </w:rPr>
        <w:t>Triplicane</w:t>
      </w:r>
      <w:proofErr w:type="spellEnd"/>
      <w:r w:rsidRPr="00E71728">
        <w:rPr>
          <w:rFonts w:ascii="Times New Roman" w:hAnsi="Times New Roman" w:cs="Times New Roman"/>
          <w:sz w:val="16"/>
          <w:szCs w:val="16"/>
        </w:rPr>
        <w:t>, Madras 600005.</w:t>
      </w:r>
    </w:p>
    <w:p w14:paraId="32155FB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C.D.V. Gnanaraj, President, Tamil Nadu Secretariat Association, Fort St. George, Madras 600 009.</w:t>
      </w:r>
    </w:p>
    <w:p w14:paraId="790578E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 Palaniappan, President, Tamil Nadu United Secretariat Staff Federation, Fort St. George, Madras 600 009.</w:t>
      </w:r>
    </w:p>
    <w:p w14:paraId="61FCCB3A"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The Tamil Nadu Government Employees' Association, 7, </w:t>
      </w:r>
      <w:proofErr w:type="spellStart"/>
      <w:r w:rsidRPr="00E71728">
        <w:rPr>
          <w:rFonts w:ascii="Times New Roman" w:hAnsi="Times New Roman" w:cs="Times New Roman"/>
          <w:sz w:val="16"/>
          <w:szCs w:val="16"/>
        </w:rPr>
        <w:t>Wallajah</w:t>
      </w:r>
      <w:proofErr w:type="spellEnd"/>
      <w:r w:rsidRPr="00E71728">
        <w:rPr>
          <w:rFonts w:ascii="Times New Roman" w:hAnsi="Times New Roman" w:cs="Times New Roman"/>
          <w:sz w:val="16"/>
          <w:szCs w:val="16"/>
        </w:rPr>
        <w:t xml:space="preserve"> Road, Madras-600002.</w:t>
      </w:r>
    </w:p>
    <w:p w14:paraId="3A0D53A7" w14:textId="77777777" w:rsidR="00037CA7" w:rsidRPr="00E71728" w:rsidRDefault="00037CA7" w:rsidP="0011091E">
      <w:pPr>
        <w:spacing w:after="0" w:line="200" w:lineRule="exact"/>
        <w:ind w:left="720" w:hanging="436"/>
        <w:jc w:val="both"/>
        <w:rPr>
          <w:rFonts w:ascii="Times New Roman" w:hAnsi="Times New Roman" w:cs="Times New Roman"/>
          <w:b/>
          <w:bCs/>
          <w:sz w:val="16"/>
          <w:szCs w:val="16"/>
          <w:u w:val="single"/>
        </w:rPr>
      </w:pPr>
      <w:r w:rsidRPr="00E71728">
        <w:rPr>
          <w:rFonts w:ascii="Times New Roman" w:hAnsi="Times New Roman" w:cs="Times New Roman"/>
          <w:b/>
          <w:bCs/>
          <w:sz w:val="16"/>
          <w:szCs w:val="16"/>
          <w:u w:val="single"/>
        </w:rPr>
        <w:t>Tripura</w:t>
      </w:r>
    </w:p>
    <w:p w14:paraId="2C4EF081" w14:textId="3A637850"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Haradhan Dutta, Chairman, Honour's and Post Graduate Teachers' Association, Tripura, 10, Jagannath Bari Road, Agartala-799001.</w:t>
      </w:r>
    </w:p>
    <w:p w14:paraId="0707A759" w14:textId="7DB5D490"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w:t>
      </w:r>
      <w:proofErr w:type="spellStart"/>
      <w:r w:rsidRPr="00E71728">
        <w:rPr>
          <w:rFonts w:ascii="Times New Roman" w:hAnsi="Times New Roman" w:cs="Times New Roman"/>
          <w:sz w:val="16"/>
          <w:szCs w:val="16"/>
        </w:rPr>
        <w:t>Nripen</w:t>
      </w:r>
      <w:proofErr w:type="spellEnd"/>
      <w:r w:rsidRPr="00E71728">
        <w:rPr>
          <w:rFonts w:ascii="Times New Roman" w:hAnsi="Times New Roman" w:cs="Times New Roman"/>
          <w:sz w:val="16"/>
          <w:szCs w:val="16"/>
        </w:rPr>
        <w:t xml:space="preserve"> Chakravarty Ex-Chief Minister, Tripura, Agartala.</w:t>
      </w:r>
    </w:p>
    <w:p w14:paraId="4BABA7D9" w14:textId="77777777" w:rsidR="00037CA7" w:rsidRPr="0011091E" w:rsidRDefault="00037CA7" w:rsidP="0011091E">
      <w:pPr>
        <w:spacing w:after="0" w:line="200" w:lineRule="exact"/>
        <w:ind w:left="720" w:hanging="436"/>
        <w:jc w:val="both"/>
        <w:rPr>
          <w:rFonts w:ascii="Times New Roman" w:hAnsi="Times New Roman" w:cs="Times New Roman"/>
          <w:sz w:val="16"/>
          <w:szCs w:val="16"/>
          <w:u w:val="single"/>
        </w:rPr>
      </w:pPr>
      <w:r w:rsidRPr="0011091E">
        <w:rPr>
          <w:rFonts w:ascii="Times New Roman" w:hAnsi="Times New Roman" w:cs="Times New Roman"/>
          <w:b/>
          <w:bCs/>
          <w:sz w:val="16"/>
          <w:szCs w:val="16"/>
          <w:u w:val="single"/>
        </w:rPr>
        <w:t>Uttar Pradesh</w:t>
      </w:r>
    </w:p>
    <w:p w14:paraId="1352FCC0"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Md. Sayed Sibte Razi, Education Minister, Government of Uttar Pradesh, Vidhan Bhavan, Lucknow.</w:t>
      </w:r>
    </w:p>
    <w:p w14:paraId="71B70380"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B.M. Jauhari, M.A, Ph.D., Department of Post Graduate, Research and Studies in Economics, M.M.H. College, IIA/F-36, Nehru Nagar, Ghaziabad-201001. (Submitted two Memoranda)</w:t>
      </w:r>
    </w:p>
    <w:p w14:paraId="150E36B8"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P.C. Bhatia, President, Federation of Uttar Pradesh Pensioners' Association, 3-C/9, Park Road, Lucknow-226001.</w:t>
      </w:r>
    </w:p>
    <w:p w14:paraId="5D55F600"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P.K. Bhargava, Professor, </w:t>
      </w:r>
      <w:proofErr w:type="spellStart"/>
      <w:r w:rsidRPr="00E71728">
        <w:rPr>
          <w:rFonts w:ascii="Times New Roman" w:hAnsi="Times New Roman" w:cs="Times New Roman"/>
          <w:sz w:val="16"/>
          <w:szCs w:val="16"/>
        </w:rPr>
        <w:t>Benaras</w:t>
      </w:r>
      <w:proofErr w:type="spellEnd"/>
      <w:r w:rsidRPr="00E71728">
        <w:rPr>
          <w:rFonts w:ascii="Times New Roman" w:hAnsi="Times New Roman" w:cs="Times New Roman"/>
          <w:sz w:val="16"/>
          <w:szCs w:val="16"/>
        </w:rPr>
        <w:t xml:space="preserve"> Hindu University, Varanasi, </w:t>
      </w:r>
      <w:proofErr w:type="spellStart"/>
      <w:r w:rsidRPr="00E71728">
        <w:rPr>
          <w:rFonts w:ascii="Times New Roman" w:hAnsi="Times New Roman" w:cs="Times New Roman"/>
          <w:sz w:val="16"/>
          <w:szCs w:val="16"/>
        </w:rPr>
        <w:t>Deptt</w:t>
      </w:r>
      <w:proofErr w:type="spellEnd"/>
      <w:r w:rsidRPr="00E71728">
        <w:rPr>
          <w:rFonts w:ascii="Times New Roman" w:hAnsi="Times New Roman" w:cs="Times New Roman"/>
          <w:sz w:val="16"/>
          <w:szCs w:val="16"/>
        </w:rPr>
        <w:t xml:space="preserve">. of Economics, No. </w:t>
      </w:r>
      <w:r w:rsidRPr="00E71728">
        <w:rPr>
          <w:rFonts w:ascii="Times New Roman" w:hAnsi="Times New Roman" w:cs="Times New Roman"/>
          <w:sz w:val="16"/>
          <w:szCs w:val="16"/>
        </w:rPr>
        <w:t xml:space="preserve">G/7, </w:t>
      </w:r>
      <w:proofErr w:type="spellStart"/>
      <w:r w:rsidRPr="00E71728">
        <w:rPr>
          <w:rFonts w:ascii="Times New Roman" w:hAnsi="Times New Roman" w:cs="Times New Roman"/>
          <w:sz w:val="16"/>
          <w:szCs w:val="16"/>
        </w:rPr>
        <w:t>Arvindo</w:t>
      </w:r>
      <w:proofErr w:type="spellEnd"/>
      <w:r w:rsidRPr="00E71728">
        <w:rPr>
          <w:rFonts w:ascii="Times New Roman" w:hAnsi="Times New Roman" w:cs="Times New Roman"/>
          <w:sz w:val="16"/>
          <w:szCs w:val="16"/>
        </w:rPr>
        <w:t xml:space="preserve"> Colony, B.H.U. Campus, Varanasi-221005.</w:t>
      </w:r>
    </w:p>
    <w:p w14:paraId="45CB50F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Vinod Kumar Srivastava, Secretary, Notified Area Committee, Kirti Nagar, Tehri Garhwal.</w:t>
      </w:r>
    </w:p>
    <w:p w14:paraId="23ECF97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Dr. </w:t>
      </w:r>
      <w:proofErr w:type="spellStart"/>
      <w:r w:rsidRPr="00E71728">
        <w:rPr>
          <w:rFonts w:ascii="Times New Roman" w:hAnsi="Times New Roman" w:cs="Times New Roman"/>
          <w:sz w:val="16"/>
          <w:szCs w:val="16"/>
        </w:rPr>
        <w:t>Sudhakanta</w:t>
      </w:r>
      <w:proofErr w:type="spellEnd"/>
      <w:r w:rsidRPr="00E71728">
        <w:rPr>
          <w:rFonts w:ascii="Times New Roman" w:hAnsi="Times New Roman" w:cs="Times New Roman"/>
          <w:sz w:val="16"/>
          <w:szCs w:val="16"/>
        </w:rPr>
        <w:t xml:space="preserve"> Mishra, Hony. Secretary, Indian Institute of Economic Research, 5 E, Pandey Colony, Kautilya Kone Marg, </w:t>
      </w:r>
      <w:proofErr w:type="gramStart"/>
      <w:r w:rsidRPr="00E71728">
        <w:rPr>
          <w:rFonts w:ascii="Times New Roman" w:hAnsi="Times New Roman" w:cs="Times New Roman"/>
          <w:sz w:val="16"/>
          <w:szCs w:val="16"/>
        </w:rPr>
        <w:t>P.Box</w:t>
      </w:r>
      <w:proofErr w:type="gramEnd"/>
      <w:r w:rsidRPr="00E71728">
        <w:rPr>
          <w:rFonts w:ascii="Times New Roman" w:hAnsi="Times New Roman" w:cs="Times New Roman"/>
          <w:sz w:val="16"/>
          <w:szCs w:val="16"/>
        </w:rPr>
        <w:t>-110, Varanasi-221002.</w:t>
      </w:r>
    </w:p>
    <w:p w14:paraId="552AB10E"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Officer-in-charge, Municipal Corporation, </w:t>
      </w:r>
      <w:proofErr w:type="spellStart"/>
      <w:r w:rsidRPr="00E71728">
        <w:rPr>
          <w:rFonts w:ascii="Times New Roman" w:hAnsi="Times New Roman" w:cs="Times New Roman"/>
          <w:sz w:val="16"/>
          <w:szCs w:val="16"/>
        </w:rPr>
        <w:t>Bangarmau</w:t>
      </w:r>
      <w:proofErr w:type="spellEnd"/>
      <w:r w:rsidRPr="00E71728">
        <w:rPr>
          <w:rFonts w:ascii="Times New Roman" w:hAnsi="Times New Roman" w:cs="Times New Roman"/>
          <w:sz w:val="16"/>
          <w:szCs w:val="16"/>
        </w:rPr>
        <w:t>, Unnao.</w:t>
      </w:r>
    </w:p>
    <w:p w14:paraId="61D73EB9"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Shyam Dhar Mishra, Former Minister, Varanasi, Khasi Sadan, Gopi Ganj. (Submitted two Memoranda)</w:t>
      </w:r>
    </w:p>
    <w:p w14:paraId="198E3AD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Federation of U.P. Pensioners' Association, President Shri P.C. Bhatia, 3-C/9, Park Road, Lucknow - 226 001.</w:t>
      </w:r>
    </w:p>
    <w:p w14:paraId="007418B6"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U.P. Shrivastava, Convener, Uttar Pradesh </w:t>
      </w:r>
      <w:proofErr w:type="spellStart"/>
      <w:r w:rsidRPr="00E71728">
        <w:rPr>
          <w:rFonts w:ascii="Times New Roman" w:hAnsi="Times New Roman" w:cs="Times New Roman"/>
          <w:sz w:val="16"/>
          <w:szCs w:val="16"/>
        </w:rPr>
        <w:t>Sachivalaya</w:t>
      </w:r>
      <w:proofErr w:type="spellEnd"/>
      <w:r w:rsidRPr="00E71728">
        <w:rPr>
          <w:rFonts w:ascii="Times New Roman" w:hAnsi="Times New Roman" w:cs="Times New Roman"/>
          <w:sz w:val="16"/>
          <w:szCs w:val="16"/>
        </w:rPr>
        <w:t xml:space="preserve"> </w:t>
      </w:r>
      <w:proofErr w:type="spellStart"/>
      <w:r w:rsidRPr="00E71728">
        <w:rPr>
          <w:rFonts w:ascii="Times New Roman" w:hAnsi="Times New Roman" w:cs="Times New Roman"/>
          <w:sz w:val="16"/>
          <w:szCs w:val="16"/>
        </w:rPr>
        <w:t>Mahasangh</w:t>
      </w:r>
      <w:proofErr w:type="spellEnd"/>
      <w:r w:rsidRPr="00E71728">
        <w:rPr>
          <w:rFonts w:ascii="Times New Roman" w:hAnsi="Times New Roman" w:cs="Times New Roman"/>
          <w:sz w:val="16"/>
          <w:szCs w:val="16"/>
        </w:rPr>
        <w:t>, Vidhan Bhawan, Lucknow.</w:t>
      </w:r>
    </w:p>
    <w:p w14:paraId="00E49FF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Maheshwar Pandey, M.L.C. </w:t>
      </w:r>
      <w:proofErr w:type="spellStart"/>
      <w:r w:rsidRPr="00E71728">
        <w:rPr>
          <w:rFonts w:ascii="Times New Roman" w:hAnsi="Times New Roman" w:cs="Times New Roman"/>
          <w:sz w:val="16"/>
          <w:szCs w:val="16"/>
        </w:rPr>
        <w:t>Darulshafa</w:t>
      </w:r>
      <w:proofErr w:type="spellEnd"/>
      <w:r w:rsidRPr="00E71728">
        <w:rPr>
          <w:rFonts w:ascii="Times New Roman" w:hAnsi="Times New Roman" w:cs="Times New Roman"/>
          <w:sz w:val="16"/>
          <w:szCs w:val="16"/>
        </w:rPr>
        <w:t>, Lucknow.</w:t>
      </w:r>
    </w:p>
    <w:p w14:paraId="5DDA6448"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Ram Ratan Singh, President, DCC(I) Fatehpur, District Fatehpur.</w:t>
      </w:r>
    </w:p>
    <w:p w14:paraId="15351B8C" w14:textId="09AFDE96"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State Planning Institute, Lucknow and Office of the Collector, Fatehpur.</w:t>
      </w:r>
    </w:p>
    <w:p w14:paraId="67B0F0DB" w14:textId="77777777" w:rsidR="00037CA7" w:rsidRPr="00E71728" w:rsidRDefault="00037CA7" w:rsidP="0011091E">
      <w:pPr>
        <w:spacing w:after="0" w:line="200" w:lineRule="exact"/>
        <w:jc w:val="both"/>
        <w:rPr>
          <w:rFonts w:ascii="Times New Roman" w:hAnsi="Times New Roman" w:cs="Times New Roman"/>
          <w:sz w:val="16"/>
          <w:szCs w:val="16"/>
        </w:rPr>
      </w:pPr>
    </w:p>
    <w:p w14:paraId="72EC7BB7" w14:textId="18253D64"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Hari Kant, Principal Chief Conservator of Forests, Uttar Pradesh.</w:t>
      </w:r>
    </w:p>
    <w:p w14:paraId="7553162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Kashi Singh Ari, MLA of </w:t>
      </w:r>
      <w:proofErr w:type="spellStart"/>
      <w:r w:rsidRPr="00E71728">
        <w:rPr>
          <w:rFonts w:ascii="Times New Roman" w:hAnsi="Times New Roman" w:cs="Times New Roman"/>
          <w:sz w:val="16"/>
          <w:szCs w:val="16"/>
        </w:rPr>
        <w:t>Didihat</w:t>
      </w:r>
      <w:proofErr w:type="spellEnd"/>
      <w:r w:rsidRPr="00E71728">
        <w:rPr>
          <w:rFonts w:ascii="Times New Roman" w:hAnsi="Times New Roman" w:cs="Times New Roman"/>
          <w:sz w:val="16"/>
          <w:szCs w:val="16"/>
        </w:rPr>
        <w:t>; Pithoragarh. U.P.</w:t>
      </w:r>
    </w:p>
    <w:p w14:paraId="0F8523E5" w14:textId="77777777" w:rsidR="00037CA7" w:rsidRPr="00E71728" w:rsidRDefault="00037CA7" w:rsidP="0011091E">
      <w:pPr>
        <w:spacing w:after="0" w:line="200" w:lineRule="exact"/>
        <w:ind w:left="720" w:hanging="436"/>
        <w:jc w:val="both"/>
        <w:rPr>
          <w:rFonts w:ascii="Times New Roman" w:hAnsi="Times New Roman" w:cs="Times New Roman"/>
          <w:sz w:val="16"/>
          <w:szCs w:val="16"/>
        </w:rPr>
      </w:pPr>
      <w:r w:rsidRPr="00E71728">
        <w:rPr>
          <w:rFonts w:ascii="Times New Roman" w:hAnsi="Times New Roman" w:cs="Times New Roman"/>
          <w:b/>
          <w:bCs/>
          <w:sz w:val="16"/>
          <w:szCs w:val="16"/>
        </w:rPr>
        <w:t>West Bengal</w:t>
      </w:r>
    </w:p>
    <w:p w14:paraId="01BEC051"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Tuhin Samanta, M.L.A., West Bengal.</w:t>
      </w:r>
    </w:p>
    <w:p w14:paraId="0DE498C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Bikash Hazara, Chairman, National Forum of Public Interest, 49/1, Karl Marx Sarani, </w:t>
      </w:r>
      <w:proofErr w:type="spellStart"/>
      <w:r w:rsidRPr="00E71728">
        <w:rPr>
          <w:rFonts w:ascii="Times New Roman" w:hAnsi="Times New Roman" w:cs="Times New Roman"/>
          <w:sz w:val="16"/>
          <w:szCs w:val="16"/>
        </w:rPr>
        <w:t>Bhukailash</w:t>
      </w:r>
      <w:proofErr w:type="spellEnd"/>
      <w:r w:rsidRPr="00E71728">
        <w:rPr>
          <w:rFonts w:ascii="Times New Roman" w:hAnsi="Times New Roman" w:cs="Times New Roman"/>
          <w:sz w:val="16"/>
          <w:szCs w:val="16"/>
        </w:rPr>
        <w:t xml:space="preserve"> Rajbari, </w:t>
      </w:r>
      <w:proofErr w:type="spellStart"/>
      <w:r w:rsidRPr="00E71728">
        <w:rPr>
          <w:rFonts w:ascii="Times New Roman" w:hAnsi="Times New Roman" w:cs="Times New Roman"/>
          <w:sz w:val="16"/>
          <w:szCs w:val="16"/>
        </w:rPr>
        <w:t>Kidderpore</w:t>
      </w:r>
      <w:proofErr w:type="spellEnd"/>
      <w:r w:rsidRPr="00E71728">
        <w:rPr>
          <w:rFonts w:ascii="Times New Roman" w:hAnsi="Times New Roman" w:cs="Times New Roman"/>
          <w:sz w:val="16"/>
          <w:szCs w:val="16"/>
        </w:rPr>
        <w:t>, Calcutta-700023.</w:t>
      </w:r>
    </w:p>
    <w:p w14:paraId="15C5CA5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Chairman, </w:t>
      </w:r>
      <w:proofErr w:type="spellStart"/>
      <w:r w:rsidRPr="00E71728">
        <w:rPr>
          <w:rFonts w:ascii="Times New Roman" w:hAnsi="Times New Roman" w:cs="Times New Roman"/>
          <w:sz w:val="16"/>
          <w:szCs w:val="16"/>
        </w:rPr>
        <w:t>Beldanga</w:t>
      </w:r>
      <w:proofErr w:type="spellEnd"/>
      <w:r w:rsidRPr="00E71728">
        <w:rPr>
          <w:rFonts w:ascii="Times New Roman" w:hAnsi="Times New Roman" w:cs="Times New Roman"/>
          <w:sz w:val="16"/>
          <w:szCs w:val="16"/>
        </w:rPr>
        <w:t xml:space="preserve"> Municipality, P.O. </w:t>
      </w:r>
      <w:proofErr w:type="spellStart"/>
      <w:r w:rsidRPr="00E71728">
        <w:rPr>
          <w:rFonts w:ascii="Times New Roman" w:hAnsi="Times New Roman" w:cs="Times New Roman"/>
          <w:sz w:val="16"/>
          <w:szCs w:val="16"/>
        </w:rPr>
        <w:t>Beldanga</w:t>
      </w:r>
      <w:proofErr w:type="spellEnd"/>
      <w:r w:rsidRPr="00E71728">
        <w:rPr>
          <w:rFonts w:ascii="Times New Roman" w:hAnsi="Times New Roman" w:cs="Times New Roman"/>
          <w:sz w:val="16"/>
          <w:szCs w:val="16"/>
        </w:rPr>
        <w:t>, District Murshidabad.</w:t>
      </w:r>
    </w:p>
    <w:p w14:paraId="5FF1018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The Joint Secretary, State Co-ordination Committee of the West Bengal Govt. Employees' Association and Unions, 186, B.B. Ganguly Street, Calcutta-700012. (Submitted two Memoranda)</w:t>
      </w:r>
    </w:p>
    <w:p w14:paraId="3BD3F37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Dr. R. Chakrabarti, Director, Netaji Institute for Asian Studies, 1, Woodburn Park, Calcutta-700020.</w:t>
      </w:r>
    </w:p>
    <w:p w14:paraId="4D3076F2"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Syed S.A. Masud, M.A, </w:t>
      </w:r>
      <w:proofErr w:type="gramStart"/>
      <w:r w:rsidRPr="00E71728">
        <w:rPr>
          <w:rFonts w:ascii="Times New Roman" w:hAnsi="Times New Roman" w:cs="Times New Roman"/>
          <w:sz w:val="16"/>
          <w:szCs w:val="16"/>
        </w:rPr>
        <w:t>LL.B</w:t>
      </w:r>
      <w:proofErr w:type="gramEnd"/>
      <w:r w:rsidRPr="00E71728">
        <w:rPr>
          <w:rFonts w:ascii="Times New Roman" w:hAnsi="Times New Roman" w:cs="Times New Roman"/>
          <w:sz w:val="16"/>
          <w:szCs w:val="16"/>
        </w:rPr>
        <w:t>, Barrister-at-Law, Former Judge High Court, 15, Nasiruddin Road, Calcutta-700017.</w:t>
      </w:r>
    </w:p>
    <w:p w14:paraId="575003C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Pankaj Dutta, Chairman, </w:t>
      </w:r>
      <w:proofErr w:type="spellStart"/>
      <w:r w:rsidRPr="00E71728">
        <w:rPr>
          <w:rFonts w:ascii="Times New Roman" w:hAnsi="Times New Roman" w:cs="Times New Roman"/>
          <w:sz w:val="16"/>
          <w:szCs w:val="16"/>
        </w:rPr>
        <w:t>Jiaganj-Azimaganj</w:t>
      </w:r>
      <w:proofErr w:type="spellEnd"/>
      <w:r w:rsidRPr="00E71728">
        <w:rPr>
          <w:rFonts w:ascii="Times New Roman" w:hAnsi="Times New Roman" w:cs="Times New Roman"/>
          <w:sz w:val="16"/>
          <w:szCs w:val="16"/>
        </w:rPr>
        <w:t xml:space="preserve"> Municipality, P.O. </w:t>
      </w:r>
      <w:proofErr w:type="spellStart"/>
      <w:r w:rsidRPr="00E71728">
        <w:rPr>
          <w:rFonts w:ascii="Times New Roman" w:hAnsi="Times New Roman" w:cs="Times New Roman"/>
          <w:sz w:val="16"/>
          <w:szCs w:val="16"/>
        </w:rPr>
        <w:t>Azimaganj</w:t>
      </w:r>
      <w:proofErr w:type="spellEnd"/>
      <w:r w:rsidRPr="00E71728">
        <w:rPr>
          <w:rFonts w:ascii="Times New Roman" w:hAnsi="Times New Roman" w:cs="Times New Roman"/>
          <w:sz w:val="16"/>
          <w:szCs w:val="16"/>
        </w:rPr>
        <w:t>, District Murshidabad-742122.</w:t>
      </w:r>
    </w:p>
    <w:p w14:paraId="33AD7EF3"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C.R. Sarkar, Vice-Chairman, Kharagpur Municipality, Kharagpur.</w:t>
      </w:r>
    </w:p>
    <w:p w14:paraId="21EBF6B6"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Manoranjan Sinha Ray, Reader in Economics, Visva-Bharti University, Vidya Bhavan, P.O. Santiniketan, District Birbhum-731235.</w:t>
      </w:r>
    </w:p>
    <w:p w14:paraId="74647410"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Suhas Chattopadhyay, Indian Statistical Institute, Economics Research Unit, 203, Barrackpore Trunk Road, Calcutta.</w:t>
      </w:r>
    </w:p>
    <w:p w14:paraId="14EEE514" w14:textId="15212821"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Sunil Banik, Secretary, Bengal National Chamber of Commerce and Industry, 23, R.N. Mukherjee Road, Calcutta-700001. (Submitted two Memoranda)</w:t>
      </w:r>
    </w:p>
    <w:p w14:paraId="045A5196"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Sukomal Sen Member of Parliament (Rajya Sabha) and General Secretary, All India State Government Employees Federation Telephone No. 387112, 201 B, V.P. House, Rafi Marg, New Delhi-110001. 186, Bipin Behari Ganguly Street, Calcutta - 700012.</w:t>
      </w:r>
    </w:p>
    <w:p w14:paraId="17F88A7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Chief Justice of West Bengal, Calcutta.</w:t>
      </w:r>
    </w:p>
    <w:p w14:paraId="34E58A38"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lastRenderedPageBreak/>
        <w:t>Indian Chamber of Commerce Calcutta, West Bengal.</w:t>
      </w:r>
    </w:p>
    <w:p w14:paraId="64F451A5"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G.D. Shah, President, Bharat Chamber of Commerce, 28, Hemanta Basu Sarani, Calcutta - 700001.</w:t>
      </w:r>
    </w:p>
    <w:p w14:paraId="0BED15D7"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P.D. Tulsyan, President, Merchants Chamber of Commerce, 14, Old Court House Street, Calcutta - 700001.</w:t>
      </w:r>
    </w:p>
    <w:p w14:paraId="216B85FD"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N. Dutta, President, Federation of Associations of Cottage and Small Industries West Bengal, 21/1/1, Creek Row, Calcutta - 700 014.</w:t>
      </w:r>
    </w:p>
    <w:p w14:paraId="35000D2F"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Abdus Samad Mondal, Member Basanti Panchayat Samity and President, </w:t>
      </w:r>
      <w:proofErr w:type="spellStart"/>
      <w:r w:rsidRPr="00E71728">
        <w:rPr>
          <w:rFonts w:ascii="Times New Roman" w:hAnsi="Times New Roman" w:cs="Times New Roman"/>
          <w:sz w:val="16"/>
          <w:szCs w:val="16"/>
        </w:rPr>
        <w:t>Sonakhali</w:t>
      </w:r>
      <w:proofErr w:type="spellEnd"/>
      <w:r w:rsidRPr="00E71728">
        <w:rPr>
          <w:rFonts w:ascii="Times New Roman" w:hAnsi="Times New Roman" w:cs="Times New Roman"/>
          <w:sz w:val="16"/>
          <w:szCs w:val="16"/>
        </w:rPr>
        <w:t xml:space="preserve"> Block Congress Committee.</w:t>
      </w:r>
    </w:p>
    <w:p w14:paraId="5E06887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Shri Jasimuddin Ahamed, Member, Basanti Panchayat Samity, President, Basanti Block Congress Committee </w:t>
      </w:r>
      <w:proofErr w:type="spellStart"/>
      <w:r w:rsidRPr="00E71728">
        <w:rPr>
          <w:rFonts w:ascii="Times New Roman" w:hAnsi="Times New Roman" w:cs="Times New Roman"/>
          <w:sz w:val="16"/>
          <w:szCs w:val="16"/>
        </w:rPr>
        <w:t>Sundarban</w:t>
      </w:r>
      <w:proofErr w:type="spellEnd"/>
      <w:r w:rsidRPr="00E71728">
        <w:rPr>
          <w:rFonts w:ascii="Times New Roman" w:hAnsi="Times New Roman" w:cs="Times New Roman"/>
          <w:sz w:val="16"/>
          <w:szCs w:val="16"/>
        </w:rPr>
        <w:t xml:space="preserve"> Zone, Distt. 24 - Parganas.</w:t>
      </w:r>
    </w:p>
    <w:p w14:paraId="3BAED0AB"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Shri Ajoy Sinha, IAS, Secretary to the Chief Minister, West Bengal, Calcutta.</w:t>
      </w:r>
    </w:p>
    <w:p w14:paraId="3C87FEDF"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The Joint Secretary, State Coordination Committee of the West Bengal Government Employees Associations &amp; Unions.</w:t>
      </w:r>
    </w:p>
    <w:p w14:paraId="4849872E" w14:textId="77777777"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The </w:t>
      </w:r>
      <w:proofErr w:type="gramStart"/>
      <w:r w:rsidRPr="00E71728">
        <w:rPr>
          <w:rFonts w:ascii="Times New Roman" w:hAnsi="Times New Roman" w:cs="Times New Roman"/>
          <w:sz w:val="16"/>
          <w:szCs w:val="16"/>
        </w:rPr>
        <w:t>All India</w:t>
      </w:r>
      <w:proofErr w:type="gramEnd"/>
      <w:r w:rsidRPr="00E71728">
        <w:rPr>
          <w:rFonts w:ascii="Times New Roman" w:hAnsi="Times New Roman" w:cs="Times New Roman"/>
          <w:sz w:val="16"/>
          <w:szCs w:val="16"/>
        </w:rPr>
        <w:t xml:space="preserve"> State Government Employees Federation, 186, B.B. Ganguly Street, Calcutta.</w:t>
      </w:r>
    </w:p>
    <w:p w14:paraId="2A02CA69" w14:textId="78FAB44E" w:rsidR="00037CA7" w:rsidRPr="00E71728" w:rsidRDefault="00037CA7" w:rsidP="0011091E">
      <w:pPr>
        <w:numPr>
          <w:ilvl w:val="0"/>
          <w:numId w:val="15"/>
        </w:numPr>
        <w:spacing w:after="0" w:line="200" w:lineRule="exact"/>
        <w:jc w:val="both"/>
        <w:rPr>
          <w:rFonts w:ascii="Times New Roman" w:hAnsi="Times New Roman" w:cs="Times New Roman"/>
          <w:sz w:val="16"/>
          <w:szCs w:val="16"/>
        </w:rPr>
      </w:pPr>
      <w:r w:rsidRPr="00E71728">
        <w:rPr>
          <w:rFonts w:ascii="Times New Roman" w:hAnsi="Times New Roman" w:cs="Times New Roman"/>
          <w:sz w:val="16"/>
          <w:szCs w:val="16"/>
        </w:rPr>
        <w:t xml:space="preserve">All India State Govt. Employees Federation, submitted by - Shri Ananda Mohan Patra, President, State Coordination Committee, </w:t>
      </w:r>
      <w:proofErr w:type="spellStart"/>
      <w:r w:rsidRPr="00E71728">
        <w:rPr>
          <w:rFonts w:ascii="Times New Roman" w:hAnsi="Times New Roman" w:cs="Times New Roman"/>
          <w:sz w:val="16"/>
          <w:szCs w:val="16"/>
        </w:rPr>
        <w:t>Binpur</w:t>
      </w:r>
      <w:proofErr w:type="spellEnd"/>
      <w:r w:rsidRPr="00E71728">
        <w:rPr>
          <w:rFonts w:ascii="Times New Roman" w:hAnsi="Times New Roman" w:cs="Times New Roman"/>
          <w:sz w:val="16"/>
          <w:szCs w:val="16"/>
        </w:rPr>
        <w:t xml:space="preserve"> Regional Branch</w:t>
      </w:r>
    </w:p>
    <w:p w14:paraId="481BEFF7" w14:textId="77777777" w:rsidR="00037CA7" w:rsidRPr="00E71728" w:rsidRDefault="00037CA7" w:rsidP="0011091E">
      <w:pPr>
        <w:spacing w:after="0" w:line="200" w:lineRule="exact"/>
        <w:ind w:left="720"/>
        <w:jc w:val="both"/>
        <w:rPr>
          <w:rFonts w:ascii="Times New Roman" w:hAnsi="Times New Roman" w:cs="Times New Roman"/>
          <w:sz w:val="16"/>
          <w:szCs w:val="16"/>
        </w:rPr>
      </w:pPr>
    </w:p>
    <w:p w14:paraId="72D1BE0E" w14:textId="77777777" w:rsidR="00037CA7" w:rsidRPr="00AA6AF4" w:rsidRDefault="00037CA7" w:rsidP="00DC19D6">
      <w:pPr>
        <w:spacing w:after="0" w:line="240" w:lineRule="auto"/>
        <w:ind w:left="360"/>
        <w:jc w:val="both"/>
        <w:rPr>
          <w:rFonts w:ascii="Times New Roman" w:hAnsi="Times New Roman" w:cs="Times New Roman"/>
          <w:sz w:val="16"/>
          <w:szCs w:val="16"/>
        </w:rPr>
      </w:pPr>
    </w:p>
    <w:p w14:paraId="466C0E0A" w14:textId="77777777" w:rsidR="00037CA7" w:rsidRPr="00AA6AF4" w:rsidRDefault="00037CA7" w:rsidP="00037CA7">
      <w:pPr>
        <w:spacing w:after="0" w:line="240" w:lineRule="auto"/>
        <w:ind w:left="720"/>
        <w:jc w:val="both"/>
        <w:rPr>
          <w:rFonts w:ascii="Times New Roman" w:hAnsi="Times New Roman" w:cs="Times New Roman"/>
          <w:sz w:val="16"/>
          <w:szCs w:val="16"/>
        </w:rPr>
      </w:pPr>
    </w:p>
    <w:p w14:paraId="6B6D5F99" w14:textId="77777777" w:rsidR="00037CA7" w:rsidRPr="00AA6AF4" w:rsidRDefault="00037CA7" w:rsidP="00037CA7">
      <w:pPr>
        <w:spacing w:after="0" w:line="240" w:lineRule="auto"/>
        <w:ind w:left="720"/>
        <w:jc w:val="both"/>
        <w:rPr>
          <w:rFonts w:ascii="Times New Roman" w:hAnsi="Times New Roman" w:cs="Times New Roman"/>
          <w:sz w:val="16"/>
          <w:szCs w:val="16"/>
        </w:rPr>
      </w:pPr>
    </w:p>
    <w:p w14:paraId="5815AB72" w14:textId="77777777" w:rsidR="00513AAB" w:rsidRPr="00AA6AF4" w:rsidRDefault="00513AAB" w:rsidP="00037CA7">
      <w:pPr>
        <w:spacing w:after="0" w:line="240" w:lineRule="auto"/>
        <w:ind w:left="720"/>
        <w:jc w:val="both"/>
        <w:rPr>
          <w:rFonts w:ascii="Times New Roman" w:hAnsi="Times New Roman" w:cs="Times New Roman"/>
          <w:sz w:val="16"/>
          <w:szCs w:val="16"/>
        </w:rPr>
      </w:pPr>
    </w:p>
    <w:p w14:paraId="2F303F21" w14:textId="77777777" w:rsidR="00513AAB" w:rsidRPr="00AA6AF4" w:rsidRDefault="00513AAB" w:rsidP="00A740F3">
      <w:pPr>
        <w:spacing w:after="0"/>
        <w:rPr>
          <w:rFonts w:ascii="Times New Roman" w:hAnsi="Times New Roman" w:cs="Times New Roman"/>
          <w:sz w:val="16"/>
          <w:szCs w:val="16"/>
        </w:rPr>
        <w:sectPr w:rsidR="00513AAB" w:rsidRPr="00AA6AF4" w:rsidSect="00E71728">
          <w:type w:val="continuous"/>
          <w:pgSz w:w="11906" w:h="16838"/>
          <w:pgMar w:top="567" w:right="424" w:bottom="851" w:left="0" w:header="708" w:footer="708" w:gutter="0"/>
          <w:cols w:num="3" w:space="3"/>
          <w:docGrid w:linePitch="360"/>
        </w:sectPr>
      </w:pPr>
    </w:p>
    <w:p w14:paraId="0224D3A6" w14:textId="26AF6FBF" w:rsidR="0034261E" w:rsidRPr="00AA6AF4" w:rsidRDefault="00A740F3" w:rsidP="00C6267F">
      <w:pPr>
        <w:pStyle w:val="Heading5"/>
      </w:pPr>
      <w:r w:rsidRPr="00C6267F">
        <w:rPr>
          <w:rStyle w:val="Heading5Char"/>
        </w:rPr>
        <w:lastRenderedPageBreak/>
        <w:br/>
      </w:r>
      <w:bookmarkStart w:id="134" w:name="_Toc222399515"/>
      <w:r w:rsidR="0034261E" w:rsidRPr="0011091E">
        <w:rPr>
          <w:rStyle w:val="Heading5Char"/>
          <w:b/>
          <w:bCs/>
        </w:rPr>
        <w:t xml:space="preserve">List Of Organisations </w:t>
      </w:r>
      <w:proofErr w:type="gramStart"/>
      <w:r w:rsidR="0034261E" w:rsidRPr="0011091E">
        <w:rPr>
          <w:rStyle w:val="Heading5Char"/>
          <w:b/>
          <w:bCs/>
        </w:rPr>
        <w:t>And</w:t>
      </w:r>
      <w:proofErr w:type="gramEnd"/>
      <w:r w:rsidR="0034261E" w:rsidRPr="0011091E">
        <w:rPr>
          <w:rStyle w:val="Heading5Char"/>
          <w:b/>
          <w:bCs/>
        </w:rPr>
        <w:t xml:space="preserve"> Individuals Who Submitted Memoranda </w:t>
      </w:r>
      <w:proofErr w:type="gramStart"/>
      <w:r w:rsidR="0034261E" w:rsidRPr="0011091E">
        <w:rPr>
          <w:rStyle w:val="Heading5Char"/>
          <w:b/>
          <w:bCs/>
        </w:rPr>
        <w:t>To</w:t>
      </w:r>
      <w:proofErr w:type="gramEnd"/>
      <w:r w:rsidR="0034261E" w:rsidRPr="0011091E">
        <w:rPr>
          <w:rStyle w:val="Heading5Char"/>
          <w:b/>
          <w:bCs/>
        </w:rPr>
        <w:t xml:space="preserve"> </w:t>
      </w:r>
      <w:proofErr w:type="gramStart"/>
      <w:r w:rsidR="0034261E" w:rsidRPr="0011091E">
        <w:rPr>
          <w:rStyle w:val="Heading5Char"/>
          <w:b/>
          <w:bCs/>
        </w:rPr>
        <w:t>The</w:t>
      </w:r>
      <w:proofErr w:type="gramEnd"/>
      <w:r w:rsidR="0034261E" w:rsidRPr="0011091E">
        <w:rPr>
          <w:rStyle w:val="Heading5Char"/>
          <w:b/>
          <w:bCs/>
        </w:rPr>
        <w:t xml:space="preserve"> Finance</w:t>
      </w:r>
      <w:r w:rsidR="0034261E" w:rsidRPr="00AA6AF4">
        <w:t xml:space="preserve"> Commission</w:t>
      </w:r>
      <w:bookmarkEnd w:id="134"/>
    </w:p>
    <w:p w14:paraId="646CCB67" w14:textId="77777777" w:rsidR="0034261E" w:rsidRPr="00AA6AF4" w:rsidRDefault="0034261E" w:rsidP="0034261E">
      <w:pPr>
        <w:spacing w:after="0" w:line="240" w:lineRule="auto"/>
        <w:jc w:val="both"/>
        <w:rPr>
          <w:rFonts w:ascii="Times New Roman" w:eastAsia="Calibri" w:hAnsi="Times New Roman" w:cs="Times New Roman"/>
          <w:b/>
          <w:bCs/>
          <w:sz w:val="16"/>
          <w:szCs w:val="16"/>
          <w:lang w:bidi="ar-SA"/>
        </w:rPr>
        <w:sectPr w:rsidR="0034261E" w:rsidRPr="00AA6AF4" w:rsidSect="00C50EE9">
          <w:pgSz w:w="11906" w:h="16838"/>
          <w:pgMar w:top="567" w:right="1440" w:bottom="992" w:left="1440" w:header="709" w:footer="709" w:gutter="0"/>
          <w:cols w:space="708"/>
          <w:docGrid w:linePitch="360"/>
        </w:sectPr>
      </w:pPr>
    </w:p>
    <w:p w14:paraId="0076C404"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Andhra Pradesh</w:t>
      </w:r>
    </w:p>
    <w:p w14:paraId="674A851F"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Mr. Vavilala </w:t>
      </w:r>
      <w:proofErr w:type="spellStart"/>
      <w:r w:rsidRPr="00AA6AF4">
        <w:rPr>
          <w:rFonts w:ascii="Times New Roman" w:eastAsia="Calibri" w:hAnsi="Times New Roman" w:cs="Times New Roman"/>
          <w:sz w:val="16"/>
          <w:szCs w:val="16"/>
          <w:lang w:bidi="ar-SA"/>
        </w:rPr>
        <w:t>Gopalakrishnayya</w:t>
      </w:r>
      <w:proofErr w:type="spellEnd"/>
      <w:r w:rsidRPr="00AA6AF4">
        <w:rPr>
          <w:rFonts w:ascii="Times New Roman" w:eastAsia="Calibri" w:hAnsi="Times New Roman" w:cs="Times New Roman"/>
          <w:sz w:val="16"/>
          <w:szCs w:val="16"/>
          <w:lang w:bidi="ar-SA"/>
        </w:rPr>
        <w:t xml:space="preserve">, Former MLA, </w:t>
      </w:r>
      <w:proofErr w:type="spellStart"/>
      <w:r w:rsidRPr="00AA6AF4">
        <w:rPr>
          <w:rFonts w:ascii="Times New Roman" w:eastAsia="Calibri" w:hAnsi="Times New Roman" w:cs="Times New Roman"/>
          <w:sz w:val="16"/>
          <w:szCs w:val="16"/>
          <w:lang w:bidi="ar-SA"/>
        </w:rPr>
        <w:t>Sattenapalli</w:t>
      </w:r>
      <w:proofErr w:type="spellEnd"/>
      <w:r w:rsidRPr="00AA6AF4">
        <w:rPr>
          <w:rFonts w:ascii="Times New Roman" w:eastAsia="Calibri" w:hAnsi="Times New Roman" w:cs="Times New Roman"/>
          <w:sz w:val="16"/>
          <w:szCs w:val="16"/>
          <w:lang w:bidi="ar-SA"/>
        </w:rPr>
        <w:t>, Guntur Distt.</w:t>
      </w:r>
    </w:p>
    <w:p w14:paraId="30E1F4E5"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Dr. Y. Sivaji, Member, Rajya Sabha.</w:t>
      </w:r>
    </w:p>
    <w:p w14:paraId="677CB315"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Arunachal Pradesh</w:t>
      </w:r>
    </w:p>
    <w:p w14:paraId="35EF07D1"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All Arunachal Pradesh Tribal Employees Association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Bamin Hinda, Secretary General</w:t>
      </w:r>
      <w:r w:rsidRPr="00AA6AF4">
        <w:rPr>
          <w:rFonts w:ascii="Times New Roman" w:eastAsia="Calibri" w:hAnsi="Times New Roman" w:cs="Times New Roman"/>
          <w:sz w:val="16"/>
          <w:szCs w:val="16"/>
          <w:lang w:bidi="ar-SA"/>
        </w:rPr>
        <w:br/>
        <w:t>(ii) Shri D. Bhattacharjee, President</w:t>
      </w:r>
    </w:p>
    <w:p w14:paraId="2E0BB8F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Chambers of Industries - represented by Shri Tarin Malo, President</w:t>
      </w:r>
    </w:p>
    <w:p w14:paraId="12C2AB21"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R.K. Patir, Ex-Chief Secretary, Itanagar.</w:t>
      </w:r>
    </w:p>
    <w:p w14:paraId="512BBF98"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R.K. Anand, Vice Chancellor, Arunachal Pradesh University, Itanagar.</w:t>
      </w:r>
    </w:p>
    <w:p w14:paraId="1662035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Secretary, Rama Krishna Mission, Itanagar.</w:t>
      </w:r>
    </w:p>
    <w:p w14:paraId="4925C66A"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Assam</w:t>
      </w:r>
    </w:p>
    <w:p w14:paraId="4939ACBF"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K.C. Barua, IAS (Retd.)</w:t>
      </w:r>
    </w:p>
    <w:p w14:paraId="44A4E5DE"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G.C. Phukan, Financial Commissioner (Retd).</w:t>
      </w:r>
    </w:p>
    <w:p w14:paraId="05133E42"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Dev Kanta Kakati, IPS (Retd)</w:t>
      </w:r>
    </w:p>
    <w:p w14:paraId="4E481DD4"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J.N. Das, Ex-Vice Chancellor, Dibrugarh University.</w:t>
      </w:r>
    </w:p>
    <w:p w14:paraId="3FAD1C2B"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Dr. Jayanta Rangpi, Chief Executive Member, Karbi </w:t>
      </w:r>
      <w:proofErr w:type="spellStart"/>
      <w:r w:rsidRPr="00AA6AF4">
        <w:rPr>
          <w:rFonts w:ascii="Times New Roman" w:eastAsia="Calibri" w:hAnsi="Times New Roman" w:cs="Times New Roman"/>
          <w:sz w:val="16"/>
          <w:szCs w:val="16"/>
          <w:lang w:bidi="ar-SA"/>
        </w:rPr>
        <w:t>Anglong</w:t>
      </w:r>
      <w:proofErr w:type="spellEnd"/>
      <w:r w:rsidRPr="00AA6AF4">
        <w:rPr>
          <w:rFonts w:ascii="Times New Roman" w:eastAsia="Calibri" w:hAnsi="Times New Roman" w:cs="Times New Roman"/>
          <w:sz w:val="16"/>
          <w:szCs w:val="16"/>
          <w:lang w:bidi="ar-SA"/>
        </w:rPr>
        <w:t xml:space="preserve"> District Council, </w:t>
      </w:r>
      <w:proofErr w:type="spellStart"/>
      <w:r w:rsidRPr="00AA6AF4">
        <w:rPr>
          <w:rFonts w:ascii="Times New Roman" w:eastAsia="Calibri" w:hAnsi="Times New Roman" w:cs="Times New Roman"/>
          <w:sz w:val="16"/>
          <w:szCs w:val="16"/>
          <w:lang w:bidi="ar-SA"/>
        </w:rPr>
        <w:t>Diphu</w:t>
      </w:r>
      <w:proofErr w:type="spellEnd"/>
      <w:r w:rsidRPr="00AA6AF4">
        <w:rPr>
          <w:rFonts w:ascii="Times New Roman" w:eastAsia="Calibri" w:hAnsi="Times New Roman" w:cs="Times New Roman"/>
          <w:sz w:val="16"/>
          <w:szCs w:val="16"/>
          <w:lang w:bidi="ar-SA"/>
        </w:rPr>
        <w:t>.</w:t>
      </w:r>
    </w:p>
    <w:p w14:paraId="6F1E6267"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Shri G.C. </w:t>
      </w:r>
      <w:proofErr w:type="spellStart"/>
      <w:r w:rsidRPr="00AA6AF4">
        <w:rPr>
          <w:rFonts w:ascii="Times New Roman" w:eastAsia="Calibri" w:hAnsi="Times New Roman" w:cs="Times New Roman"/>
          <w:sz w:val="16"/>
          <w:szCs w:val="16"/>
          <w:lang w:bidi="ar-SA"/>
        </w:rPr>
        <w:t>Langthasa</w:t>
      </w:r>
      <w:proofErr w:type="spellEnd"/>
      <w:r w:rsidRPr="00AA6AF4">
        <w:rPr>
          <w:rFonts w:ascii="Times New Roman" w:eastAsia="Calibri" w:hAnsi="Times New Roman" w:cs="Times New Roman"/>
          <w:sz w:val="16"/>
          <w:szCs w:val="16"/>
          <w:lang w:bidi="ar-SA"/>
        </w:rPr>
        <w:t xml:space="preserve">, Chief Executive Member, North </w:t>
      </w:r>
      <w:proofErr w:type="spellStart"/>
      <w:r w:rsidRPr="00AA6AF4">
        <w:rPr>
          <w:rFonts w:ascii="Times New Roman" w:eastAsia="Calibri" w:hAnsi="Times New Roman" w:cs="Times New Roman"/>
          <w:sz w:val="16"/>
          <w:szCs w:val="16"/>
          <w:lang w:bidi="ar-SA"/>
        </w:rPr>
        <w:t>Cachar</w:t>
      </w:r>
      <w:proofErr w:type="spellEnd"/>
      <w:r w:rsidRPr="00AA6AF4">
        <w:rPr>
          <w:rFonts w:ascii="Times New Roman" w:eastAsia="Calibri" w:hAnsi="Times New Roman" w:cs="Times New Roman"/>
          <w:sz w:val="16"/>
          <w:szCs w:val="16"/>
          <w:lang w:bidi="ar-SA"/>
        </w:rPr>
        <w:t xml:space="preserve"> Hills District Council, </w:t>
      </w:r>
      <w:proofErr w:type="spellStart"/>
      <w:r w:rsidRPr="00AA6AF4">
        <w:rPr>
          <w:rFonts w:ascii="Times New Roman" w:eastAsia="Calibri" w:hAnsi="Times New Roman" w:cs="Times New Roman"/>
          <w:sz w:val="16"/>
          <w:szCs w:val="16"/>
          <w:lang w:bidi="ar-SA"/>
        </w:rPr>
        <w:t>Haflong</w:t>
      </w:r>
      <w:proofErr w:type="spellEnd"/>
      <w:r w:rsidRPr="00AA6AF4">
        <w:rPr>
          <w:rFonts w:ascii="Times New Roman" w:eastAsia="Calibri" w:hAnsi="Times New Roman" w:cs="Times New Roman"/>
          <w:sz w:val="16"/>
          <w:szCs w:val="16"/>
          <w:lang w:bidi="ar-SA"/>
        </w:rPr>
        <w:t>.</w:t>
      </w:r>
    </w:p>
    <w:p w14:paraId="7BB1FFE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Shri Charan Deka, Secretary General, Sadou Asom </w:t>
      </w:r>
      <w:proofErr w:type="spellStart"/>
      <w:r w:rsidRPr="00AA6AF4">
        <w:rPr>
          <w:rFonts w:ascii="Times New Roman" w:eastAsia="Calibri" w:hAnsi="Times New Roman" w:cs="Times New Roman"/>
          <w:sz w:val="16"/>
          <w:szCs w:val="16"/>
          <w:lang w:bidi="ar-SA"/>
        </w:rPr>
        <w:t>Karmachari</w:t>
      </w:r>
      <w:proofErr w:type="spellEnd"/>
      <w:r w:rsidRPr="00AA6AF4">
        <w:rPr>
          <w:rFonts w:ascii="Times New Roman" w:eastAsia="Calibri" w:hAnsi="Times New Roman" w:cs="Times New Roman"/>
          <w:sz w:val="16"/>
          <w:szCs w:val="16"/>
          <w:lang w:bidi="ar-SA"/>
        </w:rPr>
        <w:t xml:space="preserve"> Parishad, Guwahati.</w:t>
      </w:r>
    </w:p>
    <w:p w14:paraId="76B23B51"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Hari Nath, Secretary General, Assam State Employees' Federation.</w:t>
      </w:r>
    </w:p>
    <w:p w14:paraId="2E9A97E0"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Bihar</w:t>
      </w:r>
    </w:p>
    <w:p w14:paraId="7BC1332E"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K.M. Sahay, Mayor of Patna, Municipal Corporation, Budh Marg, Patna-800001.</w:t>
      </w:r>
    </w:p>
    <w:p w14:paraId="3DD55E8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Ranchhor Prasad, IAS Retd., Patna.</w:t>
      </w:r>
    </w:p>
    <w:p w14:paraId="3D9738D4"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Pradhan H. Prasad, Director, A.N. Sinha Institute, Patna.</w:t>
      </w:r>
    </w:p>
    <w:p w14:paraId="6D6BFF2B"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Dr. D.D. Guru, A.N. Institute of Social Studies, Patna.</w:t>
      </w:r>
    </w:p>
    <w:p w14:paraId="632912E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Prof. P.K. Jha, University Department of Economics, L.N. Mithila University, Darbhanga.</w:t>
      </w:r>
    </w:p>
    <w:p w14:paraId="39C5F7C3"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Yogender Prasad, General Secretary, Bihar State Non-Gazetted Employees Federation, Patna.</w:t>
      </w:r>
    </w:p>
    <w:p w14:paraId="7ABECC41"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Gopal Prasad Tripathi, General Secretary, Bihar State Non-Gazetted Employees Federation, Patna.</w:t>
      </w:r>
    </w:p>
    <w:p w14:paraId="04AEC058"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Surendra Mishra, Principal, R.K. College, Madhubani.</w:t>
      </w:r>
    </w:p>
    <w:p w14:paraId="3F15A4A5"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Gujarat</w:t>
      </w:r>
    </w:p>
    <w:p w14:paraId="3C5A1C04"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Shri I.M. Trivedi, Prof. and Head, </w:t>
      </w:r>
      <w:proofErr w:type="spellStart"/>
      <w:r w:rsidRPr="00AA6AF4">
        <w:rPr>
          <w:rFonts w:ascii="Times New Roman" w:eastAsia="Calibri" w:hAnsi="Times New Roman" w:cs="Times New Roman"/>
          <w:sz w:val="16"/>
          <w:szCs w:val="16"/>
          <w:lang w:bidi="ar-SA"/>
        </w:rPr>
        <w:t>Deptt</w:t>
      </w:r>
      <w:proofErr w:type="spellEnd"/>
      <w:r w:rsidRPr="00AA6AF4">
        <w:rPr>
          <w:rFonts w:ascii="Times New Roman" w:eastAsia="Calibri" w:hAnsi="Times New Roman" w:cs="Times New Roman"/>
          <w:sz w:val="16"/>
          <w:szCs w:val="16"/>
          <w:lang w:bidi="ar-SA"/>
        </w:rPr>
        <w:t>. of Economics, Bhavnagar University, Bhavnagar.</w:t>
      </w:r>
    </w:p>
    <w:p w14:paraId="67F1A9A1"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Chimanbhai Patel, Leader of Opposition, Gujarat Vidhan Sabha, Gandhinagar.</w:t>
      </w:r>
    </w:p>
    <w:p w14:paraId="3D058012"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Sanat Mehta, Former Finance Minister, Government of Gujarat.</w:t>
      </w:r>
    </w:p>
    <w:p w14:paraId="170F12AD"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Dinesh Shah, Former Finance and Planning Minister of Gujarat and Founder Director of Vikas Bharti Institute of Policy Studies, Research and Futurology, Ahmedabad.</w:t>
      </w:r>
    </w:p>
    <w:p w14:paraId="384C2C0C" w14:textId="77777777"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The Surat Art Silk Cloth Manufacturers Association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A.N. Jariwala, President</w:t>
      </w:r>
      <w:r w:rsidRPr="00AA6AF4">
        <w:rPr>
          <w:rFonts w:ascii="Times New Roman" w:eastAsia="Calibri" w:hAnsi="Times New Roman" w:cs="Times New Roman"/>
          <w:sz w:val="16"/>
          <w:szCs w:val="16"/>
          <w:lang w:bidi="ar-SA"/>
        </w:rPr>
        <w:br/>
        <w:t>(ii) Shri Arun Jariwala, Member</w:t>
      </w:r>
      <w:r w:rsidRPr="00AA6AF4">
        <w:rPr>
          <w:rFonts w:ascii="Times New Roman" w:eastAsia="Calibri" w:hAnsi="Times New Roman" w:cs="Times New Roman"/>
          <w:sz w:val="16"/>
          <w:szCs w:val="16"/>
          <w:lang w:bidi="ar-SA"/>
        </w:rPr>
        <w:br/>
      </w:r>
      <w:r w:rsidRPr="00AA6AF4">
        <w:rPr>
          <w:rFonts w:ascii="Times New Roman" w:eastAsia="Calibri" w:hAnsi="Times New Roman" w:cs="Times New Roman"/>
          <w:sz w:val="16"/>
          <w:szCs w:val="16"/>
          <w:lang w:bidi="ar-SA"/>
        </w:rPr>
        <w:t>(iii) Shri Suraj Ram Bachkaniwala, Member</w:t>
      </w:r>
      <w:r w:rsidRPr="00AA6AF4">
        <w:rPr>
          <w:rFonts w:ascii="Times New Roman" w:eastAsia="Calibri" w:hAnsi="Times New Roman" w:cs="Times New Roman"/>
          <w:sz w:val="16"/>
          <w:szCs w:val="16"/>
          <w:lang w:bidi="ar-SA"/>
        </w:rPr>
        <w:br/>
        <w:t xml:space="preserve">(iv) Shri Vasantbhai </w:t>
      </w:r>
      <w:proofErr w:type="spellStart"/>
      <w:r w:rsidRPr="00AA6AF4">
        <w:rPr>
          <w:rFonts w:ascii="Times New Roman" w:eastAsia="Calibri" w:hAnsi="Times New Roman" w:cs="Times New Roman"/>
          <w:sz w:val="16"/>
          <w:szCs w:val="16"/>
          <w:lang w:bidi="ar-SA"/>
        </w:rPr>
        <w:t>Bachkaniwala</w:t>
      </w:r>
      <w:proofErr w:type="spellEnd"/>
      <w:r w:rsidRPr="00AA6AF4">
        <w:rPr>
          <w:rFonts w:ascii="Times New Roman" w:eastAsia="Calibri" w:hAnsi="Times New Roman" w:cs="Times New Roman"/>
          <w:sz w:val="16"/>
          <w:szCs w:val="16"/>
          <w:lang w:bidi="ar-SA"/>
        </w:rPr>
        <w:t>, Member</w:t>
      </w:r>
      <w:r w:rsidRPr="00AA6AF4">
        <w:rPr>
          <w:rFonts w:ascii="Times New Roman" w:eastAsia="Calibri" w:hAnsi="Times New Roman" w:cs="Times New Roman"/>
          <w:sz w:val="16"/>
          <w:szCs w:val="16"/>
          <w:lang w:bidi="ar-SA"/>
        </w:rPr>
        <w:br/>
        <w:t>(v) Shri Hare Saria, Secretary</w:t>
      </w:r>
    </w:p>
    <w:p w14:paraId="5D42A0D9" w14:textId="77777777"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South Gujarat Textile Processors' Association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Dhamanwala, President</w:t>
      </w:r>
      <w:r w:rsidRPr="00AA6AF4">
        <w:rPr>
          <w:rFonts w:ascii="Times New Roman" w:eastAsia="Calibri" w:hAnsi="Times New Roman" w:cs="Times New Roman"/>
          <w:sz w:val="16"/>
          <w:szCs w:val="16"/>
          <w:lang w:bidi="ar-SA"/>
        </w:rPr>
        <w:br/>
        <w:t>(ii) Shri Bhagwan Dass Jariwala, Member</w:t>
      </w:r>
      <w:r w:rsidRPr="00AA6AF4">
        <w:rPr>
          <w:rFonts w:ascii="Times New Roman" w:eastAsia="Calibri" w:hAnsi="Times New Roman" w:cs="Times New Roman"/>
          <w:sz w:val="16"/>
          <w:szCs w:val="16"/>
          <w:lang w:bidi="ar-SA"/>
        </w:rPr>
        <w:br/>
        <w:t>(iii) Shri Suraj Ram Bachkaniwala, Member</w:t>
      </w:r>
      <w:r w:rsidRPr="00AA6AF4">
        <w:rPr>
          <w:rFonts w:ascii="Times New Roman" w:eastAsia="Calibri" w:hAnsi="Times New Roman" w:cs="Times New Roman"/>
          <w:sz w:val="16"/>
          <w:szCs w:val="16"/>
          <w:lang w:bidi="ar-SA"/>
        </w:rPr>
        <w:br/>
        <w:t xml:space="preserve">(iv) Shri Vasantbhai </w:t>
      </w:r>
      <w:proofErr w:type="spellStart"/>
      <w:r w:rsidRPr="00AA6AF4">
        <w:rPr>
          <w:rFonts w:ascii="Times New Roman" w:eastAsia="Calibri" w:hAnsi="Times New Roman" w:cs="Times New Roman"/>
          <w:sz w:val="16"/>
          <w:szCs w:val="16"/>
          <w:lang w:bidi="ar-SA"/>
        </w:rPr>
        <w:t>Bachkaniwala</w:t>
      </w:r>
      <w:proofErr w:type="spellEnd"/>
      <w:r w:rsidRPr="00AA6AF4">
        <w:rPr>
          <w:rFonts w:ascii="Times New Roman" w:eastAsia="Calibri" w:hAnsi="Times New Roman" w:cs="Times New Roman"/>
          <w:sz w:val="16"/>
          <w:szCs w:val="16"/>
          <w:lang w:bidi="ar-SA"/>
        </w:rPr>
        <w:t>, Member</w:t>
      </w:r>
      <w:r w:rsidRPr="00AA6AF4">
        <w:rPr>
          <w:rFonts w:ascii="Times New Roman" w:eastAsia="Calibri" w:hAnsi="Times New Roman" w:cs="Times New Roman"/>
          <w:sz w:val="16"/>
          <w:szCs w:val="16"/>
          <w:lang w:bidi="ar-SA"/>
        </w:rPr>
        <w:br/>
        <w:t>(v) Shri Hare Saria, Secretary</w:t>
      </w:r>
    </w:p>
    <w:p w14:paraId="60219287"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Haryana</w:t>
      </w:r>
    </w:p>
    <w:p w14:paraId="02FF1BE4"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R.K. Nehru, Registrar, Punjab and Haryana High Court.</w:t>
      </w:r>
    </w:p>
    <w:p w14:paraId="0FDD9AF3"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R.K. Khanna, Joint Registrar, Punjab and Haryana High Court.</w:t>
      </w:r>
    </w:p>
    <w:p w14:paraId="438E1AB2"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Himachal Pradesh</w:t>
      </w:r>
    </w:p>
    <w:p w14:paraId="3DA2F4E8" w14:textId="004462E7"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Delegation of the Members of the Legislative</w:t>
      </w:r>
      <w:r w:rsidR="005F2F8B" w:rsidRPr="00AA6AF4">
        <w:rPr>
          <w:rFonts w:ascii="Times New Roman" w:eastAsia="Calibri" w:hAnsi="Times New Roman" w:cs="Times New Roman"/>
          <w:sz w:val="16"/>
          <w:szCs w:val="16"/>
          <w:lang w:bidi="ar-SA"/>
        </w:rPr>
        <w:t xml:space="preserve"> </w:t>
      </w:r>
      <w:r w:rsidRPr="00AA6AF4">
        <w:rPr>
          <w:rFonts w:ascii="Times New Roman" w:eastAsia="Calibri" w:hAnsi="Times New Roman" w:cs="Times New Roman"/>
          <w:sz w:val="16"/>
          <w:szCs w:val="16"/>
          <w:lang w:bidi="ar-SA"/>
        </w:rPr>
        <w:t>Assembly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Ram Chand Bhatia</w:t>
      </w:r>
      <w:r w:rsidRPr="00AA6AF4">
        <w:rPr>
          <w:rFonts w:ascii="Times New Roman" w:eastAsia="Calibri" w:hAnsi="Times New Roman" w:cs="Times New Roman"/>
          <w:sz w:val="16"/>
          <w:szCs w:val="16"/>
          <w:lang w:bidi="ar-SA"/>
        </w:rPr>
        <w:br/>
        <w:t>(ii) Shri Rattan Lal Thakur</w:t>
      </w:r>
      <w:r w:rsidRPr="00AA6AF4">
        <w:rPr>
          <w:rFonts w:ascii="Times New Roman" w:eastAsia="Calibri" w:hAnsi="Times New Roman" w:cs="Times New Roman"/>
          <w:sz w:val="16"/>
          <w:szCs w:val="16"/>
          <w:lang w:bidi="ar-SA"/>
        </w:rPr>
        <w:br/>
        <w:t>(iii) Shri Vidya Sagar</w:t>
      </w:r>
      <w:r w:rsidRPr="00AA6AF4">
        <w:rPr>
          <w:rFonts w:ascii="Times New Roman" w:eastAsia="Calibri" w:hAnsi="Times New Roman" w:cs="Times New Roman"/>
          <w:sz w:val="16"/>
          <w:szCs w:val="16"/>
          <w:lang w:bidi="ar-SA"/>
        </w:rPr>
        <w:br/>
        <w:t>(iv) Shri Singhi Ram</w:t>
      </w:r>
      <w:r w:rsidRPr="00AA6AF4">
        <w:rPr>
          <w:rFonts w:ascii="Times New Roman" w:eastAsia="Calibri" w:hAnsi="Times New Roman" w:cs="Times New Roman"/>
          <w:sz w:val="16"/>
          <w:szCs w:val="16"/>
          <w:lang w:bidi="ar-SA"/>
        </w:rPr>
        <w:br/>
        <w:t>(v) Shri Yogendra Chandra</w:t>
      </w:r>
      <w:r w:rsidRPr="00AA6AF4">
        <w:rPr>
          <w:rFonts w:ascii="Times New Roman" w:eastAsia="Calibri" w:hAnsi="Times New Roman" w:cs="Times New Roman"/>
          <w:sz w:val="16"/>
          <w:szCs w:val="16"/>
          <w:lang w:bidi="ar-SA"/>
        </w:rPr>
        <w:br/>
        <w:t>(vi) Shri Natha Singh</w:t>
      </w:r>
      <w:r w:rsidRPr="00AA6AF4">
        <w:rPr>
          <w:rFonts w:ascii="Times New Roman" w:eastAsia="Calibri" w:hAnsi="Times New Roman" w:cs="Times New Roman"/>
          <w:sz w:val="16"/>
          <w:szCs w:val="16"/>
          <w:lang w:bidi="ar-SA"/>
        </w:rPr>
        <w:br/>
        <w:t xml:space="preserve">(vii) Shri </w:t>
      </w:r>
      <w:proofErr w:type="spellStart"/>
      <w:r w:rsidRPr="00AA6AF4">
        <w:rPr>
          <w:rFonts w:ascii="Times New Roman" w:eastAsia="Calibri" w:hAnsi="Times New Roman" w:cs="Times New Roman"/>
          <w:sz w:val="16"/>
          <w:szCs w:val="16"/>
          <w:lang w:bidi="ar-SA"/>
        </w:rPr>
        <w:t>Shonkia</w:t>
      </w:r>
      <w:proofErr w:type="spellEnd"/>
      <w:r w:rsidRPr="00AA6AF4">
        <w:rPr>
          <w:rFonts w:ascii="Times New Roman" w:eastAsia="Calibri" w:hAnsi="Times New Roman" w:cs="Times New Roman"/>
          <w:sz w:val="16"/>
          <w:szCs w:val="16"/>
          <w:lang w:bidi="ar-SA"/>
        </w:rPr>
        <w:t xml:space="preserve"> Ram</w:t>
      </w:r>
      <w:r w:rsidRPr="00AA6AF4">
        <w:rPr>
          <w:rFonts w:ascii="Times New Roman" w:eastAsia="Calibri" w:hAnsi="Times New Roman" w:cs="Times New Roman"/>
          <w:sz w:val="16"/>
          <w:szCs w:val="16"/>
          <w:lang w:bidi="ar-SA"/>
        </w:rPr>
        <w:br/>
        <w:t xml:space="preserve">(viii) Shri Milkhi Ram </w:t>
      </w:r>
      <w:proofErr w:type="spellStart"/>
      <w:r w:rsidRPr="00AA6AF4">
        <w:rPr>
          <w:rFonts w:ascii="Times New Roman" w:eastAsia="Calibri" w:hAnsi="Times New Roman" w:cs="Times New Roman"/>
          <w:sz w:val="16"/>
          <w:szCs w:val="16"/>
          <w:lang w:bidi="ar-SA"/>
        </w:rPr>
        <w:t>Gomma</w:t>
      </w:r>
      <w:proofErr w:type="spellEnd"/>
      <w:r w:rsidRPr="00AA6AF4">
        <w:rPr>
          <w:rFonts w:ascii="Times New Roman" w:eastAsia="Calibri" w:hAnsi="Times New Roman" w:cs="Times New Roman"/>
          <w:sz w:val="16"/>
          <w:szCs w:val="16"/>
          <w:lang w:bidi="ar-SA"/>
        </w:rPr>
        <w:br/>
        <w:t>(ix) Shri Thakur Singh</w:t>
      </w:r>
      <w:r w:rsidRPr="00AA6AF4">
        <w:rPr>
          <w:rFonts w:ascii="Times New Roman" w:eastAsia="Calibri" w:hAnsi="Times New Roman" w:cs="Times New Roman"/>
          <w:sz w:val="16"/>
          <w:szCs w:val="16"/>
          <w:lang w:bidi="ar-SA"/>
        </w:rPr>
        <w:br/>
        <w:t>(x) Shri Man Chand Rana (Parliamentary Secretary)</w:t>
      </w:r>
      <w:r w:rsidRPr="00AA6AF4">
        <w:rPr>
          <w:rFonts w:ascii="Times New Roman" w:eastAsia="Calibri" w:hAnsi="Times New Roman" w:cs="Times New Roman"/>
          <w:sz w:val="16"/>
          <w:szCs w:val="16"/>
          <w:lang w:bidi="ar-SA"/>
        </w:rPr>
        <w:br/>
        <w:t>(xi) Shri Kanwar Durga Chand</w:t>
      </w:r>
      <w:r w:rsidRPr="00AA6AF4">
        <w:rPr>
          <w:rFonts w:ascii="Times New Roman" w:eastAsia="Calibri" w:hAnsi="Times New Roman" w:cs="Times New Roman"/>
          <w:sz w:val="16"/>
          <w:szCs w:val="16"/>
          <w:lang w:bidi="ar-SA"/>
        </w:rPr>
        <w:br/>
        <w:t>(xii) Shri Girdhari Lal</w:t>
      </w:r>
      <w:r w:rsidRPr="00AA6AF4">
        <w:rPr>
          <w:rFonts w:ascii="Times New Roman" w:eastAsia="Calibri" w:hAnsi="Times New Roman" w:cs="Times New Roman"/>
          <w:sz w:val="16"/>
          <w:szCs w:val="16"/>
          <w:lang w:bidi="ar-SA"/>
        </w:rPr>
        <w:br/>
        <w:t>(xiii) Shri Raghu Raj</w:t>
      </w:r>
      <w:r w:rsidRPr="00AA6AF4">
        <w:rPr>
          <w:rFonts w:ascii="Times New Roman" w:eastAsia="Calibri" w:hAnsi="Times New Roman" w:cs="Times New Roman"/>
          <w:sz w:val="16"/>
          <w:szCs w:val="16"/>
          <w:lang w:bidi="ar-SA"/>
        </w:rPr>
        <w:br/>
        <w:t>(xiv) Shri Satya Parkash Thakur</w:t>
      </w:r>
      <w:r w:rsidRPr="00AA6AF4">
        <w:rPr>
          <w:rFonts w:ascii="Times New Roman" w:eastAsia="Calibri" w:hAnsi="Times New Roman" w:cs="Times New Roman"/>
          <w:sz w:val="16"/>
          <w:szCs w:val="16"/>
          <w:lang w:bidi="ar-SA"/>
        </w:rPr>
        <w:br/>
        <w:t>(xv) Shri Harbhajan Singh Bhajji</w:t>
      </w:r>
      <w:r w:rsidRPr="00AA6AF4">
        <w:rPr>
          <w:rFonts w:ascii="Times New Roman" w:eastAsia="Calibri" w:hAnsi="Times New Roman" w:cs="Times New Roman"/>
          <w:sz w:val="16"/>
          <w:szCs w:val="16"/>
          <w:lang w:bidi="ar-SA"/>
        </w:rPr>
        <w:br/>
        <w:t>(xvi) Shri Nehar Singh</w:t>
      </w:r>
      <w:r w:rsidRPr="00AA6AF4">
        <w:rPr>
          <w:rFonts w:ascii="Times New Roman" w:eastAsia="Calibri" w:hAnsi="Times New Roman" w:cs="Times New Roman"/>
          <w:sz w:val="16"/>
          <w:szCs w:val="16"/>
          <w:lang w:bidi="ar-SA"/>
        </w:rPr>
        <w:br/>
        <w:t xml:space="preserve">(xvii) Smt. </w:t>
      </w:r>
      <w:proofErr w:type="spellStart"/>
      <w:r w:rsidRPr="00AA6AF4">
        <w:rPr>
          <w:rFonts w:ascii="Times New Roman" w:eastAsia="Calibri" w:hAnsi="Times New Roman" w:cs="Times New Roman"/>
          <w:sz w:val="16"/>
          <w:szCs w:val="16"/>
          <w:lang w:bidi="ar-SA"/>
        </w:rPr>
        <w:t>Viplove</w:t>
      </w:r>
      <w:proofErr w:type="spellEnd"/>
      <w:r w:rsidRPr="00AA6AF4">
        <w:rPr>
          <w:rFonts w:ascii="Times New Roman" w:eastAsia="Calibri" w:hAnsi="Times New Roman" w:cs="Times New Roman"/>
          <w:sz w:val="16"/>
          <w:szCs w:val="16"/>
          <w:lang w:bidi="ar-SA"/>
        </w:rPr>
        <w:t xml:space="preserve"> Thakur</w:t>
      </w:r>
      <w:r w:rsidRPr="00AA6AF4">
        <w:rPr>
          <w:rFonts w:ascii="Times New Roman" w:eastAsia="Calibri" w:hAnsi="Times New Roman" w:cs="Times New Roman"/>
          <w:sz w:val="16"/>
          <w:szCs w:val="16"/>
          <w:lang w:bidi="ar-SA"/>
        </w:rPr>
        <w:br/>
        <w:t>(xviii) Shri J.S. Joshi (General Secretary, Lok Dal)</w:t>
      </w:r>
      <w:r w:rsidRPr="00AA6AF4">
        <w:rPr>
          <w:rFonts w:ascii="Times New Roman" w:eastAsia="Calibri" w:hAnsi="Times New Roman" w:cs="Times New Roman"/>
          <w:sz w:val="16"/>
          <w:szCs w:val="16"/>
          <w:lang w:bidi="ar-SA"/>
        </w:rPr>
        <w:br/>
        <w:t xml:space="preserve">(xix) Shri Milkhi Ram </w:t>
      </w:r>
      <w:proofErr w:type="spellStart"/>
      <w:r w:rsidRPr="00AA6AF4">
        <w:rPr>
          <w:rFonts w:ascii="Times New Roman" w:eastAsia="Calibri" w:hAnsi="Times New Roman" w:cs="Times New Roman"/>
          <w:sz w:val="16"/>
          <w:szCs w:val="16"/>
          <w:lang w:bidi="ar-SA"/>
        </w:rPr>
        <w:t>Bhaira</w:t>
      </w:r>
      <w:proofErr w:type="spellEnd"/>
    </w:p>
    <w:p w14:paraId="2F9A44BE" w14:textId="77777777"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Municipal Corporation of Simla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Adarsh Kumar, Mayor</w:t>
      </w:r>
      <w:r w:rsidRPr="00AA6AF4">
        <w:rPr>
          <w:rFonts w:ascii="Times New Roman" w:eastAsia="Calibri" w:hAnsi="Times New Roman" w:cs="Times New Roman"/>
          <w:sz w:val="16"/>
          <w:szCs w:val="16"/>
          <w:lang w:bidi="ar-SA"/>
        </w:rPr>
        <w:br/>
        <w:t>(ii) Shri D.S. Minhas, Commissioner</w:t>
      </w:r>
      <w:r w:rsidRPr="00AA6AF4">
        <w:rPr>
          <w:rFonts w:ascii="Times New Roman" w:eastAsia="Calibri" w:hAnsi="Times New Roman" w:cs="Times New Roman"/>
          <w:sz w:val="16"/>
          <w:szCs w:val="16"/>
          <w:lang w:bidi="ar-SA"/>
        </w:rPr>
        <w:br/>
        <w:t>(iii) Dr. Ganesh Datt Bharwal</w:t>
      </w:r>
    </w:p>
    <w:p w14:paraId="4C4C0C68"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Dr. K.C. Malhotra, Vice-Chancellor, Himachal Pradesh University, Simla.</w:t>
      </w:r>
    </w:p>
    <w:p w14:paraId="1C84D464"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Dr. M.P. Gupta, Dean, Dr. Y.S. Parmar University of Horticulture and Forestry, Simla.</w:t>
      </w:r>
    </w:p>
    <w:p w14:paraId="2ED4B54E"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Jammu and Kashmir</w:t>
      </w:r>
    </w:p>
    <w:p w14:paraId="313C34EC" w14:textId="52E161E8"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The Kashmir Chamber of Commerce and Industry</w:t>
      </w:r>
      <w:r w:rsidR="005F2F8B" w:rsidRPr="00AA6AF4">
        <w:rPr>
          <w:rFonts w:ascii="Times New Roman" w:eastAsia="Calibri" w:hAnsi="Times New Roman" w:cs="Times New Roman"/>
          <w:sz w:val="16"/>
          <w:szCs w:val="16"/>
          <w:lang w:bidi="ar-SA"/>
        </w:rPr>
        <w:t xml:space="preserve"> </w:t>
      </w:r>
      <w:r w:rsidRPr="00AA6AF4">
        <w:rPr>
          <w:rFonts w:ascii="Times New Roman" w:eastAsia="Calibri" w:hAnsi="Times New Roman" w:cs="Times New Roman"/>
          <w:sz w:val="16"/>
          <w:szCs w:val="16"/>
          <w:lang w:bidi="ar-SA"/>
        </w:rPr>
        <w:t>-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Ibrahim Shadad, President</w:t>
      </w:r>
      <w:r w:rsidRPr="00AA6AF4">
        <w:rPr>
          <w:rFonts w:ascii="Times New Roman" w:eastAsia="Calibri" w:hAnsi="Times New Roman" w:cs="Times New Roman"/>
          <w:sz w:val="16"/>
          <w:szCs w:val="16"/>
          <w:lang w:bidi="ar-SA"/>
        </w:rPr>
        <w:br/>
        <w:t>(ii) Dr. Mubeen Shah, Secretary</w:t>
      </w:r>
      <w:r w:rsidRPr="00AA6AF4">
        <w:rPr>
          <w:rFonts w:ascii="Times New Roman" w:eastAsia="Calibri" w:hAnsi="Times New Roman" w:cs="Times New Roman"/>
          <w:sz w:val="16"/>
          <w:szCs w:val="16"/>
          <w:lang w:bidi="ar-SA"/>
        </w:rPr>
        <w:br/>
        <w:t>(iii) Shri A.G. Khan, Joint Secretary</w:t>
      </w:r>
    </w:p>
    <w:p w14:paraId="6DC7156D" w14:textId="77777777"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Chamber of Commerce and Industry, Jammu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Ramesh Gupta, President</w:t>
      </w:r>
      <w:r w:rsidRPr="00AA6AF4">
        <w:rPr>
          <w:rFonts w:ascii="Times New Roman" w:eastAsia="Calibri" w:hAnsi="Times New Roman" w:cs="Times New Roman"/>
          <w:sz w:val="16"/>
          <w:szCs w:val="16"/>
          <w:lang w:bidi="ar-SA"/>
        </w:rPr>
        <w:br/>
        <w:t xml:space="preserve">(ii) Shri Rajendra </w:t>
      </w:r>
      <w:proofErr w:type="spellStart"/>
      <w:r w:rsidRPr="00AA6AF4">
        <w:rPr>
          <w:rFonts w:ascii="Times New Roman" w:eastAsia="Calibri" w:hAnsi="Times New Roman" w:cs="Times New Roman"/>
          <w:sz w:val="16"/>
          <w:szCs w:val="16"/>
          <w:lang w:bidi="ar-SA"/>
        </w:rPr>
        <w:t>Motial</w:t>
      </w:r>
      <w:proofErr w:type="spellEnd"/>
      <w:r w:rsidRPr="00AA6AF4">
        <w:rPr>
          <w:rFonts w:ascii="Times New Roman" w:eastAsia="Calibri" w:hAnsi="Times New Roman" w:cs="Times New Roman"/>
          <w:sz w:val="16"/>
          <w:szCs w:val="16"/>
          <w:lang w:bidi="ar-SA"/>
        </w:rPr>
        <w:t>, General Secretary</w:t>
      </w:r>
    </w:p>
    <w:p w14:paraId="098DF2AF"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V. Avasthi, General Secretary, Federation of Industry and Commerce, Jammu.</w:t>
      </w:r>
    </w:p>
    <w:p w14:paraId="25A3CF42"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G.M. Khan, President, Jammu and Kashmir Civil Secretariat Non-Gazetted Employees' Union, Srinagar.</w:t>
      </w:r>
    </w:p>
    <w:p w14:paraId="1852ECD9"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Abdul Majid Khan, President, All Jammu and Kashmir Low Paid Employees' Federation.</w:t>
      </w:r>
    </w:p>
    <w:p w14:paraId="4054FA74" w14:textId="77777777" w:rsidR="0034261E" w:rsidRPr="00AA6AF4" w:rsidRDefault="0034261E" w:rsidP="00E26F9D">
      <w:pPr>
        <w:numPr>
          <w:ilvl w:val="0"/>
          <w:numId w:val="16"/>
        </w:numPr>
        <w:spacing w:after="0" w:line="240" w:lineRule="auto"/>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All Jammu and Kashmir Low Paid Government Employees Federation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Sampat Prakash</w:t>
      </w:r>
      <w:r w:rsidRPr="00AA6AF4">
        <w:rPr>
          <w:rFonts w:ascii="Times New Roman" w:eastAsia="Calibri" w:hAnsi="Times New Roman" w:cs="Times New Roman"/>
          <w:sz w:val="16"/>
          <w:szCs w:val="16"/>
          <w:lang w:bidi="ar-SA"/>
        </w:rPr>
        <w:br/>
        <w:t>(ii) Shri Mohi-Ud-Din Punoo</w:t>
      </w:r>
      <w:r w:rsidRPr="00AA6AF4">
        <w:rPr>
          <w:rFonts w:ascii="Times New Roman" w:eastAsia="Calibri" w:hAnsi="Times New Roman" w:cs="Times New Roman"/>
          <w:sz w:val="16"/>
          <w:szCs w:val="16"/>
          <w:lang w:bidi="ar-SA"/>
        </w:rPr>
        <w:br/>
        <w:t>(iii) Shri Miraj-Ud-Din, Representative</w:t>
      </w:r>
      <w:r w:rsidRPr="00AA6AF4">
        <w:rPr>
          <w:rFonts w:ascii="Times New Roman" w:eastAsia="Calibri" w:hAnsi="Times New Roman" w:cs="Times New Roman"/>
          <w:sz w:val="16"/>
          <w:szCs w:val="16"/>
          <w:lang w:bidi="ar-SA"/>
        </w:rPr>
        <w:br/>
        <w:t>(iv) Shri A. Krishan, Representative</w:t>
      </w:r>
    </w:p>
    <w:p w14:paraId="171901C5" w14:textId="77777777" w:rsidR="0034261E" w:rsidRPr="00AA6AF4" w:rsidRDefault="0034261E" w:rsidP="0034261E">
      <w:p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b/>
          <w:bCs/>
          <w:sz w:val="16"/>
          <w:szCs w:val="16"/>
          <w:lang w:bidi="ar-SA"/>
        </w:rPr>
        <w:t>Karnataka</w:t>
      </w:r>
    </w:p>
    <w:p w14:paraId="35659CF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T.R. Satish Chandran, Director, Institute for Social &amp; Economic Change, Bangalore.</w:t>
      </w:r>
    </w:p>
    <w:p w14:paraId="164269C6" w14:textId="79BD1CF9" w:rsidR="0034261E" w:rsidRPr="00AA6AF4" w:rsidRDefault="005F2F8B">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Dr. (</w:t>
      </w:r>
      <w:r w:rsidR="0034261E" w:rsidRPr="00AA6AF4">
        <w:rPr>
          <w:rFonts w:ascii="Times New Roman" w:eastAsia="Calibri" w:hAnsi="Times New Roman" w:cs="Times New Roman"/>
          <w:sz w:val="16"/>
          <w:szCs w:val="16"/>
          <w:lang w:bidi="ar-SA"/>
        </w:rPr>
        <w:t>Mrs.) Hemlata Rao, Associate Professor, Institute for Social &amp; Economic Change, Bangalore.</w:t>
      </w:r>
    </w:p>
    <w:p w14:paraId="0CE08874"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Dr. Vinod Vyasulu, Professor, Institute for Social &amp; Economic Change, Bangalore.</w:t>
      </w:r>
    </w:p>
    <w:p w14:paraId="1CDF9479"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Prof. S.R. </w:t>
      </w:r>
      <w:proofErr w:type="spellStart"/>
      <w:r w:rsidRPr="00AA6AF4">
        <w:rPr>
          <w:rFonts w:ascii="Times New Roman" w:eastAsia="Calibri" w:hAnsi="Times New Roman" w:cs="Times New Roman"/>
          <w:sz w:val="16"/>
          <w:szCs w:val="16"/>
          <w:lang w:bidi="ar-SA"/>
        </w:rPr>
        <w:t>Bijoor</w:t>
      </w:r>
      <w:proofErr w:type="spellEnd"/>
      <w:r w:rsidRPr="00AA6AF4">
        <w:rPr>
          <w:rFonts w:ascii="Times New Roman" w:eastAsia="Calibri" w:hAnsi="Times New Roman" w:cs="Times New Roman"/>
          <w:sz w:val="16"/>
          <w:szCs w:val="16"/>
          <w:lang w:bidi="ar-SA"/>
        </w:rPr>
        <w:t>, Indian Institute of Management, Bangalore.</w:t>
      </w:r>
    </w:p>
    <w:p w14:paraId="484FA0A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T.N. Narasimhamurthy, MLC Congress(I), Leader of the Opposition in Legislative Council.</w:t>
      </w:r>
    </w:p>
    <w:p w14:paraId="31D1FC95"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M. Mallikarjuna Kharge, MLA Congress(I), Deputy Leader of Congress Legislature Party (CLP).</w:t>
      </w:r>
    </w:p>
    <w:p w14:paraId="5FD3AD87"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R.S. Mane, MLA, Maharashtra Eki-Karan Samiti.</w:t>
      </w:r>
    </w:p>
    <w:p w14:paraId="56B5063C"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 xml:space="preserve">Shri R. </w:t>
      </w:r>
      <w:proofErr w:type="spellStart"/>
      <w:r w:rsidRPr="00AA6AF4">
        <w:rPr>
          <w:rFonts w:ascii="Times New Roman" w:eastAsia="Calibri" w:hAnsi="Times New Roman" w:cs="Times New Roman"/>
          <w:sz w:val="16"/>
          <w:szCs w:val="16"/>
          <w:lang w:bidi="ar-SA"/>
        </w:rPr>
        <w:t>Venkataramaiah</w:t>
      </w:r>
      <w:proofErr w:type="spellEnd"/>
      <w:r w:rsidRPr="00AA6AF4">
        <w:rPr>
          <w:rFonts w:ascii="Times New Roman" w:eastAsia="Calibri" w:hAnsi="Times New Roman" w:cs="Times New Roman"/>
          <w:sz w:val="16"/>
          <w:szCs w:val="16"/>
          <w:lang w:bidi="ar-SA"/>
        </w:rPr>
        <w:t>, MLA, Leader of CPI(M).</w:t>
      </w:r>
    </w:p>
    <w:p w14:paraId="79BCFEBD"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S. Suryanarayana Rao, Leader of CPI(M).</w:t>
      </w:r>
    </w:p>
    <w:p w14:paraId="62859BC8"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N.K. Upadhyaya, Secretariat Member CPI(M).</w:t>
      </w:r>
    </w:p>
    <w:p w14:paraId="3AB64310"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Shri P. Ramachandra Rao, Secretary Karnataka State Committee, CPI(M).</w:t>
      </w:r>
    </w:p>
    <w:p w14:paraId="7D379CDE" w14:textId="0B79F0E3"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Federation of Karnataka Chambers of Commerce and Industry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C.</w:t>
      </w:r>
      <w:r w:rsidR="005F2F8B" w:rsidRPr="00AA6AF4">
        <w:rPr>
          <w:rFonts w:ascii="Times New Roman" w:eastAsia="Calibri" w:hAnsi="Times New Roman" w:cs="Times New Roman"/>
          <w:sz w:val="16"/>
          <w:szCs w:val="16"/>
          <w:lang w:bidi="ar-SA"/>
        </w:rPr>
        <w:t xml:space="preserve"> </w:t>
      </w:r>
      <w:proofErr w:type="spellStart"/>
      <w:r w:rsidRPr="00AA6AF4">
        <w:rPr>
          <w:rFonts w:ascii="Times New Roman" w:eastAsia="Calibri" w:hAnsi="Times New Roman" w:cs="Times New Roman"/>
          <w:sz w:val="16"/>
          <w:szCs w:val="16"/>
          <w:lang w:bidi="ar-SA"/>
        </w:rPr>
        <w:t>Valliappa</w:t>
      </w:r>
      <w:proofErr w:type="spellEnd"/>
      <w:r w:rsidRPr="00AA6AF4">
        <w:rPr>
          <w:rFonts w:ascii="Times New Roman" w:eastAsia="Calibri" w:hAnsi="Times New Roman" w:cs="Times New Roman"/>
          <w:sz w:val="16"/>
          <w:szCs w:val="16"/>
          <w:lang w:bidi="ar-SA"/>
        </w:rPr>
        <w:t>, President</w:t>
      </w:r>
      <w:r w:rsidRPr="00AA6AF4">
        <w:rPr>
          <w:rFonts w:ascii="Times New Roman" w:eastAsia="Calibri" w:hAnsi="Times New Roman" w:cs="Times New Roman"/>
          <w:sz w:val="16"/>
          <w:szCs w:val="16"/>
          <w:lang w:bidi="ar-SA"/>
        </w:rPr>
        <w:br/>
        <w:t>(ii) Shri M.K. Panduranga Setty, Vice President</w:t>
      </w:r>
      <w:r w:rsidRPr="00AA6AF4">
        <w:rPr>
          <w:rFonts w:ascii="Times New Roman" w:eastAsia="Calibri" w:hAnsi="Times New Roman" w:cs="Times New Roman"/>
          <w:sz w:val="16"/>
          <w:szCs w:val="16"/>
          <w:lang w:bidi="ar-SA"/>
        </w:rPr>
        <w:br/>
        <w:t xml:space="preserve">(iii) Shri </w:t>
      </w:r>
      <w:proofErr w:type="spellStart"/>
      <w:r w:rsidRPr="00AA6AF4">
        <w:rPr>
          <w:rFonts w:ascii="Times New Roman" w:eastAsia="Calibri" w:hAnsi="Times New Roman" w:cs="Times New Roman"/>
          <w:sz w:val="16"/>
          <w:szCs w:val="16"/>
          <w:lang w:bidi="ar-SA"/>
        </w:rPr>
        <w:t>Tallam</w:t>
      </w:r>
      <w:proofErr w:type="spellEnd"/>
      <w:r w:rsidRPr="00AA6AF4">
        <w:rPr>
          <w:rFonts w:ascii="Times New Roman" w:eastAsia="Calibri" w:hAnsi="Times New Roman" w:cs="Times New Roman"/>
          <w:sz w:val="16"/>
          <w:szCs w:val="16"/>
          <w:lang w:bidi="ar-SA"/>
        </w:rPr>
        <w:t xml:space="preserve"> Radhakrishna Setty (Immediate Past) President</w:t>
      </w:r>
      <w:r w:rsidRPr="00AA6AF4">
        <w:rPr>
          <w:rFonts w:ascii="Times New Roman" w:eastAsia="Calibri" w:hAnsi="Times New Roman" w:cs="Times New Roman"/>
          <w:sz w:val="16"/>
          <w:szCs w:val="16"/>
          <w:lang w:bidi="ar-SA"/>
        </w:rPr>
        <w:br/>
        <w:t xml:space="preserve">(iv) Shri M. </w:t>
      </w:r>
      <w:proofErr w:type="spellStart"/>
      <w:r w:rsidRPr="00AA6AF4">
        <w:rPr>
          <w:rFonts w:ascii="Times New Roman" w:eastAsia="Calibri" w:hAnsi="Times New Roman" w:cs="Times New Roman"/>
          <w:sz w:val="16"/>
          <w:szCs w:val="16"/>
          <w:lang w:bidi="ar-SA"/>
        </w:rPr>
        <w:t>Raghevendra</w:t>
      </w:r>
      <w:proofErr w:type="spellEnd"/>
      <w:r w:rsidRPr="00AA6AF4">
        <w:rPr>
          <w:rFonts w:ascii="Times New Roman" w:eastAsia="Calibri" w:hAnsi="Times New Roman" w:cs="Times New Roman"/>
          <w:sz w:val="16"/>
          <w:szCs w:val="16"/>
          <w:lang w:bidi="ar-SA"/>
        </w:rPr>
        <w:t xml:space="preserve"> Rao, Secretary</w:t>
      </w:r>
      <w:r w:rsidRPr="00AA6AF4">
        <w:rPr>
          <w:rFonts w:ascii="Times New Roman" w:eastAsia="Calibri" w:hAnsi="Times New Roman" w:cs="Times New Roman"/>
          <w:sz w:val="16"/>
          <w:szCs w:val="16"/>
          <w:lang w:bidi="ar-SA"/>
        </w:rPr>
        <w:br/>
        <w:t xml:space="preserve">(v) Shri T. </w:t>
      </w:r>
      <w:proofErr w:type="spellStart"/>
      <w:r w:rsidRPr="00AA6AF4">
        <w:rPr>
          <w:rFonts w:ascii="Times New Roman" w:eastAsia="Calibri" w:hAnsi="Times New Roman" w:cs="Times New Roman"/>
          <w:sz w:val="16"/>
          <w:szCs w:val="16"/>
          <w:lang w:bidi="ar-SA"/>
        </w:rPr>
        <w:t>Ramappa</w:t>
      </w:r>
      <w:proofErr w:type="spellEnd"/>
      <w:r w:rsidRPr="00AA6AF4">
        <w:rPr>
          <w:rFonts w:ascii="Times New Roman" w:eastAsia="Calibri" w:hAnsi="Times New Roman" w:cs="Times New Roman"/>
          <w:sz w:val="16"/>
          <w:szCs w:val="16"/>
          <w:lang w:bidi="ar-SA"/>
        </w:rPr>
        <w:t>, Assistant Secretary</w:t>
      </w:r>
    </w:p>
    <w:p w14:paraId="5989EB9B"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All India State Govt. Employees Association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K.A. Keshavamurthy, President.</w:t>
      </w:r>
    </w:p>
    <w:p w14:paraId="318FBBD5" w14:textId="77777777" w:rsidR="0034261E" w:rsidRPr="00AA6AF4" w:rsidRDefault="0034261E">
      <w:pPr>
        <w:numPr>
          <w:ilvl w:val="0"/>
          <w:numId w:val="16"/>
        </w:numPr>
        <w:spacing w:after="0" w:line="240" w:lineRule="auto"/>
        <w:jc w:val="both"/>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t>Karnataka State Government Employees Association - represented by</w:t>
      </w:r>
      <w:r w:rsidRPr="00AA6AF4">
        <w:rPr>
          <w:rFonts w:ascii="Times New Roman" w:eastAsia="Calibri" w:hAnsi="Times New Roman" w:cs="Times New Roman"/>
          <w:sz w:val="16"/>
          <w:szCs w:val="16"/>
          <w:lang w:bidi="ar-SA"/>
        </w:rPr>
        <w:br/>
        <w:t>(</w:t>
      </w:r>
      <w:proofErr w:type="spellStart"/>
      <w:r w:rsidRPr="00AA6AF4">
        <w:rPr>
          <w:rFonts w:ascii="Times New Roman" w:eastAsia="Calibri" w:hAnsi="Times New Roman" w:cs="Times New Roman"/>
          <w:sz w:val="16"/>
          <w:szCs w:val="16"/>
          <w:lang w:bidi="ar-SA"/>
        </w:rPr>
        <w:t>i</w:t>
      </w:r>
      <w:proofErr w:type="spellEnd"/>
      <w:r w:rsidRPr="00AA6AF4">
        <w:rPr>
          <w:rFonts w:ascii="Times New Roman" w:eastAsia="Calibri" w:hAnsi="Times New Roman" w:cs="Times New Roman"/>
          <w:sz w:val="16"/>
          <w:szCs w:val="16"/>
          <w:lang w:bidi="ar-SA"/>
        </w:rPr>
        <w:t>) Shri T.V. Raghavan, Former Office Bearer</w:t>
      </w:r>
      <w:r w:rsidRPr="00AA6AF4">
        <w:rPr>
          <w:rFonts w:ascii="Times New Roman" w:eastAsia="Calibri" w:hAnsi="Times New Roman" w:cs="Times New Roman"/>
          <w:sz w:val="16"/>
          <w:szCs w:val="16"/>
          <w:lang w:bidi="ar-SA"/>
        </w:rPr>
        <w:br/>
        <w:t xml:space="preserve">(ii) Shri M.N. </w:t>
      </w:r>
      <w:proofErr w:type="spellStart"/>
      <w:r w:rsidRPr="00AA6AF4">
        <w:rPr>
          <w:rFonts w:ascii="Times New Roman" w:eastAsia="Calibri" w:hAnsi="Times New Roman" w:cs="Times New Roman"/>
          <w:sz w:val="16"/>
          <w:szCs w:val="16"/>
          <w:lang w:bidi="ar-SA"/>
        </w:rPr>
        <w:t>Shashe</w:t>
      </w:r>
      <w:proofErr w:type="spellEnd"/>
      <w:r w:rsidRPr="00AA6AF4">
        <w:rPr>
          <w:rFonts w:ascii="Times New Roman" w:eastAsia="Calibri" w:hAnsi="Times New Roman" w:cs="Times New Roman"/>
          <w:sz w:val="16"/>
          <w:szCs w:val="16"/>
          <w:lang w:bidi="ar-SA"/>
        </w:rPr>
        <w:t xml:space="preserve"> Gowda</w:t>
      </w:r>
    </w:p>
    <w:p w14:paraId="2F677F30" w14:textId="1725F078" w:rsidR="0057733B" w:rsidRPr="00AA6AF4" w:rsidRDefault="0057733B" w:rsidP="00E26F9D">
      <w:pPr>
        <w:spacing w:after="0" w:line="240" w:lineRule="auto"/>
        <w:ind w:left="720"/>
        <w:rPr>
          <w:rFonts w:ascii="Times New Roman" w:hAnsi="Times New Roman" w:cs="Times New Roman"/>
          <w:sz w:val="16"/>
          <w:szCs w:val="16"/>
        </w:rPr>
      </w:pPr>
      <w:r w:rsidRPr="00AA6AF4">
        <w:rPr>
          <w:rFonts w:ascii="Times New Roman" w:hAnsi="Times New Roman" w:cs="Times New Roman"/>
          <w:sz w:val="16"/>
          <w:szCs w:val="16"/>
        </w:rPr>
        <w:t>(iii) Shri Lakshmaiah</w:t>
      </w:r>
      <w:r w:rsidRPr="00AA6AF4">
        <w:rPr>
          <w:rFonts w:ascii="Times New Roman" w:hAnsi="Times New Roman" w:cs="Times New Roman"/>
          <w:sz w:val="16"/>
          <w:szCs w:val="16"/>
        </w:rPr>
        <w:br/>
        <w:t>(iv) Shri Narase Gowda</w:t>
      </w:r>
      <w:r w:rsidRPr="00AA6AF4">
        <w:rPr>
          <w:rFonts w:ascii="Times New Roman" w:hAnsi="Times New Roman" w:cs="Times New Roman"/>
          <w:sz w:val="16"/>
          <w:szCs w:val="16"/>
        </w:rPr>
        <w:br/>
        <w:t>(v) Shri Gangavenkataiah, Vice-President</w:t>
      </w:r>
      <w:r w:rsidRPr="00AA6AF4">
        <w:rPr>
          <w:rFonts w:ascii="Times New Roman" w:hAnsi="Times New Roman" w:cs="Times New Roman"/>
          <w:sz w:val="16"/>
          <w:szCs w:val="16"/>
        </w:rPr>
        <w:br/>
        <w:t>(vi) Sri Chowdaiah, Treasurer</w:t>
      </w:r>
      <w:r w:rsidRPr="00AA6AF4">
        <w:rPr>
          <w:rFonts w:ascii="Times New Roman" w:hAnsi="Times New Roman" w:cs="Times New Roman"/>
          <w:sz w:val="16"/>
          <w:szCs w:val="16"/>
        </w:rPr>
        <w:br/>
        <w:t>(vii) Sri Manu, Cultural Secretary</w:t>
      </w:r>
      <w:r w:rsidRPr="00AA6AF4">
        <w:rPr>
          <w:rFonts w:ascii="Times New Roman" w:hAnsi="Times New Roman" w:cs="Times New Roman"/>
          <w:sz w:val="16"/>
          <w:szCs w:val="16"/>
        </w:rPr>
        <w:br/>
        <w:t>(viii) Sri K Dase Gowda, State Council Member</w:t>
      </w:r>
    </w:p>
    <w:p w14:paraId="42E4C595" w14:textId="77777777" w:rsidR="0057733B" w:rsidRPr="00AA6AF4" w:rsidRDefault="0057733B" w:rsidP="0057733B">
      <w:pPr>
        <w:spacing w:after="0" w:line="240" w:lineRule="auto"/>
        <w:jc w:val="both"/>
        <w:rPr>
          <w:rFonts w:ascii="Times New Roman" w:hAnsi="Times New Roman" w:cs="Times New Roman"/>
          <w:sz w:val="16"/>
          <w:szCs w:val="16"/>
        </w:rPr>
      </w:pPr>
      <w:r w:rsidRPr="00AA6AF4">
        <w:rPr>
          <w:rFonts w:ascii="Times New Roman" w:hAnsi="Times New Roman" w:cs="Times New Roman"/>
          <w:b/>
          <w:bCs/>
          <w:sz w:val="16"/>
          <w:szCs w:val="16"/>
        </w:rPr>
        <w:t>Kerala</w:t>
      </w:r>
    </w:p>
    <w:p w14:paraId="5D7CC8EF"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Kerala Gazetted Officers' Association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N. </w:t>
      </w:r>
      <w:proofErr w:type="spellStart"/>
      <w:r w:rsidRPr="00AA6AF4">
        <w:rPr>
          <w:rFonts w:ascii="Times New Roman" w:hAnsi="Times New Roman" w:cs="Times New Roman"/>
          <w:sz w:val="16"/>
          <w:szCs w:val="16"/>
        </w:rPr>
        <w:t>Bhageerathan</w:t>
      </w:r>
      <w:proofErr w:type="spellEnd"/>
      <w:r w:rsidRPr="00AA6AF4">
        <w:rPr>
          <w:rFonts w:ascii="Times New Roman" w:hAnsi="Times New Roman" w:cs="Times New Roman"/>
          <w:sz w:val="16"/>
          <w:szCs w:val="16"/>
        </w:rPr>
        <w:t>, President</w:t>
      </w:r>
      <w:r w:rsidRPr="00AA6AF4">
        <w:rPr>
          <w:rFonts w:ascii="Times New Roman" w:hAnsi="Times New Roman" w:cs="Times New Roman"/>
          <w:sz w:val="16"/>
          <w:szCs w:val="16"/>
        </w:rPr>
        <w:br/>
        <w:t>(ii) Shri P.Y. Jacob, Vice-President</w:t>
      </w:r>
      <w:r w:rsidRPr="00AA6AF4">
        <w:rPr>
          <w:rFonts w:ascii="Times New Roman" w:hAnsi="Times New Roman" w:cs="Times New Roman"/>
          <w:sz w:val="16"/>
          <w:szCs w:val="16"/>
        </w:rPr>
        <w:br/>
        <w:t>(iii) Dr. N.M. Mohammed Ali, General Secretary</w:t>
      </w:r>
    </w:p>
    <w:p w14:paraId="17355091"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Aged Government Employees' Society, </w:t>
      </w:r>
      <w:proofErr w:type="spellStart"/>
      <w:r w:rsidRPr="00AA6AF4">
        <w:rPr>
          <w:rFonts w:ascii="Times New Roman" w:hAnsi="Times New Roman" w:cs="Times New Roman"/>
          <w:sz w:val="16"/>
          <w:szCs w:val="16"/>
        </w:rPr>
        <w:t>Attingal</w:t>
      </w:r>
      <w:proofErr w:type="spellEnd"/>
      <w:r w:rsidRPr="00AA6AF4">
        <w:rPr>
          <w:rFonts w:ascii="Times New Roman" w:hAnsi="Times New Roman" w:cs="Times New Roman"/>
          <w:sz w:val="16"/>
          <w:szCs w:val="16"/>
        </w:rPr>
        <w:t xml:space="preserve">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D. Unni Krishnan, Secretary</w:t>
      </w:r>
      <w:r w:rsidRPr="00AA6AF4">
        <w:rPr>
          <w:rFonts w:ascii="Times New Roman" w:hAnsi="Times New Roman" w:cs="Times New Roman"/>
          <w:sz w:val="16"/>
          <w:szCs w:val="16"/>
        </w:rPr>
        <w:br/>
        <w:t xml:space="preserve">(ii) Shri P. </w:t>
      </w:r>
      <w:proofErr w:type="spellStart"/>
      <w:r w:rsidRPr="00AA6AF4">
        <w:rPr>
          <w:rFonts w:ascii="Times New Roman" w:hAnsi="Times New Roman" w:cs="Times New Roman"/>
          <w:sz w:val="16"/>
          <w:szCs w:val="16"/>
        </w:rPr>
        <w:t>Appukuttam</w:t>
      </w:r>
      <w:proofErr w:type="spellEnd"/>
      <w:r w:rsidRPr="00AA6AF4">
        <w:rPr>
          <w:rFonts w:ascii="Times New Roman" w:hAnsi="Times New Roman" w:cs="Times New Roman"/>
          <w:sz w:val="16"/>
          <w:szCs w:val="16"/>
        </w:rPr>
        <w:t>, Treasurer</w:t>
      </w:r>
    </w:p>
    <w:p w14:paraId="7360990C"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 xml:space="preserve">Federation Of State Employees' </w:t>
      </w:r>
      <w:proofErr w:type="gramStart"/>
      <w:r w:rsidRPr="00AA6AF4">
        <w:rPr>
          <w:rFonts w:ascii="Times New Roman" w:hAnsi="Times New Roman" w:cs="Times New Roman"/>
          <w:sz w:val="16"/>
          <w:szCs w:val="16"/>
        </w:rPr>
        <w:t>And</w:t>
      </w:r>
      <w:proofErr w:type="gramEnd"/>
      <w:r w:rsidRPr="00AA6AF4">
        <w:rPr>
          <w:rFonts w:ascii="Times New Roman" w:hAnsi="Times New Roman" w:cs="Times New Roman"/>
          <w:sz w:val="16"/>
          <w:szCs w:val="16"/>
        </w:rPr>
        <w:t xml:space="preserve"> Teachers' Organisation, Kerala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K.V. Devadas, President</w:t>
      </w:r>
      <w:r w:rsidRPr="00AA6AF4">
        <w:rPr>
          <w:rFonts w:ascii="Times New Roman" w:hAnsi="Times New Roman" w:cs="Times New Roman"/>
          <w:sz w:val="16"/>
          <w:szCs w:val="16"/>
        </w:rPr>
        <w:br/>
      </w:r>
      <w:r w:rsidRPr="00AA6AF4">
        <w:rPr>
          <w:rFonts w:ascii="Times New Roman" w:hAnsi="Times New Roman" w:cs="Times New Roman"/>
          <w:sz w:val="16"/>
          <w:szCs w:val="16"/>
        </w:rPr>
        <w:lastRenderedPageBreak/>
        <w:t>(ii) Shri K.V. Rajendran, General Secretary</w:t>
      </w:r>
      <w:r w:rsidRPr="00AA6AF4">
        <w:rPr>
          <w:rFonts w:ascii="Times New Roman" w:hAnsi="Times New Roman" w:cs="Times New Roman"/>
          <w:sz w:val="16"/>
          <w:szCs w:val="16"/>
        </w:rPr>
        <w:br/>
        <w:t>(iii) Shri T.K. Balan, General Secretary, Kerala NGO Union</w:t>
      </w:r>
      <w:r w:rsidRPr="00AA6AF4">
        <w:rPr>
          <w:rFonts w:ascii="Times New Roman" w:hAnsi="Times New Roman" w:cs="Times New Roman"/>
          <w:sz w:val="16"/>
          <w:szCs w:val="16"/>
        </w:rPr>
        <w:br/>
        <w:t>(iv) Shri K. Chandran, General Secretary, Private School Teachers' Union, Kerala</w:t>
      </w:r>
      <w:r w:rsidRPr="00AA6AF4">
        <w:rPr>
          <w:rFonts w:ascii="Times New Roman" w:hAnsi="Times New Roman" w:cs="Times New Roman"/>
          <w:sz w:val="16"/>
          <w:szCs w:val="16"/>
        </w:rPr>
        <w:br/>
        <w:t>(v) Shri Babu Sreekumar, General Secretary, Kerala Secretariat Employees' Association</w:t>
      </w:r>
    </w:p>
    <w:p w14:paraId="5BDC6169"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Joint Council of State Service Organisation, Trivandrum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N. Anantha Krishnan, General Secretary</w:t>
      </w:r>
      <w:r w:rsidRPr="00AA6AF4">
        <w:rPr>
          <w:rFonts w:ascii="Times New Roman" w:hAnsi="Times New Roman" w:cs="Times New Roman"/>
          <w:sz w:val="16"/>
          <w:szCs w:val="16"/>
        </w:rPr>
        <w:br/>
        <w:t>(ii) Shri E.J. Francis, former Chairman</w:t>
      </w:r>
      <w:r w:rsidRPr="00AA6AF4">
        <w:rPr>
          <w:rFonts w:ascii="Times New Roman" w:hAnsi="Times New Roman" w:cs="Times New Roman"/>
          <w:sz w:val="16"/>
          <w:szCs w:val="16"/>
        </w:rPr>
        <w:br/>
        <w:t xml:space="preserve">(iii) Shri P.R. </w:t>
      </w:r>
      <w:proofErr w:type="spellStart"/>
      <w:r w:rsidRPr="00AA6AF4">
        <w:rPr>
          <w:rFonts w:ascii="Times New Roman" w:hAnsi="Times New Roman" w:cs="Times New Roman"/>
          <w:sz w:val="16"/>
          <w:szCs w:val="16"/>
        </w:rPr>
        <w:t>Somanadhan</w:t>
      </w:r>
      <w:proofErr w:type="spellEnd"/>
      <w:r w:rsidRPr="00AA6AF4">
        <w:rPr>
          <w:rFonts w:ascii="Times New Roman" w:hAnsi="Times New Roman" w:cs="Times New Roman"/>
          <w:sz w:val="16"/>
          <w:szCs w:val="16"/>
        </w:rPr>
        <w:t>, Vice-Chairman</w:t>
      </w:r>
      <w:r w:rsidRPr="00AA6AF4">
        <w:rPr>
          <w:rFonts w:ascii="Times New Roman" w:hAnsi="Times New Roman" w:cs="Times New Roman"/>
          <w:sz w:val="16"/>
          <w:szCs w:val="16"/>
        </w:rPr>
        <w:br/>
        <w:t>(iv) Shri K.N.K. Nambudiri, State Secretary</w:t>
      </w:r>
    </w:p>
    <w:p w14:paraId="3091E352"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Kerala Congress (M)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K.M. Mani, Leader</w:t>
      </w:r>
      <w:r w:rsidRPr="00AA6AF4">
        <w:rPr>
          <w:rFonts w:ascii="Times New Roman" w:hAnsi="Times New Roman" w:cs="Times New Roman"/>
          <w:sz w:val="16"/>
          <w:szCs w:val="16"/>
        </w:rPr>
        <w:br/>
        <w:t>(ii) Shri T.M. Jacob, former Education Minister</w:t>
      </w:r>
    </w:p>
    <w:p w14:paraId="67CA8306"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Kerala Pradesh Congress Committee (I)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Sankara Narayanan, Member</w:t>
      </w:r>
      <w:r w:rsidRPr="00AA6AF4">
        <w:rPr>
          <w:rFonts w:ascii="Times New Roman" w:hAnsi="Times New Roman" w:cs="Times New Roman"/>
          <w:sz w:val="16"/>
          <w:szCs w:val="16"/>
        </w:rPr>
        <w:br/>
        <w:t>(ii) Shri Oommen Chandy, Member</w:t>
      </w:r>
      <w:r w:rsidRPr="00AA6AF4">
        <w:rPr>
          <w:rFonts w:ascii="Times New Roman" w:hAnsi="Times New Roman" w:cs="Times New Roman"/>
          <w:sz w:val="16"/>
          <w:szCs w:val="16"/>
        </w:rPr>
        <w:br/>
        <w:t>(iii) Shri K. Karunakaran, Member</w:t>
      </w:r>
      <w:r w:rsidRPr="00AA6AF4">
        <w:rPr>
          <w:rFonts w:ascii="Times New Roman" w:hAnsi="Times New Roman" w:cs="Times New Roman"/>
          <w:sz w:val="16"/>
          <w:szCs w:val="16"/>
        </w:rPr>
        <w:br/>
        <w:t>(iv) Shri A.K. Antony, Member</w:t>
      </w:r>
      <w:r w:rsidRPr="00AA6AF4">
        <w:rPr>
          <w:rFonts w:ascii="Times New Roman" w:hAnsi="Times New Roman" w:cs="Times New Roman"/>
          <w:sz w:val="16"/>
          <w:szCs w:val="16"/>
        </w:rPr>
        <w:br/>
        <w:t>(v) Shri Pathmarajan, Member</w:t>
      </w:r>
      <w:r w:rsidRPr="00AA6AF4">
        <w:rPr>
          <w:rFonts w:ascii="Times New Roman" w:hAnsi="Times New Roman" w:cs="Times New Roman"/>
          <w:sz w:val="16"/>
          <w:szCs w:val="16"/>
        </w:rPr>
        <w:br/>
        <w:t xml:space="preserve">(vi) Dr. P.K. </w:t>
      </w:r>
      <w:proofErr w:type="spellStart"/>
      <w:r w:rsidRPr="00AA6AF4">
        <w:rPr>
          <w:rFonts w:ascii="Times New Roman" w:hAnsi="Times New Roman" w:cs="Times New Roman"/>
          <w:sz w:val="16"/>
          <w:szCs w:val="16"/>
        </w:rPr>
        <w:t>Gopalakrishan</w:t>
      </w:r>
      <w:proofErr w:type="spellEnd"/>
      <w:r w:rsidRPr="00AA6AF4">
        <w:rPr>
          <w:rFonts w:ascii="Times New Roman" w:hAnsi="Times New Roman" w:cs="Times New Roman"/>
          <w:sz w:val="16"/>
          <w:szCs w:val="16"/>
        </w:rPr>
        <w:t>, Member</w:t>
      </w:r>
      <w:r w:rsidRPr="00AA6AF4">
        <w:rPr>
          <w:rFonts w:ascii="Times New Roman" w:hAnsi="Times New Roman" w:cs="Times New Roman"/>
          <w:sz w:val="16"/>
          <w:szCs w:val="16"/>
        </w:rPr>
        <w:br/>
        <w:t>(vii) Shri Karthikeyan, Member</w:t>
      </w:r>
    </w:p>
    <w:p w14:paraId="5F116CE5"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A. </w:t>
      </w:r>
      <w:proofErr w:type="spellStart"/>
      <w:r w:rsidRPr="00AA6AF4">
        <w:rPr>
          <w:rFonts w:ascii="Times New Roman" w:hAnsi="Times New Roman" w:cs="Times New Roman"/>
          <w:sz w:val="16"/>
          <w:szCs w:val="16"/>
        </w:rPr>
        <w:t>Neelalohithadasan</w:t>
      </w:r>
      <w:proofErr w:type="spellEnd"/>
      <w:r w:rsidRPr="00AA6AF4">
        <w:rPr>
          <w:rFonts w:ascii="Times New Roman" w:hAnsi="Times New Roman" w:cs="Times New Roman"/>
          <w:sz w:val="16"/>
          <w:szCs w:val="16"/>
        </w:rPr>
        <w:t>, Minister of Sports and Youth Affairs.</w:t>
      </w:r>
    </w:p>
    <w:p w14:paraId="3A8B86B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Prof. V. Gopalakrishna Kurup, Chairman, Public Service Commission.</w:t>
      </w:r>
    </w:p>
    <w:p w14:paraId="15BC58E0"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V.J. </w:t>
      </w:r>
      <w:proofErr w:type="spellStart"/>
      <w:r w:rsidRPr="00AA6AF4">
        <w:rPr>
          <w:rFonts w:ascii="Times New Roman" w:hAnsi="Times New Roman" w:cs="Times New Roman"/>
          <w:sz w:val="16"/>
          <w:szCs w:val="16"/>
        </w:rPr>
        <w:t>Thankappan</w:t>
      </w:r>
      <w:proofErr w:type="spellEnd"/>
      <w:r w:rsidRPr="00AA6AF4">
        <w:rPr>
          <w:rFonts w:ascii="Times New Roman" w:hAnsi="Times New Roman" w:cs="Times New Roman"/>
          <w:sz w:val="16"/>
          <w:szCs w:val="16"/>
        </w:rPr>
        <w:t>, Minister of Local Administration.</w:t>
      </w:r>
    </w:p>
    <w:p w14:paraId="75AA51E7" w14:textId="77777777" w:rsidR="0057733B" w:rsidRPr="00AA6AF4" w:rsidRDefault="0057733B" w:rsidP="0057733B">
      <w:pPr>
        <w:spacing w:after="0" w:line="240" w:lineRule="auto"/>
        <w:jc w:val="both"/>
        <w:rPr>
          <w:rFonts w:ascii="Times New Roman" w:hAnsi="Times New Roman" w:cs="Times New Roman"/>
          <w:sz w:val="16"/>
          <w:szCs w:val="16"/>
        </w:rPr>
      </w:pPr>
      <w:r w:rsidRPr="00AA6AF4">
        <w:rPr>
          <w:rFonts w:ascii="Times New Roman" w:hAnsi="Times New Roman" w:cs="Times New Roman"/>
          <w:b/>
          <w:bCs/>
          <w:sz w:val="16"/>
          <w:szCs w:val="16"/>
        </w:rPr>
        <w:t>Madhya Pradesh</w:t>
      </w:r>
    </w:p>
    <w:p w14:paraId="22150487"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R.P. Shukla, Speaker of the State Legislative Assembly.</w:t>
      </w:r>
    </w:p>
    <w:p w14:paraId="1B5B8164"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Kailash Joshi, Leader of the Opposition in the State Legislative Assembly.</w:t>
      </w:r>
    </w:p>
    <w:p w14:paraId="207FA4B5"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Babu Lal Gaur, Chairman, Public Accounts Committee.</w:t>
      </w:r>
    </w:p>
    <w:p w14:paraId="584A0DF2" w14:textId="2CF5CC4B" w:rsidR="0057733B" w:rsidRPr="00E26F9D" w:rsidRDefault="0057733B" w:rsidP="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N.P. Srivastava, Leader of the Janata Party in the State Legislature.</w:t>
      </w:r>
    </w:p>
    <w:p w14:paraId="2C05F1CE"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Rameshwar Nikhara, M.P.</w:t>
      </w:r>
    </w:p>
    <w:p w14:paraId="7B1A2D18"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Dr. P.D. Hajela, Vice-Chancellor, Sagar University.</w:t>
      </w:r>
    </w:p>
    <w:p w14:paraId="3640F9F0"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Dr. R.S. Tiwari, Professor, </w:t>
      </w:r>
      <w:proofErr w:type="spellStart"/>
      <w:r w:rsidRPr="00AA6AF4">
        <w:rPr>
          <w:rFonts w:ascii="Times New Roman" w:hAnsi="Times New Roman" w:cs="Times New Roman"/>
          <w:sz w:val="16"/>
          <w:szCs w:val="16"/>
        </w:rPr>
        <w:t>Hamidia</w:t>
      </w:r>
      <w:proofErr w:type="spellEnd"/>
      <w:r w:rsidRPr="00AA6AF4">
        <w:rPr>
          <w:rFonts w:ascii="Times New Roman" w:hAnsi="Times New Roman" w:cs="Times New Roman"/>
          <w:sz w:val="16"/>
          <w:szCs w:val="16"/>
        </w:rPr>
        <w:t xml:space="preserve"> College, Bhopal.</w:t>
      </w:r>
    </w:p>
    <w:p w14:paraId="75C14EB7"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S.N. Dubey, Senior Vice-President, Madhya Pradesh Teachers' Congress.</w:t>
      </w:r>
    </w:p>
    <w:p w14:paraId="13F5BD37"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Rasul Ahmed Siddiqui, MLA.</w:t>
      </w:r>
    </w:p>
    <w:p w14:paraId="5568AED6"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Balakrishna Gupta, M.L.A.</w:t>
      </w:r>
    </w:p>
    <w:p w14:paraId="2C082900"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Mumtaj Ali, Janata Party, Bhopal.</w:t>
      </w:r>
    </w:p>
    <w:p w14:paraId="5019B5FF"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Abdul Zabbar Khan, Organiser, Bhopal Gas Tragedy Victims Women's Welfare Association.</w:t>
      </w:r>
    </w:p>
    <w:p w14:paraId="0567DF0B"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Kanhaiya Lal Sharma, M.L.A.</w:t>
      </w:r>
    </w:p>
    <w:p w14:paraId="7CE44F95"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Ramachandra Bajpayee, M.L.A.</w:t>
      </w:r>
    </w:p>
    <w:p w14:paraId="5DCDF5DF"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Satyabhanu Chauhan, M.L.A.</w:t>
      </w:r>
    </w:p>
    <w:p w14:paraId="415E57D5"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Lalit Jain, M.L.A.</w:t>
      </w:r>
    </w:p>
    <w:p w14:paraId="5B5C6ED4"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Sunil Mishra, M.L.A.</w:t>
      </w:r>
    </w:p>
    <w:p w14:paraId="04149CC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Dr. Nirmal </w:t>
      </w:r>
      <w:proofErr w:type="spellStart"/>
      <w:r w:rsidRPr="00AA6AF4">
        <w:rPr>
          <w:rFonts w:ascii="Times New Roman" w:hAnsi="Times New Roman" w:cs="Times New Roman"/>
          <w:sz w:val="16"/>
          <w:szCs w:val="16"/>
        </w:rPr>
        <w:t>Hirawat</w:t>
      </w:r>
      <w:proofErr w:type="spellEnd"/>
      <w:r w:rsidRPr="00AA6AF4">
        <w:rPr>
          <w:rFonts w:ascii="Times New Roman" w:hAnsi="Times New Roman" w:cs="Times New Roman"/>
          <w:sz w:val="16"/>
          <w:szCs w:val="16"/>
        </w:rPr>
        <w:t>, M.L.A.</w:t>
      </w:r>
    </w:p>
    <w:p w14:paraId="25D01986"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Rama Shankar Singh, M.L.A.</w:t>
      </w:r>
    </w:p>
    <w:p w14:paraId="3B6FF43C"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S.D. </w:t>
      </w:r>
      <w:proofErr w:type="spellStart"/>
      <w:r w:rsidRPr="00AA6AF4">
        <w:rPr>
          <w:rFonts w:ascii="Times New Roman" w:hAnsi="Times New Roman" w:cs="Times New Roman"/>
          <w:sz w:val="16"/>
          <w:szCs w:val="16"/>
        </w:rPr>
        <w:t>Katare</w:t>
      </w:r>
      <w:proofErr w:type="spellEnd"/>
      <w:r w:rsidRPr="00AA6AF4">
        <w:rPr>
          <w:rFonts w:ascii="Times New Roman" w:hAnsi="Times New Roman" w:cs="Times New Roman"/>
          <w:sz w:val="16"/>
          <w:szCs w:val="16"/>
        </w:rPr>
        <w:t>, M.L.A.</w:t>
      </w:r>
    </w:p>
    <w:p w14:paraId="50F9715F" w14:textId="77777777" w:rsidR="0057733B" w:rsidRPr="00AA6AF4" w:rsidRDefault="0057733B" w:rsidP="0057733B">
      <w:pPr>
        <w:spacing w:after="0" w:line="240" w:lineRule="auto"/>
        <w:ind w:left="360"/>
        <w:jc w:val="both"/>
        <w:rPr>
          <w:rFonts w:ascii="Times New Roman" w:hAnsi="Times New Roman" w:cs="Times New Roman"/>
          <w:b/>
          <w:bCs/>
          <w:sz w:val="16"/>
          <w:szCs w:val="16"/>
          <w:u w:val="single"/>
        </w:rPr>
      </w:pPr>
      <w:r w:rsidRPr="00AA6AF4">
        <w:rPr>
          <w:rFonts w:ascii="Times New Roman" w:hAnsi="Times New Roman" w:cs="Times New Roman"/>
          <w:b/>
          <w:bCs/>
          <w:sz w:val="16"/>
          <w:szCs w:val="16"/>
          <w:u w:val="single"/>
        </w:rPr>
        <w:t>Maharashtra</w:t>
      </w:r>
    </w:p>
    <w:p w14:paraId="0C7F1F9C"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Sharad Pawar, former Chief Minister.</w:t>
      </w:r>
    </w:p>
    <w:p w14:paraId="03EC4BD6"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D.R. Pendse, Economic Adviser, Tata Industries, Bombay.</w:t>
      </w:r>
    </w:p>
    <w:p w14:paraId="1B261202"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N.A. </w:t>
      </w:r>
      <w:proofErr w:type="spellStart"/>
      <w:r w:rsidRPr="00AA6AF4">
        <w:rPr>
          <w:rFonts w:ascii="Times New Roman" w:hAnsi="Times New Roman" w:cs="Times New Roman"/>
          <w:sz w:val="16"/>
          <w:szCs w:val="16"/>
        </w:rPr>
        <w:t>Palkhiwala</w:t>
      </w:r>
      <w:proofErr w:type="spellEnd"/>
      <w:r w:rsidRPr="00AA6AF4">
        <w:rPr>
          <w:rFonts w:ascii="Times New Roman" w:hAnsi="Times New Roman" w:cs="Times New Roman"/>
          <w:sz w:val="16"/>
          <w:szCs w:val="16"/>
        </w:rPr>
        <w:t>, Senior Advocate, Supreme Court of India, Bombay.</w:t>
      </w:r>
    </w:p>
    <w:p w14:paraId="1E8D9239"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Maharashtra Economic Development Council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N.M. Desai</w:t>
      </w:r>
      <w:r w:rsidRPr="00AA6AF4">
        <w:rPr>
          <w:rFonts w:ascii="Times New Roman" w:hAnsi="Times New Roman" w:cs="Times New Roman"/>
          <w:sz w:val="16"/>
          <w:szCs w:val="16"/>
        </w:rPr>
        <w:br/>
      </w:r>
      <w:r w:rsidRPr="00AA6AF4">
        <w:rPr>
          <w:rFonts w:ascii="Times New Roman" w:hAnsi="Times New Roman" w:cs="Times New Roman"/>
          <w:sz w:val="16"/>
          <w:szCs w:val="16"/>
        </w:rPr>
        <w:t xml:space="preserve">(ii) Shri G.A. </w:t>
      </w:r>
      <w:proofErr w:type="spellStart"/>
      <w:r w:rsidRPr="00AA6AF4">
        <w:rPr>
          <w:rFonts w:ascii="Times New Roman" w:hAnsi="Times New Roman" w:cs="Times New Roman"/>
          <w:sz w:val="16"/>
          <w:szCs w:val="16"/>
        </w:rPr>
        <w:t>Newalkar</w:t>
      </w:r>
      <w:proofErr w:type="spellEnd"/>
      <w:r w:rsidRPr="00AA6AF4">
        <w:rPr>
          <w:rFonts w:ascii="Times New Roman" w:hAnsi="Times New Roman" w:cs="Times New Roman"/>
          <w:sz w:val="16"/>
          <w:szCs w:val="16"/>
        </w:rPr>
        <w:br/>
        <w:t xml:space="preserve">(iii) Dr. S.B. </w:t>
      </w:r>
      <w:proofErr w:type="spellStart"/>
      <w:r w:rsidRPr="00AA6AF4">
        <w:rPr>
          <w:rFonts w:ascii="Times New Roman" w:hAnsi="Times New Roman" w:cs="Times New Roman"/>
          <w:sz w:val="16"/>
          <w:szCs w:val="16"/>
        </w:rPr>
        <w:t>Sakhalkar</w:t>
      </w:r>
      <w:proofErr w:type="spellEnd"/>
    </w:p>
    <w:p w14:paraId="382F50B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K.A. Samuel and others, Federation of Indian Silk and Art Industry</w:t>
      </w:r>
    </w:p>
    <w:p w14:paraId="0A38B602"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Leaders of Opposition Parties in the State Legislature</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B.M. Gaikwad, M.L.A., Communist Party of India</w:t>
      </w:r>
      <w:r w:rsidRPr="00AA6AF4">
        <w:rPr>
          <w:rFonts w:ascii="Times New Roman" w:hAnsi="Times New Roman" w:cs="Times New Roman"/>
          <w:sz w:val="16"/>
          <w:szCs w:val="16"/>
        </w:rPr>
        <w:br/>
        <w:t>(ii) Dr. P.S. Kadam, M.L.A., (Independent)</w:t>
      </w:r>
      <w:r w:rsidRPr="00AA6AF4">
        <w:rPr>
          <w:rFonts w:ascii="Times New Roman" w:hAnsi="Times New Roman" w:cs="Times New Roman"/>
          <w:sz w:val="16"/>
          <w:szCs w:val="16"/>
        </w:rPr>
        <w:br/>
        <w:t>(iii) Shri Sadanand Warde, M.L.C., Janata Party</w:t>
      </w:r>
      <w:r w:rsidRPr="00AA6AF4">
        <w:rPr>
          <w:rFonts w:ascii="Times New Roman" w:hAnsi="Times New Roman" w:cs="Times New Roman"/>
          <w:sz w:val="16"/>
          <w:szCs w:val="16"/>
        </w:rPr>
        <w:br/>
        <w:t>(iv) Shri N.D. Patil, M.L.A., Peasants and Workers Party</w:t>
      </w:r>
      <w:r w:rsidRPr="00AA6AF4">
        <w:rPr>
          <w:rFonts w:ascii="Times New Roman" w:hAnsi="Times New Roman" w:cs="Times New Roman"/>
          <w:sz w:val="16"/>
          <w:szCs w:val="16"/>
        </w:rPr>
        <w:br/>
        <w:t>(v) Shri Manohar Joshi, M.L.C., Shiv Sena</w:t>
      </w:r>
      <w:r w:rsidRPr="00AA6AF4">
        <w:rPr>
          <w:rFonts w:ascii="Times New Roman" w:hAnsi="Times New Roman" w:cs="Times New Roman"/>
          <w:sz w:val="16"/>
          <w:szCs w:val="16"/>
        </w:rPr>
        <w:br/>
        <w:t>(vi) Shri Ram Naik, M.L.A., B.J.P.</w:t>
      </w:r>
      <w:r w:rsidRPr="00AA6AF4">
        <w:rPr>
          <w:rFonts w:ascii="Times New Roman" w:hAnsi="Times New Roman" w:cs="Times New Roman"/>
          <w:sz w:val="16"/>
          <w:szCs w:val="16"/>
        </w:rPr>
        <w:br/>
        <w:t>(vii) Shri Sudhir Joshi, M.L.C., Shiv Sena, (former Mayor of Bombay)</w:t>
      </w:r>
      <w:r w:rsidRPr="00AA6AF4">
        <w:rPr>
          <w:rFonts w:ascii="Times New Roman" w:hAnsi="Times New Roman" w:cs="Times New Roman"/>
          <w:sz w:val="16"/>
          <w:szCs w:val="16"/>
        </w:rPr>
        <w:br/>
        <w:t>(viii) Shri Madhu Deolekar, M.L.C., B.J.P.</w:t>
      </w:r>
    </w:p>
    <w:p w14:paraId="3CAB1450"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Bharatiya Janata Party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Sunder Kumar T. Rani, Leader, B.J.P. Corporation Group</w:t>
      </w:r>
      <w:r w:rsidRPr="00AA6AF4">
        <w:rPr>
          <w:rFonts w:ascii="Times New Roman" w:hAnsi="Times New Roman" w:cs="Times New Roman"/>
          <w:sz w:val="16"/>
          <w:szCs w:val="16"/>
        </w:rPr>
        <w:br/>
        <w:t>(ii) Shri Nanubhai Patel, Vice-President, B.J.P., President, F.A.M.</w:t>
      </w:r>
      <w:r w:rsidRPr="00AA6AF4">
        <w:rPr>
          <w:rFonts w:ascii="Times New Roman" w:hAnsi="Times New Roman" w:cs="Times New Roman"/>
          <w:sz w:val="16"/>
          <w:szCs w:val="16"/>
        </w:rPr>
        <w:br/>
        <w:t>(iii) Shri Kirit Somaiya, General Secretary, B.J.P., Chartered Accountant</w:t>
      </w:r>
      <w:r w:rsidRPr="00AA6AF4">
        <w:rPr>
          <w:rFonts w:ascii="Times New Roman" w:hAnsi="Times New Roman" w:cs="Times New Roman"/>
          <w:sz w:val="16"/>
          <w:szCs w:val="16"/>
        </w:rPr>
        <w:br/>
        <w:t>(iv) Shri Arun Sathe, Advocate, General Secretary, Bombay, B.J.P.</w:t>
      </w:r>
      <w:r w:rsidRPr="00AA6AF4">
        <w:rPr>
          <w:rFonts w:ascii="Times New Roman" w:hAnsi="Times New Roman" w:cs="Times New Roman"/>
          <w:sz w:val="16"/>
          <w:szCs w:val="16"/>
        </w:rPr>
        <w:br/>
        <w:t>(v) Shri Madhu Deolekar, M.L.C., General Secretary, B.J.P., Bombay</w:t>
      </w:r>
      <w:r w:rsidRPr="00AA6AF4">
        <w:rPr>
          <w:rFonts w:ascii="Times New Roman" w:hAnsi="Times New Roman" w:cs="Times New Roman"/>
          <w:sz w:val="16"/>
          <w:szCs w:val="16"/>
        </w:rPr>
        <w:br/>
        <w:t>(vi) Shri Ram Naik, M.L.A., Vice-President, B.J.P., State Unit</w:t>
      </w:r>
    </w:p>
    <w:p w14:paraId="0A3713A3"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Maharashtra State Government Employees' Federation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S.S. </w:t>
      </w:r>
      <w:proofErr w:type="spellStart"/>
      <w:r w:rsidRPr="00AA6AF4">
        <w:rPr>
          <w:rFonts w:ascii="Times New Roman" w:hAnsi="Times New Roman" w:cs="Times New Roman"/>
          <w:sz w:val="16"/>
          <w:szCs w:val="16"/>
        </w:rPr>
        <w:t>Acharekar</w:t>
      </w:r>
      <w:proofErr w:type="spellEnd"/>
      <w:r w:rsidRPr="00AA6AF4">
        <w:rPr>
          <w:rFonts w:ascii="Times New Roman" w:hAnsi="Times New Roman" w:cs="Times New Roman"/>
          <w:sz w:val="16"/>
          <w:szCs w:val="16"/>
        </w:rPr>
        <w:t>, Chairman, Maharashtra State Government Employees' Confederation</w:t>
      </w:r>
      <w:r w:rsidRPr="00AA6AF4">
        <w:rPr>
          <w:rFonts w:ascii="Times New Roman" w:hAnsi="Times New Roman" w:cs="Times New Roman"/>
          <w:sz w:val="16"/>
          <w:szCs w:val="16"/>
        </w:rPr>
        <w:br/>
        <w:t xml:space="preserve">(ii) Shri T.L. </w:t>
      </w:r>
      <w:proofErr w:type="spellStart"/>
      <w:r w:rsidRPr="00AA6AF4">
        <w:rPr>
          <w:rFonts w:ascii="Times New Roman" w:hAnsi="Times New Roman" w:cs="Times New Roman"/>
          <w:sz w:val="16"/>
          <w:szCs w:val="16"/>
        </w:rPr>
        <w:t>Manicar</w:t>
      </w:r>
      <w:proofErr w:type="spellEnd"/>
      <w:r w:rsidRPr="00AA6AF4">
        <w:rPr>
          <w:rFonts w:ascii="Times New Roman" w:hAnsi="Times New Roman" w:cs="Times New Roman"/>
          <w:sz w:val="16"/>
          <w:szCs w:val="16"/>
        </w:rPr>
        <w:t xml:space="preserve">, President, </w:t>
      </w:r>
      <w:proofErr w:type="spellStart"/>
      <w:r w:rsidRPr="00AA6AF4">
        <w:rPr>
          <w:rFonts w:ascii="Times New Roman" w:hAnsi="Times New Roman" w:cs="Times New Roman"/>
          <w:sz w:val="16"/>
          <w:szCs w:val="16"/>
        </w:rPr>
        <w:t>Mantralaya</w:t>
      </w:r>
      <w:proofErr w:type="spellEnd"/>
      <w:r w:rsidRPr="00AA6AF4">
        <w:rPr>
          <w:rFonts w:ascii="Times New Roman" w:hAnsi="Times New Roman" w:cs="Times New Roman"/>
          <w:sz w:val="16"/>
          <w:szCs w:val="16"/>
        </w:rPr>
        <w:t xml:space="preserve"> Employees' Association</w:t>
      </w:r>
      <w:r w:rsidRPr="00AA6AF4">
        <w:rPr>
          <w:rFonts w:ascii="Times New Roman" w:hAnsi="Times New Roman" w:cs="Times New Roman"/>
          <w:sz w:val="16"/>
          <w:szCs w:val="16"/>
        </w:rPr>
        <w:br/>
        <w:t>(iii) Shri Uttam Kamble, Secretary Class IV Employees' Association</w:t>
      </w:r>
      <w:r w:rsidRPr="00AA6AF4">
        <w:rPr>
          <w:rFonts w:ascii="Times New Roman" w:hAnsi="Times New Roman" w:cs="Times New Roman"/>
          <w:sz w:val="16"/>
          <w:szCs w:val="16"/>
        </w:rPr>
        <w:br/>
        <w:t>(iv) Shri S.N. Pansare, Joint Secretary, Gazetted Officers' Confederation</w:t>
      </w:r>
      <w:r w:rsidRPr="00AA6AF4">
        <w:rPr>
          <w:rFonts w:ascii="Times New Roman" w:hAnsi="Times New Roman" w:cs="Times New Roman"/>
          <w:sz w:val="16"/>
          <w:szCs w:val="16"/>
        </w:rPr>
        <w:br/>
        <w:t xml:space="preserve">(v) Shri G.D. </w:t>
      </w:r>
      <w:proofErr w:type="spellStart"/>
      <w:r w:rsidRPr="00AA6AF4">
        <w:rPr>
          <w:rFonts w:ascii="Times New Roman" w:hAnsi="Times New Roman" w:cs="Times New Roman"/>
          <w:sz w:val="16"/>
          <w:szCs w:val="16"/>
        </w:rPr>
        <w:t>Kulthe</w:t>
      </w:r>
      <w:proofErr w:type="spellEnd"/>
      <w:r w:rsidRPr="00AA6AF4">
        <w:rPr>
          <w:rFonts w:ascii="Times New Roman" w:hAnsi="Times New Roman" w:cs="Times New Roman"/>
          <w:sz w:val="16"/>
          <w:szCs w:val="16"/>
        </w:rPr>
        <w:t>, General Secretary, State Gazetted Officers' Confederation</w:t>
      </w:r>
      <w:r w:rsidRPr="00AA6AF4">
        <w:rPr>
          <w:rFonts w:ascii="Times New Roman" w:hAnsi="Times New Roman" w:cs="Times New Roman"/>
          <w:sz w:val="16"/>
          <w:szCs w:val="16"/>
        </w:rPr>
        <w:br/>
        <w:t>(vi) Shri N.V. Joshri, Vice-President, Maharashtra State Government Employees' Confederation</w:t>
      </w:r>
      <w:r w:rsidRPr="00AA6AF4">
        <w:rPr>
          <w:rFonts w:ascii="Times New Roman" w:hAnsi="Times New Roman" w:cs="Times New Roman"/>
          <w:sz w:val="16"/>
          <w:szCs w:val="16"/>
        </w:rPr>
        <w:br/>
        <w:t>(vii) Dr. S.S. Wagle, Economic Adviser, Maharashtra State Government Employees' Confederation</w:t>
      </w:r>
      <w:r w:rsidRPr="00AA6AF4">
        <w:rPr>
          <w:rFonts w:ascii="Times New Roman" w:hAnsi="Times New Roman" w:cs="Times New Roman"/>
          <w:sz w:val="16"/>
          <w:szCs w:val="16"/>
        </w:rPr>
        <w:br/>
        <w:t>(viii) Shri R.G. Karnik, General Secretary, Maharashtra State Government Employees' Confederation</w:t>
      </w:r>
    </w:p>
    <w:p w14:paraId="7DF90E22" w14:textId="77777777" w:rsidR="0057733B" w:rsidRPr="00AA6AF4" w:rsidRDefault="0057733B" w:rsidP="0057733B">
      <w:pPr>
        <w:spacing w:after="0" w:line="240" w:lineRule="auto"/>
        <w:ind w:firstLine="360"/>
        <w:jc w:val="both"/>
        <w:rPr>
          <w:rFonts w:ascii="Times New Roman" w:hAnsi="Times New Roman" w:cs="Times New Roman"/>
          <w:sz w:val="16"/>
          <w:szCs w:val="16"/>
        </w:rPr>
      </w:pPr>
      <w:r w:rsidRPr="00AA6AF4">
        <w:rPr>
          <w:rFonts w:ascii="Times New Roman" w:hAnsi="Times New Roman" w:cs="Times New Roman"/>
          <w:b/>
          <w:bCs/>
          <w:sz w:val="16"/>
          <w:szCs w:val="16"/>
        </w:rPr>
        <w:t>Manipur</w:t>
      </w:r>
    </w:p>
    <w:p w14:paraId="56A017D9"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Devendra Singh Speaker of the Legislative Assembly.</w:t>
      </w:r>
    </w:p>
    <w:p w14:paraId="56BFD671"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w:t>
      </w:r>
      <w:proofErr w:type="spellStart"/>
      <w:r w:rsidRPr="00AA6AF4">
        <w:rPr>
          <w:rFonts w:ascii="Times New Roman" w:hAnsi="Times New Roman" w:cs="Times New Roman"/>
          <w:sz w:val="16"/>
          <w:szCs w:val="16"/>
        </w:rPr>
        <w:t>Udhob</w:t>
      </w:r>
      <w:proofErr w:type="spellEnd"/>
      <w:r w:rsidRPr="00AA6AF4">
        <w:rPr>
          <w:rFonts w:ascii="Times New Roman" w:hAnsi="Times New Roman" w:cs="Times New Roman"/>
          <w:sz w:val="16"/>
          <w:szCs w:val="16"/>
        </w:rPr>
        <w:t xml:space="preserve"> Singh, Dy. Speaker and Chairman P.A.C.</w:t>
      </w:r>
    </w:p>
    <w:p w14:paraId="18929B7F"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A.S. Arthur, Dy. Chairman, State Planning Board.</w:t>
      </w:r>
    </w:p>
    <w:p w14:paraId="4B6426EF"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Sehpu Haokip MLA.</w:t>
      </w:r>
    </w:p>
    <w:p w14:paraId="5C3689D2"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University Teachers and College Teachers Association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Prof. K.J. Mahale, Vice Chancellor Manipur University, </w:t>
      </w:r>
      <w:proofErr w:type="spellStart"/>
      <w:r w:rsidRPr="00AA6AF4">
        <w:rPr>
          <w:rFonts w:ascii="Times New Roman" w:hAnsi="Times New Roman" w:cs="Times New Roman"/>
          <w:sz w:val="16"/>
          <w:szCs w:val="16"/>
        </w:rPr>
        <w:t>Canchipur</w:t>
      </w:r>
      <w:proofErr w:type="spellEnd"/>
      <w:r w:rsidRPr="00AA6AF4">
        <w:rPr>
          <w:rFonts w:ascii="Times New Roman" w:hAnsi="Times New Roman" w:cs="Times New Roman"/>
          <w:sz w:val="16"/>
          <w:szCs w:val="16"/>
        </w:rPr>
        <w:t>.</w:t>
      </w:r>
      <w:r w:rsidRPr="00AA6AF4">
        <w:rPr>
          <w:rFonts w:ascii="Times New Roman" w:hAnsi="Times New Roman" w:cs="Times New Roman"/>
          <w:sz w:val="16"/>
          <w:szCs w:val="16"/>
        </w:rPr>
        <w:br/>
        <w:t>(ii) Shri W.C. Sachdeva, F.O. Manipur University.</w:t>
      </w:r>
      <w:r w:rsidRPr="00AA6AF4">
        <w:rPr>
          <w:rFonts w:ascii="Times New Roman" w:hAnsi="Times New Roman" w:cs="Times New Roman"/>
          <w:sz w:val="16"/>
          <w:szCs w:val="16"/>
        </w:rPr>
        <w:br/>
        <w:t>(iii) Shri Nilamani Singh, General Secretary, All Manipur College Teachers' Association, Member, AMCTA.</w:t>
      </w:r>
      <w:r w:rsidRPr="00AA6AF4">
        <w:rPr>
          <w:rFonts w:ascii="Times New Roman" w:hAnsi="Times New Roman" w:cs="Times New Roman"/>
          <w:sz w:val="16"/>
          <w:szCs w:val="16"/>
        </w:rPr>
        <w:br/>
        <w:t>(iv) Shri Bhogendra Singh, Member, AMCTA.</w:t>
      </w:r>
      <w:r w:rsidRPr="00AA6AF4">
        <w:rPr>
          <w:rFonts w:ascii="Times New Roman" w:hAnsi="Times New Roman" w:cs="Times New Roman"/>
          <w:sz w:val="16"/>
          <w:szCs w:val="16"/>
        </w:rPr>
        <w:br/>
        <w:t xml:space="preserve">(v) Shri </w:t>
      </w:r>
      <w:proofErr w:type="spellStart"/>
      <w:r w:rsidRPr="00AA6AF4">
        <w:rPr>
          <w:rFonts w:ascii="Times New Roman" w:hAnsi="Times New Roman" w:cs="Times New Roman"/>
          <w:sz w:val="16"/>
          <w:szCs w:val="16"/>
        </w:rPr>
        <w:t>Ibopishak</w:t>
      </w:r>
      <w:proofErr w:type="spellEnd"/>
      <w:r w:rsidRPr="00AA6AF4">
        <w:rPr>
          <w:rFonts w:ascii="Times New Roman" w:hAnsi="Times New Roman" w:cs="Times New Roman"/>
          <w:sz w:val="16"/>
          <w:szCs w:val="16"/>
        </w:rPr>
        <w:t xml:space="preserve"> Singh, Member, AMCTA.</w:t>
      </w:r>
      <w:r w:rsidRPr="00AA6AF4">
        <w:rPr>
          <w:rFonts w:ascii="Times New Roman" w:hAnsi="Times New Roman" w:cs="Times New Roman"/>
          <w:sz w:val="16"/>
          <w:szCs w:val="16"/>
        </w:rPr>
        <w:br/>
        <w:t>(vi) Shri Jayanta Kumar Singh, Member, AMCTA.</w:t>
      </w:r>
      <w:r w:rsidRPr="00AA6AF4">
        <w:rPr>
          <w:rFonts w:ascii="Times New Roman" w:hAnsi="Times New Roman" w:cs="Times New Roman"/>
          <w:sz w:val="16"/>
          <w:szCs w:val="16"/>
        </w:rPr>
        <w:br/>
      </w:r>
      <w:r w:rsidRPr="00AA6AF4">
        <w:rPr>
          <w:rFonts w:ascii="Times New Roman" w:hAnsi="Times New Roman" w:cs="Times New Roman"/>
          <w:sz w:val="16"/>
          <w:szCs w:val="16"/>
        </w:rPr>
        <w:t xml:space="preserve">(vii) Shri R.K. </w:t>
      </w:r>
      <w:proofErr w:type="spellStart"/>
      <w:r w:rsidRPr="00AA6AF4">
        <w:rPr>
          <w:rFonts w:ascii="Times New Roman" w:hAnsi="Times New Roman" w:cs="Times New Roman"/>
          <w:sz w:val="16"/>
          <w:szCs w:val="16"/>
        </w:rPr>
        <w:t>Sanajnoba</w:t>
      </w:r>
      <w:proofErr w:type="spellEnd"/>
      <w:r w:rsidRPr="00AA6AF4">
        <w:rPr>
          <w:rFonts w:ascii="Times New Roman" w:hAnsi="Times New Roman" w:cs="Times New Roman"/>
          <w:sz w:val="16"/>
          <w:szCs w:val="16"/>
        </w:rPr>
        <w:t xml:space="preserve"> Singh, Member.</w:t>
      </w:r>
      <w:r w:rsidRPr="00AA6AF4">
        <w:rPr>
          <w:rFonts w:ascii="Times New Roman" w:hAnsi="Times New Roman" w:cs="Times New Roman"/>
          <w:sz w:val="16"/>
          <w:szCs w:val="16"/>
        </w:rPr>
        <w:br/>
        <w:t xml:space="preserve">(viii) Shri K. </w:t>
      </w:r>
      <w:proofErr w:type="spellStart"/>
      <w:r w:rsidRPr="00AA6AF4">
        <w:rPr>
          <w:rFonts w:ascii="Times New Roman" w:hAnsi="Times New Roman" w:cs="Times New Roman"/>
          <w:sz w:val="16"/>
          <w:szCs w:val="16"/>
        </w:rPr>
        <w:t>Nabachandra</w:t>
      </w:r>
      <w:proofErr w:type="spellEnd"/>
      <w:r w:rsidRPr="00AA6AF4">
        <w:rPr>
          <w:rFonts w:ascii="Times New Roman" w:hAnsi="Times New Roman" w:cs="Times New Roman"/>
          <w:sz w:val="16"/>
          <w:szCs w:val="16"/>
        </w:rPr>
        <w:t xml:space="preserve"> Sharma, Member, AMGOCTA.</w:t>
      </w:r>
      <w:r w:rsidRPr="00AA6AF4">
        <w:rPr>
          <w:rFonts w:ascii="Times New Roman" w:hAnsi="Times New Roman" w:cs="Times New Roman"/>
          <w:sz w:val="16"/>
          <w:szCs w:val="16"/>
        </w:rPr>
        <w:br/>
        <w:t>(ix) Shri Kishan Singh, Member, AMGOCTA.</w:t>
      </w:r>
      <w:r w:rsidRPr="00AA6AF4">
        <w:rPr>
          <w:rFonts w:ascii="Times New Roman" w:hAnsi="Times New Roman" w:cs="Times New Roman"/>
          <w:sz w:val="16"/>
          <w:szCs w:val="16"/>
        </w:rPr>
        <w:br/>
        <w:t xml:space="preserve">(x) Shri </w:t>
      </w:r>
      <w:proofErr w:type="spellStart"/>
      <w:r w:rsidRPr="00AA6AF4">
        <w:rPr>
          <w:rFonts w:ascii="Times New Roman" w:hAnsi="Times New Roman" w:cs="Times New Roman"/>
          <w:sz w:val="16"/>
          <w:szCs w:val="16"/>
        </w:rPr>
        <w:t>Ibotombi</w:t>
      </w:r>
      <w:proofErr w:type="spellEnd"/>
      <w:r w:rsidRPr="00AA6AF4">
        <w:rPr>
          <w:rFonts w:ascii="Times New Roman" w:hAnsi="Times New Roman" w:cs="Times New Roman"/>
          <w:sz w:val="16"/>
          <w:szCs w:val="16"/>
        </w:rPr>
        <w:t xml:space="preserve"> Singh, Member, AMGOCTA.</w:t>
      </w:r>
      <w:r w:rsidRPr="00AA6AF4">
        <w:rPr>
          <w:rFonts w:ascii="Times New Roman" w:hAnsi="Times New Roman" w:cs="Times New Roman"/>
          <w:sz w:val="16"/>
          <w:szCs w:val="16"/>
        </w:rPr>
        <w:br/>
        <w:t>(xi) Shri Latiff, Member, AMGOCTA.</w:t>
      </w:r>
      <w:r w:rsidRPr="00AA6AF4">
        <w:rPr>
          <w:rFonts w:ascii="Times New Roman" w:hAnsi="Times New Roman" w:cs="Times New Roman"/>
          <w:sz w:val="16"/>
          <w:szCs w:val="16"/>
        </w:rPr>
        <w:br/>
        <w:t xml:space="preserve">(xii) Shri K. </w:t>
      </w:r>
      <w:proofErr w:type="spellStart"/>
      <w:r w:rsidRPr="00AA6AF4">
        <w:rPr>
          <w:rFonts w:ascii="Times New Roman" w:hAnsi="Times New Roman" w:cs="Times New Roman"/>
          <w:sz w:val="16"/>
          <w:szCs w:val="16"/>
        </w:rPr>
        <w:t>Nabachandra</w:t>
      </w:r>
      <w:proofErr w:type="spellEnd"/>
      <w:r w:rsidRPr="00AA6AF4">
        <w:rPr>
          <w:rFonts w:ascii="Times New Roman" w:hAnsi="Times New Roman" w:cs="Times New Roman"/>
          <w:sz w:val="16"/>
          <w:szCs w:val="16"/>
        </w:rPr>
        <w:t xml:space="preserve"> Singh, Member, AMGOCTA.</w:t>
      </w:r>
      <w:r w:rsidRPr="00AA6AF4">
        <w:rPr>
          <w:rFonts w:ascii="Times New Roman" w:hAnsi="Times New Roman" w:cs="Times New Roman"/>
          <w:sz w:val="16"/>
          <w:szCs w:val="16"/>
        </w:rPr>
        <w:br/>
        <w:t>(xiii) Shri M. Jayant Kumar Singh, General Secretary, AMGOCTA.</w:t>
      </w:r>
    </w:p>
    <w:p w14:paraId="335225D1"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Joint Administrative Council of the All Manipur Trade Union Council and All Manipur Government Employees Organisation</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Joyachandra Singh, President.</w:t>
      </w:r>
      <w:r w:rsidRPr="00AA6AF4">
        <w:rPr>
          <w:rFonts w:ascii="Times New Roman" w:hAnsi="Times New Roman" w:cs="Times New Roman"/>
          <w:sz w:val="16"/>
          <w:szCs w:val="16"/>
        </w:rPr>
        <w:br/>
        <w:t>(ii) Shri Lalhari Singh, Vice-President.</w:t>
      </w:r>
      <w:r w:rsidRPr="00AA6AF4">
        <w:rPr>
          <w:rFonts w:ascii="Times New Roman" w:hAnsi="Times New Roman" w:cs="Times New Roman"/>
          <w:sz w:val="16"/>
          <w:szCs w:val="16"/>
        </w:rPr>
        <w:br/>
        <w:t>(iii) Shri Kesho Singh, Secretary General.</w:t>
      </w:r>
      <w:r w:rsidRPr="00AA6AF4">
        <w:rPr>
          <w:rFonts w:ascii="Times New Roman" w:hAnsi="Times New Roman" w:cs="Times New Roman"/>
          <w:sz w:val="16"/>
          <w:szCs w:val="16"/>
        </w:rPr>
        <w:br/>
        <w:t>(iv) Shri Tombi Singh, Secretary (Organisation)</w:t>
      </w:r>
      <w:r w:rsidRPr="00AA6AF4">
        <w:rPr>
          <w:rFonts w:ascii="Times New Roman" w:hAnsi="Times New Roman" w:cs="Times New Roman"/>
          <w:sz w:val="16"/>
          <w:szCs w:val="16"/>
        </w:rPr>
        <w:br/>
        <w:t xml:space="preserve">(v) Shri S. </w:t>
      </w:r>
      <w:proofErr w:type="spellStart"/>
      <w:r w:rsidRPr="00AA6AF4">
        <w:rPr>
          <w:rFonts w:ascii="Times New Roman" w:hAnsi="Times New Roman" w:cs="Times New Roman"/>
          <w:sz w:val="16"/>
          <w:szCs w:val="16"/>
        </w:rPr>
        <w:t>Ibobi</w:t>
      </w:r>
      <w:proofErr w:type="spellEnd"/>
      <w:r w:rsidRPr="00AA6AF4">
        <w:rPr>
          <w:rFonts w:ascii="Times New Roman" w:hAnsi="Times New Roman" w:cs="Times New Roman"/>
          <w:sz w:val="16"/>
          <w:szCs w:val="16"/>
        </w:rPr>
        <w:t xml:space="preserve"> Singh, Treasurer</w:t>
      </w:r>
      <w:r w:rsidRPr="00AA6AF4">
        <w:rPr>
          <w:rFonts w:ascii="Times New Roman" w:hAnsi="Times New Roman" w:cs="Times New Roman"/>
          <w:sz w:val="16"/>
          <w:szCs w:val="16"/>
        </w:rPr>
        <w:br/>
        <w:t>(vi) Shri A. Temba Singh, Secretary (Admn.)</w:t>
      </w:r>
      <w:r w:rsidRPr="00AA6AF4">
        <w:rPr>
          <w:rFonts w:ascii="Times New Roman" w:hAnsi="Times New Roman" w:cs="Times New Roman"/>
          <w:sz w:val="16"/>
          <w:szCs w:val="16"/>
        </w:rPr>
        <w:br/>
        <w:t>(vii) Shri S. Brajamani Singh, Editor, JAC, Bulletin.</w:t>
      </w:r>
    </w:p>
    <w:p w14:paraId="7181854F" w14:textId="77777777" w:rsidR="0057733B" w:rsidRPr="00AA6AF4" w:rsidRDefault="0057733B" w:rsidP="0057733B">
      <w:pPr>
        <w:spacing w:after="0" w:line="240" w:lineRule="auto"/>
        <w:jc w:val="both"/>
        <w:rPr>
          <w:rFonts w:ascii="Times New Roman" w:hAnsi="Times New Roman" w:cs="Times New Roman"/>
          <w:sz w:val="16"/>
          <w:szCs w:val="16"/>
        </w:rPr>
      </w:pPr>
      <w:r w:rsidRPr="00AA6AF4">
        <w:rPr>
          <w:rFonts w:ascii="Times New Roman" w:hAnsi="Times New Roman" w:cs="Times New Roman"/>
          <w:b/>
          <w:bCs/>
          <w:sz w:val="16"/>
          <w:szCs w:val="16"/>
        </w:rPr>
        <w:t>Meghalaya</w:t>
      </w:r>
    </w:p>
    <w:p w14:paraId="1B79DF10" w14:textId="61680B99"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Khasi Hills Autonomous District Council, Shillong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H.S. Lyngdoh, Chief Executive Member</w:t>
      </w:r>
    </w:p>
    <w:p w14:paraId="54BC08ED" w14:textId="77777777" w:rsidR="0057733B" w:rsidRPr="00AA6AF4" w:rsidRDefault="0057733B" w:rsidP="00E26F9D">
      <w:pPr>
        <w:spacing w:after="0" w:line="240" w:lineRule="auto"/>
        <w:ind w:left="720"/>
        <w:rPr>
          <w:rFonts w:ascii="Times New Roman" w:hAnsi="Times New Roman" w:cs="Times New Roman"/>
          <w:sz w:val="16"/>
          <w:szCs w:val="16"/>
        </w:rPr>
      </w:pP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T. W. </w:t>
      </w:r>
      <w:proofErr w:type="spellStart"/>
      <w:r w:rsidRPr="00AA6AF4">
        <w:rPr>
          <w:rFonts w:ascii="Times New Roman" w:hAnsi="Times New Roman" w:cs="Times New Roman"/>
          <w:sz w:val="16"/>
          <w:szCs w:val="16"/>
        </w:rPr>
        <w:t>Pakyntien</w:t>
      </w:r>
      <w:proofErr w:type="spellEnd"/>
      <w:r w:rsidRPr="00AA6AF4">
        <w:rPr>
          <w:rFonts w:ascii="Times New Roman" w:hAnsi="Times New Roman" w:cs="Times New Roman"/>
          <w:sz w:val="16"/>
          <w:szCs w:val="16"/>
        </w:rPr>
        <w:t>, Special Secretary</w:t>
      </w:r>
      <w:r w:rsidRPr="00AA6AF4">
        <w:rPr>
          <w:rFonts w:ascii="Times New Roman" w:hAnsi="Times New Roman" w:cs="Times New Roman"/>
          <w:sz w:val="16"/>
          <w:szCs w:val="16"/>
        </w:rPr>
        <w:br/>
        <w:t xml:space="preserve">(iii) Shri S.S. </w:t>
      </w:r>
      <w:proofErr w:type="spellStart"/>
      <w:r w:rsidRPr="00AA6AF4">
        <w:rPr>
          <w:rFonts w:ascii="Times New Roman" w:hAnsi="Times New Roman" w:cs="Times New Roman"/>
          <w:sz w:val="16"/>
          <w:szCs w:val="16"/>
        </w:rPr>
        <w:t>Rynjab</w:t>
      </w:r>
      <w:proofErr w:type="spellEnd"/>
      <w:r w:rsidRPr="00AA6AF4">
        <w:rPr>
          <w:rFonts w:ascii="Times New Roman" w:hAnsi="Times New Roman" w:cs="Times New Roman"/>
          <w:sz w:val="16"/>
          <w:szCs w:val="16"/>
        </w:rPr>
        <w:t>, Secretary</w:t>
      </w:r>
      <w:r w:rsidRPr="00AA6AF4">
        <w:rPr>
          <w:rFonts w:ascii="Times New Roman" w:hAnsi="Times New Roman" w:cs="Times New Roman"/>
          <w:sz w:val="16"/>
          <w:szCs w:val="16"/>
        </w:rPr>
        <w:br/>
        <w:t>(iv) Shri W.N. Lyngdoh, Special Officer</w:t>
      </w:r>
    </w:p>
    <w:p w14:paraId="4CAF5B11"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The Frontier Chambers of Commerce, Shillong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Pradip Choudhary</w:t>
      </w:r>
      <w:r w:rsidRPr="00AA6AF4">
        <w:rPr>
          <w:rFonts w:ascii="Times New Roman" w:hAnsi="Times New Roman" w:cs="Times New Roman"/>
          <w:sz w:val="16"/>
          <w:szCs w:val="16"/>
        </w:rPr>
        <w:br/>
        <w:t>(ii) Shri Vinod Kumar Agarwala</w:t>
      </w:r>
      <w:r w:rsidRPr="00AA6AF4">
        <w:rPr>
          <w:rFonts w:ascii="Times New Roman" w:hAnsi="Times New Roman" w:cs="Times New Roman"/>
          <w:sz w:val="16"/>
          <w:szCs w:val="16"/>
        </w:rPr>
        <w:br/>
        <w:t>(iii) Shri Krishna Kanta Ghosh</w:t>
      </w:r>
      <w:r w:rsidRPr="00AA6AF4">
        <w:rPr>
          <w:rFonts w:ascii="Times New Roman" w:hAnsi="Times New Roman" w:cs="Times New Roman"/>
          <w:sz w:val="16"/>
          <w:szCs w:val="16"/>
        </w:rPr>
        <w:br/>
        <w:t xml:space="preserve">(iv) Shri H.P. </w:t>
      </w:r>
      <w:proofErr w:type="spellStart"/>
      <w:r w:rsidRPr="00AA6AF4">
        <w:rPr>
          <w:rFonts w:ascii="Times New Roman" w:hAnsi="Times New Roman" w:cs="Times New Roman"/>
          <w:sz w:val="16"/>
          <w:szCs w:val="16"/>
        </w:rPr>
        <w:t>Tharad</w:t>
      </w:r>
      <w:proofErr w:type="spellEnd"/>
      <w:r w:rsidRPr="00AA6AF4">
        <w:rPr>
          <w:rFonts w:ascii="Times New Roman" w:hAnsi="Times New Roman" w:cs="Times New Roman"/>
          <w:sz w:val="16"/>
          <w:szCs w:val="16"/>
        </w:rPr>
        <w:t>, President</w:t>
      </w:r>
    </w:p>
    <w:p w14:paraId="7E457563"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All India Garo Union, Shillong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w:t>
      </w:r>
      <w:proofErr w:type="spellStart"/>
      <w:r w:rsidRPr="00AA6AF4">
        <w:rPr>
          <w:rFonts w:ascii="Times New Roman" w:hAnsi="Times New Roman" w:cs="Times New Roman"/>
          <w:sz w:val="16"/>
          <w:szCs w:val="16"/>
        </w:rPr>
        <w:t>Maljon</w:t>
      </w:r>
      <w:proofErr w:type="spellEnd"/>
      <w:r w:rsidRPr="00AA6AF4">
        <w:rPr>
          <w:rFonts w:ascii="Times New Roman" w:hAnsi="Times New Roman" w:cs="Times New Roman"/>
          <w:sz w:val="16"/>
          <w:szCs w:val="16"/>
        </w:rPr>
        <w:t xml:space="preserve"> M. Sangma, General Secretary</w:t>
      </w:r>
      <w:r w:rsidRPr="00AA6AF4">
        <w:rPr>
          <w:rFonts w:ascii="Times New Roman" w:hAnsi="Times New Roman" w:cs="Times New Roman"/>
          <w:sz w:val="16"/>
          <w:szCs w:val="16"/>
        </w:rPr>
        <w:br/>
        <w:t xml:space="preserve">(ii) Shri </w:t>
      </w:r>
      <w:proofErr w:type="spellStart"/>
      <w:r w:rsidRPr="00AA6AF4">
        <w:rPr>
          <w:rFonts w:ascii="Times New Roman" w:hAnsi="Times New Roman" w:cs="Times New Roman"/>
          <w:sz w:val="16"/>
          <w:szCs w:val="16"/>
        </w:rPr>
        <w:t>Thrumen</w:t>
      </w:r>
      <w:proofErr w:type="spellEnd"/>
      <w:r w:rsidRPr="00AA6AF4">
        <w:rPr>
          <w:rFonts w:ascii="Times New Roman" w:hAnsi="Times New Roman" w:cs="Times New Roman"/>
          <w:sz w:val="16"/>
          <w:szCs w:val="16"/>
        </w:rPr>
        <w:t xml:space="preserve"> M. Sangma, Member</w:t>
      </w:r>
      <w:r w:rsidRPr="00AA6AF4">
        <w:rPr>
          <w:rFonts w:ascii="Times New Roman" w:hAnsi="Times New Roman" w:cs="Times New Roman"/>
          <w:sz w:val="16"/>
          <w:szCs w:val="16"/>
        </w:rPr>
        <w:br/>
        <w:t>(iii) Smt. Jennifer Aiengh, Member</w:t>
      </w:r>
      <w:r w:rsidRPr="00AA6AF4">
        <w:rPr>
          <w:rFonts w:ascii="Times New Roman" w:hAnsi="Times New Roman" w:cs="Times New Roman"/>
          <w:sz w:val="16"/>
          <w:szCs w:val="16"/>
        </w:rPr>
        <w:br/>
        <w:t xml:space="preserve">(iv) Smt. </w:t>
      </w:r>
      <w:proofErr w:type="spellStart"/>
      <w:r w:rsidRPr="00AA6AF4">
        <w:rPr>
          <w:rFonts w:ascii="Times New Roman" w:hAnsi="Times New Roman" w:cs="Times New Roman"/>
          <w:sz w:val="16"/>
          <w:szCs w:val="16"/>
        </w:rPr>
        <w:t>Jentila</w:t>
      </w:r>
      <w:proofErr w:type="spellEnd"/>
      <w:r w:rsidRPr="00AA6AF4">
        <w:rPr>
          <w:rFonts w:ascii="Times New Roman" w:hAnsi="Times New Roman" w:cs="Times New Roman"/>
          <w:sz w:val="16"/>
          <w:szCs w:val="16"/>
        </w:rPr>
        <w:t xml:space="preserve"> Marak, Member</w:t>
      </w:r>
      <w:r w:rsidRPr="00AA6AF4">
        <w:rPr>
          <w:rFonts w:ascii="Times New Roman" w:hAnsi="Times New Roman" w:cs="Times New Roman"/>
          <w:sz w:val="16"/>
          <w:szCs w:val="16"/>
        </w:rPr>
        <w:br/>
        <w:t>(v) Shri Kamath R. Marak, Member</w:t>
      </w:r>
    </w:p>
    <w:p w14:paraId="49B54B7A" w14:textId="77777777" w:rsidR="0057733B" w:rsidRPr="00AA6AF4" w:rsidRDefault="0057733B" w:rsidP="0057733B">
      <w:pPr>
        <w:spacing w:after="0" w:line="240" w:lineRule="auto"/>
        <w:ind w:left="720"/>
        <w:jc w:val="both"/>
        <w:rPr>
          <w:rFonts w:ascii="Times New Roman" w:hAnsi="Times New Roman" w:cs="Times New Roman"/>
          <w:sz w:val="16"/>
          <w:szCs w:val="16"/>
        </w:rPr>
      </w:pPr>
      <w:r w:rsidRPr="00AA6AF4">
        <w:rPr>
          <w:rFonts w:ascii="Times New Roman" w:hAnsi="Times New Roman" w:cs="Times New Roman"/>
          <w:b/>
          <w:bCs/>
          <w:sz w:val="16"/>
          <w:szCs w:val="16"/>
        </w:rPr>
        <w:t>Orissa</w:t>
      </w:r>
    </w:p>
    <w:p w14:paraId="4B1D728B"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Members of Parliament</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S.K. Sahu</w:t>
      </w:r>
      <w:r w:rsidRPr="00AA6AF4">
        <w:rPr>
          <w:rFonts w:ascii="Times New Roman" w:hAnsi="Times New Roman" w:cs="Times New Roman"/>
          <w:sz w:val="16"/>
          <w:szCs w:val="16"/>
        </w:rPr>
        <w:br/>
        <w:t>(ii) Shri K.C. Lamba</w:t>
      </w:r>
      <w:r w:rsidRPr="00AA6AF4">
        <w:rPr>
          <w:rFonts w:ascii="Times New Roman" w:hAnsi="Times New Roman" w:cs="Times New Roman"/>
          <w:sz w:val="16"/>
          <w:szCs w:val="16"/>
        </w:rPr>
        <w:br/>
        <w:t>(iii) Shri Somnath Rath</w:t>
      </w:r>
      <w:r w:rsidRPr="00AA6AF4">
        <w:rPr>
          <w:rFonts w:ascii="Times New Roman" w:hAnsi="Times New Roman" w:cs="Times New Roman"/>
          <w:sz w:val="16"/>
          <w:szCs w:val="16"/>
        </w:rPr>
        <w:br/>
        <w:t xml:space="preserve">(iv) Shri K. </w:t>
      </w:r>
      <w:proofErr w:type="spellStart"/>
      <w:r w:rsidRPr="00AA6AF4">
        <w:rPr>
          <w:rFonts w:ascii="Times New Roman" w:hAnsi="Times New Roman" w:cs="Times New Roman"/>
          <w:sz w:val="16"/>
          <w:szCs w:val="16"/>
        </w:rPr>
        <w:t>Pradhani</w:t>
      </w:r>
      <w:proofErr w:type="spellEnd"/>
      <w:r w:rsidRPr="00AA6AF4">
        <w:rPr>
          <w:rFonts w:ascii="Times New Roman" w:hAnsi="Times New Roman" w:cs="Times New Roman"/>
          <w:sz w:val="16"/>
          <w:szCs w:val="16"/>
        </w:rPr>
        <w:br/>
        <w:t>(v) Shri B.D. Mahapatra</w:t>
      </w:r>
      <w:r w:rsidRPr="00AA6AF4">
        <w:rPr>
          <w:rFonts w:ascii="Times New Roman" w:hAnsi="Times New Roman" w:cs="Times New Roman"/>
          <w:sz w:val="16"/>
          <w:szCs w:val="16"/>
        </w:rPr>
        <w:br/>
        <w:t>(vi) Shri A.P. Sethi</w:t>
      </w:r>
      <w:r w:rsidRPr="00AA6AF4">
        <w:rPr>
          <w:rFonts w:ascii="Times New Roman" w:hAnsi="Times New Roman" w:cs="Times New Roman"/>
          <w:sz w:val="16"/>
          <w:szCs w:val="16"/>
        </w:rPr>
        <w:br/>
        <w:t>(vii) Shri Chintamani Jena</w:t>
      </w:r>
      <w:r w:rsidRPr="00AA6AF4">
        <w:rPr>
          <w:rFonts w:ascii="Times New Roman" w:hAnsi="Times New Roman" w:cs="Times New Roman"/>
          <w:sz w:val="16"/>
          <w:szCs w:val="16"/>
        </w:rPr>
        <w:br/>
        <w:t xml:space="preserve">(viii) Shri </w:t>
      </w:r>
      <w:proofErr w:type="spellStart"/>
      <w:r w:rsidRPr="00AA6AF4">
        <w:rPr>
          <w:rFonts w:ascii="Times New Roman" w:hAnsi="Times New Roman" w:cs="Times New Roman"/>
          <w:sz w:val="16"/>
          <w:szCs w:val="16"/>
        </w:rPr>
        <w:t>Jagnath</w:t>
      </w:r>
      <w:proofErr w:type="spellEnd"/>
      <w:r w:rsidRPr="00AA6AF4">
        <w:rPr>
          <w:rFonts w:ascii="Times New Roman" w:hAnsi="Times New Roman" w:cs="Times New Roman"/>
          <w:sz w:val="16"/>
          <w:szCs w:val="16"/>
        </w:rPr>
        <w:t xml:space="preserve"> Patnaik</w:t>
      </w:r>
      <w:r w:rsidRPr="00AA6AF4">
        <w:rPr>
          <w:rFonts w:ascii="Times New Roman" w:hAnsi="Times New Roman" w:cs="Times New Roman"/>
          <w:sz w:val="16"/>
          <w:szCs w:val="16"/>
        </w:rPr>
        <w:br/>
        <w:t>(ix) Shri Brij Mohan Mohanty</w:t>
      </w:r>
      <w:r w:rsidRPr="00AA6AF4">
        <w:rPr>
          <w:rFonts w:ascii="Times New Roman" w:hAnsi="Times New Roman" w:cs="Times New Roman"/>
          <w:sz w:val="16"/>
          <w:szCs w:val="16"/>
        </w:rPr>
        <w:br/>
        <w:t>(x) Shri Lakshaman Mallick</w:t>
      </w:r>
      <w:r w:rsidRPr="00AA6AF4">
        <w:rPr>
          <w:rFonts w:ascii="Times New Roman" w:hAnsi="Times New Roman" w:cs="Times New Roman"/>
          <w:sz w:val="16"/>
          <w:szCs w:val="16"/>
        </w:rPr>
        <w:br/>
        <w:t xml:space="preserve">(xi) Shri </w:t>
      </w:r>
      <w:proofErr w:type="spellStart"/>
      <w:r w:rsidRPr="00AA6AF4">
        <w:rPr>
          <w:rFonts w:ascii="Times New Roman" w:hAnsi="Times New Roman" w:cs="Times New Roman"/>
          <w:sz w:val="16"/>
          <w:szCs w:val="16"/>
        </w:rPr>
        <w:t>Ballau</w:t>
      </w:r>
      <w:proofErr w:type="spellEnd"/>
      <w:r w:rsidRPr="00AA6AF4">
        <w:rPr>
          <w:rFonts w:ascii="Times New Roman" w:hAnsi="Times New Roman" w:cs="Times New Roman"/>
          <w:sz w:val="16"/>
          <w:szCs w:val="16"/>
        </w:rPr>
        <w:t xml:space="preserve"> Panigrahi</w:t>
      </w:r>
      <w:r w:rsidRPr="00AA6AF4">
        <w:rPr>
          <w:rFonts w:ascii="Times New Roman" w:hAnsi="Times New Roman" w:cs="Times New Roman"/>
          <w:sz w:val="16"/>
          <w:szCs w:val="16"/>
        </w:rPr>
        <w:br/>
        <w:t>(xii) Shrimati Jayanti Patnaik</w:t>
      </w:r>
      <w:r w:rsidRPr="00AA6AF4">
        <w:rPr>
          <w:rFonts w:ascii="Times New Roman" w:hAnsi="Times New Roman" w:cs="Times New Roman"/>
          <w:sz w:val="16"/>
          <w:szCs w:val="16"/>
        </w:rPr>
        <w:br/>
        <w:t>(xiii) Shri K.P. Singh Deo</w:t>
      </w:r>
      <w:r w:rsidRPr="00AA6AF4">
        <w:rPr>
          <w:rFonts w:ascii="Times New Roman" w:hAnsi="Times New Roman" w:cs="Times New Roman"/>
          <w:sz w:val="16"/>
          <w:szCs w:val="16"/>
        </w:rPr>
        <w:br/>
        <w:t>(xiv) Shri Nityananda Mishra.</w:t>
      </w:r>
    </w:p>
    <w:p w14:paraId="43C01590"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Members of Legislative Assembly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Trilochan Kanungo, MLA</w:t>
      </w:r>
      <w:r w:rsidRPr="00AA6AF4">
        <w:rPr>
          <w:rFonts w:ascii="Times New Roman" w:hAnsi="Times New Roman" w:cs="Times New Roman"/>
          <w:sz w:val="16"/>
          <w:szCs w:val="16"/>
        </w:rPr>
        <w:br/>
        <w:t xml:space="preserve">(ii) Dr. Sradha Kar </w:t>
      </w:r>
      <w:proofErr w:type="spellStart"/>
      <w:r w:rsidRPr="00AA6AF4">
        <w:rPr>
          <w:rFonts w:ascii="Times New Roman" w:hAnsi="Times New Roman" w:cs="Times New Roman"/>
          <w:sz w:val="16"/>
          <w:szCs w:val="16"/>
        </w:rPr>
        <w:t>Supakar</w:t>
      </w:r>
      <w:proofErr w:type="spellEnd"/>
      <w:r w:rsidRPr="00AA6AF4">
        <w:rPr>
          <w:rFonts w:ascii="Times New Roman" w:hAnsi="Times New Roman" w:cs="Times New Roman"/>
          <w:sz w:val="16"/>
          <w:szCs w:val="16"/>
        </w:rPr>
        <w:t>, MLA</w:t>
      </w:r>
      <w:r w:rsidRPr="00AA6AF4">
        <w:rPr>
          <w:rFonts w:ascii="Times New Roman" w:hAnsi="Times New Roman" w:cs="Times New Roman"/>
          <w:sz w:val="16"/>
          <w:szCs w:val="16"/>
        </w:rPr>
        <w:br/>
        <w:t>(iii) Shri Habibulla Khan, Minister of State Community Development and Rural Reconstruction, Orissa.</w:t>
      </w:r>
    </w:p>
    <w:p w14:paraId="3B0811B3"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The Coordination Committee of Service Associations Gazetted Officers of Orissa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L.M. Patra</w:t>
      </w:r>
      <w:r w:rsidRPr="00AA6AF4">
        <w:rPr>
          <w:rFonts w:ascii="Times New Roman" w:hAnsi="Times New Roman" w:cs="Times New Roman"/>
          <w:sz w:val="16"/>
          <w:szCs w:val="16"/>
        </w:rPr>
        <w:br/>
        <w:t>(ii) Shri G.C. Das</w:t>
      </w:r>
      <w:r w:rsidRPr="00AA6AF4">
        <w:rPr>
          <w:rFonts w:ascii="Times New Roman" w:hAnsi="Times New Roman" w:cs="Times New Roman"/>
          <w:sz w:val="16"/>
          <w:szCs w:val="16"/>
        </w:rPr>
        <w:br/>
        <w:t>(iii) Shri Manmath Das</w:t>
      </w:r>
      <w:r w:rsidRPr="00AA6AF4">
        <w:rPr>
          <w:rFonts w:ascii="Times New Roman" w:hAnsi="Times New Roman" w:cs="Times New Roman"/>
          <w:sz w:val="16"/>
          <w:szCs w:val="16"/>
        </w:rPr>
        <w:br/>
        <w:t>(iv) Shri Govind Chand Panda</w:t>
      </w:r>
      <w:r w:rsidRPr="00AA6AF4">
        <w:rPr>
          <w:rFonts w:ascii="Times New Roman" w:hAnsi="Times New Roman" w:cs="Times New Roman"/>
          <w:sz w:val="16"/>
          <w:szCs w:val="16"/>
        </w:rPr>
        <w:br/>
        <w:t>(v) Shri Satyabadi Mishra</w:t>
      </w:r>
      <w:r w:rsidRPr="00AA6AF4">
        <w:rPr>
          <w:rFonts w:ascii="Times New Roman" w:hAnsi="Times New Roman" w:cs="Times New Roman"/>
          <w:sz w:val="16"/>
          <w:szCs w:val="16"/>
        </w:rPr>
        <w:br/>
      </w:r>
      <w:r w:rsidRPr="00AA6AF4">
        <w:rPr>
          <w:rFonts w:ascii="Times New Roman" w:hAnsi="Times New Roman" w:cs="Times New Roman"/>
          <w:sz w:val="16"/>
          <w:szCs w:val="16"/>
        </w:rPr>
        <w:lastRenderedPageBreak/>
        <w:t>(vi) Shri Radha Nath Nanda</w:t>
      </w:r>
      <w:r w:rsidRPr="00AA6AF4">
        <w:rPr>
          <w:rFonts w:ascii="Times New Roman" w:hAnsi="Times New Roman" w:cs="Times New Roman"/>
          <w:sz w:val="16"/>
          <w:szCs w:val="16"/>
        </w:rPr>
        <w:br/>
        <w:t>(vii) Shri Gajendra Nath Baral</w:t>
      </w:r>
    </w:p>
    <w:p w14:paraId="3F9BD871"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Action Committee of Orissa State Non-Gazetted Officers Committee Bhubaneshwar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Sarda Prasad Mohanty</w:t>
      </w:r>
      <w:r w:rsidRPr="00AA6AF4">
        <w:rPr>
          <w:rFonts w:ascii="Times New Roman" w:hAnsi="Times New Roman" w:cs="Times New Roman"/>
          <w:sz w:val="16"/>
          <w:szCs w:val="16"/>
        </w:rPr>
        <w:br/>
        <w:t>(ii) Shri P.P. Panda</w:t>
      </w:r>
      <w:r w:rsidRPr="00AA6AF4">
        <w:rPr>
          <w:rFonts w:ascii="Times New Roman" w:hAnsi="Times New Roman" w:cs="Times New Roman"/>
          <w:sz w:val="16"/>
          <w:szCs w:val="16"/>
        </w:rPr>
        <w:br/>
        <w:t>(iii) Shri G Mohan Sale</w:t>
      </w:r>
      <w:r w:rsidRPr="00AA6AF4">
        <w:rPr>
          <w:rFonts w:ascii="Times New Roman" w:hAnsi="Times New Roman" w:cs="Times New Roman"/>
          <w:sz w:val="16"/>
          <w:szCs w:val="16"/>
        </w:rPr>
        <w:br/>
        <w:t>(iv) Shri Sadasib Mishra</w:t>
      </w:r>
    </w:p>
    <w:p w14:paraId="58CB4DC7" w14:textId="77777777" w:rsidR="0057733B" w:rsidRPr="00AA6AF4" w:rsidRDefault="0057733B" w:rsidP="0057733B">
      <w:pPr>
        <w:spacing w:after="0" w:line="240" w:lineRule="auto"/>
        <w:ind w:left="720"/>
        <w:jc w:val="both"/>
        <w:rPr>
          <w:rFonts w:ascii="Times New Roman" w:hAnsi="Times New Roman" w:cs="Times New Roman"/>
          <w:sz w:val="16"/>
          <w:szCs w:val="16"/>
        </w:rPr>
      </w:pPr>
      <w:r w:rsidRPr="00AA6AF4">
        <w:rPr>
          <w:rFonts w:ascii="Times New Roman" w:hAnsi="Times New Roman" w:cs="Times New Roman"/>
          <w:b/>
          <w:bCs/>
          <w:sz w:val="16"/>
          <w:szCs w:val="16"/>
        </w:rPr>
        <w:t>Punjab</w:t>
      </w:r>
    </w:p>
    <w:p w14:paraId="0A73A642"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Capt. Rattan Singh, former Minister, Punjab</w:t>
      </w:r>
    </w:p>
    <w:p w14:paraId="11BDF916"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Jagjit Singh Ghungarana, Progressive Farmer</w:t>
      </w:r>
    </w:p>
    <w:p w14:paraId="400982EE"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Delegation of PHD Chambers of Commerce and Industry (led by Shri Manmohan Singh)</w:t>
      </w:r>
    </w:p>
    <w:p w14:paraId="47F0B84E" w14:textId="77777777" w:rsidR="0057733B" w:rsidRPr="00AA6AF4" w:rsidRDefault="0057733B" w:rsidP="0057733B">
      <w:pPr>
        <w:spacing w:after="0" w:line="240" w:lineRule="auto"/>
        <w:ind w:left="720"/>
        <w:jc w:val="both"/>
        <w:rPr>
          <w:rFonts w:ascii="Times New Roman" w:hAnsi="Times New Roman" w:cs="Times New Roman"/>
          <w:sz w:val="16"/>
          <w:szCs w:val="16"/>
        </w:rPr>
      </w:pPr>
      <w:r w:rsidRPr="00AA6AF4">
        <w:rPr>
          <w:rFonts w:ascii="Times New Roman" w:hAnsi="Times New Roman" w:cs="Times New Roman"/>
          <w:b/>
          <w:bCs/>
          <w:sz w:val="16"/>
          <w:szCs w:val="16"/>
        </w:rPr>
        <w:t>Rajasthan</w:t>
      </w:r>
    </w:p>
    <w:p w14:paraId="78DB6BFD"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Rajasthan Chamber of Commerce and Industry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K.L. Jain, Honorary General Secretary.</w:t>
      </w:r>
      <w:r w:rsidRPr="00AA6AF4">
        <w:rPr>
          <w:rFonts w:ascii="Times New Roman" w:hAnsi="Times New Roman" w:cs="Times New Roman"/>
          <w:sz w:val="16"/>
          <w:szCs w:val="16"/>
        </w:rPr>
        <w:br/>
        <w:t>(ii) Shri M.R. Verma, Member, Executive Committee.</w:t>
      </w:r>
      <w:r w:rsidRPr="00AA6AF4">
        <w:rPr>
          <w:rFonts w:ascii="Times New Roman" w:hAnsi="Times New Roman" w:cs="Times New Roman"/>
          <w:sz w:val="16"/>
          <w:szCs w:val="16"/>
        </w:rPr>
        <w:br/>
        <w:t>(iii) Shri S.C. Handa, Economist.</w:t>
      </w:r>
      <w:r w:rsidRPr="00AA6AF4">
        <w:rPr>
          <w:rFonts w:ascii="Times New Roman" w:hAnsi="Times New Roman" w:cs="Times New Roman"/>
          <w:sz w:val="16"/>
          <w:szCs w:val="16"/>
        </w:rPr>
        <w:br/>
        <w:t xml:space="preserve">(iv) Shri R.B. </w:t>
      </w:r>
      <w:proofErr w:type="spellStart"/>
      <w:r w:rsidRPr="00AA6AF4">
        <w:rPr>
          <w:rFonts w:ascii="Times New Roman" w:hAnsi="Times New Roman" w:cs="Times New Roman"/>
          <w:sz w:val="16"/>
          <w:szCs w:val="16"/>
        </w:rPr>
        <w:t>Sexena</w:t>
      </w:r>
      <w:proofErr w:type="spellEnd"/>
      <w:r w:rsidRPr="00AA6AF4">
        <w:rPr>
          <w:rFonts w:ascii="Times New Roman" w:hAnsi="Times New Roman" w:cs="Times New Roman"/>
          <w:sz w:val="16"/>
          <w:szCs w:val="16"/>
        </w:rPr>
        <w:t>, Secretary, RCCI.</w:t>
      </w:r>
      <w:r w:rsidRPr="00AA6AF4">
        <w:rPr>
          <w:rFonts w:ascii="Times New Roman" w:hAnsi="Times New Roman" w:cs="Times New Roman"/>
          <w:sz w:val="16"/>
          <w:szCs w:val="16"/>
        </w:rPr>
        <w:br/>
        <w:t>(v) Shri M.D. Agrawal, Vice President, RCCI.</w:t>
      </w:r>
    </w:p>
    <w:p w14:paraId="14CAB915" w14:textId="77777777" w:rsidR="0057733B" w:rsidRPr="00AA6AF4" w:rsidRDefault="0057733B" w:rsidP="00E26F9D">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Member Parliament/Member Legislative Assembly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Shankar Lal, MP, (Lok Sabha)</w:t>
      </w:r>
      <w:r w:rsidRPr="00AA6AF4">
        <w:rPr>
          <w:rFonts w:ascii="Times New Roman" w:hAnsi="Times New Roman" w:cs="Times New Roman"/>
          <w:sz w:val="16"/>
          <w:szCs w:val="16"/>
        </w:rPr>
        <w:br/>
        <w:t>(ii) Shri Banwari Lal Berwa, MP, (Lok Sabha)</w:t>
      </w:r>
      <w:r w:rsidRPr="00AA6AF4">
        <w:rPr>
          <w:rFonts w:ascii="Times New Roman" w:hAnsi="Times New Roman" w:cs="Times New Roman"/>
          <w:sz w:val="16"/>
          <w:szCs w:val="16"/>
        </w:rPr>
        <w:br/>
        <w:t>(iii) Shri Bhuvnesh Chaturvedi, MP, (Rajya Sabha)</w:t>
      </w:r>
      <w:r w:rsidRPr="00AA6AF4">
        <w:rPr>
          <w:rFonts w:ascii="Times New Roman" w:hAnsi="Times New Roman" w:cs="Times New Roman"/>
          <w:sz w:val="16"/>
          <w:szCs w:val="16"/>
        </w:rPr>
        <w:br/>
        <w:t>(iv) Shri Bhudhar Mal Verma, MLA</w:t>
      </w:r>
      <w:r w:rsidRPr="00AA6AF4">
        <w:rPr>
          <w:rFonts w:ascii="Times New Roman" w:hAnsi="Times New Roman" w:cs="Times New Roman"/>
          <w:sz w:val="16"/>
          <w:szCs w:val="16"/>
        </w:rPr>
        <w:br/>
        <w:t>(v) Shri Pankaj Pancholi, MLA</w:t>
      </w:r>
    </w:p>
    <w:p w14:paraId="402B0AF5"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All Rajasthan State Government Employees Federation represented by Shri Udai Singh Rathor, Chairman.</w:t>
      </w:r>
    </w:p>
    <w:p w14:paraId="4E5038E9"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National Federation of State Government represented by Shri Mohan Lal Jain, President.</w:t>
      </w:r>
    </w:p>
    <w:p w14:paraId="76A42FA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M.V. Mathur, Professor, Ex-Vice Chancellor, University of Rajasthan.</w:t>
      </w:r>
    </w:p>
    <w:p w14:paraId="13C5719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Bhairon Singh Shekhawat, Leader of the Opposition in the State Assembly.</w:t>
      </w:r>
    </w:p>
    <w:p w14:paraId="18A45A65"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B.L. </w:t>
      </w:r>
      <w:proofErr w:type="spellStart"/>
      <w:r w:rsidRPr="00AA6AF4">
        <w:rPr>
          <w:rFonts w:ascii="Times New Roman" w:hAnsi="Times New Roman" w:cs="Times New Roman"/>
          <w:sz w:val="16"/>
          <w:szCs w:val="16"/>
        </w:rPr>
        <w:t>Panagaria</w:t>
      </w:r>
      <w:proofErr w:type="spellEnd"/>
    </w:p>
    <w:p w14:paraId="742C9DAB" w14:textId="77777777" w:rsidR="0057733B" w:rsidRPr="00AA6AF4" w:rsidRDefault="0057733B" w:rsidP="0057733B">
      <w:pPr>
        <w:spacing w:after="0" w:line="240" w:lineRule="auto"/>
        <w:ind w:left="720"/>
        <w:jc w:val="both"/>
        <w:rPr>
          <w:rFonts w:ascii="Times New Roman" w:hAnsi="Times New Roman" w:cs="Times New Roman"/>
          <w:sz w:val="16"/>
          <w:szCs w:val="16"/>
        </w:rPr>
      </w:pPr>
      <w:r w:rsidRPr="00AA6AF4">
        <w:rPr>
          <w:rFonts w:ascii="Times New Roman" w:hAnsi="Times New Roman" w:cs="Times New Roman"/>
          <w:b/>
          <w:bCs/>
          <w:sz w:val="16"/>
          <w:szCs w:val="16"/>
        </w:rPr>
        <w:t>Tamil Nadu</w:t>
      </w:r>
    </w:p>
    <w:p w14:paraId="6EA9A62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 Thirunavukkarasu, Dy. Leader of the Opposition Parties in the State Legislature.</w:t>
      </w:r>
    </w:p>
    <w:p w14:paraId="7D58EC54"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W.R. Varadarajan, Leader of the State Communist Party</w:t>
      </w:r>
    </w:p>
    <w:p w14:paraId="576F4694"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D. Vasikaran, President, All India Minority Party.</w:t>
      </w:r>
    </w:p>
    <w:p w14:paraId="62F3838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Siva Ilango, President, Tamil Nadu Government Officials Union.</w:t>
      </w:r>
    </w:p>
    <w:p w14:paraId="330A34E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Dr. Malcolm S. </w:t>
      </w:r>
      <w:proofErr w:type="spellStart"/>
      <w:r w:rsidRPr="00AA6AF4">
        <w:rPr>
          <w:rFonts w:ascii="Times New Roman" w:hAnsi="Times New Roman" w:cs="Times New Roman"/>
          <w:sz w:val="16"/>
          <w:szCs w:val="16"/>
        </w:rPr>
        <w:t>Adiseshiah</w:t>
      </w:r>
      <w:proofErr w:type="spellEnd"/>
      <w:r w:rsidRPr="00AA6AF4">
        <w:rPr>
          <w:rFonts w:ascii="Times New Roman" w:hAnsi="Times New Roman" w:cs="Times New Roman"/>
          <w:sz w:val="16"/>
          <w:szCs w:val="16"/>
        </w:rPr>
        <w:t xml:space="preserve"> Chairman, Madras Institute of Development Studies.</w:t>
      </w:r>
    </w:p>
    <w:p w14:paraId="299D423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P. C. Mathew, Former Member-Secretary, Fourth Finance Commission, 10, 3rd Avenue, Harrington Road, Madras 600 031.</w:t>
      </w:r>
    </w:p>
    <w:p w14:paraId="1102E558"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Dr. </w:t>
      </w:r>
      <w:proofErr w:type="spellStart"/>
      <w:r w:rsidRPr="00AA6AF4">
        <w:rPr>
          <w:rFonts w:ascii="Times New Roman" w:hAnsi="Times New Roman" w:cs="Times New Roman"/>
          <w:sz w:val="16"/>
          <w:szCs w:val="16"/>
        </w:rPr>
        <w:t>Vedagiri</w:t>
      </w:r>
      <w:proofErr w:type="spellEnd"/>
      <w:r w:rsidRPr="00AA6AF4">
        <w:rPr>
          <w:rFonts w:ascii="Times New Roman" w:hAnsi="Times New Roman" w:cs="Times New Roman"/>
          <w:sz w:val="16"/>
          <w:szCs w:val="16"/>
        </w:rPr>
        <w:t xml:space="preserve"> Shanmugasundaram, President, Anna Nagar Academy.</w:t>
      </w:r>
    </w:p>
    <w:p w14:paraId="372529E0"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Dr. A.M. Nalla Gounden, Professor and Head of Economic Department, University of Madras, Chepauk, Madras 600 005.</w:t>
      </w:r>
    </w:p>
    <w:p w14:paraId="27C4461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Dr. A. Vaidyanathan, Director, Madras Institute of Development Studies, 79, II Main Road, Gandhi Nagar, </w:t>
      </w:r>
      <w:proofErr w:type="spellStart"/>
      <w:r w:rsidRPr="00AA6AF4">
        <w:rPr>
          <w:rFonts w:ascii="Times New Roman" w:hAnsi="Times New Roman" w:cs="Times New Roman"/>
          <w:sz w:val="16"/>
          <w:szCs w:val="16"/>
        </w:rPr>
        <w:t>Adayar</w:t>
      </w:r>
      <w:proofErr w:type="spellEnd"/>
      <w:r w:rsidRPr="00AA6AF4">
        <w:rPr>
          <w:rFonts w:ascii="Times New Roman" w:hAnsi="Times New Roman" w:cs="Times New Roman"/>
          <w:sz w:val="16"/>
          <w:szCs w:val="16"/>
        </w:rPr>
        <w:t>, Madras 600 020.</w:t>
      </w:r>
    </w:p>
    <w:p w14:paraId="2FC2111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V. Karthikeyan, IAS Retd., Ex-Chief Secretary, Tamil Nadu Government, No.419, </w:t>
      </w:r>
      <w:proofErr w:type="spellStart"/>
      <w:r w:rsidRPr="00AA6AF4">
        <w:rPr>
          <w:rFonts w:ascii="Times New Roman" w:hAnsi="Times New Roman" w:cs="Times New Roman"/>
          <w:sz w:val="16"/>
          <w:szCs w:val="16"/>
        </w:rPr>
        <w:t>Kilpauk</w:t>
      </w:r>
      <w:proofErr w:type="spellEnd"/>
      <w:r w:rsidRPr="00AA6AF4">
        <w:rPr>
          <w:rFonts w:ascii="Times New Roman" w:hAnsi="Times New Roman" w:cs="Times New Roman"/>
          <w:sz w:val="16"/>
          <w:szCs w:val="16"/>
        </w:rPr>
        <w:t xml:space="preserve"> Garden, Madras 600 010.</w:t>
      </w:r>
    </w:p>
    <w:p w14:paraId="43174BD1"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M.K. </w:t>
      </w:r>
      <w:proofErr w:type="spellStart"/>
      <w:r w:rsidRPr="00AA6AF4">
        <w:rPr>
          <w:rFonts w:ascii="Times New Roman" w:hAnsi="Times New Roman" w:cs="Times New Roman"/>
          <w:sz w:val="16"/>
          <w:szCs w:val="16"/>
        </w:rPr>
        <w:t>Deenadayalan</w:t>
      </w:r>
      <w:proofErr w:type="spellEnd"/>
      <w:r w:rsidRPr="00AA6AF4">
        <w:rPr>
          <w:rFonts w:ascii="Times New Roman" w:hAnsi="Times New Roman" w:cs="Times New Roman"/>
          <w:sz w:val="16"/>
          <w:szCs w:val="16"/>
        </w:rPr>
        <w:t>, IPS, President, All India Federation of Pensioners' Association.</w:t>
      </w:r>
    </w:p>
    <w:p w14:paraId="6FC4794C"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C.D.V. Gnanaraj, President, Tamil Nadu Secretariat Association.</w:t>
      </w:r>
    </w:p>
    <w:p w14:paraId="5F6E59C9" w14:textId="77777777" w:rsidR="0057733B" w:rsidRPr="00AA6AF4" w:rsidRDefault="0057733B" w:rsidP="0057733B">
      <w:pPr>
        <w:spacing w:after="0" w:line="240" w:lineRule="auto"/>
        <w:ind w:left="720"/>
        <w:jc w:val="both"/>
        <w:rPr>
          <w:rFonts w:ascii="Times New Roman" w:hAnsi="Times New Roman" w:cs="Times New Roman"/>
          <w:sz w:val="16"/>
          <w:szCs w:val="16"/>
        </w:rPr>
      </w:pPr>
      <w:r w:rsidRPr="00AA6AF4">
        <w:rPr>
          <w:rFonts w:ascii="Times New Roman" w:hAnsi="Times New Roman" w:cs="Times New Roman"/>
          <w:b/>
          <w:bCs/>
          <w:sz w:val="16"/>
          <w:szCs w:val="16"/>
        </w:rPr>
        <w:t>Uttar Pradesh</w:t>
      </w:r>
    </w:p>
    <w:p w14:paraId="2777538E"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Sy. </w:t>
      </w:r>
      <w:proofErr w:type="spellStart"/>
      <w:r w:rsidRPr="00AA6AF4">
        <w:rPr>
          <w:rFonts w:ascii="Times New Roman" w:hAnsi="Times New Roman" w:cs="Times New Roman"/>
          <w:sz w:val="16"/>
          <w:szCs w:val="16"/>
        </w:rPr>
        <w:t>Sibte</w:t>
      </w:r>
      <w:proofErr w:type="spellEnd"/>
      <w:r w:rsidRPr="00AA6AF4">
        <w:rPr>
          <w:rFonts w:ascii="Times New Roman" w:hAnsi="Times New Roman" w:cs="Times New Roman"/>
          <w:sz w:val="16"/>
          <w:szCs w:val="16"/>
        </w:rPr>
        <w:t xml:space="preserve"> Razi, MP</w:t>
      </w:r>
    </w:p>
    <w:p w14:paraId="27CD38C4"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Maheshwar Pandey, MLC</w:t>
      </w:r>
    </w:p>
    <w:p w14:paraId="07078A4D"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Shailendra Singh, Professor, Department of Economics, Lucknow University.</w:t>
      </w:r>
    </w:p>
    <w:p w14:paraId="4751704F"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Professor P.K. Bhargava, Department of Economics, </w:t>
      </w:r>
      <w:proofErr w:type="spellStart"/>
      <w:r w:rsidRPr="00AA6AF4">
        <w:rPr>
          <w:rFonts w:ascii="Times New Roman" w:hAnsi="Times New Roman" w:cs="Times New Roman"/>
          <w:sz w:val="16"/>
          <w:szCs w:val="16"/>
        </w:rPr>
        <w:t>Benaras</w:t>
      </w:r>
      <w:proofErr w:type="spellEnd"/>
      <w:r w:rsidRPr="00AA6AF4">
        <w:rPr>
          <w:rFonts w:ascii="Times New Roman" w:hAnsi="Times New Roman" w:cs="Times New Roman"/>
          <w:sz w:val="16"/>
          <w:szCs w:val="16"/>
        </w:rPr>
        <w:t xml:space="preserve"> University.</w:t>
      </w:r>
    </w:p>
    <w:p w14:paraId="1A4E535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Professor B.K. Singh, Department of Economics, Gorakhpur University.</w:t>
      </w:r>
    </w:p>
    <w:p w14:paraId="49E07691"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Satish Chandra Srivastava, President, U.P. Secretariat Gazetted Officers Association, Lucknow.</w:t>
      </w:r>
    </w:p>
    <w:p w14:paraId="43316E78"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Umesh Prasad Srivastava, Convenor U.P. </w:t>
      </w:r>
      <w:proofErr w:type="spellStart"/>
      <w:r w:rsidRPr="00AA6AF4">
        <w:rPr>
          <w:rFonts w:ascii="Times New Roman" w:hAnsi="Times New Roman" w:cs="Times New Roman"/>
          <w:sz w:val="16"/>
          <w:szCs w:val="16"/>
        </w:rPr>
        <w:t>Sachivalaya</w:t>
      </w:r>
      <w:proofErr w:type="spellEnd"/>
      <w:r w:rsidRPr="00AA6AF4">
        <w:rPr>
          <w:rFonts w:ascii="Times New Roman" w:hAnsi="Times New Roman" w:cs="Times New Roman"/>
          <w:sz w:val="16"/>
          <w:szCs w:val="16"/>
        </w:rPr>
        <w:t>, Maha Sangh, Lucknow.</w:t>
      </w:r>
    </w:p>
    <w:p w14:paraId="5A67CA9B"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P.C. Bhatia, President, Government Pensioners Welfare Organisation.</w:t>
      </w:r>
    </w:p>
    <w:p w14:paraId="5AD4946B"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Ram Ratan Singh, President, DCC(I) Fatehpur.</w:t>
      </w:r>
    </w:p>
    <w:p w14:paraId="284EAD3B"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Bal Raj, MLA.</w:t>
      </w:r>
    </w:p>
    <w:p w14:paraId="6D587A89"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Anil Singh, MLA.</w:t>
      </w:r>
    </w:p>
    <w:p w14:paraId="7661CC42"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Prem Dutta Tewari.</w:t>
      </w:r>
    </w:p>
    <w:p w14:paraId="20E5EECC"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Indrajit, MLA.</w:t>
      </w:r>
    </w:p>
    <w:p w14:paraId="3006D476"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Shri </w:t>
      </w:r>
      <w:proofErr w:type="spellStart"/>
      <w:r w:rsidRPr="00AA6AF4">
        <w:rPr>
          <w:rFonts w:ascii="Times New Roman" w:hAnsi="Times New Roman" w:cs="Times New Roman"/>
          <w:sz w:val="16"/>
          <w:szCs w:val="16"/>
        </w:rPr>
        <w:t>Matni</w:t>
      </w:r>
      <w:proofErr w:type="spellEnd"/>
      <w:r w:rsidRPr="00AA6AF4">
        <w:rPr>
          <w:rFonts w:ascii="Times New Roman" w:hAnsi="Times New Roman" w:cs="Times New Roman"/>
          <w:sz w:val="16"/>
          <w:szCs w:val="16"/>
        </w:rPr>
        <w:t xml:space="preserve"> Khan, President, Municipal Board, Fatehpur.</w:t>
      </w:r>
    </w:p>
    <w:p w14:paraId="1111903B"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Anup Singh, Ex-Block President.</w:t>
      </w:r>
    </w:p>
    <w:p w14:paraId="69D6E758"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Ramesh Chandra Tewari, President, Yuva Kalyan.</w:t>
      </w:r>
    </w:p>
    <w:p w14:paraId="747618D8"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Smt. Sharda Mishra, Mahila Congress.</w:t>
      </w:r>
    </w:p>
    <w:p w14:paraId="71A41CAA"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Smt. Malti Srivastava, President City Congress (I) Mahila.</w:t>
      </w:r>
    </w:p>
    <w:p w14:paraId="3FEC8BE3" w14:textId="77777777" w:rsidR="0057733B" w:rsidRPr="00AA6AF4" w:rsidRDefault="0057733B" w:rsidP="0057733B">
      <w:pPr>
        <w:spacing w:after="0" w:line="240" w:lineRule="auto"/>
        <w:ind w:left="720"/>
        <w:jc w:val="both"/>
        <w:rPr>
          <w:rFonts w:ascii="Times New Roman" w:hAnsi="Times New Roman" w:cs="Times New Roman"/>
          <w:sz w:val="16"/>
          <w:szCs w:val="16"/>
        </w:rPr>
      </w:pPr>
      <w:r w:rsidRPr="00AA6AF4">
        <w:rPr>
          <w:rFonts w:ascii="Times New Roman" w:hAnsi="Times New Roman" w:cs="Times New Roman"/>
          <w:b/>
          <w:bCs/>
          <w:sz w:val="16"/>
          <w:szCs w:val="16"/>
        </w:rPr>
        <w:t>West Bengal</w:t>
      </w:r>
    </w:p>
    <w:p w14:paraId="70BF4D1E"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 xml:space="preserve">Dr. </w:t>
      </w:r>
      <w:proofErr w:type="spellStart"/>
      <w:r w:rsidRPr="00AA6AF4">
        <w:rPr>
          <w:rFonts w:ascii="Times New Roman" w:hAnsi="Times New Roman" w:cs="Times New Roman"/>
          <w:sz w:val="16"/>
          <w:szCs w:val="16"/>
        </w:rPr>
        <w:t>Bhabatosh</w:t>
      </w:r>
      <w:proofErr w:type="spellEnd"/>
      <w:r w:rsidRPr="00AA6AF4">
        <w:rPr>
          <w:rFonts w:ascii="Times New Roman" w:hAnsi="Times New Roman" w:cs="Times New Roman"/>
          <w:sz w:val="16"/>
          <w:szCs w:val="16"/>
        </w:rPr>
        <w:t xml:space="preserve"> Dutta, Economist</w:t>
      </w:r>
    </w:p>
    <w:p w14:paraId="75FE66F0"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Shri N.C. Chatterji, Member of Parliament (RS)</w:t>
      </w:r>
    </w:p>
    <w:p w14:paraId="3BC00CE2" w14:textId="77777777" w:rsidR="0057733B" w:rsidRPr="00AA6AF4" w:rsidRDefault="0057733B" w:rsidP="00C52EF1">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Bengal National Chambers of Commerce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A.K. Chandra, Vice-President</w:t>
      </w:r>
      <w:r w:rsidRPr="00AA6AF4">
        <w:rPr>
          <w:rFonts w:ascii="Times New Roman" w:hAnsi="Times New Roman" w:cs="Times New Roman"/>
          <w:sz w:val="16"/>
          <w:szCs w:val="16"/>
        </w:rPr>
        <w:br/>
        <w:t>(ii) Shri Sunil Banik, Secretary</w:t>
      </w:r>
    </w:p>
    <w:p w14:paraId="51BB1224" w14:textId="77777777" w:rsidR="0057733B" w:rsidRPr="00AA6AF4" w:rsidRDefault="0057733B" w:rsidP="00430B50">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Bengal Chambers of Commerce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 Ghosh</w:t>
      </w:r>
      <w:r w:rsidRPr="00AA6AF4">
        <w:rPr>
          <w:rFonts w:ascii="Times New Roman" w:hAnsi="Times New Roman" w:cs="Times New Roman"/>
          <w:sz w:val="16"/>
          <w:szCs w:val="16"/>
        </w:rPr>
        <w:br/>
        <w:t xml:space="preserve">(ii) Shri P. </w:t>
      </w:r>
      <w:proofErr w:type="gramStart"/>
      <w:r w:rsidRPr="00AA6AF4">
        <w:rPr>
          <w:rFonts w:ascii="Times New Roman" w:hAnsi="Times New Roman" w:cs="Times New Roman"/>
          <w:sz w:val="16"/>
          <w:szCs w:val="16"/>
        </w:rPr>
        <w:t>Das</w:t>
      </w:r>
      <w:proofErr w:type="gramEnd"/>
      <w:r w:rsidRPr="00AA6AF4">
        <w:rPr>
          <w:rFonts w:ascii="Times New Roman" w:hAnsi="Times New Roman" w:cs="Times New Roman"/>
          <w:sz w:val="16"/>
          <w:szCs w:val="16"/>
        </w:rPr>
        <w:t xml:space="preserve"> Gupta</w:t>
      </w:r>
    </w:p>
    <w:p w14:paraId="10B3D954" w14:textId="77777777" w:rsidR="0057733B" w:rsidRPr="00AA6AF4" w:rsidRDefault="0057733B" w:rsidP="00C52EF1">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Merchants Chamber of Commerce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P.D. </w:t>
      </w:r>
      <w:proofErr w:type="spellStart"/>
      <w:r w:rsidRPr="00AA6AF4">
        <w:rPr>
          <w:rFonts w:ascii="Times New Roman" w:hAnsi="Times New Roman" w:cs="Times New Roman"/>
          <w:sz w:val="16"/>
          <w:szCs w:val="16"/>
        </w:rPr>
        <w:t>Tulsyan</w:t>
      </w:r>
      <w:proofErr w:type="spellEnd"/>
      <w:r w:rsidRPr="00AA6AF4">
        <w:rPr>
          <w:rFonts w:ascii="Times New Roman" w:hAnsi="Times New Roman" w:cs="Times New Roman"/>
          <w:sz w:val="16"/>
          <w:szCs w:val="16"/>
        </w:rPr>
        <w:br/>
        <w:t>(ii) Shri A. Kothari</w:t>
      </w:r>
      <w:r w:rsidRPr="00AA6AF4">
        <w:rPr>
          <w:rFonts w:ascii="Times New Roman" w:hAnsi="Times New Roman" w:cs="Times New Roman"/>
          <w:sz w:val="16"/>
          <w:szCs w:val="16"/>
        </w:rPr>
        <w:br/>
        <w:t xml:space="preserve">(iii) Shri B.K. </w:t>
      </w:r>
      <w:proofErr w:type="spellStart"/>
      <w:r w:rsidRPr="00AA6AF4">
        <w:rPr>
          <w:rFonts w:ascii="Times New Roman" w:hAnsi="Times New Roman" w:cs="Times New Roman"/>
          <w:sz w:val="16"/>
          <w:szCs w:val="16"/>
        </w:rPr>
        <w:t>Swaika</w:t>
      </w:r>
      <w:proofErr w:type="spellEnd"/>
      <w:r w:rsidRPr="00AA6AF4">
        <w:rPr>
          <w:rFonts w:ascii="Times New Roman" w:hAnsi="Times New Roman" w:cs="Times New Roman"/>
          <w:sz w:val="16"/>
          <w:szCs w:val="16"/>
        </w:rPr>
        <w:br/>
        <w:t>(iv) Shri Birendra Agarwal</w:t>
      </w:r>
      <w:r w:rsidRPr="00AA6AF4">
        <w:rPr>
          <w:rFonts w:ascii="Times New Roman" w:hAnsi="Times New Roman" w:cs="Times New Roman"/>
          <w:sz w:val="16"/>
          <w:szCs w:val="16"/>
        </w:rPr>
        <w:br/>
        <w:t>(v) Shri H. R. Bose</w:t>
      </w:r>
    </w:p>
    <w:p w14:paraId="5EA534B8" w14:textId="77777777" w:rsidR="0057733B" w:rsidRPr="00AA6AF4" w:rsidRDefault="0057733B" w:rsidP="00430B50">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Federation of Association of Small Industries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N. Dutta</w:t>
      </w:r>
      <w:r w:rsidRPr="00AA6AF4">
        <w:rPr>
          <w:rFonts w:ascii="Times New Roman" w:hAnsi="Times New Roman" w:cs="Times New Roman"/>
          <w:sz w:val="16"/>
          <w:szCs w:val="16"/>
        </w:rPr>
        <w:br/>
        <w:t>(ii) Shri S. Gupta</w:t>
      </w:r>
      <w:r w:rsidRPr="00AA6AF4">
        <w:rPr>
          <w:rFonts w:ascii="Times New Roman" w:hAnsi="Times New Roman" w:cs="Times New Roman"/>
          <w:sz w:val="16"/>
          <w:szCs w:val="16"/>
        </w:rPr>
        <w:br/>
        <w:t>(iii) Shri S. Roy Chowdhari</w:t>
      </w:r>
    </w:p>
    <w:p w14:paraId="02E46272" w14:textId="77777777" w:rsidR="0057733B" w:rsidRPr="00AA6AF4" w:rsidRDefault="0057733B" w:rsidP="00430B50">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Bharat Chamber of Commerce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S.D. Shah</w:t>
      </w:r>
      <w:r w:rsidRPr="00AA6AF4">
        <w:rPr>
          <w:rFonts w:ascii="Times New Roman" w:hAnsi="Times New Roman" w:cs="Times New Roman"/>
          <w:sz w:val="16"/>
          <w:szCs w:val="16"/>
        </w:rPr>
        <w:br/>
        <w:t>(ii) Shri D.D. Kothari</w:t>
      </w:r>
      <w:r w:rsidRPr="00AA6AF4">
        <w:rPr>
          <w:rFonts w:ascii="Times New Roman" w:hAnsi="Times New Roman" w:cs="Times New Roman"/>
          <w:sz w:val="16"/>
          <w:szCs w:val="16"/>
        </w:rPr>
        <w:br/>
        <w:t>(iii) Shri A.K. Rungta</w:t>
      </w:r>
    </w:p>
    <w:p w14:paraId="0EA15C99" w14:textId="77777777" w:rsidR="0057733B" w:rsidRPr="00AA6AF4" w:rsidRDefault="0057733B">
      <w:pPr>
        <w:numPr>
          <w:ilvl w:val="0"/>
          <w:numId w:val="16"/>
        </w:numPr>
        <w:spacing w:after="0" w:line="240" w:lineRule="auto"/>
        <w:jc w:val="both"/>
        <w:rPr>
          <w:rFonts w:ascii="Times New Roman" w:hAnsi="Times New Roman" w:cs="Times New Roman"/>
          <w:sz w:val="16"/>
          <w:szCs w:val="16"/>
        </w:rPr>
      </w:pPr>
      <w:r w:rsidRPr="00AA6AF4">
        <w:rPr>
          <w:rFonts w:ascii="Times New Roman" w:hAnsi="Times New Roman" w:cs="Times New Roman"/>
          <w:sz w:val="16"/>
          <w:szCs w:val="16"/>
        </w:rPr>
        <w:t>Indian Chamber of Commerce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Shri J.N. Sapru</w:t>
      </w:r>
    </w:p>
    <w:p w14:paraId="5F6A215D" w14:textId="77777777" w:rsidR="0057733B" w:rsidRPr="00AA6AF4" w:rsidRDefault="0057733B" w:rsidP="00430B50">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All India State Govt. Employees Federation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K.A. </w:t>
      </w:r>
      <w:proofErr w:type="spellStart"/>
      <w:r w:rsidRPr="00AA6AF4">
        <w:rPr>
          <w:rFonts w:ascii="Times New Roman" w:hAnsi="Times New Roman" w:cs="Times New Roman"/>
          <w:sz w:val="16"/>
          <w:szCs w:val="16"/>
        </w:rPr>
        <w:t>Kesheva</w:t>
      </w:r>
      <w:proofErr w:type="spellEnd"/>
      <w:r w:rsidRPr="00AA6AF4">
        <w:rPr>
          <w:rFonts w:ascii="Times New Roman" w:hAnsi="Times New Roman" w:cs="Times New Roman"/>
          <w:sz w:val="16"/>
          <w:szCs w:val="16"/>
        </w:rPr>
        <w:t xml:space="preserve"> Murty, Chairman</w:t>
      </w:r>
      <w:r w:rsidRPr="00AA6AF4">
        <w:rPr>
          <w:rFonts w:ascii="Times New Roman" w:hAnsi="Times New Roman" w:cs="Times New Roman"/>
          <w:sz w:val="16"/>
          <w:szCs w:val="16"/>
        </w:rPr>
        <w:br/>
        <w:t>(ii) Shri Sukomal Sen, M.P., General Secretary</w:t>
      </w:r>
      <w:r w:rsidRPr="00AA6AF4">
        <w:rPr>
          <w:rFonts w:ascii="Times New Roman" w:hAnsi="Times New Roman" w:cs="Times New Roman"/>
          <w:sz w:val="16"/>
          <w:szCs w:val="16"/>
        </w:rPr>
        <w:br/>
        <w:t>(iii) Dr. S.S. Wagle, Economic Adviser</w:t>
      </w:r>
      <w:r w:rsidRPr="00AA6AF4">
        <w:rPr>
          <w:rFonts w:ascii="Times New Roman" w:hAnsi="Times New Roman" w:cs="Times New Roman"/>
          <w:sz w:val="16"/>
          <w:szCs w:val="16"/>
        </w:rPr>
        <w:br/>
        <w:t>(iv) Shri R.G. Karnik, Secretary</w:t>
      </w:r>
      <w:r w:rsidRPr="00AA6AF4">
        <w:rPr>
          <w:rFonts w:ascii="Times New Roman" w:hAnsi="Times New Roman" w:cs="Times New Roman"/>
          <w:sz w:val="16"/>
          <w:szCs w:val="16"/>
        </w:rPr>
        <w:br/>
        <w:t>(v) Shri M.R. Appan, Secretary</w:t>
      </w:r>
      <w:r w:rsidRPr="00AA6AF4">
        <w:rPr>
          <w:rFonts w:ascii="Times New Roman" w:hAnsi="Times New Roman" w:cs="Times New Roman"/>
          <w:sz w:val="16"/>
          <w:szCs w:val="16"/>
        </w:rPr>
        <w:br/>
        <w:t>(vi) Shri J.B. Sahu, Secretary</w:t>
      </w:r>
      <w:r w:rsidRPr="00AA6AF4">
        <w:rPr>
          <w:rFonts w:ascii="Times New Roman" w:hAnsi="Times New Roman" w:cs="Times New Roman"/>
          <w:sz w:val="16"/>
          <w:szCs w:val="16"/>
        </w:rPr>
        <w:br/>
        <w:t>(vii) Shri S.B. Chakravarti, Treasurer</w:t>
      </w:r>
    </w:p>
    <w:p w14:paraId="058EDE15" w14:textId="77777777" w:rsidR="0057733B" w:rsidRPr="00AA6AF4" w:rsidRDefault="0057733B" w:rsidP="00430B50">
      <w:pPr>
        <w:numPr>
          <w:ilvl w:val="0"/>
          <w:numId w:val="16"/>
        </w:numPr>
        <w:spacing w:after="0" w:line="240" w:lineRule="auto"/>
        <w:rPr>
          <w:rFonts w:ascii="Times New Roman" w:hAnsi="Times New Roman" w:cs="Times New Roman"/>
          <w:sz w:val="16"/>
          <w:szCs w:val="16"/>
        </w:rPr>
      </w:pPr>
      <w:r w:rsidRPr="00AA6AF4">
        <w:rPr>
          <w:rFonts w:ascii="Times New Roman" w:hAnsi="Times New Roman" w:cs="Times New Roman"/>
          <w:sz w:val="16"/>
          <w:szCs w:val="16"/>
        </w:rPr>
        <w:t>West Bengal State Government, Employees Federation - represented by</w:t>
      </w:r>
      <w:r w:rsidRPr="00AA6AF4">
        <w:rPr>
          <w:rFonts w:ascii="Times New Roman" w:hAnsi="Times New Roman" w:cs="Times New Roman"/>
          <w:sz w:val="16"/>
          <w:szCs w:val="16"/>
        </w:rPr>
        <w:br/>
        <w:t>(</w:t>
      </w:r>
      <w:proofErr w:type="spellStart"/>
      <w:r w:rsidRPr="00AA6AF4">
        <w:rPr>
          <w:rFonts w:ascii="Times New Roman" w:hAnsi="Times New Roman" w:cs="Times New Roman"/>
          <w:sz w:val="16"/>
          <w:szCs w:val="16"/>
        </w:rPr>
        <w:t>i</w:t>
      </w:r>
      <w:proofErr w:type="spellEnd"/>
      <w:r w:rsidRPr="00AA6AF4">
        <w:rPr>
          <w:rFonts w:ascii="Times New Roman" w:hAnsi="Times New Roman" w:cs="Times New Roman"/>
          <w:sz w:val="16"/>
          <w:szCs w:val="16"/>
        </w:rPr>
        <w:t xml:space="preserve">) Shri Ajoy </w:t>
      </w:r>
      <w:proofErr w:type="spellStart"/>
      <w:r w:rsidRPr="00AA6AF4">
        <w:rPr>
          <w:rFonts w:ascii="Times New Roman" w:hAnsi="Times New Roman" w:cs="Times New Roman"/>
          <w:sz w:val="16"/>
          <w:szCs w:val="16"/>
        </w:rPr>
        <w:t>Mukhopadhyaya</w:t>
      </w:r>
      <w:proofErr w:type="spellEnd"/>
      <w:r w:rsidRPr="00AA6AF4">
        <w:rPr>
          <w:rFonts w:ascii="Times New Roman" w:hAnsi="Times New Roman" w:cs="Times New Roman"/>
          <w:sz w:val="16"/>
          <w:szCs w:val="16"/>
        </w:rPr>
        <w:t>, General Secretary</w:t>
      </w:r>
      <w:r w:rsidRPr="00AA6AF4">
        <w:rPr>
          <w:rFonts w:ascii="Times New Roman" w:hAnsi="Times New Roman" w:cs="Times New Roman"/>
          <w:sz w:val="16"/>
          <w:szCs w:val="16"/>
        </w:rPr>
        <w:br/>
        <w:t>(ii) Shri Hiren Sanyal, Joint Secretary</w:t>
      </w:r>
      <w:r w:rsidRPr="00AA6AF4">
        <w:rPr>
          <w:rFonts w:ascii="Times New Roman" w:hAnsi="Times New Roman" w:cs="Times New Roman"/>
          <w:sz w:val="16"/>
          <w:szCs w:val="16"/>
        </w:rPr>
        <w:br/>
        <w:t xml:space="preserve">(iii) Shri </w:t>
      </w:r>
      <w:proofErr w:type="spellStart"/>
      <w:r w:rsidRPr="00AA6AF4">
        <w:rPr>
          <w:rFonts w:ascii="Times New Roman" w:hAnsi="Times New Roman" w:cs="Times New Roman"/>
          <w:sz w:val="16"/>
          <w:szCs w:val="16"/>
        </w:rPr>
        <w:t>Subhashis</w:t>
      </w:r>
      <w:proofErr w:type="spellEnd"/>
      <w:r w:rsidRPr="00AA6AF4">
        <w:rPr>
          <w:rFonts w:ascii="Times New Roman" w:hAnsi="Times New Roman" w:cs="Times New Roman"/>
          <w:sz w:val="16"/>
          <w:szCs w:val="16"/>
        </w:rPr>
        <w:t xml:space="preserve"> Gupta</w:t>
      </w:r>
      <w:r w:rsidRPr="00AA6AF4">
        <w:rPr>
          <w:rFonts w:ascii="Times New Roman" w:hAnsi="Times New Roman" w:cs="Times New Roman"/>
          <w:sz w:val="16"/>
          <w:szCs w:val="16"/>
        </w:rPr>
        <w:br/>
        <w:t>(iv) Shri Bhabatosh Roy</w:t>
      </w:r>
    </w:p>
    <w:p w14:paraId="54EA7151" w14:textId="77777777" w:rsidR="0057733B" w:rsidRPr="00AA6AF4" w:rsidRDefault="0057733B" w:rsidP="00430B50">
      <w:pPr>
        <w:spacing w:after="0" w:line="240" w:lineRule="auto"/>
        <w:ind w:left="720"/>
        <w:rPr>
          <w:rFonts w:ascii="Times New Roman" w:hAnsi="Times New Roman" w:cs="Times New Roman"/>
          <w:sz w:val="16"/>
          <w:szCs w:val="16"/>
        </w:rPr>
      </w:pPr>
    </w:p>
    <w:p w14:paraId="410A1847" w14:textId="77777777" w:rsidR="0057733B" w:rsidRPr="00AA6AF4" w:rsidRDefault="0057733B" w:rsidP="0057733B">
      <w:pPr>
        <w:spacing w:after="0" w:line="240" w:lineRule="auto"/>
        <w:ind w:left="720"/>
        <w:jc w:val="both"/>
        <w:rPr>
          <w:rFonts w:ascii="Times New Roman" w:hAnsi="Times New Roman" w:cs="Times New Roman"/>
          <w:sz w:val="16"/>
          <w:szCs w:val="16"/>
        </w:rPr>
      </w:pPr>
    </w:p>
    <w:p w14:paraId="3B522C31" w14:textId="77777777" w:rsidR="0057733B" w:rsidRPr="00AA6AF4" w:rsidRDefault="0057733B" w:rsidP="0057733B">
      <w:pPr>
        <w:spacing w:after="0" w:line="240" w:lineRule="auto"/>
        <w:ind w:left="720"/>
        <w:jc w:val="both"/>
        <w:rPr>
          <w:rFonts w:ascii="Times New Roman" w:hAnsi="Times New Roman" w:cs="Times New Roman"/>
          <w:sz w:val="16"/>
          <w:szCs w:val="16"/>
        </w:rPr>
      </w:pPr>
    </w:p>
    <w:p w14:paraId="47F71D94" w14:textId="77777777" w:rsidR="0057733B" w:rsidRPr="00AA6AF4" w:rsidRDefault="0057733B" w:rsidP="0057733B">
      <w:pPr>
        <w:spacing w:after="0" w:line="240" w:lineRule="auto"/>
        <w:ind w:left="720"/>
        <w:jc w:val="both"/>
        <w:rPr>
          <w:rFonts w:ascii="Times New Roman" w:hAnsi="Times New Roman" w:cs="Times New Roman"/>
          <w:sz w:val="16"/>
          <w:szCs w:val="16"/>
        </w:rPr>
      </w:pPr>
    </w:p>
    <w:p w14:paraId="2D6F3BD6" w14:textId="77777777" w:rsidR="0057733B" w:rsidRPr="00AA6AF4" w:rsidRDefault="0057733B" w:rsidP="0057733B">
      <w:pPr>
        <w:spacing w:after="0" w:line="240" w:lineRule="auto"/>
        <w:jc w:val="both"/>
        <w:rPr>
          <w:rFonts w:ascii="Times New Roman" w:hAnsi="Times New Roman" w:cs="Times New Roman"/>
          <w:sz w:val="16"/>
          <w:szCs w:val="16"/>
        </w:rPr>
      </w:pPr>
    </w:p>
    <w:p w14:paraId="32F3B959" w14:textId="77777777" w:rsidR="0057733B" w:rsidRPr="00AA6AF4" w:rsidRDefault="0057733B" w:rsidP="0057733B">
      <w:pPr>
        <w:spacing w:after="0" w:line="240" w:lineRule="auto"/>
        <w:ind w:left="720"/>
        <w:jc w:val="both"/>
        <w:rPr>
          <w:rFonts w:ascii="Times New Roman" w:eastAsia="Calibri" w:hAnsi="Times New Roman" w:cs="Times New Roman"/>
          <w:sz w:val="16"/>
          <w:szCs w:val="16"/>
          <w:lang w:bidi="ar-SA"/>
        </w:rPr>
      </w:pPr>
    </w:p>
    <w:p w14:paraId="2B4BF359" w14:textId="77777777" w:rsidR="0057733B" w:rsidRPr="00AA6AF4" w:rsidRDefault="0057733B" w:rsidP="0057733B">
      <w:pPr>
        <w:spacing w:after="0" w:line="240" w:lineRule="auto"/>
        <w:jc w:val="both"/>
        <w:rPr>
          <w:rFonts w:ascii="Times New Roman" w:eastAsia="Calibri" w:hAnsi="Times New Roman" w:cs="Times New Roman"/>
          <w:sz w:val="16"/>
          <w:szCs w:val="16"/>
          <w:lang w:bidi="ar-SA"/>
        </w:rPr>
      </w:pPr>
    </w:p>
    <w:p w14:paraId="3CC40E07" w14:textId="77777777" w:rsidR="0057733B" w:rsidRPr="00AA6AF4" w:rsidRDefault="0057733B" w:rsidP="0057733B">
      <w:pPr>
        <w:spacing w:after="0" w:line="240" w:lineRule="auto"/>
        <w:jc w:val="both"/>
        <w:rPr>
          <w:rFonts w:ascii="Times New Roman" w:eastAsia="Calibri" w:hAnsi="Times New Roman" w:cs="Times New Roman"/>
          <w:sz w:val="16"/>
          <w:szCs w:val="16"/>
          <w:lang w:bidi="ar-SA"/>
        </w:rPr>
        <w:sectPr w:rsidR="0057733B" w:rsidRPr="00AA6AF4" w:rsidSect="0034261E">
          <w:type w:val="continuous"/>
          <w:pgSz w:w="11906" w:h="16838"/>
          <w:pgMar w:top="567" w:right="707" w:bottom="992" w:left="709" w:header="709" w:footer="709" w:gutter="0"/>
          <w:cols w:num="3" w:space="80"/>
          <w:docGrid w:linePitch="360"/>
        </w:sectPr>
      </w:pPr>
    </w:p>
    <w:p w14:paraId="1B2075FF" w14:textId="2B4AFCA6" w:rsidR="0034261E" w:rsidRPr="00AA6AF4" w:rsidRDefault="0034261E">
      <w:pPr>
        <w:rPr>
          <w:rFonts w:ascii="Times New Roman" w:eastAsia="Calibri" w:hAnsi="Times New Roman" w:cs="Times New Roman"/>
          <w:sz w:val="16"/>
          <w:szCs w:val="16"/>
          <w:lang w:bidi="ar-SA"/>
        </w:rPr>
      </w:pPr>
      <w:r w:rsidRPr="00AA6AF4">
        <w:rPr>
          <w:rFonts w:ascii="Times New Roman" w:eastAsia="Calibri" w:hAnsi="Times New Roman" w:cs="Times New Roman"/>
          <w:sz w:val="16"/>
          <w:szCs w:val="16"/>
          <w:lang w:bidi="ar-SA"/>
        </w:rPr>
        <w:br w:type="page"/>
      </w:r>
    </w:p>
    <w:p w14:paraId="6C9D188E" w14:textId="1195461D" w:rsidR="002F2047" w:rsidRPr="00EC10FA" w:rsidRDefault="0058485C" w:rsidP="00C6267F">
      <w:pPr>
        <w:pStyle w:val="Heading5"/>
        <w:rPr>
          <w:szCs w:val="22"/>
        </w:rPr>
      </w:pPr>
      <w:r w:rsidRPr="00EC10FA">
        <w:rPr>
          <w:szCs w:val="22"/>
        </w:rPr>
        <w:lastRenderedPageBreak/>
        <w:br/>
        <w:t xml:space="preserve"> </w:t>
      </w:r>
      <w:bookmarkStart w:id="135" w:name="_Toc222399516"/>
      <w:r w:rsidR="002F2047" w:rsidRPr="00EC10FA">
        <w:rPr>
          <w:szCs w:val="22"/>
        </w:rPr>
        <w:t>TRENDS IN CENTRAL AND STATE FINANCES</w:t>
      </w:r>
      <w:bookmarkEnd w:id="135"/>
    </w:p>
    <w:p w14:paraId="71EA5C64" w14:textId="420C120A" w:rsidR="000431AA" w:rsidRPr="002025E4" w:rsidRDefault="002F2047" w:rsidP="00B36A4C">
      <w:pPr>
        <w:pStyle w:val="Heading6"/>
        <w:keepNext w:val="0"/>
        <w:keepLines w:val="0"/>
      </w:pPr>
      <w:r w:rsidRPr="002025E4">
        <w:t>Government revenues and expenditures in India have</w:t>
      </w:r>
      <w:r w:rsidR="002025E4" w:rsidRPr="002025E4">
        <w:t xml:space="preserve"> </w:t>
      </w:r>
      <w:r w:rsidRPr="002025E4">
        <w:t>grown rapidly since Independence. The combined revenue</w:t>
      </w:r>
      <w:r w:rsidR="000431AA" w:rsidRPr="002025E4">
        <w:t xml:space="preserve"> </w:t>
      </w:r>
      <w:r w:rsidRPr="002025E4">
        <w:t>receipts of the Centre and the States which formed 6-7 per cent of</w:t>
      </w:r>
      <w:r w:rsidR="000431AA" w:rsidRPr="002025E4">
        <w:t xml:space="preserve"> </w:t>
      </w:r>
      <w:r w:rsidRPr="002025E4">
        <w:t>Gross Domestic Product (GDP) in the early fifties have now</w:t>
      </w:r>
      <w:r w:rsidR="000431AA" w:rsidRPr="002025E4">
        <w:t xml:space="preserve"> </w:t>
      </w:r>
      <w:r w:rsidRPr="002025E4">
        <w:t>reached the level of 20 per cent; there has been a somewhat faster</w:t>
      </w:r>
      <w:r w:rsidR="000431AA" w:rsidRPr="002025E4">
        <w:t xml:space="preserve"> </w:t>
      </w:r>
      <w:r w:rsidRPr="002025E4">
        <w:t>growth of revenue expenditures. We are here concerned with</w:t>
      </w:r>
      <w:r w:rsidR="00B36A4C">
        <w:t xml:space="preserve"> </w:t>
      </w:r>
      <w:r w:rsidRPr="002025E4">
        <w:t>more recent trends. We note that between 1974-75 and 1986-</w:t>
      </w:r>
      <w:r w:rsidR="000431AA" w:rsidRPr="002025E4">
        <w:t xml:space="preserve"> </w:t>
      </w:r>
      <w:r w:rsidRPr="002025E4">
        <w:t>87, total revenue receipts of the Centre and the States have grown</w:t>
      </w:r>
      <w:r w:rsidR="000431AA" w:rsidRPr="002025E4">
        <w:t xml:space="preserve"> </w:t>
      </w:r>
      <w:r w:rsidRPr="002025E4">
        <w:t>in real terms at 8.4 per cent per annum as against the average</w:t>
      </w:r>
      <w:r w:rsidR="000431AA" w:rsidRPr="002025E4">
        <w:t xml:space="preserve"> </w:t>
      </w:r>
      <w:r w:rsidRPr="002025E4">
        <w:t>growth rate of 4.6 per cent per annum of real GDP. Real</w:t>
      </w:r>
      <w:r w:rsidR="000431AA" w:rsidRPr="002025E4">
        <w:t xml:space="preserve"> </w:t>
      </w:r>
      <w:r w:rsidRPr="002025E4">
        <w:t>government expenditures within the revenue account grew at</w:t>
      </w:r>
      <w:r w:rsidR="000431AA" w:rsidRPr="002025E4">
        <w:t xml:space="preserve"> </w:t>
      </w:r>
      <w:r w:rsidRPr="002025E4">
        <w:t>10.3 per cent per annum. In other words, during this period, in real</w:t>
      </w:r>
      <w:r w:rsidR="000431AA" w:rsidRPr="002025E4">
        <w:t xml:space="preserve"> </w:t>
      </w:r>
      <w:r w:rsidRPr="002025E4">
        <w:t>terms, total government revenues increased 2.5 times and total</w:t>
      </w:r>
      <w:r w:rsidR="000431AA" w:rsidRPr="002025E4">
        <w:t xml:space="preserve"> </w:t>
      </w:r>
      <w:r w:rsidRPr="002025E4">
        <w:t>revenue expenditures 3.2 times.</w:t>
      </w:r>
    </w:p>
    <w:p w14:paraId="33F15FE5" w14:textId="5D9E6C09" w:rsidR="002F2047" w:rsidRPr="000431AA" w:rsidRDefault="002F2047" w:rsidP="00B36A4C">
      <w:pPr>
        <w:pStyle w:val="Heading6"/>
        <w:keepNext w:val="0"/>
        <w:keepLines w:val="0"/>
      </w:pPr>
      <w:r w:rsidRPr="000431AA">
        <w:t>In nominal terms, revenue receipts grew at an annual</w:t>
      </w:r>
      <w:r w:rsidR="000431AA">
        <w:t xml:space="preserve"> </w:t>
      </w:r>
      <w:r w:rsidRPr="000431AA">
        <w:t>rate of 14.5 per cent between 1974-75 and 1986-87, while the</w:t>
      </w:r>
      <w:r w:rsidRPr="000431AA">
        <w:br/>
        <w:t>growth rate of revenue expenditure was higher by almost 2.5</w:t>
      </w:r>
      <w:r w:rsidR="000431AA">
        <w:t xml:space="preserve"> </w:t>
      </w:r>
      <w:r w:rsidRPr="000431AA">
        <w:t>percentage points at 17 per cent. This outpacing of revenue</w:t>
      </w:r>
      <w:r w:rsidRPr="000431AA">
        <w:br/>
        <w:t>growth by expenditure growth has led to an era of revenue deficits</w:t>
      </w:r>
      <w:r w:rsidR="000431AA">
        <w:t xml:space="preserve"> </w:t>
      </w:r>
      <w:r w:rsidRPr="000431AA">
        <w:t>beginning from 1982-83. However, it appears that recent trends</w:t>
      </w:r>
      <w:r w:rsidR="000431AA">
        <w:t xml:space="preserve"> </w:t>
      </w:r>
      <w:r w:rsidRPr="000431AA">
        <w:t xml:space="preserve">rather than the </w:t>
      </w:r>
      <w:proofErr w:type="gramStart"/>
      <w:r w:rsidRPr="000431AA">
        <w:t>long term</w:t>
      </w:r>
      <w:proofErr w:type="gramEnd"/>
      <w:r w:rsidRPr="000431AA">
        <w:t xml:space="preserve"> trends have caused the imbalance.</w:t>
      </w:r>
    </w:p>
    <w:p w14:paraId="4DF89C46" w14:textId="51B0F40A" w:rsidR="002F2047" w:rsidRPr="000431AA" w:rsidRDefault="002F2047" w:rsidP="00B36A4C">
      <w:pPr>
        <w:pStyle w:val="Heading6"/>
        <w:keepNext w:val="0"/>
        <w:keepLines w:val="0"/>
      </w:pPr>
      <w:r w:rsidRPr="000431AA">
        <w:t>As a proportion of GDP, both revenue receipts and</w:t>
      </w:r>
      <w:r w:rsidR="000431AA">
        <w:t xml:space="preserve"> </w:t>
      </w:r>
      <w:r w:rsidRPr="000431AA">
        <w:t>revenue expenditure registered substantial increases during the</w:t>
      </w:r>
      <w:r w:rsidRPr="000431AA">
        <w:br/>
        <w:t>period 1974-75 to 1986-87. [Ref. Table B.3.1]. However, while</w:t>
      </w:r>
      <w:r w:rsidR="000431AA">
        <w:t xml:space="preserve"> </w:t>
      </w:r>
      <w:r w:rsidRPr="000431AA">
        <w:t>the revenue receipts registered an increase of 4.8 percentage</w:t>
      </w:r>
      <w:r w:rsidRPr="000431AA">
        <w:br/>
        <w:t>points from 15.1 per cent in 1974-75 to 19.9 per cent in 1986-87,</w:t>
      </w:r>
      <w:r w:rsidR="000431AA">
        <w:t xml:space="preserve"> </w:t>
      </w:r>
      <w:r w:rsidRPr="000431AA">
        <w:t>the increase in revenue expenditure was by over 9 percentage</w:t>
      </w:r>
      <w:r w:rsidRPr="000431AA">
        <w:br/>
        <w:t>points from 13.5 per cent to 22.6 per cent. The excess of</w:t>
      </w:r>
      <w:r w:rsidR="000431AA">
        <w:t xml:space="preserve"> </w:t>
      </w:r>
      <w:r w:rsidRPr="000431AA">
        <w:t>expenditure growth over the growth of revenue is particularly</w:t>
      </w:r>
      <w:r w:rsidRPr="000431AA">
        <w:br/>
        <w:t>noticeable in the 1980's. Revenue expenditure as a percentage of</w:t>
      </w:r>
      <w:r w:rsidR="000431AA">
        <w:t xml:space="preserve"> </w:t>
      </w:r>
      <w:r w:rsidRPr="000431AA">
        <w:t xml:space="preserve">GDP continued to accelerate, but the growth of receipts </w:t>
      </w:r>
      <w:proofErr w:type="spellStart"/>
      <w:r w:rsidRPr="000431AA">
        <w:t>sloweddown</w:t>
      </w:r>
      <w:proofErr w:type="spellEnd"/>
      <w:r w:rsidRPr="000431AA">
        <w:t>. The former increased from 17.5 per cent in 1980-81 to 22.6</w:t>
      </w:r>
      <w:r w:rsidR="001229DF">
        <w:t xml:space="preserve"> </w:t>
      </w:r>
      <w:r w:rsidRPr="000431AA">
        <w:t>per cent in 1986-87 whereas, increase in the latter was from 17.6</w:t>
      </w:r>
      <w:r w:rsidR="001229DF">
        <w:t xml:space="preserve"> </w:t>
      </w:r>
      <w:r w:rsidRPr="000431AA">
        <w:t>per cent to only 19.9 per cent during the period. As a</w:t>
      </w:r>
      <w:r w:rsidR="001229DF">
        <w:t xml:space="preserve"> </w:t>
      </w:r>
      <w:r w:rsidRPr="000431AA">
        <w:t>consequence, the combined revenue deficit which emerged in</w:t>
      </w:r>
      <w:r w:rsidR="001229DF">
        <w:t xml:space="preserve"> </w:t>
      </w:r>
      <w:r w:rsidRPr="000431AA">
        <w:t>1982-83 for the first time at 0.21 per cent of GDP increased to 2.6</w:t>
      </w:r>
      <w:r w:rsidR="001229DF">
        <w:t xml:space="preserve"> </w:t>
      </w:r>
      <w:r w:rsidRPr="000431AA">
        <w:t>per cent of GDP in 1986-87 and the projected revenue deficit in</w:t>
      </w:r>
      <w:r w:rsidR="001229DF">
        <w:t xml:space="preserve"> </w:t>
      </w:r>
      <w:r w:rsidRPr="000431AA">
        <w:t>1988-89 is placed at 3.9 per cent of GDP according to Revised</w:t>
      </w:r>
      <w:r w:rsidR="001229DF">
        <w:t xml:space="preserve"> </w:t>
      </w:r>
      <w:r w:rsidRPr="000431AA">
        <w:t>Estimates.</w:t>
      </w:r>
    </w:p>
    <w:p w14:paraId="558FF93A" w14:textId="41CAFCA4" w:rsidR="002F2047" w:rsidRPr="000431AA" w:rsidRDefault="002F2047" w:rsidP="00B36A4C">
      <w:pPr>
        <w:pStyle w:val="Heading6"/>
        <w:keepNext w:val="0"/>
        <w:keepLines w:val="0"/>
      </w:pPr>
      <w:r w:rsidRPr="000431AA">
        <w:t> If the Central Government's finances alone are</w:t>
      </w:r>
      <w:r w:rsidR="00802E46">
        <w:t xml:space="preserve"> </w:t>
      </w:r>
      <w:r w:rsidRPr="000431AA">
        <w:t>considered, it is seen that the gross revenue receipts increased</w:t>
      </w:r>
      <w:r w:rsidRPr="000431AA">
        <w:br/>
        <w:t>from 10.5 per cent to 14.1 per cent of GDP during the period 1974-75 to 1986-87, the rate of growth being 14.4 per cent. Its net</w:t>
      </w:r>
      <w:r w:rsidR="00802E46">
        <w:t xml:space="preserve"> </w:t>
      </w:r>
      <w:r w:rsidRPr="000431AA">
        <w:t>revenues (i.e., gross revenues minus tax devolution to the States)</w:t>
      </w:r>
      <w:r w:rsidR="00802E46">
        <w:t xml:space="preserve"> </w:t>
      </w:r>
      <w:r w:rsidRPr="000431AA">
        <w:t>increased from 8.9 per cent to 11.2 per cent of GDP. Thus, the</w:t>
      </w:r>
      <w:r w:rsidR="00802E46">
        <w:t xml:space="preserve"> </w:t>
      </w:r>
      <w:r w:rsidRPr="000431AA">
        <w:t>ratio of the devolution to GDP increased from 1.6 per cent of GDP</w:t>
      </w:r>
      <w:r w:rsidR="00802E46">
        <w:t xml:space="preserve"> </w:t>
      </w:r>
      <w:r w:rsidRPr="000431AA">
        <w:t>in 1974-75 to 2.9 per cent of GDP in 1986-87. As against this, the</w:t>
      </w:r>
      <w:r w:rsidR="00802E46">
        <w:t xml:space="preserve"> </w:t>
      </w:r>
      <w:r w:rsidRPr="000431AA">
        <w:t>revenue expenditure of the Central Government (including</w:t>
      </w:r>
      <w:r w:rsidR="00802E46">
        <w:t xml:space="preserve"> </w:t>
      </w:r>
      <w:r w:rsidRPr="000431AA">
        <w:t>grants) increased from 7.8 per cent of GDP to 13.9 per cent during</w:t>
      </w:r>
      <w:r w:rsidR="00802E46">
        <w:t xml:space="preserve"> </w:t>
      </w:r>
      <w:r w:rsidRPr="000431AA">
        <w:t>the period. Of this, grants to the States increased from 1.4 per cent</w:t>
      </w:r>
      <w:r w:rsidR="00802E46">
        <w:t xml:space="preserve"> </w:t>
      </w:r>
      <w:r w:rsidRPr="000431AA">
        <w:t>of GDP to 2.4 per cent of GDP and other revenue expenditures of</w:t>
      </w:r>
      <w:r w:rsidR="00802E46">
        <w:t xml:space="preserve"> </w:t>
      </w:r>
      <w:r w:rsidRPr="000431AA">
        <w:t>the Central Government increased from 6.4 per cent to 11.5 per</w:t>
      </w:r>
      <w:r w:rsidR="00802E46">
        <w:t xml:space="preserve"> </w:t>
      </w:r>
      <w:r w:rsidRPr="000431AA">
        <w:t xml:space="preserve">cent of GDP. </w:t>
      </w:r>
      <w:proofErr w:type="gramStart"/>
      <w:r w:rsidRPr="000431AA">
        <w:t>Thus</w:t>
      </w:r>
      <w:proofErr w:type="gramEnd"/>
      <w:r w:rsidRPr="000431AA">
        <w:t xml:space="preserve"> Centre's own expenditure increased by 5.1</w:t>
      </w:r>
      <w:r w:rsidR="00802E46">
        <w:t xml:space="preserve"> </w:t>
      </w:r>
      <w:r w:rsidRPr="000431AA">
        <w:t>percentage points while grants increased by one percentage</w:t>
      </w:r>
      <w:r w:rsidR="00802E46">
        <w:t xml:space="preserve"> </w:t>
      </w:r>
      <w:r w:rsidRPr="000431AA">
        <w:t>point.</w:t>
      </w:r>
    </w:p>
    <w:p w14:paraId="0F591112" w14:textId="001B8A2D" w:rsidR="002F2047" w:rsidRPr="000431AA" w:rsidRDefault="002F2047" w:rsidP="00B36A4C">
      <w:pPr>
        <w:pStyle w:val="Heading6"/>
        <w:keepNext w:val="0"/>
        <w:keepLines w:val="0"/>
      </w:pPr>
      <w:r w:rsidRPr="000431AA">
        <w:t>The own revenues of the States increased from 5.1 per</w:t>
      </w:r>
      <w:r w:rsidR="00802E46">
        <w:t xml:space="preserve"> </w:t>
      </w:r>
      <w:r w:rsidRPr="000431AA">
        <w:t>cent of GDP in 1974-75 to only 7 per cent in 1986-87, but their total</w:t>
      </w:r>
      <w:r w:rsidR="00802E46">
        <w:t xml:space="preserve"> </w:t>
      </w:r>
      <w:r w:rsidRPr="000431AA">
        <w:t>revenue receipts including devolution of taxes and grants from the</w:t>
      </w:r>
      <w:r w:rsidR="00802E46">
        <w:t xml:space="preserve"> </w:t>
      </w:r>
      <w:r w:rsidRPr="000431AA">
        <w:t>Centre increased from 8.2 per cent to 12.3 per cent (total revenues</w:t>
      </w:r>
      <w:r w:rsidR="00802E46">
        <w:t xml:space="preserve"> </w:t>
      </w:r>
      <w:r w:rsidRPr="000431AA">
        <w:t>increased by 4.1 percentage points, while own revenues</w:t>
      </w:r>
      <w:r w:rsidR="00802E46">
        <w:t xml:space="preserve"> </w:t>
      </w:r>
      <w:r w:rsidRPr="000431AA">
        <w:t>increased by only 1.9 percentage points). Revenue expenditures</w:t>
      </w:r>
      <w:r w:rsidR="00802E46">
        <w:t xml:space="preserve"> </w:t>
      </w:r>
      <w:r w:rsidRPr="000431AA">
        <w:t>of the States increased from 7.7 per cent of GDP to 12.3 per cent,</w:t>
      </w:r>
      <w:r w:rsidR="00802E46">
        <w:t xml:space="preserve"> </w:t>
      </w:r>
      <w:r w:rsidRPr="000431AA">
        <w:t>i.e., by 4.6 percentage points during the period. This may be</w:t>
      </w:r>
      <w:r w:rsidR="00802E46">
        <w:t xml:space="preserve"> </w:t>
      </w:r>
      <w:r w:rsidRPr="000431AA">
        <w:t>compared with the increase of 5.1 percentage points in the own</w:t>
      </w:r>
      <w:r w:rsidR="00802E46">
        <w:t xml:space="preserve"> </w:t>
      </w:r>
      <w:r w:rsidRPr="000431AA">
        <w:t>expenditures of the Centre. The following conclusions may be</w:t>
      </w:r>
      <w:r w:rsidR="00802E46">
        <w:t xml:space="preserve"> </w:t>
      </w:r>
      <w:r w:rsidRPr="000431AA">
        <w:t>drawn about fiscal trends since 1974-75:</w:t>
      </w:r>
    </w:p>
    <w:p w14:paraId="66F0A1B3" w14:textId="58010C2A" w:rsidR="002F2047" w:rsidRPr="00883ADD" w:rsidRDefault="002F2047">
      <w:pPr>
        <w:pStyle w:val="ListParagraph"/>
        <w:numPr>
          <w:ilvl w:val="0"/>
          <w:numId w:val="50"/>
        </w:numPr>
        <w:spacing w:after="0"/>
        <w:jc w:val="both"/>
        <w:rPr>
          <w:rFonts w:ascii="Times New Roman" w:hAnsi="Times New Roman" w:cs="Times New Roman"/>
          <w:sz w:val="18"/>
          <w:szCs w:val="16"/>
        </w:rPr>
      </w:pPr>
      <w:r w:rsidRPr="00883ADD">
        <w:rPr>
          <w:rFonts w:ascii="Times New Roman" w:hAnsi="Times New Roman" w:cs="Times New Roman"/>
          <w:sz w:val="18"/>
          <w:szCs w:val="16"/>
        </w:rPr>
        <w:t>There has been a substantial growth in the revenue</w:t>
      </w:r>
      <w:r w:rsidR="00802E46" w:rsidRPr="00883ADD">
        <w:rPr>
          <w:rFonts w:ascii="Times New Roman" w:hAnsi="Times New Roman" w:cs="Times New Roman"/>
          <w:sz w:val="18"/>
          <w:szCs w:val="16"/>
        </w:rPr>
        <w:t xml:space="preserve"> </w:t>
      </w:r>
      <w:r w:rsidRPr="00883ADD">
        <w:rPr>
          <w:rFonts w:ascii="Times New Roman" w:hAnsi="Times New Roman" w:cs="Times New Roman"/>
          <w:sz w:val="18"/>
          <w:szCs w:val="16"/>
        </w:rPr>
        <w:t>receipts of the Central Government.</w:t>
      </w:r>
    </w:p>
    <w:p w14:paraId="387838C7" w14:textId="3CF52FDF" w:rsidR="002F2047" w:rsidRPr="00883ADD" w:rsidRDefault="002F2047">
      <w:pPr>
        <w:pStyle w:val="ListParagraph"/>
        <w:numPr>
          <w:ilvl w:val="0"/>
          <w:numId w:val="50"/>
        </w:numPr>
        <w:spacing w:after="0"/>
        <w:jc w:val="both"/>
        <w:rPr>
          <w:rFonts w:ascii="Times New Roman" w:hAnsi="Times New Roman" w:cs="Times New Roman"/>
          <w:sz w:val="18"/>
          <w:szCs w:val="16"/>
        </w:rPr>
      </w:pPr>
      <w:r w:rsidRPr="00883ADD">
        <w:rPr>
          <w:rFonts w:ascii="Times New Roman" w:hAnsi="Times New Roman" w:cs="Times New Roman"/>
          <w:sz w:val="18"/>
          <w:szCs w:val="16"/>
        </w:rPr>
        <w:t xml:space="preserve">The growth in revenue expenditures of the Centre </w:t>
      </w:r>
      <w:proofErr w:type="spellStart"/>
      <w:r w:rsidRPr="00883ADD">
        <w:rPr>
          <w:rFonts w:ascii="Times New Roman" w:hAnsi="Times New Roman" w:cs="Times New Roman"/>
          <w:sz w:val="18"/>
          <w:szCs w:val="16"/>
        </w:rPr>
        <w:t>hasbeen</w:t>
      </w:r>
      <w:proofErr w:type="spellEnd"/>
      <w:r w:rsidRPr="00883ADD">
        <w:rPr>
          <w:rFonts w:ascii="Times New Roman" w:hAnsi="Times New Roman" w:cs="Times New Roman"/>
          <w:sz w:val="18"/>
          <w:szCs w:val="16"/>
        </w:rPr>
        <w:t xml:space="preserve"> much faster mainly because of the rise in its own</w:t>
      </w:r>
      <w:r w:rsidR="00B36A4C" w:rsidRPr="00883ADD">
        <w:rPr>
          <w:rFonts w:ascii="Times New Roman" w:hAnsi="Times New Roman" w:cs="Times New Roman"/>
          <w:sz w:val="18"/>
          <w:szCs w:val="16"/>
        </w:rPr>
        <w:t xml:space="preserve"> </w:t>
      </w:r>
      <w:r w:rsidRPr="00883ADD">
        <w:rPr>
          <w:rFonts w:ascii="Times New Roman" w:hAnsi="Times New Roman" w:cs="Times New Roman"/>
          <w:sz w:val="18"/>
          <w:szCs w:val="16"/>
        </w:rPr>
        <w:t>expenditure and partly also because of the rise in the</w:t>
      </w:r>
      <w:r w:rsidR="00802E46" w:rsidRPr="00883ADD">
        <w:rPr>
          <w:rFonts w:ascii="Times New Roman" w:hAnsi="Times New Roman" w:cs="Times New Roman"/>
          <w:sz w:val="18"/>
          <w:szCs w:val="16"/>
        </w:rPr>
        <w:t xml:space="preserve"> </w:t>
      </w:r>
      <w:r w:rsidRPr="00883ADD">
        <w:rPr>
          <w:rFonts w:ascii="Times New Roman" w:hAnsi="Times New Roman" w:cs="Times New Roman"/>
          <w:sz w:val="18"/>
          <w:szCs w:val="16"/>
        </w:rPr>
        <w:t>proportion of grants.</w:t>
      </w:r>
    </w:p>
    <w:p w14:paraId="77270195" w14:textId="545CED77" w:rsidR="002F2047" w:rsidRPr="00883ADD" w:rsidRDefault="002F2047">
      <w:pPr>
        <w:pStyle w:val="ListParagraph"/>
        <w:numPr>
          <w:ilvl w:val="0"/>
          <w:numId w:val="50"/>
        </w:numPr>
        <w:spacing w:after="0"/>
        <w:jc w:val="both"/>
        <w:rPr>
          <w:rFonts w:ascii="Times New Roman" w:hAnsi="Times New Roman" w:cs="Times New Roman"/>
          <w:sz w:val="18"/>
          <w:szCs w:val="16"/>
        </w:rPr>
      </w:pPr>
      <w:r w:rsidRPr="00883ADD">
        <w:rPr>
          <w:rFonts w:ascii="Times New Roman" w:hAnsi="Times New Roman" w:cs="Times New Roman"/>
          <w:sz w:val="18"/>
          <w:szCs w:val="16"/>
        </w:rPr>
        <w:t>The growth of own revenues of the States is marginally</w:t>
      </w:r>
      <w:r w:rsidR="00802E46" w:rsidRPr="00883ADD">
        <w:rPr>
          <w:rFonts w:ascii="Times New Roman" w:hAnsi="Times New Roman" w:cs="Times New Roman"/>
          <w:sz w:val="18"/>
          <w:szCs w:val="16"/>
        </w:rPr>
        <w:t xml:space="preserve"> </w:t>
      </w:r>
      <w:r w:rsidRPr="00883ADD">
        <w:rPr>
          <w:rFonts w:ascii="Times New Roman" w:hAnsi="Times New Roman" w:cs="Times New Roman"/>
          <w:sz w:val="18"/>
          <w:szCs w:val="16"/>
        </w:rPr>
        <w:t>higher than that of the Central revenues. However, the</w:t>
      </w:r>
      <w:r w:rsidR="00B36A4C" w:rsidRPr="00883ADD">
        <w:rPr>
          <w:rFonts w:ascii="Times New Roman" w:hAnsi="Times New Roman" w:cs="Times New Roman"/>
          <w:sz w:val="18"/>
          <w:szCs w:val="16"/>
        </w:rPr>
        <w:t xml:space="preserve"> </w:t>
      </w:r>
      <w:r w:rsidRPr="00883ADD">
        <w:rPr>
          <w:rFonts w:ascii="Times New Roman" w:hAnsi="Times New Roman" w:cs="Times New Roman"/>
          <w:sz w:val="18"/>
          <w:szCs w:val="16"/>
        </w:rPr>
        <w:t>period since 1980-81 shows that the growth of own</w:t>
      </w:r>
      <w:r w:rsidR="00802E46" w:rsidRPr="00883ADD">
        <w:rPr>
          <w:rFonts w:ascii="Times New Roman" w:hAnsi="Times New Roman" w:cs="Times New Roman"/>
          <w:sz w:val="18"/>
          <w:szCs w:val="16"/>
        </w:rPr>
        <w:t xml:space="preserve"> </w:t>
      </w:r>
      <w:r w:rsidRPr="00883ADD">
        <w:rPr>
          <w:rFonts w:ascii="Times New Roman" w:hAnsi="Times New Roman" w:cs="Times New Roman"/>
          <w:sz w:val="18"/>
          <w:szCs w:val="16"/>
        </w:rPr>
        <w:t>revenues of the States has not been as fast as that of</w:t>
      </w:r>
      <w:r w:rsidR="00B36A4C" w:rsidRPr="00883ADD">
        <w:rPr>
          <w:rFonts w:ascii="Times New Roman" w:hAnsi="Times New Roman" w:cs="Times New Roman"/>
          <w:sz w:val="18"/>
          <w:szCs w:val="16"/>
        </w:rPr>
        <w:t xml:space="preserve"> </w:t>
      </w:r>
      <w:r w:rsidRPr="00883ADD">
        <w:rPr>
          <w:rFonts w:ascii="Times New Roman" w:hAnsi="Times New Roman" w:cs="Times New Roman"/>
          <w:sz w:val="18"/>
          <w:szCs w:val="16"/>
        </w:rPr>
        <w:t>Central revenues. Nevertheless, when supplemented</w:t>
      </w:r>
      <w:r w:rsidR="00802E46" w:rsidRPr="00883ADD">
        <w:rPr>
          <w:rFonts w:ascii="Times New Roman" w:hAnsi="Times New Roman" w:cs="Times New Roman"/>
          <w:sz w:val="18"/>
          <w:szCs w:val="16"/>
        </w:rPr>
        <w:t xml:space="preserve"> </w:t>
      </w:r>
      <w:r w:rsidRPr="00883ADD">
        <w:rPr>
          <w:rFonts w:ascii="Times New Roman" w:hAnsi="Times New Roman" w:cs="Times New Roman"/>
          <w:sz w:val="18"/>
          <w:szCs w:val="16"/>
        </w:rPr>
        <w:t>by Central transfers, States' revenue receipts grew fairly</w:t>
      </w:r>
      <w:r w:rsidR="00B36A4C" w:rsidRPr="00883ADD">
        <w:rPr>
          <w:rFonts w:ascii="Times New Roman" w:hAnsi="Times New Roman" w:cs="Times New Roman"/>
          <w:sz w:val="18"/>
          <w:szCs w:val="16"/>
        </w:rPr>
        <w:t xml:space="preserve"> </w:t>
      </w:r>
      <w:r w:rsidRPr="00883ADD">
        <w:rPr>
          <w:rFonts w:ascii="Times New Roman" w:hAnsi="Times New Roman" w:cs="Times New Roman"/>
          <w:sz w:val="18"/>
          <w:szCs w:val="16"/>
        </w:rPr>
        <w:t>fast.</w:t>
      </w:r>
    </w:p>
    <w:p w14:paraId="42DFB537" w14:textId="6C720940" w:rsidR="00B36A4C" w:rsidRPr="00883ADD" w:rsidRDefault="002F2047">
      <w:pPr>
        <w:pStyle w:val="ListParagraph"/>
        <w:numPr>
          <w:ilvl w:val="0"/>
          <w:numId w:val="50"/>
        </w:numPr>
        <w:spacing w:after="0"/>
        <w:jc w:val="both"/>
        <w:rPr>
          <w:rFonts w:ascii="Times New Roman" w:hAnsi="Times New Roman" w:cs="Times New Roman"/>
          <w:sz w:val="18"/>
          <w:szCs w:val="16"/>
        </w:rPr>
      </w:pPr>
      <w:r w:rsidRPr="00883ADD">
        <w:rPr>
          <w:rFonts w:ascii="Times New Roman" w:hAnsi="Times New Roman" w:cs="Times New Roman"/>
          <w:sz w:val="18"/>
          <w:szCs w:val="16"/>
        </w:rPr>
        <w:t>States' revenue expenditure increased faster than</w:t>
      </w:r>
      <w:r w:rsidR="00802E46" w:rsidRPr="00883ADD">
        <w:rPr>
          <w:rFonts w:ascii="Times New Roman" w:hAnsi="Times New Roman" w:cs="Times New Roman"/>
          <w:sz w:val="18"/>
          <w:szCs w:val="16"/>
        </w:rPr>
        <w:t xml:space="preserve"> </w:t>
      </w:r>
      <w:r w:rsidRPr="00883ADD">
        <w:rPr>
          <w:rFonts w:ascii="Times New Roman" w:hAnsi="Times New Roman" w:cs="Times New Roman"/>
          <w:sz w:val="18"/>
          <w:szCs w:val="16"/>
        </w:rPr>
        <w:t>revenues, although not as fast as Centre's own</w:t>
      </w:r>
      <w:r w:rsidR="00B36A4C" w:rsidRPr="00883ADD">
        <w:rPr>
          <w:rFonts w:ascii="Times New Roman" w:hAnsi="Times New Roman" w:cs="Times New Roman"/>
          <w:sz w:val="18"/>
          <w:szCs w:val="16"/>
        </w:rPr>
        <w:t xml:space="preserve"> </w:t>
      </w:r>
      <w:r w:rsidRPr="00883ADD">
        <w:rPr>
          <w:rFonts w:ascii="Times New Roman" w:hAnsi="Times New Roman" w:cs="Times New Roman"/>
          <w:sz w:val="18"/>
          <w:szCs w:val="16"/>
        </w:rPr>
        <w:t>expenditure.</w:t>
      </w:r>
    </w:p>
    <w:p w14:paraId="4B87D549" w14:textId="675E4C7F" w:rsidR="002F2047" w:rsidRPr="000431AA" w:rsidRDefault="002F2047" w:rsidP="00B36A4C">
      <w:pPr>
        <w:pStyle w:val="Heading6"/>
        <w:keepNext w:val="0"/>
        <w:keepLines w:val="0"/>
      </w:pPr>
      <w:r w:rsidRPr="000431AA">
        <w:t>Since non-Plan revenue expenditure accounts for</w:t>
      </w:r>
      <w:r w:rsidR="00802E46">
        <w:t xml:space="preserve"> </w:t>
      </w:r>
      <w:r w:rsidRPr="000431AA">
        <w:t>around 20 per cent of GDP, the entire Plan revenue expenditure</w:t>
      </w:r>
      <w:r w:rsidRPr="000431AA">
        <w:br/>
        <w:t>(at the aggregate level) has to be met out of borrowing. The non-Plan revenue expenditure of the Centre and the States increased</w:t>
      </w:r>
      <w:r w:rsidRPr="000431AA">
        <w:br/>
        <w:t>almost steadily from 13.3 per cent of GDP in 1974-75 to 19.5 per</w:t>
      </w:r>
      <w:r w:rsidR="00802E46">
        <w:t xml:space="preserve"> </w:t>
      </w:r>
      <w:r w:rsidRPr="000431AA">
        <w:t>cent in 1986-87. At the Central level, until 1985-86, the greater</w:t>
      </w:r>
      <w:r w:rsidR="00802E46">
        <w:t xml:space="preserve"> </w:t>
      </w:r>
      <w:r w:rsidRPr="000431AA">
        <w:t>part of the rise in the non-Plan revenue expenditure was</w:t>
      </w:r>
      <w:r w:rsidR="00802E46">
        <w:t xml:space="preserve"> </w:t>
      </w:r>
      <w:r w:rsidRPr="000431AA">
        <w:t>accounted for by increases in interest payments and subsidies.</w:t>
      </w:r>
      <w:r w:rsidRPr="000431AA">
        <w:br/>
        <w:t>However, since 1986-87, there has also been a substantial</w:t>
      </w:r>
      <w:r w:rsidR="00802E46">
        <w:t xml:space="preserve"> </w:t>
      </w:r>
      <w:r w:rsidRPr="000431AA">
        <w:t>increase in defence expenditure which has caused the ratio of</w:t>
      </w:r>
      <w:r w:rsidRPr="000431AA">
        <w:br/>
        <w:t>non-Plan revenue expenditure to GDP to grow further. At the level</w:t>
      </w:r>
      <w:r w:rsidR="00802E46">
        <w:t xml:space="preserve"> </w:t>
      </w:r>
      <w:r w:rsidRPr="000431AA">
        <w:t>of the States, the non-Plan revenue expenditure ratio grew from</w:t>
      </w:r>
      <w:r w:rsidR="00802E46">
        <w:t xml:space="preserve"> </w:t>
      </w:r>
      <w:r w:rsidRPr="000431AA">
        <w:t>7.3 per cent in 1974-75 to 10.1 per cent in 1986-87; more than half</w:t>
      </w:r>
      <w:r w:rsidR="00802E46">
        <w:t xml:space="preserve"> </w:t>
      </w:r>
      <w:r w:rsidRPr="000431AA">
        <w:t>of the increase in the ratio was accounted for by increases in</w:t>
      </w:r>
      <w:r w:rsidR="00802E46">
        <w:t xml:space="preserve"> </w:t>
      </w:r>
      <w:r w:rsidRPr="000431AA">
        <w:t>development expenditure. The growth in non-Plan development</w:t>
      </w:r>
      <w:r w:rsidR="00802E46">
        <w:t xml:space="preserve"> </w:t>
      </w:r>
      <w:r w:rsidRPr="000431AA">
        <w:t>expenditure within the revenue account at the States' level and a</w:t>
      </w:r>
      <w:r w:rsidR="00802E46">
        <w:t xml:space="preserve"> </w:t>
      </w:r>
      <w:r w:rsidRPr="000431AA">
        <w:t>good part of the increase in interest payments at the Central level</w:t>
      </w:r>
      <w:r w:rsidR="00802E46">
        <w:t xml:space="preserve"> </w:t>
      </w:r>
      <w:r w:rsidRPr="000431AA">
        <w:t>may be attributed to the successive development Plans (which</w:t>
      </w:r>
      <w:r w:rsidR="00802E46">
        <w:t xml:space="preserve"> </w:t>
      </w:r>
      <w:r w:rsidRPr="000431AA">
        <w:t>leave behind increased commitments), borrowing for meeting</w:t>
      </w:r>
      <w:r w:rsidR="00802E46">
        <w:t xml:space="preserve"> </w:t>
      </w:r>
      <w:r w:rsidRPr="000431AA">
        <w:t>revenue expenditure and also capital expenditure not generating</w:t>
      </w:r>
      <w:r w:rsidR="00802E46">
        <w:t xml:space="preserve"> </w:t>
      </w:r>
      <w:r w:rsidRPr="000431AA">
        <w:t>adequate returns.</w:t>
      </w:r>
    </w:p>
    <w:p w14:paraId="350E395F" w14:textId="79C3E09B" w:rsidR="002F2047" w:rsidRPr="000431AA" w:rsidRDefault="002F2047" w:rsidP="00B36A4C">
      <w:pPr>
        <w:pStyle w:val="Heading6"/>
        <w:keepNext w:val="0"/>
        <w:keepLines w:val="0"/>
      </w:pPr>
      <w:r w:rsidRPr="000431AA">
        <w:t>The combined revenue deficit of the Central and State</w:t>
      </w:r>
      <w:r w:rsidR="00802E46">
        <w:t xml:space="preserve"> </w:t>
      </w:r>
      <w:r w:rsidRPr="000431AA">
        <w:t xml:space="preserve">Governments is estimated at Rs. 13,354 </w:t>
      </w:r>
      <w:proofErr w:type="gramStart"/>
      <w:r w:rsidRPr="000431AA">
        <w:t>crore</w:t>
      </w:r>
      <w:proofErr w:type="gramEnd"/>
      <w:r w:rsidRPr="000431AA">
        <w:t xml:space="preserve"> in 1988-89 which</w:t>
      </w:r>
      <w:r w:rsidR="00802E46">
        <w:t xml:space="preserve"> </w:t>
      </w:r>
      <w:r w:rsidRPr="000431AA">
        <w:t>may form about 3.9 per cent of GDP. Of this, the share of the</w:t>
      </w:r>
      <w:r w:rsidR="00802E46">
        <w:t xml:space="preserve"> </w:t>
      </w:r>
      <w:r w:rsidRPr="000431AA">
        <w:t>Centre is Rs. 11,030 crore or 3.2 per cent of GDP. Although the</w:t>
      </w:r>
      <w:r w:rsidR="00802E46">
        <w:t xml:space="preserve"> </w:t>
      </w:r>
      <w:r w:rsidRPr="000431AA">
        <w:t>total net revenue deficit of the States in that year is only Rs. 2,324</w:t>
      </w:r>
      <w:r w:rsidR="00802E46">
        <w:t xml:space="preserve"> </w:t>
      </w:r>
      <w:proofErr w:type="gramStart"/>
      <w:r w:rsidRPr="000431AA">
        <w:t>crore</w:t>
      </w:r>
      <w:proofErr w:type="gramEnd"/>
      <w:r w:rsidRPr="000431AA">
        <w:t>, the combined revenue deficit of the deficit States is around</w:t>
      </w:r>
      <w:r w:rsidR="00802E46">
        <w:t xml:space="preserve"> </w:t>
      </w:r>
      <w:r w:rsidRPr="000431AA">
        <w:t xml:space="preserve">Rs. 2,990 </w:t>
      </w:r>
      <w:proofErr w:type="gramStart"/>
      <w:r w:rsidRPr="000431AA">
        <w:t>crore</w:t>
      </w:r>
      <w:proofErr w:type="gramEnd"/>
      <w:r w:rsidRPr="000431AA">
        <w:t>. Indications are that revenue expenditures would</w:t>
      </w:r>
      <w:r w:rsidR="00802E46">
        <w:t xml:space="preserve"> </w:t>
      </w:r>
      <w:r w:rsidRPr="000431AA">
        <w:t>continue to increase faster than revenue receipts and the revenue</w:t>
      </w:r>
      <w:r w:rsidR="00802E46">
        <w:t xml:space="preserve"> </w:t>
      </w:r>
      <w:r w:rsidRPr="000431AA">
        <w:t>deficits would rise both absolutely and in relation to GDP. Drastic</w:t>
      </w:r>
      <w:r w:rsidR="00802E46">
        <w:t xml:space="preserve"> </w:t>
      </w:r>
      <w:r w:rsidRPr="000431AA">
        <w:t>changes in fiscal policies are required if this trend is to be</w:t>
      </w:r>
      <w:r w:rsidR="00802E46">
        <w:t xml:space="preserve"> </w:t>
      </w:r>
      <w:r w:rsidRPr="000431AA">
        <w:t>reversed.</w:t>
      </w:r>
    </w:p>
    <w:p w14:paraId="270ADDAA" w14:textId="298C7303" w:rsidR="002F2047" w:rsidRPr="000431AA" w:rsidRDefault="002F2047" w:rsidP="00B36A4C">
      <w:pPr>
        <w:pStyle w:val="Heading6"/>
        <w:keepNext w:val="0"/>
        <w:keepLines w:val="0"/>
      </w:pPr>
      <w:r w:rsidRPr="000431AA">
        <w:t>Another cause for serious concern is the rapid increase</w:t>
      </w:r>
      <w:r w:rsidR="00802E46">
        <w:t xml:space="preserve"> </w:t>
      </w:r>
      <w:r w:rsidRPr="000431AA">
        <w:t>in public debt, especially in recent years. The combined public</w:t>
      </w:r>
      <w:r w:rsidR="005F2F8B" w:rsidRPr="000431AA">
        <w:t xml:space="preserve"> </w:t>
      </w:r>
      <w:r w:rsidRPr="000431AA">
        <w:t>debt of the Centre and the States</w:t>
      </w:r>
      <w:r w:rsidR="005F2F8B" w:rsidRPr="000431AA">
        <w:t xml:space="preserve"> </w:t>
      </w:r>
      <w:r w:rsidRPr="000431AA">
        <w:t>increased from only Rs. 29,933</w:t>
      </w:r>
      <w:r w:rsidR="00802E46">
        <w:t xml:space="preserve"> </w:t>
      </w:r>
      <w:proofErr w:type="gramStart"/>
      <w:r w:rsidRPr="000431AA">
        <w:t>crore</w:t>
      </w:r>
      <w:proofErr w:type="gramEnd"/>
      <w:r w:rsidRPr="000431AA">
        <w:t xml:space="preserve"> at the end of 1974-75 to Rs. 1,92,797 </w:t>
      </w:r>
      <w:proofErr w:type="gramStart"/>
      <w:r w:rsidRPr="000431AA">
        <w:t>crore</w:t>
      </w:r>
      <w:proofErr w:type="gramEnd"/>
      <w:r w:rsidRPr="000431AA">
        <w:t xml:space="preserve"> at the end of</w:t>
      </w:r>
      <w:r w:rsidR="00802E46">
        <w:t xml:space="preserve"> </w:t>
      </w:r>
      <w:r w:rsidRPr="000431AA">
        <w:t xml:space="preserve">1986-87 amounting to 65.7 </w:t>
      </w:r>
      <w:r w:rsidRPr="000431AA">
        <w:lastRenderedPageBreak/>
        <w:t>per cent of GDP. It is estimated to have</w:t>
      </w:r>
      <w:r w:rsidR="00802E46">
        <w:t xml:space="preserve"> </w:t>
      </w:r>
      <w:r w:rsidRPr="000431AA">
        <w:t xml:space="preserve">reached Rs. 2,63,758 </w:t>
      </w:r>
      <w:proofErr w:type="gramStart"/>
      <w:r w:rsidRPr="000431AA">
        <w:t>crore</w:t>
      </w:r>
      <w:proofErr w:type="gramEnd"/>
      <w:r w:rsidRPr="000431AA">
        <w:t xml:space="preserve"> by March 31, 1989. Until the revenue</w:t>
      </w:r>
      <w:r w:rsidR="00802E46">
        <w:t xml:space="preserve"> </w:t>
      </w:r>
      <w:r w:rsidRPr="000431AA">
        <w:t>deficit emerged, public borrowing (including borrowing from the</w:t>
      </w:r>
      <w:r w:rsidR="00802E46">
        <w:t xml:space="preserve"> </w:t>
      </w:r>
      <w:r w:rsidRPr="000431AA">
        <w:t>Reserve Bank of India) was resorted to for financing public</w:t>
      </w:r>
      <w:r w:rsidR="00802E46">
        <w:t xml:space="preserve"> </w:t>
      </w:r>
      <w:r w:rsidRPr="000431AA">
        <w:t>investment in physical assets or for granting loans to enterprises</w:t>
      </w:r>
      <w:r w:rsidR="00802E46">
        <w:t xml:space="preserve"> </w:t>
      </w:r>
      <w:r w:rsidRPr="000431AA">
        <w:t>in the public and the private sectors. With a large public sector in</w:t>
      </w:r>
      <w:r w:rsidR="00802E46">
        <w:t xml:space="preserve"> </w:t>
      </w:r>
      <w:r w:rsidRPr="000431AA">
        <w:t>core enterprises and the State playing an active interventionist</w:t>
      </w:r>
      <w:r w:rsidR="00802E46">
        <w:t xml:space="preserve"> </w:t>
      </w:r>
      <w:r w:rsidRPr="000431AA">
        <w:t>role in promoting growth, it is inevitable that there is a large public</w:t>
      </w:r>
      <w:r w:rsidR="00802E46">
        <w:t xml:space="preserve"> </w:t>
      </w:r>
      <w:r w:rsidRPr="000431AA">
        <w:t>borrowing programme. But such a borrowing programme and the</w:t>
      </w:r>
      <w:r w:rsidR="00802E46">
        <w:t xml:space="preserve"> </w:t>
      </w:r>
      <w:r w:rsidRPr="000431AA">
        <w:t>consequential growth of public debt need not have resulted in a</w:t>
      </w:r>
      <w:r w:rsidR="00802E46">
        <w:t xml:space="preserve"> </w:t>
      </w:r>
      <w:r w:rsidRPr="000431AA">
        <w:t>corresponding growth of interest burden on the budget itself if the</w:t>
      </w:r>
      <w:r w:rsidR="00802E46">
        <w:t xml:space="preserve"> </w:t>
      </w:r>
      <w:r w:rsidRPr="000431AA">
        <w:t>investment in public enterprises as well as in financial assets had</w:t>
      </w:r>
      <w:r w:rsidR="00802E46">
        <w:t xml:space="preserve"> </w:t>
      </w:r>
      <w:r w:rsidRPr="000431AA">
        <w:t>earned adequate returns. The total capital employed in the</w:t>
      </w:r>
      <w:r w:rsidRPr="000431AA">
        <w:br/>
        <w:t>Central public enterprises (covered by The Public Enterprises</w:t>
      </w:r>
      <w:r w:rsidR="00802E46">
        <w:t xml:space="preserve"> </w:t>
      </w:r>
      <w:r w:rsidRPr="000431AA">
        <w:t xml:space="preserve">Survey) amounted to about Rs. 52,000 </w:t>
      </w:r>
      <w:proofErr w:type="gramStart"/>
      <w:r w:rsidRPr="000431AA">
        <w:t>crore</w:t>
      </w:r>
      <w:proofErr w:type="gramEnd"/>
      <w:r w:rsidRPr="000431AA">
        <w:t xml:space="preserve"> at the end of 1986-</w:t>
      </w:r>
      <w:r w:rsidR="00802E46">
        <w:t xml:space="preserve"> </w:t>
      </w:r>
      <w:r w:rsidRPr="000431AA">
        <w:t>87. Of these, 100 units were making losses amounting to Rs.</w:t>
      </w:r>
      <w:r w:rsidR="00802E46">
        <w:t xml:space="preserve"> </w:t>
      </w:r>
      <w:r w:rsidRPr="000431AA">
        <w:t xml:space="preserve">1,708 </w:t>
      </w:r>
      <w:proofErr w:type="gramStart"/>
      <w:r w:rsidRPr="000431AA">
        <w:t>crore</w:t>
      </w:r>
      <w:proofErr w:type="gramEnd"/>
      <w:r w:rsidRPr="000431AA">
        <w:t>; 109 units were making after-tax profit of Rs. 3,478</w:t>
      </w:r>
      <w:r w:rsidR="00802E46">
        <w:t xml:space="preserve"> </w:t>
      </w:r>
      <w:proofErr w:type="gramStart"/>
      <w:r w:rsidRPr="000431AA">
        <w:t>crore</w:t>
      </w:r>
      <w:proofErr w:type="gramEnd"/>
      <w:r w:rsidRPr="000431AA">
        <w:t xml:space="preserve"> of which Rs. 2,142 </w:t>
      </w:r>
      <w:proofErr w:type="gramStart"/>
      <w:r w:rsidRPr="000431AA">
        <w:t>crore</w:t>
      </w:r>
      <w:proofErr w:type="gramEnd"/>
      <w:r w:rsidRPr="000431AA">
        <w:t xml:space="preserve"> came from the petroleum sector.</w:t>
      </w:r>
      <w:r w:rsidR="00802E46">
        <w:t xml:space="preserve"> </w:t>
      </w:r>
      <w:r w:rsidRPr="000431AA">
        <w:t>Hence, the profit after-tax of enterprises in other than the</w:t>
      </w:r>
      <w:r w:rsidR="00645A34">
        <w:t xml:space="preserve"> </w:t>
      </w:r>
      <w:r w:rsidRPr="000431AA">
        <w:t xml:space="preserve">petroleum sector amounted only to Rs. 1,336 </w:t>
      </w:r>
      <w:proofErr w:type="gramStart"/>
      <w:r w:rsidRPr="000431AA">
        <w:t>crore</w:t>
      </w:r>
      <w:proofErr w:type="gramEnd"/>
      <w:r w:rsidRPr="000431AA">
        <w:t>. All in all, the</w:t>
      </w:r>
      <w:r w:rsidR="00802E46">
        <w:t xml:space="preserve"> </w:t>
      </w:r>
      <w:r w:rsidRPr="000431AA">
        <w:t xml:space="preserve">rate of return on the capital of Rs. 51,931 </w:t>
      </w:r>
      <w:proofErr w:type="gramStart"/>
      <w:r w:rsidRPr="000431AA">
        <w:t>crore</w:t>
      </w:r>
      <w:proofErr w:type="gramEnd"/>
      <w:r w:rsidRPr="000431AA">
        <w:t xml:space="preserve"> amounted to 6 per</w:t>
      </w:r>
      <w:r w:rsidR="00802E46">
        <w:t xml:space="preserve"> </w:t>
      </w:r>
      <w:r w:rsidRPr="000431AA">
        <w:t>cent before tax and 3.4 per cent after tax. Of course, if the</w:t>
      </w:r>
      <w:r w:rsidR="00802E46">
        <w:t xml:space="preserve"> </w:t>
      </w:r>
      <w:r w:rsidRPr="000431AA">
        <w:t>petroleum sector is excluded, the rate of return would be negative.</w:t>
      </w:r>
      <w:r w:rsidR="00802E46">
        <w:t xml:space="preserve"> </w:t>
      </w:r>
      <w:r w:rsidRPr="000431AA">
        <w:t>But the government has to continue to service the debt incurred for</w:t>
      </w:r>
      <w:r w:rsidR="00802E46">
        <w:t xml:space="preserve"> </w:t>
      </w:r>
      <w:r w:rsidRPr="000431AA">
        <w:t>a large part of this huge investment. At the level of the States, the</w:t>
      </w:r>
      <w:r w:rsidR="00802E46">
        <w:t xml:space="preserve"> </w:t>
      </w:r>
      <w:r w:rsidRPr="000431AA">
        <w:t>most important public enterprises are the State Electricity Boards</w:t>
      </w:r>
      <w:r w:rsidR="00802E46">
        <w:t xml:space="preserve"> </w:t>
      </w:r>
      <w:r w:rsidRPr="000431AA">
        <w:t>and the State Road Transport Corporations. The total capital</w:t>
      </w:r>
      <w:r w:rsidR="00802E46">
        <w:t xml:space="preserve"> </w:t>
      </w:r>
      <w:r w:rsidRPr="000431AA">
        <w:t>employed (net fixed assets) in State Electricity Boards amounted</w:t>
      </w:r>
      <w:r w:rsidR="00802E46">
        <w:t xml:space="preserve"> </w:t>
      </w:r>
      <w:r w:rsidRPr="000431AA">
        <w:t xml:space="preserve">to Rs. 13,534 </w:t>
      </w:r>
      <w:proofErr w:type="gramStart"/>
      <w:r w:rsidRPr="000431AA">
        <w:t>crore</w:t>
      </w:r>
      <w:proofErr w:type="gramEnd"/>
      <w:r w:rsidRPr="000431AA">
        <w:t xml:space="preserve"> in 1985-86 and together they incurred a</w:t>
      </w:r>
      <w:r w:rsidR="00802E46">
        <w:t xml:space="preserve"> </w:t>
      </w:r>
      <w:r w:rsidRPr="000431AA">
        <w:t xml:space="preserve">commercial loss of Rs. 1,520 </w:t>
      </w:r>
      <w:proofErr w:type="gramStart"/>
      <w:r w:rsidRPr="000431AA">
        <w:t>crore</w:t>
      </w:r>
      <w:proofErr w:type="gramEnd"/>
      <w:r w:rsidRPr="000431AA">
        <w:t>. The State Road Transport</w:t>
      </w:r>
      <w:r w:rsidR="00802E46">
        <w:t xml:space="preserve"> </w:t>
      </w:r>
      <w:r w:rsidRPr="000431AA">
        <w:t xml:space="preserve">Corporations made an aggregate loss of Rs. 226 </w:t>
      </w:r>
      <w:proofErr w:type="gramStart"/>
      <w:r w:rsidRPr="000431AA">
        <w:t>crore</w:t>
      </w:r>
      <w:proofErr w:type="gramEnd"/>
      <w:r w:rsidRPr="000431AA">
        <w:t xml:space="preserve"> on a block</w:t>
      </w:r>
      <w:r w:rsidR="00802E46">
        <w:t xml:space="preserve"> </w:t>
      </w:r>
      <w:r w:rsidRPr="000431AA">
        <w:t xml:space="preserve">capital of Rs. 1,882 </w:t>
      </w:r>
      <w:proofErr w:type="gramStart"/>
      <w:r w:rsidRPr="000431AA">
        <w:t>crore</w:t>
      </w:r>
      <w:proofErr w:type="gramEnd"/>
      <w:r w:rsidRPr="000431AA">
        <w:t>. One of the major causes of the rise in</w:t>
      </w:r>
      <w:r w:rsidR="00802E46">
        <w:t xml:space="preserve"> </w:t>
      </w:r>
      <w:r w:rsidRPr="000431AA">
        <w:t>the net interest burden on the general budget is the poor returns</w:t>
      </w:r>
      <w:r w:rsidR="00802E46">
        <w:t xml:space="preserve"> </w:t>
      </w:r>
      <w:r w:rsidRPr="000431AA">
        <w:t>on the major investments of Central and the State Governments.</w:t>
      </w:r>
      <w:r w:rsidR="00802E46">
        <w:t xml:space="preserve"> </w:t>
      </w:r>
      <w:r w:rsidRPr="000431AA">
        <w:t>Another cause is the creation of public debt for financing revenue</w:t>
      </w:r>
      <w:r w:rsidR="00802E46">
        <w:t xml:space="preserve"> </w:t>
      </w:r>
      <w:r w:rsidRPr="000431AA">
        <w:t>expenditure which by its very nature cannot yield any direct</w:t>
      </w:r>
      <w:r w:rsidR="00B36A4C">
        <w:t xml:space="preserve"> </w:t>
      </w:r>
      <w:r w:rsidRPr="000431AA">
        <w:t>return.</w:t>
      </w:r>
    </w:p>
    <w:p w14:paraId="79422987" w14:textId="15E947AF" w:rsidR="00B36A4C" w:rsidRDefault="002F2047" w:rsidP="00B36A4C">
      <w:pPr>
        <w:pStyle w:val="Heading6"/>
        <w:keepNext w:val="0"/>
        <w:keepLines w:val="0"/>
      </w:pPr>
      <w:r w:rsidRPr="000431AA">
        <w:t> The total public debt of the Centre and the States now</w:t>
      </w:r>
      <w:r w:rsidR="00B36A4C">
        <w:t xml:space="preserve"> </w:t>
      </w:r>
      <w:proofErr w:type="gramStart"/>
      <w:r w:rsidRPr="000431AA">
        <w:t>constitutes</w:t>
      </w:r>
      <w:proofErr w:type="gramEnd"/>
      <w:r w:rsidRPr="000431AA">
        <w:t xml:space="preserve"> about 77 per cent of GDP and the gross interest</w:t>
      </w:r>
      <w:r w:rsidR="00645A34">
        <w:t xml:space="preserve"> </w:t>
      </w:r>
      <w:r w:rsidRPr="000431AA">
        <w:t>burden amounts to 4.7 per cent of GDP and the net interest burden</w:t>
      </w:r>
      <w:r w:rsidR="00B36A4C">
        <w:t xml:space="preserve"> </w:t>
      </w:r>
      <w:r w:rsidRPr="000431AA">
        <w:t>3.1 per cent. The total fiscal deficit (the total borrowing</w:t>
      </w:r>
      <w:r w:rsidR="00645A34">
        <w:t xml:space="preserve"> </w:t>
      </w:r>
      <w:r w:rsidRPr="000431AA">
        <w:t>requirements) of the Central Government has become large</w:t>
      </w:r>
      <w:r w:rsidR="00B36A4C">
        <w:t xml:space="preserve"> </w:t>
      </w:r>
      <w:r w:rsidRPr="000431AA">
        <w:t>amounting to nearly 9.4 per cent of GDP. This in itself is not</w:t>
      </w:r>
      <w:r w:rsidR="00645A34">
        <w:t xml:space="preserve"> </w:t>
      </w:r>
      <w:r w:rsidRPr="000431AA">
        <w:t>conducive to the maintenance of monetary stability. Besides, the</w:t>
      </w:r>
      <w:r w:rsidR="00B36A4C">
        <w:t xml:space="preserve"> </w:t>
      </w:r>
      <w:r w:rsidRPr="000431AA">
        <w:t>consequent rise in interest burden tends to enhance the revenue</w:t>
      </w:r>
      <w:r w:rsidR="00645A34">
        <w:t xml:space="preserve"> </w:t>
      </w:r>
      <w:r w:rsidRPr="000431AA">
        <w:t>deficit further.</w:t>
      </w:r>
    </w:p>
    <w:p w14:paraId="35550ACF" w14:textId="225343A9" w:rsidR="002F2047" w:rsidRPr="000431AA" w:rsidRDefault="002F2047" w:rsidP="00B36A4C">
      <w:pPr>
        <w:pStyle w:val="Heading6"/>
        <w:keepNext w:val="0"/>
        <w:keepLines w:val="0"/>
      </w:pPr>
      <w:r w:rsidRPr="000431AA">
        <w:t>The low level of income and the fairly moderate rate of</w:t>
      </w:r>
      <w:r w:rsidR="00B36A4C">
        <w:t xml:space="preserve"> </w:t>
      </w:r>
      <w:r w:rsidRPr="000431AA">
        <w:t>economic growth that we have been able to achieve together</w:t>
      </w:r>
      <w:r w:rsidR="00645A34">
        <w:t xml:space="preserve"> </w:t>
      </w:r>
      <w:r w:rsidRPr="000431AA">
        <w:t>constrain the extent of resources that can be raised by the</w:t>
      </w:r>
      <w:r w:rsidR="00B36A4C">
        <w:t xml:space="preserve"> </w:t>
      </w:r>
      <w:r w:rsidRPr="000431AA">
        <w:t>governments. But the resources which the governments need for</w:t>
      </w:r>
      <w:r w:rsidR="00645A34">
        <w:t xml:space="preserve"> </w:t>
      </w:r>
      <w:r w:rsidRPr="000431AA">
        <w:t>providing essential public services and for performing other</w:t>
      </w:r>
      <w:r w:rsidR="00B36A4C">
        <w:t xml:space="preserve"> </w:t>
      </w:r>
      <w:r w:rsidRPr="000431AA">
        <w:t>functions expected of them are large and rising. The problem of</w:t>
      </w:r>
      <w:r w:rsidR="00645A34">
        <w:t xml:space="preserve"> </w:t>
      </w:r>
      <w:r w:rsidRPr="000431AA">
        <w:t>scarcity of resources, however, cannot be solved through</w:t>
      </w:r>
      <w:r w:rsidR="00B36A4C">
        <w:t xml:space="preserve"> </w:t>
      </w:r>
      <w:r w:rsidRPr="000431AA">
        <w:t>increasing revenue deficits, which is tantamount to living beyond</w:t>
      </w:r>
      <w:r w:rsidR="00645A34">
        <w:t xml:space="preserve"> </w:t>
      </w:r>
      <w:r w:rsidRPr="000431AA">
        <w:t>one's means. The fiscal scenario in the country has worsened to</w:t>
      </w:r>
      <w:r w:rsidR="00B36A4C">
        <w:t xml:space="preserve"> </w:t>
      </w:r>
      <w:r w:rsidRPr="000431AA">
        <w:t>an alarming extent and corrective steps are required now to</w:t>
      </w:r>
      <w:r w:rsidR="00645A34">
        <w:t xml:space="preserve"> </w:t>
      </w:r>
      <w:r w:rsidRPr="000431AA">
        <w:t>reverse the trend and to create conditions for the restoration of</w:t>
      </w:r>
      <w:r w:rsidR="00B36A4C">
        <w:t xml:space="preserve"> </w:t>
      </w:r>
      <w:r w:rsidRPr="000431AA">
        <w:t>health to the financial system. Therefore, in our considered view,</w:t>
      </w:r>
      <w:r w:rsidR="00B36A4C">
        <w:t xml:space="preserve"> </w:t>
      </w:r>
      <w:r w:rsidRPr="000431AA">
        <w:t>one of the major objectives of financial policy in the medium term</w:t>
      </w:r>
      <w:r w:rsidR="00B36A4C">
        <w:t xml:space="preserve"> </w:t>
      </w:r>
      <w:r w:rsidRPr="000431AA">
        <w:t>should be the elimination of the revenue deficit.</w:t>
      </w:r>
    </w:p>
    <w:p w14:paraId="1A8C88AF" w14:textId="120D3116" w:rsidR="002F2047" w:rsidRPr="000431AA" w:rsidRDefault="002F2047" w:rsidP="00B36A4C">
      <w:pPr>
        <w:pStyle w:val="Heading6"/>
        <w:keepNext w:val="0"/>
        <w:keepLines w:val="0"/>
      </w:pPr>
      <w:r w:rsidRPr="000431AA">
        <w:t>Table B.3.2 indicates the trends in the share of the</w:t>
      </w:r>
      <w:r w:rsidR="00B36A4C">
        <w:t xml:space="preserve"> </w:t>
      </w:r>
      <w:r w:rsidRPr="000431AA">
        <w:t>States in the total combined tax revenues of the Centre and the</w:t>
      </w:r>
      <w:r w:rsidR="00B36A4C">
        <w:t xml:space="preserve"> </w:t>
      </w:r>
      <w:r w:rsidRPr="000431AA">
        <w:t>States. It is seen that over the years the share of total taxes</w:t>
      </w:r>
      <w:r w:rsidR="00B36A4C">
        <w:t xml:space="preserve"> </w:t>
      </w:r>
      <w:r w:rsidRPr="000431AA">
        <w:t>accruing to the States has increased with some fluctuations.</w:t>
      </w:r>
      <w:r w:rsidR="00B36A4C">
        <w:t xml:space="preserve"> </w:t>
      </w:r>
      <w:r w:rsidRPr="000431AA">
        <w:t>Since 1974-75 the rise has been fairly steady; the share of the</w:t>
      </w:r>
      <w:r w:rsidR="00B36A4C">
        <w:t xml:space="preserve"> </w:t>
      </w:r>
      <w:r w:rsidRPr="000431AA">
        <w:t>States has increased from 44.8 per cent in 1974-75 to 50.6 per</w:t>
      </w:r>
      <w:r w:rsidR="00B36A4C">
        <w:t xml:space="preserve"> </w:t>
      </w:r>
      <w:r w:rsidRPr="000431AA">
        <w:t>cent in 1986-87. In a similar manner, Table B.3.3 indicates the</w:t>
      </w:r>
      <w:r w:rsidR="00B36A4C">
        <w:t xml:space="preserve"> </w:t>
      </w:r>
      <w:r w:rsidRPr="000431AA">
        <w:t>changing share of the States in total revenue accruals. (In this</w:t>
      </w:r>
      <w:r w:rsidR="00B36A4C">
        <w:t xml:space="preserve"> </w:t>
      </w:r>
      <w:r w:rsidRPr="000431AA">
        <w:t>table besides devolution of taxes, Plan and non-Plan grants from</w:t>
      </w:r>
      <w:r w:rsidR="00B36A4C">
        <w:t xml:space="preserve"> </w:t>
      </w:r>
      <w:r w:rsidRPr="000431AA">
        <w:t>the Centre are also included in the States' share). We note that the</w:t>
      </w:r>
      <w:r w:rsidR="00B36A4C">
        <w:t xml:space="preserve"> </w:t>
      </w:r>
      <w:r w:rsidRPr="000431AA">
        <w:t>share of revenues accruing to the States has increased from 54.3</w:t>
      </w:r>
      <w:r w:rsidR="00B36A4C">
        <w:t xml:space="preserve"> </w:t>
      </w:r>
      <w:r w:rsidRPr="000431AA">
        <w:t>per cent in 1974-75 to 61.6 per cent in 1986-87. In other words, as</w:t>
      </w:r>
      <w:r w:rsidR="00B36A4C">
        <w:t xml:space="preserve"> </w:t>
      </w:r>
      <w:r w:rsidRPr="000431AA">
        <w:t>of now, as much as 62 per cent of the total revenues raised by the</w:t>
      </w:r>
      <w:r w:rsidR="00B36A4C">
        <w:t xml:space="preserve"> </w:t>
      </w:r>
      <w:r w:rsidRPr="000431AA">
        <w:t>Centre and the States are placed at the disposal of the States</w:t>
      </w:r>
      <w:r w:rsidR="00B36A4C">
        <w:t xml:space="preserve"> </w:t>
      </w:r>
      <w:r w:rsidRPr="000431AA">
        <w:t>although they themselves raise only 35.2 per cent of total</w:t>
      </w:r>
      <w:r w:rsidR="00B36A4C">
        <w:t xml:space="preserve"> </w:t>
      </w:r>
      <w:r w:rsidRPr="000431AA">
        <w:t>revenues.</w:t>
      </w:r>
    </w:p>
    <w:p w14:paraId="398758C3" w14:textId="68659B17" w:rsidR="002F2047" w:rsidRPr="000431AA" w:rsidRDefault="002F2047" w:rsidP="00B36A4C">
      <w:pPr>
        <w:pStyle w:val="Heading6"/>
        <w:keepNext w:val="0"/>
        <w:keepLines w:val="0"/>
      </w:pPr>
      <w:r w:rsidRPr="000431AA">
        <w:t>The dependence of the States on devolution and</w:t>
      </w:r>
      <w:r w:rsidR="00B36A4C">
        <w:t xml:space="preserve"> </w:t>
      </w:r>
      <w:r w:rsidRPr="000431AA">
        <w:t xml:space="preserve">grants has gradually increased. While their own revenues </w:t>
      </w:r>
      <w:r w:rsidR="00B36A4C" w:rsidRPr="000431AA">
        <w:t>have declined</w:t>
      </w:r>
      <w:r w:rsidRPr="000431AA">
        <w:t xml:space="preserve"> from 61.9 per cent of their total revenues in 1974-75 to</w:t>
      </w:r>
      <w:r w:rsidR="00B36A4C">
        <w:t xml:space="preserve"> </w:t>
      </w:r>
      <w:r w:rsidRPr="000431AA">
        <w:t>57.2 per cent in 1986-87, their dependence on current transfers</w:t>
      </w:r>
      <w:r w:rsidR="00B36A4C">
        <w:t xml:space="preserve"> </w:t>
      </w:r>
      <w:r w:rsidRPr="000431AA">
        <w:t>from the Centre has correspondingly increased from 38.1 per cent</w:t>
      </w:r>
      <w:r w:rsidR="00B36A4C">
        <w:t xml:space="preserve"> </w:t>
      </w:r>
      <w:r w:rsidRPr="000431AA">
        <w:t>to 42.8 per cent (Table B.3.4). In this connection, it is worth noting</w:t>
      </w:r>
      <w:r w:rsidR="00B36A4C">
        <w:t xml:space="preserve"> </w:t>
      </w:r>
      <w:r w:rsidRPr="000431AA">
        <w:t>that the proportion of shared taxes in States' revenues is lower</w:t>
      </w:r>
      <w:r w:rsidR="00B36A4C">
        <w:t xml:space="preserve"> </w:t>
      </w:r>
      <w:r w:rsidRPr="000431AA">
        <w:t>now than the high point reached in 1979-80 as a result of the</w:t>
      </w:r>
      <w:r w:rsidR="00B36A4C">
        <w:t xml:space="preserve"> </w:t>
      </w:r>
      <w:r w:rsidRPr="000431AA">
        <w:t>application of the Seventh Finance Commission's</w:t>
      </w:r>
      <w:r w:rsidR="00B36A4C">
        <w:t xml:space="preserve"> </w:t>
      </w:r>
      <w:r w:rsidRPr="000431AA">
        <w:t>recommendations. This decline, however, has been made up by</w:t>
      </w:r>
      <w:r w:rsidR="00B36A4C">
        <w:t xml:space="preserve"> </w:t>
      </w:r>
      <w:r w:rsidRPr="000431AA">
        <w:t>an increase in the share of grants.</w:t>
      </w:r>
    </w:p>
    <w:p w14:paraId="11C2BF6B" w14:textId="2DEB8B7C" w:rsidR="00C0399E" w:rsidRPr="00883ADD" w:rsidRDefault="00C0399E" w:rsidP="00D70E11">
      <w:pPr>
        <w:spacing w:after="0" w:line="240" w:lineRule="auto"/>
        <w:jc w:val="center"/>
        <w:rPr>
          <w:rFonts w:ascii="Times New Roman" w:hAnsi="Times New Roman" w:cs="Times New Roman"/>
          <w:sz w:val="18"/>
          <w:szCs w:val="16"/>
        </w:rPr>
      </w:pPr>
      <w:r w:rsidRPr="00C0399E">
        <w:rPr>
          <w:rFonts w:ascii="Times New Roman" w:hAnsi="Times New Roman" w:cs="Times New Roman"/>
          <w:b/>
          <w:bCs/>
          <w:sz w:val="20"/>
          <w:szCs w:val="18"/>
        </w:rPr>
        <w:t>TABLE B.3.1</w:t>
      </w:r>
    </w:p>
    <w:p w14:paraId="773614DB" w14:textId="77777777" w:rsidR="00C0399E" w:rsidRPr="00C0399E" w:rsidRDefault="00C0399E" w:rsidP="00D70E11">
      <w:pPr>
        <w:spacing w:after="0" w:line="240" w:lineRule="auto"/>
        <w:jc w:val="center"/>
        <w:rPr>
          <w:rFonts w:ascii="Times New Roman" w:hAnsi="Times New Roman" w:cs="Times New Roman"/>
          <w:b/>
          <w:bCs/>
          <w:sz w:val="20"/>
          <w:szCs w:val="18"/>
        </w:rPr>
      </w:pPr>
      <w:r w:rsidRPr="00C0399E">
        <w:rPr>
          <w:rFonts w:ascii="Times New Roman" w:hAnsi="Times New Roman" w:cs="Times New Roman"/>
          <w:b/>
          <w:bCs/>
          <w:sz w:val="20"/>
          <w:szCs w:val="18"/>
        </w:rPr>
        <w:t xml:space="preserve">Revenue Receipts and Revenue Expenditures </w:t>
      </w:r>
      <w:proofErr w:type="gramStart"/>
      <w:r w:rsidRPr="00C0399E">
        <w:rPr>
          <w:rFonts w:ascii="Times New Roman" w:hAnsi="Times New Roman" w:cs="Times New Roman"/>
          <w:b/>
          <w:bCs/>
          <w:sz w:val="20"/>
          <w:szCs w:val="18"/>
        </w:rPr>
        <w:t>Of</w:t>
      </w:r>
      <w:proofErr w:type="gramEnd"/>
      <w:r w:rsidRPr="00C0399E">
        <w:rPr>
          <w:rFonts w:ascii="Times New Roman" w:hAnsi="Times New Roman" w:cs="Times New Roman"/>
          <w:b/>
          <w:bCs/>
          <w:sz w:val="20"/>
          <w:szCs w:val="18"/>
        </w:rPr>
        <w:t xml:space="preserve"> Central </w:t>
      </w:r>
      <w:proofErr w:type="gramStart"/>
      <w:r w:rsidRPr="00C0399E">
        <w:rPr>
          <w:rFonts w:ascii="Times New Roman" w:hAnsi="Times New Roman" w:cs="Times New Roman"/>
          <w:b/>
          <w:bCs/>
          <w:sz w:val="20"/>
          <w:szCs w:val="18"/>
        </w:rPr>
        <w:t>And</w:t>
      </w:r>
      <w:proofErr w:type="gramEnd"/>
      <w:r w:rsidRPr="00C0399E">
        <w:rPr>
          <w:rFonts w:ascii="Times New Roman" w:hAnsi="Times New Roman" w:cs="Times New Roman"/>
          <w:b/>
          <w:bCs/>
          <w:sz w:val="20"/>
          <w:szCs w:val="18"/>
        </w:rPr>
        <w:t xml:space="preserve"> State</w:t>
      </w:r>
    </w:p>
    <w:p w14:paraId="665AA159" w14:textId="3DECC9CB" w:rsidR="00C0399E" w:rsidRPr="00C0399E" w:rsidRDefault="00C0399E" w:rsidP="00D70E11">
      <w:pPr>
        <w:spacing w:after="0" w:line="240" w:lineRule="auto"/>
        <w:jc w:val="center"/>
        <w:rPr>
          <w:rFonts w:ascii="Times New Roman" w:hAnsi="Times New Roman" w:cs="Times New Roman"/>
          <w:b/>
          <w:bCs/>
          <w:sz w:val="20"/>
          <w:szCs w:val="18"/>
        </w:rPr>
      </w:pPr>
      <w:r w:rsidRPr="00C0399E">
        <w:rPr>
          <w:rFonts w:ascii="Times New Roman" w:hAnsi="Times New Roman" w:cs="Times New Roman"/>
          <w:b/>
          <w:bCs/>
          <w:sz w:val="20"/>
          <w:szCs w:val="18"/>
        </w:rPr>
        <w:t xml:space="preserve">Governments As </w:t>
      </w:r>
      <w:proofErr w:type="gramStart"/>
      <w:r w:rsidRPr="00C0399E">
        <w:rPr>
          <w:rFonts w:ascii="Times New Roman" w:hAnsi="Times New Roman" w:cs="Times New Roman"/>
          <w:b/>
          <w:bCs/>
          <w:sz w:val="20"/>
          <w:szCs w:val="18"/>
        </w:rPr>
        <w:t>A</w:t>
      </w:r>
      <w:proofErr w:type="gramEnd"/>
      <w:r w:rsidRPr="00C0399E">
        <w:rPr>
          <w:rFonts w:ascii="Times New Roman" w:hAnsi="Times New Roman" w:cs="Times New Roman"/>
          <w:b/>
          <w:bCs/>
          <w:sz w:val="20"/>
          <w:szCs w:val="18"/>
        </w:rPr>
        <w:t xml:space="preserve"> Percentage Of GDP</w:t>
      </w:r>
    </w:p>
    <w:p w14:paraId="399ADA74" w14:textId="275E43C5" w:rsidR="002F2047" w:rsidRDefault="002F2047" w:rsidP="00D70E11">
      <w:pPr>
        <w:spacing w:after="0" w:line="240" w:lineRule="auto"/>
        <w:jc w:val="right"/>
        <w:rPr>
          <w:rFonts w:ascii="Times New Roman" w:hAnsi="Times New Roman" w:cs="Times New Roman"/>
          <w:i/>
          <w:iCs/>
          <w:sz w:val="18"/>
          <w:szCs w:val="16"/>
        </w:rPr>
      </w:pPr>
      <w:r w:rsidRPr="00B36A4C">
        <w:rPr>
          <w:rFonts w:ascii="Times New Roman" w:hAnsi="Times New Roman" w:cs="Times New Roman"/>
          <w:i/>
          <w:iCs/>
          <w:sz w:val="18"/>
          <w:szCs w:val="16"/>
        </w:rPr>
        <w:t>(Per cent)</w:t>
      </w:r>
    </w:p>
    <w:tbl>
      <w:tblPr>
        <w:tblW w:w="10774" w:type="dxa"/>
        <w:jc w:val="center"/>
        <w:tblLook w:val="04A0" w:firstRow="1" w:lastRow="0" w:firstColumn="1" w:lastColumn="0" w:noHBand="0" w:noVBand="1"/>
      </w:tblPr>
      <w:tblGrid>
        <w:gridCol w:w="910"/>
        <w:gridCol w:w="723"/>
        <w:gridCol w:w="604"/>
        <w:gridCol w:w="936"/>
        <w:gridCol w:w="945"/>
        <w:gridCol w:w="803"/>
        <w:gridCol w:w="746"/>
        <w:gridCol w:w="663"/>
        <w:gridCol w:w="1070"/>
        <w:gridCol w:w="812"/>
        <w:gridCol w:w="794"/>
        <w:gridCol w:w="1070"/>
        <w:gridCol w:w="698"/>
      </w:tblGrid>
      <w:tr w:rsidR="00D70E11" w:rsidRPr="00D70E11" w14:paraId="536E4076" w14:textId="77777777" w:rsidTr="00D70E11">
        <w:trPr>
          <w:trHeight w:val="20"/>
          <w:jc w:val="center"/>
        </w:trPr>
        <w:tc>
          <w:tcPr>
            <w:tcW w:w="910" w:type="dxa"/>
            <w:vMerge w:val="restart"/>
            <w:tcBorders>
              <w:top w:val="single" w:sz="4" w:space="0" w:color="auto"/>
              <w:left w:val="single" w:sz="4" w:space="0" w:color="auto"/>
              <w:right w:val="single" w:sz="4" w:space="0" w:color="auto"/>
            </w:tcBorders>
            <w:vAlign w:val="center"/>
            <w:hideMark/>
          </w:tcPr>
          <w:p w14:paraId="202B48BF"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Year</w:t>
            </w:r>
          </w:p>
        </w:tc>
        <w:tc>
          <w:tcPr>
            <w:tcW w:w="1327" w:type="dxa"/>
            <w:gridSpan w:val="2"/>
            <w:tcBorders>
              <w:top w:val="single" w:sz="4" w:space="0" w:color="auto"/>
              <w:left w:val="nil"/>
              <w:bottom w:val="single" w:sz="4" w:space="0" w:color="auto"/>
              <w:right w:val="single" w:sz="4" w:space="0" w:color="auto"/>
            </w:tcBorders>
            <w:vAlign w:val="center"/>
            <w:hideMark/>
          </w:tcPr>
          <w:p w14:paraId="0A0A3BC1" w14:textId="65E7E6EE"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Revenue Receipts of Centre  </w:t>
            </w:r>
          </w:p>
        </w:tc>
        <w:tc>
          <w:tcPr>
            <w:tcW w:w="1881" w:type="dxa"/>
            <w:gridSpan w:val="2"/>
            <w:tcBorders>
              <w:top w:val="single" w:sz="4" w:space="0" w:color="auto"/>
              <w:left w:val="nil"/>
              <w:bottom w:val="single" w:sz="4" w:space="0" w:color="auto"/>
              <w:right w:val="single" w:sz="4" w:space="0" w:color="auto"/>
            </w:tcBorders>
            <w:vAlign w:val="center"/>
            <w:hideMark/>
          </w:tcPr>
          <w:p w14:paraId="1A7C53A7" w14:textId="3246363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Revenue Expenditure </w:t>
            </w:r>
            <w:proofErr w:type="gramStart"/>
            <w:r w:rsidRPr="00D70E11">
              <w:rPr>
                <w:rFonts w:ascii="Times New Roman" w:eastAsia="Times New Roman" w:hAnsi="Times New Roman" w:cs="Times New Roman"/>
                <w:b/>
                <w:bCs/>
                <w:color w:val="000000"/>
                <w:kern w:val="0"/>
                <w:sz w:val="16"/>
                <w:szCs w:val="16"/>
                <w:lang w:eastAsia="en-IN" w:bidi="ar-SA"/>
                <w14:ligatures w14:val="none"/>
              </w:rPr>
              <w:t>Of</w:t>
            </w:r>
            <w:proofErr w:type="gramEnd"/>
            <w:r w:rsidRPr="00D70E11">
              <w:rPr>
                <w:rFonts w:ascii="Times New Roman" w:eastAsia="Times New Roman" w:hAnsi="Times New Roman" w:cs="Times New Roman"/>
                <w:b/>
                <w:bCs/>
                <w:color w:val="000000"/>
                <w:kern w:val="0"/>
                <w:sz w:val="16"/>
                <w:szCs w:val="16"/>
                <w:lang w:eastAsia="en-IN" w:bidi="ar-SA"/>
                <w14:ligatures w14:val="none"/>
              </w:rPr>
              <w:t xml:space="preserve"> Centre</w:t>
            </w:r>
          </w:p>
        </w:tc>
        <w:tc>
          <w:tcPr>
            <w:tcW w:w="803" w:type="dxa"/>
            <w:vMerge w:val="restart"/>
            <w:tcBorders>
              <w:top w:val="single" w:sz="4" w:space="0" w:color="auto"/>
              <w:left w:val="nil"/>
              <w:right w:val="single" w:sz="4" w:space="0" w:color="auto"/>
            </w:tcBorders>
            <w:vAlign w:val="center"/>
            <w:hideMark/>
          </w:tcPr>
          <w:p w14:paraId="1D485AA5"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Revenue Deficit Of</w:t>
            </w:r>
          </w:p>
          <w:p w14:paraId="2EA1E9D6" w14:textId="7BCA31B2"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 Centre</w:t>
            </w:r>
          </w:p>
        </w:tc>
        <w:tc>
          <w:tcPr>
            <w:tcW w:w="1409" w:type="dxa"/>
            <w:gridSpan w:val="2"/>
            <w:tcBorders>
              <w:top w:val="single" w:sz="4" w:space="0" w:color="auto"/>
              <w:left w:val="nil"/>
              <w:bottom w:val="single" w:sz="4" w:space="0" w:color="auto"/>
              <w:right w:val="single" w:sz="4" w:space="0" w:color="auto"/>
            </w:tcBorders>
            <w:vAlign w:val="center"/>
            <w:hideMark/>
          </w:tcPr>
          <w:p w14:paraId="21A99F3E" w14:textId="64DC0736"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Revenue Receipts </w:t>
            </w:r>
            <w:proofErr w:type="gramStart"/>
            <w:r w:rsidRPr="00D70E11">
              <w:rPr>
                <w:rFonts w:ascii="Times New Roman" w:eastAsia="Times New Roman" w:hAnsi="Times New Roman" w:cs="Times New Roman"/>
                <w:b/>
                <w:bCs/>
                <w:color w:val="000000"/>
                <w:kern w:val="0"/>
                <w:sz w:val="16"/>
                <w:szCs w:val="16"/>
                <w:lang w:eastAsia="en-IN" w:bidi="ar-SA"/>
                <w14:ligatures w14:val="none"/>
              </w:rPr>
              <w:t>Of</w:t>
            </w:r>
            <w:proofErr w:type="gramEnd"/>
            <w:r w:rsidRPr="00D70E11">
              <w:rPr>
                <w:rFonts w:ascii="Times New Roman" w:eastAsia="Times New Roman" w:hAnsi="Times New Roman" w:cs="Times New Roman"/>
                <w:b/>
                <w:bCs/>
                <w:color w:val="000000"/>
                <w:kern w:val="0"/>
                <w:sz w:val="16"/>
                <w:szCs w:val="16"/>
                <w:lang w:eastAsia="en-IN" w:bidi="ar-SA"/>
                <w14:ligatures w14:val="none"/>
              </w:rPr>
              <w:t xml:space="preserve"> States</w:t>
            </w:r>
          </w:p>
        </w:tc>
        <w:tc>
          <w:tcPr>
            <w:tcW w:w="1070" w:type="dxa"/>
            <w:vMerge w:val="restart"/>
            <w:tcBorders>
              <w:top w:val="single" w:sz="4" w:space="0" w:color="auto"/>
              <w:left w:val="nil"/>
              <w:right w:val="single" w:sz="4" w:space="0" w:color="auto"/>
            </w:tcBorders>
            <w:vAlign w:val="center"/>
            <w:hideMark/>
          </w:tcPr>
          <w:p w14:paraId="28C9FAA1"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Revenue Expenditure</w:t>
            </w:r>
          </w:p>
          <w:p w14:paraId="034EE0D9" w14:textId="67A0BEB0"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 Of States</w:t>
            </w:r>
          </w:p>
        </w:tc>
        <w:tc>
          <w:tcPr>
            <w:tcW w:w="812" w:type="dxa"/>
            <w:vMerge w:val="restart"/>
            <w:tcBorders>
              <w:top w:val="single" w:sz="4" w:space="0" w:color="auto"/>
              <w:left w:val="nil"/>
              <w:right w:val="single" w:sz="4" w:space="0" w:color="auto"/>
            </w:tcBorders>
            <w:vAlign w:val="center"/>
            <w:hideMark/>
          </w:tcPr>
          <w:p w14:paraId="2445C861"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Revenue Deficit Of</w:t>
            </w:r>
          </w:p>
          <w:p w14:paraId="041497B6" w14:textId="2424F473"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 States</w:t>
            </w:r>
          </w:p>
        </w:tc>
        <w:tc>
          <w:tcPr>
            <w:tcW w:w="2562" w:type="dxa"/>
            <w:gridSpan w:val="3"/>
            <w:tcBorders>
              <w:top w:val="single" w:sz="4" w:space="0" w:color="auto"/>
              <w:left w:val="nil"/>
              <w:bottom w:val="single" w:sz="4" w:space="0" w:color="auto"/>
              <w:right w:val="single" w:sz="4" w:space="0" w:color="auto"/>
            </w:tcBorders>
            <w:vAlign w:val="center"/>
            <w:hideMark/>
          </w:tcPr>
          <w:p w14:paraId="27BE87D8" w14:textId="3EF05D2D"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Combined Revenue </w:t>
            </w:r>
          </w:p>
        </w:tc>
      </w:tr>
      <w:tr w:rsidR="00D70E11" w:rsidRPr="00D70E11" w14:paraId="48C245AE" w14:textId="77777777" w:rsidTr="00D70E11">
        <w:trPr>
          <w:trHeight w:val="20"/>
          <w:jc w:val="center"/>
        </w:trPr>
        <w:tc>
          <w:tcPr>
            <w:tcW w:w="910" w:type="dxa"/>
            <w:vMerge/>
            <w:tcBorders>
              <w:left w:val="single" w:sz="4" w:space="0" w:color="auto"/>
              <w:bottom w:val="single" w:sz="4" w:space="0" w:color="auto"/>
              <w:right w:val="single" w:sz="4" w:space="0" w:color="auto"/>
            </w:tcBorders>
            <w:vAlign w:val="center"/>
          </w:tcPr>
          <w:p w14:paraId="77A5686D"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p>
        </w:tc>
        <w:tc>
          <w:tcPr>
            <w:tcW w:w="723" w:type="dxa"/>
            <w:tcBorders>
              <w:top w:val="single" w:sz="4" w:space="0" w:color="auto"/>
              <w:left w:val="nil"/>
              <w:bottom w:val="single" w:sz="4" w:space="0" w:color="auto"/>
              <w:right w:val="single" w:sz="4" w:space="0" w:color="auto"/>
            </w:tcBorders>
            <w:vAlign w:val="center"/>
          </w:tcPr>
          <w:p w14:paraId="1FA414F6" w14:textId="135CC736"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(Gross)</w:t>
            </w:r>
          </w:p>
        </w:tc>
        <w:tc>
          <w:tcPr>
            <w:tcW w:w="604" w:type="dxa"/>
            <w:tcBorders>
              <w:top w:val="single" w:sz="4" w:space="0" w:color="auto"/>
              <w:left w:val="nil"/>
              <w:bottom w:val="single" w:sz="4" w:space="0" w:color="auto"/>
              <w:right w:val="single" w:sz="4" w:space="0" w:color="auto"/>
            </w:tcBorders>
            <w:vAlign w:val="center"/>
          </w:tcPr>
          <w:p w14:paraId="74C4E27A" w14:textId="69530C93"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 (Net)</w:t>
            </w:r>
          </w:p>
        </w:tc>
        <w:tc>
          <w:tcPr>
            <w:tcW w:w="936" w:type="dxa"/>
            <w:tcBorders>
              <w:top w:val="single" w:sz="4" w:space="0" w:color="auto"/>
              <w:left w:val="nil"/>
              <w:bottom w:val="single" w:sz="4" w:space="0" w:color="auto"/>
              <w:right w:val="single" w:sz="4" w:space="0" w:color="auto"/>
            </w:tcBorders>
            <w:vAlign w:val="center"/>
          </w:tcPr>
          <w:p w14:paraId="40315C9B" w14:textId="2AC85BC6" w:rsidR="00D70E11" w:rsidRPr="00D70E11" w:rsidRDefault="00D70E11" w:rsidP="00883ADD">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(Incl. Transfers)</w:t>
            </w:r>
          </w:p>
        </w:tc>
        <w:tc>
          <w:tcPr>
            <w:tcW w:w="945" w:type="dxa"/>
            <w:tcBorders>
              <w:top w:val="single" w:sz="4" w:space="0" w:color="auto"/>
              <w:left w:val="nil"/>
              <w:bottom w:val="single" w:sz="4" w:space="0" w:color="auto"/>
              <w:right w:val="single" w:sz="4" w:space="0" w:color="auto"/>
            </w:tcBorders>
            <w:vAlign w:val="center"/>
          </w:tcPr>
          <w:p w14:paraId="40BA6A92" w14:textId="658AA361"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(Excl. Transfers)</w:t>
            </w:r>
          </w:p>
        </w:tc>
        <w:tc>
          <w:tcPr>
            <w:tcW w:w="803" w:type="dxa"/>
            <w:vMerge/>
            <w:tcBorders>
              <w:left w:val="nil"/>
              <w:bottom w:val="single" w:sz="4" w:space="0" w:color="auto"/>
              <w:right w:val="single" w:sz="4" w:space="0" w:color="auto"/>
            </w:tcBorders>
            <w:vAlign w:val="center"/>
          </w:tcPr>
          <w:p w14:paraId="4A9728B9" w14:textId="292576B9"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p>
        </w:tc>
        <w:tc>
          <w:tcPr>
            <w:tcW w:w="746" w:type="dxa"/>
            <w:tcBorders>
              <w:top w:val="single" w:sz="4" w:space="0" w:color="auto"/>
              <w:left w:val="nil"/>
              <w:bottom w:val="single" w:sz="4" w:space="0" w:color="auto"/>
              <w:right w:val="single" w:sz="4" w:space="0" w:color="auto"/>
            </w:tcBorders>
            <w:vAlign w:val="center"/>
          </w:tcPr>
          <w:p w14:paraId="24021833" w14:textId="3B632054"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 (Gross)</w:t>
            </w:r>
          </w:p>
        </w:tc>
        <w:tc>
          <w:tcPr>
            <w:tcW w:w="663" w:type="dxa"/>
            <w:tcBorders>
              <w:top w:val="single" w:sz="4" w:space="0" w:color="auto"/>
              <w:left w:val="nil"/>
              <w:bottom w:val="single" w:sz="4" w:space="0" w:color="auto"/>
              <w:right w:val="single" w:sz="4" w:space="0" w:color="auto"/>
            </w:tcBorders>
            <w:vAlign w:val="center"/>
          </w:tcPr>
          <w:p w14:paraId="7F6731F1" w14:textId="63AB245B"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 xml:space="preserve"> (Own)</w:t>
            </w:r>
          </w:p>
        </w:tc>
        <w:tc>
          <w:tcPr>
            <w:tcW w:w="1070" w:type="dxa"/>
            <w:vMerge/>
            <w:tcBorders>
              <w:left w:val="nil"/>
              <w:bottom w:val="single" w:sz="4" w:space="0" w:color="auto"/>
              <w:right w:val="single" w:sz="4" w:space="0" w:color="auto"/>
            </w:tcBorders>
            <w:vAlign w:val="center"/>
          </w:tcPr>
          <w:p w14:paraId="34F3ED74" w14:textId="33E30F2D"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p>
        </w:tc>
        <w:tc>
          <w:tcPr>
            <w:tcW w:w="812" w:type="dxa"/>
            <w:vMerge/>
            <w:tcBorders>
              <w:left w:val="nil"/>
              <w:bottom w:val="single" w:sz="4" w:space="0" w:color="auto"/>
              <w:right w:val="single" w:sz="4" w:space="0" w:color="auto"/>
            </w:tcBorders>
            <w:vAlign w:val="center"/>
          </w:tcPr>
          <w:p w14:paraId="0CE93B35" w14:textId="5C14C7E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p>
        </w:tc>
        <w:tc>
          <w:tcPr>
            <w:tcW w:w="794" w:type="dxa"/>
            <w:tcBorders>
              <w:top w:val="single" w:sz="4" w:space="0" w:color="auto"/>
              <w:left w:val="nil"/>
              <w:bottom w:val="single" w:sz="4" w:space="0" w:color="auto"/>
              <w:right w:val="single" w:sz="4" w:space="0" w:color="auto"/>
            </w:tcBorders>
            <w:vAlign w:val="center"/>
          </w:tcPr>
          <w:p w14:paraId="6A911F57"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Receipts</w:t>
            </w:r>
          </w:p>
        </w:tc>
        <w:tc>
          <w:tcPr>
            <w:tcW w:w="1070" w:type="dxa"/>
            <w:tcBorders>
              <w:top w:val="single" w:sz="4" w:space="0" w:color="auto"/>
              <w:left w:val="nil"/>
              <w:bottom w:val="single" w:sz="4" w:space="0" w:color="auto"/>
              <w:right w:val="single" w:sz="4" w:space="0" w:color="auto"/>
            </w:tcBorders>
            <w:vAlign w:val="center"/>
          </w:tcPr>
          <w:p w14:paraId="5C6C4A8F"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Expenditure</w:t>
            </w:r>
          </w:p>
        </w:tc>
        <w:tc>
          <w:tcPr>
            <w:tcW w:w="698" w:type="dxa"/>
            <w:tcBorders>
              <w:top w:val="single" w:sz="4" w:space="0" w:color="auto"/>
              <w:left w:val="nil"/>
              <w:bottom w:val="single" w:sz="4" w:space="0" w:color="auto"/>
              <w:right w:val="single" w:sz="4" w:space="0" w:color="auto"/>
            </w:tcBorders>
            <w:vAlign w:val="center"/>
          </w:tcPr>
          <w:p w14:paraId="417536C0" w14:textId="77777777" w:rsidR="00D70E11" w:rsidRPr="00D70E11" w:rsidRDefault="00D70E11"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Deficit</w:t>
            </w:r>
          </w:p>
        </w:tc>
      </w:tr>
      <w:tr w:rsidR="00D70E11" w:rsidRPr="00D70E11" w14:paraId="44A8F397"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47ABC449"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1974-75</w:t>
            </w:r>
          </w:p>
        </w:tc>
        <w:tc>
          <w:tcPr>
            <w:tcW w:w="723" w:type="dxa"/>
            <w:tcBorders>
              <w:top w:val="nil"/>
              <w:left w:val="nil"/>
              <w:bottom w:val="single" w:sz="4" w:space="0" w:color="auto"/>
              <w:right w:val="single" w:sz="4" w:space="0" w:color="auto"/>
            </w:tcBorders>
            <w:vAlign w:val="center"/>
            <w:hideMark/>
          </w:tcPr>
          <w:p w14:paraId="2396010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10.52</w:t>
            </w:r>
          </w:p>
        </w:tc>
        <w:tc>
          <w:tcPr>
            <w:tcW w:w="604" w:type="dxa"/>
            <w:tcBorders>
              <w:top w:val="nil"/>
              <w:left w:val="nil"/>
              <w:bottom w:val="single" w:sz="4" w:space="0" w:color="auto"/>
              <w:right w:val="single" w:sz="4" w:space="0" w:color="auto"/>
            </w:tcBorders>
            <w:vAlign w:val="center"/>
            <w:hideMark/>
          </w:tcPr>
          <w:p w14:paraId="4CB35C7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8.85</w:t>
            </w:r>
          </w:p>
        </w:tc>
        <w:tc>
          <w:tcPr>
            <w:tcW w:w="936" w:type="dxa"/>
            <w:tcBorders>
              <w:top w:val="nil"/>
              <w:left w:val="nil"/>
              <w:bottom w:val="single" w:sz="4" w:space="0" w:color="auto"/>
              <w:right w:val="single" w:sz="4" w:space="0" w:color="auto"/>
            </w:tcBorders>
            <w:vAlign w:val="center"/>
            <w:hideMark/>
          </w:tcPr>
          <w:p w14:paraId="17EE132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7.8</w:t>
            </w:r>
          </w:p>
        </w:tc>
        <w:tc>
          <w:tcPr>
            <w:tcW w:w="945" w:type="dxa"/>
            <w:tcBorders>
              <w:top w:val="nil"/>
              <w:left w:val="nil"/>
              <w:bottom w:val="single" w:sz="4" w:space="0" w:color="auto"/>
              <w:right w:val="single" w:sz="4" w:space="0" w:color="auto"/>
            </w:tcBorders>
            <w:vAlign w:val="center"/>
            <w:hideMark/>
          </w:tcPr>
          <w:p w14:paraId="23625AB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6.36</w:t>
            </w:r>
          </w:p>
        </w:tc>
        <w:tc>
          <w:tcPr>
            <w:tcW w:w="803" w:type="dxa"/>
            <w:tcBorders>
              <w:top w:val="nil"/>
              <w:left w:val="nil"/>
              <w:bottom w:val="single" w:sz="4" w:space="0" w:color="auto"/>
              <w:right w:val="single" w:sz="4" w:space="0" w:color="auto"/>
            </w:tcBorders>
            <w:vAlign w:val="center"/>
            <w:hideMark/>
          </w:tcPr>
          <w:p w14:paraId="0F3E451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1.04</w:t>
            </w:r>
          </w:p>
        </w:tc>
        <w:tc>
          <w:tcPr>
            <w:tcW w:w="746" w:type="dxa"/>
            <w:tcBorders>
              <w:top w:val="nil"/>
              <w:left w:val="nil"/>
              <w:bottom w:val="single" w:sz="4" w:space="0" w:color="auto"/>
              <w:right w:val="single" w:sz="4" w:space="0" w:color="auto"/>
            </w:tcBorders>
            <w:vAlign w:val="center"/>
            <w:hideMark/>
          </w:tcPr>
          <w:p w14:paraId="62ED68CE"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8.2</w:t>
            </w:r>
          </w:p>
        </w:tc>
        <w:tc>
          <w:tcPr>
            <w:tcW w:w="663" w:type="dxa"/>
            <w:tcBorders>
              <w:top w:val="nil"/>
              <w:left w:val="nil"/>
              <w:bottom w:val="single" w:sz="4" w:space="0" w:color="auto"/>
              <w:right w:val="single" w:sz="4" w:space="0" w:color="auto"/>
            </w:tcBorders>
            <w:vAlign w:val="center"/>
            <w:hideMark/>
          </w:tcPr>
          <w:p w14:paraId="48DAA4CA"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5.07</w:t>
            </w:r>
          </w:p>
        </w:tc>
        <w:tc>
          <w:tcPr>
            <w:tcW w:w="1070" w:type="dxa"/>
            <w:tcBorders>
              <w:top w:val="nil"/>
              <w:left w:val="nil"/>
              <w:bottom w:val="single" w:sz="4" w:space="0" w:color="auto"/>
              <w:right w:val="single" w:sz="4" w:space="0" w:color="auto"/>
            </w:tcBorders>
            <w:vAlign w:val="center"/>
            <w:hideMark/>
          </w:tcPr>
          <w:p w14:paraId="06F0C03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7.65</w:t>
            </w:r>
          </w:p>
        </w:tc>
        <w:tc>
          <w:tcPr>
            <w:tcW w:w="812" w:type="dxa"/>
            <w:tcBorders>
              <w:top w:val="nil"/>
              <w:left w:val="nil"/>
              <w:bottom w:val="single" w:sz="4" w:space="0" w:color="auto"/>
              <w:right w:val="single" w:sz="4" w:space="0" w:color="auto"/>
            </w:tcBorders>
            <w:vAlign w:val="center"/>
            <w:hideMark/>
          </w:tcPr>
          <w:p w14:paraId="5D09AD0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0.55</w:t>
            </w:r>
          </w:p>
        </w:tc>
        <w:tc>
          <w:tcPr>
            <w:tcW w:w="794" w:type="dxa"/>
            <w:tcBorders>
              <w:top w:val="nil"/>
              <w:left w:val="nil"/>
              <w:bottom w:val="single" w:sz="4" w:space="0" w:color="auto"/>
              <w:right w:val="single" w:sz="4" w:space="0" w:color="auto"/>
            </w:tcBorders>
            <w:vAlign w:val="center"/>
            <w:hideMark/>
          </w:tcPr>
          <w:p w14:paraId="573EE8B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15.09</w:t>
            </w:r>
          </w:p>
        </w:tc>
        <w:tc>
          <w:tcPr>
            <w:tcW w:w="1070" w:type="dxa"/>
            <w:tcBorders>
              <w:top w:val="nil"/>
              <w:left w:val="nil"/>
              <w:bottom w:val="single" w:sz="4" w:space="0" w:color="auto"/>
              <w:right w:val="single" w:sz="4" w:space="0" w:color="auto"/>
            </w:tcBorders>
            <w:vAlign w:val="center"/>
            <w:hideMark/>
          </w:tcPr>
          <w:p w14:paraId="237276C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13.49</w:t>
            </w:r>
          </w:p>
        </w:tc>
        <w:tc>
          <w:tcPr>
            <w:tcW w:w="698" w:type="dxa"/>
            <w:tcBorders>
              <w:top w:val="nil"/>
              <w:left w:val="nil"/>
              <w:bottom w:val="single" w:sz="4" w:space="0" w:color="auto"/>
              <w:right w:val="single" w:sz="4" w:space="0" w:color="auto"/>
            </w:tcBorders>
            <w:vAlign w:val="center"/>
            <w:hideMark/>
          </w:tcPr>
          <w:p w14:paraId="79441A1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1.59</w:t>
            </w:r>
          </w:p>
        </w:tc>
      </w:tr>
      <w:tr w:rsidR="00D70E11" w:rsidRPr="00D70E11" w14:paraId="53C7DFE4"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2095B39C"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1975-76</w:t>
            </w:r>
          </w:p>
        </w:tc>
        <w:tc>
          <w:tcPr>
            <w:tcW w:w="723" w:type="dxa"/>
            <w:tcBorders>
              <w:top w:val="nil"/>
              <w:left w:val="nil"/>
              <w:bottom w:val="single" w:sz="4" w:space="0" w:color="auto"/>
              <w:right w:val="single" w:sz="4" w:space="0" w:color="auto"/>
            </w:tcBorders>
            <w:vAlign w:val="center"/>
            <w:hideMark/>
          </w:tcPr>
          <w:p w14:paraId="2A1833A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12.13</w:t>
            </w:r>
          </w:p>
        </w:tc>
        <w:tc>
          <w:tcPr>
            <w:tcW w:w="604" w:type="dxa"/>
            <w:tcBorders>
              <w:top w:val="nil"/>
              <w:left w:val="nil"/>
              <w:bottom w:val="single" w:sz="4" w:space="0" w:color="auto"/>
              <w:right w:val="single" w:sz="4" w:space="0" w:color="auto"/>
            </w:tcBorders>
            <w:vAlign w:val="center"/>
            <w:hideMark/>
          </w:tcPr>
          <w:p w14:paraId="7D82482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10.1</w:t>
            </w:r>
          </w:p>
        </w:tc>
        <w:tc>
          <w:tcPr>
            <w:tcW w:w="936" w:type="dxa"/>
            <w:tcBorders>
              <w:top w:val="nil"/>
              <w:left w:val="nil"/>
              <w:bottom w:val="single" w:sz="4" w:space="0" w:color="auto"/>
              <w:right w:val="single" w:sz="4" w:space="0" w:color="auto"/>
            </w:tcBorders>
            <w:vAlign w:val="center"/>
            <w:hideMark/>
          </w:tcPr>
          <w:p w14:paraId="0A182DF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8.98</w:t>
            </w:r>
          </w:p>
        </w:tc>
        <w:tc>
          <w:tcPr>
            <w:tcW w:w="945" w:type="dxa"/>
            <w:tcBorders>
              <w:top w:val="nil"/>
              <w:left w:val="nil"/>
              <w:bottom w:val="single" w:sz="4" w:space="0" w:color="auto"/>
              <w:right w:val="single" w:sz="4" w:space="0" w:color="auto"/>
            </w:tcBorders>
            <w:vAlign w:val="center"/>
            <w:hideMark/>
          </w:tcPr>
          <w:p w14:paraId="5CA7E5A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7.35</w:t>
            </w:r>
          </w:p>
        </w:tc>
        <w:tc>
          <w:tcPr>
            <w:tcW w:w="803" w:type="dxa"/>
            <w:tcBorders>
              <w:top w:val="nil"/>
              <w:left w:val="nil"/>
              <w:bottom w:val="single" w:sz="4" w:space="0" w:color="auto"/>
              <w:right w:val="single" w:sz="4" w:space="0" w:color="auto"/>
            </w:tcBorders>
            <w:vAlign w:val="center"/>
            <w:hideMark/>
          </w:tcPr>
          <w:p w14:paraId="3021DC6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1.13</w:t>
            </w:r>
          </w:p>
        </w:tc>
        <w:tc>
          <w:tcPr>
            <w:tcW w:w="746" w:type="dxa"/>
            <w:tcBorders>
              <w:top w:val="nil"/>
              <w:left w:val="nil"/>
              <w:bottom w:val="single" w:sz="4" w:space="0" w:color="auto"/>
              <w:right w:val="single" w:sz="4" w:space="0" w:color="auto"/>
            </w:tcBorders>
            <w:vAlign w:val="center"/>
            <w:hideMark/>
          </w:tcPr>
          <w:p w14:paraId="1E10759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9.49</w:t>
            </w:r>
          </w:p>
        </w:tc>
        <w:tc>
          <w:tcPr>
            <w:tcW w:w="663" w:type="dxa"/>
            <w:tcBorders>
              <w:top w:val="nil"/>
              <w:left w:val="nil"/>
              <w:bottom w:val="single" w:sz="4" w:space="0" w:color="auto"/>
              <w:right w:val="single" w:sz="4" w:space="0" w:color="auto"/>
            </w:tcBorders>
            <w:vAlign w:val="center"/>
            <w:hideMark/>
          </w:tcPr>
          <w:p w14:paraId="787C017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5.83</w:t>
            </w:r>
          </w:p>
        </w:tc>
        <w:tc>
          <w:tcPr>
            <w:tcW w:w="1070" w:type="dxa"/>
            <w:tcBorders>
              <w:top w:val="nil"/>
              <w:left w:val="nil"/>
              <w:bottom w:val="single" w:sz="4" w:space="0" w:color="auto"/>
              <w:right w:val="single" w:sz="4" w:space="0" w:color="auto"/>
            </w:tcBorders>
            <w:vAlign w:val="center"/>
            <w:hideMark/>
          </w:tcPr>
          <w:p w14:paraId="4851036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8.28</w:t>
            </w:r>
          </w:p>
        </w:tc>
        <w:tc>
          <w:tcPr>
            <w:tcW w:w="812" w:type="dxa"/>
            <w:tcBorders>
              <w:top w:val="nil"/>
              <w:left w:val="nil"/>
              <w:bottom w:val="single" w:sz="4" w:space="0" w:color="auto"/>
              <w:right w:val="single" w:sz="4" w:space="0" w:color="auto"/>
            </w:tcBorders>
            <w:vAlign w:val="center"/>
            <w:hideMark/>
          </w:tcPr>
          <w:p w14:paraId="66FB6F4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1.21</w:t>
            </w:r>
          </w:p>
        </w:tc>
        <w:tc>
          <w:tcPr>
            <w:tcW w:w="794" w:type="dxa"/>
            <w:tcBorders>
              <w:top w:val="nil"/>
              <w:left w:val="nil"/>
              <w:bottom w:val="single" w:sz="4" w:space="0" w:color="auto"/>
              <w:right w:val="single" w:sz="4" w:space="0" w:color="auto"/>
            </w:tcBorders>
            <w:vAlign w:val="center"/>
            <w:hideMark/>
          </w:tcPr>
          <w:p w14:paraId="56E9358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17.38</w:t>
            </w:r>
          </w:p>
        </w:tc>
        <w:tc>
          <w:tcPr>
            <w:tcW w:w="1070" w:type="dxa"/>
            <w:tcBorders>
              <w:top w:val="nil"/>
              <w:left w:val="nil"/>
              <w:bottom w:val="single" w:sz="4" w:space="0" w:color="auto"/>
              <w:right w:val="single" w:sz="4" w:space="0" w:color="auto"/>
            </w:tcBorders>
            <w:vAlign w:val="center"/>
            <w:hideMark/>
          </w:tcPr>
          <w:p w14:paraId="4BB89A5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15.04</w:t>
            </w:r>
          </w:p>
        </w:tc>
        <w:tc>
          <w:tcPr>
            <w:tcW w:w="698" w:type="dxa"/>
            <w:tcBorders>
              <w:top w:val="nil"/>
              <w:left w:val="nil"/>
              <w:bottom w:val="single" w:sz="4" w:space="0" w:color="auto"/>
              <w:right w:val="single" w:sz="4" w:space="0" w:color="auto"/>
            </w:tcBorders>
            <w:vAlign w:val="center"/>
            <w:hideMark/>
          </w:tcPr>
          <w:p w14:paraId="040520C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2.34</w:t>
            </w:r>
          </w:p>
        </w:tc>
      </w:tr>
      <w:tr w:rsidR="00D70E11" w:rsidRPr="00D70E11" w14:paraId="438BD5D3"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35E506FE"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1976-77</w:t>
            </w:r>
          </w:p>
        </w:tc>
        <w:tc>
          <w:tcPr>
            <w:tcW w:w="723" w:type="dxa"/>
            <w:tcBorders>
              <w:top w:val="nil"/>
              <w:left w:val="nil"/>
              <w:bottom w:val="single" w:sz="4" w:space="0" w:color="auto"/>
              <w:right w:val="single" w:sz="4" w:space="0" w:color="auto"/>
            </w:tcBorders>
            <w:vAlign w:val="center"/>
            <w:hideMark/>
          </w:tcPr>
          <w:p w14:paraId="2E4A1DF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12.14</w:t>
            </w:r>
          </w:p>
        </w:tc>
        <w:tc>
          <w:tcPr>
            <w:tcW w:w="604" w:type="dxa"/>
            <w:tcBorders>
              <w:top w:val="nil"/>
              <w:left w:val="nil"/>
              <w:bottom w:val="single" w:sz="4" w:space="0" w:color="auto"/>
              <w:right w:val="single" w:sz="4" w:space="0" w:color="auto"/>
            </w:tcBorders>
            <w:vAlign w:val="center"/>
            <w:hideMark/>
          </w:tcPr>
          <w:p w14:paraId="6C6C181E"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10.15</w:t>
            </w:r>
          </w:p>
        </w:tc>
        <w:tc>
          <w:tcPr>
            <w:tcW w:w="936" w:type="dxa"/>
            <w:tcBorders>
              <w:top w:val="nil"/>
              <w:left w:val="nil"/>
              <w:bottom w:val="single" w:sz="4" w:space="0" w:color="auto"/>
              <w:right w:val="single" w:sz="4" w:space="0" w:color="auto"/>
            </w:tcBorders>
            <w:vAlign w:val="center"/>
            <w:hideMark/>
          </w:tcPr>
          <w:p w14:paraId="09E6281E"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9.8</w:t>
            </w:r>
          </w:p>
        </w:tc>
        <w:tc>
          <w:tcPr>
            <w:tcW w:w="945" w:type="dxa"/>
            <w:tcBorders>
              <w:top w:val="nil"/>
              <w:left w:val="nil"/>
              <w:bottom w:val="single" w:sz="4" w:space="0" w:color="auto"/>
              <w:right w:val="single" w:sz="4" w:space="0" w:color="auto"/>
            </w:tcBorders>
            <w:vAlign w:val="center"/>
            <w:hideMark/>
          </w:tcPr>
          <w:p w14:paraId="5D9DCC0E"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7.93</w:t>
            </w:r>
          </w:p>
        </w:tc>
        <w:tc>
          <w:tcPr>
            <w:tcW w:w="803" w:type="dxa"/>
            <w:tcBorders>
              <w:top w:val="nil"/>
              <w:left w:val="nil"/>
              <w:bottom w:val="single" w:sz="4" w:space="0" w:color="auto"/>
              <w:right w:val="single" w:sz="4" w:space="0" w:color="auto"/>
            </w:tcBorders>
            <w:vAlign w:val="center"/>
            <w:hideMark/>
          </w:tcPr>
          <w:p w14:paraId="09AA280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0.35</w:t>
            </w:r>
          </w:p>
        </w:tc>
        <w:tc>
          <w:tcPr>
            <w:tcW w:w="746" w:type="dxa"/>
            <w:tcBorders>
              <w:top w:val="nil"/>
              <w:left w:val="nil"/>
              <w:bottom w:val="single" w:sz="4" w:space="0" w:color="auto"/>
              <w:right w:val="single" w:sz="4" w:space="0" w:color="auto"/>
            </w:tcBorders>
            <w:vAlign w:val="center"/>
            <w:hideMark/>
          </w:tcPr>
          <w:p w14:paraId="5FCE607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10.19</w:t>
            </w:r>
          </w:p>
        </w:tc>
        <w:tc>
          <w:tcPr>
            <w:tcW w:w="663" w:type="dxa"/>
            <w:tcBorders>
              <w:top w:val="nil"/>
              <w:left w:val="nil"/>
              <w:bottom w:val="single" w:sz="4" w:space="0" w:color="auto"/>
              <w:right w:val="single" w:sz="4" w:space="0" w:color="auto"/>
            </w:tcBorders>
            <w:vAlign w:val="center"/>
            <w:hideMark/>
          </w:tcPr>
          <w:p w14:paraId="0B56CF5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6.35</w:t>
            </w:r>
          </w:p>
        </w:tc>
        <w:tc>
          <w:tcPr>
            <w:tcW w:w="1070" w:type="dxa"/>
            <w:tcBorders>
              <w:top w:val="nil"/>
              <w:left w:val="nil"/>
              <w:bottom w:val="single" w:sz="4" w:space="0" w:color="auto"/>
              <w:right w:val="single" w:sz="4" w:space="0" w:color="auto"/>
            </w:tcBorders>
            <w:vAlign w:val="center"/>
            <w:hideMark/>
          </w:tcPr>
          <w:p w14:paraId="1C5CA22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8.9</w:t>
            </w:r>
          </w:p>
        </w:tc>
        <w:tc>
          <w:tcPr>
            <w:tcW w:w="812" w:type="dxa"/>
            <w:tcBorders>
              <w:top w:val="nil"/>
              <w:left w:val="nil"/>
              <w:bottom w:val="single" w:sz="4" w:space="0" w:color="auto"/>
              <w:right w:val="single" w:sz="4" w:space="0" w:color="auto"/>
            </w:tcBorders>
            <w:vAlign w:val="center"/>
            <w:hideMark/>
          </w:tcPr>
          <w:p w14:paraId="28C5ADC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1.29</w:t>
            </w:r>
          </w:p>
        </w:tc>
        <w:tc>
          <w:tcPr>
            <w:tcW w:w="794" w:type="dxa"/>
            <w:tcBorders>
              <w:top w:val="nil"/>
              <w:left w:val="nil"/>
              <w:bottom w:val="single" w:sz="4" w:space="0" w:color="auto"/>
              <w:right w:val="single" w:sz="4" w:space="0" w:color="auto"/>
            </w:tcBorders>
            <w:vAlign w:val="center"/>
            <w:hideMark/>
          </w:tcPr>
          <w:p w14:paraId="42A9601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17.97</w:t>
            </w:r>
          </w:p>
        </w:tc>
        <w:tc>
          <w:tcPr>
            <w:tcW w:w="1070" w:type="dxa"/>
            <w:tcBorders>
              <w:top w:val="nil"/>
              <w:left w:val="nil"/>
              <w:bottom w:val="single" w:sz="4" w:space="0" w:color="auto"/>
              <w:right w:val="single" w:sz="4" w:space="0" w:color="auto"/>
            </w:tcBorders>
            <w:vAlign w:val="center"/>
            <w:hideMark/>
          </w:tcPr>
          <w:p w14:paraId="76D7812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16.33</w:t>
            </w:r>
          </w:p>
        </w:tc>
        <w:tc>
          <w:tcPr>
            <w:tcW w:w="698" w:type="dxa"/>
            <w:tcBorders>
              <w:top w:val="nil"/>
              <w:left w:val="nil"/>
              <w:bottom w:val="single" w:sz="4" w:space="0" w:color="auto"/>
              <w:right w:val="single" w:sz="4" w:space="0" w:color="auto"/>
            </w:tcBorders>
            <w:vAlign w:val="center"/>
            <w:hideMark/>
          </w:tcPr>
          <w:p w14:paraId="4481D31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1.64</w:t>
            </w:r>
          </w:p>
        </w:tc>
      </w:tr>
      <w:tr w:rsidR="00D70E11" w:rsidRPr="00D70E11" w14:paraId="60238B49"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6696C988"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1977-78</w:t>
            </w:r>
          </w:p>
        </w:tc>
        <w:tc>
          <w:tcPr>
            <w:tcW w:w="723" w:type="dxa"/>
            <w:tcBorders>
              <w:top w:val="nil"/>
              <w:left w:val="nil"/>
              <w:bottom w:val="single" w:sz="4" w:space="0" w:color="auto"/>
              <w:right w:val="single" w:sz="4" w:space="0" w:color="auto"/>
            </w:tcBorders>
            <w:vAlign w:val="center"/>
            <w:hideMark/>
          </w:tcPr>
          <w:p w14:paraId="41BE43FE"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11.86</w:t>
            </w:r>
          </w:p>
        </w:tc>
        <w:tc>
          <w:tcPr>
            <w:tcW w:w="604" w:type="dxa"/>
            <w:tcBorders>
              <w:top w:val="nil"/>
              <w:left w:val="nil"/>
              <w:bottom w:val="single" w:sz="4" w:space="0" w:color="auto"/>
              <w:right w:val="single" w:sz="4" w:space="0" w:color="auto"/>
            </w:tcBorders>
            <w:vAlign w:val="center"/>
            <w:hideMark/>
          </w:tcPr>
          <w:p w14:paraId="3B433C1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9.98</w:t>
            </w:r>
          </w:p>
        </w:tc>
        <w:tc>
          <w:tcPr>
            <w:tcW w:w="936" w:type="dxa"/>
            <w:tcBorders>
              <w:top w:val="nil"/>
              <w:left w:val="nil"/>
              <w:bottom w:val="single" w:sz="4" w:space="0" w:color="auto"/>
              <w:right w:val="single" w:sz="4" w:space="0" w:color="auto"/>
            </w:tcBorders>
            <w:vAlign w:val="center"/>
            <w:hideMark/>
          </w:tcPr>
          <w:p w14:paraId="1D652FE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9.54</w:t>
            </w:r>
          </w:p>
        </w:tc>
        <w:tc>
          <w:tcPr>
            <w:tcW w:w="945" w:type="dxa"/>
            <w:tcBorders>
              <w:top w:val="nil"/>
              <w:left w:val="nil"/>
              <w:bottom w:val="single" w:sz="4" w:space="0" w:color="auto"/>
              <w:right w:val="single" w:sz="4" w:space="0" w:color="auto"/>
            </w:tcBorders>
            <w:vAlign w:val="center"/>
            <w:hideMark/>
          </w:tcPr>
          <w:p w14:paraId="4DEA5EF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7.55</w:t>
            </w:r>
          </w:p>
        </w:tc>
        <w:tc>
          <w:tcPr>
            <w:tcW w:w="803" w:type="dxa"/>
            <w:tcBorders>
              <w:top w:val="nil"/>
              <w:left w:val="nil"/>
              <w:bottom w:val="single" w:sz="4" w:space="0" w:color="auto"/>
              <w:right w:val="single" w:sz="4" w:space="0" w:color="auto"/>
            </w:tcBorders>
            <w:vAlign w:val="center"/>
            <w:hideMark/>
          </w:tcPr>
          <w:p w14:paraId="334A2B9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0.45</w:t>
            </w:r>
          </w:p>
        </w:tc>
        <w:tc>
          <w:tcPr>
            <w:tcW w:w="746" w:type="dxa"/>
            <w:tcBorders>
              <w:top w:val="nil"/>
              <w:left w:val="nil"/>
              <w:bottom w:val="single" w:sz="4" w:space="0" w:color="auto"/>
              <w:right w:val="single" w:sz="4" w:space="0" w:color="auto"/>
            </w:tcBorders>
            <w:vAlign w:val="center"/>
            <w:hideMark/>
          </w:tcPr>
          <w:p w14:paraId="3F76C4A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9.79</w:t>
            </w:r>
          </w:p>
        </w:tc>
        <w:tc>
          <w:tcPr>
            <w:tcW w:w="663" w:type="dxa"/>
            <w:tcBorders>
              <w:top w:val="nil"/>
              <w:left w:val="nil"/>
              <w:bottom w:val="single" w:sz="4" w:space="0" w:color="auto"/>
              <w:right w:val="single" w:sz="4" w:space="0" w:color="auto"/>
            </w:tcBorders>
            <w:vAlign w:val="center"/>
            <w:hideMark/>
          </w:tcPr>
          <w:p w14:paraId="4A63061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5.92</w:t>
            </w:r>
          </w:p>
        </w:tc>
        <w:tc>
          <w:tcPr>
            <w:tcW w:w="1070" w:type="dxa"/>
            <w:tcBorders>
              <w:top w:val="nil"/>
              <w:left w:val="nil"/>
              <w:bottom w:val="single" w:sz="4" w:space="0" w:color="auto"/>
              <w:right w:val="single" w:sz="4" w:space="0" w:color="auto"/>
            </w:tcBorders>
            <w:vAlign w:val="center"/>
            <w:hideMark/>
          </w:tcPr>
          <w:p w14:paraId="53EEA9BA"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8.72</w:t>
            </w:r>
          </w:p>
        </w:tc>
        <w:tc>
          <w:tcPr>
            <w:tcW w:w="812" w:type="dxa"/>
            <w:tcBorders>
              <w:top w:val="nil"/>
              <w:left w:val="nil"/>
              <w:bottom w:val="single" w:sz="4" w:space="0" w:color="auto"/>
              <w:right w:val="single" w:sz="4" w:space="0" w:color="auto"/>
            </w:tcBorders>
            <w:vAlign w:val="center"/>
            <w:hideMark/>
          </w:tcPr>
          <w:p w14:paraId="05F235F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1.06</w:t>
            </w:r>
          </w:p>
        </w:tc>
        <w:tc>
          <w:tcPr>
            <w:tcW w:w="794" w:type="dxa"/>
            <w:tcBorders>
              <w:top w:val="nil"/>
              <w:left w:val="nil"/>
              <w:bottom w:val="single" w:sz="4" w:space="0" w:color="auto"/>
              <w:right w:val="single" w:sz="4" w:space="0" w:color="auto"/>
            </w:tcBorders>
            <w:vAlign w:val="center"/>
            <w:hideMark/>
          </w:tcPr>
          <w:p w14:paraId="380C0B3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17.11</w:t>
            </w:r>
          </w:p>
        </w:tc>
        <w:tc>
          <w:tcPr>
            <w:tcW w:w="1070" w:type="dxa"/>
            <w:tcBorders>
              <w:top w:val="nil"/>
              <w:left w:val="nil"/>
              <w:bottom w:val="single" w:sz="4" w:space="0" w:color="auto"/>
              <w:right w:val="single" w:sz="4" w:space="0" w:color="auto"/>
            </w:tcBorders>
            <w:vAlign w:val="center"/>
            <w:hideMark/>
          </w:tcPr>
          <w:p w14:paraId="4116D3F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15.6</w:t>
            </w:r>
          </w:p>
        </w:tc>
        <w:tc>
          <w:tcPr>
            <w:tcW w:w="698" w:type="dxa"/>
            <w:tcBorders>
              <w:top w:val="nil"/>
              <w:left w:val="nil"/>
              <w:bottom w:val="single" w:sz="4" w:space="0" w:color="auto"/>
              <w:right w:val="single" w:sz="4" w:space="0" w:color="auto"/>
            </w:tcBorders>
            <w:vAlign w:val="center"/>
            <w:hideMark/>
          </w:tcPr>
          <w:p w14:paraId="23CF3B5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1.51</w:t>
            </w:r>
          </w:p>
        </w:tc>
      </w:tr>
      <w:tr w:rsidR="00D70E11" w:rsidRPr="00D70E11" w14:paraId="1D35C63B"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4EA348D5"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1978-79</w:t>
            </w:r>
          </w:p>
        </w:tc>
        <w:tc>
          <w:tcPr>
            <w:tcW w:w="723" w:type="dxa"/>
            <w:tcBorders>
              <w:top w:val="nil"/>
              <w:left w:val="nil"/>
              <w:bottom w:val="single" w:sz="4" w:space="0" w:color="auto"/>
              <w:right w:val="single" w:sz="4" w:space="0" w:color="auto"/>
            </w:tcBorders>
            <w:vAlign w:val="center"/>
            <w:hideMark/>
          </w:tcPr>
          <w:p w14:paraId="692E00F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12.44</w:t>
            </w:r>
          </w:p>
        </w:tc>
        <w:tc>
          <w:tcPr>
            <w:tcW w:w="604" w:type="dxa"/>
            <w:tcBorders>
              <w:top w:val="nil"/>
              <w:left w:val="nil"/>
              <w:bottom w:val="single" w:sz="4" w:space="0" w:color="auto"/>
              <w:right w:val="single" w:sz="4" w:space="0" w:color="auto"/>
            </w:tcBorders>
            <w:vAlign w:val="center"/>
            <w:hideMark/>
          </w:tcPr>
          <w:p w14:paraId="24E92CE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10.56</w:t>
            </w:r>
          </w:p>
        </w:tc>
        <w:tc>
          <w:tcPr>
            <w:tcW w:w="936" w:type="dxa"/>
            <w:tcBorders>
              <w:top w:val="nil"/>
              <w:left w:val="nil"/>
              <w:bottom w:val="single" w:sz="4" w:space="0" w:color="auto"/>
              <w:right w:val="single" w:sz="4" w:space="0" w:color="auto"/>
            </w:tcBorders>
            <w:vAlign w:val="center"/>
            <w:hideMark/>
          </w:tcPr>
          <w:p w14:paraId="206B58F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10.28</w:t>
            </w:r>
          </w:p>
        </w:tc>
        <w:tc>
          <w:tcPr>
            <w:tcW w:w="945" w:type="dxa"/>
            <w:tcBorders>
              <w:top w:val="nil"/>
              <w:left w:val="nil"/>
              <w:bottom w:val="single" w:sz="4" w:space="0" w:color="auto"/>
              <w:right w:val="single" w:sz="4" w:space="0" w:color="auto"/>
            </w:tcBorders>
            <w:vAlign w:val="center"/>
            <w:hideMark/>
          </w:tcPr>
          <w:p w14:paraId="5141533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7.82</w:t>
            </w:r>
          </w:p>
        </w:tc>
        <w:tc>
          <w:tcPr>
            <w:tcW w:w="803" w:type="dxa"/>
            <w:tcBorders>
              <w:top w:val="nil"/>
              <w:left w:val="nil"/>
              <w:bottom w:val="single" w:sz="4" w:space="0" w:color="auto"/>
              <w:right w:val="single" w:sz="4" w:space="0" w:color="auto"/>
            </w:tcBorders>
            <w:vAlign w:val="center"/>
            <w:hideMark/>
          </w:tcPr>
          <w:p w14:paraId="52229AD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0.28</w:t>
            </w:r>
          </w:p>
        </w:tc>
        <w:tc>
          <w:tcPr>
            <w:tcW w:w="746" w:type="dxa"/>
            <w:tcBorders>
              <w:top w:val="nil"/>
              <w:left w:val="nil"/>
              <w:bottom w:val="single" w:sz="4" w:space="0" w:color="auto"/>
              <w:right w:val="single" w:sz="4" w:space="0" w:color="auto"/>
            </w:tcBorders>
            <w:vAlign w:val="center"/>
            <w:hideMark/>
          </w:tcPr>
          <w:p w14:paraId="149AB12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10.57</w:t>
            </w:r>
          </w:p>
        </w:tc>
        <w:tc>
          <w:tcPr>
            <w:tcW w:w="663" w:type="dxa"/>
            <w:tcBorders>
              <w:top w:val="nil"/>
              <w:left w:val="nil"/>
              <w:bottom w:val="single" w:sz="4" w:space="0" w:color="auto"/>
              <w:right w:val="single" w:sz="4" w:space="0" w:color="auto"/>
            </w:tcBorders>
            <w:vAlign w:val="center"/>
            <w:hideMark/>
          </w:tcPr>
          <w:p w14:paraId="0D8ADB7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6.23</w:t>
            </w:r>
          </w:p>
        </w:tc>
        <w:tc>
          <w:tcPr>
            <w:tcW w:w="1070" w:type="dxa"/>
            <w:tcBorders>
              <w:top w:val="nil"/>
              <w:left w:val="nil"/>
              <w:bottom w:val="single" w:sz="4" w:space="0" w:color="auto"/>
              <w:right w:val="single" w:sz="4" w:space="0" w:color="auto"/>
            </w:tcBorders>
            <w:vAlign w:val="center"/>
            <w:hideMark/>
          </w:tcPr>
          <w:p w14:paraId="23133EB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9.47</w:t>
            </w:r>
          </w:p>
        </w:tc>
        <w:tc>
          <w:tcPr>
            <w:tcW w:w="812" w:type="dxa"/>
            <w:tcBorders>
              <w:top w:val="nil"/>
              <w:left w:val="nil"/>
              <w:bottom w:val="single" w:sz="4" w:space="0" w:color="auto"/>
              <w:right w:val="single" w:sz="4" w:space="0" w:color="auto"/>
            </w:tcBorders>
            <w:vAlign w:val="center"/>
            <w:hideMark/>
          </w:tcPr>
          <w:p w14:paraId="34592F4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1.09</w:t>
            </w:r>
          </w:p>
        </w:tc>
        <w:tc>
          <w:tcPr>
            <w:tcW w:w="794" w:type="dxa"/>
            <w:tcBorders>
              <w:top w:val="nil"/>
              <w:left w:val="nil"/>
              <w:bottom w:val="single" w:sz="4" w:space="0" w:color="auto"/>
              <w:right w:val="single" w:sz="4" w:space="0" w:color="auto"/>
            </w:tcBorders>
            <w:vAlign w:val="center"/>
            <w:hideMark/>
          </w:tcPr>
          <w:p w14:paraId="5C77468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18.02</w:t>
            </w:r>
          </w:p>
        </w:tc>
        <w:tc>
          <w:tcPr>
            <w:tcW w:w="1070" w:type="dxa"/>
            <w:tcBorders>
              <w:top w:val="nil"/>
              <w:left w:val="nil"/>
              <w:bottom w:val="single" w:sz="4" w:space="0" w:color="auto"/>
              <w:right w:val="single" w:sz="4" w:space="0" w:color="auto"/>
            </w:tcBorders>
            <w:vAlign w:val="center"/>
            <w:hideMark/>
          </w:tcPr>
          <w:p w14:paraId="66D9886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16.65</w:t>
            </w:r>
          </w:p>
        </w:tc>
        <w:tc>
          <w:tcPr>
            <w:tcW w:w="698" w:type="dxa"/>
            <w:tcBorders>
              <w:top w:val="nil"/>
              <w:left w:val="nil"/>
              <w:bottom w:val="single" w:sz="4" w:space="0" w:color="auto"/>
              <w:right w:val="single" w:sz="4" w:space="0" w:color="auto"/>
            </w:tcBorders>
            <w:vAlign w:val="center"/>
            <w:hideMark/>
          </w:tcPr>
          <w:p w14:paraId="4253A03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1.37</w:t>
            </w:r>
          </w:p>
        </w:tc>
      </w:tr>
      <w:tr w:rsidR="00D70E11" w:rsidRPr="00D70E11" w14:paraId="5BCCD537"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33028905"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1979-80</w:t>
            </w:r>
          </w:p>
        </w:tc>
        <w:tc>
          <w:tcPr>
            <w:tcW w:w="723" w:type="dxa"/>
            <w:tcBorders>
              <w:top w:val="nil"/>
              <w:left w:val="nil"/>
              <w:bottom w:val="single" w:sz="4" w:space="0" w:color="auto"/>
              <w:right w:val="single" w:sz="4" w:space="0" w:color="auto"/>
            </w:tcBorders>
            <w:vAlign w:val="center"/>
            <w:hideMark/>
          </w:tcPr>
          <w:p w14:paraId="034F588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12.65</w:t>
            </w:r>
          </w:p>
        </w:tc>
        <w:tc>
          <w:tcPr>
            <w:tcW w:w="604" w:type="dxa"/>
            <w:tcBorders>
              <w:top w:val="nil"/>
              <w:left w:val="nil"/>
              <w:bottom w:val="single" w:sz="4" w:space="0" w:color="auto"/>
              <w:right w:val="single" w:sz="4" w:space="0" w:color="auto"/>
            </w:tcBorders>
            <w:vAlign w:val="center"/>
            <w:hideMark/>
          </w:tcPr>
          <w:p w14:paraId="16036F5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9.67</w:t>
            </w:r>
          </w:p>
        </w:tc>
        <w:tc>
          <w:tcPr>
            <w:tcW w:w="936" w:type="dxa"/>
            <w:tcBorders>
              <w:top w:val="nil"/>
              <w:left w:val="nil"/>
              <w:bottom w:val="single" w:sz="4" w:space="0" w:color="auto"/>
              <w:right w:val="single" w:sz="4" w:space="0" w:color="auto"/>
            </w:tcBorders>
            <w:vAlign w:val="center"/>
            <w:hideMark/>
          </w:tcPr>
          <w:p w14:paraId="1CD1FBC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10.28</w:t>
            </w:r>
          </w:p>
        </w:tc>
        <w:tc>
          <w:tcPr>
            <w:tcW w:w="945" w:type="dxa"/>
            <w:tcBorders>
              <w:top w:val="nil"/>
              <w:left w:val="nil"/>
              <w:bottom w:val="single" w:sz="4" w:space="0" w:color="auto"/>
              <w:right w:val="single" w:sz="4" w:space="0" w:color="auto"/>
            </w:tcBorders>
            <w:vAlign w:val="center"/>
            <w:hideMark/>
          </w:tcPr>
          <w:p w14:paraId="3EB3BB4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8.36</w:t>
            </w:r>
          </w:p>
        </w:tc>
        <w:tc>
          <w:tcPr>
            <w:tcW w:w="803" w:type="dxa"/>
            <w:tcBorders>
              <w:top w:val="nil"/>
              <w:left w:val="nil"/>
              <w:bottom w:val="single" w:sz="4" w:space="0" w:color="auto"/>
              <w:right w:val="single" w:sz="4" w:space="0" w:color="auto"/>
            </w:tcBorders>
            <w:vAlign w:val="center"/>
            <w:hideMark/>
          </w:tcPr>
          <w:p w14:paraId="1023A9E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-0.61</w:t>
            </w:r>
          </w:p>
        </w:tc>
        <w:tc>
          <w:tcPr>
            <w:tcW w:w="746" w:type="dxa"/>
            <w:tcBorders>
              <w:top w:val="nil"/>
              <w:left w:val="nil"/>
              <w:bottom w:val="single" w:sz="4" w:space="0" w:color="auto"/>
              <w:right w:val="single" w:sz="4" w:space="0" w:color="auto"/>
            </w:tcBorders>
            <w:vAlign w:val="center"/>
            <w:hideMark/>
          </w:tcPr>
          <w:p w14:paraId="433984A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11.42</w:t>
            </w:r>
          </w:p>
        </w:tc>
        <w:tc>
          <w:tcPr>
            <w:tcW w:w="663" w:type="dxa"/>
            <w:tcBorders>
              <w:top w:val="nil"/>
              <w:left w:val="nil"/>
              <w:bottom w:val="single" w:sz="4" w:space="0" w:color="auto"/>
              <w:right w:val="single" w:sz="4" w:space="0" w:color="auto"/>
            </w:tcBorders>
            <w:vAlign w:val="center"/>
            <w:hideMark/>
          </w:tcPr>
          <w:p w14:paraId="10A2683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6.52</w:t>
            </w:r>
          </w:p>
        </w:tc>
        <w:tc>
          <w:tcPr>
            <w:tcW w:w="1070" w:type="dxa"/>
            <w:tcBorders>
              <w:top w:val="nil"/>
              <w:left w:val="nil"/>
              <w:bottom w:val="single" w:sz="4" w:space="0" w:color="auto"/>
              <w:right w:val="single" w:sz="4" w:space="0" w:color="auto"/>
            </w:tcBorders>
            <w:vAlign w:val="center"/>
            <w:hideMark/>
          </w:tcPr>
          <w:p w14:paraId="4185ABC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10.07</w:t>
            </w:r>
          </w:p>
        </w:tc>
        <w:tc>
          <w:tcPr>
            <w:tcW w:w="812" w:type="dxa"/>
            <w:tcBorders>
              <w:top w:val="nil"/>
              <w:left w:val="nil"/>
              <w:bottom w:val="single" w:sz="4" w:space="0" w:color="auto"/>
              <w:right w:val="single" w:sz="4" w:space="0" w:color="auto"/>
            </w:tcBorders>
            <w:vAlign w:val="center"/>
            <w:hideMark/>
          </w:tcPr>
          <w:p w14:paraId="401BACF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1.35</w:t>
            </w:r>
          </w:p>
        </w:tc>
        <w:tc>
          <w:tcPr>
            <w:tcW w:w="794" w:type="dxa"/>
            <w:tcBorders>
              <w:top w:val="nil"/>
              <w:left w:val="nil"/>
              <w:bottom w:val="single" w:sz="4" w:space="0" w:color="auto"/>
              <w:right w:val="single" w:sz="4" w:space="0" w:color="auto"/>
            </w:tcBorders>
            <w:vAlign w:val="center"/>
            <w:hideMark/>
          </w:tcPr>
          <w:p w14:paraId="00C63D2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18.55</w:t>
            </w:r>
          </w:p>
        </w:tc>
        <w:tc>
          <w:tcPr>
            <w:tcW w:w="1070" w:type="dxa"/>
            <w:tcBorders>
              <w:top w:val="nil"/>
              <w:left w:val="nil"/>
              <w:bottom w:val="single" w:sz="4" w:space="0" w:color="auto"/>
              <w:right w:val="single" w:sz="4" w:space="0" w:color="auto"/>
            </w:tcBorders>
            <w:vAlign w:val="center"/>
            <w:hideMark/>
          </w:tcPr>
          <w:p w14:paraId="502472A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17.8</w:t>
            </w:r>
          </w:p>
        </w:tc>
        <w:tc>
          <w:tcPr>
            <w:tcW w:w="698" w:type="dxa"/>
            <w:tcBorders>
              <w:top w:val="nil"/>
              <w:left w:val="nil"/>
              <w:bottom w:val="single" w:sz="4" w:space="0" w:color="auto"/>
              <w:right w:val="single" w:sz="4" w:space="0" w:color="auto"/>
            </w:tcBorders>
            <w:vAlign w:val="center"/>
            <w:hideMark/>
          </w:tcPr>
          <w:p w14:paraId="214E818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0.75</w:t>
            </w:r>
          </w:p>
        </w:tc>
      </w:tr>
      <w:tr w:rsidR="00D70E11" w:rsidRPr="00D70E11" w14:paraId="4E0B1A45"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5C1C7466"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1980-81</w:t>
            </w:r>
          </w:p>
        </w:tc>
        <w:tc>
          <w:tcPr>
            <w:tcW w:w="723" w:type="dxa"/>
            <w:tcBorders>
              <w:top w:val="nil"/>
              <w:left w:val="nil"/>
              <w:bottom w:val="single" w:sz="4" w:space="0" w:color="auto"/>
              <w:right w:val="single" w:sz="4" w:space="0" w:color="auto"/>
            </w:tcBorders>
            <w:vAlign w:val="center"/>
            <w:hideMark/>
          </w:tcPr>
          <w:p w14:paraId="4AAA499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11.98</w:t>
            </w:r>
          </w:p>
        </w:tc>
        <w:tc>
          <w:tcPr>
            <w:tcW w:w="604" w:type="dxa"/>
            <w:tcBorders>
              <w:top w:val="nil"/>
              <w:left w:val="nil"/>
              <w:bottom w:val="single" w:sz="4" w:space="0" w:color="auto"/>
              <w:right w:val="single" w:sz="4" w:space="0" w:color="auto"/>
            </w:tcBorders>
            <w:vAlign w:val="center"/>
            <w:hideMark/>
          </w:tcPr>
          <w:p w14:paraId="01D60C3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9.19</w:t>
            </w:r>
          </w:p>
        </w:tc>
        <w:tc>
          <w:tcPr>
            <w:tcW w:w="936" w:type="dxa"/>
            <w:tcBorders>
              <w:top w:val="nil"/>
              <w:left w:val="nil"/>
              <w:bottom w:val="single" w:sz="4" w:space="0" w:color="auto"/>
              <w:right w:val="single" w:sz="4" w:space="0" w:color="auto"/>
            </w:tcBorders>
            <w:vAlign w:val="center"/>
            <w:hideMark/>
          </w:tcPr>
          <w:p w14:paraId="0B9F2BBE"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9.76</w:t>
            </w:r>
          </w:p>
        </w:tc>
        <w:tc>
          <w:tcPr>
            <w:tcW w:w="945" w:type="dxa"/>
            <w:tcBorders>
              <w:top w:val="nil"/>
              <w:left w:val="nil"/>
              <w:bottom w:val="single" w:sz="4" w:space="0" w:color="auto"/>
              <w:right w:val="single" w:sz="4" w:space="0" w:color="auto"/>
            </w:tcBorders>
            <w:vAlign w:val="center"/>
            <w:hideMark/>
          </w:tcPr>
          <w:p w14:paraId="745DCD5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7.73</w:t>
            </w:r>
          </w:p>
        </w:tc>
        <w:tc>
          <w:tcPr>
            <w:tcW w:w="803" w:type="dxa"/>
            <w:tcBorders>
              <w:top w:val="nil"/>
              <w:left w:val="nil"/>
              <w:bottom w:val="single" w:sz="4" w:space="0" w:color="auto"/>
              <w:right w:val="single" w:sz="4" w:space="0" w:color="auto"/>
            </w:tcBorders>
            <w:vAlign w:val="center"/>
            <w:hideMark/>
          </w:tcPr>
          <w:p w14:paraId="4D9CB2E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-0.57</w:t>
            </w:r>
          </w:p>
        </w:tc>
        <w:tc>
          <w:tcPr>
            <w:tcW w:w="746" w:type="dxa"/>
            <w:tcBorders>
              <w:top w:val="nil"/>
              <w:left w:val="nil"/>
              <w:bottom w:val="single" w:sz="4" w:space="0" w:color="auto"/>
              <w:right w:val="single" w:sz="4" w:space="0" w:color="auto"/>
            </w:tcBorders>
            <w:vAlign w:val="center"/>
            <w:hideMark/>
          </w:tcPr>
          <w:p w14:paraId="0F89481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11.07</w:t>
            </w:r>
          </w:p>
        </w:tc>
        <w:tc>
          <w:tcPr>
            <w:tcW w:w="663" w:type="dxa"/>
            <w:tcBorders>
              <w:top w:val="nil"/>
              <w:left w:val="nil"/>
              <w:bottom w:val="single" w:sz="4" w:space="0" w:color="auto"/>
              <w:right w:val="single" w:sz="4" w:space="0" w:color="auto"/>
            </w:tcBorders>
            <w:vAlign w:val="center"/>
            <w:hideMark/>
          </w:tcPr>
          <w:p w14:paraId="209EE52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6.25</w:t>
            </w:r>
          </w:p>
        </w:tc>
        <w:tc>
          <w:tcPr>
            <w:tcW w:w="1070" w:type="dxa"/>
            <w:tcBorders>
              <w:top w:val="nil"/>
              <w:left w:val="nil"/>
              <w:bottom w:val="single" w:sz="4" w:space="0" w:color="auto"/>
              <w:right w:val="single" w:sz="4" w:space="0" w:color="auto"/>
            </w:tcBorders>
            <w:vAlign w:val="center"/>
            <w:hideMark/>
          </w:tcPr>
          <w:p w14:paraId="0ACA0AB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10.41</w:t>
            </w:r>
          </w:p>
        </w:tc>
        <w:tc>
          <w:tcPr>
            <w:tcW w:w="812" w:type="dxa"/>
            <w:tcBorders>
              <w:top w:val="nil"/>
              <w:left w:val="nil"/>
              <w:bottom w:val="single" w:sz="4" w:space="0" w:color="auto"/>
              <w:right w:val="single" w:sz="4" w:space="0" w:color="auto"/>
            </w:tcBorders>
            <w:vAlign w:val="center"/>
            <w:hideMark/>
          </w:tcPr>
          <w:p w14:paraId="040A10D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0.66</w:t>
            </w:r>
          </w:p>
        </w:tc>
        <w:tc>
          <w:tcPr>
            <w:tcW w:w="794" w:type="dxa"/>
            <w:tcBorders>
              <w:top w:val="nil"/>
              <w:left w:val="nil"/>
              <w:bottom w:val="single" w:sz="4" w:space="0" w:color="auto"/>
              <w:right w:val="single" w:sz="4" w:space="0" w:color="auto"/>
            </w:tcBorders>
            <w:vAlign w:val="center"/>
            <w:hideMark/>
          </w:tcPr>
          <w:p w14:paraId="11357D8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17.55</w:t>
            </w:r>
          </w:p>
        </w:tc>
        <w:tc>
          <w:tcPr>
            <w:tcW w:w="1070" w:type="dxa"/>
            <w:tcBorders>
              <w:top w:val="nil"/>
              <w:left w:val="nil"/>
              <w:bottom w:val="single" w:sz="4" w:space="0" w:color="auto"/>
              <w:right w:val="single" w:sz="4" w:space="0" w:color="auto"/>
            </w:tcBorders>
            <w:vAlign w:val="center"/>
            <w:hideMark/>
          </w:tcPr>
          <w:p w14:paraId="4C1C461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17.46</w:t>
            </w:r>
          </w:p>
        </w:tc>
        <w:tc>
          <w:tcPr>
            <w:tcW w:w="698" w:type="dxa"/>
            <w:tcBorders>
              <w:top w:val="nil"/>
              <w:left w:val="nil"/>
              <w:bottom w:val="single" w:sz="4" w:space="0" w:color="auto"/>
              <w:right w:val="single" w:sz="4" w:space="0" w:color="auto"/>
            </w:tcBorders>
            <w:vAlign w:val="center"/>
            <w:hideMark/>
          </w:tcPr>
          <w:p w14:paraId="73BA52E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0.09</w:t>
            </w:r>
          </w:p>
        </w:tc>
      </w:tr>
      <w:tr w:rsidR="00D70E11" w:rsidRPr="00D70E11" w14:paraId="3BBA7E40"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1AFBA54E"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1981-82</w:t>
            </w:r>
          </w:p>
        </w:tc>
        <w:tc>
          <w:tcPr>
            <w:tcW w:w="723" w:type="dxa"/>
            <w:tcBorders>
              <w:top w:val="nil"/>
              <w:left w:val="nil"/>
              <w:bottom w:val="single" w:sz="4" w:space="0" w:color="auto"/>
              <w:right w:val="single" w:sz="4" w:space="0" w:color="auto"/>
            </w:tcBorders>
            <w:vAlign w:val="center"/>
            <w:hideMark/>
          </w:tcPr>
          <w:p w14:paraId="43016BD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12.18</w:t>
            </w:r>
          </w:p>
        </w:tc>
        <w:tc>
          <w:tcPr>
            <w:tcW w:w="604" w:type="dxa"/>
            <w:tcBorders>
              <w:top w:val="nil"/>
              <w:left w:val="nil"/>
              <w:bottom w:val="single" w:sz="4" w:space="0" w:color="auto"/>
              <w:right w:val="single" w:sz="4" w:space="0" w:color="auto"/>
            </w:tcBorders>
            <w:vAlign w:val="center"/>
            <w:hideMark/>
          </w:tcPr>
          <w:p w14:paraId="2891F98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9.5</w:t>
            </w:r>
          </w:p>
        </w:tc>
        <w:tc>
          <w:tcPr>
            <w:tcW w:w="936" w:type="dxa"/>
            <w:tcBorders>
              <w:top w:val="nil"/>
              <w:left w:val="nil"/>
              <w:bottom w:val="single" w:sz="4" w:space="0" w:color="auto"/>
              <w:right w:val="single" w:sz="4" w:space="0" w:color="auto"/>
            </w:tcBorders>
            <w:vAlign w:val="center"/>
            <w:hideMark/>
          </w:tcPr>
          <w:p w14:paraId="031EB0A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9.68</w:t>
            </w:r>
          </w:p>
        </w:tc>
        <w:tc>
          <w:tcPr>
            <w:tcW w:w="945" w:type="dxa"/>
            <w:tcBorders>
              <w:top w:val="nil"/>
              <w:left w:val="nil"/>
              <w:bottom w:val="single" w:sz="4" w:space="0" w:color="auto"/>
              <w:right w:val="single" w:sz="4" w:space="0" w:color="auto"/>
            </w:tcBorders>
            <w:vAlign w:val="center"/>
            <w:hideMark/>
          </w:tcPr>
          <w:p w14:paraId="4B6A91E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7.9</w:t>
            </w:r>
          </w:p>
        </w:tc>
        <w:tc>
          <w:tcPr>
            <w:tcW w:w="803" w:type="dxa"/>
            <w:tcBorders>
              <w:top w:val="nil"/>
              <w:left w:val="nil"/>
              <w:bottom w:val="single" w:sz="4" w:space="0" w:color="auto"/>
              <w:right w:val="single" w:sz="4" w:space="0" w:color="auto"/>
            </w:tcBorders>
            <w:vAlign w:val="center"/>
            <w:hideMark/>
          </w:tcPr>
          <w:p w14:paraId="526C82C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-0.18</w:t>
            </w:r>
          </w:p>
        </w:tc>
        <w:tc>
          <w:tcPr>
            <w:tcW w:w="746" w:type="dxa"/>
            <w:tcBorders>
              <w:top w:val="nil"/>
              <w:left w:val="nil"/>
              <w:bottom w:val="single" w:sz="4" w:space="0" w:color="auto"/>
              <w:right w:val="single" w:sz="4" w:space="0" w:color="auto"/>
            </w:tcBorders>
            <w:vAlign w:val="center"/>
            <w:hideMark/>
          </w:tcPr>
          <w:p w14:paraId="27E28CD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10.98</w:t>
            </w:r>
          </w:p>
        </w:tc>
        <w:tc>
          <w:tcPr>
            <w:tcW w:w="663" w:type="dxa"/>
            <w:tcBorders>
              <w:top w:val="nil"/>
              <w:left w:val="nil"/>
              <w:bottom w:val="single" w:sz="4" w:space="0" w:color="auto"/>
              <w:right w:val="single" w:sz="4" w:space="0" w:color="auto"/>
            </w:tcBorders>
            <w:vAlign w:val="center"/>
            <w:hideMark/>
          </w:tcPr>
          <w:p w14:paraId="3942384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6.53</w:t>
            </w:r>
          </w:p>
        </w:tc>
        <w:tc>
          <w:tcPr>
            <w:tcW w:w="1070" w:type="dxa"/>
            <w:tcBorders>
              <w:top w:val="nil"/>
              <w:left w:val="nil"/>
              <w:bottom w:val="single" w:sz="4" w:space="0" w:color="auto"/>
              <w:right w:val="single" w:sz="4" w:space="0" w:color="auto"/>
            </w:tcBorders>
            <w:vAlign w:val="center"/>
            <w:hideMark/>
          </w:tcPr>
          <w:p w14:paraId="3C75AE4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10.16</w:t>
            </w:r>
          </w:p>
        </w:tc>
        <w:tc>
          <w:tcPr>
            <w:tcW w:w="812" w:type="dxa"/>
            <w:tcBorders>
              <w:top w:val="nil"/>
              <w:left w:val="nil"/>
              <w:bottom w:val="single" w:sz="4" w:space="0" w:color="auto"/>
              <w:right w:val="single" w:sz="4" w:space="0" w:color="auto"/>
            </w:tcBorders>
            <w:vAlign w:val="center"/>
            <w:hideMark/>
          </w:tcPr>
          <w:p w14:paraId="09AC5D6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0.82</w:t>
            </w:r>
          </w:p>
        </w:tc>
        <w:tc>
          <w:tcPr>
            <w:tcW w:w="794" w:type="dxa"/>
            <w:tcBorders>
              <w:top w:val="nil"/>
              <w:left w:val="nil"/>
              <w:bottom w:val="single" w:sz="4" w:space="0" w:color="auto"/>
              <w:right w:val="single" w:sz="4" w:space="0" w:color="auto"/>
            </w:tcBorders>
            <w:vAlign w:val="center"/>
            <w:hideMark/>
          </w:tcPr>
          <w:p w14:paraId="3488BA7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18.12</w:t>
            </w:r>
          </w:p>
        </w:tc>
        <w:tc>
          <w:tcPr>
            <w:tcW w:w="1070" w:type="dxa"/>
            <w:tcBorders>
              <w:top w:val="nil"/>
              <w:left w:val="nil"/>
              <w:bottom w:val="single" w:sz="4" w:space="0" w:color="auto"/>
              <w:right w:val="single" w:sz="4" w:space="0" w:color="auto"/>
            </w:tcBorders>
            <w:vAlign w:val="center"/>
            <w:hideMark/>
          </w:tcPr>
          <w:p w14:paraId="7C667D4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17.48</w:t>
            </w:r>
          </w:p>
        </w:tc>
        <w:tc>
          <w:tcPr>
            <w:tcW w:w="698" w:type="dxa"/>
            <w:tcBorders>
              <w:top w:val="nil"/>
              <w:left w:val="nil"/>
              <w:bottom w:val="single" w:sz="4" w:space="0" w:color="auto"/>
              <w:right w:val="single" w:sz="4" w:space="0" w:color="auto"/>
            </w:tcBorders>
            <w:vAlign w:val="center"/>
            <w:hideMark/>
          </w:tcPr>
          <w:p w14:paraId="02E2393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0.64</w:t>
            </w:r>
          </w:p>
        </w:tc>
      </w:tr>
      <w:tr w:rsidR="00D70E11" w:rsidRPr="00D70E11" w14:paraId="3AB69C64"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7C8A33B7"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1982-83</w:t>
            </w:r>
          </w:p>
        </w:tc>
        <w:tc>
          <w:tcPr>
            <w:tcW w:w="723" w:type="dxa"/>
            <w:tcBorders>
              <w:top w:val="nil"/>
              <w:left w:val="nil"/>
              <w:bottom w:val="single" w:sz="4" w:space="0" w:color="auto"/>
              <w:right w:val="single" w:sz="4" w:space="0" w:color="auto"/>
            </w:tcBorders>
            <w:vAlign w:val="center"/>
            <w:hideMark/>
          </w:tcPr>
          <w:p w14:paraId="5CEEFBD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12.47</w:t>
            </w:r>
          </w:p>
        </w:tc>
        <w:tc>
          <w:tcPr>
            <w:tcW w:w="604" w:type="dxa"/>
            <w:tcBorders>
              <w:top w:val="nil"/>
              <w:left w:val="nil"/>
              <w:bottom w:val="single" w:sz="4" w:space="0" w:color="auto"/>
              <w:right w:val="single" w:sz="4" w:space="0" w:color="auto"/>
            </w:tcBorders>
            <w:vAlign w:val="center"/>
            <w:hideMark/>
          </w:tcPr>
          <w:p w14:paraId="5740A42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9.86</w:t>
            </w:r>
          </w:p>
        </w:tc>
        <w:tc>
          <w:tcPr>
            <w:tcW w:w="936" w:type="dxa"/>
            <w:tcBorders>
              <w:top w:val="nil"/>
              <w:left w:val="nil"/>
              <w:bottom w:val="single" w:sz="4" w:space="0" w:color="auto"/>
              <w:right w:val="single" w:sz="4" w:space="0" w:color="auto"/>
            </w:tcBorders>
            <w:vAlign w:val="center"/>
            <w:hideMark/>
          </w:tcPr>
          <w:p w14:paraId="65E62A5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10.56</w:t>
            </w:r>
          </w:p>
        </w:tc>
        <w:tc>
          <w:tcPr>
            <w:tcW w:w="945" w:type="dxa"/>
            <w:tcBorders>
              <w:top w:val="nil"/>
              <w:left w:val="nil"/>
              <w:bottom w:val="single" w:sz="4" w:space="0" w:color="auto"/>
              <w:right w:val="single" w:sz="4" w:space="0" w:color="auto"/>
            </w:tcBorders>
            <w:vAlign w:val="center"/>
            <w:hideMark/>
          </w:tcPr>
          <w:p w14:paraId="49F3DC1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8.55</w:t>
            </w:r>
          </w:p>
        </w:tc>
        <w:tc>
          <w:tcPr>
            <w:tcW w:w="803" w:type="dxa"/>
            <w:tcBorders>
              <w:top w:val="nil"/>
              <w:left w:val="nil"/>
              <w:bottom w:val="single" w:sz="4" w:space="0" w:color="auto"/>
              <w:right w:val="single" w:sz="4" w:space="0" w:color="auto"/>
            </w:tcBorders>
            <w:vAlign w:val="center"/>
            <w:hideMark/>
          </w:tcPr>
          <w:p w14:paraId="2B505CC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-0.71</w:t>
            </w:r>
          </w:p>
        </w:tc>
        <w:tc>
          <w:tcPr>
            <w:tcW w:w="746" w:type="dxa"/>
            <w:tcBorders>
              <w:top w:val="nil"/>
              <w:left w:val="nil"/>
              <w:bottom w:val="single" w:sz="4" w:space="0" w:color="auto"/>
              <w:right w:val="single" w:sz="4" w:space="0" w:color="auto"/>
            </w:tcBorders>
            <w:vAlign w:val="center"/>
            <w:hideMark/>
          </w:tcPr>
          <w:p w14:paraId="45048ED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11.4</w:t>
            </w:r>
          </w:p>
        </w:tc>
        <w:tc>
          <w:tcPr>
            <w:tcW w:w="663" w:type="dxa"/>
            <w:tcBorders>
              <w:top w:val="nil"/>
              <w:left w:val="nil"/>
              <w:bottom w:val="single" w:sz="4" w:space="0" w:color="auto"/>
              <w:right w:val="single" w:sz="4" w:space="0" w:color="auto"/>
            </w:tcBorders>
            <w:vAlign w:val="center"/>
            <w:hideMark/>
          </w:tcPr>
          <w:p w14:paraId="5AE7D52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6.77</w:t>
            </w:r>
          </w:p>
        </w:tc>
        <w:tc>
          <w:tcPr>
            <w:tcW w:w="1070" w:type="dxa"/>
            <w:tcBorders>
              <w:top w:val="nil"/>
              <w:left w:val="nil"/>
              <w:bottom w:val="single" w:sz="4" w:space="0" w:color="auto"/>
              <w:right w:val="single" w:sz="4" w:space="0" w:color="auto"/>
            </w:tcBorders>
            <w:vAlign w:val="center"/>
            <w:hideMark/>
          </w:tcPr>
          <w:p w14:paraId="0AE9CC6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10.9</w:t>
            </w:r>
          </w:p>
        </w:tc>
        <w:tc>
          <w:tcPr>
            <w:tcW w:w="812" w:type="dxa"/>
            <w:tcBorders>
              <w:top w:val="nil"/>
              <w:left w:val="nil"/>
              <w:bottom w:val="single" w:sz="4" w:space="0" w:color="auto"/>
              <w:right w:val="single" w:sz="4" w:space="0" w:color="auto"/>
            </w:tcBorders>
            <w:vAlign w:val="center"/>
            <w:hideMark/>
          </w:tcPr>
          <w:p w14:paraId="4652857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0.5</w:t>
            </w:r>
          </w:p>
        </w:tc>
        <w:tc>
          <w:tcPr>
            <w:tcW w:w="794" w:type="dxa"/>
            <w:tcBorders>
              <w:top w:val="nil"/>
              <w:left w:val="nil"/>
              <w:bottom w:val="single" w:sz="4" w:space="0" w:color="auto"/>
              <w:right w:val="single" w:sz="4" w:space="0" w:color="auto"/>
            </w:tcBorders>
            <w:vAlign w:val="center"/>
            <w:hideMark/>
          </w:tcPr>
          <w:p w14:paraId="66D648F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18.63</w:t>
            </w:r>
          </w:p>
        </w:tc>
        <w:tc>
          <w:tcPr>
            <w:tcW w:w="1070" w:type="dxa"/>
            <w:tcBorders>
              <w:top w:val="nil"/>
              <w:left w:val="nil"/>
              <w:bottom w:val="single" w:sz="4" w:space="0" w:color="auto"/>
              <w:right w:val="single" w:sz="4" w:space="0" w:color="auto"/>
            </w:tcBorders>
            <w:vAlign w:val="center"/>
            <w:hideMark/>
          </w:tcPr>
          <w:p w14:paraId="45B9404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18.84</w:t>
            </w:r>
          </w:p>
        </w:tc>
        <w:tc>
          <w:tcPr>
            <w:tcW w:w="698" w:type="dxa"/>
            <w:tcBorders>
              <w:top w:val="nil"/>
              <w:left w:val="nil"/>
              <w:bottom w:val="single" w:sz="4" w:space="0" w:color="auto"/>
              <w:right w:val="single" w:sz="4" w:space="0" w:color="auto"/>
            </w:tcBorders>
            <w:vAlign w:val="center"/>
            <w:hideMark/>
          </w:tcPr>
          <w:p w14:paraId="6EE3F83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-0.21</w:t>
            </w:r>
          </w:p>
        </w:tc>
      </w:tr>
      <w:tr w:rsidR="00D70E11" w:rsidRPr="00D70E11" w14:paraId="34E93E6D"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0A9A8192"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1983-84</w:t>
            </w:r>
          </w:p>
        </w:tc>
        <w:tc>
          <w:tcPr>
            <w:tcW w:w="723" w:type="dxa"/>
            <w:tcBorders>
              <w:top w:val="nil"/>
              <w:left w:val="nil"/>
              <w:bottom w:val="single" w:sz="4" w:space="0" w:color="auto"/>
              <w:right w:val="single" w:sz="4" w:space="0" w:color="auto"/>
            </w:tcBorders>
            <w:vAlign w:val="center"/>
            <w:hideMark/>
          </w:tcPr>
          <w:p w14:paraId="64697E5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12.08</w:t>
            </w:r>
          </w:p>
        </w:tc>
        <w:tc>
          <w:tcPr>
            <w:tcW w:w="604" w:type="dxa"/>
            <w:tcBorders>
              <w:top w:val="nil"/>
              <w:left w:val="nil"/>
              <w:bottom w:val="single" w:sz="4" w:space="0" w:color="auto"/>
              <w:right w:val="single" w:sz="4" w:space="0" w:color="auto"/>
            </w:tcBorders>
            <w:vAlign w:val="center"/>
            <w:hideMark/>
          </w:tcPr>
          <w:p w14:paraId="3E20308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9.54</w:t>
            </w:r>
          </w:p>
        </w:tc>
        <w:tc>
          <w:tcPr>
            <w:tcW w:w="936" w:type="dxa"/>
            <w:tcBorders>
              <w:top w:val="nil"/>
              <w:left w:val="nil"/>
              <w:bottom w:val="single" w:sz="4" w:space="0" w:color="auto"/>
              <w:right w:val="single" w:sz="4" w:space="0" w:color="auto"/>
            </w:tcBorders>
            <w:vAlign w:val="center"/>
            <w:hideMark/>
          </w:tcPr>
          <w:p w14:paraId="73F1DCD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10.7</w:t>
            </w:r>
          </w:p>
        </w:tc>
        <w:tc>
          <w:tcPr>
            <w:tcW w:w="945" w:type="dxa"/>
            <w:tcBorders>
              <w:top w:val="nil"/>
              <w:left w:val="nil"/>
              <w:bottom w:val="single" w:sz="4" w:space="0" w:color="auto"/>
              <w:right w:val="single" w:sz="4" w:space="0" w:color="auto"/>
            </w:tcBorders>
            <w:vAlign w:val="center"/>
            <w:hideMark/>
          </w:tcPr>
          <w:p w14:paraId="20B125D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8.62</w:t>
            </w:r>
          </w:p>
        </w:tc>
        <w:tc>
          <w:tcPr>
            <w:tcW w:w="803" w:type="dxa"/>
            <w:tcBorders>
              <w:top w:val="nil"/>
              <w:left w:val="nil"/>
              <w:bottom w:val="single" w:sz="4" w:space="0" w:color="auto"/>
              <w:right w:val="single" w:sz="4" w:space="0" w:color="auto"/>
            </w:tcBorders>
            <w:vAlign w:val="center"/>
            <w:hideMark/>
          </w:tcPr>
          <w:p w14:paraId="4705F3A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-1.16</w:t>
            </w:r>
          </w:p>
        </w:tc>
        <w:tc>
          <w:tcPr>
            <w:tcW w:w="746" w:type="dxa"/>
            <w:tcBorders>
              <w:top w:val="nil"/>
              <w:left w:val="nil"/>
              <w:bottom w:val="single" w:sz="4" w:space="0" w:color="auto"/>
              <w:right w:val="single" w:sz="4" w:space="0" w:color="auto"/>
            </w:tcBorders>
            <w:vAlign w:val="center"/>
            <w:hideMark/>
          </w:tcPr>
          <w:p w14:paraId="4A608D1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11.08</w:t>
            </w:r>
          </w:p>
        </w:tc>
        <w:tc>
          <w:tcPr>
            <w:tcW w:w="663" w:type="dxa"/>
            <w:tcBorders>
              <w:top w:val="nil"/>
              <w:left w:val="nil"/>
              <w:bottom w:val="single" w:sz="4" w:space="0" w:color="auto"/>
              <w:right w:val="single" w:sz="4" w:space="0" w:color="auto"/>
            </w:tcBorders>
            <w:vAlign w:val="center"/>
            <w:hideMark/>
          </w:tcPr>
          <w:p w14:paraId="7511227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6.58</w:t>
            </w:r>
          </w:p>
        </w:tc>
        <w:tc>
          <w:tcPr>
            <w:tcW w:w="1070" w:type="dxa"/>
            <w:tcBorders>
              <w:top w:val="nil"/>
              <w:left w:val="nil"/>
              <w:bottom w:val="single" w:sz="4" w:space="0" w:color="auto"/>
              <w:right w:val="single" w:sz="4" w:space="0" w:color="auto"/>
            </w:tcBorders>
            <w:vAlign w:val="center"/>
            <w:hideMark/>
          </w:tcPr>
          <w:p w14:paraId="2D630B4A"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10.98</w:t>
            </w:r>
          </w:p>
        </w:tc>
        <w:tc>
          <w:tcPr>
            <w:tcW w:w="812" w:type="dxa"/>
            <w:tcBorders>
              <w:top w:val="nil"/>
              <w:left w:val="nil"/>
              <w:bottom w:val="single" w:sz="4" w:space="0" w:color="auto"/>
              <w:right w:val="single" w:sz="4" w:space="0" w:color="auto"/>
            </w:tcBorders>
            <w:vAlign w:val="center"/>
            <w:hideMark/>
          </w:tcPr>
          <w:p w14:paraId="4BB4DF3D"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0.11</w:t>
            </w:r>
          </w:p>
        </w:tc>
        <w:tc>
          <w:tcPr>
            <w:tcW w:w="794" w:type="dxa"/>
            <w:tcBorders>
              <w:top w:val="nil"/>
              <w:left w:val="nil"/>
              <w:bottom w:val="single" w:sz="4" w:space="0" w:color="auto"/>
              <w:right w:val="single" w:sz="4" w:space="0" w:color="auto"/>
            </w:tcBorders>
            <w:vAlign w:val="center"/>
            <w:hideMark/>
          </w:tcPr>
          <w:p w14:paraId="74E4FA5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17.88</w:t>
            </w:r>
          </w:p>
        </w:tc>
        <w:tc>
          <w:tcPr>
            <w:tcW w:w="1070" w:type="dxa"/>
            <w:tcBorders>
              <w:top w:val="nil"/>
              <w:left w:val="nil"/>
              <w:bottom w:val="single" w:sz="4" w:space="0" w:color="auto"/>
              <w:right w:val="single" w:sz="4" w:space="0" w:color="auto"/>
            </w:tcBorders>
            <w:vAlign w:val="center"/>
            <w:hideMark/>
          </w:tcPr>
          <w:p w14:paraId="0F645A2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18.94</w:t>
            </w:r>
          </w:p>
        </w:tc>
        <w:tc>
          <w:tcPr>
            <w:tcW w:w="698" w:type="dxa"/>
            <w:tcBorders>
              <w:top w:val="nil"/>
              <w:left w:val="nil"/>
              <w:bottom w:val="single" w:sz="4" w:space="0" w:color="auto"/>
              <w:right w:val="single" w:sz="4" w:space="0" w:color="auto"/>
            </w:tcBorders>
            <w:vAlign w:val="center"/>
            <w:hideMark/>
          </w:tcPr>
          <w:p w14:paraId="17E485A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-1.05</w:t>
            </w:r>
          </w:p>
        </w:tc>
      </w:tr>
      <w:tr w:rsidR="00D70E11" w:rsidRPr="00D70E11" w14:paraId="1168032E"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730CA9BF"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1984-85</w:t>
            </w:r>
          </w:p>
        </w:tc>
        <w:tc>
          <w:tcPr>
            <w:tcW w:w="723" w:type="dxa"/>
            <w:tcBorders>
              <w:top w:val="nil"/>
              <w:left w:val="nil"/>
              <w:bottom w:val="single" w:sz="4" w:space="0" w:color="auto"/>
              <w:right w:val="single" w:sz="4" w:space="0" w:color="auto"/>
            </w:tcBorders>
            <w:vAlign w:val="center"/>
            <w:hideMark/>
          </w:tcPr>
          <w:p w14:paraId="47D8EF8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12.72</w:t>
            </w:r>
          </w:p>
        </w:tc>
        <w:tc>
          <w:tcPr>
            <w:tcW w:w="604" w:type="dxa"/>
            <w:tcBorders>
              <w:top w:val="nil"/>
              <w:left w:val="nil"/>
              <w:bottom w:val="single" w:sz="4" w:space="0" w:color="auto"/>
              <w:right w:val="single" w:sz="4" w:space="0" w:color="auto"/>
            </w:tcBorders>
            <w:vAlign w:val="center"/>
            <w:hideMark/>
          </w:tcPr>
          <w:p w14:paraId="686A2B0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10.22</w:t>
            </w:r>
          </w:p>
        </w:tc>
        <w:tc>
          <w:tcPr>
            <w:tcW w:w="936" w:type="dxa"/>
            <w:tcBorders>
              <w:top w:val="nil"/>
              <w:left w:val="nil"/>
              <w:bottom w:val="single" w:sz="4" w:space="0" w:color="auto"/>
              <w:right w:val="single" w:sz="4" w:space="0" w:color="auto"/>
            </w:tcBorders>
            <w:vAlign w:val="center"/>
            <w:hideMark/>
          </w:tcPr>
          <w:p w14:paraId="4C0126E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11.73</w:t>
            </w:r>
          </w:p>
        </w:tc>
        <w:tc>
          <w:tcPr>
            <w:tcW w:w="945" w:type="dxa"/>
            <w:tcBorders>
              <w:top w:val="nil"/>
              <w:left w:val="nil"/>
              <w:bottom w:val="single" w:sz="4" w:space="0" w:color="auto"/>
              <w:right w:val="single" w:sz="4" w:space="0" w:color="auto"/>
            </w:tcBorders>
            <w:vAlign w:val="center"/>
            <w:hideMark/>
          </w:tcPr>
          <w:p w14:paraId="633E155A"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9.54</w:t>
            </w:r>
          </w:p>
        </w:tc>
        <w:tc>
          <w:tcPr>
            <w:tcW w:w="803" w:type="dxa"/>
            <w:tcBorders>
              <w:top w:val="nil"/>
              <w:left w:val="nil"/>
              <w:bottom w:val="single" w:sz="4" w:space="0" w:color="auto"/>
              <w:right w:val="single" w:sz="4" w:space="0" w:color="auto"/>
            </w:tcBorders>
            <w:vAlign w:val="center"/>
            <w:hideMark/>
          </w:tcPr>
          <w:p w14:paraId="5FC608B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-1.52</w:t>
            </w:r>
          </w:p>
        </w:tc>
        <w:tc>
          <w:tcPr>
            <w:tcW w:w="746" w:type="dxa"/>
            <w:tcBorders>
              <w:top w:val="nil"/>
              <w:left w:val="nil"/>
              <w:bottom w:val="single" w:sz="4" w:space="0" w:color="auto"/>
              <w:right w:val="single" w:sz="4" w:space="0" w:color="auto"/>
            </w:tcBorders>
            <w:vAlign w:val="center"/>
            <w:hideMark/>
          </w:tcPr>
          <w:p w14:paraId="4B4856D3"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11.37</w:t>
            </w:r>
          </w:p>
        </w:tc>
        <w:tc>
          <w:tcPr>
            <w:tcW w:w="663" w:type="dxa"/>
            <w:tcBorders>
              <w:top w:val="nil"/>
              <w:left w:val="nil"/>
              <w:bottom w:val="single" w:sz="4" w:space="0" w:color="auto"/>
              <w:right w:val="single" w:sz="4" w:space="0" w:color="auto"/>
            </w:tcBorders>
            <w:vAlign w:val="center"/>
            <w:hideMark/>
          </w:tcPr>
          <w:p w14:paraId="3137C56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6.64</w:t>
            </w:r>
          </w:p>
        </w:tc>
        <w:tc>
          <w:tcPr>
            <w:tcW w:w="1070" w:type="dxa"/>
            <w:tcBorders>
              <w:top w:val="nil"/>
              <w:left w:val="nil"/>
              <w:bottom w:val="single" w:sz="4" w:space="0" w:color="auto"/>
              <w:right w:val="single" w:sz="4" w:space="0" w:color="auto"/>
            </w:tcBorders>
            <w:vAlign w:val="center"/>
            <w:hideMark/>
          </w:tcPr>
          <w:p w14:paraId="439CD7B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11.76</w:t>
            </w:r>
          </w:p>
        </w:tc>
        <w:tc>
          <w:tcPr>
            <w:tcW w:w="812" w:type="dxa"/>
            <w:tcBorders>
              <w:top w:val="nil"/>
              <w:left w:val="nil"/>
              <w:bottom w:val="single" w:sz="4" w:space="0" w:color="auto"/>
              <w:right w:val="single" w:sz="4" w:space="0" w:color="auto"/>
            </w:tcBorders>
            <w:vAlign w:val="center"/>
            <w:hideMark/>
          </w:tcPr>
          <w:p w14:paraId="730C2C0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-0.39</w:t>
            </w:r>
          </w:p>
        </w:tc>
        <w:tc>
          <w:tcPr>
            <w:tcW w:w="794" w:type="dxa"/>
            <w:tcBorders>
              <w:top w:val="nil"/>
              <w:left w:val="nil"/>
              <w:bottom w:val="single" w:sz="4" w:space="0" w:color="auto"/>
              <w:right w:val="single" w:sz="4" w:space="0" w:color="auto"/>
            </w:tcBorders>
            <w:vAlign w:val="center"/>
            <w:hideMark/>
          </w:tcPr>
          <w:p w14:paraId="3502946A"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18.63</w:t>
            </w:r>
          </w:p>
        </w:tc>
        <w:tc>
          <w:tcPr>
            <w:tcW w:w="1070" w:type="dxa"/>
            <w:tcBorders>
              <w:top w:val="nil"/>
              <w:left w:val="nil"/>
              <w:bottom w:val="single" w:sz="4" w:space="0" w:color="auto"/>
              <w:right w:val="single" w:sz="4" w:space="0" w:color="auto"/>
            </w:tcBorders>
            <w:vAlign w:val="center"/>
            <w:hideMark/>
          </w:tcPr>
          <w:p w14:paraId="3F04681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20.53</w:t>
            </w:r>
          </w:p>
        </w:tc>
        <w:tc>
          <w:tcPr>
            <w:tcW w:w="698" w:type="dxa"/>
            <w:tcBorders>
              <w:top w:val="nil"/>
              <w:left w:val="nil"/>
              <w:bottom w:val="single" w:sz="4" w:space="0" w:color="auto"/>
              <w:right w:val="single" w:sz="4" w:space="0" w:color="auto"/>
            </w:tcBorders>
            <w:vAlign w:val="center"/>
            <w:hideMark/>
          </w:tcPr>
          <w:p w14:paraId="271951E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-1.91</w:t>
            </w:r>
          </w:p>
        </w:tc>
      </w:tr>
      <w:tr w:rsidR="00D70E11" w:rsidRPr="00D70E11" w14:paraId="782B09C6"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5E4EC3A4"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1985-86</w:t>
            </w:r>
          </w:p>
        </w:tc>
        <w:tc>
          <w:tcPr>
            <w:tcW w:w="723" w:type="dxa"/>
            <w:tcBorders>
              <w:top w:val="nil"/>
              <w:left w:val="nil"/>
              <w:bottom w:val="single" w:sz="4" w:space="0" w:color="auto"/>
              <w:right w:val="single" w:sz="4" w:space="0" w:color="auto"/>
            </w:tcBorders>
            <w:vAlign w:val="center"/>
            <w:hideMark/>
          </w:tcPr>
          <w:p w14:paraId="0EB452C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13.54</w:t>
            </w:r>
          </w:p>
        </w:tc>
        <w:tc>
          <w:tcPr>
            <w:tcW w:w="604" w:type="dxa"/>
            <w:tcBorders>
              <w:top w:val="nil"/>
              <w:left w:val="nil"/>
              <w:bottom w:val="single" w:sz="4" w:space="0" w:color="auto"/>
              <w:right w:val="single" w:sz="4" w:space="0" w:color="auto"/>
            </w:tcBorders>
            <w:vAlign w:val="center"/>
            <w:hideMark/>
          </w:tcPr>
          <w:p w14:paraId="36D975B7"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10.68</w:t>
            </w:r>
          </w:p>
        </w:tc>
        <w:tc>
          <w:tcPr>
            <w:tcW w:w="936" w:type="dxa"/>
            <w:tcBorders>
              <w:top w:val="nil"/>
              <w:left w:val="nil"/>
              <w:bottom w:val="single" w:sz="4" w:space="0" w:color="auto"/>
              <w:right w:val="single" w:sz="4" w:space="0" w:color="auto"/>
            </w:tcBorders>
            <w:vAlign w:val="center"/>
            <w:hideMark/>
          </w:tcPr>
          <w:p w14:paraId="4F85AEE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12.8</w:t>
            </w:r>
          </w:p>
        </w:tc>
        <w:tc>
          <w:tcPr>
            <w:tcW w:w="945" w:type="dxa"/>
            <w:tcBorders>
              <w:top w:val="nil"/>
              <w:left w:val="nil"/>
              <w:bottom w:val="single" w:sz="4" w:space="0" w:color="auto"/>
              <w:right w:val="single" w:sz="4" w:space="0" w:color="auto"/>
            </w:tcBorders>
            <w:vAlign w:val="center"/>
            <w:hideMark/>
          </w:tcPr>
          <w:p w14:paraId="5693509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10.31</w:t>
            </w:r>
          </w:p>
        </w:tc>
        <w:tc>
          <w:tcPr>
            <w:tcW w:w="803" w:type="dxa"/>
            <w:tcBorders>
              <w:top w:val="nil"/>
              <w:left w:val="nil"/>
              <w:bottom w:val="single" w:sz="4" w:space="0" w:color="auto"/>
              <w:right w:val="single" w:sz="4" w:space="0" w:color="auto"/>
            </w:tcBorders>
            <w:vAlign w:val="center"/>
            <w:hideMark/>
          </w:tcPr>
          <w:p w14:paraId="6C88BDE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-2.12</w:t>
            </w:r>
          </w:p>
        </w:tc>
        <w:tc>
          <w:tcPr>
            <w:tcW w:w="746" w:type="dxa"/>
            <w:tcBorders>
              <w:top w:val="nil"/>
              <w:left w:val="nil"/>
              <w:bottom w:val="single" w:sz="4" w:space="0" w:color="auto"/>
              <w:right w:val="single" w:sz="4" w:space="0" w:color="auto"/>
            </w:tcBorders>
            <w:vAlign w:val="center"/>
            <w:hideMark/>
          </w:tcPr>
          <w:p w14:paraId="54EA0E1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12.15</w:t>
            </w:r>
          </w:p>
        </w:tc>
        <w:tc>
          <w:tcPr>
            <w:tcW w:w="663" w:type="dxa"/>
            <w:tcBorders>
              <w:top w:val="nil"/>
              <w:left w:val="nil"/>
              <w:bottom w:val="single" w:sz="4" w:space="0" w:color="auto"/>
              <w:right w:val="single" w:sz="4" w:space="0" w:color="auto"/>
            </w:tcBorders>
            <w:vAlign w:val="center"/>
            <w:hideMark/>
          </w:tcPr>
          <w:p w14:paraId="322BC480"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6.89</w:t>
            </w:r>
          </w:p>
        </w:tc>
        <w:tc>
          <w:tcPr>
            <w:tcW w:w="1070" w:type="dxa"/>
            <w:tcBorders>
              <w:top w:val="nil"/>
              <w:left w:val="nil"/>
              <w:bottom w:val="single" w:sz="4" w:space="0" w:color="auto"/>
              <w:right w:val="single" w:sz="4" w:space="0" w:color="auto"/>
            </w:tcBorders>
            <w:vAlign w:val="center"/>
            <w:hideMark/>
          </w:tcPr>
          <w:p w14:paraId="541E402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11.95</w:t>
            </w:r>
          </w:p>
        </w:tc>
        <w:tc>
          <w:tcPr>
            <w:tcW w:w="812" w:type="dxa"/>
            <w:tcBorders>
              <w:top w:val="nil"/>
              <w:left w:val="nil"/>
              <w:bottom w:val="single" w:sz="4" w:space="0" w:color="auto"/>
              <w:right w:val="single" w:sz="4" w:space="0" w:color="auto"/>
            </w:tcBorders>
            <w:vAlign w:val="center"/>
            <w:hideMark/>
          </w:tcPr>
          <w:p w14:paraId="279040A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0.21</w:t>
            </w:r>
          </w:p>
        </w:tc>
        <w:tc>
          <w:tcPr>
            <w:tcW w:w="794" w:type="dxa"/>
            <w:tcBorders>
              <w:top w:val="nil"/>
              <w:left w:val="nil"/>
              <w:bottom w:val="single" w:sz="4" w:space="0" w:color="auto"/>
              <w:right w:val="single" w:sz="4" w:space="0" w:color="auto"/>
            </w:tcBorders>
            <w:vAlign w:val="center"/>
            <w:hideMark/>
          </w:tcPr>
          <w:p w14:paraId="640E409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19.43</w:t>
            </w:r>
          </w:p>
        </w:tc>
        <w:tc>
          <w:tcPr>
            <w:tcW w:w="1070" w:type="dxa"/>
            <w:tcBorders>
              <w:top w:val="nil"/>
              <w:left w:val="nil"/>
              <w:bottom w:val="single" w:sz="4" w:space="0" w:color="auto"/>
              <w:right w:val="single" w:sz="4" w:space="0" w:color="auto"/>
            </w:tcBorders>
            <w:vAlign w:val="center"/>
            <w:hideMark/>
          </w:tcPr>
          <w:p w14:paraId="11D15BA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21.34</w:t>
            </w:r>
          </w:p>
        </w:tc>
        <w:tc>
          <w:tcPr>
            <w:tcW w:w="698" w:type="dxa"/>
            <w:tcBorders>
              <w:top w:val="nil"/>
              <w:left w:val="nil"/>
              <w:bottom w:val="single" w:sz="4" w:space="0" w:color="auto"/>
              <w:right w:val="single" w:sz="4" w:space="0" w:color="auto"/>
            </w:tcBorders>
            <w:vAlign w:val="center"/>
            <w:hideMark/>
          </w:tcPr>
          <w:p w14:paraId="27B57A8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-1.91</w:t>
            </w:r>
          </w:p>
        </w:tc>
      </w:tr>
      <w:tr w:rsidR="00D70E11" w:rsidRPr="00D70E11" w14:paraId="3C921DF7" w14:textId="77777777" w:rsidTr="00D70E11">
        <w:trPr>
          <w:trHeight w:val="20"/>
          <w:jc w:val="center"/>
        </w:trPr>
        <w:tc>
          <w:tcPr>
            <w:tcW w:w="910" w:type="dxa"/>
            <w:tcBorders>
              <w:top w:val="nil"/>
              <w:left w:val="single" w:sz="4" w:space="0" w:color="auto"/>
              <w:bottom w:val="single" w:sz="4" w:space="0" w:color="auto"/>
              <w:right w:val="single" w:sz="4" w:space="0" w:color="auto"/>
            </w:tcBorders>
            <w:vAlign w:val="center"/>
            <w:hideMark/>
          </w:tcPr>
          <w:p w14:paraId="2622E49F" w14:textId="77777777" w:rsidR="00B36A4C" w:rsidRPr="00D70E11" w:rsidRDefault="00B36A4C" w:rsidP="00B36A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D70E11">
              <w:rPr>
                <w:rFonts w:ascii="Times New Roman" w:eastAsia="Times New Roman" w:hAnsi="Times New Roman" w:cs="Times New Roman"/>
                <w:b/>
                <w:bCs/>
                <w:color w:val="000000"/>
                <w:kern w:val="0"/>
                <w:sz w:val="16"/>
                <w:szCs w:val="16"/>
                <w:lang w:eastAsia="en-IN" w:bidi="ar-SA"/>
                <w14:ligatures w14:val="none"/>
              </w:rPr>
              <w:t>1986-87</w:t>
            </w:r>
          </w:p>
        </w:tc>
        <w:tc>
          <w:tcPr>
            <w:tcW w:w="723" w:type="dxa"/>
            <w:tcBorders>
              <w:top w:val="nil"/>
              <w:left w:val="nil"/>
              <w:bottom w:val="single" w:sz="4" w:space="0" w:color="auto"/>
              <w:right w:val="single" w:sz="4" w:space="0" w:color="auto"/>
            </w:tcBorders>
            <w:vAlign w:val="center"/>
            <w:hideMark/>
          </w:tcPr>
          <w:p w14:paraId="23A96C9F"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14.12</w:t>
            </w:r>
          </w:p>
        </w:tc>
        <w:tc>
          <w:tcPr>
            <w:tcW w:w="604" w:type="dxa"/>
            <w:tcBorders>
              <w:top w:val="nil"/>
              <w:left w:val="nil"/>
              <w:bottom w:val="single" w:sz="4" w:space="0" w:color="auto"/>
              <w:right w:val="single" w:sz="4" w:space="0" w:color="auto"/>
            </w:tcBorders>
            <w:vAlign w:val="center"/>
            <w:hideMark/>
          </w:tcPr>
          <w:p w14:paraId="35B8E6D4"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11.23</w:t>
            </w:r>
          </w:p>
        </w:tc>
        <w:tc>
          <w:tcPr>
            <w:tcW w:w="936" w:type="dxa"/>
            <w:tcBorders>
              <w:top w:val="nil"/>
              <w:left w:val="nil"/>
              <w:bottom w:val="single" w:sz="4" w:space="0" w:color="auto"/>
              <w:right w:val="single" w:sz="4" w:space="0" w:color="auto"/>
            </w:tcBorders>
            <w:vAlign w:val="center"/>
            <w:hideMark/>
          </w:tcPr>
          <w:p w14:paraId="117C2F6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13.88</w:t>
            </w:r>
          </w:p>
        </w:tc>
        <w:tc>
          <w:tcPr>
            <w:tcW w:w="945" w:type="dxa"/>
            <w:tcBorders>
              <w:top w:val="nil"/>
              <w:left w:val="nil"/>
              <w:bottom w:val="single" w:sz="4" w:space="0" w:color="auto"/>
              <w:right w:val="single" w:sz="4" w:space="0" w:color="auto"/>
            </w:tcBorders>
            <w:vAlign w:val="center"/>
            <w:hideMark/>
          </w:tcPr>
          <w:p w14:paraId="64335AD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11.48</w:t>
            </w:r>
          </w:p>
        </w:tc>
        <w:tc>
          <w:tcPr>
            <w:tcW w:w="803" w:type="dxa"/>
            <w:tcBorders>
              <w:top w:val="nil"/>
              <w:left w:val="nil"/>
              <w:bottom w:val="single" w:sz="4" w:space="0" w:color="auto"/>
              <w:right w:val="single" w:sz="4" w:space="0" w:color="auto"/>
            </w:tcBorders>
            <w:vAlign w:val="center"/>
            <w:hideMark/>
          </w:tcPr>
          <w:p w14:paraId="2130841C"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-2.65</w:t>
            </w:r>
          </w:p>
        </w:tc>
        <w:tc>
          <w:tcPr>
            <w:tcW w:w="746" w:type="dxa"/>
            <w:tcBorders>
              <w:top w:val="nil"/>
              <w:left w:val="nil"/>
              <w:bottom w:val="single" w:sz="4" w:space="0" w:color="auto"/>
              <w:right w:val="single" w:sz="4" w:space="0" w:color="auto"/>
            </w:tcBorders>
            <w:vAlign w:val="center"/>
            <w:hideMark/>
          </w:tcPr>
          <w:p w14:paraId="5D48DAC5"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12.26</w:t>
            </w:r>
          </w:p>
        </w:tc>
        <w:tc>
          <w:tcPr>
            <w:tcW w:w="663" w:type="dxa"/>
            <w:tcBorders>
              <w:top w:val="nil"/>
              <w:left w:val="nil"/>
              <w:bottom w:val="single" w:sz="4" w:space="0" w:color="auto"/>
              <w:right w:val="single" w:sz="4" w:space="0" w:color="auto"/>
            </w:tcBorders>
            <w:vAlign w:val="center"/>
            <w:hideMark/>
          </w:tcPr>
          <w:p w14:paraId="4EFDA509"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7.01</w:t>
            </w:r>
          </w:p>
        </w:tc>
        <w:tc>
          <w:tcPr>
            <w:tcW w:w="1070" w:type="dxa"/>
            <w:tcBorders>
              <w:top w:val="nil"/>
              <w:left w:val="nil"/>
              <w:bottom w:val="single" w:sz="4" w:space="0" w:color="auto"/>
              <w:right w:val="single" w:sz="4" w:space="0" w:color="auto"/>
            </w:tcBorders>
            <w:vAlign w:val="center"/>
            <w:hideMark/>
          </w:tcPr>
          <w:p w14:paraId="73B13291"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12.26</w:t>
            </w:r>
          </w:p>
        </w:tc>
        <w:tc>
          <w:tcPr>
            <w:tcW w:w="812" w:type="dxa"/>
            <w:tcBorders>
              <w:top w:val="nil"/>
              <w:left w:val="nil"/>
              <w:bottom w:val="single" w:sz="4" w:space="0" w:color="auto"/>
              <w:right w:val="single" w:sz="4" w:space="0" w:color="auto"/>
            </w:tcBorders>
            <w:vAlign w:val="center"/>
            <w:hideMark/>
          </w:tcPr>
          <w:p w14:paraId="6FEDDEE2"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0.01</w:t>
            </w:r>
          </w:p>
        </w:tc>
        <w:tc>
          <w:tcPr>
            <w:tcW w:w="794" w:type="dxa"/>
            <w:tcBorders>
              <w:top w:val="nil"/>
              <w:left w:val="nil"/>
              <w:bottom w:val="single" w:sz="4" w:space="0" w:color="auto"/>
              <w:right w:val="single" w:sz="4" w:space="0" w:color="auto"/>
            </w:tcBorders>
            <w:vAlign w:val="center"/>
            <w:hideMark/>
          </w:tcPr>
          <w:p w14:paraId="138C67D6"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19.92</w:t>
            </w:r>
          </w:p>
        </w:tc>
        <w:tc>
          <w:tcPr>
            <w:tcW w:w="1070" w:type="dxa"/>
            <w:tcBorders>
              <w:top w:val="nil"/>
              <w:left w:val="nil"/>
              <w:bottom w:val="single" w:sz="4" w:space="0" w:color="auto"/>
              <w:right w:val="single" w:sz="4" w:space="0" w:color="auto"/>
            </w:tcBorders>
            <w:vAlign w:val="center"/>
            <w:hideMark/>
          </w:tcPr>
          <w:p w14:paraId="0C78273B"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22.56</w:t>
            </w:r>
          </w:p>
        </w:tc>
        <w:tc>
          <w:tcPr>
            <w:tcW w:w="698" w:type="dxa"/>
            <w:tcBorders>
              <w:top w:val="nil"/>
              <w:left w:val="nil"/>
              <w:bottom w:val="single" w:sz="4" w:space="0" w:color="auto"/>
              <w:right w:val="single" w:sz="4" w:space="0" w:color="auto"/>
            </w:tcBorders>
            <w:vAlign w:val="center"/>
            <w:hideMark/>
          </w:tcPr>
          <w:p w14:paraId="7885B588" w14:textId="77777777" w:rsidR="00B36A4C" w:rsidRPr="00D70E11" w:rsidRDefault="00B36A4C" w:rsidP="00B36A4C">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D70E11">
              <w:rPr>
                <w:rFonts w:ascii="Times New Roman" w:eastAsia="Times New Roman" w:hAnsi="Times New Roman" w:cs="Times New Roman"/>
                <w:color w:val="000000"/>
                <w:kern w:val="0"/>
                <w:sz w:val="16"/>
                <w:szCs w:val="16"/>
                <w:lang w:eastAsia="en-IN" w:bidi="ar-SA"/>
                <w14:ligatures w14:val="none"/>
              </w:rPr>
              <w:t>-2.64</w:t>
            </w:r>
          </w:p>
        </w:tc>
      </w:tr>
    </w:tbl>
    <w:p w14:paraId="09BE045A" w14:textId="77777777" w:rsidR="002F2047" w:rsidRPr="00D70E11" w:rsidRDefault="002F2047" w:rsidP="00D70E11">
      <w:pPr>
        <w:spacing w:after="0" w:line="240" w:lineRule="auto"/>
        <w:ind w:left="720"/>
        <w:jc w:val="both"/>
        <w:rPr>
          <w:rFonts w:ascii="Times New Roman" w:hAnsi="Times New Roman" w:cs="Times New Roman"/>
          <w:sz w:val="16"/>
          <w:szCs w:val="16"/>
        </w:rPr>
      </w:pPr>
      <w:r w:rsidRPr="00D70E11">
        <w:rPr>
          <w:rFonts w:ascii="Times New Roman" w:hAnsi="Times New Roman" w:cs="Times New Roman"/>
          <w:b/>
          <w:bCs/>
          <w:sz w:val="16"/>
          <w:szCs w:val="16"/>
        </w:rPr>
        <w:t>Notes:</w:t>
      </w:r>
      <w:r w:rsidRPr="00D70E11">
        <w:rPr>
          <w:rFonts w:ascii="Times New Roman" w:hAnsi="Times New Roman" w:cs="Times New Roman"/>
          <w:sz w:val="16"/>
          <w:szCs w:val="16"/>
        </w:rPr>
        <w:t xml:space="preserve"> 1. States include Union Territories.</w:t>
      </w:r>
    </w:p>
    <w:p w14:paraId="59B9A5D1" w14:textId="77777777" w:rsidR="002F2047" w:rsidRPr="00D70E11" w:rsidRDefault="002F2047" w:rsidP="00D70E11">
      <w:pPr>
        <w:spacing w:after="0" w:line="240" w:lineRule="auto"/>
        <w:ind w:left="720"/>
        <w:jc w:val="both"/>
        <w:rPr>
          <w:rFonts w:ascii="Times New Roman" w:hAnsi="Times New Roman" w:cs="Times New Roman"/>
          <w:sz w:val="16"/>
          <w:szCs w:val="16"/>
        </w:rPr>
      </w:pPr>
      <w:r w:rsidRPr="00D70E11">
        <w:rPr>
          <w:rFonts w:ascii="Times New Roman" w:hAnsi="Times New Roman" w:cs="Times New Roman"/>
          <w:sz w:val="16"/>
          <w:szCs w:val="16"/>
        </w:rPr>
        <w:t xml:space="preserve">2. New series of GDP estimates used. </w:t>
      </w:r>
    </w:p>
    <w:p w14:paraId="26CC528C" w14:textId="4B48B887" w:rsidR="00B36A4C" w:rsidRPr="00D70E11" w:rsidRDefault="002F2047" w:rsidP="00D70E11">
      <w:pPr>
        <w:spacing w:after="0" w:line="240" w:lineRule="auto"/>
        <w:ind w:left="720"/>
        <w:jc w:val="both"/>
        <w:rPr>
          <w:rFonts w:ascii="Times New Roman" w:hAnsi="Times New Roman" w:cs="Times New Roman"/>
          <w:szCs w:val="22"/>
        </w:rPr>
      </w:pPr>
      <w:r w:rsidRPr="00D70E11">
        <w:rPr>
          <w:rFonts w:ascii="Times New Roman" w:hAnsi="Times New Roman" w:cs="Times New Roman"/>
          <w:sz w:val="16"/>
          <w:szCs w:val="16"/>
        </w:rPr>
        <w:t xml:space="preserve">Source: Indian </w:t>
      </w:r>
      <w:r w:rsidR="00D70E11" w:rsidRPr="00D70E11">
        <w:rPr>
          <w:rFonts w:ascii="Times New Roman" w:hAnsi="Times New Roman" w:cs="Times New Roman"/>
          <w:sz w:val="16"/>
          <w:szCs w:val="16"/>
        </w:rPr>
        <w:t>Economic</w:t>
      </w:r>
      <w:r w:rsidRPr="00D70E11">
        <w:rPr>
          <w:rFonts w:ascii="Times New Roman" w:hAnsi="Times New Roman" w:cs="Times New Roman"/>
          <w:sz w:val="16"/>
          <w:szCs w:val="16"/>
        </w:rPr>
        <w:t xml:space="preserve"> Statistics </w:t>
      </w:r>
      <w:r w:rsidR="007C2970" w:rsidRPr="00D70E11">
        <w:rPr>
          <w:rFonts w:ascii="Times New Roman" w:hAnsi="Times New Roman" w:cs="Times New Roman"/>
          <w:sz w:val="16"/>
          <w:szCs w:val="16"/>
        </w:rPr>
        <w:t>-</w:t>
      </w:r>
      <w:r w:rsidRPr="00D70E11">
        <w:rPr>
          <w:rFonts w:ascii="Times New Roman" w:hAnsi="Times New Roman" w:cs="Times New Roman"/>
          <w:sz w:val="16"/>
          <w:szCs w:val="16"/>
        </w:rPr>
        <w:t xml:space="preserve"> Public Finance, </w:t>
      </w:r>
      <w:r w:rsidR="00D70E11" w:rsidRPr="00D70E11">
        <w:rPr>
          <w:rFonts w:ascii="Times New Roman" w:hAnsi="Times New Roman" w:cs="Times New Roman"/>
          <w:sz w:val="16"/>
          <w:szCs w:val="16"/>
        </w:rPr>
        <w:t>Ministry</w:t>
      </w:r>
      <w:r w:rsidRPr="00D70E11">
        <w:rPr>
          <w:rFonts w:ascii="Times New Roman" w:hAnsi="Times New Roman" w:cs="Times New Roman"/>
          <w:sz w:val="16"/>
          <w:szCs w:val="16"/>
        </w:rPr>
        <w:t xml:space="preserve"> of Finance, Government of India</w:t>
      </w:r>
    </w:p>
    <w:p w14:paraId="47D2C976" w14:textId="1DD605D2" w:rsidR="002F2047" w:rsidRPr="00D70E11" w:rsidRDefault="002F2047" w:rsidP="00D70E11">
      <w:pPr>
        <w:spacing w:after="0" w:line="240" w:lineRule="auto"/>
        <w:jc w:val="center"/>
        <w:rPr>
          <w:rFonts w:ascii="Times New Roman" w:hAnsi="Times New Roman" w:cs="Times New Roman"/>
          <w:b/>
          <w:bCs/>
          <w:i/>
          <w:iCs/>
          <w:sz w:val="20"/>
          <w:szCs w:val="20"/>
        </w:rPr>
      </w:pPr>
      <w:bookmarkStart w:id="136" w:name="_Toc221293026"/>
      <w:r w:rsidRPr="00D70E11">
        <w:rPr>
          <w:rFonts w:ascii="Times New Roman" w:hAnsi="Times New Roman" w:cs="Times New Roman"/>
          <w:b/>
          <w:bCs/>
          <w:sz w:val="20"/>
          <w:szCs w:val="20"/>
        </w:rPr>
        <w:lastRenderedPageBreak/>
        <w:t>TABLE B.3.2</w:t>
      </w:r>
      <w:r w:rsidR="00B36A4C" w:rsidRPr="00D70E11">
        <w:rPr>
          <w:rFonts w:ascii="Times New Roman" w:hAnsi="Times New Roman" w:cs="Times New Roman"/>
          <w:b/>
          <w:bCs/>
          <w:sz w:val="20"/>
          <w:szCs w:val="20"/>
        </w:rPr>
        <w:br/>
      </w:r>
      <w:r w:rsidRPr="00D70E11">
        <w:rPr>
          <w:rFonts w:ascii="Times New Roman" w:hAnsi="Times New Roman" w:cs="Times New Roman"/>
          <w:b/>
          <w:bCs/>
          <w:sz w:val="20"/>
          <w:szCs w:val="20"/>
        </w:rPr>
        <w:t xml:space="preserve">The Share </w:t>
      </w:r>
      <w:proofErr w:type="gramStart"/>
      <w:r w:rsidRPr="00D70E11">
        <w:rPr>
          <w:rFonts w:ascii="Times New Roman" w:hAnsi="Times New Roman" w:cs="Times New Roman"/>
          <w:b/>
          <w:bCs/>
          <w:sz w:val="20"/>
          <w:szCs w:val="20"/>
        </w:rPr>
        <w:t>Of</w:t>
      </w:r>
      <w:proofErr w:type="gramEnd"/>
      <w:r w:rsidR="00C0399E" w:rsidRPr="00D70E11">
        <w:rPr>
          <w:rFonts w:ascii="Times New Roman" w:hAnsi="Times New Roman" w:cs="Times New Roman"/>
          <w:b/>
          <w:bCs/>
          <w:sz w:val="20"/>
          <w:szCs w:val="20"/>
        </w:rPr>
        <w:t xml:space="preserve"> </w:t>
      </w:r>
      <w:r w:rsidRPr="00D70E11">
        <w:rPr>
          <w:rFonts w:ascii="Times New Roman" w:hAnsi="Times New Roman" w:cs="Times New Roman"/>
          <w:b/>
          <w:bCs/>
          <w:sz w:val="20"/>
          <w:szCs w:val="20"/>
        </w:rPr>
        <w:t xml:space="preserve">States </w:t>
      </w:r>
      <w:proofErr w:type="gramStart"/>
      <w:r w:rsidRPr="00D70E11">
        <w:rPr>
          <w:rFonts w:ascii="Times New Roman" w:hAnsi="Times New Roman" w:cs="Times New Roman"/>
          <w:b/>
          <w:bCs/>
          <w:sz w:val="20"/>
          <w:szCs w:val="20"/>
        </w:rPr>
        <w:t>In</w:t>
      </w:r>
      <w:proofErr w:type="gramEnd"/>
      <w:r w:rsidRPr="00D70E11">
        <w:rPr>
          <w:rFonts w:ascii="Times New Roman" w:hAnsi="Times New Roman" w:cs="Times New Roman"/>
          <w:b/>
          <w:bCs/>
          <w:sz w:val="20"/>
          <w:szCs w:val="20"/>
        </w:rPr>
        <w:t xml:space="preserve"> </w:t>
      </w:r>
      <w:proofErr w:type="gramStart"/>
      <w:r w:rsidRPr="00D70E11">
        <w:rPr>
          <w:rFonts w:ascii="Times New Roman" w:hAnsi="Times New Roman" w:cs="Times New Roman"/>
          <w:b/>
          <w:bCs/>
          <w:sz w:val="20"/>
          <w:szCs w:val="20"/>
        </w:rPr>
        <w:t>The</w:t>
      </w:r>
      <w:proofErr w:type="gramEnd"/>
      <w:r w:rsidRPr="00D70E11">
        <w:rPr>
          <w:rFonts w:ascii="Times New Roman" w:hAnsi="Times New Roman" w:cs="Times New Roman"/>
          <w:b/>
          <w:bCs/>
          <w:sz w:val="20"/>
          <w:szCs w:val="20"/>
        </w:rPr>
        <w:t xml:space="preserve"> Total Tax Revenues </w:t>
      </w:r>
      <w:proofErr w:type="gramStart"/>
      <w:r w:rsidRPr="00D70E11">
        <w:rPr>
          <w:rFonts w:ascii="Times New Roman" w:hAnsi="Times New Roman" w:cs="Times New Roman"/>
          <w:b/>
          <w:bCs/>
          <w:sz w:val="20"/>
          <w:szCs w:val="20"/>
        </w:rPr>
        <w:t>Of</w:t>
      </w:r>
      <w:proofErr w:type="gramEnd"/>
      <w:r w:rsidRPr="00D70E11">
        <w:rPr>
          <w:rFonts w:ascii="Times New Roman" w:hAnsi="Times New Roman" w:cs="Times New Roman"/>
          <w:b/>
          <w:bCs/>
          <w:sz w:val="20"/>
          <w:szCs w:val="20"/>
        </w:rPr>
        <w:t xml:space="preserve"> </w:t>
      </w:r>
      <w:proofErr w:type="gramStart"/>
      <w:r w:rsidRPr="00D70E11">
        <w:rPr>
          <w:rFonts w:ascii="Times New Roman" w:hAnsi="Times New Roman" w:cs="Times New Roman"/>
          <w:b/>
          <w:bCs/>
          <w:sz w:val="20"/>
          <w:szCs w:val="20"/>
        </w:rPr>
        <w:t>The</w:t>
      </w:r>
      <w:proofErr w:type="gramEnd"/>
      <w:r w:rsidRPr="00D70E11">
        <w:rPr>
          <w:rFonts w:ascii="Times New Roman" w:hAnsi="Times New Roman" w:cs="Times New Roman"/>
          <w:b/>
          <w:bCs/>
          <w:sz w:val="20"/>
          <w:szCs w:val="20"/>
        </w:rPr>
        <w:t xml:space="preserve"> Centre </w:t>
      </w:r>
      <w:proofErr w:type="gramStart"/>
      <w:r w:rsidRPr="00D70E11">
        <w:rPr>
          <w:rFonts w:ascii="Times New Roman" w:hAnsi="Times New Roman" w:cs="Times New Roman"/>
          <w:b/>
          <w:bCs/>
          <w:sz w:val="20"/>
          <w:szCs w:val="20"/>
        </w:rPr>
        <w:t>And</w:t>
      </w:r>
      <w:proofErr w:type="gramEnd"/>
      <w:r w:rsidRPr="00D70E11">
        <w:rPr>
          <w:rFonts w:ascii="Times New Roman" w:hAnsi="Times New Roman" w:cs="Times New Roman"/>
          <w:b/>
          <w:bCs/>
          <w:sz w:val="20"/>
          <w:szCs w:val="20"/>
        </w:rPr>
        <w:t xml:space="preserve"> States</w:t>
      </w:r>
      <w:bookmarkEnd w:id="136"/>
      <w:r w:rsidR="00DB5229">
        <w:rPr>
          <w:rFonts w:ascii="Times New Roman" w:hAnsi="Times New Roman" w:cs="Times New Roman"/>
          <w:b/>
          <w:bCs/>
          <w:sz w:val="20"/>
          <w:szCs w:val="20"/>
        </w:rPr>
        <w:t xml:space="preserve"> (Rs. Crores)</w:t>
      </w:r>
    </w:p>
    <w:tbl>
      <w:tblPr>
        <w:tblStyle w:val="TableGrid"/>
        <w:tblW w:w="8217" w:type="dxa"/>
        <w:jc w:val="center"/>
        <w:tblLook w:val="04A0" w:firstRow="1" w:lastRow="0" w:firstColumn="1" w:lastColumn="0" w:noHBand="0" w:noVBand="1"/>
      </w:tblPr>
      <w:tblGrid>
        <w:gridCol w:w="1205"/>
        <w:gridCol w:w="1348"/>
        <w:gridCol w:w="1275"/>
        <w:gridCol w:w="1276"/>
        <w:gridCol w:w="1559"/>
        <w:gridCol w:w="1554"/>
      </w:tblGrid>
      <w:tr w:rsidR="002F2047" w:rsidRPr="00D70E11" w14:paraId="62B96E6F" w14:textId="77777777" w:rsidTr="00D70E11">
        <w:trPr>
          <w:trHeight w:val="20"/>
          <w:jc w:val="center"/>
        </w:trPr>
        <w:tc>
          <w:tcPr>
            <w:tcW w:w="1205" w:type="dxa"/>
            <w:vAlign w:val="center"/>
            <w:hideMark/>
          </w:tcPr>
          <w:p w14:paraId="7C879951" w14:textId="77777777" w:rsidR="002F2047" w:rsidRPr="00D70E11" w:rsidRDefault="002F2047" w:rsidP="00B36A4C">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Year</w:t>
            </w:r>
          </w:p>
        </w:tc>
        <w:tc>
          <w:tcPr>
            <w:tcW w:w="1348" w:type="dxa"/>
            <w:vAlign w:val="center"/>
            <w:hideMark/>
          </w:tcPr>
          <w:p w14:paraId="7911B661" w14:textId="3B5F6A18" w:rsidR="002F2047" w:rsidRPr="00D70E11" w:rsidRDefault="002F2047" w:rsidP="00B36A4C">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Taxes Levied </w:t>
            </w:r>
            <w:proofErr w:type="gramStart"/>
            <w:r w:rsidRPr="00D70E11">
              <w:rPr>
                <w:rFonts w:ascii="Times New Roman" w:hAnsi="Times New Roman" w:cs="Times New Roman"/>
                <w:b/>
                <w:bCs/>
                <w:sz w:val="16"/>
                <w:szCs w:val="16"/>
              </w:rPr>
              <w:t>By</w:t>
            </w:r>
            <w:proofErr w:type="gramEnd"/>
            <w:r w:rsidRPr="00D70E11">
              <w:rPr>
                <w:rFonts w:ascii="Times New Roman" w:hAnsi="Times New Roman" w:cs="Times New Roman"/>
                <w:b/>
                <w:bCs/>
                <w:sz w:val="16"/>
                <w:szCs w:val="16"/>
              </w:rPr>
              <w:t xml:space="preserve"> </w:t>
            </w:r>
            <w:proofErr w:type="gramStart"/>
            <w:r w:rsidRPr="00D70E11">
              <w:rPr>
                <w:rFonts w:ascii="Times New Roman" w:hAnsi="Times New Roman" w:cs="Times New Roman"/>
                <w:b/>
                <w:bCs/>
                <w:sz w:val="16"/>
                <w:szCs w:val="16"/>
              </w:rPr>
              <w:t>The</w:t>
            </w:r>
            <w:proofErr w:type="gramEnd"/>
            <w:r w:rsidRPr="00D70E11">
              <w:rPr>
                <w:rFonts w:ascii="Times New Roman" w:hAnsi="Times New Roman" w:cs="Times New Roman"/>
                <w:b/>
                <w:bCs/>
                <w:sz w:val="16"/>
                <w:szCs w:val="16"/>
              </w:rPr>
              <w:t xml:space="preserve"> States </w:t>
            </w:r>
          </w:p>
        </w:tc>
        <w:tc>
          <w:tcPr>
            <w:tcW w:w="1275" w:type="dxa"/>
            <w:vAlign w:val="center"/>
            <w:hideMark/>
          </w:tcPr>
          <w:p w14:paraId="378E8E1E" w14:textId="279ADAE2" w:rsidR="002F2047" w:rsidRPr="00D70E11" w:rsidRDefault="002F2047" w:rsidP="00B36A4C">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Devolution Of Taxes </w:t>
            </w:r>
          </w:p>
        </w:tc>
        <w:tc>
          <w:tcPr>
            <w:tcW w:w="1276" w:type="dxa"/>
            <w:vAlign w:val="center"/>
            <w:hideMark/>
          </w:tcPr>
          <w:p w14:paraId="72EED782" w14:textId="4B3C64DB" w:rsidR="002F2047" w:rsidRPr="00D70E11" w:rsidRDefault="002F2047" w:rsidP="00B36A4C">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Taxes Accruing </w:t>
            </w:r>
            <w:proofErr w:type="gramStart"/>
            <w:r w:rsidRPr="00D70E11">
              <w:rPr>
                <w:rFonts w:ascii="Times New Roman" w:hAnsi="Times New Roman" w:cs="Times New Roman"/>
                <w:b/>
                <w:bCs/>
                <w:sz w:val="16"/>
                <w:szCs w:val="16"/>
              </w:rPr>
              <w:t>To</w:t>
            </w:r>
            <w:proofErr w:type="gramEnd"/>
            <w:r w:rsidRPr="00D70E11">
              <w:rPr>
                <w:rFonts w:ascii="Times New Roman" w:hAnsi="Times New Roman" w:cs="Times New Roman"/>
                <w:b/>
                <w:bCs/>
                <w:sz w:val="16"/>
                <w:szCs w:val="16"/>
              </w:rPr>
              <w:t xml:space="preserve"> States </w:t>
            </w:r>
          </w:p>
        </w:tc>
        <w:tc>
          <w:tcPr>
            <w:tcW w:w="1559" w:type="dxa"/>
            <w:vAlign w:val="center"/>
            <w:hideMark/>
          </w:tcPr>
          <w:p w14:paraId="4FCE826C" w14:textId="10A2ED97" w:rsidR="002F2047" w:rsidRPr="00D70E11" w:rsidRDefault="002F2047" w:rsidP="00B36A4C">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Total Taxes (Centre </w:t>
            </w:r>
            <w:proofErr w:type="gramStart"/>
            <w:r w:rsidRPr="00D70E11">
              <w:rPr>
                <w:rFonts w:ascii="Times New Roman" w:hAnsi="Times New Roman" w:cs="Times New Roman"/>
                <w:b/>
                <w:bCs/>
                <w:sz w:val="16"/>
                <w:szCs w:val="16"/>
              </w:rPr>
              <w:t>And</w:t>
            </w:r>
            <w:proofErr w:type="gramEnd"/>
            <w:r w:rsidRPr="00D70E11">
              <w:rPr>
                <w:rFonts w:ascii="Times New Roman" w:hAnsi="Times New Roman" w:cs="Times New Roman"/>
                <w:b/>
                <w:bCs/>
                <w:sz w:val="16"/>
                <w:szCs w:val="16"/>
              </w:rPr>
              <w:t xml:space="preserve"> States) </w:t>
            </w:r>
          </w:p>
        </w:tc>
        <w:tc>
          <w:tcPr>
            <w:tcW w:w="1554" w:type="dxa"/>
            <w:vAlign w:val="center"/>
            <w:hideMark/>
          </w:tcPr>
          <w:p w14:paraId="406E4E2A" w14:textId="23F6C2B2" w:rsidR="002F2047" w:rsidRPr="00D70E11" w:rsidRDefault="002F2047" w:rsidP="00B36A4C">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Taxes Accruing </w:t>
            </w:r>
            <w:proofErr w:type="gramStart"/>
            <w:r w:rsidRPr="00D70E11">
              <w:rPr>
                <w:rFonts w:ascii="Times New Roman" w:hAnsi="Times New Roman" w:cs="Times New Roman"/>
                <w:b/>
                <w:bCs/>
                <w:sz w:val="16"/>
                <w:szCs w:val="16"/>
              </w:rPr>
              <w:t>To</w:t>
            </w:r>
            <w:proofErr w:type="gramEnd"/>
            <w:r w:rsidRPr="00D70E11">
              <w:rPr>
                <w:rFonts w:ascii="Times New Roman" w:hAnsi="Times New Roman" w:cs="Times New Roman"/>
                <w:b/>
                <w:bCs/>
                <w:sz w:val="16"/>
                <w:szCs w:val="16"/>
              </w:rPr>
              <w:t xml:space="preserve"> States </w:t>
            </w:r>
            <w:proofErr w:type="gramStart"/>
            <w:r w:rsidRPr="00D70E11">
              <w:rPr>
                <w:rFonts w:ascii="Times New Roman" w:hAnsi="Times New Roman" w:cs="Times New Roman"/>
                <w:b/>
                <w:bCs/>
                <w:sz w:val="16"/>
                <w:szCs w:val="16"/>
              </w:rPr>
              <w:t>As</w:t>
            </w:r>
            <w:proofErr w:type="gramEnd"/>
            <w:r w:rsidRPr="00D70E11">
              <w:rPr>
                <w:rFonts w:ascii="Times New Roman" w:hAnsi="Times New Roman" w:cs="Times New Roman"/>
                <w:b/>
                <w:bCs/>
                <w:sz w:val="16"/>
                <w:szCs w:val="16"/>
              </w:rPr>
              <w:t xml:space="preserve"> Per Cent </w:t>
            </w:r>
            <w:proofErr w:type="gramStart"/>
            <w:r w:rsidRPr="00D70E11">
              <w:rPr>
                <w:rFonts w:ascii="Times New Roman" w:hAnsi="Times New Roman" w:cs="Times New Roman"/>
                <w:b/>
                <w:bCs/>
                <w:sz w:val="16"/>
                <w:szCs w:val="16"/>
              </w:rPr>
              <w:t>Of</w:t>
            </w:r>
            <w:proofErr w:type="gramEnd"/>
            <w:r w:rsidRPr="00D70E11">
              <w:rPr>
                <w:rFonts w:ascii="Times New Roman" w:hAnsi="Times New Roman" w:cs="Times New Roman"/>
                <w:b/>
                <w:bCs/>
                <w:sz w:val="16"/>
                <w:szCs w:val="16"/>
              </w:rPr>
              <w:t xml:space="preserve"> Total Taxes </w:t>
            </w:r>
          </w:p>
        </w:tc>
      </w:tr>
      <w:tr w:rsidR="00D70E11" w:rsidRPr="00D70E11" w14:paraId="1792F14C" w14:textId="77777777" w:rsidTr="00D70E11">
        <w:trPr>
          <w:trHeight w:val="20"/>
          <w:jc w:val="center"/>
        </w:trPr>
        <w:tc>
          <w:tcPr>
            <w:tcW w:w="1205" w:type="dxa"/>
            <w:vAlign w:val="center"/>
          </w:tcPr>
          <w:p w14:paraId="28C3DAA4" w14:textId="77777777" w:rsidR="00D70E11" w:rsidRPr="00D70E11" w:rsidRDefault="00D70E11" w:rsidP="00B36A4C">
            <w:pPr>
              <w:pStyle w:val="NoSpacing"/>
              <w:jc w:val="center"/>
              <w:rPr>
                <w:rFonts w:ascii="Times New Roman" w:hAnsi="Times New Roman" w:cs="Times New Roman"/>
                <w:b/>
                <w:bCs/>
                <w:sz w:val="16"/>
                <w:szCs w:val="16"/>
              </w:rPr>
            </w:pPr>
          </w:p>
        </w:tc>
        <w:tc>
          <w:tcPr>
            <w:tcW w:w="1348" w:type="dxa"/>
            <w:vAlign w:val="center"/>
          </w:tcPr>
          <w:p w14:paraId="7CA78231" w14:textId="7B3FA13C" w:rsidR="00D70E11" w:rsidRPr="00D70E11" w:rsidRDefault="00D70E11" w:rsidP="00B36A4C">
            <w:pPr>
              <w:pStyle w:val="NoSpacing"/>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1275" w:type="dxa"/>
            <w:vAlign w:val="center"/>
          </w:tcPr>
          <w:p w14:paraId="413A8FFB" w14:textId="53197694" w:rsidR="00D70E11" w:rsidRPr="00D70E11" w:rsidRDefault="00D70E11" w:rsidP="00B36A4C">
            <w:pPr>
              <w:pStyle w:val="NoSpacing"/>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276" w:type="dxa"/>
            <w:vAlign w:val="center"/>
          </w:tcPr>
          <w:p w14:paraId="7EB26586" w14:textId="12E6E84E" w:rsidR="00D70E11" w:rsidRPr="00D70E11" w:rsidRDefault="00D70E11" w:rsidP="00B36A4C">
            <w:pPr>
              <w:pStyle w:val="NoSpacing"/>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559" w:type="dxa"/>
            <w:vAlign w:val="center"/>
          </w:tcPr>
          <w:p w14:paraId="1CEDC19D" w14:textId="3F6AB853" w:rsidR="00D70E11" w:rsidRPr="00D70E11" w:rsidRDefault="00D70E11" w:rsidP="00B36A4C">
            <w:pPr>
              <w:pStyle w:val="NoSpacing"/>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1554" w:type="dxa"/>
            <w:vAlign w:val="center"/>
          </w:tcPr>
          <w:p w14:paraId="6829684B" w14:textId="7C2E26A2" w:rsidR="00D70E11" w:rsidRPr="00D70E11" w:rsidRDefault="00D70E11" w:rsidP="00B36A4C">
            <w:pPr>
              <w:pStyle w:val="NoSpacing"/>
              <w:jc w:val="center"/>
              <w:rPr>
                <w:rFonts w:ascii="Times New Roman" w:hAnsi="Times New Roman" w:cs="Times New Roman"/>
                <w:b/>
                <w:bCs/>
                <w:sz w:val="16"/>
                <w:szCs w:val="16"/>
              </w:rPr>
            </w:pPr>
            <w:r>
              <w:rPr>
                <w:rFonts w:ascii="Times New Roman" w:hAnsi="Times New Roman" w:cs="Times New Roman"/>
                <w:b/>
                <w:bCs/>
                <w:sz w:val="16"/>
                <w:szCs w:val="16"/>
              </w:rPr>
              <w:t>5</w:t>
            </w:r>
          </w:p>
        </w:tc>
      </w:tr>
      <w:tr w:rsidR="002F2047" w:rsidRPr="00D70E11" w14:paraId="304AD574" w14:textId="77777777" w:rsidTr="00D70E11">
        <w:trPr>
          <w:trHeight w:val="20"/>
          <w:jc w:val="center"/>
        </w:trPr>
        <w:tc>
          <w:tcPr>
            <w:tcW w:w="1205" w:type="dxa"/>
            <w:vAlign w:val="center"/>
            <w:hideMark/>
          </w:tcPr>
          <w:p w14:paraId="7ECE759B" w14:textId="118D16EE" w:rsidR="002F2047" w:rsidRPr="00D70E11" w:rsidRDefault="00D70E11" w:rsidP="00B36A4C">
            <w:pPr>
              <w:pStyle w:val="NoSpacing"/>
              <w:jc w:val="center"/>
              <w:rPr>
                <w:rFonts w:ascii="Times New Roman" w:hAnsi="Times New Roman" w:cs="Times New Roman"/>
                <w:sz w:val="16"/>
                <w:szCs w:val="16"/>
              </w:rPr>
            </w:pPr>
            <w:r>
              <w:rPr>
                <w:rFonts w:ascii="Times New Roman" w:hAnsi="Times New Roman" w:cs="Times New Roman"/>
                <w:sz w:val="16"/>
                <w:szCs w:val="16"/>
              </w:rPr>
              <w:t>6</w:t>
            </w:r>
            <w:r w:rsidR="002F2047" w:rsidRPr="00D70E11">
              <w:rPr>
                <w:rFonts w:ascii="Times New Roman" w:hAnsi="Times New Roman" w:cs="Times New Roman"/>
                <w:sz w:val="16"/>
                <w:szCs w:val="16"/>
              </w:rPr>
              <w:t>1961-62</w:t>
            </w:r>
          </w:p>
        </w:tc>
        <w:tc>
          <w:tcPr>
            <w:tcW w:w="1348" w:type="dxa"/>
            <w:vAlign w:val="center"/>
            <w:hideMark/>
          </w:tcPr>
          <w:p w14:paraId="5182C0F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48944</w:t>
            </w:r>
          </w:p>
        </w:tc>
        <w:tc>
          <w:tcPr>
            <w:tcW w:w="1275" w:type="dxa"/>
            <w:vAlign w:val="center"/>
            <w:hideMark/>
          </w:tcPr>
          <w:p w14:paraId="203238D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17892</w:t>
            </w:r>
          </w:p>
        </w:tc>
        <w:tc>
          <w:tcPr>
            <w:tcW w:w="1276" w:type="dxa"/>
            <w:vAlign w:val="center"/>
            <w:hideMark/>
          </w:tcPr>
          <w:p w14:paraId="41BAAFB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66836</w:t>
            </w:r>
          </w:p>
        </w:tc>
        <w:tc>
          <w:tcPr>
            <w:tcW w:w="1559" w:type="dxa"/>
            <w:vAlign w:val="center"/>
            <w:hideMark/>
          </w:tcPr>
          <w:p w14:paraId="31F51BF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154318</w:t>
            </w:r>
          </w:p>
        </w:tc>
        <w:tc>
          <w:tcPr>
            <w:tcW w:w="1554" w:type="dxa"/>
            <w:vAlign w:val="center"/>
            <w:hideMark/>
          </w:tcPr>
          <w:p w14:paraId="233E839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43.31</w:t>
            </w:r>
          </w:p>
        </w:tc>
      </w:tr>
      <w:tr w:rsidR="002F2047" w:rsidRPr="00D70E11" w14:paraId="0699E2BA" w14:textId="77777777" w:rsidTr="00D70E11">
        <w:trPr>
          <w:trHeight w:val="20"/>
          <w:jc w:val="center"/>
        </w:trPr>
        <w:tc>
          <w:tcPr>
            <w:tcW w:w="1205" w:type="dxa"/>
            <w:vAlign w:val="center"/>
            <w:hideMark/>
          </w:tcPr>
          <w:p w14:paraId="41EB935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1962-63</w:t>
            </w:r>
          </w:p>
        </w:tc>
        <w:tc>
          <w:tcPr>
            <w:tcW w:w="1348" w:type="dxa"/>
            <w:vAlign w:val="center"/>
            <w:hideMark/>
          </w:tcPr>
          <w:p w14:paraId="057F4B8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58003</w:t>
            </w:r>
          </w:p>
        </w:tc>
        <w:tc>
          <w:tcPr>
            <w:tcW w:w="1275" w:type="dxa"/>
            <w:vAlign w:val="center"/>
            <w:hideMark/>
          </w:tcPr>
          <w:p w14:paraId="7F81C10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22404</w:t>
            </w:r>
          </w:p>
        </w:tc>
        <w:tc>
          <w:tcPr>
            <w:tcW w:w="1276" w:type="dxa"/>
            <w:vAlign w:val="center"/>
            <w:hideMark/>
          </w:tcPr>
          <w:p w14:paraId="2FD7FA5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80407</w:t>
            </w:r>
          </w:p>
        </w:tc>
        <w:tc>
          <w:tcPr>
            <w:tcW w:w="1559" w:type="dxa"/>
            <w:vAlign w:val="center"/>
            <w:hideMark/>
          </w:tcPr>
          <w:p w14:paraId="0BABEE1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186507</w:t>
            </w:r>
          </w:p>
        </w:tc>
        <w:tc>
          <w:tcPr>
            <w:tcW w:w="1554" w:type="dxa"/>
            <w:vAlign w:val="center"/>
            <w:hideMark/>
          </w:tcPr>
          <w:p w14:paraId="5DD9C65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43.11</w:t>
            </w:r>
          </w:p>
        </w:tc>
      </w:tr>
      <w:tr w:rsidR="002F2047" w:rsidRPr="00D70E11" w14:paraId="7D2F74D2" w14:textId="77777777" w:rsidTr="00D70E11">
        <w:trPr>
          <w:trHeight w:val="20"/>
          <w:jc w:val="center"/>
        </w:trPr>
        <w:tc>
          <w:tcPr>
            <w:tcW w:w="1205" w:type="dxa"/>
            <w:vAlign w:val="center"/>
            <w:hideMark/>
          </w:tcPr>
          <w:p w14:paraId="589BB01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1963-64</w:t>
            </w:r>
          </w:p>
        </w:tc>
        <w:tc>
          <w:tcPr>
            <w:tcW w:w="1348" w:type="dxa"/>
            <w:vAlign w:val="center"/>
            <w:hideMark/>
          </w:tcPr>
          <w:p w14:paraId="67C051B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69070</w:t>
            </w:r>
          </w:p>
        </w:tc>
        <w:tc>
          <w:tcPr>
            <w:tcW w:w="1275" w:type="dxa"/>
            <w:vAlign w:val="center"/>
            <w:hideMark/>
          </w:tcPr>
          <w:p w14:paraId="580C3CD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25824</w:t>
            </w:r>
          </w:p>
        </w:tc>
        <w:tc>
          <w:tcPr>
            <w:tcW w:w="1276" w:type="dxa"/>
            <w:vAlign w:val="center"/>
            <w:hideMark/>
          </w:tcPr>
          <w:p w14:paraId="6885D52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94894</w:t>
            </w:r>
          </w:p>
        </w:tc>
        <w:tc>
          <w:tcPr>
            <w:tcW w:w="1559" w:type="dxa"/>
            <w:vAlign w:val="center"/>
            <w:hideMark/>
          </w:tcPr>
          <w:p w14:paraId="714EE79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232446</w:t>
            </w:r>
          </w:p>
        </w:tc>
        <w:tc>
          <w:tcPr>
            <w:tcW w:w="1554" w:type="dxa"/>
            <w:vAlign w:val="center"/>
            <w:hideMark/>
          </w:tcPr>
          <w:p w14:paraId="7B18B04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40.82</w:t>
            </w:r>
          </w:p>
        </w:tc>
      </w:tr>
      <w:tr w:rsidR="002F2047" w:rsidRPr="00D70E11" w14:paraId="62E40FD1" w14:textId="77777777" w:rsidTr="00D70E11">
        <w:trPr>
          <w:trHeight w:val="20"/>
          <w:jc w:val="center"/>
        </w:trPr>
        <w:tc>
          <w:tcPr>
            <w:tcW w:w="1205" w:type="dxa"/>
            <w:vAlign w:val="center"/>
            <w:hideMark/>
          </w:tcPr>
          <w:p w14:paraId="20A1A52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1964-65</w:t>
            </w:r>
          </w:p>
        </w:tc>
        <w:tc>
          <w:tcPr>
            <w:tcW w:w="1348" w:type="dxa"/>
            <w:vAlign w:val="center"/>
            <w:hideMark/>
          </w:tcPr>
          <w:p w14:paraId="744AD08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77811</w:t>
            </w:r>
          </w:p>
        </w:tc>
        <w:tc>
          <w:tcPr>
            <w:tcW w:w="1275" w:type="dxa"/>
            <w:vAlign w:val="center"/>
            <w:hideMark/>
          </w:tcPr>
          <w:p w14:paraId="752E4CF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25874</w:t>
            </w:r>
          </w:p>
        </w:tc>
        <w:tc>
          <w:tcPr>
            <w:tcW w:w="1276" w:type="dxa"/>
            <w:vAlign w:val="center"/>
            <w:hideMark/>
          </w:tcPr>
          <w:p w14:paraId="0C4C7BA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103595</w:t>
            </w:r>
          </w:p>
        </w:tc>
        <w:tc>
          <w:tcPr>
            <w:tcW w:w="1559" w:type="dxa"/>
            <w:vAlign w:val="center"/>
            <w:hideMark/>
          </w:tcPr>
          <w:p w14:paraId="6D2F6A6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259880</w:t>
            </w:r>
          </w:p>
        </w:tc>
        <w:tc>
          <w:tcPr>
            <w:tcW w:w="1554" w:type="dxa"/>
            <w:vAlign w:val="center"/>
            <w:hideMark/>
          </w:tcPr>
          <w:p w14:paraId="4F1139D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39.86</w:t>
            </w:r>
          </w:p>
        </w:tc>
      </w:tr>
      <w:tr w:rsidR="002F2047" w:rsidRPr="00D70E11" w14:paraId="31724D32" w14:textId="77777777" w:rsidTr="00D70E11">
        <w:trPr>
          <w:trHeight w:val="20"/>
          <w:jc w:val="center"/>
        </w:trPr>
        <w:tc>
          <w:tcPr>
            <w:tcW w:w="1205" w:type="dxa"/>
            <w:vAlign w:val="center"/>
            <w:hideMark/>
          </w:tcPr>
          <w:p w14:paraId="623FBFA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1965-66</w:t>
            </w:r>
          </w:p>
        </w:tc>
        <w:tc>
          <w:tcPr>
            <w:tcW w:w="1348" w:type="dxa"/>
            <w:vAlign w:val="center"/>
            <w:hideMark/>
          </w:tcPr>
          <w:p w14:paraId="42A87E1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86092</w:t>
            </w:r>
          </w:p>
        </w:tc>
        <w:tc>
          <w:tcPr>
            <w:tcW w:w="1275" w:type="dxa"/>
            <w:vAlign w:val="center"/>
            <w:hideMark/>
          </w:tcPr>
          <w:p w14:paraId="54FA7EC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27600</w:t>
            </w:r>
          </w:p>
        </w:tc>
        <w:tc>
          <w:tcPr>
            <w:tcW w:w="1276" w:type="dxa"/>
            <w:vAlign w:val="center"/>
            <w:hideMark/>
          </w:tcPr>
          <w:p w14:paraId="28DDFE7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113692</w:t>
            </w:r>
          </w:p>
        </w:tc>
        <w:tc>
          <w:tcPr>
            <w:tcW w:w="1559" w:type="dxa"/>
            <w:vAlign w:val="center"/>
            <w:hideMark/>
          </w:tcPr>
          <w:p w14:paraId="67771BB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292159</w:t>
            </w:r>
          </w:p>
        </w:tc>
        <w:tc>
          <w:tcPr>
            <w:tcW w:w="1554" w:type="dxa"/>
            <w:vAlign w:val="center"/>
            <w:hideMark/>
          </w:tcPr>
          <w:p w14:paraId="5F6E9C6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38.91</w:t>
            </w:r>
          </w:p>
        </w:tc>
      </w:tr>
      <w:tr w:rsidR="002F2047" w:rsidRPr="00D70E11" w14:paraId="6AB58F4C" w14:textId="77777777" w:rsidTr="00D70E11">
        <w:trPr>
          <w:trHeight w:val="20"/>
          <w:jc w:val="center"/>
        </w:trPr>
        <w:tc>
          <w:tcPr>
            <w:tcW w:w="1205" w:type="dxa"/>
            <w:vAlign w:val="center"/>
            <w:hideMark/>
          </w:tcPr>
          <w:p w14:paraId="090838B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1966-67</w:t>
            </w:r>
          </w:p>
        </w:tc>
        <w:tc>
          <w:tcPr>
            <w:tcW w:w="1348" w:type="dxa"/>
            <w:vAlign w:val="center"/>
            <w:hideMark/>
          </w:tcPr>
          <w:p w14:paraId="1B750EF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95468</w:t>
            </w:r>
          </w:p>
        </w:tc>
        <w:tc>
          <w:tcPr>
            <w:tcW w:w="1275" w:type="dxa"/>
            <w:vAlign w:val="center"/>
            <w:hideMark/>
          </w:tcPr>
          <w:p w14:paraId="74CADF1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37273</w:t>
            </w:r>
          </w:p>
        </w:tc>
        <w:tc>
          <w:tcPr>
            <w:tcW w:w="1276" w:type="dxa"/>
            <w:vAlign w:val="center"/>
            <w:hideMark/>
          </w:tcPr>
          <w:p w14:paraId="25DD16E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132741</w:t>
            </w:r>
          </w:p>
        </w:tc>
        <w:tc>
          <w:tcPr>
            <w:tcW w:w="1559" w:type="dxa"/>
            <w:vAlign w:val="center"/>
            <w:hideMark/>
          </w:tcPr>
          <w:p w14:paraId="2DC543F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326119</w:t>
            </w:r>
          </w:p>
        </w:tc>
        <w:tc>
          <w:tcPr>
            <w:tcW w:w="1554" w:type="dxa"/>
            <w:vAlign w:val="center"/>
            <w:hideMark/>
          </w:tcPr>
          <w:p w14:paraId="03CD013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40.70</w:t>
            </w:r>
          </w:p>
        </w:tc>
      </w:tr>
      <w:tr w:rsidR="002F2047" w:rsidRPr="00D70E11" w14:paraId="3AA320BC" w14:textId="77777777" w:rsidTr="00D70E11">
        <w:trPr>
          <w:trHeight w:val="20"/>
          <w:jc w:val="center"/>
        </w:trPr>
        <w:tc>
          <w:tcPr>
            <w:tcW w:w="1205" w:type="dxa"/>
            <w:vAlign w:val="center"/>
            <w:hideMark/>
          </w:tcPr>
          <w:p w14:paraId="5247466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1967-68</w:t>
            </w:r>
          </w:p>
        </w:tc>
        <w:tc>
          <w:tcPr>
            <w:tcW w:w="1348" w:type="dxa"/>
            <w:vAlign w:val="center"/>
            <w:hideMark/>
          </w:tcPr>
          <w:p w14:paraId="1364B78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110284</w:t>
            </w:r>
          </w:p>
        </w:tc>
        <w:tc>
          <w:tcPr>
            <w:tcW w:w="1275" w:type="dxa"/>
            <w:vAlign w:val="center"/>
            <w:hideMark/>
          </w:tcPr>
          <w:p w14:paraId="19E2B02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41159</w:t>
            </w:r>
          </w:p>
        </w:tc>
        <w:tc>
          <w:tcPr>
            <w:tcW w:w="1276" w:type="dxa"/>
            <w:vAlign w:val="center"/>
            <w:hideMark/>
          </w:tcPr>
          <w:p w14:paraId="288BD14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151443</w:t>
            </w:r>
          </w:p>
        </w:tc>
        <w:tc>
          <w:tcPr>
            <w:tcW w:w="1559" w:type="dxa"/>
            <w:vAlign w:val="center"/>
            <w:hideMark/>
          </w:tcPr>
          <w:p w14:paraId="16E7A0B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345524</w:t>
            </w:r>
          </w:p>
        </w:tc>
        <w:tc>
          <w:tcPr>
            <w:tcW w:w="1554" w:type="dxa"/>
            <w:vAlign w:val="center"/>
            <w:hideMark/>
          </w:tcPr>
          <w:p w14:paraId="4F0CD70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43.83</w:t>
            </w:r>
          </w:p>
        </w:tc>
      </w:tr>
      <w:tr w:rsidR="002F2047" w:rsidRPr="00D70E11" w14:paraId="7E7B008B" w14:textId="77777777" w:rsidTr="00D70E11">
        <w:trPr>
          <w:trHeight w:val="20"/>
          <w:jc w:val="center"/>
        </w:trPr>
        <w:tc>
          <w:tcPr>
            <w:tcW w:w="1205" w:type="dxa"/>
            <w:vAlign w:val="center"/>
            <w:hideMark/>
          </w:tcPr>
          <w:p w14:paraId="1F2B8E5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1968-69</w:t>
            </w:r>
          </w:p>
        </w:tc>
        <w:tc>
          <w:tcPr>
            <w:tcW w:w="1348" w:type="dxa"/>
            <w:vAlign w:val="center"/>
            <w:hideMark/>
          </w:tcPr>
          <w:p w14:paraId="64FF478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121141</w:t>
            </w:r>
          </w:p>
        </w:tc>
        <w:tc>
          <w:tcPr>
            <w:tcW w:w="1275" w:type="dxa"/>
            <w:vAlign w:val="center"/>
            <w:hideMark/>
          </w:tcPr>
          <w:p w14:paraId="30674C2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48398</w:t>
            </w:r>
          </w:p>
        </w:tc>
        <w:tc>
          <w:tcPr>
            <w:tcW w:w="1276" w:type="dxa"/>
            <w:vAlign w:val="center"/>
            <w:hideMark/>
          </w:tcPr>
          <w:p w14:paraId="05E031C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169539</w:t>
            </w:r>
          </w:p>
        </w:tc>
        <w:tc>
          <w:tcPr>
            <w:tcW w:w="1559" w:type="dxa"/>
            <w:vAlign w:val="center"/>
            <w:hideMark/>
          </w:tcPr>
          <w:p w14:paraId="04E37EE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370119</w:t>
            </w:r>
          </w:p>
        </w:tc>
        <w:tc>
          <w:tcPr>
            <w:tcW w:w="1554" w:type="dxa"/>
            <w:vAlign w:val="center"/>
            <w:hideMark/>
          </w:tcPr>
          <w:p w14:paraId="26895B2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45.81</w:t>
            </w:r>
          </w:p>
        </w:tc>
      </w:tr>
      <w:tr w:rsidR="002F2047" w:rsidRPr="00D70E11" w14:paraId="234AF52D" w14:textId="77777777" w:rsidTr="00D70E11">
        <w:trPr>
          <w:trHeight w:val="20"/>
          <w:jc w:val="center"/>
        </w:trPr>
        <w:tc>
          <w:tcPr>
            <w:tcW w:w="1205" w:type="dxa"/>
            <w:vAlign w:val="center"/>
            <w:hideMark/>
          </w:tcPr>
          <w:p w14:paraId="4FD0CDB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1969-70</w:t>
            </w:r>
          </w:p>
        </w:tc>
        <w:tc>
          <w:tcPr>
            <w:tcW w:w="1348" w:type="dxa"/>
            <w:vAlign w:val="center"/>
            <w:hideMark/>
          </w:tcPr>
          <w:p w14:paraId="187154E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137694</w:t>
            </w:r>
          </w:p>
        </w:tc>
        <w:tc>
          <w:tcPr>
            <w:tcW w:w="1275" w:type="dxa"/>
            <w:vAlign w:val="center"/>
            <w:hideMark/>
          </w:tcPr>
          <w:p w14:paraId="4ED1FC5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62535</w:t>
            </w:r>
          </w:p>
        </w:tc>
        <w:tc>
          <w:tcPr>
            <w:tcW w:w="1276" w:type="dxa"/>
            <w:vAlign w:val="center"/>
            <w:hideMark/>
          </w:tcPr>
          <w:p w14:paraId="68C9EC0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200229</w:t>
            </w:r>
          </w:p>
        </w:tc>
        <w:tc>
          <w:tcPr>
            <w:tcW w:w="1559" w:type="dxa"/>
            <w:vAlign w:val="center"/>
            <w:hideMark/>
          </w:tcPr>
          <w:p w14:paraId="25705CE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420001</w:t>
            </w:r>
          </w:p>
        </w:tc>
        <w:tc>
          <w:tcPr>
            <w:tcW w:w="1554" w:type="dxa"/>
            <w:vAlign w:val="center"/>
            <w:hideMark/>
          </w:tcPr>
          <w:p w14:paraId="62A9B32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47.67</w:t>
            </w:r>
          </w:p>
        </w:tc>
      </w:tr>
      <w:tr w:rsidR="002F2047" w:rsidRPr="00D70E11" w14:paraId="135461D3" w14:textId="77777777" w:rsidTr="00D70E11">
        <w:trPr>
          <w:trHeight w:val="20"/>
          <w:jc w:val="center"/>
        </w:trPr>
        <w:tc>
          <w:tcPr>
            <w:tcW w:w="1205" w:type="dxa"/>
            <w:vAlign w:val="center"/>
            <w:hideMark/>
          </w:tcPr>
          <w:p w14:paraId="0DAC8B8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1970-71</w:t>
            </w:r>
          </w:p>
        </w:tc>
        <w:tc>
          <w:tcPr>
            <w:tcW w:w="1348" w:type="dxa"/>
            <w:vAlign w:val="center"/>
            <w:hideMark/>
          </w:tcPr>
          <w:p w14:paraId="2F726FA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154562</w:t>
            </w:r>
          </w:p>
        </w:tc>
        <w:tc>
          <w:tcPr>
            <w:tcW w:w="1275" w:type="dxa"/>
            <w:vAlign w:val="center"/>
            <w:hideMark/>
          </w:tcPr>
          <w:p w14:paraId="5431FB7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75562</w:t>
            </w:r>
          </w:p>
        </w:tc>
        <w:tc>
          <w:tcPr>
            <w:tcW w:w="1276" w:type="dxa"/>
            <w:vAlign w:val="center"/>
            <w:hideMark/>
          </w:tcPr>
          <w:p w14:paraId="1C88B4A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230124</w:t>
            </w:r>
          </w:p>
        </w:tc>
        <w:tc>
          <w:tcPr>
            <w:tcW w:w="1559" w:type="dxa"/>
            <w:vAlign w:val="center"/>
            <w:hideMark/>
          </w:tcPr>
          <w:p w14:paraId="438691B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475241</w:t>
            </w:r>
          </w:p>
        </w:tc>
        <w:tc>
          <w:tcPr>
            <w:tcW w:w="1554" w:type="dxa"/>
            <w:vAlign w:val="center"/>
            <w:hideMark/>
          </w:tcPr>
          <w:p w14:paraId="1C91757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47.42</w:t>
            </w:r>
          </w:p>
        </w:tc>
      </w:tr>
      <w:tr w:rsidR="002F2047" w:rsidRPr="00D70E11" w14:paraId="080F6DFA" w14:textId="77777777" w:rsidTr="00D70E11">
        <w:trPr>
          <w:trHeight w:val="20"/>
          <w:jc w:val="center"/>
        </w:trPr>
        <w:tc>
          <w:tcPr>
            <w:tcW w:w="1205" w:type="dxa"/>
            <w:vAlign w:val="center"/>
            <w:hideMark/>
          </w:tcPr>
          <w:p w14:paraId="27399E5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1971-72</w:t>
            </w:r>
          </w:p>
        </w:tc>
        <w:tc>
          <w:tcPr>
            <w:tcW w:w="1348" w:type="dxa"/>
            <w:vAlign w:val="center"/>
            <w:hideMark/>
          </w:tcPr>
          <w:p w14:paraId="687C3C6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107275</w:t>
            </w:r>
          </w:p>
        </w:tc>
        <w:tc>
          <w:tcPr>
            <w:tcW w:w="1275" w:type="dxa"/>
            <w:vAlign w:val="center"/>
            <w:hideMark/>
          </w:tcPr>
          <w:p w14:paraId="0126429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94210</w:t>
            </w:r>
          </w:p>
        </w:tc>
        <w:tc>
          <w:tcPr>
            <w:tcW w:w="1276" w:type="dxa"/>
            <w:vAlign w:val="center"/>
            <w:hideMark/>
          </w:tcPr>
          <w:p w14:paraId="33D5686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264485</w:t>
            </w:r>
          </w:p>
        </w:tc>
        <w:tc>
          <w:tcPr>
            <w:tcW w:w="1559" w:type="dxa"/>
            <w:vAlign w:val="center"/>
            <w:hideMark/>
          </w:tcPr>
          <w:p w14:paraId="1D13378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557518</w:t>
            </w:r>
          </w:p>
        </w:tc>
        <w:tc>
          <w:tcPr>
            <w:tcW w:w="1554" w:type="dxa"/>
            <w:vAlign w:val="center"/>
            <w:hideMark/>
          </w:tcPr>
          <w:p w14:paraId="0546CC1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47.44</w:t>
            </w:r>
          </w:p>
        </w:tc>
      </w:tr>
      <w:tr w:rsidR="002F2047" w:rsidRPr="00D70E11" w14:paraId="46BC1786" w14:textId="77777777" w:rsidTr="00D70E11">
        <w:trPr>
          <w:trHeight w:val="20"/>
          <w:jc w:val="center"/>
        </w:trPr>
        <w:tc>
          <w:tcPr>
            <w:tcW w:w="1205" w:type="dxa"/>
            <w:vAlign w:val="center"/>
            <w:hideMark/>
          </w:tcPr>
          <w:p w14:paraId="52FAB7B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1972-73</w:t>
            </w:r>
          </w:p>
        </w:tc>
        <w:tc>
          <w:tcPr>
            <w:tcW w:w="1348" w:type="dxa"/>
            <w:vAlign w:val="center"/>
            <w:hideMark/>
          </w:tcPr>
          <w:p w14:paraId="7766F04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193086</w:t>
            </w:r>
          </w:p>
        </w:tc>
        <w:tc>
          <w:tcPr>
            <w:tcW w:w="1275" w:type="dxa"/>
            <w:vAlign w:val="center"/>
            <w:hideMark/>
          </w:tcPr>
          <w:p w14:paraId="431C176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106140</w:t>
            </w:r>
          </w:p>
        </w:tc>
        <w:tc>
          <w:tcPr>
            <w:tcW w:w="1276" w:type="dxa"/>
            <w:vAlign w:val="center"/>
            <w:hideMark/>
          </w:tcPr>
          <w:p w14:paraId="27BA94F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299226</w:t>
            </w:r>
          </w:p>
        </w:tc>
        <w:tc>
          <w:tcPr>
            <w:tcW w:w="1559" w:type="dxa"/>
            <w:vAlign w:val="center"/>
            <w:hideMark/>
          </w:tcPr>
          <w:p w14:paraId="3BF1E40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644055</w:t>
            </w:r>
          </w:p>
        </w:tc>
        <w:tc>
          <w:tcPr>
            <w:tcW w:w="1554" w:type="dxa"/>
            <w:vAlign w:val="center"/>
            <w:hideMark/>
          </w:tcPr>
          <w:p w14:paraId="49C5DD0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46.46</w:t>
            </w:r>
          </w:p>
        </w:tc>
      </w:tr>
      <w:tr w:rsidR="002F2047" w:rsidRPr="00D70E11" w14:paraId="4DACB2DB" w14:textId="77777777" w:rsidTr="00D70E11">
        <w:trPr>
          <w:trHeight w:val="20"/>
          <w:jc w:val="center"/>
        </w:trPr>
        <w:tc>
          <w:tcPr>
            <w:tcW w:w="1205" w:type="dxa"/>
            <w:vAlign w:val="center"/>
            <w:hideMark/>
          </w:tcPr>
          <w:p w14:paraId="38DF574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1973-74</w:t>
            </w:r>
          </w:p>
        </w:tc>
        <w:tc>
          <w:tcPr>
            <w:tcW w:w="1348" w:type="dxa"/>
            <w:vAlign w:val="center"/>
            <w:hideMark/>
          </w:tcPr>
          <w:p w14:paraId="6B252D3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220837</w:t>
            </w:r>
          </w:p>
        </w:tc>
        <w:tc>
          <w:tcPr>
            <w:tcW w:w="1275" w:type="dxa"/>
            <w:vAlign w:val="center"/>
            <w:hideMark/>
          </w:tcPr>
          <w:p w14:paraId="0C43932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117476</w:t>
            </w:r>
          </w:p>
        </w:tc>
        <w:tc>
          <w:tcPr>
            <w:tcW w:w="1276" w:type="dxa"/>
            <w:vAlign w:val="center"/>
            <w:hideMark/>
          </w:tcPr>
          <w:p w14:paraId="1772389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338313</w:t>
            </w:r>
          </w:p>
        </w:tc>
        <w:tc>
          <w:tcPr>
            <w:tcW w:w="1559" w:type="dxa"/>
            <w:vAlign w:val="center"/>
            <w:hideMark/>
          </w:tcPr>
          <w:p w14:paraId="13F1830C"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726038</w:t>
            </w:r>
          </w:p>
        </w:tc>
        <w:tc>
          <w:tcPr>
            <w:tcW w:w="1554" w:type="dxa"/>
            <w:vAlign w:val="center"/>
            <w:hideMark/>
          </w:tcPr>
          <w:p w14:paraId="333D31C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46.60</w:t>
            </w:r>
          </w:p>
        </w:tc>
      </w:tr>
      <w:tr w:rsidR="002F2047" w:rsidRPr="00D70E11" w14:paraId="4FC3D83A" w14:textId="77777777" w:rsidTr="00D70E11">
        <w:trPr>
          <w:trHeight w:val="20"/>
          <w:jc w:val="center"/>
        </w:trPr>
        <w:tc>
          <w:tcPr>
            <w:tcW w:w="1205" w:type="dxa"/>
            <w:vAlign w:val="center"/>
            <w:hideMark/>
          </w:tcPr>
          <w:p w14:paraId="7556618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1974-75</w:t>
            </w:r>
          </w:p>
        </w:tc>
        <w:tc>
          <w:tcPr>
            <w:tcW w:w="1348" w:type="dxa"/>
            <w:vAlign w:val="center"/>
            <w:hideMark/>
          </w:tcPr>
          <w:p w14:paraId="0DE8A6C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290131</w:t>
            </w:r>
          </w:p>
        </w:tc>
        <w:tc>
          <w:tcPr>
            <w:tcW w:w="1275" w:type="dxa"/>
            <w:vAlign w:val="center"/>
            <w:hideMark/>
          </w:tcPr>
          <w:p w14:paraId="3152EA4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122850</w:t>
            </w:r>
          </w:p>
        </w:tc>
        <w:tc>
          <w:tcPr>
            <w:tcW w:w="1276" w:type="dxa"/>
            <w:vAlign w:val="center"/>
            <w:hideMark/>
          </w:tcPr>
          <w:p w14:paraId="54F1577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412981</w:t>
            </w:r>
          </w:p>
        </w:tc>
        <w:tc>
          <w:tcPr>
            <w:tcW w:w="1559" w:type="dxa"/>
            <w:vAlign w:val="center"/>
            <w:hideMark/>
          </w:tcPr>
          <w:p w14:paraId="49B45AC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922306</w:t>
            </w:r>
          </w:p>
        </w:tc>
        <w:tc>
          <w:tcPr>
            <w:tcW w:w="1554" w:type="dxa"/>
            <w:vAlign w:val="center"/>
            <w:hideMark/>
          </w:tcPr>
          <w:p w14:paraId="270A434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44.78</w:t>
            </w:r>
          </w:p>
        </w:tc>
      </w:tr>
      <w:tr w:rsidR="002F2047" w:rsidRPr="00D70E11" w14:paraId="298F0901" w14:textId="77777777" w:rsidTr="00D70E11">
        <w:trPr>
          <w:trHeight w:val="20"/>
          <w:jc w:val="center"/>
        </w:trPr>
        <w:tc>
          <w:tcPr>
            <w:tcW w:w="1205" w:type="dxa"/>
            <w:vAlign w:val="center"/>
            <w:hideMark/>
          </w:tcPr>
          <w:p w14:paraId="274B165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1975-76</w:t>
            </w:r>
          </w:p>
        </w:tc>
        <w:tc>
          <w:tcPr>
            <w:tcW w:w="1348" w:type="dxa"/>
            <w:vAlign w:val="center"/>
            <w:hideMark/>
          </w:tcPr>
          <w:p w14:paraId="06A3F4D3"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357294</w:t>
            </w:r>
          </w:p>
        </w:tc>
        <w:tc>
          <w:tcPr>
            <w:tcW w:w="1275" w:type="dxa"/>
            <w:vAlign w:val="center"/>
            <w:hideMark/>
          </w:tcPr>
          <w:p w14:paraId="5AF3FC7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159912</w:t>
            </w:r>
          </w:p>
        </w:tc>
        <w:tc>
          <w:tcPr>
            <w:tcW w:w="1276" w:type="dxa"/>
            <w:vAlign w:val="center"/>
            <w:hideMark/>
          </w:tcPr>
          <w:p w14:paraId="5D2A76A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517206</w:t>
            </w:r>
          </w:p>
        </w:tc>
        <w:tc>
          <w:tcPr>
            <w:tcW w:w="1559" w:type="dxa"/>
            <w:vAlign w:val="center"/>
            <w:hideMark/>
          </w:tcPr>
          <w:p w14:paraId="4117527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1118173</w:t>
            </w:r>
          </w:p>
        </w:tc>
        <w:tc>
          <w:tcPr>
            <w:tcW w:w="1554" w:type="dxa"/>
            <w:vAlign w:val="center"/>
            <w:hideMark/>
          </w:tcPr>
          <w:p w14:paraId="36C4737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46.25</w:t>
            </w:r>
          </w:p>
        </w:tc>
      </w:tr>
      <w:tr w:rsidR="002F2047" w:rsidRPr="00D70E11" w14:paraId="2C64B7D4" w14:textId="77777777" w:rsidTr="00D70E11">
        <w:trPr>
          <w:trHeight w:val="20"/>
          <w:jc w:val="center"/>
        </w:trPr>
        <w:tc>
          <w:tcPr>
            <w:tcW w:w="1205" w:type="dxa"/>
            <w:vAlign w:val="center"/>
            <w:hideMark/>
          </w:tcPr>
          <w:p w14:paraId="6F59449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1976-77</w:t>
            </w:r>
          </w:p>
        </w:tc>
        <w:tc>
          <w:tcPr>
            <w:tcW w:w="1348" w:type="dxa"/>
            <w:vAlign w:val="center"/>
            <w:hideMark/>
          </w:tcPr>
          <w:p w14:paraId="4EA9AE9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406079</w:t>
            </w:r>
          </w:p>
        </w:tc>
        <w:tc>
          <w:tcPr>
            <w:tcW w:w="1275" w:type="dxa"/>
            <w:vAlign w:val="center"/>
            <w:hideMark/>
          </w:tcPr>
          <w:p w14:paraId="5E9BF7B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167983</w:t>
            </w:r>
          </w:p>
        </w:tc>
        <w:tc>
          <w:tcPr>
            <w:tcW w:w="1276" w:type="dxa"/>
            <w:vAlign w:val="center"/>
            <w:hideMark/>
          </w:tcPr>
          <w:p w14:paraId="207B73B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574062</w:t>
            </w:r>
          </w:p>
        </w:tc>
        <w:tc>
          <w:tcPr>
            <w:tcW w:w="1559" w:type="dxa"/>
            <w:vAlign w:val="center"/>
            <w:hideMark/>
          </w:tcPr>
          <w:p w14:paraId="3B13D2F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1233196</w:t>
            </w:r>
          </w:p>
        </w:tc>
        <w:tc>
          <w:tcPr>
            <w:tcW w:w="1554" w:type="dxa"/>
            <w:vAlign w:val="center"/>
            <w:hideMark/>
          </w:tcPr>
          <w:p w14:paraId="0291BF4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46.55</w:t>
            </w:r>
          </w:p>
        </w:tc>
      </w:tr>
      <w:tr w:rsidR="002F2047" w:rsidRPr="00D70E11" w14:paraId="5A7EA3E8" w14:textId="77777777" w:rsidTr="00D70E11">
        <w:trPr>
          <w:trHeight w:val="20"/>
          <w:jc w:val="center"/>
        </w:trPr>
        <w:tc>
          <w:tcPr>
            <w:tcW w:w="1205" w:type="dxa"/>
            <w:vAlign w:val="center"/>
            <w:hideMark/>
          </w:tcPr>
          <w:p w14:paraId="2EED051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1977-78</w:t>
            </w:r>
          </w:p>
        </w:tc>
        <w:tc>
          <w:tcPr>
            <w:tcW w:w="1348" w:type="dxa"/>
            <w:vAlign w:val="center"/>
            <w:hideMark/>
          </w:tcPr>
          <w:p w14:paraId="55E9930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437780</w:t>
            </w:r>
          </w:p>
        </w:tc>
        <w:tc>
          <w:tcPr>
            <w:tcW w:w="1275" w:type="dxa"/>
            <w:vAlign w:val="center"/>
            <w:hideMark/>
          </w:tcPr>
          <w:p w14:paraId="7CBB6D6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180563</w:t>
            </w:r>
          </w:p>
        </w:tc>
        <w:tc>
          <w:tcPr>
            <w:tcW w:w="1276" w:type="dxa"/>
            <w:vAlign w:val="center"/>
            <w:hideMark/>
          </w:tcPr>
          <w:p w14:paraId="3D61092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618443</w:t>
            </w:r>
          </w:p>
        </w:tc>
        <w:tc>
          <w:tcPr>
            <w:tcW w:w="1559" w:type="dxa"/>
            <w:vAlign w:val="center"/>
            <w:hideMark/>
          </w:tcPr>
          <w:p w14:paraId="4EA8ACA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1323718</w:t>
            </w:r>
          </w:p>
        </w:tc>
        <w:tc>
          <w:tcPr>
            <w:tcW w:w="1554" w:type="dxa"/>
            <w:vAlign w:val="center"/>
            <w:hideMark/>
          </w:tcPr>
          <w:p w14:paraId="37F559B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46.72</w:t>
            </w:r>
          </w:p>
        </w:tc>
      </w:tr>
      <w:tr w:rsidR="002F2047" w:rsidRPr="00D70E11" w14:paraId="4625C90C" w14:textId="77777777" w:rsidTr="00D70E11">
        <w:trPr>
          <w:trHeight w:val="20"/>
          <w:jc w:val="center"/>
        </w:trPr>
        <w:tc>
          <w:tcPr>
            <w:tcW w:w="1205" w:type="dxa"/>
            <w:vAlign w:val="center"/>
            <w:hideMark/>
          </w:tcPr>
          <w:p w14:paraId="4762D57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1978-79</w:t>
            </w:r>
          </w:p>
        </w:tc>
        <w:tc>
          <w:tcPr>
            <w:tcW w:w="1348" w:type="dxa"/>
            <w:vAlign w:val="center"/>
            <w:hideMark/>
          </w:tcPr>
          <w:p w14:paraId="35A5374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500269</w:t>
            </w:r>
          </w:p>
        </w:tc>
        <w:tc>
          <w:tcPr>
            <w:tcW w:w="1275" w:type="dxa"/>
            <w:vAlign w:val="center"/>
            <w:hideMark/>
          </w:tcPr>
          <w:p w14:paraId="1E46D6A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195272</w:t>
            </w:r>
          </w:p>
        </w:tc>
        <w:tc>
          <w:tcPr>
            <w:tcW w:w="1276" w:type="dxa"/>
            <w:vAlign w:val="center"/>
            <w:hideMark/>
          </w:tcPr>
          <w:p w14:paraId="1EA62E3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695541</w:t>
            </w:r>
          </w:p>
        </w:tc>
        <w:tc>
          <w:tcPr>
            <w:tcW w:w="1559" w:type="dxa"/>
            <w:vAlign w:val="center"/>
            <w:hideMark/>
          </w:tcPr>
          <w:p w14:paraId="6847FAD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1552756</w:t>
            </w:r>
          </w:p>
        </w:tc>
        <w:tc>
          <w:tcPr>
            <w:tcW w:w="1554" w:type="dxa"/>
            <w:vAlign w:val="center"/>
            <w:hideMark/>
          </w:tcPr>
          <w:p w14:paraId="2C6F553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44.79</w:t>
            </w:r>
          </w:p>
        </w:tc>
      </w:tr>
      <w:tr w:rsidR="002F2047" w:rsidRPr="00D70E11" w14:paraId="61EE6DCE" w14:textId="77777777" w:rsidTr="00D70E11">
        <w:trPr>
          <w:trHeight w:val="20"/>
          <w:jc w:val="center"/>
        </w:trPr>
        <w:tc>
          <w:tcPr>
            <w:tcW w:w="1205" w:type="dxa"/>
            <w:vAlign w:val="center"/>
            <w:hideMark/>
          </w:tcPr>
          <w:p w14:paraId="329E9A9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1979-80</w:t>
            </w:r>
          </w:p>
        </w:tc>
        <w:tc>
          <w:tcPr>
            <w:tcW w:w="1348" w:type="dxa"/>
            <w:vAlign w:val="center"/>
            <w:hideMark/>
          </w:tcPr>
          <w:p w14:paraId="099C71E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570943</w:t>
            </w:r>
          </w:p>
        </w:tc>
        <w:tc>
          <w:tcPr>
            <w:tcW w:w="1275" w:type="dxa"/>
            <w:vAlign w:val="center"/>
            <w:hideMark/>
          </w:tcPr>
          <w:p w14:paraId="51CACB3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340779</w:t>
            </w:r>
          </w:p>
        </w:tc>
        <w:tc>
          <w:tcPr>
            <w:tcW w:w="1276" w:type="dxa"/>
            <w:vAlign w:val="center"/>
            <w:hideMark/>
          </w:tcPr>
          <w:p w14:paraId="6BE1DE9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911772</w:t>
            </w:r>
          </w:p>
        </w:tc>
        <w:tc>
          <w:tcPr>
            <w:tcW w:w="1559" w:type="dxa"/>
            <w:vAlign w:val="center"/>
            <w:hideMark/>
          </w:tcPr>
          <w:p w14:paraId="5324D46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1768308</w:t>
            </w:r>
          </w:p>
        </w:tc>
        <w:tc>
          <w:tcPr>
            <w:tcW w:w="1554" w:type="dxa"/>
            <w:vAlign w:val="center"/>
            <w:hideMark/>
          </w:tcPr>
          <w:p w14:paraId="46F5E21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51.56</w:t>
            </w:r>
          </w:p>
        </w:tc>
      </w:tr>
      <w:tr w:rsidR="002F2047" w:rsidRPr="00D70E11" w14:paraId="6220C591" w14:textId="77777777" w:rsidTr="00D70E11">
        <w:trPr>
          <w:trHeight w:val="20"/>
          <w:jc w:val="center"/>
        </w:trPr>
        <w:tc>
          <w:tcPr>
            <w:tcW w:w="1205" w:type="dxa"/>
            <w:vAlign w:val="center"/>
            <w:hideMark/>
          </w:tcPr>
          <w:p w14:paraId="12F76A8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1980-81</w:t>
            </w:r>
          </w:p>
        </w:tc>
        <w:tc>
          <w:tcPr>
            <w:tcW w:w="1348" w:type="dxa"/>
            <w:vAlign w:val="center"/>
            <w:hideMark/>
          </w:tcPr>
          <w:p w14:paraId="38BF809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666417</w:t>
            </w:r>
          </w:p>
        </w:tc>
        <w:tc>
          <w:tcPr>
            <w:tcW w:w="1275" w:type="dxa"/>
            <w:vAlign w:val="center"/>
            <w:hideMark/>
          </w:tcPr>
          <w:p w14:paraId="25B4BA6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378903</w:t>
            </w:r>
          </w:p>
        </w:tc>
        <w:tc>
          <w:tcPr>
            <w:tcW w:w="1276" w:type="dxa"/>
            <w:vAlign w:val="center"/>
            <w:hideMark/>
          </w:tcPr>
          <w:p w14:paraId="215FFF4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1045320</w:t>
            </w:r>
          </w:p>
        </w:tc>
        <w:tc>
          <w:tcPr>
            <w:tcW w:w="1559" w:type="dxa"/>
            <w:vAlign w:val="center"/>
            <w:hideMark/>
          </w:tcPr>
          <w:p w14:paraId="7AD1E67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1984375</w:t>
            </w:r>
          </w:p>
        </w:tc>
        <w:tc>
          <w:tcPr>
            <w:tcW w:w="1554" w:type="dxa"/>
            <w:vAlign w:val="center"/>
            <w:hideMark/>
          </w:tcPr>
          <w:p w14:paraId="6182631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52.68</w:t>
            </w:r>
          </w:p>
        </w:tc>
      </w:tr>
      <w:tr w:rsidR="002F2047" w:rsidRPr="00D70E11" w14:paraId="24E33473" w14:textId="77777777" w:rsidTr="00D70E11">
        <w:trPr>
          <w:trHeight w:val="20"/>
          <w:jc w:val="center"/>
        </w:trPr>
        <w:tc>
          <w:tcPr>
            <w:tcW w:w="1205" w:type="dxa"/>
            <w:vAlign w:val="center"/>
            <w:hideMark/>
          </w:tcPr>
          <w:p w14:paraId="1E4845D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1981-82</w:t>
            </w:r>
          </w:p>
        </w:tc>
        <w:tc>
          <w:tcPr>
            <w:tcW w:w="1348" w:type="dxa"/>
            <w:vAlign w:val="center"/>
            <w:hideMark/>
          </w:tcPr>
          <w:p w14:paraId="55AAF2E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829491</w:t>
            </w:r>
          </w:p>
        </w:tc>
        <w:tc>
          <w:tcPr>
            <w:tcW w:w="1275" w:type="dxa"/>
            <w:vAlign w:val="center"/>
            <w:hideMark/>
          </w:tcPr>
          <w:p w14:paraId="1A34BC6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425820</w:t>
            </w:r>
          </w:p>
        </w:tc>
        <w:tc>
          <w:tcPr>
            <w:tcW w:w="1276" w:type="dxa"/>
            <w:vAlign w:val="center"/>
            <w:hideMark/>
          </w:tcPr>
          <w:p w14:paraId="742C1E9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1255311</w:t>
            </w:r>
          </w:p>
        </w:tc>
        <w:tc>
          <w:tcPr>
            <w:tcW w:w="1559" w:type="dxa"/>
            <w:vAlign w:val="center"/>
            <w:hideMark/>
          </w:tcPr>
          <w:p w14:paraId="5B9DA38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2414241</w:t>
            </w:r>
          </w:p>
        </w:tc>
        <w:tc>
          <w:tcPr>
            <w:tcW w:w="1554" w:type="dxa"/>
            <w:vAlign w:val="center"/>
            <w:hideMark/>
          </w:tcPr>
          <w:p w14:paraId="4996450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52.00</w:t>
            </w:r>
          </w:p>
        </w:tc>
      </w:tr>
      <w:tr w:rsidR="002F2047" w:rsidRPr="00D70E11" w14:paraId="481F4AB8" w14:textId="77777777" w:rsidTr="00D70E11">
        <w:trPr>
          <w:trHeight w:val="20"/>
          <w:jc w:val="center"/>
        </w:trPr>
        <w:tc>
          <w:tcPr>
            <w:tcW w:w="1205" w:type="dxa"/>
            <w:vAlign w:val="center"/>
            <w:hideMark/>
          </w:tcPr>
          <w:p w14:paraId="3B5FF2E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1982-83</w:t>
            </w:r>
          </w:p>
        </w:tc>
        <w:tc>
          <w:tcPr>
            <w:tcW w:w="1348" w:type="dxa"/>
            <w:vAlign w:val="center"/>
            <w:hideMark/>
          </w:tcPr>
          <w:p w14:paraId="6AF53FB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954590</w:t>
            </w:r>
          </w:p>
        </w:tc>
        <w:tc>
          <w:tcPr>
            <w:tcW w:w="1275" w:type="dxa"/>
            <w:vAlign w:val="center"/>
            <w:hideMark/>
          </w:tcPr>
          <w:p w14:paraId="5D99F5C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463262</w:t>
            </w:r>
          </w:p>
        </w:tc>
        <w:tc>
          <w:tcPr>
            <w:tcW w:w="1276" w:type="dxa"/>
            <w:vAlign w:val="center"/>
            <w:hideMark/>
          </w:tcPr>
          <w:p w14:paraId="7676598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1417852</w:t>
            </w:r>
          </w:p>
        </w:tc>
        <w:tc>
          <w:tcPr>
            <w:tcW w:w="1559" w:type="dxa"/>
            <w:vAlign w:val="center"/>
            <w:hideMark/>
          </w:tcPr>
          <w:p w14:paraId="3554D35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2724157</w:t>
            </w:r>
          </w:p>
        </w:tc>
        <w:tc>
          <w:tcPr>
            <w:tcW w:w="1554" w:type="dxa"/>
            <w:vAlign w:val="center"/>
            <w:hideMark/>
          </w:tcPr>
          <w:p w14:paraId="123CF8B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52.05</w:t>
            </w:r>
          </w:p>
        </w:tc>
      </w:tr>
      <w:tr w:rsidR="002F2047" w:rsidRPr="00D70E11" w14:paraId="00B95C87" w14:textId="77777777" w:rsidTr="00D70E11">
        <w:trPr>
          <w:trHeight w:val="20"/>
          <w:jc w:val="center"/>
        </w:trPr>
        <w:tc>
          <w:tcPr>
            <w:tcW w:w="1205" w:type="dxa"/>
            <w:vAlign w:val="center"/>
            <w:hideMark/>
          </w:tcPr>
          <w:p w14:paraId="7382496F"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1983-84</w:t>
            </w:r>
          </w:p>
        </w:tc>
        <w:tc>
          <w:tcPr>
            <w:tcW w:w="1348" w:type="dxa"/>
            <w:vAlign w:val="center"/>
            <w:hideMark/>
          </w:tcPr>
          <w:p w14:paraId="68482A4C"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1080342</w:t>
            </w:r>
          </w:p>
        </w:tc>
        <w:tc>
          <w:tcPr>
            <w:tcW w:w="1275" w:type="dxa"/>
            <w:vAlign w:val="center"/>
            <w:hideMark/>
          </w:tcPr>
          <w:p w14:paraId="338B92E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500718</w:t>
            </w:r>
          </w:p>
        </w:tc>
        <w:tc>
          <w:tcPr>
            <w:tcW w:w="1276" w:type="dxa"/>
            <w:vAlign w:val="center"/>
            <w:hideMark/>
          </w:tcPr>
          <w:p w14:paraId="0C908ED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1581060</w:t>
            </w:r>
          </w:p>
        </w:tc>
        <w:tc>
          <w:tcPr>
            <w:tcW w:w="1559" w:type="dxa"/>
            <w:vAlign w:val="center"/>
            <w:hideMark/>
          </w:tcPr>
          <w:p w14:paraId="20C410B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3152545</w:t>
            </w:r>
          </w:p>
        </w:tc>
        <w:tc>
          <w:tcPr>
            <w:tcW w:w="1554" w:type="dxa"/>
            <w:vAlign w:val="center"/>
            <w:hideMark/>
          </w:tcPr>
          <w:p w14:paraId="1CC3059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50.15</w:t>
            </w:r>
          </w:p>
        </w:tc>
      </w:tr>
      <w:tr w:rsidR="002F2047" w:rsidRPr="00D70E11" w14:paraId="4DFA2211" w14:textId="77777777" w:rsidTr="00D70E11">
        <w:trPr>
          <w:trHeight w:val="20"/>
          <w:jc w:val="center"/>
        </w:trPr>
        <w:tc>
          <w:tcPr>
            <w:tcW w:w="1205" w:type="dxa"/>
            <w:vAlign w:val="center"/>
            <w:hideMark/>
          </w:tcPr>
          <w:p w14:paraId="621F5A24"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1984-85</w:t>
            </w:r>
          </w:p>
        </w:tc>
        <w:tc>
          <w:tcPr>
            <w:tcW w:w="1348" w:type="dxa"/>
            <w:vAlign w:val="center"/>
            <w:hideMark/>
          </w:tcPr>
          <w:p w14:paraId="67D212A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1234283</w:t>
            </w:r>
          </w:p>
        </w:tc>
        <w:tc>
          <w:tcPr>
            <w:tcW w:w="1275" w:type="dxa"/>
            <w:vAlign w:val="center"/>
            <w:hideMark/>
          </w:tcPr>
          <w:p w14:paraId="0121CA5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585343</w:t>
            </w:r>
          </w:p>
        </w:tc>
        <w:tc>
          <w:tcPr>
            <w:tcW w:w="1276" w:type="dxa"/>
            <w:vAlign w:val="center"/>
            <w:hideMark/>
          </w:tcPr>
          <w:p w14:paraId="085B236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1819626</w:t>
            </w:r>
          </w:p>
        </w:tc>
        <w:tc>
          <w:tcPr>
            <w:tcW w:w="1559" w:type="dxa"/>
            <w:vAlign w:val="center"/>
            <w:hideMark/>
          </w:tcPr>
          <w:p w14:paraId="2B69CCB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3581342</w:t>
            </w:r>
          </w:p>
        </w:tc>
        <w:tc>
          <w:tcPr>
            <w:tcW w:w="1554" w:type="dxa"/>
            <w:vAlign w:val="center"/>
            <w:hideMark/>
          </w:tcPr>
          <w:p w14:paraId="14DF1A21"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50.81</w:t>
            </w:r>
          </w:p>
        </w:tc>
      </w:tr>
      <w:tr w:rsidR="002F2047" w:rsidRPr="00D70E11" w14:paraId="53751689" w14:textId="77777777" w:rsidTr="00D70E11">
        <w:trPr>
          <w:trHeight w:val="20"/>
          <w:jc w:val="center"/>
        </w:trPr>
        <w:tc>
          <w:tcPr>
            <w:tcW w:w="1205" w:type="dxa"/>
            <w:vAlign w:val="center"/>
            <w:hideMark/>
          </w:tcPr>
          <w:p w14:paraId="0FF9BF9B"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1985-86</w:t>
            </w:r>
          </w:p>
        </w:tc>
        <w:tc>
          <w:tcPr>
            <w:tcW w:w="1348" w:type="dxa"/>
            <w:vAlign w:val="center"/>
            <w:hideMark/>
          </w:tcPr>
          <w:p w14:paraId="7B385BCC"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1459652</w:t>
            </w:r>
          </w:p>
        </w:tc>
        <w:tc>
          <w:tcPr>
            <w:tcW w:w="1275" w:type="dxa"/>
            <w:vAlign w:val="center"/>
            <w:hideMark/>
          </w:tcPr>
          <w:p w14:paraId="3C268DAE"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725974</w:t>
            </w:r>
          </w:p>
        </w:tc>
        <w:tc>
          <w:tcPr>
            <w:tcW w:w="1276" w:type="dxa"/>
            <w:vAlign w:val="center"/>
            <w:hideMark/>
          </w:tcPr>
          <w:p w14:paraId="2E162DB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2185626</w:t>
            </w:r>
          </w:p>
        </w:tc>
        <w:tc>
          <w:tcPr>
            <w:tcW w:w="1559" w:type="dxa"/>
            <w:vAlign w:val="center"/>
            <w:hideMark/>
          </w:tcPr>
          <w:p w14:paraId="23E3C53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4326671</w:t>
            </w:r>
          </w:p>
        </w:tc>
        <w:tc>
          <w:tcPr>
            <w:tcW w:w="1554" w:type="dxa"/>
            <w:vAlign w:val="center"/>
            <w:hideMark/>
          </w:tcPr>
          <w:p w14:paraId="741136E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50.52</w:t>
            </w:r>
          </w:p>
        </w:tc>
      </w:tr>
      <w:tr w:rsidR="002F2047" w:rsidRPr="00D70E11" w14:paraId="412E4B1B" w14:textId="77777777" w:rsidTr="00D70E11">
        <w:trPr>
          <w:trHeight w:val="20"/>
          <w:jc w:val="center"/>
        </w:trPr>
        <w:tc>
          <w:tcPr>
            <w:tcW w:w="1205" w:type="dxa"/>
            <w:vAlign w:val="center"/>
            <w:hideMark/>
          </w:tcPr>
          <w:p w14:paraId="4DEE6A1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1986-87</w:t>
            </w:r>
          </w:p>
        </w:tc>
        <w:tc>
          <w:tcPr>
            <w:tcW w:w="1348" w:type="dxa"/>
            <w:vAlign w:val="center"/>
            <w:hideMark/>
          </w:tcPr>
          <w:p w14:paraId="4E69233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1670075</w:t>
            </w:r>
          </w:p>
        </w:tc>
        <w:tc>
          <w:tcPr>
            <w:tcW w:w="1275" w:type="dxa"/>
            <w:vAlign w:val="center"/>
            <w:hideMark/>
          </w:tcPr>
          <w:p w14:paraId="3279B30D"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835974</w:t>
            </w:r>
          </w:p>
        </w:tc>
        <w:tc>
          <w:tcPr>
            <w:tcW w:w="1276" w:type="dxa"/>
            <w:vAlign w:val="center"/>
            <w:hideMark/>
          </w:tcPr>
          <w:p w14:paraId="01D6D60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2506049</w:t>
            </w:r>
          </w:p>
        </w:tc>
        <w:tc>
          <w:tcPr>
            <w:tcW w:w="1559" w:type="dxa"/>
            <w:vAlign w:val="center"/>
            <w:hideMark/>
          </w:tcPr>
          <w:p w14:paraId="29DDE8B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4953922</w:t>
            </w:r>
          </w:p>
        </w:tc>
        <w:tc>
          <w:tcPr>
            <w:tcW w:w="1554" w:type="dxa"/>
            <w:vAlign w:val="center"/>
            <w:hideMark/>
          </w:tcPr>
          <w:p w14:paraId="41359F55"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50.58</w:t>
            </w:r>
          </w:p>
        </w:tc>
      </w:tr>
      <w:tr w:rsidR="002F2047" w:rsidRPr="00D70E11" w14:paraId="277C997F" w14:textId="77777777" w:rsidTr="00D70E11">
        <w:trPr>
          <w:trHeight w:val="20"/>
          <w:jc w:val="center"/>
        </w:trPr>
        <w:tc>
          <w:tcPr>
            <w:tcW w:w="1205" w:type="dxa"/>
            <w:vAlign w:val="center"/>
            <w:hideMark/>
          </w:tcPr>
          <w:p w14:paraId="280432BC"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1987-88 (RE)</w:t>
            </w:r>
          </w:p>
        </w:tc>
        <w:tc>
          <w:tcPr>
            <w:tcW w:w="1348" w:type="dxa"/>
            <w:vAlign w:val="center"/>
            <w:hideMark/>
          </w:tcPr>
          <w:p w14:paraId="441B2DAA"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1896126</w:t>
            </w:r>
          </w:p>
        </w:tc>
        <w:tc>
          <w:tcPr>
            <w:tcW w:w="1275" w:type="dxa"/>
            <w:vAlign w:val="center"/>
            <w:hideMark/>
          </w:tcPr>
          <w:p w14:paraId="61B3A4A7"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946603</w:t>
            </w:r>
          </w:p>
        </w:tc>
        <w:tc>
          <w:tcPr>
            <w:tcW w:w="1276" w:type="dxa"/>
            <w:vAlign w:val="center"/>
            <w:hideMark/>
          </w:tcPr>
          <w:p w14:paraId="43C088F6"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2842729</w:t>
            </w:r>
          </w:p>
        </w:tc>
        <w:tc>
          <w:tcPr>
            <w:tcW w:w="1559" w:type="dxa"/>
            <w:vAlign w:val="center"/>
            <w:hideMark/>
          </w:tcPr>
          <w:p w14:paraId="4C532D9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5694962</w:t>
            </w:r>
          </w:p>
        </w:tc>
        <w:tc>
          <w:tcPr>
            <w:tcW w:w="1554" w:type="dxa"/>
            <w:vAlign w:val="center"/>
            <w:hideMark/>
          </w:tcPr>
          <w:p w14:paraId="2E08ED19"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49.92</w:t>
            </w:r>
          </w:p>
        </w:tc>
      </w:tr>
      <w:tr w:rsidR="002F2047" w:rsidRPr="00D70E11" w14:paraId="44C01C13" w14:textId="77777777" w:rsidTr="00D70E11">
        <w:trPr>
          <w:trHeight w:val="20"/>
          <w:jc w:val="center"/>
        </w:trPr>
        <w:tc>
          <w:tcPr>
            <w:tcW w:w="1205" w:type="dxa"/>
            <w:vAlign w:val="center"/>
            <w:hideMark/>
          </w:tcPr>
          <w:p w14:paraId="7219669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1988-89 (BE)</w:t>
            </w:r>
          </w:p>
        </w:tc>
        <w:tc>
          <w:tcPr>
            <w:tcW w:w="1348" w:type="dxa"/>
            <w:vAlign w:val="center"/>
            <w:hideMark/>
          </w:tcPr>
          <w:p w14:paraId="5380A2D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2154834</w:t>
            </w:r>
          </w:p>
        </w:tc>
        <w:tc>
          <w:tcPr>
            <w:tcW w:w="1275" w:type="dxa"/>
            <w:vAlign w:val="center"/>
            <w:hideMark/>
          </w:tcPr>
          <w:p w14:paraId="08F2F330"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1047815</w:t>
            </w:r>
          </w:p>
        </w:tc>
        <w:tc>
          <w:tcPr>
            <w:tcW w:w="1276" w:type="dxa"/>
            <w:vAlign w:val="center"/>
            <w:hideMark/>
          </w:tcPr>
          <w:p w14:paraId="6B6821F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3202646</w:t>
            </w:r>
          </w:p>
        </w:tc>
        <w:tc>
          <w:tcPr>
            <w:tcW w:w="1559" w:type="dxa"/>
            <w:vAlign w:val="center"/>
            <w:hideMark/>
          </w:tcPr>
          <w:p w14:paraId="14EB32E2"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6414681</w:t>
            </w:r>
          </w:p>
        </w:tc>
        <w:tc>
          <w:tcPr>
            <w:tcW w:w="1554" w:type="dxa"/>
            <w:vAlign w:val="center"/>
            <w:hideMark/>
          </w:tcPr>
          <w:p w14:paraId="1E0BC638" w14:textId="77777777" w:rsidR="002F2047" w:rsidRPr="00D70E11" w:rsidRDefault="002F2047" w:rsidP="00B36A4C">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49.93</w:t>
            </w:r>
          </w:p>
        </w:tc>
      </w:tr>
    </w:tbl>
    <w:p w14:paraId="1BDC3ADF" w14:textId="77777777" w:rsidR="00EC10FA" w:rsidRDefault="002F2047" w:rsidP="00EC10FA">
      <w:pPr>
        <w:spacing w:after="0"/>
        <w:ind w:left="1440"/>
        <w:jc w:val="both"/>
        <w:rPr>
          <w:rFonts w:ascii="Times New Roman" w:hAnsi="Times New Roman" w:cs="Times New Roman"/>
          <w:sz w:val="16"/>
          <w:szCs w:val="16"/>
        </w:rPr>
      </w:pPr>
      <w:r w:rsidRPr="00D70E11">
        <w:rPr>
          <w:rFonts w:ascii="Times New Roman" w:hAnsi="Times New Roman" w:cs="Times New Roman"/>
          <w:b/>
          <w:bCs/>
          <w:sz w:val="16"/>
          <w:szCs w:val="16"/>
        </w:rPr>
        <w:t>Source:</w:t>
      </w:r>
      <w:r w:rsidRPr="00D70E11">
        <w:rPr>
          <w:rFonts w:ascii="Times New Roman" w:hAnsi="Times New Roman" w:cs="Times New Roman"/>
          <w:sz w:val="16"/>
          <w:szCs w:val="16"/>
        </w:rPr>
        <w:t> Indian Economic Statistics - Public Finance, Ministry of Finance, Government of India.</w:t>
      </w:r>
    </w:p>
    <w:p w14:paraId="6CDEDFF6" w14:textId="6A034E35" w:rsidR="00C0399E" w:rsidRPr="00EC10FA" w:rsidRDefault="00C0399E" w:rsidP="007E0F89">
      <w:pPr>
        <w:spacing w:after="0"/>
        <w:ind w:left="142"/>
        <w:jc w:val="center"/>
        <w:rPr>
          <w:rFonts w:ascii="Times New Roman" w:hAnsi="Times New Roman" w:cs="Times New Roman"/>
          <w:sz w:val="16"/>
          <w:szCs w:val="16"/>
        </w:rPr>
      </w:pPr>
      <w:r w:rsidRPr="00D70E11">
        <w:rPr>
          <w:rFonts w:ascii="Times New Roman" w:hAnsi="Times New Roman" w:cs="Times New Roman"/>
          <w:b/>
          <w:bCs/>
          <w:sz w:val="20"/>
          <w:szCs w:val="18"/>
        </w:rPr>
        <w:t>TABLE B.3.3</w:t>
      </w:r>
    </w:p>
    <w:p w14:paraId="59BB1AAA" w14:textId="4BC2938B" w:rsidR="00414E85" w:rsidRPr="00D70E11" w:rsidRDefault="00C0399E" w:rsidP="00EC10FA">
      <w:pPr>
        <w:spacing w:after="0" w:line="240" w:lineRule="auto"/>
        <w:ind w:left="284"/>
        <w:jc w:val="center"/>
        <w:rPr>
          <w:rFonts w:ascii="Times New Roman" w:hAnsi="Times New Roman" w:cs="Times New Roman"/>
          <w:b/>
          <w:bCs/>
          <w:sz w:val="20"/>
          <w:szCs w:val="18"/>
        </w:rPr>
      </w:pPr>
      <w:r w:rsidRPr="00D70E11">
        <w:rPr>
          <w:rFonts w:ascii="Times New Roman" w:hAnsi="Times New Roman" w:cs="Times New Roman"/>
          <w:b/>
          <w:bCs/>
          <w:sz w:val="20"/>
          <w:szCs w:val="18"/>
        </w:rPr>
        <w:t xml:space="preserve">Revenue Accruals of The Union Government </w:t>
      </w:r>
      <w:proofErr w:type="gramStart"/>
      <w:r w:rsidRPr="00D70E11">
        <w:rPr>
          <w:rFonts w:ascii="Times New Roman" w:hAnsi="Times New Roman" w:cs="Times New Roman"/>
          <w:b/>
          <w:bCs/>
          <w:sz w:val="20"/>
          <w:szCs w:val="18"/>
        </w:rPr>
        <w:t>And</w:t>
      </w:r>
      <w:proofErr w:type="gramEnd"/>
      <w:r w:rsidRPr="00D70E11">
        <w:rPr>
          <w:rFonts w:ascii="Times New Roman" w:hAnsi="Times New Roman" w:cs="Times New Roman"/>
          <w:b/>
          <w:bCs/>
          <w:sz w:val="20"/>
          <w:szCs w:val="18"/>
        </w:rPr>
        <w:t xml:space="preserve"> </w:t>
      </w:r>
      <w:proofErr w:type="gramStart"/>
      <w:r w:rsidRPr="00D70E11">
        <w:rPr>
          <w:rFonts w:ascii="Times New Roman" w:hAnsi="Times New Roman" w:cs="Times New Roman"/>
          <w:b/>
          <w:bCs/>
          <w:sz w:val="20"/>
          <w:szCs w:val="18"/>
        </w:rPr>
        <w:t>The</w:t>
      </w:r>
      <w:proofErr w:type="gramEnd"/>
      <w:r w:rsidRPr="00D70E11">
        <w:rPr>
          <w:rFonts w:ascii="Times New Roman" w:hAnsi="Times New Roman" w:cs="Times New Roman"/>
          <w:b/>
          <w:bCs/>
          <w:sz w:val="20"/>
          <w:szCs w:val="18"/>
        </w:rPr>
        <w:t xml:space="preserve"> State Governments</w:t>
      </w:r>
    </w:p>
    <w:p w14:paraId="2A1874ED" w14:textId="351F5B5B" w:rsidR="002F2047" w:rsidRPr="00D70E11" w:rsidRDefault="002F2047" w:rsidP="00EC10FA">
      <w:pPr>
        <w:spacing w:after="0" w:line="240" w:lineRule="auto"/>
        <w:ind w:left="6480" w:firstLine="720"/>
        <w:jc w:val="center"/>
        <w:rPr>
          <w:rFonts w:ascii="Times New Roman" w:hAnsi="Times New Roman" w:cs="Times New Roman"/>
          <w:b/>
          <w:bCs/>
          <w:sz w:val="18"/>
          <w:szCs w:val="18"/>
        </w:rPr>
      </w:pPr>
      <w:bookmarkStart w:id="137" w:name="_Toc221293028"/>
      <w:r w:rsidRPr="00D70E11">
        <w:rPr>
          <w:rFonts w:ascii="Times New Roman" w:hAnsi="Times New Roman" w:cs="Times New Roman"/>
          <w:sz w:val="18"/>
          <w:szCs w:val="16"/>
        </w:rPr>
        <w:t>(Rs. Crores)</w:t>
      </w:r>
      <w:bookmarkEnd w:id="137"/>
    </w:p>
    <w:tbl>
      <w:tblPr>
        <w:tblStyle w:val="TableGrid"/>
        <w:tblW w:w="8217" w:type="dxa"/>
        <w:jc w:val="center"/>
        <w:tblLook w:val="04A0" w:firstRow="1" w:lastRow="0" w:firstColumn="1" w:lastColumn="0" w:noHBand="0" w:noVBand="1"/>
      </w:tblPr>
      <w:tblGrid>
        <w:gridCol w:w="1129"/>
        <w:gridCol w:w="1560"/>
        <w:gridCol w:w="1275"/>
        <w:gridCol w:w="1276"/>
        <w:gridCol w:w="1418"/>
        <w:gridCol w:w="1559"/>
      </w:tblGrid>
      <w:tr w:rsidR="00D70E11" w:rsidRPr="00D70E11" w14:paraId="39CFDAE1" w14:textId="77777777" w:rsidTr="00D70E11">
        <w:trPr>
          <w:trHeight w:val="20"/>
          <w:jc w:val="center"/>
        </w:trPr>
        <w:tc>
          <w:tcPr>
            <w:tcW w:w="1129" w:type="dxa"/>
            <w:vAlign w:val="center"/>
            <w:hideMark/>
          </w:tcPr>
          <w:p w14:paraId="074A69D0" w14:textId="77777777" w:rsidR="00D70E11" w:rsidRPr="00D70E11" w:rsidRDefault="00D70E11"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Year</w:t>
            </w:r>
          </w:p>
        </w:tc>
        <w:tc>
          <w:tcPr>
            <w:tcW w:w="1560" w:type="dxa"/>
            <w:vAlign w:val="center"/>
            <w:hideMark/>
          </w:tcPr>
          <w:p w14:paraId="4CCA0F80" w14:textId="77777777" w:rsidR="00D70E11" w:rsidRPr="00D70E11" w:rsidRDefault="00D70E11"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Revenue Receipts </w:t>
            </w:r>
            <w:proofErr w:type="gramStart"/>
            <w:r w:rsidRPr="00D70E11">
              <w:rPr>
                <w:rFonts w:ascii="Times New Roman" w:hAnsi="Times New Roman" w:cs="Times New Roman"/>
                <w:b/>
                <w:bCs/>
                <w:sz w:val="16"/>
                <w:szCs w:val="16"/>
              </w:rPr>
              <w:t>Of</w:t>
            </w:r>
            <w:proofErr w:type="gramEnd"/>
            <w:r w:rsidRPr="00D70E11">
              <w:rPr>
                <w:rFonts w:ascii="Times New Roman" w:hAnsi="Times New Roman" w:cs="Times New Roman"/>
                <w:b/>
                <w:bCs/>
                <w:sz w:val="16"/>
                <w:szCs w:val="16"/>
              </w:rPr>
              <w:t xml:space="preserve"> Centre </w:t>
            </w:r>
            <w:proofErr w:type="gramStart"/>
            <w:r w:rsidRPr="00D70E11">
              <w:rPr>
                <w:rFonts w:ascii="Times New Roman" w:hAnsi="Times New Roman" w:cs="Times New Roman"/>
                <w:b/>
                <w:bCs/>
                <w:sz w:val="16"/>
                <w:szCs w:val="16"/>
              </w:rPr>
              <w:t>And</w:t>
            </w:r>
            <w:proofErr w:type="gramEnd"/>
            <w:r w:rsidRPr="00D70E11">
              <w:rPr>
                <w:rFonts w:ascii="Times New Roman" w:hAnsi="Times New Roman" w:cs="Times New Roman"/>
                <w:b/>
                <w:bCs/>
                <w:sz w:val="16"/>
                <w:szCs w:val="16"/>
              </w:rPr>
              <w:t xml:space="preserve"> States</w:t>
            </w:r>
          </w:p>
        </w:tc>
        <w:tc>
          <w:tcPr>
            <w:tcW w:w="1275" w:type="dxa"/>
            <w:vAlign w:val="center"/>
            <w:hideMark/>
          </w:tcPr>
          <w:p w14:paraId="7EC19184" w14:textId="77777777" w:rsidR="00D70E11" w:rsidRPr="00D70E11" w:rsidRDefault="00D70E11"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Revenue Accruals </w:t>
            </w:r>
            <w:proofErr w:type="gramStart"/>
            <w:r w:rsidRPr="00D70E11">
              <w:rPr>
                <w:rFonts w:ascii="Times New Roman" w:hAnsi="Times New Roman" w:cs="Times New Roman"/>
                <w:b/>
                <w:bCs/>
                <w:sz w:val="16"/>
                <w:szCs w:val="16"/>
              </w:rPr>
              <w:t>Of</w:t>
            </w:r>
            <w:proofErr w:type="gramEnd"/>
            <w:r w:rsidRPr="00D70E11">
              <w:rPr>
                <w:rFonts w:ascii="Times New Roman" w:hAnsi="Times New Roman" w:cs="Times New Roman"/>
                <w:b/>
                <w:bCs/>
                <w:sz w:val="16"/>
                <w:szCs w:val="16"/>
              </w:rPr>
              <w:t xml:space="preserve"> States</w:t>
            </w:r>
          </w:p>
        </w:tc>
        <w:tc>
          <w:tcPr>
            <w:tcW w:w="1276" w:type="dxa"/>
            <w:vAlign w:val="center"/>
            <w:hideMark/>
          </w:tcPr>
          <w:p w14:paraId="62F863FF" w14:textId="389B1B4E" w:rsidR="00D70E11" w:rsidRPr="00D70E11" w:rsidRDefault="00D70E11"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Revenue Accruals </w:t>
            </w:r>
            <w:proofErr w:type="gramStart"/>
            <w:r w:rsidRPr="00D70E11">
              <w:rPr>
                <w:rFonts w:ascii="Times New Roman" w:hAnsi="Times New Roman" w:cs="Times New Roman"/>
                <w:b/>
                <w:bCs/>
                <w:sz w:val="16"/>
                <w:szCs w:val="16"/>
              </w:rPr>
              <w:t>Of</w:t>
            </w:r>
            <w:proofErr w:type="gramEnd"/>
            <w:r w:rsidRPr="00D70E11">
              <w:rPr>
                <w:rFonts w:ascii="Times New Roman" w:hAnsi="Times New Roman" w:cs="Times New Roman"/>
                <w:b/>
                <w:bCs/>
                <w:sz w:val="16"/>
                <w:szCs w:val="16"/>
              </w:rPr>
              <w:t xml:space="preserve"> Centre</w:t>
            </w:r>
          </w:p>
        </w:tc>
        <w:tc>
          <w:tcPr>
            <w:tcW w:w="1418" w:type="dxa"/>
            <w:vAlign w:val="center"/>
            <w:hideMark/>
          </w:tcPr>
          <w:p w14:paraId="6E210EF7" w14:textId="77777777" w:rsidR="00D70E11" w:rsidRPr="00D70E11" w:rsidRDefault="00D70E11"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Per Cent Revenue Accruals </w:t>
            </w:r>
            <w:proofErr w:type="gramStart"/>
            <w:r w:rsidRPr="00D70E11">
              <w:rPr>
                <w:rFonts w:ascii="Times New Roman" w:hAnsi="Times New Roman" w:cs="Times New Roman"/>
                <w:b/>
                <w:bCs/>
                <w:sz w:val="16"/>
                <w:szCs w:val="16"/>
              </w:rPr>
              <w:t>To</w:t>
            </w:r>
            <w:proofErr w:type="gramEnd"/>
            <w:r w:rsidRPr="00D70E11">
              <w:rPr>
                <w:rFonts w:ascii="Times New Roman" w:hAnsi="Times New Roman" w:cs="Times New Roman"/>
                <w:b/>
                <w:bCs/>
                <w:sz w:val="16"/>
                <w:szCs w:val="16"/>
              </w:rPr>
              <w:t xml:space="preserve"> State</w:t>
            </w:r>
          </w:p>
        </w:tc>
        <w:tc>
          <w:tcPr>
            <w:tcW w:w="1559" w:type="dxa"/>
            <w:vAlign w:val="center"/>
            <w:hideMark/>
          </w:tcPr>
          <w:p w14:paraId="05481810" w14:textId="77777777" w:rsidR="00D70E11" w:rsidRPr="00D70E11" w:rsidRDefault="00D70E11"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 xml:space="preserve">Per Cent Revenue Accruals </w:t>
            </w:r>
            <w:proofErr w:type="gramStart"/>
            <w:r w:rsidRPr="00D70E11">
              <w:rPr>
                <w:rFonts w:ascii="Times New Roman" w:hAnsi="Times New Roman" w:cs="Times New Roman"/>
                <w:b/>
                <w:bCs/>
                <w:sz w:val="16"/>
                <w:szCs w:val="16"/>
              </w:rPr>
              <w:t>To</w:t>
            </w:r>
            <w:proofErr w:type="gramEnd"/>
            <w:r w:rsidRPr="00D70E11">
              <w:rPr>
                <w:rFonts w:ascii="Times New Roman" w:hAnsi="Times New Roman" w:cs="Times New Roman"/>
                <w:b/>
                <w:bCs/>
                <w:sz w:val="16"/>
                <w:szCs w:val="16"/>
              </w:rPr>
              <w:t xml:space="preserve"> Centre</w:t>
            </w:r>
          </w:p>
        </w:tc>
      </w:tr>
      <w:tr w:rsidR="00D70E11" w:rsidRPr="00D70E11" w14:paraId="470C5BDF" w14:textId="77777777" w:rsidTr="00D70E11">
        <w:trPr>
          <w:trHeight w:val="20"/>
          <w:jc w:val="center"/>
        </w:trPr>
        <w:tc>
          <w:tcPr>
            <w:tcW w:w="1129" w:type="dxa"/>
            <w:vAlign w:val="center"/>
            <w:hideMark/>
          </w:tcPr>
          <w:p w14:paraId="760CC4F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1974-75</w:t>
            </w:r>
          </w:p>
        </w:tc>
        <w:tc>
          <w:tcPr>
            <w:tcW w:w="1560" w:type="dxa"/>
            <w:vAlign w:val="center"/>
            <w:hideMark/>
          </w:tcPr>
          <w:p w14:paraId="62EE73FA"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11048</w:t>
            </w:r>
          </w:p>
        </w:tc>
        <w:tc>
          <w:tcPr>
            <w:tcW w:w="1275" w:type="dxa"/>
            <w:vAlign w:val="center"/>
            <w:hideMark/>
          </w:tcPr>
          <w:p w14:paraId="70E43C1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6004</w:t>
            </w:r>
          </w:p>
        </w:tc>
        <w:tc>
          <w:tcPr>
            <w:tcW w:w="1276" w:type="dxa"/>
            <w:vAlign w:val="center"/>
            <w:hideMark/>
          </w:tcPr>
          <w:p w14:paraId="7EE18136" w14:textId="2E680518"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5044</w:t>
            </w:r>
          </w:p>
        </w:tc>
        <w:tc>
          <w:tcPr>
            <w:tcW w:w="1418" w:type="dxa"/>
            <w:vAlign w:val="center"/>
            <w:hideMark/>
          </w:tcPr>
          <w:p w14:paraId="2C26EC6E"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54.34</w:t>
            </w:r>
          </w:p>
        </w:tc>
        <w:tc>
          <w:tcPr>
            <w:tcW w:w="1559" w:type="dxa"/>
            <w:vAlign w:val="center"/>
            <w:hideMark/>
          </w:tcPr>
          <w:p w14:paraId="6C48FC8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45.66</w:t>
            </w:r>
          </w:p>
        </w:tc>
      </w:tr>
      <w:tr w:rsidR="00D70E11" w:rsidRPr="00D70E11" w14:paraId="21638014" w14:textId="77777777" w:rsidTr="00D70E11">
        <w:trPr>
          <w:trHeight w:val="20"/>
          <w:jc w:val="center"/>
        </w:trPr>
        <w:tc>
          <w:tcPr>
            <w:tcW w:w="1129" w:type="dxa"/>
            <w:vAlign w:val="center"/>
            <w:hideMark/>
          </w:tcPr>
          <w:p w14:paraId="402D6708"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1975-76</w:t>
            </w:r>
          </w:p>
        </w:tc>
        <w:tc>
          <w:tcPr>
            <w:tcW w:w="1560" w:type="dxa"/>
            <w:vAlign w:val="center"/>
            <w:hideMark/>
          </w:tcPr>
          <w:p w14:paraId="28D682C3"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13687</w:t>
            </w:r>
          </w:p>
        </w:tc>
        <w:tc>
          <w:tcPr>
            <w:tcW w:w="1275" w:type="dxa"/>
            <w:vAlign w:val="center"/>
            <w:hideMark/>
          </w:tcPr>
          <w:p w14:paraId="4863390C"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7475</w:t>
            </w:r>
          </w:p>
        </w:tc>
        <w:tc>
          <w:tcPr>
            <w:tcW w:w="1276" w:type="dxa"/>
            <w:vAlign w:val="center"/>
            <w:hideMark/>
          </w:tcPr>
          <w:p w14:paraId="219062C5" w14:textId="55426F31"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6212</w:t>
            </w:r>
          </w:p>
        </w:tc>
        <w:tc>
          <w:tcPr>
            <w:tcW w:w="1418" w:type="dxa"/>
            <w:vAlign w:val="center"/>
            <w:hideMark/>
          </w:tcPr>
          <w:p w14:paraId="3B29D823"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54.61</w:t>
            </w:r>
          </w:p>
        </w:tc>
        <w:tc>
          <w:tcPr>
            <w:tcW w:w="1559" w:type="dxa"/>
            <w:vAlign w:val="center"/>
            <w:hideMark/>
          </w:tcPr>
          <w:p w14:paraId="4F5595E0"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45.39</w:t>
            </w:r>
          </w:p>
        </w:tc>
      </w:tr>
      <w:tr w:rsidR="00D70E11" w:rsidRPr="00D70E11" w14:paraId="35DC789A" w14:textId="77777777" w:rsidTr="00D70E11">
        <w:trPr>
          <w:trHeight w:val="20"/>
          <w:jc w:val="center"/>
        </w:trPr>
        <w:tc>
          <w:tcPr>
            <w:tcW w:w="1129" w:type="dxa"/>
            <w:vAlign w:val="center"/>
            <w:hideMark/>
          </w:tcPr>
          <w:p w14:paraId="0135409B"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1976-77</w:t>
            </w:r>
          </w:p>
        </w:tc>
        <w:tc>
          <w:tcPr>
            <w:tcW w:w="1560" w:type="dxa"/>
            <w:vAlign w:val="center"/>
            <w:hideMark/>
          </w:tcPr>
          <w:p w14:paraId="72FC3CC4"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15258</w:t>
            </w:r>
          </w:p>
        </w:tc>
        <w:tc>
          <w:tcPr>
            <w:tcW w:w="1275" w:type="dxa"/>
            <w:vAlign w:val="center"/>
            <w:hideMark/>
          </w:tcPr>
          <w:p w14:paraId="51B42FD4"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8652</w:t>
            </w:r>
          </w:p>
        </w:tc>
        <w:tc>
          <w:tcPr>
            <w:tcW w:w="1276" w:type="dxa"/>
            <w:vAlign w:val="center"/>
            <w:hideMark/>
          </w:tcPr>
          <w:p w14:paraId="089BAA5E" w14:textId="4127BEDE"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6606</w:t>
            </w:r>
          </w:p>
        </w:tc>
        <w:tc>
          <w:tcPr>
            <w:tcW w:w="1418" w:type="dxa"/>
            <w:vAlign w:val="center"/>
            <w:hideMark/>
          </w:tcPr>
          <w:p w14:paraId="56E37D2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56.70</w:t>
            </w:r>
          </w:p>
        </w:tc>
        <w:tc>
          <w:tcPr>
            <w:tcW w:w="1559" w:type="dxa"/>
            <w:vAlign w:val="center"/>
            <w:hideMark/>
          </w:tcPr>
          <w:p w14:paraId="704583C1"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43.30</w:t>
            </w:r>
          </w:p>
        </w:tc>
      </w:tr>
      <w:tr w:rsidR="00D70E11" w:rsidRPr="00D70E11" w14:paraId="054B5A0D" w14:textId="77777777" w:rsidTr="00D70E11">
        <w:trPr>
          <w:trHeight w:val="20"/>
          <w:jc w:val="center"/>
        </w:trPr>
        <w:tc>
          <w:tcPr>
            <w:tcW w:w="1129" w:type="dxa"/>
            <w:vAlign w:val="center"/>
            <w:hideMark/>
          </w:tcPr>
          <w:p w14:paraId="660B7E97"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1977-78</w:t>
            </w:r>
          </w:p>
        </w:tc>
        <w:tc>
          <w:tcPr>
            <w:tcW w:w="1560" w:type="dxa"/>
            <w:vAlign w:val="center"/>
            <w:hideMark/>
          </w:tcPr>
          <w:p w14:paraId="62044E1B"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16435</w:t>
            </w:r>
          </w:p>
        </w:tc>
        <w:tc>
          <w:tcPr>
            <w:tcW w:w="1275" w:type="dxa"/>
            <w:vAlign w:val="center"/>
            <w:hideMark/>
          </w:tcPr>
          <w:p w14:paraId="5A35472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9401</w:t>
            </w:r>
          </w:p>
        </w:tc>
        <w:tc>
          <w:tcPr>
            <w:tcW w:w="1276" w:type="dxa"/>
            <w:vAlign w:val="center"/>
            <w:hideMark/>
          </w:tcPr>
          <w:p w14:paraId="48F8CD0F" w14:textId="15419BE9"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7034</w:t>
            </w:r>
          </w:p>
        </w:tc>
        <w:tc>
          <w:tcPr>
            <w:tcW w:w="1418" w:type="dxa"/>
            <w:vAlign w:val="center"/>
            <w:hideMark/>
          </w:tcPr>
          <w:p w14:paraId="0BDFA360"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57.20</w:t>
            </w:r>
          </w:p>
        </w:tc>
        <w:tc>
          <w:tcPr>
            <w:tcW w:w="1559" w:type="dxa"/>
            <w:vAlign w:val="center"/>
            <w:hideMark/>
          </w:tcPr>
          <w:p w14:paraId="1D8B551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42.80</w:t>
            </w:r>
          </w:p>
        </w:tc>
      </w:tr>
      <w:tr w:rsidR="00D70E11" w:rsidRPr="00D70E11" w14:paraId="2394CF34" w14:textId="77777777" w:rsidTr="00D70E11">
        <w:trPr>
          <w:trHeight w:val="20"/>
          <w:jc w:val="center"/>
        </w:trPr>
        <w:tc>
          <w:tcPr>
            <w:tcW w:w="1129" w:type="dxa"/>
            <w:vAlign w:val="center"/>
            <w:hideMark/>
          </w:tcPr>
          <w:p w14:paraId="36CA5547"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1978-79</w:t>
            </w:r>
          </w:p>
        </w:tc>
        <w:tc>
          <w:tcPr>
            <w:tcW w:w="1560" w:type="dxa"/>
            <w:vAlign w:val="center"/>
            <w:hideMark/>
          </w:tcPr>
          <w:p w14:paraId="0B36533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18775</w:t>
            </w:r>
          </w:p>
        </w:tc>
        <w:tc>
          <w:tcPr>
            <w:tcW w:w="1275" w:type="dxa"/>
            <w:vAlign w:val="center"/>
            <w:hideMark/>
          </w:tcPr>
          <w:p w14:paraId="3E24522E"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11008</w:t>
            </w:r>
          </w:p>
        </w:tc>
        <w:tc>
          <w:tcPr>
            <w:tcW w:w="1276" w:type="dxa"/>
            <w:vAlign w:val="center"/>
            <w:hideMark/>
          </w:tcPr>
          <w:p w14:paraId="127194B1" w14:textId="55BD222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7767</w:t>
            </w:r>
          </w:p>
        </w:tc>
        <w:tc>
          <w:tcPr>
            <w:tcW w:w="1418" w:type="dxa"/>
            <w:vAlign w:val="center"/>
            <w:hideMark/>
          </w:tcPr>
          <w:p w14:paraId="2A6205F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58.63</w:t>
            </w:r>
          </w:p>
        </w:tc>
        <w:tc>
          <w:tcPr>
            <w:tcW w:w="1559" w:type="dxa"/>
            <w:vAlign w:val="center"/>
            <w:hideMark/>
          </w:tcPr>
          <w:p w14:paraId="0D8ADED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41.37</w:t>
            </w:r>
          </w:p>
        </w:tc>
      </w:tr>
      <w:tr w:rsidR="00D70E11" w:rsidRPr="00D70E11" w14:paraId="5F0876A9" w14:textId="77777777" w:rsidTr="00D70E11">
        <w:trPr>
          <w:trHeight w:val="20"/>
          <w:jc w:val="center"/>
        </w:trPr>
        <w:tc>
          <w:tcPr>
            <w:tcW w:w="1129" w:type="dxa"/>
            <w:vAlign w:val="center"/>
            <w:hideMark/>
          </w:tcPr>
          <w:p w14:paraId="1EDDCE97"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1979-80</w:t>
            </w:r>
          </w:p>
        </w:tc>
        <w:tc>
          <w:tcPr>
            <w:tcW w:w="1560" w:type="dxa"/>
            <w:vAlign w:val="center"/>
            <w:hideMark/>
          </w:tcPr>
          <w:p w14:paraId="3E4B426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21211</w:t>
            </w:r>
          </w:p>
        </w:tc>
        <w:tc>
          <w:tcPr>
            <w:tcW w:w="1275" w:type="dxa"/>
            <w:vAlign w:val="center"/>
            <w:hideMark/>
          </w:tcPr>
          <w:p w14:paraId="683E870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13060</w:t>
            </w:r>
          </w:p>
        </w:tc>
        <w:tc>
          <w:tcPr>
            <w:tcW w:w="1276" w:type="dxa"/>
            <w:vAlign w:val="center"/>
            <w:hideMark/>
          </w:tcPr>
          <w:p w14:paraId="41CF5184" w14:textId="08A3FCFD"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8151</w:t>
            </w:r>
          </w:p>
        </w:tc>
        <w:tc>
          <w:tcPr>
            <w:tcW w:w="1418" w:type="dxa"/>
            <w:vAlign w:val="center"/>
            <w:hideMark/>
          </w:tcPr>
          <w:p w14:paraId="4977085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61.57</w:t>
            </w:r>
          </w:p>
        </w:tc>
        <w:tc>
          <w:tcPr>
            <w:tcW w:w="1559" w:type="dxa"/>
            <w:vAlign w:val="center"/>
            <w:hideMark/>
          </w:tcPr>
          <w:p w14:paraId="76881E8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38.43</w:t>
            </w:r>
          </w:p>
        </w:tc>
      </w:tr>
      <w:tr w:rsidR="00D70E11" w:rsidRPr="00D70E11" w14:paraId="1B402512" w14:textId="77777777" w:rsidTr="00D70E11">
        <w:trPr>
          <w:trHeight w:val="20"/>
          <w:jc w:val="center"/>
        </w:trPr>
        <w:tc>
          <w:tcPr>
            <w:tcW w:w="1129" w:type="dxa"/>
            <w:vAlign w:val="center"/>
            <w:hideMark/>
          </w:tcPr>
          <w:p w14:paraId="62BD2C33"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1980-81</w:t>
            </w:r>
          </w:p>
        </w:tc>
        <w:tc>
          <w:tcPr>
            <w:tcW w:w="1560" w:type="dxa"/>
            <w:vAlign w:val="center"/>
            <w:hideMark/>
          </w:tcPr>
          <w:p w14:paraId="0E55959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23835</w:t>
            </w:r>
          </w:p>
        </w:tc>
        <w:tc>
          <w:tcPr>
            <w:tcW w:w="1275" w:type="dxa"/>
            <w:vAlign w:val="center"/>
            <w:hideMark/>
          </w:tcPr>
          <w:p w14:paraId="0457AAE1"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15036</w:t>
            </w:r>
          </w:p>
        </w:tc>
        <w:tc>
          <w:tcPr>
            <w:tcW w:w="1276" w:type="dxa"/>
            <w:vAlign w:val="center"/>
            <w:hideMark/>
          </w:tcPr>
          <w:p w14:paraId="32432CFE" w14:textId="5E62C395"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8799</w:t>
            </w:r>
          </w:p>
        </w:tc>
        <w:tc>
          <w:tcPr>
            <w:tcW w:w="1418" w:type="dxa"/>
            <w:vAlign w:val="center"/>
            <w:hideMark/>
          </w:tcPr>
          <w:p w14:paraId="5621C90A"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63.08</w:t>
            </w:r>
          </w:p>
        </w:tc>
        <w:tc>
          <w:tcPr>
            <w:tcW w:w="1559" w:type="dxa"/>
            <w:vAlign w:val="center"/>
            <w:hideMark/>
          </w:tcPr>
          <w:p w14:paraId="692A6A6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36.92</w:t>
            </w:r>
          </w:p>
        </w:tc>
      </w:tr>
      <w:tr w:rsidR="00D70E11" w:rsidRPr="00D70E11" w14:paraId="722A0060" w14:textId="77777777" w:rsidTr="00D70E11">
        <w:trPr>
          <w:trHeight w:val="20"/>
          <w:jc w:val="center"/>
        </w:trPr>
        <w:tc>
          <w:tcPr>
            <w:tcW w:w="1129" w:type="dxa"/>
            <w:vAlign w:val="center"/>
            <w:hideMark/>
          </w:tcPr>
          <w:p w14:paraId="06DAD37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1981-82</w:t>
            </w:r>
          </w:p>
        </w:tc>
        <w:tc>
          <w:tcPr>
            <w:tcW w:w="1560" w:type="dxa"/>
            <w:vAlign w:val="center"/>
            <w:hideMark/>
          </w:tcPr>
          <w:p w14:paraId="13F06C3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28881</w:t>
            </w:r>
          </w:p>
        </w:tc>
        <w:tc>
          <w:tcPr>
            <w:tcW w:w="1275" w:type="dxa"/>
            <w:vAlign w:val="center"/>
            <w:hideMark/>
          </w:tcPr>
          <w:p w14:paraId="0973E228"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17504</w:t>
            </w:r>
          </w:p>
        </w:tc>
        <w:tc>
          <w:tcPr>
            <w:tcW w:w="1276" w:type="dxa"/>
            <w:vAlign w:val="center"/>
            <w:hideMark/>
          </w:tcPr>
          <w:p w14:paraId="3DB7D526" w14:textId="34DB50BA"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11377</w:t>
            </w:r>
          </w:p>
        </w:tc>
        <w:tc>
          <w:tcPr>
            <w:tcW w:w="1418" w:type="dxa"/>
            <w:vAlign w:val="center"/>
            <w:hideMark/>
          </w:tcPr>
          <w:p w14:paraId="5078EA9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60.61</w:t>
            </w:r>
          </w:p>
        </w:tc>
        <w:tc>
          <w:tcPr>
            <w:tcW w:w="1559" w:type="dxa"/>
            <w:vAlign w:val="center"/>
            <w:hideMark/>
          </w:tcPr>
          <w:p w14:paraId="49CDAB1B"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39.39</w:t>
            </w:r>
          </w:p>
        </w:tc>
      </w:tr>
      <w:tr w:rsidR="00D70E11" w:rsidRPr="00D70E11" w14:paraId="29BA8B50" w14:textId="77777777" w:rsidTr="00D70E11">
        <w:trPr>
          <w:trHeight w:val="20"/>
          <w:jc w:val="center"/>
        </w:trPr>
        <w:tc>
          <w:tcPr>
            <w:tcW w:w="1129" w:type="dxa"/>
            <w:vAlign w:val="center"/>
            <w:hideMark/>
          </w:tcPr>
          <w:p w14:paraId="505D4D5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1982-83</w:t>
            </w:r>
          </w:p>
        </w:tc>
        <w:tc>
          <w:tcPr>
            <w:tcW w:w="1560" w:type="dxa"/>
            <w:vAlign w:val="center"/>
            <w:hideMark/>
          </w:tcPr>
          <w:p w14:paraId="266D2D8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33086</w:t>
            </w:r>
          </w:p>
        </w:tc>
        <w:tc>
          <w:tcPr>
            <w:tcW w:w="1275" w:type="dxa"/>
            <w:vAlign w:val="center"/>
            <w:hideMark/>
          </w:tcPr>
          <w:p w14:paraId="45780728"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20243</w:t>
            </w:r>
          </w:p>
        </w:tc>
        <w:tc>
          <w:tcPr>
            <w:tcW w:w="1276" w:type="dxa"/>
            <w:vAlign w:val="center"/>
            <w:hideMark/>
          </w:tcPr>
          <w:p w14:paraId="28B75A15" w14:textId="1FD0451C"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12843</w:t>
            </w:r>
          </w:p>
        </w:tc>
        <w:tc>
          <w:tcPr>
            <w:tcW w:w="1418" w:type="dxa"/>
            <w:vAlign w:val="center"/>
            <w:hideMark/>
          </w:tcPr>
          <w:p w14:paraId="1D07953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61.18</w:t>
            </w:r>
          </w:p>
        </w:tc>
        <w:tc>
          <w:tcPr>
            <w:tcW w:w="1559" w:type="dxa"/>
            <w:vAlign w:val="center"/>
            <w:hideMark/>
          </w:tcPr>
          <w:p w14:paraId="46F46B0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38.82</w:t>
            </w:r>
          </w:p>
        </w:tc>
      </w:tr>
      <w:tr w:rsidR="00D70E11" w:rsidRPr="00D70E11" w14:paraId="1CF8CBC8" w14:textId="77777777" w:rsidTr="00D70E11">
        <w:trPr>
          <w:trHeight w:val="20"/>
          <w:jc w:val="center"/>
        </w:trPr>
        <w:tc>
          <w:tcPr>
            <w:tcW w:w="1129" w:type="dxa"/>
            <w:vAlign w:val="center"/>
            <w:hideMark/>
          </w:tcPr>
          <w:p w14:paraId="747F5680"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1983-84</w:t>
            </w:r>
          </w:p>
        </w:tc>
        <w:tc>
          <w:tcPr>
            <w:tcW w:w="1560" w:type="dxa"/>
            <w:vAlign w:val="center"/>
            <w:hideMark/>
          </w:tcPr>
          <w:p w14:paraId="54264F8E"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36959</w:t>
            </w:r>
          </w:p>
        </w:tc>
        <w:tc>
          <w:tcPr>
            <w:tcW w:w="1275" w:type="dxa"/>
            <w:vAlign w:val="center"/>
            <w:hideMark/>
          </w:tcPr>
          <w:p w14:paraId="5CC6D98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22908</w:t>
            </w:r>
          </w:p>
        </w:tc>
        <w:tc>
          <w:tcPr>
            <w:tcW w:w="1276" w:type="dxa"/>
            <w:vAlign w:val="center"/>
            <w:hideMark/>
          </w:tcPr>
          <w:p w14:paraId="5393A279" w14:textId="2E336825"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14051</w:t>
            </w:r>
          </w:p>
        </w:tc>
        <w:tc>
          <w:tcPr>
            <w:tcW w:w="1418" w:type="dxa"/>
            <w:vAlign w:val="center"/>
            <w:hideMark/>
          </w:tcPr>
          <w:p w14:paraId="61CCF00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61.98</w:t>
            </w:r>
          </w:p>
        </w:tc>
        <w:tc>
          <w:tcPr>
            <w:tcW w:w="1559" w:type="dxa"/>
            <w:vAlign w:val="center"/>
            <w:hideMark/>
          </w:tcPr>
          <w:p w14:paraId="0E20D78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38.02</w:t>
            </w:r>
          </w:p>
        </w:tc>
      </w:tr>
      <w:tr w:rsidR="00D70E11" w:rsidRPr="00D70E11" w14:paraId="779FD191" w14:textId="77777777" w:rsidTr="00D70E11">
        <w:trPr>
          <w:trHeight w:val="20"/>
          <w:jc w:val="center"/>
        </w:trPr>
        <w:tc>
          <w:tcPr>
            <w:tcW w:w="1129" w:type="dxa"/>
            <w:vAlign w:val="center"/>
            <w:hideMark/>
          </w:tcPr>
          <w:p w14:paraId="0FAE6F8E"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1984-85</w:t>
            </w:r>
          </w:p>
        </w:tc>
        <w:tc>
          <w:tcPr>
            <w:tcW w:w="1560" w:type="dxa"/>
            <w:vAlign w:val="center"/>
            <w:hideMark/>
          </w:tcPr>
          <w:p w14:paraId="31FA616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42933</w:t>
            </w:r>
          </w:p>
        </w:tc>
        <w:tc>
          <w:tcPr>
            <w:tcW w:w="1275" w:type="dxa"/>
            <w:vAlign w:val="center"/>
            <w:hideMark/>
          </w:tcPr>
          <w:p w14:paraId="6D772C1E"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26220</w:t>
            </w:r>
          </w:p>
        </w:tc>
        <w:tc>
          <w:tcPr>
            <w:tcW w:w="1276" w:type="dxa"/>
            <w:vAlign w:val="center"/>
            <w:hideMark/>
          </w:tcPr>
          <w:p w14:paraId="0FE45F3B" w14:textId="7D593B4A"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16713</w:t>
            </w:r>
          </w:p>
        </w:tc>
        <w:tc>
          <w:tcPr>
            <w:tcW w:w="1418" w:type="dxa"/>
            <w:vAlign w:val="center"/>
            <w:hideMark/>
          </w:tcPr>
          <w:p w14:paraId="4726164D"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61.07</w:t>
            </w:r>
          </w:p>
        </w:tc>
        <w:tc>
          <w:tcPr>
            <w:tcW w:w="1559" w:type="dxa"/>
            <w:vAlign w:val="center"/>
            <w:hideMark/>
          </w:tcPr>
          <w:p w14:paraId="1B3266D6"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38.93</w:t>
            </w:r>
          </w:p>
        </w:tc>
      </w:tr>
      <w:tr w:rsidR="00D70E11" w:rsidRPr="00D70E11" w14:paraId="11C0F6FE" w14:textId="77777777" w:rsidTr="00D70E11">
        <w:trPr>
          <w:trHeight w:val="20"/>
          <w:jc w:val="center"/>
        </w:trPr>
        <w:tc>
          <w:tcPr>
            <w:tcW w:w="1129" w:type="dxa"/>
            <w:vAlign w:val="center"/>
            <w:hideMark/>
          </w:tcPr>
          <w:p w14:paraId="49379FDC"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1985-86</w:t>
            </w:r>
          </w:p>
        </w:tc>
        <w:tc>
          <w:tcPr>
            <w:tcW w:w="1560" w:type="dxa"/>
            <w:vAlign w:val="center"/>
            <w:hideMark/>
          </w:tcPr>
          <w:p w14:paraId="75FCA23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51011</w:t>
            </w:r>
          </w:p>
        </w:tc>
        <w:tc>
          <w:tcPr>
            <w:tcW w:w="1275" w:type="dxa"/>
            <w:vAlign w:val="center"/>
            <w:hideMark/>
          </w:tcPr>
          <w:p w14:paraId="77E9373B"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31906</w:t>
            </w:r>
          </w:p>
        </w:tc>
        <w:tc>
          <w:tcPr>
            <w:tcW w:w="1276" w:type="dxa"/>
            <w:vAlign w:val="center"/>
            <w:hideMark/>
          </w:tcPr>
          <w:p w14:paraId="48F8C573" w14:textId="58E9B3F1"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19105</w:t>
            </w:r>
          </w:p>
        </w:tc>
        <w:tc>
          <w:tcPr>
            <w:tcW w:w="1418" w:type="dxa"/>
            <w:vAlign w:val="center"/>
            <w:hideMark/>
          </w:tcPr>
          <w:p w14:paraId="0ABB9FBA"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62.55</w:t>
            </w:r>
          </w:p>
        </w:tc>
        <w:tc>
          <w:tcPr>
            <w:tcW w:w="1559" w:type="dxa"/>
            <w:vAlign w:val="center"/>
            <w:hideMark/>
          </w:tcPr>
          <w:p w14:paraId="5AEB58F8"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37.45</w:t>
            </w:r>
          </w:p>
        </w:tc>
      </w:tr>
      <w:tr w:rsidR="00D70E11" w:rsidRPr="00D70E11" w14:paraId="35DAEE41" w14:textId="77777777" w:rsidTr="00D70E11">
        <w:trPr>
          <w:trHeight w:val="20"/>
          <w:jc w:val="center"/>
        </w:trPr>
        <w:tc>
          <w:tcPr>
            <w:tcW w:w="1129" w:type="dxa"/>
            <w:vAlign w:val="center"/>
            <w:hideMark/>
          </w:tcPr>
          <w:p w14:paraId="32D01A08"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1986-87</w:t>
            </w:r>
          </w:p>
        </w:tc>
        <w:tc>
          <w:tcPr>
            <w:tcW w:w="1560" w:type="dxa"/>
            <w:vAlign w:val="center"/>
            <w:hideMark/>
          </w:tcPr>
          <w:p w14:paraId="748381BD"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58434</w:t>
            </w:r>
          </w:p>
        </w:tc>
        <w:tc>
          <w:tcPr>
            <w:tcW w:w="1275" w:type="dxa"/>
            <w:vAlign w:val="center"/>
            <w:hideMark/>
          </w:tcPr>
          <w:p w14:paraId="741531E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35981</w:t>
            </w:r>
          </w:p>
        </w:tc>
        <w:tc>
          <w:tcPr>
            <w:tcW w:w="1276" w:type="dxa"/>
            <w:vAlign w:val="center"/>
            <w:hideMark/>
          </w:tcPr>
          <w:p w14:paraId="6C279F9D" w14:textId="2887193B"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22453</w:t>
            </w:r>
          </w:p>
        </w:tc>
        <w:tc>
          <w:tcPr>
            <w:tcW w:w="1418" w:type="dxa"/>
            <w:vAlign w:val="center"/>
            <w:hideMark/>
          </w:tcPr>
          <w:p w14:paraId="4723354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61.58</w:t>
            </w:r>
          </w:p>
        </w:tc>
        <w:tc>
          <w:tcPr>
            <w:tcW w:w="1559" w:type="dxa"/>
            <w:vAlign w:val="center"/>
            <w:hideMark/>
          </w:tcPr>
          <w:p w14:paraId="2CBEFC1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38.42</w:t>
            </w:r>
          </w:p>
        </w:tc>
      </w:tr>
      <w:tr w:rsidR="00D70E11" w:rsidRPr="00D70E11" w14:paraId="0E4EE0EE" w14:textId="77777777" w:rsidTr="00D70E11">
        <w:trPr>
          <w:trHeight w:val="20"/>
          <w:jc w:val="center"/>
        </w:trPr>
        <w:tc>
          <w:tcPr>
            <w:tcW w:w="1129" w:type="dxa"/>
            <w:vAlign w:val="center"/>
            <w:hideMark/>
          </w:tcPr>
          <w:p w14:paraId="2AF307E9"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1987-88 (RE)</w:t>
            </w:r>
          </w:p>
        </w:tc>
        <w:tc>
          <w:tcPr>
            <w:tcW w:w="1560" w:type="dxa"/>
            <w:vAlign w:val="center"/>
            <w:hideMark/>
          </w:tcPr>
          <w:p w14:paraId="48833662"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67349</w:t>
            </w:r>
          </w:p>
        </w:tc>
        <w:tc>
          <w:tcPr>
            <w:tcW w:w="1275" w:type="dxa"/>
            <w:vAlign w:val="center"/>
            <w:hideMark/>
          </w:tcPr>
          <w:p w14:paraId="6CCA250A"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41383</w:t>
            </w:r>
          </w:p>
        </w:tc>
        <w:tc>
          <w:tcPr>
            <w:tcW w:w="1276" w:type="dxa"/>
            <w:vAlign w:val="center"/>
            <w:hideMark/>
          </w:tcPr>
          <w:p w14:paraId="21FBEFDD" w14:textId="5F592D86"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25966</w:t>
            </w:r>
          </w:p>
        </w:tc>
        <w:tc>
          <w:tcPr>
            <w:tcW w:w="1418" w:type="dxa"/>
            <w:vAlign w:val="center"/>
            <w:hideMark/>
          </w:tcPr>
          <w:p w14:paraId="592DB53E"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61.45</w:t>
            </w:r>
          </w:p>
        </w:tc>
        <w:tc>
          <w:tcPr>
            <w:tcW w:w="1559" w:type="dxa"/>
            <w:vAlign w:val="center"/>
            <w:hideMark/>
          </w:tcPr>
          <w:p w14:paraId="498F020F"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38.55</w:t>
            </w:r>
          </w:p>
        </w:tc>
      </w:tr>
      <w:tr w:rsidR="00D70E11" w:rsidRPr="00D70E11" w14:paraId="2A4476BB" w14:textId="77777777" w:rsidTr="00D70E11">
        <w:trPr>
          <w:trHeight w:val="20"/>
          <w:jc w:val="center"/>
        </w:trPr>
        <w:tc>
          <w:tcPr>
            <w:tcW w:w="1129" w:type="dxa"/>
            <w:vAlign w:val="center"/>
            <w:hideMark/>
          </w:tcPr>
          <w:p w14:paraId="0317B80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1988-89 (BE)</w:t>
            </w:r>
          </w:p>
        </w:tc>
        <w:tc>
          <w:tcPr>
            <w:tcW w:w="1560" w:type="dxa"/>
            <w:vAlign w:val="center"/>
            <w:hideMark/>
          </w:tcPr>
          <w:p w14:paraId="3FFB5C14"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74781</w:t>
            </w:r>
          </w:p>
        </w:tc>
        <w:tc>
          <w:tcPr>
            <w:tcW w:w="1275" w:type="dxa"/>
            <w:vAlign w:val="center"/>
            <w:hideMark/>
          </w:tcPr>
          <w:p w14:paraId="290830F4"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45549</w:t>
            </w:r>
          </w:p>
        </w:tc>
        <w:tc>
          <w:tcPr>
            <w:tcW w:w="1276" w:type="dxa"/>
            <w:vAlign w:val="center"/>
            <w:hideMark/>
          </w:tcPr>
          <w:p w14:paraId="3A4AC846" w14:textId="23490138"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29232</w:t>
            </w:r>
          </w:p>
        </w:tc>
        <w:tc>
          <w:tcPr>
            <w:tcW w:w="1418" w:type="dxa"/>
            <w:vAlign w:val="center"/>
            <w:hideMark/>
          </w:tcPr>
          <w:p w14:paraId="61F1F1C8"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60.91</w:t>
            </w:r>
          </w:p>
        </w:tc>
        <w:tc>
          <w:tcPr>
            <w:tcW w:w="1559" w:type="dxa"/>
            <w:vAlign w:val="center"/>
            <w:hideMark/>
          </w:tcPr>
          <w:p w14:paraId="19D56305" w14:textId="77777777" w:rsidR="00D70E11" w:rsidRPr="00D70E11" w:rsidRDefault="00D70E11"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39.09</w:t>
            </w:r>
          </w:p>
        </w:tc>
      </w:tr>
    </w:tbl>
    <w:p w14:paraId="62681A0A" w14:textId="77777777" w:rsidR="0076296D" w:rsidRPr="00645A34" w:rsidRDefault="0076296D" w:rsidP="00D70E11">
      <w:pPr>
        <w:spacing w:after="0"/>
        <w:ind w:left="1440"/>
        <w:jc w:val="both"/>
        <w:rPr>
          <w:rFonts w:ascii="Times New Roman" w:hAnsi="Times New Roman" w:cs="Times New Roman"/>
          <w:b/>
          <w:bCs/>
          <w:sz w:val="14"/>
          <w:szCs w:val="14"/>
        </w:rPr>
      </w:pPr>
      <w:proofErr w:type="gramStart"/>
      <w:r w:rsidRPr="00645A34">
        <w:rPr>
          <w:rFonts w:ascii="Times New Roman" w:hAnsi="Times New Roman" w:cs="Times New Roman"/>
          <w:b/>
          <w:bCs/>
          <w:sz w:val="14"/>
          <w:szCs w:val="14"/>
        </w:rPr>
        <w:t>Note :</w:t>
      </w:r>
      <w:proofErr w:type="gramEnd"/>
      <w:r w:rsidRPr="00645A34">
        <w:rPr>
          <w:rFonts w:ascii="Times New Roman" w:hAnsi="Times New Roman" w:cs="Times New Roman"/>
          <w:b/>
          <w:bCs/>
          <w:sz w:val="14"/>
          <w:szCs w:val="14"/>
        </w:rPr>
        <w:t xml:space="preserve"> </w:t>
      </w:r>
      <w:r w:rsidR="007C2970" w:rsidRPr="00645A34">
        <w:rPr>
          <w:rFonts w:ascii="Times New Roman" w:hAnsi="Times New Roman" w:cs="Times New Roman"/>
          <w:sz w:val="14"/>
          <w:szCs w:val="14"/>
        </w:rPr>
        <w:t>State include union territories</w:t>
      </w:r>
      <w:r w:rsidR="00CB294D" w:rsidRPr="00645A34">
        <w:rPr>
          <w:rFonts w:ascii="Times New Roman" w:hAnsi="Times New Roman" w:cs="Times New Roman"/>
          <w:sz w:val="14"/>
          <w:szCs w:val="14"/>
        </w:rPr>
        <w:t>.</w:t>
      </w:r>
    </w:p>
    <w:p w14:paraId="247D3E1D" w14:textId="293E8F99" w:rsidR="0076296D" w:rsidRPr="00C0399E" w:rsidRDefault="007C2970" w:rsidP="00D70E11">
      <w:pPr>
        <w:spacing w:after="0"/>
        <w:ind w:left="1440"/>
        <w:jc w:val="both"/>
        <w:rPr>
          <w:rFonts w:ascii="Times New Roman" w:hAnsi="Times New Roman" w:cs="Times New Roman"/>
          <w:b/>
          <w:bCs/>
          <w:sz w:val="14"/>
          <w:szCs w:val="14"/>
        </w:rPr>
      </w:pPr>
      <w:r w:rsidRPr="00645A34">
        <w:rPr>
          <w:rFonts w:ascii="Times New Roman" w:hAnsi="Times New Roman" w:cs="Times New Roman"/>
          <w:b/>
          <w:bCs/>
          <w:sz w:val="14"/>
          <w:szCs w:val="14"/>
        </w:rPr>
        <w:t>Source:</w:t>
      </w:r>
      <w:r w:rsidRPr="00645A34">
        <w:rPr>
          <w:rFonts w:ascii="Times New Roman" w:hAnsi="Times New Roman" w:cs="Times New Roman"/>
          <w:sz w:val="14"/>
          <w:szCs w:val="14"/>
        </w:rPr>
        <w:t> Indian Economic Statistics - Public Finance, Ministry of Finance, Government of India</w:t>
      </w:r>
      <w:r w:rsidR="00CB294D" w:rsidRPr="00645A34">
        <w:rPr>
          <w:rFonts w:ascii="Times New Roman" w:hAnsi="Times New Roman" w:cs="Times New Roman"/>
          <w:sz w:val="14"/>
          <w:szCs w:val="14"/>
        </w:rPr>
        <w:t>.</w:t>
      </w:r>
    </w:p>
    <w:p w14:paraId="749B0D1B" w14:textId="77777777" w:rsidR="00C0399E" w:rsidRPr="00D70E11" w:rsidRDefault="00C0399E" w:rsidP="00EC10FA">
      <w:pPr>
        <w:spacing w:after="0" w:line="240" w:lineRule="auto"/>
        <w:jc w:val="center"/>
        <w:rPr>
          <w:rFonts w:ascii="Times New Roman" w:hAnsi="Times New Roman" w:cs="Times New Roman"/>
          <w:b/>
          <w:bCs/>
          <w:sz w:val="20"/>
          <w:szCs w:val="18"/>
        </w:rPr>
      </w:pPr>
      <w:r w:rsidRPr="00D70E11">
        <w:rPr>
          <w:rFonts w:ascii="Times New Roman" w:hAnsi="Times New Roman" w:cs="Times New Roman"/>
          <w:b/>
          <w:bCs/>
          <w:sz w:val="20"/>
          <w:szCs w:val="18"/>
        </w:rPr>
        <w:t>TABLE B.3.4</w:t>
      </w:r>
    </w:p>
    <w:p w14:paraId="137D92FA" w14:textId="376FF85F" w:rsidR="00294D85" w:rsidRPr="00645A34" w:rsidRDefault="00C0399E" w:rsidP="00EC10FA">
      <w:pPr>
        <w:spacing w:after="0" w:line="240" w:lineRule="auto"/>
        <w:jc w:val="center"/>
      </w:pPr>
      <w:r w:rsidRPr="00D70E11">
        <w:rPr>
          <w:rFonts w:ascii="Times New Roman" w:hAnsi="Times New Roman" w:cs="Times New Roman"/>
          <w:b/>
          <w:bCs/>
          <w:sz w:val="20"/>
          <w:szCs w:val="18"/>
        </w:rPr>
        <w:t xml:space="preserve">Composition of State Revenues </w:t>
      </w:r>
      <w:r w:rsidR="00294D85" w:rsidRPr="00D70E11">
        <w:rPr>
          <w:rFonts w:ascii="Times New Roman" w:hAnsi="Times New Roman" w:cs="Times New Roman"/>
          <w:b/>
          <w:bCs/>
          <w:sz w:val="20"/>
          <w:szCs w:val="18"/>
        </w:rPr>
        <w:br/>
      </w:r>
      <w:bookmarkStart w:id="138" w:name="_Toc221293030"/>
      <w:r w:rsidR="00D70E11">
        <w:rPr>
          <w:rFonts w:ascii="Times New Roman" w:hAnsi="Times New Roman" w:cs="Times New Roman"/>
          <w:i/>
          <w:iCs/>
          <w:sz w:val="18"/>
          <w:szCs w:val="18"/>
        </w:rPr>
        <w:t xml:space="preserve"> </w:t>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D70E11">
        <w:rPr>
          <w:rFonts w:ascii="Times New Roman" w:hAnsi="Times New Roman" w:cs="Times New Roman"/>
          <w:i/>
          <w:iCs/>
          <w:sz w:val="18"/>
          <w:szCs w:val="18"/>
        </w:rPr>
        <w:tab/>
      </w:r>
      <w:r w:rsidR="00294D85" w:rsidRPr="00D70E11">
        <w:rPr>
          <w:rFonts w:ascii="Times New Roman" w:hAnsi="Times New Roman" w:cs="Times New Roman"/>
          <w:i/>
          <w:iCs/>
          <w:sz w:val="18"/>
          <w:szCs w:val="18"/>
        </w:rPr>
        <w:t>(Percent)</w:t>
      </w:r>
      <w:bookmarkEnd w:id="138"/>
    </w:p>
    <w:tbl>
      <w:tblPr>
        <w:tblStyle w:val="TableGrid"/>
        <w:tblW w:w="0" w:type="auto"/>
        <w:jc w:val="center"/>
        <w:tblLook w:val="04A0" w:firstRow="1" w:lastRow="0" w:firstColumn="1" w:lastColumn="0" w:noHBand="0" w:noVBand="1"/>
      </w:tblPr>
      <w:tblGrid>
        <w:gridCol w:w="1101"/>
        <w:gridCol w:w="1245"/>
        <w:gridCol w:w="1418"/>
        <w:gridCol w:w="1417"/>
        <w:gridCol w:w="851"/>
        <w:gridCol w:w="850"/>
        <w:gridCol w:w="1134"/>
      </w:tblGrid>
      <w:tr w:rsidR="00294D85" w:rsidRPr="00D70E11" w14:paraId="0BB75592" w14:textId="77777777" w:rsidTr="00D70E11">
        <w:trPr>
          <w:trHeight w:val="20"/>
          <w:jc w:val="center"/>
        </w:trPr>
        <w:tc>
          <w:tcPr>
            <w:tcW w:w="0" w:type="auto"/>
            <w:vAlign w:val="center"/>
            <w:hideMark/>
          </w:tcPr>
          <w:p w14:paraId="537C45FA"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Year</w:t>
            </w:r>
          </w:p>
        </w:tc>
        <w:tc>
          <w:tcPr>
            <w:tcW w:w="1245" w:type="dxa"/>
            <w:vAlign w:val="center"/>
            <w:hideMark/>
          </w:tcPr>
          <w:p w14:paraId="61957AC2"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States' Own Tax Revenue</w:t>
            </w:r>
          </w:p>
        </w:tc>
        <w:tc>
          <w:tcPr>
            <w:tcW w:w="1418" w:type="dxa"/>
            <w:vAlign w:val="center"/>
            <w:hideMark/>
          </w:tcPr>
          <w:p w14:paraId="3E9356BE"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Devolution Of Taxes Revenue</w:t>
            </w:r>
          </w:p>
        </w:tc>
        <w:tc>
          <w:tcPr>
            <w:tcW w:w="1417" w:type="dxa"/>
            <w:vAlign w:val="center"/>
            <w:hideMark/>
          </w:tcPr>
          <w:p w14:paraId="357390F0"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States' Non-Tax Revenue</w:t>
            </w:r>
          </w:p>
        </w:tc>
        <w:tc>
          <w:tcPr>
            <w:tcW w:w="851" w:type="dxa"/>
            <w:vAlign w:val="center"/>
            <w:hideMark/>
          </w:tcPr>
          <w:p w14:paraId="2D8C1FD4"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Grants-In-Aid</w:t>
            </w:r>
          </w:p>
        </w:tc>
        <w:tc>
          <w:tcPr>
            <w:tcW w:w="850" w:type="dxa"/>
            <w:vAlign w:val="center"/>
            <w:hideMark/>
          </w:tcPr>
          <w:p w14:paraId="73ADDD48"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Total Revenue</w:t>
            </w:r>
          </w:p>
        </w:tc>
        <w:tc>
          <w:tcPr>
            <w:tcW w:w="1134" w:type="dxa"/>
            <w:vAlign w:val="center"/>
            <w:hideMark/>
          </w:tcPr>
          <w:p w14:paraId="700F081E" w14:textId="77777777" w:rsidR="00294D85" w:rsidRPr="00D70E11" w:rsidRDefault="00294D85" w:rsidP="0076296D">
            <w:pPr>
              <w:pStyle w:val="NoSpacing"/>
              <w:jc w:val="center"/>
              <w:rPr>
                <w:rFonts w:ascii="Times New Roman" w:hAnsi="Times New Roman" w:cs="Times New Roman"/>
                <w:b/>
                <w:bCs/>
                <w:sz w:val="16"/>
                <w:szCs w:val="16"/>
              </w:rPr>
            </w:pPr>
            <w:r w:rsidRPr="00D70E11">
              <w:rPr>
                <w:rFonts w:ascii="Times New Roman" w:hAnsi="Times New Roman" w:cs="Times New Roman"/>
                <w:b/>
                <w:bCs/>
                <w:sz w:val="16"/>
                <w:szCs w:val="16"/>
              </w:rPr>
              <w:t>States' Own Revenue</w:t>
            </w:r>
          </w:p>
        </w:tc>
      </w:tr>
      <w:tr w:rsidR="00294D85" w:rsidRPr="00D70E11" w14:paraId="162E8C28" w14:textId="77777777" w:rsidTr="00D70E11">
        <w:trPr>
          <w:trHeight w:val="20"/>
          <w:jc w:val="center"/>
        </w:trPr>
        <w:tc>
          <w:tcPr>
            <w:tcW w:w="0" w:type="auto"/>
            <w:vAlign w:val="center"/>
            <w:hideMark/>
          </w:tcPr>
          <w:p w14:paraId="135A807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1974-75</w:t>
            </w:r>
          </w:p>
        </w:tc>
        <w:tc>
          <w:tcPr>
            <w:tcW w:w="1245" w:type="dxa"/>
            <w:vAlign w:val="center"/>
            <w:hideMark/>
          </w:tcPr>
          <w:p w14:paraId="11FEC7BF"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48.32</w:t>
            </w:r>
          </w:p>
        </w:tc>
        <w:tc>
          <w:tcPr>
            <w:tcW w:w="1418" w:type="dxa"/>
            <w:vAlign w:val="center"/>
            <w:hideMark/>
          </w:tcPr>
          <w:p w14:paraId="7641A98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20.47</w:t>
            </w:r>
          </w:p>
        </w:tc>
        <w:tc>
          <w:tcPr>
            <w:tcW w:w="1417" w:type="dxa"/>
            <w:vAlign w:val="center"/>
            <w:hideMark/>
          </w:tcPr>
          <w:p w14:paraId="501264C8"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13.57</w:t>
            </w:r>
          </w:p>
        </w:tc>
        <w:tc>
          <w:tcPr>
            <w:tcW w:w="851" w:type="dxa"/>
            <w:vAlign w:val="center"/>
            <w:hideMark/>
          </w:tcPr>
          <w:p w14:paraId="6CB12F7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17.64</w:t>
            </w:r>
          </w:p>
        </w:tc>
        <w:tc>
          <w:tcPr>
            <w:tcW w:w="850" w:type="dxa"/>
            <w:vAlign w:val="center"/>
            <w:hideMark/>
          </w:tcPr>
          <w:p w14:paraId="6477984A"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5B1A2C9E"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61.89</w:t>
            </w:r>
          </w:p>
        </w:tc>
      </w:tr>
      <w:tr w:rsidR="00294D85" w:rsidRPr="00D70E11" w14:paraId="7D0B6F18" w14:textId="77777777" w:rsidTr="00D70E11">
        <w:trPr>
          <w:trHeight w:val="20"/>
          <w:jc w:val="center"/>
        </w:trPr>
        <w:tc>
          <w:tcPr>
            <w:tcW w:w="0" w:type="auto"/>
            <w:vAlign w:val="center"/>
            <w:hideMark/>
          </w:tcPr>
          <w:p w14:paraId="12C39D7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1975-76</w:t>
            </w:r>
          </w:p>
        </w:tc>
        <w:tc>
          <w:tcPr>
            <w:tcW w:w="1245" w:type="dxa"/>
            <w:vAlign w:val="center"/>
            <w:hideMark/>
          </w:tcPr>
          <w:p w14:paraId="757BD9C1"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47.80</w:t>
            </w:r>
          </w:p>
        </w:tc>
        <w:tc>
          <w:tcPr>
            <w:tcW w:w="1418" w:type="dxa"/>
            <w:vAlign w:val="center"/>
            <w:hideMark/>
          </w:tcPr>
          <w:p w14:paraId="2B5DBBE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21.39</w:t>
            </w:r>
          </w:p>
        </w:tc>
        <w:tc>
          <w:tcPr>
            <w:tcW w:w="1417" w:type="dxa"/>
            <w:vAlign w:val="center"/>
            <w:hideMark/>
          </w:tcPr>
          <w:p w14:paraId="45FF1B7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13.62</w:t>
            </w:r>
          </w:p>
        </w:tc>
        <w:tc>
          <w:tcPr>
            <w:tcW w:w="851" w:type="dxa"/>
            <w:vAlign w:val="center"/>
            <w:hideMark/>
          </w:tcPr>
          <w:p w14:paraId="66CE3A3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17.19</w:t>
            </w:r>
          </w:p>
        </w:tc>
        <w:tc>
          <w:tcPr>
            <w:tcW w:w="850" w:type="dxa"/>
            <w:vAlign w:val="center"/>
            <w:hideMark/>
          </w:tcPr>
          <w:p w14:paraId="109C257A"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5156767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61.42</w:t>
            </w:r>
          </w:p>
        </w:tc>
      </w:tr>
      <w:tr w:rsidR="00294D85" w:rsidRPr="00D70E11" w14:paraId="6F9CFDCA" w14:textId="77777777" w:rsidTr="00D70E11">
        <w:trPr>
          <w:trHeight w:val="20"/>
          <w:jc w:val="center"/>
        </w:trPr>
        <w:tc>
          <w:tcPr>
            <w:tcW w:w="0" w:type="auto"/>
            <w:vAlign w:val="center"/>
            <w:hideMark/>
          </w:tcPr>
          <w:p w14:paraId="3AB1F0F1"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1976-77</w:t>
            </w:r>
          </w:p>
        </w:tc>
        <w:tc>
          <w:tcPr>
            <w:tcW w:w="1245" w:type="dxa"/>
            <w:vAlign w:val="center"/>
            <w:hideMark/>
          </w:tcPr>
          <w:p w14:paraId="577525E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46.94</w:t>
            </w:r>
          </w:p>
        </w:tc>
        <w:tc>
          <w:tcPr>
            <w:tcW w:w="1418" w:type="dxa"/>
            <w:vAlign w:val="center"/>
            <w:hideMark/>
          </w:tcPr>
          <w:p w14:paraId="443B7B9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19.42</w:t>
            </w:r>
          </w:p>
        </w:tc>
        <w:tc>
          <w:tcPr>
            <w:tcW w:w="1417" w:type="dxa"/>
            <w:vAlign w:val="center"/>
            <w:hideMark/>
          </w:tcPr>
          <w:p w14:paraId="3901089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15.33</w:t>
            </w:r>
          </w:p>
        </w:tc>
        <w:tc>
          <w:tcPr>
            <w:tcW w:w="851" w:type="dxa"/>
            <w:vAlign w:val="center"/>
            <w:hideMark/>
          </w:tcPr>
          <w:p w14:paraId="77B2DC7F"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18.32</w:t>
            </w:r>
          </w:p>
        </w:tc>
        <w:tc>
          <w:tcPr>
            <w:tcW w:w="850" w:type="dxa"/>
            <w:vAlign w:val="center"/>
            <w:hideMark/>
          </w:tcPr>
          <w:p w14:paraId="23C1DFF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5FB9A287"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62.26</w:t>
            </w:r>
          </w:p>
        </w:tc>
      </w:tr>
      <w:tr w:rsidR="00294D85" w:rsidRPr="00D70E11" w14:paraId="15D5BF6E" w14:textId="77777777" w:rsidTr="00D70E11">
        <w:trPr>
          <w:trHeight w:val="20"/>
          <w:jc w:val="center"/>
        </w:trPr>
        <w:tc>
          <w:tcPr>
            <w:tcW w:w="0" w:type="auto"/>
            <w:vAlign w:val="center"/>
            <w:hideMark/>
          </w:tcPr>
          <w:p w14:paraId="74C12C0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1977-78</w:t>
            </w:r>
          </w:p>
        </w:tc>
        <w:tc>
          <w:tcPr>
            <w:tcW w:w="1245" w:type="dxa"/>
            <w:vAlign w:val="center"/>
            <w:hideMark/>
          </w:tcPr>
          <w:p w14:paraId="31C346A3"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46.57</w:t>
            </w:r>
          </w:p>
        </w:tc>
        <w:tc>
          <w:tcPr>
            <w:tcW w:w="1418" w:type="dxa"/>
            <w:vAlign w:val="center"/>
            <w:hideMark/>
          </w:tcPr>
          <w:p w14:paraId="2B79AE5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19.21</w:t>
            </w:r>
          </w:p>
        </w:tc>
        <w:tc>
          <w:tcPr>
            <w:tcW w:w="1417" w:type="dxa"/>
            <w:vAlign w:val="center"/>
            <w:hideMark/>
          </w:tcPr>
          <w:p w14:paraId="7620F76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13.92</w:t>
            </w:r>
          </w:p>
        </w:tc>
        <w:tc>
          <w:tcPr>
            <w:tcW w:w="851" w:type="dxa"/>
            <w:vAlign w:val="center"/>
            <w:hideMark/>
          </w:tcPr>
          <w:p w14:paraId="69BFD0B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20.29</w:t>
            </w:r>
          </w:p>
        </w:tc>
        <w:tc>
          <w:tcPr>
            <w:tcW w:w="850" w:type="dxa"/>
            <w:vAlign w:val="center"/>
            <w:hideMark/>
          </w:tcPr>
          <w:p w14:paraId="7EB682B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99.99</w:t>
            </w:r>
          </w:p>
        </w:tc>
        <w:tc>
          <w:tcPr>
            <w:tcW w:w="1134" w:type="dxa"/>
            <w:vAlign w:val="center"/>
            <w:hideMark/>
          </w:tcPr>
          <w:p w14:paraId="3AC0E9CA"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60.49</w:t>
            </w:r>
          </w:p>
        </w:tc>
      </w:tr>
      <w:tr w:rsidR="00294D85" w:rsidRPr="00D70E11" w14:paraId="0EA2D137" w14:textId="77777777" w:rsidTr="00D70E11">
        <w:trPr>
          <w:trHeight w:val="20"/>
          <w:jc w:val="center"/>
        </w:trPr>
        <w:tc>
          <w:tcPr>
            <w:tcW w:w="0" w:type="auto"/>
            <w:vAlign w:val="center"/>
            <w:hideMark/>
          </w:tcPr>
          <w:p w14:paraId="441D98A8"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1978-79</w:t>
            </w:r>
          </w:p>
        </w:tc>
        <w:tc>
          <w:tcPr>
            <w:tcW w:w="1245" w:type="dxa"/>
            <w:vAlign w:val="center"/>
            <w:hideMark/>
          </w:tcPr>
          <w:p w14:paraId="3E7639A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45.45</w:t>
            </w:r>
          </w:p>
        </w:tc>
        <w:tc>
          <w:tcPr>
            <w:tcW w:w="1418" w:type="dxa"/>
            <w:vAlign w:val="center"/>
            <w:hideMark/>
          </w:tcPr>
          <w:p w14:paraId="588D8BB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17.74</w:t>
            </w:r>
          </w:p>
        </w:tc>
        <w:tc>
          <w:tcPr>
            <w:tcW w:w="1417" w:type="dxa"/>
            <w:vAlign w:val="center"/>
            <w:hideMark/>
          </w:tcPr>
          <w:p w14:paraId="4936989E"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13.48</w:t>
            </w:r>
          </w:p>
        </w:tc>
        <w:tc>
          <w:tcPr>
            <w:tcW w:w="851" w:type="dxa"/>
            <w:vAlign w:val="center"/>
            <w:hideMark/>
          </w:tcPr>
          <w:p w14:paraId="4E89BFC3"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23.33</w:t>
            </w:r>
          </w:p>
        </w:tc>
        <w:tc>
          <w:tcPr>
            <w:tcW w:w="850" w:type="dxa"/>
            <w:vAlign w:val="center"/>
            <w:hideMark/>
          </w:tcPr>
          <w:p w14:paraId="158E77EE"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159BA20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58.93</w:t>
            </w:r>
          </w:p>
        </w:tc>
      </w:tr>
      <w:tr w:rsidR="00294D85" w:rsidRPr="00D70E11" w14:paraId="471A2763" w14:textId="77777777" w:rsidTr="00D70E11">
        <w:trPr>
          <w:trHeight w:val="20"/>
          <w:jc w:val="center"/>
        </w:trPr>
        <w:tc>
          <w:tcPr>
            <w:tcW w:w="0" w:type="auto"/>
            <w:vAlign w:val="center"/>
            <w:hideMark/>
          </w:tcPr>
          <w:p w14:paraId="1740DE1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1979-80</w:t>
            </w:r>
          </w:p>
        </w:tc>
        <w:tc>
          <w:tcPr>
            <w:tcW w:w="1245" w:type="dxa"/>
            <w:vAlign w:val="center"/>
            <w:hideMark/>
          </w:tcPr>
          <w:p w14:paraId="2E94A0D3"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43.71</w:t>
            </w:r>
          </w:p>
        </w:tc>
        <w:tc>
          <w:tcPr>
            <w:tcW w:w="1418" w:type="dxa"/>
            <w:vAlign w:val="center"/>
            <w:hideMark/>
          </w:tcPr>
          <w:p w14:paraId="16EA864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26.09</w:t>
            </w:r>
          </w:p>
        </w:tc>
        <w:tc>
          <w:tcPr>
            <w:tcW w:w="1417" w:type="dxa"/>
            <w:vAlign w:val="center"/>
            <w:hideMark/>
          </w:tcPr>
          <w:p w14:paraId="3E2E6ADF"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13.35</w:t>
            </w:r>
          </w:p>
        </w:tc>
        <w:tc>
          <w:tcPr>
            <w:tcW w:w="851" w:type="dxa"/>
            <w:vAlign w:val="center"/>
            <w:hideMark/>
          </w:tcPr>
          <w:p w14:paraId="15C6CA6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16.85</w:t>
            </w:r>
          </w:p>
        </w:tc>
        <w:tc>
          <w:tcPr>
            <w:tcW w:w="850" w:type="dxa"/>
            <w:vAlign w:val="center"/>
            <w:hideMark/>
          </w:tcPr>
          <w:p w14:paraId="064E84C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0D4910E7"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57.05</w:t>
            </w:r>
          </w:p>
        </w:tc>
      </w:tr>
      <w:tr w:rsidR="00294D85" w:rsidRPr="00D70E11" w14:paraId="29181CF9" w14:textId="77777777" w:rsidTr="00D70E11">
        <w:trPr>
          <w:trHeight w:val="20"/>
          <w:jc w:val="center"/>
        </w:trPr>
        <w:tc>
          <w:tcPr>
            <w:tcW w:w="0" w:type="auto"/>
            <w:vAlign w:val="center"/>
            <w:hideMark/>
          </w:tcPr>
          <w:p w14:paraId="5165E70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1980-81</w:t>
            </w:r>
          </w:p>
        </w:tc>
        <w:tc>
          <w:tcPr>
            <w:tcW w:w="1245" w:type="dxa"/>
            <w:vAlign w:val="center"/>
            <w:hideMark/>
          </w:tcPr>
          <w:p w14:paraId="4D5C6D6D"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44.32</w:t>
            </w:r>
          </w:p>
        </w:tc>
        <w:tc>
          <w:tcPr>
            <w:tcW w:w="1418" w:type="dxa"/>
            <w:vAlign w:val="center"/>
            <w:hideMark/>
          </w:tcPr>
          <w:p w14:paraId="6DDEDAC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25.20</w:t>
            </w:r>
          </w:p>
        </w:tc>
        <w:tc>
          <w:tcPr>
            <w:tcW w:w="1417" w:type="dxa"/>
            <w:vAlign w:val="center"/>
            <w:hideMark/>
          </w:tcPr>
          <w:p w14:paraId="197C82AD"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12.15</w:t>
            </w:r>
          </w:p>
        </w:tc>
        <w:tc>
          <w:tcPr>
            <w:tcW w:w="851" w:type="dxa"/>
            <w:vAlign w:val="center"/>
            <w:hideMark/>
          </w:tcPr>
          <w:p w14:paraId="58ADF41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18.33</w:t>
            </w:r>
          </w:p>
        </w:tc>
        <w:tc>
          <w:tcPr>
            <w:tcW w:w="850" w:type="dxa"/>
            <w:vAlign w:val="center"/>
            <w:hideMark/>
          </w:tcPr>
          <w:p w14:paraId="247A4757"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020F896F"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56.47</w:t>
            </w:r>
          </w:p>
        </w:tc>
      </w:tr>
      <w:tr w:rsidR="00294D85" w:rsidRPr="00D70E11" w14:paraId="1D7E0EE8" w14:textId="77777777" w:rsidTr="00D70E11">
        <w:trPr>
          <w:trHeight w:val="20"/>
          <w:jc w:val="center"/>
        </w:trPr>
        <w:tc>
          <w:tcPr>
            <w:tcW w:w="0" w:type="auto"/>
            <w:vAlign w:val="center"/>
            <w:hideMark/>
          </w:tcPr>
          <w:p w14:paraId="1D1C586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1981-82</w:t>
            </w:r>
          </w:p>
        </w:tc>
        <w:tc>
          <w:tcPr>
            <w:tcW w:w="1245" w:type="dxa"/>
            <w:vAlign w:val="center"/>
            <w:hideMark/>
          </w:tcPr>
          <w:p w14:paraId="637806A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47.39</w:t>
            </w:r>
          </w:p>
        </w:tc>
        <w:tc>
          <w:tcPr>
            <w:tcW w:w="1418" w:type="dxa"/>
            <w:vAlign w:val="center"/>
            <w:hideMark/>
          </w:tcPr>
          <w:p w14:paraId="0EA477C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24.32</w:t>
            </w:r>
          </w:p>
        </w:tc>
        <w:tc>
          <w:tcPr>
            <w:tcW w:w="1417" w:type="dxa"/>
            <w:vAlign w:val="center"/>
            <w:hideMark/>
          </w:tcPr>
          <w:p w14:paraId="56940D3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12.06</w:t>
            </w:r>
          </w:p>
        </w:tc>
        <w:tc>
          <w:tcPr>
            <w:tcW w:w="851" w:type="dxa"/>
            <w:vAlign w:val="center"/>
            <w:hideMark/>
          </w:tcPr>
          <w:p w14:paraId="08CB135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16.22</w:t>
            </w:r>
          </w:p>
        </w:tc>
        <w:tc>
          <w:tcPr>
            <w:tcW w:w="850" w:type="dxa"/>
            <w:vAlign w:val="center"/>
            <w:hideMark/>
          </w:tcPr>
          <w:p w14:paraId="71B1410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99.99</w:t>
            </w:r>
          </w:p>
        </w:tc>
        <w:tc>
          <w:tcPr>
            <w:tcW w:w="1134" w:type="dxa"/>
            <w:vAlign w:val="center"/>
            <w:hideMark/>
          </w:tcPr>
          <w:p w14:paraId="3818764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59.45</w:t>
            </w:r>
          </w:p>
        </w:tc>
      </w:tr>
      <w:tr w:rsidR="00294D85" w:rsidRPr="00D70E11" w14:paraId="7A1AB81C" w14:textId="77777777" w:rsidTr="00D70E11">
        <w:trPr>
          <w:trHeight w:val="20"/>
          <w:jc w:val="center"/>
        </w:trPr>
        <w:tc>
          <w:tcPr>
            <w:tcW w:w="0" w:type="auto"/>
            <w:vAlign w:val="center"/>
            <w:hideMark/>
          </w:tcPr>
          <w:p w14:paraId="080EABF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1982-83</w:t>
            </w:r>
          </w:p>
        </w:tc>
        <w:tc>
          <w:tcPr>
            <w:tcW w:w="1245" w:type="dxa"/>
            <w:vAlign w:val="center"/>
            <w:hideMark/>
          </w:tcPr>
          <w:p w14:paraId="35E78908"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47.16</w:t>
            </w:r>
          </w:p>
        </w:tc>
        <w:tc>
          <w:tcPr>
            <w:tcW w:w="1418" w:type="dxa"/>
            <w:vAlign w:val="center"/>
            <w:hideMark/>
          </w:tcPr>
          <w:p w14:paraId="0E80C62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22.89</w:t>
            </w:r>
          </w:p>
        </w:tc>
        <w:tc>
          <w:tcPr>
            <w:tcW w:w="1417" w:type="dxa"/>
            <w:vAlign w:val="center"/>
            <w:hideMark/>
          </w:tcPr>
          <w:p w14:paraId="7D3DD21A"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12.25</w:t>
            </w:r>
          </w:p>
        </w:tc>
        <w:tc>
          <w:tcPr>
            <w:tcW w:w="851" w:type="dxa"/>
            <w:vAlign w:val="center"/>
            <w:hideMark/>
          </w:tcPr>
          <w:p w14:paraId="47B221C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17.70</w:t>
            </w:r>
          </w:p>
        </w:tc>
        <w:tc>
          <w:tcPr>
            <w:tcW w:w="850" w:type="dxa"/>
            <w:vAlign w:val="center"/>
            <w:hideMark/>
          </w:tcPr>
          <w:p w14:paraId="17C6FD0E"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47E6BE2E"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59.41</w:t>
            </w:r>
          </w:p>
        </w:tc>
      </w:tr>
      <w:tr w:rsidR="00294D85" w:rsidRPr="00D70E11" w14:paraId="32E59991" w14:textId="77777777" w:rsidTr="00D70E11">
        <w:trPr>
          <w:trHeight w:val="20"/>
          <w:jc w:val="center"/>
        </w:trPr>
        <w:tc>
          <w:tcPr>
            <w:tcW w:w="0" w:type="auto"/>
            <w:vAlign w:val="center"/>
            <w:hideMark/>
          </w:tcPr>
          <w:p w14:paraId="6E15FC5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1983-84</w:t>
            </w:r>
          </w:p>
        </w:tc>
        <w:tc>
          <w:tcPr>
            <w:tcW w:w="1245" w:type="dxa"/>
            <w:vAlign w:val="center"/>
            <w:hideMark/>
          </w:tcPr>
          <w:p w14:paraId="5C7F4EB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47.16</w:t>
            </w:r>
          </w:p>
        </w:tc>
        <w:tc>
          <w:tcPr>
            <w:tcW w:w="1418" w:type="dxa"/>
            <w:vAlign w:val="center"/>
            <w:hideMark/>
          </w:tcPr>
          <w:p w14:paraId="1AFC38C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21.86</w:t>
            </w:r>
          </w:p>
        </w:tc>
        <w:tc>
          <w:tcPr>
            <w:tcW w:w="1417" w:type="dxa"/>
            <w:vAlign w:val="center"/>
            <w:hideMark/>
          </w:tcPr>
          <w:p w14:paraId="591AB96D"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12.25</w:t>
            </w:r>
          </w:p>
        </w:tc>
        <w:tc>
          <w:tcPr>
            <w:tcW w:w="851" w:type="dxa"/>
            <w:vAlign w:val="center"/>
            <w:hideMark/>
          </w:tcPr>
          <w:p w14:paraId="71487EF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18.74</w:t>
            </w:r>
          </w:p>
        </w:tc>
        <w:tc>
          <w:tcPr>
            <w:tcW w:w="850" w:type="dxa"/>
            <w:vAlign w:val="center"/>
            <w:hideMark/>
          </w:tcPr>
          <w:p w14:paraId="053B809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56C0861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59.41</w:t>
            </w:r>
          </w:p>
        </w:tc>
      </w:tr>
      <w:tr w:rsidR="00294D85" w:rsidRPr="00D70E11" w14:paraId="06AAE39E" w14:textId="77777777" w:rsidTr="00D70E11">
        <w:trPr>
          <w:trHeight w:val="20"/>
          <w:jc w:val="center"/>
        </w:trPr>
        <w:tc>
          <w:tcPr>
            <w:tcW w:w="0" w:type="auto"/>
            <w:vAlign w:val="center"/>
            <w:hideMark/>
          </w:tcPr>
          <w:p w14:paraId="2D412EC3"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1984-85</w:t>
            </w:r>
          </w:p>
        </w:tc>
        <w:tc>
          <w:tcPr>
            <w:tcW w:w="1245" w:type="dxa"/>
            <w:vAlign w:val="center"/>
            <w:hideMark/>
          </w:tcPr>
          <w:p w14:paraId="38ABB593"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47.07</w:t>
            </w:r>
          </w:p>
        </w:tc>
        <w:tc>
          <w:tcPr>
            <w:tcW w:w="1418" w:type="dxa"/>
            <w:vAlign w:val="center"/>
            <w:hideMark/>
          </w:tcPr>
          <w:p w14:paraId="2E618DDD"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22.32</w:t>
            </w:r>
          </w:p>
        </w:tc>
        <w:tc>
          <w:tcPr>
            <w:tcW w:w="1417" w:type="dxa"/>
            <w:vAlign w:val="center"/>
            <w:hideMark/>
          </w:tcPr>
          <w:p w14:paraId="6F8C195F"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11.33</w:t>
            </w:r>
          </w:p>
        </w:tc>
        <w:tc>
          <w:tcPr>
            <w:tcW w:w="851" w:type="dxa"/>
            <w:vAlign w:val="center"/>
            <w:hideMark/>
          </w:tcPr>
          <w:p w14:paraId="6CB6334A"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19.27</w:t>
            </w:r>
          </w:p>
        </w:tc>
        <w:tc>
          <w:tcPr>
            <w:tcW w:w="850" w:type="dxa"/>
            <w:vAlign w:val="center"/>
            <w:hideMark/>
          </w:tcPr>
          <w:p w14:paraId="24DA9FB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99.99</w:t>
            </w:r>
          </w:p>
        </w:tc>
        <w:tc>
          <w:tcPr>
            <w:tcW w:w="1134" w:type="dxa"/>
            <w:vAlign w:val="center"/>
            <w:hideMark/>
          </w:tcPr>
          <w:p w14:paraId="722EC0E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58.40</w:t>
            </w:r>
          </w:p>
        </w:tc>
      </w:tr>
      <w:tr w:rsidR="00294D85" w:rsidRPr="00D70E11" w14:paraId="05F8E05D" w14:textId="77777777" w:rsidTr="00D70E11">
        <w:trPr>
          <w:trHeight w:val="20"/>
          <w:jc w:val="center"/>
        </w:trPr>
        <w:tc>
          <w:tcPr>
            <w:tcW w:w="0" w:type="auto"/>
            <w:vAlign w:val="center"/>
            <w:hideMark/>
          </w:tcPr>
          <w:p w14:paraId="64EAD061"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lastRenderedPageBreak/>
              <w:t>1985-86</w:t>
            </w:r>
          </w:p>
        </w:tc>
        <w:tc>
          <w:tcPr>
            <w:tcW w:w="1245" w:type="dxa"/>
            <w:vAlign w:val="center"/>
            <w:hideMark/>
          </w:tcPr>
          <w:p w14:paraId="1F490AF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45.75</w:t>
            </w:r>
          </w:p>
        </w:tc>
        <w:tc>
          <w:tcPr>
            <w:tcW w:w="1418" w:type="dxa"/>
            <w:vAlign w:val="center"/>
            <w:hideMark/>
          </w:tcPr>
          <w:p w14:paraId="50370EAF"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22.75</w:t>
            </w:r>
          </w:p>
        </w:tc>
        <w:tc>
          <w:tcPr>
            <w:tcW w:w="1417" w:type="dxa"/>
            <w:vAlign w:val="center"/>
            <w:hideMark/>
          </w:tcPr>
          <w:p w14:paraId="6B3B1EB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10.95</w:t>
            </w:r>
          </w:p>
        </w:tc>
        <w:tc>
          <w:tcPr>
            <w:tcW w:w="851" w:type="dxa"/>
            <w:vAlign w:val="center"/>
            <w:hideMark/>
          </w:tcPr>
          <w:p w14:paraId="56158BA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20.54</w:t>
            </w:r>
          </w:p>
        </w:tc>
        <w:tc>
          <w:tcPr>
            <w:tcW w:w="850" w:type="dxa"/>
            <w:vAlign w:val="center"/>
            <w:hideMark/>
          </w:tcPr>
          <w:p w14:paraId="139C2CD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99.99</w:t>
            </w:r>
          </w:p>
        </w:tc>
        <w:tc>
          <w:tcPr>
            <w:tcW w:w="1134" w:type="dxa"/>
            <w:vAlign w:val="center"/>
            <w:hideMark/>
          </w:tcPr>
          <w:p w14:paraId="696FED8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56.70</w:t>
            </w:r>
          </w:p>
        </w:tc>
      </w:tr>
      <w:tr w:rsidR="00294D85" w:rsidRPr="00D70E11" w14:paraId="28588101" w14:textId="77777777" w:rsidTr="00D70E11">
        <w:trPr>
          <w:trHeight w:val="20"/>
          <w:jc w:val="center"/>
        </w:trPr>
        <w:tc>
          <w:tcPr>
            <w:tcW w:w="0" w:type="auto"/>
            <w:vAlign w:val="center"/>
            <w:hideMark/>
          </w:tcPr>
          <w:p w14:paraId="37C414B8"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1986-87</w:t>
            </w:r>
          </w:p>
        </w:tc>
        <w:tc>
          <w:tcPr>
            <w:tcW w:w="1245" w:type="dxa"/>
            <w:vAlign w:val="center"/>
            <w:hideMark/>
          </w:tcPr>
          <w:p w14:paraId="785BB4E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46.42</w:t>
            </w:r>
          </w:p>
        </w:tc>
        <w:tc>
          <w:tcPr>
            <w:tcW w:w="1418" w:type="dxa"/>
            <w:vAlign w:val="center"/>
            <w:hideMark/>
          </w:tcPr>
          <w:p w14:paraId="7136F40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23.23</w:t>
            </w:r>
          </w:p>
        </w:tc>
        <w:tc>
          <w:tcPr>
            <w:tcW w:w="1417" w:type="dxa"/>
            <w:vAlign w:val="center"/>
            <w:hideMark/>
          </w:tcPr>
          <w:p w14:paraId="643BA34D"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10.78</w:t>
            </w:r>
          </w:p>
        </w:tc>
        <w:tc>
          <w:tcPr>
            <w:tcW w:w="851" w:type="dxa"/>
            <w:vAlign w:val="center"/>
            <w:hideMark/>
          </w:tcPr>
          <w:p w14:paraId="5EF4B23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19.57</w:t>
            </w:r>
          </w:p>
        </w:tc>
        <w:tc>
          <w:tcPr>
            <w:tcW w:w="850" w:type="dxa"/>
            <w:vAlign w:val="center"/>
            <w:hideMark/>
          </w:tcPr>
          <w:p w14:paraId="6C64C6E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712EB81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57.20</w:t>
            </w:r>
          </w:p>
        </w:tc>
      </w:tr>
      <w:tr w:rsidR="00294D85" w:rsidRPr="00D70E11" w14:paraId="2CBB5120" w14:textId="77777777" w:rsidTr="00D70E11">
        <w:trPr>
          <w:trHeight w:val="20"/>
          <w:jc w:val="center"/>
        </w:trPr>
        <w:tc>
          <w:tcPr>
            <w:tcW w:w="0" w:type="auto"/>
            <w:vAlign w:val="center"/>
            <w:hideMark/>
          </w:tcPr>
          <w:p w14:paraId="6659BD9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1987-88 (RE)</w:t>
            </w:r>
          </w:p>
        </w:tc>
        <w:tc>
          <w:tcPr>
            <w:tcW w:w="1245" w:type="dxa"/>
            <w:vAlign w:val="center"/>
            <w:hideMark/>
          </w:tcPr>
          <w:p w14:paraId="1BCADC2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45.82</w:t>
            </w:r>
          </w:p>
        </w:tc>
        <w:tc>
          <w:tcPr>
            <w:tcW w:w="1418" w:type="dxa"/>
            <w:vAlign w:val="center"/>
            <w:hideMark/>
          </w:tcPr>
          <w:p w14:paraId="506C10D7"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22.87</w:t>
            </w:r>
          </w:p>
        </w:tc>
        <w:tc>
          <w:tcPr>
            <w:tcW w:w="1417" w:type="dxa"/>
            <w:vAlign w:val="center"/>
            <w:hideMark/>
          </w:tcPr>
          <w:p w14:paraId="5CCEF80C"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10.58</w:t>
            </w:r>
          </w:p>
        </w:tc>
        <w:tc>
          <w:tcPr>
            <w:tcW w:w="851" w:type="dxa"/>
            <w:vAlign w:val="center"/>
            <w:hideMark/>
          </w:tcPr>
          <w:p w14:paraId="0B0ECC7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20.72</w:t>
            </w:r>
          </w:p>
        </w:tc>
        <w:tc>
          <w:tcPr>
            <w:tcW w:w="850" w:type="dxa"/>
            <w:vAlign w:val="center"/>
            <w:hideMark/>
          </w:tcPr>
          <w:p w14:paraId="51C5A3A0"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99.99</w:t>
            </w:r>
          </w:p>
        </w:tc>
        <w:tc>
          <w:tcPr>
            <w:tcW w:w="1134" w:type="dxa"/>
            <w:vAlign w:val="center"/>
            <w:hideMark/>
          </w:tcPr>
          <w:p w14:paraId="26232125"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56.40</w:t>
            </w:r>
          </w:p>
        </w:tc>
      </w:tr>
      <w:tr w:rsidR="00294D85" w:rsidRPr="00D70E11" w14:paraId="42BEC401" w14:textId="77777777" w:rsidTr="00D70E11">
        <w:trPr>
          <w:trHeight w:val="20"/>
          <w:jc w:val="center"/>
        </w:trPr>
        <w:tc>
          <w:tcPr>
            <w:tcW w:w="0" w:type="auto"/>
            <w:vAlign w:val="center"/>
            <w:hideMark/>
          </w:tcPr>
          <w:p w14:paraId="2923F372"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1988-89 (BE)</w:t>
            </w:r>
          </w:p>
        </w:tc>
        <w:tc>
          <w:tcPr>
            <w:tcW w:w="1245" w:type="dxa"/>
            <w:vAlign w:val="center"/>
            <w:hideMark/>
          </w:tcPr>
          <w:p w14:paraId="633F2671"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47.31</w:t>
            </w:r>
          </w:p>
        </w:tc>
        <w:tc>
          <w:tcPr>
            <w:tcW w:w="1418" w:type="dxa"/>
            <w:vAlign w:val="center"/>
            <w:hideMark/>
          </w:tcPr>
          <w:p w14:paraId="08B2A894"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23.00</w:t>
            </w:r>
          </w:p>
        </w:tc>
        <w:tc>
          <w:tcPr>
            <w:tcW w:w="1417" w:type="dxa"/>
            <w:vAlign w:val="center"/>
            <w:hideMark/>
          </w:tcPr>
          <w:p w14:paraId="48F9DBF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10.50</w:t>
            </w:r>
          </w:p>
        </w:tc>
        <w:tc>
          <w:tcPr>
            <w:tcW w:w="851" w:type="dxa"/>
            <w:vAlign w:val="center"/>
            <w:hideMark/>
          </w:tcPr>
          <w:p w14:paraId="3478F816"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19.19</w:t>
            </w:r>
          </w:p>
        </w:tc>
        <w:tc>
          <w:tcPr>
            <w:tcW w:w="850" w:type="dxa"/>
            <w:vAlign w:val="center"/>
            <w:hideMark/>
          </w:tcPr>
          <w:p w14:paraId="1FD23DE9"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100.00</w:t>
            </w:r>
          </w:p>
        </w:tc>
        <w:tc>
          <w:tcPr>
            <w:tcW w:w="1134" w:type="dxa"/>
            <w:vAlign w:val="center"/>
            <w:hideMark/>
          </w:tcPr>
          <w:p w14:paraId="5F9DC5EB" w14:textId="77777777" w:rsidR="00294D85" w:rsidRPr="00D70E11" w:rsidRDefault="00294D85" w:rsidP="0076296D">
            <w:pPr>
              <w:pStyle w:val="NoSpacing"/>
              <w:jc w:val="center"/>
              <w:rPr>
                <w:rFonts w:ascii="Times New Roman" w:hAnsi="Times New Roman" w:cs="Times New Roman"/>
                <w:sz w:val="16"/>
                <w:szCs w:val="16"/>
              </w:rPr>
            </w:pPr>
            <w:r w:rsidRPr="00D70E11">
              <w:rPr>
                <w:rFonts w:ascii="Times New Roman" w:hAnsi="Times New Roman" w:cs="Times New Roman"/>
                <w:sz w:val="16"/>
                <w:szCs w:val="16"/>
              </w:rPr>
              <w:t>57.80</w:t>
            </w:r>
          </w:p>
        </w:tc>
      </w:tr>
    </w:tbl>
    <w:p w14:paraId="2B7228F7" w14:textId="77777777" w:rsidR="00294D85" w:rsidRPr="00D70E11" w:rsidRDefault="00294D85" w:rsidP="00D70E11">
      <w:pPr>
        <w:ind w:left="1440"/>
        <w:jc w:val="both"/>
        <w:rPr>
          <w:rFonts w:ascii="Times New Roman" w:hAnsi="Times New Roman" w:cs="Times New Roman"/>
          <w:sz w:val="16"/>
          <w:szCs w:val="16"/>
        </w:rPr>
      </w:pPr>
      <w:r w:rsidRPr="00D70E11">
        <w:rPr>
          <w:rFonts w:ascii="Times New Roman" w:hAnsi="Times New Roman" w:cs="Times New Roman"/>
          <w:b/>
          <w:bCs/>
          <w:sz w:val="16"/>
          <w:szCs w:val="16"/>
        </w:rPr>
        <w:t>Source:</w:t>
      </w:r>
      <w:r w:rsidRPr="00D70E11">
        <w:rPr>
          <w:rFonts w:ascii="Times New Roman" w:hAnsi="Times New Roman" w:cs="Times New Roman"/>
          <w:sz w:val="16"/>
          <w:szCs w:val="16"/>
        </w:rPr>
        <w:t> Indian Economic Statistics - Public Finance, Ministry of Finance, Government of India</w:t>
      </w:r>
    </w:p>
    <w:p w14:paraId="53A320BE" w14:textId="05BDE880" w:rsidR="00294D85" w:rsidRPr="00871AA9" w:rsidRDefault="00871AA9" w:rsidP="00C6267F">
      <w:pPr>
        <w:pStyle w:val="Heading5"/>
        <w:rPr>
          <w:szCs w:val="24"/>
        </w:rPr>
      </w:pPr>
      <w:r>
        <w:br/>
      </w:r>
      <w:bookmarkStart w:id="139" w:name="_Toc222399517"/>
      <w:r w:rsidR="00294D85" w:rsidRPr="00AA6AF4">
        <w:t>ESTIMATION OF RELATIVE TAXABLE CAPACITY - A METHODOLOGICAL NOTE</w:t>
      </w:r>
      <w:bookmarkEnd w:id="139"/>
    </w:p>
    <w:p w14:paraId="342BF736" w14:textId="3D02D3BB" w:rsidR="00294D85" w:rsidRPr="00AA6AF4" w:rsidRDefault="00294D85" w:rsidP="00645A34">
      <w:pPr>
        <w:pStyle w:val="Heading6"/>
        <w:keepNext w:val="0"/>
        <w:keepLines w:val="0"/>
        <w:ind w:left="0" w:firstLine="284"/>
      </w:pPr>
      <w:r w:rsidRPr="00AA6AF4">
        <w:t>A major purpose of general revenue sharing in a federation is to enable every State to provide ‘reasonable’ standards of public services. This requires that those States with lower taxable capacities and those with additional cost disabilities should be assisted to overcome these shortcomings. The First Finance Commission, while laying down the principles governing grants-in-aid, stated that the criterion of budgetary needs should be supplemented with, inter alia, tax effort, to ensure self-help by each of the States in financing its expenditure.</w:t>
      </w:r>
    </w:p>
    <w:p w14:paraId="15B79276" w14:textId="64BBCA71" w:rsidR="00294D85" w:rsidRPr="00AA6AF4" w:rsidRDefault="00294D85" w:rsidP="00645A34">
      <w:pPr>
        <w:pStyle w:val="Heading6"/>
        <w:keepNext w:val="0"/>
        <w:keepLines w:val="0"/>
        <w:ind w:left="0" w:firstLine="284"/>
      </w:pPr>
      <w:r w:rsidRPr="00AA6AF4">
        <w:t>Measurement of relative taxable capacity and effort has thus acquired a pivotal significance, but presents a difficult task. The Fifth Finance Commission was the first to take account of the tax effort of the States. However, it measured "effort" merely as the ratio of tax revenue to State Domestic Product (SDP) of the States. The Seventh Finance Commission, which computed a ‘revenue equalisation formula’, measured it by regressing tax revenue on SDP in a linear model. Similarly, the Planning Commission, which assigns a 10 per cent weight for tax effort in the modified Gadgil formula for distributing Plan assistance to the States, takes the tax-SDP ratio as a measure of tax effort.</w:t>
      </w:r>
    </w:p>
    <w:p w14:paraId="3E7A630D" w14:textId="7FB13971" w:rsidR="00294D85" w:rsidRPr="00AA6AF4" w:rsidRDefault="00294D85" w:rsidP="00645A34">
      <w:pPr>
        <w:pStyle w:val="Heading6"/>
        <w:keepNext w:val="0"/>
        <w:keepLines w:val="0"/>
        <w:ind w:left="0" w:firstLine="284"/>
      </w:pPr>
      <w:r w:rsidRPr="00AA6AF4">
        <w:t xml:space="preserve"> Weaknesses of the tax-SDP ratio as a measure of tax effort are well-known. To recapitulate, first, this measure assumes that the taxable capacity of a State depends on only one factor, SDP. The tax bases of the States are diverse and although all taxes are ultimately paid out of incomes or wealth, SDP cannot be construed as the sole determinant. The economic structure of the States determined by such factors as degree of urbanisation, industrialisation and monetisation affects their taxable capacity. These factors can also affect administrative efficiency and, thus, tax compliance. Further, commodity taxes predominate in the States and in a </w:t>
      </w:r>
      <w:proofErr w:type="gramStart"/>
      <w:r w:rsidRPr="00AA6AF4">
        <w:t>tax</w:t>
      </w:r>
      <w:proofErr w:type="gramEnd"/>
      <w:r w:rsidRPr="00AA6AF4">
        <w:t xml:space="preserve"> regime marked by exemptions and high differentiation in tax rates, the distribution of consumption (income) may also determine the States’ relative taxable capacity.</w:t>
      </w:r>
    </w:p>
    <w:p w14:paraId="57FBDED9" w14:textId="67151220" w:rsidR="00294D85" w:rsidRPr="0076296D" w:rsidRDefault="00294D85" w:rsidP="00645A34">
      <w:pPr>
        <w:pStyle w:val="Heading6"/>
        <w:keepNext w:val="0"/>
        <w:keepLines w:val="0"/>
        <w:ind w:left="0" w:firstLine="284"/>
      </w:pPr>
      <w:r w:rsidRPr="00AA6AF4">
        <w:t>Second, the assumption of proportionality between incomes and tax revenues is unlikely to hold in the Indian context because of the system of exemptions and rate differentiation introduced to impart progressivity in the States’ commodity tax structure. As the proportion of tax-exempt and leniently taxed items is likely to be larger in the total consumption (income) of poorer States, the tax-SDP ratio as a measure of tax effort could impart a bias against them. Thus, this measure of tax effort does not adequately take into account the differences in per capita income among the States. Therefore, attempts have been made to develop more satisfactory approaches to measure relative taxable capacity.</w:t>
      </w:r>
    </w:p>
    <w:p w14:paraId="06C74041" w14:textId="114D27C8" w:rsidR="00294D85" w:rsidRPr="00645A34" w:rsidRDefault="00294D85" w:rsidP="00B11AAB">
      <w:pPr>
        <w:jc w:val="center"/>
        <w:rPr>
          <w:rFonts w:ascii="Times New Roman" w:hAnsi="Times New Roman" w:cs="Times New Roman"/>
          <w:sz w:val="20"/>
          <w:szCs w:val="20"/>
        </w:rPr>
      </w:pPr>
      <w:r w:rsidRPr="00645A34">
        <w:rPr>
          <w:rFonts w:ascii="Times New Roman" w:hAnsi="Times New Roman" w:cs="Times New Roman"/>
          <w:b/>
          <w:bCs/>
          <w:sz w:val="20"/>
          <w:szCs w:val="20"/>
        </w:rPr>
        <w:t>Estimating Taxable Capacity – Alternative Approaches</w:t>
      </w:r>
    </w:p>
    <w:p w14:paraId="24F8B8A9" w14:textId="0040250A" w:rsidR="00294D85" w:rsidRPr="00AA6AF4" w:rsidRDefault="00294D85" w:rsidP="00645A34">
      <w:pPr>
        <w:pStyle w:val="Heading6"/>
        <w:keepNext w:val="0"/>
        <w:keepLines w:val="0"/>
        <w:ind w:left="0" w:firstLine="284"/>
      </w:pPr>
      <w:r w:rsidRPr="00AA6AF4">
        <w:t>Broadly, there are two approaches to measuring relative tax capacity and effort¹: (</w:t>
      </w:r>
      <w:proofErr w:type="spellStart"/>
      <w:r w:rsidRPr="00AA6AF4">
        <w:t>i</w:t>
      </w:r>
      <w:proofErr w:type="spellEnd"/>
      <w:r w:rsidRPr="00AA6AF4">
        <w:t>) the Aggregate Regression (AR) approach and (ii) the Representative Tax System (RTS) approach.</w:t>
      </w:r>
    </w:p>
    <w:p w14:paraId="74D0E3F6" w14:textId="6770B781" w:rsidR="00294D85" w:rsidRPr="00AA6AF4" w:rsidRDefault="00294D85" w:rsidP="00645A34">
      <w:pPr>
        <w:pStyle w:val="Heading6"/>
        <w:keepNext w:val="0"/>
        <w:keepLines w:val="0"/>
        <w:ind w:left="0" w:firstLine="284"/>
      </w:pPr>
      <w:r w:rsidRPr="00AA6AF4">
        <w:t>In the AR approach, tax revenue, either per capita or as a ratio of SDP, is regressed on capacity indicators such as per capita income/consumption, the structure of the economy, the level of urbanisation and monetisation and the inter-personal distribution of incomes, in a linear or a loglinear model. The regression coefficients indicate the ‘average’ effective rates of tax. By substituting the actual values of the independent variables in the estimated equation, taxable capacity is estimated².</w:t>
      </w:r>
    </w:p>
    <w:p w14:paraId="0CC659E5" w14:textId="4C57FE5B" w:rsidR="00294D85" w:rsidRPr="00AA6AF4" w:rsidRDefault="00294D85" w:rsidP="00645A34">
      <w:pPr>
        <w:pStyle w:val="Heading6"/>
        <w:keepNext w:val="0"/>
        <w:keepLines w:val="0"/>
        <w:ind w:left="0" w:firstLine="284"/>
      </w:pPr>
      <w:r w:rsidRPr="00AA6AF4">
        <w:t xml:space="preserve">In the RTS approach, first, the bases for each tax levied by the States are quantified and </w:t>
      </w:r>
      <w:proofErr w:type="gramStart"/>
      <w:r w:rsidRPr="00AA6AF4">
        <w:t>then,</w:t>
      </w:r>
      <w:proofErr w:type="gramEnd"/>
      <w:r w:rsidRPr="00AA6AF4">
        <w:t xml:space="preserve"> by applying the all-States average effective tax rates (the total yield from the tax divided by the total value of the tax base) on the tax bases of individual States, an estimate of their taxable capacity is derived. By adding up the taxable capacity of individual taxes, the aggregate taxable capacity of a State is estimated³.</w:t>
      </w:r>
    </w:p>
    <w:p w14:paraId="30734DAE" w14:textId="79B09840" w:rsidR="00294D85" w:rsidRPr="00AA6AF4" w:rsidRDefault="00294D85" w:rsidP="00645A34">
      <w:pPr>
        <w:pStyle w:val="Heading6"/>
        <w:keepNext w:val="0"/>
        <w:keepLines w:val="0"/>
        <w:ind w:left="0" w:firstLine="284"/>
      </w:pPr>
      <w:r w:rsidRPr="00AA6AF4">
        <w:t>There are merits and flaws in both the approaches. The AR approach does not call for highly disaggregated data and also takes account of the inter-dependence of the tax bases. Sometimes, the effective rate itself can vary with the size of the tax base (the effective tax rate may be higher in a more developed State than in a less developed State), which is captured in the regression approach. However, in the regression approach the estimates are not derived by relating tax revenue to the actual or proxy tax bases, but only to macro capacity indicators. Although tax-wise analysis is possible under this method, aggregating the results from such a micro analysis takes away the advantage of taking into account the inter-dependence of the tax bases. The major weakness of the method, however, is that the residual error is taken to represent tax effort. The omission of variables representing effort in the equation may impart a bias in the regression estimates.</w:t>
      </w:r>
    </w:p>
    <w:p w14:paraId="5277DB7C" w14:textId="0560376F" w:rsidR="00294D85" w:rsidRPr="00AA6AF4" w:rsidRDefault="00294D85" w:rsidP="00645A34">
      <w:pPr>
        <w:pStyle w:val="Heading6"/>
        <w:keepNext w:val="0"/>
        <w:keepLines w:val="0"/>
        <w:ind w:left="0" w:firstLine="284"/>
      </w:pPr>
      <w:r w:rsidRPr="00AA6AF4">
        <w:t>On the other hand, the RTS approach has the merit of relating tax revenue to the individual tax bases or their proxies and, therefore, the logic of the method is more transparent. However, this method faces certain other problems, primarily the non-availability of data on tax bases at the required level of disaggregation. This becomes crucial given the complex tax systems in the States. In the case of Sales Tax alone, there are differences in the points of levy (first-point, last-point), the number of taxable points (single-point, double-point and multi-point) and the nominal rates of tax. In fact, the number of nominal tax rates levied ranges from six in the case of Orissa to as many as nineteen in the cases of Bihar and Gujarat. In such a situation, obtaining data on the tax bases as also the tax yield from each of the tax rate categories becomes virtually impossible. Consequently, the tax bases are aggregated into some manageable groups and tax base proxies are employed wherever the actual tax base data are not available. Because of this type of aggregation, the use of simple average effective tax rates may impart a bias against the poorer States. For example, if all the food articles are taken as one category of Sales Tax base then, given that the nominal rates on foodgrains are lower than the rates on more expensive food articles (such as packed food and dry fruits), and further that the proportion of consumption of the former in a poorer State would be higher, using a uniform average tax rate for all the food articles might work against these States.</w:t>
      </w:r>
    </w:p>
    <w:p w14:paraId="5B2C04A1" w14:textId="6CAD0FA7" w:rsidR="00294D85" w:rsidRPr="00AA6AF4" w:rsidRDefault="00294D85" w:rsidP="00645A34">
      <w:pPr>
        <w:pStyle w:val="Heading6"/>
        <w:keepNext w:val="0"/>
        <w:keepLines w:val="0"/>
        <w:ind w:left="0" w:firstLine="284"/>
      </w:pPr>
      <w:r w:rsidRPr="00AA6AF4">
        <w:t xml:space="preserve">Considering the problems associated with the two approaches, in our first report, we adopted the Aggregate Regression approach for the major States, with one modification. This involved the pooling of cross-section observations over the period from 1980-81 to 1984-85 in a covariance model. The object was to improve the efficiency of the estimates by </w:t>
      </w:r>
      <w:proofErr w:type="spellStart"/>
      <w:r w:rsidRPr="00AA6AF4">
        <w:t>endogenising</w:t>
      </w:r>
      <w:proofErr w:type="spellEnd"/>
      <w:r w:rsidRPr="00AA6AF4">
        <w:t xml:space="preserve"> tax effort rather than taking it as a part of the </w:t>
      </w:r>
      <w:r w:rsidRPr="00AA6AF4">
        <w:lastRenderedPageBreak/>
        <w:t xml:space="preserve">random error term. In order to impart homogeneity in the assessment and to reduce inequity, the States were grouped into high income, middle income and </w:t>
      </w:r>
      <w:proofErr w:type="gramStart"/>
      <w:r w:rsidRPr="00AA6AF4">
        <w:t>low income</w:t>
      </w:r>
      <w:proofErr w:type="gramEnd"/>
      <w:r w:rsidRPr="00AA6AF4">
        <w:t xml:space="preserve"> categories. Per capita tax revenues were regressed on per capita SDP, proportion of non-primary sectoral SDP and the Lorenz ratio of consumption expenditure distribution. By substituting the actual values of the independent variables and the average value of the State dummies (standardised to add to unity) in the equations we obtained the estimates of taxable capacity in the base year (1984-85).</w:t>
      </w:r>
    </w:p>
    <w:p w14:paraId="42BA737F" w14:textId="33DC2F4D" w:rsidR="00294D85" w:rsidRPr="00AA6AF4" w:rsidRDefault="00294D85" w:rsidP="00645A34">
      <w:pPr>
        <w:pStyle w:val="Heading6"/>
        <w:keepNext w:val="0"/>
        <w:keepLines w:val="0"/>
        <w:ind w:left="0" w:firstLine="284"/>
      </w:pPr>
      <w:r w:rsidRPr="00AA6AF4">
        <w:t xml:space="preserve">For the period 1990-95, however, we stated in our first report </w:t>
      </w:r>
      <w:proofErr w:type="gramStart"/>
      <w:r w:rsidRPr="00AA6AF4">
        <w:t>that :</w:t>
      </w:r>
      <w:proofErr w:type="gramEnd"/>
      <w:r w:rsidRPr="00AA6AF4">
        <w:t xml:space="preserve"> "Taxable capacity will be estimated on the basis of an appropriate method such as the representative tax system approach or the regression approach". We decided in favour of the Representative Tax System approach because it gives us tax by tax estimates and as these estimates are derived by the use of relevant tax bases (actual and proxy), they are more easily understood and, therefore, find easier acceptance.</w:t>
      </w:r>
    </w:p>
    <w:p w14:paraId="05EDB545" w14:textId="14EECCEB" w:rsidR="00294D85" w:rsidRPr="00AA6AF4" w:rsidRDefault="00294D85" w:rsidP="00645A34">
      <w:pPr>
        <w:pStyle w:val="Heading6"/>
        <w:keepNext w:val="0"/>
        <w:keepLines w:val="0"/>
        <w:ind w:left="0" w:firstLine="284"/>
      </w:pPr>
      <w:r w:rsidRPr="00AA6AF4">
        <w:t xml:space="preserve"> We entrusted the National Institute of Public Finance and Policy with the task of collecting the requisite data from the States for applying the RTS approach and deriving estimates of taxable capacity. The NIPFP was also requested to carry out preliminary exercises in order to enable us to identify the more suitable methodology given data availability and other considerations. In their exploratory exercise, the NIPFP found that they could not apply the simple RTS methodology mainly due to data limitations. Their exercise showed us that we had to marry the RTS approach with the regression methodology. Using the NIPFP study as the base, we estimated tax-wise capacities by employing cross-section regression average tax rates. These estimates were presented at a meeting of experts convened by us. They expressed the view that, considering the complexities in the States’ tax systems and the non-availability of reliable disaggregated data on tax bases or their proxies, the RTS method of determining taxable capacity might not be appropriate. Nor did they approve of the computation of taxable capacity on the basis of cross-section regressions for the major taxes. They suggested that the covariance method used in the first report could be used with certain improvements. While a few of the experts indicated their preference for the aggregate model that was used for the first report, but based on a longer time series with both slope and intercept dummies specified, others were of the view that a </w:t>
      </w:r>
      <w:proofErr w:type="gramStart"/>
      <w:r w:rsidRPr="00AA6AF4">
        <w:t>tax by tax</w:t>
      </w:r>
      <w:proofErr w:type="gramEnd"/>
      <w:r w:rsidRPr="00AA6AF4">
        <w:t xml:space="preserve"> analysis would have more information content and would be useful in identifying the problem areas for raising tax revenues in different States. They further suggested that norms should be evolved separately for the States grouped on the basis of their level of development as the variables representing per capita SDP in the equation may not adequately capture the heterogeneity among the States.</w:t>
      </w:r>
    </w:p>
    <w:p w14:paraId="0B4FBB49" w14:textId="3F8765B7" w:rsidR="00294D85" w:rsidRPr="00AA6AF4" w:rsidRDefault="00294D85" w:rsidP="00645A34">
      <w:pPr>
        <w:pStyle w:val="Heading6"/>
        <w:keepNext w:val="0"/>
        <w:keepLines w:val="0"/>
        <w:ind w:left="0" w:firstLine="284"/>
      </w:pPr>
      <w:r w:rsidRPr="00AA6AF4">
        <w:t xml:space="preserve"> We have sought to improve upon the model used for estimating taxable capacity in the first report by incorporating some additional variables such as road and railway length per thousand population and variance of lognormal distribution in consumer expenditures instead of the Lorenz ratio. However, there were no significant differences in the results of taxable capacity derived by this model from the results obtained in the first report. A possible improvement could have been a longer time series and introduction of slope dummies in addition to the intercept dummies for the States. However, the data on the New Series (1981) of SDP are available only for the period 1980-81 to 1984-85 and putting slope dummies in addition to intercept dummies for the States would have seriously restricted the degrees of freedom and affected the efficiency of the estimates. Also, although we are interested in only the aggregate taxable capacity estimates, the </w:t>
      </w:r>
      <w:proofErr w:type="gramStart"/>
      <w:r w:rsidRPr="00AA6AF4">
        <w:t>tax by tax</w:t>
      </w:r>
      <w:proofErr w:type="gramEnd"/>
      <w:r w:rsidRPr="00AA6AF4">
        <w:t xml:space="preserve"> analysis would enable us to incorporate a larger number of determinants in the analysis and choose appropriate functions for each of the taxes.</w:t>
      </w:r>
    </w:p>
    <w:p w14:paraId="0CD0A13C" w14:textId="77777777" w:rsidR="00294D85" w:rsidRPr="00645A34" w:rsidRDefault="00294D85" w:rsidP="00B11AAB">
      <w:pPr>
        <w:spacing w:after="0"/>
        <w:jc w:val="center"/>
        <w:rPr>
          <w:rFonts w:ascii="Times New Roman" w:hAnsi="Times New Roman" w:cs="Times New Roman"/>
          <w:sz w:val="20"/>
          <w:szCs w:val="20"/>
        </w:rPr>
      </w:pPr>
      <w:r w:rsidRPr="00645A34">
        <w:rPr>
          <w:rFonts w:ascii="Times New Roman" w:hAnsi="Times New Roman" w:cs="Times New Roman"/>
          <w:b/>
          <w:bCs/>
          <w:sz w:val="20"/>
          <w:szCs w:val="20"/>
        </w:rPr>
        <w:t>Methodology</w:t>
      </w:r>
    </w:p>
    <w:p w14:paraId="3AC639BD" w14:textId="34CC45D6" w:rsidR="00294D85" w:rsidRPr="00AA6AF4" w:rsidRDefault="00294D85" w:rsidP="00645A34">
      <w:pPr>
        <w:pStyle w:val="Heading6"/>
        <w:keepNext w:val="0"/>
        <w:keepLines w:val="0"/>
        <w:ind w:left="0" w:firstLine="284"/>
      </w:pPr>
      <w:r w:rsidRPr="00AA6AF4">
        <w:t>On a balance of considerations, we preferred to re-estimate relative taxable capacities of the States from each of the major taxes and summed them up to arrive at an estimate of aggregate taxable capacity. For the purpose, we have taken separately six major taxes, namely, (</w:t>
      </w:r>
      <w:proofErr w:type="spellStart"/>
      <w:r w:rsidRPr="00AA6AF4">
        <w:t>i</w:t>
      </w:r>
      <w:proofErr w:type="spellEnd"/>
      <w:r w:rsidRPr="00AA6AF4">
        <w:t xml:space="preserve">) Sales Tax (including Central Sales Tax and Purchase Tax on Sugarcane), (ii) State Excise Duties, (iii) Stamp Duty and Registration Fees, (iv) Motor Vehicles Tax and Passengers and Goods Tax, (v) Entertainment Tax, (vi) taxes on agricultural land and incomes, and a residual category, other taxes. As the revenues from the taxes on agricultural land and incomes and other taxes were not amenable to proper statistical analysis, we preferred to make projections on the basis of the actuals. It is necessary to mention in this connection that the revenue from cess on mines and minerals has been excluded from agricultural taxes wherever it is shown under the head and included </w:t>
      </w:r>
      <w:proofErr w:type="spellStart"/>
      <w:r w:rsidRPr="00AA6AF4">
        <w:t>alongwith</w:t>
      </w:r>
      <w:proofErr w:type="spellEnd"/>
      <w:r w:rsidRPr="00AA6AF4">
        <w:t xml:space="preserve"> royalty on mines for the sake of uniformity. As the revenue from agricultural taxes is projected on the basis of actuals, transferring the cess to the non-tax revenue side does not affect the estimates of revenue capacity in the States.</w:t>
      </w:r>
    </w:p>
    <w:p w14:paraId="61A1D150" w14:textId="2DC60248" w:rsidR="00294D85" w:rsidRPr="00AA6AF4" w:rsidRDefault="00294D85" w:rsidP="00645A34">
      <w:pPr>
        <w:pStyle w:val="Heading6"/>
        <w:keepNext w:val="0"/>
        <w:keepLines w:val="0"/>
        <w:ind w:left="0" w:firstLine="284"/>
      </w:pPr>
      <w:r w:rsidRPr="00AA6AF4">
        <w:t xml:space="preserve">Taxable capacity of the States for the remaining five major taxes has been estimated by employing the model using pooled time-series and cross-section observations. Although the model is similar to the one employed in the first report, two important differences may be noted. First, as already mentioned, unlike the aggregate model used in the first report, the estimates have been made separately for the five major taxes. As the behaviour of different taxes could differ, this disaggregated analysis allows us to choose the best fitting functional form of the equations for each tax. Further, in a disaggregated analysis we can relate individual taxes to relevant bases or proxies. Thus, essentially, the method is a modified Representative Tax System approach wherein instead of the arithmetic mean effective tax rate, the regression average rate is taken as the norm. Secondly, while the first report used the quasi-restricted "fixed effects" model with a common slope but varying intercepts across the States, the present model is a completely restricted one - with both intercepts and slope parameters assumed to be common across the States. However, we have allowed the model to capture the inter-temporal shifts through intercept time dummies. In other words, in the model, we estimate the </w:t>
      </w:r>
      <w:proofErr w:type="spellStart"/>
      <w:r w:rsidRPr="00AA6AF4">
        <w:t>behaviourial</w:t>
      </w:r>
      <w:proofErr w:type="spellEnd"/>
      <w:r w:rsidRPr="00AA6AF4">
        <w:t xml:space="preserve"> relationships between each of the major taxes and the relevant tax base proxies, separating out the ‘shifts’ over time through time dummies, but without separating the State-specific effects. Therefore, unlike in the earlier model where the average value of State dummies had to be substituted </w:t>
      </w:r>
      <w:proofErr w:type="spellStart"/>
      <w:r w:rsidRPr="00AA6AF4">
        <w:t>alongwith</w:t>
      </w:r>
      <w:proofErr w:type="spellEnd"/>
      <w:r w:rsidRPr="00AA6AF4">
        <w:t xml:space="preserve"> the actual values of capacity variables and time dummies to estimate taxable capacity, in the present model, as the State dummies have not been estimated, substitution is done only for the capacity variables and time dummies. In order to reduce heterogeneity in the sample and to evolve equitable norms the States have been grouped into high income, middle income and </w:t>
      </w:r>
      <w:proofErr w:type="gramStart"/>
      <w:r w:rsidRPr="00AA6AF4">
        <w:t>low income</w:t>
      </w:r>
      <w:proofErr w:type="gramEnd"/>
      <w:r w:rsidRPr="00AA6AF4">
        <w:t xml:space="preserve"> categories for the three major taxes, namely, the Sales Tax, Stamp Duty and Registration Fees and Motor Vehicles and Passengers and Goods Taxes. In the case of State Excise Duties, data on the tax base proxies were available only for three years and, therefore, to permit adequate degrees of freedom, the States have been classified into only two categories. In the case of Entertainment Tax, no grouping of the States has been resorted to. The results of the regressions of the major taxes are analysed in what follows.</w:t>
      </w:r>
    </w:p>
    <w:p w14:paraId="17E7D91C" w14:textId="77777777" w:rsidR="00294D85" w:rsidRPr="00645A34" w:rsidRDefault="00294D85" w:rsidP="00B11AAB">
      <w:pPr>
        <w:spacing w:after="0"/>
        <w:jc w:val="center"/>
        <w:rPr>
          <w:rFonts w:ascii="Times New Roman" w:hAnsi="Times New Roman" w:cs="Times New Roman"/>
          <w:sz w:val="20"/>
          <w:szCs w:val="20"/>
        </w:rPr>
      </w:pPr>
      <w:r w:rsidRPr="00645A34">
        <w:rPr>
          <w:rFonts w:ascii="Times New Roman" w:hAnsi="Times New Roman" w:cs="Times New Roman"/>
          <w:b/>
          <w:bCs/>
          <w:sz w:val="20"/>
          <w:szCs w:val="20"/>
        </w:rPr>
        <w:t xml:space="preserve">Analysis Of </w:t>
      </w:r>
      <w:proofErr w:type="gramStart"/>
      <w:r w:rsidRPr="00645A34">
        <w:rPr>
          <w:rFonts w:ascii="Times New Roman" w:hAnsi="Times New Roman" w:cs="Times New Roman"/>
          <w:b/>
          <w:bCs/>
          <w:sz w:val="20"/>
          <w:szCs w:val="20"/>
        </w:rPr>
        <w:t>The</w:t>
      </w:r>
      <w:proofErr w:type="gramEnd"/>
      <w:r w:rsidRPr="00645A34">
        <w:rPr>
          <w:rFonts w:ascii="Times New Roman" w:hAnsi="Times New Roman" w:cs="Times New Roman"/>
          <w:b/>
          <w:bCs/>
          <w:sz w:val="20"/>
          <w:szCs w:val="20"/>
        </w:rPr>
        <w:t xml:space="preserve"> Results</w:t>
      </w:r>
    </w:p>
    <w:p w14:paraId="3480C1FE" w14:textId="1AD32065" w:rsidR="00294D85" w:rsidRPr="00D70E11" w:rsidRDefault="00294D85">
      <w:pPr>
        <w:pStyle w:val="ListParagraph"/>
        <w:numPr>
          <w:ilvl w:val="0"/>
          <w:numId w:val="51"/>
        </w:numPr>
        <w:spacing w:after="0"/>
        <w:rPr>
          <w:rFonts w:ascii="Times New Roman" w:hAnsi="Times New Roman" w:cs="Times New Roman"/>
          <w:sz w:val="20"/>
          <w:szCs w:val="20"/>
        </w:rPr>
      </w:pPr>
      <w:r w:rsidRPr="00D70E11">
        <w:rPr>
          <w:rFonts w:ascii="Times New Roman" w:hAnsi="Times New Roman" w:cs="Times New Roman"/>
          <w:b/>
          <w:bCs/>
          <w:sz w:val="20"/>
          <w:szCs w:val="20"/>
        </w:rPr>
        <w:t>Sales Tax:</w:t>
      </w:r>
    </w:p>
    <w:p w14:paraId="4A9EF74D" w14:textId="492E2AD2" w:rsidR="00294D85" w:rsidRPr="00AA6AF4" w:rsidRDefault="00294D85" w:rsidP="00645A34">
      <w:pPr>
        <w:pStyle w:val="Heading6"/>
        <w:keepNext w:val="0"/>
        <w:keepLines w:val="0"/>
        <w:ind w:left="0" w:firstLine="284"/>
      </w:pPr>
      <w:r w:rsidRPr="00AA6AF4">
        <w:lastRenderedPageBreak/>
        <w:t>The closest tax base proxy for the Sales Tax is the State Domestic Product and its sectoral composition. Other variables such as proportion of urban population, electricity consumption, road and railway length per thousand persons or thousand sq. km. area and inter-State price differences could also be important in determining the Sales Tax revenues in different States. However, the New Series [1981] data on SDP are available only for the period 1980-81 to 1984-85 and, therefore, we have confined our analysis to this period.</w:t>
      </w:r>
    </w:p>
    <w:p w14:paraId="4F82307E" w14:textId="1218D2E1" w:rsidR="00294D85" w:rsidRPr="00AA6AF4" w:rsidRDefault="00294D85" w:rsidP="00645A34">
      <w:pPr>
        <w:pStyle w:val="Heading6"/>
        <w:keepNext w:val="0"/>
        <w:keepLines w:val="0"/>
        <w:ind w:left="0" w:firstLine="284"/>
      </w:pPr>
      <w:r w:rsidRPr="00AA6AF4">
        <w:t xml:space="preserve">For the reasons mentioned earlier, we have grouped the States into three categories. The results of regression analysis are presented in Table B.4.1. In the case of </w:t>
      </w:r>
      <w:proofErr w:type="gramStart"/>
      <w:r w:rsidRPr="00AA6AF4">
        <w:t>high income</w:t>
      </w:r>
      <w:proofErr w:type="gramEnd"/>
      <w:r w:rsidRPr="00AA6AF4">
        <w:t xml:space="preserve"> States, it may be seen that total SDP and proportion of non-primary sectoral SDP together explain about 98 per cent of variations in the Sales Tax revenues among the States, with the latter variable being significant at one per cent level in a log-linear equation. In the case of </w:t>
      </w:r>
      <w:proofErr w:type="gramStart"/>
      <w:r w:rsidRPr="00AA6AF4">
        <w:t>middle income</w:t>
      </w:r>
      <w:proofErr w:type="gramEnd"/>
      <w:r w:rsidRPr="00AA6AF4">
        <w:t xml:space="preserve"> States, per capita Sales Tax revenue is found to be significantly related to the road and railway length per thousand sq. km. area and per capita electricity consumption in a log-linear model. Both the variables are found to be significant at one per cent level and the R-Bar-Squared of the equation is 0.96. In the case of </w:t>
      </w:r>
      <w:proofErr w:type="gramStart"/>
      <w:r w:rsidRPr="00AA6AF4">
        <w:t>low income</w:t>
      </w:r>
      <w:proofErr w:type="gramEnd"/>
      <w:r w:rsidRPr="00AA6AF4">
        <w:t xml:space="preserve"> States, variation in total Sales Tax revenue is explained by SDP, road and railway length per thousand sq. km. area and per capita electricity consumption. All the three variables are significant at one per cent level and explain about 90 per cent of variations in the tax revenue.</w:t>
      </w:r>
    </w:p>
    <w:p w14:paraId="508B44B6" w14:textId="1F0D2804" w:rsidR="00294D85" w:rsidRPr="0076296D" w:rsidRDefault="00294D85">
      <w:pPr>
        <w:pStyle w:val="ListParagraph"/>
        <w:numPr>
          <w:ilvl w:val="0"/>
          <w:numId w:val="51"/>
        </w:numPr>
        <w:spacing w:after="0"/>
        <w:rPr>
          <w:rFonts w:ascii="Times New Roman" w:hAnsi="Times New Roman" w:cs="Times New Roman"/>
          <w:sz w:val="20"/>
          <w:szCs w:val="20"/>
        </w:rPr>
      </w:pPr>
      <w:r w:rsidRPr="0076296D">
        <w:rPr>
          <w:rFonts w:ascii="Times New Roman" w:hAnsi="Times New Roman" w:cs="Times New Roman"/>
          <w:b/>
          <w:bCs/>
          <w:sz w:val="20"/>
          <w:szCs w:val="20"/>
        </w:rPr>
        <w:t xml:space="preserve">Stamp Duties </w:t>
      </w:r>
      <w:proofErr w:type="gramStart"/>
      <w:r w:rsidRPr="0076296D">
        <w:rPr>
          <w:rFonts w:ascii="Times New Roman" w:hAnsi="Times New Roman" w:cs="Times New Roman"/>
          <w:b/>
          <w:bCs/>
          <w:sz w:val="20"/>
          <w:szCs w:val="20"/>
        </w:rPr>
        <w:t>And</w:t>
      </w:r>
      <w:proofErr w:type="gramEnd"/>
      <w:r w:rsidRPr="0076296D">
        <w:rPr>
          <w:rFonts w:ascii="Times New Roman" w:hAnsi="Times New Roman" w:cs="Times New Roman"/>
          <w:b/>
          <w:bCs/>
          <w:sz w:val="20"/>
          <w:szCs w:val="20"/>
        </w:rPr>
        <w:t xml:space="preserve"> Registration Fees:</w:t>
      </w:r>
    </w:p>
    <w:p w14:paraId="09D7EC63" w14:textId="69208940" w:rsidR="00294D85" w:rsidRPr="00AA6AF4" w:rsidRDefault="00645A34" w:rsidP="00645A34">
      <w:pPr>
        <w:pStyle w:val="Heading6"/>
        <w:keepNext w:val="0"/>
        <w:keepLines w:val="0"/>
        <w:ind w:left="0" w:firstLine="284"/>
      </w:pPr>
      <w:r>
        <w:t xml:space="preserve"> </w:t>
      </w:r>
      <w:r w:rsidR="00294D85" w:rsidRPr="00AA6AF4">
        <w:t>Although the value of property transactions, particularly immovable property transactions, should be taken as the tax base, reliable information on the variable is not available. We have, therefore, been constrained to use proxies such as SDP, its sectoral composition, and road and railway length per thousand sq. km. area. The larger the SDP, the higher should be the volume and value of property transactions. In the States where the proportion of non-primary sectoral SDP is higher, the volume and value of immovable property transactions is expected to be higher. Road and railway length per thousand sq. km. area, which denotes connectivity, also can be taken to determine both the volume of property transactions and the price of property transacted.</w:t>
      </w:r>
    </w:p>
    <w:p w14:paraId="3B944584" w14:textId="181A79EC" w:rsidR="00294D85" w:rsidRPr="00AA6AF4" w:rsidRDefault="00294D85" w:rsidP="00645A34">
      <w:pPr>
        <w:pStyle w:val="Heading6"/>
        <w:keepNext w:val="0"/>
        <w:keepLines w:val="0"/>
        <w:ind w:left="0" w:firstLine="284"/>
      </w:pPr>
      <w:r w:rsidRPr="00AA6AF4">
        <w:t xml:space="preserve">As in the case of Sales Tax, since the SDP is an important variable, the analysis is confined to the period from 1980-81 to 1984-85. Here too, we have analysed the behaviour of the tax separately in high income, middle income and </w:t>
      </w:r>
      <w:proofErr w:type="gramStart"/>
      <w:r w:rsidRPr="00AA6AF4">
        <w:t>low income</w:t>
      </w:r>
      <w:proofErr w:type="gramEnd"/>
      <w:r w:rsidRPr="00AA6AF4">
        <w:t xml:space="preserve"> States.</w:t>
      </w:r>
    </w:p>
    <w:p w14:paraId="423BB198" w14:textId="7F58ED5E" w:rsidR="00294D85" w:rsidRPr="00AA6AF4" w:rsidRDefault="00294D85" w:rsidP="00645A34">
      <w:pPr>
        <w:pStyle w:val="Heading6"/>
        <w:keepNext w:val="0"/>
        <w:keepLines w:val="0"/>
        <w:ind w:left="0" w:firstLine="284"/>
      </w:pPr>
      <w:r w:rsidRPr="00AA6AF4">
        <w:t xml:space="preserve">It may be seen from Table B.4.1 that in the cases of both high income and </w:t>
      </w:r>
      <w:proofErr w:type="gramStart"/>
      <w:r w:rsidRPr="00AA6AF4">
        <w:t>middle income</w:t>
      </w:r>
      <w:proofErr w:type="gramEnd"/>
      <w:r w:rsidRPr="00AA6AF4">
        <w:t xml:space="preserve"> States, SDP and road and railway length per thousand sq. km. area are found to be significant. For the </w:t>
      </w:r>
      <w:proofErr w:type="gramStart"/>
      <w:r w:rsidRPr="00AA6AF4">
        <w:t>high income</w:t>
      </w:r>
      <w:proofErr w:type="gramEnd"/>
      <w:r w:rsidRPr="00AA6AF4">
        <w:t xml:space="preserve"> States about 90 per cent of variations in tax revenues is explained by the two variables whereas for the </w:t>
      </w:r>
      <w:proofErr w:type="gramStart"/>
      <w:r w:rsidRPr="00AA6AF4">
        <w:t>middle income</w:t>
      </w:r>
      <w:proofErr w:type="gramEnd"/>
      <w:r w:rsidRPr="00AA6AF4">
        <w:t xml:space="preserve"> States, the R-Bar-Squared is 0.65. In the case of </w:t>
      </w:r>
      <w:proofErr w:type="gramStart"/>
      <w:r w:rsidRPr="00AA6AF4">
        <w:t>low income</w:t>
      </w:r>
      <w:proofErr w:type="gramEnd"/>
      <w:r w:rsidRPr="00AA6AF4">
        <w:t xml:space="preserve"> States, SDP is found to be the significant factor but we have also retained the proportion of non-primary sectoral SDP and road and railway length per thousand population in the equation. The R-Bar-Squared of the equation is 0.97.</w:t>
      </w:r>
    </w:p>
    <w:p w14:paraId="0718E97E" w14:textId="409EA54F" w:rsidR="00294D85" w:rsidRPr="0076296D" w:rsidRDefault="00294D85">
      <w:pPr>
        <w:pStyle w:val="ListParagraph"/>
        <w:numPr>
          <w:ilvl w:val="0"/>
          <w:numId w:val="51"/>
        </w:numPr>
        <w:spacing w:after="0"/>
        <w:rPr>
          <w:rFonts w:ascii="Times New Roman" w:hAnsi="Times New Roman" w:cs="Times New Roman"/>
          <w:sz w:val="20"/>
          <w:szCs w:val="20"/>
        </w:rPr>
      </w:pPr>
      <w:r w:rsidRPr="0076296D">
        <w:rPr>
          <w:rFonts w:ascii="Times New Roman" w:hAnsi="Times New Roman" w:cs="Times New Roman"/>
          <w:b/>
          <w:bCs/>
          <w:sz w:val="20"/>
          <w:szCs w:val="20"/>
        </w:rPr>
        <w:t xml:space="preserve">Tax On Motor Vehicles </w:t>
      </w:r>
      <w:proofErr w:type="gramStart"/>
      <w:r w:rsidRPr="0076296D">
        <w:rPr>
          <w:rFonts w:ascii="Times New Roman" w:hAnsi="Times New Roman" w:cs="Times New Roman"/>
          <w:b/>
          <w:bCs/>
          <w:sz w:val="20"/>
          <w:szCs w:val="20"/>
        </w:rPr>
        <w:t>And</w:t>
      </w:r>
      <w:proofErr w:type="gramEnd"/>
      <w:r w:rsidRPr="0076296D">
        <w:rPr>
          <w:rFonts w:ascii="Times New Roman" w:hAnsi="Times New Roman" w:cs="Times New Roman"/>
          <w:b/>
          <w:bCs/>
          <w:sz w:val="20"/>
          <w:szCs w:val="20"/>
        </w:rPr>
        <w:t xml:space="preserve"> Goods </w:t>
      </w:r>
      <w:proofErr w:type="gramStart"/>
      <w:r w:rsidRPr="0076296D">
        <w:rPr>
          <w:rFonts w:ascii="Times New Roman" w:hAnsi="Times New Roman" w:cs="Times New Roman"/>
          <w:b/>
          <w:bCs/>
          <w:sz w:val="20"/>
          <w:szCs w:val="20"/>
        </w:rPr>
        <w:t>And</w:t>
      </w:r>
      <w:proofErr w:type="gramEnd"/>
      <w:r w:rsidRPr="0076296D">
        <w:rPr>
          <w:rFonts w:ascii="Times New Roman" w:hAnsi="Times New Roman" w:cs="Times New Roman"/>
          <w:b/>
          <w:bCs/>
          <w:sz w:val="20"/>
          <w:szCs w:val="20"/>
        </w:rPr>
        <w:t xml:space="preserve"> Passengers:</w:t>
      </w:r>
    </w:p>
    <w:p w14:paraId="61C22F02" w14:textId="4AD6F963" w:rsidR="00294D85" w:rsidRPr="00AA6AF4" w:rsidRDefault="00294D85" w:rsidP="00B836A9">
      <w:pPr>
        <w:pStyle w:val="Heading6"/>
        <w:keepNext w:val="0"/>
        <w:keepLines w:val="0"/>
        <w:ind w:left="0" w:firstLine="284"/>
      </w:pPr>
      <w:r w:rsidRPr="00AA6AF4">
        <w:t>The revenue from the tax essentially depends upon the number and the types of motor vehicles registered in different States. Information on motor vehicles by types of vehicles registered in the States is available only upto 1985-86. We have, therefore, confined our analysis to the period from 1980-81 to 1985-86.</w:t>
      </w:r>
    </w:p>
    <w:p w14:paraId="71924E51" w14:textId="11D8814E" w:rsidR="00294D85" w:rsidRPr="00AA6AF4" w:rsidRDefault="00294D85" w:rsidP="00B836A9">
      <w:pPr>
        <w:pStyle w:val="Heading6"/>
        <w:keepNext w:val="0"/>
        <w:keepLines w:val="0"/>
        <w:ind w:left="0" w:firstLine="284"/>
      </w:pPr>
      <w:r w:rsidRPr="00AA6AF4">
        <w:t xml:space="preserve">Taking types of motor vehicles rather than their total number as explanatory variables in the equations does not lead to any specific advantage in revenue forecasting and may even result in multicollinearity. After various trials, the total number of vehicles and the proportion of heavy vehicles to total vehicles were found to explain the variations in tax revenue significantly at one per cent level and the equations for the two categories have very high explanatory power. In the case of </w:t>
      </w:r>
      <w:proofErr w:type="gramStart"/>
      <w:r w:rsidRPr="00AA6AF4">
        <w:t>low income</w:t>
      </w:r>
      <w:proofErr w:type="gramEnd"/>
      <w:r w:rsidRPr="00AA6AF4">
        <w:t xml:space="preserve"> States, however, only the total number of vehicles was found to be significant, perhaps, because the composition of types of vehicles in different States within the group is not very different. In the case of these States, the equation has an R-Bar Squared of over 0.86.</w:t>
      </w:r>
    </w:p>
    <w:p w14:paraId="14D37D87" w14:textId="2254C93B" w:rsidR="00294D85" w:rsidRPr="0076296D" w:rsidRDefault="00294D85">
      <w:pPr>
        <w:pStyle w:val="ListParagraph"/>
        <w:numPr>
          <w:ilvl w:val="0"/>
          <w:numId w:val="51"/>
        </w:numPr>
        <w:spacing w:after="0"/>
        <w:rPr>
          <w:rFonts w:ascii="Times New Roman" w:hAnsi="Times New Roman" w:cs="Times New Roman"/>
          <w:sz w:val="20"/>
          <w:szCs w:val="20"/>
        </w:rPr>
      </w:pPr>
      <w:r w:rsidRPr="0076296D">
        <w:rPr>
          <w:rFonts w:ascii="Times New Roman" w:hAnsi="Times New Roman" w:cs="Times New Roman"/>
          <w:b/>
          <w:bCs/>
          <w:sz w:val="20"/>
          <w:szCs w:val="20"/>
        </w:rPr>
        <w:t>State Excise Duties:</w:t>
      </w:r>
    </w:p>
    <w:p w14:paraId="10836083" w14:textId="1BA25109" w:rsidR="00294D85" w:rsidRPr="00AA6AF4" w:rsidRDefault="00294D85" w:rsidP="00B836A9">
      <w:pPr>
        <w:pStyle w:val="Heading6"/>
        <w:keepNext w:val="0"/>
        <w:keepLines w:val="0"/>
        <w:ind w:left="0" w:firstLine="284"/>
      </w:pPr>
      <w:r w:rsidRPr="00AA6AF4">
        <w:t>Consumption of different types of liquor has been taken as the base of State Excise Duties. The NIPFP study has collected information on consumption of country spirit, Indian made foreign liquor (IMFL) and beer in the major States for the years 1982-83 to 1984-85. We have, therefore, confined our analysis to these three years.</w:t>
      </w:r>
    </w:p>
    <w:p w14:paraId="1B1A4B79" w14:textId="6B6E955C" w:rsidR="00294D85" w:rsidRPr="00AA6AF4" w:rsidRDefault="00294D85" w:rsidP="00B836A9">
      <w:pPr>
        <w:pStyle w:val="Heading6"/>
        <w:keepNext w:val="0"/>
        <w:keepLines w:val="0"/>
        <w:ind w:left="0" w:firstLine="284"/>
      </w:pPr>
      <w:r w:rsidRPr="00AA6AF4">
        <w:t>In this connection, it is necessary to mention that of the 14 major States, Gujarat has been following prohibition policy and revenue accrues under this head only on account of duty on medicinal and toilet preparations. Therefore, we have confined our statistical analysis to 13 States. Considering this and given that the data are available only for three years, we have classified the States into only two categories, that is, States having above and below average per capita SDP. Andhra Pradesh, Haryana, Karnataka, Kerala, Maharashtra, Punjab and West Bengal fall into the first category. The second category consists of six States - Bihar, Madhya Pradesh, Orissa, Rajasthan, Tamil Nadu and Uttar Pradesh.</w:t>
      </w:r>
    </w:p>
    <w:p w14:paraId="5ACE182E" w14:textId="2748311F" w:rsidR="00294D85" w:rsidRPr="00AA6AF4" w:rsidRDefault="00294D85" w:rsidP="00B836A9">
      <w:pPr>
        <w:pStyle w:val="Heading6"/>
        <w:keepNext w:val="0"/>
        <w:keepLines w:val="0"/>
        <w:ind w:left="0" w:firstLine="284"/>
      </w:pPr>
      <w:r w:rsidRPr="00AA6AF4">
        <w:t>The regression results presented in Table B.4.1 show that tax revenue variations among more developed States are explained by the consumption of country spirit and road and railway length per thousand population. Both the variables are significant at one per cent level and the R-Bar-Squared of the equation is 0.78. In the case of less developed States, however, the two significant variables are consumption of country spirit and SDP of the State, with the equation having an R-Bar-Squared of 0.89.</w:t>
      </w:r>
    </w:p>
    <w:p w14:paraId="2F827188" w14:textId="1B7EF187" w:rsidR="00294D85" w:rsidRPr="0076296D" w:rsidRDefault="00294D85">
      <w:pPr>
        <w:pStyle w:val="ListParagraph"/>
        <w:numPr>
          <w:ilvl w:val="0"/>
          <w:numId w:val="51"/>
        </w:numPr>
        <w:spacing w:after="0"/>
        <w:rPr>
          <w:rFonts w:ascii="Times New Roman" w:hAnsi="Times New Roman" w:cs="Times New Roman"/>
          <w:sz w:val="20"/>
          <w:szCs w:val="20"/>
        </w:rPr>
      </w:pPr>
      <w:r w:rsidRPr="0076296D">
        <w:rPr>
          <w:rFonts w:ascii="Times New Roman" w:hAnsi="Times New Roman" w:cs="Times New Roman"/>
          <w:b/>
          <w:bCs/>
          <w:sz w:val="20"/>
          <w:szCs w:val="20"/>
        </w:rPr>
        <w:t>Entertainment Tax:</w:t>
      </w:r>
    </w:p>
    <w:p w14:paraId="3A4A398F" w14:textId="5A6406AD" w:rsidR="00294D85" w:rsidRPr="00AA6AF4" w:rsidRDefault="00294D85" w:rsidP="00B836A9">
      <w:pPr>
        <w:pStyle w:val="Heading6"/>
        <w:keepNext w:val="0"/>
        <w:keepLines w:val="0"/>
        <w:ind w:left="0" w:firstLine="284"/>
      </w:pPr>
      <w:r w:rsidRPr="00AA6AF4">
        <w:t>Entertainment Tax mainly accrues from Cinema although there are some receipts from betting, horse racing and such other recreational activities. Among the 14 major States, Kerala has transferred the taxing power under this head to the local bodies and, therefore, significant revenues are collected only in the other 13 States. The NIPFP study has collected information on seating capacity in cinema halls in various States for the three years, 1982-83 to 1984-85. This being the tax base proxy, we have confined our analysis to these three years.</w:t>
      </w:r>
    </w:p>
    <w:p w14:paraId="4C8F03E8" w14:textId="5512A9B0" w:rsidR="00294D85" w:rsidRPr="00AA6AF4" w:rsidRDefault="00294D85" w:rsidP="00B836A9">
      <w:pPr>
        <w:pStyle w:val="Heading6"/>
        <w:keepNext w:val="0"/>
        <w:keepLines w:val="0"/>
        <w:ind w:left="0" w:firstLine="284"/>
      </w:pPr>
      <w:r w:rsidRPr="00AA6AF4">
        <w:t>In the case of Entertainment Tax, after considerable experiment, we have preferred to make the analysis for all the 13 States without resorting to any grouping to avoid spurious results. Our analysis shows that the tax revenue is significantly related to seating capacity, SDP and the proportion of urban population to total population in the States. While the seating capacity is the overall capacity indicator, the other two variables proxy both the occupancy ratio and the proportion of higher denomination seats occupied. The equation is significant at one per cent level with an R-Bar Squared of 0.91.</w:t>
      </w:r>
    </w:p>
    <w:p w14:paraId="2595B6C5" w14:textId="77777777" w:rsidR="00294D85" w:rsidRPr="0076296D" w:rsidRDefault="00294D85" w:rsidP="00C6267F">
      <w:pPr>
        <w:jc w:val="center"/>
        <w:rPr>
          <w:rFonts w:ascii="Times New Roman" w:hAnsi="Times New Roman" w:cs="Times New Roman"/>
          <w:sz w:val="20"/>
          <w:szCs w:val="20"/>
        </w:rPr>
      </w:pPr>
      <w:r w:rsidRPr="0076296D">
        <w:rPr>
          <w:rFonts w:ascii="Times New Roman" w:hAnsi="Times New Roman" w:cs="Times New Roman"/>
          <w:b/>
          <w:bCs/>
          <w:sz w:val="20"/>
          <w:szCs w:val="20"/>
        </w:rPr>
        <w:lastRenderedPageBreak/>
        <w:t xml:space="preserve">Estimate Of Taxable Capacity </w:t>
      </w:r>
      <w:proofErr w:type="gramStart"/>
      <w:r w:rsidRPr="0076296D">
        <w:rPr>
          <w:rFonts w:ascii="Times New Roman" w:hAnsi="Times New Roman" w:cs="Times New Roman"/>
          <w:b/>
          <w:bCs/>
          <w:sz w:val="20"/>
          <w:szCs w:val="20"/>
        </w:rPr>
        <w:t>And</w:t>
      </w:r>
      <w:proofErr w:type="gramEnd"/>
      <w:r w:rsidRPr="0076296D">
        <w:rPr>
          <w:rFonts w:ascii="Times New Roman" w:hAnsi="Times New Roman" w:cs="Times New Roman"/>
          <w:b/>
          <w:bCs/>
          <w:sz w:val="20"/>
          <w:szCs w:val="20"/>
        </w:rPr>
        <w:t xml:space="preserve"> Projections</w:t>
      </w:r>
    </w:p>
    <w:p w14:paraId="7B917516" w14:textId="7871D718" w:rsidR="00294D85" w:rsidRPr="00AA6AF4" w:rsidRDefault="00294D85" w:rsidP="00B836A9">
      <w:pPr>
        <w:pStyle w:val="Heading6"/>
        <w:keepNext w:val="0"/>
        <w:keepLines w:val="0"/>
        <w:ind w:left="0" w:firstLine="284"/>
      </w:pPr>
      <w:r w:rsidRPr="00AA6AF4">
        <w:t>As mentioned earlier, taxable capacity is estimated by substituting the values of the independent variables for the last year of observation and the coefficient of time dummy variable for the same year⁴. For all the taxes except Motor Vehicles and Passengers and Goods Taxes, the estimates have been made for 1984-85 and for the latter, for 1985-86.</w:t>
      </w:r>
    </w:p>
    <w:p w14:paraId="1645BED0" w14:textId="2375C4E0" w:rsidR="00294D85" w:rsidRPr="00AA6AF4" w:rsidRDefault="00294D85" w:rsidP="00B836A9">
      <w:pPr>
        <w:pStyle w:val="Heading6"/>
        <w:keepNext w:val="0"/>
        <w:keepLines w:val="0"/>
        <w:ind w:left="0" w:firstLine="284"/>
      </w:pPr>
      <w:r w:rsidRPr="00AA6AF4">
        <w:t xml:space="preserve">The taxable capacity estimates made for the initial year is projected to the base year 1989-90. Agricultural taxes and other taxes for which no normative estimates are made are projected to 1989-90 on the basis of the trend rates of growth. As for the other items of tax revenue, we generated two alternative projections by applying two sets of growth rates, the first, on the basis of buoyancies of various taxes in </w:t>
      </w:r>
      <w:proofErr w:type="gramStart"/>
      <w:r w:rsidRPr="00AA6AF4">
        <w:t>high, middle and low income</w:t>
      </w:r>
      <w:proofErr w:type="gramEnd"/>
      <w:r w:rsidRPr="00AA6AF4">
        <w:t xml:space="preserve"> groups of States multiplied by the trend rate of growth of SDP in each State, and the second, by applying the trend rates of growth in tax revenue observed in the respective States. Generally, as in the States where the performance in the initial year was below average, the trend rates of growth too were lower. Therefore, the application of normative growth computed with the first method would have required these States to raise revenues even by a higher percentage than was indicated in the estimates of the initial year. To be more realistic, therefore, we applied the second method. According to this, the performance of the States in 1989-90 shows an improvement over the initial year if the rate of growth of tax revenue during the period is faster than its own trend rate of growth of the tax.</w:t>
      </w:r>
    </w:p>
    <w:p w14:paraId="0CB5E1BF" w14:textId="2C8E8762" w:rsidR="00294D85" w:rsidRPr="00AA6AF4" w:rsidRDefault="00294D85" w:rsidP="00B836A9">
      <w:pPr>
        <w:pStyle w:val="Heading6"/>
        <w:keepNext w:val="0"/>
        <w:keepLines w:val="0"/>
        <w:ind w:left="0" w:firstLine="284"/>
      </w:pPr>
      <w:r w:rsidRPr="00AA6AF4">
        <w:t>It may be recalled that, for ensuring comparability, the cess on mines and minerals levied in the States under the Major Head `Land Revenue' has been treated as non-tax revenue. However, it is possible to argue that for the purpose of assessing the tax performance, the cess should be considered as tax revenue. In the case of agricultural taxes, as we have not made any normative estimates, but merely projected the revenue on the basis of actuals, from the point of view of estimates of taxable capacity, transferring cess on mines and minerals to the non-tax revenue side does not matter. However, in assessing tax performance, it may be preferable to transfer the cess to the tax revenue side. As the cess on mines and minerals has been projected for the period of our recommendation on the basis of budget estimates of 1989-90 (B.E), we have added the yield to tax revenue both in the potential and actual figures for the year 1989-90. The resulting relative performance of different States is shown in Table B.4.2.</w:t>
      </w:r>
    </w:p>
    <w:p w14:paraId="38A207FF" w14:textId="3DA2F25F" w:rsidR="00294D85" w:rsidRPr="00AA6AF4" w:rsidRDefault="00294D85" w:rsidP="00B836A9">
      <w:pPr>
        <w:pStyle w:val="Heading6"/>
        <w:keepNext w:val="0"/>
        <w:keepLines w:val="0"/>
        <w:ind w:left="0" w:firstLine="284"/>
      </w:pPr>
      <w:r w:rsidRPr="00AA6AF4">
        <w:t>It may be noted that the taxable capacity estimates for Gujarat do not include any revenue from State Excise Duties other than on medicinal and toilet preparations, due to the State's prohibition policy. At the same time, the estimates for Tamil Nadu include revenue from country liquor because prohibition was introduced there only in 1987-88. The Commission, after considering the issues involved, decided to take into account 30 per cent of revenue that would have accrued to these States had there been no prohibition in them. Accordingly, in the base year (1989-90) estimates of taxable capacity from State Excise Duties, we have added Rs.72 crore in the case of Gujarat (as the estimates do not include revenue from State Excise Duties), and deducted Rs.272 crore in the case of Tamil Nadu (as the estimates already include revenue from State Excise Duties).</w:t>
      </w:r>
    </w:p>
    <w:p w14:paraId="3B199089" w14:textId="31E8FB3E" w:rsidR="00294D85" w:rsidRPr="00AA6AF4" w:rsidRDefault="00294D85" w:rsidP="00B836A9">
      <w:pPr>
        <w:pStyle w:val="Heading6"/>
        <w:keepNext w:val="0"/>
        <w:keepLines w:val="0"/>
        <w:ind w:left="0" w:firstLine="284"/>
      </w:pPr>
      <w:r w:rsidRPr="00AA6AF4">
        <w:t>From the taxable capacity estimates for the base year 1989-90, we made projections for the period of our recommendation, 1990-91 to 1994-95. This has been done by assuming a real SDP growth of 6 per cent per annum and an increase in the price level of 5 per cent per annum. Keeping these in the background, we have assumed the tax revenues to grow normatively at 11.5 per cent per annum. Individual taxes are projected on the basis of their past behaviour and adjusted pro rata to conform to the aggregate.</w:t>
      </w:r>
    </w:p>
    <w:p w14:paraId="5ECABBDF" w14:textId="1C8EB17A" w:rsidR="00294D85" w:rsidRPr="00AA6AF4" w:rsidRDefault="00294D85" w:rsidP="00B836A9">
      <w:pPr>
        <w:pStyle w:val="Heading6"/>
        <w:keepNext w:val="0"/>
        <w:keepLines w:val="0"/>
        <w:ind w:left="0" w:firstLine="284"/>
      </w:pPr>
      <w:r w:rsidRPr="00AA6AF4">
        <w:t xml:space="preserve">It has been pointed out that the observed </w:t>
      </w:r>
      <w:proofErr w:type="spellStart"/>
      <w:r w:rsidRPr="00AA6AF4">
        <w:t>undertaxation</w:t>
      </w:r>
      <w:proofErr w:type="spellEnd"/>
      <w:r w:rsidRPr="00AA6AF4">
        <w:t xml:space="preserve"> in the States where it prevails is the result of the operation of the tax systems for a number of years and cannot be remedied overnight. In order to provide adequate time for adjustment, we have reckoned normative tax revenues in a phased manner starting from the trend levels in 1989-90 and reaching the normative levels in 1994-95. Under this plan, no State is suddenly put to any undue hardship and can adopt appropriate policies to reach normative levels of tax revenue by the terminal year of our recommendation. The projected normative levels of tax revenues are presented in Table B.4.3.</w:t>
      </w:r>
    </w:p>
    <w:p w14:paraId="22964DA1" w14:textId="77777777" w:rsidR="00294D85" w:rsidRPr="00C6267F" w:rsidRDefault="00294D85" w:rsidP="00BA73B3">
      <w:pPr>
        <w:spacing w:after="0"/>
        <w:jc w:val="both"/>
        <w:rPr>
          <w:rFonts w:ascii="Times New Roman" w:hAnsi="Times New Roman" w:cs="Times New Roman"/>
          <w:sz w:val="16"/>
          <w:szCs w:val="16"/>
        </w:rPr>
      </w:pPr>
      <w:r w:rsidRPr="00C6267F">
        <w:rPr>
          <w:rFonts w:ascii="Times New Roman" w:hAnsi="Times New Roman" w:cs="Times New Roman"/>
          <w:b/>
          <w:bCs/>
          <w:sz w:val="16"/>
          <w:szCs w:val="16"/>
        </w:rPr>
        <w:t>Notes:</w:t>
      </w:r>
    </w:p>
    <w:p w14:paraId="7B2CD760" w14:textId="77777777" w:rsidR="00294D85" w:rsidRPr="00C6267F" w:rsidRDefault="00294D85" w:rsidP="00BA73B3">
      <w:pPr>
        <w:spacing w:after="0"/>
        <w:ind w:left="284"/>
        <w:jc w:val="both"/>
        <w:rPr>
          <w:rFonts w:ascii="Times New Roman" w:hAnsi="Times New Roman" w:cs="Times New Roman"/>
          <w:sz w:val="16"/>
          <w:szCs w:val="16"/>
        </w:rPr>
      </w:pPr>
      <w:r w:rsidRPr="00C6267F">
        <w:rPr>
          <w:rFonts w:ascii="Times New Roman" w:hAnsi="Times New Roman" w:cs="Times New Roman"/>
          <w:sz w:val="16"/>
          <w:szCs w:val="16"/>
        </w:rPr>
        <w:t>1. For a review of the two approaches, see Bahl [1971, 1972] and Akin [1973].</w:t>
      </w:r>
    </w:p>
    <w:p w14:paraId="024F7F6E" w14:textId="77777777" w:rsidR="00294D85" w:rsidRPr="00C6267F" w:rsidRDefault="00294D85" w:rsidP="00B11AAB">
      <w:pPr>
        <w:spacing w:after="0"/>
        <w:ind w:left="284"/>
        <w:jc w:val="both"/>
        <w:rPr>
          <w:rFonts w:ascii="Times New Roman" w:hAnsi="Times New Roman" w:cs="Times New Roman"/>
          <w:sz w:val="16"/>
          <w:szCs w:val="16"/>
        </w:rPr>
      </w:pPr>
      <w:r w:rsidRPr="00C6267F">
        <w:rPr>
          <w:rFonts w:ascii="Times New Roman" w:hAnsi="Times New Roman" w:cs="Times New Roman"/>
          <w:sz w:val="16"/>
          <w:szCs w:val="16"/>
        </w:rPr>
        <w:t>2. For studies using regression approach in the Indian context, see Nambiar and Rao [1972], Reddy [1975], Prasad [1988] and Oommen [1987].</w:t>
      </w:r>
    </w:p>
    <w:p w14:paraId="3ED854AF" w14:textId="77777777" w:rsidR="00294D85" w:rsidRPr="00C6267F" w:rsidRDefault="00294D85" w:rsidP="00B11AAB">
      <w:pPr>
        <w:spacing w:after="0"/>
        <w:ind w:left="284"/>
        <w:jc w:val="both"/>
        <w:rPr>
          <w:rFonts w:ascii="Times New Roman" w:hAnsi="Times New Roman" w:cs="Times New Roman"/>
          <w:sz w:val="16"/>
          <w:szCs w:val="16"/>
        </w:rPr>
      </w:pPr>
      <w:r w:rsidRPr="00C6267F">
        <w:rPr>
          <w:rFonts w:ascii="Times New Roman" w:hAnsi="Times New Roman" w:cs="Times New Roman"/>
          <w:sz w:val="16"/>
          <w:szCs w:val="16"/>
        </w:rPr>
        <w:t xml:space="preserve">3. The two important studies measuring taxable capacity using the Representative Tax System approach </w:t>
      </w:r>
      <w:proofErr w:type="gramStart"/>
      <w:r w:rsidRPr="00C6267F">
        <w:rPr>
          <w:rFonts w:ascii="Times New Roman" w:hAnsi="Times New Roman" w:cs="Times New Roman"/>
          <w:sz w:val="16"/>
          <w:szCs w:val="16"/>
        </w:rPr>
        <w:t>are :</w:t>
      </w:r>
      <w:proofErr w:type="gramEnd"/>
      <w:r w:rsidRPr="00C6267F">
        <w:rPr>
          <w:rFonts w:ascii="Times New Roman" w:hAnsi="Times New Roman" w:cs="Times New Roman"/>
          <w:sz w:val="16"/>
          <w:szCs w:val="16"/>
        </w:rPr>
        <w:t xml:space="preserve"> Thimmaiah [1979] and Chelliah and Sinha [1982].</w:t>
      </w:r>
    </w:p>
    <w:p w14:paraId="0C35A07C" w14:textId="77777777" w:rsidR="00294D85" w:rsidRPr="00C6267F" w:rsidRDefault="00294D85" w:rsidP="00B11AAB">
      <w:pPr>
        <w:spacing w:after="0"/>
        <w:ind w:left="284"/>
        <w:jc w:val="both"/>
        <w:rPr>
          <w:rFonts w:ascii="Times New Roman" w:hAnsi="Times New Roman" w:cs="Times New Roman"/>
          <w:sz w:val="16"/>
          <w:szCs w:val="16"/>
        </w:rPr>
      </w:pPr>
      <w:r w:rsidRPr="00C6267F">
        <w:rPr>
          <w:rFonts w:ascii="Times New Roman" w:hAnsi="Times New Roman" w:cs="Times New Roman"/>
          <w:sz w:val="16"/>
          <w:szCs w:val="16"/>
        </w:rPr>
        <w:t xml:space="preserve">4. We have adjusted the constant term so that the total estimated revenue equals the total observed revenue in respect of each of the taxes as is suggested in </w:t>
      </w:r>
      <w:proofErr w:type="spellStart"/>
      <w:r w:rsidRPr="00C6267F">
        <w:rPr>
          <w:rFonts w:ascii="Times New Roman" w:hAnsi="Times New Roman" w:cs="Times New Roman"/>
          <w:sz w:val="16"/>
          <w:szCs w:val="16"/>
        </w:rPr>
        <w:t>Intriligator</w:t>
      </w:r>
      <w:proofErr w:type="spellEnd"/>
      <w:r w:rsidRPr="00C6267F">
        <w:rPr>
          <w:rFonts w:ascii="Times New Roman" w:hAnsi="Times New Roman" w:cs="Times New Roman"/>
          <w:sz w:val="16"/>
          <w:szCs w:val="16"/>
        </w:rPr>
        <w:t xml:space="preserve"> [1980].</w:t>
      </w:r>
    </w:p>
    <w:p w14:paraId="005A768A" w14:textId="77777777" w:rsidR="00294D85" w:rsidRPr="00C6267F" w:rsidRDefault="00294D85" w:rsidP="00BA73B3">
      <w:pPr>
        <w:spacing w:after="0"/>
        <w:jc w:val="both"/>
        <w:rPr>
          <w:rFonts w:ascii="Times New Roman" w:hAnsi="Times New Roman" w:cs="Times New Roman"/>
          <w:sz w:val="16"/>
          <w:szCs w:val="16"/>
        </w:rPr>
      </w:pPr>
      <w:r w:rsidRPr="00C6267F">
        <w:rPr>
          <w:rFonts w:ascii="Times New Roman" w:hAnsi="Times New Roman" w:cs="Times New Roman"/>
          <w:b/>
          <w:bCs/>
          <w:sz w:val="16"/>
          <w:szCs w:val="16"/>
        </w:rPr>
        <w:t>References:</w:t>
      </w:r>
    </w:p>
    <w:p w14:paraId="2982362B" w14:textId="77777777" w:rsidR="00294D85" w:rsidRPr="00C6267F" w:rsidRDefault="00294D85" w:rsidP="00BA73B3">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1. Advisory Commission on Intergovernmental Relations [1971], Measuring Fiscal Capacity and Effort of State and Local Areas, Washington D.C.</w:t>
      </w:r>
    </w:p>
    <w:p w14:paraId="0364E5A5"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2. Akin, John S. [1973], "Fiscal Capacity and the Estimation Method of Advisory Commission on Inter-governmental Relations", National Tax Journal, Vol.26, No.2.</w:t>
      </w:r>
    </w:p>
    <w:p w14:paraId="50CA9A85"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3. Bahl, Roy W. Jr. [1971], "A Regression Approach to Tax Effort and Tax Ratio Analysis", I M F Staff Papers, Vol.18, No.3.</w:t>
      </w:r>
    </w:p>
    <w:p w14:paraId="0796C746"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4. Bahl, Roy W. Jr. [1973], "A Representative Tax System Approach to Measuring Tax Effort in Developing Countries", I M F Staff Papers, Vol. 19, No.1.</w:t>
      </w:r>
    </w:p>
    <w:p w14:paraId="3E676B92"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5. Chelliah, R.J. and Sinha, Narain [1982], Measurement of Tax Effort of State Governments, 1973-76 NIPFP, New Delhi.</w:t>
      </w:r>
    </w:p>
    <w:p w14:paraId="2096A126"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6. Government of India [1988], First Report of the Ninth Finance Commission, New Delhi.</w:t>
      </w:r>
    </w:p>
    <w:p w14:paraId="4DB0F1DD"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 xml:space="preserve">7. Thimmaiah, </w:t>
      </w:r>
      <w:proofErr w:type="gramStart"/>
      <w:r w:rsidRPr="00C6267F">
        <w:rPr>
          <w:rFonts w:ascii="Times New Roman" w:hAnsi="Times New Roman" w:cs="Times New Roman"/>
          <w:sz w:val="16"/>
          <w:szCs w:val="16"/>
        </w:rPr>
        <w:t>G.[</w:t>
      </w:r>
      <w:proofErr w:type="gramEnd"/>
      <w:r w:rsidRPr="00C6267F">
        <w:rPr>
          <w:rFonts w:ascii="Times New Roman" w:hAnsi="Times New Roman" w:cs="Times New Roman"/>
          <w:sz w:val="16"/>
          <w:szCs w:val="16"/>
        </w:rPr>
        <w:t>1979], "Revenue Potential and Revenue Efforts of Southern States", Oxford and I.B.H. Publishing Co., New Delhi.</w:t>
      </w:r>
    </w:p>
    <w:p w14:paraId="183B9AEE"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 xml:space="preserve">8. </w:t>
      </w:r>
      <w:proofErr w:type="spellStart"/>
      <w:r w:rsidRPr="00C6267F">
        <w:rPr>
          <w:rFonts w:ascii="Times New Roman" w:hAnsi="Times New Roman" w:cs="Times New Roman"/>
          <w:sz w:val="16"/>
          <w:szCs w:val="16"/>
        </w:rPr>
        <w:t>Intriligator</w:t>
      </w:r>
      <w:proofErr w:type="spellEnd"/>
      <w:r w:rsidRPr="00C6267F">
        <w:rPr>
          <w:rFonts w:ascii="Times New Roman" w:hAnsi="Times New Roman" w:cs="Times New Roman"/>
          <w:sz w:val="16"/>
          <w:szCs w:val="16"/>
        </w:rPr>
        <w:t xml:space="preserve"> [1980], Econometric Models, Techniques and Applications, Prentice Hall, New Delhi.</w:t>
      </w:r>
    </w:p>
    <w:p w14:paraId="41B368AA"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9. Nambiar, K.V. and Rao M.G. [1972], "Tax Performance of States", Economic and Political Weekly, May,20.</w:t>
      </w:r>
    </w:p>
    <w:p w14:paraId="1AC3112F" w14:textId="77777777" w:rsidR="00294D85" w:rsidRPr="00C6267F" w:rsidRDefault="00294D85" w:rsidP="00B11AAB">
      <w:pPr>
        <w:spacing w:after="0"/>
        <w:ind w:left="142"/>
        <w:jc w:val="both"/>
        <w:rPr>
          <w:rFonts w:ascii="Times New Roman" w:hAnsi="Times New Roman" w:cs="Times New Roman"/>
          <w:sz w:val="16"/>
          <w:szCs w:val="16"/>
        </w:rPr>
      </w:pPr>
      <w:r w:rsidRPr="00C6267F">
        <w:rPr>
          <w:rFonts w:ascii="Times New Roman" w:hAnsi="Times New Roman" w:cs="Times New Roman"/>
          <w:sz w:val="16"/>
          <w:szCs w:val="16"/>
        </w:rPr>
        <w:t>10. Oommen, M.A. [1987], "Relative Tax Effort of States", Economic and Political Weekly, March, 14.</w:t>
      </w:r>
    </w:p>
    <w:p w14:paraId="521B99F3" w14:textId="02AD0721" w:rsidR="00655512" w:rsidRPr="00C6267F" w:rsidRDefault="00294D85" w:rsidP="00EA1D19">
      <w:pPr>
        <w:pStyle w:val="NoSpacing"/>
        <w:jc w:val="center"/>
        <w:rPr>
          <w:rFonts w:ascii="Times New Roman" w:hAnsi="Times New Roman" w:cs="Times New Roman"/>
          <w:b/>
          <w:bCs/>
          <w:sz w:val="20"/>
          <w:szCs w:val="20"/>
        </w:rPr>
      </w:pPr>
      <w:r w:rsidRPr="00AA6AF4">
        <w:br w:type="page"/>
      </w:r>
      <w:r w:rsidR="00B11AAB" w:rsidRPr="00C6267F">
        <w:rPr>
          <w:rFonts w:ascii="Times New Roman" w:hAnsi="Times New Roman" w:cs="Times New Roman"/>
          <w:b/>
          <w:bCs/>
          <w:sz w:val="20"/>
          <w:szCs w:val="20"/>
        </w:rPr>
        <w:lastRenderedPageBreak/>
        <w:t>Table B.4.1</w:t>
      </w:r>
      <w:r w:rsidR="00B11AAB" w:rsidRPr="00C6267F">
        <w:rPr>
          <w:rFonts w:ascii="Times New Roman" w:hAnsi="Times New Roman" w:cs="Times New Roman"/>
          <w:b/>
          <w:bCs/>
          <w:sz w:val="20"/>
          <w:szCs w:val="20"/>
        </w:rPr>
        <w:br/>
      </w:r>
      <w:r w:rsidRPr="00C6267F">
        <w:rPr>
          <w:rFonts w:ascii="Times New Roman" w:hAnsi="Times New Roman" w:cs="Times New Roman"/>
          <w:b/>
          <w:bCs/>
          <w:sz w:val="20"/>
          <w:szCs w:val="20"/>
        </w:rPr>
        <w:t>Regression Results</w:t>
      </w:r>
    </w:p>
    <w:tbl>
      <w:tblPr>
        <w:tblStyle w:val="TableGrid"/>
        <w:tblW w:w="9067" w:type="dxa"/>
        <w:jc w:val="center"/>
        <w:tblLook w:val="04A0" w:firstRow="1" w:lastRow="0" w:firstColumn="1" w:lastColumn="0" w:noHBand="0" w:noVBand="1"/>
      </w:tblPr>
      <w:tblGrid>
        <w:gridCol w:w="5240"/>
        <w:gridCol w:w="3827"/>
      </w:tblGrid>
      <w:tr w:rsidR="00294D85" w:rsidRPr="00DB5229" w14:paraId="410333DA" w14:textId="77777777" w:rsidTr="00487882">
        <w:trPr>
          <w:trHeight w:val="20"/>
          <w:jc w:val="center"/>
        </w:trPr>
        <w:tc>
          <w:tcPr>
            <w:tcW w:w="5240" w:type="dxa"/>
            <w:hideMark/>
          </w:tcPr>
          <w:p w14:paraId="64DF18E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Dependent Variable</w:t>
            </w:r>
          </w:p>
        </w:tc>
        <w:tc>
          <w:tcPr>
            <w:tcW w:w="3827" w:type="dxa"/>
            <w:vAlign w:val="center"/>
            <w:hideMark/>
          </w:tcPr>
          <w:p w14:paraId="5DCA9D58"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Total Tax Revenue from Sales Tax</w:t>
            </w:r>
          </w:p>
        </w:tc>
      </w:tr>
      <w:tr w:rsidR="00294D85" w:rsidRPr="00DB5229" w14:paraId="65017B10" w14:textId="77777777" w:rsidTr="00487882">
        <w:trPr>
          <w:trHeight w:val="20"/>
          <w:jc w:val="center"/>
        </w:trPr>
        <w:tc>
          <w:tcPr>
            <w:tcW w:w="5240" w:type="dxa"/>
            <w:hideMark/>
          </w:tcPr>
          <w:p w14:paraId="32E907D7"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Income Category</w:t>
            </w:r>
          </w:p>
        </w:tc>
        <w:tc>
          <w:tcPr>
            <w:tcW w:w="3827" w:type="dxa"/>
            <w:vAlign w:val="center"/>
            <w:hideMark/>
          </w:tcPr>
          <w:p w14:paraId="30DE8E2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High Income States</w:t>
            </w:r>
          </w:p>
        </w:tc>
      </w:tr>
      <w:tr w:rsidR="00294D85" w:rsidRPr="00DB5229" w14:paraId="44B21293" w14:textId="77777777" w:rsidTr="00487882">
        <w:trPr>
          <w:trHeight w:val="20"/>
          <w:jc w:val="center"/>
        </w:trPr>
        <w:tc>
          <w:tcPr>
            <w:tcW w:w="5240" w:type="dxa"/>
            <w:hideMark/>
          </w:tcPr>
          <w:p w14:paraId="04DAF46D"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Number Of Observations</w:t>
            </w:r>
          </w:p>
        </w:tc>
        <w:tc>
          <w:tcPr>
            <w:tcW w:w="3827" w:type="dxa"/>
            <w:vAlign w:val="center"/>
            <w:hideMark/>
          </w:tcPr>
          <w:p w14:paraId="5EDFA46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w:t>
            </w:r>
          </w:p>
        </w:tc>
      </w:tr>
      <w:tr w:rsidR="00294D85" w:rsidRPr="00DB5229" w14:paraId="0691A969" w14:textId="77777777" w:rsidTr="00487882">
        <w:trPr>
          <w:trHeight w:val="20"/>
          <w:jc w:val="center"/>
        </w:trPr>
        <w:tc>
          <w:tcPr>
            <w:tcW w:w="5240" w:type="dxa"/>
            <w:hideMark/>
          </w:tcPr>
          <w:p w14:paraId="7E7F7C79"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Degrees Of Freedom</w:t>
            </w:r>
          </w:p>
        </w:tc>
        <w:tc>
          <w:tcPr>
            <w:tcW w:w="3827" w:type="dxa"/>
            <w:vAlign w:val="center"/>
            <w:hideMark/>
          </w:tcPr>
          <w:p w14:paraId="7BD71D72"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13</w:t>
            </w:r>
          </w:p>
        </w:tc>
      </w:tr>
    </w:tbl>
    <w:p w14:paraId="1D1CD286"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067" w:type="dxa"/>
        <w:jc w:val="center"/>
        <w:tblLook w:val="04A0" w:firstRow="1" w:lastRow="0" w:firstColumn="1" w:lastColumn="0" w:noHBand="0" w:noVBand="1"/>
      </w:tblPr>
      <w:tblGrid>
        <w:gridCol w:w="5240"/>
        <w:gridCol w:w="1418"/>
        <w:gridCol w:w="1559"/>
        <w:gridCol w:w="850"/>
      </w:tblGrid>
      <w:tr w:rsidR="00294D85" w:rsidRPr="00DB5229" w14:paraId="635AA8B6" w14:textId="77777777" w:rsidTr="00D539B3">
        <w:trPr>
          <w:trHeight w:val="20"/>
          <w:jc w:val="center"/>
        </w:trPr>
        <w:tc>
          <w:tcPr>
            <w:tcW w:w="5240" w:type="dxa"/>
            <w:vAlign w:val="center"/>
            <w:hideMark/>
          </w:tcPr>
          <w:p w14:paraId="75C52D0D"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418" w:type="dxa"/>
            <w:vAlign w:val="center"/>
            <w:hideMark/>
          </w:tcPr>
          <w:p w14:paraId="285E4BC7"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559" w:type="dxa"/>
            <w:vAlign w:val="center"/>
            <w:hideMark/>
          </w:tcPr>
          <w:p w14:paraId="448DD51A"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850" w:type="dxa"/>
            <w:vAlign w:val="center"/>
            <w:hideMark/>
          </w:tcPr>
          <w:p w14:paraId="10352F0C"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14235DCE" w14:textId="77777777" w:rsidTr="00D539B3">
        <w:trPr>
          <w:trHeight w:val="20"/>
          <w:jc w:val="center"/>
        </w:trPr>
        <w:tc>
          <w:tcPr>
            <w:tcW w:w="5240" w:type="dxa"/>
            <w:vAlign w:val="center"/>
            <w:hideMark/>
          </w:tcPr>
          <w:p w14:paraId="280747A7"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1. State Domestic Product at Factor Cost</w:t>
            </w:r>
          </w:p>
        </w:tc>
        <w:tc>
          <w:tcPr>
            <w:tcW w:w="1418" w:type="dxa"/>
            <w:vAlign w:val="center"/>
            <w:hideMark/>
          </w:tcPr>
          <w:p w14:paraId="3A549CF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0.3769</w:t>
            </w:r>
          </w:p>
        </w:tc>
        <w:tc>
          <w:tcPr>
            <w:tcW w:w="1559" w:type="dxa"/>
            <w:vAlign w:val="center"/>
            <w:hideMark/>
          </w:tcPr>
          <w:p w14:paraId="5B16C4F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0.2169</w:t>
            </w:r>
          </w:p>
        </w:tc>
        <w:tc>
          <w:tcPr>
            <w:tcW w:w="850" w:type="dxa"/>
            <w:vAlign w:val="center"/>
            <w:hideMark/>
          </w:tcPr>
          <w:p w14:paraId="138FF12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1.7378</w:t>
            </w:r>
          </w:p>
        </w:tc>
      </w:tr>
      <w:tr w:rsidR="00294D85" w:rsidRPr="00DB5229" w14:paraId="75CC2C66" w14:textId="77777777" w:rsidTr="00D539B3">
        <w:trPr>
          <w:trHeight w:val="20"/>
          <w:jc w:val="center"/>
        </w:trPr>
        <w:tc>
          <w:tcPr>
            <w:tcW w:w="5240" w:type="dxa"/>
            <w:vAlign w:val="center"/>
            <w:hideMark/>
          </w:tcPr>
          <w:p w14:paraId="2BD26C3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2. Proportion of income originating from non-primary sector to total income originating</w:t>
            </w:r>
          </w:p>
        </w:tc>
        <w:tc>
          <w:tcPr>
            <w:tcW w:w="1418" w:type="dxa"/>
            <w:vAlign w:val="center"/>
            <w:hideMark/>
          </w:tcPr>
          <w:p w14:paraId="428F8082"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2.8775</w:t>
            </w:r>
          </w:p>
        </w:tc>
        <w:tc>
          <w:tcPr>
            <w:tcW w:w="1559" w:type="dxa"/>
            <w:vAlign w:val="center"/>
            <w:hideMark/>
          </w:tcPr>
          <w:p w14:paraId="1641C9F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0.7326</w:t>
            </w:r>
          </w:p>
        </w:tc>
        <w:tc>
          <w:tcPr>
            <w:tcW w:w="850" w:type="dxa"/>
            <w:vAlign w:val="center"/>
            <w:hideMark/>
          </w:tcPr>
          <w:p w14:paraId="74EE51F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3.9279</w:t>
            </w:r>
          </w:p>
        </w:tc>
      </w:tr>
      <w:tr w:rsidR="00294D85" w:rsidRPr="00DB5229" w14:paraId="647415C0" w14:textId="77777777" w:rsidTr="00D539B3">
        <w:trPr>
          <w:trHeight w:val="20"/>
          <w:jc w:val="center"/>
        </w:trPr>
        <w:tc>
          <w:tcPr>
            <w:tcW w:w="5240" w:type="dxa"/>
            <w:vAlign w:val="center"/>
            <w:hideMark/>
          </w:tcPr>
          <w:p w14:paraId="34D04F00"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418" w:type="dxa"/>
            <w:vAlign w:val="center"/>
            <w:hideMark/>
          </w:tcPr>
          <w:p w14:paraId="367375E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6.7832</w:t>
            </w:r>
          </w:p>
        </w:tc>
        <w:tc>
          <w:tcPr>
            <w:tcW w:w="1559" w:type="dxa"/>
            <w:vAlign w:val="center"/>
            <w:hideMark/>
          </w:tcPr>
          <w:p w14:paraId="067F4D5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3.3084</w:t>
            </w:r>
          </w:p>
        </w:tc>
        <w:tc>
          <w:tcPr>
            <w:tcW w:w="850" w:type="dxa"/>
            <w:vAlign w:val="center"/>
            <w:hideMark/>
          </w:tcPr>
          <w:p w14:paraId="5CC74A2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2.0503</w:t>
            </w:r>
          </w:p>
        </w:tc>
      </w:tr>
      <w:tr w:rsidR="00294D85" w:rsidRPr="00DB5229" w14:paraId="0C401182" w14:textId="77777777" w:rsidTr="00D539B3">
        <w:trPr>
          <w:trHeight w:val="20"/>
          <w:jc w:val="center"/>
        </w:trPr>
        <w:tc>
          <w:tcPr>
            <w:tcW w:w="5240" w:type="dxa"/>
            <w:vAlign w:val="center"/>
            <w:hideMark/>
          </w:tcPr>
          <w:p w14:paraId="54735C50"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418" w:type="dxa"/>
            <w:vAlign w:val="center"/>
            <w:hideMark/>
          </w:tcPr>
          <w:p w14:paraId="68A942A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6.9494</w:t>
            </w:r>
          </w:p>
        </w:tc>
        <w:tc>
          <w:tcPr>
            <w:tcW w:w="1559" w:type="dxa"/>
            <w:vAlign w:val="center"/>
            <w:hideMark/>
          </w:tcPr>
          <w:p w14:paraId="406FC9F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3.3456</w:t>
            </w:r>
          </w:p>
        </w:tc>
        <w:tc>
          <w:tcPr>
            <w:tcW w:w="850" w:type="dxa"/>
            <w:vAlign w:val="center"/>
            <w:hideMark/>
          </w:tcPr>
          <w:p w14:paraId="1BA4619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2.0772</w:t>
            </w:r>
          </w:p>
        </w:tc>
      </w:tr>
      <w:tr w:rsidR="00294D85" w:rsidRPr="00DB5229" w14:paraId="03290E50" w14:textId="77777777" w:rsidTr="00D539B3">
        <w:trPr>
          <w:trHeight w:val="20"/>
          <w:jc w:val="center"/>
        </w:trPr>
        <w:tc>
          <w:tcPr>
            <w:tcW w:w="5240" w:type="dxa"/>
            <w:vAlign w:val="center"/>
            <w:hideMark/>
          </w:tcPr>
          <w:p w14:paraId="10EC582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418" w:type="dxa"/>
            <w:vAlign w:val="center"/>
            <w:hideMark/>
          </w:tcPr>
          <w:p w14:paraId="55FFC02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6.9281</w:t>
            </w:r>
          </w:p>
        </w:tc>
        <w:tc>
          <w:tcPr>
            <w:tcW w:w="1559" w:type="dxa"/>
            <w:vAlign w:val="center"/>
            <w:hideMark/>
          </w:tcPr>
          <w:p w14:paraId="4F7B005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3.3367</w:t>
            </w:r>
          </w:p>
        </w:tc>
        <w:tc>
          <w:tcPr>
            <w:tcW w:w="850" w:type="dxa"/>
            <w:vAlign w:val="center"/>
            <w:hideMark/>
          </w:tcPr>
          <w:p w14:paraId="3CC8EC9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2.0763</w:t>
            </w:r>
          </w:p>
        </w:tc>
      </w:tr>
      <w:tr w:rsidR="00294D85" w:rsidRPr="00DB5229" w14:paraId="3CCC6DA8" w14:textId="77777777" w:rsidTr="00D539B3">
        <w:trPr>
          <w:trHeight w:val="20"/>
          <w:jc w:val="center"/>
        </w:trPr>
        <w:tc>
          <w:tcPr>
            <w:tcW w:w="5240" w:type="dxa"/>
            <w:vAlign w:val="center"/>
            <w:hideMark/>
          </w:tcPr>
          <w:p w14:paraId="5916C20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418" w:type="dxa"/>
            <w:vAlign w:val="center"/>
            <w:hideMark/>
          </w:tcPr>
          <w:p w14:paraId="591EF59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6.9650</w:t>
            </w:r>
          </w:p>
        </w:tc>
        <w:tc>
          <w:tcPr>
            <w:tcW w:w="1559" w:type="dxa"/>
            <w:vAlign w:val="center"/>
            <w:hideMark/>
          </w:tcPr>
          <w:p w14:paraId="13BF96C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3.3601</w:t>
            </w:r>
          </w:p>
        </w:tc>
        <w:tc>
          <w:tcPr>
            <w:tcW w:w="850" w:type="dxa"/>
            <w:vAlign w:val="center"/>
            <w:hideMark/>
          </w:tcPr>
          <w:p w14:paraId="3808986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2.0729</w:t>
            </w:r>
          </w:p>
        </w:tc>
      </w:tr>
      <w:tr w:rsidR="00294D85" w:rsidRPr="00DB5229" w14:paraId="79D5A8EC" w14:textId="77777777" w:rsidTr="00D539B3">
        <w:trPr>
          <w:trHeight w:val="20"/>
          <w:jc w:val="center"/>
        </w:trPr>
        <w:tc>
          <w:tcPr>
            <w:tcW w:w="5240" w:type="dxa"/>
            <w:vAlign w:val="center"/>
            <w:hideMark/>
          </w:tcPr>
          <w:p w14:paraId="09979AA1"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418" w:type="dxa"/>
            <w:vAlign w:val="center"/>
            <w:hideMark/>
          </w:tcPr>
          <w:p w14:paraId="1813C8B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6.9340</w:t>
            </w:r>
          </w:p>
        </w:tc>
        <w:tc>
          <w:tcPr>
            <w:tcW w:w="1559" w:type="dxa"/>
            <w:vAlign w:val="center"/>
            <w:hideMark/>
          </w:tcPr>
          <w:p w14:paraId="4A08C19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3.3666</w:t>
            </w:r>
          </w:p>
        </w:tc>
        <w:tc>
          <w:tcPr>
            <w:tcW w:w="850" w:type="dxa"/>
            <w:vAlign w:val="center"/>
            <w:hideMark/>
          </w:tcPr>
          <w:p w14:paraId="4CF8A4C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2.0596</w:t>
            </w:r>
          </w:p>
        </w:tc>
      </w:tr>
    </w:tbl>
    <w:p w14:paraId="14BE6F02"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072" w:type="dxa"/>
        <w:jc w:val="center"/>
        <w:tblLook w:val="04A0" w:firstRow="1" w:lastRow="0" w:firstColumn="1" w:lastColumn="0" w:noHBand="0" w:noVBand="1"/>
      </w:tblPr>
      <w:tblGrid>
        <w:gridCol w:w="2474"/>
        <w:gridCol w:w="2771"/>
        <w:gridCol w:w="2961"/>
        <w:gridCol w:w="866"/>
      </w:tblGrid>
      <w:tr w:rsidR="00294D85" w:rsidRPr="00DB5229" w14:paraId="2BC72A45" w14:textId="77777777" w:rsidTr="00487882">
        <w:trPr>
          <w:trHeight w:val="20"/>
          <w:jc w:val="center"/>
        </w:trPr>
        <w:tc>
          <w:tcPr>
            <w:tcW w:w="2474" w:type="dxa"/>
            <w:vAlign w:val="center"/>
            <w:hideMark/>
          </w:tcPr>
          <w:p w14:paraId="47BCCF60"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2771" w:type="dxa"/>
            <w:vAlign w:val="center"/>
            <w:hideMark/>
          </w:tcPr>
          <w:p w14:paraId="316C6CC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0.9852</w:t>
            </w:r>
          </w:p>
        </w:tc>
        <w:tc>
          <w:tcPr>
            <w:tcW w:w="2961" w:type="dxa"/>
            <w:vAlign w:val="center"/>
            <w:hideMark/>
          </w:tcPr>
          <w:p w14:paraId="2796763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866" w:type="dxa"/>
            <w:vAlign w:val="center"/>
            <w:hideMark/>
          </w:tcPr>
          <w:p w14:paraId="52413CD2"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0.1755</w:t>
            </w:r>
          </w:p>
        </w:tc>
      </w:tr>
      <w:tr w:rsidR="00294D85" w:rsidRPr="00DB5229" w14:paraId="4AF76C66" w14:textId="77777777" w:rsidTr="00487882">
        <w:trPr>
          <w:trHeight w:val="20"/>
          <w:jc w:val="center"/>
        </w:trPr>
        <w:tc>
          <w:tcPr>
            <w:tcW w:w="2474" w:type="dxa"/>
            <w:vAlign w:val="center"/>
            <w:hideMark/>
          </w:tcPr>
          <w:p w14:paraId="12AD54B6"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2771" w:type="dxa"/>
            <w:vAlign w:val="center"/>
            <w:hideMark/>
          </w:tcPr>
          <w:p w14:paraId="1E97941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0.9784</w:t>
            </w:r>
          </w:p>
        </w:tc>
        <w:tc>
          <w:tcPr>
            <w:tcW w:w="2961" w:type="dxa"/>
            <w:vAlign w:val="center"/>
            <w:hideMark/>
          </w:tcPr>
          <w:p w14:paraId="38185B18"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866" w:type="dxa"/>
            <w:vAlign w:val="center"/>
            <w:hideMark/>
          </w:tcPr>
          <w:p w14:paraId="196B786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0.1162</w:t>
            </w:r>
          </w:p>
        </w:tc>
      </w:tr>
    </w:tbl>
    <w:p w14:paraId="09B69AB2" w14:textId="282A92E6" w:rsidR="00294D85" w:rsidRPr="00DB5229" w:rsidRDefault="00487882" w:rsidP="00487882">
      <w:pPr>
        <w:spacing w:after="0" w:line="200" w:lineRule="exact"/>
        <w:rPr>
          <w:rFonts w:ascii="Times New Roman" w:hAnsi="Times New Roman" w:cs="Times New Roman"/>
          <w:b/>
          <w:bCs/>
          <w:sz w:val="16"/>
          <w:szCs w:val="16"/>
        </w:rPr>
      </w:pPr>
      <w:r w:rsidRPr="00DB5229">
        <w:rPr>
          <w:rFonts w:ascii="Times New Roman" w:hAnsi="Times New Roman" w:cs="Times New Roman"/>
          <w:b/>
          <w:bCs/>
          <w:sz w:val="16"/>
          <w:szCs w:val="16"/>
        </w:rPr>
        <w:t xml:space="preserve">                                      </w:t>
      </w:r>
    </w:p>
    <w:tbl>
      <w:tblPr>
        <w:tblStyle w:val="TableGrid"/>
        <w:tblW w:w="9067" w:type="dxa"/>
        <w:jc w:val="center"/>
        <w:tblLook w:val="04A0" w:firstRow="1" w:lastRow="0" w:firstColumn="1" w:lastColumn="0" w:noHBand="0" w:noVBand="1"/>
      </w:tblPr>
      <w:tblGrid>
        <w:gridCol w:w="5240"/>
        <w:gridCol w:w="3827"/>
      </w:tblGrid>
      <w:tr w:rsidR="00294D85" w:rsidRPr="00DB5229" w14:paraId="65B5F09B" w14:textId="77777777" w:rsidTr="00487882">
        <w:trPr>
          <w:trHeight w:val="20"/>
          <w:jc w:val="center"/>
        </w:trPr>
        <w:tc>
          <w:tcPr>
            <w:tcW w:w="5240" w:type="dxa"/>
            <w:hideMark/>
          </w:tcPr>
          <w:p w14:paraId="3D594E65"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Dependent Variable</w:t>
            </w:r>
          </w:p>
        </w:tc>
        <w:tc>
          <w:tcPr>
            <w:tcW w:w="3827" w:type="dxa"/>
            <w:hideMark/>
          </w:tcPr>
          <w:p w14:paraId="26214738" w14:textId="77777777" w:rsidR="00294D85" w:rsidRPr="00DB5229" w:rsidRDefault="00294D85" w:rsidP="00487882">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Per Capita Tax Revenue from Sales Tax</w:t>
            </w:r>
          </w:p>
        </w:tc>
      </w:tr>
      <w:tr w:rsidR="00294D85" w:rsidRPr="00DB5229" w14:paraId="15DE5F03" w14:textId="77777777" w:rsidTr="00487882">
        <w:trPr>
          <w:trHeight w:val="20"/>
          <w:jc w:val="center"/>
        </w:trPr>
        <w:tc>
          <w:tcPr>
            <w:tcW w:w="5240" w:type="dxa"/>
            <w:hideMark/>
          </w:tcPr>
          <w:p w14:paraId="0FDC4C2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Income Category</w:t>
            </w:r>
          </w:p>
        </w:tc>
        <w:tc>
          <w:tcPr>
            <w:tcW w:w="3827" w:type="dxa"/>
            <w:hideMark/>
          </w:tcPr>
          <w:p w14:paraId="1162C9A4" w14:textId="77777777" w:rsidR="00294D85" w:rsidRPr="00DB5229" w:rsidRDefault="00294D85" w:rsidP="00487882">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Middle Income States</w:t>
            </w:r>
          </w:p>
        </w:tc>
      </w:tr>
      <w:tr w:rsidR="00294D85" w:rsidRPr="00DB5229" w14:paraId="08E4EB2D" w14:textId="77777777" w:rsidTr="00487882">
        <w:trPr>
          <w:trHeight w:val="20"/>
          <w:jc w:val="center"/>
        </w:trPr>
        <w:tc>
          <w:tcPr>
            <w:tcW w:w="5240" w:type="dxa"/>
            <w:hideMark/>
          </w:tcPr>
          <w:p w14:paraId="0EEFC60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Number Of Observations</w:t>
            </w:r>
          </w:p>
        </w:tc>
        <w:tc>
          <w:tcPr>
            <w:tcW w:w="3827" w:type="dxa"/>
            <w:hideMark/>
          </w:tcPr>
          <w:p w14:paraId="1F8D4035" w14:textId="77777777" w:rsidR="00294D85" w:rsidRPr="00DB5229" w:rsidRDefault="00294D85" w:rsidP="00487882">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25</w:t>
            </w:r>
          </w:p>
        </w:tc>
      </w:tr>
      <w:tr w:rsidR="00294D85" w:rsidRPr="00DB5229" w14:paraId="3B1BBCB1" w14:textId="77777777" w:rsidTr="00487882">
        <w:trPr>
          <w:trHeight w:val="20"/>
          <w:jc w:val="center"/>
        </w:trPr>
        <w:tc>
          <w:tcPr>
            <w:tcW w:w="5240" w:type="dxa"/>
            <w:hideMark/>
          </w:tcPr>
          <w:p w14:paraId="511EE07C"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Degrees Of Freedom</w:t>
            </w:r>
          </w:p>
        </w:tc>
        <w:tc>
          <w:tcPr>
            <w:tcW w:w="3827" w:type="dxa"/>
            <w:hideMark/>
          </w:tcPr>
          <w:p w14:paraId="2896C54C" w14:textId="77777777" w:rsidR="00294D85" w:rsidRPr="00DB5229" w:rsidRDefault="00294D85" w:rsidP="00487882">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18</w:t>
            </w:r>
          </w:p>
        </w:tc>
      </w:tr>
    </w:tbl>
    <w:p w14:paraId="3222A21A" w14:textId="77777777" w:rsidR="00294D85" w:rsidRPr="00DB5229" w:rsidRDefault="00294D85" w:rsidP="005E0DD7">
      <w:pPr>
        <w:spacing w:line="200" w:lineRule="exact"/>
        <w:rPr>
          <w:rFonts w:ascii="Times New Roman" w:hAnsi="Times New Roman" w:cs="Times New Roman"/>
          <w:vanish/>
          <w:sz w:val="16"/>
          <w:szCs w:val="16"/>
        </w:rPr>
      </w:pPr>
    </w:p>
    <w:tbl>
      <w:tblPr>
        <w:tblStyle w:val="TableGrid"/>
        <w:tblW w:w="9065" w:type="dxa"/>
        <w:jc w:val="center"/>
        <w:tblLook w:val="04A0" w:firstRow="1" w:lastRow="0" w:firstColumn="1" w:lastColumn="0" w:noHBand="0" w:noVBand="1"/>
      </w:tblPr>
      <w:tblGrid>
        <w:gridCol w:w="5240"/>
        <w:gridCol w:w="1276"/>
        <w:gridCol w:w="1433"/>
        <w:gridCol w:w="1116"/>
      </w:tblGrid>
      <w:tr w:rsidR="00294D85" w:rsidRPr="00DB5229" w14:paraId="6B1726C2" w14:textId="77777777" w:rsidTr="00487882">
        <w:trPr>
          <w:trHeight w:val="20"/>
          <w:jc w:val="center"/>
        </w:trPr>
        <w:tc>
          <w:tcPr>
            <w:tcW w:w="5240" w:type="dxa"/>
            <w:vAlign w:val="center"/>
            <w:hideMark/>
          </w:tcPr>
          <w:p w14:paraId="75B18414"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276" w:type="dxa"/>
            <w:vAlign w:val="center"/>
            <w:hideMark/>
          </w:tcPr>
          <w:p w14:paraId="3624DBCB"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433" w:type="dxa"/>
            <w:vAlign w:val="center"/>
            <w:hideMark/>
          </w:tcPr>
          <w:p w14:paraId="3F10BD35"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0" w:type="auto"/>
            <w:vAlign w:val="center"/>
            <w:hideMark/>
          </w:tcPr>
          <w:p w14:paraId="00377885"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7553B8AC" w14:textId="77777777" w:rsidTr="00487882">
        <w:trPr>
          <w:trHeight w:val="20"/>
          <w:jc w:val="center"/>
        </w:trPr>
        <w:tc>
          <w:tcPr>
            <w:tcW w:w="5240" w:type="dxa"/>
            <w:vAlign w:val="center"/>
            <w:hideMark/>
          </w:tcPr>
          <w:p w14:paraId="7236D344"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1. Road/railway length per 1000 square kilometre area</w:t>
            </w:r>
          </w:p>
        </w:tc>
        <w:tc>
          <w:tcPr>
            <w:tcW w:w="1276" w:type="dxa"/>
            <w:vAlign w:val="center"/>
            <w:hideMark/>
          </w:tcPr>
          <w:p w14:paraId="3C53CA6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0.4472</w:t>
            </w:r>
          </w:p>
        </w:tc>
        <w:tc>
          <w:tcPr>
            <w:tcW w:w="1433" w:type="dxa"/>
            <w:vAlign w:val="center"/>
            <w:hideMark/>
          </w:tcPr>
          <w:p w14:paraId="7589484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0.0327</w:t>
            </w:r>
          </w:p>
        </w:tc>
        <w:tc>
          <w:tcPr>
            <w:tcW w:w="0" w:type="auto"/>
            <w:vAlign w:val="center"/>
            <w:hideMark/>
          </w:tcPr>
          <w:p w14:paraId="2EA7C59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13.6831</w:t>
            </w:r>
          </w:p>
        </w:tc>
      </w:tr>
      <w:tr w:rsidR="00294D85" w:rsidRPr="00DB5229" w14:paraId="05C24CAF" w14:textId="77777777" w:rsidTr="00487882">
        <w:trPr>
          <w:trHeight w:val="20"/>
          <w:jc w:val="center"/>
        </w:trPr>
        <w:tc>
          <w:tcPr>
            <w:tcW w:w="5240" w:type="dxa"/>
            <w:vAlign w:val="center"/>
            <w:hideMark/>
          </w:tcPr>
          <w:p w14:paraId="27E08CA1"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2. Per capita energy sales to ultimate consumers</w:t>
            </w:r>
          </w:p>
        </w:tc>
        <w:tc>
          <w:tcPr>
            <w:tcW w:w="1276" w:type="dxa"/>
            <w:vAlign w:val="center"/>
            <w:hideMark/>
          </w:tcPr>
          <w:p w14:paraId="6C7FD6E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0.4304</w:t>
            </w:r>
          </w:p>
        </w:tc>
        <w:tc>
          <w:tcPr>
            <w:tcW w:w="1433" w:type="dxa"/>
            <w:vAlign w:val="center"/>
            <w:hideMark/>
          </w:tcPr>
          <w:p w14:paraId="7F65252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0.0572</w:t>
            </w:r>
          </w:p>
        </w:tc>
        <w:tc>
          <w:tcPr>
            <w:tcW w:w="0" w:type="auto"/>
            <w:vAlign w:val="center"/>
            <w:hideMark/>
          </w:tcPr>
          <w:p w14:paraId="664F281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7.5212</w:t>
            </w:r>
          </w:p>
        </w:tc>
      </w:tr>
      <w:tr w:rsidR="00294D85" w:rsidRPr="00DB5229" w14:paraId="37F260DA" w14:textId="77777777" w:rsidTr="00487882">
        <w:trPr>
          <w:trHeight w:val="20"/>
          <w:jc w:val="center"/>
        </w:trPr>
        <w:tc>
          <w:tcPr>
            <w:tcW w:w="5240" w:type="dxa"/>
            <w:vAlign w:val="center"/>
            <w:hideMark/>
          </w:tcPr>
          <w:p w14:paraId="0A0483E2"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276" w:type="dxa"/>
            <w:vAlign w:val="center"/>
            <w:hideMark/>
          </w:tcPr>
          <w:p w14:paraId="6A44325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-0.5235</w:t>
            </w:r>
          </w:p>
        </w:tc>
        <w:tc>
          <w:tcPr>
            <w:tcW w:w="1433" w:type="dxa"/>
            <w:vAlign w:val="center"/>
            <w:hideMark/>
          </w:tcPr>
          <w:p w14:paraId="554B36A0"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0.2992</w:t>
            </w:r>
          </w:p>
        </w:tc>
        <w:tc>
          <w:tcPr>
            <w:tcW w:w="0" w:type="auto"/>
            <w:vAlign w:val="center"/>
            <w:hideMark/>
          </w:tcPr>
          <w:p w14:paraId="417B72D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-1.7496</w:t>
            </w:r>
          </w:p>
        </w:tc>
      </w:tr>
      <w:tr w:rsidR="00294D85" w:rsidRPr="00DB5229" w14:paraId="2BC5DB5F" w14:textId="77777777" w:rsidTr="00487882">
        <w:trPr>
          <w:trHeight w:val="20"/>
          <w:jc w:val="center"/>
        </w:trPr>
        <w:tc>
          <w:tcPr>
            <w:tcW w:w="5240" w:type="dxa"/>
            <w:vAlign w:val="center"/>
            <w:hideMark/>
          </w:tcPr>
          <w:p w14:paraId="687A597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276" w:type="dxa"/>
            <w:vAlign w:val="center"/>
            <w:hideMark/>
          </w:tcPr>
          <w:p w14:paraId="38C82FD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-0.3564</w:t>
            </w:r>
          </w:p>
        </w:tc>
        <w:tc>
          <w:tcPr>
            <w:tcW w:w="1433" w:type="dxa"/>
            <w:vAlign w:val="center"/>
            <w:hideMark/>
          </w:tcPr>
          <w:p w14:paraId="72E0D2C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0.3030</w:t>
            </w:r>
          </w:p>
        </w:tc>
        <w:tc>
          <w:tcPr>
            <w:tcW w:w="0" w:type="auto"/>
            <w:vAlign w:val="center"/>
            <w:hideMark/>
          </w:tcPr>
          <w:p w14:paraId="3602FD8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-1.1761</w:t>
            </w:r>
          </w:p>
        </w:tc>
      </w:tr>
      <w:tr w:rsidR="00294D85" w:rsidRPr="00DB5229" w14:paraId="7B9586AB" w14:textId="77777777" w:rsidTr="00487882">
        <w:trPr>
          <w:trHeight w:val="20"/>
          <w:jc w:val="center"/>
        </w:trPr>
        <w:tc>
          <w:tcPr>
            <w:tcW w:w="5240" w:type="dxa"/>
            <w:vAlign w:val="center"/>
            <w:hideMark/>
          </w:tcPr>
          <w:p w14:paraId="607D9A7C"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276" w:type="dxa"/>
            <w:vAlign w:val="center"/>
            <w:hideMark/>
          </w:tcPr>
          <w:p w14:paraId="4D9C721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-0.2836</w:t>
            </w:r>
          </w:p>
        </w:tc>
        <w:tc>
          <w:tcPr>
            <w:tcW w:w="1433" w:type="dxa"/>
            <w:vAlign w:val="center"/>
            <w:hideMark/>
          </w:tcPr>
          <w:p w14:paraId="05D2D86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0.3038</w:t>
            </w:r>
          </w:p>
        </w:tc>
        <w:tc>
          <w:tcPr>
            <w:tcW w:w="0" w:type="auto"/>
            <w:vAlign w:val="center"/>
            <w:hideMark/>
          </w:tcPr>
          <w:p w14:paraId="04C458F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-0.9335</w:t>
            </w:r>
          </w:p>
        </w:tc>
      </w:tr>
      <w:tr w:rsidR="00294D85" w:rsidRPr="00DB5229" w14:paraId="41D100E4" w14:textId="77777777" w:rsidTr="00487882">
        <w:trPr>
          <w:trHeight w:val="20"/>
          <w:jc w:val="center"/>
        </w:trPr>
        <w:tc>
          <w:tcPr>
            <w:tcW w:w="5240" w:type="dxa"/>
            <w:vAlign w:val="center"/>
            <w:hideMark/>
          </w:tcPr>
          <w:p w14:paraId="325C3BE4"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276" w:type="dxa"/>
            <w:vAlign w:val="center"/>
            <w:hideMark/>
          </w:tcPr>
          <w:p w14:paraId="177277B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-0.1669</w:t>
            </w:r>
          </w:p>
        </w:tc>
        <w:tc>
          <w:tcPr>
            <w:tcW w:w="1433" w:type="dxa"/>
            <w:vAlign w:val="center"/>
            <w:hideMark/>
          </w:tcPr>
          <w:p w14:paraId="1D6771D0"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0.3030</w:t>
            </w:r>
          </w:p>
        </w:tc>
        <w:tc>
          <w:tcPr>
            <w:tcW w:w="0" w:type="auto"/>
            <w:vAlign w:val="center"/>
            <w:hideMark/>
          </w:tcPr>
          <w:p w14:paraId="2485F33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-0.5508</w:t>
            </w:r>
          </w:p>
        </w:tc>
      </w:tr>
      <w:tr w:rsidR="00294D85" w:rsidRPr="00DB5229" w14:paraId="4DAC23EC" w14:textId="77777777" w:rsidTr="00487882">
        <w:trPr>
          <w:trHeight w:val="20"/>
          <w:jc w:val="center"/>
        </w:trPr>
        <w:tc>
          <w:tcPr>
            <w:tcW w:w="5240" w:type="dxa"/>
            <w:vAlign w:val="center"/>
            <w:hideMark/>
          </w:tcPr>
          <w:p w14:paraId="0A1BF83C"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276" w:type="dxa"/>
            <w:vAlign w:val="center"/>
            <w:hideMark/>
          </w:tcPr>
          <w:p w14:paraId="6E0EBB42"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-0.0772</w:t>
            </w:r>
          </w:p>
        </w:tc>
        <w:tc>
          <w:tcPr>
            <w:tcW w:w="1433" w:type="dxa"/>
            <w:vAlign w:val="center"/>
            <w:hideMark/>
          </w:tcPr>
          <w:p w14:paraId="4632CC4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0.3105</w:t>
            </w:r>
          </w:p>
        </w:tc>
        <w:tc>
          <w:tcPr>
            <w:tcW w:w="0" w:type="auto"/>
            <w:vAlign w:val="center"/>
            <w:hideMark/>
          </w:tcPr>
          <w:p w14:paraId="25D3E95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-0.2485</w:t>
            </w:r>
          </w:p>
        </w:tc>
      </w:tr>
    </w:tbl>
    <w:p w14:paraId="5FEAE2BC"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065" w:type="dxa"/>
        <w:jc w:val="center"/>
        <w:tblLook w:val="04A0" w:firstRow="1" w:lastRow="0" w:firstColumn="1" w:lastColumn="0" w:noHBand="0" w:noVBand="1"/>
      </w:tblPr>
      <w:tblGrid>
        <w:gridCol w:w="1907"/>
        <w:gridCol w:w="3333"/>
        <w:gridCol w:w="2693"/>
        <w:gridCol w:w="1132"/>
      </w:tblGrid>
      <w:tr w:rsidR="00294D85" w:rsidRPr="00DB5229" w14:paraId="42580F5D" w14:textId="77777777" w:rsidTr="00487882">
        <w:trPr>
          <w:trHeight w:val="23"/>
          <w:jc w:val="center"/>
        </w:trPr>
        <w:tc>
          <w:tcPr>
            <w:tcW w:w="1907" w:type="dxa"/>
            <w:hideMark/>
          </w:tcPr>
          <w:p w14:paraId="0B2C2C3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3333" w:type="dxa"/>
            <w:vAlign w:val="center"/>
            <w:hideMark/>
          </w:tcPr>
          <w:p w14:paraId="38A862B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0.9698</w:t>
            </w:r>
          </w:p>
        </w:tc>
        <w:tc>
          <w:tcPr>
            <w:tcW w:w="2693" w:type="dxa"/>
            <w:hideMark/>
          </w:tcPr>
          <w:p w14:paraId="2EDEE2B0"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132" w:type="dxa"/>
            <w:vAlign w:val="center"/>
            <w:hideMark/>
          </w:tcPr>
          <w:p w14:paraId="37AB513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0.0634</w:t>
            </w:r>
          </w:p>
        </w:tc>
      </w:tr>
      <w:tr w:rsidR="00294D85" w:rsidRPr="00DB5229" w14:paraId="1141616E" w14:textId="77777777" w:rsidTr="00487882">
        <w:trPr>
          <w:trHeight w:val="23"/>
          <w:jc w:val="center"/>
        </w:trPr>
        <w:tc>
          <w:tcPr>
            <w:tcW w:w="1907" w:type="dxa"/>
            <w:hideMark/>
          </w:tcPr>
          <w:p w14:paraId="47522ED6"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3333" w:type="dxa"/>
            <w:vAlign w:val="center"/>
            <w:hideMark/>
          </w:tcPr>
          <w:p w14:paraId="36DBAF98"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0.9597</w:t>
            </w:r>
          </w:p>
        </w:tc>
        <w:tc>
          <w:tcPr>
            <w:tcW w:w="2693" w:type="dxa"/>
            <w:hideMark/>
          </w:tcPr>
          <w:p w14:paraId="24EC2A9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132" w:type="dxa"/>
            <w:vAlign w:val="center"/>
            <w:hideMark/>
          </w:tcPr>
          <w:p w14:paraId="132BC56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0.0594</w:t>
            </w:r>
          </w:p>
        </w:tc>
      </w:tr>
    </w:tbl>
    <w:p w14:paraId="1CC4BA40" w14:textId="47809193" w:rsidR="00294D85" w:rsidRPr="00DB5229" w:rsidRDefault="00294D85" w:rsidP="00487882">
      <w:pPr>
        <w:spacing w:after="0" w:line="200" w:lineRule="exact"/>
        <w:rPr>
          <w:rFonts w:ascii="Times New Roman" w:hAnsi="Times New Roman" w:cs="Times New Roman"/>
          <w:b/>
          <w:bCs/>
          <w:sz w:val="16"/>
          <w:szCs w:val="16"/>
        </w:rPr>
      </w:pPr>
    </w:p>
    <w:tbl>
      <w:tblPr>
        <w:tblStyle w:val="TableGrid"/>
        <w:tblW w:w="9070" w:type="dxa"/>
        <w:jc w:val="center"/>
        <w:tblLook w:val="04A0" w:firstRow="1" w:lastRow="0" w:firstColumn="1" w:lastColumn="0" w:noHBand="0" w:noVBand="1"/>
      </w:tblPr>
      <w:tblGrid>
        <w:gridCol w:w="3216"/>
        <w:gridCol w:w="5854"/>
      </w:tblGrid>
      <w:tr w:rsidR="008E784A" w:rsidRPr="00DB5229" w14:paraId="70C6F85D" w14:textId="77777777" w:rsidTr="00D539B3">
        <w:trPr>
          <w:trHeight w:val="20"/>
          <w:jc w:val="center"/>
        </w:trPr>
        <w:tc>
          <w:tcPr>
            <w:tcW w:w="3216" w:type="dxa"/>
            <w:vAlign w:val="center"/>
            <w:hideMark/>
          </w:tcPr>
          <w:p w14:paraId="0CC0AEE0" w14:textId="77777777" w:rsidR="008E784A" w:rsidRPr="00DB5229" w:rsidRDefault="008E784A" w:rsidP="00B836A9">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0" w:type="auto"/>
            <w:vAlign w:val="center"/>
            <w:hideMark/>
          </w:tcPr>
          <w:p w14:paraId="570187E3" w14:textId="77777777" w:rsidR="008E784A" w:rsidRPr="00DB5229" w:rsidRDefault="008E784A"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Total Tax Revenue from Sales Tax</w:t>
            </w:r>
          </w:p>
        </w:tc>
      </w:tr>
      <w:tr w:rsidR="008E784A" w:rsidRPr="00DB5229" w14:paraId="7A8C92BF" w14:textId="77777777" w:rsidTr="00D539B3">
        <w:trPr>
          <w:trHeight w:val="20"/>
          <w:jc w:val="center"/>
        </w:trPr>
        <w:tc>
          <w:tcPr>
            <w:tcW w:w="3216" w:type="dxa"/>
            <w:vAlign w:val="center"/>
            <w:hideMark/>
          </w:tcPr>
          <w:p w14:paraId="1C32ED04"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0" w:type="auto"/>
            <w:vAlign w:val="center"/>
            <w:hideMark/>
          </w:tcPr>
          <w:p w14:paraId="68BB7536" w14:textId="77777777" w:rsidR="008E784A" w:rsidRPr="00DB5229" w:rsidRDefault="008E784A"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Low Income States</w:t>
            </w:r>
          </w:p>
        </w:tc>
      </w:tr>
      <w:tr w:rsidR="008E784A" w:rsidRPr="00DB5229" w14:paraId="5443C739" w14:textId="77777777" w:rsidTr="00D539B3">
        <w:trPr>
          <w:trHeight w:val="20"/>
          <w:jc w:val="center"/>
        </w:trPr>
        <w:tc>
          <w:tcPr>
            <w:tcW w:w="3216" w:type="dxa"/>
            <w:vAlign w:val="center"/>
            <w:hideMark/>
          </w:tcPr>
          <w:p w14:paraId="7DE6AC6F"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0" w:type="auto"/>
            <w:vAlign w:val="center"/>
            <w:hideMark/>
          </w:tcPr>
          <w:p w14:paraId="157212B1" w14:textId="77777777" w:rsidR="008E784A" w:rsidRPr="00DB5229" w:rsidRDefault="008E784A"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25</w:t>
            </w:r>
          </w:p>
        </w:tc>
      </w:tr>
      <w:tr w:rsidR="008E784A" w:rsidRPr="00DB5229" w14:paraId="352EEFD1" w14:textId="77777777" w:rsidTr="00D539B3">
        <w:trPr>
          <w:trHeight w:val="20"/>
          <w:jc w:val="center"/>
        </w:trPr>
        <w:tc>
          <w:tcPr>
            <w:tcW w:w="3216" w:type="dxa"/>
            <w:vAlign w:val="center"/>
            <w:hideMark/>
          </w:tcPr>
          <w:p w14:paraId="473EB504"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0" w:type="auto"/>
            <w:vAlign w:val="center"/>
            <w:hideMark/>
          </w:tcPr>
          <w:p w14:paraId="4BB33617" w14:textId="77777777" w:rsidR="008E784A" w:rsidRPr="00DB5229" w:rsidRDefault="008E784A"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18</w:t>
            </w:r>
          </w:p>
        </w:tc>
      </w:tr>
    </w:tbl>
    <w:p w14:paraId="64B2E822" w14:textId="77777777" w:rsidR="008E784A" w:rsidRPr="00DB5229" w:rsidRDefault="008E784A" w:rsidP="005E0DD7">
      <w:pPr>
        <w:spacing w:before="240" w:line="200" w:lineRule="exact"/>
        <w:rPr>
          <w:rFonts w:ascii="Times New Roman" w:hAnsi="Times New Roman" w:cs="Times New Roman"/>
          <w:vanish/>
          <w:sz w:val="16"/>
          <w:szCs w:val="16"/>
        </w:rPr>
      </w:pPr>
    </w:p>
    <w:tbl>
      <w:tblPr>
        <w:tblW w:w="9098" w:type="dxa"/>
        <w:jc w:val="center"/>
        <w:tblLook w:val="04A0" w:firstRow="1" w:lastRow="0" w:firstColumn="1" w:lastColumn="0" w:noHBand="0" w:noVBand="1"/>
      </w:tblPr>
      <w:tblGrid>
        <w:gridCol w:w="5240"/>
        <w:gridCol w:w="1134"/>
        <w:gridCol w:w="1559"/>
        <w:gridCol w:w="1165"/>
      </w:tblGrid>
      <w:tr w:rsidR="008E784A" w:rsidRPr="00DB5229" w14:paraId="270847A9" w14:textId="77777777" w:rsidTr="00D539B3">
        <w:trPr>
          <w:trHeight w:val="20"/>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5598F81C" w14:textId="77777777" w:rsidR="008E784A" w:rsidRPr="00DB5229" w:rsidRDefault="008E784A" w:rsidP="005E0DD7">
            <w:pPr>
              <w:spacing w:after="0" w:line="200" w:lineRule="exact"/>
              <w:jc w:val="center"/>
              <w:rPr>
                <w:rFonts w:ascii="Times New Roman" w:eastAsia="Times New Roman" w:hAnsi="Times New Roman" w:cs="Times New Roman"/>
                <w:b/>
                <w:bCs/>
                <w:color w:val="000000"/>
                <w:kern w:val="0"/>
                <w:sz w:val="16"/>
                <w:szCs w:val="16"/>
                <w:lang w:eastAsia="en-IN" w:bidi="ar-SA"/>
                <w14:ligatures w14:val="none"/>
              </w:rPr>
            </w:pPr>
            <w:r w:rsidRPr="00DB5229">
              <w:rPr>
                <w:rFonts w:ascii="Times New Roman" w:eastAsia="Times New Roman" w:hAnsi="Times New Roman" w:cs="Times New Roman"/>
                <w:b/>
                <w:bCs/>
                <w:color w:val="000000"/>
                <w:kern w:val="0"/>
                <w:sz w:val="16"/>
                <w:szCs w:val="16"/>
                <w:lang w:eastAsia="en-IN" w:bidi="ar-SA"/>
                <w14:ligatures w14:val="none"/>
              </w:rPr>
              <w:t>Regressor</w:t>
            </w:r>
          </w:p>
        </w:tc>
        <w:tc>
          <w:tcPr>
            <w:tcW w:w="1134" w:type="dxa"/>
            <w:tcBorders>
              <w:top w:val="single" w:sz="4" w:space="0" w:color="auto"/>
              <w:left w:val="nil"/>
              <w:bottom w:val="single" w:sz="4" w:space="0" w:color="auto"/>
              <w:right w:val="single" w:sz="4" w:space="0" w:color="auto"/>
            </w:tcBorders>
            <w:vAlign w:val="center"/>
            <w:hideMark/>
          </w:tcPr>
          <w:p w14:paraId="68732402" w14:textId="77777777" w:rsidR="008E784A" w:rsidRPr="00DB5229" w:rsidRDefault="008E784A" w:rsidP="005E0DD7">
            <w:pPr>
              <w:spacing w:after="0" w:line="200" w:lineRule="exact"/>
              <w:jc w:val="center"/>
              <w:rPr>
                <w:rFonts w:ascii="Times New Roman" w:eastAsia="Times New Roman" w:hAnsi="Times New Roman" w:cs="Times New Roman"/>
                <w:b/>
                <w:bCs/>
                <w:color w:val="000000"/>
                <w:kern w:val="0"/>
                <w:sz w:val="16"/>
                <w:szCs w:val="16"/>
                <w:lang w:eastAsia="en-IN" w:bidi="ar-SA"/>
                <w14:ligatures w14:val="none"/>
              </w:rPr>
            </w:pPr>
            <w:r w:rsidRPr="00DB5229">
              <w:rPr>
                <w:rFonts w:ascii="Times New Roman" w:eastAsia="Times New Roman" w:hAnsi="Times New Roman" w:cs="Times New Roman"/>
                <w:b/>
                <w:bCs/>
                <w:color w:val="000000"/>
                <w:kern w:val="0"/>
                <w:sz w:val="16"/>
                <w:szCs w:val="16"/>
                <w:lang w:eastAsia="en-IN" w:bidi="ar-SA"/>
                <w14:ligatures w14:val="none"/>
              </w:rPr>
              <w:t>Coefficient</w:t>
            </w:r>
          </w:p>
        </w:tc>
        <w:tc>
          <w:tcPr>
            <w:tcW w:w="1559" w:type="dxa"/>
            <w:tcBorders>
              <w:top w:val="single" w:sz="4" w:space="0" w:color="auto"/>
              <w:left w:val="nil"/>
              <w:bottom w:val="single" w:sz="4" w:space="0" w:color="auto"/>
              <w:right w:val="single" w:sz="4" w:space="0" w:color="auto"/>
            </w:tcBorders>
            <w:vAlign w:val="center"/>
            <w:hideMark/>
          </w:tcPr>
          <w:p w14:paraId="243958C4" w14:textId="77777777" w:rsidR="008E784A" w:rsidRPr="00DB5229" w:rsidRDefault="008E784A" w:rsidP="005E0DD7">
            <w:pPr>
              <w:spacing w:after="0" w:line="200" w:lineRule="exact"/>
              <w:jc w:val="center"/>
              <w:rPr>
                <w:rFonts w:ascii="Times New Roman" w:eastAsia="Times New Roman" w:hAnsi="Times New Roman" w:cs="Times New Roman"/>
                <w:b/>
                <w:bCs/>
                <w:color w:val="000000"/>
                <w:kern w:val="0"/>
                <w:sz w:val="16"/>
                <w:szCs w:val="16"/>
                <w:lang w:eastAsia="en-IN" w:bidi="ar-SA"/>
                <w14:ligatures w14:val="none"/>
              </w:rPr>
            </w:pPr>
            <w:r w:rsidRPr="00DB5229">
              <w:rPr>
                <w:rFonts w:ascii="Times New Roman" w:eastAsia="Times New Roman" w:hAnsi="Times New Roman" w:cs="Times New Roman"/>
                <w:b/>
                <w:bCs/>
                <w:color w:val="000000"/>
                <w:kern w:val="0"/>
                <w:sz w:val="16"/>
                <w:szCs w:val="16"/>
                <w:lang w:eastAsia="en-IN" w:bidi="ar-SA"/>
                <w14:ligatures w14:val="none"/>
              </w:rPr>
              <w:t>Standard Error</w:t>
            </w:r>
          </w:p>
        </w:tc>
        <w:tc>
          <w:tcPr>
            <w:tcW w:w="1165" w:type="dxa"/>
            <w:tcBorders>
              <w:top w:val="single" w:sz="4" w:space="0" w:color="auto"/>
              <w:left w:val="nil"/>
              <w:bottom w:val="single" w:sz="4" w:space="0" w:color="auto"/>
              <w:right w:val="single" w:sz="4" w:space="0" w:color="auto"/>
            </w:tcBorders>
            <w:vAlign w:val="center"/>
            <w:hideMark/>
          </w:tcPr>
          <w:p w14:paraId="470F0A3B" w14:textId="77777777" w:rsidR="008E784A" w:rsidRPr="00DB5229" w:rsidRDefault="008E784A" w:rsidP="005E0DD7">
            <w:pPr>
              <w:spacing w:after="0" w:line="200" w:lineRule="exact"/>
              <w:jc w:val="center"/>
              <w:rPr>
                <w:rFonts w:ascii="Times New Roman" w:eastAsia="Times New Roman" w:hAnsi="Times New Roman" w:cs="Times New Roman"/>
                <w:b/>
                <w:bCs/>
                <w:color w:val="000000"/>
                <w:kern w:val="0"/>
                <w:sz w:val="16"/>
                <w:szCs w:val="16"/>
                <w:lang w:eastAsia="en-IN" w:bidi="ar-SA"/>
                <w14:ligatures w14:val="none"/>
              </w:rPr>
            </w:pPr>
            <w:r w:rsidRPr="00DB5229">
              <w:rPr>
                <w:rFonts w:ascii="Times New Roman" w:eastAsia="Times New Roman" w:hAnsi="Times New Roman" w:cs="Times New Roman"/>
                <w:b/>
                <w:bCs/>
                <w:color w:val="000000"/>
                <w:kern w:val="0"/>
                <w:sz w:val="16"/>
                <w:szCs w:val="16"/>
                <w:lang w:eastAsia="en-IN" w:bidi="ar-SA"/>
                <w14:ligatures w14:val="none"/>
              </w:rPr>
              <w:t>T-Ratio</w:t>
            </w:r>
          </w:p>
        </w:tc>
      </w:tr>
      <w:tr w:rsidR="008E784A" w:rsidRPr="00DB5229" w14:paraId="26E1F250"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03B1EA27"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 State Domestic Product at Factor Cost</w:t>
            </w:r>
          </w:p>
        </w:tc>
        <w:tc>
          <w:tcPr>
            <w:tcW w:w="1134" w:type="dxa"/>
            <w:tcBorders>
              <w:top w:val="nil"/>
              <w:left w:val="nil"/>
              <w:bottom w:val="single" w:sz="4" w:space="0" w:color="auto"/>
              <w:right w:val="single" w:sz="4" w:space="0" w:color="auto"/>
            </w:tcBorders>
            <w:vAlign w:val="center"/>
            <w:hideMark/>
          </w:tcPr>
          <w:p w14:paraId="5B707FC8"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0.7414</w:t>
            </w:r>
          </w:p>
        </w:tc>
        <w:tc>
          <w:tcPr>
            <w:tcW w:w="1559" w:type="dxa"/>
            <w:tcBorders>
              <w:top w:val="nil"/>
              <w:left w:val="nil"/>
              <w:bottom w:val="single" w:sz="4" w:space="0" w:color="auto"/>
              <w:right w:val="single" w:sz="4" w:space="0" w:color="auto"/>
            </w:tcBorders>
            <w:vAlign w:val="center"/>
            <w:hideMark/>
          </w:tcPr>
          <w:p w14:paraId="05E2FC8B"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0.0684</w:t>
            </w:r>
          </w:p>
        </w:tc>
        <w:tc>
          <w:tcPr>
            <w:tcW w:w="1165" w:type="dxa"/>
            <w:tcBorders>
              <w:top w:val="nil"/>
              <w:left w:val="nil"/>
              <w:bottom w:val="single" w:sz="4" w:space="0" w:color="auto"/>
              <w:right w:val="single" w:sz="4" w:space="0" w:color="auto"/>
            </w:tcBorders>
            <w:vAlign w:val="center"/>
            <w:hideMark/>
          </w:tcPr>
          <w:p w14:paraId="6FFF0EA6"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10.8323</w:t>
            </w:r>
          </w:p>
        </w:tc>
      </w:tr>
      <w:tr w:rsidR="008E784A" w:rsidRPr="00DB5229" w14:paraId="0C32D7F8"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4519B237"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2. Proportion of income originating from non-primary sector to total income originating</w:t>
            </w:r>
          </w:p>
        </w:tc>
        <w:tc>
          <w:tcPr>
            <w:tcW w:w="1134" w:type="dxa"/>
            <w:tcBorders>
              <w:top w:val="nil"/>
              <w:left w:val="nil"/>
              <w:bottom w:val="single" w:sz="4" w:space="0" w:color="auto"/>
              <w:right w:val="single" w:sz="4" w:space="0" w:color="auto"/>
            </w:tcBorders>
            <w:vAlign w:val="center"/>
            <w:hideMark/>
          </w:tcPr>
          <w:p w14:paraId="05D6C8F1"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2.6072</w:t>
            </w:r>
          </w:p>
        </w:tc>
        <w:tc>
          <w:tcPr>
            <w:tcW w:w="1559" w:type="dxa"/>
            <w:tcBorders>
              <w:top w:val="nil"/>
              <w:left w:val="nil"/>
              <w:bottom w:val="single" w:sz="4" w:space="0" w:color="auto"/>
              <w:right w:val="single" w:sz="4" w:space="0" w:color="auto"/>
            </w:tcBorders>
            <w:vAlign w:val="center"/>
            <w:hideMark/>
          </w:tcPr>
          <w:p w14:paraId="1BE77AAD"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0.5096</w:t>
            </w:r>
          </w:p>
        </w:tc>
        <w:tc>
          <w:tcPr>
            <w:tcW w:w="1165" w:type="dxa"/>
            <w:tcBorders>
              <w:top w:val="nil"/>
              <w:left w:val="nil"/>
              <w:bottom w:val="single" w:sz="4" w:space="0" w:color="auto"/>
              <w:right w:val="single" w:sz="4" w:space="0" w:color="auto"/>
            </w:tcBorders>
            <w:vAlign w:val="center"/>
            <w:hideMark/>
          </w:tcPr>
          <w:p w14:paraId="1A5A105F"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5.1163</w:t>
            </w:r>
          </w:p>
        </w:tc>
      </w:tr>
      <w:tr w:rsidR="008E784A" w:rsidRPr="00DB5229" w14:paraId="281F205D"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1593F533"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Time period (1980-81)</w:t>
            </w:r>
          </w:p>
        </w:tc>
        <w:tc>
          <w:tcPr>
            <w:tcW w:w="1134" w:type="dxa"/>
            <w:tcBorders>
              <w:top w:val="nil"/>
              <w:left w:val="nil"/>
              <w:bottom w:val="single" w:sz="4" w:space="0" w:color="auto"/>
              <w:right w:val="single" w:sz="4" w:space="0" w:color="auto"/>
            </w:tcBorders>
            <w:vAlign w:val="center"/>
            <w:hideMark/>
          </w:tcPr>
          <w:p w14:paraId="68327087"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1.9193</w:t>
            </w:r>
          </w:p>
        </w:tc>
        <w:tc>
          <w:tcPr>
            <w:tcW w:w="1559" w:type="dxa"/>
            <w:tcBorders>
              <w:top w:val="nil"/>
              <w:left w:val="nil"/>
              <w:bottom w:val="single" w:sz="4" w:space="0" w:color="auto"/>
              <w:right w:val="single" w:sz="4" w:space="0" w:color="auto"/>
            </w:tcBorders>
            <w:vAlign w:val="center"/>
            <w:hideMark/>
          </w:tcPr>
          <w:p w14:paraId="7213E46D"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1.238</w:t>
            </w:r>
          </w:p>
        </w:tc>
        <w:tc>
          <w:tcPr>
            <w:tcW w:w="1165" w:type="dxa"/>
            <w:tcBorders>
              <w:top w:val="nil"/>
              <w:left w:val="nil"/>
              <w:bottom w:val="single" w:sz="4" w:space="0" w:color="auto"/>
              <w:right w:val="single" w:sz="4" w:space="0" w:color="auto"/>
            </w:tcBorders>
            <w:vAlign w:val="center"/>
            <w:hideMark/>
          </w:tcPr>
          <w:p w14:paraId="002F0D55"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1.5503</w:t>
            </w:r>
          </w:p>
        </w:tc>
      </w:tr>
      <w:tr w:rsidR="008E784A" w:rsidRPr="00DB5229" w14:paraId="24BADC69"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4D296940"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Time period (1981-82)</w:t>
            </w:r>
          </w:p>
        </w:tc>
        <w:tc>
          <w:tcPr>
            <w:tcW w:w="1134" w:type="dxa"/>
            <w:tcBorders>
              <w:top w:val="nil"/>
              <w:left w:val="nil"/>
              <w:bottom w:val="single" w:sz="4" w:space="0" w:color="auto"/>
              <w:right w:val="single" w:sz="4" w:space="0" w:color="auto"/>
            </w:tcBorders>
            <w:vAlign w:val="center"/>
            <w:hideMark/>
          </w:tcPr>
          <w:p w14:paraId="48B79FD4"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1.9356</w:t>
            </w:r>
          </w:p>
        </w:tc>
        <w:tc>
          <w:tcPr>
            <w:tcW w:w="1559" w:type="dxa"/>
            <w:tcBorders>
              <w:top w:val="nil"/>
              <w:left w:val="nil"/>
              <w:bottom w:val="single" w:sz="4" w:space="0" w:color="auto"/>
              <w:right w:val="single" w:sz="4" w:space="0" w:color="auto"/>
            </w:tcBorders>
            <w:vAlign w:val="center"/>
            <w:hideMark/>
          </w:tcPr>
          <w:p w14:paraId="477B7137"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1.227</w:t>
            </w:r>
          </w:p>
        </w:tc>
        <w:tc>
          <w:tcPr>
            <w:tcW w:w="1165" w:type="dxa"/>
            <w:tcBorders>
              <w:top w:val="nil"/>
              <w:left w:val="nil"/>
              <w:bottom w:val="single" w:sz="4" w:space="0" w:color="auto"/>
              <w:right w:val="single" w:sz="4" w:space="0" w:color="auto"/>
            </w:tcBorders>
            <w:vAlign w:val="center"/>
            <w:hideMark/>
          </w:tcPr>
          <w:p w14:paraId="65B325B7"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1.5774</w:t>
            </w:r>
          </w:p>
        </w:tc>
      </w:tr>
      <w:tr w:rsidR="008E784A" w:rsidRPr="00DB5229" w14:paraId="664F429B"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2FA67672"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Time period (1982-83)</w:t>
            </w:r>
          </w:p>
        </w:tc>
        <w:tc>
          <w:tcPr>
            <w:tcW w:w="1134" w:type="dxa"/>
            <w:tcBorders>
              <w:top w:val="nil"/>
              <w:left w:val="nil"/>
              <w:bottom w:val="single" w:sz="4" w:space="0" w:color="auto"/>
              <w:right w:val="single" w:sz="4" w:space="0" w:color="auto"/>
            </w:tcBorders>
            <w:vAlign w:val="center"/>
            <w:hideMark/>
          </w:tcPr>
          <w:p w14:paraId="201AC623"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1.8962</w:t>
            </w:r>
          </w:p>
        </w:tc>
        <w:tc>
          <w:tcPr>
            <w:tcW w:w="1559" w:type="dxa"/>
            <w:tcBorders>
              <w:top w:val="nil"/>
              <w:left w:val="nil"/>
              <w:bottom w:val="single" w:sz="4" w:space="0" w:color="auto"/>
              <w:right w:val="single" w:sz="4" w:space="0" w:color="auto"/>
            </w:tcBorders>
            <w:vAlign w:val="center"/>
            <w:hideMark/>
          </w:tcPr>
          <w:p w14:paraId="3E2FF492"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1.2214</w:t>
            </w:r>
          </w:p>
        </w:tc>
        <w:tc>
          <w:tcPr>
            <w:tcW w:w="1165" w:type="dxa"/>
            <w:tcBorders>
              <w:top w:val="nil"/>
              <w:left w:val="nil"/>
              <w:bottom w:val="single" w:sz="4" w:space="0" w:color="auto"/>
              <w:right w:val="single" w:sz="4" w:space="0" w:color="auto"/>
            </w:tcBorders>
            <w:vAlign w:val="center"/>
            <w:hideMark/>
          </w:tcPr>
          <w:p w14:paraId="50C6664C"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1.5525</w:t>
            </w:r>
          </w:p>
        </w:tc>
      </w:tr>
      <w:tr w:rsidR="008E784A" w:rsidRPr="00DB5229" w14:paraId="6C346B82"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09BB1BB7"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Time period (1983-84)</w:t>
            </w:r>
          </w:p>
        </w:tc>
        <w:tc>
          <w:tcPr>
            <w:tcW w:w="1134" w:type="dxa"/>
            <w:tcBorders>
              <w:top w:val="nil"/>
              <w:left w:val="nil"/>
              <w:bottom w:val="single" w:sz="4" w:space="0" w:color="auto"/>
              <w:right w:val="single" w:sz="4" w:space="0" w:color="auto"/>
            </w:tcBorders>
            <w:vAlign w:val="center"/>
            <w:hideMark/>
          </w:tcPr>
          <w:p w14:paraId="6A22E211"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1.9421</w:t>
            </w:r>
          </w:p>
        </w:tc>
        <w:tc>
          <w:tcPr>
            <w:tcW w:w="1559" w:type="dxa"/>
            <w:tcBorders>
              <w:top w:val="nil"/>
              <w:left w:val="nil"/>
              <w:bottom w:val="single" w:sz="4" w:space="0" w:color="auto"/>
              <w:right w:val="single" w:sz="4" w:space="0" w:color="auto"/>
            </w:tcBorders>
            <w:vAlign w:val="center"/>
            <w:hideMark/>
          </w:tcPr>
          <w:p w14:paraId="574794EB"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1.2429</w:t>
            </w:r>
          </w:p>
        </w:tc>
        <w:tc>
          <w:tcPr>
            <w:tcW w:w="1165" w:type="dxa"/>
            <w:tcBorders>
              <w:top w:val="nil"/>
              <w:left w:val="nil"/>
              <w:bottom w:val="single" w:sz="4" w:space="0" w:color="auto"/>
              <w:right w:val="single" w:sz="4" w:space="0" w:color="auto"/>
            </w:tcBorders>
            <w:vAlign w:val="center"/>
            <w:hideMark/>
          </w:tcPr>
          <w:p w14:paraId="7028E70A"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1.5626</w:t>
            </w:r>
          </w:p>
        </w:tc>
      </w:tr>
      <w:tr w:rsidR="008E784A" w:rsidRPr="00DB5229" w14:paraId="0AB0AF7C" w14:textId="77777777" w:rsidTr="00D539B3">
        <w:trPr>
          <w:trHeight w:val="20"/>
          <w:jc w:val="center"/>
        </w:trPr>
        <w:tc>
          <w:tcPr>
            <w:tcW w:w="5240" w:type="dxa"/>
            <w:tcBorders>
              <w:top w:val="nil"/>
              <w:left w:val="single" w:sz="4" w:space="0" w:color="auto"/>
              <w:bottom w:val="single" w:sz="4" w:space="0" w:color="auto"/>
              <w:right w:val="single" w:sz="4" w:space="0" w:color="auto"/>
            </w:tcBorders>
            <w:vAlign w:val="center"/>
            <w:hideMark/>
          </w:tcPr>
          <w:p w14:paraId="320D4440" w14:textId="77777777" w:rsidR="008E784A" w:rsidRPr="00DB5229" w:rsidRDefault="008E784A" w:rsidP="005E0DD7">
            <w:pPr>
              <w:spacing w:after="0" w:line="200" w:lineRule="exact"/>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Time period (1984-85)</w:t>
            </w:r>
          </w:p>
        </w:tc>
        <w:tc>
          <w:tcPr>
            <w:tcW w:w="1134" w:type="dxa"/>
            <w:tcBorders>
              <w:top w:val="nil"/>
              <w:left w:val="nil"/>
              <w:bottom w:val="single" w:sz="4" w:space="0" w:color="auto"/>
              <w:right w:val="single" w:sz="4" w:space="0" w:color="auto"/>
            </w:tcBorders>
            <w:vAlign w:val="center"/>
            <w:hideMark/>
          </w:tcPr>
          <w:p w14:paraId="420025FD"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1.8708</w:t>
            </w:r>
          </w:p>
        </w:tc>
        <w:tc>
          <w:tcPr>
            <w:tcW w:w="1559" w:type="dxa"/>
            <w:tcBorders>
              <w:top w:val="nil"/>
              <w:left w:val="nil"/>
              <w:bottom w:val="single" w:sz="4" w:space="0" w:color="auto"/>
              <w:right w:val="single" w:sz="4" w:space="0" w:color="auto"/>
            </w:tcBorders>
            <w:vAlign w:val="center"/>
            <w:hideMark/>
          </w:tcPr>
          <w:p w14:paraId="1ABE337A"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1.2256</w:t>
            </w:r>
          </w:p>
        </w:tc>
        <w:tc>
          <w:tcPr>
            <w:tcW w:w="1165" w:type="dxa"/>
            <w:tcBorders>
              <w:top w:val="nil"/>
              <w:left w:val="nil"/>
              <w:bottom w:val="single" w:sz="4" w:space="0" w:color="auto"/>
              <w:right w:val="single" w:sz="4" w:space="0" w:color="auto"/>
            </w:tcBorders>
            <w:vAlign w:val="center"/>
            <w:hideMark/>
          </w:tcPr>
          <w:p w14:paraId="0DC99DA0" w14:textId="77777777" w:rsidR="008E784A" w:rsidRPr="00DB5229" w:rsidRDefault="008E784A" w:rsidP="005E0DD7">
            <w:pPr>
              <w:spacing w:after="0" w:line="200" w:lineRule="exact"/>
              <w:jc w:val="center"/>
              <w:rPr>
                <w:rFonts w:ascii="Times New Roman" w:eastAsia="Times New Roman" w:hAnsi="Times New Roman" w:cs="Times New Roman"/>
                <w:color w:val="000000"/>
                <w:kern w:val="0"/>
                <w:sz w:val="16"/>
                <w:szCs w:val="16"/>
                <w:lang w:eastAsia="en-IN" w:bidi="ar-SA"/>
                <w14:ligatures w14:val="none"/>
              </w:rPr>
            </w:pPr>
            <w:r w:rsidRPr="00DB5229">
              <w:rPr>
                <w:rFonts w:ascii="Times New Roman" w:eastAsia="Times New Roman" w:hAnsi="Times New Roman" w:cs="Times New Roman"/>
                <w:color w:val="000000"/>
                <w:kern w:val="0"/>
                <w:sz w:val="16"/>
                <w:szCs w:val="16"/>
                <w:lang w:eastAsia="en-IN" w:bidi="ar-SA"/>
                <w14:ligatures w14:val="none"/>
              </w:rPr>
              <w:t>1.5265</w:t>
            </w:r>
          </w:p>
        </w:tc>
      </w:tr>
    </w:tbl>
    <w:tbl>
      <w:tblPr>
        <w:tblStyle w:val="TableGrid"/>
        <w:tblW w:w="9103" w:type="dxa"/>
        <w:jc w:val="center"/>
        <w:tblLook w:val="04A0" w:firstRow="1" w:lastRow="0" w:firstColumn="1" w:lastColumn="0" w:noHBand="0" w:noVBand="1"/>
      </w:tblPr>
      <w:tblGrid>
        <w:gridCol w:w="3256"/>
        <w:gridCol w:w="1984"/>
        <w:gridCol w:w="2693"/>
        <w:gridCol w:w="1170"/>
      </w:tblGrid>
      <w:tr w:rsidR="008E784A" w:rsidRPr="00DB5229" w14:paraId="01F071CB" w14:textId="77777777" w:rsidTr="00D539B3">
        <w:trPr>
          <w:trHeight w:val="20"/>
          <w:jc w:val="center"/>
        </w:trPr>
        <w:tc>
          <w:tcPr>
            <w:tcW w:w="3256" w:type="dxa"/>
            <w:hideMark/>
          </w:tcPr>
          <w:p w14:paraId="5ADACFAC" w14:textId="77777777" w:rsidR="008E784A" w:rsidRPr="00DB5229" w:rsidRDefault="008E784A"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1984" w:type="dxa"/>
            <w:hideMark/>
          </w:tcPr>
          <w:p w14:paraId="175DD26D" w14:textId="77777777" w:rsidR="008E784A" w:rsidRPr="00DB5229" w:rsidRDefault="008E784A"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Value</w:t>
            </w:r>
          </w:p>
        </w:tc>
        <w:tc>
          <w:tcPr>
            <w:tcW w:w="2693" w:type="dxa"/>
            <w:hideMark/>
          </w:tcPr>
          <w:p w14:paraId="055E6A61" w14:textId="77777777" w:rsidR="008E784A" w:rsidRPr="00DB5229" w:rsidRDefault="008E784A"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1170" w:type="dxa"/>
            <w:hideMark/>
          </w:tcPr>
          <w:p w14:paraId="1223C95B" w14:textId="77777777" w:rsidR="008E784A" w:rsidRPr="00DB5229" w:rsidRDefault="008E784A"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Value</w:t>
            </w:r>
          </w:p>
        </w:tc>
      </w:tr>
      <w:tr w:rsidR="008E784A" w:rsidRPr="00DB5229" w14:paraId="611C68C3" w14:textId="77777777" w:rsidTr="00D539B3">
        <w:trPr>
          <w:trHeight w:val="20"/>
          <w:jc w:val="center"/>
        </w:trPr>
        <w:tc>
          <w:tcPr>
            <w:tcW w:w="3256" w:type="dxa"/>
            <w:hideMark/>
          </w:tcPr>
          <w:p w14:paraId="004A2209"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1984" w:type="dxa"/>
            <w:hideMark/>
          </w:tcPr>
          <w:p w14:paraId="370869F8"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0.9678</w:t>
            </w:r>
          </w:p>
        </w:tc>
        <w:tc>
          <w:tcPr>
            <w:tcW w:w="2693" w:type="dxa"/>
            <w:hideMark/>
          </w:tcPr>
          <w:p w14:paraId="58D6307E"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170" w:type="dxa"/>
            <w:hideMark/>
          </w:tcPr>
          <w:p w14:paraId="2C0F46D0"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0.2383</w:t>
            </w:r>
          </w:p>
        </w:tc>
      </w:tr>
      <w:tr w:rsidR="008E784A" w:rsidRPr="00DB5229" w14:paraId="17BB52A6" w14:textId="77777777" w:rsidTr="00D539B3">
        <w:trPr>
          <w:trHeight w:val="20"/>
          <w:jc w:val="center"/>
        </w:trPr>
        <w:tc>
          <w:tcPr>
            <w:tcW w:w="3256" w:type="dxa"/>
            <w:hideMark/>
          </w:tcPr>
          <w:p w14:paraId="19EBDA75"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1984" w:type="dxa"/>
            <w:hideMark/>
          </w:tcPr>
          <w:p w14:paraId="08287746"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0.9571</w:t>
            </w:r>
          </w:p>
        </w:tc>
        <w:tc>
          <w:tcPr>
            <w:tcW w:w="2693" w:type="dxa"/>
            <w:hideMark/>
          </w:tcPr>
          <w:p w14:paraId="137477D2"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170" w:type="dxa"/>
            <w:hideMark/>
          </w:tcPr>
          <w:p w14:paraId="76258063" w14:textId="77777777" w:rsidR="008E784A" w:rsidRPr="00DB5229" w:rsidRDefault="008E784A"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0.1151</w:t>
            </w:r>
          </w:p>
        </w:tc>
      </w:tr>
    </w:tbl>
    <w:p w14:paraId="1FDE3BEA" w14:textId="52A31BF1" w:rsidR="008E784A" w:rsidRPr="00DB5229" w:rsidRDefault="008E784A" w:rsidP="00487882">
      <w:pPr>
        <w:spacing w:after="0" w:line="200" w:lineRule="exact"/>
        <w:ind w:left="720"/>
        <w:rPr>
          <w:rFonts w:ascii="Times New Roman" w:hAnsi="Times New Roman" w:cs="Times New Roman"/>
          <w:sz w:val="16"/>
          <w:szCs w:val="16"/>
        </w:rPr>
      </w:pPr>
    </w:p>
    <w:tbl>
      <w:tblPr>
        <w:tblStyle w:val="TableGrid"/>
        <w:tblW w:w="9193" w:type="dxa"/>
        <w:jc w:val="center"/>
        <w:tblLook w:val="04A0" w:firstRow="1" w:lastRow="0" w:firstColumn="1" w:lastColumn="0" w:noHBand="0" w:noVBand="1"/>
      </w:tblPr>
      <w:tblGrid>
        <w:gridCol w:w="5240"/>
        <w:gridCol w:w="3953"/>
      </w:tblGrid>
      <w:tr w:rsidR="00A35E97" w:rsidRPr="00DB5229" w14:paraId="3F6E4C8E" w14:textId="77777777" w:rsidTr="002B7DAB">
        <w:trPr>
          <w:trHeight w:val="20"/>
          <w:jc w:val="center"/>
        </w:trPr>
        <w:tc>
          <w:tcPr>
            <w:tcW w:w="5240" w:type="dxa"/>
            <w:hideMark/>
          </w:tcPr>
          <w:p w14:paraId="0BC47FAC" w14:textId="77777777" w:rsidR="00A35E97" w:rsidRPr="00DB5229" w:rsidRDefault="00A35E97"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3953" w:type="dxa"/>
            <w:hideMark/>
          </w:tcPr>
          <w:p w14:paraId="0C62A55B" w14:textId="77777777" w:rsidR="00A35E97" w:rsidRPr="00DB5229" w:rsidRDefault="00A35E97"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Total Tax Revenue from Stamps and Registration</w:t>
            </w:r>
          </w:p>
        </w:tc>
      </w:tr>
      <w:tr w:rsidR="00A35E97" w:rsidRPr="00DB5229" w14:paraId="7A1BA6DC" w14:textId="77777777" w:rsidTr="002B7DAB">
        <w:trPr>
          <w:trHeight w:val="20"/>
          <w:jc w:val="center"/>
        </w:trPr>
        <w:tc>
          <w:tcPr>
            <w:tcW w:w="5240" w:type="dxa"/>
            <w:hideMark/>
          </w:tcPr>
          <w:p w14:paraId="057BBBC8"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3953" w:type="dxa"/>
            <w:hideMark/>
          </w:tcPr>
          <w:p w14:paraId="76DF931D"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High Income States</w:t>
            </w:r>
          </w:p>
        </w:tc>
      </w:tr>
      <w:tr w:rsidR="00A35E97" w:rsidRPr="00DB5229" w14:paraId="729BE8BB" w14:textId="77777777" w:rsidTr="002B7DAB">
        <w:trPr>
          <w:trHeight w:val="20"/>
          <w:jc w:val="center"/>
        </w:trPr>
        <w:tc>
          <w:tcPr>
            <w:tcW w:w="5240" w:type="dxa"/>
            <w:hideMark/>
          </w:tcPr>
          <w:p w14:paraId="11DD3259"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3953" w:type="dxa"/>
            <w:hideMark/>
          </w:tcPr>
          <w:p w14:paraId="6DE12D83"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20</w:t>
            </w:r>
          </w:p>
        </w:tc>
      </w:tr>
      <w:tr w:rsidR="00A35E97" w:rsidRPr="00DB5229" w14:paraId="6A30EC59" w14:textId="77777777" w:rsidTr="002B7DAB">
        <w:trPr>
          <w:trHeight w:val="20"/>
          <w:jc w:val="center"/>
        </w:trPr>
        <w:tc>
          <w:tcPr>
            <w:tcW w:w="5240" w:type="dxa"/>
            <w:hideMark/>
          </w:tcPr>
          <w:p w14:paraId="623C4EBC"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3953" w:type="dxa"/>
            <w:hideMark/>
          </w:tcPr>
          <w:p w14:paraId="3EA5656D"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13</w:t>
            </w:r>
          </w:p>
        </w:tc>
      </w:tr>
    </w:tbl>
    <w:p w14:paraId="71E805CB" w14:textId="77777777" w:rsidR="00A35E97" w:rsidRPr="00DB5229" w:rsidRDefault="00A35E97" w:rsidP="005E0DD7">
      <w:pPr>
        <w:spacing w:line="200" w:lineRule="exact"/>
        <w:rPr>
          <w:rFonts w:ascii="Times New Roman" w:hAnsi="Times New Roman" w:cs="Times New Roman"/>
          <w:vanish/>
          <w:sz w:val="16"/>
          <w:szCs w:val="16"/>
        </w:rPr>
      </w:pPr>
    </w:p>
    <w:tbl>
      <w:tblPr>
        <w:tblStyle w:val="TableGrid"/>
        <w:tblW w:w="9227" w:type="dxa"/>
        <w:jc w:val="center"/>
        <w:tblLook w:val="04A0" w:firstRow="1" w:lastRow="0" w:firstColumn="1" w:lastColumn="0" w:noHBand="0" w:noVBand="1"/>
      </w:tblPr>
      <w:tblGrid>
        <w:gridCol w:w="5240"/>
        <w:gridCol w:w="1134"/>
        <w:gridCol w:w="1720"/>
        <w:gridCol w:w="1133"/>
      </w:tblGrid>
      <w:tr w:rsidR="00A35E97" w:rsidRPr="00DB5229" w14:paraId="7B4DB5A1" w14:textId="77777777" w:rsidTr="00D539B3">
        <w:trPr>
          <w:trHeight w:val="20"/>
          <w:jc w:val="center"/>
        </w:trPr>
        <w:tc>
          <w:tcPr>
            <w:tcW w:w="5240" w:type="dxa"/>
            <w:vAlign w:val="center"/>
            <w:hideMark/>
          </w:tcPr>
          <w:p w14:paraId="6D33396D" w14:textId="77777777" w:rsidR="00A35E97" w:rsidRPr="00DB5229" w:rsidRDefault="00A35E97"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134" w:type="dxa"/>
            <w:vAlign w:val="center"/>
            <w:hideMark/>
          </w:tcPr>
          <w:p w14:paraId="612EEE07" w14:textId="77777777" w:rsidR="00A35E97" w:rsidRPr="00DB5229" w:rsidRDefault="00A35E97"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720" w:type="dxa"/>
            <w:vAlign w:val="center"/>
            <w:hideMark/>
          </w:tcPr>
          <w:p w14:paraId="606E5DE1" w14:textId="77777777" w:rsidR="00A35E97" w:rsidRPr="00DB5229" w:rsidRDefault="00A35E97"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133" w:type="dxa"/>
            <w:vAlign w:val="center"/>
            <w:hideMark/>
          </w:tcPr>
          <w:p w14:paraId="05146AB1" w14:textId="77777777" w:rsidR="00A35E97" w:rsidRPr="00DB5229" w:rsidRDefault="00A35E97"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A35E97" w:rsidRPr="00DB5229" w14:paraId="7FFFEBCB" w14:textId="77777777" w:rsidTr="00D539B3">
        <w:trPr>
          <w:trHeight w:val="20"/>
          <w:jc w:val="center"/>
        </w:trPr>
        <w:tc>
          <w:tcPr>
            <w:tcW w:w="5240" w:type="dxa"/>
            <w:vAlign w:val="center"/>
            <w:hideMark/>
          </w:tcPr>
          <w:p w14:paraId="6F3DDD91"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1. State Domestic Product at Factor Cost</w:t>
            </w:r>
          </w:p>
        </w:tc>
        <w:tc>
          <w:tcPr>
            <w:tcW w:w="1134" w:type="dxa"/>
            <w:vAlign w:val="center"/>
            <w:hideMark/>
          </w:tcPr>
          <w:p w14:paraId="3369FC16"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0.5633</w:t>
            </w:r>
          </w:p>
        </w:tc>
        <w:tc>
          <w:tcPr>
            <w:tcW w:w="1720" w:type="dxa"/>
            <w:vAlign w:val="center"/>
            <w:hideMark/>
          </w:tcPr>
          <w:p w14:paraId="03F8ADF0"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0.0542</w:t>
            </w:r>
          </w:p>
        </w:tc>
        <w:tc>
          <w:tcPr>
            <w:tcW w:w="0" w:type="auto"/>
            <w:vAlign w:val="center"/>
            <w:hideMark/>
          </w:tcPr>
          <w:p w14:paraId="763590C6"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10.4006</w:t>
            </w:r>
          </w:p>
        </w:tc>
      </w:tr>
      <w:tr w:rsidR="00A35E97" w:rsidRPr="00DB5229" w14:paraId="3E758673" w14:textId="77777777" w:rsidTr="00D539B3">
        <w:trPr>
          <w:trHeight w:val="20"/>
          <w:jc w:val="center"/>
        </w:trPr>
        <w:tc>
          <w:tcPr>
            <w:tcW w:w="5240" w:type="dxa"/>
            <w:vAlign w:val="center"/>
            <w:hideMark/>
          </w:tcPr>
          <w:p w14:paraId="1805D24B"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2. Road/railway length per 1000 square kilometre area</w:t>
            </w:r>
          </w:p>
        </w:tc>
        <w:tc>
          <w:tcPr>
            <w:tcW w:w="1134" w:type="dxa"/>
            <w:vAlign w:val="center"/>
            <w:hideMark/>
          </w:tcPr>
          <w:p w14:paraId="3261515A"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0.3408</w:t>
            </w:r>
          </w:p>
        </w:tc>
        <w:tc>
          <w:tcPr>
            <w:tcW w:w="1720" w:type="dxa"/>
            <w:vAlign w:val="center"/>
            <w:hideMark/>
          </w:tcPr>
          <w:p w14:paraId="5A7AB5D2"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0.0756</w:t>
            </w:r>
          </w:p>
        </w:tc>
        <w:tc>
          <w:tcPr>
            <w:tcW w:w="0" w:type="auto"/>
            <w:vAlign w:val="center"/>
            <w:hideMark/>
          </w:tcPr>
          <w:p w14:paraId="309E281C"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4.5050</w:t>
            </w:r>
          </w:p>
        </w:tc>
      </w:tr>
      <w:tr w:rsidR="00A35E97" w:rsidRPr="00DB5229" w14:paraId="35A4E1B8" w14:textId="77777777" w:rsidTr="00D539B3">
        <w:trPr>
          <w:trHeight w:val="20"/>
          <w:jc w:val="center"/>
        </w:trPr>
        <w:tc>
          <w:tcPr>
            <w:tcW w:w="5240" w:type="dxa"/>
            <w:vAlign w:val="center"/>
            <w:hideMark/>
          </w:tcPr>
          <w:p w14:paraId="3DB3C02C"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134" w:type="dxa"/>
            <w:vAlign w:val="center"/>
            <w:hideMark/>
          </w:tcPr>
          <w:p w14:paraId="33E01C05"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-1.5170</w:t>
            </w:r>
          </w:p>
        </w:tc>
        <w:tc>
          <w:tcPr>
            <w:tcW w:w="1720" w:type="dxa"/>
            <w:vAlign w:val="center"/>
            <w:hideMark/>
          </w:tcPr>
          <w:p w14:paraId="379FC2F5"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1.0605</w:t>
            </w:r>
          </w:p>
        </w:tc>
        <w:tc>
          <w:tcPr>
            <w:tcW w:w="0" w:type="auto"/>
            <w:vAlign w:val="center"/>
            <w:hideMark/>
          </w:tcPr>
          <w:p w14:paraId="0707145D"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-1.4305</w:t>
            </w:r>
          </w:p>
        </w:tc>
      </w:tr>
      <w:tr w:rsidR="00A35E97" w:rsidRPr="00DB5229" w14:paraId="65D5EAF5" w14:textId="77777777" w:rsidTr="00D539B3">
        <w:trPr>
          <w:trHeight w:val="20"/>
          <w:jc w:val="center"/>
        </w:trPr>
        <w:tc>
          <w:tcPr>
            <w:tcW w:w="5240" w:type="dxa"/>
            <w:vAlign w:val="center"/>
            <w:hideMark/>
          </w:tcPr>
          <w:p w14:paraId="11741096"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134" w:type="dxa"/>
            <w:vAlign w:val="center"/>
            <w:hideMark/>
          </w:tcPr>
          <w:p w14:paraId="2CACFB92"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-1.3938</w:t>
            </w:r>
          </w:p>
        </w:tc>
        <w:tc>
          <w:tcPr>
            <w:tcW w:w="1720" w:type="dxa"/>
            <w:vAlign w:val="center"/>
            <w:hideMark/>
          </w:tcPr>
          <w:p w14:paraId="033BE8E8"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1.0733</w:t>
            </w:r>
          </w:p>
        </w:tc>
        <w:tc>
          <w:tcPr>
            <w:tcW w:w="0" w:type="auto"/>
            <w:vAlign w:val="center"/>
            <w:hideMark/>
          </w:tcPr>
          <w:p w14:paraId="2C62D018"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-1.2986</w:t>
            </w:r>
          </w:p>
        </w:tc>
      </w:tr>
      <w:tr w:rsidR="00A35E97" w:rsidRPr="00DB5229" w14:paraId="379D4A25" w14:textId="77777777" w:rsidTr="00D539B3">
        <w:trPr>
          <w:trHeight w:val="20"/>
          <w:jc w:val="center"/>
        </w:trPr>
        <w:tc>
          <w:tcPr>
            <w:tcW w:w="5240" w:type="dxa"/>
            <w:vAlign w:val="center"/>
            <w:hideMark/>
          </w:tcPr>
          <w:p w14:paraId="5AA3995C"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134" w:type="dxa"/>
            <w:vAlign w:val="center"/>
            <w:hideMark/>
          </w:tcPr>
          <w:p w14:paraId="513F4EE3"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-1.4140</w:t>
            </w:r>
          </w:p>
        </w:tc>
        <w:tc>
          <w:tcPr>
            <w:tcW w:w="1720" w:type="dxa"/>
            <w:vAlign w:val="center"/>
            <w:hideMark/>
          </w:tcPr>
          <w:p w14:paraId="04C24CF6"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1.0806</w:t>
            </w:r>
          </w:p>
        </w:tc>
        <w:tc>
          <w:tcPr>
            <w:tcW w:w="0" w:type="auto"/>
            <w:vAlign w:val="center"/>
            <w:hideMark/>
          </w:tcPr>
          <w:p w14:paraId="2D0F1B76"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-1.3085</w:t>
            </w:r>
          </w:p>
        </w:tc>
      </w:tr>
      <w:tr w:rsidR="00A35E97" w:rsidRPr="00DB5229" w14:paraId="4827C581" w14:textId="77777777" w:rsidTr="00D539B3">
        <w:trPr>
          <w:trHeight w:val="20"/>
          <w:jc w:val="center"/>
        </w:trPr>
        <w:tc>
          <w:tcPr>
            <w:tcW w:w="5240" w:type="dxa"/>
            <w:vAlign w:val="center"/>
            <w:hideMark/>
          </w:tcPr>
          <w:p w14:paraId="283243D6"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134" w:type="dxa"/>
            <w:vAlign w:val="center"/>
            <w:hideMark/>
          </w:tcPr>
          <w:p w14:paraId="2B612CC7"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-1.4668</w:t>
            </w:r>
          </w:p>
        </w:tc>
        <w:tc>
          <w:tcPr>
            <w:tcW w:w="1720" w:type="dxa"/>
            <w:vAlign w:val="center"/>
            <w:hideMark/>
          </w:tcPr>
          <w:p w14:paraId="49FFA56F"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1.0907</w:t>
            </w:r>
          </w:p>
        </w:tc>
        <w:tc>
          <w:tcPr>
            <w:tcW w:w="0" w:type="auto"/>
            <w:vAlign w:val="center"/>
            <w:hideMark/>
          </w:tcPr>
          <w:p w14:paraId="6F7A76AD"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-1.3448</w:t>
            </w:r>
          </w:p>
        </w:tc>
      </w:tr>
      <w:tr w:rsidR="00A35E97" w:rsidRPr="00DB5229" w14:paraId="4C37FC55" w14:textId="77777777" w:rsidTr="00D539B3">
        <w:trPr>
          <w:trHeight w:val="20"/>
          <w:jc w:val="center"/>
        </w:trPr>
        <w:tc>
          <w:tcPr>
            <w:tcW w:w="5240" w:type="dxa"/>
            <w:vAlign w:val="center"/>
            <w:hideMark/>
          </w:tcPr>
          <w:p w14:paraId="38D0CD0A"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134" w:type="dxa"/>
            <w:vAlign w:val="center"/>
            <w:hideMark/>
          </w:tcPr>
          <w:p w14:paraId="3D56D70B"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-1.4720</w:t>
            </w:r>
          </w:p>
        </w:tc>
        <w:tc>
          <w:tcPr>
            <w:tcW w:w="1720" w:type="dxa"/>
            <w:vAlign w:val="center"/>
            <w:hideMark/>
          </w:tcPr>
          <w:p w14:paraId="478495BD"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1.0980</w:t>
            </w:r>
          </w:p>
        </w:tc>
        <w:tc>
          <w:tcPr>
            <w:tcW w:w="0" w:type="auto"/>
            <w:vAlign w:val="center"/>
            <w:hideMark/>
          </w:tcPr>
          <w:p w14:paraId="44715E35"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-1.3406</w:t>
            </w:r>
          </w:p>
        </w:tc>
      </w:tr>
    </w:tbl>
    <w:p w14:paraId="1AD823FF" w14:textId="77777777" w:rsidR="00A35E97" w:rsidRPr="00DB5229" w:rsidRDefault="00A35E97" w:rsidP="005E0DD7">
      <w:pPr>
        <w:spacing w:line="200" w:lineRule="exact"/>
        <w:rPr>
          <w:rFonts w:ascii="Times New Roman" w:hAnsi="Times New Roman" w:cs="Times New Roman"/>
          <w:vanish/>
          <w:sz w:val="16"/>
          <w:szCs w:val="16"/>
        </w:rPr>
      </w:pPr>
    </w:p>
    <w:tbl>
      <w:tblPr>
        <w:tblStyle w:val="TableGrid"/>
        <w:tblW w:w="9158" w:type="dxa"/>
        <w:jc w:val="center"/>
        <w:tblLook w:val="04A0" w:firstRow="1" w:lastRow="0" w:firstColumn="1" w:lastColumn="0" w:noHBand="0" w:noVBand="1"/>
      </w:tblPr>
      <w:tblGrid>
        <w:gridCol w:w="1836"/>
        <w:gridCol w:w="3404"/>
        <w:gridCol w:w="2835"/>
        <w:gridCol w:w="1083"/>
      </w:tblGrid>
      <w:tr w:rsidR="00A35E97" w:rsidRPr="00DB5229" w14:paraId="6D5A7E89" w14:textId="77777777" w:rsidTr="002B7DAB">
        <w:trPr>
          <w:trHeight w:val="227"/>
          <w:jc w:val="center"/>
        </w:trPr>
        <w:tc>
          <w:tcPr>
            <w:tcW w:w="1836" w:type="dxa"/>
            <w:hideMark/>
          </w:tcPr>
          <w:p w14:paraId="70E99C50" w14:textId="77777777" w:rsidR="00A35E97" w:rsidRPr="00DB5229" w:rsidRDefault="00A35E97"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3404" w:type="dxa"/>
            <w:hideMark/>
          </w:tcPr>
          <w:p w14:paraId="4D1EAF7C" w14:textId="77777777" w:rsidR="00A35E97" w:rsidRPr="00DB5229" w:rsidRDefault="00A35E97"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Value</w:t>
            </w:r>
          </w:p>
        </w:tc>
        <w:tc>
          <w:tcPr>
            <w:tcW w:w="2835" w:type="dxa"/>
            <w:hideMark/>
          </w:tcPr>
          <w:p w14:paraId="2D3EFCCB" w14:textId="77777777" w:rsidR="00A35E97" w:rsidRPr="00DB5229" w:rsidRDefault="00A35E97"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1083" w:type="dxa"/>
            <w:hideMark/>
          </w:tcPr>
          <w:p w14:paraId="6474BBEE" w14:textId="77777777" w:rsidR="00A35E97" w:rsidRPr="00DB5229" w:rsidRDefault="00A35E97"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Value</w:t>
            </w:r>
          </w:p>
        </w:tc>
      </w:tr>
      <w:tr w:rsidR="00A35E97" w:rsidRPr="00DB5229" w14:paraId="5E067341" w14:textId="77777777" w:rsidTr="002B7DAB">
        <w:trPr>
          <w:trHeight w:val="227"/>
          <w:jc w:val="center"/>
        </w:trPr>
        <w:tc>
          <w:tcPr>
            <w:tcW w:w="1836" w:type="dxa"/>
            <w:hideMark/>
          </w:tcPr>
          <w:p w14:paraId="43B54F3F"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3404" w:type="dxa"/>
            <w:hideMark/>
          </w:tcPr>
          <w:p w14:paraId="1DADF8EF"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0.9156</w:t>
            </w:r>
          </w:p>
        </w:tc>
        <w:tc>
          <w:tcPr>
            <w:tcW w:w="2835" w:type="dxa"/>
            <w:hideMark/>
          </w:tcPr>
          <w:p w14:paraId="3633A285"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083" w:type="dxa"/>
            <w:hideMark/>
          </w:tcPr>
          <w:p w14:paraId="75EE9CE8"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0.1728</w:t>
            </w:r>
          </w:p>
        </w:tc>
      </w:tr>
      <w:tr w:rsidR="00A35E97" w:rsidRPr="00DB5229" w14:paraId="0AFCD358" w14:textId="77777777" w:rsidTr="002B7DAB">
        <w:trPr>
          <w:trHeight w:val="227"/>
          <w:jc w:val="center"/>
        </w:trPr>
        <w:tc>
          <w:tcPr>
            <w:tcW w:w="1836" w:type="dxa"/>
            <w:hideMark/>
          </w:tcPr>
          <w:p w14:paraId="388071EF"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3404" w:type="dxa"/>
            <w:hideMark/>
          </w:tcPr>
          <w:p w14:paraId="329FB830"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0.8767</w:t>
            </w:r>
          </w:p>
        </w:tc>
        <w:tc>
          <w:tcPr>
            <w:tcW w:w="2835" w:type="dxa"/>
            <w:hideMark/>
          </w:tcPr>
          <w:p w14:paraId="3469E587" w14:textId="77777777" w:rsidR="00A35E97" w:rsidRPr="00DB5229" w:rsidRDefault="00A35E97"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083" w:type="dxa"/>
            <w:hideMark/>
          </w:tcPr>
          <w:p w14:paraId="5D972895" w14:textId="77777777" w:rsidR="00A35E97" w:rsidRPr="00DB5229" w:rsidRDefault="00A35E97"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0.1153</w:t>
            </w:r>
          </w:p>
        </w:tc>
      </w:tr>
    </w:tbl>
    <w:p w14:paraId="35C1CD28" w14:textId="77777777" w:rsidR="00A35E97" w:rsidRPr="00DB5229" w:rsidRDefault="00A35E97" w:rsidP="002B7DAB">
      <w:pPr>
        <w:spacing w:after="0" w:line="200" w:lineRule="exact"/>
        <w:rPr>
          <w:rFonts w:ascii="Times New Roman" w:hAnsi="Times New Roman" w:cs="Times New Roman"/>
          <w:b/>
          <w:bCs/>
          <w:sz w:val="16"/>
          <w:szCs w:val="16"/>
        </w:rPr>
      </w:pPr>
    </w:p>
    <w:tbl>
      <w:tblPr>
        <w:tblStyle w:val="TableGrid"/>
        <w:tblW w:w="9203" w:type="dxa"/>
        <w:jc w:val="center"/>
        <w:tblLook w:val="04A0" w:firstRow="1" w:lastRow="0" w:firstColumn="1" w:lastColumn="0" w:noHBand="0" w:noVBand="1"/>
      </w:tblPr>
      <w:tblGrid>
        <w:gridCol w:w="5240"/>
        <w:gridCol w:w="3963"/>
      </w:tblGrid>
      <w:tr w:rsidR="00294D85" w:rsidRPr="00DB5229" w14:paraId="6D130419" w14:textId="77777777" w:rsidTr="002B7DAB">
        <w:trPr>
          <w:trHeight w:val="20"/>
          <w:jc w:val="center"/>
        </w:trPr>
        <w:tc>
          <w:tcPr>
            <w:tcW w:w="5240" w:type="dxa"/>
            <w:hideMark/>
          </w:tcPr>
          <w:p w14:paraId="4229F753"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3963" w:type="dxa"/>
            <w:vAlign w:val="center"/>
            <w:hideMark/>
          </w:tcPr>
          <w:p w14:paraId="5F020F54"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Total Tax Revenue from Stamps and Registration</w:t>
            </w:r>
          </w:p>
        </w:tc>
      </w:tr>
      <w:tr w:rsidR="00294D85" w:rsidRPr="00DB5229" w14:paraId="02738CDC" w14:textId="77777777" w:rsidTr="002B7DAB">
        <w:trPr>
          <w:trHeight w:val="20"/>
          <w:jc w:val="center"/>
        </w:trPr>
        <w:tc>
          <w:tcPr>
            <w:tcW w:w="5240" w:type="dxa"/>
            <w:hideMark/>
          </w:tcPr>
          <w:p w14:paraId="0D911338"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3963" w:type="dxa"/>
            <w:vAlign w:val="center"/>
            <w:hideMark/>
          </w:tcPr>
          <w:p w14:paraId="119B009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Middle Income States</w:t>
            </w:r>
          </w:p>
        </w:tc>
      </w:tr>
      <w:tr w:rsidR="00294D85" w:rsidRPr="00DB5229" w14:paraId="6EB91E00" w14:textId="77777777" w:rsidTr="002B7DAB">
        <w:trPr>
          <w:trHeight w:val="20"/>
          <w:jc w:val="center"/>
        </w:trPr>
        <w:tc>
          <w:tcPr>
            <w:tcW w:w="5240" w:type="dxa"/>
            <w:hideMark/>
          </w:tcPr>
          <w:p w14:paraId="25EF9722"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3963" w:type="dxa"/>
            <w:vAlign w:val="center"/>
            <w:hideMark/>
          </w:tcPr>
          <w:p w14:paraId="7385CA9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25</w:t>
            </w:r>
          </w:p>
        </w:tc>
      </w:tr>
      <w:tr w:rsidR="00294D85" w:rsidRPr="00DB5229" w14:paraId="05D5FAB1" w14:textId="77777777" w:rsidTr="002B7DAB">
        <w:trPr>
          <w:trHeight w:val="20"/>
          <w:jc w:val="center"/>
        </w:trPr>
        <w:tc>
          <w:tcPr>
            <w:tcW w:w="5240" w:type="dxa"/>
            <w:hideMark/>
          </w:tcPr>
          <w:p w14:paraId="4EC0D39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lastRenderedPageBreak/>
              <w:t>Degrees Of Freedom</w:t>
            </w:r>
          </w:p>
        </w:tc>
        <w:tc>
          <w:tcPr>
            <w:tcW w:w="3963" w:type="dxa"/>
            <w:vAlign w:val="center"/>
            <w:hideMark/>
          </w:tcPr>
          <w:p w14:paraId="56834AB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18</w:t>
            </w:r>
          </w:p>
        </w:tc>
      </w:tr>
    </w:tbl>
    <w:p w14:paraId="7CFF1238"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219" w:type="dxa"/>
        <w:jc w:val="center"/>
        <w:tblLook w:val="04A0" w:firstRow="1" w:lastRow="0" w:firstColumn="1" w:lastColumn="0" w:noHBand="0" w:noVBand="1"/>
      </w:tblPr>
      <w:tblGrid>
        <w:gridCol w:w="5240"/>
        <w:gridCol w:w="1276"/>
        <w:gridCol w:w="1559"/>
        <w:gridCol w:w="1144"/>
      </w:tblGrid>
      <w:tr w:rsidR="00294D85" w:rsidRPr="00DB5229" w14:paraId="3CC239EE" w14:textId="77777777" w:rsidTr="002B7DAB">
        <w:trPr>
          <w:trHeight w:val="20"/>
          <w:jc w:val="center"/>
        </w:trPr>
        <w:tc>
          <w:tcPr>
            <w:tcW w:w="5240" w:type="dxa"/>
            <w:vAlign w:val="center"/>
            <w:hideMark/>
          </w:tcPr>
          <w:p w14:paraId="606AD7D7"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276" w:type="dxa"/>
            <w:vAlign w:val="center"/>
            <w:hideMark/>
          </w:tcPr>
          <w:p w14:paraId="7DE749B7"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559" w:type="dxa"/>
            <w:vAlign w:val="center"/>
            <w:hideMark/>
          </w:tcPr>
          <w:p w14:paraId="2D03DFED"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144" w:type="dxa"/>
            <w:vAlign w:val="center"/>
            <w:hideMark/>
          </w:tcPr>
          <w:p w14:paraId="08B2570D"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1D70E398" w14:textId="77777777" w:rsidTr="002B7DAB">
        <w:trPr>
          <w:trHeight w:val="20"/>
          <w:jc w:val="center"/>
        </w:trPr>
        <w:tc>
          <w:tcPr>
            <w:tcW w:w="5240" w:type="dxa"/>
            <w:vAlign w:val="center"/>
            <w:hideMark/>
          </w:tcPr>
          <w:p w14:paraId="02353FB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1. State Domestic Product at Factor Cost</w:t>
            </w:r>
          </w:p>
        </w:tc>
        <w:tc>
          <w:tcPr>
            <w:tcW w:w="1276" w:type="dxa"/>
            <w:vAlign w:val="center"/>
            <w:hideMark/>
          </w:tcPr>
          <w:p w14:paraId="4FDB458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0.7701</w:t>
            </w:r>
          </w:p>
        </w:tc>
        <w:tc>
          <w:tcPr>
            <w:tcW w:w="1559" w:type="dxa"/>
            <w:vAlign w:val="center"/>
            <w:hideMark/>
          </w:tcPr>
          <w:p w14:paraId="2A06F5E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0.1496</w:t>
            </w:r>
          </w:p>
        </w:tc>
        <w:tc>
          <w:tcPr>
            <w:tcW w:w="1144" w:type="dxa"/>
            <w:vAlign w:val="center"/>
            <w:hideMark/>
          </w:tcPr>
          <w:p w14:paraId="68158A8B"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5.1487</w:t>
            </w:r>
          </w:p>
        </w:tc>
      </w:tr>
      <w:tr w:rsidR="00294D85" w:rsidRPr="00DB5229" w14:paraId="16E92794" w14:textId="77777777" w:rsidTr="002B7DAB">
        <w:trPr>
          <w:trHeight w:val="20"/>
          <w:jc w:val="center"/>
        </w:trPr>
        <w:tc>
          <w:tcPr>
            <w:tcW w:w="5240" w:type="dxa"/>
            <w:vAlign w:val="center"/>
            <w:hideMark/>
          </w:tcPr>
          <w:p w14:paraId="0ED803A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2. Road/railway length per 1000 square kilometre area</w:t>
            </w:r>
          </w:p>
        </w:tc>
        <w:tc>
          <w:tcPr>
            <w:tcW w:w="1276" w:type="dxa"/>
            <w:vAlign w:val="center"/>
            <w:hideMark/>
          </w:tcPr>
          <w:p w14:paraId="1011EC4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0.4676</w:t>
            </w:r>
          </w:p>
        </w:tc>
        <w:tc>
          <w:tcPr>
            <w:tcW w:w="1559" w:type="dxa"/>
            <w:vAlign w:val="center"/>
            <w:hideMark/>
          </w:tcPr>
          <w:p w14:paraId="1AA3016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0.1129</w:t>
            </w:r>
          </w:p>
        </w:tc>
        <w:tc>
          <w:tcPr>
            <w:tcW w:w="1144" w:type="dxa"/>
            <w:vAlign w:val="center"/>
            <w:hideMark/>
          </w:tcPr>
          <w:p w14:paraId="7A7934B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4.1429</w:t>
            </w:r>
          </w:p>
        </w:tc>
      </w:tr>
      <w:tr w:rsidR="00294D85" w:rsidRPr="00DB5229" w14:paraId="13E7920F" w14:textId="77777777" w:rsidTr="002B7DAB">
        <w:trPr>
          <w:trHeight w:val="20"/>
          <w:jc w:val="center"/>
        </w:trPr>
        <w:tc>
          <w:tcPr>
            <w:tcW w:w="5240" w:type="dxa"/>
            <w:vAlign w:val="center"/>
            <w:hideMark/>
          </w:tcPr>
          <w:p w14:paraId="09A0286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276" w:type="dxa"/>
            <w:vAlign w:val="center"/>
            <w:hideMark/>
          </w:tcPr>
          <w:p w14:paraId="603B479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-5.0338</w:t>
            </w:r>
          </w:p>
        </w:tc>
        <w:tc>
          <w:tcPr>
            <w:tcW w:w="1559" w:type="dxa"/>
            <w:vAlign w:val="center"/>
            <w:hideMark/>
          </w:tcPr>
          <w:p w14:paraId="5D35767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2.4890</w:t>
            </w:r>
          </w:p>
        </w:tc>
        <w:tc>
          <w:tcPr>
            <w:tcW w:w="1144" w:type="dxa"/>
            <w:vAlign w:val="center"/>
            <w:hideMark/>
          </w:tcPr>
          <w:p w14:paraId="670DB50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-2.0225</w:t>
            </w:r>
          </w:p>
        </w:tc>
      </w:tr>
      <w:tr w:rsidR="00294D85" w:rsidRPr="00DB5229" w14:paraId="168771B5" w14:textId="77777777" w:rsidTr="002B7DAB">
        <w:trPr>
          <w:trHeight w:val="20"/>
          <w:jc w:val="center"/>
        </w:trPr>
        <w:tc>
          <w:tcPr>
            <w:tcW w:w="5240" w:type="dxa"/>
            <w:vAlign w:val="center"/>
            <w:hideMark/>
          </w:tcPr>
          <w:p w14:paraId="35DB173A"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276" w:type="dxa"/>
            <w:vAlign w:val="center"/>
            <w:hideMark/>
          </w:tcPr>
          <w:p w14:paraId="3116D46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-5.0122</w:t>
            </w:r>
          </w:p>
        </w:tc>
        <w:tc>
          <w:tcPr>
            <w:tcW w:w="1559" w:type="dxa"/>
            <w:vAlign w:val="center"/>
            <w:hideMark/>
          </w:tcPr>
          <w:p w14:paraId="53DE4B9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2.5099</w:t>
            </w:r>
          </w:p>
        </w:tc>
        <w:tc>
          <w:tcPr>
            <w:tcW w:w="1144" w:type="dxa"/>
            <w:vAlign w:val="center"/>
            <w:hideMark/>
          </w:tcPr>
          <w:p w14:paraId="12064B6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-1.9970</w:t>
            </w:r>
          </w:p>
        </w:tc>
      </w:tr>
      <w:tr w:rsidR="00294D85" w:rsidRPr="00DB5229" w14:paraId="7F84E744" w14:textId="77777777" w:rsidTr="002B7DAB">
        <w:trPr>
          <w:trHeight w:val="20"/>
          <w:jc w:val="center"/>
        </w:trPr>
        <w:tc>
          <w:tcPr>
            <w:tcW w:w="5240" w:type="dxa"/>
            <w:vAlign w:val="center"/>
            <w:hideMark/>
          </w:tcPr>
          <w:p w14:paraId="6521E49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276" w:type="dxa"/>
            <w:vAlign w:val="center"/>
            <w:hideMark/>
          </w:tcPr>
          <w:p w14:paraId="604AC19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-4.9883</w:t>
            </w:r>
          </w:p>
        </w:tc>
        <w:tc>
          <w:tcPr>
            <w:tcW w:w="1559" w:type="dxa"/>
            <w:vAlign w:val="center"/>
            <w:hideMark/>
          </w:tcPr>
          <w:p w14:paraId="2EF227D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2.5270</w:t>
            </w:r>
          </w:p>
        </w:tc>
        <w:tc>
          <w:tcPr>
            <w:tcW w:w="1144" w:type="dxa"/>
            <w:vAlign w:val="center"/>
            <w:hideMark/>
          </w:tcPr>
          <w:p w14:paraId="1AEFE08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-1.9740</w:t>
            </w:r>
          </w:p>
        </w:tc>
      </w:tr>
      <w:tr w:rsidR="00294D85" w:rsidRPr="00DB5229" w14:paraId="3E66ECCD" w14:textId="77777777" w:rsidTr="002B7DAB">
        <w:trPr>
          <w:trHeight w:val="20"/>
          <w:jc w:val="center"/>
        </w:trPr>
        <w:tc>
          <w:tcPr>
            <w:tcW w:w="5240" w:type="dxa"/>
            <w:vAlign w:val="center"/>
            <w:hideMark/>
          </w:tcPr>
          <w:p w14:paraId="28A9083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276" w:type="dxa"/>
            <w:vAlign w:val="center"/>
            <w:hideMark/>
          </w:tcPr>
          <w:p w14:paraId="77AC66F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-5.0250</w:t>
            </w:r>
          </w:p>
        </w:tc>
        <w:tc>
          <w:tcPr>
            <w:tcW w:w="1559" w:type="dxa"/>
            <w:vAlign w:val="center"/>
            <w:hideMark/>
          </w:tcPr>
          <w:p w14:paraId="2BF6F4C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2.5535</w:t>
            </w:r>
          </w:p>
        </w:tc>
        <w:tc>
          <w:tcPr>
            <w:tcW w:w="1144" w:type="dxa"/>
            <w:vAlign w:val="center"/>
            <w:hideMark/>
          </w:tcPr>
          <w:p w14:paraId="3C19A1F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-1.9679</w:t>
            </w:r>
          </w:p>
        </w:tc>
      </w:tr>
      <w:tr w:rsidR="00294D85" w:rsidRPr="00DB5229" w14:paraId="5998042D" w14:textId="77777777" w:rsidTr="002B7DAB">
        <w:trPr>
          <w:trHeight w:val="20"/>
          <w:jc w:val="center"/>
        </w:trPr>
        <w:tc>
          <w:tcPr>
            <w:tcW w:w="5240" w:type="dxa"/>
            <w:vAlign w:val="center"/>
            <w:hideMark/>
          </w:tcPr>
          <w:p w14:paraId="0D97422D"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276" w:type="dxa"/>
            <w:vAlign w:val="center"/>
            <w:hideMark/>
          </w:tcPr>
          <w:p w14:paraId="7ED279A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-4.9691</w:t>
            </w:r>
          </w:p>
        </w:tc>
        <w:tc>
          <w:tcPr>
            <w:tcW w:w="1559" w:type="dxa"/>
            <w:vAlign w:val="center"/>
            <w:hideMark/>
          </w:tcPr>
          <w:p w14:paraId="6B93176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2.5722</w:t>
            </w:r>
          </w:p>
        </w:tc>
        <w:tc>
          <w:tcPr>
            <w:tcW w:w="1144" w:type="dxa"/>
            <w:vAlign w:val="center"/>
            <w:hideMark/>
          </w:tcPr>
          <w:p w14:paraId="04F5826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-1.9319</w:t>
            </w:r>
          </w:p>
        </w:tc>
      </w:tr>
    </w:tbl>
    <w:p w14:paraId="37E527FC"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223" w:type="dxa"/>
        <w:jc w:val="center"/>
        <w:tblLook w:val="04A0" w:firstRow="1" w:lastRow="0" w:firstColumn="1" w:lastColumn="0" w:noHBand="0" w:noVBand="1"/>
      </w:tblPr>
      <w:tblGrid>
        <w:gridCol w:w="2052"/>
        <w:gridCol w:w="3188"/>
        <w:gridCol w:w="2835"/>
        <w:gridCol w:w="1148"/>
      </w:tblGrid>
      <w:tr w:rsidR="00294D85" w:rsidRPr="00DB5229" w14:paraId="362E73E2" w14:textId="77777777" w:rsidTr="002B7DAB">
        <w:trPr>
          <w:trHeight w:val="20"/>
          <w:jc w:val="center"/>
        </w:trPr>
        <w:tc>
          <w:tcPr>
            <w:tcW w:w="2052" w:type="dxa"/>
            <w:hideMark/>
          </w:tcPr>
          <w:p w14:paraId="6D3BCF21"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3188" w:type="dxa"/>
            <w:hideMark/>
          </w:tcPr>
          <w:p w14:paraId="2A860400"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Value</w:t>
            </w:r>
          </w:p>
        </w:tc>
        <w:tc>
          <w:tcPr>
            <w:tcW w:w="2835" w:type="dxa"/>
            <w:hideMark/>
          </w:tcPr>
          <w:p w14:paraId="725433C3"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1148" w:type="dxa"/>
            <w:hideMark/>
          </w:tcPr>
          <w:p w14:paraId="2352AFC9"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Value</w:t>
            </w:r>
          </w:p>
        </w:tc>
      </w:tr>
      <w:tr w:rsidR="00294D85" w:rsidRPr="00DB5229" w14:paraId="20DD5D9E" w14:textId="77777777" w:rsidTr="002B7DAB">
        <w:trPr>
          <w:trHeight w:val="20"/>
          <w:jc w:val="center"/>
        </w:trPr>
        <w:tc>
          <w:tcPr>
            <w:tcW w:w="2052" w:type="dxa"/>
            <w:hideMark/>
          </w:tcPr>
          <w:p w14:paraId="2F2071F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3188" w:type="dxa"/>
            <w:hideMark/>
          </w:tcPr>
          <w:p w14:paraId="0AC16B99"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0.7575</w:t>
            </w:r>
          </w:p>
        </w:tc>
        <w:tc>
          <w:tcPr>
            <w:tcW w:w="2835" w:type="dxa"/>
            <w:hideMark/>
          </w:tcPr>
          <w:p w14:paraId="3949960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148" w:type="dxa"/>
            <w:hideMark/>
          </w:tcPr>
          <w:p w14:paraId="570CCB3A"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0.4750</w:t>
            </w:r>
          </w:p>
        </w:tc>
      </w:tr>
      <w:tr w:rsidR="00294D85" w:rsidRPr="00DB5229" w14:paraId="12F019FB" w14:textId="77777777" w:rsidTr="002B7DAB">
        <w:trPr>
          <w:trHeight w:val="20"/>
          <w:jc w:val="center"/>
        </w:trPr>
        <w:tc>
          <w:tcPr>
            <w:tcW w:w="2052" w:type="dxa"/>
            <w:hideMark/>
          </w:tcPr>
          <w:p w14:paraId="675D3F4D"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3188" w:type="dxa"/>
            <w:hideMark/>
          </w:tcPr>
          <w:p w14:paraId="7F52630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0.6766</w:t>
            </w:r>
          </w:p>
        </w:tc>
        <w:tc>
          <w:tcPr>
            <w:tcW w:w="2835" w:type="dxa"/>
            <w:hideMark/>
          </w:tcPr>
          <w:p w14:paraId="16AF1A7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148" w:type="dxa"/>
            <w:hideMark/>
          </w:tcPr>
          <w:p w14:paraId="5697A70A"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0.1625</w:t>
            </w:r>
          </w:p>
        </w:tc>
      </w:tr>
    </w:tbl>
    <w:p w14:paraId="4FF03EFB" w14:textId="649F15BE" w:rsidR="00294D85" w:rsidRPr="00DB5229" w:rsidRDefault="00294D85" w:rsidP="00927AC4">
      <w:pPr>
        <w:spacing w:after="0" w:line="200" w:lineRule="exact"/>
        <w:rPr>
          <w:rFonts w:ascii="Times New Roman" w:hAnsi="Times New Roman" w:cs="Times New Roman"/>
          <w:b/>
          <w:bCs/>
          <w:sz w:val="16"/>
          <w:szCs w:val="16"/>
        </w:rPr>
      </w:pPr>
    </w:p>
    <w:tbl>
      <w:tblPr>
        <w:tblStyle w:val="TableGrid"/>
        <w:tblW w:w="9264" w:type="dxa"/>
        <w:jc w:val="center"/>
        <w:tblLook w:val="04A0" w:firstRow="1" w:lastRow="0" w:firstColumn="1" w:lastColumn="0" w:noHBand="0" w:noVBand="1"/>
      </w:tblPr>
      <w:tblGrid>
        <w:gridCol w:w="5240"/>
        <w:gridCol w:w="4024"/>
      </w:tblGrid>
      <w:tr w:rsidR="00294D85" w:rsidRPr="00DB5229" w14:paraId="31BD83F7" w14:textId="77777777" w:rsidTr="00D539B3">
        <w:trPr>
          <w:trHeight w:val="20"/>
          <w:jc w:val="center"/>
        </w:trPr>
        <w:tc>
          <w:tcPr>
            <w:tcW w:w="5240" w:type="dxa"/>
            <w:hideMark/>
          </w:tcPr>
          <w:p w14:paraId="4EAD0869"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4024" w:type="dxa"/>
            <w:hideMark/>
          </w:tcPr>
          <w:p w14:paraId="5F288D31"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Total Tax Revenue from Stamps and Registration</w:t>
            </w:r>
          </w:p>
        </w:tc>
      </w:tr>
      <w:tr w:rsidR="00294D85" w:rsidRPr="00DB5229" w14:paraId="3A1E5557" w14:textId="77777777" w:rsidTr="00D539B3">
        <w:trPr>
          <w:trHeight w:val="20"/>
          <w:jc w:val="center"/>
        </w:trPr>
        <w:tc>
          <w:tcPr>
            <w:tcW w:w="5240" w:type="dxa"/>
            <w:hideMark/>
          </w:tcPr>
          <w:p w14:paraId="4E7C7B8A"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4024" w:type="dxa"/>
            <w:hideMark/>
          </w:tcPr>
          <w:p w14:paraId="189C2AB0"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Low Income States</w:t>
            </w:r>
          </w:p>
        </w:tc>
      </w:tr>
      <w:tr w:rsidR="00294D85" w:rsidRPr="00DB5229" w14:paraId="06916679" w14:textId="77777777" w:rsidTr="00D539B3">
        <w:trPr>
          <w:trHeight w:val="20"/>
          <w:jc w:val="center"/>
        </w:trPr>
        <w:tc>
          <w:tcPr>
            <w:tcW w:w="5240" w:type="dxa"/>
            <w:hideMark/>
          </w:tcPr>
          <w:p w14:paraId="38BCB54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4024" w:type="dxa"/>
            <w:hideMark/>
          </w:tcPr>
          <w:p w14:paraId="3A847536"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25</w:t>
            </w:r>
          </w:p>
        </w:tc>
      </w:tr>
      <w:tr w:rsidR="00294D85" w:rsidRPr="00DB5229" w14:paraId="5B2CBF71" w14:textId="77777777" w:rsidTr="00D539B3">
        <w:trPr>
          <w:trHeight w:val="20"/>
          <w:jc w:val="center"/>
        </w:trPr>
        <w:tc>
          <w:tcPr>
            <w:tcW w:w="5240" w:type="dxa"/>
            <w:hideMark/>
          </w:tcPr>
          <w:p w14:paraId="1314D8D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4024" w:type="dxa"/>
            <w:hideMark/>
          </w:tcPr>
          <w:p w14:paraId="21D09D3C"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17</w:t>
            </w:r>
          </w:p>
        </w:tc>
      </w:tr>
    </w:tbl>
    <w:p w14:paraId="5EB9382D"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0" w:type="auto"/>
        <w:jc w:val="center"/>
        <w:tblLook w:val="04A0" w:firstRow="1" w:lastRow="0" w:firstColumn="1" w:lastColumn="0" w:noHBand="0" w:noVBand="1"/>
      </w:tblPr>
      <w:tblGrid>
        <w:gridCol w:w="5240"/>
        <w:gridCol w:w="1276"/>
        <w:gridCol w:w="1559"/>
        <w:gridCol w:w="1193"/>
      </w:tblGrid>
      <w:tr w:rsidR="00294D85" w:rsidRPr="00DB5229" w14:paraId="28F25C0A" w14:textId="77777777" w:rsidTr="00927AC4">
        <w:trPr>
          <w:trHeight w:val="227"/>
          <w:jc w:val="center"/>
        </w:trPr>
        <w:tc>
          <w:tcPr>
            <w:tcW w:w="5240" w:type="dxa"/>
            <w:vAlign w:val="center"/>
            <w:hideMark/>
          </w:tcPr>
          <w:p w14:paraId="02AD064B"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276" w:type="dxa"/>
            <w:vAlign w:val="center"/>
            <w:hideMark/>
          </w:tcPr>
          <w:p w14:paraId="42D72CF5"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559" w:type="dxa"/>
            <w:vAlign w:val="center"/>
            <w:hideMark/>
          </w:tcPr>
          <w:p w14:paraId="53E4984F"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193" w:type="dxa"/>
            <w:vAlign w:val="center"/>
            <w:hideMark/>
          </w:tcPr>
          <w:p w14:paraId="03B3EF5C"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2BAD95AC" w14:textId="77777777" w:rsidTr="00927AC4">
        <w:trPr>
          <w:trHeight w:val="227"/>
          <w:jc w:val="center"/>
        </w:trPr>
        <w:tc>
          <w:tcPr>
            <w:tcW w:w="5240" w:type="dxa"/>
            <w:vAlign w:val="center"/>
            <w:hideMark/>
          </w:tcPr>
          <w:p w14:paraId="74C1A746"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1. State Domestic Product at Factor Cost</w:t>
            </w:r>
          </w:p>
        </w:tc>
        <w:tc>
          <w:tcPr>
            <w:tcW w:w="1276" w:type="dxa"/>
            <w:vAlign w:val="center"/>
            <w:hideMark/>
          </w:tcPr>
          <w:p w14:paraId="443B18B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1.4339</w:t>
            </w:r>
          </w:p>
        </w:tc>
        <w:tc>
          <w:tcPr>
            <w:tcW w:w="1559" w:type="dxa"/>
            <w:vAlign w:val="center"/>
            <w:hideMark/>
          </w:tcPr>
          <w:p w14:paraId="2A313C0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0.0871</w:t>
            </w:r>
          </w:p>
        </w:tc>
        <w:tc>
          <w:tcPr>
            <w:tcW w:w="1193" w:type="dxa"/>
            <w:vAlign w:val="center"/>
            <w:hideMark/>
          </w:tcPr>
          <w:p w14:paraId="3DD83D1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16.4542</w:t>
            </w:r>
          </w:p>
        </w:tc>
      </w:tr>
      <w:tr w:rsidR="00294D85" w:rsidRPr="00DB5229" w14:paraId="1DFB622B" w14:textId="77777777" w:rsidTr="00927AC4">
        <w:trPr>
          <w:trHeight w:val="227"/>
          <w:jc w:val="center"/>
        </w:trPr>
        <w:tc>
          <w:tcPr>
            <w:tcW w:w="5240" w:type="dxa"/>
            <w:vAlign w:val="center"/>
            <w:hideMark/>
          </w:tcPr>
          <w:p w14:paraId="3D539EE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2. Proportion of income originating from non-primary sector to total income originating</w:t>
            </w:r>
          </w:p>
        </w:tc>
        <w:tc>
          <w:tcPr>
            <w:tcW w:w="1276" w:type="dxa"/>
            <w:vAlign w:val="center"/>
            <w:hideMark/>
          </w:tcPr>
          <w:p w14:paraId="4C04FA2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0.7756</w:t>
            </w:r>
          </w:p>
        </w:tc>
        <w:tc>
          <w:tcPr>
            <w:tcW w:w="1559" w:type="dxa"/>
            <w:vAlign w:val="center"/>
            <w:hideMark/>
          </w:tcPr>
          <w:p w14:paraId="75FEC23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0.6511</w:t>
            </w:r>
          </w:p>
        </w:tc>
        <w:tc>
          <w:tcPr>
            <w:tcW w:w="1193" w:type="dxa"/>
            <w:vAlign w:val="center"/>
            <w:hideMark/>
          </w:tcPr>
          <w:p w14:paraId="496E0D2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1.1913</w:t>
            </w:r>
          </w:p>
        </w:tc>
      </w:tr>
      <w:tr w:rsidR="00294D85" w:rsidRPr="00DB5229" w14:paraId="1FECA6E6" w14:textId="77777777" w:rsidTr="00927AC4">
        <w:trPr>
          <w:trHeight w:val="227"/>
          <w:jc w:val="center"/>
        </w:trPr>
        <w:tc>
          <w:tcPr>
            <w:tcW w:w="5240" w:type="dxa"/>
            <w:vAlign w:val="center"/>
            <w:hideMark/>
          </w:tcPr>
          <w:p w14:paraId="4FF1CCA9"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3. Road/railway length per 1000 population</w:t>
            </w:r>
          </w:p>
        </w:tc>
        <w:tc>
          <w:tcPr>
            <w:tcW w:w="1276" w:type="dxa"/>
            <w:vAlign w:val="center"/>
            <w:hideMark/>
          </w:tcPr>
          <w:p w14:paraId="0A453C5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0.0702</w:t>
            </w:r>
          </w:p>
        </w:tc>
        <w:tc>
          <w:tcPr>
            <w:tcW w:w="1559" w:type="dxa"/>
            <w:vAlign w:val="center"/>
            <w:hideMark/>
          </w:tcPr>
          <w:p w14:paraId="1D28EAB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0.0823</w:t>
            </w:r>
          </w:p>
        </w:tc>
        <w:tc>
          <w:tcPr>
            <w:tcW w:w="1193" w:type="dxa"/>
            <w:vAlign w:val="center"/>
            <w:hideMark/>
          </w:tcPr>
          <w:p w14:paraId="45C133C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0.8529</w:t>
            </w:r>
          </w:p>
        </w:tc>
      </w:tr>
      <w:tr w:rsidR="00294D85" w:rsidRPr="00DB5229" w14:paraId="34DA0DEF" w14:textId="77777777" w:rsidTr="00927AC4">
        <w:trPr>
          <w:trHeight w:val="227"/>
          <w:jc w:val="center"/>
        </w:trPr>
        <w:tc>
          <w:tcPr>
            <w:tcW w:w="5240" w:type="dxa"/>
            <w:vAlign w:val="center"/>
            <w:hideMark/>
          </w:tcPr>
          <w:p w14:paraId="54CB8937"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276" w:type="dxa"/>
            <w:vAlign w:val="center"/>
            <w:hideMark/>
          </w:tcPr>
          <w:p w14:paraId="1F5BDDA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-10.9559</w:t>
            </w:r>
          </w:p>
        </w:tc>
        <w:tc>
          <w:tcPr>
            <w:tcW w:w="1559" w:type="dxa"/>
            <w:vAlign w:val="center"/>
            <w:hideMark/>
          </w:tcPr>
          <w:p w14:paraId="2252D48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1.5894</w:t>
            </w:r>
          </w:p>
        </w:tc>
        <w:tc>
          <w:tcPr>
            <w:tcW w:w="1193" w:type="dxa"/>
            <w:vAlign w:val="center"/>
            <w:hideMark/>
          </w:tcPr>
          <w:p w14:paraId="5EB0848D"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-6.8928</w:t>
            </w:r>
          </w:p>
        </w:tc>
      </w:tr>
      <w:tr w:rsidR="00294D85" w:rsidRPr="00DB5229" w14:paraId="6821B445" w14:textId="77777777" w:rsidTr="00927AC4">
        <w:trPr>
          <w:trHeight w:val="227"/>
          <w:jc w:val="center"/>
        </w:trPr>
        <w:tc>
          <w:tcPr>
            <w:tcW w:w="5240" w:type="dxa"/>
            <w:vAlign w:val="center"/>
            <w:hideMark/>
          </w:tcPr>
          <w:p w14:paraId="2C555534"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276" w:type="dxa"/>
            <w:vAlign w:val="center"/>
            <w:hideMark/>
          </w:tcPr>
          <w:p w14:paraId="60B27B6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-10.9979</w:t>
            </w:r>
          </w:p>
        </w:tc>
        <w:tc>
          <w:tcPr>
            <w:tcW w:w="1559" w:type="dxa"/>
            <w:vAlign w:val="center"/>
            <w:hideMark/>
          </w:tcPr>
          <w:p w14:paraId="3A347A7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1.5750</w:t>
            </w:r>
          </w:p>
        </w:tc>
        <w:tc>
          <w:tcPr>
            <w:tcW w:w="1193" w:type="dxa"/>
            <w:vAlign w:val="center"/>
            <w:hideMark/>
          </w:tcPr>
          <w:p w14:paraId="0A4A86C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-6.9828</w:t>
            </w:r>
          </w:p>
        </w:tc>
      </w:tr>
      <w:tr w:rsidR="00294D85" w:rsidRPr="00DB5229" w14:paraId="6015C6EE" w14:textId="77777777" w:rsidTr="00927AC4">
        <w:trPr>
          <w:trHeight w:val="227"/>
          <w:jc w:val="center"/>
        </w:trPr>
        <w:tc>
          <w:tcPr>
            <w:tcW w:w="5240" w:type="dxa"/>
            <w:vAlign w:val="center"/>
            <w:hideMark/>
          </w:tcPr>
          <w:p w14:paraId="700DA071"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276" w:type="dxa"/>
            <w:vAlign w:val="center"/>
            <w:hideMark/>
          </w:tcPr>
          <w:p w14:paraId="55D1060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-10.9343</w:t>
            </w:r>
          </w:p>
        </w:tc>
        <w:tc>
          <w:tcPr>
            <w:tcW w:w="1559" w:type="dxa"/>
            <w:vAlign w:val="center"/>
            <w:hideMark/>
          </w:tcPr>
          <w:p w14:paraId="4EE1723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1.5678</w:t>
            </w:r>
          </w:p>
        </w:tc>
        <w:tc>
          <w:tcPr>
            <w:tcW w:w="1193" w:type="dxa"/>
            <w:vAlign w:val="center"/>
            <w:hideMark/>
          </w:tcPr>
          <w:p w14:paraId="39E6A35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-6.9741</w:t>
            </w:r>
          </w:p>
        </w:tc>
      </w:tr>
      <w:tr w:rsidR="00294D85" w:rsidRPr="00DB5229" w14:paraId="43608AFD" w14:textId="77777777" w:rsidTr="00927AC4">
        <w:trPr>
          <w:trHeight w:val="227"/>
          <w:jc w:val="center"/>
        </w:trPr>
        <w:tc>
          <w:tcPr>
            <w:tcW w:w="5240" w:type="dxa"/>
            <w:vAlign w:val="center"/>
            <w:hideMark/>
          </w:tcPr>
          <w:p w14:paraId="3E7D6F61"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276" w:type="dxa"/>
            <w:vAlign w:val="center"/>
            <w:hideMark/>
          </w:tcPr>
          <w:p w14:paraId="6D26AAB0"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-11.0640</w:t>
            </w:r>
          </w:p>
        </w:tc>
        <w:tc>
          <w:tcPr>
            <w:tcW w:w="1559" w:type="dxa"/>
            <w:vAlign w:val="center"/>
            <w:hideMark/>
          </w:tcPr>
          <w:p w14:paraId="7F6F029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1.5960</w:t>
            </w:r>
          </w:p>
        </w:tc>
        <w:tc>
          <w:tcPr>
            <w:tcW w:w="1193" w:type="dxa"/>
            <w:vAlign w:val="center"/>
            <w:hideMark/>
          </w:tcPr>
          <w:p w14:paraId="60C36758"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-6.9323</w:t>
            </w:r>
          </w:p>
        </w:tc>
      </w:tr>
      <w:tr w:rsidR="00294D85" w:rsidRPr="00DB5229" w14:paraId="3D5F78F3" w14:textId="77777777" w:rsidTr="00927AC4">
        <w:trPr>
          <w:trHeight w:val="227"/>
          <w:jc w:val="center"/>
        </w:trPr>
        <w:tc>
          <w:tcPr>
            <w:tcW w:w="5240" w:type="dxa"/>
            <w:vAlign w:val="center"/>
            <w:hideMark/>
          </w:tcPr>
          <w:p w14:paraId="69C0D497"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276" w:type="dxa"/>
            <w:vAlign w:val="center"/>
            <w:hideMark/>
          </w:tcPr>
          <w:p w14:paraId="25A8860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-11.1049</w:t>
            </w:r>
          </w:p>
        </w:tc>
        <w:tc>
          <w:tcPr>
            <w:tcW w:w="1559" w:type="dxa"/>
            <w:vAlign w:val="center"/>
            <w:hideMark/>
          </w:tcPr>
          <w:p w14:paraId="4D2AF7A9"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1.5728</w:t>
            </w:r>
          </w:p>
        </w:tc>
        <w:tc>
          <w:tcPr>
            <w:tcW w:w="1193" w:type="dxa"/>
            <w:vAlign w:val="center"/>
            <w:hideMark/>
          </w:tcPr>
          <w:p w14:paraId="046BF9E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-7.0605</w:t>
            </w:r>
          </w:p>
        </w:tc>
      </w:tr>
    </w:tbl>
    <w:p w14:paraId="12AFCE2F"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270" w:type="dxa"/>
        <w:jc w:val="center"/>
        <w:tblLook w:val="04A0" w:firstRow="1" w:lastRow="0" w:firstColumn="1" w:lastColumn="0" w:noHBand="0" w:noVBand="1"/>
      </w:tblPr>
      <w:tblGrid>
        <w:gridCol w:w="2459"/>
        <w:gridCol w:w="2781"/>
        <w:gridCol w:w="2835"/>
        <w:gridCol w:w="1195"/>
      </w:tblGrid>
      <w:tr w:rsidR="00294D85" w:rsidRPr="00DB5229" w14:paraId="5E2E9212" w14:textId="77777777" w:rsidTr="00927AC4">
        <w:trPr>
          <w:trHeight w:val="21"/>
          <w:jc w:val="center"/>
        </w:trPr>
        <w:tc>
          <w:tcPr>
            <w:tcW w:w="2459" w:type="dxa"/>
            <w:hideMark/>
          </w:tcPr>
          <w:p w14:paraId="7D85949F"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2781" w:type="dxa"/>
            <w:hideMark/>
          </w:tcPr>
          <w:p w14:paraId="08A396C5"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Value</w:t>
            </w:r>
          </w:p>
        </w:tc>
        <w:tc>
          <w:tcPr>
            <w:tcW w:w="2835" w:type="dxa"/>
            <w:hideMark/>
          </w:tcPr>
          <w:p w14:paraId="06DBB28D"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Statistic</w:t>
            </w:r>
          </w:p>
        </w:tc>
        <w:tc>
          <w:tcPr>
            <w:tcW w:w="1195" w:type="dxa"/>
            <w:hideMark/>
          </w:tcPr>
          <w:p w14:paraId="355D7A6E"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Value</w:t>
            </w:r>
          </w:p>
        </w:tc>
      </w:tr>
      <w:tr w:rsidR="00294D85" w:rsidRPr="00DB5229" w14:paraId="68461A62" w14:textId="77777777" w:rsidTr="00927AC4">
        <w:trPr>
          <w:trHeight w:val="21"/>
          <w:jc w:val="center"/>
        </w:trPr>
        <w:tc>
          <w:tcPr>
            <w:tcW w:w="2459" w:type="dxa"/>
            <w:hideMark/>
          </w:tcPr>
          <w:p w14:paraId="3BA69AA6"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2781" w:type="dxa"/>
            <w:hideMark/>
          </w:tcPr>
          <w:p w14:paraId="0187B18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0.9805</w:t>
            </w:r>
          </w:p>
        </w:tc>
        <w:tc>
          <w:tcPr>
            <w:tcW w:w="2835" w:type="dxa"/>
            <w:hideMark/>
          </w:tcPr>
          <w:p w14:paraId="4DB2CFCD"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195" w:type="dxa"/>
            <w:hideMark/>
          </w:tcPr>
          <w:p w14:paraId="5FDACF0D"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0.2914</w:t>
            </w:r>
          </w:p>
        </w:tc>
      </w:tr>
      <w:tr w:rsidR="00294D85" w:rsidRPr="00DB5229" w14:paraId="50B8DDD2" w14:textId="77777777" w:rsidTr="00927AC4">
        <w:trPr>
          <w:trHeight w:val="21"/>
          <w:jc w:val="center"/>
        </w:trPr>
        <w:tc>
          <w:tcPr>
            <w:tcW w:w="2459" w:type="dxa"/>
            <w:hideMark/>
          </w:tcPr>
          <w:p w14:paraId="646F1AA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2781" w:type="dxa"/>
            <w:hideMark/>
          </w:tcPr>
          <w:p w14:paraId="155F99CC"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0.9725</w:t>
            </w:r>
          </w:p>
        </w:tc>
        <w:tc>
          <w:tcPr>
            <w:tcW w:w="2835" w:type="dxa"/>
            <w:hideMark/>
          </w:tcPr>
          <w:p w14:paraId="0F9BE202"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195" w:type="dxa"/>
            <w:hideMark/>
          </w:tcPr>
          <w:p w14:paraId="6A3A115C"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0.1309</w:t>
            </w:r>
          </w:p>
        </w:tc>
      </w:tr>
    </w:tbl>
    <w:p w14:paraId="6CAB599B" w14:textId="5281CEF9" w:rsidR="00294D85" w:rsidRPr="00DB5229" w:rsidRDefault="00294D85" w:rsidP="00473BA7">
      <w:pPr>
        <w:spacing w:line="200" w:lineRule="exact"/>
        <w:ind w:left="720"/>
        <w:rPr>
          <w:rFonts w:ascii="Times New Roman" w:hAnsi="Times New Roman" w:cs="Times New Roman"/>
          <w:sz w:val="16"/>
          <w:szCs w:val="16"/>
        </w:rPr>
      </w:pPr>
    </w:p>
    <w:tbl>
      <w:tblPr>
        <w:tblStyle w:val="TableGrid"/>
        <w:tblW w:w="9375" w:type="dxa"/>
        <w:jc w:val="center"/>
        <w:tblLook w:val="04A0" w:firstRow="1" w:lastRow="0" w:firstColumn="1" w:lastColumn="0" w:noHBand="0" w:noVBand="1"/>
      </w:tblPr>
      <w:tblGrid>
        <w:gridCol w:w="5382"/>
        <w:gridCol w:w="3993"/>
      </w:tblGrid>
      <w:tr w:rsidR="00294D85" w:rsidRPr="00DB5229" w14:paraId="5390AABF" w14:textId="77777777" w:rsidTr="00473BA7">
        <w:trPr>
          <w:trHeight w:val="24"/>
          <w:jc w:val="center"/>
        </w:trPr>
        <w:tc>
          <w:tcPr>
            <w:tcW w:w="5382" w:type="dxa"/>
            <w:hideMark/>
          </w:tcPr>
          <w:p w14:paraId="04999030"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3993" w:type="dxa"/>
            <w:hideMark/>
          </w:tcPr>
          <w:p w14:paraId="123D451A"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Revenue from Motor Vehicles and Passenger Goods Taxes</w:t>
            </w:r>
          </w:p>
        </w:tc>
      </w:tr>
      <w:tr w:rsidR="00294D85" w:rsidRPr="00DB5229" w14:paraId="3E8C5F71" w14:textId="77777777" w:rsidTr="00473BA7">
        <w:trPr>
          <w:trHeight w:val="24"/>
          <w:jc w:val="center"/>
        </w:trPr>
        <w:tc>
          <w:tcPr>
            <w:tcW w:w="5382" w:type="dxa"/>
            <w:hideMark/>
          </w:tcPr>
          <w:p w14:paraId="6FF332F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3993" w:type="dxa"/>
            <w:hideMark/>
          </w:tcPr>
          <w:p w14:paraId="5FF7BFF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High Income States</w:t>
            </w:r>
          </w:p>
        </w:tc>
      </w:tr>
      <w:tr w:rsidR="00294D85" w:rsidRPr="00DB5229" w14:paraId="0083A1FF" w14:textId="77777777" w:rsidTr="00473BA7">
        <w:trPr>
          <w:trHeight w:val="24"/>
          <w:jc w:val="center"/>
        </w:trPr>
        <w:tc>
          <w:tcPr>
            <w:tcW w:w="5382" w:type="dxa"/>
            <w:hideMark/>
          </w:tcPr>
          <w:p w14:paraId="2A363D6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3993" w:type="dxa"/>
            <w:hideMark/>
          </w:tcPr>
          <w:p w14:paraId="7DDF747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24</w:t>
            </w:r>
          </w:p>
        </w:tc>
      </w:tr>
      <w:tr w:rsidR="00294D85" w:rsidRPr="00DB5229" w14:paraId="353B419B" w14:textId="77777777" w:rsidTr="00473BA7">
        <w:trPr>
          <w:trHeight w:val="24"/>
          <w:jc w:val="center"/>
        </w:trPr>
        <w:tc>
          <w:tcPr>
            <w:tcW w:w="5382" w:type="dxa"/>
            <w:hideMark/>
          </w:tcPr>
          <w:p w14:paraId="54EA5FEB"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3993" w:type="dxa"/>
            <w:hideMark/>
          </w:tcPr>
          <w:p w14:paraId="3E6EA1A0"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16</w:t>
            </w:r>
          </w:p>
        </w:tc>
      </w:tr>
    </w:tbl>
    <w:p w14:paraId="3D509FEA" w14:textId="77777777" w:rsidR="00294D85" w:rsidRPr="00DB5229" w:rsidRDefault="00294D85" w:rsidP="005E0DD7">
      <w:pPr>
        <w:spacing w:after="0" w:line="200" w:lineRule="exact"/>
        <w:rPr>
          <w:rFonts w:ascii="Times New Roman" w:hAnsi="Times New Roman" w:cs="Times New Roman"/>
          <w:vanish/>
          <w:sz w:val="16"/>
          <w:szCs w:val="16"/>
        </w:rPr>
      </w:pPr>
    </w:p>
    <w:tbl>
      <w:tblPr>
        <w:tblStyle w:val="TableGrid"/>
        <w:tblW w:w="9375" w:type="dxa"/>
        <w:jc w:val="center"/>
        <w:tblLook w:val="04A0" w:firstRow="1" w:lastRow="0" w:firstColumn="1" w:lastColumn="0" w:noHBand="0" w:noVBand="1"/>
      </w:tblPr>
      <w:tblGrid>
        <w:gridCol w:w="2454"/>
        <w:gridCol w:w="2928"/>
        <w:gridCol w:w="1276"/>
        <w:gridCol w:w="1680"/>
        <w:gridCol w:w="1037"/>
      </w:tblGrid>
      <w:tr w:rsidR="00294D85" w:rsidRPr="00DB5229" w14:paraId="651BC0B3" w14:textId="77777777" w:rsidTr="00473BA7">
        <w:trPr>
          <w:trHeight w:val="22"/>
          <w:jc w:val="center"/>
        </w:trPr>
        <w:tc>
          <w:tcPr>
            <w:tcW w:w="5382" w:type="dxa"/>
            <w:gridSpan w:val="2"/>
            <w:vAlign w:val="center"/>
            <w:hideMark/>
          </w:tcPr>
          <w:p w14:paraId="5913AE38"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276" w:type="dxa"/>
            <w:vAlign w:val="center"/>
            <w:hideMark/>
          </w:tcPr>
          <w:p w14:paraId="630F8EDB"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680" w:type="dxa"/>
            <w:vAlign w:val="center"/>
            <w:hideMark/>
          </w:tcPr>
          <w:p w14:paraId="66E852B4"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0" w:type="auto"/>
            <w:vAlign w:val="center"/>
            <w:hideMark/>
          </w:tcPr>
          <w:p w14:paraId="79B9B9D9"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17DDED42" w14:textId="77777777" w:rsidTr="00473BA7">
        <w:trPr>
          <w:trHeight w:val="22"/>
          <w:jc w:val="center"/>
        </w:trPr>
        <w:tc>
          <w:tcPr>
            <w:tcW w:w="5382" w:type="dxa"/>
            <w:gridSpan w:val="2"/>
            <w:vAlign w:val="center"/>
            <w:hideMark/>
          </w:tcPr>
          <w:p w14:paraId="74BC916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1. Total registered motor vehicles</w:t>
            </w:r>
          </w:p>
        </w:tc>
        <w:tc>
          <w:tcPr>
            <w:tcW w:w="1276" w:type="dxa"/>
            <w:vAlign w:val="center"/>
            <w:hideMark/>
          </w:tcPr>
          <w:p w14:paraId="0124133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0.3877</w:t>
            </w:r>
          </w:p>
        </w:tc>
        <w:tc>
          <w:tcPr>
            <w:tcW w:w="1680" w:type="dxa"/>
            <w:vAlign w:val="center"/>
            <w:hideMark/>
          </w:tcPr>
          <w:p w14:paraId="6001C7F8"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0.0517</w:t>
            </w:r>
          </w:p>
        </w:tc>
        <w:tc>
          <w:tcPr>
            <w:tcW w:w="0" w:type="auto"/>
            <w:vAlign w:val="center"/>
            <w:hideMark/>
          </w:tcPr>
          <w:p w14:paraId="3F616EA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7.4921</w:t>
            </w:r>
          </w:p>
        </w:tc>
      </w:tr>
      <w:tr w:rsidR="00294D85" w:rsidRPr="00DB5229" w14:paraId="07086B9C" w14:textId="77777777" w:rsidTr="00473BA7">
        <w:trPr>
          <w:trHeight w:val="22"/>
          <w:jc w:val="center"/>
        </w:trPr>
        <w:tc>
          <w:tcPr>
            <w:tcW w:w="5382" w:type="dxa"/>
            <w:gridSpan w:val="2"/>
            <w:vAlign w:val="center"/>
            <w:hideMark/>
          </w:tcPr>
          <w:p w14:paraId="37E3BD7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2. Proportion of heavy vehicles to total vehicles</w:t>
            </w:r>
          </w:p>
        </w:tc>
        <w:tc>
          <w:tcPr>
            <w:tcW w:w="1276" w:type="dxa"/>
            <w:vAlign w:val="center"/>
            <w:hideMark/>
          </w:tcPr>
          <w:p w14:paraId="36E94D50"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0.9000</w:t>
            </w:r>
          </w:p>
        </w:tc>
        <w:tc>
          <w:tcPr>
            <w:tcW w:w="1680" w:type="dxa"/>
            <w:vAlign w:val="center"/>
            <w:hideMark/>
          </w:tcPr>
          <w:p w14:paraId="2F47B4E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0.1495</w:t>
            </w:r>
          </w:p>
        </w:tc>
        <w:tc>
          <w:tcPr>
            <w:tcW w:w="0" w:type="auto"/>
            <w:vAlign w:val="center"/>
            <w:hideMark/>
          </w:tcPr>
          <w:p w14:paraId="6CF4D125"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6.0220</w:t>
            </w:r>
          </w:p>
        </w:tc>
      </w:tr>
      <w:tr w:rsidR="00294D85" w:rsidRPr="00DB5229" w14:paraId="4F122F8E" w14:textId="77777777" w:rsidTr="00473BA7">
        <w:trPr>
          <w:trHeight w:val="22"/>
          <w:jc w:val="center"/>
        </w:trPr>
        <w:tc>
          <w:tcPr>
            <w:tcW w:w="5382" w:type="dxa"/>
            <w:gridSpan w:val="2"/>
            <w:vAlign w:val="center"/>
            <w:hideMark/>
          </w:tcPr>
          <w:p w14:paraId="6914FA30"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276" w:type="dxa"/>
            <w:vAlign w:val="center"/>
            <w:hideMark/>
          </w:tcPr>
          <w:p w14:paraId="64CEFE51"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5.6257</w:t>
            </w:r>
          </w:p>
        </w:tc>
        <w:tc>
          <w:tcPr>
            <w:tcW w:w="1680" w:type="dxa"/>
            <w:vAlign w:val="center"/>
            <w:hideMark/>
          </w:tcPr>
          <w:p w14:paraId="73FF656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0.7305</w:t>
            </w:r>
          </w:p>
        </w:tc>
        <w:tc>
          <w:tcPr>
            <w:tcW w:w="0" w:type="auto"/>
            <w:vAlign w:val="center"/>
            <w:hideMark/>
          </w:tcPr>
          <w:p w14:paraId="27E31E6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7.7016</w:t>
            </w:r>
          </w:p>
        </w:tc>
      </w:tr>
      <w:tr w:rsidR="00294D85" w:rsidRPr="00DB5229" w14:paraId="6E5B38BB" w14:textId="77777777" w:rsidTr="00473BA7">
        <w:trPr>
          <w:trHeight w:val="22"/>
          <w:jc w:val="center"/>
        </w:trPr>
        <w:tc>
          <w:tcPr>
            <w:tcW w:w="5382" w:type="dxa"/>
            <w:gridSpan w:val="2"/>
            <w:vAlign w:val="center"/>
            <w:hideMark/>
          </w:tcPr>
          <w:p w14:paraId="07B74823"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276" w:type="dxa"/>
            <w:vAlign w:val="center"/>
            <w:hideMark/>
          </w:tcPr>
          <w:p w14:paraId="1D570942"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5.5621</w:t>
            </w:r>
          </w:p>
        </w:tc>
        <w:tc>
          <w:tcPr>
            <w:tcW w:w="1680" w:type="dxa"/>
            <w:vAlign w:val="center"/>
            <w:hideMark/>
          </w:tcPr>
          <w:p w14:paraId="2F0AF8B4"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0.7315</w:t>
            </w:r>
          </w:p>
        </w:tc>
        <w:tc>
          <w:tcPr>
            <w:tcW w:w="0" w:type="auto"/>
            <w:vAlign w:val="center"/>
            <w:hideMark/>
          </w:tcPr>
          <w:p w14:paraId="52F3CF0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7.6032</w:t>
            </w:r>
          </w:p>
        </w:tc>
      </w:tr>
      <w:tr w:rsidR="00294D85" w:rsidRPr="00DB5229" w14:paraId="6B3E0722" w14:textId="77777777" w:rsidTr="00473BA7">
        <w:trPr>
          <w:trHeight w:val="22"/>
          <w:jc w:val="center"/>
        </w:trPr>
        <w:tc>
          <w:tcPr>
            <w:tcW w:w="5382" w:type="dxa"/>
            <w:gridSpan w:val="2"/>
            <w:vAlign w:val="center"/>
            <w:hideMark/>
          </w:tcPr>
          <w:p w14:paraId="3C9C464F"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276" w:type="dxa"/>
            <w:vAlign w:val="center"/>
            <w:hideMark/>
          </w:tcPr>
          <w:p w14:paraId="52421F96"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5.9292</w:t>
            </w:r>
          </w:p>
        </w:tc>
        <w:tc>
          <w:tcPr>
            <w:tcW w:w="1680" w:type="dxa"/>
            <w:vAlign w:val="center"/>
            <w:hideMark/>
          </w:tcPr>
          <w:p w14:paraId="4DC2A3FE"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0.7397</w:t>
            </w:r>
          </w:p>
        </w:tc>
        <w:tc>
          <w:tcPr>
            <w:tcW w:w="0" w:type="auto"/>
            <w:vAlign w:val="center"/>
            <w:hideMark/>
          </w:tcPr>
          <w:p w14:paraId="3F1A33B2"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8.0157</w:t>
            </w:r>
          </w:p>
        </w:tc>
      </w:tr>
      <w:tr w:rsidR="00294D85" w:rsidRPr="00DB5229" w14:paraId="1FBF4AAA" w14:textId="77777777" w:rsidTr="00473BA7">
        <w:trPr>
          <w:trHeight w:val="22"/>
          <w:jc w:val="center"/>
        </w:trPr>
        <w:tc>
          <w:tcPr>
            <w:tcW w:w="5382" w:type="dxa"/>
            <w:gridSpan w:val="2"/>
            <w:vAlign w:val="center"/>
            <w:hideMark/>
          </w:tcPr>
          <w:p w14:paraId="45A48A87"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276" w:type="dxa"/>
            <w:vAlign w:val="center"/>
            <w:hideMark/>
          </w:tcPr>
          <w:p w14:paraId="54633B87"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5.9925</w:t>
            </w:r>
          </w:p>
        </w:tc>
        <w:tc>
          <w:tcPr>
            <w:tcW w:w="1680" w:type="dxa"/>
            <w:vAlign w:val="center"/>
            <w:hideMark/>
          </w:tcPr>
          <w:p w14:paraId="7DEF85C0"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0.7524</w:t>
            </w:r>
          </w:p>
        </w:tc>
        <w:tc>
          <w:tcPr>
            <w:tcW w:w="0" w:type="auto"/>
            <w:vAlign w:val="center"/>
            <w:hideMark/>
          </w:tcPr>
          <w:p w14:paraId="68EB238A"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7.9643</w:t>
            </w:r>
          </w:p>
        </w:tc>
      </w:tr>
      <w:tr w:rsidR="00294D85" w:rsidRPr="00DB5229" w14:paraId="5836F164" w14:textId="77777777" w:rsidTr="00473BA7">
        <w:trPr>
          <w:trHeight w:val="22"/>
          <w:jc w:val="center"/>
        </w:trPr>
        <w:tc>
          <w:tcPr>
            <w:tcW w:w="5382" w:type="dxa"/>
            <w:gridSpan w:val="2"/>
            <w:vAlign w:val="center"/>
            <w:hideMark/>
          </w:tcPr>
          <w:p w14:paraId="08A013F5"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276" w:type="dxa"/>
            <w:vAlign w:val="center"/>
            <w:hideMark/>
          </w:tcPr>
          <w:p w14:paraId="002A5A5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5.9945</w:t>
            </w:r>
          </w:p>
        </w:tc>
        <w:tc>
          <w:tcPr>
            <w:tcW w:w="1680" w:type="dxa"/>
            <w:vAlign w:val="center"/>
            <w:hideMark/>
          </w:tcPr>
          <w:p w14:paraId="73D7DE18"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0.7623</w:t>
            </w:r>
          </w:p>
        </w:tc>
        <w:tc>
          <w:tcPr>
            <w:tcW w:w="0" w:type="auto"/>
            <w:vAlign w:val="center"/>
            <w:hideMark/>
          </w:tcPr>
          <w:p w14:paraId="3B70248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7.8634</w:t>
            </w:r>
          </w:p>
        </w:tc>
      </w:tr>
      <w:tr w:rsidR="00294D85" w:rsidRPr="00DB5229" w14:paraId="461527DE" w14:textId="77777777" w:rsidTr="00473BA7">
        <w:trPr>
          <w:trHeight w:val="22"/>
          <w:jc w:val="center"/>
        </w:trPr>
        <w:tc>
          <w:tcPr>
            <w:tcW w:w="5382" w:type="dxa"/>
            <w:gridSpan w:val="2"/>
            <w:vAlign w:val="center"/>
            <w:hideMark/>
          </w:tcPr>
          <w:p w14:paraId="4ED75DB2"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(1985-86)</w:t>
            </w:r>
          </w:p>
        </w:tc>
        <w:tc>
          <w:tcPr>
            <w:tcW w:w="1276" w:type="dxa"/>
            <w:vAlign w:val="center"/>
            <w:hideMark/>
          </w:tcPr>
          <w:p w14:paraId="373263BC"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6.0493</w:t>
            </w:r>
          </w:p>
        </w:tc>
        <w:tc>
          <w:tcPr>
            <w:tcW w:w="1680" w:type="dxa"/>
            <w:vAlign w:val="center"/>
            <w:hideMark/>
          </w:tcPr>
          <w:p w14:paraId="2328F69F"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0.7711</w:t>
            </w:r>
          </w:p>
        </w:tc>
        <w:tc>
          <w:tcPr>
            <w:tcW w:w="0" w:type="auto"/>
            <w:vAlign w:val="center"/>
            <w:hideMark/>
          </w:tcPr>
          <w:p w14:paraId="7589E4A3" w14:textId="77777777" w:rsidR="00294D85" w:rsidRPr="00DB5229" w:rsidRDefault="00294D85"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7.8450</w:t>
            </w:r>
          </w:p>
        </w:tc>
      </w:tr>
      <w:tr w:rsidR="00473BA7" w:rsidRPr="00DB5229" w14:paraId="50190DC9" w14:textId="77777777" w:rsidTr="005770BA">
        <w:trPr>
          <w:trHeight w:val="22"/>
          <w:jc w:val="center"/>
        </w:trPr>
        <w:tc>
          <w:tcPr>
            <w:tcW w:w="2454" w:type="dxa"/>
            <w:vAlign w:val="center"/>
            <w:hideMark/>
          </w:tcPr>
          <w:p w14:paraId="2A6FDE97" w14:textId="77777777"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2928" w:type="dxa"/>
            <w:vAlign w:val="center"/>
          </w:tcPr>
          <w:p w14:paraId="0865E1C2" w14:textId="508FB0DD"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0.8968</w:t>
            </w:r>
          </w:p>
        </w:tc>
        <w:tc>
          <w:tcPr>
            <w:tcW w:w="2956" w:type="dxa"/>
            <w:gridSpan w:val="2"/>
            <w:vAlign w:val="center"/>
          </w:tcPr>
          <w:p w14:paraId="424487FB"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0" w:type="auto"/>
            <w:vAlign w:val="center"/>
            <w:hideMark/>
          </w:tcPr>
          <w:p w14:paraId="5A2171D6"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0.5007</w:t>
            </w:r>
          </w:p>
        </w:tc>
      </w:tr>
      <w:tr w:rsidR="00473BA7" w:rsidRPr="00DB5229" w14:paraId="2E5C596A" w14:textId="77777777" w:rsidTr="00C41233">
        <w:trPr>
          <w:trHeight w:val="22"/>
          <w:jc w:val="center"/>
        </w:trPr>
        <w:tc>
          <w:tcPr>
            <w:tcW w:w="2454" w:type="dxa"/>
            <w:vAlign w:val="center"/>
            <w:hideMark/>
          </w:tcPr>
          <w:p w14:paraId="6C32B933" w14:textId="77777777"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2928" w:type="dxa"/>
            <w:vAlign w:val="center"/>
          </w:tcPr>
          <w:p w14:paraId="2D42CE98" w14:textId="3380EB46"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0.8516</w:t>
            </w:r>
          </w:p>
        </w:tc>
        <w:tc>
          <w:tcPr>
            <w:tcW w:w="2956" w:type="dxa"/>
            <w:gridSpan w:val="2"/>
            <w:vAlign w:val="center"/>
          </w:tcPr>
          <w:p w14:paraId="6D0A27E4"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0" w:type="auto"/>
            <w:vAlign w:val="center"/>
            <w:hideMark/>
          </w:tcPr>
          <w:p w14:paraId="39A948D8"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0.1769</w:t>
            </w:r>
          </w:p>
        </w:tc>
      </w:tr>
    </w:tbl>
    <w:p w14:paraId="4E900FE6" w14:textId="77777777" w:rsidR="00294D85" w:rsidRPr="00DB5229" w:rsidRDefault="00294D85" w:rsidP="00473BA7">
      <w:pPr>
        <w:spacing w:after="0" w:line="200" w:lineRule="exact"/>
        <w:rPr>
          <w:rFonts w:ascii="Times New Roman" w:hAnsi="Times New Roman" w:cs="Times New Roman"/>
          <w:sz w:val="16"/>
          <w:szCs w:val="16"/>
        </w:rPr>
      </w:pPr>
    </w:p>
    <w:tbl>
      <w:tblPr>
        <w:tblStyle w:val="TableGrid"/>
        <w:tblW w:w="9502" w:type="dxa"/>
        <w:jc w:val="center"/>
        <w:tblLook w:val="04A0" w:firstRow="1" w:lastRow="0" w:firstColumn="1" w:lastColumn="0" w:noHBand="0" w:noVBand="1"/>
      </w:tblPr>
      <w:tblGrid>
        <w:gridCol w:w="5524"/>
        <w:gridCol w:w="3978"/>
      </w:tblGrid>
      <w:tr w:rsidR="00294D85" w:rsidRPr="00DB5229" w14:paraId="6AC0D243" w14:textId="77777777" w:rsidTr="00D539B3">
        <w:trPr>
          <w:trHeight w:val="20"/>
          <w:jc w:val="center"/>
        </w:trPr>
        <w:tc>
          <w:tcPr>
            <w:tcW w:w="5524" w:type="dxa"/>
            <w:hideMark/>
          </w:tcPr>
          <w:p w14:paraId="07BEDAF3" w14:textId="77777777" w:rsidR="00294D85" w:rsidRPr="00DB5229" w:rsidRDefault="00294D85" w:rsidP="005E0DD7">
            <w:pPr>
              <w:pStyle w:val="NoSpacing"/>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3978" w:type="dxa"/>
            <w:hideMark/>
          </w:tcPr>
          <w:p w14:paraId="3FE26170" w14:textId="77777777" w:rsidR="00294D85" w:rsidRPr="00DB5229" w:rsidRDefault="00294D85" w:rsidP="005E0DD7">
            <w:pPr>
              <w:pStyle w:val="NoSpacing"/>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Revenue from Motor Vehicles and Passenger Goods Taxes</w:t>
            </w:r>
          </w:p>
        </w:tc>
      </w:tr>
      <w:tr w:rsidR="00294D85" w:rsidRPr="00DB5229" w14:paraId="63149D59" w14:textId="77777777" w:rsidTr="00D539B3">
        <w:trPr>
          <w:trHeight w:val="20"/>
          <w:jc w:val="center"/>
        </w:trPr>
        <w:tc>
          <w:tcPr>
            <w:tcW w:w="5524" w:type="dxa"/>
            <w:hideMark/>
          </w:tcPr>
          <w:p w14:paraId="024F469C"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3978" w:type="dxa"/>
            <w:hideMark/>
          </w:tcPr>
          <w:p w14:paraId="36548239"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b/>
                <w:bCs/>
                <w:sz w:val="16"/>
                <w:szCs w:val="16"/>
              </w:rPr>
              <w:t>Middle Income States</w:t>
            </w:r>
          </w:p>
        </w:tc>
      </w:tr>
      <w:tr w:rsidR="00294D85" w:rsidRPr="00DB5229" w14:paraId="2881AD87" w14:textId="77777777" w:rsidTr="00D539B3">
        <w:trPr>
          <w:trHeight w:val="20"/>
          <w:jc w:val="center"/>
        </w:trPr>
        <w:tc>
          <w:tcPr>
            <w:tcW w:w="5524" w:type="dxa"/>
            <w:hideMark/>
          </w:tcPr>
          <w:p w14:paraId="28E54B9B"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3978" w:type="dxa"/>
            <w:hideMark/>
          </w:tcPr>
          <w:p w14:paraId="7F923ED7"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30</w:t>
            </w:r>
          </w:p>
        </w:tc>
      </w:tr>
      <w:tr w:rsidR="00294D85" w:rsidRPr="00DB5229" w14:paraId="1800E79E" w14:textId="77777777" w:rsidTr="00D539B3">
        <w:trPr>
          <w:trHeight w:val="20"/>
          <w:jc w:val="center"/>
        </w:trPr>
        <w:tc>
          <w:tcPr>
            <w:tcW w:w="5524" w:type="dxa"/>
            <w:hideMark/>
          </w:tcPr>
          <w:p w14:paraId="11EACB6B"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3978" w:type="dxa"/>
            <w:hideMark/>
          </w:tcPr>
          <w:p w14:paraId="778A8443"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22</w:t>
            </w:r>
          </w:p>
        </w:tc>
      </w:tr>
    </w:tbl>
    <w:p w14:paraId="75C253D0" w14:textId="77777777" w:rsidR="00294D85" w:rsidRPr="00DB5229" w:rsidRDefault="00294D85" w:rsidP="005E0DD7">
      <w:pPr>
        <w:pStyle w:val="NoSpacing"/>
        <w:spacing w:line="200" w:lineRule="exact"/>
        <w:rPr>
          <w:rFonts w:ascii="Times New Roman" w:hAnsi="Times New Roman" w:cs="Times New Roman"/>
          <w:vanish/>
          <w:sz w:val="16"/>
          <w:szCs w:val="16"/>
        </w:rPr>
      </w:pPr>
    </w:p>
    <w:tbl>
      <w:tblPr>
        <w:tblStyle w:val="TableGrid"/>
        <w:tblW w:w="9501" w:type="dxa"/>
        <w:jc w:val="center"/>
        <w:tblLook w:val="04A0" w:firstRow="1" w:lastRow="0" w:firstColumn="1" w:lastColumn="0" w:noHBand="0" w:noVBand="1"/>
      </w:tblPr>
      <w:tblGrid>
        <w:gridCol w:w="2780"/>
        <w:gridCol w:w="2736"/>
        <w:gridCol w:w="1149"/>
        <w:gridCol w:w="1604"/>
        <w:gridCol w:w="1232"/>
      </w:tblGrid>
      <w:tr w:rsidR="00294D85" w:rsidRPr="00DB5229" w14:paraId="7E8C6775" w14:textId="77777777" w:rsidTr="00D539B3">
        <w:trPr>
          <w:trHeight w:val="20"/>
          <w:jc w:val="center"/>
        </w:trPr>
        <w:tc>
          <w:tcPr>
            <w:tcW w:w="5516" w:type="dxa"/>
            <w:gridSpan w:val="2"/>
            <w:vAlign w:val="center"/>
            <w:hideMark/>
          </w:tcPr>
          <w:p w14:paraId="3B165457" w14:textId="77777777" w:rsidR="00294D85" w:rsidRPr="00DB5229" w:rsidRDefault="00294D85" w:rsidP="005E0DD7">
            <w:pPr>
              <w:pStyle w:val="NoSpacing"/>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149" w:type="dxa"/>
            <w:vAlign w:val="center"/>
            <w:hideMark/>
          </w:tcPr>
          <w:p w14:paraId="62AE5828" w14:textId="77777777" w:rsidR="00294D85" w:rsidRPr="00DB5229" w:rsidRDefault="00294D85" w:rsidP="005E0DD7">
            <w:pPr>
              <w:pStyle w:val="NoSpacing"/>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604" w:type="dxa"/>
            <w:vAlign w:val="center"/>
            <w:hideMark/>
          </w:tcPr>
          <w:p w14:paraId="5578EC78" w14:textId="77777777" w:rsidR="00294D85" w:rsidRPr="00DB5229" w:rsidRDefault="00294D85" w:rsidP="005E0DD7">
            <w:pPr>
              <w:pStyle w:val="NoSpacing"/>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232" w:type="dxa"/>
            <w:vAlign w:val="center"/>
            <w:hideMark/>
          </w:tcPr>
          <w:p w14:paraId="1B148DB0" w14:textId="77777777" w:rsidR="00294D85" w:rsidRPr="00DB5229" w:rsidRDefault="00294D85" w:rsidP="005E0DD7">
            <w:pPr>
              <w:pStyle w:val="NoSpacing"/>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712F9E74" w14:textId="77777777" w:rsidTr="00D539B3">
        <w:trPr>
          <w:trHeight w:val="20"/>
          <w:jc w:val="center"/>
        </w:trPr>
        <w:tc>
          <w:tcPr>
            <w:tcW w:w="5516" w:type="dxa"/>
            <w:gridSpan w:val="2"/>
            <w:vAlign w:val="center"/>
            <w:hideMark/>
          </w:tcPr>
          <w:p w14:paraId="6B6A017E"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1. Total registered motor vehicles</w:t>
            </w:r>
          </w:p>
        </w:tc>
        <w:tc>
          <w:tcPr>
            <w:tcW w:w="1149" w:type="dxa"/>
            <w:vAlign w:val="center"/>
            <w:hideMark/>
          </w:tcPr>
          <w:p w14:paraId="5CC820B4"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1.5207</w:t>
            </w:r>
          </w:p>
        </w:tc>
        <w:tc>
          <w:tcPr>
            <w:tcW w:w="1604" w:type="dxa"/>
            <w:vAlign w:val="center"/>
            <w:hideMark/>
          </w:tcPr>
          <w:p w14:paraId="049B82D2"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0.1705</w:t>
            </w:r>
          </w:p>
        </w:tc>
        <w:tc>
          <w:tcPr>
            <w:tcW w:w="1232" w:type="dxa"/>
            <w:vAlign w:val="center"/>
            <w:hideMark/>
          </w:tcPr>
          <w:p w14:paraId="5CF65534"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8.9216</w:t>
            </w:r>
          </w:p>
        </w:tc>
      </w:tr>
      <w:tr w:rsidR="00294D85" w:rsidRPr="00DB5229" w14:paraId="407C5640" w14:textId="77777777" w:rsidTr="00D539B3">
        <w:trPr>
          <w:trHeight w:val="20"/>
          <w:jc w:val="center"/>
        </w:trPr>
        <w:tc>
          <w:tcPr>
            <w:tcW w:w="5516" w:type="dxa"/>
            <w:gridSpan w:val="2"/>
            <w:vAlign w:val="center"/>
            <w:hideMark/>
          </w:tcPr>
          <w:p w14:paraId="4ADEBDED"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2. Proportion of heavy vehicles to total vehicles</w:t>
            </w:r>
          </w:p>
        </w:tc>
        <w:tc>
          <w:tcPr>
            <w:tcW w:w="1149" w:type="dxa"/>
            <w:vAlign w:val="center"/>
            <w:hideMark/>
          </w:tcPr>
          <w:p w14:paraId="5E291B9E"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0.5556</w:t>
            </w:r>
          </w:p>
        </w:tc>
        <w:tc>
          <w:tcPr>
            <w:tcW w:w="1604" w:type="dxa"/>
            <w:vAlign w:val="center"/>
            <w:hideMark/>
          </w:tcPr>
          <w:p w14:paraId="6A15532A"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0.1830</w:t>
            </w:r>
          </w:p>
        </w:tc>
        <w:tc>
          <w:tcPr>
            <w:tcW w:w="1232" w:type="dxa"/>
            <w:vAlign w:val="center"/>
            <w:hideMark/>
          </w:tcPr>
          <w:p w14:paraId="4F245922"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3.0359</w:t>
            </w:r>
          </w:p>
        </w:tc>
      </w:tr>
      <w:tr w:rsidR="00294D85" w:rsidRPr="00DB5229" w14:paraId="5DD73558" w14:textId="77777777" w:rsidTr="00D539B3">
        <w:trPr>
          <w:trHeight w:val="20"/>
          <w:jc w:val="center"/>
        </w:trPr>
        <w:tc>
          <w:tcPr>
            <w:tcW w:w="5516" w:type="dxa"/>
            <w:gridSpan w:val="2"/>
            <w:vAlign w:val="center"/>
            <w:hideMark/>
          </w:tcPr>
          <w:p w14:paraId="7D05BA7A"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149" w:type="dxa"/>
            <w:vAlign w:val="center"/>
            <w:hideMark/>
          </w:tcPr>
          <w:p w14:paraId="5FCFC35E"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-9.6157</w:t>
            </w:r>
          </w:p>
        </w:tc>
        <w:tc>
          <w:tcPr>
            <w:tcW w:w="1604" w:type="dxa"/>
            <w:vAlign w:val="center"/>
            <w:hideMark/>
          </w:tcPr>
          <w:p w14:paraId="4086E077"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1.9735</w:t>
            </w:r>
          </w:p>
        </w:tc>
        <w:tc>
          <w:tcPr>
            <w:tcW w:w="1232" w:type="dxa"/>
            <w:vAlign w:val="center"/>
            <w:hideMark/>
          </w:tcPr>
          <w:p w14:paraId="115DFD9D"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-4.8723</w:t>
            </w:r>
          </w:p>
        </w:tc>
      </w:tr>
      <w:tr w:rsidR="00294D85" w:rsidRPr="00DB5229" w14:paraId="70BDFCC1" w14:textId="77777777" w:rsidTr="00D539B3">
        <w:trPr>
          <w:trHeight w:val="20"/>
          <w:jc w:val="center"/>
        </w:trPr>
        <w:tc>
          <w:tcPr>
            <w:tcW w:w="5516" w:type="dxa"/>
            <w:gridSpan w:val="2"/>
            <w:vAlign w:val="center"/>
            <w:hideMark/>
          </w:tcPr>
          <w:p w14:paraId="24264B7C"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149" w:type="dxa"/>
            <w:vAlign w:val="center"/>
            <w:hideMark/>
          </w:tcPr>
          <w:p w14:paraId="6C2A97B4"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-9.7024</w:t>
            </w:r>
          </w:p>
        </w:tc>
        <w:tc>
          <w:tcPr>
            <w:tcW w:w="1604" w:type="dxa"/>
            <w:vAlign w:val="center"/>
            <w:hideMark/>
          </w:tcPr>
          <w:p w14:paraId="390AD56B"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1.9920</w:t>
            </w:r>
          </w:p>
        </w:tc>
        <w:tc>
          <w:tcPr>
            <w:tcW w:w="1232" w:type="dxa"/>
            <w:vAlign w:val="center"/>
            <w:hideMark/>
          </w:tcPr>
          <w:p w14:paraId="6FAA3B9E"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-4.8706</w:t>
            </w:r>
          </w:p>
        </w:tc>
      </w:tr>
      <w:tr w:rsidR="00294D85" w:rsidRPr="00DB5229" w14:paraId="43D83305" w14:textId="77777777" w:rsidTr="00D539B3">
        <w:trPr>
          <w:trHeight w:val="20"/>
          <w:jc w:val="center"/>
        </w:trPr>
        <w:tc>
          <w:tcPr>
            <w:tcW w:w="5516" w:type="dxa"/>
            <w:gridSpan w:val="2"/>
            <w:vAlign w:val="center"/>
            <w:hideMark/>
          </w:tcPr>
          <w:p w14:paraId="439668BB"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149" w:type="dxa"/>
            <w:vAlign w:val="center"/>
            <w:hideMark/>
          </w:tcPr>
          <w:p w14:paraId="7C3CA812"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-9.7840</w:t>
            </w:r>
          </w:p>
        </w:tc>
        <w:tc>
          <w:tcPr>
            <w:tcW w:w="1604" w:type="dxa"/>
            <w:vAlign w:val="center"/>
            <w:hideMark/>
          </w:tcPr>
          <w:p w14:paraId="3E08A816"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2.0110</w:t>
            </w:r>
          </w:p>
        </w:tc>
        <w:tc>
          <w:tcPr>
            <w:tcW w:w="1232" w:type="dxa"/>
            <w:vAlign w:val="center"/>
            <w:hideMark/>
          </w:tcPr>
          <w:p w14:paraId="6D251D0B"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-4.8653</w:t>
            </w:r>
          </w:p>
        </w:tc>
      </w:tr>
      <w:tr w:rsidR="00294D85" w:rsidRPr="00DB5229" w14:paraId="70741E2F" w14:textId="77777777" w:rsidTr="00D539B3">
        <w:trPr>
          <w:trHeight w:val="20"/>
          <w:jc w:val="center"/>
        </w:trPr>
        <w:tc>
          <w:tcPr>
            <w:tcW w:w="5516" w:type="dxa"/>
            <w:gridSpan w:val="2"/>
            <w:vAlign w:val="center"/>
            <w:hideMark/>
          </w:tcPr>
          <w:p w14:paraId="582A22C1"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149" w:type="dxa"/>
            <w:vAlign w:val="center"/>
            <w:hideMark/>
          </w:tcPr>
          <w:p w14:paraId="63841B15"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-9.7768</w:t>
            </w:r>
          </w:p>
        </w:tc>
        <w:tc>
          <w:tcPr>
            <w:tcW w:w="1604" w:type="dxa"/>
            <w:vAlign w:val="center"/>
            <w:hideMark/>
          </w:tcPr>
          <w:p w14:paraId="5E0FCDB8"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2.0262</w:t>
            </w:r>
          </w:p>
        </w:tc>
        <w:tc>
          <w:tcPr>
            <w:tcW w:w="1232" w:type="dxa"/>
            <w:vAlign w:val="center"/>
            <w:hideMark/>
          </w:tcPr>
          <w:p w14:paraId="1F53E490"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-4.8252</w:t>
            </w:r>
          </w:p>
        </w:tc>
      </w:tr>
      <w:tr w:rsidR="00294D85" w:rsidRPr="00DB5229" w14:paraId="7DEF046C" w14:textId="77777777" w:rsidTr="00D539B3">
        <w:trPr>
          <w:trHeight w:val="20"/>
          <w:jc w:val="center"/>
        </w:trPr>
        <w:tc>
          <w:tcPr>
            <w:tcW w:w="5516" w:type="dxa"/>
            <w:gridSpan w:val="2"/>
            <w:vAlign w:val="center"/>
            <w:hideMark/>
          </w:tcPr>
          <w:p w14:paraId="31B6E1EB"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149" w:type="dxa"/>
            <w:vAlign w:val="center"/>
            <w:hideMark/>
          </w:tcPr>
          <w:p w14:paraId="5005BD20"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-9.8064</w:t>
            </w:r>
          </w:p>
        </w:tc>
        <w:tc>
          <w:tcPr>
            <w:tcW w:w="1604" w:type="dxa"/>
            <w:vAlign w:val="center"/>
            <w:hideMark/>
          </w:tcPr>
          <w:p w14:paraId="07355CC7"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2.0473</w:t>
            </w:r>
          </w:p>
        </w:tc>
        <w:tc>
          <w:tcPr>
            <w:tcW w:w="1232" w:type="dxa"/>
            <w:vAlign w:val="center"/>
            <w:hideMark/>
          </w:tcPr>
          <w:p w14:paraId="25350434"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-4.7898</w:t>
            </w:r>
          </w:p>
        </w:tc>
      </w:tr>
      <w:tr w:rsidR="00294D85" w:rsidRPr="00DB5229" w14:paraId="3304AAAF" w14:textId="77777777" w:rsidTr="00D539B3">
        <w:trPr>
          <w:trHeight w:val="20"/>
          <w:jc w:val="center"/>
        </w:trPr>
        <w:tc>
          <w:tcPr>
            <w:tcW w:w="5516" w:type="dxa"/>
            <w:gridSpan w:val="2"/>
            <w:vAlign w:val="center"/>
            <w:hideMark/>
          </w:tcPr>
          <w:p w14:paraId="558992A7"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(1985-86)</w:t>
            </w:r>
          </w:p>
        </w:tc>
        <w:tc>
          <w:tcPr>
            <w:tcW w:w="1149" w:type="dxa"/>
            <w:vAlign w:val="center"/>
            <w:hideMark/>
          </w:tcPr>
          <w:p w14:paraId="19CBEE68"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-9.8303</w:t>
            </w:r>
          </w:p>
        </w:tc>
        <w:tc>
          <w:tcPr>
            <w:tcW w:w="1604" w:type="dxa"/>
            <w:vAlign w:val="center"/>
            <w:hideMark/>
          </w:tcPr>
          <w:p w14:paraId="3F85C82C"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2.0671</w:t>
            </w:r>
          </w:p>
        </w:tc>
        <w:tc>
          <w:tcPr>
            <w:tcW w:w="1232" w:type="dxa"/>
            <w:vAlign w:val="center"/>
            <w:hideMark/>
          </w:tcPr>
          <w:p w14:paraId="0A5D2943" w14:textId="77777777" w:rsidR="00294D85" w:rsidRPr="00DB5229" w:rsidRDefault="00294D85" w:rsidP="005E0DD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-4.7555</w:t>
            </w:r>
          </w:p>
        </w:tc>
      </w:tr>
      <w:tr w:rsidR="00473BA7" w:rsidRPr="00DB5229" w14:paraId="7B26174C" w14:textId="77777777" w:rsidTr="00D539B3">
        <w:trPr>
          <w:trHeight w:val="20"/>
          <w:jc w:val="center"/>
        </w:trPr>
        <w:tc>
          <w:tcPr>
            <w:tcW w:w="2780" w:type="dxa"/>
            <w:vAlign w:val="center"/>
            <w:hideMark/>
          </w:tcPr>
          <w:p w14:paraId="3297CB1A" w14:textId="77777777" w:rsidR="00473BA7" w:rsidRPr="00DB5229" w:rsidRDefault="00473BA7" w:rsidP="00473BA7">
            <w:pPr>
              <w:pStyle w:val="NoSpacing"/>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2736" w:type="dxa"/>
            <w:vAlign w:val="center"/>
          </w:tcPr>
          <w:p w14:paraId="29DF5F83" w14:textId="7780F923" w:rsidR="00473BA7" w:rsidRPr="00DB5229" w:rsidRDefault="00473BA7" w:rsidP="00473BA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0.8458</w:t>
            </w:r>
          </w:p>
        </w:tc>
        <w:tc>
          <w:tcPr>
            <w:tcW w:w="2753" w:type="dxa"/>
            <w:gridSpan w:val="2"/>
            <w:vAlign w:val="center"/>
          </w:tcPr>
          <w:p w14:paraId="27D47363" w14:textId="77777777" w:rsidR="00473BA7" w:rsidRPr="00DB5229" w:rsidRDefault="00473BA7" w:rsidP="00473BA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0" w:type="auto"/>
            <w:vAlign w:val="center"/>
            <w:hideMark/>
          </w:tcPr>
          <w:p w14:paraId="1C5B71B6" w14:textId="77777777" w:rsidR="00473BA7" w:rsidRPr="00DB5229" w:rsidRDefault="00473BA7" w:rsidP="00473BA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1.0313</w:t>
            </w:r>
          </w:p>
        </w:tc>
      </w:tr>
      <w:tr w:rsidR="00473BA7" w:rsidRPr="00DB5229" w14:paraId="625EB1F4" w14:textId="77777777" w:rsidTr="00D539B3">
        <w:trPr>
          <w:trHeight w:val="20"/>
          <w:jc w:val="center"/>
        </w:trPr>
        <w:tc>
          <w:tcPr>
            <w:tcW w:w="2780" w:type="dxa"/>
            <w:vAlign w:val="center"/>
            <w:hideMark/>
          </w:tcPr>
          <w:p w14:paraId="7F58CA0C" w14:textId="77777777" w:rsidR="00473BA7" w:rsidRPr="00DB5229" w:rsidRDefault="00473BA7" w:rsidP="00473BA7">
            <w:pPr>
              <w:pStyle w:val="NoSpacing"/>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2736" w:type="dxa"/>
            <w:vAlign w:val="center"/>
          </w:tcPr>
          <w:p w14:paraId="4060C489" w14:textId="29E29B6B" w:rsidR="00473BA7" w:rsidRPr="00DB5229" w:rsidRDefault="00473BA7" w:rsidP="00473BA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rPr>
              <w:t>0.7967</w:t>
            </w:r>
          </w:p>
        </w:tc>
        <w:tc>
          <w:tcPr>
            <w:tcW w:w="2753" w:type="dxa"/>
            <w:gridSpan w:val="2"/>
            <w:vAlign w:val="center"/>
          </w:tcPr>
          <w:p w14:paraId="61D6D9BB" w14:textId="77777777" w:rsidR="00473BA7" w:rsidRPr="00DB5229" w:rsidRDefault="00473BA7" w:rsidP="00473BA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0" w:type="auto"/>
            <w:vAlign w:val="center"/>
            <w:hideMark/>
          </w:tcPr>
          <w:p w14:paraId="0A6BBDD8" w14:textId="77777777" w:rsidR="00473BA7" w:rsidRPr="00DB5229" w:rsidRDefault="00473BA7" w:rsidP="00473BA7">
            <w:pPr>
              <w:pStyle w:val="NoSpacing"/>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0.2165</w:t>
            </w:r>
          </w:p>
        </w:tc>
      </w:tr>
    </w:tbl>
    <w:p w14:paraId="6D6E965C" w14:textId="77777777" w:rsidR="00294D85" w:rsidRPr="00DB5229" w:rsidRDefault="00294D85" w:rsidP="00473BA7">
      <w:pPr>
        <w:spacing w:after="0" w:line="200" w:lineRule="exact"/>
        <w:rPr>
          <w:rFonts w:ascii="Times New Roman" w:hAnsi="Times New Roman" w:cs="Times New Roman"/>
          <w:sz w:val="16"/>
          <w:szCs w:val="16"/>
        </w:rPr>
      </w:pPr>
    </w:p>
    <w:tbl>
      <w:tblPr>
        <w:tblStyle w:val="TableGrid"/>
        <w:tblW w:w="9554" w:type="dxa"/>
        <w:jc w:val="center"/>
        <w:tblLook w:val="04A0" w:firstRow="1" w:lastRow="0" w:firstColumn="1" w:lastColumn="0" w:noHBand="0" w:noVBand="1"/>
      </w:tblPr>
      <w:tblGrid>
        <w:gridCol w:w="2880"/>
        <w:gridCol w:w="2785"/>
        <w:gridCol w:w="1134"/>
        <w:gridCol w:w="1560"/>
        <w:gridCol w:w="1195"/>
      </w:tblGrid>
      <w:tr w:rsidR="00294D85" w:rsidRPr="00DB5229" w14:paraId="44D0FAF4" w14:textId="77777777" w:rsidTr="00473BA7">
        <w:trPr>
          <w:trHeight w:val="233"/>
          <w:jc w:val="center"/>
        </w:trPr>
        <w:tc>
          <w:tcPr>
            <w:tcW w:w="5665" w:type="dxa"/>
            <w:gridSpan w:val="2"/>
            <w:hideMark/>
          </w:tcPr>
          <w:p w14:paraId="468B4800"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3889" w:type="dxa"/>
            <w:gridSpan w:val="3"/>
            <w:hideMark/>
          </w:tcPr>
          <w:p w14:paraId="6855F626" w14:textId="77777777" w:rsidR="00294D85" w:rsidRPr="00DB5229" w:rsidRDefault="00294D85" w:rsidP="00473BA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Revenue from Motor Vehicles and Passenger Goods Taxes</w:t>
            </w:r>
          </w:p>
        </w:tc>
      </w:tr>
      <w:tr w:rsidR="00294D85" w:rsidRPr="00DB5229" w14:paraId="2DA612AA" w14:textId="77777777" w:rsidTr="00473BA7">
        <w:trPr>
          <w:trHeight w:val="233"/>
          <w:jc w:val="center"/>
        </w:trPr>
        <w:tc>
          <w:tcPr>
            <w:tcW w:w="5665" w:type="dxa"/>
            <w:gridSpan w:val="2"/>
            <w:hideMark/>
          </w:tcPr>
          <w:p w14:paraId="203832BE"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lastRenderedPageBreak/>
              <w:t>Income Category</w:t>
            </w:r>
          </w:p>
        </w:tc>
        <w:tc>
          <w:tcPr>
            <w:tcW w:w="3889" w:type="dxa"/>
            <w:gridSpan w:val="3"/>
            <w:hideMark/>
          </w:tcPr>
          <w:p w14:paraId="26FF5D2B" w14:textId="77777777" w:rsidR="00294D85" w:rsidRPr="00DB5229" w:rsidRDefault="00294D85"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Low Income States</w:t>
            </w:r>
          </w:p>
        </w:tc>
      </w:tr>
      <w:tr w:rsidR="00294D85" w:rsidRPr="00DB5229" w14:paraId="10824D0B" w14:textId="77777777" w:rsidTr="00473BA7">
        <w:trPr>
          <w:trHeight w:val="233"/>
          <w:jc w:val="center"/>
        </w:trPr>
        <w:tc>
          <w:tcPr>
            <w:tcW w:w="5665" w:type="dxa"/>
            <w:gridSpan w:val="2"/>
            <w:hideMark/>
          </w:tcPr>
          <w:p w14:paraId="5726C7A4"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3889" w:type="dxa"/>
            <w:gridSpan w:val="3"/>
            <w:hideMark/>
          </w:tcPr>
          <w:p w14:paraId="05C5CE26" w14:textId="77777777" w:rsidR="00294D85" w:rsidRPr="00DB5229" w:rsidRDefault="00294D85"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30</w:t>
            </w:r>
          </w:p>
        </w:tc>
      </w:tr>
      <w:tr w:rsidR="00294D85" w:rsidRPr="00DB5229" w14:paraId="3106E437" w14:textId="77777777" w:rsidTr="00473BA7">
        <w:trPr>
          <w:trHeight w:val="233"/>
          <w:jc w:val="center"/>
        </w:trPr>
        <w:tc>
          <w:tcPr>
            <w:tcW w:w="5665" w:type="dxa"/>
            <w:gridSpan w:val="2"/>
            <w:hideMark/>
          </w:tcPr>
          <w:p w14:paraId="71D24C2D" w14:textId="77777777" w:rsidR="00294D85" w:rsidRPr="00DB5229" w:rsidRDefault="00294D85" w:rsidP="005E0DD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3889" w:type="dxa"/>
            <w:gridSpan w:val="3"/>
            <w:hideMark/>
          </w:tcPr>
          <w:p w14:paraId="2BC1487E" w14:textId="77777777" w:rsidR="00294D85" w:rsidRPr="00DB5229" w:rsidRDefault="00294D85"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23</w:t>
            </w:r>
          </w:p>
        </w:tc>
      </w:tr>
      <w:tr w:rsidR="007F1704" w:rsidRPr="00DB5229" w14:paraId="74FDE529" w14:textId="77777777" w:rsidTr="00473BA7">
        <w:trPr>
          <w:trHeight w:val="20"/>
          <w:jc w:val="center"/>
        </w:trPr>
        <w:tc>
          <w:tcPr>
            <w:tcW w:w="5665" w:type="dxa"/>
            <w:gridSpan w:val="2"/>
            <w:vAlign w:val="center"/>
            <w:hideMark/>
          </w:tcPr>
          <w:p w14:paraId="5D96E6B6" w14:textId="77777777" w:rsidR="007F1704" w:rsidRPr="00DB5229" w:rsidRDefault="007F1704" w:rsidP="00473BA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1134" w:type="dxa"/>
            <w:vAlign w:val="center"/>
            <w:hideMark/>
          </w:tcPr>
          <w:p w14:paraId="011DB9E0" w14:textId="77777777" w:rsidR="007F1704" w:rsidRPr="00DB5229" w:rsidRDefault="007F1704"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1560" w:type="dxa"/>
            <w:vAlign w:val="center"/>
            <w:hideMark/>
          </w:tcPr>
          <w:p w14:paraId="6C706D1C" w14:textId="77777777" w:rsidR="007F1704" w:rsidRPr="00DB5229" w:rsidRDefault="007F1704"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195" w:type="dxa"/>
            <w:vAlign w:val="center"/>
            <w:hideMark/>
          </w:tcPr>
          <w:p w14:paraId="3016C7DB" w14:textId="77777777" w:rsidR="007F1704" w:rsidRPr="00DB5229" w:rsidRDefault="007F1704"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7F1704" w:rsidRPr="00DB5229" w14:paraId="00E59CC6" w14:textId="77777777" w:rsidTr="00473BA7">
        <w:trPr>
          <w:trHeight w:val="20"/>
          <w:jc w:val="center"/>
        </w:trPr>
        <w:tc>
          <w:tcPr>
            <w:tcW w:w="5665" w:type="dxa"/>
            <w:gridSpan w:val="2"/>
            <w:vAlign w:val="center"/>
            <w:hideMark/>
          </w:tcPr>
          <w:p w14:paraId="4B4D5679"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Total registered motor vehicles</w:t>
            </w:r>
          </w:p>
        </w:tc>
        <w:tc>
          <w:tcPr>
            <w:tcW w:w="1134" w:type="dxa"/>
            <w:vAlign w:val="center"/>
            <w:hideMark/>
          </w:tcPr>
          <w:p w14:paraId="70FB2E1B"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0.9202</w:t>
            </w:r>
          </w:p>
        </w:tc>
        <w:tc>
          <w:tcPr>
            <w:tcW w:w="1560" w:type="dxa"/>
            <w:vAlign w:val="center"/>
            <w:hideMark/>
          </w:tcPr>
          <w:p w14:paraId="6F24ACF4"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0.0725</w:t>
            </w:r>
          </w:p>
        </w:tc>
        <w:tc>
          <w:tcPr>
            <w:tcW w:w="1195" w:type="dxa"/>
            <w:vAlign w:val="center"/>
            <w:hideMark/>
          </w:tcPr>
          <w:p w14:paraId="6D0C0340"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12.7014</w:t>
            </w:r>
          </w:p>
        </w:tc>
      </w:tr>
      <w:tr w:rsidR="007F1704" w:rsidRPr="00DB5229" w14:paraId="45A3CD67" w14:textId="77777777" w:rsidTr="00473BA7">
        <w:trPr>
          <w:trHeight w:val="20"/>
          <w:jc w:val="center"/>
        </w:trPr>
        <w:tc>
          <w:tcPr>
            <w:tcW w:w="5665" w:type="dxa"/>
            <w:gridSpan w:val="2"/>
            <w:vAlign w:val="center"/>
            <w:hideMark/>
          </w:tcPr>
          <w:p w14:paraId="03BC086A"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(1980-81)</w:t>
            </w:r>
          </w:p>
        </w:tc>
        <w:tc>
          <w:tcPr>
            <w:tcW w:w="1134" w:type="dxa"/>
            <w:vAlign w:val="center"/>
            <w:hideMark/>
          </w:tcPr>
          <w:p w14:paraId="5F9B6BA0"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-3.1471</w:t>
            </w:r>
          </w:p>
        </w:tc>
        <w:tc>
          <w:tcPr>
            <w:tcW w:w="1560" w:type="dxa"/>
            <w:vAlign w:val="center"/>
            <w:hideMark/>
          </w:tcPr>
          <w:p w14:paraId="687CC966"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0.8918</w:t>
            </w:r>
          </w:p>
        </w:tc>
        <w:tc>
          <w:tcPr>
            <w:tcW w:w="1195" w:type="dxa"/>
            <w:vAlign w:val="center"/>
            <w:hideMark/>
          </w:tcPr>
          <w:p w14:paraId="16473AB4"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-3.5288</w:t>
            </w:r>
          </w:p>
        </w:tc>
      </w:tr>
      <w:tr w:rsidR="007F1704" w:rsidRPr="00DB5229" w14:paraId="0C816462" w14:textId="77777777" w:rsidTr="00473BA7">
        <w:trPr>
          <w:trHeight w:val="20"/>
          <w:jc w:val="center"/>
        </w:trPr>
        <w:tc>
          <w:tcPr>
            <w:tcW w:w="5665" w:type="dxa"/>
            <w:gridSpan w:val="2"/>
            <w:vAlign w:val="center"/>
            <w:hideMark/>
          </w:tcPr>
          <w:p w14:paraId="380BC33B"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(1981-82)</w:t>
            </w:r>
          </w:p>
        </w:tc>
        <w:tc>
          <w:tcPr>
            <w:tcW w:w="1134" w:type="dxa"/>
            <w:vAlign w:val="center"/>
            <w:hideMark/>
          </w:tcPr>
          <w:p w14:paraId="364D8DF8"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-3.1286</w:t>
            </w:r>
          </w:p>
        </w:tc>
        <w:tc>
          <w:tcPr>
            <w:tcW w:w="1560" w:type="dxa"/>
            <w:vAlign w:val="center"/>
            <w:hideMark/>
          </w:tcPr>
          <w:p w14:paraId="584C2D46"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0.9004</w:t>
            </w:r>
          </w:p>
        </w:tc>
        <w:tc>
          <w:tcPr>
            <w:tcW w:w="1195" w:type="dxa"/>
            <w:vAlign w:val="center"/>
            <w:hideMark/>
          </w:tcPr>
          <w:p w14:paraId="7D71A986"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-3.4748</w:t>
            </w:r>
          </w:p>
        </w:tc>
      </w:tr>
      <w:tr w:rsidR="007F1704" w:rsidRPr="00DB5229" w14:paraId="15B5A0F5" w14:textId="77777777" w:rsidTr="00473BA7">
        <w:trPr>
          <w:trHeight w:val="20"/>
          <w:jc w:val="center"/>
        </w:trPr>
        <w:tc>
          <w:tcPr>
            <w:tcW w:w="5665" w:type="dxa"/>
            <w:gridSpan w:val="2"/>
            <w:vAlign w:val="center"/>
            <w:hideMark/>
          </w:tcPr>
          <w:p w14:paraId="5AF4A9E3"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1134" w:type="dxa"/>
            <w:vAlign w:val="center"/>
            <w:hideMark/>
          </w:tcPr>
          <w:p w14:paraId="772662B2"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-3.0506</w:t>
            </w:r>
          </w:p>
        </w:tc>
        <w:tc>
          <w:tcPr>
            <w:tcW w:w="1560" w:type="dxa"/>
            <w:vAlign w:val="center"/>
            <w:hideMark/>
          </w:tcPr>
          <w:p w14:paraId="16A542D3"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0.9091</w:t>
            </w:r>
          </w:p>
        </w:tc>
        <w:tc>
          <w:tcPr>
            <w:tcW w:w="1195" w:type="dxa"/>
            <w:vAlign w:val="center"/>
            <w:hideMark/>
          </w:tcPr>
          <w:p w14:paraId="5D014B61"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-3.3557</w:t>
            </w:r>
          </w:p>
        </w:tc>
      </w:tr>
      <w:tr w:rsidR="007F1704" w:rsidRPr="00DB5229" w14:paraId="35B099DB" w14:textId="77777777" w:rsidTr="00473BA7">
        <w:trPr>
          <w:trHeight w:val="20"/>
          <w:jc w:val="center"/>
        </w:trPr>
        <w:tc>
          <w:tcPr>
            <w:tcW w:w="5665" w:type="dxa"/>
            <w:gridSpan w:val="2"/>
            <w:vAlign w:val="center"/>
            <w:hideMark/>
          </w:tcPr>
          <w:p w14:paraId="73EC8CE0"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1134" w:type="dxa"/>
            <w:vAlign w:val="center"/>
            <w:hideMark/>
          </w:tcPr>
          <w:p w14:paraId="54E55E37"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-3.0728</w:t>
            </w:r>
          </w:p>
        </w:tc>
        <w:tc>
          <w:tcPr>
            <w:tcW w:w="1560" w:type="dxa"/>
            <w:vAlign w:val="center"/>
            <w:hideMark/>
          </w:tcPr>
          <w:p w14:paraId="7E5C5318"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0.9194</w:t>
            </w:r>
          </w:p>
        </w:tc>
        <w:tc>
          <w:tcPr>
            <w:tcW w:w="1195" w:type="dxa"/>
            <w:vAlign w:val="center"/>
            <w:hideMark/>
          </w:tcPr>
          <w:p w14:paraId="36ECCE3C"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-3.3424</w:t>
            </w:r>
          </w:p>
        </w:tc>
      </w:tr>
      <w:tr w:rsidR="007F1704" w:rsidRPr="00DB5229" w14:paraId="0FC5699C" w14:textId="77777777" w:rsidTr="00473BA7">
        <w:trPr>
          <w:trHeight w:val="20"/>
          <w:jc w:val="center"/>
        </w:trPr>
        <w:tc>
          <w:tcPr>
            <w:tcW w:w="5665" w:type="dxa"/>
            <w:gridSpan w:val="2"/>
            <w:vAlign w:val="center"/>
            <w:hideMark/>
          </w:tcPr>
          <w:p w14:paraId="530B3A07"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1134" w:type="dxa"/>
            <w:vAlign w:val="center"/>
            <w:hideMark/>
          </w:tcPr>
          <w:p w14:paraId="70BE05B7"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-3.0075</w:t>
            </w:r>
          </w:p>
        </w:tc>
        <w:tc>
          <w:tcPr>
            <w:tcW w:w="1560" w:type="dxa"/>
            <w:vAlign w:val="center"/>
            <w:hideMark/>
          </w:tcPr>
          <w:p w14:paraId="44EE4241"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0.9262</w:t>
            </w:r>
          </w:p>
        </w:tc>
        <w:tc>
          <w:tcPr>
            <w:tcW w:w="1195" w:type="dxa"/>
            <w:vAlign w:val="center"/>
            <w:hideMark/>
          </w:tcPr>
          <w:p w14:paraId="03708C5C"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-3.2471</w:t>
            </w:r>
          </w:p>
        </w:tc>
      </w:tr>
      <w:tr w:rsidR="007F1704" w:rsidRPr="00DB5229" w14:paraId="47C07212" w14:textId="77777777" w:rsidTr="00473BA7">
        <w:trPr>
          <w:trHeight w:val="20"/>
          <w:jc w:val="center"/>
        </w:trPr>
        <w:tc>
          <w:tcPr>
            <w:tcW w:w="5665" w:type="dxa"/>
            <w:gridSpan w:val="2"/>
            <w:vAlign w:val="center"/>
            <w:hideMark/>
          </w:tcPr>
          <w:p w14:paraId="23714464" w14:textId="77777777" w:rsidR="007F1704" w:rsidRPr="00DB5229" w:rsidRDefault="007F1704"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(1985-86)</w:t>
            </w:r>
          </w:p>
        </w:tc>
        <w:tc>
          <w:tcPr>
            <w:tcW w:w="1134" w:type="dxa"/>
            <w:vAlign w:val="center"/>
            <w:hideMark/>
          </w:tcPr>
          <w:p w14:paraId="4B596514"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-3.0592</w:t>
            </w:r>
          </w:p>
        </w:tc>
        <w:tc>
          <w:tcPr>
            <w:tcW w:w="1560" w:type="dxa"/>
            <w:vAlign w:val="center"/>
            <w:hideMark/>
          </w:tcPr>
          <w:p w14:paraId="3F87854F"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0.9425</w:t>
            </w:r>
          </w:p>
        </w:tc>
        <w:tc>
          <w:tcPr>
            <w:tcW w:w="1195" w:type="dxa"/>
            <w:vAlign w:val="center"/>
            <w:hideMark/>
          </w:tcPr>
          <w:p w14:paraId="4D1207C2" w14:textId="77777777" w:rsidR="007F1704" w:rsidRPr="00DB5229" w:rsidRDefault="007F1704" w:rsidP="005E0DD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-3.2459</w:t>
            </w:r>
          </w:p>
        </w:tc>
      </w:tr>
      <w:tr w:rsidR="007F1704" w:rsidRPr="00DB5229" w14:paraId="00419B8C" w14:textId="77777777" w:rsidTr="00473BA7">
        <w:trPr>
          <w:trHeight w:val="20"/>
          <w:jc w:val="center"/>
        </w:trPr>
        <w:tc>
          <w:tcPr>
            <w:tcW w:w="5665" w:type="dxa"/>
            <w:gridSpan w:val="2"/>
            <w:vAlign w:val="center"/>
            <w:hideMark/>
          </w:tcPr>
          <w:p w14:paraId="3CE4F927" w14:textId="77777777" w:rsidR="007F1704" w:rsidRPr="00DB5229" w:rsidRDefault="007F1704" w:rsidP="00473BA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Metric</w:t>
            </w:r>
          </w:p>
        </w:tc>
        <w:tc>
          <w:tcPr>
            <w:tcW w:w="1134" w:type="dxa"/>
            <w:vAlign w:val="center"/>
            <w:hideMark/>
          </w:tcPr>
          <w:p w14:paraId="37371420" w14:textId="77777777" w:rsidR="007F1704" w:rsidRPr="00DB5229" w:rsidRDefault="007F1704"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Value</w:t>
            </w:r>
          </w:p>
        </w:tc>
        <w:tc>
          <w:tcPr>
            <w:tcW w:w="1560" w:type="dxa"/>
            <w:vAlign w:val="center"/>
            <w:hideMark/>
          </w:tcPr>
          <w:p w14:paraId="570BE9FD" w14:textId="77777777" w:rsidR="007F1704" w:rsidRPr="00DB5229" w:rsidRDefault="007F1704"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Metric</w:t>
            </w:r>
          </w:p>
        </w:tc>
        <w:tc>
          <w:tcPr>
            <w:tcW w:w="1195" w:type="dxa"/>
            <w:vAlign w:val="center"/>
            <w:hideMark/>
          </w:tcPr>
          <w:p w14:paraId="7F1C6AFE" w14:textId="77777777" w:rsidR="007F1704" w:rsidRPr="00DB5229" w:rsidRDefault="007F1704"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Value</w:t>
            </w:r>
          </w:p>
        </w:tc>
      </w:tr>
      <w:tr w:rsidR="00473BA7" w:rsidRPr="00DB5229" w14:paraId="37B332A3" w14:textId="77777777" w:rsidTr="00CC6C61">
        <w:trPr>
          <w:trHeight w:val="20"/>
          <w:jc w:val="center"/>
        </w:trPr>
        <w:tc>
          <w:tcPr>
            <w:tcW w:w="2880" w:type="dxa"/>
            <w:vAlign w:val="center"/>
            <w:hideMark/>
          </w:tcPr>
          <w:p w14:paraId="6FF8F457" w14:textId="77777777"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2785" w:type="dxa"/>
            <w:vAlign w:val="center"/>
          </w:tcPr>
          <w:p w14:paraId="68FEB97C" w14:textId="3404107E"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0.8917</w:t>
            </w:r>
          </w:p>
        </w:tc>
        <w:tc>
          <w:tcPr>
            <w:tcW w:w="2694" w:type="dxa"/>
            <w:gridSpan w:val="2"/>
            <w:vAlign w:val="center"/>
          </w:tcPr>
          <w:p w14:paraId="13845EE8"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195" w:type="dxa"/>
            <w:vAlign w:val="center"/>
            <w:hideMark/>
          </w:tcPr>
          <w:p w14:paraId="5839AD1E"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1.5534</w:t>
            </w:r>
          </w:p>
        </w:tc>
      </w:tr>
      <w:tr w:rsidR="00473BA7" w:rsidRPr="00DB5229" w14:paraId="254F59BF" w14:textId="77777777" w:rsidTr="006A3D74">
        <w:trPr>
          <w:trHeight w:val="20"/>
          <w:jc w:val="center"/>
        </w:trPr>
        <w:tc>
          <w:tcPr>
            <w:tcW w:w="2880" w:type="dxa"/>
            <w:vAlign w:val="center"/>
            <w:hideMark/>
          </w:tcPr>
          <w:p w14:paraId="70AA6FC7" w14:textId="77777777"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2785" w:type="dxa"/>
            <w:vAlign w:val="center"/>
          </w:tcPr>
          <w:p w14:paraId="3DCBACF7" w14:textId="1AF97224" w:rsidR="00473BA7" w:rsidRPr="00DB5229" w:rsidRDefault="00473BA7" w:rsidP="00473BA7">
            <w:pPr>
              <w:spacing w:line="200" w:lineRule="exact"/>
              <w:rPr>
                <w:rFonts w:ascii="Times New Roman" w:hAnsi="Times New Roman" w:cs="Times New Roman"/>
                <w:sz w:val="16"/>
                <w:szCs w:val="16"/>
              </w:rPr>
            </w:pPr>
            <w:r w:rsidRPr="00DB5229">
              <w:rPr>
                <w:rFonts w:ascii="Times New Roman" w:hAnsi="Times New Roman" w:cs="Times New Roman"/>
                <w:sz w:val="16"/>
                <w:szCs w:val="16"/>
              </w:rPr>
              <w:t>0.8635</w:t>
            </w:r>
          </w:p>
        </w:tc>
        <w:tc>
          <w:tcPr>
            <w:tcW w:w="2694" w:type="dxa"/>
            <w:gridSpan w:val="2"/>
            <w:vAlign w:val="center"/>
          </w:tcPr>
          <w:p w14:paraId="6DE39ECC"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195" w:type="dxa"/>
            <w:vAlign w:val="center"/>
            <w:hideMark/>
          </w:tcPr>
          <w:p w14:paraId="504FED4C" w14:textId="77777777" w:rsidR="00473BA7" w:rsidRPr="00DB5229" w:rsidRDefault="00473BA7" w:rsidP="00473BA7">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0.2599</w:t>
            </w:r>
          </w:p>
        </w:tc>
      </w:tr>
    </w:tbl>
    <w:p w14:paraId="706DCEAB" w14:textId="77777777" w:rsidR="00294D85" w:rsidRPr="00DB5229" w:rsidRDefault="00294D85" w:rsidP="00473BA7">
      <w:pPr>
        <w:spacing w:line="200" w:lineRule="exact"/>
        <w:ind w:left="720"/>
        <w:rPr>
          <w:rFonts w:ascii="Times New Roman" w:hAnsi="Times New Roman" w:cs="Times New Roman"/>
          <w:vanish/>
          <w:sz w:val="16"/>
          <w:szCs w:val="16"/>
        </w:rPr>
      </w:pPr>
    </w:p>
    <w:p w14:paraId="2EA88051" w14:textId="77777777" w:rsidR="00294D85" w:rsidRPr="00DB5229" w:rsidRDefault="00294D85"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Note: Income categories:</w:t>
      </w:r>
    </w:p>
    <w:p w14:paraId="114F62E5" w14:textId="77777777" w:rsidR="00294D85" w:rsidRPr="00DB5229" w:rsidRDefault="00294D85"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a) High Income States:</w:t>
      </w:r>
      <w:r w:rsidRPr="00DB5229">
        <w:rPr>
          <w:rFonts w:ascii="Times New Roman" w:hAnsi="Times New Roman" w:cs="Times New Roman"/>
          <w:sz w:val="16"/>
          <w:szCs w:val="16"/>
        </w:rPr>
        <w:t> Gujarat, Haryana, Maharashtra, Punjab.</w:t>
      </w:r>
    </w:p>
    <w:p w14:paraId="68A2E1B6" w14:textId="77777777" w:rsidR="00DB43BD" w:rsidRPr="00DB5229" w:rsidRDefault="00294D85"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b) Middle Income States:</w:t>
      </w:r>
      <w:r w:rsidRPr="00DB5229">
        <w:rPr>
          <w:rFonts w:ascii="Times New Roman" w:hAnsi="Times New Roman" w:cs="Times New Roman"/>
          <w:sz w:val="16"/>
          <w:szCs w:val="16"/>
        </w:rPr>
        <w:t xml:space="preserve"> Andhra Pradesh, Karnataka, Kerala, Tamil Nadu, West Bengal. </w:t>
      </w:r>
    </w:p>
    <w:p w14:paraId="45A381C0" w14:textId="682182C6" w:rsidR="00294D85" w:rsidRPr="00DB5229" w:rsidRDefault="00294D85"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c) Low Income States:</w:t>
      </w:r>
      <w:r w:rsidRPr="00DB5229">
        <w:rPr>
          <w:rFonts w:ascii="Times New Roman" w:hAnsi="Times New Roman" w:cs="Times New Roman"/>
          <w:sz w:val="16"/>
          <w:szCs w:val="16"/>
        </w:rPr>
        <w:t> Bihar, Madhya Pradesh, Orissa, Rajasthan, Uttar Pradesh</w:t>
      </w:r>
    </w:p>
    <w:p w14:paraId="6658146D" w14:textId="77777777" w:rsidR="00B836A9" w:rsidRPr="00DB5229" w:rsidRDefault="00B836A9" w:rsidP="005E0DD7">
      <w:pPr>
        <w:spacing w:after="0" w:line="200" w:lineRule="exact"/>
        <w:jc w:val="both"/>
        <w:rPr>
          <w:rFonts w:ascii="Times New Roman" w:hAnsi="Times New Roman" w:cs="Times New Roman"/>
          <w:sz w:val="16"/>
          <w:szCs w:val="16"/>
        </w:rPr>
      </w:pPr>
    </w:p>
    <w:tbl>
      <w:tblPr>
        <w:tblStyle w:val="TableGrid"/>
        <w:tblW w:w="9541" w:type="dxa"/>
        <w:jc w:val="center"/>
        <w:tblLook w:val="04A0" w:firstRow="1" w:lastRow="0" w:firstColumn="1" w:lastColumn="0" w:noHBand="0" w:noVBand="1"/>
      </w:tblPr>
      <w:tblGrid>
        <w:gridCol w:w="2354"/>
        <w:gridCol w:w="7187"/>
      </w:tblGrid>
      <w:tr w:rsidR="00B836A9" w:rsidRPr="00DB5229" w14:paraId="4F188D67" w14:textId="77777777" w:rsidTr="00473BA7">
        <w:trPr>
          <w:trHeight w:val="139"/>
          <w:jc w:val="center"/>
        </w:trPr>
        <w:tc>
          <w:tcPr>
            <w:tcW w:w="2354" w:type="dxa"/>
            <w:vAlign w:val="center"/>
            <w:hideMark/>
          </w:tcPr>
          <w:p w14:paraId="1B3951C2" w14:textId="77777777" w:rsidR="00B836A9" w:rsidRPr="00DB5229" w:rsidRDefault="00B836A9" w:rsidP="001A44CB">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0" w:type="auto"/>
            <w:vAlign w:val="center"/>
            <w:hideMark/>
          </w:tcPr>
          <w:p w14:paraId="010244DD" w14:textId="2C7CE2E1" w:rsidR="00B836A9" w:rsidRPr="00DB5229" w:rsidRDefault="00B836A9" w:rsidP="001A44CB">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Revenue from Motor Vehicles and Passenger Goods Taxes</w:t>
            </w:r>
          </w:p>
        </w:tc>
      </w:tr>
      <w:tr w:rsidR="00B836A9" w:rsidRPr="00DB5229" w14:paraId="4000F14E" w14:textId="77777777" w:rsidTr="00473BA7">
        <w:trPr>
          <w:trHeight w:val="139"/>
          <w:jc w:val="center"/>
        </w:trPr>
        <w:tc>
          <w:tcPr>
            <w:tcW w:w="2354" w:type="dxa"/>
            <w:vAlign w:val="center"/>
            <w:hideMark/>
          </w:tcPr>
          <w:p w14:paraId="7BF58E51"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0" w:type="auto"/>
            <w:vAlign w:val="center"/>
            <w:hideMark/>
          </w:tcPr>
          <w:p w14:paraId="1661C64B" w14:textId="77777777"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Low Income States</w:t>
            </w:r>
          </w:p>
        </w:tc>
      </w:tr>
      <w:tr w:rsidR="00B836A9" w:rsidRPr="00DB5229" w14:paraId="349ACF93" w14:textId="77777777" w:rsidTr="00473BA7">
        <w:trPr>
          <w:trHeight w:val="139"/>
          <w:jc w:val="center"/>
        </w:trPr>
        <w:tc>
          <w:tcPr>
            <w:tcW w:w="2354" w:type="dxa"/>
            <w:vAlign w:val="center"/>
            <w:hideMark/>
          </w:tcPr>
          <w:p w14:paraId="7F3610CD"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0" w:type="auto"/>
            <w:vAlign w:val="center"/>
            <w:hideMark/>
          </w:tcPr>
          <w:p w14:paraId="582F9603" w14:textId="7ABA569D"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21</w:t>
            </w:r>
          </w:p>
        </w:tc>
      </w:tr>
      <w:tr w:rsidR="00B836A9" w:rsidRPr="00DB5229" w14:paraId="02628ED3" w14:textId="77777777" w:rsidTr="00473BA7">
        <w:trPr>
          <w:trHeight w:val="139"/>
          <w:jc w:val="center"/>
        </w:trPr>
        <w:tc>
          <w:tcPr>
            <w:tcW w:w="2354" w:type="dxa"/>
            <w:vAlign w:val="center"/>
            <w:hideMark/>
          </w:tcPr>
          <w:p w14:paraId="321A161E"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0" w:type="auto"/>
            <w:vAlign w:val="center"/>
            <w:hideMark/>
          </w:tcPr>
          <w:p w14:paraId="2DCF3CF7" w14:textId="2AA3FD64"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w:t>
            </w:r>
          </w:p>
        </w:tc>
      </w:tr>
    </w:tbl>
    <w:p w14:paraId="1A0DE5E2" w14:textId="77777777" w:rsidR="00B836A9" w:rsidRPr="00DB5229" w:rsidRDefault="00B836A9" w:rsidP="00B836A9">
      <w:pPr>
        <w:spacing w:line="200" w:lineRule="exact"/>
        <w:jc w:val="both"/>
        <w:rPr>
          <w:rFonts w:ascii="Times New Roman" w:hAnsi="Times New Roman" w:cs="Times New Roman"/>
          <w:vanish/>
          <w:sz w:val="16"/>
          <w:szCs w:val="16"/>
        </w:rPr>
      </w:pPr>
    </w:p>
    <w:tbl>
      <w:tblPr>
        <w:tblStyle w:val="TableGrid"/>
        <w:tblW w:w="9515" w:type="dxa"/>
        <w:jc w:val="center"/>
        <w:tblLook w:val="04A0" w:firstRow="1" w:lastRow="0" w:firstColumn="1" w:lastColumn="0" w:noHBand="0" w:noVBand="1"/>
      </w:tblPr>
      <w:tblGrid>
        <w:gridCol w:w="4188"/>
        <w:gridCol w:w="1328"/>
        <w:gridCol w:w="2655"/>
        <w:gridCol w:w="1344"/>
      </w:tblGrid>
      <w:tr w:rsidR="00B836A9" w:rsidRPr="00DB5229" w14:paraId="52AD4E7B" w14:textId="77777777" w:rsidTr="00473BA7">
        <w:trPr>
          <w:trHeight w:val="20"/>
          <w:jc w:val="center"/>
        </w:trPr>
        <w:tc>
          <w:tcPr>
            <w:tcW w:w="4188" w:type="dxa"/>
            <w:vAlign w:val="center"/>
            <w:hideMark/>
          </w:tcPr>
          <w:p w14:paraId="2238CF8B" w14:textId="77777777" w:rsidR="00B836A9" w:rsidRPr="00DB5229" w:rsidRDefault="00B836A9"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0" w:type="auto"/>
            <w:vAlign w:val="center"/>
            <w:hideMark/>
          </w:tcPr>
          <w:p w14:paraId="787EDA10" w14:textId="77777777" w:rsidR="00B836A9" w:rsidRPr="00DB5229" w:rsidRDefault="00B836A9"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0" w:type="auto"/>
            <w:vAlign w:val="center"/>
            <w:hideMark/>
          </w:tcPr>
          <w:p w14:paraId="35809E76" w14:textId="77777777" w:rsidR="00B836A9" w:rsidRPr="00DB5229" w:rsidRDefault="00B836A9"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344" w:type="dxa"/>
            <w:vAlign w:val="center"/>
            <w:hideMark/>
          </w:tcPr>
          <w:p w14:paraId="224BD814" w14:textId="77777777" w:rsidR="00B836A9" w:rsidRPr="00DB5229" w:rsidRDefault="00B836A9"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B836A9" w:rsidRPr="00DB5229" w14:paraId="44BEB946" w14:textId="77777777" w:rsidTr="00473BA7">
        <w:trPr>
          <w:trHeight w:val="20"/>
          <w:jc w:val="center"/>
        </w:trPr>
        <w:tc>
          <w:tcPr>
            <w:tcW w:w="4188" w:type="dxa"/>
            <w:vAlign w:val="center"/>
            <w:hideMark/>
          </w:tcPr>
          <w:p w14:paraId="5DA8AF01"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1. Consumption of Country Spirit (PL)</w:t>
            </w:r>
          </w:p>
        </w:tc>
        <w:tc>
          <w:tcPr>
            <w:tcW w:w="0" w:type="auto"/>
            <w:vAlign w:val="center"/>
            <w:hideMark/>
          </w:tcPr>
          <w:p w14:paraId="2B4EAFE7" w14:textId="2502A603"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0.7172</w:t>
            </w:r>
          </w:p>
        </w:tc>
        <w:tc>
          <w:tcPr>
            <w:tcW w:w="0" w:type="auto"/>
            <w:vAlign w:val="center"/>
            <w:hideMark/>
          </w:tcPr>
          <w:p w14:paraId="04BEF209" w14:textId="43A7E863"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0.1004</w:t>
            </w:r>
          </w:p>
        </w:tc>
        <w:tc>
          <w:tcPr>
            <w:tcW w:w="1344" w:type="dxa"/>
            <w:vAlign w:val="center"/>
            <w:hideMark/>
          </w:tcPr>
          <w:p w14:paraId="2C57F0D4" w14:textId="3C2678F5"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7.1403</w:t>
            </w:r>
          </w:p>
        </w:tc>
      </w:tr>
      <w:tr w:rsidR="00B836A9" w:rsidRPr="00DB5229" w14:paraId="62B904B2" w14:textId="77777777" w:rsidTr="00473BA7">
        <w:trPr>
          <w:trHeight w:val="20"/>
          <w:jc w:val="center"/>
        </w:trPr>
        <w:tc>
          <w:tcPr>
            <w:tcW w:w="4188" w:type="dxa"/>
            <w:vAlign w:val="center"/>
            <w:hideMark/>
          </w:tcPr>
          <w:p w14:paraId="63D69E79" w14:textId="05E50181"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2. Road/railway length per 1000 population</w:t>
            </w:r>
          </w:p>
        </w:tc>
        <w:tc>
          <w:tcPr>
            <w:tcW w:w="0" w:type="auto"/>
            <w:vAlign w:val="center"/>
            <w:hideMark/>
          </w:tcPr>
          <w:p w14:paraId="3B8A8550" w14:textId="5B23E6DC"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0.3819</w:t>
            </w:r>
          </w:p>
        </w:tc>
        <w:tc>
          <w:tcPr>
            <w:tcW w:w="0" w:type="auto"/>
            <w:vAlign w:val="center"/>
            <w:hideMark/>
          </w:tcPr>
          <w:p w14:paraId="4C29237B" w14:textId="717691A6"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0.1173</w:t>
            </w:r>
          </w:p>
        </w:tc>
        <w:tc>
          <w:tcPr>
            <w:tcW w:w="1344" w:type="dxa"/>
            <w:vAlign w:val="center"/>
            <w:hideMark/>
          </w:tcPr>
          <w:p w14:paraId="61430238" w14:textId="61FA6BFE"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3.2554</w:t>
            </w:r>
          </w:p>
        </w:tc>
      </w:tr>
      <w:tr w:rsidR="00B836A9" w:rsidRPr="00DB5229" w14:paraId="7286C1C3" w14:textId="77777777" w:rsidTr="00473BA7">
        <w:trPr>
          <w:trHeight w:val="20"/>
          <w:jc w:val="center"/>
        </w:trPr>
        <w:tc>
          <w:tcPr>
            <w:tcW w:w="4188" w:type="dxa"/>
            <w:vAlign w:val="center"/>
            <w:hideMark/>
          </w:tcPr>
          <w:p w14:paraId="6EF5FF25"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0" w:type="auto"/>
            <w:vAlign w:val="center"/>
            <w:hideMark/>
          </w:tcPr>
          <w:p w14:paraId="6E4A3084" w14:textId="509916B6"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-2.7314</w:t>
            </w:r>
          </w:p>
        </w:tc>
        <w:tc>
          <w:tcPr>
            <w:tcW w:w="0" w:type="auto"/>
            <w:vAlign w:val="center"/>
            <w:hideMark/>
          </w:tcPr>
          <w:p w14:paraId="2F341E62" w14:textId="278C721F"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1.6699</w:t>
            </w:r>
          </w:p>
        </w:tc>
        <w:tc>
          <w:tcPr>
            <w:tcW w:w="1344" w:type="dxa"/>
            <w:vAlign w:val="center"/>
            <w:hideMark/>
          </w:tcPr>
          <w:p w14:paraId="7D7E54C3" w14:textId="536DAADC"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-1.6357</w:t>
            </w:r>
          </w:p>
        </w:tc>
      </w:tr>
      <w:tr w:rsidR="00B836A9" w:rsidRPr="00DB5229" w14:paraId="011F823D" w14:textId="77777777" w:rsidTr="00473BA7">
        <w:trPr>
          <w:trHeight w:val="20"/>
          <w:jc w:val="center"/>
        </w:trPr>
        <w:tc>
          <w:tcPr>
            <w:tcW w:w="4188" w:type="dxa"/>
            <w:vAlign w:val="center"/>
            <w:hideMark/>
          </w:tcPr>
          <w:p w14:paraId="36C438AC"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0" w:type="auto"/>
            <w:vAlign w:val="center"/>
            <w:hideMark/>
          </w:tcPr>
          <w:p w14:paraId="20BEE871" w14:textId="0C593F7C"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-2.6895</w:t>
            </w:r>
          </w:p>
        </w:tc>
        <w:tc>
          <w:tcPr>
            <w:tcW w:w="0" w:type="auto"/>
            <w:vAlign w:val="center"/>
            <w:hideMark/>
          </w:tcPr>
          <w:p w14:paraId="56E7F53D" w14:textId="302E0C14"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1.6806</w:t>
            </w:r>
          </w:p>
        </w:tc>
        <w:tc>
          <w:tcPr>
            <w:tcW w:w="1344" w:type="dxa"/>
            <w:vAlign w:val="center"/>
            <w:hideMark/>
          </w:tcPr>
          <w:p w14:paraId="1BB81C39" w14:textId="0E997AAD"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-1.6003</w:t>
            </w:r>
          </w:p>
        </w:tc>
      </w:tr>
      <w:tr w:rsidR="00B836A9" w:rsidRPr="00DB5229" w14:paraId="7BD199A2" w14:textId="77777777" w:rsidTr="00473BA7">
        <w:trPr>
          <w:trHeight w:val="20"/>
          <w:jc w:val="center"/>
        </w:trPr>
        <w:tc>
          <w:tcPr>
            <w:tcW w:w="4188" w:type="dxa"/>
            <w:vAlign w:val="center"/>
            <w:hideMark/>
          </w:tcPr>
          <w:p w14:paraId="30D4153C"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0" w:type="auto"/>
            <w:vAlign w:val="center"/>
            <w:hideMark/>
          </w:tcPr>
          <w:p w14:paraId="533F65AE" w14:textId="5453A942"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-2.5265</w:t>
            </w:r>
          </w:p>
        </w:tc>
        <w:tc>
          <w:tcPr>
            <w:tcW w:w="0" w:type="auto"/>
            <w:vAlign w:val="center"/>
            <w:hideMark/>
          </w:tcPr>
          <w:p w14:paraId="422CA31C" w14:textId="6513BC07"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1.6831</w:t>
            </w:r>
          </w:p>
        </w:tc>
        <w:tc>
          <w:tcPr>
            <w:tcW w:w="1344" w:type="dxa"/>
            <w:vAlign w:val="center"/>
            <w:hideMark/>
          </w:tcPr>
          <w:p w14:paraId="457A31B4" w14:textId="338DB4A4"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-1.5011</w:t>
            </w:r>
          </w:p>
        </w:tc>
      </w:tr>
      <w:tr w:rsidR="00B836A9" w:rsidRPr="00DB5229" w14:paraId="76A44043" w14:textId="77777777" w:rsidTr="00473BA7">
        <w:trPr>
          <w:trHeight w:val="20"/>
          <w:jc w:val="center"/>
        </w:trPr>
        <w:tc>
          <w:tcPr>
            <w:tcW w:w="4188" w:type="dxa"/>
            <w:vAlign w:val="center"/>
            <w:hideMark/>
          </w:tcPr>
          <w:p w14:paraId="32FFD47D"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0" w:type="auto"/>
            <w:vAlign w:val="center"/>
            <w:hideMark/>
          </w:tcPr>
          <w:p w14:paraId="1B8783F9" w14:textId="306BA075"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0.8235</w:t>
            </w:r>
          </w:p>
        </w:tc>
        <w:tc>
          <w:tcPr>
            <w:tcW w:w="0" w:type="auto"/>
            <w:vAlign w:val="center"/>
            <w:hideMark/>
          </w:tcPr>
          <w:p w14:paraId="38DEA2A7" w14:textId="77777777"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344" w:type="dxa"/>
            <w:vAlign w:val="center"/>
            <w:hideMark/>
          </w:tcPr>
          <w:p w14:paraId="5012A72D" w14:textId="7BF7181F"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0.9363</w:t>
            </w:r>
          </w:p>
        </w:tc>
      </w:tr>
      <w:tr w:rsidR="00B836A9" w:rsidRPr="00DB5229" w14:paraId="2B1D874C" w14:textId="77777777" w:rsidTr="00473BA7">
        <w:trPr>
          <w:trHeight w:val="20"/>
          <w:jc w:val="center"/>
        </w:trPr>
        <w:tc>
          <w:tcPr>
            <w:tcW w:w="4188" w:type="dxa"/>
            <w:vAlign w:val="center"/>
            <w:hideMark/>
          </w:tcPr>
          <w:p w14:paraId="16423F28" w14:textId="77777777" w:rsidR="00B836A9" w:rsidRPr="00DB5229" w:rsidRDefault="00B836A9"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0" w:type="auto"/>
            <w:vAlign w:val="center"/>
            <w:hideMark/>
          </w:tcPr>
          <w:p w14:paraId="067D9BE7" w14:textId="4ECC589C"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0.7794</w:t>
            </w:r>
          </w:p>
        </w:tc>
        <w:tc>
          <w:tcPr>
            <w:tcW w:w="0" w:type="auto"/>
            <w:vAlign w:val="center"/>
            <w:hideMark/>
          </w:tcPr>
          <w:p w14:paraId="1BD2B381" w14:textId="77777777"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344" w:type="dxa"/>
            <w:vAlign w:val="center"/>
            <w:hideMark/>
          </w:tcPr>
          <w:p w14:paraId="7D3D1362" w14:textId="36C86689" w:rsidR="00B836A9" w:rsidRPr="00DB5229" w:rsidRDefault="00B836A9"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0.2419</w:t>
            </w:r>
          </w:p>
        </w:tc>
      </w:tr>
    </w:tbl>
    <w:p w14:paraId="6BBF351C" w14:textId="77777777" w:rsidR="00D56719" w:rsidRPr="00DB5229" w:rsidRDefault="00D56719" w:rsidP="005E0DD7">
      <w:pPr>
        <w:spacing w:after="0" w:line="200" w:lineRule="exact"/>
        <w:jc w:val="both"/>
        <w:rPr>
          <w:rFonts w:ascii="Times New Roman" w:hAnsi="Times New Roman" w:cs="Times New Roman"/>
          <w:sz w:val="16"/>
          <w:szCs w:val="16"/>
        </w:rPr>
      </w:pPr>
    </w:p>
    <w:tbl>
      <w:tblPr>
        <w:tblStyle w:val="TableGrid"/>
        <w:tblW w:w="9617" w:type="dxa"/>
        <w:jc w:val="center"/>
        <w:tblLook w:val="04A0" w:firstRow="1" w:lastRow="0" w:firstColumn="1" w:lastColumn="0" w:noHBand="0" w:noVBand="1"/>
      </w:tblPr>
      <w:tblGrid>
        <w:gridCol w:w="3257"/>
        <w:gridCol w:w="6360"/>
      </w:tblGrid>
      <w:tr w:rsidR="00294D85" w:rsidRPr="00DB5229" w14:paraId="29E15772" w14:textId="77777777" w:rsidTr="00473BA7">
        <w:trPr>
          <w:trHeight w:val="128"/>
          <w:jc w:val="center"/>
        </w:trPr>
        <w:tc>
          <w:tcPr>
            <w:tcW w:w="3257" w:type="dxa"/>
            <w:vAlign w:val="center"/>
            <w:hideMark/>
          </w:tcPr>
          <w:p w14:paraId="25F46764" w14:textId="77777777" w:rsidR="00294D85" w:rsidRPr="00DB5229" w:rsidRDefault="00294D85" w:rsidP="005E0DD7">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Dependent Variable</w:t>
            </w:r>
          </w:p>
        </w:tc>
        <w:tc>
          <w:tcPr>
            <w:tcW w:w="0" w:type="auto"/>
            <w:vAlign w:val="center"/>
            <w:hideMark/>
          </w:tcPr>
          <w:p w14:paraId="2C2F33C2" w14:textId="77777777" w:rsidR="00294D85" w:rsidRPr="00DB5229" w:rsidRDefault="00294D85" w:rsidP="005E0DD7">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Total Revenue from State Excise Duties</w:t>
            </w:r>
          </w:p>
        </w:tc>
      </w:tr>
      <w:tr w:rsidR="00294D85" w:rsidRPr="00DB5229" w14:paraId="568A38C1" w14:textId="77777777" w:rsidTr="00473BA7">
        <w:trPr>
          <w:trHeight w:val="128"/>
          <w:jc w:val="center"/>
        </w:trPr>
        <w:tc>
          <w:tcPr>
            <w:tcW w:w="3257" w:type="dxa"/>
            <w:vAlign w:val="center"/>
            <w:hideMark/>
          </w:tcPr>
          <w:p w14:paraId="44E46C35"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Income Category</w:t>
            </w:r>
          </w:p>
        </w:tc>
        <w:tc>
          <w:tcPr>
            <w:tcW w:w="0" w:type="auto"/>
            <w:vAlign w:val="center"/>
            <w:hideMark/>
          </w:tcPr>
          <w:p w14:paraId="0A180526"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Low Income States</w:t>
            </w:r>
          </w:p>
        </w:tc>
      </w:tr>
      <w:tr w:rsidR="00294D85" w:rsidRPr="00DB5229" w14:paraId="0B76E1B4" w14:textId="77777777" w:rsidTr="00473BA7">
        <w:trPr>
          <w:trHeight w:val="128"/>
          <w:jc w:val="center"/>
        </w:trPr>
        <w:tc>
          <w:tcPr>
            <w:tcW w:w="3257" w:type="dxa"/>
            <w:vAlign w:val="center"/>
            <w:hideMark/>
          </w:tcPr>
          <w:p w14:paraId="0FB01590"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Number Of Observations</w:t>
            </w:r>
          </w:p>
        </w:tc>
        <w:tc>
          <w:tcPr>
            <w:tcW w:w="0" w:type="auto"/>
            <w:vAlign w:val="center"/>
            <w:hideMark/>
          </w:tcPr>
          <w:p w14:paraId="7137F9CB"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18</w:t>
            </w:r>
          </w:p>
        </w:tc>
      </w:tr>
      <w:tr w:rsidR="00294D85" w:rsidRPr="00DB5229" w14:paraId="4AC80444" w14:textId="77777777" w:rsidTr="00473BA7">
        <w:trPr>
          <w:trHeight w:val="128"/>
          <w:jc w:val="center"/>
        </w:trPr>
        <w:tc>
          <w:tcPr>
            <w:tcW w:w="3257" w:type="dxa"/>
            <w:vAlign w:val="center"/>
            <w:hideMark/>
          </w:tcPr>
          <w:p w14:paraId="6ABD5ABB"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Degrees Of Freedom</w:t>
            </w:r>
          </w:p>
        </w:tc>
        <w:tc>
          <w:tcPr>
            <w:tcW w:w="0" w:type="auto"/>
            <w:vAlign w:val="center"/>
            <w:hideMark/>
          </w:tcPr>
          <w:p w14:paraId="7D4E9571"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13</w:t>
            </w:r>
          </w:p>
        </w:tc>
      </w:tr>
    </w:tbl>
    <w:p w14:paraId="7658740D" w14:textId="77777777" w:rsidR="00294D85" w:rsidRPr="00DB5229" w:rsidRDefault="00294D85" w:rsidP="00B836A9">
      <w:pPr>
        <w:spacing w:after="0" w:line="200" w:lineRule="exact"/>
        <w:jc w:val="both"/>
        <w:rPr>
          <w:rFonts w:ascii="Times New Roman" w:hAnsi="Times New Roman" w:cs="Times New Roman"/>
          <w:vanish/>
          <w:sz w:val="16"/>
          <w:szCs w:val="16"/>
        </w:rPr>
      </w:pPr>
    </w:p>
    <w:tbl>
      <w:tblPr>
        <w:tblStyle w:val="TableGrid"/>
        <w:tblW w:w="9657" w:type="dxa"/>
        <w:jc w:val="center"/>
        <w:tblLook w:val="04A0" w:firstRow="1" w:lastRow="0" w:firstColumn="1" w:lastColumn="0" w:noHBand="0" w:noVBand="1"/>
      </w:tblPr>
      <w:tblGrid>
        <w:gridCol w:w="4188"/>
        <w:gridCol w:w="1375"/>
        <w:gridCol w:w="2750"/>
        <w:gridCol w:w="1344"/>
      </w:tblGrid>
      <w:tr w:rsidR="00294D85" w:rsidRPr="00DB5229" w14:paraId="265D3932" w14:textId="77777777" w:rsidTr="00473BA7">
        <w:trPr>
          <w:trHeight w:val="20"/>
          <w:jc w:val="center"/>
        </w:trPr>
        <w:tc>
          <w:tcPr>
            <w:tcW w:w="4188" w:type="dxa"/>
            <w:vAlign w:val="center"/>
            <w:hideMark/>
          </w:tcPr>
          <w:p w14:paraId="3A68FE46" w14:textId="77777777" w:rsidR="00294D85" w:rsidRPr="00DB5229" w:rsidRDefault="00294D85" w:rsidP="00B836A9">
            <w:pPr>
              <w:spacing w:line="200" w:lineRule="exact"/>
              <w:rPr>
                <w:rFonts w:ascii="Times New Roman" w:hAnsi="Times New Roman" w:cs="Times New Roman"/>
                <w:b/>
                <w:bCs/>
                <w:sz w:val="16"/>
                <w:szCs w:val="16"/>
              </w:rPr>
            </w:pPr>
            <w:r w:rsidRPr="00DB5229">
              <w:rPr>
                <w:rFonts w:ascii="Times New Roman" w:hAnsi="Times New Roman" w:cs="Times New Roman"/>
                <w:b/>
                <w:bCs/>
                <w:sz w:val="16"/>
                <w:szCs w:val="16"/>
              </w:rPr>
              <w:t>Regressor</w:t>
            </w:r>
          </w:p>
        </w:tc>
        <w:tc>
          <w:tcPr>
            <w:tcW w:w="0" w:type="auto"/>
            <w:vAlign w:val="center"/>
            <w:hideMark/>
          </w:tcPr>
          <w:p w14:paraId="68EF9E77" w14:textId="77777777" w:rsidR="00294D85" w:rsidRPr="00DB5229" w:rsidRDefault="00294D85"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Coefficient</w:t>
            </w:r>
          </w:p>
        </w:tc>
        <w:tc>
          <w:tcPr>
            <w:tcW w:w="0" w:type="auto"/>
            <w:vAlign w:val="center"/>
            <w:hideMark/>
          </w:tcPr>
          <w:p w14:paraId="4B9F2FAB" w14:textId="77777777" w:rsidR="00294D85" w:rsidRPr="00DB5229" w:rsidRDefault="00294D85"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Standard Error</w:t>
            </w:r>
          </w:p>
        </w:tc>
        <w:tc>
          <w:tcPr>
            <w:tcW w:w="1344" w:type="dxa"/>
            <w:vAlign w:val="center"/>
            <w:hideMark/>
          </w:tcPr>
          <w:p w14:paraId="34F4974D" w14:textId="77777777" w:rsidR="00294D85" w:rsidRPr="00DB5229" w:rsidRDefault="00294D85" w:rsidP="00B836A9">
            <w:pPr>
              <w:spacing w:line="200" w:lineRule="exact"/>
              <w:jc w:val="center"/>
              <w:rPr>
                <w:rFonts w:ascii="Times New Roman" w:hAnsi="Times New Roman" w:cs="Times New Roman"/>
                <w:b/>
                <w:bCs/>
                <w:sz w:val="16"/>
                <w:szCs w:val="16"/>
              </w:rPr>
            </w:pPr>
            <w:r w:rsidRPr="00DB5229">
              <w:rPr>
                <w:rFonts w:ascii="Times New Roman" w:hAnsi="Times New Roman" w:cs="Times New Roman"/>
                <w:b/>
                <w:bCs/>
                <w:sz w:val="16"/>
                <w:szCs w:val="16"/>
              </w:rPr>
              <w:t>T-Ratio</w:t>
            </w:r>
          </w:p>
        </w:tc>
      </w:tr>
      <w:tr w:rsidR="00294D85" w:rsidRPr="00DB5229" w14:paraId="273D2188" w14:textId="77777777" w:rsidTr="00473BA7">
        <w:trPr>
          <w:trHeight w:val="20"/>
          <w:jc w:val="center"/>
        </w:trPr>
        <w:tc>
          <w:tcPr>
            <w:tcW w:w="4188" w:type="dxa"/>
            <w:vAlign w:val="center"/>
            <w:hideMark/>
          </w:tcPr>
          <w:p w14:paraId="6167ECEF"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1. Consumption of Country Spirit (PL)</w:t>
            </w:r>
          </w:p>
        </w:tc>
        <w:tc>
          <w:tcPr>
            <w:tcW w:w="0" w:type="auto"/>
            <w:vAlign w:val="center"/>
            <w:hideMark/>
          </w:tcPr>
          <w:p w14:paraId="6AF96862"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0.8276</w:t>
            </w:r>
          </w:p>
        </w:tc>
        <w:tc>
          <w:tcPr>
            <w:tcW w:w="0" w:type="auto"/>
            <w:vAlign w:val="center"/>
            <w:hideMark/>
          </w:tcPr>
          <w:p w14:paraId="7D267674"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0.1169</w:t>
            </w:r>
          </w:p>
        </w:tc>
        <w:tc>
          <w:tcPr>
            <w:tcW w:w="1344" w:type="dxa"/>
            <w:vAlign w:val="center"/>
            <w:hideMark/>
          </w:tcPr>
          <w:p w14:paraId="479B2DE9"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7.0777</w:t>
            </w:r>
          </w:p>
        </w:tc>
      </w:tr>
      <w:tr w:rsidR="00294D85" w:rsidRPr="00DB5229" w14:paraId="4CBAB783" w14:textId="77777777" w:rsidTr="00473BA7">
        <w:trPr>
          <w:trHeight w:val="20"/>
          <w:jc w:val="center"/>
        </w:trPr>
        <w:tc>
          <w:tcPr>
            <w:tcW w:w="4188" w:type="dxa"/>
            <w:vAlign w:val="center"/>
            <w:hideMark/>
          </w:tcPr>
          <w:p w14:paraId="6F3C28BC"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2. State Domestic Product at Factor Cost</w:t>
            </w:r>
          </w:p>
        </w:tc>
        <w:tc>
          <w:tcPr>
            <w:tcW w:w="0" w:type="auto"/>
            <w:vAlign w:val="center"/>
            <w:hideMark/>
          </w:tcPr>
          <w:p w14:paraId="71F39554"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0.8712</w:t>
            </w:r>
          </w:p>
        </w:tc>
        <w:tc>
          <w:tcPr>
            <w:tcW w:w="0" w:type="auto"/>
            <w:vAlign w:val="center"/>
            <w:hideMark/>
          </w:tcPr>
          <w:p w14:paraId="28B49A0C"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0.1759</w:t>
            </w:r>
          </w:p>
        </w:tc>
        <w:tc>
          <w:tcPr>
            <w:tcW w:w="1344" w:type="dxa"/>
            <w:vAlign w:val="center"/>
            <w:hideMark/>
          </w:tcPr>
          <w:p w14:paraId="338692CE"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4.9529</w:t>
            </w:r>
          </w:p>
        </w:tc>
      </w:tr>
      <w:tr w:rsidR="00294D85" w:rsidRPr="00DB5229" w14:paraId="284A4A1B" w14:textId="77777777" w:rsidTr="00473BA7">
        <w:trPr>
          <w:trHeight w:val="20"/>
          <w:jc w:val="center"/>
        </w:trPr>
        <w:tc>
          <w:tcPr>
            <w:tcW w:w="4188" w:type="dxa"/>
            <w:vAlign w:val="center"/>
            <w:hideMark/>
          </w:tcPr>
          <w:p w14:paraId="321EEBCA"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(1982-83)</w:t>
            </w:r>
          </w:p>
        </w:tc>
        <w:tc>
          <w:tcPr>
            <w:tcW w:w="0" w:type="auto"/>
            <w:vAlign w:val="center"/>
            <w:hideMark/>
          </w:tcPr>
          <w:p w14:paraId="67487DFF"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-16.7964</w:t>
            </w:r>
          </w:p>
        </w:tc>
        <w:tc>
          <w:tcPr>
            <w:tcW w:w="0" w:type="auto"/>
            <w:vAlign w:val="center"/>
            <w:hideMark/>
          </w:tcPr>
          <w:p w14:paraId="631682C4"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2.2481</w:t>
            </w:r>
          </w:p>
        </w:tc>
        <w:tc>
          <w:tcPr>
            <w:tcW w:w="1344" w:type="dxa"/>
            <w:vAlign w:val="center"/>
            <w:hideMark/>
          </w:tcPr>
          <w:p w14:paraId="71A37EF4"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-7.4713</w:t>
            </w:r>
          </w:p>
        </w:tc>
      </w:tr>
      <w:tr w:rsidR="00294D85" w:rsidRPr="00DB5229" w14:paraId="137D6440" w14:textId="77777777" w:rsidTr="00473BA7">
        <w:trPr>
          <w:trHeight w:val="20"/>
          <w:jc w:val="center"/>
        </w:trPr>
        <w:tc>
          <w:tcPr>
            <w:tcW w:w="4188" w:type="dxa"/>
            <w:vAlign w:val="center"/>
            <w:hideMark/>
          </w:tcPr>
          <w:p w14:paraId="4509C433"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(1983-84)</w:t>
            </w:r>
          </w:p>
        </w:tc>
        <w:tc>
          <w:tcPr>
            <w:tcW w:w="0" w:type="auto"/>
            <w:vAlign w:val="center"/>
            <w:hideMark/>
          </w:tcPr>
          <w:p w14:paraId="22B8C2ED"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-16.9020</w:t>
            </w:r>
          </w:p>
        </w:tc>
        <w:tc>
          <w:tcPr>
            <w:tcW w:w="0" w:type="auto"/>
            <w:vAlign w:val="center"/>
            <w:hideMark/>
          </w:tcPr>
          <w:p w14:paraId="251AD53E"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2.2749</w:t>
            </w:r>
          </w:p>
        </w:tc>
        <w:tc>
          <w:tcPr>
            <w:tcW w:w="1344" w:type="dxa"/>
            <w:vAlign w:val="center"/>
            <w:hideMark/>
          </w:tcPr>
          <w:p w14:paraId="11736885"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-7.4299</w:t>
            </w:r>
          </w:p>
        </w:tc>
      </w:tr>
      <w:tr w:rsidR="00294D85" w:rsidRPr="00DB5229" w14:paraId="0792A2F1" w14:textId="77777777" w:rsidTr="00473BA7">
        <w:trPr>
          <w:trHeight w:val="20"/>
          <w:jc w:val="center"/>
        </w:trPr>
        <w:tc>
          <w:tcPr>
            <w:tcW w:w="4188" w:type="dxa"/>
            <w:vAlign w:val="center"/>
            <w:hideMark/>
          </w:tcPr>
          <w:p w14:paraId="4C7BABFD" w14:textId="77777777" w:rsidR="00294D85" w:rsidRPr="00DB5229" w:rsidRDefault="00294D85" w:rsidP="00B836A9">
            <w:pPr>
              <w:spacing w:line="200" w:lineRule="exact"/>
              <w:rPr>
                <w:rFonts w:ascii="Times New Roman" w:hAnsi="Times New Roman" w:cs="Times New Roman"/>
                <w:sz w:val="16"/>
                <w:szCs w:val="16"/>
              </w:rPr>
            </w:pPr>
            <w:r w:rsidRPr="00DB5229">
              <w:rPr>
                <w:rFonts w:ascii="Times New Roman" w:hAnsi="Times New Roman" w:cs="Times New Roman"/>
                <w:sz w:val="16"/>
                <w:szCs w:val="16"/>
              </w:rPr>
              <w:t>Time period (1984-85)</w:t>
            </w:r>
          </w:p>
        </w:tc>
        <w:tc>
          <w:tcPr>
            <w:tcW w:w="0" w:type="auto"/>
            <w:vAlign w:val="center"/>
            <w:hideMark/>
          </w:tcPr>
          <w:p w14:paraId="3F81E05A"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-16.8711</w:t>
            </w:r>
          </w:p>
        </w:tc>
        <w:tc>
          <w:tcPr>
            <w:tcW w:w="0" w:type="auto"/>
            <w:vAlign w:val="center"/>
            <w:hideMark/>
          </w:tcPr>
          <w:p w14:paraId="7488B58F"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2.2871</w:t>
            </w:r>
          </w:p>
        </w:tc>
        <w:tc>
          <w:tcPr>
            <w:tcW w:w="1344" w:type="dxa"/>
            <w:vAlign w:val="center"/>
            <w:hideMark/>
          </w:tcPr>
          <w:p w14:paraId="3BAA1920" w14:textId="77777777" w:rsidR="00294D85" w:rsidRPr="00DB5229" w:rsidRDefault="00294D85"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-7.3765</w:t>
            </w:r>
          </w:p>
        </w:tc>
      </w:tr>
      <w:tr w:rsidR="00D54BD1" w:rsidRPr="00DB5229" w14:paraId="512FC303" w14:textId="77777777" w:rsidTr="00473BA7">
        <w:trPr>
          <w:trHeight w:val="20"/>
          <w:jc w:val="center"/>
        </w:trPr>
        <w:tc>
          <w:tcPr>
            <w:tcW w:w="4188" w:type="dxa"/>
            <w:vAlign w:val="center"/>
            <w:hideMark/>
          </w:tcPr>
          <w:p w14:paraId="54CCC1C0" w14:textId="77777777" w:rsidR="00D54BD1" w:rsidRPr="00DB5229" w:rsidRDefault="00D54BD1"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Squared</w:t>
            </w:r>
          </w:p>
        </w:tc>
        <w:tc>
          <w:tcPr>
            <w:tcW w:w="0" w:type="auto"/>
            <w:vAlign w:val="center"/>
            <w:hideMark/>
          </w:tcPr>
          <w:p w14:paraId="4E31CE7F" w14:textId="77777777" w:rsidR="00D54BD1" w:rsidRPr="00DB5229" w:rsidRDefault="00D54BD1"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0.9170</w:t>
            </w:r>
          </w:p>
        </w:tc>
        <w:tc>
          <w:tcPr>
            <w:tcW w:w="0" w:type="auto"/>
            <w:vAlign w:val="center"/>
            <w:hideMark/>
          </w:tcPr>
          <w:p w14:paraId="67CBBF9E" w14:textId="77777777" w:rsidR="00D54BD1" w:rsidRPr="00DB5229" w:rsidRDefault="00D54BD1"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Residual Sum of Squares</w:t>
            </w:r>
          </w:p>
        </w:tc>
        <w:tc>
          <w:tcPr>
            <w:tcW w:w="1344" w:type="dxa"/>
            <w:vAlign w:val="center"/>
            <w:hideMark/>
          </w:tcPr>
          <w:p w14:paraId="0E82F64E" w14:textId="77777777" w:rsidR="00D54BD1" w:rsidRPr="00DB5229" w:rsidRDefault="00D54BD1"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1.1138</w:t>
            </w:r>
          </w:p>
        </w:tc>
      </w:tr>
      <w:tr w:rsidR="00D54BD1" w:rsidRPr="00DB5229" w14:paraId="2AAB5126" w14:textId="77777777" w:rsidTr="00473BA7">
        <w:trPr>
          <w:trHeight w:val="20"/>
          <w:jc w:val="center"/>
        </w:trPr>
        <w:tc>
          <w:tcPr>
            <w:tcW w:w="4188" w:type="dxa"/>
            <w:vAlign w:val="center"/>
            <w:hideMark/>
          </w:tcPr>
          <w:p w14:paraId="3059182B" w14:textId="77777777" w:rsidR="00D54BD1" w:rsidRPr="00DB5229" w:rsidRDefault="00D54BD1" w:rsidP="00B836A9">
            <w:pPr>
              <w:spacing w:line="200" w:lineRule="exact"/>
              <w:rPr>
                <w:rFonts w:ascii="Times New Roman" w:hAnsi="Times New Roman" w:cs="Times New Roman"/>
                <w:sz w:val="16"/>
                <w:szCs w:val="16"/>
              </w:rPr>
            </w:pPr>
            <w:r w:rsidRPr="00DB5229">
              <w:rPr>
                <w:rFonts w:ascii="Times New Roman" w:hAnsi="Times New Roman" w:cs="Times New Roman"/>
                <w:b/>
                <w:bCs/>
                <w:sz w:val="16"/>
                <w:szCs w:val="16"/>
              </w:rPr>
              <w:t>R - Bar - Squared</w:t>
            </w:r>
          </w:p>
        </w:tc>
        <w:tc>
          <w:tcPr>
            <w:tcW w:w="0" w:type="auto"/>
            <w:vAlign w:val="center"/>
            <w:hideMark/>
          </w:tcPr>
          <w:p w14:paraId="6500E76F" w14:textId="77777777" w:rsidR="00D54BD1" w:rsidRPr="00DB5229" w:rsidRDefault="00D54BD1"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0.8914</w:t>
            </w:r>
          </w:p>
        </w:tc>
        <w:tc>
          <w:tcPr>
            <w:tcW w:w="0" w:type="auto"/>
            <w:vAlign w:val="center"/>
            <w:hideMark/>
          </w:tcPr>
          <w:p w14:paraId="6EBB87E8" w14:textId="77777777" w:rsidR="00D54BD1" w:rsidRPr="00DB5229" w:rsidRDefault="00D54BD1" w:rsidP="00B836A9">
            <w:pPr>
              <w:spacing w:line="200" w:lineRule="exact"/>
              <w:jc w:val="center"/>
              <w:rPr>
                <w:rFonts w:ascii="Times New Roman" w:hAnsi="Times New Roman" w:cs="Times New Roman"/>
                <w:sz w:val="16"/>
                <w:szCs w:val="16"/>
              </w:rPr>
            </w:pPr>
            <w:r w:rsidRPr="00DB5229">
              <w:rPr>
                <w:rFonts w:ascii="Times New Roman" w:hAnsi="Times New Roman" w:cs="Times New Roman"/>
                <w:b/>
                <w:bCs/>
                <w:sz w:val="16"/>
                <w:szCs w:val="16"/>
              </w:rPr>
              <w:t>S.E. of Regression</w:t>
            </w:r>
          </w:p>
        </w:tc>
        <w:tc>
          <w:tcPr>
            <w:tcW w:w="1344" w:type="dxa"/>
            <w:vAlign w:val="center"/>
            <w:hideMark/>
          </w:tcPr>
          <w:p w14:paraId="2B59AF6A" w14:textId="77777777" w:rsidR="00D54BD1" w:rsidRPr="00DB5229" w:rsidRDefault="00D54BD1" w:rsidP="00B836A9">
            <w:pPr>
              <w:spacing w:line="200" w:lineRule="exact"/>
              <w:jc w:val="center"/>
              <w:rPr>
                <w:rFonts w:ascii="Times New Roman" w:hAnsi="Times New Roman" w:cs="Times New Roman"/>
                <w:sz w:val="16"/>
                <w:szCs w:val="16"/>
              </w:rPr>
            </w:pPr>
            <w:r w:rsidRPr="00DB5229">
              <w:rPr>
                <w:rFonts w:ascii="Times New Roman" w:hAnsi="Times New Roman" w:cs="Times New Roman"/>
                <w:sz w:val="16"/>
                <w:szCs w:val="16"/>
              </w:rPr>
              <w:t>0.2927</w:t>
            </w:r>
          </w:p>
        </w:tc>
      </w:tr>
    </w:tbl>
    <w:p w14:paraId="73E48545" w14:textId="77777777" w:rsidR="00B14CD9" w:rsidRPr="00DB5229" w:rsidRDefault="00B14CD9"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Note: Income categories:</w:t>
      </w:r>
    </w:p>
    <w:p w14:paraId="20D994A4" w14:textId="0D0CD686" w:rsidR="00B14CD9" w:rsidRPr="00DB5229" w:rsidRDefault="00B14CD9"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a) High Income States:</w:t>
      </w:r>
      <w:r w:rsidRPr="00DB5229">
        <w:rPr>
          <w:rFonts w:ascii="Times New Roman" w:hAnsi="Times New Roman" w:cs="Times New Roman"/>
          <w:sz w:val="16"/>
          <w:szCs w:val="16"/>
        </w:rPr>
        <w:t xml:space="preserve"> </w:t>
      </w:r>
      <w:r w:rsidR="005E0DD7" w:rsidRPr="00DB5229">
        <w:rPr>
          <w:rFonts w:ascii="Times New Roman" w:hAnsi="Times New Roman" w:cs="Times New Roman"/>
          <w:sz w:val="16"/>
          <w:szCs w:val="16"/>
        </w:rPr>
        <w:t xml:space="preserve">Andhra Pradesh, </w:t>
      </w:r>
      <w:r w:rsidRPr="00DB5229">
        <w:rPr>
          <w:rFonts w:ascii="Times New Roman" w:hAnsi="Times New Roman" w:cs="Times New Roman"/>
          <w:sz w:val="16"/>
          <w:szCs w:val="16"/>
        </w:rPr>
        <w:t>Haryana,</w:t>
      </w:r>
      <w:r w:rsidR="005E0DD7" w:rsidRPr="00DB5229">
        <w:rPr>
          <w:rFonts w:ascii="Times New Roman" w:hAnsi="Times New Roman" w:cs="Times New Roman"/>
          <w:sz w:val="16"/>
          <w:szCs w:val="16"/>
        </w:rPr>
        <w:t xml:space="preserve"> Karnataka, Kerala</w:t>
      </w:r>
      <w:r w:rsidRPr="00DB5229">
        <w:rPr>
          <w:rFonts w:ascii="Times New Roman" w:hAnsi="Times New Roman" w:cs="Times New Roman"/>
          <w:sz w:val="16"/>
          <w:szCs w:val="16"/>
        </w:rPr>
        <w:t xml:space="preserve"> Maharashtra, Punjab</w:t>
      </w:r>
      <w:r w:rsidR="005E0DD7" w:rsidRPr="00DB5229">
        <w:rPr>
          <w:rFonts w:ascii="Times New Roman" w:hAnsi="Times New Roman" w:cs="Times New Roman"/>
          <w:sz w:val="16"/>
          <w:szCs w:val="16"/>
        </w:rPr>
        <w:t>, West Bengal.</w:t>
      </w:r>
    </w:p>
    <w:p w14:paraId="401648A1" w14:textId="04C19887" w:rsidR="00294D85" w:rsidRPr="00DB5229" w:rsidRDefault="005E0DD7" w:rsidP="00473BA7">
      <w:pPr>
        <w:spacing w:after="0" w:line="200" w:lineRule="exact"/>
        <w:ind w:left="720"/>
        <w:jc w:val="both"/>
        <w:rPr>
          <w:rFonts w:ascii="Times New Roman" w:hAnsi="Times New Roman" w:cs="Times New Roman"/>
          <w:sz w:val="16"/>
          <w:szCs w:val="16"/>
        </w:rPr>
      </w:pPr>
      <w:r w:rsidRPr="00DB5229">
        <w:rPr>
          <w:rFonts w:ascii="Times New Roman" w:hAnsi="Times New Roman" w:cs="Times New Roman"/>
          <w:b/>
          <w:bCs/>
          <w:sz w:val="16"/>
          <w:szCs w:val="16"/>
        </w:rPr>
        <w:t>b</w:t>
      </w:r>
      <w:r w:rsidR="00B14CD9" w:rsidRPr="00DB5229">
        <w:rPr>
          <w:rFonts w:ascii="Times New Roman" w:hAnsi="Times New Roman" w:cs="Times New Roman"/>
          <w:b/>
          <w:bCs/>
          <w:sz w:val="16"/>
          <w:szCs w:val="16"/>
        </w:rPr>
        <w:t>) Low Income States:</w:t>
      </w:r>
      <w:r w:rsidR="00B14CD9" w:rsidRPr="00DB5229">
        <w:rPr>
          <w:rFonts w:ascii="Times New Roman" w:hAnsi="Times New Roman" w:cs="Times New Roman"/>
          <w:sz w:val="16"/>
          <w:szCs w:val="16"/>
        </w:rPr>
        <w:t> Bihar, Madhya Pradesh, Orissa, Rajasthan,</w:t>
      </w:r>
      <w:r w:rsidRPr="00DB5229">
        <w:rPr>
          <w:rFonts w:ascii="Times New Roman" w:hAnsi="Times New Roman" w:cs="Times New Roman"/>
          <w:sz w:val="16"/>
          <w:szCs w:val="16"/>
        </w:rPr>
        <w:t xml:space="preserve"> Tamil </w:t>
      </w:r>
      <w:proofErr w:type="gramStart"/>
      <w:r w:rsidRPr="00DB5229">
        <w:rPr>
          <w:rFonts w:ascii="Times New Roman" w:hAnsi="Times New Roman" w:cs="Times New Roman"/>
          <w:sz w:val="16"/>
          <w:szCs w:val="16"/>
        </w:rPr>
        <w:t xml:space="preserve">Nadu, </w:t>
      </w:r>
      <w:r w:rsidR="00B14CD9" w:rsidRPr="00DB5229">
        <w:rPr>
          <w:rFonts w:ascii="Times New Roman" w:hAnsi="Times New Roman" w:cs="Times New Roman"/>
          <w:sz w:val="16"/>
          <w:szCs w:val="16"/>
        </w:rPr>
        <w:t xml:space="preserve"> Uttar</w:t>
      </w:r>
      <w:proofErr w:type="gramEnd"/>
      <w:r w:rsidR="00B14CD9" w:rsidRPr="00DB5229">
        <w:rPr>
          <w:rFonts w:ascii="Times New Roman" w:hAnsi="Times New Roman" w:cs="Times New Roman"/>
          <w:sz w:val="16"/>
          <w:szCs w:val="16"/>
        </w:rPr>
        <w:t xml:space="preserve"> Pradesh</w:t>
      </w:r>
    </w:p>
    <w:tbl>
      <w:tblPr>
        <w:tblStyle w:val="TableGrid"/>
        <w:tblW w:w="9773" w:type="dxa"/>
        <w:jc w:val="center"/>
        <w:tblLook w:val="04A0" w:firstRow="1" w:lastRow="0" w:firstColumn="1" w:lastColumn="0" w:noHBand="0" w:noVBand="1"/>
      </w:tblPr>
      <w:tblGrid>
        <w:gridCol w:w="3128"/>
        <w:gridCol w:w="6645"/>
      </w:tblGrid>
      <w:tr w:rsidR="00294D85" w:rsidRPr="00DB5229" w14:paraId="3CCF9A6C" w14:textId="77777777" w:rsidTr="00D539B3">
        <w:trPr>
          <w:trHeight w:val="20"/>
          <w:jc w:val="center"/>
        </w:trPr>
        <w:tc>
          <w:tcPr>
            <w:tcW w:w="3128" w:type="dxa"/>
            <w:vAlign w:val="center"/>
            <w:hideMark/>
          </w:tcPr>
          <w:p w14:paraId="31ED0CD3"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Dependent Variable</w:t>
            </w:r>
          </w:p>
        </w:tc>
        <w:tc>
          <w:tcPr>
            <w:tcW w:w="0" w:type="auto"/>
            <w:vAlign w:val="center"/>
            <w:hideMark/>
          </w:tcPr>
          <w:p w14:paraId="6E11D2C4"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Total Tax Revenue from Entertainment Taxes</w:t>
            </w:r>
          </w:p>
        </w:tc>
      </w:tr>
      <w:tr w:rsidR="00294D85" w:rsidRPr="00DB5229" w14:paraId="1DF48BF9" w14:textId="77777777" w:rsidTr="00D539B3">
        <w:trPr>
          <w:trHeight w:val="20"/>
          <w:jc w:val="center"/>
        </w:trPr>
        <w:tc>
          <w:tcPr>
            <w:tcW w:w="3128" w:type="dxa"/>
            <w:vAlign w:val="center"/>
            <w:hideMark/>
          </w:tcPr>
          <w:p w14:paraId="0363E666" w14:textId="77777777" w:rsidR="00294D85" w:rsidRPr="00DB5229" w:rsidRDefault="00294D85" w:rsidP="005E0DD7">
            <w:pPr>
              <w:pStyle w:val="NoSpacing"/>
              <w:spacing w:line="200" w:lineRule="exact"/>
              <w:rPr>
                <w:rFonts w:ascii="Times New Roman" w:hAnsi="Times New Roman" w:cs="Times New Roman"/>
                <w:sz w:val="16"/>
                <w:szCs w:val="16"/>
              </w:rPr>
            </w:pPr>
            <w:r w:rsidRPr="00DB5229">
              <w:rPr>
                <w:rFonts w:ascii="Times New Roman" w:hAnsi="Times New Roman" w:cs="Times New Roman"/>
                <w:sz w:val="16"/>
                <w:szCs w:val="16"/>
                <w:lang w:eastAsia="en-IN"/>
              </w:rPr>
              <w:t>Income Category</w:t>
            </w:r>
          </w:p>
        </w:tc>
        <w:tc>
          <w:tcPr>
            <w:tcW w:w="0" w:type="auto"/>
            <w:vAlign w:val="center"/>
            <w:hideMark/>
          </w:tcPr>
          <w:p w14:paraId="2A8A7D45"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Major States excluding Kerala</w:t>
            </w:r>
          </w:p>
        </w:tc>
      </w:tr>
      <w:tr w:rsidR="00294D85" w:rsidRPr="00DB5229" w14:paraId="58F7376A" w14:textId="77777777" w:rsidTr="00D539B3">
        <w:trPr>
          <w:trHeight w:val="20"/>
          <w:jc w:val="center"/>
        </w:trPr>
        <w:tc>
          <w:tcPr>
            <w:tcW w:w="3128" w:type="dxa"/>
            <w:vAlign w:val="center"/>
            <w:hideMark/>
          </w:tcPr>
          <w:p w14:paraId="49AA8302"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Number Of Observations</w:t>
            </w:r>
          </w:p>
        </w:tc>
        <w:tc>
          <w:tcPr>
            <w:tcW w:w="0" w:type="auto"/>
            <w:vAlign w:val="center"/>
            <w:hideMark/>
          </w:tcPr>
          <w:p w14:paraId="2D70BC5E"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39</w:t>
            </w:r>
          </w:p>
        </w:tc>
      </w:tr>
      <w:tr w:rsidR="00294D85" w:rsidRPr="00DB5229" w14:paraId="3E36F32C" w14:textId="77777777" w:rsidTr="00D539B3">
        <w:trPr>
          <w:trHeight w:val="20"/>
          <w:jc w:val="center"/>
        </w:trPr>
        <w:tc>
          <w:tcPr>
            <w:tcW w:w="3128" w:type="dxa"/>
            <w:vAlign w:val="center"/>
            <w:hideMark/>
          </w:tcPr>
          <w:p w14:paraId="1F15D279"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Degrees Of Freedom</w:t>
            </w:r>
          </w:p>
        </w:tc>
        <w:tc>
          <w:tcPr>
            <w:tcW w:w="0" w:type="auto"/>
            <w:vAlign w:val="center"/>
            <w:hideMark/>
          </w:tcPr>
          <w:p w14:paraId="23383431"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33</w:t>
            </w:r>
          </w:p>
        </w:tc>
      </w:tr>
    </w:tbl>
    <w:p w14:paraId="5D1BC1BD" w14:textId="77777777" w:rsidR="00294D85" w:rsidRPr="00DB5229" w:rsidRDefault="00294D85" w:rsidP="005E0DD7">
      <w:pPr>
        <w:shd w:val="clear" w:color="auto" w:fill="FFFFFF"/>
        <w:spacing w:after="0" w:line="200" w:lineRule="exact"/>
        <w:rPr>
          <w:rFonts w:ascii="Times New Roman" w:eastAsia="Times New Roman" w:hAnsi="Times New Roman" w:cs="Times New Roman"/>
          <w:vanish/>
          <w:color w:val="1A1C1E"/>
          <w:kern w:val="0"/>
          <w:sz w:val="16"/>
          <w:szCs w:val="16"/>
          <w:lang w:eastAsia="en-IN"/>
          <w14:ligatures w14:val="none"/>
        </w:rPr>
      </w:pPr>
    </w:p>
    <w:tbl>
      <w:tblPr>
        <w:tblStyle w:val="TableGrid"/>
        <w:tblW w:w="9796" w:type="dxa"/>
        <w:jc w:val="center"/>
        <w:tblLook w:val="04A0" w:firstRow="1" w:lastRow="0" w:firstColumn="1" w:lastColumn="0" w:noHBand="0" w:noVBand="1"/>
      </w:tblPr>
      <w:tblGrid>
        <w:gridCol w:w="4534"/>
        <w:gridCol w:w="1392"/>
        <w:gridCol w:w="2786"/>
        <w:gridCol w:w="1084"/>
      </w:tblGrid>
      <w:tr w:rsidR="00294D85" w:rsidRPr="00DB5229" w14:paraId="45B41E36" w14:textId="77777777" w:rsidTr="00D539B3">
        <w:trPr>
          <w:trHeight w:val="20"/>
          <w:jc w:val="center"/>
        </w:trPr>
        <w:tc>
          <w:tcPr>
            <w:tcW w:w="4534" w:type="dxa"/>
            <w:hideMark/>
          </w:tcPr>
          <w:p w14:paraId="0CE458F0" w14:textId="77777777" w:rsidR="00294D85" w:rsidRPr="00DB5229" w:rsidRDefault="00294D85" w:rsidP="005E0DD7">
            <w:pPr>
              <w:spacing w:line="200" w:lineRule="exact"/>
              <w:rPr>
                <w:rFonts w:ascii="Times New Roman" w:eastAsia="Times New Roman" w:hAnsi="Times New Roman" w:cs="Times New Roman"/>
                <w:b/>
                <w:bCs/>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Regressor</w:t>
            </w:r>
          </w:p>
        </w:tc>
        <w:tc>
          <w:tcPr>
            <w:tcW w:w="0" w:type="auto"/>
            <w:vAlign w:val="center"/>
            <w:hideMark/>
          </w:tcPr>
          <w:p w14:paraId="2F34AA88" w14:textId="77777777" w:rsidR="00294D85" w:rsidRPr="00DB5229" w:rsidRDefault="00294D85" w:rsidP="005E0DD7">
            <w:pPr>
              <w:spacing w:line="200" w:lineRule="exact"/>
              <w:jc w:val="center"/>
              <w:rPr>
                <w:rFonts w:ascii="Times New Roman" w:eastAsia="Times New Roman" w:hAnsi="Times New Roman" w:cs="Times New Roman"/>
                <w:b/>
                <w:bCs/>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Coefficient</w:t>
            </w:r>
          </w:p>
        </w:tc>
        <w:tc>
          <w:tcPr>
            <w:tcW w:w="0" w:type="auto"/>
            <w:vAlign w:val="center"/>
            <w:hideMark/>
          </w:tcPr>
          <w:p w14:paraId="127EF7DB" w14:textId="77777777" w:rsidR="00294D85" w:rsidRPr="00DB5229" w:rsidRDefault="00294D85" w:rsidP="005E0DD7">
            <w:pPr>
              <w:spacing w:line="200" w:lineRule="exact"/>
              <w:jc w:val="center"/>
              <w:rPr>
                <w:rFonts w:ascii="Times New Roman" w:eastAsia="Times New Roman" w:hAnsi="Times New Roman" w:cs="Times New Roman"/>
                <w:b/>
                <w:bCs/>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Standard Error</w:t>
            </w:r>
          </w:p>
        </w:tc>
        <w:tc>
          <w:tcPr>
            <w:tcW w:w="0" w:type="auto"/>
            <w:vAlign w:val="center"/>
            <w:hideMark/>
          </w:tcPr>
          <w:p w14:paraId="2BF734DF" w14:textId="77777777" w:rsidR="00294D85" w:rsidRPr="00DB5229" w:rsidRDefault="00294D85" w:rsidP="005E0DD7">
            <w:pPr>
              <w:spacing w:line="200" w:lineRule="exact"/>
              <w:jc w:val="center"/>
              <w:rPr>
                <w:rFonts w:ascii="Times New Roman" w:eastAsia="Times New Roman" w:hAnsi="Times New Roman" w:cs="Times New Roman"/>
                <w:b/>
                <w:bCs/>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T-Ratio</w:t>
            </w:r>
          </w:p>
        </w:tc>
      </w:tr>
      <w:tr w:rsidR="00294D85" w:rsidRPr="00DB5229" w14:paraId="2898C21D" w14:textId="77777777" w:rsidTr="00D539B3">
        <w:trPr>
          <w:trHeight w:val="20"/>
          <w:jc w:val="center"/>
        </w:trPr>
        <w:tc>
          <w:tcPr>
            <w:tcW w:w="4534" w:type="dxa"/>
            <w:hideMark/>
          </w:tcPr>
          <w:p w14:paraId="29F7D73C"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 State Domestic Product at Factor Cost</w:t>
            </w:r>
          </w:p>
        </w:tc>
        <w:tc>
          <w:tcPr>
            <w:tcW w:w="0" w:type="auto"/>
            <w:vAlign w:val="center"/>
            <w:hideMark/>
          </w:tcPr>
          <w:p w14:paraId="2408D591"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0.9348</w:t>
            </w:r>
          </w:p>
        </w:tc>
        <w:tc>
          <w:tcPr>
            <w:tcW w:w="0" w:type="auto"/>
            <w:vAlign w:val="center"/>
            <w:hideMark/>
          </w:tcPr>
          <w:p w14:paraId="01F5DB12"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0.1497</w:t>
            </w:r>
          </w:p>
        </w:tc>
        <w:tc>
          <w:tcPr>
            <w:tcW w:w="0" w:type="auto"/>
            <w:vAlign w:val="center"/>
            <w:hideMark/>
          </w:tcPr>
          <w:p w14:paraId="4FE1E847"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6.2443</w:t>
            </w:r>
          </w:p>
        </w:tc>
      </w:tr>
      <w:tr w:rsidR="00294D85" w:rsidRPr="00DB5229" w14:paraId="4225E1A9" w14:textId="77777777" w:rsidTr="00D539B3">
        <w:trPr>
          <w:trHeight w:val="20"/>
          <w:jc w:val="center"/>
        </w:trPr>
        <w:tc>
          <w:tcPr>
            <w:tcW w:w="4534" w:type="dxa"/>
            <w:hideMark/>
          </w:tcPr>
          <w:p w14:paraId="075BA69C"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2. Seating capacity in cinema halls</w:t>
            </w:r>
          </w:p>
        </w:tc>
        <w:tc>
          <w:tcPr>
            <w:tcW w:w="0" w:type="auto"/>
            <w:vAlign w:val="center"/>
            <w:hideMark/>
          </w:tcPr>
          <w:p w14:paraId="62135A81"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0.2837</w:t>
            </w:r>
          </w:p>
        </w:tc>
        <w:tc>
          <w:tcPr>
            <w:tcW w:w="0" w:type="auto"/>
            <w:vAlign w:val="center"/>
            <w:hideMark/>
          </w:tcPr>
          <w:p w14:paraId="1B83EAAC"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0.0857</w:t>
            </w:r>
          </w:p>
        </w:tc>
        <w:tc>
          <w:tcPr>
            <w:tcW w:w="0" w:type="auto"/>
            <w:vAlign w:val="center"/>
            <w:hideMark/>
          </w:tcPr>
          <w:p w14:paraId="2ECE79DD"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3.3115</w:t>
            </w:r>
          </w:p>
        </w:tc>
      </w:tr>
      <w:tr w:rsidR="00294D85" w:rsidRPr="00DB5229" w14:paraId="7B3DFEF1" w14:textId="77777777" w:rsidTr="00D539B3">
        <w:trPr>
          <w:trHeight w:val="20"/>
          <w:jc w:val="center"/>
        </w:trPr>
        <w:tc>
          <w:tcPr>
            <w:tcW w:w="4534" w:type="dxa"/>
            <w:hideMark/>
          </w:tcPr>
          <w:p w14:paraId="424EEA15"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3. Proportion of urban population to total population</w:t>
            </w:r>
          </w:p>
        </w:tc>
        <w:tc>
          <w:tcPr>
            <w:tcW w:w="0" w:type="auto"/>
            <w:vAlign w:val="center"/>
            <w:hideMark/>
          </w:tcPr>
          <w:p w14:paraId="687711BA"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0.8174</w:t>
            </w:r>
          </w:p>
        </w:tc>
        <w:tc>
          <w:tcPr>
            <w:tcW w:w="0" w:type="auto"/>
            <w:vAlign w:val="center"/>
            <w:hideMark/>
          </w:tcPr>
          <w:p w14:paraId="3AEFEE34"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0.1550</w:t>
            </w:r>
          </w:p>
        </w:tc>
        <w:tc>
          <w:tcPr>
            <w:tcW w:w="0" w:type="auto"/>
            <w:vAlign w:val="center"/>
            <w:hideMark/>
          </w:tcPr>
          <w:p w14:paraId="21920E5E"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5.2728</w:t>
            </w:r>
          </w:p>
        </w:tc>
      </w:tr>
      <w:tr w:rsidR="00294D85" w:rsidRPr="00DB5229" w14:paraId="3B96BB06" w14:textId="77777777" w:rsidTr="00D539B3">
        <w:trPr>
          <w:trHeight w:val="20"/>
          <w:jc w:val="center"/>
        </w:trPr>
        <w:tc>
          <w:tcPr>
            <w:tcW w:w="4534" w:type="dxa"/>
            <w:hideMark/>
          </w:tcPr>
          <w:p w14:paraId="146A58BE"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Time period (1982-83)</w:t>
            </w:r>
          </w:p>
        </w:tc>
        <w:tc>
          <w:tcPr>
            <w:tcW w:w="0" w:type="auto"/>
            <w:vAlign w:val="center"/>
            <w:hideMark/>
          </w:tcPr>
          <w:p w14:paraId="4EDB27CC"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-11.4031</w:t>
            </w:r>
          </w:p>
        </w:tc>
        <w:tc>
          <w:tcPr>
            <w:tcW w:w="0" w:type="auto"/>
            <w:vAlign w:val="center"/>
            <w:hideMark/>
          </w:tcPr>
          <w:p w14:paraId="48928E7B"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1.4053</w:t>
            </w:r>
          </w:p>
        </w:tc>
        <w:tc>
          <w:tcPr>
            <w:tcW w:w="0" w:type="auto"/>
            <w:vAlign w:val="center"/>
            <w:hideMark/>
          </w:tcPr>
          <w:p w14:paraId="3970E890"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-8.1141</w:t>
            </w:r>
          </w:p>
        </w:tc>
      </w:tr>
      <w:tr w:rsidR="00294D85" w:rsidRPr="00DB5229" w14:paraId="4D203807" w14:textId="77777777" w:rsidTr="00D539B3">
        <w:trPr>
          <w:trHeight w:val="20"/>
          <w:jc w:val="center"/>
        </w:trPr>
        <w:tc>
          <w:tcPr>
            <w:tcW w:w="4534" w:type="dxa"/>
            <w:hideMark/>
          </w:tcPr>
          <w:p w14:paraId="20919F70"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Time period (1983-84)</w:t>
            </w:r>
          </w:p>
        </w:tc>
        <w:tc>
          <w:tcPr>
            <w:tcW w:w="0" w:type="auto"/>
            <w:vAlign w:val="center"/>
            <w:hideMark/>
          </w:tcPr>
          <w:p w14:paraId="0D9E3F64"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-11.5149</w:t>
            </w:r>
          </w:p>
        </w:tc>
        <w:tc>
          <w:tcPr>
            <w:tcW w:w="0" w:type="auto"/>
            <w:vAlign w:val="center"/>
            <w:hideMark/>
          </w:tcPr>
          <w:p w14:paraId="0AF29F8C"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1.4265</w:t>
            </w:r>
          </w:p>
        </w:tc>
        <w:tc>
          <w:tcPr>
            <w:tcW w:w="0" w:type="auto"/>
            <w:vAlign w:val="center"/>
            <w:hideMark/>
          </w:tcPr>
          <w:p w14:paraId="18DF6486"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-8.0719</w:t>
            </w:r>
          </w:p>
        </w:tc>
      </w:tr>
      <w:tr w:rsidR="00294D85" w:rsidRPr="00DB5229" w14:paraId="588C9F3B" w14:textId="77777777" w:rsidTr="00D539B3">
        <w:trPr>
          <w:trHeight w:val="20"/>
          <w:jc w:val="center"/>
        </w:trPr>
        <w:tc>
          <w:tcPr>
            <w:tcW w:w="4534" w:type="dxa"/>
            <w:hideMark/>
          </w:tcPr>
          <w:p w14:paraId="68124C17" w14:textId="77777777" w:rsidR="00294D85" w:rsidRPr="00DB5229" w:rsidRDefault="00294D85"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Time period (1984-85)</w:t>
            </w:r>
          </w:p>
        </w:tc>
        <w:tc>
          <w:tcPr>
            <w:tcW w:w="0" w:type="auto"/>
            <w:vAlign w:val="center"/>
            <w:hideMark/>
          </w:tcPr>
          <w:p w14:paraId="20FE0F9C"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-11.5453</w:t>
            </w:r>
          </w:p>
        </w:tc>
        <w:tc>
          <w:tcPr>
            <w:tcW w:w="0" w:type="auto"/>
            <w:vAlign w:val="center"/>
            <w:hideMark/>
          </w:tcPr>
          <w:p w14:paraId="4DA993CF"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1.4378</w:t>
            </w:r>
          </w:p>
        </w:tc>
        <w:tc>
          <w:tcPr>
            <w:tcW w:w="0" w:type="auto"/>
            <w:vAlign w:val="center"/>
            <w:hideMark/>
          </w:tcPr>
          <w:p w14:paraId="7D98589E" w14:textId="77777777" w:rsidR="00294D85" w:rsidRPr="00DB5229" w:rsidRDefault="00294D85"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-8.0298</w:t>
            </w:r>
          </w:p>
        </w:tc>
      </w:tr>
      <w:tr w:rsidR="00D54BD1" w:rsidRPr="00DB5229" w14:paraId="3085E0F7" w14:textId="77777777" w:rsidTr="00D539B3">
        <w:trPr>
          <w:trHeight w:val="20"/>
          <w:jc w:val="center"/>
        </w:trPr>
        <w:tc>
          <w:tcPr>
            <w:tcW w:w="4534" w:type="dxa"/>
            <w:hideMark/>
          </w:tcPr>
          <w:p w14:paraId="3B47942E" w14:textId="77777777" w:rsidR="00D54BD1" w:rsidRPr="00DB5229" w:rsidRDefault="00D54BD1"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R - Squared</w:t>
            </w:r>
          </w:p>
        </w:tc>
        <w:tc>
          <w:tcPr>
            <w:tcW w:w="0" w:type="auto"/>
            <w:vAlign w:val="center"/>
            <w:hideMark/>
          </w:tcPr>
          <w:p w14:paraId="440C82C6" w14:textId="77777777" w:rsidR="00D54BD1" w:rsidRPr="00DB5229" w:rsidRDefault="00D54BD1"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0.9194</w:t>
            </w:r>
          </w:p>
        </w:tc>
        <w:tc>
          <w:tcPr>
            <w:tcW w:w="0" w:type="auto"/>
            <w:hideMark/>
          </w:tcPr>
          <w:p w14:paraId="2F01CC82" w14:textId="77777777" w:rsidR="00D54BD1" w:rsidRPr="00DB5229" w:rsidRDefault="00D54BD1"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Residual Sum of Squares</w:t>
            </w:r>
          </w:p>
        </w:tc>
        <w:tc>
          <w:tcPr>
            <w:tcW w:w="0" w:type="auto"/>
            <w:vAlign w:val="center"/>
            <w:hideMark/>
          </w:tcPr>
          <w:p w14:paraId="730F6440" w14:textId="77777777" w:rsidR="00D54BD1" w:rsidRPr="00DB5229" w:rsidRDefault="00D54BD1"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2.3070</w:t>
            </w:r>
          </w:p>
        </w:tc>
      </w:tr>
      <w:tr w:rsidR="00D54BD1" w:rsidRPr="00DB5229" w14:paraId="0DCF3FBD" w14:textId="77777777" w:rsidTr="00D539B3">
        <w:trPr>
          <w:trHeight w:val="20"/>
          <w:jc w:val="center"/>
        </w:trPr>
        <w:tc>
          <w:tcPr>
            <w:tcW w:w="4534" w:type="dxa"/>
            <w:hideMark/>
          </w:tcPr>
          <w:p w14:paraId="1B1424FF" w14:textId="77777777" w:rsidR="00D54BD1" w:rsidRPr="00DB5229" w:rsidRDefault="00D54BD1"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R - Bar - Squared</w:t>
            </w:r>
          </w:p>
        </w:tc>
        <w:tc>
          <w:tcPr>
            <w:tcW w:w="0" w:type="auto"/>
            <w:vAlign w:val="center"/>
            <w:hideMark/>
          </w:tcPr>
          <w:p w14:paraId="6EDC0621" w14:textId="77777777" w:rsidR="00D54BD1" w:rsidRPr="00DB5229" w:rsidRDefault="00D54BD1"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0.9071</w:t>
            </w:r>
          </w:p>
        </w:tc>
        <w:tc>
          <w:tcPr>
            <w:tcW w:w="0" w:type="auto"/>
            <w:hideMark/>
          </w:tcPr>
          <w:p w14:paraId="09E4025F" w14:textId="77777777" w:rsidR="00D54BD1" w:rsidRPr="00DB5229" w:rsidRDefault="00D54BD1" w:rsidP="005E0DD7">
            <w:pPr>
              <w:spacing w:line="200" w:lineRule="exact"/>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b/>
                <w:bCs/>
                <w:kern w:val="0"/>
                <w:sz w:val="16"/>
                <w:szCs w:val="16"/>
                <w:lang w:eastAsia="en-IN"/>
                <w14:ligatures w14:val="none"/>
              </w:rPr>
              <w:t>S.E. of Regression</w:t>
            </w:r>
          </w:p>
        </w:tc>
        <w:tc>
          <w:tcPr>
            <w:tcW w:w="0" w:type="auto"/>
            <w:vAlign w:val="center"/>
            <w:hideMark/>
          </w:tcPr>
          <w:p w14:paraId="0B3BBD06" w14:textId="77777777" w:rsidR="00D54BD1" w:rsidRPr="00DB5229" w:rsidRDefault="00D54BD1" w:rsidP="005E0DD7">
            <w:pPr>
              <w:spacing w:line="200" w:lineRule="exact"/>
              <w:jc w:val="center"/>
              <w:rPr>
                <w:rFonts w:ascii="Times New Roman" w:eastAsia="Times New Roman" w:hAnsi="Times New Roman" w:cs="Times New Roman"/>
                <w:kern w:val="0"/>
                <w:sz w:val="16"/>
                <w:szCs w:val="16"/>
                <w:lang w:eastAsia="en-IN"/>
                <w14:ligatures w14:val="none"/>
              </w:rPr>
            </w:pPr>
            <w:r w:rsidRPr="00DB5229">
              <w:rPr>
                <w:rFonts w:ascii="Times New Roman" w:eastAsia="Times New Roman" w:hAnsi="Times New Roman" w:cs="Times New Roman"/>
                <w:kern w:val="0"/>
                <w:sz w:val="16"/>
                <w:szCs w:val="16"/>
                <w:lang w:eastAsia="en-IN"/>
                <w14:ligatures w14:val="none"/>
              </w:rPr>
              <w:t>0.2644</w:t>
            </w:r>
          </w:p>
        </w:tc>
      </w:tr>
    </w:tbl>
    <w:p w14:paraId="25C581C3" w14:textId="3556A5FC" w:rsidR="00294D85" w:rsidRPr="00DB5229" w:rsidRDefault="00294D85" w:rsidP="005E0DD7">
      <w:pPr>
        <w:shd w:val="clear" w:color="auto" w:fill="FFFFFF"/>
        <w:spacing w:before="100" w:beforeAutospacing="1" w:after="270" w:line="200" w:lineRule="exact"/>
        <w:rPr>
          <w:rFonts w:ascii="Times New Roman" w:eastAsia="Times New Roman" w:hAnsi="Times New Roman" w:cs="Times New Roman"/>
          <w:color w:val="1A1C1E"/>
          <w:kern w:val="0"/>
          <w:sz w:val="16"/>
          <w:szCs w:val="16"/>
          <w:lang w:eastAsia="en-IN"/>
          <w14:ligatures w14:val="none"/>
        </w:rPr>
      </w:pPr>
    </w:p>
    <w:p w14:paraId="433D38AE" w14:textId="52B79372" w:rsidR="00294D85" w:rsidRPr="00675F76" w:rsidRDefault="00294D85" w:rsidP="00A855A5">
      <w:pPr>
        <w:spacing w:after="0" w:line="200" w:lineRule="exact"/>
        <w:jc w:val="center"/>
      </w:pPr>
      <w:r w:rsidRPr="00AA6AF4">
        <w:rPr>
          <w:rFonts w:ascii="Times New Roman" w:hAnsi="Times New Roman" w:cs="Times New Roman"/>
          <w:szCs w:val="24"/>
        </w:rPr>
        <w:br w:type="page"/>
      </w:r>
      <w:r w:rsidRPr="00A855A5">
        <w:rPr>
          <w:rFonts w:ascii="Times New Roman" w:hAnsi="Times New Roman" w:cs="Times New Roman"/>
          <w:b/>
          <w:bCs/>
          <w:sz w:val="20"/>
          <w:szCs w:val="18"/>
        </w:rPr>
        <w:lastRenderedPageBreak/>
        <w:t>TABLE B.4.2</w:t>
      </w:r>
      <w:r w:rsidR="00675F76" w:rsidRPr="00A855A5">
        <w:rPr>
          <w:rFonts w:ascii="Times New Roman" w:hAnsi="Times New Roman" w:cs="Times New Roman"/>
          <w:b/>
          <w:bCs/>
          <w:sz w:val="20"/>
          <w:szCs w:val="18"/>
        </w:rPr>
        <w:br/>
      </w:r>
      <w:r w:rsidRPr="00A855A5">
        <w:rPr>
          <w:rFonts w:ascii="Times New Roman" w:hAnsi="Times New Roman" w:cs="Times New Roman"/>
          <w:b/>
          <w:bCs/>
          <w:sz w:val="20"/>
          <w:szCs w:val="18"/>
        </w:rPr>
        <w:t xml:space="preserve">Taxable Capacities </w:t>
      </w:r>
      <w:proofErr w:type="gramStart"/>
      <w:r w:rsidRPr="00A855A5">
        <w:rPr>
          <w:rFonts w:ascii="Times New Roman" w:hAnsi="Times New Roman" w:cs="Times New Roman"/>
          <w:b/>
          <w:bCs/>
          <w:sz w:val="20"/>
          <w:szCs w:val="18"/>
        </w:rPr>
        <w:t>Of</w:t>
      </w:r>
      <w:proofErr w:type="gramEnd"/>
      <w:r w:rsidRPr="00A855A5">
        <w:rPr>
          <w:rFonts w:ascii="Times New Roman" w:hAnsi="Times New Roman" w:cs="Times New Roman"/>
          <w:b/>
          <w:bCs/>
          <w:sz w:val="20"/>
          <w:szCs w:val="18"/>
        </w:rPr>
        <w:t xml:space="preserve"> The 14 Major States </w:t>
      </w:r>
      <w:proofErr w:type="gramStart"/>
      <w:r w:rsidRPr="00A855A5">
        <w:rPr>
          <w:rFonts w:ascii="Times New Roman" w:hAnsi="Times New Roman" w:cs="Times New Roman"/>
          <w:b/>
          <w:bCs/>
          <w:sz w:val="20"/>
          <w:szCs w:val="18"/>
        </w:rPr>
        <w:t>From</w:t>
      </w:r>
      <w:proofErr w:type="gramEnd"/>
      <w:r w:rsidRPr="00A855A5">
        <w:rPr>
          <w:rFonts w:ascii="Times New Roman" w:hAnsi="Times New Roman" w:cs="Times New Roman"/>
          <w:b/>
          <w:bCs/>
          <w:sz w:val="20"/>
          <w:szCs w:val="18"/>
        </w:rPr>
        <w:t xml:space="preserve"> Different Taxes For 1989-90</w:t>
      </w:r>
      <w:r w:rsidRPr="00A855A5">
        <w:rPr>
          <w:rFonts w:ascii="Times New Roman" w:hAnsi="Times New Roman" w:cs="Times New Roman"/>
          <w:b/>
          <w:bCs/>
          <w:sz w:val="20"/>
          <w:szCs w:val="18"/>
        </w:rPr>
        <w:br/>
      </w:r>
      <w:r w:rsidR="00A855A5">
        <w:rPr>
          <w:i/>
          <w:iCs/>
          <w:sz w:val="18"/>
          <w:szCs w:val="18"/>
        </w:rPr>
        <w:t xml:space="preserve"> </w:t>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00A855A5">
        <w:rPr>
          <w:i/>
          <w:iCs/>
          <w:sz w:val="18"/>
          <w:szCs w:val="18"/>
        </w:rPr>
        <w:tab/>
      </w:r>
      <w:r w:rsidRPr="00A855A5">
        <w:rPr>
          <w:i/>
          <w:iCs/>
          <w:sz w:val="18"/>
          <w:szCs w:val="18"/>
        </w:rPr>
        <w:t>(Rs. Lakh)</w:t>
      </w:r>
    </w:p>
    <w:tbl>
      <w:tblPr>
        <w:tblStyle w:val="TableGrid"/>
        <w:tblW w:w="10961" w:type="dxa"/>
        <w:jc w:val="center"/>
        <w:tblLayout w:type="fixed"/>
        <w:tblLook w:val="04A0" w:firstRow="1" w:lastRow="0" w:firstColumn="1" w:lastColumn="0" w:noHBand="0" w:noVBand="1"/>
      </w:tblPr>
      <w:tblGrid>
        <w:gridCol w:w="376"/>
        <w:gridCol w:w="1320"/>
        <w:gridCol w:w="851"/>
        <w:gridCol w:w="709"/>
        <w:gridCol w:w="708"/>
        <w:gridCol w:w="709"/>
        <w:gridCol w:w="709"/>
        <w:gridCol w:w="850"/>
        <w:gridCol w:w="709"/>
        <w:gridCol w:w="851"/>
        <w:gridCol w:w="850"/>
        <w:gridCol w:w="709"/>
        <w:gridCol w:w="850"/>
        <w:gridCol w:w="760"/>
      </w:tblGrid>
      <w:tr w:rsidR="00A855A5" w:rsidRPr="00A855A5" w14:paraId="4B117BBC" w14:textId="77777777" w:rsidTr="00A855A5">
        <w:trPr>
          <w:trHeight w:val="20"/>
          <w:jc w:val="center"/>
        </w:trPr>
        <w:tc>
          <w:tcPr>
            <w:tcW w:w="376" w:type="dxa"/>
            <w:vAlign w:val="center"/>
            <w:hideMark/>
          </w:tcPr>
          <w:p w14:paraId="1EB44B59" w14:textId="77777777" w:rsidR="00294D85" w:rsidRPr="00A855A5" w:rsidRDefault="00294D85" w:rsidP="00675F76">
            <w:pPr>
              <w:pStyle w:val="NoSpacing"/>
              <w:jc w:val="center"/>
              <w:rPr>
                <w:rFonts w:ascii="Times New Roman" w:hAnsi="Times New Roman" w:cs="Times New Roman"/>
                <w:sz w:val="16"/>
                <w:szCs w:val="16"/>
              </w:rPr>
            </w:pPr>
          </w:p>
        </w:tc>
        <w:tc>
          <w:tcPr>
            <w:tcW w:w="1320" w:type="dxa"/>
            <w:vAlign w:val="center"/>
            <w:hideMark/>
          </w:tcPr>
          <w:p w14:paraId="05BB4A89"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STATE</w:t>
            </w:r>
          </w:p>
        </w:tc>
        <w:tc>
          <w:tcPr>
            <w:tcW w:w="851" w:type="dxa"/>
            <w:vAlign w:val="center"/>
            <w:hideMark/>
          </w:tcPr>
          <w:p w14:paraId="7D271BE5"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Sales Tax</w:t>
            </w:r>
          </w:p>
        </w:tc>
        <w:tc>
          <w:tcPr>
            <w:tcW w:w="709" w:type="dxa"/>
            <w:vAlign w:val="center"/>
            <w:hideMark/>
          </w:tcPr>
          <w:p w14:paraId="60660DE3"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State Excise Duty</w:t>
            </w:r>
          </w:p>
        </w:tc>
        <w:tc>
          <w:tcPr>
            <w:tcW w:w="708" w:type="dxa"/>
            <w:vAlign w:val="center"/>
            <w:hideMark/>
          </w:tcPr>
          <w:p w14:paraId="462F944F"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Motor Vehicle Tax</w:t>
            </w:r>
          </w:p>
        </w:tc>
        <w:tc>
          <w:tcPr>
            <w:tcW w:w="709" w:type="dxa"/>
            <w:vAlign w:val="center"/>
            <w:hideMark/>
          </w:tcPr>
          <w:p w14:paraId="2A59622F"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Stamps And Registration</w:t>
            </w:r>
          </w:p>
        </w:tc>
        <w:tc>
          <w:tcPr>
            <w:tcW w:w="709" w:type="dxa"/>
            <w:vAlign w:val="center"/>
            <w:hideMark/>
          </w:tcPr>
          <w:p w14:paraId="4218637D"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 xml:space="preserve">Enter- </w:t>
            </w:r>
            <w:proofErr w:type="spellStart"/>
            <w:r w:rsidRPr="00A855A5">
              <w:rPr>
                <w:rFonts w:ascii="Times New Roman" w:hAnsi="Times New Roman" w:cs="Times New Roman"/>
                <w:b/>
                <w:bCs/>
                <w:sz w:val="16"/>
                <w:szCs w:val="16"/>
              </w:rPr>
              <w:t>tainment</w:t>
            </w:r>
            <w:proofErr w:type="spellEnd"/>
            <w:r w:rsidRPr="00A855A5">
              <w:rPr>
                <w:rFonts w:ascii="Times New Roman" w:hAnsi="Times New Roman" w:cs="Times New Roman"/>
                <w:b/>
                <w:bCs/>
                <w:sz w:val="16"/>
                <w:szCs w:val="16"/>
              </w:rPr>
              <w:t xml:space="preserve"> Tax</w:t>
            </w:r>
          </w:p>
        </w:tc>
        <w:tc>
          <w:tcPr>
            <w:tcW w:w="850" w:type="dxa"/>
            <w:vAlign w:val="center"/>
            <w:hideMark/>
          </w:tcPr>
          <w:p w14:paraId="3CAD9803"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Agriculture And Land Revenue</w:t>
            </w:r>
          </w:p>
        </w:tc>
        <w:tc>
          <w:tcPr>
            <w:tcW w:w="709" w:type="dxa"/>
            <w:vAlign w:val="center"/>
            <w:hideMark/>
          </w:tcPr>
          <w:p w14:paraId="6AAD909E"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Other Taxes</w:t>
            </w:r>
          </w:p>
        </w:tc>
        <w:tc>
          <w:tcPr>
            <w:tcW w:w="851" w:type="dxa"/>
            <w:vAlign w:val="center"/>
            <w:hideMark/>
          </w:tcPr>
          <w:p w14:paraId="1F91DBF6"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Normative Taxable Capacity</w:t>
            </w:r>
          </w:p>
        </w:tc>
        <w:tc>
          <w:tcPr>
            <w:tcW w:w="850" w:type="dxa"/>
            <w:vAlign w:val="center"/>
            <w:hideMark/>
          </w:tcPr>
          <w:p w14:paraId="39B028AF"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Tax Revenue (Trend)</w:t>
            </w:r>
          </w:p>
        </w:tc>
        <w:tc>
          <w:tcPr>
            <w:tcW w:w="709" w:type="dxa"/>
            <w:vAlign w:val="center"/>
            <w:hideMark/>
          </w:tcPr>
          <w:p w14:paraId="3615A3E2"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Per Cent Tax Effort</w:t>
            </w:r>
          </w:p>
        </w:tc>
        <w:tc>
          <w:tcPr>
            <w:tcW w:w="850" w:type="dxa"/>
            <w:vAlign w:val="center"/>
            <w:hideMark/>
          </w:tcPr>
          <w:p w14:paraId="773CD490"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Tax Revenue (B.E.)</w:t>
            </w:r>
          </w:p>
        </w:tc>
        <w:tc>
          <w:tcPr>
            <w:tcW w:w="760" w:type="dxa"/>
            <w:vAlign w:val="center"/>
            <w:hideMark/>
          </w:tcPr>
          <w:p w14:paraId="73B392BE" w14:textId="77777777" w:rsidR="00294D85" w:rsidRPr="00A855A5" w:rsidRDefault="00294D85" w:rsidP="00675F76">
            <w:pPr>
              <w:pStyle w:val="NoSpacing"/>
              <w:jc w:val="center"/>
              <w:rPr>
                <w:rFonts w:ascii="Times New Roman" w:hAnsi="Times New Roman" w:cs="Times New Roman"/>
                <w:b/>
                <w:bCs/>
                <w:sz w:val="16"/>
                <w:szCs w:val="16"/>
              </w:rPr>
            </w:pPr>
            <w:r w:rsidRPr="00A855A5">
              <w:rPr>
                <w:rFonts w:ascii="Times New Roman" w:hAnsi="Times New Roman" w:cs="Times New Roman"/>
                <w:b/>
                <w:bCs/>
                <w:sz w:val="16"/>
                <w:szCs w:val="16"/>
              </w:rPr>
              <w:t>Per Cent Tax Effort</w:t>
            </w:r>
          </w:p>
        </w:tc>
      </w:tr>
      <w:tr w:rsidR="00A855A5" w:rsidRPr="00A855A5" w14:paraId="1E1D2D5D" w14:textId="77777777" w:rsidTr="00A855A5">
        <w:trPr>
          <w:trHeight w:val="20"/>
          <w:jc w:val="center"/>
        </w:trPr>
        <w:tc>
          <w:tcPr>
            <w:tcW w:w="376" w:type="dxa"/>
            <w:vAlign w:val="center"/>
            <w:hideMark/>
          </w:tcPr>
          <w:p w14:paraId="78C4A6B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w:t>
            </w:r>
          </w:p>
        </w:tc>
        <w:tc>
          <w:tcPr>
            <w:tcW w:w="1320" w:type="dxa"/>
            <w:vAlign w:val="center"/>
            <w:hideMark/>
          </w:tcPr>
          <w:p w14:paraId="2B3DEA38"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Andhra Pradesh</w:t>
            </w:r>
          </w:p>
        </w:tc>
        <w:tc>
          <w:tcPr>
            <w:tcW w:w="851" w:type="dxa"/>
            <w:vAlign w:val="center"/>
            <w:hideMark/>
          </w:tcPr>
          <w:p w14:paraId="014F318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126611</w:t>
            </w:r>
          </w:p>
        </w:tc>
        <w:tc>
          <w:tcPr>
            <w:tcW w:w="709" w:type="dxa"/>
            <w:vAlign w:val="center"/>
            <w:hideMark/>
          </w:tcPr>
          <w:p w14:paraId="562AB61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60887</w:t>
            </w:r>
          </w:p>
        </w:tc>
        <w:tc>
          <w:tcPr>
            <w:tcW w:w="708" w:type="dxa"/>
            <w:vAlign w:val="center"/>
            <w:hideMark/>
          </w:tcPr>
          <w:p w14:paraId="3F989235"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16643</w:t>
            </w:r>
          </w:p>
        </w:tc>
        <w:tc>
          <w:tcPr>
            <w:tcW w:w="709" w:type="dxa"/>
            <w:vAlign w:val="center"/>
            <w:hideMark/>
          </w:tcPr>
          <w:p w14:paraId="5B2DD83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9343</w:t>
            </w:r>
          </w:p>
        </w:tc>
        <w:tc>
          <w:tcPr>
            <w:tcW w:w="709" w:type="dxa"/>
            <w:vAlign w:val="center"/>
            <w:hideMark/>
          </w:tcPr>
          <w:p w14:paraId="08CD85F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6158</w:t>
            </w:r>
          </w:p>
        </w:tc>
        <w:tc>
          <w:tcPr>
            <w:tcW w:w="850" w:type="dxa"/>
            <w:vAlign w:val="center"/>
            <w:hideMark/>
          </w:tcPr>
          <w:p w14:paraId="4F98F42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1744</w:t>
            </w:r>
          </w:p>
        </w:tc>
        <w:tc>
          <w:tcPr>
            <w:tcW w:w="709" w:type="dxa"/>
            <w:vAlign w:val="center"/>
            <w:hideMark/>
          </w:tcPr>
          <w:p w14:paraId="39DA4D9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7113</w:t>
            </w:r>
          </w:p>
        </w:tc>
        <w:tc>
          <w:tcPr>
            <w:tcW w:w="851" w:type="dxa"/>
            <w:vAlign w:val="center"/>
            <w:hideMark/>
          </w:tcPr>
          <w:p w14:paraId="06DF44C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228499</w:t>
            </w:r>
          </w:p>
        </w:tc>
        <w:tc>
          <w:tcPr>
            <w:tcW w:w="850" w:type="dxa"/>
            <w:vAlign w:val="center"/>
            <w:hideMark/>
          </w:tcPr>
          <w:p w14:paraId="3E5ED64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246537</w:t>
            </w:r>
          </w:p>
        </w:tc>
        <w:tc>
          <w:tcPr>
            <w:tcW w:w="709" w:type="dxa"/>
            <w:vAlign w:val="center"/>
            <w:hideMark/>
          </w:tcPr>
          <w:p w14:paraId="574FDE1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107.89</w:t>
            </w:r>
          </w:p>
        </w:tc>
        <w:tc>
          <w:tcPr>
            <w:tcW w:w="850" w:type="dxa"/>
            <w:vAlign w:val="center"/>
            <w:hideMark/>
          </w:tcPr>
          <w:p w14:paraId="2E076F25"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236193</w:t>
            </w:r>
          </w:p>
        </w:tc>
        <w:tc>
          <w:tcPr>
            <w:tcW w:w="760" w:type="dxa"/>
            <w:vAlign w:val="center"/>
            <w:hideMark/>
          </w:tcPr>
          <w:p w14:paraId="6E3FBC0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103.37</w:t>
            </w:r>
          </w:p>
        </w:tc>
      </w:tr>
      <w:tr w:rsidR="00A855A5" w:rsidRPr="00A855A5" w14:paraId="5C9E4095" w14:textId="77777777" w:rsidTr="00A855A5">
        <w:trPr>
          <w:trHeight w:val="20"/>
          <w:jc w:val="center"/>
        </w:trPr>
        <w:tc>
          <w:tcPr>
            <w:tcW w:w="376" w:type="dxa"/>
            <w:vAlign w:val="center"/>
            <w:hideMark/>
          </w:tcPr>
          <w:p w14:paraId="606213F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w:t>
            </w:r>
          </w:p>
        </w:tc>
        <w:tc>
          <w:tcPr>
            <w:tcW w:w="1320" w:type="dxa"/>
            <w:vAlign w:val="center"/>
            <w:hideMark/>
          </w:tcPr>
          <w:p w14:paraId="2DA3BF25"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Bihar</w:t>
            </w:r>
          </w:p>
        </w:tc>
        <w:tc>
          <w:tcPr>
            <w:tcW w:w="851" w:type="dxa"/>
            <w:vAlign w:val="center"/>
            <w:hideMark/>
          </w:tcPr>
          <w:p w14:paraId="7DE8C9E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65108</w:t>
            </w:r>
          </w:p>
        </w:tc>
        <w:tc>
          <w:tcPr>
            <w:tcW w:w="709" w:type="dxa"/>
            <w:vAlign w:val="center"/>
            <w:hideMark/>
          </w:tcPr>
          <w:p w14:paraId="669780F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8406</w:t>
            </w:r>
          </w:p>
        </w:tc>
        <w:tc>
          <w:tcPr>
            <w:tcW w:w="708" w:type="dxa"/>
            <w:vAlign w:val="center"/>
            <w:hideMark/>
          </w:tcPr>
          <w:p w14:paraId="5D3C0F0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11120</w:t>
            </w:r>
          </w:p>
        </w:tc>
        <w:tc>
          <w:tcPr>
            <w:tcW w:w="709" w:type="dxa"/>
            <w:vAlign w:val="center"/>
            <w:hideMark/>
          </w:tcPr>
          <w:p w14:paraId="64184977"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7079</w:t>
            </w:r>
          </w:p>
        </w:tc>
        <w:tc>
          <w:tcPr>
            <w:tcW w:w="709" w:type="dxa"/>
            <w:vAlign w:val="center"/>
            <w:hideMark/>
          </w:tcPr>
          <w:p w14:paraId="12C74B9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1570</w:t>
            </w:r>
          </w:p>
        </w:tc>
        <w:tc>
          <w:tcPr>
            <w:tcW w:w="850" w:type="dxa"/>
            <w:vAlign w:val="center"/>
            <w:hideMark/>
          </w:tcPr>
          <w:p w14:paraId="02ABFF9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1988</w:t>
            </w:r>
          </w:p>
        </w:tc>
        <w:tc>
          <w:tcPr>
            <w:tcW w:w="709" w:type="dxa"/>
            <w:vAlign w:val="center"/>
            <w:hideMark/>
          </w:tcPr>
          <w:p w14:paraId="1B799AA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1572</w:t>
            </w:r>
          </w:p>
        </w:tc>
        <w:tc>
          <w:tcPr>
            <w:tcW w:w="851" w:type="dxa"/>
            <w:vAlign w:val="center"/>
            <w:hideMark/>
          </w:tcPr>
          <w:p w14:paraId="232FAFA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96843</w:t>
            </w:r>
          </w:p>
        </w:tc>
        <w:tc>
          <w:tcPr>
            <w:tcW w:w="850" w:type="dxa"/>
            <w:vAlign w:val="center"/>
            <w:hideMark/>
          </w:tcPr>
          <w:p w14:paraId="7771504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87653</w:t>
            </w:r>
          </w:p>
        </w:tc>
        <w:tc>
          <w:tcPr>
            <w:tcW w:w="709" w:type="dxa"/>
            <w:vAlign w:val="center"/>
            <w:hideMark/>
          </w:tcPr>
          <w:p w14:paraId="5120EA9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90.51</w:t>
            </w:r>
          </w:p>
        </w:tc>
        <w:tc>
          <w:tcPr>
            <w:tcW w:w="850" w:type="dxa"/>
            <w:vAlign w:val="center"/>
            <w:hideMark/>
          </w:tcPr>
          <w:p w14:paraId="76D46B0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93474</w:t>
            </w:r>
          </w:p>
        </w:tc>
        <w:tc>
          <w:tcPr>
            <w:tcW w:w="760" w:type="dxa"/>
            <w:vAlign w:val="center"/>
            <w:hideMark/>
          </w:tcPr>
          <w:p w14:paraId="4E1A28D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96.52</w:t>
            </w:r>
          </w:p>
        </w:tc>
      </w:tr>
      <w:tr w:rsidR="00A855A5" w:rsidRPr="00A855A5" w14:paraId="0DEFC486" w14:textId="77777777" w:rsidTr="00A855A5">
        <w:trPr>
          <w:trHeight w:val="20"/>
          <w:jc w:val="center"/>
        </w:trPr>
        <w:tc>
          <w:tcPr>
            <w:tcW w:w="376" w:type="dxa"/>
            <w:vAlign w:val="center"/>
            <w:hideMark/>
          </w:tcPr>
          <w:p w14:paraId="3E208AF7"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w:t>
            </w:r>
          </w:p>
        </w:tc>
        <w:tc>
          <w:tcPr>
            <w:tcW w:w="1320" w:type="dxa"/>
            <w:vAlign w:val="center"/>
            <w:hideMark/>
          </w:tcPr>
          <w:p w14:paraId="018002B8"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Gujarat</w:t>
            </w:r>
          </w:p>
        </w:tc>
        <w:tc>
          <w:tcPr>
            <w:tcW w:w="851" w:type="dxa"/>
            <w:vAlign w:val="center"/>
            <w:hideMark/>
          </w:tcPr>
          <w:p w14:paraId="26F5104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126835</w:t>
            </w:r>
          </w:p>
        </w:tc>
        <w:tc>
          <w:tcPr>
            <w:tcW w:w="709" w:type="dxa"/>
            <w:vAlign w:val="center"/>
            <w:hideMark/>
          </w:tcPr>
          <w:p w14:paraId="227E5FE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8045</w:t>
            </w:r>
          </w:p>
        </w:tc>
        <w:tc>
          <w:tcPr>
            <w:tcW w:w="708" w:type="dxa"/>
            <w:vAlign w:val="center"/>
            <w:hideMark/>
          </w:tcPr>
          <w:p w14:paraId="65327D7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19264</w:t>
            </w:r>
          </w:p>
        </w:tc>
        <w:tc>
          <w:tcPr>
            <w:tcW w:w="709" w:type="dxa"/>
            <w:vAlign w:val="center"/>
            <w:hideMark/>
          </w:tcPr>
          <w:p w14:paraId="5D04448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8374</w:t>
            </w:r>
          </w:p>
        </w:tc>
        <w:tc>
          <w:tcPr>
            <w:tcW w:w="709" w:type="dxa"/>
            <w:vAlign w:val="center"/>
            <w:hideMark/>
          </w:tcPr>
          <w:p w14:paraId="07C63F7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5858</w:t>
            </w:r>
          </w:p>
        </w:tc>
        <w:tc>
          <w:tcPr>
            <w:tcW w:w="850" w:type="dxa"/>
            <w:vAlign w:val="center"/>
            <w:hideMark/>
          </w:tcPr>
          <w:p w14:paraId="5B7EAB0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2814</w:t>
            </w:r>
          </w:p>
        </w:tc>
        <w:tc>
          <w:tcPr>
            <w:tcW w:w="709" w:type="dxa"/>
            <w:vAlign w:val="center"/>
            <w:hideMark/>
          </w:tcPr>
          <w:p w14:paraId="2574E93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14908</w:t>
            </w:r>
          </w:p>
        </w:tc>
        <w:tc>
          <w:tcPr>
            <w:tcW w:w="851" w:type="dxa"/>
            <w:vAlign w:val="center"/>
            <w:hideMark/>
          </w:tcPr>
          <w:p w14:paraId="1124A8F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186097</w:t>
            </w:r>
          </w:p>
        </w:tc>
        <w:tc>
          <w:tcPr>
            <w:tcW w:w="850" w:type="dxa"/>
            <w:vAlign w:val="center"/>
            <w:hideMark/>
          </w:tcPr>
          <w:p w14:paraId="4673FE5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187653</w:t>
            </w:r>
          </w:p>
        </w:tc>
        <w:tc>
          <w:tcPr>
            <w:tcW w:w="709" w:type="dxa"/>
            <w:vAlign w:val="center"/>
            <w:hideMark/>
          </w:tcPr>
          <w:p w14:paraId="6AF09F2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100.84</w:t>
            </w:r>
          </w:p>
        </w:tc>
        <w:tc>
          <w:tcPr>
            <w:tcW w:w="850" w:type="dxa"/>
            <w:vAlign w:val="center"/>
            <w:hideMark/>
          </w:tcPr>
          <w:p w14:paraId="2C157AD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164674</w:t>
            </w:r>
          </w:p>
        </w:tc>
        <w:tc>
          <w:tcPr>
            <w:tcW w:w="760" w:type="dxa"/>
            <w:vAlign w:val="center"/>
            <w:hideMark/>
          </w:tcPr>
          <w:p w14:paraId="4F15AF3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88.49</w:t>
            </w:r>
          </w:p>
        </w:tc>
      </w:tr>
      <w:tr w:rsidR="00A855A5" w:rsidRPr="00A855A5" w14:paraId="74614178" w14:textId="77777777" w:rsidTr="00A855A5">
        <w:trPr>
          <w:trHeight w:val="20"/>
          <w:jc w:val="center"/>
        </w:trPr>
        <w:tc>
          <w:tcPr>
            <w:tcW w:w="376" w:type="dxa"/>
            <w:vAlign w:val="center"/>
            <w:hideMark/>
          </w:tcPr>
          <w:p w14:paraId="4252FF9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w:t>
            </w:r>
          </w:p>
        </w:tc>
        <w:tc>
          <w:tcPr>
            <w:tcW w:w="1320" w:type="dxa"/>
            <w:vAlign w:val="center"/>
            <w:hideMark/>
          </w:tcPr>
          <w:p w14:paraId="05249642"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Haryana</w:t>
            </w:r>
          </w:p>
        </w:tc>
        <w:tc>
          <w:tcPr>
            <w:tcW w:w="851" w:type="dxa"/>
            <w:vAlign w:val="center"/>
            <w:hideMark/>
          </w:tcPr>
          <w:p w14:paraId="67A5174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42430</w:t>
            </w:r>
          </w:p>
        </w:tc>
        <w:tc>
          <w:tcPr>
            <w:tcW w:w="709" w:type="dxa"/>
            <w:vAlign w:val="center"/>
            <w:hideMark/>
          </w:tcPr>
          <w:p w14:paraId="4379D1B5"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25262</w:t>
            </w:r>
          </w:p>
        </w:tc>
        <w:tc>
          <w:tcPr>
            <w:tcW w:w="708" w:type="dxa"/>
            <w:vAlign w:val="center"/>
            <w:hideMark/>
          </w:tcPr>
          <w:p w14:paraId="336EF65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13809</w:t>
            </w:r>
          </w:p>
        </w:tc>
        <w:tc>
          <w:tcPr>
            <w:tcW w:w="709" w:type="dxa"/>
            <w:vAlign w:val="center"/>
            <w:hideMark/>
          </w:tcPr>
          <w:p w14:paraId="42ECCBB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6096</w:t>
            </w:r>
          </w:p>
        </w:tc>
        <w:tc>
          <w:tcPr>
            <w:tcW w:w="709" w:type="dxa"/>
            <w:vAlign w:val="center"/>
            <w:hideMark/>
          </w:tcPr>
          <w:p w14:paraId="1150AF4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894</w:t>
            </w:r>
          </w:p>
        </w:tc>
        <w:tc>
          <w:tcPr>
            <w:tcW w:w="850" w:type="dxa"/>
            <w:vAlign w:val="center"/>
            <w:hideMark/>
          </w:tcPr>
          <w:p w14:paraId="5F60472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233</w:t>
            </w:r>
          </w:p>
        </w:tc>
        <w:tc>
          <w:tcPr>
            <w:tcW w:w="709" w:type="dxa"/>
            <w:vAlign w:val="center"/>
            <w:hideMark/>
          </w:tcPr>
          <w:p w14:paraId="0B96644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434</w:t>
            </w:r>
          </w:p>
        </w:tc>
        <w:tc>
          <w:tcPr>
            <w:tcW w:w="851" w:type="dxa"/>
            <w:vAlign w:val="center"/>
            <w:hideMark/>
          </w:tcPr>
          <w:p w14:paraId="2391F21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89157</w:t>
            </w:r>
          </w:p>
        </w:tc>
        <w:tc>
          <w:tcPr>
            <w:tcW w:w="850" w:type="dxa"/>
            <w:vAlign w:val="center"/>
            <w:hideMark/>
          </w:tcPr>
          <w:p w14:paraId="3100AD87"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85178</w:t>
            </w:r>
          </w:p>
        </w:tc>
        <w:tc>
          <w:tcPr>
            <w:tcW w:w="709" w:type="dxa"/>
            <w:vAlign w:val="center"/>
            <w:hideMark/>
          </w:tcPr>
          <w:p w14:paraId="020DD9B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95.54</w:t>
            </w:r>
          </w:p>
        </w:tc>
        <w:tc>
          <w:tcPr>
            <w:tcW w:w="850" w:type="dxa"/>
            <w:vAlign w:val="center"/>
            <w:hideMark/>
          </w:tcPr>
          <w:p w14:paraId="68668B8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86967</w:t>
            </w:r>
          </w:p>
        </w:tc>
        <w:tc>
          <w:tcPr>
            <w:tcW w:w="760" w:type="dxa"/>
            <w:vAlign w:val="center"/>
            <w:hideMark/>
          </w:tcPr>
          <w:p w14:paraId="4104E8B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97.54</w:t>
            </w:r>
          </w:p>
        </w:tc>
      </w:tr>
      <w:tr w:rsidR="00A855A5" w:rsidRPr="00A855A5" w14:paraId="74E17573" w14:textId="77777777" w:rsidTr="00A855A5">
        <w:trPr>
          <w:trHeight w:val="20"/>
          <w:jc w:val="center"/>
        </w:trPr>
        <w:tc>
          <w:tcPr>
            <w:tcW w:w="376" w:type="dxa"/>
            <w:vAlign w:val="center"/>
            <w:hideMark/>
          </w:tcPr>
          <w:p w14:paraId="52199C3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5</w:t>
            </w:r>
          </w:p>
        </w:tc>
        <w:tc>
          <w:tcPr>
            <w:tcW w:w="1320" w:type="dxa"/>
            <w:vAlign w:val="center"/>
            <w:hideMark/>
          </w:tcPr>
          <w:p w14:paraId="3B8BD5E8"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Karnataka</w:t>
            </w:r>
          </w:p>
        </w:tc>
        <w:tc>
          <w:tcPr>
            <w:tcW w:w="851" w:type="dxa"/>
            <w:vAlign w:val="center"/>
            <w:hideMark/>
          </w:tcPr>
          <w:p w14:paraId="7E9A07E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105658</w:t>
            </w:r>
          </w:p>
        </w:tc>
        <w:tc>
          <w:tcPr>
            <w:tcW w:w="709" w:type="dxa"/>
            <w:vAlign w:val="center"/>
            <w:hideMark/>
          </w:tcPr>
          <w:p w14:paraId="762D6AC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38906</w:t>
            </w:r>
          </w:p>
        </w:tc>
        <w:tc>
          <w:tcPr>
            <w:tcW w:w="708" w:type="dxa"/>
            <w:vAlign w:val="center"/>
            <w:hideMark/>
          </w:tcPr>
          <w:p w14:paraId="4767247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21650</w:t>
            </w:r>
          </w:p>
        </w:tc>
        <w:tc>
          <w:tcPr>
            <w:tcW w:w="709" w:type="dxa"/>
            <w:vAlign w:val="center"/>
            <w:hideMark/>
          </w:tcPr>
          <w:p w14:paraId="5AEFF6E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10197</w:t>
            </w:r>
          </w:p>
        </w:tc>
        <w:tc>
          <w:tcPr>
            <w:tcW w:w="709" w:type="dxa"/>
            <w:vAlign w:val="center"/>
            <w:hideMark/>
          </w:tcPr>
          <w:p w14:paraId="42DEC7F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5622</w:t>
            </w:r>
          </w:p>
        </w:tc>
        <w:tc>
          <w:tcPr>
            <w:tcW w:w="850" w:type="dxa"/>
            <w:vAlign w:val="center"/>
            <w:hideMark/>
          </w:tcPr>
          <w:p w14:paraId="77A936D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2143</w:t>
            </w:r>
          </w:p>
        </w:tc>
        <w:tc>
          <w:tcPr>
            <w:tcW w:w="709" w:type="dxa"/>
            <w:vAlign w:val="center"/>
            <w:hideMark/>
          </w:tcPr>
          <w:p w14:paraId="31AA1BE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3388</w:t>
            </w:r>
          </w:p>
        </w:tc>
        <w:tc>
          <w:tcPr>
            <w:tcW w:w="851" w:type="dxa"/>
            <w:vAlign w:val="center"/>
            <w:hideMark/>
          </w:tcPr>
          <w:p w14:paraId="65FDCE3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187564</w:t>
            </w:r>
          </w:p>
        </w:tc>
        <w:tc>
          <w:tcPr>
            <w:tcW w:w="850" w:type="dxa"/>
            <w:vAlign w:val="center"/>
            <w:hideMark/>
          </w:tcPr>
          <w:p w14:paraId="54DD685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182640</w:t>
            </w:r>
          </w:p>
        </w:tc>
        <w:tc>
          <w:tcPr>
            <w:tcW w:w="709" w:type="dxa"/>
            <w:vAlign w:val="center"/>
            <w:hideMark/>
          </w:tcPr>
          <w:p w14:paraId="4CF82F8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97.37</w:t>
            </w:r>
          </w:p>
        </w:tc>
        <w:tc>
          <w:tcPr>
            <w:tcW w:w="850" w:type="dxa"/>
            <w:vAlign w:val="center"/>
            <w:hideMark/>
          </w:tcPr>
          <w:p w14:paraId="68439BF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181045</w:t>
            </w:r>
          </w:p>
        </w:tc>
        <w:tc>
          <w:tcPr>
            <w:tcW w:w="760" w:type="dxa"/>
            <w:vAlign w:val="center"/>
            <w:hideMark/>
          </w:tcPr>
          <w:p w14:paraId="04C42C3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96.52</w:t>
            </w:r>
          </w:p>
        </w:tc>
      </w:tr>
      <w:tr w:rsidR="00A855A5" w:rsidRPr="00A855A5" w14:paraId="06F2DF51" w14:textId="77777777" w:rsidTr="00A855A5">
        <w:trPr>
          <w:trHeight w:val="20"/>
          <w:jc w:val="center"/>
        </w:trPr>
        <w:tc>
          <w:tcPr>
            <w:tcW w:w="376" w:type="dxa"/>
            <w:vAlign w:val="center"/>
            <w:hideMark/>
          </w:tcPr>
          <w:p w14:paraId="0863A87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w:t>
            </w:r>
          </w:p>
        </w:tc>
        <w:tc>
          <w:tcPr>
            <w:tcW w:w="1320" w:type="dxa"/>
            <w:vAlign w:val="center"/>
            <w:hideMark/>
          </w:tcPr>
          <w:p w14:paraId="72421E5D"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Kerala</w:t>
            </w:r>
          </w:p>
        </w:tc>
        <w:tc>
          <w:tcPr>
            <w:tcW w:w="851" w:type="dxa"/>
            <w:vAlign w:val="center"/>
            <w:hideMark/>
          </w:tcPr>
          <w:p w14:paraId="6D93C6C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76958</w:t>
            </w:r>
          </w:p>
        </w:tc>
        <w:tc>
          <w:tcPr>
            <w:tcW w:w="709" w:type="dxa"/>
            <w:vAlign w:val="center"/>
            <w:hideMark/>
          </w:tcPr>
          <w:p w14:paraId="593D96D5"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15991</w:t>
            </w:r>
          </w:p>
        </w:tc>
        <w:tc>
          <w:tcPr>
            <w:tcW w:w="708" w:type="dxa"/>
            <w:vAlign w:val="center"/>
            <w:hideMark/>
          </w:tcPr>
          <w:p w14:paraId="2AD061C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10891</w:t>
            </w:r>
          </w:p>
        </w:tc>
        <w:tc>
          <w:tcPr>
            <w:tcW w:w="709" w:type="dxa"/>
            <w:vAlign w:val="center"/>
            <w:hideMark/>
          </w:tcPr>
          <w:p w14:paraId="1744584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9264</w:t>
            </w:r>
          </w:p>
        </w:tc>
        <w:tc>
          <w:tcPr>
            <w:tcW w:w="709" w:type="dxa"/>
            <w:vAlign w:val="center"/>
            <w:hideMark/>
          </w:tcPr>
          <w:p w14:paraId="33FA6F3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w:t>
            </w:r>
          </w:p>
        </w:tc>
        <w:tc>
          <w:tcPr>
            <w:tcW w:w="850" w:type="dxa"/>
            <w:vAlign w:val="center"/>
            <w:hideMark/>
          </w:tcPr>
          <w:p w14:paraId="298A1E6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3865</w:t>
            </w:r>
          </w:p>
        </w:tc>
        <w:tc>
          <w:tcPr>
            <w:tcW w:w="709" w:type="dxa"/>
            <w:vAlign w:val="center"/>
            <w:hideMark/>
          </w:tcPr>
          <w:p w14:paraId="32BDF5F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313</w:t>
            </w:r>
          </w:p>
        </w:tc>
        <w:tc>
          <w:tcPr>
            <w:tcW w:w="851" w:type="dxa"/>
            <w:vAlign w:val="center"/>
            <w:hideMark/>
          </w:tcPr>
          <w:p w14:paraId="3C91F1A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117283</w:t>
            </w:r>
          </w:p>
        </w:tc>
        <w:tc>
          <w:tcPr>
            <w:tcW w:w="850" w:type="dxa"/>
            <w:vAlign w:val="center"/>
            <w:hideMark/>
          </w:tcPr>
          <w:p w14:paraId="45F157B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121929</w:t>
            </w:r>
          </w:p>
        </w:tc>
        <w:tc>
          <w:tcPr>
            <w:tcW w:w="709" w:type="dxa"/>
            <w:vAlign w:val="center"/>
            <w:hideMark/>
          </w:tcPr>
          <w:p w14:paraId="56BF91A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103.96</w:t>
            </w:r>
          </w:p>
        </w:tc>
        <w:tc>
          <w:tcPr>
            <w:tcW w:w="850" w:type="dxa"/>
            <w:vAlign w:val="center"/>
            <w:hideMark/>
          </w:tcPr>
          <w:p w14:paraId="0E42882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112936</w:t>
            </w:r>
          </w:p>
        </w:tc>
        <w:tc>
          <w:tcPr>
            <w:tcW w:w="760" w:type="dxa"/>
            <w:vAlign w:val="center"/>
            <w:hideMark/>
          </w:tcPr>
          <w:p w14:paraId="296E48F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96.29</w:t>
            </w:r>
          </w:p>
        </w:tc>
      </w:tr>
      <w:tr w:rsidR="00A855A5" w:rsidRPr="00A855A5" w14:paraId="5F7AA61E" w14:textId="77777777" w:rsidTr="00A855A5">
        <w:trPr>
          <w:trHeight w:val="20"/>
          <w:jc w:val="center"/>
        </w:trPr>
        <w:tc>
          <w:tcPr>
            <w:tcW w:w="376" w:type="dxa"/>
            <w:vAlign w:val="center"/>
            <w:hideMark/>
          </w:tcPr>
          <w:p w14:paraId="2E6DCBE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w:t>
            </w:r>
          </w:p>
        </w:tc>
        <w:tc>
          <w:tcPr>
            <w:tcW w:w="1320" w:type="dxa"/>
            <w:vAlign w:val="center"/>
            <w:hideMark/>
          </w:tcPr>
          <w:p w14:paraId="4533BCC6"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Madhya Pradesh</w:t>
            </w:r>
          </w:p>
        </w:tc>
        <w:tc>
          <w:tcPr>
            <w:tcW w:w="851" w:type="dxa"/>
            <w:vAlign w:val="center"/>
            <w:hideMark/>
          </w:tcPr>
          <w:p w14:paraId="6CDDD4B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70806</w:t>
            </w:r>
          </w:p>
        </w:tc>
        <w:tc>
          <w:tcPr>
            <w:tcW w:w="709" w:type="dxa"/>
            <w:vAlign w:val="center"/>
            <w:hideMark/>
          </w:tcPr>
          <w:p w14:paraId="15355F3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17606</w:t>
            </w:r>
          </w:p>
        </w:tc>
        <w:tc>
          <w:tcPr>
            <w:tcW w:w="708" w:type="dxa"/>
            <w:vAlign w:val="center"/>
            <w:hideMark/>
          </w:tcPr>
          <w:p w14:paraId="3B91D35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18241</w:t>
            </w:r>
          </w:p>
        </w:tc>
        <w:tc>
          <w:tcPr>
            <w:tcW w:w="709" w:type="dxa"/>
            <w:vAlign w:val="center"/>
            <w:hideMark/>
          </w:tcPr>
          <w:p w14:paraId="6466543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8572</w:t>
            </w:r>
          </w:p>
        </w:tc>
        <w:tc>
          <w:tcPr>
            <w:tcW w:w="709" w:type="dxa"/>
            <w:vAlign w:val="center"/>
            <w:hideMark/>
          </w:tcPr>
          <w:p w14:paraId="44BA0CD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3562</w:t>
            </w:r>
          </w:p>
        </w:tc>
        <w:tc>
          <w:tcPr>
            <w:tcW w:w="850" w:type="dxa"/>
            <w:vAlign w:val="center"/>
            <w:hideMark/>
          </w:tcPr>
          <w:p w14:paraId="308A55F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1553</w:t>
            </w:r>
          </w:p>
        </w:tc>
        <w:tc>
          <w:tcPr>
            <w:tcW w:w="709" w:type="dxa"/>
            <w:vAlign w:val="center"/>
            <w:hideMark/>
          </w:tcPr>
          <w:p w14:paraId="460FB1E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1481</w:t>
            </w:r>
          </w:p>
        </w:tc>
        <w:tc>
          <w:tcPr>
            <w:tcW w:w="851" w:type="dxa"/>
            <w:vAlign w:val="center"/>
            <w:hideMark/>
          </w:tcPr>
          <w:p w14:paraId="6327C87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121821</w:t>
            </w:r>
          </w:p>
        </w:tc>
        <w:tc>
          <w:tcPr>
            <w:tcW w:w="850" w:type="dxa"/>
            <w:vAlign w:val="center"/>
            <w:hideMark/>
          </w:tcPr>
          <w:p w14:paraId="0842AB9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119361</w:t>
            </w:r>
          </w:p>
        </w:tc>
        <w:tc>
          <w:tcPr>
            <w:tcW w:w="709" w:type="dxa"/>
            <w:vAlign w:val="center"/>
            <w:hideMark/>
          </w:tcPr>
          <w:p w14:paraId="00BD8D5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97.98</w:t>
            </w:r>
          </w:p>
        </w:tc>
        <w:tc>
          <w:tcPr>
            <w:tcW w:w="850" w:type="dxa"/>
            <w:vAlign w:val="center"/>
            <w:hideMark/>
          </w:tcPr>
          <w:p w14:paraId="02E3C8A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127520</w:t>
            </w:r>
          </w:p>
        </w:tc>
        <w:tc>
          <w:tcPr>
            <w:tcW w:w="760" w:type="dxa"/>
            <w:vAlign w:val="center"/>
            <w:hideMark/>
          </w:tcPr>
          <w:p w14:paraId="779663A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104.68</w:t>
            </w:r>
          </w:p>
        </w:tc>
      </w:tr>
      <w:tr w:rsidR="00A855A5" w:rsidRPr="00A855A5" w14:paraId="008713DD" w14:textId="77777777" w:rsidTr="00A855A5">
        <w:trPr>
          <w:trHeight w:val="20"/>
          <w:jc w:val="center"/>
        </w:trPr>
        <w:tc>
          <w:tcPr>
            <w:tcW w:w="376" w:type="dxa"/>
            <w:vAlign w:val="center"/>
            <w:hideMark/>
          </w:tcPr>
          <w:p w14:paraId="7F43BC5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w:t>
            </w:r>
          </w:p>
        </w:tc>
        <w:tc>
          <w:tcPr>
            <w:tcW w:w="1320" w:type="dxa"/>
            <w:vAlign w:val="center"/>
            <w:hideMark/>
          </w:tcPr>
          <w:p w14:paraId="649C4D16"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Maharashtra</w:t>
            </w:r>
          </w:p>
        </w:tc>
        <w:tc>
          <w:tcPr>
            <w:tcW w:w="851" w:type="dxa"/>
            <w:vAlign w:val="center"/>
            <w:hideMark/>
          </w:tcPr>
          <w:p w14:paraId="5B4620E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261532</w:t>
            </w:r>
          </w:p>
        </w:tc>
        <w:tc>
          <w:tcPr>
            <w:tcW w:w="709" w:type="dxa"/>
            <w:vAlign w:val="center"/>
            <w:hideMark/>
          </w:tcPr>
          <w:p w14:paraId="2C6A1F6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58961</w:t>
            </w:r>
          </w:p>
        </w:tc>
        <w:tc>
          <w:tcPr>
            <w:tcW w:w="708" w:type="dxa"/>
            <w:vAlign w:val="center"/>
            <w:hideMark/>
          </w:tcPr>
          <w:p w14:paraId="7E44980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26131</w:t>
            </w:r>
          </w:p>
        </w:tc>
        <w:tc>
          <w:tcPr>
            <w:tcW w:w="709" w:type="dxa"/>
            <w:vAlign w:val="center"/>
            <w:hideMark/>
          </w:tcPr>
          <w:p w14:paraId="288A037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14250</w:t>
            </w:r>
          </w:p>
        </w:tc>
        <w:tc>
          <w:tcPr>
            <w:tcW w:w="709" w:type="dxa"/>
            <w:vAlign w:val="center"/>
            <w:hideMark/>
          </w:tcPr>
          <w:p w14:paraId="51B2BBE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16997</w:t>
            </w:r>
          </w:p>
        </w:tc>
        <w:tc>
          <w:tcPr>
            <w:tcW w:w="850" w:type="dxa"/>
            <w:vAlign w:val="center"/>
            <w:hideMark/>
          </w:tcPr>
          <w:p w14:paraId="50E03D9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3600</w:t>
            </w:r>
          </w:p>
        </w:tc>
        <w:tc>
          <w:tcPr>
            <w:tcW w:w="709" w:type="dxa"/>
            <w:vAlign w:val="center"/>
            <w:hideMark/>
          </w:tcPr>
          <w:p w14:paraId="45A71F5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23333</w:t>
            </w:r>
          </w:p>
        </w:tc>
        <w:tc>
          <w:tcPr>
            <w:tcW w:w="851" w:type="dxa"/>
            <w:vAlign w:val="center"/>
            <w:hideMark/>
          </w:tcPr>
          <w:p w14:paraId="376B59B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404805</w:t>
            </w:r>
          </w:p>
        </w:tc>
        <w:tc>
          <w:tcPr>
            <w:tcW w:w="850" w:type="dxa"/>
            <w:vAlign w:val="center"/>
            <w:hideMark/>
          </w:tcPr>
          <w:p w14:paraId="2C5E02B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405917</w:t>
            </w:r>
          </w:p>
        </w:tc>
        <w:tc>
          <w:tcPr>
            <w:tcW w:w="709" w:type="dxa"/>
            <w:vAlign w:val="center"/>
            <w:hideMark/>
          </w:tcPr>
          <w:p w14:paraId="2D9B37F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100.27</w:t>
            </w:r>
          </w:p>
        </w:tc>
        <w:tc>
          <w:tcPr>
            <w:tcW w:w="850" w:type="dxa"/>
            <w:vAlign w:val="center"/>
            <w:hideMark/>
          </w:tcPr>
          <w:p w14:paraId="36BFDB5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377484</w:t>
            </w:r>
          </w:p>
        </w:tc>
        <w:tc>
          <w:tcPr>
            <w:tcW w:w="760" w:type="dxa"/>
            <w:vAlign w:val="center"/>
            <w:hideMark/>
          </w:tcPr>
          <w:p w14:paraId="794FAC0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93.25</w:t>
            </w:r>
          </w:p>
        </w:tc>
      </w:tr>
      <w:tr w:rsidR="00A855A5" w:rsidRPr="00A855A5" w14:paraId="0481DF5A" w14:textId="77777777" w:rsidTr="00A855A5">
        <w:trPr>
          <w:trHeight w:val="20"/>
          <w:jc w:val="center"/>
        </w:trPr>
        <w:tc>
          <w:tcPr>
            <w:tcW w:w="376" w:type="dxa"/>
            <w:vAlign w:val="center"/>
            <w:hideMark/>
          </w:tcPr>
          <w:p w14:paraId="5911A2E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w:t>
            </w:r>
          </w:p>
        </w:tc>
        <w:tc>
          <w:tcPr>
            <w:tcW w:w="1320" w:type="dxa"/>
            <w:vAlign w:val="center"/>
            <w:hideMark/>
          </w:tcPr>
          <w:p w14:paraId="14A28847"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Orissa</w:t>
            </w:r>
          </w:p>
        </w:tc>
        <w:tc>
          <w:tcPr>
            <w:tcW w:w="851" w:type="dxa"/>
            <w:vAlign w:val="center"/>
            <w:hideMark/>
          </w:tcPr>
          <w:p w14:paraId="3A52D85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30076</w:t>
            </w:r>
          </w:p>
        </w:tc>
        <w:tc>
          <w:tcPr>
            <w:tcW w:w="709" w:type="dxa"/>
            <w:vAlign w:val="center"/>
            <w:hideMark/>
          </w:tcPr>
          <w:p w14:paraId="1743806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3943</w:t>
            </w:r>
          </w:p>
        </w:tc>
        <w:tc>
          <w:tcPr>
            <w:tcW w:w="708" w:type="dxa"/>
            <w:vAlign w:val="center"/>
            <w:hideMark/>
          </w:tcPr>
          <w:p w14:paraId="13A23C6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4054</w:t>
            </w:r>
          </w:p>
        </w:tc>
        <w:tc>
          <w:tcPr>
            <w:tcW w:w="709" w:type="dxa"/>
            <w:vAlign w:val="center"/>
            <w:hideMark/>
          </w:tcPr>
          <w:p w14:paraId="51F4D3E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2469</w:t>
            </w:r>
          </w:p>
        </w:tc>
        <w:tc>
          <w:tcPr>
            <w:tcW w:w="709" w:type="dxa"/>
            <w:vAlign w:val="center"/>
            <w:hideMark/>
          </w:tcPr>
          <w:p w14:paraId="38710DA5"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888</w:t>
            </w:r>
          </w:p>
        </w:tc>
        <w:tc>
          <w:tcPr>
            <w:tcW w:w="850" w:type="dxa"/>
            <w:vAlign w:val="center"/>
            <w:hideMark/>
          </w:tcPr>
          <w:p w14:paraId="6425418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943</w:t>
            </w:r>
          </w:p>
        </w:tc>
        <w:tc>
          <w:tcPr>
            <w:tcW w:w="709" w:type="dxa"/>
            <w:vAlign w:val="center"/>
            <w:hideMark/>
          </w:tcPr>
          <w:p w14:paraId="045039B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0</w:t>
            </w:r>
          </w:p>
        </w:tc>
        <w:tc>
          <w:tcPr>
            <w:tcW w:w="851" w:type="dxa"/>
            <w:vAlign w:val="center"/>
            <w:hideMark/>
          </w:tcPr>
          <w:p w14:paraId="14C3724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42373</w:t>
            </w:r>
          </w:p>
        </w:tc>
        <w:tc>
          <w:tcPr>
            <w:tcW w:w="850" w:type="dxa"/>
            <w:vAlign w:val="center"/>
            <w:hideMark/>
          </w:tcPr>
          <w:p w14:paraId="2904FD1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39952</w:t>
            </w:r>
          </w:p>
        </w:tc>
        <w:tc>
          <w:tcPr>
            <w:tcW w:w="709" w:type="dxa"/>
            <w:vAlign w:val="center"/>
            <w:hideMark/>
          </w:tcPr>
          <w:p w14:paraId="3F6E44A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94.29</w:t>
            </w:r>
          </w:p>
        </w:tc>
        <w:tc>
          <w:tcPr>
            <w:tcW w:w="850" w:type="dxa"/>
            <w:vAlign w:val="center"/>
            <w:hideMark/>
          </w:tcPr>
          <w:p w14:paraId="044BB63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43666</w:t>
            </w:r>
          </w:p>
        </w:tc>
        <w:tc>
          <w:tcPr>
            <w:tcW w:w="760" w:type="dxa"/>
            <w:vAlign w:val="center"/>
            <w:hideMark/>
          </w:tcPr>
          <w:p w14:paraId="6799709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103.05</w:t>
            </w:r>
          </w:p>
        </w:tc>
      </w:tr>
      <w:tr w:rsidR="00A855A5" w:rsidRPr="00A855A5" w14:paraId="3CEF8B4D" w14:textId="77777777" w:rsidTr="00A855A5">
        <w:trPr>
          <w:trHeight w:val="20"/>
          <w:jc w:val="center"/>
        </w:trPr>
        <w:tc>
          <w:tcPr>
            <w:tcW w:w="376" w:type="dxa"/>
            <w:vAlign w:val="center"/>
            <w:hideMark/>
          </w:tcPr>
          <w:p w14:paraId="0562288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w:t>
            </w:r>
          </w:p>
        </w:tc>
        <w:tc>
          <w:tcPr>
            <w:tcW w:w="1320" w:type="dxa"/>
            <w:vAlign w:val="center"/>
            <w:hideMark/>
          </w:tcPr>
          <w:p w14:paraId="21B9C306"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Punjab</w:t>
            </w:r>
          </w:p>
        </w:tc>
        <w:tc>
          <w:tcPr>
            <w:tcW w:w="851" w:type="dxa"/>
            <w:vAlign w:val="center"/>
            <w:hideMark/>
          </w:tcPr>
          <w:p w14:paraId="6E7B79F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59173</w:t>
            </w:r>
          </w:p>
        </w:tc>
        <w:tc>
          <w:tcPr>
            <w:tcW w:w="709" w:type="dxa"/>
            <w:vAlign w:val="center"/>
            <w:hideMark/>
          </w:tcPr>
          <w:p w14:paraId="12021EA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36959</w:t>
            </w:r>
          </w:p>
        </w:tc>
        <w:tc>
          <w:tcPr>
            <w:tcW w:w="708" w:type="dxa"/>
            <w:vAlign w:val="center"/>
            <w:hideMark/>
          </w:tcPr>
          <w:p w14:paraId="765F535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11869</w:t>
            </w:r>
          </w:p>
        </w:tc>
        <w:tc>
          <w:tcPr>
            <w:tcW w:w="709" w:type="dxa"/>
            <w:vAlign w:val="center"/>
            <w:hideMark/>
          </w:tcPr>
          <w:p w14:paraId="420E47C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9468</w:t>
            </w:r>
          </w:p>
        </w:tc>
        <w:tc>
          <w:tcPr>
            <w:tcW w:w="709" w:type="dxa"/>
            <w:vAlign w:val="center"/>
            <w:hideMark/>
          </w:tcPr>
          <w:p w14:paraId="38E4058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2006</w:t>
            </w:r>
          </w:p>
        </w:tc>
        <w:tc>
          <w:tcPr>
            <w:tcW w:w="850" w:type="dxa"/>
            <w:vAlign w:val="center"/>
            <w:hideMark/>
          </w:tcPr>
          <w:p w14:paraId="1EB56915"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351</w:t>
            </w:r>
          </w:p>
        </w:tc>
        <w:tc>
          <w:tcPr>
            <w:tcW w:w="709" w:type="dxa"/>
            <w:vAlign w:val="center"/>
            <w:hideMark/>
          </w:tcPr>
          <w:p w14:paraId="308D1E5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926</w:t>
            </w:r>
          </w:p>
        </w:tc>
        <w:tc>
          <w:tcPr>
            <w:tcW w:w="851" w:type="dxa"/>
            <w:vAlign w:val="center"/>
            <w:hideMark/>
          </w:tcPr>
          <w:p w14:paraId="30D12BD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120752</w:t>
            </w:r>
          </w:p>
        </w:tc>
        <w:tc>
          <w:tcPr>
            <w:tcW w:w="850" w:type="dxa"/>
            <w:vAlign w:val="center"/>
            <w:hideMark/>
          </w:tcPr>
          <w:p w14:paraId="638CDC0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113735</w:t>
            </w:r>
          </w:p>
        </w:tc>
        <w:tc>
          <w:tcPr>
            <w:tcW w:w="709" w:type="dxa"/>
            <w:vAlign w:val="center"/>
            <w:hideMark/>
          </w:tcPr>
          <w:p w14:paraId="2DE3015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94.19</w:t>
            </w:r>
          </w:p>
        </w:tc>
        <w:tc>
          <w:tcPr>
            <w:tcW w:w="850" w:type="dxa"/>
            <w:vAlign w:val="center"/>
            <w:hideMark/>
          </w:tcPr>
          <w:p w14:paraId="78B6606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117436</w:t>
            </w:r>
          </w:p>
        </w:tc>
        <w:tc>
          <w:tcPr>
            <w:tcW w:w="760" w:type="dxa"/>
            <w:vAlign w:val="center"/>
            <w:hideMark/>
          </w:tcPr>
          <w:p w14:paraId="079D69C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97.25</w:t>
            </w:r>
          </w:p>
        </w:tc>
      </w:tr>
      <w:tr w:rsidR="00A855A5" w:rsidRPr="00A855A5" w14:paraId="1FBBB300" w14:textId="77777777" w:rsidTr="00A855A5">
        <w:trPr>
          <w:trHeight w:val="20"/>
          <w:jc w:val="center"/>
        </w:trPr>
        <w:tc>
          <w:tcPr>
            <w:tcW w:w="376" w:type="dxa"/>
            <w:vAlign w:val="center"/>
            <w:hideMark/>
          </w:tcPr>
          <w:p w14:paraId="4CBFCF8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w:t>
            </w:r>
          </w:p>
        </w:tc>
        <w:tc>
          <w:tcPr>
            <w:tcW w:w="1320" w:type="dxa"/>
            <w:vAlign w:val="center"/>
            <w:hideMark/>
          </w:tcPr>
          <w:p w14:paraId="758A5878"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Rajasthan</w:t>
            </w:r>
          </w:p>
        </w:tc>
        <w:tc>
          <w:tcPr>
            <w:tcW w:w="851" w:type="dxa"/>
            <w:vAlign w:val="center"/>
            <w:hideMark/>
          </w:tcPr>
          <w:p w14:paraId="5770E44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55530</w:t>
            </w:r>
          </w:p>
        </w:tc>
        <w:tc>
          <w:tcPr>
            <w:tcW w:w="709" w:type="dxa"/>
            <w:vAlign w:val="center"/>
            <w:hideMark/>
          </w:tcPr>
          <w:p w14:paraId="20F2A58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12159</w:t>
            </w:r>
          </w:p>
        </w:tc>
        <w:tc>
          <w:tcPr>
            <w:tcW w:w="708" w:type="dxa"/>
            <w:vAlign w:val="center"/>
            <w:hideMark/>
          </w:tcPr>
          <w:p w14:paraId="17C5F4A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11693</w:t>
            </w:r>
          </w:p>
        </w:tc>
        <w:tc>
          <w:tcPr>
            <w:tcW w:w="709" w:type="dxa"/>
            <w:vAlign w:val="center"/>
            <w:hideMark/>
          </w:tcPr>
          <w:p w14:paraId="2048849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4883</w:t>
            </w:r>
          </w:p>
        </w:tc>
        <w:tc>
          <w:tcPr>
            <w:tcW w:w="709" w:type="dxa"/>
            <w:vAlign w:val="center"/>
            <w:hideMark/>
          </w:tcPr>
          <w:p w14:paraId="191446D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1510</w:t>
            </w:r>
          </w:p>
        </w:tc>
        <w:tc>
          <w:tcPr>
            <w:tcW w:w="850" w:type="dxa"/>
            <w:vAlign w:val="center"/>
            <w:hideMark/>
          </w:tcPr>
          <w:p w14:paraId="39EF5F3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2453</w:t>
            </w:r>
          </w:p>
        </w:tc>
        <w:tc>
          <w:tcPr>
            <w:tcW w:w="709" w:type="dxa"/>
            <w:vAlign w:val="center"/>
            <w:hideMark/>
          </w:tcPr>
          <w:p w14:paraId="2F25373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398</w:t>
            </w:r>
          </w:p>
        </w:tc>
        <w:tc>
          <w:tcPr>
            <w:tcW w:w="851" w:type="dxa"/>
            <w:vAlign w:val="center"/>
            <w:hideMark/>
          </w:tcPr>
          <w:p w14:paraId="41C34E0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88625</w:t>
            </w:r>
          </w:p>
        </w:tc>
        <w:tc>
          <w:tcPr>
            <w:tcW w:w="850" w:type="dxa"/>
            <w:vAlign w:val="center"/>
            <w:hideMark/>
          </w:tcPr>
          <w:p w14:paraId="7C96679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100293</w:t>
            </w:r>
          </w:p>
        </w:tc>
        <w:tc>
          <w:tcPr>
            <w:tcW w:w="709" w:type="dxa"/>
            <w:vAlign w:val="center"/>
            <w:hideMark/>
          </w:tcPr>
          <w:p w14:paraId="311028E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113.17</w:t>
            </w:r>
          </w:p>
        </w:tc>
        <w:tc>
          <w:tcPr>
            <w:tcW w:w="850" w:type="dxa"/>
            <w:vAlign w:val="center"/>
            <w:hideMark/>
          </w:tcPr>
          <w:p w14:paraId="53FCF55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96317</w:t>
            </w:r>
          </w:p>
        </w:tc>
        <w:tc>
          <w:tcPr>
            <w:tcW w:w="760" w:type="dxa"/>
            <w:vAlign w:val="center"/>
            <w:hideMark/>
          </w:tcPr>
          <w:p w14:paraId="2A5BD30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108.68</w:t>
            </w:r>
          </w:p>
        </w:tc>
      </w:tr>
      <w:tr w:rsidR="00A855A5" w:rsidRPr="00A855A5" w14:paraId="78F3B115" w14:textId="77777777" w:rsidTr="00A855A5">
        <w:trPr>
          <w:trHeight w:val="20"/>
          <w:jc w:val="center"/>
        </w:trPr>
        <w:tc>
          <w:tcPr>
            <w:tcW w:w="376" w:type="dxa"/>
            <w:vAlign w:val="center"/>
            <w:hideMark/>
          </w:tcPr>
          <w:p w14:paraId="7ECEB95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w:t>
            </w:r>
          </w:p>
        </w:tc>
        <w:tc>
          <w:tcPr>
            <w:tcW w:w="1320" w:type="dxa"/>
            <w:vAlign w:val="center"/>
            <w:hideMark/>
          </w:tcPr>
          <w:p w14:paraId="5BA98DEE"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Tamil Nadu</w:t>
            </w:r>
          </w:p>
        </w:tc>
        <w:tc>
          <w:tcPr>
            <w:tcW w:w="851" w:type="dxa"/>
            <w:vAlign w:val="center"/>
            <w:hideMark/>
          </w:tcPr>
          <w:p w14:paraId="12B6D46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181611</w:t>
            </w:r>
          </w:p>
        </w:tc>
        <w:tc>
          <w:tcPr>
            <w:tcW w:w="709" w:type="dxa"/>
            <w:vAlign w:val="center"/>
            <w:hideMark/>
          </w:tcPr>
          <w:p w14:paraId="0AFE5CD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23289</w:t>
            </w:r>
          </w:p>
        </w:tc>
        <w:tc>
          <w:tcPr>
            <w:tcW w:w="708" w:type="dxa"/>
            <w:vAlign w:val="center"/>
            <w:hideMark/>
          </w:tcPr>
          <w:p w14:paraId="5B3B6DA7"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21877</w:t>
            </w:r>
          </w:p>
        </w:tc>
        <w:tc>
          <w:tcPr>
            <w:tcW w:w="709" w:type="dxa"/>
            <w:vAlign w:val="center"/>
            <w:hideMark/>
          </w:tcPr>
          <w:p w14:paraId="11EA948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14672</w:t>
            </w:r>
          </w:p>
        </w:tc>
        <w:tc>
          <w:tcPr>
            <w:tcW w:w="709" w:type="dxa"/>
            <w:vAlign w:val="center"/>
            <w:hideMark/>
          </w:tcPr>
          <w:p w14:paraId="6F51F33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7358</w:t>
            </w:r>
          </w:p>
        </w:tc>
        <w:tc>
          <w:tcPr>
            <w:tcW w:w="850" w:type="dxa"/>
            <w:vAlign w:val="center"/>
            <w:hideMark/>
          </w:tcPr>
          <w:p w14:paraId="35EC407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3815</w:t>
            </w:r>
          </w:p>
        </w:tc>
        <w:tc>
          <w:tcPr>
            <w:tcW w:w="709" w:type="dxa"/>
            <w:vAlign w:val="center"/>
            <w:hideMark/>
          </w:tcPr>
          <w:p w14:paraId="4372447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8963</w:t>
            </w:r>
          </w:p>
        </w:tc>
        <w:tc>
          <w:tcPr>
            <w:tcW w:w="851" w:type="dxa"/>
            <w:vAlign w:val="center"/>
            <w:hideMark/>
          </w:tcPr>
          <w:p w14:paraId="11BA43C8"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261584</w:t>
            </w:r>
          </w:p>
        </w:tc>
        <w:tc>
          <w:tcPr>
            <w:tcW w:w="850" w:type="dxa"/>
            <w:vAlign w:val="center"/>
            <w:hideMark/>
          </w:tcPr>
          <w:p w14:paraId="31C7175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243039</w:t>
            </w:r>
          </w:p>
        </w:tc>
        <w:tc>
          <w:tcPr>
            <w:tcW w:w="709" w:type="dxa"/>
            <w:vAlign w:val="center"/>
            <w:hideMark/>
          </w:tcPr>
          <w:p w14:paraId="3DD81E1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92.91</w:t>
            </w:r>
          </w:p>
        </w:tc>
        <w:tc>
          <w:tcPr>
            <w:tcW w:w="850" w:type="dxa"/>
            <w:vAlign w:val="center"/>
            <w:hideMark/>
          </w:tcPr>
          <w:p w14:paraId="2707CB0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233802</w:t>
            </w:r>
          </w:p>
        </w:tc>
        <w:tc>
          <w:tcPr>
            <w:tcW w:w="760" w:type="dxa"/>
            <w:vAlign w:val="center"/>
            <w:hideMark/>
          </w:tcPr>
          <w:p w14:paraId="7105720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89.38</w:t>
            </w:r>
          </w:p>
        </w:tc>
      </w:tr>
      <w:tr w:rsidR="00A855A5" w:rsidRPr="00A855A5" w14:paraId="5356161D" w14:textId="77777777" w:rsidTr="00A855A5">
        <w:trPr>
          <w:trHeight w:val="20"/>
          <w:jc w:val="center"/>
        </w:trPr>
        <w:tc>
          <w:tcPr>
            <w:tcW w:w="376" w:type="dxa"/>
            <w:vAlign w:val="center"/>
            <w:hideMark/>
          </w:tcPr>
          <w:p w14:paraId="37DD644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13</w:t>
            </w:r>
          </w:p>
        </w:tc>
        <w:tc>
          <w:tcPr>
            <w:tcW w:w="1320" w:type="dxa"/>
            <w:vAlign w:val="center"/>
            <w:hideMark/>
          </w:tcPr>
          <w:p w14:paraId="435D8037"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Uttar Pradesh</w:t>
            </w:r>
          </w:p>
        </w:tc>
        <w:tc>
          <w:tcPr>
            <w:tcW w:w="851" w:type="dxa"/>
            <w:vAlign w:val="center"/>
            <w:hideMark/>
          </w:tcPr>
          <w:p w14:paraId="750C983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127731</w:t>
            </w:r>
          </w:p>
        </w:tc>
        <w:tc>
          <w:tcPr>
            <w:tcW w:w="709" w:type="dxa"/>
            <w:vAlign w:val="center"/>
            <w:hideMark/>
          </w:tcPr>
          <w:p w14:paraId="7F37845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30010</w:t>
            </w:r>
          </w:p>
        </w:tc>
        <w:tc>
          <w:tcPr>
            <w:tcW w:w="708" w:type="dxa"/>
            <w:vAlign w:val="center"/>
            <w:hideMark/>
          </w:tcPr>
          <w:p w14:paraId="0FDBDC4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24272</w:t>
            </w:r>
          </w:p>
        </w:tc>
        <w:tc>
          <w:tcPr>
            <w:tcW w:w="709" w:type="dxa"/>
            <w:vAlign w:val="center"/>
            <w:hideMark/>
          </w:tcPr>
          <w:p w14:paraId="009EB3A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23799</w:t>
            </w:r>
          </w:p>
        </w:tc>
        <w:tc>
          <w:tcPr>
            <w:tcW w:w="709" w:type="dxa"/>
            <w:vAlign w:val="center"/>
            <w:hideMark/>
          </w:tcPr>
          <w:p w14:paraId="635F3DB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6937</w:t>
            </w:r>
          </w:p>
        </w:tc>
        <w:tc>
          <w:tcPr>
            <w:tcW w:w="850" w:type="dxa"/>
            <w:vAlign w:val="center"/>
            <w:hideMark/>
          </w:tcPr>
          <w:p w14:paraId="57D0C30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2948</w:t>
            </w:r>
          </w:p>
        </w:tc>
        <w:tc>
          <w:tcPr>
            <w:tcW w:w="709" w:type="dxa"/>
            <w:vAlign w:val="center"/>
            <w:hideMark/>
          </w:tcPr>
          <w:p w14:paraId="7ED76F8F"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13</w:t>
            </w:r>
          </w:p>
        </w:tc>
        <w:tc>
          <w:tcPr>
            <w:tcW w:w="851" w:type="dxa"/>
            <w:vAlign w:val="center"/>
            <w:hideMark/>
          </w:tcPr>
          <w:p w14:paraId="29DFB6B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215710</w:t>
            </w:r>
          </w:p>
        </w:tc>
        <w:tc>
          <w:tcPr>
            <w:tcW w:w="850" w:type="dxa"/>
            <w:vAlign w:val="center"/>
            <w:hideMark/>
          </w:tcPr>
          <w:p w14:paraId="067238D2"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255225</w:t>
            </w:r>
          </w:p>
        </w:tc>
        <w:tc>
          <w:tcPr>
            <w:tcW w:w="709" w:type="dxa"/>
            <w:vAlign w:val="center"/>
            <w:hideMark/>
          </w:tcPr>
          <w:p w14:paraId="66FA80B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118.32</w:t>
            </w:r>
          </w:p>
        </w:tc>
        <w:tc>
          <w:tcPr>
            <w:tcW w:w="850" w:type="dxa"/>
            <w:vAlign w:val="center"/>
            <w:hideMark/>
          </w:tcPr>
          <w:p w14:paraId="3327ED2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216629</w:t>
            </w:r>
          </w:p>
        </w:tc>
        <w:tc>
          <w:tcPr>
            <w:tcW w:w="760" w:type="dxa"/>
            <w:vAlign w:val="center"/>
            <w:hideMark/>
          </w:tcPr>
          <w:p w14:paraId="1DC2C040"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100.43</w:t>
            </w:r>
          </w:p>
        </w:tc>
      </w:tr>
      <w:tr w:rsidR="00A855A5" w:rsidRPr="00A855A5" w14:paraId="3D8EBEBA" w14:textId="77777777" w:rsidTr="00A855A5">
        <w:trPr>
          <w:trHeight w:val="20"/>
          <w:jc w:val="center"/>
        </w:trPr>
        <w:tc>
          <w:tcPr>
            <w:tcW w:w="376" w:type="dxa"/>
            <w:vAlign w:val="center"/>
            <w:hideMark/>
          </w:tcPr>
          <w:p w14:paraId="289B3F9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14</w:t>
            </w:r>
          </w:p>
        </w:tc>
        <w:tc>
          <w:tcPr>
            <w:tcW w:w="1320" w:type="dxa"/>
            <w:vAlign w:val="center"/>
            <w:hideMark/>
          </w:tcPr>
          <w:p w14:paraId="66E32A4B" w14:textId="77777777" w:rsidR="00294D85" w:rsidRPr="00A855A5" w:rsidRDefault="00294D85" w:rsidP="00675F76">
            <w:pPr>
              <w:pStyle w:val="NoSpacing"/>
              <w:rPr>
                <w:rFonts w:ascii="Times New Roman" w:hAnsi="Times New Roman" w:cs="Times New Roman"/>
                <w:sz w:val="16"/>
                <w:szCs w:val="16"/>
              </w:rPr>
            </w:pPr>
            <w:r w:rsidRPr="00A855A5">
              <w:rPr>
                <w:rFonts w:ascii="Times New Roman" w:hAnsi="Times New Roman" w:cs="Times New Roman"/>
                <w:sz w:val="16"/>
                <w:szCs w:val="16"/>
              </w:rPr>
              <w:t>West Bengal</w:t>
            </w:r>
          </w:p>
        </w:tc>
        <w:tc>
          <w:tcPr>
            <w:tcW w:w="851" w:type="dxa"/>
            <w:vAlign w:val="center"/>
            <w:hideMark/>
          </w:tcPr>
          <w:p w14:paraId="33DA600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112357</w:t>
            </w:r>
          </w:p>
        </w:tc>
        <w:tc>
          <w:tcPr>
            <w:tcW w:w="709" w:type="dxa"/>
            <w:vAlign w:val="center"/>
            <w:hideMark/>
          </w:tcPr>
          <w:p w14:paraId="5BA3C6A3"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16300</w:t>
            </w:r>
          </w:p>
        </w:tc>
        <w:tc>
          <w:tcPr>
            <w:tcW w:w="708" w:type="dxa"/>
            <w:vAlign w:val="center"/>
            <w:hideMark/>
          </w:tcPr>
          <w:p w14:paraId="350834FB"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17939</w:t>
            </w:r>
          </w:p>
        </w:tc>
        <w:tc>
          <w:tcPr>
            <w:tcW w:w="709" w:type="dxa"/>
            <w:vAlign w:val="center"/>
            <w:hideMark/>
          </w:tcPr>
          <w:p w14:paraId="16E54BE4"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10511</w:t>
            </w:r>
          </w:p>
        </w:tc>
        <w:tc>
          <w:tcPr>
            <w:tcW w:w="709" w:type="dxa"/>
            <w:vAlign w:val="center"/>
            <w:hideMark/>
          </w:tcPr>
          <w:p w14:paraId="759D20F9"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7096</w:t>
            </w:r>
          </w:p>
        </w:tc>
        <w:tc>
          <w:tcPr>
            <w:tcW w:w="850" w:type="dxa"/>
            <w:vAlign w:val="center"/>
            <w:hideMark/>
          </w:tcPr>
          <w:p w14:paraId="2806E4AC"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1829</w:t>
            </w:r>
          </w:p>
        </w:tc>
        <w:tc>
          <w:tcPr>
            <w:tcW w:w="709" w:type="dxa"/>
            <w:vAlign w:val="center"/>
            <w:hideMark/>
          </w:tcPr>
          <w:p w14:paraId="2B7F69D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6957</w:t>
            </w:r>
          </w:p>
        </w:tc>
        <w:tc>
          <w:tcPr>
            <w:tcW w:w="851" w:type="dxa"/>
            <w:vAlign w:val="center"/>
            <w:hideMark/>
          </w:tcPr>
          <w:p w14:paraId="520BF7EE"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172989</w:t>
            </w:r>
          </w:p>
        </w:tc>
        <w:tc>
          <w:tcPr>
            <w:tcW w:w="850" w:type="dxa"/>
            <w:vAlign w:val="center"/>
            <w:hideMark/>
          </w:tcPr>
          <w:p w14:paraId="3033405A"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154309</w:t>
            </w:r>
          </w:p>
        </w:tc>
        <w:tc>
          <w:tcPr>
            <w:tcW w:w="709" w:type="dxa"/>
            <w:vAlign w:val="center"/>
            <w:hideMark/>
          </w:tcPr>
          <w:p w14:paraId="39387CD6"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89.20</w:t>
            </w:r>
          </w:p>
        </w:tc>
        <w:tc>
          <w:tcPr>
            <w:tcW w:w="850" w:type="dxa"/>
            <w:vAlign w:val="center"/>
            <w:hideMark/>
          </w:tcPr>
          <w:p w14:paraId="4719E3CD"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198112</w:t>
            </w:r>
          </w:p>
        </w:tc>
        <w:tc>
          <w:tcPr>
            <w:tcW w:w="760" w:type="dxa"/>
            <w:vAlign w:val="center"/>
            <w:hideMark/>
          </w:tcPr>
          <w:p w14:paraId="474502F1" w14:textId="77777777" w:rsidR="00294D85" w:rsidRPr="00A855A5" w:rsidRDefault="00294D85" w:rsidP="00675F76">
            <w:pPr>
              <w:pStyle w:val="NoSpacing"/>
              <w:jc w:val="center"/>
              <w:rPr>
                <w:rFonts w:ascii="Times New Roman" w:hAnsi="Times New Roman" w:cs="Times New Roman"/>
                <w:sz w:val="16"/>
                <w:szCs w:val="16"/>
              </w:rPr>
            </w:pPr>
            <w:r w:rsidRPr="00A855A5">
              <w:rPr>
                <w:rFonts w:ascii="Times New Roman" w:hAnsi="Times New Roman" w:cs="Times New Roman"/>
                <w:sz w:val="16"/>
                <w:szCs w:val="16"/>
              </w:rPr>
              <w:t>114.52</w:t>
            </w:r>
          </w:p>
        </w:tc>
      </w:tr>
      <w:tr w:rsidR="00A855A5" w:rsidRPr="00A855A5" w14:paraId="4D58CB26" w14:textId="77777777" w:rsidTr="00DC2AAC">
        <w:trPr>
          <w:trHeight w:val="20"/>
          <w:jc w:val="center"/>
        </w:trPr>
        <w:tc>
          <w:tcPr>
            <w:tcW w:w="1696" w:type="dxa"/>
            <w:gridSpan w:val="2"/>
            <w:vAlign w:val="center"/>
            <w:hideMark/>
          </w:tcPr>
          <w:p w14:paraId="7E6648ED" w14:textId="77777777" w:rsidR="00A855A5" w:rsidRPr="00A855A5" w:rsidRDefault="00A855A5" w:rsidP="00675F76">
            <w:pPr>
              <w:pStyle w:val="NoSpacing"/>
              <w:rPr>
                <w:rFonts w:ascii="Times New Roman" w:hAnsi="Times New Roman" w:cs="Times New Roman"/>
                <w:sz w:val="16"/>
                <w:szCs w:val="16"/>
              </w:rPr>
            </w:pPr>
            <w:r w:rsidRPr="00A855A5">
              <w:rPr>
                <w:rFonts w:ascii="Times New Roman" w:hAnsi="Times New Roman" w:cs="Times New Roman"/>
                <w:b/>
                <w:bCs/>
                <w:sz w:val="16"/>
                <w:szCs w:val="16"/>
              </w:rPr>
              <w:t>14 Major States</w:t>
            </w:r>
          </w:p>
        </w:tc>
        <w:tc>
          <w:tcPr>
            <w:tcW w:w="851" w:type="dxa"/>
            <w:vAlign w:val="center"/>
            <w:hideMark/>
          </w:tcPr>
          <w:p w14:paraId="350896A6"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1442417</w:t>
            </w:r>
          </w:p>
        </w:tc>
        <w:tc>
          <w:tcPr>
            <w:tcW w:w="709" w:type="dxa"/>
            <w:vAlign w:val="center"/>
            <w:hideMark/>
          </w:tcPr>
          <w:p w14:paraId="25881D2C"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356723</w:t>
            </w:r>
          </w:p>
        </w:tc>
        <w:tc>
          <w:tcPr>
            <w:tcW w:w="708" w:type="dxa"/>
            <w:vAlign w:val="center"/>
            <w:hideMark/>
          </w:tcPr>
          <w:p w14:paraId="71D3E3AB"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229452</w:t>
            </w:r>
          </w:p>
        </w:tc>
        <w:tc>
          <w:tcPr>
            <w:tcW w:w="709" w:type="dxa"/>
            <w:vAlign w:val="center"/>
            <w:hideMark/>
          </w:tcPr>
          <w:p w14:paraId="68D20A49"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138977</w:t>
            </w:r>
          </w:p>
        </w:tc>
        <w:tc>
          <w:tcPr>
            <w:tcW w:w="709" w:type="dxa"/>
            <w:vAlign w:val="center"/>
            <w:hideMark/>
          </w:tcPr>
          <w:p w14:paraId="5CE17366"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66457</w:t>
            </w:r>
          </w:p>
        </w:tc>
        <w:tc>
          <w:tcPr>
            <w:tcW w:w="850" w:type="dxa"/>
            <w:vAlign w:val="center"/>
            <w:hideMark/>
          </w:tcPr>
          <w:p w14:paraId="50150AF0"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30277</w:t>
            </w:r>
          </w:p>
        </w:tc>
        <w:tc>
          <w:tcPr>
            <w:tcW w:w="709" w:type="dxa"/>
            <w:vAlign w:val="center"/>
            <w:hideMark/>
          </w:tcPr>
          <w:p w14:paraId="52516ED4"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69800</w:t>
            </w:r>
          </w:p>
        </w:tc>
        <w:tc>
          <w:tcPr>
            <w:tcW w:w="851" w:type="dxa"/>
            <w:vAlign w:val="center"/>
            <w:hideMark/>
          </w:tcPr>
          <w:p w14:paraId="1915AC76"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2334103</w:t>
            </w:r>
          </w:p>
        </w:tc>
        <w:tc>
          <w:tcPr>
            <w:tcW w:w="850" w:type="dxa"/>
            <w:vAlign w:val="center"/>
            <w:hideMark/>
          </w:tcPr>
          <w:p w14:paraId="6F85DE7D"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2343421</w:t>
            </w:r>
          </w:p>
        </w:tc>
        <w:tc>
          <w:tcPr>
            <w:tcW w:w="709" w:type="dxa"/>
            <w:vAlign w:val="center"/>
            <w:hideMark/>
          </w:tcPr>
          <w:p w14:paraId="7DB56761"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100.40</w:t>
            </w:r>
          </w:p>
        </w:tc>
        <w:tc>
          <w:tcPr>
            <w:tcW w:w="850" w:type="dxa"/>
            <w:vAlign w:val="center"/>
            <w:hideMark/>
          </w:tcPr>
          <w:p w14:paraId="334BEBC0"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2286255</w:t>
            </w:r>
          </w:p>
        </w:tc>
        <w:tc>
          <w:tcPr>
            <w:tcW w:w="760" w:type="dxa"/>
            <w:vAlign w:val="center"/>
            <w:hideMark/>
          </w:tcPr>
          <w:p w14:paraId="029FF3CE" w14:textId="77777777" w:rsidR="00A855A5" w:rsidRPr="00A855A5" w:rsidRDefault="00A855A5" w:rsidP="00675F76">
            <w:pPr>
              <w:pStyle w:val="NoSpacing"/>
              <w:jc w:val="center"/>
              <w:rPr>
                <w:rFonts w:ascii="Times New Roman" w:hAnsi="Times New Roman" w:cs="Times New Roman"/>
                <w:sz w:val="16"/>
                <w:szCs w:val="16"/>
              </w:rPr>
            </w:pPr>
            <w:r w:rsidRPr="00A855A5">
              <w:rPr>
                <w:rFonts w:ascii="Times New Roman" w:hAnsi="Times New Roman" w:cs="Times New Roman"/>
                <w:b/>
                <w:bCs/>
                <w:sz w:val="16"/>
                <w:szCs w:val="16"/>
              </w:rPr>
              <w:t>97.95</w:t>
            </w:r>
          </w:p>
        </w:tc>
      </w:tr>
    </w:tbl>
    <w:p w14:paraId="62765C2D" w14:textId="77777777" w:rsidR="00294D85" w:rsidRPr="00A855A5" w:rsidRDefault="00294D85" w:rsidP="00A855A5">
      <w:pPr>
        <w:tabs>
          <w:tab w:val="left" w:pos="2805"/>
        </w:tabs>
        <w:spacing w:after="0"/>
        <w:jc w:val="both"/>
        <w:rPr>
          <w:rFonts w:ascii="Times New Roman" w:hAnsi="Times New Roman" w:cs="Times New Roman"/>
          <w:sz w:val="14"/>
          <w:szCs w:val="14"/>
        </w:rPr>
      </w:pPr>
      <w:r w:rsidRPr="00A855A5">
        <w:rPr>
          <w:rFonts w:ascii="Times New Roman" w:hAnsi="Times New Roman" w:cs="Times New Roman"/>
          <w:b/>
          <w:bCs/>
          <w:sz w:val="14"/>
          <w:szCs w:val="14"/>
        </w:rPr>
        <w:t>Note:</w:t>
      </w:r>
    </w:p>
    <w:p w14:paraId="71BB265A" w14:textId="77777777" w:rsidR="00294D85" w:rsidRPr="00A855A5" w:rsidRDefault="00294D85" w:rsidP="00A855A5">
      <w:pPr>
        <w:numPr>
          <w:ilvl w:val="0"/>
          <w:numId w:val="17"/>
        </w:numPr>
        <w:tabs>
          <w:tab w:val="left" w:pos="2805"/>
        </w:tabs>
        <w:spacing w:after="0"/>
        <w:jc w:val="both"/>
        <w:rPr>
          <w:rFonts w:ascii="Times New Roman" w:hAnsi="Times New Roman" w:cs="Times New Roman"/>
          <w:sz w:val="16"/>
          <w:szCs w:val="16"/>
        </w:rPr>
      </w:pPr>
      <w:r w:rsidRPr="00A855A5">
        <w:rPr>
          <w:rFonts w:ascii="Times New Roman" w:hAnsi="Times New Roman" w:cs="Times New Roman"/>
          <w:sz w:val="16"/>
          <w:szCs w:val="16"/>
        </w:rPr>
        <w:t>Thirty per cent of the presumed loss on account of the prohibition policy has been added to the taxable capacity estimates of Gujarat and Tamil Nadu.</w:t>
      </w:r>
    </w:p>
    <w:p w14:paraId="1B2B7377" w14:textId="23728B86" w:rsidR="00675F76" w:rsidRPr="00A855A5" w:rsidRDefault="00294D85" w:rsidP="00A855A5">
      <w:pPr>
        <w:numPr>
          <w:ilvl w:val="0"/>
          <w:numId w:val="17"/>
        </w:numPr>
        <w:tabs>
          <w:tab w:val="left" w:pos="2805"/>
        </w:tabs>
        <w:spacing w:after="0"/>
        <w:jc w:val="both"/>
        <w:rPr>
          <w:rStyle w:val="Heading5Char"/>
          <w:rFonts w:eastAsiaTheme="minorHAnsi"/>
          <w:b w:val="0"/>
          <w:bCs w:val="0"/>
          <w:sz w:val="16"/>
          <w:szCs w:val="16"/>
        </w:rPr>
      </w:pPr>
      <w:r w:rsidRPr="00A855A5">
        <w:rPr>
          <w:rFonts w:ascii="Times New Roman" w:hAnsi="Times New Roman" w:cs="Times New Roman"/>
          <w:sz w:val="16"/>
          <w:szCs w:val="16"/>
        </w:rPr>
        <w:t>Revenue from "Agriculture and Land Revenue" and "Other Taxes" have been projected on the basis of actuals for the year 1986-87.</w:t>
      </w:r>
    </w:p>
    <w:p w14:paraId="4AA9091E" w14:textId="77777777" w:rsidR="00B2317A" w:rsidRPr="00A855A5" w:rsidRDefault="00B2317A" w:rsidP="00B2317A">
      <w:pPr>
        <w:spacing w:after="0" w:line="240" w:lineRule="auto"/>
        <w:jc w:val="center"/>
        <w:rPr>
          <w:rFonts w:ascii="Times New Roman" w:hAnsi="Times New Roman" w:cs="Times New Roman"/>
          <w:b/>
          <w:bCs/>
          <w:sz w:val="20"/>
          <w:szCs w:val="18"/>
          <w:lang w:eastAsia="en-IN"/>
        </w:rPr>
      </w:pPr>
      <w:r w:rsidRPr="00A855A5">
        <w:rPr>
          <w:rFonts w:ascii="Times New Roman" w:hAnsi="Times New Roman" w:cs="Times New Roman"/>
          <w:b/>
          <w:bCs/>
          <w:sz w:val="20"/>
          <w:szCs w:val="18"/>
          <w:lang w:eastAsia="en-IN"/>
        </w:rPr>
        <w:t>TABLE B.4.3</w:t>
      </w:r>
    </w:p>
    <w:p w14:paraId="061E0022" w14:textId="46FC7884" w:rsidR="00B2317A" w:rsidRPr="00A855A5" w:rsidRDefault="00B2317A" w:rsidP="00B2317A">
      <w:pPr>
        <w:spacing w:after="0" w:line="240" w:lineRule="auto"/>
        <w:jc w:val="center"/>
        <w:rPr>
          <w:rFonts w:ascii="Times New Roman" w:hAnsi="Times New Roman" w:cs="Times New Roman"/>
          <w:b/>
          <w:bCs/>
          <w:sz w:val="20"/>
          <w:szCs w:val="18"/>
          <w:lang w:eastAsia="en-IN"/>
        </w:rPr>
      </w:pPr>
      <w:r w:rsidRPr="00A855A5">
        <w:rPr>
          <w:rFonts w:ascii="Times New Roman" w:hAnsi="Times New Roman" w:cs="Times New Roman"/>
          <w:b/>
          <w:bCs/>
          <w:sz w:val="20"/>
          <w:szCs w:val="18"/>
          <w:lang w:eastAsia="en-IN"/>
        </w:rPr>
        <w:t>Projection of Normative Tax Revenue of the 14 Major States</w:t>
      </w:r>
    </w:p>
    <w:p w14:paraId="4AFDE1E8" w14:textId="22D2A559" w:rsidR="0063269F" w:rsidRPr="00A855A5" w:rsidRDefault="00294D85" w:rsidP="00A855A5">
      <w:pPr>
        <w:spacing w:after="0" w:line="240" w:lineRule="auto"/>
        <w:ind w:left="5040" w:firstLine="720"/>
        <w:jc w:val="center"/>
        <w:rPr>
          <w:rFonts w:ascii="Times New Roman" w:hAnsi="Times New Roman" w:cs="Times New Roman"/>
          <w:sz w:val="18"/>
          <w:szCs w:val="16"/>
          <w:lang w:eastAsia="en-IN"/>
        </w:rPr>
      </w:pPr>
      <w:r w:rsidRPr="00A855A5">
        <w:rPr>
          <w:rFonts w:ascii="Times New Roman" w:hAnsi="Times New Roman" w:cs="Times New Roman"/>
          <w:sz w:val="18"/>
          <w:szCs w:val="16"/>
          <w:lang w:eastAsia="en-IN"/>
        </w:rPr>
        <w:t>(Rs. Lakh)</w:t>
      </w:r>
    </w:p>
    <w:tbl>
      <w:tblPr>
        <w:tblW w:w="7792" w:type="dxa"/>
        <w:jc w:val="center"/>
        <w:tblLook w:val="04A0" w:firstRow="1" w:lastRow="0" w:firstColumn="1" w:lastColumn="0" w:noHBand="0" w:noVBand="1"/>
      </w:tblPr>
      <w:tblGrid>
        <w:gridCol w:w="422"/>
        <w:gridCol w:w="1416"/>
        <w:gridCol w:w="851"/>
        <w:gridCol w:w="850"/>
        <w:gridCol w:w="851"/>
        <w:gridCol w:w="776"/>
        <w:gridCol w:w="783"/>
        <w:gridCol w:w="850"/>
        <w:gridCol w:w="993"/>
      </w:tblGrid>
      <w:tr w:rsidR="00A855A5" w:rsidRPr="00A855A5" w14:paraId="152B7C19" w14:textId="77777777" w:rsidTr="008649D9">
        <w:trPr>
          <w:trHeight w:val="20"/>
          <w:jc w:val="center"/>
        </w:trPr>
        <w:tc>
          <w:tcPr>
            <w:tcW w:w="1838" w:type="dxa"/>
            <w:gridSpan w:val="2"/>
            <w:vMerge w:val="restart"/>
            <w:tcBorders>
              <w:top w:val="single" w:sz="4" w:space="0" w:color="auto"/>
              <w:left w:val="single" w:sz="4" w:space="0" w:color="auto"/>
              <w:right w:val="single" w:sz="4" w:space="0" w:color="auto"/>
            </w:tcBorders>
            <w:vAlign w:val="center"/>
            <w:hideMark/>
          </w:tcPr>
          <w:p w14:paraId="0C8275CA" w14:textId="77777777" w:rsidR="00A855A5" w:rsidRPr="00A855A5" w:rsidRDefault="00A855A5" w:rsidP="00675F76">
            <w:pPr>
              <w:spacing w:after="0" w:line="240" w:lineRule="auto"/>
              <w:rPr>
                <w:rFonts w:ascii="Aptos" w:eastAsia="Times New Roman" w:hAnsi="Aptos" w:cs="Times New Roman"/>
                <w:color w:val="000000"/>
                <w:kern w:val="0"/>
                <w:sz w:val="16"/>
                <w:szCs w:val="16"/>
                <w:lang w:eastAsia="en-IN" w:bidi="ar-SA"/>
                <w14:ligatures w14:val="none"/>
              </w:rPr>
            </w:pPr>
            <w:r w:rsidRPr="00A855A5">
              <w:rPr>
                <w:rFonts w:ascii="Aptos" w:eastAsia="Times New Roman" w:hAnsi="Aptos" w:cs="Times New Roman"/>
                <w:color w:val="000000"/>
                <w:kern w:val="0"/>
                <w:sz w:val="16"/>
                <w:szCs w:val="16"/>
                <w:lang w:eastAsia="en-IN" w:bidi="ar-SA"/>
                <w14:ligatures w14:val="none"/>
              </w:rPr>
              <w:t> </w:t>
            </w:r>
          </w:p>
          <w:p w14:paraId="545B331A" w14:textId="471F07FE" w:rsidR="00A855A5" w:rsidRPr="00A855A5" w:rsidRDefault="00A855A5" w:rsidP="00675F76">
            <w:pPr>
              <w:spacing w:after="0" w:line="240" w:lineRule="auto"/>
              <w:rPr>
                <w:rFonts w:ascii="Aptos" w:eastAsia="Times New Roman" w:hAnsi="Aptos" w:cs="Times New Roman"/>
                <w:color w:val="000000"/>
                <w:kern w:val="0"/>
                <w:sz w:val="16"/>
                <w:szCs w:val="16"/>
                <w:lang w:eastAsia="en-IN" w:bidi="ar-SA"/>
                <w14:ligatures w14:val="none"/>
              </w:rPr>
            </w:pPr>
            <w:r w:rsidRPr="00A855A5">
              <w:rPr>
                <w:rFonts w:ascii="Aptos" w:eastAsia="Times New Roman" w:hAnsi="Aptos" w:cs="Times New Roman"/>
                <w:color w:val="000000"/>
                <w:kern w:val="0"/>
                <w:sz w:val="16"/>
                <w:szCs w:val="16"/>
                <w:lang w:eastAsia="en-IN" w:bidi="ar-SA"/>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49C45FE9"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1989-90</w:t>
            </w:r>
          </w:p>
        </w:tc>
        <w:tc>
          <w:tcPr>
            <w:tcW w:w="850" w:type="dxa"/>
            <w:tcBorders>
              <w:top w:val="single" w:sz="4" w:space="0" w:color="auto"/>
              <w:left w:val="nil"/>
              <w:bottom w:val="single" w:sz="4" w:space="0" w:color="auto"/>
              <w:right w:val="single" w:sz="4" w:space="0" w:color="auto"/>
            </w:tcBorders>
            <w:vAlign w:val="center"/>
            <w:hideMark/>
          </w:tcPr>
          <w:p w14:paraId="0DA043F7"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1990-91</w:t>
            </w:r>
          </w:p>
        </w:tc>
        <w:tc>
          <w:tcPr>
            <w:tcW w:w="851" w:type="dxa"/>
            <w:tcBorders>
              <w:top w:val="single" w:sz="4" w:space="0" w:color="auto"/>
              <w:left w:val="nil"/>
              <w:bottom w:val="single" w:sz="4" w:space="0" w:color="auto"/>
              <w:right w:val="single" w:sz="4" w:space="0" w:color="auto"/>
            </w:tcBorders>
            <w:vAlign w:val="center"/>
            <w:hideMark/>
          </w:tcPr>
          <w:p w14:paraId="585C17CC"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1991-92</w:t>
            </w:r>
          </w:p>
        </w:tc>
        <w:tc>
          <w:tcPr>
            <w:tcW w:w="776" w:type="dxa"/>
            <w:tcBorders>
              <w:top w:val="single" w:sz="4" w:space="0" w:color="auto"/>
              <w:left w:val="nil"/>
              <w:bottom w:val="single" w:sz="4" w:space="0" w:color="auto"/>
              <w:right w:val="single" w:sz="4" w:space="0" w:color="auto"/>
            </w:tcBorders>
            <w:vAlign w:val="center"/>
            <w:hideMark/>
          </w:tcPr>
          <w:p w14:paraId="6009C85F"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1992-93</w:t>
            </w:r>
          </w:p>
        </w:tc>
        <w:tc>
          <w:tcPr>
            <w:tcW w:w="783" w:type="dxa"/>
            <w:tcBorders>
              <w:top w:val="single" w:sz="4" w:space="0" w:color="auto"/>
              <w:left w:val="nil"/>
              <w:bottom w:val="single" w:sz="4" w:space="0" w:color="auto"/>
              <w:right w:val="single" w:sz="4" w:space="0" w:color="auto"/>
            </w:tcBorders>
            <w:vAlign w:val="center"/>
            <w:hideMark/>
          </w:tcPr>
          <w:p w14:paraId="7258C77D"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1993-94</w:t>
            </w:r>
          </w:p>
        </w:tc>
        <w:tc>
          <w:tcPr>
            <w:tcW w:w="850" w:type="dxa"/>
            <w:tcBorders>
              <w:top w:val="single" w:sz="4" w:space="0" w:color="auto"/>
              <w:left w:val="nil"/>
              <w:bottom w:val="single" w:sz="4" w:space="0" w:color="auto"/>
              <w:right w:val="single" w:sz="4" w:space="0" w:color="auto"/>
            </w:tcBorders>
            <w:vAlign w:val="center"/>
            <w:hideMark/>
          </w:tcPr>
          <w:p w14:paraId="52EA0497"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1994-95</w:t>
            </w:r>
          </w:p>
        </w:tc>
        <w:tc>
          <w:tcPr>
            <w:tcW w:w="993" w:type="dxa"/>
            <w:tcBorders>
              <w:top w:val="single" w:sz="4" w:space="0" w:color="auto"/>
              <w:left w:val="nil"/>
              <w:bottom w:val="single" w:sz="4" w:space="0" w:color="auto"/>
              <w:right w:val="single" w:sz="4" w:space="0" w:color="auto"/>
            </w:tcBorders>
            <w:vAlign w:val="center"/>
            <w:hideMark/>
          </w:tcPr>
          <w:p w14:paraId="76BEEA32" w14:textId="7777777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1990-91 to 1994-95</w:t>
            </w:r>
          </w:p>
        </w:tc>
      </w:tr>
      <w:tr w:rsidR="00A855A5" w:rsidRPr="00A855A5" w14:paraId="495AF1F6" w14:textId="77777777" w:rsidTr="008649D9">
        <w:trPr>
          <w:trHeight w:val="20"/>
          <w:jc w:val="center"/>
        </w:trPr>
        <w:tc>
          <w:tcPr>
            <w:tcW w:w="1838" w:type="dxa"/>
            <w:gridSpan w:val="2"/>
            <w:vMerge/>
            <w:tcBorders>
              <w:left w:val="single" w:sz="4" w:space="0" w:color="auto"/>
              <w:bottom w:val="single" w:sz="4" w:space="0" w:color="auto"/>
              <w:right w:val="single" w:sz="4" w:space="0" w:color="auto"/>
            </w:tcBorders>
            <w:vAlign w:val="center"/>
            <w:hideMark/>
          </w:tcPr>
          <w:p w14:paraId="213BE8A7" w14:textId="77777777" w:rsidR="00A855A5" w:rsidRPr="00A855A5" w:rsidRDefault="00A855A5" w:rsidP="00675F76">
            <w:pPr>
              <w:spacing w:after="0" w:line="240" w:lineRule="auto"/>
              <w:rPr>
                <w:rFonts w:ascii="Aptos" w:eastAsia="Times New Roman" w:hAnsi="Aptos" w:cs="Times New Roman"/>
                <w:color w:val="000000"/>
                <w:kern w:val="0"/>
                <w:sz w:val="16"/>
                <w:szCs w:val="16"/>
                <w:lang w:eastAsia="en-IN" w:bidi="ar-SA"/>
                <w14:ligatures w14:val="none"/>
              </w:rPr>
            </w:pPr>
          </w:p>
        </w:tc>
        <w:tc>
          <w:tcPr>
            <w:tcW w:w="851" w:type="dxa"/>
            <w:tcBorders>
              <w:top w:val="nil"/>
              <w:left w:val="nil"/>
              <w:bottom w:val="single" w:sz="4" w:space="0" w:color="auto"/>
              <w:right w:val="single" w:sz="4" w:space="0" w:color="auto"/>
            </w:tcBorders>
            <w:vAlign w:val="center"/>
            <w:hideMark/>
          </w:tcPr>
          <w:p w14:paraId="125925AA" w14:textId="3606926B"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w:t>
            </w:r>
          </w:p>
        </w:tc>
        <w:tc>
          <w:tcPr>
            <w:tcW w:w="850" w:type="dxa"/>
            <w:tcBorders>
              <w:top w:val="nil"/>
              <w:left w:val="nil"/>
              <w:bottom w:val="single" w:sz="4" w:space="0" w:color="auto"/>
              <w:right w:val="single" w:sz="4" w:space="0" w:color="auto"/>
            </w:tcBorders>
            <w:vAlign w:val="center"/>
            <w:hideMark/>
          </w:tcPr>
          <w:p w14:paraId="010699D1" w14:textId="61EB6AFE"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(2)</w:t>
            </w:r>
          </w:p>
        </w:tc>
        <w:tc>
          <w:tcPr>
            <w:tcW w:w="851" w:type="dxa"/>
            <w:tcBorders>
              <w:top w:val="nil"/>
              <w:left w:val="nil"/>
              <w:bottom w:val="single" w:sz="4" w:space="0" w:color="auto"/>
              <w:right w:val="single" w:sz="4" w:space="0" w:color="auto"/>
            </w:tcBorders>
            <w:vAlign w:val="center"/>
            <w:hideMark/>
          </w:tcPr>
          <w:p w14:paraId="75479D19" w14:textId="699A5F96"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(3)</w:t>
            </w:r>
          </w:p>
        </w:tc>
        <w:tc>
          <w:tcPr>
            <w:tcW w:w="776" w:type="dxa"/>
            <w:tcBorders>
              <w:top w:val="nil"/>
              <w:left w:val="nil"/>
              <w:bottom w:val="single" w:sz="4" w:space="0" w:color="auto"/>
              <w:right w:val="single" w:sz="4" w:space="0" w:color="auto"/>
            </w:tcBorders>
            <w:vAlign w:val="center"/>
            <w:hideMark/>
          </w:tcPr>
          <w:p w14:paraId="5762AE6F" w14:textId="72901D41"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(4)</w:t>
            </w:r>
          </w:p>
        </w:tc>
        <w:tc>
          <w:tcPr>
            <w:tcW w:w="783" w:type="dxa"/>
            <w:tcBorders>
              <w:top w:val="nil"/>
              <w:left w:val="nil"/>
              <w:bottom w:val="single" w:sz="4" w:space="0" w:color="auto"/>
              <w:right w:val="single" w:sz="4" w:space="0" w:color="auto"/>
            </w:tcBorders>
            <w:vAlign w:val="center"/>
            <w:hideMark/>
          </w:tcPr>
          <w:p w14:paraId="7FCAC258" w14:textId="3FBBF6C7"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(5)</w:t>
            </w:r>
          </w:p>
        </w:tc>
        <w:tc>
          <w:tcPr>
            <w:tcW w:w="850" w:type="dxa"/>
            <w:tcBorders>
              <w:top w:val="nil"/>
              <w:left w:val="nil"/>
              <w:bottom w:val="single" w:sz="4" w:space="0" w:color="auto"/>
              <w:right w:val="single" w:sz="4" w:space="0" w:color="auto"/>
            </w:tcBorders>
            <w:vAlign w:val="center"/>
            <w:hideMark/>
          </w:tcPr>
          <w:p w14:paraId="208EAAFF" w14:textId="512EB538"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(6)</w:t>
            </w:r>
          </w:p>
        </w:tc>
        <w:tc>
          <w:tcPr>
            <w:tcW w:w="993" w:type="dxa"/>
            <w:tcBorders>
              <w:top w:val="nil"/>
              <w:left w:val="nil"/>
              <w:bottom w:val="single" w:sz="4" w:space="0" w:color="auto"/>
              <w:right w:val="single" w:sz="4" w:space="0" w:color="auto"/>
            </w:tcBorders>
            <w:vAlign w:val="center"/>
            <w:hideMark/>
          </w:tcPr>
          <w:p w14:paraId="1C42CA63" w14:textId="3B858F02" w:rsidR="00A855A5" w:rsidRPr="00A855A5" w:rsidRDefault="00A855A5"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(7)</w:t>
            </w:r>
          </w:p>
        </w:tc>
      </w:tr>
      <w:tr w:rsidR="00675F76" w:rsidRPr="00A855A5" w14:paraId="6646D215" w14:textId="77777777" w:rsidTr="00A855A5">
        <w:trPr>
          <w:trHeight w:val="20"/>
          <w:jc w:val="center"/>
        </w:trPr>
        <w:tc>
          <w:tcPr>
            <w:tcW w:w="7792" w:type="dxa"/>
            <w:gridSpan w:val="9"/>
            <w:tcBorders>
              <w:top w:val="single" w:sz="4" w:space="0" w:color="auto"/>
              <w:left w:val="single" w:sz="4" w:space="0" w:color="auto"/>
              <w:bottom w:val="single" w:sz="4" w:space="0" w:color="auto"/>
              <w:right w:val="single" w:sz="4" w:space="0" w:color="auto"/>
            </w:tcBorders>
            <w:vAlign w:val="center"/>
            <w:hideMark/>
          </w:tcPr>
          <w:p w14:paraId="41013479" w14:textId="77777777" w:rsidR="00675F76" w:rsidRPr="000F76DE" w:rsidRDefault="00675F76" w:rsidP="00675F76">
            <w:pPr>
              <w:spacing w:after="0" w:line="240" w:lineRule="auto"/>
              <w:rPr>
                <w:rFonts w:ascii="Times New Roman" w:eastAsia="Times New Roman" w:hAnsi="Times New Roman" w:cs="Times New Roman"/>
                <w:b/>
                <w:bCs/>
                <w:color w:val="1A1C1E"/>
                <w:kern w:val="0"/>
                <w:sz w:val="16"/>
                <w:szCs w:val="16"/>
                <w:lang w:eastAsia="en-IN" w:bidi="ar-SA"/>
                <w14:ligatures w14:val="none"/>
              </w:rPr>
            </w:pPr>
            <w:r w:rsidRPr="000F76DE">
              <w:rPr>
                <w:rFonts w:ascii="Times New Roman" w:eastAsia="Times New Roman" w:hAnsi="Times New Roman" w:cs="Times New Roman"/>
                <w:b/>
                <w:bCs/>
                <w:color w:val="1A1C1E"/>
                <w:kern w:val="0"/>
                <w:sz w:val="18"/>
                <w:szCs w:val="18"/>
                <w:lang w:eastAsia="en-IN" w:bidi="ar-SA"/>
                <w14:ligatures w14:val="none"/>
              </w:rPr>
              <w:t>Revenue Category: sale tax</w:t>
            </w:r>
          </w:p>
        </w:tc>
      </w:tr>
      <w:tr w:rsidR="00675F76" w:rsidRPr="00A855A5" w14:paraId="458F1962"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45F65E73"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w:t>
            </w:r>
          </w:p>
        </w:tc>
        <w:tc>
          <w:tcPr>
            <w:tcW w:w="1416" w:type="dxa"/>
            <w:tcBorders>
              <w:top w:val="nil"/>
              <w:left w:val="nil"/>
              <w:bottom w:val="single" w:sz="4" w:space="0" w:color="auto"/>
              <w:right w:val="single" w:sz="4" w:space="0" w:color="auto"/>
            </w:tcBorders>
            <w:vAlign w:val="center"/>
            <w:hideMark/>
          </w:tcPr>
          <w:p w14:paraId="17922E0F"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Andhra Pradesh</w:t>
            </w:r>
          </w:p>
        </w:tc>
        <w:tc>
          <w:tcPr>
            <w:tcW w:w="851" w:type="dxa"/>
            <w:tcBorders>
              <w:top w:val="nil"/>
              <w:left w:val="nil"/>
              <w:bottom w:val="single" w:sz="4" w:space="0" w:color="auto"/>
              <w:right w:val="single" w:sz="4" w:space="0" w:color="auto"/>
            </w:tcBorders>
            <w:vAlign w:val="center"/>
            <w:hideMark/>
          </w:tcPr>
          <w:p w14:paraId="5DFDA57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135084</w:t>
            </w:r>
          </w:p>
        </w:tc>
        <w:tc>
          <w:tcPr>
            <w:tcW w:w="850" w:type="dxa"/>
            <w:tcBorders>
              <w:top w:val="nil"/>
              <w:left w:val="nil"/>
              <w:bottom w:val="single" w:sz="4" w:space="0" w:color="auto"/>
              <w:right w:val="single" w:sz="4" w:space="0" w:color="auto"/>
            </w:tcBorders>
            <w:vAlign w:val="center"/>
            <w:hideMark/>
          </w:tcPr>
          <w:p w14:paraId="66C223B7"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149191</w:t>
            </w:r>
          </w:p>
        </w:tc>
        <w:tc>
          <w:tcPr>
            <w:tcW w:w="851" w:type="dxa"/>
            <w:tcBorders>
              <w:top w:val="nil"/>
              <w:left w:val="nil"/>
              <w:bottom w:val="single" w:sz="4" w:space="0" w:color="auto"/>
              <w:right w:val="single" w:sz="4" w:space="0" w:color="auto"/>
            </w:tcBorders>
            <w:vAlign w:val="center"/>
            <w:hideMark/>
          </w:tcPr>
          <w:p w14:paraId="40E120F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164598</w:t>
            </w:r>
          </w:p>
        </w:tc>
        <w:tc>
          <w:tcPr>
            <w:tcW w:w="776" w:type="dxa"/>
            <w:tcBorders>
              <w:top w:val="nil"/>
              <w:left w:val="nil"/>
              <w:bottom w:val="single" w:sz="4" w:space="0" w:color="auto"/>
              <w:right w:val="single" w:sz="4" w:space="0" w:color="auto"/>
            </w:tcBorders>
            <w:vAlign w:val="center"/>
            <w:hideMark/>
          </w:tcPr>
          <w:p w14:paraId="17BB46E8"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181378</w:t>
            </w:r>
          </w:p>
        </w:tc>
        <w:tc>
          <w:tcPr>
            <w:tcW w:w="783" w:type="dxa"/>
            <w:tcBorders>
              <w:top w:val="nil"/>
              <w:left w:val="nil"/>
              <w:bottom w:val="single" w:sz="4" w:space="0" w:color="auto"/>
              <w:right w:val="single" w:sz="4" w:space="0" w:color="auto"/>
            </w:tcBorders>
            <w:vAlign w:val="center"/>
            <w:hideMark/>
          </w:tcPr>
          <w:p w14:paraId="069BE037"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199592</w:t>
            </w:r>
          </w:p>
        </w:tc>
        <w:tc>
          <w:tcPr>
            <w:tcW w:w="850" w:type="dxa"/>
            <w:tcBorders>
              <w:top w:val="nil"/>
              <w:left w:val="nil"/>
              <w:bottom w:val="single" w:sz="4" w:space="0" w:color="auto"/>
              <w:right w:val="single" w:sz="4" w:space="0" w:color="auto"/>
            </w:tcBorders>
            <w:vAlign w:val="center"/>
            <w:hideMark/>
          </w:tcPr>
          <w:p w14:paraId="24F55EB8"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219278</w:t>
            </w:r>
          </w:p>
        </w:tc>
        <w:tc>
          <w:tcPr>
            <w:tcW w:w="993" w:type="dxa"/>
            <w:tcBorders>
              <w:top w:val="nil"/>
              <w:left w:val="nil"/>
              <w:bottom w:val="single" w:sz="4" w:space="0" w:color="auto"/>
              <w:right w:val="single" w:sz="4" w:space="0" w:color="auto"/>
            </w:tcBorders>
            <w:vAlign w:val="center"/>
            <w:hideMark/>
          </w:tcPr>
          <w:p w14:paraId="743F9048"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914036</w:t>
            </w:r>
          </w:p>
        </w:tc>
      </w:tr>
      <w:tr w:rsidR="00675F76" w:rsidRPr="00A855A5" w14:paraId="4086F5C2"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1DCDAEED"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w:t>
            </w:r>
          </w:p>
        </w:tc>
        <w:tc>
          <w:tcPr>
            <w:tcW w:w="1416" w:type="dxa"/>
            <w:tcBorders>
              <w:top w:val="nil"/>
              <w:left w:val="nil"/>
              <w:bottom w:val="single" w:sz="4" w:space="0" w:color="auto"/>
              <w:right w:val="single" w:sz="4" w:space="0" w:color="auto"/>
            </w:tcBorders>
            <w:vAlign w:val="center"/>
            <w:hideMark/>
          </w:tcPr>
          <w:p w14:paraId="76BC8A45"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Bihar</w:t>
            </w:r>
          </w:p>
        </w:tc>
        <w:tc>
          <w:tcPr>
            <w:tcW w:w="851" w:type="dxa"/>
            <w:tcBorders>
              <w:top w:val="nil"/>
              <w:left w:val="nil"/>
              <w:bottom w:val="single" w:sz="4" w:space="0" w:color="auto"/>
              <w:right w:val="single" w:sz="4" w:space="0" w:color="auto"/>
            </w:tcBorders>
            <w:vAlign w:val="center"/>
            <w:hideMark/>
          </w:tcPr>
          <w:p w14:paraId="3A11608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66323</w:t>
            </w:r>
          </w:p>
        </w:tc>
        <w:tc>
          <w:tcPr>
            <w:tcW w:w="850" w:type="dxa"/>
            <w:tcBorders>
              <w:top w:val="nil"/>
              <w:left w:val="nil"/>
              <w:bottom w:val="single" w:sz="4" w:space="0" w:color="auto"/>
              <w:right w:val="single" w:sz="4" w:space="0" w:color="auto"/>
            </w:tcBorders>
            <w:vAlign w:val="center"/>
            <w:hideMark/>
          </w:tcPr>
          <w:p w14:paraId="47B1887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74418</w:t>
            </w:r>
          </w:p>
        </w:tc>
        <w:tc>
          <w:tcPr>
            <w:tcW w:w="851" w:type="dxa"/>
            <w:tcBorders>
              <w:top w:val="nil"/>
              <w:left w:val="nil"/>
              <w:bottom w:val="single" w:sz="4" w:space="0" w:color="auto"/>
              <w:right w:val="single" w:sz="4" w:space="0" w:color="auto"/>
            </w:tcBorders>
            <w:vAlign w:val="center"/>
            <w:hideMark/>
          </w:tcPr>
          <w:p w14:paraId="00CE150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83324</w:t>
            </w:r>
          </w:p>
        </w:tc>
        <w:tc>
          <w:tcPr>
            <w:tcW w:w="776" w:type="dxa"/>
            <w:tcBorders>
              <w:top w:val="nil"/>
              <w:left w:val="nil"/>
              <w:bottom w:val="single" w:sz="4" w:space="0" w:color="auto"/>
              <w:right w:val="single" w:sz="4" w:space="0" w:color="auto"/>
            </w:tcBorders>
            <w:vAlign w:val="center"/>
            <w:hideMark/>
          </w:tcPr>
          <w:p w14:paraId="7D0888E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93055</w:t>
            </w:r>
          </w:p>
        </w:tc>
        <w:tc>
          <w:tcPr>
            <w:tcW w:w="783" w:type="dxa"/>
            <w:tcBorders>
              <w:top w:val="nil"/>
              <w:left w:val="nil"/>
              <w:bottom w:val="single" w:sz="4" w:space="0" w:color="auto"/>
              <w:right w:val="single" w:sz="4" w:space="0" w:color="auto"/>
            </w:tcBorders>
            <w:vAlign w:val="center"/>
            <w:hideMark/>
          </w:tcPr>
          <w:p w14:paraId="4B79C377"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103472</w:t>
            </w:r>
          </w:p>
        </w:tc>
        <w:tc>
          <w:tcPr>
            <w:tcW w:w="850" w:type="dxa"/>
            <w:tcBorders>
              <w:top w:val="nil"/>
              <w:left w:val="nil"/>
              <w:bottom w:val="single" w:sz="4" w:space="0" w:color="auto"/>
              <w:right w:val="single" w:sz="4" w:space="0" w:color="auto"/>
            </w:tcBorders>
            <w:vAlign w:val="center"/>
            <w:hideMark/>
          </w:tcPr>
          <w:p w14:paraId="194C89A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113297</w:t>
            </w:r>
          </w:p>
        </w:tc>
        <w:tc>
          <w:tcPr>
            <w:tcW w:w="993" w:type="dxa"/>
            <w:tcBorders>
              <w:top w:val="nil"/>
              <w:left w:val="nil"/>
              <w:bottom w:val="single" w:sz="4" w:space="0" w:color="auto"/>
              <w:right w:val="single" w:sz="4" w:space="0" w:color="auto"/>
            </w:tcBorders>
            <w:vAlign w:val="center"/>
            <w:hideMark/>
          </w:tcPr>
          <w:p w14:paraId="284A2C0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467566</w:t>
            </w:r>
          </w:p>
        </w:tc>
      </w:tr>
      <w:tr w:rsidR="00675F76" w:rsidRPr="00A855A5" w14:paraId="350631A3"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148EF3B0"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w:t>
            </w:r>
          </w:p>
        </w:tc>
        <w:tc>
          <w:tcPr>
            <w:tcW w:w="1416" w:type="dxa"/>
            <w:tcBorders>
              <w:top w:val="nil"/>
              <w:left w:val="nil"/>
              <w:bottom w:val="single" w:sz="4" w:space="0" w:color="auto"/>
              <w:right w:val="single" w:sz="4" w:space="0" w:color="auto"/>
            </w:tcBorders>
            <w:vAlign w:val="center"/>
            <w:hideMark/>
          </w:tcPr>
          <w:p w14:paraId="4B27631B"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Gujarat</w:t>
            </w:r>
          </w:p>
        </w:tc>
        <w:tc>
          <w:tcPr>
            <w:tcW w:w="851" w:type="dxa"/>
            <w:tcBorders>
              <w:top w:val="nil"/>
              <w:left w:val="nil"/>
              <w:bottom w:val="single" w:sz="4" w:space="0" w:color="auto"/>
              <w:right w:val="single" w:sz="4" w:space="0" w:color="auto"/>
            </w:tcBorders>
            <w:vAlign w:val="center"/>
            <w:hideMark/>
          </w:tcPr>
          <w:p w14:paraId="4111D72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138709</w:t>
            </w:r>
          </w:p>
        </w:tc>
        <w:tc>
          <w:tcPr>
            <w:tcW w:w="850" w:type="dxa"/>
            <w:tcBorders>
              <w:top w:val="nil"/>
              <w:left w:val="nil"/>
              <w:bottom w:val="single" w:sz="4" w:space="0" w:color="auto"/>
              <w:right w:val="single" w:sz="4" w:space="0" w:color="auto"/>
            </w:tcBorders>
            <w:vAlign w:val="center"/>
            <w:hideMark/>
          </w:tcPr>
          <w:p w14:paraId="6478C76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154054</w:t>
            </w:r>
          </w:p>
        </w:tc>
        <w:tc>
          <w:tcPr>
            <w:tcW w:w="851" w:type="dxa"/>
            <w:tcBorders>
              <w:top w:val="nil"/>
              <w:left w:val="nil"/>
              <w:bottom w:val="single" w:sz="4" w:space="0" w:color="auto"/>
              <w:right w:val="single" w:sz="4" w:space="0" w:color="auto"/>
            </w:tcBorders>
            <w:vAlign w:val="center"/>
            <w:hideMark/>
          </w:tcPr>
          <w:p w14:paraId="0887273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170771</w:t>
            </w:r>
          </w:p>
        </w:tc>
        <w:tc>
          <w:tcPr>
            <w:tcW w:w="776" w:type="dxa"/>
            <w:tcBorders>
              <w:top w:val="nil"/>
              <w:left w:val="nil"/>
              <w:bottom w:val="single" w:sz="4" w:space="0" w:color="auto"/>
              <w:right w:val="single" w:sz="4" w:space="0" w:color="auto"/>
            </w:tcBorders>
            <w:vAlign w:val="center"/>
            <w:hideMark/>
          </w:tcPr>
          <w:p w14:paraId="43F75C0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188754</w:t>
            </w:r>
          </w:p>
        </w:tc>
        <w:tc>
          <w:tcPr>
            <w:tcW w:w="783" w:type="dxa"/>
            <w:tcBorders>
              <w:top w:val="nil"/>
              <w:left w:val="nil"/>
              <w:bottom w:val="single" w:sz="4" w:space="0" w:color="auto"/>
              <w:right w:val="single" w:sz="4" w:space="0" w:color="auto"/>
            </w:tcBorders>
            <w:vAlign w:val="center"/>
            <w:hideMark/>
          </w:tcPr>
          <w:p w14:paraId="0392D24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207312</w:t>
            </w:r>
          </w:p>
        </w:tc>
        <w:tc>
          <w:tcPr>
            <w:tcW w:w="850" w:type="dxa"/>
            <w:tcBorders>
              <w:top w:val="nil"/>
              <w:left w:val="nil"/>
              <w:bottom w:val="single" w:sz="4" w:space="0" w:color="auto"/>
              <w:right w:val="single" w:sz="4" w:space="0" w:color="auto"/>
            </w:tcBorders>
            <w:vAlign w:val="center"/>
            <w:hideMark/>
          </w:tcPr>
          <w:p w14:paraId="329A0E8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220715</w:t>
            </w:r>
          </w:p>
        </w:tc>
        <w:tc>
          <w:tcPr>
            <w:tcW w:w="993" w:type="dxa"/>
            <w:tcBorders>
              <w:top w:val="nil"/>
              <w:left w:val="nil"/>
              <w:bottom w:val="single" w:sz="4" w:space="0" w:color="auto"/>
              <w:right w:val="single" w:sz="4" w:space="0" w:color="auto"/>
            </w:tcBorders>
            <w:vAlign w:val="center"/>
            <w:hideMark/>
          </w:tcPr>
          <w:p w14:paraId="5B2BA92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941606</w:t>
            </w:r>
          </w:p>
        </w:tc>
      </w:tr>
      <w:tr w:rsidR="00675F76" w:rsidRPr="00A855A5" w14:paraId="18F59AD3"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49AB1195"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w:t>
            </w:r>
          </w:p>
        </w:tc>
        <w:tc>
          <w:tcPr>
            <w:tcW w:w="1416" w:type="dxa"/>
            <w:tcBorders>
              <w:top w:val="nil"/>
              <w:left w:val="nil"/>
              <w:bottom w:val="single" w:sz="4" w:space="0" w:color="auto"/>
              <w:right w:val="single" w:sz="4" w:space="0" w:color="auto"/>
            </w:tcBorders>
            <w:vAlign w:val="center"/>
            <w:hideMark/>
          </w:tcPr>
          <w:p w14:paraId="42CE5307"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Haryana</w:t>
            </w:r>
          </w:p>
        </w:tc>
        <w:tc>
          <w:tcPr>
            <w:tcW w:w="851" w:type="dxa"/>
            <w:tcBorders>
              <w:top w:val="nil"/>
              <w:left w:val="nil"/>
              <w:bottom w:val="single" w:sz="4" w:space="0" w:color="auto"/>
              <w:right w:val="single" w:sz="4" w:space="0" w:color="auto"/>
            </w:tcBorders>
            <w:vAlign w:val="center"/>
            <w:hideMark/>
          </w:tcPr>
          <w:p w14:paraId="0053FB7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42155</w:t>
            </w:r>
          </w:p>
        </w:tc>
        <w:tc>
          <w:tcPr>
            <w:tcW w:w="850" w:type="dxa"/>
            <w:tcBorders>
              <w:top w:val="nil"/>
              <w:left w:val="nil"/>
              <w:bottom w:val="single" w:sz="4" w:space="0" w:color="auto"/>
              <w:right w:val="single" w:sz="4" w:space="0" w:color="auto"/>
            </w:tcBorders>
            <w:vAlign w:val="center"/>
            <w:hideMark/>
          </w:tcPr>
          <w:p w14:paraId="30E3392F"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47112</w:t>
            </w:r>
          </w:p>
        </w:tc>
        <w:tc>
          <w:tcPr>
            <w:tcW w:w="851" w:type="dxa"/>
            <w:tcBorders>
              <w:top w:val="nil"/>
              <w:left w:val="nil"/>
              <w:bottom w:val="single" w:sz="4" w:space="0" w:color="auto"/>
              <w:right w:val="single" w:sz="4" w:space="0" w:color="auto"/>
            </w:tcBorders>
            <w:vAlign w:val="center"/>
            <w:hideMark/>
          </w:tcPr>
          <w:p w14:paraId="18158CF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52633</w:t>
            </w:r>
          </w:p>
        </w:tc>
        <w:tc>
          <w:tcPr>
            <w:tcW w:w="776" w:type="dxa"/>
            <w:tcBorders>
              <w:top w:val="nil"/>
              <w:left w:val="nil"/>
              <w:bottom w:val="single" w:sz="4" w:space="0" w:color="auto"/>
              <w:right w:val="single" w:sz="4" w:space="0" w:color="auto"/>
            </w:tcBorders>
            <w:vAlign w:val="center"/>
            <w:hideMark/>
          </w:tcPr>
          <w:p w14:paraId="0DCD3C7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58780</w:t>
            </w:r>
          </w:p>
        </w:tc>
        <w:tc>
          <w:tcPr>
            <w:tcW w:w="783" w:type="dxa"/>
            <w:tcBorders>
              <w:top w:val="nil"/>
              <w:left w:val="nil"/>
              <w:bottom w:val="single" w:sz="4" w:space="0" w:color="auto"/>
              <w:right w:val="single" w:sz="4" w:space="0" w:color="auto"/>
            </w:tcBorders>
            <w:vAlign w:val="center"/>
            <w:hideMark/>
          </w:tcPr>
          <w:p w14:paraId="15947FB0"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65622</w:t>
            </w:r>
          </w:p>
        </w:tc>
        <w:tc>
          <w:tcPr>
            <w:tcW w:w="850" w:type="dxa"/>
            <w:tcBorders>
              <w:top w:val="nil"/>
              <w:left w:val="nil"/>
              <w:bottom w:val="single" w:sz="4" w:space="0" w:color="auto"/>
              <w:right w:val="single" w:sz="4" w:space="0" w:color="auto"/>
            </w:tcBorders>
            <w:vAlign w:val="center"/>
            <w:hideMark/>
          </w:tcPr>
          <w:p w14:paraId="7CF3451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73235</w:t>
            </w:r>
          </w:p>
        </w:tc>
        <w:tc>
          <w:tcPr>
            <w:tcW w:w="993" w:type="dxa"/>
            <w:tcBorders>
              <w:top w:val="nil"/>
              <w:left w:val="nil"/>
              <w:bottom w:val="single" w:sz="4" w:space="0" w:color="auto"/>
              <w:right w:val="single" w:sz="4" w:space="0" w:color="auto"/>
            </w:tcBorders>
            <w:vAlign w:val="center"/>
            <w:hideMark/>
          </w:tcPr>
          <w:p w14:paraId="1BAEB8D6"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297383</w:t>
            </w:r>
          </w:p>
        </w:tc>
      </w:tr>
      <w:tr w:rsidR="00675F76" w:rsidRPr="00A855A5" w14:paraId="7F04EB99"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21414328"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5</w:t>
            </w:r>
          </w:p>
        </w:tc>
        <w:tc>
          <w:tcPr>
            <w:tcW w:w="1416" w:type="dxa"/>
            <w:tcBorders>
              <w:top w:val="nil"/>
              <w:left w:val="nil"/>
              <w:bottom w:val="single" w:sz="4" w:space="0" w:color="auto"/>
              <w:right w:val="single" w:sz="4" w:space="0" w:color="auto"/>
            </w:tcBorders>
            <w:vAlign w:val="center"/>
            <w:hideMark/>
          </w:tcPr>
          <w:p w14:paraId="5FBA1957"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Karnataka</w:t>
            </w:r>
          </w:p>
        </w:tc>
        <w:tc>
          <w:tcPr>
            <w:tcW w:w="851" w:type="dxa"/>
            <w:tcBorders>
              <w:top w:val="nil"/>
              <w:left w:val="nil"/>
              <w:bottom w:val="single" w:sz="4" w:space="0" w:color="auto"/>
              <w:right w:val="single" w:sz="4" w:space="0" w:color="auto"/>
            </w:tcBorders>
            <w:vAlign w:val="center"/>
            <w:hideMark/>
          </w:tcPr>
          <w:p w14:paraId="016B0736"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106551</w:t>
            </w:r>
          </w:p>
        </w:tc>
        <w:tc>
          <w:tcPr>
            <w:tcW w:w="850" w:type="dxa"/>
            <w:tcBorders>
              <w:top w:val="nil"/>
              <w:left w:val="nil"/>
              <w:bottom w:val="single" w:sz="4" w:space="0" w:color="auto"/>
              <w:right w:val="single" w:sz="4" w:space="0" w:color="auto"/>
            </w:tcBorders>
            <w:vAlign w:val="center"/>
            <w:hideMark/>
          </w:tcPr>
          <w:p w14:paraId="0200459D"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118920</w:t>
            </w:r>
          </w:p>
        </w:tc>
        <w:tc>
          <w:tcPr>
            <w:tcW w:w="851" w:type="dxa"/>
            <w:tcBorders>
              <w:top w:val="nil"/>
              <w:left w:val="nil"/>
              <w:bottom w:val="single" w:sz="4" w:space="0" w:color="auto"/>
              <w:right w:val="single" w:sz="4" w:space="0" w:color="auto"/>
            </w:tcBorders>
            <w:vAlign w:val="center"/>
            <w:hideMark/>
          </w:tcPr>
          <w:p w14:paraId="5F7B44D8"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132612</w:t>
            </w:r>
          </w:p>
        </w:tc>
        <w:tc>
          <w:tcPr>
            <w:tcW w:w="776" w:type="dxa"/>
            <w:tcBorders>
              <w:top w:val="nil"/>
              <w:left w:val="nil"/>
              <w:bottom w:val="single" w:sz="4" w:space="0" w:color="auto"/>
              <w:right w:val="single" w:sz="4" w:space="0" w:color="auto"/>
            </w:tcBorders>
            <w:vAlign w:val="center"/>
            <w:hideMark/>
          </w:tcPr>
          <w:p w14:paraId="170CE946"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147765</w:t>
            </w:r>
          </w:p>
        </w:tc>
        <w:tc>
          <w:tcPr>
            <w:tcW w:w="783" w:type="dxa"/>
            <w:tcBorders>
              <w:top w:val="nil"/>
              <w:left w:val="nil"/>
              <w:bottom w:val="single" w:sz="4" w:space="0" w:color="auto"/>
              <w:right w:val="single" w:sz="4" w:space="0" w:color="auto"/>
            </w:tcBorders>
            <w:vAlign w:val="center"/>
            <w:hideMark/>
          </w:tcPr>
          <w:p w14:paraId="655DE2A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164530</w:t>
            </w:r>
          </w:p>
        </w:tc>
        <w:tc>
          <w:tcPr>
            <w:tcW w:w="850" w:type="dxa"/>
            <w:tcBorders>
              <w:top w:val="nil"/>
              <w:left w:val="nil"/>
              <w:bottom w:val="single" w:sz="4" w:space="0" w:color="auto"/>
              <w:right w:val="single" w:sz="4" w:space="0" w:color="auto"/>
            </w:tcBorders>
            <w:vAlign w:val="center"/>
            <w:hideMark/>
          </w:tcPr>
          <w:p w14:paraId="5DCCA0F7"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183074</w:t>
            </w:r>
          </w:p>
        </w:tc>
        <w:tc>
          <w:tcPr>
            <w:tcW w:w="993" w:type="dxa"/>
            <w:tcBorders>
              <w:top w:val="nil"/>
              <w:left w:val="nil"/>
              <w:bottom w:val="single" w:sz="4" w:space="0" w:color="auto"/>
              <w:right w:val="single" w:sz="4" w:space="0" w:color="auto"/>
            </w:tcBorders>
            <w:vAlign w:val="center"/>
            <w:hideMark/>
          </w:tcPr>
          <w:p w14:paraId="0E48197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746902</w:t>
            </w:r>
          </w:p>
        </w:tc>
      </w:tr>
      <w:tr w:rsidR="00675F76" w:rsidRPr="00A855A5" w14:paraId="16A2447F"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7ACF4DD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w:t>
            </w:r>
          </w:p>
        </w:tc>
        <w:tc>
          <w:tcPr>
            <w:tcW w:w="1416" w:type="dxa"/>
            <w:tcBorders>
              <w:top w:val="nil"/>
              <w:left w:val="nil"/>
              <w:bottom w:val="single" w:sz="4" w:space="0" w:color="auto"/>
              <w:right w:val="single" w:sz="4" w:space="0" w:color="auto"/>
            </w:tcBorders>
            <w:vAlign w:val="center"/>
            <w:hideMark/>
          </w:tcPr>
          <w:p w14:paraId="7DE9CAF4"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Kerala</w:t>
            </w:r>
          </w:p>
        </w:tc>
        <w:tc>
          <w:tcPr>
            <w:tcW w:w="851" w:type="dxa"/>
            <w:tcBorders>
              <w:top w:val="nil"/>
              <w:left w:val="nil"/>
              <w:bottom w:val="single" w:sz="4" w:space="0" w:color="auto"/>
              <w:right w:val="single" w:sz="4" w:space="0" w:color="auto"/>
            </w:tcBorders>
            <w:vAlign w:val="center"/>
            <w:hideMark/>
          </w:tcPr>
          <w:p w14:paraId="0D1BE61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81997</w:t>
            </w:r>
          </w:p>
        </w:tc>
        <w:tc>
          <w:tcPr>
            <w:tcW w:w="850" w:type="dxa"/>
            <w:tcBorders>
              <w:top w:val="nil"/>
              <w:left w:val="nil"/>
              <w:bottom w:val="single" w:sz="4" w:space="0" w:color="auto"/>
              <w:right w:val="single" w:sz="4" w:space="0" w:color="auto"/>
            </w:tcBorders>
            <w:vAlign w:val="center"/>
            <w:hideMark/>
          </w:tcPr>
          <w:p w14:paraId="0257703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90629</w:t>
            </w:r>
          </w:p>
        </w:tc>
        <w:tc>
          <w:tcPr>
            <w:tcW w:w="851" w:type="dxa"/>
            <w:tcBorders>
              <w:top w:val="nil"/>
              <w:left w:val="nil"/>
              <w:bottom w:val="single" w:sz="4" w:space="0" w:color="auto"/>
              <w:right w:val="single" w:sz="4" w:space="0" w:color="auto"/>
            </w:tcBorders>
            <w:vAlign w:val="center"/>
            <w:hideMark/>
          </w:tcPr>
          <w:p w14:paraId="6F783EE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100075</w:t>
            </w:r>
          </w:p>
        </w:tc>
        <w:tc>
          <w:tcPr>
            <w:tcW w:w="776" w:type="dxa"/>
            <w:tcBorders>
              <w:top w:val="nil"/>
              <w:left w:val="nil"/>
              <w:bottom w:val="single" w:sz="4" w:space="0" w:color="auto"/>
              <w:right w:val="single" w:sz="4" w:space="0" w:color="auto"/>
            </w:tcBorders>
            <w:vAlign w:val="center"/>
            <w:hideMark/>
          </w:tcPr>
          <w:p w14:paraId="7312E13D"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110393</w:t>
            </w:r>
          </w:p>
        </w:tc>
        <w:tc>
          <w:tcPr>
            <w:tcW w:w="783" w:type="dxa"/>
            <w:tcBorders>
              <w:top w:val="nil"/>
              <w:left w:val="nil"/>
              <w:bottom w:val="single" w:sz="4" w:space="0" w:color="auto"/>
              <w:right w:val="single" w:sz="4" w:space="0" w:color="auto"/>
            </w:tcBorders>
            <w:vAlign w:val="center"/>
            <w:hideMark/>
          </w:tcPr>
          <w:p w14:paraId="3657DB85"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121641</w:t>
            </w:r>
          </w:p>
        </w:tc>
        <w:tc>
          <w:tcPr>
            <w:tcW w:w="850" w:type="dxa"/>
            <w:tcBorders>
              <w:top w:val="nil"/>
              <w:left w:val="nil"/>
              <w:bottom w:val="single" w:sz="4" w:space="0" w:color="auto"/>
              <w:right w:val="single" w:sz="4" w:space="0" w:color="auto"/>
            </w:tcBorders>
            <w:vAlign w:val="center"/>
            <w:hideMark/>
          </w:tcPr>
          <w:p w14:paraId="638D489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133876</w:t>
            </w:r>
          </w:p>
        </w:tc>
        <w:tc>
          <w:tcPr>
            <w:tcW w:w="993" w:type="dxa"/>
            <w:tcBorders>
              <w:top w:val="nil"/>
              <w:left w:val="nil"/>
              <w:bottom w:val="single" w:sz="4" w:space="0" w:color="auto"/>
              <w:right w:val="single" w:sz="4" w:space="0" w:color="auto"/>
            </w:tcBorders>
            <w:vAlign w:val="center"/>
            <w:hideMark/>
          </w:tcPr>
          <w:p w14:paraId="3E27C44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556612</w:t>
            </w:r>
          </w:p>
        </w:tc>
      </w:tr>
      <w:tr w:rsidR="00675F76" w:rsidRPr="00A855A5" w14:paraId="07E36079"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6A2A680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w:t>
            </w:r>
          </w:p>
        </w:tc>
        <w:tc>
          <w:tcPr>
            <w:tcW w:w="1416" w:type="dxa"/>
            <w:tcBorders>
              <w:top w:val="nil"/>
              <w:left w:val="nil"/>
              <w:bottom w:val="single" w:sz="4" w:space="0" w:color="auto"/>
              <w:right w:val="single" w:sz="4" w:space="0" w:color="auto"/>
            </w:tcBorders>
            <w:vAlign w:val="center"/>
            <w:hideMark/>
          </w:tcPr>
          <w:p w14:paraId="77E658C4"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Madhya Pradesh</w:t>
            </w:r>
          </w:p>
        </w:tc>
        <w:tc>
          <w:tcPr>
            <w:tcW w:w="851" w:type="dxa"/>
            <w:tcBorders>
              <w:top w:val="nil"/>
              <w:left w:val="nil"/>
              <w:bottom w:val="single" w:sz="4" w:space="0" w:color="auto"/>
              <w:right w:val="single" w:sz="4" w:space="0" w:color="auto"/>
            </w:tcBorders>
            <w:vAlign w:val="center"/>
            <w:hideMark/>
          </w:tcPr>
          <w:p w14:paraId="5AE8512F"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67064</w:t>
            </w:r>
          </w:p>
        </w:tc>
        <w:tc>
          <w:tcPr>
            <w:tcW w:w="850" w:type="dxa"/>
            <w:tcBorders>
              <w:top w:val="nil"/>
              <w:left w:val="nil"/>
              <w:bottom w:val="single" w:sz="4" w:space="0" w:color="auto"/>
              <w:right w:val="single" w:sz="4" w:space="0" w:color="auto"/>
            </w:tcBorders>
            <w:vAlign w:val="center"/>
            <w:hideMark/>
          </w:tcPr>
          <w:p w14:paraId="1D7F6D3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76635</w:t>
            </w:r>
          </w:p>
        </w:tc>
        <w:tc>
          <w:tcPr>
            <w:tcW w:w="851" w:type="dxa"/>
            <w:tcBorders>
              <w:top w:val="nil"/>
              <w:left w:val="nil"/>
              <w:bottom w:val="single" w:sz="4" w:space="0" w:color="auto"/>
              <w:right w:val="single" w:sz="4" w:space="0" w:color="auto"/>
            </w:tcBorders>
            <w:vAlign w:val="center"/>
            <w:hideMark/>
          </w:tcPr>
          <w:p w14:paraId="3C8CA09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87246</w:t>
            </w:r>
          </w:p>
        </w:tc>
        <w:tc>
          <w:tcPr>
            <w:tcW w:w="776" w:type="dxa"/>
            <w:tcBorders>
              <w:top w:val="nil"/>
              <w:left w:val="nil"/>
              <w:bottom w:val="single" w:sz="4" w:space="0" w:color="auto"/>
              <w:right w:val="single" w:sz="4" w:space="0" w:color="auto"/>
            </w:tcBorders>
            <w:vAlign w:val="center"/>
            <w:hideMark/>
          </w:tcPr>
          <w:p w14:paraId="79FA2FC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98979</w:t>
            </w:r>
          </w:p>
        </w:tc>
        <w:tc>
          <w:tcPr>
            <w:tcW w:w="783" w:type="dxa"/>
            <w:tcBorders>
              <w:top w:val="nil"/>
              <w:left w:val="nil"/>
              <w:bottom w:val="single" w:sz="4" w:space="0" w:color="auto"/>
              <w:right w:val="single" w:sz="4" w:space="0" w:color="auto"/>
            </w:tcBorders>
            <w:vAlign w:val="center"/>
            <w:hideMark/>
          </w:tcPr>
          <w:p w14:paraId="0E08AEF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111688</w:t>
            </w:r>
          </w:p>
        </w:tc>
        <w:tc>
          <w:tcPr>
            <w:tcW w:w="850" w:type="dxa"/>
            <w:tcBorders>
              <w:top w:val="nil"/>
              <w:left w:val="nil"/>
              <w:bottom w:val="single" w:sz="4" w:space="0" w:color="auto"/>
              <w:right w:val="single" w:sz="4" w:space="0" w:color="auto"/>
            </w:tcBorders>
            <w:vAlign w:val="center"/>
            <w:hideMark/>
          </w:tcPr>
          <w:p w14:paraId="7E2D8F0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122835</w:t>
            </w:r>
          </w:p>
        </w:tc>
        <w:tc>
          <w:tcPr>
            <w:tcW w:w="993" w:type="dxa"/>
            <w:tcBorders>
              <w:top w:val="nil"/>
              <w:left w:val="nil"/>
              <w:bottom w:val="single" w:sz="4" w:space="0" w:color="auto"/>
              <w:right w:val="single" w:sz="4" w:space="0" w:color="auto"/>
            </w:tcBorders>
            <w:vAlign w:val="center"/>
            <w:hideMark/>
          </w:tcPr>
          <w:p w14:paraId="34D5C495"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497384</w:t>
            </w:r>
          </w:p>
        </w:tc>
      </w:tr>
      <w:tr w:rsidR="00675F76" w:rsidRPr="00A855A5" w14:paraId="5221F8F8"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38F8BB5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w:t>
            </w:r>
          </w:p>
        </w:tc>
        <w:tc>
          <w:tcPr>
            <w:tcW w:w="1416" w:type="dxa"/>
            <w:tcBorders>
              <w:top w:val="nil"/>
              <w:left w:val="nil"/>
              <w:bottom w:val="single" w:sz="4" w:space="0" w:color="auto"/>
              <w:right w:val="single" w:sz="4" w:space="0" w:color="auto"/>
            </w:tcBorders>
            <w:vAlign w:val="center"/>
            <w:hideMark/>
          </w:tcPr>
          <w:p w14:paraId="39384AC8"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Maharashtra</w:t>
            </w:r>
          </w:p>
        </w:tc>
        <w:tc>
          <w:tcPr>
            <w:tcW w:w="851" w:type="dxa"/>
            <w:tcBorders>
              <w:top w:val="nil"/>
              <w:left w:val="nil"/>
              <w:bottom w:val="single" w:sz="4" w:space="0" w:color="auto"/>
              <w:right w:val="single" w:sz="4" w:space="0" w:color="auto"/>
            </w:tcBorders>
            <w:vAlign w:val="center"/>
            <w:hideMark/>
          </w:tcPr>
          <w:p w14:paraId="3F99A16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272655</w:t>
            </w:r>
          </w:p>
        </w:tc>
        <w:tc>
          <w:tcPr>
            <w:tcW w:w="850" w:type="dxa"/>
            <w:tcBorders>
              <w:top w:val="nil"/>
              <w:left w:val="nil"/>
              <w:bottom w:val="single" w:sz="4" w:space="0" w:color="auto"/>
              <w:right w:val="single" w:sz="4" w:space="0" w:color="auto"/>
            </w:tcBorders>
            <w:vAlign w:val="center"/>
            <w:hideMark/>
          </w:tcPr>
          <w:p w14:paraId="03D13EC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302976</w:t>
            </w:r>
          </w:p>
        </w:tc>
        <w:tc>
          <w:tcPr>
            <w:tcW w:w="851" w:type="dxa"/>
            <w:tcBorders>
              <w:top w:val="nil"/>
              <w:left w:val="nil"/>
              <w:bottom w:val="single" w:sz="4" w:space="0" w:color="auto"/>
              <w:right w:val="single" w:sz="4" w:space="0" w:color="auto"/>
            </w:tcBorders>
            <w:vAlign w:val="center"/>
            <w:hideMark/>
          </w:tcPr>
          <w:p w14:paraId="0D628D7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336072</w:t>
            </w:r>
          </w:p>
        </w:tc>
        <w:tc>
          <w:tcPr>
            <w:tcW w:w="776" w:type="dxa"/>
            <w:tcBorders>
              <w:top w:val="nil"/>
              <w:left w:val="nil"/>
              <w:bottom w:val="single" w:sz="4" w:space="0" w:color="auto"/>
              <w:right w:val="single" w:sz="4" w:space="0" w:color="auto"/>
            </w:tcBorders>
            <w:vAlign w:val="center"/>
            <w:hideMark/>
          </w:tcPr>
          <w:p w14:paraId="18DA166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372120</w:t>
            </w:r>
          </w:p>
        </w:tc>
        <w:tc>
          <w:tcPr>
            <w:tcW w:w="783" w:type="dxa"/>
            <w:tcBorders>
              <w:top w:val="nil"/>
              <w:left w:val="nil"/>
              <w:bottom w:val="single" w:sz="4" w:space="0" w:color="auto"/>
              <w:right w:val="single" w:sz="4" w:space="0" w:color="auto"/>
            </w:tcBorders>
            <w:vAlign w:val="center"/>
            <w:hideMark/>
          </w:tcPr>
          <w:p w14:paraId="01993C4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411288</w:t>
            </w:r>
          </w:p>
        </w:tc>
        <w:tc>
          <w:tcPr>
            <w:tcW w:w="850" w:type="dxa"/>
            <w:tcBorders>
              <w:top w:val="nil"/>
              <w:left w:val="nil"/>
              <w:bottom w:val="single" w:sz="4" w:space="0" w:color="auto"/>
              <w:right w:val="single" w:sz="4" w:space="0" w:color="auto"/>
            </w:tcBorders>
            <w:vAlign w:val="center"/>
            <w:hideMark/>
          </w:tcPr>
          <w:p w14:paraId="6EAAAD6F"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453734</w:t>
            </w:r>
          </w:p>
        </w:tc>
        <w:tc>
          <w:tcPr>
            <w:tcW w:w="993" w:type="dxa"/>
            <w:tcBorders>
              <w:top w:val="nil"/>
              <w:left w:val="nil"/>
              <w:bottom w:val="single" w:sz="4" w:space="0" w:color="auto"/>
              <w:right w:val="single" w:sz="4" w:space="0" w:color="auto"/>
            </w:tcBorders>
            <w:vAlign w:val="center"/>
            <w:hideMark/>
          </w:tcPr>
          <w:p w14:paraId="24CC714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1876189</w:t>
            </w:r>
          </w:p>
        </w:tc>
      </w:tr>
      <w:tr w:rsidR="00675F76" w:rsidRPr="00A855A5" w14:paraId="11B9B645"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7C5935E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w:t>
            </w:r>
          </w:p>
        </w:tc>
        <w:tc>
          <w:tcPr>
            <w:tcW w:w="1416" w:type="dxa"/>
            <w:tcBorders>
              <w:top w:val="nil"/>
              <w:left w:val="nil"/>
              <w:bottom w:val="single" w:sz="4" w:space="0" w:color="auto"/>
              <w:right w:val="single" w:sz="4" w:space="0" w:color="auto"/>
            </w:tcBorders>
            <w:vAlign w:val="center"/>
            <w:hideMark/>
          </w:tcPr>
          <w:p w14:paraId="0576E4A0"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Orissa</w:t>
            </w:r>
          </w:p>
        </w:tc>
        <w:tc>
          <w:tcPr>
            <w:tcW w:w="851" w:type="dxa"/>
            <w:tcBorders>
              <w:top w:val="nil"/>
              <w:left w:val="nil"/>
              <w:bottom w:val="single" w:sz="4" w:space="0" w:color="auto"/>
              <w:right w:val="single" w:sz="4" w:space="0" w:color="auto"/>
            </w:tcBorders>
            <w:vAlign w:val="center"/>
            <w:hideMark/>
          </w:tcPr>
          <w:p w14:paraId="3D2D76A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27489</w:t>
            </w:r>
          </w:p>
        </w:tc>
        <w:tc>
          <w:tcPr>
            <w:tcW w:w="850" w:type="dxa"/>
            <w:tcBorders>
              <w:top w:val="nil"/>
              <w:left w:val="nil"/>
              <w:bottom w:val="single" w:sz="4" w:space="0" w:color="auto"/>
              <w:right w:val="single" w:sz="4" w:space="0" w:color="auto"/>
            </w:tcBorders>
            <w:vAlign w:val="center"/>
            <w:hideMark/>
          </w:tcPr>
          <w:p w14:paraId="142E1580"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31842</w:t>
            </w:r>
          </w:p>
        </w:tc>
        <w:tc>
          <w:tcPr>
            <w:tcW w:w="851" w:type="dxa"/>
            <w:tcBorders>
              <w:top w:val="nil"/>
              <w:left w:val="nil"/>
              <w:bottom w:val="single" w:sz="4" w:space="0" w:color="auto"/>
              <w:right w:val="single" w:sz="4" w:space="0" w:color="auto"/>
            </w:tcBorders>
            <w:vAlign w:val="center"/>
            <w:hideMark/>
          </w:tcPr>
          <w:p w14:paraId="46FB9CC0"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36320</w:t>
            </w:r>
          </w:p>
        </w:tc>
        <w:tc>
          <w:tcPr>
            <w:tcW w:w="776" w:type="dxa"/>
            <w:tcBorders>
              <w:top w:val="nil"/>
              <w:left w:val="nil"/>
              <w:bottom w:val="single" w:sz="4" w:space="0" w:color="auto"/>
              <w:right w:val="single" w:sz="4" w:space="0" w:color="auto"/>
            </w:tcBorders>
            <w:vAlign w:val="center"/>
            <w:hideMark/>
          </w:tcPr>
          <w:p w14:paraId="3DB9560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41329</w:t>
            </w:r>
          </w:p>
        </w:tc>
        <w:tc>
          <w:tcPr>
            <w:tcW w:w="783" w:type="dxa"/>
            <w:tcBorders>
              <w:top w:val="nil"/>
              <w:left w:val="nil"/>
              <w:bottom w:val="single" w:sz="4" w:space="0" w:color="auto"/>
              <w:right w:val="single" w:sz="4" w:space="0" w:color="auto"/>
            </w:tcBorders>
            <w:vAlign w:val="center"/>
            <w:hideMark/>
          </w:tcPr>
          <w:p w14:paraId="0A253F8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46890</w:t>
            </w:r>
          </w:p>
        </w:tc>
        <w:tc>
          <w:tcPr>
            <w:tcW w:w="850" w:type="dxa"/>
            <w:tcBorders>
              <w:top w:val="nil"/>
              <w:left w:val="nil"/>
              <w:bottom w:val="single" w:sz="4" w:space="0" w:color="auto"/>
              <w:right w:val="single" w:sz="4" w:space="0" w:color="auto"/>
            </w:tcBorders>
            <w:vAlign w:val="center"/>
            <w:hideMark/>
          </w:tcPr>
          <w:p w14:paraId="5203E03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52358</w:t>
            </w:r>
          </w:p>
        </w:tc>
        <w:tc>
          <w:tcPr>
            <w:tcW w:w="993" w:type="dxa"/>
            <w:tcBorders>
              <w:top w:val="nil"/>
              <w:left w:val="nil"/>
              <w:bottom w:val="single" w:sz="4" w:space="0" w:color="auto"/>
              <w:right w:val="single" w:sz="4" w:space="0" w:color="auto"/>
            </w:tcBorders>
            <w:vAlign w:val="center"/>
            <w:hideMark/>
          </w:tcPr>
          <w:p w14:paraId="79BE39B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208738</w:t>
            </w:r>
          </w:p>
        </w:tc>
      </w:tr>
      <w:tr w:rsidR="00675F76" w:rsidRPr="00A855A5" w14:paraId="6A81E539"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1C9227F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10</w:t>
            </w:r>
          </w:p>
        </w:tc>
        <w:tc>
          <w:tcPr>
            <w:tcW w:w="1416" w:type="dxa"/>
            <w:tcBorders>
              <w:top w:val="nil"/>
              <w:left w:val="nil"/>
              <w:bottom w:val="single" w:sz="4" w:space="0" w:color="auto"/>
              <w:right w:val="single" w:sz="4" w:space="0" w:color="auto"/>
            </w:tcBorders>
            <w:vAlign w:val="center"/>
            <w:hideMark/>
          </w:tcPr>
          <w:p w14:paraId="2E132F34"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Punjab</w:t>
            </w:r>
          </w:p>
        </w:tc>
        <w:tc>
          <w:tcPr>
            <w:tcW w:w="851" w:type="dxa"/>
            <w:tcBorders>
              <w:top w:val="nil"/>
              <w:left w:val="nil"/>
              <w:bottom w:val="single" w:sz="4" w:space="0" w:color="auto"/>
              <w:right w:val="single" w:sz="4" w:space="0" w:color="auto"/>
            </w:tcBorders>
            <w:vAlign w:val="center"/>
            <w:hideMark/>
          </w:tcPr>
          <w:p w14:paraId="3106B1E3"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57739</w:t>
            </w:r>
          </w:p>
        </w:tc>
        <w:tc>
          <w:tcPr>
            <w:tcW w:w="850" w:type="dxa"/>
            <w:tcBorders>
              <w:top w:val="nil"/>
              <w:left w:val="nil"/>
              <w:bottom w:val="single" w:sz="4" w:space="0" w:color="auto"/>
              <w:right w:val="single" w:sz="4" w:space="0" w:color="auto"/>
            </w:tcBorders>
            <w:vAlign w:val="center"/>
            <w:hideMark/>
          </w:tcPr>
          <w:p w14:paraId="68E31CB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64945</w:t>
            </w:r>
          </w:p>
        </w:tc>
        <w:tc>
          <w:tcPr>
            <w:tcW w:w="851" w:type="dxa"/>
            <w:tcBorders>
              <w:top w:val="nil"/>
              <w:left w:val="nil"/>
              <w:bottom w:val="single" w:sz="4" w:space="0" w:color="auto"/>
              <w:right w:val="single" w:sz="4" w:space="0" w:color="auto"/>
            </w:tcBorders>
            <w:vAlign w:val="center"/>
            <w:hideMark/>
          </w:tcPr>
          <w:p w14:paraId="6BD09A3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73041</w:t>
            </w:r>
          </w:p>
        </w:tc>
        <w:tc>
          <w:tcPr>
            <w:tcW w:w="776" w:type="dxa"/>
            <w:tcBorders>
              <w:top w:val="nil"/>
              <w:left w:val="nil"/>
              <w:bottom w:val="single" w:sz="4" w:space="0" w:color="auto"/>
              <w:right w:val="single" w:sz="4" w:space="0" w:color="auto"/>
            </w:tcBorders>
            <w:vAlign w:val="center"/>
            <w:hideMark/>
          </w:tcPr>
          <w:p w14:paraId="3CB97A70"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82123</w:t>
            </w:r>
          </w:p>
        </w:tc>
        <w:tc>
          <w:tcPr>
            <w:tcW w:w="783" w:type="dxa"/>
            <w:tcBorders>
              <w:top w:val="nil"/>
              <w:left w:val="nil"/>
              <w:bottom w:val="single" w:sz="4" w:space="0" w:color="auto"/>
              <w:right w:val="single" w:sz="4" w:space="0" w:color="auto"/>
            </w:tcBorders>
            <w:vAlign w:val="center"/>
            <w:hideMark/>
          </w:tcPr>
          <w:p w14:paraId="329AECB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92183</w:t>
            </w:r>
          </w:p>
        </w:tc>
        <w:tc>
          <w:tcPr>
            <w:tcW w:w="850" w:type="dxa"/>
            <w:tcBorders>
              <w:top w:val="nil"/>
              <w:left w:val="nil"/>
              <w:bottom w:val="single" w:sz="4" w:space="0" w:color="auto"/>
              <w:right w:val="single" w:sz="4" w:space="0" w:color="auto"/>
            </w:tcBorders>
            <w:vAlign w:val="center"/>
            <w:hideMark/>
          </w:tcPr>
          <w:p w14:paraId="7C78BE2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102175</w:t>
            </w:r>
          </w:p>
        </w:tc>
        <w:tc>
          <w:tcPr>
            <w:tcW w:w="993" w:type="dxa"/>
            <w:tcBorders>
              <w:top w:val="nil"/>
              <w:left w:val="nil"/>
              <w:bottom w:val="single" w:sz="4" w:space="0" w:color="auto"/>
              <w:right w:val="single" w:sz="4" w:space="0" w:color="auto"/>
            </w:tcBorders>
            <w:vAlign w:val="center"/>
            <w:hideMark/>
          </w:tcPr>
          <w:p w14:paraId="3F24313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414466</w:t>
            </w:r>
          </w:p>
        </w:tc>
      </w:tr>
      <w:tr w:rsidR="00675F76" w:rsidRPr="00A855A5" w14:paraId="32669144"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1443A36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11</w:t>
            </w:r>
          </w:p>
        </w:tc>
        <w:tc>
          <w:tcPr>
            <w:tcW w:w="1416" w:type="dxa"/>
            <w:tcBorders>
              <w:top w:val="nil"/>
              <w:left w:val="nil"/>
              <w:bottom w:val="single" w:sz="4" w:space="0" w:color="auto"/>
              <w:right w:val="single" w:sz="4" w:space="0" w:color="auto"/>
            </w:tcBorders>
            <w:vAlign w:val="center"/>
            <w:hideMark/>
          </w:tcPr>
          <w:p w14:paraId="01E0B59C"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Rajasthan</w:t>
            </w:r>
          </w:p>
        </w:tc>
        <w:tc>
          <w:tcPr>
            <w:tcW w:w="851" w:type="dxa"/>
            <w:tcBorders>
              <w:top w:val="nil"/>
              <w:left w:val="nil"/>
              <w:bottom w:val="single" w:sz="4" w:space="0" w:color="auto"/>
              <w:right w:val="single" w:sz="4" w:space="0" w:color="auto"/>
            </w:tcBorders>
            <w:vAlign w:val="center"/>
            <w:hideMark/>
          </w:tcPr>
          <w:p w14:paraId="24A3D99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61731</w:t>
            </w:r>
          </w:p>
        </w:tc>
        <w:tc>
          <w:tcPr>
            <w:tcW w:w="850" w:type="dxa"/>
            <w:tcBorders>
              <w:top w:val="nil"/>
              <w:left w:val="nil"/>
              <w:bottom w:val="single" w:sz="4" w:space="0" w:color="auto"/>
              <w:right w:val="single" w:sz="4" w:space="0" w:color="auto"/>
            </w:tcBorders>
            <w:vAlign w:val="center"/>
            <w:hideMark/>
          </w:tcPr>
          <w:p w14:paraId="3CDE7CD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68049</w:t>
            </w:r>
          </w:p>
        </w:tc>
        <w:tc>
          <w:tcPr>
            <w:tcW w:w="851" w:type="dxa"/>
            <w:tcBorders>
              <w:top w:val="nil"/>
              <w:left w:val="nil"/>
              <w:bottom w:val="single" w:sz="4" w:space="0" w:color="auto"/>
              <w:right w:val="single" w:sz="4" w:space="0" w:color="auto"/>
            </w:tcBorders>
            <w:vAlign w:val="center"/>
            <w:hideMark/>
          </w:tcPr>
          <w:p w14:paraId="3E687443"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74835</w:t>
            </w:r>
          </w:p>
        </w:tc>
        <w:tc>
          <w:tcPr>
            <w:tcW w:w="776" w:type="dxa"/>
            <w:tcBorders>
              <w:top w:val="nil"/>
              <w:left w:val="nil"/>
              <w:bottom w:val="single" w:sz="4" w:space="0" w:color="auto"/>
              <w:right w:val="single" w:sz="4" w:space="0" w:color="auto"/>
            </w:tcBorders>
            <w:vAlign w:val="center"/>
            <w:hideMark/>
          </w:tcPr>
          <w:p w14:paraId="4841099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82127</w:t>
            </w:r>
          </w:p>
        </w:tc>
        <w:tc>
          <w:tcPr>
            <w:tcW w:w="783" w:type="dxa"/>
            <w:tcBorders>
              <w:top w:val="nil"/>
              <w:left w:val="nil"/>
              <w:bottom w:val="single" w:sz="4" w:space="0" w:color="auto"/>
              <w:right w:val="single" w:sz="4" w:space="0" w:color="auto"/>
            </w:tcBorders>
            <w:vAlign w:val="center"/>
            <w:hideMark/>
          </w:tcPr>
          <w:p w14:paraId="021A3BE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89848</w:t>
            </w:r>
          </w:p>
        </w:tc>
        <w:tc>
          <w:tcPr>
            <w:tcW w:w="850" w:type="dxa"/>
            <w:tcBorders>
              <w:top w:val="nil"/>
              <w:left w:val="nil"/>
              <w:bottom w:val="single" w:sz="4" w:space="0" w:color="auto"/>
              <w:right w:val="single" w:sz="4" w:space="0" w:color="auto"/>
            </w:tcBorders>
            <w:vAlign w:val="center"/>
            <w:hideMark/>
          </w:tcPr>
          <w:p w14:paraId="4379CAE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96895</w:t>
            </w:r>
          </w:p>
        </w:tc>
        <w:tc>
          <w:tcPr>
            <w:tcW w:w="993" w:type="dxa"/>
            <w:tcBorders>
              <w:top w:val="nil"/>
              <w:left w:val="nil"/>
              <w:bottom w:val="single" w:sz="4" w:space="0" w:color="auto"/>
              <w:right w:val="single" w:sz="4" w:space="0" w:color="auto"/>
            </w:tcBorders>
            <w:vAlign w:val="center"/>
            <w:hideMark/>
          </w:tcPr>
          <w:p w14:paraId="326A485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411754</w:t>
            </w:r>
          </w:p>
        </w:tc>
      </w:tr>
      <w:tr w:rsidR="00675F76" w:rsidRPr="00A855A5" w14:paraId="07D2FB80"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23DFBF1D"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12</w:t>
            </w:r>
          </w:p>
        </w:tc>
        <w:tc>
          <w:tcPr>
            <w:tcW w:w="1416" w:type="dxa"/>
            <w:tcBorders>
              <w:top w:val="nil"/>
              <w:left w:val="nil"/>
              <w:bottom w:val="single" w:sz="4" w:space="0" w:color="auto"/>
              <w:right w:val="single" w:sz="4" w:space="0" w:color="auto"/>
            </w:tcBorders>
            <w:vAlign w:val="center"/>
            <w:hideMark/>
          </w:tcPr>
          <w:p w14:paraId="59B3741B"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Tamil Nadu</w:t>
            </w:r>
          </w:p>
        </w:tc>
        <w:tc>
          <w:tcPr>
            <w:tcW w:w="851" w:type="dxa"/>
            <w:tcBorders>
              <w:top w:val="nil"/>
              <w:left w:val="nil"/>
              <w:bottom w:val="single" w:sz="4" w:space="0" w:color="auto"/>
              <w:right w:val="single" w:sz="4" w:space="0" w:color="auto"/>
            </w:tcBorders>
            <w:vAlign w:val="center"/>
            <w:hideMark/>
          </w:tcPr>
          <w:p w14:paraId="547A0EF7"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163799</w:t>
            </w:r>
          </w:p>
        </w:tc>
        <w:tc>
          <w:tcPr>
            <w:tcW w:w="850" w:type="dxa"/>
            <w:tcBorders>
              <w:top w:val="nil"/>
              <w:left w:val="nil"/>
              <w:bottom w:val="single" w:sz="4" w:space="0" w:color="auto"/>
              <w:right w:val="single" w:sz="4" w:space="0" w:color="auto"/>
            </w:tcBorders>
            <w:vAlign w:val="center"/>
            <w:hideMark/>
          </w:tcPr>
          <w:p w14:paraId="699D0DC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188219</w:t>
            </w:r>
          </w:p>
        </w:tc>
        <w:tc>
          <w:tcPr>
            <w:tcW w:w="851" w:type="dxa"/>
            <w:tcBorders>
              <w:top w:val="nil"/>
              <w:left w:val="nil"/>
              <w:bottom w:val="single" w:sz="4" w:space="0" w:color="auto"/>
              <w:right w:val="single" w:sz="4" w:space="0" w:color="auto"/>
            </w:tcBorders>
            <w:vAlign w:val="center"/>
            <w:hideMark/>
          </w:tcPr>
          <w:p w14:paraId="49270C7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215980</w:t>
            </w:r>
          </w:p>
        </w:tc>
        <w:tc>
          <w:tcPr>
            <w:tcW w:w="776" w:type="dxa"/>
            <w:tcBorders>
              <w:top w:val="nil"/>
              <w:left w:val="nil"/>
              <w:bottom w:val="single" w:sz="4" w:space="0" w:color="auto"/>
              <w:right w:val="single" w:sz="4" w:space="0" w:color="auto"/>
            </w:tcBorders>
            <w:vAlign w:val="center"/>
            <w:hideMark/>
          </w:tcPr>
          <w:p w14:paraId="7A155A3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247471</w:t>
            </w:r>
          </w:p>
        </w:tc>
        <w:tc>
          <w:tcPr>
            <w:tcW w:w="783" w:type="dxa"/>
            <w:tcBorders>
              <w:top w:val="nil"/>
              <w:left w:val="nil"/>
              <w:bottom w:val="single" w:sz="4" w:space="0" w:color="auto"/>
              <w:right w:val="single" w:sz="4" w:space="0" w:color="auto"/>
            </w:tcBorders>
            <w:vAlign w:val="center"/>
            <w:hideMark/>
          </w:tcPr>
          <w:p w14:paraId="2033B46C"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282601</w:t>
            </w:r>
          </w:p>
        </w:tc>
        <w:tc>
          <w:tcPr>
            <w:tcW w:w="850" w:type="dxa"/>
            <w:tcBorders>
              <w:top w:val="nil"/>
              <w:left w:val="nil"/>
              <w:bottom w:val="single" w:sz="4" w:space="0" w:color="auto"/>
              <w:right w:val="single" w:sz="4" w:space="0" w:color="auto"/>
            </w:tcBorders>
            <w:vAlign w:val="center"/>
            <w:hideMark/>
          </w:tcPr>
          <w:p w14:paraId="7A9D5A30"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315028</w:t>
            </w:r>
          </w:p>
        </w:tc>
        <w:tc>
          <w:tcPr>
            <w:tcW w:w="993" w:type="dxa"/>
            <w:tcBorders>
              <w:top w:val="nil"/>
              <w:left w:val="nil"/>
              <w:bottom w:val="single" w:sz="4" w:space="0" w:color="auto"/>
              <w:right w:val="single" w:sz="4" w:space="0" w:color="auto"/>
            </w:tcBorders>
            <w:vAlign w:val="center"/>
            <w:hideMark/>
          </w:tcPr>
          <w:p w14:paraId="0199E42B"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1249298</w:t>
            </w:r>
          </w:p>
        </w:tc>
      </w:tr>
      <w:tr w:rsidR="00675F76" w:rsidRPr="00A855A5" w14:paraId="021FD1AA"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4407019E"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13</w:t>
            </w:r>
          </w:p>
        </w:tc>
        <w:tc>
          <w:tcPr>
            <w:tcW w:w="1416" w:type="dxa"/>
            <w:tcBorders>
              <w:top w:val="nil"/>
              <w:left w:val="nil"/>
              <w:bottom w:val="single" w:sz="4" w:space="0" w:color="auto"/>
              <w:right w:val="single" w:sz="4" w:space="0" w:color="auto"/>
            </w:tcBorders>
            <w:vAlign w:val="center"/>
            <w:hideMark/>
          </w:tcPr>
          <w:p w14:paraId="5BD5DE81"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Uttar Pradesh</w:t>
            </w:r>
          </w:p>
        </w:tc>
        <w:tc>
          <w:tcPr>
            <w:tcW w:w="851" w:type="dxa"/>
            <w:tcBorders>
              <w:top w:val="nil"/>
              <w:left w:val="nil"/>
              <w:bottom w:val="single" w:sz="4" w:space="0" w:color="auto"/>
              <w:right w:val="single" w:sz="4" w:space="0" w:color="auto"/>
            </w:tcBorders>
            <w:vAlign w:val="center"/>
            <w:hideMark/>
          </w:tcPr>
          <w:p w14:paraId="36C5E3C4"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124848</w:t>
            </w:r>
          </w:p>
        </w:tc>
        <w:tc>
          <w:tcPr>
            <w:tcW w:w="850" w:type="dxa"/>
            <w:tcBorders>
              <w:top w:val="nil"/>
              <w:left w:val="nil"/>
              <w:bottom w:val="single" w:sz="4" w:space="0" w:color="auto"/>
              <w:right w:val="single" w:sz="4" w:space="0" w:color="auto"/>
            </w:tcBorders>
            <w:vAlign w:val="center"/>
            <w:hideMark/>
          </w:tcPr>
          <w:p w14:paraId="60BF951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144205</w:t>
            </w:r>
          </w:p>
        </w:tc>
        <w:tc>
          <w:tcPr>
            <w:tcW w:w="851" w:type="dxa"/>
            <w:tcBorders>
              <w:top w:val="nil"/>
              <w:left w:val="nil"/>
              <w:bottom w:val="single" w:sz="4" w:space="0" w:color="auto"/>
              <w:right w:val="single" w:sz="4" w:space="0" w:color="auto"/>
            </w:tcBorders>
            <w:vAlign w:val="center"/>
            <w:hideMark/>
          </w:tcPr>
          <w:p w14:paraId="30C6963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163548</w:t>
            </w:r>
          </w:p>
        </w:tc>
        <w:tc>
          <w:tcPr>
            <w:tcW w:w="776" w:type="dxa"/>
            <w:tcBorders>
              <w:top w:val="nil"/>
              <w:left w:val="nil"/>
              <w:bottom w:val="single" w:sz="4" w:space="0" w:color="auto"/>
              <w:right w:val="single" w:sz="4" w:space="0" w:color="auto"/>
            </w:tcBorders>
            <w:vAlign w:val="center"/>
            <w:hideMark/>
          </w:tcPr>
          <w:p w14:paraId="4D7DFBDF"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183837</w:t>
            </w:r>
          </w:p>
        </w:tc>
        <w:tc>
          <w:tcPr>
            <w:tcW w:w="783" w:type="dxa"/>
            <w:tcBorders>
              <w:top w:val="nil"/>
              <w:left w:val="nil"/>
              <w:bottom w:val="single" w:sz="4" w:space="0" w:color="auto"/>
              <w:right w:val="single" w:sz="4" w:space="0" w:color="auto"/>
            </w:tcBorders>
            <w:vAlign w:val="center"/>
            <w:hideMark/>
          </w:tcPr>
          <w:p w14:paraId="75347AD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204987</w:t>
            </w:r>
          </w:p>
        </w:tc>
        <w:tc>
          <w:tcPr>
            <w:tcW w:w="850" w:type="dxa"/>
            <w:tcBorders>
              <w:top w:val="nil"/>
              <w:left w:val="nil"/>
              <w:bottom w:val="single" w:sz="4" w:space="0" w:color="auto"/>
              <w:right w:val="single" w:sz="4" w:space="0" w:color="auto"/>
            </w:tcBorders>
            <w:vAlign w:val="center"/>
            <w:hideMark/>
          </w:tcPr>
          <w:p w14:paraId="795897D6"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221618</w:t>
            </w:r>
          </w:p>
        </w:tc>
        <w:tc>
          <w:tcPr>
            <w:tcW w:w="993" w:type="dxa"/>
            <w:tcBorders>
              <w:top w:val="nil"/>
              <w:left w:val="nil"/>
              <w:bottom w:val="single" w:sz="4" w:space="0" w:color="auto"/>
              <w:right w:val="single" w:sz="4" w:space="0" w:color="auto"/>
            </w:tcBorders>
            <w:vAlign w:val="center"/>
            <w:hideMark/>
          </w:tcPr>
          <w:p w14:paraId="56C5ECF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918196</w:t>
            </w:r>
          </w:p>
        </w:tc>
      </w:tr>
      <w:tr w:rsidR="00675F76" w:rsidRPr="00A855A5" w14:paraId="33266078"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hideMark/>
          </w:tcPr>
          <w:p w14:paraId="19BB20C1"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14</w:t>
            </w:r>
          </w:p>
        </w:tc>
        <w:tc>
          <w:tcPr>
            <w:tcW w:w="1416" w:type="dxa"/>
            <w:tcBorders>
              <w:top w:val="nil"/>
              <w:left w:val="nil"/>
              <w:bottom w:val="single" w:sz="4" w:space="0" w:color="auto"/>
              <w:right w:val="single" w:sz="4" w:space="0" w:color="auto"/>
            </w:tcBorders>
            <w:vAlign w:val="center"/>
            <w:hideMark/>
          </w:tcPr>
          <w:p w14:paraId="3AE45638" w14:textId="77777777" w:rsidR="00675F76" w:rsidRPr="00A855A5" w:rsidRDefault="00675F76" w:rsidP="005E0DD7">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West Bengal</w:t>
            </w:r>
          </w:p>
        </w:tc>
        <w:tc>
          <w:tcPr>
            <w:tcW w:w="851" w:type="dxa"/>
            <w:tcBorders>
              <w:top w:val="nil"/>
              <w:left w:val="nil"/>
              <w:bottom w:val="single" w:sz="4" w:space="0" w:color="auto"/>
              <w:right w:val="single" w:sz="4" w:space="0" w:color="auto"/>
            </w:tcBorders>
            <w:vAlign w:val="center"/>
            <w:hideMark/>
          </w:tcPr>
          <w:p w14:paraId="64CC857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105555</w:t>
            </w:r>
          </w:p>
        </w:tc>
        <w:tc>
          <w:tcPr>
            <w:tcW w:w="850" w:type="dxa"/>
            <w:tcBorders>
              <w:top w:val="nil"/>
              <w:left w:val="nil"/>
              <w:bottom w:val="single" w:sz="4" w:space="0" w:color="auto"/>
              <w:right w:val="single" w:sz="4" w:space="0" w:color="auto"/>
            </w:tcBorders>
            <w:vAlign w:val="center"/>
            <w:hideMark/>
          </w:tcPr>
          <w:p w14:paraId="152958B6"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120696</w:t>
            </w:r>
          </w:p>
        </w:tc>
        <w:tc>
          <w:tcPr>
            <w:tcW w:w="851" w:type="dxa"/>
            <w:tcBorders>
              <w:top w:val="nil"/>
              <w:left w:val="nil"/>
              <w:bottom w:val="single" w:sz="4" w:space="0" w:color="auto"/>
              <w:right w:val="single" w:sz="4" w:space="0" w:color="auto"/>
            </w:tcBorders>
            <w:vAlign w:val="center"/>
            <w:hideMark/>
          </w:tcPr>
          <w:p w14:paraId="6E3D0B37"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137768</w:t>
            </w:r>
          </w:p>
        </w:tc>
        <w:tc>
          <w:tcPr>
            <w:tcW w:w="776" w:type="dxa"/>
            <w:tcBorders>
              <w:top w:val="nil"/>
              <w:left w:val="nil"/>
              <w:bottom w:val="single" w:sz="4" w:space="0" w:color="auto"/>
              <w:right w:val="single" w:sz="4" w:space="0" w:color="auto"/>
            </w:tcBorders>
            <w:vAlign w:val="center"/>
            <w:hideMark/>
          </w:tcPr>
          <w:p w14:paraId="36E439A9"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156949</w:t>
            </w:r>
          </w:p>
        </w:tc>
        <w:tc>
          <w:tcPr>
            <w:tcW w:w="783" w:type="dxa"/>
            <w:tcBorders>
              <w:top w:val="nil"/>
              <w:left w:val="nil"/>
              <w:bottom w:val="single" w:sz="4" w:space="0" w:color="auto"/>
              <w:right w:val="single" w:sz="4" w:space="0" w:color="auto"/>
            </w:tcBorders>
            <w:vAlign w:val="center"/>
            <w:hideMark/>
          </w:tcPr>
          <w:p w14:paraId="6C84EBD2"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177935</w:t>
            </w:r>
          </w:p>
        </w:tc>
        <w:tc>
          <w:tcPr>
            <w:tcW w:w="850" w:type="dxa"/>
            <w:tcBorders>
              <w:top w:val="nil"/>
              <w:left w:val="nil"/>
              <w:bottom w:val="single" w:sz="4" w:space="0" w:color="auto"/>
              <w:right w:val="single" w:sz="4" w:space="0" w:color="auto"/>
            </w:tcBorders>
            <w:vAlign w:val="center"/>
            <w:hideMark/>
          </w:tcPr>
          <w:p w14:paraId="4257D8EA"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194774</w:t>
            </w:r>
          </w:p>
        </w:tc>
        <w:tc>
          <w:tcPr>
            <w:tcW w:w="993" w:type="dxa"/>
            <w:tcBorders>
              <w:top w:val="nil"/>
              <w:left w:val="nil"/>
              <w:bottom w:val="single" w:sz="4" w:space="0" w:color="auto"/>
              <w:right w:val="single" w:sz="4" w:space="0" w:color="auto"/>
            </w:tcBorders>
            <w:vAlign w:val="center"/>
            <w:hideMark/>
          </w:tcPr>
          <w:p w14:paraId="3F296C23" w14:textId="77777777" w:rsidR="00675F76" w:rsidRPr="00A855A5"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color w:val="000000"/>
                <w:kern w:val="0"/>
                <w:sz w:val="16"/>
                <w:szCs w:val="16"/>
                <w:lang w:eastAsia="en-IN" w:bidi="ar-SA"/>
                <w14:ligatures w14:val="none"/>
              </w:rPr>
              <w:t>788123</w:t>
            </w:r>
          </w:p>
        </w:tc>
      </w:tr>
      <w:tr w:rsidR="000F76DE" w:rsidRPr="00A855A5" w14:paraId="220B577B" w14:textId="77777777" w:rsidTr="00B379BA">
        <w:trPr>
          <w:trHeight w:val="20"/>
          <w:jc w:val="center"/>
        </w:trPr>
        <w:tc>
          <w:tcPr>
            <w:tcW w:w="1838" w:type="dxa"/>
            <w:gridSpan w:val="2"/>
            <w:tcBorders>
              <w:top w:val="nil"/>
              <w:left w:val="single" w:sz="4" w:space="0" w:color="auto"/>
              <w:bottom w:val="single" w:sz="4" w:space="0" w:color="auto"/>
              <w:right w:val="single" w:sz="4" w:space="0" w:color="auto"/>
            </w:tcBorders>
            <w:vAlign w:val="center"/>
          </w:tcPr>
          <w:p w14:paraId="15A92F1E" w14:textId="4909C952"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Aptos" w:eastAsia="Times New Roman" w:hAnsi="Aptos" w:cs="Times New Roman"/>
                <w:color w:val="000000"/>
                <w:kern w:val="0"/>
                <w:sz w:val="16"/>
                <w:szCs w:val="16"/>
                <w:lang w:eastAsia="en-IN" w:bidi="ar-SA"/>
                <w14:ligatures w14:val="none"/>
              </w:rPr>
              <w:t> </w:t>
            </w:r>
            <w:r w:rsidRPr="00A855A5">
              <w:rPr>
                <w:rFonts w:ascii="Times New Roman" w:eastAsia="Times New Roman" w:hAnsi="Times New Roman" w:cs="Times New Roman"/>
                <w:b/>
                <w:bCs/>
                <w:color w:val="000000"/>
                <w:kern w:val="0"/>
                <w:sz w:val="16"/>
                <w:szCs w:val="16"/>
                <w:lang w:eastAsia="en-IN" w:bidi="ar-SA"/>
                <w14:ligatures w14:val="none"/>
              </w:rPr>
              <w:t>14 Major States</w:t>
            </w:r>
          </w:p>
        </w:tc>
        <w:tc>
          <w:tcPr>
            <w:tcW w:w="851" w:type="dxa"/>
            <w:tcBorders>
              <w:top w:val="nil"/>
              <w:left w:val="nil"/>
              <w:bottom w:val="single" w:sz="4" w:space="0" w:color="auto"/>
              <w:right w:val="single" w:sz="4" w:space="0" w:color="auto"/>
            </w:tcBorders>
            <w:vAlign w:val="center"/>
          </w:tcPr>
          <w:p w14:paraId="168143F4" w14:textId="177D2DA7"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1451699</w:t>
            </w:r>
          </w:p>
        </w:tc>
        <w:tc>
          <w:tcPr>
            <w:tcW w:w="850" w:type="dxa"/>
            <w:tcBorders>
              <w:top w:val="nil"/>
              <w:left w:val="nil"/>
              <w:bottom w:val="single" w:sz="4" w:space="0" w:color="auto"/>
              <w:right w:val="single" w:sz="4" w:space="0" w:color="auto"/>
            </w:tcBorders>
            <w:vAlign w:val="center"/>
          </w:tcPr>
          <w:p w14:paraId="7818A800" w14:textId="384D117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1631890</w:t>
            </w:r>
          </w:p>
        </w:tc>
        <w:tc>
          <w:tcPr>
            <w:tcW w:w="851" w:type="dxa"/>
            <w:tcBorders>
              <w:top w:val="nil"/>
              <w:left w:val="nil"/>
              <w:bottom w:val="single" w:sz="4" w:space="0" w:color="auto"/>
              <w:right w:val="single" w:sz="4" w:space="0" w:color="auto"/>
            </w:tcBorders>
            <w:vAlign w:val="center"/>
          </w:tcPr>
          <w:p w14:paraId="64F20953" w14:textId="7FA506F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1828822</w:t>
            </w:r>
          </w:p>
        </w:tc>
        <w:tc>
          <w:tcPr>
            <w:tcW w:w="776" w:type="dxa"/>
            <w:tcBorders>
              <w:top w:val="nil"/>
              <w:left w:val="nil"/>
              <w:bottom w:val="single" w:sz="4" w:space="0" w:color="auto"/>
              <w:right w:val="single" w:sz="4" w:space="0" w:color="auto"/>
            </w:tcBorders>
            <w:vAlign w:val="center"/>
          </w:tcPr>
          <w:p w14:paraId="345CA2C6" w14:textId="7908CC5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2045059</w:t>
            </w:r>
          </w:p>
        </w:tc>
        <w:tc>
          <w:tcPr>
            <w:tcW w:w="783" w:type="dxa"/>
            <w:tcBorders>
              <w:top w:val="nil"/>
              <w:left w:val="nil"/>
              <w:bottom w:val="single" w:sz="4" w:space="0" w:color="auto"/>
              <w:right w:val="single" w:sz="4" w:space="0" w:color="auto"/>
            </w:tcBorders>
            <w:vAlign w:val="center"/>
          </w:tcPr>
          <w:p w14:paraId="60DD55CD" w14:textId="61939EE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2279589</w:t>
            </w:r>
          </w:p>
        </w:tc>
        <w:tc>
          <w:tcPr>
            <w:tcW w:w="850" w:type="dxa"/>
            <w:tcBorders>
              <w:top w:val="nil"/>
              <w:left w:val="nil"/>
              <w:bottom w:val="single" w:sz="4" w:space="0" w:color="auto"/>
              <w:right w:val="single" w:sz="4" w:space="0" w:color="auto"/>
            </w:tcBorders>
            <w:vAlign w:val="center"/>
          </w:tcPr>
          <w:p w14:paraId="26318B71" w14:textId="774530B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2502892</w:t>
            </w:r>
          </w:p>
        </w:tc>
        <w:tc>
          <w:tcPr>
            <w:tcW w:w="993" w:type="dxa"/>
            <w:tcBorders>
              <w:top w:val="nil"/>
              <w:left w:val="nil"/>
              <w:bottom w:val="single" w:sz="4" w:space="0" w:color="auto"/>
              <w:right w:val="single" w:sz="4" w:space="0" w:color="auto"/>
            </w:tcBorders>
            <w:vAlign w:val="center"/>
          </w:tcPr>
          <w:p w14:paraId="55BF2C17" w14:textId="346B641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eastAsia="Times New Roman" w:hAnsi="Times New Roman" w:cs="Times New Roman"/>
                <w:b/>
                <w:bCs/>
                <w:color w:val="000000"/>
                <w:kern w:val="0"/>
                <w:sz w:val="16"/>
                <w:szCs w:val="16"/>
                <w:lang w:eastAsia="en-IN" w:bidi="ar-SA"/>
                <w14:ligatures w14:val="none"/>
              </w:rPr>
              <w:t>10288252</w:t>
            </w:r>
          </w:p>
        </w:tc>
      </w:tr>
      <w:tr w:rsidR="000F76DE" w:rsidRPr="00A855A5" w14:paraId="5DE5D6FD" w14:textId="77777777" w:rsidTr="00A54DA8">
        <w:trPr>
          <w:trHeight w:val="20"/>
          <w:jc w:val="center"/>
        </w:trPr>
        <w:tc>
          <w:tcPr>
            <w:tcW w:w="7792" w:type="dxa"/>
            <w:gridSpan w:val="9"/>
            <w:tcBorders>
              <w:top w:val="nil"/>
              <w:left w:val="single" w:sz="4" w:space="0" w:color="auto"/>
              <w:bottom w:val="single" w:sz="4" w:space="0" w:color="auto"/>
              <w:right w:val="single" w:sz="4" w:space="0" w:color="auto"/>
            </w:tcBorders>
            <w:vAlign w:val="center"/>
          </w:tcPr>
          <w:p w14:paraId="08707930" w14:textId="54BF987A" w:rsidR="000F76DE" w:rsidRPr="00A855A5" w:rsidRDefault="000F76DE" w:rsidP="000F76DE">
            <w:pPr>
              <w:spacing w:after="0" w:line="240" w:lineRule="auto"/>
              <w:rPr>
                <w:rFonts w:ascii="Times New Roman" w:hAnsi="Times New Roman" w:cs="Times New Roman"/>
                <w:sz w:val="16"/>
                <w:szCs w:val="16"/>
              </w:rPr>
            </w:pPr>
            <w:r w:rsidRPr="000F76DE">
              <w:rPr>
                <w:rFonts w:ascii="Times New Roman" w:hAnsi="Times New Roman" w:cs="Times New Roman"/>
                <w:b/>
                <w:bCs/>
                <w:sz w:val="18"/>
                <w:szCs w:val="18"/>
              </w:rPr>
              <w:t>Revenue Category: State Excise Duty</w:t>
            </w:r>
          </w:p>
        </w:tc>
      </w:tr>
      <w:tr w:rsidR="000F76DE" w:rsidRPr="00A855A5" w14:paraId="355E7116"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61664ABF" w14:textId="0284C7C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w:t>
            </w:r>
          </w:p>
        </w:tc>
        <w:tc>
          <w:tcPr>
            <w:tcW w:w="1416" w:type="dxa"/>
            <w:tcBorders>
              <w:top w:val="nil"/>
              <w:left w:val="nil"/>
              <w:bottom w:val="single" w:sz="4" w:space="0" w:color="auto"/>
              <w:right w:val="single" w:sz="4" w:space="0" w:color="auto"/>
            </w:tcBorders>
            <w:vAlign w:val="center"/>
          </w:tcPr>
          <w:p w14:paraId="2C4E651E" w14:textId="3AF0688B"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Andhra Pradesh</w:t>
            </w:r>
          </w:p>
        </w:tc>
        <w:tc>
          <w:tcPr>
            <w:tcW w:w="851" w:type="dxa"/>
            <w:tcBorders>
              <w:top w:val="nil"/>
              <w:left w:val="nil"/>
              <w:bottom w:val="single" w:sz="4" w:space="0" w:color="auto"/>
              <w:right w:val="single" w:sz="4" w:space="0" w:color="auto"/>
            </w:tcBorders>
            <w:vAlign w:val="center"/>
          </w:tcPr>
          <w:p w14:paraId="568A00AC" w14:textId="33E77B2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68273</w:t>
            </w:r>
          </w:p>
        </w:tc>
        <w:tc>
          <w:tcPr>
            <w:tcW w:w="850" w:type="dxa"/>
            <w:tcBorders>
              <w:top w:val="nil"/>
              <w:left w:val="nil"/>
              <w:bottom w:val="single" w:sz="4" w:space="0" w:color="auto"/>
              <w:right w:val="single" w:sz="4" w:space="0" w:color="auto"/>
            </w:tcBorders>
            <w:vAlign w:val="center"/>
          </w:tcPr>
          <w:p w14:paraId="074898FC" w14:textId="526BA1A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74656</w:t>
            </w:r>
          </w:p>
        </w:tc>
        <w:tc>
          <w:tcPr>
            <w:tcW w:w="851" w:type="dxa"/>
            <w:tcBorders>
              <w:top w:val="nil"/>
              <w:left w:val="nil"/>
              <w:bottom w:val="single" w:sz="4" w:space="0" w:color="auto"/>
              <w:right w:val="single" w:sz="4" w:space="0" w:color="auto"/>
            </w:tcBorders>
            <w:vAlign w:val="center"/>
          </w:tcPr>
          <w:p w14:paraId="0721AE80" w14:textId="0624E5B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81551</w:t>
            </w:r>
          </w:p>
        </w:tc>
        <w:tc>
          <w:tcPr>
            <w:tcW w:w="776" w:type="dxa"/>
            <w:tcBorders>
              <w:top w:val="nil"/>
              <w:left w:val="nil"/>
              <w:bottom w:val="single" w:sz="4" w:space="0" w:color="auto"/>
              <w:right w:val="single" w:sz="4" w:space="0" w:color="auto"/>
            </w:tcBorders>
            <w:vAlign w:val="center"/>
          </w:tcPr>
          <w:p w14:paraId="32302BC2" w14:textId="508CC4B1"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88976</w:t>
            </w:r>
          </w:p>
        </w:tc>
        <w:tc>
          <w:tcPr>
            <w:tcW w:w="783" w:type="dxa"/>
            <w:tcBorders>
              <w:top w:val="nil"/>
              <w:left w:val="nil"/>
              <w:bottom w:val="single" w:sz="4" w:space="0" w:color="auto"/>
              <w:right w:val="single" w:sz="4" w:space="0" w:color="auto"/>
            </w:tcBorders>
            <w:vAlign w:val="center"/>
          </w:tcPr>
          <w:p w14:paraId="7D0B8159" w14:textId="43628AC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96943</w:t>
            </w:r>
          </w:p>
        </w:tc>
        <w:tc>
          <w:tcPr>
            <w:tcW w:w="850" w:type="dxa"/>
            <w:tcBorders>
              <w:top w:val="nil"/>
              <w:left w:val="nil"/>
              <w:bottom w:val="single" w:sz="4" w:space="0" w:color="auto"/>
              <w:right w:val="single" w:sz="4" w:space="0" w:color="auto"/>
            </w:tcBorders>
            <w:vAlign w:val="center"/>
          </w:tcPr>
          <w:p w14:paraId="3D6E254C" w14:textId="3672AAE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105450</w:t>
            </w:r>
          </w:p>
        </w:tc>
        <w:tc>
          <w:tcPr>
            <w:tcW w:w="993" w:type="dxa"/>
            <w:tcBorders>
              <w:top w:val="nil"/>
              <w:left w:val="nil"/>
              <w:bottom w:val="single" w:sz="4" w:space="0" w:color="auto"/>
              <w:right w:val="single" w:sz="4" w:space="0" w:color="auto"/>
            </w:tcBorders>
            <w:vAlign w:val="center"/>
          </w:tcPr>
          <w:p w14:paraId="4599B917" w14:textId="6813BCCE"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447577</w:t>
            </w:r>
          </w:p>
        </w:tc>
      </w:tr>
      <w:tr w:rsidR="000F76DE" w:rsidRPr="00A855A5" w14:paraId="35120AC6"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3349ED5C" w14:textId="583F16F5"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w:t>
            </w:r>
          </w:p>
        </w:tc>
        <w:tc>
          <w:tcPr>
            <w:tcW w:w="1416" w:type="dxa"/>
            <w:tcBorders>
              <w:top w:val="nil"/>
              <w:left w:val="nil"/>
              <w:bottom w:val="single" w:sz="4" w:space="0" w:color="auto"/>
              <w:right w:val="single" w:sz="4" w:space="0" w:color="auto"/>
            </w:tcBorders>
            <w:vAlign w:val="center"/>
          </w:tcPr>
          <w:p w14:paraId="3623AE1A" w14:textId="076092F8"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Bihar</w:t>
            </w:r>
          </w:p>
        </w:tc>
        <w:tc>
          <w:tcPr>
            <w:tcW w:w="851" w:type="dxa"/>
            <w:tcBorders>
              <w:top w:val="nil"/>
              <w:left w:val="nil"/>
              <w:bottom w:val="single" w:sz="4" w:space="0" w:color="auto"/>
              <w:right w:val="single" w:sz="4" w:space="0" w:color="auto"/>
            </w:tcBorders>
            <w:vAlign w:val="center"/>
          </w:tcPr>
          <w:p w14:paraId="11DAE075" w14:textId="1EF2DF0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7030</w:t>
            </w:r>
          </w:p>
        </w:tc>
        <w:tc>
          <w:tcPr>
            <w:tcW w:w="850" w:type="dxa"/>
            <w:tcBorders>
              <w:top w:val="nil"/>
              <w:left w:val="nil"/>
              <w:bottom w:val="single" w:sz="4" w:space="0" w:color="auto"/>
              <w:right w:val="single" w:sz="4" w:space="0" w:color="auto"/>
            </w:tcBorders>
            <w:vAlign w:val="center"/>
          </w:tcPr>
          <w:p w14:paraId="14E1A726" w14:textId="6662EC7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8205</w:t>
            </w:r>
          </w:p>
        </w:tc>
        <w:tc>
          <w:tcPr>
            <w:tcW w:w="851" w:type="dxa"/>
            <w:tcBorders>
              <w:top w:val="nil"/>
              <w:left w:val="nil"/>
              <w:bottom w:val="single" w:sz="4" w:space="0" w:color="auto"/>
              <w:right w:val="single" w:sz="4" w:space="0" w:color="auto"/>
            </w:tcBorders>
            <w:vAlign w:val="center"/>
          </w:tcPr>
          <w:p w14:paraId="2FD60A96" w14:textId="7C1600F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9557</w:t>
            </w:r>
          </w:p>
        </w:tc>
        <w:tc>
          <w:tcPr>
            <w:tcW w:w="776" w:type="dxa"/>
            <w:tcBorders>
              <w:top w:val="nil"/>
              <w:left w:val="nil"/>
              <w:bottom w:val="single" w:sz="4" w:space="0" w:color="auto"/>
              <w:right w:val="single" w:sz="4" w:space="0" w:color="auto"/>
            </w:tcBorders>
            <w:vAlign w:val="center"/>
          </w:tcPr>
          <w:p w14:paraId="4160F5A8" w14:textId="73301A55"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11103</w:t>
            </w:r>
          </w:p>
        </w:tc>
        <w:tc>
          <w:tcPr>
            <w:tcW w:w="783" w:type="dxa"/>
            <w:tcBorders>
              <w:top w:val="nil"/>
              <w:left w:val="nil"/>
              <w:bottom w:val="single" w:sz="4" w:space="0" w:color="auto"/>
              <w:right w:val="single" w:sz="4" w:space="0" w:color="auto"/>
            </w:tcBorders>
            <w:vAlign w:val="center"/>
          </w:tcPr>
          <w:p w14:paraId="3FBD0DB7" w14:textId="176F32F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12842</w:t>
            </w:r>
          </w:p>
        </w:tc>
        <w:tc>
          <w:tcPr>
            <w:tcW w:w="850" w:type="dxa"/>
            <w:tcBorders>
              <w:top w:val="nil"/>
              <w:left w:val="nil"/>
              <w:bottom w:val="single" w:sz="4" w:space="0" w:color="auto"/>
              <w:right w:val="single" w:sz="4" w:space="0" w:color="auto"/>
            </w:tcBorders>
            <w:vAlign w:val="center"/>
          </w:tcPr>
          <w:p w14:paraId="52C3FD98" w14:textId="200383A7"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14628</w:t>
            </w:r>
          </w:p>
        </w:tc>
        <w:tc>
          <w:tcPr>
            <w:tcW w:w="993" w:type="dxa"/>
            <w:tcBorders>
              <w:top w:val="nil"/>
              <w:left w:val="nil"/>
              <w:bottom w:val="single" w:sz="4" w:space="0" w:color="auto"/>
              <w:right w:val="single" w:sz="4" w:space="0" w:color="auto"/>
            </w:tcBorders>
            <w:vAlign w:val="center"/>
          </w:tcPr>
          <w:p w14:paraId="43E4A16F" w14:textId="41DE678C"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56335</w:t>
            </w:r>
          </w:p>
        </w:tc>
      </w:tr>
      <w:tr w:rsidR="000F76DE" w:rsidRPr="00A855A5" w14:paraId="1544C72A"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3CD1CC6C" w14:textId="0C37437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w:t>
            </w:r>
          </w:p>
        </w:tc>
        <w:tc>
          <w:tcPr>
            <w:tcW w:w="1416" w:type="dxa"/>
            <w:tcBorders>
              <w:top w:val="nil"/>
              <w:left w:val="nil"/>
              <w:bottom w:val="single" w:sz="4" w:space="0" w:color="auto"/>
              <w:right w:val="single" w:sz="4" w:space="0" w:color="auto"/>
            </w:tcBorders>
            <w:vAlign w:val="center"/>
          </w:tcPr>
          <w:p w14:paraId="579C0F91" w14:textId="3F23413C"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Gujarat</w:t>
            </w:r>
          </w:p>
        </w:tc>
        <w:tc>
          <w:tcPr>
            <w:tcW w:w="851" w:type="dxa"/>
            <w:tcBorders>
              <w:top w:val="nil"/>
              <w:left w:val="nil"/>
              <w:bottom w:val="single" w:sz="4" w:space="0" w:color="auto"/>
              <w:right w:val="single" w:sz="4" w:space="0" w:color="auto"/>
            </w:tcBorders>
            <w:vAlign w:val="center"/>
          </w:tcPr>
          <w:p w14:paraId="190E20B2" w14:textId="468A65F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1108</w:t>
            </w:r>
          </w:p>
        </w:tc>
        <w:tc>
          <w:tcPr>
            <w:tcW w:w="850" w:type="dxa"/>
            <w:tcBorders>
              <w:top w:val="nil"/>
              <w:left w:val="nil"/>
              <w:bottom w:val="single" w:sz="4" w:space="0" w:color="auto"/>
              <w:right w:val="single" w:sz="4" w:space="0" w:color="auto"/>
            </w:tcBorders>
            <w:vAlign w:val="center"/>
          </w:tcPr>
          <w:p w14:paraId="4E08F92C" w14:textId="4675FC3C"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1862</w:t>
            </w:r>
          </w:p>
        </w:tc>
        <w:tc>
          <w:tcPr>
            <w:tcW w:w="851" w:type="dxa"/>
            <w:tcBorders>
              <w:top w:val="nil"/>
              <w:left w:val="nil"/>
              <w:bottom w:val="single" w:sz="4" w:space="0" w:color="auto"/>
              <w:right w:val="single" w:sz="4" w:space="0" w:color="auto"/>
            </w:tcBorders>
            <w:vAlign w:val="center"/>
          </w:tcPr>
          <w:p w14:paraId="494BE2C7" w14:textId="375A6549"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3124</w:t>
            </w:r>
          </w:p>
        </w:tc>
        <w:tc>
          <w:tcPr>
            <w:tcW w:w="776" w:type="dxa"/>
            <w:tcBorders>
              <w:top w:val="nil"/>
              <w:left w:val="nil"/>
              <w:bottom w:val="single" w:sz="4" w:space="0" w:color="auto"/>
              <w:right w:val="single" w:sz="4" w:space="0" w:color="auto"/>
            </w:tcBorders>
            <w:vAlign w:val="center"/>
          </w:tcPr>
          <w:p w14:paraId="7F47C54E" w14:textId="21EC730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5227</w:t>
            </w:r>
          </w:p>
        </w:tc>
        <w:tc>
          <w:tcPr>
            <w:tcW w:w="783" w:type="dxa"/>
            <w:tcBorders>
              <w:top w:val="nil"/>
              <w:left w:val="nil"/>
              <w:bottom w:val="single" w:sz="4" w:space="0" w:color="auto"/>
              <w:right w:val="single" w:sz="4" w:space="0" w:color="auto"/>
            </w:tcBorders>
            <w:vAlign w:val="center"/>
          </w:tcPr>
          <w:p w14:paraId="7F693971" w14:textId="0706387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8688</w:t>
            </w:r>
          </w:p>
        </w:tc>
        <w:tc>
          <w:tcPr>
            <w:tcW w:w="850" w:type="dxa"/>
            <w:tcBorders>
              <w:top w:val="nil"/>
              <w:left w:val="nil"/>
              <w:bottom w:val="single" w:sz="4" w:space="0" w:color="auto"/>
              <w:right w:val="single" w:sz="4" w:space="0" w:color="auto"/>
            </w:tcBorders>
            <w:vAlign w:val="center"/>
          </w:tcPr>
          <w:p w14:paraId="02CDAADA" w14:textId="14B06A3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13999</w:t>
            </w:r>
          </w:p>
        </w:tc>
        <w:tc>
          <w:tcPr>
            <w:tcW w:w="993" w:type="dxa"/>
            <w:tcBorders>
              <w:top w:val="nil"/>
              <w:left w:val="nil"/>
              <w:bottom w:val="single" w:sz="4" w:space="0" w:color="auto"/>
              <w:right w:val="single" w:sz="4" w:space="0" w:color="auto"/>
            </w:tcBorders>
            <w:vAlign w:val="center"/>
          </w:tcPr>
          <w:p w14:paraId="272017FB" w14:textId="4EE8BDE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32901</w:t>
            </w:r>
          </w:p>
        </w:tc>
      </w:tr>
      <w:tr w:rsidR="000F76DE" w:rsidRPr="00A855A5" w14:paraId="1E9C542B"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6AD4B216" w14:textId="51C9A6D9"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w:t>
            </w:r>
          </w:p>
        </w:tc>
        <w:tc>
          <w:tcPr>
            <w:tcW w:w="1416" w:type="dxa"/>
            <w:tcBorders>
              <w:top w:val="nil"/>
              <w:left w:val="nil"/>
              <w:bottom w:val="single" w:sz="4" w:space="0" w:color="auto"/>
              <w:right w:val="single" w:sz="4" w:space="0" w:color="auto"/>
            </w:tcBorders>
            <w:vAlign w:val="center"/>
          </w:tcPr>
          <w:p w14:paraId="7CC0E508" w14:textId="4012B690"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Haryana</w:t>
            </w:r>
          </w:p>
        </w:tc>
        <w:tc>
          <w:tcPr>
            <w:tcW w:w="851" w:type="dxa"/>
            <w:tcBorders>
              <w:top w:val="nil"/>
              <w:left w:val="nil"/>
              <w:bottom w:val="single" w:sz="4" w:space="0" w:color="auto"/>
              <w:right w:val="single" w:sz="4" w:space="0" w:color="auto"/>
            </w:tcBorders>
            <w:vAlign w:val="center"/>
          </w:tcPr>
          <w:p w14:paraId="0F1F6B9B" w14:textId="28F2831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21935</w:t>
            </w:r>
          </w:p>
        </w:tc>
        <w:tc>
          <w:tcPr>
            <w:tcW w:w="850" w:type="dxa"/>
            <w:tcBorders>
              <w:top w:val="nil"/>
              <w:left w:val="nil"/>
              <w:bottom w:val="single" w:sz="4" w:space="0" w:color="auto"/>
              <w:right w:val="single" w:sz="4" w:space="0" w:color="auto"/>
            </w:tcBorders>
            <w:vAlign w:val="center"/>
          </w:tcPr>
          <w:p w14:paraId="436FCAFC" w14:textId="7A9BB57C"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25184</w:t>
            </w:r>
          </w:p>
        </w:tc>
        <w:tc>
          <w:tcPr>
            <w:tcW w:w="851" w:type="dxa"/>
            <w:tcBorders>
              <w:top w:val="nil"/>
              <w:left w:val="nil"/>
              <w:bottom w:val="single" w:sz="4" w:space="0" w:color="auto"/>
              <w:right w:val="single" w:sz="4" w:space="0" w:color="auto"/>
            </w:tcBorders>
            <w:vAlign w:val="center"/>
          </w:tcPr>
          <w:p w14:paraId="32CB0FCC" w14:textId="428E55B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28903</w:t>
            </w:r>
          </w:p>
        </w:tc>
        <w:tc>
          <w:tcPr>
            <w:tcW w:w="776" w:type="dxa"/>
            <w:tcBorders>
              <w:top w:val="nil"/>
              <w:left w:val="nil"/>
              <w:bottom w:val="single" w:sz="4" w:space="0" w:color="auto"/>
              <w:right w:val="single" w:sz="4" w:space="0" w:color="auto"/>
            </w:tcBorders>
            <w:vAlign w:val="center"/>
          </w:tcPr>
          <w:p w14:paraId="3329CE51" w14:textId="697B87D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33160</w:t>
            </w:r>
          </w:p>
        </w:tc>
        <w:tc>
          <w:tcPr>
            <w:tcW w:w="783" w:type="dxa"/>
            <w:tcBorders>
              <w:top w:val="nil"/>
              <w:left w:val="nil"/>
              <w:bottom w:val="single" w:sz="4" w:space="0" w:color="auto"/>
              <w:right w:val="single" w:sz="4" w:space="0" w:color="auto"/>
            </w:tcBorders>
            <w:vAlign w:val="center"/>
          </w:tcPr>
          <w:p w14:paraId="65DCBEA8" w14:textId="43169FE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38031</w:t>
            </w:r>
          </w:p>
        </w:tc>
        <w:tc>
          <w:tcPr>
            <w:tcW w:w="850" w:type="dxa"/>
            <w:tcBorders>
              <w:top w:val="nil"/>
              <w:left w:val="nil"/>
              <w:bottom w:val="single" w:sz="4" w:space="0" w:color="auto"/>
              <w:right w:val="single" w:sz="4" w:space="0" w:color="auto"/>
            </w:tcBorders>
            <w:vAlign w:val="center"/>
          </w:tcPr>
          <w:p w14:paraId="608B2CF0" w14:textId="5600B96E"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43602</w:t>
            </w:r>
          </w:p>
        </w:tc>
        <w:tc>
          <w:tcPr>
            <w:tcW w:w="993" w:type="dxa"/>
            <w:tcBorders>
              <w:top w:val="nil"/>
              <w:left w:val="nil"/>
              <w:bottom w:val="single" w:sz="4" w:space="0" w:color="auto"/>
              <w:right w:val="single" w:sz="4" w:space="0" w:color="auto"/>
            </w:tcBorders>
            <w:vAlign w:val="center"/>
          </w:tcPr>
          <w:p w14:paraId="5647E155" w14:textId="74D6955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168880</w:t>
            </w:r>
          </w:p>
        </w:tc>
      </w:tr>
      <w:tr w:rsidR="000F76DE" w:rsidRPr="00A855A5" w14:paraId="7D2524BB"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3190D657" w14:textId="672CF9E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w:t>
            </w:r>
          </w:p>
        </w:tc>
        <w:tc>
          <w:tcPr>
            <w:tcW w:w="1416" w:type="dxa"/>
            <w:tcBorders>
              <w:top w:val="nil"/>
              <w:left w:val="nil"/>
              <w:bottom w:val="single" w:sz="4" w:space="0" w:color="auto"/>
              <w:right w:val="single" w:sz="4" w:space="0" w:color="auto"/>
            </w:tcBorders>
            <w:vAlign w:val="center"/>
          </w:tcPr>
          <w:p w14:paraId="1C7BA618" w14:textId="437C337D"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Karnataka</w:t>
            </w:r>
          </w:p>
        </w:tc>
        <w:tc>
          <w:tcPr>
            <w:tcW w:w="851" w:type="dxa"/>
            <w:tcBorders>
              <w:top w:val="nil"/>
              <w:left w:val="nil"/>
              <w:bottom w:val="single" w:sz="4" w:space="0" w:color="auto"/>
              <w:right w:val="single" w:sz="4" w:space="0" w:color="auto"/>
            </w:tcBorders>
            <w:vAlign w:val="center"/>
          </w:tcPr>
          <w:p w14:paraId="4E9F9C11" w14:textId="0ED02611"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32368</w:t>
            </w:r>
          </w:p>
        </w:tc>
        <w:tc>
          <w:tcPr>
            <w:tcW w:w="850" w:type="dxa"/>
            <w:tcBorders>
              <w:top w:val="nil"/>
              <w:left w:val="nil"/>
              <w:bottom w:val="single" w:sz="4" w:space="0" w:color="auto"/>
              <w:right w:val="single" w:sz="4" w:space="0" w:color="auto"/>
            </w:tcBorders>
            <w:vAlign w:val="center"/>
          </w:tcPr>
          <w:p w14:paraId="5C331E9A" w14:textId="625123F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37543</w:t>
            </w:r>
          </w:p>
        </w:tc>
        <w:tc>
          <w:tcPr>
            <w:tcW w:w="851" w:type="dxa"/>
            <w:tcBorders>
              <w:top w:val="nil"/>
              <w:left w:val="nil"/>
              <w:bottom w:val="single" w:sz="4" w:space="0" w:color="auto"/>
              <w:right w:val="single" w:sz="4" w:space="0" w:color="auto"/>
            </w:tcBorders>
            <w:vAlign w:val="center"/>
          </w:tcPr>
          <w:p w14:paraId="3029DF66" w14:textId="5DDE2AC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43508</w:t>
            </w:r>
          </w:p>
        </w:tc>
        <w:tc>
          <w:tcPr>
            <w:tcW w:w="776" w:type="dxa"/>
            <w:tcBorders>
              <w:top w:val="nil"/>
              <w:left w:val="nil"/>
              <w:bottom w:val="single" w:sz="4" w:space="0" w:color="auto"/>
              <w:right w:val="single" w:sz="4" w:space="0" w:color="auto"/>
            </w:tcBorders>
            <w:vAlign w:val="center"/>
          </w:tcPr>
          <w:p w14:paraId="516C23A5" w14:textId="2F1CD36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50381</w:t>
            </w:r>
          </w:p>
        </w:tc>
        <w:tc>
          <w:tcPr>
            <w:tcW w:w="783" w:type="dxa"/>
            <w:tcBorders>
              <w:top w:val="nil"/>
              <w:left w:val="nil"/>
              <w:bottom w:val="single" w:sz="4" w:space="0" w:color="auto"/>
              <w:right w:val="single" w:sz="4" w:space="0" w:color="auto"/>
            </w:tcBorders>
            <w:vAlign w:val="center"/>
          </w:tcPr>
          <w:p w14:paraId="3CA057BE" w14:textId="7FE7544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58297</w:t>
            </w:r>
          </w:p>
        </w:tc>
        <w:tc>
          <w:tcPr>
            <w:tcW w:w="850" w:type="dxa"/>
            <w:tcBorders>
              <w:top w:val="nil"/>
              <w:left w:val="nil"/>
              <w:bottom w:val="single" w:sz="4" w:space="0" w:color="auto"/>
              <w:right w:val="single" w:sz="4" w:space="0" w:color="auto"/>
            </w:tcBorders>
            <w:vAlign w:val="center"/>
          </w:tcPr>
          <w:p w14:paraId="6E52F5F4" w14:textId="689958F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67412</w:t>
            </w:r>
          </w:p>
        </w:tc>
        <w:tc>
          <w:tcPr>
            <w:tcW w:w="993" w:type="dxa"/>
            <w:tcBorders>
              <w:top w:val="nil"/>
              <w:left w:val="nil"/>
              <w:bottom w:val="single" w:sz="4" w:space="0" w:color="auto"/>
              <w:right w:val="single" w:sz="4" w:space="0" w:color="auto"/>
            </w:tcBorders>
            <w:vAlign w:val="center"/>
          </w:tcPr>
          <w:p w14:paraId="7FB27AFC" w14:textId="5DF81ECE"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257140</w:t>
            </w:r>
          </w:p>
        </w:tc>
      </w:tr>
      <w:tr w:rsidR="000F76DE" w:rsidRPr="00A855A5" w14:paraId="2D94A8E8"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12857AB6" w14:textId="12C29B75"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w:t>
            </w:r>
          </w:p>
        </w:tc>
        <w:tc>
          <w:tcPr>
            <w:tcW w:w="1416" w:type="dxa"/>
            <w:tcBorders>
              <w:top w:val="nil"/>
              <w:left w:val="nil"/>
              <w:bottom w:val="single" w:sz="4" w:space="0" w:color="auto"/>
              <w:right w:val="single" w:sz="4" w:space="0" w:color="auto"/>
            </w:tcBorders>
            <w:vAlign w:val="center"/>
          </w:tcPr>
          <w:p w14:paraId="25C14214" w14:textId="4ED28A14"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Kerala</w:t>
            </w:r>
          </w:p>
        </w:tc>
        <w:tc>
          <w:tcPr>
            <w:tcW w:w="851" w:type="dxa"/>
            <w:tcBorders>
              <w:top w:val="nil"/>
              <w:left w:val="nil"/>
              <w:bottom w:val="single" w:sz="4" w:space="0" w:color="auto"/>
              <w:right w:val="single" w:sz="4" w:space="0" w:color="auto"/>
            </w:tcBorders>
            <w:vAlign w:val="center"/>
          </w:tcPr>
          <w:p w14:paraId="0210C852" w14:textId="7E081267"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19641</w:t>
            </w:r>
          </w:p>
        </w:tc>
        <w:tc>
          <w:tcPr>
            <w:tcW w:w="850" w:type="dxa"/>
            <w:tcBorders>
              <w:top w:val="nil"/>
              <w:left w:val="nil"/>
              <w:bottom w:val="single" w:sz="4" w:space="0" w:color="auto"/>
              <w:right w:val="single" w:sz="4" w:space="0" w:color="auto"/>
            </w:tcBorders>
            <w:vAlign w:val="center"/>
          </w:tcPr>
          <w:p w14:paraId="58E1971A" w14:textId="16B7044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21100</w:t>
            </w:r>
          </w:p>
        </w:tc>
        <w:tc>
          <w:tcPr>
            <w:tcW w:w="851" w:type="dxa"/>
            <w:tcBorders>
              <w:top w:val="nil"/>
              <w:left w:val="nil"/>
              <w:bottom w:val="single" w:sz="4" w:space="0" w:color="auto"/>
              <w:right w:val="single" w:sz="4" w:space="0" w:color="auto"/>
            </w:tcBorders>
            <w:vAlign w:val="center"/>
          </w:tcPr>
          <w:p w14:paraId="616EABD1" w14:textId="062B482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22646</w:t>
            </w:r>
          </w:p>
        </w:tc>
        <w:tc>
          <w:tcPr>
            <w:tcW w:w="776" w:type="dxa"/>
            <w:tcBorders>
              <w:top w:val="nil"/>
              <w:left w:val="nil"/>
              <w:bottom w:val="single" w:sz="4" w:space="0" w:color="auto"/>
              <w:right w:val="single" w:sz="4" w:space="0" w:color="auto"/>
            </w:tcBorders>
            <w:vAlign w:val="center"/>
          </w:tcPr>
          <w:p w14:paraId="6DC26CEE" w14:textId="457B8A0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24280</w:t>
            </w:r>
          </w:p>
        </w:tc>
        <w:tc>
          <w:tcPr>
            <w:tcW w:w="783" w:type="dxa"/>
            <w:tcBorders>
              <w:top w:val="nil"/>
              <w:left w:val="nil"/>
              <w:bottom w:val="single" w:sz="4" w:space="0" w:color="auto"/>
              <w:right w:val="single" w:sz="4" w:space="0" w:color="auto"/>
            </w:tcBorders>
            <w:vAlign w:val="center"/>
          </w:tcPr>
          <w:p w14:paraId="56D9D7E7" w14:textId="2F6C3A6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26004</w:t>
            </w:r>
          </w:p>
        </w:tc>
        <w:tc>
          <w:tcPr>
            <w:tcW w:w="850" w:type="dxa"/>
            <w:tcBorders>
              <w:top w:val="nil"/>
              <w:left w:val="nil"/>
              <w:bottom w:val="single" w:sz="4" w:space="0" w:color="auto"/>
              <w:right w:val="single" w:sz="4" w:space="0" w:color="auto"/>
            </w:tcBorders>
            <w:vAlign w:val="center"/>
          </w:tcPr>
          <w:p w14:paraId="7E3C930E" w14:textId="6608D91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27817</w:t>
            </w:r>
          </w:p>
        </w:tc>
        <w:tc>
          <w:tcPr>
            <w:tcW w:w="993" w:type="dxa"/>
            <w:tcBorders>
              <w:top w:val="nil"/>
              <w:left w:val="nil"/>
              <w:bottom w:val="single" w:sz="4" w:space="0" w:color="auto"/>
              <w:right w:val="single" w:sz="4" w:space="0" w:color="auto"/>
            </w:tcBorders>
            <w:vAlign w:val="center"/>
          </w:tcPr>
          <w:p w14:paraId="74E26DA1" w14:textId="7C7DC549"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121848</w:t>
            </w:r>
          </w:p>
        </w:tc>
      </w:tr>
      <w:tr w:rsidR="000F76DE" w:rsidRPr="00A855A5" w14:paraId="49918E99"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73AD0BBD" w14:textId="0006719E"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7</w:t>
            </w:r>
          </w:p>
        </w:tc>
        <w:tc>
          <w:tcPr>
            <w:tcW w:w="1416" w:type="dxa"/>
            <w:tcBorders>
              <w:top w:val="nil"/>
              <w:left w:val="nil"/>
              <w:bottom w:val="single" w:sz="4" w:space="0" w:color="auto"/>
              <w:right w:val="single" w:sz="4" w:space="0" w:color="auto"/>
            </w:tcBorders>
            <w:vAlign w:val="center"/>
          </w:tcPr>
          <w:p w14:paraId="50A83F34" w14:textId="124163B0"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Madhya Pradesh</w:t>
            </w:r>
          </w:p>
        </w:tc>
        <w:tc>
          <w:tcPr>
            <w:tcW w:w="851" w:type="dxa"/>
            <w:tcBorders>
              <w:top w:val="nil"/>
              <w:left w:val="nil"/>
              <w:bottom w:val="single" w:sz="4" w:space="0" w:color="auto"/>
              <w:right w:val="single" w:sz="4" w:space="0" w:color="auto"/>
            </w:tcBorders>
            <w:vAlign w:val="center"/>
          </w:tcPr>
          <w:p w14:paraId="618D9D4F" w14:textId="719A0DA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23568</w:t>
            </w:r>
          </w:p>
        </w:tc>
        <w:tc>
          <w:tcPr>
            <w:tcW w:w="850" w:type="dxa"/>
            <w:tcBorders>
              <w:top w:val="nil"/>
              <w:left w:val="nil"/>
              <w:bottom w:val="single" w:sz="4" w:space="0" w:color="auto"/>
              <w:right w:val="single" w:sz="4" w:space="0" w:color="auto"/>
            </w:tcBorders>
            <w:vAlign w:val="center"/>
          </w:tcPr>
          <w:p w14:paraId="10D8BD5D" w14:textId="3E09FE4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25123</w:t>
            </w:r>
          </w:p>
        </w:tc>
        <w:tc>
          <w:tcPr>
            <w:tcW w:w="851" w:type="dxa"/>
            <w:tcBorders>
              <w:top w:val="nil"/>
              <w:left w:val="nil"/>
              <w:bottom w:val="single" w:sz="4" w:space="0" w:color="auto"/>
              <w:right w:val="single" w:sz="4" w:space="0" w:color="auto"/>
            </w:tcBorders>
            <w:vAlign w:val="center"/>
          </w:tcPr>
          <w:p w14:paraId="65E54E35" w14:textId="206CA5F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26692</w:t>
            </w:r>
          </w:p>
        </w:tc>
        <w:tc>
          <w:tcPr>
            <w:tcW w:w="776" w:type="dxa"/>
            <w:tcBorders>
              <w:top w:val="nil"/>
              <w:left w:val="nil"/>
              <w:bottom w:val="single" w:sz="4" w:space="0" w:color="auto"/>
              <w:right w:val="single" w:sz="4" w:space="0" w:color="auto"/>
            </w:tcBorders>
            <w:vAlign w:val="center"/>
          </w:tcPr>
          <w:p w14:paraId="28F634A7" w14:textId="0327A2BE"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28259</w:t>
            </w:r>
          </w:p>
        </w:tc>
        <w:tc>
          <w:tcPr>
            <w:tcW w:w="783" w:type="dxa"/>
            <w:tcBorders>
              <w:top w:val="nil"/>
              <w:left w:val="nil"/>
              <w:bottom w:val="single" w:sz="4" w:space="0" w:color="auto"/>
              <w:right w:val="single" w:sz="4" w:space="0" w:color="auto"/>
            </w:tcBorders>
            <w:vAlign w:val="center"/>
          </w:tcPr>
          <w:p w14:paraId="084EA5A4" w14:textId="229AF45E"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29759</w:t>
            </w:r>
          </w:p>
        </w:tc>
        <w:tc>
          <w:tcPr>
            <w:tcW w:w="850" w:type="dxa"/>
            <w:tcBorders>
              <w:top w:val="nil"/>
              <w:left w:val="nil"/>
              <w:bottom w:val="single" w:sz="4" w:space="0" w:color="auto"/>
              <w:right w:val="single" w:sz="4" w:space="0" w:color="auto"/>
            </w:tcBorders>
            <w:vAlign w:val="center"/>
          </w:tcPr>
          <w:p w14:paraId="4C35362E" w14:textId="2D9D8D79"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30543</w:t>
            </w:r>
          </w:p>
        </w:tc>
        <w:tc>
          <w:tcPr>
            <w:tcW w:w="993" w:type="dxa"/>
            <w:tcBorders>
              <w:top w:val="nil"/>
              <w:left w:val="nil"/>
              <w:bottom w:val="single" w:sz="4" w:space="0" w:color="auto"/>
              <w:right w:val="single" w:sz="4" w:space="0" w:color="auto"/>
            </w:tcBorders>
            <w:vAlign w:val="center"/>
          </w:tcPr>
          <w:p w14:paraId="306C65FE" w14:textId="104924D7"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140376</w:t>
            </w:r>
          </w:p>
        </w:tc>
      </w:tr>
      <w:tr w:rsidR="000F76DE" w:rsidRPr="00A855A5" w14:paraId="28AEA22F"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21FA00ED" w14:textId="6117035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8</w:t>
            </w:r>
          </w:p>
        </w:tc>
        <w:tc>
          <w:tcPr>
            <w:tcW w:w="1416" w:type="dxa"/>
            <w:tcBorders>
              <w:top w:val="nil"/>
              <w:left w:val="nil"/>
              <w:bottom w:val="single" w:sz="4" w:space="0" w:color="auto"/>
              <w:right w:val="single" w:sz="4" w:space="0" w:color="auto"/>
            </w:tcBorders>
            <w:vAlign w:val="center"/>
          </w:tcPr>
          <w:p w14:paraId="0F024404" w14:textId="4AE78256"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Maharashtra</w:t>
            </w:r>
          </w:p>
        </w:tc>
        <w:tc>
          <w:tcPr>
            <w:tcW w:w="851" w:type="dxa"/>
            <w:tcBorders>
              <w:top w:val="nil"/>
              <w:left w:val="nil"/>
              <w:bottom w:val="single" w:sz="4" w:space="0" w:color="auto"/>
              <w:right w:val="single" w:sz="4" w:space="0" w:color="auto"/>
            </w:tcBorders>
            <w:vAlign w:val="center"/>
          </w:tcPr>
          <w:p w14:paraId="64F7FE9B" w14:textId="2E7FE86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44268</w:t>
            </w:r>
          </w:p>
        </w:tc>
        <w:tc>
          <w:tcPr>
            <w:tcW w:w="850" w:type="dxa"/>
            <w:tcBorders>
              <w:top w:val="nil"/>
              <w:left w:val="nil"/>
              <w:bottom w:val="single" w:sz="4" w:space="0" w:color="auto"/>
              <w:right w:val="single" w:sz="4" w:space="0" w:color="auto"/>
            </w:tcBorders>
            <w:vAlign w:val="center"/>
          </w:tcPr>
          <w:p w14:paraId="18EF6025" w14:textId="7C034BA5"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52529</w:t>
            </w:r>
          </w:p>
        </w:tc>
        <w:tc>
          <w:tcPr>
            <w:tcW w:w="851" w:type="dxa"/>
            <w:tcBorders>
              <w:top w:val="nil"/>
              <w:left w:val="nil"/>
              <w:bottom w:val="single" w:sz="4" w:space="0" w:color="auto"/>
              <w:right w:val="single" w:sz="4" w:space="0" w:color="auto"/>
            </w:tcBorders>
            <w:vAlign w:val="center"/>
          </w:tcPr>
          <w:p w14:paraId="32482B22" w14:textId="2579FAC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62221</w:t>
            </w:r>
          </w:p>
        </w:tc>
        <w:tc>
          <w:tcPr>
            <w:tcW w:w="776" w:type="dxa"/>
            <w:tcBorders>
              <w:top w:val="nil"/>
              <w:left w:val="nil"/>
              <w:bottom w:val="single" w:sz="4" w:space="0" w:color="auto"/>
              <w:right w:val="single" w:sz="4" w:space="0" w:color="auto"/>
            </w:tcBorders>
            <w:vAlign w:val="center"/>
          </w:tcPr>
          <w:p w14:paraId="15AB79F7" w14:textId="53970F5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73569</w:t>
            </w:r>
          </w:p>
        </w:tc>
        <w:tc>
          <w:tcPr>
            <w:tcW w:w="783" w:type="dxa"/>
            <w:tcBorders>
              <w:top w:val="nil"/>
              <w:left w:val="nil"/>
              <w:bottom w:val="single" w:sz="4" w:space="0" w:color="auto"/>
              <w:right w:val="single" w:sz="4" w:space="0" w:color="auto"/>
            </w:tcBorders>
            <w:vAlign w:val="center"/>
          </w:tcPr>
          <w:p w14:paraId="6E72BE90" w14:textId="6534756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86830</w:t>
            </w:r>
          </w:p>
        </w:tc>
        <w:tc>
          <w:tcPr>
            <w:tcW w:w="850" w:type="dxa"/>
            <w:tcBorders>
              <w:top w:val="nil"/>
              <w:left w:val="nil"/>
              <w:bottom w:val="single" w:sz="4" w:space="0" w:color="auto"/>
              <w:right w:val="single" w:sz="4" w:space="0" w:color="auto"/>
            </w:tcBorders>
            <w:vAlign w:val="center"/>
          </w:tcPr>
          <w:p w14:paraId="43057F3E" w14:textId="28884FA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102291</w:t>
            </w:r>
          </w:p>
        </w:tc>
        <w:tc>
          <w:tcPr>
            <w:tcW w:w="993" w:type="dxa"/>
            <w:tcBorders>
              <w:top w:val="nil"/>
              <w:left w:val="nil"/>
              <w:bottom w:val="single" w:sz="4" w:space="0" w:color="auto"/>
              <w:right w:val="single" w:sz="4" w:space="0" w:color="auto"/>
            </w:tcBorders>
            <w:vAlign w:val="center"/>
          </w:tcPr>
          <w:p w14:paraId="44EF3AC6" w14:textId="10656B3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377440</w:t>
            </w:r>
          </w:p>
        </w:tc>
      </w:tr>
      <w:tr w:rsidR="000F76DE" w:rsidRPr="00A855A5" w14:paraId="5A182D8E"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77BDB775" w14:textId="1DCF5F9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9</w:t>
            </w:r>
          </w:p>
        </w:tc>
        <w:tc>
          <w:tcPr>
            <w:tcW w:w="1416" w:type="dxa"/>
            <w:tcBorders>
              <w:top w:val="nil"/>
              <w:left w:val="nil"/>
              <w:bottom w:val="single" w:sz="4" w:space="0" w:color="auto"/>
              <w:right w:val="single" w:sz="4" w:space="0" w:color="auto"/>
            </w:tcBorders>
            <w:vAlign w:val="center"/>
          </w:tcPr>
          <w:p w14:paraId="44340D13" w14:textId="3792332A"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Orissa</w:t>
            </w:r>
          </w:p>
        </w:tc>
        <w:tc>
          <w:tcPr>
            <w:tcW w:w="851" w:type="dxa"/>
            <w:tcBorders>
              <w:top w:val="nil"/>
              <w:left w:val="nil"/>
              <w:bottom w:val="single" w:sz="4" w:space="0" w:color="auto"/>
              <w:right w:val="single" w:sz="4" w:space="0" w:color="auto"/>
            </w:tcBorders>
            <w:vAlign w:val="center"/>
          </w:tcPr>
          <w:p w14:paraId="1BE65843" w14:textId="7EC1A4E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3378</w:t>
            </w:r>
          </w:p>
        </w:tc>
        <w:tc>
          <w:tcPr>
            <w:tcW w:w="850" w:type="dxa"/>
            <w:tcBorders>
              <w:top w:val="nil"/>
              <w:left w:val="nil"/>
              <w:bottom w:val="single" w:sz="4" w:space="0" w:color="auto"/>
              <w:right w:val="single" w:sz="4" w:space="0" w:color="auto"/>
            </w:tcBorders>
            <w:vAlign w:val="center"/>
          </w:tcPr>
          <w:p w14:paraId="6ED4CB51" w14:textId="65E0192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3963</w:t>
            </w:r>
          </w:p>
        </w:tc>
        <w:tc>
          <w:tcPr>
            <w:tcW w:w="851" w:type="dxa"/>
            <w:tcBorders>
              <w:top w:val="nil"/>
              <w:left w:val="nil"/>
              <w:bottom w:val="single" w:sz="4" w:space="0" w:color="auto"/>
              <w:right w:val="single" w:sz="4" w:space="0" w:color="auto"/>
            </w:tcBorders>
            <w:vAlign w:val="center"/>
          </w:tcPr>
          <w:p w14:paraId="7488DF7A" w14:textId="61326C2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4580</w:t>
            </w:r>
          </w:p>
        </w:tc>
        <w:tc>
          <w:tcPr>
            <w:tcW w:w="776" w:type="dxa"/>
            <w:tcBorders>
              <w:top w:val="nil"/>
              <w:left w:val="nil"/>
              <w:bottom w:val="single" w:sz="4" w:space="0" w:color="auto"/>
              <w:right w:val="single" w:sz="4" w:space="0" w:color="auto"/>
            </w:tcBorders>
            <w:vAlign w:val="center"/>
          </w:tcPr>
          <w:p w14:paraId="41F251AB" w14:textId="666BCC5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5279</w:t>
            </w:r>
          </w:p>
        </w:tc>
        <w:tc>
          <w:tcPr>
            <w:tcW w:w="783" w:type="dxa"/>
            <w:tcBorders>
              <w:top w:val="nil"/>
              <w:left w:val="nil"/>
              <w:bottom w:val="single" w:sz="4" w:space="0" w:color="auto"/>
              <w:right w:val="single" w:sz="4" w:space="0" w:color="auto"/>
            </w:tcBorders>
            <w:vAlign w:val="center"/>
          </w:tcPr>
          <w:p w14:paraId="0833DAD3" w14:textId="508BEE77"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6068</w:t>
            </w:r>
          </w:p>
        </w:tc>
        <w:tc>
          <w:tcPr>
            <w:tcW w:w="850" w:type="dxa"/>
            <w:tcBorders>
              <w:top w:val="nil"/>
              <w:left w:val="nil"/>
              <w:bottom w:val="single" w:sz="4" w:space="0" w:color="auto"/>
              <w:right w:val="single" w:sz="4" w:space="0" w:color="auto"/>
            </w:tcBorders>
            <w:vAlign w:val="center"/>
          </w:tcPr>
          <w:p w14:paraId="485E91FD" w14:textId="23482D8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6864</w:t>
            </w:r>
          </w:p>
        </w:tc>
        <w:tc>
          <w:tcPr>
            <w:tcW w:w="993" w:type="dxa"/>
            <w:tcBorders>
              <w:top w:val="nil"/>
              <w:left w:val="nil"/>
              <w:bottom w:val="single" w:sz="4" w:space="0" w:color="auto"/>
              <w:right w:val="single" w:sz="4" w:space="0" w:color="auto"/>
            </w:tcBorders>
            <w:vAlign w:val="center"/>
          </w:tcPr>
          <w:p w14:paraId="6F137FBB" w14:textId="2307C699"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26754</w:t>
            </w:r>
          </w:p>
        </w:tc>
      </w:tr>
      <w:tr w:rsidR="000F76DE" w:rsidRPr="00A855A5" w14:paraId="72E81568"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6E603380" w14:textId="7C5AAFA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10</w:t>
            </w:r>
          </w:p>
        </w:tc>
        <w:tc>
          <w:tcPr>
            <w:tcW w:w="1416" w:type="dxa"/>
            <w:tcBorders>
              <w:top w:val="nil"/>
              <w:left w:val="nil"/>
              <w:bottom w:val="single" w:sz="4" w:space="0" w:color="auto"/>
              <w:right w:val="single" w:sz="4" w:space="0" w:color="auto"/>
            </w:tcBorders>
            <w:vAlign w:val="center"/>
          </w:tcPr>
          <w:p w14:paraId="7BA49C73" w14:textId="3E116BDD"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Punjab</w:t>
            </w:r>
          </w:p>
        </w:tc>
        <w:tc>
          <w:tcPr>
            <w:tcW w:w="851" w:type="dxa"/>
            <w:tcBorders>
              <w:top w:val="nil"/>
              <w:left w:val="nil"/>
              <w:bottom w:val="single" w:sz="4" w:space="0" w:color="auto"/>
              <w:right w:val="single" w:sz="4" w:space="0" w:color="auto"/>
            </w:tcBorders>
            <w:vAlign w:val="center"/>
          </w:tcPr>
          <w:p w14:paraId="7512D7CB" w14:textId="3D63E12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36193</w:t>
            </w:r>
          </w:p>
        </w:tc>
        <w:tc>
          <w:tcPr>
            <w:tcW w:w="850" w:type="dxa"/>
            <w:tcBorders>
              <w:top w:val="nil"/>
              <w:left w:val="nil"/>
              <w:bottom w:val="single" w:sz="4" w:space="0" w:color="auto"/>
              <w:right w:val="single" w:sz="4" w:space="0" w:color="auto"/>
            </w:tcBorders>
            <w:vAlign w:val="center"/>
          </w:tcPr>
          <w:p w14:paraId="6EED75DD" w14:textId="3BC1E6F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40680</w:t>
            </w:r>
          </w:p>
        </w:tc>
        <w:tc>
          <w:tcPr>
            <w:tcW w:w="851" w:type="dxa"/>
            <w:tcBorders>
              <w:top w:val="nil"/>
              <w:left w:val="nil"/>
              <w:bottom w:val="single" w:sz="4" w:space="0" w:color="auto"/>
              <w:right w:val="single" w:sz="4" w:space="0" w:color="auto"/>
            </w:tcBorders>
            <w:vAlign w:val="center"/>
          </w:tcPr>
          <w:p w14:paraId="26CF8783" w14:textId="18C6825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45719</w:t>
            </w:r>
          </w:p>
        </w:tc>
        <w:tc>
          <w:tcPr>
            <w:tcW w:w="776" w:type="dxa"/>
            <w:tcBorders>
              <w:top w:val="nil"/>
              <w:left w:val="nil"/>
              <w:bottom w:val="single" w:sz="4" w:space="0" w:color="auto"/>
              <w:right w:val="single" w:sz="4" w:space="0" w:color="auto"/>
            </w:tcBorders>
            <w:vAlign w:val="center"/>
          </w:tcPr>
          <w:p w14:paraId="028E798C" w14:textId="12836A6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51366</w:t>
            </w:r>
          </w:p>
        </w:tc>
        <w:tc>
          <w:tcPr>
            <w:tcW w:w="783" w:type="dxa"/>
            <w:tcBorders>
              <w:top w:val="nil"/>
              <w:left w:val="nil"/>
              <w:bottom w:val="single" w:sz="4" w:space="0" w:color="auto"/>
              <w:right w:val="single" w:sz="4" w:space="0" w:color="auto"/>
            </w:tcBorders>
            <w:vAlign w:val="center"/>
          </w:tcPr>
          <w:p w14:paraId="2ED991E1" w14:textId="56958B4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57617</w:t>
            </w:r>
          </w:p>
        </w:tc>
        <w:tc>
          <w:tcPr>
            <w:tcW w:w="850" w:type="dxa"/>
            <w:tcBorders>
              <w:top w:val="nil"/>
              <w:left w:val="nil"/>
              <w:bottom w:val="single" w:sz="4" w:space="0" w:color="auto"/>
              <w:right w:val="single" w:sz="4" w:space="0" w:color="auto"/>
            </w:tcBorders>
            <w:vAlign w:val="center"/>
          </w:tcPr>
          <w:p w14:paraId="6BBE2A0C" w14:textId="420CA31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63817</w:t>
            </w:r>
          </w:p>
        </w:tc>
        <w:tc>
          <w:tcPr>
            <w:tcW w:w="993" w:type="dxa"/>
            <w:tcBorders>
              <w:top w:val="nil"/>
              <w:left w:val="nil"/>
              <w:bottom w:val="single" w:sz="4" w:space="0" w:color="auto"/>
              <w:right w:val="single" w:sz="4" w:space="0" w:color="auto"/>
            </w:tcBorders>
            <w:vAlign w:val="center"/>
          </w:tcPr>
          <w:p w14:paraId="795FFFDF" w14:textId="79D99F11"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259199</w:t>
            </w:r>
          </w:p>
        </w:tc>
      </w:tr>
      <w:tr w:rsidR="000F76DE" w:rsidRPr="00A855A5" w14:paraId="12D59D27"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702FAB75" w14:textId="2CB836B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11</w:t>
            </w:r>
          </w:p>
        </w:tc>
        <w:tc>
          <w:tcPr>
            <w:tcW w:w="1416" w:type="dxa"/>
            <w:tcBorders>
              <w:top w:val="nil"/>
              <w:left w:val="nil"/>
              <w:bottom w:val="single" w:sz="4" w:space="0" w:color="auto"/>
              <w:right w:val="single" w:sz="4" w:space="0" w:color="auto"/>
            </w:tcBorders>
            <w:vAlign w:val="center"/>
          </w:tcPr>
          <w:p w14:paraId="6FD1A12F" w14:textId="3218589C"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Rajasthan</w:t>
            </w:r>
          </w:p>
        </w:tc>
        <w:tc>
          <w:tcPr>
            <w:tcW w:w="851" w:type="dxa"/>
            <w:tcBorders>
              <w:top w:val="nil"/>
              <w:left w:val="nil"/>
              <w:bottom w:val="single" w:sz="4" w:space="0" w:color="auto"/>
              <w:right w:val="single" w:sz="4" w:space="0" w:color="auto"/>
            </w:tcBorders>
            <w:vAlign w:val="center"/>
          </w:tcPr>
          <w:p w14:paraId="582187AD" w14:textId="6B0C26B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16911</w:t>
            </w:r>
          </w:p>
        </w:tc>
        <w:tc>
          <w:tcPr>
            <w:tcW w:w="850" w:type="dxa"/>
            <w:tcBorders>
              <w:top w:val="nil"/>
              <w:left w:val="nil"/>
              <w:bottom w:val="single" w:sz="4" w:space="0" w:color="auto"/>
              <w:right w:val="single" w:sz="4" w:space="0" w:color="auto"/>
            </w:tcBorders>
            <w:vAlign w:val="center"/>
          </w:tcPr>
          <w:p w14:paraId="195EDE94" w14:textId="4C375191"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17825</w:t>
            </w:r>
          </w:p>
        </w:tc>
        <w:tc>
          <w:tcPr>
            <w:tcW w:w="851" w:type="dxa"/>
            <w:tcBorders>
              <w:top w:val="nil"/>
              <w:left w:val="nil"/>
              <w:bottom w:val="single" w:sz="4" w:space="0" w:color="auto"/>
              <w:right w:val="single" w:sz="4" w:space="0" w:color="auto"/>
            </w:tcBorders>
            <w:vAlign w:val="center"/>
          </w:tcPr>
          <w:p w14:paraId="678D885D" w14:textId="0140FBF9"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18743</w:t>
            </w:r>
          </w:p>
        </w:tc>
        <w:tc>
          <w:tcPr>
            <w:tcW w:w="776" w:type="dxa"/>
            <w:tcBorders>
              <w:top w:val="nil"/>
              <w:left w:val="nil"/>
              <w:bottom w:val="single" w:sz="4" w:space="0" w:color="auto"/>
              <w:right w:val="single" w:sz="4" w:space="0" w:color="auto"/>
            </w:tcBorders>
            <w:vAlign w:val="center"/>
          </w:tcPr>
          <w:p w14:paraId="3BB54542" w14:textId="350F403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19668</w:t>
            </w:r>
          </w:p>
        </w:tc>
        <w:tc>
          <w:tcPr>
            <w:tcW w:w="783" w:type="dxa"/>
            <w:tcBorders>
              <w:top w:val="nil"/>
              <w:left w:val="nil"/>
              <w:bottom w:val="single" w:sz="4" w:space="0" w:color="auto"/>
              <w:right w:val="single" w:sz="4" w:space="0" w:color="auto"/>
            </w:tcBorders>
            <w:vAlign w:val="center"/>
          </w:tcPr>
          <w:p w14:paraId="342EB6EA" w14:textId="251E959C"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20574</w:t>
            </w:r>
          </w:p>
        </w:tc>
        <w:tc>
          <w:tcPr>
            <w:tcW w:w="850" w:type="dxa"/>
            <w:tcBorders>
              <w:top w:val="nil"/>
              <w:left w:val="nil"/>
              <w:bottom w:val="single" w:sz="4" w:space="0" w:color="auto"/>
              <w:right w:val="single" w:sz="4" w:space="0" w:color="auto"/>
            </w:tcBorders>
            <w:vAlign w:val="center"/>
          </w:tcPr>
          <w:p w14:paraId="7F2C02D9" w14:textId="215E3FA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21216</w:t>
            </w:r>
          </w:p>
        </w:tc>
        <w:tc>
          <w:tcPr>
            <w:tcW w:w="993" w:type="dxa"/>
            <w:tcBorders>
              <w:top w:val="nil"/>
              <w:left w:val="nil"/>
              <w:bottom w:val="single" w:sz="4" w:space="0" w:color="auto"/>
              <w:right w:val="single" w:sz="4" w:space="0" w:color="auto"/>
            </w:tcBorders>
            <w:vAlign w:val="center"/>
          </w:tcPr>
          <w:p w14:paraId="567648D9" w14:textId="37BDA24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98027</w:t>
            </w:r>
          </w:p>
        </w:tc>
      </w:tr>
      <w:tr w:rsidR="000F76DE" w:rsidRPr="00A855A5" w14:paraId="5D776202"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622766B2" w14:textId="0108735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12</w:t>
            </w:r>
          </w:p>
        </w:tc>
        <w:tc>
          <w:tcPr>
            <w:tcW w:w="1416" w:type="dxa"/>
            <w:tcBorders>
              <w:top w:val="nil"/>
              <w:left w:val="nil"/>
              <w:bottom w:val="single" w:sz="4" w:space="0" w:color="auto"/>
              <w:right w:val="single" w:sz="4" w:space="0" w:color="auto"/>
            </w:tcBorders>
            <w:vAlign w:val="center"/>
          </w:tcPr>
          <w:p w14:paraId="1C9B9E3F" w14:textId="3C3DF9CB"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Tamil Nadu</w:t>
            </w:r>
          </w:p>
        </w:tc>
        <w:tc>
          <w:tcPr>
            <w:tcW w:w="851" w:type="dxa"/>
            <w:tcBorders>
              <w:top w:val="nil"/>
              <w:left w:val="nil"/>
              <w:bottom w:val="single" w:sz="4" w:space="0" w:color="auto"/>
              <w:right w:val="single" w:sz="4" w:space="0" w:color="auto"/>
            </w:tcBorders>
            <w:vAlign w:val="center"/>
          </w:tcPr>
          <w:p w14:paraId="191299BA" w14:textId="30A4C02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25678</w:t>
            </w:r>
          </w:p>
        </w:tc>
        <w:tc>
          <w:tcPr>
            <w:tcW w:w="850" w:type="dxa"/>
            <w:tcBorders>
              <w:top w:val="nil"/>
              <w:left w:val="nil"/>
              <w:bottom w:val="single" w:sz="4" w:space="0" w:color="auto"/>
              <w:right w:val="single" w:sz="4" w:space="0" w:color="auto"/>
            </w:tcBorders>
            <w:vAlign w:val="center"/>
          </w:tcPr>
          <w:p w14:paraId="79A028F1" w14:textId="3B6BA00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28344</w:t>
            </w:r>
          </w:p>
        </w:tc>
        <w:tc>
          <w:tcPr>
            <w:tcW w:w="851" w:type="dxa"/>
            <w:tcBorders>
              <w:top w:val="nil"/>
              <w:left w:val="nil"/>
              <w:bottom w:val="single" w:sz="4" w:space="0" w:color="auto"/>
              <w:right w:val="single" w:sz="4" w:space="0" w:color="auto"/>
            </w:tcBorders>
            <w:vAlign w:val="center"/>
          </w:tcPr>
          <w:p w14:paraId="104FA47C" w14:textId="2AE832C5"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31244</w:t>
            </w:r>
          </w:p>
        </w:tc>
        <w:tc>
          <w:tcPr>
            <w:tcW w:w="776" w:type="dxa"/>
            <w:tcBorders>
              <w:top w:val="nil"/>
              <w:left w:val="nil"/>
              <w:bottom w:val="single" w:sz="4" w:space="0" w:color="auto"/>
              <w:right w:val="single" w:sz="4" w:space="0" w:color="auto"/>
            </w:tcBorders>
            <w:vAlign w:val="center"/>
          </w:tcPr>
          <w:p w14:paraId="5A65D122" w14:textId="28F088C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34390</w:t>
            </w:r>
          </w:p>
        </w:tc>
        <w:tc>
          <w:tcPr>
            <w:tcW w:w="783" w:type="dxa"/>
            <w:tcBorders>
              <w:top w:val="nil"/>
              <w:left w:val="nil"/>
              <w:bottom w:val="single" w:sz="4" w:space="0" w:color="auto"/>
              <w:right w:val="single" w:sz="4" w:space="0" w:color="auto"/>
            </w:tcBorders>
            <w:vAlign w:val="center"/>
          </w:tcPr>
          <w:p w14:paraId="0F14E603" w14:textId="2EBD2D7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37725</w:t>
            </w:r>
          </w:p>
        </w:tc>
        <w:tc>
          <w:tcPr>
            <w:tcW w:w="850" w:type="dxa"/>
            <w:tcBorders>
              <w:top w:val="nil"/>
              <w:left w:val="nil"/>
              <w:bottom w:val="single" w:sz="4" w:space="0" w:color="auto"/>
              <w:right w:val="single" w:sz="4" w:space="0" w:color="auto"/>
            </w:tcBorders>
            <w:vAlign w:val="center"/>
          </w:tcPr>
          <w:p w14:paraId="2FC8C0B5" w14:textId="2A86E86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40398</w:t>
            </w:r>
          </w:p>
        </w:tc>
        <w:tc>
          <w:tcPr>
            <w:tcW w:w="993" w:type="dxa"/>
            <w:tcBorders>
              <w:top w:val="nil"/>
              <w:left w:val="nil"/>
              <w:bottom w:val="single" w:sz="4" w:space="0" w:color="auto"/>
              <w:right w:val="single" w:sz="4" w:space="0" w:color="auto"/>
            </w:tcBorders>
            <w:vAlign w:val="center"/>
          </w:tcPr>
          <w:p w14:paraId="43959B66" w14:textId="148EA90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172102</w:t>
            </w:r>
          </w:p>
        </w:tc>
      </w:tr>
      <w:tr w:rsidR="000F76DE" w:rsidRPr="00A855A5" w14:paraId="301037FA"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5D32CE25" w14:textId="3FF699A7"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13</w:t>
            </w:r>
          </w:p>
        </w:tc>
        <w:tc>
          <w:tcPr>
            <w:tcW w:w="1416" w:type="dxa"/>
            <w:tcBorders>
              <w:top w:val="nil"/>
              <w:left w:val="nil"/>
              <w:bottom w:val="single" w:sz="4" w:space="0" w:color="auto"/>
              <w:right w:val="single" w:sz="4" w:space="0" w:color="auto"/>
            </w:tcBorders>
            <w:vAlign w:val="center"/>
          </w:tcPr>
          <w:p w14:paraId="011B5A15" w14:textId="72717308"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Uttar Pradesh</w:t>
            </w:r>
          </w:p>
        </w:tc>
        <w:tc>
          <w:tcPr>
            <w:tcW w:w="851" w:type="dxa"/>
            <w:tcBorders>
              <w:top w:val="nil"/>
              <w:left w:val="nil"/>
              <w:bottom w:val="single" w:sz="4" w:space="0" w:color="auto"/>
              <w:right w:val="single" w:sz="4" w:space="0" w:color="auto"/>
            </w:tcBorders>
            <w:vAlign w:val="center"/>
          </w:tcPr>
          <w:p w14:paraId="115B8CAE" w14:textId="0556F22C"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65006</w:t>
            </w:r>
          </w:p>
        </w:tc>
        <w:tc>
          <w:tcPr>
            <w:tcW w:w="850" w:type="dxa"/>
            <w:tcBorders>
              <w:top w:val="nil"/>
              <w:left w:val="nil"/>
              <w:bottom w:val="single" w:sz="4" w:space="0" w:color="auto"/>
              <w:right w:val="single" w:sz="4" w:space="0" w:color="auto"/>
            </w:tcBorders>
            <w:vAlign w:val="center"/>
          </w:tcPr>
          <w:p w14:paraId="0030B9C5" w14:textId="739523A0"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64037</w:t>
            </w:r>
          </w:p>
        </w:tc>
        <w:tc>
          <w:tcPr>
            <w:tcW w:w="851" w:type="dxa"/>
            <w:tcBorders>
              <w:top w:val="nil"/>
              <w:left w:val="nil"/>
              <w:bottom w:val="single" w:sz="4" w:space="0" w:color="auto"/>
              <w:right w:val="single" w:sz="4" w:space="0" w:color="auto"/>
            </w:tcBorders>
            <w:vAlign w:val="center"/>
          </w:tcPr>
          <w:p w14:paraId="68536F47" w14:textId="3B84A05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61940</w:t>
            </w:r>
          </w:p>
        </w:tc>
        <w:tc>
          <w:tcPr>
            <w:tcW w:w="776" w:type="dxa"/>
            <w:tcBorders>
              <w:top w:val="nil"/>
              <w:left w:val="nil"/>
              <w:bottom w:val="single" w:sz="4" w:space="0" w:color="auto"/>
              <w:right w:val="single" w:sz="4" w:space="0" w:color="auto"/>
            </w:tcBorders>
            <w:vAlign w:val="center"/>
          </w:tcPr>
          <w:p w14:paraId="63E0DB89" w14:textId="6A07328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59380</w:t>
            </w:r>
          </w:p>
        </w:tc>
        <w:tc>
          <w:tcPr>
            <w:tcW w:w="783" w:type="dxa"/>
            <w:tcBorders>
              <w:top w:val="nil"/>
              <w:left w:val="nil"/>
              <w:bottom w:val="single" w:sz="4" w:space="0" w:color="auto"/>
              <w:right w:val="single" w:sz="4" w:space="0" w:color="auto"/>
            </w:tcBorders>
            <w:vAlign w:val="center"/>
          </w:tcPr>
          <w:p w14:paraId="4452F40E" w14:textId="312AE6A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56470</w:t>
            </w:r>
          </w:p>
        </w:tc>
        <w:tc>
          <w:tcPr>
            <w:tcW w:w="850" w:type="dxa"/>
            <w:tcBorders>
              <w:top w:val="nil"/>
              <w:left w:val="nil"/>
              <w:bottom w:val="single" w:sz="4" w:space="0" w:color="auto"/>
              <w:right w:val="single" w:sz="4" w:space="0" w:color="auto"/>
            </w:tcBorders>
            <w:vAlign w:val="center"/>
          </w:tcPr>
          <w:p w14:paraId="3D699C65" w14:textId="55DF3436"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52068</w:t>
            </w:r>
          </w:p>
        </w:tc>
        <w:tc>
          <w:tcPr>
            <w:tcW w:w="993" w:type="dxa"/>
            <w:tcBorders>
              <w:top w:val="nil"/>
              <w:left w:val="nil"/>
              <w:bottom w:val="single" w:sz="4" w:space="0" w:color="auto"/>
              <w:right w:val="single" w:sz="4" w:space="0" w:color="auto"/>
            </w:tcBorders>
            <w:vAlign w:val="center"/>
          </w:tcPr>
          <w:p w14:paraId="17A1AA55" w14:textId="6EE2E78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293895</w:t>
            </w:r>
          </w:p>
        </w:tc>
      </w:tr>
      <w:tr w:rsidR="000F76DE" w:rsidRPr="00A855A5" w14:paraId="66F9E454" w14:textId="77777777" w:rsidTr="00A855A5">
        <w:trPr>
          <w:trHeight w:val="20"/>
          <w:jc w:val="center"/>
        </w:trPr>
        <w:tc>
          <w:tcPr>
            <w:tcW w:w="422" w:type="dxa"/>
            <w:tcBorders>
              <w:top w:val="nil"/>
              <w:left w:val="single" w:sz="4" w:space="0" w:color="auto"/>
              <w:bottom w:val="single" w:sz="4" w:space="0" w:color="auto"/>
              <w:right w:val="single" w:sz="4" w:space="0" w:color="auto"/>
            </w:tcBorders>
            <w:vAlign w:val="center"/>
          </w:tcPr>
          <w:p w14:paraId="7BBD83E3" w14:textId="11D87C0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14</w:t>
            </w:r>
          </w:p>
        </w:tc>
        <w:tc>
          <w:tcPr>
            <w:tcW w:w="1416" w:type="dxa"/>
            <w:tcBorders>
              <w:top w:val="nil"/>
              <w:left w:val="nil"/>
              <w:bottom w:val="single" w:sz="4" w:space="0" w:color="auto"/>
              <w:right w:val="single" w:sz="4" w:space="0" w:color="auto"/>
            </w:tcBorders>
            <w:vAlign w:val="center"/>
          </w:tcPr>
          <w:p w14:paraId="3079A57C" w14:textId="391A3676"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West Bengal</w:t>
            </w:r>
          </w:p>
        </w:tc>
        <w:tc>
          <w:tcPr>
            <w:tcW w:w="851" w:type="dxa"/>
            <w:tcBorders>
              <w:top w:val="nil"/>
              <w:left w:val="nil"/>
              <w:bottom w:val="single" w:sz="4" w:space="0" w:color="auto"/>
              <w:right w:val="single" w:sz="4" w:space="0" w:color="auto"/>
            </w:tcBorders>
            <w:vAlign w:val="center"/>
          </w:tcPr>
          <w:p w14:paraId="45CE5000" w14:textId="3DA82FA0"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9791</w:t>
            </w:r>
          </w:p>
        </w:tc>
        <w:tc>
          <w:tcPr>
            <w:tcW w:w="850" w:type="dxa"/>
            <w:tcBorders>
              <w:top w:val="nil"/>
              <w:left w:val="nil"/>
              <w:bottom w:val="single" w:sz="4" w:space="0" w:color="auto"/>
              <w:right w:val="single" w:sz="4" w:space="0" w:color="auto"/>
            </w:tcBorders>
            <w:vAlign w:val="center"/>
          </w:tcPr>
          <w:p w14:paraId="16DFF48E" w14:textId="7837D008"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12243</w:t>
            </w:r>
          </w:p>
        </w:tc>
        <w:tc>
          <w:tcPr>
            <w:tcW w:w="851" w:type="dxa"/>
            <w:tcBorders>
              <w:top w:val="nil"/>
              <w:left w:val="nil"/>
              <w:bottom w:val="single" w:sz="4" w:space="0" w:color="auto"/>
              <w:right w:val="single" w:sz="4" w:space="0" w:color="auto"/>
            </w:tcBorders>
            <w:vAlign w:val="center"/>
          </w:tcPr>
          <w:p w14:paraId="28B5BC49" w14:textId="1034CAFB"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15283</w:t>
            </w:r>
          </w:p>
        </w:tc>
        <w:tc>
          <w:tcPr>
            <w:tcW w:w="776" w:type="dxa"/>
            <w:tcBorders>
              <w:top w:val="nil"/>
              <w:left w:val="nil"/>
              <w:bottom w:val="single" w:sz="4" w:space="0" w:color="auto"/>
              <w:right w:val="single" w:sz="4" w:space="0" w:color="auto"/>
            </w:tcBorders>
            <w:vAlign w:val="center"/>
          </w:tcPr>
          <w:p w14:paraId="5F05080C" w14:textId="545BAD43"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19040</w:t>
            </w:r>
          </w:p>
        </w:tc>
        <w:tc>
          <w:tcPr>
            <w:tcW w:w="783" w:type="dxa"/>
            <w:tcBorders>
              <w:top w:val="nil"/>
              <w:left w:val="nil"/>
              <w:bottom w:val="single" w:sz="4" w:space="0" w:color="auto"/>
              <w:right w:val="single" w:sz="4" w:space="0" w:color="auto"/>
            </w:tcBorders>
            <w:vAlign w:val="center"/>
          </w:tcPr>
          <w:p w14:paraId="5F1291CB" w14:textId="5C12D860"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23605</w:t>
            </w:r>
          </w:p>
        </w:tc>
        <w:tc>
          <w:tcPr>
            <w:tcW w:w="850" w:type="dxa"/>
            <w:tcBorders>
              <w:top w:val="nil"/>
              <w:left w:val="nil"/>
              <w:bottom w:val="single" w:sz="4" w:space="0" w:color="auto"/>
              <w:right w:val="single" w:sz="4" w:space="0" w:color="auto"/>
            </w:tcBorders>
            <w:vAlign w:val="center"/>
          </w:tcPr>
          <w:p w14:paraId="667005FD" w14:textId="5A03D070"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28257</w:t>
            </w:r>
          </w:p>
        </w:tc>
        <w:tc>
          <w:tcPr>
            <w:tcW w:w="993" w:type="dxa"/>
            <w:tcBorders>
              <w:top w:val="nil"/>
              <w:left w:val="nil"/>
              <w:bottom w:val="single" w:sz="4" w:space="0" w:color="auto"/>
              <w:right w:val="single" w:sz="4" w:space="0" w:color="auto"/>
            </w:tcBorders>
            <w:vAlign w:val="center"/>
          </w:tcPr>
          <w:p w14:paraId="72A2B4AA" w14:textId="5F60324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sz w:val="16"/>
                <w:szCs w:val="16"/>
              </w:rPr>
              <w:t>98427</w:t>
            </w:r>
          </w:p>
        </w:tc>
      </w:tr>
      <w:tr w:rsidR="000F76DE" w:rsidRPr="00A855A5" w14:paraId="4CCF8079" w14:textId="77777777" w:rsidTr="00BC3504">
        <w:trPr>
          <w:trHeight w:val="20"/>
          <w:jc w:val="center"/>
        </w:trPr>
        <w:tc>
          <w:tcPr>
            <w:tcW w:w="1838" w:type="dxa"/>
            <w:gridSpan w:val="2"/>
            <w:tcBorders>
              <w:top w:val="nil"/>
              <w:left w:val="single" w:sz="4" w:space="0" w:color="auto"/>
              <w:bottom w:val="single" w:sz="4" w:space="0" w:color="auto"/>
              <w:right w:val="single" w:sz="4" w:space="0" w:color="auto"/>
            </w:tcBorders>
            <w:vAlign w:val="center"/>
          </w:tcPr>
          <w:p w14:paraId="07E190DF" w14:textId="13FB86B8" w:rsidR="000F76DE" w:rsidRPr="00A855A5" w:rsidRDefault="000F76DE" w:rsidP="000F76DE">
            <w:pPr>
              <w:spacing w:after="0" w:line="240" w:lineRule="auto"/>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14 Major States</w:t>
            </w:r>
          </w:p>
        </w:tc>
        <w:tc>
          <w:tcPr>
            <w:tcW w:w="851" w:type="dxa"/>
            <w:tcBorders>
              <w:top w:val="nil"/>
              <w:left w:val="nil"/>
              <w:bottom w:val="single" w:sz="4" w:space="0" w:color="auto"/>
              <w:right w:val="single" w:sz="4" w:space="0" w:color="auto"/>
            </w:tcBorders>
            <w:vAlign w:val="center"/>
          </w:tcPr>
          <w:p w14:paraId="737F681E" w14:textId="336C010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375137</w:t>
            </w:r>
          </w:p>
        </w:tc>
        <w:tc>
          <w:tcPr>
            <w:tcW w:w="850" w:type="dxa"/>
            <w:tcBorders>
              <w:top w:val="nil"/>
              <w:left w:val="nil"/>
              <w:bottom w:val="single" w:sz="4" w:space="0" w:color="auto"/>
              <w:right w:val="single" w:sz="4" w:space="0" w:color="auto"/>
            </w:tcBorders>
            <w:vAlign w:val="center"/>
          </w:tcPr>
          <w:p w14:paraId="79CA2E12" w14:textId="5171697A"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414572</w:t>
            </w:r>
          </w:p>
        </w:tc>
        <w:tc>
          <w:tcPr>
            <w:tcW w:w="851" w:type="dxa"/>
            <w:tcBorders>
              <w:top w:val="nil"/>
              <w:left w:val="nil"/>
              <w:bottom w:val="single" w:sz="4" w:space="0" w:color="auto"/>
              <w:right w:val="single" w:sz="4" w:space="0" w:color="auto"/>
            </w:tcBorders>
            <w:vAlign w:val="center"/>
          </w:tcPr>
          <w:p w14:paraId="5C566D63" w14:textId="06E83CAC"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458154</w:t>
            </w:r>
          </w:p>
        </w:tc>
        <w:tc>
          <w:tcPr>
            <w:tcW w:w="776" w:type="dxa"/>
            <w:tcBorders>
              <w:top w:val="nil"/>
              <w:left w:val="nil"/>
              <w:bottom w:val="single" w:sz="4" w:space="0" w:color="auto"/>
              <w:right w:val="single" w:sz="4" w:space="0" w:color="auto"/>
            </w:tcBorders>
            <w:vAlign w:val="center"/>
          </w:tcPr>
          <w:p w14:paraId="7AAF4AC0" w14:textId="166C53AD"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506317</w:t>
            </w:r>
          </w:p>
        </w:tc>
        <w:tc>
          <w:tcPr>
            <w:tcW w:w="783" w:type="dxa"/>
            <w:tcBorders>
              <w:top w:val="nil"/>
              <w:left w:val="nil"/>
              <w:bottom w:val="single" w:sz="4" w:space="0" w:color="auto"/>
              <w:right w:val="single" w:sz="4" w:space="0" w:color="auto"/>
            </w:tcBorders>
            <w:vAlign w:val="center"/>
          </w:tcPr>
          <w:p w14:paraId="31D39526" w14:textId="54D2C85F"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559543</w:t>
            </w:r>
          </w:p>
        </w:tc>
        <w:tc>
          <w:tcPr>
            <w:tcW w:w="850" w:type="dxa"/>
            <w:tcBorders>
              <w:top w:val="nil"/>
              <w:left w:val="nil"/>
              <w:bottom w:val="single" w:sz="4" w:space="0" w:color="auto"/>
              <w:right w:val="single" w:sz="4" w:space="0" w:color="auto"/>
            </w:tcBorders>
            <w:vAlign w:val="center"/>
          </w:tcPr>
          <w:p w14:paraId="1D0D8DC7" w14:textId="355DCB04"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618364</w:t>
            </w:r>
          </w:p>
        </w:tc>
        <w:tc>
          <w:tcPr>
            <w:tcW w:w="993" w:type="dxa"/>
            <w:tcBorders>
              <w:top w:val="nil"/>
              <w:left w:val="nil"/>
              <w:bottom w:val="single" w:sz="4" w:space="0" w:color="auto"/>
              <w:right w:val="single" w:sz="4" w:space="0" w:color="auto"/>
            </w:tcBorders>
            <w:vAlign w:val="center"/>
          </w:tcPr>
          <w:p w14:paraId="2C04BCE6" w14:textId="6A421E82" w:rsidR="000F76DE" w:rsidRPr="00A855A5" w:rsidRDefault="000F76DE" w:rsidP="000F76DE">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A855A5">
              <w:rPr>
                <w:rFonts w:ascii="Times New Roman" w:hAnsi="Times New Roman" w:cs="Times New Roman"/>
                <w:b/>
                <w:bCs/>
                <w:sz w:val="16"/>
                <w:szCs w:val="16"/>
              </w:rPr>
              <w:t>2550903</w:t>
            </w:r>
          </w:p>
        </w:tc>
      </w:tr>
    </w:tbl>
    <w:p w14:paraId="7525FC6C" w14:textId="61468AAC" w:rsidR="00675F76" w:rsidRPr="00A855A5" w:rsidRDefault="00675F76" w:rsidP="00DB5229">
      <w:pPr>
        <w:tabs>
          <w:tab w:val="left" w:pos="2805"/>
        </w:tabs>
        <w:spacing w:after="0" w:line="240" w:lineRule="auto"/>
        <w:ind w:left="1440" w:right="1416"/>
        <w:jc w:val="both"/>
        <w:rPr>
          <w:rFonts w:ascii="Times New Roman" w:hAnsi="Times New Roman" w:cs="Times New Roman"/>
          <w:sz w:val="16"/>
          <w:szCs w:val="16"/>
        </w:rPr>
      </w:pPr>
      <w:r w:rsidRPr="00A855A5">
        <w:rPr>
          <w:rFonts w:ascii="Times New Roman" w:hAnsi="Times New Roman" w:cs="Times New Roman"/>
          <w:sz w:val="16"/>
          <w:szCs w:val="16"/>
        </w:rPr>
        <w:t>Note: Thirty per cent of the presumed loss on account of the prohibition policy has been taken account of in the taxable capacity estimates of Gujarat and Tamil Nadu.</w:t>
      </w:r>
    </w:p>
    <w:p w14:paraId="597079F5" w14:textId="77BE25DD" w:rsidR="00294D85" w:rsidRPr="00675F76" w:rsidRDefault="00294D85" w:rsidP="00A855A5">
      <w:pPr>
        <w:spacing w:after="0"/>
        <w:jc w:val="center"/>
        <w:rPr>
          <w:rFonts w:ascii="Times New Roman" w:hAnsi="Times New Roman" w:cs="Times New Roman"/>
          <w:b/>
          <w:bCs/>
          <w:sz w:val="20"/>
          <w:szCs w:val="20"/>
        </w:rPr>
      </w:pPr>
    </w:p>
    <w:p w14:paraId="4E93E914" w14:textId="77777777" w:rsidR="00294D85" w:rsidRDefault="00294D85" w:rsidP="000F76DE">
      <w:pPr>
        <w:tabs>
          <w:tab w:val="left" w:pos="2805"/>
        </w:tabs>
        <w:spacing w:after="0"/>
        <w:jc w:val="center"/>
        <w:rPr>
          <w:rFonts w:ascii="Times New Roman" w:hAnsi="Times New Roman" w:cs="Times New Roman"/>
          <w:b/>
          <w:bCs/>
          <w:sz w:val="20"/>
          <w:szCs w:val="20"/>
        </w:rPr>
      </w:pPr>
      <w:r w:rsidRPr="00675F76">
        <w:rPr>
          <w:rFonts w:ascii="Times New Roman" w:hAnsi="Times New Roman" w:cs="Times New Roman"/>
          <w:b/>
          <w:bCs/>
          <w:sz w:val="20"/>
          <w:szCs w:val="20"/>
        </w:rPr>
        <w:t xml:space="preserve">Revenue Category: Motor Vehicles </w:t>
      </w:r>
      <w:proofErr w:type="gramStart"/>
      <w:r w:rsidRPr="00675F76">
        <w:rPr>
          <w:rFonts w:ascii="Times New Roman" w:hAnsi="Times New Roman" w:cs="Times New Roman"/>
          <w:b/>
          <w:bCs/>
          <w:sz w:val="20"/>
          <w:szCs w:val="20"/>
        </w:rPr>
        <w:t>And</w:t>
      </w:r>
      <w:proofErr w:type="gramEnd"/>
      <w:r w:rsidRPr="00675F76">
        <w:rPr>
          <w:rFonts w:ascii="Times New Roman" w:hAnsi="Times New Roman" w:cs="Times New Roman"/>
          <w:b/>
          <w:bCs/>
          <w:sz w:val="20"/>
          <w:szCs w:val="20"/>
        </w:rPr>
        <w:t xml:space="preserve"> Passenger Goods Taxes</w:t>
      </w:r>
    </w:p>
    <w:p w14:paraId="691B63C8" w14:textId="1864F448" w:rsidR="000F76DE" w:rsidRPr="000F76DE" w:rsidRDefault="000F76DE" w:rsidP="000F76DE">
      <w:pPr>
        <w:spacing w:after="0" w:line="240" w:lineRule="auto"/>
        <w:ind w:left="5040" w:firstLine="720"/>
        <w:jc w:val="center"/>
        <w:rPr>
          <w:rFonts w:ascii="Times New Roman" w:hAnsi="Times New Roman" w:cs="Times New Roman"/>
          <w:sz w:val="18"/>
          <w:szCs w:val="16"/>
          <w:lang w:eastAsia="en-IN"/>
        </w:rPr>
      </w:pPr>
      <w:r w:rsidRPr="00A855A5">
        <w:rPr>
          <w:rFonts w:ascii="Times New Roman" w:hAnsi="Times New Roman" w:cs="Times New Roman"/>
          <w:sz w:val="18"/>
          <w:szCs w:val="16"/>
          <w:lang w:eastAsia="en-IN"/>
        </w:rPr>
        <w:t>(Rs. Lakh)</w:t>
      </w:r>
    </w:p>
    <w:tbl>
      <w:tblPr>
        <w:tblW w:w="7508" w:type="dxa"/>
        <w:jc w:val="center"/>
        <w:tblLook w:val="04A0" w:firstRow="1" w:lastRow="0" w:firstColumn="1" w:lastColumn="0" w:noHBand="0" w:noVBand="1"/>
      </w:tblPr>
      <w:tblGrid>
        <w:gridCol w:w="421"/>
        <w:gridCol w:w="1275"/>
        <w:gridCol w:w="851"/>
        <w:gridCol w:w="850"/>
        <w:gridCol w:w="709"/>
        <w:gridCol w:w="851"/>
        <w:gridCol w:w="708"/>
        <w:gridCol w:w="851"/>
        <w:gridCol w:w="992"/>
      </w:tblGrid>
      <w:tr w:rsidR="003737D4" w:rsidRPr="000F76DE" w14:paraId="24BF37DE" w14:textId="77777777" w:rsidTr="000F76DE">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0FDB29D" w14:textId="77777777" w:rsidR="00675F76" w:rsidRPr="000F76DE" w:rsidRDefault="00675F76" w:rsidP="00675F76">
            <w:pPr>
              <w:spacing w:after="0" w:line="240" w:lineRule="auto"/>
              <w:rPr>
                <w:rFonts w:ascii="Aptos" w:eastAsia="Times New Roman" w:hAnsi="Aptos" w:cs="Times New Roman"/>
                <w:color w:val="000000"/>
                <w:kern w:val="0"/>
                <w:sz w:val="16"/>
                <w:szCs w:val="16"/>
                <w:lang w:eastAsia="en-IN" w:bidi="ar-SA"/>
                <w14:ligatures w14:val="none"/>
              </w:rPr>
            </w:pPr>
            <w:r w:rsidRPr="000F76DE">
              <w:rPr>
                <w:rFonts w:ascii="Aptos" w:eastAsia="Times New Roman" w:hAnsi="Aptos" w:cs="Times New Roman"/>
                <w:color w:val="000000"/>
                <w:kern w:val="0"/>
                <w:sz w:val="16"/>
                <w:szCs w:val="16"/>
                <w:lang w:eastAsia="en-IN" w:bidi="ar-SA"/>
                <w14:ligatures w14:val="none"/>
              </w:rPr>
              <w:t> </w:t>
            </w:r>
          </w:p>
        </w:tc>
        <w:tc>
          <w:tcPr>
            <w:tcW w:w="1275" w:type="dxa"/>
            <w:tcBorders>
              <w:top w:val="single" w:sz="4" w:space="0" w:color="auto"/>
              <w:left w:val="nil"/>
              <w:bottom w:val="single" w:sz="4" w:space="0" w:color="auto"/>
              <w:right w:val="single" w:sz="4" w:space="0" w:color="auto"/>
            </w:tcBorders>
            <w:vAlign w:val="center"/>
            <w:hideMark/>
          </w:tcPr>
          <w:p w14:paraId="3FB9F765" w14:textId="77777777" w:rsidR="00675F76" w:rsidRPr="000F76DE" w:rsidRDefault="00675F76" w:rsidP="003737D4">
            <w:pPr>
              <w:spacing w:after="0" w:line="240" w:lineRule="auto"/>
              <w:rPr>
                <w:rFonts w:ascii="Aptos" w:eastAsia="Times New Roman" w:hAnsi="Aptos" w:cs="Times New Roman"/>
                <w:color w:val="000000"/>
                <w:kern w:val="0"/>
                <w:sz w:val="16"/>
                <w:szCs w:val="16"/>
                <w:lang w:eastAsia="en-IN" w:bidi="ar-SA"/>
                <w14:ligatures w14:val="none"/>
              </w:rPr>
            </w:pPr>
            <w:r w:rsidRPr="000F76DE">
              <w:rPr>
                <w:rFonts w:ascii="Aptos" w:eastAsia="Times New Roman" w:hAnsi="Aptos" w:cs="Times New Roman"/>
                <w:color w:val="000000"/>
                <w:kern w:val="0"/>
                <w:sz w:val="16"/>
                <w:szCs w:val="16"/>
                <w:lang w:eastAsia="en-IN" w:bidi="ar-SA"/>
                <w14:ligatures w14:val="none"/>
              </w:rPr>
              <w:t> </w:t>
            </w:r>
          </w:p>
        </w:tc>
        <w:tc>
          <w:tcPr>
            <w:tcW w:w="851" w:type="dxa"/>
            <w:tcBorders>
              <w:top w:val="single" w:sz="4" w:space="0" w:color="auto"/>
              <w:left w:val="nil"/>
              <w:bottom w:val="single" w:sz="4" w:space="0" w:color="auto"/>
              <w:right w:val="single" w:sz="4" w:space="0" w:color="auto"/>
            </w:tcBorders>
            <w:vAlign w:val="center"/>
            <w:hideMark/>
          </w:tcPr>
          <w:p w14:paraId="5C54A6AC" w14:textId="40DC9F08"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1989-90</w:t>
            </w:r>
          </w:p>
        </w:tc>
        <w:tc>
          <w:tcPr>
            <w:tcW w:w="850" w:type="dxa"/>
            <w:tcBorders>
              <w:top w:val="single" w:sz="4" w:space="0" w:color="auto"/>
              <w:left w:val="nil"/>
              <w:bottom w:val="single" w:sz="4" w:space="0" w:color="auto"/>
              <w:right w:val="single" w:sz="4" w:space="0" w:color="auto"/>
            </w:tcBorders>
            <w:vAlign w:val="center"/>
            <w:hideMark/>
          </w:tcPr>
          <w:p w14:paraId="368AEB2D" w14:textId="66085A46"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 xml:space="preserve">1990-91 </w:t>
            </w:r>
          </w:p>
        </w:tc>
        <w:tc>
          <w:tcPr>
            <w:tcW w:w="709" w:type="dxa"/>
            <w:tcBorders>
              <w:top w:val="single" w:sz="4" w:space="0" w:color="auto"/>
              <w:left w:val="nil"/>
              <w:bottom w:val="single" w:sz="4" w:space="0" w:color="auto"/>
              <w:right w:val="single" w:sz="4" w:space="0" w:color="auto"/>
            </w:tcBorders>
            <w:vAlign w:val="center"/>
            <w:hideMark/>
          </w:tcPr>
          <w:p w14:paraId="0A6CFD42" w14:textId="5E68EC88"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 xml:space="preserve">1991-92 </w:t>
            </w:r>
          </w:p>
        </w:tc>
        <w:tc>
          <w:tcPr>
            <w:tcW w:w="851" w:type="dxa"/>
            <w:tcBorders>
              <w:top w:val="single" w:sz="4" w:space="0" w:color="auto"/>
              <w:left w:val="nil"/>
              <w:bottom w:val="single" w:sz="4" w:space="0" w:color="auto"/>
              <w:right w:val="single" w:sz="4" w:space="0" w:color="auto"/>
            </w:tcBorders>
            <w:vAlign w:val="center"/>
            <w:hideMark/>
          </w:tcPr>
          <w:p w14:paraId="123C93A3" w14:textId="22669372"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1992-93</w:t>
            </w:r>
          </w:p>
        </w:tc>
        <w:tc>
          <w:tcPr>
            <w:tcW w:w="708" w:type="dxa"/>
            <w:tcBorders>
              <w:top w:val="single" w:sz="4" w:space="0" w:color="auto"/>
              <w:left w:val="nil"/>
              <w:bottom w:val="single" w:sz="4" w:space="0" w:color="auto"/>
              <w:right w:val="single" w:sz="4" w:space="0" w:color="auto"/>
            </w:tcBorders>
            <w:vAlign w:val="center"/>
            <w:hideMark/>
          </w:tcPr>
          <w:p w14:paraId="38F892B5" w14:textId="5B4C7186"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 xml:space="preserve">1993-94 </w:t>
            </w:r>
          </w:p>
        </w:tc>
        <w:tc>
          <w:tcPr>
            <w:tcW w:w="851" w:type="dxa"/>
            <w:tcBorders>
              <w:top w:val="single" w:sz="4" w:space="0" w:color="auto"/>
              <w:left w:val="nil"/>
              <w:bottom w:val="single" w:sz="4" w:space="0" w:color="auto"/>
              <w:right w:val="single" w:sz="4" w:space="0" w:color="auto"/>
            </w:tcBorders>
            <w:vAlign w:val="center"/>
            <w:hideMark/>
          </w:tcPr>
          <w:p w14:paraId="3320EFF6" w14:textId="17FE1959"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1994-95</w:t>
            </w:r>
          </w:p>
        </w:tc>
        <w:tc>
          <w:tcPr>
            <w:tcW w:w="992" w:type="dxa"/>
            <w:tcBorders>
              <w:top w:val="single" w:sz="4" w:space="0" w:color="auto"/>
              <w:left w:val="nil"/>
              <w:bottom w:val="single" w:sz="4" w:space="0" w:color="auto"/>
              <w:right w:val="single" w:sz="4" w:space="0" w:color="auto"/>
            </w:tcBorders>
            <w:vAlign w:val="center"/>
            <w:hideMark/>
          </w:tcPr>
          <w:p w14:paraId="11A291C7"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1990-91 to 1994-95 (7)</w:t>
            </w:r>
          </w:p>
        </w:tc>
      </w:tr>
      <w:tr w:rsidR="000F76DE" w:rsidRPr="000F76DE" w14:paraId="3368918F" w14:textId="77777777" w:rsidTr="000F76DE">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0E7D492" w14:textId="77777777" w:rsidR="000F76DE" w:rsidRPr="000F76DE" w:rsidRDefault="000F76DE" w:rsidP="000F76DE">
            <w:pPr>
              <w:spacing w:after="0" w:line="240" w:lineRule="auto"/>
              <w:rPr>
                <w:rFonts w:ascii="Aptos" w:eastAsia="Times New Roman" w:hAnsi="Aptos" w:cs="Times New Roman"/>
                <w:color w:val="000000"/>
                <w:kern w:val="0"/>
                <w:sz w:val="16"/>
                <w:szCs w:val="16"/>
                <w:lang w:eastAsia="en-IN" w:bidi="ar-SA"/>
                <w14:ligatures w14:val="none"/>
              </w:rPr>
            </w:pPr>
          </w:p>
        </w:tc>
        <w:tc>
          <w:tcPr>
            <w:tcW w:w="1275" w:type="dxa"/>
            <w:tcBorders>
              <w:top w:val="single" w:sz="4" w:space="0" w:color="auto"/>
              <w:left w:val="nil"/>
              <w:bottom w:val="single" w:sz="4" w:space="0" w:color="auto"/>
              <w:right w:val="single" w:sz="4" w:space="0" w:color="auto"/>
            </w:tcBorders>
            <w:vAlign w:val="center"/>
          </w:tcPr>
          <w:p w14:paraId="78D2BA75" w14:textId="77777777" w:rsidR="000F76DE" w:rsidRPr="000F76DE" w:rsidRDefault="000F76DE" w:rsidP="000F76DE">
            <w:pPr>
              <w:spacing w:after="0" w:line="240" w:lineRule="auto"/>
              <w:rPr>
                <w:rFonts w:ascii="Aptos" w:eastAsia="Times New Roman" w:hAnsi="Aptos" w:cs="Times New Roman"/>
                <w:color w:val="000000"/>
                <w:kern w:val="0"/>
                <w:sz w:val="16"/>
                <w:szCs w:val="16"/>
                <w:lang w:eastAsia="en-IN" w:bidi="ar-SA"/>
                <w14:ligatures w14:val="none"/>
              </w:rPr>
            </w:pPr>
          </w:p>
        </w:tc>
        <w:tc>
          <w:tcPr>
            <w:tcW w:w="851" w:type="dxa"/>
            <w:tcBorders>
              <w:top w:val="single" w:sz="4" w:space="0" w:color="auto"/>
              <w:left w:val="nil"/>
              <w:bottom w:val="single" w:sz="4" w:space="0" w:color="auto"/>
              <w:right w:val="single" w:sz="4" w:space="0" w:color="auto"/>
            </w:tcBorders>
            <w:vAlign w:val="center"/>
          </w:tcPr>
          <w:p w14:paraId="47480E0B" w14:textId="5694492E"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850" w:type="dxa"/>
            <w:tcBorders>
              <w:top w:val="single" w:sz="4" w:space="0" w:color="auto"/>
              <w:left w:val="nil"/>
              <w:bottom w:val="single" w:sz="4" w:space="0" w:color="auto"/>
              <w:right w:val="single" w:sz="4" w:space="0" w:color="auto"/>
            </w:tcBorders>
            <w:vAlign w:val="center"/>
          </w:tcPr>
          <w:p w14:paraId="324F996F" w14:textId="11C85BE8"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709" w:type="dxa"/>
            <w:tcBorders>
              <w:top w:val="single" w:sz="4" w:space="0" w:color="auto"/>
              <w:left w:val="nil"/>
              <w:bottom w:val="single" w:sz="4" w:space="0" w:color="auto"/>
              <w:right w:val="single" w:sz="4" w:space="0" w:color="auto"/>
            </w:tcBorders>
            <w:vAlign w:val="center"/>
          </w:tcPr>
          <w:p w14:paraId="32BDFE35" w14:textId="4E7A7FDD"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851" w:type="dxa"/>
            <w:tcBorders>
              <w:top w:val="single" w:sz="4" w:space="0" w:color="auto"/>
              <w:left w:val="nil"/>
              <w:bottom w:val="single" w:sz="4" w:space="0" w:color="auto"/>
              <w:right w:val="single" w:sz="4" w:space="0" w:color="auto"/>
            </w:tcBorders>
            <w:vAlign w:val="center"/>
          </w:tcPr>
          <w:p w14:paraId="3DCE0AA6" w14:textId="4C881E0C"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708" w:type="dxa"/>
            <w:tcBorders>
              <w:top w:val="single" w:sz="4" w:space="0" w:color="auto"/>
              <w:left w:val="nil"/>
              <w:bottom w:val="single" w:sz="4" w:space="0" w:color="auto"/>
              <w:right w:val="single" w:sz="4" w:space="0" w:color="auto"/>
            </w:tcBorders>
            <w:vAlign w:val="center"/>
          </w:tcPr>
          <w:p w14:paraId="247B6284" w14:textId="1CF58741"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851" w:type="dxa"/>
            <w:tcBorders>
              <w:top w:val="single" w:sz="4" w:space="0" w:color="auto"/>
              <w:left w:val="nil"/>
              <w:bottom w:val="single" w:sz="4" w:space="0" w:color="auto"/>
              <w:right w:val="single" w:sz="4" w:space="0" w:color="auto"/>
            </w:tcBorders>
            <w:vAlign w:val="center"/>
          </w:tcPr>
          <w:p w14:paraId="2C7F1E1F" w14:textId="12529ABD"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992" w:type="dxa"/>
            <w:tcBorders>
              <w:top w:val="single" w:sz="4" w:space="0" w:color="auto"/>
              <w:left w:val="nil"/>
              <w:bottom w:val="single" w:sz="4" w:space="0" w:color="auto"/>
              <w:right w:val="single" w:sz="4" w:space="0" w:color="auto"/>
            </w:tcBorders>
            <w:vAlign w:val="center"/>
          </w:tcPr>
          <w:p w14:paraId="23B35FA2" w14:textId="0606FB23" w:rsidR="000F76DE" w:rsidRPr="000F76DE" w:rsidRDefault="000F76DE" w:rsidP="000F76DE">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3737D4" w:rsidRPr="000F76DE" w14:paraId="4DDBC10E"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6CEF871"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w:t>
            </w:r>
          </w:p>
        </w:tc>
        <w:tc>
          <w:tcPr>
            <w:tcW w:w="1275" w:type="dxa"/>
            <w:tcBorders>
              <w:top w:val="nil"/>
              <w:left w:val="nil"/>
              <w:bottom w:val="single" w:sz="4" w:space="0" w:color="auto"/>
              <w:right w:val="single" w:sz="4" w:space="0" w:color="auto"/>
            </w:tcBorders>
            <w:vAlign w:val="center"/>
            <w:hideMark/>
          </w:tcPr>
          <w:p w14:paraId="5D1DFB1D"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Andhra Pradesh</w:t>
            </w:r>
          </w:p>
        </w:tc>
        <w:tc>
          <w:tcPr>
            <w:tcW w:w="851" w:type="dxa"/>
            <w:tcBorders>
              <w:top w:val="nil"/>
              <w:left w:val="nil"/>
              <w:bottom w:val="single" w:sz="4" w:space="0" w:color="auto"/>
              <w:right w:val="single" w:sz="4" w:space="0" w:color="auto"/>
            </w:tcBorders>
            <w:vAlign w:val="center"/>
            <w:hideMark/>
          </w:tcPr>
          <w:p w14:paraId="62376F3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18535</w:t>
            </w:r>
          </w:p>
        </w:tc>
        <w:tc>
          <w:tcPr>
            <w:tcW w:w="850" w:type="dxa"/>
            <w:tcBorders>
              <w:top w:val="nil"/>
              <w:left w:val="nil"/>
              <w:bottom w:val="single" w:sz="4" w:space="0" w:color="auto"/>
              <w:right w:val="single" w:sz="4" w:space="0" w:color="auto"/>
            </w:tcBorders>
            <w:vAlign w:val="center"/>
            <w:hideMark/>
          </w:tcPr>
          <w:p w14:paraId="03B339A0"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20296</w:t>
            </w:r>
          </w:p>
        </w:tc>
        <w:tc>
          <w:tcPr>
            <w:tcW w:w="709" w:type="dxa"/>
            <w:tcBorders>
              <w:top w:val="nil"/>
              <w:left w:val="nil"/>
              <w:bottom w:val="single" w:sz="4" w:space="0" w:color="auto"/>
              <w:right w:val="single" w:sz="4" w:space="0" w:color="auto"/>
            </w:tcBorders>
            <w:vAlign w:val="center"/>
            <w:hideMark/>
          </w:tcPr>
          <w:p w14:paraId="0DB6670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22201</w:t>
            </w:r>
          </w:p>
        </w:tc>
        <w:tc>
          <w:tcPr>
            <w:tcW w:w="851" w:type="dxa"/>
            <w:tcBorders>
              <w:top w:val="nil"/>
              <w:left w:val="nil"/>
              <w:bottom w:val="single" w:sz="4" w:space="0" w:color="auto"/>
              <w:right w:val="single" w:sz="4" w:space="0" w:color="auto"/>
            </w:tcBorders>
            <w:vAlign w:val="center"/>
            <w:hideMark/>
          </w:tcPr>
          <w:p w14:paraId="299B17FD"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24255</w:t>
            </w:r>
          </w:p>
        </w:tc>
        <w:tc>
          <w:tcPr>
            <w:tcW w:w="708" w:type="dxa"/>
            <w:tcBorders>
              <w:top w:val="nil"/>
              <w:left w:val="nil"/>
              <w:bottom w:val="single" w:sz="4" w:space="0" w:color="auto"/>
              <w:right w:val="single" w:sz="4" w:space="0" w:color="auto"/>
            </w:tcBorders>
            <w:vAlign w:val="center"/>
            <w:hideMark/>
          </w:tcPr>
          <w:p w14:paraId="3DF4115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26463</w:t>
            </w:r>
          </w:p>
        </w:tc>
        <w:tc>
          <w:tcPr>
            <w:tcW w:w="851" w:type="dxa"/>
            <w:tcBorders>
              <w:top w:val="nil"/>
              <w:left w:val="nil"/>
              <w:bottom w:val="single" w:sz="4" w:space="0" w:color="auto"/>
              <w:right w:val="single" w:sz="4" w:space="0" w:color="auto"/>
            </w:tcBorders>
            <w:vAlign w:val="center"/>
            <w:hideMark/>
          </w:tcPr>
          <w:p w14:paraId="5749F49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28825</w:t>
            </w:r>
          </w:p>
        </w:tc>
        <w:tc>
          <w:tcPr>
            <w:tcW w:w="992" w:type="dxa"/>
            <w:tcBorders>
              <w:top w:val="nil"/>
              <w:left w:val="nil"/>
              <w:bottom w:val="single" w:sz="4" w:space="0" w:color="auto"/>
              <w:right w:val="single" w:sz="4" w:space="0" w:color="auto"/>
            </w:tcBorders>
            <w:vAlign w:val="center"/>
            <w:hideMark/>
          </w:tcPr>
          <w:p w14:paraId="4B38673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122040</w:t>
            </w:r>
          </w:p>
        </w:tc>
      </w:tr>
      <w:tr w:rsidR="003737D4" w:rsidRPr="000F76DE" w14:paraId="4A6CF2F3"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028A126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w:t>
            </w:r>
          </w:p>
        </w:tc>
        <w:tc>
          <w:tcPr>
            <w:tcW w:w="1275" w:type="dxa"/>
            <w:tcBorders>
              <w:top w:val="nil"/>
              <w:left w:val="nil"/>
              <w:bottom w:val="single" w:sz="4" w:space="0" w:color="auto"/>
              <w:right w:val="single" w:sz="4" w:space="0" w:color="auto"/>
            </w:tcBorders>
            <w:vAlign w:val="center"/>
            <w:hideMark/>
          </w:tcPr>
          <w:p w14:paraId="05F0A481"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Bihar</w:t>
            </w:r>
          </w:p>
        </w:tc>
        <w:tc>
          <w:tcPr>
            <w:tcW w:w="851" w:type="dxa"/>
            <w:tcBorders>
              <w:top w:val="nil"/>
              <w:left w:val="nil"/>
              <w:bottom w:val="single" w:sz="4" w:space="0" w:color="auto"/>
              <w:right w:val="single" w:sz="4" w:space="0" w:color="auto"/>
            </w:tcBorders>
            <w:vAlign w:val="center"/>
            <w:hideMark/>
          </w:tcPr>
          <w:p w14:paraId="7BE3AD5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4505</w:t>
            </w:r>
          </w:p>
        </w:tc>
        <w:tc>
          <w:tcPr>
            <w:tcW w:w="850" w:type="dxa"/>
            <w:tcBorders>
              <w:top w:val="nil"/>
              <w:left w:val="nil"/>
              <w:bottom w:val="single" w:sz="4" w:space="0" w:color="auto"/>
              <w:right w:val="single" w:sz="4" w:space="0" w:color="auto"/>
            </w:tcBorders>
            <w:vAlign w:val="center"/>
            <w:hideMark/>
          </w:tcPr>
          <w:p w14:paraId="687E20E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6078</w:t>
            </w:r>
          </w:p>
        </w:tc>
        <w:tc>
          <w:tcPr>
            <w:tcW w:w="709" w:type="dxa"/>
            <w:tcBorders>
              <w:top w:val="nil"/>
              <w:left w:val="nil"/>
              <w:bottom w:val="single" w:sz="4" w:space="0" w:color="auto"/>
              <w:right w:val="single" w:sz="4" w:space="0" w:color="auto"/>
            </w:tcBorders>
            <w:vAlign w:val="center"/>
            <w:hideMark/>
          </w:tcPr>
          <w:p w14:paraId="49C189C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8184</w:t>
            </w:r>
          </w:p>
        </w:tc>
        <w:tc>
          <w:tcPr>
            <w:tcW w:w="851" w:type="dxa"/>
            <w:tcBorders>
              <w:top w:val="nil"/>
              <w:left w:val="nil"/>
              <w:bottom w:val="single" w:sz="4" w:space="0" w:color="auto"/>
              <w:right w:val="single" w:sz="4" w:space="0" w:color="auto"/>
            </w:tcBorders>
            <w:vAlign w:val="center"/>
            <w:hideMark/>
          </w:tcPr>
          <w:p w14:paraId="20D03A51"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10990</w:t>
            </w:r>
          </w:p>
        </w:tc>
        <w:tc>
          <w:tcPr>
            <w:tcW w:w="708" w:type="dxa"/>
            <w:tcBorders>
              <w:top w:val="nil"/>
              <w:left w:val="nil"/>
              <w:bottom w:val="single" w:sz="4" w:space="0" w:color="auto"/>
              <w:right w:val="single" w:sz="4" w:space="0" w:color="auto"/>
            </w:tcBorders>
            <w:vAlign w:val="center"/>
            <w:hideMark/>
          </w:tcPr>
          <w:p w14:paraId="6F59FBC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14696</w:t>
            </w:r>
          </w:p>
        </w:tc>
        <w:tc>
          <w:tcPr>
            <w:tcW w:w="851" w:type="dxa"/>
            <w:tcBorders>
              <w:top w:val="nil"/>
              <w:left w:val="nil"/>
              <w:bottom w:val="single" w:sz="4" w:space="0" w:color="auto"/>
              <w:right w:val="single" w:sz="4" w:space="0" w:color="auto"/>
            </w:tcBorders>
            <w:vAlign w:val="center"/>
            <w:hideMark/>
          </w:tcPr>
          <w:p w14:paraId="6A1D16F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19350</w:t>
            </w:r>
          </w:p>
        </w:tc>
        <w:tc>
          <w:tcPr>
            <w:tcW w:w="992" w:type="dxa"/>
            <w:tcBorders>
              <w:top w:val="nil"/>
              <w:left w:val="nil"/>
              <w:bottom w:val="single" w:sz="4" w:space="0" w:color="auto"/>
              <w:right w:val="single" w:sz="4" w:space="0" w:color="auto"/>
            </w:tcBorders>
            <w:vAlign w:val="center"/>
            <w:hideMark/>
          </w:tcPr>
          <w:p w14:paraId="790831D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59298</w:t>
            </w:r>
          </w:p>
        </w:tc>
      </w:tr>
      <w:tr w:rsidR="003737D4" w:rsidRPr="000F76DE" w14:paraId="44991BDF"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0B13934"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w:t>
            </w:r>
          </w:p>
        </w:tc>
        <w:tc>
          <w:tcPr>
            <w:tcW w:w="1275" w:type="dxa"/>
            <w:tcBorders>
              <w:top w:val="nil"/>
              <w:left w:val="nil"/>
              <w:bottom w:val="single" w:sz="4" w:space="0" w:color="auto"/>
              <w:right w:val="single" w:sz="4" w:space="0" w:color="auto"/>
            </w:tcBorders>
            <w:vAlign w:val="center"/>
            <w:hideMark/>
          </w:tcPr>
          <w:p w14:paraId="39EC736E"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Gujarat</w:t>
            </w:r>
          </w:p>
        </w:tc>
        <w:tc>
          <w:tcPr>
            <w:tcW w:w="851" w:type="dxa"/>
            <w:tcBorders>
              <w:top w:val="nil"/>
              <w:left w:val="nil"/>
              <w:bottom w:val="single" w:sz="4" w:space="0" w:color="auto"/>
              <w:right w:val="single" w:sz="4" w:space="0" w:color="auto"/>
            </w:tcBorders>
            <w:vAlign w:val="center"/>
            <w:hideMark/>
          </w:tcPr>
          <w:p w14:paraId="3F15203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24294</w:t>
            </w:r>
          </w:p>
        </w:tc>
        <w:tc>
          <w:tcPr>
            <w:tcW w:w="850" w:type="dxa"/>
            <w:tcBorders>
              <w:top w:val="nil"/>
              <w:left w:val="nil"/>
              <w:bottom w:val="single" w:sz="4" w:space="0" w:color="auto"/>
              <w:right w:val="single" w:sz="4" w:space="0" w:color="auto"/>
            </w:tcBorders>
            <w:vAlign w:val="center"/>
            <w:hideMark/>
          </w:tcPr>
          <w:p w14:paraId="2882F03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26223</w:t>
            </w:r>
          </w:p>
        </w:tc>
        <w:tc>
          <w:tcPr>
            <w:tcW w:w="709" w:type="dxa"/>
            <w:tcBorders>
              <w:top w:val="nil"/>
              <w:left w:val="nil"/>
              <w:bottom w:val="single" w:sz="4" w:space="0" w:color="auto"/>
              <w:right w:val="single" w:sz="4" w:space="0" w:color="auto"/>
            </w:tcBorders>
            <w:vAlign w:val="center"/>
            <w:hideMark/>
          </w:tcPr>
          <w:p w14:paraId="424589CD"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28252</w:t>
            </w:r>
          </w:p>
        </w:tc>
        <w:tc>
          <w:tcPr>
            <w:tcW w:w="851" w:type="dxa"/>
            <w:tcBorders>
              <w:top w:val="nil"/>
              <w:left w:val="nil"/>
              <w:bottom w:val="single" w:sz="4" w:space="0" w:color="auto"/>
              <w:right w:val="single" w:sz="4" w:space="0" w:color="auto"/>
            </w:tcBorders>
            <w:vAlign w:val="center"/>
            <w:hideMark/>
          </w:tcPr>
          <w:p w14:paraId="00C45CE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30349</w:t>
            </w:r>
          </w:p>
        </w:tc>
        <w:tc>
          <w:tcPr>
            <w:tcW w:w="708" w:type="dxa"/>
            <w:tcBorders>
              <w:top w:val="nil"/>
              <w:left w:val="nil"/>
              <w:bottom w:val="single" w:sz="4" w:space="0" w:color="auto"/>
              <w:right w:val="single" w:sz="4" w:space="0" w:color="auto"/>
            </w:tcBorders>
            <w:vAlign w:val="center"/>
            <w:hideMark/>
          </w:tcPr>
          <w:p w14:paraId="082E000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32397</w:t>
            </w:r>
          </w:p>
        </w:tc>
        <w:tc>
          <w:tcPr>
            <w:tcW w:w="851" w:type="dxa"/>
            <w:tcBorders>
              <w:top w:val="nil"/>
              <w:left w:val="nil"/>
              <w:bottom w:val="single" w:sz="4" w:space="0" w:color="auto"/>
              <w:right w:val="single" w:sz="4" w:space="0" w:color="auto"/>
            </w:tcBorders>
            <w:vAlign w:val="center"/>
            <w:hideMark/>
          </w:tcPr>
          <w:p w14:paraId="67C4307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33522</w:t>
            </w:r>
          </w:p>
        </w:tc>
        <w:tc>
          <w:tcPr>
            <w:tcW w:w="992" w:type="dxa"/>
            <w:tcBorders>
              <w:top w:val="nil"/>
              <w:left w:val="nil"/>
              <w:bottom w:val="single" w:sz="4" w:space="0" w:color="auto"/>
              <w:right w:val="single" w:sz="4" w:space="0" w:color="auto"/>
            </w:tcBorders>
            <w:vAlign w:val="center"/>
            <w:hideMark/>
          </w:tcPr>
          <w:p w14:paraId="6C84FAD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150743</w:t>
            </w:r>
          </w:p>
        </w:tc>
      </w:tr>
      <w:tr w:rsidR="003737D4" w:rsidRPr="000F76DE" w14:paraId="41B67C9D"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0CF125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lastRenderedPageBreak/>
              <w:t>4</w:t>
            </w:r>
          </w:p>
        </w:tc>
        <w:tc>
          <w:tcPr>
            <w:tcW w:w="1275" w:type="dxa"/>
            <w:tcBorders>
              <w:top w:val="nil"/>
              <w:left w:val="nil"/>
              <w:bottom w:val="single" w:sz="4" w:space="0" w:color="auto"/>
              <w:right w:val="single" w:sz="4" w:space="0" w:color="auto"/>
            </w:tcBorders>
            <w:vAlign w:val="center"/>
            <w:hideMark/>
          </w:tcPr>
          <w:p w14:paraId="62FFE674"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Haryana</w:t>
            </w:r>
          </w:p>
        </w:tc>
        <w:tc>
          <w:tcPr>
            <w:tcW w:w="851" w:type="dxa"/>
            <w:tcBorders>
              <w:top w:val="nil"/>
              <w:left w:val="nil"/>
              <w:bottom w:val="single" w:sz="4" w:space="0" w:color="auto"/>
              <w:right w:val="single" w:sz="4" w:space="0" w:color="auto"/>
            </w:tcBorders>
            <w:vAlign w:val="center"/>
            <w:hideMark/>
          </w:tcPr>
          <w:p w14:paraId="0E38CF3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12544</w:t>
            </w:r>
          </w:p>
        </w:tc>
        <w:tc>
          <w:tcPr>
            <w:tcW w:w="850" w:type="dxa"/>
            <w:tcBorders>
              <w:top w:val="nil"/>
              <w:left w:val="nil"/>
              <w:bottom w:val="single" w:sz="4" w:space="0" w:color="auto"/>
              <w:right w:val="single" w:sz="4" w:space="0" w:color="auto"/>
            </w:tcBorders>
            <w:vAlign w:val="center"/>
            <w:hideMark/>
          </w:tcPr>
          <w:p w14:paraId="3472AACE"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14272</w:t>
            </w:r>
          </w:p>
        </w:tc>
        <w:tc>
          <w:tcPr>
            <w:tcW w:w="709" w:type="dxa"/>
            <w:tcBorders>
              <w:top w:val="nil"/>
              <w:left w:val="nil"/>
              <w:bottom w:val="single" w:sz="4" w:space="0" w:color="auto"/>
              <w:right w:val="single" w:sz="4" w:space="0" w:color="auto"/>
            </w:tcBorders>
            <w:vAlign w:val="center"/>
            <w:hideMark/>
          </w:tcPr>
          <w:p w14:paraId="2E0F664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16233</w:t>
            </w:r>
          </w:p>
        </w:tc>
        <w:tc>
          <w:tcPr>
            <w:tcW w:w="851" w:type="dxa"/>
            <w:tcBorders>
              <w:top w:val="nil"/>
              <w:left w:val="nil"/>
              <w:bottom w:val="single" w:sz="4" w:space="0" w:color="auto"/>
              <w:right w:val="single" w:sz="4" w:space="0" w:color="auto"/>
            </w:tcBorders>
            <w:vAlign w:val="center"/>
            <w:hideMark/>
          </w:tcPr>
          <w:p w14:paraId="1FD433B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18457</w:t>
            </w:r>
          </w:p>
        </w:tc>
        <w:tc>
          <w:tcPr>
            <w:tcW w:w="708" w:type="dxa"/>
            <w:tcBorders>
              <w:top w:val="nil"/>
              <w:left w:val="nil"/>
              <w:bottom w:val="single" w:sz="4" w:space="0" w:color="auto"/>
              <w:right w:val="single" w:sz="4" w:space="0" w:color="auto"/>
            </w:tcBorders>
            <w:vAlign w:val="center"/>
            <w:hideMark/>
          </w:tcPr>
          <w:p w14:paraId="2AD0157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20978</w:t>
            </w:r>
          </w:p>
        </w:tc>
        <w:tc>
          <w:tcPr>
            <w:tcW w:w="851" w:type="dxa"/>
            <w:tcBorders>
              <w:top w:val="nil"/>
              <w:left w:val="nil"/>
              <w:bottom w:val="single" w:sz="4" w:space="0" w:color="auto"/>
              <w:right w:val="single" w:sz="4" w:space="0" w:color="auto"/>
            </w:tcBorders>
            <w:vAlign w:val="center"/>
            <w:hideMark/>
          </w:tcPr>
          <w:p w14:paraId="0BD391D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23835</w:t>
            </w:r>
          </w:p>
        </w:tc>
        <w:tc>
          <w:tcPr>
            <w:tcW w:w="992" w:type="dxa"/>
            <w:tcBorders>
              <w:top w:val="nil"/>
              <w:left w:val="nil"/>
              <w:bottom w:val="single" w:sz="4" w:space="0" w:color="auto"/>
              <w:right w:val="single" w:sz="4" w:space="0" w:color="auto"/>
            </w:tcBorders>
            <w:vAlign w:val="center"/>
            <w:hideMark/>
          </w:tcPr>
          <w:p w14:paraId="4E8E3C9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93775</w:t>
            </w:r>
          </w:p>
        </w:tc>
      </w:tr>
      <w:tr w:rsidR="003737D4" w:rsidRPr="000F76DE" w14:paraId="04A58E49"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10D7692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5</w:t>
            </w:r>
          </w:p>
        </w:tc>
        <w:tc>
          <w:tcPr>
            <w:tcW w:w="1275" w:type="dxa"/>
            <w:tcBorders>
              <w:top w:val="nil"/>
              <w:left w:val="nil"/>
              <w:bottom w:val="single" w:sz="4" w:space="0" w:color="auto"/>
              <w:right w:val="single" w:sz="4" w:space="0" w:color="auto"/>
            </w:tcBorders>
            <w:vAlign w:val="center"/>
            <w:hideMark/>
          </w:tcPr>
          <w:p w14:paraId="32E8E584"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Karnataka</w:t>
            </w:r>
          </w:p>
        </w:tc>
        <w:tc>
          <w:tcPr>
            <w:tcW w:w="851" w:type="dxa"/>
            <w:tcBorders>
              <w:top w:val="nil"/>
              <w:left w:val="nil"/>
              <w:bottom w:val="single" w:sz="4" w:space="0" w:color="auto"/>
              <w:right w:val="single" w:sz="4" w:space="0" w:color="auto"/>
            </w:tcBorders>
            <w:vAlign w:val="center"/>
            <w:hideMark/>
          </w:tcPr>
          <w:p w14:paraId="2BB9BA3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19459</w:t>
            </w:r>
          </w:p>
        </w:tc>
        <w:tc>
          <w:tcPr>
            <w:tcW w:w="850" w:type="dxa"/>
            <w:tcBorders>
              <w:top w:val="nil"/>
              <w:left w:val="nil"/>
              <w:bottom w:val="single" w:sz="4" w:space="0" w:color="auto"/>
              <w:right w:val="single" w:sz="4" w:space="0" w:color="auto"/>
            </w:tcBorders>
            <w:vAlign w:val="center"/>
            <w:hideMark/>
          </w:tcPr>
          <w:p w14:paraId="0F29B1D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22224</w:t>
            </w:r>
          </w:p>
        </w:tc>
        <w:tc>
          <w:tcPr>
            <w:tcW w:w="709" w:type="dxa"/>
            <w:tcBorders>
              <w:top w:val="nil"/>
              <w:left w:val="nil"/>
              <w:bottom w:val="single" w:sz="4" w:space="0" w:color="auto"/>
              <w:right w:val="single" w:sz="4" w:space="0" w:color="auto"/>
            </w:tcBorders>
            <w:vAlign w:val="center"/>
            <w:hideMark/>
          </w:tcPr>
          <w:p w14:paraId="4D98411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25360</w:t>
            </w:r>
          </w:p>
        </w:tc>
        <w:tc>
          <w:tcPr>
            <w:tcW w:w="851" w:type="dxa"/>
            <w:tcBorders>
              <w:top w:val="nil"/>
              <w:left w:val="nil"/>
              <w:bottom w:val="single" w:sz="4" w:space="0" w:color="auto"/>
              <w:right w:val="single" w:sz="4" w:space="0" w:color="auto"/>
            </w:tcBorders>
            <w:vAlign w:val="center"/>
            <w:hideMark/>
          </w:tcPr>
          <w:p w14:paraId="65072F0E"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28915</w:t>
            </w:r>
          </w:p>
        </w:tc>
        <w:tc>
          <w:tcPr>
            <w:tcW w:w="708" w:type="dxa"/>
            <w:tcBorders>
              <w:top w:val="nil"/>
              <w:left w:val="nil"/>
              <w:bottom w:val="single" w:sz="4" w:space="0" w:color="auto"/>
              <w:right w:val="single" w:sz="4" w:space="0" w:color="auto"/>
            </w:tcBorders>
            <w:vAlign w:val="center"/>
            <w:hideMark/>
          </w:tcPr>
          <w:p w14:paraId="5FA5226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32946</w:t>
            </w:r>
          </w:p>
        </w:tc>
        <w:tc>
          <w:tcPr>
            <w:tcW w:w="851" w:type="dxa"/>
            <w:tcBorders>
              <w:top w:val="nil"/>
              <w:left w:val="nil"/>
              <w:bottom w:val="single" w:sz="4" w:space="0" w:color="auto"/>
              <w:right w:val="single" w:sz="4" w:space="0" w:color="auto"/>
            </w:tcBorders>
            <w:vAlign w:val="center"/>
            <w:hideMark/>
          </w:tcPr>
          <w:p w14:paraId="5D2575A0"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37513</w:t>
            </w:r>
          </w:p>
        </w:tc>
        <w:tc>
          <w:tcPr>
            <w:tcW w:w="992" w:type="dxa"/>
            <w:tcBorders>
              <w:top w:val="nil"/>
              <w:left w:val="nil"/>
              <w:bottom w:val="single" w:sz="4" w:space="0" w:color="auto"/>
              <w:right w:val="single" w:sz="4" w:space="0" w:color="auto"/>
            </w:tcBorders>
            <w:vAlign w:val="center"/>
            <w:hideMark/>
          </w:tcPr>
          <w:p w14:paraId="011E5B6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146958</w:t>
            </w:r>
          </w:p>
        </w:tc>
      </w:tr>
      <w:tr w:rsidR="003737D4" w:rsidRPr="000F76DE" w14:paraId="2DABB30E"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E50306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6</w:t>
            </w:r>
          </w:p>
        </w:tc>
        <w:tc>
          <w:tcPr>
            <w:tcW w:w="1275" w:type="dxa"/>
            <w:tcBorders>
              <w:top w:val="nil"/>
              <w:left w:val="nil"/>
              <w:bottom w:val="single" w:sz="4" w:space="0" w:color="auto"/>
              <w:right w:val="single" w:sz="4" w:space="0" w:color="auto"/>
            </w:tcBorders>
            <w:vAlign w:val="center"/>
            <w:hideMark/>
          </w:tcPr>
          <w:p w14:paraId="455DD95C"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Kerala</w:t>
            </w:r>
          </w:p>
        </w:tc>
        <w:tc>
          <w:tcPr>
            <w:tcW w:w="851" w:type="dxa"/>
            <w:tcBorders>
              <w:top w:val="nil"/>
              <w:left w:val="nil"/>
              <w:bottom w:val="single" w:sz="4" w:space="0" w:color="auto"/>
              <w:right w:val="single" w:sz="4" w:space="0" w:color="auto"/>
            </w:tcBorders>
            <w:vAlign w:val="center"/>
            <w:hideMark/>
          </w:tcPr>
          <w:p w14:paraId="3C687544"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6999</w:t>
            </w:r>
          </w:p>
        </w:tc>
        <w:tc>
          <w:tcPr>
            <w:tcW w:w="850" w:type="dxa"/>
            <w:tcBorders>
              <w:top w:val="nil"/>
              <w:left w:val="nil"/>
              <w:bottom w:val="single" w:sz="4" w:space="0" w:color="auto"/>
              <w:right w:val="single" w:sz="4" w:space="0" w:color="auto"/>
            </w:tcBorders>
            <w:vAlign w:val="center"/>
            <w:hideMark/>
          </w:tcPr>
          <w:p w14:paraId="0E677930"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8559</w:t>
            </w:r>
          </w:p>
        </w:tc>
        <w:tc>
          <w:tcPr>
            <w:tcW w:w="709" w:type="dxa"/>
            <w:tcBorders>
              <w:top w:val="nil"/>
              <w:left w:val="nil"/>
              <w:bottom w:val="single" w:sz="4" w:space="0" w:color="auto"/>
              <w:right w:val="single" w:sz="4" w:space="0" w:color="auto"/>
            </w:tcBorders>
            <w:vAlign w:val="center"/>
            <w:hideMark/>
          </w:tcPr>
          <w:p w14:paraId="32A0E4DB"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10457</w:t>
            </w:r>
          </w:p>
        </w:tc>
        <w:tc>
          <w:tcPr>
            <w:tcW w:w="851" w:type="dxa"/>
            <w:tcBorders>
              <w:top w:val="nil"/>
              <w:left w:val="nil"/>
              <w:bottom w:val="single" w:sz="4" w:space="0" w:color="auto"/>
              <w:right w:val="single" w:sz="4" w:space="0" w:color="auto"/>
            </w:tcBorders>
            <w:vAlign w:val="center"/>
            <w:hideMark/>
          </w:tcPr>
          <w:p w14:paraId="617864C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12762</w:t>
            </w:r>
          </w:p>
        </w:tc>
        <w:tc>
          <w:tcPr>
            <w:tcW w:w="708" w:type="dxa"/>
            <w:tcBorders>
              <w:top w:val="nil"/>
              <w:left w:val="nil"/>
              <w:bottom w:val="single" w:sz="4" w:space="0" w:color="auto"/>
              <w:right w:val="single" w:sz="4" w:space="0" w:color="auto"/>
            </w:tcBorders>
            <w:vAlign w:val="center"/>
            <w:hideMark/>
          </w:tcPr>
          <w:p w14:paraId="62BFCBA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15559</w:t>
            </w:r>
          </w:p>
        </w:tc>
        <w:tc>
          <w:tcPr>
            <w:tcW w:w="851" w:type="dxa"/>
            <w:tcBorders>
              <w:top w:val="nil"/>
              <w:left w:val="nil"/>
              <w:bottom w:val="single" w:sz="4" w:space="0" w:color="auto"/>
              <w:right w:val="single" w:sz="4" w:space="0" w:color="auto"/>
            </w:tcBorders>
            <w:vAlign w:val="center"/>
            <w:hideMark/>
          </w:tcPr>
          <w:p w14:paraId="72F40AC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18946</w:t>
            </w:r>
          </w:p>
        </w:tc>
        <w:tc>
          <w:tcPr>
            <w:tcW w:w="992" w:type="dxa"/>
            <w:tcBorders>
              <w:top w:val="nil"/>
              <w:left w:val="nil"/>
              <w:bottom w:val="single" w:sz="4" w:space="0" w:color="auto"/>
              <w:right w:val="single" w:sz="4" w:space="0" w:color="auto"/>
            </w:tcBorders>
            <w:vAlign w:val="center"/>
            <w:hideMark/>
          </w:tcPr>
          <w:p w14:paraId="174E309D"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66283</w:t>
            </w:r>
          </w:p>
        </w:tc>
      </w:tr>
      <w:tr w:rsidR="003737D4" w:rsidRPr="000F76DE" w14:paraId="2AF2792D"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2F00E68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7</w:t>
            </w:r>
          </w:p>
        </w:tc>
        <w:tc>
          <w:tcPr>
            <w:tcW w:w="1275" w:type="dxa"/>
            <w:tcBorders>
              <w:top w:val="nil"/>
              <w:left w:val="nil"/>
              <w:bottom w:val="single" w:sz="4" w:space="0" w:color="auto"/>
              <w:right w:val="single" w:sz="4" w:space="0" w:color="auto"/>
            </w:tcBorders>
            <w:vAlign w:val="center"/>
            <w:hideMark/>
          </w:tcPr>
          <w:p w14:paraId="50984C44"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Madhya Pradesh</w:t>
            </w:r>
          </w:p>
        </w:tc>
        <w:tc>
          <w:tcPr>
            <w:tcW w:w="851" w:type="dxa"/>
            <w:tcBorders>
              <w:top w:val="nil"/>
              <w:left w:val="nil"/>
              <w:bottom w:val="single" w:sz="4" w:space="0" w:color="auto"/>
              <w:right w:val="single" w:sz="4" w:space="0" w:color="auto"/>
            </w:tcBorders>
            <w:vAlign w:val="center"/>
            <w:hideMark/>
          </w:tcPr>
          <w:p w14:paraId="7DB29F4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12976</w:t>
            </w:r>
          </w:p>
        </w:tc>
        <w:tc>
          <w:tcPr>
            <w:tcW w:w="850" w:type="dxa"/>
            <w:tcBorders>
              <w:top w:val="nil"/>
              <w:left w:val="nil"/>
              <w:bottom w:val="single" w:sz="4" w:space="0" w:color="auto"/>
              <w:right w:val="single" w:sz="4" w:space="0" w:color="auto"/>
            </w:tcBorders>
            <w:vAlign w:val="center"/>
            <w:hideMark/>
          </w:tcPr>
          <w:p w14:paraId="489520B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15702</w:t>
            </w:r>
          </w:p>
        </w:tc>
        <w:tc>
          <w:tcPr>
            <w:tcW w:w="709" w:type="dxa"/>
            <w:tcBorders>
              <w:top w:val="nil"/>
              <w:left w:val="nil"/>
              <w:bottom w:val="single" w:sz="4" w:space="0" w:color="auto"/>
              <w:right w:val="single" w:sz="4" w:space="0" w:color="auto"/>
            </w:tcBorders>
            <w:vAlign w:val="center"/>
            <w:hideMark/>
          </w:tcPr>
          <w:p w14:paraId="1C14CFB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18930</w:t>
            </w:r>
          </w:p>
        </w:tc>
        <w:tc>
          <w:tcPr>
            <w:tcW w:w="851" w:type="dxa"/>
            <w:tcBorders>
              <w:top w:val="nil"/>
              <w:left w:val="nil"/>
              <w:bottom w:val="single" w:sz="4" w:space="0" w:color="auto"/>
              <w:right w:val="single" w:sz="4" w:space="0" w:color="auto"/>
            </w:tcBorders>
            <w:vAlign w:val="center"/>
            <w:hideMark/>
          </w:tcPr>
          <w:p w14:paraId="65709084"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22741</w:t>
            </w:r>
          </w:p>
        </w:tc>
        <w:tc>
          <w:tcPr>
            <w:tcW w:w="708" w:type="dxa"/>
            <w:tcBorders>
              <w:top w:val="nil"/>
              <w:left w:val="nil"/>
              <w:bottom w:val="single" w:sz="4" w:space="0" w:color="auto"/>
              <w:right w:val="single" w:sz="4" w:space="0" w:color="auto"/>
            </w:tcBorders>
            <w:vAlign w:val="center"/>
            <w:hideMark/>
          </w:tcPr>
          <w:p w14:paraId="2A65024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27173</w:t>
            </w:r>
          </w:p>
        </w:tc>
        <w:tc>
          <w:tcPr>
            <w:tcW w:w="851" w:type="dxa"/>
            <w:tcBorders>
              <w:top w:val="nil"/>
              <w:left w:val="nil"/>
              <w:bottom w:val="single" w:sz="4" w:space="0" w:color="auto"/>
              <w:right w:val="single" w:sz="4" w:space="0" w:color="auto"/>
            </w:tcBorders>
            <w:vAlign w:val="center"/>
            <w:hideMark/>
          </w:tcPr>
          <w:p w14:paraId="00152DF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31646</w:t>
            </w:r>
          </w:p>
        </w:tc>
        <w:tc>
          <w:tcPr>
            <w:tcW w:w="992" w:type="dxa"/>
            <w:tcBorders>
              <w:top w:val="nil"/>
              <w:left w:val="nil"/>
              <w:bottom w:val="single" w:sz="4" w:space="0" w:color="auto"/>
              <w:right w:val="single" w:sz="4" w:space="0" w:color="auto"/>
            </w:tcBorders>
            <w:vAlign w:val="center"/>
            <w:hideMark/>
          </w:tcPr>
          <w:p w14:paraId="4791443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116191</w:t>
            </w:r>
          </w:p>
        </w:tc>
      </w:tr>
      <w:tr w:rsidR="003737D4" w:rsidRPr="000F76DE" w14:paraId="2C6DDA8A"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331F853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8</w:t>
            </w:r>
          </w:p>
        </w:tc>
        <w:tc>
          <w:tcPr>
            <w:tcW w:w="1275" w:type="dxa"/>
            <w:tcBorders>
              <w:top w:val="nil"/>
              <w:left w:val="nil"/>
              <w:bottom w:val="single" w:sz="4" w:space="0" w:color="auto"/>
              <w:right w:val="single" w:sz="4" w:space="0" w:color="auto"/>
            </w:tcBorders>
            <w:vAlign w:val="center"/>
            <w:hideMark/>
          </w:tcPr>
          <w:p w14:paraId="5B4789D1"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Maharashtra</w:t>
            </w:r>
          </w:p>
        </w:tc>
        <w:tc>
          <w:tcPr>
            <w:tcW w:w="851" w:type="dxa"/>
            <w:tcBorders>
              <w:top w:val="nil"/>
              <w:left w:val="nil"/>
              <w:bottom w:val="single" w:sz="4" w:space="0" w:color="auto"/>
              <w:right w:val="single" w:sz="4" w:space="0" w:color="auto"/>
            </w:tcBorders>
            <w:vAlign w:val="center"/>
            <w:hideMark/>
          </w:tcPr>
          <w:p w14:paraId="627EFF2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33689</w:t>
            </w:r>
          </w:p>
        </w:tc>
        <w:tc>
          <w:tcPr>
            <w:tcW w:w="850" w:type="dxa"/>
            <w:tcBorders>
              <w:top w:val="nil"/>
              <w:left w:val="nil"/>
              <w:bottom w:val="single" w:sz="4" w:space="0" w:color="auto"/>
              <w:right w:val="single" w:sz="4" w:space="0" w:color="auto"/>
            </w:tcBorders>
            <w:vAlign w:val="center"/>
            <w:hideMark/>
          </w:tcPr>
          <w:p w14:paraId="3D0F480B"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35879</w:t>
            </w:r>
          </w:p>
        </w:tc>
        <w:tc>
          <w:tcPr>
            <w:tcW w:w="709" w:type="dxa"/>
            <w:tcBorders>
              <w:top w:val="nil"/>
              <w:left w:val="nil"/>
              <w:bottom w:val="single" w:sz="4" w:space="0" w:color="auto"/>
              <w:right w:val="single" w:sz="4" w:space="0" w:color="auto"/>
            </w:tcBorders>
            <w:vAlign w:val="center"/>
            <w:hideMark/>
          </w:tcPr>
          <w:p w14:paraId="0E4BB5C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38143</w:t>
            </w:r>
          </w:p>
        </w:tc>
        <w:tc>
          <w:tcPr>
            <w:tcW w:w="851" w:type="dxa"/>
            <w:tcBorders>
              <w:top w:val="nil"/>
              <w:left w:val="nil"/>
              <w:bottom w:val="single" w:sz="4" w:space="0" w:color="auto"/>
              <w:right w:val="single" w:sz="4" w:space="0" w:color="auto"/>
            </w:tcBorders>
            <w:vAlign w:val="center"/>
            <w:hideMark/>
          </w:tcPr>
          <w:p w14:paraId="0989365D"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40477</w:t>
            </w:r>
          </w:p>
        </w:tc>
        <w:tc>
          <w:tcPr>
            <w:tcW w:w="708" w:type="dxa"/>
            <w:tcBorders>
              <w:top w:val="nil"/>
              <w:left w:val="nil"/>
              <w:bottom w:val="single" w:sz="4" w:space="0" w:color="auto"/>
              <w:right w:val="single" w:sz="4" w:space="0" w:color="auto"/>
            </w:tcBorders>
            <w:vAlign w:val="center"/>
            <w:hideMark/>
          </w:tcPr>
          <w:p w14:paraId="6FF7418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42877</w:t>
            </w:r>
          </w:p>
        </w:tc>
        <w:tc>
          <w:tcPr>
            <w:tcW w:w="851" w:type="dxa"/>
            <w:tcBorders>
              <w:top w:val="nil"/>
              <w:left w:val="nil"/>
              <w:bottom w:val="single" w:sz="4" w:space="0" w:color="auto"/>
              <w:right w:val="single" w:sz="4" w:space="0" w:color="auto"/>
            </w:tcBorders>
            <w:vAlign w:val="center"/>
            <w:hideMark/>
          </w:tcPr>
          <w:p w14:paraId="7B9AF87E"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45334</w:t>
            </w:r>
          </w:p>
        </w:tc>
        <w:tc>
          <w:tcPr>
            <w:tcW w:w="992" w:type="dxa"/>
            <w:tcBorders>
              <w:top w:val="nil"/>
              <w:left w:val="nil"/>
              <w:bottom w:val="single" w:sz="4" w:space="0" w:color="auto"/>
              <w:right w:val="single" w:sz="4" w:space="0" w:color="auto"/>
            </w:tcBorders>
            <w:vAlign w:val="center"/>
            <w:hideMark/>
          </w:tcPr>
          <w:p w14:paraId="033BE93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202710</w:t>
            </w:r>
          </w:p>
        </w:tc>
      </w:tr>
      <w:tr w:rsidR="003737D4" w:rsidRPr="000F76DE" w14:paraId="33A3A85B"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0D659C8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9</w:t>
            </w:r>
          </w:p>
        </w:tc>
        <w:tc>
          <w:tcPr>
            <w:tcW w:w="1275" w:type="dxa"/>
            <w:tcBorders>
              <w:top w:val="nil"/>
              <w:left w:val="nil"/>
              <w:bottom w:val="single" w:sz="4" w:space="0" w:color="auto"/>
              <w:right w:val="single" w:sz="4" w:space="0" w:color="auto"/>
            </w:tcBorders>
            <w:vAlign w:val="center"/>
            <w:hideMark/>
          </w:tcPr>
          <w:p w14:paraId="0E32C0F6"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Orissa</w:t>
            </w:r>
          </w:p>
        </w:tc>
        <w:tc>
          <w:tcPr>
            <w:tcW w:w="851" w:type="dxa"/>
            <w:tcBorders>
              <w:top w:val="nil"/>
              <w:left w:val="nil"/>
              <w:bottom w:val="single" w:sz="4" w:space="0" w:color="auto"/>
              <w:right w:val="single" w:sz="4" w:space="0" w:color="auto"/>
            </w:tcBorders>
            <w:vAlign w:val="center"/>
            <w:hideMark/>
          </w:tcPr>
          <w:p w14:paraId="4C214FA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4578</w:t>
            </w:r>
          </w:p>
        </w:tc>
        <w:tc>
          <w:tcPr>
            <w:tcW w:w="850" w:type="dxa"/>
            <w:tcBorders>
              <w:top w:val="nil"/>
              <w:left w:val="nil"/>
              <w:bottom w:val="single" w:sz="4" w:space="0" w:color="auto"/>
              <w:right w:val="single" w:sz="4" w:space="0" w:color="auto"/>
            </w:tcBorders>
            <w:vAlign w:val="center"/>
            <w:hideMark/>
          </w:tcPr>
          <w:p w14:paraId="34F9423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5083</w:t>
            </w:r>
          </w:p>
        </w:tc>
        <w:tc>
          <w:tcPr>
            <w:tcW w:w="709" w:type="dxa"/>
            <w:tcBorders>
              <w:top w:val="nil"/>
              <w:left w:val="nil"/>
              <w:bottom w:val="single" w:sz="4" w:space="0" w:color="auto"/>
              <w:right w:val="single" w:sz="4" w:space="0" w:color="auto"/>
            </w:tcBorders>
            <w:vAlign w:val="center"/>
            <w:hideMark/>
          </w:tcPr>
          <w:p w14:paraId="596DE03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5558</w:t>
            </w:r>
          </w:p>
        </w:tc>
        <w:tc>
          <w:tcPr>
            <w:tcW w:w="851" w:type="dxa"/>
            <w:tcBorders>
              <w:top w:val="nil"/>
              <w:left w:val="nil"/>
              <w:bottom w:val="single" w:sz="4" w:space="0" w:color="auto"/>
              <w:right w:val="single" w:sz="4" w:space="0" w:color="auto"/>
            </w:tcBorders>
            <w:vAlign w:val="center"/>
            <w:hideMark/>
          </w:tcPr>
          <w:p w14:paraId="673F8C9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6062</w:t>
            </w:r>
          </w:p>
        </w:tc>
        <w:tc>
          <w:tcPr>
            <w:tcW w:w="708" w:type="dxa"/>
            <w:tcBorders>
              <w:top w:val="nil"/>
              <w:left w:val="nil"/>
              <w:bottom w:val="single" w:sz="4" w:space="0" w:color="auto"/>
              <w:right w:val="single" w:sz="4" w:space="0" w:color="auto"/>
            </w:tcBorders>
            <w:vAlign w:val="center"/>
            <w:hideMark/>
          </w:tcPr>
          <w:p w14:paraId="0C00C124"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6593</w:t>
            </w:r>
          </w:p>
        </w:tc>
        <w:tc>
          <w:tcPr>
            <w:tcW w:w="851" w:type="dxa"/>
            <w:tcBorders>
              <w:top w:val="nil"/>
              <w:left w:val="nil"/>
              <w:bottom w:val="single" w:sz="4" w:space="0" w:color="auto"/>
              <w:right w:val="single" w:sz="4" w:space="0" w:color="auto"/>
            </w:tcBorders>
            <w:vAlign w:val="center"/>
            <w:hideMark/>
          </w:tcPr>
          <w:p w14:paraId="13FE3E7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7057</w:t>
            </w:r>
          </w:p>
        </w:tc>
        <w:tc>
          <w:tcPr>
            <w:tcW w:w="992" w:type="dxa"/>
            <w:tcBorders>
              <w:top w:val="nil"/>
              <w:left w:val="nil"/>
              <w:bottom w:val="single" w:sz="4" w:space="0" w:color="auto"/>
              <w:right w:val="single" w:sz="4" w:space="0" w:color="auto"/>
            </w:tcBorders>
            <w:vAlign w:val="center"/>
            <w:hideMark/>
          </w:tcPr>
          <w:p w14:paraId="1BAF6AD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30353</w:t>
            </w:r>
          </w:p>
        </w:tc>
      </w:tr>
      <w:tr w:rsidR="003737D4" w:rsidRPr="000F76DE" w14:paraId="155E46C1"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287E7F81"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10</w:t>
            </w:r>
          </w:p>
        </w:tc>
        <w:tc>
          <w:tcPr>
            <w:tcW w:w="1275" w:type="dxa"/>
            <w:tcBorders>
              <w:top w:val="nil"/>
              <w:left w:val="nil"/>
              <w:bottom w:val="single" w:sz="4" w:space="0" w:color="auto"/>
              <w:right w:val="single" w:sz="4" w:space="0" w:color="auto"/>
            </w:tcBorders>
            <w:vAlign w:val="center"/>
            <w:hideMark/>
          </w:tcPr>
          <w:p w14:paraId="17EE468A"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Punjab</w:t>
            </w:r>
          </w:p>
        </w:tc>
        <w:tc>
          <w:tcPr>
            <w:tcW w:w="851" w:type="dxa"/>
            <w:tcBorders>
              <w:top w:val="nil"/>
              <w:left w:val="nil"/>
              <w:bottom w:val="single" w:sz="4" w:space="0" w:color="auto"/>
              <w:right w:val="single" w:sz="4" w:space="0" w:color="auto"/>
            </w:tcBorders>
            <w:vAlign w:val="center"/>
            <w:hideMark/>
          </w:tcPr>
          <w:p w14:paraId="2B14EB5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10242</w:t>
            </w:r>
          </w:p>
        </w:tc>
        <w:tc>
          <w:tcPr>
            <w:tcW w:w="850" w:type="dxa"/>
            <w:tcBorders>
              <w:top w:val="nil"/>
              <w:left w:val="nil"/>
              <w:bottom w:val="single" w:sz="4" w:space="0" w:color="auto"/>
              <w:right w:val="single" w:sz="4" w:space="0" w:color="auto"/>
            </w:tcBorders>
            <w:vAlign w:val="center"/>
            <w:hideMark/>
          </w:tcPr>
          <w:p w14:paraId="5C94F57E"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11807</w:t>
            </w:r>
          </w:p>
        </w:tc>
        <w:tc>
          <w:tcPr>
            <w:tcW w:w="709" w:type="dxa"/>
            <w:tcBorders>
              <w:top w:val="nil"/>
              <w:left w:val="nil"/>
              <w:bottom w:val="single" w:sz="4" w:space="0" w:color="auto"/>
              <w:right w:val="single" w:sz="4" w:space="0" w:color="auto"/>
            </w:tcBorders>
            <w:vAlign w:val="center"/>
            <w:hideMark/>
          </w:tcPr>
          <w:p w14:paraId="599AC5E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13609</w:t>
            </w:r>
          </w:p>
        </w:tc>
        <w:tc>
          <w:tcPr>
            <w:tcW w:w="851" w:type="dxa"/>
            <w:tcBorders>
              <w:top w:val="nil"/>
              <w:left w:val="nil"/>
              <w:bottom w:val="single" w:sz="4" w:space="0" w:color="auto"/>
              <w:right w:val="single" w:sz="4" w:space="0" w:color="auto"/>
            </w:tcBorders>
            <w:vAlign w:val="center"/>
            <w:hideMark/>
          </w:tcPr>
          <w:p w14:paraId="21A714A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15682</w:t>
            </w:r>
          </w:p>
        </w:tc>
        <w:tc>
          <w:tcPr>
            <w:tcW w:w="708" w:type="dxa"/>
            <w:tcBorders>
              <w:top w:val="nil"/>
              <w:left w:val="nil"/>
              <w:bottom w:val="single" w:sz="4" w:space="0" w:color="auto"/>
              <w:right w:val="single" w:sz="4" w:space="0" w:color="auto"/>
            </w:tcBorders>
            <w:vAlign w:val="center"/>
            <w:hideMark/>
          </w:tcPr>
          <w:p w14:paraId="21D0D79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18041</w:t>
            </w:r>
          </w:p>
        </w:tc>
        <w:tc>
          <w:tcPr>
            <w:tcW w:w="851" w:type="dxa"/>
            <w:tcBorders>
              <w:top w:val="nil"/>
              <w:left w:val="nil"/>
              <w:bottom w:val="single" w:sz="4" w:space="0" w:color="auto"/>
              <w:right w:val="single" w:sz="4" w:space="0" w:color="auto"/>
            </w:tcBorders>
            <w:vAlign w:val="center"/>
            <w:hideMark/>
          </w:tcPr>
          <w:p w14:paraId="63EB6BC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20494</w:t>
            </w:r>
          </w:p>
        </w:tc>
        <w:tc>
          <w:tcPr>
            <w:tcW w:w="992" w:type="dxa"/>
            <w:tcBorders>
              <w:top w:val="nil"/>
              <w:left w:val="nil"/>
              <w:bottom w:val="single" w:sz="4" w:space="0" w:color="auto"/>
              <w:right w:val="single" w:sz="4" w:space="0" w:color="auto"/>
            </w:tcBorders>
            <w:vAlign w:val="center"/>
            <w:hideMark/>
          </w:tcPr>
          <w:p w14:paraId="5993C7A1"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79632</w:t>
            </w:r>
          </w:p>
        </w:tc>
      </w:tr>
      <w:tr w:rsidR="003737D4" w:rsidRPr="000F76DE" w14:paraId="29127B73"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CCD16BB"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11</w:t>
            </w:r>
          </w:p>
        </w:tc>
        <w:tc>
          <w:tcPr>
            <w:tcW w:w="1275" w:type="dxa"/>
            <w:tcBorders>
              <w:top w:val="nil"/>
              <w:left w:val="nil"/>
              <w:bottom w:val="single" w:sz="4" w:space="0" w:color="auto"/>
              <w:right w:val="single" w:sz="4" w:space="0" w:color="auto"/>
            </w:tcBorders>
            <w:vAlign w:val="center"/>
            <w:hideMark/>
          </w:tcPr>
          <w:p w14:paraId="42EDDBC0"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Rajasthan</w:t>
            </w:r>
          </w:p>
        </w:tc>
        <w:tc>
          <w:tcPr>
            <w:tcW w:w="851" w:type="dxa"/>
            <w:tcBorders>
              <w:top w:val="nil"/>
              <w:left w:val="nil"/>
              <w:bottom w:val="single" w:sz="4" w:space="0" w:color="auto"/>
              <w:right w:val="single" w:sz="4" w:space="0" w:color="auto"/>
            </w:tcBorders>
            <w:vAlign w:val="center"/>
            <w:hideMark/>
          </w:tcPr>
          <w:p w14:paraId="3A142A1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11471</w:t>
            </w:r>
          </w:p>
        </w:tc>
        <w:tc>
          <w:tcPr>
            <w:tcW w:w="850" w:type="dxa"/>
            <w:tcBorders>
              <w:top w:val="nil"/>
              <w:left w:val="nil"/>
              <w:bottom w:val="single" w:sz="4" w:space="0" w:color="auto"/>
              <w:right w:val="single" w:sz="4" w:space="0" w:color="auto"/>
            </w:tcBorders>
            <w:vAlign w:val="center"/>
            <w:hideMark/>
          </w:tcPr>
          <w:p w14:paraId="329FB04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12965</w:t>
            </w:r>
          </w:p>
        </w:tc>
        <w:tc>
          <w:tcPr>
            <w:tcW w:w="709" w:type="dxa"/>
            <w:tcBorders>
              <w:top w:val="nil"/>
              <w:left w:val="nil"/>
              <w:bottom w:val="single" w:sz="4" w:space="0" w:color="auto"/>
              <w:right w:val="single" w:sz="4" w:space="0" w:color="auto"/>
            </w:tcBorders>
            <w:vAlign w:val="center"/>
            <w:hideMark/>
          </w:tcPr>
          <w:p w14:paraId="333ACAFE"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14618</w:t>
            </w:r>
          </w:p>
        </w:tc>
        <w:tc>
          <w:tcPr>
            <w:tcW w:w="851" w:type="dxa"/>
            <w:tcBorders>
              <w:top w:val="nil"/>
              <w:left w:val="nil"/>
              <w:bottom w:val="single" w:sz="4" w:space="0" w:color="auto"/>
              <w:right w:val="single" w:sz="4" w:space="0" w:color="auto"/>
            </w:tcBorders>
            <w:vAlign w:val="center"/>
            <w:hideMark/>
          </w:tcPr>
          <w:p w14:paraId="718A5061"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16449</w:t>
            </w:r>
          </w:p>
        </w:tc>
        <w:tc>
          <w:tcPr>
            <w:tcW w:w="708" w:type="dxa"/>
            <w:tcBorders>
              <w:top w:val="nil"/>
              <w:left w:val="nil"/>
              <w:bottom w:val="single" w:sz="4" w:space="0" w:color="auto"/>
              <w:right w:val="single" w:sz="4" w:space="0" w:color="auto"/>
            </w:tcBorders>
            <w:vAlign w:val="center"/>
            <w:hideMark/>
          </w:tcPr>
          <w:p w14:paraId="623A9ED5"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18451</w:t>
            </w:r>
          </w:p>
        </w:tc>
        <w:tc>
          <w:tcPr>
            <w:tcW w:w="851" w:type="dxa"/>
            <w:tcBorders>
              <w:top w:val="nil"/>
              <w:left w:val="nil"/>
              <w:bottom w:val="single" w:sz="4" w:space="0" w:color="auto"/>
              <w:right w:val="single" w:sz="4" w:space="0" w:color="auto"/>
            </w:tcBorders>
            <w:vAlign w:val="center"/>
            <w:hideMark/>
          </w:tcPr>
          <w:p w14:paraId="7DEC4C7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20402</w:t>
            </w:r>
          </w:p>
        </w:tc>
        <w:tc>
          <w:tcPr>
            <w:tcW w:w="992" w:type="dxa"/>
            <w:tcBorders>
              <w:top w:val="nil"/>
              <w:left w:val="nil"/>
              <w:bottom w:val="single" w:sz="4" w:space="0" w:color="auto"/>
              <w:right w:val="single" w:sz="4" w:space="0" w:color="auto"/>
            </w:tcBorders>
            <w:vAlign w:val="center"/>
            <w:hideMark/>
          </w:tcPr>
          <w:p w14:paraId="6D3F1B9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82886</w:t>
            </w:r>
          </w:p>
        </w:tc>
      </w:tr>
      <w:tr w:rsidR="003737D4" w:rsidRPr="000F76DE" w14:paraId="6872FAC4"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4516AD8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w:t>
            </w:r>
          </w:p>
        </w:tc>
        <w:tc>
          <w:tcPr>
            <w:tcW w:w="1275" w:type="dxa"/>
            <w:tcBorders>
              <w:top w:val="nil"/>
              <w:left w:val="nil"/>
              <w:bottom w:val="single" w:sz="4" w:space="0" w:color="auto"/>
              <w:right w:val="single" w:sz="4" w:space="0" w:color="auto"/>
            </w:tcBorders>
            <w:vAlign w:val="center"/>
            <w:hideMark/>
          </w:tcPr>
          <w:p w14:paraId="120C5AE8"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Tamil Nadu</w:t>
            </w:r>
          </w:p>
        </w:tc>
        <w:tc>
          <w:tcPr>
            <w:tcW w:w="851" w:type="dxa"/>
            <w:tcBorders>
              <w:top w:val="nil"/>
              <w:left w:val="nil"/>
              <w:bottom w:val="single" w:sz="4" w:space="0" w:color="auto"/>
              <w:right w:val="single" w:sz="4" w:space="0" w:color="auto"/>
            </w:tcBorders>
            <w:vAlign w:val="center"/>
            <w:hideMark/>
          </w:tcPr>
          <w:p w14:paraId="7F082C9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17702</w:t>
            </w:r>
          </w:p>
        </w:tc>
        <w:tc>
          <w:tcPr>
            <w:tcW w:w="850" w:type="dxa"/>
            <w:tcBorders>
              <w:top w:val="nil"/>
              <w:left w:val="nil"/>
              <w:bottom w:val="single" w:sz="4" w:space="0" w:color="auto"/>
              <w:right w:val="single" w:sz="4" w:space="0" w:color="auto"/>
            </w:tcBorders>
            <w:vAlign w:val="center"/>
            <w:hideMark/>
          </w:tcPr>
          <w:p w14:paraId="77A4043B"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20788</w:t>
            </w:r>
          </w:p>
        </w:tc>
        <w:tc>
          <w:tcPr>
            <w:tcW w:w="709" w:type="dxa"/>
            <w:tcBorders>
              <w:top w:val="nil"/>
              <w:left w:val="nil"/>
              <w:bottom w:val="single" w:sz="4" w:space="0" w:color="auto"/>
              <w:right w:val="single" w:sz="4" w:space="0" w:color="auto"/>
            </w:tcBorders>
            <w:vAlign w:val="center"/>
            <w:hideMark/>
          </w:tcPr>
          <w:p w14:paraId="6A43480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24377</w:t>
            </w:r>
          </w:p>
        </w:tc>
        <w:tc>
          <w:tcPr>
            <w:tcW w:w="851" w:type="dxa"/>
            <w:tcBorders>
              <w:top w:val="nil"/>
              <w:left w:val="nil"/>
              <w:bottom w:val="single" w:sz="4" w:space="0" w:color="auto"/>
              <w:right w:val="single" w:sz="4" w:space="0" w:color="auto"/>
            </w:tcBorders>
            <w:vAlign w:val="center"/>
            <w:hideMark/>
          </w:tcPr>
          <w:p w14:paraId="322F842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28544</w:t>
            </w:r>
          </w:p>
        </w:tc>
        <w:tc>
          <w:tcPr>
            <w:tcW w:w="708" w:type="dxa"/>
            <w:tcBorders>
              <w:top w:val="nil"/>
              <w:left w:val="nil"/>
              <w:bottom w:val="single" w:sz="4" w:space="0" w:color="auto"/>
              <w:right w:val="single" w:sz="4" w:space="0" w:color="auto"/>
            </w:tcBorders>
            <w:vAlign w:val="center"/>
            <w:hideMark/>
          </w:tcPr>
          <w:p w14:paraId="63EE4BF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33311</w:t>
            </w:r>
          </w:p>
        </w:tc>
        <w:tc>
          <w:tcPr>
            <w:tcW w:w="851" w:type="dxa"/>
            <w:tcBorders>
              <w:top w:val="nil"/>
              <w:left w:val="nil"/>
              <w:bottom w:val="single" w:sz="4" w:space="0" w:color="auto"/>
              <w:right w:val="single" w:sz="4" w:space="0" w:color="auto"/>
            </w:tcBorders>
            <w:vAlign w:val="center"/>
            <w:hideMark/>
          </w:tcPr>
          <w:p w14:paraId="47E56DF1"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37948</w:t>
            </w:r>
          </w:p>
        </w:tc>
        <w:tc>
          <w:tcPr>
            <w:tcW w:w="992" w:type="dxa"/>
            <w:tcBorders>
              <w:top w:val="nil"/>
              <w:left w:val="nil"/>
              <w:bottom w:val="single" w:sz="4" w:space="0" w:color="auto"/>
              <w:right w:val="single" w:sz="4" w:space="0" w:color="auto"/>
            </w:tcBorders>
            <w:vAlign w:val="center"/>
            <w:hideMark/>
          </w:tcPr>
          <w:p w14:paraId="47B7924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144968</w:t>
            </w:r>
          </w:p>
        </w:tc>
      </w:tr>
      <w:tr w:rsidR="003737D4" w:rsidRPr="000F76DE" w14:paraId="52DF0EE2"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1E0B16A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13</w:t>
            </w:r>
          </w:p>
        </w:tc>
        <w:tc>
          <w:tcPr>
            <w:tcW w:w="1275" w:type="dxa"/>
            <w:tcBorders>
              <w:top w:val="nil"/>
              <w:left w:val="nil"/>
              <w:bottom w:val="single" w:sz="4" w:space="0" w:color="auto"/>
              <w:right w:val="single" w:sz="4" w:space="0" w:color="auto"/>
            </w:tcBorders>
            <w:vAlign w:val="center"/>
            <w:hideMark/>
          </w:tcPr>
          <w:p w14:paraId="2A7102A0"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Uttar Pradesh</w:t>
            </w:r>
          </w:p>
        </w:tc>
        <w:tc>
          <w:tcPr>
            <w:tcW w:w="851" w:type="dxa"/>
            <w:tcBorders>
              <w:top w:val="nil"/>
              <w:left w:val="nil"/>
              <w:bottom w:val="single" w:sz="4" w:space="0" w:color="auto"/>
              <w:right w:val="single" w:sz="4" w:space="0" w:color="auto"/>
            </w:tcBorders>
            <w:vAlign w:val="center"/>
            <w:hideMark/>
          </w:tcPr>
          <w:p w14:paraId="4C7E7490"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20653</w:t>
            </w:r>
          </w:p>
        </w:tc>
        <w:tc>
          <w:tcPr>
            <w:tcW w:w="850" w:type="dxa"/>
            <w:tcBorders>
              <w:top w:val="nil"/>
              <w:left w:val="nil"/>
              <w:bottom w:val="single" w:sz="4" w:space="0" w:color="auto"/>
              <w:right w:val="single" w:sz="4" w:space="0" w:color="auto"/>
            </w:tcBorders>
            <w:vAlign w:val="center"/>
            <w:hideMark/>
          </w:tcPr>
          <w:p w14:paraId="2A4A9A3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24526</w:t>
            </w:r>
          </w:p>
        </w:tc>
        <w:tc>
          <w:tcPr>
            <w:tcW w:w="709" w:type="dxa"/>
            <w:tcBorders>
              <w:top w:val="nil"/>
              <w:left w:val="nil"/>
              <w:bottom w:val="single" w:sz="4" w:space="0" w:color="auto"/>
              <w:right w:val="single" w:sz="4" w:space="0" w:color="auto"/>
            </w:tcBorders>
            <w:vAlign w:val="center"/>
            <w:hideMark/>
          </w:tcPr>
          <w:p w14:paraId="0B0C25E0"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28598</w:t>
            </w:r>
          </w:p>
        </w:tc>
        <w:tc>
          <w:tcPr>
            <w:tcW w:w="851" w:type="dxa"/>
            <w:tcBorders>
              <w:top w:val="nil"/>
              <w:left w:val="nil"/>
              <w:bottom w:val="single" w:sz="4" w:space="0" w:color="auto"/>
              <w:right w:val="single" w:sz="4" w:space="0" w:color="auto"/>
            </w:tcBorders>
            <w:vAlign w:val="center"/>
            <w:hideMark/>
          </w:tcPr>
          <w:p w14:paraId="6C15C4AF"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33049</w:t>
            </w:r>
          </w:p>
        </w:tc>
        <w:tc>
          <w:tcPr>
            <w:tcW w:w="708" w:type="dxa"/>
            <w:tcBorders>
              <w:top w:val="nil"/>
              <w:left w:val="nil"/>
              <w:bottom w:val="single" w:sz="4" w:space="0" w:color="auto"/>
              <w:right w:val="single" w:sz="4" w:space="0" w:color="auto"/>
            </w:tcBorders>
            <w:vAlign w:val="center"/>
            <w:hideMark/>
          </w:tcPr>
          <w:p w14:paraId="1A27644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37887</w:t>
            </w:r>
          </w:p>
        </w:tc>
        <w:tc>
          <w:tcPr>
            <w:tcW w:w="851" w:type="dxa"/>
            <w:tcBorders>
              <w:top w:val="nil"/>
              <w:left w:val="nil"/>
              <w:bottom w:val="single" w:sz="4" w:space="0" w:color="auto"/>
              <w:right w:val="single" w:sz="4" w:space="0" w:color="auto"/>
            </w:tcBorders>
            <w:vAlign w:val="center"/>
            <w:hideMark/>
          </w:tcPr>
          <w:p w14:paraId="743E2D6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42112</w:t>
            </w:r>
          </w:p>
        </w:tc>
        <w:tc>
          <w:tcPr>
            <w:tcW w:w="992" w:type="dxa"/>
            <w:tcBorders>
              <w:top w:val="nil"/>
              <w:left w:val="nil"/>
              <w:bottom w:val="single" w:sz="4" w:space="0" w:color="auto"/>
              <w:right w:val="single" w:sz="4" w:space="0" w:color="auto"/>
            </w:tcBorders>
            <w:vAlign w:val="center"/>
            <w:hideMark/>
          </w:tcPr>
          <w:p w14:paraId="10602102"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166172</w:t>
            </w:r>
          </w:p>
        </w:tc>
      </w:tr>
      <w:tr w:rsidR="003737D4" w:rsidRPr="000F76DE" w14:paraId="2AA78EC4"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524AE70A"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14</w:t>
            </w:r>
          </w:p>
        </w:tc>
        <w:tc>
          <w:tcPr>
            <w:tcW w:w="1275" w:type="dxa"/>
            <w:tcBorders>
              <w:top w:val="nil"/>
              <w:left w:val="nil"/>
              <w:bottom w:val="single" w:sz="4" w:space="0" w:color="auto"/>
              <w:right w:val="single" w:sz="4" w:space="0" w:color="auto"/>
            </w:tcBorders>
            <w:vAlign w:val="center"/>
            <w:hideMark/>
          </w:tcPr>
          <w:p w14:paraId="1E8E5CE7" w14:textId="77777777" w:rsidR="00675F76" w:rsidRPr="000F76DE" w:rsidRDefault="00675F76"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West Bengal</w:t>
            </w:r>
          </w:p>
        </w:tc>
        <w:tc>
          <w:tcPr>
            <w:tcW w:w="851" w:type="dxa"/>
            <w:tcBorders>
              <w:top w:val="nil"/>
              <w:left w:val="nil"/>
              <w:bottom w:val="single" w:sz="4" w:space="0" w:color="auto"/>
              <w:right w:val="single" w:sz="4" w:space="0" w:color="auto"/>
            </w:tcBorders>
            <w:vAlign w:val="center"/>
            <w:hideMark/>
          </w:tcPr>
          <w:p w14:paraId="568EBD78"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16745</w:t>
            </w:r>
          </w:p>
        </w:tc>
        <w:tc>
          <w:tcPr>
            <w:tcW w:w="850" w:type="dxa"/>
            <w:tcBorders>
              <w:top w:val="nil"/>
              <w:left w:val="nil"/>
              <w:bottom w:val="single" w:sz="4" w:space="0" w:color="auto"/>
              <w:right w:val="single" w:sz="4" w:space="0" w:color="auto"/>
            </w:tcBorders>
            <w:vAlign w:val="center"/>
            <w:hideMark/>
          </w:tcPr>
          <w:p w14:paraId="3D077D3C"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19172</w:t>
            </w:r>
          </w:p>
        </w:tc>
        <w:tc>
          <w:tcPr>
            <w:tcW w:w="709" w:type="dxa"/>
            <w:tcBorders>
              <w:top w:val="nil"/>
              <w:left w:val="nil"/>
              <w:bottom w:val="single" w:sz="4" w:space="0" w:color="auto"/>
              <w:right w:val="single" w:sz="4" w:space="0" w:color="auto"/>
            </w:tcBorders>
            <w:vAlign w:val="center"/>
            <w:hideMark/>
          </w:tcPr>
          <w:p w14:paraId="635C3C10"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21912</w:t>
            </w:r>
          </w:p>
        </w:tc>
        <w:tc>
          <w:tcPr>
            <w:tcW w:w="851" w:type="dxa"/>
            <w:tcBorders>
              <w:top w:val="nil"/>
              <w:left w:val="nil"/>
              <w:bottom w:val="single" w:sz="4" w:space="0" w:color="auto"/>
              <w:right w:val="single" w:sz="4" w:space="0" w:color="auto"/>
            </w:tcBorders>
            <w:vAlign w:val="center"/>
            <w:hideMark/>
          </w:tcPr>
          <w:p w14:paraId="647926C6"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24994</w:t>
            </w:r>
          </w:p>
        </w:tc>
        <w:tc>
          <w:tcPr>
            <w:tcW w:w="708" w:type="dxa"/>
            <w:tcBorders>
              <w:top w:val="nil"/>
              <w:left w:val="nil"/>
              <w:bottom w:val="single" w:sz="4" w:space="0" w:color="auto"/>
              <w:right w:val="single" w:sz="4" w:space="0" w:color="auto"/>
            </w:tcBorders>
            <w:vAlign w:val="center"/>
            <w:hideMark/>
          </w:tcPr>
          <w:p w14:paraId="16D16887"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28373</w:t>
            </w:r>
          </w:p>
        </w:tc>
        <w:tc>
          <w:tcPr>
            <w:tcW w:w="851" w:type="dxa"/>
            <w:tcBorders>
              <w:top w:val="nil"/>
              <w:left w:val="nil"/>
              <w:bottom w:val="single" w:sz="4" w:space="0" w:color="auto"/>
              <w:right w:val="single" w:sz="4" w:space="0" w:color="auto"/>
            </w:tcBorders>
            <w:vAlign w:val="center"/>
            <w:hideMark/>
          </w:tcPr>
          <w:p w14:paraId="7AA3BA69"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31098</w:t>
            </w:r>
          </w:p>
        </w:tc>
        <w:tc>
          <w:tcPr>
            <w:tcW w:w="992" w:type="dxa"/>
            <w:tcBorders>
              <w:top w:val="nil"/>
              <w:left w:val="nil"/>
              <w:bottom w:val="single" w:sz="4" w:space="0" w:color="auto"/>
              <w:right w:val="single" w:sz="4" w:space="0" w:color="auto"/>
            </w:tcBorders>
            <w:vAlign w:val="center"/>
            <w:hideMark/>
          </w:tcPr>
          <w:p w14:paraId="76335743" w14:textId="77777777" w:rsidR="00675F76" w:rsidRPr="000F76DE" w:rsidRDefault="00675F76" w:rsidP="00675F76">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0F76DE">
              <w:rPr>
                <w:rFonts w:ascii="Times New Roman" w:eastAsia="Times New Roman" w:hAnsi="Times New Roman" w:cs="Times New Roman"/>
                <w:color w:val="000000"/>
                <w:kern w:val="0"/>
                <w:sz w:val="16"/>
                <w:szCs w:val="16"/>
                <w:lang w:eastAsia="en-IN" w:bidi="ar-SA"/>
                <w14:ligatures w14:val="none"/>
              </w:rPr>
              <w:t>125548</w:t>
            </w:r>
          </w:p>
        </w:tc>
      </w:tr>
      <w:tr w:rsidR="003737D4" w:rsidRPr="000F76DE" w14:paraId="40590032" w14:textId="77777777" w:rsidTr="000F76DE">
        <w:trPr>
          <w:trHeight w:val="20"/>
          <w:jc w:val="center"/>
        </w:trPr>
        <w:tc>
          <w:tcPr>
            <w:tcW w:w="421" w:type="dxa"/>
            <w:tcBorders>
              <w:top w:val="nil"/>
              <w:left w:val="single" w:sz="4" w:space="0" w:color="auto"/>
              <w:bottom w:val="single" w:sz="4" w:space="0" w:color="auto"/>
              <w:right w:val="single" w:sz="4" w:space="0" w:color="auto"/>
            </w:tcBorders>
            <w:vAlign w:val="center"/>
            <w:hideMark/>
          </w:tcPr>
          <w:p w14:paraId="791CBE8E" w14:textId="77777777" w:rsidR="00675F76" w:rsidRPr="000F76DE" w:rsidRDefault="00675F76" w:rsidP="00675F76">
            <w:pPr>
              <w:spacing w:after="0" w:line="240" w:lineRule="auto"/>
              <w:rPr>
                <w:rFonts w:ascii="Aptos" w:eastAsia="Times New Roman" w:hAnsi="Aptos" w:cs="Times New Roman"/>
                <w:color w:val="000000"/>
                <w:kern w:val="0"/>
                <w:sz w:val="16"/>
                <w:szCs w:val="16"/>
                <w:lang w:eastAsia="en-IN" w:bidi="ar-SA"/>
                <w14:ligatures w14:val="none"/>
              </w:rPr>
            </w:pPr>
            <w:r w:rsidRPr="000F76DE">
              <w:rPr>
                <w:rFonts w:ascii="Aptos" w:eastAsia="Times New Roman" w:hAnsi="Aptos" w:cs="Times New Roman"/>
                <w:color w:val="000000"/>
                <w:kern w:val="0"/>
                <w:sz w:val="16"/>
                <w:szCs w:val="16"/>
                <w:lang w:eastAsia="en-IN" w:bidi="ar-SA"/>
                <w14:ligatures w14:val="none"/>
              </w:rPr>
              <w:t> </w:t>
            </w:r>
          </w:p>
        </w:tc>
        <w:tc>
          <w:tcPr>
            <w:tcW w:w="1275" w:type="dxa"/>
            <w:tcBorders>
              <w:top w:val="nil"/>
              <w:left w:val="nil"/>
              <w:bottom w:val="single" w:sz="4" w:space="0" w:color="auto"/>
              <w:right w:val="single" w:sz="4" w:space="0" w:color="auto"/>
            </w:tcBorders>
            <w:vAlign w:val="center"/>
            <w:hideMark/>
          </w:tcPr>
          <w:p w14:paraId="5EC7471E" w14:textId="77777777" w:rsidR="00675F76" w:rsidRPr="000F76DE" w:rsidRDefault="00675F76"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14 Major States</w:t>
            </w:r>
          </w:p>
        </w:tc>
        <w:tc>
          <w:tcPr>
            <w:tcW w:w="851" w:type="dxa"/>
            <w:tcBorders>
              <w:top w:val="nil"/>
              <w:left w:val="nil"/>
              <w:bottom w:val="single" w:sz="4" w:space="0" w:color="auto"/>
              <w:right w:val="single" w:sz="4" w:space="0" w:color="auto"/>
            </w:tcBorders>
            <w:vAlign w:val="center"/>
            <w:hideMark/>
          </w:tcPr>
          <w:p w14:paraId="1E003BB8"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214393</w:t>
            </w:r>
          </w:p>
        </w:tc>
        <w:tc>
          <w:tcPr>
            <w:tcW w:w="850" w:type="dxa"/>
            <w:tcBorders>
              <w:top w:val="nil"/>
              <w:left w:val="nil"/>
              <w:bottom w:val="single" w:sz="4" w:space="0" w:color="auto"/>
              <w:right w:val="single" w:sz="4" w:space="0" w:color="auto"/>
            </w:tcBorders>
            <w:vAlign w:val="center"/>
            <w:hideMark/>
          </w:tcPr>
          <w:p w14:paraId="09FFB1F4"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243573</w:t>
            </w:r>
          </w:p>
        </w:tc>
        <w:tc>
          <w:tcPr>
            <w:tcW w:w="709" w:type="dxa"/>
            <w:tcBorders>
              <w:top w:val="nil"/>
              <w:left w:val="nil"/>
              <w:bottom w:val="single" w:sz="4" w:space="0" w:color="auto"/>
              <w:right w:val="single" w:sz="4" w:space="0" w:color="auto"/>
            </w:tcBorders>
            <w:vAlign w:val="center"/>
            <w:hideMark/>
          </w:tcPr>
          <w:p w14:paraId="315A8248"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276430</w:t>
            </w:r>
          </w:p>
        </w:tc>
        <w:tc>
          <w:tcPr>
            <w:tcW w:w="851" w:type="dxa"/>
            <w:tcBorders>
              <w:top w:val="nil"/>
              <w:left w:val="nil"/>
              <w:bottom w:val="single" w:sz="4" w:space="0" w:color="auto"/>
              <w:right w:val="single" w:sz="4" w:space="0" w:color="auto"/>
            </w:tcBorders>
            <w:vAlign w:val="center"/>
            <w:hideMark/>
          </w:tcPr>
          <w:p w14:paraId="7844D72C"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313728</w:t>
            </w:r>
          </w:p>
        </w:tc>
        <w:tc>
          <w:tcPr>
            <w:tcW w:w="708" w:type="dxa"/>
            <w:tcBorders>
              <w:top w:val="nil"/>
              <w:left w:val="nil"/>
              <w:bottom w:val="single" w:sz="4" w:space="0" w:color="auto"/>
              <w:right w:val="single" w:sz="4" w:space="0" w:color="auto"/>
            </w:tcBorders>
            <w:vAlign w:val="center"/>
            <w:hideMark/>
          </w:tcPr>
          <w:p w14:paraId="03FFBD15"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355744</w:t>
            </w:r>
          </w:p>
        </w:tc>
        <w:tc>
          <w:tcPr>
            <w:tcW w:w="851" w:type="dxa"/>
            <w:tcBorders>
              <w:top w:val="nil"/>
              <w:left w:val="nil"/>
              <w:bottom w:val="single" w:sz="4" w:space="0" w:color="auto"/>
              <w:right w:val="single" w:sz="4" w:space="0" w:color="auto"/>
            </w:tcBorders>
            <w:vAlign w:val="center"/>
            <w:hideMark/>
          </w:tcPr>
          <w:p w14:paraId="0505791E"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398082</w:t>
            </w:r>
          </w:p>
        </w:tc>
        <w:tc>
          <w:tcPr>
            <w:tcW w:w="992" w:type="dxa"/>
            <w:tcBorders>
              <w:top w:val="nil"/>
              <w:left w:val="nil"/>
              <w:bottom w:val="single" w:sz="4" w:space="0" w:color="auto"/>
              <w:right w:val="single" w:sz="4" w:space="0" w:color="auto"/>
            </w:tcBorders>
            <w:vAlign w:val="center"/>
            <w:hideMark/>
          </w:tcPr>
          <w:p w14:paraId="3E042700" w14:textId="77777777" w:rsidR="00675F76" w:rsidRPr="000F76DE" w:rsidRDefault="00675F76" w:rsidP="00675F76">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158755</w:t>
            </w:r>
          </w:p>
        </w:tc>
      </w:tr>
    </w:tbl>
    <w:p w14:paraId="6DED17D6" w14:textId="77777777" w:rsidR="005E0DD7" w:rsidRDefault="00294D85" w:rsidP="00641D39">
      <w:pPr>
        <w:spacing w:after="0" w:line="240" w:lineRule="auto"/>
        <w:jc w:val="center"/>
        <w:rPr>
          <w:rFonts w:ascii="Times New Roman" w:hAnsi="Times New Roman" w:cs="Times New Roman"/>
          <w:b/>
          <w:bCs/>
          <w:sz w:val="20"/>
          <w:szCs w:val="20"/>
        </w:rPr>
      </w:pPr>
      <w:r w:rsidRPr="003737D4">
        <w:rPr>
          <w:rFonts w:ascii="Times New Roman" w:hAnsi="Times New Roman" w:cs="Times New Roman"/>
          <w:b/>
          <w:bCs/>
          <w:sz w:val="20"/>
          <w:szCs w:val="20"/>
        </w:rPr>
        <w:t>Revenue Category: Stamps and Registration</w:t>
      </w:r>
    </w:p>
    <w:p w14:paraId="68C552FE" w14:textId="6734C16B" w:rsidR="00294D85" w:rsidRPr="003737D4" w:rsidRDefault="00294D85" w:rsidP="00641D39">
      <w:pPr>
        <w:spacing w:after="0" w:line="240" w:lineRule="auto"/>
        <w:ind w:left="7200" w:firstLine="720"/>
        <w:rPr>
          <w:rFonts w:ascii="Times New Roman" w:hAnsi="Times New Roman" w:cs="Times New Roman"/>
          <w:b/>
          <w:bCs/>
          <w:sz w:val="20"/>
          <w:szCs w:val="20"/>
        </w:rPr>
      </w:pPr>
      <w:r w:rsidRPr="003737D4">
        <w:rPr>
          <w:rFonts w:ascii="Times New Roman" w:hAnsi="Times New Roman" w:cs="Times New Roman"/>
          <w:i/>
          <w:iCs/>
          <w:sz w:val="18"/>
          <w:szCs w:val="18"/>
        </w:rPr>
        <w:t>(Rs. Lakh</w:t>
      </w:r>
      <w:r w:rsidRPr="003737D4">
        <w:rPr>
          <w:rFonts w:ascii="Times New Roman" w:hAnsi="Times New Roman" w:cs="Times New Roman"/>
          <w:i/>
          <w:iCs/>
          <w:szCs w:val="24"/>
        </w:rPr>
        <w:t>)</w:t>
      </w:r>
    </w:p>
    <w:tbl>
      <w:tblPr>
        <w:tblW w:w="7524" w:type="dxa"/>
        <w:jc w:val="center"/>
        <w:tblLook w:val="04A0" w:firstRow="1" w:lastRow="0" w:firstColumn="1" w:lastColumn="0" w:noHBand="0" w:noVBand="1"/>
      </w:tblPr>
      <w:tblGrid>
        <w:gridCol w:w="1525"/>
        <w:gridCol w:w="837"/>
        <w:gridCol w:w="838"/>
        <w:gridCol w:w="837"/>
        <w:gridCol w:w="838"/>
        <w:gridCol w:w="967"/>
        <w:gridCol w:w="838"/>
        <w:gridCol w:w="844"/>
      </w:tblGrid>
      <w:tr w:rsidR="003737D4" w:rsidRPr="005069B2" w14:paraId="7A4ACA1A" w14:textId="77777777" w:rsidTr="00DD5250">
        <w:trPr>
          <w:trHeight w:val="2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4B72B9FF" w14:textId="77777777" w:rsidR="003737D4" w:rsidRPr="005069B2"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State</w:t>
            </w:r>
          </w:p>
        </w:tc>
        <w:tc>
          <w:tcPr>
            <w:tcW w:w="837" w:type="dxa"/>
            <w:tcBorders>
              <w:top w:val="single" w:sz="4" w:space="0" w:color="auto"/>
              <w:left w:val="nil"/>
              <w:bottom w:val="single" w:sz="4" w:space="0" w:color="auto"/>
              <w:right w:val="single" w:sz="4" w:space="0" w:color="auto"/>
            </w:tcBorders>
            <w:vAlign w:val="center"/>
            <w:hideMark/>
          </w:tcPr>
          <w:p w14:paraId="0B5647BA"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1989-90</w:t>
            </w:r>
          </w:p>
        </w:tc>
        <w:tc>
          <w:tcPr>
            <w:tcW w:w="838" w:type="dxa"/>
            <w:tcBorders>
              <w:top w:val="single" w:sz="4" w:space="0" w:color="auto"/>
              <w:left w:val="nil"/>
              <w:bottom w:val="single" w:sz="4" w:space="0" w:color="auto"/>
              <w:right w:val="single" w:sz="4" w:space="0" w:color="auto"/>
            </w:tcBorders>
            <w:vAlign w:val="center"/>
            <w:hideMark/>
          </w:tcPr>
          <w:p w14:paraId="080A671E"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1990-91</w:t>
            </w:r>
          </w:p>
        </w:tc>
        <w:tc>
          <w:tcPr>
            <w:tcW w:w="837" w:type="dxa"/>
            <w:tcBorders>
              <w:top w:val="single" w:sz="4" w:space="0" w:color="auto"/>
              <w:left w:val="nil"/>
              <w:bottom w:val="single" w:sz="4" w:space="0" w:color="auto"/>
              <w:right w:val="single" w:sz="4" w:space="0" w:color="auto"/>
            </w:tcBorders>
            <w:vAlign w:val="center"/>
            <w:hideMark/>
          </w:tcPr>
          <w:p w14:paraId="12229463"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1991-92</w:t>
            </w:r>
          </w:p>
        </w:tc>
        <w:tc>
          <w:tcPr>
            <w:tcW w:w="838" w:type="dxa"/>
            <w:tcBorders>
              <w:top w:val="single" w:sz="4" w:space="0" w:color="auto"/>
              <w:left w:val="nil"/>
              <w:bottom w:val="single" w:sz="4" w:space="0" w:color="auto"/>
              <w:right w:val="single" w:sz="4" w:space="0" w:color="auto"/>
            </w:tcBorders>
            <w:vAlign w:val="center"/>
            <w:hideMark/>
          </w:tcPr>
          <w:p w14:paraId="53A34D11"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1992-93</w:t>
            </w:r>
          </w:p>
        </w:tc>
        <w:tc>
          <w:tcPr>
            <w:tcW w:w="967" w:type="dxa"/>
            <w:tcBorders>
              <w:top w:val="single" w:sz="4" w:space="0" w:color="auto"/>
              <w:left w:val="nil"/>
              <w:bottom w:val="single" w:sz="4" w:space="0" w:color="auto"/>
              <w:right w:val="single" w:sz="4" w:space="0" w:color="auto"/>
            </w:tcBorders>
            <w:vAlign w:val="center"/>
            <w:hideMark/>
          </w:tcPr>
          <w:p w14:paraId="3AD05A5F"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1993-94</w:t>
            </w:r>
          </w:p>
        </w:tc>
        <w:tc>
          <w:tcPr>
            <w:tcW w:w="838" w:type="dxa"/>
            <w:tcBorders>
              <w:top w:val="single" w:sz="4" w:space="0" w:color="auto"/>
              <w:left w:val="nil"/>
              <w:bottom w:val="single" w:sz="4" w:space="0" w:color="auto"/>
              <w:right w:val="single" w:sz="4" w:space="0" w:color="auto"/>
            </w:tcBorders>
            <w:vAlign w:val="center"/>
            <w:hideMark/>
          </w:tcPr>
          <w:p w14:paraId="6627B624"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1994-95</w:t>
            </w:r>
          </w:p>
        </w:tc>
        <w:tc>
          <w:tcPr>
            <w:tcW w:w="844" w:type="dxa"/>
            <w:tcBorders>
              <w:top w:val="single" w:sz="4" w:space="0" w:color="auto"/>
              <w:left w:val="nil"/>
              <w:bottom w:val="single" w:sz="4" w:space="0" w:color="auto"/>
              <w:right w:val="single" w:sz="4" w:space="0" w:color="auto"/>
            </w:tcBorders>
            <w:vAlign w:val="center"/>
            <w:hideMark/>
          </w:tcPr>
          <w:p w14:paraId="1C8375CC"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Total</w:t>
            </w:r>
          </w:p>
        </w:tc>
      </w:tr>
      <w:tr w:rsidR="005069B2" w:rsidRPr="005069B2" w14:paraId="10876A8F" w14:textId="77777777" w:rsidTr="00DD5250">
        <w:trPr>
          <w:trHeight w:val="20"/>
          <w:jc w:val="center"/>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22385416" w14:textId="77777777" w:rsidR="005069B2" w:rsidRPr="005069B2" w:rsidRDefault="005069B2" w:rsidP="005069B2">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37" w:type="dxa"/>
            <w:tcBorders>
              <w:top w:val="nil"/>
              <w:left w:val="nil"/>
              <w:bottom w:val="single" w:sz="4" w:space="0" w:color="auto"/>
              <w:right w:val="single" w:sz="4" w:space="0" w:color="auto"/>
            </w:tcBorders>
            <w:vAlign w:val="center"/>
            <w:hideMark/>
          </w:tcPr>
          <w:p w14:paraId="65FEA795" w14:textId="312A6511"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838" w:type="dxa"/>
            <w:tcBorders>
              <w:top w:val="nil"/>
              <w:left w:val="nil"/>
              <w:bottom w:val="single" w:sz="4" w:space="0" w:color="auto"/>
              <w:right w:val="single" w:sz="4" w:space="0" w:color="auto"/>
            </w:tcBorders>
            <w:vAlign w:val="center"/>
            <w:hideMark/>
          </w:tcPr>
          <w:p w14:paraId="756FE5ED" w14:textId="7A420A85"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837" w:type="dxa"/>
            <w:tcBorders>
              <w:top w:val="nil"/>
              <w:left w:val="nil"/>
              <w:bottom w:val="single" w:sz="4" w:space="0" w:color="auto"/>
              <w:right w:val="single" w:sz="4" w:space="0" w:color="auto"/>
            </w:tcBorders>
            <w:vAlign w:val="center"/>
            <w:hideMark/>
          </w:tcPr>
          <w:p w14:paraId="60D4BD64" w14:textId="0C9627DD"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838" w:type="dxa"/>
            <w:tcBorders>
              <w:top w:val="nil"/>
              <w:left w:val="nil"/>
              <w:bottom w:val="single" w:sz="4" w:space="0" w:color="auto"/>
              <w:right w:val="single" w:sz="4" w:space="0" w:color="auto"/>
            </w:tcBorders>
            <w:vAlign w:val="center"/>
            <w:hideMark/>
          </w:tcPr>
          <w:p w14:paraId="5C728EC0" w14:textId="1D25BAC8"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967" w:type="dxa"/>
            <w:tcBorders>
              <w:top w:val="nil"/>
              <w:left w:val="nil"/>
              <w:bottom w:val="single" w:sz="4" w:space="0" w:color="auto"/>
              <w:right w:val="single" w:sz="4" w:space="0" w:color="auto"/>
            </w:tcBorders>
            <w:vAlign w:val="center"/>
            <w:hideMark/>
          </w:tcPr>
          <w:p w14:paraId="31DB4B65" w14:textId="551F0C96"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838" w:type="dxa"/>
            <w:tcBorders>
              <w:top w:val="nil"/>
              <w:left w:val="nil"/>
              <w:bottom w:val="single" w:sz="4" w:space="0" w:color="auto"/>
              <w:right w:val="single" w:sz="4" w:space="0" w:color="auto"/>
            </w:tcBorders>
            <w:vAlign w:val="center"/>
            <w:hideMark/>
          </w:tcPr>
          <w:p w14:paraId="44E82DE5" w14:textId="6DD3D9D2"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844" w:type="dxa"/>
            <w:tcBorders>
              <w:top w:val="nil"/>
              <w:left w:val="nil"/>
              <w:bottom w:val="single" w:sz="4" w:space="0" w:color="auto"/>
              <w:right w:val="single" w:sz="4" w:space="0" w:color="auto"/>
            </w:tcBorders>
            <w:vAlign w:val="center"/>
            <w:hideMark/>
          </w:tcPr>
          <w:p w14:paraId="1A35799E" w14:textId="1AA50EEC" w:rsidR="005069B2" w:rsidRPr="005069B2" w:rsidRDefault="005069B2" w:rsidP="005069B2">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3737D4" w:rsidRPr="005069B2" w14:paraId="3CC8B644"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360FA05B"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 Andhra Pradesh</w:t>
            </w:r>
          </w:p>
        </w:tc>
        <w:tc>
          <w:tcPr>
            <w:tcW w:w="837" w:type="dxa"/>
            <w:tcBorders>
              <w:top w:val="nil"/>
              <w:left w:val="nil"/>
              <w:bottom w:val="single" w:sz="4" w:space="0" w:color="auto"/>
              <w:right w:val="single" w:sz="4" w:space="0" w:color="auto"/>
            </w:tcBorders>
            <w:vAlign w:val="center"/>
            <w:hideMark/>
          </w:tcPr>
          <w:p w14:paraId="10878393"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15040</w:t>
            </w:r>
          </w:p>
        </w:tc>
        <w:tc>
          <w:tcPr>
            <w:tcW w:w="838" w:type="dxa"/>
            <w:tcBorders>
              <w:top w:val="nil"/>
              <w:left w:val="nil"/>
              <w:bottom w:val="single" w:sz="4" w:space="0" w:color="auto"/>
              <w:right w:val="single" w:sz="4" w:space="0" w:color="auto"/>
            </w:tcBorders>
            <w:vAlign w:val="center"/>
            <w:hideMark/>
          </w:tcPr>
          <w:p w14:paraId="39CF60F0"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15299</w:t>
            </w:r>
          </w:p>
        </w:tc>
        <w:tc>
          <w:tcPr>
            <w:tcW w:w="837" w:type="dxa"/>
            <w:tcBorders>
              <w:top w:val="nil"/>
              <w:left w:val="nil"/>
              <w:bottom w:val="single" w:sz="4" w:space="0" w:color="auto"/>
              <w:right w:val="single" w:sz="4" w:space="0" w:color="auto"/>
            </w:tcBorders>
            <w:vAlign w:val="center"/>
            <w:hideMark/>
          </w:tcPr>
          <w:p w14:paraId="63C6BC6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15546</w:t>
            </w:r>
          </w:p>
        </w:tc>
        <w:tc>
          <w:tcPr>
            <w:tcW w:w="838" w:type="dxa"/>
            <w:tcBorders>
              <w:top w:val="nil"/>
              <w:left w:val="nil"/>
              <w:bottom w:val="single" w:sz="4" w:space="0" w:color="auto"/>
              <w:right w:val="single" w:sz="4" w:space="0" w:color="auto"/>
            </w:tcBorders>
            <w:vAlign w:val="center"/>
            <w:hideMark/>
          </w:tcPr>
          <w:p w14:paraId="5A37178E"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15778</w:t>
            </w:r>
          </w:p>
        </w:tc>
        <w:tc>
          <w:tcPr>
            <w:tcW w:w="967" w:type="dxa"/>
            <w:tcBorders>
              <w:top w:val="nil"/>
              <w:left w:val="nil"/>
              <w:bottom w:val="single" w:sz="4" w:space="0" w:color="auto"/>
              <w:right w:val="single" w:sz="4" w:space="0" w:color="auto"/>
            </w:tcBorders>
            <w:vAlign w:val="center"/>
            <w:hideMark/>
          </w:tcPr>
          <w:p w14:paraId="0E8F95C1"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15991</w:t>
            </w:r>
          </w:p>
        </w:tc>
        <w:tc>
          <w:tcPr>
            <w:tcW w:w="838" w:type="dxa"/>
            <w:tcBorders>
              <w:top w:val="nil"/>
              <w:left w:val="nil"/>
              <w:bottom w:val="single" w:sz="4" w:space="0" w:color="auto"/>
              <w:right w:val="single" w:sz="4" w:space="0" w:color="auto"/>
            </w:tcBorders>
            <w:vAlign w:val="center"/>
            <w:hideMark/>
          </w:tcPr>
          <w:p w14:paraId="3570C78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16181</w:t>
            </w:r>
          </w:p>
        </w:tc>
        <w:tc>
          <w:tcPr>
            <w:tcW w:w="844" w:type="dxa"/>
            <w:tcBorders>
              <w:top w:val="nil"/>
              <w:left w:val="nil"/>
              <w:bottom w:val="single" w:sz="4" w:space="0" w:color="auto"/>
              <w:right w:val="single" w:sz="4" w:space="0" w:color="auto"/>
            </w:tcBorders>
            <w:vAlign w:val="center"/>
            <w:hideMark/>
          </w:tcPr>
          <w:p w14:paraId="42A48680"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78794</w:t>
            </w:r>
          </w:p>
        </w:tc>
      </w:tr>
      <w:tr w:rsidR="003737D4" w:rsidRPr="005069B2" w14:paraId="5A8438AE"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7B051967"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 Bihar</w:t>
            </w:r>
          </w:p>
        </w:tc>
        <w:tc>
          <w:tcPr>
            <w:tcW w:w="837" w:type="dxa"/>
            <w:tcBorders>
              <w:top w:val="nil"/>
              <w:left w:val="nil"/>
              <w:bottom w:val="single" w:sz="4" w:space="0" w:color="auto"/>
              <w:right w:val="single" w:sz="4" w:space="0" w:color="auto"/>
            </w:tcBorders>
            <w:vAlign w:val="center"/>
            <w:hideMark/>
          </w:tcPr>
          <w:p w14:paraId="0DAC884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6736</w:t>
            </w:r>
          </w:p>
        </w:tc>
        <w:tc>
          <w:tcPr>
            <w:tcW w:w="838" w:type="dxa"/>
            <w:tcBorders>
              <w:top w:val="nil"/>
              <w:left w:val="nil"/>
              <w:bottom w:val="single" w:sz="4" w:space="0" w:color="auto"/>
              <w:right w:val="single" w:sz="4" w:space="0" w:color="auto"/>
            </w:tcBorders>
            <w:vAlign w:val="center"/>
            <w:hideMark/>
          </w:tcPr>
          <w:p w14:paraId="2EF5731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7662</w:t>
            </w:r>
          </w:p>
        </w:tc>
        <w:tc>
          <w:tcPr>
            <w:tcW w:w="837" w:type="dxa"/>
            <w:tcBorders>
              <w:top w:val="nil"/>
              <w:left w:val="nil"/>
              <w:bottom w:val="single" w:sz="4" w:space="0" w:color="auto"/>
              <w:right w:val="single" w:sz="4" w:space="0" w:color="auto"/>
            </w:tcBorders>
            <w:vAlign w:val="center"/>
            <w:hideMark/>
          </w:tcPr>
          <w:p w14:paraId="194D555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8696</w:t>
            </w:r>
          </w:p>
        </w:tc>
        <w:tc>
          <w:tcPr>
            <w:tcW w:w="838" w:type="dxa"/>
            <w:tcBorders>
              <w:top w:val="nil"/>
              <w:left w:val="nil"/>
              <w:bottom w:val="single" w:sz="4" w:space="0" w:color="auto"/>
              <w:right w:val="single" w:sz="4" w:space="0" w:color="auto"/>
            </w:tcBorders>
            <w:vAlign w:val="center"/>
            <w:hideMark/>
          </w:tcPr>
          <w:p w14:paraId="46D064A4"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9848</w:t>
            </w:r>
          </w:p>
        </w:tc>
        <w:tc>
          <w:tcPr>
            <w:tcW w:w="967" w:type="dxa"/>
            <w:tcBorders>
              <w:top w:val="nil"/>
              <w:left w:val="nil"/>
              <w:bottom w:val="single" w:sz="4" w:space="0" w:color="auto"/>
              <w:right w:val="single" w:sz="4" w:space="0" w:color="auto"/>
            </w:tcBorders>
            <w:vAlign w:val="center"/>
            <w:hideMark/>
          </w:tcPr>
          <w:p w14:paraId="43B1C69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11098</w:t>
            </w:r>
          </w:p>
        </w:tc>
        <w:tc>
          <w:tcPr>
            <w:tcW w:w="838" w:type="dxa"/>
            <w:tcBorders>
              <w:top w:val="nil"/>
              <w:left w:val="nil"/>
              <w:bottom w:val="single" w:sz="4" w:space="0" w:color="auto"/>
              <w:right w:val="single" w:sz="4" w:space="0" w:color="auto"/>
            </w:tcBorders>
            <w:vAlign w:val="center"/>
            <w:hideMark/>
          </w:tcPr>
          <w:p w14:paraId="161C4E9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12319</w:t>
            </w:r>
          </w:p>
        </w:tc>
        <w:tc>
          <w:tcPr>
            <w:tcW w:w="844" w:type="dxa"/>
            <w:tcBorders>
              <w:top w:val="nil"/>
              <w:left w:val="nil"/>
              <w:bottom w:val="single" w:sz="4" w:space="0" w:color="auto"/>
              <w:right w:val="single" w:sz="4" w:space="0" w:color="auto"/>
            </w:tcBorders>
            <w:vAlign w:val="center"/>
            <w:hideMark/>
          </w:tcPr>
          <w:p w14:paraId="5700F35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49621</w:t>
            </w:r>
          </w:p>
        </w:tc>
      </w:tr>
      <w:tr w:rsidR="003737D4" w:rsidRPr="005069B2" w14:paraId="016280AC"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1D7F5084"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 Gujarat</w:t>
            </w:r>
          </w:p>
        </w:tc>
        <w:tc>
          <w:tcPr>
            <w:tcW w:w="837" w:type="dxa"/>
            <w:tcBorders>
              <w:top w:val="nil"/>
              <w:left w:val="nil"/>
              <w:bottom w:val="single" w:sz="4" w:space="0" w:color="auto"/>
              <w:right w:val="single" w:sz="4" w:space="0" w:color="auto"/>
            </w:tcBorders>
            <w:vAlign w:val="center"/>
            <w:hideMark/>
          </w:tcPr>
          <w:p w14:paraId="3840A19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8936</w:t>
            </w:r>
          </w:p>
        </w:tc>
        <w:tc>
          <w:tcPr>
            <w:tcW w:w="838" w:type="dxa"/>
            <w:tcBorders>
              <w:top w:val="nil"/>
              <w:left w:val="nil"/>
              <w:bottom w:val="single" w:sz="4" w:space="0" w:color="auto"/>
              <w:right w:val="single" w:sz="4" w:space="0" w:color="auto"/>
            </w:tcBorders>
            <w:vAlign w:val="center"/>
            <w:hideMark/>
          </w:tcPr>
          <w:p w14:paraId="2284A65B"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9973</w:t>
            </w:r>
          </w:p>
        </w:tc>
        <w:tc>
          <w:tcPr>
            <w:tcW w:w="837" w:type="dxa"/>
            <w:tcBorders>
              <w:top w:val="nil"/>
              <w:left w:val="nil"/>
              <w:bottom w:val="single" w:sz="4" w:space="0" w:color="auto"/>
              <w:right w:val="single" w:sz="4" w:space="0" w:color="auto"/>
            </w:tcBorders>
            <w:vAlign w:val="center"/>
            <w:hideMark/>
          </w:tcPr>
          <w:p w14:paraId="55EEABE0"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11110</w:t>
            </w:r>
          </w:p>
        </w:tc>
        <w:tc>
          <w:tcPr>
            <w:tcW w:w="838" w:type="dxa"/>
            <w:tcBorders>
              <w:top w:val="nil"/>
              <w:left w:val="nil"/>
              <w:bottom w:val="single" w:sz="4" w:space="0" w:color="auto"/>
              <w:right w:val="single" w:sz="4" w:space="0" w:color="auto"/>
            </w:tcBorders>
            <w:vAlign w:val="center"/>
            <w:hideMark/>
          </w:tcPr>
          <w:p w14:paraId="4044A0C5"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12340</w:t>
            </w:r>
          </w:p>
        </w:tc>
        <w:tc>
          <w:tcPr>
            <w:tcW w:w="967" w:type="dxa"/>
            <w:tcBorders>
              <w:top w:val="nil"/>
              <w:left w:val="nil"/>
              <w:bottom w:val="single" w:sz="4" w:space="0" w:color="auto"/>
              <w:right w:val="single" w:sz="4" w:space="0" w:color="auto"/>
            </w:tcBorders>
            <w:vAlign w:val="center"/>
            <w:hideMark/>
          </w:tcPr>
          <w:p w14:paraId="23D86AB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13621</w:t>
            </w:r>
          </w:p>
        </w:tc>
        <w:tc>
          <w:tcPr>
            <w:tcW w:w="838" w:type="dxa"/>
            <w:tcBorders>
              <w:top w:val="nil"/>
              <w:left w:val="nil"/>
              <w:bottom w:val="single" w:sz="4" w:space="0" w:color="auto"/>
              <w:right w:val="single" w:sz="4" w:space="0" w:color="auto"/>
            </w:tcBorders>
            <w:vAlign w:val="center"/>
            <w:hideMark/>
          </w:tcPr>
          <w:p w14:paraId="40832E2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14573</w:t>
            </w:r>
          </w:p>
        </w:tc>
        <w:tc>
          <w:tcPr>
            <w:tcW w:w="844" w:type="dxa"/>
            <w:tcBorders>
              <w:top w:val="nil"/>
              <w:left w:val="nil"/>
              <w:bottom w:val="single" w:sz="4" w:space="0" w:color="auto"/>
              <w:right w:val="single" w:sz="4" w:space="0" w:color="auto"/>
            </w:tcBorders>
            <w:vAlign w:val="center"/>
            <w:hideMark/>
          </w:tcPr>
          <w:p w14:paraId="038E33B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61617</w:t>
            </w:r>
          </w:p>
        </w:tc>
      </w:tr>
      <w:tr w:rsidR="003737D4" w:rsidRPr="005069B2" w14:paraId="72C9602E"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3AEEF8C3"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 Haryana</w:t>
            </w:r>
          </w:p>
        </w:tc>
        <w:tc>
          <w:tcPr>
            <w:tcW w:w="837" w:type="dxa"/>
            <w:tcBorders>
              <w:top w:val="nil"/>
              <w:left w:val="nil"/>
              <w:bottom w:val="single" w:sz="4" w:space="0" w:color="auto"/>
              <w:right w:val="single" w:sz="4" w:space="0" w:color="auto"/>
            </w:tcBorders>
            <w:vAlign w:val="center"/>
            <w:hideMark/>
          </w:tcPr>
          <w:p w14:paraId="7CCA261B"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6769</w:t>
            </w:r>
          </w:p>
        </w:tc>
        <w:tc>
          <w:tcPr>
            <w:tcW w:w="838" w:type="dxa"/>
            <w:tcBorders>
              <w:top w:val="nil"/>
              <w:left w:val="nil"/>
              <w:bottom w:val="single" w:sz="4" w:space="0" w:color="auto"/>
              <w:right w:val="single" w:sz="4" w:space="0" w:color="auto"/>
            </w:tcBorders>
            <w:vAlign w:val="center"/>
            <w:hideMark/>
          </w:tcPr>
          <w:p w14:paraId="7224DA3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7398</w:t>
            </w:r>
          </w:p>
        </w:tc>
        <w:tc>
          <w:tcPr>
            <w:tcW w:w="837" w:type="dxa"/>
            <w:tcBorders>
              <w:top w:val="nil"/>
              <w:left w:val="nil"/>
              <w:bottom w:val="single" w:sz="4" w:space="0" w:color="auto"/>
              <w:right w:val="single" w:sz="4" w:space="0" w:color="auto"/>
            </w:tcBorders>
            <w:vAlign w:val="center"/>
            <w:hideMark/>
          </w:tcPr>
          <w:p w14:paraId="0AD5168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8083</w:t>
            </w:r>
          </w:p>
        </w:tc>
        <w:tc>
          <w:tcPr>
            <w:tcW w:w="838" w:type="dxa"/>
            <w:tcBorders>
              <w:top w:val="nil"/>
              <w:left w:val="nil"/>
              <w:bottom w:val="single" w:sz="4" w:space="0" w:color="auto"/>
              <w:right w:val="single" w:sz="4" w:space="0" w:color="auto"/>
            </w:tcBorders>
            <w:vAlign w:val="center"/>
            <w:hideMark/>
          </w:tcPr>
          <w:p w14:paraId="2BCDEDB8"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8829</w:t>
            </w:r>
          </w:p>
        </w:tc>
        <w:tc>
          <w:tcPr>
            <w:tcW w:w="967" w:type="dxa"/>
            <w:tcBorders>
              <w:top w:val="nil"/>
              <w:left w:val="nil"/>
              <w:bottom w:val="single" w:sz="4" w:space="0" w:color="auto"/>
              <w:right w:val="single" w:sz="4" w:space="0" w:color="auto"/>
            </w:tcBorders>
            <w:vAlign w:val="center"/>
            <w:hideMark/>
          </w:tcPr>
          <w:p w14:paraId="162579E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9640</w:t>
            </w:r>
          </w:p>
        </w:tc>
        <w:tc>
          <w:tcPr>
            <w:tcW w:w="838" w:type="dxa"/>
            <w:tcBorders>
              <w:top w:val="nil"/>
              <w:left w:val="nil"/>
              <w:bottom w:val="single" w:sz="4" w:space="0" w:color="auto"/>
              <w:right w:val="single" w:sz="4" w:space="0" w:color="auto"/>
            </w:tcBorders>
            <w:vAlign w:val="center"/>
            <w:hideMark/>
          </w:tcPr>
          <w:p w14:paraId="36C3108D"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10521</w:t>
            </w:r>
          </w:p>
        </w:tc>
        <w:tc>
          <w:tcPr>
            <w:tcW w:w="844" w:type="dxa"/>
            <w:tcBorders>
              <w:top w:val="nil"/>
              <w:left w:val="nil"/>
              <w:bottom w:val="single" w:sz="4" w:space="0" w:color="auto"/>
              <w:right w:val="single" w:sz="4" w:space="0" w:color="auto"/>
            </w:tcBorders>
            <w:vAlign w:val="center"/>
            <w:hideMark/>
          </w:tcPr>
          <w:p w14:paraId="745EC570"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44471</w:t>
            </w:r>
          </w:p>
        </w:tc>
      </w:tr>
      <w:tr w:rsidR="003737D4" w:rsidRPr="005069B2" w14:paraId="7B2643A8"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327BC6B6"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5. Karnataka</w:t>
            </w:r>
          </w:p>
        </w:tc>
        <w:tc>
          <w:tcPr>
            <w:tcW w:w="837" w:type="dxa"/>
            <w:tcBorders>
              <w:top w:val="nil"/>
              <w:left w:val="nil"/>
              <w:bottom w:val="single" w:sz="4" w:space="0" w:color="auto"/>
              <w:right w:val="single" w:sz="4" w:space="0" w:color="auto"/>
            </w:tcBorders>
            <w:vAlign w:val="center"/>
            <w:hideMark/>
          </w:tcPr>
          <w:p w14:paraId="518313A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12451</w:t>
            </w:r>
          </w:p>
        </w:tc>
        <w:tc>
          <w:tcPr>
            <w:tcW w:w="838" w:type="dxa"/>
            <w:tcBorders>
              <w:top w:val="nil"/>
              <w:left w:val="nil"/>
              <w:bottom w:val="single" w:sz="4" w:space="0" w:color="auto"/>
              <w:right w:val="single" w:sz="4" w:space="0" w:color="auto"/>
            </w:tcBorders>
            <w:vAlign w:val="center"/>
            <w:hideMark/>
          </w:tcPr>
          <w:p w14:paraId="2C95B7D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13375</w:t>
            </w:r>
          </w:p>
        </w:tc>
        <w:tc>
          <w:tcPr>
            <w:tcW w:w="837" w:type="dxa"/>
            <w:tcBorders>
              <w:top w:val="nil"/>
              <w:left w:val="nil"/>
              <w:bottom w:val="single" w:sz="4" w:space="0" w:color="auto"/>
              <w:right w:val="single" w:sz="4" w:space="0" w:color="auto"/>
            </w:tcBorders>
            <w:vAlign w:val="center"/>
            <w:hideMark/>
          </w:tcPr>
          <w:p w14:paraId="06BAD2EE"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14355</w:t>
            </w:r>
          </w:p>
        </w:tc>
        <w:tc>
          <w:tcPr>
            <w:tcW w:w="838" w:type="dxa"/>
            <w:tcBorders>
              <w:top w:val="nil"/>
              <w:left w:val="nil"/>
              <w:bottom w:val="single" w:sz="4" w:space="0" w:color="auto"/>
              <w:right w:val="single" w:sz="4" w:space="0" w:color="auto"/>
            </w:tcBorders>
            <w:vAlign w:val="center"/>
            <w:hideMark/>
          </w:tcPr>
          <w:p w14:paraId="483AB8C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15395</w:t>
            </w:r>
          </w:p>
        </w:tc>
        <w:tc>
          <w:tcPr>
            <w:tcW w:w="967" w:type="dxa"/>
            <w:tcBorders>
              <w:top w:val="nil"/>
              <w:left w:val="nil"/>
              <w:bottom w:val="single" w:sz="4" w:space="0" w:color="auto"/>
              <w:right w:val="single" w:sz="4" w:space="0" w:color="auto"/>
            </w:tcBorders>
            <w:vAlign w:val="center"/>
            <w:hideMark/>
          </w:tcPr>
          <w:p w14:paraId="0FD036C4"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16498</w:t>
            </w:r>
          </w:p>
        </w:tc>
        <w:tc>
          <w:tcPr>
            <w:tcW w:w="838" w:type="dxa"/>
            <w:tcBorders>
              <w:top w:val="nil"/>
              <w:left w:val="nil"/>
              <w:bottom w:val="single" w:sz="4" w:space="0" w:color="auto"/>
              <w:right w:val="single" w:sz="4" w:space="0" w:color="auto"/>
            </w:tcBorders>
            <w:vAlign w:val="center"/>
            <w:hideMark/>
          </w:tcPr>
          <w:p w14:paraId="41D1A9B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17669</w:t>
            </w:r>
          </w:p>
        </w:tc>
        <w:tc>
          <w:tcPr>
            <w:tcW w:w="844" w:type="dxa"/>
            <w:tcBorders>
              <w:top w:val="nil"/>
              <w:left w:val="nil"/>
              <w:bottom w:val="single" w:sz="4" w:space="0" w:color="auto"/>
              <w:right w:val="single" w:sz="4" w:space="0" w:color="auto"/>
            </w:tcBorders>
            <w:vAlign w:val="center"/>
            <w:hideMark/>
          </w:tcPr>
          <w:p w14:paraId="236880E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77291</w:t>
            </w:r>
          </w:p>
        </w:tc>
      </w:tr>
      <w:tr w:rsidR="003737D4" w:rsidRPr="005069B2" w14:paraId="336F08BC"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05FE7C25"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 Kerala</w:t>
            </w:r>
          </w:p>
        </w:tc>
        <w:tc>
          <w:tcPr>
            <w:tcW w:w="837" w:type="dxa"/>
            <w:tcBorders>
              <w:top w:val="nil"/>
              <w:left w:val="nil"/>
              <w:bottom w:val="single" w:sz="4" w:space="0" w:color="auto"/>
              <w:right w:val="single" w:sz="4" w:space="0" w:color="auto"/>
            </w:tcBorders>
            <w:vAlign w:val="center"/>
            <w:hideMark/>
          </w:tcPr>
          <w:p w14:paraId="0EED5184"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10936</w:t>
            </w:r>
          </w:p>
        </w:tc>
        <w:tc>
          <w:tcPr>
            <w:tcW w:w="838" w:type="dxa"/>
            <w:tcBorders>
              <w:top w:val="nil"/>
              <w:left w:val="nil"/>
              <w:bottom w:val="single" w:sz="4" w:space="0" w:color="auto"/>
              <w:right w:val="single" w:sz="4" w:space="0" w:color="auto"/>
            </w:tcBorders>
            <w:vAlign w:val="center"/>
            <w:hideMark/>
          </w:tcPr>
          <w:p w14:paraId="415CDFA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11842</w:t>
            </w:r>
          </w:p>
        </w:tc>
        <w:tc>
          <w:tcPr>
            <w:tcW w:w="837" w:type="dxa"/>
            <w:tcBorders>
              <w:top w:val="nil"/>
              <w:left w:val="nil"/>
              <w:bottom w:val="single" w:sz="4" w:space="0" w:color="auto"/>
              <w:right w:val="single" w:sz="4" w:space="0" w:color="auto"/>
            </w:tcBorders>
            <w:vAlign w:val="center"/>
            <w:hideMark/>
          </w:tcPr>
          <w:p w14:paraId="22FD44C4"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12811</w:t>
            </w:r>
          </w:p>
        </w:tc>
        <w:tc>
          <w:tcPr>
            <w:tcW w:w="838" w:type="dxa"/>
            <w:tcBorders>
              <w:top w:val="nil"/>
              <w:left w:val="nil"/>
              <w:bottom w:val="single" w:sz="4" w:space="0" w:color="auto"/>
              <w:right w:val="single" w:sz="4" w:space="0" w:color="auto"/>
            </w:tcBorders>
            <w:vAlign w:val="center"/>
            <w:hideMark/>
          </w:tcPr>
          <w:p w14:paraId="6943DC08"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13845</w:t>
            </w:r>
          </w:p>
        </w:tc>
        <w:tc>
          <w:tcPr>
            <w:tcW w:w="967" w:type="dxa"/>
            <w:tcBorders>
              <w:top w:val="nil"/>
              <w:left w:val="nil"/>
              <w:bottom w:val="single" w:sz="4" w:space="0" w:color="auto"/>
              <w:right w:val="single" w:sz="4" w:space="0" w:color="auto"/>
            </w:tcBorders>
            <w:vAlign w:val="center"/>
            <w:hideMark/>
          </w:tcPr>
          <w:p w14:paraId="6B5D0E0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14945</w:t>
            </w:r>
          </w:p>
        </w:tc>
        <w:tc>
          <w:tcPr>
            <w:tcW w:w="838" w:type="dxa"/>
            <w:tcBorders>
              <w:top w:val="nil"/>
              <w:left w:val="nil"/>
              <w:bottom w:val="single" w:sz="4" w:space="0" w:color="auto"/>
              <w:right w:val="single" w:sz="4" w:space="0" w:color="auto"/>
            </w:tcBorders>
            <w:vAlign w:val="center"/>
            <w:hideMark/>
          </w:tcPr>
          <w:p w14:paraId="6BEFE454"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16115</w:t>
            </w:r>
          </w:p>
        </w:tc>
        <w:tc>
          <w:tcPr>
            <w:tcW w:w="844" w:type="dxa"/>
            <w:tcBorders>
              <w:top w:val="nil"/>
              <w:left w:val="nil"/>
              <w:bottom w:val="single" w:sz="4" w:space="0" w:color="auto"/>
              <w:right w:val="single" w:sz="4" w:space="0" w:color="auto"/>
            </w:tcBorders>
            <w:vAlign w:val="center"/>
            <w:hideMark/>
          </w:tcPr>
          <w:p w14:paraId="6D1756E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69557</w:t>
            </w:r>
          </w:p>
        </w:tc>
      </w:tr>
      <w:tr w:rsidR="003737D4" w:rsidRPr="005069B2" w14:paraId="0A0FA0F6"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45AEDC27"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 Madhya Pradesh</w:t>
            </w:r>
          </w:p>
        </w:tc>
        <w:tc>
          <w:tcPr>
            <w:tcW w:w="837" w:type="dxa"/>
            <w:tcBorders>
              <w:top w:val="nil"/>
              <w:left w:val="nil"/>
              <w:bottom w:val="single" w:sz="4" w:space="0" w:color="auto"/>
              <w:right w:val="single" w:sz="4" w:space="0" w:color="auto"/>
            </w:tcBorders>
            <w:vAlign w:val="center"/>
            <w:hideMark/>
          </w:tcPr>
          <w:p w14:paraId="6040A56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8817</w:t>
            </w:r>
          </w:p>
        </w:tc>
        <w:tc>
          <w:tcPr>
            <w:tcW w:w="838" w:type="dxa"/>
            <w:tcBorders>
              <w:top w:val="nil"/>
              <w:left w:val="nil"/>
              <w:bottom w:val="single" w:sz="4" w:space="0" w:color="auto"/>
              <w:right w:val="single" w:sz="4" w:space="0" w:color="auto"/>
            </w:tcBorders>
            <w:vAlign w:val="center"/>
            <w:hideMark/>
          </w:tcPr>
          <w:p w14:paraId="2B17179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9911</w:t>
            </w:r>
          </w:p>
        </w:tc>
        <w:tc>
          <w:tcPr>
            <w:tcW w:w="837" w:type="dxa"/>
            <w:tcBorders>
              <w:top w:val="nil"/>
              <w:left w:val="nil"/>
              <w:bottom w:val="single" w:sz="4" w:space="0" w:color="auto"/>
              <w:right w:val="single" w:sz="4" w:space="0" w:color="auto"/>
            </w:tcBorders>
            <w:vAlign w:val="center"/>
            <w:hideMark/>
          </w:tcPr>
          <w:p w14:paraId="2FF1099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11098</w:t>
            </w:r>
          </w:p>
        </w:tc>
        <w:tc>
          <w:tcPr>
            <w:tcW w:w="838" w:type="dxa"/>
            <w:tcBorders>
              <w:top w:val="nil"/>
              <w:left w:val="nil"/>
              <w:bottom w:val="single" w:sz="4" w:space="0" w:color="auto"/>
              <w:right w:val="single" w:sz="4" w:space="0" w:color="auto"/>
            </w:tcBorders>
            <w:vAlign w:val="center"/>
            <w:hideMark/>
          </w:tcPr>
          <w:p w14:paraId="4D0AE5B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12385</w:t>
            </w:r>
          </w:p>
        </w:tc>
        <w:tc>
          <w:tcPr>
            <w:tcW w:w="967" w:type="dxa"/>
            <w:tcBorders>
              <w:top w:val="nil"/>
              <w:left w:val="nil"/>
              <w:bottom w:val="single" w:sz="4" w:space="0" w:color="auto"/>
              <w:right w:val="single" w:sz="4" w:space="0" w:color="auto"/>
            </w:tcBorders>
            <w:vAlign w:val="center"/>
            <w:hideMark/>
          </w:tcPr>
          <w:p w14:paraId="361B65DD"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13746</w:t>
            </w:r>
          </w:p>
        </w:tc>
        <w:tc>
          <w:tcPr>
            <w:tcW w:w="838" w:type="dxa"/>
            <w:tcBorders>
              <w:top w:val="nil"/>
              <w:left w:val="nil"/>
              <w:bottom w:val="single" w:sz="4" w:space="0" w:color="auto"/>
              <w:right w:val="single" w:sz="4" w:space="0" w:color="auto"/>
            </w:tcBorders>
            <w:vAlign w:val="center"/>
            <w:hideMark/>
          </w:tcPr>
          <w:p w14:paraId="541F9498"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14871</w:t>
            </w:r>
          </w:p>
        </w:tc>
        <w:tc>
          <w:tcPr>
            <w:tcW w:w="844" w:type="dxa"/>
            <w:tcBorders>
              <w:top w:val="nil"/>
              <w:left w:val="nil"/>
              <w:bottom w:val="single" w:sz="4" w:space="0" w:color="auto"/>
              <w:right w:val="single" w:sz="4" w:space="0" w:color="auto"/>
            </w:tcBorders>
            <w:vAlign w:val="center"/>
            <w:hideMark/>
          </w:tcPr>
          <w:p w14:paraId="5A9465BB"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62011</w:t>
            </w:r>
          </w:p>
        </w:tc>
      </w:tr>
      <w:tr w:rsidR="003737D4" w:rsidRPr="005069B2" w14:paraId="7A241C0A"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149EB1AC"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 Maharashtra</w:t>
            </w:r>
          </w:p>
        </w:tc>
        <w:tc>
          <w:tcPr>
            <w:tcW w:w="837" w:type="dxa"/>
            <w:tcBorders>
              <w:top w:val="nil"/>
              <w:left w:val="nil"/>
              <w:bottom w:val="single" w:sz="4" w:space="0" w:color="auto"/>
              <w:right w:val="single" w:sz="4" w:space="0" w:color="auto"/>
            </w:tcBorders>
            <w:vAlign w:val="center"/>
            <w:hideMark/>
          </w:tcPr>
          <w:p w14:paraId="2712BEB8"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19911</w:t>
            </w:r>
          </w:p>
        </w:tc>
        <w:tc>
          <w:tcPr>
            <w:tcW w:w="838" w:type="dxa"/>
            <w:tcBorders>
              <w:top w:val="nil"/>
              <w:left w:val="nil"/>
              <w:bottom w:val="single" w:sz="4" w:space="0" w:color="auto"/>
              <w:right w:val="single" w:sz="4" w:space="0" w:color="auto"/>
            </w:tcBorders>
            <w:vAlign w:val="center"/>
            <w:hideMark/>
          </w:tcPr>
          <w:p w14:paraId="152B6B45"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20867</w:t>
            </w:r>
          </w:p>
        </w:tc>
        <w:tc>
          <w:tcPr>
            <w:tcW w:w="837" w:type="dxa"/>
            <w:tcBorders>
              <w:top w:val="nil"/>
              <w:left w:val="nil"/>
              <w:bottom w:val="single" w:sz="4" w:space="0" w:color="auto"/>
              <w:right w:val="single" w:sz="4" w:space="0" w:color="auto"/>
            </w:tcBorders>
            <w:vAlign w:val="center"/>
            <w:hideMark/>
          </w:tcPr>
          <w:p w14:paraId="3DBEE20D"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21830</w:t>
            </w:r>
          </w:p>
        </w:tc>
        <w:tc>
          <w:tcPr>
            <w:tcW w:w="838" w:type="dxa"/>
            <w:tcBorders>
              <w:top w:val="nil"/>
              <w:left w:val="nil"/>
              <w:bottom w:val="single" w:sz="4" w:space="0" w:color="auto"/>
              <w:right w:val="single" w:sz="4" w:space="0" w:color="auto"/>
            </w:tcBorders>
            <w:vAlign w:val="center"/>
            <w:hideMark/>
          </w:tcPr>
          <w:p w14:paraId="5EF2D81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22796</w:t>
            </w:r>
          </w:p>
        </w:tc>
        <w:tc>
          <w:tcPr>
            <w:tcW w:w="967" w:type="dxa"/>
            <w:tcBorders>
              <w:top w:val="nil"/>
              <w:left w:val="nil"/>
              <w:bottom w:val="single" w:sz="4" w:space="0" w:color="auto"/>
              <w:right w:val="single" w:sz="4" w:space="0" w:color="auto"/>
            </w:tcBorders>
            <w:vAlign w:val="center"/>
            <w:hideMark/>
          </w:tcPr>
          <w:p w14:paraId="25592CF2"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23762</w:t>
            </w:r>
          </w:p>
        </w:tc>
        <w:tc>
          <w:tcPr>
            <w:tcW w:w="838" w:type="dxa"/>
            <w:tcBorders>
              <w:top w:val="nil"/>
              <w:left w:val="nil"/>
              <w:bottom w:val="single" w:sz="4" w:space="0" w:color="auto"/>
              <w:right w:val="single" w:sz="4" w:space="0" w:color="auto"/>
            </w:tcBorders>
            <w:vAlign w:val="center"/>
            <w:hideMark/>
          </w:tcPr>
          <w:p w14:paraId="691E0F0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24723</w:t>
            </w:r>
          </w:p>
        </w:tc>
        <w:tc>
          <w:tcPr>
            <w:tcW w:w="844" w:type="dxa"/>
            <w:tcBorders>
              <w:top w:val="nil"/>
              <w:left w:val="nil"/>
              <w:bottom w:val="single" w:sz="4" w:space="0" w:color="auto"/>
              <w:right w:val="single" w:sz="4" w:space="0" w:color="auto"/>
            </w:tcBorders>
            <w:vAlign w:val="center"/>
            <w:hideMark/>
          </w:tcPr>
          <w:p w14:paraId="4133C54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113978</w:t>
            </w:r>
          </w:p>
        </w:tc>
      </w:tr>
      <w:tr w:rsidR="003737D4" w:rsidRPr="005069B2" w14:paraId="449F4FCD"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5654B75F"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9. Orissa</w:t>
            </w:r>
          </w:p>
        </w:tc>
        <w:tc>
          <w:tcPr>
            <w:tcW w:w="837" w:type="dxa"/>
            <w:tcBorders>
              <w:top w:val="nil"/>
              <w:left w:val="nil"/>
              <w:bottom w:val="single" w:sz="4" w:space="0" w:color="auto"/>
              <w:right w:val="single" w:sz="4" w:space="0" w:color="auto"/>
            </w:tcBorders>
            <w:vAlign w:val="center"/>
            <w:hideMark/>
          </w:tcPr>
          <w:p w14:paraId="0B0BAE94"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2825</w:t>
            </w:r>
          </w:p>
        </w:tc>
        <w:tc>
          <w:tcPr>
            <w:tcW w:w="838" w:type="dxa"/>
            <w:tcBorders>
              <w:top w:val="nil"/>
              <w:left w:val="nil"/>
              <w:bottom w:val="single" w:sz="4" w:space="0" w:color="auto"/>
              <w:right w:val="single" w:sz="4" w:space="0" w:color="auto"/>
            </w:tcBorders>
            <w:vAlign w:val="center"/>
            <w:hideMark/>
          </w:tcPr>
          <w:p w14:paraId="5A3508EE"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3128</w:t>
            </w:r>
          </w:p>
        </w:tc>
        <w:tc>
          <w:tcPr>
            <w:tcW w:w="837" w:type="dxa"/>
            <w:tcBorders>
              <w:top w:val="nil"/>
              <w:left w:val="nil"/>
              <w:bottom w:val="single" w:sz="4" w:space="0" w:color="auto"/>
              <w:right w:val="single" w:sz="4" w:space="0" w:color="auto"/>
            </w:tcBorders>
            <w:vAlign w:val="center"/>
            <w:hideMark/>
          </w:tcPr>
          <w:p w14:paraId="3FA46FE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3412</w:t>
            </w:r>
          </w:p>
        </w:tc>
        <w:tc>
          <w:tcPr>
            <w:tcW w:w="838" w:type="dxa"/>
            <w:tcBorders>
              <w:top w:val="nil"/>
              <w:left w:val="nil"/>
              <w:bottom w:val="single" w:sz="4" w:space="0" w:color="auto"/>
              <w:right w:val="single" w:sz="4" w:space="0" w:color="auto"/>
            </w:tcBorders>
            <w:vAlign w:val="center"/>
            <w:hideMark/>
          </w:tcPr>
          <w:p w14:paraId="22659170"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3712</w:t>
            </w:r>
          </w:p>
        </w:tc>
        <w:tc>
          <w:tcPr>
            <w:tcW w:w="967" w:type="dxa"/>
            <w:tcBorders>
              <w:top w:val="nil"/>
              <w:left w:val="nil"/>
              <w:bottom w:val="single" w:sz="4" w:space="0" w:color="auto"/>
              <w:right w:val="single" w:sz="4" w:space="0" w:color="auto"/>
            </w:tcBorders>
            <w:vAlign w:val="center"/>
            <w:hideMark/>
          </w:tcPr>
          <w:p w14:paraId="2D89491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4026</w:t>
            </w:r>
          </w:p>
        </w:tc>
        <w:tc>
          <w:tcPr>
            <w:tcW w:w="838" w:type="dxa"/>
            <w:tcBorders>
              <w:top w:val="nil"/>
              <w:left w:val="nil"/>
              <w:bottom w:val="single" w:sz="4" w:space="0" w:color="auto"/>
              <w:right w:val="single" w:sz="4" w:space="0" w:color="auto"/>
            </w:tcBorders>
            <w:vAlign w:val="center"/>
            <w:hideMark/>
          </w:tcPr>
          <w:p w14:paraId="06C58AD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4299</w:t>
            </w:r>
          </w:p>
        </w:tc>
        <w:tc>
          <w:tcPr>
            <w:tcW w:w="844" w:type="dxa"/>
            <w:tcBorders>
              <w:top w:val="nil"/>
              <w:left w:val="nil"/>
              <w:bottom w:val="single" w:sz="4" w:space="0" w:color="auto"/>
              <w:right w:val="single" w:sz="4" w:space="0" w:color="auto"/>
            </w:tcBorders>
            <w:vAlign w:val="center"/>
            <w:hideMark/>
          </w:tcPr>
          <w:p w14:paraId="636C1645"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18576</w:t>
            </w:r>
          </w:p>
        </w:tc>
      </w:tr>
      <w:tr w:rsidR="003737D4" w:rsidRPr="005069B2" w14:paraId="0B95A0D1"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2EC5332E"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10. Punjab</w:t>
            </w:r>
          </w:p>
        </w:tc>
        <w:tc>
          <w:tcPr>
            <w:tcW w:w="837" w:type="dxa"/>
            <w:tcBorders>
              <w:top w:val="nil"/>
              <w:left w:val="nil"/>
              <w:bottom w:val="single" w:sz="4" w:space="0" w:color="auto"/>
              <w:right w:val="single" w:sz="4" w:space="0" w:color="auto"/>
            </w:tcBorders>
            <w:vAlign w:val="center"/>
            <w:hideMark/>
          </w:tcPr>
          <w:p w14:paraId="5E493F08"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8411</w:t>
            </w:r>
          </w:p>
        </w:tc>
        <w:tc>
          <w:tcPr>
            <w:tcW w:w="838" w:type="dxa"/>
            <w:tcBorders>
              <w:top w:val="nil"/>
              <w:left w:val="nil"/>
              <w:bottom w:val="single" w:sz="4" w:space="0" w:color="auto"/>
              <w:right w:val="single" w:sz="4" w:space="0" w:color="auto"/>
            </w:tcBorders>
            <w:vAlign w:val="center"/>
            <w:hideMark/>
          </w:tcPr>
          <w:p w14:paraId="3B03EF25"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9640</w:t>
            </w:r>
          </w:p>
        </w:tc>
        <w:tc>
          <w:tcPr>
            <w:tcW w:w="837" w:type="dxa"/>
            <w:tcBorders>
              <w:top w:val="nil"/>
              <w:left w:val="nil"/>
              <w:bottom w:val="single" w:sz="4" w:space="0" w:color="auto"/>
              <w:right w:val="single" w:sz="4" w:space="0" w:color="auto"/>
            </w:tcBorders>
            <w:vAlign w:val="center"/>
            <w:hideMark/>
          </w:tcPr>
          <w:p w14:paraId="20FA4518"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11047</w:t>
            </w:r>
          </w:p>
        </w:tc>
        <w:tc>
          <w:tcPr>
            <w:tcW w:w="838" w:type="dxa"/>
            <w:tcBorders>
              <w:top w:val="nil"/>
              <w:left w:val="nil"/>
              <w:bottom w:val="single" w:sz="4" w:space="0" w:color="auto"/>
              <w:right w:val="single" w:sz="4" w:space="0" w:color="auto"/>
            </w:tcBorders>
            <w:vAlign w:val="center"/>
            <w:hideMark/>
          </w:tcPr>
          <w:p w14:paraId="3C397DB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12656</w:t>
            </w:r>
          </w:p>
        </w:tc>
        <w:tc>
          <w:tcPr>
            <w:tcW w:w="967" w:type="dxa"/>
            <w:tcBorders>
              <w:top w:val="nil"/>
              <w:left w:val="nil"/>
              <w:bottom w:val="single" w:sz="4" w:space="0" w:color="auto"/>
              <w:right w:val="single" w:sz="4" w:space="0" w:color="auto"/>
            </w:tcBorders>
            <w:vAlign w:val="center"/>
            <w:hideMark/>
          </w:tcPr>
          <w:p w14:paraId="0498A0B6"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14475</w:t>
            </w:r>
          </w:p>
        </w:tc>
        <w:tc>
          <w:tcPr>
            <w:tcW w:w="838" w:type="dxa"/>
            <w:tcBorders>
              <w:top w:val="nil"/>
              <w:left w:val="nil"/>
              <w:bottom w:val="single" w:sz="4" w:space="0" w:color="auto"/>
              <w:right w:val="single" w:sz="4" w:space="0" w:color="auto"/>
            </w:tcBorders>
            <w:vAlign w:val="center"/>
            <w:hideMark/>
          </w:tcPr>
          <w:p w14:paraId="6E5A27AD"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16348</w:t>
            </w:r>
          </w:p>
        </w:tc>
        <w:tc>
          <w:tcPr>
            <w:tcW w:w="844" w:type="dxa"/>
            <w:tcBorders>
              <w:top w:val="nil"/>
              <w:left w:val="nil"/>
              <w:bottom w:val="single" w:sz="4" w:space="0" w:color="auto"/>
              <w:right w:val="single" w:sz="4" w:space="0" w:color="auto"/>
            </w:tcBorders>
            <w:vAlign w:val="center"/>
            <w:hideMark/>
          </w:tcPr>
          <w:p w14:paraId="13B11595"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64165</w:t>
            </w:r>
          </w:p>
        </w:tc>
      </w:tr>
      <w:tr w:rsidR="003737D4" w:rsidRPr="005069B2" w14:paraId="56EBB5EB"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0647216F"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11. Rajasthan</w:t>
            </w:r>
          </w:p>
        </w:tc>
        <w:tc>
          <w:tcPr>
            <w:tcW w:w="837" w:type="dxa"/>
            <w:tcBorders>
              <w:top w:val="nil"/>
              <w:left w:val="nil"/>
              <w:bottom w:val="single" w:sz="4" w:space="0" w:color="auto"/>
              <w:right w:val="single" w:sz="4" w:space="0" w:color="auto"/>
            </w:tcBorders>
            <w:vAlign w:val="center"/>
            <w:hideMark/>
          </w:tcPr>
          <w:p w14:paraId="71DA58F1"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5386</w:t>
            </w:r>
          </w:p>
        </w:tc>
        <w:tc>
          <w:tcPr>
            <w:tcW w:w="838" w:type="dxa"/>
            <w:tcBorders>
              <w:top w:val="nil"/>
              <w:left w:val="nil"/>
              <w:bottom w:val="single" w:sz="4" w:space="0" w:color="auto"/>
              <w:right w:val="single" w:sz="4" w:space="0" w:color="auto"/>
            </w:tcBorders>
            <w:vAlign w:val="center"/>
            <w:hideMark/>
          </w:tcPr>
          <w:p w14:paraId="6093098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5947</w:t>
            </w:r>
          </w:p>
        </w:tc>
        <w:tc>
          <w:tcPr>
            <w:tcW w:w="837" w:type="dxa"/>
            <w:tcBorders>
              <w:top w:val="nil"/>
              <w:left w:val="nil"/>
              <w:bottom w:val="single" w:sz="4" w:space="0" w:color="auto"/>
              <w:right w:val="single" w:sz="4" w:space="0" w:color="auto"/>
            </w:tcBorders>
            <w:vAlign w:val="center"/>
            <w:hideMark/>
          </w:tcPr>
          <w:p w14:paraId="03E1D3D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6550</w:t>
            </w:r>
          </w:p>
        </w:tc>
        <w:tc>
          <w:tcPr>
            <w:tcW w:w="838" w:type="dxa"/>
            <w:tcBorders>
              <w:top w:val="nil"/>
              <w:left w:val="nil"/>
              <w:bottom w:val="single" w:sz="4" w:space="0" w:color="auto"/>
              <w:right w:val="single" w:sz="4" w:space="0" w:color="auto"/>
            </w:tcBorders>
            <w:vAlign w:val="center"/>
            <w:hideMark/>
          </w:tcPr>
          <w:p w14:paraId="0989B23C"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7199</w:t>
            </w:r>
          </w:p>
        </w:tc>
        <w:tc>
          <w:tcPr>
            <w:tcW w:w="967" w:type="dxa"/>
            <w:tcBorders>
              <w:top w:val="nil"/>
              <w:left w:val="nil"/>
              <w:bottom w:val="single" w:sz="4" w:space="0" w:color="auto"/>
              <w:right w:val="single" w:sz="4" w:space="0" w:color="auto"/>
            </w:tcBorders>
            <w:vAlign w:val="center"/>
            <w:hideMark/>
          </w:tcPr>
          <w:p w14:paraId="02875F53"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7888</w:t>
            </w:r>
          </w:p>
        </w:tc>
        <w:tc>
          <w:tcPr>
            <w:tcW w:w="838" w:type="dxa"/>
            <w:tcBorders>
              <w:top w:val="nil"/>
              <w:left w:val="nil"/>
              <w:bottom w:val="single" w:sz="4" w:space="0" w:color="auto"/>
              <w:right w:val="single" w:sz="4" w:space="0" w:color="auto"/>
            </w:tcBorders>
            <w:vAlign w:val="center"/>
            <w:hideMark/>
          </w:tcPr>
          <w:p w14:paraId="1E60971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8520</w:t>
            </w:r>
          </w:p>
        </w:tc>
        <w:tc>
          <w:tcPr>
            <w:tcW w:w="844" w:type="dxa"/>
            <w:tcBorders>
              <w:top w:val="nil"/>
              <w:left w:val="nil"/>
              <w:bottom w:val="single" w:sz="4" w:space="0" w:color="auto"/>
              <w:right w:val="single" w:sz="4" w:space="0" w:color="auto"/>
            </w:tcBorders>
            <w:vAlign w:val="center"/>
            <w:hideMark/>
          </w:tcPr>
          <w:p w14:paraId="7A923AEE"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36105</w:t>
            </w:r>
          </w:p>
        </w:tc>
      </w:tr>
      <w:tr w:rsidR="003737D4" w:rsidRPr="005069B2" w14:paraId="49BD3B10"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2BAEE325"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 Tamil Nadu</w:t>
            </w:r>
          </w:p>
        </w:tc>
        <w:tc>
          <w:tcPr>
            <w:tcW w:w="837" w:type="dxa"/>
            <w:tcBorders>
              <w:top w:val="nil"/>
              <w:left w:val="nil"/>
              <w:bottom w:val="single" w:sz="4" w:space="0" w:color="auto"/>
              <w:right w:val="single" w:sz="4" w:space="0" w:color="auto"/>
            </w:tcBorders>
            <w:vAlign w:val="center"/>
            <w:hideMark/>
          </w:tcPr>
          <w:p w14:paraId="6F4CD60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23522</w:t>
            </w:r>
          </w:p>
        </w:tc>
        <w:tc>
          <w:tcPr>
            <w:tcW w:w="838" w:type="dxa"/>
            <w:tcBorders>
              <w:top w:val="nil"/>
              <w:left w:val="nil"/>
              <w:bottom w:val="single" w:sz="4" w:space="0" w:color="auto"/>
              <w:right w:val="single" w:sz="4" w:space="0" w:color="auto"/>
            </w:tcBorders>
            <w:vAlign w:val="center"/>
            <w:hideMark/>
          </w:tcPr>
          <w:p w14:paraId="71BCF28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24091</w:t>
            </w:r>
          </w:p>
        </w:tc>
        <w:tc>
          <w:tcPr>
            <w:tcW w:w="837" w:type="dxa"/>
            <w:tcBorders>
              <w:top w:val="nil"/>
              <w:left w:val="nil"/>
              <w:bottom w:val="single" w:sz="4" w:space="0" w:color="auto"/>
              <w:right w:val="single" w:sz="4" w:space="0" w:color="auto"/>
            </w:tcBorders>
            <w:vAlign w:val="center"/>
            <w:hideMark/>
          </w:tcPr>
          <w:p w14:paraId="78B2548D"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24640</w:t>
            </w:r>
          </w:p>
        </w:tc>
        <w:tc>
          <w:tcPr>
            <w:tcW w:w="838" w:type="dxa"/>
            <w:tcBorders>
              <w:top w:val="nil"/>
              <w:left w:val="nil"/>
              <w:bottom w:val="single" w:sz="4" w:space="0" w:color="auto"/>
              <w:right w:val="single" w:sz="4" w:space="0" w:color="auto"/>
            </w:tcBorders>
            <w:vAlign w:val="center"/>
            <w:hideMark/>
          </w:tcPr>
          <w:p w14:paraId="6C62A81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25165</w:t>
            </w:r>
          </w:p>
        </w:tc>
        <w:tc>
          <w:tcPr>
            <w:tcW w:w="967" w:type="dxa"/>
            <w:tcBorders>
              <w:top w:val="nil"/>
              <w:left w:val="nil"/>
              <w:bottom w:val="single" w:sz="4" w:space="0" w:color="auto"/>
              <w:right w:val="single" w:sz="4" w:space="0" w:color="auto"/>
            </w:tcBorders>
            <w:vAlign w:val="center"/>
            <w:hideMark/>
          </w:tcPr>
          <w:p w14:paraId="1FD893B1"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25614</w:t>
            </w:r>
          </w:p>
        </w:tc>
        <w:tc>
          <w:tcPr>
            <w:tcW w:w="838" w:type="dxa"/>
            <w:tcBorders>
              <w:top w:val="nil"/>
              <w:left w:val="nil"/>
              <w:bottom w:val="single" w:sz="4" w:space="0" w:color="auto"/>
              <w:right w:val="single" w:sz="4" w:space="0" w:color="auto"/>
            </w:tcBorders>
            <w:vAlign w:val="center"/>
            <w:hideMark/>
          </w:tcPr>
          <w:p w14:paraId="52A6AC7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25450</w:t>
            </w:r>
          </w:p>
        </w:tc>
        <w:tc>
          <w:tcPr>
            <w:tcW w:w="844" w:type="dxa"/>
            <w:tcBorders>
              <w:top w:val="nil"/>
              <w:left w:val="nil"/>
              <w:bottom w:val="single" w:sz="4" w:space="0" w:color="auto"/>
              <w:right w:val="single" w:sz="4" w:space="0" w:color="auto"/>
            </w:tcBorders>
            <w:vAlign w:val="center"/>
            <w:hideMark/>
          </w:tcPr>
          <w:p w14:paraId="5F332FC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124960</w:t>
            </w:r>
          </w:p>
        </w:tc>
      </w:tr>
      <w:tr w:rsidR="003737D4" w:rsidRPr="005069B2" w14:paraId="0BE9B2C4"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7B8FB71D"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13. Uttar Pradesh</w:t>
            </w:r>
          </w:p>
        </w:tc>
        <w:tc>
          <w:tcPr>
            <w:tcW w:w="837" w:type="dxa"/>
            <w:tcBorders>
              <w:top w:val="nil"/>
              <w:left w:val="nil"/>
              <w:bottom w:val="single" w:sz="4" w:space="0" w:color="auto"/>
              <w:right w:val="single" w:sz="4" w:space="0" w:color="auto"/>
            </w:tcBorders>
            <w:vAlign w:val="center"/>
            <w:hideMark/>
          </w:tcPr>
          <w:p w14:paraId="5370DFBA"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34528</w:t>
            </w:r>
          </w:p>
        </w:tc>
        <w:tc>
          <w:tcPr>
            <w:tcW w:w="838" w:type="dxa"/>
            <w:tcBorders>
              <w:top w:val="nil"/>
              <w:left w:val="nil"/>
              <w:bottom w:val="single" w:sz="4" w:space="0" w:color="auto"/>
              <w:right w:val="single" w:sz="4" w:space="0" w:color="auto"/>
            </w:tcBorders>
            <w:vAlign w:val="center"/>
            <w:hideMark/>
          </w:tcPr>
          <w:p w14:paraId="2C43B6B7"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36852</w:t>
            </w:r>
          </w:p>
        </w:tc>
        <w:tc>
          <w:tcPr>
            <w:tcW w:w="837" w:type="dxa"/>
            <w:tcBorders>
              <w:top w:val="nil"/>
              <w:left w:val="nil"/>
              <w:bottom w:val="single" w:sz="4" w:space="0" w:color="auto"/>
              <w:right w:val="single" w:sz="4" w:space="0" w:color="auto"/>
            </w:tcBorders>
            <w:vAlign w:val="center"/>
            <w:hideMark/>
          </w:tcPr>
          <w:p w14:paraId="3CC563A5"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38621</w:t>
            </w:r>
          </w:p>
        </w:tc>
        <w:tc>
          <w:tcPr>
            <w:tcW w:w="838" w:type="dxa"/>
            <w:tcBorders>
              <w:top w:val="nil"/>
              <w:left w:val="nil"/>
              <w:bottom w:val="single" w:sz="4" w:space="0" w:color="auto"/>
              <w:right w:val="single" w:sz="4" w:space="0" w:color="auto"/>
            </w:tcBorders>
            <w:vAlign w:val="center"/>
            <w:hideMark/>
          </w:tcPr>
          <w:p w14:paraId="7B8C909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40115</w:t>
            </w:r>
          </w:p>
        </w:tc>
        <w:tc>
          <w:tcPr>
            <w:tcW w:w="967" w:type="dxa"/>
            <w:tcBorders>
              <w:top w:val="nil"/>
              <w:left w:val="nil"/>
              <w:bottom w:val="single" w:sz="4" w:space="0" w:color="auto"/>
              <w:right w:val="single" w:sz="4" w:space="0" w:color="auto"/>
            </w:tcBorders>
            <w:vAlign w:val="center"/>
            <w:hideMark/>
          </w:tcPr>
          <w:p w14:paraId="5A95223D"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41333</w:t>
            </w:r>
          </w:p>
        </w:tc>
        <w:tc>
          <w:tcPr>
            <w:tcW w:w="838" w:type="dxa"/>
            <w:tcBorders>
              <w:top w:val="nil"/>
              <w:left w:val="nil"/>
              <w:bottom w:val="single" w:sz="4" w:space="0" w:color="auto"/>
              <w:right w:val="single" w:sz="4" w:space="0" w:color="auto"/>
            </w:tcBorders>
            <w:vAlign w:val="center"/>
            <w:hideMark/>
          </w:tcPr>
          <w:p w14:paraId="264F6F61"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41293</w:t>
            </w:r>
          </w:p>
        </w:tc>
        <w:tc>
          <w:tcPr>
            <w:tcW w:w="844" w:type="dxa"/>
            <w:tcBorders>
              <w:top w:val="nil"/>
              <w:left w:val="nil"/>
              <w:bottom w:val="single" w:sz="4" w:space="0" w:color="auto"/>
              <w:right w:val="single" w:sz="4" w:space="0" w:color="auto"/>
            </w:tcBorders>
            <w:vAlign w:val="center"/>
            <w:hideMark/>
          </w:tcPr>
          <w:p w14:paraId="5070A152"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198214</w:t>
            </w:r>
          </w:p>
        </w:tc>
      </w:tr>
      <w:tr w:rsidR="003737D4" w:rsidRPr="005069B2" w14:paraId="434A1061"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1F7BB2DE" w14:textId="77777777" w:rsidR="003737D4" w:rsidRPr="005069B2"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 West Bengal</w:t>
            </w:r>
          </w:p>
        </w:tc>
        <w:tc>
          <w:tcPr>
            <w:tcW w:w="837" w:type="dxa"/>
            <w:tcBorders>
              <w:top w:val="nil"/>
              <w:left w:val="nil"/>
              <w:bottom w:val="single" w:sz="4" w:space="0" w:color="auto"/>
              <w:right w:val="single" w:sz="4" w:space="0" w:color="auto"/>
            </w:tcBorders>
            <w:vAlign w:val="center"/>
            <w:hideMark/>
          </w:tcPr>
          <w:p w14:paraId="6789A1D3"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8835</w:t>
            </w:r>
          </w:p>
        </w:tc>
        <w:tc>
          <w:tcPr>
            <w:tcW w:w="838" w:type="dxa"/>
            <w:tcBorders>
              <w:top w:val="nil"/>
              <w:left w:val="nil"/>
              <w:bottom w:val="single" w:sz="4" w:space="0" w:color="auto"/>
              <w:right w:val="single" w:sz="4" w:space="0" w:color="auto"/>
            </w:tcBorders>
            <w:vAlign w:val="center"/>
            <w:hideMark/>
          </w:tcPr>
          <w:p w14:paraId="2611F7D1"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10330</w:t>
            </w:r>
          </w:p>
        </w:tc>
        <w:tc>
          <w:tcPr>
            <w:tcW w:w="837" w:type="dxa"/>
            <w:tcBorders>
              <w:top w:val="nil"/>
              <w:left w:val="nil"/>
              <w:bottom w:val="single" w:sz="4" w:space="0" w:color="auto"/>
              <w:right w:val="single" w:sz="4" w:space="0" w:color="auto"/>
            </w:tcBorders>
            <w:vAlign w:val="center"/>
            <w:hideMark/>
          </w:tcPr>
          <w:p w14:paraId="1A5CD070"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12056</w:t>
            </w:r>
          </w:p>
        </w:tc>
        <w:tc>
          <w:tcPr>
            <w:tcW w:w="838" w:type="dxa"/>
            <w:tcBorders>
              <w:top w:val="nil"/>
              <w:left w:val="nil"/>
              <w:bottom w:val="single" w:sz="4" w:space="0" w:color="auto"/>
              <w:right w:val="single" w:sz="4" w:space="0" w:color="auto"/>
            </w:tcBorders>
            <w:vAlign w:val="center"/>
            <w:hideMark/>
          </w:tcPr>
          <w:p w14:paraId="75B5256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14044</w:t>
            </w:r>
          </w:p>
        </w:tc>
        <w:tc>
          <w:tcPr>
            <w:tcW w:w="967" w:type="dxa"/>
            <w:tcBorders>
              <w:top w:val="nil"/>
              <w:left w:val="nil"/>
              <w:bottom w:val="single" w:sz="4" w:space="0" w:color="auto"/>
              <w:right w:val="single" w:sz="4" w:space="0" w:color="auto"/>
            </w:tcBorders>
            <w:vAlign w:val="center"/>
            <w:hideMark/>
          </w:tcPr>
          <w:p w14:paraId="41692D59"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16280</w:t>
            </w:r>
          </w:p>
        </w:tc>
        <w:tc>
          <w:tcPr>
            <w:tcW w:w="838" w:type="dxa"/>
            <w:tcBorders>
              <w:top w:val="nil"/>
              <w:left w:val="nil"/>
              <w:bottom w:val="single" w:sz="4" w:space="0" w:color="auto"/>
              <w:right w:val="single" w:sz="4" w:space="0" w:color="auto"/>
            </w:tcBorders>
            <w:vAlign w:val="center"/>
            <w:hideMark/>
          </w:tcPr>
          <w:p w14:paraId="7AFD8113"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18221</w:t>
            </w:r>
          </w:p>
        </w:tc>
        <w:tc>
          <w:tcPr>
            <w:tcW w:w="844" w:type="dxa"/>
            <w:tcBorders>
              <w:top w:val="nil"/>
              <w:left w:val="nil"/>
              <w:bottom w:val="single" w:sz="4" w:space="0" w:color="auto"/>
              <w:right w:val="single" w:sz="4" w:space="0" w:color="auto"/>
            </w:tcBorders>
            <w:vAlign w:val="center"/>
            <w:hideMark/>
          </w:tcPr>
          <w:p w14:paraId="6A4DBC9F" w14:textId="77777777" w:rsidR="003737D4" w:rsidRPr="005069B2"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5069B2">
              <w:rPr>
                <w:rFonts w:ascii="Times New Roman" w:eastAsia="Times New Roman" w:hAnsi="Times New Roman" w:cs="Times New Roman"/>
                <w:color w:val="000000"/>
                <w:kern w:val="0"/>
                <w:sz w:val="16"/>
                <w:szCs w:val="16"/>
                <w:lang w:eastAsia="en-IN" w:bidi="ar-SA"/>
                <w14:ligatures w14:val="none"/>
              </w:rPr>
              <w:t>70930</w:t>
            </w:r>
          </w:p>
        </w:tc>
      </w:tr>
      <w:tr w:rsidR="003737D4" w:rsidRPr="005069B2" w14:paraId="41917565" w14:textId="77777777" w:rsidTr="00DD5250">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0B63334E" w14:textId="77777777" w:rsidR="003737D4" w:rsidRPr="005069B2"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14 Major States</w:t>
            </w:r>
          </w:p>
        </w:tc>
        <w:tc>
          <w:tcPr>
            <w:tcW w:w="837" w:type="dxa"/>
            <w:tcBorders>
              <w:top w:val="nil"/>
              <w:left w:val="nil"/>
              <w:bottom w:val="single" w:sz="4" w:space="0" w:color="auto"/>
              <w:right w:val="single" w:sz="4" w:space="0" w:color="auto"/>
            </w:tcBorders>
            <w:vAlign w:val="center"/>
            <w:hideMark/>
          </w:tcPr>
          <w:p w14:paraId="77B3F78C"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173102</w:t>
            </w:r>
          </w:p>
        </w:tc>
        <w:tc>
          <w:tcPr>
            <w:tcW w:w="838" w:type="dxa"/>
            <w:tcBorders>
              <w:top w:val="nil"/>
              <w:left w:val="nil"/>
              <w:bottom w:val="single" w:sz="4" w:space="0" w:color="auto"/>
              <w:right w:val="single" w:sz="4" w:space="0" w:color="auto"/>
            </w:tcBorders>
            <w:vAlign w:val="center"/>
            <w:hideMark/>
          </w:tcPr>
          <w:p w14:paraId="4E2CA940"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186314</w:t>
            </w:r>
          </w:p>
        </w:tc>
        <w:tc>
          <w:tcPr>
            <w:tcW w:w="837" w:type="dxa"/>
            <w:tcBorders>
              <w:top w:val="nil"/>
              <w:left w:val="nil"/>
              <w:bottom w:val="single" w:sz="4" w:space="0" w:color="auto"/>
              <w:right w:val="single" w:sz="4" w:space="0" w:color="auto"/>
            </w:tcBorders>
            <w:vAlign w:val="center"/>
            <w:hideMark/>
          </w:tcPr>
          <w:p w14:paraId="2265CB9A"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199854</w:t>
            </w:r>
          </w:p>
        </w:tc>
        <w:tc>
          <w:tcPr>
            <w:tcW w:w="838" w:type="dxa"/>
            <w:tcBorders>
              <w:top w:val="nil"/>
              <w:left w:val="nil"/>
              <w:bottom w:val="single" w:sz="4" w:space="0" w:color="auto"/>
              <w:right w:val="single" w:sz="4" w:space="0" w:color="auto"/>
            </w:tcBorders>
            <w:vAlign w:val="center"/>
            <w:hideMark/>
          </w:tcPr>
          <w:p w14:paraId="36409422"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214103</w:t>
            </w:r>
          </w:p>
        </w:tc>
        <w:tc>
          <w:tcPr>
            <w:tcW w:w="967" w:type="dxa"/>
            <w:tcBorders>
              <w:top w:val="nil"/>
              <w:left w:val="nil"/>
              <w:bottom w:val="single" w:sz="4" w:space="0" w:color="auto"/>
              <w:right w:val="single" w:sz="4" w:space="0" w:color="auto"/>
            </w:tcBorders>
            <w:vAlign w:val="center"/>
            <w:hideMark/>
          </w:tcPr>
          <w:p w14:paraId="667FB73D"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228917</w:t>
            </w:r>
          </w:p>
        </w:tc>
        <w:tc>
          <w:tcPr>
            <w:tcW w:w="838" w:type="dxa"/>
            <w:tcBorders>
              <w:top w:val="nil"/>
              <w:left w:val="nil"/>
              <w:bottom w:val="single" w:sz="4" w:space="0" w:color="auto"/>
              <w:right w:val="single" w:sz="4" w:space="0" w:color="auto"/>
            </w:tcBorders>
            <w:vAlign w:val="center"/>
            <w:hideMark/>
          </w:tcPr>
          <w:p w14:paraId="4CA585A9"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241101</w:t>
            </w:r>
          </w:p>
        </w:tc>
        <w:tc>
          <w:tcPr>
            <w:tcW w:w="844" w:type="dxa"/>
            <w:tcBorders>
              <w:top w:val="nil"/>
              <w:left w:val="nil"/>
              <w:bottom w:val="single" w:sz="4" w:space="0" w:color="auto"/>
              <w:right w:val="single" w:sz="4" w:space="0" w:color="auto"/>
            </w:tcBorders>
            <w:vAlign w:val="center"/>
            <w:hideMark/>
          </w:tcPr>
          <w:p w14:paraId="050590D2" w14:textId="77777777" w:rsidR="003737D4" w:rsidRPr="005069B2"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5069B2">
              <w:rPr>
                <w:rFonts w:ascii="Times New Roman" w:eastAsia="Times New Roman" w:hAnsi="Times New Roman" w:cs="Times New Roman"/>
                <w:b/>
                <w:bCs/>
                <w:color w:val="000000"/>
                <w:kern w:val="0"/>
                <w:sz w:val="16"/>
                <w:szCs w:val="16"/>
                <w:lang w:eastAsia="en-IN" w:bidi="ar-SA"/>
                <w14:ligatures w14:val="none"/>
              </w:rPr>
              <w:t>1070290</w:t>
            </w:r>
          </w:p>
        </w:tc>
      </w:tr>
    </w:tbl>
    <w:p w14:paraId="5C3BC17E" w14:textId="477A151C" w:rsidR="00294D85" w:rsidRDefault="00294D85" w:rsidP="00641D39">
      <w:pPr>
        <w:tabs>
          <w:tab w:val="left" w:pos="2805"/>
        </w:tabs>
        <w:spacing w:after="0" w:line="240" w:lineRule="auto"/>
        <w:jc w:val="center"/>
        <w:rPr>
          <w:rFonts w:ascii="Times New Roman" w:hAnsi="Times New Roman" w:cs="Times New Roman"/>
          <w:b/>
          <w:bCs/>
          <w:sz w:val="20"/>
          <w:szCs w:val="20"/>
        </w:rPr>
      </w:pPr>
      <w:r w:rsidRPr="003737D4">
        <w:rPr>
          <w:rFonts w:ascii="Times New Roman" w:hAnsi="Times New Roman" w:cs="Times New Roman"/>
          <w:b/>
          <w:bCs/>
          <w:sz w:val="20"/>
          <w:szCs w:val="20"/>
        </w:rPr>
        <w:t>Revenue Category: Entertainment Tax</w:t>
      </w:r>
    </w:p>
    <w:p w14:paraId="7840DCE5" w14:textId="03495343" w:rsidR="00641D39" w:rsidRDefault="00641D39" w:rsidP="00641D39">
      <w:pPr>
        <w:spacing w:after="0" w:line="240" w:lineRule="auto"/>
        <w:ind w:left="7200" w:firstLine="720"/>
        <w:rPr>
          <w:rFonts w:ascii="Times New Roman" w:hAnsi="Times New Roman" w:cs="Times New Roman"/>
          <w:b/>
          <w:bCs/>
          <w:sz w:val="20"/>
          <w:szCs w:val="20"/>
        </w:rPr>
      </w:pPr>
      <w:r w:rsidRPr="003737D4">
        <w:rPr>
          <w:rFonts w:ascii="Times New Roman" w:hAnsi="Times New Roman" w:cs="Times New Roman"/>
          <w:i/>
          <w:iCs/>
          <w:sz w:val="18"/>
          <w:szCs w:val="18"/>
        </w:rPr>
        <w:t>(Rs. Lakh</w:t>
      </w:r>
      <w:r w:rsidRPr="003737D4">
        <w:rPr>
          <w:rFonts w:ascii="Times New Roman" w:hAnsi="Times New Roman" w:cs="Times New Roman"/>
          <w:i/>
          <w:iCs/>
          <w:szCs w:val="24"/>
        </w:rPr>
        <w:t>)</w:t>
      </w:r>
    </w:p>
    <w:tbl>
      <w:tblPr>
        <w:tblW w:w="7377" w:type="dxa"/>
        <w:jc w:val="center"/>
        <w:tblLook w:val="04A0" w:firstRow="1" w:lastRow="0" w:firstColumn="1" w:lastColumn="0" w:noHBand="0" w:noVBand="1"/>
      </w:tblPr>
      <w:tblGrid>
        <w:gridCol w:w="1560"/>
        <w:gridCol w:w="850"/>
        <w:gridCol w:w="882"/>
        <w:gridCol w:w="775"/>
        <w:gridCol w:w="812"/>
        <w:gridCol w:w="821"/>
        <w:gridCol w:w="832"/>
        <w:gridCol w:w="845"/>
      </w:tblGrid>
      <w:tr w:rsidR="00641D39" w:rsidRPr="00641D39" w14:paraId="361125BE" w14:textId="77777777" w:rsidTr="00641D39">
        <w:trPr>
          <w:trHeight w:val="20"/>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789C6A7" w14:textId="77777777" w:rsidR="003737D4" w:rsidRPr="00641D39"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State</w:t>
            </w:r>
          </w:p>
        </w:tc>
        <w:tc>
          <w:tcPr>
            <w:tcW w:w="850" w:type="dxa"/>
            <w:tcBorders>
              <w:top w:val="single" w:sz="4" w:space="0" w:color="auto"/>
              <w:left w:val="nil"/>
              <w:bottom w:val="single" w:sz="4" w:space="0" w:color="auto"/>
              <w:right w:val="single" w:sz="4" w:space="0" w:color="auto"/>
            </w:tcBorders>
            <w:vAlign w:val="center"/>
            <w:hideMark/>
          </w:tcPr>
          <w:p w14:paraId="6B96C30A"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1989-90</w:t>
            </w:r>
          </w:p>
        </w:tc>
        <w:tc>
          <w:tcPr>
            <w:tcW w:w="882" w:type="dxa"/>
            <w:tcBorders>
              <w:top w:val="single" w:sz="4" w:space="0" w:color="auto"/>
              <w:left w:val="nil"/>
              <w:bottom w:val="single" w:sz="4" w:space="0" w:color="auto"/>
              <w:right w:val="single" w:sz="4" w:space="0" w:color="auto"/>
            </w:tcBorders>
            <w:vAlign w:val="center"/>
            <w:hideMark/>
          </w:tcPr>
          <w:p w14:paraId="11C556B0"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1990-91</w:t>
            </w:r>
          </w:p>
        </w:tc>
        <w:tc>
          <w:tcPr>
            <w:tcW w:w="775" w:type="dxa"/>
            <w:tcBorders>
              <w:top w:val="single" w:sz="4" w:space="0" w:color="auto"/>
              <w:left w:val="nil"/>
              <w:bottom w:val="single" w:sz="4" w:space="0" w:color="auto"/>
              <w:right w:val="single" w:sz="4" w:space="0" w:color="auto"/>
            </w:tcBorders>
            <w:vAlign w:val="center"/>
            <w:hideMark/>
          </w:tcPr>
          <w:p w14:paraId="5A9B61BF"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1991-92</w:t>
            </w:r>
          </w:p>
        </w:tc>
        <w:tc>
          <w:tcPr>
            <w:tcW w:w="812" w:type="dxa"/>
            <w:tcBorders>
              <w:top w:val="single" w:sz="4" w:space="0" w:color="auto"/>
              <w:left w:val="nil"/>
              <w:bottom w:val="single" w:sz="4" w:space="0" w:color="auto"/>
              <w:right w:val="single" w:sz="4" w:space="0" w:color="auto"/>
            </w:tcBorders>
            <w:vAlign w:val="center"/>
            <w:hideMark/>
          </w:tcPr>
          <w:p w14:paraId="1601C4FD"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1992-93</w:t>
            </w:r>
          </w:p>
        </w:tc>
        <w:tc>
          <w:tcPr>
            <w:tcW w:w="821" w:type="dxa"/>
            <w:tcBorders>
              <w:top w:val="single" w:sz="4" w:space="0" w:color="auto"/>
              <w:left w:val="nil"/>
              <w:bottom w:val="single" w:sz="4" w:space="0" w:color="auto"/>
              <w:right w:val="single" w:sz="4" w:space="0" w:color="auto"/>
            </w:tcBorders>
            <w:vAlign w:val="center"/>
            <w:hideMark/>
          </w:tcPr>
          <w:p w14:paraId="5CEEE743"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1993-94</w:t>
            </w:r>
          </w:p>
        </w:tc>
        <w:tc>
          <w:tcPr>
            <w:tcW w:w="832" w:type="dxa"/>
            <w:tcBorders>
              <w:top w:val="single" w:sz="4" w:space="0" w:color="auto"/>
              <w:left w:val="nil"/>
              <w:bottom w:val="single" w:sz="4" w:space="0" w:color="auto"/>
              <w:right w:val="single" w:sz="4" w:space="0" w:color="auto"/>
            </w:tcBorders>
            <w:vAlign w:val="center"/>
            <w:hideMark/>
          </w:tcPr>
          <w:p w14:paraId="542AEEDF"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1994-95</w:t>
            </w:r>
          </w:p>
        </w:tc>
        <w:tc>
          <w:tcPr>
            <w:tcW w:w="845" w:type="dxa"/>
            <w:tcBorders>
              <w:top w:val="single" w:sz="4" w:space="0" w:color="auto"/>
              <w:left w:val="nil"/>
              <w:bottom w:val="single" w:sz="4" w:space="0" w:color="auto"/>
              <w:right w:val="single" w:sz="4" w:space="0" w:color="auto"/>
            </w:tcBorders>
            <w:vAlign w:val="center"/>
            <w:hideMark/>
          </w:tcPr>
          <w:p w14:paraId="0E1AD2AE"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Total</w:t>
            </w:r>
          </w:p>
        </w:tc>
      </w:tr>
      <w:tr w:rsidR="00641D39" w:rsidRPr="00641D39" w14:paraId="5ABC4022" w14:textId="77777777" w:rsidTr="00641D39">
        <w:trPr>
          <w:trHeight w:val="2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E1BD45"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50" w:type="dxa"/>
            <w:tcBorders>
              <w:top w:val="nil"/>
              <w:left w:val="nil"/>
              <w:bottom w:val="single" w:sz="4" w:space="0" w:color="auto"/>
              <w:right w:val="single" w:sz="4" w:space="0" w:color="auto"/>
            </w:tcBorders>
            <w:vAlign w:val="center"/>
            <w:hideMark/>
          </w:tcPr>
          <w:p w14:paraId="5126D256" w14:textId="76761FF5"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882" w:type="dxa"/>
            <w:tcBorders>
              <w:top w:val="nil"/>
              <w:left w:val="nil"/>
              <w:bottom w:val="single" w:sz="4" w:space="0" w:color="auto"/>
              <w:right w:val="single" w:sz="4" w:space="0" w:color="auto"/>
            </w:tcBorders>
            <w:vAlign w:val="center"/>
            <w:hideMark/>
          </w:tcPr>
          <w:p w14:paraId="59601804" w14:textId="33EA2C48"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775" w:type="dxa"/>
            <w:tcBorders>
              <w:top w:val="nil"/>
              <w:left w:val="nil"/>
              <w:bottom w:val="single" w:sz="4" w:space="0" w:color="auto"/>
              <w:right w:val="single" w:sz="4" w:space="0" w:color="auto"/>
            </w:tcBorders>
            <w:vAlign w:val="center"/>
            <w:hideMark/>
          </w:tcPr>
          <w:p w14:paraId="56862512" w14:textId="6B7C8C0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812" w:type="dxa"/>
            <w:tcBorders>
              <w:top w:val="nil"/>
              <w:left w:val="nil"/>
              <w:bottom w:val="single" w:sz="4" w:space="0" w:color="auto"/>
              <w:right w:val="single" w:sz="4" w:space="0" w:color="auto"/>
            </w:tcBorders>
            <w:vAlign w:val="center"/>
            <w:hideMark/>
          </w:tcPr>
          <w:p w14:paraId="734918A6" w14:textId="4C665048"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821" w:type="dxa"/>
            <w:tcBorders>
              <w:top w:val="nil"/>
              <w:left w:val="nil"/>
              <w:bottom w:val="single" w:sz="4" w:space="0" w:color="auto"/>
              <w:right w:val="single" w:sz="4" w:space="0" w:color="auto"/>
            </w:tcBorders>
            <w:vAlign w:val="center"/>
            <w:hideMark/>
          </w:tcPr>
          <w:p w14:paraId="564394D6" w14:textId="298E38C0"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832" w:type="dxa"/>
            <w:tcBorders>
              <w:top w:val="nil"/>
              <w:left w:val="nil"/>
              <w:bottom w:val="single" w:sz="4" w:space="0" w:color="auto"/>
              <w:right w:val="single" w:sz="4" w:space="0" w:color="auto"/>
            </w:tcBorders>
            <w:vAlign w:val="center"/>
            <w:hideMark/>
          </w:tcPr>
          <w:p w14:paraId="79B1AB62" w14:textId="0DE418C8"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845" w:type="dxa"/>
            <w:tcBorders>
              <w:top w:val="nil"/>
              <w:left w:val="nil"/>
              <w:bottom w:val="single" w:sz="4" w:space="0" w:color="auto"/>
              <w:right w:val="single" w:sz="4" w:space="0" w:color="auto"/>
            </w:tcBorders>
            <w:vAlign w:val="center"/>
            <w:hideMark/>
          </w:tcPr>
          <w:p w14:paraId="3008C00B" w14:textId="06D4C7EA"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641D39" w:rsidRPr="00641D39" w14:paraId="156B64AD"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02F545E7"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 Andhra Pradesh</w:t>
            </w:r>
          </w:p>
        </w:tc>
        <w:tc>
          <w:tcPr>
            <w:tcW w:w="850" w:type="dxa"/>
            <w:tcBorders>
              <w:top w:val="nil"/>
              <w:left w:val="nil"/>
              <w:bottom w:val="single" w:sz="4" w:space="0" w:color="auto"/>
              <w:right w:val="single" w:sz="4" w:space="0" w:color="auto"/>
            </w:tcBorders>
            <w:vAlign w:val="center"/>
            <w:hideMark/>
          </w:tcPr>
          <w:p w14:paraId="16875176"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5871</w:t>
            </w:r>
          </w:p>
        </w:tc>
        <w:tc>
          <w:tcPr>
            <w:tcW w:w="882" w:type="dxa"/>
            <w:tcBorders>
              <w:top w:val="nil"/>
              <w:left w:val="nil"/>
              <w:bottom w:val="single" w:sz="4" w:space="0" w:color="auto"/>
              <w:right w:val="single" w:sz="4" w:space="0" w:color="auto"/>
            </w:tcBorders>
            <w:vAlign w:val="center"/>
            <w:hideMark/>
          </w:tcPr>
          <w:p w14:paraId="604CEB9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6592</w:t>
            </w:r>
          </w:p>
        </w:tc>
        <w:tc>
          <w:tcPr>
            <w:tcW w:w="775" w:type="dxa"/>
            <w:tcBorders>
              <w:top w:val="nil"/>
              <w:left w:val="nil"/>
              <w:bottom w:val="single" w:sz="4" w:space="0" w:color="auto"/>
              <w:right w:val="single" w:sz="4" w:space="0" w:color="auto"/>
            </w:tcBorders>
            <w:vAlign w:val="center"/>
            <w:hideMark/>
          </w:tcPr>
          <w:p w14:paraId="01F6FAE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7395</w:t>
            </w:r>
          </w:p>
        </w:tc>
        <w:tc>
          <w:tcPr>
            <w:tcW w:w="812" w:type="dxa"/>
            <w:tcBorders>
              <w:top w:val="nil"/>
              <w:left w:val="nil"/>
              <w:bottom w:val="single" w:sz="4" w:space="0" w:color="auto"/>
              <w:right w:val="single" w:sz="4" w:space="0" w:color="auto"/>
            </w:tcBorders>
            <w:vAlign w:val="center"/>
            <w:hideMark/>
          </w:tcPr>
          <w:p w14:paraId="7B03BA0B"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8285</w:t>
            </w:r>
          </w:p>
        </w:tc>
        <w:tc>
          <w:tcPr>
            <w:tcW w:w="821" w:type="dxa"/>
            <w:tcBorders>
              <w:top w:val="nil"/>
              <w:left w:val="nil"/>
              <w:bottom w:val="single" w:sz="4" w:space="0" w:color="auto"/>
              <w:right w:val="single" w:sz="4" w:space="0" w:color="auto"/>
            </w:tcBorders>
            <w:vAlign w:val="center"/>
            <w:hideMark/>
          </w:tcPr>
          <w:p w14:paraId="5905213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9269</w:t>
            </w:r>
          </w:p>
        </w:tc>
        <w:tc>
          <w:tcPr>
            <w:tcW w:w="832" w:type="dxa"/>
            <w:tcBorders>
              <w:top w:val="nil"/>
              <w:left w:val="nil"/>
              <w:bottom w:val="single" w:sz="4" w:space="0" w:color="auto"/>
              <w:right w:val="single" w:sz="4" w:space="0" w:color="auto"/>
            </w:tcBorders>
            <w:vAlign w:val="center"/>
            <w:hideMark/>
          </w:tcPr>
          <w:p w14:paraId="34D76CFB"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10353</w:t>
            </w:r>
          </w:p>
        </w:tc>
        <w:tc>
          <w:tcPr>
            <w:tcW w:w="845" w:type="dxa"/>
            <w:tcBorders>
              <w:top w:val="nil"/>
              <w:left w:val="nil"/>
              <w:bottom w:val="single" w:sz="4" w:space="0" w:color="auto"/>
              <w:right w:val="single" w:sz="4" w:space="0" w:color="auto"/>
            </w:tcBorders>
            <w:vAlign w:val="center"/>
            <w:hideMark/>
          </w:tcPr>
          <w:p w14:paraId="477CAFA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41894</w:t>
            </w:r>
          </w:p>
        </w:tc>
      </w:tr>
      <w:tr w:rsidR="00641D39" w:rsidRPr="00641D39" w14:paraId="44E47C43"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5401ED81"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 Bihar</w:t>
            </w:r>
          </w:p>
        </w:tc>
        <w:tc>
          <w:tcPr>
            <w:tcW w:w="850" w:type="dxa"/>
            <w:tcBorders>
              <w:top w:val="nil"/>
              <w:left w:val="nil"/>
              <w:bottom w:val="single" w:sz="4" w:space="0" w:color="auto"/>
              <w:right w:val="single" w:sz="4" w:space="0" w:color="auto"/>
            </w:tcBorders>
            <w:vAlign w:val="center"/>
            <w:hideMark/>
          </w:tcPr>
          <w:p w14:paraId="6901519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72A404F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w:t>
            </w:r>
          </w:p>
        </w:tc>
        <w:tc>
          <w:tcPr>
            <w:tcW w:w="775" w:type="dxa"/>
            <w:tcBorders>
              <w:top w:val="nil"/>
              <w:left w:val="nil"/>
              <w:bottom w:val="single" w:sz="4" w:space="0" w:color="auto"/>
              <w:right w:val="single" w:sz="4" w:space="0" w:color="auto"/>
            </w:tcBorders>
            <w:vAlign w:val="center"/>
            <w:hideMark/>
          </w:tcPr>
          <w:p w14:paraId="196056C6"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w:t>
            </w:r>
          </w:p>
        </w:tc>
        <w:tc>
          <w:tcPr>
            <w:tcW w:w="812" w:type="dxa"/>
            <w:tcBorders>
              <w:top w:val="nil"/>
              <w:left w:val="nil"/>
              <w:bottom w:val="single" w:sz="4" w:space="0" w:color="auto"/>
              <w:right w:val="single" w:sz="4" w:space="0" w:color="auto"/>
            </w:tcBorders>
            <w:vAlign w:val="center"/>
            <w:hideMark/>
          </w:tcPr>
          <w:p w14:paraId="1FED9CF5"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35</w:t>
            </w:r>
          </w:p>
        </w:tc>
        <w:tc>
          <w:tcPr>
            <w:tcW w:w="821" w:type="dxa"/>
            <w:tcBorders>
              <w:top w:val="nil"/>
              <w:left w:val="nil"/>
              <w:bottom w:val="single" w:sz="4" w:space="0" w:color="auto"/>
              <w:right w:val="single" w:sz="4" w:space="0" w:color="auto"/>
            </w:tcBorders>
            <w:vAlign w:val="center"/>
            <w:hideMark/>
          </w:tcPr>
          <w:p w14:paraId="79AB313A"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306</w:t>
            </w:r>
          </w:p>
        </w:tc>
        <w:tc>
          <w:tcPr>
            <w:tcW w:w="832" w:type="dxa"/>
            <w:tcBorders>
              <w:top w:val="nil"/>
              <w:left w:val="nil"/>
              <w:bottom w:val="single" w:sz="4" w:space="0" w:color="auto"/>
              <w:right w:val="single" w:sz="4" w:space="0" w:color="auto"/>
            </w:tcBorders>
            <w:vAlign w:val="center"/>
            <w:hideMark/>
          </w:tcPr>
          <w:p w14:paraId="378C703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2652</w:t>
            </w:r>
          </w:p>
        </w:tc>
        <w:tc>
          <w:tcPr>
            <w:tcW w:w="845" w:type="dxa"/>
            <w:tcBorders>
              <w:top w:val="nil"/>
              <w:left w:val="nil"/>
              <w:bottom w:val="single" w:sz="4" w:space="0" w:color="auto"/>
              <w:right w:val="single" w:sz="4" w:space="0" w:color="auto"/>
            </w:tcBorders>
            <w:vAlign w:val="center"/>
            <w:hideMark/>
          </w:tcPr>
          <w:p w14:paraId="21B8AD7E"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2998</w:t>
            </w:r>
          </w:p>
        </w:tc>
      </w:tr>
      <w:tr w:rsidR="00641D39" w:rsidRPr="00641D39" w14:paraId="3B3B0959"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0C7FE6BE"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 Gujarat</w:t>
            </w:r>
          </w:p>
        </w:tc>
        <w:tc>
          <w:tcPr>
            <w:tcW w:w="850" w:type="dxa"/>
            <w:tcBorders>
              <w:top w:val="nil"/>
              <w:left w:val="nil"/>
              <w:bottom w:val="single" w:sz="4" w:space="0" w:color="auto"/>
              <w:right w:val="single" w:sz="4" w:space="0" w:color="auto"/>
            </w:tcBorders>
            <w:vAlign w:val="center"/>
            <w:hideMark/>
          </w:tcPr>
          <w:p w14:paraId="21C3B6AE"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6C43F8C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775" w:type="dxa"/>
            <w:tcBorders>
              <w:top w:val="nil"/>
              <w:left w:val="nil"/>
              <w:bottom w:val="single" w:sz="4" w:space="0" w:color="auto"/>
              <w:right w:val="single" w:sz="4" w:space="0" w:color="auto"/>
            </w:tcBorders>
            <w:vAlign w:val="center"/>
            <w:hideMark/>
          </w:tcPr>
          <w:p w14:paraId="06AB62F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w:t>
            </w:r>
          </w:p>
        </w:tc>
        <w:tc>
          <w:tcPr>
            <w:tcW w:w="812" w:type="dxa"/>
            <w:tcBorders>
              <w:top w:val="nil"/>
              <w:left w:val="nil"/>
              <w:bottom w:val="single" w:sz="4" w:space="0" w:color="auto"/>
              <w:right w:val="single" w:sz="4" w:space="0" w:color="auto"/>
            </w:tcBorders>
            <w:vAlign w:val="center"/>
            <w:hideMark/>
          </w:tcPr>
          <w:p w14:paraId="77FFE5E8"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78</w:t>
            </w:r>
          </w:p>
        </w:tc>
        <w:tc>
          <w:tcPr>
            <w:tcW w:w="821" w:type="dxa"/>
            <w:tcBorders>
              <w:top w:val="nil"/>
              <w:left w:val="nil"/>
              <w:bottom w:val="single" w:sz="4" w:space="0" w:color="auto"/>
              <w:right w:val="single" w:sz="4" w:space="0" w:color="auto"/>
            </w:tcBorders>
            <w:vAlign w:val="center"/>
            <w:hideMark/>
          </w:tcPr>
          <w:p w14:paraId="2F23E91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890</w:t>
            </w:r>
          </w:p>
        </w:tc>
        <w:tc>
          <w:tcPr>
            <w:tcW w:w="832" w:type="dxa"/>
            <w:tcBorders>
              <w:top w:val="nil"/>
              <w:left w:val="nil"/>
              <w:bottom w:val="single" w:sz="4" w:space="0" w:color="auto"/>
              <w:right w:val="single" w:sz="4" w:space="0" w:color="auto"/>
            </w:tcBorders>
            <w:vAlign w:val="center"/>
            <w:hideMark/>
          </w:tcPr>
          <w:p w14:paraId="0FB31D36"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9896</w:t>
            </w:r>
          </w:p>
        </w:tc>
        <w:tc>
          <w:tcPr>
            <w:tcW w:w="845" w:type="dxa"/>
            <w:tcBorders>
              <w:top w:val="nil"/>
              <w:left w:val="nil"/>
              <w:bottom w:val="single" w:sz="4" w:space="0" w:color="auto"/>
              <w:right w:val="single" w:sz="4" w:space="0" w:color="auto"/>
            </w:tcBorders>
            <w:vAlign w:val="center"/>
            <w:hideMark/>
          </w:tcPr>
          <w:p w14:paraId="65745703"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10871</w:t>
            </w:r>
          </w:p>
        </w:tc>
      </w:tr>
      <w:tr w:rsidR="00641D39" w:rsidRPr="00641D39" w14:paraId="743F1FEB"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62E26D74"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 Haryana</w:t>
            </w:r>
          </w:p>
        </w:tc>
        <w:tc>
          <w:tcPr>
            <w:tcW w:w="850" w:type="dxa"/>
            <w:tcBorders>
              <w:top w:val="nil"/>
              <w:left w:val="nil"/>
              <w:bottom w:val="single" w:sz="4" w:space="0" w:color="auto"/>
              <w:right w:val="single" w:sz="4" w:space="0" w:color="auto"/>
            </w:tcBorders>
            <w:vAlign w:val="center"/>
            <w:hideMark/>
          </w:tcPr>
          <w:p w14:paraId="238DD7FB"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999</w:t>
            </w:r>
          </w:p>
        </w:tc>
        <w:tc>
          <w:tcPr>
            <w:tcW w:w="882" w:type="dxa"/>
            <w:tcBorders>
              <w:top w:val="nil"/>
              <w:left w:val="nil"/>
              <w:bottom w:val="single" w:sz="4" w:space="0" w:color="auto"/>
              <w:right w:val="single" w:sz="4" w:space="0" w:color="auto"/>
            </w:tcBorders>
            <w:vAlign w:val="center"/>
            <w:hideMark/>
          </w:tcPr>
          <w:p w14:paraId="13A36DA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1084</w:t>
            </w:r>
          </w:p>
        </w:tc>
        <w:tc>
          <w:tcPr>
            <w:tcW w:w="775" w:type="dxa"/>
            <w:tcBorders>
              <w:top w:val="nil"/>
              <w:left w:val="nil"/>
              <w:bottom w:val="single" w:sz="4" w:space="0" w:color="auto"/>
              <w:right w:val="single" w:sz="4" w:space="0" w:color="auto"/>
            </w:tcBorders>
            <w:vAlign w:val="center"/>
            <w:hideMark/>
          </w:tcPr>
          <w:p w14:paraId="7FB3A09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1176</w:t>
            </w:r>
          </w:p>
        </w:tc>
        <w:tc>
          <w:tcPr>
            <w:tcW w:w="812" w:type="dxa"/>
            <w:tcBorders>
              <w:top w:val="nil"/>
              <w:left w:val="nil"/>
              <w:bottom w:val="single" w:sz="4" w:space="0" w:color="auto"/>
              <w:right w:val="single" w:sz="4" w:space="0" w:color="auto"/>
            </w:tcBorders>
            <w:vAlign w:val="center"/>
            <w:hideMark/>
          </w:tcPr>
          <w:p w14:paraId="2924049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1275</w:t>
            </w:r>
          </w:p>
        </w:tc>
        <w:tc>
          <w:tcPr>
            <w:tcW w:w="821" w:type="dxa"/>
            <w:tcBorders>
              <w:top w:val="nil"/>
              <w:left w:val="nil"/>
              <w:bottom w:val="single" w:sz="4" w:space="0" w:color="auto"/>
              <w:right w:val="single" w:sz="4" w:space="0" w:color="auto"/>
            </w:tcBorders>
            <w:vAlign w:val="center"/>
            <w:hideMark/>
          </w:tcPr>
          <w:p w14:paraId="65D1D36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1382</w:t>
            </w:r>
          </w:p>
        </w:tc>
        <w:tc>
          <w:tcPr>
            <w:tcW w:w="832" w:type="dxa"/>
            <w:tcBorders>
              <w:top w:val="nil"/>
              <w:left w:val="nil"/>
              <w:bottom w:val="single" w:sz="4" w:space="0" w:color="auto"/>
              <w:right w:val="single" w:sz="4" w:space="0" w:color="auto"/>
            </w:tcBorders>
            <w:vAlign w:val="center"/>
            <w:hideMark/>
          </w:tcPr>
          <w:p w14:paraId="3DA6E9A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1497</w:t>
            </w:r>
          </w:p>
        </w:tc>
        <w:tc>
          <w:tcPr>
            <w:tcW w:w="845" w:type="dxa"/>
            <w:tcBorders>
              <w:top w:val="nil"/>
              <w:left w:val="nil"/>
              <w:bottom w:val="single" w:sz="4" w:space="0" w:color="auto"/>
              <w:right w:val="single" w:sz="4" w:space="0" w:color="auto"/>
            </w:tcBorders>
            <w:vAlign w:val="center"/>
            <w:hideMark/>
          </w:tcPr>
          <w:p w14:paraId="475DCAE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6413</w:t>
            </w:r>
          </w:p>
        </w:tc>
      </w:tr>
      <w:tr w:rsidR="00641D39" w:rsidRPr="00641D39" w14:paraId="0FF266CA"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34B86632"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 Karnataka</w:t>
            </w:r>
          </w:p>
        </w:tc>
        <w:tc>
          <w:tcPr>
            <w:tcW w:w="850" w:type="dxa"/>
            <w:tcBorders>
              <w:top w:val="nil"/>
              <w:left w:val="nil"/>
              <w:bottom w:val="single" w:sz="4" w:space="0" w:color="auto"/>
              <w:right w:val="single" w:sz="4" w:space="0" w:color="auto"/>
            </w:tcBorders>
            <w:vAlign w:val="center"/>
            <w:hideMark/>
          </w:tcPr>
          <w:p w14:paraId="21354E5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4736</w:t>
            </w:r>
          </w:p>
        </w:tc>
        <w:tc>
          <w:tcPr>
            <w:tcW w:w="882" w:type="dxa"/>
            <w:tcBorders>
              <w:top w:val="nil"/>
              <w:left w:val="nil"/>
              <w:bottom w:val="single" w:sz="4" w:space="0" w:color="auto"/>
              <w:right w:val="single" w:sz="4" w:space="0" w:color="auto"/>
            </w:tcBorders>
            <w:vAlign w:val="center"/>
            <w:hideMark/>
          </w:tcPr>
          <w:p w14:paraId="150AAEE8"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5447</w:t>
            </w:r>
          </w:p>
        </w:tc>
        <w:tc>
          <w:tcPr>
            <w:tcW w:w="775" w:type="dxa"/>
            <w:tcBorders>
              <w:top w:val="nil"/>
              <w:left w:val="nil"/>
              <w:bottom w:val="single" w:sz="4" w:space="0" w:color="auto"/>
              <w:right w:val="single" w:sz="4" w:space="0" w:color="auto"/>
            </w:tcBorders>
            <w:vAlign w:val="center"/>
            <w:hideMark/>
          </w:tcPr>
          <w:p w14:paraId="55E4AB35"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6260</w:t>
            </w:r>
          </w:p>
        </w:tc>
        <w:tc>
          <w:tcPr>
            <w:tcW w:w="812" w:type="dxa"/>
            <w:tcBorders>
              <w:top w:val="nil"/>
              <w:left w:val="nil"/>
              <w:bottom w:val="single" w:sz="4" w:space="0" w:color="auto"/>
              <w:right w:val="single" w:sz="4" w:space="0" w:color="auto"/>
            </w:tcBorders>
            <w:vAlign w:val="center"/>
            <w:hideMark/>
          </w:tcPr>
          <w:p w14:paraId="4089018C"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7188</w:t>
            </w:r>
          </w:p>
        </w:tc>
        <w:tc>
          <w:tcPr>
            <w:tcW w:w="821" w:type="dxa"/>
            <w:tcBorders>
              <w:top w:val="nil"/>
              <w:left w:val="nil"/>
              <w:bottom w:val="single" w:sz="4" w:space="0" w:color="auto"/>
              <w:right w:val="single" w:sz="4" w:space="0" w:color="auto"/>
            </w:tcBorders>
            <w:vAlign w:val="center"/>
            <w:hideMark/>
          </w:tcPr>
          <w:p w14:paraId="630D23E9"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8247</w:t>
            </w:r>
          </w:p>
        </w:tc>
        <w:tc>
          <w:tcPr>
            <w:tcW w:w="832" w:type="dxa"/>
            <w:tcBorders>
              <w:top w:val="nil"/>
              <w:left w:val="nil"/>
              <w:bottom w:val="single" w:sz="4" w:space="0" w:color="auto"/>
              <w:right w:val="single" w:sz="4" w:space="0" w:color="auto"/>
            </w:tcBorders>
            <w:vAlign w:val="center"/>
            <w:hideMark/>
          </w:tcPr>
          <w:p w14:paraId="0A27898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9456</w:t>
            </w:r>
          </w:p>
        </w:tc>
        <w:tc>
          <w:tcPr>
            <w:tcW w:w="845" w:type="dxa"/>
            <w:tcBorders>
              <w:top w:val="nil"/>
              <w:left w:val="nil"/>
              <w:bottom w:val="single" w:sz="4" w:space="0" w:color="auto"/>
              <w:right w:val="single" w:sz="4" w:space="0" w:color="auto"/>
            </w:tcBorders>
            <w:vAlign w:val="center"/>
            <w:hideMark/>
          </w:tcPr>
          <w:p w14:paraId="29D29D89"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36598</w:t>
            </w:r>
          </w:p>
        </w:tc>
      </w:tr>
      <w:tr w:rsidR="00641D39" w:rsidRPr="00641D39" w14:paraId="50198982"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615E1AF0"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 Kerala</w:t>
            </w:r>
          </w:p>
        </w:tc>
        <w:tc>
          <w:tcPr>
            <w:tcW w:w="850" w:type="dxa"/>
            <w:tcBorders>
              <w:top w:val="nil"/>
              <w:left w:val="nil"/>
              <w:bottom w:val="single" w:sz="4" w:space="0" w:color="auto"/>
              <w:right w:val="single" w:sz="4" w:space="0" w:color="auto"/>
            </w:tcBorders>
            <w:vAlign w:val="center"/>
            <w:hideMark/>
          </w:tcPr>
          <w:p w14:paraId="723C54E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0F93364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775" w:type="dxa"/>
            <w:tcBorders>
              <w:top w:val="nil"/>
              <w:left w:val="nil"/>
              <w:bottom w:val="single" w:sz="4" w:space="0" w:color="auto"/>
              <w:right w:val="single" w:sz="4" w:space="0" w:color="auto"/>
            </w:tcBorders>
            <w:vAlign w:val="center"/>
            <w:hideMark/>
          </w:tcPr>
          <w:p w14:paraId="1D973451"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12" w:type="dxa"/>
            <w:tcBorders>
              <w:top w:val="nil"/>
              <w:left w:val="nil"/>
              <w:bottom w:val="single" w:sz="4" w:space="0" w:color="auto"/>
              <w:right w:val="single" w:sz="4" w:space="0" w:color="auto"/>
            </w:tcBorders>
            <w:vAlign w:val="center"/>
            <w:hideMark/>
          </w:tcPr>
          <w:p w14:paraId="4CBEC311"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821" w:type="dxa"/>
            <w:tcBorders>
              <w:top w:val="nil"/>
              <w:left w:val="nil"/>
              <w:bottom w:val="single" w:sz="4" w:space="0" w:color="auto"/>
              <w:right w:val="single" w:sz="4" w:space="0" w:color="auto"/>
            </w:tcBorders>
            <w:vAlign w:val="center"/>
            <w:hideMark/>
          </w:tcPr>
          <w:p w14:paraId="4D4E537E"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832" w:type="dxa"/>
            <w:tcBorders>
              <w:top w:val="nil"/>
              <w:left w:val="nil"/>
              <w:bottom w:val="single" w:sz="4" w:space="0" w:color="auto"/>
              <w:right w:val="single" w:sz="4" w:space="0" w:color="auto"/>
            </w:tcBorders>
            <w:vAlign w:val="center"/>
            <w:hideMark/>
          </w:tcPr>
          <w:p w14:paraId="50E5ED5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w:t>
            </w:r>
          </w:p>
        </w:tc>
        <w:tc>
          <w:tcPr>
            <w:tcW w:w="845" w:type="dxa"/>
            <w:tcBorders>
              <w:top w:val="nil"/>
              <w:left w:val="nil"/>
              <w:bottom w:val="single" w:sz="4" w:space="0" w:color="auto"/>
              <w:right w:val="single" w:sz="4" w:space="0" w:color="auto"/>
            </w:tcBorders>
            <w:vAlign w:val="center"/>
            <w:hideMark/>
          </w:tcPr>
          <w:p w14:paraId="1FCE803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w:t>
            </w:r>
          </w:p>
        </w:tc>
      </w:tr>
      <w:tr w:rsidR="00641D39" w:rsidRPr="00641D39" w14:paraId="5AC067EC"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7EBD1DA9"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 Madhya Pradesh</w:t>
            </w:r>
          </w:p>
        </w:tc>
        <w:tc>
          <w:tcPr>
            <w:tcW w:w="850" w:type="dxa"/>
            <w:tcBorders>
              <w:top w:val="nil"/>
              <w:left w:val="nil"/>
              <w:bottom w:val="single" w:sz="4" w:space="0" w:color="auto"/>
              <w:right w:val="single" w:sz="4" w:space="0" w:color="auto"/>
            </w:tcBorders>
            <w:vAlign w:val="center"/>
            <w:hideMark/>
          </w:tcPr>
          <w:p w14:paraId="3827C9A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696F6C1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775" w:type="dxa"/>
            <w:tcBorders>
              <w:top w:val="nil"/>
              <w:left w:val="nil"/>
              <w:bottom w:val="single" w:sz="4" w:space="0" w:color="auto"/>
              <w:right w:val="single" w:sz="4" w:space="0" w:color="auto"/>
            </w:tcBorders>
            <w:vAlign w:val="center"/>
            <w:hideMark/>
          </w:tcPr>
          <w:p w14:paraId="7293CF6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w:t>
            </w:r>
          </w:p>
        </w:tc>
        <w:tc>
          <w:tcPr>
            <w:tcW w:w="812" w:type="dxa"/>
            <w:tcBorders>
              <w:top w:val="nil"/>
              <w:left w:val="nil"/>
              <w:bottom w:val="single" w:sz="4" w:space="0" w:color="auto"/>
              <w:right w:val="single" w:sz="4" w:space="0" w:color="auto"/>
            </w:tcBorders>
            <w:vAlign w:val="center"/>
            <w:hideMark/>
          </w:tcPr>
          <w:p w14:paraId="2B88A31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57</w:t>
            </w:r>
          </w:p>
        </w:tc>
        <w:tc>
          <w:tcPr>
            <w:tcW w:w="821" w:type="dxa"/>
            <w:tcBorders>
              <w:top w:val="nil"/>
              <w:left w:val="nil"/>
              <w:bottom w:val="single" w:sz="4" w:space="0" w:color="auto"/>
              <w:right w:val="single" w:sz="4" w:space="0" w:color="auto"/>
            </w:tcBorders>
            <w:vAlign w:val="center"/>
            <w:hideMark/>
          </w:tcPr>
          <w:p w14:paraId="33E4BEBC"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594</w:t>
            </w:r>
          </w:p>
        </w:tc>
        <w:tc>
          <w:tcPr>
            <w:tcW w:w="832" w:type="dxa"/>
            <w:tcBorders>
              <w:top w:val="nil"/>
              <w:left w:val="nil"/>
              <w:bottom w:val="single" w:sz="4" w:space="0" w:color="auto"/>
              <w:right w:val="single" w:sz="4" w:space="0" w:color="auto"/>
            </w:tcBorders>
            <w:vAlign w:val="center"/>
            <w:hideMark/>
          </w:tcPr>
          <w:p w14:paraId="6975F9E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5999</w:t>
            </w:r>
          </w:p>
        </w:tc>
        <w:tc>
          <w:tcPr>
            <w:tcW w:w="845" w:type="dxa"/>
            <w:tcBorders>
              <w:top w:val="nil"/>
              <w:left w:val="nil"/>
              <w:bottom w:val="single" w:sz="4" w:space="0" w:color="auto"/>
              <w:right w:val="single" w:sz="4" w:space="0" w:color="auto"/>
            </w:tcBorders>
            <w:vAlign w:val="center"/>
            <w:hideMark/>
          </w:tcPr>
          <w:p w14:paraId="6E01EBC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6656</w:t>
            </w:r>
          </w:p>
        </w:tc>
      </w:tr>
      <w:tr w:rsidR="00641D39" w:rsidRPr="00641D39" w14:paraId="0C6DD8EA"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225FAF2A"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 Maharashtra</w:t>
            </w:r>
          </w:p>
        </w:tc>
        <w:tc>
          <w:tcPr>
            <w:tcW w:w="850" w:type="dxa"/>
            <w:tcBorders>
              <w:top w:val="nil"/>
              <w:left w:val="nil"/>
              <w:bottom w:val="single" w:sz="4" w:space="0" w:color="auto"/>
              <w:right w:val="single" w:sz="4" w:space="0" w:color="auto"/>
            </w:tcBorders>
            <w:vAlign w:val="center"/>
            <w:hideMark/>
          </w:tcPr>
          <w:p w14:paraId="4BCF9D59"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7916</w:t>
            </w:r>
          </w:p>
        </w:tc>
        <w:tc>
          <w:tcPr>
            <w:tcW w:w="882" w:type="dxa"/>
            <w:tcBorders>
              <w:top w:val="nil"/>
              <w:left w:val="nil"/>
              <w:bottom w:val="single" w:sz="4" w:space="0" w:color="auto"/>
              <w:right w:val="single" w:sz="4" w:space="0" w:color="auto"/>
            </w:tcBorders>
            <w:vAlign w:val="center"/>
            <w:hideMark/>
          </w:tcPr>
          <w:p w14:paraId="76D436EC"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10274</w:t>
            </w:r>
          </w:p>
        </w:tc>
        <w:tc>
          <w:tcPr>
            <w:tcW w:w="775" w:type="dxa"/>
            <w:tcBorders>
              <w:top w:val="nil"/>
              <w:left w:val="nil"/>
              <w:bottom w:val="single" w:sz="4" w:space="0" w:color="auto"/>
              <w:right w:val="single" w:sz="4" w:space="0" w:color="auto"/>
            </w:tcBorders>
            <w:vAlign w:val="center"/>
            <w:hideMark/>
          </w:tcPr>
          <w:p w14:paraId="464BE289"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13310</w:t>
            </w:r>
          </w:p>
        </w:tc>
        <w:tc>
          <w:tcPr>
            <w:tcW w:w="812" w:type="dxa"/>
            <w:tcBorders>
              <w:top w:val="nil"/>
              <w:left w:val="nil"/>
              <w:bottom w:val="single" w:sz="4" w:space="0" w:color="auto"/>
              <w:right w:val="single" w:sz="4" w:space="0" w:color="auto"/>
            </w:tcBorders>
            <w:vAlign w:val="center"/>
            <w:hideMark/>
          </w:tcPr>
          <w:p w14:paraId="683E83B3"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17212</w:t>
            </w:r>
          </w:p>
        </w:tc>
        <w:tc>
          <w:tcPr>
            <w:tcW w:w="821" w:type="dxa"/>
            <w:tcBorders>
              <w:top w:val="nil"/>
              <w:left w:val="nil"/>
              <w:bottom w:val="single" w:sz="4" w:space="0" w:color="auto"/>
              <w:right w:val="single" w:sz="4" w:space="0" w:color="auto"/>
            </w:tcBorders>
            <w:vAlign w:val="center"/>
            <w:hideMark/>
          </w:tcPr>
          <w:p w14:paraId="414F536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22219</w:t>
            </w:r>
          </w:p>
        </w:tc>
        <w:tc>
          <w:tcPr>
            <w:tcW w:w="832" w:type="dxa"/>
            <w:tcBorders>
              <w:top w:val="nil"/>
              <w:left w:val="nil"/>
              <w:bottom w:val="single" w:sz="4" w:space="0" w:color="auto"/>
              <w:right w:val="single" w:sz="4" w:space="0" w:color="auto"/>
            </w:tcBorders>
            <w:vAlign w:val="center"/>
            <w:hideMark/>
          </w:tcPr>
          <w:p w14:paraId="1B3E728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28628</w:t>
            </w:r>
          </w:p>
        </w:tc>
        <w:tc>
          <w:tcPr>
            <w:tcW w:w="845" w:type="dxa"/>
            <w:tcBorders>
              <w:top w:val="nil"/>
              <w:left w:val="nil"/>
              <w:bottom w:val="single" w:sz="4" w:space="0" w:color="auto"/>
              <w:right w:val="single" w:sz="4" w:space="0" w:color="auto"/>
            </w:tcBorders>
            <w:vAlign w:val="center"/>
            <w:hideMark/>
          </w:tcPr>
          <w:p w14:paraId="45BD5B8C"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91643</w:t>
            </w:r>
          </w:p>
        </w:tc>
      </w:tr>
      <w:tr w:rsidR="00641D39" w:rsidRPr="00641D39" w14:paraId="14E85A8F"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6D272E52"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 Orissa</w:t>
            </w:r>
          </w:p>
        </w:tc>
        <w:tc>
          <w:tcPr>
            <w:tcW w:w="850" w:type="dxa"/>
            <w:tcBorders>
              <w:top w:val="nil"/>
              <w:left w:val="nil"/>
              <w:bottom w:val="single" w:sz="4" w:space="0" w:color="auto"/>
              <w:right w:val="single" w:sz="4" w:space="0" w:color="auto"/>
            </w:tcBorders>
            <w:vAlign w:val="center"/>
            <w:hideMark/>
          </w:tcPr>
          <w:p w14:paraId="1328EB2A"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23D268FA"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775" w:type="dxa"/>
            <w:tcBorders>
              <w:top w:val="nil"/>
              <w:left w:val="nil"/>
              <w:bottom w:val="single" w:sz="4" w:space="0" w:color="auto"/>
              <w:right w:val="single" w:sz="4" w:space="0" w:color="auto"/>
            </w:tcBorders>
            <w:vAlign w:val="center"/>
            <w:hideMark/>
          </w:tcPr>
          <w:p w14:paraId="5A11F39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w:t>
            </w:r>
          </w:p>
        </w:tc>
        <w:tc>
          <w:tcPr>
            <w:tcW w:w="812" w:type="dxa"/>
            <w:tcBorders>
              <w:top w:val="nil"/>
              <w:left w:val="nil"/>
              <w:bottom w:val="single" w:sz="4" w:space="0" w:color="auto"/>
              <w:right w:val="single" w:sz="4" w:space="0" w:color="auto"/>
            </w:tcBorders>
            <w:vAlign w:val="center"/>
            <w:hideMark/>
          </w:tcPr>
          <w:p w14:paraId="7DB9FD1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w:t>
            </w:r>
          </w:p>
        </w:tc>
        <w:tc>
          <w:tcPr>
            <w:tcW w:w="821" w:type="dxa"/>
            <w:tcBorders>
              <w:top w:val="nil"/>
              <w:left w:val="nil"/>
              <w:bottom w:val="single" w:sz="4" w:space="0" w:color="auto"/>
              <w:right w:val="single" w:sz="4" w:space="0" w:color="auto"/>
            </w:tcBorders>
            <w:vAlign w:val="center"/>
            <w:hideMark/>
          </w:tcPr>
          <w:p w14:paraId="632EEEA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195</w:t>
            </w:r>
          </w:p>
        </w:tc>
        <w:tc>
          <w:tcPr>
            <w:tcW w:w="832" w:type="dxa"/>
            <w:tcBorders>
              <w:top w:val="nil"/>
              <w:left w:val="nil"/>
              <w:bottom w:val="single" w:sz="4" w:space="0" w:color="auto"/>
              <w:right w:val="single" w:sz="4" w:space="0" w:color="auto"/>
            </w:tcBorders>
            <w:vAlign w:val="center"/>
            <w:hideMark/>
          </w:tcPr>
          <w:p w14:paraId="1A87AAA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1501</w:t>
            </w:r>
          </w:p>
        </w:tc>
        <w:tc>
          <w:tcPr>
            <w:tcW w:w="845" w:type="dxa"/>
            <w:tcBorders>
              <w:top w:val="nil"/>
              <w:left w:val="nil"/>
              <w:bottom w:val="single" w:sz="4" w:space="0" w:color="auto"/>
              <w:right w:val="single" w:sz="4" w:space="0" w:color="auto"/>
            </w:tcBorders>
            <w:vAlign w:val="center"/>
            <w:hideMark/>
          </w:tcPr>
          <w:p w14:paraId="61ABBFC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1724</w:t>
            </w:r>
          </w:p>
        </w:tc>
      </w:tr>
      <w:tr w:rsidR="00641D39" w:rsidRPr="00641D39" w14:paraId="43A9F68A"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30E6D4B3"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 Punjab</w:t>
            </w:r>
          </w:p>
        </w:tc>
        <w:tc>
          <w:tcPr>
            <w:tcW w:w="850" w:type="dxa"/>
            <w:tcBorders>
              <w:top w:val="nil"/>
              <w:left w:val="nil"/>
              <w:bottom w:val="single" w:sz="4" w:space="0" w:color="auto"/>
              <w:right w:val="single" w:sz="4" w:space="0" w:color="auto"/>
            </w:tcBorders>
            <w:vAlign w:val="center"/>
            <w:hideMark/>
          </w:tcPr>
          <w:p w14:paraId="227AAC13"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57280E99"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775" w:type="dxa"/>
            <w:tcBorders>
              <w:top w:val="nil"/>
              <w:left w:val="nil"/>
              <w:bottom w:val="single" w:sz="4" w:space="0" w:color="auto"/>
              <w:right w:val="single" w:sz="4" w:space="0" w:color="auto"/>
            </w:tcBorders>
            <w:vAlign w:val="center"/>
            <w:hideMark/>
          </w:tcPr>
          <w:p w14:paraId="36C4D82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w:t>
            </w:r>
          </w:p>
        </w:tc>
        <w:tc>
          <w:tcPr>
            <w:tcW w:w="812" w:type="dxa"/>
            <w:tcBorders>
              <w:top w:val="nil"/>
              <w:left w:val="nil"/>
              <w:bottom w:val="single" w:sz="4" w:space="0" w:color="auto"/>
              <w:right w:val="single" w:sz="4" w:space="0" w:color="auto"/>
            </w:tcBorders>
            <w:vAlign w:val="center"/>
            <w:hideMark/>
          </w:tcPr>
          <w:p w14:paraId="38A612F6"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40</w:t>
            </w:r>
          </w:p>
        </w:tc>
        <w:tc>
          <w:tcPr>
            <w:tcW w:w="821" w:type="dxa"/>
            <w:tcBorders>
              <w:top w:val="nil"/>
              <w:left w:val="nil"/>
              <w:bottom w:val="single" w:sz="4" w:space="0" w:color="auto"/>
              <w:right w:val="single" w:sz="4" w:space="0" w:color="auto"/>
            </w:tcBorders>
            <w:vAlign w:val="center"/>
            <w:hideMark/>
          </w:tcPr>
          <w:p w14:paraId="56322E53"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368</w:t>
            </w:r>
          </w:p>
        </w:tc>
        <w:tc>
          <w:tcPr>
            <w:tcW w:w="832" w:type="dxa"/>
            <w:tcBorders>
              <w:top w:val="nil"/>
              <w:left w:val="nil"/>
              <w:bottom w:val="single" w:sz="4" w:space="0" w:color="auto"/>
              <w:right w:val="single" w:sz="4" w:space="0" w:color="auto"/>
            </w:tcBorders>
            <w:vAlign w:val="center"/>
            <w:hideMark/>
          </w:tcPr>
          <w:p w14:paraId="5E28008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3363</w:t>
            </w:r>
          </w:p>
        </w:tc>
        <w:tc>
          <w:tcPr>
            <w:tcW w:w="845" w:type="dxa"/>
            <w:tcBorders>
              <w:top w:val="nil"/>
              <w:left w:val="nil"/>
              <w:bottom w:val="single" w:sz="4" w:space="0" w:color="auto"/>
              <w:right w:val="single" w:sz="4" w:space="0" w:color="auto"/>
            </w:tcBorders>
            <w:vAlign w:val="center"/>
            <w:hideMark/>
          </w:tcPr>
          <w:p w14:paraId="3FA8A40A"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3776</w:t>
            </w:r>
          </w:p>
        </w:tc>
      </w:tr>
      <w:tr w:rsidR="00641D39" w:rsidRPr="00641D39" w14:paraId="4FEDC648"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6A63DCFA"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 Rajasthan</w:t>
            </w:r>
          </w:p>
        </w:tc>
        <w:tc>
          <w:tcPr>
            <w:tcW w:w="850" w:type="dxa"/>
            <w:tcBorders>
              <w:top w:val="nil"/>
              <w:left w:val="nil"/>
              <w:bottom w:val="single" w:sz="4" w:space="0" w:color="auto"/>
              <w:right w:val="single" w:sz="4" w:space="0" w:color="auto"/>
            </w:tcBorders>
            <w:vAlign w:val="center"/>
            <w:hideMark/>
          </w:tcPr>
          <w:p w14:paraId="142162A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5FD24F7F"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775" w:type="dxa"/>
            <w:tcBorders>
              <w:top w:val="nil"/>
              <w:left w:val="nil"/>
              <w:bottom w:val="single" w:sz="4" w:space="0" w:color="auto"/>
              <w:right w:val="single" w:sz="4" w:space="0" w:color="auto"/>
            </w:tcBorders>
            <w:vAlign w:val="center"/>
            <w:hideMark/>
          </w:tcPr>
          <w:p w14:paraId="2240A922"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w:t>
            </w:r>
          </w:p>
        </w:tc>
        <w:tc>
          <w:tcPr>
            <w:tcW w:w="812" w:type="dxa"/>
            <w:tcBorders>
              <w:top w:val="nil"/>
              <w:left w:val="nil"/>
              <w:bottom w:val="single" w:sz="4" w:space="0" w:color="auto"/>
              <w:right w:val="single" w:sz="4" w:space="0" w:color="auto"/>
            </w:tcBorders>
            <w:vAlign w:val="center"/>
            <w:hideMark/>
          </w:tcPr>
          <w:p w14:paraId="25A549B5"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w:t>
            </w:r>
          </w:p>
        </w:tc>
        <w:tc>
          <w:tcPr>
            <w:tcW w:w="821" w:type="dxa"/>
            <w:tcBorders>
              <w:top w:val="nil"/>
              <w:left w:val="nil"/>
              <w:bottom w:val="single" w:sz="4" w:space="0" w:color="auto"/>
              <w:right w:val="single" w:sz="4" w:space="0" w:color="auto"/>
            </w:tcBorders>
            <w:vAlign w:val="center"/>
            <w:hideMark/>
          </w:tcPr>
          <w:p w14:paraId="51095BC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297</w:t>
            </w:r>
          </w:p>
        </w:tc>
        <w:tc>
          <w:tcPr>
            <w:tcW w:w="832" w:type="dxa"/>
            <w:tcBorders>
              <w:top w:val="nil"/>
              <w:left w:val="nil"/>
              <w:bottom w:val="single" w:sz="4" w:space="0" w:color="auto"/>
              <w:right w:val="single" w:sz="4" w:space="0" w:color="auto"/>
            </w:tcBorders>
            <w:vAlign w:val="center"/>
            <w:hideMark/>
          </w:tcPr>
          <w:p w14:paraId="6F11BB06"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2557</w:t>
            </w:r>
          </w:p>
        </w:tc>
        <w:tc>
          <w:tcPr>
            <w:tcW w:w="845" w:type="dxa"/>
            <w:tcBorders>
              <w:top w:val="nil"/>
              <w:left w:val="nil"/>
              <w:bottom w:val="single" w:sz="4" w:space="0" w:color="auto"/>
              <w:right w:val="single" w:sz="4" w:space="0" w:color="auto"/>
            </w:tcBorders>
            <w:vAlign w:val="center"/>
            <w:hideMark/>
          </w:tcPr>
          <w:p w14:paraId="1640D31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2892</w:t>
            </w:r>
          </w:p>
        </w:tc>
      </w:tr>
      <w:tr w:rsidR="00641D39" w:rsidRPr="00641D39" w14:paraId="4E61F912"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6FDC9E35"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 Tamil Nadu</w:t>
            </w:r>
          </w:p>
        </w:tc>
        <w:tc>
          <w:tcPr>
            <w:tcW w:w="850" w:type="dxa"/>
            <w:tcBorders>
              <w:top w:val="nil"/>
              <w:left w:val="nil"/>
              <w:bottom w:val="single" w:sz="4" w:space="0" w:color="auto"/>
              <w:right w:val="single" w:sz="4" w:space="0" w:color="auto"/>
            </w:tcBorders>
            <w:vAlign w:val="center"/>
            <w:hideMark/>
          </w:tcPr>
          <w:p w14:paraId="7DAE403A"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20E2DD58"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775" w:type="dxa"/>
            <w:tcBorders>
              <w:top w:val="nil"/>
              <w:left w:val="nil"/>
              <w:bottom w:val="single" w:sz="4" w:space="0" w:color="auto"/>
              <w:right w:val="single" w:sz="4" w:space="0" w:color="auto"/>
            </w:tcBorders>
            <w:vAlign w:val="center"/>
            <w:hideMark/>
          </w:tcPr>
          <w:p w14:paraId="3A523E9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w:t>
            </w:r>
          </w:p>
        </w:tc>
        <w:tc>
          <w:tcPr>
            <w:tcW w:w="812" w:type="dxa"/>
            <w:tcBorders>
              <w:top w:val="nil"/>
              <w:left w:val="nil"/>
              <w:bottom w:val="single" w:sz="4" w:space="0" w:color="auto"/>
              <w:right w:val="single" w:sz="4" w:space="0" w:color="auto"/>
            </w:tcBorders>
            <w:vAlign w:val="center"/>
            <w:hideMark/>
          </w:tcPr>
          <w:p w14:paraId="003783CB"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88</w:t>
            </w:r>
          </w:p>
        </w:tc>
        <w:tc>
          <w:tcPr>
            <w:tcW w:w="821" w:type="dxa"/>
            <w:tcBorders>
              <w:top w:val="nil"/>
              <w:left w:val="nil"/>
              <w:bottom w:val="single" w:sz="4" w:space="0" w:color="auto"/>
              <w:right w:val="single" w:sz="4" w:space="0" w:color="auto"/>
            </w:tcBorders>
            <w:vAlign w:val="center"/>
            <w:hideMark/>
          </w:tcPr>
          <w:p w14:paraId="6CC7B5EB"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1057</w:t>
            </w:r>
          </w:p>
        </w:tc>
        <w:tc>
          <w:tcPr>
            <w:tcW w:w="832" w:type="dxa"/>
            <w:tcBorders>
              <w:top w:val="nil"/>
              <w:left w:val="nil"/>
              <w:bottom w:val="single" w:sz="4" w:space="0" w:color="auto"/>
              <w:right w:val="single" w:sz="4" w:space="0" w:color="auto"/>
            </w:tcBorders>
            <w:vAlign w:val="center"/>
            <w:hideMark/>
          </w:tcPr>
          <w:p w14:paraId="449AFAE6"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12390</w:t>
            </w:r>
          </w:p>
        </w:tc>
        <w:tc>
          <w:tcPr>
            <w:tcW w:w="845" w:type="dxa"/>
            <w:tcBorders>
              <w:top w:val="nil"/>
              <w:left w:val="nil"/>
              <w:bottom w:val="single" w:sz="4" w:space="0" w:color="auto"/>
              <w:right w:val="single" w:sz="4" w:space="0" w:color="auto"/>
            </w:tcBorders>
            <w:vAlign w:val="center"/>
            <w:hideMark/>
          </w:tcPr>
          <w:p w14:paraId="08981B7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13543</w:t>
            </w:r>
          </w:p>
        </w:tc>
      </w:tr>
      <w:tr w:rsidR="00641D39" w:rsidRPr="00641D39" w14:paraId="4857D39C"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1F9D0FC4"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 Uttar Pradesh</w:t>
            </w:r>
          </w:p>
        </w:tc>
        <w:tc>
          <w:tcPr>
            <w:tcW w:w="850" w:type="dxa"/>
            <w:tcBorders>
              <w:top w:val="nil"/>
              <w:left w:val="nil"/>
              <w:bottom w:val="single" w:sz="4" w:space="0" w:color="auto"/>
              <w:right w:val="single" w:sz="4" w:space="0" w:color="auto"/>
            </w:tcBorders>
            <w:vAlign w:val="center"/>
            <w:hideMark/>
          </w:tcPr>
          <w:p w14:paraId="67729F14"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334DAA0B"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775" w:type="dxa"/>
            <w:tcBorders>
              <w:top w:val="nil"/>
              <w:left w:val="nil"/>
              <w:bottom w:val="single" w:sz="4" w:space="0" w:color="auto"/>
              <w:right w:val="single" w:sz="4" w:space="0" w:color="auto"/>
            </w:tcBorders>
            <w:vAlign w:val="center"/>
            <w:hideMark/>
          </w:tcPr>
          <w:p w14:paraId="4581316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w:t>
            </w:r>
          </w:p>
        </w:tc>
        <w:tc>
          <w:tcPr>
            <w:tcW w:w="812" w:type="dxa"/>
            <w:tcBorders>
              <w:top w:val="nil"/>
              <w:left w:val="nil"/>
              <w:bottom w:val="single" w:sz="4" w:space="0" w:color="auto"/>
              <w:right w:val="single" w:sz="4" w:space="0" w:color="auto"/>
            </w:tcBorders>
            <w:vAlign w:val="center"/>
            <w:hideMark/>
          </w:tcPr>
          <w:p w14:paraId="0851FCB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87</w:t>
            </w:r>
          </w:p>
        </w:tc>
        <w:tc>
          <w:tcPr>
            <w:tcW w:w="821" w:type="dxa"/>
            <w:tcBorders>
              <w:top w:val="nil"/>
              <w:left w:val="nil"/>
              <w:bottom w:val="single" w:sz="4" w:space="0" w:color="auto"/>
              <w:right w:val="single" w:sz="4" w:space="0" w:color="auto"/>
            </w:tcBorders>
            <w:vAlign w:val="center"/>
            <w:hideMark/>
          </w:tcPr>
          <w:p w14:paraId="4C59A5D7"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1023</w:t>
            </w:r>
          </w:p>
        </w:tc>
        <w:tc>
          <w:tcPr>
            <w:tcW w:w="832" w:type="dxa"/>
            <w:tcBorders>
              <w:top w:val="nil"/>
              <w:left w:val="nil"/>
              <w:bottom w:val="single" w:sz="4" w:space="0" w:color="auto"/>
              <w:right w:val="single" w:sz="4" w:space="0" w:color="auto"/>
            </w:tcBorders>
            <w:vAlign w:val="center"/>
            <w:hideMark/>
          </w:tcPr>
          <w:p w14:paraId="263C186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11685</w:t>
            </w:r>
          </w:p>
        </w:tc>
        <w:tc>
          <w:tcPr>
            <w:tcW w:w="845" w:type="dxa"/>
            <w:tcBorders>
              <w:top w:val="nil"/>
              <w:left w:val="nil"/>
              <w:bottom w:val="single" w:sz="4" w:space="0" w:color="auto"/>
              <w:right w:val="single" w:sz="4" w:space="0" w:color="auto"/>
            </w:tcBorders>
            <w:vAlign w:val="center"/>
            <w:hideMark/>
          </w:tcPr>
          <w:p w14:paraId="6A7FEA99"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12803</w:t>
            </w:r>
          </w:p>
        </w:tc>
      </w:tr>
      <w:tr w:rsidR="00641D39" w:rsidRPr="00641D39" w14:paraId="35777221"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6C5DF451" w14:textId="77777777" w:rsidR="003737D4" w:rsidRPr="00641D39" w:rsidRDefault="003737D4" w:rsidP="003737D4">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 West Bengal</w:t>
            </w:r>
          </w:p>
        </w:tc>
        <w:tc>
          <w:tcPr>
            <w:tcW w:w="850" w:type="dxa"/>
            <w:tcBorders>
              <w:top w:val="nil"/>
              <w:left w:val="nil"/>
              <w:bottom w:val="single" w:sz="4" w:space="0" w:color="auto"/>
              <w:right w:val="single" w:sz="4" w:space="0" w:color="auto"/>
            </w:tcBorders>
            <w:vAlign w:val="center"/>
            <w:hideMark/>
          </w:tcPr>
          <w:p w14:paraId="6B72AFCC"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82" w:type="dxa"/>
            <w:tcBorders>
              <w:top w:val="nil"/>
              <w:left w:val="nil"/>
              <w:bottom w:val="single" w:sz="4" w:space="0" w:color="auto"/>
              <w:right w:val="single" w:sz="4" w:space="0" w:color="auto"/>
            </w:tcBorders>
            <w:vAlign w:val="center"/>
            <w:hideMark/>
          </w:tcPr>
          <w:p w14:paraId="29CF265D"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775" w:type="dxa"/>
            <w:tcBorders>
              <w:top w:val="nil"/>
              <w:left w:val="nil"/>
              <w:bottom w:val="single" w:sz="4" w:space="0" w:color="auto"/>
              <w:right w:val="single" w:sz="4" w:space="0" w:color="auto"/>
            </w:tcBorders>
            <w:vAlign w:val="center"/>
            <w:hideMark/>
          </w:tcPr>
          <w:p w14:paraId="0AFF7E01"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w:t>
            </w:r>
          </w:p>
        </w:tc>
        <w:tc>
          <w:tcPr>
            <w:tcW w:w="812" w:type="dxa"/>
            <w:tcBorders>
              <w:top w:val="nil"/>
              <w:left w:val="nil"/>
              <w:bottom w:val="single" w:sz="4" w:space="0" w:color="auto"/>
              <w:right w:val="single" w:sz="4" w:space="0" w:color="auto"/>
            </w:tcBorders>
            <w:vAlign w:val="center"/>
            <w:hideMark/>
          </w:tcPr>
          <w:p w14:paraId="06919308"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87</w:t>
            </w:r>
          </w:p>
        </w:tc>
        <w:tc>
          <w:tcPr>
            <w:tcW w:w="821" w:type="dxa"/>
            <w:tcBorders>
              <w:top w:val="nil"/>
              <w:left w:val="nil"/>
              <w:bottom w:val="single" w:sz="4" w:space="0" w:color="auto"/>
              <w:right w:val="single" w:sz="4" w:space="0" w:color="auto"/>
            </w:tcBorders>
            <w:vAlign w:val="center"/>
            <w:hideMark/>
          </w:tcPr>
          <w:p w14:paraId="19C242E5"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1036</w:t>
            </w:r>
          </w:p>
        </w:tc>
        <w:tc>
          <w:tcPr>
            <w:tcW w:w="832" w:type="dxa"/>
            <w:tcBorders>
              <w:top w:val="nil"/>
              <w:left w:val="nil"/>
              <w:bottom w:val="single" w:sz="4" w:space="0" w:color="auto"/>
              <w:right w:val="single" w:sz="4" w:space="0" w:color="auto"/>
            </w:tcBorders>
            <w:vAlign w:val="center"/>
            <w:hideMark/>
          </w:tcPr>
          <w:p w14:paraId="4C8D0C61"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11942</w:t>
            </w:r>
          </w:p>
        </w:tc>
        <w:tc>
          <w:tcPr>
            <w:tcW w:w="845" w:type="dxa"/>
            <w:tcBorders>
              <w:top w:val="nil"/>
              <w:left w:val="nil"/>
              <w:bottom w:val="single" w:sz="4" w:space="0" w:color="auto"/>
              <w:right w:val="single" w:sz="4" w:space="0" w:color="auto"/>
            </w:tcBorders>
            <w:vAlign w:val="center"/>
            <w:hideMark/>
          </w:tcPr>
          <w:p w14:paraId="5A20C020" w14:textId="77777777" w:rsidR="003737D4" w:rsidRPr="00641D39" w:rsidRDefault="003737D4" w:rsidP="003737D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13072</w:t>
            </w:r>
          </w:p>
        </w:tc>
      </w:tr>
      <w:tr w:rsidR="00641D39" w:rsidRPr="00641D39" w14:paraId="4E208420" w14:textId="77777777" w:rsidTr="00641D39">
        <w:trPr>
          <w:trHeight w:val="20"/>
          <w:jc w:val="center"/>
        </w:trPr>
        <w:tc>
          <w:tcPr>
            <w:tcW w:w="1560" w:type="dxa"/>
            <w:tcBorders>
              <w:top w:val="nil"/>
              <w:left w:val="single" w:sz="4" w:space="0" w:color="auto"/>
              <w:bottom w:val="single" w:sz="4" w:space="0" w:color="auto"/>
              <w:right w:val="single" w:sz="4" w:space="0" w:color="auto"/>
            </w:tcBorders>
            <w:vAlign w:val="center"/>
            <w:hideMark/>
          </w:tcPr>
          <w:p w14:paraId="4262220C" w14:textId="77777777" w:rsidR="003737D4" w:rsidRPr="00641D39"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14 Major States</w:t>
            </w:r>
          </w:p>
        </w:tc>
        <w:tc>
          <w:tcPr>
            <w:tcW w:w="850" w:type="dxa"/>
            <w:tcBorders>
              <w:top w:val="nil"/>
              <w:left w:val="nil"/>
              <w:bottom w:val="single" w:sz="4" w:space="0" w:color="auto"/>
              <w:right w:val="single" w:sz="4" w:space="0" w:color="auto"/>
            </w:tcBorders>
            <w:vAlign w:val="center"/>
            <w:hideMark/>
          </w:tcPr>
          <w:p w14:paraId="49C0F9D4"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19523</w:t>
            </w:r>
          </w:p>
        </w:tc>
        <w:tc>
          <w:tcPr>
            <w:tcW w:w="882" w:type="dxa"/>
            <w:tcBorders>
              <w:top w:val="nil"/>
              <w:left w:val="nil"/>
              <w:bottom w:val="single" w:sz="4" w:space="0" w:color="auto"/>
              <w:right w:val="single" w:sz="4" w:space="0" w:color="auto"/>
            </w:tcBorders>
            <w:vAlign w:val="center"/>
            <w:hideMark/>
          </w:tcPr>
          <w:p w14:paraId="0B3D2132"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23402</w:t>
            </w:r>
          </w:p>
        </w:tc>
        <w:tc>
          <w:tcPr>
            <w:tcW w:w="775" w:type="dxa"/>
            <w:tcBorders>
              <w:top w:val="nil"/>
              <w:left w:val="nil"/>
              <w:bottom w:val="single" w:sz="4" w:space="0" w:color="auto"/>
              <w:right w:val="single" w:sz="4" w:space="0" w:color="auto"/>
            </w:tcBorders>
            <w:vAlign w:val="center"/>
            <w:hideMark/>
          </w:tcPr>
          <w:p w14:paraId="432F3336"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28189</w:t>
            </w:r>
          </w:p>
        </w:tc>
        <w:tc>
          <w:tcPr>
            <w:tcW w:w="812" w:type="dxa"/>
            <w:tcBorders>
              <w:top w:val="nil"/>
              <w:left w:val="nil"/>
              <w:bottom w:val="single" w:sz="4" w:space="0" w:color="auto"/>
              <w:right w:val="single" w:sz="4" w:space="0" w:color="auto"/>
            </w:tcBorders>
            <w:vAlign w:val="center"/>
            <w:hideMark/>
          </w:tcPr>
          <w:p w14:paraId="04CC735D"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34490</w:t>
            </w:r>
          </w:p>
        </w:tc>
        <w:tc>
          <w:tcPr>
            <w:tcW w:w="821" w:type="dxa"/>
            <w:tcBorders>
              <w:top w:val="nil"/>
              <w:left w:val="nil"/>
              <w:bottom w:val="single" w:sz="4" w:space="0" w:color="auto"/>
              <w:right w:val="single" w:sz="4" w:space="0" w:color="auto"/>
            </w:tcBorders>
            <w:vAlign w:val="center"/>
            <w:hideMark/>
          </w:tcPr>
          <w:p w14:paraId="32727AF9"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46882</w:t>
            </w:r>
          </w:p>
        </w:tc>
        <w:tc>
          <w:tcPr>
            <w:tcW w:w="832" w:type="dxa"/>
            <w:tcBorders>
              <w:top w:val="nil"/>
              <w:left w:val="nil"/>
              <w:bottom w:val="single" w:sz="4" w:space="0" w:color="auto"/>
              <w:right w:val="single" w:sz="4" w:space="0" w:color="auto"/>
            </w:tcBorders>
            <w:vAlign w:val="center"/>
            <w:hideMark/>
          </w:tcPr>
          <w:p w14:paraId="6CE4612B"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111923</w:t>
            </w:r>
          </w:p>
        </w:tc>
        <w:tc>
          <w:tcPr>
            <w:tcW w:w="845" w:type="dxa"/>
            <w:tcBorders>
              <w:top w:val="nil"/>
              <w:left w:val="nil"/>
              <w:bottom w:val="single" w:sz="4" w:space="0" w:color="auto"/>
              <w:right w:val="single" w:sz="4" w:space="0" w:color="auto"/>
            </w:tcBorders>
            <w:vAlign w:val="center"/>
            <w:hideMark/>
          </w:tcPr>
          <w:p w14:paraId="1070B01A" w14:textId="7777777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244886</w:t>
            </w:r>
          </w:p>
        </w:tc>
      </w:tr>
    </w:tbl>
    <w:p w14:paraId="3D98DFC3" w14:textId="77D38458" w:rsidR="00294D85" w:rsidRDefault="00294D85" w:rsidP="00641D39">
      <w:pPr>
        <w:spacing w:after="0"/>
        <w:ind w:left="142"/>
        <w:jc w:val="center"/>
        <w:rPr>
          <w:rFonts w:ascii="Times New Roman" w:hAnsi="Times New Roman" w:cs="Times New Roman"/>
          <w:b/>
          <w:bCs/>
          <w:sz w:val="20"/>
          <w:szCs w:val="20"/>
        </w:rPr>
      </w:pPr>
      <w:r w:rsidRPr="003737D4">
        <w:rPr>
          <w:rFonts w:ascii="Times New Roman" w:hAnsi="Times New Roman" w:cs="Times New Roman"/>
          <w:b/>
          <w:bCs/>
          <w:sz w:val="20"/>
          <w:szCs w:val="20"/>
        </w:rPr>
        <w:t>Revenue Category: Agriculture and Land Revenue</w:t>
      </w:r>
    </w:p>
    <w:p w14:paraId="3EC1361D" w14:textId="7AFF052E" w:rsidR="00641D39" w:rsidRPr="00641D39" w:rsidRDefault="00641D39" w:rsidP="00641D39">
      <w:pPr>
        <w:spacing w:after="0"/>
        <w:ind w:left="142"/>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641D39">
        <w:rPr>
          <w:rFonts w:ascii="Times New Roman" w:hAnsi="Times New Roman" w:cs="Times New Roman"/>
          <w:sz w:val="18"/>
          <w:szCs w:val="18"/>
        </w:rPr>
        <w:t>(Rs. Lakh)</w:t>
      </w:r>
    </w:p>
    <w:tbl>
      <w:tblPr>
        <w:tblW w:w="7508" w:type="dxa"/>
        <w:jc w:val="center"/>
        <w:tblLook w:val="04A0" w:firstRow="1" w:lastRow="0" w:firstColumn="1" w:lastColumn="0" w:noHBand="0" w:noVBand="1"/>
      </w:tblPr>
      <w:tblGrid>
        <w:gridCol w:w="1551"/>
        <w:gridCol w:w="859"/>
        <w:gridCol w:w="851"/>
        <w:gridCol w:w="802"/>
        <w:gridCol w:w="757"/>
        <w:gridCol w:w="845"/>
        <w:gridCol w:w="993"/>
        <w:gridCol w:w="850"/>
      </w:tblGrid>
      <w:tr w:rsidR="003737D4" w:rsidRPr="00641D39" w14:paraId="5AF32FE7" w14:textId="77777777" w:rsidTr="00641D39">
        <w:trPr>
          <w:trHeight w:val="20"/>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14:paraId="5E45DD6D" w14:textId="77777777" w:rsidR="003737D4" w:rsidRPr="00641D39"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State</w:t>
            </w:r>
          </w:p>
        </w:tc>
        <w:tc>
          <w:tcPr>
            <w:tcW w:w="859" w:type="dxa"/>
            <w:tcBorders>
              <w:top w:val="single" w:sz="4" w:space="0" w:color="auto"/>
              <w:left w:val="nil"/>
              <w:bottom w:val="single" w:sz="4" w:space="0" w:color="auto"/>
              <w:right w:val="single" w:sz="4" w:space="0" w:color="auto"/>
            </w:tcBorders>
            <w:vAlign w:val="center"/>
            <w:hideMark/>
          </w:tcPr>
          <w:p w14:paraId="394C82ED" w14:textId="5D58B4E0"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1989-90 </w:t>
            </w:r>
          </w:p>
        </w:tc>
        <w:tc>
          <w:tcPr>
            <w:tcW w:w="851" w:type="dxa"/>
            <w:tcBorders>
              <w:top w:val="single" w:sz="4" w:space="0" w:color="auto"/>
              <w:left w:val="nil"/>
              <w:bottom w:val="single" w:sz="4" w:space="0" w:color="auto"/>
              <w:right w:val="single" w:sz="4" w:space="0" w:color="auto"/>
            </w:tcBorders>
            <w:vAlign w:val="center"/>
            <w:hideMark/>
          </w:tcPr>
          <w:p w14:paraId="4747A041" w14:textId="08554E61"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1990-91 </w:t>
            </w:r>
          </w:p>
        </w:tc>
        <w:tc>
          <w:tcPr>
            <w:tcW w:w="802" w:type="dxa"/>
            <w:tcBorders>
              <w:top w:val="single" w:sz="4" w:space="0" w:color="auto"/>
              <w:left w:val="nil"/>
              <w:bottom w:val="single" w:sz="4" w:space="0" w:color="auto"/>
              <w:right w:val="single" w:sz="4" w:space="0" w:color="auto"/>
            </w:tcBorders>
            <w:vAlign w:val="center"/>
            <w:hideMark/>
          </w:tcPr>
          <w:p w14:paraId="21DBB582" w14:textId="7E8AA3F8"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1991-92 </w:t>
            </w:r>
          </w:p>
        </w:tc>
        <w:tc>
          <w:tcPr>
            <w:tcW w:w="757" w:type="dxa"/>
            <w:tcBorders>
              <w:top w:val="single" w:sz="4" w:space="0" w:color="auto"/>
              <w:left w:val="nil"/>
              <w:bottom w:val="single" w:sz="4" w:space="0" w:color="auto"/>
              <w:right w:val="single" w:sz="4" w:space="0" w:color="auto"/>
            </w:tcBorders>
            <w:vAlign w:val="center"/>
            <w:hideMark/>
          </w:tcPr>
          <w:p w14:paraId="04CEF22E" w14:textId="04BF1446"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1992-93 </w:t>
            </w:r>
          </w:p>
        </w:tc>
        <w:tc>
          <w:tcPr>
            <w:tcW w:w="845" w:type="dxa"/>
            <w:tcBorders>
              <w:top w:val="single" w:sz="4" w:space="0" w:color="auto"/>
              <w:left w:val="nil"/>
              <w:bottom w:val="single" w:sz="4" w:space="0" w:color="auto"/>
              <w:right w:val="single" w:sz="4" w:space="0" w:color="auto"/>
            </w:tcBorders>
            <w:vAlign w:val="center"/>
            <w:hideMark/>
          </w:tcPr>
          <w:p w14:paraId="122D79CC" w14:textId="1E282CF2"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1993-94 </w:t>
            </w:r>
          </w:p>
        </w:tc>
        <w:tc>
          <w:tcPr>
            <w:tcW w:w="993" w:type="dxa"/>
            <w:tcBorders>
              <w:top w:val="single" w:sz="4" w:space="0" w:color="auto"/>
              <w:left w:val="nil"/>
              <w:bottom w:val="single" w:sz="4" w:space="0" w:color="auto"/>
              <w:right w:val="single" w:sz="4" w:space="0" w:color="auto"/>
            </w:tcBorders>
            <w:vAlign w:val="center"/>
            <w:hideMark/>
          </w:tcPr>
          <w:p w14:paraId="75A64B97" w14:textId="5B085AE3"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1994-95 </w:t>
            </w:r>
          </w:p>
        </w:tc>
        <w:tc>
          <w:tcPr>
            <w:tcW w:w="850" w:type="dxa"/>
            <w:tcBorders>
              <w:top w:val="single" w:sz="4" w:space="0" w:color="auto"/>
              <w:left w:val="nil"/>
              <w:bottom w:val="single" w:sz="4" w:space="0" w:color="auto"/>
              <w:right w:val="single" w:sz="4" w:space="0" w:color="auto"/>
            </w:tcBorders>
            <w:vAlign w:val="center"/>
            <w:hideMark/>
          </w:tcPr>
          <w:p w14:paraId="07AEE0D0" w14:textId="1B3D81FE"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Total</w:t>
            </w:r>
          </w:p>
        </w:tc>
      </w:tr>
      <w:tr w:rsidR="00641D39" w:rsidRPr="00641D39" w14:paraId="3F7D75BF" w14:textId="77777777" w:rsidTr="00641D39">
        <w:trPr>
          <w:trHeight w:val="20"/>
          <w:jc w:val="center"/>
        </w:trPr>
        <w:tc>
          <w:tcPr>
            <w:tcW w:w="1551" w:type="dxa"/>
            <w:tcBorders>
              <w:top w:val="single" w:sz="4" w:space="0" w:color="auto"/>
              <w:left w:val="single" w:sz="4" w:space="0" w:color="auto"/>
              <w:bottom w:val="single" w:sz="4" w:space="0" w:color="auto"/>
              <w:right w:val="single" w:sz="4" w:space="0" w:color="auto"/>
            </w:tcBorders>
            <w:vAlign w:val="center"/>
          </w:tcPr>
          <w:p w14:paraId="734A7FAC"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59" w:type="dxa"/>
            <w:tcBorders>
              <w:top w:val="single" w:sz="4" w:space="0" w:color="auto"/>
              <w:left w:val="nil"/>
              <w:bottom w:val="single" w:sz="4" w:space="0" w:color="auto"/>
              <w:right w:val="single" w:sz="4" w:space="0" w:color="auto"/>
            </w:tcBorders>
            <w:vAlign w:val="center"/>
          </w:tcPr>
          <w:p w14:paraId="0C10EAAA" w14:textId="5F331059"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851" w:type="dxa"/>
            <w:tcBorders>
              <w:top w:val="single" w:sz="4" w:space="0" w:color="auto"/>
              <w:left w:val="nil"/>
              <w:bottom w:val="single" w:sz="4" w:space="0" w:color="auto"/>
              <w:right w:val="single" w:sz="4" w:space="0" w:color="auto"/>
            </w:tcBorders>
            <w:vAlign w:val="center"/>
          </w:tcPr>
          <w:p w14:paraId="000734EF" w14:textId="45071E5E"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802" w:type="dxa"/>
            <w:tcBorders>
              <w:top w:val="single" w:sz="4" w:space="0" w:color="auto"/>
              <w:left w:val="nil"/>
              <w:bottom w:val="single" w:sz="4" w:space="0" w:color="auto"/>
              <w:right w:val="single" w:sz="4" w:space="0" w:color="auto"/>
            </w:tcBorders>
            <w:vAlign w:val="center"/>
          </w:tcPr>
          <w:p w14:paraId="2F8658A4" w14:textId="3D24D58A"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757" w:type="dxa"/>
            <w:tcBorders>
              <w:top w:val="single" w:sz="4" w:space="0" w:color="auto"/>
              <w:left w:val="nil"/>
              <w:bottom w:val="single" w:sz="4" w:space="0" w:color="auto"/>
              <w:right w:val="single" w:sz="4" w:space="0" w:color="auto"/>
            </w:tcBorders>
            <w:vAlign w:val="center"/>
          </w:tcPr>
          <w:p w14:paraId="50035EAD" w14:textId="4920DD5C"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845" w:type="dxa"/>
            <w:tcBorders>
              <w:top w:val="single" w:sz="4" w:space="0" w:color="auto"/>
              <w:left w:val="nil"/>
              <w:bottom w:val="single" w:sz="4" w:space="0" w:color="auto"/>
              <w:right w:val="single" w:sz="4" w:space="0" w:color="auto"/>
            </w:tcBorders>
            <w:vAlign w:val="center"/>
          </w:tcPr>
          <w:p w14:paraId="2C53E4D2" w14:textId="0CD8DE2E"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993" w:type="dxa"/>
            <w:tcBorders>
              <w:top w:val="single" w:sz="4" w:space="0" w:color="auto"/>
              <w:left w:val="nil"/>
              <w:bottom w:val="single" w:sz="4" w:space="0" w:color="auto"/>
              <w:right w:val="single" w:sz="4" w:space="0" w:color="auto"/>
            </w:tcBorders>
            <w:vAlign w:val="center"/>
          </w:tcPr>
          <w:p w14:paraId="297E1B31" w14:textId="76D03052"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850" w:type="dxa"/>
            <w:tcBorders>
              <w:top w:val="single" w:sz="4" w:space="0" w:color="auto"/>
              <w:left w:val="nil"/>
              <w:bottom w:val="single" w:sz="4" w:space="0" w:color="auto"/>
              <w:right w:val="single" w:sz="4" w:space="0" w:color="auto"/>
            </w:tcBorders>
            <w:vAlign w:val="center"/>
          </w:tcPr>
          <w:p w14:paraId="65E5E48A" w14:textId="2BDAC109"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641D39" w:rsidRPr="00641D39" w14:paraId="76718BE4"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3E818E6E"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 Andhra Pradesh</w:t>
            </w:r>
          </w:p>
        </w:tc>
        <w:tc>
          <w:tcPr>
            <w:tcW w:w="859" w:type="dxa"/>
            <w:tcBorders>
              <w:top w:val="nil"/>
              <w:left w:val="nil"/>
              <w:bottom w:val="single" w:sz="4" w:space="0" w:color="auto"/>
              <w:right w:val="single" w:sz="4" w:space="0" w:color="auto"/>
            </w:tcBorders>
            <w:vAlign w:val="center"/>
            <w:hideMark/>
          </w:tcPr>
          <w:p w14:paraId="0B41DFD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1390</w:t>
            </w:r>
          </w:p>
        </w:tc>
        <w:tc>
          <w:tcPr>
            <w:tcW w:w="851" w:type="dxa"/>
            <w:tcBorders>
              <w:top w:val="nil"/>
              <w:left w:val="nil"/>
              <w:bottom w:val="single" w:sz="4" w:space="0" w:color="auto"/>
              <w:right w:val="single" w:sz="4" w:space="0" w:color="auto"/>
            </w:tcBorders>
            <w:vAlign w:val="center"/>
            <w:hideMark/>
          </w:tcPr>
          <w:p w14:paraId="7933FDD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1454</w:t>
            </w:r>
          </w:p>
        </w:tc>
        <w:tc>
          <w:tcPr>
            <w:tcW w:w="802" w:type="dxa"/>
            <w:tcBorders>
              <w:top w:val="nil"/>
              <w:left w:val="nil"/>
              <w:bottom w:val="single" w:sz="4" w:space="0" w:color="auto"/>
              <w:right w:val="single" w:sz="4" w:space="0" w:color="auto"/>
            </w:tcBorders>
            <w:vAlign w:val="center"/>
            <w:hideMark/>
          </w:tcPr>
          <w:p w14:paraId="5A9DDB5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1521</w:t>
            </w:r>
          </w:p>
        </w:tc>
        <w:tc>
          <w:tcPr>
            <w:tcW w:w="757" w:type="dxa"/>
            <w:tcBorders>
              <w:top w:val="nil"/>
              <w:left w:val="nil"/>
              <w:bottom w:val="single" w:sz="4" w:space="0" w:color="auto"/>
              <w:right w:val="single" w:sz="4" w:space="0" w:color="auto"/>
            </w:tcBorders>
            <w:vAlign w:val="center"/>
            <w:hideMark/>
          </w:tcPr>
          <w:p w14:paraId="74F3DE3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1591</w:t>
            </w:r>
          </w:p>
        </w:tc>
        <w:tc>
          <w:tcPr>
            <w:tcW w:w="845" w:type="dxa"/>
            <w:tcBorders>
              <w:top w:val="nil"/>
              <w:left w:val="nil"/>
              <w:bottom w:val="single" w:sz="4" w:space="0" w:color="auto"/>
              <w:right w:val="single" w:sz="4" w:space="0" w:color="auto"/>
            </w:tcBorders>
            <w:vAlign w:val="center"/>
            <w:hideMark/>
          </w:tcPr>
          <w:p w14:paraId="4AA190E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1663</w:t>
            </w:r>
          </w:p>
        </w:tc>
        <w:tc>
          <w:tcPr>
            <w:tcW w:w="993" w:type="dxa"/>
            <w:tcBorders>
              <w:top w:val="nil"/>
              <w:left w:val="nil"/>
              <w:bottom w:val="single" w:sz="4" w:space="0" w:color="auto"/>
              <w:right w:val="single" w:sz="4" w:space="0" w:color="auto"/>
            </w:tcBorders>
            <w:vAlign w:val="center"/>
            <w:hideMark/>
          </w:tcPr>
          <w:p w14:paraId="334066A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1740</w:t>
            </w:r>
          </w:p>
        </w:tc>
        <w:tc>
          <w:tcPr>
            <w:tcW w:w="850" w:type="dxa"/>
            <w:tcBorders>
              <w:top w:val="nil"/>
              <w:left w:val="nil"/>
              <w:bottom w:val="single" w:sz="4" w:space="0" w:color="auto"/>
              <w:right w:val="single" w:sz="4" w:space="0" w:color="auto"/>
            </w:tcBorders>
            <w:vAlign w:val="center"/>
            <w:hideMark/>
          </w:tcPr>
          <w:p w14:paraId="48AED6C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7969</w:t>
            </w:r>
          </w:p>
        </w:tc>
      </w:tr>
      <w:tr w:rsidR="00641D39" w:rsidRPr="00641D39" w14:paraId="347AED3C"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7D10AB9A"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 Bihar</w:t>
            </w:r>
          </w:p>
        </w:tc>
        <w:tc>
          <w:tcPr>
            <w:tcW w:w="859" w:type="dxa"/>
            <w:tcBorders>
              <w:top w:val="nil"/>
              <w:left w:val="nil"/>
              <w:bottom w:val="single" w:sz="4" w:space="0" w:color="auto"/>
              <w:right w:val="single" w:sz="4" w:space="0" w:color="auto"/>
            </w:tcBorders>
            <w:vAlign w:val="center"/>
            <w:hideMark/>
          </w:tcPr>
          <w:p w14:paraId="039423D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1451</w:t>
            </w:r>
          </w:p>
        </w:tc>
        <w:tc>
          <w:tcPr>
            <w:tcW w:w="851" w:type="dxa"/>
            <w:tcBorders>
              <w:top w:val="nil"/>
              <w:left w:val="nil"/>
              <w:bottom w:val="single" w:sz="4" w:space="0" w:color="auto"/>
              <w:right w:val="single" w:sz="4" w:space="0" w:color="auto"/>
            </w:tcBorders>
            <w:vAlign w:val="center"/>
            <w:hideMark/>
          </w:tcPr>
          <w:p w14:paraId="6530A4E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1546</w:t>
            </w:r>
          </w:p>
        </w:tc>
        <w:tc>
          <w:tcPr>
            <w:tcW w:w="802" w:type="dxa"/>
            <w:tcBorders>
              <w:top w:val="nil"/>
              <w:left w:val="nil"/>
              <w:bottom w:val="single" w:sz="4" w:space="0" w:color="auto"/>
              <w:right w:val="single" w:sz="4" w:space="0" w:color="auto"/>
            </w:tcBorders>
            <w:vAlign w:val="center"/>
            <w:hideMark/>
          </w:tcPr>
          <w:p w14:paraId="163441E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1648</w:t>
            </w:r>
          </w:p>
        </w:tc>
        <w:tc>
          <w:tcPr>
            <w:tcW w:w="757" w:type="dxa"/>
            <w:tcBorders>
              <w:top w:val="nil"/>
              <w:left w:val="nil"/>
              <w:bottom w:val="single" w:sz="4" w:space="0" w:color="auto"/>
              <w:right w:val="single" w:sz="4" w:space="0" w:color="auto"/>
            </w:tcBorders>
            <w:vAlign w:val="center"/>
            <w:hideMark/>
          </w:tcPr>
          <w:p w14:paraId="6DD06BD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1755</w:t>
            </w:r>
          </w:p>
        </w:tc>
        <w:tc>
          <w:tcPr>
            <w:tcW w:w="845" w:type="dxa"/>
            <w:tcBorders>
              <w:top w:val="nil"/>
              <w:left w:val="nil"/>
              <w:bottom w:val="single" w:sz="4" w:space="0" w:color="auto"/>
              <w:right w:val="single" w:sz="4" w:space="0" w:color="auto"/>
            </w:tcBorders>
            <w:vAlign w:val="center"/>
            <w:hideMark/>
          </w:tcPr>
          <w:p w14:paraId="6FC70BA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1870</w:t>
            </w:r>
          </w:p>
        </w:tc>
        <w:tc>
          <w:tcPr>
            <w:tcW w:w="993" w:type="dxa"/>
            <w:tcBorders>
              <w:top w:val="nil"/>
              <w:left w:val="nil"/>
              <w:bottom w:val="single" w:sz="4" w:space="0" w:color="auto"/>
              <w:right w:val="single" w:sz="4" w:space="0" w:color="auto"/>
            </w:tcBorders>
            <w:vAlign w:val="center"/>
            <w:hideMark/>
          </w:tcPr>
          <w:p w14:paraId="4216BDA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1993</w:t>
            </w:r>
          </w:p>
        </w:tc>
        <w:tc>
          <w:tcPr>
            <w:tcW w:w="850" w:type="dxa"/>
            <w:tcBorders>
              <w:top w:val="nil"/>
              <w:left w:val="nil"/>
              <w:bottom w:val="single" w:sz="4" w:space="0" w:color="auto"/>
              <w:right w:val="single" w:sz="4" w:space="0" w:color="auto"/>
            </w:tcBorders>
            <w:vAlign w:val="center"/>
            <w:hideMark/>
          </w:tcPr>
          <w:p w14:paraId="7D760A6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8812</w:t>
            </w:r>
          </w:p>
        </w:tc>
      </w:tr>
      <w:tr w:rsidR="00641D39" w:rsidRPr="00641D39" w14:paraId="2513FB8E"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6AEBF787"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 Gujarat</w:t>
            </w:r>
          </w:p>
        </w:tc>
        <w:tc>
          <w:tcPr>
            <w:tcW w:w="859" w:type="dxa"/>
            <w:tcBorders>
              <w:top w:val="nil"/>
              <w:left w:val="nil"/>
              <w:bottom w:val="single" w:sz="4" w:space="0" w:color="auto"/>
              <w:right w:val="single" w:sz="4" w:space="0" w:color="auto"/>
            </w:tcBorders>
            <w:vAlign w:val="center"/>
            <w:hideMark/>
          </w:tcPr>
          <w:p w14:paraId="7983E2F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2274</w:t>
            </w:r>
          </w:p>
        </w:tc>
        <w:tc>
          <w:tcPr>
            <w:tcW w:w="851" w:type="dxa"/>
            <w:tcBorders>
              <w:top w:val="nil"/>
              <w:left w:val="nil"/>
              <w:bottom w:val="single" w:sz="4" w:space="0" w:color="auto"/>
              <w:right w:val="single" w:sz="4" w:space="0" w:color="auto"/>
            </w:tcBorders>
            <w:vAlign w:val="center"/>
            <w:hideMark/>
          </w:tcPr>
          <w:p w14:paraId="53A7E1F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2374</w:t>
            </w:r>
          </w:p>
        </w:tc>
        <w:tc>
          <w:tcPr>
            <w:tcW w:w="802" w:type="dxa"/>
            <w:tcBorders>
              <w:top w:val="nil"/>
              <w:left w:val="nil"/>
              <w:bottom w:val="single" w:sz="4" w:space="0" w:color="auto"/>
              <w:right w:val="single" w:sz="4" w:space="0" w:color="auto"/>
            </w:tcBorders>
            <w:vAlign w:val="center"/>
            <w:hideMark/>
          </w:tcPr>
          <w:p w14:paraId="6A93D94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2479</w:t>
            </w:r>
          </w:p>
        </w:tc>
        <w:tc>
          <w:tcPr>
            <w:tcW w:w="757" w:type="dxa"/>
            <w:tcBorders>
              <w:top w:val="nil"/>
              <w:left w:val="nil"/>
              <w:bottom w:val="single" w:sz="4" w:space="0" w:color="auto"/>
              <w:right w:val="single" w:sz="4" w:space="0" w:color="auto"/>
            </w:tcBorders>
            <w:vAlign w:val="center"/>
            <w:hideMark/>
          </w:tcPr>
          <w:p w14:paraId="4502725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2588</w:t>
            </w:r>
          </w:p>
        </w:tc>
        <w:tc>
          <w:tcPr>
            <w:tcW w:w="845" w:type="dxa"/>
            <w:tcBorders>
              <w:top w:val="nil"/>
              <w:left w:val="nil"/>
              <w:bottom w:val="single" w:sz="4" w:space="0" w:color="auto"/>
              <w:right w:val="single" w:sz="4" w:space="0" w:color="auto"/>
            </w:tcBorders>
            <w:vAlign w:val="center"/>
            <w:hideMark/>
          </w:tcPr>
          <w:p w14:paraId="09EA859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2702</w:t>
            </w:r>
          </w:p>
        </w:tc>
        <w:tc>
          <w:tcPr>
            <w:tcW w:w="993" w:type="dxa"/>
            <w:tcBorders>
              <w:top w:val="nil"/>
              <w:left w:val="nil"/>
              <w:bottom w:val="single" w:sz="4" w:space="0" w:color="auto"/>
              <w:right w:val="single" w:sz="4" w:space="0" w:color="auto"/>
            </w:tcBorders>
            <w:vAlign w:val="center"/>
            <w:hideMark/>
          </w:tcPr>
          <w:p w14:paraId="0514055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2821</w:t>
            </w:r>
          </w:p>
        </w:tc>
        <w:tc>
          <w:tcPr>
            <w:tcW w:w="850" w:type="dxa"/>
            <w:tcBorders>
              <w:top w:val="nil"/>
              <w:left w:val="nil"/>
              <w:bottom w:val="single" w:sz="4" w:space="0" w:color="auto"/>
              <w:right w:val="single" w:sz="4" w:space="0" w:color="auto"/>
            </w:tcBorders>
            <w:vAlign w:val="center"/>
            <w:hideMark/>
          </w:tcPr>
          <w:p w14:paraId="6C1CB9E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12963</w:t>
            </w:r>
          </w:p>
        </w:tc>
      </w:tr>
      <w:tr w:rsidR="00641D39" w:rsidRPr="00641D39" w14:paraId="2ACC8A86"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0AA63228"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 Haryana</w:t>
            </w:r>
          </w:p>
        </w:tc>
        <w:tc>
          <w:tcPr>
            <w:tcW w:w="859" w:type="dxa"/>
            <w:tcBorders>
              <w:top w:val="nil"/>
              <w:left w:val="nil"/>
              <w:bottom w:val="single" w:sz="4" w:space="0" w:color="auto"/>
              <w:right w:val="single" w:sz="4" w:space="0" w:color="auto"/>
            </w:tcBorders>
            <w:vAlign w:val="center"/>
            <w:hideMark/>
          </w:tcPr>
          <w:p w14:paraId="24DEEB8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46</w:t>
            </w:r>
          </w:p>
        </w:tc>
        <w:tc>
          <w:tcPr>
            <w:tcW w:w="851" w:type="dxa"/>
            <w:tcBorders>
              <w:top w:val="nil"/>
              <w:left w:val="nil"/>
              <w:bottom w:val="single" w:sz="4" w:space="0" w:color="auto"/>
              <w:right w:val="single" w:sz="4" w:space="0" w:color="auto"/>
            </w:tcBorders>
            <w:vAlign w:val="center"/>
            <w:hideMark/>
          </w:tcPr>
          <w:p w14:paraId="16FE0FA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64</w:t>
            </w:r>
          </w:p>
        </w:tc>
        <w:tc>
          <w:tcPr>
            <w:tcW w:w="802" w:type="dxa"/>
            <w:tcBorders>
              <w:top w:val="nil"/>
              <w:left w:val="nil"/>
              <w:bottom w:val="single" w:sz="4" w:space="0" w:color="auto"/>
              <w:right w:val="single" w:sz="4" w:space="0" w:color="auto"/>
            </w:tcBorders>
            <w:vAlign w:val="center"/>
            <w:hideMark/>
          </w:tcPr>
          <w:p w14:paraId="2BAA63D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88</w:t>
            </w:r>
          </w:p>
        </w:tc>
        <w:tc>
          <w:tcPr>
            <w:tcW w:w="757" w:type="dxa"/>
            <w:tcBorders>
              <w:top w:val="nil"/>
              <w:left w:val="nil"/>
              <w:bottom w:val="single" w:sz="4" w:space="0" w:color="auto"/>
              <w:right w:val="single" w:sz="4" w:space="0" w:color="auto"/>
            </w:tcBorders>
            <w:vAlign w:val="center"/>
            <w:hideMark/>
          </w:tcPr>
          <w:p w14:paraId="42C3F19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122</w:t>
            </w:r>
          </w:p>
        </w:tc>
        <w:tc>
          <w:tcPr>
            <w:tcW w:w="845" w:type="dxa"/>
            <w:tcBorders>
              <w:top w:val="nil"/>
              <w:left w:val="nil"/>
              <w:bottom w:val="single" w:sz="4" w:space="0" w:color="auto"/>
              <w:right w:val="single" w:sz="4" w:space="0" w:color="auto"/>
            </w:tcBorders>
            <w:vAlign w:val="center"/>
            <w:hideMark/>
          </w:tcPr>
          <w:p w14:paraId="7218DFB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168</w:t>
            </w:r>
          </w:p>
        </w:tc>
        <w:tc>
          <w:tcPr>
            <w:tcW w:w="993" w:type="dxa"/>
            <w:tcBorders>
              <w:top w:val="nil"/>
              <w:left w:val="nil"/>
              <w:bottom w:val="single" w:sz="4" w:space="0" w:color="auto"/>
              <w:right w:val="single" w:sz="4" w:space="0" w:color="auto"/>
            </w:tcBorders>
            <w:vAlign w:val="center"/>
            <w:hideMark/>
          </w:tcPr>
          <w:p w14:paraId="3F4B347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232</w:t>
            </w:r>
          </w:p>
        </w:tc>
        <w:tc>
          <w:tcPr>
            <w:tcW w:w="850" w:type="dxa"/>
            <w:tcBorders>
              <w:top w:val="nil"/>
              <w:left w:val="nil"/>
              <w:bottom w:val="single" w:sz="4" w:space="0" w:color="auto"/>
              <w:right w:val="single" w:sz="4" w:space="0" w:color="auto"/>
            </w:tcBorders>
            <w:vAlign w:val="center"/>
            <w:hideMark/>
          </w:tcPr>
          <w:p w14:paraId="4329847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673</w:t>
            </w:r>
          </w:p>
        </w:tc>
      </w:tr>
      <w:tr w:rsidR="00641D39" w:rsidRPr="00641D39" w14:paraId="453FEFA8"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03EB0BBA"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 Karnataka</w:t>
            </w:r>
          </w:p>
        </w:tc>
        <w:tc>
          <w:tcPr>
            <w:tcW w:w="859" w:type="dxa"/>
            <w:tcBorders>
              <w:top w:val="nil"/>
              <w:left w:val="nil"/>
              <w:bottom w:val="single" w:sz="4" w:space="0" w:color="auto"/>
              <w:right w:val="single" w:sz="4" w:space="0" w:color="auto"/>
            </w:tcBorders>
            <w:vAlign w:val="center"/>
            <w:hideMark/>
          </w:tcPr>
          <w:p w14:paraId="6B2D984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3157</w:t>
            </w:r>
          </w:p>
        </w:tc>
        <w:tc>
          <w:tcPr>
            <w:tcW w:w="851" w:type="dxa"/>
            <w:tcBorders>
              <w:top w:val="nil"/>
              <w:left w:val="nil"/>
              <w:bottom w:val="single" w:sz="4" w:space="0" w:color="auto"/>
              <w:right w:val="single" w:sz="4" w:space="0" w:color="auto"/>
            </w:tcBorders>
            <w:vAlign w:val="center"/>
            <w:hideMark/>
          </w:tcPr>
          <w:p w14:paraId="4F373D4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2993</w:t>
            </w:r>
          </w:p>
        </w:tc>
        <w:tc>
          <w:tcPr>
            <w:tcW w:w="802" w:type="dxa"/>
            <w:tcBorders>
              <w:top w:val="nil"/>
              <w:left w:val="nil"/>
              <w:bottom w:val="single" w:sz="4" w:space="0" w:color="auto"/>
              <w:right w:val="single" w:sz="4" w:space="0" w:color="auto"/>
            </w:tcBorders>
            <w:vAlign w:val="center"/>
            <w:hideMark/>
          </w:tcPr>
          <w:p w14:paraId="1537694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2836</w:t>
            </w:r>
          </w:p>
        </w:tc>
        <w:tc>
          <w:tcPr>
            <w:tcW w:w="757" w:type="dxa"/>
            <w:tcBorders>
              <w:top w:val="nil"/>
              <w:left w:val="nil"/>
              <w:bottom w:val="single" w:sz="4" w:space="0" w:color="auto"/>
              <w:right w:val="single" w:sz="4" w:space="0" w:color="auto"/>
            </w:tcBorders>
            <w:vAlign w:val="center"/>
            <w:hideMark/>
          </w:tcPr>
          <w:p w14:paraId="09CF568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2688</w:t>
            </w:r>
          </w:p>
        </w:tc>
        <w:tc>
          <w:tcPr>
            <w:tcW w:w="845" w:type="dxa"/>
            <w:tcBorders>
              <w:top w:val="nil"/>
              <w:left w:val="nil"/>
              <w:bottom w:val="single" w:sz="4" w:space="0" w:color="auto"/>
              <w:right w:val="single" w:sz="4" w:space="0" w:color="auto"/>
            </w:tcBorders>
            <w:vAlign w:val="center"/>
            <w:hideMark/>
          </w:tcPr>
          <w:p w14:paraId="72379C0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2548</w:t>
            </w:r>
          </w:p>
        </w:tc>
        <w:tc>
          <w:tcPr>
            <w:tcW w:w="993" w:type="dxa"/>
            <w:tcBorders>
              <w:top w:val="nil"/>
              <w:left w:val="nil"/>
              <w:bottom w:val="single" w:sz="4" w:space="0" w:color="auto"/>
              <w:right w:val="single" w:sz="4" w:space="0" w:color="auto"/>
            </w:tcBorders>
            <w:vAlign w:val="center"/>
            <w:hideMark/>
          </w:tcPr>
          <w:p w14:paraId="5A68FB8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2415</w:t>
            </w:r>
          </w:p>
        </w:tc>
        <w:tc>
          <w:tcPr>
            <w:tcW w:w="850" w:type="dxa"/>
            <w:tcBorders>
              <w:top w:val="nil"/>
              <w:left w:val="nil"/>
              <w:bottom w:val="single" w:sz="4" w:space="0" w:color="auto"/>
              <w:right w:val="single" w:sz="4" w:space="0" w:color="auto"/>
            </w:tcBorders>
            <w:vAlign w:val="center"/>
            <w:hideMark/>
          </w:tcPr>
          <w:p w14:paraId="08872FC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13481</w:t>
            </w:r>
          </w:p>
        </w:tc>
      </w:tr>
      <w:tr w:rsidR="00641D39" w:rsidRPr="00641D39" w14:paraId="6C6BD4A9"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40D9D321"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 Kerala</w:t>
            </w:r>
          </w:p>
        </w:tc>
        <w:tc>
          <w:tcPr>
            <w:tcW w:w="859" w:type="dxa"/>
            <w:tcBorders>
              <w:top w:val="nil"/>
              <w:left w:val="nil"/>
              <w:bottom w:val="single" w:sz="4" w:space="0" w:color="auto"/>
              <w:right w:val="single" w:sz="4" w:space="0" w:color="auto"/>
            </w:tcBorders>
            <w:vAlign w:val="center"/>
            <w:hideMark/>
          </w:tcPr>
          <w:p w14:paraId="7F855D5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1964</w:t>
            </w:r>
          </w:p>
        </w:tc>
        <w:tc>
          <w:tcPr>
            <w:tcW w:w="851" w:type="dxa"/>
            <w:tcBorders>
              <w:top w:val="nil"/>
              <w:left w:val="nil"/>
              <w:bottom w:val="single" w:sz="4" w:space="0" w:color="auto"/>
              <w:right w:val="single" w:sz="4" w:space="0" w:color="auto"/>
            </w:tcBorders>
            <w:vAlign w:val="center"/>
            <w:hideMark/>
          </w:tcPr>
          <w:p w14:paraId="3A5A05C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2352</w:t>
            </w:r>
          </w:p>
        </w:tc>
        <w:tc>
          <w:tcPr>
            <w:tcW w:w="802" w:type="dxa"/>
            <w:tcBorders>
              <w:top w:val="nil"/>
              <w:left w:val="nil"/>
              <w:bottom w:val="single" w:sz="4" w:space="0" w:color="auto"/>
              <w:right w:val="single" w:sz="4" w:space="0" w:color="auto"/>
            </w:tcBorders>
            <w:vAlign w:val="center"/>
            <w:hideMark/>
          </w:tcPr>
          <w:p w14:paraId="2A9D82C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2817</w:t>
            </w:r>
          </w:p>
        </w:tc>
        <w:tc>
          <w:tcPr>
            <w:tcW w:w="757" w:type="dxa"/>
            <w:tcBorders>
              <w:top w:val="nil"/>
              <w:left w:val="nil"/>
              <w:bottom w:val="single" w:sz="4" w:space="0" w:color="auto"/>
              <w:right w:val="single" w:sz="4" w:space="0" w:color="auto"/>
            </w:tcBorders>
            <w:vAlign w:val="center"/>
            <w:hideMark/>
          </w:tcPr>
          <w:p w14:paraId="77AF0F6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3373</w:t>
            </w:r>
          </w:p>
        </w:tc>
        <w:tc>
          <w:tcPr>
            <w:tcW w:w="845" w:type="dxa"/>
            <w:tcBorders>
              <w:top w:val="nil"/>
              <w:left w:val="nil"/>
              <w:bottom w:val="single" w:sz="4" w:space="0" w:color="auto"/>
              <w:right w:val="single" w:sz="4" w:space="0" w:color="auto"/>
            </w:tcBorders>
            <w:vAlign w:val="center"/>
            <w:hideMark/>
          </w:tcPr>
          <w:p w14:paraId="11EF50C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4039</w:t>
            </w:r>
          </w:p>
        </w:tc>
        <w:tc>
          <w:tcPr>
            <w:tcW w:w="993" w:type="dxa"/>
            <w:tcBorders>
              <w:top w:val="nil"/>
              <w:left w:val="nil"/>
              <w:bottom w:val="single" w:sz="4" w:space="0" w:color="auto"/>
              <w:right w:val="single" w:sz="4" w:space="0" w:color="auto"/>
            </w:tcBorders>
            <w:vAlign w:val="center"/>
            <w:hideMark/>
          </w:tcPr>
          <w:p w14:paraId="24FA416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4836</w:t>
            </w:r>
          </w:p>
        </w:tc>
        <w:tc>
          <w:tcPr>
            <w:tcW w:w="850" w:type="dxa"/>
            <w:tcBorders>
              <w:top w:val="nil"/>
              <w:left w:val="nil"/>
              <w:bottom w:val="single" w:sz="4" w:space="0" w:color="auto"/>
              <w:right w:val="single" w:sz="4" w:space="0" w:color="auto"/>
            </w:tcBorders>
            <w:vAlign w:val="center"/>
            <w:hideMark/>
          </w:tcPr>
          <w:p w14:paraId="2FABC9D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17417</w:t>
            </w:r>
          </w:p>
        </w:tc>
      </w:tr>
      <w:tr w:rsidR="00641D39" w:rsidRPr="00641D39" w14:paraId="6CE618F8"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7FCA4C21"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 Madhya Pradesh</w:t>
            </w:r>
          </w:p>
        </w:tc>
        <w:tc>
          <w:tcPr>
            <w:tcW w:w="859" w:type="dxa"/>
            <w:tcBorders>
              <w:top w:val="nil"/>
              <w:left w:val="nil"/>
              <w:bottom w:val="single" w:sz="4" w:space="0" w:color="auto"/>
              <w:right w:val="single" w:sz="4" w:space="0" w:color="auto"/>
            </w:tcBorders>
            <w:vAlign w:val="center"/>
            <w:hideMark/>
          </w:tcPr>
          <w:p w14:paraId="0ED78E3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1876</w:t>
            </w:r>
          </w:p>
        </w:tc>
        <w:tc>
          <w:tcPr>
            <w:tcW w:w="851" w:type="dxa"/>
            <w:tcBorders>
              <w:top w:val="nil"/>
              <w:left w:val="nil"/>
              <w:bottom w:val="single" w:sz="4" w:space="0" w:color="auto"/>
              <w:right w:val="single" w:sz="4" w:space="0" w:color="auto"/>
            </w:tcBorders>
            <w:vAlign w:val="center"/>
            <w:hideMark/>
          </w:tcPr>
          <w:p w14:paraId="7E76BF8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1807</w:t>
            </w:r>
          </w:p>
        </w:tc>
        <w:tc>
          <w:tcPr>
            <w:tcW w:w="802" w:type="dxa"/>
            <w:tcBorders>
              <w:top w:val="nil"/>
              <w:left w:val="nil"/>
              <w:bottom w:val="single" w:sz="4" w:space="0" w:color="auto"/>
              <w:right w:val="single" w:sz="4" w:space="0" w:color="auto"/>
            </w:tcBorders>
            <w:vAlign w:val="center"/>
            <w:hideMark/>
          </w:tcPr>
          <w:p w14:paraId="2C9F3E3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1739</w:t>
            </w:r>
          </w:p>
        </w:tc>
        <w:tc>
          <w:tcPr>
            <w:tcW w:w="757" w:type="dxa"/>
            <w:tcBorders>
              <w:top w:val="nil"/>
              <w:left w:val="nil"/>
              <w:bottom w:val="single" w:sz="4" w:space="0" w:color="auto"/>
              <w:right w:val="single" w:sz="4" w:space="0" w:color="auto"/>
            </w:tcBorders>
            <w:vAlign w:val="center"/>
            <w:hideMark/>
          </w:tcPr>
          <w:p w14:paraId="7422B49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1675</w:t>
            </w:r>
          </w:p>
        </w:tc>
        <w:tc>
          <w:tcPr>
            <w:tcW w:w="845" w:type="dxa"/>
            <w:tcBorders>
              <w:top w:val="nil"/>
              <w:left w:val="nil"/>
              <w:bottom w:val="single" w:sz="4" w:space="0" w:color="auto"/>
              <w:right w:val="single" w:sz="4" w:space="0" w:color="auto"/>
            </w:tcBorders>
            <w:vAlign w:val="center"/>
            <w:hideMark/>
          </w:tcPr>
          <w:p w14:paraId="72772BA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1612</w:t>
            </w:r>
          </w:p>
        </w:tc>
        <w:tc>
          <w:tcPr>
            <w:tcW w:w="993" w:type="dxa"/>
            <w:tcBorders>
              <w:top w:val="nil"/>
              <w:left w:val="nil"/>
              <w:bottom w:val="single" w:sz="4" w:space="0" w:color="auto"/>
              <w:right w:val="single" w:sz="4" w:space="0" w:color="auto"/>
            </w:tcBorders>
            <w:vAlign w:val="center"/>
            <w:hideMark/>
          </w:tcPr>
          <w:p w14:paraId="60D23FA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1552</w:t>
            </w:r>
          </w:p>
        </w:tc>
        <w:tc>
          <w:tcPr>
            <w:tcW w:w="850" w:type="dxa"/>
            <w:tcBorders>
              <w:top w:val="nil"/>
              <w:left w:val="nil"/>
              <w:bottom w:val="single" w:sz="4" w:space="0" w:color="auto"/>
              <w:right w:val="single" w:sz="4" w:space="0" w:color="auto"/>
            </w:tcBorders>
            <w:vAlign w:val="center"/>
            <w:hideMark/>
          </w:tcPr>
          <w:p w14:paraId="7CE15E2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8385</w:t>
            </w:r>
          </w:p>
        </w:tc>
      </w:tr>
      <w:tr w:rsidR="00641D39" w:rsidRPr="00641D39" w14:paraId="7B5EF66C"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5258C66C"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 Maharashtra</w:t>
            </w:r>
          </w:p>
        </w:tc>
        <w:tc>
          <w:tcPr>
            <w:tcW w:w="859" w:type="dxa"/>
            <w:tcBorders>
              <w:top w:val="nil"/>
              <w:left w:val="nil"/>
              <w:bottom w:val="single" w:sz="4" w:space="0" w:color="auto"/>
              <w:right w:val="single" w:sz="4" w:space="0" w:color="auto"/>
            </w:tcBorders>
            <w:vAlign w:val="center"/>
            <w:hideMark/>
          </w:tcPr>
          <w:p w14:paraId="32C0FF7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5537</w:t>
            </w:r>
          </w:p>
        </w:tc>
        <w:tc>
          <w:tcPr>
            <w:tcW w:w="851" w:type="dxa"/>
            <w:tcBorders>
              <w:top w:val="nil"/>
              <w:left w:val="nil"/>
              <w:bottom w:val="single" w:sz="4" w:space="0" w:color="auto"/>
              <w:right w:val="single" w:sz="4" w:space="0" w:color="auto"/>
            </w:tcBorders>
            <w:vAlign w:val="center"/>
            <w:hideMark/>
          </w:tcPr>
          <w:p w14:paraId="3115571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5084</w:t>
            </w:r>
          </w:p>
        </w:tc>
        <w:tc>
          <w:tcPr>
            <w:tcW w:w="802" w:type="dxa"/>
            <w:tcBorders>
              <w:top w:val="nil"/>
              <w:left w:val="nil"/>
              <w:bottom w:val="single" w:sz="4" w:space="0" w:color="auto"/>
              <w:right w:val="single" w:sz="4" w:space="0" w:color="auto"/>
            </w:tcBorders>
            <w:vAlign w:val="center"/>
            <w:hideMark/>
          </w:tcPr>
          <w:p w14:paraId="1ABAE58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4668</w:t>
            </w:r>
          </w:p>
        </w:tc>
        <w:tc>
          <w:tcPr>
            <w:tcW w:w="757" w:type="dxa"/>
            <w:tcBorders>
              <w:top w:val="nil"/>
              <w:left w:val="nil"/>
              <w:bottom w:val="single" w:sz="4" w:space="0" w:color="auto"/>
              <w:right w:val="single" w:sz="4" w:space="0" w:color="auto"/>
            </w:tcBorders>
            <w:vAlign w:val="center"/>
            <w:hideMark/>
          </w:tcPr>
          <w:p w14:paraId="0F04FDA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4286</w:t>
            </w:r>
          </w:p>
        </w:tc>
        <w:tc>
          <w:tcPr>
            <w:tcW w:w="845" w:type="dxa"/>
            <w:tcBorders>
              <w:top w:val="nil"/>
              <w:left w:val="nil"/>
              <w:bottom w:val="single" w:sz="4" w:space="0" w:color="auto"/>
              <w:right w:val="single" w:sz="4" w:space="0" w:color="auto"/>
            </w:tcBorders>
            <w:vAlign w:val="center"/>
            <w:hideMark/>
          </w:tcPr>
          <w:p w14:paraId="4D84E38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3935</w:t>
            </w:r>
          </w:p>
        </w:tc>
        <w:tc>
          <w:tcPr>
            <w:tcW w:w="993" w:type="dxa"/>
            <w:tcBorders>
              <w:top w:val="nil"/>
              <w:left w:val="nil"/>
              <w:bottom w:val="single" w:sz="4" w:space="0" w:color="auto"/>
              <w:right w:val="single" w:sz="4" w:space="0" w:color="auto"/>
            </w:tcBorders>
            <w:vAlign w:val="center"/>
            <w:hideMark/>
          </w:tcPr>
          <w:p w14:paraId="7E19EB1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3613</w:t>
            </w:r>
          </w:p>
        </w:tc>
        <w:tc>
          <w:tcPr>
            <w:tcW w:w="850" w:type="dxa"/>
            <w:tcBorders>
              <w:top w:val="nil"/>
              <w:left w:val="nil"/>
              <w:bottom w:val="single" w:sz="4" w:space="0" w:color="auto"/>
              <w:right w:val="single" w:sz="4" w:space="0" w:color="auto"/>
            </w:tcBorders>
            <w:vAlign w:val="center"/>
            <w:hideMark/>
          </w:tcPr>
          <w:p w14:paraId="435DAA6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21584</w:t>
            </w:r>
          </w:p>
        </w:tc>
      </w:tr>
      <w:tr w:rsidR="00641D39" w:rsidRPr="00641D39" w14:paraId="08DBF7D1"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0520989B"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 Orissa</w:t>
            </w:r>
          </w:p>
        </w:tc>
        <w:tc>
          <w:tcPr>
            <w:tcW w:w="859" w:type="dxa"/>
            <w:tcBorders>
              <w:top w:val="nil"/>
              <w:left w:val="nil"/>
              <w:bottom w:val="single" w:sz="4" w:space="0" w:color="auto"/>
              <w:right w:val="single" w:sz="4" w:space="0" w:color="auto"/>
            </w:tcBorders>
            <w:vAlign w:val="center"/>
            <w:hideMark/>
          </w:tcPr>
          <w:p w14:paraId="4E8B201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989</w:t>
            </w:r>
          </w:p>
        </w:tc>
        <w:tc>
          <w:tcPr>
            <w:tcW w:w="851" w:type="dxa"/>
            <w:tcBorders>
              <w:top w:val="nil"/>
              <w:left w:val="nil"/>
              <w:bottom w:val="single" w:sz="4" w:space="0" w:color="auto"/>
              <w:right w:val="single" w:sz="4" w:space="0" w:color="auto"/>
            </w:tcBorders>
            <w:vAlign w:val="center"/>
            <w:hideMark/>
          </w:tcPr>
          <w:p w14:paraId="4A5AEB8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981</w:t>
            </w:r>
          </w:p>
        </w:tc>
        <w:tc>
          <w:tcPr>
            <w:tcW w:w="802" w:type="dxa"/>
            <w:tcBorders>
              <w:top w:val="nil"/>
              <w:left w:val="nil"/>
              <w:bottom w:val="single" w:sz="4" w:space="0" w:color="auto"/>
              <w:right w:val="single" w:sz="4" w:space="0" w:color="auto"/>
            </w:tcBorders>
            <w:vAlign w:val="center"/>
            <w:hideMark/>
          </w:tcPr>
          <w:p w14:paraId="1D0A2D0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972</w:t>
            </w:r>
          </w:p>
        </w:tc>
        <w:tc>
          <w:tcPr>
            <w:tcW w:w="757" w:type="dxa"/>
            <w:tcBorders>
              <w:top w:val="nil"/>
              <w:left w:val="nil"/>
              <w:bottom w:val="single" w:sz="4" w:space="0" w:color="auto"/>
              <w:right w:val="single" w:sz="4" w:space="0" w:color="auto"/>
            </w:tcBorders>
            <w:vAlign w:val="center"/>
            <w:hideMark/>
          </w:tcPr>
          <w:p w14:paraId="2A6D311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963</w:t>
            </w:r>
          </w:p>
        </w:tc>
        <w:tc>
          <w:tcPr>
            <w:tcW w:w="845" w:type="dxa"/>
            <w:tcBorders>
              <w:top w:val="nil"/>
              <w:left w:val="nil"/>
              <w:bottom w:val="single" w:sz="4" w:space="0" w:color="auto"/>
              <w:right w:val="single" w:sz="4" w:space="0" w:color="auto"/>
            </w:tcBorders>
            <w:vAlign w:val="center"/>
            <w:hideMark/>
          </w:tcPr>
          <w:p w14:paraId="3A0216C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955</w:t>
            </w:r>
          </w:p>
        </w:tc>
        <w:tc>
          <w:tcPr>
            <w:tcW w:w="993" w:type="dxa"/>
            <w:tcBorders>
              <w:top w:val="nil"/>
              <w:left w:val="nil"/>
              <w:bottom w:val="single" w:sz="4" w:space="0" w:color="auto"/>
              <w:right w:val="single" w:sz="4" w:space="0" w:color="auto"/>
            </w:tcBorders>
            <w:vAlign w:val="center"/>
            <w:hideMark/>
          </w:tcPr>
          <w:p w14:paraId="7D2FAF3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946</w:t>
            </w:r>
          </w:p>
        </w:tc>
        <w:tc>
          <w:tcPr>
            <w:tcW w:w="850" w:type="dxa"/>
            <w:tcBorders>
              <w:top w:val="nil"/>
              <w:left w:val="nil"/>
              <w:bottom w:val="single" w:sz="4" w:space="0" w:color="auto"/>
              <w:right w:val="single" w:sz="4" w:space="0" w:color="auto"/>
            </w:tcBorders>
            <w:vAlign w:val="center"/>
            <w:hideMark/>
          </w:tcPr>
          <w:p w14:paraId="2960FD2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4816</w:t>
            </w:r>
          </w:p>
        </w:tc>
      </w:tr>
      <w:tr w:rsidR="00641D39" w:rsidRPr="00641D39" w14:paraId="4188515D"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79BEC711"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 Punjab</w:t>
            </w:r>
          </w:p>
        </w:tc>
        <w:tc>
          <w:tcPr>
            <w:tcW w:w="859" w:type="dxa"/>
            <w:tcBorders>
              <w:top w:val="nil"/>
              <w:left w:val="nil"/>
              <w:bottom w:val="single" w:sz="4" w:space="0" w:color="auto"/>
              <w:right w:val="single" w:sz="4" w:space="0" w:color="auto"/>
            </w:tcBorders>
            <w:vAlign w:val="center"/>
            <w:hideMark/>
          </w:tcPr>
          <w:p w14:paraId="26E7D59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311</w:t>
            </w:r>
          </w:p>
        </w:tc>
        <w:tc>
          <w:tcPr>
            <w:tcW w:w="851" w:type="dxa"/>
            <w:tcBorders>
              <w:top w:val="nil"/>
              <w:left w:val="nil"/>
              <w:bottom w:val="single" w:sz="4" w:space="0" w:color="auto"/>
              <w:right w:val="single" w:sz="4" w:space="0" w:color="auto"/>
            </w:tcBorders>
            <w:vAlign w:val="center"/>
            <w:hideMark/>
          </w:tcPr>
          <w:p w14:paraId="26F9791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318</w:t>
            </w:r>
          </w:p>
        </w:tc>
        <w:tc>
          <w:tcPr>
            <w:tcW w:w="802" w:type="dxa"/>
            <w:tcBorders>
              <w:top w:val="nil"/>
              <w:left w:val="nil"/>
              <w:bottom w:val="single" w:sz="4" w:space="0" w:color="auto"/>
              <w:right w:val="single" w:sz="4" w:space="0" w:color="auto"/>
            </w:tcBorders>
            <w:vAlign w:val="center"/>
            <w:hideMark/>
          </w:tcPr>
          <w:p w14:paraId="4BA7378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326</w:t>
            </w:r>
          </w:p>
        </w:tc>
        <w:tc>
          <w:tcPr>
            <w:tcW w:w="757" w:type="dxa"/>
            <w:tcBorders>
              <w:top w:val="nil"/>
              <w:left w:val="nil"/>
              <w:bottom w:val="single" w:sz="4" w:space="0" w:color="auto"/>
              <w:right w:val="single" w:sz="4" w:space="0" w:color="auto"/>
            </w:tcBorders>
            <w:vAlign w:val="center"/>
            <w:hideMark/>
          </w:tcPr>
          <w:p w14:paraId="690A1D8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333</w:t>
            </w:r>
          </w:p>
        </w:tc>
        <w:tc>
          <w:tcPr>
            <w:tcW w:w="845" w:type="dxa"/>
            <w:tcBorders>
              <w:top w:val="nil"/>
              <w:left w:val="nil"/>
              <w:bottom w:val="single" w:sz="4" w:space="0" w:color="auto"/>
              <w:right w:val="single" w:sz="4" w:space="0" w:color="auto"/>
            </w:tcBorders>
            <w:vAlign w:val="center"/>
            <w:hideMark/>
          </w:tcPr>
          <w:p w14:paraId="441B4B3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341</w:t>
            </w:r>
          </w:p>
        </w:tc>
        <w:tc>
          <w:tcPr>
            <w:tcW w:w="993" w:type="dxa"/>
            <w:tcBorders>
              <w:top w:val="nil"/>
              <w:left w:val="nil"/>
              <w:bottom w:val="single" w:sz="4" w:space="0" w:color="auto"/>
              <w:right w:val="single" w:sz="4" w:space="0" w:color="auto"/>
            </w:tcBorders>
            <w:vAlign w:val="center"/>
            <w:hideMark/>
          </w:tcPr>
          <w:p w14:paraId="6622276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349</w:t>
            </w:r>
          </w:p>
        </w:tc>
        <w:tc>
          <w:tcPr>
            <w:tcW w:w="850" w:type="dxa"/>
            <w:tcBorders>
              <w:top w:val="nil"/>
              <w:left w:val="nil"/>
              <w:bottom w:val="single" w:sz="4" w:space="0" w:color="auto"/>
              <w:right w:val="single" w:sz="4" w:space="0" w:color="auto"/>
            </w:tcBorders>
            <w:vAlign w:val="center"/>
            <w:hideMark/>
          </w:tcPr>
          <w:p w14:paraId="474F1FE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1667</w:t>
            </w:r>
          </w:p>
        </w:tc>
      </w:tr>
      <w:tr w:rsidR="00641D39" w:rsidRPr="00641D39" w14:paraId="2AADAEDE"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25A63235"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 Rajasthan</w:t>
            </w:r>
          </w:p>
        </w:tc>
        <w:tc>
          <w:tcPr>
            <w:tcW w:w="859" w:type="dxa"/>
            <w:tcBorders>
              <w:top w:val="nil"/>
              <w:left w:val="nil"/>
              <w:bottom w:val="single" w:sz="4" w:space="0" w:color="auto"/>
              <w:right w:val="single" w:sz="4" w:space="0" w:color="auto"/>
            </w:tcBorders>
            <w:vAlign w:val="center"/>
            <w:hideMark/>
          </w:tcPr>
          <w:p w14:paraId="73E0D16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2537</w:t>
            </w:r>
          </w:p>
        </w:tc>
        <w:tc>
          <w:tcPr>
            <w:tcW w:w="851" w:type="dxa"/>
            <w:tcBorders>
              <w:top w:val="nil"/>
              <w:left w:val="nil"/>
              <w:bottom w:val="single" w:sz="4" w:space="0" w:color="auto"/>
              <w:right w:val="single" w:sz="4" w:space="0" w:color="auto"/>
            </w:tcBorders>
            <w:vAlign w:val="center"/>
            <w:hideMark/>
          </w:tcPr>
          <w:p w14:paraId="12CF28F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2522</w:t>
            </w:r>
          </w:p>
        </w:tc>
        <w:tc>
          <w:tcPr>
            <w:tcW w:w="802" w:type="dxa"/>
            <w:tcBorders>
              <w:top w:val="nil"/>
              <w:left w:val="nil"/>
              <w:bottom w:val="single" w:sz="4" w:space="0" w:color="auto"/>
              <w:right w:val="single" w:sz="4" w:space="0" w:color="auto"/>
            </w:tcBorders>
            <w:vAlign w:val="center"/>
            <w:hideMark/>
          </w:tcPr>
          <w:p w14:paraId="3062D0E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2508</w:t>
            </w:r>
          </w:p>
        </w:tc>
        <w:tc>
          <w:tcPr>
            <w:tcW w:w="757" w:type="dxa"/>
            <w:tcBorders>
              <w:top w:val="nil"/>
              <w:left w:val="nil"/>
              <w:bottom w:val="single" w:sz="4" w:space="0" w:color="auto"/>
              <w:right w:val="single" w:sz="4" w:space="0" w:color="auto"/>
            </w:tcBorders>
            <w:vAlign w:val="center"/>
            <w:hideMark/>
          </w:tcPr>
          <w:p w14:paraId="59F5644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2494</w:t>
            </w:r>
          </w:p>
        </w:tc>
        <w:tc>
          <w:tcPr>
            <w:tcW w:w="845" w:type="dxa"/>
            <w:tcBorders>
              <w:top w:val="nil"/>
              <w:left w:val="nil"/>
              <w:bottom w:val="single" w:sz="4" w:space="0" w:color="auto"/>
              <w:right w:val="single" w:sz="4" w:space="0" w:color="auto"/>
            </w:tcBorders>
            <w:vAlign w:val="center"/>
            <w:hideMark/>
          </w:tcPr>
          <w:p w14:paraId="36156F6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2480</w:t>
            </w:r>
          </w:p>
        </w:tc>
        <w:tc>
          <w:tcPr>
            <w:tcW w:w="993" w:type="dxa"/>
            <w:tcBorders>
              <w:top w:val="nil"/>
              <w:left w:val="nil"/>
              <w:bottom w:val="single" w:sz="4" w:space="0" w:color="auto"/>
              <w:right w:val="single" w:sz="4" w:space="0" w:color="auto"/>
            </w:tcBorders>
            <w:vAlign w:val="center"/>
            <w:hideMark/>
          </w:tcPr>
          <w:p w14:paraId="6F60B52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2465</w:t>
            </w:r>
          </w:p>
        </w:tc>
        <w:tc>
          <w:tcPr>
            <w:tcW w:w="850" w:type="dxa"/>
            <w:tcBorders>
              <w:top w:val="nil"/>
              <w:left w:val="nil"/>
              <w:bottom w:val="single" w:sz="4" w:space="0" w:color="auto"/>
              <w:right w:val="single" w:sz="4" w:space="0" w:color="auto"/>
            </w:tcBorders>
            <w:vAlign w:val="center"/>
            <w:hideMark/>
          </w:tcPr>
          <w:p w14:paraId="6C12DCC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12469</w:t>
            </w:r>
          </w:p>
        </w:tc>
      </w:tr>
      <w:tr w:rsidR="00641D39" w:rsidRPr="00641D39" w14:paraId="1C700F0B"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641A4101"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 Tamil Nadu</w:t>
            </w:r>
          </w:p>
        </w:tc>
        <w:tc>
          <w:tcPr>
            <w:tcW w:w="859" w:type="dxa"/>
            <w:tcBorders>
              <w:top w:val="nil"/>
              <w:left w:val="nil"/>
              <w:bottom w:val="single" w:sz="4" w:space="0" w:color="auto"/>
              <w:right w:val="single" w:sz="4" w:space="0" w:color="auto"/>
            </w:tcBorders>
            <w:vAlign w:val="center"/>
            <w:hideMark/>
          </w:tcPr>
          <w:p w14:paraId="5E3CB2B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3985</w:t>
            </w:r>
          </w:p>
        </w:tc>
        <w:tc>
          <w:tcPr>
            <w:tcW w:w="851" w:type="dxa"/>
            <w:tcBorders>
              <w:top w:val="nil"/>
              <w:left w:val="nil"/>
              <w:bottom w:val="single" w:sz="4" w:space="0" w:color="auto"/>
              <w:right w:val="single" w:sz="4" w:space="0" w:color="auto"/>
            </w:tcBorders>
            <w:vAlign w:val="center"/>
            <w:hideMark/>
          </w:tcPr>
          <w:p w14:paraId="59A0A07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4082</w:t>
            </w:r>
          </w:p>
        </w:tc>
        <w:tc>
          <w:tcPr>
            <w:tcW w:w="802" w:type="dxa"/>
            <w:tcBorders>
              <w:top w:val="nil"/>
              <w:left w:val="nil"/>
              <w:bottom w:val="single" w:sz="4" w:space="0" w:color="auto"/>
              <w:right w:val="single" w:sz="4" w:space="0" w:color="auto"/>
            </w:tcBorders>
            <w:vAlign w:val="center"/>
            <w:hideMark/>
          </w:tcPr>
          <w:p w14:paraId="0238155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4181</w:t>
            </w:r>
          </w:p>
        </w:tc>
        <w:tc>
          <w:tcPr>
            <w:tcW w:w="757" w:type="dxa"/>
            <w:tcBorders>
              <w:top w:val="nil"/>
              <w:left w:val="nil"/>
              <w:bottom w:val="single" w:sz="4" w:space="0" w:color="auto"/>
              <w:right w:val="single" w:sz="4" w:space="0" w:color="auto"/>
            </w:tcBorders>
            <w:vAlign w:val="center"/>
            <w:hideMark/>
          </w:tcPr>
          <w:p w14:paraId="3C96D7C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4282</w:t>
            </w:r>
          </w:p>
        </w:tc>
        <w:tc>
          <w:tcPr>
            <w:tcW w:w="845" w:type="dxa"/>
            <w:tcBorders>
              <w:top w:val="nil"/>
              <w:left w:val="nil"/>
              <w:bottom w:val="single" w:sz="4" w:space="0" w:color="auto"/>
              <w:right w:val="single" w:sz="4" w:space="0" w:color="auto"/>
            </w:tcBorders>
            <w:vAlign w:val="center"/>
            <w:hideMark/>
          </w:tcPr>
          <w:p w14:paraId="01E2050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4386</w:t>
            </w:r>
          </w:p>
        </w:tc>
        <w:tc>
          <w:tcPr>
            <w:tcW w:w="993" w:type="dxa"/>
            <w:tcBorders>
              <w:top w:val="nil"/>
              <w:left w:val="nil"/>
              <w:bottom w:val="single" w:sz="4" w:space="0" w:color="auto"/>
              <w:right w:val="single" w:sz="4" w:space="0" w:color="auto"/>
            </w:tcBorders>
            <w:vAlign w:val="center"/>
            <w:hideMark/>
          </w:tcPr>
          <w:p w14:paraId="56E8C74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4493</w:t>
            </w:r>
          </w:p>
        </w:tc>
        <w:tc>
          <w:tcPr>
            <w:tcW w:w="850" w:type="dxa"/>
            <w:tcBorders>
              <w:top w:val="nil"/>
              <w:left w:val="nil"/>
              <w:bottom w:val="single" w:sz="4" w:space="0" w:color="auto"/>
              <w:right w:val="single" w:sz="4" w:space="0" w:color="auto"/>
            </w:tcBorders>
            <w:vAlign w:val="center"/>
            <w:hideMark/>
          </w:tcPr>
          <w:p w14:paraId="3B3286F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21423</w:t>
            </w:r>
          </w:p>
        </w:tc>
      </w:tr>
      <w:tr w:rsidR="00641D39" w:rsidRPr="00641D39" w14:paraId="45BDACD5"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11FDC8A7"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 Uttar Pradesh</w:t>
            </w:r>
          </w:p>
        </w:tc>
        <w:tc>
          <w:tcPr>
            <w:tcW w:w="859" w:type="dxa"/>
            <w:tcBorders>
              <w:top w:val="nil"/>
              <w:left w:val="nil"/>
              <w:bottom w:val="single" w:sz="4" w:space="0" w:color="auto"/>
              <w:right w:val="single" w:sz="4" w:space="0" w:color="auto"/>
            </w:tcBorders>
            <w:vAlign w:val="center"/>
            <w:hideMark/>
          </w:tcPr>
          <w:p w14:paraId="5007763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3439</w:t>
            </w:r>
          </w:p>
        </w:tc>
        <w:tc>
          <w:tcPr>
            <w:tcW w:w="851" w:type="dxa"/>
            <w:tcBorders>
              <w:top w:val="nil"/>
              <w:left w:val="nil"/>
              <w:bottom w:val="single" w:sz="4" w:space="0" w:color="auto"/>
              <w:right w:val="single" w:sz="4" w:space="0" w:color="auto"/>
            </w:tcBorders>
            <w:vAlign w:val="center"/>
            <w:hideMark/>
          </w:tcPr>
          <w:p w14:paraId="494F547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3334</w:t>
            </w:r>
          </w:p>
        </w:tc>
        <w:tc>
          <w:tcPr>
            <w:tcW w:w="802" w:type="dxa"/>
            <w:tcBorders>
              <w:top w:val="nil"/>
              <w:left w:val="nil"/>
              <w:bottom w:val="single" w:sz="4" w:space="0" w:color="auto"/>
              <w:right w:val="single" w:sz="4" w:space="0" w:color="auto"/>
            </w:tcBorders>
            <w:vAlign w:val="center"/>
            <w:hideMark/>
          </w:tcPr>
          <w:p w14:paraId="0367C7A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3233</w:t>
            </w:r>
          </w:p>
        </w:tc>
        <w:tc>
          <w:tcPr>
            <w:tcW w:w="757" w:type="dxa"/>
            <w:tcBorders>
              <w:top w:val="nil"/>
              <w:left w:val="nil"/>
              <w:bottom w:val="single" w:sz="4" w:space="0" w:color="auto"/>
              <w:right w:val="single" w:sz="4" w:space="0" w:color="auto"/>
            </w:tcBorders>
            <w:vAlign w:val="center"/>
            <w:hideMark/>
          </w:tcPr>
          <w:p w14:paraId="3F6204A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3135</w:t>
            </w:r>
          </w:p>
        </w:tc>
        <w:tc>
          <w:tcPr>
            <w:tcW w:w="845" w:type="dxa"/>
            <w:tcBorders>
              <w:top w:val="nil"/>
              <w:left w:val="nil"/>
              <w:bottom w:val="single" w:sz="4" w:space="0" w:color="auto"/>
              <w:right w:val="single" w:sz="4" w:space="0" w:color="auto"/>
            </w:tcBorders>
            <w:vAlign w:val="center"/>
            <w:hideMark/>
          </w:tcPr>
          <w:p w14:paraId="2E59C8C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3039</w:t>
            </w:r>
          </w:p>
        </w:tc>
        <w:tc>
          <w:tcPr>
            <w:tcW w:w="993" w:type="dxa"/>
            <w:tcBorders>
              <w:top w:val="nil"/>
              <w:left w:val="nil"/>
              <w:bottom w:val="single" w:sz="4" w:space="0" w:color="auto"/>
              <w:right w:val="single" w:sz="4" w:space="0" w:color="auto"/>
            </w:tcBorders>
            <w:vAlign w:val="center"/>
            <w:hideMark/>
          </w:tcPr>
          <w:p w14:paraId="4579082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2947</w:t>
            </w:r>
          </w:p>
        </w:tc>
        <w:tc>
          <w:tcPr>
            <w:tcW w:w="850" w:type="dxa"/>
            <w:tcBorders>
              <w:top w:val="nil"/>
              <w:left w:val="nil"/>
              <w:bottom w:val="single" w:sz="4" w:space="0" w:color="auto"/>
              <w:right w:val="single" w:sz="4" w:space="0" w:color="auto"/>
            </w:tcBorders>
            <w:vAlign w:val="center"/>
            <w:hideMark/>
          </w:tcPr>
          <w:p w14:paraId="4F3BD74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15688</w:t>
            </w:r>
          </w:p>
        </w:tc>
      </w:tr>
      <w:tr w:rsidR="00641D39" w:rsidRPr="00641D39" w14:paraId="324A6FA9"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189C4784"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 West Bengal</w:t>
            </w:r>
          </w:p>
        </w:tc>
        <w:tc>
          <w:tcPr>
            <w:tcW w:w="859" w:type="dxa"/>
            <w:tcBorders>
              <w:top w:val="nil"/>
              <w:left w:val="nil"/>
              <w:bottom w:val="single" w:sz="4" w:space="0" w:color="auto"/>
              <w:right w:val="single" w:sz="4" w:space="0" w:color="auto"/>
            </w:tcBorders>
            <w:vAlign w:val="center"/>
            <w:hideMark/>
          </w:tcPr>
          <w:p w14:paraId="3E70482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1460</w:t>
            </w:r>
          </w:p>
        </w:tc>
        <w:tc>
          <w:tcPr>
            <w:tcW w:w="851" w:type="dxa"/>
            <w:tcBorders>
              <w:top w:val="nil"/>
              <w:left w:val="nil"/>
              <w:bottom w:val="single" w:sz="4" w:space="0" w:color="auto"/>
              <w:right w:val="single" w:sz="4" w:space="0" w:color="auto"/>
            </w:tcBorders>
            <w:vAlign w:val="center"/>
            <w:hideMark/>
          </w:tcPr>
          <w:p w14:paraId="748CD8A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1573</w:t>
            </w:r>
          </w:p>
        </w:tc>
        <w:tc>
          <w:tcPr>
            <w:tcW w:w="802" w:type="dxa"/>
            <w:tcBorders>
              <w:top w:val="nil"/>
              <w:left w:val="nil"/>
              <w:bottom w:val="single" w:sz="4" w:space="0" w:color="auto"/>
              <w:right w:val="single" w:sz="4" w:space="0" w:color="auto"/>
            </w:tcBorders>
            <w:vAlign w:val="center"/>
            <w:hideMark/>
          </w:tcPr>
          <w:p w14:paraId="5A6092B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1695</w:t>
            </w:r>
          </w:p>
        </w:tc>
        <w:tc>
          <w:tcPr>
            <w:tcW w:w="757" w:type="dxa"/>
            <w:tcBorders>
              <w:top w:val="nil"/>
              <w:left w:val="nil"/>
              <w:bottom w:val="single" w:sz="4" w:space="0" w:color="auto"/>
              <w:right w:val="single" w:sz="4" w:space="0" w:color="auto"/>
            </w:tcBorders>
            <w:vAlign w:val="center"/>
            <w:hideMark/>
          </w:tcPr>
          <w:p w14:paraId="45E9C06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1827</w:t>
            </w:r>
          </w:p>
        </w:tc>
        <w:tc>
          <w:tcPr>
            <w:tcW w:w="845" w:type="dxa"/>
            <w:tcBorders>
              <w:top w:val="nil"/>
              <w:left w:val="nil"/>
              <w:bottom w:val="single" w:sz="4" w:space="0" w:color="auto"/>
              <w:right w:val="single" w:sz="4" w:space="0" w:color="auto"/>
            </w:tcBorders>
            <w:vAlign w:val="center"/>
            <w:hideMark/>
          </w:tcPr>
          <w:p w14:paraId="338769F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1969</w:t>
            </w:r>
          </w:p>
        </w:tc>
        <w:tc>
          <w:tcPr>
            <w:tcW w:w="993" w:type="dxa"/>
            <w:tcBorders>
              <w:top w:val="nil"/>
              <w:left w:val="nil"/>
              <w:bottom w:val="single" w:sz="4" w:space="0" w:color="auto"/>
              <w:right w:val="single" w:sz="4" w:space="0" w:color="auto"/>
            </w:tcBorders>
            <w:vAlign w:val="center"/>
            <w:hideMark/>
          </w:tcPr>
          <w:p w14:paraId="6CF9F3B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2122</w:t>
            </w:r>
          </w:p>
        </w:tc>
        <w:tc>
          <w:tcPr>
            <w:tcW w:w="850" w:type="dxa"/>
            <w:tcBorders>
              <w:top w:val="nil"/>
              <w:left w:val="nil"/>
              <w:bottom w:val="single" w:sz="4" w:space="0" w:color="auto"/>
              <w:right w:val="single" w:sz="4" w:space="0" w:color="auto"/>
            </w:tcBorders>
            <w:vAlign w:val="center"/>
            <w:hideMark/>
          </w:tcPr>
          <w:p w14:paraId="4C068C8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9187</w:t>
            </w:r>
          </w:p>
        </w:tc>
      </w:tr>
      <w:tr w:rsidR="00641D39" w:rsidRPr="00641D39" w14:paraId="7791A7C7" w14:textId="77777777" w:rsidTr="00641D39">
        <w:trPr>
          <w:trHeight w:val="20"/>
          <w:jc w:val="center"/>
        </w:trPr>
        <w:tc>
          <w:tcPr>
            <w:tcW w:w="1551" w:type="dxa"/>
            <w:tcBorders>
              <w:top w:val="nil"/>
              <w:left w:val="single" w:sz="4" w:space="0" w:color="auto"/>
              <w:bottom w:val="single" w:sz="4" w:space="0" w:color="auto"/>
              <w:right w:val="single" w:sz="4" w:space="0" w:color="auto"/>
            </w:tcBorders>
            <w:vAlign w:val="center"/>
            <w:hideMark/>
          </w:tcPr>
          <w:p w14:paraId="6CAA84F4"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14 Major States</w:t>
            </w:r>
          </w:p>
        </w:tc>
        <w:tc>
          <w:tcPr>
            <w:tcW w:w="859" w:type="dxa"/>
            <w:tcBorders>
              <w:top w:val="nil"/>
              <w:left w:val="nil"/>
              <w:bottom w:val="single" w:sz="4" w:space="0" w:color="auto"/>
              <w:right w:val="single" w:sz="4" w:space="0" w:color="auto"/>
            </w:tcBorders>
            <w:vAlign w:val="center"/>
            <w:hideMark/>
          </w:tcPr>
          <w:p w14:paraId="64BB6752"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30418</w:t>
            </w:r>
          </w:p>
        </w:tc>
        <w:tc>
          <w:tcPr>
            <w:tcW w:w="851" w:type="dxa"/>
            <w:tcBorders>
              <w:top w:val="nil"/>
              <w:left w:val="nil"/>
              <w:bottom w:val="single" w:sz="4" w:space="0" w:color="auto"/>
              <w:right w:val="single" w:sz="4" w:space="0" w:color="auto"/>
            </w:tcBorders>
            <w:vAlign w:val="center"/>
            <w:hideMark/>
          </w:tcPr>
          <w:p w14:paraId="0477972D"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30484</w:t>
            </w:r>
          </w:p>
        </w:tc>
        <w:tc>
          <w:tcPr>
            <w:tcW w:w="802" w:type="dxa"/>
            <w:tcBorders>
              <w:top w:val="nil"/>
              <w:left w:val="nil"/>
              <w:bottom w:val="single" w:sz="4" w:space="0" w:color="auto"/>
              <w:right w:val="single" w:sz="4" w:space="0" w:color="auto"/>
            </w:tcBorders>
            <w:vAlign w:val="center"/>
            <w:hideMark/>
          </w:tcPr>
          <w:p w14:paraId="7AEF396A"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30710</w:t>
            </w:r>
          </w:p>
        </w:tc>
        <w:tc>
          <w:tcPr>
            <w:tcW w:w="757" w:type="dxa"/>
            <w:tcBorders>
              <w:top w:val="nil"/>
              <w:left w:val="nil"/>
              <w:bottom w:val="single" w:sz="4" w:space="0" w:color="auto"/>
              <w:right w:val="single" w:sz="4" w:space="0" w:color="auto"/>
            </w:tcBorders>
            <w:vAlign w:val="center"/>
            <w:hideMark/>
          </w:tcPr>
          <w:p w14:paraId="467A8DD2"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31111</w:t>
            </w:r>
          </w:p>
        </w:tc>
        <w:tc>
          <w:tcPr>
            <w:tcW w:w="845" w:type="dxa"/>
            <w:tcBorders>
              <w:top w:val="nil"/>
              <w:left w:val="nil"/>
              <w:bottom w:val="single" w:sz="4" w:space="0" w:color="auto"/>
              <w:right w:val="single" w:sz="4" w:space="0" w:color="auto"/>
            </w:tcBorders>
            <w:vAlign w:val="center"/>
            <w:hideMark/>
          </w:tcPr>
          <w:p w14:paraId="669F83EF"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31707</w:t>
            </w:r>
          </w:p>
        </w:tc>
        <w:tc>
          <w:tcPr>
            <w:tcW w:w="993" w:type="dxa"/>
            <w:tcBorders>
              <w:top w:val="nil"/>
              <w:left w:val="nil"/>
              <w:bottom w:val="single" w:sz="4" w:space="0" w:color="auto"/>
              <w:right w:val="single" w:sz="4" w:space="0" w:color="auto"/>
            </w:tcBorders>
            <w:vAlign w:val="center"/>
            <w:hideMark/>
          </w:tcPr>
          <w:p w14:paraId="10954F14"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32523</w:t>
            </w:r>
          </w:p>
        </w:tc>
        <w:tc>
          <w:tcPr>
            <w:tcW w:w="850" w:type="dxa"/>
            <w:tcBorders>
              <w:top w:val="nil"/>
              <w:left w:val="nil"/>
              <w:bottom w:val="single" w:sz="4" w:space="0" w:color="auto"/>
              <w:right w:val="single" w:sz="4" w:space="0" w:color="auto"/>
            </w:tcBorders>
            <w:vAlign w:val="center"/>
            <w:hideMark/>
          </w:tcPr>
          <w:p w14:paraId="4B077148"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156534</w:t>
            </w:r>
          </w:p>
        </w:tc>
      </w:tr>
    </w:tbl>
    <w:p w14:paraId="58CCABB0" w14:textId="5822CF46" w:rsidR="00294D85" w:rsidRDefault="00294D85" w:rsidP="00641D39">
      <w:pPr>
        <w:tabs>
          <w:tab w:val="left" w:pos="2805"/>
        </w:tabs>
        <w:spacing w:after="0"/>
        <w:jc w:val="center"/>
        <w:rPr>
          <w:rFonts w:ascii="Times New Roman" w:hAnsi="Times New Roman" w:cs="Times New Roman"/>
          <w:b/>
          <w:bCs/>
          <w:sz w:val="20"/>
          <w:szCs w:val="20"/>
        </w:rPr>
      </w:pPr>
      <w:r w:rsidRPr="003737D4">
        <w:rPr>
          <w:rFonts w:ascii="Times New Roman" w:hAnsi="Times New Roman" w:cs="Times New Roman"/>
          <w:b/>
          <w:bCs/>
          <w:sz w:val="20"/>
          <w:szCs w:val="20"/>
        </w:rPr>
        <w:t>Revenue Category: Other Taxes</w:t>
      </w:r>
    </w:p>
    <w:p w14:paraId="7ADCD05A" w14:textId="0F79017B" w:rsidR="00641D39" w:rsidRDefault="00641D39" w:rsidP="00641D39">
      <w:pPr>
        <w:spacing w:after="0"/>
        <w:ind w:left="7200" w:firstLine="720"/>
        <w:rPr>
          <w:rFonts w:ascii="Times New Roman" w:hAnsi="Times New Roman" w:cs="Times New Roman"/>
          <w:b/>
          <w:bCs/>
          <w:sz w:val="20"/>
          <w:szCs w:val="20"/>
        </w:rPr>
      </w:pPr>
      <w:r w:rsidRPr="003737D4">
        <w:rPr>
          <w:rFonts w:ascii="Times New Roman" w:hAnsi="Times New Roman" w:cs="Times New Roman"/>
          <w:i/>
          <w:iCs/>
          <w:sz w:val="18"/>
          <w:szCs w:val="18"/>
        </w:rPr>
        <w:t>(Rs. Lakh</w:t>
      </w:r>
      <w:r w:rsidRPr="003737D4">
        <w:rPr>
          <w:rFonts w:ascii="Times New Roman" w:hAnsi="Times New Roman" w:cs="Times New Roman"/>
          <w:i/>
          <w:iCs/>
          <w:szCs w:val="24"/>
        </w:rPr>
        <w:t>)</w:t>
      </w:r>
    </w:p>
    <w:tbl>
      <w:tblPr>
        <w:tblW w:w="7650" w:type="dxa"/>
        <w:jc w:val="center"/>
        <w:tblLook w:val="04A0" w:firstRow="1" w:lastRow="0" w:firstColumn="1" w:lastColumn="0" w:noHBand="0" w:noVBand="1"/>
      </w:tblPr>
      <w:tblGrid>
        <w:gridCol w:w="1413"/>
        <w:gridCol w:w="850"/>
        <w:gridCol w:w="993"/>
        <w:gridCol w:w="992"/>
        <w:gridCol w:w="850"/>
        <w:gridCol w:w="851"/>
        <w:gridCol w:w="850"/>
        <w:gridCol w:w="851"/>
      </w:tblGrid>
      <w:tr w:rsidR="003737D4" w:rsidRPr="00641D39" w14:paraId="18818916" w14:textId="77777777" w:rsidTr="00DD5250">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B9F1612" w14:textId="77777777" w:rsidR="003737D4" w:rsidRPr="00641D39"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lastRenderedPageBreak/>
              <w:t>State</w:t>
            </w:r>
          </w:p>
        </w:tc>
        <w:tc>
          <w:tcPr>
            <w:tcW w:w="850" w:type="dxa"/>
            <w:tcBorders>
              <w:top w:val="single" w:sz="4" w:space="0" w:color="auto"/>
              <w:left w:val="nil"/>
              <w:bottom w:val="single" w:sz="4" w:space="0" w:color="auto"/>
              <w:right w:val="single" w:sz="4" w:space="0" w:color="auto"/>
            </w:tcBorders>
            <w:vAlign w:val="center"/>
            <w:hideMark/>
          </w:tcPr>
          <w:p w14:paraId="211EB098" w14:textId="7EAEA597"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1989-90 </w:t>
            </w:r>
          </w:p>
        </w:tc>
        <w:tc>
          <w:tcPr>
            <w:tcW w:w="993" w:type="dxa"/>
            <w:tcBorders>
              <w:top w:val="single" w:sz="4" w:space="0" w:color="auto"/>
              <w:left w:val="nil"/>
              <w:bottom w:val="single" w:sz="4" w:space="0" w:color="auto"/>
              <w:right w:val="single" w:sz="4" w:space="0" w:color="auto"/>
            </w:tcBorders>
            <w:vAlign w:val="center"/>
            <w:hideMark/>
          </w:tcPr>
          <w:p w14:paraId="31697B08" w14:textId="021C61E4"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1990-91</w:t>
            </w:r>
          </w:p>
        </w:tc>
        <w:tc>
          <w:tcPr>
            <w:tcW w:w="992" w:type="dxa"/>
            <w:tcBorders>
              <w:top w:val="single" w:sz="4" w:space="0" w:color="auto"/>
              <w:left w:val="nil"/>
              <w:bottom w:val="single" w:sz="4" w:space="0" w:color="auto"/>
              <w:right w:val="single" w:sz="4" w:space="0" w:color="auto"/>
            </w:tcBorders>
            <w:vAlign w:val="center"/>
            <w:hideMark/>
          </w:tcPr>
          <w:p w14:paraId="36A1A425" w14:textId="39080E65"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1991-92</w:t>
            </w:r>
          </w:p>
        </w:tc>
        <w:tc>
          <w:tcPr>
            <w:tcW w:w="850" w:type="dxa"/>
            <w:tcBorders>
              <w:top w:val="single" w:sz="4" w:space="0" w:color="auto"/>
              <w:left w:val="nil"/>
              <w:bottom w:val="single" w:sz="4" w:space="0" w:color="auto"/>
              <w:right w:val="single" w:sz="4" w:space="0" w:color="auto"/>
            </w:tcBorders>
            <w:vAlign w:val="center"/>
            <w:hideMark/>
          </w:tcPr>
          <w:p w14:paraId="7222E8CB" w14:textId="72CF6389"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1992-93</w:t>
            </w:r>
          </w:p>
        </w:tc>
        <w:tc>
          <w:tcPr>
            <w:tcW w:w="851" w:type="dxa"/>
            <w:tcBorders>
              <w:top w:val="single" w:sz="4" w:space="0" w:color="auto"/>
              <w:left w:val="nil"/>
              <w:bottom w:val="single" w:sz="4" w:space="0" w:color="auto"/>
              <w:right w:val="single" w:sz="4" w:space="0" w:color="auto"/>
            </w:tcBorders>
            <w:vAlign w:val="center"/>
            <w:hideMark/>
          </w:tcPr>
          <w:p w14:paraId="4049AD48" w14:textId="7C657471"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1993-94</w:t>
            </w:r>
          </w:p>
        </w:tc>
        <w:tc>
          <w:tcPr>
            <w:tcW w:w="850" w:type="dxa"/>
            <w:tcBorders>
              <w:top w:val="single" w:sz="4" w:space="0" w:color="auto"/>
              <w:left w:val="nil"/>
              <w:bottom w:val="single" w:sz="4" w:space="0" w:color="auto"/>
              <w:right w:val="single" w:sz="4" w:space="0" w:color="auto"/>
            </w:tcBorders>
            <w:vAlign w:val="center"/>
            <w:hideMark/>
          </w:tcPr>
          <w:p w14:paraId="65896E9B" w14:textId="508342AC"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1994-95</w:t>
            </w:r>
          </w:p>
        </w:tc>
        <w:tc>
          <w:tcPr>
            <w:tcW w:w="851" w:type="dxa"/>
            <w:tcBorders>
              <w:top w:val="single" w:sz="4" w:space="0" w:color="auto"/>
              <w:left w:val="nil"/>
              <w:bottom w:val="single" w:sz="4" w:space="0" w:color="auto"/>
              <w:right w:val="single" w:sz="4" w:space="0" w:color="auto"/>
            </w:tcBorders>
            <w:vAlign w:val="center"/>
            <w:hideMark/>
          </w:tcPr>
          <w:p w14:paraId="64652D23" w14:textId="6AE0201F"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Total</w:t>
            </w:r>
          </w:p>
        </w:tc>
      </w:tr>
      <w:tr w:rsidR="00641D39" w:rsidRPr="00641D39" w14:paraId="5AECDC2E" w14:textId="77777777" w:rsidTr="00DD5250">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tcPr>
          <w:p w14:paraId="7582B626"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50" w:type="dxa"/>
            <w:tcBorders>
              <w:top w:val="single" w:sz="4" w:space="0" w:color="auto"/>
              <w:left w:val="nil"/>
              <w:bottom w:val="single" w:sz="4" w:space="0" w:color="auto"/>
              <w:right w:val="single" w:sz="4" w:space="0" w:color="auto"/>
            </w:tcBorders>
            <w:vAlign w:val="center"/>
          </w:tcPr>
          <w:p w14:paraId="3292C4B2" w14:textId="68BD80A4"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993" w:type="dxa"/>
            <w:tcBorders>
              <w:top w:val="single" w:sz="4" w:space="0" w:color="auto"/>
              <w:left w:val="nil"/>
              <w:bottom w:val="single" w:sz="4" w:space="0" w:color="auto"/>
              <w:right w:val="single" w:sz="4" w:space="0" w:color="auto"/>
            </w:tcBorders>
            <w:vAlign w:val="center"/>
          </w:tcPr>
          <w:p w14:paraId="4390A1ED" w14:textId="48FD0F5C"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992" w:type="dxa"/>
            <w:tcBorders>
              <w:top w:val="single" w:sz="4" w:space="0" w:color="auto"/>
              <w:left w:val="nil"/>
              <w:bottom w:val="single" w:sz="4" w:space="0" w:color="auto"/>
              <w:right w:val="single" w:sz="4" w:space="0" w:color="auto"/>
            </w:tcBorders>
            <w:vAlign w:val="center"/>
          </w:tcPr>
          <w:p w14:paraId="1EA0E2F5" w14:textId="2F4318F6"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850" w:type="dxa"/>
            <w:tcBorders>
              <w:top w:val="single" w:sz="4" w:space="0" w:color="auto"/>
              <w:left w:val="nil"/>
              <w:bottom w:val="single" w:sz="4" w:space="0" w:color="auto"/>
              <w:right w:val="single" w:sz="4" w:space="0" w:color="auto"/>
            </w:tcBorders>
            <w:vAlign w:val="center"/>
          </w:tcPr>
          <w:p w14:paraId="1D2F8D06" w14:textId="3C21555B"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851" w:type="dxa"/>
            <w:tcBorders>
              <w:top w:val="single" w:sz="4" w:space="0" w:color="auto"/>
              <w:left w:val="nil"/>
              <w:bottom w:val="single" w:sz="4" w:space="0" w:color="auto"/>
              <w:right w:val="single" w:sz="4" w:space="0" w:color="auto"/>
            </w:tcBorders>
            <w:vAlign w:val="center"/>
          </w:tcPr>
          <w:p w14:paraId="4441E59D" w14:textId="65D4628B"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850" w:type="dxa"/>
            <w:tcBorders>
              <w:top w:val="single" w:sz="4" w:space="0" w:color="auto"/>
              <w:left w:val="nil"/>
              <w:bottom w:val="single" w:sz="4" w:space="0" w:color="auto"/>
              <w:right w:val="single" w:sz="4" w:space="0" w:color="auto"/>
            </w:tcBorders>
            <w:vAlign w:val="center"/>
          </w:tcPr>
          <w:p w14:paraId="2F1287FC" w14:textId="1FD54A36"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851" w:type="dxa"/>
            <w:tcBorders>
              <w:top w:val="single" w:sz="4" w:space="0" w:color="auto"/>
              <w:left w:val="nil"/>
              <w:bottom w:val="single" w:sz="4" w:space="0" w:color="auto"/>
              <w:right w:val="single" w:sz="4" w:space="0" w:color="auto"/>
            </w:tcBorders>
            <w:vAlign w:val="center"/>
          </w:tcPr>
          <w:p w14:paraId="74F7A11D" w14:textId="548CB9AE"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641D39" w:rsidRPr="00641D39" w14:paraId="25F1E44B"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3C74BDA6"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 Andhra Pradesh</w:t>
            </w:r>
          </w:p>
        </w:tc>
        <w:tc>
          <w:tcPr>
            <w:tcW w:w="850" w:type="dxa"/>
            <w:tcBorders>
              <w:top w:val="nil"/>
              <w:left w:val="nil"/>
              <w:bottom w:val="single" w:sz="4" w:space="0" w:color="auto"/>
              <w:right w:val="single" w:sz="4" w:space="0" w:color="auto"/>
            </w:tcBorders>
            <w:vAlign w:val="center"/>
            <w:hideMark/>
          </w:tcPr>
          <w:p w14:paraId="659C6D0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2344</w:t>
            </w:r>
          </w:p>
        </w:tc>
        <w:tc>
          <w:tcPr>
            <w:tcW w:w="993" w:type="dxa"/>
            <w:tcBorders>
              <w:top w:val="nil"/>
              <w:left w:val="nil"/>
              <w:bottom w:val="single" w:sz="4" w:space="0" w:color="auto"/>
              <w:right w:val="single" w:sz="4" w:space="0" w:color="auto"/>
            </w:tcBorders>
            <w:vAlign w:val="center"/>
            <w:hideMark/>
          </w:tcPr>
          <w:p w14:paraId="3D0FC30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3255</w:t>
            </w:r>
          </w:p>
        </w:tc>
        <w:tc>
          <w:tcPr>
            <w:tcW w:w="992" w:type="dxa"/>
            <w:tcBorders>
              <w:top w:val="nil"/>
              <w:left w:val="nil"/>
              <w:bottom w:val="single" w:sz="4" w:space="0" w:color="auto"/>
              <w:right w:val="single" w:sz="4" w:space="0" w:color="auto"/>
            </w:tcBorders>
            <w:vAlign w:val="center"/>
            <w:hideMark/>
          </w:tcPr>
          <w:p w14:paraId="20BA4F7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4515</w:t>
            </w:r>
          </w:p>
        </w:tc>
        <w:tc>
          <w:tcPr>
            <w:tcW w:w="850" w:type="dxa"/>
            <w:tcBorders>
              <w:top w:val="nil"/>
              <w:left w:val="nil"/>
              <w:bottom w:val="single" w:sz="4" w:space="0" w:color="auto"/>
              <w:right w:val="single" w:sz="4" w:space="0" w:color="auto"/>
            </w:tcBorders>
            <w:vAlign w:val="center"/>
            <w:hideMark/>
          </w:tcPr>
          <w:p w14:paraId="26886E1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6256</w:t>
            </w:r>
          </w:p>
        </w:tc>
        <w:tc>
          <w:tcPr>
            <w:tcW w:w="851" w:type="dxa"/>
            <w:tcBorders>
              <w:top w:val="nil"/>
              <w:left w:val="nil"/>
              <w:bottom w:val="single" w:sz="4" w:space="0" w:color="auto"/>
              <w:right w:val="single" w:sz="4" w:space="0" w:color="auto"/>
            </w:tcBorders>
            <w:vAlign w:val="center"/>
            <w:hideMark/>
          </w:tcPr>
          <w:p w14:paraId="5AF42F9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8657</w:t>
            </w:r>
          </w:p>
        </w:tc>
        <w:tc>
          <w:tcPr>
            <w:tcW w:w="850" w:type="dxa"/>
            <w:tcBorders>
              <w:top w:val="nil"/>
              <w:left w:val="nil"/>
              <w:bottom w:val="single" w:sz="4" w:space="0" w:color="auto"/>
              <w:right w:val="single" w:sz="4" w:space="0" w:color="auto"/>
            </w:tcBorders>
            <w:vAlign w:val="center"/>
            <w:hideMark/>
          </w:tcPr>
          <w:p w14:paraId="64D369E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11959</w:t>
            </w:r>
          </w:p>
        </w:tc>
        <w:tc>
          <w:tcPr>
            <w:tcW w:w="851" w:type="dxa"/>
            <w:tcBorders>
              <w:top w:val="nil"/>
              <w:left w:val="nil"/>
              <w:bottom w:val="single" w:sz="4" w:space="0" w:color="auto"/>
              <w:right w:val="single" w:sz="4" w:space="0" w:color="auto"/>
            </w:tcBorders>
            <w:vAlign w:val="center"/>
            <w:hideMark/>
          </w:tcPr>
          <w:p w14:paraId="1D92DB4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34642</w:t>
            </w:r>
          </w:p>
        </w:tc>
      </w:tr>
      <w:tr w:rsidR="00641D39" w:rsidRPr="00641D39" w14:paraId="6775B62D"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4BCFD402"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 Bihar</w:t>
            </w:r>
          </w:p>
        </w:tc>
        <w:tc>
          <w:tcPr>
            <w:tcW w:w="850" w:type="dxa"/>
            <w:tcBorders>
              <w:top w:val="nil"/>
              <w:left w:val="nil"/>
              <w:bottom w:val="single" w:sz="4" w:space="0" w:color="auto"/>
              <w:right w:val="single" w:sz="4" w:space="0" w:color="auto"/>
            </w:tcBorders>
            <w:vAlign w:val="center"/>
            <w:hideMark/>
          </w:tcPr>
          <w:p w14:paraId="7F05247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1609</w:t>
            </w:r>
          </w:p>
        </w:tc>
        <w:tc>
          <w:tcPr>
            <w:tcW w:w="993" w:type="dxa"/>
            <w:tcBorders>
              <w:top w:val="nil"/>
              <w:left w:val="nil"/>
              <w:bottom w:val="single" w:sz="4" w:space="0" w:color="auto"/>
              <w:right w:val="single" w:sz="4" w:space="0" w:color="auto"/>
            </w:tcBorders>
            <w:vAlign w:val="center"/>
            <w:hideMark/>
          </w:tcPr>
          <w:p w14:paraId="0355F8D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1793</w:t>
            </w:r>
          </w:p>
        </w:tc>
        <w:tc>
          <w:tcPr>
            <w:tcW w:w="992" w:type="dxa"/>
            <w:tcBorders>
              <w:top w:val="nil"/>
              <w:left w:val="nil"/>
              <w:bottom w:val="single" w:sz="4" w:space="0" w:color="auto"/>
              <w:right w:val="single" w:sz="4" w:space="0" w:color="auto"/>
            </w:tcBorders>
            <w:vAlign w:val="center"/>
            <w:hideMark/>
          </w:tcPr>
          <w:p w14:paraId="143784A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1994</w:t>
            </w:r>
          </w:p>
        </w:tc>
        <w:tc>
          <w:tcPr>
            <w:tcW w:w="850" w:type="dxa"/>
            <w:tcBorders>
              <w:top w:val="nil"/>
              <w:left w:val="nil"/>
              <w:bottom w:val="single" w:sz="4" w:space="0" w:color="auto"/>
              <w:right w:val="single" w:sz="4" w:space="0" w:color="auto"/>
            </w:tcBorders>
            <w:vAlign w:val="center"/>
            <w:hideMark/>
          </w:tcPr>
          <w:p w14:paraId="30E8D7E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2211</w:t>
            </w:r>
          </w:p>
        </w:tc>
        <w:tc>
          <w:tcPr>
            <w:tcW w:w="851" w:type="dxa"/>
            <w:tcBorders>
              <w:top w:val="nil"/>
              <w:left w:val="nil"/>
              <w:bottom w:val="single" w:sz="4" w:space="0" w:color="auto"/>
              <w:right w:val="single" w:sz="4" w:space="0" w:color="auto"/>
            </w:tcBorders>
            <w:vAlign w:val="center"/>
            <w:hideMark/>
          </w:tcPr>
          <w:p w14:paraId="6FAEAB1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2442</w:t>
            </w:r>
          </w:p>
        </w:tc>
        <w:tc>
          <w:tcPr>
            <w:tcW w:w="850" w:type="dxa"/>
            <w:tcBorders>
              <w:top w:val="nil"/>
              <w:left w:val="nil"/>
              <w:bottom w:val="single" w:sz="4" w:space="0" w:color="auto"/>
              <w:right w:val="single" w:sz="4" w:space="0" w:color="auto"/>
            </w:tcBorders>
            <w:vAlign w:val="center"/>
            <w:hideMark/>
          </w:tcPr>
          <w:p w14:paraId="1AE5FE0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2656</w:t>
            </w:r>
          </w:p>
        </w:tc>
        <w:tc>
          <w:tcPr>
            <w:tcW w:w="851" w:type="dxa"/>
            <w:tcBorders>
              <w:top w:val="nil"/>
              <w:left w:val="nil"/>
              <w:bottom w:val="single" w:sz="4" w:space="0" w:color="auto"/>
              <w:right w:val="single" w:sz="4" w:space="0" w:color="auto"/>
            </w:tcBorders>
            <w:vAlign w:val="center"/>
            <w:hideMark/>
          </w:tcPr>
          <w:p w14:paraId="044F0B6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11095</w:t>
            </w:r>
          </w:p>
        </w:tc>
      </w:tr>
      <w:tr w:rsidR="00641D39" w:rsidRPr="00641D39" w14:paraId="502CA155"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29DABFEE"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 Gujarat</w:t>
            </w:r>
          </w:p>
        </w:tc>
        <w:tc>
          <w:tcPr>
            <w:tcW w:w="850" w:type="dxa"/>
            <w:tcBorders>
              <w:top w:val="nil"/>
              <w:left w:val="nil"/>
              <w:bottom w:val="single" w:sz="4" w:space="0" w:color="auto"/>
              <w:right w:val="single" w:sz="4" w:space="0" w:color="auto"/>
            </w:tcBorders>
            <w:vAlign w:val="center"/>
            <w:hideMark/>
          </w:tcPr>
          <w:p w14:paraId="4801D04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12332</w:t>
            </w:r>
          </w:p>
        </w:tc>
        <w:tc>
          <w:tcPr>
            <w:tcW w:w="993" w:type="dxa"/>
            <w:tcBorders>
              <w:top w:val="nil"/>
              <w:left w:val="nil"/>
              <w:bottom w:val="single" w:sz="4" w:space="0" w:color="auto"/>
              <w:right w:val="single" w:sz="4" w:space="0" w:color="auto"/>
            </w:tcBorders>
            <w:vAlign w:val="center"/>
            <w:hideMark/>
          </w:tcPr>
          <w:p w14:paraId="08A0CE5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14397</w:t>
            </w:r>
          </w:p>
        </w:tc>
        <w:tc>
          <w:tcPr>
            <w:tcW w:w="992" w:type="dxa"/>
            <w:tcBorders>
              <w:top w:val="nil"/>
              <w:left w:val="nil"/>
              <w:bottom w:val="single" w:sz="4" w:space="0" w:color="auto"/>
              <w:right w:val="single" w:sz="4" w:space="0" w:color="auto"/>
            </w:tcBorders>
            <w:vAlign w:val="center"/>
            <w:hideMark/>
          </w:tcPr>
          <w:p w14:paraId="1C1904E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16776</w:t>
            </w:r>
          </w:p>
        </w:tc>
        <w:tc>
          <w:tcPr>
            <w:tcW w:w="850" w:type="dxa"/>
            <w:tcBorders>
              <w:top w:val="nil"/>
              <w:left w:val="nil"/>
              <w:bottom w:val="single" w:sz="4" w:space="0" w:color="auto"/>
              <w:right w:val="single" w:sz="4" w:space="0" w:color="auto"/>
            </w:tcBorders>
            <w:vAlign w:val="center"/>
            <w:hideMark/>
          </w:tcPr>
          <w:p w14:paraId="06DDB9D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19492</w:t>
            </w:r>
          </w:p>
        </w:tc>
        <w:tc>
          <w:tcPr>
            <w:tcW w:w="851" w:type="dxa"/>
            <w:tcBorders>
              <w:top w:val="nil"/>
              <w:left w:val="nil"/>
              <w:bottom w:val="single" w:sz="4" w:space="0" w:color="auto"/>
              <w:right w:val="single" w:sz="4" w:space="0" w:color="auto"/>
            </w:tcBorders>
            <w:vAlign w:val="center"/>
            <w:hideMark/>
          </w:tcPr>
          <w:p w14:paraId="032FD94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22503</w:t>
            </w:r>
          </w:p>
        </w:tc>
        <w:tc>
          <w:tcPr>
            <w:tcW w:w="850" w:type="dxa"/>
            <w:tcBorders>
              <w:top w:val="nil"/>
              <w:left w:val="nil"/>
              <w:bottom w:val="single" w:sz="4" w:space="0" w:color="auto"/>
              <w:right w:val="single" w:sz="4" w:space="0" w:color="auto"/>
            </w:tcBorders>
            <w:vAlign w:val="center"/>
            <w:hideMark/>
          </w:tcPr>
          <w:p w14:paraId="5DAF670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25184</w:t>
            </w:r>
          </w:p>
        </w:tc>
        <w:tc>
          <w:tcPr>
            <w:tcW w:w="851" w:type="dxa"/>
            <w:tcBorders>
              <w:top w:val="nil"/>
              <w:left w:val="nil"/>
              <w:bottom w:val="single" w:sz="4" w:space="0" w:color="auto"/>
              <w:right w:val="single" w:sz="4" w:space="0" w:color="auto"/>
            </w:tcBorders>
            <w:vAlign w:val="center"/>
            <w:hideMark/>
          </w:tcPr>
          <w:p w14:paraId="2D0FBF5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98353</w:t>
            </w:r>
          </w:p>
        </w:tc>
      </w:tr>
      <w:tr w:rsidR="00641D39" w:rsidRPr="00641D39" w14:paraId="20FB1ACC"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5B361836"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 Haryana</w:t>
            </w:r>
          </w:p>
        </w:tc>
        <w:tc>
          <w:tcPr>
            <w:tcW w:w="850" w:type="dxa"/>
            <w:tcBorders>
              <w:top w:val="nil"/>
              <w:left w:val="nil"/>
              <w:bottom w:val="single" w:sz="4" w:space="0" w:color="auto"/>
              <w:right w:val="single" w:sz="4" w:space="0" w:color="auto"/>
            </w:tcBorders>
            <w:vAlign w:val="center"/>
            <w:hideMark/>
          </w:tcPr>
          <w:p w14:paraId="454BC3C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731</w:t>
            </w:r>
          </w:p>
        </w:tc>
        <w:tc>
          <w:tcPr>
            <w:tcW w:w="993" w:type="dxa"/>
            <w:tcBorders>
              <w:top w:val="nil"/>
              <w:left w:val="nil"/>
              <w:bottom w:val="single" w:sz="4" w:space="0" w:color="auto"/>
              <w:right w:val="single" w:sz="4" w:space="0" w:color="auto"/>
            </w:tcBorders>
            <w:vAlign w:val="center"/>
            <w:hideMark/>
          </w:tcPr>
          <w:p w14:paraId="06A1B1C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731</w:t>
            </w:r>
          </w:p>
        </w:tc>
        <w:tc>
          <w:tcPr>
            <w:tcW w:w="992" w:type="dxa"/>
            <w:tcBorders>
              <w:top w:val="nil"/>
              <w:left w:val="nil"/>
              <w:bottom w:val="single" w:sz="4" w:space="0" w:color="auto"/>
              <w:right w:val="single" w:sz="4" w:space="0" w:color="auto"/>
            </w:tcBorders>
            <w:vAlign w:val="center"/>
            <w:hideMark/>
          </w:tcPr>
          <w:p w14:paraId="042E2A5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731</w:t>
            </w:r>
          </w:p>
        </w:tc>
        <w:tc>
          <w:tcPr>
            <w:tcW w:w="850" w:type="dxa"/>
            <w:tcBorders>
              <w:top w:val="nil"/>
              <w:left w:val="nil"/>
              <w:bottom w:val="single" w:sz="4" w:space="0" w:color="auto"/>
              <w:right w:val="single" w:sz="4" w:space="0" w:color="auto"/>
            </w:tcBorders>
            <w:vAlign w:val="center"/>
            <w:hideMark/>
          </w:tcPr>
          <w:p w14:paraId="7A1BEA0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730</w:t>
            </w:r>
          </w:p>
        </w:tc>
        <w:tc>
          <w:tcPr>
            <w:tcW w:w="851" w:type="dxa"/>
            <w:tcBorders>
              <w:top w:val="nil"/>
              <w:left w:val="nil"/>
              <w:bottom w:val="single" w:sz="4" w:space="0" w:color="auto"/>
              <w:right w:val="single" w:sz="4" w:space="0" w:color="auto"/>
            </w:tcBorders>
            <w:vAlign w:val="center"/>
            <w:hideMark/>
          </w:tcPr>
          <w:p w14:paraId="1BEF04B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729</w:t>
            </w:r>
          </w:p>
        </w:tc>
        <w:tc>
          <w:tcPr>
            <w:tcW w:w="850" w:type="dxa"/>
            <w:tcBorders>
              <w:top w:val="nil"/>
              <w:left w:val="nil"/>
              <w:bottom w:val="single" w:sz="4" w:space="0" w:color="auto"/>
              <w:right w:val="single" w:sz="4" w:space="0" w:color="auto"/>
            </w:tcBorders>
            <w:vAlign w:val="center"/>
            <w:hideMark/>
          </w:tcPr>
          <w:p w14:paraId="3B957EA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727</w:t>
            </w:r>
          </w:p>
        </w:tc>
        <w:tc>
          <w:tcPr>
            <w:tcW w:w="851" w:type="dxa"/>
            <w:tcBorders>
              <w:top w:val="nil"/>
              <w:left w:val="nil"/>
              <w:bottom w:val="single" w:sz="4" w:space="0" w:color="auto"/>
              <w:right w:val="single" w:sz="4" w:space="0" w:color="auto"/>
            </w:tcBorders>
            <w:vAlign w:val="center"/>
            <w:hideMark/>
          </w:tcPr>
          <w:p w14:paraId="7127DAA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3648</w:t>
            </w:r>
          </w:p>
        </w:tc>
      </w:tr>
      <w:tr w:rsidR="00641D39" w:rsidRPr="00641D39" w14:paraId="1724D83F"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5C3FC286"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 Karnataka</w:t>
            </w:r>
          </w:p>
        </w:tc>
        <w:tc>
          <w:tcPr>
            <w:tcW w:w="850" w:type="dxa"/>
            <w:tcBorders>
              <w:top w:val="nil"/>
              <w:left w:val="nil"/>
              <w:bottom w:val="single" w:sz="4" w:space="0" w:color="auto"/>
              <w:right w:val="single" w:sz="4" w:space="0" w:color="auto"/>
            </w:tcBorders>
            <w:vAlign w:val="center"/>
            <w:hideMark/>
          </w:tcPr>
          <w:p w14:paraId="1516744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3917</w:t>
            </w:r>
          </w:p>
        </w:tc>
        <w:tc>
          <w:tcPr>
            <w:tcW w:w="993" w:type="dxa"/>
            <w:tcBorders>
              <w:top w:val="nil"/>
              <w:left w:val="nil"/>
              <w:bottom w:val="single" w:sz="4" w:space="0" w:color="auto"/>
              <w:right w:val="single" w:sz="4" w:space="0" w:color="auto"/>
            </w:tcBorders>
            <w:vAlign w:val="center"/>
            <w:hideMark/>
          </w:tcPr>
          <w:p w14:paraId="1977D3B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4229</w:t>
            </w:r>
          </w:p>
        </w:tc>
        <w:tc>
          <w:tcPr>
            <w:tcW w:w="992" w:type="dxa"/>
            <w:tcBorders>
              <w:top w:val="nil"/>
              <w:left w:val="nil"/>
              <w:bottom w:val="single" w:sz="4" w:space="0" w:color="auto"/>
              <w:right w:val="single" w:sz="4" w:space="0" w:color="auto"/>
            </w:tcBorders>
            <w:vAlign w:val="center"/>
            <w:hideMark/>
          </w:tcPr>
          <w:p w14:paraId="2500BF2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4561</w:t>
            </w:r>
          </w:p>
        </w:tc>
        <w:tc>
          <w:tcPr>
            <w:tcW w:w="850" w:type="dxa"/>
            <w:tcBorders>
              <w:top w:val="nil"/>
              <w:left w:val="nil"/>
              <w:bottom w:val="single" w:sz="4" w:space="0" w:color="auto"/>
              <w:right w:val="single" w:sz="4" w:space="0" w:color="auto"/>
            </w:tcBorders>
            <w:vAlign w:val="center"/>
            <w:hideMark/>
          </w:tcPr>
          <w:p w14:paraId="28B15E0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4916</w:t>
            </w:r>
          </w:p>
        </w:tc>
        <w:tc>
          <w:tcPr>
            <w:tcW w:w="851" w:type="dxa"/>
            <w:tcBorders>
              <w:top w:val="nil"/>
              <w:left w:val="nil"/>
              <w:bottom w:val="single" w:sz="4" w:space="0" w:color="auto"/>
              <w:right w:val="single" w:sz="4" w:space="0" w:color="auto"/>
            </w:tcBorders>
            <w:vAlign w:val="center"/>
            <w:hideMark/>
          </w:tcPr>
          <w:p w14:paraId="37713B3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5295</w:t>
            </w:r>
          </w:p>
        </w:tc>
        <w:tc>
          <w:tcPr>
            <w:tcW w:w="850" w:type="dxa"/>
            <w:tcBorders>
              <w:top w:val="nil"/>
              <w:left w:val="nil"/>
              <w:bottom w:val="single" w:sz="4" w:space="0" w:color="auto"/>
              <w:right w:val="single" w:sz="4" w:space="0" w:color="auto"/>
            </w:tcBorders>
            <w:vAlign w:val="center"/>
            <w:hideMark/>
          </w:tcPr>
          <w:p w14:paraId="0DF96C7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5699</w:t>
            </w:r>
          </w:p>
        </w:tc>
        <w:tc>
          <w:tcPr>
            <w:tcW w:w="851" w:type="dxa"/>
            <w:tcBorders>
              <w:top w:val="nil"/>
              <w:left w:val="nil"/>
              <w:bottom w:val="single" w:sz="4" w:space="0" w:color="auto"/>
              <w:right w:val="single" w:sz="4" w:space="0" w:color="auto"/>
            </w:tcBorders>
            <w:vAlign w:val="center"/>
            <w:hideMark/>
          </w:tcPr>
          <w:p w14:paraId="34C2257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24700</w:t>
            </w:r>
          </w:p>
        </w:tc>
      </w:tr>
      <w:tr w:rsidR="00641D39" w:rsidRPr="00641D39" w14:paraId="361EB51F"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7B88A653"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 Kerala</w:t>
            </w:r>
          </w:p>
        </w:tc>
        <w:tc>
          <w:tcPr>
            <w:tcW w:w="850" w:type="dxa"/>
            <w:tcBorders>
              <w:top w:val="nil"/>
              <w:left w:val="nil"/>
              <w:bottom w:val="single" w:sz="4" w:space="0" w:color="auto"/>
              <w:right w:val="single" w:sz="4" w:space="0" w:color="auto"/>
            </w:tcBorders>
            <w:vAlign w:val="center"/>
            <w:hideMark/>
          </w:tcPr>
          <w:p w14:paraId="4461BC4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392</w:t>
            </w:r>
          </w:p>
        </w:tc>
        <w:tc>
          <w:tcPr>
            <w:tcW w:w="993" w:type="dxa"/>
            <w:tcBorders>
              <w:top w:val="nil"/>
              <w:left w:val="nil"/>
              <w:bottom w:val="single" w:sz="4" w:space="0" w:color="auto"/>
              <w:right w:val="single" w:sz="4" w:space="0" w:color="auto"/>
            </w:tcBorders>
            <w:vAlign w:val="center"/>
            <w:hideMark/>
          </w:tcPr>
          <w:p w14:paraId="747FFE6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417</w:t>
            </w:r>
          </w:p>
        </w:tc>
        <w:tc>
          <w:tcPr>
            <w:tcW w:w="992" w:type="dxa"/>
            <w:tcBorders>
              <w:top w:val="nil"/>
              <w:left w:val="nil"/>
              <w:bottom w:val="single" w:sz="4" w:space="0" w:color="auto"/>
              <w:right w:val="single" w:sz="4" w:space="0" w:color="auto"/>
            </w:tcBorders>
            <w:vAlign w:val="center"/>
            <w:hideMark/>
          </w:tcPr>
          <w:p w14:paraId="6D507C4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443</w:t>
            </w:r>
          </w:p>
        </w:tc>
        <w:tc>
          <w:tcPr>
            <w:tcW w:w="850" w:type="dxa"/>
            <w:tcBorders>
              <w:top w:val="nil"/>
              <w:left w:val="nil"/>
              <w:bottom w:val="single" w:sz="4" w:space="0" w:color="auto"/>
              <w:right w:val="single" w:sz="4" w:space="0" w:color="auto"/>
            </w:tcBorders>
            <w:vAlign w:val="center"/>
            <w:hideMark/>
          </w:tcPr>
          <w:p w14:paraId="43BBAFB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470</w:t>
            </w:r>
          </w:p>
        </w:tc>
        <w:tc>
          <w:tcPr>
            <w:tcW w:w="851" w:type="dxa"/>
            <w:tcBorders>
              <w:top w:val="nil"/>
              <w:left w:val="nil"/>
              <w:bottom w:val="single" w:sz="4" w:space="0" w:color="auto"/>
              <w:right w:val="single" w:sz="4" w:space="0" w:color="auto"/>
            </w:tcBorders>
            <w:vAlign w:val="center"/>
            <w:hideMark/>
          </w:tcPr>
          <w:p w14:paraId="1251D5A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499</w:t>
            </w:r>
          </w:p>
        </w:tc>
        <w:tc>
          <w:tcPr>
            <w:tcW w:w="850" w:type="dxa"/>
            <w:tcBorders>
              <w:top w:val="nil"/>
              <w:left w:val="nil"/>
              <w:bottom w:val="single" w:sz="4" w:space="0" w:color="auto"/>
              <w:right w:val="single" w:sz="4" w:space="0" w:color="auto"/>
            </w:tcBorders>
            <w:vAlign w:val="center"/>
            <w:hideMark/>
          </w:tcPr>
          <w:p w14:paraId="687F3CE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528</w:t>
            </w:r>
          </w:p>
        </w:tc>
        <w:tc>
          <w:tcPr>
            <w:tcW w:w="851" w:type="dxa"/>
            <w:tcBorders>
              <w:top w:val="nil"/>
              <w:left w:val="nil"/>
              <w:bottom w:val="single" w:sz="4" w:space="0" w:color="auto"/>
              <w:right w:val="single" w:sz="4" w:space="0" w:color="auto"/>
            </w:tcBorders>
            <w:vAlign w:val="center"/>
            <w:hideMark/>
          </w:tcPr>
          <w:p w14:paraId="744FD80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2358</w:t>
            </w:r>
          </w:p>
        </w:tc>
      </w:tr>
      <w:tr w:rsidR="00641D39" w:rsidRPr="00641D39" w14:paraId="78A52472"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53172B6B"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 Madhya Pradesh</w:t>
            </w:r>
          </w:p>
        </w:tc>
        <w:tc>
          <w:tcPr>
            <w:tcW w:w="850" w:type="dxa"/>
            <w:tcBorders>
              <w:top w:val="nil"/>
              <w:left w:val="nil"/>
              <w:bottom w:val="single" w:sz="4" w:space="0" w:color="auto"/>
              <w:right w:val="single" w:sz="4" w:space="0" w:color="auto"/>
            </w:tcBorders>
            <w:vAlign w:val="center"/>
            <w:hideMark/>
          </w:tcPr>
          <w:p w14:paraId="3AE99AD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5069</w:t>
            </w:r>
          </w:p>
        </w:tc>
        <w:tc>
          <w:tcPr>
            <w:tcW w:w="993" w:type="dxa"/>
            <w:tcBorders>
              <w:top w:val="nil"/>
              <w:left w:val="nil"/>
              <w:bottom w:val="single" w:sz="4" w:space="0" w:color="auto"/>
              <w:right w:val="single" w:sz="4" w:space="0" w:color="auto"/>
            </w:tcBorders>
            <w:vAlign w:val="center"/>
            <w:hideMark/>
          </w:tcPr>
          <w:p w14:paraId="2EE4E97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4454</w:t>
            </w:r>
          </w:p>
        </w:tc>
        <w:tc>
          <w:tcPr>
            <w:tcW w:w="992" w:type="dxa"/>
            <w:tcBorders>
              <w:top w:val="nil"/>
              <w:left w:val="nil"/>
              <w:bottom w:val="single" w:sz="4" w:space="0" w:color="auto"/>
              <w:right w:val="single" w:sz="4" w:space="0" w:color="auto"/>
            </w:tcBorders>
            <w:vAlign w:val="center"/>
            <w:hideMark/>
          </w:tcPr>
          <w:p w14:paraId="1EDD542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3898</w:t>
            </w:r>
          </w:p>
        </w:tc>
        <w:tc>
          <w:tcPr>
            <w:tcW w:w="850" w:type="dxa"/>
            <w:tcBorders>
              <w:top w:val="nil"/>
              <w:left w:val="nil"/>
              <w:bottom w:val="single" w:sz="4" w:space="0" w:color="auto"/>
              <w:right w:val="single" w:sz="4" w:space="0" w:color="auto"/>
            </w:tcBorders>
            <w:vAlign w:val="center"/>
            <w:hideMark/>
          </w:tcPr>
          <w:p w14:paraId="2BF1E81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3400</w:t>
            </w:r>
          </w:p>
        </w:tc>
        <w:tc>
          <w:tcPr>
            <w:tcW w:w="851" w:type="dxa"/>
            <w:tcBorders>
              <w:top w:val="nil"/>
              <w:left w:val="nil"/>
              <w:bottom w:val="single" w:sz="4" w:space="0" w:color="auto"/>
              <w:right w:val="single" w:sz="4" w:space="0" w:color="auto"/>
            </w:tcBorders>
            <w:vAlign w:val="center"/>
            <w:hideMark/>
          </w:tcPr>
          <w:p w14:paraId="7A6142E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2949</w:t>
            </w:r>
          </w:p>
        </w:tc>
        <w:tc>
          <w:tcPr>
            <w:tcW w:w="850" w:type="dxa"/>
            <w:tcBorders>
              <w:top w:val="nil"/>
              <w:left w:val="nil"/>
              <w:bottom w:val="single" w:sz="4" w:space="0" w:color="auto"/>
              <w:right w:val="single" w:sz="4" w:space="0" w:color="auto"/>
            </w:tcBorders>
            <w:vAlign w:val="center"/>
            <w:hideMark/>
          </w:tcPr>
          <w:p w14:paraId="0050402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2494</w:t>
            </w:r>
          </w:p>
        </w:tc>
        <w:tc>
          <w:tcPr>
            <w:tcW w:w="851" w:type="dxa"/>
            <w:tcBorders>
              <w:top w:val="nil"/>
              <w:left w:val="nil"/>
              <w:bottom w:val="single" w:sz="4" w:space="0" w:color="auto"/>
              <w:right w:val="single" w:sz="4" w:space="0" w:color="auto"/>
            </w:tcBorders>
            <w:vAlign w:val="center"/>
            <w:hideMark/>
          </w:tcPr>
          <w:p w14:paraId="21BA06D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17195</w:t>
            </w:r>
          </w:p>
        </w:tc>
      </w:tr>
      <w:tr w:rsidR="00641D39" w:rsidRPr="00641D39" w14:paraId="6F62E1C6"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7274166F"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 Maharashtra</w:t>
            </w:r>
          </w:p>
        </w:tc>
        <w:tc>
          <w:tcPr>
            <w:tcW w:w="850" w:type="dxa"/>
            <w:tcBorders>
              <w:top w:val="nil"/>
              <w:left w:val="nil"/>
              <w:bottom w:val="single" w:sz="4" w:space="0" w:color="auto"/>
              <w:right w:val="single" w:sz="4" w:space="0" w:color="auto"/>
            </w:tcBorders>
            <w:vAlign w:val="center"/>
            <w:hideMark/>
          </w:tcPr>
          <w:p w14:paraId="6A8D854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21940</w:t>
            </w:r>
          </w:p>
        </w:tc>
        <w:tc>
          <w:tcPr>
            <w:tcW w:w="993" w:type="dxa"/>
            <w:tcBorders>
              <w:top w:val="nil"/>
              <w:left w:val="nil"/>
              <w:bottom w:val="single" w:sz="4" w:space="0" w:color="auto"/>
              <w:right w:val="single" w:sz="4" w:space="0" w:color="auto"/>
            </w:tcBorders>
            <w:vAlign w:val="center"/>
            <w:hideMark/>
          </w:tcPr>
          <w:p w14:paraId="523DDBD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24741</w:t>
            </w:r>
          </w:p>
        </w:tc>
        <w:tc>
          <w:tcPr>
            <w:tcW w:w="992" w:type="dxa"/>
            <w:tcBorders>
              <w:top w:val="nil"/>
              <w:left w:val="nil"/>
              <w:bottom w:val="single" w:sz="4" w:space="0" w:color="auto"/>
              <w:right w:val="single" w:sz="4" w:space="0" w:color="auto"/>
            </w:tcBorders>
            <w:vAlign w:val="center"/>
            <w:hideMark/>
          </w:tcPr>
          <w:p w14:paraId="2A28918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27851</w:t>
            </w:r>
          </w:p>
        </w:tc>
        <w:tc>
          <w:tcPr>
            <w:tcW w:w="850" w:type="dxa"/>
            <w:tcBorders>
              <w:top w:val="nil"/>
              <w:left w:val="nil"/>
              <w:bottom w:val="single" w:sz="4" w:space="0" w:color="auto"/>
              <w:right w:val="single" w:sz="4" w:space="0" w:color="auto"/>
            </w:tcBorders>
            <w:vAlign w:val="center"/>
            <w:hideMark/>
          </w:tcPr>
          <w:p w14:paraId="7164365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31295</w:t>
            </w:r>
          </w:p>
        </w:tc>
        <w:tc>
          <w:tcPr>
            <w:tcW w:w="851" w:type="dxa"/>
            <w:tcBorders>
              <w:top w:val="nil"/>
              <w:left w:val="nil"/>
              <w:bottom w:val="single" w:sz="4" w:space="0" w:color="auto"/>
              <w:right w:val="single" w:sz="4" w:space="0" w:color="auto"/>
            </w:tcBorders>
            <w:vAlign w:val="center"/>
            <w:hideMark/>
          </w:tcPr>
          <w:p w14:paraId="2C84C3C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35102</w:t>
            </w:r>
          </w:p>
        </w:tc>
        <w:tc>
          <w:tcPr>
            <w:tcW w:w="850" w:type="dxa"/>
            <w:tcBorders>
              <w:top w:val="nil"/>
              <w:left w:val="nil"/>
              <w:bottom w:val="single" w:sz="4" w:space="0" w:color="auto"/>
              <w:right w:val="single" w:sz="4" w:space="0" w:color="auto"/>
            </w:tcBorders>
            <w:vAlign w:val="center"/>
            <w:hideMark/>
          </w:tcPr>
          <w:p w14:paraId="7C586B6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39299</w:t>
            </w:r>
          </w:p>
        </w:tc>
        <w:tc>
          <w:tcPr>
            <w:tcW w:w="851" w:type="dxa"/>
            <w:tcBorders>
              <w:top w:val="nil"/>
              <w:left w:val="nil"/>
              <w:bottom w:val="single" w:sz="4" w:space="0" w:color="auto"/>
              <w:right w:val="single" w:sz="4" w:space="0" w:color="auto"/>
            </w:tcBorders>
            <w:vAlign w:val="center"/>
            <w:hideMark/>
          </w:tcPr>
          <w:p w14:paraId="671D701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158288</w:t>
            </w:r>
          </w:p>
        </w:tc>
      </w:tr>
      <w:tr w:rsidR="00641D39" w:rsidRPr="00641D39" w14:paraId="2130D399"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3F7C4F95"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 Orissa</w:t>
            </w:r>
          </w:p>
        </w:tc>
        <w:tc>
          <w:tcPr>
            <w:tcW w:w="850" w:type="dxa"/>
            <w:tcBorders>
              <w:top w:val="nil"/>
              <w:left w:val="nil"/>
              <w:bottom w:val="single" w:sz="4" w:space="0" w:color="auto"/>
              <w:right w:val="single" w:sz="4" w:space="0" w:color="auto"/>
            </w:tcBorders>
            <w:vAlign w:val="center"/>
            <w:hideMark/>
          </w:tcPr>
          <w:p w14:paraId="1F05DB4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693</w:t>
            </w:r>
          </w:p>
        </w:tc>
        <w:tc>
          <w:tcPr>
            <w:tcW w:w="993" w:type="dxa"/>
            <w:tcBorders>
              <w:top w:val="nil"/>
              <w:left w:val="nil"/>
              <w:bottom w:val="single" w:sz="4" w:space="0" w:color="auto"/>
              <w:right w:val="single" w:sz="4" w:space="0" w:color="auto"/>
            </w:tcBorders>
            <w:vAlign w:val="center"/>
            <w:hideMark/>
          </w:tcPr>
          <w:p w14:paraId="3EB9E59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76</w:t>
            </w:r>
          </w:p>
        </w:tc>
        <w:tc>
          <w:tcPr>
            <w:tcW w:w="992" w:type="dxa"/>
            <w:tcBorders>
              <w:top w:val="nil"/>
              <w:left w:val="nil"/>
              <w:bottom w:val="single" w:sz="4" w:space="0" w:color="auto"/>
              <w:right w:val="single" w:sz="4" w:space="0" w:color="auto"/>
            </w:tcBorders>
            <w:vAlign w:val="center"/>
            <w:hideMark/>
          </w:tcPr>
          <w:p w14:paraId="7CA9D7E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w:t>
            </w:r>
          </w:p>
        </w:tc>
        <w:tc>
          <w:tcPr>
            <w:tcW w:w="850" w:type="dxa"/>
            <w:tcBorders>
              <w:top w:val="nil"/>
              <w:left w:val="nil"/>
              <w:bottom w:val="single" w:sz="4" w:space="0" w:color="auto"/>
              <w:right w:val="single" w:sz="4" w:space="0" w:color="auto"/>
            </w:tcBorders>
            <w:vAlign w:val="center"/>
            <w:hideMark/>
          </w:tcPr>
          <w:p w14:paraId="1ACC910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w:t>
            </w:r>
          </w:p>
        </w:tc>
        <w:tc>
          <w:tcPr>
            <w:tcW w:w="851" w:type="dxa"/>
            <w:tcBorders>
              <w:top w:val="nil"/>
              <w:left w:val="nil"/>
              <w:bottom w:val="single" w:sz="4" w:space="0" w:color="auto"/>
              <w:right w:val="single" w:sz="4" w:space="0" w:color="auto"/>
            </w:tcBorders>
            <w:vAlign w:val="center"/>
            <w:hideMark/>
          </w:tcPr>
          <w:p w14:paraId="34E4D12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50" w:type="dxa"/>
            <w:tcBorders>
              <w:top w:val="nil"/>
              <w:left w:val="nil"/>
              <w:bottom w:val="single" w:sz="4" w:space="0" w:color="auto"/>
              <w:right w:val="single" w:sz="4" w:space="0" w:color="auto"/>
            </w:tcBorders>
            <w:vAlign w:val="center"/>
            <w:hideMark/>
          </w:tcPr>
          <w:p w14:paraId="49377DB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0</w:t>
            </w:r>
          </w:p>
        </w:tc>
        <w:tc>
          <w:tcPr>
            <w:tcW w:w="851" w:type="dxa"/>
            <w:tcBorders>
              <w:top w:val="nil"/>
              <w:left w:val="nil"/>
              <w:bottom w:val="single" w:sz="4" w:space="0" w:color="auto"/>
              <w:right w:val="single" w:sz="4" w:space="0" w:color="auto"/>
            </w:tcBorders>
            <w:vAlign w:val="center"/>
            <w:hideMark/>
          </w:tcPr>
          <w:p w14:paraId="70DE74B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85</w:t>
            </w:r>
          </w:p>
        </w:tc>
      </w:tr>
      <w:tr w:rsidR="00641D39" w:rsidRPr="00641D39" w14:paraId="003A26AC"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693247C2"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 Punjab</w:t>
            </w:r>
          </w:p>
        </w:tc>
        <w:tc>
          <w:tcPr>
            <w:tcW w:w="850" w:type="dxa"/>
            <w:tcBorders>
              <w:top w:val="nil"/>
              <w:left w:val="nil"/>
              <w:bottom w:val="single" w:sz="4" w:space="0" w:color="auto"/>
              <w:right w:val="single" w:sz="4" w:space="0" w:color="auto"/>
            </w:tcBorders>
            <w:vAlign w:val="center"/>
            <w:hideMark/>
          </w:tcPr>
          <w:p w14:paraId="48F7B9A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839</w:t>
            </w:r>
          </w:p>
        </w:tc>
        <w:tc>
          <w:tcPr>
            <w:tcW w:w="993" w:type="dxa"/>
            <w:tcBorders>
              <w:top w:val="nil"/>
              <w:left w:val="nil"/>
              <w:bottom w:val="single" w:sz="4" w:space="0" w:color="auto"/>
              <w:right w:val="single" w:sz="4" w:space="0" w:color="auto"/>
            </w:tcBorders>
            <w:vAlign w:val="center"/>
            <w:hideMark/>
          </w:tcPr>
          <w:p w14:paraId="62998C1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952</w:t>
            </w:r>
          </w:p>
        </w:tc>
        <w:tc>
          <w:tcPr>
            <w:tcW w:w="992" w:type="dxa"/>
            <w:tcBorders>
              <w:top w:val="nil"/>
              <w:left w:val="nil"/>
              <w:bottom w:val="single" w:sz="4" w:space="0" w:color="auto"/>
              <w:right w:val="single" w:sz="4" w:space="0" w:color="auto"/>
            </w:tcBorders>
            <w:vAlign w:val="center"/>
            <w:hideMark/>
          </w:tcPr>
          <w:p w14:paraId="37A01B1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1081</w:t>
            </w:r>
          </w:p>
        </w:tc>
        <w:tc>
          <w:tcPr>
            <w:tcW w:w="850" w:type="dxa"/>
            <w:tcBorders>
              <w:top w:val="nil"/>
              <w:left w:val="nil"/>
              <w:bottom w:val="single" w:sz="4" w:space="0" w:color="auto"/>
              <w:right w:val="single" w:sz="4" w:space="0" w:color="auto"/>
            </w:tcBorders>
            <w:vAlign w:val="center"/>
            <w:hideMark/>
          </w:tcPr>
          <w:p w14:paraId="143BCE7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1226</w:t>
            </w:r>
          </w:p>
        </w:tc>
        <w:tc>
          <w:tcPr>
            <w:tcW w:w="851" w:type="dxa"/>
            <w:tcBorders>
              <w:top w:val="nil"/>
              <w:left w:val="nil"/>
              <w:bottom w:val="single" w:sz="4" w:space="0" w:color="auto"/>
              <w:right w:val="single" w:sz="4" w:space="0" w:color="auto"/>
            </w:tcBorders>
            <w:vAlign w:val="center"/>
            <w:hideMark/>
          </w:tcPr>
          <w:p w14:paraId="556CA34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1389</w:t>
            </w:r>
          </w:p>
        </w:tc>
        <w:tc>
          <w:tcPr>
            <w:tcW w:w="850" w:type="dxa"/>
            <w:tcBorders>
              <w:top w:val="nil"/>
              <w:left w:val="nil"/>
              <w:bottom w:val="single" w:sz="4" w:space="0" w:color="auto"/>
              <w:right w:val="single" w:sz="4" w:space="0" w:color="auto"/>
            </w:tcBorders>
            <w:vAlign w:val="center"/>
            <w:hideMark/>
          </w:tcPr>
          <w:p w14:paraId="43C0411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1553</w:t>
            </w:r>
          </w:p>
        </w:tc>
        <w:tc>
          <w:tcPr>
            <w:tcW w:w="851" w:type="dxa"/>
            <w:tcBorders>
              <w:top w:val="nil"/>
              <w:left w:val="nil"/>
              <w:bottom w:val="single" w:sz="4" w:space="0" w:color="auto"/>
              <w:right w:val="single" w:sz="4" w:space="0" w:color="auto"/>
            </w:tcBorders>
            <w:vAlign w:val="center"/>
            <w:hideMark/>
          </w:tcPr>
          <w:p w14:paraId="418E03F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6200</w:t>
            </w:r>
          </w:p>
        </w:tc>
      </w:tr>
      <w:tr w:rsidR="00641D39" w:rsidRPr="00641D39" w14:paraId="2BFACAC4"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51EA3A19"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 Rajasthan</w:t>
            </w:r>
          </w:p>
        </w:tc>
        <w:tc>
          <w:tcPr>
            <w:tcW w:w="850" w:type="dxa"/>
            <w:tcBorders>
              <w:top w:val="nil"/>
              <w:left w:val="nil"/>
              <w:bottom w:val="single" w:sz="4" w:space="0" w:color="auto"/>
              <w:right w:val="single" w:sz="4" w:space="0" w:color="auto"/>
            </w:tcBorders>
            <w:vAlign w:val="center"/>
            <w:hideMark/>
          </w:tcPr>
          <w:p w14:paraId="21C3B1F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2257</w:t>
            </w:r>
          </w:p>
        </w:tc>
        <w:tc>
          <w:tcPr>
            <w:tcW w:w="993" w:type="dxa"/>
            <w:tcBorders>
              <w:top w:val="nil"/>
              <w:left w:val="nil"/>
              <w:bottom w:val="single" w:sz="4" w:space="0" w:color="auto"/>
              <w:right w:val="single" w:sz="4" w:space="0" w:color="auto"/>
            </w:tcBorders>
            <w:vAlign w:val="center"/>
            <w:hideMark/>
          </w:tcPr>
          <w:p w14:paraId="6B8F33A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1786</w:t>
            </w:r>
          </w:p>
        </w:tc>
        <w:tc>
          <w:tcPr>
            <w:tcW w:w="992" w:type="dxa"/>
            <w:tcBorders>
              <w:top w:val="nil"/>
              <w:left w:val="nil"/>
              <w:bottom w:val="single" w:sz="4" w:space="0" w:color="auto"/>
              <w:right w:val="single" w:sz="4" w:space="0" w:color="auto"/>
            </w:tcBorders>
            <w:vAlign w:val="center"/>
            <w:hideMark/>
          </w:tcPr>
          <w:p w14:paraId="6FBCC50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1410</w:t>
            </w:r>
          </w:p>
        </w:tc>
        <w:tc>
          <w:tcPr>
            <w:tcW w:w="850" w:type="dxa"/>
            <w:tcBorders>
              <w:top w:val="nil"/>
              <w:left w:val="nil"/>
              <w:bottom w:val="single" w:sz="4" w:space="0" w:color="auto"/>
              <w:right w:val="single" w:sz="4" w:space="0" w:color="auto"/>
            </w:tcBorders>
            <w:vAlign w:val="center"/>
            <w:hideMark/>
          </w:tcPr>
          <w:p w14:paraId="37E0D05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1110</w:t>
            </w:r>
          </w:p>
        </w:tc>
        <w:tc>
          <w:tcPr>
            <w:tcW w:w="851" w:type="dxa"/>
            <w:tcBorders>
              <w:top w:val="nil"/>
              <w:left w:val="nil"/>
              <w:bottom w:val="single" w:sz="4" w:space="0" w:color="auto"/>
              <w:right w:val="single" w:sz="4" w:space="0" w:color="auto"/>
            </w:tcBorders>
            <w:vAlign w:val="center"/>
            <w:hideMark/>
          </w:tcPr>
          <w:p w14:paraId="46A5E8E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872</w:t>
            </w:r>
          </w:p>
        </w:tc>
        <w:tc>
          <w:tcPr>
            <w:tcW w:w="850" w:type="dxa"/>
            <w:tcBorders>
              <w:top w:val="nil"/>
              <w:left w:val="nil"/>
              <w:bottom w:val="single" w:sz="4" w:space="0" w:color="auto"/>
              <w:right w:val="single" w:sz="4" w:space="0" w:color="auto"/>
            </w:tcBorders>
            <w:vAlign w:val="center"/>
            <w:hideMark/>
          </w:tcPr>
          <w:p w14:paraId="65E5E34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675</w:t>
            </w:r>
          </w:p>
        </w:tc>
        <w:tc>
          <w:tcPr>
            <w:tcW w:w="851" w:type="dxa"/>
            <w:tcBorders>
              <w:top w:val="nil"/>
              <w:left w:val="nil"/>
              <w:bottom w:val="single" w:sz="4" w:space="0" w:color="auto"/>
              <w:right w:val="single" w:sz="4" w:space="0" w:color="auto"/>
            </w:tcBorders>
            <w:vAlign w:val="center"/>
            <w:hideMark/>
          </w:tcPr>
          <w:p w14:paraId="3F4DEFF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5853</w:t>
            </w:r>
          </w:p>
        </w:tc>
      </w:tr>
      <w:tr w:rsidR="00641D39" w:rsidRPr="00641D39" w14:paraId="07A795D4"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4F418F5A"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 Tamil Nadu</w:t>
            </w:r>
          </w:p>
        </w:tc>
        <w:tc>
          <w:tcPr>
            <w:tcW w:w="850" w:type="dxa"/>
            <w:tcBorders>
              <w:top w:val="nil"/>
              <w:left w:val="nil"/>
              <w:bottom w:val="single" w:sz="4" w:space="0" w:color="auto"/>
              <w:right w:val="single" w:sz="4" w:space="0" w:color="auto"/>
            </w:tcBorders>
            <w:vAlign w:val="center"/>
            <w:hideMark/>
          </w:tcPr>
          <w:p w14:paraId="21255AD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8353</w:t>
            </w:r>
          </w:p>
        </w:tc>
        <w:tc>
          <w:tcPr>
            <w:tcW w:w="993" w:type="dxa"/>
            <w:tcBorders>
              <w:top w:val="nil"/>
              <w:left w:val="nil"/>
              <w:bottom w:val="single" w:sz="4" w:space="0" w:color="auto"/>
              <w:right w:val="single" w:sz="4" w:space="0" w:color="auto"/>
            </w:tcBorders>
            <w:vAlign w:val="center"/>
            <w:hideMark/>
          </w:tcPr>
          <w:p w14:paraId="311AE09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9479</w:t>
            </w:r>
          </w:p>
        </w:tc>
        <w:tc>
          <w:tcPr>
            <w:tcW w:w="992" w:type="dxa"/>
            <w:tcBorders>
              <w:top w:val="nil"/>
              <w:left w:val="nil"/>
              <w:bottom w:val="single" w:sz="4" w:space="0" w:color="auto"/>
              <w:right w:val="single" w:sz="4" w:space="0" w:color="auto"/>
            </w:tcBorders>
            <w:vAlign w:val="center"/>
            <w:hideMark/>
          </w:tcPr>
          <w:p w14:paraId="6F25FB2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10743</w:t>
            </w:r>
          </w:p>
        </w:tc>
        <w:tc>
          <w:tcPr>
            <w:tcW w:w="850" w:type="dxa"/>
            <w:tcBorders>
              <w:top w:val="nil"/>
              <w:left w:val="nil"/>
              <w:bottom w:val="single" w:sz="4" w:space="0" w:color="auto"/>
              <w:right w:val="single" w:sz="4" w:space="0" w:color="auto"/>
            </w:tcBorders>
            <w:vAlign w:val="center"/>
            <w:hideMark/>
          </w:tcPr>
          <w:p w14:paraId="1F22121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12156</w:t>
            </w:r>
          </w:p>
        </w:tc>
        <w:tc>
          <w:tcPr>
            <w:tcW w:w="851" w:type="dxa"/>
            <w:tcBorders>
              <w:top w:val="nil"/>
              <w:left w:val="nil"/>
              <w:bottom w:val="single" w:sz="4" w:space="0" w:color="auto"/>
              <w:right w:val="single" w:sz="4" w:space="0" w:color="auto"/>
            </w:tcBorders>
            <w:vAlign w:val="center"/>
            <w:hideMark/>
          </w:tcPr>
          <w:p w14:paraId="791DCCD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13710</w:t>
            </w:r>
          </w:p>
        </w:tc>
        <w:tc>
          <w:tcPr>
            <w:tcW w:w="850" w:type="dxa"/>
            <w:tcBorders>
              <w:top w:val="nil"/>
              <w:left w:val="nil"/>
              <w:bottom w:val="single" w:sz="4" w:space="0" w:color="auto"/>
              <w:right w:val="single" w:sz="4" w:space="0" w:color="auto"/>
            </w:tcBorders>
            <w:vAlign w:val="center"/>
            <w:hideMark/>
          </w:tcPr>
          <w:p w14:paraId="0748E41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15093</w:t>
            </w:r>
          </w:p>
        </w:tc>
        <w:tc>
          <w:tcPr>
            <w:tcW w:w="851" w:type="dxa"/>
            <w:tcBorders>
              <w:top w:val="nil"/>
              <w:left w:val="nil"/>
              <w:bottom w:val="single" w:sz="4" w:space="0" w:color="auto"/>
              <w:right w:val="single" w:sz="4" w:space="0" w:color="auto"/>
            </w:tcBorders>
            <w:vAlign w:val="center"/>
            <w:hideMark/>
          </w:tcPr>
          <w:p w14:paraId="1263545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61181</w:t>
            </w:r>
          </w:p>
        </w:tc>
      </w:tr>
      <w:tr w:rsidR="00641D39" w:rsidRPr="00641D39" w14:paraId="368B3487"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432BA209"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 Uttar Pradesh</w:t>
            </w:r>
          </w:p>
        </w:tc>
        <w:tc>
          <w:tcPr>
            <w:tcW w:w="850" w:type="dxa"/>
            <w:tcBorders>
              <w:top w:val="nil"/>
              <w:left w:val="nil"/>
              <w:bottom w:val="single" w:sz="4" w:space="0" w:color="auto"/>
              <w:right w:val="single" w:sz="4" w:space="0" w:color="auto"/>
            </w:tcBorders>
            <w:vAlign w:val="center"/>
            <w:hideMark/>
          </w:tcPr>
          <w:p w14:paraId="7BF3F9B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6751</w:t>
            </w:r>
          </w:p>
        </w:tc>
        <w:tc>
          <w:tcPr>
            <w:tcW w:w="993" w:type="dxa"/>
            <w:tcBorders>
              <w:top w:val="nil"/>
              <w:left w:val="nil"/>
              <w:bottom w:val="single" w:sz="4" w:space="0" w:color="auto"/>
              <w:right w:val="single" w:sz="4" w:space="0" w:color="auto"/>
            </w:tcBorders>
            <w:vAlign w:val="center"/>
            <w:hideMark/>
          </w:tcPr>
          <w:p w14:paraId="59BF3E5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2206</w:t>
            </w:r>
          </w:p>
        </w:tc>
        <w:tc>
          <w:tcPr>
            <w:tcW w:w="992" w:type="dxa"/>
            <w:tcBorders>
              <w:top w:val="nil"/>
              <w:left w:val="nil"/>
              <w:bottom w:val="single" w:sz="4" w:space="0" w:color="auto"/>
              <w:right w:val="single" w:sz="4" w:space="0" w:color="auto"/>
            </w:tcBorders>
            <w:vAlign w:val="center"/>
            <w:hideMark/>
          </w:tcPr>
          <w:p w14:paraId="18C7624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708</w:t>
            </w:r>
          </w:p>
        </w:tc>
        <w:tc>
          <w:tcPr>
            <w:tcW w:w="850" w:type="dxa"/>
            <w:tcBorders>
              <w:top w:val="nil"/>
              <w:left w:val="nil"/>
              <w:bottom w:val="single" w:sz="4" w:space="0" w:color="auto"/>
              <w:right w:val="single" w:sz="4" w:space="0" w:color="auto"/>
            </w:tcBorders>
            <w:vAlign w:val="center"/>
            <w:hideMark/>
          </w:tcPr>
          <w:p w14:paraId="3411188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225</w:t>
            </w:r>
          </w:p>
        </w:tc>
        <w:tc>
          <w:tcPr>
            <w:tcW w:w="851" w:type="dxa"/>
            <w:tcBorders>
              <w:top w:val="nil"/>
              <w:left w:val="nil"/>
              <w:bottom w:val="single" w:sz="4" w:space="0" w:color="auto"/>
              <w:right w:val="single" w:sz="4" w:space="0" w:color="auto"/>
            </w:tcBorders>
            <w:vAlign w:val="center"/>
            <w:hideMark/>
          </w:tcPr>
          <w:p w14:paraId="0EE5CBE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71</w:t>
            </w:r>
          </w:p>
        </w:tc>
        <w:tc>
          <w:tcPr>
            <w:tcW w:w="850" w:type="dxa"/>
            <w:tcBorders>
              <w:top w:val="nil"/>
              <w:left w:val="nil"/>
              <w:bottom w:val="single" w:sz="4" w:space="0" w:color="auto"/>
              <w:right w:val="single" w:sz="4" w:space="0" w:color="auto"/>
            </w:tcBorders>
            <w:vAlign w:val="center"/>
            <w:hideMark/>
          </w:tcPr>
          <w:p w14:paraId="20CB475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w:t>
            </w:r>
          </w:p>
        </w:tc>
        <w:tc>
          <w:tcPr>
            <w:tcW w:w="851" w:type="dxa"/>
            <w:tcBorders>
              <w:top w:val="nil"/>
              <w:left w:val="nil"/>
              <w:bottom w:val="single" w:sz="4" w:space="0" w:color="auto"/>
              <w:right w:val="single" w:sz="4" w:space="0" w:color="auto"/>
            </w:tcBorders>
            <w:vAlign w:val="center"/>
            <w:hideMark/>
          </w:tcPr>
          <w:p w14:paraId="317D7F5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3231</w:t>
            </w:r>
          </w:p>
        </w:tc>
      </w:tr>
      <w:tr w:rsidR="00641D39" w:rsidRPr="00641D39" w14:paraId="7F4262B7"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156AE58E"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 West Bengal</w:t>
            </w:r>
          </w:p>
        </w:tc>
        <w:tc>
          <w:tcPr>
            <w:tcW w:w="850" w:type="dxa"/>
            <w:tcBorders>
              <w:top w:val="nil"/>
              <w:left w:val="nil"/>
              <w:bottom w:val="single" w:sz="4" w:space="0" w:color="auto"/>
              <w:right w:val="single" w:sz="4" w:space="0" w:color="auto"/>
            </w:tcBorders>
            <w:vAlign w:val="center"/>
            <w:hideMark/>
          </w:tcPr>
          <w:p w14:paraId="40F5292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11923</w:t>
            </w:r>
          </w:p>
        </w:tc>
        <w:tc>
          <w:tcPr>
            <w:tcW w:w="993" w:type="dxa"/>
            <w:tcBorders>
              <w:top w:val="nil"/>
              <w:left w:val="nil"/>
              <w:bottom w:val="single" w:sz="4" w:space="0" w:color="auto"/>
              <w:right w:val="single" w:sz="4" w:space="0" w:color="auto"/>
            </w:tcBorders>
            <w:vAlign w:val="center"/>
            <w:hideMark/>
          </w:tcPr>
          <w:p w14:paraId="1838188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12017</w:t>
            </w:r>
          </w:p>
        </w:tc>
        <w:tc>
          <w:tcPr>
            <w:tcW w:w="992" w:type="dxa"/>
            <w:tcBorders>
              <w:top w:val="nil"/>
              <w:left w:val="nil"/>
              <w:bottom w:val="single" w:sz="4" w:space="0" w:color="auto"/>
              <w:right w:val="single" w:sz="4" w:space="0" w:color="auto"/>
            </w:tcBorders>
            <w:vAlign w:val="center"/>
            <w:hideMark/>
          </w:tcPr>
          <w:p w14:paraId="3B11D3B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12092</w:t>
            </w:r>
          </w:p>
        </w:tc>
        <w:tc>
          <w:tcPr>
            <w:tcW w:w="850" w:type="dxa"/>
            <w:tcBorders>
              <w:top w:val="nil"/>
              <w:left w:val="nil"/>
              <w:bottom w:val="single" w:sz="4" w:space="0" w:color="auto"/>
              <w:right w:val="single" w:sz="4" w:space="0" w:color="auto"/>
            </w:tcBorders>
            <w:vAlign w:val="center"/>
            <w:hideMark/>
          </w:tcPr>
          <w:p w14:paraId="35F3600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12142</w:t>
            </w:r>
          </w:p>
        </w:tc>
        <w:tc>
          <w:tcPr>
            <w:tcW w:w="851" w:type="dxa"/>
            <w:tcBorders>
              <w:top w:val="nil"/>
              <w:left w:val="nil"/>
              <w:bottom w:val="single" w:sz="4" w:space="0" w:color="auto"/>
              <w:right w:val="single" w:sz="4" w:space="0" w:color="auto"/>
            </w:tcBorders>
            <w:vAlign w:val="center"/>
            <w:hideMark/>
          </w:tcPr>
          <w:p w14:paraId="54B6E85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12134</w:t>
            </w:r>
          </w:p>
        </w:tc>
        <w:tc>
          <w:tcPr>
            <w:tcW w:w="850" w:type="dxa"/>
            <w:tcBorders>
              <w:top w:val="nil"/>
              <w:left w:val="nil"/>
              <w:bottom w:val="single" w:sz="4" w:space="0" w:color="auto"/>
              <w:right w:val="single" w:sz="4" w:space="0" w:color="auto"/>
            </w:tcBorders>
            <w:vAlign w:val="center"/>
            <w:hideMark/>
          </w:tcPr>
          <w:p w14:paraId="07FD4E7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11709</w:t>
            </w:r>
          </w:p>
        </w:tc>
        <w:tc>
          <w:tcPr>
            <w:tcW w:w="851" w:type="dxa"/>
            <w:tcBorders>
              <w:top w:val="nil"/>
              <w:left w:val="nil"/>
              <w:bottom w:val="single" w:sz="4" w:space="0" w:color="auto"/>
              <w:right w:val="single" w:sz="4" w:space="0" w:color="auto"/>
            </w:tcBorders>
            <w:vAlign w:val="center"/>
            <w:hideMark/>
          </w:tcPr>
          <w:p w14:paraId="1BB80FC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60094</w:t>
            </w:r>
          </w:p>
        </w:tc>
      </w:tr>
      <w:tr w:rsidR="00641D39" w:rsidRPr="00641D39" w14:paraId="212E7362" w14:textId="77777777" w:rsidTr="00DD5250">
        <w:trPr>
          <w:trHeight w:val="20"/>
          <w:jc w:val="center"/>
        </w:trPr>
        <w:tc>
          <w:tcPr>
            <w:tcW w:w="1413" w:type="dxa"/>
            <w:tcBorders>
              <w:top w:val="nil"/>
              <w:left w:val="single" w:sz="4" w:space="0" w:color="auto"/>
              <w:bottom w:val="single" w:sz="4" w:space="0" w:color="auto"/>
              <w:right w:val="single" w:sz="4" w:space="0" w:color="auto"/>
            </w:tcBorders>
            <w:vAlign w:val="center"/>
            <w:hideMark/>
          </w:tcPr>
          <w:p w14:paraId="30D1F85F"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14 Major States</w:t>
            </w:r>
          </w:p>
        </w:tc>
        <w:tc>
          <w:tcPr>
            <w:tcW w:w="850" w:type="dxa"/>
            <w:tcBorders>
              <w:top w:val="nil"/>
              <w:left w:val="nil"/>
              <w:bottom w:val="single" w:sz="4" w:space="0" w:color="auto"/>
              <w:right w:val="single" w:sz="4" w:space="0" w:color="auto"/>
            </w:tcBorders>
            <w:vAlign w:val="center"/>
            <w:hideMark/>
          </w:tcPr>
          <w:p w14:paraId="023231F4"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79150</w:t>
            </w:r>
          </w:p>
        </w:tc>
        <w:tc>
          <w:tcPr>
            <w:tcW w:w="993" w:type="dxa"/>
            <w:tcBorders>
              <w:top w:val="nil"/>
              <w:left w:val="nil"/>
              <w:bottom w:val="single" w:sz="4" w:space="0" w:color="auto"/>
              <w:right w:val="single" w:sz="4" w:space="0" w:color="auto"/>
            </w:tcBorders>
            <w:vAlign w:val="center"/>
            <w:hideMark/>
          </w:tcPr>
          <w:p w14:paraId="5AB2FE29"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80533</w:t>
            </w:r>
          </w:p>
        </w:tc>
        <w:tc>
          <w:tcPr>
            <w:tcW w:w="992" w:type="dxa"/>
            <w:tcBorders>
              <w:top w:val="nil"/>
              <w:left w:val="nil"/>
              <w:bottom w:val="single" w:sz="4" w:space="0" w:color="auto"/>
              <w:right w:val="single" w:sz="4" w:space="0" w:color="auto"/>
            </w:tcBorders>
            <w:vAlign w:val="center"/>
            <w:hideMark/>
          </w:tcPr>
          <w:p w14:paraId="1FCD3E4B"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86809</w:t>
            </w:r>
          </w:p>
        </w:tc>
        <w:tc>
          <w:tcPr>
            <w:tcW w:w="850" w:type="dxa"/>
            <w:tcBorders>
              <w:top w:val="nil"/>
              <w:left w:val="nil"/>
              <w:bottom w:val="single" w:sz="4" w:space="0" w:color="auto"/>
              <w:right w:val="single" w:sz="4" w:space="0" w:color="auto"/>
            </w:tcBorders>
            <w:vAlign w:val="center"/>
            <w:hideMark/>
          </w:tcPr>
          <w:p w14:paraId="1FDB9419"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95632</w:t>
            </w:r>
          </w:p>
        </w:tc>
        <w:tc>
          <w:tcPr>
            <w:tcW w:w="851" w:type="dxa"/>
            <w:tcBorders>
              <w:top w:val="nil"/>
              <w:left w:val="nil"/>
              <w:bottom w:val="single" w:sz="4" w:space="0" w:color="auto"/>
              <w:right w:val="single" w:sz="4" w:space="0" w:color="auto"/>
            </w:tcBorders>
            <w:vAlign w:val="center"/>
            <w:hideMark/>
          </w:tcPr>
          <w:p w14:paraId="45CD362F"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106352</w:t>
            </w:r>
          </w:p>
        </w:tc>
        <w:tc>
          <w:tcPr>
            <w:tcW w:w="850" w:type="dxa"/>
            <w:tcBorders>
              <w:top w:val="nil"/>
              <w:left w:val="nil"/>
              <w:bottom w:val="single" w:sz="4" w:space="0" w:color="auto"/>
              <w:right w:val="single" w:sz="4" w:space="0" w:color="auto"/>
            </w:tcBorders>
            <w:vAlign w:val="center"/>
            <w:hideMark/>
          </w:tcPr>
          <w:p w14:paraId="6CA47E44"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117598</w:t>
            </w:r>
          </w:p>
        </w:tc>
        <w:tc>
          <w:tcPr>
            <w:tcW w:w="851" w:type="dxa"/>
            <w:tcBorders>
              <w:top w:val="nil"/>
              <w:left w:val="nil"/>
              <w:bottom w:val="single" w:sz="4" w:space="0" w:color="auto"/>
              <w:right w:val="single" w:sz="4" w:space="0" w:color="auto"/>
            </w:tcBorders>
            <w:vAlign w:val="center"/>
            <w:hideMark/>
          </w:tcPr>
          <w:p w14:paraId="7D8CE4B2"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486924</w:t>
            </w:r>
          </w:p>
        </w:tc>
      </w:tr>
    </w:tbl>
    <w:p w14:paraId="47FE3F68" w14:textId="6AE7263D" w:rsidR="00294D85" w:rsidRPr="003737D4" w:rsidRDefault="00294D85" w:rsidP="00641D39">
      <w:pPr>
        <w:tabs>
          <w:tab w:val="left" w:pos="2805"/>
        </w:tabs>
        <w:spacing w:after="0"/>
        <w:jc w:val="center"/>
        <w:rPr>
          <w:rFonts w:ascii="Times New Roman" w:hAnsi="Times New Roman" w:cs="Times New Roman"/>
          <w:b/>
          <w:bCs/>
          <w:sz w:val="20"/>
          <w:szCs w:val="20"/>
        </w:rPr>
      </w:pPr>
      <w:r w:rsidRPr="003737D4">
        <w:rPr>
          <w:rFonts w:ascii="Times New Roman" w:hAnsi="Times New Roman" w:cs="Times New Roman"/>
          <w:b/>
          <w:bCs/>
          <w:sz w:val="20"/>
          <w:szCs w:val="20"/>
        </w:rPr>
        <w:t>Revenue Category: All Taxes (Exclusive of Cess on Mines and Minerals)</w:t>
      </w:r>
    </w:p>
    <w:p w14:paraId="7D7597C9" w14:textId="38F24E04" w:rsidR="00294D85" w:rsidRPr="003737D4" w:rsidRDefault="006B0DBA" w:rsidP="006B0DBA">
      <w:pPr>
        <w:tabs>
          <w:tab w:val="left" w:pos="2805"/>
        </w:tabs>
        <w:spacing w:after="0"/>
        <w:jc w:val="center"/>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sidR="00294D85" w:rsidRPr="003737D4">
        <w:rPr>
          <w:rFonts w:ascii="Times New Roman" w:hAnsi="Times New Roman" w:cs="Times New Roman"/>
          <w:i/>
          <w:iCs/>
          <w:sz w:val="18"/>
          <w:szCs w:val="18"/>
        </w:rPr>
        <w:t>(Rs. Lakh)</w:t>
      </w:r>
    </w:p>
    <w:tbl>
      <w:tblPr>
        <w:tblW w:w="7366" w:type="dxa"/>
        <w:jc w:val="center"/>
        <w:tblLook w:val="04A0" w:firstRow="1" w:lastRow="0" w:firstColumn="1" w:lastColumn="0" w:noHBand="0" w:noVBand="1"/>
      </w:tblPr>
      <w:tblGrid>
        <w:gridCol w:w="1534"/>
        <w:gridCol w:w="776"/>
        <w:gridCol w:w="792"/>
        <w:gridCol w:w="849"/>
        <w:gridCol w:w="850"/>
        <w:gridCol w:w="849"/>
        <w:gridCol w:w="776"/>
        <w:gridCol w:w="940"/>
      </w:tblGrid>
      <w:tr w:rsidR="006B0DBA" w:rsidRPr="00641D39" w14:paraId="34B4FA69" w14:textId="77777777" w:rsidTr="006B0DBA">
        <w:trPr>
          <w:trHeight w:val="20"/>
          <w:jc w:val="center"/>
        </w:trPr>
        <w:tc>
          <w:tcPr>
            <w:tcW w:w="1534" w:type="dxa"/>
            <w:vMerge w:val="restart"/>
            <w:tcBorders>
              <w:top w:val="single" w:sz="4" w:space="0" w:color="auto"/>
              <w:left w:val="single" w:sz="4" w:space="0" w:color="auto"/>
              <w:right w:val="single" w:sz="4" w:space="0" w:color="auto"/>
            </w:tcBorders>
            <w:vAlign w:val="center"/>
            <w:hideMark/>
          </w:tcPr>
          <w:p w14:paraId="31F2C2F6" w14:textId="77777777" w:rsidR="006B0DBA" w:rsidRPr="00641D39" w:rsidRDefault="006B0DBA"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State</w:t>
            </w:r>
          </w:p>
        </w:tc>
        <w:tc>
          <w:tcPr>
            <w:tcW w:w="776" w:type="dxa"/>
            <w:tcBorders>
              <w:top w:val="single" w:sz="4" w:space="0" w:color="auto"/>
              <w:left w:val="nil"/>
              <w:bottom w:val="single" w:sz="4" w:space="0" w:color="auto"/>
              <w:right w:val="single" w:sz="4" w:space="0" w:color="auto"/>
            </w:tcBorders>
            <w:vAlign w:val="center"/>
            <w:hideMark/>
          </w:tcPr>
          <w:p w14:paraId="492E28AA" w14:textId="52F19E8E"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1989-90</w:t>
            </w:r>
          </w:p>
        </w:tc>
        <w:tc>
          <w:tcPr>
            <w:tcW w:w="792" w:type="dxa"/>
            <w:tcBorders>
              <w:top w:val="single" w:sz="4" w:space="0" w:color="auto"/>
              <w:left w:val="nil"/>
              <w:bottom w:val="single" w:sz="4" w:space="0" w:color="auto"/>
              <w:right w:val="single" w:sz="4" w:space="0" w:color="auto"/>
            </w:tcBorders>
            <w:vAlign w:val="center"/>
            <w:hideMark/>
          </w:tcPr>
          <w:p w14:paraId="0ADADEAC" w14:textId="3B990651"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1990-91</w:t>
            </w:r>
          </w:p>
        </w:tc>
        <w:tc>
          <w:tcPr>
            <w:tcW w:w="849" w:type="dxa"/>
            <w:tcBorders>
              <w:top w:val="single" w:sz="4" w:space="0" w:color="auto"/>
              <w:left w:val="nil"/>
              <w:bottom w:val="single" w:sz="4" w:space="0" w:color="auto"/>
              <w:right w:val="single" w:sz="4" w:space="0" w:color="auto"/>
            </w:tcBorders>
            <w:vAlign w:val="center"/>
            <w:hideMark/>
          </w:tcPr>
          <w:p w14:paraId="099D28F5" w14:textId="61EF0E10"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1991-92</w:t>
            </w:r>
          </w:p>
        </w:tc>
        <w:tc>
          <w:tcPr>
            <w:tcW w:w="850" w:type="dxa"/>
            <w:tcBorders>
              <w:top w:val="single" w:sz="4" w:space="0" w:color="auto"/>
              <w:left w:val="nil"/>
              <w:bottom w:val="single" w:sz="4" w:space="0" w:color="auto"/>
              <w:right w:val="single" w:sz="4" w:space="0" w:color="auto"/>
            </w:tcBorders>
            <w:vAlign w:val="center"/>
            <w:hideMark/>
          </w:tcPr>
          <w:p w14:paraId="6D38E284" w14:textId="129DF845"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1992-93</w:t>
            </w:r>
          </w:p>
        </w:tc>
        <w:tc>
          <w:tcPr>
            <w:tcW w:w="849" w:type="dxa"/>
            <w:tcBorders>
              <w:top w:val="single" w:sz="4" w:space="0" w:color="auto"/>
              <w:left w:val="nil"/>
              <w:bottom w:val="single" w:sz="4" w:space="0" w:color="auto"/>
              <w:right w:val="single" w:sz="4" w:space="0" w:color="auto"/>
            </w:tcBorders>
            <w:vAlign w:val="center"/>
            <w:hideMark/>
          </w:tcPr>
          <w:p w14:paraId="3A56E5E7" w14:textId="592F3F94"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1993-94</w:t>
            </w:r>
          </w:p>
        </w:tc>
        <w:tc>
          <w:tcPr>
            <w:tcW w:w="776" w:type="dxa"/>
            <w:tcBorders>
              <w:top w:val="single" w:sz="4" w:space="0" w:color="auto"/>
              <w:left w:val="nil"/>
              <w:bottom w:val="single" w:sz="4" w:space="0" w:color="auto"/>
              <w:right w:val="single" w:sz="4" w:space="0" w:color="auto"/>
            </w:tcBorders>
            <w:vAlign w:val="center"/>
            <w:hideMark/>
          </w:tcPr>
          <w:p w14:paraId="32BEA3D0" w14:textId="6948A7D0"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1994-95</w:t>
            </w:r>
          </w:p>
        </w:tc>
        <w:tc>
          <w:tcPr>
            <w:tcW w:w="940" w:type="dxa"/>
            <w:tcBorders>
              <w:top w:val="single" w:sz="4" w:space="0" w:color="auto"/>
              <w:left w:val="nil"/>
              <w:bottom w:val="single" w:sz="4" w:space="0" w:color="auto"/>
              <w:right w:val="single" w:sz="4" w:space="0" w:color="auto"/>
            </w:tcBorders>
            <w:vAlign w:val="center"/>
            <w:hideMark/>
          </w:tcPr>
          <w:p w14:paraId="569F34AF" w14:textId="6C4744F1" w:rsidR="006B0DBA" w:rsidRPr="00641D39" w:rsidRDefault="006B0DBA"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 xml:space="preserve">Total </w:t>
            </w:r>
          </w:p>
        </w:tc>
      </w:tr>
      <w:tr w:rsidR="006B0DBA" w:rsidRPr="00641D39" w14:paraId="24101030" w14:textId="77777777" w:rsidTr="006B0DBA">
        <w:trPr>
          <w:trHeight w:val="20"/>
          <w:jc w:val="center"/>
        </w:trPr>
        <w:tc>
          <w:tcPr>
            <w:tcW w:w="1534" w:type="dxa"/>
            <w:vMerge/>
            <w:tcBorders>
              <w:left w:val="single" w:sz="4" w:space="0" w:color="auto"/>
              <w:bottom w:val="single" w:sz="4" w:space="0" w:color="auto"/>
              <w:right w:val="single" w:sz="4" w:space="0" w:color="auto"/>
            </w:tcBorders>
            <w:vAlign w:val="center"/>
          </w:tcPr>
          <w:p w14:paraId="1FDB4944" w14:textId="77777777" w:rsidR="006B0DBA" w:rsidRPr="00641D39" w:rsidRDefault="006B0DBA"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76" w:type="dxa"/>
            <w:tcBorders>
              <w:top w:val="single" w:sz="4" w:space="0" w:color="auto"/>
              <w:left w:val="nil"/>
              <w:bottom w:val="single" w:sz="4" w:space="0" w:color="auto"/>
              <w:right w:val="single" w:sz="4" w:space="0" w:color="auto"/>
            </w:tcBorders>
            <w:vAlign w:val="center"/>
          </w:tcPr>
          <w:p w14:paraId="3A967AB6" w14:textId="073636AB"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792" w:type="dxa"/>
            <w:tcBorders>
              <w:top w:val="single" w:sz="4" w:space="0" w:color="auto"/>
              <w:left w:val="nil"/>
              <w:bottom w:val="single" w:sz="4" w:space="0" w:color="auto"/>
              <w:right w:val="single" w:sz="4" w:space="0" w:color="auto"/>
            </w:tcBorders>
            <w:vAlign w:val="center"/>
          </w:tcPr>
          <w:p w14:paraId="39EE7D1F" w14:textId="45DBE5FC"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849" w:type="dxa"/>
            <w:tcBorders>
              <w:top w:val="single" w:sz="4" w:space="0" w:color="auto"/>
              <w:left w:val="nil"/>
              <w:bottom w:val="single" w:sz="4" w:space="0" w:color="auto"/>
              <w:right w:val="single" w:sz="4" w:space="0" w:color="auto"/>
            </w:tcBorders>
            <w:vAlign w:val="center"/>
          </w:tcPr>
          <w:p w14:paraId="0D42E269" w14:textId="2012C04D"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850" w:type="dxa"/>
            <w:tcBorders>
              <w:top w:val="single" w:sz="4" w:space="0" w:color="auto"/>
              <w:left w:val="nil"/>
              <w:bottom w:val="single" w:sz="4" w:space="0" w:color="auto"/>
              <w:right w:val="single" w:sz="4" w:space="0" w:color="auto"/>
            </w:tcBorders>
            <w:vAlign w:val="center"/>
          </w:tcPr>
          <w:p w14:paraId="59F488F2" w14:textId="0A6815F4"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849" w:type="dxa"/>
            <w:tcBorders>
              <w:top w:val="single" w:sz="4" w:space="0" w:color="auto"/>
              <w:left w:val="nil"/>
              <w:bottom w:val="single" w:sz="4" w:space="0" w:color="auto"/>
              <w:right w:val="single" w:sz="4" w:space="0" w:color="auto"/>
            </w:tcBorders>
            <w:vAlign w:val="center"/>
          </w:tcPr>
          <w:p w14:paraId="15368B9A" w14:textId="561EEC29"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776" w:type="dxa"/>
            <w:tcBorders>
              <w:top w:val="single" w:sz="4" w:space="0" w:color="auto"/>
              <w:left w:val="nil"/>
              <w:bottom w:val="single" w:sz="4" w:space="0" w:color="auto"/>
              <w:right w:val="single" w:sz="4" w:space="0" w:color="auto"/>
            </w:tcBorders>
            <w:vAlign w:val="center"/>
          </w:tcPr>
          <w:p w14:paraId="689644B2" w14:textId="7B56B569"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940" w:type="dxa"/>
            <w:tcBorders>
              <w:top w:val="single" w:sz="4" w:space="0" w:color="auto"/>
              <w:left w:val="nil"/>
              <w:bottom w:val="single" w:sz="4" w:space="0" w:color="auto"/>
              <w:right w:val="single" w:sz="4" w:space="0" w:color="auto"/>
            </w:tcBorders>
            <w:vAlign w:val="center"/>
          </w:tcPr>
          <w:p w14:paraId="67D651E1" w14:textId="487A7927" w:rsidR="006B0DBA" w:rsidRPr="00641D39" w:rsidRDefault="006B0DBA"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641D39" w:rsidRPr="00641D39" w14:paraId="310E7058"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1DF76A02"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 Andhra Pradesh</w:t>
            </w:r>
          </w:p>
        </w:tc>
        <w:tc>
          <w:tcPr>
            <w:tcW w:w="776" w:type="dxa"/>
            <w:tcBorders>
              <w:top w:val="nil"/>
              <w:left w:val="nil"/>
              <w:bottom w:val="single" w:sz="4" w:space="0" w:color="auto"/>
              <w:right w:val="single" w:sz="4" w:space="0" w:color="auto"/>
            </w:tcBorders>
            <w:vAlign w:val="center"/>
            <w:hideMark/>
          </w:tcPr>
          <w:p w14:paraId="37AA9CB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246537</w:t>
            </w:r>
          </w:p>
        </w:tc>
        <w:tc>
          <w:tcPr>
            <w:tcW w:w="792" w:type="dxa"/>
            <w:tcBorders>
              <w:top w:val="nil"/>
              <w:left w:val="nil"/>
              <w:bottom w:val="single" w:sz="4" w:space="0" w:color="auto"/>
              <w:right w:val="single" w:sz="4" w:space="0" w:color="auto"/>
            </w:tcBorders>
            <w:vAlign w:val="center"/>
            <w:hideMark/>
          </w:tcPr>
          <w:p w14:paraId="274B68C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270743</w:t>
            </w:r>
          </w:p>
        </w:tc>
        <w:tc>
          <w:tcPr>
            <w:tcW w:w="849" w:type="dxa"/>
            <w:tcBorders>
              <w:top w:val="nil"/>
              <w:left w:val="nil"/>
              <w:bottom w:val="single" w:sz="4" w:space="0" w:color="auto"/>
              <w:right w:val="single" w:sz="4" w:space="0" w:color="auto"/>
            </w:tcBorders>
            <w:vAlign w:val="center"/>
            <w:hideMark/>
          </w:tcPr>
          <w:p w14:paraId="12FF990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297326</w:t>
            </w:r>
          </w:p>
        </w:tc>
        <w:tc>
          <w:tcPr>
            <w:tcW w:w="850" w:type="dxa"/>
            <w:tcBorders>
              <w:top w:val="nil"/>
              <w:left w:val="nil"/>
              <w:bottom w:val="single" w:sz="4" w:space="0" w:color="auto"/>
              <w:right w:val="single" w:sz="4" w:space="0" w:color="auto"/>
            </w:tcBorders>
            <w:vAlign w:val="center"/>
            <w:hideMark/>
          </w:tcPr>
          <w:p w14:paraId="729D4E6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326519</w:t>
            </w:r>
          </w:p>
        </w:tc>
        <w:tc>
          <w:tcPr>
            <w:tcW w:w="849" w:type="dxa"/>
            <w:tcBorders>
              <w:top w:val="nil"/>
              <w:left w:val="nil"/>
              <w:bottom w:val="single" w:sz="4" w:space="0" w:color="auto"/>
              <w:right w:val="single" w:sz="4" w:space="0" w:color="auto"/>
            </w:tcBorders>
            <w:vAlign w:val="center"/>
            <w:hideMark/>
          </w:tcPr>
          <w:p w14:paraId="17D557C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358578</w:t>
            </w:r>
          </w:p>
        </w:tc>
        <w:tc>
          <w:tcPr>
            <w:tcW w:w="776" w:type="dxa"/>
            <w:tcBorders>
              <w:top w:val="nil"/>
              <w:left w:val="nil"/>
              <w:bottom w:val="single" w:sz="4" w:space="0" w:color="auto"/>
              <w:right w:val="single" w:sz="4" w:space="0" w:color="auto"/>
            </w:tcBorders>
            <w:vAlign w:val="center"/>
            <w:hideMark/>
          </w:tcPr>
          <w:p w14:paraId="6E95341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393785</w:t>
            </w:r>
          </w:p>
        </w:tc>
        <w:tc>
          <w:tcPr>
            <w:tcW w:w="940" w:type="dxa"/>
            <w:tcBorders>
              <w:top w:val="nil"/>
              <w:left w:val="nil"/>
              <w:bottom w:val="single" w:sz="4" w:space="0" w:color="auto"/>
              <w:right w:val="single" w:sz="4" w:space="0" w:color="auto"/>
            </w:tcBorders>
            <w:vAlign w:val="center"/>
            <w:hideMark/>
          </w:tcPr>
          <w:p w14:paraId="6CFC95D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1646952</w:t>
            </w:r>
          </w:p>
        </w:tc>
      </w:tr>
      <w:tr w:rsidR="00641D39" w:rsidRPr="00641D39" w14:paraId="310E387A"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11F89BD7"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 Bihar</w:t>
            </w:r>
          </w:p>
        </w:tc>
        <w:tc>
          <w:tcPr>
            <w:tcW w:w="776" w:type="dxa"/>
            <w:tcBorders>
              <w:top w:val="nil"/>
              <w:left w:val="nil"/>
              <w:bottom w:val="single" w:sz="4" w:space="0" w:color="auto"/>
              <w:right w:val="single" w:sz="4" w:space="0" w:color="auto"/>
            </w:tcBorders>
            <w:vAlign w:val="center"/>
            <w:hideMark/>
          </w:tcPr>
          <w:p w14:paraId="097F3F9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87653</w:t>
            </w:r>
          </w:p>
        </w:tc>
        <w:tc>
          <w:tcPr>
            <w:tcW w:w="792" w:type="dxa"/>
            <w:tcBorders>
              <w:top w:val="nil"/>
              <w:left w:val="nil"/>
              <w:bottom w:val="single" w:sz="4" w:space="0" w:color="auto"/>
              <w:right w:val="single" w:sz="4" w:space="0" w:color="auto"/>
            </w:tcBorders>
            <w:vAlign w:val="center"/>
            <w:hideMark/>
          </w:tcPr>
          <w:p w14:paraId="71B7CF2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99702</w:t>
            </w:r>
          </w:p>
        </w:tc>
        <w:tc>
          <w:tcPr>
            <w:tcW w:w="849" w:type="dxa"/>
            <w:tcBorders>
              <w:top w:val="nil"/>
              <w:left w:val="nil"/>
              <w:bottom w:val="single" w:sz="4" w:space="0" w:color="auto"/>
              <w:right w:val="single" w:sz="4" w:space="0" w:color="auto"/>
            </w:tcBorders>
            <w:vAlign w:val="center"/>
            <w:hideMark/>
          </w:tcPr>
          <w:p w14:paraId="3392438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113406</w:t>
            </w:r>
          </w:p>
        </w:tc>
        <w:tc>
          <w:tcPr>
            <w:tcW w:w="850" w:type="dxa"/>
            <w:tcBorders>
              <w:top w:val="nil"/>
              <w:left w:val="nil"/>
              <w:bottom w:val="single" w:sz="4" w:space="0" w:color="auto"/>
              <w:right w:val="single" w:sz="4" w:space="0" w:color="auto"/>
            </w:tcBorders>
            <w:vAlign w:val="center"/>
            <w:hideMark/>
          </w:tcPr>
          <w:p w14:paraId="0D35C61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128995</w:t>
            </w:r>
          </w:p>
        </w:tc>
        <w:tc>
          <w:tcPr>
            <w:tcW w:w="849" w:type="dxa"/>
            <w:tcBorders>
              <w:top w:val="nil"/>
              <w:left w:val="nil"/>
              <w:bottom w:val="single" w:sz="4" w:space="0" w:color="auto"/>
              <w:right w:val="single" w:sz="4" w:space="0" w:color="auto"/>
            </w:tcBorders>
            <w:vAlign w:val="center"/>
            <w:hideMark/>
          </w:tcPr>
          <w:p w14:paraId="62FD731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146726</w:t>
            </w:r>
          </w:p>
        </w:tc>
        <w:tc>
          <w:tcPr>
            <w:tcW w:w="776" w:type="dxa"/>
            <w:tcBorders>
              <w:top w:val="nil"/>
              <w:left w:val="nil"/>
              <w:bottom w:val="single" w:sz="4" w:space="0" w:color="auto"/>
              <w:right w:val="single" w:sz="4" w:space="0" w:color="auto"/>
            </w:tcBorders>
            <w:vAlign w:val="center"/>
            <w:hideMark/>
          </w:tcPr>
          <w:p w14:paraId="30341FA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166895</w:t>
            </w:r>
          </w:p>
        </w:tc>
        <w:tc>
          <w:tcPr>
            <w:tcW w:w="940" w:type="dxa"/>
            <w:tcBorders>
              <w:top w:val="nil"/>
              <w:left w:val="nil"/>
              <w:bottom w:val="single" w:sz="4" w:space="0" w:color="auto"/>
              <w:right w:val="single" w:sz="4" w:space="0" w:color="auto"/>
            </w:tcBorders>
            <w:vAlign w:val="center"/>
            <w:hideMark/>
          </w:tcPr>
          <w:p w14:paraId="5AB01B2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655725</w:t>
            </w:r>
          </w:p>
        </w:tc>
      </w:tr>
      <w:tr w:rsidR="00641D39" w:rsidRPr="00641D39" w14:paraId="66455674"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09997897"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 Gujarat</w:t>
            </w:r>
          </w:p>
        </w:tc>
        <w:tc>
          <w:tcPr>
            <w:tcW w:w="776" w:type="dxa"/>
            <w:tcBorders>
              <w:top w:val="nil"/>
              <w:left w:val="nil"/>
              <w:bottom w:val="single" w:sz="4" w:space="0" w:color="auto"/>
              <w:right w:val="single" w:sz="4" w:space="0" w:color="auto"/>
            </w:tcBorders>
            <w:vAlign w:val="center"/>
            <w:hideMark/>
          </w:tcPr>
          <w:p w14:paraId="5FB3EB4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187653</w:t>
            </w:r>
          </w:p>
        </w:tc>
        <w:tc>
          <w:tcPr>
            <w:tcW w:w="792" w:type="dxa"/>
            <w:tcBorders>
              <w:top w:val="nil"/>
              <w:left w:val="nil"/>
              <w:bottom w:val="single" w:sz="4" w:space="0" w:color="auto"/>
              <w:right w:val="single" w:sz="4" w:space="0" w:color="auto"/>
            </w:tcBorders>
            <w:vAlign w:val="center"/>
            <w:hideMark/>
          </w:tcPr>
          <w:p w14:paraId="14560C5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208885</w:t>
            </w:r>
          </w:p>
        </w:tc>
        <w:tc>
          <w:tcPr>
            <w:tcW w:w="849" w:type="dxa"/>
            <w:tcBorders>
              <w:top w:val="nil"/>
              <w:left w:val="nil"/>
              <w:bottom w:val="single" w:sz="4" w:space="0" w:color="auto"/>
              <w:right w:val="single" w:sz="4" w:space="0" w:color="auto"/>
            </w:tcBorders>
            <w:vAlign w:val="center"/>
            <w:hideMark/>
          </w:tcPr>
          <w:p w14:paraId="4425122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232519</w:t>
            </w:r>
          </w:p>
        </w:tc>
        <w:tc>
          <w:tcPr>
            <w:tcW w:w="850" w:type="dxa"/>
            <w:tcBorders>
              <w:top w:val="nil"/>
              <w:left w:val="nil"/>
              <w:bottom w:val="single" w:sz="4" w:space="0" w:color="auto"/>
              <w:right w:val="single" w:sz="4" w:space="0" w:color="auto"/>
            </w:tcBorders>
            <w:vAlign w:val="center"/>
            <w:hideMark/>
          </w:tcPr>
          <w:p w14:paraId="5D35DE6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258827</w:t>
            </w:r>
          </w:p>
        </w:tc>
        <w:tc>
          <w:tcPr>
            <w:tcW w:w="849" w:type="dxa"/>
            <w:tcBorders>
              <w:top w:val="nil"/>
              <w:left w:val="nil"/>
              <w:bottom w:val="single" w:sz="4" w:space="0" w:color="auto"/>
              <w:right w:val="single" w:sz="4" w:space="0" w:color="auto"/>
            </w:tcBorders>
            <w:vAlign w:val="center"/>
            <w:hideMark/>
          </w:tcPr>
          <w:p w14:paraId="76A2ABE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288112</w:t>
            </w:r>
          </w:p>
        </w:tc>
        <w:tc>
          <w:tcPr>
            <w:tcW w:w="776" w:type="dxa"/>
            <w:tcBorders>
              <w:top w:val="nil"/>
              <w:left w:val="nil"/>
              <w:bottom w:val="single" w:sz="4" w:space="0" w:color="auto"/>
              <w:right w:val="single" w:sz="4" w:space="0" w:color="auto"/>
            </w:tcBorders>
            <w:vAlign w:val="center"/>
            <w:hideMark/>
          </w:tcPr>
          <w:p w14:paraId="59AA830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320711</w:t>
            </w:r>
          </w:p>
        </w:tc>
        <w:tc>
          <w:tcPr>
            <w:tcW w:w="940" w:type="dxa"/>
            <w:tcBorders>
              <w:top w:val="nil"/>
              <w:left w:val="nil"/>
              <w:bottom w:val="single" w:sz="4" w:space="0" w:color="auto"/>
              <w:right w:val="single" w:sz="4" w:space="0" w:color="auto"/>
            </w:tcBorders>
            <w:vAlign w:val="center"/>
            <w:hideMark/>
          </w:tcPr>
          <w:p w14:paraId="7D70AA6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1309055</w:t>
            </w:r>
          </w:p>
        </w:tc>
      </w:tr>
      <w:tr w:rsidR="00641D39" w:rsidRPr="00641D39" w14:paraId="064D5835"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0D128CDD"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 Haryana</w:t>
            </w:r>
          </w:p>
        </w:tc>
        <w:tc>
          <w:tcPr>
            <w:tcW w:w="776" w:type="dxa"/>
            <w:tcBorders>
              <w:top w:val="nil"/>
              <w:left w:val="nil"/>
              <w:bottom w:val="single" w:sz="4" w:space="0" w:color="auto"/>
              <w:right w:val="single" w:sz="4" w:space="0" w:color="auto"/>
            </w:tcBorders>
            <w:vAlign w:val="center"/>
            <w:hideMark/>
          </w:tcPr>
          <w:p w14:paraId="1BB2C34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85178</w:t>
            </w:r>
          </w:p>
        </w:tc>
        <w:tc>
          <w:tcPr>
            <w:tcW w:w="792" w:type="dxa"/>
            <w:tcBorders>
              <w:top w:val="nil"/>
              <w:left w:val="nil"/>
              <w:bottom w:val="single" w:sz="4" w:space="0" w:color="auto"/>
              <w:right w:val="single" w:sz="4" w:space="0" w:color="auto"/>
            </w:tcBorders>
            <w:vAlign w:val="center"/>
            <w:hideMark/>
          </w:tcPr>
          <w:p w14:paraId="33F9DE6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95845</w:t>
            </w:r>
          </w:p>
        </w:tc>
        <w:tc>
          <w:tcPr>
            <w:tcW w:w="849" w:type="dxa"/>
            <w:tcBorders>
              <w:top w:val="nil"/>
              <w:left w:val="nil"/>
              <w:bottom w:val="single" w:sz="4" w:space="0" w:color="auto"/>
              <w:right w:val="single" w:sz="4" w:space="0" w:color="auto"/>
            </w:tcBorders>
            <w:vAlign w:val="center"/>
            <w:hideMark/>
          </w:tcPr>
          <w:p w14:paraId="13D5A89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107847</w:t>
            </w:r>
          </w:p>
        </w:tc>
        <w:tc>
          <w:tcPr>
            <w:tcW w:w="850" w:type="dxa"/>
            <w:tcBorders>
              <w:top w:val="nil"/>
              <w:left w:val="nil"/>
              <w:bottom w:val="single" w:sz="4" w:space="0" w:color="auto"/>
              <w:right w:val="single" w:sz="4" w:space="0" w:color="auto"/>
            </w:tcBorders>
            <w:vAlign w:val="center"/>
            <w:hideMark/>
          </w:tcPr>
          <w:p w14:paraId="06B1E29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121353</w:t>
            </w:r>
          </w:p>
        </w:tc>
        <w:tc>
          <w:tcPr>
            <w:tcW w:w="849" w:type="dxa"/>
            <w:tcBorders>
              <w:top w:val="nil"/>
              <w:left w:val="nil"/>
              <w:bottom w:val="single" w:sz="4" w:space="0" w:color="auto"/>
              <w:right w:val="single" w:sz="4" w:space="0" w:color="auto"/>
            </w:tcBorders>
            <w:vAlign w:val="center"/>
            <w:hideMark/>
          </w:tcPr>
          <w:p w14:paraId="714F12C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136549</w:t>
            </w:r>
          </w:p>
        </w:tc>
        <w:tc>
          <w:tcPr>
            <w:tcW w:w="776" w:type="dxa"/>
            <w:tcBorders>
              <w:top w:val="nil"/>
              <w:left w:val="nil"/>
              <w:bottom w:val="single" w:sz="4" w:space="0" w:color="auto"/>
              <w:right w:val="single" w:sz="4" w:space="0" w:color="auto"/>
            </w:tcBorders>
            <w:vAlign w:val="center"/>
            <w:hideMark/>
          </w:tcPr>
          <w:p w14:paraId="019108A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153649</w:t>
            </w:r>
          </w:p>
        </w:tc>
        <w:tc>
          <w:tcPr>
            <w:tcW w:w="940" w:type="dxa"/>
            <w:tcBorders>
              <w:top w:val="nil"/>
              <w:left w:val="nil"/>
              <w:bottom w:val="single" w:sz="4" w:space="0" w:color="auto"/>
              <w:right w:val="single" w:sz="4" w:space="0" w:color="auto"/>
            </w:tcBorders>
            <w:vAlign w:val="center"/>
            <w:hideMark/>
          </w:tcPr>
          <w:p w14:paraId="3406DCB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615243</w:t>
            </w:r>
          </w:p>
        </w:tc>
      </w:tr>
      <w:tr w:rsidR="00641D39" w:rsidRPr="00641D39" w14:paraId="7DA3BC33"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603DA96E"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 Karnataka</w:t>
            </w:r>
          </w:p>
        </w:tc>
        <w:tc>
          <w:tcPr>
            <w:tcW w:w="776" w:type="dxa"/>
            <w:tcBorders>
              <w:top w:val="nil"/>
              <w:left w:val="nil"/>
              <w:bottom w:val="single" w:sz="4" w:space="0" w:color="auto"/>
              <w:right w:val="single" w:sz="4" w:space="0" w:color="auto"/>
            </w:tcBorders>
            <w:vAlign w:val="center"/>
            <w:hideMark/>
          </w:tcPr>
          <w:p w14:paraId="3899BDA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182640</w:t>
            </w:r>
          </w:p>
        </w:tc>
        <w:tc>
          <w:tcPr>
            <w:tcW w:w="792" w:type="dxa"/>
            <w:tcBorders>
              <w:top w:val="nil"/>
              <w:left w:val="nil"/>
              <w:bottom w:val="single" w:sz="4" w:space="0" w:color="auto"/>
              <w:right w:val="single" w:sz="4" w:space="0" w:color="auto"/>
            </w:tcBorders>
            <w:vAlign w:val="center"/>
            <w:hideMark/>
          </w:tcPr>
          <w:p w14:paraId="7D0EC72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204730</w:t>
            </w:r>
          </w:p>
        </w:tc>
        <w:tc>
          <w:tcPr>
            <w:tcW w:w="849" w:type="dxa"/>
            <w:tcBorders>
              <w:top w:val="nil"/>
              <w:left w:val="nil"/>
              <w:bottom w:val="single" w:sz="4" w:space="0" w:color="auto"/>
              <w:right w:val="single" w:sz="4" w:space="0" w:color="auto"/>
            </w:tcBorders>
            <w:vAlign w:val="center"/>
            <w:hideMark/>
          </w:tcPr>
          <w:p w14:paraId="3AFA0DB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229492</w:t>
            </w:r>
          </w:p>
        </w:tc>
        <w:tc>
          <w:tcPr>
            <w:tcW w:w="850" w:type="dxa"/>
            <w:tcBorders>
              <w:top w:val="nil"/>
              <w:left w:val="nil"/>
              <w:bottom w:val="single" w:sz="4" w:space="0" w:color="auto"/>
              <w:right w:val="single" w:sz="4" w:space="0" w:color="auto"/>
            </w:tcBorders>
            <w:vAlign w:val="center"/>
            <w:hideMark/>
          </w:tcPr>
          <w:p w14:paraId="25EBE48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257248</w:t>
            </w:r>
          </w:p>
        </w:tc>
        <w:tc>
          <w:tcPr>
            <w:tcW w:w="849" w:type="dxa"/>
            <w:tcBorders>
              <w:top w:val="nil"/>
              <w:left w:val="nil"/>
              <w:bottom w:val="single" w:sz="4" w:space="0" w:color="auto"/>
              <w:right w:val="single" w:sz="4" w:space="0" w:color="auto"/>
            </w:tcBorders>
            <w:vAlign w:val="center"/>
            <w:hideMark/>
          </w:tcPr>
          <w:p w14:paraId="65AB668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288362</w:t>
            </w:r>
          </w:p>
        </w:tc>
        <w:tc>
          <w:tcPr>
            <w:tcW w:w="776" w:type="dxa"/>
            <w:tcBorders>
              <w:top w:val="nil"/>
              <w:left w:val="nil"/>
              <w:bottom w:val="single" w:sz="4" w:space="0" w:color="auto"/>
              <w:right w:val="single" w:sz="4" w:space="0" w:color="auto"/>
            </w:tcBorders>
            <w:vAlign w:val="center"/>
            <w:hideMark/>
          </w:tcPr>
          <w:p w14:paraId="7B897EE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323238</w:t>
            </w:r>
          </w:p>
        </w:tc>
        <w:tc>
          <w:tcPr>
            <w:tcW w:w="940" w:type="dxa"/>
            <w:tcBorders>
              <w:top w:val="nil"/>
              <w:left w:val="nil"/>
              <w:bottom w:val="single" w:sz="4" w:space="0" w:color="auto"/>
              <w:right w:val="single" w:sz="4" w:space="0" w:color="auto"/>
            </w:tcBorders>
            <w:vAlign w:val="center"/>
            <w:hideMark/>
          </w:tcPr>
          <w:p w14:paraId="64D5EAF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1303069</w:t>
            </w:r>
          </w:p>
        </w:tc>
      </w:tr>
      <w:tr w:rsidR="00641D39" w:rsidRPr="00641D39" w14:paraId="1785886C"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0D77F2C2"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 Kerala</w:t>
            </w:r>
          </w:p>
        </w:tc>
        <w:tc>
          <w:tcPr>
            <w:tcW w:w="776" w:type="dxa"/>
            <w:tcBorders>
              <w:top w:val="nil"/>
              <w:left w:val="nil"/>
              <w:bottom w:val="single" w:sz="4" w:space="0" w:color="auto"/>
              <w:right w:val="single" w:sz="4" w:space="0" w:color="auto"/>
            </w:tcBorders>
            <w:vAlign w:val="center"/>
            <w:hideMark/>
          </w:tcPr>
          <w:p w14:paraId="4DA8A44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121929</w:t>
            </w:r>
          </w:p>
        </w:tc>
        <w:tc>
          <w:tcPr>
            <w:tcW w:w="792" w:type="dxa"/>
            <w:tcBorders>
              <w:top w:val="nil"/>
              <w:left w:val="nil"/>
              <w:bottom w:val="single" w:sz="4" w:space="0" w:color="auto"/>
              <w:right w:val="single" w:sz="4" w:space="0" w:color="auto"/>
            </w:tcBorders>
            <w:vAlign w:val="center"/>
            <w:hideMark/>
          </w:tcPr>
          <w:p w14:paraId="59B2897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134899</w:t>
            </w:r>
          </w:p>
        </w:tc>
        <w:tc>
          <w:tcPr>
            <w:tcW w:w="849" w:type="dxa"/>
            <w:tcBorders>
              <w:top w:val="nil"/>
              <w:left w:val="nil"/>
              <w:bottom w:val="single" w:sz="4" w:space="0" w:color="auto"/>
              <w:right w:val="single" w:sz="4" w:space="0" w:color="auto"/>
            </w:tcBorders>
            <w:vAlign w:val="center"/>
            <w:hideMark/>
          </w:tcPr>
          <w:p w14:paraId="3151508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149248</w:t>
            </w:r>
          </w:p>
        </w:tc>
        <w:tc>
          <w:tcPr>
            <w:tcW w:w="850" w:type="dxa"/>
            <w:tcBorders>
              <w:top w:val="nil"/>
              <w:left w:val="nil"/>
              <w:bottom w:val="single" w:sz="4" w:space="0" w:color="auto"/>
              <w:right w:val="single" w:sz="4" w:space="0" w:color="auto"/>
            </w:tcBorders>
            <w:vAlign w:val="center"/>
            <w:hideMark/>
          </w:tcPr>
          <w:p w14:paraId="178A6BB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165124</w:t>
            </w:r>
          </w:p>
        </w:tc>
        <w:tc>
          <w:tcPr>
            <w:tcW w:w="849" w:type="dxa"/>
            <w:tcBorders>
              <w:top w:val="nil"/>
              <w:left w:val="nil"/>
              <w:bottom w:val="single" w:sz="4" w:space="0" w:color="auto"/>
              <w:right w:val="single" w:sz="4" w:space="0" w:color="auto"/>
            </w:tcBorders>
            <w:vAlign w:val="center"/>
            <w:hideMark/>
          </w:tcPr>
          <w:p w14:paraId="3453E35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182688</w:t>
            </w:r>
          </w:p>
        </w:tc>
        <w:tc>
          <w:tcPr>
            <w:tcW w:w="776" w:type="dxa"/>
            <w:tcBorders>
              <w:top w:val="nil"/>
              <w:left w:val="nil"/>
              <w:bottom w:val="single" w:sz="4" w:space="0" w:color="auto"/>
              <w:right w:val="single" w:sz="4" w:space="0" w:color="auto"/>
            </w:tcBorders>
            <w:vAlign w:val="center"/>
            <w:hideMark/>
          </w:tcPr>
          <w:p w14:paraId="1145447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202121</w:t>
            </w:r>
          </w:p>
        </w:tc>
        <w:tc>
          <w:tcPr>
            <w:tcW w:w="940" w:type="dxa"/>
            <w:tcBorders>
              <w:top w:val="nil"/>
              <w:left w:val="nil"/>
              <w:bottom w:val="single" w:sz="4" w:space="0" w:color="auto"/>
              <w:right w:val="single" w:sz="4" w:space="0" w:color="auto"/>
            </w:tcBorders>
            <w:vAlign w:val="center"/>
            <w:hideMark/>
          </w:tcPr>
          <w:p w14:paraId="29615EF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834079</w:t>
            </w:r>
          </w:p>
        </w:tc>
      </w:tr>
      <w:tr w:rsidR="00641D39" w:rsidRPr="00641D39" w14:paraId="4A666A2D"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78CF446A"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 Madhya Pradesh</w:t>
            </w:r>
          </w:p>
        </w:tc>
        <w:tc>
          <w:tcPr>
            <w:tcW w:w="776" w:type="dxa"/>
            <w:tcBorders>
              <w:top w:val="nil"/>
              <w:left w:val="nil"/>
              <w:bottom w:val="single" w:sz="4" w:space="0" w:color="auto"/>
              <w:right w:val="single" w:sz="4" w:space="0" w:color="auto"/>
            </w:tcBorders>
            <w:vAlign w:val="center"/>
            <w:hideMark/>
          </w:tcPr>
          <w:p w14:paraId="428084A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119361</w:t>
            </w:r>
          </w:p>
        </w:tc>
        <w:tc>
          <w:tcPr>
            <w:tcW w:w="792" w:type="dxa"/>
            <w:tcBorders>
              <w:top w:val="nil"/>
              <w:left w:val="nil"/>
              <w:bottom w:val="single" w:sz="4" w:space="0" w:color="auto"/>
              <w:right w:val="single" w:sz="4" w:space="0" w:color="auto"/>
            </w:tcBorders>
            <w:vAlign w:val="center"/>
            <w:hideMark/>
          </w:tcPr>
          <w:p w14:paraId="576DD51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133632</w:t>
            </w:r>
          </w:p>
        </w:tc>
        <w:tc>
          <w:tcPr>
            <w:tcW w:w="849" w:type="dxa"/>
            <w:tcBorders>
              <w:top w:val="nil"/>
              <w:left w:val="nil"/>
              <w:bottom w:val="single" w:sz="4" w:space="0" w:color="auto"/>
              <w:right w:val="single" w:sz="4" w:space="0" w:color="auto"/>
            </w:tcBorders>
            <w:vAlign w:val="center"/>
            <w:hideMark/>
          </w:tcPr>
          <w:p w14:paraId="2B954FD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149608</w:t>
            </w:r>
          </w:p>
        </w:tc>
        <w:tc>
          <w:tcPr>
            <w:tcW w:w="850" w:type="dxa"/>
            <w:tcBorders>
              <w:top w:val="nil"/>
              <w:left w:val="nil"/>
              <w:bottom w:val="single" w:sz="4" w:space="0" w:color="auto"/>
              <w:right w:val="single" w:sz="4" w:space="0" w:color="auto"/>
            </w:tcBorders>
            <w:vAlign w:val="center"/>
            <w:hideMark/>
          </w:tcPr>
          <w:p w14:paraId="1A25B01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167495</w:t>
            </w:r>
          </w:p>
        </w:tc>
        <w:tc>
          <w:tcPr>
            <w:tcW w:w="849" w:type="dxa"/>
            <w:tcBorders>
              <w:top w:val="nil"/>
              <w:left w:val="nil"/>
              <w:bottom w:val="single" w:sz="4" w:space="0" w:color="auto"/>
              <w:right w:val="single" w:sz="4" w:space="0" w:color="auto"/>
            </w:tcBorders>
            <w:vAlign w:val="center"/>
            <w:hideMark/>
          </w:tcPr>
          <w:p w14:paraId="32E073C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187521</w:t>
            </w:r>
          </w:p>
        </w:tc>
        <w:tc>
          <w:tcPr>
            <w:tcW w:w="776" w:type="dxa"/>
            <w:tcBorders>
              <w:top w:val="nil"/>
              <w:left w:val="nil"/>
              <w:bottom w:val="single" w:sz="4" w:space="0" w:color="auto"/>
              <w:right w:val="single" w:sz="4" w:space="0" w:color="auto"/>
            </w:tcBorders>
            <w:vAlign w:val="center"/>
            <w:hideMark/>
          </w:tcPr>
          <w:p w14:paraId="67C5D5C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209941</w:t>
            </w:r>
          </w:p>
        </w:tc>
        <w:tc>
          <w:tcPr>
            <w:tcW w:w="940" w:type="dxa"/>
            <w:tcBorders>
              <w:top w:val="nil"/>
              <w:left w:val="nil"/>
              <w:bottom w:val="single" w:sz="4" w:space="0" w:color="auto"/>
              <w:right w:val="single" w:sz="4" w:space="0" w:color="auto"/>
            </w:tcBorders>
            <w:vAlign w:val="center"/>
            <w:hideMark/>
          </w:tcPr>
          <w:p w14:paraId="2BA7409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848197</w:t>
            </w:r>
          </w:p>
        </w:tc>
      </w:tr>
      <w:tr w:rsidR="00641D39" w:rsidRPr="00641D39" w14:paraId="336754E4"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56042174"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 Maharashtra</w:t>
            </w:r>
          </w:p>
        </w:tc>
        <w:tc>
          <w:tcPr>
            <w:tcW w:w="776" w:type="dxa"/>
            <w:tcBorders>
              <w:top w:val="nil"/>
              <w:left w:val="nil"/>
              <w:bottom w:val="single" w:sz="4" w:space="0" w:color="auto"/>
              <w:right w:val="single" w:sz="4" w:space="0" w:color="auto"/>
            </w:tcBorders>
            <w:vAlign w:val="center"/>
            <w:hideMark/>
          </w:tcPr>
          <w:p w14:paraId="7784489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405917</w:t>
            </w:r>
          </w:p>
        </w:tc>
        <w:tc>
          <w:tcPr>
            <w:tcW w:w="792" w:type="dxa"/>
            <w:tcBorders>
              <w:top w:val="nil"/>
              <w:left w:val="nil"/>
              <w:bottom w:val="single" w:sz="4" w:space="0" w:color="auto"/>
              <w:right w:val="single" w:sz="4" w:space="0" w:color="auto"/>
            </w:tcBorders>
            <w:vAlign w:val="center"/>
            <w:hideMark/>
          </w:tcPr>
          <w:p w14:paraId="28E0ABF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452349</w:t>
            </w:r>
          </w:p>
        </w:tc>
        <w:tc>
          <w:tcPr>
            <w:tcW w:w="849" w:type="dxa"/>
            <w:tcBorders>
              <w:top w:val="nil"/>
              <w:left w:val="nil"/>
              <w:bottom w:val="single" w:sz="4" w:space="0" w:color="auto"/>
              <w:right w:val="single" w:sz="4" w:space="0" w:color="auto"/>
            </w:tcBorders>
            <w:vAlign w:val="center"/>
            <w:hideMark/>
          </w:tcPr>
          <w:p w14:paraId="4E31A25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504093</w:t>
            </w:r>
          </w:p>
        </w:tc>
        <w:tc>
          <w:tcPr>
            <w:tcW w:w="850" w:type="dxa"/>
            <w:tcBorders>
              <w:top w:val="nil"/>
              <w:left w:val="nil"/>
              <w:bottom w:val="single" w:sz="4" w:space="0" w:color="auto"/>
              <w:right w:val="single" w:sz="4" w:space="0" w:color="auto"/>
            </w:tcBorders>
            <w:vAlign w:val="center"/>
            <w:hideMark/>
          </w:tcPr>
          <w:p w14:paraId="612E5A6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561755</w:t>
            </w:r>
          </w:p>
        </w:tc>
        <w:tc>
          <w:tcPr>
            <w:tcW w:w="849" w:type="dxa"/>
            <w:tcBorders>
              <w:top w:val="nil"/>
              <w:left w:val="nil"/>
              <w:bottom w:val="single" w:sz="4" w:space="0" w:color="auto"/>
              <w:right w:val="single" w:sz="4" w:space="0" w:color="auto"/>
            </w:tcBorders>
            <w:vAlign w:val="center"/>
            <w:hideMark/>
          </w:tcPr>
          <w:p w14:paraId="4A4FA12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626013</w:t>
            </w:r>
          </w:p>
        </w:tc>
        <w:tc>
          <w:tcPr>
            <w:tcW w:w="776" w:type="dxa"/>
            <w:tcBorders>
              <w:top w:val="nil"/>
              <w:left w:val="nil"/>
              <w:bottom w:val="single" w:sz="4" w:space="0" w:color="auto"/>
              <w:right w:val="single" w:sz="4" w:space="0" w:color="auto"/>
            </w:tcBorders>
            <w:vAlign w:val="center"/>
            <w:hideMark/>
          </w:tcPr>
          <w:p w14:paraId="6BE6065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697622</w:t>
            </w:r>
          </w:p>
        </w:tc>
        <w:tc>
          <w:tcPr>
            <w:tcW w:w="940" w:type="dxa"/>
            <w:tcBorders>
              <w:top w:val="nil"/>
              <w:left w:val="nil"/>
              <w:bottom w:val="single" w:sz="4" w:space="0" w:color="auto"/>
              <w:right w:val="single" w:sz="4" w:space="0" w:color="auto"/>
            </w:tcBorders>
            <w:vAlign w:val="center"/>
            <w:hideMark/>
          </w:tcPr>
          <w:p w14:paraId="728D579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2841832</w:t>
            </w:r>
          </w:p>
        </w:tc>
      </w:tr>
      <w:tr w:rsidR="00641D39" w:rsidRPr="00641D39" w14:paraId="07F21BA4"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1E30787C"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 Orissa</w:t>
            </w:r>
          </w:p>
        </w:tc>
        <w:tc>
          <w:tcPr>
            <w:tcW w:w="776" w:type="dxa"/>
            <w:tcBorders>
              <w:top w:val="nil"/>
              <w:left w:val="nil"/>
              <w:bottom w:val="single" w:sz="4" w:space="0" w:color="auto"/>
              <w:right w:val="single" w:sz="4" w:space="0" w:color="auto"/>
            </w:tcBorders>
            <w:vAlign w:val="center"/>
            <w:hideMark/>
          </w:tcPr>
          <w:p w14:paraId="448AF5B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39952</w:t>
            </w:r>
          </w:p>
        </w:tc>
        <w:tc>
          <w:tcPr>
            <w:tcW w:w="792" w:type="dxa"/>
            <w:tcBorders>
              <w:top w:val="nil"/>
              <w:left w:val="nil"/>
              <w:bottom w:val="single" w:sz="4" w:space="0" w:color="auto"/>
              <w:right w:val="single" w:sz="4" w:space="0" w:color="auto"/>
            </w:tcBorders>
            <w:vAlign w:val="center"/>
            <w:hideMark/>
          </w:tcPr>
          <w:p w14:paraId="2201C1C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45074</w:t>
            </w:r>
          </w:p>
        </w:tc>
        <w:tc>
          <w:tcPr>
            <w:tcW w:w="849" w:type="dxa"/>
            <w:tcBorders>
              <w:top w:val="nil"/>
              <w:left w:val="nil"/>
              <w:bottom w:val="single" w:sz="4" w:space="0" w:color="auto"/>
              <w:right w:val="single" w:sz="4" w:space="0" w:color="auto"/>
            </w:tcBorders>
            <w:vAlign w:val="center"/>
            <w:hideMark/>
          </w:tcPr>
          <w:p w14:paraId="3872D32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50852</w:t>
            </w:r>
          </w:p>
        </w:tc>
        <w:tc>
          <w:tcPr>
            <w:tcW w:w="850" w:type="dxa"/>
            <w:tcBorders>
              <w:top w:val="nil"/>
              <w:left w:val="nil"/>
              <w:bottom w:val="single" w:sz="4" w:space="0" w:color="auto"/>
              <w:right w:val="single" w:sz="4" w:space="0" w:color="auto"/>
            </w:tcBorders>
            <w:vAlign w:val="center"/>
            <w:hideMark/>
          </w:tcPr>
          <w:p w14:paraId="281AF79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57371</w:t>
            </w:r>
          </w:p>
        </w:tc>
        <w:tc>
          <w:tcPr>
            <w:tcW w:w="849" w:type="dxa"/>
            <w:tcBorders>
              <w:top w:val="nil"/>
              <w:left w:val="nil"/>
              <w:bottom w:val="single" w:sz="4" w:space="0" w:color="auto"/>
              <w:right w:val="single" w:sz="4" w:space="0" w:color="auto"/>
            </w:tcBorders>
            <w:vAlign w:val="center"/>
            <w:hideMark/>
          </w:tcPr>
          <w:p w14:paraId="2D999B8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64726</w:t>
            </w:r>
          </w:p>
        </w:tc>
        <w:tc>
          <w:tcPr>
            <w:tcW w:w="776" w:type="dxa"/>
            <w:tcBorders>
              <w:top w:val="nil"/>
              <w:left w:val="nil"/>
              <w:bottom w:val="single" w:sz="4" w:space="0" w:color="auto"/>
              <w:right w:val="single" w:sz="4" w:space="0" w:color="auto"/>
            </w:tcBorders>
            <w:vAlign w:val="center"/>
            <w:hideMark/>
          </w:tcPr>
          <w:p w14:paraId="78F02F9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73024</w:t>
            </w:r>
          </w:p>
        </w:tc>
        <w:tc>
          <w:tcPr>
            <w:tcW w:w="940" w:type="dxa"/>
            <w:tcBorders>
              <w:top w:val="nil"/>
              <w:left w:val="nil"/>
              <w:bottom w:val="single" w:sz="4" w:space="0" w:color="auto"/>
              <w:right w:val="single" w:sz="4" w:space="0" w:color="auto"/>
            </w:tcBorders>
            <w:vAlign w:val="center"/>
            <w:hideMark/>
          </w:tcPr>
          <w:p w14:paraId="315E410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291047</w:t>
            </w:r>
          </w:p>
        </w:tc>
      </w:tr>
      <w:tr w:rsidR="00641D39" w:rsidRPr="00641D39" w14:paraId="11825197"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6E1B117B"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 Punjab</w:t>
            </w:r>
          </w:p>
        </w:tc>
        <w:tc>
          <w:tcPr>
            <w:tcW w:w="776" w:type="dxa"/>
            <w:tcBorders>
              <w:top w:val="nil"/>
              <w:left w:val="nil"/>
              <w:bottom w:val="single" w:sz="4" w:space="0" w:color="auto"/>
              <w:right w:val="single" w:sz="4" w:space="0" w:color="auto"/>
            </w:tcBorders>
            <w:vAlign w:val="center"/>
            <w:hideMark/>
          </w:tcPr>
          <w:p w14:paraId="1F7A90A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113735</w:t>
            </w:r>
          </w:p>
        </w:tc>
        <w:tc>
          <w:tcPr>
            <w:tcW w:w="792" w:type="dxa"/>
            <w:tcBorders>
              <w:top w:val="nil"/>
              <w:left w:val="nil"/>
              <w:bottom w:val="single" w:sz="4" w:space="0" w:color="auto"/>
              <w:right w:val="single" w:sz="4" w:space="0" w:color="auto"/>
            </w:tcBorders>
            <w:vAlign w:val="center"/>
            <w:hideMark/>
          </w:tcPr>
          <w:p w14:paraId="3C0BF89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128342</w:t>
            </w:r>
          </w:p>
        </w:tc>
        <w:tc>
          <w:tcPr>
            <w:tcW w:w="849" w:type="dxa"/>
            <w:tcBorders>
              <w:top w:val="nil"/>
              <w:left w:val="nil"/>
              <w:bottom w:val="single" w:sz="4" w:space="0" w:color="auto"/>
              <w:right w:val="single" w:sz="4" w:space="0" w:color="auto"/>
            </w:tcBorders>
            <w:vAlign w:val="center"/>
            <w:hideMark/>
          </w:tcPr>
          <w:p w14:paraId="324D5D6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144825</w:t>
            </w:r>
          </w:p>
        </w:tc>
        <w:tc>
          <w:tcPr>
            <w:tcW w:w="850" w:type="dxa"/>
            <w:tcBorders>
              <w:top w:val="nil"/>
              <w:left w:val="nil"/>
              <w:bottom w:val="single" w:sz="4" w:space="0" w:color="auto"/>
              <w:right w:val="single" w:sz="4" w:space="0" w:color="auto"/>
            </w:tcBorders>
            <w:vAlign w:val="center"/>
            <w:hideMark/>
          </w:tcPr>
          <w:p w14:paraId="5D040A8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163425</w:t>
            </w:r>
          </w:p>
        </w:tc>
        <w:tc>
          <w:tcPr>
            <w:tcW w:w="849" w:type="dxa"/>
            <w:tcBorders>
              <w:top w:val="nil"/>
              <w:left w:val="nil"/>
              <w:bottom w:val="single" w:sz="4" w:space="0" w:color="auto"/>
              <w:right w:val="single" w:sz="4" w:space="0" w:color="auto"/>
            </w:tcBorders>
            <w:vAlign w:val="center"/>
            <w:hideMark/>
          </w:tcPr>
          <w:p w14:paraId="7F1406D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184414</w:t>
            </w:r>
          </w:p>
        </w:tc>
        <w:tc>
          <w:tcPr>
            <w:tcW w:w="776" w:type="dxa"/>
            <w:tcBorders>
              <w:top w:val="nil"/>
              <w:left w:val="nil"/>
              <w:bottom w:val="single" w:sz="4" w:space="0" w:color="auto"/>
              <w:right w:val="single" w:sz="4" w:space="0" w:color="auto"/>
            </w:tcBorders>
            <w:vAlign w:val="center"/>
            <w:hideMark/>
          </w:tcPr>
          <w:p w14:paraId="3E589D8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208099</w:t>
            </w:r>
          </w:p>
        </w:tc>
        <w:tc>
          <w:tcPr>
            <w:tcW w:w="940" w:type="dxa"/>
            <w:tcBorders>
              <w:top w:val="nil"/>
              <w:left w:val="nil"/>
              <w:bottom w:val="single" w:sz="4" w:space="0" w:color="auto"/>
              <w:right w:val="single" w:sz="4" w:space="0" w:color="auto"/>
            </w:tcBorders>
            <w:vAlign w:val="center"/>
            <w:hideMark/>
          </w:tcPr>
          <w:p w14:paraId="68A15D3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829105</w:t>
            </w:r>
          </w:p>
        </w:tc>
      </w:tr>
      <w:tr w:rsidR="00641D39" w:rsidRPr="00641D39" w14:paraId="2FB8E2B5"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4F80C753"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 Rajasthan</w:t>
            </w:r>
          </w:p>
        </w:tc>
        <w:tc>
          <w:tcPr>
            <w:tcW w:w="776" w:type="dxa"/>
            <w:tcBorders>
              <w:top w:val="nil"/>
              <w:left w:val="nil"/>
              <w:bottom w:val="single" w:sz="4" w:space="0" w:color="auto"/>
              <w:right w:val="single" w:sz="4" w:space="0" w:color="auto"/>
            </w:tcBorders>
            <w:vAlign w:val="center"/>
            <w:hideMark/>
          </w:tcPr>
          <w:p w14:paraId="1A6BA13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100293</w:t>
            </w:r>
          </w:p>
        </w:tc>
        <w:tc>
          <w:tcPr>
            <w:tcW w:w="792" w:type="dxa"/>
            <w:tcBorders>
              <w:top w:val="nil"/>
              <w:left w:val="nil"/>
              <w:bottom w:val="single" w:sz="4" w:space="0" w:color="auto"/>
              <w:right w:val="single" w:sz="4" w:space="0" w:color="auto"/>
            </w:tcBorders>
            <w:vAlign w:val="center"/>
            <w:hideMark/>
          </w:tcPr>
          <w:p w14:paraId="2E1430D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109094</w:t>
            </w:r>
          </w:p>
        </w:tc>
        <w:tc>
          <w:tcPr>
            <w:tcW w:w="849" w:type="dxa"/>
            <w:tcBorders>
              <w:top w:val="nil"/>
              <w:left w:val="nil"/>
              <w:bottom w:val="single" w:sz="4" w:space="0" w:color="auto"/>
              <w:right w:val="single" w:sz="4" w:space="0" w:color="auto"/>
            </w:tcBorders>
            <w:vAlign w:val="center"/>
            <w:hideMark/>
          </w:tcPr>
          <w:p w14:paraId="57A37A7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118668</w:t>
            </w:r>
          </w:p>
        </w:tc>
        <w:tc>
          <w:tcPr>
            <w:tcW w:w="850" w:type="dxa"/>
            <w:tcBorders>
              <w:top w:val="nil"/>
              <w:left w:val="nil"/>
              <w:bottom w:val="single" w:sz="4" w:space="0" w:color="auto"/>
              <w:right w:val="single" w:sz="4" w:space="0" w:color="auto"/>
            </w:tcBorders>
            <w:vAlign w:val="center"/>
            <w:hideMark/>
          </w:tcPr>
          <w:p w14:paraId="359EA59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129082</w:t>
            </w:r>
          </w:p>
        </w:tc>
        <w:tc>
          <w:tcPr>
            <w:tcW w:w="849" w:type="dxa"/>
            <w:tcBorders>
              <w:top w:val="nil"/>
              <w:left w:val="nil"/>
              <w:bottom w:val="single" w:sz="4" w:space="0" w:color="auto"/>
              <w:right w:val="single" w:sz="4" w:space="0" w:color="auto"/>
            </w:tcBorders>
            <w:vAlign w:val="center"/>
            <w:hideMark/>
          </w:tcPr>
          <w:p w14:paraId="2244453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140410</w:t>
            </w:r>
          </w:p>
        </w:tc>
        <w:tc>
          <w:tcPr>
            <w:tcW w:w="776" w:type="dxa"/>
            <w:tcBorders>
              <w:top w:val="nil"/>
              <w:left w:val="nil"/>
              <w:bottom w:val="single" w:sz="4" w:space="0" w:color="auto"/>
              <w:right w:val="single" w:sz="4" w:space="0" w:color="auto"/>
            </w:tcBorders>
            <w:vAlign w:val="center"/>
            <w:hideMark/>
          </w:tcPr>
          <w:p w14:paraId="302005E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152732</w:t>
            </w:r>
          </w:p>
        </w:tc>
        <w:tc>
          <w:tcPr>
            <w:tcW w:w="940" w:type="dxa"/>
            <w:tcBorders>
              <w:top w:val="nil"/>
              <w:left w:val="nil"/>
              <w:bottom w:val="single" w:sz="4" w:space="0" w:color="auto"/>
              <w:right w:val="single" w:sz="4" w:space="0" w:color="auto"/>
            </w:tcBorders>
            <w:vAlign w:val="center"/>
            <w:hideMark/>
          </w:tcPr>
          <w:p w14:paraId="578F4E3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649986</w:t>
            </w:r>
          </w:p>
        </w:tc>
      </w:tr>
      <w:tr w:rsidR="00641D39" w:rsidRPr="00641D39" w14:paraId="76852812"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62DE1936"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 Tamil Nadu</w:t>
            </w:r>
          </w:p>
        </w:tc>
        <w:tc>
          <w:tcPr>
            <w:tcW w:w="776" w:type="dxa"/>
            <w:tcBorders>
              <w:top w:val="nil"/>
              <w:left w:val="nil"/>
              <w:bottom w:val="single" w:sz="4" w:space="0" w:color="auto"/>
              <w:right w:val="single" w:sz="4" w:space="0" w:color="auto"/>
            </w:tcBorders>
            <w:vAlign w:val="center"/>
            <w:hideMark/>
          </w:tcPr>
          <w:p w14:paraId="7D7A163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243039</w:t>
            </w:r>
          </w:p>
        </w:tc>
        <w:tc>
          <w:tcPr>
            <w:tcW w:w="792" w:type="dxa"/>
            <w:tcBorders>
              <w:top w:val="nil"/>
              <w:left w:val="nil"/>
              <w:bottom w:val="single" w:sz="4" w:space="0" w:color="auto"/>
              <w:right w:val="single" w:sz="4" w:space="0" w:color="auto"/>
            </w:tcBorders>
            <w:vAlign w:val="center"/>
            <w:hideMark/>
          </w:tcPr>
          <w:p w14:paraId="4FB22D0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275003</w:t>
            </w:r>
          </w:p>
        </w:tc>
        <w:tc>
          <w:tcPr>
            <w:tcW w:w="849" w:type="dxa"/>
            <w:tcBorders>
              <w:top w:val="nil"/>
              <w:left w:val="nil"/>
              <w:bottom w:val="single" w:sz="4" w:space="0" w:color="auto"/>
              <w:right w:val="single" w:sz="4" w:space="0" w:color="auto"/>
            </w:tcBorders>
            <w:vAlign w:val="center"/>
            <w:hideMark/>
          </w:tcPr>
          <w:p w14:paraId="0175DCC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311171</w:t>
            </w:r>
          </w:p>
        </w:tc>
        <w:tc>
          <w:tcPr>
            <w:tcW w:w="850" w:type="dxa"/>
            <w:tcBorders>
              <w:top w:val="nil"/>
              <w:left w:val="nil"/>
              <w:bottom w:val="single" w:sz="4" w:space="0" w:color="auto"/>
              <w:right w:val="single" w:sz="4" w:space="0" w:color="auto"/>
            </w:tcBorders>
            <w:vAlign w:val="center"/>
            <w:hideMark/>
          </w:tcPr>
          <w:p w14:paraId="21A38E7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352096</w:t>
            </w:r>
          </w:p>
        </w:tc>
        <w:tc>
          <w:tcPr>
            <w:tcW w:w="849" w:type="dxa"/>
            <w:tcBorders>
              <w:top w:val="nil"/>
              <w:left w:val="nil"/>
              <w:bottom w:val="single" w:sz="4" w:space="0" w:color="auto"/>
              <w:right w:val="single" w:sz="4" w:space="0" w:color="auto"/>
            </w:tcBorders>
            <w:vAlign w:val="center"/>
            <w:hideMark/>
          </w:tcPr>
          <w:p w14:paraId="1A9D52B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398404</w:t>
            </w:r>
          </w:p>
        </w:tc>
        <w:tc>
          <w:tcPr>
            <w:tcW w:w="776" w:type="dxa"/>
            <w:tcBorders>
              <w:top w:val="nil"/>
              <w:left w:val="nil"/>
              <w:bottom w:val="single" w:sz="4" w:space="0" w:color="auto"/>
              <w:right w:val="single" w:sz="4" w:space="0" w:color="auto"/>
            </w:tcBorders>
            <w:vAlign w:val="center"/>
            <w:hideMark/>
          </w:tcPr>
          <w:p w14:paraId="207AC92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450801</w:t>
            </w:r>
          </w:p>
        </w:tc>
        <w:tc>
          <w:tcPr>
            <w:tcW w:w="940" w:type="dxa"/>
            <w:tcBorders>
              <w:top w:val="nil"/>
              <w:left w:val="nil"/>
              <w:bottom w:val="single" w:sz="4" w:space="0" w:color="auto"/>
              <w:right w:val="single" w:sz="4" w:space="0" w:color="auto"/>
            </w:tcBorders>
            <w:vAlign w:val="center"/>
            <w:hideMark/>
          </w:tcPr>
          <w:p w14:paraId="2184964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1787475</w:t>
            </w:r>
          </w:p>
        </w:tc>
      </w:tr>
      <w:tr w:rsidR="00641D39" w:rsidRPr="00641D39" w14:paraId="6BC130E6"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6D5F24AC"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 Uttar Pradesh</w:t>
            </w:r>
          </w:p>
        </w:tc>
        <w:tc>
          <w:tcPr>
            <w:tcW w:w="776" w:type="dxa"/>
            <w:tcBorders>
              <w:top w:val="nil"/>
              <w:left w:val="nil"/>
              <w:bottom w:val="single" w:sz="4" w:space="0" w:color="auto"/>
              <w:right w:val="single" w:sz="4" w:space="0" w:color="auto"/>
            </w:tcBorders>
            <w:vAlign w:val="center"/>
            <w:hideMark/>
          </w:tcPr>
          <w:p w14:paraId="760ED2E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255225</w:t>
            </w:r>
          </w:p>
        </w:tc>
        <w:tc>
          <w:tcPr>
            <w:tcW w:w="792" w:type="dxa"/>
            <w:tcBorders>
              <w:top w:val="nil"/>
              <w:left w:val="nil"/>
              <w:bottom w:val="single" w:sz="4" w:space="0" w:color="auto"/>
              <w:right w:val="single" w:sz="4" w:space="0" w:color="auto"/>
            </w:tcBorders>
            <w:vAlign w:val="center"/>
            <w:hideMark/>
          </w:tcPr>
          <w:p w14:paraId="31BD712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275161</w:t>
            </w:r>
          </w:p>
        </w:tc>
        <w:tc>
          <w:tcPr>
            <w:tcW w:w="849" w:type="dxa"/>
            <w:tcBorders>
              <w:top w:val="nil"/>
              <w:left w:val="nil"/>
              <w:bottom w:val="single" w:sz="4" w:space="0" w:color="auto"/>
              <w:right w:val="single" w:sz="4" w:space="0" w:color="auto"/>
            </w:tcBorders>
            <w:vAlign w:val="center"/>
            <w:hideMark/>
          </w:tcPr>
          <w:p w14:paraId="4BAA0C6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296655</w:t>
            </w:r>
          </w:p>
        </w:tc>
        <w:tc>
          <w:tcPr>
            <w:tcW w:w="850" w:type="dxa"/>
            <w:tcBorders>
              <w:top w:val="nil"/>
              <w:left w:val="nil"/>
              <w:bottom w:val="single" w:sz="4" w:space="0" w:color="auto"/>
              <w:right w:val="single" w:sz="4" w:space="0" w:color="auto"/>
            </w:tcBorders>
            <w:vAlign w:val="center"/>
            <w:hideMark/>
          </w:tcPr>
          <w:p w14:paraId="55A9B5B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319828</w:t>
            </w:r>
          </w:p>
        </w:tc>
        <w:tc>
          <w:tcPr>
            <w:tcW w:w="849" w:type="dxa"/>
            <w:tcBorders>
              <w:top w:val="nil"/>
              <w:left w:val="nil"/>
              <w:bottom w:val="single" w:sz="4" w:space="0" w:color="auto"/>
              <w:right w:val="single" w:sz="4" w:space="0" w:color="auto"/>
            </w:tcBorders>
            <w:vAlign w:val="center"/>
            <w:hideMark/>
          </w:tcPr>
          <w:p w14:paraId="6AACE41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344810</w:t>
            </w:r>
          </w:p>
        </w:tc>
        <w:tc>
          <w:tcPr>
            <w:tcW w:w="776" w:type="dxa"/>
            <w:tcBorders>
              <w:top w:val="nil"/>
              <w:left w:val="nil"/>
              <w:bottom w:val="single" w:sz="4" w:space="0" w:color="auto"/>
              <w:right w:val="single" w:sz="4" w:space="0" w:color="auto"/>
            </w:tcBorders>
            <w:vAlign w:val="center"/>
            <w:hideMark/>
          </w:tcPr>
          <w:p w14:paraId="05B7A33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371744</w:t>
            </w:r>
          </w:p>
        </w:tc>
        <w:tc>
          <w:tcPr>
            <w:tcW w:w="940" w:type="dxa"/>
            <w:tcBorders>
              <w:top w:val="nil"/>
              <w:left w:val="nil"/>
              <w:bottom w:val="single" w:sz="4" w:space="0" w:color="auto"/>
              <w:right w:val="single" w:sz="4" w:space="0" w:color="auto"/>
            </w:tcBorders>
            <w:vAlign w:val="center"/>
            <w:hideMark/>
          </w:tcPr>
          <w:p w14:paraId="70FE6DA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1608198</w:t>
            </w:r>
          </w:p>
        </w:tc>
      </w:tr>
      <w:tr w:rsidR="00641D39" w:rsidRPr="00641D39" w14:paraId="3703695B"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6D7DDF5D"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 West Bengal</w:t>
            </w:r>
          </w:p>
        </w:tc>
        <w:tc>
          <w:tcPr>
            <w:tcW w:w="776" w:type="dxa"/>
            <w:tcBorders>
              <w:top w:val="nil"/>
              <w:left w:val="nil"/>
              <w:bottom w:val="single" w:sz="4" w:space="0" w:color="auto"/>
              <w:right w:val="single" w:sz="4" w:space="0" w:color="auto"/>
            </w:tcBorders>
            <w:vAlign w:val="center"/>
            <w:hideMark/>
          </w:tcPr>
          <w:p w14:paraId="10EEDDB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154309</w:t>
            </w:r>
          </w:p>
        </w:tc>
        <w:tc>
          <w:tcPr>
            <w:tcW w:w="792" w:type="dxa"/>
            <w:tcBorders>
              <w:top w:val="nil"/>
              <w:left w:val="nil"/>
              <w:bottom w:val="single" w:sz="4" w:space="0" w:color="auto"/>
              <w:right w:val="single" w:sz="4" w:space="0" w:color="auto"/>
            </w:tcBorders>
            <w:vAlign w:val="center"/>
            <w:hideMark/>
          </w:tcPr>
          <w:p w14:paraId="36BC4A6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176032</w:t>
            </w:r>
          </w:p>
        </w:tc>
        <w:tc>
          <w:tcPr>
            <w:tcW w:w="849" w:type="dxa"/>
            <w:tcBorders>
              <w:top w:val="nil"/>
              <w:left w:val="nil"/>
              <w:bottom w:val="single" w:sz="4" w:space="0" w:color="auto"/>
              <w:right w:val="single" w:sz="4" w:space="0" w:color="auto"/>
            </w:tcBorders>
            <w:vAlign w:val="center"/>
            <w:hideMark/>
          </w:tcPr>
          <w:p w14:paraId="707E857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200813</w:t>
            </w:r>
          </w:p>
        </w:tc>
        <w:tc>
          <w:tcPr>
            <w:tcW w:w="850" w:type="dxa"/>
            <w:tcBorders>
              <w:top w:val="nil"/>
              <w:left w:val="nil"/>
              <w:bottom w:val="single" w:sz="4" w:space="0" w:color="auto"/>
              <w:right w:val="single" w:sz="4" w:space="0" w:color="auto"/>
            </w:tcBorders>
            <w:vAlign w:val="center"/>
            <w:hideMark/>
          </w:tcPr>
          <w:p w14:paraId="40D212D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229083</w:t>
            </w:r>
          </w:p>
        </w:tc>
        <w:tc>
          <w:tcPr>
            <w:tcW w:w="849" w:type="dxa"/>
            <w:tcBorders>
              <w:top w:val="nil"/>
              <w:left w:val="nil"/>
              <w:bottom w:val="single" w:sz="4" w:space="0" w:color="auto"/>
              <w:right w:val="single" w:sz="4" w:space="0" w:color="auto"/>
            </w:tcBorders>
            <w:vAlign w:val="center"/>
            <w:hideMark/>
          </w:tcPr>
          <w:p w14:paraId="5629DDB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261332</w:t>
            </w:r>
          </w:p>
        </w:tc>
        <w:tc>
          <w:tcPr>
            <w:tcW w:w="776" w:type="dxa"/>
            <w:tcBorders>
              <w:top w:val="nil"/>
              <w:left w:val="nil"/>
              <w:bottom w:val="single" w:sz="4" w:space="0" w:color="auto"/>
              <w:right w:val="single" w:sz="4" w:space="0" w:color="auto"/>
            </w:tcBorders>
            <w:vAlign w:val="center"/>
            <w:hideMark/>
          </w:tcPr>
          <w:p w14:paraId="1F2C330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298122</w:t>
            </w:r>
          </w:p>
        </w:tc>
        <w:tc>
          <w:tcPr>
            <w:tcW w:w="940" w:type="dxa"/>
            <w:tcBorders>
              <w:top w:val="nil"/>
              <w:left w:val="nil"/>
              <w:bottom w:val="single" w:sz="4" w:space="0" w:color="auto"/>
              <w:right w:val="single" w:sz="4" w:space="0" w:color="auto"/>
            </w:tcBorders>
            <w:vAlign w:val="center"/>
            <w:hideMark/>
          </w:tcPr>
          <w:p w14:paraId="7DAED3E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1165383</w:t>
            </w:r>
          </w:p>
        </w:tc>
      </w:tr>
      <w:tr w:rsidR="00641D39" w:rsidRPr="00641D39" w14:paraId="6EBB9CAD" w14:textId="77777777" w:rsidTr="006B0DBA">
        <w:trPr>
          <w:trHeight w:val="20"/>
          <w:jc w:val="center"/>
        </w:trPr>
        <w:tc>
          <w:tcPr>
            <w:tcW w:w="1534" w:type="dxa"/>
            <w:tcBorders>
              <w:top w:val="nil"/>
              <w:left w:val="single" w:sz="4" w:space="0" w:color="auto"/>
              <w:bottom w:val="single" w:sz="4" w:space="0" w:color="auto"/>
              <w:right w:val="single" w:sz="4" w:space="0" w:color="auto"/>
            </w:tcBorders>
            <w:vAlign w:val="center"/>
            <w:hideMark/>
          </w:tcPr>
          <w:p w14:paraId="18EDA366"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14 Major States</w:t>
            </w:r>
          </w:p>
        </w:tc>
        <w:tc>
          <w:tcPr>
            <w:tcW w:w="776" w:type="dxa"/>
            <w:tcBorders>
              <w:top w:val="nil"/>
              <w:left w:val="nil"/>
              <w:bottom w:val="single" w:sz="4" w:space="0" w:color="auto"/>
              <w:right w:val="single" w:sz="4" w:space="0" w:color="auto"/>
            </w:tcBorders>
            <w:vAlign w:val="center"/>
            <w:hideMark/>
          </w:tcPr>
          <w:p w14:paraId="6FA243A3"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2343421</w:t>
            </w:r>
          </w:p>
        </w:tc>
        <w:tc>
          <w:tcPr>
            <w:tcW w:w="792" w:type="dxa"/>
            <w:tcBorders>
              <w:top w:val="nil"/>
              <w:left w:val="nil"/>
              <w:bottom w:val="single" w:sz="4" w:space="0" w:color="auto"/>
              <w:right w:val="single" w:sz="4" w:space="0" w:color="auto"/>
            </w:tcBorders>
            <w:vAlign w:val="center"/>
            <w:hideMark/>
          </w:tcPr>
          <w:p w14:paraId="3F09BE46"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2609491</w:t>
            </w:r>
          </w:p>
        </w:tc>
        <w:tc>
          <w:tcPr>
            <w:tcW w:w="849" w:type="dxa"/>
            <w:tcBorders>
              <w:top w:val="nil"/>
              <w:left w:val="nil"/>
              <w:bottom w:val="single" w:sz="4" w:space="0" w:color="auto"/>
              <w:right w:val="single" w:sz="4" w:space="0" w:color="auto"/>
            </w:tcBorders>
            <w:vAlign w:val="center"/>
            <w:hideMark/>
          </w:tcPr>
          <w:p w14:paraId="73D55938"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2906524</w:t>
            </w:r>
          </w:p>
        </w:tc>
        <w:tc>
          <w:tcPr>
            <w:tcW w:w="850" w:type="dxa"/>
            <w:tcBorders>
              <w:top w:val="nil"/>
              <w:left w:val="nil"/>
              <w:bottom w:val="single" w:sz="4" w:space="0" w:color="auto"/>
              <w:right w:val="single" w:sz="4" w:space="0" w:color="auto"/>
            </w:tcBorders>
            <w:vAlign w:val="center"/>
            <w:hideMark/>
          </w:tcPr>
          <w:p w14:paraId="5ACCB8B8"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3238202</w:t>
            </w:r>
          </w:p>
        </w:tc>
        <w:tc>
          <w:tcPr>
            <w:tcW w:w="849" w:type="dxa"/>
            <w:tcBorders>
              <w:top w:val="nil"/>
              <w:left w:val="nil"/>
              <w:bottom w:val="single" w:sz="4" w:space="0" w:color="auto"/>
              <w:right w:val="single" w:sz="4" w:space="0" w:color="auto"/>
            </w:tcBorders>
            <w:vAlign w:val="center"/>
            <w:hideMark/>
          </w:tcPr>
          <w:p w14:paraId="7AD762F3"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3608647</w:t>
            </w:r>
          </w:p>
        </w:tc>
        <w:tc>
          <w:tcPr>
            <w:tcW w:w="776" w:type="dxa"/>
            <w:tcBorders>
              <w:top w:val="nil"/>
              <w:left w:val="nil"/>
              <w:bottom w:val="single" w:sz="4" w:space="0" w:color="auto"/>
              <w:right w:val="single" w:sz="4" w:space="0" w:color="auto"/>
            </w:tcBorders>
            <w:vAlign w:val="center"/>
            <w:hideMark/>
          </w:tcPr>
          <w:p w14:paraId="33FC0B00"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4022484</w:t>
            </w:r>
          </w:p>
        </w:tc>
        <w:tc>
          <w:tcPr>
            <w:tcW w:w="940" w:type="dxa"/>
            <w:tcBorders>
              <w:top w:val="nil"/>
              <w:left w:val="nil"/>
              <w:bottom w:val="single" w:sz="4" w:space="0" w:color="auto"/>
              <w:right w:val="single" w:sz="4" w:space="0" w:color="auto"/>
            </w:tcBorders>
            <w:vAlign w:val="center"/>
            <w:hideMark/>
          </w:tcPr>
          <w:p w14:paraId="673EC940"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16385347</w:t>
            </w:r>
          </w:p>
        </w:tc>
      </w:tr>
    </w:tbl>
    <w:p w14:paraId="6EBA5058" w14:textId="4315EE8C" w:rsidR="00294D85" w:rsidRPr="003737D4" w:rsidRDefault="00294D85" w:rsidP="00641D39">
      <w:pPr>
        <w:tabs>
          <w:tab w:val="left" w:pos="2805"/>
        </w:tabs>
        <w:spacing w:after="0"/>
        <w:jc w:val="center"/>
        <w:rPr>
          <w:rFonts w:ascii="Times New Roman" w:hAnsi="Times New Roman" w:cs="Times New Roman"/>
          <w:b/>
          <w:bCs/>
          <w:sz w:val="20"/>
          <w:szCs w:val="20"/>
        </w:rPr>
      </w:pPr>
      <w:r w:rsidRPr="003737D4">
        <w:rPr>
          <w:rFonts w:ascii="Times New Roman" w:hAnsi="Times New Roman" w:cs="Times New Roman"/>
          <w:b/>
          <w:bCs/>
          <w:sz w:val="20"/>
          <w:szCs w:val="20"/>
        </w:rPr>
        <w:t>Revenue Category: All Taxes (Inclusive of Cess on Mines and Minerals)</w:t>
      </w:r>
    </w:p>
    <w:p w14:paraId="7CA94543" w14:textId="0FAF5104" w:rsidR="00294D85" w:rsidRDefault="006B0DBA" w:rsidP="006B0DBA">
      <w:pPr>
        <w:tabs>
          <w:tab w:val="left" w:pos="2805"/>
        </w:tabs>
        <w:spacing w:after="0"/>
        <w:jc w:val="center"/>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sidR="00294D85" w:rsidRPr="003737D4">
        <w:rPr>
          <w:rFonts w:ascii="Times New Roman" w:hAnsi="Times New Roman" w:cs="Times New Roman"/>
          <w:i/>
          <w:iCs/>
          <w:sz w:val="18"/>
          <w:szCs w:val="18"/>
        </w:rPr>
        <w:t>(Rs. Lakh)</w:t>
      </w:r>
    </w:p>
    <w:tbl>
      <w:tblPr>
        <w:tblW w:w="7231" w:type="dxa"/>
        <w:jc w:val="center"/>
        <w:tblLook w:val="04A0" w:firstRow="1" w:lastRow="0" w:firstColumn="1" w:lastColumn="0" w:noHBand="0" w:noVBand="1"/>
      </w:tblPr>
      <w:tblGrid>
        <w:gridCol w:w="1468"/>
        <w:gridCol w:w="838"/>
        <w:gridCol w:w="839"/>
        <w:gridCol w:w="839"/>
        <w:gridCol w:w="839"/>
        <w:gridCol w:w="776"/>
        <w:gridCol w:w="776"/>
        <w:gridCol w:w="856"/>
      </w:tblGrid>
      <w:tr w:rsidR="006B0DBA" w:rsidRPr="00641D39" w14:paraId="2108EFE8" w14:textId="77777777" w:rsidTr="006B0DBA">
        <w:trPr>
          <w:trHeight w:val="20"/>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29204B47" w14:textId="77777777" w:rsidR="003737D4" w:rsidRPr="00641D39" w:rsidRDefault="003737D4" w:rsidP="003737D4">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State</w:t>
            </w:r>
          </w:p>
        </w:tc>
        <w:tc>
          <w:tcPr>
            <w:tcW w:w="838" w:type="dxa"/>
            <w:tcBorders>
              <w:top w:val="single" w:sz="4" w:space="0" w:color="auto"/>
              <w:left w:val="nil"/>
              <w:bottom w:val="single" w:sz="4" w:space="0" w:color="auto"/>
              <w:right w:val="single" w:sz="4" w:space="0" w:color="auto"/>
            </w:tcBorders>
            <w:vAlign w:val="center"/>
            <w:hideMark/>
          </w:tcPr>
          <w:p w14:paraId="56F4A913" w14:textId="32488D81"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1989-90</w:t>
            </w:r>
          </w:p>
        </w:tc>
        <w:tc>
          <w:tcPr>
            <w:tcW w:w="839" w:type="dxa"/>
            <w:tcBorders>
              <w:top w:val="single" w:sz="4" w:space="0" w:color="auto"/>
              <w:left w:val="nil"/>
              <w:bottom w:val="single" w:sz="4" w:space="0" w:color="auto"/>
              <w:right w:val="single" w:sz="4" w:space="0" w:color="auto"/>
            </w:tcBorders>
            <w:vAlign w:val="center"/>
            <w:hideMark/>
          </w:tcPr>
          <w:p w14:paraId="03072648" w14:textId="154B1F01"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1990-91</w:t>
            </w:r>
          </w:p>
        </w:tc>
        <w:tc>
          <w:tcPr>
            <w:tcW w:w="839" w:type="dxa"/>
            <w:tcBorders>
              <w:top w:val="single" w:sz="4" w:space="0" w:color="auto"/>
              <w:left w:val="nil"/>
              <w:bottom w:val="single" w:sz="4" w:space="0" w:color="auto"/>
              <w:right w:val="single" w:sz="4" w:space="0" w:color="auto"/>
            </w:tcBorders>
            <w:vAlign w:val="center"/>
            <w:hideMark/>
          </w:tcPr>
          <w:p w14:paraId="44544C9B" w14:textId="3E099E16"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1991-92</w:t>
            </w:r>
          </w:p>
        </w:tc>
        <w:tc>
          <w:tcPr>
            <w:tcW w:w="839" w:type="dxa"/>
            <w:tcBorders>
              <w:top w:val="single" w:sz="4" w:space="0" w:color="auto"/>
              <w:left w:val="nil"/>
              <w:bottom w:val="single" w:sz="4" w:space="0" w:color="auto"/>
              <w:right w:val="single" w:sz="4" w:space="0" w:color="auto"/>
            </w:tcBorders>
            <w:vAlign w:val="center"/>
            <w:hideMark/>
          </w:tcPr>
          <w:p w14:paraId="710BB5D8" w14:textId="54FD0DBA"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1992-93</w:t>
            </w:r>
          </w:p>
        </w:tc>
        <w:tc>
          <w:tcPr>
            <w:tcW w:w="776" w:type="dxa"/>
            <w:tcBorders>
              <w:top w:val="single" w:sz="4" w:space="0" w:color="auto"/>
              <w:left w:val="nil"/>
              <w:bottom w:val="single" w:sz="4" w:space="0" w:color="auto"/>
              <w:right w:val="single" w:sz="4" w:space="0" w:color="auto"/>
            </w:tcBorders>
            <w:vAlign w:val="center"/>
            <w:hideMark/>
          </w:tcPr>
          <w:p w14:paraId="694C00A6" w14:textId="03A7A358"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1993-94</w:t>
            </w:r>
          </w:p>
        </w:tc>
        <w:tc>
          <w:tcPr>
            <w:tcW w:w="776" w:type="dxa"/>
            <w:tcBorders>
              <w:top w:val="single" w:sz="4" w:space="0" w:color="auto"/>
              <w:left w:val="nil"/>
              <w:bottom w:val="single" w:sz="4" w:space="0" w:color="auto"/>
              <w:right w:val="single" w:sz="4" w:space="0" w:color="auto"/>
            </w:tcBorders>
            <w:vAlign w:val="center"/>
            <w:hideMark/>
          </w:tcPr>
          <w:p w14:paraId="23C1D0C6" w14:textId="40E2D97C"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1994-95</w:t>
            </w:r>
          </w:p>
        </w:tc>
        <w:tc>
          <w:tcPr>
            <w:tcW w:w="856" w:type="dxa"/>
            <w:tcBorders>
              <w:top w:val="single" w:sz="4" w:space="0" w:color="auto"/>
              <w:left w:val="nil"/>
              <w:bottom w:val="single" w:sz="4" w:space="0" w:color="auto"/>
              <w:right w:val="single" w:sz="4" w:space="0" w:color="auto"/>
            </w:tcBorders>
            <w:vAlign w:val="center"/>
            <w:hideMark/>
          </w:tcPr>
          <w:p w14:paraId="5D73080E" w14:textId="5FCC7F70" w:rsidR="003737D4" w:rsidRPr="00641D39" w:rsidRDefault="003737D4" w:rsidP="003737D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Total</w:t>
            </w:r>
          </w:p>
        </w:tc>
      </w:tr>
      <w:tr w:rsidR="006B0DBA" w:rsidRPr="00641D39" w14:paraId="6B851BB2" w14:textId="77777777" w:rsidTr="006B0DBA">
        <w:trPr>
          <w:trHeight w:val="20"/>
          <w:jc w:val="center"/>
        </w:trPr>
        <w:tc>
          <w:tcPr>
            <w:tcW w:w="1468" w:type="dxa"/>
            <w:tcBorders>
              <w:top w:val="single" w:sz="4" w:space="0" w:color="auto"/>
              <w:left w:val="single" w:sz="4" w:space="0" w:color="auto"/>
              <w:bottom w:val="single" w:sz="4" w:space="0" w:color="auto"/>
              <w:right w:val="single" w:sz="4" w:space="0" w:color="auto"/>
            </w:tcBorders>
            <w:vAlign w:val="center"/>
          </w:tcPr>
          <w:p w14:paraId="43358C4F"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38" w:type="dxa"/>
            <w:tcBorders>
              <w:top w:val="single" w:sz="4" w:space="0" w:color="auto"/>
              <w:left w:val="nil"/>
              <w:bottom w:val="single" w:sz="4" w:space="0" w:color="auto"/>
              <w:right w:val="single" w:sz="4" w:space="0" w:color="auto"/>
            </w:tcBorders>
            <w:vAlign w:val="center"/>
          </w:tcPr>
          <w:p w14:paraId="78548378" w14:textId="4A2CD96F"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(1)</w:t>
            </w:r>
          </w:p>
        </w:tc>
        <w:tc>
          <w:tcPr>
            <w:tcW w:w="839" w:type="dxa"/>
            <w:tcBorders>
              <w:top w:val="single" w:sz="4" w:space="0" w:color="auto"/>
              <w:left w:val="nil"/>
              <w:bottom w:val="single" w:sz="4" w:space="0" w:color="auto"/>
              <w:right w:val="single" w:sz="4" w:space="0" w:color="auto"/>
            </w:tcBorders>
            <w:vAlign w:val="center"/>
          </w:tcPr>
          <w:p w14:paraId="5D448B74" w14:textId="359E4A7F"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(2)</w:t>
            </w:r>
          </w:p>
        </w:tc>
        <w:tc>
          <w:tcPr>
            <w:tcW w:w="839" w:type="dxa"/>
            <w:tcBorders>
              <w:top w:val="single" w:sz="4" w:space="0" w:color="auto"/>
              <w:left w:val="nil"/>
              <w:bottom w:val="single" w:sz="4" w:space="0" w:color="auto"/>
              <w:right w:val="single" w:sz="4" w:space="0" w:color="auto"/>
            </w:tcBorders>
            <w:vAlign w:val="center"/>
          </w:tcPr>
          <w:p w14:paraId="29A6BA88" w14:textId="149CB571"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(3)</w:t>
            </w:r>
          </w:p>
        </w:tc>
        <w:tc>
          <w:tcPr>
            <w:tcW w:w="839" w:type="dxa"/>
            <w:tcBorders>
              <w:top w:val="single" w:sz="4" w:space="0" w:color="auto"/>
              <w:left w:val="nil"/>
              <w:bottom w:val="single" w:sz="4" w:space="0" w:color="auto"/>
              <w:right w:val="single" w:sz="4" w:space="0" w:color="auto"/>
            </w:tcBorders>
            <w:vAlign w:val="center"/>
          </w:tcPr>
          <w:p w14:paraId="7C4EC1A1" w14:textId="5AE97894"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(4)</w:t>
            </w:r>
          </w:p>
        </w:tc>
        <w:tc>
          <w:tcPr>
            <w:tcW w:w="776" w:type="dxa"/>
            <w:tcBorders>
              <w:top w:val="single" w:sz="4" w:space="0" w:color="auto"/>
              <w:left w:val="nil"/>
              <w:bottom w:val="single" w:sz="4" w:space="0" w:color="auto"/>
              <w:right w:val="single" w:sz="4" w:space="0" w:color="auto"/>
            </w:tcBorders>
            <w:vAlign w:val="center"/>
          </w:tcPr>
          <w:p w14:paraId="74672F9A" w14:textId="49C3BF60"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(5)</w:t>
            </w:r>
          </w:p>
        </w:tc>
        <w:tc>
          <w:tcPr>
            <w:tcW w:w="776" w:type="dxa"/>
            <w:tcBorders>
              <w:top w:val="single" w:sz="4" w:space="0" w:color="auto"/>
              <w:left w:val="nil"/>
              <w:bottom w:val="single" w:sz="4" w:space="0" w:color="auto"/>
              <w:right w:val="single" w:sz="4" w:space="0" w:color="auto"/>
            </w:tcBorders>
            <w:vAlign w:val="center"/>
          </w:tcPr>
          <w:p w14:paraId="359A195D" w14:textId="75919825"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(6)</w:t>
            </w:r>
          </w:p>
        </w:tc>
        <w:tc>
          <w:tcPr>
            <w:tcW w:w="856" w:type="dxa"/>
            <w:tcBorders>
              <w:top w:val="single" w:sz="4" w:space="0" w:color="auto"/>
              <w:left w:val="nil"/>
              <w:bottom w:val="single" w:sz="4" w:space="0" w:color="auto"/>
              <w:right w:val="single" w:sz="4" w:space="0" w:color="auto"/>
            </w:tcBorders>
            <w:vAlign w:val="center"/>
          </w:tcPr>
          <w:p w14:paraId="73CBC658" w14:textId="6D86AE36"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0F76DE">
              <w:rPr>
                <w:rFonts w:ascii="Times New Roman" w:eastAsia="Times New Roman" w:hAnsi="Times New Roman" w:cs="Times New Roman"/>
                <w:b/>
                <w:bCs/>
                <w:color w:val="000000"/>
                <w:kern w:val="0"/>
                <w:sz w:val="16"/>
                <w:szCs w:val="16"/>
                <w:lang w:eastAsia="en-IN" w:bidi="ar-SA"/>
                <w14:ligatures w14:val="none"/>
              </w:rPr>
              <w:t>(7)</w:t>
            </w:r>
          </w:p>
        </w:tc>
      </w:tr>
      <w:tr w:rsidR="006B0DBA" w:rsidRPr="00641D39" w14:paraId="2725A7DF"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6EE8638E"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 Andhra Pradesh</w:t>
            </w:r>
          </w:p>
        </w:tc>
        <w:tc>
          <w:tcPr>
            <w:tcW w:w="838" w:type="dxa"/>
            <w:tcBorders>
              <w:top w:val="nil"/>
              <w:left w:val="nil"/>
              <w:bottom w:val="single" w:sz="4" w:space="0" w:color="auto"/>
              <w:right w:val="single" w:sz="4" w:space="0" w:color="auto"/>
            </w:tcBorders>
            <w:vAlign w:val="center"/>
            <w:hideMark/>
          </w:tcPr>
          <w:p w14:paraId="64403B5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251547</w:t>
            </w:r>
          </w:p>
        </w:tc>
        <w:tc>
          <w:tcPr>
            <w:tcW w:w="839" w:type="dxa"/>
            <w:tcBorders>
              <w:top w:val="nil"/>
              <w:left w:val="nil"/>
              <w:bottom w:val="single" w:sz="4" w:space="0" w:color="auto"/>
              <w:right w:val="single" w:sz="4" w:space="0" w:color="auto"/>
            </w:tcBorders>
            <w:vAlign w:val="center"/>
            <w:hideMark/>
          </w:tcPr>
          <w:p w14:paraId="0F31631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276304</w:t>
            </w:r>
          </w:p>
        </w:tc>
        <w:tc>
          <w:tcPr>
            <w:tcW w:w="839" w:type="dxa"/>
            <w:tcBorders>
              <w:top w:val="nil"/>
              <w:left w:val="nil"/>
              <w:bottom w:val="single" w:sz="4" w:space="0" w:color="auto"/>
              <w:right w:val="single" w:sz="4" w:space="0" w:color="auto"/>
            </w:tcBorders>
            <w:vAlign w:val="center"/>
            <w:hideMark/>
          </w:tcPr>
          <w:p w14:paraId="74B2D45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303499</w:t>
            </w:r>
          </w:p>
        </w:tc>
        <w:tc>
          <w:tcPr>
            <w:tcW w:w="839" w:type="dxa"/>
            <w:tcBorders>
              <w:top w:val="nil"/>
              <w:left w:val="nil"/>
              <w:bottom w:val="single" w:sz="4" w:space="0" w:color="auto"/>
              <w:right w:val="single" w:sz="4" w:space="0" w:color="auto"/>
            </w:tcBorders>
            <w:vAlign w:val="center"/>
            <w:hideMark/>
          </w:tcPr>
          <w:p w14:paraId="0B8A461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333371</w:t>
            </w:r>
          </w:p>
        </w:tc>
        <w:tc>
          <w:tcPr>
            <w:tcW w:w="776" w:type="dxa"/>
            <w:tcBorders>
              <w:top w:val="nil"/>
              <w:left w:val="nil"/>
              <w:bottom w:val="single" w:sz="4" w:space="0" w:color="auto"/>
              <w:right w:val="single" w:sz="4" w:space="0" w:color="auto"/>
            </w:tcBorders>
            <w:vAlign w:val="center"/>
            <w:hideMark/>
          </w:tcPr>
          <w:p w14:paraId="52B074E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366184</w:t>
            </w:r>
          </w:p>
        </w:tc>
        <w:tc>
          <w:tcPr>
            <w:tcW w:w="776" w:type="dxa"/>
            <w:tcBorders>
              <w:top w:val="nil"/>
              <w:left w:val="nil"/>
              <w:bottom w:val="single" w:sz="4" w:space="0" w:color="auto"/>
              <w:right w:val="single" w:sz="4" w:space="0" w:color="auto"/>
            </w:tcBorders>
            <w:vAlign w:val="center"/>
            <w:hideMark/>
          </w:tcPr>
          <w:p w14:paraId="56821F8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402227</w:t>
            </w:r>
          </w:p>
        </w:tc>
        <w:tc>
          <w:tcPr>
            <w:tcW w:w="856" w:type="dxa"/>
            <w:tcBorders>
              <w:top w:val="nil"/>
              <w:left w:val="nil"/>
              <w:bottom w:val="single" w:sz="4" w:space="0" w:color="auto"/>
              <w:right w:val="single" w:sz="4" w:space="0" w:color="auto"/>
            </w:tcBorders>
            <w:vAlign w:val="center"/>
            <w:hideMark/>
          </w:tcPr>
          <w:p w14:paraId="59016FA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1681585</w:t>
            </w:r>
          </w:p>
        </w:tc>
      </w:tr>
      <w:tr w:rsidR="006B0DBA" w:rsidRPr="00641D39" w14:paraId="7CBD5C71"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6AA5EB0E"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 Bihar</w:t>
            </w:r>
          </w:p>
        </w:tc>
        <w:tc>
          <w:tcPr>
            <w:tcW w:w="838" w:type="dxa"/>
            <w:tcBorders>
              <w:top w:val="nil"/>
              <w:left w:val="nil"/>
              <w:bottom w:val="single" w:sz="4" w:space="0" w:color="auto"/>
              <w:right w:val="single" w:sz="4" w:space="0" w:color="auto"/>
            </w:tcBorders>
            <w:vAlign w:val="center"/>
            <w:hideMark/>
          </w:tcPr>
          <w:p w14:paraId="7A37582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137371</w:t>
            </w:r>
          </w:p>
        </w:tc>
        <w:tc>
          <w:tcPr>
            <w:tcW w:w="839" w:type="dxa"/>
            <w:tcBorders>
              <w:top w:val="nil"/>
              <w:left w:val="nil"/>
              <w:bottom w:val="single" w:sz="4" w:space="0" w:color="auto"/>
              <w:right w:val="single" w:sz="4" w:space="0" w:color="auto"/>
            </w:tcBorders>
            <w:vAlign w:val="center"/>
            <w:hideMark/>
          </w:tcPr>
          <w:p w14:paraId="383D580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154889</w:t>
            </w:r>
          </w:p>
        </w:tc>
        <w:tc>
          <w:tcPr>
            <w:tcW w:w="839" w:type="dxa"/>
            <w:tcBorders>
              <w:top w:val="nil"/>
              <w:left w:val="nil"/>
              <w:bottom w:val="single" w:sz="4" w:space="0" w:color="auto"/>
              <w:right w:val="single" w:sz="4" w:space="0" w:color="auto"/>
            </w:tcBorders>
            <w:vAlign w:val="center"/>
            <w:hideMark/>
          </w:tcPr>
          <w:p w14:paraId="24672DF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174664</w:t>
            </w:r>
          </w:p>
        </w:tc>
        <w:tc>
          <w:tcPr>
            <w:tcW w:w="839" w:type="dxa"/>
            <w:tcBorders>
              <w:top w:val="nil"/>
              <w:left w:val="nil"/>
              <w:bottom w:val="single" w:sz="4" w:space="0" w:color="auto"/>
              <w:right w:val="single" w:sz="4" w:space="0" w:color="auto"/>
            </w:tcBorders>
            <w:vAlign w:val="center"/>
            <w:hideMark/>
          </w:tcPr>
          <w:p w14:paraId="255ADDE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196991</w:t>
            </w:r>
          </w:p>
        </w:tc>
        <w:tc>
          <w:tcPr>
            <w:tcW w:w="776" w:type="dxa"/>
            <w:tcBorders>
              <w:top w:val="nil"/>
              <w:left w:val="nil"/>
              <w:bottom w:val="single" w:sz="4" w:space="0" w:color="auto"/>
              <w:right w:val="single" w:sz="4" w:space="0" w:color="auto"/>
            </w:tcBorders>
            <w:vAlign w:val="center"/>
            <w:hideMark/>
          </w:tcPr>
          <w:p w14:paraId="2A00C9B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222202</w:t>
            </w:r>
          </w:p>
        </w:tc>
        <w:tc>
          <w:tcPr>
            <w:tcW w:w="776" w:type="dxa"/>
            <w:tcBorders>
              <w:top w:val="nil"/>
              <w:left w:val="nil"/>
              <w:bottom w:val="single" w:sz="4" w:space="0" w:color="auto"/>
              <w:right w:val="single" w:sz="4" w:space="0" w:color="auto"/>
            </w:tcBorders>
            <w:vAlign w:val="center"/>
            <w:hideMark/>
          </w:tcPr>
          <w:p w14:paraId="7B46DAD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250673</w:t>
            </w:r>
          </w:p>
        </w:tc>
        <w:tc>
          <w:tcPr>
            <w:tcW w:w="856" w:type="dxa"/>
            <w:tcBorders>
              <w:top w:val="nil"/>
              <w:left w:val="nil"/>
              <w:bottom w:val="single" w:sz="4" w:space="0" w:color="auto"/>
              <w:right w:val="single" w:sz="4" w:space="0" w:color="auto"/>
            </w:tcBorders>
            <w:vAlign w:val="center"/>
            <w:hideMark/>
          </w:tcPr>
          <w:p w14:paraId="6846BC9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999419</w:t>
            </w:r>
          </w:p>
        </w:tc>
      </w:tr>
      <w:tr w:rsidR="006B0DBA" w:rsidRPr="00641D39" w14:paraId="44B3D959"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079063B9"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 Gujarat</w:t>
            </w:r>
          </w:p>
        </w:tc>
        <w:tc>
          <w:tcPr>
            <w:tcW w:w="838" w:type="dxa"/>
            <w:tcBorders>
              <w:top w:val="nil"/>
              <w:left w:val="nil"/>
              <w:bottom w:val="single" w:sz="4" w:space="0" w:color="auto"/>
              <w:right w:val="single" w:sz="4" w:space="0" w:color="auto"/>
            </w:tcBorders>
            <w:vAlign w:val="center"/>
            <w:hideMark/>
          </w:tcPr>
          <w:p w14:paraId="494E6FA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187653</w:t>
            </w:r>
          </w:p>
        </w:tc>
        <w:tc>
          <w:tcPr>
            <w:tcW w:w="839" w:type="dxa"/>
            <w:tcBorders>
              <w:top w:val="nil"/>
              <w:left w:val="nil"/>
              <w:bottom w:val="single" w:sz="4" w:space="0" w:color="auto"/>
              <w:right w:val="single" w:sz="4" w:space="0" w:color="auto"/>
            </w:tcBorders>
            <w:vAlign w:val="center"/>
            <w:hideMark/>
          </w:tcPr>
          <w:p w14:paraId="611EED8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208885</w:t>
            </w:r>
          </w:p>
        </w:tc>
        <w:tc>
          <w:tcPr>
            <w:tcW w:w="839" w:type="dxa"/>
            <w:tcBorders>
              <w:top w:val="nil"/>
              <w:left w:val="nil"/>
              <w:bottom w:val="single" w:sz="4" w:space="0" w:color="auto"/>
              <w:right w:val="single" w:sz="4" w:space="0" w:color="auto"/>
            </w:tcBorders>
            <w:vAlign w:val="center"/>
            <w:hideMark/>
          </w:tcPr>
          <w:p w14:paraId="7A8C32C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232519</w:t>
            </w:r>
          </w:p>
        </w:tc>
        <w:tc>
          <w:tcPr>
            <w:tcW w:w="839" w:type="dxa"/>
            <w:tcBorders>
              <w:top w:val="nil"/>
              <w:left w:val="nil"/>
              <w:bottom w:val="single" w:sz="4" w:space="0" w:color="auto"/>
              <w:right w:val="single" w:sz="4" w:space="0" w:color="auto"/>
            </w:tcBorders>
            <w:vAlign w:val="center"/>
            <w:hideMark/>
          </w:tcPr>
          <w:p w14:paraId="6F85067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258827</w:t>
            </w:r>
          </w:p>
        </w:tc>
        <w:tc>
          <w:tcPr>
            <w:tcW w:w="776" w:type="dxa"/>
            <w:tcBorders>
              <w:top w:val="nil"/>
              <w:left w:val="nil"/>
              <w:bottom w:val="single" w:sz="4" w:space="0" w:color="auto"/>
              <w:right w:val="single" w:sz="4" w:space="0" w:color="auto"/>
            </w:tcBorders>
            <w:vAlign w:val="center"/>
            <w:hideMark/>
          </w:tcPr>
          <w:p w14:paraId="5D55B49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288112</w:t>
            </w:r>
          </w:p>
        </w:tc>
        <w:tc>
          <w:tcPr>
            <w:tcW w:w="776" w:type="dxa"/>
            <w:tcBorders>
              <w:top w:val="nil"/>
              <w:left w:val="nil"/>
              <w:bottom w:val="single" w:sz="4" w:space="0" w:color="auto"/>
              <w:right w:val="single" w:sz="4" w:space="0" w:color="auto"/>
            </w:tcBorders>
            <w:vAlign w:val="center"/>
            <w:hideMark/>
          </w:tcPr>
          <w:p w14:paraId="3BFE931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320711</w:t>
            </w:r>
          </w:p>
        </w:tc>
        <w:tc>
          <w:tcPr>
            <w:tcW w:w="856" w:type="dxa"/>
            <w:tcBorders>
              <w:top w:val="nil"/>
              <w:left w:val="nil"/>
              <w:bottom w:val="single" w:sz="4" w:space="0" w:color="auto"/>
              <w:right w:val="single" w:sz="4" w:space="0" w:color="auto"/>
            </w:tcBorders>
            <w:vAlign w:val="center"/>
            <w:hideMark/>
          </w:tcPr>
          <w:p w14:paraId="305EECE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1309055</w:t>
            </w:r>
          </w:p>
        </w:tc>
      </w:tr>
      <w:tr w:rsidR="006B0DBA" w:rsidRPr="00641D39" w14:paraId="7D7782DE"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42A60D57"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 Haryana</w:t>
            </w:r>
          </w:p>
        </w:tc>
        <w:tc>
          <w:tcPr>
            <w:tcW w:w="838" w:type="dxa"/>
            <w:tcBorders>
              <w:top w:val="nil"/>
              <w:left w:val="nil"/>
              <w:bottom w:val="single" w:sz="4" w:space="0" w:color="auto"/>
              <w:right w:val="single" w:sz="4" w:space="0" w:color="auto"/>
            </w:tcBorders>
            <w:vAlign w:val="center"/>
            <w:hideMark/>
          </w:tcPr>
          <w:p w14:paraId="775A8C8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85178</w:t>
            </w:r>
          </w:p>
        </w:tc>
        <w:tc>
          <w:tcPr>
            <w:tcW w:w="839" w:type="dxa"/>
            <w:tcBorders>
              <w:top w:val="nil"/>
              <w:left w:val="nil"/>
              <w:bottom w:val="single" w:sz="4" w:space="0" w:color="auto"/>
              <w:right w:val="single" w:sz="4" w:space="0" w:color="auto"/>
            </w:tcBorders>
            <w:vAlign w:val="center"/>
            <w:hideMark/>
          </w:tcPr>
          <w:p w14:paraId="67CF2E8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95845</w:t>
            </w:r>
          </w:p>
        </w:tc>
        <w:tc>
          <w:tcPr>
            <w:tcW w:w="839" w:type="dxa"/>
            <w:tcBorders>
              <w:top w:val="nil"/>
              <w:left w:val="nil"/>
              <w:bottom w:val="single" w:sz="4" w:space="0" w:color="auto"/>
              <w:right w:val="single" w:sz="4" w:space="0" w:color="auto"/>
            </w:tcBorders>
            <w:vAlign w:val="center"/>
            <w:hideMark/>
          </w:tcPr>
          <w:p w14:paraId="1237DBB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107847</w:t>
            </w:r>
          </w:p>
        </w:tc>
        <w:tc>
          <w:tcPr>
            <w:tcW w:w="839" w:type="dxa"/>
            <w:tcBorders>
              <w:top w:val="nil"/>
              <w:left w:val="nil"/>
              <w:bottom w:val="single" w:sz="4" w:space="0" w:color="auto"/>
              <w:right w:val="single" w:sz="4" w:space="0" w:color="auto"/>
            </w:tcBorders>
            <w:vAlign w:val="center"/>
            <w:hideMark/>
          </w:tcPr>
          <w:p w14:paraId="03F4AE9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121353</w:t>
            </w:r>
          </w:p>
        </w:tc>
        <w:tc>
          <w:tcPr>
            <w:tcW w:w="776" w:type="dxa"/>
            <w:tcBorders>
              <w:top w:val="nil"/>
              <w:left w:val="nil"/>
              <w:bottom w:val="single" w:sz="4" w:space="0" w:color="auto"/>
              <w:right w:val="single" w:sz="4" w:space="0" w:color="auto"/>
            </w:tcBorders>
            <w:vAlign w:val="center"/>
            <w:hideMark/>
          </w:tcPr>
          <w:p w14:paraId="5CDA5F5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136549</w:t>
            </w:r>
          </w:p>
        </w:tc>
        <w:tc>
          <w:tcPr>
            <w:tcW w:w="776" w:type="dxa"/>
            <w:tcBorders>
              <w:top w:val="nil"/>
              <w:left w:val="nil"/>
              <w:bottom w:val="single" w:sz="4" w:space="0" w:color="auto"/>
              <w:right w:val="single" w:sz="4" w:space="0" w:color="auto"/>
            </w:tcBorders>
            <w:vAlign w:val="center"/>
            <w:hideMark/>
          </w:tcPr>
          <w:p w14:paraId="4087BAC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153649</w:t>
            </w:r>
          </w:p>
        </w:tc>
        <w:tc>
          <w:tcPr>
            <w:tcW w:w="856" w:type="dxa"/>
            <w:tcBorders>
              <w:top w:val="nil"/>
              <w:left w:val="nil"/>
              <w:bottom w:val="single" w:sz="4" w:space="0" w:color="auto"/>
              <w:right w:val="single" w:sz="4" w:space="0" w:color="auto"/>
            </w:tcBorders>
            <w:vAlign w:val="center"/>
            <w:hideMark/>
          </w:tcPr>
          <w:p w14:paraId="32157D5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615243</w:t>
            </w:r>
          </w:p>
        </w:tc>
      </w:tr>
      <w:tr w:rsidR="006B0DBA" w:rsidRPr="00641D39" w14:paraId="237EBED4"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6CE48B49"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 Karnataka</w:t>
            </w:r>
          </w:p>
        </w:tc>
        <w:tc>
          <w:tcPr>
            <w:tcW w:w="838" w:type="dxa"/>
            <w:tcBorders>
              <w:top w:val="nil"/>
              <w:left w:val="nil"/>
              <w:bottom w:val="single" w:sz="4" w:space="0" w:color="auto"/>
              <w:right w:val="single" w:sz="4" w:space="0" w:color="auto"/>
            </w:tcBorders>
            <w:vAlign w:val="center"/>
            <w:hideMark/>
          </w:tcPr>
          <w:p w14:paraId="16C06D7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182846</w:t>
            </w:r>
          </w:p>
        </w:tc>
        <w:tc>
          <w:tcPr>
            <w:tcW w:w="839" w:type="dxa"/>
            <w:tcBorders>
              <w:top w:val="nil"/>
              <w:left w:val="nil"/>
              <w:bottom w:val="single" w:sz="4" w:space="0" w:color="auto"/>
              <w:right w:val="single" w:sz="4" w:space="0" w:color="auto"/>
            </w:tcBorders>
            <w:vAlign w:val="center"/>
            <w:hideMark/>
          </w:tcPr>
          <w:p w14:paraId="6F34A1D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204959</w:t>
            </w:r>
          </w:p>
        </w:tc>
        <w:tc>
          <w:tcPr>
            <w:tcW w:w="839" w:type="dxa"/>
            <w:tcBorders>
              <w:top w:val="nil"/>
              <w:left w:val="nil"/>
              <w:bottom w:val="single" w:sz="4" w:space="0" w:color="auto"/>
              <w:right w:val="single" w:sz="4" w:space="0" w:color="auto"/>
            </w:tcBorders>
            <w:vAlign w:val="center"/>
            <w:hideMark/>
          </w:tcPr>
          <w:p w14:paraId="5131514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229745</w:t>
            </w:r>
          </w:p>
        </w:tc>
        <w:tc>
          <w:tcPr>
            <w:tcW w:w="839" w:type="dxa"/>
            <w:tcBorders>
              <w:top w:val="nil"/>
              <w:left w:val="nil"/>
              <w:bottom w:val="single" w:sz="4" w:space="0" w:color="auto"/>
              <w:right w:val="single" w:sz="4" w:space="0" w:color="auto"/>
            </w:tcBorders>
            <w:vAlign w:val="center"/>
            <w:hideMark/>
          </w:tcPr>
          <w:p w14:paraId="6C07F60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257530</w:t>
            </w:r>
          </w:p>
        </w:tc>
        <w:tc>
          <w:tcPr>
            <w:tcW w:w="776" w:type="dxa"/>
            <w:tcBorders>
              <w:top w:val="nil"/>
              <w:left w:val="nil"/>
              <w:bottom w:val="single" w:sz="4" w:space="0" w:color="auto"/>
              <w:right w:val="single" w:sz="4" w:space="0" w:color="auto"/>
            </w:tcBorders>
            <w:vAlign w:val="center"/>
            <w:hideMark/>
          </w:tcPr>
          <w:p w14:paraId="087606D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288674</w:t>
            </w:r>
          </w:p>
        </w:tc>
        <w:tc>
          <w:tcPr>
            <w:tcW w:w="776" w:type="dxa"/>
            <w:tcBorders>
              <w:top w:val="nil"/>
              <w:left w:val="nil"/>
              <w:bottom w:val="single" w:sz="4" w:space="0" w:color="auto"/>
              <w:right w:val="single" w:sz="4" w:space="0" w:color="auto"/>
            </w:tcBorders>
            <w:vAlign w:val="center"/>
            <w:hideMark/>
          </w:tcPr>
          <w:p w14:paraId="32F23F9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323586</w:t>
            </w:r>
          </w:p>
        </w:tc>
        <w:tc>
          <w:tcPr>
            <w:tcW w:w="856" w:type="dxa"/>
            <w:tcBorders>
              <w:top w:val="nil"/>
              <w:left w:val="nil"/>
              <w:bottom w:val="single" w:sz="4" w:space="0" w:color="auto"/>
              <w:right w:val="single" w:sz="4" w:space="0" w:color="auto"/>
            </w:tcBorders>
            <w:vAlign w:val="center"/>
            <w:hideMark/>
          </w:tcPr>
          <w:p w14:paraId="127EBF5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1304494</w:t>
            </w:r>
          </w:p>
        </w:tc>
      </w:tr>
      <w:tr w:rsidR="006B0DBA" w:rsidRPr="00641D39" w14:paraId="4B71B5D9"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506B7F2A"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 Kerala</w:t>
            </w:r>
          </w:p>
        </w:tc>
        <w:tc>
          <w:tcPr>
            <w:tcW w:w="838" w:type="dxa"/>
            <w:tcBorders>
              <w:top w:val="nil"/>
              <w:left w:val="nil"/>
              <w:bottom w:val="single" w:sz="4" w:space="0" w:color="auto"/>
              <w:right w:val="single" w:sz="4" w:space="0" w:color="auto"/>
            </w:tcBorders>
            <w:vAlign w:val="center"/>
            <w:hideMark/>
          </w:tcPr>
          <w:p w14:paraId="46FA5848"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121929</w:t>
            </w:r>
          </w:p>
        </w:tc>
        <w:tc>
          <w:tcPr>
            <w:tcW w:w="839" w:type="dxa"/>
            <w:tcBorders>
              <w:top w:val="nil"/>
              <w:left w:val="nil"/>
              <w:bottom w:val="single" w:sz="4" w:space="0" w:color="auto"/>
              <w:right w:val="single" w:sz="4" w:space="0" w:color="auto"/>
            </w:tcBorders>
            <w:vAlign w:val="center"/>
            <w:hideMark/>
          </w:tcPr>
          <w:p w14:paraId="0D199CD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134899</w:t>
            </w:r>
          </w:p>
        </w:tc>
        <w:tc>
          <w:tcPr>
            <w:tcW w:w="839" w:type="dxa"/>
            <w:tcBorders>
              <w:top w:val="nil"/>
              <w:left w:val="nil"/>
              <w:bottom w:val="single" w:sz="4" w:space="0" w:color="auto"/>
              <w:right w:val="single" w:sz="4" w:space="0" w:color="auto"/>
            </w:tcBorders>
            <w:vAlign w:val="center"/>
            <w:hideMark/>
          </w:tcPr>
          <w:p w14:paraId="2AA1F5E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149248</w:t>
            </w:r>
          </w:p>
        </w:tc>
        <w:tc>
          <w:tcPr>
            <w:tcW w:w="839" w:type="dxa"/>
            <w:tcBorders>
              <w:top w:val="nil"/>
              <w:left w:val="nil"/>
              <w:bottom w:val="single" w:sz="4" w:space="0" w:color="auto"/>
              <w:right w:val="single" w:sz="4" w:space="0" w:color="auto"/>
            </w:tcBorders>
            <w:vAlign w:val="center"/>
            <w:hideMark/>
          </w:tcPr>
          <w:p w14:paraId="2262D7E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165124</w:t>
            </w:r>
          </w:p>
        </w:tc>
        <w:tc>
          <w:tcPr>
            <w:tcW w:w="776" w:type="dxa"/>
            <w:tcBorders>
              <w:top w:val="nil"/>
              <w:left w:val="nil"/>
              <w:bottom w:val="single" w:sz="4" w:space="0" w:color="auto"/>
              <w:right w:val="single" w:sz="4" w:space="0" w:color="auto"/>
            </w:tcBorders>
            <w:vAlign w:val="center"/>
            <w:hideMark/>
          </w:tcPr>
          <w:p w14:paraId="4500F1D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182688</w:t>
            </w:r>
          </w:p>
        </w:tc>
        <w:tc>
          <w:tcPr>
            <w:tcW w:w="776" w:type="dxa"/>
            <w:tcBorders>
              <w:top w:val="nil"/>
              <w:left w:val="nil"/>
              <w:bottom w:val="single" w:sz="4" w:space="0" w:color="auto"/>
              <w:right w:val="single" w:sz="4" w:space="0" w:color="auto"/>
            </w:tcBorders>
            <w:vAlign w:val="center"/>
            <w:hideMark/>
          </w:tcPr>
          <w:p w14:paraId="504983F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202121</w:t>
            </w:r>
          </w:p>
        </w:tc>
        <w:tc>
          <w:tcPr>
            <w:tcW w:w="856" w:type="dxa"/>
            <w:tcBorders>
              <w:top w:val="nil"/>
              <w:left w:val="nil"/>
              <w:bottom w:val="single" w:sz="4" w:space="0" w:color="auto"/>
              <w:right w:val="single" w:sz="4" w:space="0" w:color="auto"/>
            </w:tcBorders>
            <w:vAlign w:val="center"/>
            <w:hideMark/>
          </w:tcPr>
          <w:p w14:paraId="2F57840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834079</w:t>
            </w:r>
          </w:p>
        </w:tc>
      </w:tr>
      <w:tr w:rsidR="006B0DBA" w:rsidRPr="00641D39" w14:paraId="11D3A5A8"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645A187A"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 Madhya Pradesh</w:t>
            </w:r>
          </w:p>
        </w:tc>
        <w:tc>
          <w:tcPr>
            <w:tcW w:w="838" w:type="dxa"/>
            <w:tcBorders>
              <w:top w:val="nil"/>
              <w:left w:val="nil"/>
              <w:bottom w:val="single" w:sz="4" w:space="0" w:color="auto"/>
              <w:right w:val="single" w:sz="4" w:space="0" w:color="auto"/>
            </w:tcBorders>
            <w:vAlign w:val="center"/>
            <w:hideMark/>
          </w:tcPr>
          <w:p w14:paraId="6F69E79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135069</w:t>
            </w:r>
          </w:p>
        </w:tc>
        <w:tc>
          <w:tcPr>
            <w:tcW w:w="839" w:type="dxa"/>
            <w:tcBorders>
              <w:top w:val="nil"/>
              <w:left w:val="nil"/>
              <w:bottom w:val="single" w:sz="4" w:space="0" w:color="auto"/>
              <w:right w:val="single" w:sz="4" w:space="0" w:color="auto"/>
            </w:tcBorders>
            <w:vAlign w:val="center"/>
            <w:hideMark/>
          </w:tcPr>
          <w:p w14:paraId="4CE5B16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146072</w:t>
            </w:r>
          </w:p>
        </w:tc>
        <w:tc>
          <w:tcPr>
            <w:tcW w:w="839" w:type="dxa"/>
            <w:tcBorders>
              <w:top w:val="nil"/>
              <w:left w:val="nil"/>
              <w:bottom w:val="single" w:sz="4" w:space="0" w:color="auto"/>
              <w:right w:val="single" w:sz="4" w:space="0" w:color="auto"/>
            </w:tcBorders>
            <w:vAlign w:val="center"/>
            <w:hideMark/>
          </w:tcPr>
          <w:p w14:paraId="22D4269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163418</w:t>
            </w:r>
          </w:p>
        </w:tc>
        <w:tc>
          <w:tcPr>
            <w:tcW w:w="839" w:type="dxa"/>
            <w:tcBorders>
              <w:top w:val="nil"/>
              <w:left w:val="nil"/>
              <w:bottom w:val="single" w:sz="4" w:space="0" w:color="auto"/>
              <w:right w:val="single" w:sz="4" w:space="0" w:color="auto"/>
            </w:tcBorders>
            <w:vAlign w:val="center"/>
            <w:hideMark/>
          </w:tcPr>
          <w:p w14:paraId="3FD87A9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182824</w:t>
            </w:r>
          </w:p>
        </w:tc>
        <w:tc>
          <w:tcPr>
            <w:tcW w:w="776" w:type="dxa"/>
            <w:tcBorders>
              <w:top w:val="nil"/>
              <w:left w:val="nil"/>
              <w:bottom w:val="single" w:sz="4" w:space="0" w:color="auto"/>
              <w:right w:val="single" w:sz="4" w:space="0" w:color="auto"/>
            </w:tcBorders>
            <w:vAlign w:val="center"/>
            <w:hideMark/>
          </w:tcPr>
          <w:p w14:paraId="6EE2EA1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204535</w:t>
            </w:r>
          </w:p>
        </w:tc>
        <w:tc>
          <w:tcPr>
            <w:tcW w:w="776" w:type="dxa"/>
            <w:tcBorders>
              <w:top w:val="nil"/>
              <w:left w:val="nil"/>
              <w:bottom w:val="single" w:sz="4" w:space="0" w:color="auto"/>
              <w:right w:val="single" w:sz="4" w:space="0" w:color="auto"/>
            </w:tcBorders>
            <w:vAlign w:val="center"/>
            <w:hideMark/>
          </w:tcPr>
          <w:p w14:paraId="123C216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228827</w:t>
            </w:r>
          </w:p>
        </w:tc>
        <w:tc>
          <w:tcPr>
            <w:tcW w:w="856" w:type="dxa"/>
            <w:tcBorders>
              <w:top w:val="nil"/>
              <w:left w:val="nil"/>
              <w:bottom w:val="single" w:sz="4" w:space="0" w:color="auto"/>
              <w:right w:val="single" w:sz="4" w:space="0" w:color="auto"/>
            </w:tcBorders>
            <w:vAlign w:val="center"/>
            <w:hideMark/>
          </w:tcPr>
          <w:p w14:paraId="27DAD96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925675</w:t>
            </w:r>
          </w:p>
        </w:tc>
      </w:tr>
      <w:tr w:rsidR="006B0DBA" w:rsidRPr="00641D39" w14:paraId="401BBD55"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7F86D1F4"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 Maharashtra</w:t>
            </w:r>
          </w:p>
        </w:tc>
        <w:tc>
          <w:tcPr>
            <w:tcW w:w="838" w:type="dxa"/>
            <w:tcBorders>
              <w:top w:val="nil"/>
              <w:left w:val="nil"/>
              <w:bottom w:val="single" w:sz="4" w:space="0" w:color="auto"/>
              <w:right w:val="single" w:sz="4" w:space="0" w:color="auto"/>
            </w:tcBorders>
            <w:vAlign w:val="center"/>
            <w:hideMark/>
          </w:tcPr>
          <w:p w14:paraId="7231791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405917</w:t>
            </w:r>
          </w:p>
        </w:tc>
        <w:tc>
          <w:tcPr>
            <w:tcW w:w="839" w:type="dxa"/>
            <w:tcBorders>
              <w:top w:val="nil"/>
              <w:left w:val="nil"/>
              <w:bottom w:val="single" w:sz="4" w:space="0" w:color="auto"/>
              <w:right w:val="single" w:sz="4" w:space="0" w:color="auto"/>
            </w:tcBorders>
            <w:vAlign w:val="center"/>
            <w:hideMark/>
          </w:tcPr>
          <w:p w14:paraId="6F00814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452349</w:t>
            </w:r>
          </w:p>
        </w:tc>
        <w:tc>
          <w:tcPr>
            <w:tcW w:w="839" w:type="dxa"/>
            <w:tcBorders>
              <w:top w:val="nil"/>
              <w:left w:val="nil"/>
              <w:bottom w:val="single" w:sz="4" w:space="0" w:color="auto"/>
              <w:right w:val="single" w:sz="4" w:space="0" w:color="auto"/>
            </w:tcBorders>
            <w:vAlign w:val="center"/>
            <w:hideMark/>
          </w:tcPr>
          <w:p w14:paraId="016CC46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504093</w:t>
            </w:r>
          </w:p>
        </w:tc>
        <w:tc>
          <w:tcPr>
            <w:tcW w:w="839" w:type="dxa"/>
            <w:tcBorders>
              <w:top w:val="nil"/>
              <w:left w:val="nil"/>
              <w:bottom w:val="single" w:sz="4" w:space="0" w:color="auto"/>
              <w:right w:val="single" w:sz="4" w:space="0" w:color="auto"/>
            </w:tcBorders>
            <w:vAlign w:val="center"/>
            <w:hideMark/>
          </w:tcPr>
          <w:p w14:paraId="44B893F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561755</w:t>
            </w:r>
          </w:p>
        </w:tc>
        <w:tc>
          <w:tcPr>
            <w:tcW w:w="776" w:type="dxa"/>
            <w:tcBorders>
              <w:top w:val="nil"/>
              <w:left w:val="nil"/>
              <w:bottom w:val="single" w:sz="4" w:space="0" w:color="auto"/>
              <w:right w:val="single" w:sz="4" w:space="0" w:color="auto"/>
            </w:tcBorders>
            <w:vAlign w:val="center"/>
            <w:hideMark/>
          </w:tcPr>
          <w:p w14:paraId="78123D8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626013</w:t>
            </w:r>
          </w:p>
        </w:tc>
        <w:tc>
          <w:tcPr>
            <w:tcW w:w="776" w:type="dxa"/>
            <w:tcBorders>
              <w:top w:val="nil"/>
              <w:left w:val="nil"/>
              <w:bottom w:val="single" w:sz="4" w:space="0" w:color="auto"/>
              <w:right w:val="single" w:sz="4" w:space="0" w:color="auto"/>
            </w:tcBorders>
            <w:vAlign w:val="center"/>
            <w:hideMark/>
          </w:tcPr>
          <w:p w14:paraId="6ED0646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697622</w:t>
            </w:r>
          </w:p>
        </w:tc>
        <w:tc>
          <w:tcPr>
            <w:tcW w:w="856" w:type="dxa"/>
            <w:tcBorders>
              <w:top w:val="nil"/>
              <w:left w:val="nil"/>
              <w:bottom w:val="single" w:sz="4" w:space="0" w:color="auto"/>
              <w:right w:val="single" w:sz="4" w:space="0" w:color="auto"/>
            </w:tcBorders>
            <w:vAlign w:val="center"/>
            <w:hideMark/>
          </w:tcPr>
          <w:p w14:paraId="4BA97C8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2841832</w:t>
            </w:r>
          </w:p>
        </w:tc>
      </w:tr>
      <w:tr w:rsidR="006B0DBA" w:rsidRPr="00641D39" w14:paraId="47778FF6"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033B41BF"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9. Orissa</w:t>
            </w:r>
          </w:p>
        </w:tc>
        <w:tc>
          <w:tcPr>
            <w:tcW w:w="838" w:type="dxa"/>
            <w:tcBorders>
              <w:top w:val="nil"/>
              <w:left w:val="nil"/>
              <w:bottom w:val="single" w:sz="4" w:space="0" w:color="auto"/>
              <w:right w:val="single" w:sz="4" w:space="0" w:color="auto"/>
            </w:tcBorders>
            <w:vAlign w:val="center"/>
            <w:hideMark/>
          </w:tcPr>
          <w:p w14:paraId="1355E40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41333</w:t>
            </w:r>
          </w:p>
        </w:tc>
        <w:tc>
          <w:tcPr>
            <w:tcW w:w="839" w:type="dxa"/>
            <w:tcBorders>
              <w:top w:val="nil"/>
              <w:left w:val="nil"/>
              <w:bottom w:val="single" w:sz="4" w:space="0" w:color="auto"/>
              <w:right w:val="single" w:sz="4" w:space="0" w:color="auto"/>
            </w:tcBorders>
            <w:vAlign w:val="center"/>
            <w:hideMark/>
          </w:tcPr>
          <w:p w14:paraId="6119976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46606</w:t>
            </w:r>
          </w:p>
        </w:tc>
        <w:tc>
          <w:tcPr>
            <w:tcW w:w="839" w:type="dxa"/>
            <w:tcBorders>
              <w:top w:val="nil"/>
              <w:left w:val="nil"/>
              <w:bottom w:val="single" w:sz="4" w:space="0" w:color="auto"/>
              <w:right w:val="single" w:sz="4" w:space="0" w:color="auto"/>
            </w:tcBorders>
            <w:vAlign w:val="center"/>
            <w:hideMark/>
          </w:tcPr>
          <w:p w14:paraId="2DD1C6A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52553</w:t>
            </w:r>
          </w:p>
        </w:tc>
        <w:tc>
          <w:tcPr>
            <w:tcW w:w="839" w:type="dxa"/>
            <w:tcBorders>
              <w:top w:val="nil"/>
              <w:left w:val="nil"/>
              <w:bottom w:val="single" w:sz="4" w:space="0" w:color="auto"/>
              <w:right w:val="single" w:sz="4" w:space="0" w:color="auto"/>
            </w:tcBorders>
            <w:vAlign w:val="center"/>
            <w:hideMark/>
          </w:tcPr>
          <w:p w14:paraId="63BF8B2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59259</w:t>
            </w:r>
          </w:p>
        </w:tc>
        <w:tc>
          <w:tcPr>
            <w:tcW w:w="776" w:type="dxa"/>
            <w:tcBorders>
              <w:top w:val="nil"/>
              <w:left w:val="nil"/>
              <w:bottom w:val="single" w:sz="4" w:space="0" w:color="auto"/>
              <w:right w:val="single" w:sz="4" w:space="0" w:color="auto"/>
            </w:tcBorders>
            <w:vAlign w:val="center"/>
            <w:hideMark/>
          </w:tcPr>
          <w:p w14:paraId="464B1D4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66822</w:t>
            </w:r>
          </w:p>
        </w:tc>
        <w:tc>
          <w:tcPr>
            <w:tcW w:w="776" w:type="dxa"/>
            <w:tcBorders>
              <w:top w:val="nil"/>
              <w:left w:val="nil"/>
              <w:bottom w:val="single" w:sz="4" w:space="0" w:color="auto"/>
              <w:right w:val="single" w:sz="4" w:space="0" w:color="auto"/>
            </w:tcBorders>
            <w:vAlign w:val="center"/>
            <w:hideMark/>
          </w:tcPr>
          <w:p w14:paraId="4AAE33A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75350</w:t>
            </w:r>
          </w:p>
        </w:tc>
        <w:tc>
          <w:tcPr>
            <w:tcW w:w="856" w:type="dxa"/>
            <w:tcBorders>
              <w:top w:val="nil"/>
              <w:left w:val="nil"/>
              <w:bottom w:val="single" w:sz="4" w:space="0" w:color="auto"/>
              <w:right w:val="single" w:sz="4" w:space="0" w:color="auto"/>
            </w:tcBorders>
            <w:vAlign w:val="center"/>
            <w:hideMark/>
          </w:tcPr>
          <w:p w14:paraId="17FFB2B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300590</w:t>
            </w:r>
          </w:p>
        </w:tc>
      </w:tr>
      <w:tr w:rsidR="006B0DBA" w:rsidRPr="00641D39" w14:paraId="0C0CB73A"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50DAB1C6"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 Punjab</w:t>
            </w:r>
          </w:p>
        </w:tc>
        <w:tc>
          <w:tcPr>
            <w:tcW w:w="838" w:type="dxa"/>
            <w:tcBorders>
              <w:top w:val="nil"/>
              <w:left w:val="nil"/>
              <w:bottom w:val="single" w:sz="4" w:space="0" w:color="auto"/>
              <w:right w:val="single" w:sz="4" w:space="0" w:color="auto"/>
            </w:tcBorders>
            <w:vAlign w:val="center"/>
            <w:hideMark/>
          </w:tcPr>
          <w:p w14:paraId="70E2D7D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113750</w:t>
            </w:r>
          </w:p>
        </w:tc>
        <w:tc>
          <w:tcPr>
            <w:tcW w:w="839" w:type="dxa"/>
            <w:tcBorders>
              <w:top w:val="nil"/>
              <w:left w:val="nil"/>
              <w:bottom w:val="single" w:sz="4" w:space="0" w:color="auto"/>
              <w:right w:val="single" w:sz="4" w:space="0" w:color="auto"/>
            </w:tcBorders>
            <w:vAlign w:val="center"/>
            <w:hideMark/>
          </w:tcPr>
          <w:p w14:paraId="4980187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128359</w:t>
            </w:r>
          </w:p>
        </w:tc>
        <w:tc>
          <w:tcPr>
            <w:tcW w:w="839" w:type="dxa"/>
            <w:tcBorders>
              <w:top w:val="nil"/>
              <w:left w:val="nil"/>
              <w:bottom w:val="single" w:sz="4" w:space="0" w:color="auto"/>
              <w:right w:val="single" w:sz="4" w:space="0" w:color="auto"/>
            </w:tcBorders>
            <w:vAlign w:val="center"/>
            <w:hideMark/>
          </w:tcPr>
          <w:p w14:paraId="52369B4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144844</w:t>
            </w:r>
          </w:p>
        </w:tc>
        <w:tc>
          <w:tcPr>
            <w:tcW w:w="839" w:type="dxa"/>
            <w:tcBorders>
              <w:top w:val="nil"/>
              <w:left w:val="nil"/>
              <w:bottom w:val="single" w:sz="4" w:space="0" w:color="auto"/>
              <w:right w:val="single" w:sz="4" w:space="0" w:color="auto"/>
            </w:tcBorders>
            <w:vAlign w:val="center"/>
            <w:hideMark/>
          </w:tcPr>
          <w:p w14:paraId="13EF4EF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163446</w:t>
            </w:r>
          </w:p>
        </w:tc>
        <w:tc>
          <w:tcPr>
            <w:tcW w:w="776" w:type="dxa"/>
            <w:tcBorders>
              <w:top w:val="nil"/>
              <w:left w:val="nil"/>
              <w:bottom w:val="single" w:sz="4" w:space="0" w:color="auto"/>
              <w:right w:val="single" w:sz="4" w:space="0" w:color="auto"/>
            </w:tcBorders>
            <w:vAlign w:val="center"/>
            <w:hideMark/>
          </w:tcPr>
          <w:p w14:paraId="5EB5AD6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184437</w:t>
            </w:r>
          </w:p>
        </w:tc>
        <w:tc>
          <w:tcPr>
            <w:tcW w:w="776" w:type="dxa"/>
            <w:tcBorders>
              <w:top w:val="nil"/>
              <w:left w:val="nil"/>
              <w:bottom w:val="single" w:sz="4" w:space="0" w:color="auto"/>
              <w:right w:val="single" w:sz="4" w:space="0" w:color="auto"/>
            </w:tcBorders>
            <w:vAlign w:val="center"/>
            <w:hideMark/>
          </w:tcPr>
          <w:p w14:paraId="7ACA276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208125</w:t>
            </w:r>
          </w:p>
        </w:tc>
        <w:tc>
          <w:tcPr>
            <w:tcW w:w="856" w:type="dxa"/>
            <w:tcBorders>
              <w:top w:val="nil"/>
              <w:left w:val="nil"/>
              <w:bottom w:val="single" w:sz="4" w:space="0" w:color="auto"/>
              <w:right w:val="single" w:sz="4" w:space="0" w:color="auto"/>
            </w:tcBorders>
            <w:vAlign w:val="center"/>
            <w:hideMark/>
          </w:tcPr>
          <w:p w14:paraId="385766B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829212</w:t>
            </w:r>
          </w:p>
        </w:tc>
      </w:tr>
      <w:tr w:rsidR="006B0DBA" w:rsidRPr="00641D39" w14:paraId="6D2924BC"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5EDDF4C0"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 Rajasthan</w:t>
            </w:r>
          </w:p>
        </w:tc>
        <w:tc>
          <w:tcPr>
            <w:tcW w:w="838" w:type="dxa"/>
            <w:tcBorders>
              <w:top w:val="nil"/>
              <w:left w:val="nil"/>
              <w:bottom w:val="single" w:sz="4" w:space="0" w:color="auto"/>
              <w:right w:val="single" w:sz="4" w:space="0" w:color="auto"/>
            </w:tcBorders>
            <w:vAlign w:val="center"/>
            <w:hideMark/>
          </w:tcPr>
          <w:p w14:paraId="04034AF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100293</w:t>
            </w:r>
          </w:p>
        </w:tc>
        <w:tc>
          <w:tcPr>
            <w:tcW w:w="839" w:type="dxa"/>
            <w:tcBorders>
              <w:top w:val="nil"/>
              <w:left w:val="nil"/>
              <w:bottom w:val="single" w:sz="4" w:space="0" w:color="auto"/>
              <w:right w:val="single" w:sz="4" w:space="0" w:color="auto"/>
            </w:tcBorders>
            <w:vAlign w:val="center"/>
            <w:hideMark/>
          </w:tcPr>
          <w:p w14:paraId="0D5E7CD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109094</w:t>
            </w:r>
          </w:p>
        </w:tc>
        <w:tc>
          <w:tcPr>
            <w:tcW w:w="839" w:type="dxa"/>
            <w:tcBorders>
              <w:top w:val="nil"/>
              <w:left w:val="nil"/>
              <w:bottom w:val="single" w:sz="4" w:space="0" w:color="auto"/>
              <w:right w:val="single" w:sz="4" w:space="0" w:color="auto"/>
            </w:tcBorders>
            <w:vAlign w:val="center"/>
            <w:hideMark/>
          </w:tcPr>
          <w:p w14:paraId="7CE8A2B7"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118668</w:t>
            </w:r>
          </w:p>
        </w:tc>
        <w:tc>
          <w:tcPr>
            <w:tcW w:w="839" w:type="dxa"/>
            <w:tcBorders>
              <w:top w:val="nil"/>
              <w:left w:val="nil"/>
              <w:bottom w:val="single" w:sz="4" w:space="0" w:color="auto"/>
              <w:right w:val="single" w:sz="4" w:space="0" w:color="auto"/>
            </w:tcBorders>
            <w:vAlign w:val="center"/>
            <w:hideMark/>
          </w:tcPr>
          <w:p w14:paraId="03B7396D"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129082</w:t>
            </w:r>
          </w:p>
        </w:tc>
        <w:tc>
          <w:tcPr>
            <w:tcW w:w="776" w:type="dxa"/>
            <w:tcBorders>
              <w:top w:val="nil"/>
              <w:left w:val="nil"/>
              <w:bottom w:val="single" w:sz="4" w:space="0" w:color="auto"/>
              <w:right w:val="single" w:sz="4" w:space="0" w:color="auto"/>
            </w:tcBorders>
            <w:vAlign w:val="center"/>
            <w:hideMark/>
          </w:tcPr>
          <w:p w14:paraId="2722B04A"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140410</w:t>
            </w:r>
          </w:p>
        </w:tc>
        <w:tc>
          <w:tcPr>
            <w:tcW w:w="776" w:type="dxa"/>
            <w:tcBorders>
              <w:top w:val="nil"/>
              <w:left w:val="nil"/>
              <w:bottom w:val="single" w:sz="4" w:space="0" w:color="auto"/>
              <w:right w:val="single" w:sz="4" w:space="0" w:color="auto"/>
            </w:tcBorders>
            <w:vAlign w:val="center"/>
            <w:hideMark/>
          </w:tcPr>
          <w:p w14:paraId="78D1C85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152732</w:t>
            </w:r>
          </w:p>
        </w:tc>
        <w:tc>
          <w:tcPr>
            <w:tcW w:w="856" w:type="dxa"/>
            <w:tcBorders>
              <w:top w:val="nil"/>
              <w:left w:val="nil"/>
              <w:bottom w:val="single" w:sz="4" w:space="0" w:color="auto"/>
              <w:right w:val="single" w:sz="4" w:space="0" w:color="auto"/>
            </w:tcBorders>
            <w:vAlign w:val="center"/>
            <w:hideMark/>
          </w:tcPr>
          <w:p w14:paraId="2300B4E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649986</w:t>
            </w:r>
          </w:p>
        </w:tc>
      </w:tr>
      <w:tr w:rsidR="006B0DBA" w:rsidRPr="00641D39" w14:paraId="241941C0"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5E73352F"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12. Tamil Nadu</w:t>
            </w:r>
          </w:p>
        </w:tc>
        <w:tc>
          <w:tcPr>
            <w:tcW w:w="838" w:type="dxa"/>
            <w:tcBorders>
              <w:top w:val="nil"/>
              <w:left w:val="nil"/>
              <w:bottom w:val="single" w:sz="4" w:space="0" w:color="auto"/>
              <w:right w:val="single" w:sz="4" w:space="0" w:color="auto"/>
            </w:tcBorders>
            <w:vAlign w:val="center"/>
            <w:hideMark/>
          </w:tcPr>
          <w:p w14:paraId="04CC33B4"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243039</w:t>
            </w:r>
          </w:p>
        </w:tc>
        <w:tc>
          <w:tcPr>
            <w:tcW w:w="839" w:type="dxa"/>
            <w:tcBorders>
              <w:top w:val="nil"/>
              <w:left w:val="nil"/>
              <w:bottom w:val="single" w:sz="4" w:space="0" w:color="auto"/>
              <w:right w:val="single" w:sz="4" w:space="0" w:color="auto"/>
            </w:tcBorders>
            <w:vAlign w:val="center"/>
            <w:hideMark/>
          </w:tcPr>
          <w:p w14:paraId="28E83BE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275003</w:t>
            </w:r>
          </w:p>
        </w:tc>
        <w:tc>
          <w:tcPr>
            <w:tcW w:w="839" w:type="dxa"/>
            <w:tcBorders>
              <w:top w:val="nil"/>
              <w:left w:val="nil"/>
              <w:bottom w:val="single" w:sz="4" w:space="0" w:color="auto"/>
              <w:right w:val="single" w:sz="4" w:space="0" w:color="auto"/>
            </w:tcBorders>
            <w:vAlign w:val="center"/>
            <w:hideMark/>
          </w:tcPr>
          <w:p w14:paraId="704E2F7B"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311171</w:t>
            </w:r>
          </w:p>
        </w:tc>
        <w:tc>
          <w:tcPr>
            <w:tcW w:w="839" w:type="dxa"/>
            <w:tcBorders>
              <w:top w:val="nil"/>
              <w:left w:val="nil"/>
              <w:bottom w:val="single" w:sz="4" w:space="0" w:color="auto"/>
              <w:right w:val="single" w:sz="4" w:space="0" w:color="auto"/>
            </w:tcBorders>
            <w:vAlign w:val="center"/>
            <w:hideMark/>
          </w:tcPr>
          <w:p w14:paraId="02806E7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352096</w:t>
            </w:r>
          </w:p>
        </w:tc>
        <w:tc>
          <w:tcPr>
            <w:tcW w:w="776" w:type="dxa"/>
            <w:tcBorders>
              <w:top w:val="nil"/>
              <w:left w:val="nil"/>
              <w:bottom w:val="single" w:sz="4" w:space="0" w:color="auto"/>
              <w:right w:val="single" w:sz="4" w:space="0" w:color="auto"/>
            </w:tcBorders>
            <w:vAlign w:val="center"/>
            <w:hideMark/>
          </w:tcPr>
          <w:p w14:paraId="141B34A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398404</w:t>
            </w:r>
          </w:p>
        </w:tc>
        <w:tc>
          <w:tcPr>
            <w:tcW w:w="776" w:type="dxa"/>
            <w:tcBorders>
              <w:top w:val="nil"/>
              <w:left w:val="nil"/>
              <w:bottom w:val="single" w:sz="4" w:space="0" w:color="auto"/>
              <w:right w:val="single" w:sz="4" w:space="0" w:color="auto"/>
            </w:tcBorders>
            <w:vAlign w:val="center"/>
            <w:hideMark/>
          </w:tcPr>
          <w:p w14:paraId="72BEFD6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450801</w:t>
            </w:r>
          </w:p>
        </w:tc>
        <w:tc>
          <w:tcPr>
            <w:tcW w:w="856" w:type="dxa"/>
            <w:tcBorders>
              <w:top w:val="nil"/>
              <w:left w:val="nil"/>
              <w:bottom w:val="single" w:sz="4" w:space="0" w:color="auto"/>
              <w:right w:val="single" w:sz="4" w:space="0" w:color="auto"/>
            </w:tcBorders>
            <w:vAlign w:val="center"/>
            <w:hideMark/>
          </w:tcPr>
          <w:p w14:paraId="240D0F8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1787475</w:t>
            </w:r>
          </w:p>
        </w:tc>
      </w:tr>
      <w:tr w:rsidR="006B0DBA" w:rsidRPr="00641D39" w14:paraId="4577D4FB"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77FC33D2"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 Uttar Pradesh</w:t>
            </w:r>
          </w:p>
        </w:tc>
        <w:tc>
          <w:tcPr>
            <w:tcW w:w="838" w:type="dxa"/>
            <w:tcBorders>
              <w:top w:val="nil"/>
              <w:left w:val="nil"/>
              <w:bottom w:val="single" w:sz="4" w:space="0" w:color="auto"/>
              <w:right w:val="single" w:sz="4" w:space="0" w:color="auto"/>
            </w:tcBorders>
            <w:vAlign w:val="center"/>
            <w:hideMark/>
          </w:tcPr>
          <w:p w14:paraId="215CEDA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255246</w:t>
            </w:r>
          </w:p>
        </w:tc>
        <w:tc>
          <w:tcPr>
            <w:tcW w:w="839" w:type="dxa"/>
            <w:tcBorders>
              <w:top w:val="nil"/>
              <w:left w:val="nil"/>
              <w:bottom w:val="single" w:sz="4" w:space="0" w:color="auto"/>
              <w:right w:val="single" w:sz="4" w:space="0" w:color="auto"/>
            </w:tcBorders>
            <w:vAlign w:val="center"/>
            <w:hideMark/>
          </w:tcPr>
          <w:p w14:paraId="0516354E"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275185</w:t>
            </w:r>
          </w:p>
        </w:tc>
        <w:tc>
          <w:tcPr>
            <w:tcW w:w="839" w:type="dxa"/>
            <w:tcBorders>
              <w:top w:val="nil"/>
              <w:left w:val="nil"/>
              <w:bottom w:val="single" w:sz="4" w:space="0" w:color="auto"/>
              <w:right w:val="single" w:sz="4" w:space="0" w:color="auto"/>
            </w:tcBorders>
            <w:vAlign w:val="center"/>
            <w:hideMark/>
          </w:tcPr>
          <w:p w14:paraId="40079AB2"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296681</w:t>
            </w:r>
          </w:p>
        </w:tc>
        <w:tc>
          <w:tcPr>
            <w:tcW w:w="839" w:type="dxa"/>
            <w:tcBorders>
              <w:top w:val="nil"/>
              <w:left w:val="nil"/>
              <w:bottom w:val="single" w:sz="4" w:space="0" w:color="auto"/>
              <w:right w:val="single" w:sz="4" w:space="0" w:color="auto"/>
            </w:tcBorders>
            <w:vAlign w:val="center"/>
            <w:hideMark/>
          </w:tcPr>
          <w:p w14:paraId="7EC682B1"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319856</w:t>
            </w:r>
          </w:p>
        </w:tc>
        <w:tc>
          <w:tcPr>
            <w:tcW w:w="776" w:type="dxa"/>
            <w:tcBorders>
              <w:top w:val="nil"/>
              <w:left w:val="nil"/>
              <w:bottom w:val="single" w:sz="4" w:space="0" w:color="auto"/>
              <w:right w:val="single" w:sz="4" w:space="0" w:color="auto"/>
            </w:tcBorders>
            <w:vAlign w:val="center"/>
            <w:hideMark/>
          </w:tcPr>
          <w:p w14:paraId="2090ACF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344842</w:t>
            </w:r>
          </w:p>
        </w:tc>
        <w:tc>
          <w:tcPr>
            <w:tcW w:w="776" w:type="dxa"/>
            <w:tcBorders>
              <w:top w:val="nil"/>
              <w:left w:val="nil"/>
              <w:bottom w:val="single" w:sz="4" w:space="0" w:color="auto"/>
              <w:right w:val="single" w:sz="4" w:space="0" w:color="auto"/>
            </w:tcBorders>
            <w:vAlign w:val="center"/>
            <w:hideMark/>
          </w:tcPr>
          <w:p w14:paraId="6947A87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371780</w:t>
            </w:r>
          </w:p>
        </w:tc>
        <w:tc>
          <w:tcPr>
            <w:tcW w:w="856" w:type="dxa"/>
            <w:tcBorders>
              <w:top w:val="nil"/>
              <w:left w:val="nil"/>
              <w:bottom w:val="single" w:sz="4" w:space="0" w:color="auto"/>
              <w:right w:val="single" w:sz="4" w:space="0" w:color="auto"/>
            </w:tcBorders>
            <w:vAlign w:val="center"/>
            <w:hideMark/>
          </w:tcPr>
          <w:p w14:paraId="7D15B96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1608345</w:t>
            </w:r>
          </w:p>
        </w:tc>
      </w:tr>
      <w:tr w:rsidR="006B0DBA" w:rsidRPr="00641D39" w14:paraId="0DD37762"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21326C30" w14:textId="77777777" w:rsidR="00641D39" w:rsidRPr="00641D39" w:rsidRDefault="00641D39" w:rsidP="00641D39">
            <w:pPr>
              <w:spacing w:after="0" w:line="240" w:lineRule="auto"/>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14. West Bengal</w:t>
            </w:r>
          </w:p>
        </w:tc>
        <w:tc>
          <w:tcPr>
            <w:tcW w:w="838" w:type="dxa"/>
            <w:tcBorders>
              <w:top w:val="nil"/>
              <w:left w:val="nil"/>
              <w:bottom w:val="single" w:sz="4" w:space="0" w:color="auto"/>
              <w:right w:val="single" w:sz="4" w:space="0" w:color="auto"/>
            </w:tcBorders>
            <w:vAlign w:val="center"/>
            <w:hideMark/>
          </w:tcPr>
          <w:p w14:paraId="266D4076"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173813</w:t>
            </w:r>
          </w:p>
        </w:tc>
        <w:tc>
          <w:tcPr>
            <w:tcW w:w="839" w:type="dxa"/>
            <w:tcBorders>
              <w:top w:val="nil"/>
              <w:left w:val="nil"/>
              <w:bottom w:val="single" w:sz="4" w:space="0" w:color="auto"/>
              <w:right w:val="single" w:sz="4" w:space="0" w:color="auto"/>
            </w:tcBorders>
            <w:vAlign w:val="center"/>
            <w:hideMark/>
          </w:tcPr>
          <w:p w14:paraId="484EAC3C"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197682</w:t>
            </w:r>
          </w:p>
        </w:tc>
        <w:tc>
          <w:tcPr>
            <w:tcW w:w="839" w:type="dxa"/>
            <w:tcBorders>
              <w:top w:val="nil"/>
              <w:left w:val="nil"/>
              <w:bottom w:val="single" w:sz="4" w:space="0" w:color="auto"/>
              <w:right w:val="single" w:sz="4" w:space="0" w:color="auto"/>
            </w:tcBorders>
            <w:vAlign w:val="center"/>
            <w:hideMark/>
          </w:tcPr>
          <w:p w14:paraId="0D324A93"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224845</w:t>
            </w:r>
          </w:p>
        </w:tc>
        <w:tc>
          <w:tcPr>
            <w:tcW w:w="839" w:type="dxa"/>
            <w:tcBorders>
              <w:top w:val="nil"/>
              <w:left w:val="nil"/>
              <w:bottom w:val="single" w:sz="4" w:space="0" w:color="auto"/>
              <w:right w:val="single" w:sz="4" w:space="0" w:color="auto"/>
            </w:tcBorders>
            <w:vAlign w:val="center"/>
            <w:hideMark/>
          </w:tcPr>
          <w:p w14:paraId="5D639589"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255758</w:t>
            </w:r>
          </w:p>
        </w:tc>
        <w:tc>
          <w:tcPr>
            <w:tcW w:w="776" w:type="dxa"/>
            <w:tcBorders>
              <w:top w:val="nil"/>
              <w:left w:val="nil"/>
              <w:bottom w:val="single" w:sz="4" w:space="0" w:color="auto"/>
              <w:right w:val="single" w:sz="4" w:space="0" w:color="auto"/>
            </w:tcBorders>
            <w:vAlign w:val="center"/>
            <w:hideMark/>
          </w:tcPr>
          <w:p w14:paraId="506C8215"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290942</w:t>
            </w:r>
          </w:p>
        </w:tc>
        <w:tc>
          <w:tcPr>
            <w:tcW w:w="776" w:type="dxa"/>
            <w:tcBorders>
              <w:top w:val="nil"/>
              <w:left w:val="nil"/>
              <w:bottom w:val="single" w:sz="4" w:space="0" w:color="auto"/>
              <w:right w:val="single" w:sz="4" w:space="0" w:color="auto"/>
            </w:tcBorders>
            <w:vAlign w:val="center"/>
            <w:hideMark/>
          </w:tcPr>
          <w:p w14:paraId="6DC74D3F"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330988</w:t>
            </w:r>
          </w:p>
        </w:tc>
        <w:tc>
          <w:tcPr>
            <w:tcW w:w="856" w:type="dxa"/>
            <w:tcBorders>
              <w:top w:val="nil"/>
              <w:left w:val="nil"/>
              <w:bottom w:val="single" w:sz="4" w:space="0" w:color="auto"/>
              <w:right w:val="single" w:sz="4" w:space="0" w:color="auto"/>
            </w:tcBorders>
            <w:vAlign w:val="center"/>
            <w:hideMark/>
          </w:tcPr>
          <w:p w14:paraId="11EB6020" w14:textId="77777777" w:rsidR="00641D39" w:rsidRPr="00641D39" w:rsidRDefault="00641D39" w:rsidP="00641D39">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641D39">
              <w:rPr>
                <w:rFonts w:ascii="Times New Roman" w:eastAsia="Times New Roman" w:hAnsi="Times New Roman" w:cs="Times New Roman"/>
                <w:color w:val="000000"/>
                <w:kern w:val="0"/>
                <w:sz w:val="16"/>
                <w:szCs w:val="16"/>
                <w:lang w:eastAsia="en-IN" w:bidi="ar-SA"/>
                <w14:ligatures w14:val="none"/>
              </w:rPr>
              <w:t>1300214</w:t>
            </w:r>
          </w:p>
        </w:tc>
      </w:tr>
      <w:tr w:rsidR="006B0DBA" w:rsidRPr="00641D39" w14:paraId="0497FE7C" w14:textId="77777777" w:rsidTr="006B0DBA">
        <w:trPr>
          <w:trHeight w:val="20"/>
          <w:jc w:val="center"/>
        </w:trPr>
        <w:tc>
          <w:tcPr>
            <w:tcW w:w="1468" w:type="dxa"/>
            <w:tcBorders>
              <w:top w:val="nil"/>
              <w:left w:val="single" w:sz="4" w:space="0" w:color="auto"/>
              <w:bottom w:val="single" w:sz="4" w:space="0" w:color="auto"/>
              <w:right w:val="single" w:sz="4" w:space="0" w:color="auto"/>
            </w:tcBorders>
            <w:vAlign w:val="center"/>
            <w:hideMark/>
          </w:tcPr>
          <w:p w14:paraId="04979038" w14:textId="77777777" w:rsidR="00641D39" w:rsidRPr="00641D39" w:rsidRDefault="00641D39" w:rsidP="00641D39">
            <w:pPr>
              <w:spacing w:after="0" w:line="240" w:lineRule="auto"/>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14 Major States</w:t>
            </w:r>
          </w:p>
        </w:tc>
        <w:tc>
          <w:tcPr>
            <w:tcW w:w="838" w:type="dxa"/>
            <w:tcBorders>
              <w:top w:val="nil"/>
              <w:left w:val="nil"/>
              <w:bottom w:val="single" w:sz="4" w:space="0" w:color="auto"/>
              <w:right w:val="single" w:sz="4" w:space="0" w:color="auto"/>
            </w:tcBorders>
            <w:vAlign w:val="center"/>
            <w:hideMark/>
          </w:tcPr>
          <w:p w14:paraId="45846EDD"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2430484</w:t>
            </w:r>
          </w:p>
        </w:tc>
        <w:tc>
          <w:tcPr>
            <w:tcW w:w="839" w:type="dxa"/>
            <w:tcBorders>
              <w:top w:val="nil"/>
              <w:left w:val="nil"/>
              <w:bottom w:val="single" w:sz="4" w:space="0" w:color="auto"/>
              <w:right w:val="single" w:sz="4" w:space="0" w:color="auto"/>
            </w:tcBorders>
            <w:vAlign w:val="center"/>
            <w:hideMark/>
          </w:tcPr>
          <w:p w14:paraId="049DE8CF"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2706131</w:t>
            </w:r>
          </w:p>
        </w:tc>
        <w:tc>
          <w:tcPr>
            <w:tcW w:w="839" w:type="dxa"/>
            <w:tcBorders>
              <w:top w:val="nil"/>
              <w:left w:val="nil"/>
              <w:bottom w:val="single" w:sz="4" w:space="0" w:color="auto"/>
              <w:right w:val="single" w:sz="4" w:space="0" w:color="auto"/>
            </w:tcBorders>
            <w:vAlign w:val="center"/>
            <w:hideMark/>
          </w:tcPr>
          <w:p w14:paraId="38F8FC7B"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3013795</w:t>
            </w:r>
          </w:p>
        </w:tc>
        <w:tc>
          <w:tcPr>
            <w:tcW w:w="839" w:type="dxa"/>
            <w:tcBorders>
              <w:top w:val="nil"/>
              <w:left w:val="nil"/>
              <w:bottom w:val="single" w:sz="4" w:space="0" w:color="auto"/>
              <w:right w:val="single" w:sz="4" w:space="0" w:color="auto"/>
            </w:tcBorders>
            <w:vAlign w:val="center"/>
            <w:hideMark/>
          </w:tcPr>
          <w:p w14:paraId="42FAC5C3"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3357272</w:t>
            </w:r>
          </w:p>
        </w:tc>
        <w:tc>
          <w:tcPr>
            <w:tcW w:w="776" w:type="dxa"/>
            <w:tcBorders>
              <w:top w:val="nil"/>
              <w:left w:val="nil"/>
              <w:bottom w:val="single" w:sz="4" w:space="0" w:color="auto"/>
              <w:right w:val="single" w:sz="4" w:space="0" w:color="auto"/>
            </w:tcBorders>
            <w:vAlign w:val="center"/>
            <w:hideMark/>
          </w:tcPr>
          <w:p w14:paraId="2981A3D5"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3740815</w:t>
            </w:r>
          </w:p>
        </w:tc>
        <w:tc>
          <w:tcPr>
            <w:tcW w:w="776" w:type="dxa"/>
            <w:tcBorders>
              <w:top w:val="nil"/>
              <w:left w:val="nil"/>
              <w:bottom w:val="single" w:sz="4" w:space="0" w:color="auto"/>
              <w:right w:val="single" w:sz="4" w:space="0" w:color="auto"/>
            </w:tcBorders>
            <w:vAlign w:val="center"/>
            <w:hideMark/>
          </w:tcPr>
          <w:p w14:paraId="6D76DB9F"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4169191</w:t>
            </w:r>
          </w:p>
        </w:tc>
        <w:tc>
          <w:tcPr>
            <w:tcW w:w="856" w:type="dxa"/>
            <w:tcBorders>
              <w:top w:val="nil"/>
              <w:left w:val="nil"/>
              <w:bottom w:val="single" w:sz="4" w:space="0" w:color="auto"/>
              <w:right w:val="single" w:sz="4" w:space="0" w:color="auto"/>
            </w:tcBorders>
            <w:vAlign w:val="center"/>
            <w:hideMark/>
          </w:tcPr>
          <w:p w14:paraId="03D45A47" w14:textId="77777777" w:rsidR="00641D39" w:rsidRPr="00641D39" w:rsidRDefault="00641D39" w:rsidP="00641D39">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641D39">
              <w:rPr>
                <w:rFonts w:ascii="Times New Roman" w:eastAsia="Times New Roman" w:hAnsi="Times New Roman" w:cs="Times New Roman"/>
                <w:b/>
                <w:bCs/>
                <w:color w:val="000000"/>
                <w:kern w:val="0"/>
                <w:sz w:val="16"/>
                <w:szCs w:val="16"/>
                <w:lang w:eastAsia="en-IN" w:bidi="ar-SA"/>
                <w14:ligatures w14:val="none"/>
              </w:rPr>
              <w:t>16987204</w:t>
            </w:r>
          </w:p>
        </w:tc>
      </w:tr>
    </w:tbl>
    <w:p w14:paraId="3B5CF2A8" w14:textId="77777777" w:rsidR="003737D4" w:rsidRDefault="003737D4" w:rsidP="00993A96">
      <w:pPr>
        <w:tabs>
          <w:tab w:val="left" w:pos="2805"/>
        </w:tabs>
        <w:jc w:val="right"/>
        <w:rPr>
          <w:rFonts w:ascii="Times New Roman" w:hAnsi="Times New Roman" w:cs="Times New Roman"/>
          <w:sz w:val="18"/>
          <w:szCs w:val="18"/>
        </w:rPr>
      </w:pPr>
    </w:p>
    <w:p w14:paraId="665B231D" w14:textId="77777777" w:rsidR="003737D4" w:rsidRDefault="003737D4" w:rsidP="00993A96">
      <w:pPr>
        <w:tabs>
          <w:tab w:val="left" w:pos="2805"/>
        </w:tabs>
        <w:jc w:val="right"/>
        <w:rPr>
          <w:rFonts w:ascii="Times New Roman" w:hAnsi="Times New Roman" w:cs="Times New Roman"/>
          <w:sz w:val="18"/>
          <w:szCs w:val="18"/>
        </w:rPr>
      </w:pPr>
    </w:p>
    <w:p w14:paraId="416556F6" w14:textId="77777777" w:rsidR="003737D4" w:rsidRPr="003737D4" w:rsidRDefault="003737D4" w:rsidP="00993A96">
      <w:pPr>
        <w:tabs>
          <w:tab w:val="left" w:pos="2805"/>
        </w:tabs>
        <w:jc w:val="right"/>
        <w:rPr>
          <w:rFonts w:ascii="Times New Roman" w:hAnsi="Times New Roman" w:cs="Times New Roman"/>
          <w:sz w:val="18"/>
          <w:szCs w:val="18"/>
        </w:rPr>
      </w:pPr>
    </w:p>
    <w:p w14:paraId="4CC72A2E" w14:textId="307AAED8" w:rsidR="00294D85" w:rsidRPr="00064A1C" w:rsidRDefault="003737D4" w:rsidP="005069B2">
      <w:pPr>
        <w:pStyle w:val="Heading5"/>
        <w:rPr>
          <w:szCs w:val="24"/>
        </w:rPr>
      </w:pPr>
      <w:r>
        <w:rPr>
          <w:szCs w:val="24"/>
        </w:rPr>
        <w:br w:type="page"/>
      </w:r>
      <w:r w:rsidR="005069B2">
        <w:lastRenderedPageBreak/>
        <w:t xml:space="preserve"> </w:t>
      </w:r>
      <w:r w:rsidR="00064A1C">
        <w:br/>
      </w:r>
      <w:bookmarkStart w:id="140" w:name="_Toc222399518"/>
      <w:r w:rsidR="00294D85" w:rsidRPr="00AA6AF4">
        <w:t>ESTIMATION OF NON-PLAN REVENUE EXPENDITURENEEDS OF THE STATE</w:t>
      </w:r>
      <w:bookmarkEnd w:id="140"/>
    </w:p>
    <w:p w14:paraId="0FAA1622" w14:textId="2C2973D9" w:rsidR="00294D85" w:rsidRPr="00AA6AF4" w:rsidRDefault="00294D85" w:rsidP="005069B2">
      <w:pPr>
        <w:pStyle w:val="Heading6"/>
        <w:keepNext w:val="0"/>
        <w:keepLines w:val="0"/>
        <w:spacing w:before="0" w:line="240" w:lineRule="auto"/>
        <w:ind w:left="0" w:firstLine="284"/>
      </w:pPr>
      <w:r w:rsidRPr="00AA6AF4">
        <w:t>An important step in the operationalisation of the normative approach is the estimation of non-Plan revenue expenditure needs of the States. It basically involves the quantification of units of public services provided and the cost per unit of provision. The characteristics of non-excludability and non-marketability of public goods, however, make it difficult to assess the demand for and the supply of those goods and pose serious problems of quantification. The attempts to estimate public services, therefore, have employed measures of inputs utilised for their provision as proxies for the output of public services. This note outlines the approach and the methodology adopted by the Commission to estimate the expenditure needs of the States for the years 1990-91 to 1994-95.</w:t>
      </w:r>
    </w:p>
    <w:p w14:paraId="0B1FCDA7" w14:textId="61A112D4" w:rsidR="00294D85" w:rsidRPr="00AA6AF4" w:rsidRDefault="00294D85" w:rsidP="005069B2">
      <w:pPr>
        <w:pStyle w:val="Heading6"/>
        <w:keepNext w:val="0"/>
        <w:keepLines w:val="0"/>
        <w:spacing w:before="0" w:line="240" w:lineRule="auto"/>
        <w:ind w:left="0" w:firstLine="284"/>
      </w:pPr>
      <w:r w:rsidRPr="00AA6AF4">
        <w:t>Estimation of non-Plan revenue expenditure needs calls for the computation for the base year 1989-90, followed by projections for the period of our recommendation, 1990-91 to 1994-95.</w:t>
      </w:r>
    </w:p>
    <w:p w14:paraId="5E213517" w14:textId="77777777" w:rsidR="00294D85" w:rsidRPr="003737D4" w:rsidRDefault="00294D85" w:rsidP="005069B2">
      <w:pPr>
        <w:tabs>
          <w:tab w:val="left" w:pos="2805"/>
        </w:tabs>
        <w:spacing w:line="240" w:lineRule="auto"/>
        <w:jc w:val="center"/>
        <w:rPr>
          <w:rFonts w:ascii="Times New Roman" w:hAnsi="Times New Roman" w:cs="Times New Roman"/>
          <w:sz w:val="20"/>
          <w:szCs w:val="20"/>
        </w:rPr>
      </w:pPr>
      <w:r w:rsidRPr="003737D4">
        <w:rPr>
          <w:rFonts w:ascii="Times New Roman" w:hAnsi="Times New Roman" w:cs="Times New Roman"/>
          <w:b/>
          <w:bCs/>
          <w:sz w:val="20"/>
          <w:szCs w:val="20"/>
        </w:rPr>
        <w:t>Definition And Scope</w:t>
      </w:r>
    </w:p>
    <w:p w14:paraId="3AFEA0C0" w14:textId="5D29DECA" w:rsidR="00294D85" w:rsidRPr="00AA6AF4" w:rsidRDefault="00294D85" w:rsidP="005069B2">
      <w:pPr>
        <w:pStyle w:val="Heading6"/>
        <w:keepNext w:val="0"/>
        <w:keepLines w:val="0"/>
        <w:spacing w:before="0" w:line="240" w:lineRule="auto"/>
        <w:ind w:left="0" w:firstLine="284"/>
      </w:pPr>
      <w:r w:rsidRPr="00AA6AF4">
        <w:t>The principles of estimating non-Plan and Plan expenditures have to be different and, therefore, it is necessary to treat them separately in the exercise of normative assessment. This note deals only with the estimation of the non-Plan revenue expenditure needs of the States.</w:t>
      </w:r>
    </w:p>
    <w:p w14:paraId="5569C715" w14:textId="0818417C" w:rsidR="00294D85" w:rsidRPr="00AA6AF4" w:rsidRDefault="00294D85" w:rsidP="005069B2">
      <w:pPr>
        <w:pStyle w:val="Heading6"/>
        <w:keepNext w:val="0"/>
        <w:keepLines w:val="0"/>
        <w:spacing w:before="0" w:line="240" w:lineRule="auto"/>
        <w:ind w:left="0" w:firstLine="284"/>
      </w:pPr>
      <w:r w:rsidRPr="00AA6AF4">
        <w:t>While setting out the broad approach of the Commission for the normative assessment of non-Plan revenue expenditure of the States, the need for distinguishing between developmental and non-developmental heads was indicated in the first report</w:t>
      </w:r>
      <w:r w:rsidR="00C92940" w:rsidRPr="00AA6AF4">
        <w:t>.</w:t>
      </w:r>
      <w:r w:rsidRPr="00AA6AF4">
        <w:t xml:space="preserve"> Expenditure needs under administrative and general services are to be assessed on the basis of the justifiable costs of providing the average standards of these services. Expenditure on social and economic services are to be determined on the basis of the justifiable costs of provision of the physical standards of services already attained in the States.</w:t>
      </w:r>
    </w:p>
    <w:p w14:paraId="56074898" w14:textId="24287A33" w:rsidR="00294D85" w:rsidRPr="00AA6AF4" w:rsidRDefault="00294D85" w:rsidP="005069B2">
      <w:pPr>
        <w:pStyle w:val="Heading6"/>
        <w:keepNext w:val="0"/>
        <w:keepLines w:val="0"/>
        <w:spacing w:before="0" w:line="240" w:lineRule="auto"/>
        <w:ind w:left="0" w:firstLine="284"/>
      </w:pPr>
      <w:r w:rsidRPr="00AA6AF4">
        <w:t xml:space="preserve">For the purpose of assessment, non-Plan revenue expenditures are further classified into three </w:t>
      </w:r>
      <w:proofErr w:type="gramStart"/>
      <w:r w:rsidRPr="00AA6AF4">
        <w:t>categories :</w:t>
      </w:r>
      <w:proofErr w:type="gramEnd"/>
    </w:p>
    <w:p w14:paraId="7078D27F" w14:textId="77777777" w:rsidR="00294D85" w:rsidRPr="003737D4" w:rsidRDefault="00294D85" w:rsidP="005069B2">
      <w:pPr>
        <w:tabs>
          <w:tab w:val="left" w:pos="2805"/>
        </w:tabs>
        <w:spacing w:after="0" w:line="240" w:lineRule="auto"/>
        <w:ind w:left="567"/>
        <w:jc w:val="both"/>
        <w:rPr>
          <w:rFonts w:ascii="Times New Roman" w:hAnsi="Times New Roman" w:cs="Times New Roman"/>
          <w:sz w:val="18"/>
          <w:szCs w:val="18"/>
        </w:rPr>
      </w:pPr>
      <w:r w:rsidRPr="003737D4">
        <w:rPr>
          <w:rFonts w:ascii="Times New Roman" w:hAnsi="Times New Roman" w:cs="Times New Roman"/>
          <w:sz w:val="18"/>
          <w:szCs w:val="18"/>
        </w:rPr>
        <w:t>(</w:t>
      </w:r>
      <w:proofErr w:type="spellStart"/>
      <w:r w:rsidRPr="003737D4">
        <w:rPr>
          <w:rFonts w:ascii="Times New Roman" w:hAnsi="Times New Roman" w:cs="Times New Roman"/>
          <w:sz w:val="18"/>
          <w:szCs w:val="18"/>
        </w:rPr>
        <w:t>i</w:t>
      </w:r>
      <w:proofErr w:type="spellEnd"/>
      <w:r w:rsidRPr="003737D4">
        <w:rPr>
          <w:rFonts w:ascii="Times New Roman" w:hAnsi="Times New Roman" w:cs="Times New Roman"/>
          <w:sz w:val="18"/>
          <w:szCs w:val="18"/>
        </w:rPr>
        <w:t>) Those regular and recurring items of revenue expenditures on which form a substantial proportion of total expenditure. In their case, interdependence between capital and revenue expenditure is weak. The standards of services provided can be approximated by analysing their past revenue expenditure and the cost functions generated.</w:t>
      </w:r>
    </w:p>
    <w:p w14:paraId="663045D3" w14:textId="4444D476" w:rsidR="00294D85" w:rsidRPr="003737D4" w:rsidRDefault="00294D85" w:rsidP="005069B2">
      <w:pPr>
        <w:tabs>
          <w:tab w:val="left" w:pos="2805"/>
        </w:tabs>
        <w:spacing w:after="0" w:line="240" w:lineRule="auto"/>
        <w:ind w:left="567"/>
        <w:jc w:val="both"/>
        <w:rPr>
          <w:rFonts w:ascii="Times New Roman" w:hAnsi="Times New Roman" w:cs="Times New Roman"/>
          <w:sz w:val="18"/>
          <w:szCs w:val="18"/>
        </w:rPr>
      </w:pPr>
      <w:r w:rsidRPr="003737D4">
        <w:rPr>
          <w:rFonts w:ascii="Times New Roman" w:hAnsi="Times New Roman" w:cs="Times New Roman"/>
          <w:sz w:val="18"/>
          <w:szCs w:val="18"/>
        </w:rPr>
        <w:t xml:space="preserve">(ii) Those items of </w:t>
      </w:r>
      <w:r w:rsidR="00C92940" w:rsidRPr="003737D4">
        <w:rPr>
          <w:rFonts w:ascii="Times New Roman" w:hAnsi="Times New Roman" w:cs="Times New Roman"/>
          <w:sz w:val="18"/>
          <w:szCs w:val="18"/>
        </w:rPr>
        <w:t>expenditure revenue expenditure on</w:t>
      </w:r>
      <w:r w:rsidRPr="003737D4">
        <w:rPr>
          <w:rFonts w:ascii="Times New Roman" w:hAnsi="Times New Roman" w:cs="Times New Roman"/>
          <w:sz w:val="18"/>
          <w:szCs w:val="18"/>
        </w:rPr>
        <w:t xml:space="preserve"> which depend primarily upon the existing stocks, physical or financial. In the case of some physical assets, like roads, buildings and irrigation works, for example, it is appropriate to use suitable maintenance (engineering) norms. Similarly, interest payments depend upon the outstanding borrowings of the States and the effective rate of interest applicable thereon.</w:t>
      </w:r>
    </w:p>
    <w:p w14:paraId="64F39ADF" w14:textId="136E13E5" w:rsidR="00294D85" w:rsidRPr="003737D4" w:rsidRDefault="00294D85" w:rsidP="005069B2">
      <w:pPr>
        <w:tabs>
          <w:tab w:val="left" w:pos="2805"/>
        </w:tabs>
        <w:spacing w:after="0" w:line="240" w:lineRule="auto"/>
        <w:ind w:left="567"/>
        <w:jc w:val="both"/>
        <w:rPr>
          <w:rFonts w:ascii="Times New Roman" w:hAnsi="Times New Roman" w:cs="Times New Roman"/>
          <w:sz w:val="18"/>
          <w:szCs w:val="18"/>
        </w:rPr>
      </w:pPr>
      <w:r w:rsidRPr="003737D4">
        <w:rPr>
          <w:rFonts w:ascii="Times New Roman" w:hAnsi="Times New Roman" w:cs="Times New Roman"/>
          <w:sz w:val="18"/>
          <w:szCs w:val="18"/>
        </w:rPr>
        <w:t xml:space="preserve">(iii) Those items of expenditure which cannot be assessed on the basis of statistical analysis or engineering </w:t>
      </w:r>
      <w:r w:rsidR="00C92940" w:rsidRPr="003737D4">
        <w:rPr>
          <w:rFonts w:ascii="Times New Roman" w:hAnsi="Times New Roman" w:cs="Times New Roman"/>
          <w:sz w:val="18"/>
          <w:szCs w:val="18"/>
        </w:rPr>
        <w:t>norms but</w:t>
      </w:r>
      <w:r w:rsidRPr="003737D4">
        <w:rPr>
          <w:rFonts w:ascii="Times New Roman" w:hAnsi="Times New Roman" w:cs="Times New Roman"/>
          <w:sz w:val="18"/>
          <w:szCs w:val="18"/>
        </w:rPr>
        <w:t xml:space="preserve"> have to be reckoned on actual basis or on the basis of broad judgement. Expenditures on elections, on pensions and retirement benefits, on scheduled castes and tribes on relief and rehabilitation of displaced persons and on relief on account of natural calamities fall into this category.</w:t>
      </w:r>
    </w:p>
    <w:p w14:paraId="70895A70" w14:textId="35EA9337" w:rsidR="00294D85" w:rsidRPr="00AA6AF4" w:rsidRDefault="00294D85" w:rsidP="005069B2">
      <w:pPr>
        <w:pStyle w:val="Heading6"/>
        <w:keepNext w:val="0"/>
        <w:keepLines w:val="0"/>
        <w:spacing w:before="0" w:line="240" w:lineRule="auto"/>
        <w:ind w:left="0" w:firstLine="284"/>
      </w:pPr>
      <w:r w:rsidRPr="00AA6AF4">
        <w:t> Normative expenditures can be determined on the basis of cost functions only for the first category. As regards the other two, the earlier Finance Commissions have developed a satisfactory methodology which we have adopted. The details of estimation of expenditure needs under these items are given in Chapter III of the report. Estimation procedures of the cost functions for the first category are detailed below.</w:t>
      </w:r>
    </w:p>
    <w:p w14:paraId="605F7D70" w14:textId="77777777" w:rsidR="00294D85" w:rsidRPr="003737D4" w:rsidRDefault="00294D85" w:rsidP="005069B2">
      <w:pPr>
        <w:tabs>
          <w:tab w:val="left" w:pos="2805"/>
        </w:tabs>
        <w:spacing w:line="240" w:lineRule="auto"/>
        <w:jc w:val="center"/>
        <w:rPr>
          <w:rFonts w:ascii="Times New Roman" w:hAnsi="Times New Roman" w:cs="Times New Roman"/>
          <w:sz w:val="20"/>
          <w:szCs w:val="20"/>
        </w:rPr>
      </w:pPr>
      <w:r w:rsidRPr="003737D4">
        <w:rPr>
          <w:rFonts w:ascii="Times New Roman" w:hAnsi="Times New Roman" w:cs="Times New Roman"/>
          <w:b/>
          <w:bCs/>
          <w:sz w:val="20"/>
          <w:szCs w:val="20"/>
        </w:rPr>
        <w:t>Conceptual Issues</w:t>
      </w:r>
    </w:p>
    <w:p w14:paraId="4A5C0A2D" w14:textId="027BF7A7" w:rsidR="00294D85" w:rsidRPr="00AA6AF4" w:rsidRDefault="00294D85" w:rsidP="005069B2">
      <w:pPr>
        <w:pStyle w:val="Heading6"/>
        <w:keepNext w:val="0"/>
        <w:keepLines w:val="0"/>
        <w:spacing w:before="0" w:line="240" w:lineRule="auto"/>
        <w:ind w:left="0" w:firstLine="284"/>
      </w:pPr>
      <w:r w:rsidRPr="00AA6AF4">
        <w:t xml:space="preserve"> The basic identity involved </w:t>
      </w:r>
      <w:proofErr w:type="gramStart"/>
      <w:r w:rsidRPr="00AA6AF4">
        <w:t>is :</w:t>
      </w:r>
      <w:proofErr w:type="gramEnd"/>
    </w:p>
    <w:p w14:paraId="47FF4E0B" w14:textId="50E625FE" w:rsidR="00294D85" w:rsidRPr="0083546B" w:rsidRDefault="006C45BA" w:rsidP="005069B2">
      <w:pPr>
        <w:tabs>
          <w:tab w:val="left" w:pos="2805"/>
        </w:tabs>
        <w:spacing w:line="240" w:lineRule="auto"/>
        <w:jc w:val="both"/>
        <w:rPr>
          <w:rFonts w:ascii="Times New Roman" w:hAnsi="Times New Roman" w:cs="Times New Roman"/>
          <w:sz w:val="18"/>
          <w:szCs w:val="18"/>
        </w:rPr>
      </w:pPr>
      <m:oMathPara>
        <m:oMath>
          <m:m>
            <m:mPr>
              <m:plcHide m:val="1"/>
              <m:mcs>
                <m:mc>
                  <m:mcPr>
                    <m:count m:val="4"/>
                    <m:mcJc m:val="center"/>
                  </m:mcPr>
                </m:mc>
              </m:mcs>
              <m:ctrlPr>
                <w:rPr>
                  <w:rFonts w:ascii="Cambria Math" w:hAnsi="Cambria Math" w:cs="Times New Roman"/>
                  <w:sz w:val="18"/>
                  <w:szCs w:val="18"/>
                </w:rPr>
              </m:ctrlPr>
            </m:mPr>
            <m:mr>
              <m:e/>
              <m:e>
                <m:sSub>
                  <m:sSubPr>
                    <m:ctrlPr>
                      <w:rPr>
                        <w:rFonts w:ascii="Cambria Math" w:hAnsi="Cambria Math" w:cs="Times New Roman"/>
                        <w:sz w:val="18"/>
                        <w:szCs w:val="18"/>
                      </w:rPr>
                    </m:ctrlPr>
                  </m:sSubPr>
                  <m:e>
                    <m:r>
                      <w:rPr>
                        <w:rFonts w:ascii="Cambria Math" w:hAnsi="Cambria Math" w:cs="Times New Roman"/>
                        <w:sz w:val="18"/>
                        <w:szCs w:val="18"/>
                      </w:rPr>
                      <m:t>E</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Q</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i</m:t>
                    </m:r>
                  </m:sub>
                </m:sSub>
              </m:e>
              <m:e/>
              <m:e>
                <m:r>
                  <m:rPr>
                    <m:nor/>
                  </m:rPr>
                  <w:rPr>
                    <w:rFonts w:ascii="Times New Roman" w:hAnsi="Times New Roman" w:cs="Times New Roman"/>
                    <w:sz w:val="18"/>
                    <w:szCs w:val="18"/>
                  </w:rPr>
                  <m:t>(i)</m:t>
                </m:r>
              </m:e>
            </m:mr>
          </m:m>
        </m:oMath>
      </m:oMathPara>
    </w:p>
    <w:p w14:paraId="000EC3F8" w14:textId="77B96268" w:rsidR="00294D85" w:rsidRPr="0083546B" w:rsidRDefault="00294D85" w:rsidP="005069B2">
      <w:pPr>
        <w:tabs>
          <w:tab w:val="left" w:pos="2805"/>
        </w:tabs>
        <w:spacing w:line="240" w:lineRule="auto"/>
        <w:rPr>
          <w:rFonts w:ascii="Times New Roman" w:hAnsi="Times New Roman" w:cs="Times New Roman"/>
          <w:sz w:val="18"/>
          <w:szCs w:val="18"/>
        </w:rPr>
      </w:pPr>
      <w:r w:rsidRPr="0083546B">
        <w:rPr>
          <w:rFonts w:ascii="Times New Roman" w:hAnsi="Times New Roman" w:cs="Times New Roman"/>
          <w:sz w:val="18"/>
          <w:szCs w:val="18"/>
        </w:rPr>
        <w:t>where,</w:t>
      </w:r>
      <m:oMath>
        <m:sSub>
          <m:sSubPr>
            <m:ctrlPr>
              <w:rPr>
                <w:rFonts w:ascii="Cambria Math" w:hAnsi="Cambria Math" w:cs="Times New Roman"/>
                <w:sz w:val="18"/>
                <w:szCs w:val="18"/>
              </w:rPr>
            </m:ctrlPr>
          </m:sSubPr>
          <m:e>
            <m:r>
              <w:rPr>
                <w:rFonts w:ascii="Cambria Math" w:hAnsi="Cambria Math" w:cs="Times New Roman"/>
                <w:sz w:val="18"/>
                <w:szCs w:val="18"/>
              </w:rPr>
              <m:t>E</m:t>
            </m:r>
          </m:e>
          <m:sub>
            <m:r>
              <w:rPr>
                <w:rFonts w:ascii="Cambria Math" w:hAnsi="Cambria Math" w:cs="Times New Roman"/>
                <w:sz w:val="18"/>
                <w:szCs w:val="18"/>
              </w:rPr>
              <m:t>i</m:t>
            </m:r>
          </m:sub>
        </m:sSub>
      </m:oMath>
      <w:r w:rsidRPr="0083546B">
        <w:rPr>
          <w:rFonts w:ascii="Times New Roman" w:hAnsi="Times New Roman" w:cs="Times New Roman"/>
          <w:sz w:val="18"/>
          <w:szCs w:val="18"/>
        </w:rPr>
        <w:t>represents the expenditure incurred,</w:t>
      </w:r>
      <m:oMath>
        <m:sSub>
          <m:sSubPr>
            <m:ctrlPr>
              <w:rPr>
                <w:rFonts w:ascii="Cambria Math" w:hAnsi="Cambria Math" w:cs="Times New Roman"/>
                <w:sz w:val="18"/>
                <w:szCs w:val="18"/>
              </w:rPr>
            </m:ctrlPr>
          </m:sSubPr>
          <m:e>
            <m:r>
              <w:rPr>
                <w:rFonts w:ascii="Cambria Math" w:hAnsi="Cambria Math" w:cs="Times New Roman"/>
                <w:sz w:val="18"/>
                <w:szCs w:val="18"/>
              </w:rPr>
              <m:t>Q</m:t>
            </m:r>
          </m:e>
          <m:sub>
            <m:r>
              <w:rPr>
                <w:rFonts w:ascii="Cambria Math" w:hAnsi="Cambria Math" w:cs="Times New Roman"/>
                <w:sz w:val="18"/>
                <w:szCs w:val="18"/>
              </w:rPr>
              <m:t>i</m:t>
            </m:r>
          </m:sub>
        </m:sSub>
      </m:oMath>
      <w:r w:rsidRPr="0083546B">
        <w:rPr>
          <w:rFonts w:ascii="Times New Roman" w:hAnsi="Times New Roman" w:cs="Times New Roman"/>
          <w:sz w:val="18"/>
          <w:szCs w:val="18"/>
        </w:rPr>
        <w:t>the units of services provided and</w:t>
      </w:r>
      <m:oMath>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i</m:t>
            </m:r>
          </m:sub>
        </m:sSub>
      </m:oMath>
      <w:r w:rsidRPr="0083546B">
        <w:rPr>
          <w:rFonts w:ascii="Times New Roman" w:hAnsi="Times New Roman" w:cs="Times New Roman"/>
          <w:sz w:val="18"/>
          <w:szCs w:val="18"/>
        </w:rPr>
        <w:t>the cost per unit of providing the services in the ith State.</w:t>
      </w:r>
    </w:p>
    <w:p w14:paraId="57FDA80F" w14:textId="033DAD26" w:rsidR="00294D85" w:rsidRPr="0083546B" w:rsidRDefault="00294D85" w:rsidP="005069B2">
      <w:pPr>
        <w:tabs>
          <w:tab w:val="left" w:pos="2805"/>
        </w:tabs>
        <w:spacing w:line="240" w:lineRule="auto"/>
        <w:jc w:val="both"/>
        <w:rPr>
          <w:rFonts w:ascii="Times New Roman" w:hAnsi="Times New Roman" w:cs="Times New Roman"/>
          <w:sz w:val="18"/>
          <w:szCs w:val="18"/>
        </w:rPr>
      </w:pPr>
      <w:r w:rsidRPr="0083546B">
        <w:rPr>
          <w:rFonts w:ascii="Times New Roman" w:hAnsi="Times New Roman" w:cs="Times New Roman"/>
          <w:sz w:val="18"/>
          <w:szCs w:val="18"/>
        </w:rPr>
        <w:t>The unit cost of providing the services is determined by factors within the control of the State Government, </w:t>
      </w:r>
      <m:oMath>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1i</m:t>
            </m:r>
          </m:sub>
        </m:sSub>
      </m:oMath>
      <w:r w:rsidRPr="0083546B">
        <w:rPr>
          <w:rFonts w:ascii="Times New Roman" w:hAnsi="Times New Roman" w:cs="Times New Roman"/>
          <w:sz w:val="18"/>
          <w:szCs w:val="18"/>
        </w:rPr>
        <w:t>, and those beyond their control, </w:t>
      </w:r>
      <m:oMath>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2i</m:t>
            </m:r>
          </m:sub>
        </m:sSub>
      </m:oMath>
      <w:r w:rsidRPr="0083546B">
        <w:rPr>
          <w:rFonts w:ascii="Times New Roman" w:hAnsi="Times New Roman" w:cs="Times New Roman"/>
          <w:sz w:val="18"/>
          <w:szCs w:val="18"/>
        </w:rPr>
        <w:t xml:space="preserve">. The identity can, therefore, be restated </w:t>
      </w:r>
      <w:proofErr w:type="gramStart"/>
      <w:r w:rsidRPr="0083546B">
        <w:rPr>
          <w:rFonts w:ascii="Times New Roman" w:hAnsi="Times New Roman" w:cs="Times New Roman"/>
          <w:sz w:val="18"/>
          <w:szCs w:val="18"/>
        </w:rPr>
        <w:t>as :</w:t>
      </w:r>
      <w:proofErr w:type="gramEnd"/>
    </w:p>
    <w:p w14:paraId="39252868" w14:textId="38B00048" w:rsidR="00294D85" w:rsidRPr="0083546B" w:rsidRDefault="006C45BA" w:rsidP="005069B2">
      <w:pPr>
        <w:tabs>
          <w:tab w:val="left" w:pos="2805"/>
        </w:tabs>
        <w:spacing w:line="240" w:lineRule="auto"/>
        <w:jc w:val="both"/>
        <w:rPr>
          <w:rFonts w:ascii="Times New Roman" w:hAnsi="Times New Roman" w:cs="Times New Roman"/>
          <w:sz w:val="18"/>
          <w:szCs w:val="18"/>
        </w:rPr>
      </w:pPr>
      <m:oMathPara>
        <m:oMath>
          <m:m>
            <m:mPr>
              <m:plcHide m:val="1"/>
              <m:mcs>
                <m:mc>
                  <m:mcPr>
                    <m:count m:val="4"/>
                    <m:mcJc m:val="center"/>
                  </m:mcPr>
                </m:mc>
              </m:mcs>
              <m:ctrlPr>
                <w:rPr>
                  <w:rFonts w:ascii="Cambria Math" w:hAnsi="Cambria Math" w:cs="Times New Roman"/>
                  <w:sz w:val="18"/>
                  <w:szCs w:val="18"/>
                </w:rPr>
              </m:ctrlPr>
            </m:mPr>
            <m:mr>
              <m:e/>
              <m:e>
                <m:sSub>
                  <m:sSubPr>
                    <m:ctrlPr>
                      <w:rPr>
                        <w:rFonts w:ascii="Cambria Math" w:hAnsi="Cambria Math" w:cs="Times New Roman"/>
                        <w:sz w:val="18"/>
                        <w:szCs w:val="18"/>
                      </w:rPr>
                    </m:ctrlPr>
                  </m:sSubPr>
                  <m:e>
                    <m:r>
                      <w:rPr>
                        <w:rFonts w:ascii="Cambria Math" w:hAnsi="Cambria Math" w:cs="Times New Roman"/>
                        <w:sz w:val="18"/>
                        <w:szCs w:val="18"/>
                      </w:rPr>
                      <m:t>E</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Q</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1i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2i</m:t>
                    </m:r>
                  </m:sub>
                </m:sSub>
                <m:r>
                  <w:rPr>
                    <w:rFonts w:ascii="Cambria Math" w:hAnsi="Cambria Math" w:cs="Times New Roman"/>
                    <w:sz w:val="18"/>
                    <w:szCs w:val="18"/>
                  </w:rPr>
                  <m:t>)</m:t>
                </m:r>
              </m:e>
              <m:e/>
              <m:e>
                <m:r>
                  <m:rPr>
                    <m:nor/>
                  </m:rPr>
                  <w:rPr>
                    <w:rFonts w:ascii="Times New Roman" w:hAnsi="Times New Roman" w:cs="Times New Roman"/>
                    <w:sz w:val="18"/>
                    <w:szCs w:val="18"/>
                  </w:rPr>
                  <m:t>(ii)</m:t>
                </m:r>
              </m:e>
            </m:mr>
          </m:m>
        </m:oMath>
      </m:oMathPara>
    </w:p>
    <w:p w14:paraId="17387550" w14:textId="32EE6046" w:rsidR="00294D85" w:rsidRPr="0083546B" w:rsidRDefault="00294D85" w:rsidP="005069B2">
      <w:pPr>
        <w:tabs>
          <w:tab w:val="left" w:pos="2805"/>
        </w:tabs>
        <w:spacing w:line="240" w:lineRule="auto"/>
        <w:jc w:val="both"/>
        <w:rPr>
          <w:rFonts w:ascii="Times New Roman" w:hAnsi="Times New Roman" w:cs="Times New Roman"/>
          <w:sz w:val="18"/>
          <w:szCs w:val="18"/>
        </w:rPr>
      </w:pPr>
      <w:r w:rsidRPr="0083546B">
        <w:rPr>
          <w:rFonts w:ascii="Times New Roman" w:hAnsi="Times New Roman" w:cs="Times New Roman"/>
          <w:sz w:val="18"/>
          <w:szCs w:val="18"/>
        </w:rPr>
        <w:t>The normative expenditure, </w:t>
      </w:r>
      <m:oMath>
        <m:sSub>
          <m:sSubPr>
            <m:ctrlPr>
              <w:rPr>
                <w:rFonts w:ascii="Cambria Math" w:hAnsi="Cambria Math" w:cs="Times New Roman"/>
                <w:sz w:val="18"/>
                <w:szCs w:val="18"/>
              </w:rPr>
            </m:ctrlPr>
          </m:sSubPr>
          <m:e>
            <m:r>
              <w:rPr>
                <w:rFonts w:ascii="Cambria Math" w:hAnsi="Cambria Math" w:cs="Times New Roman"/>
                <w:sz w:val="18"/>
                <w:szCs w:val="18"/>
              </w:rPr>
              <m:t>E</m:t>
            </m:r>
          </m:e>
          <m:sub>
            <m:r>
              <w:rPr>
                <w:rFonts w:ascii="Cambria Math" w:hAnsi="Cambria Math" w:cs="Times New Roman"/>
                <w:sz w:val="18"/>
                <w:szCs w:val="18"/>
              </w:rPr>
              <m:t>i</m:t>
            </m:r>
          </m:sub>
        </m:sSub>
      </m:oMath>
      <w:r w:rsidRPr="0083546B">
        <w:rPr>
          <w:rFonts w:ascii="Times New Roman" w:hAnsi="Times New Roman" w:cs="Times New Roman"/>
          <w:sz w:val="18"/>
          <w:szCs w:val="18"/>
        </w:rPr>
        <w:t xml:space="preserve"> , for a State i on general services has been defined </w:t>
      </w:r>
      <w:proofErr w:type="gramStart"/>
      <w:r w:rsidRPr="0083546B">
        <w:rPr>
          <w:rFonts w:ascii="Times New Roman" w:hAnsi="Times New Roman" w:cs="Times New Roman"/>
          <w:sz w:val="18"/>
          <w:szCs w:val="18"/>
        </w:rPr>
        <w:t>as :</w:t>
      </w:r>
      <w:proofErr w:type="gramEnd"/>
    </w:p>
    <w:p w14:paraId="6BF92E2A" w14:textId="1BA54D8E" w:rsidR="00294D85" w:rsidRPr="0083546B" w:rsidRDefault="006C45BA" w:rsidP="005069B2">
      <w:pPr>
        <w:tabs>
          <w:tab w:val="left" w:pos="2805"/>
        </w:tabs>
        <w:spacing w:line="240" w:lineRule="auto"/>
        <w:jc w:val="both"/>
        <w:rPr>
          <w:rFonts w:ascii="Times New Roman" w:hAnsi="Times New Roman" w:cs="Times New Roman"/>
          <w:sz w:val="18"/>
          <w:szCs w:val="18"/>
        </w:rPr>
      </w:pPr>
      <m:oMathPara>
        <m:oMath>
          <m:m>
            <m:mPr>
              <m:plcHide m:val="1"/>
              <m:mcs>
                <m:mc>
                  <m:mcPr>
                    <m:count m:val="4"/>
                    <m:mcJc m:val="center"/>
                  </m:mcPr>
                </m:mc>
              </m:mcs>
              <m:ctrlPr>
                <w:rPr>
                  <w:rFonts w:ascii="Cambria Math" w:hAnsi="Cambria Math" w:cs="Times New Roman"/>
                  <w:sz w:val="18"/>
                  <w:szCs w:val="18"/>
                </w:rPr>
              </m:ctrlPr>
            </m:mPr>
            <m:mr>
              <m:e/>
              <m:e>
                <m:r>
                  <w:rPr>
                    <w:rFonts w:ascii="Cambria Math" w:hAnsi="Cambria Math" w:cs="Times New Roman"/>
                    <w:sz w:val="18"/>
                    <w:szCs w:val="18"/>
                  </w:rPr>
                  <m:t>Ēi=</m:t>
                </m:r>
                <m:acc>
                  <m:accPr>
                    <m:chr m:val="ˉ"/>
                    <m:ctrlPr>
                      <w:rPr>
                        <w:rFonts w:ascii="Cambria Math" w:hAnsi="Cambria Math" w:cs="Times New Roman"/>
                        <w:sz w:val="18"/>
                        <w:szCs w:val="18"/>
                      </w:rPr>
                    </m:ctrlPr>
                  </m:accPr>
                  <m:e>
                    <m:r>
                      <w:rPr>
                        <w:rFonts w:ascii="Cambria Math" w:hAnsi="Cambria Math" w:cs="Times New Roman"/>
                        <w:sz w:val="18"/>
                        <w:szCs w:val="18"/>
                      </w:rPr>
                      <m:t>Q</m:t>
                    </m:r>
                  </m:e>
                </m:acc>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1i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2i</m:t>
                    </m:r>
                  </m:sub>
                </m:sSub>
                <m:r>
                  <w:rPr>
                    <w:rFonts w:ascii="Cambria Math" w:hAnsi="Cambria Math" w:cs="Times New Roman"/>
                    <w:sz w:val="18"/>
                    <w:szCs w:val="18"/>
                  </w:rPr>
                  <m:t>)</m:t>
                </m:r>
              </m:e>
              <m:e/>
              <m:e>
                <m:r>
                  <m:rPr>
                    <m:nor/>
                  </m:rPr>
                  <w:rPr>
                    <w:rFonts w:ascii="Times New Roman" w:hAnsi="Times New Roman" w:cs="Times New Roman"/>
                    <w:sz w:val="18"/>
                    <w:szCs w:val="18"/>
                  </w:rPr>
                  <m:t>(iii)</m:t>
                </m:r>
              </m:e>
            </m:mr>
          </m:m>
        </m:oMath>
      </m:oMathPara>
    </w:p>
    <w:p w14:paraId="516CF2A0" w14:textId="77777777" w:rsidR="00294D85" w:rsidRPr="0083546B" w:rsidRDefault="00294D85" w:rsidP="005069B2">
      <w:pPr>
        <w:tabs>
          <w:tab w:val="left" w:pos="2805"/>
        </w:tabs>
        <w:spacing w:after="0" w:line="240" w:lineRule="auto"/>
        <w:jc w:val="both"/>
        <w:rPr>
          <w:rFonts w:ascii="Times New Roman" w:hAnsi="Times New Roman" w:cs="Times New Roman"/>
          <w:sz w:val="18"/>
          <w:szCs w:val="18"/>
        </w:rPr>
      </w:pPr>
      <w:r w:rsidRPr="0083546B">
        <w:rPr>
          <w:rFonts w:ascii="Times New Roman" w:hAnsi="Times New Roman" w:cs="Times New Roman"/>
          <w:sz w:val="18"/>
          <w:szCs w:val="18"/>
        </w:rPr>
        <w:t xml:space="preserve">and for social and economic services, </w:t>
      </w:r>
      <w:proofErr w:type="gramStart"/>
      <w:r w:rsidRPr="0083546B">
        <w:rPr>
          <w:rFonts w:ascii="Times New Roman" w:hAnsi="Times New Roman" w:cs="Times New Roman"/>
          <w:sz w:val="18"/>
          <w:szCs w:val="18"/>
        </w:rPr>
        <w:t>as :</w:t>
      </w:r>
      <w:proofErr w:type="gramEnd"/>
    </w:p>
    <w:p w14:paraId="5BA4B738" w14:textId="682CD99D" w:rsidR="00294D85" w:rsidRPr="00AA6AF4" w:rsidRDefault="006C45BA" w:rsidP="005069B2">
      <w:pPr>
        <w:tabs>
          <w:tab w:val="left" w:pos="2805"/>
        </w:tabs>
        <w:spacing w:after="0" w:line="240" w:lineRule="auto"/>
        <w:jc w:val="both"/>
        <w:rPr>
          <w:rFonts w:ascii="Times New Roman" w:hAnsi="Times New Roman" w:cs="Times New Roman"/>
          <w:szCs w:val="24"/>
        </w:rPr>
      </w:pPr>
      <m:oMathPara>
        <m:oMath>
          <m:m>
            <m:mPr>
              <m:plcHide m:val="1"/>
              <m:mcs>
                <m:mc>
                  <m:mcPr>
                    <m:count m:val="4"/>
                    <m:mcJc m:val="center"/>
                  </m:mcPr>
                </m:mc>
              </m:mcs>
              <m:ctrlPr>
                <w:rPr>
                  <w:rFonts w:ascii="Cambria Math" w:hAnsi="Cambria Math" w:cs="Times New Roman"/>
                  <w:sz w:val="18"/>
                  <w:szCs w:val="18"/>
                </w:rPr>
              </m:ctrlPr>
            </m:mPr>
            <m:mr>
              <m:e/>
              <m:e>
                <m:r>
                  <w:rPr>
                    <w:rFonts w:ascii="Cambria Math" w:hAnsi="Cambria Math" w:cs="Times New Roman"/>
                    <w:sz w:val="18"/>
                    <w:szCs w:val="18"/>
                  </w:rPr>
                  <m:t>Ēi=</m:t>
                </m:r>
                <m:sSub>
                  <m:sSubPr>
                    <m:ctrlPr>
                      <w:rPr>
                        <w:rFonts w:ascii="Cambria Math" w:hAnsi="Cambria Math" w:cs="Times New Roman"/>
                        <w:sz w:val="18"/>
                        <w:szCs w:val="18"/>
                      </w:rPr>
                    </m:ctrlPr>
                  </m:sSubPr>
                  <m:e>
                    <m:r>
                      <w:rPr>
                        <w:rFonts w:ascii="Cambria Math" w:hAnsi="Cambria Math" w:cs="Times New Roman"/>
                        <w:sz w:val="18"/>
                        <w:szCs w:val="18"/>
                      </w:rPr>
                      <m:t>Q</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acc>
                      <m:accPr>
                        <m:chr m:val="ˉ"/>
                        <m:ctrlPr>
                          <w:rPr>
                            <w:rFonts w:ascii="Cambria Math" w:hAnsi="Cambria Math" w:cs="Times New Roman"/>
                            <w:sz w:val="18"/>
                            <w:szCs w:val="18"/>
                          </w:rPr>
                        </m:ctrlPr>
                      </m:accPr>
                      <m:e>
                        <m:r>
                          <w:rPr>
                            <w:rFonts w:ascii="Cambria Math" w:hAnsi="Cambria Math" w:cs="Times New Roman"/>
                            <w:sz w:val="18"/>
                            <w:szCs w:val="18"/>
                          </w:rPr>
                          <m:t>C</m:t>
                        </m:r>
                      </m:e>
                    </m:acc>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2i</m:t>
                    </m:r>
                  </m:sub>
                </m:sSub>
                <m:r>
                  <w:rPr>
                    <w:rFonts w:ascii="Cambria Math" w:hAnsi="Cambria Math" w:cs="Times New Roman"/>
                    <w:sz w:val="18"/>
                    <w:szCs w:val="18"/>
                  </w:rPr>
                  <m:t>)</m:t>
                </m:r>
              </m:e>
              <m:e/>
              <m:e>
                <m:r>
                  <m:rPr>
                    <m:nor/>
                  </m:rPr>
                  <w:rPr>
                    <w:rFonts w:ascii="Times New Roman" w:hAnsi="Times New Roman" w:cs="Times New Roman"/>
                    <w:sz w:val="18"/>
                    <w:szCs w:val="18"/>
                  </w:rPr>
                  <m:t>(iv)</m:t>
                </m:r>
              </m:e>
            </m:mr>
          </m:m>
        </m:oMath>
      </m:oMathPara>
    </w:p>
    <w:p w14:paraId="3949B777" w14:textId="15238DA3" w:rsidR="00294D85" w:rsidRPr="0083546B" w:rsidRDefault="00294D85" w:rsidP="005069B2">
      <w:pPr>
        <w:tabs>
          <w:tab w:val="left" w:pos="2805"/>
        </w:tabs>
        <w:spacing w:line="240" w:lineRule="auto"/>
        <w:jc w:val="both"/>
        <w:rPr>
          <w:rFonts w:ascii="Times New Roman" w:hAnsi="Times New Roman" w:cs="Times New Roman"/>
          <w:sz w:val="18"/>
          <w:szCs w:val="18"/>
        </w:rPr>
      </w:pPr>
      <w:r w:rsidRPr="0083546B">
        <w:rPr>
          <w:rFonts w:ascii="Times New Roman" w:hAnsi="Times New Roman" w:cs="Times New Roman"/>
          <w:sz w:val="18"/>
          <w:szCs w:val="18"/>
        </w:rPr>
        <w:t>where, </w:t>
      </w:r>
      <m:oMath>
        <m:acc>
          <m:accPr>
            <m:chr m:val="ˉ"/>
            <m:ctrlPr>
              <w:rPr>
                <w:rFonts w:ascii="Cambria Math" w:hAnsi="Cambria Math" w:cs="Times New Roman"/>
                <w:sz w:val="18"/>
                <w:szCs w:val="18"/>
              </w:rPr>
            </m:ctrlPr>
          </m:accPr>
          <m:e>
            <m:r>
              <w:rPr>
                <w:rFonts w:ascii="Cambria Math" w:hAnsi="Cambria Math" w:cs="Times New Roman"/>
                <w:sz w:val="18"/>
                <w:szCs w:val="18"/>
              </w:rPr>
              <m:t>Q</m:t>
            </m:r>
          </m:e>
        </m:acc>
      </m:oMath>
      <w:r w:rsidRPr="0083546B">
        <w:rPr>
          <w:rFonts w:ascii="Times New Roman" w:hAnsi="Times New Roman" w:cs="Times New Roman"/>
          <w:sz w:val="18"/>
          <w:szCs w:val="18"/>
        </w:rPr>
        <w:t> equals vectors of all-States average standard of the service, and </w:t>
      </w:r>
      <m:oMath>
        <m:sSub>
          <m:sSubPr>
            <m:ctrlPr>
              <w:rPr>
                <w:rFonts w:ascii="Cambria Math" w:hAnsi="Cambria Math" w:cs="Times New Roman"/>
                <w:sz w:val="18"/>
                <w:szCs w:val="18"/>
              </w:rPr>
            </m:ctrlPr>
          </m:sSubPr>
          <m:e>
            <m:acc>
              <m:accPr>
                <m:chr m:val="ˉ"/>
                <m:ctrlPr>
                  <w:rPr>
                    <w:rFonts w:ascii="Cambria Math" w:hAnsi="Cambria Math" w:cs="Times New Roman"/>
                    <w:sz w:val="18"/>
                    <w:szCs w:val="18"/>
                  </w:rPr>
                </m:ctrlPr>
              </m:accPr>
              <m:e>
                <m:r>
                  <w:rPr>
                    <w:rFonts w:ascii="Cambria Math" w:hAnsi="Cambria Math" w:cs="Times New Roman"/>
                    <w:sz w:val="18"/>
                    <w:szCs w:val="18"/>
                  </w:rPr>
                  <m:t>C</m:t>
                </m:r>
              </m:e>
            </m:acc>
          </m:e>
          <m:sub>
            <m:r>
              <w:rPr>
                <w:rFonts w:ascii="Cambria Math" w:hAnsi="Cambria Math" w:cs="Times New Roman"/>
                <w:sz w:val="18"/>
                <w:szCs w:val="18"/>
              </w:rPr>
              <m:t>1</m:t>
            </m:r>
          </m:sub>
        </m:sSub>
      </m:oMath>
      <w:r w:rsidRPr="0083546B">
        <w:rPr>
          <w:rFonts w:ascii="Times New Roman" w:hAnsi="Times New Roman" w:cs="Times New Roman"/>
          <w:sz w:val="18"/>
          <w:szCs w:val="18"/>
        </w:rPr>
        <w:t xml:space="preserve">equals the vector of all-States average cost variable within the control of the </w:t>
      </w:r>
      <w:r w:rsidR="006E203D" w:rsidRPr="0083546B">
        <w:rPr>
          <w:rFonts w:ascii="Times New Roman" w:hAnsi="Times New Roman" w:cs="Times New Roman"/>
          <w:sz w:val="18"/>
          <w:szCs w:val="18"/>
        </w:rPr>
        <w:t>States. However</w:t>
      </w:r>
      <w:r w:rsidRPr="0083546B">
        <w:rPr>
          <w:rFonts w:ascii="Times New Roman" w:hAnsi="Times New Roman" w:cs="Times New Roman"/>
          <w:sz w:val="18"/>
          <w:szCs w:val="18"/>
        </w:rPr>
        <w:t xml:space="preserve">, as mentioned earlier, the measurement of quantity of public services has to be through the reckoning of inputs required for their provision. Similarly, the several cost factors have to be represented by various proxies. Consequently, the identity (iv) is transformed into a stochastic </w:t>
      </w:r>
      <w:r w:rsidR="006E203D" w:rsidRPr="0083546B">
        <w:rPr>
          <w:rFonts w:ascii="Times New Roman" w:hAnsi="Times New Roman" w:cs="Times New Roman"/>
          <w:sz w:val="18"/>
          <w:szCs w:val="18"/>
        </w:rPr>
        <w:t>relation:</w:t>
      </w:r>
    </w:p>
    <w:p w14:paraId="5C103096" w14:textId="4F61BC52" w:rsidR="00294D85" w:rsidRPr="0083546B" w:rsidRDefault="006C45BA" w:rsidP="005069B2">
      <w:pPr>
        <w:tabs>
          <w:tab w:val="left" w:pos="2805"/>
        </w:tabs>
        <w:spacing w:line="240" w:lineRule="auto"/>
        <w:jc w:val="both"/>
        <w:rPr>
          <w:rFonts w:ascii="Times New Roman" w:hAnsi="Times New Roman" w:cs="Times New Roman"/>
          <w:sz w:val="18"/>
          <w:szCs w:val="18"/>
        </w:rPr>
      </w:pPr>
      <m:oMathPara>
        <m:oMath>
          <m:m>
            <m:mPr>
              <m:plcHide m:val="1"/>
              <m:mcs>
                <m:mc>
                  <m:mcPr>
                    <m:count m:val="4"/>
                    <m:mcJc m:val="center"/>
                  </m:mcPr>
                </m:mc>
              </m:mcs>
              <m:ctrlPr>
                <w:rPr>
                  <w:rFonts w:ascii="Cambria Math" w:hAnsi="Cambria Math" w:cs="Times New Roman"/>
                  <w:sz w:val="18"/>
                  <w:szCs w:val="18"/>
                </w:rPr>
              </m:ctrlPr>
            </m:mPr>
            <m:mr>
              <m:e/>
              <m:e>
                <m:sSub>
                  <m:sSubPr>
                    <m:ctrlPr>
                      <w:rPr>
                        <w:rFonts w:ascii="Cambria Math" w:hAnsi="Cambria Math" w:cs="Times New Roman"/>
                        <w:sz w:val="18"/>
                        <w:szCs w:val="18"/>
                      </w:rPr>
                    </m:ctrlPr>
                  </m:sSubPr>
                  <m:e>
                    <m:r>
                      <w:rPr>
                        <w:rFonts w:ascii="Cambria Math" w:hAnsi="Cambria Math" w:cs="Times New Roman"/>
                        <w:sz w:val="18"/>
                        <w:szCs w:val="18"/>
                      </w:rPr>
                      <m:t>E</m:t>
                    </m:r>
                  </m:e>
                  <m:sub>
                    <m:r>
                      <w:rPr>
                        <w:rFonts w:ascii="Cambria Math" w:hAnsi="Cambria Math" w:cs="Times New Roman"/>
                        <w:sz w:val="18"/>
                        <w:szCs w:val="18"/>
                      </w:rPr>
                      <m:t>i</m:t>
                    </m:r>
                  </m:sub>
                </m:sSub>
                <m:r>
                  <w:rPr>
                    <w:rFonts w:ascii="Cambria Math" w:hAnsi="Cambria Math" w:cs="Times New Roman"/>
                    <w:sz w:val="18"/>
                    <w:szCs w:val="18"/>
                  </w:rPr>
                  <m:t>=f(</m:t>
                </m:r>
                <m:sSub>
                  <m:sSubPr>
                    <m:ctrlPr>
                      <w:rPr>
                        <w:rFonts w:ascii="Cambria Math" w:hAnsi="Cambria Math" w:cs="Times New Roman"/>
                        <w:sz w:val="18"/>
                        <w:szCs w:val="18"/>
                      </w:rPr>
                    </m:ctrlPr>
                  </m:sSubPr>
                  <m:e>
                    <m:r>
                      <w:rPr>
                        <w:rFonts w:ascii="Cambria Math" w:hAnsi="Cambria Math" w:cs="Times New Roman"/>
                        <w:sz w:val="18"/>
                        <w:szCs w:val="18"/>
                      </w:rPr>
                      <m:t>Q</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1i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2i</m:t>
                    </m:r>
                  </m:sub>
                </m:sSub>
                <m:r>
                  <w:rPr>
                    <w:rFonts w:ascii="Cambria Math" w:hAnsi="Cambria Math" w:cs="Times New Roman"/>
                    <w:sz w:val="18"/>
                    <w:szCs w:val="18"/>
                  </w:rPr>
                  <m:t>)</m:t>
                </m:r>
              </m:e>
              <m:e/>
              <m:e>
                <m:r>
                  <m:rPr>
                    <m:nor/>
                  </m:rPr>
                  <w:rPr>
                    <w:rFonts w:ascii="Times New Roman" w:hAnsi="Times New Roman" w:cs="Times New Roman"/>
                    <w:sz w:val="18"/>
                    <w:szCs w:val="18"/>
                  </w:rPr>
                  <m:t>(v)</m:t>
                </m:r>
              </m:e>
            </m:mr>
          </m:m>
        </m:oMath>
      </m:oMathPara>
    </w:p>
    <w:p w14:paraId="3C34DC88" w14:textId="31D0D6A2" w:rsidR="00294D85" w:rsidRPr="0083546B" w:rsidRDefault="00294D85" w:rsidP="005069B2">
      <w:pPr>
        <w:tabs>
          <w:tab w:val="left" w:pos="2805"/>
        </w:tabs>
        <w:spacing w:line="240" w:lineRule="auto"/>
        <w:jc w:val="both"/>
        <w:rPr>
          <w:rFonts w:ascii="Times New Roman" w:hAnsi="Times New Roman" w:cs="Times New Roman"/>
          <w:sz w:val="18"/>
          <w:szCs w:val="18"/>
        </w:rPr>
      </w:pPr>
      <w:r w:rsidRPr="0083546B">
        <w:rPr>
          <w:rFonts w:ascii="Times New Roman" w:hAnsi="Times New Roman" w:cs="Times New Roman"/>
          <w:sz w:val="18"/>
          <w:szCs w:val="18"/>
        </w:rPr>
        <w:t>where, </w:t>
      </w:r>
      <m:oMath>
        <m:sSub>
          <m:sSubPr>
            <m:ctrlPr>
              <w:rPr>
                <w:rFonts w:ascii="Cambria Math" w:hAnsi="Cambria Math" w:cs="Times New Roman"/>
                <w:sz w:val="18"/>
                <w:szCs w:val="18"/>
              </w:rPr>
            </m:ctrlPr>
          </m:sSubPr>
          <m:e>
            <m:r>
              <w:rPr>
                <w:rFonts w:ascii="Cambria Math" w:hAnsi="Cambria Math" w:cs="Times New Roman"/>
                <w:sz w:val="18"/>
                <w:szCs w:val="18"/>
              </w:rPr>
              <m:t>Q</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1i</m:t>
            </m:r>
          </m:sub>
        </m:sSub>
      </m:oMath>
      <w:r w:rsidRPr="0083546B">
        <w:rPr>
          <w:rFonts w:ascii="Times New Roman" w:hAnsi="Times New Roman" w:cs="Times New Roman"/>
          <w:sz w:val="18"/>
          <w:szCs w:val="18"/>
        </w:rPr>
        <w:t> and </w:t>
      </w:r>
      <m:oMath>
        <m:sSub>
          <m:sSubPr>
            <m:ctrlPr>
              <w:rPr>
                <w:rFonts w:ascii="Cambria Math" w:hAnsi="Cambria Math" w:cs="Times New Roman"/>
                <w:sz w:val="18"/>
                <w:szCs w:val="18"/>
              </w:rPr>
            </m:ctrlPr>
          </m:sSubPr>
          <m:e>
            <m:r>
              <w:rPr>
                <w:rFonts w:ascii="Cambria Math" w:hAnsi="Cambria Math" w:cs="Times New Roman"/>
                <w:sz w:val="18"/>
                <w:szCs w:val="18"/>
              </w:rPr>
              <m:t>C</m:t>
            </m:r>
          </m:e>
          <m:sub>
            <m:r>
              <w:rPr>
                <w:rFonts w:ascii="Cambria Math" w:hAnsi="Cambria Math" w:cs="Times New Roman"/>
                <w:sz w:val="18"/>
                <w:szCs w:val="18"/>
              </w:rPr>
              <m:t>2i</m:t>
            </m:r>
          </m:sub>
        </m:sSub>
      </m:oMath>
      <w:r w:rsidRPr="0083546B">
        <w:rPr>
          <w:rFonts w:ascii="Times New Roman" w:hAnsi="Times New Roman" w:cs="Times New Roman"/>
          <w:sz w:val="18"/>
          <w:szCs w:val="18"/>
        </w:rPr>
        <w:t>, represent respectively, vectors of proxies of quantity, cost variables within and beyond the control of State Governments and those outside their control.</w:t>
      </w:r>
    </w:p>
    <w:p w14:paraId="2256E1C1" w14:textId="4D0F44F3" w:rsidR="00294D85" w:rsidRPr="00AA6AF4" w:rsidRDefault="00294D85" w:rsidP="005069B2">
      <w:pPr>
        <w:pStyle w:val="Heading6"/>
        <w:keepNext w:val="0"/>
        <w:keepLines w:val="0"/>
        <w:spacing w:before="0" w:line="240" w:lineRule="auto"/>
        <w:ind w:left="0" w:firstLine="284"/>
      </w:pPr>
      <w:r w:rsidRPr="00AA6AF4">
        <w:t xml:space="preserve">The State Governments provide a wide range of public services, with differing economies of scale. </w:t>
      </w:r>
      <w:r w:rsidR="006E203D" w:rsidRPr="00AA6AF4">
        <w:t>Therefore,</w:t>
      </w:r>
      <w:r w:rsidRPr="00AA6AF4">
        <w:t xml:space="preserve"> specification of the quantity and cost elements which go to determine expenditure and the choice of the appropriate form of expenditure function for the major items of expenditure, over the chosen time period, become important. Once the appropriate functions are specified, by substituting the average values of the cost factors within the States' control </w:t>
      </w:r>
      <m:oMath>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e>
        </m:d>
      </m:oMath>
      <w:r w:rsidRPr="00AA6AF4">
        <w:t>,and the actual values of other variables, "the expenditure need" or normative expenditure for providing the existing standards of services at justifiable costs can be reckoned. If the average values of the quantity variables </w:t>
      </w:r>
      <m:oMath>
        <m:d>
          <m:dPr>
            <m:ctrlPr>
              <w:rPr>
                <w:rFonts w:ascii="Cambria Math" w:hAnsi="Cambria Math"/>
              </w:rPr>
            </m:ctrlPr>
          </m:dPr>
          <m:e>
            <m:r>
              <w:rPr>
                <w:rFonts w:ascii="Cambria Math" w:hAnsi="Cambria Math"/>
              </w:rPr>
              <m:t>Q</m:t>
            </m:r>
          </m:e>
        </m:d>
      </m:oMath>
      <w:r w:rsidRPr="00AA6AF4">
        <w:t>are substituted, instead of the actual values, the cost of providing the average standards of services at justifiable costs is reckoned.</w:t>
      </w:r>
    </w:p>
    <w:p w14:paraId="7A1F808D" w14:textId="77777777" w:rsidR="00294D85" w:rsidRPr="0083546B" w:rsidRDefault="00294D85" w:rsidP="005069B2">
      <w:pPr>
        <w:tabs>
          <w:tab w:val="left" w:pos="2805"/>
        </w:tabs>
        <w:spacing w:line="240" w:lineRule="auto"/>
        <w:jc w:val="center"/>
        <w:rPr>
          <w:rFonts w:ascii="Times New Roman" w:hAnsi="Times New Roman" w:cs="Times New Roman"/>
          <w:sz w:val="20"/>
          <w:szCs w:val="20"/>
        </w:rPr>
      </w:pPr>
      <w:r w:rsidRPr="0083546B">
        <w:rPr>
          <w:rFonts w:ascii="Times New Roman" w:hAnsi="Times New Roman" w:cs="Times New Roman"/>
          <w:b/>
          <w:bCs/>
          <w:sz w:val="20"/>
          <w:szCs w:val="20"/>
        </w:rPr>
        <w:t>Studies Measuring Expenditure Needs</w:t>
      </w:r>
    </w:p>
    <w:p w14:paraId="2B7F461A" w14:textId="2854B441" w:rsidR="00294D85" w:rsidRPr="00AA6AF4" w:rsidRDefault="00294D85" w:rsidP="005069B2">
      <w:pPr>
        <w:pStyle w:val="Heading6"/>
        <w:keepNext w:val="0"/>
        <w:keepLines w:val="0"/>
        <w:spacing w:before="0" w:line="240" w:lineRule="auto"/>
        <w:ind w:left="0" w:firstLine="284"/>
      </w:pPr>
      <w:r w:rsidRPr="00AA6AF4">
        <w:lastRenderedPageBreak/>
        <w:t>There have been a number of attempts to develop a satisfactory methodology to estimate expenditure needs. Studies such as Hoffman (1969), Auten (1973) and in more recent years Ladd, et al. (1986) have used similar expenditure determinants models to estimate normative expenditures of State and Local</w:t>
      </w:r>
      <w:r w:rsidR="00F97E09" w:rsidRPr="00AA6AF4">
        <w:t xml:space="preserve"> </w:t>
      </w:r>
      <w:r w:rsidRPr="00AA6AF4">
        <w:t xml:space="preserve">Governments for certain important </w:t>
      </w:r>
      <w:r w:rsidR="00F97E09" w:rsidRPr="00AA6AF4">
        <w:t>expenditure categories in the United</w:t>
      </w:r>
      <w:r w:rsidRPr="00AA6AF4">
        <w:t xml:space="preserve"> States of America.</w:t>
      </w:r>
    </w:p>
    <w:p w14:paraId="4CB1239E" w14:textId="5F1F6382" w:rsidR="00294D85" w:rsidRPr="00AA6AF4" w:rsidRDefault="00294D85" w:rsidP="005069B2">
      <w:pPr>
        <w:pStyle w:val="Heading6"/>
        <w:keepNext w:val="0"/>
        <w:keepLines w:val="0"/>
        <w:spacing w:before="0" w:line="240" w:lineRule="auto"/>
        <w:ind w:left="0" w:firstLine="284"/>
      </w:pPr>
      <w:r w:rsidRPr="00AA6AF4">
        <w:t>Hoffman (1969) estimates the cost of providing the</w:t>
      </w:r>
      <w:r w:rsidR="0083546B">
        <w:t xml:space="preserve"> </w:t>
      </w:r>
      <w:r w:rsidRPr="00AA6AF4">
        <w:t>average level of educational services per pupil for the counties in</w:t>
      </w:r>
      <w:r w:rsidRPr="00AA6AF4">
        <w:br/>
        <w:t>the State of Maryland by regressing current expenditure on</w:t>
      </w:r>
      <w:r w:rsidR="0083546B">
        <w:t xml:space="preserve"> </w:t>
      </w:r>
      <w:r w:rsidRPr="00AA6AF4">
        <w:t>education per pupil on various 'quality' and cost factors. The cost</w:t>
      </w:r>
      <w:r w:rsidRPr="00AA6AF4">
        <w:br/>
        <w:t>of providing the average level of the service has been arrived at by</w:t>
      </w:r>
      <w:r w:rsidR="0083546B">
        <w:t xml:space="preserve"> </w:t>
      </w:r>
      <w:r w:rsidRPr="00AA6AF4">
        <w:t>substituting quality variables at the 'average' levels and cost</w:t>
      </w:r>
      <w:r w:rsidR="0083546B">
        <w:t xml:space="preserve"> </w:t>
      </w:r>
      <w:r w:rsidRPr="00AA6AF4">
        <w:t>factors at their actual values in the estimated regression equation.</w:t>
      </w:r>
      <w:r w:rsidR="0083546B">
        <w:t xml:space="preserve"> </w:t>
      </w:r>
      <w:r w:rsidRPr="00AA6AF4">
        <w:t>Auten (1973), on the other hand, estimates expenditure needs by</w:t>
      </w:r>
      <w:r w:rsidR="0083546B">
        <w:t xml:space="preserve"> </w:t>
      </w:r>
      <w:r w:rsidRPr="00AA6AF4">
        <w:t>regressing per capita local expenditures on 'ability' and 'need'</w:t>
      </w:r>
      <w:r w:rsidR="0083546B">
        <w:t xml:space="preserve"> </w:t>
      </w:r>
      <w:r w:rsidRPr="00AA6AF4">
        <w:t>factors. By substituting the average values of ability variables and</w:t>
      </w:r>
      <w:r w:rsidR="0083546B">
        <w:t xml:space="preserve"> </w:t>
      </w:r>
      <w:r w:rsidRPr="00AA6AF4">
        <w:t>the actual values of 'need' variables, normative expenditures are</w:t>
      </w:r>
      <w:r w:rsidR="0083546B">
        <w:t xml:space="preserve"> </w:t>
      </w:r>
      <w:r w:rsidRPr="00AA6AF4">
        <w:t>estimated for the local governments in New York State. Bradbury</w:t>
      </w:r>
      <w:r w:rsidR="0083546B">
        <w:t xml:space="preserve"> </w:t>
      </w:r>
      <w:r w:rsidRPr="00AA6AF4">
        <w:t>et al. (1984) and Ladd et al. (1986) devise a cost index by</w:t>
      </w:r>
      <w:r w:rsidR="0083546B">
        <w:t xml:space="preserve"> </w:t>
      </w:r>
      <w:r w:rsidRPr="00AA6AF4">
        <w:t>segregating the effect of various environmental costs, resource</w:t>
      </w:r>
      <w:r w:rsidR="0083546B">
        <w:t xml:space="preserve"> </w:t>
      </w:r>
      <w:r w:rsidRPr="00AA6AF4">
        <w:t>and other factors on local expenditures in the State of</w:t>
      </w:r>
      <w:r w:rsidR="0083546B">
        <w:t xml:space="preserve"> </w:t>
      </w:r>
      <w:r w:rsidRPr="00AA6AF4">
        <w:t>Massachusetts. The cost index is then used to estimate</w:t>
      </w:r>
      <w:r w:rsidR="0083546B">
        <w:t xml:space="preserve"> </w:t>
      </w:r>
      <w:r w:rsidRPr="00AA6AF4">
        <w:t>expenditure needs.</w:t>
      </w:r>
    </w:p>
    <w:p w14:paraId="42B04BE0" w14:textId="7AB05607" w:rsidR="00294D85" w:rsidRPr="00AA6AF4" w:rsidRDefault="00294D85" w:rsidP="005069B2">
      <w:pPr>
        <w:pStyle w:val="Heading6"/>
        <w:keepNext w:val="0"/>
        <w:keepLines w:val="0"/>
        <w:spacing w:before="0" w:line="240" w:lineRule="auto"/>
        <w:ind w:left="0" w:firstLine="284"/>
      </w:pPr>
      <w:r w:rsidRPr="00AA6AF4">
        <w:t>In India, however, serious attempts to measure</w:t>
      </w:r>
      <w:r w:rsidR="0083546B">
        <w:t xml:space="preserve"> </w:t>
      </w:r>
      <w:r w:rsidRPr="00AA6AF4">
        <w:t>expenditure needs have not been made so far. The Sixth Finance</w:t>
      </w:r>
      <w:r w:rsidRPr="00AA6AF4">
        <w:br/>
        <w:t>Commission, which gave substantial grants for equalising the</w:t>
      </w:r>
      <w:r w:rsidR="0083546B">
        <w:t xml:space="preserve"> </w:t>
      </w:r>
      <w:r w:rsidRPr="00AA6AF4">
        <w:t>standards of administrative and social services, measured the</w:t>
      </w:r>
      <w:r w:rsidR="0083546B">
        <w:t xml:space="preserve"> </w:t>
      </w:r>
      <w:r w:rsidRPr="00AA6AF4">
        <w:t>shortfall in the standards of services from the average levels on</w:t>
      </w:r>
      <w:r w:rsidR="0083546B">
        <w:t xml:space="preserve"> </w:t>
      </w:r>
      <w:r w:rsidRPr="00AA6AF4">
        <w:t>the basis of per capita expenditures. The weakness of this method</w:t>
      </w:r>
      <w:r w:rsidRPr="00AA6AF4">
        <w:br/>
        <w:t>is that it ignores non-linearities in the production function for public</w:t>
      </w:r>
      <w:r w:rsidR="0083546B">
        <w:t xml:space="preserve"> </w:t>
      </w:r>
      <w:r w:rsidRPr="00AA6AF4">
        <w:t>services and State-specific cost disabilities.</w:t>
      </w:r>
    </w:p>
    <w:p w14:paraId="005BA44D" w14:textId="050E89F8" w:rsidR="00294D85" w:rsidRPr="00AA6AF4" w:rsidRDefault="00294D85" w:rsidP="005069B2">
      <w:pPr>
        <w:pStyle w:val="Heading6"/>
        <w:keepNext w:val="0"/>
        <w:keepLines w:val="0"/>
        <w:spacing w:before="0" w:line="240" w:lineRule="auto"/>
        <w:ind w:left="0" w:firstLine="284"/>
      </w:pPr>
      <w:r w:rsidRPr="00AA6AF4">
        <w:t> At the operational level, the method of measuring</w:t>
      </w:r>
      <w:r w:rsidR="0083546B">
        <w:t xml:space="preserve"> </w:t>
      </w:r>
      <w:r w:rsidRPr="00AA6AF4">
        <w:t>aggregate local government expenditure needs based on a cross-section regression analysis of past local government expenditure</w:t>
      </w:r>
      <w:r w:rsidR="0083546B">
        <w:t xml:space="preserve"> </w:t>
      </w:r>
      <w:r w:rsidRPr="00AA6AF4">
        <w:t>was employed to allocate grants in England and Wales as far back</w:t>
      </w:r>
      <w:r w:rsidRPr="00AA6AF4">
        <w:br/>
        <w:t>as 1974. A similar approach was followed in Denmark subsequent</w:t>
      </w:r>
      <w:r w:rsidR="0083546B">
        <w:t xml:space="preserve"> </w:t>
      </w:r>
      <w:r w:rsidRPr="00AA6AF4">
        <w:t>to the 1979 legislation introducing the social criterion of</w:t>
      </w:r>
      <w:r w:rsidRPr="00AA6AF4">
        <w:br/>
        <w:t>measuring expenditure needs instead of allocating funds on the</w:t>
      </w:r>
      <w:r w:rsidR="0083546B">
        <w:t xml:space="preserve"> </w:t>
      </w:r>
      <w:r w:rsidRPr="00AA6AF4">
        <w:t>basis of the population criterion (For details, see OECD, 1981).</w:t>
      </w:r>
      <w:r w:rsidR="0083546B">
        <w:t xml:space="preserve"> </w:t>
      </w:r>
      <w:r w:rsidRPr="00AA6AF4">
        <w:t>Such an 'umbrella' model cannot obviously take into account all</w:t>
      </w:r>
      <w:r w:rsidR="0083546B">
        <w:t xml:space="preserve"> </w:t>
      </w:r>
      <w:r w:rsidRPr="00AA6AF4">
        <w:t>the true 'need' factors, in an adequate manner. Further, as</w:t>
      </w:r>
      <w:r w:rsidR="0083546B">
        <w:t xml:space="preserve"> </w:t>
      </w:r>
      <w:r w:rsidRPr="00AA6AF4">
        <w:t>mentioned earlier, some types of expenditure are determined by</w:t>
      </w:r>
      <w:r w:rsidR="0083546B">
        <w:t xml:space="preserve"> </w:t>
      </w:r>
      <w:r w:rsidRPr="00AA6AF4">
        <w:t>the stock of physical assets or financial liabilities while others</w:t>
      </w:r>
      <w:r w:rsidR="0083546B">
        <w:t xml:space="preserve"> </w:t>
      </w:r>
      <w:r w:rsidRPr="00AA6AF4">
        <w:t>exhibit random behaviour. To stipulate their determinants in a</w:t>
      </w:r>
      <w:r w:rsidR="0083546B">
        <w:t xml:space="preserve"> </w:t>
      </w:r>
      <w:r w:rsidRPr="00AA6AF4">
        <w:t>regression equation would not be appropriate. Therefore, the</w:t>
      </w:r>
      <w:r w:rsidR="0083546B">
        <w:t xml:space="preserve"> </w:t>
      </w:r>
      <w:r w:rsidRPr="00AA6AF4">
        <w:t>possibility of explaining the need to spend on a service-by-service</w:t>
      </w:r>
      <w:r w:rsidRPr="00AA6AF4">
        <w:br/>
        <w:t>basis was considered and such an approach was adopted so that</w:t>
      </w:r>
      <w:r w:rsidR="0083546B">
        <w:t xml:space="preserve"> </w:t>
      </w:r>
      <w:r w:rsidRPr="00AA6AF4">
        <w:t>each major component of aggregate expenditure was estimated</w:t>
      </w:r>
      <w:r w:rsidRPr="00AA6AF4">
        <w:br/>
        <w:t>by a methodology appropriate for it.</w:t>
      </w:r>
    </w:p>
    <w:p w14:paraId="56BABBDE" w14:textId="5F61290C" w:rsidR="00294D85" w:rsidRPr="00AA6AF4" w:rsidRDefault="00294D85" w:rsidP="005069B2">
      <w:pPr>
        <w:pStyle w:val="Heading6"/>
        <w:keepNext w:val="0"/>
        <w:keepLines w:val="0"/>
        <w:spacing w:before="0" w:line="240" w:lineRule="auto"/>
        <w:ind w:left="0" w:firstLine="284"/>
      </w:pPr>
      <w:r w:rsidRPr="00AA6AF4">
        <w:t> For estimating the cost functions, the States are</w:t>
      </w:r>
      <w:r w:rsidR="0083546B">
        <w:t xml:space="preserve"> </w:t>
      </w:r>
      <w:r w:rsidRPr="00AA6AF4">
        <w:t xml:space="preserve">divided into two </w:t>
      </w:r>
      <w:proofErr w:type="gramStart"/>
      <w:r w:rsidRPr="00AA6AF4">
        <w:t>categories :</w:t>
      </w:r>
      <w:proofErr w:type="gramEnd"/>
      <w:r w:rsidRPr="00AA6AF4">
        <w:t xml:space="preserve"> the 14 major States and the Special</w:t>
      </w:r>
      <w:r w:rsidR="0083546B">
        <w:t xml:space="preserve"> </w:t>
      </w:r>
      <w:r w:rsidRPr="00AA6AF4">
        <w:t>Category States. In view of the heterogeneity of conditions in the</w:t>
      </w:r>
      <w:r w:rsidR="0083546B">
        <w:t xml:space="preserve"> </w:t>
      </w:r>
      <w:r w:rsidRPr="00AA6AF4">
        <w:t>latter, the equations estimated for them have not been used to</w:t>
      </w:r>
      <w:r w:rsidR="0083546B">
        <w:t xml:space="preserve"> </w:t>
      </w:r>
      <w:r w:rsidRPr="00AA6AF4">
        <w:t>compute their expenditure needs. The measurement of</w:t>
      </w:r>
      <w:r w:rsidR="0083546B">
        <w:t xml:space="preserve"> </w:t>
      </w:r>
      <w:r w:rsidRPr="00AA6AF4">
        <w:t>expenditure needs on the basis of estimated cost functions is thus</w:t>
      </w:r>
      <w:r w:rsidR="0083546B">
        <w:t xml:space="preserve"> </w:t>
      </w:r>
      <w:r w:rsidRPr="00AA6AF4">
        <w:t>confined to the 14 major States.</w:t>
      </w:r>
    </w:p>
    <w:p w14:paraId="54C61FB2" w14:textId="77777777" w:rsidR="00294D85" w:rsidRPr="0083546B" w:rsidRDefault="00294D85" w:rsidP="005069B2">
      <w:pPr>
        <w:tabs>
          <w:tab w:val="left" w:pos="2805"/>
        </w:tabs>
        <w:spacing w:line="240" w:lineRule="auto"/>
        <w:rPr>
          <w:rFonts w:ascii="Times New Roman" w:hAnsi="Times New Roman" w:cs="Times New Roman"/>
          <w:sz w:val="20"/>
          <w:szCs w:val="20"/>
        </w:rPr>
      </w:pPr>
      <w:r w:rsidRPr="0083546B">
        <w:rPr>
          <w:rFonts w:ascii="Times New Roman" w:hAnsi="Times New Roman" w:cs="Times New Roman"/>
          <w:b/>
          <w:bCs/>
          <w:sz w:val="20"/>
          <w:szCs w:val="20"/>
        </w:rPr>
        <w:t>Methodology And Data Adjustments</w:t>
      </w:r>
    </w:p>
    <w:p w14:paraId="4FBAD50B" w14:textId="72B78502" w:rsidR="00294D85" w:rsidRPr="00AA6AF4" w:rsidRDefault="00294D85" w:rsidP="005069B2">
      <w:pPr>
        <w:pStyle w:val="Heading6"/>
        <w:keepNext w:val="0"/>
        <w:keepLines w:val="0"/>
        <w:spacing w:before="0" w:line="240" w:lineRule="auto"/>
        <w:ind w:left="0" w:firstLine="284"/>
      </w:pPr>
      <w:r w:rsidRPr="00AA6AF4">
        <w:t>To estimate the effects of different quantity and cost</w:t>
      </w:r>
      <w:r w:rsidR="0083546B">
        <w:t xml:space="preserve"> </w:t>
      </w:r>
      <w:r w:rsidRPr="00AA6AF4">
        <w:t>variables on non-Plan revenue expenditures, several alternative</w:t>
      </w:r>
      <w:r w:rsidRPr="00AA6AF4">
        <w:br/>
        <w:t>models were tried. In the first model, cross-section equations</w:t>
      </w:r>
      <w:r w:rsidR="0083546B">
        <w:t xml:space="preserve"> </w:t>
      </w:r>
      <w:r w:rsidRPr="00AA6AF4">
        <w:t>were fitted for every year over the period 1981-82 to 1986-87.</w:t>
      </w:r>
      <w:r w:rsidR="0083546B">
        <w:t xml:space="preserve"> </w:t>
      </w:r>
      <w:r w:rsidRPr="00AA6AF4">
        <w:t>Although the parameters estimated appeared to be stable over</w:t>
      </w:r>
      <w:r w:rsidR="0083546B">
        <w:t xml:space="preserve"> </w:t>
      </w:r>
      <w:r w:rsidRPr="00AA6AF4">
        <w:t>time for almost all items of expenditure, the degrees of freedom</w:t>
      </w:r>
      <w:r w:rsidRPr="00AA6AF4">
        <w:br/>
        <w:t>associated with each function were found inadequate. Therefore,</w:t>
      </w:r>
      <w:r w:rsidR="0083546B">
        <w:t xml:space="preserve"> </w:t>
      </w:r>
      <w:r w:rsidRPr="00AA6AF4">
        <w:t>the cross-section observations from 1981-82 to 1986-87 were</w:t>
      </w:r>
      <w:r w:rsidR="0083546B">
        <w:t xml:space="preserve"> </w:t>
      </w:r>
      <w:r w:rsidRPr="00AA6AF4">
        <w:t>pooled in a covariance model and the parameters were estimated</w:t>
      </w:r>
      <w:r w:rsidR="0083546B">
        <w:t xml:space="preserve"> </w:t>
      </w:r>
      <w:r w:rsidRPr="00AA6AF4">
        <w:t>by specifying the time effect as well as the State-specific effect</w:t>
      </w:r>
      <w:r w:rsidR="0083546B">
        <w:t xml:space="preserve"> </w:t>
      </w:r>
      <w:r w:rsidRPr="00AA6AF4">
        <w:t>through dummy variables. As the data on population and/or its</w:t>
      </w:r>
      <w:r w:rsidR="0083546B">
        <w:t xml:space="preserve"> </w:t>
      </w:r>
      <w:r w:rsidRPr="00AA6AF4">
        <w:t>composition used in this model, as proxies representing quantity</w:t>
      </w:r>
      <w:r w:rsidR="0083546B">
        <w:t xml:space="preserve"> </w:t>
      </w:r>
      <w:r w:rsidRPr="00AA6AF4">
        <w:t>of public services, were available only for the Census years, they</w:t>
      </w:r>
      <w:r w:rsidR="0083546B">
        <w:t xml:space="preserve"> </w:t>
      </w:r>
      <w:r w:rsidRPr="00AA6AF4">
        <w:t>were projected for the other years on the basis of the past trends.</w:t>
      </w:r>
      <w:r w:rsidR="0083546B">
        <w:t xml:space="preserve"> </w:t>
      </w:r>
      <w:r w:rsidRPr="00AA6AF4">
        <w:t>However, the use of extrapolated values in the pooled regression</w:t>
      </w:r>
      <w:r w:rsidR="0083546B">
        <w:t xml:space="preserve"> </w:t>
      </w:r>
      <w:r w:rsidRPr="00AA6AF4">
        <w:t>equations does not adequately bring out the scale effect of</w:t>
      </w:r>
      <w:r w:rsidR="0083546B">
        <w:t xml:space="preserve"> </w:t>
      </w:r>
      <w:r w:rsidRPr="00AA6AF4">
        <w:t>variables such as the density of population or the cost disabilities</w:t>
      </w:r>
      <w:r w:rsidR="006C1DC7">
        <w:t xml:space="preserve"> </w:t>
      </w:r>
      <w:r w:rsidRPr="00AA6AF4">
        <w:t>arising from factors such as the proportions of population in rural</w:t>
      </w:r>
      <w:r w:rsidR="0083546B">
        <w:t xml:space="preserve"> </w:t>
      </w:r>
      <w:r w:rsidRPr="00AA6AF4">
        <w:t>and hill areas. In the final analysis, the average of the</w:t>
      </w:r>
      <w:r w:rsidR="0083546B">
        <w:t xml:space="preserve"> </w:t>
      </w:r>
      <w:r w:rsidRPr="00AA6AF4">
        <w:t xml:space="preserve">expenditures and </w:t>
      </w:r>
      <w:proofErr w:type="gramStart"/>
      <w:r w:rsidRPr="00AA6AF4">
        <w:t xml:space="preserve">the </w:t>
      </w:r>
      <w:r w:rsidR="0083546B">
        <w:t xml:space="preserve"> </w:t>
      </w:r>
      <w:proofErr w:type="spellStart"/>
      <w:r w:rsidRPr="00AA6AF4">
        <w:t>elevant</w:t>
      </w:r>
      <w:proofErr w:type="spellEnd"/>
      <w:proofErr w:type="gramEnd"/>
      <w:r w:rsidRPr="00AA6AF4">
        <w:t xml:space="preserve"> explanatory variables for the years</w:t>
      </w:r>
      <w:r w:rsidR="0083546B">
        <w:t xml:space="preserve"> </w:t>
      </w:r>
      <w:r w:rsidRPr="00AA6AF4">
        <w:t>1981-82 to 1983-84 and 1984-85 to 1986-87 were taken</w:t>
      </w:r>
      <w:r w:rsidR="0083546B">
        <w:t xml:space="preserve"> </w:t>
      </w:r>
      <w:r w:rsidRPr="00AA6AF4">
        <w:t>separately and the two sets of observations were pooled for</w:t>
      </w:r>
      <w:r w:rsidR="0083546B">
        <w:t xml:space="preserve"> </w:t>
      </w:r>
      <w:r w:rsidRPr="00AA6AF4">
        <w:t>estimating the parameters. This approach, besides eliminating</w:t>
      </w:r>
      <w:r w:rsidR="0083546B">
        <w:t xml:space="preserve"> </w:t>
      </w:r>
      <w:r w:rsidRPr="00AA6AF4">
        <w:t>year-to-year random fluctuations, has the advantage of</w:t>
      </w:r>
      <w:r w:rsidR="006C1DC7">
        <w:t xml:space="preserve"> </w:t>
      </w:r>
      <w:r w:rsidRPr="00AA6AF4">
        <w:t>increasing the number of observations and thereby the degrees of</w:t>
      </w:r>
      <w:r w:rsidR="0083546B">
        <w:t xml:space="preserve"> </w:t>
      </w:r>
      <w:r w:rsidRPr="00AA6AF4">
        <w:t>freedom. The regression coefficients thus derived represent the</w:t>
      </w:r>
      <w:r w:rsidR="0083546B">
        <w:t xml:space="preserve"> </w:t>
      </w:r>
      <w:r w:rsidRPr="00AA6AF4">
        <w:t>average behavioural responses of expenditures to different</w:t>
      </w:r>
      <w:r w:rsidR="0083546B">
        <w:t xml:space="preserve"> </w:t>
      </w:r>
      <w:r w:rsidRPr="00AA6AF4">
        <w:t>quantity and cost variables and indicate the quantitative</w:t>
      </w:r>
      <w:r w:rsidR="0083546B">
        <w:t xml:space="preserve"> </w:t>
      </w:r>
      <w:r w:rsidRPr="00AA6AF4">
        <w:t>relationships at average productivity levels.</w:t>
      </w:r>
    </w:p>
    <w:p w14:paraId="4D8BD79E" w14:textId="653FBCDF" w:rsidR="00294D85" w:rsidRPr="00AA6AF4" w:rsidRDefault="00294D85" w:rsidP="005069B2">
      <w:pPr>
        <w:pStyle w:val="Heading6"/>
        <w:keepNext w:val="0"/>
        <w:keepLines w:val="0"/>
        <w:spacing w:before="0" w:line="240" w:lineRule="auto"/>
        <w:ind w:left="0" w:firstLine="284"/>
      </w:pPr>
      <w:r w:rsidRPr="00AA6AF4">
        <w:t xml:space="preserve">One of the important requirements of </w:t>
      </w:r>
      <w:r w:rsidR="00162397" w:rsidRPr="00AA6AF4">
        <w:t>estimating expenditure</w:t>
      </w:r>
      <w:r w:rsidRPr="00AA6AF4">
        <w:t xml:space="preserve"> needs of the States on the basis of determinants</w:t>
      </w:r>
      <w:r w:rsidR="006C1DC7">
        <w:t xml:space="preserve"> </w:t>
      </w:r>
      <w:r w:rsidRPr="00AA6AF4">
        <w:t xml:space="preserve">analysis is the availability of data on various "quantity" and </w:t>
      </w:r>
      <w:r w:rsidR="00162397" w:rsidRPr="00AA6AF4">
        <w:t>cost factors</w:t>
      </w:r>
      <w:r w:rsidRPr="00AA6AF4">
        <w:t>. On this front, the Commission's experience has been</w:t>
      </w:r>
      <w:r w:rsidR="00162397">
        <w:t xml:space="preserve"> </w:t>
      </w:r>
      <w:r w:rsidRPr="00AA6AF4">
        <w:t>extremely disappointing. In spite of repeated reminders, even data</w:t>
      </w:r>
      <w:r w:rsidR="00162397">
        <w:t xml:space="preserve"> </w:t>
      </w:r>
      <w:r w:rsidRPr="00AA6AF4">
        <w:t>on items such as the number of employees in major departments</w:t>
      </w:r>
      <w:r w:rsidR="006C1DC7">
        <w:t xml:space="preserve"> </w:t>
      </w:r>
      <w:r w:rsidRPr="00AA6AF4">
        <w:t>and expenditure on wages and salaries under major heads of</w:t>
      </w:r>
      <w:r w:rsidR="00162397">
        <w:t xml:space="preserve"> </w:t>
      </w:r>
      <w:r w:rsidRPr="00AA6AF4">
        <w:t>expenditure were not made available by some of the States.</w:t>
      </w:r>
      <w:r w:rsidR="00162397">
        <w:t xml:space="preserve"> </w:t>
      </w:r>
      <w:r w:rsidRPr="00AA6AF4">
        <w:t xml:space="preserve">Therefore, we </w:t>
      </w:r>
      <w:r w:rsidR="00162397" w:rsidRPr="00AA6AF4">
        <w:t>ourselves</w:t>
      </w:r>
      <w:r w:rsidRPr="00AA6AF4">
        <w:t xml:space="preserve"> had to build up a comparable data base</w:t>
      </w:r>
      <w:r w:rsidR="00162397">
        <w:t xml:space="preserve"> </w:t>
      </w:r>
      <w:r w:rsidRPr="00AA6AF4">
        <w:t>on both the dependent and the independent variables used from</w:t>
      </w:r>
      <w:r w:rsidR="00162397">
        <w:t xml:space="preserve"> </w:t>
      </w:r>
      <w:r w:rsidRPr="00AA6AF4">
        <w:t>the Finance Accounts, Budget documents and various</w:t>
      </w:r>
      <w:r w:rsidR="00162397">
        <w:t xml:space="preserve"> </w:t>
      </w:r>
      <w:r w:rsidRPr="00AA6AF4">
        <w:t>publications of Central Ministries and Departments and the</w:t>
      </w:r>
      <w:r w:rsidR="00162397">
        <w:t xml:space="preserve"> </w:t>
      </w:r>
      <w:r w:rsidRPr="00AA6AF4">
        <w:t>information received from the State Governments.</w:t>
      </w:r>
    </w:p>
    <w:p w14:paraId="08DBB353" w14:textId="132594D3" w:rsidR="00294D85" w:rsidRPr="00AA6AF4" w:rsidRDefault="00294D85" w:rsidP="005069B2">
      <w:pPr>
        <w:pStyle w:val="Heading6"/>
        <w:keepNext w:val="0"/>
        <w:keepLines w:val="0"/>
        <w:spacing w:before="0" w:line="240" w:lineRule="auto"/>
        <w:ind w:left="0" w:firstLine="284"/>
      </w:pPr>
      <w:r w:rsidRPr="00AA6AF4">
        <w:t>Data on expenditures have been compiled under</w:t>
      </w:r>
      <w:r w:rsidR="00162397">
        <w:t xml:space="preserve"> </w:t>
      </w:r>
      <w:r w:rsidRPr="00AA6AF4">
        <w:t>various major and minor heads from the Finance Accounts after</w:t>
      </w:r>
      <w:r w:rsidR="006C1DC7">
        <w:t xml:space="preserve"> </w:t>
      </w:r>
      <w:r w:rsidRPr="00AA6AF4">
        <w:t>making</w:t>
      </w:r>
      <w:r w:rsidR="00C65B6F" w:rsidRPr="00AA6AF4">
        <w:t xml:space="preserve"> </w:t>
      </w:r>
      <w:r w:rsidRPr="00AA6AF4">
        <w:t>adjustments for transfers to and from various funds.</w:t>
      </w:r>
      <w:r w:rsidR="00162397">
        <w:t xml:space="preserve"> </w:t>
      </w:r>
      <w:r w:rsidRPr="00AA6AF4">
        <w:t>Expenditures met out of transfers from various funds are taken</w:t>
      </w:r>
      <w:r w:rsidR="006C1DC7">
        <w:t xml:space="preserve"> </w:t>
      </w:r>
      <w:r w:rsidRPr="00AA6AF4">
        <w:t>into account whereas transfers made to various funds are not</w:t>
      </w:r>
      <w:r w:rsidR="00162397">
        <w:t xml:space="preserve"> </w:t>
      </w:r>
      <w:r w:rsidRPr="00AA6AF4">
        <w:t>included. Estimates of total population, its rural-urban</w:t>
      </w:r>
      <w:r w:rsidR="006C1DC7">
        <w:t xml:space="preserve"> </w:t>
      </w:r>
      <w:r w:rsidRPr="00AA6AF4">
        <w:t>composition and the number of people in the relevant age groups</w:t>
      </w:r>
      <w:r w:rsidR="00162397">
        <w:t xml:space="preserve"> </w:t>
      </w:r>
      <w:r w:rsidRPr="00AA6AF4">
        <w:t>have been obtained from the office of the Registrar General,</w:t>
      </w:r>
      <w:r w:rsidR="006C1DC7">
        <w:t xml:space="preserve"> </w:t>
      </w:r>
      <w:r w:rsidRPr="00AA6AF4">
        <w:t>Census Operations. The definition of hill areas and the population</w:t>
      </w:r>
      <w:r w:rsidR="00162397">
        <w:t xml:space="preserve"> </w:t>
      </w:r>
      <w:r w:rsidRPr="00AA6AF4">
        <w:t>residing in them in various States have been taken from the</w:t>
      </w:r>
      <w:r w:rsidR="006C1DC7">
        <w:t xml:space="preserve"> </w:t>
      </w:r>
      <w:r w:rsidRPr="00AA6AF4">
        <w:t>Planning Commission. The differences in the salaries of</w:t>
      </w:r>
      <w:r w:rsidR="00162397">
        <w:t xml:space="preserve"> </w:t>
      </w:r>
      <w:r w:rsidRPr="00AA6AF4">
        <w:t>important categories of employees in the States have been</w:t>
      </w:r>
      <w:r w:rsidR="00162397">
        <w:t xml:space="preserve"> </w:t>
      </w:r>
      <w:r w:rsidRPr="00AA6AF4">
        <w:t>computed on the basis of information furnished by the State</w:t>
      </w:r>
      <w:r w:rsidR="00162397">
        <w:t xml:space="preserve"> </w:t>
      </w:r>
      <w:r w:rsidRPr="00AA6AF4">
        <w:t>Governments. Using the information on the prices of various</w:t>
      </w:r>
      <w:r w:rsidR="00162397">
        <w:t xml:space="preserve"> </w:t>
      </w:r>
      <w:r w:rsidRPr="00AA6AF4">
        <w:t>commodities collected by the Labour Bureau, Shimla, for</w:t>
      </w:r>
      <w:r w:rsidR="00162397">
        <w:t xml:space="preserve"> </w:t>
      </w:r>
      <w:r w:rsidRPr="00AA6AF4">
        <w:t>computing the Consumer Price Index of Industrial Workers, the</w:t>
      </w:r>
      <w:r w:rsidR="00162397">
        <w:t xml:space="preserve"> </w:t>
      </w:r>
      <w:r w:rsidRPr="00AA6AF4">
        <w:t>index of consumer price differences across the States has been</w:t>
      </w:r>
      <w:r w:rsidR="006C1DC7">
        <w:t xml:space="preserve"> </w:t>
      </w:r>
      <w:r w:rsidRPr="00AA6AF4">
        <w:t>estimated. Data on most of the other quantity variables such as</w:t>
      </w:r>
      <w:r w:rsidR="00162397">
        <w:t xml:space="preserve"> </w:t>
      </w:r>
      <w:r w:rsidRPr="00AA6AF4">
        <w:t>judicial and police personnel, enrolment in educational</w:t>
      </w:r>
      <w:r w:rsidR="006C1DC7">
        <w:t xml:space="preserve"> </w:t>
      </w:r>
      <w:r w:rsidRPr="00AA6AF4">
        <w:t>institutions, number of teachers, hospital beds, medical</w:t>
      </w:r>
      <w:r w:rsidR="00162397">
        <w:t xml:space="preserve"> </w:t>
      </w:r>
      <w:r w:rsidRPr="00AA6AF4">
        <w:t>personnel, pattern of land utilisation, veterinary centres and cattle</w:t>
      </w:r>
      <w:r w:rsidR="00162397">
        <w:t xml:space="preserve"> </w:t>
      </w:r>
      <w:r w:rsidRPr="00AA6AF4">
        <w:t>population have been collected from various Central Ministries.</w:t>
      </w:r>
      <w:r w:rsidR="00162397">
        <w:t xml:space="preserve"> </w:t>
      </w:r>
      <w:r w:rsidRPr="00AA6AF4">
        <w:t>For use as an explanatory variable, the number of employees has</w:t>
      </w:r>
      <w:r w:rsidR="00162397">
        <w:t xml:space="preserve"> </w:t>
      </w:r>
      <w:r w:rsidRPr="00AA6AF4">
        <w:t>been standardised by dividing the total salary bill under the</w:t>
      </w:r>
      <w:r w:rsidR="00162397">
        <w:t xml:space="preserve"> </w:t>
      </w:r>
      <w:r w:rsidRPr="00AA6AF4">
        <w:t>relevant expenditure head by the all-States average salary of an</w:t>
      </w:r>
      <w:r w:rsidR="00162397">
        <w:t xml:space="preserve"> </w:t>
      </w:r>
      <w:r w:rsidRPr="00AA6AF4">
        <w:t>employee. Appendix 6 details the various adjustments made in</w:t>
      </w:r>
      <w:r w:rsidR="00162397">
        <w:t xml:space="preserve"> </w:t>
      </w:r>
      <w:r w:rsidRPr="00AA6AF4">
        <w:t>the data used to estimate the cost functions.</w:t>
      </w:r>
    </w:p>
    <w:p w14:paraId="6F7B3258" w14:textId="7AC39A7B" w:rsidR="00294D85" w:rsidRPr="00AA6AF4" w:rsidRDefault="00294D85" w:rsidP="005069B2">
      <w:pPr>
        <w:pStyle w:val="Heading6"/>
        <w:keepNext w:val="0"/>
        <w:keepLines w:val="0"/>
        <w:spacing w:before="0" w:line="240" w:lineRule="auto"/>
        <w:ind w:left="0" w:firstLine="284"/>
      </w:pPr>
      <w:r w:rsidRPr="00AA6AF4">
        <w:t>The specification of the relationship for each category</w:t>
      </w:r>
      <w:r w:rsidR="00162397">
        <w:t xml:space="preserve"> </w:t>
      </w:r>
      <w:r w:rsidRPr="00AA6AF4">
        <w:t>of expenditure has been tested using both per capita (in the case</w:t>
      </w:r>
      <w:r w:rsidR="00162397">
        <w:t xml:space="preserve"> </w:t>
      </w:r>
      <w:r w:rsidRPr="00AA6AF4">
        <w:t>of education expenditures per child also) and total expenditures of</w:t>
      </w:r>
      <w:r w:rsidR="00162397">
        <w:t xml:space="preserve"> </w:t>
      </w:r>
      <w:r w:rsidRPr="00AA6AF4">
        <w:t>the States as the dependent variables. The role of many of the</w:t>
      </w:r>
      <w:r w:rsidR="00BF4B4D">
        <w:t xml:space="preserve"> </w:t>
      </w:r>
      <w:r w:rsidRPr="00AA6AF4">
        <w:t>elements of quantity and cost which might affect expenditures</w:t>
      </w:r>
      <w:r w:rsidR="00162397">
        <w:t xml:space="preserve"> </w:t>
      </w:r>
      <w:r w:rsidRPr="00AA6AF4">
        <w:t>was evaluated in the linear and log-linear functional forms. The</w:t>
      </w:r>
      <w:r w:rsidR="00BF4B4D">
        <w:t xml:space="preserve"> </w:t>
      </w:r>
      <w:r w:rsidRPr="00AA6AF4">
        <w:t>equations have been selected on the basis of conformity to a</w:t>
      </w:r>
      <w:r w:rsidR="00162397">
        <w:t xml:space="preserve"> </w:t>
      </w:r>
      <w:r w:rsidRPr="00AA6AF4">
        <w:t>priori reasoning and statistical properties such as the explanatory</w:t>
      </w:r>
      <w:r w:rsidR="00BF4B4D">
        <w:t xml:space="preserve"> </w:t>
      </w:r>
      <w:r w:rsidRPr="00AA6AF4">
        <w:t>power of the regressors. Variables with low T-ratios, but</w:t>
      </w:r>
      <w:r w:rsidR="00162397">
        <w:t xml:space="preserve"> </w:t>
      </w:r>
      <w:r w:rsidRPr="00AA6AF4">
        <w:t>conforming to a priori reasoning, have been retained to avoid the</w:t>
      </w:r>
      <w:r w:rsidR="00162397">
        <w:t xml:space="preserve"> </w:t>
      </w:r>
      <w:r w:rsidRPr="00AA6AF4">
        <w:t>more serious bias that could arise as a result of the exclusion of a</w:t>
      </w:r>
      <w:r w:rsidR="00162397">
        <w:t xml:space="preserve"> </w:t>
      </w:r>
      <w:r w:rsidRPr="00AA6AF4">
        <w:t>variable whose significance has not been picked up adequately</w:t>
      </w:r>
      <w:r w:rsidR="00162397">
        <w:t xml:space="preserve"> </w:t>
      </w:r>
      <w:r w:rsidRPr="00AA6AF4">
        <w:t>due to data limitations.</w:t>
      </w:r>
    </w:p>
    <w:p w14:paraId="644746D6" w14:textId="5201CF6C" w:rsidR="00294D85" w:rsidRPr="00AA6AF4" w:rsidRDefault="00294D85" w:rsidP="005069B2">
      <w:pPr>
        <w:pStyle w:val="Heading6"/>
        <w:keepNext w:val="0"/>
        <w:keepLines w:val="0"/>
        <w:spacing w:before="0" w:line="240" w:lineRule="auto"/>
        <w:ind w:left="0" w:firstLine="284"/>
      </w:pPr>
      <w:r w:rsidRPr="00AA6AF4">
        <w:t> The general linear model employed by us is a widely</w:t>
      </w:r>
      <w:r w:rsidR="00162397">
        <w:t xml:space="preserve"> </w:t>
      </w:r>
      <w:r w:rsidRPr="00AA6AF4">
        <w:t>used statistical tool. As in all statistical applications, however, the</w:t>
      </w:r>
      <w:r w:rsidR="006C1DC7">
        <w:t xml:space="preserve"> </w:t>
      </w:r>
      <w:r w:rsidRPr="00AA6AF4">
        <w:t>power of the method depends on the underlying assumptions</w:t>
      </w:r>
      <w:r w:rsidR="00162397">
        <w:t xml:space="preserve"> </w:t>
      </w:r>
      <w:r w:rsidRPr="00AA6AF4">
        <w:t>being fulfilled for the particular application in question. Some</w:t>
      </w:r>
      <w:r w:rsidR="006C1DC7">
        <w:t xml:space="preserve"> </w:t>
      </w:r>
      <w:r w:rsidRPr="00AA6AF4">
        <w:t>assumptions turn out to be more crucial than others. One of the</w:t>
      </w:r>
      <w:r w:rsidR="00162397">
        <w:t xml:space="preserve"> </w:t>
      </w:r>
      <w:r w:rsidRPr="00AA6AF4">
        <w:t>basic assumptions, although not very crucial for prediction, is that no linear dependence exists between the explanatory variables.</w:t>
      </w:r>
      <w:r w:rsidR="00162397">
        <w:t xml:space="preserve"> </w:t>
      </w:r>
      <w:r w:rsidRPr="00AA6AF4">
        <w:t>For estimating the cost functions offsetting the presence of</w:t>
      </w:r>
      <w:r w:rsidR="00162397">
        <w:t xml:space="preserve"> </w:t>
      </w:r>
      <w:r w:rsidR="00162397" w:rsidRPr="00AA6AF4">
        <w:t>multicollinearity</w:t>
      </w:r>
      <w:r w:rsidRPr="00AA6AF4">
        <w:t xml:space="preserve"> required the</w:t>
      </w:r>
      <w:r w:rsidR="00162397">
        <w:t xml:space="preserve"> </w:t>
      </w:r>
      <w:r w:rsidRPr="00AA6AF4">
        <w:t>judicious use by us of various</w:t>
      </w:r>
      <w:r w:rsidR="00162397">
        <w:t xml:space="preserve"> </w:t>
      </w:r>
      <w:r w:rsidRPr="00AA6AF4">
        <w:t>correlation coefficients, both zero order and partial.</w:t>
      </w:r>
    </w:p>
    <w:p w14:paraId="1D757D1A" w14:textId="378CFD7B" w:rsidR="00294D85" w:rsidRPr="00AA6AF4" w:rsidRDefault="00294D85" w:rsidP="005069B2">
      <w:pPr>
        <w:pStyle w:val="Heading6"/>
        <w:keepNext w:val="0"/>
        <w:keepLines w:val="0"/>
        <w:spacing w:before="0" w:line="240" w:lineRule="auto"/>
        <w:ind w:left="0" w:firstLine="284"/>
      </w:pPr>
      <w:r w:rsidRPr="00AA6AF4">
        <w:lastRenderedPageBreak/>
        <w:t>One of the main purposes of estimating a relation such</w:t>
      </w:r>
      <w:r w:rsidR="00162397">
        <w:t xml:space="preserve"> </w:t>
      </w:r>
      <w:r w:rsidRPr="00AA6AF4">
        <w:t>as the cost function is to enable us to make predictions of the</w:t>
      </w:r>
      <w:r w:rsidR="006C1DC7">
        <w:t xml:space="preserve"> </w:t>
      </w:r>
      <w:r w:rsidRPr="00AA6AF4">
        <w:t>expected value of the dependent variable associated with some</w:t>
      </w:r>
      <w:r w:rsidR="00162397">
        <w:t xml:space="preserve"> </w:t>
      </w:r>
      <w:r w:rsidRPr="00AA6AF4">
        <w:t>set of values of the independent variables not observed in the</w:t>
      </w:r>
      <w:r w:rsidR="006C1DC7">
        <w:t xml:space="preserve"> </w:t>
      </w:r>
      <w:r w:rsidRPr="00AA6AF4">
        <w:t>sample. In some studies, especially those based on cross-section</w:t>
      </w:r>
      <w:r w:rsidR="00162397">
        <w:t xml:space="preserve"> </w:t>
      </w:r>
      <w:r w:rsidRPr="00AA6AF4">
        <w:t>data, the assumption of constant variance of the error term is</w:t>
      </w:r>
      <w:r w:rsidR="006C1DC7">
        <w:t xml:space="preserve"> </w:t>
      </w:r>
      <w:r w:rsidRPr="00AA6AF4">
        <w:t>unrealistic. The possibility of testing the assumption of</w:t>
      </w:r>
      <w:r w:rsidR="00162397">
        <w:t xml:space="preserve"> </w:t>
      </w:r>
      <w:r w:rsidRPr="00AA6AF4">
        <w:t>homoscedasticity, however, depends on the nature of the sample</w:t>
      </w:r>
      <w:r w:rsidR="006C1DC7">
        <w:t xml:space="preserve"> </w:t>
      </w:r>
      <w:r w:rsidRPr="00AA6AF4">
        <w:t>data available. Further, there is scant empirical evidence on the</w:t>
      </w:r>
      <w:r w:rsidR="00162397">
        <w:t xml:space="preserve"> </w:t>
      </w:r>
      <w:r w:rsidRPr="00AA6AF4">
        <w:t>likely type of heteroscedasticity in the cost functions estimated</w:t>
      </w:r>
      <w:r w:rsidR="00162397">
        <w:t xml:space="preserve"> </w:t>
      </w:r>
      <w:r w:rsidRPr="00AA6AF4">
        <w:t>here. Therefore,</w:t>
      </w:r>
      <w:r w:rsidR="00162397">
        <w:t xml:space="preserve"> </w:t>
      </w:r>
      <w:r w:rsidRPr="00AA6AF4">
        <w:t>we have done a study of residual variance based</w:t>
      </w:r>
      <w:r w:rsidR="00162397">
        <w:t xml:space="preserve"> </w:t>
      </w:r>
      <w:r w:rsidRPr="00AA6AF4">
        <w:t>on the regression of squared residuals on squared fitted values.</w:t>
      </w:r>
      <w:r w:rsidR="00162397">
        <w:t xml:space="preserve"> </w:t>
      </w:r>
      <w:r w:rsidRPr="00AA6AF4">
        <w:t xml:space="preserve">The upper 1 per cent points </w:t>
      </w:r>
      <w:proofErr w:type="gramStart"/>
      <w:r w:rsidRPr="00AA6AF4">
        <w:t xml:space="preserve">in </w:t>
      </w:r>
      <w:r w:rsidR="00162397">
        <w:t xml:space="preserve"> </w:t>
      </w:r>
      <w:r w:rsidRPr="00AA6AF4">
        <w:t>-</w:t>
      </w:r>
      <w:proofErr w:type="gramEnd"/>
      <w:r w:rsidRPr="00AA6AF4">
        <w:t>distributions indicated that the</w:t>
      </w:r>
      <w:r w:rsidR="00162397">
        <w:t xml:space="preserve"> </w:t>
      </w:r>
      <w:r w:rsidRPr="00AA6AF4">
        <w:t>assumption of homoscedasticity in the cost functions is not</w:t>
      </w:r>
      <w:r w:rsidR="00162397">
        <w:t xml:space="preserve"> </w:t>
      </w:r>
      <w:r w:rsidRPr="00AA6AF4">
        <w:t>unrealistic.</w:t>
      </w:r>
    </w:p>
    <w:p w14:paraId="3F4CFD80" w14:textId="77777777" w:rsidR="00294D85" w:rsidRPr="00162397" w:rsidRDefault="00294D85" w:rsidP="005069B2">
      <w:pPr>
        <w:spacing w:line="240" w:lineRule="auto"/>
        <w:jc w:val="center"/>
        <w:rPr>
          <w:rFonts w:ascii="Times New Roman" w:hAnsi="Times New Roman" w:cs="Times New Roman"/>
          <w:sz w:val="20"/>
          <w:szCs w:val="20"/>
        </w:rPr>
      </w:pPr>
      <w:r w:rsidRPr="00162397">
        <w:rPr>
          <w:rFonts w:ascii="Times New Roman" w:hAnsi="Times New Roman" w:cs="Times New Roman"/>
          <w:b/>
          <w:bCs/>
          <w:sz w:val="20"/>
          <w:szCs w:val="20"/>
        </w:rPr>
        <w:t xml:space="preserve">Analysis Of </w:t>
      </w:r>
      <w:proofErr w:type="gramStart"/>
      <w:r w:rsidRPr="00162397">
        <w:rPr>
          <w:rFonts w:ascii="Times New Roman" w:hAnsi="Times New Roman" w:cs="Times New Roman"/>
          <w:b/>
          <w:bCs/>
          <w:sz w:val="20"/>
          <w:szCs w:val="20"/>
        </w:rPr>
        <w:t>The</w:t>
      </w:r>
      <w:proofErr w:type="gramEnd"/>
      <w:r w:rsidRPr="00162397">
        <w:rPr>
          <w:rFonts w:ascii="Times New Roman" w:hAnsi="Times New Roman" w:cs="Times New Roman"/>
          <w:b/>
          <w:bCs/>
          <w:sz w:val="20"/>
          <w:szCs w:val="20"/>
        </w:rPr>
        <w:t xml:space="preserve"> Results</w:t>
      </w:r>
    </w:p>
    <w:p w14:paraId="07A5F40A" w14:textId="77777777" w:rsidR="00294D85" w:rsidRPr="00162397" w:rsidRDefault="00294D85" w:rsidP="005069B2">
      <w:pPr>
        <w:spacing w:after="0" w:line="240" w:lineRule="auto"/>
        <w:jc w:val="both"/>
        <w:rPr>
          <w:rFonts w:ascii="Times New Roman" w:hAnsi="Times New Roman" w:cs="Times New Roman"/>
          <w:sz w:val="20"/>
          <w:szCs w:val="20"/>
        </w:rPr>
      </w:pPr>
      <w:r w:rsidRPr="00162397">
        <w:rPr>
          <w:rFonts w:ascii="Times New Roman" w:hAnsi="Times New Roman" w:cs="Times New Roman"/>
          <w:b/>
          <w:bCs/>
          <w:sz w:val="20"/>
          <w:szCs w:val="20"/>
        </w:rPr>
        <w:t>I. General Services</w:t>
      </w:r>
    </w:p>
    <w:p w14:paraId="048FE3A0" w14:textId="2F9CFB2E" w:rsidR="00294D85" w:rsidRPr="00AA6AF4" w:rsidRDefault="00BF4B4D" w:rsidP="005069B2">
      <w:pPr>
        <w:pStyle w:val="Heading6"/>
        <w:keepNext w:val="0"/>
        <w:keepLines w:val="0"/>
        <w:spacing w:before="0" w:line="240" w:lineRule="auto"/>
        <w:ind w:left="0" w:firstLine="284"/>
      </w:pPr>
      <w:r>
        <w:t xml:space="preserve"> </w:t>
      </w:r>
      <w:r w:rsidR="00294D85" w:rsidRPr="00AA6AF4">
        <w:t>The general services for which expenditures have</w:t>
      </w:r>
      <w:r w:rsidR="00595226">
        <w:t xml:space="preserve"> </w:t>
      </w:r>
      <w:r w:rsidR="00294D85" w:rsidRPr="00AA6AF4">
        <w:t>been normatively determined on the basis of the regression</w:t>
      </w:r>
      <w:r w:rsidR="00294D85" w:rsidRPr="00AA6AF4">
        <w:br/>
        <w:t>analysis consist of (</w:t>
      </w:r>
      <w:proofErr w:type="spellStart"/>
      <w:r w:rsidR="00294D85" w:rsidRPr="00AA6AF4">
        <w:t>i</w:t>
      </w:r>
      <w:proofErr w:type="spellEnd"/>
      <w:r w:rsidR="00294D85" w:rsidRPr="00AA6AF4">
        <w:t>) Organs of State, (ii) Administrative Services,</w:t>
      </w:r>
      <w:r w:rsidR="00162397">
        <w:t xml:space="preserve"> </w:t>
      </w:r>
      <w:r w:rsidR="00294D85" w:rsidRPr="00AA6AF4">
        <w:t>(iii) Administration of Justice, (iv) Fiscal Services, (v) Police, (vi)</w:t>
      </w:r>
      <w:r w:rsidR="00294D85" w:rsidRPr="00AA6AF4">
        <w:br/>
        <w:t>Jails, (vii) Fire Protection and Control, and (viii) Other</w:t>
      </w:r>
      <w:r w:rsidR="00162397">
        <w:t xml:space="preserve"> </w:t>
      </w:r>
      <w:r w:rsidR="00294D85" w:rsidRPr="00AA6AF4">
        <w:t>Administrative Services. The results for these categories of</w:t>
      </w:r>
      <w:r w:rsidR="00162397">
        <w:t xml:space="preserve"> </w:t>
      </w:r>
      <w:r w:rsidR="00294D85" w:rsidRPr="00AA6AF4">
        <w:t>expenditures are presented in Table B.5.1</w:t>
      </w:r>
    </w:p>
    <w:p w14:paraId="1F1C2940" w14:textId="77777777" w:rsidR="00294D85" w:rsidRPr="00786D5A" w:rsidRDefault="00294D85" w:rsidP="005069B2">
      <w:pPr>
        <w:spacing w:after="0" w:line="240" w:lineRule="auto"/>
        <w:jc w:val="both"/>
        <w:rPr>
          <w:rFonts w:ascii="Times New Roman" w:hAnsi="Times New Roman" w:cs="Times New Roman"/>
          <w:sz w:val="20"/>
          <w:szCs w:val="20"/>
        </w:rPr>
      </w:pPr>
      <w:r w:rsidRPr="00786D5A">
        <w:rPr>
          <w:rFonts w:ascii="Times New Roman" w:hAnsi="Times New Roman" w:cs="Times New Roman"/>
          <w:sz w:val="20"/>
          <w:szCs w:val="20"/>
        </w:rPr>
        <w:t>(</w:t>
      </w:r>
      <w:proofErr w:type="spellStart"/>
      <w:r w:rsidRPr="00786D5A">
        <w:rPr>
          <w:rFonts w:ascii="Times New Roman" w:hAnsi="Times New Roman" w:cs="Times New Roman"/>
          <w:sz w:val="20"/>
          <w:szCs w:val="20"/>
        </w:rPr>
        <w:t>i</w:t>
      </w:r>
      <w:proofErr w:type="spellEnd"/>
      <w:r w:rsidRPr="00786D5A">
        <w:rPr>
          <w:rFonts w:ascii="Times New Roman" w:hAnsi="Times New Roman" w:cs="Times New Roman"/>
          <w:sz w:val="20"/>
          <w:szCs w:val="20"/>
        </w:rPr>
        <w:t>) Organs Of State</w:t>
      </w:r>
    </w:p>
    <w:p w14:paraId="2AC9DD59" w14:textId="71B6367A" w:rsidR="00A459ED" w:rsidRDefault="00294D85" w:rsidP="005069B2">
      <w:pPr>
        <w:pStyle w:val="Heading6"/>
        <w:keepNext w:val="0"/>
        <w:keepLines w:val="0"/>
        <w:spacing w:before="0" w:line="240" w:lineRule="auto"/>
        <w:ind w:left="0" w:firstLine="142"/>
      </w:pPr>
      <w:r w:rsidRPr="00A459ED">
        <w:rPr>
          <w:rStyle w:val="Heading6Char"/>
        </w:rPr>
        <w:t>Under Organs of State, the major heads of</w:t>
      </w:r>
      <w:r w:rsidR="00A459ED">
        <w:rPr>
          <w:rStyle w:val="Heading6Char"/>
        </w:rPr>
        <w:t xml:space="preserve"> </w:t>
      </w:r>
      <w:r w:rsidRPr="00162397">
        <w:t xml:space="preserve">expenditure included </w:t>
      </w:r>
      <w:proofErr w:type="gramStart"/>
      <w:r w:rsidRPr="00162397">
        <w:t>are :</w:t>
      </w:r>
      <w:proofErr w:type="gramEnd"/>
    </w:p>
    <w:p w14:paraId="11C23F28" w14:textId="77777777" w:rsidR="00A459ED" w:rsidRDefault="00294D85" w:rsidP="005069B2">
      <w:pPr>
        <w:pStyle w:val="Heading6"/>
        <w:keepNext w:val="0"/>
        <w:keepLines w:val="0"/>
        <w:numPr>
          <w:ilvl w:val="0"/>
          <w:numId w:val="0"/>
        </w:numPr>
        <w:spacing w:before="0" w:line="240" w:lineRule="auto"/>
        <w:ind w:left="426"/>
      </w:pPr>
      <w:r w:rsidRPr="00162397">
        <w:t>211. State Legislature</w:t>
      </w:r>
    </w:p>
    <w:p w14:paraId="62D02E26" w14:textId="77777777" w:rsidR="00A459ED" w:rsidRDefault="00294D85" w:rsidP="005069B2">
      <w:pPr>
        <w:pStyle w:val="Heading6"/>
        <w:keepNext w:val="0"/>
        <w:keepLines w:val="0"/>
        <w:numPr>
          <w:ilvl w:val="0"/>
          <w:numId w:val="0"/>
        </w:numPr>
        <w:spacing w:before="0" w:line="240" w:lineRule="auto"/>
        <w:ind w:left="567" w:hanging="141"/>
      </w:pPr>
      <w:r w:rsidRPr="00162397">
        <w:t>212. Governor</w:t>
      </w:r>
    </w:p>
    <w:p w14:paraId="1667319A" w14:textId="133E9469" w:rsidR="00294D85" w:rsidRPr="00162397" w:rsidRDefault="00294D85" w:rsidP="005069B2">
      <w:pPr>
        <w:pStyle w:val="Heading6"/>
        <w:keepNext w:val="0"/>
        <w:keepLines w:val="0"/>
        <w:numPr>
          <w:ilvl w:val="0"/>
          <w:numId w:val="0"/>
        </w:numPr>
        <w:spacing w:before="0" w:line="240" w:lineRule="auto"/>
        <w:ind w:left="426"/>
      </w:pPr>
      <w:r w:rsidRPr="00162397">
        <w:t>213. Council of Ministers</w:t>
      </w:r>
    </w:p>
    <w:p w14:paraId="0FE6A103" w14:textId="63959E46" w:rsidR="00294D85" w:rsidRPr="00162397" w:rsidRDefault="00294D85" w:rsidP="005069B2">
      <w:pPr>
        <w:spacing w:after="0" w:line="240" w:lineRule="auto"/>
        <w:jc w:val="both"/>
        <w:rPr>
          <w:rFonts w:ascii="Times New Roman" w:hAnsi="Times New Roman" w:cs="Times New Roman"/>
          <w:sz w:val="18"/>
          <w:szCs w:val="18"/>
        </w:rPr>
      </w:pPr>
      <w:r w:rsidRPr="00162397">
        <w:rPr>
          <w:rFonts w:ascii="Times New Roman" w:hAnsi="Times New Roman" w:cs="Times New Roman"/>
          <w:sz w:val="18"/>
          <w:szCs w:val="18"/>
        </w:rPr>
        <w:t>(Numbers above refer to the budgetary classification existing prior</w:t>
      </w:r>
      <w:r w:rsidR="00162397">
        <w:rPr>
          <w:rFonts w:ascii="Times New Roman" w:hAnsi="Times New Roman" w:cs="Times New Roman"/>
          <w:sz w:val="18"/>
          <w:szCs w:val="18"/>
        </w:rPr>
        <w:t xml:space="preserve"> </w:t>
      </w:r>
      <w:r w:rsidRPr="00162397">
        <w:rPr>
          <w:rFonts w:ascii="Times New Roman" w:hAnsi="Times New Roman" w:cs="Times New Roman"/>
          <w:sz w:val="18"/>
          <w:szCs w:val="18"/>
        </w:rPr>
        <w:t>to the change made in 1987-88)</w:t>
      </w:r>
    </w:p>
    <w:p w14:paraId="1DBBAF2F" w14:textId="45AD02FF" w:rsidR="00294D85" w:rsidRPr="00AA6AF4" w:rsidRDefault="00294D85" w:rsidP="005069B2">
      <w:pPr>
        <w:pStyle w:val="Heading6"/>
        <w:keepNext w:val="0"/>
        <w:keepLines w:val="0"/>
        <w:spacing w:before="0" w:line="240" w:lineRule="auto"/>
        <w:ind w:left="0" w:firstLine="284"/>
      </w:pPr>
      <w:r w:rsidRPr="00AA6AF4">
        <w:t xml:space="preserve">After experimenting with different variables, </w:t>
      </w:r>
      <w:r w:rsidR="00A459ED" w:rsidRPr="00AA6AF4">
        <w:t>the number</w:t>
      </w:r>
      <w:r w:rsidRPr="00AA6AF4">
        <w:t xml:space="preserve"> of standard employees per thousand population, the</w:t>
      </w:r>
      <w:r w:rsidR="00A459ED">
        <w:t xml:space="preserve"> </w:t>
      </w:r>
      <w:r w:rsidRPr="00AA6AF4">
        <w:t>proportion of urban population and price differences among the</w:t>
      </w:r>
      <w:r w:rsidR="00A459ED">
        <w:t xml:space="preserve"> </w:t>
      </w:r>
      <w:r w:rsidRPr="00AA6AF4">
        <w:t>States have been included as explanatory variables in the</w:t>
      </w:r>
      <w:r w:rsidR="00A459ED">
        <w:t xml:space="preserve"> </w:t>
      </w:r>
      <w:r w:rsidRPr="00AA6AF4">
        <w:t>equation. The regressor "number of standard employees" is taken</w:t>
      </w:r>
      <w:r w:rsidR="00A459ED">
        <w:t xml:space="preserve"> </w:t>
      </w:r>
      <w:r w:rsidRPr="00AA6AF4">
        <w:t>to represent the quantity factor and the proportion of urban</w:t>
      </w:r>
      <w:r w:rsidR="00A459ED">
        <w:t xml:space="preserve"> </w:t>
      </w:r>
      <w:r w:rsidRPr="00AA6AF4">
        <w:t>population and price differences are taken to represent cost</w:t>
      </w:r>
      <w:r w:rsidR="00A459ED">
        <w:t xml:space="preserve"> </w:t>
      </w:r>
      <w:r w:rsidRPr="00AA6AF4">
        <w:t>factors beyond the States' control. The cost of providing services</w:t>
      </w:r>
      <w:r w:rsidR="00A459ED">
        <w:t xml:space="preserve"> </w:t>
      </w:r>
      <w:r w:rsidRPr="00AA6AF4">
        <w:t>in rural areas as against urban areas is expected to be higher and,</w:t>
      </w:r>
      <w:r w:rsidR="00A459ED">
        <w:t xml:space="preserve"> </w:t>
      </w:r>
      <w:r w:rsidRPr="00AA6AF4">
        <w:t>therefore, the expected sign of the coefficient of the variable is</w:t>
      </w:r>
      <w:r w:rsidR="00A459ED">
        <w:t xml:space="preserve"> </w:t>
      </w:r>
      <w:r w:rsidRPr="00AA6AF4">
        <w:t>negative. The expected sign of the coefficient of prices is positive.</w:t>
      </w:r>
      <w:r w:rsidR="00BF4B4D">
        <w:t xml:space="preserve"> </w:t>
      </w:r>
      <w:r w:rsidRPr="00AA6AF4">
        <w:t>The log-linear function is found to have the best fit, explaining</w:t>
      </w:r>
      <w:r w:rsidR="00A459ED">
        <w:t xml:space="preserve"> </w:t>
      </w:r>
      <w:r w:rsidRPr="00AA6AF4">
        <w:t>about 60 per cent of the variation (adjusted for degrees of</w:t>
      </w:r>
      <w:r w:rsidR="00A459ED">
        <w:t xml:space="preserve"> </w:t>
      </w:r>
      <w:r w:rsidRPr="00AA6AF4">
        <w:t>freedom) in the per capita expenditure differences among the</w:t>
      </w:r>
      <w:r w:rsidR="00A459ED">
        <w:t xml:space="preserve"> </w:t>
      </w:r>
      <w:r w:rsidRPr="00AA6AF4">
        <w:t>States. As the quantity variable is specified in terms of the number</w:t>
      </w:r>
      <w:r w:rsidR="00A459ED">
        <w:t xml:space="preserve"> </w:t>
      </w:r>
      <w:r w:rsidRPr="00AA6AF4">
        <w:t>of standard employees, salary differences among the States are</w:t>
      </w:r>
      <w:r w:rsidR="00A459ED">
        <w:t xml:space="preserve"> </w:t>
      </w:r>
      <w:r w:rsidRPr="00AA6AF4">
        <w:t>automatically taken into account in the equation.</w:t>
      </w:r>
    </w:p>
    <w:p w14:paraId="443C4F4D" w14:textId="77777777" w:rsidR="00294D85" w:rsidRPr="00786D5A" w:rsidRDefault="00294D85" w:rsidP="005069B2">
      <w:pPr>
        <w:pStyle w:val="Heading6"/>
        <w:keepNext w:val="0"/>
        <w:keepLines w:val="0"/>
        <w:numPr>
          <w:ilvl w:val="0"/>
          <w:numId w:val="0"/>
        </w:numPr>
        <w:spacing w:before="0" w:line="240" w:lineRule="auto"/>
        <w:ind w:left="142"/>
      </w:pPr>
      <w:r w:rsidRPr="00786D5A">
        <w:t>(ii) Administrative Services</w:t>
      </w:r>
    </w:p>
    <w:p w14:paraId="25593E7E" w14:textId="77777777" w:rsidR="006C1DC7" w:rsidRDefault="00294D85" w:rsidP="005069B2">
      <w:pPr>
        <w:pStyle w:val="Heading6"/>
        <w:keepNext w:val="0"/>
        <w:keepLines w:val="0"/>
        <w:spacing w:before="0" w:line="240" w:lineRule="auto"/>
        <w:rPr>
          <w:szCs w:val="24"/>
        </w:rPr>
      </w:pPr>
      <w:r w:rsidRPr="00AA6AF4">
        <w:rPr>
          <w:szCs w:val="24"/>
        </w:rPr>
        <w:t xml:space="preserve">Administrative Services consist of expenditure </w:t>
      </w:r>
      <w:proofErr w:type="gramStart"/>
      <w:r w:rsidRPr="00AA6AF4">
        <w:rPr>
          <w:szCs w:val="24"/>
        </w:rPr>
        <w:t>on :</w:t>
      </w:r>
      <w:proofErr w:type="gramEnd"/>
    </w:p>
    <w:p w14:paraId="25EA504C" w14:textId="77777777" w:rsidR="006C1DC7" w:rsidRDefault="00294D85" w:rsidP="005069B2">
      <w:pPr>
        <w:pStyle w:val="Heading6"/>
        <w:keepNext w:val="0"/>
        <w:keepLines w:val="0"/>
        <w:numPr>
          <w:ilvl w:val="0"/>
          <w:numId w:val="0"/>
        </w:numPr>
        <w:spacing w:before="0" w:line="240" w:lineRule="auto"/>
        <w:ind w:left="360"/>
        <w:rPr>
          <w:szCs w:val="24"/>
        </w:rPr>
      </w:pPr>
      <w:r w:rsidRPr="00AA6AF4">
        <w:rPr>
          <w:szCs w:val="24"/>
        </w:rPr>
        <w:t>251. Public Service Commission</w:t>
      </w:r>
    </w:p>
    <w:p w14:paraId="79EC66EF" w14:textId="77777777" w:rsidR="006C1DC7" w:rsidRDefault="00294D85" w:rsidP="005069B2">
      <w:pPr>
        <w:pStyle w:val="Heading6"/>
        <w:keepNext w:val="0"/>
        <w:keepLines w:val="0"/>
        <w:numPr>
          <w:ilvl w:val="0"/>
          <w:numId w:val="0"/>
        </w:numPr>
        <w:spacing w:before="0" w:line="240" w:lineRule="auto"/>
        <w:ind w:left="360"/>
        <w:rPr>
          <w:szCs w:val="24"/>
        </w:rPr>
      </w:pPr>
      <w:r w:rsidRPr="00AA6AF4">
        <w:rPr>
          <w:szCs w:val="24"/>
        </w:rPr>
        <w:t>252. Secretariat - General Services</w:t>
      </w:r>
      <w:r w:rsidR="006C1DC7">
        <w:rPr>
          <w:szCs w:val="24"/>
        </w:rPr>
        <w:t xml:space="preserve"> </w:t>
      </w:r>
    </w:p>
    <w:p w14:paraId="1574BF3D" w14:textId="77777777" w:rsidR="006C1DC7" w:rsidRDefault="00294D85" w:rsidP="005069B2">
      <w:pPr>
        <w:pStyle w:val="Heading6"/>
        <w:keepNext w:val="0"/>
        <w:keepLines w:val="0"/>
        <w:numPr>
          <w:ilvl w:val="0"/>
          <w:numId w:val="0"/>
        </w:numPr>
        <w:spacing w:before="0" w:line="240" w:lineRule="auto"/>
        <w:ind w:left="360"/>
        <w:rPr>
          <w:szCs w:val="24"/>
        </w:rPr>
      </w:pPr>
      <w:r w:rsidRPr="00AA6AF4">
        <w:rPr>
          <w:szCs w:val="24"/>
        </w:rPr>
        <w:t>253. District Administration</w:t>
      </w:r>
    </w:p>
    <w:p w14:paraId="58BB23C6" w14:textId="17077DE0" w:rsidR="00294D85" w:rsidRPr="00AA6AF4" w:rsidRDefault="00294D85" w:rsidP="005069B2">
      <w:pPr>
        <w:pStyle w:val="Heading6"/>
        <w:keepNext w:val="0"/>
        <w:keepLines w:val="0"/>
        <w:numPr>
          <w:ilvl w:val="0"/>
          <w:numId w:val="0"/>
        </w:numPr>
        <w:spacing w:before="0" w:line="240" w:lineRule="auto"/>
        <w:ind w:left="360"/>
        <w:rPr>
          <w:szCs w:val="24"/>
        </w:rPr>
      </w:pPr>
      <w:r w:rsidRPr="00AA6AF4">
        <w:rPr>
          <w:szCs w:val="24"/>
        </w:rPr>
        <w:t>254. Treasury and Accounts and Administration</w:t>
      </w:r>
    </w:p>
    <w:p w14:paraId="1E5844DD" w14:textId="2857E0A7" w:rsidR="00294D85" w:rsidRPr="00AA6AF4" w:rsidRDefault="00294D85" w:rsidP="005069B2">
      <w:pPr>
        <w:spacing w:after="0" w:line="240" w:lineRule="auto"/>
        <w:jc w:val="both"/>
        <w:rPr>
          <w:rFonts w:ascii="Times New Roman" w:hAnsi="Times New Roman" w:cs="Times New Roman"/>
          <w:szCs w:val="24"/>
        </w:rPr>
      </w:pPr>
      <w:r w:rsidRPr="006C1DC7">
        <w:rPr>
          <w:rFonts w:ascii="Times New Roman" w:hAnsi="Times New Roman" w:cs="Times New Roman"/>
          <w:sz w:val="18"/>
          <w:szCs w:val="18"/>
        </w:rPr>
        <w:t>Of the various quantity and cost variables experimented with, only</w:t>
      </w:r>
      <w:r w:rsidR="006C1DC7">
        <w:rPr>
          <w:rFonts w:ascii="Times New Roman" w:hAnsi="Times New Roman" w:cs="Times New Roman"/>
          <w:sz w:val="18"/>
          <w:szCs w:val="18"/>
        </w:rPr>
        <w:t xml:space="preserve"> </w:t>
      </w:r>
      <w:r w:rsidRPr="006C1DC7">
        <w:rPr>
          <w:rFonts w:ascii="Times New Roman" w:hAnsi="Times New Roman" w:cs="Times New Roman"/>
          <w:sz w:val="18"/>
          <w:szCs w:val="18"/>
        </w:rPr>
        <w:t>the number of standard employees per thousand population and</w:t>
      </w:r>
      <w:r w:rsidR="00595226">
        <w:rPr>
          <w:rFonts w:ascii="Times New Roman" w:hAnsi="Times New Roman" w:cs="Times New Roman"/>
          <w:sz w:val="18"/>
          <w:szCs w:val="18"/>
        </w:rPr>
        <w:t xml:space="preserve"> </w:t>
      </w:r>
      <w:r w:rsidRPr="006C1DC7">
        <w:rPr>
          <w:rFonts w:ascii="Times New Roman" w:hAnsi="Times New Roman" w:cs="Times New Roman"/>
          <w:sz w:val="18"/>
          <w:szCs w:val="18"/>
        </w:rPr>
        <w:t>the price differences among the States have been found to be</w:t>
      </w:r>
      <w:r w:rsidR="006C1DC7">
        <w:rPr>
          <w:rFonts w:ascii="Times New Roman" w:hAnsi="Times New Roman" w:cs="Times New Roman"/>
          <w:sz w:val="18"/>
          <w:szCs w:val="18"/>
        </w:rPr>
        <w:t xml:space="preserve"> </w:t>
      </w:r>
      <w:r w:rsidRPr="006C1DC7">
        <w:rPr>
          <w:rFonts w:ascii="Times New Roman" w:hAnsi="Times New Roman" w:cs="Times New Roman"/>
          <w:sz w:val="18"/>
          <w:szCs w:val="18"/>
        </w:rPr>
        <w:t>significant. The two variables explain over 85 per cent of</w:t>
      </w:r>
      <w:r w:rsidR="00595226">
        <w:rPr>
          <w:rFonts w:ascii="Times New Roman" w:hAnsi="Times New Roman" w:cs="Times New Roman"/>
          <w:sz w:val="18"/>
          <w:szCs w:val="18"/>
        </w:rPr>
        <w:t xml:space="preserve"> </w:t>
      </w:r>
      <w:r w:rsidRPr="006C1DC7">
        <w:rPr>
          <w:rFonts w:ascii="Times New Roman" w:hAnsi="Times New Roman" w:cs="Times New Roman"/>
          <w:sz w:val="18"/>
          <w:szCs w:val="18"/>
        </w:rPr>
        <w:t>variations in per capita expenditures in a log-linear model. As in</w:t>
      </w:r>
      <w:r w:rsidR="006C1DC7">
        <w:rPr>
          <w:rFonts w:ascii="Times New Roman" w:hAnsi="Times New Roman" w:cs="Times New Roman"/>
          <w:sz w:val="18"/>
          <w:szCs w:val="18"/>
        </w:rPr>
        <w:t xml:space="preserve"> </w:t>
      </w:r>
      <w:r w:rsidRPr="006C1DC7">
        <w:rPr>
          <w:rFonts w:ascii="Times New Roman" w:hAnsi="Times New Roman" w:cs="Times New Roman"/>
          <w:sz w:val="18"/>
          <w:szCs w:val="18"/>
        </w:rPr>
        <w:t>the earlier case, the number of standard employees is taken as the</w:t>
      </w:r>
      <w:r w:rsidR="00595226">
        <w:rPr>
          <w:rFonts w:ascii="Times New Roman" w:hAnsi="Times New Roman" w:cs="Times New Roman"/>
          <w:sz w:val="18"/>
          <w:szCs w:val="18"/>
        </w:rPr>
        <w:t xml:space="preserve"> </w:t>
      </w:r>
      <w:r w:rsidRPr="006C1DC7">
        <w:rPr>
          <w:rFonts w:ascii="Times New Roman" w:hAnsi="Times New Roman" w:cs="Times New Roman"/>
          <w:sz w:val="18"/>
          <w:szCs w:val="18"/>
        </w:rPr>
        <w:t>quantity variable</w:t>
      </w:r>
      <w:r w:rsidRPr="00AA6AF4">
        <w:rPr>
          <w:rFonts w:ascii="Times New Roman" w:hAnsi="Times New Roman" w:cs="Times New Roman"/>
          <w:szCs w:val="24"/>
        </w:rPr>
        <w:t>.</w:t>
      </w:r>
    </w:p>
    <w:p w14:paraId="3B569546" w14:textId="77777777" w:rsidR="00294D85" w:rsidRPr="00786D5A" w:rsidRDefault="00294D85" w:rsidP="005069B2">
      <w:pPr>
        <w:spacing w:after="0" w:line="240" w:lineRule="auto"/>
        <w:jc w:val="both"/>
        <w:rPr>
          <w:rFonts w:ascii="Times New Roman" w:hAnsi="Times New Roman" w:cs="Times New Roman"/>
          <w:sz w:val="18"/>
          <w:szCs w:val="18"/>
        </w:rPr>
      </w:pPr>
      <w:r w:rsidRPr="00786D5A">
        <w:rPr>
          <w:rFonts w:ascii="Times New Roman" w:hAnsi="Times New Roman" w:cs="Times New Roman"/>
          <w:sz w:val="18"/>
          <w:szCs w:val="18"/>
        </w:rPr>
        <w:t>(iii) Administration of Justice</w:t>
      </w:r>
    </w:p>
    <w:p w14:paraId="03A960BF" w14:textId="5DC0B8C1" w:rsidR="00294D85" w:rsidRPr="00AA6AF4" w:rsidRDefault="00294D85" w:rsidP="005069B2">
      <w:pPr>
        <w:pStyle w:val="Heading6"/>
        <w:keepNext w:val="0"/>
        <w:keepLines w:val="0"/>
        <w:spacing w:before="0" w:line="240" w:lineRule="auto"/>
        <w:ind w:left="0" w:firstLine="284"/>
      </w:pPr>
      <w:r w:rsidRPr="00AA6AF4">
        <w:t>In the case of Administration of Justice (major head</w:t>
      </w:r>
      <w:r w:rsidR="006C1DC7">
        <w:t xml:space="preserve"> </w:t>
      </w:r>
      <w:r w:rsidRPr="00AA6AF4">
        <w:t>214), the per capita expenditures in the log-linear form are found</w:t>
      </w:r>
      <w:r w:rsidR="00595226">
        <w:t xml:space="preserve"> </w:t>
      </w:r>
      <w:r w:rsidRPr="00AA6AF4">
        <w:t>to have the best statistical fit. In the equation, the regressors, the</w:t>
      </w:r>
      <w:r w:rsidR="006C1DC7">
        <w:t xml:space="preserve"> </w:t>
      </w:r>
      <w:r w:rsidRPr="00AA6AF4">
        <w:t>number of standard employees and the cases disposed of per</w:t>
      </w:r>
      <w:r w:rsidR="00595226">
        <w:t xml:space="preserve"> </w:t>
      </w:r>
      <w:r w:rsidRPr="00AA6AF4">
        <w:t>judge are taken to represent the quantity of the services provided.</w:t>
      </w:r>
      <w:r w:rsidR="006C1DC7">
        <w:t xml:space="preserve"> </w:t>
      </w:r>
      <w:r w:rsidRPr="00AA6AF4">
        <w:t>Price differences among the States, the proportion of urban</w:t>
      </w:r>
      <w:r w:rsidR="00595226">
        <w:t xml:space="preserve"> </w:t>
      </w:r>
      <w:r w:rsidRPr="00AA6AF4">
        <w:t>population and the proportion of hill/desert population, on the</w:t>
      </w:r>
      <w:r w:rsidR="006C1DC7">
        <w:t xml:space="preserve"> </w:t>
      </w:r>
      <w:r w:rsidRPr="00AA6AF4">
        <w:t>other hand, are taken to represent cost disabilities. The equation</w:t>
      </w:r>
      <w:r w:rsidR="00595226">
        <w:t xml:space="preserve"> </w:t>
      </w:r>
      <w:r w:rsidRPr="00AA6AF4">
        <w:t>has an explanatory power of 87 per cent, and four of the five</w:t>
      </w:r>
      <w:r w:rsidR="006C1DC7">
        <w:t xml:space="preserve"> </w:t>
      </w:r>
      <w:r w:rsidRPr="00AA6AF4">
        <w:t>variables are significant at the one per cent level.</w:t>
      </w:r>
    </w:p>
    <w:p w14:paraId="13F12959" w14:textId="77777777" w:rsidR="00294D85" w:rsidRPr="00786D5A" w:rsidRDefault="00294D85" w:rsidP="005069B2">
      <w:pPr>
        <w:pStyle w:val="Heading6"/>
        <w:keepNext w:val="0"/>
        <w:keepLines w:val="0"/>
        <w:numPr>
          <w:ilvl w:val="0"/>
          <w:numId w:val="0"/>
        </w:numPr>
        <w:spacing w:before="0" w:line="240" w:lineRule="auto"/>
        <w:ind w:left="142"/>
      </w:pPr>
      <w:r w:rsidRPr="00786D5A">
        <w:t>(iv) Fiscal Services</w:t>
      </w:r>
    </w:p>
    <w:p w14:paraId="25CC0A62" w14:textId="0A3F1E9A" w:rsidR="00294D85" w:rsidRPr="00AA6AF4" w:rsidRDefault="00294D85" w:rsidP="005069B2">
      <w:pPr>
        <w:pStyle w:val="Heading6"/>
        <w:keepNext w:val="0"/>
        <w:keepLines w:val="0"/>
        <w:spacing w:before="0" w:line="240" w:lineRule="auto"/>
        <w:ind w:left="0" w:firstLine="284"/>
      </w:pPr>
      <w:r w:rsidRPr="00AA6AF4">
        <w:t>Fiscal Services (major heads 220, 229, 230, 239, 240,</w:t>
      </w:r>
      <w:r w:rsidR="006C1DC7">
        <w:t xml:space="preserve"> </w:t>
      </w:r>
      <w:r w:rsidRPr="00AA6AF4">
        <w:t>241, 245 and 247) mainly represent the expenditure on tax</w:t>
      </w:r>
      <w:r w:rsidR="00595226">
        <w:t xml:space="preserve"> </w:t>
      </w:r>
      <w:r w:rsidRPr="00AA6AF4">
        <w:t>collection. The expenditure function using total expenditure on</w:t>
      </w:r>
      <w:r w:rsidR="006C1DC7">
        <w:t xml:space="preserve"> </w:t>
      </w:r>
      <w:r w:rsidRPr="00AA6AF4">
        <w:t>fiscal services in a log-linear form is found to have the best fit.</w:t>
      </w:r>
      <w:r w:rsidR="00595226">
        <w:t xml:space="preserve"> </w:t>
      </w:r>
      <w:r w:rsidRPr="00AA6AF4">
        <w:t>Here, the quantity variable is the tax revenue collected. The</w:t>
      </w:r>
      <w:r w:rsidR="006C1DC7">
        <w:t xml:space="preserve"> </w:t>
      </w:r>
      <w:r w:rsidRPr="00AA6AF4">
        <w:t>higher the population density the greater is the ease and hence</w:t>
      </w:r>
      <w:r w:rsidR="00595226">
        <w:t xml:space="preserve"> </w:t>
      </w:r>
      <w:r w:rsidRPr="00AA6AF4">
        <w:t>the lower the cost of tax collections. Similarly, with a higher degree</w:t>
      </w:r>
      <w:r w:rsidR="006C1DC7">
        <w:t xml:space="preserve"> </w:t>
      </w:r>
      <w:r w:rsidRPr="00AA6AF4">
        <w:t>of urbanisation, the cost of collection is likely to be lower.</w:t>
      </w:r>
      <w:r w:rsidR="00595226">
        <w:t xml:space="preserve"> </w:t>
      </w:r>
      <w:r w:rsidRPr="00AA6AF4">
        <w:t>Therefore, population density and the degree of urbanisation in a</w:t>
      </w:r>
      <w:r w:rsidR="006C1DC7">
        <w:t xml:space="preserve"> </w:t>
      </w:r>
      <w:r w:rsidRPr="00AA6AF4">
        <w:t>State have been taken to represent cost disabilities. The</w:t>
      </w:r>
      <w:r w:rsidR="00595226">
        <w:t xml:space="preserve"> </w:t>
      </w:r>
      <w:r w:rsidRPr="00AA6AF4">
        <w:t>coefficients have the expected signs and the equation has an</w:t>
      </w:r>
      <w:r w:rsidR="006C1DC7">
        <w:t xml:space="preserve"> </w:t>
      </w:r>
      <w:r w:rsidRPr="00AA6AF4">
        <w:t>explanatory power of over 64 per cent.</w:t>
      </w:r>
    </w:p>
    <w:p w14:paraId="1FB71D48" w14:textId="77777777" w:rsidR="00294D85" w:rsidRPr="00786D5A" w:rsidRDefault="00294D85" w:rsidP="005069B2">
      <w:pPr>
        <w:spacing w:after="0" w:line="240" w:lineRule="auto"/>
        <w:ind w:left="142"/>
        <w:jc w:val="both"/>
        <w:rPr>
          <w:rFonts w:ascii="Times New Roman" w:hAnsi="Times New Roman" w:cs="Times New Roman"/>
          <w:sz w:val="18"/>
          <w:szCs w:val="18"/>
        </w:rPr>
      </w:pPr>
      <w:r w:rsidRPr="00786D5A">
        <w:rPr>
          <w:rFonts w:ascii="Times New Roman" w:hAnsi="Times New Roman" w:cs="Times New Roman"/>
          <w:sz w:val="18"/>
          <w:szCs w:val="18"/>
        </w:rPr>
        <w:t>(v) Police Expenditures</w:t>
      </w:r>
    </w:p>
    <w:p w14:paraId="4EEB182A" w14:textId="0D2D6C81" w:rsidR="00294D85" w:rsidRPr="00AA6AF4" w:rsidRDefault="00294D85" w:rsidP="005069B2">
      <w:pPr>
        <w:pStyle w:val="Heading6"/>
        <w:keepNext w:val="0"/>
        <w:keepLines w:val="0"/>
        <w:spacing w:before="0" w:line="240" w:lineRule="auto"/>
        <w:ind w:left="0" w:firstLine="284"/>
      </w:pPr>
      <w:r w:rsidRPr="00AA6AF4">
        <w:t>Per capita expenditure on Police (major head 255) is</w:t>
      </w:r>
      <w:r w:rsidR="006C1DC7">
        <w:t xml:space="preserve"> </w:t>
      </w:r>
      <w:r w:rsidRPr="00AA6AF4">
        <w:t>related in a log-linear function to (a) the number of police</w:t>
      </w:r>
      <w:r w:rsidR="00595226">
        <w:t xml:space="preserve"> </w:t>
      </w:r>
      <w:r w:rsidRPr="00AA6AF4">
        <w:t>constables (below SI rank) per thousand population, (b) the</w:t>
      </w:r>
      <w:r w:rsidR="006C1DC7">
        <w:t xml:space="preserve"> </w:t>
      </w:r>
      <w:r w:rsidRPr="00AA6AF4">
        <w:t>number of cognisable offences per thousand population, (c) the</w:t>
      </w:r>
      <w:r w:rsidR="00595226">
        <w:t xml:space="preserve"> </w:t>
      </w:r>
      <w:r w:rsidRPr="00AA6AF4">
        <w:t>differences in the average salaries of constables across the</w:t>
      </w:r>
      <w:r w:rsidR="006C1DC7">
        <w:t xml:space="preserve"> </w:t>
      </w:r>
      <w:r w:rsidRPr="00AA6AF4">
        <w:t>States, and (d) the proportion of urban population. The coefficient</w:t>
      </w:r>
      <w:r w:rsidR="00595226">
        <w:t xml:space="preserve"> </w:t>
      </w:r>
      <w:r w:rsidRPr="00AA6AF4">
        <w:t>of the variable (d) has a positive sign, indicating some correlation</w:t>
      </w:r>
      <w:r w:rsidR="006C1DC7">
        <w:t xml:space="preserve"> </w:t>
      </w:r>
      <w:r w:rsidRPr="00AA6AF4">
        <w:t>between the proportion of urban population and the crime rate.</w:t>
      </w:r>
      <w:r w:rsidR="00595226">
        <w:t xml:space="preserve"> </w:t>
      </w:r>
      <w:r w:rsidRPr="00AA6AF4">
        <w:t>The equation explains about 82 per cent of the variations in the</w:t>
      </w:r>
      <w:r w:rsidR="006C1DC7">
        <w:t xml:space="preserve"> </w:t>
      </w:r>
      <w:r w:rsidRPr="00AA6AF4">
        <w:t>dependent variable.</w:t>
      </w:r>
    </w:p>
    <w:p w14:paraId="2C0AE843" w14:textId="77777777" w:rsidR="00294D85" w:rsidRPr="00786D5A" w:rsidRDefault="00294D85" w:rsidP="005069B2">
      <w:pPr>
        <w:spacing w:after="0" w:line="240" w:lineRule="auto"/>
        <w:ind w:left="142"/>
        <w:jc w:val="both"/>
        <w:rPr>
          <w:rFonts w:ascii="Times New Roman" w:hAnsi="Times New Roman" w:cs="Times New Roman"/>
          <w:sz w:val="18"/>
          <w:szCs w:val="18"/>
        </w:rPr>
      </w:pPr>
      <w:r w:rsidRPr="00786D5A">
        <w:rPr>
          <w:rFonts w:ascii="Times New Roman" w:hAnsi="Times New Roman" w:cs="Times New Roman"/>
          <w:sz w:val="18"/>
          <w:szCs w:val="18"/>
        </w:rPr>
        <w:t>(vi) Jails</w:t>
      </w:r>
    </w:p>
    <w:p w14:paraId="397D267C" w14:textId="05C8A8D4" w:rsidR="00294D85" w:rsidRPr="00AA6AF4" w:rsidRDefault="00294D85" w:rsidP="005069B2">
      <w:pPr>
        <w:pStyle w:val="Heading6"/>
        <w:keepNext w:val="0"/>
        <w:keepLines w:val="0"/>
        <w:spacing w:before="0" w:line="240" w:lineRule="auto"/>
        <w:ind w:left="0" w:firstLine="284"/>
      </w:pPr>
      <w:r w:rsidRPr="00AA6AF4">
        <w:t xml:space="preserve">In the case of expenditures on </w:t>
      </w:r>
      <w:proofErr w:type="gramStart"/>
      <w:r w:rsidRPr="00AA6AF4">
        <w:t>Jails</w:t>
      </w:r>
      <w:proofErr w:type="gramEnd"/>
      <w:r w:rsidRPr="00AA6AF4">
        <w:t xml:space="preserve"> (major head 256),</w:t>
      </w:r>
      <w:r w:rsidR="006C1DC7">
        <w:t xml:space="preserve"> </w:t>
      </w:r>
      <w:r w:rsidRPr="00AA6AF4">
        <w:t>the equation regresses total expenditure on jails on jail capacity,</w:t>
      </w:r>
      <w:r w:rsidR="00595226">
        <w:t xml:space="preserve"> </w:t>
      </w:r>
      <w:r w:rsidRPr="00AA6AF4">
        <w:t>the ratio of the number of prisoners to jail capacity (occupancy</w:t>
      </w:r>
      <w:r w:rsidR="006C1DC7">
        <w:t xml:space="preserve"> </w:t>
      </w:r>
      <w:r w:rsidRPr="00AA6AF4">
        <w:t>ratio), and the density of urban population in a log-linear model.</w:t>
      </w:r>
      <w:r w:rsidR="00595226">
        <w:t xml:space="preserve"> </w:t>
      </w:r>
      <w:r w:rsidRPr="00AA6AF4">
        <w:t>The three variables explain nearly 88 per cent of the variations.</w:t>
      </w:r>
      <w:r w:rsidR="006C1DC7">
        <w:t xml:space="preserve"> </w:t>
      </w:r>
      <w:r w:rsidRPr="00AA6AF4">
        <w:t>The density of urban population, though not significant, has a</w:t>
      </w:r>
      <w:r w:rsidR="00595226">
        <w:t xml:space="preserve"> </w:t>
      </w:r>
      <w:r w:rsidRPr="00AA6AF4">
        <w:t>negative coefficient indicating the operation of economies of scale</w:t>
      </w:r>
      <w:r w:rsidR="006C1DC7">
        <w:t xml:space="preserve"> </w:t>
      </w:r>
      <w:r w:rsidRPr="00AA6AF4">
        <w:t>in more densely populated States.</w:t>
      </w:r>
    </w:p>
    <w:p w14:paraId="113A3C37" w14:textId="77777777" w:rsidR="00294D85" w:rsidRPr="00786D5A" w:rsidRDefault="00294D85" w:rsidP="005069B2">
      <w:pPr>
        <w:spacing w:after="0" w:line="240" w:lineRule="auto"/>
        <w:ind w:left="142"/>
        <w:jc w:val="both"/>
        <w:rPr>
          <w:rFonts w:ascii="Times New Roman" w:hAnsi="Times New Roman" w:cs="Times New Roman"/>
          <w:sz w:val="18"/>
          <w:szCs w:val="18"/>
        </w:rPr>
      </w:pPr>
      <w:r w:rsidRPr="00786D5A">
        <w:rPr>
          <w:rFonts w:ascii="Times New Roman" w:hAnsi="Times New Roman" w:cs="Times New Roman"/>
          <w:sz w:val="18"/>
          <w:szCs w:val="18"/>
        </w:rPr>
        <w:t>(vii) Fire Protection and Control</w:t>
      </w:r>
    </w:p>
    <w:p w14:paraId="0224C34E" w14:textId="4E8C3048" w:rsidR="00294D85" w:rsidRPr="00BF4B4D" w:rsidRDefault="00294D85" w:rsidP="005069B2">
      <w:pPr>
        <w:pStyle w:val="Heading6"/>
        <w:keepNext w:val="0"/>
        <w:keepLines w:val="0"/>
        <w:spacing w:before="0" w:line="240" w:lineRule="auto"/>
        <w:ind w:left="0" w:firstLine="284"/>
      </w:pPr>
      <w:r w:rsidRPr="00BF4B4D">
        <w:t>Per capita expenditure on Fire Protection and Control</w:t>
      </w:r>
      <w:r w:rsidR="006C1DC7" w:rsidRPr="00BF4B4D">
        <w:t xml:space="preserve"> </w:t>
      </w:r>
      <w:r w:rsidRPr="00BF4B4D">
        <w:t>(major head 260) is related in a linear equation to the number of</w:t>
      </w:r>
      <w:r w:rsidR="00595226">
        <w:t xml:space="preserve"> </w:t>
      </w:r>
      <w:r w:rsidRPr="00BF4B4D">
        <w:t>standard employees for fire protection per thousand population,</w:t>
      </w:r>
      <w:r w:rsidR="006C1DC7" w:rsidRPr="00BF4B4D">
        <w:t xml:space="preserve"> </w:t>
      </w:r>
      <w:r w:rsidRPr="00BF4B4D">
        <w:t>the density of urban population and the price differences among</w:t>
      </w:r>
      <w:r w:rsidR="00595226">
        <w:t xml:space="preserve"> </w:t>
      </w:r>
      <w:r w:rsidRPr="00BF4B4D">
        <w:t>the States. The regression analysis is confined to the eleven</w:t>
      </w:r>
      <w:r w:rsidR="006C1DC7" w:rsidRPr="00BF4B4D">
        <w:t xml:space="preserve"> </w:t>
      </w:r>
      <w:r w:rsidRPr="00BF4B4D">
        <w:t>States among the fourteen major States which reported</w:t>
      </w:r>
      <w:r w:rsidR="00595226">
        <w:t xml:space="preserve"> </w:t>
      </w:r>
      <w:r w:rsidRPr="00BF4B4D">
        <w:t>expenditure under the head. While the variable "number of</w:t>
      </w:r>
      <w:r w:rsidR="006C1DC7" w:rsidRPr="00BF4B4D">
        <w:t xml:space="preserve"> </w:t>
      </w:r>
      <w:r w:rsidRPr="00BF4B4D">
        <w:t>standard employees" is taken to represent the quantity of the</w:t>
      </w:r>
      <w:r w:rsidR="00595226">
        <w:t xml:space="preserve"> </w:t>
      </w:r>
      <w:r w:rsidRPr="00BF4B4D">
        <w:t>public services, density of urban population and price differences</w:t>
      </w:r>
      <w:r w:rsidR="00D86437" w:rsidRPr="00BF4B4D">
        <w:t xml:space="preserve"> </w:t>
      </w:r>
      <w:r w:rsidRPr="00BF4B4D">
        <w:t>are taken to denote the cost disability factors.</w:t>
      </w:r>
    </w:p>
    <w:p w14:paraId="57653916" w14:textId="77777777" w:rsidR="00294D85" w:rsidRPr="00786D5A" w:rsidRDefault="00294D85" w:rsidP="005069B2">
      <w:pPr>
        <w:spacing w:after="0" w:line="240" w:lineRule="auto"/>
        <w:jc w:val="both"/>
        <w:rPr>
          <w:rFonts w:ascii="Times New Roman" w:hAnsi="Times New Roman" w:cs="Times New Roman"/>
          <w:sz w:val="18"/>
          <w:szCs w:val="18"/>
        </w:rPr>
      </w:pPr>
      <w:r w:rsidRPr="00786D5A">
        <w:rPr>
          <w:rFonts w:ascii="Times New Roman" w:hAnsi="Times New Roman" w:cs="Times New Roman"/>
          <w:sz w:val="18"/>
          <w:szCs w:val="18"/>
        </w:rPr>
        <w:t>(viii) Other Administrative Services</w:t>
      </w:r>
    </w:p>
    <w:p w14:paraId="2333CBCF" w14:textId="21E42561" w:rsidR="00D86437" w:rsidRDefault="00294D85" w:rsidP="005069B2">
      <w:pPr>
        <w:pStyle w:val="Heading6"/>
        <w:keepNext w:val="0"/>
        <w:keepLines w:val="0"/>
        <w:spacing w:before="0" w:line="240" w:lineRule="auto"/>
        <w:rPr>
          <w:rStyle w:val="Heading6Char"/>
        </w:rPr>
      </w:pPr>
      <w:r w:rsidRPr="00D86437">
        <w:rPr>
          <w:rStyle w:val="Heading6Char"/>
        </w:rPr>
        <w:t>Other Administrative Services consist of the following</w:t>
      </w:r>
      <w:r w:rsidR="00D86437" w:rsidRPr="00D86437">
        <w:rPr>
          <w:rStyle w:val="Heading6Char"/>
        </w:rPr>
        <w:t xml:space="preserve"> </w:t>
      </w:r>
      <w:r w:rsidRPr="00D86437">
        <w:rPr>
          <w:rStyle w:val="Heading6Char"/>
        </w:rPr>
        <w:t xml:space="preserve">major heads of </w:t>
      </w:r>
      <w:proofErr w:type="gramStart"/>
      <w:r w:rsidRPr="00D86437">
        <w:rPr>
          <w:rStyle w:val="Heading6Char"/>
        </w:rPr>
        <w:t>expenditure :</w:t>
      </w:r>
      <w:proofErr w:type="gramEnd"/>
    </w:p>
    <w:p w14:paraId="078DC142" w14:textId="77777777" w:rsidR="00D86437" w:rsidRDefault="00294D85" w:rsidP="005069B2">
      <w:pPr>
        <w:pStyle w:val="Heading6"/>
        <w:keepNext w:val="0"/>
        <w:keepLines w:val="0"/>
        <w:numPr>
          <w:ilvl w:val="0"/>
          <w:numId w:val="0"/>
        </w:numPr>
        <w:spacing w:before="0" w:line="240" w:lineRule="auto"/>
        <w:ind w:left="360"/>
      </w:pPr>
      <w:r w:rsidRPr="00D86437">
        <w:t>257. Supply and Disposal</w:t>
      </w:r>
    </w:p>
    <w:p w14:paraId="4C67398F" w14:textId="77777777" w:rsidR="00D86437" w:rsidRDefault="00294D85" w:rsidP="005069B2">
      <w:pPr>
        <w:pStyle w:val="Heading6"/>
        <w:keepNext w:val="0"/>
        <w:keepLines w:val="0"/>
        <w:numPr>
          <w:ilvl w:val="0"/>
          <w:numId w:val="0"/>
        </w:numPr>
        <w:spacing w:before="0" w:line="240" w:lineRule="auto"/>
        <w:ind w:left="360"/>
      </w:pPr>
      <w:r w:rsidRPr="00D86437">
        <w:lastRenderedPageBreak/>
        <w:t>258. Stationery and Printing</w:t>
      </w:r>
    </w:p>
    <w:p w14:paraId="46D0947C" w14:textId="77777777" w:rsidR="00D86437" w:rsidRDefault="00294D85" w:rsidP="005069B2">
      <w:pPr>
        <w:pStyle w:val="Heading6"/>
        <w:keepNext w:val="0"/>
        <w:keepLines w:val="0"/>
        <w:numPr>
          <w:ilvl w:val="0"/>
          <w:numId w:val="0"/>
        </w:numPr>
        <w:spacing w:before="0" w:line="240" w:lineRule="auto"/>
        <w:ind w:left="360"/>
      </w:pPr>
      <w:r w:rsidRPr="00D86437">
        <w:t>265. Other Administrative Services</w:t>
      </w:r>
    </w:p>
    <w:p w14:paraId="7C33820C" w14:textId="77777777" w:rsidR="00D86437" w:rsidRDefault="00294D85" w:rsidP="005069B2">
      <w:pPr>
        <w:pStyle w:val="Heading6"/>
        <w:keepNext w:val="0"/>
        <w:keepLines w:val="0"/>
        <w:numPr>
          <w:ilvl w:val="0"/>
          <w:numId w:val="0"/>
        </w:numPr>
        <w:spacing w:before="0" w:line="240" w:lineRule="auto"/>
        <w:ind w:left="360"/>
      </w:pPr>
      <w:r w:rsidRPr="00D86437">
        <w:t>267. Aid, Materials, etc.</w:t>
      </w:r>
    </w:p>
    <w:p w14:paraId="614BF236" w14:textId="20807C76" w:rsidR="00294D85" w:rsidRPr="00D86437" w:rsidRDefault="00294D85" w:rsidP="005069B2">
      <w:pPr>
        <w:pStyle w:val="Heading6"/>
        <w:keepNext w:val="0"/>
        <w:keepLines w:val="0"/>
        <w:numPr>
          <w:ilvl w:val="0"/>
          <w:numId w:val="0"/>
        </w:numPr>
        <w:spacing w:before="0" w:line="240" w:lineRule="auto"/>
        <w:ind w:left="360"/>
      </w:pPr>
      <w:r w:rsidRPr="00D86437">
        <w:t>268. Miscellaneous General Services - Other Expenditure</w:t>
      </w:r>
    </w:p>
    <w:p w14:paraId="3997DDB4" w14:textId="68731929" w:rsidR="00294D85" w:rsidRPr="00D86437" w:rsidRDefault="00294D85" w:rsidP="005069B2">
      <w:pPr>
        <w:spacing w:after="0" w:line="240" w:lineRule="auto"/>
        <w:jc w:val="both"/>
        <w:rPr>
          <w:rFonts w:ascii="Times New Roman" w:hAnsi="Times New Roman" w:cs="Times New Roman"/>
          <w:sz w:val="18"/>
          <w:szCs w:val="18"/>
        </w:rPr>
      </w:pPr>
      <w:r w:rsidRPr="00D86437">
        <w:rPr>
          <w:rFonts w:ascii="Times New Roman" w:hAnsi="Times New Roman" w:cs="Times New Roman"/>
          <w:sz w:val="18"/>
          <w:szCs w:val="18"/>
        </w:rPr>
        <w:t>The per capita expenditure on Other Administrative Services is</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regressed on the number of standard employees per thousand</w:t>
      </w:r>
      <w:r w:rsidR="00595226">
        <w:rPr>
          <w:rFonts w:ascii="Times New Roman" w:hAnsi="Times New Roman" w:cs="Times New Roman"/>
          <w:sz w:val="18"/>
          <w:szCs w:val="18"/>
        </w:rPr>
        <w:t xml:space="preserve"> </w:t>
      </w:r>
      <w:r w:rsidRPr="00D86437">
        <w:rPr>
          <w:rFonts w:ascii="Times New Roman" w:hAnsi="Times New Roman" w:cs="Times New Roman"/>
          <w:sz w:val="18"/>
          <w:szCs w:val="18"/>
        </w:rPr>
        <w:t>population, the price differences and the proportion of hill/desert</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population, in a log-linear equation. All the three variables are</w:t>
      </w:r>
      <w:r w:rsidR="00595226">
        <w:rPr>
          <w:rFonts w:ascii="Times New Roman" w:hAnsi="Times New Roman" w:cs="Times New Roman"/>
          <w:sz w:val="18"/>
          <w:szCs w:val="18"/>
        </w:rPr>
        <w:t xml:space="preserve"> </w:t>
      </w:r>
      <w:r w:rsidRPr="00D86437">
        <w:rPr>
          <w:rFonts w:ascii="Times New Roman" w:hAnsi="Times New Roman" w:cs="Times New Roman"/>
          <w:sz w:val="18"/>
          <w:szCs w:val="18"/>
        </w:rPr>
        <w:t>found to be significant at five per cent level and the equation has</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an explanatory power of 79 per cent. While the variable the</w:t>
      </w:r>
      <w:r w:rsidR="00595226">
        <w:rPr>
          <w:rFonts w:ascii="Times New Roman" w:hAnsi="Times New Roman" w:cs="Times New Roman"/>
          <w:sz w:val="18"/>
          <w:szCs w:val="18"/>
        </w:rPr>
        <w:t xml:space="preserve"> </w:t>
      </w:r>
      <w:r w:rsidRPr="00D86437">
        <w:rPr>
          <w:rFonts w:ascii="Times New Roman" w:hAnsi="Times New Roman" w:cs="Times New Roman"/>
          <w:sz w:val="18"/>
          <w:szCs w:val="18"/>
        </w:rPr>
        <w:t>"number of standard employees" represents the quantity of the</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public service, price differences and the proportion of hill/desert population denote cost disabilities. It may also be noted that</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factors such as density of population and proportion of urban</w:t>
      </w:r>
      <w:r w:rsidR="00595226">
        <w:rPr>
          <w:rFonts w:ascii="Times New Roman" w:hAnsi="Times New Roman" w:cs="Times New Roman"/>
          <w:sz w:val="18"/>
          <w:szCs w:val="18"/>
        </w:rPr>
        <w:t xml:space="preserve"> </w:t>
      </w:r>
      <w:r w:rsidRPr="00D86437">
        <w:rPr>
          <w:rFonts w:ascii="Times New Roman" w:hAnsi="Times New Roman" w:cs="Times New Roman"/>
          <w:sz w:val="18"/>
          <w:szCs w:val="18"/>
        </w:rPr>
        <w:t>population are not found to be significant and, therefore, are not</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included in the equation.</w:t>
      </w:r>
    </w:p>
    <w:p w14:paraId="1221254D" w14:textId="77777777" w:rsidR="00294D85" w:rsidRPr="00D86437" w:rsidRDefault="00294D85" w:rsidP="005069B2">
      <w:pPr>
        <w:tabs>
          <w:tab w:val="left" w:pos="2805"/>
        </w:tabs>
        <w:spacing w:after="0" w:line="240" w:lineRule="auto"/>
        <w:jc w:val="center"/>
        <w:rPr>
          <w:rFonts w:ascii="Times New Roman" w:hAnsi="Times New Roman" w:cs="Times New Roman"/>
          <w:sz w:val="20"/>
          <w:szCs w:val="20"/>
        </w:rPr>
      </w:pPr>
      <w:r w:rsidRPr="00D86437">
        <w:rPr>
          <w:rFonts w:ascii="Times New Roman" w:hAnsi="Times New Roman" w:cs="Times New Roman"/>
          <w:b/>
          <w:bCs/>
          <w:sz w:val="20"/>
          <w:szCs w:val="20"/>
        </w:rPr>
        <w:t>II. Social Services</w:t>
      </w:r>
    </w:p>
    <w:p w14:paraId="1CA0A576" w14:textId="04B0769C" w:rsidR="00294D85" w:rsidRPr="00AA6AF4" w:rsidRDefault="00294D85" w:rsidP="005069B2">
      <w:pPr>
        <w:pStyle w:val="Heading6"/>
        <w:keepNext w:val="0"/>
        <w:keepLines w:val="0"/>
        <w:spacing w:before="0" w:line="240" w:lineRule="auto"/>
        <w:ind w:left="0" w:firstLine="284"/>
      </w:pPr>
      <w:r w:rsidRPr="00AA6AF4">
        <w:t>Expenditure on social services has been assessed on</w:t>
      </w:r>
      <w:r w:rsidR="00D86437">
        <w:t xml:space="preserve"> </w:t>
      </w:r>
      <w:r w:rsidRPr="00AA6AF4">
        <w:t>the basis of cost functions fitted for expenditures on education,</w:t>
      </w:r>
      <w:r w:rsidR="00595226">
        <w:t xml:space="preserve"> </w:t>
      </w:r>
      <w:r w:rsidRPr="00AA6AF4">
        <w:t>medical care, family welfare and public health and sanitation</w:t>
      </w:r>
      <w:r w:rsidR="00D86437">
        <w:t xml:space="preserve"> </w:t>
      </w:r>
      <w:r w:rsidRPr="00AA6AF4">
        <w:t>(excluding water supply). Education (major head 277) has been</w:t>
      </w:r>
      <w:r w:rsidR="00595226">
        <w:t xml:space="preserve"> </w:t>
      </w:r>
      <w:r w:rsidRPr="00AA6AF4">
        <w:t>disaggregated into primary education, secondary education and</w:t>
      </w:r>
      <w:r w:rsidR="00D86437">
        <w:t xml:space="preserve"> </w:t>
      </w:r>
      <w:r w:rsidRPr="00AA6AF4">
        <w:t>higher education and dealt with separately in the statistical</w:t>
      </w:r>
      <w:r w:rsidR="00595226">
        <w:t xml:space="preserve"> </w:t>
      </w:r>
      <w:r w:rsidRPr="00AA6AF4">
        <w:t>exercises. Other incidental expenditures relating to education like</w:t>
      </w:r>
      <w:r w:rsidR="00D86437">
        <w:t xml:space="preserve"> </w:t>
      </w:r>
      <w:r w:rsidRPr="00AA6AF4">
        <w:t>art and culture and scientific services and research are taken as a</w:t>
      </w:r>
      <w:r w:rsidR="00595226">
        <w:t xml:space="preserve"> </w:t>
      </w:r>
      <w:r w:rsidRPr="00AA6AF4">
        <w:t>constant proportion of the normative expenditures on</w:t>
      </w:r>
      <w:r w:rsidR="00D86437">
        <w:t xml:space="preserve"> </w:t>
      </w:r>
      <w:r w:rsidRPr="00AA6AF4">
        <w:t>education.</w:t>
      </w:r>
    </w:p>
    <w:p w14:paraId="59F852F8" w14:textId="77777777" w:rsidR="00294D85" w:rsidRPr="00786D5A" w:rsidRDefault="00294D85" w:rsidP="005069B2">
      <w:pPr>
        <w:tabs>
          <w:tab w:val="left" w:pos="2805"/>
        </w:tabs>
        <w:spacing w:line="240" w:lineRule="auto"/>
        <w:jc w:val="both"/>
        <w:rPr>
          <w:rFonts w:ascii="Times New Roman" w:hAnsi="Times New Roman" w:cs="Times New Roman"/>
          <w:sz w:val="18"/>
          <w:szCs w:val="18"/>
        </w:rPr>
      </w:pPr>
      <w:r w:rsidRPr="00786D5A">
        <w:rPr>
          <w:rFonts w:ascii="Times New Roman" w:hAnsi="Times New Roman" w:cs="Times New Roman"/>
          <w:sz w:val="18"/>
          <w:szCs w:val="18"/>
        </w:rPr>
        <w:t>(</w:t>
      </w:r>
      <w:proofErr w:type="spellStart"/>
      <w:r w:rsidRPr="00786D5A">
        <w:rPr>
          <w:rFonts w:ascii="Times New Roman" w:hAnsi="Times New Roman" w:cs="Times New Roman"/>
          <w:sz w:val="18"/>
          <w:szCs w:val="18"/>
        </w:rPr>
        <w:t>i</w:t>
      </w:r>
      <w:proofErr w:type="spellEnd"/>
      <w:r w:rsidRPr="00786D5A">
        <w:rPr>
          <w:rFonts w:ascii="Times New Roman" w:hAnsi="Times New Roman" w:cs="Times New Roman"/>
          <w:sz w:val="18"/>
          <w:szCs w:val="18"/>
        </w:rPr>
        <w:t>) Primary Education</w:t>
      </w:r>
    </w:p>
    <w:p w14:paraId="2693C94A" w14:textId="774D0295" w:rsidR="00294D85" w:rsidRPr="00AA6AF4" w:rsidRDefault="00294D85" w:rsidP="005069B2">
      <w:pPr>
        <w:pStyle w:val="Heading6"/>
        <w:keepNext w:val="0"/>
        <w:keepLines w:val="0"/>
        <w:spacing w:before="0" w:line="240" w:lineRule="auto"/>
        <w:ind w:left="0" w:firstLine="284"/>
      </w:pPr>
      <w:r w:rsidRPr="00AA6AF4">
        <w:t>In the case of Primary Education, expenditure per</w:t>
      </w:r>
      <w:r w:rsidR="00D86437">
        <w:t xml:space="preserve"> </w:t>
      </w:r>
      <w:r w:rsidRPr="00AA6AF4">
        <w:t>child in the age-group 6 to 10 has been taken as the dependent</w:t>
      </w:r>
      <w:r w:rsidR="00C57E12">
        <w:t xml:space="preserve"> </w:t>
      </w:r>
      <w:r w:rsidRPr="00AA6AF4">
        <w:t>variable. This has been regressed in a log-linear model on the</w:t>
      </w:r>
      <w:r w:rsidR="00D86437">
        <w:t xml:space="preserve"> </w:t>
      </w:r>
      <w:r w:rsidRPr="00AA6AF4">
        <w:t>proportion of enrolment in primary stages to the population in the</w:t>
      </w:r>
      <w:r w:rsidR="00C57E12">
        <w:t xml:space="preserve"> </w:t>
      </w:r>
      <w:r w:rsidRPr="00AA6AF4">
        <w:t>age-group 6 to 10, the student-teacher ratio in primary stages, the</w:t>
      </w:r>
      <w:r w:rsidR="00D86437">
        <w:t xml:space="preserve"> </w:t>
      </w:r>
      <w:r w:rsidRPr="00AA6AF4">
        <w:t>price differences across the States and differences in the average</w:t>
      </w:r>
      <w:r w:rsidR="00C57E12">
        <w:t xml:space="preserve"> </w:t>
      </w:r>
      <w:r w:rsidRPr="00AA6AF4">
        <w:t>salaries of primary school teachers across the States. Although</w:t>
      </w:r>
      <w:r w:rsidR="00D86437">
        <w:t xml:space="preserve"> </w:t>
      </w:r>
      <w:r w:rsidRPr="00AA6AF4">
        <w:t>variables such as the proportion of enrolment in rural areas, the</w:t>
      </w:r>
      <w:r w:rsidR="00C57E12">
        <w:t xml:space="preserve"> </w:t>
      </w:r>
      <w:r w:rsidRPr="00AA6AF4">
        <w:t>density of child population in the age-group 6 to 10 and the</w:t>
      </w:r>
      <w:r w:rsidR="00D86437">
        <w:t xml:space="preserve"> </w:t>
      </w:r>
      <w:r w:rsidRPr="00AA6AF4">
        <w:t>proportion of hill/desert population in the States have been tried,</w:t>
      </w:r>
      <w:r w:rsidR="00C57E12">
        <w:t xml:space="preserve"> </w:t>
      </w:r>
      <w:r w:rsidRPr="00AA6AF4">
        <w:t>they were not included as their inclusion adversely affected the</w:t>
      </w:r>
      <w:r w:rsidR="00D86437">
        <w:t xml:space="preserve"> </w:t>
      </w:r>
      <w:r w:rsidRPr="00AA6AF4">
        <w:t xml:space="preserve">efficiency of parameters. The selected equation has </w:t>
      </w:r>
      <w:r w:rsidR="00C57E12" w:rsidRPr="00AA6AF4">
        <w:t>an explanatory</w:t>
      </w:r>
      <w:r w:rsidRPr="00AA6AF4">
        <w:t xml:space="preserve"> power of about 76 per cent and all the regression</w:t>
      </w:r>
      <w:r w:rsidR="00D86437">
        <w:t xml:space="preserve"> </w:t>
      </w:r>
      <w:r w:rsidRPr="00AA6AF4">
        <w:t>coefficients have the expected signs.</w:t>
      </w:r>
      <w:r w:rsidR="00C57E12">
        <w:t xml:space="preserve"> </w:t>
      </w:r>
    </w:p>
    <w:p w14:paraId="0E9DE385" w14:textId="77777777" w:rsidR="00294D85" w:rsidRPr="00786D5A" w:rsidRDefault="00294D85" w:rsidP="005069B2">
      <w:pPr>
        <w:tabs>
          <w:tab w:val="left" w:pos="2805"/>
        </w:tabs>
        <w:spacing w:line="240" w:lineRule="auto"/>
        <w:jc w:val="both"/>
        <w:rPr>
          <w:rFonts w:ascii="Times New Roman" w:hAnsi="Times New Roman" w:cs="Times New Roman"/>
          <w:sz w:val="18"/>
          <w:szCs w:val="18"/>
        </w:rPr>
      </w:pPr>
      <w:r w:rsidRPr="00786D5A">
        <w:rPr>
          <w:rFonts w:ascii="Times New Roman" w:hAnsi="Times New Roman" w:cs="Times New Roman"/>
          <w:sz w:val="18"/>
          <w:szCs w:val="18"/>
        </w:rPr>
        <w:t>(ii) Secondary Education</w:t>
      </w:r>
    </w:p>
    <w:p w14:paraId="5A2E0B4E" w14:textId="360C6C7F" w:rsidR="00294D85" w:rsidRPr="00AA6AF4" w:rsidRDefault="00294D85" w:rsidP="005069B2">
      <w:pPr>
        <w:pStyle w:val="Heading6"/>
        <w:keepNext w:val="0"/>
        <w:keepLines w:val="0"/>
        <w:spacing w:before="0" w:line="240" w:lineRule="auto"/>
        <w:ind w:left="0" w:firstLine="284"/>
      </w:pPr>
      <w:r w:rsidRPr="00AA6AF4">
        <w:t>Expenditure on Secondary Education per person in</w:t>
      </w:r>
      <w:r w:rsidR="00D86437">
        <w:t xml:space="preserve"> </w:t>
      </w:r>
      <w:r w:rsidRPr="00AA6AF4">
        <w:t>the age-group 11 to 18 has been taken as the dependent variable.</w:t>
      </w:r>
      <w:r w:rsidR="00C57E12">
        <w:t xml:space="preserve"> </w:t>
      </w:r>
      <w:r w:rsidRPr="00AA6AF4">
        <w:t>The enrolment in secondary stages as a proportion of children in</w:t>
      </w:r>
      <w:r w:rsidR="00D86437">
        <w:t xml:space="preserve"> </w:t>
      </w:r>
      <w:r w:rsidRPr="00AA6AF4">
        <w:t>the age-group 11 to 18 is taken as the quantity variable. The</w:t>
      </w:r>
      <w:r w:rsidR="00C57E12">
        <w:t xml:space="preserve"> </w:t>
      </w:r>
      <w:r w:rsidRPr="00AA6AF4">
        <w:t>proportion of private unaided secondary schools to total number</w:t>
      </w:r>
      <w:r w:rsidR="00D86437">
        <w:t xml:space="preserve"> </w:t>
      </w:r>
      <w:r w:rsidRPr="00AA6AF4">
        <w:t>of schools has also been taken, as an additional quantity variable</w:t>
      </w:r>
      <w:r w:rsidR="00C57E12">
        <w:t xml:space="preserve"> </w:t>
      </w:r>
      <w:r w:rsidRPr="00AA6AF4">
        <w:t>in the equation, but the coefficient has not been found to be</w:t>
      </w:r>
      <w:r w:rsidR="00D86437">
        <w:t xml:space="preserve"> </w:t>
      </w:r>
      <w:r w:rsidRPr="00AA6AF4">
        <w:t>significant. The variable `salary differences of Trained Graduate</w:t>
      </w:r>
      <w:r w:rsidR="00C57E12">
        <w:t xml:space="preserve"> </w:t>
      </w:r>
      <w:proofErr w:type="gramStart"/>
      <w:r w:rsidRPr="00AA6AF4">
        <w:t>Teachers'</w:t>
      </w:r>
      <w:proofErr w:type="gramEnd"/>
      <w:r w:rsidRPr="00AA6AF4">
        <w:t xml:space="preserve"> in the equation represents the cost factor within the</w:t>
      </w:r>
      <w:r w:rsidR="00D86437">
        <w:t xml:space="preserve"> </w:t>
      </w:r>
      <w:r w:rsidRPr="00AA6AF4">
        <w:t>control of the State Governments as also the student-teacher</w:t>
      </w:r>
      <w:r w:rsidR="00C57E12">
        <w:t xml:space="preserve"> </w:t>
      </w:r>
      <w:r w:rsidRPr="00AA6AF4">
        <w:t>ratio. The log-linear form of equation has been found to have the</w:t>
      </w:r>
      <w:r w:rsidR="00D86437">
        <w:t xml:space="preserve"> </w:t>
      </w:r>
      <w:r w:rsidRPr="00AA6AF4">
        <w:t>best fit. The coefficients of all the five variables included in the</w:t>
      </w:r>
      <w:r w:rsidR="00C57E12">
        <w:t xml:space="preserve"> </w:t>
      </w:r>
      <w:r w:rsidRPr="00AA6AF4">
        <w:t>equation have the expected signs with the enrolment ratio, the</w:t>
      </w:r>
      <w:r w:rsidR="00D86437">
        <w:t xml:space="preserve"> </w:t>
      </w:r>
      <w:r w:rsidRPr="00AA6AF4">
        <w:t>proportion of children in the age group 11-18 years in rural areas</w:t>
      </w:r>
      <w:r w:rsidR="00C57E12">
        <w:t xml:space="preserve"> </w:t>
      </w:r>
      <w:r w:rsidRPr="00AA6AF4">
        <w:t>and the 'salary differences of Trained Graduate Teachers'</w:t>
      </w:r>
      <w:r w:rsidR="00D86437">
        <w:t xml:space="preserve"> </w:t>
      </w:r>
      <w:r w:rsidRPr="00AA6AF4">
        <w:t>significant at five per cent level.</w:t>
      </w:r>
    </w:p>
    <w:p w14:paraId="33748CB3" w14:textId="77777777" w:rsidR="00294D85" w:rsidRPr="00786D5A" w:rsidRDefault="00294D85" w:rsidP="005069B2">
      <w:pPr>
        <w:tabs>
          <w:tab w:val="left" w:pos="2805"/>
        </w:tabs>
        <w:spacing w:line="240" w:lineRule="auto"/>
        <w:jc w:val="both"/>
        <w:rPr>
          <w:rFonts w:ascii="Times New Roman" w:hAnsi="Times New Roman" w:cs="Times New Roman"/>
          <w:sz w:val="18"/>
          <w:szCs w:val="18"/>
        </w:rPr>
      </w:pPr>
      <w:r w:rsidRPr="00786D5A">
        <w:rPr>
          <w:rFonts w:ascii="Times New Roman" w:hAnsi="Times New Roman" w:cs="Times New Roman"/>
          <w:sz w:val="18"/>
          <w:szCs w:val="18"/>
        </w:rPr>
        <w:t>(iii) Higher Education</w:t>
      </w:r>
    </w:p>
    <w:p w14:paraId="19466EF2" w14:textId="046E1A26" w:rsidR="00294D85" w:rsidRPr="00AA6AF4" w:rsidRDefault="00294D85" w:rsidP="005069B2">
      <w:pPr>
        <w:pStyle w:val="Heading6"/>
        <w:keepNext w:val="0"/>
        <w:keepLines w:val="0"/>
        <w:spacing w:before="0" w:line="240" w:lineRule="auto"/>
        <w:ind w:left="0" w:firstLine="284"/>
      </w:pPr>
      <w:r w:rsidRPr="00AA6AF4">
        <w:t>Under this head, expenditures on university,</w:t>
      </w:r>
      <w:r w:rsidR="00D86437">
        <w:t xml:space="preserve"> </w:t>
      </w:r>
      <w:r w:rsidRPr="00AA6AF4">
        <w:t>technical and special education have been included. Per capita</w:t>
      </w:r>
      <w:r w:rsidR="00C57E12">
        <w:t xml:space="preserve"> </w:t>
      </w:r>
      <w:r w:rsidRPr="00AA6AF4">
        <w:t>expenditure on higher education has been regressed on the</w:t>
      </w:r>
      <w:r w:rsidR="00D86437">
        <w:t xml:space="preserve"> </w:t>
      </w:r>
      <w:r w:rsidRPr="00AA6AF4">
        <w:t>proportion of enrolment in higher stages of education to total</w:t>
      </w:r>
      <w:r w:rsidR="00C57E12">
        <w:t xml:space="preserve"> </w:t>
      </w:r>
      <w:r w:rsidRPr="00AA6AF4">
        <w:t>population, student-teacher ratio, differences in price levels</w:t>
      </w:r>
      <w:r w:rsidR="00D86437">
        <w:t xml:space="preserve"> </w:t>
      </w:r>
      <w:r w:rsidRPr="00AA6AF4">
        <w:t>among the States, population density and the proportion of</w:t>
      </w:r>
      <w:r w:rsidR="00C57E12">
        <w:t xml:space="preserve"> </w:t>
      </w:r>
      <w:r w:rsidRPr="00AA6AF4">
        <w:t>enrolment in private colleges to total enrolment. All the variables</w:t>
      </w:r>
      <w:r w:rsidR="00D86437">
        <w:t xml:space="preserve"> </w:t>
      </w:r>
      <w:r w:rsidRPr="00AA6AF4">
        <w:t>except the last one are found to be significant at one per cent level.</w:t>
      </w:r>
      <w:r w:rsidR="00C57E12">
        <w:t xml:space="preserve"> </w:t>
      </w:r>
      <w:r w:rsidRPr="00AA6AF4">
        <w:t>The equation has an explanatory power of 0.69.</w:t>
      </w:r>
    </w:p>
    <w:p w14:paraId="3E1AEB11" w14:textId="77777777" w:rsidR="00294D85" w:rsidRPr="00786D5A" w:rsidRDefault="00294D85" w:rsidP="005069B2">
      <w:pPr>
        <w:tabs>
          <w:tab w:val="left" w:pos="2805"/>
        </w:tabs>
        <w:spacing w:line="240" w:lineRule="auto"/>
        <w:jc w:val="both"/>
        <w:rPr>
          <w:rFonts w:ascii="Times New Roman" w:hAnsi="Times New Roman" w:cs="Times New Roman"/>
          <w:sz w:val="18"/>
          <w:szCs w:val="18"/>
        </w:rPr>
      </w:pPr>
      <w:r w:rsidRPr="00786D5A">
        <w:rPr>
          <w:rFonts w:ascii="Times New Roman" w:hAnsi="Times New Roman" w:cs="Times New Roman"/>
          <w:sz w:val="18"/>
          <w:szCs w:val="18"/>
        </w:rPr>
        <w:t xml:space="preserve">(iv) Medical, Family Welfare </w:t>
      </w:r>
      <w:proofErr w:type="gramStart"/>
      <w:r w:rsidRPr="00786D5A">
        <w:rPr>
          <w:rFonts w:ascii="Times New Roman" w:hAnsi="Times New Roman" w:cs="Times New Roman"/>
          <w:sz w:val="18"/>
          <w:szCs w:val="18"/>
        </w:rPr>
        <w:t>And</w:t>
      </w:r>
      <w:proofErr w:type="gramEnd"/>
      <w:r w:rsidRPr="00786D5A">
        <w:rPr>
          <w:rFonts w:ascii="Times New Roman" w:hAnsi="Times New Roman" w:cs="Times New Roman"/>
          <w:sz w:val="18"/>
          <w:szCs w:val="18"/>
        </w:rPr>
        <w:t xml:space="preserve"> Public Health</w:t>
      </w:r>
    </w:p>
    <w:p w14:paraId="29B8CB03" w14:textId="694DAD01" w:rsidR="00294D85" w:rsidRPr="00AA6AF4" w:rsidRDefault="00294D85" w:rsidP="005069B2">
      <w:pPr>
        <w:pStyle w:val="Heading6"/>
        <w:keepNext w:val="0"/>
        <w:keepLines w:val="0"/>
        <w:spacing w:before="0" w:line="240" w:lineRule="auto"/>
        <w:ind w:left="0" w:firstLine="284"/>
      </w:pPr>
      <w:r w:rsidRPr="00AA6AF4">
        <w:t>Under this head, the major heads of expenditure</w:t>
      </w:r>
      <w:r w:rsidR="00D86437">
        <w:t xml:space="preserve"> </w:t>
      </w:r>
      <w:r w:rsidRPr="00AA6AF4">
        <w:t xml:space="preserve">included </w:t>
      </w:r>
      <w:proofErr w:type="gramStart"/>
      <w:r w:rsidRPr="00AA6AF4">
        <w:t>are :</w:t>
      </w:r>
      <w:proofErr w:type="gramEnd"/>
    </w:p>
    <w:p w14:paraId="3150F1C8" w14:textId="77777777" w:rsidR="00294D85" w:rsidRPr="00D86437" w:rsidRDefault="00294D85" w:rsidP="005069B2">
      <w:pPr>
        <w:numPr>
          <w:ilvl w:val="0"/>
          <w:numId w:val="18"/>
        </w:numPr>
        <w:tabs>
          <w:tab w:val="left" w:pos="2805"/>
        </w:tabs>
        <w:spacing w:after="0" w:line="240" w:lineRule="auto"/>
        <w:jc w:val="both"/>
        <w:rPr>
          <w:rFonts w:ascii="Times New Roman" w:hAnsi="Times New Roman" w:cs="Times New Roman"/>
          <w:sz w:val="18"/>
          <w:szCs w:val="18"/>
        </w:rPr>
      </w:pPr>
      <w:r w:rsidRPr="00D86437">
        <w:rPr>
          <w:rFonts w:ascii="Times New Roman" w:hAnsi="Times New Roman" w:cs="Times New Roman"/>
          <w:sz w:val="18"/>
          <w:szCs w:val="18"/>
        </w:rPr>
        <w:t>Medical</w:t>
      </w:r>
    </w:p>
    <w:p w14:paraId="09584845" w14:textId="77777777" w:rsidR="00294D85" w:rsidRPr="00D86437" w:rsidRDefault="00294D85" w:rsidP="005069B2">
      <w:pPr>
        <w:numPr>
          <w:ilvl w:val="0"/>
          <w:numId w:val="18"/>
        </w:numPr>
        <w:tabs>
          <w:tab w:val="left" w:pos="2805"/>
        </w:tabs>
        <w:spacing w:after="0" w:line="240" w:lineRule="auto"/>
        <w:jc w:val="both"/>
        <w:rPr>
          <w:rFonts w:ascii="Times New Roman" w:hAnsi="Times New Roman" w:cs="Times New Roman"/>
          <w:sz w:val="18"/>
          <w:szCs w:val="18"/>
        </w:rPr>
      </w:pPr>
      <w:r w:rsidRPr="00D86437">
        <w:rPr>
          <w:rFonts w:ascii="Times New Roman" w:hAnsi="Times New Roman" w:cs="Times New Roman"/>
          <w:sz w:val="18"/>
          <w:szCs w:val="18"/>
        </w:rPr>
        <w:t>Family Welfare</w:t>
      </w:r>
    </w:p>
    <w:p w14:paraId="1AD944E7" w14:textId="77777777" w:rsidR="00294D85" w:rsidRPr="00D86437" w:rsidRDefault="00294D85" w:rsidP="005069B2">
      <w:pPr>
        <w:numPr>
          <w:ilvl w:val="0"/>
          <w:numId w:val="18"/>
        </w:numPr>
        <w:tabs>
          <w:tab w:val="left" w:pos="2805"/>
        </w:tabs>
        <w:spacing w:after="0" w:line="240" w:lineRule="auto"/>
        <w:jc w:val="both"/>
        <w:rPr>
          <w:rFonts w:ascii="Times New Roman" w:hAnsi="Times New Roman" w:cs="Times New Roman"/>
          <w:sz w:val="18"/>
          <w:szCs w:val="18"/>
        </w:rPr>
      </w:pPr>
      <w:r w:rsidRPr="00D86437">
        <w:rPr>
          <w:rFonts w:ascii="Times New Roman" w:hAnsi="Times New Roman" w:cs="Times New Roman"/>
          <w:sz w:val="18"/>
          <w:szCs w:val="18"/>
        </w:rPr>
        <w:t>Public Health and Sanitation excluding expenditure on water supply</w:t>
      </w:r>
    </w:p>
    <w:p w14:paraId="1C35107C" w14:textId="0D5E3143" w:rsidR="00294D85" w:rsidRPr="00D86437" w:rsidRDefault="00294D85" w:rsidP="005069B2">
      <w:pPr>
        <w:tabs>
          <w:tab w:val="left" w:pos="2805"/>
        </w:tabs>
        <w:spacing w:line="240" w:lineRule="auto"/>
        <w:jc w:val="both"/>
        <w:rPr>
          <w:rFonts w:ascii="Times New Roman" w:hAnsi="Times New Roman" w:cs="Times New Roman"/>
          <w:sz w:val="18"/>
          <w:szCs w:val="18"/>
        </w:rPr>
      </w:pPr>
      <w:r w:rsidRPr="00D86437">
        <w:rPr>
          <w:rFonts w:ascii="Times New Roman" w:hAnsi="Times New Roman" w:cs="Times New Roman"/>
          <w:sz w:val="18"/>
          <w:szCs w:val="18"/>
        </w:rPr>
        <w:t xml:space="preserve">Total expenditure on these heads </w:t>
      </w:r>
      <w:proofErr w:type="gramStart"/>
      <w:r w:rsidRPr="00D86437">
        <w:rPr>
          <w:rFonts w:ascii="Times New Roman" w:hAnsi="Times New Roman" w:cs="Times New Roman"/>
          <w:sz w:val="18"/>
          <w:szCs w:val="18"/>
        </w:rPr>
        <w:t>are</w:t>
      </w:r>
      <w:proofErr w:type="gramEnd"/>
      <w:r w:rsidRPr="00D86437">
        <w:rPr>
          <w:rFonts w:ascii="Times New Roman" w:hAnsi="Times New Roman" w:cs="Times New Roman"/>
          <w:sz w:val="18"/>
          <w:szCs w:val="18"/>
        </w:rPr>
        <w:t xml:space="preserve"> regressed on the number of</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hospital beds, the number of indoor patients per hundred hospital</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beds, the proportion of population provided with sanitation</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facilities in urban areas, the differences in the average salaries of</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staff nurses, population density and the proportion of population in</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hill/desert areas of the States. The coefficients of all the variables</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are found to be significant (except the hill/desert population</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proportion) and have the expected signs. Then number of hospital</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beds, the number of indoor patients per hundred hospital beds</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and the proportion of population provided with sanitation facilities</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in urban areas have been taken to be the factors affecting the</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quantity of these public services. Salary of staff nurses are taken</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to be the cost factor within the control of the State Governments.</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Population density and the proportion of hill/desert population are</w:t>
      </w:r>
      <w:r w:rsidR="00C57E12">
        <w:rPr>
          <w:rFonts w:ascii="Times New Roman" w:hAnsi="Times New Roman" w:cs="Times New Roman"/>
          <w:sz w:val="18"/>
          <w:szCs w:val="18"/>
        </w:rPr>
        <w:t xml:space="preserve"> </w:t>
      </w:r>
      <w:r w:rsidRPr="00D86437">
        <w:rPr>
          <w:rFonts w:ascii="Times New Roman" w:hAnsi="Times New Roman" w:cs="Times New Roman"/>
          <w:sz w:val="18"/>
          <w:szCs w:val="18"/>
        </w:rPr>
        <w:t>taken to be the cost disability factors. The equation has an</w:t>
      </w:r>
      <w:r w:rsidR="00D86437">
        <w:rPr>
          <w:rFonts w:ascii="Times New Roman" w:hAnsi="Times New Roman" w:cs="Times New Roman"/>
          <w:sz w:val="18"/>
          <w:szCs w:val="18"/>
        </w:rPr>
        <w:t xml:space="preserve"> </w:t>
      </w:r>
      <w:r w:rsidRPr="00D86437">
        <w:rPr>
          <w:rFonts w:ascii="Times New Roman" w:hAnsi="Times New Roman" w:cs="Times New Roman"/>
          <w:sz w:val="18"/>
          <w:szCs w:val="18"/>
        </w:rPr>
        <w:t>explanatory power of 0.86.</w:t>
      </w:r>
    </w:p>
    <w:p w14:paraId="3AC63239" w14:textId="77777777" w:rsidR="00294D85" w:rsidRPr="00D86437" w:rsidRDefault="00294D85" w:rsidP="005069B2">
      <w:pPr>
        <w:tabs>
          <w:tab w:val="left" w:pos="2805"/>
        </w:tabs>
        <w:spacing w:line="240" w:lineRule="auto"/>
        <w:jc w:val="both"/>
        <w:rPr>
          <w:rFonts w:ascii="Times New Roman" w:hAnsi="Times New Roman" w:cs="Times New Roman"/>
          <w:sz w:val="18"/>
          <w:szCs w:val="18"/>
        </w:rPr>
      </w:pPr>
      <w:r w:rsidRPr="00D86437">
        <w:rPr>
          <w:rFonts w:ascii="Times New Roman" w:hAnsi="Times New Roman" w:cs="Times New Roman"/>
          <w:b/>
          <w:bCs/>
          <w:sz w:val="18"/>
          <w:szCs w:val="18"/>
        </w:rPr>
        <w:t>III. Economic Services</w:t>
      </w:r>
    </w:p>
    <w:p w14:paraId="608191FE" w14:textId="4DD96E49" w:rsidR="00294D85" w:rsidRPr="00AA6AF4" w:rsidRDefault="00294D85" w:rsidP="005069B2">
      <w:pPr>
        <w:pStyle w:val="Heading6"/>
        <w:keepNext w:val="0"/>
        <w:keepLines w:val="0"/>
        <w:spacing w:before="0" w:line="240" w:lineRule="auto"/>
        <w:ind w:left="0" w:firstLine="284"/>
      </w:pPr>
      <w:r w:rsidRPr="00AA6AF4">
        <w:t>The expenditure on economic services considered for</w:t>
      </w:r>
      <w:r w:rsidR="00691D17">
        <w:t xml:space="preserve"> </w:t>
      </w:r>
      <w:r w:rsidRPr="00AA6AF4">
        <w:t>statistical analysis includes expenditure on (</w:t>
      </w:r>
      <w:proofErr w:type="spellStart"/>
      <w:r w:rsidRPr="00AA6AF4">
        <w:t>i</w:t>
      </w:r>
      <w:proofErr w:type="spellEnd"/>
      <w:r w:rsidRPr="00AA6AF4">
        <w:t>) Agriculture and</w:t>
      </w:r>
      <w:r w:rsidR="00C57E12">
        <w:t xml:space="preserve"> </w:t>
      </w:r>
      <w:r w:rsidRPr="00AA6AF4">
        <w:t>Allied Activities, (ii) Animal Husbandry, and (iii) Industries and</w:t>
      </w:r>
      <w:r w:rsidR="00691D17">
        <w:t xml:space="preserve"> </w:t>
      </w:r>
      <w:r w:rsidRPr="00AA6AF4">
        <w:t>Minerals. As mentioned earlier, expenditures under major heads</w:t>
      </w:r>
      <w:r w:rsidR="00C57E12">
        <w:t xml:space="preserve"> </w:t>
      </w:r>
      <w:r w:rsidRPr="00AA6AF4">
        <w:t>like minor irrigation, water and power development, multipurpose</w:t>
      </w:r>
      <w:r w:rsidR="00691D17">
        <w:t xml:space="preserve"> </w:t>
      </w:r>
      <w:r w:rsidRPr="00AA6AF4">
        <w:t>river projects, irrigation, drainage and flood control projects,</w:t>
      </w:r>
      <w:r w:rsidR="00C57E12">
        <w:t xml:space="preserve"> </w:t>
      </w:r>
      <w:r w:rsidRPr="00AA6AF4">
        <w:t>power projects, civil aviation and roads and bridges are to be</w:t>
      </w:r>
      <w:r w:rsidR="00691D17">
        <w:t xml:space="preserve"> </w:t>
      </w:r>
      <w:r w:rsidRPr="00AA6AF4">
        <w:t>considered on a different footing and needs in respect of these</w:t>
      </w:r>
      <w:r w:rsidR="00C57E12">
        <w:t xml:space="preserve"> </w:t>
      </w:r>
      <w:r w:rsidRPr="00AA6AF4">
        <w:t>items have to be reckoned on the basis of engineering norms.</w:t>
      </w:r>
      <w:r w:rsidR="00691D17">
        <w:t xml:space="preserve"> </w:t>
      </w:r>
      <w:r w:rsidRPr="00AA6AF4">
        <w:t>Expenditures on secretariat-economic services, on special and</w:t>
      </w:r>
      <w:r w:rsidR="00C57E12">
        <w:t xml:space="preserve"> </w:t>
      </w:r>
      <w:r w:rsidRPr="00AA6AF4">
        <w:t>backward areas and on other general economic services are</w:t>
      </w:r>
      <w:r w:rsidR="00691D17">
        <w:t xml:space="preserve"> </w:t>
      </w:r>
      <w:r w:rsidRPr="00AA6AF4">
        <w:t>taken as a constant proportion of the normative expenditures on</w:t>
      </w:r>
      <w:r w:rsidR="00C57E12">
        <w:t xml:space="preserve"> </w:t>
      </w:r>
      <w:r w:rsidRPr="00AA6AF4">
        <w:t>economic services as a whole in all the States taken together.</w:t>
      </w:r>
    </w:p>
    <w:p w14:paraId="65CA9C95" w14:textId="77777777" w:rsidR="00294D85" w:rsidRPr="00786D5A" w:rsidRDefault="00294D85" w:rsidP="005069B2">
      <w:pPr>
        <w:tabs>
          <w:tab w:val="left" w:pos="2805"/>
        </w:tabs>
        <w:spacing w:line="240" w:lineRule="auto"/>
        <w:jc w:val="both"/>
        <w:rPr>
          <w:rFonts w:ascii="Times New Roman" w:hAnsi="Times New Roman" w:cs="Times New Roman"/>
          <w:sz w:val="18"/>
          <w:szCs w:val="18"/>
        </w:rPr>
      </w:pPr>
      <w:r w:rsidRPr="00786D5A">
        <w:rPr>
          <w:rFonts w:ascii="Times New Roman" w:hAnsi="Times New Roman" w:cs="Times New Roman"/>
          <w:sz w:val="18"/>
          <w:szCs w:val="18"/>
        </w:rPr>
        <w:t>(</w:t>
      </w:r>
      <w:proofErr w:type="spellStart"/>
      <w:r w:rsidRPr="00786D5A">
        <w:rPr>
          <w:rFonts w:ascii="Times New Roman" w:hAnsi="Times New Roman" w:cs="Times New Roman"/>
          <w:sz w:val="18"/>
          <w:szCs w:val="18"/>
        </w:rPr>
        <w:t>i</w:t>
      </w:r>
      <w:proofErr w:type="spellEnd"/>
      <w:r w:rsidRPr="00786D5A">
        <w:rPr>
          <w:rFonts w:ascii="Times New Roman" w:hAnsi="Times New Roman" w:cs="Times New Roman"/>
          <w:sz w:val="18"/>
          <w:szCs w:val="18"/>
        </w:rPr>
        <w:t>) Agriculture and Allied Activities</w:t>
      </w:r>
    </w:p>
    <w:p w14:paraId="1E91D5BF" w14:textId="77777777" w:rsidR="00691D17" w:rsidRPr="00C57E12" w:rsidRDefault="00294D85" w:rsidP="005069B2">
      <w:pPr>
        <w:pStyle w:val="Heading6"/>
        <w:keepNext w:val="0"/>
        <w:keepLines w:val="0"/>
        <w:spacing w:before="0" w:line="240" w:lineRule="auto"/>
        <w:ind w:left="0" w:firstLine="284"/>
      </w:pPr>
      <w:r w:rsidRPr="00C57E12">
        <w:t>Under this head, the major heads of expenditure</w:t>
      </w:r>
      <w:r w:rsidR="00691D17" w:rsidRPr="00C57E12">
        <w:t xml:space="preserve"> </w:t>
      </w:r>
      <w:r w:rsidRPr="00C57E12">
        <w:t>included are:</w:t>
      </w:r>
    </w:p>
    <w:p w14:paraId="53D37C6A" w14:textId="77777777" w:rsidR="00691D17" w:rsidRDefault="00294D85" w:rsidP="005069B2">
      <w:pPr>
        <w:pStyle w:val="Heading6"/>
        <w:keepNext w:val="0"/>
        <w:keepLines w:val="0"/>
        <w:numPr>
          <w:ilvl w:val="0"/>
          <w:numId w:val="0"/>
        </w:numPr>
        <w:spacing w:before="0" w:line="240" w:lineRule="auto"/>
        <w:ind w:left="360"/>
      </w:pPr>
      <w:r w:rsidRPr="00691D17">
        <w:t>298. Cooperation.</w:t>
      </w:r>
    </w:p>
    <w:p w14:paraId="297D3882" w14:textId="77777777" w:rsidR="00691D17" w:rsidRDefault="00294D85" w:rsidP="005069B2">
      <w:pPr>
        <w:pStyle w:val="Heading6"/>
        <w:keepNext w:val="0"/>
        <w:keepLines w:val="0"/>
        <w:numPr>
          <w:ilvl w:val="0"/>
          <w:numId w:val="0"/>
        </w:numPr>
        <w:spacing w:before="0" w:line="240" w:lineRule="auto"/>
        <w:ind w:left="360"/>
      </w:pPr>
      <w:r w:rsidRPr="00691D17">
        <w:t>305. Agriculture.</w:t>
      </w:r>
    </w:p>
    <w:p w14:paraId="485E125C" w14:textId="77777777" w:rsidR="00691D17" w:rsidRDefault="00294D85" w:rsidP="005069B2">
      <w:pPr>
        <w:pStyle w:val="Heading6"/>
        <w:keepNext w:val="0"/>
        <w:keepLines w:val="0"/>
        <w:numPr>
          <w:ilvl w:val="0"/>
          <w:numId w:val="0"/>
        </w:numPr>
        <w:spacing w:before="0" w:line="240" w:lineRule="auto"/>
        <w:ind w:left="360"/>
      </w:pPr>
      <w:r w:rsidRPr="00691D17">
        <w:t>307. Soil and Water Conservation.</w:t>
      </w:r>
    </w:p>
    <w:p w14:paraId="59B4A720" w14:textId="77777777" w:rsidR="00691D17" w:rsidRDefault="00294D85" w:rsidP="005069B2">
      <w:pPr>
        <w:pStyle w:val="Heading6"/>
        <w:keepNext w:val="0"/>
        <w:keepLines w:val="0"/>
        <w:numPr>
          <w:ilvl w:val="0"/>
          <w:numId w:val="0"/>
        </w:numPr>
        <w:spacing w:before="0" w:line="240" w:lineRule="auto"/>
        <w:ind w:left="360"/>
      </w:pPr>
      <w:r w:rsidRPr="00691D17">
        <w:t>308. Area Development.</w:t>
      </w:r>
    </w:p>
    <w:p w14:paraId="5A2C508F" w14:textId="77777777" w:rsidR="00691D17" w:rsidRDefault="00294D85" w:rsidP="005069B2">
      <w:pPr>
        <w:pStyle w:val="Heading6"/>
        <w:keepNext w:val="0"/>
        <w:keepLines w:val="0"/>
        <w:numPr>
          <w:ilvl w:val="0"/>
          <w:numId w:val="0"/>
        </w:numPr>
        <w:spacing w:before="0" w:line="240" w:lineRule="auto"/>
        <w:ind w:left="360"/>
      </w:pPr>
      <w:r w:rsidRPr="00691D17">
        <w:t>309. Food.</w:t>
      </w:r>
    </w:p>
    <w:p w14:paraId="1E536E11" w14:textId="77777777" w:rsidR="00691D17" w:rsidRDefault="00294D85" w:rsidP="005069B2">
      <w:pPr>
        <w:pStyle w:val="Heading6"/>
        <w:keepNext w:val="0"/>
        <w:keepLines w:val="0"/>
        <w:numPr>
          <w:ilvl w:val="0"/>
          <w:numId w:val="0"/>
        </w:numPr>
        <w:spacing w:before="0" w:line="240" w:lineRule="auto"/>
        <w:ind w:left="360"/>
      </w:pPr>
      <w:r w:rsidRPr="00691D17">
        <w:t>312. Fisheries</w:t>
      </w:r>
    </w:p>
    <w:p w14:paraId="28E5DBC5" w14:textId="41B02A4C" w:rsidR="00294D85" w:rsidRPr="00691D17" w:rsidRDefault="00294D85" w:rsidP="005069B2">
      <w:pPr>
        <w:pStyle w:val="Heading6"/>
        <w:keepNext w:val="0"/>
        <w:keepLines w:val="0"/>
        <w:numPr>
          <w:ilvl w:val="0"/>
          <w:numId w:val="0"/>
        </w:numPr>
        <w:spacing w:before="0" w:line="240" w:lineRule="auto"/>
        <w:ind w:left="360"/>
      </w:pPr>
      <w:r w:rsidRPr="00691D17">
        <w:t>314. Community Development.</w:t>
      </w:r>
    </w:p>
    <w:p w14:paraId="152CCDAA" w14:textId="0B50B4BC" w:rsidR="00294D85" w:rsidRPr="00691D17" w:rsidRDefault="00294D85" w:rsidP="005069B2">
      <w:pPr>
        <w:tabs>
          <w:tab w:val="left" w:pos="2805"/>
        </w:tabs>
        <w:spacing w:after="0" w:line="240" w:lineRule="auto"/>
        <w:jc w:val="both"/>
        <w:rPr>
          <w:rFonts w:ascii="Times New Roman" w:hAnsi="Times New Roman" w:cs="Times New Roman"/>
          <w:sz w:val="18"/>
          <w:szCs w:val="18"/>
        </w:rPr>
      </w:pPr>
      <w:r w:rsidRPr="00691D17">
        <w:rPr>
          <w:rFonts w:ascii="Times New Roman" w:hAnsi="Times New Roman" w:cs="Times New Roman"/>
          <w:sz w:val="18"/>
          <w:szCs w:val="18"/>
        </w:rPr>
        <w:t>Per capita expenditures on Agriculture and Allied Activities are</w:t>
      </w:r>
      <w:r w:rsidR="00691D17">
        <w:rPr>
          <w:rFonts w:ascii="Times New Roman" w:hAnsi="Times New Roman" w:cs="Times New Roman"/>
          <w:sz w:val="18"/>
          <w:szCs w:val="18"/>
        </w:rPr>
        <w:t xml:space="preserve"> </w:t>
      </w:r>
      <w:r w:rsidRPr="00691D17">
        <w:rPr>
          <w:rFonts w:ascii="Times New Roman" w:hAnsi="Times New Roman" w:cs="Times New Roman"/>
          <w:sz w:val="18"/>
          <w:szCs w:val="18"/>
        </w:rPr>
        <w:t>regressed on the gross cropped area per thousand population,</w:t>
      </w:r>
      <w:r w:rsidRPr="00691D17">
        <w:rPr>
          <w:rFonts w:ascii="Times New Roman" w:hAnsi="Times New Roman" w:cs="Times New Roman"/>
          <w:sz w:val="18"/>
          <w:szCs w:val="18"/>
        </w:rPr>
        <w:br/>
        <w:t>the number of standard employees in the departments dealing</w:t>
      </w:r>
      <w:r w:rsidR="00691D17">
        <w:rPr>
          <w:rFonts w:ascii="Times New Roman" w:hAnsi="Times New Roman" w:cs="Times New Roman"/>
          <w:sz w:val="18"/>
          <w:szCs w:val="18"/>
        </w:rPr>
        <w:t xml:space="preserve"> </w:t>
      </w:r>
      <w:r w:rsidRPr="00691D17">
        <w:rPr>
          <w:rFonts w:ascii="Times New Roman" w:hAnsi="Times New Roman" w:cs="Times New Roman"/>
          <w:sz w:val="18"/>
          <w:szCs w:val="18"/>
        </w:rPr>
        <w:t>with these major heads per thousand hectares of gross cropped</w:t>
      </w:r>
      <w:r w:rsidR="00C57E12">
        <w:rPr>
          <w:rFonts w:ascii="Times New Roman" w:hAnsi="Times New Roman" w:cs="Times New Roman"/>
          <w:sz w:val="18"/>
          <w:szCs w:val="18"/>
        </w:rPr>
        <w:t xml:space="preserve"> </w:t>
      </w:r>
      <w:r w:rsidRPr="00691D17">
        <w:rPr>
          <w:rFonts w:ascii="Times New Roman" w:hAnsi="Times New Roman" w:cs="Times New Roman"/>
          <w:sz w:val="18"/>
          <w:szCs w:val="18"/>
        </w:rPr>
        <w:t xml:space="preserve">area, the proportion </w:t>
      </w:r>
      <w:r w:rsidRPr="00691D17">
        <w:rPr>
          <w:rFonts w:ascii="Times New Roman" w:hAnsi="Times New Roman" w:cs="Times New Roman"/>
          <w:sz w:val="18"/>
          <w:szCs w:val="18"/>
        </w:rPr>
        <w:lastRenderedPageBreak/>
        <w:t>of area covered under high yielding varieties</w:t>
      </w:r>
      <w:r w:rsidR="00691D17">
        <w:rPr>
          <w:rFonts w:ascii="Times New Roman" w:hAnsi="Times New Roman" w:cs="Times New Roman"/>
          <w:sz w:val="18"/>
          <w:szCs w:val="18"/>
        </w:rPr>
        <w:t xml:space="preserve"> </w:t>
      </w:r>
      <w:r w:rsidRPr="00691D17">
        <w:rPr>
          <w:rFonts w:ascii="Times New Roman" w:hAnsi="Times New Roman" w:cs="Times New Roman"/>
          <w:sz w:val="18"/>
          <w:szCs w:val="18"/>
        </w:rPr>
        <w:t>of cereals to total gross cropped area, the proportion of area</w:t>
      </w:r>
      <w:r w:rsidR="00C57E12">
        <w:rPr>
          <w:rFonts w:ascii="Times New Roman" w:hAnsi="Times New Roman" w:cs="Times New Roman"/>
          <w:sz w:val="18"/>
          <w:szCs w:val="18"/>
        </w:rPr>
        <w:t xml:space="preserve"> </w:t>
      </w:r>
      <w:r w:rsidRPr="00691D17">
        <w:rPr>
          <w:rFonts w:ascii="Times New Roman" w:hAnsi="Times New Roman" w:cs="Times New Roman"/>
          <w:sz w:val="18"/>
          <w:szCs w:val="18"/>
        </w:rPr>
        <w:t>covered under commercial crops and price differences among the</w:t>
      </w:r>
      <w:r w:rsidR="00691D17">
        <w:rPr>
          <w:rFonts w:ascii="Times New Roman" w:hAnsi="Times New Roman" w:cs="Times New Roman"/>
          <w:sz w:val="18"/>
          <w:szCs w:val="18"/>
        </w:rPr>
        <w:t xml:space="preserve"> </w:t>
      </w:r>
      <w:r w:rsidRPr="00691D17">
        <w:rPr>
          <w:rFonts w:ascii="Times New Roman" w:hAnsi="Times New Roman" w:cs="Times New Roman"/>
          <w:sz w:val="18"/>
          <w:szCs w:val="18"/>
        </w:rPr>
        <w:t>States. The log-linear equation has given the best fit explaining</w:t>
      </w:r>
      <w:r w:rsidR="00C57E12">
        <w:rPr>
          <w:rFonts w:ascii="Times New Roman" w:hAnsi="Times New Roman" w:cs="Times New Roman"/>
          <w:sz w:val="18"/>
          <w:szCs w:val="18"/>
        </w:rPr>
        <w:t xml:space="preserve"> </w:t>
      </w:r>
      <w:r w:rsidRPr="00691D17">
        <w:rPr>
          <w:rFonts w:ascii="Times New Roman" w:hAnsi="Times New Roman" w:cs="Times New Roman"/>
          <w:sz w:val="18"/>
          <w:szCs w:val="18"/>
        </w:rPr>
        <w:t>nearly 75 per cent of variations. All the variables included in the</w:t>
      </w:r>
      <w:r w:rsidR="00691D17">
        <w:rPr>
          <w:rFonts w:ascii="Times New Roman" w:hAnsi="Times New Roman" w:cs="Times New Roman"/>
          <w:sz w:val="18"/>
          <w:szCs w:val="18"/>
        </w:rPr>
        <w:t xml:space="preserve"> </w:t>
      </w:r>
      <w:r w:rsidRPr="00691D17">
        <w:rPr>
          <w:rFonts w:ascii="Times New Roman" w:hAnsi="Times New Roman" w:cs="Times New Roman"/>
          <w:sz w:val="18"/>
          <w:szCs w:val="18"/>
        </w:rPr>
        <w:t>equation are significant at one per cent level.</w:t>
      </w:r>
    </w:p>
    <w:p w14:paraId="72DAB5F7" w14:textId="77777777" w:rsidR="00294D85" w:rsidRPr="00786D5A" w:rsidRDefault="00294D85" w:rsidP="005069B2">
      <w:pPr>
        <w:tabs>
          <w:tab w:val="left" w:pos="2805"/>
        </w:tabs>
        <w:spacing w:after="0" w:line="240" w:lineRule="auto"/>
        <w:jc w:val="both"/>
        <w:rPr>
          <w:rFonts w:ascii="Times New Roman" w:hAnsi="Times New Roman" w:cs="Times New Roman"/>
          <w:sz w:val="18"/>
          <w:szCs w:val="18"/>
        </w:rPr>
      </w:pPr>
      <w:r w:rsidRPr="00786D5A">
        <w:rPr>
          <w:rFonts w:ascii="Times New Roman" w:hAnsi="Times New Roman" w:cs="Times New Roman"/>
          <w:sz w:val="18"/>
          <w:szCs w:val="18"/>
        </w:rPr>
        <w:t>(ii) Animal Husbandry</w:t>
      </w:r>
    </w:p>
    <w:p w14:paraId="4B83C24F" w14:textId="0AD33707" w:rsidR="00294D85" w:rsidRPr="00691D17" w:rsidRDefault="00C57E12" w:rsidP="005069B2">
      <w:pPr>
        <w:pStyle w:val="Heading6"/>
        <w:keepNext w:val="0"/>
        <w:keepLines w:val="0"/>
        <w:spacing w:before="0" w:line="240" w:lineRule="auto"/>
        <w:ind w:left="0" w:firstLine="284"/>
      </w:pPr>
      <w:r>
        <w:t xml:space="preserve"> I</w:t>
      </w:r>
      <w:r w:rsidR="00294D85" w:rsidRPr="00691D17">
        <w:t>n the case of expenditure on Animal Husbandry</w:t>
      </w:r>
      <w:r w:rsidR="00691D17">
        <w:t xml:space="preserve"> </w:t>
      </w:r>
      <w:r w:rsidR="00294D85" w:rsidRPr="00691D17">
        <w:t>(major head 310), total expenditure rather than per capita</w:t>
      </w:r>
      <w:r w:rsidR="00691D17">
        <w:t xml:space="preserve"> </w:t>
      </w:r>
      <w:r w:rsidR="00294D85" w:rsidRPr="00691D17">
        <w:t>expenditure is found to have the best fit in the log-linear form</w:t>
      </w:r>
      <w:r w:rsidR="00691D17">
        <w:t xml:space="preserve"> </w:t>
      </w:r>
      <w:r w:rsidR="00294D85" w:rsidRPr="00691D17">
        <w:t>chosen. Expenditure under the head is regressed on total cattle</w:t>
      </w:r>
      <w:r w:rsidR="00691D17">
        <w:t xml:space="preserve"> </w:t>
      </w:r>
      <w:r w:rsidR="00294D85" w:rsidRPr="00691D17">
        <w:t>population, salaries of assistant veterinary surgeons in differing</w:t>
      </w:r>
      <w:r w:rsidR="00691D17">
        <w:t xml:space="preserve"> </w:t>
      </w:r>
      <w:r w:rsidR="00294D85" w:rsidRPr="00691D17">
        <w:t>States, the proportion of urban population and the number of</w:t>
      </w:r>
      <w:r w:rsidR="00691D17">
        <w:t xml:space="preserve"> </w:t>
      </w:r>
      <w:r w:rsidR="00294D85" w:rsidRPr="00691D17">
        <w:t>veterinary centres per thousand cattle. While the first two</w:t>
      </w:r>
      <w:r w:rsidR="00294D85" w:rsidRPr="00691D17">
        <w:br/>
        <w:t>variables are significant at the one per cent level, the number of</w:t>
      </w:r>
      <w:r w:rsidR="00691D17">
        <w:t xml:space="preserve"> </w:t>
      </w:r>
      <w:r w:rsidR="00294D85" w:rsidRPr="00691D17">
        <w:t>veterinary centres per thousand cattle is significant only at ten per</w:t>
      </w:r>
      <w:r>
        <w:t xml:space="preserve"> </w:t>
      </w:r>
      <w:r w:rsidR="00294D85" w:rsidRPr="00691D17">
        <w:t>cent level. The coefficient of the proportion of urban population,</w:t>
      </w:r>
      <w:r w:rsidR="00691D17">
        <w:t xml:space="preserve"> </w:t>
      </w:r>
      <w:r w:rsidR="00294D85" w:rsidRPr="00691D17">
        <w:t>though not significant, has the expected sign. These factors</w:t>
      </w:r>
      <w:r>
        <w:t xml:space="preserve"> </w:t>
      </w:r>
      <w:r w:rsidR="00294D85" w:rsidRPr="00691D17">
        <w:t>explain over 69 per cent of the variation in the expenditure.</w:t>
      </w:r>
    </w:p>
    <w:p w14:paraId="18C23B06" w14:textId="77777777" w:rsidR="00294D85" w:rsidRPr="00C57E12" w:rsidRDefault="00294D85" w:rsidP="005069B2">
      <w:pPr>
        <w:tabs>
          <w:tab w:val="left" w:pos="2805"/>
        </w:tabs>
        <w:spacing w:line="240" w:lineRule="auto"/>
        <w:jc w:val="both"/>
        <w:rPr>
          <w:rFonts w:ascii="Times New Roman" w:hAnsi="Times New Roman" w:cs="Times New Roman"/>
          <w:sz w:val="18"/>
          <w:szCs w:val="18"/>
        </w:rPr>
      </w:pPr>
      <w:r w:rsidRPr="00C57E12">
        <w:rPr>
          <w:rFonts w:ascii="Times New Roman" w:hAnsi="Times New Roman" w:cs="Times New Roman"/>
          <w:sz w:val="18"/>
          <w:szCs w:val="18"/>
        </w:rPr>
        <w:t>(iii) Industries And Minerals</w:t>
      </w:r>
    </w:p>
    <w:p w14:paraId="6E5F255A" w14:textId="4FCB0887" w:rsidR="00294D85" w:rsidRPr="00AA6AF4" w:rsidRDefault="00294D85" w:rsidP="005069B2">
      <w:pPr>
        <w:pStyle w:val="Heading6"/>
        <w:keepNext w:val="0"/>
        <w:keepLines w:val="0"/>
        <w:spacing w:before="0" w:line="240" w:lineRule="auto"/>
        <w:ind w:left="0" w:firstLine="284"/>
      </w:pPr>
      <w:r w:rsidRPr="00AA6AF4">
        <w:t>Expenditures on Industries and Minerals (major</w:t>
      </w:r>
      <w:r w:rsidR="00691D17">
        <w:t xml:space="preserve"> </w:t>
      </w:r>
      <w:r w:rsidRPr="00AA6AF4">
        <w:t>heads 320- general, 321, 328) are related to the total income</w:t>
      </w:r>
      <w:r w:rsidR="00691D17">
        <w:t xml:space="preserve"> </w:t>
      </w:r>
      <w:r w:rsidRPr="00AA6AF4">
        <w:t>arising from manufacture and mining and quarrying, the number</w:t>
      </w:r>
      <w:r w:rsidR="00691D17">
        <w:t xml:space="preserve"> </w:t>
      </w:r>
      <w:r w:rsidRPr="00AA6AF4">
        <w:t>of standard employees per rupees lakh of income arising from</w:t>
      </w:r>
      <w:r w:rsidR="00691D17">
        <w:t xml:space="preserve"> </w:t>
      </w:r>
      <w:r w:rsidRPr="00AA6AF4">
        <w:t>manufacture and mining and quarrying, the proportion of hill/</w:t>
      </w:r>
      <w:r w:rsidR="00691D17">
        <w:t xml:space="preserve"> </w:t>
      </w:r>
      <w:r w:rsidRPr="00AA6AF4">
        <w:t>desert population, and the density of urban population. All the</w:t>
      </w:r>
      <w:r w:rsidR="00691D17">
        <w:t xml:space="preserve"> </w:t>
      </w:r>
      <w:r w:rsidRPr="00AA6AF4">
        <w:t>variables are significant at the one per cent level and the equation</w:t>
      </w:r>
      <w:r w:rsidR="00691D17">
        <w:t xml:space="preserve"> </w:t>
      </w:r>
      <w:r w:rsidRPr="00AA6AF4">
        <w:t>has an explanatory power of about 61 per cent.</w:t>
      </w:r>
    </w:p>
    <w:p w14:paraId="5328D52C" w14:textId="77777777" w:rsidR="00294D85" w:rsidRPr="00691D17" w:rsidRDefault="00294D85" w:rsidP="005069B2">
      <w:pPr>
        <w:tabs>
          <w:tab w:val="left" w:pos="2805"/>
        </w:tabs>
        <w:spacing w:after="0" w:line="240" w:lineRule="auto"/>
        <w:jc w:val="center"/>
        <w:rPr>
          <w:rFonts w:ascii="Times New Roman" w:hAnsi="Times New Roman" w:cs="Times New Roman"/>
          <w:sz w:val="18"/>
          <w:szCs w:val="18"/>
        </w:rPr>
      </w:pPr>
      <w:r w:rsidRPr="00691D17">
        <w:rPr>
          <w:rFonts w:ascii="Times New Roman" w:hAnsi="Times New Roman" w:cs="Times New Roman"/>
          <w:b/>
          <w:bCs/>
          <w:sz w:val="18"/>
          <w:szCs w:val="18"/>
        </w:rPr>
        <w:t xml:space="preserve">Normative Estimates </w:t>
      </w:r>
      <w:proofErr w:type="gramStart"/>
      <w:r w:rsidRPr="00691D17">
        <w:rPr>
          <w:rFonts w:ascii="Times New Roman" w:hAnsi="Times New Roman" w:cs="Times New Roman"/>
          <w:b/>
          <w:bCs/>
          <w:sz w:val="18"/>
          <w:szCs w:val="18"/>
        </w:rPr>
        <w:t>In</w:t>
      </w:r>
      <w:proofErr w:type="gramEnd"/>
      <w:r w:rsidRPr="00691D17">
        <w:rPr>
          <w:rFonts w:ascii="Times New Roman" w:hAnsi="Times New Roman" w:cs="Times New Roman"/>
          <w:b/>
          <w:bCs/>
          <w:sz w:val="18"/>
          <w:szCs w:val="18"/>
        </w:rPr>
        <w:t xml:space="preserve"> </w:t>
      </w:r>
      <w:proofErr w:type="gramStart"/>
      <w:r w:rsidRPr="00691D17">
        <w:rPr>
          <w:rFonts w:ascii="Times New Roman" w:hAnsi="Times New Roman" w:cs="Times New Roman"/>
          <w:b/>
          <w:bCs/>
          <w:sz w:val="18"/>
          <w:szCs w:val="18"/>
        </w:rPr>
        <w:t>The</w:t>
      </w:r>
      <w:proofErr w:type="gramEnd"/>
      <w:r w:rsidRPr="00691D17">
        <w:rPr>
          <w:rFonts w:ascii="Times New Roman" w:hAnsi="Times New Roman" w:cs="Times New Roman"/>
          <w:b/>
          <w:bCs/>
          <w:sz w:val="18"/>
          <w:szCs w:val="18"/>
        </w:rPr>
        <w:t xml:space="preserve"> Base Year</w:t>
      </w:r>
    </w:p>
    <w:p w14:paraId="6086CCFA" w14:textId="36D553A7" w:rsidR="00294D85" w:rsidRPr="00AA6AF4" w:rsidRDefault="00294D85" w:rsidP="005069B2">
      <w:pPr>
        <w:pStyle w:val="Heading6"/>
        <w:keepNext w:val="0"/>
        <w:keepLines w:val="0"/>
        <w:spacing w:before="0" w:line="240" w:lineRule="auto"/>
        <w:ind w:left="0" w:firstLine="284"/>
      </w:pPr>
      <w:r w:rsidRPr="00AA6AF4">
        <w:t> For projecting expenditure needs of the States, in the</w:t>
      </w:r>
      <w:r w:rsidR="00691D17">
        <w:t xml:space="preserve"> </w:t>
      </w:r>
      <w:r w:rsidRPr="00AA6AF4">
        <w:t>first instance, the normative estimates of expenditure for the year 1986-87 were</w:t>
      </w:r>
      <w:r w:rsidR="00C57E12">
        <w:t xml:space="preserve"> </w:t>
      </w:r>
      <w:r w:rsidRPr="00AA6AF4">
        <w:t>worked out on the basis of the expenditure</w:t>
      </w:r>
      <w:r w:rsidR="00691D17">
        <w:t xml:space="preserve"> </w:t>
      </w:r>
      <w:r w:rsidRPr="00AA6AF4">
        <w:t>determinants equations discussed above. As mentioned earlier,</w:t>
      </w:r>
      <w:r w:rsidR="00C57E12">
        <w:t xml:space="preserve"> </w:t>
      </w:r>
      <w:r w:rsidRPr="00AA6AF4">
        <w:t>the normative expenditures have been estimated by substituting</w:t>
      </w:r>
      <w:r w:rsidR="00691D17">
        <w:t xml:space="preserve"> </w:t>
      </w:r>
      <w:r w:rsidRPr="00AA6AF4">
        <w:t>the actual or the average values of the explanatory variables in</w:t>
      </w:r>
      <w:r w:rsidR="00C57E12">
        <w:t xml:space="preserve"> </w:t>
      </w:r>
      <w:r w:rsidRPr="00AA6AF4">
        <w:t>1986-87 in the equations.</w:t>
      </w:r>
    </w:p>
    <w:p w14:paraId="2E72846A" w14:textId="29482F27" w:rsidR="00294D85" w:rsidRPr="00AA6AF4" w:rsidRDefault="00294D85" w:rsidP="005069B2">
      <w:pPr>
        <w:pStyle w:val="Heading6"/>
        <w:keepNext w:val="0"/>
        <w:keepLines w:val="0"/>
        <w:spacing w:before="0" w:line="240" w:lineRule="auto"/>
        <w:ind w:left="0" w:firstLine="284"/>
      </w:pPr>
      <w:r w:rsidRPr="00AA6AF4">
        <w:t>To reckon the justifiable cost of providing the average</w:t>
      </w:r>
      <w:r w:rsidR="00691D17">
        <w:t xml:space="preserve"> </w:t>
      </w:r>
      <w:r w:rsidRPr="00AA6AF4">
        <w:t>standards of service in the case of general services, it is</w:t>
      </w:r>
      <w:r w:rsidR="00691D17">
        <w:t xml:space="preserve"> </w:t>
      </w:r>
      <w:r w:rsidRPr="00AA6AF4">
        <w:t>necessary that the variables representing the quantities of public</w:t>
      </w:r>
      <w:r w:rsidR="00691D17">
        <w:t xml:space="preserve"> </w:t>
      </w:r>
      <w:r w:rsidRPr="00AA6AF4">
        <w:t>services and the cost of providing them which are within the</w:t>
      </w:r>
      <w:r w:rsidR="00691D17">
        <w:t xml:space="preserve"> </w:t>
      </w:r>
      <w:r w:rsidRPr="00AA6AF4">
        <w:t>control of the State Governments are substituted at their average</w:t>
      </w:r>
      <w:r w:rsidR="00691D17">
        <w:t xml:space="preserve"> </w:t>
      </w:r>
      <w:r w:rsidRPr="00AA6AF4">
        <w:t>values. Only the cost factors beyond the control of the State</w:t>
      </w:r>
      <w:r w:rsidR="00691D17">
        <w:t xml:space="preserve"> </w:t>
      </w:r>
      <w:r w:rsidRPr="00AA6AF4">
        <w:t>Governments should be substituted at their actual values. In the</w:t>
      </w:r>
      <w:r w:rsidR="00691D17">
        <w:t xml:space="preserve"> </w:t>
      </w:r>
      <w:r w:rsidRPr="00AA6AF4">
        <w:t>case of "Organs of State" and "Administrative Services", for</w:t>
      </w:r>
      <w:r w:rsidR="00691D17">
        <w:t xml:space="preserve"> </w:t>
      </w:r>
      <w:r w:rsidRPr="00AA6AF4">
        <w:t>example, the quantity variable is represented by the number of</w:t>
      </w:r>
      <w:r w:rsidR="00691D17">
        <w:t xml:space="preserve"> </w:t>
      </w:r>
      <w:r w:rsidRPr="00AA6AF4">
        <w:t>standard employees per thousand population. Similarly, the</w:t>
      </w:r>
      <w:r w:rsidR="00691D17">
        <w:t xml:space="preserve"> </w:t>
      </w:r>
      <w:r w:rsidRPr="00AA6AF4">
        <w:t>number of police constables per thousand population in the case</w:t>
      </w:r>
      <w:r w:rsidR="00691D17">
        <w:t xml:space="preserve"> </w:t>
      </w:r>
      <w:r w:rsidRPr="00AA6AF4">
        <w:t>of "Police Services", the number of judges in the High Courts and</w:t>
      </w:r>
      <w:r w:rsidR="00691D17">
        <w:t xml:space="preserve"> </w:t>
      </w:r>
      <w:r w:rsidRPr="00AA6AF4">
        <w:t>subordinate courts and the cases disposed of per judge in the</w:t>
      </w:r>
      <w:r w:rsidR="00691D17">
        <w:t xml:space="preserve"> </w:t>
      </w:r>
      <w:r w:rsidRPr="00AA6AF4">
        <w:t>case of "Administration of Justice", the capacity in the case of</w:t>
      </w:r>
      <w:r w:rsidR="00691D17">
        <w:t xml:space="preserve"> </w:t>
      </w:r>
      <w:r w:rsidRPr="00AA6AF4">
        <w:t>"Jails", the total tax collected in the case of "Fiscal Services", and</w:t>
      </w:r>
      <w:r w:rsidR="00691D17">
        <w:t xml:space="preserve"> </w:t>
      </w:r>
      <w:r w:rsidRPr="00AA6AF4">
        <w:t>the number of standard employees per thousand population in the</w:t>
      </w:r>
      <w:r w:rsidR="00691D17">
        <w:t xml:space="preserve"> </w:t>
      </w:r>
      <w:r w:rsidRPr="00AA6AF4">
        <w:t>cases of "Fire Protection" and "Other Administrative Services",</w:t>
      </w:r>
      <w:r w:rsidR="00691D17">
        <w:t xml:space="preserve"> </w:t>
      </w:r>
      <w:r w:rsidRPr="00AA6AF4">
        <w:t>have been taken as quantity variables and are substituted at their</w:t>
      </w:r>
      <w:r w:rsidR="00691D17">
        <w:t xml:space="preserve"> </w:t>
      </w:r>
      <w:r w:rsidRPr="00AA6AF4">
        <w:t>average values in the respective equations. Factors such as</w:t>
      </w:r>
      <w:r w:rsidR="00691D17">
        <w:t xml:space="preserve"> </w:t>
      </w:r>
      <w:r w:rsidRPr="00AA6AF4">
        <w:t>salaries of police constables have been taken as the cost factors</w:t>
      </w:r>
      <w:r w:rsidR="00691D17">
        <w:t xml:space="preserve"> </w:t>
      </w:r>
      <w:r w:rsidRPr="00AA6AF4">
        <w:t>within the control of the State Governments. In all cases where the</w:t>
      </w:r>
      <w:r w:rsidR="00691D17">
        <w:t xml:space="preserve"> </w:t>
      </w:r>
      <w:r w:rsidRPr="00AA6AF4">
        <w:t>number of standard employees is taken in the equations, the</w:t>
      </w:r>
      <w:r w:rsidR="00C57E12">
        <w:t xml:space="preserve"> </w:t>
      </w:r>
      <w:r w:rsidRPr="00AA6AF4">
        <w:t>salary differences get automatically subsumed. Only the cost</w:t>
      </w:r>
      <w:r w:rsidR="00691D17">
        <w:t xml:space="preserve"> </w:t>
      </w:r>
      <w:r w:rsidRPr="00AA6AF4">
        <w:t>factors beyond the control of the State Governments should be</w:t>
      </w:r>
      <w:r w:rsidR="00C57E12">
        <w:t xml:space="preserve"> </w:t>
      </w:r>
      <w:r w:rsidRPr="00AA6AF4">
        <w:t>substituted at their actual values. Variables such as inter-State</w:t>
      </w:r>
      <w:r w:rsidR="00691D17">
        <w:t xml:space="preserve"> </w:t>
      </w:r>
      <w:r w:rsidRPr="00AA6AF4">
        <w:t>differences in consumer prices, proportion of hill/desert</w:t>
      </w:r>
      <w:r w:rsidR="00C57E12">
        <w:t xml:space="preserve"> </w:t>
      </w:r>
      <w:r w:rsidRPr="00AA6AF4">
        <w:t>population to total population, density of population, the degree of</w:t>
      </w:r>
      <w:r w:rsidR="00691D17">
        <w:t xml:space="preserve"> </w:t>
      </w:r>
      <w:r w:rsidRPr="00AA6AF4">
        <w:t>urbanisation (which in many cases is expected to have a negative</w:t>
      </w:r>
      <w:r w:rsidR="00C57E12">
        <w:t xml:space="preserve"> </w:t>
      </w:r>
      <w:r w:rsidRPr="00AA6AF4">
        <w:t>sign due to the cost disabilities of providing the services in rural</w:t>
      </w:r>
      <w:r w:rsidR="00691D17">
        <w:t xml:space="preserve"> </w:t>
      </w:r>
      <w:r w:rsidRPr="00AA6AF4">
        <w:t>areas) are the cost factors which are beyond the control of the</w:t>
      </w:r>
      <w:r w:rsidR="00C57E12">
        <w:t xml:space="preserve"> </w:t>
      </w:r>
      <w:r w:rsidRPr="00AA6AF4">
        <w:t>State Governments and are substituted at their actual values.</w:t>
      </w:r>
    </w:p>
    <w:p w14:paraId="7A4E9811" w14:textId="47B6946C" w:rsidR="00294D85" w:rsidRPr="00AA6AF4" w:rsidRDefault="00294D85" w:rsidP="005069B2">
      <w:pPr>
        <w:pStyle w:val="Heading6"/>
        <w:keepNext w:val="0"/>
        <w:keepLines w:val="0"/>
        <w:spacing w:before="0" w:line="240" w:lineRule="auto"/>
        <w:ind w:left="0" w:firstLine="284"/>
      </w:pPr>
      <w:r w:rsidRPr="00AA6AF4">
        <w:t>As mentioned earlier, normative expenditures on</w:t>
      </w:r>
      <w:r w:rsidR="0031037E">
        <w:t xml:space="preserve"> </w:t>
      </w:r>
      <w:r w:rsidRPr="00AA6AF4">
        <w:t>social and economic services have to be estimated at the</w:t>
      </w:r>
      <w:r w:rsidR="0031037E">
        <w:t xml:space="preserve"> </w:t>
      </w:r>
      <w:r w:rsidRPr="00AA6AF4">
        <w:t>justifiable cost of providing the existing standards of services. For</w:t>
      </w:r>
      <w:r w:rsidR="0031037E">
        <w:t xml:space="preserve"> </w:t>
      </w:r>
      <w:r w:rsidRPr="00AA6AF4">
        <w:t>these services, only the unit cost of provision is to be computed</w:t>
      </w:r>
      <w:r w:rsidR="0031037E">
        <w:t xml:space="preserve"> </w:t>
      </w:r>
      <w:r w:rsidRPr="00AA6AF4">
        <w:t>normatively. Therefore, we have substituted the actual values of</w:t>
      </w:r>
      <w:r w:rsidR="0031037E">
        <w:t xml:space="preserve"> </w:t>
      </w:r>
      <w:r w:rsidRPr="00AA6AF4">
        <w:t>the variables in respect of quantity variables and cost variables</w:t>
      </w:r>
      <w:r w:rsidR="0031037E">
        <w:t xml:space="preserve"> </w:t>
      </w:r>
      <w:r w:rsidRPr="00AA6AF4">
        <w:t>beyond the control of the State Governments and the average</w:t>
      </w:r>
      <w:r w:rsidR="0031037E">
        <w:t xml:space="preserve"> </w:t>
      </w:r>
      <w:r w:rsidRPr="00AA6AF4">
        <w:t>values of the cost factors within the control of the State</w:t>
      </w:r>
      <w:r w:rsidR="0031037E">
        <w:t xml:space="preserve"> </w:t>
      </w:r>
      <w:r w:rsidRPr="00AA6AF4">
        <w:t>Governments. In the case of educational services, for example,</w:t>
      </w:r>
      <w:r w:rsidR="00C57E12">
        <w:t xml:space="preserve"> </w:t>
      </w:r>
      <w:r w:rsidRPr="00AA6AF4">
        <w:t>the enrolment ratio, as well as various cost factors such as density</w:t>
      </w:r>
      <w:r w:rsidR="0031037E">
        <w:t xml:space="preserve"> </w:t>
      </w:r>
      <w:r w:rsidRPr="00AA6AF4">
        <w:t>of population, the proportion of hill population and price level</w:t>
      </w:r>
      <w:r w:rsidR="00C57E12">
        <w:t xml:space="preserve"> </w:t>
      </w:r>
      <w:r w:rsidRPr="00AA6AF4">
        <w:t>differences among the States are substituted at their actual</w:t>
      </w:r>
      <w:r w:rsidR="0031037E">
        <w:t xml:space="preserve"> </w:t>
      </w:r>
      <w:r w:rsidRPr="00AA6AF4">
        <w:t>values, whereas, the student-teacher ratio and differences in the</w:t>
      </w:r>
      <w:r w:rsidR="00C57E12">
        <w:t xml:space="preserve"> </w:t>
      </w:r>
      <w:r w:rsidRPr="00AA6AF4">
        <w:t>salary levels of teachers among the States are substituted at their</w:t>
      </w:r>
      <w:r w:rsidR="0031037E">
        <w:t xml:space="preserve"> </w:t>
      </w:r>
      <w:r w:rsidRPr="00AA6AF4">
        <w:t>average values. Similarly, in the case of expenditures on medical</w:t>
      </w:r>
      <w:r w:rsidR="00C57E12">
        <w:t xml:space="preserve"> </w:t>
      </w:r>
      <w:r w:rsidRPr="00AA6AF4">
        <w:t>and public health, the number of hospital beds per thousand</w:t>
      </w:r>
      <w:r w:rsidR="0031037E">
        <w:t xml:space="preserve"> </w:t>
      </w:r>
      <w:r w:rsidRPr="00AA6AF4">
        <w:t>population and other cost factors are substituted at their actual</w:t>
      </w:r>
      <w:r w:rsidR="00C57E12">
        <w:t xml:space="preserve"> </w:t>
      </w:r>
      <w:r w:rsidRPr="00AA6AF4">
        <w:t>values and salaries of nurses in government hospitals and health</w:t>
      </w:r>
      <w:r w:rsidR="0031037E">
        <w:t xml:space="preserve"> </w:t>
      </w:r>
      <w:r w:rsidRPr="00AA6AF4">
        <w:t>centres are substituted at their average levels. The same</w:t>
      </w:r>
      <w:r w:rsidR="00C57E12">
        <w:t xml:space="preserve"> </w:t>
      </w:r>
      <w:r w:rsidRPr="00AA6AF4">
        <w:t>procedure has been adopted to estimate expenditures on the</w:t>
      </w:r>
      <w:r w:rsidR="0031037E">
        <w:t xml:space="preserve"> </w:t>
      </w:r>
      <w:r w:rsidRPr="00AA6AF4">
        <w:t>economic services included in the statistical exercise. In the case</w:t>
      </w:r>
      <w:r w:rsidR="00C57E12">
        <w:t xml:space="preserve"> </w:t>
      </w:r>
      <w:r w:rsidRPr="00AA6AF4">
        <w:t>of expenditures on agriculture and allied activities, gross cropped</w:t>
      </w:r>
      <w:r w:rsidR="0031037E">
        <w:t xml:space="preserve"> </w:t>
      </w:r>
      <w:r w:rsidRPr="00AA6AF4">
        <w:t>area per thousand population, proportion of area covered under</w:t>
      </w:r>
      <w:r w:rsidRPr="00AA6AF4">
        <w:br/>
        <w:t>high yielding varieties of cereals to gross cropped area, proportion</w:t>
      </w:r>
      <w:r w:rsidR="0031037E">
        <w:t xml:space="preserve"> </w:t>
      </w:r>
      <w:r w:rsidRPr="00AA6AF4">
        <w:t>of area covered under commercial crops and the cost disability</w:t>
      </w:r>
      <w:r w:rsidR="00C57E12">
        <w:t xml:space="preserve"> </w:t>
      </w:r>
      <w:r w:rsidRPr="00AA6AF4">
        <w:t>factors, if any, are substituted at their actual values and the</w:t>
      </w:r>
      <w:r w:rsidR="0031037E">
        <w:t xml:space="preserve"> </w:t>
      </w:r>
      <w:r w:rsidRPr="00AA6AF4">
        <w:t>number of standard employees per thousand hectares of gross</w:t>
      </w:r>
      <w:r w:rsidR="00C57E12">
        <w:t xml:space="preserve"> </w:t>
      </w:r>
      <w:r w:rsidRPr="00AA6AF4">
        <w:t>cropped area is substituted at its average value. In the case of</w:t>
      </w:r>
      <w:r w:rsidR="0031037E">
        <w:t xml:space="preserve"> </w:t>
      </w:r>
      <w:r w:rsidRPr="00AA6AF4">
        <w:t>animal husbandry, only the salaries of assistant veterinary</w:t>
      </w:r>
      <w:r w:rsidR="00C57E12">
        <w:t xml:space="preserve"> </w:t>
      </w:r>
      <w:r w:rsidRPr="00AA6AF4">
        <w:t xml:space="preserve">surgeons </w:t>
      </w:r>
      <w:proofErr w:type="gramStart"/>
      <w:r w:rsidRPr="00AA6AF4">
        <w:t>is</w:t>
      </w:r>
      <w:proofErr w:type="gramEnd"/>
      <w:r w:rsidRPr="00AA6AF4">
        <w:t xml:space="preserve"> taken at the average value. In the case of</w:t>
      </w:r>
      <w:r w:rsidR="0031037E">
        <w:t xml:space="preserve"> </w:t>
      </w:r>
      <w:r w:rsidRPr="00AA6AF4">
        <w:t>expenditures on industries and minerals, the number of standard</w:t>
      </w:r>
      <w:r w:rsidR="00C57E12">
        <w:t xml:space="preserve"> </w:t>
      </w:r>
      <w:r w:rsidRPr="00AA6AF4">
        <w:t>employees per rupees lakh of income arising from manufacture</w:t>
      </w:r>
      <w:r w:rsidR="0031037E">
        <w:t xml:space="preserve"> </w:t>
      </w:r>
      <w:r w:rsidRPr="00AA6AF4">
        <w:t>and mining and quarrying is taken at its average value for</w:t>
      </w:r>
      <w:r w:rsidR="0031037E">
        <w:t xml:space="preserve"> </w:t>
      </w:r>
      <w:r w:rsidRPr="00AA6AF4">
        <w:t>substitution.</w:t>
      </w:r>
    </w:p>
    <w:p w14:paraId="342CC1E8" w14:textId="1F166FC1" w:rsidR="00294D85" w:rsidRPr="00AA6AF4" w:rsidRDefault="00294D85" w:rsidP="005069B2">
      <w:pPr>
        <w:pStyle w:val="Heading6"/>
        <w:keepNext w:val="0"/>
        <w:keepLines w:val="0"/>
        <w:spacing w:before="0" w:line="240" w:lineRule="auto"/>
        <w:ind w:left="0" w:firstLine="284"/>
      </w:pPr>
      <w:r w:rsidRPr="00AA6AF4">
        <w:t>The sum total of the normative estimates of</w:t>
      </w:r>
      <w:r w:rsidR="0031037E">
        <w:t xml:space="preserve"> </w:t>
      </w:r>
      <w:r w:rsidRPr="00AA6AF4">
        <w:t>expenditures of the States as a whole obtained, by using the</w:t>
      </w:r>
      <w:r w:rsidR="0031037E">
        <w:t xml:space="preserve"> </w:t>
      </w:r>
      <w:r w:rsidRPr="00AA6AF4">
        <w:t>average as the norm, as mentioned above, should broadly</w:t>
      </w:r>
      <w:r w:rsidR="0031037E">
        <w:t xml:space="preserve"> </w:t>
      </w:r>
      <w:r w:rsidRPr="00AA6AF4">
        <w:t>correspond to the sum of actual expenditures. The difference</w:t>
      </w:r>
      <w:r w:rsidR="0031037E">
        <w:t xml:space="preserve"> </w:t>
      </w:r>
      <w:r w:rsidRPr="00AA6AF4">
        <w:t>between the norm and actual is within 10 per cent under most</w:t>
      </w:r>
      <w:r w:rsidR="0031037E">
        <w:t xml:space="preserve"> </w:t>
      </w:r>
      <w:r w:rsidRPr="00AA6AF4">
        <w:t>expenditure categories. We have adjusted the total normative</w:t>
      </w:r>
      <w:r w:rsidR="0031037E">
        <w:t xml:space="preserve"> </w:t>
      </w:r>
      <w:r w:rsidRPr="00AA6AF4">
        <w:t>expenditure of all the States in each expenditure function to equal</w:t>
      </w:r>
      <w:r w:rsidR="0031037E">
        <w:t xml:space="preserve"> </w:t>
      </w:r>
      <w:r w:rsidRPr="00AA6AF4">
        <w:t>the total actual expenditure. This amounts to adjusting the value</w:t>
      </w:r>
      <w:r w:rsidR="0031037E">
        <w:t xml:space="preserve"> </w:t>
      </w:r>
      <w:r w:rsidRPr="00AA6AF4">
        <w:t xml:space="preserve">of the constant term in the equations, as suggested in </w:t>
      </w:r>
      <w:proofErr w:type="spellStart"/>
      <w:r w:rsidRPr="00AA6AF4">
        <w:t>Intriligator</w:t>
      </w:r>
      <w:proofErr w:type="spellEnd"/>
      <w:r w:rsidRPr="00AA6AF4">
        <w:br/>
        <w:t>[1980].</w:t>
      </w:r>
    </w:p>
    <w:p w14:paraId="3417B354" w14:textId="32D229C0" w:rsidR="00294D85" w:rsidRPr="00AA6AF4" w:rsidRDefault="00294D85" w:rsidP="005069B2">
      <w:pPr>
        <w:pStyle w:val="Heading6"/>
        <w:keepNext w:val="0"/>
        <w:keepLines w:val="0"/>
        <w:spacing w:before="0" w:line="240" w:lineRule="auto"/>
        <w:ind w:left="0" w:firstLine="284"/>
      </w:pPr>
      <w:r w:rsidRPr="00AA6AF4">
        <w:t>Although we have tried to capture the effects of cost</w:t>
      </w:r>
      <w:r w:rsidR="0031037E">
        <w:t xml:space="preserve"> </w:t>
      </w:r>
      <w:r w:rsidRPr="00AA6AF4">
        <w:t>disability factors that are applicable to States in general in our</w:t>
      </w:r>
      <w:r w:rsidR="0031037E">
        <w:t xml:space="preserve"> </w:t>
      </w:r>
      <w:r w:rsidRPr="00AA6AF4">
        <w:t>econometric analysis, it was found that special cost disabilities in</w:t>
      </w:r>
      <w:r w:rsidR="0031037E">
        <w:t xml:space="preserve"> </w:t>
      </w:r>
      <w:r w:rsidRPr="00AA6AF4">
        <w:t>the form of environmental cost disadvantages in the Himalayan</w:t>
      </w:r>
      <w:r w:rsidR="00C57E12">
        <w:t xml:space="preserve"> </w:t>
      </w:r>
      <w:r w:rsidRPr="00AA6AF4">
        <w:t>hill regions have not been taken into account. The variable</w:t>
      </w:r>
      <w:r w:rsidR="0031037E">
        <w:t xml:space="preserve"> </w:t>
      </w:r>
      <w:r w:rsidRPr="00AA6AF4">
        <w:t>employed in the equation, 'proportion of hill/desert population'</w:t>
      </w:r>
      <w:r w:rsidR="00C57E12">
        <w:t xml:space="preserve"> </w:t>
      </w:r>
      <w:r w:rsidRPr="00AA6AF4">
        <w:t>cannot be considered to fully reflect the cost disabilities in the</w:t>
      </w:r>
      <w:r w:rsidR="0031037E">
        <w:t xml:space="preserve"> </w:t>
      </w:r>
      <w:r w:rsidRPr="00AA6AF4">
        <w:t>provision of services in these far-flung hill areas; and most</w:t>
      </w:r>
      <w:r w:rsidR="00C57E12">
        <w:t xml:space="preserve"> </w:t>
      </w:r>
      <w:r w:rsidRPr="00AA6AF4">
        <w:t>probably for this reason, in the case of many functions, the above</w:t>
      </w:r>
      <w:r w:rsidR="0031037E">
        <w:t xml:space="preserve"> </w:t>
      </w:r>
      <w:r w:rsidRPr="00AA6AF4">
        <w:t>variable is not significant and has had to be excluded from the</w:t>
      </w:r>
      <w:r w:rsidR="00C57E12">
        <w:t xml:space="preserve"> </w:t>
      </w:r>
      <w:r w:rsidRPr="00AA6AF4">
        <w:t>equation. The cost disabilities experienced in these areas have to</w:t>
      </w:r>
      <w:r w:rsidR="0031037E">
        <w:t xml:space="preserve"> </w:t>
      </w:r>
      <w:r w:rsidRPr="00AA6AF4">
        <w:t>be separately taken into account. The issue pertains to the hill</w:t>
      </w:r>
      <w:r w:rsidR="00C57E12">
        <w:t xml:space="preserve"> </w:t>
      </w:r>
      <w:r w:rsidRPr="00AA6AF4">
        <w:t>regions of Uttar Pradesh and the Darjeeling district of West</w:t>
      </w:r>
      <w:r w:rsidR="0031037E">
        <w:t xml:space="preserve"> </w:t>
      </w:r>
      <w:r w:rsidRPr="00AA6AF4">
        <w:t>Bengal. Additional cost disabilities in these regions have,</w:t>
      </w:r>
      <w:r w:rsidR="0031037E">
        <w:t xml:space="preserve"> </w:t>
      </w:r>
      <w:r w:rsidRPr="00AA6AF4">
        <w:t>therefore, been worked out using the cost functions for various</w:t>
      </w:r>
      <w:r w:rsidR="0031037E">
        <w:t xml:space="preserve"> </w:t>
      </w:r>
      <w:r w:rsidRPr="00AA6AF4">
        <w:t>services in the ten Special Category States. This has been done in</w:t>
      </w:r>
      <w:r w:rsidR="0031037E">
        <w:t xml:space="preserve"> </w:t>
      </w:r>
      <w:r w:rsidRPr="00AA6AF4">
        <w:t>the following manner. From the per capita normative</w:t>
      </w:r>
      <w:r w:rsidR="0031037E">
        <w:t xml:space="preserve"> </w:t>
      </w:r>
      <w:r w:rsidRPr="00AA6AF4">
        <w:t>expenditures worked out for various services in Himachal</w:t>
      </w:r>
      <w:r w:rsidR="0031037E">
        <w:t xml:space="preserve"> </w:t>
      </w:r>
      <w:r w:rsidRPr="00AA6AF4">
        <w:t>Pradesh, a State in the Himalayan belt adjacent to Uttar Pradesh,</w:t>
      </w:r>
      <w:r w:rsidR="0031037E">
        <w:t xml:space="preserve"> </w:t>
      </w:r>
      <w:r w:rsidRPr="00AA6AF4">
        <w:t>the normative per capita expenditure estimated for Uttar Pradesh</w:t>
      </w:r>
      <w:r w:rsidR="0031037E">
        <w:t xml:space="preserve"> </w:t>
      </w:r>
      <w:r w:rsidRPr="00AA6AF4">
        <w:t>(and of West Bengal) is deducted. The differences so obtained,</w:t>
      </w:r>
      <w:r w:rsidR="00C57E12">
        <w:t xml:space="preserve"> </w:t>
      </w:r>
      <w:r w:rsidRPr="00AA6AF4">
        <w:t>however, include not only the cost disabilities of providing various</w:t>
      </w:r>
      <w:r w:rsidR="0031037E">
        <w:t xml:space="preserve"> </w:t>
      </w:r>
      <w:r w:rsidRPr="00AA6AF4">
        <w:t>services in the Himalayan hill region but also the differences in the</w:t>
      </w:r>
      <w:r w:rsidR="00C57E12">
        <w:t xml:space="preserve"> </w:t>
      </w:r>
      <w:r w:rsidRPr="00AA6AF4">
        <w:t>quantity of services provided. Besides, there are certain</w:t>
      </w:r>
      <w:r w:rsidR="0031037E">
        <w:t xml:space="preserve"> </w:t>
      </w:r>
      <w:r w:rsidRPr="00AA6AF4">
        <w:t>indivisible expenditures incurred by a State such as on the</w:t>
      </w:r>
      <w:r w:rsidR="0031037E">
        <w:t xml:space="preserve"> </w:t>
      </w:r>
      <w:r w:rsidRPr="00AA6AF4">
        <w:t>Governor and on the</w:t>
      </w:r>
      <w:r w:rsidR="0031037E">
        <w:t xml:space="preserve"> </w:t>
      </w:r>
      <w:r w:rsidRPr="00AA6AF4">
        <w:t>Council of</w:t>
      </w:r>
      <w:r w:rsidR="0031037E">
        <w:t xml:space="preserve"> </w:t>
      </w:r>
      <w:r w:rsidRPr="00AA6AF4">
        <w:t>Ministers and the hill regions</w:t>
      </w:r>
      <w:r w:rsidR="0031037E">
        <w:t xml:space="preserve"> </w:t>
      </w:r>
      <w:r w:rsidRPr="00AA6AF4">
        <w:t>within that State can reap scale economies in respect of these</w:t>
      </w:r>
      <w:r w:rsidR="005221A8">
        <w:t xml:space="preserve"> </w:t>
      </w:r>
      <w:r w:rsidRPr="00AA6AF4">
        <w:t>expenditures.</w:t>
      </w:r>
      <w:r w:rsidR="0031037E">
        <w:t xml:space="preserve">  </w:t>
      </w:r>
      <w:r w:rsidRPr="00AA6AF4">
        <w:t>Therefore, we have taken 50 per cent of the</w:t>
      </w:r>
      <w:r w:rsidR="005221A8">
        <w:t xml:space="preserve"> </w:t>
      </w:r>
      <w:r w:rsidRPr="00AA6AF4">
        <w:t>differences as the additional cost disability per capita and added</w:t>
      </w:r>
      <w:r w:rsidR="005221A8">
        <w:t xml:space="preserve"> </w:t>
      </w:r>
      <w:r w:rsidRPr="00AA6AF4">
        <w:t>these to the normative estimates of expenditures for Uttar</w:t>
      </w:r>
      <w:r w:rsidR="005221A8">
        <w:t xml:space="preserve"> </w:t>
      </w:r>
      <w:r w:rsidRPr="00AA6AF4">
        <w:t>Pradesh and West Bengal.</w:t>
      </w:r>
    </w:p>
    <w:p w14:paraId="0C477363" w14:textId="492219BE" w:rsidR="00294D85" w:rsidRPr="00AA6AF4" w:rsidRDefault="00294D85" w:rsidP="005069B2">
      <w:pPr>
        <w:pStyle w:val="Heading6"/>
        <w:keepNext w:val="0"/>
        <w:keepLines w:val="0"/>
        <w:spacing w:before="0" w:line="240" w:lineRule="auto"/>
        <w:ind w:left="0" w:firstLine="284"/>
      </w:pPr>
      <w:r w:rsidRPr="00AA6AF4">
        <w:t>Table B.5.2 shows the normative expenditure under</w:t>
      </w:r>
      <w:r w:rsidR="005221A8">
        <w:t xml:space="preserve"> </w:t>
      </w:r>
      <w:r w:rsidRPr="00AA6AF4">
        <w:t>each category analysed by us and compares it with the actual. It is</w:t>
      </w:r>
      <w:r w:rsidR="005221A8">
        <w:t xml:space="preserve"> </w:t>
      </w:r>
      <w:r w:rsidRPr="00AA6AF4">
        <w:t xml:space="preserve">seen that by and large the normative expenditures of </w:t>
      </w:r>
      <w:proofErr w:type="gramStart"/>
      <w:r w:rsidRPr="00AA6AF4">
        <w:t>low income</w:t>
      </w:r>
      <w:proofErr w:type="gramEnd"/>
      <w:r w:rsidR="005221A8">
        <w:t xml:space="preserve"> </w:t>
      </w:r>
      <w:r w:rsidRPr="00AA6AF4">
        <w:t>States are higher than their actual levels and, conversely, for the</w:t>
      </w:r>
      <w:r w:rsidR="005221A8">
        <w:t xml:space="preserve"> </w:t>
      </w:r>
      <w:proofErr w:type="gramStart"/>
      <w:r w:rsidRPr="00AA6AF4">
        <w:t>high income</w:t>
      </w:r>
      <w:proofErr w:type="gramEnd"/>
      <w:r w:rsidRPr="00AA6AF4">
        <w:t xml:space="preserve"> States. This is largely because the </w:t>
      </w:r>
      <w:proofErr w:type="gramStart"/>
      <w:r w:rsidRPr="00AA6AF4">
        <w:t>low income</w:t>
      </w:r>
      <w:proofErr w:type="gramEnd"/>
      <w:r w:rsidRPr="00AA6AF4">
        <w:t xml:space="preserve"> States</w:t>
      </w:r>
      <w:r w:rsidR="005221A8">
        <w:t xml:space="preserve"> </w:t>
      </w:r>
      <w:r w:rsidRPr="00AA6AF4">
        <w:t>provide standards of services below the average levels. This is</w:t>
      </w:r>
      <w:r w:rsidR="005221A8">
        <w:t xml:space="preserve"> </w:t>
      </w:r>
      <w:r w:rsidRPr="00AA6AF4">
        <w:t xml:space="preserve">clearly indicated by the standard deviation </w:t>
      </w:r>
      <w:r w:rsidRPr="00AA6AF4">
        <w:lastRenderedPageBreak/>
        <w:t>and the coefficient of</w:t>
      </w:r>
      <w:r w:rsidR="005221A8">
        <w:t xml:space="preserve"> </w:t>
      </w:r>
      <w:r w:rsidRPr="00AA6AF4">
        <w:t>variation computed for the per capita expenditures on different</w:t>
      </w:r>
      <w:r w:rsidR="005221A8">
        <w:t xml:space="preserve"> </w:t>
      </w:r>
      <w:r w:rsidRPr="00AA6AF4">
        <w:t>services. In the case of general services, for example, the</w:t>
      </w:r>
      <w:r w:rsidR="005221A8">
        <w:t xml:space="preserve"> </w:t>
      </w:r>
      <w:r w:rsidRPr="00AA6AF4">
        <w:t>coefficient of variation in expenditures falls substantially from</w:t>
      </w:r>
      <w:r w:rsidR="005221A8">
        <w:t xml:space="preserve"> </w:t>
      </w:r>
      <w:r w:rsidRPr="00AA6AF4">
        <w:t>0.2148 for the actuals to 0.0868 for normative expenditures. In the</w:t>
      </w:r>
      <w:r w:rsidR="005221A8">
        <w:t xml:space="preserve"> </w:t>
      </w:r>
      <w:r w:rsidRPr="00AA6AF4">
        <w:t>case of social services, the decline is from 0.2907 to 0.2398 while</w:t>
      </w:r>
      <w:r w:rsidR="005221A8">
        <w:t xml:space="preserve"> </w:t>
      </w:r>
      <w:r w:rsidRPr="00AA6AF4">
        <w:t>for economic services, it is from 0.3471 to 0.3315. (Table B.5.3). It</w:t>
      </w:r>
      <w:r w:rsidRPr="00AA6AF4">
        <w:br/>
        <w:t>can thus be seen that the application of the Commission's</w:t>
      </w:r>
      <w:r w:rsidR="005221A8">
        <w:t xml:space="preserve"> </w:t>
      </w:r>
      <w:r w:rsidRPr="00AA6AF4">
        <w:t>methodology serves to bring about a degree of equalisation in the</w:t>
      </w:r>
      <w:r w:rsidR="005221A8">
        <w:t xml:space="preserve"> </w:t>
      </w:r>
      <w:r w:rsidRPr="00AA6AF4">
        <w:t>costs of providing public services among the States. In the case of</w:t>
      </w:r>
      <w:r w:rsidR="005221A8">
        <w:t xml:space="preserve"> </w:t>
      </w:r>
      <w:r w:rsidRPr="00AA6AF4">
        <w:t>general services there is a move towards equalisation of</w:t>
      </w:r>
      <w:r w:rsidR="005221A8">
        <w:t xml:space="preserve"> </w:t>
      </w:r>
      <w:r w:rsidRPr="00AA6AF4">
        <w:t>standards of services too.</w:t>
      </w:r>
    </w:p>
    <w:p w14:paraId="2C225696" w14:textId="4E375A1D" w:rsidR="00294D85" w:rsidRPr="00AA6AF4" w:rsidRDefault="00294D85" w:rsidP="005069B2">
      <w:pPr>
        <w:pStyle w:val="Heading6"/>
        <w:keepNext w:val="0"/>
        <w:keepLines w:val="0"/>
        <w:spacing w:before="0" w:line="240" w:lineRule="auto"/>
        <w:ind w:left="0" w:firstLine="284"/>
      </w:pPr>
      <w:r w:rsidRPr="00AA6AF4">
        <w:t> It may be mentioned here that the expenditure</w:t>
      </w:r>
      <w:r w:rsidR="005221A8">
        <w:t xml:space="preserve"> </w:t>
      </w:r>
      <w:r w:rsidRPr="00AA6AF4">
        <w:t>estimates derived on the basis of equations subsume the salary</w:t>
      </w:r>
      <w:r w:rsidR="005221A8">
        <w:t xml:space="preserve"> </w:t>
      </w:r>
      <w:r w:rsidRPr="00AA6AF4">
        <w:t>revisions by the States only upto 1986-87. Following the pay</w:t>
      </w:r>
      <w:r w:rsidR="005221A8">
        <w:t xml:space="preserve"> </w:t>
      </w:r>
      <w:r w:rsidRPr="00AA6AF4">
        <w:t>revision by the Union Government on the basis of the</w:t>
      </w:r>
      <w:r w:rsidR="005221A8">
        <w:t xml:space="preserve"> </w:t>
      </w:r>
      <w:r w:rsidRPr="00AA6AF4">
        <w:t>recommendations of the Fourth Pay Commission, many of the</w:t>
      </w:r>
      <w:r w:rsidR="005221A8">
        <w:t xml:space="preserve"> </w:t>
      </w:r>
      <w:r w:rsidRPr="00AA6AF4">
        <w:t>State Governments had to follow suit. Therefore, provision has</w:t>
      </w:r>
      <w:r w:rsidR="005221A8">
        <w:t xml:space="preserve"> </w:t>
      </w:r>
      <w:r w:rsidRPr="00AA6AF4">
        <w:t>been made for bringing about parity between the scales of pay of</w:t>
      </w:r>
      <w:r w:rsidR="005221A8">
        <w:t xml:space="preserve"> </w:t>
      </w:r>
      <w:r w:rsidRPr="00AA6AF4">
        <w:t>the States and the Centre by taking into account the respective</w:t>
      </w:r>
      <w:r w:rsidR="005221A8">
        <w:t xml:space="preserve"> </w:t>
      </w:r>
      <w:r w:rsidRPr="00AA6AF4">
        <w:t>differences in the pay scales of representative categories of</w:t>
      </w:r>
      <w:r w:rsidR="00C57E12">
        <w:t xml:space="preserve"> </w:t>
      </w:r>
      <w:r w:rsidRPr="00AA6AF4">
        <w:t>employees.</w:t>
      </w:r>
    </w:p>
    <w:p w14:paraId="3C60861E" w14:textId="09EDEEDA" w:rsidR="00294D85" w:rsidRPr="00AA6AF4" w:rsidRDefault="00294D85" w:rsidP="005069B2">
      <w:pPr>
        <w:pStyle w:val="Heading6"/>
        <w:keepNext w:val="0"/>
        <w:keepLines w:val="0"/>
        <w:spacing w:before="0" w:line="240" w:lineRule="auto"/>
        <w:ind w:left="0" w:firstLine="284"/>
      </w:pPr>
      <w:r w:rsidRPr="00AA6AF4">
        <w:t>The estimated expenditure required to bring pay</w:t>
      </w:r>
      <w:r w:rsidR="005221A8">
        <w:t xml:space="preserve"> </w:t>
      </w:r>
      <w:r w:rsidRPr="00AA6AF4">
        <w:t>parity for the year 1989-90 was then adjusted to conform to our</w:t>
      </w:r>
      <w:r w:rsidR="005221A8">
        <w:t xml:space="preserve"> </w:t>
      </w:r>
      <w:r w:rsidRPr="00AA6AF4">
        <w:t>normative expenditure estimates. The non-Plan and Plan components have been derived by</w:t>
      </w:r>
      <w:r w:rsidR="001540F9" w:rsidRPr="00AA6AF4">
        <w:t xml:space="preserve"> </w:t>
      </w:r>
      <w:r w:rsidRPr="00AA6AF4">
        <w:t>proportionately</w:t>
      </w:r>
      <w:r w:rsidR="001540F9" w:rsidRPr="00AA6AF4">
        <w:t xml:space="preserve"> </w:t>
      </w:r>
      <w:r w:rsidRPr="00AA6AF4">
        <w:t>apportioning</w:t>
      </w:r>
      <w:r w:rsidR="001540F9" w:rsidRPr="00AA6AF4">
        <w:t xml:space="preserve"> </w:t>
      </w:r>
      <w:r w:rsidRPr="00AA6AF4">
        <w:t>the total provision on the basis of the ratio of salary expenditures</w:t>
      </w:r>
      <w:r w:rsidR="001540F9" w:rsidRPr="00AA6AF4">
        <w:t xml:space="preserve"> </w:t>
      </w:r>
      <w:r w:rsidRPr="00AA6AF4">
        <w:t>under non-Plan and Plan heads. The non-Plan portion was then</w:t>
      </w:r>
      <w:r w:rsidR="005221A8">
        <w:t xml:space="preserve"> </w:t>
      </w:r>
      <w:r w:rsidRPr="00AA6AF4">
        <w:t>adjusted </w:t>
      </w:r>
      <w:r w:rsidRPr="00C57E12">
        <w:t>pro rata</w:t>
      </w:r>
      <w:r w:rsidRPr="00AA6AF4">
        <w:t> to conform to our normative estimates on the</w:t>
      </w:r>
      <w:r w:rsidR="005221A8">
        <w:t xml:space="preserve"> </w:t>
      </w:r>
      <w:r w:rsidRPr="00AA6AF4">
        <w:t>basis of the difference between actual expenditure and normative</w:t>
      </w:r>
      <w:r w:rsidR="005221A8">
        <w:t xml:space="preserve"> </w:t>
      </w:r>
      <w:r w:rsidRPr="00AA6AF4">
        <w:t>expenditure in each of the major States in 1986-87.</w:t>
      </w:r>
    </w:p>
    <w:p w14:paraId="5E060DA1" w14:textId="77777777" w:rsidR="00294D85" w:rsidRPr="005221A8" w:rsidRDefault="00294D85" w:rsidP="005069B2">
      <w:pPr>
        <w:tabs>
          <w:tab w:val="left" w:pos="2805"/>
        </w:tabs>
        <w:spacing w:after="0" w:line="240" w:lineRule="auto"/>
        <w:jc w:val="center"/>
        <w:rPr>
          <w:rFonts w:ascii="Times New Roman" w:hAnsi="Times New Roman" w:cs="Times New Roman"/>
          <w:sz w:val="18"/>
          <w:szCs w:val="18"/>
        </w:rPr>
      </w:pPr>
      <w:r w:rsidRPr="005221A8">
        <w:rPr>
          <w:rFonts w:ascii="Times New Roman" w:hAnsi="Times New Roman" w:cs="Times New Roman"/>
          <w:b/>
          <w:bCs/>
          <w:sz w:val="18"/>
          <w:szCs w:val="18"/>
        </w:rPr>
        <w:t>Projection</w:t>
      </w:r>
    </w:p>
    <w:p w14:paraId="2945C670" w14:textId="58798FEB" w:rsidR="00294D85" w:rsidRPr="00AA6AF4" w:rsidRDefault="00294D85" w:rsidP="005069B2">
      <w:pPr>
        <w:pStyle w:val="Heading6"/>
        <w:keepNext w:val="0"/>
        <w:keepLines w:val="0"/>
        <w:spacing w:before="0" w:line="240" w:lineRule="auto"/>
        <w:ind w:left="0" w:firstLine="284"/>
      </w:pPr>
      <w:r w:rsidRPr="00AA6AF4">
        <w:t>The expenditure needs estimated for 1986-87 have to</w:t>
      </w:r>
      <w:r w:rsidR="005221A8">
        <w:t xml:space="preserve"> </w:t>
      </w:r>
      <w:r w:rsidRPr="00AA6AF4">
        <w:t>be projected to the end of the period of our report. This has been</w:t>
      </w:r>
      <w:r w:rsidR="005221A8">
        <w:t xml:space="preserve"> </w:t>
      </w:r>
      <w:r w:rsidRPr="00AA6AF4">
        <w:t>done in two stages. In the first, the normative expenditures have</w:t>
      </w:r>
      <w:r w:rsidR="005221A8">
        <w:t xml:space="preserve"> </w:t>
      </w:r>
      <w:r w:rsidRPr="00AA6AF4">
        <w:t>been projected to the base year 1989-90 by applying the all-States average historical growth rates adjusted partially for</w:t>
      </w:r>
      <w:r w:rsidR="005221A8">
        <w:t xml:space="preserve"> </w:t>
      </w:r>
      <w:r w:rsidRPr="00AA6AF4">
        <w:t>periodic revision in the salaries by the States. Therefore, although</w:t>
      </w:r>
      <w:r w:rsidR="005221A8">
        <w:t xml:space="preserve"> </w:t>
      </w:r>
      <w:r w:rsidRPr="00AA6AF4">
        <w:t>the historical growth rate of expenditure is 14.5 per cent, we have</w:t>
      </w:r>
      <w:r w:rsidR="005221A8">
        <w:t xml:space="preserve"> </w:t>
      </w:r>
      <w:r w:rsidRPr="00AA6AF4">
        <w:t>applied a growth rate of 13 per cent per annum to the normative</w:t>
      </w:r>
      <w:r w:rsidR="005221A8">
        <w:t xml:space="preserve"> </w:t>
      </w:r>
      <w:r w:rsidRPr="00AA6AF4">
        <w:t>expenditures estimated for 1986-87 to arrive at the normative</w:t>
      </w:r>
      <w:r w:rsidR="005221A8">
        <w:t xml:space="preserve"> </w:t>
      </w:r>
      <w:r w:rsidRPr="00AA6AF4">
        <w:t>expenditures in 1989-90. To this, the provision for salary revision</w:t>
      </w:r>
      <w:r w:rsidR="005221A8">
        <w:t xml:space="preserve"> </w:t>
      </w:r>
      <w:r w:rsidRPr="00AA6AF4">
        <w:t>computed separately as indicated above has been added.</w:t>
      </w:r>
    </w:p>
    <w:p w14:paraId="74DA6E35" w14:textId="64C38294" w:rsidR="00294D85" w:rsidRPr="00AA6AF4" w:rsidRDefault="00294D85" w:rsidP="005069B2">
      <w:pPr>
        <w:pStyle w:val="Heading6"/>
        <w:keepNext w:val="0"/>
        <w:keepLines w:val="0"/>
        <w:spacing w:before="0" w:line="240" w:lineRule="auto"/>
        <w:ind w:left="0" w:firstLine="284"/>
      </w:pPr>
      <w:r w:rsidRPr="00AA6AF4">
        <w:t>It is necessary to mention in this connection that the</w:t>
      </w:r>
      <w:r w:rsidR="005221A8">
        <w:t xml:space="preserve"> </w:t>
      </w:r>
      <w:r w:rsidRPr="00AA6AF4">
        <w:t>assessment of non-Plan revenue expenditures of the States</w:t>
      </w:r>
      <w:r w:rsidR="005221A8">
        <w:t xml:space="preserve"> </w:t>
      </w:r>
      <w:r w:rsidRPr="00AA6AF4">
        <w:t>taken together is similar to that of the Centre, although in respect</w:t>
      </w:r>
      <w:r w:rsidR="005221A8">
        <w:t xml:space="preserve"> </w:t>
      </w:r>
      <w:r w:rsidRPr="00AA6AF4">
        <w:t>of individual States, norms have been applied to take into account</w:t>
      </w:r>
      <w:r w:rsidR="005221A8">
        <w:t xml:space="preserve"> </w:t>
      </w:r>
      <w:r w:rsidRPr="00AA6AF4">
        <w:t>the levels of underspending and overspending. As already</w:t>
      </w:r>
      <w:r w:rsidR="005221A8">
        <w:t xml:space="preserve"> </w:t>
      </w:r>
      <w:r w:rsidRPr="00AA6AF4">
        <w:t>mentioned, for the States in the aggregate, our approach amounts</w:t>
      </w:r>
      <w:r w:rsidR="005221A8">
        <w:t xml:space="preserve"> </w:t>
      </w:r>
      <w:r w:rsidRPr="00AA6AF4">
        <w:t>to taking actual expenditures of 1986-87</w:t>
      </w:r>
      <w:r w:rsidR="00094742" w:rsidRPr="00C57E12">
        <w:footnoteReference w:id="13"/>
      </w:r>
      <w:r w:rsidR="001540F9" w:rsidRPr="00C57E12">
        <w:t>\</w:t>
      </w:r>
      <w:r w:rsidRPr="00AA6AF4">
        <w:t>, applying the historical</w:t>
      </w:r>
      <w:r w:rsidR="005221A8">
        <w:t xml:space="preserve"> </w:t>
      </w:r>
      <w:r w:rsidRPr="00AA6AF4">
        <w:t>growth rates (partially adjusted for frequent revision of pay scales)</w:t>
      </w:r>
      <w:r w:rsidR="005221A8">
        <w:t xml:space="preserve"> </w:t>
      </w:r>
      <w:r w:rsidRPr="00AA6AF4">
        <w:t>and superimposing the expenditure on account of pay parity with</w:t>
      </w:r>
      <w:r w:rsidR="005221A8">
        <w:t xml:space="preserve"> </w:t>
      </w:r>
      <w:r w:rsidRPr="00AA6AF4">
        <w:t>the Centre. In effect, in 1989-90, the total expenditure thus</w:t>
      </w:r>
      <w:r w:rsidR="005221A8">
        <w:t xml:space="preserve"> </w:t>
      </w:r>
      <w:r w:rsidRPr="00AA6AF4">
        <w:t>reckoned could even be higher than actual, as in some cases, the</w:t>
      </w:r>
      <w:r w:rsidRPr="00AA6AF4">
        <w:br/>
        <w:t>States are yet to revise their pay scales on par with the Centre's.</w:t>
      </w:r>
      <w:r w:rsidR="005221A8">
        <w:t xml:space="preserve"> </w:t>
      </w:r>
      <w:r w:rsidRPr="00AA6AF4">
        <w:t>For the Centre, on the other hand, by and large, we have taken</w:t>
      </w:r>
      <w:r w:rsidR="00C57E12">
        <w:t xml:space="preserve"> </w:t>
      </w:r>
      <w:r w:rsidRPr="00AA6AF4">
        <w:t>1989-90(BE) as the base. This has been done mainly to take</w:t>
      </w:r>
      <w:r w:rsidR="005221A8">
        <w:t xml:space="preserve"> </w:t>
      </w:r>
      <w:r w:rsidRPr="00AA6AF4">
        <w:t>account of the lower base year estimates arising from the</w:t>
      </w:r>
      <w:r w:rsidR="00C57E12">
        <w:t xml:space="preserve"> </w:t>
      </w:r>
      <w:r w:rsidRPr="00AA6AF4">
        <w:t>significant deceleration in the growth of expenditures between the</w:t>
      </w:r>
      <w:r w:rsidR="005221A8">
        <w:t xml:space="preserve"> </w:t>
      </w:r>
      <w:r w:rsidRPr="00AA6AF4">
        <w:t>budget estimates of 1988-89 and 1989-90.</w:t>
      </w:r>
    </w:p>
    <w:p w14:paraId="7AC2D7F1" w14:textId="44A208B7" w:rsidR="00294D85" w:rsidRPr="00AA6AF4" w:rsidRDefault="00294D85" w:rsidP="005069B2">
      <w:pPr>
        <w:pStyle w:val="Heading6"/>
        <w:keepNext w:val="0"/>
        <w:keepLines w:val="0"/>
        <w:spacing w:before="0" w:line="240" w:lineRule="auto"/>
        <w:ind w:left="0" w:firstLine="284"/>
      </w:pPr>
      <w:r w:rsidRPr="00AA6AF4">
        <w:t> In the second stage, the normative estimate of</w:t>
      </w:r>
      <w:r w:rsidR="005221A8">
        <w:t xml:space="preserve"> </w:t>
      </w:r>
      <w:r w:rsidRPr="00AA6AF4">
        <w:t>expenditure arrived at for the base year has been projected for the</w:t>
      </w:r>
      <w:r w:rsidR="005221A8">
        <w:t xml:space="preserve"> </w:t>
      </w:r>
      <w:r w:rsidRPr="00AA6AF4">
        <w:t>period of recommendation, 1990-91 to 1994-95. While making</w:t>
      </w:r>
      <w:r w:rsidR="005221A8">
        <w:t xml:space="preserve"> </w:t>
      </w:r>
      <w:r w:rsidRPr="00AA6AF4">
        <w:t>projections, we have been guided by the principle of phasing out</w:t>
      </w:r>
      <w:r w:rsidR="005221A8">
        <w:t xml:space="preserve"> </w:t>
      </w:r>
      <w:r w:rsidRPr="00AA6AF4">
        <w:t>revenue deficits by the end of this period. A serious pursuit of this</w:t>
      </w:r>
      <w:r w:rsidR="005221A8">
        <w:t xml:space="preserve"> </w:t>
      </w:r>
      <w:r w:rsidRPr="00AA6AF4">
        <w:t>objective requires the containment of the rate of growth of non-Plan revenue expenditure, as well as accelerating revenue</w:t>
      </w:r>
      <w:r w:rsidR="005221A8">
        <w:t xml:space="preserve"> </w:t>
      </w:r>
      <w:r w:rsidRPr="00AA6AF4">
        <w:t>growth. However, given the limits to revenue growth, it is</w:t>
      </w:r>
      <w:r w:rsidR="005221A8">
        <w:t xml:space="preserve"> </w:t>
      </w:r>
      <w:r w:rsidRPr="00AA6AF4">
        <w:t>inescapable that the State governments strictly contain the</w:t>
      </w:r>
      <w:r w:rsidR="005221A8">
        <w:t xml:space="preserve"> </w:t>
      </w:r>
      <w:r w:rsidRPr="00AA6AF4">
        <w:t>growth of expenditure in real terms.</w:t>
      </w:r>
    </w:p>
    <w:p w14:paraId="1FE33FF3" w14:textId="20E66E49" w:rsidR="00294D85" w:rsidRPr="00AA6AF4" w:rsidRDefault="00294D85" w:rsidP="005069B2">
      <w:pPr>
        <w:pStyle w:val="Heading6"/>
        <w:keepNext w:val="0"/>
        <w:keepLines w:val="0"/>
        <w:spacing w:before="0" w:line="240" w:lineRule="auto"/>
        <w:ind w:left="0" w:firstLine="284"/>
      </w:pPr>
      <w:r w:rsidRPr="00AA6AF4">
        <w:t> Considering these factors, only moderate increases</w:t>
      </w:r>
      <w:r w:rsidR="005221A8">
        <w:t xml:space="preserve"> </w:t>
      </w:r>
      <w:r w:rsidRPr="00AA6AF4">
        <w:t>in real expenditures have been provided for. Given the</w:t>
      </w:r>
      <w:r w:rsidR="005221A8">
        <w:t xml:space="preserve"> </w:t>
      </w:r>
      <w:r w:rsidRPr="00AA6AF4">
        <w:t>assumption of 5 per cent increase in prices, making provision for</w:t>
      </w:r>
      <w:r w:rsidR="005221A8">
        <w:t xml:space="preserve"> </w:t>
      </w:r>
      <w:r w:rsidRPr="00AA6AF4">
        <w:t>increases in prices alone would result in the growth of</w:t>
      </w:r>
      <w:r w:rsidR="005221A8">
        <w:t xml:space="preserve"> </w:t>
      </w:r>
      <w:r w:rsidRPr="00AA6AF4">
        <w:t>expenditures by 4 per cent, as the major component of</w:t>
      </w:r>
      <w:r w:rsidR="005221A8">
        <w:t xml:space="preserve"> </w:t>
      </w:r>
      <w:r w:rsidRPr="00AA6AF4">
        <w:t>expenditures - wages and salaries - has been found to increase in</w:t>
      </w:r>
      <w:r w:rsidR="005221A8">
        <w:t xml:space="preserve"> </w:t>
      </w:r>
      <w:r w:rsidRPr="00AA6AF4">
        <w:t>the past by 0.75 per cent for every one per cent increase in prices.</w:t>
      </w:r>
      <w:r w:rsidR="005221A8">
        <w:t xml:space="preserve"> </w:t>
      </w:r>
      <w:r w:rsidRPr="00AA6AF4">
        <w:t>In addition, we have postulated that the expenditures should</w:t>
      </w:r>
      <w:r w:rsidR="005221A8">
        <w:t xml:space="preserve"> </w:t>
      </w:r>
      <w:r w:rsidRPr="00AA6AF4">
        <w:t>increase at a rate only marginally higher than the increase in</w:t>
      </w:r>
      <w:r w:rsidR="00C57E12">
        <w:t xml:space="preserve"> </w:t>
      </w:r>
      <w:r w:rsidRPr="00AA6AF4">
        <w:t>population, considering that the public services, by and large, are</w:t>
      </w:r>
      <w:r w:rsidR="005221A8">
        <w:t xml:space="preserve"> </w:t>
      </w:r>
      <w:r w:rsidRPr="00AA6AF4">
        <w:t>meant to serve the entire population, that is, provision has been</w:t>
      </w:r>
      <w:r w:rsidR="00C57E12">
        <w:t xml:space="preserve"> </w:t>
      </w:r>
      <w:r w:rsidRPr="00AA6AF4">
        <w:t>made for expenditures in real terms to increase at 3 per cent per</w:t>
      </w:r>
      <w:r w:rsidR="005221A8">
        <w:t xml:space="preserve"> </w:t>
      </w:r>
      <w:r w:rsidRPr="00AA6AF4">
        <w:t>annum. Thus, the non-Plan revenue expenditure has been</w:t>
      </w:r>
      <w:r w:rsidR="005221A8">
        <w:t xml:space="preserve"> </w:t>
      </w:r>
      <w:r w:rsidRPr="00AA6AF4">
        <w:t>projected to increase at 7 per cent per annum in nominal terms</w:t>
      </w:r>
      <w:r w:rsidR="005221A8">
        <w:t xml:space="preserve"> </w:t>
      </w:r>
      <w:r w:rsidRPr="00AA6AF4">
        <w:t>during the period 1990-91 to 1994-95.</w:t>
      </w:r>
    </w:p>
    <w:p w14:paraId="6C190971" w14:textId="2F804AFD" w:rsidR="00294D85" w:rsidRPr="00AA6AF4" w:rsidRDefault="00294D85" w:rsidP="005069B2">
      <w:pPr>
        <w:pStyle w:val="Heading6"/>
        <w:keepNext w:val="0"/>
        <w:keepLines w:val="0"/>
        <w:spacing w:before="0" w:line="240" w:lineRule="auto"/>
        <w:ind w:left="0" w:firstLine="284"/>
      </w:pPr>
      <w:r w:rsidRPr="00AA6AF4">
        <w:t>Achieving the normative levels of expenditure from</w:t>
      </w:r>
      <w:r w:rsidR="005221A8">
        <w:t xml:space="preserve"> </w:t>
      </w:r>
      <w:r w:rsidRPr="00AA6AF4">
        <w:t>the very first year of recommendations may not be feasible. In the</w:t>
      </w:r>
      <w:r w:rsidR="005221A8">
        <w:t xml:space="preserve"> </w:t>
      </w:r>
      <w:r w:rsidRPr="00AA6AF4">
        <w:t>cases of those States for which normative levels have been</w:t>
      </w:r>
      <w:r w:rsidR="005221A8">
        <w:t xml:space="preserve"> </w:t>
      </w:r>
      <w:r w:rsidRPr="00AA6AF4">
        <w:t>estimated to be lower than their actual expenditures, severe</w:t>
      </w:r>
      <w:r w:rsidR="005221A8">
        <w:t xml:space="preserve"> </w:t>
      </w:r>
      <w:r w:rsidRPr="00AA6AF4">
        <w:t>hardship would result if the normative levels are assumed from</w:t>
      </w:r>
      <w:r w:rsidR="005221A8">
        <w:t xml:space="preserve"> </w:t>
      </w:r>
      <w:r w:rsidRPr="00AA6AF4">
        <w:t>the first year itself. In the cases of the States whose actual</w:t>
      </w:r>
      <w:r w:rsidR="005221A8">
        <w:t xml:space="preserve"> </w:t>
      </w:r>
      <w:r w:rsidRPr="00AA6AF4">
        <w:t>expenditures fall short of normative levels, it may not be realistic to</w:t>
      </w:r>
      <w:r w:rsidR="005221A8">
        <w:t xml:space="preserve"> </w:t>
      </w:r>
      <w:r w:rsidRPr="00AA6AF4">
        <w:t>assume that within a year normative levels can be achieved.</w:t>
      </w:r>
      <w:r w:rsidR="005221A8">
        <w:t xml:space="preserve"> </w:t>
      </w:r>
      <w:r w:rsidRPr="00AA6AF4">
        <w:t>Therefore, we have phased out the movement towards the</w:t>
      </w:r>
      <w:r w:rsidR="005221A8">
        <w:t xml:space="preserve"> </w:t>
      </w:r>
      <w:r w:rsidRPr="00AA6AF4">
        <w:t>normative levels of expenditures such that each State reaches</w:t>
      </w:r>
      <w:r w:rsidR="005221A8">
        <w:t xml:space="preserve"> </w:t>
      </w:r>
      <w:r w:rsidRPr="00AA6AF4">
        <w:t>the normative levels by 1994-95. This has been done by reducing</w:t>
      </w:r>
      <w:r w:rsidR="00C57E12">
        <w:t xml:space="preserve"> </w:t>
      </w:r>
      <w:r w:rsidRPr="00AA6AF4">
        <w:t>the estimated difference between the actuals and the normative</w:t>
      </w:r>
      <w:r w:rsidR="005221A8">
        <w:t xml:space="preserve"> </w:t>
      </w:r>
      <w:r w:rsidRPr="00AA6AF4">
        <w:t>estimates for 1989-90 by 50 per cent. With the resultant figures as</w:t>
      </w:r>
      <w:r w:rsidR="00C57E12">
        <w:t xml:space="preserve"> </w:t>
      </w:r>
      <w:r w:rsidRPr="00AA6AF4">
        <w:t xml:space="preserve">the base year estimates, the </w:t>
      </w:r>
      <w:r w:rsidR="00094742" w:rsidRPr="00AA6AF4">
        <w:t>targeted</w:t>
      </w:r>
      <w:r w:rsidRPr="00AA6AF4">
        <w:t xml:space="preserve"> full normative expenditures</w:t>
      </w:r>
      <w:r w:rsidR="005221A8">
        <w:t xml:space="preserve"> </w:t>
      </w:r>
      <w:r w:rsidRPr="00AA6AF4">
        <w:t>are to be attained in 1994-95. The normative estimates of</w:t>
      </w:r>
      <w:r w:rsidR="00C57E12">
        <w:t xml:space="preserve"> </w:t>
      </w:r>
      <w:r w:rsidRPr="00AA6AF4">
        <w:t>expenditure for the major items analysed by us are given in Table</w:t>
      </w:r>
      <w:r w:rsidR="005221A8">
        <w:t xml:space="preserve"> </w:t>
      </w:r>
      <w:r w:rsidRPr="00AA6AF4">
        <w:t>B.5.4.</w:t>
      </w:r>
    </w:p>
    <w:p w14:paraId="24EE1EA2" w14:textId="603BBE3E" w:rsidR="00294D85" w:rsidRPr="005069B2" w:rsidRDefault="00294D85" w:rsidP="005069B2">
      <w:pPr>
        <w:pStyle w:val="Heading6"/>
        <w:keepNext w:val="0"/>
        <w:keepLines w:val="0"/>
        <w:spacing w:before="0" w:line="240" w:lineRule="auto"/>
        <w:ind w:left="0" w:firstLine="284"/>
      </w:pPr>
      <w:r w:rsidRPr="00AA6AF4">
        <w:t>It may be stated in conclusion that the objective of the</w:t>
      </w:r>
      <w:r w:rsidR="005221A8">
        <w:t xml:space="preserve"> </w:t>
      </w:r>
      <w:r w:rsidRPr="00AA6AF4">
        <w:t>normative assessment of revenues and revenue expenditures</w:t>
      </w:r>
      <w:r w:rsidR="00C57E12">
        <w:t xml:space="preserve"> </w:t>
      </w:r>
      <w:r w:rsidRPr="00AA6AF4">
        <w:t>carried out by us on the lines indicated above is to ensure inter-State equity in relation to Central transfers (devolution of taxes</w:t>
      </w:r>
      <w:r w:rsidR="005221A8">
        <w:t xml:space="preserve"> </w:t>
      </w:r>
      <w:r w:rsidRPr="00AA6AF4">
        <w:t>and grants-in-aid). The</w:t>
      </w:r>
      <w:r w:rsidR="00C57E12">
        <w:t xml:space="preserve"> </w:t>
      </w:r>
      <w:r w:rsidRPr="00AA6AF4">
        <w:t>methodologies chosen, based on the</w:t>
      </w:r>
      <w:r w:rsidR="005221A8">
        <w:t xml:space="preserve"> </w:t>
      </w:r>
      <w:r w:rsidRPr="00AA6AF4">
        <w:t>concept of evolving norms linked to average behaviour, is in</w:t>
      </w:r>
      <w:r w:rsidR="005221A8">
        <w:t xml:space="preserve"> </w:t>
      </w:r>
      <w:r w:rsidRPr="00AA6AF4">
        <w:t>consonance with this objective. It should be pointed out further</w:t>
      </w:r>
      <w:r w:rsidR="005221A8">
        <w:t xml:space="preserve"> </w:t>
      </w:r>
      <w:r w:rsidRPr="00AA6AF4">
        <w:t>that our normative assessment of State Governments' revenues</w:t>
      </w:r>
      <w:r w:rsidR="005221A8">
        <w:t xml:space="preserve"> </w:t>
      </w:r>
      <w:r w:rsidRPr="00AA6AF4">
        <w:t>and expenditures has no role in determining the relative shares in</w:t>
      </w:r>
      <w:r w:rsidR="005221A8">
        <w:t xml:space="preserve"> </w:t>
      </w:r>
      <w:r w:rsidRPr="00AA6AF4">
        <w:t>expenditures or revenues of the Central Government on the one</w:t>
      </w:r>
      <w:r w:rsidR="005221A8">
        <w:t xml:space="preserve"> </w:t>
      </w:r>
      <w:r w:rsidRPr="00AA6AF4">
        <w:t>hand and the States on the other.</w:t>
      </w:r>
    </w:p>
    <w:p w14:paraId="5E19FDFF" w14:textId="77777777" w:rsidR="00294D85" w:rsidRPr="005221A8" w:rsidRDefault="00294D85" w:rsidP="005069B2">
      <w:pPr>
        <w:tabs>
          <w:tab w:val="left" w:pos="2805"/>
        </w:tabs>
        <w:spacing w:line="240" w:lineRule="auto"/>
        <w:jc w:val="center"/>
        <w:rPr>
          <w:rFonts w:ascii="Times New Roman" w:hAnsi="Times New Roman" w:cs="Times New Roman"/>
          <w:sz w:val="20"/>
          <w:szCs w:val="20"/>
        </w:rPr>
      </w:pPr>
      <w:r w:rsidRPr="005221A8">
        <w:rPr>
          <w:rFonts w:ascii="Times New Roman" w:hAnsi="Times New Roman" w:cs="Times New Roman"/>
          <w:b/>
          <w:bCs/>
          <w:sz w:val="20"/>
          <w:szCs w:val="20"/>
        </w:rPr>
        <w:t>References</w:t>
      </w:r>
    </w:p>
    <w:p w14:paraId="6EFE2A0F" w14:textId="77777777" w:rsidR="005069B2" w:rsidRDefault="005069B2" w:rsidP="005069B2">
      <w:pPr>
        <w:numPr>
          <w:ilvl w:val="0"/>
          <w:numId w:val="19"/>
        </w:numPr>
        <w:tabs>
          <w:tab w:val="left" w:pos="2805"/>
        </w:tabs>
        <w:spacing w:line="240" w:lineRule="auto"/>
        <w:rPr>
          <w:rFonts w:ascii="Times New Roman" w:hAnsi="Times New Roman" w:cs="Times New Roman"/>
          <w:sz w:val="16"/>
          <w:szCs w:val="16"/>
        </w:rPr>
        <w:sectPr w:rsidR="005069B2" w:rsidSect="00D70E11">
          <w:type w:val="continuous"/>
          <w:pgSz w:w="11906" w:h="16838"/>
          <w:pgMar w:top="567" w:right="566" w:bottom="851" w:left="993" w:header="709" w:footer="709" w:gutter="0"/>
          <w:cols w:space="708"/>
          <w:docGrid w:linePitch="360"/>
        </w:sectPr>
      </w:pPr>
    </w:p>
    <w:p w14:paraId="263214FA" w14:textId="77777777" w:rsidR="00294D85" w:rsidRPr="005069B2" w:rsidRDefault="00294D85" w:rsidP="005069B2">
      <w:pPr>
        <w:numPr>
          <w:ilvl w:val="0"/>
          <w:numId w:val="19"/>
        </w:numPr>
        <w:tabs>
          <w:tab w:val="left" w:pos="2805"/>
        </w:tabs>
        <w:spacing w:after="0" w:line="240" w:lineRule="auto"/>
        <w:rPr>
          <w:rFonts w:ascii="Times New Roman" w:hAnsi="Times New Roman" w:cs="Times New Roman"/>
          <w:sz w:val="16"/>
          <w:szCs w:val="16"/>
        </w:rPr>
      </w:pPr>
      <w:r w:rsidRPr="005069B2">
        <w:rPr>
          <w:rFonts w:ascii="Times New Roman" w:hAnsi="Times New Roman" w:cs="Times New Roman"/>
          <w:sz w:val="16"/>
          <w:szCs w:val="16"/>
        </w:rPr>
        <w:t>Auten, G.E. (1974), The Distribution of Revenue Sharing</w:t>
      </w:r>
      <w:r w:rsidRPr="005069B2">
        <w:rPr>
          <w:rFonts w:ascii="Times New Roman" w:hAnsi="Times New Roman" w:cs="Times New Roman"/>
          <w:sz w:val="16"/>
          <w:szCs w:val="16"/>
        </w:rPr>
        <w:br/>
        <w:t>Funds and Local Public Expenditure Needs. </w:t>
      </w:r>
      <w:r w:rsidRPr="005069B2">
        <w:rPr>
          <w:rFonts w:ascii="Times New Roman" w:hAnsi="Times New Roman" w:cs="Times New Roman"/>
          <w:b/>
          <w:bCs/>
          <w:sz w:val="16"/>
          <w:szCs w:val="16"/>
        </w:rPr>
        <w:t>Public</w:t>
      </w:r>
      <w:r w:rsidRPr="005069B2">
        <w:rPr>
          <w:rFonts w:ascii="Times New Roman" w:hAnsi="Times New Roman" w:cs="Times New Roman"/>
          <w:b/>
          <w:bCs/>
          <w:sz w:val="16"/>
          <w:szCs w:val="16"/>
        </w:rPr>
        <w:br/>
        <w:t>Finance Quarterly</w:t>
      </w:r>
      <w:r w:rsidRPr="005069B2">
        <w:rPr>
          <w:rFonts w:ascii="Times New Roman" w:hAnsi="Times New Roman" w:cs="Times New Roman"/>
          <w:sz w:val="16"/>
          <w:szCs w:val="16"/>
        </w:rPr>
        <w:t>, Vol.2 No.3.</w:t>
      </w:r>
    </w:p>
    <w:p w14:paraId="6A5B7F87" w14:textId="77777777" w:rsidR="00294D85" w:rsidRPr="005069B2" w:rsidRDefault="00294D85" w:rsidP="005069B2">
      <w:pPr>
        <w:numPr>
          <w:ilvl w:val="0"/>
          <w:numId w:val="19"/>
        </w:numPr>
        <w:tabs>
          <w:tab w:val="left" w:pos="2805"/>
        </w:tabs>
        <w:spacing w:after="0" w:line="240" w:lineRule="auto"/>
        <w:rPr>
          <w:rFonts w:ascii="Times New Roman" w:hAnsi="Times New Roman" w:cs="Times New Roman"/>
          <w:sz w:val="16"/>
          <w:szCs w:val="16"/>
        </w:rPr>
      </w:pPr>
      <w:r w:rsidRPr="005069B2">
        <w:rPr>
          <w:rFonts w:ascii="Times New Roman" w:hAnsi="Times New Roman" w:cs="Times New Roman"/>
          <w:sz w:val="16"/>
          <w:szCs w:val="16"/>
        </w:rPr>
        <w:t xml:space="preserve">Bradbury, K.L., Ladd, H.F, </w:t>
      </w:r>
      <w:proofErr w:type="spellStart"/>
      <w:r w:rsidRPr="005069B2">
        <w:rPr>
          <w:rFonts w:ascii="Times New Roman" w:hAnsi="Times New Roman" w:cs="Times New Roman"/>
          <w:sz w:val="16"/>
          <w:szCs w:val="16"/>
        </w:rPr>
        <w:t>Perrault.M</w:t>
      </w:r>
      <w:proofErr w:type="spellEnd"/>
      <w:r w:rsidRPr="005069B2">
        <w:rPr>
          <w:rFonts w:ascii="Times New Roman" w:hAnsi="Times New Roman" w:cs="Times New Roman"/>
          <w:sz w:val="16"/>
          <w:szCs w:val="16"/>
        </w:rPr>
        <w:t xml:space="preserve">., </w:t>
      </w:r>
      <w:proofErr w:type="spellStart"/>
      <w:r w:rsidRPr="005069B2">
        <w:rPr>
          <w:rFonts w:ascii="Times New Roman" w:hAnsi="Times New Roman" w:cs="Times New Roman"/>
          <w:sz w:val="16"/>
          <w:szCs w:val="16"/>
        </w:rPr>
        <w:t>Reschovsky.A</w:t>
      </w:r>
      <w:proofErr w:type="spellEnd"/>
      <w:r w:rsidRPr="005069B2">
        <w:rPr>
          <w:rFonts w:ascii="Times New Roman" w:hAnsi="Times New Roman" w:cs="Times New Roman"/>
          <w:sz w:val="16"/>
          <w:szCs w:val="16"/>
        </w:rPr>
        <w:t>.,</w:t>
      </w:r>
      <w:r w:rsidRPr="005069B2">
        <w:rPr>
          <w:rFonts w:ascii="Times New Roman" w:hAnsi="Times New Roman" w:cs="Times New Roman"/>
          <w:sz w:val="16"/>
          <w:szCs w:val="16"/>
        </w:rPr>
        <w:br/>
        <w:t xml:space="preserve">and </w:t>
      </w:r>
      <w:proofErr w:type="spellStart"/>
      <w:r w:rsidRPr="005069B2">
        <w:rPr>
          <w:rFonts w:ascii="Times New Roman" w:hAnsi="Times New Roman" w:cs="Times New Roman"/>
          <w:sz w:val="16"/>
          <w:szCs w:val="16"/>
        </w:rPr>
        <w:t>Yinger.J</w:t>
      </w:r>
      <w:proofErr w:type="spellEnd"/>
      <w:r w:rsidRPr="005069B2">
        <w:rPr>
          <w:rFonts w:ascii="Times New Roman" w:hAnsi="Times New Roman" w:cs="Times New Roman"/>
          <w:sz w:val="16"/>
          <w:szCs w:val="16"/>
        </w:rPr>
        <w:t>. (1984), 'State Aid to Offset Fiscal</w:t>
      </w:r>
      <w:r w:rsidRPr="005069B2">
        <w:rPr>
          <w:rFonts w:ascii="Times New Roman" w:hAnsi="Times New Roman" w:cs="Times New Roman"/>
          <w:sz w:val="16"/>
          <w:szCs w:val="16"/>
        </w:rPr>
        <w:br/>
        <w:t>Disparities Across Communities'. </w:t>
      </w:r>
      <w:r w:rsidRPr="005069B2">
        <w:rPr>
          <w:rFonts w:ascii="Times New Roman" w:hAnsi="Times New Roman" w:cs="Times New Roman"/>
          <w:b/>
          <w:bCs/>
          <w:sz w:val="16"/>
          <w:szCs w:val="16"/>
        </w:rPr>
        <w:t>National Tax Journal</w:t>
      </w:r>
      <w:r w:rsidRPr="005069B2">
        <w:rPr>
          <w:rFonts w:ascii="Times New Roman" w:hAnsi="Times New Roman" w:cs="Times New Roman"/>
          <w:sz w:val="16"/>
          <w:szCs w:val="16"/>
        </w:rPr>
        <w:t>,</w:t>
      </w:r>
      <w:r w:rsidRPr="005069B2">
        <w:rPr>
          <w:rFonts w:ascii="Times New Roman" w:hAnsi="Times New Roman" w:cs="Times New Roman"/>
          <w:sz w:val="16"/>
          <w:szCs w:val="16"/>
        </w:rPr>
        <w:br/>
        <w:t>Vol.37 No.2.</w:t>
      </w:r>
    </w:p>
    <w:p w14:paraId="53384D89" w14:textId="77777777" w:rsidR="00294D85" w:rsidRPr="005069B2" w:rsidRDefault="00294D85" w:rsidP="005069B2">
      <w:pPr>
        <w:numPr>
          <w:ilvl w:val="0"/>
          <w:numId w:val="19"/>
        </w:numPr>
        <w:tabs>
          <w:tab w:val="left" w:pos="2805"/>
        </w:tabs>
        <w:spacing w:after="0" w:line="240" w:lineRule="auto"/>
        <w:rPr>
          <w:rFonts w:ascii="Times New Roman" w:hAnsi="Times New Roman" w:cs="Times New Roman"/>
          <w:sz w:val="16"/>
          <w:szCs w:val="16"/>
        </w:rPr>
      </w:pPr>
      <w:r w:rsidRPr="005069B2">
        <w:rPr>
          <w:rFonts w:ascii="Times New Roman" w:hAnsi="Times New Roman" w:cs="Times New Roman"/>
          <w:sz w:val="16"/>
          <w:szCs w:val="16"/>
        </w:rPr>
        <w:t xml:space="preserve">Hoffman, </w:t>
      </w:r>
      <w:proofErr w:type="gramStart"/>
      <w:r w:rsidRPr="005069B2">
        <w:rPr>
          <w:rFonts w:ascii="Times New Roman" w:hAnsi="Times New Roman" w:cs="Times New Roman"/>
          <w:sz w:val="16"/>
          <w:szCs w:val="16"/>
        </w:rPr>
        <w:t>R.F.(</w:t>
      </w:r>
      <w:proofErr w:type="gramEnd"/>
      <w:r w:rsidRPr="005069B2">
        <w:rPr>
          <w:rFonts w:ascii="Times New Roman" w:hAnsi="Times New Roman" w:cs="Times New Roman"/>
          <w:sz w:val="16"/>
          <w:szCs w:val="16"/>
        </w:rPr>
        <w:t>1969), A Systematic Approach to a</w:t>
      </w:r>
      <w:r w:rsidRPr="005069B2">
        <w:rPr>
          <w:rFonts w:ascii="Times New Roman" w:hAnsi="Times New Roman" w:cs="Times New Roman"/>
          <w:sz w:val="16"/>
          <w:szCs w:val="16"/>
        </w:rPr>
        <w:br/>
        <w:t>Practicable Plan for State Aid to Local Governments.</w:t>
      </w:r>
      <w:r w:rsidRPr="005069B2">
        <w:rPr>
          <w:rFonts w:ascii="Times New Roman" w:hAnsi="Times New Roman" w:cs="Times New Roman"/>
          <w:sz w:val="16"/>
          <w:szCs w:val="16"/>
        </w:rPr>
        <w:br/>
      </w:r>
      <w:r w:rsidRPr="005069B2">
        <w:rPr>
          <w:rFonts w:ascii="Times New Roman" w:hAnsi="Times New Roman" w:cs="Times New Roman"/>
          <w:b/>
          <w:bCs/>
          <w:sz w:val="16"/>
          <w:szCs w:val="16"/>
        </w:rPr>
        <w:t xml:space="preserve">Public Finance/Finances </w:t>
      </w:r>
      <w:proofErr w:type="spellStart"/>
      <w:r w:rsidRPr="005069B2">
        <w:rPr>
          <w:rFonts w:ascii="Times New Roman" w:hAnsi="Times New Roman" w:cs="Times New Roman"/>
          <w:b/>
          <w:bCs/>
          <w:sz w:val="16"/>
          <w:szCs w:val="16"/>
        </w:rPr>
        <w:t>Publiques</w:t>
      </w:r>
      <w:proofErr w:type="spellEnd"/>
      <w:r w:rsidRPr="005069B2">
        <w:rPr>
          <w:rFonts w:ascii="Times New Roman" w:hAnsi="Times New Roman" w:cs="Times New Roman"/>
          <w:sz w:val="16"/>
          <w:szCs w:val="16"/>
        </w:rPr>
        <w:t>, No.1.</w:t>
      </w:r>
    </w:p>
    <w:p w14:paraId="32036566" w14:textId="77777777" w:rsidR="00294D85" w:rsidRPr="005069B2" w:rsidRDefault="00294D85" w:rsidP="005069B2">
      <w:pPr>
        <w:numPr>
          <w:ilvl w:val="0"/>
          <w:numId w:val="19"/>
        </w:numPr>
        <w:tabs>
          <w:tab w:val="left" w:pos="2805"/>
        </w:tabs>
        <w:spacing w:after="0" w:line="240" w:lineRule="auto"/>
        <w:rPr>
          <w:rFonts w:ascii="Times New Roman" w:hAnsi="Times New Roman" w:cs="Times New Roman"/>
          <w:sz w:val="16"/>
          <w:szCs w:val="16"/>
        </w:rPr>
      </w:pPr>
      <w:proofErr w:type="spellStart"/>
      <w:r w:rsidRPr="005069B2">
        <w:rPr>
          <w:rFonts w:ascii="Times New Roman" w:hAnsi="Times New Roman" w:cs="Times New Roman"/>
          <w:sz w:val="16"/>
          <w:szCs w:val="16"/>
        </w:rPr>
        <w:t>Intriligator</w:t>
      </w:r>
      <w:proofErr w:type="spellEnd"/>
      <w:r w:rsidRPr="005069B2">
        <w:rPr>
          <w:rFonts w:ascii="Times New Roman" w:hAnsi="Times New Roman" w:cs="Times New Roman"/>
          <w:sz w:val="16"/>
          <w:szCs w:val="16"/>
        </w:rPr>
        <w:t xml:space="preserve"> [1980], '</w:t>
      </w:r>
      <w:r w:rsidRPr="005069B2">
        <w:rPr>
          <w:rFonts w:ascii="Times New Roman" w:hAnsi="Times New Roman" w:cs="Times New Roman"/>
          <w:b/>
          <w:bCs/>
          <w:sz w:val="16"/>
          <w:szCs w:val="16"/>
        </w:rPr>
        <w:t>Econometric Models Techniques</w:t>
      </w:r>
      <w:r w:rsidRPr="005069B2">
        <w:rPr>
          <w:rFonts w:ascii="Times New Roman" w:hAnsi="Times New Roman" w:cs="Times New Roman"/>
          <w:b/>
          <w:bCs/>
          <w:sz w:val="16"/>
          <w:szCs w:val="16"/>
        </w:rPr>
        <w:br/>
        <w:t>and Applications</w:t>
      </w:r>
      <w:r w:rsidRPr="005069B2">
        <w:rPr>
          <w:rFonts w:ascii="Times New Roman" w:hAnsi="Times New Roman" w:cs="Times New Roman"/>
          <w:sz w:val="16"/>
          <w:szCs w:val="16"/>
        </w:rPr>
        <w:t>, Prentice Hall, New Delhi.</w:t>
      </w:r>
    </w:p>
    <w:p w14:paraId="4755D1B8" w14:textId="77777777" w:rsidR="00294D85" w:rsidRPr="005069B2" w:rsidRDefault="00294D85" w:rsidP="005069B2">
      <w:pPr>
        <w:numPr>
          <w:ilvl w:val="0"/>
          <w:numId w:val="19"/>
        </w:numPr>
        <w:tabs>
          <w:tab w:val="left" w:pos="2805"/>
        </w:tabs>
        <w:spacing w:after="0" w:line="240" w:lineRule="auto"/>
        <w:rPr>
          <w:rFonts w:ascii="Times New Roman" w:hAnsi="Times New Roman" w:cs="Times New Roman"/>
          <w:sz w:val="16"/>
          <w:szCs w:val="16"/>
        </w:rPr>
      </w:pPr>
      <w:r w:rsidRPr="005069B2">
        <w:rPr>
          <w:rFonts w:ascii="Times New Roman" w:hAnsi="Times New Roman" w:cs="Times New Roman"/>
          <w:sz w:val="16"/>
          <w:szCs w:val="16"/>
        </w:rPr>
        <w:t>Ladd, H.F., Yinger J, Bradbury, K.L., Ferguson, R.,</w:t>
      </w:r>
      <w:r w:rsidRPr="005069B2">
        <w:rPr>
          <w:rFonts w:ascii="Times New Roman" w:hAnsi="Times New Roman" w:cs="Times New Roman"/>
          <w:sz w:val="16"/>
          <w:szCs w:val="16"/>
        </w:rPr>
        <w:br/>
      </w:r>
      <w:proofErr w:type="spellStart"/>
      <w:r w:rsidRPr="005069B2">
        <w:rPr>
          <w:rFonts w:ascii="Times New Roman" w:hAnsi="Times New Roman" w:cs="Times New Roman"/>
          <w:sz w:val="16"/>
          <w:szCs w:val="16"/>
        </w:rPr>
        <w:t>Vidal.A</w:t>
      </w:r>
      <w:proofErr w:type="spellEnd"/>
      <w:r w:rsidRPr="005069B2">
        <w:rPr>
          <w:rFonts w:ascii="Times New Roman" w:hAnsi="Times New Roman" w:cs="Times New Roman"/>
          <w:sz w:val="16"/>
          <w:szCs w:val="16"/>
        </w:rPr>
        <w:t>., (1986), "</w:t>
      </w:r>
      <w:r w:rsidRPr="005069B2">
        <w:rPr>
          <w:rFonts w:ascii="Times New Roman" w:hAnsi="Times New Roman" w:cs="Times New Roman"/>
          <w:b/>
          <w:bCs/>
          <w:sz w:val="16"/>
          <w:szCs w:val="16"/>
        </w:rPr>
        <w:t>The Changing Economic and Fiscal</w:t>
      </w:r>
      <w:r w:rsidRPr="005069B2">
        <w:rPr>
          <w:rFonts w:ascii="Times New Roman" w:hAnsi="Times New Roman" w:cs="Times New Roman"/>
          <w:b/>
          <w:bCs/>
          <w:sz w:val="16"/>
          <w:szCs w:val="16"/>
        </w:rPr>
        <w:br/>
        <w:t>Conditions of Cities</w:t>
      </w:r>
      <w:r w:rsidRPr="005069B2">
        <w:rPr>
          <w:rFonts w:ascii="Times New Roman" w:hAnsi="Times New Roman" w:cs="Times New Roman"/>
          <w:sz w:val="16"/>
          <w:szCs w:val="16"/>
        </w:rPr>
        <w:t>" (Mimeo). State, Local and</w:t>
      </w:r>
      <w:r w:rsidRPr="005069B2">
        <w:rPr>
          <w:rFonts w:ascii="Times New Roman" w:hAnsi="Times New Roman" w:cs="Times New Roman"/>
          <w:sz w:val="16"/>
          <w:szCs w:val="16"/>
        </w:rPr>
        <w:br/>
        <w:t>Intergovernmental Centre, J.F. Kennedy School of</w:t>
      </w:r>
      <w:r w:rsidRPr="005069B2">
        <w:rPr>
          <w:rFonts w:ascii="Times New Roman" w:hAnsi="Times New Roman" w:cs="Times New Roman"/>
          <w:sz w:val="16"/>
          <w:szCs w:val="16"/>
        </w:rPr>
        <w:br/>
        <w:t>Government, Harward University, Cambridge,</w:t>
      </w:r>
      <w:r w:rsidRPr="005069B2">
        <w:rPr>
          <w:rFonts w:ascii="Times New Roman" w:hAnsi="Times New Roman" w:cs="Times New Roman"/>
          <w:sz w:val="16"/>
          <w:szCs w:val="16"/>
        </w:rPr>
        <w:br/>
        <w:t>Massachusetts.</w:t>
      </w:r>
    </w:p>
    <w:p w14:paraId="27A083FA" w14:textId="157FFFDE" w:rsidR="005069B2" w:rsidRPr="005069B2" w:rsidRDefault="00294D85" w:rsidP="005221A8">
      <w:pPr>
        <w:numPr>
          <w:ilvl w:val="0"/>
          <w:numId w:val="19"/>
        </w:numPr>
        <w:tabs>
          <w:tab w:val="left" w:pos="2805"/>
        </w:tabs>
        <w:spacing w:after="0" w:line="240" w:lineRule="auto"/>
        <w:rPr>
          <w:rFonts w:ascii="Times New Roman" w:hAnsi="Times New Roman" w:cs="Times New Roman"/>
          <w:sz w:val="16"/>
          <w:szCs w:val="16"/>
        </w:rPr>
        <w:sectPr w:rsidR="005069B2" w:rsidRPr="005069B2" w:rsidSect="005069B2">
          <w:type w:val="continuous"/>
          <w:pgSz w:w="11906" w:h="16838"/>
          <w:pgMar w:top="567" w:right="566" w:bottom="851" w:left="993" w:header="709" w:footer="709" w:gutter="0"/>
          <w:cols w:num="2" w:space="708"/>
          <w:docGrid w:linePitch="360"/>
        </w:sectPr>
      </w:pPr>
      <w:r w:rsidRPr="005069B2">
        <w:rPr>
          <w:rFonts w:ascii="Times New Roman" w:hAnsi="Times New Roman" w:cs="Times New Roman"/>
          <w:sz w:val="16"/>
          <w:szCs w:val="16"/>
        </w:rPr>
        <w:t>O.E.C.D. (1981), </w:t>
      </w:r>
      <w:r w:rsidRPr="005069B2">
        <w:rPr>
          <w:rFonts w:ascii="Times New Roman" w:hAnsi="Times New Roman" w:cs="Times New Roman"/>
          <w:b/>
          <w:bCs/>
          <w:sz w:val="16"/>
          <w:szCs w:val="16"/>
        </w:rPr>
        <w:t>Measuring Local Government</w:t>
      </w:r>
      <w:r w:rsidRPr="005069B2">
        <w:rPr>
          <w:rFonts w:ascii="Times New Roman" w:hAnsi="Times New Roman" w:cs="Times New Roman"/>
          <w:b/>
          <w:bCs/>
          <w:sz w:val="16"/>
          <w:szCs w:val="16"/>
        </w:rPr>
        <w:br/>
        <w:t xml:space="preserve">Expenditure </w:t>
      </w:r>
      <w:proofErr w:type="gramStart"/>
      <w:r w:rsidRPr="005069B2">
        <w:rPr>
          <w:rFonts w:ascii="Times New Roman" w:hAnsi="Times New Roman" w:cs="Times New Roman"/>
          <w:b/>
          <w:bCs/>
          <w:sz w:val="16"/>
          <w:szCs w:val="16"/>
        </w:rPr>
        <w:t>Needs :</w:t>
      </w:r>
      <w:proofErr w:type="gramEnd"/>
      <w:r w:rsidRPr="005069B2">
        <w:rPr>
          <w:rFonts w:ascii="Times New Roman" w:hAnsi="Times New Roman" w:cs="Times New Roman"/>
          <w:b/>
          <w:bCs/>
          <w:sz w:val="16"/>
          <w:szCs w:val="16"/>
        </w:rPr>
        <w:t xml:space="preserve"> The Copenhagen Workshop</w:t>
      </w:r>
      <w:r w:rsidRPr="005069B2">
        <w:rPr>
          <w:rFonts w:ascii="Times New Roman" w:hAnsi="Times New Roman" w:cs="Times New Roman"/>
          <w:sz w:val="16"/>
          <w:szCs w:val="16"/>
        </w:rPr>
        <w:t>.</w:t>
      </w:r>
      <w:r w:rsidRPr="005069B2">
        <w:rPr>
          <w:rFonts w:ascii="Times New Roman" w:hAnsi="Times New Roman" w:cs="Times New Roman"/>
          <w:sz w:val="16"/>
          <w:szCs w:val="16"/>
        </w:rPr>
        <w:br/>
        <w:t>OECD, Paris</w:t>
      </w:r>
      <w:r w:rsidR="005069B2">
        <w:rPr>
          <w:rFonts w:ascii="Times New Roman" w:hAnsi="Times New Roman" w:cs="Times New Roman"/>
          <w:sz w:val="16"/>
          <w:szCs w:val="16"/>
        </w:rPr>
        <w:t>.</w:t>
      </w:r>
    </w:p>
    <w:p w14:paraId="4F7A8860" w14:textId="77777777" w:rsidR="00595226" w:rsidRDefault="00595226">
      <w:pPr>
        <w:rPr>
          <w:rFonts w:ascii="Times New Roman" w:hAnsi="Times New Roman" w:cs="Times New Roman"/>
          <w:b/>
          <w:bCs/>
          <w:sz w:val="20"/>
          <w:szCs w:val="20"/>
        </w:rPr>
      </w:pPr>
      <w:r>
        <w:rPr>
          <w:rFonts w:ascii="Times New Roman" w:hAnsi="Times New Roman" w:cs="Times New Roman"/>
          <w:b/>
          <w:bCs/>
          <w:sz w:val="20"/>
          <w:szCs w:val="20"/>
        </w:rPr>
        <w:br w:type="page"/>
      </w:r>
    </w:p>
    <w:p w14:paraId="560076C6" w14:textId="00C2E291" w:rsidR="00294D85" w:rsidRPr="005069B2" w:rsidRDefault="00294D85" w:rsidP="005069B2">
      <w:pPr>
        <w:tabs>
          <w:tab w:val="left" w:pos="2805"/>
        </w:tabs>
        <w:spacing w:after="0"/>
        <w:jc w:val="center"/>
        <w:rPr>
          <w:rFonts w:ascii="Times New Roman" w:hAnsi="Times New Roman" w:cs="Times New Roman"/>
          <w:sz w:val="20"/>
          <w:szCs w:val="20"/>
        </w:rPr>
      </w:pPr>
      <w:r w:rsidRPr="005069B2">
        <w:rPr>
          <w:rFonts w:ascii="Times New Roman" w:hAnsi="Times New Roman" w:cs="Times New Roman"/>
          <w:b/>
          <w:bCs/>
          <w:sz w:val="20"/>
          <w:szCs w:val="20"/>
        </w:rPr>
        <w:lastRenderedPageBreak/>
        <w:t>TABLE B.5.1</w:t>
      </w:r>
      <w:r w:rsidRPr="005069B2">
        <w:rPr>
          <w:rFonts w:ascii="Times New Roman" w:hAnsi="Times New Roman" w:cs="Times New Roman"/>
          <w:sz w:val="20"/>
          <w:szCs w:val="20"/>
        </w:rPr>
        <w:br/>
      </w:r>
      <w:r w:rsidRPr="003E2907">
        <w:rPr>
          <w:rFonts w:ascii="Times New Roman" w:hAnsi="Times New Roman" w:cs="Times New Roman"/>
          <w:b/>
          <w:bCs/>
          <w:sz w:val="22"/>
          <w:szCs w:val="22"/>
        </w:rPr>
        <w:t>Regression Results</w:t>
      </w:r>
    </w:p>
    <w:p w14:paraId="6AD96B8F" w14:textId="0748465F" w:rsidR="00294D85" w:rsidRPr="005221A8" w:rsidRDefault="006B0DBA" w:rsidP="00845CCA">
      <w:pPr>
        <w:tabs>
          <w:tab w:val="left" w:pos="2805"/>
        </w:tabs>
        <w:spacing w:after="0"/>
        <w:rPr>
          <w:rFonts w:ascii="Times New Roman" w:hAnsi="Times New Roman" w:cs="Times New Roman"/>
          <w:sz w:val="18"/>
          <w:szCs w:val="18"/>
        </w:rPr>
      </w:pPr>
      <w:r>
        <w:rPr>
          <w:rFonts w:ascii="Times New Roman" w:hAnsi="Times New Roman" w:cs="Times New Roman"/>
          <w:sz w:val="18"/>
          <w:szCs w:val="18"/>
        </w:rPr>
        <w:t xml:space="preserve">                 </w:t>
      </w:r>
      <w:r w:rsidR="00294D85" w:rsidRPr="005221A8">
        <w:rPr>
          <w:rFonts w:ascii="Times New Roman" w:hAnsi="Times New Roman" w:cs="Times New Roman"/>
          <w:sz w:val="18"/>
          <w:szCs w:val="18"/>
        </w:rPr>
        <w:t>Dependent Variable </w:t>
      </w:r>
      <w:r w:rsidR="00294D85" w:rsidRPr="005221A8">
        <w:rPr>
          <w:rFonts w:ascii="Times New Roman" w:hAnsi="Times New Roman" w:cs="Times New Roman"/>
          <w:sz w:val="18"/>
          <w:szCs w:val="18"/>
        </w:rPr>
        <w:tab/>
      </w:r>
      <w:r w:rsidR="00294D85" w:rsidRPr="005221A8">
        <w:rPr>
          <w:rFonts w:ascii="Times New Roman" w:hAnsi="Times New Roman" w:cs="Times New Roman"/>
          <w:sz w:val="18"/>
          <w:szCs w:val="18"/>
        </w:rPr>
        <w:tab/>
      </w:r>
      <w:r w:rsidR="00294D85" w:rsidRPr="005221A8">
        <w:rPr>
          <w:rFonts w:ascii="Times New Roman" w:hAnsi="Times New Roman" w:cs="Times New Roman"/>
          <w:sz w:val="18"/>
          <w:szCs w:val="18"/>
        </w:rPr>
        <w:tab/>
      </w:r>
      <w:r w:rsidR="00595226">
        <w:rPr>
          <w:rFonts w:ascii="Times New Roman" w:hAnsi="Times New Roman" w:cs="Times New Roman"/>
          <w:sz w:val="18"/>
          <w:szCs w:val="18"/>
        </w:rPr>
        <w:tab/>
      </w:r>
      <w:r w:rsidR="00595226">
        <w:rPr>
          <w:rFonts w:ascii="Times New Roman" w:hAnsi="Times New Roman" w:cs="Times New Roman"/>
          <w:sz w:val="18"/>
          <w:szCs w:val="18"/>
        </w:rPr>
        <w:tab/>
      </w:r>
      <w:r w:rsidR="00294D85" w:rsidRPr="005221A8">
        <w:rPr>
          <w:rFonts w:ascii="Times New Roman" w:hAnsi="Times New Roman" w:cs="Times New Roman"/>
          <w:sz w:val="18"/>
          <w:szCs w:val="18"/>
        </w:rPr>
        <w:t>Per Capita Expenditure on Organs of State</w:t>
      </w:r>
    </w:p>
    <w:p w14:paraId="320040CA" w14:textId="657DEBEB" w:rsidR="00294D85" w:rsidRDefault="006B0DBA" w:rsidP="00845CCA">
      <w:pPr>
        <w:tabs>
          <w:tab w:val="left" w:pos="2805"/>
        </w:tabs>
        <w:spacing w:after="0"/>
        <w:rPr>
          <w:rFonts w:ascii="Times New Roman" w:hAnsi="Times New Roman" w:cs="Times New Roman"/>
          <w:sz w:val="18"/>
          <w:szCs w:val="18"/>
        </w:rPr>
      </w:pPr>
      <w:r>
        <w:rPr>
          <w:rFonts w:ascii="Times New Roman" w:hAnsi="Times New Roman" w:cs="Times New Roman"/>
          <w:sz w:val="18"/>
          <w:szCs w:val="18"/>
        </w:rPr>
        <w:t xml:space="preserve">                 </w:t>
      </w:r>
      <w:r w:rsidR="00294D85" w:rsidRPr="005221A8">
        <w:rPr>
          <w:rFonts w:ascii="Times New Roman" w:hAnsi="Times New Roman" w:cs="Times New Roman"/>
          <w:sz w:val="18"/>
          <w:szCs w:val="18"/>
        </w:rPr>
        <w:t>Number Of Observations</w:t>
      </w:r>
      <w:r w:rsidR="00673619" w:rsidRPr="005221A8">
        <w:rPr>
          <w:rFonts w:ascii="Times New Roman" w:hAnsi="Times New Roman" w:cs="Times New Roman"/>
          <w:sz w:val="18"/>
          <w:szCs w:val="18"/>
        </w:rPr>
        <w:t xml:space="preserve"> </w:t>
      </w:r>
      <w:r>
        <w:rPr>
          <w:rFonts w:ascii="Times New Roman" w:hAnsi="Times New Roman" w:cs="Times New Roman"/>
          <w:sz w:val="18"/>
          <w:szCs w:val="18"/>
        </w:rPr>
        <w:tab/>
      </w:r>
      <w:r w:rsidR="00294D85" w:rsidRPr="005221A8">
        <w:rPr>
          <w:rFonts w:ascii="Times New Roman" w:hAnsi="Times New Roman" w:cs="Times New Roman"/>
          <w:sz w:val="18"/>
          <w:szCs w:val="18"/>
        </w:rPr>
        <w:t>28</w:t>
      </w:r>
      <w:r w:rsidR="00294D85" w:rsidRPr="005221A8">
        <w:rPr>
          <w:rFonts w:ascii="Times New Roman" w:hAnsi="Times New Roman" w:cs="Times New Roman"/>
          <w:sz w:val="18"/>
          <w:szCs w:val="18"/>
        </w:rPr>
        <w:tab/>
      </w:r>
      <w:r w:rsidR="00294D85" w:rsidRPr="005221A8">
        <w:rPr>
          <w:rFonts w:ascii="Times New Roman" w:hAnsi="Times New Roman" w:cs="Times New Roman"/>
          <w:sz w:val="18"/>
          <w:szCs w:val="18"/>
        </w:rPr>
        <w:tab/>
      </w:r>
      <w:r w:rsidR="005221A8">
        <w:rPr>
          <w:rFonts w:ascii="Times New Roman" w:hAnsi="Times New Roman" w:cs="Times New Roman"/>
          <w:sz w:val="18"/>
          <w:szCs w:val="18"/>
        </w:rPr>
        <w:tab/>
      </w:r>
      <w:r w:rsidR="00294D85" w:rsidRPr="005221A8">
        <w:rPr>
          <w:rFonts w:ascii="Times New Roman" w:hAnsi="Times New Roman" w:cs="Times New Roman"/>
          <w:sz w:val="18"/>
          <w:szCs w:val="18"/>
        </w:rPr>
        <w:t xml:space="preserve"> Degrees </w:t>
      </w:r>
      <w:r w:rsidR="005221A8" w:rsidRPr="005221A8">
        <w:rPr>
          <w:rFonts w:ascii="Times New Roman" w:hAnsi="Times New Roman" w:cs="Times New Roman"/>
          <w:sz w:val="18"/>
          <w:szCs w:val="18"/>
        </w:rPr>
        <w:t>of</w:t>
      </w:r>
      <w:r w:rsidR="00294D85" w:rsidRPr="005221A8">
        <w:rPr>
          <w:rFonts w:ascii="Times New Roman" w:hAnsi="Times New Roman" w:cs="Times New Roman"/>
          <w:sz w:val="18"/>
          <w:szCs w:val="18"/>
        </w:rPr>
        <w:t xml:space="preserve"> Freedom </w:t>
      </w:r>
      <w:r>
        <w:rPr>
          <w:rFonts w:ascii="Times New Roman" w:hAnsi="Times New Roman" w:cs="Times New Roman"/>
          <w:sz w:val="18"/>
          <w:szCs w:val="18"/>
        </w:rPr>
        <w:tab/>
      </w:r>
      <w:r w:rsidR="00294D85" w:rsidRPr="005221A8">
        <w:rPr>
          <w:rFonts w:ascii="Times New Roman" w:hAnsi="Times New Roman" w:cs="Times New Roman"/>
          <w:sz w:val="18"/>
          <w:szCs w:val="18"/>
        </w:rPr>
        <w:t>23</w:t>
      </w:r>
    </w:p>
    <w:tbl>
      <w:tblPr>
        <w:tblW w:w="8784" w:type="dxa"/>
        <w:jc w:val="center"/>
        <w:tblLook w:val="04A0" w:firstRow="1" w:lastRow="0" w:firstColumn="1" w:lastColumn="0" w:noHBand="0" w:noVBand="1"/>
      </w:tblPr>
      <w:tblGrid>
        <w:gridCol w:w="5098"/>
        <w:gridCol w:w="1134"/>
        <w:gridCol w:w="1412"/>
        <w:gridCol w:w="1140"/>
      </w:tblGrid>
      <w:tr w:rsidR="00845CCA" w:rsidRPr="00845CCA" w14:paraId="507E741E" w14:textId="77777777" w:rsidTr="006B0DBA">
        <w:trPr>
          <w:trHeight w:val="22"/>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9046B5E" w14:textId="77777777" w:rsidR="00845CCA" w:rsidRPr="00845CCA" w:rsidRDefault="00845CCA"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845CCA">
              <w:rPr>
                <w:rFonts w:ascii="Times New Roman" w:eastAsia="Times New Roman" w:hAnsi="Times New Roman" w:cs="Times New Roman"/>
                <w:b/>
                <w:bCs/>
                <w:color w:val="000000"/>
                <w:kern w:val="0"/>
                <w:sz w:val="16"/>
                <w:szCs w:val="16"/>
                <w:lang w:eastAsia="en-IN" w:bidi="ar-SA"/>
                <w14:ligatures w14:val="none"/>
              </w:rPr>
              <w:t>Regressor</w:t>
            </w:r>
          </w:p>
        </w:tc>
        <w:tc>
          <w:tcPr>
            <w:tcW w:w="1134" w:type="dxa"/>
            <w:tcBorders>
              <w:top w:val="single" w:sz="4" w:space="0" w:color="auto"/>
              <w:left w:val="nil"/>
              <w:bottom w:val="single" w:sz="4" w:space="0" w:color="auto"/>
              <w:right w:val="single" w:sz="4" w:space="0" w:color="auto"/>
            </w:tcBorders>
            <w:vAlign w:val="center"/>
            <w:hideMark/>
          </w:tcPr>
          <w:p w14:paraId="3997FCB2" w14:textId="77777777" w:rsidR="00845CCA" w:rsidRPr="00845CCA" w:rsidRDefault="00845CCA"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845CCA">
              <w:rPr>
                <w:rFonts w:ascii="Times New Roman" w:eastAsia="Times New Roman" w:hAnsi="Times New Roman" w:cs="Times New Roman"/>
                <w:b/>
                <w:bCs/>
                <w:color w:val="000000"/>
                <w:kern w:val="0"/>
                <w:sz w:val="16"/>
                <w:szCs w:val="16"/>
                <w:lang w:eastAsia="en-IN" w:bidi="ar-SA"/>
                <w14:ligatures w14:val="none"/>
              </w:rPr>
              <w:t>Coefficient</w:t>
            </w:r>
          </w:p>
        </w:tc>
        <w:tc>
          <w:tcPr>
            <w:tcW w:w="1412" w:type="dxa"/>
            <w:tcBorders>
              <w:top w:val="single" w:sz="4" w:space="0" w:color="auto"/>
              <w:left w:val="nil"/>
              <w:bottom w:val="single" w:sz="4" w:space="0" w:color="auto"/>
              <w:right w:val="single" w:sz="4" w:space="0" w:color="auto"/>
            </w:tcBorders>
            <w:vAlign w:val="center"/>
            <w:hideMark/>
          </w:tcPr>
          <w:p w14:paraId="16C602C5" w14:textId="77777777" w:rsidR="00845CCA" w:rsidRPr="00845CCA" w:rsidRDefault="00845CCA"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845CCA">
              <w:rPr>
                <w:rFonts w:ascii="Times New Roman" w:eastAsia="Times New Roman" w:hAnsi="Times New Roman" w:cs="Times New Roman"/>
                <w:b/>
                <w:bCs/>
                <w:color w:val="000000"/>
                <w:kern w:val="0"/>
                <w:sz w:val="16"/>
                <w:szCs w:val="16"/>
                <w:lang w:eastAsia="en-IN" w:bidi="ar-SA"/>
                <w14:ligatures w14:val="none"/>
              </w:rPr>
              <w:t>Standard Error</w:t>
            </w:r>
          </w:p>
        </w:tc>
        <w:tc>
          <w:tcPr>
            <w:tcW w:w="1140" w:type="dxa"/>
            <w:tcBorders>
              <w:top w:val="single" w:sz="4" w:space="0" w:color="auto"/>
              <w:left w:val="nil"/>
              <w:bottom w:val="single" w:sz="4" w:space="0" w:color="auto"/>
              <w:right w:val="single" w:sz="4" w:space="0" w:color="auto"/>
            </w:tcBorders>
            <w:vAlign w:val="center"/>
            <w:hideMark/>
          </w:tcPr>
          <w:p w14:paraId="45650BB2" w14:textId="77777777" w:rsidR="00845CCA" w:rsidRPr="00845CCA" w:rsidRDefault="00845CCA"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845CCA">
              <w:rPr>
                <w:rFonts w:ascii="Times New Roman" w:eastAsia="Times New Roman" w:hAnsi="Times New Roman" w:cs="Times New Roman"/>
                <w:b/>
                <w:bCs/>
                <w:color w:val="000000"/>
                <w:kern w:val="0"/>
                <w:sz w:val="16"/>
                <w:szCs w:val="16"/>
                <w:lang w:eastAsia="en-IN" w:bidi="ar-SA"/>
                <w14:ligatures w14:val="none"/>
              </w:rPr>
              <w:t>T - Ratio</w:t>
            </w:r>
          </w:p>
        </w:tc>
      </w:tr>
      <w:tr w:rsidR="00845CCA" w:rsidRPr="00845CCA" w14:paraId="2E89A723" w14:textId="77777777" w:rsidTr="006B0DBA">
        <w:trPr>
          <w:trHeight w:val="22"/>
          <w:jc w:val="center"/>
        </w:trPr>
        <w:tc>
          <w:tcPr>
            <w:tcW w:w="5098" w:type="dxa"/>
            <w:tcBorders>
              <w:top w:val="nil"/>
              <w:left w:val="single" w:sz="4" w:space="0" w:color="auto"/>
              <w:bottom w:val="single" w:sz="4" w:space="0" w:color="auto"/>
              <w:right w:val="single" w:sz="4" w:space="0" w:color="auto"/>
            </w:tcBorders>
            <w:vAlign w:val="center"/>
            <w:hideMark/>
          </w:tcPr>
          <w:p w14:paraId="1E39958B" w14:textId="77777777" w:rsidR="00845CCA" w:rsidRPr="00845CCA" w:rsidRDefault="00845CCA"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1 Number of Standard Employees for Organs of State per 1000 population</w:t>
            </w:r>
          </w:p>
        </w:tc>
        <w:tc>
          <w:tcPr>
            <w:tcW w:w="1134" w:type="dxa"/>
            <w:tcBorders>
              <w:top w:val="nil"/>
              <w:left w:val="nil"/>
              <w:bottom w:val="single" w:sz="4" w:space="0" w:color="auto"/>
              <w:right w:val="single" w:sz="4" w:space="0" w:color="auto"/>
            </w:tcBorders>
            <w:vAlign w:val="center"/>
            <w:hideMark/>
          </w:tcPr>
          <w:p w14:paraId="222AA587"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0.8808</w:t>
            </w:r>
          </w:p>
        </w:tc>
        <w:tc>
          <w:tcPr>
            <w:tcW w:w="1412" w:type="dxa"/>
            <w:tcBorders>
              <w:top w:val="nil"/>
              <w:left w:val="nil"/>
              <w:bottom w:val="single" w:sz="4" w:space="0" w:color="auto"/>
              <w:right w:val="single" w:sz="4" w:space="0" w:color="auto"/>
            </w:tcBorders>
            <w:vAlign w:val="center"/>
            <w:hideMark/>
          </w:tcPr>
          <w:p w14:paraId="591CF014"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0.1535</w:t>
            </w:r>
          </w:p>
        </w:tc>
        <w:tc>
          <w:tcPr>
            <w:tcW w:w="1140" w:type="dxa"/>
            <w:tcBorders>
              <w:top w:val="nil"/>
              <w:left w:val="nil"/>
              <w:bottom w:val="single" w:sz="4" w:space="0" w:color="auto"/>
              <w:right w:val="single" w:sz="4" w:space="0" w:color="auto"/>
            </w:tcBorders>
            <w:vAlign w:val="center"/>
            <w:hideMark/>
          </w:tcPr>
          <w:p w14:paraId="46330668"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5.7397</w:t>
            </w:r>
          </w:p>
        </w:tc>
      </w:tr>
      <w:tr w:rsidR="00845CCA" w:rsidRPr="00845CCA" w14:paraId="6E50D652" w14:textId="77777777" w:rsidTr="006B0DBA">
        <w:trPr>
          <w:trHeight w:val="22"/>
          <w:jc w:val="center"/>
        </w:trPr>
        <w:tc>
          <w:tcPr>
            <w:tcW w:w="5098" w:type="dxa"/>
            <w:tcBorders>
              <w:top w:val="nil"/>
              <w:left w:val="single" w:sz="4" w:space="0" w:color="auto"/>
              <w:bottom w:val="single" w:sz="4" w:space="0" w:color="auto"/>
              <w:right w:val="single" w:sz="4" w:space="0" w:color="auto"/>
            </w:tcBorders>
            <w:vAlign w:val="center"/>
            <w:hideMark/>
          </w:tcPr>
          <w:p w14:paraId="71DDBE02" w14:textId="77777777" w:rsidR="00845CCA" w:rsidRPr="00845CCA" w:rsidRDefault="00845CCA"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2 Proportion of urban population to total population</w:t>
            </w:r>
          </w:p>
        </w:tc>
        <w:tc>
          <w:tcPr>
            <w:tcW w:w="1134" w:type="dxa"/>
            <w:tcBorders>
              <w:top w:val="nil"/>
              <w:left w:val="nil"/>
              <w:bottom w:val="single" w:sz="4" w:space="0" w:color="auto"/>
              <w:right w:val="single" w:sz="4" w:space="0" w:color="auto"/>
            </w:tcBorders>
            <w:vAlign w:val="center"/>
            <w:hideMark/>
          </w:tcPr>
          <w:p w14:paraId="62CF39D3"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-0.2349</w:t>
            </w:r>
          </w:p>
        </w:tc>
        <w:tc>
          <w:tcPr>
            <w:tcW w:w="1412" w:type="dxa"/>
            <w:tcBorders>
              <w:top w:val="nil"/>
              <w:left w:val="nil"/>
              <w:bottom w:val="single" w:sz="4" w:space="0" w:color="auto"/>
              <w:right w:val="single" w:sz="4" w:space="0" w:color="auto"/>
            </w:tcBorders>
            <w:vAlign w:val="center"/>
            <w:hideMark/>
          </w:tcPr>
          <w:p w14:paraId="42EA5175"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0.1684</w:t>
            </w:r>
          </w:p>
        </w:tc>
        <w:tc>
          <w:tcPr>
            <w:tcW w:w="1140" w:type="dxa"/>
            <w:tcBorders>
              <w:top w:val="nil"/>
              <w:left w:val="nil"/>
              <w:bottom w:val="single" w:sz="4" w:space="0" w:color="auto"/>
              <w:right w:val="single" w:sz="4" w:space="0" w:color="auto"/>
            </w:tcBorders>
            <w:vAlign w:val="center"/>
            <w:hideMark/>
          </w:tcPr>
          <w:p w14:paraId="3243CE5F"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-1.3952</w:t>
            </w:r>
          </w:p>
        </w:tc>
      </w:tr>
      <w:tr w:rsidR="00845CCA" w:rsidRPr="00845CCA" w14:paraId="459405E8" w14:textId="77777777" w:rsidTr="006B0DBA">
        <w:trPr>
          <w:trHeight w:val="22"/>
          <w:jc w:val="center"/>
        </w:trPr>
        <w:tc>
          <w:tcPr>
            <w:tcW w:w="5098" w:type="dxa"/>
            <w:tcBorders>
              <w:top w:val="nil"/>
              <w:left w:val="single" w:sz="4" w:space="0" w:color="auto"/>
              <w:bottom w:val="single" w:sz="4" w:space="0" w:color="auto"/>
              <w:right w:val="single" w:sz="4" w:space="0" w:color="auto"/>
            </w:tcBorders>
            <w:vAlign w:val="center"/>
            <w:hideMark/>
          </w:tcPr>
          <w:p w14:paraId="2E3AF064" w14:textId="77777777" w:rsidR="00845CCA" w:rsidRPr="00845CCA" w:rsidRDefault="00845CCA"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3 Price differences</w:t>
            </w:r>
          </w:p>
        </w:tc>
        <w:tc>
          <w:tcPr>
            <w:tcW w:w="1134" w:type="dxa"/>
            <w:tcBorders>
              <w:top w:val="nil"/>
              <w:left w:val="nil"/>
              <w:bottom w:val="single" w:sz="4" w:space="0" w:color="auto"/>
              <w:right w:val="single" w:sz="4" w:space="0" w:color="auto"/>
            </w:tcBorders>
            <w:vAlign w:val="center"/>
            <w:hideMark/>
          </w:tcPr>
          <w:p w14:paraId="2624F5AF"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0.5308</w:t>
            </w:r>
          </w:p>
        </w:tc>
        <w:tc>
          <w:tcPr>
            <w:tcW w:w="1412" w:type="dxa"/>
            <w:tcBorders>
              <w:top w:val="nil"/>
              <w:left w:val="nil"/>
              <w:bottom w:val="single" w:sz="4" w:space="0" w:color="auto"/>
              <w:right w:val="single" w:sz="4" w:space="0" w:color="auto"/>
            </w:tcBorders>
            <w:vAlign w:val="center"/>
            <w:hideMark/>
          </w:tcPr>
          <w:p w14:paraId="72F20DBE"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0.1322</w:t>
            </w:r>
          </w:p>
        </w:tc>
        <w:tc>
          <w:tcPr>
            <w:tcW w:w="1140" w:type="dxa"/>
            <w:tcBorders>
              <w:top w:val="nil"/>
              <w:left w:val="nil"/>
              <w:bottom w:val="single" w:sz="4" w:space="0" w:color="auto"/>
              <w:right w:val="single" w:sz="4" w:space="0" w:color="auto"/>
            </w:tcBorders>
            <w:vAlign w:val="center"/>
            <w:hideMark/>
          </w:tcPr>
          <w:p w14:paraId="4B0623B0"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4.0142</w:t>
            </w:r>
          </w:p>
        </w:tc>
      </w:tr>
      <w:tr w:rsidR="00845CCA" w:rsidRPr="00845CCA" w14:paraId="5B0BB4DA" w14:textId="77777777" w:rsidTr="006B0DBA">
        <w:trPr>
          <w:trHeight w:val="22"/>
          <w:jc w:val="center"/>
        </w:trPr>
        <w:tc>
          <w:tcPr>
            <w:tcW w:w="5098" w:type="dxa"/>
            <w:tcBorders>
              <w:top w:val="nil"/>
              <w:left w:val="single" w:sz="4" w:space="0" w:color="auto"/>
              <w:bottom w:val="single" w:sz="4" w:space="0" w:color="auto"/>
              <w:right w:val="single" w:sz="4" w:space="0" w:color="auto"/>
            </w:tcBorders>
            <w:vAlign w:val="center"/>
            <w:hideMark/>
          </w:tcPr>
          <w:p w14:paraId="5AB36F7E" w14:textId="77777777" w:rsidR="00845CCA" w:rsidRPr="00845CCA" w:rsidRDefault="00845CCA"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Time period (1981-82 to 1983-84)</w:t>
            </w:r>
          </w:p>
        </w:tc>
        <w:tc>
          <w:tcPr>
            <w:tcW w:w="1134" w:type="dxa"/>
            <w:tcBorders>
              <w:top w:val="nil"/>
              <w:left w:val="nil"/>
              <w:bottom w:val="single" w:sz="4" w:space="0" w:color="auto"/>
              <w:right w:val="single" w:sz="4" w:space="0" w:color="auto"/>
            </w:tcBorders>
            <w:vAlign w:val="center"/>
            <w:hideMark/>
          </w:tcPr>
          <w:p w14:paraId="30C9294A"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-0.0944</w:t>
            </w:r>
          </w:p>
        </w:tc>
        <w:tc>
          <w:tcPr>
            <w:tcW w:w="1412" w:type="dxa"/>
            <w:tcBorders>
              <w:top w:val="nil"/>
              <w:left w:val="nil"/>
              <w:bottom w:val="single" w:sz="4" w:space="0" w:color="auto"/>
              <w:right w:val="single" w:sz="4" w:space="0" w:color="auto"/>
            </w:tcBorders>
            <w:vAlign w:val="center"/>
            <w:hideMark/>
          </w:tcPr>
          <w:p w14:paraId="3041C0AB"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0.1586</w:t>
            </w:r>
          </w:p>
        </w:tc>
        <w:tc>
          <w:tcPr>
            <w:tcW w:w="1140" w:type="dxa"/>
            <w:tcBorders>
              <w:top w:val="nil"/>
              <w:left w:val="nil"/>
              <w:bottom w:val="single" w:sz="4" w:space="0" w:color="auto"/>
              <w:right w:val="single" w:sz="4" w:space="0" w:color="auto"/>
            </w:tcBorders>
            <w:vAlign w:val="center"/>
            <w:hideMark/>
          </w:tcPr>
          <w:p w14:paraId="65893038"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-0.5948</w:t>
            </w:r>
          </w:p>
        </w:tc>
      </w:tr>
      <w:tr w:rsidR="00845CCA" w:rsidRPr="00845CCA" w14:paraId="1622D0F9" w14:textId="77777777" w:rsidTr="006B0DBA">
        <w:trPr>
          <w:trHeight w:val="22"/>
          <w:jc w:val="center"/>
        </w:trPr>
        <w:tc>
          <w:tcPr>
            <w:tcW w:w="5098" w:type="dxa"/>
            <w:tcBorders>
              <w:top w:val="nil"/>
              <w:left w:val="single" w:sz="4" w:space="0" w:color="auto"/>
              <w:bottom w:val="single" w:sz="4" w:space="0" w:color="auto"/>
              <w:right w:val="single" w:sz="4" w:space="0" w:color="auto"/>
            </w:tcBorders>
            <w:vAlign w:val="center"/>
            <w:hideMark/>
          </w:tcPr>
          <w:p w14:paraId="6B25E73C" w14:textId="77777777" w:rsidR="00845CCA" w:rsidRPr="00845CCA" w:rsidRDefault="00845CCA"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Time period (1984-85 to 1986-87)</w:t>
            </w:r>
          </w:p>
        </w:tc>
        <w:tc>
          <w:tcPr>
            <w:tcW w:w="1134" w:type="dxa"/>
            <w:tcBorders>
              <w:top w:val="nil"/>
              <w:left w:val="nil"/>
              <w:bottom w:val="single" w:sz="4" w:space="0" w:color="auto"/>
              <w:right w:val="single" w:sz="4" w:space="0" w:color="auto"/>
            </w:tcBorders>
            <w:vAlign w:val="center"/>
            <w:hideMark/>
          </w:tcPr>
          <w:p w14:paraId="2824D30C"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0.1061</w:t>
            </w:r>
          </w:p>
        </w:tc>
        <w:tc>
          <w:tcPr>
            <w:tcW w:w="1412" w:type="dxa"/>
            <w:tcBorders>
              <w:top w:val="nil"/>
              <w:left w:val="nil"/>
              <w:bottom w:val="single" w:sz="4" w:space="0" w:color="auto"/>
              <w:right w:val="single" w:sz="4" w:space="0" w:color="auto"/>
            </w:tcBorders>
            <w:vAlign w:val="center"/>
            <w:hideMark/>
          </w:tcPr>
          <w:p w14:paraId="27C13CB7"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0.1647</w:t>
            </w:r>
          </w:p>
        </w:tc>
        <w:tc>
          <w:tcPr>
            <w:tcW w:w="1140" w:type="dxa"/>
            <w:tcBorders>
              <w:top w:val="nil"/>
              <w:left w:val="nil"/>
              <w:bottom w:val="single" w:sz="4" w:space="0" w:color="auto"/>
              <w:right w:val="single" w:sz="4" w:space="0" w:color="auto"/>
            </w:tcBorders>
            <w:vAlign w:val="center"/>
            <w:hideMark/>
          </w:tcPr>
          <w:p w14:paraId="3B430BA7" w14:textId="77777777" w:rsidR="00845CCA" w:rsidRPr="00845CCA" w:rsidRDefault="00845CCA"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845CCA">
              <w:rPr>
                <w:rFonts w:ascii="Times New Roman" w:eastAsia="Times New Roman" w:hAnsi="Times New Roman" w:cs="Times New Roman"/>
                <w:color w:val="000000"/>
                <w:kern w:val="0"/>
                <w:sz w:val="16"/>
                <w:szCs w:val="16"/>
                <w:lang w:eastAsia="en-IN" w:bidi="ar-SA"/>
                <w14:ligatures w14:val="none"/>
              </w:rPr>
              <w:t>0.6439</w:t>
            </w:r>
          </w:p>
        </w:tc>
      </w:tr>
    </w:tbl>
    <w:p w14:paraId="2D3F6EC9" w14:textId="2069E7D2" w:rsidR="00294D85" w:rsidRPr="00845CCA" w:rsidRDefault="006B0DBA" w:rsidP="006B0DBA">
      <w:pPr>
        <w:tabs>
          <w:tab w:val="left" w:pos="2805"/>
        </w:tabs>
        <w:ind w:left="720" w:hanging="720"/>
        <w:rPr>
          <w:rFonts w:ascii="Times New Roman" w:hAnsi="Times New Roman" w:cs="Times New Roman"/>
          <w:sz w:val="18"/>
          <w:szCs w:val="18"/>
        </w:rPr>
      </w:pPr>
      <w:r>
        <w:rPr>
          <w:rFonts w:ascii="Times New Roman" w:hAnsi="Times New Roman" w:cs="Times New Roman"/>
          <w:sz w:val="18"/>
          <w:szCs w:val="18"/>
        </w:rPr>
        <w:tab/>
      </w:r>
      <w:r w:rsidR="00294D85" w:rsidRPr="00845CCA">
        <w:rPr>
          <w:rFonts w:ascii="Times New Roman" w:hAnsi="Times New Roman" w:cs="Times New Roman"/>
          <w:sz w:val="18"/>
          <w:szCs w:val="18"/>
        </w:rPr>
        <w:t xml:space="preserve">R - Squared </w:t>
      </w:r>
      <w:r w:rsidR="00845CCA">
        <w:rPr>
          <w:rFonts w:ascii="Times New Roman" w:hAnsi="Times New Roman" w:cs="Times New Roman"/>
          <w:sz w:val="18"/>
          <w:szCs w:val="18"/>
        </w:rPr>
        <w:tab/>
      </w:r>
      <w:r w:rsidR="00294D85" w:rsidRPr="00845CCA">
        <w:rPr>
          <w:rFonts w:ascii="Times New Roman" w:hAnsi="Times New Roman" w:cs="Times New Roman"/>
          <w:sz w:val="18"/>
          <w:szCs w:val="18"/>
        </w:rPr>
        <w:t>0.6589</w:t>
      </w:r>
      <w:r w:rsidR="00294D85" w:rsidRPr="00845CCA">
        <w:rPr>
          <w:rFonts w:ascii="Times New Roman" w:hAnsi="Times New Roman" w:cs="Times New Roman"/>
          <w:sz w:val="18"/>
          <w:szCs w:val="18"/>
        </w:rPr>
        <w:tab/>
      </w:r>
      <w:r w:rsidR="00845CCA">
        <w:rPr>
          <w:rFonts w:ascii="Times New Roman" w:hAnsi="Times New Roman" w:cs="Times New Roman"/>
          <w:sz w:val="18"/>
          <w:szCs w:val="18"/>
        </w:rPr>
        <w:tab/>
      </w:r>
      <w:r w:rsidR="00294D85" w:rsidRPr="00845CCA">
        <w:rPr>
          <w:rFonts w:ascii="Times New Roman" w:hAnsi="Times New Roman" w:cs="Times New Roman"/>
          <w:sz w:val="18"/>
          <w:szCs w:val="18"/>
        </w:rPr>
        <w:t xml:space="preserve"> Residual Sum of Squares </w:t>
      </w:r>
      <w:r w:rsidR="00845CCA">
        <w:rPr>
          <w:rFonts w:ascii="Times New Roman" w:hAnsi="Times New Roman" w:cs="Times New Roman"/>
          <w:sz w:val="18"/>
          <w:szCs w:val="18"/>
        </w:rPr>
        <w:tab/>
      </w:r>
      <w:r w:rsidR="00845CCA">
        <w:rPr>
          <w:rFonts w:ascii="Times New Roman" w:hAnsi="Times New Roman" w:cs="Times New Roman"/>
          <w:sz w:val="18"/>
          <w:szCs w:val="18"/>
        </w:rPr>
        <w:tab/>
      </w:r>
      <w:r w:rsidR="00294D85" w:rsidRPr="00845CCA">
        <w:rPr>
          <w:rFonts w:ascii="Times New Roman" w:hAnsi="Times New Roman" w:cs="Times New Roman"/>
          <w:sz w:val="18"/>
          <w:szCs w:val="18"/>
        </w:rPr>
        <w:t>1.8753</w:t>
      </w:r>
      <w:r w:rsidR="00294D85" w:rsidRPr="00845CCA">
        <w:rPr>
          <w:rFonts w:ascii="Times New Roman" w:hAnsi="Times New Roman" w:cs="Times New Roman"/>
          <w:sz w:val="18"/>
          <w:szCs w:val="18"/>
        </w:rPr>
        <w:br/>
        <w:t xml:space="preserve">R - Bar - Squared </w:t>
      </w:r>
      <w:r w:rsidR="00845CCA">
        <w:rPr>
          <w:rFonts w:ascii="Times New Roman" w:hAnsi="Times New Roman" w:cs="Times New Roman"/>
          <w:sz w:val="18"/>
          <w:szCs w:val="18"/>
        </w:rPr>
        <w:tab/>
      </w:r>
      <w:r w:rsidR="00294D85" w:rsidRPr="00845CCA">
        <w:rPr>
          <w:rFonts w:ascii="Times New Roman" w:hAnsi="Times New Roman" w:cs="Times New Roman"/>
          <w:sz w:val="18"/>
          <w:szCs w:val="18"/>
        </w:rPr>
        <w:t xml:space="preserve">0.5996 </w:t>
      </w:r>
      <w:r w:rsidR="00294D85" w:rsidRPr="00845CCA">
        <w:rPr>
          <w:rFonts w:ascii="Times New Roman" w:hAnsi="Times New Roman" w:cs="Times New Roman"/>
          <w:sz w:val="18"/>
          <w:szCs w:val="18"/>
        </w:rPr>
        <w:tab/>
      </w:r>
      <w:r w:rsidR="00845CCA">
        <w:rPr>
          <w:rFonts w:ascii="Times New Roman" w:hAnsi="Times New Roman" w:cs="Times New Roman"/>
          <w:sz w:val="18"/>
          <w:szCs w:val="18"/>
        </w:rPr>
        <w:tab/>
      </w:r>
      <w:r w:rsidR="00294D85" w:rsidRPr="00845CCA">
        <w:rPr>
          <w:rFonts w:ascii="Times New Roman" w:hAnsi="Times New Roman" w:cs="Times New Roman"/>
          <w:sz w:val="18"/>
          <w:szCs w:val="18"/>
        </w:rPr>
        <w:t xml:space="preserve">S.E. of Regression </w:t>
      </w:r>
      <w:r w:rsidR="00845CCA">
        <w:rPr>
          <w:rFonts w:ascii="Times New Roman" w:hAnsi="Times New Roman" w:cs="Times New Roman"/>
          <w:sz w:val="18"/>
          <w:szCs w:val="18"/>
        </w:rPr>
        <w:tab/>
      </w:r>
      <w:r w:rsidR="00845CCA">
        <w:rPr>
          <w:rFonts w:ascii="Times New Roman" w:hAnsi="Times New Roman" w:cs="Times New Roman"/>
          <w:sz w:val="18"/>
          <w:szCs w:val="18"/>
        </w:rPr>
        <w:tab/>
      </w:r>
      <w:r w:rsidR="00845CCA">
        <w:rPr>
          <w:rFonts w:ascii="Times New Roman" w:hAnsi="Times New Roman" w:cs="Times New Roman"/>
          <w:sz w:val="18"/>
          <w:szCs w:val="18"/>
        </w:rPr>
        <w:tab/>
      </w:r>
      <w:r w:rsidR="00294D85" w:rsidRPr="00845CCA">
        <w:rPr>
          <w:rFonts w:ascii="Times New Roman" w:hAnsi="Times New Roman" w:cs="Times New Roman"/>
          <w:sz w:val="18"/>
          <w:szCs w:val="18"/>
        </w:rPr>
        <w:t>0.2855</w:t>
      </w:r>
    </w:p>
    <w:p w14:paraId="7589F0E1" w14:textId="77777777" w:rsidR="00294D85" w:rsidRPr="003E2907" w:rsidRDefault="00294D85" w:rsidP="00E4373B">
      <w:pPr>
        <w:tabs>
          <w:tab w:val="left" w:pos="2805"/>
        </w:tabs>
        <w:spacing w:after="0"/>
        <w:jc w:val="center"/>
        <w:rPr>
          <w:rFonts w:ascii="Times New Roman" w:hAnsi="Times New Roman" w:cs="Times New Roman"/>
          <w:b/>
          <w:bCs/>
          <w:sz w:val="22"/>
          <w:szCs w:val="22"/>
        </w:rPr>
      </w:pPr>
      <w:r w:rsidRPr="003E2907">
        <w:rPr>
          <w:rFonts w:ascii="Times New Roman" w:hAnsi="Times New Roman" w:cs="Times New Roman"/>
          <w:b/>
          <w:bCs/>
          <w:sz w:val="22"/>
          <w:szCs w:val="22"/>
        </w:rPr>
        <w:t>Diagnostic Tests</w:t>
      </w:r>
    </w:p>
    <w:tbl>
      <w:tblPr>
        <w:tblStyle w:val="TableGrid"/>
        <w:tblW w:w="8751" w:type="dxa"/>
        <w:jc w:val="center"/>
        <w:tblLook w:val="04A0" w:firstRow="1" w:lastRow="0" w:firstColumn="1" w:lastColumn="0" w:noHBand="0" w:noVBand="1"/>
      </w:tblPr>
      <w:tblGrid>
        <w:gridCol w:w="2676"/>
        <w:gridCol w:w="2859"/>
        <w:gridCol w:w="3216"/>
      </w:tblGrid>
      <w:tr w:rsidR="00294D85" w:rsidRPr="00845CCA" w14:paraId="1FC7F52A" w14:textId="77777777" w:rsidTr="00937755">
        <w:trPr>
          <w:trHeight w:val="39"/>
          <w:jc w:val="center"/>
        </w:trPr>
        <w:tc>
          <w:tcPr>
            <w:tcW w:w="2676" w:type="dxa"/>
            <w:vAlign w:val="center"/>
            <w:hideMark/>
          </w:tcPr>
          <w:p w14:paraId="47EADC1A" w14:textId="77777777" w:rsidR="00294D85" w:rsidRPr="00845CCA" w:rsidRDefault="00294D85" w:rsidP="00845CCA">
            <w:pPr>
              <w:tabs>
                <w:tab w:val="left" w:pos="2805"/>
              </w:tabs>
              <w:spacing w:line="278" w:lineRule="auto"/>
              <w:rPr>
                <w:rFonts w:ascii="Times New Roman" w:hAnsi="Times New Roman" w:cs="Times New Roman"/>
                <w:b/>
                <w:bCs/>
                <w:sz w:val="16"/>
                <w:szCs w:val="16"/>
              </w:rPr>
            </w:pPr>
            <w:r w:rsidRPr="00845CCA">
              <w:rPr>
                <w:rFonts w:ascii="Times New Roman" w:hAnsi="Times New Roman" w:cs="Times New Roman"/>
                <w:b/>
                <w:bCs/>
                <w:sz w:val="16"/>
                <w:szCs w:val="16"/>
              </w:rPr>
              <w:t>Test Statistics</w:t>
            </w:r>
          </w:p>
        </w:tc>
        <w:tc>
          <w:tcPr>
            <w:tcW w:w="2859" w:type="dxa"/>
            <w:vAlign w:val="center"/>
            <w:hideMark/>
          </w:tcPr>
          <w:p w14:paraId="180AAEBC"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LM Version</w:t>
            </w:r>
          </w:p>
        </w:tc>
        <w:tc>
          <w:tcPr>
            <w:tcW w:w="3216" w:type="dxa"/>
            <w:vAlign w:val="center"/>
            <w:hideMark/>
          </w:tcPr>
          <w:p w14:paraId="6CDE1B3D"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F Version</w:t>
            </w:r>
          </w:p>
        </w:tc>
      </w:tr>
      <w:tr w:rsidR="00294D85" w:rsidRPr="00845CCA" w14:paraId="79FCE9AE" w14:textId="77777777" w:rsidTr="00937755">
        <w:trPr>
          <w:trHeight w:val="39"/>
          <w:jc w:val="center"/>
        </w:trPr>
        <w:tc>
          <w:tcPr>
            <w:tcW w:w="0" w:type="auto"/>
            <w:vAlign w:val="center"/>
            <w:hideMark/>
          </w:tcPr>
          <w:p w14:paraId="5515056D"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A: Serial Correlation</w:t>
            </w:r>
          </w:p>
        </w:tc>
        <w:tc>
          <w:tcPr>
            <w:tcW w:w="2859" w:type="dxa"/>
            <w:vAlign w:val="center"/>
            <w:hideMark/>
          </w:tcPr>
          <w:p w14:paraId="227E1724"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SQ(1)=</w:t>
            </w:r>
            <w:proofErr w:type="gramEnd"/>
            <w:r w:rsidRPr="00845CCA">
              <w:rPr>
                <w:rFonts w:ascii="Times New Roman" w:hAnsi="Times New Roman" w:cs="Times New Roman"/>
                <w:sz w:val="16"/>
                <w:szCs w:val="16"/>
              </w:rPr>
              <w:t>0.0366</w:t>
            </w:r>
          </w:p>
        </w:tc>
        <w:tc>
          <w:tcPr>
            <w:tcW w:w="3216" w:type="dxa"/>
            <w:vAlign w:val="center"/>
            <w:hideMark/>
          </w:tcPr>
          <w:p w14:paraId="5A4A932C"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proofErr w:type="gramStart"/>
            <w:r w:rsidRPr="00845CCA">
              <w:rPr>
                <w:rFonts w:ascii="Times New Roman" w:hAnsi="Times New Roman" w:cs="Times New Roman"/>
                <w:sz w:val="16"/>
                <w:szCs w:val="16"/>
              </w:rPr>
              <w:t>F(</w:t>
            </w:r>
            <w:proofErr w:type="gramEnd"/>
            <w:r w:rsidRPr="00845CCA">
              <w:rPr>
                <w:rFonts w:ascii="Times New Roman" w:hAnsi="Times New Roman" w:cs="Times New Roman"/>
                <w:sz w:val="16"/>
                <w:szCs w:val="16"/>
              </w:rPr>
              <w:t>1, 22) =0.0288</w:t>
            </w:r>
          </w:p>
        </w:tc>
      </w:tr>
      <w:tr w:rsidR="00294D85" w:rsidRPr="00845CCA" w14:paraId="0084CBC0" w14:textId="77777777" w:rsidTr="00937755">
        <w:trPr>
          <w:trHeight w:val="39"/>
          <w:jc w:val="center"/>
        </w:trPr>
        <w:tc>
          <w:tcPr>
            <w:tcW w:w="0" w:type="auto"/>
            <w:vAlign w:val="center"/>
            <w:hideMark/>
          </w:tcPr>
          <w:p w14:paraId="769DAB39"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B: Functional Form</w:t>
            </w:r>
          </w:p>
        </w:tc>
        <w:tc>
          <w:tcPr>
            <w:tcW w:w="2859" w:type="dxa"/>
            <w:vAlign w:val="center"/>
            <w:hideMark/>
          </w:tcPr>
          <w:p w14:paraId="19BEA305"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SQ(1)=</w:t>
            </w:r>
            <w:proofErr w:type="gramEnd"/>
            <w:r w:rsidRPr="00845CCA">
              <w:rPr>
                <w:rFonts w:ascii="Times New Roman" w:hAnsi="Times New Roman" w:cs="Times New Roman"/>
                <w:sz w:val="16"/>
                <w:szCs w:val="16"/>
              </w:rPr>
              <w:t>5.2223</w:t>
            </w:r>
          </w:p>
        </w:tc>
        <w:tc>
          <w:tcPr>
            <w:tcW w:w="3216" w:type="dxa"/>
            <w:vAlign w:val="center"/>
            <w:hideMark/>
          </w:tcPr>
          <w:p w14:paraId="4180AD4A"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proofErr w:type="gramStart"/>
            <w:r w:rsidRPr="00845CCA">
              <w:rPr>
                <w:rFonts w:ascii="Times New Roman" w:hAnsi="Times New Roman" w:cs="Times New Roman"/>
                <w:sz w:val="16"/>
                <w:szCs w:val="16"/>
              </w:rPr>
              <w:t>F(</w:t>
            </w:r>
            <w:proofErr w:type="gramEnd"/>
            <w:r w:rsidRPr="00845CCA">
              <w:rPr>
                <w:rFonts w:ascii="Times New Roman" w:hAnsi="Times New Roman" w:cs="Times New Roman"/>
                <w:sz w:val="16"/>
                <w:szCs w:val="16"/>
              </w:rPr>
              <w:t>1, 22) =5.0440</w:t>
            </w:r>
          </w:p>
        </w:tc>
      </w:tr>
      <w:tr w:rsidR="00294D85" w:rsidRPr="00845CCA" w14:paraId="1A3649DA" w14:textId="77777777" w:rsidTr="00937755">
        <w:trPr>
          <w:trHeight w:val="39"/>
          <w:jc w:val="center"/>
        </w:trPr>
        <w:tc>
          <w:tcPr>
            <w:tcW w:w="0" w:type="auto"/>
            <w:vAlign w:val="center"/>
            <w:hideMark/>
          </w:tcPr>
          <w:p w14:paraId="01892C64"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C: Normality</w:t>
            </w:r>
          </w:p>
        </w:tc>
        <w:tc>
          <w:tcPr>
            <w:tcW w:w="2859" w:type="dxa"/>
            <w:vAlign w:val="center"/>
            <w:hideMark/>
          </w:tcPr>
          <w:p w14:paraId="0678AF2E"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w:t>
            </w:r>
            <w:proofErr w:type="gramEnd"/>
            <w:r w:rsidRPr="00845CCA">
              <w:rPr>
                <w:rFonts w:ascii="Times New Roman" w:hAnsi="Times New Roman" w:cs="Times New Roman"/>
                <w:sz w:val="16"/>
                <w:szCs w:val="16"/>
              </w:rPr>
              <w:t>2) =0.8047</w:t>
            </w:r>
          </w:p>
        </w:tc>
        <w:tc>
          <w:tcPr>
            <w:tcW w:w="3216" w:type="dxa"/>
            <w:vAlign w:val="center"/>
            <w:hideMark/>
          </w:tcPr>
          <w:p w14:paraId="5EE53530"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Not Applicable</w:t>
            </w:r>
          </w:p>
        </w:tc>
      </w:tr>
      <w:tr w:rsidR="00294D85" w:rsidRPr="00845CCA" w14:paraId="6CB85F10" w14:textId="77777777" w:rsidTr="00937755">
        <w:trPr>
          <w:trHeight w:val="39"/>
          <w:jc w:val="center"/>
        </w:trPr>
        <w:tc>
          <w:tcPr>
            <w:tcW w:w="0" w:type="auto"/>
            <w:vAlign w:val="center"/>
            <w:hideMark/>
          </w:tcPr>
          <w:p w14:paraId="2FBC01A5"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D: Heteroscedasticity</w:t>
            </w:r>
          </w:p>
        </w:tc>
        <w:tc>
          <w:tcPr>
            <w:tcW w:w="2859" w:type="dxa"/>
            <w:vAlign w:val="center"/>
            <w:hideMark/>
          </w:tcPr>
          <w:p w14:paraId="5A97DB6D"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w:t>
            </w:r>
            <w:proofErr w:type="gramEnd"/>
            <w:r w:rsidRPr="00845CCA">
              <w:rPr>
                <w:rFonts w:ascii="Times New Roman" w:hAnsi="Times New Roman" w:cs="Times New Roman"/>
                <w:sz w:val="16"/>
                <w:szCs w:val="16"/>
              </w:rPr>
              <w:t>1) =0.0680</w:t>
            </w:r>
          </w:p>
        </w:tc>
        <w:tc>
          <w:tcPr>
            <w:tcW w:w="3216" w:type="dxa"/>
            <w:vAlign w:val="center"/>
            <w:hideMark/>
          </w:tcPr>
          <w:p w14:paraId="0EC9BF30"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proofErr w:type="gramStart"/>
            <w:r w:rsidRPr="00845CCA">
              <w:rPr>
                <w:rFonts w:ascii="Times New Roman" w:hAnsi="Times New Roman" w:cs="Times New Roman"/>
                <w:sz w:val="16"/>
                <w:szCs w:val="16"/>
              </w:rPr>
              <w:t>F(</w:t>
            </w:r>
            <w:proofErr w:type="gramEnd"/>
            <w:r w:rsidRPr="00845CCA">
              <w:rPr>
                <w:rFonts w:ascii="Times New Roman" w:hAnsi="Times New Roman" w:cs="Times New Roman"/>
                <w:sz w:val="16"/>
                <w:szCs w:val="16"/>
              </w:rPr>
              <w:t>1, 26) =0.0633</w:t>
            </w:r>
          </w:p>
        </w:tc>
      </w:tr>
    </w:tbl>
    <w:p w14:paraId="1FE18D9F" w14:textId="77777777" w:rsidR="003E2907" w:rsidRDefault="003E2907" w:rsidP="003E2907">
      <w:pPr>
        <w:tabs>
          <w:tab w:val="left" w:pos="2805"/>
        </w:tabs>
        <w:spacing w:after="0"/>
        <w:ind w:firstLine="1701"/>
        <w:jc w:val="center"/>
        <w:rPr>
          <w:rFonts w:ascii="Times New Roman" w:hAnsi="Times New Roman" w:cs="Times New Roman"/>
          <w:b/>
          <w:bCs/>
          <w:sz w:val="22"/>
          <w:szCs w:val="22"/>
        </w:rPr>
      </w:pPr>
    </w:p>
    <w:p w14:paraId="00FEF7EB" w14:textId="4152C878" w:rsidR="00595226" w:rsidRPr="003E2907" w:rsidRDefault="003E2907" w:rsidP="003E2907">
      <w:pPr>
        <w:tabs>
          <w:tab w:val="left" w:pos="2805"/>
        </w:tabs>
        <w:spacing w:after="0"/>
        <w:jc w:val="center"/>
        <w:rPr>
          <w:rFonts w:ascii="Times New Roman" w:hAnsi="Times New Roman" w:cs="Times New Roman"/>
          <w:b/>
          <w:bCs/>
          <w:sz w:val="18"/>
          <w:szCs w:val="18"/>
        </w:rPr>
      </w:pPr>
      <w:r w:rsidRPr="003E2907">
        <w:rPr>
          <w:rFonts w:ascii="Times New Roman" w:hAnsi="Times New Roman" w:cs="Times New Roman"/>
          <w:b/>
          <w:bCs/>
          <w:sz w:val="22"/>
          <w:szCs w:val="22"/>
        </w:rPr>
        <w:t>Regression Results</w:t>
      </w:r>
    </w:p>
    <w:p w14:paraId="6588EB41" w14:textId="77777777" w:rsidR="00595226" w:rsidRDefault="00595226" w:rsidP="00E4373B">
      <w:pPr>
        <w:tabs>
          <w:tab w:val="left" w:pos="2805"/>
        </w:tabs>
        <w:spacing w:after="0"/>
        <w:ind w:firstLine="1701"/>
        <w:rPr>
          <w:rFonts w:ascii="Times New Roman" w:hAnsi="Times New Roman" w:cs="Times New Roman"/>
          <w:sz w:val="18"/>
          <w:szCs w:val="18"/>
        </w:rPr>
      </w:pPr>
    </w:p>
    <w:p w14:paraId="7823E5B7" w14:textId="7AC05D9C" w:rsidR="00294D85" w:rsidRPr="00845CCA" w:rsidRDefault="00294D85" w:rsidP="00595226">
      <w:pPr>
        <w:tabs>
          <w:tab w:val="left" w:pos="2805"/>
        </w:tabs>
        <w:spacing w:after="0"/>
        <w:ind w:firstLine="851"/>
        <w:rPr>
          <w:rFonts w:ascii="Times New Roman" w:hAnsi="Times New Roman" w:cs="Times New Roman"/>
          <w:sz w:val="18"/>
          <w:szCs w:val="18"/>
        </w:rPr>
      </w:pPr>
      <w:r w:rsidRPr="00845CCA">
        <w:rPr>
          <w:rFonts w:ascii="Times New Roman" w:hAnsi="Times New Roman" w:cs="Times New Roman"/>
          <w:sz w:val="18"/>
          <w:szCs w:val="18"/>
        </w:rPr>
        <w:t>Dependent Variable</w:t>
      </w:r>
      <w:r w:rsidRPr="00845CCA">
        <w:rPr>
          <w:rFonts w:ascii="Times New Roman" w:hAnsi="Times New Roman" w:cs="Times New Roman"/>
          <w:sz w:val="18"/>
          <w:szCs w:val="18"/>
        </w:rPr>
        <w:tab/>
      </w:r>
      <w:r w:rsidRPr="00845CCA">
        <w:rPr>
          <w:rFonts w:ascii="Times New Roman" w:hAnsi="Times New Roman" w:cs="Times New Roman"/>
          <w:sz w:val="18"/>
          <w:szCs w:val="18"/>
        </w:rPr>
        <w:tab/>
        <w:t xml:space="preserve">   </w:t>
      </w:r>
      <w:r w:rsidR="00595226">
        <w:rPr>
          <w:rFonts w:ascii="Times New Roman" w:hAnsi="Times New Roman" w:cs="Times New Roman"/>
          <w:sz w:val="18"/>
          <w:szCs w:val="18"/>
        </w:rPr>
        <w:tab/>
      </w:r>
      <w:r w:rsidR="00595226">
        <w:rPr>
          <w:rFonts w:ascii="Times New Roman" w:hAnsi="Times New Roman" w:cs="Times New Roman"/>
          <w:sz w:val="18"/>
          <w:szCs w:val="18"/>
        </w:rPr>
        <w:tab/>
      </w:r>
      <w:r w:rsidR="00595226">
        <w:rPr>
          <w:rFonts w:ascii="Times New Roman" w:hAnsi="Times New Roman" w:cs="Times New Roman"/>
          <w:sz w:val="18"/>
          <w:szCs w:val="18"/>
        </w:rPr>
        <w:tab/>
      </w:r>
      <w:r w:rsidRPr="00845CCA">
        <w:rPr>
          <w:rFonts w:ascii="Times New Roman" w:hAnsi="Times New Roman" w:cs="Times New Roman"/>
          <w:sz w:val="18"/>
          <w:szCs w:val="18"/>
        </w:rPr>
        <w:t>Per Capita Expenditure on Administrative Services</w:t>
      </w:r>
    </w:p>
    <w:p w14:paraId="143095E5" w14:textId="40D4253B" w:rsidR="00294D85" w:rsidRPr="00845CCA" w:rsidRDefault="00294D85" w:rsidP="00595226">
      <w:pPr>
        <w:tabs>
          <w:tab w:val="left" w:pos="2805"/>
        </w:tabs>
        <w:spacing w:after="0"/>
        <w:ind w:firstLine="851"/>
        <w:rPr>
          <w:rFonts w:ascii="Times New Roman" w:hAnsi="Times New Roman" w:cs="Times New Roman"/>
          <w:sz w:val="18"/>
          <w:szCs w:val="18"/>
        </w:rPr>
      </w:pPr>
      <w:r w:rsidRPr="00845CCA">
        <w:rPr>
          <w:rFonts w:ascii="Times New Roman" w:hAnsi="Times New Roman" w:cs="Times New Roman"/>
          <w:sz w:val="18"/>
          <w:szCs w:val="18"/>
        </w:rPr>
        <w:t xml:space="preserve">Number Of Observations 28   </w:t>
      </w:r>
      <w:r w:rsidR="00845CCA">
        <w:rPr>
          <w:rFonts w:ascii="Times New Roman" w:hAnsi="Times New Roman" w:cs="Times New Roman"/>
          <w:sz w:val="18"/>
          <w:szCs w:val="18"/>
        </w:rPr>
        <w:tab/>
      </w:r>
      <w:r w:rsidR="00845CCA">
        <w:rPr>
          <w:rFonts w:ascii="Times New Roman" w:hAnsi="Times New Roman" w:cs="Times New Roman"/>
          <w:sz w:val="18"/>
          <w:szCs w:val="18"/>
        </w:rPr>
        <w:tab/>
        <w:t xml:space="preserve">   </w:t>
      </w:r>
      <w:r w:rsidR="00595226">
        <w:rPr>
          <w:rFonts w:ascii="Times New Roman" w:hAnsi="Times New Roman" w:cs="Times New Roman"/>
          <w:sz w:val="18"/>
          <w:szCs w:val="18"/>
        </w:rPr>
        <w:tab/>
      </w:r>
      <w:r w:rsidRPr="00845CCA">
        <w:rPr>
          <w:rFonts w:ascii="Times New Roman" w:hAnsi="Times New Roman" w:cs="Times New Roman"/>
          <w:sz w:val="18"/>
          <w:szCs w:val="18"/>
        </w:rPr>
        <w:t xml:space="preserve">Degrees </w:t>
      </w:r>
      <w:proofErr w:type="gramStart"/>
      <w:r w:rsidRPr="00845CCA">
        <w:rPr>
          <w:rFonts w:ascii="Times New Roman" w:hAnsi="Times New Roman" w:cs="Times New Roman"/>
          <w:sz w:val="18"/>
          <w:szCs w:val="18"/>
        </w:rPr>
        <w:t>Of</w:t>
      </w:r>
      <w:proofErr w:type="gramEnd"/>
      <w:r w:rsidRPr="00845CCA">
        <w:rPr>
          <w:rFonts w:ascii="Times New Roman" w:hAnsi="Times New Roman" w:cs="Times New Roman"/>
          <w:sz w:val="18"/>
          <w:szCs w:val="18"/>
        </w:rPr>
        <w:t xml:space="preserve"> Freedom 24</w:t>
      </w:r>
    </w:p>
    <w:tbl>
      <w:tblPr>
        <w:tblStyle w:val="TableGrid"/>
        <w:tblW w:w="8858" w:type="dxa"/>
        <w:jc w:val="center"/>
        <w:tblLook w:val="04A0" w:firstRow="1" w:lastRow="0" w:firstColumn="1" w:lastColumn="0" w:noHBand="0" w:noVBand="1"/>
      </w:tblPr>
      <w:tblGrid>
        <w:gridCol w:w="5536"/>
        <w:gridCol w:w="969"/>
        <w:gridCol w:w="1523"/>
        <w:gridCol w:w="830"/>
      </w:tblGrid>
      <w:tr w:rsidR="00294D85" w:rsidRPr="00845CCA" w14:paraId="7B321D1D" w14:textId="77777777" w:rsidTr="00937755">
        <w:trPr>
          <w:trHeight w:val="72"/>
          <w:jc w:val="center"/>
        </w:trPr>
        <w:tc>
          <w:tcPr>
            <w:tcW w:w="5536" w:type="dxa"/>
            <w:vAlign w:val="center"/>
            <w:hideMark/>
          </w:tcPr>
          <w:p w14:paraId="26F321C6"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Regressor</w:t>
            </w:r>
          </w:p>
        </w:tc>
        <w:tc>
          <w:tcPr>
            <w:tcW w:w="969" w:type="dxa"/>
            <w:vAlign w:val="center"/>
            <w:hideMark/>
          </w:tcPr>
          <w:p w14:paraId="58636984"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Coefficient</w:t>
            </w:r>
          </w:p>
        </w:tc>
        <w:tc>
          <w:tcPr>
            <w:tcW w:w="1523" w:type="dxa"/>
            <w:vAlign w:val="center"/>
            <w:hideMark/>
          </w:tcPr>
          <w:p w14:paraId="78D3DCD1"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Standard Error</w:t>
            </w:r>
          </w:p>
        </w:tc>
        <w:tc>
          <w:tcPr>
            <w:tcW w:w="830" w:type="dxa"/>
            <w:vAlign w:val="center"/>
            <w:hideMark/>
          </w:tcPr>
          <w:p w14:paraId="72CB4565"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T - Ratio</w:t>
            </w:r>
          </w:p>
        </w:tc>
      </w:tr>
      <w:tr w:rsidR="00294D85" w:rsidRPr="00845CCA" w14:paraId="4415E019" w14:textId="77777777" w:rsidTr="00937755">
        <w:trPr>
          <w:trHeight w:val="72"/>
          <w:jc w:val="center"/>
        </w:trPr>
        <w:tc>
          <w:tcPr>
            <w:tcW w:w="5536" w:type="dxa"/>
            <w:vAlign w:val="center"/>
            <w:hideMark/>
          </w:tcPr>
          <w:p w14:paraId="4C93D141"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1 Number of Standard Employees for Administrative Services per 1000 population</w:t>
            </w:r>
          </w:p>
        </w:tc>
        <w:tc>
          <w:tcPr>
            <w:tcW w:w="969" w:type="dxa"/>
            <w:vAlign w:val="center"/>
            <w:hideMark/>
          </w:tcPr>
          <w:p w14:paraId="5DCF7DDB"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0.9194</w:t>
            </w:r>
          </w:p>
        </w:tc>
        <w:tc>
          <w:tcPr>
            <w:tcW w:w="1523" w:type="dxa"/>
            <w:vAlign w:val="center"/>
            <w:hideMark/>
          </w:tcPr>
          <w:p w14:paraId="7C1C3331"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0.0754</w:t>
            </w:r>
          </w:p>
        </w:tc>
        <w:tc>
          <w:tcPr>
            <w:tcW w:w="830" w:type="dxa"/>
            <w:vAlign w:val="center"/>
            <w:hideMark/>
          </w:tcPr>
          <w:p w14:paraId="60E4C992"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12.1932</w:t>
            </w:r>
          </w:p>
        </w:tc>
      </w:tr>
      <w:tr w:rsidR="00294D85" w:rsidRPr="00845CCA" w14:paraId="061A3614" w14:textId="77777777" w:rsidTr="00937755">
        <w:trPr>
          <w:trHeight w:val="72"/>
          <w:jc w:val="center"/>
        </w:trPr>
        <w:tc>
          <w:tcPr>
            <w:tcW w:w="5536" w:type="dxa"/>
            <w:vAlign w:val="center"/>
            <w:hideMark/>
          </w:tcPr>
          <w:p w14:paraId="1642F4CE"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2 Price differences</w:t>
            </w:r>
          </w:p>
        </w:tc>
        <w:tc>
          <w:tcPr>
            <w:tcW w:w="969" w:type="dxa"/>
            <w:vAlign w:val="center"/>
            <w:hideMark/>
          </w:tcPr>
          <w:p w14:paraId="21B62E85"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0.5567</w:t>
            </w:r>
          </w:p>
        </w:tc>
        <w:tc>
          <w:tcPr>
            <w:tcW w:w="1523" w:type="dxa"/>
            <w:vAlign w:val="center"/>
            <w:hideMark/>
          </w:tcPr>
          <w:p w14:paraId="65237A2F"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0.0172</w:t>
            </w:r>
          </w:p>
        </w:tc>
        <w:tc>
          <w:tcPr>
            <w:tcW w:w="830" w:type="dxa"/>
            <w:vAlign w:val="center"/>
            <w:hideMark/>
          </w:tcPr>
          <w:p w14:paraId="1D133D0F"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32.3092</w:t>
            </w:r>
          </w:p>
        </w:tc>
      </w:tr>
      <w:tr w:rsidR="00294D85" w:rsidRPr="00845CCA" w14:paraId="0B8911C4" w14:textId="77777777" w:rsidTr="00937755">
        <w:trPr>
          <w:trHeight w:val="72"/>
          <w:jc w:val="center"/>
        </w:trPr>
        <w:tc>
          <w:tcPr>
            <w:tcW w:w="5536" w:type="dxa"/>
            <w:vAlign w:val="center"/>
            <w:hideMark/>
          </w:tcPr>
          <w:p w14:paraId="369957A3"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Time period (1981-82 to 1983-84)</w:t>
            </w:r>
          </w:p>
        </w:tc>
        <w:tc>
          <w:tcPr>
            <w:tcW w:w="969" w:type="dxa"/>
            <w:vAlign w:val="center"/>
            <w:hideMark/>
          </w:tcPr>
          <w:p w14:paraId="33C3CECC"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- 0.1634</w:t>
            </w:r>
          </w:p>
        </w:tc>
        <w:tc>
          <w:tcPr>
            <w:tcW w:w="1523" w:type="dxa"/>
            <w:vAlign w:val="center"/>
            <w:hideMark/>
          </w:tcPr>
          <w:p w14:paraId="79E145FE"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0.0922</w:t>
            </w:r>
          </w:p>
        </w:tc>
        <w:tc>
          <w:tcPr>
            <w:tcW w:w="830" w:type="dxa"/>
            <w:vAlign w:val="center"/>
            <w:hideMark/>
          </w:tcPr>
          <w:p w14:paraId="524711F7"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- 1.7734</w:t>
            </w:r>
          </w:p>
        </w:tc>
      </w:tr>
      <w:tr w:rsidR="00294D85" w:rsidRPr="00845CCA" w14:paraId="16930D44" w14:textId="77777777" w:rsidTr="00937755">
        <w:trPr>
          <w:trHeight w:val="72"/>
          <w:jc w:val="center"/>
        </w:trPr>
        <w:tc>
          <w:tcPr>
            <w:tcW w:w="5536" w:type="dxa"/>
            <w:vAlign w:val="center"/>
            <w:hideMark/>
          </w:tcPr>
          <w:p w14:paraId="247B484C"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Time period (1984-85 to 1986-87)</w:t>
            </w:r>
          </w:p>
        </w:tc>
        <w:tc>
          <w:tcPr>
            <w:tcW w:w="969" w:type="dxa"/>
            <w:vAlign w:val="center"/>
            <w:hideMark/>
          </w:tcPr>
          <w:p w14:paraId="28915903"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0.1568</w:t>
            </w:r>
          </w:p>
        </w:tc>
        <w:tc>
          <w:tcPr>
            <w:tcW w:w="1523" w:type="dxa"/>
            <w:vAlign w:val="center"/>
            <w:hideMark/>
          </w:tcPr>
          <w:p w14:paraId="6B1093EA"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0.0925</w:t>
            </w:r>
          </w:p>
        </w:tc>
        <w:tc>
          <w:tcPr>
            <w:tcW w:w="830" w:type="dxa"/>
            <w:vAlign w:val="center"/>
            <w:hideMark/>
          </w:tcPr>
          <w:p w14:paraId="76077150"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1.6951</w:t>
            </w:r>
          </w:p>
        </w:tc>
      </w:tr>
    </w:tbl>
    <w:p w14:paraId="36A7F5BB" w14:textId="77777777" w:rsidR="00E4373B" w:rsidRDefault="00294D85" w:rsidP="00E4373B">
      <w:pPr>
        <w:tabs>
          <w:tab w:val="left" w:pos="2805"/>
        </w:tabs>
        <w:spacing w:after="0"/>
        <w:ind w:left="709"/>
        <w:rPr>
          <w:rFonts w:ascii="Times New Roman" w:hAnsi="Times New Roman" w:cs="Times New Roman"/>
          <w:sz w:val="18"/>
          <w:szCs w:val="18"/>
        </w:rPr>
      </w:pPr>
      <w:r w:rsidRPr="00845CCA">
        <w:rPr>
          <w:rFonts w:ascii="Times New Roman" w:hAnsi="Times New Roman" w:cs="Times New Roman"/>
          <w:sz w:val="18"/>
          <w:szCs w:val="18"/>
        </w:rPr>
        <w:t xml:space="preserve">R - Squared </w:t>
      </w:r>
      <w:r w:rsidR="00845CCA">
        <w:rPr>
          <w:rFonts w:ascii="Times New Roman" w:hAnsi="Times New Roman" w:cs="Times New Roman"/>
          <w:sz w:val="18"/>
          <w:szCs w:val="18"/>
        </w:rPr>
        <w:tab/>
      </w:r>
      <w:r w:rsidRPr="00845CCA">
        <w:rPr>
          <w:rFonts w:ascii="Times New Roman" w:hAnsi="Times New Roman" w:cs="Times New Roman"/>
          <w:sz w:val="18"/>
          <w:szCs w:val="18"/>
        </w:rPr>
        <w:t>0.8730</w:t>
      </w:r>
      <w:r w:rsidRP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Residual Sum of Squares </w:t>
      </w:r>
      <w:r w:rsid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0.7002</w:t>
      </w:r>
      <w:r w:rsidRPr="00845CCA">
        <w:rPr>
          <w:rFonts w:ascii="Times New Roman" w:hAnsi="Times New Roman" w:cs="Times New Roman"/>
          <w:sz w:val="18"/>
          <w:szCs w:val="18"/>
        </w:rPr>
        <w:br/>
        <w:t xml:space="preserve">R - Bar </w:t>
      </w:r>
      <w:r w:rsidR="00845CCA">
        <w:rPr>
          <w:rFonts w:ascii="Times New Roman" w:hAnsi="Times New Roman" w:cs="Times New Roman"/>
          <w:sz w:val="18"/>
          <w:szCs w:val="18"/>
        </w:rPr>
        <w:t>–</w:t>
      </w:r>
      <w:r w:rsidRPr="00845CCA">
        <w:rPr>
          <w:rFonts w:ascii="Times New Roman" w:hAnsi="Times New Roman" w:cs="Times New Roman"/>
          <w:sz w:val="18"/>
          <w:szCs w:val="18"/>
        </w:rPr>
        <w:t xml:space="preserve"> Squared</w:t>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0.8571 </w:t>
      </w:r>
      <w:r w:rsidRP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S.E. of Regression</w:t>
      </w:r>
      <w:r w:rsidR="00845CCA">
        <w:rPr>
          <w:rFonts w:ascii="Times New Roman" w:hAnsi="Times New Roman" w:cs="Times New Roman"/>
          <w:sz w:val="18"/>
          <w:szCs w:val="18"/>
        </w:rPr>
        <w:tab/>
      </w:r>
      <w:r w:rsid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0.1708</w:t>
      </w:r>
    </w:p>
    <w:p w14:paraId="559B3BC3" w14:textId="7E62FD9A" w:rsidR="00294D85" w:rsidRPr="00E4373B" w:rsidRDefault="00294D85" w:rsidP="00E4373B">
      <w:pPr>
        <w:tabs>
          <w:tab w:val="left" w:pos="2805"/>
        </w:tabs>
        <w:spacing w:after="0"/>
        <w:ind w:left="709"/>
        <w:jc w:val="center"/>
        <w:rPr>
          <w:rFonts w:ascii="Times New Roman" w:hAnsi="Times New Roman" w:cs="Times New Roman"/>
          <w:sz w:val="18"/>
          <w:szCs w:val="18"/>
        </w:rPr>
      </w:pPr>
      <w:r w:rsidRPr="00845CCA">
        <w:rPr>
          <w:rFonts w:ascii="Times New Roman" w:hAnsi="Times New Roman" w:cs="Times New Roman"/>
          <w:b/>
          <w:bCs/>
          <w:sz w:val="20"/>
          <w:szCs w:val="20"/>
        </w:rPr>
        <w:t>Diagnostic Tests</w:t>
      </w:r>
    </w:p>
    <w:tbl>
      <w:tblPr>
        <w:tblW w:w="8791" w:type="dxa"/>
        <w:jc w:val="center"/>
        <w:tblLook w:val="04A0" w:firstRow="1" w:lastRow="0" w:firstColumn="1" w:lastColumn="0" w:noHBand="0" w:noVBand="1"/>
      </w:tblPr>
      <w:tblGrid>
        <w:gridCol w:w="2753"/>
        <w:gridCol w:w="3450"/>
        <w:gridCol w:w="2588"/>
      </w:tblGrid>
      <w:tr w:rsidR="00C14A52" w:rsidRPr="00E4373B" w14:paraId="399AE015" w14:textId="77777777" w:rsidTr="00937755">
        <w:trPr>
          <w:trHeight w:val="75"/>
          <w:jc w:val="center"/>
        </w:trPr>
        <w:tc>
          <w:tcPr>
            <w:tcW w:w="2753" w:type="dxa"/>
            <w:tcBorders>
              <w:top w:val="single" w:sz="4" w:space="0" w:color="auto"/>
              <w:left w:val="single" w:sz="4" w:space="0" w:color="auto"/>
              <w:bottom w:val="single" w:sz="4" w:space="0" w:color="auto"/>
              <w:right w:val="single" w:sz="4" w:space="0" w:color="auto"/>
            </w:tcBorders>
            <w:vAlign w:val="center"/>
            <w:hideMark/>
          </w:tcPr>
          <w:p w14:paraId="449538F6" w14:textId="77777777" w:rsidR="00C14A52" w:rsidRPr="00E4373B" w:rsidRDefault="00C14A52"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E4373B">
              <w:rPr>
                <w:rFonts w:ascii="Times New Roman" w:eastAsia="Times New Roman" w:hAnsi="Times New Roman" w:cs="Times New Roman"/>
                <w:b/>
                <w:bCs/>
                <w:color w:val="000000"/>
                <w:kern w:val="0"/>
                <w:sz w:val="16"/>
                <w:szCs w:val="16"/>
                <w:lang w:eastAsia="en-IN" w:bidi="ar-SA"/>
                <w14:ligatures w14:val="none"/>
              </w:rPr>
              <w:t>Test Statistics</w:t>
            </w:r>
          </w:p>
        </w:tc>
        <w:tc>
          <w:tcPr>
            <w:tcW w:w="3450" w:type="dxa"/>
            <w:tcBorders>
              <w:top w:val="single" w:sz="4" w:space="0" w:color="auto"/>
              <w:left w:val="nil"/>
              <w:bottom w:val="single" w:sz="4" w:space="0" w:color="auto"/>
              <w:right w:val="single" w:sz="4" w:space="0" w:color="auto"/>
            </w:tcBorders>
            <w:vAlign w:val="center"/>
            <w:hideMark/>
          </w:tcPr>
          <w:p w14:paraId="2BB7126F" w14:textId="77777777" w:rsidR="00C14A52" w:rsidRPr="00E4373B" w:rsidRDefault="00C14A52"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E4373B">
              <w:rPr>
                <w:rFonts w:ascii="Times New Roman" w:eastAsia="Times New Roman" w:hAnsi="Times New Roman" w:cs="Times New Roman"/>
                <w:b/>
                <w:bCs/>
                <w:color w:val="000000"/>
                <w:kern w:val="0"/>
                <w:sz w:val="16"/>
                <w:szCs w:val="16"/>
                <w:lang w:eastAsia="en-IN" w:bidi="ar-SA"/>
                <w14:ligatures w14:val="none"/>
              </w:rPr>
              <w:t>LM Version</w:t>
            </w:r>
          </w:p>
        </w:tc>
        <w:tc>
          <w:tcPr>
            <w:tcW w:w="2588" w:type="dxa"/>
            <w:tcBorders>
              <w:top w:val="single" w:sz="4" w:space="0" w:color="auto"/>
              <w:left w:val="nil"/>
              <w:bottom w:val="single" w:sz="4" w:space="0" w:color="auto"/>
              <w:right w:val="single" w:sz="4" w:space="0" w:color="auto"/>
            </w:tcBorders>
            <w:vAlign w:val="center"/>
            <w:hideMark/>
          </w:tcPr>
          <w:p w14:paraId="294AE75F" w14:textId="77777777" w:rsidR="00C14A52" w:rsidRPr="00E4373B" w:rsidRDefault="00C14A52" w:rsidP="00845CCA">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E4373B">
              <w:rPr>
                <w:rFonts w:ascii="Times New Roman" w:eastAsia="Times New Roman" w:hAnsi="Times New Roman" w:cs="Times New Roman"/>
                <w:b/>
                <w:bCs/>
                <w:color w:val="000000"/>
                <w:kern w:val="0"/>
                <w:sz w:val="16"/>
                <w:szCs w:val="16"/>
                <w:lang w:eastAsia="en-IN" w:bidi="ar-SA"/>
                <w14:ligatures w14:val="none"/>
              </w:rPr>
              <w:t>F Version</w:t>
            </w:r>
          </w:p>
        </w:tc>
      </w:tr>
      <w:tr w:rsidR="00C14A52" w:rsidRPr="00E4373B" w14:paraId="4EB61758" w14:textId="77777777" w:rsidTr="00937755">
        <w:trPr>
          <w:trHeight w:val="75"/>
          <w:jc w:val="center"/>
        </w:trPr>
        <w:tc>
          <w:tcPr>
            <w:tcW w:w="2753" w:type="dxa"/>
            <w:tcBorders>
              <w:top w:val="nil"/>
              <w:left w:val="single" w:sz="4" w:space="0" w:color="auto"/>
              <w:bottom w:val="single" w:sz="4" w:space="0" w:color="auto"/>
              <w:right w:val="single" w:sz="4" w:space="0" w:color="auto"/>
            </w:tcBorders>
            <w:vAlign w:val="center"/>
            <w:hideMark/>
          </w:tcPr>
          <w:p w14:paraId="059364CB" w14:textId="77777777" w:rsidR="00C14A52" w:rsidRPr="00E4373B" w:rsidRDefault="00C14A52"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A: Serial Correlation</w:t>
            </w:r>
          </w:p>
        </w:tc>
        <w:tc>
          <w:tcPr>
            <w:tcW w:w="3450" w:type="dxa"/>
            <w:tcBorders>
              <w:top w:val="nil"/>
              <w:left w:val="nil"/>
              <w:bottom w:val="single" w:sz="4" w:space="0" w:color="auto"/>
              <w:right w:val="single" w:sz="4" w:space="0" w:color="auto"/>
            </w:tcBorders>
            <w:vAlign w:val="center"/>
            <w:hideMark/>
          </w:tcPr>
          <w:p w14:paraId="028E6716"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CHI-</w:t>
            </w:r>
            <w:proofErr w:type="gramStart"/>
            <w:r w:rsidRPr="00E4373B">
              <w:rPr>
                <w:rFonts w:ascii="Times New Roman" w:eastAsia="Times New Roman" w:hAnsi="Times New Roman" w:cs="Times New Roman"/>
                <w:color w:val="000000"/>
                <w:kern w:val="0"/>
                <w:sz w:val="16"/>
                <w:szCs w:val="16"/>
                <w:lang w:eastAsia="en-IN" w:bidi="ar-SA"/>
                <w14:ligatures w14:val="none"/>
              </w:rPr>
              <w:t>SQ(1)=</w:t>
            </w:r>
            <w:proofErr w:type="gramEnd"/>
            <w:r w:rsidRPr="00E4373B">
              <w:rPr>
                <w:rFonts w:ascii="Times New Roman" w:eastAsia="Times New Roman" w:hAnsi="Times New Roman" w:cs="Times New Roman"/>
                <w:color w:val="000000"/>
                <w:kern w:val="0"/>
                <w:sz w:val="16"/>
                <w:szCs w:val="16"/>
                <w:lang w:eastAsia="en-IN" w:bidi="ar-SA"/>
                <w14:ligatures w14:val="none"/>
              </w:rPr>
              <w:t>0.0019</w:t>
            </w:r>
          </w:p>
        </w:tc>
        <w:tc>
          <w:tcPr>
            <w:tcW w:w="2588" w:type="dxa"/>
            <w:tcBorders>
              <w:top w:val="nil"/>
              <w:left w:val="nil"/>
              <w:bottom w:val="single" w:sz="4" w:space="0" w:color="auto"/>
              <w:right w:val="single" w:sz="4" w:space="0" w:color="auto"/>
            </w:tcBorders>
            <w:vAlign w:val="center"/>
            <w:hideMark/>
          </w:tcPr>
          <w:p w14:paraId="2C157855"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proofErr w:type="gramStart"/>
            <w:r w:rsidRPr="00E4373B">
              <w:rPr>
                <w:rFonts w:ascii="Times New Roman" w:eastAsia="Times New Roman" w:hAnsi="Times New Roman" w:cs="Times New Roman"/>
                <w:color w:val="000000"/>
                <w:kern w:val="0"/>
                <w:sz w:val="16"/>
                <w:szCs w:val="16"/>
                <w:lang w:eastAsia="en-IN" w:bidi="ar-SA"/>
                <w14:ligatures w14:val="none"/>
              </w:rPr>
              <w:t>F(</w:t>
            </w:r>
            <w:proofErr w:type="gramEnd"/>
            <w:r w:rsidRPr="00E4373B">
              <w:rPr>
                <w:rFonts w:ascii="Times New Roman" w:eastAsia="Times New Roman" w:hAnsi="Times New Roman" w:cs="Times New Roman"/>
                <w:color w:val="000000"/>
                <w:kern w:val="0"/>
                <w:sz w:val="16"/>
                <w:szCs w:val="16"/>
                <w:lang w:eastAsia="en-IN" w:bidi="ar-SA"/>
                <w14:ligatures w14:val="none"/>
              </w:rPr>
              <w:t>1, 23) =0.0015</w:t>
            </w:r>
          </w:p>
        </w:tc>
      </w:tr>
      <w:tr w:rsidR="00C14A52" w:rsidRPr="00E4373B" w14:paraId="035A2E0B" w14:textId="77777777" w:rsidTr="00937755">
        <w:trPr>
          <w:trHeight w:val="75"/>
          <w:jc w:val="center"/>
        </w:trPr>
        <w:tc>
          <w:tcPr>
            <w:tcW w:w="2753" w:type="dxa"/>
            <w:tcBorders>
              <w:top w:val="nil"/>
              <w:left w:val="single" w:sz="4" w:space="0" w:color="auto"/>
              <w:bottom w:val="single" w:sz="4" w:space="0" w:color="auto"/>
              <w:right w:val="single" w:sz="4" w:space="0" w:color="auto"/>
            </w:tcBorders>
            <w:vAlign w:val="center"/>
            <w:hideMark/>
          </w:tcPr>
          <w:p w14:paraId="3AAA59DE" w14:textId="77777777" w:rsidR="00C14A52" w:rsidRPr="00E4373B" w:rsidRDefault="00C14A52"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B: Functional Form</w:t>
            </w:r>
          </w:p>
        </w:tc>
        <w:tc>
          <w:tcPr>
            <w:tcW w:w="3450" w:type="dxa"/>
            <w:tcBorders>
              <w:top w:val="nil"/>
              <w:left w:val="nil"/>
              <w:bottom w:val="single" w:sz="4" w:space="0" w:color="auto"/>
              <w:right w:val="single" w:sz="4" w:space="0" w:color="auto"/>
            </w:tcBorders>
            <w:vAlign w:val="center"/>
            <w:hideMark/>
          </w:tcPr>
          <w:p w14:paraId="34467DC1"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CHI-</w:t>
            </w:r>
            <w:proofErr w:type="gramStart"/>
            <w:r w:rsidRPr="00E4373B">
              <w:rPr>
                <w:rFonts w:ascii="Times New Roman" w:eastAsia="Times New Roman" w:hAnsi="Times New Roman" w:cs="Times New Roman"/>
                <w:color w:val="000000"/>
                <w:kern w:val="0"/>
                <w:sz w:val="16"/>
                <w:szCs w:val="16"/>
                <w:lang w:eastAsia="en-IN" w:bidi="ar-SA"/>
                <w14:ligatures w14:val="none"/>
              </w:rPr>
              <w:t>SQ(1)=</w:t>
            </w:r>
            <w:proofErr w:type="gramEnd"/>
            <w:r w:rsidRPr="00E4373B">
              <w:rPr>
                <w:rFonts w:ascii="Times New Roman" w:eastAsia="Times New Roman" w:hAnsi="Times New Roman" w:cs="Times New Roman"/>
                <w:color w:val="000000"/>
                <w:kern w:val="0"/>
                <w:sz w:val="16"/>
                <w:szCs w:val="16"/>
                <w:lang w:eastAsia="en-IN" w:bidi="ar-SA"/>
                <w14:ligatures w14:val="none"/>
              </w:rPr>
              <w:t>11.8344</w:t>
            </w:r>
          </w:p>
        </w:tc>
        <w:tc>
          <w:tcPr>
            <w:tcW w:w="2588" w:type="dxa"/>
            <w:tcBorders>
              <w:top w:val="nil"/>
              <w:left w:val="nil"/>
              <w:bottom w:val="single" w:sz="4" w:space="0" w:color="auto"/>
              <w:right w:val="single" w:sz="4" w:space="0" w:color="auto"/>
            </w:tcBorders>
            <w:vAlign w:val="center"/>
            <w:hideMark/>
          </w:tcPr>
          <w:p w14:paraId="0F53225E"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proofErr w:type="gramStart"/>
            <w:r w:rsidRPr="00E4373B">
              <w:rPr>
                <w:rFonts w:ascii="Times New Roman" w:eastAsia="Times New Roman" w:hAnsi="Times New Roman" w:cs="Times New Roman"/>
                <w:color w:val="000000"/>
                <w:kern w:val="0"/>
                <w:sz w:val="16"/>
                <w:szCs w:val="16"/>
                <w:lang w:eastAsia="en-IN" w:bidi="ar-SA"/>
                <w14:ligatures w14:val="none"/>
              </w:rPr>
              <w:t>F(</w:t>
            </w:r>
            <w:proofErr w:type="gramEnd"/>
            <w:r w:rsidRPr="00E4373B">
              <w:rPr>
                <w:rFonts w:ascii="Times New Roman" w:eastAsia="Times New Roman" w:hAnsi="Times New Roman" w:cs="Times New Roman"/>
                <w:color w:val="000000"/>
                <w:kern w:val="0"/>
                <w:sz w:val="16"/>
                <w:szCs w:val="16"/>
                <w:lang w:eastAsia="en-IN" w:bidi="ar-SA"/>
                <w14:ligatures w14:val="none"/>
              </w:rPr>
              <w:t>1, 23) =16.8376</w:t>
            </w:r>
          </w:p>
        </w:tc>
      </w:tr>
      <w:tr w:rsidR="00C14A52" w:rsidRPr="00E4373B" w14:paraId="7E95B49C" w14:textId="77777777" w:rsidTr="00937755">
        <w:trPr>
          <w:trHeight w:val="75"/>
          <w:jc w:val="center"/>
        </w:trPr>
        <w:tc>
          <w:tcPr>
            <w:tcW w:w="2753" w:type="dxa"/>
            <w:tcBorders>
              <w:top w:val="nil"/>
              <w:left w:val="single" w:sz="4" w:space="0" w:color="auto"/>
              <w:bottom w:val="single" w:sz="4" w:space="0" w:color="auto"/>
              <w:right w:val="single" w:sz="4" w:space="0" w:color="auto"/>
            </w:tcBorders>
            <w:vAlign w:val="center"/>
            <w:hideMark/>
          </w:tcPr>
          <w:p w14:paraId="35A510D2" w14:textId="77777777" w:rsidR="00C14A52" w:rsidRPr="00E4373B" w:rsidRDefault="00C14A52"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C: Normality</w:t>
            </w:r>
          </w:p>
        </w:tc>
        <w:tc>
          <w:tcPr>
            <w:tcW w:w="3450" w:type="dxa"/>
            <w:tcBorders>
              <w:top w:val="nil"/>
              <w:left w:val="nil"/>
              <w:bottom w:val="single" w:sz="4" w:space="0" w:color="auto"/>
              <w:right w:val="single" w:sz="4" w:space="0" w:color="auto"/>
            </w:tcBorders>
            <w:vAlign w:val="center"/>
            <w:hideMark/>
          </w:tcPr>
          <w:p w14:paraId="1883244E"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CHI-</w:t>
            </w:r>
            <w:proofErr w:type="gramStart"/>
            <w:r w:rsidRPr="00E4373B">
              <w:rPr>
                <w:rFonts w:ascii="Times New Roman" w:eastAsia="Times New Roman" w:hAnsi="Times New Roman" w:cs="Times New Roman"/>
                <w:color w:val="000000"/>
                <w:kern w:val="0"/>
                <w:sz w:val="16"/>
                <w:szCs w:val="16"/>
                <w:lang w:eastAsia="en-IN" w:bidi="ar-SA"/>
                <w14:ligatures w14:val="none"/>
              </w:rPr>
              <w:t>SQ(2)=</w:t>
            </w:r>
            <w:proofErr w:type="gramEnd"/>
            <w:r w:rsidRPr="00E4373B">
              <w:rPr>
                <w:rFonts w:ascii="Times New Roman" w:eastAsia="Times New Roman" w:hAnsi="Times New Roman" w:cs="Times New Roman"/>
                <w:color w:val="000000"/>
                <w:kern w:val="0"/>
                <w:sz w:val="16"/>
                <w:szCs w:val="16"/>
                <w:lang w:eastAsia="en-IN" w:bidi="ar-SA"/>
                <w14:ligatures w14:val="none"/>
              </w:rPr>
              <w:t>0.5582</w:t>
            </w:r>
          </w:p>
        </w:tc>
        <w:tc>
          <w:tcPr>
            <w:tcW w:w="2588" w:type="dxa"/>
            <w:tcBorders>
              <w:top w:val="nil"/>
              <w:left w:val="nil"/>
              <w:bottom w:val="single" w:sz="4" w:space="0" w:color="auto"/>
              <w:right w:val="single" w:sz="4" w:space="0" w:color="auto"/>
            </w:tcBorders>
            <w:vAlign w:val="center"/>
            <w:hideMark/>
          </w:tcPr>
          <w:p w14:paraId="7A1479E8"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Not Applicable</w:t>
            </w:r>
          </w:p>
        </w:tc>
      </w:tr>
      <w:tr w:rsidR="00C14A52" w:rsidRPr="00E4373B" w14:paraId="09B9FC3F" w14:textId="77777777" w:rsidTr="00937755">
        <w:trPr>
          <w:trHeight w:val="75"/>
          <w:jc w:val="center"/>
        </w:trPr>
        <w:tc>
          <w:tcPr>
            <w:tcW w:w="2753" w:type="dxa"/>
            <w:tcBorders>
              <w:top w:val="nil"/>
              <w:left w:val="single" w:sz="4" w:space="0" w:color="auto"/>
              <w:bottom w:val="single" w:sz="4" w:space="0" w:color="auto"/>
              <w:right w:val="single" w:sz="4" w:space="0" w:color="auto"/>
            </w:tcBorders>
            <w:vAlign w:val="center"/>
            <w:hideMark/>
          </w:tcPr>
          <w:p w14:paraId="503EC446" w14:textId="77777777" w:rsidR="00C14A52" w:rsidRPr="00E4373B" w:rsidRDefault="00C14A52" w:rsidP="00845CCA">
            <w:pPr>
              <w:spacing w:after="0" w:line="240" w:lineRule="auto"/>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D: Heteroscedasticity</w:t>
            </w:r>
          </w:p>
        </w:tc>
        <w:tc>
          <w:tcPr>
            <w:tcW w:w="3450" w:type="dxa"/>
            <w:tcBorders>
              <w:top w:val="nil"/>
              <w:left w:val="nil"/>
              <w:bottom w:val="single" w:sz="4" w:space="0" w:color="auto"/>
              <w:right w:val="single" w:sz="4" w:space="0" w:color="auto"/>
            </w:tcBorders>
            <w:vAlign w:val="center"/>
            <w:hideMark/>
          </w:tcPr>
          <w:p w14:paraId="12FC9829"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E4373B">
              <w:rPr>
                <w:rFonts w:ascii="Times New Roman" w:eastAsia="Times New Roman" w:hAnsi="Times New Roman" w:cs="Times New Roman"/>
                <w:color w:val="000000"/>
                <w:kern w:val="0"/>
                <w:sz w:val="16"/>
                <w:szCs w:val="16"/>
                <w:lang w:eastAsia="en-IN" w:bidi="ar-SA"/>
                <w14:ligatures w14:val="none"/>
              </w:rPr>
              <w:t>CHI-</w:t>
            </w:r>
            <w:proofErr w:type="gramStart"/>
            <w:r w:rsidRPr="00E4373B">
              <w:rPr>
                <w:rFonts w:ascii="Times New Roman" w:eastAsia="Times New Roman" w:hAnsi="Times New Roman" w:cs="Times New Roman"/>
                <w:color w:val="000000"/>
                <w:kern w:val="0"/>
                <w:sz w:val="16"/>
                <w:szCs w:val="16"/>
                <w:lang w:eastAsia="en-IN" w:bidi="ar-SA"/>
                <w14:ligatures w14:val="none"/>
              </w:rPr>
              <w:t>SQ(1)=</w:t>
            </w:r>
            <w:proofErr w:type="gramEnd"/>
            <w:r w:rsidRPr="00E4373B">
              <w:rPr>
                <w:rFonts w:ascii="Times New Roman" w:eastAsia="Times New Roman" w:hAnsi="Times New Roman" w:cs="Times New Roman"/>
                <w:color w:val="000000"/>
                <w:kern w:val="0"/>
                <w:sz w:val="16"/>
                <w:szCs w:val="16"/>
                <w:lang w:eastAsia="en-IN" w:bidi="ar-SA"/>
                <w14:ligatures w14:val="none"/>
              </w:rPr>
              <w:t>0.0631</w:t>
            </w:r>
          </w:p>
        </w:tc>
        <w:tc>
          <w:tcPr>
            <w:tcW w:w="2588" w:type="dxa"/>
            <w:tcBorders>
              <w:top w:val="nil"/>
              <w:left w:val="nil"/>
              <w:bottom w:val="single" w:sz="4" w:space="0" w:color="auto"/>
              <w:right w:val="single" w:sz="4" w:space="0" w:color="auto"/>
            </w:tcBorders>
            <w:vAlign w:val="center"/>
            <w:hideMark/>
          </w:tcPr>
          <w:p w14:paraId="7F66117E" w14:textId="77777777" w:rsidR="00C14A52" w:rsidRPr="00E4373B" w:rsidRDefault="00C14A52" w:rsidP="00845CCA">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proofErr w:type="gramStart"/>
            <w:r w:rsidRPr="00E4373B">
              <w:rPr>
                <w:rFonts w:ascii="Times New Roman" w:eastAsia="Times New Roman" w:hAnsi="Times New Roman" w:cs="Times New Roman"/>
                <w:color w:val="000000"/>
                <w:kern w:val="0"/>
                <w:sz w:val="16"/>
                <w:szCs w:val="16"/>
                <w:lang w:eastAsia="en-IN" w:bidi="ar-SA"/>
                <w14:ligatures w14:val="none"/>
              </w:rPr>
              <w:t>F(</w:t>
            </w:r>
            <w:proofErr w:type="gramEnd"/>
            <w:r w:rsidRPr="00E4373B">
              <w:rPr>
                <w:rFonts w:ascii="Times New Roman" w:eastAsia="Times New Roman" w:hAnsi="Times New Roman" w:cs="Times New Roman"/>
                <w:color w:val="000000"/>
                <w:kern w:val="0"/>
                <w:sz w:val="16"/>
                <w:szCs w:val="16"/>
                <w:lang w:eastAsia="en-IN" w:bidi="ar-SA"/>
                <w14:ligatures w14:val="none"/>
              </w:rPr>
              <w:t>1, 26) =0.0587</w:t>
            </w:r>
          </w:p>
        </w:tc>
      </w:tr>
    </w:tbl>
    <w:p w14:paraId="61A0FF54" w14:textId="77777777" w:rsidR="003E2907" w:rsidRDefault="003E2907" w:rsidP="00E4373B">
      <w:pPr>
        <w:tabs>
          <w:tab w:val="left" w:pos="2805"/>
        </w:tabs>
        <w:spacing w:after="0"/>
        <w:jc w:val="center"/>
        <w:rPr>
          <w:rFonts w:ascii="Times New Roman" w:hAnsi="Times New Roman" w:cs="Times New Roman"/>
          <w:b/>
          <w:bCs/>
          <w:sz w:val="22"/>
          <w:szCs w:val="22"/>
        </w:rPr>
      </w:pPr>
    </w:p>
    <w:p w14:paraId="6CEC3838" w14:textId="1F3F7CBC" w:rsidR="00340245" w:rsidRPr="003E2907" w:rsidRDefault="00294D85" w:rsidP="00E4373B">
      <w:pPr>
        <w:tabs>
          <w:tab w:val="left" w:pos="2805"/>
        </w:tabs>
        <w:spacing w:after="0"/>
        <w:jc w:val="center"/>
        <w:rPr>
          <w:rFonts w:ascii="Times New Roman" w:hAnsi="Times New Roman" w:cs="Times New Roman"/>
          <w:b/>
          <w:bCs/>
          <w:sz w:val="22"/>
          <w:szCs w:val="22"/>
        </w:rPr>
      </w:pPr>
      <w:r w:rsidRPr="003E2907">
        <w:rPr>
          <w:rFonts w:ascii="Times New Roman" w:hAnsi="Times New Roman" w:cs="Times New Roman"/>
          <w:b/>
          <w:bCs/>
          <w:sz w:val="22"/>
          <w:szCs w:val="22"/>
        </w:rPr>
        <w:t>Regression Results</w:t>
      </w:r>
    </w:p>
    <w:p w14:paraId="720CB72B" w14:textId="77777777" w:rsidR="00595226" w:rsidRDefault="00595226" w:rsidP="00E4373B">
      <w:pPr>
        <w:tabs>
          <w:tab w:val="left" w:pos="2805"/>
        </w:tabs>
        <w:spacing w:after="0"/>
        <w:ind w:firstLine="709"/>
        <w:rPr>
          <w:rFonts w:ascii="Times New Roman" w:hAnsi="Times New Roman" w:cs="Times New Roman"/>
          <w:sz w:val="18"/>
          <w:szCs w:val="18"/>
        </w:rPr>
      </w:pPr>
    </w:p>
    <w:p w14:paraId="4C41E3CF" w14:textId="00740A4C" w:rsidR="00294D85" w:rsidRPr="00845CCA" w:rsidRDefault="00294D85" w:rsidP="00E4373B">
      <w:pPr>
        <w:tabs>
          <w:tab w:val="left" w:pos="2805"/>
        </w:tabs>
        <w:spacing w:after="0"/>
        <w:ind w:firstLine="709"/>
        <w:rPr>
          <w:rFonts w:ascii="Times New Roman" w:hAnsi="Times New Roman" w:cs="Times New Roman"/>
          <w:sz w:val="18"/>
          <w:szCs w:val="18"/>
        </w:rPr>
      </w:pPr>
      <w:r w:rsidRPr="00845CCA">
        <w:rPr>
          <w:rFonts w:ascii="Times New Roman" w:hAnsi="Times New Roman" w:cs="Times New Roman"/>
          <w:sz w:val="18"/>
          <w:szCs w:val="18"/>
        </w:rPr>
        <w:t>Dependent Variable</w:t>
      </w:r>
      <w:r w:rsidRPr="00845CCA">
        <w:rPr>
          <w:rFonts w:ascii="Times New Roman" w:hAnsi="Times New Roman" w:cs="Times New Roman"/>
          <w:sz w:val="18"/>
          <w:szCs w:val="18"/>
        </w:rPr>
        <w:tab/>
      </w:r>
      <w:r w:rsidRPr="00845CCA">
        <w:rPr>
          <w:rFonts w:ascii="Times New Roman" w:hAnsi="Times New Roman" w:cs="Times New Roman"/>
          <w:sz w:val="18"/>
          <w:szCs w:val="18"/>
        </w:rPr>
        <w:tab/>
        <w:t xml:space="preserve">   </w:t>
      </w:r>
      <w:r w:rsidR="00595226">
        <w:rPr>
          <w:rFonts w:ascii="Times New Roman" w:hAnsi="Times New Roman" w:cs="Times New Roman"/>
          <w:sz w:val="18"/>
          <w:szCs w:val="18"/>
        </w:rPr>
        <w:tab/>
      </w:r>
      <w:r w:rsidR="00595226">
        <w:rPr>
          <w:rFonts w:ascii="Times New Roman" w:hAnsi="Times New Roman" w:cs="Times New Roman"/>
          <w:sz w:val="18"/>
          <w:szCs w:val="18"/>
        </w:rPr>
        <w:tab/>
      </w:r>
      <w:r w:rsidR="00595226">
        <w:rPr>
          <w:rFonts w:ascii="Times New Roman" w:hAnsi="Times New Roman" w:cs="Times New Roman"/>
          <w:sz w:val="18"/>
          <w:szCs w:val="18"/>
        </w:rPr>
        <w:tab/>
      </w:r>
      <w:r w:rsidRPr="00845CCA">
        <w:rPr>
          <w:rFonts w:ascii="Times New Roman" w:hAnsi="Times New Roman" w:cs="Times New Roman"/>
          <w:sz w:val="18"/>
          <w:szCs w:val="18"/>
        </w:rPr>
        <w:t>Per Capita Expenditure on Administration of Justice</w:t>
      </w:r>
    </w:p>
    <w:p w14:paraId="16CD5CB6" w14:textId="7EBBC5E5" w:rsidR="00294D85" w:rsidRPr="00845CCA" w:rsidRDefault="00294D85" w:rsidP="00E4373B">
      <w:pPr>
        <w:tabs>
          <w:tab w:val="left" w:pos="2805"/>
        </w:tabs>
        <w:spacing w:after="0"/>
        <w:ind w:firstLine="709"/>
        <w:rPr>
          <w:rFonts w:ascii="Times New Roman" w:hAnsi="Times New Roman" w:cs="Times New Roman"/>
          <w:sz w:val="18"/>
          <w:szCs w:val="18"/>
        </w:rPr>
      </w:pPr>
      <w:r w:rsidRPr="00845CCA">
        <w:rPr>
          <w:rFonts w:ascii="Times New Roman" w:hAnsi="Times New Roman" w:cs="Times New Roman"/>
          <w:sz w:val="18"/>
          <w:szCs w:val="18"/>
        </w:rPr>
        <w:t xml:space="preserve">Number Of Observations 28   </w:t>
      </w:r>
      <w:r w:rsidR="00845CCA">
        <w:rPr>
          <w:rFonts w:ascii="Times New Roman" w:hAnsi="Times New Roman" w:cs="Times New Roman"/>
          <w:sz w:val="18"/>
          <w:szCs w:val="18"/>
        </w:rPr>
        <w:tab/>
      </w:r>
      <w:proofErr w:type="gramStart"/>
      <w:r w:rsidR="00845CCA">
        <w:rPr>
          <w:rFonts w:ascii="Times New Roman" w:hAnsi="Times New Roman" w:cs="Times New Roman"/>
          <w:sz w:val="18"/>
          <w:szCs w:val="18"/>
        </w:rPr>
        <w:tab/>
        <w:t xml:space="preserve">  </w:t>
      </w:r>
      <w:r w:rsidR="00595226">
        <w:rPr>
          <w:rFonts w:ascii="Times New Roman" w:hAnsi="Times New Roman" w:cs="Times New Roman"/>
          <w:sz w:val="18"/>
          <w:szCs w:val="18"/>
        </w:rPr>
        <w:tab/>
      </w:r>
      <w:proofErr w:type="gramEnd"/>
      <w:r w:rsidRPr="00845CCA">
        <w:rPr>
          <w:rFonts w:ascii="Times New Roman" w:hAnsi="Times New Roman" w:cs="Times New Roman"/>
          <w:sz w:val="18"/>
          <w:szCs w:val="18"/>
        </w:rPr>
        <w:t xml:space="preserve">Degrees </w:t>
      </w:r>
      <w:proofErr w:type="gramStart"/>
      <w:r w:rsidRPr="00845CCA">
        <w:rPr>
          <w:rFonts w:ascii="Times New Roman" w:hAnsi="Times New Roman" w:cs="Times New Roman"/>
          <w:sz w:val="18"/>
          <w:szCs w:val="18"/>
        </w:rPr>
        <w:t>Of</w:t>
      </w:r>
      <w:proofErr w:type="gramEnd"/>
      <w:r w:rsidRPr="00845CCA">
        <w:rPr>
          <w:rFonts w:ascii="Times New Roman" w:hAnsi="Times New Roman" w:cs="Times New Roman"/>
          <w:sz w:val="18"/>
          <w:szCs w:val="18"/>
        </w:rPr>
        <w:t xml:space="preserve"> Freedom 21</w:t>
      </w:r>
    </w:p>
    <w:tbl>
      <w:tblPr>
        <w:tblStyle w:val="TableGrid"/>
        <w:tblW w:w="8807" w:type="dxa"/>
        <w:jc w:val="center"/>
        <w:tblLook w:val="04A0" w:firstRow="1" w:lastRow="0" w:firstColumn="1" w:lastColumn="0" w:noHBand="0" w:noVBand="1"/>
      </w:tblPr>
      <w:tblGrid>
        <w:gridCol w:w="5399"/>
        <w:gridCol w:w="1064"/>
        <w:gridCol w:w="1430"/>
        <w:gridCol w:w="914"/>
      </w:tblGrid>
      <w:tr w:rsidR="00294D85" w:rsidRPr="00845CCA" w14:paraId="74FD36EF" w14:textId="77777777" w:rsidTr="00937755">
        <w:trPr>
          <w:trHeight w:val="64"/>
          <w:jc w:val="center"/>
        </w:trPr>
        <w:tc>
          <w:tcPr>
            <w:tcW w:w="5398" w:type="dxa"/>
            <w:vAlign w:val="center"/>
            <w:hideMark/>
          </w:tcPr>
          <w:p w14:paraId="5F6A63CB"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Regressor</w:t>
            </w:r>
          </w:p>
        </w:tc>
        <w:tc>
          <w:tcPr>
            <w:tcW w:w="0" w:type="auto"/>
            <w:vAlign w:val="center"/>
            <w:hideMark/>
          </w:tcPr>
          <w:p w14:paraId="0F834CFF"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Coefficient</w:t>
            </w:r>
          </w:p>
        </w:tc>
        <w:tc>
          <w:tcPr>
            <w:tcW w:w="0" w:type="auto"/>
            <w:vAlign w:val="center"/>
            <w:hideMark/>
          </w:tcPr>
          <w:p w14:paraId="3B2D9BD8"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Standard Error</w:t>
            </w:r>
          </w:p>
        </w:tc>
        <w:tc>
          <w:tcPr>
            <w:tcW w:w="0" w:type="auto"/>
            <w:vAlign w:val="center"/>
            <w:hideMark/>
          </w:tcPr>
          <w:p w14:paraId="5FC072B3"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T - Ratio</w:t>
            </w:r>
          </w:p>
        </w:tc>
      </w:tr>
      <w:tr w:rsidR="00294D85" w:rsidRPr="00845CCA" w14:paraId="02E9A4E5" w14:textId="77777777" w:rsidTr="00937755">
        <w:trPr>
          <w:trHeight w:val="64"/>
          <w:jc w:val="center"/>
        </w:trPr>
        <w:tc>
          <w:tcPr>
            <w:tcW w:w="5398" w:type="dxa"/>
            <w:vAlign w:val="center"/>
            <w:hideMark/>
          </w:tcPr>
          <w:p w14:paraId="31315CF8"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1 Number of Standard Employees for Administration of Justice per 1000 population</w:t>
            </w:r>
          </w:p>
        </w:tc>
        <w:tc>
          <w:tcPr>
            <w:tcW w:w="0" w:type="auto"/>
            <w:vAlign w:val="center"/>
            <w:hideMark/>
          </w:tcPr>
          <w:p w14:paraId="4DC87088"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0.5482</w:t>
            </w:r>
          </w:p>
        </w:tc>
        <w:tc>
          <w:tcPr>
            <w:tcW w:w="0" w:type="auto"/>
            <w:vAlign w:val="center"/>
            <w:hideMark/>
          </w:tcPr>
          <w:p w14:paraId="1D91F477"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0.0792</w:t>
            </w:r>
          </w:p>
        </w:tc>
        <w:tc>
          <w:tcPr>
            <w:tcW w:w="0" w:type="auto"/>
            <w:vAlign w:val="center"/>
            <w:hideMark/>
          </w:tcPr>
          <w:p w14:paraId="035C31A8"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6.9210</w:t>
            </w:r>
          </w:p>
        </w:tc>
      </w:tr>
      <w:tr w:rsidR="00294D85" w:rsidRPr="00845CCA" w14:paraId="53F9FC8C" w14:textId="77777777" w:rsidTr="00937755">
        <w:trPr>
          <w:trHeight w:val="64"/>
          <w:jc w:val="center"/>
        </w:trPr>
        <w:tc>
          <w:tcPr>
            <w:tcW w:w="5398" w:type="dxa"/>
            <w:vAlign w:val="center"/>
            <w:hideMark/>
          </w:tcPr>
          <w:p w14:paraId="586794C5"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 xml:space="preserve">2 Number of cases disposed </w:t>
            </w:r>
            <w:proofErr w:type="spellStart"/>
            <w:r w:rsidRPr="00845CCA">
              <w:rPr>
                <w:rFonts w:ascii="Times New Roman" w:hAnsi="Times New Roman" w:cs="Times New Roman"/>
                <w:sz w:val="16"/>
                <w:szCs w:val="16"/>
              </w:rPr>
              <w:t>off</w:t>
            </w:r>
            <w:proofErr w:type="spellEnd"/>
            <w:r w:rsidRPr="00845CCA">
              <w:rPr>
                <w:rFonts w:ascii="Times New Roman" w:hAnsi="Times New Roman" w:cs="Times New Roman"/>
                <w:sz w:val="16"/>
                <w:szCs w:val="16"/>
              </w:rPr>
              <w:t xml:space="preserve"> per judge</w:t>
            </w:r>
          </w:p>
        </w:tc>
        <w:tc>
          <w:tcPr>
            <w:tcW w:w="0" w:type="auto"/>
            <w:vAlign w:val="center"/>
            <w:hideMark/>
          </w:tcPr>
          <w:p w14:paraId="18C3308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- 0.2066</w:t>
            </w:r>
          </w:p>
        </w:tc>
        <w:tc>
          <w:tcPr>
            <w:tcW w:w="0" w:type="auto"/>
            <w:vAlign w:val="center"/>
            <w:hideMark/>
          </w:tcPr>
          <w:p w14:paraId="13293ED4"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0.0498</w:t>
            </w:r>
          </w:p>
        </w:tc>
        <w:tc>
          <w:tcPr>
            <w:tcW w:w="0" w:type="auto"/>
            <w:vAlign w:val="center"/>
            <w:hideMark/>
          </w:tcPr>
          <w:p w14:paraId="305BFCB2"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- 4.1465</w:t>
            </w:r>
          </w:p>
        </w:tc>
      </w:tr>
      <w:tr w:rsidR="00294D85" w:rsidRPr="00845CCA" w14:paraId="39194A4F" w14:textId="77777777" w:rsidTr="00937755">
        <w:trPr>
          <w:trHeight w:val="64"/>
          <w:jc w:val="center"/>
        </w:trPr>
        <w:tc>
          <w:tcPr>
            <w:tcW w:w="5398" w:type="dxa"/>
            <w:vAlign w:val="center"/>
            <w:hideMark/>
          </w:tcPr>
          <w:p w14:paraId="385A766E"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3 Price differences</w:t>
            </w:r>
          </w:p>
        </w:tc>
        <w:tc>
          <w:tcPr>
            <w:tcW w:w="0" w:type="auto"/>
            <w:vAlign w:val="center"/>
            <w:hideMark/>
          </w:tcPr>
          <w:p w14:paraId="017E1F33"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0.8685</w:t>
            </w:r>
          </w:p>
        </w:tc>
        <w:tc>
          <w:tcPr>
            <w:tcW w:w="0" w:type="auto"/>
            <w:vAlign w:val="center"/>
            <w:hideMark/>
          </w:tcPr>
          <w:p w14:paraId="5E7F94B5"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0.1012</w:t>
            </w:r>
          </w:p>
        </w:tc>
        <w:tc>
          <w:tcPr>
            <w:tcW w:w="0" w:type="auto"/>
            <w:vAlign w:val="center"/>
            <w:hideMark/>
          </w:tcPr>
          <w:p w14:paraId="5F78D1E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8.5789</w:t>
            </w:r>
          </w:p>
        </w:tc>
      </w:tr>
      <w:tr w:rsidR="00294D85" w:rsidRPr="00845CCA" w14:paraId="48B672A2" w14:textId="77777777" w:rsidTr="00937755">
        <w:trPr>
          <w:trHeight w:val="64"/>
          <w:jc w:val="center"/>
        </w:trPr>
        <w:tc>
          <w:tcPr>
            <w:tcW w:w="5398" w:type="dxa"/>
            <w:vAlign w:val="center"/>
            <w:hideMark/>
          </w:tcPr>
          <w:p w14:paraId="1A4485CE"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4 Proportion of urban population to total population</w:t>
            </w:r>
          </w:p>
        </w:tc>
        <w:tc>
          <w:tcPr>
            <w:tcW w:w="0" w:type="auto"/>
            <w:vAlign w:val="center"/>
            <w:hideMark/>
          </w:tcPr>
          <w:p w14:paraId="51CDDFCA"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0.5430</w:t>
            </w:r>
          </w:p>
        </w:tc>
        <w:tc>
          <w:tcPr>
            <w:tcW w:w="0" w:type="auto"/>
            <w:vAlign w:val="center"/>
            <w:hideMark/>
          </w:tcPr>
          <w:p w14:paraId="620F2BD0"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0.1200</w:t>
            </w:r>
          </w:p>
        </w:tc>
        <w:tc>
          <w:tcPr>
            <w:tcW w:w="0" w:type="auto"/>
            <w:vAlign w:val="center"/>
            <w:hideMark/>
          </w:tcPr>
          <w:p w14:paraId="7B10A5D2"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4.5245</w:t>
            </w:r>
          </w:p>
        </w:tc>
      </w:tr>
      <w:tr w:rsidR="00294D85" w:rsidRPr="00845CCA" w14:paraId="5CB4E09B" w14:textId="77777777" w:rsidTr="00937755">
        <w:trPr>
          <w:trHeight w:val="64"/>
          <w:jc w:val="center"/>
        </w:trPr>
        <w:tc>
          <w:tcPr>
            <w:tcW w:w="5398" w:type="dxa"/>
            <w:vAlign w:val="center"/>
            <w:hideMark/>
          </w:tcPr>
          <w:p w14:paraId="1A5888BF"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5 Proportion of population in hill/desert areas</w:t>
            </w:r>
          </w:p>
        </w:tc>
        <w:tc>
          <w:tcPr>
            <w:tcW w:w="0" w:type="auto"/>
            <w:vAlign w:val="center"/>
            <w:hideMark/>
          </w:tcPr>
          <w:p w14:paraId="5182BD5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0.0024</w:t>
            </w:r>
          </w:p>
        </w:tc>
        <w:tc>
          <w:tcPr>
            <w:tcW w:w="0" w:type="auto"/>
            <w:vAlign w:val="center"/>
            <w:hideMark/>
          </w:tcPr>
          <w:p w14:paraId="1FA65DB1"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0.0027</w:t>
            </w:r>
          </w:p>
        </w:tc>
        <w:tc>
          <w:tcPr>
            <w:tcW w:w="0" w:type="auto"/>
            <w:vAlign w:val="center"/>
            <w:hideMark/>
          </w:tcPr>
          <w:p w14:paraId="4C6513C9"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0.8719</w:t>
            </w:r>
          </w:p>
        </w:tc>
      </w:tr>
      <w:tr w:rsidR="00294D85" w:rsidRPr="00845CCA" w14:paraId="5CBB60BD" w14:textId="77777777" w:rsidTr="00937755">
        <w:trPr>
          <w:trHeight w:val="64"/>
          <w:jc w:val="center"/>
        </w:trPr>
        <w:tc>
          <w:tcPr>
            <w:tcW w:w="5398" w:type="dxa"/>
            <w:vAlign w:val="center"/>
            <w:hideMark/>
          </w:tcPr>
          <w:p w14:paraId="22198B4D"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Time period (1981-82 to 1983-84)</w:t>
            </w:r>
          </w:p>
        </w:tc>
        <w:tc>
          <w:tcPr>
            <w:tcW w:w="0" w:type="auto"/>
            <w:vAlign w:val="center"/>
            <w:hideMark/>
          </w:tcPr>
          <w:p w14:paraId="4901DF84"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0.0473</w:t>
            </w:r>
          </w:p>
        </w:tc>
        <w:tc>
          <w:tcPr>
            <w:tcW w:w="0" w:type="auto"/>
            <w:vAlign w:val="center"/>
            <w:hideMark/>
          </w:tcPr>
          <w:p w14:paraId="67E89CEC"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0.0675</w:t>
            </w:r>
          </w:p>
        </w:tc>
        <w:tc>
          <w:tcPr>
            <w:tcW w:w="0" w:type="auto"/>
            <w:vAlign w:val="center"/>
            <w:hideMark/>
          </w:tcPr>
          <w:p w14:paraId="61D8FEFF"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0.7010</w:t>
            </w:r>
          </w:p>
        </w:tc>
      </w:tr>
      <w:tr w:rsidR="00294D85" w:rsidRPr="00845CCA" w14:paraId="49F26A22" w14:textId="77777777" w:rsidTr="00937755">
        <w:trPr>
          <w:trHeight w:val="64"/>
          <w:jc w:val="center"/>
        </w:trPr>
        <w:tc>
          <w:tcPr>
            <w:tcW w:w="5398" w:type="dxa"/>
            <w:vAlign w:val="center"/>
            <w:hideMark/>
          </w:tcPr>
          <w:p w14:paraId="1B7B2647"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Time period (1984-85 to 1986-87)</w:t>
            </w:r>
          </w:p>
        </w:tc>
        <w:tc>
          <w:tcPr>
            <w:tcW w:w="0" w:type="auto"/>
            <w:vAlign w:val="center"/>
            <w:hideMark/>
          </w:tcPr>
          <w:p w14:paraId="5E782FAF"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- 0.0367</w:t>
            </w:r>
          </w:p>
        </w:tc>
        <w:tc>
          <w:tcPr>
            <w:tcW w:w="0" w:type="auto"/>
            <w:vAlign w:val="center"/>
            <w:hideMark/>
          </w:tcPr>
          <w:p w14:paraId="43CA27C3"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0.0686</w:t>
            </w:r>
          </w:p>
        </w:tc>
        <w:tc>
          <w:tcPr>
            <w:tcW w:w="0" w:type="auto"/>
            <w:vAlign w:val="center"/>
            <w:hideMark/>
          </w:tcPr>
          <w:p w14:paraId="3D643FDA"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- 0.5343</w:t>
            </w:r>
          </w:p>
        </w:tc>
      </w:tr>
    </w:tbl>
    <w:p w14:paraId="73DE6F51" w14:textId="3879D2F3" w:rsidR="00294D85" w:rsidRPr="00845CCA" w:rsidRDefault="00294D85" w:rsidP="00E4373B">
      <w:pPr>
        <w:tabs>
          <w:tab w:val="left" w:pos="2805"/>
        </w:tabs>
        <w:spacing w:after="0"/>
        <w:ind w:left="567"/>
        <w:rPr>
          <w:rFonts w:ascii="Times New Roman" w:hAnsi="Times New Roman" w:cs="Times New Roman"/>
          <w:sz w:val="18"/>
          <w:szCs w:val="18"/>
        </w:rPr>
      </w:pPr>
      <w:r w:rsidRPr="00845CCA">
        <w:rPr>
          <w:rFonts w:ascii="Times New Roman" w:hAnsi="Times New Roman" w:cs="Times New Roman"/>
          <w:sz w:val="18"/>
          <w:szCs w:val="18"/>
        </w:rPr>
        <w:t xml:space="preserve">R - Squared </w:t>
      </w:r>
      <w:r w:rsidR="00845CCA">
        <w:rPr>
          <w:rFonts w:ascii="Times New Roman" w:hAnsi="Times New Roman" w:cs="Times New Roman"/>
          <w:sz w:val="18"/>
          <w:szCs w:val="18"/>
        </w:rPr>
        <w:tab/>
      </w:r>
      <w:r w:rsidRPr="00845CCA">
        <w:rPr>
          <w:rFonts w:ascii="Times New Roman" w:hAnsi="Times New Roman" w:cs="Times New Roman"/>
          <w:sz w:val="18"/>
          <w:szCs w:val="18"/>
        </w:rPr>
        <w:t>0.8996</w:t>
      </w:r>
      <w:r w:rsidRPr="00845CCA">
        <w:rPr>
          <w:rFonts w:ascii="Times New Roman" w:hAnsi="Times New Roman" w:cs="Times New Roman"/>
          <w:sz w:val="18"/>
          <w:szCs w:val="18"/>
        </w:rPr>
        <w:tab/>
      </w:r>
      <w:r w:rsidRPr="00845CCA">
        <w:rPr>
          <w:rFonts w:ascii="Times New Roman" w:hAnsi="Times New Roman" w:cs="Times New Roman"/>
          <w:sz w:val="18"/>
          <w:szCs w:val="18"/>
        </w:rPr>
        <w:tab/>
        <w:t xml:space="preserve"> Residual Sum of Squares </w:t>
      </w:r>
      <w:r w:rsid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0.2259</w:t>
      </w:r>
      <w:r w:rsidRPr="00845CCA">
        <w:rPr>
          <w:rFonts w:ascii="Times New Roman" w:hAnsi="Times New Roman" w:cs="Times New Roman"/>
          <w:sz w:val="18"/>
          <w:szCs w:val="18"/>
        </w:rPr>
        <w:br/>
        <w:t xml:space="preserve">R - Bar - Squared </w:t>
      </w:r>
      <w:r w:rsidR="00845CCA">
        <w:rPr>
          <w:rFonts w:ascii="Times New Roman" w:hAnsi="Times New Roman" w:cs="Times New Roman"/>
          <w:sz w:val="18"/>
          <w:szCs w:val="18"/>
        </w:rPr>
        <w:tab/>
      </w:r>
      <w:r w:rsidRPr="00845CCA">
        <w:rPr>
          <w:rFonts w:ascii="Times New Roman" w:hAnsi="Times New Roman" w:cs="Times New Roman"/>
          <w:sz w:val="18"/>
          <w:szCs w:val="18"/>
        </w:rPr>
        <w:t xml:space="preserve">0.8709 </w:t>
      </w:r>
      <w:r w:rsidRPr="00845CCA">
        <w:rPr>
          <w:rFonts w:ascii="Times New Roman" w:hAnsi="Times New Roman" w:cs="Times New Roman"/>
          <w:sz w:val="18"/>
          <w:szCs w:val="18"/>
        </w:rPr>
        <w:tab/>
      </w:r>
      <w:r w:rsidRPr="00845CCA">
        <w:rPr>
          <w:rFonts w:ascii="Times New Roman" w:hAnsi="Times New Roman" w:cs="Times New Roman"/>
          <w:sz w:val="18"/>
          <w:szCs w:val="18"/>
        </w:rPr>
        <w:tab/>
        <w:t xml:space="preserve">S.E. of Regression </w:t>
      </w:r>
      <w:r w:rsidR="00845CCA">
        <w:rPr>
          <w:rFonts w:ascii="Times New Roman" w:hAnsi="Times New Roman" w:cs="Times New Roman"/>
          <w:sz w:val="18"/>
          <w:szCs w:val="18"/>
        </w:rPr>
        <w:tab/>
      </w:r>
      <w:r w:rsid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0.1037</w:t>
      </w:r>
    </w:p>
    <w:p w14:paraId="376175E1" w14:textId="77777777" w:rsidR="00294D85" w:rsidRPr="00845CCA" w:rsidRDefault="00294D85" w:rsidP="00E4373B">
      <w:pPr>
        <w:tabs>
          <w:tab w:val="left" w:pos="2805"/>
        </w:tabs>
        <w:spacing w:after="0"/>
        <w:jc w:val="center"/>
        <w:rPr>
          <w:rFonts w:ascii="Times New Roman" w:hAnsi="Times New Roman" w:cs="Times New Roman"/>
          <w:sz w:val="20"/>
          <w:szCs w:val="20"/>
        </w:rPr>
      </w:pPr>
      <w:r w:rsidRPr="00845CCA">
        <w:rPr>
          <w:rFonts w:ascii="Times New Roman" w:hAnsi="Times New Roman" w:cs="Times New Roman"/>
          <w:b/>
          <w:bCs/>
          <w:sz w:val="20"/>
          <w:szCs w:val="20"/>
        </w:rPr>
        <w:t>Diagnostic Tests</w:t>
      </w:r>
    </w:p>
    <w:tbl>
      <w:tblPr>
        <w:tblStyle w:val="TableGrid"/>
        <w:tblW w:w="8933" w:type="dxa"/>
        <w:jc w:val="center"/>
        <w:tblLook w:val="04A0" w:firstRow="1" w:lastRow="0" w:firstColumn="1" w:lastColumn="0" w:noHBand="0" w:noVBand="1"/>
      </w:tblPr>
      <w:tblGrid>
        <w:gridCol w:w="2744"/>
        <w:gridCol w:w="3095"/>
        <w:gridCol w:w="3094"/>
      </w:tblGrid>
      <w:tr w:rsidR="00294D85" w:rsidRPr="00845CCA" w14:paraId="0B44D5A8" w14:textId="77777777" w:rsidTr="00937755">
        <w:trPr>
          <w:trHeight w:val="102"/>
          <w:jc w:val="center"/>
        </w:trPr>
        <w:tc>
          <w:tcPr>
            <w:tcW w:w="2744" w:type="dxa"/>
            <w:vAlign w:val="center"/>
            <w:hideMark/>
          </w:tcPr>
          <w:p w14:paraId="30F41188"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Test Statistics</w:t>
            </w:r>
          </w:p>
        </w:tc>
        <w:tc>
          <w:tcPr>
            <w:tcW w:w="3095" w:type="dxa"/>
            <w:vAlign w:val="center"/>
            <w:hideMark/>
          </w:tcPr>
          <w:p w14:paraId="1E514B40"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LM Version</w:t>
            </w:r>
          </w:p>
        </w:tc>
        <w:tc>
          <w:tcPr>
            <w:tcW w:w="3094" w:type="dxa"/>
            <w:vAlign w:val="center"/>
            <w:hideMark/>
          </w:tcPr>
          <w:p w14:paraId="2FC09C9C"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F Version</w:t>
            </w:r>
          </w:p>
        </w:tc>
      </w:tr>
      <w:tr w:rsidR="00294D85" w:rsidRPr="00845CCA" w14:paraId="12D5EAA0" w14:textId="77777777" w:rsidTr="00937755">
        <w:trPr>
          <w:trHeight w:val="102"/>
          <w:jc w:val="center"/>
        </w:trPr>
        <w:tc>
          <w:tcPr>
            <w:tcW w:w="2744" w:type="dxa"/>
            <w:vAlign w:val="center"/>
            <w:hideMark/>
          </w:tcPr>
          <w:p w14:paraId="6AC53E5C"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A: Serial Correlation</w:t>
            </w:r>
          </w:p>
        </w:tc>
        <w:tc>
          <w:tcPr>
            <w:tcW w:w="3095" w:type="dxa"/>
            <w:vAlign w:val="center"/>
            <w:hideMark/>
          </w:tcPr>
          <w:p w14:paraId="2BF62F55"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w:t>
            </w:r>
            <w:proofErr w:type="gramEnd"/>
            <w:r w:rsidRPr="00845CCA">
              <w:rPr>
                <w:rFonts w:ascii="Times New Roman" w:hAnsi="Times New Roman" w:cs="Times New Roman"/>
                <w:sz w:val="16"/>
                <w:szCs w:val="16"/>
              </w:rPr>
              <w:t>1) =3.1205</w:t>
            </w:r>
          </w:p>
        </w:tc>
        <w:tc>
          <w:tcPr>
            <w:tcW w:w="3094" w:type="dxa"/>
            <w:vAlign w:val="center"/>
            <w:hideMark/>
          </w:tcPr>
          <w:p w14:paraId="1E82968A"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proofErr w:type="gramStart"/>
            <w:r w:rsidRPr="00845CCA">
              <w:rPr>
                <w:rFonts w:ascii="Times New Roman" w:hAnsi="Times New Roman" w:cs="Times New Roman"/>
                <w:sz w:val="16"/>
                <w:szCs w:val="16"/>
              </w:rPr>
              <w:t>F(</w:t>
            </w:r>
            <w:proofErr w:type="gramEnd"/>
            <w:r w:rsidRPr="00845CCA">
              <w:rPr>
                <w:rFonts w:ascii="Times New Roman" w:hAnsi="Times New Roman" w:cs="Times New Roman"/>
                <w:sz w:val="16"/>
                <w:szCs w:val="16"/>
              </w:rPr>
              <w:t>1, 20) =2.5085</w:t>
            </w:r>
          </w:p>
        </w:tc>
      </w:tr>
      <w:tr w:rsidR="00294D85" w:rsidRPr="00845CCA" w14:paraId="3DC34C4D" w14:textId="77777777" w:rsidTr="00937755">
        <w:trPr>
          <w:trHeight w:val="102"/>
          <w:jc w:val="center"/>
        </w:trPr>
        <w:tc>
          <w:tcPr>
            <w:tcW w:w="2744" w:type="dxa"/>
            <w:vAlign w:val="center"/>
            <w:hideMark/>
          </w:tcPr>
          <w:p w14:paraId="3396C255"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B: Functional Form</w:t>
            </w:r>
          </w:p>
        </w:tc>
        <w:tc>
          <w:tcPr>
            <w:tcW w:w="3095" w:type="dxa"/>
            <w:vAlign w:val="center"/>
            <w:hideMark/>
          </w:tcPr>
          <w:p w14:paraId="39AA1849"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w:t>
            </w:r>
            <w:proofErr w:type="gramEnd"/>
            <w:r w:rsidRPr="00845CCA">
              <w:rPr>
                <w:rFonts w:ascii="Times New Roman" w:hAnsi="Times New Roman" w:cs="Times New Roman"/>
                <w:sz w:val="16"/>
                <w:szCs w:val="16"/>
              </w:rPr>
              <w:t>1) =0.0137</w:t>
            </w:r>
          </w:p>
        </w:tc>
        <w:tc>
          <w:tcPr>
            <w:tcW w:w="3094" w:type="dxa"/>
            <w:vAlign w:val="center"/>
            <w:hideMark/>
          </w:tcPr>
          <w:p w14:paraId="4D728774"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proofErr w:type="gramStart"/>
            <w:r w:rsidRPr="00845CCA">
              <w:rPr>
                <w:rFonts w:ascii="Times New Roman" w:hAnsi="Times New Roman" w:cs="Times New Roman"/>
                <w:sz w:val="16"/>
                <w:szCs w:val="16"/>
              </w:rPr>
              <w:t>F(</w:t>
            </w:r>
            <w:proofErr w:type="gramEnd"/>
            <w:r w:rsidRPr="00845CCA">
              <w:rPr>
                <w:rFonts w:ascii="Times New Roman" w:hAnsi="Times New Roman" w:cs="Times New Roman"/>
                <w:sz w:val="16"/>
                <w:szCs w:val="16"/>
              </w:rPr>
              <w:t>1, 20) =0.0098</w:t>
            </w:r>
          </w:p>
        </w:tc>
      </w:tr>
      <w:tr w:rsidR="00294D85" w:rsidRPr="00845CCA" w14:paraId="59CBF9E3" w14:textId="77777777" w:rsidTr="00937755">
        <w:trPr>
          <w:trHeight w:val="102"/>
          <w:jc w:val="center"/>
        </w:trPr>
        <w:tc>
          <w:tcPr>
            <w:tcW w:w="2744" w:type="dxa"/>
            <w:vAlign w:val="center"/>
            <w:hideMark/>
          </w:tcPr>
          <w:p w14:paraId="0852F3AD"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C: Normality</w:t>
            </w:r>
          </w:p>
        </w:tc>
        <w:tc>
          <w:tcPr>
            <w:tcW w:w="3095" w:type="dxa"/>
            <w:vAlign w:val="center"/>
            <w:hideMark/>
          </w:tcPr>
          <w:p w14:paraId="715AF52F"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w:t>
            </w:r>
            <w:proofErr w:type="gramEnd"/>
            <w:r w:rsidRPr="00845CCA">
              <w:rPr>
                <w:rFonts w:ascii="Times New Roman" w:hAnsi="Times New Roman" w:cs="Times New Roman"/>
                <w:sz w:val="16"/>
                <w:szCs w:val="16"/>
              </w:rPr>
              <w:t>2) =0.6211</w:t>
            </w:r>
          </w:p>
        </w:tc>
        <w:tc>
          <w:tcPr>
            <w:tcW w:w="3094" w:type="dxa"/>
            <w:vAlign w:val="center"/>
            <w:hideMark/>
          </w:tcPr>
          <w:p w14:paraId="497CF4E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Not Applicable</w:t>
            </w:r>
          </w:p>
        </w:tc>
      </w:tr>
      <w:tr w:rsidR="00294D85" w:rsidRPr="00845CCA" w14:paraId="6465CEC2" w14:textId="77777777" w:rsidTr="00937755">
        <w:trPr>
          <w:trHeight w:val="102"/>
          <w:jc w:val="center"/>
        </w:trPr>
        <w:tc>
          <w:tcPr>
            <w:tcW w:w="2744" w:type="dxa"/>
            <w:vAlign w:val="center"/>
            <w:hideMark/>
          </w:tcPr>
          <w:p w14:paraId="013E6D9C"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D: Heteroscedasticity</w:t>
            </w:r>
          </w:p>
        </w:tc>
        <w:tc>
          <w:tcPr>
            <w:tcW w:w="3095" w:type="dxa"/>
            <w:vAlign w:val="center"/>
            <w:hideMark/>
          </w:tcPr>
          <w:p w14:paraId="52FF9B9D"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CHI-</w:t>
            </w:r>
            <w:proofErr w:type="gramStart"/>
            <w:r w:rsidRPr="00845CCA">
              <w:rPr>
                <w:rFonts w:ascii="Times New Roman" w:hAnsi="Times New Roman" w:cs="Times New Roman"/>
                <w:sz w:val="16"/>
                <w:szCs w:val="16"/>
              </w:rPr>
              <w:t>SQ(</w:t>
            </w:r>
            <w:proofErr w:type="gramEnd"/>
            <w:r w:rsidRPr="00845CCA">
              <w:rPr>
                <w:rFonts w:ascii="Times New Roman" w:hAnsi="Times New Roman" w:cs="Times New Roman"/>
                <w:sz w:val="16"/>
                <w:szCs w:val="16"/>
              </w:rPr>
              <w:t>1) =0.2972</w:t>
            </w:r>
          </w:p>
        </w:tc>
        <w:tc>
          <w:tcPr>
            <w:tcW w:w="3094" w:type="dxa"/>
            <w:vAlign w:val="center"/>
            <w:hideMark/>
          </w:tcPr>
          <w:p w14:paraId="3301BABE"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proofErr w:type="gramStart"/>
            <w:r w:rsidRPr="00845CCA">
              <w:rPr>
                <w:rFonts w:ascii="Times New Roman" w:hAnsi="Times New Roman" w:cs="Times New Roman"/>
                <w:sz w:val="16"/>
                <w:szCs w:val="16"/>
              </w:rPr>
              <w:t>F(</w:t>
            </w:r>
            <w:proofErr w:type="gramEnd"/>
            <w:r w:rsidRPr="00845CCA">
              <w:rPr>
                <w:rFonts w:ascii="Times New Roman" w:hAnsi="Times New Roman" w:cs="Times New Roman"/>
                <w:sz w:val="16"/>
                <w:szCs w:val="16"/>
              </w:rPr>
              <w:t>1, 26) =0.2789</w:t>
            </w:r>
          </w:p>
        </w:tc>
      </w:tr>
    </w:tbl>
    <w:p w14:paraId="30220840" w14:textId="77777777" w:rsidR="00845CCA" w:rsidRPr="003E2907" w:rsidRDefault="00845CCA" w:rsidP="003E2907">
      <w:pPr>
        <w:tabs>
          <w:tab w:val="left" w:pos="2805"/>
        </w:tabs>
        <w:spacing w:after="0"/>
        <w:jc w:val="center"/>
        <w:rPr>
          <w:rFonts w:ascii="Times New Roman" w:hAnsi="Times New Roman" w:cs="Times New Roman"/>
          <w:b/>
          <w:bCs/>
          <w:sz w:val="22"/>
          <w:szCs w:val="22"/>
        </w:rPr>
      </w:pPr>
    </w:p>
    <w:p w14:paraId="00FE39FC" w14:textId="1E190B79" w:rsidR="003E2907" w:rsidRPr="003E2907" w:rsidRDefault="003E2907" w:rsidP="003E2907">
      <w:pPr>
        <w:tabs>
          <w:tab w:val="left" w:pos="2805"/>
        </w:tabs>
        <w:spacing w:after="0"/>
        <w:jc w:val="center"/>
        <w:rPr>
          <w:rFonts w:ascii="Times New Roman" w:hAnsi="Times New Roman" w:cs="Times New Roman"/>
          <w:b/>
          <w:bCs/>
          <w:sz w:val="22"/>
          <w:szCs w:val="22"/>
        </w:rPr>
      </w:pPr>
      <w:r w:rsidRPr="003E2907">
        <w:rPr>
          <w:rFonts w:ascii="Times New Roman" w:hAnsi="Times New Roman" w:cs="Times New Roman"/>
          <w:b/>
          <w:bCs/>
          <w:sz w:val="22"/>
          <w:szCs w:val="22"/>
        </w:rPr>
        <w:t>Regression Results</w:t>
      </w:r>
    </w:p>
    <w:p w14:paraId="30B9CA1C" w14:textId="398BF299" w:rsidR="00294D85" w:rsidRPr="00845CCA" w:rsidRDefault="00294D85" w:rsidP="00595226">
      <w:pPr>
        <w:tabs>
          <w:tab w:val="left" w:pos="2805"/>
        </w:tabs>
        <w:spacing w:after="0"/>
        <w:ind w:firstLine="709"/>
        <w:rPr>
          <w:rFonts w:ascii="Times New Roman" w:hAnsi="Times New Roman" w:cs="Times New Roman"/>
          <w:sz w:val="18"/>
          <w:szCs w:val="18"/>
        </w:rPr>
      </w:pPr>
      <w:r w:rsidRPr="00845CCA">
        <w:rPr>
          <w:rFonts w:ascii="Times New Roman" w:hAnsi="Times New Roman" w:cs="Times New Roman"/>
          <w:sz w:val="18"/>
          <w:szCs w:val="18"/>
        </w:rPr>
        <w:t>Dependent Variable</w:t>
      </w:r>
      <w:r w:rsidRPr="00845CCA">
        <w:rPr>
          <w:rFonts w:ascii="Times New Roman" w:hAnsi="Times New Roman" w:cs="Times New Roman"/>
          <w:sz w:val="18"/>
          <w:szCs w:val="18"/>
        </w:rPr>
        <w:tab/>
      </w:r>
      <w:r w:rsidRPr="00845CCA">
        <w:rPr>
          <w:rFonts w:ascii="Times New Roman" w:hAnsi="Times New Roman" w:cs="Times New Roman"/>
          <w:sz w:val="18"/>
          <w:szCs w:val="18"/>
        </w:rPr>
        <w:tab/>
      </w:r>
      <w:r w:rsidRPr="00845CCA">
        <w:rPr>
          <w:rFonts w:ascii="Times New Roman" w:hAnsi="Times New Roman" w:cs="Times New Roman"/>
          <w:sz w:val="18"/>
          <w:szCs w:val="18"/>
        </w:rPr>
        <w:tab/>
      </w:r>
      <w:r w:rsidR="00595226">
        <w:rPr>
          <w:rFonts w:ascii="Times New Roman" w:hAnsi="Times New Roman" w:cs="Times New Roman"/>
          <w:sz w:val="18"/>
          <w:szCs w:val="18"/>
        </w:rPr>
        <w:tab/>
      </w:r>
      <w:r w:rsidR="00595226">
        <w:rPr>
          <w:rFonts w:ascii="Times New Roman" w:hAnsi="Times New Roman" w:cs="Times New Roman"/>
          <w:sz w:val="18"/>
          <w:szCs w:val="18"/>
        </w:rPr>
        <w:tab/>
      </w:r>
      <w:r w:rsidRPr="00845CCA">
        <w:rPr>
          <w:rFonts w:ascii="Times New Roman" w:hAnsi="Times New Roman" w:cs="Times New Roman"/>
          <w:sz w:val="18"/>
          <w:szCs w:val="18"/>
        </w:rPr>
        <w:t> Per Capita Expenditure on Fiscal Services</w:t>
      </w:r>
    </w:p>
    <w:p w14:paraId="628B61A5" w14:textId="5262AE3D" w:rsidR="00294D85" w:rsidRPr="00845CCA" w:rsidRDefault="00294D85" w:rsidP="00595226">
      <w:pPr>
        <w:tabs>
          <w:tab w:val="left" w:pos="2805"/>
        </w:tabs>
        <w:spacing w:after="0"/>
        <w:ind w:firstLine="709"/>
        <w:rPr>
          <w:rFonts w:ascii="Times New Roman" w:hAnsi="Times New Roman" w:cs="Times New Roman"/>
          <w:sz w:val="18"/>
          <w:szCs w:val="18"/>
        </w:rPr>
      </w:pPr>
      <w:r w:rsidRPr="00845CCA">
        <w:rPr>
          <w:rFonts w:ascii="Times New Roman" w:hAnsi="Times New Roman" w:cs="Times New Roman"/>
          <w:sz w:val="18"/>
          <w:szCs w:val="18"/>
        </w:rPr>
        <w:t xml:space="preserve">Number Of Observations 28 </w:t>
      </w:r>
      <w:r w:rsidRPr="00845CCA">
        <w:rPr>
          <w:rFonts w:ascii="Times New Roman" w:hAnsi="Times New Roman" w:cs="Times New Roman"/>
          <w:sz w:val="18"/>
          <w:szCs w:val="18"/>
        </w:rPr>
        <w:tab/>
      </w:r>
      <w:r w:rsidR="00845CCA">
        <w:rPr>
          <w:rFonts w:ascii="Times New Roman" w:hAnsi="Times New Roman" w:cs="Times New Roman"/>
          <w:sz w:val="18"/>
          <w:szCs w:val="18"/>
        </w:rPr>
        <w:tab/>
      </w:r>
      <w:r w:rsidR="00845CCA">
        <w:rPr>
          <w:rFonts w:ascii="Times New Roman" w:hAnsi="Times New Roman" w:cs="Times New Roman"/>
          <w:sz w:val="18"/>
          <w:szCs w:val="18"/>
        </w:rPr>
        <w:tab/>
      </w:r>
      <w:r w:rsidR="00595226">
        <w:rPr>
          <w:rFonts w:ascii="Times New Roman" w:hAnsi="Times New Roman" w:cs="Times New Roman"/>
          <w:sz w:val="18"/>
          <w:szCs w:val="18"/>
        </w:rPr>
        <w:tab/>
      </w:r>
      <w:r w:rsidR="00595226">
        <w:rPr>
          <w:rFonts w:ascii="Times New Roman" w:hAnsi="Times New Roman" w:cs="Times New Roman"/>
          <w:sz w:val="18"/>
          <w:szCs w:val="18"/>
        </w:rPr>
        <w:tab/>
      </w:r>
      <w:r w:rsidRPr="00845CCA">
        <w:rPr>
          <w:rFonts w:ascii="Times New Roman" w:hAnsi="Times New Roman" w:cs="Times New Roman"/>
          <w:sz w:val="18"/>
          <w:szCs w:val="18"/>
        </w:rPr>
        <w:t xml:space="preserve">Degrees </w:t>
      </w:r>
      <w:proofErr w:type="gramStart"/>
      <w:r w:rsidRPr="00845CCA">
        <w:rPr>
          <w:rFonts w:ascii="Times New Roman" w:hAnsi="Times New Roman" w:cs="Times New Roman"/>
          <w:sz w:val="18"/>
          <w:szCs w:val="18"/>
        </w:rPr>
        <w:t>Of</w:t>
      </w:r>
      <w:proofErr w:type="gramEnd"/>
      <w:r w:rsidRPr="00845CCA">
        <w:rPr>
          <w:rFonts w:ascii="Times New Roman" w:hAnsi="Times New Roman" w:cs="Times New Roman"/>
          <w:sz w:val="18"/>
          <w:szCs w:val="18"/>
        </w:rPr>
        <w:t xml:space="preserve"> Freedom 23</w:t>
      </w:r>
    </w:p>
    <w:tbl>
      <w:tblPr>
        <w:tblStyle w:val="TableGrid"/>
        <w:tblW w:w="9039" w:type="dxa"/>
        <w:jc w:val="center"/>
        <w:tblLook w:val="04A0" w:firstRow="1" w:lastRow="0" w:firstColumn="1" w:lastColumn="0" w:noHBand="0" w:noVBand="1"/>
      </w:tblPr>
      <w:tblGrid>
        <w:gridCol w:w="4962"/>
        <w:gridCol w:w="1559"/>
        <w:gridCol w:w="1304"/>
        <w:gridCol w:w="1214"/>
      </w:tblGrid>
      <w:tr w:rsidR="00294D85" w:rsidRPr="00845CCA" w14:paraId="5C5BE238" w14:textId="77777777" w:rsidTr="00595226">
        <w:trPr>
          <w:trHeight w:val="36"/>
          <w:jc w:val="center"/>
        </w:trPr>
        <w:tc>
          <w:tcPr>
            <w:tcW w:w="4962" w:type="dxa"/>
            <w:vAlign w:val="center"/>
            <w:hideMark/>
          </w:tcPr>
          <w:p w14:paraId="182DF01A"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lastRenderedPageBreak/>
              <w:t>Regressor</w:t>
            </w:r>
          </w:p>
        </w:tc>
        <w:tc>
          <w:tcPr>
            <w:tcW w:w="1559" w:type="dxa"/>
            <w:vAlign w:val="center"/>
            <w:hideMark/>
          </w:tcPr>
          <w:p w14:paraId="3560E445"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Coefficient</w:t>
            </w:r>
          </w:p>
        </w:tc>
        <w:tc>
          <w:tcPr>
            <w:tcW w:w="1304" w:type="dxa"/>
            <w:vAlign w:val="center"/>
            <w:hideMark/>
          </w:tcPr>
          <w:p w14:paraId="61220833"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Standard Error</w:t>
            </w:r>
          </w:p>
        </w:tc>
        <w:tc>
          <w:tcPr>
            <w:tcW w:w="0" w:type="auto"/>
            <w:vAlign w:val="center"/>
            <w:hideMark/>
          </w:tcPr>
          <w:p w14:paraId="71A18443" w14:textId="77777777" w:rsidR="00294D85" w:rsidRPr="00845CCA" w:rsidRDefault="00294D85" w:rsidP="00845CCA">
            <w:pPr>
              <w:tabs>
                <w:tab w:val="left" w:pos="2805"/>
              </w:tabs>
              <w:spacing w:line="278" w:lineRule="auto"/>
              <w:jc w:val="center"/>
              <w:rPr>
                <w:rFonts w:ascii="Times New Roman" w:hAnsi="Times New Roman" w:cs="Times New Roman"/>
                <w:b/>
                <w:bCs/>
                <w:sz w:val="16"/>
                <w:szCs w:val="16"/>
              </w:rPr>
            </w:pPr>
            <w:r w:rsidRPr="00845CCA">
              <w:rPr>
                <w:rFonts w:ascii="Times New Roman" w:hAnsi="Times New Roman" w:cs="Times New Roman"/>
                <w:b/>
                <w:bCs/>
                <w:sz w:val="16"/>
                <w:szCs w:val="16"/>
              </w:rPr>
              <w:t>T - Ratio</w:t>
            </w:r>
          </w:p>
        </w:tc>
      </w:tr>
      <w:tr w:rsidR="00294D85" w:rsidRPr="00845CCA" w14:paraId="5A90BC6C" w14:textId="77777777" w:rsidTr="00595226">
        <w:trPr>
          <w:trHeight w:val="36"/>
          <w:jc w:val="center"/>
        </w:trPr>
        <w:tc>
          <w:tcPr>
            <w:tcW w:w="4962" w:type="dxa"/>
            <w:vAlign w:val="center"/>
            <w:hideMark/>
          </w:tcPr>
          <w:p w14:paraId="4C025D21"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1 Total tax revenue</w:t>
            </w:r>
          </w:p>
        </w:tc>
        <w:tc>
          <w:tcPr>
            <w:tcW w:w="1559" w:type="dxa"/>
            <w:vAlign w:val="center"/>
            <w:hideMark/>
          </w:tcPr>
          <w:p w14:paraId="11BB8C37"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0.9239</w:t>
            </w:r>
          </w:p>
        </w:tc>
        <w:tc>
          <w:tcPr>
            <w:tcW w:w="1304" w:type="dxa"/>
            <w:vAlign w:val="center"/>
            <w:hideMark/>
          </w:tcPr>
          <w:p w14:paraId="62FEC98F"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0.1219</w:t>
            </w:r>
          </w:p>
        </w:tc>
        <w:tc>
          <w:tcPr>
            <w:tcW w:w="0" w:type="auto"/>
            <w:vAlign w:val="center"/>
            <w:hideMark/>
          </w:tcPr>
          <w:p w14:paraId="638759E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7.5773</w:t>
            </w:r>
          </w:p>
        </w:tc>
      </w:tr>
      <w:tr w:rsidR="00294D85" w:rsidRPr="00845CCA" w14:paraId="40D84CC4" w14:textId="77777777" w:rsidTr="00595226">
        <w:trPr>
          <w:trHeight w:val="36"/>
          <w:jc w:val="center"/>
        </w:trPr>
        <w:tc>
          <w:tcPr>
            <w:tcW w:w="4962" w:type="dxa"/>
            <w:vAlign w:val="center"/>
            <w:hideMark/>
          </w:tcPr>
          <w:p w14:paraId="7D995C57"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2 Proportion of urban population to total population</w:t>
            </w:r>
          </w:p>
        </w:tc>
        <w:tc>
          <w:tcPr>
            <w:tcW w:w="1559" w:type="dxa"/>
            <w:vAlign w:val="center"/>
            <w:hideMark/>
          </w:tcPr>
          <w:p w14:paraId="7F785F07"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- 0.7911</w:t>
            </w:r>
          </w:p>
        </w:tc>
        <w:tc>
          <w:tcPr>
            <w:tcW w:w="1304" w:type="dxa"/>
            <w:vAlign w:val="center"/>
            <w:hideMark/>
          </w:tcPr>
          <w:p w14:paraId="47E27F43"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0.1902</w:t>
            </w:r>
          </w:p>
        </w:tc>
        <w:tc>
          <w:tcPr>
            <w:tcW w:w="0" w:type="auto"/>
            <w:vAlign w:val="center"/>
            <w:hideMark/>
          </w:tcPr>
          <w:p w14:paraId="5739009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- 4.1601</w:t>
            </w:r>
          </w:p>
        </w:tc>
      </w:tr>
      <w:tr w:rsidR="00294D85" w:rsidRPr="00845CCA" w14:paraId="19FE0E26" w14:textId="77777777" w:rsidTr="00595226">
        <w:trPr>
          <w:trHeight w:val="36"/>
          <w:jc w:val="center"/>
        </w:trPr>
        <w:tc>
          <w:tcPr>
            <w:tcW w:w="4962" w:type="dxa"/>
            <w:vAlign w:val="center"/>
            <w:hideMark/>
          </w:tcPr>
          <w:p w14:paraId="4505BF9D"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3 Density of urban population</w:t>
            </w:r>
          </w:p>
        </w:tc>
        <w:tc>
          <w:tcPr>
            <w:tcW w:w="1559" w:type="dxa"/>
            <w:vAlign w:val="center"/>
            <w:hideMark/>
          </w:tcPr>
          <w:p w14:paraId="0894BDA9"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- 0.5551</w:t>
            </w:r>
          </w:p>
        </w:tc>
        <w:tc>
          <w:tcPr>
            <w:tcW w:w="1304" w:type="dxa"/>
            <w:vAlign w:val="center"/>
            <w:hideMark/>
          </w:tcPr>
          <w:p w14:paraId="4D3CA4C8"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0.2389</w:t>
            </w:r>
          </w:p>
        </w:tc>
        <w:tc>
          <w:tcPr>
            <w:tcW w:w="0" w:type="auto"/>
            <w:vAlign w:val="center"/>
            <w:hideMark/>
          </w:tcPr>
          <w:p w14:paraId="2A8A62D3"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- 2.3233</w:t>
            </w:r>
          </w:p>
        </w:tc>
      </w:tr>
      <w:tr w:rsidR="00294D85" w:rsidRPr="00845CCA" w14:paraId="2BA07315" w14:textId="77777777" w:rsidTr="00595226">
        <w:trPr>
          <w:trHeight w:val="36"/>
          <w:jc w:val="center"/>
        </w:trPr>
        <w:tc>
          <w:tcPr>
            <w:tcW w:w="4962" w:type="dxa"/>
            <w:vAlign w:val="center"/>
            <w:hideMark/>
          </w:tcPr>
          <w:p w14:paraId="427184F2"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Time period (1981-82 to 1983-84)</w:t>
            </w:r>
          </w:p>
        </w:tc>
        <w:tc>
          <w:tcPr>
            <w:tcW w:w="1559" w:type="dxa"/>
            <w:vAlign w:val="center"/>
            <w:hideMark/>
          </w:tcPr>
          <w:p w14:paraId="18061A26"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- 0.3785</w:t>
            </w:r>
          </w:p>
        </w:tc>
        <w:tc>
          <w:tcPr>
            <w:tcW w:w="1304" w:type="dxa"/>
            <w:vAlign w:val="center"/>
            <w:hideMark/>
          </w:tcPr>
          <w:p w14:paraId="3D25DC4D"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0.2057</w:t>
            </w:r>
          </w:p>
        </w:tc>
        <w:tc>
          <w:tcPr>
            <w:tcW w:w="0" w:type="auto"/>
            <w:vAlign w:val="center"/>
            <w:hideMark/>
          </w:tcPr>
          <w:p w14:paraId="70814E29"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- 1.8398</w:t>
            </w:r>
          </w:p>
        </w:tc>
      </w:tr>
      <w:tr w:rsidR="00294D85" w:rsidRPr="00845CCA" w14:paraId="5C945029" w14:textId="77777777" w:rsidTr="00595226">
        <w:trPr>
          <w:trHeight w:val="36"/>
          <w:jc w:val="center"/>
        </w:trPr>
        <w:tc>
          <w:tcPr>
            <w:tcW w:w="4962" w:type="dxa"/>
            <w:vAlign w:val="center"/>
            <w:hideMark/>
          </w:tcPr>
          <w:p w14:paraId="456BAD97" w14:textId="77777777" w:rsidR="00294D85" w:rsidRPr="00845CCA" w:rsidRDefault="00294D85" w:rsidP="00845CCA">
            <w:pPr>
              <w:tabs>
                <w:tab w:val="left" w:pos="2805"/>
              </w:tabs>
              <w:spacing w:line="278" w:lineRule="auto"/>
              <w:rPr>
                <w:rFonts w:ascii="Times New Roman" w:hAnsi="Times New Roman" w:cs="Times New Roman"/>
                <w:sz w:val="16"/>
                <w:szCs w:val="16"/>
              </w:rPr>
            </w:pPr>
            <w:r w:rsidRPr="00845CCA">
              <w:rPr>
                <w:rFonts w:ascii="Times New Roman" w:hAnsi="Times New Roman" w:cs="Times New Roman"/>
                <w:sz w:val="16"/>
                <w:szCs w:val="16"/>
              </w:rPr>
              <w:t>Time period (1984-85 to 1986-87)</w:t>
            </w:r>
          </w:p>
        </w:tc>
        <w:tc>
          <w:tcPr>
            <w:tcW w:w="1559" w:type="dxa"/>
            <w:vAlign w:val="center"/>
            <w:hideMark/>
          </w:tcPr>
          <w:p w14:paraId="4EEF6634"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0.0706</w:t>
            </w:r>
          </w:p>
        </w:tc>
        <w:tc>
          <w:tcPr>
            <w:tcW w:w="1304" w:type="dxa"/>
            <w:vAlign w:val="center"/>
            <w:hideMark/>
          </w:tcPr>
          <w:p w14:paraId="5130A564"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0.2068</w:t>
            </w:r>
          </w:p>
        </w:tc>
        <w:tc>
          <w:tcPr>
            <w:tcW w:w="0" w:type="auto"/>
            <w:vAlign w:val="center"/>
            <w:hideMark/>
          </w:tcPr>
          <w:p w14:paraId="5245D8A0" w14:textId="77777777" w:rsidR="00294D85" w:rsidRPr="00845CCA" w:rsidRDefault="00294D85" w:rsidP="00845CCA">
            <w:pPr>
              <w:tabs>
                <w:tab w:val="left" w:pos="2805"/>
              </w:tabs>
              <w:spacing w:line="278" w:lineRule="auto"/>
              <w:jc w:val="center"/>
              <w:rPr>
                <w:rFonts w:ascii="Times New Roman" w:hAnsi="Times New Roman" w:cs="Times New Roman"/>
                <w:sz w:val="16"/>
                <w:szCs w:val="16"/>
              </w:rPr>
            </w:pPr>
            <w:r w:rsidRPr="00845CCA">
              <w:rPr>
                <w:rFonts w:ascii="Times New Roman" w:hAnsi="Times New Roman" w:cs="Times New Roman"/>
                <w:sz w:val="16"/>
                <w:szCs w:val="16"/>
              </w:rPr>
              <w:t>0.3413</w:t>
            </w:r>
          </w:p>
        </w:tc>
      </w:tr>
    </w:tbl>
    <w:p w14:paraId="40D40D29" w14:textId="4788709C" w:rsidR="00294D85" w:rsidRPr="00845CCA" w:rsidRDefault="00294D85" w:rsidP="00E4373B">
      <w:pPr>
        <w:tabs>
          <w:tab w:val="left" w:pos="2805"/>
        </w:tabs>
        <w:ind w:left="993"/>
        <w:rPr>
          <w:rFonts w:ascii="Times New Roman" w:hAnsi="Times New Roman" w:cs="Times New Roman"/>
          <w:sz w:val="18"/>
          <w:szCs w:val="18"/>
        </w:rPr>
      </w:pPr>
      <w:r w:rsidRPr="00845CCA">
        <w:rPr>
          <w:rFonts w:ascii="Times New Roman" w:hAnsi="Times New Roman" w:cs="Times New Roman"/>
          <w:sz w:val="18"/>
          <w:szCs w:val="18"/>
        </w:rPr>
        <w:t xml:space="preserve">R - Squared </w:t>
      </w:r>
      <w:r w:rsidR="00845CCA">
        <w:rPr>
          <w:rFonts w:ascii="Times New Roman" w:hAnsi="Times New Roman" w:cs="Times New Roman"/>
          <w:sz w:val="18"/>
          <w:szCs w:val="18"/>
        </w:rPr>
        <w:tab/>
      </w:r>
      <w:r w:rsidRPr="00845CCA">
        <w:rPr>
          <w:rFonts w:ascii="Times New Roman" w:hAnsi="Times New Roman" w:cs="Times New Roman"/>
          <w:sz w:val="18"/>
          <w:szCs w:val="18"/>
        </w:rPr>
        <w:t>0.6974</w:t>
      </w:r>
      <w:r w:rsidRPr="00845CCA">
        <w:rPr>
          <w:rFonts w:ascii="Times New Roman" w:hAnsi="Times New Roman" w:cs="Times New Roman"/>
          <w:sz w:val="18"/>
          <w:szCs w:val="18"/>
        </w:rPr>
        <w:tab/>
      </w:r>
      <w:r w:rsidRPr="00845CCA">
        <w:rPr>
          <w:rFonts w:ascii="Times New Roman" w:hAnsi="Times New Roman" w:cs="Times New Roman"/>
          <w:sz w:val="18"/>
          <w:szCs w:val="18"/>
        </w:rPr>
        <w:tab/>
        <w:t xml:space="preserve"> Residual Sum of Squares</w:t>
      </w:r>
      <w:r w:rsid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3.2090</w:t>
      </w:r>
      <w:r w:rsidRPr="00845CCA">
        <w:rPr>
          <w:rFonts w:ascii="Times New Roman" w:hAnsi="Times New Roman" w:cs="Times New Roman"/>
          <w:sz w:val="18"/>
          <w:szCs w:val="18"/>
        </w:rPr>
        <w:br/>
        <w:t xml:space="preserve">R - Bar </w:t>
      </w:r>
      <w:r w:rsidR="00845CCA">
        <w:rPr>
          <w:rFonts w:ascii="Times New Roman" w:hAnsi="Times New Roman" w:cs="Times New Roman"/>
          <w:sz w:val="18"/>
          <w:szCs w:val="18"/>
        </w:rPr>
        <w:t>–</w:t>
      </w:r>
      <w:r w:rsidRPr="00845CCA">
        <w:rPr>
          <w:rFonts w:ascii="Times New Roman" w:hAnsi="Times New Roman" w:cs="Times New Roman"/>
          <w:sz w:val="18"/>
          <w:szCs w:val="18"/>
        </w:rPr>
        <w:t xml:space="preserve"> Squared</w:t>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0.6448 </w:t>
      </w:r>
      <w:r w:rsidRPr="00845CCA">
        <w:rPr>
          <w:rFonts w:ascii="Times New Roman" w:hAnsi="Times New Roman" w:cs="Times New Roman"/>
          <w:sz w:val="18"/>
          <w:szCs w:val="18"/>
        </w:rPr>
        <w:tab/>
      </w:r>
      <w:r w:rsidRPr="00845CCA">
        <w:rPr>
          <w:rFonts w:ascii="Times New Roman" w:hAnsi="Times New Roman" w:cs="Times New Roman"/>
          <w:sz w:val="18"/>
          <w:szCs w:val="18"/>
        </w:rPr>
        <w:tab/>
        <w:t>S.E. of Regression</w:t>
      </w:r>
      <w:r w:rsidR="00845CCA">
        <w:rPr>
          <w:rFonts w:ascii="Times New Roman" w:hAnsi="Times New Roman" w:cs="Times New Roman"/>
          <w:sz w:val="18"/>
          <w:szCs w:val="18"/>
        </w:rPr>
        <w:tab/>
      </w:r>
      <w:r w:rsidR="00845CCA">
        <w:rPr>
          <w:rFonts w:ascii="Times New Roman" w:hAnsi="Times New Roman" w:cs="Times New Roman"/>
          <w:sz w:val="18"/>
          <w:szCs w:val="18"/>
        </w:rPr>
        <w:tab/>
      </w:r>
      <w:r w:rsidR="00845CCA">
        <w:rPr>
          <w:rFonts w:ascii="Times New Roman" w:hAnsi="Times New Roman" w:cs="Times New Roman"/>
          <w:sz w:val="18"/>
          <w:szCs w:val="18"/>
        </w:rPr>
        <w:tab/>
      </w:r>
      <w:r w:rsidRPr="00845CCA">
        <w:rPr>
          <w:rFonts w:ascii="Times New Roman" w:hAnsi="Times New Roman" w:cs="Times New Roman"/>
          <w:sz w:val="18"/>
          <w:szCs w:val="18"/>
        </w:rPr>
        <w:t xml:space="preserve"> 0.3735</w:t>
      </w:r>
    </w:p>
    <w:p w14:paraId="2209B6B0" w14:textId="77777777" w:rsidR="00294D85" w:rsidRPr="00845CCA" w:rsidRDefault="00294D85" w:rsidP="00E4373B">
      <w:pPr>
        <w:tabs>
          <w:tab w:val="left" w:pos="2805"/>
        </w:tabs>
        <w:spacing w:after="0"/>
        <w:jc w:val="center"/>
        <w:rPr>
          <w:rFonts w:ascii="Times New Roman" w:hAnsi="Times New Roman" w:cs="Times New Roman"/>
          <w:sz w:val="20"/>
          <w:szCs w:val="20"/>
        </w:rPr>
      </w:pPr>
      <w:r w:rsidRPr="00845CCA">
        <w:rPr>
          <w:rFonts w:ascii="Times New Roman" w:hAnsi="Times New Roman" w:cs="Times New Roman"/>
          <w:b/>
          <w:bCs/>
          <w:sz w:val="20"/>
          <w:szCs w:val="20"/>
        </w:rPr>
        <w:t>Diagnostic Tests</w:t>
      </w:r>
    </w:p>
    <w:tbl>
      <w:tblPr>
        <w:tblStyle w:val="TableGrid"/>
        <w:tblW w:w="9042" w:type="dxa"/>
        <w:tblInd w:w="704" w:type="dxa"/>
        <w:tblLook w:val="04A0" w:firstRow="1" w:lastRow="0" w:firstColumn="1" w:lastColumn="0" w:noHBand="0" w:noVBand="1"/>
      </w:tblPr>
      <w:tblGrid>
        <w:gridCol w:w="2672"/>
        <w:gridCol w:w="3700"/>
        <w:gridCol w:w="2670"/>
      </w:tblGrid>
      <w:tr w:rsidR="00294D85" w:rsidRPr="00E4373B" w14:paraId="6BE42C2A" w14:textId="77777777" w:rsidTr="00937755">
        <w:trPr>
          <w:trHeight w:val="20"/>
        </w:trPr>
        <w:tc>
          <w:tcPr>
            <w:tcW w:w="2672" w:type="dxa"/>
            <w:vAlign w:val="center"/>
            <w:hideMark/>
          </w:tcPr>
          <w:p w14:paraId="69B23AC7" w14:textId="77777777" w:rsidR="00294D85" w:rsidRPr="00E4373B" w:rsidRDefault="00294D85" w:rsidP="00845CCA">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Test Statistics</w:t>
            </w:r>
          </w:p>
        </w:tc>
        <w:tc>
          <w:tcPr>
            <w:tcW w:w="3700" w:type="dxa"/>
            <w:vAlign w:val="center"/>
            <w:hideMark/>
          </w:tcPr>
          <w:p w14:paraId="7585D103" w14:textId="77777777" w:rsidR="00294D85" w:rsidRPr="00E4373B" w:rsidRDefault="00294D85" w:rsidP="00845CCA">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LM Version</w:t>
            </w:r>
          </w:p>
        </w:tc>
        <w:tc>
          <w:tcPr>
            <w:tcW w:w="2670" w:type="dxa"/>
            <w:vAlign w:val="center"/>
            <w:hideMark/>
          </w:tcPr>
          <w:p w14:paraId="29B04F6F" w14:textId="77777777" w:rsidR="00294D85" w:rsidRPr="00E4373B" w:rsidRDefault="00294D85" w:rsidP="00845CCA">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F Version</w:t>
            </w:r>
          </w:p>
        </w:tc>
      </w:tr>
      <w:tr w:rsidR="00294D85" w:rsidRPr="00E4373B" w14:paraId="4243E302" w14:textId="77777777" w:rsidTr="00937755">
        <w:trPr>
          <w:trHeight w:val="20"/>
        </w:trPr>
        <w:tc>
          <w:tcPr>
            <w:tcW w:w="2672" w:type="dxa"/>
            <w:vAlign w:val="center"/>
            <w:hideMark/>
          </w:tcPr>
          <w:p w14:paraId="2B7F351B" w14:textId="77777777" w:rsidR="00294D85" w:rsidRPr="00E4373B" w:rsidRDefault="00294D85" w:rsidP="00845CCA">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A: Serial Correlation</w:t>
            </w:r>
          </w:p>
        </w:tc>
        <w:tc>
          <w:tcPr>
            <w:tcW w:w="3700" w:type="dxa"/>
            <w:vAlign w:val="center"/>
            <w:hideMark/>
          </w:tcPr>
          <w:p w14:paraId="4A250B60"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SQ(1)=</w:t>
            </w:r>
            <w:proofErr w:type="gramEnd"/>
            <w:r w:rsidRPr="00E4373B">
              <w:rPr>
                <w:rFonts w:ascii="Times New Roman" w:hAnsi="Times New Roman" w:cs="Times New Roman"/>
                <w:sz w:val="16"/>
                <w:szCs w:val="16"/>
              </w:rPr>
              <w:t>3.7387</w:t>
            </w:r>
          </w:p>
        </w:tc>
        <w:tc>
          <w:tcPr>
            <w:tcW w:w="2670" w:type="dxa"/>
            <w:vAlign w:val="center"/>
            <w:hideMark/>
          </w:tcPr>
          <w:p w14:paraId="0A322F0E"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proofErr w:type="gramStart"/>
            <w:r w:rsidRPr="00E4373B">
              <w:rPr>
                <w:rFonts w:ascii="Times New Roman" w:hAnsi="Times New Roman" w:cs="Times New Roman"/>
                <w:sz w:val="16"/>
                <w:szCs w:val="16"/>
              </w:rPr>
              <w:t>F(</w:t>
            </w:r>
            <w:proofErr w:type="gramEnd"/>
            <w:r w:rsidRPr="00E4373B">
              <w:rPr>
                <w:rFonts w:ascii="Times New Roman" w:hAnsi="Times New Roman" w:cs="Times New Roman"/>
                <w:sz w:val="16"/>
                <w:szCs w:val="16"/>
              </w:rPr>
              <w:t>1, 22) =3.3903</w:t>
            </w:r>
          </w:p>
        </w:tc>
      </w:tr>
      <w:tr w:rsidR="00294D85" w:rsidRPr="00E4373B" w14:paraId="7397763B" w14:textId="77777777" w:rsidTr="00937755">
        <w:trPr>
          <w:trHeight w:val="20"/>
        </w:trPr>
        <w:tc>
          <w:tcPr>
            <w:tcW w:w="2672" w:type="dxa"/>
            <w:vAlign w:val="center"/>
            <w:hideMark/>
          </w:tcPr>
          <w:p w14:paraId="4168A309" w14:textId="77777777" w:rsidR="00294D85" w:rsidRPr="00E4373B" w:rsidRDefault="00294D85" w:rsidP="00845CCA">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B: Functional Form</w:t>
            </w:r>
          </w:p>
        </w:tc>
        <w:tc>
          <w:tcPr>
            <w:tcW w:w="3700" w:type="dxa"/>
            <w:vAlign w:val="center"/>
            <w:hideMark/>
          </w:tcPr>
          <w:p w14:paraId="66436BE8"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SQ(1)=</w:t>
            </w:r>
            <w:proofErr w:type="gramEnd"/>
            <w:r w:rsidRPr="00E4373B">
              <w:rPr>
                <w:rFonts w:ascii="Times New Roman" w:hAnsi="Times New Roman" w:cs="Times New Roman"/>
                <w:sz w:val="16"/>
                <w:szCs w:val="16"/>
              </w:rPr>
              <w:t>2.9796</w:t>
            </w:r>
          </w:p>
        </w:tc>
        <w:tc>
          <w:tcPr>
            <w:tcW w:w="2670" w:type="dxa"/>
            <w:vAlign w:val="center"/>
            <w:hideMark/>
          </w:tcPr>
          <w:p w14:paraId="438F82BD"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proofErr w:type="gramStart"/>
            <w:r w:rsidRPr="00E4373B">
              <w:rPr>
                <w:rFonts w:ascii="Times New Roman" w:hAnsi="Times New Roman" w:cs="Times New Roman"/>
                <w:sz w:val="16"/>
                <w:szCs w:val="16"/>
              </w:rPr>
              <w:t>F(</w:t>
            </w:r>
            <w:proofErr w:type="gramEnd"/>
            <w:r w:rsidRPr="00E4373B">
              <w:rPr>
                <w:rFonts w:ascii="Times New Roman" w:hAnsi="Times New Roman" w:cs="Times New Roman"/>
                <w:sz w:val="16"/>
                <w:szCs w:val="16"/>
              </w:rPr>
              <w:t>1, 22) =2.6199</w:t>
            </w:r>
          </w:p>
        </w:tc>
      </w:tr>
      <w:tr w:rsidR="00294D85" w:rsidRPr="00E4373B" w14:paraId="691D28AF" w14:textId="77777777" w:rsidTr="00937755">
        <w:trPr>
          <w:trHeight w:val="20"/>
        </w:trPr>
        <w:tc>
          <w:tcPr>
            <w:tcW w:w="2672" w:type="dxa"/>
            <w:vAlign w:val="center"/>
            <w:hideMark/>
          </w:tcPr>
          <w:p w14:paraId="149FB304" w14:textId="77777777" w:rsidR="00294D85" w:rsidRPr="00E4373B" w:rsidRDefault="00294D85" w:rsidP="00845CCA">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C: Normality</w:t>
            </w:r>
          </w:p>
        </w:tc>
        <w:tc>
          <w:tcPr>
            <w:tcW w:w="3700" w:type="dxa"/>
            <w:vAlign w:val="center"/>
            <w:hideMark/>
          </w:tcPr>
          <w:p w14:paraId="4DA3646A"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w:t>
            </w:r>
            <w:proofErr w:type="gramEnd"/>
            <w:r w:rsidRPr="00E4373B">
              <w:rPr>
                <w:rFonts w:ascii="Times New Roman" w:hAnsi="Times New Roman" w:cs="Times New Roman"/>
                <w:sz w:val="16"/>
                <w:szCs w:val="16"/>
              </w:rPr>
              <w:t>2) =1.2530</w:t>
            </w:r>
          </w:p>
        </w:tc>
        <w:tc>
          <w:tcPr>
            <w:tcW w:w="2670" w:type="dxa"/>
            <w:vAlign w:val="center"/>
            <w:hideMark/>
          </w:tcPr>
          <w:p w14:paraId="105006AF"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Not Applicable</w:t>
            </w:r>
          </w:p>
        </w:tc>
      </w:tr>
      <w:tr w:rsidR="00294D85" w:rsidRPr="00E4373B" w14:paraId="7D72BC77" w14:textId="77777777" w:rsidTr="00937755">
        <w:trPr>
          <w:trHeight w:val="20"/>
        </w:trPr>
        <w:tc>
          <w:tcPr>
            <w:tcW w:w="2672" w:type="dxa"/>
            <w:vAlign w:val="center"/>
            <w:hideMark/>
          </w:tcPr>
          <w:p w14:paraId="1EAEBBDC" w14:textId="77777777" w:rsidR="00294D85" w:rsidRPr="00E4373B" w:rsidRDefault="00294D85" w:rsidP="00845CCA">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D: Heteroscedasticity</w:t>
            </w:r>
          </w:p>
        </w:tc>
        <w:tc>
          <w:tcPr>
            <w:tcW w:w="3700" w:type="dxa"/>
            <w:vAlign w:val="center"/>
            <w:hideMark/>
          </w:tcPr>
          <w:p w14:paraId="3069AB2F"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SQ(1)=</w:t>
            </w:r>
            <w:proofErr w:type="gramEnd"/>
            <w:r w:rsidRPr="00E4373B">
              <w:rPr>
                <w:rFonts w:ascii="Times New Roman" w:hAnsi="Times New Roman" w:cs="Times New Roman"/>
                <w:sz w:val="16"/>
                <w:szCs w:val="16"/>
              </w:rPr>
              <w:t>1.0608</w:t>
            </w:r>
          </w:p>
        </w:tc>
        <w:tc>
          <w:tcPr>
            <w:tcW w:w="2670" w:type="dxa"/>
            <w:vAlign w:val="center"/>
            <w:hideMark/>
          </w:tcPr>
          <w:p w14:paraId="60D8EFC1" w14:textId="77777777" w:rsidR="00294D85" w:rsidRPr="00E4373B" w:rsidRDefault="00294D85" w:rsidP="00845CCA">
            <w:pPr>
              <w:tabs>
                <w:tab w:val="left" w:pos="2805"/>
              </w:tabs>
              <w:spacing w:line="278" w:lineRule="auto"/>
              <w:jc w:val="center"/>
              <w:rPr>
                <w:rFonts w:ascii="Times New Roman" w:hAnsi="Times New Roman" w:cs="Times New Roman"/>
                <w:sz w:val="16"/>
                <w:szCs w:val="16"/>
              </w:rPr>
            </w:pPr>
            <w:proofErr w:type="gramStart"/>
            <w:r w:rsidRPr="00E4373B">
              <w:rPr>
                <w:rFonts w:ascii="Times New Roman" w:hAnsi="Times New Roman" w:cs="Times New Roman"/>
                <w:sz w:val="16"/>
                <w:szCs w:val="16"/>
              </w:rPr>
              <w:t>F(</w:t>
            </w:r>
            <w:proofErr w:type="gramEnd"/>
            <w:r w:rsidRPr="00E4373B">
              <w:rPr>
                <w:rFonts w:ascii="Times New Roman" w:hAnsi="Times New Roman" w:cs="Times New Roman"/>
                <w:sz w:val="16"/>
                <w:szCs w:val="16"/>
              </w:rPr>
              <w:t>1, 26) =1.0238</w:t>
            </w:r>
          </w:p>
        </w:tc>
      </w:tr>
    </w:tbl>
    <w:p w14:paraId="142DA00D" w14:textId="77777777" w:rsidR="00E4373B" w:rsidRDefault="00E4373B" w:rsidP="00340245">
      <w:pPr>
        <w:tabs>
          <w:tab w:val="left" w:pos="2805"/>
        </w:tabs>
        <w:jc w:val="center"/>
        <w:rPr>
          <w:rFonts w:ascii="Times New Roman" w:hAnsi="Times New Roman" w:cs="Times New Roman"/>
          <w:b/>
          <w:bCs/>
          <w:sz w:val="20"/>
          <w:szCs w:val="20"/>
        </w:rPr>
      </w:pPr>
    </w:p>
    <w:p w14:paraId="0026D8A1" w14:textId="09F842F6" w:rsidR="00294D85" w:rsidRPr="003E2907" w:rsidRDefault="00294D85" w:rsidP="00E4373B">
      <w:pPr>
        <w:tabs>
          <w:tab w:val="left" w:pos="2805"/>
        </w:tabs>
        <w:spacing w:after="0"/>
        <w:jc w:val="center"/>
        <w:rPr>
          <w:rFonts w:ascii="Times New Roman" w:hAnsi="Times New Roman" w:cs="Times New Roman"/>
          <w:b/>
          <w:bCs/>
          <w:sz w:val="22"/>
          <w:szCs w:val="22"/>
        </w:rPr>
      </w:pPr>
      <w:r w:rsidRPr="003E2907">
        <w:rPr>
          <w:rFonts w:ascii="Times New Roman" w:hAnsi="Times New Roman" w:cs="Times New Roman"/>
          <w:b/>
          <w:bCs/>
          <w:sz w:val="22"/>
          <w:szCs w:val="22"/>
        </w:rPr>
        <w:t>Regression Results</w:t>
      </w:r>
    </w:p>
    <w:p w14:paraId="6D515879" w14:textId="10C8C005" w:rsidR="00294D85" w:rsidRPr="001B4474" w:rsidRDefault="00294D85" w:rsidP="00E4373B">
      <w:pPr>
        <w:tabs>
          <w:tab w:val="left" w:pos="2805"/>
        </w:tabs>
        <w:spacing w:after="0"/>
        <w:ind w:left="993"/>
        <w:rPr>
          <w:rFonts w:ascii="Times New Roman" w:hAnsi="Times New Roman" w:cs="Times New Roman"/>
          <w:sz w:val="18"/>
          <w:szCs w:val="18"/>
        </w:rPr>
      </w:pPr>
      <w:r w:rsidRPr="001B4474">
        <w:rPr>
          <w:rFonts w:ascii="Times New Roman" w:hAnsi="Times New Roman" w:cs="Times New Roman"/>
          <w:sz w:val="18"/>
          <w:szCs w:val="18"/>
        </w:rPr>
        <w:t>Dependent Variable</w:t>
      </w:r>
      <w:r w:rsidRPr="001B4474">
        <w:rPr>
          <w:rFonts w:ascii="Times New Roman" w:hAnsi="Times New Roman" w:cs="Times New Roman"/>
          <w:sz w:val="18"/>
          <w:szCs w:val="18"/>
        </w:rPr>
        <w:tab/>
      </w:r>
      <w:r w:rsidRPr="001B4474">
        <w:rPr>
          <w:rFonts w:ascii="Times New Roman" w:hAnsi="Times New Roman" w:cs="Times New Roman"/>
          <w:sz w:val="18"/>
          <w:szCs w:val="18"/>
        </w:rPr>
        <w:tab/>
      </w:r>
      <w:r w:rsidRPr="001B4474">
        <w:rPr>
          <w:rFonts w:ascii="Times New Roman" w:hAnsi="Times New Roman" w:cs="Times New Roman"/>
          <w:sz w:val="18"/>
          <w:szCs w:val="18"/>
        </w:rPr>
        <w:tab/>
        <w:t> </w:t>
      </w:r>
      <w:r w:rsidR="00595226">
        <w:rPr>
          <w:rFonts w:ascii="Times New Roman" w:hAnsi="Times New Roman" w:cs="Times New Roman"/>
          <w:sz w:val="18"/>
          <w:szCs w:val="18"/>
        </w:rPr>
        <w:tab/>
      </w:r>
      <w:r w:rsidR="00595226">
        <w:rPr>
          <w:rFonts w:ascii="Times New Roman" w:hAnsi="Times New Roman" w:cs="Times New Roman"/>
          <w:sz w:val="18"/>
          <w:szCs w:val="18"/>
        </w:rPr>
        <w:tab/>
      </w:r>
      <w:r w:rsidRPr="001B4474">
        <w:rPr>
          <w:rFonts w:ascii="Times New Roman" w:hAnsi="Times New Roman" w:cs="Times New Roman"/>
          <w:sz w:val="18"/>
          <w:szCs w:val="18"/>
        </w:rPr>
        <w:t>Per Capita Expenditure on Police</w:t>
      </w:r>
    </w:p>
    <w:p w14:paraId="64BC1ECE" w14:textId="59EB8234" w:rsidR="00294D85" w:rsidRPr="001B4474" w:rsidRDefault="00294D85" w:rsidP="00E4373B">
      <w:pPr>
        <w:tabs>
          <w:tab w:val="left" w:pos="2805"/>
        </w:tabs>
        <w:spacing w:after="0"/>
        <w:ind w:firstLine="993"/>
        <w:rPr>
          <w:rFonts w:ascii="Times New Roman" w:hAnsi="Times New Roman" w:cs="Times New Roman"/>
          <w:sz w:val="18"/>
          <w:szCs w:val="18"/>
        </w:rPr>
      </w:pPr>
      <w:r w:rsidRPr="001B4474">
        <w:rPr>
          <w:rFonts w:ascii="Times New Roman" w:hAnsi="Times New Roman" w:cs="Times New Roman"/>
          <w:sz w:val="18"/>
          <w:szCs w:val="18"/>
        </w:rPr>
        <w:t>Number Of Observations 28</w:t>
      </w:r>
      <w:r w:rsidRPr="001B4474">
        <w:rPr>
          <w:rFonts w:ascii="Times New Roman" w:hAnsi="Times New Roman" w:cs="Times New Roman"/>
          <w:sz w:val="18"/>
          <w:szCs w:val="18"/>
        </w:rPr>
        <w:tab/>
        <w:t xml:space="preserve"> </w:t>
      </w:r>
      <w:r w:rsidR="001B4474">
        <w:rPr>
          <w:rFonts w:ascii="Times New Roman" w:hAnsi="Times New Roman" w:cs="Times New Roman"/>
          <w:sz w:val="18"/>
          <w:szCs w:val="18"/>
        </w:rPr>
        <w:tab/>
      </w:r>
      <w:r w:rsidR="001B4474">
        <w:rPr>
          <w:rFonts w:ascii="Times New Roman" w:hAnsi="Times New Roman" w:cs="Times New Roman"/>
          <w:sz w:val="18"/>
          <w:szCs w:val="18"/>
        </w:rPr>
        <w:tab/>
      </w:r>
      <w:r w:rsidRPr="001B4474">
        <w:rPr>
          <w:rFonts w:ascii="Times New Roman" w:hAnsi="Times New Roman" w:cs="Times New Roman"/>
          <w:sz w:val="18"/>
          <w:szCs w:val="18"/>
        </w:rPr>
        <w:t xml:space="preserve">Degrees </w:t>
      </w:r>
      <w:proofErr w:type="gramStart"/>
      <w:r w:rsidRPr="001B4474">
        <w:rPr>
          <w:rFonts w:ascii="Times New Roman" w:hAnsi="Times New Roman" w:cs="Times New Roman"/>
          <w:sz w:val="18"/>
          <w:szCs w:val="18"/>
        </w:rPr>
        <w:t>Of</w:t>
      </w:r>
      <w:proofErr w:type="gramEnd"/>
      <w:r w:rsidRPr="001B4474">
        <w:rPr>
          <w:rFonts w:ascii="Times New Roman" w:hAnsi="Times New Roman" w:cs="Times New Roman"/>
          <w:sz w:val="18"/>
          <w:szCs w:val="18"/>
        </w:rPr>
        <w:t xml:space="preserve"> Freedom 22</w:t>
      </w:r>
    </w:p>
    <w:tbl>
      <w:tblPr>
        <w:tblStyle w:val="TableGrid"/>
        <w:tblW w:w="9125" w:type="dxa"/>
        <w:jc w:val="center"/>
        <w:tblLook w:val="04A0" w:firstRow="1" w:lastRow="0" w:firstColumn="1" w:lastColumn="0" w:noHBand="0" w:noVBand="1"/>
      </w:tblPr>
      <w:tblGrid>
        <w:gridCol w:w="5235"/>
        <w:gridCol w:w="1346"/>
        <w:gridCol w:w="1497"/>
        <w:gridCol w:w="1047"/>
      </w:tblGrid>
      <w:tr w:rsidR="00294D85" w:rsidRPr="00E4373B" w14:paraId="7B9ADB60" w14:textId="77777777" w:rsidTr="00937755">
        <w:trPr>
          <w:trHeight w:val="160"/>
          <w:jc w:val="center"/>
        </w:trPr>
        <w:tc>
          <w:tcPr>
            <w:tcW w:w="5235" w:type="dxa"/>
            <w:vAlign w:val="center"/>
            <w:hideMark/>
          </w:tcPr>
          <w:p w14:paraId="1FF6AF03"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Regressor</w:t>
            </w:r>
          </w:p>
        </w:tc>
        <w:tc>
          <w:tcPr>
            <w:tcW w:w="1346" w:type="dxa"/>
            <w:vAlign w:val="center"/>
            <w:hideMark/>
          </w:tcPr>
          <w:p w14:paraId="55A4C853"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Coefficient</w:t>
            </w:r>
          </w:p>
        </w:tc>
        <w:tc>
          <w:tcPr>
            <w:tcW w:w="1497" w:type="dxa"/>
            <w:vAlign w:val="center"/>
            <w:hideMark/>
          </w:tcPr>
          <w:p w14:paraId="2DA607DF"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Standard Error</w:t>
            </w:r>
          </w:p>
        </w:tc>
        <w:tc>
          <w:tcPr>
            <w:tcW w:w="1047" w:type="dxa"/>
            <w:vAlign w:val="center"/>
            <w:hideMark/>
          </w:tcPr>
          <w:p w14:paraId="5588C92E"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T - Ratio</w:t>
            </w:r>
          </w:p>
        </w:tc>
      </w:tr>
      <w:tr w:rsidR="00294D85" w:rsidRPr="00E4373B" w14:paraId="076210AF" w14:textId="77777777" w:rsidTr="00937755">
        <w:trPr>
          <w:trHeight w:val="160"/>
          <w:jc w:val="center"/>
        </w:trPr>
        <w:tc>
          <w:tcPr>
            <w:tcW w:w="5235" w:type="dxa"/>
            <w:vAlign w:val="center"/>
            <w:hideMark/>
          </w:tcPr>
          <w:p w14:paraId="7EDEE0C4"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1 Number of police constables (below SI rank) per 1000 population</w:t>
            </w:r>
          </w:p>
        </w:tc>
        <w:tc>
          <w:tcPr>
            <w:tcW w:w="1346" w:type="dxa"/>
            <w:vAlign w:val="center"/>
            <w:hideMark/>
          </w:tcPr>
          <w:p w14:paraId="4761B8D0"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0.7383</w:t>
            </w:r>
          </w:p>
        </w:tc>
        <w:tc>
          <w:tcPr>
            <w:tcW w:w="1497" w:type="dxa"/>
            <w:vAlign w:val="center"/>
            <w:hideMark/>
          </w:tcPr>
          <w:p w14:paraId="0AFBD5EA"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0.1320</w:t>
            </w:r>
          </w:p>
        </w:tc>
        <w:tc>
          <w:tcPr>
            <w:tcW w:w="1047" w:type="dxa"/>
            <w:vAlign w:val="center"/>
            <w:hideMark/>
          </w:tcPr>
          <w:p w14:paraId="7A4A1705" w14:textId="77777777" w:rsidR="00294D85" w:rsidRPr="00E4373B" w:rsidRDefault="00294D85" w:rsidP="00DD5250">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5.5935</w:t>
            </w:r>
          </w:p>
        </w:tc>
      </w:tr>
      <w:tr w:rsidR="00294D85" w:rsidRPr="00E4373B" w14:paraId="60ED6AE9" w14:textId="77777777" w:rsidTr="00937755">
        <w:trPr>
          <w:trHeight w:val="160"/>
          <w:jc w:val="center"/>
        </w:trPr>
        <w:tc>
          <w:tcPr>
            <w:tcW w:w="5235" w:type="dxa"/>
            <w:vAlign w:val="center"/>
            <w:hideMark/>
          </w:tcPr>
          <w:p w14:paraId="5826B269"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2 Number of cognisable offences per 1000 population</w:t>
            </w:r>
          </w:p>
        </w:tc>
        <w:tc>
          <w:tcPr>
            <w:tcW w:w="1346" w:type="dxa"/>
            <w:vAlign w:val="center"/>
            <w:hideMark/>
          </w:tcPr>
          <w:p w14:paraId="5F973FC2"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- 0.1231</w:t>
            </w:r>
          </w:p>
        </w:tc>
        <w:tc>
          <w:tcPr>
            <w:tcW w:w="1497" w:type="dxa"/>
            <w:vAlign w:val="center"/>
            <w:hideMark/>
          </w:tcPr>
          <w:p w14:paraId="4875D89B"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0.0772</w:t>
            </w:r>
          </w:p>
        </w:tc>
        <w:tc>
          <w:tcPr>
            <w:tcW w:w="1047" w:type="dxa"/>
            <w:vAlign w:val="center"/>
            <w:hideMark/>
          </w:tcPr>
          <w:p w14:paraId="6C03980F" w14:textId="77777777" w:rsidR="00294D85" w:rsidRPr="00E4373B" w:rsidRDefault="00294D85" w:rsidP="00DD5250">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- 1.5950</w:t>
            </w:r>
          </w:p>
        </w:tc>
      </w:tr>
      <w:tr w:rsidR="00294D85" w:rsidRPr="00E4373B" w14:paraId="2A4CC809" w14:textId="77777777" w:rsidTr="00937755">
        <w:trPr>
          <w:trHeight w:val="160"/>
          <w:jc w:val="center"/>
        </w:trPr>
        <w:tc>
          <w:tcPr>
            <w:tcW w:w="5235" w:type="dxa"/>
            <w:vAlign w:val="center"/>
            <w:hideMark/>
          </w:tcPr>
          <w:p w14:paraId="0F2B6967"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3 Salary differences of police constables</w:t>
            </w:r>
          </w:p>
        </w:tc>
        <w:tc>
          <w:tcPr>
            <w:tcW w:w="1346" w:type="dxa"/>
            <w:vAlign w:val="center"/>
            <w:hideMark/>
          </w:tcPr>
          <w:p w14:paraId="0F775875"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0.4959</w:t>
            </w:r>
          </w:p>
        </w:tc>
        <w:tc>
          <w:tcPr>
            <w:tcW w:w="1497" w:type="dxa"/>
            <w:vAlign w:val="center"/>
            <w:hideMark/>
          </w:tcPr>
          <w:p w14:paraId="70893148"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0.0212</w:t>
            </w:r>
          </w:p>
        </w:tc>
        <w:tc>
          <w:tcPr>
            <w:tcW w:w="1047" w:type="dxa"/>
            <w:vAlign w:val="center"/>
            <w:hideMark/>
          </w:tcPr>
          <w:p w14:paraId="5A347A83" w14:textId="77777777" w:rsidR="00294D85" w:rsidRPr="00E4373B" w:rsidRDefault="00294D85" w:rsidP="00DD5250">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23.4180</w:t>
            </w:r>
          </w:p>
        </w:tc>
      </w:tr>
      <w:tr w:rsidR="00294D85" w:rsidRPr="00E4373B" w14:paraId="1F541A94" w14:textId="77777777" w:rsidTr="00937755">
        <w:trPr>
          <w:trHeight w:val="160"/>
          <w:jc w:val="center"/>
        </w:trPr>
        <w:tc>
          <w:tcPr>
            <w:tcW w:w="5235" w:type="dxa"/>
            <w:vAlign w:val="center"/>
            <w:hideMark/>
          </w:tcPr>
          <w:p w14:paraId="5EA2CFF1"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4 Proportion of urban population to total population</w:t>
            </w:r>
          </w:p>
        </w:tc>
        <w:tc>
          <w:tcPr>
            <w:tcW w:w="1346" w:type="dxa"/>
            <w:vAlign w:val="center"/>
            <w:hideMark/>
          </w:tcPr>
          <w:p w14:paraId="2710461D"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0.1731</w:t>
            </w:r>
          </w:p>
        </w:tc>
        <w:tc>
          <w:tcPr>
            <w:tcW w:w="1497" w:type="dxa"/>
            <w:vAlign w:val="center"/>
            <w:hideMark/>
          </w:tcPr>
          <w:p w14:paraId="365EA026"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0.0803</w:t>
            </w:r>
          </w:p>
        </w:tc>
        <w:tc>
          <w:tcPr>
            <w:tcW w:w="1047" w:type="dxa"/>
            <w:vAlign w:val="center"/>
            <w:hideMark/>
          </w:tcPr>
          <w:p w14:paraId="6732B4EF" w14:textId="77777777" w:rsidR="00294D85" w:rsidRPr="00E4373B" w:rsidRDefault="00294D85" w:rsidP="00DD5250">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2.1565</w:t>
            </w:r>
          </w:p>
        </w:tc>
      </w:tr>
      <w:tr w:rsidR="00294D85" w:rsidRPr="00E4373B" w14:paraId="3201EE83" w14:textId="77777777" w:rsidTr="00937755">
        <w:trPr>
          <w:trHeight w:val="160"/>
          <w:jc w:val="center"/>
        </w:trPr>
        <w:tc>
          <w:tcPr>
            <w:tcW w:w="5235" w:type="dxa"/>
            <w:vAlign w:val="center"/>
            <w:hideMark/>
          </w:tcPr>
          <w:p w14:paraId="788C6CDD"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Time period (1981-82 to 1983-84)</w:t>
            </w:r>
          </w:p>
        </w:tc>
        <w:tc>
          <w:tcPr>
            <w:tcW w:w="1346" w:type="dxa"/>
            <w:vAlign w:val="center"/>
            <w:hideMark/>
          </w:tcPr>
          <w:p w14:paraId="3E3956F7"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- 0.0336</w:t>
            </w:r>
          </w:p>
        </w:tc>
        <w:tc>
          <w:tcPr>
            <w:tcW w:w="1497" w:type="dxa"/>
            <w:vAlign w:val="center"/>
            <w:hideMark/>
          </w:tcPr>
          <w:p w14:paraId="38CA2529"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0.0778</w:t>
            </w:r>
          </w:p>
        </w:tc>
        <w:tc>
          <w:tcPr>
            <w:tcW w:w="1047" w:type="dxa"/>
            <w:vAlign w:val="center"/>
            <w:hideMark/>
          </w:tcPr>
          <w:p w14:paraId="3E007128" w14:textId="77777777" w:rsidR="00294D85" w:rsidRPr="00E4373B" w:rsidRDefault="00294D85" w:rsidP="00DD5250">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- 0.4322</w:t>
            </w:r>
          </w:p>
        </w:tc>
      </w:tr>
      <w:tr w:rsidR="00294D85" w:rsidRPr="00E4373B" w14:paraId="13DCF48B" w14:textId="77777777" w:rsidTr="00937755">
        <w:trPr>
          <w:trHeight w:val="160"/>
          <w:jc w:val="center"/>
        </w:trPr>
        <w:tc>
          <w:tcPr>
            <w:tcW w:w="5235" w:type="dxa"/>
            <w:vAlign w:val="center"/>
            <w:hideMark/>
          </w:tcPr>
          <w:p w14:paraId="0F27EF69"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Time period (1984-85 to 1986-87)</w:t>
            </w:r>
          </w:p>
        </w:tc>
        <w:tc>
          <w:tcPr>
            <w:tcW w:w="1346" w:type="dxa"/>
            <w:vAlign w:val="center"/>
            <w:hideMark/>
          </w:tcPr>
          <w:p w14:paraId="0A183E21"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0.0690</w:t>
            </w:r>
          </w:p>
        </w:tc>
        <w:tc>
          <w:tcPr>
            <w:tcW w:w="1497" w:type="dxa"/>
            <w:vAlign w:val="center"/>
            <w:hideMark/>
          </w:tcPr>
          <w:p w14:paraId="5F142731"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0.0858</w:t>
            </w:r>
          </w:p>
        </w:tc>
        <w:tc>
          <w:tcPr>
            <w:tcW w:w="1047" w:type="dxa"/>
            <w:vAlign w:val="center"/>
            <w:hideMark/>
          </w:tcPr>
          <w:p w14:paraId="23306D47" w14:textId="77777777" w:rsidR="00294D85" w:rsidRPr="00E4373B" w:rsidRDefault="00294D85" w:rsidP="00DD5250">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0.8046</w:t>
            </w:r>
          </w:p>
        </w:tc>
      </w:tr>
    </w:tbl>
    <w:p w14:paraId="4E02C179" w14:textId="326594CA" w:rsidR="00340245" w:rsidRPr="001B4474" w:rsidRDefault="00294D85" w:rsidP="00E4373B">
      <w:pPr>
        <w:tabs>
          <w:tab w:val="left" w:pos="2805"/>
        </w:tabs>
        <w:ind w:left="993"/>
        <w:rPr>
          <w:rFonts w:ascii="Times New Roman" w:hAnsi="Times New Roman" w:cs="Times New Roman"/>
          <w:sz w:val="18"/>
          <w:szCs w:val="18"/>
        </w:rPr>
      </w:pPr>
      <w:r w:rsidRPr="001B4474">
        <w:rPr>
          <w:rFonts w:ascii="Times New Roman" w:hAnsi="Times New Roman" w:cs="Times New Roman"/>
          <w:sz w:val="18"/>
          <w:szCs w:val="18"/>
        </w:rPr>
        <w:t xml:space="preserve">R - Squared </w:t>
      </w:r>
      <w:r w:rsidR="001B4474">
        <w:rPr>
          <w:rFonts w:ascii="Times New Roman" w:hAnsi="Times New Roman" w:cs="Times New Roman"/>
          <w:sz w:val="18"/>
          <w:szCs w:val="18"/>
        </w:rPr>
        <w:tab/>
      </w:r>
      <w:r w:rsidRPr="001B4474">
        <w:rPr>
          <w:rFonts w:ascii="Times New Roman" w:hAnsi="Times New Roman" w:cs="Times New Roman"/>
          <w:sz w:val="18"/>
          <w:szCs w:val="18"/>
        </w:rPr>
        <w:t>0.8589</w:t>
      </w:r>
      <w:r w:rsidRPr="001B4474">
        <w:rPr>
          <w:rFonts w:ascii="Times New Roman" w:hAnsi="Times New Roman" w:cs="Times New Roman"/>
          <w:sz w:val="18"/>
          <w:szCs w:val="18"/>
        </w:rPr>
        <w:tab/>
        <w:t xml:space="preserve"> Residual Sum of Squares </w:t>
      </w:r>
      <w:r w:rsidR="001B4474">
        <w:rPr>
          <w:rFonts w:ascii="Times New Roman" w:hAnsi="Times New Roman" w:cs="Times New Roman"/>
          <w:sz w:val="18"/>
          <w:szCs w:val="18"/>
        </w:rPr>
        <w:tab/>
      </w:r>
      <w:r w:rsidR="001B4474">
        <w:rPr>
          <w:rFonts w:ascii="Times New Roman" w:hAnsi="Times New Roman" w:cs="Times New Roman"/>
          <w:sz w:val="18"/>
          <w:szCs w:val="18"/>
        </w:rPr>
        <w:tab/>
      </w:r>
      <w:r w:rsidRPr="001B4474">
        <w:rPr>
          <w:rFonts w:ascii="Times New Roman" w:hAnsi="Times New Roman" w:cs="Times New Roman"/>
          <w:sz w:val="18"/>
          <w:szCs w:val="18"/>
        </w:rPr>
        <w:t>0.3377</w:t>
      </w:r>
      <w:r w:rsidRPr="001B4474">
        <w:rPr>
          <w:rFonts w:ascii="Times New Roman" w:hAnsi="Times New Roman" w:cs="Times New Roman"/>
          <w:sz w:val="18"/>
          <w:szCs w:val="18"/>
        </w:rPr>
        <w:br/>
        <w:t xml:space="preserve">R - Bar - Squared </w:t>
      </w:r>
      <w:r w:rsidR="001B4474">
        <w:rPr>
          <w:rFonts w:ascii="Times New Roman" w:hAnsi="Times New Roman" w:cs="Times New Roman"/>
          <w:sz w:val="18"/>
          <w:szCs w:val="18"/>
        </w:rPr>
        <w:tab/>
      </w:r>
      <w:r w:rsidRPr="001B4474">
        <w:rPr>
          <w:rFonts w:ascii="Times New Roman" w:hAnsi="Times New Roman" w:cs="Times New Roman"/>
          <w:sz w:val="18"/>
          <w:szCs w:val="18"/>
        </w:rPr>
        <w:t xml:space="preserve">0.8268 </w:t>
      </w:r>
      <w:r w:rsidRPr="001B4474">
        <w:rPr>
          <w:rFonts w:ascii="Times New Roman" w:hAnsi="Times New Roman" w:cs="Times New Roman"/>
          <w:sz w:val="18"/>
          <w:szCs w:val="18"/>
        </w:rPr>
        <w:tab/>
        <w:t xml:space="preserve">S.E. of Regression </w:t>
      </w:r>
      <w:r w:rsidR="001B4474">
        <w:rPr>
          <w:rFonts w:ascii="Times New Roman" w:hAnsi="Times New Roman" w:cs="Times New Roman"/>
          <w:sz w:val="18"/>
          <w:szCs w:val="18"/>
        </w:rPr>
        <w:tab/>
      </w:r>
      <w:r w:rsidR="001B4474">
        <w:rPr>
          <w:rFonts w:ascii="Times New Roman" w:hAnsi="Times New Roman" w:cs="Times New Roman"/>
          <w:sz w:val="18"/>
          <w:szCs w:val="18"/>
        </w:rPr>
        <w:tab/>
      </w:r>
      <w:r w:rsidR="001B4474">
        <w:rPr>
          <w:rFonts w:ascii="Times New Roman" w:hAnsi="Times New Roman" w:cs="Times New Roman"/>
          <w:sz w:val="18"/>
          <w:szCs w:val="18"/>
        </w:rPr>
        <w:tab/>
      </w:r>
      <w:r w:rsidRPr="001B4474">
        <w:rPr>
          <w:rFonts w:ascii="Times New Roman" w:hAnsi="Times New Roman" w:cs="Times New Roman"/>
          <w:sz w:val="18"/>
          <w:szCs w:val="18"/>
        </w:rPr>
        <w:t>0.1239</w:t>
      </w:r>
    </w:p>
    <w:p w14:paraId="35D8B7D1" w14:textId="3D35A4DF" w:rsidR="00294D85" w:rsidRPr="001B4474" w:rsidRDefault="00294D85" w:rsidP="00E4373B">
      <w:pPr>
        <w:tabs>
          <w:tab w:val="left" w:pos="2805"/>
        </w:tabs>
        <w:spacing w:after="0"/>
        <w:jc w:val="center"/>
        <w:rPr>
          <w:rFonts w:ascii="Times New Roman" w:hAnsi="Times New Roman" w:cs="Times New Roman"/>
          <w:sz w:val="20"/>
          <w:szCs w:val="20"/>
        </w:rPr>
      </w:pPr>
      <w:r w:rsidRPr="001B4474">
        <w:rPr>
          <w:rFonts w:ascii="Times New Roman" w:hAnsi="Times New Roman" w:cs="Times New Roman"/>
          <w:b/>
          <w:bCs/>
          <w:sz w:val="20"/>
          <w:szCs w:val="20"/>
        </w:rPr>
        <w:t>Diagnostic Tests</w:t>
      </w:r>
    </w:p>
    <w:tbl>
      <w:tblPr>
        <w:tblStyle w:val="TableGrid"/>
        <w:tblW w:w="9105" w:type="dxa"/>
        <w:jc w:val="center"/>
        <w:tblLook w:val="04A0" w:firstRow="1" w:lastRow="0" w:firstColumn="1" w:lastColumn="0" w:noHBand="0" w:noVBand="1"/>
      </w:tblPr>
      <w:tblGrid>
        <w:gridCol w:w="3162"/>
        <w:gridCol w:w="2973"/>
        <w:gridCol w:w="2970"/>
      </w:tblGrid>
      <w:tr w:rsidR="00294D85" w:rsidRPr="00E4373B" w14:paraId="571657C9" w14:textId="77777777" w:rsidTr="00937755">
        <w:trPr>
          <w:trHeight w:val="82"/>
          <w:jc w:val="center"/>
        </w:trPr>
        <w:tc>
          <w:tcPr>
            <w:tcW w:w="3162" w:type="dxa"/>
            <w:vAlign w:val="center"/>
            <w:hideMark/>
          </w:tcPr>
          <w:p w14:paraId="5610B081"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Test Statistics</w:t>
            </w:r>
          </w:p>
        </w:tc>
        <w:tc>
          <w:tcPr>
            <w:tcW w:w="2973" w:type="dxa"/>
            <w:vAlign w:val="center"/>
            <w:hideMark/>
          </w:tcPr>
          <w:p w14:paraId="59502E10"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LM Version</w:t>
            </w:r>
          </w:p>
        </w:tc>
        <w:tc>
          <w:tcPr>
            <w:tcW w:w="2970" w:type="dxa"/>
            <w:vAlign w:val="center"/>
            <w:hideMark/>
          </w:tcPr>
          <w:p w14:paraId="7403F68C" w14:textId="77777777" w:rsidR="00294D85" w:rsidRPr="00E4373B" w:rsidRDefault="00294D85" w:rsidP="001B4474">
            <w:pPr>
              <w:tabs>
                <w:tab w:val="left" w:pos="2805"/>
              </w:tabs>
              <w:spacing w:line="278" w:lineRule="auto"/>
              <w:jc w:val="center"/>
              <w:rPr>
                <w:rFonts w:ascii="Times New Roman" w:hAnsi="Times New Roman" w:cs="Times New Roman"/>
                <w:b/>
                <w:bCs/>
                <w:sz w:val="16"/>
                <w:szCs w:val="16"/>
              </w:rPr>
            </w:pPr>
            <w:r w:rsidRPr="00E4373B">
              <w:rPr>
                <w:rFonts w:ascii="Times New Roman" w:hAnsi="Times New Roman" w:cs="Times New Roman"/>
                <w:b/>
                <w:bCs/>
                <w:sz w:val="16"/>
                <w:szCs w:val="16"/>
              </w:rPr>
              <w:t>F Version</w:t>
            </w:r>
          </w:p>
        </w:tc>
      </w:tr>
      <w:tr w:rsidR="00294D85" w:rsidRPr="00E4373B" w14:paraId="7752C7E4" w14:textId="77777777" w:rsidTr="00937755">
        <w:trPr>
          <w:trHeight w:val="82"/>
          <w:jc w:val="center"/>
        </w:trPr>
        <w:tc>
          <w:tcPr>
            <w:tcW w:w="3162" w:type="dxa"/>
            <w:vAlign w:val="center"/>
            <w:hideMark/>
          </w:tcPr>
          <w:p w14:paraId="0F32AED6"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A: Serial Correlation</w:t>
            </w:r>
          </w:p>
        </w:tc>
        <w:tc>
          <w:tcPr>
            <w:tcW w:w="2973" w:type="dxa"/>
            <w:vAlign w:val="center"/>
            <w:hideMark/>
          </w:tcPr>
          <w:p w14:paraId="266A020A"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w:t>
            </w:r>
            <w:proofErr w:type="gramEnd"/>
            <w:r w:rsidRPr="00E4373B">
              <w:rPr>
                <w:rFonts w:ascii="Times New Roman" w:hAnsi="Times New Roman" w:cs="Times New Roman"/>
                <w:sz w:val="16"/>
                <w:szCs w:val="16"/>
              </w:rPr>
              <w:t>1) =1.9767</w:t>
            </w:r>
          </w:p>
        </w:tc>
        <w:tc>
          <w:tcPr>
            <w:tcW w:w="2970" w:type="dxa"/>
            <w:vAlign w:val="center"/>
            <w:hideMark/>
          </w:tcPr>
          <w:p w14:paraId="4BDCF93F"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proofErr w:type="gramStart"/>
            <w:r w:rsidRPr="00E4373B">
              <w:rPr>
                <w:rFonts w:ascii="Times New Roman" w:hAnsi="Times New Roman" w:cs="Times New Roman"/>
                <w:sz w:val="16"/>
                <w:szCs w:val="16"/>
              </w:rPr>
              <w:t>F(</w:t>
            </w:r>
            <w:proofErr w:type="gramEnd"/>
            <w:r w:rsidRPr="00E4373B">
              <w:rPr>
                <w:rFonts w:ascii="Times New Roman" w:hAnsi="Times New Roman" w:cs="Times New Roman"/>
                <w:sz w:val="16"/>
                <w:szCs w:val="16"/>
              </w:rPr>
              <w:t>1, 21) =1.5952</w:t>
            </w:r>
          </w:p>
        </w:tc>
      </w:tr>
      <w:tr w:rsidR="00294D85" w:rsidRPr="00E4373B" w14:paraId="5B08C8A9" w14:textId="77777777" w:rsidTr="00937755">
        <w:trPr>
          <w:trHeight w:val="82"/>
          <w:jc w:val="center"/>
        </w:trPr>
        <w:tc>
          <w:tcPr>
            <w:tcW w:w="3162" w:type="dxa"/>
            <w:vAlign w:val="center"/>
            <w:hideMark/>
          </w:tcPr>
          <w:p w14:paraId="3DCB6625"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B: Functional Form</w:t>
            </w:r>
          </w:p>
        </w:tc>
        <w:tc>
          <w:tcPr>
            <w:tcW w:w="2973" w:type="dxa"/>
            <w:vAlign w:val="center"/>
            <w:hideMark/>
          </w:tcPr>
          <w:p w14:paraId="3F1A7E12"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SQ(1)=</w:t>
            </w:r>
            <w:proofErr w:type="gramEnd"/>
            <w:r w:rsidRPr="00E4373B">
              <w:rPr>
                <w:rFonts w:ascii="Times New Roman" w:hAnsi="Times New Roman" w:cs="Times New Roman"/>
                <w:sz w:val="16"/>
                <w:szCs w:val="16"/>
              </w:rPr>
              <w:t>2.8278</w:t>
            </w:r>
          </w:p>
        </w:tc>
        <w:tc>
          <w:tcPr>
            <w:tcW w:w="2970" w:type="dxa"/>
            <w:vAlign w:val="center"/>
            <w:hideMark/>
          </w:tcPr>
          <w:p w14:paraId="76635034"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proofErr w:type="gramStart"/>
            <w:r w:rsidRPr="00E4373B">
              <w:rPr>
                <w:rFonts w:ascii="Times New Roman" w:hAnsi="Times New Roman" w:cs="Times New Roman"/>
                <w:sz w:val="16"/>
                <w:szCs w:val="16"/>
              </w:rPr>
              <w:t>F(</w:t>
            </w:r>
            <w:proofErr w:type="gramEnd"/>
            <w:r w:rsidRPr="00E4373B">
              <w:rPr>
                <w:rFonts w:ascii="Times New Roman" w:hAnsi="Times New Roman" w:cs="Times New Roman"/>
                <w:sz w:val="16"/>
                <w:szCs w:val="16"/>
              </w:rPr>
              <w:t xml:space="preserve">1, </w:t>
            </w:r>
            <w:proofErr w:type="gramStart"/>
            <w:r w:rsidRPr="00E4373B">
              <w:rPr>
                <w:rFonts w:ascii="Times New Roman" w:hAnsi="Times New Roman" w:cs="Times New Roman"/>
                <w:sz w:val="16"/>
                <w:szCs w:val="16"/>
              </w:rPr>
              <w:t>21)=</w:t>
            </w:r>
            <w:proofErr w:type="gramEnd"/>
            <w:r w:rsidRPr="00E4373B">
              <w:rPr>
                <w:rFonts w:ascii="Times New Roman" w:hAnsi="Times New Roman" w:cs="Times New Roman"/>
                <w:sz w:val="16"/>
                <w:szCs w:val="16"/>
              </w:rPr>
              <w:t>2.3591</w:t>
            </w:r>
          </w:p>
        </w:tc>
      </w:tr>
      <w:tr w:rsidR="00294D85" w:rsidRPr="00E4373B" w14:paraId="567330B8" w14:textId="77777777" w:rsidTr="00937755">
        <w:trPr>
          <w:trHeight w:val="82"/>
          <w:jc w:val="center"/>
        </w:trPr>
        <w:tc>
          <w:tcPr>
            <w:tcW w:w="3162" w:type="dxa"/>
            <w:vAlign w:val="center"/>
            <w:hideMark/>
          </w:tcPr>
          <w:p w14:paraId="7B06D947"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C: Normality</w:t>
            </w:r>
          </w:p>
        </w:tc>
        <w:tc>
          <w:tcPr>
            <w:tcW w:w="2973" w:type="dxa"/>
            <w:vAlign w:val="center"/>
            <w:hideMark/>
          </w:tcPr>
          <w:p w14:paraId="50CA697C"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w:t>
            </w:r>
            <w:proofErr w:type="gramEnd"/>
            <w:r w:rsidRPr="00E4373B">
              <w:rPr>
                <w:rFonts w:ascii="Times New Roman" w:hAnsi="Times New Roman" w:cs="Times New Roman"/>
                <w:sz w:val="16"/>
                <w:szCs w:val="16"/>
              </w:rPr>
              <w:t>2) =5.6501</w:t>
            </w:r>
          </w:p>
        </w:tc>
        <w:tc>
          <w:tcPr>
            <w:tcW w:w="2970" w:type="dxa"/>
            <w:vAlign w:val="center"/>
            <w:hideMark/>
          </w:tcPr>
          <w:p w14:paraId="003D9B15"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Not Applicable</w:t>
            </w:r>
          </w:p>
        </w:tc>
      </w:tr>
      <w:tr w:rsidR="00294D85" w:rsidRPr="00E4373B" w14:paraId="516B142F" w14:textId="77777777" w:rsidTr="00937755">
        <w:trPr>
          <w:trHeight w:val="82"/>
          <w:jc w:val="center"/>
        </w:trPr>
        <w:tc>
          <w:tcPr>
            <w:tcW w:w="3162" w:type="dxa"/>
            <w:vAlign w:val="center"/>
            <w:hideMark/>
          </w:tcPr>
          <w:p w14:paraId="1C20F69D" w14:textId="77777777" w:rsidR="00294D85" w:rsidRPr="00E4373B" w:rsidRDefault="00294D85" w:rsidP="001B4474">
            <w:pPr>
              <w:tabs>
                <w:tab w:val="left" w:pos="2805"/>
              </w:tabs>
              <w:spacing w:line="278" w:lineRule="auto"/>
              <w:rPr>
                <w:rFonts w:ascii="Times New Roman" w:hAnsi="Times New Roman" w:cs="Times New Roman"/>
                <w:sz w:val="16"/>
                <w:szCs w:val="16"/>
              </w:rPr>
            </w:pPr>
            <w:r w:rsidRPr="00E4373B">
              <w:rPr>
                <w:rFonts w:ascii="Times New Roman" w:hAnsi="Times New Roman" w:cs="Times New Roman"/>
                <w:sz w:val="16"/>
                <w:szCs w:val="16"/>
              </w:rPr>
              <w:t>D: Heteroscedasticity</w:t>
            </w:r>
          </w:p>
        </w:tc>
        <w:tc>
          <w:tcPr>
            <w:tcW w:w="2973" w:type="dxa"/>
            <w:vAlign w:val="center"/>
            <w:hideMark/>
          </w:tcPr>
          <w:p w14:paraId="37A198E3"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r w:rsidRPr="00E4373B">
              <w:rPr>
                <w:rFonts w:ascii="Times New Roman" w:hAnsi="Times New Roman" w:cs="Times New Roman"/>
                <w:sz w:val="16"/>
                <w:szCs w:val="16"/>
              </w:rPr>
              <w:t>CHI-</w:t>
            </w:r>
            <w:proofErr w:type="gramStart"/>
            <w:r w:rsidRPr="00E4373B">
              <w:rPr>
                <w:rFonts w:ascii="Times New Roman" w:hAnsi="Times New Roman" w:cs="Times New Roman"/>
                <w:sz w:val="16"/>
                <w:szCs w:val="16"/>
              </w:rPr>
              <w:t>SQ(</w:t>
            </w:r>
            <w:proofErr w:type="gramEnd"/>
            <w:r w:rsidRPr="00E4373B">
              <w:rPr>
                <w:rFonts w:ascii="Times New Roman" w:hAnsi="Times New Roman" w:cs="Times New Roman"/>
                <w:sz w:val="16"/>
                <w:szCs w:val="16"/>
              </w:rPr>
              <w:t>1) =0.0309</w:t>
            </w:r>
          </w:p>
        </w:tc>
        <w:tc>
          <w:tcPr>
            <w:tcW w:w="2970" w:type="dxa"/>
            <w:vAlign w:val="center"/>
            <w:hideMark/>
          </w:tcPr>
          <w:p w14:paraId="4D730A9D" w14:textId="77777777" w:rsidR="00294D85" w:rsidRPr="00E4373B" w:rsidRDefault="00294D85" w:rsidP="001B4474">
            <w:pPr>
              <w:tabs>
                <w:tab w:val="left" w:pos="2805"/>
              </w:tabs>
              <w:spacing w:line="278" w:lineRule="auto"/>
              <w:jc w:val="center"/>
              <w:rPr>
                <w:rFonts w:ascii="Times New Roman" w:hAnsi="Times New Roman" w:cs="Times New Roman"/>
                <w:sz w:val="16"/>
                <w:szCs w:val="16"/>
              </w:rPr>
            </w:pPr>
            <w:proofErr w:type="gramStart"/>
            <w:r w:rsidRPr="00E4373B">
              <w:rPr>
                <w:rFonts w:ascii="Times New Roman" w:hAnsi="Times New Roman" w:cs="Times New Roman"/>
                <w:sz w:val="16"/>
                <w:szCs w:val="16"/>
              </w:rPr>
              <w:t>F(</w:t>
            </w:r>
            <w:proofErr w:type="gramEnd"/>
            <w:r w:rsidRPr="00E4373B">
              <w:rPr>
                <w:rFonts w:ascii="Times New Roman" w:hAnsi="Times New Roman" w:cs="Times New Roman"/>
                <w:sz w:val="16"/>
                <w:szCs w:val="16"/>
              </w:rPr>
              <w:t xml:space="preserve">1, </w:t>
            </w:r>
            <w:proofErr w:type="gramStart"/>
            <w:r w:rsidRPr="00E4373B">
              <w:rPr>
                <w:rFonts w:ascii="Times New Roman" w:hAnsi="Times New Roman" w:cs="Times New Roman"/>
                <w:sz w:val="16"/>
                <w:szCs w:val="16"/>
              </w:rPr>
              <w:t>26)=</w:t>
            </w:r>
            <w:proofErr w:type="gramEnd"/>
            <w:r w:rsidRPr="00E4373B">
              <w:rPr>
                <w:rFonts w:ascii="Times New Roman" w:hAnsi="Times New Roman" w:cs="Times New Roman"/>
                <w:sz w:val="16"/>
                <w:szCs w:val="16"/>
              </w:rPr>
              <w:t>0.0288</w:t>
            </w:r>
          </w:p>
        </w:tc>
      </w:tr>
    </w:tbl>
    <w:p w14:paraId="557C3C4B" w14:textId="77777777" w:rsidR="003E2907" w:rsidRDefault="003E2907" w:rsidP="003E2907">
      <w:pPr>
        <w:tabs>
          <w:tab w:val="left" w:pos="2805"/>
        </w:tabs>
        <w:spacing w:after="0"/>
        <w:jc w:val="center"/>
        <w:rPr>
          <w:rFonts w:ascii="Times New Roman" w:hAnsi="Times New Roman" w:cs="Times New Roman"/>
          <w:b/>
          <w:bCs/>
          <w:sz w:val="22"/>
          <w:szCs w:val="22"/>
        </w:rPr>
      </w:pPr>
    </w:p>
    <w:p w14:paraId="41F1F53A" w14:textId="7A5978CD" w:rsidR="003E2907" w:rsidRPr="003E2907" w:rsidRDefault="003E2907" w:rsidP="003E2907">
      <w:pPr>
        <w:tabs>
          <w:tab w:val="left" w:pos="2805"/>
        </w:tabs>
        <w:spacing w:after="0"/>
        <w:jc w:val="center"/>
        <w:rPr>
          <w:rFonts w:ascii="Times New Roman" w:hAnsi="Times New Roman" w:cs="Times New Roman"/>
          <w:b/>
          <w:bCs/>
          <w:sz w:val="22"/>
          <w:szCs w:val="22"/>
        </w:rPr>
      </w:pPr>
      <w:r w:rsidRPr="003E2907">
        <w:rPr>
          <w:rFonts w:ascii="Times New Roman" w:hAnsi="Times New Roman" w:cs="Times New Roman"/>
          <w:b/>
          <w:bCs/>
          <w:sz w:val="22"/>
          <w:szCs w:val="22"/>
        </w:rPr>
        <w:t>Regression Results</w:t>
      </w:r>
    </w:p>
    <w:p w14:paraId="13F21F2D" w14:textId="007B49A0" w:rsidR="00294D85" w:rsidRPr="001B4474" w:rsidRDefault="00294D85" w:rsidP="00E4373B">
      <w:pPr>
        <w:tabs>
          <w:tab w:val="left" w:pos="2805"/>
        </w:tabs>
        <w:spacing w:after="0"/>
        <w:ind w:firstLine="1985"/>
        <w:rPr>
          <w:rFonts w:ascii="Times New Roman" w:hAnsi="Times New Roman" w:cs="Times New Roman"/>
          <w:sz w:val="18"/>
          <w:szCs w:val="18"/>
        </w:rPr>
      </w:pPr>
      <w:r w:rsidRPr="001B4474">
        <w:rPr>
          <w:rFonts w:ascii="Times New Roman" w:hAnsi="Times New Roman" w:cs="Times New Roman"/>
          <w:sz w:val="18"/>
          <w:szCs w:val="18"/>
        </w:rPr>
        <w:t>Dependent Variable </w:t>
      </w:r>
      <w:r w:rsidRPr="001B4474">
        <w:rPr>
          <w:rFonts w:ascii="Times New Roman" w:hAnsi="Times New Roman" w:cs="Times New Roman"/>
          <w:sz w:val="18"/>
          <w:szCs w:val="18"/>
        </w:rPr>
        <w:tab/>
      </w:r>
      <w:r w:rsidRPr="001B4474">
        <w:rPr>
          <w:rFonts w:ascii="Times New Roman" w:hAnsi="Times New Roman" w:cs="Times New Roman"/>
          <w:sz w:val="18"/>
          <w:szCs w:val="18"/>
        </w:rPr>
        <w:tab/>
      </w:r>
      <w:r w:rsidR="000B1456">
        <w:rPr>
          <w:rFonts w:ascii="Times New Roman" w:hAnsi="Times New Roman" w:cs="Times New Roman"/>
          <w:sz w:val="18"/>
          <w:szCs w:val="18"/>
        </w:rPr>
        <w:tab/>
      </w:r>
      <w:r w:rsidRPr="001B4474">
        <w:rPr>
          <w:rFonts w:ascii="Times New Roman" w:hAnsi="Times New Roman" w:cs="Times New Roman"/>
          <w:sz w:val="18"/>
          <w:szCs w:val="18"/>
        </w:rPr>
        <w:tab/>
        <w:t>Total Expenditure on Jails</w:t>
      </w:r>
    </w:p>
    <w:p w14:paraId="4AA2BB7E" w14:textId="092C3365" w:rsidR="00294D85" w:rsidRPr="001B4474" w:rsidRDefault="00294D85" w:rsidP="00E4373B">
      <w:pPr>
        <w:tabs>
          <w:tab w:val="left" w:pos="2805"/>
        </w:tabs>
        <w:spacing w:after="0"/>
        <w:ind w:firstLine="1985"/>
        <w:rPr>
          <w:rFonts w:ascii="Times New Roman" w:hAnsi="Times New Roman" w:cs="Times New Roman"/>
          <w:sz w:val="18"/>
          <w:szCs w:val="18"/>
        </w:rPr>
      </w:pPr>
      <w:r w:rsidRPr="001B4474">
        <w:rPr>
          <w:rFonts w:ascii="Times New Roman" w:hAnsi="Times New Roman" w:cs="Times New Roman"/>
          <w:sz w:val="18"/>
          <w:szCs w:val="18"/>
        </w:rPr>
        <w:t>Number Of Observations 28</w:t>
      </w:r>
      <w:r w:rsidRPr="001B4474">
        <w:rPr>
          <w:rFonts w:ascii="Times New Roman" w:hAnsi="Times New Roman" w:cs="Times New Roman"/>
          <w:sz w:val="18"/>
          <w:szCs w:val="18"/>
        </w:rPr>
        <w:tab/>
      </w:r>
      <w:r w:rsidR="001B4474">
        <w:rPr>
          <w:rFonts w:ascii="Times New Roman" w:hAnsi="Times New Roman" w:cs="Times New Roman"/>
          <w:sz w:val="18"/>
          <w:szCs w:val="18"/>
        </w:rPr>
        <w:tab/>
      </w:r>
      <w:r w:rsidR="001B4474">
        <w:rPr>
          <w:rFonts w:ascii="Times New Roman" w:hAnsi="Times New Roman" w:cs="Times New Roman"/>
          <w:sz w:val="18"/>
          <w:szCs w:val="18"/>
        </w:rPr>
        <w:tab/>
      </w:r>
      <w:r w:rsidRPr="001B4474">
        <w:rPr>
          <w:rFonts w:ascii="Times New Roman" w:hAnsi="Times New Roman" w:cs="Times New Roman"/>
          <w:sz w:val="18"/>
          <w:szCs w:val="18"/>
        </w:rPr>
        <w:t xml:space="preserve"> Degrees </w:t>
      </w:r>
      <w:proofErr w:type="gramStart"/>
      <w:r w:rsidRPr="001B4474">
        <w:rPr>
          <w:rFonts w:ascii="Times New Roman" w:hAnsi="Times New Roman" w:cs="Times New Roman"/>
          <w:sz w:val="18"/>
          <w:szCs w:val="18"/>
        </w:rPr>
        <w:t>Of</w:t>
      </w:r>
      <w:proofErr w:type="gramEnd"/>
      <w:r w:rsidRPr="001B4474">
        <w:rPr>
          <w:rFonts w:ascii="Times New Roman" w:hAnsi="Times New Roman" w:cs="Times New Roman"/>
          <w:sz w:val="18"/>
          <w:szCs w:val="18"/>
        </w:rPr>
        <w:t xml:space="preserve"> Freedom 23</w:t>
      </w:r>
    </w:p>
    <w:tbl>
      <w:tblPr>
        <w:tblStyle w:val="TableGrid"/>
        <w:tblW w:w="9226" w:type="dxa"/>
        <w:jc w:val="center"/>
        <w:tblLook w:val="04A0" w:firstRow="1" w:lastRow="0" w:firstColumn="1" w:lastColumn="0" w:noHBand="0" w:noVBand="1"/>
      </w:tblPr>
      <w:tblGrid>
        <w:gridCol w:w="4694"/>
        <w:gridCol w:w="1679"/>
        <w:gridCol w:w="1678"/>
        <w:gridCol w:w="1175"/>
      </w:tblGrid>
      <w:tr w:rsidR="00294D85" w:rsidRPr="00951606" w14:paraId="18C272F7" w14:textId="77777777" w:rsidTr="00937755">
        <w:trPr>
          <w:trHeight w:val="55"/>
          <w:jc w:val="center"/>
        </w:trPr>
        <w:tc>
          <w:tcPr>
            <w:tcW w:w="4694" w:type="dxa"/>
            <w:vAlign w:val="center"/>
            <w:hideMark/>
          </w:tcPr>
          <w:p w14:paraId="5FFFA8D0"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Regressor</w:t>
            </w:r>
          </w:p>
        </w:tc>
        <w:tc>
          <w:tcPr>
            <w:tcW w:w="1679" w:type="dxa"/>
            <w:vAlign w:val="center"/>
            <w:hideMark/>
          </w:tcPr>
          <w:p w14:paraId="6DFC1DCF"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Coefficient</w:t>
            </w:r>
          </w:p>
        </w:tc>
        <w:tc>
          <w:tcPr>
            <w:tcW w:w="1678" w:type="dxa"/>
            <w:vAlign w:val="center"/>
            <w:hideMark/>
          </w:tcPr>
          <w:p w14:paraId="7C107DC4"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Standard Error</w:t>
            </w:r>
          </w:p>
        </w:tc>
        <w:tc>
          <w:tcPr>
            <w:tcW w:w="1175" w:type="dxa"/>
            <w:vAlign w:val="center"/>
            <w:hideMark/>
          </w:tcPr>
          <w:p w14:paraId="1FB5B3E1"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T - Ratio</w:t>
            </w:r>
          </w:p>
        </w:tc>
      </w:tr>
      <w:tr w:rsidR="00294D85" w:rsidRPr="00951606" w14:paraId="6FE9FCBF" w14:textId="77777777" w:rsidTr="00937755">
        <w:trPr>
          <w:trHeight w:val="55"/>
          <w:jc w:val="center"/>
        </w:trPr>
        <w:tc>
          <w:tcPr>
            <w:tcW w:w="4694" w:type="dxa"/>
            <w:vAlign w:val="center"/>
            <w:hideMark/>
          </w:tcPr>
          <w:p w14:paraId="76C1385B" w14:textId="77777777" w:rsidR="00294D85" w:rsidRPr="00951606" w:rsidRDefault="00294D85" w:rsidP="001B4474">
            <w:pPr>
              <w:tabs>
                <w:tab w:val="left" w:pos="2805"/>
              </w:tabs>
              <w:spacing w:line="278" w:lineRule="auto"/>
              <w:rPr>
                <w:rFonts w:ascii="Times New Roman" w:hAnsi="Times New Roman" w:cs="Times New Roman"/>
                <w:sz w:val="16"/>
                <w:szCs w:val="16"/>
              </w:rPr>
            </w:pPr>
            <w:r w:rsidRPr="00951606">
              <w:rPr>
                <w:rFonts w:ascii="Times New Roman" w:hAnsi="Times New Roman" w:cs="Times New Roman"/>
                <w:sz w:val="16"/>
                <w:szCs w:val="16"/>
              </w:rPr>
              <w:t>1 Total jail capacity</w:t>
            </w:r>
          </w:p>
        </w:tc>
        <w:tc>
          <w:tcPr>
            <w:tcW w:w="1679" w:type="dxa"/>
            <w:vAlign w:val="center"/>
            <w:hideMark/>
          </w:tcPr>
          <w:p w14:paraId="6D9BF7F6"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0.7341</w:t>
            </w:r>
          </w:p>
        </w:tc>
        <w:tc>
          <w:tcPr>
            <w:tcW w:w="1678" w:type="dxa"/>
            <w:vAlign w:val="center"/>
            <w:hideMark/>
          </w:tcPr>
          <w:p w14:paraId="138490C8"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0.0735</w:t>
            </w:r>
          </w:p>
        </w:tc>
        <w:tc>
          <w:tcPr>
            <w:tcW w:w="1175" w:type="dxa"/>
            <w:vAlign w:val="center"/>
            <w:hideMark/>
          </w:tcPr>
          <w:p w14:paraId="5FB2F83C"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9.9851</w:t>
            </w:r>
          </w:p>
        </w:tc>
      </w:tr>
      <w:tr w:rsidR="00294D85" w:rsidRPr="00951606" w14:paraId="782EF9A0" w14:textId="77777777" w:rsidTr="00937755">
        <w:trPr>
          <w:trHeight w:val="55"/>
          <w:jc w:val="center"/>
        </w:trPr>
        <w:tc>
          <w:tcPr>
            <w:tcW w:w="4694" w:type="dxa"/>
            <w:vAlign w:val="center"/>
            <w:hideMark/>
          </w:tcPr>
          <w:p w14:paraId="7E921B40" w14:textId="77777777" w:rsidR="00294D85" w:rsidRPr="00951606" w:rsidRDefault="00294D85" w:rsidP="001B4474">
            <w:pPr>
              <w:tabs>
                <w:tab w:val="left" w:pos="2805"/>
              </w:tabs>
              <w:spacing w:line="278" w:lineRule="auto"/>
              <w:rPr>
                <w:rFonts w:ascii="Times New Roman" w:hAnsi="Times New Roman" w:cs="Times New Roman"/>
                <w:sz w:val="16"/>
                <w:szCs w:val="16"/>
              </w:rPr>
            </w:pPr>
            <w:r w:rsidRPr="00951606">
              <w:rPr>
                <w:rFonts w:ascii="Times New Roman" w:hAnsi="Times New Roman" w:cs="Times New Roman"/>
                <w:sz w:val="16"/>
                <w:szCs w:val="16"/>
              </w:rPr>
              <w:t>2 Number of prisoners per jail capacity</w:t>
            </w:r>
          </w:p>
        </w:tc>
        <w:tc>
          <w:tcPr>
            <w:tcW w:w="1679" w:type="dxa"/>
            <w:vAlign w:val="center"/>
            <w:hideMark/>
          </w:tcPr>
          <w:p w14:paraId="462C6DCC"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0.6187</w:t>
            </w:r>
          </w:p>
        </w:tc>
        <w:tc>
          <w:tcPr>
            <w:tcW w:w="1678" w:type="dxa"/>
            <w:vAlign w:val="center"/>
            <w:hideMark/>
          </w:tcPr>
          <w:p w14:paraId="317CF537"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0.1721</w:t>
            </w:r>
          </w:p>
        </w:tc>
        <w:tc>
          <w:tcPr>
            <w:tcW w:w="1175" w:type="dxa"/>
            <w:vAlign w:val="center"/>
            <w:hideMark/>
          </w:tcPr>
          <w:p w14:paraId="21D80B1C"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3.5946</w:t>
            </w:r>
          </w:p>
        </w:tc>
      </w:tr>
      <w:tr w:rsidR="00294D85" w:rsidRPr="00951606" w14:paraId="55F558E4" w14:textId="77777777" w:rsidTr="00937755">
        <w:trPr>
          <w:trHeight w:val="55"/>
          <w:jc w:val="center"/>
        </w:trPr>
        <w:tc>
          <w:tcPr>
            <w:tcW w:w="4694" w:type="dxa"/>
            <w:vAlign w:val="center"/>
            <w:hideMark/>
          </w:tcPr>
          <w:p w14:paraId="3D2B61C4" w14:textId="77777777" w:rsidR="00294D85" w:rsidRPr="00951606" w:rsidRDefault="00294D85" w:rsidP="001B4474">
            <w:pPr>
              <w:tabs>
                <w:tab w:val="left" w:pos="2805"/>
              </w:tabs>
              <w:spacing w:line="278" w:lineRule="auto"/>
              <w:rPr>
                <w:rFonts w:ascii="Times New Roman" w:hAnsi="Times New Roman" w:cs="Times New Roman"/>
                <w:sz w:val="16"/>
                <w:szCs w:val="16"/>
              </w:rPr>
            </w:pPr>
            <w:r w:rsidRPr="00951606">
              <w:rPr>
                <w:rFonts w:ascii="Times New Roman" w:hAnsi="Times New Roman" w:cs="Times New Roman"/>
                <w:sz w:val="16"/>
                <w:szCs w:val="16"/>
              </w:rPr>
              <w:t>3 Density of urban population</w:t>
            </w:r>
          </w:p>
        </w:tc>
        <w:tc>
          <w:tcPr>
            <w:tcW w:w="1679" w:type="dxa"/>
            <w:vAlign w:val="center"/>
            <w:hideMark/>
          </w:tcPr>
          <w:p w14:paraId="445272BF"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- 0.0666</w:t>
            </w:r>
          </w:p>
        </w:tc>
        <w:tc>
          <w:tcPr>
            <w:tcW w:w="1678" w:type="dxa"/>
            <w:vAlign w:val="center"/>
            <w:hideMark/>
          </w:tcPr>
          <w:p w14:paraId="2A08DB5C"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0.1228</w:t>
            </w:r>
          </w:p>
        </w:tc>
        <w:tc>
          <w:tcPr>
            <w:tcW w:w="1175" w:type="dxa"/>
            <w:vAlign w:val="center"/>
            <w:hideMark/>
          </w:tcPr>
          <w:p w14:paraId="30D42753"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- 0.5422</w:t>
            </w:r>
          </w:p>
        </w:tc>
      </w:tr>
      <w:tr w:rsidR="00294D85" w:rsidRPr="00951606" w14:paraId="285BCA3D" w14:textId="77777777" w:rsidTr="00937755">
        <w:trPr>
          <w:trHeight w:val="55"/>
          <w:jc w:val="center"/>
        </w:trPr>
        <w:tc>
          <w:tcPr>
            <w:tcW w:w="4694" w:type="dxa"/>
            <w:vAlign w:val="center"/>
            <w:hideMark/>
          </w:tcPr>
          <w:p w14:paraId="40601671" w14:textId="77777777" w:rsidR="00294D85" w:rsidRPr="00951606" w:rsidRDefault="00294D85" w:rsidP="001B4474">
            <w:pPr>
              <w:tabs>
                <w:tab w:val="left" w:pos="2805"/>
              </w:tabs>
              <w:spacing w:line="278" w:lineRule="auto"/>
              <w:rPr>
                <w:rFonts w:ascii="Times New Roman" w:hAnsi="Times New Roman" w:cs="Times New Roman"/>
                <w:sz w:val="16"/>
                <w:szCs w:val="16"/>
              </w:rPr>
            </w:pPr>
            <w:r w:rsidRPr="00951606">
              <w:rPr>
                <w:rFonts w:ascii="Times New Roman" w:hAnsi="Times New Roman" w:cs="Times New Roman"/>
                <w:sz w:val="16"/>
                <w:szCs w:val="16"/>
              </w:rPr>
              <w:t>Time period (1981-82 to 1983-84)</w:t>
            </w:r>
          </w:p>
        </w:tc>
        <w:tc>
          <w:tcPr>
            <w:tcW w:w="1679" w:type="dxa"/>
            <w:vAlign w:val="center"/>
            <w:hideMark/>
          </w:tcPr>
          <w:p w14:paraId="4149D14E"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- 0.0701</w:t>
            </w:r>
          </w:p>
        </w:tc>
        <w:tc>
          <w:tcPr>
            <w:tcW w:w="1678" w:type="dxa"/>
            <w:vAlign w:val="center"/>
            <w:hideMark/>
          </w:tcPr>
          <w:p w14:paraId="47EF7886"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0.1273</w:t>
            </w:r>
          </w:p>
        </w:tc>
        <w:tc>
          <w:tcPr>
            <w:tcW w:w="1175" w:type="dxa"/>
            <w:vAlign w:val="center"/>
            <w:hideMark/>
          </w:tcPr>
          <w:p w14:paraId="48EF88B1"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- 0.5511</w:t>
            </w:r>
          </w:p>
        </w:tc>
      </w:tr>
      <w:tr w:rsidR="00294D85" w:rsidRPr="00951606" w14:paraId="38F5FFB7" w14:textId="77777777" w:rsidTr="00937755">
        <w:trPr>
          <w:trHeight w:val="55"/>
          <w:jc w:val="center"/>
        </w:trPr>
        <w:tc>
          <w:tcPr>
            <w:tcW w:w="4694" w:type="dxa"/>
            <w:vAlign w:val="center"/>
            <w:hideMark/>
          </w:tcPr>
          <w:p w14:paraId="646A5B20" w14:textId="77777777" w:rsidR="00294D85" w:rsidRPr="00951606" w:rsidRDefault="00294D85" w:rsidP="001B4474">
            <w:pPr>
              <w:tabs>
                <w:tab w:val="left" w:pos="2805"/>
              </w:tabs>
              <w:spacing w:line="278" w:lineRule="auto"/>
              <w:rPr>
                <w:rFonts w:ascii="Times New Roman" w:hAnsi="Times New Roman" w:cs="Times New Roman"/>
                <w:sz w:val="16"/>
                <w:szCs w:val="16"/>
              </w:rPr>
            </w:pPr>
            <w:r w:rsidRPr="00951606">
              <w:rPr>
                <w:rFonts w:ascii="Times New Roman" w:hAnsi="Times New Roman" w:cs="Times New Roman"/>
                <w:sz w:val="16"/>
                <w:szCs w:val="16"/>
              </w:rPr>
              <w:t>Time period (1984-85 to 1986-87)</w:t>
            </w:r>
          </w:p>
        </w:tc>
        <w:tc>
          <w:tcPr>
            <w:tcW w:w="1679" w:type="dxa"/>
            <w:vAlign w:val="center"/>
            <w:hideMark/>
          </w:tcPr>
          <w:p w14:paraId="5F36DA14"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- 0.0456</w:t>
            </w:r>
          </w:p>
        </w:tc>
        <w:tc>
          <w:tcPr>
            <w:tcW w:w="1678" w:type="dxa"/>
            <w:vAlign w:val="center"/>
            <w:hideMark/>
          </w:tcPr>
          <w:p w14:paraId="565909FB"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0.1274</w:t>
            </w:r>
          </w:p>
        </w:tc>
        <w:tc>
          <w:tcPr>
            <w:tcW w:w="1175" w:type="dxa"/>
            <w:vAlign w:val="center"/>
            <w:hideMark/>
          </w:tcPr>
          <w:p w14:paraId="30E0BE6C"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- 0.3580</w:t>
            </w:r>
          </w:p>
        </w:tc>
      </w:tr>
    </w:tbl>
    <w:p w14:paraId="505FD816" w14:textId="26CCE251" w:rsidR="00294D85" w:rsidRPr="001B4474" w:rsidRDefault="00294D85" w:rsidP="00951606">
      <w:pPr>
        <w:tabs>
          <w:tab w:val="left" w:pos="2805"/>
        </w:tabs>
        <w:ind w:left="1276"/>
        <w:rPr>
          <w:rFonts w:ascii="Times New Roman" w:hAnsi="Times New Roman" w:cs="Times New Roman"/>
          <w:sz w:val="18"/>
          <w:szCs w:val="18"/>
        </w:rPr>
      </w:pPr>
      <w:r w:rsidRPr="001B4474">
        <w:rPr>
          <w:rFonts w:ascii="Times New Roman" w:hAnsi="Times New Roman" w:cs="Times New Roman"/>
          <w:sz w:val="18"/>
          <w:szCs w:val="18"/>
        </w:rPr>
        <w:t xml:space="preserve">R - Squared </w:t>
      </w:r>
      <w:r w:rsidR="001B4474">
        <w:rPr>
          <w:rFonts w:ascii="Times New Roman" w:hAnsi="Times New Roman" w:cs="Times New Roman"/>
          <w:sz w:val="18"/>
          <w:szCs w:val="18"/>
        </w:rPr>
        <w:tab/>
      </w:r>
      <w:r w:rsidRPr="001B4474">
        <w:rPr>
          <w:rFonts w:ascii="Times New Roman" w:hAnsi="Times New Roman" w:cs="Times New Roman"/>
          <w:sz w:val="18"/>
          <w:szCs w:val="18"/>
        </w:rPr>
        <w:t xml:space="preserve">0.8942 </w:t>
      </w:r>
      <w:r w:rsidRPr="001B4474">
        <w:rPr>
          <w:rFonts w:ascii="Times New Roman" w:hAnsi="Times New Roman" w:cs="Times New Roman"/>
          <w:sz w:val="18"/>
          <w:szCs w:val="18"/>
        </w:rPr>
        <w:tab/>
      </w:r>
      <w:r w:rsidRPr="001B4474">
        <w:rPr>
          <w:rFonts w:ascii="Times New Roman" w:hAnsi="Times New Roman" w:cs="Times New Roman"/>
          <w:sz w:val="18"/>
          <w:szCs w:val="18"/>
        </w:rPr>
        <w:tab/>
      </w:r>
      <w:r w:rsidRPr="001B4474">
        <w:rPr>
          <w:rFonts w:ascii="Times New Roman" w:hAnsi="Times New Roman" w:cs="Times New Roman"/>
          <w:sz w:val="18"/>
          <w:szCs w:val="18"/>
        </w:rPr>
        <w:tab/>
        <w:t xml:space="preserve">Residual Sum of Squares </w:t>
      </w:r>
      <w:r w:rsidR="001B4474">
        <w:rPr>
          <w:rFonts w:ascii="Times New Roman" w:hAnsi="Times New Roman" w:cs="Times New Roman"/>
          <w:sz w:val="18"/>
          <w:szCs w:val="18"/>
        </w:rPr>
        <w:tab/>
      </w:r>
      <w:r w:rsidR="001B4474">
        <w:rPr>
          <w:rFonts w:ascii="Times New Roman" w:hAnsi="Times New Roman" w:cs="Times New Roman"/>
          <w:sz w:val="18"/>
          <w:szCs w:val="18"/>
        </w:rPr>
        <w:tab/>
      </w:r>
      <w:r w:rsidRPr="001B4474">
        <w:rPr>
          <w:rFonts w:ascii="Times New Roman" w:hAnsi="Times New Roman" w:cs="Times New Roman"/>
          <w:sz w:val="18"/>
          <w:szCs w:val="18"/>
        </w:rPr>
        <w:t>1.1711</w:t>
      </w:r>
      <w:r w:rsidRPr="001B4474">
        <w:rPr>
          <w:rFonts w:ascii="Times New Roman" w:hAnsi="Times New Roman" w:cs="Times New Roman"/>
          <w:sz w:val="18"/>
          <w:szCs w:val="18"/>
        </w:rPr>
        <w:br/>
        <w:t xml:space="preserve">R - Bar - Squared </w:t>
      </w:r>
      <w:r w:rsidR="001B4474">
        <w:rPr>
          <w:rFonts w:ascii="Times New Roman" w:hAnsi="Times New Roman" w:cs="Times New Roman"/>
          <w:sz w:val="18"/>
          <w:szCs w:val="18"/>
        </w:rPr>
        <w:tab/>
      </w:r>
      <w:r w:rsidRPr="001B4474">
        <w:rPr>
          <w:rFonts w:ascii="Times New Roman" w:hAnsi="Times New Roman" w:cs="Times New Roman"/>
          <w:sz w:val="18"/>
          <w:szCs w:val="18"/>
        </w:rPr>
        <w:t xml:space="preserve">0.8758 </w:t>
      </w:r>
      <w:r w:rsidRPr="001B4474">
        <w:rPr>
          <w:rFonts w:ascii="Times New Roman" w:hAnsi="Times New Roman" w:cs="Times New Roman"/>
          <w:sz w:val="18"/>
          <w:szCs w:val="18"/>
        </w:rPr>
        <w:tab/>
      </w:r>
      <w:r w:rsidRPr="001B4474">
        <w:rPr>
          <w:rFonts w:ascii="Times New Roman" w:hAnsi="Times New Roman" w:cs="Times New Roman"/>
          <w:sz w:val="18"/>
          <w:szCs w:val="18"/>
        </w:rPr>
        <w:tab/>
      </w:r>
      <w:r w:rsidRPr="001B4474">
        <w:rPr>
          <w:rFonts w:ascii="Times New Roman" w:hAnsi="Times New Roman" w:cs="Times New Roman"/>
          <w:sz w:val="18"/>
          <w:szCs w:val="18"/>
        </w:rPr>
        <w:tab/>
        <w:t xml:space="preserve">S.E. of Regression </w:t>
      </w:r>
      <w:r w:rsidR="001B4474">
        <w:rPr>
          <w:rFonts w:ascii="Times New Roman" w:hAnsi="Times New Roman" w:cs="Times New Roman"/>
          <w:sz w:val="18"/>
          <w:szCs w:val="18"/>
        </w:rPr>
        <w:tab/>
      </w:r>
      <w:r w:rsidR="001B4474">
        <w:rPr>
          <w:rFonts w:ascii="Times New Roman" w:hAnsi="Times New Roman" w:cs="Times New Roman"/>
          <w:sz w:val="18"/>
          <w:szCs w:val="18"/>
        </w:rPr>
        <w:tab/>
      </w:r>
      <w:r w:rsidR="001B4474">
        <w:rPr>
          <w:rFonts w:ascii="Times New Roman" w:hAnsi="Times New Roman" w:cs="Times New Roman"/>
          <w:sz w:val="18"/>
          <w:szCs w:val="18"/>
        </w:rPr>
        <w:tab/>
      </w:r>
      <w:r w:rsidRPr="001B4474">
        <w:rPr>
          <w:rFonts w:ascii="Times New Roman" w:hAnsi="Times New Roman" w:cs="Times New Roman"/>
          <w:sz w:val="18"/>
          <w:szCs w:val="18"/>
        </w:rPr>
        <w:t>0.2256</w:t>
      </w:r>
    </w:p>
    <w:p w14:paraId="5B4F2567" w14:textId="7EAFF18C" w:rsidR="00294D85" w:rsidRPr="001B4474" w:rsidRDefault="00294D85" w:rsidP="00951606">
      <w:pPr>
        <w:spacing w:after="0"/>
        <w:jc w:val="center"/>
        <w:rPr>
          <w:rFonts w:ascii="Times New Roman" w:hAnsi="Times New Roman" w:cs="Times New Roman"/>
          <w:sz w:val="20"/>
          <w:szCs w:val="20"/>
        </w:rPr>
      </w:pPr>
      <w:r w:rsidRPr="001B4474">
        <w:rPr>
          <w:rFonts w:ascii="Times New Roman" w:hAnsi="Times New Roman" w:cs="Times New Roman"/>
          <w:b/>
          <w:bCs/>
          <w:sz w:val="20"/>
          <w:szCs w:val="20"/>
        </w:rPr>
        <w:t>Diagnostic Tests</w:t>
      </w:r>
    </w:p>
    <w:tbl>
      <w:tblPr>
        <w:tblStyle w:val="TableGrid"/>
        <w:tblW w:w="9226" w:type="dxa"/>
        <w:jc w:val="center"/>
        <w:tblLook w:val="04A0" w:firstRow="1" w:lastRow="0" w:firstColumn="1" w:lastColumn="0" w:noHBand="0" w:noVBand="1"/>
      </w:tblPr>
      <w:tblGrid>
        <w:gridCol w:w="3355"/>
        <w:gridCol w:w="2936"/>
        <w:gridCol w:w="2935"/>
      </w:tblGrid>
      <w:tr w:rsidR="00294D85" w:rsidRPr="00951606" w14:paraId="6DB8CDBA" w14:textId="77777777" w:rsidTr="00937755">
        <w:trPr>
          <w:trHeight w:val="55"/>
          <w:jc w:val="center"/>
        </w:trPr>
        <w:tc>
          <w:tcPr>
            <w:tcW w:w="3355" w:type="dxa"/>
            <w:vAlign w:val="center"/>
            <w:hideMark/>
          </w:tcPr>
          <w:p w14:paraId="065ACB92"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Test Statistics</w:t>
            </w:r>
          </w:p>
        </w:tc>
        <w:tc>
          <w:tcPr>
            <w:tcW w:w="2936" w:type="dxa"/>
            <w:vAlign w:val="center"/>
            <w:hideMark/>
          </w:tcPr>
          <w:p w14:paraId="644049C6"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LM Version</w:t>
            </w:r>
          </w:p>
        </w:tc>
        <w:tc>
          <w:tcPr>
            <w:tcW w:w="2935" w:type="dxa"/>
            <w:vAlign w:val="center"/>
            <w:hideMark/>
          </w:tcPr>
          <w:p w14:paraId="115B1171" w14:textId="77777777" w:rsidR="00294D85" w:rsidRPr="00951606" w:rsidRDefault="00294D85" w:rsidP="001B4474">
            <w:pPr>
              <w:tabs>
                <w:tab w:val="left" w:pos="2805"/>
              </w:tabs>
              <w:spacing w:line="278" w:lineRule="auto"/>
              <w:jc w:val="center"/>
              <w:rPr>
                <w:rFonts w:ascii="Times New Roman" w:hAnsi="Times New Roman" w:cs="Times New Roman"/>
                <w:b/>
                <w:bCs/>
                <w:sz w:val="16"/>
                <w:szCs w:val="16"/>
              </w:rPr>
            </w:pPr>
            <w:r w:rsidRPr="00951606">
              <w:rPr>
                <w:rFonts w:ascii="Times New Roman" w:hAnsi="Times New Roman" w:cs="Times New Roman"/>
                <w:b/>
                <w:bCs/>
                <w:sz w:val="16"/>
                <w:szCs w:val="16"/>
              </w:rPr>
              <w:t>F Version</w:t>
            </w:r>
          </w:p>
        </w:tc>
      </w:tr>
      <w:tr w:rsidR="00294D85" w:rsidRPr="00951606" w14:paraId="298DAFD7" w14:textId="77777777" w:rsidTr="00937755">
        <w:trPr>
          <w:trHeight w:val="55"/>
          <w:jc w:val="center"/>
        </w:trPr>
        <w:tc>
          <w:tcPr>
            <w:tcW w:w="3355" w:type="dxa"/>
            <w:vAlign w:val="center"/>
            <w:hideMark/>
          </w:tcPr>
          <w:p w14:paraId="65B942D1"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b/>
                <w:bCs/>
                <w:sz w:val="16"/>
                <w:szCs w:val="16"/>
              </w:rPr>
              <w:t>A: Serial Correlation</w:t>
            </w:r>
          </w:p>
        </w:tc>
        <w:tc>
          <w:tcPr>
            <w:tcW w:w="2936" w:type="dxa"/>
            <w:vAlign w:val="center"/>
            <w:hideMark/>
          </w:tcPr>
          <w:p w14:paraId="0F453BA6"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CHI-</w:t>
            </w:r>
            <w:proofErr w:type="gramStart"/>
            <w:r w:rsidRPr="00951606">
              <w:rPr>
                <w:rFonts w:ascii="Times New Roman" w:hAnsi="Times New Roman" w:cs="Times New Roman"/>
                <w:sz w:val="16"/>
                <w:szCs w:val="16"/>
              </w:rPr>
              <w:t>SQ(1)=</w:t>
            </w:r>
            <w:proofErr w:type="gramEnd"/>
            <w:r w:rsidRPr="00951606">
              <w:rPr>
                <w:rFonts w:ascii="Times New Roman" w:hAnsi="Times New Roman" w:cs="Times New Roman"/>
                <w:sz w:val="16"/>
                <w:szCs w:val="16"/>
              </w:rPr>
              <w:t>9.1061</w:t>
            </w:r>
          </w:p>
        </w:tc>
        <w:tc>
          <w:tcPr>
            <w:tcW w:w="2935" w:type="dxa"/>
            <w:vAlign w:val="center"/>
            <w:hideMark/>
          </w:tcPr>
          <w:p w14:paraId="6E0DFC1C"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proofErr w:type="gramStart"/>
            <w:r w:rsidRPr="00951606">
              <w:rPr>
                <w:rFonts w:ascii="Times New Roman" w:hAnsi="Times New Roman" w:cs="Times New Roman"/>
                <w:sz w:val="16"/>
                <w:szCs w:val="16"/>
              </w:rPr>
              <w:t>F(</w:t>
            </w:r>
            <w:proofErr w:type="gramEnd"/>
            <w:r w:rsidRPr="00951606">
              <w:rPr>
                <w:rFonts w:ascii="Times New Roman" w:hAnsi="Times New Roman" w:cs="Times New Roman"/>
                <w:sz w:val="16"/>
                <w:szCs w:val="16"/>
              </w:rPr>
              <w:t>1, 22) =10.6031</w:t>
            </w:r>
          </w:p>
        </w:tc>
      </w:tr>
      <w:tr w:rsidR="00294D85" w:rsidRPr="00951606" w14:paraId="0E0E75C5" w14:textId="77777777" w:rsidTr="00937755">
        <w:trPr>
          <w:trHeight w:val="55"/>
          <w:jc w:val="center"/>
        </w:trPr>
        <w:tc>
          <w:tcPr>
            <w:tcW w:w="3355" w:type="dxa"/>
            <w:vAlign w:val="center"/>
            <w:hideMark/>
          </w:tcPr>
          <w:p w14:paraId="3B9F93B6"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b/>
                <w:bCs/>
                <w:sz w:val="16"/>
                <w:szCs w:val="16"/>
              </w:rPr>
              <w:t>B: Functional Form</w:t>
            </w:r>
          </w:p>
        </w:tc>
        <w:tc>
          <w:tcPr>
            <w:tcW w:w="2936" w:type="dxa"/>
            <w:vAlign w:val="center"/>
            <w:hideMark/>
          </w:tcPr>
          <w:p w14:paraId="73F28754"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CHI-</w:t>
            </w:r>
            <w:proofErr w:type="gramStart"/>
            <w:r w:rsidRPr="00951606">
              <w:rPr>
                <w:rFonts w:ascii="Times New Roman" w:hAnsi="Times New Roman" w:cs="Times New Roman"/>
                <w:sz w:val="16"/>
                <w:szCs w:val="16"/>
              </w:rPr>
              <w:t>SQ(1)=</w:t>
            </w:r>
            <w:proofErr w:type="gramEnd"/>
            <w:r w:rsidRPr="00951606">
              <w:rPr>
                <w:rFonts w:ascii="Times New Roman" w:hAnsi="Times New Roman" w:cs="Times New Roman"/>
                <w:sz w:val="16"/>
                <w:szCs w:val="16"/>
              </w:rPr>
              <w:t>1.0500</w:t>
            </w:r>
          </w:p>
        </w:tc>
        <w:tc>
          <w:tcPr>
            <w:tcW w:w="2935" w:type="dxa"/>
            <w:vAlign w:val="center"/>
            <w:hideMark/>
          </w:tcPr>
          <w:p w14:paraId="3A3E9608"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proofErr w:type="gramStart"/>
            <w:r w:rsidRPr="00951606">
              <w:rPr>
                <w:rFonts w:ascii="Times New Roman" w:hAnsi="Times New Roman" w:cs="Times New Roman"/>
                <w:sz w:val="16"/>
                <w:szCs w:val="16"/>
              </w:rPr>
              <w:t>F(</w:t>
            </w:r>
            <w:proofErr w:type="gramEnd"/>
            <w:r w:rsidRPr="00951606">
              <w:rPr>
                <w:rFonts w:ascii="Times New Roman" w:hAnsi="Times New Roman" w:cs="Times New Roman"/>
                <w:sz w:val="16"/>
                <w:szCs w:val="16"/>
              </w:rPr>
              <w:t>1, 22) =0.8571</w:t>
            </w:r>
          </w:p>
        </w:tc>
      </w:tr>
      <w:tr w:rsidR="00294D85" w:rsidRPr="00951606" w14:paraId="537ADE50" w14:textId="77777777" w:rsidTr="00937755">
        <w:trPr>
          <w:trHeight w:val="55"/>
          <w:jc w:val="center"/>
        </w:trPr>
        <w:tc>
          <w:tcPr>
            <w:tcW w:w="3355" w:type="dxa"/>
            <w:vAlign w:val="center"/>
            <w:hideMark/>
          </w:tcPr>
          <w:p w14:paraId="5BC8B745"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b/>
                <w:bCs/>
                <w:sz w:val="16"/>
                <w:szCs w:val="16"/>
              </w:rPr>
              <w:t>C: Normality</w:t>
            </w:r>
          </w:p>
        </w:tc>
        <w:tc>
          <w:tcPr>
            <w:tcW w:w="2936" w:type="dxa"/>
            <w:vAlign w:val="center"/>
            <w:hideMark/>
          </w:tcPr>
          <w:p w14:paraId="3E2BAE74"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CHI-</w:t>
            </w:r>
            <w:proofErr w:type="gramStart"/>
            <w:r w:rsidRPr="00951606">
              <w:rPr>
                <w:rFonts w:ascii="Times New Roman" w:hAnsi="Times New Roman" w:cs="Times New Roman"/>
                <w:sz w:val="16"/>
                <w:szCs w:val="16"/>
              </w:rPr>
              <w:t>SQ(</w:t>
            </w:r>
            <w:proofErr w:type="gramEnd"/>
            <w:r w:rsidRPr="00951606">
              <w:rPr>
                <w:rFonts w:ascii="Times New Roman" w:hAnsi="Times New Roman" w:cs="Times New Roman"/>
                <w:sz w:val="16"/>
                <w:szCs w:val="16"/>
              </w:rPr>
              <w:t>2) =1.1380</w:t>
            </w:r>
          </w:p>
        </w:tc>
        <w:tc>
          <w:tcPr>
            <w:tcW w:w="2935" w:type="dxa"/>
            <w:vAlign w:val="center"/>
            <w:hideMark/>
          </w:tcPr>
          <w:p w14:paraId="2CD0708F"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Not Applicable</w:t>
            </w:r>
          </w:p>
        </w:tc>
      </w:tr>
      <w:tr w:rsidR="00294D85" w:rsidRPr="00951606" w14:paraId="420CD727" w14:textId="77777777" w:rsidTr="00937755">
        <w:trPr>
          <w:trHeight w:val="55"/>
          <w:jc w:val="center"/>
        </w:trPr>
        <w:tc>
          <w:tcPr>
            <w:tcW w:w="3355" w:type="dxa"/>
            <w:vAlign w:val="center"/>
            <w:hideMark/>
          </w:tcPr>
          <w:p w14:paraId="2BAF7E07"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b/>
                <w:bCs/>
                <w:sz w:val="16"/>
                <w:szCs w:val="16"/>
              </w:rPr>
              <w:t>D: Heteroscedasticity</w:t>
            </w:r>
          </w:p>
        </w:tc>
        <w:tc>
          <w:tcPr>
            <w:tcW w:w="2936" w:type="dxa"/>
            <w:vAlign w:val="center"/>
            <w:hideMark/>
          </w:tcPr>
          <w:p w14:paraId="068299A7"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r w:rsidRPr="00951606">
              <w:rPr>
                <w:rFonts w:ascii="Times New Roman" w:hAnsi="Times New Roman" w:cs="Times New Roman"/>
                <w:sz w:val="16"/>
                <w:szCs w:val="16"/>
              </w:rPr>
              <w:t>CHI-</w:t>
            </w:r>
            <w:proofErr w:type="gramStart"/>
            <w:r w:rsidRPr="00951606">
              <w:rPr>
                <w:rFonts w:ascii="Times New Roman" w:hAnsi="Times New Roman" w:cs="Times New Roman"/>
                <w:sz w:val="16"/>
                <w:szCs w:val="16"/>
              </w:rPr>
              <w:t>SQ(1)=</w:t>
            </w:r>
            <w:proofErr w:type="gramEnd"/>
            <w:r w:rsidRPr="00951606">
              <w:rPr>
                <w:rFonts w:ascii="Times New Roman" w:hAnsi="Times New Roman" w:cs="Times New Roman"/>
                <w:sz w:val="16"/>
                <w:szCs w:val="16"/>
              </w:rPr>
              <w:t>0.2313</w:t>
            </w:r>
          </w:p>
        </w:tc>
        <w:tc>
          <w:tcPr>
            <w:tcW w:w="2935" w:type="dxa"/>
            <w:vAlign w:val="center"/>
            <w:hideMark/>
          </w:tcPr>
          <w:p w14:paraId="5B4D5D9B" w14:textId="77777777" w:rsidR="00294D85" w:rsidRPr="00951606" w:rsidRDefault="00294D85" w:rsidP="001B4474">
            <w:pPr>
              <w:tabs>
                <w:tab w:val="left" w:pos="2805"/>
              </w:tabs>
              <w:spacing w:line="278" w:lineRule="auto"/>
              <w:jc w:val="center"/>
              <w:rPr>
                <w:rFonts w:ascii="Times New Roman" w:hAnsi="Times New Roman" w:cs="Times New Roman"/>
                <w:sz w:val="16"/>
                <w:szCs w:val="16"/>
              </w:rPr>
            </w:pPr>
            <w:proofErr w:type="gramStart"/>
            <w:r w:rsidRPr="00951606">
              <w:rPr>
                <w:rFonts w:ascii="Times New Roman" w:hAnsi="Times New Roman" w:cs="Times New Roman"/>
                <w:sz w:val="16"/>
                <w:szCs w:val="16"/>
              </w:rPr>
              <w:t>F(</w:t>
            </w:r>
            <w:proofErr w:type="gramEnd"/>
            <w:r w:rsidRPr="00951606">
              <w:rPr>
                <w:rFonts w:ascii="Times New Roman" w:hAnsi="Times New Roman" w:cs="Times New Roman"/>
                <w:sz w:val="16"/>
                <w:szCs w:val="16"/>
              </w:rPr>
              <w:t>1, 26) =0.2166</w:t>
            </w:r>
          </w:p>
        </w:tc>
      </w:tr>
    </w:tbl>
    <w:p w14:paraId="491D2811" w14:textId="77777777" w:rsidR="00951606" w:rsidRDefault="00951606" w:rsidP="00951606">
      <w:pPr>
        <w:tabs>
          <w:tab w:val="left" w:pos="2805"/>
        </w:tabs>
        <w:spacing w:after="0"/>
        <w:jc w:val="center"/>
        <w:rPr>
          <w:rFonts w:ascii="Times New Roman" w:hAnsi="Times New Roman" w:cs="Times New Roman"/>
          <w:b/>
          <w:bCs/>
          <w:sz w:val="20"/>
          <w:szCs w:val="20"/>
        </w:rPr>
      </w:pPr>
    </w:p>
    <w:p w14:paraId="01A6D6D4" w14:textId="41DFFDEC" w:rsidR="00294D85" w:rsidRPr="003E2907" w:rsidRDefault="00294D85" w:rsidP="00951606">
      <w:pPr>
        <w:tabs>
          <w:tab w:val="left" w:pos="2805"/>
        </w:tabs>
        <w:spacing w:after="0"/>
        <w:jc w:val="center"/>
        <w:rPr>
          <w:rFonts w:ascii="Times New Roman" w:hAnsi="Times New Roman" w:cs="Times New Roman"/>
          <w:b/>
          <w:bCs/>
          <w:sz w:val="22"/>
          <w:szCs w:val="22"/>
        </w:rPr>
      </w:pPr>
      <w:r w:rsidRPr="003E2907">
        <w:rPr>
          <w:rFonts w:ascii="Times New Roman" w:hAnsi="Times New Roman" w:cs="Times New Roman"/>
          <w:b/>
          <w:bCs/>
          <w:sz w:val="22"/>
          <w:szCs w:val="22"/>
        </w:rPr>
        <w:t>Regression Results</w:t>
      </w:r>
    </w:p>
    <w:p w14:paraId="788C2674" w14:textId="13399560" w:rsidR="00294D85" w:rsidRPr="001B4474" w:rsidRDefault="00294D85" w:rsidP="00951606">
      <w:pPr>
        <w:tabs>
          <w:tab w:val="left" w:pos="2805"/>
        </w:tabs>
        <w:spacing w:after="0"/>
        <w:ind w:firstLine="1134"/>
        <w:rPr>
          <w:rFonts w:ascii="Times New Roman" w:hAnsi="Times New Roman" w:cs="Times New Roman"/>
          <w:sz w:val="18"/>
          <w:szCs w:val="18"/>
        </w:rPr>
      </w:pPr>
      <w:r w:rsidRPr="001B4474">
        <w:rPr>
          <w:rFonts w:ascii="Times New Roman" w:hAnsi="Times New Roman" w:cs="Times New Roman"/>
          <w:sz w:val="18"/>
          <w:szCs w:val="18"/>
        </w:rPr>
        <w:t>Dependent Variable: </w:t>
      </w:r>
      <w:r w:rsidRPr="001B4474">
        <w:rPr>
          <w:rFonts w:ascii="Times New Roman" w:hAnsi="Times New Roman" w:cs="Times New Roman"/>
          <w:sz w:val="18"/>
          <w:szCs w:val="18"/>
        </w:rPr>
        <w:tab/>
      </w:r>
      <w:r w:rsidR="000B1456">
        <w:rPr>
          <w:rFonts w:ascii="Times New Roman" w:hAnsi="Times New Roman" w:cs="Times New Roman"/>
          <w:sz w:val="18"/>
          <w:szCs w:val="18"/>
        </w:rPr>
        <w:tab/>
      </w:r>
      <w:r w:rsidR="000B1456">
        <w:rPr>
          <w:rFonts w:ascii="Times New Roman" w:hAnsi="Times New Roman" w:cs="Times New Roman"/>
          <w:sz w:val="18"/>
          <w:szCs w:val="18"/>
        </w:rPr>
        <w:tab/>
      </w:r>
      <w:r w:rsidR="000B1456">
        <w:rPr>
          <w:rFonts w:ascii="Times New Roman" w:hAnsi="Times New Roman" w:cs="Times New Roman"/>
          <w:sz w:val="18"/>
          <w:szCs w:val="18"/>
        </w:rPr>
        <w:tab/>
      </w:r>
      <w:r w:rsidRPr="001B4474">
        <w:rPr>
          <w:rFonts w:ascii="Times New Roman" w:hAnsi="Times New Roman" w:cs="Times New Roman"/>
          <w:sz w:val="18"/>
          <w:szCs w:val="18"/>
        </w:rPr>
        <w:t>Per Capita Expenditure on Fire Protection and Control</w:t>
      </w:r>
    </w:p>
    <w:p w14:paraId="6F4BE2BD" w14:textId="232445F7" w:rsidR="00294D85" w:rsidRPr="001B4474" w:rsidRDefault="00294D85" w:rsidP="00951606">
      <w:pPr>
        <w:tabs>
          <w:tab w:val="left" w:pos="2805"/>
        </w:tabs>
        <w:spacing w:after="0"/>
        <w:ind w:firstLine="1134"/>
        <w:rPr>
          <w:rFonts w:ascii="Times New Roman" w:hAnsi="Times New Roman" w:cs="Times New Roman"/>
          <w:sz w:val="18"/>
          <w:szCs w:val="18"/>
        </w:rPr>
      </w:pPr>
      <w:r w:rsidRPr="001B4474">
        <w:rPr>
          <w:rFonts w:ascii="Times New Roman" w:hAnsi="Times New Roman" w:cs="Times New Roman"/>
          <w:sz w:val="18"/>
          <w:szCs w:val="18"/>
        </w:rPr>
        <w:t>Number of Observations:</w:t>
      </w:r>
      <w:r w:rsidR="001B4474">
        <w:rPr>
          <w:rFonts w:ascii="Times New Roman" w:hAnsi="Times New Roman" w:cs="Times New Roman"/>
          <w:sz w:val="18"/>
          <w:szCs w:val="18"/>
        </w:rPr>
        <w:t xml:space="preserve">    </w:t>
      </w:r>
      <w:r w:rsidRPr="001B4474">
        <w:rPr>
          <w:rFonts w:ascii="Times New Roman" w:hAnsi="Times New Roman" w:cs="Times New Roman"/>
          <w:sz w:val="18"/>
          <w:szCs w:val="18"/>
        </w:rPr>
        <w:t>22</w:t>
      </w:r>
      <w:r w:rsidR="001B4474">
        <w:rPr>
          <w:rFonts w:ascii="Times New Roman" w:hAnsi="Times New Roman" w:cs="Times New Roman"/>
          <w:sz w:val="18"/>
          <w:szCs w:val="18"/>
        </w:rPr>
        <w:tab/>
      </w:r>
      <w:r w:rsidR="000B1456">
        <w:rPr>
          <w:rFonts w:ascii="Times New Roman" w:hAnsi="Times New Roman" w:cs="Times New Roman"/>
          <w:sz w:val="18"/>
          <w:szCs w:val="18"/>
        </w:rPr>
        <w:tab/>
      </w:r>
      <w:r w:rsidRPr="001B4474">
        <w:rPr>
          <w:rFonts w:ascii="Times New Roman" w:hAnsi="Times New Roman" w:cs="Times New Roman"/>
          <w:sz w:val="18"/>
          <w:szCs w:val="18"/>
        </w:rPr>
        <w:t>Degrees of Freedom: </w:t>
      </w:r>
      <w:r w:rsidRPr="001B4474">
        <w:rPr>
          <w:rFonts w:ascii="Times New Roman" w:hAnsi="Times New Roman" w:cs="Times New Roman"/>
          <w:sz w:val="18"/>
          <w:szCs w:val="18"/>
        </w:rPr>
        <w:tab/>
        <w:t>17</w:t>
      </w:r>
    </w:p>
    <w:tbl>
      <w:tblPr>
        <w:tblStyle w:val="TableGrid"/>
        <w:tblW w:w="9688" w:type="dxa"/>
        <w:jc w:val="center"/>
        <w:tblLook w:val="04A0" w:firstRow="1" w:lastRow="0" w:firstColumn="1" w:lastColumn="0" w:noHBand="0" w:noVBand="1"/>
      </w:tblPr>
      <w:tblGrid>
        <w:gridCol w:w="5098"/>
        <w:gridCol w:w="1276"/>
        <w:gridCol w:w="2145"/>
        <w:gridCol w:w="1169"/>
      </w:tblGrid>
      <w:tr w:rsidR="00294D85" w:rsidRPr="001B4474" w14:paraId="3DAB39DD" w14:textId="77777777" w:rsidTr="00937755">
        <w:trPr>
          <w:trHeight w:val="20"/>
          <w:jc w:val="center"/>
        </w:trPr>
        <w:tc>
          <w:tcPr>
            <w:tcW w:w="5098" w:type="dxa"/>
            <w:vAlign w:val="center"/>
            <w:hideMark/>
          </w:tcPr>
          <w:p w14:paraId="4D465CC1"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Regressor</w:t>
            </w:r>
          </w:p>
        </w:tc>
        <w:tc>
          <w:tcPr>
            <w:tcW w:w="1276" w:type="dxa"/>
            <w:vAlign w:val="center"/>
            <w:hideMark/>
          </w:tcPr>
          <w:p w14:paraId="1F6127C4"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Coefficient</w:t>
            </w:r>
          </w:p>
        </w:tc>
        <w:tc>
          <w:tcPr>
            <w:tcW w:w="2145" w:type="dxa"/>
            <w:vAlign w:val="center"/>
            <w:hideMark/>
          </w:tcPr>
          <w:p w14:paraId="6D3F40E6"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Standard Error</w:t>
            </w:r>
          </w:p>
        </w:tc>
        <w:tc>
          <w:tcPr>
            <w:tcW w:w="1169" w:type="dxa"/>
            <w:vAlign w:val="center"/>
            <w:hideMark/>
          </w:tcPr>
          <w:p w14:paraId="2EA9A853"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T - Ratio</w:t>
            </w:r>
          </w:p>
        </w:tc>
      </w:tr>
      <w:tr w:rsidR="00294D85" w:rsidRPr="001B4474" w14:paraId="5B77A72B" w14:textId="77777777" w:rsidTr="00937755">
        <w:trPr>
          <w:trHeight w:val="20"/>
          <w:jc w:val="center"/>
        </w:trPr>
        <w:tc>
          <w:tcPr>
            <w:tcW w:w="5098" w:type="dxa"/>
            <w:vAlign w:val="center"/>
            <w:hideMark/>
          </w:tcPr>
          <w:p w14:paraId="6CD7B896"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sz w:val="16"/>
                <w:szCs w:val="16"/>
              </w:rPr>
              <w:t>1. Number of Standard Employees for Fire Protection and Control per 1000 population</w:t>
            </w:r>
          </w:p>
        </w:tc>
        <w:tc>
          <w:tcPr>
            <w:tcW w:w="1276" w:type="dxa"/>
            <w:vAlign w:val="center"/>
            <w:hideMark/>
          </w:tcPr>
          <w:p w14:paraId="2AD14283"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7.1069</w:t>
            </w:r>
          </w:p>
        </w:tc>
        <w:tc>
          <w:tcPr>
            <w:tcW w:w="2145" w:type="dxa"/>
            <w:vAlign w:val="center"/>
            <w:hideMark/>
          </w:tcPr>
          <w:p w14:paraId="38F16459"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3.4935</w:t>
            </w:r>
          </w:p>
        </w:tc>
        <w:tc>
          <w:tcPr>
            <w:tcW w:w="1169" w:type="dxa"/>
            <w:vAlign w:val="center"/>
            <w:hideMark/>
          </w:tcPr>
          <w:p w14:paraId="1FA36C1F"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2.0343</w:t>
            </w:r>
          </w:p>
        </w:tc>
      </w:tr>
      <w:tr w:rsidR="00294D85" w:rsidRPr="001B4474" w14:paraId="0405BEF7" w14:textId="77777777" w:rsidTr="00937755">
        <w:trPr>
          <w:trHeight w:val="20"/>
          <w:jc w:val="center"/>
        </w:trPr>
        <w:tc>
          <w:tcPr>
            <w:tcW w:w="5098" w:type="dxa"/>
            <w:vAlign w:val="center"/>
            <w:hideMark/>
          </w:tcPr>
          <w:p w14:paraId="18550885"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sz w:val="16"/>
                <w:szCs w:val="16"/>
              </w:rPr>
              <w:t>2. Density of urban population</w:t>
            </w:r>
          </w:p>
        </w:tc>
        <w:tc>
          <w:tcPr>
            <w:tcW w:w="1276" w:type="dxa"/>
            <w:vAlign w:val="center"/>
            <w:hideMark/>
          </w:tcPr>
          <w:p w14:paraId="11349F60"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-0.0012</w:t>
            </w:r>
          </w:p>
        </w:tc>
        <w:tc>
          <w:tcPr>
            <w:tcW w:w="2145" w:type="dxa"/>
            <w:vAlign w:val="center"/>
            <w:hideMark/>
          </w:tcPr>
          <w:p w14:paraId="2AD2DD2C"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0.0006</w:t>
            </w:r>
          </w:p>
        </w:tc>
        <w:tc>
          <w:tcPr>
            <w:tcW w:w="1169" w:type="dxa"/>
            <w:vAlign w:val="center"/>
            <w:hideMark/>
          </w:tcPr>
          <w:p w14:paraId="767BBCC5"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-2.1514</w:t>
            </w:r>
          </w:p>
        </w:tc>
      </w:tr>
      <w:tr w:rsidR="00294D85" w:rsidRPr="001B4474" w14:paraId="55FB0EA6" w14:textId="77777777" w:rsidTr="00937755">
        <w:trPr>
          <w:trHeight w:val="20"/>
          <w:jc w:val="center"/>
        </w:trPr>
        <w:tc>
          <w:tcPr>
            <w:tcW w:w="5098" w:type="dxa"/>
            <w:vAlign w:val="center"/>
            <w:hideMark/>
          </w:tcPr>
          <w:p w14:paraId="6B7BC4B2"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sz w:val="16"/>
                <w:szCs w:val="16"/>
              </w:rPr>
              <w:lastRenderedPageBreak/>
              <w:t>3. Price differences</w:t>
            </w:r>
          </w:p>
        </w:tc>
        <w:tc>
          <w:tcPr>
            <w:tcW w:w="1276" w:type="dxa"/>
            <w:vAlign w:val="center"/>
            <w:hideMark/>
          </w:tcPr>
          <w:p w14:paraId="0635DEFF"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0.0082</w:t>
            </w:r>
          </w:p>
        </w:tc>
        <w:tc>
          <w:tcPr>
            <w:tcW w:w="2145" w:type="dxa"/>
            <w:vAlign w:val="center"/>
            <w:hideMark/>
          </w:tcPr>
          <w:p w14:paraId="5BB899B4"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0.0020</w:t>
            </w:r>
          </w:p>
        </w:tc>
        <w:tc>
          <w:tcPr>
            <w:tcW w:w="1169" w:type="dxa"/>
            <w:vAlign w:val="center"/>
            <w:hideMark/>
          </w:tcPr>
          <w:p w14:paraId="53ED69A7"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4.0841</w:t>
            </w:r>
          </w:p>
        </w:tc>
      </w:tr>
      <w:tr w:rsidR="00294D85" w:rsidRPr="001B4474" w14:paraId="0FE368F2" w14:textId="77777777" w:rsidTr="00937755">
        <w:trPr>
          <w:trHeight w:val="20"/>
          <w:jc w:val="center"/>
        </w:trPr>
        <w:tc>
          <w:tcPr>
            <w:tcW w:w="5098" w:type="dxa"/>
            <w:vAlign w:val="center"/>
            <w:hideMark/>
          </w:tcPr>
          <w:p w14:paraId="1B6DCE20"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sz w:val="16"/>
                <w:szCs w:val="16"/>
              </w:rPr>
              <w:t>Time period (1981-82 to 1983-84)</w:t>
            </w:r>
          </w:p>
        </w:tc>
        <w:tc>
          <w:tcPr>
            <w:tcW w:w="1276" w:type="dxa"/>
            <w:vAlign w:val="center"/>
            <w:hideMark/>
          </w:tcPr>
          <w:p w14:paraId="5E89509A"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0.1721</w:t>
            </w:r>
          </w:p>
        </w:tc>
        <w:tc>
          <w:tcPr>
            <w:tcW w:w="2145" w:type="dxa"/>
            <w:vAlign w:val="center"/>
            <w:hideMark/>
          </w:tcPr>
          <w:p w14:paraId="54E61FE0"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0.1734</w:t>
            </w:r>
          </w:p>
        </w:tc>
        <w:tc>
          <w:tcPr>
            <w:tcW w:w="1169" w:type="dxa"/>
            <w:vAlign w:val="center"/>
            <w:hideMark/>
          </w:tcPr>
          <w:p w14:paraId="1B61BEDA"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0.9927</w:t>
            </w:r>
          </w:p>
        </w:tc>
      </w:tr>
      <w:tr w:rsidR="00294D85" w:rsidRPr="001B4474" w14:paraId="487B5DE8" w14:textId="77777777" w:rsidTr="00937755">
        <w:trPr>
          <w:trHeight w:val="20"/>
          <w:jc w:val="center"/>
        </w:trPr>
        <w:tc>
          <w:tcPr>
            <w:tcW w:w="5098" w:type="dxa"/>
            <w:vAlign w:val="center"/>
            <w:hideMark/>
          </w:tcPr>
          <w:p w14:paraId="223DC4C9"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sz w:val="16"/>
                <w:szCs w:val="16"/>
              </w:rPr>
              <w:t>Time period (1984-85 to 1986-87)</w:t>
            </w:r>
          </w:p>
        </w:tc>
        <w:tc>
          <w:tcPr>
            <w:tcW w:w="1276" w:type="dxa"/>
            <w:vAlign w:val="center"/>
            <w:hideMark/>
          </w:tcPr>
          <w:p w14:paraId="36B327B0"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-0.4295</w:t>
            </w:r>
          </w:p>
        </w:tc>
        <w:tc>
          <w:tcPr>
            <w:tcW w:w="2145" w:type="dxa"/>
            <w:vAlign w:val="center"/>
            <w:hideMark/>
          </w:tcPr>
          <w:p w14:paraId="12066E85"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0.2014</w:t>
            </w:r>
          </w:p>
        </w:tc>
        <w:tc>
          <w:tcPr>
            <w:tcW w:w="1169" w:type="dxa"/>
            <w:vAlign w:val="center"/>
            <w:hideMark/>
          </w:tcPr>
          <w:p w14:paraId="1BCAA728"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-2.1319</w:t>
            </w:r>
          </w:p>
        </w:tc>
      </w:tr>
    </w:tbl>
    <w:p w14:paraId="37F880AF" w14:textId="2C83C947" w:rsidR="00782EA4" w:rsidRPr="00782EA4" w:rsidRDefault="00782EA4" w:rsidP="00782EA4">
      <w:pPr>
        <w:tabs>
          <w:tab w:val="left" w:pos="2805"/>
        </w:tabs>
        <w:spacing w:after="0"/>
        <w:jc w:val="center"/>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0.6231</w:t>
      </w:r>
      <w:r w:rsidRPr="00782EA4">
        <w:rPr>
          <w:rFonts w:ascii="Times New Roman" w:hAnsi="Times New Roman" w:cs="Times New Roman"/>
          <w:sz w:val="18"/>
          <w:szCs w:val="18"/>
        </w:rPr>
        <w:tab/>
      </w:r>
      <w:r w:rsidRPr="00782EA4">
        <w:rPr>
          <w:rFonts w:ascii="Times New Roman" w:hAnsi="Times New Roman" w:cs="Times New Roman"/>
          <w:sz w:val="18"/>
          <w:szCs w:val="18"/>
        </w:rPr>
        <w:tab/>
        <w:t>Residual Sum of Squares</w:t>
      </w:r>
      <w:r w:rsidRPr="00782EA4">
        <w:rPr>
          <w:rFonts w:ascii="Times New Roman" w:hAnsi="Times New Roman" w:cs="Times New Roman"/>
          <w:sz w:val="18"/>
          <w:szCs w:val="18"/>
        </w:rPr>
        <w:tab/>
        <w:t>1.6450</w:t>
      </w:r>
    </w:p>
    <w:p w14:paraId="5CACD910" w14:textId="56CD7704" w:rsidR="00782EA4" w:rsidRPr="00782EA4" w:rsidRDefault="00782EA4" w:rsidP="00782EA4">
      <w:pPr>
        <w:tabs>
          <w:tab w:val="left" w:pos="2805"/>
        </w:tabs>
        <w:spacing w:after="0"/>
        <w:jc w:val="center"/>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0.5344</w:t>
      </w:r>
      <w:r w:rsidRPr="00782EA4">
        <w:rPr>
          <w:rFonts w:ascii="Times New Roman" w:hAnsi="Times New Roman" w:cs="Times New Roman"/>
          <w:sz w:val="18"/>
          <w:szCs w:val="18"/>
        </w:rPr>
        <w:tab/>
      </w:r>
      <w:r w:rsidRPr="00782EA4">
        <w:rPr>
          <w:rFonts w:ascii="Times New Roman" w:hAnsi="Times New Roman" w:cs="Times New Roman"/>
          <w:sz w:val="18"/>
          <w:szCs w:val="18"/>
        </w:rPr>
        <w:tab/>
        <w:t>S.E. of Regression</w:t>
      </w:r>
      <w:r w:rsidRPr="00782EA4">
        <w:rPr>
          <w:rFonts w:ascii="Times New Roman" w:hAnsi="Times New Roman" w:cs="Times New Roman"/>
          <w:sz w:val="18"/>
          <w:szCs w:val="18"/>
        </w:rPr>
        <w:tab/>
        <w:t>0.3111</w:t>
      </w:r>
    </w:p>
    <w:p w14:paraId="7EDD43D2" w14:textId="77777777" w:rsidR="00782EA4" w:rsidRDefault="00782EA4" w:rsidP="001B4474">
      <w:pPr>
        <w:tabs>
          <w:tab w:val="left" w:pos="2805"/>
        </w:tabs>
        <w:spacing w:after="0"/>
        <w:jc w:val="center"/>
        <w:rPr>
          <w:rFonts w:ascii="Times New Roman" w:hAnsi="Times New Roman" w:cs="Times New Roman"/>
          <w:b/>
          <w:bCs/>
          <w:sz w:val="20"/>
          <w:szCs w:val="20"/>
        </w:rPr>
      </w:pPr>
    </w:p>
    <w:p w14:paraId="0624791C" w14:textId="6E103565" w:rsidR="00294D85" w:rsidRPr="001B4474" w:rsidRDefault="00294D85" w:rsidP="001B4474">
      <w:pPr>
        <w:tabs>
          <w:tab w:val="left" w:pos="2805"/>
        </w:tabs>
        <w:spacing w:after="0"/>
        <w:jc w:val="center"/>
        <w:rPr>
          <w:rFonts w:ascii="Times New Roman" w:hAnsi="Times New Roman" w:cs="Times New Roman"/>
          <w:sz w:val="20"/>
          <w:szCs w:val="20"/>
        </w:rPr>
      </w:pPr>
      <w:r w:rsidRPr="001B4474">
        <w:rPr>
          <w:rFonts w:ascii="Times New Roman" w:hAnsi="Times New Roman" w:cs="Times New Roman"/>
          <w:b/>
          <w:bCs/>
          <w:sz w:val="20"/>
          <w:szCs w:val="20"/>
        </w:rPr>
        <w:t>Diagnostic Tests</w:t>
      </w:r>
    </w:p>
    <w:tbl>
      <w:tblPr>
        <w:tblStyle w:val="TableGrid"/>
        <w:tblW w:w="9633" w:type="dxa"/>
        <w:jc w:val="center"/>
        <w:tblLook w:val="04A0" w:firstRow="1" w:lastRow="0" w:firstColumn="1" w:lastColumn="0" w:noHBand="0" w:noVBand="1"/>
      </w:tblPr>
      <w:tblGrid>
        <w:gridCol w:w="3017"/>
        <w:gridCol w:w="3213"/>
        <w:gridCol w:w="3403"/>
      </w:tblGrid>
      <w:tr w:rsidR="00294D85" w:rsidRPr="001B4474" w14:paraId="7F04A98F" w14:textId="77777777" w:rsidTr="00782EA4">
        <w:trPr>
          <w:trHeight w:val="74"/>
          <w:jc w:val="center"/>
        </w:trPr>
        <w:tc>
          <w:tcPr>
            <w:tcW w:w="3017" w:type="dxa"/>
            <w:vAlign w:val="center"/>
            <w:hideMark/>
          </w:tcPr>
          <w:p w14:paraId="4046DDDF"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Test Statistics</w:t>
            </w:r>
          </w:p>
        </w:tc>
        <w:tc>
          <w:tcPr>
            <w:tcW w:w="3213" w:type="dxa"/>
            <w:vAlign w:val="center"/>
            <w:hideMark/>
          </w:tcPr>
          <w:p w14:paraId="79BA7E6A"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LM Version</w:t>
            </w:r>
          </w:p>
        </w:tc>
        <w:tc>
          <w:tcPr>
            <w:tcW w:w="3403" w:type="dxa"/>
            <w:vAlign w:val="center"/>
            <w:hideMark/>
          </w:tcPr>
          <w:p w14:paraId="02909083" w14:textId="77777777" w:rsidR="00294D85" w:rsidRPr="001B4474" w:rsidRDefault="00294D85" w:rsidP="001B4474">
            <w:pPr>
              <w:tabs>
                <w:tab w:val="left" w:pos="2805"/>
              </w:tabs>
              <w:spacing w:line="278" w:lineRule="auto"/>
              <w:jc w:val="center"/>
              <w:rPr>
                <w:rFonts w:ascii="Times New Roman" w:hAnsi="Times New Roman" w:cs="Times New Roman"/>
                <w:b/>
                <w:bCs/>
                <w:sz w:val="16"/>
                <w:szCs w:val="16"/>
              </w:rPr>
            </w:pPr>
            <w:r w:rsidRPr="001B4474">
              <w:rPr>
                <w:rFonts w:ascii="Times New Roman" w:hAnsi="Times New Roman" w:cs="Times New Roman"/>
                <w:b/>
                <w:bCs/>
                <w:sz w:val="16"/>
                <w:szCs w:val="16"/>
              </w:rPr>
              <w:t>F Version</w:t>
            </w:r>
          </w:p>
        </w:tc>
      </w:tr>
      <w:tr w:rsidR="00294D85" w:rsidRPr="001B4474" w14:paraId="2E95A8EA" w14:textId="77777777" w:rsidTr="00782EA4">
        <w:trPr>
          <w:trHeight w:val="74"/>
          <w:jc w:val="center"/>
        </w:trPr>
        <w:tc>
          <w:tcPr>
            <w:tcW w:w="3017" w:type="dxa"/>
            <w:vAlign w:val="center"/>
            <w:hideMark/>
          </w:tcPr>
          <w:p w14:paraId="70E9C716"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b/>
                <w:bCs/>
                <w:sz w:val="16"/>
                <w:szCs w:val="16"/>
              </w:rPr>
              <w:t>A: Serial Correlation</w:t>
            </w:r>
          </w:p>
        </w:tc>
        <w:tc>
          <w:tcPr>
            <w:tcW w:w="3213" w:type="dxa"/>
            <w:vAlign w:val="center"/>
            <w:hideMark/>
          </w:tcPr>
          <w:p w14:paraId="53879CBD"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CHI-</w:t>
            </w:r>
            <w:proofErr w:type="gramStart"/>
            <w:r w:rsidRPr="001B4474">
              <w:rPr>
                <w:rFonts w:ascii="Times New Roman" w:hAnsi="Times New Roman" w:cs="Times New Roman"/>
                <w:sz w:val="16"/>
                <w:szCs w:val="16"/>
              </w:rPr>
              <w:t>SQ(</w:t>
            </w:r>
            <w:proofErr w:type="gramEnd"/>
            <w:r w:rsidRPr="001B4474">
              <w:rPr>
                <w:rFonts w:ascii="Times New Roman" w:hAnsi="Times New Roman" w:cs="Times New Roman"/>
                <w:sz w:val="16"/>
                <w:szCs w:val="16"/>
              </w:rPr>
              <w:t>1) = 0.2544</w:t>
            </w:r>
          </w:p>
        </w:tc>
        <w:tc>
          <w:tcPr>
            <w:tcW w:w="3403" w:type="dxa"/>
            <w:vAlign w:val="center"/>
            <w:hideMark/>
          </w:tcPr>
          <w:p w14:paraId="1494E158"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proofErr w:type="gramStart"/>
            <w:r w:rsidRPr="001B4474">
              <w:rPr>
                <w:rFonts w:ascii="Times New Roman" w:hAnsi="Times New Roman" w:cs="Times New Roman"/>
                <w:sz w:val="16"/>
                <w:szCs w:val="16"/>
              </w:rPr>
              <w:t>F(</w:t>
            </w:r>
            <w:proofErr w:type="gramEnd"/>
            <w:r w:rsidRPr="001B4474">
              <w:rPr>
                <w:rFonts w:ascii="Times New Roman" w:hAnsi="Times New Roman" w:cs="Times New Roman"/>
                <w:sz w:val="16"/>
                <w:szCs w:val="16"/>
              </w:rPr>
              <w:t>1, 16) = 0.1976</w:t>
            </w:r>
          </w:p>
        </w:tc>
      </w:tr>
      <w:tr w:rsidR="00294D85" w:rsidRPr="001B4474" w14:paraId="40493A8A" w14:textId="77777777" w:rsidTr="00782EA4">
        <w:trPr>
          <w:trHeight w:val="74"/>
          <w:jc w:val="center"/>
        </w:trPr>
        <w:tc>
          <w:tcPr>
            <w:tcW w:w="3017" w:type="dxa"/>
            <w:vAlign w:val="center"/>
            <w:hideMark/>
          </w:tcPr>
          <w:p w14:paraId="3E7DD879"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b/>
                <w:bCs/>
                <w:sz w:val="16"/>
                <w:szCs w:val="16"/>
              </w:rPr>
              <w:t>B: Functional Form</w:t>
            </w:r>
          </w:p>
        </w:tc>
        <w:tc>
          <w:tcPr>
            <w:tcW w:w="3213" w:type="dxa"/>
            <w:vAlign w:val="center"/>
            <w:hideMark/>
          </w:tcPr>
          <w:p w14:paraId="7CE66E06"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CHI-</w:t>
            </w:r>
            <w:proofErr w:type="gramStart"/>
            <w:r w:rsidRPr="001B4474">
              <w:rPr>
                <w:rFonts w:ascii="Times New Roman" w:hAnsi="Times New Roman" w:cs="Times New Roman"/>
                <w:sz w:val="16"/>
                <w:szCs w:val="16"/>
              </w:rPr>
              <w:t>SQ(</w:t>
            </w:r>
            <w:proofErr w:type="gramEnd"/>
            <w:r w:rsidRPr="001B4474">
              <w:rPr>
                <w:rFonts w:ascii="Times New Roman" w:hAnsi="Times New Roman" w:cs="Times New Roman"/>
                <w:sz w:val="16"/>
                <w:szCs w:val="16"/>
              </w:rPr>
              <w:t>1) = 1.6846</w:t>
            </w:r>
          </w:p>
        </w:tc>
        <w:tc>
          <w:tcPr>
            <w:tcW w:w="3403" w:type="dxa"/>
            <w:vAlign w:val="center"/>
            <w:hideMark/>
          </w:tcPr>
          <w:p w14:paraId="2F17D4BE"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proofErr w:type="gramStart"/>
            <w:r w:rsidRPr="001B4474">
              <w:rPr>
                <w:rFonts w:ascii="Times New Roman" w:hAnsi="Times New Roman" w:cs="Times New Roman"/>
                <w:sz w:val="16"/>
                <w:szCs w:val="16"/>
              </w:rPr>
              <w:t>F(</w:t>
            </w:r>
            <w:proofErr w:type="gramEnd"/>
            <w:r w:rsidRPr="001B4474">
              <w:rPr>
                <w:rFonts w:ascii="Times New Roman" w:hAnsi="Times New Roman" w:cs="Times New Roman"/>
                <w:sz w:val="16"/>
                <w:szCs w:val="16"/>
              </w:rPr>
              <w:t>1, 16) = 1.3857</w:t>
            </w:r>
          </w:p>
        </w:tc>
      </w:tr>
      <w:tr w:rsidR="00294D85" w:rsidRPr="001B4474" w14:paraId="56C922A4" w14:textId="77777777" w:rsidTr="00782EA4">
        <w:trPr>
          <w:trHeight w:val="74"/>
          <w:jc w:val="center"/>
        </w:trPr>
        <w:tc>
          <w:tcPr>
            <w:tcW w:w="3017" w:type="dxa"/>
            <w:vAlign w:val="center"/>
            <w:hideMark/>
          </w:tcPr>
          <w:p w14:paraId="54579ED7"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b/>
                <w:bCs/>
                <w:sz w:val="16"/>
                <w:szCs w:val="16"/>
              </w:rPr>
              <w:t>C: Normality</w:t>
            </w:r>
          </w:p>
        </w:tc>
        <w:tc>
          <w:tcPr>
            <w:tcW w:w="3213" w:type="dxa"/>
            <w:vAlign w:val="center"/>
            <w:hideMark/>
          </w:tcPr>
          <w:p w14:paraId="40758EB9"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CHI-</w:t>
            </w:r>
            <w:proofErr w:type="gramStart"/>
            <w:r w:rsidRPr="001B4474">
              <w:rPr>
                <w:rFonts w:ascii="Times New Roman" w:hAnsi="Times New Roman" w:cs="Times New Roman"/>
                <w:sz w:val="16"/>
                <w:szCs w:val="16"/>
              </w:rPr>
              <w:t>SQ(</w:t>
            </w:r>
            <w:proofErr w:type="gramEnd"/>
            <w:r w:rsidRPr="001B4474">
              <w:rPr>
                <w:rFonts w:ascii="Times New Roman" w:hAnsi="Times New Roman" w:cs="Times New Roman"/>
                <w:sz w:val="16"/>
                <w:szCs w:val="16"/>
              </w:rPr>
              <w:t>2) = 4.3973</w:t>
            </w:r>
          </w:p>
        </w:tc>
        <w:tc>
          <w:tcPr>
            <w:tcW w:w="3403" w:type="dxa"/>
            <w:vAlign w:val="center"/>
            <w:hideMark/>
          </w:tcPr>
          <w:p w14:paraId="78F12945"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Not Applicable</w:t>
            </w:r>
          </w:p>
        </w:tc>
      </w:tr>
      <w:tr w:rsidR="00294D85" w:rsidRPr="001B4474" w14:paraId="3D6ADE09" w14:textId="77777777" w:rsidTr="00782EA4">
        <w:trPr>
          <w:trHeight w:val="74"/>
          <w:jc w:val="center"/>
        </w:trPr>
        <w:tc>
          <w:tcPr>
            <w:tcW w:w="3017" w:type="dxa"/>
            <w:vAlign w:val="center"/>
            <w:hideMark/>
          </w:tcPr>
          <w:p w14:paraId="7D42E10A" w14:textId="77777777" w:rsidR="00294D85" w:rsidRPr="001B4474" w:rsidRDefault="00294D85" w:rsidP="001B4474">
            <w:pPr>
              <w:tabs>
                <w:tab w:val="left" w:pos="2805"/>
              </w:tabs>
              <w:spacing w:line="278" w:lineRule="auto"/>
              <w:rPr>
                <w:rFonts w:ascii="Times New Roman" w:hAnsi="Times New Roman" w:cs="Times New Roman"/>
                <w:sz w:val="16"/>
                <w:szCs w:val="16"/>
              </w:rPr>
            </w:pPr>
            <w:r w:rsidRPr="001B4474">
              <w:rPr>
                <w:rFonts w:ascii="Times New Roman" w:hAnsi="Times New Roman" w:cs="Times New Roman"/>
                <w:b/>
                <w:bCs/>
                <w:sz w:val="16"/>
                <w:szCs w:val="16"/>
              </w:rPr>
              <w:t>D: Heteroscedasticity</w:t>
            </w:r>
          </w:p>
        </w:tc>
        <w:tc>
          <w:tcPr>
            <w:tcW w:w="3213" w:type="dxa"/>
            <w:vAlign w:val="center"/>
            <w:hideMark/>
          </w:tcPr>
          <w:p w14:paraId="09C03951"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r w:rsidRPr="001B4474">
              <w:rPr>
                <w:rFonts w:ascii="Times New Roman" w:hAnsi="Times New Roman" w:cs="Times New Roman"/>
                <w:sz w:val="16"/>
                <w:szCs w:val="16"/>
              </w:rPr>
              <w:t>CHI-</w:t>
            </w:r>
            <w:proofErr w:type="gramStart"/>
            <w:r w:rsidRPr="001B4474">
              <w:rPr>
                <w:rFonts w:ascii="Times New Roman" w:hAnsi="Times New Roman" w:cs="Times New Roman"/>
                <w:sz w:val="16"/>
                <w:szCs w:val="16"/>
              </w:rPr>
              <w:t>SQ(</w:t>
            </w:r>
            <w:proofErr w:type="gramEnd"/>
            <w:r w:rsidRPr="001B4474">
              <w:rPr>
                <w:rFonts w:ascii="Times New Roman" w:hAnsi="Times New Roman" w:cs="Times New Roman"/>
                <w:sz w:val="16"/>
                <w:szCs w:val="16"/>
              </w:rPr>
              <w:t>1) = 0.0289</w:t>
            </w:r>
          </w:p>
        </w:tc>
        <w:tc>
          <w:tcPr>
            <w:tcW w:w="3403" w:type="dxa"/>
            <w:vAlign w:val="center"/>
            <w:hideMark/>
          </w:tcPr>
          <w:p w14:paraId="2E63957E" w14:textId="77777777" w:rsidR="00294D85" w:rsidRPr="001B4474" w:rsidRDefault="00294D85" w:rsidP="001B4474">
            <w:pPr>
              <w:tabs>
                <w:tab w:val="left" w:pos="2805"/>
              </w:tabs>
              <w:spacing w:line="278" w:lineRule="auto"/>
              <w:jc w:val="center"/>
              <w:rPr>
                <w:rFonts w:ascii="Times New Roman" w:hAnsi="Times New Roman" w:cs="Times New Roman"/>
                <w:sz w:val="16"/>
                <w:szCs w:val="16"/>
              </w:rPr>
            </w:pPr>
            <w:proofErr w:type="gramStart"/>
            <w:r w:rsidRPr="001B4474">
              <w:rPr>
                <w:rFonts w:ascii="Times New Roman" w:hAnsi="Times New Roman" w:cs="Times New Roman"/>
                <w:sz w:val="16"/>
                <w:szCs w:val="16"/>
              </w:rPr>
              <w:t>F(</w:t>
            </w:r>
            <w:proofErr w:type="gramEnd"/>
            <w:r w:rsidRPr="001B4474">
              <w:rPr>
                <w:rFonts w:ascii="Times New Roman" w:hAnsi="Times New Roman" w:cs="Times New Roman"/>
                <w:sz w:val="16"/>
                <w:szCs w:val="16"/>
              </w:rPr>
              <w:t>1, 20) = 0.0267</w:t>
            </w:r>
          </w:p>
        </w:tc>
      </w:tr>
    </w:tbl>
    <w:p w14:paraId="47D4E240" w14:textId="77777777" w:rsidR="00294D85" w:rsidRDefault="00294D85" w:rsidP="00951606">
      <w:pPr>
        <w:tabs>
          <w:tab w:val="left" w:pos="2805"/>
        </w:tabs>
        <w:ind w:left="2160"/>
        <w:rPr>
          <w:rFonts w:ascii="Times New Roman" w:hAnsi="Times New Roman" w:cs="Times New Roman"/>
          <w:sz w:val="16"/>
          <w:szCs w:val="16"/>
        </w:rPr>
      </w:pPr>
      <w:r w:rsidRPr="00951606">
        <w:rPr>
          <w:rFonts w:ascii="Times New Roman" w:hAnsi="Times New Roman" w:cs="Times New Roman"/>
          <w:sz w:val="16"/>
          <w:szCs w:val="16"/>
        </w:rPr>
        <w:t>Note: Linear specification.</w:t>
      </w:r>
    </w:p>
    <w:p w14:paraId="2933D405" w14:textId="77777777" w:rsidR="003E2907" w:rsidRPr="00951606" w:rsidRDefault="003E2907" w:rsidP="00951606">
      <w:pPr>
        <w:tabs>
          <w:tab w:val="left" w:pos="2805"/>
        </w:tabs>
        <w:ind w:left="2160"/>
        <w:rPr>
          <w:rFonts w:ascii="Times New Roman" w:hAnsi="Times New Roman" w:cs="Times New Roman"/>
          <w:sz w:val="16"/>
          <w:szCs w:val="16"/>
        </w:rPr>
      </w:pPr>
    </w:p>
    <w:p w14:paraId="4CF88911" w14:textId="77777777" w:rsidR="00294D85" w:rsidRPr="003E2907" w:rsidRDefault="00294D85" w:rsidP="00951606">
      <w:pPr>
        <w:tabs>
          <w:tab w:val="left" w:pos="2805"/>
        </w:tabs>
        <w:spacing w:after="0"/>
        <w:jc w:val="center"/>
        <w:rPr>
          <w:rFonts w:ascii="Times New Roman" w:hAnsi="Times New Roman" w:cs="Times New Roman"/>
          <w:sz w:val="22"/>
          <w:szCs w:val="22"/>
        </w:rPr>
      </w:pPr>
      <w:r w:rsidRPr="003E2907">
        <w:rPr>
          <w:rFonts w:ascii="Times New Roman" w:hAnsi="Times New Roman" w:cs="Times New Roman"/>
          <w:b/>
          <w:bCs/>
          <w:sz w:val="22"/>
          <w:szCs w:val="22"/>
        </w:rPr>
        <w:t>Regression Results</w:t>
      </w:r>
    </w:p>
    <w:p w14:paraId="75AF2684" w14:textId="392D610F" w:rsidR="00294D85" w:rsidRPr="001B4474" w:rsidRDefault="00294D85" w:rsidP="00951606">
      <w:pPr>
        <w:spacing w:after="0"/>
        <w:ind w:left="2127" w:hanging="1134"/>
        <w:rPr>
          <w:rFonts w:ascii="Times New Roman" w:hAnsi="Times New Roman" w:cs="Times New Roman"/>
          <w:sz w:val="18"/>
          <w:szCs w:val="18"/>
        </w:rPr>
      </w:pPr>
      <w:r w:rsidRPr="001B4474">
        <w:rPr>
          <w:rFonts w:ascii="Times New Roman" w:hAnsi="Times New Roman" w:cs="Times New Roman"/>
          <w:sz w:val="18"/>
          <w:szCs w:val="18"/>
        </w:rPr>
        <w:t xml:space="preserve">Dependent </w:t>
      </w:r>
      <w:proofErr w:type="gramStart"/>
      <w:r w:rsidRPr="001B4474">
        <w:rPr>
          <w:rFonts w:ascii="Times New Roman" w:hAnsi="Times New Roman" w:cs="Times New Roman"/>
          <w:sz w:val="18"/>
          <w:szCs w:val="18"/>
        </w:rPr>
        <w:t xml:space="preserve">Variable  </w:t>
      </w:r>
      <w:r w:rsidR="00340245" w:rsidRPr="001B4474">
        <w:rPr>
          <w:rFonts w:ascii="Times New Roman" w:hAnsi="Times New Roman" w:cs="Times New Roman"/>
          <w:sz w:val="18"/>
          <w:szCs w:val="18"/>
        </w:rPr>
        <w:tab/>
      </w:r>
      <w:proofErr w:type="gramEnd"/>
      <w:r w:rsidR="001B4474">
        <w:rPr>
          <w:rFonts w:ascii="Times New Roman" w:hAnsi="Times New Roman" w:cs="Times New Roman"/>
          <w:sz w:val="18"/>
          <w:szCs w:val="18"/>
        </w:rPr>
        <w:tab/>
      </w:r>
      <w:r w:rsidR="00340245" w:rsidRPr="001B4474">
        <w:rPr>
          <w:rFonts w:ascii="Times New Roman" w:hAnsi="Times New Roman" w:cs="Times New Roman"/>
          <w:sz w:val="18"/>
          <w:szCs w:val="18"/>
        </w:rPr>
        <w:tab/>
      </w:r>
      <w:r w:rsidRPr="001B4474">
        <w:rPr>
          <w:rFonts w:ascii="Times New Roman" w:hAnsi="Times New Roman" w:cs="Times New Roman"/>
          <w:sz w:val="18"/>
          <w:szCs w:val="18"/>
        </w:rPr>
        <w:t>Per Capita Expenditure on Other Administrative Services</w:t>
      </w:r>
    </w:p>
    <w:p w14:paraId="629A75B9" w14:textId="0A440C5D" w:rsidR="00294D85" w:rsidRPr="001B4474" w:rsidRDefault="00294D85" w:rsidP="00951606">
      <w:pPr>
        <w:tabs>
          <w:tab w:val="left" w:pos="2805"/>
        </w:tabs>
        <w:spacing w:after="0"/>
        <w:ind w:firstLine="993"/>
        <w:rPr>
          <w:rFonts w:ascii="Times New Roman" w:hAnsi="Times New Roman" w:cs="Times New Roman"/>
          <w:sz w:val="18"/>
          <w:szCs w:val="18"/>
        </w:rPr>
      </w:pPr>
      <w:r w:rsidRPr="001B4474">
        <w:rPr>
          <w:rFonts w:ascii="Times New Roman" w:hAnsi="Times New Roman" w:cs="Times New Roman"/>
          <w:sz w:val="18"/>
          <w:szCs w:val="18"/>
        </w:rPr>
        <w:t>Number Of Observations: 28</w:t>
      </w:r>
      <w:r w:rsidR="001B4474">
        <w:rPr>
          <w:rFonts w:ascii="Times New Roman" w:hAnsi="Times New Roman" w:cs="Times New Roman"/>
          <w:sz w:val="18"/>
          <w:szCs w:val="18"/>
        </w:rPr>
        <w:tab/>
      </w:r>
      <w:r w:rsidR="003E2907">
        <w:rPr>
          <w:rFonts w:ascii="Times New Roman" w:hAnsi="Times New Roman" w:cs="Times New Roman"/>
          <w:sz w:val="18"/>
          <w:szCs w:val="18"/>
        </w:rPr>
        <w:tab/>
      </w:r>
      <w:r w:rsidRPr="001B4474">
        <w:rPr>
          <w:rFonts w:ascii="Times New Roman" w:hAnsi="Times New Roman" w:cs="Times New Roman"/>
          <w:sz w:val="18"/>
          <w:szCs w:val="18"/>
        </w:rPr>
        <w:t xml:space="preserve">Degrees </w:t>
      </w:r>
      <w:proofErr w:type="gramStart"/>
      <w:r w:rsidRPr="001B4474">
        <w:rPr>
          <w:rFonts w:ascii="Times New Roman" w:hAnsi="Times New Roman" w:cs="Times New Roman"/>
          <w:sz w:val="18"/>
          <w:szCs w:val="18"/>
        </w:rPr>
        <w:t>Of</w:t>
      </w:r>
      <w:proofErr w:type="gramEnd"/>
      <w:r w:rsidRPr="001B4474">
        <w:rPr>
          <w:rFonts w:ascii="Times New Roman" w:hAnsi="Times New Roman" w:cs="Times New Roman"/>
          <w:sz w:val="18"/>
          <w:szCs w:val="18"/>
        </w:rPr>
        <w:t xml:space="preserve"> Freedom:  23</w:t>
      </w:r>
    </w:p>
    <w:tbl>
      <w:tblPr>
        <w:tblStyle w:val="TableGrid"/>
        <w:tblW w:w="9654" w:type="dxa"/>
        <w:jc w:val="center"/>
        <w:tblLook w:val="04A0" w:firstRow="1" w:lastRow="0" w:firstColumn="1" w:lastColumn="0" w:noHBand="0" w:noVBand="1"/>
      </w:tblPr>
      <w:tblGrid>
        <w:gridCol w:w="5631"/>
        <w:gridCol w:w="1288"/>
        <w:gridCol w:w="1609"/>
        <w:gridCol w:w="1126"/>
      </w:tblGrid>
      <w:tr w:rsidR="00294D85" w:rsidRPr="004B50C4" w14:paraId="2EB4EF29" w14:textId="77777777" w:rsidTr="00782EA4">
        <w:trPr>
          <w:trHeight w:val="29"/>
          <w:jc w:val="center"/>
        </w:trPr>
        <w:tc>
          <w:tcPr>
            <w:tcW w:w="5631" w:type="dxa"/>
            <w:vAlign w:val="center"/>
            <w:hideMark/>
          </w:tcPr>
          <w:p w14:paraId="5AA32641"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Regressor</w:t>
            </w:r>
          </w:p>
        </w:tc>
        <w:tc>
          <w:tcPr>
            <w:tcW w:w="1288" w:type="dxa"/>
            <w:vAlign w:val="center"/>
            <w:hideMark/>
          </w:tcPr>
          <w:p w14:paraId="3FFF629B"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Coefficient</w:t>
            </w:r>
          </w:p>
        </w:tc>
        <w:tc>
          <w:tcPr>
            <w:tcW w:w="1609" w:type="dxa"/>
            <w:vAlign w:val="center"/>
            <w:hideMark/>
          </w:tcPr>
          <w:p w14:paraId="4376A9BA"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Standard Error</w:t>
            </w:r>
          </w:p>
        </w:tc>
        <w:tc>
          <w:tcPr>
            <w:tcW w:w="1126" w:type="dxa"/>
            <w:vAlign w:val="center"/>
            <w:hideMark/>
          </w:tcPr>
          <w:p w14:paraId="3A5A211C"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 - Ratio</w:t>
            </w:r>
          </w:p>
        </w:tc>
      </w:tr>
      <w:tr w:rsidR="00294D85" w:rsidRPr="004B50C4" w14:paraId="5ECD560F" w14:textId="77777777" w:rsidTr="00782EA4">
        <w:trPr>
          <w:trHeight w:val="29"/>
          <w:jc w:val="center"/>
        </w:trPr>
        <w:tc>
          <w:tcPr>
            <w:tcW w:w="5631" w:type="dxa"/>
            <w:vAlign w:val="center"/>
            <w:hideMark/>
          </w:tcPr>
          <w:p w14:paraId="6E47D660"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1. Number of Standard Employees for Other Administrative Services per 1000 population</w:t>
            </w:r>
          </w:p>
        </w:tc>
        <w:tc>
          <w:tcPr>
            <w:tcW w:w="1288" w:type="dxa"/>
            <w:vAlign w:val="center"/>
            <w:hideMark/>
          </w:tcPr>
          <w:p w14:paraId="54F822F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0.5842</w:t>
            </w:r>
          </w:p>
        </w:tc>
        <w:tc>
          <w:tcPr>
            <w:tcW w:w="1609" w:type="dxa"/>
            <w:vAlign w:val="center"/>
            <w:hideMark/>
          </w:tcPr>
          <w:p w14:paraId="4E61AAB4"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0.0635</w:t>
            </w:r>
          </w:p>
        </w:tc>
        <w:tc>
          <w:tcPr>
            <w:tcW w:w="1126" w:type="dxa"/>
            <w:vAlign w:val="center"/>
            <w:hideMark/>
          </w:tcPr>
          <w:p w14:paraId="13DEA0D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9.1986</w:t>
            </w:r>
          </w:p>
        </w:tc>
      </w:tr>
      <w:tr w:rsidR="00294D85" w:rsidRPr="004B50C4" w14:paraId="0706E2F4" w14:textId="77777777" w:rsidTr="00782EA4">
        <w:trPr>
          <w:trHeight w:val="29"/>
          <w:jc w:val="center"/>
        </w:trPr>
        <w:tc>
          <w:tcPr>
            <w:tcW w:w="5631" w:type="dxa"/>
            <w:vAlign w:val="center"/>
            <w:hideMark/>
          </w:tcPr>
          <w:p w14:paraId="066B6441"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2. Price differences</w:t>
            </w:r>
          </w:p>
        </w:tc>
        <w:tc>
          <w:tcPr>
            <w:tcW w:w="1288" w:type="dxa"/>
            <w:vAlign w:val="center"/>
            <w:hideMark/>
          </w:tcPr>
          <w:p w14:paraId="60F1CD2E"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0.5220</w:t>
            </w:r>
          </w:p>
        </w:tc>
        <w:tc>
          <w:tcPr>
            <w:tcW w:w="1609" w:type="dxa"/>
            <w:vAlign w:val="center"/>
            <w:hideMark/>
          </w:tcPr>
          <w:p w14:paraId="3759471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0.0264</w:t>
            </w:r>
          </w:p>
        </w:tc>
        <w:tc>
          <w:tcPr>
            <w:tcW w:w="1126" w:type="dxa"/>
            <w:vAlign w:val="center"/>
            <w:hideMark/>
          </w:tcPr>
          <w:p w14:paraId="7707F31F"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19.7690</w:t>
            </w:r>
          </w:p>
        </w:tc>
      </w:tr>
      <w:tr w:rsidR="00294D85" w:rsidRPr="004B50C4" w14:paraId="7993290E" w14:textId="77777777" w:rsidTr="00782EA4">
        <w:trPr>
          <w:trHeight w:val="29"/>
          <w:jc w:val="center"/>
        </w:trPr>
        <w:tc>
          <w:tcPr>
            <w:tcW w:w="5631" w:type="dxa"/>
            <w:vAlign w:val="center"/>
            <w:hideMark/>
          </w:tcPr>
          <w:p w14:paraId="2E3D5354"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3. Proportion of population in hill/desert areas</w:t>
            </w:r>
          </w:p>
        </w:tc>
        <w:tc>
          <w:tcPr>
            <w:tcW w:w="1288" w:type="dxa"/>
            <w:vAlign w:val="center"/>
            <w:hideMark/>
          </w:tcPr>
          <w:p w14:paraId="01B2893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0.0067</w:t>
            </w:r>
          </w:p>
        </w:tc>
        <w:tc>
          <w:tcPr>
            <w:tcW w:w="1609" w:type="dxa"/>
            <w:vAlign w:val="center"/>
            <w:hideMark/>
          </w:tcPr>
          <w:p w14:paraId="3946082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0.0033</w:t>
            </w:r>
          </w:p>
        </w:tc>
        <w:tc>
          <w:tcPr>
            <w:tcW w:w="1126" w:type="dxa"/>
            <w:vAlign w:val="center"/>
            <w:hideMark/>
          </w:tcPr>
          <w:p w14:paraId="4EB464FD"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2.0184</w:t>
            </w:r>
          </w:p>
        </w:tc>
      </w:tr>
      <w:tr w:rsidR="00294D85" w:rsidRPr="004B50C4" w14:paraId="2C0CA159" w14:textId="77777777" w:rsidTr="00782EA4">
        <w:trPr>
          <w:trHeight w:val="29"/>
          <w:jc w:val="center"/>
        </w:trPr>
        <w:tc>
          <w:tcPr>
            <w:tcW w:w="5631" w:type="dxa"/>
            <w:vAlign w:val="center"/>
            <w:hideMark/>
          </w:tcPr>
          <w:p w14:paraId="1D9AF48D"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(1981-82 to 1983-84)</w:t>
            </w:r>
          </w:p>
        </w:tc>
        <w:tc>
          <w:tcPr>
            <w:tcW w:w="1288" w:type="dxa"/>
            <w:vAlign w:val="center"/>
            <w:hideMark/>
          </w:tcPr>
          <w:p w14:paraId="5CA47F7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0.0910</w:t>
            </w:r>
          </w:p>
        </w:tc>
        <w:tc>
          <w:tcPr>
            <w:tcW w:w="1609" w:type="dxa"/>
            <w:vAlign w:val="center"/>
            <w:hideMark/>
          </w:tcPr>
          <w:p w14:paraId="2DB9F11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0.0860</w:t>
            </w:r>
          </w:p>
        </w:tc>
        <w:tc>
          <w:tcPr>
            <w:tcW w:w="1126" w:type="dxa"/>
            <w:vAlign w:val="center"/>
            <w:hideMark/>
          </w:tcPr>
          <w:p w14:paraId="5161B29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1.0585</w:t>
            </w:r>
          </w:p>
        </w:tc>
      </w:tr>
      <w:tr w:rsidR="00294D85" w:rsidRPr="004B50C4" w14:paraId="2B357EF4" w14:textId="77777777" w:rsidTr="00782EA4">
        <w:trPr>
          <w:trHeight w:val="29"/>
          <w:jc w:val="center"/>
        </w:trPr>
        <w:tc>
          <w:tcPr>
            <w:tcW w:w="5631" w:type="dxa"/>
            <w:vAlign w:val="center"/>
            <w:hideMark/>
          </w:tcPr>
          <w:p w14:paraId="7B96950A"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(1984-85 to 1986-87)</w:t>
            </w:r>
          </w:p>
        </w:tc>
        <w:tc>
          <w:tcPr>
            <w:tcW w:w="1288" w:type="dxa"/>
            <w:vAlign w:val="center"/>
            <w:hideMark/>
          </w:tcPr>
          <w:p w14:paraId="5AE0AC4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0.1120</w:t>
            </w:r>
          </w:p>
        </w:tc>
        <w:tc>
          <w:tcPr>
            <w:tcW w:w="1609" w:type="dxa"/>
            <w:vAlign w:val="center"/>
            <w:hideMark/>
          </w:tcPr>
          <w:p w14:paraId="783ECFA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0.0864</w:t>
            </w:r>
          </w:p>
        </w:tc>
        <w:tc>
          <w:tcPr>
            <w:tcW w:w="1126" w:type="dxa"/>
            <w:vAlign w:val="center"/>
            <w:hideMark/>
          </w:tcPr>
          <w:p w14:paraId="1CB01C2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1.2967</w:t>
            </w:r>
          </w:p>
        </w:tc>
      </w:tr>
    </w:tbl>
    <w:p w14:paraId="020944A8" w14:textId="420AA302" w:rsidR="00782EA4" w:rsidRPr="00782EA4" w:rsidRDefault="00782EA4" w:rsidP="00782EA4">
      <w:pPr>
        <w:tabs>
          <w:tab w:val="left" w:pos="2805"/>
        </w:tabs>
        <w:spacing w:after="0"/>
        <w:jc w:val="center"/>
        <w:rPr>
          <w:rFonts w:ascii="Times New Roman" w:hAnsi="Times New Roman" w:cs="Times New Roman"/>
          <w:sz w:val="16"/>
          <w:szCs w:val="16"/>
        </w:rPr>
      </w:pPr>
      <w:r w:rsidRPr="00782EA4">
        <w:rPr>
          <w:rFonts w:ascii="Times New Roman" w:hAnsi="Times New Roman" w:cs="Times New Roman"/>
          <w:sz w:val="16"/>
          <w:szCs w:val="16"/>
        </w:rPr>
        <w:t>R - Squared</w:t>
      </w:r>
      <w:r w:rsidRPr="00782EA4">
        <w:rPr>
          <w:rFonts w:ascii="Times New Roman" w:hAnsi="Times New Roman" w:cs="Times New Roman"/>
          <w:sz w:val="16"/>
          <w:szCs w:val="16"/>
        </w:rPr>
        <w:tab/>
        <w:t>0.8222</w:t>
      </w:r>
      <w:r w:rsidRPr="00782EA4">
        <w:rPr>
          <w:rFonts w:ascii="Times New Roman" w:hAnsi="Times New Roman" w:cs="Times New Roman"/>
          <w:sz w:val="16"/>
          <w:szCs w:val="16"/>
        </w:rPr>
        <w:tab/>
      </w:r>
      <w:r w:rsidRPr="00782EA4">
        <w:rPr>
          <w:rFonts w:ascii="Times New Roman" w:hAnsi="Times New Roman" w:cs="Times New Roman"/>
          <w:sz w:val="16"/>
          <w:szCs w:val="16"/>
        </w:rPr>
        <w:tab/>
        <w:t>Residual Sum of Squares</w:t>
      </w:r>
      <w:r w:rsidRPr="00782EA4">
        <w:rPr>
          <w:rFonts w:ascii="Times New Roman" w:hAnsi="Times New Roman" w:cs="Times New Roman"/>
          <w:sz w:val="16"/>
          <w:szCs w:val="16"/>
        </w:rPr>
        <w:tab/>
        <w:t>0.4996</w:t>
      </w:r>
    </w:p>
    <w:p w14:paraId="5CD21BE3" w14:textId="2D1C4F41" w:rsidR="00782EA4" w:rsidRPr="00782EA4" w:rsidRDefault="00782EA4" w:rsidP="00782EA4">
      <w:pPr>
        <w:tabs>
          <w:tab w:val="left" w:pos="2805"/>
        </w:tabs>
        <w:spacing w:after="0"/>
        <w:jc w:val="center"/>
        <w:rPr>
          <w:rFonts w:ascii="Times New Roman" w:hAnsi="Times New Roman" w:cs="Times New Roman"/>
          <w:sz w:val="16"/>
          <w:szCs w:val="16"/>
        </w:rPr>
      </w:pPr>
      <w:r w:rsidRPr="00782EA4">
        <w:rPr>
          <w:rFonts w:ascii="Times New Roman" w:hAnsi="Times New Roman" w:cs="Times New Roman"/>
          <w:sz w:val="16"/>
          <w:szCs w:val="16"/>
        </w:rPr>
        <w:t>R - Bar - Squared</w:t>
      </w:r>
      <w:r w:rsidRPr="00782EA4">
        <w:rPr>
          <w:rFonts w:ascii="Times New Roman" w:hAnsi="Times New Roman" w:cs="Times New Roman"/>
          <w:sz w:val="16"/>
          <w:szCs w:val="16"/>
        </w:rPr>
        <w:tab/>
        <w:t>0.7913</w:t>
      </w:r>
      <w:r w:rsidRPr="00782EA4">
        <w:rPr>
          <w:rFonts w:ascii="Times New Roman" w:hAnsi="Times New Roman" w:cs="Times New Roman"/>
          <w:sz w:val="16"/>
          <w:szCs w:val="16"/>
        </w:rPr>
        <w:tab/>
      </w:r>
      <w:r w:rsidRPr="00782EA4">
        <w:rPr>
          <w:rFonts w:ascii="Times New Roman" w:hAnsi="Times New Roman" w:cs="Times New Roman"/>
          <w:sz w:val="16"/>
          <w:szCs w:val="16"/>
        </w:rPr>
        <w:tab/>
        <w:t>S.E. of Regression</w:t>
      </w:r>
      <w:r w:rsidRPr="00782EA4">
        <w:rPr>
          <w:rFonts w:ascii="Times New Roman" w:hAnsi="Times New Roman" w:cs="Times New Roman"/>
          <w:sz w:val="16"/>
          <w:szCs w:val="16"/>
        </w:rPr>
        <w:tab/>
        <w:t>0.1474</w:t>
      </w:r>
    </w:p>
    <w:p w14:paraId="19C98E92" w14:textId="3B879E56" w:rsidR="00294D85" w:rsidRPr="004B50C4" w:rsidRDefault="00294D85" w:rsidP="004B50C4">
      <w:pPr>
        <w:tabs>
          <w:tab w:val="left" w:pos="2805"/>
        </w:tabs>
        <w:spacing w:after="0"/>
        <w:jc w:val="center"/>
        <w:rPr>
          <w:rFonts w:ascii="Times New Roman" w:hAnsi="Times New Roman" w:cs="Times New Roman"/>
          <w:sz w:val="20"/>
          <w:szCs w:val="20"/>
        </w:rPr>
      </w:pPr>
      <w:r w:rsidRPr="004B50C4">
        <w:rPr>
          <w:rFonts w:ascii="Times New Roman" w:hAnsi="Times New Roman" w:cs="Times New Roman"/>
          <w:b/>
          <w:bCs/>
          <w:sz w:val="20"/>
          <w:szCs w:val="20"/>
        </w:rPr>
        <w:t>Diagnostic Tests</w:t>
      </w:r>
    </w:p>
    <w:tbl>
      <w:tblPr>
        <w:tblStyle w:val="TableGrid"/>
        <w:tblW w:w="9458" w:type="dxa"/>
        <w:jc w:val="center"/>
        <w:tblLook w:val="04A0" w:firstRow="1" w:lastRow="0" w:firstColumn="1" w:lastColumn="0" w:noHBand="0" w:noVBand="1"/>
      </w:tblPr>
      <w:tblGrid>
        <w:gridCol w:w="2915"/>
        <w:gridCol w:w="2918"/>
        <w:gridCol w:w="3625"/>
      </w:tblGrid>
      <w:tr w:rsidR="00294D85" w:rsidRPr="004B50C4" w14:paraId="2FBFBCDF" w14:textId="77777777" w:rsidTr="00782EA4">
        <w:trPr>
          <w:trHeight w:val="77"/>
          <w:jc w:val="center"/>
        </w:trPr>
        <w:tc>
          <w:tcPr>
            <w:tcW w:w="2915" w:type="dxa"/>
            <w:vAlign w:val="center"/>
            <w:hideMark/>
          </w:tcPr>
          <w:p w14:paraId="646F3C59"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Test Statistics</w:t>
            </w:r>
          </w:p>
        </w:tc>
        <w:tc>
          <w:tcPr>
            <w:tcW w:w="2918" w:type="dxa"/>
            <w:vAlign w:val="center"/>
            <w:hideMark/>
          </w:tcPr>
          <w:p w14:paraId="1A6B13DA"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LM Version</w:t>
            </w:r>
          </w:p>
        </w:tc>
        <w:tc>
          <w:tcPr>
            <w:tcW w:w="3625" w:type="dxa"/>
            <w:vAlign w:val="center"/>
            <w:hideMark/>
          </w:tcPr>
          <w:p w14:paraId="18E54CCB"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F Version</w:t>
            </w:r>
          </w:p>
        </w:tc>
      </w:tr>
      <w:tr w:rsidR="00294D85" w:rsidRPr="004B50C4" w14:paraId="2DA2995A" w14:textId="77777777" w:rsidTr="00782EA4">
        <w:trPr>
          <w:trHeight w:val="77"/>
          <w:jc w:val="center"/>
        </w:trPr>
        <w:tc>
          <w:tcPr>
            <w:tcW w:w="2915" w:type="dxa"/>
            <w:vAlign w:val="center"/>
            <w:hideMark/>
          </w:tcPr>
          <w:p w14:paraId="69BD8888"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A: Serial Correlation</w:t>
            </w:r>
          </w:p>
        </w:tc>
        <w:tc>
          <w:tcPr>
            <w:tcW w:w="2918" w:type="dxa"/>
            <w:vAlign w:val="center"/>
            <w:hideMark/>
          </w:tcPr>
          <w:p w14:paraId="272BBB3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1.4023</w:t>
            </w:r>
          </w:p>
        </w:tc>
        <w:tc>
          <w:tcPr>
            <w:tcW w:w="3625" w:type="dxa"/>
            <w:vAlign w:val="center"/>
            <w:hideMark/>
          </w:tcPr>
          <w:p w14:paraId="53BA502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22) = 1.1599</w:t>
            </w:r>
          </w:p>
        </w:tc>
      </w:tr>
      <w:tr w:rsidR="00294D85" w:rsidRPr="004B50C4" w14:paraId="51645AD3" w14:textId="77777777" w:rsidTr="00782EA4">
        <w:trPr>
          <w:trHeight w:val="77"/>
          <w:jc w:val="center"/>
        </w:trPr>
        <w:tc>
          <w:tcPr>
            <w:tcW w:w="2915" w:type="dxa"/>
            <w:vAlign w:val="center"/>
            <w:hideMark/>
          </w:tcPr>
          <w:p w14:paraId="51E1E4B7"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B: Functional Form</w:t>
            </w:r>
          </w:p>
        </w:tc>
        <w:tc>
          <w:tcPr>
            <w:tcW w:w="2918" w:type="dxa"/>
            <w:vAlign w:val="center"/>
            <w:hideMark/>
          </w:tcPr>
          <w:p w14:paraId="62102435"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0.6778</w:t>
            </w:r>
          </w:p>
        </w:tc>
        <w:tc>
          <w:tcPr>
            <w:tcW w:w="3625" w:type="dxa"/>
            <w:vAlign w:val="center"/>
            <w:hideMark/>
          </w:tcPr>
          <w:p w14:paraId="2049FC64"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22) = 0.5458</w:t>
            </w:r>
          </w:p>
        </w:tc>
      </w:tr>
      <w:tr w:rsidR="00294D85" w:rsidRPr="004B50C4" w14:paraId="50154EA4" w14:textId="77777777" w:rsidTr="00782EA4">
        <w:trPr>
          <w:trHeight w:val="77"/>
          <w:jc w:val="center"/>
        </w:trPr>
        <w:tc>
          <w:tcPr>
            <w:tcW w:w="2915" w:type="dxa"/>
            <w:vAlign w:val="center"/>
            <w:hideMark/>
          </w:tcPr>
          <w:p w14:paraId="11FD29F8"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C: Normality</w:t>
            </w:r>
          </w:p>
        </w:tc>
        <w:tc>
          <w:tcPr>
            <w:tcW w:w="2918" w:type="dxa"/>
            <w:vAlign w:val="center"/>
            <w:hideMark/>
          </w:tcPr>
          <w:p w14:paraId="383FD65A"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2) = 1.4049</w:t>
            </w:r>
          </w:p>
        </w:tc>
        <w:tc>
          <w:tcPr>
            <w:tcW w:w="3625" w:type="dxa"/>
            <w:vAlign w:val="center"/>
            <w:hideMark/>
          </w:tcPr>
          <w:p w14:paraId="040F0A9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Not Applicable</w:t>
            </w:r>
          </w:p>
        </w:tc>
      </w:tr>
      <w:tr w:rsidR="00294D85" w:rsidRPr="004B50C4" w14:paraId="5363D147" w14:textId="77777777" w:rsidTr="00782EA4">
        <w:trPr>
          <w:trHeight w:val="77"/>
          <w:jc w:val="center"/>
        </w:trPr>
        <w:tc>
          <w:tcPr>
            <w:tcW w:w="2915" w:type="dxa"/>
            <w:vAlign w:val="center"/>
            <w:hideMark/>
          </w:tcPr>
          <w:p w14:paraId="5C76CDFB"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D: Heteroscedasticity</w:t>
            </w:r>
          </w:p>
        </w:tc>
        <w:tc>
          <w:tcPr>
            <w:tcW w:w="2918" w:type="dxa"/>
            <w:vAlign w:val="center"/>
            <w:hideMark/>
          </w:tcPr>
          <w:p w14:paraId="54C8FF4F"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0.0001</w:t>
            </w:r>
          </w:p>
        </w:tc>
        <w:tc>
          <w:tcPr>
            <w:tcW w:w="3625" w:type="dxa"/>
            <w:vAlign w:val="center"/>
            <w:hideMark/>
          </w:tcPr>
          <w:p w14:paraId="3DF74D78"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26) = 0.0001</w:t>
            </w:r>
          </w:p>
        </w:tc>
      </w:tr>
    </w:tbl>
    <w:p w14:paraId="0D2C25CF" w14:textId="77777777" w:rsidR="00951606" w:rsidRDefault="00951606" w:rsidP="00294D85">
      <w:pPr>
        <w:tabs>
          <w:tab w:val="left" w:pos="2805"/>
        </w:tabs>
        <w:jc w:val="center"/>
        <w:rPr>
          <w:rFonts w:ascii="Times New Roman" w:hAnsi="Times New Roman" w:cs="Times New Roman"/>
          <w:b/>
          <w:bCs/>
          <w:szCs w:val="24"/>
        </w:rPr>
      </w:pPr>
    </w:p>
    <w:p w14:paraId="37608515" w14:textId="521866CA" w:rsidR="00294D85" w:rsidRPr="00AA6AF4" w:rsidRDefault="00294D85" w:rsidP="00951606">
      <w:pPr>
        <w:tabs>
          <w:tab w:val="left" w:pos="2805"/>
        </w:tabs>
        <w:spacing w:after="0"/>
        <w:jc w:val="center"/>
        <w:rPr>
          <w:rFonts w:ascii="Times New Roman" w:hAnsi="Times New Roman" w:cs="Times New Roman"/>
          <w:szCs w:val="24"/>
        </w:rPr>
      </w:pPr>
      <w:r w:rsidRPr="00AA6AF4">
        <w:rPr>
          <w:rFonts w:ascii="Times New Roman" w:hAnsi="Times New Roman" w:cs="Times New Roman"/>
          <w:b/>
          <w:bCs/>
          <w:szCs w:val="24"/>
        </w:rPr>
        <w:t>Regression Results</w:t>
      </w:r>
    </w:p>
    <w:p w14:paraId="0CDE4CE0" w14:textId="459A8998" w:rsidR="00294D85" w:rsidRPr="004B50C4" w:rsidRDefault="00294D85" w:rsidP="00951606">
      <w:pPr>
        <w:tabs>
          <w:tab w:val="left" w:pos="2805"/>
        </w:tabs>
        <w:spacing w:after="0"/>
        <w:ind w:firstLine="1276"/>
        <w:rPr>
          <w:rFonts w:ascii="Times New Roman" w:hAnsi="Times New Roman" w:cs="Times New Roman"/>
          <w:sz w:val="18"/>
          <w:szCs w:val="18"/>
        </w:rPr>
      </w:pPr>
      <w:r w:rsidRPr="004B50C4">
        <w:rPr>
          <w:rFonts w:ascii="Times New Roman" w:hAnsi="Times New Roman" w:cs="Times New Roman"/>
          <w:sz w:val="18"/>
          <w:szCs w:val="18"/>
        </w:rPr>
        <w:t xml:space="preserve">Dependent Variable: </w:t>
      </w:r>
      <w:r w:rsidR="009D5E51">
        <w:rPr>
          <w:rFonts w:ascii="Times New Roman" w:hAnsi="Times New Roman" w:cs="Times New Roman"/>
          <w:sz w:val="18"/>
          <w:szCs w:val="18"/>
        </w:rPr>
        <w:tab/>
      </w:r>
      <w:r w:rsidRPr="004B50C4">
        <w:rPr>
          <w:rFonts w:ascii="Times New Roman" w:hAnsi="Times New Roman" w:cs="Times New Roman"/>
          <w:sz w:val="18"/>
          <w:szCs w:val="18"/>
        </w:rPr>
        <w:t> </w:t>
      </w:r>
      <w:r w:rsidR="00951606">
        <w:rPr>
          <w:rFonts w:ascii="Times New Roman" w:hAnsi="Times New Roman" w:cs="Times New Roman"/>
          <w:sz w:val="18"/>
          <w:szCs w:val="18"/>
        </w:rPr>
        <w:tab/>
      </w:r>
      <w:r w:rsidR="00951606">
        <w:rPr>
          <w:rFonts w:ascii="Times New Roman" w:hAnsi="Times New Roman" w:cs="Times New Roman"/>
          <w:sz w:val="18"/>
          <w:szCs w:val="18"/>
        </w:rPr>
        <w:tab/>
      </w:r>
      <w:r w:rsidR="00951606">
        <w:rPr>
          <w:rFonts w:ascii="Times New Roman" w:hAnsi="Times New Roman" w:cs="Times New Roman"/>
          <w:sz w:val="18"/>
          <w:szCs w:val="18"/>
        </w:rPr>
        <w:tab/>
      </w:r>
      <w:r w:rsidRPr="004B50C4">
        <w:rPr>
          <w:rFonts w:ascii="Times New Roman" w:hAnsi="Times New Roman" w:cs="Times New Roman"/>
          <w:sz w:val="18"/>
          <w:szCs w:val="18"/>
        </w:rPr>
        <w:t>Per Child Expenditure on Primary Education</w:t>
      </w:r>
    </w:p>
    <w:p w14:paraId="461E7857" w14:textId="549D5A11" w:rsidR="00294D85" w:rsidRPr="004B50C4" w:rsidRDefault="00294D85" w:rsidP="00951606">
      <w:pPr>
        <w:tabs>
          <w:tab w:val="left" w:pos="2805"/>
        </w:tabs>
        <w:spacing w:after="0"/>
        <w:ind w:firstLine="1276"/>
        <w:rPr>
          <w:rFonts w:ascii="Times New Roman" w:hAnsi="Times New Roman" w:cs="Times New Roman"/>
          <w:sz w:val="18"/>
          <w:szCs w:val="18"/>
        </w:rPr>
      </w:pPr>
      <w:r w:rsidRPr="004B50C4">
        <w:rPr>
          <w:rFonts w:ascii="Times New Roman" w:hAnsi="Times New Roman" w:cs="Times New Roman"/>
          <w:sz w:val="18"/>
          <w:szCs w:val="18"/>
        </w:rPr>
        <w:t>Number Of Observations:  28</w:t>
      </w:r>
      <w:r w:rsidR="004B50C4">
        <w:rPr>
          <w:rFonts w:ascii="Times New Roman" w:hAnsi="Times New Roman" w:cs="Times New Roman"/>
          <w:sz w:val="18"/>
          <w:szCs w:val="18"/>
        </w:rPr>
        <w:tab/>
      </w:r>
      <w:r w:rsidR="00951606">
        <w:rPr>
          <w:rFonts w:ascii="Times New Roman" w:hAnsi="Times New Roman" w:cs="Times New Roman"/>
          <w:sz w:val="18"/>
          <w:szCs w:val="18"/>
        </w:rPr>
        <w:tab/>
      </w:r>
      <w:r w:rsidRPr="004B50C4">
        <w:rPr>
          <w:rFonts w:ascii="Times New Roman" w:hAnsi="Times New Roman" w:cs="Times New Roman"/>
          <w:sz w:val="18"/>
          <w:szCs w:val="18"/>
        </w:rPr>
        <w:t xml:space="preserve">Degrees </w:t>
      </w:r>
      <w:proofErr w:type="gramStart"/>
      <w:r w:rsidRPr="004B50C4">
        <w:rPr>
          <w:rFonts w:ascii="Times New Roman" w:hAnsi="Times New Roman" w:cs="Times New Roman"/>
          <w:sz w:val="18"/>
          <w:szCs w:val="18"/>
        </w:rPr>
        <w:t>Of</w:t>
      </w:r>
      <w:proofErr w:type="gramEnd"/>
      <w:r w:rsidRPr="004B50C4">
        <w:rPr>
          <w:rFonts w:ascii="Times New Roman" w:hAnsi="Times New Roman" w:cs="Times New Roman"/>
          <w:sz w:val="18"/>
          <w:szCs w:val="18"/>
        </w:rPr>
        <w:t xml:space="preserve"> Freedom: 22</w:t>
      </w:r>
    </w:p>
    <w:tbl>
      <w:tblPr>
        <w:tblStyle w:val="TableGrid"/>
        <w:tblW w:w="9581" w:type="dxa"/>
        <w:jc w:val="center"/>
        <w:tblLook w:val="04A0" w:firstRow="1" w:lastRow="0" w:firstColumn="1" w:lastColumn="0" w:noHBand="0" w:noVBand="1"/>
      </w:tblPr>
      <w:tblGrid>
        <w:gridCol w:w="5050"/>
        <w:gridCol w:w="1569"/>
        <w:gridCol w:w="1742"/>
        <w:gridCol w:w="1220"/>
      </w:tblGrid>
      <w:tr w:rsidR="00294D85" w:rsidRPr="004B50C4" w14:paraId="641162F0" w14:textId="77777777" w:rsidTr="00782EA4">
        <w:trPr>
          <w:trHeight w:val="33"/>
          <w:jc w:val="center"/>
        </w:trPr>
        <w:tc>
          <w:tcPr>
            <w:tcW w:w="5050" w:type="dxa"/>
            <w:vAlign w:val="center"/>
            <w:hideMark/>
          </w:tcPr>
          <w:p w14:paraId="19FB8437"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Regressor</w:t>
            </w:r>
          </w:p>
        </w:tc>
        <w:tc>
          <w:tcPr>
            <w:tcW w:w="1569" w:type="dxa"/>
            <w:vAlign w:val="center"/>
            <w:hideMark/>
          </w:tcPr>
          <w:p w14:paraId="610BE6F4"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Coefficient</w:t>
            </w:r>
          </w:p>
        </w:tc>
        <w:tc>
          <w:tcPr>
            <w:tcW w:w="1742" w:type="dxa"/>
            <w:vAlign w:val="center"/>
            <w:hideMark/>
          </w:tcPr>
          <w:p w14:paraId="20A80897"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Standard Error</w:t>
            </w:r>
          </w:p>
        </w:tc>
        <w:tc>
          <w:tcPr>
            <w:tcW w:w="1220" w:type="dxa"/>
            <w:vAlign w:val="center"/>
            <w:hideMark/>
          </w:tcPr>
          <w:p w14:paraId="695E5C8C"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 - Ratio</w:t>
            </w:r>
          </w:p>
        </w:tc>
      </w:tr>
      <w:tr w:rsidR="00294D85" w:rsidRPr="004B50C4" w14:paraId="580FBEF6" w14:textId="77777777" w:rsidTr="00782EA4">
        <w:trPr>
          <w:trHeight w:val="33"/>
          <w:jc w:val="center"/>
        </w:trPr>
        <w:tc>
          <w:tcPr>
            <w:tcW w:w="5050" w:type="dxa"/>
            <w:vAlign w:val="center"/>
            <w:hideMark/>
          </w:tcPr>
          <w:p w14:paraId="0A0D899A"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1. Proportion of enrolment in Primary Schools to children in the age group 6-10 years</w:t>
            </w:r>
          </w:p>
        </w:tc>
        <w:tc>
          <w:tcPr>
            <w:tcW w:w="1569" w:type="dxa"/>
            <w:vAlign w:val="center"/>
            <w:hideMark/>
          </w:tcPr>
          <w:p w14:paraId="4464887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0.9339</w:t>
            </w:r>
          </w:p>
        </w:tc>
        <w:tc>
          <w:tcPr>
            <w:tcW w:w="1742" w:type="dxa"/>
            <w:vAlign w:val="center"/>
            <w:hideMark/>
          </w:tcPr>
          <w:p w14:paraId="5FD383C2"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0.2306</w:t>
            </w:r>
          </w:p>
        </w:tc>
        <w:tc>
          <w:tcPr>
            <w:tcW w:w="1220" w:type="dxa"/>
            <w:vAlign w:val="center"/>
            <w:hideMark/>
          </w:tcPr>
          <w:p w14:paraId="50729D7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4.0503</w:t>
            </w:r>
          </w:p>
        </w:tc>
      </w:tr>
      <w:tr w:rsidR="00294D85" w:rsidRPr="004B50C4" w14:paraId="10590AF5" w14:textId="77777777" w:rsidTr="00782EA4">
        <w:trPr>
          <w:trHeight w:val="33"/>
          <w:jc w:val="center"/>
        </w:trPr>
        <w:tc>
          <w:tcPr>
            <w:tcW w:w="5050" w:type="dxa"/>
            <w:vAlign w:val="center"/>
            <w:hideMark/>
          </w:tcPr>
          <w:p w14:paraId="6F1DD04F"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2. Student-Teacher ratio in Primary Schools</w:t>
            </w:r>
          </w:p>
        </w:tc>
        <w:tc>
          <w:tcPr>
            <w:tcW w:w="1569" w:type="dxa"/>
            <w:vAlign w:val="center"/>
            <w:hideMark/>
          </w:tcPr>
          <w:p w14:paraId="65CD6AF2"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-0.6545</w:t>
            </w:r>
          </w:p>
        </w:tc>
        <w:tc>
          <w:tcPr>
            <w:tcW w:w="1742" w:type="dxa"/>
            <w:vAlign w:val="center"/>
            <w:hideMark/>
          </w:tcPr>
          <w:p w14:paraId="148CB6AF"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0.3329</w:t>
            </w:r>
          </w:p>
        </w:tc>
        <w:tc>
          <w:tcPr>
            <w:tcW w:w="1220" w:type="dxa"/>
            <w:vAlign w:val="center"/>
            <w:hideMark/>
          </w:tcPr>
          <w:p w14:paraId="75491935"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-1.9661</w:t>
            </w:r>
          </w:p>
        </w:tc>
      </w:tr>
      <w:tr w:rsidR="00294D85" w:rsidRPr="004B50C4" w14:paraId="77A36113" w14:textId="77777777" w:rsidTr="00782EA4">
        <w:trPr>
          <w:trHeight w:val="33"/>
          <w:jc w:val="center"/>
        </w:trPr>
        <w:tc>
          <w:tcPr>
            <w:tcW w:w="5050" w:type="dxa"/>
            <w:vAlign w:val="center"/>
            <w:hideMark/>
          </w:tcPr>
          <w:p w14:paraId="4306007E"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3. Price differences</w:t>
            </w:r>
          </w:p>
        </w:tc>
        <w:tc>
          <w:tcPr>
            <w:tcW w:w="1569" w:type="dxa"/>
            <w:vAlign w:val="center"/>
            <w:hideMark/>
          </w:tcPr>
          <w:p w14:paraId="584DB10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1.3859</w:t>
            </w:r>
          </w:p>
        </w:tc>
        <w:tc>
          <w:tcPr>
            <w:tcW w:w="1742" w:type="dxa"/>
            <w:vAlign w:val="center"/>
            <w:hideMark/>
          </w:tcPr>
          <w:p w14:paraId="378DF9F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0.3196</w:t>
            </w:r>
          </w:p>
        </w:tc>
        <w:tc>
          <w:tcPr>
            <w:tcW w:w="1220" w:type="dxa"/>
            <w:vAlign w:val="center"/>
            <w:hideMark/>
          </w:tcPr>
          <w:p w14:paraId="5CBA718F"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4.3365</w:t>
            </w:r>
          </w:p>
        </w:tc>
      </w:tr>
      <w:tr w:rsidR="00294D85" w:rsidRPr="004B50C4" w14:paraId="653D4913" w14:textId="77777777" w:rsidTr="00782EA4">
        <w:trPr>
          <w:trHeight w:val="33"/>
          <w:jc w:val="center"/>
        </w:trPr>
        <w:tc>
          <w:tcPr>
            <w:tcW w:w="5050" w:type="dxa"/>
            <w:vAlign w:val="center"/>
            <w:hideMark/>
          </w:tcPr>
          <w:p w14:paraId="51D005D8"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4. Salary differences of Primary School teachers</w:t>
            </w:r>
          </w:p>
        </w:tc>
        <w:tc>
          <w:tcPr>
            <w:tcW w:w="1569" w:type="dxa"/>
            <w:vAlign w:val="center"/>
            <w:hideMark/>
          </w:tcPr>
          <w:p w14:paraId="347D17B2"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0.2133</w:t>
            </w:r>
          </w:p>
        </w:tc>
        <w:tc>
          <w:tcPr>
            <w:tcW w:w="1742" w:type="dxa"/>
            <w:vAlign w:val="center"/>
            <w:hideMark/>
          </w:tcPr>
          <w:p w14:paraId="3E02D48A"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0.1944</w:t>
            </w:r>
          </w:p>
        </w:tc>
        <w:tc>
          <w:tcPr>
            <w:tcW w:w="1220" w:type="dxa"/>
            <w:vAlign w:val="center"/>
            <w:hideMark/>
          </w:tcPr>
          <w:p w14:paraId="0DA099E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1.0971</w:t>
            </w:r>
          </w:p>
        </w:tc>
      </w:tr>
      <w:tr w:rsidR="00294D85" w:rsidRPr="004B50C4" w14:paraId="603B5404" w14:textId="77777777" w:rsidTr="00782EA4">
        <w:trPr>
          <w:trHeight w:val="33"/>
          <w:jc w:val="center"/>
        </w:trPr>
        <w:tc>
          <w:tcPr>
            <w:tcW w:w="5050" w:type="dxa"/>
            <w:vAlign w:val="center"/>
            <w:hideMark/>
          </w:tcPr>
          <w:p w14:paraId="7B29380A"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(1981-82 to 1983-84)</w:t>
            </w:r>
          </w:p>
        </w:tc>
        <w:tc>
          <w:tcPr>
            <w:tcW w:w="1569" w:type="dxa"/>
            <w:vAlign w:val="center"/>
            <w:hideMark/>
          </w:tcPr>
          <w:p w14:paraId="7757C52D"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0.2247</w:t>
            </w:r>
          </w:p>
        </w:tc>
        <w:tc>
          <w:tcPr>
            <w:tcW w:w="1742" w:type="dxa"/>
            <w:vAlign w:val="center"/>
            <w:hideMark/>
          </w:tcPr>
          <w:p w14:paraId="7D343EC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0.1256</w:t>
            </w:r>
          </w:p>
        </w:tc>
        <w:tc>
          <w:tcPr>
            <w:tcW w:w="1220" w:type="dxa"/>
            <w:vAlign w:val="center"/>
            <w:hideMark/>
          </w:tcPr>
          <w:p w14:paraId="5858C2F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1.7885</w:t>
            </w:r>
          </w:p>
        </w:tc>
      </w:tr>
      <w:tr w:rsidR="00294D85" w:rsidRPr="004B50C4" w14:paraId="350AEB42" w14:textId="77777777" w:rsidTr="00782EA4">
        <w:trPr>
          <w:trHeight w:val="33"/>
          <w:jc w:val="center"/>
        </w:trPr>
        <w:tc>
          <w:tcPr>
            <w:tcW w:w="5050" w:type="dxa"/>
            <w:vAlign w:val="center"/>
            <w:hideMark/>
          </w:tcPr>
          <w:p w14:paraId="5F130DB2"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(1984-85 to 1986-87)</w:t>
            </w:r>
          </w:p>
        </w:tc>
        <w:tc>
          <w:tcPr>
            <w:tcW w:w="1569" w:type="dxa"/>
            <w:vAlign w:val="center"/>
            <w:hideMark/>
          </w:tcPr>
          <w:p w14:paraId="7901433F"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0.0417</w:t>
            </w:r>
          </w:p>
        </w:tc>
        <w:tc>
          <w:tcPr>
            <w:tcW w:w="1742" w:type="dxa"/>
            <w:vAlign w:val="center"/>
            <w:hideMark/>
          </w:tcPr>
          <w:p w14:paraId="407DC312"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0.1179</w:t>
            </w:r>
          </w:p>
        </w:tc>
        <w:tc>
          <w:tcPr>
            <w:tcW w:w="1220" w:type="dxa"/>
            <w:vAlign w:val="center"/>
            <w:hideMark/>
          </w:tcPr>
          <w:p w14:paraId="33B154B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0.3533</w:t>
            </w:r>
          </w:p>
        </w:tc>
      </w:tr>
    </w:tbl>
    <w:p w14:paraId="3EFE4AC9" w14:textId="77777777" w:rsidR="00782EA4" w:rsidRPr="00782EA4" w:rsidRDefault="00782EA4" w:rsidP="00782EA4">
      <w:pPr>
        <w:tabs>
          <w:tab w:val="left" w:pos="2805"/>
        </w:tabs>
        <w:spacing w:after="0"/>
        <w:jc w:val="center"/>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0.8035</w:t>
      </w:r>
      <w:r w:rsidRPr="00782EA4">
        <w:rPr>
          <w:rFonts w:ascii="Times New Roman" w:hAnsi="Times New Roman" w:cs="Times New Roman"/>
          <w:sz w:val="18"/>
          <w:szCs w:val="18"/>
        </w:rPr>
        <w:tab/>
        <w:t>Residual Sum of Squares</w:t>
      </w:r>
      <w:r w:rsidRPr="00782EA4">
        <w:rPr>
          <w:rFonts w:ascii="Times New Roman" w:hAnsi="Times New Roman" w:cs="Times New Roman"/>
          <w:sz w:val="18"/>
          <w:szCs w:val="18"/>
        </w:rPr>
        <w:tab/>
        <w:t>0.8631</w:t>
      </w:r>
    </w:p>
    <w:p w14:paraId="61082C8B" w14:textId="3C87DE88" w:rsidR="00782EA4" w:rsidRPr="00782EA4" w:rsidRDefault="00782EA4" w:rsidP="00782EA4">
      <w:pPr>
        <w:tabs>
          <w:tab w:val="left" w:pos="2805"/>
        </w:tabs>
        <w:spacing w:after="0"/>
        <w:jc w:val="center"/>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0.7588</w:t>
      </w:r>
      <w:r w:rsidRPr="00782EA4">
        <w:rPr>
          <w:rFonts w:ascii="Times New Roman" w:hAnsi="Times New Roman" w:cs="Times New Roman"/>
          <w:sz w:val="18"/>
          <w:szCs w:val="18"/>
        </w:rPr>
        <w:tab/>
        <w:t>S.E. of Regression</w:t>
      </w:r>
      <w:r w:rsidRPr="00782EA4">
        <w:rPr>
          <w:rFonts w:ascii="Times New Roman" w:hAnsi="Times New Roman" w:cs="Times New Roman"/>
          <w:sz w:val="18"/>
          <w:szCs w:val="18"/>
        </w:rPr>
        <w:tab/>
        <w:t>0.1981</w:t>
      </w:r>
    </w:p>
    <w:p w14:paraId="73DDE68A" w14:textId="47DF6A92" w:rsidR="00294D85" w:rsidRPr="004B50C4" w:rsidRDefault="00294D85" w:rsidP="00951606">
      <w:pPr>
        <w:tabs>
          <w:tab w:val="left" w:pos="2805"/>
        </w:tabs>
        <w:spacing w:after="0"/>
        <w:jc w:val="center"/>
        <w:rPr>
          <w:rFonts w:ascii="Times New Roman" w:hAnsi="Times New Roman" w:cs="Times New Roman"/>
          <w:sz w:val="20"/>
          <w:szCs w:val="20"/>
        </w:rPr>
      </w:pPr>
      <w:r w:rsidRPr="004B50C4">
        <w:rPr>
          <w:rFonts w:ascii="Times New Roman" w:hAnsi="Times New Roman" w:cs="Times New Roman"/>
          <w:b/>
          <w:bCs/>
          <w:sz w:val="20"/>
          <w:szCs w:val="20"/>
        </w:rPr>
        <w:t>Diagnostic Tests</w:t>
      </w:r>
    </w:p>
    <w:tbl>
      <w:tblPr>
        <w:tblStyle w:val="TableGrid"/>
        <w:tblW w:w="9682" w:type="dxa"/>
        <w:jc w:val="center"/>
        <w:tblLook w:val="04A0" w:firstRow="1" w:lastRow="0" w:firstColumn="1" w:lastColumn="0" w:noHBand="0" w:noVBand="1"/>
      </w:tblPr>
      <w:tblGrid>
        <w:gridCol w:w="2760"/>
        <w:gridCol w:w="3462"/>
        <w:gridCol w:w="3460"/>
      </w:tblGrid>
      <w:tr w:rsidR="00294D85" w:rsidRPr="004B50C4" w14:paraId="16359687" w14:textId="77777777" w:rsidTr="00782EA4">
        <w:trPr>
          <w:trHeight w:val="149"/>
          <w:jc w:val="center"/>
        </w:trPr>
        <w:tc>
          <w:tcPr>
            <w:tcW w:w="2760" w:type="dxa"/>
            <w:vAlign w:val="center"/>
            <w:hideMark/>
          </w:tcPr>
          <w:p w14:paraId="22E22004"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Test Statistics</w:t>
            </w:r>
          </w:p>
        </w:tc>
        <w:tc>
          <w:tcPr>
            <w:tcW w:w="3462" w:type="dxa"/>
            <w:vAlign w:val="center"/>
            <w:hideMark/>
          </w:tcPr>
          <w:p w14:paraId="57F2F1DF"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LM Version</w:t>
            </w:r>
          </w:p>
        </w:tc>
        <w:tc>
          <w:tcPr>
            <w:tcW w:w="3460" w:type="dxa"/>
            <w:vAlign w:val="center"/>
            <w:hideMark/>
          </w:tcPr>
          <w:p w14:paraId="1E35EF9A"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F Version</w:t>
            </w:r>
          </w:p>
        </w:tc>
      </w:tr>
      <w:tr w:rsidR="00294D85" w:rsidRPr="004B50C4" w14:paraId="1E0D15AF" w14:textId="77777777" w:rsidTr="00782EA4">
        <w:trPr>
          <w:trHeight w:val="149"/>
          <w:jc w:val="center"/>
        </w:trPr>
        <w:tc>
          <w:tcPr>
            <w:tcW w:w="2760" w:type="dxa"/>
            <w:vAlign w:val="center"/>
            <w:hideMark/>
          </w:tcPr>
          <w:p w14:paraId="20DC79A2"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A: Serial Correlation</w:t>
            </w:r>
          </w:p>
        </w:tc>
        <w:tc>
          <w:tcPr>
            <w:tcW w:w="3462" w:type="dxa"/>
            <w:vAlign w:val="center"/>
            <w:hideMark/>
          </w:tcPr>
          <w:p w14:paraId="4533055B"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2.4906</w:t>
            </w:r>
          </w:p>
        </w:tc>
        <w:tc>
          <w:tcPr>
            <w:tcW w:w="3460" w:type="dxa"/>
            <w:vAlign w:val="center"/>
            <w:hideMark/>
          </w:tcPr>
          <w:p w14:paraId="5161552A"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21) = 2.0503</w:t>
            </w:r>
          </w:p>
        </w:tc>
      </w:tr>
      <w:tr w:rsidR="00294D85" w:rsidRPr="004B50C4" w14:paraId="70BC34BA" w14:textId="77777777" w:rsidTr="00782EA4">
        <w:trPr>
          <w:trHeight w:val="149"/>
          <w:jc w:val="center"/>
        </w:trPr>
        <w:tc>
          <w:tcPr>
            <w:tcW w:w="2760" w:type="dxa"/>
            <w:vAlign w:val="center"/>
            <w:hideMark/>
          </w:tcPr>
          <w:p w14:paraId="7705A3DA"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B: Functional Form</w:t>
            </w:r>
          </w:p>
        </w:tc>
        <w:tc>
          <w:tcPr>
            <w:tcW w:w="3462" w:type="dxa"/>
            <w:vAlign w:val="center"/>
            <w:hideMark/>
          </w:tcPr>
          <w:p w14:paraId="2E6BD4C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3.6223</w:t>
            </w:r>
          </w:p>
        </w:tc>
        <w:tc>
          <w:tcPr>
            <w:tcW w:w="3460" w:type="dxa"/>
            <w:vAlign w:val="center"/>
            <w:hideMark/>
          </w:tcPr>
          <w:p w14:paraId="79CE0C56"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21) = 3.1204</w:t>
            </w:r>
          </w:p>
        </w:tc>
      </w:tr>
      <w:tr w:rsidR="00294D85" w:rsidRPr="004B50C4" w14:paraId="793BF4C3" w14:textId="77777777" w:rsidTr="00782EA4">
        <w:trPr>
          <w:trHeight w:val="149"/>
          <w:jc w:val="center"/>
        </w:trPr>
        <w:tc>
          <w:tcPr>
            <w:tcW w:w="2760" w:type="dxa"/>
            <w:vAlign w:val="center"/>
            <w:hideMark/>
          </w:tcPr>
          <w:p w14:paraId="7F3FBC93"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C: Normality</w:t>
            </w:r>
          </w:p>
        </w:tc>
        <w:tc>
          <w:tcPr>
            <w:tcW w:w="3462" w:type="dxa"/>
            <w:vAlign w:val="center"/>
            <w:hideMark/>
          </w:tcPr>
          <w:p w14:paraId="4B32611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2) = 0.4335</w:t>
            </w:r>
          </w:p>
        </w:tc>
        <w:tc>
          <w:tcPr>
            <w:tcW w:w="3460" w:type="dxa"/>
            <w:vAlign w:val="center"/>
            <w:hideMark/>
          </w:tcPr>
          <w:p w14:paraId="66C39BC6"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Not Applicable</w:t>
            </w:r>
          </w:p>
        </w:tc>
      </w:tr>
      <w:tr w:rsidR="00294D85" w:rsidRPr="004B50C4" w14:paraId="1C75EAFC" w14:textId="77777777" w:rsidTr="00782EA4">
        <w:trPr>
          <w:trHeight w:val="149"/>
          <w:jc w:val="center"/>
        </w:trPr>
        <w:tc>
          <w:tcPr>
            <w:tcW w:w="2760" w:type="dxa"/>
            <w:vAlign w:val="center"/>
            <w:hideMark/>
          </w:tcPr>
          <w:p w14:paraId="0C29C405"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b/>
                <w:bCs/>
                <w:sz w:val="16"/>
                <w:szCs w:val="16"/>
              </w:rPr>
              <w:t>D: Heteroscedasticity</w:t>
            </w:r>
          </w:p>
        </w:tc>
        <w:tc>
          <w:tcPr>
            <w:tcW w:w="3462" w:type="dxa"/>
            <w:vAlign w:val="center"/>
            <w:hideMark/>
          </w:tcPr>
          <w:p w14:paraId="3951ABF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0.0497</w:t>
            </w:r>
          </w:p>
        </w:tc>
        <w:tc>
          <w:tcPr>
            <w:tcW w:w="3460" w:type="dxa"/>
            <w:vAlign w:val="center"/>
            <w:hideMark/>
          </w:tcPr>
          <w:p w14:paraId="0D3DF1E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26) = 0.0462</w:t>
            </w:r>
          </w:p>
        </w:tc>
      </w:tr>
    </w:tbl>
    <w:p w14:paraId="050E5023" w14:textId="77777777" w:rsidR="00951606" w:rsidRDefault="00951606" w:rsidP="004B50C4">
      <w:pPr>
        <w:tabs>
          <w:tab w:val="left" w:pos="2805"/>
        </w:tabs>
        <w:spacing w:after="0"/>
        <w:jc w:val="center"/>
        <w:rPr>
          <w:rFonts w:ascii="Times New Roman" w:hAnsi="Times New Roman" w:cs="Times New Roman"/>
          <w:b/>
          <w:bCs/>
          <w:szCs w:val="24"/>
        </w:rPr>
      </w:pPr>
    </w:p>
    <w:p w14:paraId="782138CE" w14:textId="253889E1" w:rsidR="00294D85" w:rsidRPr="00AA6AF4" w:rsidRDefault="00294D85" w:rsidP="004B50C4">
      <w:pPr>
        <w:tabs>
          <w:tab w:val="left" w:pos="2805"/>
        </w:tabs>
        <w:spacing w:after="0"/>
        <w:jc w:val="center"/>
        <w:rPr>
          <w:rFonts w:ascii="Times New Roman" w:hAnsi="Times New Roman" w:cs="Times New Roman"/>
          <w:b/>
          <w:bCs/>
          <w:szCs w:val="24"/>
        </w:rPr>
      </w:pPr>
      <w:r w:rsidRPr="00AA6AF4">
        <w:rPr>
          <w:rFonts w:ascii="Times New Roman" w:hAnsi="Times New Roman" w:cs="Times New Roman"/>
          <w:b/>
          <w:bCs/>
          <w:szCs w:val="24"/>
        </w:rPr>
        <w:t>Regression Results</w:t>
      </w:r>
    </w:p>
    <w:p w14:paraId="2D8D1DB7" w14:textId="14F2AEEE" w:rsidR="00294D85" w:rsidRPr="004B50C4" w:rsidRDefault="00294D85" w:rsidP="000B1456">
      <w:pPr>
        <w:tabs>
          <w:tab w:val="left" w:pos="2805"/>
        </w:tabs>
        <w:spacing w:after="0"/>
        <w:ind w:left="142" w:firstLine="992"/>
        <w:rPr>
          <w:rFonts w:ascii="Times New Roman" w:hAnsi="Times New Roman" w:cs="Times New Roman"/>
          <w:sz w:val="18"/>
          <w:szCs w:val="18"/>
        </w:rPr>
      </w:pPr>
      <w:r w:rsidRPr="004B50C4">
        <w:rPr>
          <w:rFonts w:ascii="Times New Roman" w:hAnsi="Times New Roman" w:cs="Times New Roman"/>
          <w:sz w:val="18"/>
          <w:szCs w:val="18"/>
        </w:rPr>
        <w:t>Dependent Variable: </w:t>
      </w:r>
      <w:r w:rsidR="009D5E51">
        <w:rPr>
          <w:rFonts w:ascii="Times New Roman" w:hAnsi="Times New Roman" w:cs="Times New Roman"/>
          <w:sz w:val="18"/>
          <w:szCs w:val="18"/>
        </w:rPr>
        <w:tab/>
      </w:r>
      <w:r w:rsidR="000B1456">
        <w:rPr>
          <w:rFonts w:ascii="Times New Roman" w:hAnsi="Times New Roman" w:cs="Times New Roman"/>
          <w:sz w:val="18"/>
          <w:szCs w:val="18"/>
        </w:rPr>
        <w:tab/>
      </w:r>
      <w:r w:rsidR="000B1456">
        <w:rPr>
          <w:rFonts w:ascii="Times New Roman" w:hAnsi="Times New Roman" w:cs="Times New Roman"/>
          <w:sz w:val="18"/>
          <w:szCs w:val="18"/>
        </w:rPr>
        <w:tab/>
      </w:r>
      <w:r w:rsidR="000B1456">
        <w:rPr>
          <w:rFonts w:ascii="Times New Roman" w:hAnsi="Times New Roman" w:cs="Times New Roman"/>
          <w:sz w:val="18"/>
          <w:szCs w:val="18"/>
        </w:rPr>
        <w:tab/>
      </w:r>
      <w:r w:rsidRPr="004B50C4">
        <w:rPr>
          <w:rFonts w:ascii="Times New Roman" w:hAnsi="Times New Roman" w:cs="Times New Roman"/>
          <w:sz w:val="18"/>
          <w:szCs w:val="18"/>
        </w:rPr>
        <w:t xml:space="preserve"> Total Expenditure on Secondary Education</w:t>
      </w:r>
    </w:p>
    <w:p w14:paraId="04D8368E" w14:textId="4305BF08" w:rsidR="00294D85" w:rsidRPr="004B50C4" w:rsidRDefault="00294D85" w:rsidP="000B1456">
      <w:pPr>
        <w:tabs>
          <w:tab w:val="left" w:pos="2805"/>
        </w:tabs>
        <w:spacing w:after="0"/>
        <w:ind w:left="142" w:firstLine="992"/>
        <w:rPr>
          <w:rFonts w:ascii="Times New Roman" w:hAnsi="Times New Roman" w:cs="Times New Roman"/>
          <w:sz w:val="18"/>
          <w:szCs w:val="18"/>
        </w:rPr>
      </w:pPr>
      <w:r w:rsidRPr="004B50C4">
        <w:rPr>
          <w:rFonts w:ascii="Times New Roman" w:hAnsi="Times New Roman" w:cs="Times New Roman"/>
          <w:sz w:val="18"/>
          <w:szCs w:val="18"/>
        </w:rPr>
        <w:t>Number Of Observations:  28</w:t>
      </w:r>
      <w:r w:rsidR="004B50C4">
        <w:rPr>
          <w:rFonts w:ascii="Times New Roman" w:hAnsi="Times New Roman" w:cs="Times New Roman"/>
          <w:sz w:val="18"/>
          <w:szCs w:val="18"/>
        </w:rPr>
        <w:tab/>
      </w:r>
      <w:r w:rsidR="004B50C4">
        <w:rPr>
          <w:rFonts w:ascii="Times New Roman" w:hAnsi="Times New Roman" w:cs="Times New Roman"/>
          <w:sz w:val="18"/>
          <w:szCs w:val="18"/>
        </w:rPr>
        <w:tab/>
      </w:r>
      <w:r w:rsidRPr="004B50C4">
        <w:rPr>
          <w:rFonts w:ascii="Times New Roman" w:hAnsi="Times New Roman" w:cs="Times New Roman"/>
          <w:sz w:val="18"/>
          <w:szCs w:val="18"/>
        </w:rPr>
        <w:t xml:space="preserve">Degrees </w:t>
      </w:r>
      <w:proofErr w:type="gramStart"/>
      <w:r w:rsidRPr="004B50C4">
        <w:rPr>
          <w:rFonts w:ascii="Times New Roman" w:hAnsi="Times New Roman" w:cs="Times New Roman"/>
          <w:sz w:val="18"/>
          <w:szCs w:val="18"/>
        </w:rPr>
        <w:t>Of</w:t>
      </w:r>
      <w:proofErr w:type="gramEnd"/>
      <w:r w:rsidRPr="004B50C4">
        <w:rPr>
          <w:rFonts w:ascii="Times New Roman" w:hAnsi="Times New Roman" w:cs="Times New Roman"/>
          <w:sz w:val="18"/>
          <w:szCs w:val="18"/>
        </w:rPr>
        <w:t xml:space="preserve"> Freedom:  21</w:t>
      </w:r>
    </w:p>
    <w:tbl>
      <w:tblPr>
        <w:tblStyle w:val="TableGrid"/>
        <w:tblW w:w="9592" w:type="dxa"/>
        <w:jc w:val="center"/>
        <w:tblLook w:val="04A0" w:firstRow="1" w:lastRow="0" w:firstColumn="1" w:lastColumn="0" w:noHBand="0" w:noVBand="1"/>
      </w:tblPr>
      <w:tblGrid>
        <w:gridCol w:w="5503"/>
        <w:gridCol w:w="1258"/>
        <w:gridCol w:w="1573"/>
        <w:gridCol w:w="1258"/>
      </w:tblGrid>
      <w:tr w:rsidR="00294D85" w:rsidRPr="004B50C4" w14:paraId="06710B28" w14:textId="77777777" w:rsidTr="00782EA4">
        <w:trPr>
          <w:trHeight w:val="106"/>
          <w:jc w:val="center"/>
        </w:trPr>
        <w:tc>
          <w:tcPr>
            <w:tcW w:w="5503" w:type="dxa"/>
            <w:vAlign w:val="center"/>
            <w:hideMark/>
          </w:tcPr>
          <w:p w14:paraId="75B1A426"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Regressor</w:t>
            </w:r>
          </w:p>
        </w:tc>
        <w:tc>
          <w:tcPr>
            <w:tcW w:w="1258" w:type="dxa"/>
            <w:vAlign w:val="center"/>
            <w:hideMark/>
          </w:tcPr>
          <w:p w14:paraId="3AF33958"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Coefficient</w:t>
            </w:r>
          </w:p>
        </w:tc>
        <w:tc>
          <w:tcPr>
            <w:tcW w:w="1573" w:type="dxa"/>
            <w:vAlign w:val="center"/>
            <w:hideMark/>
          </w:tcPr>
          <w:p w14:paraId="1FEBC268"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Standard Error</w:t>
            </w:r>
          </w:p>
        </w:tc>
        <w:tc>
          <w:tcPr>
            <w:tcW w:w="1258" w:type="dxa"/>
            <w:vAlign w:val="center"/>
            <w:hideMark/>
          </w:tcPr>
          <w:p w14:paraId="328DD6AA"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 - Ratio</w:t>
            </w:r>
          </w:p>
        </w:tc>
      </w:tr>
      <w:tr w:rsidR="00294D85" w:rsidRPr="004B50C4" w14:paraId="599EE16F" w14:textId="77777777" w:rsidTr="00782EA4">
        <w:trPr>
          <w:trHeight w:val="106"/>
          <w:jc w:val="center"/>
        </w:trPr>
        <w:tc>
          <w:tcPr>
            <w:tcW w:w="5503" w:type="dxa"/>
            <w:vAlign w:val="center"/>
            <w:hideMark/>
          </w:tcPr>
          <w:p w14:paraId="39C5B760"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1. Enrolment of children in the age group 11-18 years in Secondary Schools</w:t>
            </w:r>
          </w:p>
        </w:tc>
        <w:tc>
          <w:tcPr>
            <w:tcW w:w="1258" w:type="dxa"/>
            <w:vAlign w:val="center"/>
            <w:hideMark/>
          </w:tcPr>
          <w:p w14:paraId="7118C06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0.6407</w:t>
            </w:r>
          </w:p>
        </w:tc>
        <w:tc>
          <w:tcPr>
            <w:tcW w:w="1573" w:type="dxa"/>
            <w:vAlign w:val="center"/>
            <w:hideMark/>
          </w:tcPr>
          <w:p w14:paraId="5D9A2A26"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0.1009</w:t>
            </w:r>
          </w:p>
        </w:tc>
        <w:tc>
          <w:tcPr>
            <w:tcW w:w="1258" w:type="dxa"/>
            <w:vAlign w:val="center"/>
            <w:hideMark/>
          </w:tcPr>
          <w:p w14:paraId="7E4FE205"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6.3519</w:t>
            </w:r>
          </w:p>
        </w:tc>
      </w:tr>
      <w:tr w:rsidR="00294D85" w:rsidRPr="004B50C4" w14:paraId="7EBB061B" w14:textId="77777777" w:rsidTr="00782EA4">
        <w:trPr>
          <w:trHeight w:val="106"/>
          <w:jc w:val="center"/>
        </w:trPr>
        <w:tc>
          <w:tcPr>
            <w:tcW w:w="5503" w:type="dxa"/>
            <w:vAlign w:val="center"/>
            <w:hideMark/>
          </w:tcPr>
          <w:p w14:paraId="3F3B56D6"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2. Student-Teacher ratio in Secondary Schools</w:t>
            </w:r>
          </w:p>
        </w:tc>
        <w:tc>
          <w:tcPr>
            <w:tcW w:w="1258" w:type="dxa"/>
            <w:vAlign w:val="center"/>
            <w:hideMark/>
          </w:tcPr>
          <w:p w14:paraId="627F1EB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-0.1922</w:t>
            </w:r>
          </w:p>
        </w:tc>
        <w:tc>
          <w:tcPr>
            <w:tcW w:w="1573" w:type="dxa"/>
            <w:vAlign w:val="center"/>
            <w:hideMark/>
          </w:tcPr>
          <w:p w14:paraId="41CA3D8E"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0.4281</w:t>
            </w:r>
          </w:p>
        </w:tc>
        <w:tc>
          <w:tcPr>
            <w:tcW w:w="1258" w:type="dxa"/>
            <w:vAlign w:val="center"/>
            <w:hideMark/>
          </w:tcPr>
          <w:p w14:paraId="06A839B8"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-0.4491</w:t>
            </w:r>
          </w:p>
        </w:tc>
      </w:tr>
      <w:tr w:rsidR="00294D85" w:rsidRPr="004B50C4" w14:paraId="64E11ADA" w14:textId="77777777" w:rsidTr="00782EA4">
        <w:trPr>
          <w:trHeight w:val="106"/>
          <w:jc w:val="center"/>
        </w:trPr>
        <w:tc>
          <w:tcPr>
            <w:tcW w:w="5503" w:type="dxa"/>
            <w:vAlign w:val="center"/>
            <w:hideMark/>
          </w:tcPr>
          <w:p w14:paraId="67E637D6"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3. Salary differences of Trained Graduate teachers</w:t>
            </w:r>
          </w:p>
        </w:tc>
        <w:tc>
          <w:tcPr>
            <w:tcW w:w="1258" w:type="dxa"/>
            <w:vAlign w:val="center"/>
            <w:hideMark/>
          </w:tcPr>
          <w:p w14:paraId="05F8FAAA"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0.5203</w:t>
            </w:r>
          </w:p>
        </w:tc>
        <w:tc>
          <w:tcPr>
            <w:tcW w:w="1573" w:type="dxa"/>
            <w:vAlign w:val="center"/>
            <w:hideMark/>
          </w:tcPr>
          <w:p w14:paraId="3BB51124"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0.1838</w:t>
            </w:r>
          </w:p>
        </w:tc>
        <w:tc>
          <w:tcPr>
            <w:tcW w:w="1258" w:type="dxa"/>
            <w:vAlign w:val="center"/>
            <w:hideMark/>
          </w:tcPr>
          <w:p w14:paraId="2C5F739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2.8314</w:t>
            </w:r>
          </w:p>
        </w:tc>
      </w:tr>
      <w:tr w:rsidR="00294D85" w:rsidRPr="004B50C4" w14:paraId="682F11F3" w14:textId="77777777" w:rsidTr="00782EA4">
        <w:trPr>
          <w:trHeight w:val="106"/>
          <w:jc w:val="center"/>
        </w:trPr>
        <w:tc>
          <w:tcPr>
            <w:tcW w:w="5503" w:type="dxa"/>
            <w:vAlign w:val="center"/>
            <w:hideMark/>
          </w:tcPr>
          <w:p w14:paraId="2ACFF83C"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lastRenderedPageBreak/>
              <w:t>4. Proportion of children (11-18 years) in rural areas</w:t>
            </w:r>
          </w:p>
        </w:tc>
        <w:tc>
          <w:tcPr>
            <w:tcW w:w="1258" w:type="dxa"/>
            <w:vAlign w:val="center"/>
            <w:hideMark/>
          </w:tcPr>
          <w:p w14:paraId="0772E3E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0.5250</w:t>
            </w:r>
          </w:p>
        </w:tc>
        <w:tc>
          <w:tcPr>
            <w:tcW w:w="1573" w:type="dxa"/>
            <w:vAlign w:val="center"/>
            <w:hideMark/>
          </w:tcPr>
          <w:p w14:paraId="5D9CC63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0.2449</w:t>
            </w:r>
          </w:p>
        </w:tc>
        <w:tc>
          <w:tcPr>
            <w:tcW w:w="1258" w:type="dxa"/>
            <w:vAlign w:val="center"/>
            <w:hideMark/>
          </w:tcPr>
          <w:p w14:paraId="626C1A05"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2.1438</w:t>
            </w:r>
          </w:p>
        </w:tc>
      </w:tr>
      <w:tr w:rsidR="00294D85" w:rsidRPr="004B50C4" w14:paraId="217D7D92" w14:textId="77777777" w:rsidTr="00782EA4">
        <w:trPr>
          <w:trHeight w:val="106"/>
          <w:jc w:val="center"/>
        </w:trPr>
        <w:tc>
          <w:tcPr>
            <w:tcW w:w="5503" w:type="dxa"/>
            <w:vAlign w:val="center"/>
            <w:hideMark/>
          </w:tcPr>
          <w:p w14:paraId="70D072D6"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5. Density of children (11-18 years)</w:t>
            </w:r>
          </w:p>
        </w:tc>
        <w:tc>
          <w:tcPr>
            <w:tcW w:w="1258" w:type="dxa"/>
            <w:vAlign w:val="center"/>
            <w:hideMark/>
          </w:tcPr>
          <w:p w14:paraId="07D27A9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-0.1833</w:t>
            </w:r>
          </w:p>
        </w:tc>
        <w:tc>
          <w:tcPr>
            <w:tcW w:w="1573" w:type="dxa"/>
            <w:vAlign w:val="center"/>
            <w:hideMark/>
          </w:tcPr>
          <w:p w14:paraId="30B606FD"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0.1123</w:t>
            </w:r>
          </w:p>
        </w:tc>
        <w:tc>
          <w:tcPr>
            <w:tcW w:w="1258" w:type="dxa"/>
            <w:vAlign w:val="center"/>
            <w:hideMark/>
          </w:tcPr>
          <w:p w14:paraId="5236F5B8"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-1.6322</w:t>
            </w:r>
          </w:p>
        </w:tc>
      </w:tr>
      <w:tr w:rsidR="00294D85" w:rsidRPr="004B50C4" w14:paraId="6BA86C2E" w14:textId="77777777" w:rsidTr="00782EA4">
        <w:trPr>
          <w:trHeight w:val="106"/>
          <w:jc w:val="center"/>
        </w:trPr>
        <w:tc>
          <w:tcPr>
            <w:tcW w:w="5503" w:type="dxa"/>
            <w:vAlign w:val="center"/>
            <w:hideMark/>
          </w:tcPr>
          <w:p w14:paraId="664708D4"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(1981-82 to 1983-84)</w:t>
            </w:r>
          </w:p>
        </w:tc>
        <w:tc>
          <w:tcPr>
            <w:tcW w:w="1258" w:type="dxa"/>
            <w:vAlign w:val="center"/>
            <w:hideMark/>
          </w:tcPr>
          <w:p w14:paraId="4E2A8F1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-0.1587</w:t>
            </w:r>
          </w:p>
        </w:tc>
        <w:tc>
          <w:tcPr>
            <w:tcW w:w="1573" w:type="dxa"/>
            <w:vAlign w:val="center"/>
            <w:hideMark/>
          </w:tcPr>
          <w:p w14:paraId="51C0830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0.1481</w:t>
            </w:r>
          </w:p>
        </w:tc>
        <w:tc>
          <w:tcPr>
            <w:tcW w:w="1258" w:type="dxa"/>
            <w:vAlign w:val="center"/>
            <w:hideMark/>
          </w:tcPr>
          <w:p w14:paraId="616E9DCB"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-1.0714</w:t>
            </w:r>
          </w:p>
        </w:tc>
      </w:tr>
      <w:tr w:rsidR="00294D85" w:rsidRPr="004B50C4" w14:paraId="5AEC6A1E" w14:textId="77777777" w:rsidTr="00782EA4">
        <w:trPr>
          <w:trHeight w:val="106"/>
          <w:jc w:val="center"/>
        </w:trPr>
        <w:tc>
          <w:tcPr>
            <w:tcW w:w="5503" w:type="dxa"/>
            <w:vAlign w:val="center"/>
            <w:hideMark/>
          </w:tcPr>
          <w:p w14:paraId="374B0F15"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(1984-85 to 1986-87)</w:t>
            </w:r>
          </w:p>
        </w:tc>
        <w:tc>
          <w:tcPr>
            <w:tcW w:w="1258" w:type="dxa"/>
            <w:vAlign w:val="center"/>
            <w:hideMark/>
          </w:tcPr>
          <w:p w14:paraId="558E6188"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-0.1325</w:t>
            </w:r>
          </w:p>
        </w:tc>
        <w:tc>
          <w:tcPr>
            <w:tcW w:w="1573" w:type="dxa"/>
            <w:vAlign w:val="center"/>
            <w:hideMark/>
          </w:tcPr>
          <w:p w14:paraId="5240947E"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0.1497</w:t>
            </w:r>
          </w:p>
        </w:tc>
        <w:tc>
          <w:tcPr>
            <w:tcW w:w="1258" w:type="dxa"/>
            <w:vAlign w:val="center"/>
            <w:hideMark/>
          </w:tcPr>
          <w:p w14:paraId="128D89CE"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-0.8849</w:t>
            </w:r>
          </w:p>
        </w:tc>
      </w:tr>
    </w:tbl>
    <w:p w14:paraId="71123C41" w14:textId="30B82928" w:rsidR="00782EA4" w:rsidRPr="00782EA4" w:rsidRDefault="00782EA4" w:rsidP="00782EA4">
      <w:pPr>
        <w:tabs>
          <w:tab w:val="left" w:pos="2805"/>
        </w:tabs>
        <w:spacing w:after="0" w:line="240" w:lineRule="auto"/>
        <w:jc w:val="center"/>
        <w:rPr>
          <w:rFonts w:ascii="Times New Roman" w:hAnsi="Times New Roman" w:cs="Times New Roman"/>
          <w:sz w:val="18"/>
          <w:szCs w:val="18"/>
        </w:rPr>
      </w:pPr>
      <w:r w:rsidRPr="00782EA4">
        <w:rPr>
          <w:rFonts w:ascii="Times New Roman" w:hAnsi="Times New Roman" w:cs="Times New Roman"/>
          <w:sz w:val="18"/>
          <w:szCs w:val="18"/>
        </w:rPr>
        <w:t>R – R-Squared</w:t>
      </w:r>
      <w:r w:rsidRPr="00782EA4">
        <w:rPr>
          <w:rFonts w:ascii="Times New Roman" w:hAnsi="Times New Roman" w:cs="Times New Roman"/>
          <w:sz w:val="18"/>
          <w:szCs w:val="18"/>
        </w:rPr>
        <w:tab/>
        <w:t>0.8126</w:t>
      </w:r>
      <w:r w:rsidRPr="00782EA4">
        <w:rPr>
          <w:rFonts w:ascii="Times New Roman" w:hAnsi="Times New Roman" w:cs="Times New Roman"/>
          <w:sz w:val="18"/>
          <w:szCs w:val="18"/>
        </w:rPr>
        <w:tab/>
        <w:t>Residual Sum of Squares</w:t>
      </w:r>
      <w:r w:rsidRPr="00782EA4">
        <w:rPr>
          <w:rFonts w:ascii="Times New Roman" w:hAnsi="Times New Roman" w:cs="Times New Roman"/>
          <w:sz w:val="18"/>
          <w:szCs w:val="18"/>
        </w:rPr>
        <w:tab/>
        <w:t>1.2796</w:t>
      </w:r>
    </w:p>
    <w:p w14:paraId="54BC8554" w14:textId="639E8611" w:rsidR="000B1456" w:rsidRPr="00782EA4" w:rsidRDefault="00782EA4" w:rsidP="00782EA4">
      <w:pPr>
        <w:tabs>
          <w:tab w:val="left" w:pos="2805"/>
        </w:tabs>
        <w:spacing w:after="0" w:line="240" w:lineRule="auto"/>
        <w:jc w:val="center"/>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0.7590</w:t>
      </w:r>
      <w:r w:rsidRPr="00782EA4">
        <w:rPr>
          <w:rFonts w:ascii="Times New Roman" w:hAnsi="Times New Roman" w:cs="Times New Roman"/>
          <w:sz w:val="18"/>
          <w:szCs w:val="18"/>
        </w:rPr>
        <w:tab/>
        <w:t>S.E. of Regression</w:t>
      </w:r>
      <w:r w:rsidRPr="00782EA4">
        <w:rPr>
          <w:rFonts w:ascii="Times New Roman" w:hAnsi="Times New Roman" w:cs="Times New Roman"/>
          <w:sz w:val="18"/>
          <w:szCs w:val="18"/>
        </w:rPr>
        <w:tab/>
        <w:t>0.2468</w:t>
      </w:r>
    </w:p>
    <w:p w14:paraId="3D473881" w14:textId="25CA160C" w:rsidR="00294D85" w:rsidRPr="004B50C4" w:rsidRDefault="00294D85" w:rsidP="000B1456">
      <w:pPr>
        <w:tabs>
          <w:tab w:val="left" w:pos="2805"/>
        </w:tabs>
        <w:spacing w:after="0"/>
        <w:jc w:val="center"/>
        <w:rPr>
          <w:rFonts w:ascii="Times New Roman" w:hAnsi="Times New Roman" w:cs="Times New Roman"/>
          <w:sz w:val="20"/>
          <w:szCs w:val="20"/>
        </w:rPr>
      </w:pPr>
      <w:r w:rsidRPr="004B50C4">
        <w:rPr>
          <w:rFonts w:ascii="Times New Roman" w:hAnsi="Times New Roman" w:cs="Times New Roman"/>
          <w:b/>
          <w:bCs/>
          <w:sz w:val="20"/>
          <w:szCs w:val="20"/>
        </w:rPr>
        <w:t>Diagnostic Tests</w:t>
      </w:r>
    </w:p>
    <w:tbl>
      <w:tblPr>
        <w:tblStyle w:val="TableGrid"/>
        <w:tblW w:w="9578" w:type="dxa"/>
        <w:jc w:val="center"/>
        <w:tblLook w:val="04A0" w:firstRow="1" w:lastRow="0" w:firstColumn="1" w:lastColumn="0" w:noHBand="0" w:noVBand="1"/>
      </w:tblPr>
      <w:tblGrid>
        <w:gridCol w:w="3188"/>
        <w:gridCol w:w="2996"/>
        <w:gridCol w:w="3394"/>
      </w:tblGrid>
      <w:tr w:rsidR="00294D85" w:rsidRPr="000B1456" w14:paraId="7292C2C1" w14:textId="77777777" w:rsidTr="00782EA4">
        <w:trPr>
          <w:trHeight w:val="170"/>
          <w:jc w:val="center"/>
        </w:trPr>
        <w:tc>
          <w:tcPr>
            <w:tcW w:w="3188" w:type="dxa"/>
            <w:vAlign w:val="center"/>
            <w:hideMark/>
          </w:tcPr>
          <w:p w14:paraId="704F7CF6" w14:textId="77777777" w:rsidR="00294D85" w:rsidRPr="000B1456" w:rsidRDefault="00294D85" w:rsidP="004B50C4">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Test Statistics</w:t>
            </w:r>
          </w:p>
        </w:tc>
        <w:tc>
          <w:tcPr>
            <w:tcW w:w="2996" w:type="dxa"/>
            <w:vAlign w:val="center"/>
            <w:hideMark/>
          </w:tcPr>
          <w:p w14:paraId="3479C9E0" w14:textId="77777777" w:rsidR="00294D85" w:rsidRPr="000B1456" w:rsidRDefault="00294D85" w:rsidP="004B50C4">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LM Version</w:t>
            </w:r>
          </w:p>
        </w:tc>
        <w:tc>
          <w:tcPr>
            <w:tcW w:w="3394" w:type="dxa"/>
            <w:vAlign w:val="center"/>
            <w:hideMark/>
          </w:tcPr>
          <w:p w14:paraId="3F426E6B" w14:textId="77777777" w:rsidR="00294D85" w:rsidRPr="000B1456" w:rsidRDefault="00294D85" w:rsidP="004B50C4">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F Version</w:t>
            </w:r>
          </w:p>
        </w:tc>
      </w:tr>
      <w:tr w:rsidR="00294D85" w:rsidRPr="000B1456" w14:paraId="19587710" w14:textId="77777777" w:rsidTr="00782EA4">
        <w:trPr>
          <w:trHeight w:val="170"/>
          <w:jc w:val="center"/>
        </w:trPr>
        <w:tc>
          <w:tcPr>
            <w:tcW w:w="3188" w:type="dxa"/>
            <w:vAlign w:val="center"/>
            <w:hideMark/>
          </w:tcPr>
          <w:p w14:paraId="034655AF" w14:textId="77777777" w:rsidR="00294D85" w:rsidRPr="000B1456" w:rsidRDefault="00294D85" w:rsidP="004B50C4">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b/>
                <w:bCs/>
                <w:sz w:val="16"/>
                <w:szCs w:val="16"/>
              </w:rPr>
              <w:t>A: Serial Correlation</w:t>
            </w:r>
          </w:p>
        </w:tc>
        <w:tc>
          <w:tcPr>
            <w:tcW w:w="2996" w:type="dxa"/>
            <w:vAlign w:val="center"/>
            <w:hideMark/>
          </w:tcPr>
          <w:p w14:paraId="3C51DFE2"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CHI-</w:t>
            </w:r>
            <w:proofErr w:type="gramStart"/>
            <w:r w:rsidRPr="000B1456">
              <w:rPr>
                <w:rFonts w:ascii="Times New Roman" w:hAnsi="Times New Roman" w:cs="Times New Roman"/>
                <w:sz w:val="16"/>
                <w:szCs w:val="16"/>
              </w:rPr>
              <w:t>SQ(</w:t>
            </w:r>
            <w:proofErr w:type="gramEnd"/>
            <w:r w:rsidRPr="000B1456">
              <w:rPr>
                <w:rFonts w:ascii="Times New Roman" w:hAnsi="Times New Roman" w:cs="Times New Roman"/>
                <w:sz w:val="16"/>
                <w:szCs w:val="16"/>
              </w:rPr>
              <w:t>1) = 2.9743</w:t>
            </w:r>
          </w:p>
        </w:tc>
        <w:tc>
          <w:tcPr>
            <w:tcW w:w="3394" w:type="dxa"/>
            <w:vAlign w:val="center"/>
            <w:hideMark/>
          </w:tcPr>
          <w:p w14:paraId="2C06BB9E"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proofErr w:type="gramStart"/>
            <w:r w:rsidRPr="000B1456">
              <w:rPr>
                <w:rFonts w:ascii="Times New Roman" w:hAnsi="Times New Roman" w:cs="Times New Roman"/>
                <w:sz w:val="16"/>
                <w:szCs w:val="16"/>
              </w:rPr>
              <w:t>F(</w:t>
            </w:r>
            <w:proofErr w:type="gramEnd"/>
            <w:r w:rsidRPr="000B1456">
              <w:rPr>
                <w:rFonts w:ascii="Times New Roman" w:hAnsi="Times New Roman" w:cs="Times New Roman"/>
                <w:sz w:val="16"/>
                <w:szCs w:val="16"/>
              </w:rPr>
              <w:t>1, 20) = 2.3770</w:t>
            </w:r>
          </w:p>
        </w:tc>
      </w:tr>
      <w:tr w:rsidR="00294D85" w:rsidRPr="000B1456" w14:paraId="5028A28F" w14:textId="77777777" w:rsidTr="00782EA4">
        <w:trPr>
          <w:trHeight w:val="170"/>
          <w:jc w:val="center"/>
        </w:trPr>
        <w:tc>
          <w:tcPr>
            <w:tcW w:w="3188" w:type="dxa"/>
            <w:vAlign w:val="center"/>
            <w:hideMark/>
          </w:tcPr>
          <w:p w14:paraId="71DC7268" w14:textId="77777777" w:rsidR="00294D85" w:rsidRPr="000B1456" w:rsidRDefault="00294D85" w:rsidP="004B50C4">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b/>
                <w:bCs/>
                <w:sz w:val="16"/>
                <w:szCs w:val="16"/>
              </w:rPr>
              <w:t>B: Functional Form</w:t>
            </w:r>
          </w:p>
        </w:tc>
        <w:tc>
          <w:tcPr>
            <w:tcW w:w="2996" w:type="dxa"/>
            <w:vAlign w:val="center"/>
            <w:hideMark/>
          </w:tcPr>
          <w:p w14:paraId="311DF891"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CHI-</w:t>
            </w:r>
            <w:proofErr w:type="gramStart"/>
            <w:r w:rsidRPr="000B1456">
              <w:rPr>
                <w:rFonts w:ascii="Times New Roman" w:hAnsi="Times New Roman" w:cs="Times New Roman"/>
                <w:sz w:val="16"/>
                <w:szCs w:val="16"/>
              </w:rPr>
              <w:t>SQ(</w:t>
            </w:r>
            <w:proofErr w:type="gramEnd"/>
            <w:r w:rsidRPr="000B1456">
              <w:rPr>
                <w:rFonts w:ascii="Times New Roman" w:hAnsi="Times New Roman" w:cs="Times New Roman"/>
                <w:sz w:val="16"/>
                <w:szCs w:val="16"/>
              </w:rPr>
              <w:t>1) = 7.7690</w:t>
            </w:r>
          </w:p>
        </w:tc>
        <w:tc>
          <w:tcPr>
            <w:tcW w:w="3394" w:type="dxa"/>
            <w:vAlign w:val="center"/>
            <w:hideMark/>
          </w:tcPr>
          <w:p w14:paraId="65D5A505"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proofErr w:type="gramStart"/>
            <w:r w:rsidRPr="000B1456">
              <w:rPr>
                <w:rFonts w:ascii="Times New Roman" w:hAnsi="Times New Roman" w:cs="Times New Roman"/>
                <w:sz w:val="16"/>
                <w:szCs w:val="16"/>
              </w:rPr>
              <w:t>F(</w:t>
            </w:r>
            <w:proofErr w:type="gramEnd"/>
            <w:r w:rsidRPr="000B1456">
              <w:rPr>
                <w:rFonts w:ascii="Times New Roman" w:hAnsi="Times New Roman" w:cs="Times New Roman"/>
                <w:sz w:val="16"/>
                <w:szCs w:val="16"/>
              </w:rPr>
              <w:t>1, 20) = 7.6803</w:t>
            </w:r>
          </w:p>
        </w:tc>
      </w:tr>
      <w:tr w:rsidR="00294D85" w:rsidRPr="000B1456" w14:paraId="0CA37891" w14:textId="77777777" w:rsidTr="00782EA4">
        <w:trPr>
          <w:trHeight w:val="170"/>
          <w:jc w:val="center"/>
        </w:trPr>
        <w:tc>
          <w:tcPr>
            <w:tcW w:w="3188" w:type="dxa"/>
            <w:vAlign w:val="center"/>
            <w:hideMark/>
          </w:tcPr>
          <w:p w14:paraId="41F11773" w14:textId="77777777" w:rsidR="00294D85" w:rsidRPr="000B1456" w:rsidRDefault="00294D85" w:rsidP="004B50C4">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b/>
                <w:bCs/>
                <w:sz w:val="16"/>
                <w:szCs w:val="16"/>
              </w:rPr>
              <w:t>C: Normality</w:t>
            </w:r>
          </w:p>
        </w:tc>
        <w:tc>
          <w:tcPr>
            <w:tcW w:w="2996" w:type="dxa"/>
            <w:vAlign w:val="center"/>
            <w:hideMark/>
          </w:tcPr>
          <w:p w14:paraId="591D65E7"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CHI-</w:t>
            </w:r>
            <w:proofErr w:type="gramStart"/>
            <w:r w:rsidRPr="000B1456">
              <w:rPr>
                <w:rFonts w:ascii="Times New Roman" w:hAnsi="Times New Roman" w:cs="Times New Roman"/>
                <w:sz w:val="16"/>
                <w:szCs w:val="16"/>
              </w:rPr>
              <w:t>SQ(</w:t>
            </w:r>
            <w:proofErr w:type="gramEnd"/>
            <w:r w:rsidRPr="000B1456">
              <w:rPr>
                <w:rFonts w:ascii="Times New Roman" w:hAnsi="Times New Roman" w:cs="Times New Roman"/>
                <w:sz w:val="16"/>
                <w:szCs w:val="16"/>
              </w:rPr>
              <w:t>2) = 0.4163</w:t>
            </w:r>
          </w:p>
        </w:tc>
        <w:tc>
          <w:tcPr>
            <w:tcW w:w="3394" w:type="dxa"/>
            <w:vAlign w:val="center"/>
            <w:hideMark/>
          </w:tcPr>
          <w:p w14:paraId="57DB2190"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Not Applicable</w:t>
            </w:r>
          </w:p>
        </w:tc>
      </w:tr>
      <w:tr w:rsidR="00294D85" w:rsidRPr="000B1456" w14:paraId="74B21196" w14:textId="77777777" w:rsidTr="00782EA4">
        <w:trPr>
          <w:trHeight w:val="170"/>
          <w:jc w:val="center"/>
        </w:trPr>
        <w:tc>
          <w:tcPr>
            <w:tcW w:w="3188" w:type="dxa"/>
            <w:vAlign w:val="center"/>
            <w:hideMark/>
          </w:tcPr>
          <w:p w14:paraId="765511B0" w14:textId="77777777" w:rsidR="00294D85" w:rsidRPr="000B1456" w:rsidRDefault="00294D85" w:rsidP="004B50C4">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b/>
                <w:bCs/>
                <w:sz w:val="16"/>
                <w:szCs w:val="16"/>
              </w:rPr>
              <w:t>D: Heteroscedasticity</w:t>
            </w:r>
          </w:p>
        </w:tc>
        <w:tc>
          <w:tcPr>
            <w:tcW w:w="2996" w:type="dxa"/>
            <w:vAlign w:val="center"/>
            <w:hideMark/>
          </w:tcPr>
          <w:p w14:paraId="389483ED"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CHI-</w:t>
            </w:r>
            <w:proofErr w:type="gramStart"/>
            <w:r w:rsidRPr="000B1456">
              <w:rPr>
                <w:rFonts w:ascii="Times New Roman" w:hAnsi="Times New Roman" w:cs="Times New Roman"/>
                <w:sz w:val="16"/>
                <w:szCs w:val="16"/>
              </w:rPr>
              <w:t>SQ(</w:t>
            </w:r>
            <w:proofErr w:type="gramEnd"/>
            <w:r w:rsidRPr="000B1456">
              <w:rPr>
                <w:rFonts w:ascii="Times New Roman" w:hAnsi="Times New Roman" w:cs="Times New Roman"/>
                <w:sz w:val="16"/>
                <w:szCs w:val="16"/>
              </w:rPr>
              <w:t>1) = 2.2271</w:t>
            </w:r>
          </w:p>
        </w:tc>
        <w:tc>
          <w:tcPr>
            <w:tcW w:w="3394" w:type="dxa"/>
            <w:vAlign w:val="center"/>
            <w:hideMark/>
          </w:tcPr>
          <w:p w14:paraId="3495DFA8" w14:textId="77777777" w:rsidR="00294D85" w:rsidRPr="000B1456" w:rsidRDefault="00294D85" w:rsidP="004B50C4">
            <w:pPr>
              <w:tabs>
                <w:tab w:val="left" w:pos="2805"/>
              </w:tabs>
              <w:spacing w:line="278" w:lineRule="auto"/>
              <w:jc w:val="center"/>
              <w:rPr>
                <w:rFonts w:ascii="Times New Roman" w:hAnsi="Times New Roman" w:cs="Times New Roman"/>
                <w:sz w:val="16"/>
                <w:szCs w:val="16"/>
              </w:rPr>
            </w:pPr>
            <w:proofErr w:type="gramStart"/>
            <w:r w:rsidRPr="000B1456">
              <w:rPr>
                <w:rFonts w:ascii="Times New Roman" w:hAnsi="Times New Roman" w:cs="Times New Roman"/>
                <w:sz w:val="16"/>
                <w:szCs w:val="16"/>
              </w:rPr>
              <w:t>F(</w:t>
            </w:r>
            <w:proofErr w:type="gramEnd"/>
            <w:r w:rsidRPr="000B1456">
              <w:rPr>
                <w:rFonts w:ascii="Times New Roman" w:hAnsi="Times New Roman" w:cs="Times New Roman"/>
                <w:sz w:val="16"/>
                <w:szCs w:val="16"/>
              </w:rPr>
              <w:t>1, 26) = 2.2467</w:t>
            </w:r>
          </w:p>
        </w:tc>
      </w:tr>
    </w:tbl>
    <w:p w14:paraId="020F20E2" w14:textId="77777777" w:rsidR="000B1456" w:rsidRPr="00782EA4" w:rsidRDefault="000B1456" w:rsidP="000B1456">
      <w:pPr>
        <w:tabs>
          <w:tab w:val="left" w:pos="2805"/>
        </w:tabs>
        <w:spacing w:after="0"/>
        <w:jc w:val="center"/>
        <w:rPr>
          <w:rFonts w:ascii="Times New Roman" w:hAnsi="Times New Roman" w:cs="Times New Roman"/>
          <w:b/>
          <w:bCs/>
          <w:szCs w:val="24"/>
        </w:rPr>
      </w:pPr>
    </w:p>
    <w:p w14:paraId="6E59945C" w14:textId="5A797F22" w:rsidR="00294D85" w:rsidRPr="00782EA4" w:rsidRDefault="00294D85" w:rsidP="000B1456">
      <w:pPr>
        <w:tabs>
          <w:tab w:val="left" w:pos="2805"/>
        </w:tabs>
        <w:spacing w:after="0"/>
        <w:jc w:val="center"/>
        <w:rPr>
          <w:rFonts w:ascii="Times New Roman" w:hAnsi="Times New Roman" w:cs="Times New Roman"/>
          <w:b/>
          <w:bCs/>
          <w:szCs w:val="24"/>
        </w:rPr>
      </w:pPr>
      <w:r w:rsidRPr="00782EA4">
        <w:rPr>
          <w:rFonts w:ascii="Times New Roman" w:hAnsi="Times New Roman" w:cs="Times New Roman"/>
          <w:b/>
          <w:bCs/>
          <w:szCs w:val="24"/>
        </w:rPr>
        <w:t>Regression Results</w:t>
      </w:r>
    </w:p>
    <w:p w14:paraId="7D9D8AC6" w14:textId="614639E7" w:rsidR="00294D85" w:rsidRPr="004B50C4" w:rsidRDefault="00294D85" w:rsidP="000B1456">
      <w:pPr>
        <w:tabs>
          <w:tab w:val="left" w:pos="2805"/>
        </w:tabs>
        <w:spacing w:after="0"/>
        <w:ind w:firstLine="851"/>
        <w:rPr>
          <w:rFonts w:ascii="Times New Roman" w:hAnsi="Times New Roman" w:cs="Times New Roman"/>
          <w:sz w:val="18"/>
          <w:szCs w:val="18"/>
        </w:rPr>
      </w:pPr>
      <w:r w:rsidRPr="004B50C4">
        <w:rPr>
          <w:rFonts w:ascii="Times New Roman" w:hAnsi="Times New Roman" w:cs="Times New Roman"/>
          <w:sz w:val="18"/>
          <w:szCs w:val="18"/>
        </w:rPr>
        <w:t>Dependent Variable:</w:t>
      </w:r>
      <w:r w:rsidR="009D5E51">
        <w:rPr>
          <w:rFonts w:ascii="Times New Roman" w:hAnsi="Times New Roman" w:cs="Times New Roman"/>
          <w:sz w:val="18"/>
          <w:szCs w:val="18"/>
        </w:rPr>
        <w:tab/>
      </w:r>
      <w:r w:rsidRPr="004B50C4">
        <w:rPr>
          <w:rFonts w:ascii="Times New Roman" w:hAnsi="Times New Roman" w:cs="Times New Roman"/>
          <w:sz w:val="18"/>
          <w:szCs w:val="18"/>
        </w:rPr>
        <w:t> </w:t>
      </w:r>
      <w:r w:rsidR="000B1456">
        <w:rPr>
          <w:rFonts w:ascii="Times New Roman" w:hAnsi="Times New Roman" w:cs="Times New Roman"/>
          <w:sz w:val="18"/>
          <w:szCs w:val="18"/>
        </w:rPr>
        <w:tab/>
      </w:r>
      <w:r w:rsidR="000B1456">
        <w:rPr>
          <w:rFonts w:ascii="Times New Roman" w:hAnsi="Times New Roman" w:cs="Times New Roman"/>
          <w:sz w:val="18"/>
          <w:szCs w:val="18"/>
        </w:rPr>
        <w:tab/>
      </w:r>
      <w:r w:rsidR="000B1456">
        <w:rPr>
          <w:rFonts w:ascii="Times New Roman" w:hAnsi="Times New Roman" w:cs="Times New Roman"/>
          <w:sz w:val="18"/>
          <w:szCs w:val="18"/>
        </w:rPr>
        <w:tab/>
      </w:r>
      <w:r w:rsidRPr="004B50C4">
        <w:rPr>
          <w:rFonts w:ascii="Times New Roman" w:hAnsi="Times New Roman" w:cs="Times New Roman"/>
          <w:sz w:val="18"/>
          <w:szCs w:val="18"/>
        </w:rPr>
        <w:t>Per Capita Expenditure on Higher Education</w:t>
      </w:r>
    </w:p>
    <w:p w14:paraId="3407079A" w14:textId="5E283BE4" w:rsidR="00294D85" w:rsidRPr="004B50C4" w:rsidRDefault="00294D85" w:rsidP="000B1456">
      <w:pPr>
        <w:tabs>
          <w:tab w:val="left" w:pos="2805"/>
        </w:tabs>
        <w:spacing w:after="0"/>
        <w:ind w:firstLine="851"/>
        <w:rPr>
          <w:rFonts w:ascii="Times New Roman" w:hAnsi="Times New Roman" w:cs="Times New Roman"/>
          <w:sz w:val="18"/>
          <w:szCs w:val="18"/>
        </w:rPr>
      </w:pPr>
      <w:r w:rsidRPr="004B50C4">
        <w:rPr>
          <w:rFonts w:ascii="Times New Roman" w:hAnsi="Times New Roman" w:cs="Times New Roman"/>
          <w:sz w:val="18"/>
          <w:szCs w:val="18"/>
        </w:rPr>
        <w:t>Number Of Observations: 28</w:t>
      </w:r>
      <w:r w:rsidR="009D5E51">
        <w:rPr>
          <w:rFonts w:ascii="Times New Roman" w:hAnsi="Times New Roman" w:cs="Times New Roman"/>
          <w:sz w:val="18"/>
          <w:szCs w:val="18"/>
        </w:rPr>
        <w:tab/>
      </w:r>
      <w:r w:rsidR="000B1456">
        <w:rPr>
          <w:rFonts w:ascii="Times New Roman" w:hAnsi="Times New Roman" w:cs="Times New Roman"/>
          <w:sz w:val="18"/>
          <w:szCs w:val="18"/>
        </w:rPr>
        <w:tab/>
      </w:r>
      <w:r w:rsidRPr="004B50C4">
        <w:rPr>
          <w:rFonts w:ascii="Times New Roman" w:hAnsi="Times New Roman" w:cs="Times New Roman"/>
          <w:sz w:val="18"/>
          <w:szCs w:val="18"/>
        </w:rPr>
        <w:t xml:space="preserve">Degrees </w:t>
      </w:r>
      <w:proofErr w:type="gramStart"/>
      <w:r w:rsidRPr="004B50C4">
        <w:rPr>
          <w:rFonts w:ascii="Times New Roman" w:hAnsi="Times New Roman" w:cs="Times New Roman"/>
          <w:sz w:val="18"/>
          <w:szCs w:val="18"/>
        </w:rPr>
        <w:t>Of</w:t>
      </w:r>
      <w:proofErr w:type="gramEnd"/>
      <w:r w:rsidRPr="004B50C4">
        <w:rPr>
          <w:rFonts w:ascii="Times New Roman" w:hAnsi="Times New Roman" w:cs="Times New Roman"/>
          <w:sz w:val="18"/>
          <w:szCs w:val="18"/>
        </w:rPr>
        <w:t xml:space="preserve"> Freedom: 21</w:t>
      </w:r>
    </w:p>
    <w:tbl>
      <w:tblPr>
        <w:tblStyle w:val="TableGrid"/>
        <w:tblW w:w="9577" w:type="dxa"/>
        <w:jc w:val="center"/>
        <w:tblLook w:val="04A0" w:firstRow="1" w:lastRow="0" w:firstColumn="1" w:lastColumn="0" w:noHBand="0" w:noVBand="1"/>
      </w:tblPr>
      <w:tblGrid>
        <w:gridCol w:w="5928"/>
        <w:gridCol w:w="1064"/>
        <w:gridCol w:w="1520"/>
        <w:gridCol w:w="1065"/>
      </w:tblGrid>
      <w:tr w:rsidR="00294D85" w:rsidRPr="004B50C4" w14:paraId="55B88383" w14:textId="77777777" w:rsidTr="00782EA4">
        <w:trPr>
          <w:trHeight w:val="34"/>
          <w:jc w:val="center"/>
        </w:trPr>
        <w:tc>
          <w:tcPr>
            <w:tcW w:w="5928" w:type="dxa"/>
            <w:vAlign w:val="center"/>
            <w:hideMark/>
          </w:tcPr>
          <w:p w14:paraId="0CBB61C9"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Regressor</w:t>
            </w:r>
          </w:p>
        </w:tc>
        <w:tc>
          <w:tcPr>
            <w:tcW w:w="1064" w:type="dxa"/>
            <w:vAlign w:val="center"/>
            <w:hideMark/>
          </w:tcPr>
          <w:p w14:paraId="0BA31066"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Coefficient</w:t>
            </w:r>
          </w:p>
        </w:tc>
        <w:tc>
          <w:tcPr>
            <w:tcW w:w="1520" w:type="dxa"/>
            <w:vAlign w:val="center"/>
            <w:hideMark/>
          </w:tcPr>
          <w:p w14:paraId="09B8CB43"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Standard Error</w:t>
            </w:r>
          </w:p>
        </w:tc>
        <w:tc>
          <w:tcPr>
            <w:tcW w:w="1065" w:type="dxa"/>
            <w:vAlign w:val="center"/>
            <w:hideMark/>
          </w:tcPr>
          <w:p w14:paraId="115A7148"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 - Ratio</w:t>
            </w:r>
          </w:p>
        </w:tc>
      </w:tr>
      <w:tr w:rsidR="00294D85" w:rsidRPr="004B50C4" w14:paraId="3D2C70DF" w14:textId="77777777" w:rsidTr="00782EA4">
        <w:trPr>
          <w:trHeight w:val="34"/>
          <w:jc w:val="center"/>
        </w:trPr>
        <w:tc>
          <w:tcPr>
            <w:tcW w:w="5928" w:type="dxa"/>
            <w:vAlign w:val="center"/>
            <w:hideMark/>
          </w:tcPr>
          <w:p w14:paraId="229A26D0"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1. Enrolment in Colleges and Universities per 1000 population</w:t>
            </w:r>
          </w:p>
        </w:tc>
        <w:tc>
          <w:tcPr>
            <w:tcW w:w="1064" w:type="dxa"/>
            <w:vAlign w:val="center"/>
            <w:hideMark/>
          </w:tcPr>
          <w:p w14:paraId="0ECFB476"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1.0445</w:t>
            </w:r>
          </w:p>
        </w:tc>
        <w:tc>
          <w:tcPr>
            <w:tcW w:w="1520" w:type="dxa"/>
            <w:vAlign w:val="center"/>
            <w:hideMark/>
          </w:tcPr>
          <w:p w14:paraId="514ABD8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0.2178</w:t>
            </w:r>
          </w:p>
        </w:tc>
        <w:tc>
          <w:tcPr>
            <w:tcW w:w="1065" w:type="dxa"/>
            <w:vAlign w:val="center"/>
            <w:hideMark/>
          </w:tcPr>
          <w:p w14:paraId="3B54BEE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4.7964</w:t>
            </w:r>
          </w:p>
        </w:tc>
      </w:tr>
      <w:tr w:rsidR="00294D85" w:rsidRPr="004B50C4" w14:paraId="31544F97" w14:textId="77777777" w:rsidTr="00782EA4">
        <w:trPr>
          <w:trHeight w:val="34"/>
          <w:jc w:val="center"/>
        </w:trPr>
        <w:tc>
          <w:tcPr>
            <w:tcW w:w="5928" w:type="dxa"/>
            <w:vAlign w:val="center"/>
            <w:hideMark/>
          </w:tcPr>
          <w:p w14:paraId="6CF2E364"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2. Student-Teacher ratio in Colleges and Universities</w:t>
            </w:r>
          </w:p>
        </w:tc>
        <w:tc>
          <w:tcPr>
            <w:tcW w:w="1064" w:type="dxa"/>
            <w:vAlign w:val="center"/>
            <w:hideMark/>
          </w:tcPr>
          <w:p w14:paraId="3D0A5F0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-0.9144</w:t>
            </w:r>
          </w:p>
        </w:tc>
        <w:tc>
          <w:tcPr>
            <w:tcW w:w="1520" w:type="dxa"/>
            <w:vAlign w:val="center"/>
            <w:hideMark/>
          </w:tcPr>
          <w:p w14:paraId="51EB5D96"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0.1990</w:t>
            </w:r>
          </w:p>
        </w:tc>
        <w:tc>
          <w:tcPr>
            <w:tcW w:w="1065" w:type="dxa"/>
            <w:vAlign w:val="center"/>
            <w:hideMark/>
          </w:tcPr>
          <w:p w14:paraId="4D72347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-4.5948</w:t>
            </w:r>
          </w:p>
        </w:tc>
      </w:tr>
      <w:tr w:rsidR="00294D85" w:rsidRPr="004B50C4" w14:paraId="7D01E545" w14:textId="77777777" w:rsidTr="00782EA4">
        <w:trPr>
          <w:trHeight w:val="34"/>
          <w:jc w:val="center"/>
        </w:trPr>
        <w:tc>
          <w:tcPr>
            <w:tcW w:w="5928" w:type="dxa"/>
            <w:vAlign w:val="center"/>
            <w:hideMark/>
          </w:tcPr>
          <w:p w14:paraId="0A7E25D5"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3. Price differences</w:t>
            </w:r>
          </w:p>
        </w:tc>
        <w:tc>
          <w:tcPr>
            <w:tcW w:w="1064" w:type="dxa"/>
            <w:vAlign w:val="center"/>
            <w:hideMark/>
          </w:tcPr>
          <w:p w14:paraId="247E04EB"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1.0338</w:t>
            </w:r>
          </w:p>
        </w:tc>
        <w:tc>
          <w:tcPr>
            <w:tcW w:w="1520" w:type="dxa"/>
            <w:vAlign w:val="center"/>
            <w:hideMark/>
          </w:tcPr>
          <w:p w14:paraId="118F691D"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0.1413</w:t>
            </w:r>
          </w:p>
        </w:tc>
        <w:tc>
          <w:tcPr>
            <w:tcW w:w="1065" w:type="dxa"/>
            <w:vAlign w:val="center"/>
            <w:hideMark/>
          </w:tcPr>
          <w:p w14:paraId="45C04AC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7.3191</w:t>
            </w:r>
          </w:p>
        </w:tc>
      </w:tr>
      <w:tr w:rsidR="00294D85" w:rsidRPr="004B50C4" w14:paraId="6527C6DF" w14:textId="77777777" w:rsidTr="00782EA4">
        <w:trPr>
          <w:trHeight w:val="34"/>
          <w:jc w:val="center"/>
        </w:trPr>
        <w:tc>
          <w:tcPr>
            <w:tcW w:w="5928" w:type="dxa"/>
            <w:vAlign w:val="center"/>
            <w:hideMark/>
          </w:tcPr>
          <w:p w14:paraId="4CC5899E"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4. Density of population</w:t>
            </w:r>
          </w:p>
        </w:tc>
        <w:tc>
          <w:tcPr>
            <w:tcW w:w="1064" w:type="dxa"/>
            <w:vAlign w:val="center"/>
            <w:hideMark/>
          </w:tcPr>
          <w:p w14:paraId="513D4E7C"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-0.3015</w:t>
            </w:r>
          </w:p>
        </w:tc>
        <w:tc>
          <w:tcPr>
            <w:tcW w:w="1520" w:type="dxa"/>
            <w:vAlign w:val="center"/>
            <w:hideMark/>
          </w:tcPr>
          <w:p w14:paraId="37F8CDF4"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0.1095</w:t>
            </w:r>
          </w:p>
        </w:tc>
        <w:tc>
          <w:tcPr>
            <w:tcW w:w="1065" w:type="dxa"/>
            <w:vAlign w:val="center"/>
            <w:hideMark/>
          </w:tcPr>
          <w:p w14:paraId="5F01DA7D"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-2.7531</w:t>
            </w:r>
          </w:p>
        </w:tc>
      </w:tr>
      <w:tr w:rsidR="00294D85" w:rsidRPr="004B50C4" w14:paraId="7D031CB8" w14:textId="77777777" w:rsidTr="00782EA4">
        <w:trPr>
          <w:trHeight w:val="34"/>
          <w:jc w:val="center"/>
        </w:trPr>
        <w:tc>
          <w:tcPr>
            <w:tcW w:w="5928" w:type="dxa"/>
            <w:vAlign w:val="center"/>
            <w:hideMark/>
          </w:tcPr>
          <w:p w14:paraId="42055492"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5. Proportion of enrolment in Private Colleges and Universities to total enrolment</w:t>
            </w:r>
          </w:p>
        </w:tc>
        <w:tc>
          <w:tcPr>
            <w:tcW w:w="1064" w:type="dxa"/>
            <w:vAlign w:val="center"/>
            <w:hideMark/>
          </w:tcPr>
          <w:p w14:paraId="618A2CAB"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0.1636</w:t>
            </w:r>
          </w:p>
        </w:tc>
        <w:tc>
          <w:tcPr>
            <w:tcW w:w="1520" w:type="dxa"/>
            <w:vAlign w:val="center"/>
            <w:hideMark/>
          </w:tcPr>
          <w:p w14:paraId="0CE08ED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0.1528</w:t>
            </w:r>
          </w:p>
        </w:tc>
        <w:tc>
          <w:tcPr>
            <w:tcW w:w="1065" w:type="dxa"/>
            <w:vAlign w:val="center"/>
            <w:hideMark/>
          </w:tcPr>
          <w:p w14:paraId="1DD4851B"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1.0708</w:t>
            </w:r>
          </w:p>
        </w:tc>
      </w:tr>
      <w:tr w:rsidR="00294D85" w:rsidRPr="004B50C4" w14:paraId="545B70F2" w14:textId="77777777" w:rsidTr="00782EA4">
        <w:trPr>
          <w:trHeight w:val="34"/>
          <w:jc w:val="center"/>
        </w:trPr>
        <w:tc>
          <w:tcPr>
            <w:tcW w:w="5928" w:type="dxa"/>
            <w:vAlign w:val="center"/>
            <w:hideMark/>
          </w:tcPr>
          <w:p w14:paraId="7B71BCB8"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(1981-82 to 1983-84)</w:t>
            </w:r>
          </w:p>
        </w:tc>
        <w:tc>
          <w:tcPr>
            <w:tcW w:w="1064" w:type="dxa"/>
            <w:vAlign w:val="center"/>
            <w:hideMark/>
          </w:tcPr>
          <w:p w14:paraId="5561E50A"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0.0111</w:t>
            </w:r>
          </w:p>
        </w:tc>
        <w:tc>
          <w:tcPr>
            <w:tcW w:w="1520" w:type="dxa"/>
            <w:vAlign w:val="center"/>
            <w:hideMark/>
          </w:tcPr>
          <w:p w14:paraId="279C96C3"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0.1244</w:t>
            </w:r>
          </w:p>
        </w:tc>
        <w:tc>
          <w:tcPr>
            <w:tcW w:w="1065" w:type="dxa"/>
            <w:vAlign w:val="center"/>
            <w:hideMark/>
          </w:tcPr>
          <w:p w14:paraId="3D50806B"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0.0892</w:t>
            </w:r>
          </w:p>
        </w:tc>
      </w:tr>
      <w:tr w:rsidR="00294D85" w:rsidRPr="004B50C4" w14:paraId="1C0DA7B9" w14:textId="77777777" w:rsidTr="00782EA4">
        <w:trPr>
          <w:trHeight w:val="34"/>
          <w:jc w:val="center"/>
        </w:trPr>
        <w:tc>
          <w:tcPr>
            <w:tcW w:w="5928" w:type="dxa"/>
            <w:vAlign w:val="center"/>
            <w:hideMark/>
          </w:tcPr>
          <w:p w14:paraId="5308D937"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sz w:val="16"/>
                <w:szCs w:val="16"/>
              </w:rPr>
              <w:t>Time period (1984-85 to 1986-87)</w:t>
            </w:r>
          </w:p>
        </w:tc>
        <w:tc>
          <w:tcPr>
            <w:tcW w:w="1064" w:type="dxa"/>
            <w:vAlign w:val="center"/>
            <w:hideMark/>
          </w:tcPr>
          <w:p w14:paraId="15820300"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0.1242</w:t>
            </w:r>
          </w:p>
        </w:tc>
        <w:tc>
          <w:tcPr>
            <w:tcW w:w="1520" w:type="dxa"/>
            <w:vAlign w:val="center"/>
            <w:hideMark/>
          </w:tcPr>
          <w:p w14:paraId="37B9DFAE"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0.1312</w:t>
            </w:r>
          </w:p>
        </w:tc>
        <w:tc>
          <w:tcPr>
            <w:tcW w:w="1065" w:type="dxa"/>
            <w:vAlign w:val="center"/>
            <w:hideMark/>
          </w:tcPr>
          <w:p w14:paraId="70C6F764"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0.9466</w:t>
            </w:r>
          </w:p>
        </w:tc>
      </w:tr>
    </w:tbl>
    <w:p w14:paraId="159E32E6" w14:textId="0F61122F" w:rsidR="00782EA4" w:rsidRPr="00782EA4" w:rsidRDefault="00782EA4" w:rsidP="00782EA4">
      <w:pPr>
        <w:tabs>
          <w:tab w:val="left" w:pos="2805"/>
        </w:tabs>
        <w:spacing w:after="0"/>
        <w:ind w:left="720"/>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0.7590</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Residual Sum of Squares</w:t>
      </w:r>
      <w:r w:rsidRPr="00782EA4">
        <w:rPr>
          <w:rFonts w:ascii="Times New Roman" w:hAnsi="Times New Roman" w:cs="Times New Roman"/>
          <w:sz w:val="18"/>
          <w:szCs w:val="18"/>
        </w:rPr>
        <w:tab/>
        <w:t>0.9316</w:t>
      </w:r>
    </w:p>
    <w:p w14:paraId="26B96DCA" w14:textId="1A0343C2" w:rsidR="000B1456" w:rsidRPr="00782EA4" w:rsidRDefault="00782EA4" w:rsidP="00782EA4">
      <w:pPr>
        <w:tabs>
          <w:tab w:val="left" w:pos="2805"/>
        </w:tabs>
        <w:spacing w:after="0"/>
        <w:ind w:left="720"/>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0.6901</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S.E. of Regression</w:t>
      </w:r>
      <w:r w:rsidRPr="00782EA4">
        <w:rPr>
          <w:rFonts w:ascii="Times New Roman" w:hAnsi="Times New Roman" w:cs="Times New Roman"/>
          <w:sz w:val="18"/>
          <w:szCs w:val="18"/>
        </w:rPr>
        <w:tab/>
        <w:t>0.2106</w:t>
      </w:r>
    </w:p>
    <w:p w14:paraId="18180B5A" w14:textId="6BB8AC5D" w:rsidR="00294D85" w:rsidRPr="004B50C4" w:rsidRDefault="00294D85" w:rsidP="000B1456">
      <w:pPr>
        <w:tabs>
          <w:tab w:val="left" w:pos="2805"/>
        </w:tabs>
        <w:spacing w:after="0"/>
        <w:jc w:val="center"/>
        <w:rPr>
          <w:rFonts w:ascii="Times New Roman" w:hAnsi="Times New Roman" w:cs="Times New Roman"/>
          <w:sz w:val="20"/>
          <w:szCs w:val="20"/>
        </w:rPr>
      </w:pPr>
      <w:r w:rsidRPr="004B50C4">
        <w:rPr>
          <w:rFonts w:ascii="Times New Roman" w:hAnsi="Times New Roman" w:cs="Times New Roman"/>
          <w:b/>
          <w:bCs/>
          <w:sz w:val="20"/>
          <w:szCs w:val="20"/>
        </w:rPr>
        <w:t>Diagnostic Tests</w:t>
      </w:r>
    </w:p>
    <w:tbl>
      <w:tblPr>
        <w:tblStyle w:val="TableGrid"/>
        <w:tblW w:w="9659" w:type="dxa"/>
        <w:jc w:val="center"/>
        <w:tblLook w:val="04A0" w:firstRow="1" w:lastRow="0" w:firstColumn="1" w:lastColumn="0" w:noHBand="0" w:noVBand="1"/>
      </w:tblPr>
      <w:tblGrid>
        <w:gridCol w:w="3545"/>
        <w:gridCol w:w="3274"/>
        <w:gridCol w:w="2840"/>
      </w:tblGrid>
      <w:tr w:rsidR="00294D85" w:rsidRPr="004B50C4" w14:paraId="330DCCA9" w14:textId="77777777" w:rsidTr="00782EA4">
        <w:trPr>
          <w:trHeight w:val="54"/>
          <w:jc w:val="center"/>
        </w:trPr>
        <w:tc>
          <w:tcPr>
            <w:tcW w:w="0" w:type="auto"/>
            <w:vAlign w:val="center"/>
            <w:hideMark/>
          </w:tcPr>
          <w:p w14:paraId="6D7842E0"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Test Statistics</w:t>
            </w:r>
          </w:p>
        </w:tc>
        <w:tc>
          <w:tcPr>
            <w:tcW w:w="0" w:type="auto"/>
            <w:vAlign w:val="center"/>
            <w:hideMark/>
          </w:tcPr>
          <w:p w14:paraId="39AA7AA5"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LM Version</w:t>
            </w:r>
          </w:p>
        </w:tc>
        <w:tc>
          <w:tcPr>
            <w:tcW w:w="0" w:type="auto"/>
            <w:vAlign w:val="center"/>
            <w:hideMark/>
          </w:tcPr>
          <w:p w14:paraId="5C2FDBBD" w14:textId="77777777" w:rsidR="00294D85" w:rsidRPr="004B50C4" w:rsidRDefault="00294D85" w:rsidP="004B50C4">
            <w:pPr>
              <w:tabs>
                <w:tab w:val="left" w:pos="2805"/>
              </w:tabs>
              <w:spacing w:line="278" w:lineRule="auto"/>
              <w:jc w:val="center"/>
              <w:rPr>
                <w:rFonts w:ascii="Times New Roman" w:hAnsi="Times New Roman" w:cs="Times New Roman"/>
                <w:b/>
                <w:bCs/>
                <w:sz w:val="16"/>
                <w:szCs w:val="16"/>
              </w:rPr>
            </w:pPr>
            <w:r w:rsidRPr="004B50C4">
              <w:rPr>
                <w:rFonts w:ascii="Times New Roman" w:hAnsi="Times New Roman" w:cs="Times New Roman"/>
                <w:b/>
                <w:bCs/>
                <w:sz w:val="16"/>
                <w:szCs w:val="16"/>
              </w:rPr>
              <w:t>F Version</w:t>
            </w:r>
          </w:p>
        </w:tc>
      </w:tr>
      <w:tr w:rsidR="00294D85" w:rsidRPr="004B50C4" w14:paraId="72DB89B2" w14:textId="77777777" w:rsidTr="00782EA4">
        <w:trPr>
          <w:trHeight w:val="54"/>
          <w:jc w:val="center"/>
        </w:trPr>
        <w:tc>
          <w:tcPr>
            <w:tcW w:w="0" w:type="auto"/>
            <w:vAlign w:val="center"/>
            <w:hideMark/>
          </w:tcPr>
          <w:p w14:paraId="3371318F"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A: Serial Correlation</w:t>
            </w:r>
          </w:p>
        </w:tc>
        <w:tc>
          <w:tcPr>
            <w:tcW w:w="0" w:type="auto"/>
            <w:vAlign w:val="center"/>
            <w:hideMark/>
          </w:tcPr>
          <w:p w14:paraId="1886FD57"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2.2811</w:t>
            </w:r>
          </w:p>
        </w:tc>
        <w:tc>
          <w:tcPr>
            <w:tcW w:w="0" w:type="auto"/>
            <w:vAlign w:val="center"/>
            <w:hideMark/>
          </w:tcPr>
          <w:p w14:paraId="0DB1A389"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20) = 1.7738</w:t>
            </w:r>
          </w:p>
        </w:tc>
      </w:tr>
      <w:tr w:rsidR="00294D85" w:rsidRPr="004B50C4" w14:paraId="08C48964" w14:textId="77777777" w:rsidTr="00782EA4">
        <w:trPr>
          <w:trHeight w:val="54"/>
          <w:jc w:val="center"/>
        </w:trPr>
        <w:tc>
          <w:tcPr>
            <w:tcW w:w="0" w:type="auto"/>
            <w:vAlign w:val="center"/>
            <w:hideMark/>
          </w:tcPr>
          <w:p w14:paraId="6B3E6414"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B: Functional Form</w:t>
            </w:r>
          </w:p>
        </w:tc>
        <w:tc>
          <w:tcPr>
            <w:tcW w:w="0" w:type="auto"/>
            <w:vAlign w:val="center"/>
            <w:hideMark/>
          </w:tcPr>
          <w:p w14:paraId="53923B3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0.0556</w:t>
            </w:r>
          </w:p>
        </w:tc>
        <w:tc>
          <w:tcPr>
            <w:tcW w:w="0" w:type="auto"/>
            <w:vAlign w:val="center"/>
            <w:hideMark/>
          </w:tcPr>
          <w:p w14:paraId="2BF59E3E"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20) = 0.0398</w:t>
            </w:r>
          </w:p>
        </w:tc>
      </w:tr>
      <w:tr w:rsidR="00294D85" w:rsidRPr="004B50C4" w14:paraId="3869BFD4" w14:textId="77777777" w:rsidTr="00782EA4">
        <w:trPr>
          <w:trHeight w:val="54"/>
          <w:jc w:val="center"/>
        </w:trPr>
        <w:tc>
          <w:tcPr>
            <w:tcW w:w="0" w:type="auto"/>
            <w:vAlign w:val="center"/>
            <w:hideMark/>
          </w:tcPr>
          <w:p w14:paraId="76D78523"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C: Normality</w:t>
            </w:r>
          </w:p>
        </w:tc>
        <w:tc>
          <w:tcPr>
            <w:tcW w:w="0" w:type="auto"/>
            <w:vAlign w:val="center"/>
            <w:hideMark/>
          </w:tcPr>
          <w:p w14:paraId="451B785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2) = 0.2491</w:t>
            </w:r>
          </w:p>
        </w:tc>
        <w:tc>
          <w:tcPr>
            <w:tcW w:w="0" w:type="auto"/>
            <w:vAlign w:val="center"/>
            <w:hideMark/>
          </w:tcPr>
          <w:p w14:paraId="49E384C8"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Not Applicable</w:t>
            </w:r>
          </w:p>
        </w:tc>
      </w:tr>
      <w:tr w:rsidR="00294D85" w:rsidRPr="004B50C4" w14:paraId="6701959D" w14:textId="77777777" w:rsidTr="00782EA4">
        <w:trPr>
          <w:trHeight w:val="54"/>
          <w:jc w:val="center"/>
        </w:trPr>
        <w:tc>
          <w:tcPr>
            <w:tcW w:w="0" w:type="auto"/>
            <w:vAlign w:val="center"/>
            <w:hideMark/>
          </w:tcPr>
          <w:p w14:paraId="4BF0F351" w14:textId="77777777" w:rsidR="00294D85" w:rsidRPr="004B50C4" w:rsidRDefault="00294D85" w:rsidP="004B50C4">
            <w:pPr>
              <w:tabs>
                <w:tab w:val="left" w:pos="2805"/>
              </w:tabs>
              <w:spacing w:line="278" w:lineRule="auto"/>
              <w:rPr>
                <w:rFonts w:ascii="Times New Roman" w:hAnsi="Times New Roman" w:cs="Times New Roman"/>
                <w:sz w:val="16"/>
                <w:szCs w:val="16"/>
              </w:rPr>
            </w:pPr>
            <w:r w:rsidRPr="004B50C4">
              <w:rPr>
                <w:rFonts w:ascii="Times New Roman" w:hAnsi="Times New Roman" w:cs="Times New Roman"/>
                <w:b/>
                <w:bCs/>
                <w:sz w:val="16"/>
                <w:szCs w:val="16"/>
              </w:rPr>
              <w:t>D: Heteroscedasticity</w:t>
            </w:r>
          </w:p>
        </w:tc>
        <w:tc>
          <w:tcPr>
            <w:tcW w:w="0" w:type="auto"/>
            <w:vAlign w:val="center"/>
            <w:hideMark/>
          </w:tcPr>
          <w:p w14:paraId="75B35951"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r w:rsidRPr="004B50C4">
              <w:rPr>
                <w:rFonts w:ascii="Times New Roman" w:hAnsi="Times New Roman" w:cs="Times New Roman"/>
                <w:sz w:val="16"/>
                <w:szCs w:val="16"/>
              </w:rPr>
              <w:t>CHI-</w:t>
            </w:r>
            <w:proofErr w:type="gramStart"/>
            <w:r w:rsidRPr="004B50C4">
              <w:rPr>
                <w:rFonts w:ascii="Times New Roman" w:hAnsi="Times New Roman" w:cs="Times New Roman"/>
                <w:sz w:val="16"/>
                <w:szCs w:val="16"/>
              </w:rPr>
              <w:t>SQ(</w:t>
            </w:r>
            <w:proofErr w:type="gramEnd"/>
            <w:r w:rsidRPr="004B50C4">
              <w:rPr>
                <w:rFonts w:ascii="Times New Roman" w:hAnsi="Times New Roman" w:cs="Times New Roman"/>
                <w:sz w:val="16"/>
                <w:szCs w:val="16"/>
              </w:rPr>
              <w:t>1) = 0.2100</w:t>
            </w:r>
          </w:p>
        </w:tc>
        <w:tc>
          <w:tcPr>
            <w:tcW w:w="0" w:type="auto"/>
            <w:vAlign w:val="center"/>
            <w:hideMark/>
          </w:tcPr>
          <w:p w14:paraId="7C767208" w14:textId="77777777" w:rsidR="00294D85" w:rsidRPr="004B50C4" w:rsidRDefault="00294D85" w:rsidP="004B50C4">
            <w:pPr>
              <w:tabs>
                <w:tab w:val="left" w:pos="2805"/>
              </w:tabs>
              <w:spacing w:line="278" w:lineRule="auto"/>
              <w:jc w:val="center"/>
              <w:rPr>
                <w:rFonts w:ascii="Times New Roman" w:hAnsi="Times New Roman" w:cs="Times New Roman"/>
                <w:sz w:val="16"/>
                <w:szCs w:val="16"/>
              </w:rPr>
            </w:pPr>
            <w:proofErr w:type="gramStart"/>
            <w:r w:rsidRPr="004B50C4">
              <w:rPr>
                <w:rFonts w:ascii="Times New Roman" w:hAnsi="Times New Roman" w:cs="Times New Roman"/>
                <w:sz w:val="16"/>
                <w:szCs w:val="16"/>
              </w:rPr>
              <w:t>F(</w:t>
            </w:r>
            <w:proofErr w:type="gramEnd"/>
            <w:r w:rsidRPr="004B50C4">
              <w:rPr>
                <w:rFonts w:ascii="Times New Roman" w:hAnsi="Times New Roman" w:cs="Times New Roman"/>
                <w:sz w:val="16"/>
                <w:szCs w:val="16"/>
              </w:rPr>
              <w:t>1, 26) = 0.1964</w:t>
            </w:r>
          </w:p>
        </w:tc>
      </w:tr>
    </w:tbl>
    <w:p w14:paraId="7F912393" w14:textId="77777777" w:rsidR="00782EA4" w:rsidRDefault="00782EA4" w:rsidP="00782EA4">
      <w:pPr>
        <w:tabs>
          <w:tab w:val="left" w:pos="2805"/>
        </w:tabs>
        <w:spacing w:after="0"/>
        <w:jc w:val="center"/>
        <w:rPr>
          <w:rFonts w:ascii="Times New Roman" w:hAnsi="Times New Roman" w:cs="Times New Roman"/>
          <w:b/>
          <w:bCs/>
          <w:szCs w:val="24"/>
        </w:rPr>
      </w:pPr>
    </w:p>
    <w:p w14:paraId="42D599DA" w14:textId="0A4B232D" w:rsidR="00294D85" w:rsidRPr="00782EA4" w:rsidRDefault="00294D85" w:rsidP="00782EA4">
      <w:pPr>
        <w:tabs>
          <w:tab w:val="left" w:pos="2805"/>
        </w:tabs>
        <w:spacing w:after="0"/>
        <w:jc w:val="center"/>
        <w:rPr>
          <w:rFonts w:ascii="Times New Roman" w:hAnsi="Times New Roman" w:cs="Times New Roman"/>
          <w:b/>
          <w:bCs/>
          <w:szCs w:val="24"/>
        </w:rPr>
      </w:pPr>
      <w:r w:rsidRPr="00782EA4">
        <w:rPr>
          <w:rFonts w:ascii="Times New Roman" w:hAnsi="Times New Roman" w:cs="Times New Roman"/>
          <w:b/>
          <w:bCs/>
          <w:szCs w:val="24"/>
        </w:rPr>
        <w:t>Regression Results</w:t>
      </w:r>
    </w:p>
    <w:p w14:paraId="177C16AA" w14:textId="0651E9B5" w:rsidR="00294D85" w:rsidRPr="004B50C4" w:rsidRDefault="00294D85" w:rsidP="000B1456">
      <w:pPr>
        <w:spacing w:after="0"/>
        <w:ind w:left="2127" w:hanging="993"/>
        <w:rPr>
          <w:rFonts w:ascii="Times New Roman" w:hAnsi="Times New Roman" w:cs="Times New Roman"/>
          <w:sz w:val="18"/>
          <w:szCs w:val="18"/>
        </w:rPr>
      </w:pPr>
      <w:r w:rsidRPr="004B50C4">
        <w:rPr>
          <w:rFonts w:ascii="Times New Roman" w:hAnsi="Times New Roman" w:cs="Times New Roman"/>
          <w:sz w:val="18"/>
          <w:szCs w:val="18"/>
        </w:rPr>
        <w:t xml:space="preserve">Dependent Variable: </w:t>
      </w:r>
      <w:r w:rsidR="00B018AC" w:rsidRPr="004B50C4">
        <w:rPr>
          <w:rFonts w:ascii="Times New Roman" w:hAnsi="Times New Roman" w:cs="Times New Roman"/>
          <w:sz w:val="18"/>
          <w:szCs w:val="18"/>
        </w:rPr>
        <w:tab/>
      </w:r>
      <w:r w:rsidRPr="004B50C4">
        <w:rPr>
          <w:rFonts w:ascii="Times New Roman" w:hAnsi="Times New Roman" w:cs="Times New Roman"/>
          <w:sz w:val="18"/>
          <w:szCs w:val="18"/>
        </w:rPr>
        <w:t> </w:t>
      </w:r>
      <w:r w:rsidR="009D5E51">
        <w:rPr>
          <w:rFonts w:ascii="Times New Roman" w:hAnsi="Times New Roman" w:cs="Times New Roman"/>
          <w:sz w:val="18"/>
          <w:szCs w:val="18"/>
        </w:rPr>
        <w:tab/>
      </w:r>
      <w:r w:rsidRPr="004B50C4">
        <w:rPr>
          <w:rFonts w:ascii="Times New Roman" w:hAnsi="Times New Roman" w:cs="Times New Roman"/>
          <w:sz w:val="18"/>
          <w:szCs w:val="18"/>
        </w:rPr>
        <w:t>Total Expenditure on Medical, Family Welfare and Public Health (excluding Water Supply)</w:t>
      </w:r>
    </w:p>
    <w:p w14:paraId="1CD405DD" w14:textId="35B89C53" w:rsidR="00294D85" w:rsidRPr="004B50C4" w:rsidRDefault="00294D85" w:rsidP="000B1456">
      <w:pPr>
        <w:tabs>
          <w:tab w:val="left" w:pos="2805"/>
        </w:tabs>
        <w:spacing w:after="0"/>
        <w:ind w:firstLine="1134"/>
        <w:rPr>
          <w:rFonts w:ascii="Times New Roman" w:hAnsi="Times New Roman" w:cs="Times New Roman"/>
          <w:sz w:val="18"/>
          <w:szCs w:val="18"/>
        </w:rPr>
      </w:pPr>
      <w:r w:rsidRPr="004B50C4">
        <w:rPr>
          <w:rFonts w:ascii="Times New Roman" w:hAnsi="Times New Roman" w:cs="Times New Roman"/>
          <w:sz w:val="18"/>
          <w:szCs w:val="18"/>
        </w:rPr>
        <w:t>Number of Observations:  28</w:t>
      </w:r>
      <w:r w:rsidR="009D5E51">
        <w:rPr>
          <w:rFonts w:ascii="Times New Roman" w:hAnsi="Times New Roman" w:cs="Times New Roman"/>
          <w:sz w:val="18"/>
          <w:szCs w:val="18"/>
        </w:rPr>
        <w:tab/>
      </w:r>
      <w:r w:rsidRPr="004B50C4">
        <w:rPr>
          <w:rFonts w:ascii="Times New Roman" w:hAnsi="Times New Roman" w:cs="Times New Roman"/>
          <w:sz w:val="18"/>
          <w:szCs w:val="18"/>
        </w:rPr>
        <w:t>Degrees of Freedom:  20</w:t>
      </w:r>
    </w:p>
    <w:tbl>
      <w:tblPr>
        <w:tblStyle w:val="TableGrid"/>
        <w:tblW w:w="9671" w:type="dxa"/>
        <w:jc w:val="center"/>
        <w:tblLook w:val="04A0" w:firstRow="1" w:lastRow="0" w:firstColumn="1" w:lastColumn="0" w:noHBand="0" w:noVBand="1"/>
      </w:tblPr>
      <w:tblGrid>
        <w:gridCol w:w="5334"/>
        <w:gridCol w:w="1334"/>
        <w:gridCol w:w="1669"/>
        <w:gridCol w:w="1334"/>
      </w:tblGrid>
      <w:tr w:rsidR="00294D85" w:rsidRPr="000B1456" w14:paraId="56E5B19A" w14:textId="77777777" w:rsidTr="00782EA4">
        <w:trPr>
          <w:trHeight w:val="113"/>
          <w:jc w:val="center"/>
        </w:trPr>
        <w:tc>
          <w:tcPr>
            <w:tcW w:w="5334" w:type="dxa"/>
            <w:vAlign w:val="center"/>
            <w:hideMark/>
          </w:tcPr>
          <w:p w14:paraId="0CF1ACA8" w14:textId="77777777" w:rsidR="00294D85" w:rsidRPr="000B1456" w:rsidRDefault="00294D85" w:rsidP="00263C73">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Regressor</w:t>
            </w:r>
          </w:p>
        </w:tc>
        <w:tc>
          <w:tcPr>
            <w:tcW w:w="1334" w:type="dxa"/>
            <w:vAlign w:val="center"/>
            <w:hideMark/>
          </w:tcPr>
          <w:p w14:paraId="2E795371" w14:textId="77777777" w:rsidR="00294D85" w:rsidRPr="000B1456" w:rsidRDefault="00294D85" w:rsidP="00263C73">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Coefficient</w:t>
            </w:r>
          </w:p>
        </w:tc>
        <w:tc>
          <w:tcPr>
            <w:tcW w:w="1669" w:type="dxa"/>
            <w:vAlign w:val="center"/>
            <w:hideMark/>
          </w:tcPr>
          <w:p w14:paraId="7F82E88B" w14:textId="77777777" w:rsidR="00294D85" w:rsidRPr="000B1456" w:rsidRDefault="00294D85" w:rsidP="00263C73">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Standard Error</w:t>
            </w:r>
          </w:p>
        </w:tc>
        <w:tc>
          <w:tcPr>
            <w:tcW w:w="1334" w:type="dxa"/>
            <w:vAlign w:val="center"/>
            <w:hideMark/>
          </w:tcPr>
          <w:p w14:paraId="5C201C2C" w14:textId="77777777" w:rsidR="00294D85" w:rsidRPr="000B1456" w:rsidRDefault="00294D85" w:rsidP="00263C73">
            <w:pPr>
              <w:tabs>
                <w:tab w:val="left" w:pos="2805"/>
              </w:tabs>
              <w:spacing w:line="278" w:lineRule="auto"/>
              <w:jc w:val="center"/>
              <w:rPr>
                <w:rFonts w:ascii="Times New Roman" w:hAnsi="Times New Roman" w:cs="Times New Roman"/>
                <w:b/>
                <w:bCs/>
                <w:sz w:val="16"/>
                <w:szCs w:val="16"/>
              </w:rPr>
            </w:pPr>
            <w:r w:rsidRPr="000B1456">
              <w:rPr>
                <w:rFonts w:ascii="Times New Roman" w:hAnsi="Times New Roman" w:cs="Times New Roman"/>
                <w:b/>
                <w:bCs/>
                <w:sz w:val="16"/>
                <w:szCs w:val="16"/>
              </w:rPr>
              <w:t>T-Ratio</w:t>
            </w:r>
          </w:p>
        </w:tc>
      </w:tr>
      <w:tr w:rsidR="00294D85" w:rsidRPr="000B1456" w14:paraId="71B504A4" w14:textId="77777777" w:rsidTr="00782EA4">
        <w:trPr>
          <w:trHeight w:val="113"/>
          <w:jc w:val="center"/>
        </w:trPr>
        <w:tc>
          <w:tcPr>
            <w:tcW w:w="5334" w:type="dxa"/>
            <w:vAlign w:val="center"/>
            <w:hideMark/>
          </w:tcPr>
          <w:p w14:paraId="44DB572F"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1. Number of hospital beds</w:t>
            </w:r>
          </w:p>
        </w:tc>
        <w:tc>
          <w:tcPr>
            <w:tcW w:w="1334" w:type="dxa"/>
            <w:vAlign w:val="center"/>
            <w:hideMark/>
          </w:tcPr>
          <w:p w14:paraId="2DAC71AE"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0.8754</w:t>
            </w:r>
          </w:p>
        </w:tc>
        <w:tc>
          <w:tcPr>
            <w:tcW w:w="1669" w:type="dxa"/>
            <w:vAlign w:val="center"/>
            <w:hideMark/>
          </w:tcPr>
          <w:p w14:paraId="4B91DE40"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0.0750</w:t>
            </w:r>
          </w:p>
        </w:tc>
        <w:tc>
          <w:tcPr>
            <w:tcW w:w="1334" w:type="dxa"/>
            <w:vAlign w:val="center"/>
            <w:hideMark/>
          </w:tcPr>
          <w:p w14:paraId="36082660"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11.6745</w:t>
            </w:r>
          </w:p>
        </w:tc>
      </w:tr>
      <w:tr w:rsidR="00294D85" w:rsidRPr="000B1456" w14:paraId="70286933" w14:textId="77777777" w:rsidTr="00782EA4">
        <w:trPr>
          <w:trHeight w:val="113"/>
          <w:jc w:val="center"/>
        </w:trPr>
        <w:tc>
          <w:tcPr>
            <w:tcW w:w="5334" w:type="dxa"/>
            <w:vAlign w:val="center"/>
            <w:hideMark/>
          </w:tcPr>
          <w:p w14:paraId="48800AA1"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2. Number of indoor patients per 100 hospital beds</w:t>
            </w:r>
          </w:p>
        </w:tc>
        <w:tc>
          <w:tcPr>
            <w:tcW w:w="1334" w:type="dxa"/>
            <w:vAlign w:val="center"/>
            <w:hideMark/>
          </w:tcPr>
          <w:p w14:paraId="7324907C"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0.0996</w:t>
            </w:r>
          </w:p>
        </w:tc>
        <w:tc>
          <w:tcPr>
            <w:tcW w:w="1669" w:type="dxa"/>
            <w:vAlign w:val="center"/>
            <w:hideMark/>
          </w:tcPr>
          <w:p w14:paraId="5CC7E89F"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0.0449</w:t>
            </w:r>
          </w:p>
        </w:tc>
        <w:tc>
          <w:tcPr>
            <w:tcW w:w="1334" w:type="dxa"/>
            <w:vAlign w:val="center"/>
            <w:hideMark/>
          </w:tcPr>
          <w:p w14:paraId="7C33F419"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2.2177</w:t>
            </w:r>
          </w:p>
        </w:tc>
      </w:tr>
      <w:tr w:rsidR="00294D85" w:rsidRPr="000B1456" w14:paraId="48642023" w14:textId="77777777" w:rsidTr="00782EA4">
        <w:trPr>
          <w:trHeight w:val="113"/>
          <w:jc w:val="center"/>
        </w:trPr>
        <w:tc>
          <w:tcPr>
            <w:tcW w:w="5334" w:type="dxa"/>
            <w:vAlign w:val="center"/>
            <w:hideMark/>
          </w:tcPr>
          <w:p w14:paraId="5958CF20"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3. Proportion of population covered under sanitation in urban areas</w:t>
            </w:r>
          </w:p>
        </w:tc>
        <w:tc>
          <w:tcPr>
            <w:tcW w:w="1334" w:type="dxa"/>
            <w:vAlign w:val="center"/>
            <w:hideMark/>
          </w:tcPr>
          <w:p w14:paraId="3F0ED35F"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0.1210</w:t>
            </w:r>
          </w:p>
        </w:tc>
        <w:tc>
          <w:tcPr>
            <w:tcW w:w="1669" w:type="dxa"/>
            <w:vAlign w:val="center"/>
            <w:hideMark/>
          </w:tcPr>
          <w:p w14:paraId="36CFA7B3"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0.0492</w:t>
            </w:r>
          </w:p>
        </w:tc>
        <w:tc>
          <w:tcPr>
            <w:tcW w:w="1334" w:type="dxa"/>
            <w:vAlign w:val="center"/>
            <w:hideMark/>
          </w:tcPr>
          <w:p w14:paraId="57613CBE"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2.4619</w:t>
            </w:r>
          </w:p>
        </w:tc>
      </w:tr>
      <w:tr w:rsidR="00294D85" w:rsidRPr="000B1456" w14:paraId="4EB74503" w14:textId="77777777" w:rsidTr="00782EA4">
        <w:trPr>
          <w:trHeight w:val="113"/>
          <w:jc w:val="center"/>
        </w:trPr>
        <w:tc>
          <w:tcPr>
            <w:tcW w:w="5334" w:type="dxa"/>
            <w:vAlign w:val="center"/>
            <w:hideMark/>
          </w:tcPr>
          <w:p w14:paraId="4431B3C2"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4. Salary differences of Staff Nurse</w:t>
            </w:r>
          </w:p>
        </w:tc>
        <w:tc>
          <w:tcPr>
            <w:tcW w:w="1334" w:type="dxa"/>
            <w:vAlign w:val="center"/>
            <w:hideMark/>
          </w:tcPr>
          <w:p w14:paraId="41C9F989"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0.2682</w:t>
            </w:r>
          </w:p>
        </w:tc>
        <w:tc>
          <w:tcPr>
            <w:tcW w:w="1669" w:type="dxa"/>
            <w:vAlign w:val="center"/>
            <w:hideMark/>
          </w:tcPr>
          <w:p w14:paraId="7C76D15C"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0.1006</w:t>
            </w:r>
          </w:p>
        </w:tc>
        <w:tc>
          <w:tcPr>
            <w:tcW w:w="1334" w:type="dxa"/>
            <w:vAlign w:val="center"/>
            <w:hideMark/>
          </w:tcPr>
          <w:p w14:paraId="754AB965"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2.6677</w:t>
            </w:r>
          </w:p>
        </w:tc>
      </w:tr>
      <w:tr w:rsidR="00294D85" w:rsidRPr="000B1456" w14:paraId="06445AE7" w14:textId="77777777" w:rsidTr="00782EA4">
        <w:trPr>
          <w:trHeight w:val="113"/>
          <w:jc w:val="center"/>
        </w:trPr>
        <w:tc>
          <w:tcPr>
            <w:tcW w:w="5334" w:type="dxa"/>
            <w:vAlign w:val="center"/>
            <w:hideMark/>
          </w:tcPr>
          <w:p w14:paraId="67DF5E87"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5. Density of population</w:t>
            </w:r>
          </w:p>
        </w:tc>
        <w:tc>
          <w:tcPr>
            <w:tcW w:w="1334" w:type="dxa"/>
            <w:vAlign w:val="center"/>
            <w:hideMark/>
          </w:tcPr>
          <w:p w14:paraId="7F3A4418"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-0.2166</w:t>
            </w:r>
          </w:p>
        </w:tc>
        <w:tc>
          <w:tcPr>
            <w:tcW w:w="1669" w:type="dxa"/>
            <w:vAlign w:val="center"/>
            <w:hideMark/>
          </w:tcPr>
          <w:p w14:paraId="795351DD"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0.0828</w:t>
            </w:r>
          </w:p>
        </w:tc>
        <w:tc>
          <w:tcPr>
            <w:tcW w:w="1334" w:type="dxa"/>
            <w:vAlign w:val="center"/>
            <w:hideMark/>
          </w:tcPr>
          <w:p w14:paraId="0C7882F3"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-2.6179</w:t>
            </w:r>
          </w:p>
        </w:tc>
      </w:tr>
      <w:tr w:rsidR="00294D85" w:rsidRPr="000B1456" w14:paraId="6207E8C0" w14:textId="77777777" w:rsidTr="00782EA4">
        <w:trPr>
          <w:trHeight w:val="113"/>
          <w:jc w:val="center"/>
        </w:trPr>
        <w:tc>
          <w:tcPr>
            <w:tcW w:w="5334" w:type="dxa"/>
            <w:vAlign w:val="center"/>
            <w:hideMark/>
          </w:tcPr>
          <w:p w14:paraId="0760135B"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6. Proportion of population in hill/desert areas</w:t>
            </w:r>
          </w:p>
        </w:tc>
        <w:tc>
          <w:tcPr>
            <w:tcW w:w="1334" w:type="dxa"/>
            <w:vAlign w:val="center"/>
            <w:hideMark/>
          </w:tcPr>
          <w:p w14:paraId="0BD34FD2"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0.0064</w:t>
            </w:r>
          </w:p>
        </w:tc>
        <w:tc>
          <w:tcPr>
            <w:tcW w:w="1669" w:type="dxa"/>
            <w:vAlign w:val="center"/>
            <w:hideMark/>
          </w:tcPr>
          <w:p w14:paraId="44A9E2E3"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0.0054</w:t>
            </w:r>
          </w:p>
        </w:tc>
        <w:tc>
          <w:tcPr>
            <w:tcW w:w="1334" w:type="dxa"/>
            <w:vAlign w:val="center"/>
            <w:hideMark/>
          </w:tcPr>
          <w:p w14:paraId="4471EFC3"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1.1725</w:t>
            </w:r>
          </w:p>
        </w:tc>
      </w:tr>
      <w:tr w:rsidR="00294D85" w:rsidRPr="000B1456" w14:paraId="4DFC1641" w14:textId="77777777" w:rsidTr="00782EA4">
        <w:trPr>
          <w:trHeight w:val="113"/>
          <w:jc w:val="center"/>
        </w:trPr>
        <w:tc>
          <w:tcPr>
            <w:tcW w:w="5334" w:type="dxa"/>
            <w:vAlign w:val="center"/>
            <w:hideMark/>
          </w:tcPr>
          <w:p w14:paraId="6478F094"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Time period (1981-82 to 1983-84)</w:t>
            </w:r>
          </w:p>
        </w:tc>
        <w:tc>
          <w:tcPr>
            <w:tcW w:w="1334" w:type="dxa"/>
            <w:vAlign w:val="center"/>
            <w:hideMark/>
          </w:tcPr>
          <w:p w14:paraId="0EB24E03"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0.0470</w:t>
            </w:r>
          </w:p>
        </w:tc>
        <w:tc>
          <w:tcPr>
            <w:tcW w:w="1669" w:type="dxa"/>
            <w:vAlign w:val="center"/>
            <w:hideMark/>
          </w:tcPr>
          <w:p w14:paraId="6967804F"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0.1265</w:t>
            </w:r>
          </w:p>
        </w:tc>
        <w:tc>
          <w:tcPr>
            <w:tcW w:w="1334" w:type="dxa"/>
            <w:vAlign w:val="center"/>
            <w:hideMark/>
          </w:tcPr>
          <w:p w14:paraId="42B251E2"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0.3715</w:t>
            </w:r>
          </w:p>
        </w:tc>
      </w:tr>
      <w:tr w:rsidR="00294D85" w:rsidRPr="000B1456" w14:paraId="196DEA75" w14:textId="77777777" w:rsidTr="00782EA4">
        <w:trPr>
          <w:trHeight w:val="113"/>
          <w:jc w:val="center"/>
        </w:trPr>
        <w:tc>
          <w:tcPr>
            <w:tcW w:w="5334" w:type="dxa"/>
            <w:vAlign w:val="center"/>
            <w:hideMark/>
          </w:tcPr>
          <w:p w14:paraId="5AEE9C92" w14:textId="77777777" w:rsidR="00294D85" w:rsidRPr="000B1456" w:rsidRDefault="00294D85" w:rsidP="00263C73">
            <w:pPr>
              <w:tabs>
                <w:tab w:val="left" w:pos="2805"/>
              </w:tabs>
              <w:spacing w:line="278" w:lineRule="auto"/>
              <w:rPr>
                <w:rFonts w:ascii="Times New Roman" w:hAnsi="Times New Roman" w:cs="Times New Roman"/>
                <w:sz w:val="16"/>
                <w:szCs w:val="16"/>
              </w:rPr>
            </w:pPr>
            <w:r w:rsidRPr="000B1456">
              <w:rPr>
                <w:rFonts w:ascii="Times New Roman" w:hAnsi="Times New Roman" w:cs="Times New Roman"/>
                <w:sz w:val="16"/>
                <w:szCs w:val="16"/>
              </w:rPr>
              <w:t>Time period (1984-85 to 1986-87)</w:t>
            </w:r>
          </w:p>
        </w:tc>
        <w:tc>
          <w:tcPr>
            <w:tcW w:w="1334" w:type="dxa"/>
            <w:vAlign w:val="center"/>
            <w:hideMark/>
          </w:tcPr>
          <w:p w14:paraId="0EF96888"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-0.0766</w:t>
            </w:r>
          </w:p>
        </w:tc>
        <w:tc>
          <w:tcPr>
            <w:tcW w:w="1669" w:type="dxa"/>
            <w:vAlign w:val="center"/>
            <w:hideMark/>
          </w:tcPr>
          <w:p w14:paraId="112BD491"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0.1279</w:t>
            </w:r>
          </w:p>
        </w:tc>
        <w:tc>
          <w:tcPr>
            <w:tcW w:w="1334" w:type="dxa"/>
            <w:vAlign w:val="center"/>
            <w:hideMark/>
          </w:tcPr>
          <w:p w14:paraId="59868A21" w14:textId="77777777" w:rsidR="00294D85" w:rsidRPr="000B1456" w:rsidRDefault="00294D85" w:rsidP="00263C73">
            <w:pPr>
              <w:tabs>
                <w:tab w:val="left" w:pos="2805"/>
              </w:tabs>
              <w:spacing w:line="278" w:lineRule="auto"/>
              <w:jc w:val="center"/>
              <w:rPr>
                <w:rFonts w:ascii="Times New Roman" w:hAnsi="Times New Roman" w:cs="Times New Roman"/>
                <w:sz w:val="16"/>
                <w:szCs w:val="16"/>
              </w:rPr>
            </w:pPr>
            <w:r w:rsidRPr="000B1456">
              <w:rPr>
                <w:rFonts w:ascii="Times New Roman" w:hAnsi="Times New Roman" w:cs="Times New Roman"/>
                <w:sz w:val="16"/>
                <w:szCs w:val="16"/>
              </w:rPr>
              <w:t>-0.5987</w:t>
            </w:r>
          </w:p>
        </w:tc>
      </w:tr>
    </w:tbl>
    <w:p w14:paraId="18AF2EBF" w14:textId="4A81E874" w:rsidR="00782EA4" w:rsidRPr="00782EA4" w:rsidRDefault="00782EA4" w:rsidP="00782EA4">
      <w:pPr>
        <w:tabs>
          <w:tab w:val="left" w:pos="2805"/>
        </w:tabs>
        <w:spacing w:after="0"/>
        <w:ind w:left="1440"/>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0.8926</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Residual Sum of Squares</w:t>
      </w:r>
      <w:r w:rsidRPr="00782EA4">
        <w:rPr>
          <w:rFonts w:ascii="Times New Roman" w:hAnsi="Times New Roman" w:cs="Times New Roman"/>
          <w:sz w:val="18"/>
          <w:szCs w:val="18"/>
        </w:rPr>
        <w:tab/>
        <w:t>0.8706</w:t>
      </w:r>
    </w:p>
    <w:p w14:paraId="7F449A05" w14:textId="74BF90B7" w:rsidR="00A87433" w:rsidRPr="00782EA4" w:rsidRDefault="00782EA4" w:rsidP="00782EA4">
      <w:pPr>
        <w:tabs>
          <w:tab w:val="left" w:pos="2805"/>
        </w:tabs>
        <w:spacing w:after="0"/>
        <w:ind w:left="1440"/>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0.8550</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S.E. of Regression</w:t>
      </w:r>
      <w:r w:rsidRPr="00782EA4">
        <w:rPr>
          <w:rFonts w:ascii="Times New Roman" w:hAnsi="Times New Roman" w:cs="Times New Roman"/>
          <w:sz w:val="18"/>
          <w:szCs w:val="18"/>
        </w:rPr>
        <w:tab/>
        <w:t>0.2086</w:t>
      </w:r>
    </w:p>
    <w:p w14:paraId="4A5017D0" w14:textId="6A274310" w:rsidR="00294D85" w:rsidRPr="00263C73" w:rsidRDefault="00294D85" w:rsidP="00A87433">
      <w:pPr>
        <w:tabs>
          <w:tab w:val="left" w:pos="2805"/>
        </w:tabs>
        <w:spacing w:after="0"/>
        <w:jc w:val="center"/>
        <w:rPr>
          <w:rFonts w:ascii="Times New Roman" w:hAnsi="Times New Roman" w:cs="Times New Roman"/>
          <w:sz w:val="20"/>
          <w:szCs w:val="20"/>
        </w:rPr>
      </w:pPr>
      <w:r w:rsidRPr="00263C73">
        <w:rPr>
          <w:rFonts w:ascii="Times New Roman" w:hAnsi="Times New Roman" w:cs="Times New Roman"/>
          <w:b/>
          <w:bCs/>
          <w:sz w:val="20"/>
          <w:szCs w:val="20"/>
        </w:rPr>
        <w:t>Diagnostic Tests</w:t>
      </w:r>
    </w:p>
    <w:tbl>
      <w:tblPr>
        <w:tblStyle w:val="TableGrid"/>
        <w:tblW w:w="9556" w:type="dxa"/>
        <w:jc w:val="center"/>
        <w:tblLook w:val="04A0" w:firstRow="1" w:lastRow="0" w:firstColumn="1" w:lastColumn="0" w:noHBand="0" w:noVBand="1"/>
      </w:tblPr>
      <w:tblGrid>
        <w:gridCol w:w="3181"/>
        <w:gridCol w:w="3000"/>
        <w:gridCol w:w="3375"/>
      </w:tblGrid>
      <w:tr w:rsidR="00294D85" w:rsidRPr="00A87433" w14:paraId="455AA440" w14:textId="77777777" w:rsidTr="00782EA4">
        <w:trPr>
          <w:trHeight w:val="60"/>
          <w:jc w:val="center"/>
        </w:trPr>
        <w:tc>
          <w:tcPr>
            <w:tcW w:w="3181" w:type="dxa"/>
            <w:vAlign w:val="center"/>
            <w:hideMark/>
          </w:tcPr>
          <w:p w14:paraId="7DAE71A2"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Test Statistics</w:t>
            </w:r>
          </w:p>
        </w:tc>
        <w:tc>
          <w:tcPr>
            <w:tcW w:w="3000" w:type="dxa"/>
            <w:vAlign w:val="center"/>
            <w:hideMark/>
          </w:tcPr>
          <w:p w14:paraId="284A4359"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LM Version</w:t>
            </w:r>
          </w:p>
        </w:tc>
        <w:tc>
          <w:tcPr>
            <w:tcW w:w="3375" w:type="dxa"/>
            <w:vAlign w:val="center"/>
            <w:hideMark/>
          </w:tcPr>
          <w:p w14:paraId="44066B99"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F Version</w:t>
            </w:r>
          </w:p>
        </w:tc>
      </w:tr>
      <w:tr w:rsidR="00294D85" w:rsidRPr="00A87433" w14:paraId="1B933B3F" w14:textId="77777777" w:rsidTr="00782EA4">
        <w:trPr>
          <w:trHeight w:val="60"/>
          <w:jc w:val="center"/>
        </w:trPr>
        <w:tc>
          <w:tcPr>
            <w:tcW w:w="3181" w:type="dxa"/>
            <w:vAlign w:val="center"/>
            <w:hideMark/>
          </w:tcPr>
          <w:p w14:paraId="415BF2A8"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A: Serial Correlation</w:t>
            </w:r>
          </w:p>
        </w:tc>
        <w:tc>
          <w:tcPr>
            <w:tcW w:w="3000" w:type="dxa"/>
            <w:vAlign w:val="center"/>
            <w:hideMark/>
          </w:tcPr>
          <w:p w14:paraId="7F78F4D7"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CHI-</w:t>
            </w:r>
            <w:proofErr w:type="gramStart"/>
            <w:r w:rsidRPr="00A87433">
              <w:rPr>
                <w:rFonts w:ascii="Times New Roman" w:hAnsi="Times New Roman" w:cs="Times New Roman"/>
                <w:sz w:val="16"/>
                <w:szCs w:val="16"/>
              </w:rPr>
              <w:t>SQ(</w:t>
            </w:r>
            <w:proofErr w:type="gramEnd"/>
            <w:r w:rsidRPr="00A87433">
              <w:rPr>
                <w:rFonts w:ascii="Times New Roman" w:hAnsi="Times New Roman" w:cs="Times New Roman"/>
                <w:sz w:val="16"/>
                <w:szCs w:val="16"/>
              </w:rPr>
              <w:t>1) = 7.9846</w:t>
            </w:r>
          </w:p>
        </w:tc>
        <w:tc>
          <w:tcPr>
            <w:tcW w:w="3375" w:type="dxa"/>
            <w:vAlign w:val="center"/>
            <w:hideMark/>
          </w:tcPr>
          <w:p w14:paraId="5E55C5D4" w14:textId="77777777" w:rsidR="00294D85" w:rsidRPr="00A87433" w:rsidRDefault="00294D85" w:rsidP="00A87433">
            <w:pPr>
              <w:pStyle w:val="NoSpacing"/>
              <w:rPr>
                <w:rFonts w:ascii="Times New Roman" w:hAnsi="Times New Roman" w:cs="Times New Roman"/>
                <w:sz w:val="16"/>
                <w:szCs w:val="16"/>
              </w:rPr>
            </w:pPr>
            <w:proofErr w:type="gramStart"/>
            <w:r w:rsidRPr="00A87433">
              <w:rPr>
                <w:rFonts w:ascii="Times New Roman" w:hAnsi="Times New Roman" w:cs="Times New Roman"/>
                <w:sz w:val="16"/>
                <w:szCs w:val="16"/>
              </w:rPr>
              <w:t>F(</w:t>
            </w:r>
            <w:proofErr w:type="gramEnd"/>
            <w:r w:rsidRPr="00A87433">
              <w:rPr>
                <w:rFonts w:ascii="Times New Roman" w:hAnsi="Times New Roman" w:cs="Times New Roman"/>
                <w:sz w:val="16"/>
                <w:szCs w:val="16"/>
              </w:rPr>
              <w:t>1, 19) = 7.5795</w:t>
            </w:r>
          </w:p>
        </w:tc>
      </w:tr>
      <w:tr w:rsidR="00294D85" w:rsidRPr="00A87433" w14:paraId="3C223D73" w14:textId="77777777" w:rsidTr="00782EA4">
        <w:trPr>
          <w:trHeight w:val="60"/>
          <w:jc w:val="center"/>
        </w:trPr>
        <w:tc>
          <w:tcPr>
            <w:tcW w:w="3181" w:type="dxa"/>
            <w:vAlign w:val="center"/>
            <w:hideMark/>
          </w:tcPr>
          <w:p w14:paraId="7A54A292"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B: Functional Form</w:t>
            </w:r>
          </w:p>
        </w:tc>
        <w:tc>
          <w:tcPr>
            <w:tcW w:w="3000" w:type="dxa"/>
            <w:vAlign w:val="center"/>
            <w:hideMark/>
          </w:tcPr>
          <w:p w14:paraId="1BEDAE35"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CHI-</w:t>
            </w:r>
            <w:proofErr w:type="gramStart"/>
            <w:r w:rsidRPr="00A87433">
              <w:rPr>
                <w:rFonts w:ascii="Times New Roman" w:hAnsi="Times New Roman" w:cs="Times New Roman"/>
                <w:sz w:val="16"/>
                <w:szCs w:val="16"/>
              </w:rPr>
              <w:t>SQ(</w:t>
            </w:r>
            <w:proofErr w:type="gramEnd"/>
            <w:r w:rsidRPr="00A87433">
              <w:rPr>
                <w:rFonts w:ascii="Times New Roman" w:hAnsi="Times New Roman" w:cs="Times New Roman"/>
                <w:sz w:val="16"/>
                <w:szCs w:val="16"/>
              </w:rPr>
              <w:t>1) = 2.8071</w:t>
            </w:r>
          </w:p>
        </w:tc>
        <w:tc>
          <w:tcPr>
            <w:tcW w:w="3375" w:type="dxa"/>
            <w:vAlign w:val="center"/>
            <w:hideMark/>
          </w:tcPr>
          <w:p w14:paraId="0840E1C7" w14:textId="77777777" w:rsidR="00294D85" w:rsidRPr="00A87433" w:rsidRDefault="00294D85" w:rsidP="00A87433">
            <w:pPr>
              <w:pStyle w:val="NoSpacing"/>
              <w:rPr>
                <w:rFonts w:ascii="Times New Roman" w:hAnsi="Times New Roman" w:cs="Times New Roman"/>
                <w:sz w:val="16"/>
                <w:szCs w:val="16"/>
              </w:rPr>
            </w:pPr>
            <w:proofErr w:type="gramStart"/>
            <w:r w:rsidRPr="00A87433">
              <w:rPr>
                <w:rFonts w:ascii="Times New Roman" w:hAnsi="Times New Roman" w:cs="Times New Roman"/>
                <w:sz w:val="16"/>
                <w:szCs w:val="16"/>
              </w:rPr>
              <w:t>F(</w:t>
            </w:r>
            <w:proofErr w:type="gramEnd"/>
            <w:r w:rsidRPr="00A87433">
              <w:rPr>
                <w:rFonts w:ascii="Times New Roman" w:hAnsi="Times New Roman" w:cs="Times New Roman"/>
                <w:sz w:val="16"/>
                <w:szCs w:val="16"/>
              </w:rPr>
              <w:t>1, 19) = 2.1171</w:t>
            </w:r>
          </w:p>
        </w:tc>
      </w:tr>
      <w:tr w:rsidR="00294D85" w:rsidRPr="00A87433" w14:paraId="5DAE5968" w14:textId="77777777" w:rsidTr="00782EA4">
        <w:trPr>
          <w:trHeight w:val="60"/>
          <w:jc w:val="center"/>
        </w:trPr>
        <w:tc>
          <w:tcPr>
            <w:tcW w:w="3181" w:type="dxa"/>
            <w:vAlign w:val="center"/>
            <w:hideMark/>
          </w:tcPr>
          <w:p w14:paraId="089C3A6D"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C: Normality</w:t>
            </w:r>
          </w:p>
        </w:tc>
        <w:tc>
          <w:tcPr>
            <w:tcW w:w="3000" w:type="dxa"/>
            <w:vAlign w:val="center"/>
            <w:hideMark/>
          </w:tcPr>
          <w:p w14:paraId="6C7A0C4F"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CHI-</w:t>
            </w:r>
            <w:proofErr w:type="gramStart"/>
            <w:r w:rsidRPr="00A87433">
              <w:rPr>
                <w:rFonts w:ascii="Times New Roman" w:hAnsi="Times New Roman" w:cs="Times New Roman"/>
                <w:sz w:val="16"/>
                <w:szCs w:val="16"/>
              </w:rPr>
              <w:t>SQ(</w:t>
            </w:r>
            <w:proofErr w:type="gramEnd"/>
            <w:r w:rsidRPr="00A87433">
              <w:rPr>
                <w:rFonts w:ascii="Times New Roman" w:hAnsi="Times New Roman" w:cs="Times New Roman"/>
                <w:sz w:val="16"/>
                <w:szCs w:val="16"/>
              </w:rPr>
              <w:t>2) = 1.6982</w:t>
            </w:r>
          </w:p>
        </w:tc>
        <w:tc>
          <w:tcPr>
            <w:tcW w:w="3375" w:type="dxa"/>
            <w:vAlign w:val="center"/>
            <w:hideMark/>
          </w:tcPr>
          <w:p w14:paraId="2137330E"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Not Applicable</w:t>
            </w:r>
          </w:p>
        </w:tc>
      </w:tr>
      <w:tr w:rsidR="00294D85" w:rsidRPr="00A87433" w14:paraId="7E47160A" w14:textId="77777777" w:rsidTr="00782EA4">
        <w:trPr>
          <w:trHeight w:val="60"/>
          <w:jc w:val="center"/>
        </w:trPr>
        <w:tc>
          <w:tcPr>
            <w:tcW w:w="3181" w:type="dxa"/>
            <w:vAlign w:val="center"/>
            <w:hideMark/>
          </w:tcPr>
          <w:p w14:paraId="04A8C2E7"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D: Heteroscedasticity</w:t>
            </w:r>
          </w:p>
        </w:tc>
        <w:tc>
          <w:tcPr>
            <w:tcW w:w="3000" w:type="dxa"/>
            <w:vAlign w:val="center"/>
            <w:hideMark/>
          </w:tcPr>
          <w:p w14:paraId="5949BC68" w14:textId="77777777" w:rsidR="00294D85" w:rsidRPr="00A87433" w:rsidRDefault="00294D85" w:rsidP="00A87433">
            <w:pPr>
              <w:pStyle w:val="NoSpacing"/>
              <w:rPr>
                <w:rFonts w:ascii="Times New Roman" w:hAnsi="Times New Roman" w:cs="Times New Roman"/>
                <w:sz w:val="16"/>
                <w:szCs w:val="16"/>
              </w:rPr>
            </w:pPr>
            <w:r w:rsidRPr="00A87433">
              <w:rPr>
                <w:rFonts w:ascii="Times New Roman" w:hAnsi="Times New Roman" w:cs="Times New Roman"/>
                <w:sz w:val="16"/>
                <w:szCs w:val="16"/>
              </w:rPr>
              <w:t>CHI-</w:t>
            </w:r>
            <w:proofErr w:type="gramStart"/>
            <w:r w:rsidRPr="00A87433">
              <w:rPr>
                <w:rFonts w:ascii="Times New Roman" w:hAnsi="Times New Roman" w:cs="Times New Roman"/>
                <w:sz w:val="16"/>
                <w:szCs w:val="16"/>
              </w:rPr>
              <w:t>SQ(</w:t>
            </w:r>
            <w:proofErr w:type="gramEnd"/>
            <w:r w:rsidRPr="00A87433">
              <w:rPr>
                <w:rFonts w:ascii="Times New Roman" w:hAnsi="Times New Roman" w:cs="Times New Roman"/>
                <w:sz w:val="16"/>
                <w:szCs w:val="16"/>
              </w:rPr>
              <w:t>1) = 1.3137</w:t>
            </w:r>
          </w:p>
        </w:tc>
        <w:tc>
          <w:tcPr>
            <w:tcW w:w="3375" w:type="dxa"/>
            <w:vAlign w:val="center"/>
            <w:hideMark/>
          </w:tcPr>
          <w:p w14:paraId="7CCDCD3A" w14:textId="77777777" w:rsidR="00294D85" w:rsidRPr="00A87433" w:rsidRDefault="00294D85" w:rsidP="00A87433">
            <w:pPr>
              <w:pStyle w:val="NoSpacing"/>
              <w:rPr>
                <w:rFonts w:ascii="Times New Roman" w:hAnsi="Times New Roman" w:cs="Times New Roman"/>
                <w:sz w:val="16"/>
                <w:szCs w:val="16"/>
              </w:rPr>
            </w:pPr>
            <w:proofErr w:type="gramStart"/>
            <w:r w:rsidRPr="00A87433">
              <w:rPr>
                <w:rFonts w:ascii="Times New Roman" w:hAnsi="Times New Roman" w:cs="Times New Roman"/>
                <w:sz w:val="16"/>
                <w:szCs w:val="16"/>
              </w:rPr>
              <w:t>F(</w:t>
            </w:r>
            <w:proofErr w:type="gramEnd"/>
            <w:r w:rsidRPr="00A87433">
              <w:rPr>
                <w:rFonts w:ascii="Times New Roman" w:hAnsi="Times New Roman" w:cs="Times New Roman"/>
                <w:sz w:val="16"/>
                <w:szCs w:val="16"/>
              </w:rPr>
              <w:t>1, 26) = 1.2799</w:t>
            </w:r>
          </w:p>
        </w:tc>
      </w:tr>
    </w:tbl>
    <w:p w14:paraId="7E206EA3" w14:textId="77777777" w:rsidR="00A87433" w:rsidRPr="00782EA4" w:rsidRDefault="00A87433" w:rsidP="00782EA4">
      <w:pPr>
        <w:tabs>
          <w:tab w:val="left" w:pos="2805"/>
        </w:tabs>
        <w:spacing w:after="0"/>
        <w:jc w:val="center"/>
        <w:rPr>
          <w:rFonts w:ascii="Times New Roman" w:hAnsi="Times New Roman" w:cs="Times New Roman"/>
          <w:b/>
          <w:bCs/>
          <w:szCs w:val="24"/>
        </w:rPr>
      </w:pPr>
    </w:p>
    <w:p w14:paraId="08257419" w14:textId="5D9D7F10" w:rsidR="00294D85" w:rsidRPr="00782EA4" w:rsidRDefault="00294D85" w:rsidP="00A87433">
      <w:pPr>
        <w:tabs>
          <w:tab w:val="left" w:pos="2805"/>
        </w:tabs>
        <w:spacing w:after="0"/>
        <w:jc w:val="center"/>
        <w:rPr>
          <w:rFonts w:ascii="Times New Roman" w:hAnsi="Times New Roman" w:cs="Times New Roman"/>
          <w:b/>
          <w:bCs/>
          <w:szCs w:val="24"/>
        </w:rPr>
      </w:pPr>
      <w:r w:rsidRPr="00782EA4">
        <w:rPr>
          <w:rFonts w:ascii="Times New Roman" w:hAnsi="Times New Roman" w:cs="Times New Roman"/>
          <w:b/>
          <w:bCs/>
          <w:szCs w:val="24"/>
        </w:rPr>
        <w:t>Regression Results</w:t>
      </w:r>
    </w:p>
    <w:p w14:paraId="1FE39D4E" w14:textId="6E138BFC" w:rsidR="00294D85" w:rsidRPr="00A87433" w:rsidRDefault="00294D85" w:rsidP="00A87433">
      <w:pPr>
        <w:tabs>
          <w:tab w:val="left" w:pos="2805"/>
        </w:tabs>
        <w:spacing w:after="0"/>
        <w:ind w:firstLine="709"/>
        <w:rPr>
          <w:rFonts w:ascii="Times New Roman" w:hAnsi="Times New Roman" w:cs="Times New Roman"/>
          <w:sz w:val="16"/>
          <w:szCs w:val="16"/>
        </w:rPr>
      </w:pPr>
      <w:r w:rsidRPr="00A87433">
        <w:rPr>
          <w:rFonts w:ascii="Times New Roman" w:hAnsi="Times New Roman" w:cs="Times New Roman"/>
          <w:sz w:val="16"/>
          <w:szCs w:val="16"/>
        </w:rPr>
        <w:t>Dependent Variable: </w:t>
      </w:r>
      <w:r w:rsidR="00A87433" w:rsidRPr="00A87433">
        <w:rPr>
          <w:rFonts w:ascii="Times New Roman" w:hAnsi="Times New Roman" w:cs="Times New Roman"/>
          <w:sz w:val="16"/>
          <w:szCs w:val="16"/>
        </w:rPr>
        <w:tab/>
      </w:r>
      <w:r w:rsidR="00A87433" w:rsidRPr="00A87433">
        <w:rPr>
          <w:rFonts w:ascii="Times New Roman" w:hAnsi="Times New Roman" w:cs="Times New Roman"/>
          <w:sz w:val="16"/>
          <w:szCs w:val="16"/>
        </w:rPr>
        <w:tab/>
      </w:r>
      <w:r w:rsidR="00A87433" w:rsidRPr="00A87433">
        <w:rPr>
          <w:rFonts w:ascii="Times New Roman" w:hAnsi="Times New Roman" w:cs="Times New Roman"/>
          <w:sz w:val="16"/>
          <w:szCs w:val="16"/>
        </w:rPr>
        <w:tab/>
      </w:r>
      <w:r w:rsidRPr="00A87433">
        <w:rPr>
          <w:rFonts w:ascii="Times New Roman" w:hAnsi="Times New Roman" w:cs="Times New Roman"/>
          <w:sz w:val="16"/>
          <w:szCs w:val="16"/>
        </w:rPr>
        <w:t>Per Capita Expenditure on Agriculture, Food, etc.</w:t>
      </w:r>
    </w:p>
    <w:p w14:paraId="7A1671FA" w14:textId="1917A45A" w:rsidR="00294D85" w:rsidRPr="00A87433" w:rsidRDefault="00294D85" w:rsidP="00A87433">
      <w:pPr>
        <w:tabs>
          <w:tab w:val="left" w:pos="2805"/>
        </w:tabs>
        <w:spacing w:after="0"/>
        <w:ind w:firstLine="709"/>
        <w:rPr>
          <w:rFonts w:ascii="Times New Roman" w:hAnsi="Times New Roman" w:cs="Times New Roman"/>
          <w:sz w:val="16"/>
          <w:szCs w:val="16"/>
        </w:rPr>
      </w:pPr>
      <w:r w:rsidRPr="00A87433">
        <w:rPr>
          <w:rFonts w:ascii="Times New Roman" w:hAnsi="Times New Roman" w:cs="Times New Roman"/>
          <w:sz w:val="16"/>
          <w:szCs w:val="16"/>
        </w:rPr>
        <w:t>Number Of Observations: </w:t>
      </w:r>
      <w:r w:rsidR="00A87433" w:rsidRPr="00A87433">
        <w:rPr>
          <w:rFonts w:ascii="Times New Roman" w:hAnsi="Times New Roman" w:cs="Times New Roman"/>
          <w:sz w:val="16"/>
          <w:szCs w:val="16"/>
        </w:rPr>
        <w:tab/>
      </w:r>
      <w:r w:rsidR="00A87433" w:rsidRPr="00A87433">
        <w:rPr>
          <w:rFonts w:ascii="Times New Roman" w:hAnsi="Times New Roman" w:cs="Times New Roman"/>
          <w:sz w:val="16"/>
          <w:szCs w:val="16"/>
        </w:rPr>
        <w:tab/>
      </w:r>
      <w:r w:rsidR="00A87433" w:rsidRPr="00A87433">
        <w:rPr>
          <w:rFonts w:ascii="Times New Roman" w:hAnsi="Times New Roman" w:cs="Times New Roman"/>
          <w:sz w:val="16"/>
          <w:szCs w:val="16"/>
        </w:rPr>
        <w:tab/>
      </w:r>
      <w:r w:rsidRPr="00A87433">
        <w:rPr>
          <w:rFonts w:ascii="Times New Roman" w:hAnsi="Times New Roman" w:cs="Times New Roman"/>
          <w:sz w:val="16"/>
          <w:szCs w:val="16"/>
        </w:rPr>
        <w:t>28</w:t>
      </w:r>
    </w:p>
    <w:p w14:paraId="4A1F9050" w14:textId="105AB122" w:rsidR="00294D85" w:rsidRPr="00A87433" w:rsidRDefault="00294D85" w:rsidP="00A87433">
      <w:pPr>
        <w:tabs>
          <w:tab w:val="left" w:pos="2805"/>
        </w:tabs>
        <w:spacing w:after="0"/>
        <w:ind w:firstLine="709"/>
        <w:rPr>
          <w:rFonts w:ascii="Times New Roman" w:hAnsi="Times New Roman" w:cs="Times New Roman"/>
          <w:sz w:val="22"/>
          <w:szCs w:val="22"/>
        </w:rPr>
      </w:pPr>
      <w:r w:rsidRPr="00A87433">
        <w:rPr>
          <w:rFonts w:ascii="Times New Roman" w:hAnsi="Times New Roman" w:cs="Times New Roman"/>
          <w:sz w:val="16"/>
          <w:szCs w:val="16"/>
        </w:rPr>
        <w:t>Degrees Of Freedom: </w:t>
      </w:r>
      <w:r w:rsidR="00A87433" w:rsidRPr="00A87433">
        <w:rPr>
          <w:rFonts w:ascii="Times New Roman" w:hAnsi="Times New Roman" w:cs="Times New Roman"/>
          <w:sz w:val="16"/>
          <w:szCs w:val="16"/>
        </w:rPr>
        <w:tab/>
      </w:r>
      <w:r w:rsidR="00A87433" w:rsidRPr="00A87433">
        <w:rPr>
          <w:rFonts w:ascii="Times New Roman" w:hAnsi="Times New Roman" w:cs="Times New Roman"/>
          <w:sz w:val="16"/>
          <w:szCs w:val="16"/>
        </w:rPr>
        <w:tab/>
      </w:r>
      <w:r w:rsidR="00A87433" w:rsidRPr="00A87433">
        <w:rPr>
          <w:rFonts w:ascii="Times New Roman" w:hAnsi="Times New Roman" w:cs="Times New Roman"/>
          <w:sz w:val="16"/>
          <w:szCs w:val="16"/>
        </w:rPr>
        <w:tab/>
      </w:r>
      <w:r w:rsidRPr="00A87433">
        <w:rPr>
          <w:rFonts w:ascii="Times New Roman" w:hAnsi="Times New Roman" w:cs="Times New Roman"/>
          <w:sz w:val="16"/>
          <w:szCs w:val="16"/>
        </w:rPr>
        <w:t>21</w:t>
      </w:r>
    </w:p>
    <w:tbl>
      <w:tblPr>
        <w:tblStyle w:val="TableGrid"/>
        <w:tblW w:w="9656" w:type="dxa"/>
        <w:jc w:val="center"/>
        <w:tblLook w:val="04A0" w:firstRow="1" w:lastRow="0" w:firstColumn="1" w:lastColumn="0" w:noHBand="0" w:noVBand="1"/>
      </w:tblPr>
      <w:tblGrid>
        <w:gridCol w:w="5940"/>
        <w:gridCol w:w="1041"/>
        <w:gridCol w:w="1486"/>
        <w:gridCol w:w="1189"/>
      </w:tblGrid>
      <w:tr w:rsidR="00294D85" w:rsidRPr="00263C73" w14:paraId="4BB54A96" w14:textId="77777777" w:rsidTr="00782EA4">
        <w:trPr>
          <w:trHeight w:val="46"/>
          <w:jc w:val="center"/>
        </w:trPr>
        <w:tc>
          <w:tcPr>
            <w:tcW w:w="5940" w:type="dxa"/>
            <w:vAlign w:val="center"/>
            <w:hideMark/>
          </w:tcPr>
          <w:p w14:paraId="37F016B8" w14:textId="77777777" w:rsidR="00294D85" w:rsidRPr="00263C73" w:rsidRDefault="00294D85" w:rsidP="00263C73">
            <w:pPr>
              <w:tabs>
                <w:tab w:val="left" w:pos="2805"/>
              </w:tabs>
              <w:spacing w:line="278" w:lineRule="auto"/>
              <w:jc w:val="center"/>
              <w:rPr>
                <w:rFonts w:ascii="Times New Roman" w:hAnsi="Times New Roman" w:cs="Times New Roman"/>
                <w:b/>
                <w:bCs/>
                <w:sz w:val="16"/>
                <w:szCs w:val="16"/>
              </w:rPr>
            </w:pPr>
            <w:r w:rsidRPr="00263C73">
              <w:rPr>
                <w:rFonts w:ascii="Times New Roman" w:hAnsi="Times New Roman" w:cs="Times New Roman"/>
                <w:b/>
                <w:bCs/>
                <w:sz w:val="16"/>
                <w:szCs w:val="16"/>
              </w:rPr>
              <w:t>Regressor</w:t>
            </w:r>
          </w:p>
        </w:tc>
        <w:tc>
          <w:tcPr>
            <w:tcW w:w="1041" w:type="dxa"/>
            <w:vAlign w:val="center"/>
            <w:hideMark/>
          </w:tcPr>
          <w:p w14:paraId="10A45987" w14:textId="77777777" w:rsidR="00294D85" w:rsidRPr="00263C73" w:rsidRDefault="00294D85" w:rsidP="00263C73">
            <w:pPr>
              <w:tabs>
                <w:tab w:val="left" w:pos="2805"/>
              </w:tabs>
              <w:spacing w:line="278" w:lineRule="auto"/>
              <w:jc w:val="center"/>
              <w:rPr>
                <w:rFonts w:ascii="Times New Roman" w:hAnsi="Times New Roman" w:cs="Times New Roman"/>
                <w:b/>
                <w:bCs/>
                <w:sz w:val="16"/>
                <w:szCs w:val="16"/>
              </w:rPr>
            </w:pPr>
            <w:r w:rsidRPr="00263C73">
              <w:rPr>
                <w:rFonts w:ascii="Times New Roman" w:hAnsi="Times New Roman" w:cs="Times New Roman"/>
                <w:b/>
                <w:bCs/>
                <w:sz w:val="16"/>
                <w:szCs w:val="16"/>
              </w:rPr>
              <w:t>Coefficient</w:t>
            </w:r>
          </w:p>
        </w:tc>
        <w:tc>
          <w:tcPr>
            <w:tcW w:w="1486" w:type="dxa"/>
            <w:vAlign w:val="center"/>
            <w:hideMark/>
          </w:tcPr>
          <w:p w14:paraId="0C0B4ADD" w14:textId="77777777" w:rsidR="00294D85" w:rsidRPr="00263C73" w:rsidRDefault="00294D85" w:rsidP="00263C73">
            <w:pPr>
              <w:tabs>
                <w:tab w:val="left" w:pos="2805"/>
              </w:tabs>
              <w:spacing w:line="278" w:lineRule="auto"/>
              <w:jc w:val="center"/>
              <w:rPr>
                <w:rFonts w:ascii="Times New Roman" w:hAnsi="Times New Roman" w:cs="Times New Roman"/>
                <w:b/>
                <w:bCs/>
                <w:sz w:val="16"/>
                <w:szCs w:val="16"/>
              </w:rPr>
            </w:pPr>
            <w:r w:rsidRPr="00263C73">
              <w:rPr>
                <w:rFonts w:ascii="Times New Roman" w:hAnsi="Times New Roman" w:cs="Times New Roman"/>
                <w:b/>
                <w:bCs/>
                <w:sz w:val="16"/>
                <w:szCs w:val="16"/>
              </w:rPr>
              <w:t>Standard Error</w:t>
            </w:r>
          </w:p>
        </w:tc>
        <w:tc>
          <w:tcPr>
            <w:tcW w:w="1189" w:type="dxa"/>
            <w:vAlign w:val="center"/>
            <w:hideMark/>
          </w:tcPr>
          <w:p w14:paraId="2843CA51" w14:textId="77777777" w:rsidR="00294D85" w:rsidRPr="00263C73" w:rsidRDefault="00294D85" w:rsidP="00263C73">
            <w:pPr>
              <w:tabs>
                <w:tab w:val="left" w:pos="2805"/>
              </w:tabs>
              <w:spacing w:line="278" w:lineRule="auto"/>
              <w:jc w:val="center"/>
              <w:rPr>
                <w:rFonts w:ascii="Times New Roman" w:hAnsi="Times New Roman" w:cs="Times New Roman"/>
                <w:b/>
                <w:bCs/>
                <w:sz w:val="16"/>
                <w:szCs w:val="16"/>
              </w:rPr>
            </w:pPr>
            <w:r w:rsidRPr="00263C73">
              <w:rPr>
                <w:rFonts w:ascii="Times New Roman" w:hAnsi="Times New Roman" w:cs="Times New Roman"/>
                <w:b/>
                <w:bCs/>
                <w:sz w:val="16"/>
                <w:szCs w:val="16"/>
              </w:rPr>
              <w:t>T - Ratio</w:t>
            </w:r>
          </w:p>
        </w:tc>
      </w:tr>
      <w:tr w:rsidR="00294D85" w:rsidRPr="00263C73" w14:paraId="1C32F4C8" w14:textId="77777777" w:rsidTr="00782EA4">
        <w:trPr>
          <w:trHeight w:val="46"/>
          <w:jc w:val="center"/>
        </w:trPr>
        <w:tc>
          <w:tcPr>
            <w:tcW w:w="5940" w:type="dxa"/>
            <w:vAlign w:val="center"/>
            <w:hideMark/>
          </w:tcPr>
          <w:p w14:paraId="04FB2913"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t>1. Gross cropped area per 1000 population</w:t>
            </w:r>
          </w:p>
        </w:tc>
        <w:tc>
          <w:tcPr>
            <w:tcW w:w="1041" w:type="dxa"/>
            <w:vAlign w:val="center"/>
            <w:hideMark/>
          </w:tcPr>
          <w:p w14:paraId="32636371"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0.4026</w:t>
            </w:r>
          </w:p>
        </w:tc>
        <w:tc>
          <w:tcPr>
            <w:tcW w:w="1486" w:type="dxa"/>
            <w:vAlign w:val="center"/>
            <w:hideMark/>
          </w:tcPr>
          <w:p w14:paraId="29EABFF7"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0.1242</w:t>
            </w:r>
          </w:p>
        </w:tc>
        <w:tc>
          <w:tcPr>
            <w:tcW w:w="1189" w:type="dxa"/>
            <w:vAlign w:val="center"/>
            <w:hideMark/>
          </w:tcPr>
          <w:p w14:paraId="2DD33F5F"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3.2407</w:t>
            </w:r>
          </w:p>
        </w:tc>
      </w:tr>
      <w:tr w:rsidR="00294D85" w:rsidRPr="00263C73" w14:paraId="7C78F407" w14:textId="77777777" w:rsidTr="00782EA4">
        <w:trPr>
          <w:trHeight w:val="46"/>
          <w:jc w:val="center"/>
        </w:trPr>
        <w:tc>
          <w:tcPr>
            <w:tcW w:w="5940" w:type="dxa"/>
            <w:vAlign w:val="center"/>
            <w:hideMark/>
          </w:tcPr>
          <w:p w14:paraId="69E56B41"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t>2. Number of Standard Employees for Agriculture, etc., per 1000 hectares of gross cropped area</w:t>
            </w:r>
          </w:p>
        </w:tc>
        <w:tc>
          <w:tcPr>
            <w:tcW w:w="1041" w:type="dxa"/>
            <w:vAlign w:val="center"/>
            <w:hideMark/>
          </w:tcPr>
          <w:p w14:paraId="21508B36"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0.4135</w:t>
            </w:r>
          </w:p>
        </w:tc>
        <w:tc>
          <w:tcPr>
            <w:tcW w:w="1486" w:type="dxa"/>
            <w:vAlign w:val="center"/>
            <w:hideMark/>
          </w:tcPr>
          <w:p w14:paraId="29F94DFE"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0.1132</w:t>
            </w:r>
          </w:p>
        </w:tc>
        <w:tc>
          <w:tcPr>
            <w:tcW w:w="1189" w:type="dxa"/>
            <w:vAlign w:val="center"/>
            <w:hideMark/>
          </w:tcPr>
          <w:p w14:paraId="5C31C5AA"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3.6527</w:t>
            </w:r>
          </w:p>
        </w:tc>
      </w:tr>
      <w:tr w:rsidR="00294D85" w:rsidRPr="00263C73" w14:paraId="5C6FC973" w14:textId="77777777" w:rsidTr="00782EA4">
        <w:trPr>
          <w:trHeight w:val="46"/>
          <w:jc w:val="center"/>
        </w:trPr>
        <w:tc>
          <w:tcPr>
            <w:tcW w:w="5940" w:type="dxa"/>
            <w:vAlign w:val="center"/>
            <w:hideMark/>
          </w:tcPr>
          <w:p w14:paraId="4736B89D"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lastRenderedPageBreak/>
              <w:t>3. Proportion of area under High Yielding Varieties of cereals to gross cropped area</w:t>
            </w:r>
          </w:p>
        </w:tc>
        <w:tc>
          <w:tcPr>
            <w:tcW w:w="1041" w:type="dxa"/>
            <w:vAlign w:val="center"/>
            <w:hideMark/>
          </w:tcPr>
          <w:p w14:paraId="1955337B"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0.3318</w:t>
            </w:r>
          </w:p>
        </w:tc>
        <w:tc>
          <w:tcPr>
            <w:tcW w:w="1486" w:type="dxa"/>
            <w:vAlign w:val="center"/>
            <w:hideMark/>
          </w:tcPr>
          <w:p w14:paraId="74A4C45B"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0.1028</w:t>
            </w:r>
          </w:p>
        </w:tc>
        <w:tc>
          <w:tcPr>
            <w:tcW w:w="1189" w:type="dxa"/>
            <w:vAlign w:val="center"/>
            <w:hideMark/>
          </w:tcPr>
          <w:p w14:paraId="700DCC9E"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3.2259</w:t>
            </w:r>
          </w:p>
        </w:tc>
      </w:tr>
      <w:tr w:rsidR="00294D85" w:rsidRPr="00263C73" w14:paraId="1F670D99" w14:textId="77777777" w:rsidTr="00782EA4">
        <w:trPr>
          <w:trHeight w:val="46"/>
          <w:jc w:val="center"/>
        </w:trPr>
        <w:tc>
          <w:tcPr>
            <w:tcW w:w="5940" w:type="dxa"/>
            <w:vAlign w:val="center"/>
            <w:hideMark/>
          </w:tcPr>
          <w:p w14:paraId="47902AF3"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t>4. Proportion of area under Commercial crops to gross cropped area</w:t>
            </w:r>
          </w:p>
        </w:tc>
        <w:tc>
          <w:tcPr>
            <w:tcW w:w="1041" w:type="dxa"/>
            <w:vAlign w:val="center"/>
            <w:hideMark/>
          </w:tcPr>
          <w:p w14:paraId="00CC94E2"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0.4344</w:t>
            </w:r>
          </w:p>
        </w:tc>
        <w:tc>
          <w:tcPr>
            <w:tcW w:w="1486" w:type="dxa"/>
            <w:vAlign w:val="center"/>
            <w:hideMark/>
          </w:tcPr>
          <w:p w14:paraId="43784518"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0.0908</w:t>
            </w:r>
          </w:p>
        </w:tc>
        <w:tc>
          <w:tcPr>
            <w:tcW w:w="1189" w:type="dxa"/>
            <w:vAlign w:val="center"/>
            <w:hideMark/>
          </w:tcPr>
          <w:p w14:paraId="77FF7CE3"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4.7824</w:t>
            </w:r>
          </w:p>
        </w:tc>
      </w:tr>
      <w:tr w:rsidR="00294D85" w:rsidRPr="00263C73" w14:paraId="541EEEE3" w14:textId="77777777" w:rsidTr="00782EA4">
        <w:trPr>
          <w:trHeight w:val="46"/>
          <w:jc w:val="center"/>
        </w:trPr>
        <w:tc>
          <w:tcPr>
            <w:tcW w:w="5940" w:type="dxa"/>
            <w:vAlign w:val="center"/>
            <w:hideMark/>
          </w:tcPr>
          <w:p w14:paraId="4F81673F"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t>5. Price differences</w:t>
            </w:r>
          </w:p>
        </w:tc>
        <w:tc>
          <w:tcPr>
            <w:tcW w:w="1041" w:type="dxa"/>
            <w:vAlign w:val="center"/>
            <w:hideMark/>
          </w:tcPr>
          <w:p w14:paraId="3262AC5C"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0.8429</w:t>
            </w:r>
          </w:p>
        </w:tc>
        <w:tc>
          <w:tcPr>
            <w:tcW w:w="1486" w:type="dxa"/>
            <w:vAlign w:val="center"/>
            <w:hideMark/>
          </w:tcPr>
          <w:p w14:paraId="0E7B2269"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0.0777</w:t>
            </w:r>
          </w:p>
        </w:tc>
        <w:tc>
          <w:tcPr>
            <w:tcW w:w="1189" w:type="dxa"/>
            <w:vAlign w:val="center"/>
            <w:hideMark/>
          </w:tcPr>
          <w:p w14:paraId="24E3D995"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10.8468</w:t>
            </w:r>
          </w:p>
        </w:tc>
      </w:tr>
      <w:tr w:rsidR="00294D85" w:rsidRPr="00263C73" w14:paraId="35C1C9AC" w14:textId="77777777" w:rsidTr="00782EA4">
        <w:trPr>
          <w:trHeight w:val="46"/>
          <w:jc w:val="center"/>
        </w:trPr>
        <w:tc>
          <w:tcPr>
            <w:tcW w:w="5940" w:type="dxa"/>
            <w:vAlign w:val="center"/>
            <w:hideMark/>
          </w:tcPr>
          <w:p w14:paraId="41BF586D"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t>Time period (1981-82 to 1983-84)</w:t>
            </w:r>
          </w:p>
        </w:tc>
        <w:tc>
          <w:tcPr>
            <w:tcW w:w="1041" w:type="dxa"/>
            <w:vAlign w:val="center"/>
            <w:hideMark/>
          </w:tcPr>
          <w:p w14:paraId="64B01EE5"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0.1878</w:t>
            </w:r>
          </w:p>
        </w:tc>
        <w:tc>
          <w:tcPr>
            <w:tcW w:w="1486" w:type="dxa"/>
            <w:vAlign w:val="center"/>
            <w:hideMark/>
          </w:tcPr>
          <w:p w14:paraId="539E141A"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0.0957</w:t>
            </w:r>
          </w:p>
        </w:tc>
        <w:tc>
          <w:tcPr>
            <w:tcW w:w="1189" w:type="dxa"/>
            <w:vAlign w:val="center"/>
            <w:hideMark/>
          </w:tcPr>
          <w:p w14:paraId="72760C46"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1.9624</w:t>
            </w:r>
          </w:p>
        </w:tc>
      </w:tr>
      <w:tr w:rsidR="00294D85" w:rsidRPr="00263C73" w14:paraId="5BF04B97" w14:textId="77777777" w:rsidTr="00782EA4">
        <w:trPr>
          <w:trHeight w:val="46"/>
          <w:jc w:val="center"/>
        </w:trPr>
        <w:tc>
          <w:tcPr>
            <w:tcW w:w="5940" w:type="dxa"/>
            <w:vAlign w:val="center"/>
            <w:hideMark/>
          </w:tcPr>
          <w:p w14:paraId="6662A938" w14:textId="77777777" w:rsidR="00294D85" w:rsidRPr="00263C73" w:rsidRDefault="00294D85" w:rsidP="00263C73">
            <w:pPr>
              <w:tabs>
                <w:tab w:val="left" w:pos="2805"/>
              </w:tabs>
              <w:spacing w:line="278" w:lineRule="auto"/>
              <w:rPr>
                <w:rFonts w:ascii="Times New Roman" w:hAnsi="Times New Roman" w:cs="Times New Roman"/>
                <w:sz w:val="16"/>
                <w:szCs w:val="16"/>
              </w:rPr>
            </w:pPr>
            <w:r w:rsidRPr="00263C73">
              <w:rPr>
                <w:rFonts w:ascii="Times New Roman" w:hAnsi="Times New Roman" w:cs="Times New Roman"/>
                <w:sz w:val="16"/>
                <w:szCs w:val="16"/>
              </w:rPr>
              <w:t>Time period (1984-85 to 1986-87)</w:t>
            </w:r>
          </w:p>
        </w:tc>
        <w:tc>
          <w:tcPr>
            <w:tcW w:w="1041" w:type="dxa"/>
            <w:vAlign w:val="center"/>
            <w:hideMark/>
          </w:tcPr>
          <w:p w14:paraId="7202AC19"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-0.1570</w:t>
            </w:r>
          </w:p>
        </w:tc>
        <w:tc>
          <w:tcPr>
            <w:tcW w:w="1486" w:type="dxa"/>
            <w:vAlign w:val="center"/>
            <w:hideMark/>
          </w:tcPr>
          <w:p w14:paraId="6B91245B"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0.0999</w:t>
            </w:r>
          </w:p>
        </w:tc>
        <w:tc>
          <w:tcPr>
            <w:tcW w:w="1189" w:type="dxa"/>
            <w:vAlign w:val="center"/>
            <w:hideMark/>
          </w:tcPr>
          <w:p w14:paraId="3A2C98D7" w14:textId="77777777" w:rsidR="00294D85" w:rsidRPr="00263C73" w:rsidRDefault="00294D85" w:rsidP="00263C73">
            <w:pPr>
              <w:tabs>
                <w:tab w:val="left" w:pos="2805"/>
              </w:tabs>
              <w:spacing w:line="278" w:lineRule="auto"/>
              <w:jc w:val="center"/>
              <w:rPr>
                <w:rFonts w:ascii="Times New Roman" w:hAnsi="Times New Roman" w:cs="Times New Roman"/>
                <w:sz w:val="16"/>
                <w:szCs w:val="16"/>
              </w:rPr>
            </w:pPr>
            <w:r w:rsidRPr="00263C73">
              <w:rPr>
                <w:rFonts w:ascii="Times New Roman" w:hAnsi="Times New Roman" w:cs="Times New Roman"/>
                <w:sz w:val="16"/>
                <w:szCs w:val="16"/>
              </w:rPr>
              <w:t>-1.5710</w:t>
            </w:r>
          </w:p>
        </w:tc>
      </w:tr>
    </w:tbl>
    <w:p w14:paraId="5D442141" w14:textId="7504DBE0" w:rsidR="00782EA4" w:rsidRPr="00782EA4" w:rsidRDefault="00782EA4" w:rsidP="00782EA4">
      <w:pPr>
        <w:tabs>
          <w:tab w:val="left" w:pos="2805"/>
        </w:tabs>
        <w:spacing w:after="0"/>
        <w:ind w:left="720"/>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0.8027</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Residual Sum of Squares</w:t>
      </w:r>
      <w:r w:rsidRPr="00782EA4">
        <w:rPr>
          <w:rFonts w:ascii="Times New Roman" w:hAnsi="Times New Roman" w:cs="Times New Roman"/>
          <w:sz w:val="18"/>
          <w:szCs w:val="18"/>
        </w:rPr>
        <w:tab/>
        <w:t>0.6514</w:t>
      </w:r>
    </w:p>
    <w:p w14:paraId="2C90D7BE" w14:textId="56741856" w:rsidR="00294D85" w:rsidRPr="00782EA4" w:rsidRDefault="00782EA4" w:rsidP="00782EA4">
      <w:pPr>
        <w:tabs>
          <w:tab w:val="left" w:pos="2805"/>
        </w:tabs>
        <w:spacing w:after="0"/>
        <w:ind w:left="720"/>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0.7463</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S.E. of Regression</w:t>
      </w:r>
      <w:r w:rsidRPr="00782EA4">
        <w:rPr>
          <w:rFonts w:ascii="Times New Roman" w:hAnsi="Times New Roman" w:cs="Times New Roman"/>
          <w:sz w:val="18"/>
          <w:szCs w:val="18"/>
        </w:rPr>
        <w:tab/>
        <w:t>0.1761</w:t>
      </w:r>
    </w:p>
    <w:p w14:paraId="2C8D23A3" w14:textId="0EAE2195" w:rsidR="00294D85" w:rsidRPr="00245ABB" w:rsidRDefault="00294D85" w:rsidP="00A87433">
      <w:pPr>
        <w:tabs>
          <w:tab w:val="left" w:pos="2805"/>
        </w:tabs>
        <w:spacing w:before="240" w:after="0"/>
        <w:jc w:val="center"/>
        <w:rPr>
          <w:rFonts w:ascii="Times New Roman" w:hAnsi="Times New Roman" w:cs="Times New Roman"/>
          <w:sz w:val="20"/>
          <w:szCs w:val="20"/>
        </w:rPr>
      </w:pPr>
      <w:r w:rsidRPr="00245ABB">
        <w:rPr>
          <w:rFonts w:ascii="Times New Roman" w:hAnsi="Times New Roman" w:cs="Times New Roman"/>
          <w:b/>
          <w:bCs/>
          <w:sz w:val="20"/>
          <w:szCs w:val="20"/>
        </w:rPr>
        <w:t>Diagnostic Tests</w:t>
      </w:r>
    </w:p>
    <w:tbl>
      <w:tblPr>
        <w:tblStyle w:val="TableGrid"/>
        <w:tblW w:w="9726" w:type="dxa"/>
        <w:jc w:val="center"/>
        <w:tblLook w:val="04A0" w:firstRow="1" w:lastRow="0" w:firstColumn="1" w:lastColumn="0" w:noHBand="0" w:noVBand="1"/>
      </w:tblPr>
      <w:tblGrid>
        <w:gridCol w:w="2629"/>
        <w:gridCol w:w="3448"/>
        <w:gridCol w:w="3649"/>
      </w:tblGrid>
      <w:tr w:rsidR="00294D85" w:rsidRPr="00782EA4" w14:paraId="63813D56" w14:textId="77777777" w:rsidTr="00782EA4">
        <w:trPr>
          <w:trHeight w:val="132"/>
          <w:jc w:val="center"/>
        </w:trPr>
        <w:tc>
          <w:tcPr>
            <w:tcW w:w="2629" w:type="dxa"/>
            <w:vAlign w:val="center"/>
            <w:hideMark/>
          </w:tcPr>
          <w:p w14:paraId="3D9CE4BB" w14:textId="77777777" w:rsidR="00294D85" w:rsidRPr="00782EA4" w:rsidRDefault="00294D85" w:rsidP="00F47469">
            <w:pPr>
              <w:tabs>
                <w:tab w:val="left" w:pos="2805"/>
              </w:tabs>
              <w:spacing w:line="278" w:lineRule="auto"/>
              <w:jc w:val="center"/>
              <w:rPr>
                <w:rFonts w:ascii="Times New Roman" w:hAnsi="Times New Roman" w:cs="Times New Roman"/>
                <w:b/>
                <w:bCs/>
                <w:sz w:val="16"/>
                <w:szCs w:val="16"/>
              </w:rPr>
            </w:pPr>
            <w:r w:rsidRPr="00782EA4">
              <w:rPr>
                <w:rFonts w:ascii="Times New Roman" w:hAnsi="Times New Roman" w:cs="Times New Roman"/>
                <w:b/>
                <w:bCs/>
                <w:sz w:val="16"/>
                <w:szCs w:val="16"/>
              </w:rPr>
              <w:t>Test Statistics</w:t>
            </w:r>
          </w:p>
        </w:tc>
        <w:tc>
          <w:tcPr>
            <w:tcW w:w="3448" w:type="dxa"/>
            <w:vAlign w:val="center"/>
            <w:hideMark/>
          </w:tcPr>
          <w:p w14:paraId="46FF9C78" w14:textId="77777777" w:rsidR="00294D85" w:rsidRPr="00782EA4" w:rsidRDefault="00294D85" w:rsidP="00F47469">
            <w:pPr>
              <w:tabs>
                <w:tab w:val="left" w:pos="2805"/>
              </w:tabs>
              <w:spacing w:line="278" w:lineRule="auto"/>
              <w:jc w:val="center"/>
              <w:rPr>
                <w:rFonts w:ascii="Times New Roman" w:hAnsi="Times New Roman" w:cs="Times New Roman"/>
                <w:b/>
                <w:bCs/>
                <w:sz w:val="16"/>
                <w:szCs w:val="16"/>
              </w:rPr>
            </w:pPr>
            <w:r w:rsidRPr="00782EA4">
              <w:rPr>
                <w:rFonts w:ascii="Times New Roman" w:hAnsi="Times New Roman" w:cs="Times New Roman"/>
                <w:b/>
                <w:bCs/>
                <w:sz w:val="16"/>
                <w:szCs w:val="16"/>
              </w:rPr>
              <w:t>LM Version</w:t>
            </w:r>
          </w:p>
        </w:tc>
        <w:tc>
          <w:tcPr>
            <w:tcW w:w="3649" w:type="dxa"/>
            <w:vAlign w:val="center"/>
            <w:hideMark/>
          </w:tcPr>
          <w:p w14:paraId="57228CD2" w14:textId="77777777" w:rsidR="00294D85" w:rsidRPr="00782EA4" w:rsidRDefault="00294D85" w:rsidP="00F47469">
            <w:pPr>
              <w:tabs>
                <w:tab w:val="left" w:pos="2805"/>
              </w:tabs>
              <w:spacing w:line="278" w:lineRule="auto"/>
              <w:jc w:val="center"/>
              <w:rPr>
                <w:rFonts w:ascii="Times New Roman" w:hAnsi="Times New Roman" w:cs="Times New Roman"/>
                <w:b/>
                <w:bCs/>
                <w:sz w:val="16"/>
                <w:szCs w:val="16"/>
              </w:rPr>
            </w:pPr>
            <w:r w:rsidRPr="00782EA4">
              <w:rPr>
                <w:rFonts w:ascii="Times New Roman" w:hAnsi="Times New Roman" w:cs="Times New Roman"/>
                <w:b/>
                <w:bCs/>
                <w:sz w:val="16"/>
                <w:szCs w:val="16"/>
              </w:rPr>
              <w:t>F Version</w:t>
            </w:r>
          </w:p>
        </w:tc>
      </w:tr>
      <w:tr w:rsidR="00294D85" w:rsidRPr="00782EA4" w14:paraId="0485068D" w14:textId="77777777" w:rsidTr="00782EA4">
        <w:trPr>
          <w:trHeight w:val="132"/>
          <w:jc w:val="center"/>
        </w:trPr>
        <w:tc>
          <w:tcPr>
            <w:tcW w:w="2629" w:type="dxa"/>
            <w:vAlign w:val="center"/>
            <w:hideMark/>
          </w:tcPr>
          <w:p w14:paraId="701AFF68" w14:textId="77777777" w:rsidR="00294D85" w:rsidRPr="00782EA4" w:rsidRDefault="00294D85" w:rsidP="00F47469">
            <w:pPr>
              <w:tabs>
                <w:tab w:val="left" w:pos="2805"/>
              </w:tabs>
              <w:spacing w:line="278" w:lineRule="auto"/>
              <w:rPr>
                <w:rFonts w:ascii="Times New Roman" w:hAnsi="Times New Roman" w:cs="Times New Roman"/>
                <w:sz w:val="16"/>
                <w:szCs w:val="16"/>
              </w:rPr>
            </w:pPr>
            <w:r w:rsidRPr="00782EA4">
              <w:rPr>
                <w:rFonts w:ascii="Times New Roman" w:hAnsi="Times New Roman" w:cs="Times New Roman"/>
                <w:b/>
                <w:bCs/>
                <w:sz w:val="16"/>
                <w:szCs w:val="16"/>
              </w:rPr>
              <w:t>A: Serial Correlation</w:t>
            </w:r>
          </w:p>
        </w:tc>
        <w:tc>
          <w:tcPr>
            <w:tcW w:w="3448" w:type="dxa"/>
            <w:vAlign w:val="center"/>
            <w:hideMark/>
          </w:tcPr>
          <w:p w14:paraId="56C51996"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r w:rsidRPr="00782EA4">
              <w:rPr>
                <w:rFonts w:ascii="Times New Roman" w:hAnsi="Times New Roman" w:cs="Times New Roman"/>
                <w:sz w:val="16"/>
                <w:szCs w:val="16"/>
              </w:rPr>
              <w:t>CHI-</w:t>
            </w:r>
            <w:proofErr w:type="gramStart"/>
            <w:r w:rsidRPr="00782EA4">
              <w:rPr>
                <w:rFonts w:ascii="Times New Roman" w:hAnsi="Times New Roman" w:cs="Times New Roman"/>
                <w:sz w:val="16"/>
                <w:szCs w:val="16"/>
              </w:rPr>
              <w:t>SQ(</w:t>
            </w:r>
            <w:proofErr w:type="gramEnd"/>
            <w:r w:rsidRPr="00782EA4">
              <w:rPr>
                <w:rFonts w:ascii="Times New Roman" w:hAnsi="Times New Roman" w:cs="Times New Roman"/>
                <w:sz w:val="16"/>
                <w:szCs w:val="16"/>
              </w:rPr>
              <w:t>1) = 1.0309</w:t>
            </w:r>
          </w:p>
        </w:tc>
        <w:tc>
          <w:tcPr>
            <w:tcW w:w="3649" w:type="dxa"/>
            <w:vAlign w:val="center"/>
            <w:hideMark/>
          </w:tcPr>
          <w:p w14:paraId="62738368"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proofErr w:type="gramStart"/>
            <w:r w:rsidRPr="00782EA4">
              <w:rPr>
                <w:rFonts w:ascii="Times New Roman" w:hAnsi="Times New Roman" w:cs="Times New Roman"/>
                <w:sz w:val="16"/>
                <w:szCs w:val="16"/>
              </w:rPr>
              <w:t>F(</w:t>
            </w:r>
            <w:proofErr w:type="gramEnd"/>
            <w:r w:rsidRPr="00782EA4">
              <w:rPr>
                <w:rFonts w:ascii="Times New Roman" w:hAnsi="Times New Roman" w:cs="Times New Roman"/>
                <w:sz w:val="16"/>
                <w:szCs w:val="16"/>
              </w:rPr>
              <w:t>1, 20) = 0.7645</w:t>
            </w:r>
          </w:p>
        </w:tc>
      </w:tr>
      <w:tr w:rsidR="00294D85" w:rsidRPr="00782EA4" w14:paraId="5B57D823" w14:textId="77777777" w:rsidTr="00782EA4">
        <w:trPr>
          <w:trHeight w:val="132"/>
          <w:jc w:val="center"/>
        </w:trPr>
        <w:tc>
          <w:tcPr>
            <w:tcW w:w="2629" w:type="dxa"/>
            <w:vAlign w:val="center"/>
            <w:hideMark/>
          </w:tcPr>
          <w:p w14:paraId="7E58F38F" w14:textId="77777777" w:rsidR="00294D85" w:rsidRPr="00782EA4" w:rsidRDefault="00294D85" w:rsidP="00F47469">
            <w:pPr>
              <w:tabs>
                <w:tab w:val="left" w:pos="2805"/>
              </w:tabs>
              <w:spacing w:line="278" w:lineRule="auto"/>
              <w:rPr>
                <w:rFonts w:ascii="Times New Roman" w:hAnsi="Times New Roman" w:cs="Times New Roman"/>
                <w:sz w:val="16"/>
                <w:szCs w:val="16"/>
              </w:rPr>
            </w:pPr>
            <w:r w:rsidRPr="00782EA4">
              <w:rPr>
                <w:rFonts w:ascii="Times New Roman" w:hAnsi="Times New Roman" w:cs="Times New Roman"/>
                <w:b/>
                <w:bCs/>
                <w:sz w:val="16"/>
                <w:szCs w:val="16"/>
              </w:rPr>
              <w:t>B: Functional Form</w:t>
            </w:r>
          </w:p>
        </w:tc>
        <w:tc>
          <w:tcPr>
            <w:tcW w:w="3448" w:type="dxa"/>
            <w:vAlign w:val="center"/>
            <w:hideMark/>
          </w:tcPr>
          <w:p w14:paraId="3584B8D3"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r w:rsidRPr="00782EA4">
              <w:rPr>
                <w:rFonts w:ascii="Times New Roman" w:hAnsi="Times New Roman" w:cs="Times New Roman"/>
                <w:sz w:val="16"/>
                <w:szCs w:val="16"/>
              </w:rPr>
              <w:t>CHI-</w:t>
            </w:r>
            <w:proofErr w:type="gramStart"/>
            <w:r w:rsidRPr="00782EA4">
              <w:rPr>
                <w:rFonts w:ascii="Times New Roman" w:hAnsi="Times New Roman" w:cs="Times New Roman"/>
                <w:sz w:val="16"/>
                <w:szCs w:val="16"/>
              </w:rPr>
              <w:t>SQ(</w:t>
            </w:r>
            <w:proofErr w:type="gramEnd"/>
            <w:r w:rsidRPr="00782EA4">
              <w:rPr>
                <w:rFonts w:ascii="Times New Roman" w:hAnsi="Times New Roman" w:cs="Times New Roman"/>
                <w:sz w:val="16"/>
                <w:szCs w:val="16"/>
              </w:rPr>
              <w:t>1) = 1.6213</w:t>
            </w:r>
          </w:p>
        </w:tc>
        <w:tc>
          <w:tcPr>
            <w:tcW w:w="3649" w:type="dxa"/>
            <w:vAlign w:val="center"/>
            <w:hideMark/>
          </w:tcPr>
          <w:p w14:paraId="3FB34481"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proofErr w:type="gramStart"/>
            <w:r w:rsidRPr="00782EA4">
              <w:rPr>
                <w:rFonts w:ascii="Times New Roman" w:hAnsi="Times New Roman" w:cs="Times New Roman"/>
                <w:sz w:val="16"/>
                <w:szCs w:val="16"/>
              </w:rPr>
              <w:t>F(</w:t>
            </w:r>
            <w:proofErr w:type="gramEnd"/>
            <w:r w:rsidRPr="00782EA4">
              <w:rPr>
                <w:rFonts w:ascii="Times New Roman" w:hAnsi="Times New Roman" w:cs="Times New Roman"/>
                <w:sz w:val="16"/>
                <w:szCs w:val="16"/>
              </w:rPr>
              <w:t>1, 20) = 1.2292</w:t>
            </w:r>
          </w:p>
        </w:tc>
      </w:tr>
      <w:tr w:rsidR="00294D85" w:rsidRPr="00782EA4" w14:paraId="7934309F" w14:textId="77777777" w:rsidTr="00782EA4">
        <w:trPr>
          <w:trHeight w:val="132"/>
          <w:jc w:val="center"/>
        </w:trPr>
        <w:tc>
          <w:tcPr>
            <w:tcW w:w="2629" w:type="dxa"/>
            <w:vAlign w:val="center"/>
            <w:hideMark/>
          </w:tcPr>
          <w:p w14:paraId="540B974C" w14:textId="77777777" w:rsidR="00294D85" w:rsidRPr="00782EA4" w:rsidRDefault="00294D85" w:rsidP="00F47469">
            <w:pPr>
              <w:tabs>
                <w:tab w:val="left" w:pos="2805"/>
              </w:tabs>
              <w:spacing w:line="278" w:lineRule="auto"/>
              <w:rPr>
                <w:rFonts w:ascii="Times New Roman" w:hAnsi="Times New Roman" w:cs="Times New Roman"/>
                <w:sz w:val="16"/>
                <w:szCs w:val="16"/>
              </w:rPr>
            </w:pPr>
            <w:r w:rsidRPr="00782EA4">
              <w:rPr>
                <w:rFonts w:ascii="Times New Roman" w:hAnsi="Times New Roman" w:cs="Times New Roman"/>
                <w:b/>
                <w:bCs/>
                <w:sz w:val="16"/>
                <w:szCs w:val="16"/>
              </w:rPr>
              <w:t>C: Normality</w:t>
            </w:r>
          </w:p>
        </w:tc>
        <w:tc>
          <w:tcPr>
            <w:tcW w:w="3448" w:type="dxa"/>
            <w:vAlign w:val="center"/>
            <w:hideMark/>
          </w:tcPr>
          <w:p w14:paraId="5BB81D9E"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r w:rsidRPr="00782EA4">
              <w:rPr>
                <w:rFonts w:ascii="Times New Roman" w:hAnsi="Times New Roman" w:cs="Times New Roman"/>
                <w:sz w:val="16"/>
                <w:szCs w:val="16"/>
              </w:rPr>
              <w:t>CHI-</w:t>
            </w:r>
            <w:proofErr w:type="gramStart"/>
            <w:r w:rsidRPr="00782EA4">
              <w:rPr>
                <w:rFonts w:ascii="Times New Roman" w:hAnsi="Times New Roman" w:cs="Times New Roman"/>
                <w:sz w:val="16"/>
                <w:szCs w:val="16"/>
              </w:rPr>
              <w:t>SQ(</w:t>
            </w:r>
            <w:proofErr w:type="gramEnd"/>
            <w:r w:rsidRPr="00782EA4">
              <w:rPr>
                <w:rFonts w:ascii="Times New Roman" w:hAnsi="Times New Roman" w:cs="Times New Roman"/>
                <w:sz w:val="16"/>
                <w:szCs w:val="16"/>
              </w:rPr>
              <w:t>2) = 1.3847</w:t>
            </w:r>
          </w:p>
        </w:tc>
        <w:tc>
          <w:tcPr>
            <w:tcW w:w="3649" w:type="dxa"/>
            <w:vAlign w:val="center"/>
            <w:hideMark/>
          </w:tcPr>
          <w:p w14:paraId="41551C87"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r w:rsidRPr="00782EA4">
              <w:rPr>
                <w:rFonts w:ascii="Times New Roman" w:hAnsi="Times New Roman" w:cs="Times New Roman"/>
                <w:sz w:val="16"/>
                <w:szCs w:val="16"/>
              </w:rPr>
              <w:t>Not Applicable</w:t>
            </w:r>
          </w:p>
        </w:tc>
      </w:tr>
      <w:tr w:rsidR="00294D85" w:rsidRPr="00782EA4" w14:paraId="27481007" w14:textId="77777777" w:rsidTr="00782EA4">
        <w:trPr>
          <w:trHeight w:val="132"/>
          <w:jc w:val="center"/>
        </w:trPr>
        <w:tc>
          <w:tcPr>
            <w:tcW w:w="2629" w:type="dxa"/>
            <w:vAlign w:val="center"/>
            <w:hideMark/>
          </w:tcPr>
          <w:p w14:paraId="623A2BD6" w14:textId="77777777" w:rsidR="00294D85" w:rsidRPr="00782EA4" w:rsidRDefault="00294D85" w:rsidP="00F47469">
            <w:pPr>
              <w:tabs>
                <w:tab w:val="left" w:pos="2805"/>
              </w:tabs>
              <w:spacing w:line="278" w:lineRule="auto"/>
              <w:rPr>
                <w:rFonts w:ascii="Times New Roman" w:hAnsi="Times New Roman" w:cs="Times New Roman"/>
                <w:sz w:val="16"/>
                <w:szCs w:val="16"/>
              </w:rPr>
            </w:pPr>
            <w:r w:rsidRPr="00782EA4">
              <w:rPr>
                <w:rFonts w:ascii="Times New Roman" w:hAnsi="Times New Roman" w:cs="Times New Roman"/>
                <w:b/>
                <w:bCs/>
                <w:sz w:val="16"/>
                <w:szCs w:val="16"/>
              </w:rPr>
              <w:t>D: Heteroscedasticity</w:t>
            </w:r>
          </w:p>
        </w:tc>
        <w:tc>
          <w:tcPr>
            <w:tcW w:w="3448" w:type="dxa"/>
            <w:vAlign w:val="center"/>
            <w:hideMark/>
          </w:tcPr>
          <w:p w14:paraId="6CB0961E"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r w:rsidRPr="00782EA4">
              <w:rPr>
                <w:rFonts w:ascii="Times New Roman" w:hAnsi="Times New Roman" w:cs="Times New Roman"/>
                <w:sz w:val="16"/>
                <w:szCs w:val="16"/>
              </w:rPr>
              <w:t>CHI-</w:t>
            </w:r>
            <w:proofErr w:type="gramStart"/>
            <w:r w:rsidRPr="00782EA4">
              <w:rPr>
                <w:rFonts w:ascii="Times New Roman" w:hAnsi="Times New Roman" w:cs="Times New Roman"/>
                <w:sz w:val="16"/>
                <w:szCs w:val="16"/>
              </w:rPr>
              <w:t>SQ(</w:t>
            </w:r>
            <w:proofErr w:type="gramEnd"/>
            <w:r w:rsidRPr="00782EA4">
              <w:rPr>
                <w:rFonts w:ascii="Times New Roman" w:hAnsi="Times New Roman" w:cs="Times New Roman"/>
                <w:sz w:val="16"/>
                <w:szCs w:val="16"/>
              </w:rPr>
              <w:t>1) = 0.0925</w:t>
            </w:r>
          </w:p>
        </w:tc>
        <w:tc>
          <w:tcPr>
            <w:tcW w:w="3649" w:type="dxa"/>
            <w:vAlign w:val="center"/>
            <w:hideMark/>
          </w:tcPr>
          <w:p w14:paraId="4D7BF3E2" w14:textId="77777777" w:rsidR="00294D85" w:rsidRPr="00782EA4" w:rsidRDefault="00294D85" w:rsidP="00F47469">
            <w:pPr>
              <w:tabs>
                <w:tab w:val="left" w:pos="2805"/>
              </w:tabs>
              <w:spacing w:line="278" w:lineRule="auto"/>
              <w:jc w:val="center"/>
              <w:rPr>
                <w:rFonts w:ascii="Times New Roman" w:hAnsi="Times New Roman" w:cs="Times New Roman"/>
                <w:sz w:val="16"/>
                <w:szCs w:val="16"/>
              </w:rPr>
            </w:pPr>
            <w:proofErr w:type="gramStart"/>
            <w:r w:rsidRPr="00782EA4">
              <w:rPr>
                <w:rFonts w:ascii="Times New Roman" w:hAnsi="Times New Roman" w:cs="Times New Roman"/>
                <w:sz w:val="16"/>
                <w:szCs w:val="16"/>
              </w:rPr>
              <w:t>F(</w:t>
            </w:r>
            <w:proofErr w:type="gramEnd"/>
            <w:r w:rsidRPr="00782EA4">
              <w:rPr>
                <w:rFonts w:ascii="Times New Roman" w:hAnsi="Times New Roman" w:cs="Times New Roman"/>
                <w:sz w:val="16"/>
                <w:szCs w:val="16"/>
              </w:rPr>
              <w:t>1, 26) = 0.0861</w:t>
            </w:r>
          </w:p>
        </w:tc>
      </w:tr>
    </w:tbl>
    <w:p w14:paraId="350B7B50" w14:textId="77777777" w:rsidR="00F64FEC" w:rsidRDefault="00F64FEC" w:rsidP="00294D85">
      <w:pPr>
        <w:tabs>
          <w:tab w:val="left" w:pos="2805"/>
        </w:tabs>
        <w:jc w:val="center"/>
        <w:rPr>
          <w:rFonts w:ascii="Times New Roman" w:hAnsi="Times New Roman" w:cs="Times New Roman"/>
          <w:b/>
          <w:bCs/>
          <w:sz w:val="20"/>
          <w:szCs w:val="20"/>
        </w:rPr>
      </w:pPr>
    </w:p>
    <w:p w14:paraId="129B97BD" w14:textId="2178DEE3" w:rsidR="00294D85" w:rsidRPr="00782EA4" w:rsidRDefault="00294D85" w:rsidP="00F64FEC">
      <w:pPr>
        <w:tabs>
          <w:tab w:val="left" w:pos="2805"/>
        </w:tabs>
        <w:spacing w:after="0"/>
        <w:jc w:val="center"/>
        <w:rPr>
          <w:rFonts w:ascii="Times New Roman" w:hAnsi="Times New Roman" w:cs="Times New Roman"/>
          <w:b/>
          <w:bCs/>
          <w:szCs w:val="24"/>
        </w:rPr>
      </w:pPr>
      <w:r w:rsidRPr="00782EA4">
        <w:rPr>
          <w:rFonts w:ascii="Times New Roman" w:hAnsi="Times New Roman" w:cs="Times New Roman"/>
          <w:b/>
          <w:bCs/>
          <w:szCs w:val="24"/>
        </w:rPr>
        <w:t>Regression Results</w:t>
      </w:r>
    </w:p>
    <w:p w14:paraId="7618F42A" w14:textId="6EC5CF6A" w:rsidR="00294D85" w:rsidRPr="00F47469" w:rsidRDefault="00294D85" w:rsidP="00F64FEC">
      <w:pPr>
        <w:tabs>
          <w:tab w:val="left" w:pos="2805"/>
        </w:tabs>
        <w:spacing w:after="0"/>
        <w:ind w:left="142" w:firstLine="992"/>
        <w:rPr>
          <w:rFonts w:ascii="Times New Roman" w:hAnsi="Times New Roman" w:cs="Times New Roman"/>
          <w:sz w:val="18"/>
          <w:szCs w:val="18"/>
        </w:rPr>
      </w:pPr>
      <w:r w:rsidRPr="00F47469">
        <w:rPr>
          <w:rFonts w:ascii="Times New Roman" w:hAnsi="Times New Roman" w:cs="Times New Roman"/>
          <w:sz w:val="18"/>
          <w:szCs w:val="18"/>
        </w:rPr>
        <w:t>Dependent Variable: </w:t>
      </w:r>
      <w:r w:rsidR="00F64FEC">
        <w:rPr>
          <w:rFonts w:ascii="Times New Roman" w:hAnsi="Times New Roman" w:cs="Times New Roman"/>
          <w:sz w:val="18"/>
          <w:szCs w:val="18"/>
        </w:rPr>
        <w:tab/>
      </w:r>
      <w:r w:rsidR="00F64FEC">
        <w:rPr>
          <w:rFonts w:ascii="Times New Roman" w:hAnsi="Times New Roman" w:cs="Times New Roman"/>
          <w:sz w:val="18"/>
          <w:szCs w:val="18"/>
        </w:rPr>
        <w:tab/>
      </w:r>
      <w:r w:rsidR="00F64FEC">
        <w:rPr>
          <w:rFonts w:ascii="Times New Roman" w:hAnsi="Times New Roman" w:cs="Times New Roman"/>
          <w:sz w:val="18"/>
          <w:szCs w:val="18"/>
        </w:rPr>
        <w:tab/>
      </w:r>
      <w:r w:rsidR="00F64FEC">
        <w:rPr>
          <w:rFonts w:ascii="Times New Roman" w:hAnsi="Times New Roman" w:cs="Times New Roman"/>
          <w:sz w:val="18"/>
          <w:szCs w:val="18"/>
        </w:rPr>
        <w:tab/>
      </w:r>
      <w:r w:rsidRPr="00F47469">
        <w:rPr>
          <w:rFonts w:ascii="Times New Roman" w:hAnsi="Times New Roman" w:cs="Times New Roman"/>
          <w:sz w:val="18"/>
          <w:szCs w:val="18"/>
        </w:rPr>
        <w:t>Total Expenditure on Animal Husbandry</w:t>
      </w:r>
    </w:p>
    <w:p w14:paraId="365BEC8A" w14:textId="32B9546A" w:rsidR="00294D85" w:rsidRPr="00F47469" w:rsidRDefault="00294D85" w:rsidP="00F64FEC">
      <w:pPr>
        <w:tabs>
          <w:tab w:val="left" w:pos="2805"/>
        </w:tabs>
        <w:spacing w:after="0"/>
        <w:ind w:left="142" w:firstLine="992"/>
        <w:rPr>
          <w:rFonts w:ascii="Times New Roman" w:hAnsi="Times New Roman" w:cs="Times New Roman"/>
          <w:sz w:val="18"/>
          <w:szCs w:val="18"/>
        </w:rPr>
      </w:pPr>
      <w:r w:rsidRPr="00F47469">
        <w:rPr>
          <w:rFonts w:ascii="Times New Roman" w:hAnsi="Times New Roman" w:cs="Times New Roman"/>
          <w:sz w:val="18"/>
          <w:szCs w:val="18"/>
        </w:rPr>
        <w:t>Number Of Observations: </w:t>
      </w:r>
      <w:r w:rsidR="00F64FEC">
        <w:rPr>
          <w:rFonts w:ascii="Times New Roman" w:hAnsi="Times New Roman" w:cs="Times New Roman"/>
          <w:sz w:val="18"/>
          <w:szCs w:val="18"/>
        </w:rPr>
        <w:tab/>
      </w:r>
      <w:r w:rsidR="00F64FEC">
        <w:rPr>
          <w:rFonts w:ascii="Times New Roman" w:hAnsi="Times New Roman" w:cs="Times New Roman"/>
          <w:sz w:val="18"/>
          <w:szCs w:val="18"/>
        </w:rPr>
        <w:tab/>
      </w:r>
      <w:r w:rsidRPr="00F47469">
        <w:rPr>
          <w:rFonts w:ascii="Times New Roman" w:hAnsi="Times New Roman" w:cs="Times New Roman"/>
          <w:sz w:val="18"/>
          <w:szCs w:val="18"/>
        </w:rPr>
        <w:t>28</w:t>
      </w:r>
    </w:p>
    <w:p w14:paraId="7F8E3894" w14:textId="03098AF7" w:rsidR="00294D85" w:rsidRPr="00F47469" w:rsidRDefault="00294D85" w:rsidP="00F64FEC">
      <w:pPr>
        <w:tabs>
          <w:tab w:val="left" w:pos="2805"/>
        </w:tabs>
        <w:spacing w:after="0"/>
        <w:ind w:left="142" w:firstLine="992"/>
        <w:rPr>
          <w:rFonts w:ascii="Times New Roman" w:hAnsi="Times New Roman" w:cs="Times New Roman"/>
          <w:sz w:val="18"/>
          <w:szCs w:val="18"/>
        </w:rPr>
      </w:pPr>
      <w:r w:rsidRPr="00F47469">
        <w:rPr>
          <w:rFonts w:ascii="Times New Roman" w:hAnsi="Times New Roman" w:cs="Times New Roman"/>
          <w:sz w:val="18"/>
          <w:szCs w:val="18"/>
        </w:rPr>
        <w:t>Degrees Of Freedom: </w:t>
      </w:r>
      <w:r w:rsidR="00F64FEC">
        <w:rPr>
          <w:rFonts w:ascii="Times New Roman" w:hAnsi="Times New Roman" w:cs="Times New Roman"/>
          <w:sz w:val="18"/>
          <w:szCs w:val="18"/>
        </w:rPr>
        <w:tab/>
      </w:r>
      <w:r w:rsidR="00F64FEC">
        <w:rPr>
          <w:rFonts w:ascii="Times New Roman" w:hAnsi="Times New Roman" w:cs="Times New Roman"/>
          <w:sz w:val="18"/>
          <w:szCs w:val="18"/>
        </w:rPr>
        <w:tab/>
      </w:r>
      <w:r w:rsidR="00F64FEC">
        <w:rPr>
          <w:rFonts w:ascii="Times New Roman" w:hAnsi="Times New Roman" w:cs="Times New Roman"/>
          <w:sz w:val="18"/>
          <w:szCs w:val="18"/>
        </w:rPr>
        <w:tab/>
      </w:r>
      <w:r w:rsidR="00F64FEC">
        <w:rPr>
          <w:rFonts w:ascii="Times New Roman" w:hAnsi="Times New Roman" w:cs="Times New Roman"/>
          <w:sz w:val="18"/>
          <w:szCs w:val="18"/>
        </w:rPr>
        <w:tab/>
      </w:r>
      <w:r w:rsidRPr="00F47469">
        <w:rPr>
          <w:rFonts w:ascii="Times New Roman" w:hAnsi="Times New Roman" w:cs="Times New Roman"/>
          <w:sz w:val="18"/>
          <w:szCs w:val="18"/>
        </w:rPr>
        <w:t>22</w:t>
      </w:r>
    </w:p>
    <w:tbl>
      <w:tblPr>
        <w:tblStyle w:val="TableGrid"/>
        <w:tblW w:w="9712" w:type="dxa"/>
        <w:jc w:val="center"/>
        <w:tblLook w:val="04A0" w:firstRow="1" w:lastRow="0" w:firstColumn="1" w:lastColumn="0" w:noHBand="0" w:noVBand="1"/>
      </w:tblPr>
      <w:tblGrid>
        <w:gridCol w:w="5282"/>
        <w:gridCol w:w="1363"/>
        <w:gridCol w:w="1704"/>
        <w:gridCol w:w="1363"/>
      </w:tblGrid>
      <w:tr w:rsidR="00294D85" w:rsidRPr="00F47469" w14:paraId="641AA526" w14:textId="77777777" w:rsidTr="00782EA4">
        <w:trPr>
          <w:trHeight w:val="113"/>
          <w:jc w:val="center"/>
        </w:trPr>
        <w:tc>
          <w:tcPr>
            <w:tcW w:w="5282" w:type="dxa"/>
            <w:vAlign w:val="center"/>
            <w:hideMark/>
          </w:tcPr>
          <w:p w14:paraId="0E1D8CCA"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Regressor</w:t>
            </w:r>
          </w:p>
        </w:tc>
        <w:tc>
          <w:tcPr>
            <w:tcW w:w="1363" w:type="dxa"/>
            <w:vAlign w:val="center"/>
            <w:hideMark/>
          </w:tcPr>
          <w:p w14:paraId="1EAEE126"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Coefficient</w:t>
            </w:r>
          </w:p>
        </w:tc>
        <w:tc>
          <w:tcPr>
            <w:tcW w:w="1704" w:type="dxa"/>
            <w:vAlign w:val="center"/>
            <w:hideMark/>
          </w:tcPr>
          <w:p w14:paraId="36003863"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Standard Error</w:t>
            </w:r>
          </w:p>
        </w:tc>
        <w:tc>
          <w:tcPr>
            <w:tcW w:w="1363" w:type="dxa"/>
            <w:vAlign w:val="center"/>
            <w:hideMark/>
          </w:tcPr>
          <w:p w14:paraId="417FEFAD"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T - Ratio</w:t>
            </w:r>
          </w:p>
        </w:tc>
      </w:tr>
      <w:tr w:rsidR="00294D85" w:rsidRPr="00F47469" w14:paraId="5A244D8F" w14:textId="77777777" w:rsidTr="00782EA4">
        <w:trPr>
          <w:trHeight w:val="113"/>
          <w:jc w:val="center"/>
        </w:trPr>
        <w:tc>
          <w:tcPr>
            <w:tcW w:w="5282" w:type="dxa"/>
            <w:vAlign w:val="center"/>
            <w:hideMark/>
          </w:tcPr>
          <w:p w14:paraId="6D3E92D2"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1. Total cattle population</w:t>
            </w:r>
          </w:p>
        </w:tc>
        <w:tc>
          <w:tcPr>
            <w:tcW w:w="1363" w:type="dxa"/>
            <w:vAlign w:val="center"/>
            <w:hideMark/>
          </w:tcPr>
          <w:p w14:paraId="14937156"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0.5739</w:t>
            </w:r>
          </w:p>
        </w:tc>
        <w:tc>
          <w:tcPr>
            <w:tcW w:w="1704" w:type="dxa"/>
            <w:vAlign w:val="center"/>
            <w:hideMark/>
          </w:tcPr>
          <w:p w14:paraId="776FAB35"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0.0950</w:t>
            </w:r>
          </w:p>
        </w:tc>
        <w:tc>
          <w:tcPr>
            <w:tcW w:w="1363" w:type="dxa"/>
            <w:vAlign w:val="center"/>
            <w:hideMark/>
          </w:tcPr>
          <w:p w14:paraId="12080E96"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6.0403</w:t>
            </w:r>
          </w:p>
        </w:tc>
      </w:tr>
      <w:tr w:rsidR="00294D85" w:rsidRPr="00F47469" w14:paraId="508A759F" w14:textId="77777777" w:rsidTr="00782EA4">
        <w:trPr>
          <w:trHeight w:val="113"/>
          <w:jc w:val="center"/>
        </w:trPr>
        <w:tc>
          <w:tcPr>
            <w:tcW w:w="5282" w:type="dxa"/>
            <w:vAlign w:val="center"/>
            <w:hideMark/>
          </w:tcPr>
          <w:p w14:paraId="3DC04236"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2. Salary differences of Assistant Veterinary Surgeon</w:t>
            </w:r>
          </w:p>
        </w:tc>
        <w:tc>
          <w:tcPr>
            <w:tcW w:w="1363" w:type="dxa"/>
            <w:vAlign w:val="center"/>
            <w:hideMark/>
          </w:tcPr>
          <w:p w14:paraId="13B8F49A"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0.3693</w:t>
            </w:r>
          </w:p>
        </w:tc>
        <w:tc>
          <w:tcPr>
            <w:tcW w:w="1704" w:type="dxa"/>
            <w:vAlign w:val="center"/>
            <w:hideMark/>
          </w:tcPr>
          <w:p w14:paraId="398C6966"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0.0997</w:t>
            </w:r>
          </w:p>
        </w:tc>
        <w:tc>
          <w:tcPr>
            <w:tcW w:w="1363" w:type="dxa"/>
            <w:vAlign w:val="center"/>
            <w:hideMark/>
          </w:tcPr>
          <w:p w14:paraId="5AB44366"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3.7051</w:t>
            </w:r>
          </w:p>
        </w:tc>
      </w:tr>
      <w:tr w:rsidR="00294D85" w:rsidRPr="00F47469" w14:paraId="7EF41457" w14:textId="77777777" w:rsidTr="00782EA4">
        <w:trPr>
          <w:trHeight w:val="113"/>
          <w:jc w:val="center"/>
        </w:trPr>
        <w:tc>
          <w:tcPr>
            <w:tcW w:w="5282" w:type="dxa"/>
            <w:vAlign w:val="center"/>
            <w:hideMark/>
          </w:tcPr>
          <w:p w14:paraId="6ACF3F3C"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3. Proportion of urban population to total population</w:t>
            </w:r>
          </w:p>
        </w:tc>
        <w:tc>
          <w:tcPr>
            <w:tcW w:w="1363" w:type="dxa"/>
            <w:vAlign w:val="center"/>
            <w:hideMark/>
          </w:tcPr>
          <w:p w14:paraId="2BB9BEE9"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0.2390</w:t>
            </w:r>
          </w:p>
        </w:tc>
        <w:tc>
          <w:tcPr>
            <w:tcW w:w="1704" w:type="dxa"/>
            <w:vAlign w:val="center"/>
            <w:hideMark/>
          </w:tcPr>
          <w:p w14:paraId="0FDDA985"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0.1518</w:t>
            </w:r>
          </w:p>
        </w:tc>
        <w:tc>
          <w:tcPr>
            <w:tcW w:w="1363" w:type="dxa"/>
            <w:vAlign w:val="center"/>
            <w:hideMark/>
          </w:tcPr>
          <w:p w14:paraId="45BD019F"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1.5748</w:t>
            </w:r>
          </w:p>
        </w:tc>
      </w:tr>
      <w:tr w:rsidR="00294D85" w:rsidRPr="00F47469" w14:paraId="1DF3414E" w14:textId="77777777" w:rsidTr="00782EA4">
        <w:trPr>
          <w:trHeight w:val="113"/>
          <w:jc w:val="center"/>
        </w:trPr>
        <w:tc>
          <w:tcPr>
            <w:tcW w:w="5282" w:type="dxa"/>
            <w:vAlign w:val="center"/>
            <w:hideMark/>
          </w:tcPr>
          <w:p w14:paraId="74BD36CD"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4. Number of veterinary centres per 1000 cattle</w:t>
            </w:r>
          </w:p>
        </w:tc>
        <w:tc>
          <w:tcPr>
            <w:tcW w:w="1363" w:type="dxa"/>
            <w:vAlign w:val="center"/>
            <w:hideMark/>
          </w:tcPr>
          <w:p w14:paraId="19EC5794"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0.1923</w:t>
            </w:r>
          </w:p>
        </w:tc>
        <w:tc>
          <w:tcPr>
            <w:tcW w:w="1704" w:type="dxa"/>
            <w:vAlign w:val="center"/>
            <w:hideMark/>
          </w:tcPr>
          <w:p w14:paraId="1AE87B0C"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0.1006</w:t>
            </w:r>
          </w:p>
        </w:tc>
        <w:tc>
          <w:tcPr>
            <w:tcW w:w="1363" w:type="dxa"/>
            <w:vAlign w:val="center"/>
            <w:hideMark/>
          </w:tcPr>
          <w:p w14:paraId="63C52A43"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1.9106</w:t>
            </w:r>
          </w:p>
        </w:tc>
      </w:tr>
      <w:tr w:rsidR="00294D85" w:rsidRPr="00F47469" w14:paraId="295EB1B9" w14:textId="77777777" w:rsidTr="00782EA4">
        <w:trPr>
          <w:trHeight w:val="113"/>
          <w:jc w:val="center"/>
        </w:trPr>
        <w:tc>
          <w:tcPr>
            <w:tcW w:w="5282" w:type="dxa"/>
            <w:vAlign w:val="center"/>
            <w:hideMark/>
          </w:tcPr>
          <w:p w14:paraId="181D1592"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Time period (1981-82 to 1983-84)</w:t>
            </w:r>
          </w:p>
        </w:tc>
        <w:tc>
          <w:tcPr>
            <w:tcW w:w="1363" w:type="dxa"/>
            <w:vAlign w:val="center"/>
            <w:hideMark/>
          </w:tcPr>
          <w:p w14:paraId="2ED1396A"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-0.0599</w:t>
            </w:r>
          </w:p>
        </w:tc>
        <w:tc>
          <w:tcPr>
            <w:tcW w:w="1704" w:type="dxa"/>
            <w:vAlign w:val="center"/>
            <w:hideMark/>
          </w:tcPr>
          <w:p w14:paraId="2B9453E7"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0.1419</w:t>
            </w:r>
          </w:p>
        </w:tc>
        <w:tc>
          <w:tcPr>
            <w:tcW w:w="1363" w:type="dxa"/>
            <w:vAlign w:val="center"/>
            <w:hideMark/>
          </w:tcPr>
          <w:p w14:paraId="746387D3"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-0.4217</w:t>
            </w:r>
          </w:p>
        </w:tc>
      </w:tr>
      <w:tr w:rsidR="00294D85" w:rsidRPr="00F47469" w14:paraId="6E8A59CC" w14:textId="77777777" w:rsidTr="00782EA4">
        <w:trPr>
          <w:trHeight w:val="113"/>
          <w:jc w:val="center"/>
        </w:trPr>
        <w:tc>
          <w:tcPr>
            <w:tcW w:w="5282" w:type="dxa"/>
            <w:vAlign w:val="center"/>
            <w:hideMark/>
          </w:tcPr>
          <w:p w14:paraId="30D4DAA7"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Time period (1984-85 to 1986-87)</w:t>
            </w:r>
          </w:p>
        </w:tc>
        <w:tc>
          <w:tcPr>
            <w:tcW w:w="1363" w:type="dxa"/>
            <w:vAlign w:val="center"/>
            <w:hideMark/>
          </w:tcPr>
          <w:p w14:paraId="70D50757"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0.0396</w:t>
            </w:r>
          </w:p>
        </w:tc>
        <w:tc>
          <w:tcPr>
            <w:tcW w:w="1704" w:type="dxa"/>
            <w:vAlign w:val="center"/>
            <w:hideMark/>
          </w:tcPr>
          <w:p w14:paraId="37878A2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0.1421</w:t>
            </w:r>
          </w:p>
        </w:tc>
        <w:tc>
          <w:tcPr>
            <w:tcW w:w="1363" w:type="dxa"/>
            <w:vAlign w:val="center"/>
            <w:hideMark/>
          </w:tcPr>
          <w:p w14:paraId="65CC6D4F"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0.2784</w:t>
            </w:r>
          </w:p>
        </w:tc>
      </w:tr>
    </w:tbl>
    <w:p w14:paraId="083A371B" w14:textId="65DD13EE" w:rsidR="00782EA4" w:rsidRPr="00782EA4" w:rsidRDefault="00782EA4" w:rsidP="00782EA4">
      <w:pPr>
        <w:tabs>
          <w:tab w:val="left" w:pos="2805"/>
        </w:tabs>
        <w:spacing w:after="0"/>
        <w:ind w:left="1440"/>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0.7511</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Residual Sum of Squares</w:t>
      </w:r>
      <w:r w:rsidRPr="00782EA4">
        <w:rPr>
          <w:rFonts w:ascii="Times New Roman" w:hAnsi="Times New Roman" w:cs="Times New Roman"/>
          <w:sz w:val="18"/>
          <w:szCs w:val="18"/>
        </w:rPr>
        <w:tab/>
        <w:t>1.3798</w:t>
      </w:r>
    </w:p>
    <w:p w14:paraId="4CA3C8BE" w14:textId="6D5288F8" w:rsidR="00294D85" w:rsidRPr="00782EA4" w:rsidRDefault="00782EA4" w:rsidP="00782EA4">
      <w:pPr>
        <w:tabs>
          <w:tab w:val="left" w:pos="2805"/>
        </w:tabs>
        <w:spacing w:after="0"/>
        <w:ind w:left="1440"/>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0.6945</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S.E. of Regression</w:t>
      </w:r>
      <w:r w:rsidRPr="00782EA4">
        <w:rPr>
          <w:rFonts w:ascii="Times New Roman" w:hAnsi="Times New Roman" w:cs="Times New Roman"/>
          <w:sz w:val="18"/>
          <w:szCs w:val="18"/>
        </w:rPr>
        <w:tab/>
        <w:t>0.2504</w:t>
      </w:r>
    </w:p>
    <w:p w14:paraId="378668BA" w14:textId="297EA84A" w:rsidR="00294D85" w:rsidRPr="00F47469" w:rsidRDefault="00294D85" w:rsidP="00F64FEC">
      <w:pPr>
        <w:tabs>
          <w:tab w:val="left" w:pos="2805"/>
        </w:tabs>
        <w:spacing w:after="0"/>
        <w:jc w:val="center"/>
        <w:rPr>
          <w:rFonts w:ascii="Times New Roman" w:hAnsi="Times New Roman" w:cs="Times New Roman"/>
          <w:sz w:val="20"/>
          <w:szCs w:val="20"/>
        </w:rPr>
      </w:pPr>
      <w:r w:rsidRPr="00F47469">
        <w:rPr>
          <w:rFonts w:ascii="Times New Roman" w:hAnsi="Times New Roman" w:cs="Times New Roman"/>
          <w:b/>
          <w:bCs/>
          <w:sz w:val="20"/>
          <w:szCs w:val="20"/>
        </w:rPr>
        <w:t>Diagnostic Tests</w:t>
      </w:r>
    </w:p>
    <w:tbl>
      <w:tblPr>
        <w:tblStyle w:val="TableGrid"/>
        <w:tblW w:w="9712" w:type="dxa"/>
        <w:jc w:val="center"/>
        <w:tblLook w:val="04A0" w:firstRow="1" w:lastRow="0" w:firstColumn="1" w:lastColumn="0" w:noHBand="0" w:noVBand="1"/>
      </w:tblPr>
      <w:tblGrid>
        <w:gridCol w:w="3234"/>
        <w:gridCol w:w="3239"/>
        <w:gridCol w:w="3239"/>
      </w:tblGrid>
      <w:tr w:rsidR="00294D85" w:rsidRPr="00F47469" w14:paraId="2970802F" w14:textId="77777777" w:rsidTr="00782EA4">
        <w:trPr>
          <w:trHeight w:val="78"/>
          <w:jc w:val="center"/>
        </w:trPr>
        <w:tc>
          <w:tcPr>
            <w:tcW w:w="3234" w:type="dxa"/>
            <w:vAlign w:val="center"/>
            <w:hideMark/>
          </w:tcPr>
          <w:p w14:paraId="3A6C7D84"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Test Statistics</w:t>
            </w:r>
          </w:p>
        </w:tc>
        <w:tc>
          <w:tcPr>
            <w:tcW w:w="3239" w:type="dxa"/>
            <w:vAlign w:val="center"/>
            <w:hideMark/>
          </w:tcPr>
          <w:p w14:paraId="6F17F18A"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LM Version</w:t>
            </w:r>
          </w:p>
        </w:tc>
        <w:tc>
          <w:tcPr>
            <w:tcW w:w="3239" w:type="dxa"/>
            <w:vAlign w:val="center"/>
            <w:hideMark/>
          </w:tcPr>
          <w:p w14:paraId="049A2B01"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F Version</w:t>
            </w:r>
          </w:p>
        </w:tc>
      </w:tr>
      <w:tr w:rsidR="00294D85" w:rsidRPr="00F47469" w14:paraId="6DB7E989" w14:textId="77777777" w:rsidTr="00782EA4">
        <w:trPr>
          <w:trHeight w:val="78"/>
          <w:jc w:val="center"/>
        </w:trPr>
        <w:tc>
          <w:tcPr>
            <w:tcW w:w="3234" w:type="dxa"/>
            <w:vAlign w:val="center"/>
            <w:hideMark/>
          </w:tcPr>
          <w:p w14:paraId="5BF2551A" w14:textId="77777777" w:rsidR="00294D85" w:rsidRPr="00F47469" w:rsidRDefault="00294D85" w:rsidP="00F64FEC">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b/>
                <w:bCs/>
                <w:sz w:val="16"/>
                <w:szCs w:val="16"/>
              </w:rPr>
              <w:t>A: Serial Correlation</w:t>
            </w:r>
          </w:p>
        </w:tc>
        <w:tc>
          <w:tcPr>
            <w:tcW w:w="3239" w:type="dxa"/>
            <w:vAlign w:val="center"/>
            <w:hideMark/>
          </w:tcPr>
          <w:p w14:paraId="7AB7B1F7"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CHI-</w:t>
            </w:r>
            <w:proofErr w:type="gramStart"/>
            <w:r w:rsidRPr="00F47469">
              <w:rPr>
                <w:rFonts w:ascii="Times New Roman" w:hAnsi="Times New Roman" w:cs="Times New Roman"/>
                <w:sz w:val="16"/>
                <w:szCs w:val="16"/>
              </w:rPr>
              <w:t>SQ(</w:t>
            </w:r>
            <w:proofErr w:type="gramEnd"/>
            <w:r w:rsidRPr="00F47469">
              <w:rPr>
                <w:rFonts w:ascii="Times New Roman" w:hAnsi="Times New Roman" w:cs="Times New Roman"/>
                <w:sz w:val="16"/>
                <w:szCs w:val="16"/>
              </w:rPr>
              <w:t>1) = 6.0275</w:t>
            </w:r>
          </w:p>
        </w:tc>
        <w:tc>
          <w:tcPr>
            <w:tcW w:w="3239" w:type="dxa"/>
            <w:vAlign w:val="center"/>
            <w:hideMark/>
          </w:tcPr>
          <w:p w14:paraId="743343A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proofErr w:type="gramStart"/>
            <w:r w:rsidRPr="00F47469">
              <w:rPr>
                <w:rFonts w:ascii="Times New Roman" w:hAnsi="Times New Roman" w:cs="Times New Roman"/>
                <w:sz w:val="16"/>
                <w:szCs w:val="16"/>
              </w:rPr>
              <w:t>F(</w:t>
            </w:r>
            <w:proofErr w:type="gramEnd"/>
            <w:r w:rsidRPr="00F47469">
              <w:rPr>
                <w:rFonts w:ascii="Times New Roman" w:hAnsi="Times New Roman" w:cs="Times New Roman"/>
                <w:sz w:val="16"/>
                <w:szCs w:val="16"/>
              </w:rPr>
              <w:t>1, 21) = 5.7607</w:t>
            </w:r>
          </w:p>
        </w:tc>
      </w:tr>
      <w:tr w:rsidR="00294D85" w:rsidRPr="00F47469" w14:paraId="41DF8CA8" w14:textId="77777777" w:rsidTr="00782EA4">
        <w:trPr>
          <w:trHeight w:val="78"/>
          <w:jc w:val="center"/>
        </w:trPr>
        <w:tc>
          <w:tcPr>
            <w:tcW w:w="3234" w:type="dxa"/>
            <w:vAlign w:val="center"/>
            <w:hideMark/>
          </w:tcPr>
          <w:p w14:paraId="438714B2" w14:textId="77777777" w:rsidR="00294D85" w:rsidRPr="00F47469" w:rsidRDefault="00294D85" w:rsidP="00F64FEC">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b/>
                <w:bCs/>
                <w:sz w:val="16"/>
                <w:szCs w:val="16"/>
              </w:rPr>
              <w:t>B: Functional Form</w:t>
            </w:r>
          </w:p>
        </w:tc>
        <w:tc>
          <w:tcPr>
            <w:tcW w:w="3239" w:type="dxa"/>
            <w:vAlign w:val="center"/>
            <w:hideMark/>
          </w:tcPr>
          <w:p w14:paraId="3031C81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CHI-</w:t>
            </w:r>
            <w:proofErr w:type="gramStart"/>
            <w:r w:rsidRPr="00F47469">
              <w:rPr>
                <w:rFonts w:ascii="Times New Roman" w:hAnsi="Times New Roman" w:cs="Times New Roman"/>
                <w:sz w:val="16"/>
                <w:szCs w:val="16"/>
              </w:rPr>
              <w:t>SQ(</w:t>
            </w:r>
            <w:proofErr w:type="gramEnd"/>
            <w:r w:rsidRPr="00F47469">
              <w:rPr>
                <w:rFonts w:ascii="Times New Roman" w:hAnsi="Times New Roman" w:cs="Times New Roman"/>
                <w:sz w:val="16"/>
                <w:szCs w:val="16"/>
              </w:rPr>
              <w:t>1) = 0.6756</w:t>
            </w:r>
          </w:p>
        </w:tc>
        <w:tc>
          <w:tcPr>
            <w:tcW w:w="3239" w:type="dxa"/>
            <w:vAlign w:val="center"/>
            <w:hideMark/>
          </w:tcPr>
          <w:p w14:paraId="00D68CAD"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proofErr w:type="gramStart"/>
            <w:r w:rsidRPr="00F47469">
              <w:rPr>
                <w:rFonts w:ascii="Times New Roman" w:hAnsi="Times New Roman" w:cs="Times New Roman"/>
                <w:sz w:val="16"/>
                <w:szCs w:val="16"/>
              </w:rPr>
              <w:t>F(</w:t>
            </w:r>
            <w:proofErr w:type="gramEnd"/>
            <w:r w:rsidRPr="00F47469">
              <w:rPr>
                <w:rFonts w:ascii="Times New Roman" w:hAnsi="Times New Roman" w:cs="Times New Roman"/>
                <w:sz w:val="16"/>
                <w:szCs w:val="16"/>
              </w:rPr>
              <w:t>1, 21) = 0.5192</w:t>
            </w:r>
          </w:p>
        </w:tc>
      </w:tr>
      <w:tr w:rsidR="00294D85" w:rsidRPr="00F47469" w14:paraId="5BBAE32C" w14:textId="77777777" w:rsidTr="00782EA4">
        <w:trPr>
          <w:trHeight w:val="78"/>
          <w:jc w:val="center"/>
        </w:trPr>
        <w:tc>
          <w:tcPr>
            <w:tcW w:w="3234" w:type="dxa"/>
            <w:vAlign w:val="center"/>
            <w:hideMark/>
          </w:tcPr>
          <w:p w14:paraId="3823F1A2" w14:textId="77777777" w:rsidR="00294D85" w:rsidRPr="00F47469" w:rsidRDefault="00294D85" w:rsidP="00F64FEC">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b/>
                <w:bCs/>
                <w:sz w:val="16"/>
                <w:szCs w:val="16"/>
              </w:rPr>
              <w:t>C: Normality</w:t>
            </w:r>
          </w:p>
        </w:tc>
        <w:tc>
          <w:tcPr>
            <w:tcW w:w="3239" w:type="dxa"/>
            <w:vAlign w:val="center"/>
            <w:hideMark/>
          </w:tcPr>
          <w:p w14:paraId="55F9A8A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CHI-</w:t>
            </w:r>
            <w:proofErr w:type="gramStart"/>
            <w:r w:rsidRPr="00F47469">
              <w:rPr>
                <w:rFonts w:ascii="Times New Roman" w:hAnsi="Times New Roman" w:cs="Times New Roman"/>
                <w:sz w:val="16"/>
                <w:szCs w:val="16"/>
              </w:rPr>
              <w:t>SQ(</w:t>
            </w:r>
            <w:proofErr w:type="gramEnd"/>
            <w:r w:rsidRPr="00F47469">
              <w:rPr>
                <w:rFonts w:ascii="Times New Roman" w:hAnsi="Times New Roman" w:cs="Times New Roman"/>
                <w:sz w:val="16"/>
                <w:szCs w:val="16"/>
              </w:rPr>
              <w:t>2) = 1.3010</w:t>
            </w:r>
          </w:p>
        </w:tc>
        <w:tc>
          <w:tcPr>
            <w:tcW w:w="3239" w:type="dxa"/>
            <w:vAlign w:val="center"/>
            <w:hideMark/>
          </w:tcPr>
          <w:p w14:paraId="65C899A3"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Not Applicable</w:t>
            </w:r>
          </w:p>
        </w:tc>
      </w:tr>
      <w:tr w:rsidR="00294D85" w:rsidRPr="00F47469" w14:paraId="00DB8430" w14:textId="77777777" w:rsidTr="00782EA4">
        <w:trPr>
          <w:trHeight w:val="78"/>
          <w:jc w:val="center"/>
        </w:trPr>
        <w:tc>
          <w:tcPr>
            <w:tcW w:w="3234" w:type="dxa"/>
            <w:vAlign w:val="center"/>
            <w:hideMark/>
          </w:tcPr>
          <w:p w14:paraId="2BA9EA79" w14:textId="77777777" w:rsidR="00294D85" w:rsidRPr="00F47469" w:rsidRDefault="00294D85" w:rsidP="00F64FEC">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b/>
                <w:bCs/>
                <w:sz w:val="16"/>
                <w:szCs w:val="16"/>
              </w:rPr>
              <w:t>D: Heteroscedasticity</w:t>
            </w:r>
          </w:p>
        </w:tc>
        <w:tc>
          <w:tcPr>
            <w:tcW w:w="3239" w:type="dxa"/>
            <w:vAlign w:val="center"/>
            <w:hideMark/>
          </w:tcPr>
          <w:p w14:paraId="3094F57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CHI-</w:t>
            </w:r>
            <w:proofErr w:type="gramStart"/>
            <w:r w:rsidRPr="00F47469">
              <w:rPr>
                <w:rFonts w:ascii="Times New Roman" w:hAnsi="Times New Roman" w:cs="Times New Roman"/>
                <w:sz w:val="16"/>
                <w:szCs w:val="16"/>
              </w:rPr>
              <w:t>SQ(</w:t>
            </w:r>
            <w:proofErr w:type="gramEnd"/>
            <w:r w:rsidRPr="00F47469">
              <w:rPr>
                <w:rFonts w:ascii="Times New Roman" w:hAnsi="Times New Roman" w:cs="Times New Roman"/>
                <w:sz w:val="16"/>
                <w:szCs w:val="16"/>
              </w:rPr>
              <w:t>1) = 4.0392</w:t>
            </w:r>
          </w:p>
        </w:tc>
        <w:tc>
          <w:tcPr>
            <w:tcW w:w="3239" w:type="dxa"/>
            <w:vAlign w:val="center"/>
            <w:hideMark/>
          </w:tcPr>
          <w:p w14:paraId="5D9A3B23"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proofErr w:type="gramStart"/>
            <w:r w:rsidRPr="00F47469">
              <w:rPr>
                <w:rFonts w:ascii="Times New Roman" w:hAnsi="Times New Roman" w:cs="Times New Roman"/>
                <w:sz w:val="16"/>
                <w:szCs w:val="16"/>
              </w:rPr>
              <w:t>F(</w:t>
            </w:r>
            <w:proofErr w:type="gramEnd"/>
            <w:r w:rsidRPr="00F47469">
              <w:rPr>
                <w:rFonts w:ascii="Times New Roman" w:hAnsi="Times New Roman" w:cs="Times New Roman"/>
                <w:sz w:val="16"/>
                <w:szCs w:val="16"/>
              </w:rPr>
              <w:t>1, 26) = 4.3830</w:t>
            </w:r>
          </w:p>
        </w:tc>
      </w:tr>
    </w:tbl>
    <w:p w14:paraId="006ACA15" w14:textId="77777777" w:rsidR="00294D85" w:rsidRPr="00AA6AF4" w:rsidRDefault="00294D85" w:rsidP="00F47469">
      <w:pPr>
        <w:tabs>
          <w:tab w:val="left" w:pos="2805"/>
        </w:tabs>
        <w:spacing w:after="0"/>
        <w:rPr>
          <w:rFonts w:ascii="Times New Roman" w:hAnsi="Times New Roman" w:cs="Times New Roman"/>
          <w:szCs w:val="24"/>
        </w:rPr>
      </w:pPr>
    </w:p>
    <w:p w14:paraId="1BD7344A" w14:textId="77777777" w:rsidR="00294D85" w:rsidRPr="00782EA4" w:rsidRDefault="00294D85" w:rsidP="00F64FEC">
      <w:pPr>
        <w:tabs>
          <w:tab w:val="left" w:pos="2805"/>
        </w:tabs>
        <w:spacing w:after="0"/>
        <w:jc w:val="center"/>
        <w:rPr>
          <w:rFonts w:ascii="Times New Roman" w:hAnsi="Times New Roman" w:cs="Times New Roman"/>
          <w:b/>
          <w:bCs/>
          <w:szCs w:val="24"/>
        </w:rPr>
      </w:pPr>
      <w:r w:rsidRPr="00782EA4">
        <w:rPr>
          <w:rFonts w:ascii="Times New Roman" w:hAnsi="Times New Roman" w:cs="Times New Roman"/>
          <w:b/>
          <w:bCs/>
          <w:szCs w:val="24"/>
        </w:rPr>
        <w:t>Regression Results</w:t>
      </w:r>
    </w:p>
    <w:p w14:paraId="29FDC3C0" w14:textId="624A5349" w:rsidR="00294D85" w:rsidRPr="00F47469" w:rsidRDefault="00294D85" w:rsidP="00F64FEC">
      <w:pPr>
        <w:tabs>
          <w:tab w:val="left" w:pos="2805"/>
        </w:tabs>
        <w:spacing w:after="0"/>
        <w:ind w:left="720" w:firstLine="414"/>
        <w:rPr>
          <w:rFonts w:ascii="Times New Roman" w:hAnsi="Times New Roman" w:cs="Times New Roman"/>
          <w:sz w:val="18"/>
          <w:szCs w:val="18"/>
        </w:rPr>
      </w:pPr>
      <w:r w:rsidRPr="00F47469">
        <w:rPr>
          <w:rFonts w:ascii="Times New Roman" w:hAnsi="Times New Roman" w:cs="Times New Roman"/>
          <w:sz w:val="18"/>
          <w:szCs w:val="18"/>
        </w:rPr>
        <w:t>Dependent Variable</w:t>
      </w:r>
      <w:r w:rsidR="00E06529" w:rsidRPr="00F47469">
        <w:rPr>
          <w:rFonts w:ascii="Times New Roman" w:hAnsi="Times New Roman" w:cs="Times New Roman"/>
          <w:sz w:val="18"/>
          <w:szCs w:val="18"/>
        </w:rPr>
        <w:tab/>
      </w:r>
      <w:r w:rsidR="00E06529" w:rsidRPr="00F47469">
        <w:rPr>
          <w:rFonts w:ascii="Times New Roman" w:hAnsi="Times New Roman" w:cs="Times New Roman"/>
          <w:sz w:val="18"/>
          <w:szCs w:val="18"/>
        </w:rPr>
        <w:tab/>
      </w:r>
      <w:r w:rsidRPr="00F47469">
        <w:rPr>
          <w:rFonts w:ascii="Times New Roman" w:hAnsi="Times New Roman" w:cs="Times New Roman"/>
          <w:sz w:val="18"/>
          <w:szCs w:val="18"/>
        </w:rPr>
        <w:t> </w:t>
      </w:r>
      <w:r w:rsidR="00E06529" w:rsidRPr="00F47469">
        <w:rPr>
          <w:rFonts w:ascii="Times New Roman" w:hAnsi="Times New Roman" w:cs="Times New Roman"/>
          <w:sz w:val="18"/>
          <w:szCs w:val="18"/>
        </w:rPr>
        <w:tab/>
      </w:r>
      <w:r w:rsidR="00F64FEC">
        <w:rPr>
          <w:rFonts w:ascii="Times New Roman" w:hAnsi="Times New Roman" w:cs="Times New Roman"/>
          <w:sz w:val="18"/>
          <w:szCs w:val="18"/>
        </w:rPr>
        <w:tab/>
      </w:r>
      <w:r w:rsidRPr="00F47469">
        <w:rPr>
          <w:rFonts w:ascii="Times New Roman" w:hAnsi="Times New Roman" w:cs="Times New Roman"/>
          <w:sz w:val="18"/>
          <w:szCs w:val="18"/>
        </w:rPr>
        <w:t>Total Expenditure on Industry and Minerals</w:t>
      </w:r>
    </w:p>
    <w:p w14:paraId="074B652C" w14:textId="76488677" w:rsidR="00294D85" w:rsidRPr="00F47469" w:rsidRDefault="00294D85" w:rsidP="00F64FEC">
      <w:pPr>
        <w:tabs>
          <w:tab w:val="left" w:pos="2805"/>
        </w:tabs>
        <w:spacing w:after="0"/>
        <w:ind w:left="720" w:firstLine="414"/>
        <w:rPr>
          <w:rFonts w:ascii="Times New Roman" w:hAnsi="Times New Roman" w:cs="Times New Roman"/>
          <w:sz w:val="18"/>
          <w:szCs w:val="18"/>
        </w:rPr>
      </w:pPr>
      <w:r w:rsidRPr="00F47469">
        <w:rPr>
          <w:rFonts w:ascii="Times New Roman" w:hAnsi="Times New Roman" w:cs="Times New Roman"/>
          <w:sz w:val="18"/>
          <w:szCs w:val="18"/>
        </w:rPr>
        <w:t>Number Of Observations: </w:t>
      </w:r>
      <w:r w:rsidR="00F64FEC">
        <w:rPr>
          <w:rFonts w:ascii="Times New Roman" w:hAnsi="Times New Roman" w:cs="Times New Roman"/>
          <w:sz w:val="18"/>
          <w:szCs w:val="18"/>
        </w:rPr>
        <w:tab/>
      </w:r>
      <w:r w:rsidR="00F64FEC">
        <w:rPr>
          <w:rFonts w:ascii="Times New Roman" w:hAnsi="Times New Roman" w:cs="Times New Roman"/>
          <w:sz w:val="18"/>
          <w:szCs w:val="18"/>
        </w:rPr>
        <w:tab/>
      </w:r>
      <w:r w:rsidRPr="00F47469">
        <w:rPr>
          <w:rFonts w:ascii="Times New Roman" w:hAnsi="Times New Roman" w:cs="Times New Roman"/>
          <w:sz w:val="18"/>
          <w:szCs w:val="18"/>
        </w:rPr>
        <w:t>28</w:t>
      </w:r>
    </w:p>
    <w:p w14:paraId="7274FE98" w14:textId="635A54BD" w:rsidR="00294D85" w:rsidRPr="00F47469" w:rsidRDefault="00294D85" w:rsidP="00F64FEC">
      <w:pPr>
        <w:tabs>
          <w:tab w:val="left" w:pos="2805"/>
        </w:tabs>
        <w:spacing w:after="0"/>
        <w:ind w:left="720" w:firstLine="414"/>
        <w:rPr>
          <w:rFonts w:ascii="Times New Roman" w:hAnsi="Times New Roman" w:cs="Times New Roman"/>
          <w:sz w:val="18"/>
          <w:szCs w:val="18"/>
        </w:rPr>
      </w:pPr>
      <w:r w:rsidRPr="00F47469">
        <w:rPr>
          <w:rFonts w:ascii="Times New Roman" w:hAnsi="Times New Roman" w:cs="Times New Roman"/>
          <w:sz w:val="18"/>
          <w:szCs w:val="18"/>
        </w:rPr>
        <w:t>Degrees Of Freedom: </w:t>
      </w:r>
      <w:r w:rsidR="00F64FEC">
        <w:rPr>
          <w:rFonts w:ascii="Times New Roman" w:hAnsi="Times New Roman" w:cs="Times New Roman"/>
          <w:sz w:val="18"/>
          <w:szCs w:val="18"/>
        </w:rPr>
        <w:tab/>
      </w:r>
      <w:r w:rsidR="00F64FEC">
        <w:rPr>
          <w:rFonts w:ascii="Times New Roman" w:hAnsi="Times New Roman" w:cs="Times New Roman"/>
          <w:sz w:val="18"/>
          <w:szCs w:val="18"/>
        </w:rPr>
        <w:tab/>
      </w:r>
      <w:r w:rsidR="00F64FEC">
        <w:rPr>
          <w:rFonts w:ascii="Times New Roman" w:hAnsi="Times New Roman" w:cs="Times New Roman"/>
          <w:sz w:val="18"/>
          <w:szCs w:val="18"/>
        </w:rPr>
        <w:tab/>
      </w:r>
      <w:r w:rsidR="00F64FEC">
        <w:rPr>
          <w:rFonts w:ascii="Times New Roman" w:hAnsi="Times New Roman" w:cs="Times New Roman"/>
          <w:sz w:val="18"/>
          <w:szCs w:val="18"/>
        </w:rPr>
        <w:tab/>
      </w:r>
      <w:r w:rsidRPr="00F47469">
        <w:rPr>
          <w:rFonts w:ascii="Times New Roman" w:hAnsi="Times New Roman" w:cs="Times New Roman"/>
          <w:sz w:val="18"/>
          <w:szCs w:val="18"/>
        </w:rPr>
        <w:t>22</w:t>
      </w:r>
    </w:p>
    <w:tbl>
      <w:tblPr>
        <w:tblStyle w:val="TableGrid"/>
        <w:tblW w:w="9859" w:type="dxa"/>
        <w:jc w:val="center"/>
        <w:tblLook w:val="04A0" w:firstRow="1" w:lastRow="0" w:firstColumn="1" w:lastColumn="0" w:noHBand="0" w:noVBand="1"/>
      </w:tblPr>
      <w:tblGrid>
        <w:gridCol w:w="5751"/>
        <w:gridCol w:w="1150"/>
        <w:gridCol w:w="1643"/>
        <w:gridCol w:w="1315"/>
      </w:tblGrid>
      <w:tr w:rsidR="00294D85" w:rsidRPr="00F47469" w14:paraId="1F995864" w14:textId="77777777" w:rsidTr="00782EA4">
        <w:trPr>
          <w:trHeight w:val="31"/>
          <w:jc w:val="center"/>
        </w:trPr>
        <w:tc>
          <w:tcPr>
            <w:tcW w:w="5751" w:type="dxa"/>
            <w:vAlign w:val="center"/>
            <w:hideMark/>
          </w:tcPr>
          <w:p w14:paraId="0D57F8DB"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Regressor</w:t>
            </w:r>
          </w:p>
        </w:tc>
        <w:tc>
          <w:tcPr>
            <w:tcW w:w="1150" w:type="dxa"/>
            <w:vAlign w:val="center"/>
            <w:hideMark/>
          </w:tcPr>
          <w:p w14:paraId="02F2AD86"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Coefficient</w:t>
            </w:r>
          </w:p>
        </w:tc>
        <w:tc>
          <w:tcPr>
            <w:tcW w:w="1643" w:type="dxa"/>
            <w:vAlign w:val="center"/>
            <w:hideMark/>
          </w:tcPr>
          <w:p w14:paraId="32F7977E"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Standard Error</w:t>
            </w:r>
          </w:p>
        </w:tc>
        <w:tc>
          <w:tcPr>
            <w:tcW w:w="1315" w:type="dxa"/>
            <w:vAlign w:val="center"/>
            <w:hideMark/>
          </w:tcPr>
          <w:p w14:paraId="5F7B7DE3" w14:textId="77777777" w:rsidR="00294D85" w:rsidRPr="00F47469" w:rsidRDefault="00294D85" w:rsidP="00F47469">
            <w:pPr>
              <w:tabs>
                <w:tab w:val="left" w:pos="2805"/>
              </w:tabs>
              <w:spacing w:line="278" w:lineRule="auto"/>
              <w:jc w:val="center"/>
              <w:rPr>
                <w:rFonts w:ascii="Times New Roman" w:hAnsi="Times New Roman" w:cs="Times New Roman"/>
                <w:b/>
                <w:bCs/>
                <w:sz w:val="16"/>
                <w:szCs w:val="16"/>
              </w:rPr>
            </w:pPr>
            <w:r w:rsidRPr="00F47469">
              <w:rPr>
                <w:rFonts w:ascii="Times New Roman" w:hAnsi="Times New Roman" w:cs="Times New Roman"/>
                <w:b/>
                <w:bCs/>
                <w:sz w:val="16"/>
                <w:szCs w:val="16"/>
              </w:rPr>
              <w:t>T - Ratio</w:t>
            </w:r>
          </w:p>
        </w:tc>
      </w:tr>
      <w:tr w:rsidR="00294D85" w:rsidRPr="00F47469" w14:paraId="6EB7D6E2" w14:textId="77777777" w:rsidTr="00782EA4">
        <w:trPr>
          <w:trHeight w:val="31"/>
          <w:jc w:val="center"/>
        </w:trPr>
        <w:tc>
          <w:tcPr>
            <w:tcW w:w="5751" w:type="dxa"/>
            <w:vAlign w:val="center"/>
            <w:hideMark/>
          </w:tcPr>
          <w:p w14:paraId="58E0AF85"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1. Income from Mining and Quarrying and Manufacture</w:t>
            </w:r>
          </w:p>
        </w:tc>
        <w:tc>
          <w:tcPr>
            <w:tcW w:w="1150" w:type="dxa"/>
            <w:vAlign w:val="center"/>
            <w:hideMark/>
          </w:tcPr>
          <w:p w14:paraId="3EBA6E30"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1.3875</w:t>
            </w:r>
          </w:p>
        </w:tc>
        <w:tc>
          <w:tcPr>
            <w:tcW w:w="1643" w:type="dxa"/>
            <w:vAlign w:val="center"/>
            <w:hideMark/>
          </w:tcPr>
          <w:p w14:paraId="1121FE5C"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0.1642</w:t>
            </w:r>
          </w:p>
        </w:tc>
        <w:tc>
          <w:tcPr>
            <w:tcW w:w="1315" w:type="dxa"/>
            <w:vAlign w:val="center"/>
            <w:hideMark/>
          </w:tcPr>
          <w:p w14:paraId="6027B782"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8.4528</w:t>
            </w:r>
          </w:p>
        </w:tc>
      </w:tr>
      <w:tr w:rsidR="00294D85" w:rsidRPr="00F47469" w14:paraId="5688296E" w14:textId="77777777" w:rsidTr="00782EA4">
        <w:trPr>
          <w:trHeight w:val="31"/>
          <w:jc w:val="center"/>
        </w:trPr>
        <w:tc>
          <w:tcPr>
            <w:tcW w:w="5751" w:type="dxa"/>
            <w:vAlign w:val="center"/>
            <w:hideMark/>
          </w:tcPr>
          <w:p w14:paraId="1DBB8215"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2. Number of Standard Employees for Industry and Minerals per income from Mining and Quarrying and Manufacture</w:t>
            </w:r>
          </w:p>
        </w:tc>
        <w:tc>
          <w:tcPr>
            <w:tcW w:w="1150" w:type="dxa"/>
            <w:vAlign w:val="center"/>
            <w:hideMark/>
          </w:tcPr>
          <w:p w14:paraId="3D7A1B59"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0.8514</w:t>
            </w:r>
          </w:p>
        </w:tc>
        <w:tc>
          <w:tcPr>
            <w:tcW w:w="1643" w:type="dxa"/>
            <w:vAlign w:val="center"/>
            <w:hideMark/>
          </w:tcPr>
          <w:p w14:paraId="1077F642"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0.2018</w:t>
            </w:r>
          </w:p>
        </w:tc>
        <w:tc>
          <w:tcPr>
            <w:tcW w:w="1315" w:type="dxa"/>
            <w:vAlign w:val="center"/>
            <w:hideMark/>
          </w:tcPr>
          <w:p w14:paraId="652EFC0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4.2195</w:t>
            </w:r>
          </w:p>
        </w:tc>
      </w:tr>
      <w:tr w:rsidR="00294D85" w:rsidRPr="00F47469" w14:paraId="793D4E2A" w14:textId="77777777" w:rsidTr="00782EA4">
        <w:trPr>
          <w:trHeight w:val="31"/>
          <w:jc w:val="center"/>
        </w:trPr>
        <w:tc>
          <w:tcPr>
            <w:tcW w:w="5751" w:type="dxa"/>
            <w:vAlign w:val="center"/>
            <w:hideMark/>
          </w:tcPr>
          <w:p w14:paraId="40AA4F55"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3. Density of urban population</w:t>
            </w:r>
          </w:p>
        </w:tc>
        <w:tc>
          <w:tcPr>
            <w:tcW w:w="1150" w:type="dxa"/>
            <w:vAlign w:val="center"/>
            <w:hideMark/>
          </w:tcPr>
          <w:p w14:paraId="60B238B5"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-1.0868</w:t>
            </w:r>
          </w:p>
        </w:tc>
        <w:tc>
          <w:tcPr>
            <w:tcW w:w="1643" w:type="dxa"/>
            <w:vAlign w:val="center"/>
            <w:hideMark/>
          </w:tcPr>
          <w:p w14:paraId="303666E0"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0.3013</w:t>
            </w:r>
          </w:p>
        </w:tc>
        <w:tc>
          <w:tcPr>
            <w:tcW w:w="1315" w:type="dxa"/>
            <w:vAlign w:val="center"/>
            <w:hideMark/>
          </w:tcPr>
          <w:p w14:paraId="3215612A"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-3.6072</w:t>
            </w:r>
          </w:p>
        </w:tc>
      </w:tr>
      <w:tr w:rsidR="00294D85" w:rsidRPr="00F47469" w14:paraId="7AFC5CC6" w14:textId="77777777" w:rsidTr="00782EA4">
        <w:trPr>
          <w:trHeight w:val="31"/>
          <w:jc w:val="center"/>
        </w:trPr>
        <w:tc>
          <w:tcPr>
            <w:tcW w:w="5751" w:type="dxa"/>
            <w:vAlign w:val="center"/>
            <w:hideMark/>
          </w:tcPr>
          <w:p w14:paraId="3FEC8D28"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4. Proportion of population in hill/desert areas</w:t>
            </w:r>
          </w:p>
        </w:tc>
        <w:tc>
          <w:tcPr>
            <w:tcW w:w="1150" w:type="dxa"/>
            <w:vAlign w:val="center"/>
            <w:hideMark/>
          </w:tcPr>
          <w:p w14:paraId="70F00095"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0.0392</w:t>
            </w:r>
          </w:p>
        </w:tc>
        <w:tc>
          <w:tcPr>
            <w:tcW w:w="1643" w:type="dxa"/>
            <w:vAlign w:val="center"/>
            <w:hideMark/>
          </w:tcPr>
          <w:p w14:paraId="42535827"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0.0116</w:t>
            </w:r>
          </w:p>
        </w:tc>
        <w:tc>
          <w:tcPr>
            <w:tcW w:w="1315" w:type="dxa"/>
            <w:vAlign w:val="center"/>
            <w:hideMark/>
          </w:tcPr>
          <w:p w14:paraId="1269AC1C"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3.3827</w:t>
            </w:r>
          </w:p>
        </w:tc>
      </w:tr>
      <w:tr w:rsidR="00294D85" w:rsidRPr="00F47469" w14:paraId="36E196F8" w14:textId="77777777" w:rsidTr="00782EA4">
        <w:trPr>
          <w:trHeight w:val="31"/>
          <w:jc w:val="center"/>
        </w:trPr>
        <w:tc>
          <w:tcPr>
            <w:tcW w:w="5751" w:type="dxa"/>
            <w:vAlign w:val="center"/>
            <w:hideMark/>
          </w:tcPr>
          <w:p w14:paraId="3E801762"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Time period (1981-82 to 1983-84)</w:t>
            </w:r>
          </w:p>
        </w:tc>
        <w:tc>
          <w:tcPr>
            <w:tcW w:w="1150" w:type="dxa"/>
            <w:vAlign w:val="center"/>
            <w:hideMark/>
          </w:tcPr>
          <w:p w14:paraId="530DE364"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0.3879</w:t>
            </w:r>
          </w:p>
        </w:tc>
        <w:tc>
          <w:tcPr>
            <w:tcW w:w="1643" w:type="dxa"/>
            <w:vAlign w:val="center"/>
            <w:hideMark/>
          </w:tcPr>
          <w:p w14:paraId="56D95688"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0.3012</w:t>
            </w:r>
          </w:p>
        </w:tc>
        <w:tc>
          <w:tcPr>
            <w:tcW w:w="1315" w:type="dxa"/>
            <w:vAlign w:val="center"/>
            <w:hideMark/>
          </w:tcPr>
          <w:p w14:paraId="6AD98C20"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1.2881</w:t>
            </w:r>
          </w:p>
        </w:tc>
      </w:tr>
      <w:tr w:rsidR="00294D85" w:rsidRPr="00F47469" w14:paraId="34FFC501" w14:textId="77777777" w:rsidTr="00782EA4">
        <w:trPr>
          <w:trHeight w:val="31"/>
          <w:jc w:val="center"/>
        </w:trPr>
        <w:tc>
          <w:tcPr>
            <w:tcW w:w="5751" w:type="dxa"/>
            <w:vAlign w:val="center"/>
            <w:hideMark/>
          </w:tcPr>
          <w:p w14:paraId="07697EF0" w14:textId="77777777" w:rsidR="00294D85" w:rsidRPr="00F47469" w:rsidRDefault="00294D85" w:rsidP="00F47469">
            <w:pPr>
              <w:tabs>
                <w:tab w:val="left" w:pos="2805"/>
              </w:tabs>
              <w:spacing w:line="278" w:lineRule="auto"/>
              <w:rPr>
                <w:rFonts w:ascii="Times New Roman" w:hAnsi="Times New Roman" w:cs="Times New Roman"/>
                <w:sz w:val="16"/>
                <w:szCs w:val="16"/>
              </w:rPr>
            </w:pPr>
            <w:r w:rsidRPr="00F47469">
              <w:rPr>
                <w:rFonts w:ascii="Times New Roman" w:hAnsi="Times New Roman" w:cs="Times New Roman"/>
                <w:sz w:val="16"/>
                <w:szCs w:val="16"/>
              </w:rPr>
              <w:t>Time period (1984-85 to 1986-87)</w:t>
            </w:r>
          </w:p>
        </w:tc>
        <w:tc>
          <w:tcPr>
            <w:tcW w:w="1150" w:type="dxa"/>
            <w:vAlign w:val="center"/>
            <w:hideMark/>
          </w:tcPr>
          <w:p w14:paraId="753784AB"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-0.4294</w:t>
            </w:r>
          </w:p>
        </w:tc>
        <w:tc>
          <w:tcPr>
            <w:tcW w:w="1643" w:type="dxa"/>
            <w:vAlign w:val="center"/>
            <w:hideMark/>
          </w:tcPr>
          <w:p w14:paraId="6DE978E6"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0.3382</w:t>
            </w:r>
          </w:p>
        </w:tc>
        <w:tc>
          <w:tcPr>
            <w:tcW w:w="1315" w:type="dxa"/>
            <w:vAlign w:val="center"/>
            <w:hideMark/>
          </w:tcPr>
          <w:p w14:paraId="30CFF53C" w14:textId="77777777" w:rsidR="00294D85" w:rsidRPr="00F47469" w:rsidRDefault="00294D85" w:rsidP="00F47469">
            <w:pPr>
              <w:tabs>
                <w:tab w:val="left" w:pos="2805"/>
              </w:tabs>
              <w:spacing w:line="278" w:lineRule="auto"/>
              <w:jc w:val="center"/>
              <w:rPr>
                <w:rFonts w:ascii="Times New Roman" w:hAnsi="Times New Roman" w:cs="Times New Roman"/>
                <w:sz w:val="16"/>
                <w:szCs w:val="16"/>
              </w:rPr>
            </w:pPr>
            <w:r w:rsidRPr="00F47469">
              <w:rPr>
                <w:rFonts w:ascii="Times New Roman" w:hAnsi="Times New Roman" w:cs="Times New Roman"/>
                <w:sz w:val="16"/>
                <w:szCs w:val="16"/>
              </w:rPr>
              <w:t>-1.2698</w:t>
            </w:r>
          </w:p>
        </w:tc>
      </w:tr>
    </w:tbl>
    <w:p w14:paraId="3766B4A9" w14:textId="3E1E7F84" w:rsidR="00782EA4" w:rsidRPr="00782EA4" w:rsidRDefault="00782EA4" w:rsidP="00782EA4">
      <w:pPr>
        <w:tabs>
          <w:tab w:val="left" w:pos="2805"/>
        </w:tabs>
        <w:spacing w:after="0"/>
        <w:ind w:left="720"/>
        <w:rPr>
          <w:rFonts w:ascii="Times New Roman" w:hAnsi="Times New Roman" w:cs="Times New Roman"/>
          <w:sz w:val="18"/>
          <w:szCs w:val="18"/>
        </w:rPr>
      </w:pPr>
      <w:r w:rsidRPr="00782EA4">
        <w:rPr>
          <w:rFonts w:ascii="Times New Roman" w:hAnsi="Times New Roman" w:cs="Times New Roman"/>
          <w:sz w:val="18"/>
          <w:szCs w:val="18"/>
        </w:rPr>
        <w:t>R - Squared</w:t>
      </w:r>
      <w:r w:rsidRPr="00782EA4">
        <w:rPr>
          <w:rFonts w:ascii="Times New Roman" w:hAnsi="Times New Roman" w:cs="Times New Roman"/>
          <w:sz w:val="18"/>
          <w:szCs w:val="18"/>
        </w:rPr>
        <w:tab/>
        <w:t>0.6851</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Residual Sum of Squares</w:t>
      </w:r>
      <w:r w:rsidRPr="00782EA4">
        <w:rPr>
          <w:rFonts w:ascii="Times New Roman" w:hAnsi="Times New Roman" w:cs="Times New Roman"/>
          <w:sz w:val="18"/>
          <w:szCs w:val="18"/>
        </w:rPr>
        <w:tab/>
        <w:t>5.1961</w:t>
      </w:r>
    </w:p>
    <w:p w14:paraId="533598C5" w14:textId="330EC8B1" w:rsidR="00294D85" w:rsidRPr="00782EA4" w:rsidRDefault="00782EA4" w:rsidP="00782EA4">
      <w:pPr>
        <w:tabs>
          <w:tab w:val="left" w:pos="2805"/>
        </w:tabs>
        <w:spacing w:after="0"/>
        <w:ind w:left="720"/>
        <w:rPr>
          <w:rFonts w:ascii="Times New Roman" w:hAnsi="Times New Roman" w:cs="Times New Roman"/>
          <w:sz w:val="18"/>
          <w:szCs w:val="18"/>
        </w:rPr>
      </w:pPr>
      <w:r w:rsidRPr="00782EA4">
        <w:rPr>
          <w:rFonts w:ascii="Times New Roman" w:hAnsi="Times New Roman" w:cs="Times New Roman"/>
          <w:sz w:val="18"/>
          <w:szCs w:val="18"/>
        </w:rPr>
        <w:t>R - Bar - Squared</w:t>
      </w:r>
      <w:r w:rsidRPr="00782EA4">
        <w:rPr>
          <w:rFonts w:ascii="Times New Roman" w:hAnsi="Times New Roman" w:cs="Times New Roman"/>
          <w:sz w:val="18"/>
          <w:szCs w:val="18"/>
        </w:rPr>
        <w:tab/>
        <w:t>0.6135</w:t>
      </w:r>
      <w:r w:rsidRPr="00782EA4">
        <w:rPr>
          <w:rFonts w:ascii="Times New Roman" w:hAnsi="Times New Roman" w:cs="Times New Roman"/>
          <w:sz w:val="18"/>
          <w:szCs w:val="18"/>
        </w:rPr>
        <w:tab/>
      </w:r>
      <w:r>
        <w:rPr>
          <w:rFonts w:ascii="Times New Roman" w:hAnsi="Times New Roman" w:cs="Times New Roman"/>
          <w:sz w:val="18"/>
          <w:szCs w:val="18"/>
        </w:rPr>
        <w:tab/>
      </w:r>
      <w:r w:rsidRPr="00782EA4">
        <w:rPr>
          <w:rFonts w:ascii="Times New Roman" w:hAnsi="Times New Roman" w:cs="Times New Roman"/>
          <w:sz w:val="18"/>
          <w:szCs w:val="18"/>
        </w:rPr>
        <w:t>S.E. of Regression</w:t>
      </w:r>
      <w:r w:rsidRPr="00782EA4">
        <w:rPr>
          <w:rFonts w:ascii="Times New Roman" w:hAnsi="Times New Roman" w:cs="Times New Roman"/>
          <w:sz w:val="18"/>
          <w:szCs w:val="18"/>
        </w:rPr>
        <w:tab/>
        <w:t>0.4860</w:t>
      </w:r>
    </w:p>
    <w:p w14:paraId="0C5A4555" w14:textId="5B64702D" w:rsidR="00294D85" w:rsidRPr="009F214D" w:rsidRDefault="00294D85" w:rsidP="00F64FEC">
      <w:pPr>
        <w:tabs>
          <w:tab w:val="left" w:pos="2805"/>
        </w:tabs>
        <w:spacing w:after="0"/>
        <w:jc w:val="center"/>
        <w:rPr>
          <w:rFonts w:ascii="Times New Roman" w:hAnsi="Times New Roman" w:cs="Times New Roman"/>
          <w:sz w:val="20"/>
          <w:szCs w:val="20"/>
        </w:rPr>
      </w:pPr>
      <w:r w:rsidRPr="009F214D">
        <w:rPr>
          <w:rFonts w:ascii="Times New Roman" w:hAnsi="Times New Roman" w:cs="Times New Roman"/>
          <w:b/>
          <w:bCs/>
          <w:sz w:val="20"/>
          <w:szCs w:val="20"/>
        </w:rPr>
        <w:t>Diagnostic Tests</w:t>
      </w:r>
    </w:p>
    <w:tbl>
      <w:tblPr>
        <w:tblStyle w:val="TableGrid"/>
        <w:tblW w:w="9813" w:type="dxa"/>
        <w:jc w:val="center"/>
        <w:tblLook w:val="04A0" w:firstRow="1" w:lastRow="0" w:firstColumn="1" w:lastColumn="0" w:noHBand="0" w:noVBand="1"/>
      </w:tblPr>
      <w:tblGrid>
        <w:gridCol w:w="3127"/>
        <w:gridCol w:w="3551"/>
        <w:gridCol w:w="3135"/>
      </w:tblGrid>
      <w:tr w:rsidR="00294D85" w:rsidRPr="00AA6AF4" w14:paraId="01B40848" w14:textId="77777777" w:rsidTr="00782EA4">
        <w:trPr>
          <w:trHeight w:val="440"/>
          <w:jc w:val="center"/>
        </w:trPr>
        <w:tc>
          <w:tcPr>
            <w:tcW w:w="3127" w:type="dxa"/>
            <w:vAlign w:val="center"/>
            <w:hideMark/>
          </w:tcPr>
          <w:p w14:paraId="7E227AC2" w14:textId="77777777" w:rsidR="00294D85" w:rsidRPr="009F214D" w:rsidRDefault="00294D85" w:rsidP="009F214D">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Test Statistics</w:t>
            </w:r>
          </w:p>
        </w:tc>
        <w:tc>
          <w:tcPr>
            <w:tcW w:w="3551" w:type="dxa"/>
            <w:vAlign w:val="center"/>
            <w:hideMark/>
          </w:tcPr>
          <w:p w14:paraId="0BCC5D1D" w14:textId="77777777" w:rsidR="00294D85" w:rsidRPr="009F214D" w:rsidRDefault="00294D85" w:rsidP="009F214D">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LM Version</w:t>
            </w:r>
          </w:p>
        </w:tc>
        <w:tc>
          <w:tcPr>
            <w:tcW w:w="3135" w:type="dxa"/>
            <w:vAlign w:val="center"/>
            <w:hideMark/>
          </w:tcPr>
          <w:p w14:paraId="3A1CE618" w14:textId="77777777" w:rsidR="00294D85" w:rsidRPr="009F214D" w:rsidRDefault="00294D85" w:rsidP="009F214D">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F Version</w:t>
            </w:r>
          </w:p>
        </w:tc>
      </w:tr>
      <w:tr w:rsidR="00294D85" w:rsidRPr="00AA6AF4" w14:paraId="600E4B9E" w14:textId="77777777" w:rsidTr="00782EA4">
        <w:trPr>
          <w:trHeight w:val="48"/>
          <w:jc w:val="center"/>
        </w:trPr>
        <w:tc>
          <w:tcPr>
            <w:tcW w:w="3127" w:type="dxa"/>
            <w:vAlign w:val="center"/>
            <w:hideMark/>
          </w:tcPr>
          <w:p w14:paraId="72AE524C" w14:textId="77777777" w:rsidR="00294D85" w:rsidRPr="009F214D" w:rsidRDefault="00294D85" w:rsidP="009F214D">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b/>
                <w:bCs/>
                <w:sz w:val="16"/>
                <w:szCs w:val="16"/>
              </w:rPr>
              <w:t>A: Serial Correlation</w:t>
            </w:r>
          </w:p>
        </w:tc>
        <w:tc>
          <w:tcPr>
            <w:tcW w:w="3551" w:type="dxa"/>
            <w:vAlign w:val="center"/>
            <w:hideMark/>
          </w:tcPr>
          <w:p w14:paraId="24982AE5"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CHI-</w:t>
            </w:r>
            <w:proofErr w:type="gramStart"/>
            <w:r w:rsidRPr="009F214D">
              <w:rPr>
                <w:rFonts w:ascii="Times New Roman" w:hAnsi="Times New Roman" w:cs="Times New Roman"/>
                <w:sz w:val="16"/>
                <w:szCs w:val="16"/>
              </w:rPr>
              <w:t>SQ(</w:t>
            </w:r>
            <w:proofErr w:type="gramEnd"/>
            <w:r w:rsidRPr="009F214D">
              <w:rPr>
                <w:rFonts w:ascii="Times New Roman" w:hAnsi="Times New Roman" w:cs="Times New Roman"/>
                <w:sz w:val="16"/>
                <w:szCs w:val="16"/>
              </w:rPr>
              <w:t>1) = 4.8699</w:t>
            </w:r>
          </w:p>
        </w:tc>
        <w:tc>
          <w:tcPr>
            <w:tcW w:w="3135" w:type="dxa"/>
            <w:vAlign w:val="center"/>
            <w:hideMark/>
          </w:tcPr>
          <w:p w14:paraId="7CB2525A"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proofErr w:type="gramStart"/>
            <w:r w:rsidRPr="009F214D">
              <w:rPr>
                <w:rFonts w:ascii="Times New Roman" w:hAnsi="Times New Roman" w:cs="Times New Roman"/>
                <w:sz w:val="16"/>
                <w:szCs w:val="16"/>
              </w:rPr>
              <w:t>F(</w:t>
            </w:r>
            <w:proofErr w:type="gramEnd"/>
            <w:r w:rsidRPr="009F214D">
              <w:rPr>
                <w:rFonts w:ascii="Times New Roman" w:hAnsi="Times New Roman" w:cs="Times New Roman"/>
                <w:sz w:val="16"/>
                <w:szCs w:val="16"/>
              </w:rPr>
              <w:t>1, 21) = 4.4214</w:t>
            </w:r>
          </w:p>
        </w:tc>
      </w:tr>
      <w:tr w:rsidR="00294D85" w:rsidRPr="00AA6AF4" w14:paraId="52705B1F" w14:textId="77777777" w:rsidTr="00782EA4">
        <w:trPr>
          <w:trHeight w:val="48"/>
          <w:jc w:val="center"/>
        </w:trPr>
        <w:tc>
          <w:tcPr>
            <w:tcW w:w="3127" w:type="dxa"/>
            <w:vAlign w:val="center"/>
            <w:hideMark/>
          </w:tcPr>
          <w:p w14:paraId="1F77CF3B" w14:textId="77777777" w:rsidR="00294D85" w:rsidRPr="009F214D" w:rsidRDefault="00294D85" w:rsidP="009F214D">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b/>
                <w:bCs/>
                <w:sz w:val="16"/>
                <w:szCs w:val="16"/>
              </w:rPr>
              <w:t>B: Functional Form</w:t>
            </w:r>
          </w:p>
        </w:tc>
        <w:tc>
          <w:tcPr>
            <w:tcW w:w="3551" w:type="dxa"/>
            <w:vAlign w:val="center"/>
            <w:hideMark/>
          </w:tcPr>
          <w:p w14:paraId="5255D450"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CHI-</w:t>
            </w:r>
            <w:proofErr w:type="gramStart"/>
            <w:r w:rsidRPr="009F214D">
              <w:rPr>
                <w:rFonts w:ascii="Times New Roman" w:hAnsi="Times New Roman" w:cs="Times New Roman"/>
                <w:sz w:val="16"/>
                <w:szCs w:val="16"/>
              </w:rPr>
              <w:t>SQ(</w:t>
            </w:r>
            <w:proofErr w:type="gramEnd"/>
            <w:r w:rsidRPr="009F214D">
              <w:rPr>
                <w:rFonts w:ascii="Times New Roman" w:hAnsi="Times New Roman" w:cs="Times New Roman"/>
                <w:sz w:val="16"/>
                <w:szCs w:val="16"/>
              </w:rPr>
              <w:t>1) = 0.2659</w:t>
            </w:r>
          </w:p>
        </w:tc>
        <w:tc>
          <w:tcPr>
            <w:tcW w:w="3135" w:type="dxa"/>
            <w:vAlign w:val="center"/>
            <w:hideMark/>
          </w:tcPr>
          <w:p w14:paraId="41BEDEA6"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proofErr w:type="gramStart"/>
            <w:r w:rsidRPr="009F214D">
              <w:rPr>
                <w:rFonts w:ascii="Times New Roman" w:hAnsi="Times New Roman" w:cs="Times New Roman"/>
                <w:sz w:val="16"/>
                <w:szCs w:val="16"/>
              </w:rPr>
              <w:t>F(</w:t>
            </w:r>
            <w:proofErr w:type="gramEnd"/>
            <w:r w:rsidRPr="009F214D">
              <w:rPr>
                <w:rFonts w:ascii="Times New Roman" w:hAnsi="Times New Roman" w:cs="Times New Roman"/>
                <w:sz w:val="16"/>
                <w:szCs w:val="16"/>
              </w:rPr>
              <w:t>1, 21) = 0.2013</w:t>
            </w:r>
          </w:p>
        </w:tc>
      </w:tr>
      <w:tr w:rsidR="00294D85" w:rsidRPr="00AA6AF4" w14:paraId="77C9522E" w14:textId="77777777" w:rsidTr="00782EA4">
        <w:trPr>
          <w:trHeight w:val="48"/>
          <w:jc w:val="center"/>
        </w:trPr>
        <w:tc>
          <w:tcPr>
            <w:tcW w:w="3127" w:type="dxa"/>
            <w:vAlign w:val="center"/>
            <w:hideMark/>
          </w:tcPr>
          <w:p w14:paraId="3B64A5C7" w14:textId="77777777" w:rsidR="00294D85" w:rsidRPr="009F214D" w:rsidRDefault="00294D85" w:rsidP="009F214D">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b/>
                <w:bCs/>
                <w:sz w:val="16"/>
                <w:szCs w:val="16"/>
              </w:rPr>
              <w:t>C: Normality</w:t>
            </w:r>
          </w:p>
        </w:tc>
        <w:tc>
          <w:tcPr>
            <w:tcW w:w="3551" w:type="dxa"/>
            <w:vAlign w:val="center"/>
            <w:hideMark/>
          </w:tcPr>
          <w:p w14:paraId="1F38A441"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CHI-</w:t>
            </w:r>
            <w:proofErr w:type="gramStart"/>
            <w:r w:rsidRPr="009F214D">
              <w:rPr>
                <w:rFonts w:ascii="Times New Roman" w:hAnsi="Times New Roman" w:cs="Times New Roman"/>
                <w:sz w:val="16"/>
                <w:szCs w:val="16"/>
              </w:rPr>
              <w:t>SQ(</w:t>
            </w:r>
            <w:proofErr w:type="gramEnd"/>
            <w:r w:rsidRPr="009F214D">
              <w:rPr>
                <w:rFonts w:ascii="Times New Roman" w:hAnsi="Times New Roman" w:cs="Times New Roman"/>
                <w:sz w:val="16"/>
                <w:szCs w:val="16"/>
              </w:rPr>
              <w:t>2) = 1.8951</w:t>
            </w:r>
          </w:p>
        </w:tc>
        <w:tc>
          <w:tcPr>
            <w:tcW w:w="3135" w:type="dxa"/>
            <w:vAlign w:val="center"/>
            <w:hideMark/>
          </w:tcPr>
          <w:p w14:paraId="5B0206BC"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Not Applicable</w:t>
            </w:r>
          </w:p>
        </w:tc>
      </w:tr>
      <w:tr w:rsidR="00294D85" w:rsidRPr="00AA6AF4" w14:paraId="0DA9C499" w14:textId="77777777" w:rsidTr="00782EA4">
        <w:trPr>
          <w:trHeight w:val="48"/>
          <w:jc w:val="center"/>
        </w:trPr>
        <w:tc>
          <w:tcPr>
            <w:tcW w:w="3127" w:type="dxa"/>
            <w:vAlign w:val="center"/>
            <w:hideMark/>
          </w:tcPr>
          <w:p w14:paraId="0162A088" w14:textId="77777777" w:rsidR="00294D85" w:rsidRPr="009F214D" w:rsidRDefault="00294D85" w:rsidP="009F214D">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b/>
                <w:bCs/>
                <w:sz w:val="16"/>
                <w:szCs w:val="16"/>
              </w:rPr>
              <w:t>D: Heteroscedasticity</w:t>
            </w:r>
          </w:p>
        </w:tc>
        <w:tc>
          <w:tcPr>
            <w:tcW w:w="3551" w:type="dxa"/>
            <w:vAlign w:val="center"/>
            <w:hideMark/>
          </w:tcPr>
          <w:p w14:paraId="3FB53196"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CHI-</w:t>
            </w:r>
            <w:proofErr w:type="gramStart"/>
            <w:r w:rsidRPr="009F214D">
              <w:rPr>
                <w:rFonts w:ascii="Times New Roman" w:hAnsi="Times New Roman" w:cs="Times New Roman"/>
                <w:sz w:val="16"/>
                <w:szCs w:val="16"/>
              </w:rPr>
              <w:t>SQ(</w:t>
            </w:r>
            <w:proofErr w:type="gramEnd"/>
            <w:r w:rsidRPr="009F214D">
              <w:rPr>
                <w:rFonts w:ascii="Times New Roman" w:hAnsi="Times New Roman" w:cs="Times New Roman"/>
                <w:sz w:val="16"/>
                <w:szCs w:val="16"/>
              </w:rPr>
              <w:t>1) = 0.9744</w:t>
            </w:r>
          </w:p>
        </w:tc>
        <w:tc>
          <w:tcPr>
            <w:tcW w:w="3135" w:type="dxa"/>
            <w:vAlign w:val="center"/>
            <w:hideMark/>
          </w:tcPr>
          <w:p w14:paraId="253C1978" w14:textId="77777777" w:rsidR="00294D85" w:rsidRPr="009F214D" w:rsidRDefault="00294D85" w:rsidP="009F214D">
            <w:pPr>
              <w:tabs>
                <w:tab w:val="left" w:pos="2805"/>
              </w:tabs>
              <w:spacing w:line="278" w:lineRule="auto"/>
              <w:jc w:val="center"/>
              <w:rPr>
                <w:rFonts w:ascii="Times New Roman" w:hAnsi="Times New Roman" w:cs="Times New Roman"/>
                <w:sz w:val="16"/>
                <w:szCs w:val="16"/>
              </w:rPr>
            </w:pPr>
            <w:proofErr w:type="gramStart"/>
            <w:r w:rsidRPr="009F214D">
              <w:rPr>
                <w:rFonts w:ascii="Times New Roman" w:hAnsi="Times New Roman" w:cs="Times New Roman"/>
                <w:sz w:val="16"/>
                <w:szCs w:val="16"/>
              </w:rPr>
              <w:t>F(</w:t>
            </w:r>
            <w:proofErr w:type="gramEnd"/>
            <w:r w:rsidRPr="009F214D">
              <w:rPr>
                <w:rFonts w:ascii="Times New Roman" w:hAnsi="Times New Roman" w:cs="Times New Roman"/>
                <w:sz w:val="16"/>
                <w:szCs w:val="16"/>
              </w:rPr>
              <w:t>1, 26) = 0.9374</w:t>
            </w:r>
          </w:p>
        </w:tc>
      </w:tr>
    </w:tbl>
    <w:p w14:paraId="44E7D74E" w14:textId="77777777" w:rsidR="00294D85" w:rsidRPr="00782EA4" w:rsidRDefault="00294D85" w:rsidP="00F64FEC">
      <w:pPr>
        <w:tabs>
          <w:tab w:val="left" w:pos="2805"/>
        </w:tabs>
        <w:spacing w:after="0"/>
        <w:ind w:left="2160"/>
        <w:rPr>
          <w:rFonts w:ascii="Times New Roman" w:hAnsi="Times New Roman" w:cs="Times New Roman"/>
          <w:sz w:val="14"/>
          <w:szCs w:val="14"/>
        </w:rPr>
      </w:pPr>
      <w:r w:rsidRPr="00782EA4">
        <w:rPr>
          <w:rFonts w:ascii="Times New Roman" w:hAnsi="Times New Roman" w:cs="Times New Roman"/>
          <w:b/>
          <w:bCs/>
          <w:sz w:val="14"/>
          <w:szCs w:val="14"/>
        </w:rPr>
        <w:t>Note: Diagnostic Tests:</w:t>
      </w:r>
    </w:p>
    <w:p w14:paraId="0D3BAE3F" w14:textId="77777777" w:rsidR="00294D85" w:rsidRPr="00782EA4" w:rsidRDefault="00294D85" w:rsidP="00F64FEC">
      <w:pPr>
        <w:tabs>
          <w:tab w:val="left" w:pos="2805"/>
        </w:tabs>
        <w:spacing w:after="0"/>
        <w:ind w:left="2880"/>
        <w:rPr>
          <w:rFonts w:ascii="Times New Roman" w:hAnsi="Times New Roman" w:cs="Times New Roman"/>
          <w:sz w:val="14"/>
          <w:szCs w:val="14"/>
        </w:rPr>
      </w:pPr>
      <w:r w:rsidRPr="00782EA4">
        <w:rPr>
          <w:rFonts w:ascii="Times New Roman" w:hAnsi="Times New Roman" w:cs="Times New Roman"/>
          <w:b/>
          <w:bCs/>
          <w:sz w:val="14"/>
          <w:szCs w:val="14"/>
        </w:rPr>
        <w:t>A:</w:t>
      </w:r>
      <w:r w:rsidRPr="00782EA4">
        <w:rPr>
          <w:rFonts w:ascii="Times New Roman" w:hAnsi="Times New Roman" w:cs="Times New Roman"/>
          <w:sz w:val="14"/>
          <w:szCs w:val="14"/>
        </w:rPr>
        <w:t> Lagrange multiplier test of residual serial correlation.</w:t>
      </w:r>
    </w:p>
    <w:p w14:paraId="4598515F" w14:textId="77777777" w:rsidR="00294D85" w:rsidRPr="00782EA4" w:rsidRDefault="00294D85" w:rsidP="00F64FEC">
      <w:pPr>
        <w:tabs>
          <w:tab w:val="left" w:pos="2805"/>
        </w:tabs>
        <w:spacing w:after="0"/>
        <w:ind w:left="2880"/>
        <w:rPr>
          <w:rFonts w:ascii="Times New Roman" w:hAnsi="Times New Roman" w:cs="Times New Roman"/>
          <w:sz w:val="14"/>
          <w:szCs w:val="14"/>
        </w:rPr>
      </w:pPr>
      <w:r w:rsidRPr="00782EA4">
        <w:rPr>
          <w:rFonts w:ascii="Times New Roman" w:hAnsi="Times New Roman" w:cs="Times New Roman"/>
          <w:b/>
          <w:bCs/>
          <w:sz w:val="14"/>
          <w:szCs w:val="14"/>
        </w:rPr>
        <w:t>B:</w:t>
      </w:r>
      <w:r w:rsidRPr="00782EA4">
        <w:rPr>
          <w:rFonts w:ascii="Times New Roman" w:hAnsi="Times New Roman" w:cs="Times New Roman"/>
          <w:sz w:val="14"/>
          <w:szCs w:val="14"/>
        </w:rPr>
        <w:t> Ramsey's RESET test using the square of the fitted values.</w:t>
      </w:r>
    </w:p>
    <w:p w14:paraId="7F7682F9" w14:textId="77777777" w:rsidR="00294D85" w:rsidRPr="00782EA4" w:rsidRDefault="00294D85" w:rsidP="00F64FEC">
      <w:pPr>
        <w:tabs>
          <w:tab w:val="left" w:pos="2805"/>
        </w:tabs>
        <w:spacing w:after="0"/>
        <w:ind w:left="2880"/>
        <w:rPr>
          <w:rFonts w:ascii="Times New Roman" w:hAnsi="Times New Roman" w:cs="Times New Roman"/>
          <w:sz w:val="14"/>
          <w:szCs w:val="14"/>
        </w:rPr>
      </w:pPr>
      <w:r w:rsidRPr="00782EA4">
        <w:rPr>
          <w:rFonts w:ascii="Times New Roman" w:hAnsi="Times New Roman" w:cs="Times New Roman"/>
          <w:b/>
          <w:bCs/>
          <w:sz w:val="14"/>
          <w:szCs w:val="14"/>
        </w:rPr>
        <w:t>C:</w:t>
      </w:r>
      <w:r w:rsidRPr="00782EA4">
        <w:rPr>
          <w:rFonts w:ascii="Times New Roman" w:hAnsi="Times New Roman" w:cs="Times New Roman"/>
          <w:sz w:val="14"/>
          <w:szCs w:val="14"/>
        </w:rPr>
        <w:t> Based on a test of skewness and kurtosis of residuals.</w:t>
      </w:r>
    </w:p>
    <w:p w14:paraId="03A10F2A" w14:textId="19145B25" w:rsidR="00294D85" w:rsidRPr="00782EA4" w:rsidRDefault="00294D85" w:rsidP="00F64FEC">
      <w:pPr>
        <w:tabs>
          <w:tab w:val="left" w:pos="2805"/>
        </w:tabs>
        <w:spacing w:after="0"/>
        <w:ind w:left="2880"/>
        <w:rPr>
          <w:rFonts w:ascii="Times New Roman" w:hAnsi="Times New Roman" w:cs="Times New Roman"/>
          <w:sz w:val="14"/>
          <w:szCs w:val="14"/>
        </w:rPr>
      </w:pPr>
      <w:r w:rsidRPr="00782EA4">
        <w:rPr>
          <w:rFonts w:ascii="Times New Roman" w:hAnsi="Times New Roman" w:cs="Times New Roman"/>
          <w:b/>
          <w:bCs/>
          <w:sz w:val="14"/>
          <w:szCs w:val="14"/>
        </w:rPr>
        <w:t>D:</w:t>
      </w:r>
      <w:r w:rsidRPr="00782EA4">
        <w:rPr>
          <w:rFonts w:ascii="Times New Roman" w:hAnsi="Times New Roman" w:cs="Times New Roman"/>
          <w:sz w:val="14"/>
          <w:szCs w:val="14"/>
        </w:rPr>
        <w:t> Based on the regression of squared residuals on squared fitted values.</w:t>
      </w:r>
    </w:p>
    <w:p w14:paraId="345101B8" w14:textId="2654DE6B" w:rsidR="00294D85" w:rsidRPr="00F64FEC" w:rsidRDefault="00294D85" w:rsidP="00DF6987">
      <w:pPr>
        <w:tabs>
          <w:tab w:val="left" w:pos="2805"/>
        </w:tabs>
        <w:spacing w:after="0"/>
        <w:jc w:val="center"/>
        <w:rPr>
          <w:rFonts w:ascii="Times New Roman" w:hAnsi="Times New Roman" w:cs="Times New Roman"/>
          <w:b/>
          <w:bCs/>
          <w:sz w:val="20"/>
          <w:szCs w:val="20"/>
        </w:rPr>
      </w:pPr>
      <w:r w:rsidRPr="00F64FEC">
        <w:rPr>
          <w:rFonts w:ascii="Times New Roman" w:hAnsi="Times New Roman" w:cs="Times New Roman"/>
          <w:b/>
          <w:bCs/>
          <w:sz w:val="20"/>
          <w:szCs w:val="20"/>
        </w:rPr>
        <w:lastRenderedPageBreak/>
        <w:t>TABLE B.5.2</w:t>
      </w:r>
      <w:r w:rsidR="009F214D" w:rsidRPr="00F64FEC">
        <w:rPr>
          <w:rFonts w:ascii="Times New Roman" w:hAnsi="Times New Roman" w:cs="Times New Roman"/>
          <w:b/>
          <w:bCs/>
          <w:sz w:val="20"/>
          <w:szCs w:val="20"/>
        </w:rPr>
        <w:t xml:space="preserve"> </w:t>
      </w:r>
      <w:r w:rsidR="009F214D" w:rsidRPr="00F64FEC">
        <w:rPr>
          <w:rFonts w:ascii="Times New Roman" w:hAnsi="Times New Roman" w:cs="Times New Roman"/>
          <w:b/>
          <w:bCs/>
          <w:sz w:val="20"/>
          <w:szCs w:val="20"/>
        </w:rPr>
        <w:br/>
      </w:r>
      <w:r w:rsidRPr="00F64FEC">
        <w:rPr>
          <w:rFonts w:ascii="Times New Roman" w:hAnsi="Times New Roman" w:cs="Times New Roman"/>
          <w:sz w:val="20"/>
          <w:szCs w:val="20"/>
        </w:rPr>
        <w:t>Comparison of Normative and Actual Expenditures (non-Plan) in 1986-87</w:t>
      </w:r>
    </w:p>
    <w:p w14:paraId="22BBB72D" w14:textId="741253E7" w:rsidR="00294D85" w:rsidRPr="00F64FEC" w:rsidRDefault="00294D85" w:rsidP="00F64FEC">
      <w:pPr>
        <w:tabs>
          <w:tab w:val="left" w:pos="2805"/>
        </w:tabs>
        <w:spacing w:after="0"/>
        <w:jc w:val="center"/>
        <w:rPr>
          <w:rFonts w:ascii="Times New Roman" w:hAnsi="Times New Roman" w:cs="Times New Roman"/>
          <w:b/>
          <w:bCs/>
          <w:sz w:val="20"/>
          <w:szCs w:val="20"/>
        </w:rPr>
      </w:pPr>
    </w:p>
    <w:tbl>
      <w:tblPr>
        <w:tblStyle w:val="TableGrid"/>
        <w:tblW w:w="9072" w:type="dxa"/>
        <w:jc w:val="center"/>
        <w:tblLook w:val="04A0" w:firstRow="1" w:lastRow="0" w:firstColumn="1" w:lastColumn="0" w:noHBand="0" w:noVBand="1"/>
      </w:tblPr>
      <w:tblGrid>
        <w:gridCol w:w="581"/>
        <w:gridCol w:w="1316"/>
        <w:gridCol w:w="976"/>
        <w:gridCol w:w="976"/>
        <w:gridCol w:w="1402"/>
        <w:gridCol w:w="975"/>
        <w:gridCol w:w="963"/>
        <w:gridCol w:w="964"/>
        <w:gridCol w:w="919"/>
      </w:tblGrid>
      <w:tr w:rsidR="00B933C9" w:rsidRPr="009F214D" w14:paraId="62774018" w14:textId="77777777" w:rsidTr="00B933C9">
        <w:trPr>
          <w:trHeight w:val="20"/>
          <w:jc w:val="center"/>
        </w:trPr>
        <w:tc>
          <w:tcPr>
            <w:tcW w:w="581" w:type="dxa"/>
            <w:vAlign w:val="center"/>
            <w:hideMark/>
          </w:tcPr>
          <w:p w14:paraId="166F1031" w14:textId="232A8496" w:rsidR="00294D85" w:rsidRPr="009F214D" w:rsidRDefault="00F64FEC" w:rsidP="00DF6987">
            <w:pPr>
              <w:tabs>
                <w:tab w:val="left" w:pos="2805"/>
              </w:tabs>
              <w:spacing w:line="278" w:lineRule="auto"/>
              <w:jc w:val="center"/>
              <w:rPr>
                <w:rFonts w:ascii="Times New Roman" w:hAnsi="Times New Roman" w:cs="Times New Roman"/>
                <w:b/>
                <w:bCs/>
                <w:sz w:val="16"/>
                <w:szCs w:val="16"/>
              </w:rPr>
            </w:pPr>
            <w:proofErr w:type="spellStart"/>
            <w:r>
              <w:rPr>
                <w:rFonts w:ascii="Times New Roman" w:hAnsi="Times New Roman" w:cs="Times New Roman"/>
                <w:b/>
                <w:bCs/>
                <w:sz w:val="16"/>
                <w:szCs w:val="16"/>
              </w:rPr>
              <w:t>S.</w:t>
            </w:r>
            <w:r w:rsidR="00294D85" w:rsidRPr="009F214D">
              <w:rPr>
                <w:rFonts w:ascii="Times New Roman" w:hAnsi="Times New Roman" w:cs="Times New Roman"/>
                <w:b/>
                <w:bCs/>
                <w:sz w:val="16"/>
                <w:szCs w:val="16"/>
              </w:rPr>
              <w:t>No</w:t>
            </w:r>
            <w:proofErr w:type="spellEnd"/>
            <w:r w:rsidR="00294D85" w:rsidRPr="009F214D">
              <w:rPr>
                <w:rFonts w:ascii="Times New Roman" w:hAnsi="Times New Roman" w:cs="Times New Roman"/>
                <w:b/>
                <w:bCs/>
                <w:sz w:val="16"/>
                <w:szCs w:val="16"/>
              </w:rPr>
              <w:t>.</w:t>
            </w:r>
          </w:p>
        </w:tc>
        <w:tc>
          <w:tcPr>
            <w:tcW w:w="1339" w:type="dxa"/>
            <w:vAlign w:val="center"/>
            <w:hideMark/>
          </w:tcPr>
          <w:p w14:paraId="3DCCEF48"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State</w:t>
            </w:r>
          </w:p>
        </w:tc>
        <w:tc>
          <w:tcPr>
            <w:tcW w:w="896" w:type="dxa"/>
            <w:vAlign w:val="center"/>
            <w:hideMark/>
          </w:tcPr>
          <w:p w14:paraId="7A0481EE"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Actual Exp. (Rs. Lakh)</w:t>
            </w:r>
          </w:p>
        </w:tc>
        <w:tc>
          <w:tcPr>
            <w:tcW w:w="963" w:type="dxa"/>
            <w:vAlign w:val="center"/>
            <w:hideMark/>
          </w:tcPr>
          <w:p w14:paraId="19F9936E"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Normative Exp. (Rs. Lakh)</w:t>
            </w:r>
          </w:p>
        </w:tc>
        <w:tc>
          <w:tcPr>
            <w:tcW w:w="1440" w:type="dxa"/>
            <w:vAlign w:val="center"/>
            <w:hideMark/>
          </w:tcPr>
          <w:p w14:paraId="1699A221"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Deviation (Rs. Lakh)</w:t>
            </w:r>
          </w:p>
        </w:tc>
        <w:tc>
          <w:tcPr>
            <w:tcW w:w="982" w:type="dxa"/>
            <w:vAlign w:val="center"/>
            <w:hideMark/>
          </w:tcPr>
          <w:p w14:paraId="1EED8430"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 Deviation From Actual</w:t>
            </w:r>
          </w:p>
        </w:tc>
        <w:tc>
          <w:tcPr>
            <w:tcW w:w="984" w:type="dxa"/>
            <w:vAlign w:val="center"/>
            <w:hideMark/>
          </w:tcPr>
          <w:p w14:paraId="18F4E1C2"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Per Capita Actual Exp. (Rs.)</w:t>
            </w:r>
          </w:p>
        </w:tc>
        <w:tc>
          <w:tcPr>
            <w:tcW w:w="965" w:type="dxa"/>
            <w:vAlign w:val="center"/>
            <w:hideMark/>
          </w:tcPr>
          <w:p w14:paraId="05858B6C"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Per Capita Normative Exp. (Rs.)</w:t>
            </w:r>
          </w:p>
        </w:tc>
        <w:tc>
          <w:tcPr>
            <w:tcW w:w="922" w:type="dxa"/>
            <w:vAlign w:val="center"/>
            <w:hideMark/>
          </w:tcPr>
          <w:p w14:paraId="6F426DB2" w14:textId="77777777" w:rsidR="00294D85" w:rsidRPr="009F214D" w:rsidRDefault="00294D85" w:rsidP="00DF6987">
            <w:pPr>
              <w:tabs>
                <w:tab w:val="left" w:pos="2805"/>
              </w:tabs>
              <w:spacing w:line="278" w:lineRule="auto"/>
              <w:jc w:val="center"/>
              <w:rPr>
                <w:rFonts w:ascii="Times New Roman" w:hAnsi="Times New Roman" w:cs="Times New Roman"/>
                <w:b/>
                <w:bCs/>
                <w:sz w:val="16"/>
                <w:szCs w:val="16"/>
              </w:rPr>
            </w:pPr>
            <w:r w:rsidRPr="009F214D">
              <w:rPr>
                <w:rFonts w:ascii="Times New Roman" w:hAnsi="Times New Roman" w:cs="Times New Roman"/>
                <w:b/>
                <w:bCs/>
                <w:sz w:val="16"/>
                <w:szCs w:val="16"/>
              </w:rPr>
              <w:t>Per Capita Deviation (Rs.)</w:t>
            </w:r>
          </w:p>
        </w:tc>
      </w:tr>
      <w:tr w:rsidR="00877CB7" w:rsidRPr="009F214D" w14:paraId="6FF1BE9B" w14:textId="77777777" w:rsidTr="00B933C9">
        <w:trPr>
          <w:trHeight w:val="20"/>
          <w:jc w:val="center"/>
        </w:trPr>
        <w:tc>
          <w:tcPr>
            <w:tcW w:w="581" w:type="dxa"/>
            <w:vAlign w:val="center"/>
          </w:tcPr>
          <w:p w14:paraId="1B29BD76" w14:textId="77777777" w:rsidR="00877CB7" w:rsidRDefault="00877CB7" w:rsidP="00877CB7">
            <w:pPr>
              <w:tabs>
                <w:tab w:val="left" w:pos="2805"/>
              </w:tabs>
              <w:jc w:val="center"/>
              <w:rPr>
                <w:rFonts w:ascii="Times New Roman" w:hAnsi="Times New Roman" w:cs="Times New Roman"/>
                <w:b/>
                <w:bCs/>
                <w:sz w:val="16"/>
                <w:szCs w:val="16"/>
              </w:rPr>
            </w:pPr>
          </w:p>
        </w:tc>
        <w:tc>
          <w:tcPr>
            <w:tcW w:w="1339" w:type="dxa"/>
            <w:vAlign w:val="center"/>
          </w:tcPr>
          <w:p w14:paraId="2B561EAD" w14:textId="1A73C0C1" w:rsidR="00877CB7" w:rsidRPr="009F214D" w:rsidRDefault="00877CB7" w:rsidP="00877CB7">
            <w:pPr>
              <w:tabs>
                <w:tab w:val="left" w:pos="2805"/>
              </w:tabs>
              <w:jc w:val="center"/>
              <w:rPr>
                <w:rFonts w:ascii="Times New Roman" w:hAnsi="Times New Roman" w:cs="Times New Roman"/>
                <w:b/>
                <w:bCs/>
                <w:sz w:val="16"/>
                <w:szCs w:val="16"/>
              </w:rPr>
            </w:pPr>
          </w:p>
        </w:tc>
        <w:tc>
          <w:tcPr>
            <w:tcW w:w="896" w:type="dxa"/>
            <w:vAlign w:val="center"/>
          </w:tcPr>
          <w:p w14:paraId="21E39F47" w14:textId="1C2C5D1B"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963" w:type="dxa"/>
            <w:vAlign w:val="center"/>
          </w:tcPr>
          <w:p w14:paraId="346224C2" w14:textId="6CFC93E5"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1440" w:type="dxa"/>
            <w:vAlign w:val="center"/>
          </w:tcPr>
          <w:p w14:paraId="342908A2" w14:textId="30C2B626"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982" w:type="dxa"/>
            <w:vAlign w:val="center"/>
          </w:tcPr>
          <w:p w14:paraId="253D06BF" w14:textId="38D29052"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984" w:type="dxa"/>
            <w:vAlign w:val="center"/>
          </w:tcPr>
          <w:p w14:paraId="31388356" w14:textId="00F75C54"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965" w:type="dxa"/>
            <w:vAlign w:val="center"/>
          </w:tcPr>
          <w:p w14:paraId="60134BB0" w14:textId="2C9DC162"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922" w:type="dxa"/>
            <w:vAlign w:val="center"/>
          </w:tcPr>
          <w:p w14:paraId="5F4B89C9" w14:textId="3B108F4A" w:rsidR="00877CB7" w:rsidRPr="009F214D" w:rsidRDefault="00877CB7" w:rsidP="00877CB7">
            <w:pPr>
              <w:tabs>
                <w:tab w:val="left" w:pos="2805"/>
              </w:tabs>
              <w:jc w:val="center"/>
              <w:rPr>
                <w:rFonts w:ascii="Times New Roman" w:hAnsi="Times New Roman" w:cs="Times New Roman"/>
                <w:b/>
                <w:bCs/>
                <w:sz w:val="16"/>
                <w:szCs w:val="16"/>
              </w:rPr>
            </w:pPr>
            <w:r>
              <w:rPr>
                <w:rFonts w:ascii="Times New Roman" w:hAnsi="Times New Roman" w:cs="Times New Roman"/>
                <w:b/>
                <w:bCs/>
                <w:sz w:val="16"/>
                <w:szCs w:val="16"/>
              </w:rPr>
              <w:t>7</w:t>
            </w:r>
          </w:p>
        </w:tc>
      </w:tr>
      <w:tr w:rsidR="00877CB7" w:rsidRPr="009F214D" w14:paraId="1299A2CE" w14:textId="77777777" w:rsidTr="004B7F7A">
        <w:trPr>
          <w:trHeight w:val="20"/>
          <w:jc w:val="center"/>
        </w:trPr>
        <w:tc>
          <w:tcPr>
            <w:tcW w:w="9072" w:type="dxa"/>
            <w:gridSpan w:val="9"/>
            <w:vAlign w:val="center"/>
          </w:tcPr>
          <w:p w14:paraId="1725722B" w14:textId="7E29C438" w:rsidR="00877CB7" w:rsidRDefault="00877CB7" w:rsidP="00877CB7">
            <w:pPr>
              <w:tabs>
                <w:tab w:val="left" w:pos="2805"/>
              </w:tabs>
              <w:jc w:val="center"/>
              <w:rPr>
                <w:rFonts w:ascii="Times New Roman" w:hAnsi="Times New Roman" w:cs="Times New Roman"/>
                <w:b/>
                <w:bCs/>
                <w:sz w:val="16"/>
                <w:szCs w:val="16"/>
              </w:rPr>
            </w:pPr>
            <w:r w:rsidRPr="00F64FEC">
              <w:rPr>
                <w:rFonts w:ascii="Times New Roman" w:hAnsi="Times New Roman" w:cs="Times New Roman"/>
                <w:b/>
                <w:bCs/>
                <w:sz w:val="20"/>
                <w:szCs w:val="20"/>
              </w:rPr>
              <w:t>Expenditure Category: Organs of State</w:t>
            </w:r>
          </w:p>
        </w:tc>
      </w:tr>
      <w:tr w:rsidR="00B933C9" w:rsidRPr="009F214D" w14:paraId="1D0B4087" w14:textId="77777777" w:rsidTr="00B933C9">
        <w:trPr>
          <w:trHeight w:val="20"/>
          <w:jc w:val="center"/>
        </w:trPr>
        <w:tc>
          <w:tcPr>
            <w:tcW w:w="581" w:type="dxa"/>
            <w:vAlign w:val="center"/>
            <w:hideMark/>
          </w:tcPr>
          <w:p w14:paraId="13E2D16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w:t>
            </w:r>
          </w:p>
        </w:tc>
        <w:tc>
          <w:tcPr>
            <w:tcW w:w="1339" w:type="dxa"/>
            <w:vAlign w:val="center"/>
            <w:hideMark/>
          </w:tcPr>
          <w:p w14:paraId="7F893456"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Andhra Pradesh</w:t>
            </w:r>
          </w:p>
        </w:tc>
        <w:tc>
          <w:tcPr>
            <w:tcW w:w="896" w:type="dxa"/>
            <w:vAlign w:val="center"/>
            <w:hideMark/>
          </w:tcPr>
          <w:p w14:paraId="4DA9BD1B"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365.00</w:t>
            </w:r>
          </w:p>
        </w:tc>
        <w:tc>
          <w:tcPr>
            <w:tcW w:w="963" w:type="dxa"/>
            <w:vAlign w:val="center"/>
            <w:hideMark/>
          </w:tcPr>
          <w:p w14:paraId="03C8840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460.32</w:t>
            </w:r>
          </w:p>
        </w:tc>
        <w:tc>
          <w:tcPr>
            <w:tcW w:w="1440" w:type="dxa"/>
            <w:vAlign w:val="center"/>
            <w:hideMark/>
          </w:tcPr>
          <w:p w14:paraId="3E7D1A5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95.32</w:t>
            </w:r>
          </w:p>
        </w:tc>
        <w:tc>
          <w:tcPr>
            <w:tcW w:w="982" w:type="dxa"/>
            <w:vAlign w:val="center"/>
            <w:hideMark/>
          </w:tcPr>
          <w:p w14:paraId="60685EBC"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26.12</w:t>
            </w:r>
          </w:p>
        </w:tc>
        <w:tc>
          <w:tcPr>
            <w:tcW w:w="984" w:type="dxa"/>
            <w:vAlign w:val="center"/>
            <w:hideMark/>
          </w:tcPr>
          <w:p w14:paraId="1F07380D"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0.61</w:t>
            </w:r>
          </w:p>
        </w:tc>
        <w:tc>
          <w:tcPr>
            <w:tcW w:w="965" w:type="dxa"/>
            <w:vAlign w:val="center"/>
            <w:hideMark/>
          </w:tcPr>
          <w:p w14:paraId="72FE17D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0.77</w:t>
            </w:r>
          </w:p>
        </w:tc>
        <w:tc>
          <w:tcPr>
            <w:tcW w:w="922" w:type="dxa"/>
            <w:vAlign w:val="center"/>
            <w:hideMark/>
          </w:tcPr>
          <w:p w14:paraId="18E4CFF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0.16</w:t>
            </w:r>
          </w:p>
        </w:tc>
      </w:tr>
      <w:tr w:rsidR="00B933C9" w:rsidRPr="009F214D" w14:paraId="7BF91084" w14:textId="77777777" w:rsidTr="00B933C9">
        <w:trPr>
          <w:trHeight w:val="20"/>
          <w:jc w:val="center"/>
        </w:trPr>
        <w:tc>
          <w:tcPr>
            <w:tcW w:w="581" w:type="dxa"/>
            <w:vAlign w:val="center"/>
            <w:hideMark/>
          </w:tcPr>
          <w:p w14:paraId="53B72FF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w:t>
            </w:r>
          </w:p>
        </w:tc>
        <w:tc>
          <w:tcPr>
            <w:tcW w:w="1339" w:type="dxa"/>
            <w:vAlign w:val="center"/>
            <w:hideMark/>
          </w:tcPr>
          <w:p w14:paraId="35B71388"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Bihar</w:t>
            </w:r>
          </w:p>
        </w:tc>
        <w:tc>
          <w:tcPr>
            <w:tcW w:w="896" w:type="dxa"/>
            <w:vAlign w:val="center"/>
            <w:hideMark/>
          </w:tcPr>
          <w:p w14:paraId="4B75203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976.00</w:t>
            </w:r>
          </w:p>
        </w:tc>
        <w:tc>
          <w:tcPr>
            <w:tcW w:w="963" w:type="dxa"/>
            <w:vAlign w:val="center"/>
            <w:hideMark/>
          </w:tcPr>
          <w:p w14:paraId="6762000C"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695.98</w:t>
            </w:r>
          </w:p>
        </w:tc>
        <w:tc>
          <w:tcPr>
            <w:tcW w:w="1440" w:type="dxa"/>
            <w:vAlign w:val="center"/>
            <w:hideMark/>
          </w:tcPr>
          <w:p w14:paraId="35A8C84B"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-280.02</w:t>
            </w:r>
          </w:p>
        </w:tc>
        <w:tc>
          <w:tcPr>
            <w:tcW w:w="982" w:type="dxa"/>
            <w:vAlign w:val="center"/>
            <w:hideMark/>
          </w:tcPr>
          <w:p w14:paraId="2718A95C"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-28.69</w:t>
            </w:r>
          </w:p>
        </w:tc>
        <w:tc>
          <w:tcPr>
            <w:tcW w:w="984" w:type="dxa"/>
            <w:vAlign w:val="center"/>
            <w:hideMark/>
          </w:tcPr>
          <w:p w14:paraId="7825E62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1.24</w:t>
            </w:r>
          </w:p>
        </w:tc>
        <w:tc>
          <w:tcPr>
            <w:tcW w:w="965" w:type="dxa"/>
            <w:vAlign w:val="center"/>
            <w:hideMark/>
          </w:tcPr>
          <w:p w14:paraId="60FBDED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0.88</w:t>
            </w:r>
          </w:p>
        </w:tc>
        <w:tc>
          <w:tcPr>
            <w:tcW w:w="922" w:type="dxa"/>
            <w:vAlign w:val="center"/>
            <w:hideMark/>
          </w:tcPr>
          <w:p w14:paraId="39A14C4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-0.36</w:t>
            </w:r>
          </w:p>
        </w:tc>
      </w:tr>
      <w:tr w:rsidR="00B933C9" w:rsidRPr="009F214D" w14:paraId="622E1551" w14:textId="77777777" w:rsidTr="00B933C9">
        <w:trPr>
          <w:trHeight w:val="20"/>
          <w:jc w:val="center"/>
        </w:trPr>
        <w:tc>
          <w:tcPr>
            <w:tcW w:w="581" w:type="dxa"/>
            <w:vAlign w:val="center"/>
            <w:hideMark/>
          </w:tcPr>
          <w:p w14:paraId="1CFBA36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w:t>
            </w:r>
          </w:p>
        </w:tc>
        <w:tc>
          <w:tcPr>
            <w:tcW w:w="1339" w:type="dxa"/>
            <w:vAlign w:val="center"/>
            <w:hideMark/>
          </w:tcPr>
          <w:p w14:paraId="7CB834E0"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Gujarat</w:t>
            </w:r>
          </w:p>
        </w:tc>
        <w:tc>
          <w:tcPr>
            <w:tcW w:w="896" w:type="dxa"/>
            <w:vAlign w:val="center"/>
            <w:hideMark/>
          </w:tcPr>
          <w:p w14:paraId="41D177C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191.00</w:t>
            </w:r>
          </w:p>
        </w:tc>
        <w:tc>
          <w:tcPr>
            <w:tcW w:w="963" w:type="dxa"/>
            <w:vAlign w:val="center"/>
            <w:hideMark/>
          </w:tcPr>
          <w:p w14:paraId="1BEBDCB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297.06</w:t>
            </w:r>
          </w:p>
        </w:tc>
        <w:tc>
          <w:tcPr>
            <w:tcW w:w="1440" w:type="dxa"/>
            <w:vAlign w:val="center"/>
            <w:hideMark/>
          </w:tcPr>
          <w:p w14:paraId="427E20E8"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106.06</w:t>
            </w:r>
          </w:p>
        </w:tc>
        <w:tc>
          <w:tcPr>
            <w:tcW w:w="982" w:type="dxa"/>
            <w:vAlign w:val="center"/>
            <w:hideMark/>
          </w:tcPr>
          <w:p w14:paraId="7BC13D5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55.53</w:t>
            </w:r>
          </w:p>
        </w:tc>
        <w:tc>
          <w:tcPr>
            <w:tcW w:w="984" w:type="dxa"/>
            <w:vAlign w:val="center"/>
            <w:hideMark/>
          </w:tcPr>
          <w:p w14:paraId="3F5C3E3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0.50</w:t>
            </w:r>
          </w:p>
        </w:tc>
        <w:tc>
          <w:tcPr>
            <w:tcW w:w="965" w:type="dxa"/>
            <w:vAlign w:val="center"/>
            <w:hideMark/>
          </w:tcPr>
          <w:p w14:paraId="50CC134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0.78</w:t>
            </w:r>
          </w:p>
        </w:tc>
        <w:tc>
          <w:tcPr>
            <w:tcW w:w="922" w:type="dxa"/>
            <w:vAlign w:val="center"/>
            <w:hideMark/>
          </w:tcPr>
          <w:p w14:paraId="400D882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0.28</w:t>
            </w:r>
          </w:p>
        </w:tc>
      </w:tr>
      <w:tr w:rsidR="00B933C9" w:rsidRPr="009F214D" w14:paraId="5CE87A90" w14:textId="77777777" w:rsidTr="00B933C9">
        <w:trPr>
          <w:trHeight w:val="20"/>
          <w:jc w:val="center"/>
        </w:trPr>
        <w:tc>
          <w:tcPr>
            <w:tcW w:w="581" w:type="dxa"/>
            <w:vAlign w:val="center"/>
            <w:hideMark/>
          </w:tcPr>
          <w:p w14:paraId="1CF49EA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w:t>
            </w:r>
          </w:p>
        </w:tc>
        <w:tc>
          <w:tcPr>
            <w:tcW w:w="1339" w:type="dxa"/>
            <w:vAlign w:val="center"/>
            <w:hideMark/>
          </w:tcPr>
          <w:p w14:paraId="6F76C7BA"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Haryana</w:t>
            </w:r>
          </w:p>
        </w:tc>
        <w:tc>
          <w:tcPr>
            <w:tcW w:w="896" w:type="dxa"/>
            <w:vAlign w:val="center"/>
            <w:hideMark/>
          </w:tcPr>
          <w:p w14:paraId="3AD915B8"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299.00</w:t>
            </w:r>
          </w:p>
        </w:tc>
        <w:tc>
          <w:tcPr>
            <w:tcW w:w="963" w:type="dxa"/>
            <w:vAlign w:val="center"/>
            <w:hideMark/>
          </w:tcPr>
          <w:p w14:paraId="35230418"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115.07</w:t>
            </w:r>
          </w:p>
        </w:tc>
        <w:tc>
          <w:tcPr>
            <w:tcW w:w="1440" w:type="dxa"/>
            <w:vAlign w:val="center"/>
            <w:hideMark/>
          </w:tcPr>
          <w:p w14:paraId="1B60D4CD"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-183.93</w:t>
            </w:r>
          </w:p>
        </w:tc>
        <w:tc>
          <w:tcPr>
            <w:tcW w:w="982" w:type="dxa"/>
            <w:vAlign w:val="center"/>
            <w:hideMark/>
          </w:tcPr>
          <w:p w14:paraId="6CD08C4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-61.52</w:t>
            </w:r>
          </w:p>
        </w:tc>
        <w:tc>
          <w:tcPr>
            <w:tcW w:w="984" w:type="dxa"/>
            <w:vAlign w:val="center"/>
            <w:hideMark/>
          </w:tcPr>
          <w:p w14:paraId="17A21E1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1.99</w:t>
            </w:r>
          </w:p>
        </w:tc>
        <w:tc>
          <w:tcPr>
            <w:tcW w:w="965" w:type="dxa"/>
            <w:vAlign w:val="center"/>
            <w:hideMark/>
          </w:tcPr>
          <w:p w14:paraId="4168345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0.77</w:t>
            </w:r>
          </w:p>
        </w:tc>
        <w:tc>
          <w:tcPr>
            <w:tcW w:w="922" w:type="dxa"/>
            <w:vAlign w:val="center"/>
            <w:hideMark/>
          </w:tcPr>
          <w:p w14:paraId="55ACAFF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-1.22</w:t>
            </w:r>
          </w:p>
        </w:tc>
      </w:tr>
      <w:tr w:rsidR="00B933C9" w:rsidRPr="009F214D" w14:paraId="762A3064" w14:textId="77777777" w:rsidTr="00B933C9">
        <w:trPr>
          <w:trHeight w:val="20"/>
          <w:jc w:val="center"/>
        </w:trPr>
        <w:tc>
          <w:tcPr>
            <w:tcW w:w="581" w:type="dxa"/>
            <w:vAlign w:val="center"/>
            <w:hideMark/>
          </w:tcPr>
          <w:p w14:paraId="5DB2D79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5</w:t>
            </w:r>
          </w:p>
        </w:tc>
        <w:tc>
          <w:tcPr>
            <w:tcW w:w="1339" w:type="dxa"/>
            <w:vAlign w:val="center"/>
            <w:hideMark/>
          </w:tcPr>
          <w:p w14:paraId="3106215D"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Karnataka</w:t>
            </w:r>
          </w:p>
        </w:tc>
        <w:tc>
          <w:tcPr>
            <w:tcW w:w="896" w:type="dxa"/>
            <w:vAlign w:val="center"/>
            <w:hideMark/>
          </w:tcPr>
          <w:p w14:paraId="533AAE4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411.00</w:t>
            </w:r>
          </w:p>
        </w:tc>
        <w:tc>
          <w:tcPr>
            <w:tcW w:w="963" w:type="dxa"/>
            <w:vAlign w:val="center"/>
            <w:hideMark/>
          </w:tcPr>
          <w:p w14:paraId="0D3C83D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332.40</w:t>
            </w:r>
          </w:p>
        </w:tc>
        <w:tc>
          <w:tcPr>
            <w:tcW w:w="1440" w:type="dxa"/>
            <w:vAlign w:val="center"/>
            <w:hideMark/>
          </w:tcPr>
          <w:p w14:paraId="659A3208"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-78.60</w:t>
            </w:r>
          </w:p>
        </w:tc>
        <w:tc>
          <w:tcPr>
            <w:tcW w:w="982" w:type="dxa"/>
            <w:vAlign w:val="center"/>
            <w:hideMark/>
          </w:tcPr>
          <w:p w14:paraId="677E4AD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-19.12</w:t>
            </w:r>
          </w:p>
        </w:tc>
        <w:tc>
          <w:tcPr>
            <w:tcW w:w="984" w:type="dxa"/>
            <w:vAlign w:val="center"/>
            <w:hideMark/>
          </w:tcPr>
          <w:p w14:paraId="73096C6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0.98</w:t>
            </w:r>
          </w:p>
        </w:tc>
        <w:tc>
          <w:tcPr>
            <w:tcW w:w="965" w:type="dxa"/>
            <w:vAlign w:val="center"/>
            <w:hideMark/>
          </w:tcPr>
          <w:p w14:paraId="4B90668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0.80</w:t>
            </w:r>
          </w:p>
        </w:tc>
        <w:tc>
          <w:tcPr>
            <w:tcW w:w="922" w:type="dxa"/>
            <w:vAlign w:val="center"/>
            <w:hideMark/>
          </w:tcPr>
          <w:p w14:paraId="7DBA7BB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-0.19</w:t>
            </w:r>
          </w:p>
        </w:tc>
      </w:tr>
      <w:tr w:rsidR="00B933C9" w:rsidRPr="009F214D" w14:paraId="7D391C63" w14:textId="77777777" w:rsidTr="00B933C9">
        <w:trPr>
          <w:trHeight w:val="20"/>
          <w:jc w:val="center"/>
        </w:trPr>
        <w:tc>
          <w:tcPr>
            <w:tcW w:w="581" w:type="dxa"/>
            <w:vAlign w:val="center"/>
            <w:hideMark/>
          </w:tcPr>
          <w:p w14:paraId="4B8F5CA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6</w:t>
            </w:r>
          </w:p>
        </w:tc>
        <w:tc>
          <w:tcPr>
            <w:tcW w:w="1339" w:type="dxa"/>
            <w:vAlign w:val="center"/>
            <w:hideMark/>
          </w:tcPr>
          <w:p w14:paraId="55E20A92"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Kerala</w:t>
            </w:r>
          </w:p>
        </w:tc>
        <w:tc>
          <w:tcPr>
            <w:tcW w:w="896" w:type="dxa"/>
            <w:vAlign w:val="center"/>
            <w:hideMark/>
          </w:tcPr>
          <w:p w14:paraId="5BBC5AB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313.00</w:t>
            </w:r>
          </w:p>
        </w:tc>
        <w:tc>
          <w:tcPr>
            <w:tcW w:w="963" w:type="dxa"/>
            <w:vAlign w:val="center"/>
            <w:hideMark/>
          </w:tcPr>
          <w:p w14:paraId="63F0992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250.17</w:t>
            </w:r>
          </w:p>
        </w:tc>
        <w:tc>
          <w:tcPr>
            <w:tcW w:w="1440" w:type="dxa"/>
            <w:vAlign w:val="center"/>
            <w:hideMark/>
          </w:tcPr>
          <w:p w14:paraId="203097B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-62.83</w:t>
            </w:r>
          </w:p>
        </w:tc>
        <w:tc>
          <w:tcPr>
            <w:tcW w:w="982" w:type="dxa"/>
            <w:vAlign w:val="center"/>
            <w:hideMark/>
          </w:tcPr>
          <w:p w14:paraId="0338BE1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-20.07</w:t>
            </w:r>
          </w:p>
        </w:tc>
        <w:tc>
          <w:tcPr>
            <w:tcW w:w="984" w:type="dxa"/>
            <w:vAlign w:val="center"/>
            <w:hideMark/>
          </w:tcPr>
          <w:p w14:paraId="32E243B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1.11</w:t>
            </w:r>
          </w:p>
        </w:tc>
        <w:tc>
          <w:tcPr>
            <w:tcW w:w="965" w:type="dxa"/>
            <w:vAlign w:val="center"/>
            <w:hideMark/>
          </w:tcPr>
          <w:p w14:paraId="2D4B990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0.89</w:t>
            </w:r>
          </w:p>
        </w:tc>
        <w:tc>
          <w:tcPr>
            <w:tcW w:w="922" w:type="dxa"/>
            <w:vAlign w:val="center"/>
            <w:hideMark/>
          </w:tcPr>
          <w:p w14:paraId="483A3CB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-0.22</w:t>
            </w:r>
          </w:p>
        </w:tc>
      </w:tr>
      <w:tr w:rsidR="00B933C9" w:rsidRPr="009F214D" w14:paraId="1605D240" w14:textId="77777777" w:rsidTr="00B933C9">
        <w:trPr>
          <w:trHeight w:val="20"/>
          <w:jc w:val="center"/>
        </w:trPr>
        <w:tc>
          <w:tcPr>
            <w:tcW w:w="581" w:type="dxa"/>
            <w:vAlign w:val="center"/>
            <w:hideMark/>
          </w:tcPr>
          <w:p w14:paraId="1302FA3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7</w:t>
            </w:r>
          </w:p>
        </w:tc>
        <w:tc>
          <w:tcPr>
            <w:tcW w:w="1339" w:type="dxa"/>
            <w:vAlign w:val="center"/>
            <w:hideMark/>
          </w:tcPr>
          <w:p w14:paraId="74464B13"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Madhya Pradesh</w:t>
            </w:r>
          </w:p>
        </w:tc>
        <w:tc>
          <w:tcPr>
            <w:tcW w:w="896" w:type="dxa"/>
            <w:vAlign w:val="center"/>
            <w:hideMark/>
          </w:tcPr>
          <w:p w14:paraId="47BB071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495.00</w:t>
            </w:r>
          </w:p>
        </w:tc>
        <w:tc>
          <w:tcPr>
            <w:tcW w:w="963" w:type="dxa"/>
            <w:vAlign w:val="center"/>
            <w:hideMark/>
          </w:tcPr>
          <w:p w14:paraId="6D0C12D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470.31</w:t>
            </w:r>
          </w:p>
        </w:tc>
        <w:tc>
          <w:tcPr>
            <w:tcW w:w="1440" w:type="dxa"/>
            <w:vAlign w:val="center"/>
            <w:hideMark/>
          </w:tcPr>
          <w:p w14:paraId="033B83E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-24.69</w:t>
            </w:r>
          </w:p>
        </w:tc>
        <w:tc>
          <w:tcPr>
            <w:tcW w:w="982" w:type="dxa"/>
            <w:vAlign w:val="center"/>
            <w:hideMark/>
          </w:tcPr>
          <w:p w14:paraId="1D3FAE4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-4.99</w:t>
            </w:r>
          </w:p>
        </w:tc>
        <w:tc>
          <w:tcPr>
            <w:tcW w:w="984" w:type="dxa"/>
            <w:vAlign w:val="center"/>
            <w:hideMark/>
          </w:tcPr>
          <w:p w14:paraId="2F0CA0B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0.84</w:t>
            </w:r>
          </w:p>
        </w:tc>
        <w:tc>
          <w:tcPr>
            <w:tcW w:w="965" w:type="dxa"/>
            <w:vAlign w:val="center"/>
            <w:hideMark/>
          </w:tcPr>
          <w:p w14:paraId="127EB10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0.80</w:t>
            </w:r>
          </w:p>
        </w:tc>
        <w:tc>
          <w:tcPr>
            <w:tcW w:w="922" w:type="dxa"/>
            <w:vAlign w:val="center"/>
            <w:hideMark/>
          </w:tcPr>
          <w:p w14:paraId="215A088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-0.04</w:t>
            </w:r>
          </w:p>
        </w:tc>
      </w:tr>
      <w:tr w:rsidR="00B933C9" w:rsidRPr="009F214D" w14:paraId="2731B51D" w14:textId="77777777" w:rsidTr="00B933C9">
        <w:trPr>
          <w:trHeight w:val="20"/>
          <w:jc w:val="center"/>
        </w:trPr>
        <w:tc>
          <w:tcPr>
            <w:tcW w:w="581" w:type="dxa"/>
            <w:vAlign w:val="center"/>
            <w:hideMark/>
          </w:tcPr>
          <w:p w14:paraId="785FA55B"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8</w:t>
            </w:r>
          </w:p>
        </w:tc>
        <w:tc>
          <w:tcPr>
            <w:tcW w:w="1339" w:type="dxa"/>
            <w:vAlign w:val="center"/>
            <w:hideMark/>
          </w:tcPr>
          <w:p w14:paraId="08579889"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Maharashtra</w:t>
            </w:r>
          </w:p>
        </w:tc>
        <w:tc>
          <w:tcPr>
            <w:tcW w:w="896" w:type="dxa"/>
            <w:vAlign w:val="center"/>
            <w:hideMark/>
          </w:tcPr>
          <w:p w14:paraId="238378A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606.00</w:t>
            </w:r>
          </w:p>
        </w:tc>
        <w:tc>
          <w:tcPr>
            <w:tcW w:w="963" w:type="dxa"/>
            <w:vAlign w:val="center"/>
            <w:hideMark/>
          </w:tcPr>
          <w:p w14:paraId="05B8004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530.32</w:t>
            </w:r>
          </w:p>
        </w:tc>
        <w:tc>
          <w:tcPr>
            <w:tcW w:w="1440" w:type="dxa"/>
            <w:vAlign w:val="center"/>
            <w:hideMark/>
          </w:tcPr>
          <w:p w14:paraId="7EEE547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-75.68</w:t>
            </w:r>
          </w:p>
        </w:tc>
        <w:tc>
          <w:tcPr>
            <w:tcW w:w="982" w:type="dxa"/>
            <w:vAlign w:val="center"/>
            <w:hideMark/>
          </w:tcPr>
          <w:p w14:paraId="182B426F"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-12.49</w:t>
            </w:r>
          </w:p>
        </w:tc>
        <w:tc>
          <w:tcPr>
            <w:tcW w:w="984" w:type="dxa"/>
            <w:vAlign w:val="center"/>
            <w:hideMark/>
          </w:tcPr>
          <w:p w14:paraId="4EA050B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0.86</w:t>
            </w:r>
          </w:p>
        </w:tc>
        <w:tc>
          <w:tcPr>
            <w:tcW w:w="965" w:type="dxa"/>
            <w:vAlign w:val="center"/>
            <w:hideMark/>
          </w:tcPr>
          <w:p w14:paraId="7744BB9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0.75</w:t>
            </w:r>
          </w:p>
        </w:tc>
        <w:tc>
          <w:tcPr>
            <w:tcW w:w="922" w:type="dxa"/>
            <w:vAlign w:val="center"/>
            <w:hideMark/>
          </w:tcPr>
          <w:p w14:paraId="22DD848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-0.11</w:t>
            </w:r>
          </w:p>
        </w:tc>
      </w:tr>
      <w:tr w:rsidR="00B933C9" w:rsidRPr="009F214D" w14:paraId="06B240FA" w14:textId="77777777" w:rsidTr="00B933C9">
        <w:trPr>
          <w:trHeight w:val="20"/>
          <w:jc w:val="center"/>
        </w:trPr>
        <w:tc>
          <w:tcPr>
            <w:tcW w:w="581" w:type="dxa"/>
            <w:vAlign w:val="center"/>
            <w:hideMark/>
          </w:tcPr>
          <w:p w14:paraId="38FDE85C"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9</w:t>
            </w:r>
          </w:p>
        </w:tc>
        <w:tc>
          <w:tcPr>
            <w:tcW w:w="1339" w:type="dxa"/>
            <w:vAlign w:val="center"/>
            <w:hideMark/>
          </w:tcPr>
          <w:p w14:paraId="7FC7EE8E"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Orissa</w:t>
            </w:r>
          </w:p>
        </w:tc>
        <w:tc>
          <w:tcPr>
            <w:tcW w:w="896" w:type="dxa"/>
            <w:vAlign w:val="center"/>
            <w:hideMark/>
          </w:tcPr>
          <w:p w14:paraId="3417B55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232.00</w:t>
            </w:r>
          </w:p>
        </w:tc>
        <w:tc>
          <w:tcPr>
            <w:tcW w:w="963" w:type="dxa"/>
            <w:vAlign w:val="center"/>
            <w:hideMark/>
          </w:tcPr>
          <w:p w14:paraId="0C93EED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272.09</w:t>
            </w:r>
          </w:p>
        </w:tc>
        <w:tc>
          <w:tcPr>
            <w:tcW w:w="1440" w:type="dxa"/>
            <w:vAlign w:val="center"/>
            <w:hideMark/>
          </w:tcPr>
          <w:p w14:paraId="223DB49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40.09</w:t>
            </w:r>
          </w:p>
        </w:tc>
        <w:tc>
          <w:tcPr>
            <w:tcW w:w="982" w:type="dxa"/>
            <w:vAlign w:val="center"/>
            <w:hideMark/>
          </w:tcPr>
          <w:p w14:paraId="34452D6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17.28</w:t>
            </w:r>
          </w:p>
        </w:tc>
        <w:tc>
          <w:tcPr>
            <w:tcW w:w="984" w:type="dxa"/>
            <w:vAlign w:val="center"/>
            <w:hideMark/>
          </w:tcPr>
          <w:p w14:paraId="5CEC165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0.80</w:t>
            </w:r>
          </w:p>
        </w:tc>
        <w:tc>
          <w:tcPr>
            <w:tcW w:w="965" w:type="dxa"/>
            <w:vAlign w:val="center"/>
            <w:hideMark/>
          </w:tcPr>
          <w:p w14:paraId="6821275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0.93</w:t>
            </w:r>
          </w:p>
        </w:tc>
        <w:tc>
          <w:tcPr>
            <w:tcW w:w="922" w:type="dxa"/>
            <w:vAlign w:val="center"/>
            <w:hideMark/>
          </w:tcPr>
          <w:p w14:paraId="5AEE655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0.14</w:t>
            </w:r>
          </w:p>
        </w:tc>
      </w:tr>
      <w:tr w:rsidR="00B933C9" w:rsidRPr="009F214D" w14:paraId="7618BFBF" w14:textId="77777777" w:rsidTr="00B933C9">
        <w:trPr>
          <w:trHeight w:val="20"/>
          <w:jc w:val="center"/>
        </w:trPr>
        <w:tc>
          <w:tcPr>
            <w:tcW w:w="581" w:type="dxa"/>
            <w:vAlign w:val="center"/>
            <w:hideMark/>
          </w:tcPr>
          <w:p w14:paraId="7F737B2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10</w:t>
            </w:r>
          </w:p>
        </w:tc>
        <w:tc>
          <w:tcPr>
            <w:tcW w:w="1339" w:type="dxa"/>
            <w:vAlign w:val="center"/>
            <w:hideMark/>
          </w:tcPr>
          <w:p w14:paraId="0C487A30"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Punjab</w:t>
            </w:r>
          </w:p>
        </w:tc>
        <w:tc>
          <w:tcPr>
            <w:tcW w:w="896" w:type="dxa"/>
            <w:vAlign w:val="center"/>
            <w:hideMark/>
          </w:tcPr>
          <w:p w14:paraId="5384300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417.00</w:t>
            </w:r>
          </w:p>
        </w:tc>
        <w:tc>
          <w:tcPr>
            <w:tcW w:w="963" w:type="dxa"/>
            <w:vAlign w:val="center"/>
            <w:hideMark/>
          </w:tcPr>
          <w:p w14:paraId="11330C9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140.49</w:t>
            </w:r>
          </w:p>
        </w:tc>
        <w:tc>
          <w:tcPr>
            <w:tcW w:w="1440" w:type="dxa"/>
            <w:vAlign w:val="center"/>
            <w:hideMark/>
          </w:tcPr>
          <w:p w14:paraId="6E765EA8"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-276.51</w:t>
            </w:r>
          </w:p>
        </w:tc>
        <w:tc>
          <w:tcPr>
            <w:tcW w:w="982" w:type="dxa"/>
            <w:vAlign w:val="center"/>
            <w:hideMark/>
          </w:tcPr>
          <w:p w14:paraId="4E1A4B8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-66.31</w:t>
            </w:r>
          </w:p>
        </w:tc>
        <w:tc>
          <w:tcPr>
            <w:tcW w:w="984" w:type="dxa"/>
            <w:vAlign w:val="center"/>
            <w:hideMark/>
          </w:tcPr>
          <w:p w14:paraId="61CFE3C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2.23</w:t>
            </w:r>
          </w:p>
        </w:tc>
        <w:tc>
          <w:tcPr>
            <w:tcW w:w="965" w:type="dxa"/>
            <w:vAlign w:val="center"/>
            <w:hideMark/>
          </w:tcPr>
          <w:p w14:paraId="7F62983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0.75</w:t>
            </w:r>
          </w:p>
        </w:tc>
        <w:tc>
          <w:tcPr>
            <w:tcW w:w="922" w:type="dxa"/>
            <w:vAlign w:val="center"/>
            <w:hideMark/>
          </w:tcPr>
          <w:p w14:paraId="047776E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-1.48</w:t>
            </w:r>
          </w:p>
        </w:tc>
      </w:tr>
      <w:tr w:rsidR="00B933C9" w:rsidRPr="009F214D" w14:paraId="2B76D205" w14:textId="77777777" w:rsidTr="00B933C9">
        <w:trPr>
          <w:trHeight w:val="20"/>
          <w:jc w:val="center"/>
        </w:trPr>
        <w:tc>
          <w:tcPr>
            <w:tcW w:w="581" w:type="dxa"/>
            <w:vAlign w:val="center"/>
            <w:hideMark/>
          </w:tcPr>
          <w:p w14:paraId="2E81080F"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11</w:t>
            </w:r>
          </w:p>
        </w:tc>
        <w:tc>
          <w:tcPr>
            <w:tcW w:w="1339" w:type="dxa"/>
            <w:vAlign w:val="center"/>
            <w:hideMark/>
          </w:tcPr>
          <w:p w14:paraId="271F0317"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Rajasthan</w:t>
            </w:r>
          </w:p>
        </w:tc>
        <w:tc>
          <w:tcPr>
            <w:tcW w:w="896" w:type="dxa"/>
            <w:vAlign w:val="center"/>
            <w:hideMark/>
          </w:tcPr>
          <w:p w14:paraId="6BC6427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301.00</w:t>
            </w:r>
          </w:p>
        </w:tc>
        <w:tc>
          <w:tcPr>
            <w:tcW w:w="963" w:type="dxa"/>
            <w:vAlign w:val="center"/>
            <w:hideMark/>
          </w:tcPr>
          <w:p w14:paraId="2FF01F5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392.85</w:t>
            </w:r>
          </w:p>
        </w:tc>
        <w:tc>
          <w:tcPr>
            <w:tcW w:w="1440" w:type="dxa"/>
            <w:vAlign w:val="center"/>
            <w:hideMark/>
          </w:tcPr>
          <w:p w14:paraId="29EF96FD"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91.85</w:t>
            </w:r>
          </w:p>
        </w:tc>
        <w:tc>
          <w:tcPr>
            <w:tcW w:w="982" w:type="dxa"/>
            <w:vAlign w:val="center"/>
            <w:hideMark/>
          </w:tcPr>
          <w:p w14:paraId="678032D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30.51</w:t>
            </w:r>
          </w:p>
        </w:tc>
        <w:tc>
          <w:tcPr>
            <w:tcW w:w="984" w:type="dxa"/>
            <w:vAlign w:val="center"/>
            <w:hideMark/>
          </w:tcPr>
          <w:p w14:paraId="3C2B2E29"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0.76</w:t>
            </w:r>
          </w:p>
        </w:tc>
        <w:tc>
          <w:tcPr>
            <w:tcW w:w="965" w:type="dxa"/>
            <w:vAlign w:val="center"/>
            <w:hideMark/>
          </w:tcPr>
          <w:p w14:paraId="5F969C6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0.99</w:t>
            </w:r>
          </w:p>
        </w:tc>
        <w:tc>
          <w:tcPr>
            <w:tcW w:w="922" w:type="dxa"/>
            <w:vAlign w:val="center"/>
            <w:hideMark/>
          </w:tcPr>
          <w:p w14:paraId="2FFA2C0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0.23</w:t>
            </w:r>
          </w:p>
        </w:tc>
      </w:tr>
      <w:tr w:rsidR="00B933C9" w:rsidRPr="009F214D" w14:paraId="51DE283A" w14:textId="77777777" w:rsidTr="00B933C9">
        <w:trPr>
          <w:trHeight w:val="20"/>
          <w:jc w:val="center"/>
        </w:trPr>
        <w:tc>
          <w:tcPr>
            <w:tcW w:w="581" w:type="dxa"/>
            <w:vAlign w:val="center"/>
            <w:hideMark/>
          </w:tcPr>
          <w:p w14:paraId="0863D16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12</w:t>
            </w:r>
          </w:p>
        </w:tc>
        <w:tc>
          <w:tcPr>
            <w:tcW w:w="1339" w:type="dxa"/>
            <w:vAlign w:val="center"/>
            <w:hideMark/>
          </w:tcPr>
          <w:p w14:paraId="78641541"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Tamil Nadu</w:t>
            </w:r>
          </w:p>
        </w:tc>
        <w:tc>
          <w:tcPr>
            <w:tcW w:w="896" w:type="dxa"/>
            <w:vAlign w:val="center"/>
            <w:hideMark/>
          </w:tcPr>
          <w:p w14:paraId="3290667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334.00</w:t>
            </w:r>
          </w:p>
        </w:tc>
        <w:tc>
          <w:tcPr>
            <w:tcW w:w="963" w:type="dxa"/>
            <w:vAlign w:val="center"/>
            <w:hideMark/>
          </w:tcPr>
          <w:p w14:paraId="68B77C7B"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425.06</w:t>
            </w:r>
          </w:p>
        </w:tc>
        <w:tc>
          <w:tcPr>
            <w:tcW w:w="1440" w:type="dxa"/>
            <w:vAlign w:val="center"/>
            <w:hideMark/>
          </w:tcPr>
          <w:p w14:paraId="622F5CB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91.06</w:t>
            </w:r>
          </w:p>
        </w:tc>
        <w:tc>
          <w:tcPr>
            <w:tcW w:w="982" w:type="dxa"/>
            <w:vAlign w:val="center"/>
            <w:hideMark/>
          </w:tcPr>
          <w:p w14:paraId="4E03BC4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27.26</w:t>
            </w:r>
          </w:p>
        </w:tc>
        <w:tc>
          <w:tcPr>
            <w:tcW w:w="984" w:type="dxa"/>
            <w:vAlign w:val="center"/>
            <w:hideMark/>
          </w:tcPr>
          <w:p w14:paraId="0059EE2C"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0.63</w:t>
            </w:r>
          </w:p>
        </w:tc>
        <w:tc>
          <w:tcPr>
            <w:tcW w:w="965" w:type="dxa"/>
            <w:vAlign w:val="center"/>
            <w:hideMark/>
          </w:tcPr>
          <w:p w14:paraId="1512B85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0.80</w:t>
            </w:r>
          </w:p>
        </w:tc>
        <w:tc>
          <w:tcPr>
            <w:tcW w:w="922" w:type="dxa"/>
            <w:vAlign w:val="center"/>
            <w:hideMark/>
          </w:tcPr>
          <w:p w14:paraId="0A35ED5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0.17</w:t>
            </w:r>
          </w:p>
        </w:tc>
      </w:tr>
      <w:tr w:rsidR="00B933C9" w:rsidRPr="009F214D" w14:paraId="19111062" w14:textId="77777777" w:rsidTr="00B933C9">
        <w:trPr>
          <w:trHeight w:val="20"/>
          <w:jc w:val="center"/>
        </w:trPr>
        <w:tc>
          <w:tcPr>
            <w:tcW w:w="581" w:type="dxa"/>
            <w:vAlign w:val="center"/>
            <w:hideMark/>
          </w:tcPr>
          <w:p w14:paraId="52BA295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13</w:t>
            </w:r>
          </w:p>
        </w:tc>
        <w:tc>
          <w:tcPr>
            <w:tcW w:w="1339" w:type="dxa"/>
            <w:vAlign w:val="center"/>
            <w:hideMark/>
          </w:tcPr>
          <w:p w14:paraId="4AD1E792"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Uttar Pradesh</w:t>
            </w:r>
          </w:p>
        </w:tc>
        <w:tc>
          <w:tcPr>
            <w:tcW w:w="896" w:type="dxa"/>
            <w:vAlign w:val="center"/>
            <w:hideMark/>
          </w:tcPr>
          <w:p w14:paraId="71AD9F82"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703.00</w:t>
            </w:r>
          </w:p>
        </w:tc>
        <w:tc>
          <w:tcPr>
            <w:tcW w:w="963" w:type="dxa"/>
            <w:vAlign w:val="center"/>
            <w:hideMark/>
          </w:tcPr>
          <w:p w14:paraId="2CCD2568"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1112.81</w:t>
            </w:r>
          </w:p>
        </w:tc>
        <w:tc>
          <w:tcPr>
            <w:tcW w:w="1440" w:type="dxa"/>
            <w:vAlign w:val="center"/>
            <w:hideMark/>
          </w:tcPr>
          <w:p w14:paraId="5520BEE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409.81</w:t>
            </w:r>
          </w:p>
        </w:tc>
        <w:tc>
          <w:tcPr>
            <w:tcW w:w="982" w:type="dxa"/>
            <w:vAlign w:val="center"/>
            <w:hideMark/>
          </w:tcPr>
          <w:p w14:paraId="64487FA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58.29</w:t>
            </w:r>
          </w:p>
        </w:tc>
        <w:tc>
          <w:tcPr>
            <w:tcW w:w="984" w:type="dxa"/>
            <w:vAlign w:val="center"/>
            <w:hideMark/>
          </w:tcPr>
          <w:p w14:paraId="4C5529E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0.56</w:t>
            </w:r>
          </w:p>
        </w:tc>
        <w:tc>
          <w:tcPr>
            <w:tcW w:w="965" w:type="dxa"/>
            <w:vAlign w:val="center"/>
            <w:hideMark/>
          </w:tcPr>
          <w:p w14:paraId="7A35DB75"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0.89</w:t>
            </w:r>
          </w:p>
        </w:tc>
        <w:tc>
          <w:tcPr>
            <w:tcW w:w="922" w:type="dxa"/>
            <w:vAlign w:val="center"/>
            <w:hideMark/>
          </w:tcPr>
          <w:p w14:paraId="7F31157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0.33</w:t>
            </w:r>
          </w:p>
        </w:tc>
      </w:tr>
      <w:tr w:rsidR="00B933C9" w:rsidRPr="009F214D" w14:paraId="77D23D36" w14:textId="77777777" w:rsidTr="00B933C9">
        <w:trPr>
          <w:trHeight w:val="20"/>
          <w:jc w:val="center"/>
        </w:trPr>
        <w:tc>
          <w:tcPr>
            <w:tcW w:w="581" w:type="dxa"/>
            <w:vAlign w:val="center"/>
            <w:hideMark/>
          </w:tcPr>
          <w:p w14:paraId="3EAE4237"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14</w:t>
            </w:r>
          </w:p>
        </w:tc>
        <w:tc>
          <w:tcPr>
            <w:tcW w:w="1339" w:type="dxa"/>
            <w:vAlign w:val="center"/>
            <w:hideMark/>
          </w:tcPr>
          <w:p w14:paraId="3E2EFDD0"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sz w:val="16"/>
                <w:szCs w:val="16"/>
              </w:rPr>
              <w:t>West Bengal</w:t>
            </w:r>
          </w:p>
        </w:tc>
        <w:tc>
          <w:tcPr>
            <w:tcW w:w="896" w:type="dxa"/>
            <w:vAlign w:val="center"/>
            <w:hideMark/>
          </w:tcPr>
          <w:p w14:paraId="2BCBF97E"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274.00</w:t>
            </w:r>
          </w:p>
        </w:tc>
        <w:tc>
          <w:tcPr>
            <w:tcW w:w="963" w:type="dxa"/>
            <w:vAlign w:val="center"/>
            <w:hideMark/>
          </w:tcPr>
          <w:p w14:paraId="4B2F23F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476.74</w:t>
            </w:r>
          </w:p>
        </w:tc>
        <w:tc>
          <w:tcPr>
            <w:tcW w:w="1440" w:type="dxa"/>
            <w:vAlign w:val="center"/>
            <w:hideMark/>
          </w:tcPr>
          <w:p w14:paraId="6A82FE9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202.74</w:t>
            </w:r>
          </w:p>
        </w:tc>
        <w:tc>
          <w:tcPr>
            <w:tcW w:w="982" w:type="dxa"/>
            <w:vAlign w:val="center"/>
            <w:hideMark/>
          </w:tcPr>
          <w:p w14:paraId="3E6CB99F"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73.99</w:t>
            </w:r>
          </w:p>
        </w:tc>
        <w:tc>
          <w:tcPr>
            <w:tcW w:w="984" w:type="dxa"/>
            <w:vAlign w:val="center"/>
            <w:hideMark/>
          </w:tcPr>
          <w:p w14:paraId="6C19E46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0.45</w:t>
            </w:r>
          </w:p>
        </w:tc>
        <w:tc>
          <w:tcPr>
            <w:tcW w:w="965" w:type="dxa"/>
            <w:vAlign w:val="center"/>
            <w:hideMark/>
          </w:tcPr>
          <w:p w14:paraId="385BFC84"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0.78</w:t>
            </w:r>
          </w:p>
        </w:tc>
        <w:tc>
          <w:tcPr>
            <w:tcW w:w="922" w:type="dxa"/>
            <w:vAlign w:val="center"/>
            <w:hideMark/>
          </w:tcPr>
          <w:p w14:paraId="3BF31750"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sz w:val="16"/>
                <w:szCs w:val="16"/>
              </w:rPr>
              <w:t>0.33</w:t>
            </w:r>
          </w:p>
        </w:tc>
      </w:tr>
      <w:tr w:rsidR="00B933C9" w:rsidRPr="009F214D" w14:paraId="0452BD84" w14:textId="77777777" w:rsidTr="00B933C9">
        <w:trPr>
          <w:trHeight w:val="20"/>
          <w:jc w:val="center"/>
        </w:trPr>
        <w:tc>
          <w:tcPr>
            <w:tcW w:w="581" w:type="dxa"/>
            <w:vAlign w:val="center"/>
            <w:hideMark/>
          </w:tcPr>
          <w:p w14:paraId="5783490F"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14</w:t>
            </w:r>
          </w:p>
        </w:tc>
        <w:tc>
          <w:tcPr>
            <w:tcW w:w="1339" w:type="dxa"/>
            <w:vAlign w:val="center"/>
            <w:hideMark/>
          </w:tcPr>
          <w:p w14:paraId="6296BBCF" w14:textId="77777777" w:rsidR="00877CB7" w:rsidRPr="009F214D" w:rsidRDefault="00877CB7" w:rsidP="00877CB7">
            <w:pPr>
              <w:tabs>
                <w:tab w:val="left" w:pos="2805"/>
              </w:tabs>
              <w:spacing w:line="278" w:lineRule="auto"/>
              <w:rPr>
                <w:rFonts w:ascii="Times New Roman" w:hAnsi="Times New Roman" w:cs="Times New Roman"/>
                <w:sz w:val="16"/>
                <w:szCs w:val="16"/>
              </w:rPr>
            </w:pPr>
            <w:r w:rsidRPr="009F214D">
              <w:rPr>
                <w:rFonts w:ascii="Times New Roman" w:hAnsi="Times New Roman" w:cs="Times New Roman"/>
                <w:b/>
                <w:bCs/>
                <w:sz w:val="16"/>
                <w:szCs w:val="16"/>
              </w:rPr>
              <w:t>Major States</w:t>
            </w:r>
          </w:p>
        </w:tc>
        <w:tc>
          <w:tcPr>
            <w:tcW w:w="896" w:type="dxa"/>
            <w:vAlign w:val="center"/>
            <w:hideMark/>
          </w:tcPr>
          <w:p w14:paraId="4BAFDB9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5917.00</w:t>
            </w:r>
          </w:p>
        </w:tc>
        <w:tc>
          <w:tcPr>
            <w:tcW w:w="963" w:type="dxa"/>
            <w:vAlign w:val="center"/>
            <w:hideMark/>
          </w:tcPr>
          <w:p w14:paraId="34886FE6"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5971.68</w:t>
            </w:r>
          </w:p>
        </w:tc>
        <w:tc>
          <w:tcPr>
            <w:tcW w:w="1440" w:type="dxa"/>
            <w:vAlign w:val="center"/>
            <w:hideMark/>
          </w:tcPr>
          <w:p w14:paraId="713992EF"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54.68</w:t>
            </w:r>
          </w:p>
        </w:tc>
        <w:tc>
          <w:tcPr>
            <w:tcW w:w="982" w:type="dxa"/>
            <w:vAlign w:val="center"/>
            <w:hideMark/>
          </w:tcPr>
          <w:p w14:paraId="48C6C67F"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0.92</w:t>
            </w:r>
          </w:p>
        </w:tc>
        <w:tc>
          <w:tcPr>
            <w:tcW w:w="984" w:type="dxa"/>
            <w:vAlign w:val="center"/>
            <w:hideMark/>
          </w:tcPr>
          <w:p w14:paraId="0CB9D0BA"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0.83</w:t>
            </w:r>
          </w:p>
        </w:tc>
        <w:tc>
          <w:tcPr>
            <w:tcW w:w="965" w:type="dxa"/>
            <w:vAlign w:val="center"/>
            <w:hideMark/>
          </w:tcPr>
          <w:p w14:paraId="4F893A33"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0.83</w:t>
            </w:r>
          </w:p>
        </w:tc>
        <w:tc>
          <w:tcPr>
            <w:tcW w:w="922" w:type="dxa"/>
            <w:vAlign w:val="center"/>
            <w:hideMark/>
          </w:tcPr>
          <w:p w14:paraId="5E8A8D11" w14:textId="77777777" w:rsidR="00877CB7" w:rsidRPr="009F214D" w:rsidRDefault="00877CB7" w:rsidP="00877CB7">
            <w:pPr>
              <w:tabs>
                <w:tab w:val="left" w:pos="2805"/>
              </w:tabs>
              <w:spacing w:line="278" w:lineRule="auto"/>
              <w:jc w:val="center"/>
              <w:rPr>
                <w:rFonts w:ascii="Times New Roman" w:hAnsi="Times New Roman" w:cs="Times New Roman"/>
                <w:sz w:val="16"/>
                <w:szCs w:val="16"/>
              </w:rPr>
            </w:pPr>
            <w:r w:rsidRPr="009F214D">
              <w:rPr>
                <w:rFonts w:ascii="Times New Roman" w:hAnsi="Times New Roman" w:cs="Times New Roman"/>
                <w:b/>
                <w:bCs/>
                <w:sz w:val="16"/>
                <w:szCs w:val="16"/>
              </w:rPr>
              <w:t>0.01</w:t>
            </w:r>
          </w:p>
        </w:tc>
      </w:tr>
      <w:tr w:rsidR="00877CB7" w:rsidRPr="009F214D" w14:paraId="0F0136B8" w14:textId="77777777" w:rsidTr="00443F6B">
        <w:trPr>
          <w:trHeight w:val="20"/>
          <w:jc w:val="center"/>
        </w:trPr>
        <w:tc>
          <w:tcPr>
            <w:tcW w:w="9072" w:type="dxa"/>
            <w:gridSpan w:val="9"/>
            <w:vAlign w:val="center"/>
          </w:tcPr>
          <w:p w14:paraId="6BBEBA62" w14:textId="49A2CB4F" w:rsidR="00877CB7" w:rsidRPr="009F214D" w:rsidRDefault="00877CB7" w:rsidP="00877CB7">
            <w:pPr>
              <w:tabs>
                <w:tab w:val="left" w:pos="2805"/>
              </w:tabs>
              <w:jc w:val="center"/>
              <w:rPr>
                <w:rFonts w:ascii="Times New Roman" w:hAnsi="Times New Roman" w:cs="Times New Roman"/>
                <w:b/>
                <w:bCs/>
                <w:sz w:val="16"/>
                <w:szCs w:val="16"/>
              </w:rPr>
            </w:pPr>
            <w:r w:rsidRPr="00F64FEC">
              <w:rPr>
                <w:rFonts w:ascii="Times New Roman" w:hAnsi="Times New Roman" w:cs="Times New Roman"/>
                <w:b/>
                <w:bCs/>
                <w:sz w:val="20"/>
                <w:szCs w:val="20"/>
              </w:rPr>
              <w:t>Expenditure Category: Administrative Services</w:t>
            </w:r>
          </w:p>
        </w:tc>
      </w:tr>
      <w:tr w:rsidR="00877CB7" w:rsidRPr="009F214D" w14:paraId="5C7EBA98" w14:textId="77777777" w:rsidTr="00B933C9">
        <w:trPr>
          <w:trHeight w:val="20"/>
          <w:jc w:val="center"/>
        </w:trPr>
        <w:tc>
          <w:tcPr>
            <w:tcW w:w="581" w:type="dxa"/>
            <w:vAlign w:val="center"/>
          </w:tcPr>
          <w:p w14:paraId="7A3DB10F" w14:textId="08E34D30"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w:t>
            </w:r>
          </w:p>
        </w:tc>
        <w:tc>
          <w:tcPr>
            <w:tcW w:w="1339" w:type="dxa"/>
            <w:vAlign w:val="center"/>
          </w:tcPr>
          <w:p w14:paraId="2BBE957F" w14:textId="1314D0A7" w:rsidR="00877CB7" w:rsidRPr="009F214D" w:rsidRDefault="00877CB7" w:rsidP="00877CB7">
            <w:pPr>
              <w:tabs>
                <w:tab w:val="left" w:pos="2805"/>
              </w:tabs>
              <w:rPr>
                <w:rFonts w:ascii="Times New Roman" w:hAnsi="Times New Roman" w:cs="Times New Roman"/>
                <w:b/>
                <w:bCs/>
                <w:sz w:val="16"/>
                <w:szCs w:val="16"/>
              </w:rPr>
            </w:pPr>
            <w:r w:rsidRPr="009F214D">
              <w:rPr>
                <w:rFonts w:ascii="Times New Roman" w:hAnsi="Times New Roman" w:cs="Times New Roman"/>
                <w:sz w:val="16"/>
                <w:szCs w:val="16"/>
              </w:rPr>
              <w:t>Andhra Pradesh</w:t>
            </w:r>
          </w:p>
        </w:tc>
        <w:tc>
          <w:tcPr>
            <w:tcW w:w="896" w:type="dxa"/>
            <w:vAlign w:val="center"/>
          </w:tcPr>
          <w:p w14:paraId="4979E527" w14:textId="20956293"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7445.00</w:t>
            </w:r>
          </w:p>
        </w:tc>
        <w:tc>
          <w:tcPr>
            <w:tcW w:w="963" w:type="dxa"/>
            <w:vAlign w:val="center"/>
          </w:tcPr>
          <w:p w14:paraId="6458F5F6" w14:textId="1DF354F5"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4715.04</w:t>
            </w:r>
          </w:p>
        </w:tc>
        <w:tc>
          <w:tcPr>
            <w:tcW w:w="1440" w:type="dxa"/>
            <w:vAlign w:val="center"/>
          </w:tcPr>
          <w:p w14:paraId="43E0D4AE" w14:textId="1B0EED49"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-2729.96</w:t>
            </w:r>
          </w:p>
        </w:tc>
        <w:tc>
          <w:tcPr>
            <w:tcW w:w="982" w:type="dxa"/>
            <w:vAlign w:val="center"/>
          </w:tcPr>
          <w:p w14:paraId="234BE9C9" w14:textId="26B1B86D"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-36.67</w:t>
            </w:r>
          </w:p>
        </w:tc>
        <w:tc>
          <w:tcPr>
            <w:tcW w:w="984" w:type="dxa"/>
            <w:vAlign w:val="center"/>
          </w:tcPr>
          <w:p w14:paraId="32547DF1" w14:textId="0AFCFC33"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12.52</w:t>
            </w:r>
          </w:p>
        </w:tc>
        <w:tc>
          <w:tcPr>
            <w:tcW w:w="965" w:type="dxa"/>
            <w:vAlign w:val="center"/>
          </w:tcPr>
          <w:p w14:paraId="6E7049AF" w14:textId="2663F8C3"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7.93</w:t>
            </w:r>
          </w:p>
        </w:tc>
        <w:tc>
          <w:tcPr>
            <w:tcW w:w="922" w:type="dxa"/>
            <w:vAlign w:val="center"/>
          </w:tcPr>
          <w:p w14:paraId="64C7B52F" w14:textId="644B0836"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-4.59</w:t>
            </w:r>
          </w:p>
        </w:tc>
      </w:tr>
      <w:tr w:rsidR="00877CB7" w:rsidRPr="009F214D" w14:paraId="61B0EF06" w14:textId="77777777" w:rsidTr="00B933C9">
        <w:trPr>
          <w:trHeight w:val="20"/>
          <w:jc w:val="center"/>
        </w:trPr>
        <w:tc>
          <w:tcPr>
            <w:tcW w:w="581" w:type="dxa"/>
            <w:vAlign w:val="center"/>
          </w:tcPr>
          <w:p w14:paraId="28DE46B8" w14:textId="5BCE995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w:t>
            </w:r>
          </w:p>
        </w:tc>
        <w:tc>
          <w:tcPr>
            <w:tcW w:w="1339" w:type="dxa"/>
            <w:vAlign w:val="center"/>
          </w:tcPr>
          <w:p w14:paraId="724BD908" w14:textId="1FDC6DA1"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Bihar</w:t>
            </w:r>
          </w:p>
        </w:tc>
        <w:tc>
          <w:tcPr>
            <w:tcW w:w="896" w:type="dxa"/>
            <w:vAlign w:val="center"/>
          </w:tcPr>
          <w:p w14:paraId="62D20017" w14:textId="66666B9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3912.00</w:t>
            </w:r>
          </w:p>
        </w:tc>
        <w:tc>
          <w:tcPr>
            <w:tcW w:w="963" w:type="dxa"/>
            <w:vAlign w:val="center"/>
          </w:tcPr>
          <w:p w14:paraId="2D5A59AF" w14:textId="023B53B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6182.38</w:t>
            </w:r>
          </w:p>
        </w:tc>
        <w:tc>
          <w:tcPr>
            <w:tcW w:w="1440" w:type="dxa"/>
            <w:vAlign w:val="center"/>
          </w:tcPr>
          <w:p w14:paraId="7E2F548E" w14:textId="390803C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2270.38</w:t>
            </w:r>
          </w:p>
        </w:tc>
        <w:tc>
          <w:tcPr>
            <w:tcW w:w="982" w:type="dxa"/>
            <w:vAlign w:val="center"/>
          </w:tcPr>
          <w:p w14:paraId="78CBBE73" w14:textId="0385B0C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58.04</w:t>
            </w:r>
          </w:p>
        </w:tc>
        <w:tc>
          <w:tcPr>
            <w:tcW w:w="984" w:type="dxa"/>
            <w:vAlign w:val="center"/>
          </w:tcPr>
          <w:p w14:paraId="3B562D26" w14:textId="3ADB97B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4.97</w:t>
            </w:r>
          </w:p>
        </w:tc>
        <w:tc>
          <w:tcPr>
            <w:tcW w:w="965" w:type="dxa"/>
            <w:vAlign w:val="center"/>
          </w:tcPr>
          <w:p w14:paraId="740EEFE1" w14:textId="1557FDA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7.85</w:t>
            </w:r>
          </w:p>
        </w:tc>
        <w:tc>
          <w:tcPr>
            <w:tcW w:w="922" w:type="dxa"/>
            <w:vAlign w:val="center"/>
          </w:tcPr>
          <w:p w14:paraId="7C158C36" w14:textId="6BAAD60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2.88</w:t>
            </w:r>
          </w:p>
        </w:tc>
      </w:tr>
      <w:tr w:rsidR="00877CB7" w:rsidRPr="009F214D" w14:paraId="5D2BCB3B" w14:textId="77777777" w:rsidTr="00B933C9">
        <w:trPr>
          <w:trHeight w:val="20"/>
          <w:jc w:val="center"/>
        </w:trPr>
        <w:tc>
          <w:tcPr>
            <w:tcW w:w="581" w:type="dxa"/>
            <w:vAlign w:val="center"/>
          </w:tcPr>
          <w:p w14:paraId="61024CFB" w14:textId="7420919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w:t>
            </w:r>
          </w:p>
        </w:tc>
        <w:tc>
          <w:tcPr>
            <w:tcW w:w="1339" w:type="dxa"/>
            <w:vAlign w:val="center"/>
          </w:tcPr>
          <w:p w14:paraId="3050119A" w14:textId="207F258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Gujarat</w:t>
            </w:r>
          </w:p>
        </w:tc>
        <w:tc>
          <w:tcPr>
            <w:tcW w:w="896" w:type="dxa"/>
            <w:vAlign w:val="center"/>
          </w:tcPr>
          <w:p w14:paraId="0AC00150" w14:textId="48D0734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2462.00</w:t>
            </w:r>
          </w:p>
        </w:tc>
        <w:tc>
          <w:tcPr>
            <w:tcW w:w="963" w:type="dxa"/>
            <w:vAlign w:val="center"/>
          </w:tcPr>
          <w:p w14:paraId="02FF0EAB" w14:textId="7FE2671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3232.78</w:t>
            </w:r>
          </w:p>
        </w:tc>
        <w:tc>
          <w:tcPr>
            <w:tcW w:w="1440" w:type="dxa"/>
            <w:vAlign w:val="center"/>
          </w:tcPr>
          <w:p w14:paraId="0DE256DE" w14:textId="2B98EAF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770.78</w:t>
            </w:r>
          </w:p>
        </w:tc>
        <w:tc>
          <w:tcPr>
            <w:tcW w:w="982" w:type="dxa"/>
            <w:vAlign w:val="center"/>
          </w:tcPr>
          <w:p w14:paraId="3F2B4497" w14:textId="2479EB7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31.31</w:t>
            </w:r>
          </w:p>
        </w:tc>
        <w:tc>
          <w:tcPr>
            <w:tcW w:w="984" w:type="dxa"/>
            <w:vAlign w:val="center"/>
          </w:tcPr>
          <w:p w14:paraId="79F31956" w14:textId="744A9B0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6.46</w:t>
            </w:r>
          </w:p>
        </w:tc>
        <w:tc>
          <w:tcPr>
            <w:tcW w:w="965" w:type="dxa"/>
            <w:vAlign w:val="center"/>
          </w:tcPr>
          <w:p w14:paraId="7E1FF931" w14:textId="6D2B40B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8.48</w:t>
            </w:r>
          </w:p>
        </w:tc>
        <w:tc>
          <w:tcPr>
            <w:tcW w:w="922" w:type="dxa"/>
            <w:vAlign w:val="center"/>
          </w:tcPr>
          <w:p w14:paraId="2BA7BDDF" w14:textId="2F5EF4E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2.02</w:t>
            </w:r>
          </w:p>
        </w:tc>
      </w:tr>
      <w:tr w:rsidR="00877CB7" w:rsidRPr="009F214D" w14:paraId="1A74A22A" w14:textId="77777777" w:rsidTr="00B933C9">
        <w:trPr>
          <w:trHeight w:val="20"/>
          <w:jc w:val="center"/>
        </w:trPr>
        <w:tc>
          <w:tcPr>
            <w:tcW w:w="581" w:type="dxa"/>
            <w:vAlign w:val="center"/>
          </w:tcPr>
          <w:p w14:paraId="0598D20A" w14:textId="077DE31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w:t>
            </w:r>
          </w:p>
        </w:tc>
        <w:tc>
          <w:tcPr>
            <w:tcW w:w="1339" w:type="dxa"/>
            <w:vAlign w:val="center"/>
          </w:tcPr>
          <w:p w14:paraId="52BE7B4F" w14:textId="037D2420"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Haryana</w:t>
            </w:r>
          </w:p>
        </w:tc>
        <w:tc>
          <w:tcPr>
            <w:tcW w:w="896" w:type="dxa"/>
            <w:vAlign w:val="center"/>
          </w:tcPr>
          <w:p w14:paraId="708D6FF2" w14:textId="72DF996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1193.00</w:t>
            </w:r>
          </w:p>
        </w:tc>
        <w:tc>
          <w:tcPr>
            <w:tcW w:w="963" w:type="dxa"/>
            <w:vAlign w:val="center"/>
          </w:tcPr>
          <w:p w14:paraId="7D0C867B" w14:textId="070C934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1166.52</w:t>
            </w:r>
          </w:p>
        </w:tc>
        <w:tc>
          <w:tcPr>
            <w:tcW w:w="1440" w:type="dxa"/>
            <w:vAlign w:val="center"/>
          </w:tcPr>
          <w:p w14:paraId="6490085B" w14:textId="0879FD4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-26.48</w:t>
            </w:r>
          </w:p>
        </w:tc>
        <w:tc>
          <w:tcPr>
            <w:tcW w:w="982" w:type="dxa"/>
            <w:vAlign w:val="center"/>
          </w:tcPr>
          <w:p w14:paraId="049D65A7" w14:textId="4AF57BE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-2.22</w:t>
            </w:r>
          </w:p>
        </w:tc>
        <w:tc>
          <w:tcPr>
            <w:tcW w:w="984" w:type="dxa"/>
            <w:vAlign w:val="center"/>
          </w:tcPr>
          <w:p w14:paraId="25515BEF" w14:textId="469E5BB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7.94</w:t>
            </w:r>
          </w:p>
        </w:tc>
        <w:tc>
          <w:tcPr>
            <w:tcW w:w="965" w:type="dxa"/>
            <w:vAlign w:val="center"/>
          </w:tcPr>
          <w:p w14:paraId="3D40B65E" w14:textId="4430D09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7.76</w:t>
            </w:r>
          </w:p>
        </w:tc>
        <w:tc>
          <w:tcPr>
            <w:tcW w:w="922" w:type="dxa"/>
            <w:vAlign w:val="center"/>
          </w:tcPr>
          <w:p w14:paraId="76A1061E" w14:textId="1FC0418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-0.18</w:t>
            </w:r>
          </w:p>
        </w:tc>
      </w:tr>
      <w:tr w:rsidR="00877CB7" w:rsidRPr="009F214D" w14:paraId="7C9CE72E" w14:textId="77777777" w:rsidTr="00B933C9">
        <w:trPr>
          <w:trHeight w:val="20"/>
          <w:jc w:val="center"/>
        </w:trPr>
        <w:tc>
          <w:tcPr>
            <w:tcW w:w="581" w:type="dxa"/>
            <w:vAlign w:val="center"/>
          </w:tcPr>
          <w:p w14:paraId="7CD6B130" w14:textId="2A5DD7E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w:t>
            </w:r>
          </w:p>
        </w:tc>
        <w:tc>
          <w:tcPr>
            <w:tcW w:w="1339" w:type="dxa"/>
            <w:vAlign w:val="center"/>
          </w:tcPr>
          <w:p w14:paraId="535876FF" w14:textId="6D31A7FD"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Karnataka</w:t>
            </w:r>
          </w:p>
        </w:tc>
        <w:tc>
          <w:tcPr>
            <w:tcW w:w="896" w:type="dxa"/>
            <w:vAlign w:val="center"/>
          </w:tcPr>
          <w:p w14:paraId="03D9F885" w14:textId="25068FA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2799.00</w:t>
            </w:r>
          </w:p>
        </w:tc>
        <w:tc>
          <w:tcPr>
            <w:tcW w:w="963" w:type="dxa"/>
            <w:vAlign w:val="center"/>
          </w:tcPr>
          <w:p w14:paraId="5C1FBEA9" w14:textId="07C174C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3590.23</w:t>
            </w:r>
          </w:p>
        </w:tc>
        <w:tc>
          <w:tcPr>
            <w:tcW w:w="1440" w:type="dxa"/>
            <w:vAlign w:val="center"/>
          </w:tcPr>
          <w:p w14:paraId="48E24A03" w14:textId="23AA975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791.23</w:t>
            </w:r>
          </w:p>
        </w:tc>
        <w:tc>
          <w:tcPr>
            <w:tcW w:w="982" w:type="dxa"/>
            <w:vAlign w:val="center"/>
          </w:tcPr>
          <w:p w14:paraId="2C3E2F28" w14:textId="627DC22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28.27</w:t>
            </w:r>
          </w:p>
        </w:tc>
        <w:tc>
          <w:tcPr>
            <w:tcW w:w="984" w:type="dxa"/>
            <w:vAlign w:val="center"/>
          </w:tcPr>
          <w:p w14:paraId="68A3D1BE" w14:textId="0D8DECD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6.69</w:t>
            </w:r>
          </w:p>
        </w:tc>
        <w:tc>
          <w:tcPr>
            <w:tcW w:w="965" w:type="dxa"/>
            <w:vAlign w:val="center"/>
          </w:tcPr>
          <w:p w14:paraId="6FB25969" w14:textId="18C3E76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8.59</w:t>
            </w:r>
          </w:p>
        </w:tc>
        <w:tc>
          <w:tcPr>
            <w:tcW w:w="922" w:type="dxa"/>
            <w:vAlign w:val="center"/>
          </w:tcPr>
          <w:p w14:paraId="281D06DC" w14:textId="2E91E29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1.89</w:t>
            </w:r>
          </w:p>
        </w:tc>
      </w:tr>
      <w:tr w:rsidR="00877CB7" w:rsidRPr="009F214D" w14:paraId="3E8E2BE9" w14:textId="77777777" w:rsidTr="00B933C9">
        <w:trPr>
          <w:trHeight w:val="20"/>
          <w:jc w:val="center"/>
        </w:trPr>
        <w:tc>
          <w:tcPr>
            <w:tcW w:w="581" w:type="dxa"/>
            <w:vAlign w:val="center"/>
          </w:tcPr>
          <w:p w14:paraId="53C02CF0" w14:textId="6F374C5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w:t>
            </w:r>
          </w:p>
        </w:tc>
        <w:tc>
          <w:tcPr>
            <w:tcW w:w="1339" w:type="dxa"/>
            <w:vAlign w:val="center"/>
          </w:tcPr>
          <w:p w14:paraId="0E88E3F5" w14:textId="377825A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Kerala</w:t>
            </w:r>
          </w:p>
        </w:tc>
        <w:tc>
          <w:tcPr>
            <w:tcW w:w="896" w:type="dxa"/>
            <w:vAlign w:val="center"/>
          </w:tcPr>
          <w:p w14:paraId="349DEFA4" w14:textId="174A651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2579.00</w:t>
            </w:r>
          </w:p>
        </w:tc>
        <w:tc>
          <w:tcPr>
            <w:tcW w:w="963" w:type="dxa"/>
            <w:vAlign w:val="center"/>
          </w:tcPr>
          <w:p w14:paraId="29FF44EA" w14:textId="1C151E3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2433.89</w:t>
            </w:r>
          </w:p>
        </w:tc>
        <w:tc>
          <w:tcPr>
            <w:tcW w:w="1440" w:type="dxa"/>
            <w:vAlign w:val="center"/>
          </w:tcPr>
          <w:p w14:paraId="410392C9" w14:textId="7135DFC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-145.11</w:t>
            </w:r>
          </w:p>
        </w:tc>
        <w:tc>
          <w:tcPr>
            <w:tcW w:w="982" w:type="dxa"/>
            <w:vAlign w:val="center"/>
          </w:tcPr>
          <w:p w14:paraId="4122F153" w14:textId="3AD7ACE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-5.63</w:t>
            </w:r>
          </w:p>
        </w:tc>
        <w:tc>
          <w:tcPr>
            <w:tcW w:w="984" w:type="dxa"/>
            <w:vAlign w:val="center"/>
          </w:tcPr>
          <w:p w14:paraId="7490E1DA" w14:textId="7F11672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9.17</w:t>
            </w:r>
          </w:p>
        </w:tc>
        <w:tc>
          <w:tcPr>
            <w:tcW w:w="965" w:type="dxa"/>
            <w:vAlign w:val="center"/>
          </w:tcPr>
          <w:p w14:paraId="75356D31" w14:textId="59AEE3F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8.65</w:t>
            </w:r>
          </w:p>
        </w:tc>
        <w:tc>
          <w:tcPr>
            <w:tcW w:w="922" w:type="dxa"/>
            <w:vAlign w:val="center"/>
          </w:tcPr>
          <w:p w14:paraId="1DAADA87" w14:textId="256D29F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-0.52</w:t>
            </w:r>
          </w:p>
        </w:tc>
      </w:tr>
      <w:tr w:rsidR="00877CB7" w:rsidRPr="009F214D" w14:paraId="2914ED4B" w14:textId="77777777" w:rsidTr="00B933C9">
        <w:trPr>
          <w:trHeight w:val="20"/>
          <w:jc w:val="center"/>
        </w:trPr>
        <w:tc>
          <w:tcPr>
            <w:tcW w:w="581" w:type="dxa"/>
            <w:vAlign w:val="center"/>
          </w:tcPr>
          <w:p w14:paraId="02AD109F" w14:textId="22E02A7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w:t>
            </w:r>
          </w:p>
        </w:tc>
        <w:tc>
          <w:tcPr>
            <w:tcW w:w="1339" w:type="dxa"/>
            <w:vAlign w:val="center"/>
          </w:tcPr>
          <w:p w14:paraId="44635178" w14:textId="0CC9F75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Madhya Pradesh</w:t>
            </w:r>
          </w:p>
        </w:tc>
        <w:tc>
          <w:tcPr>
            <w:tcW w:w="896" w:type="dxa"/>
            <w:vAlign w:val="center"/>
          </w:tcPr>
          <w:p w14:paraId="31393ACB" w14:textId="3B23865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3905.00</w:t>
            </w:r>
          </w:p>
        </w:tc>
        <w:tc>
          <w:tcPr>
            <w:tcW w:w="963" w:type="dxa"/>
            <w:vAlign w:val="center"/>
          </w:tcPr>
          <w:p w14:paraId="7B915230" w14:textId="5CE5DCD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4684.97</w:t>
            </w:r>
          </w:p>
        </w:tc>
        <w:tc>
          <w:tcPr>
            <w:tcW w:w="1440" w:type="dxa"/>
            <w:vAlign w:val="center"/>
          </w:tcPr>
          <w:p w14:paraId="110AF07B" w14:textId="795551F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779.97</w:t>
            </w:r>
          </w:p>
        </w:tc>
        <w:tc>
          <w:tcPr>
            <w:tcW w:w="982" w:type="dxa"/>
            <w:vAlign w:val="center"/>
          </w:tcPr>
          <w:p w14:paraId="6BB847AB" w14:textId="5937076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19.97</w:t>
            </w:r>
          </w:p>
        </w:tc>
        <w:tc>
          <w:tcPr>
            <w:tcW w:w="984" w:type="dxa"/>
            <w:vAlign w:val="center"/>
          </w:tcPr>
          <w:p w14:paraId="17A252AD" w14:textId="2F234EE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6.63</w:t>
            </w:r>
          </w:p>
        </w:tc>
        <w:tc>
          <w:tcPr>
            <w:tcW w:w="965" w:type="dxa"/>
            <w:vAlign w:val="center"/>
          </w:tcPr>
          <w:p w14:paraId="494A6B86" w14:textId="78961FD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7.95</w:t>
            </w:r>
          </w:p>
        </w:tc>
        <w:tc>
          <w:tcPr>
            <w:tcW w:w="922" w:type="dxa"/>
            <w:vAlign w:val="center"/>
          </w:tcPr>
          <w:p w14:paraId="470BC1C1" w14:textId="3250A95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1.32</w:t>
            </w:r>
          </w:p>
        </w:tc>
      </w:tr>
      <w:tr w:rsidR="00877CB7" w:rsidRPr="009F214D" w14:paraId="2CBA4D76" w14:textId="77777777" w:rsidTr="00B933C9">
        <w:trPr>
          <w:trHeight w:val="20"/>
          <w:jc w:val="center"/>
        </w:trPr>
        <w:tc>
          <w:tcPr>
            <w:tcW w:w="581" w:type="dxa"/>
            <w:vAlign w:val="center"/>
          </w:tcPr>
          <w:p w14:paraId="443DF8DB" w14:textId="023A6D1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w:t>
            </w:r>
          </w:p>
        </w:tc>
        <w:tc>
          <w:tcPr>
            <w:tcW w:w="1339" w:type="dxa"/>
            <w:vAlign w:val="center"/>
          </w:tcPr>
          <w:p w14:paraId="1880B77D" w14:textId="167851F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Maharashtra</w:t>
            </w:r>
          </w:p>
        </w:tc>
        <w:tc>
          <w:tcPr>
            <w:tcW w:w="896" w:type="dxa"/>
            <w:vAlign w:val="center"/>
          </w:tcPr>
          <w:p w14:paraId="1D0BE64B" w14:textId="20EE450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12425.00</w:t>
            </w:r>
          </w:p>
        </w:tc>
        <w:tc>
          <w:tcPr>
            <w:tcW w:w="963" w:type="dxa"/>
            <w:vAlign w:val="center"/>
          </w:tcPr>
          <w:p w14:paraId="6C8E8158" w14:textId="6FDC1B6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5944.36</w:t>
            </w:r>
          </w:p>
        </w:tc>
        <w:tc>
          <w:tcPr>
            <w:tcW w:w="1440" w:type="dxa"/>
            <w:vAlign w:val="center"/>
          </w:tcPr>
          <w:p w14:paraId="3204EC5B" w14:textId="6A13244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-6480.64</w:t>
            </w:r>
          </w:p>
        </w:tc>
        <w:tc>
          <w:tcPr>
            <w:tcW w:w="982" w:type="dxa"/>
            <w:vAlign w:val="center"/>
          </w:tcPr>
          <w:p w14:paraId="01EC1B61" w14:textId="7B6412C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-52.16</w:t>
            </w:r>
          </w:p>
        </w:tc>
        <w:tc>
          <w:tcPr>
            <w:tcW w:w="984" w:type="dxa"/>
            <w:vAlign w:val="center"/>
          </w:tcPr>
          <w:p w14:paraId="59E3142E" w14:textId="4932669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17.64</w:t>
            </w:r>
          </w:p>
        </w:tc>
        <w:tc>
          <w:tcPr>
            <w:tcW w:w="965" w:type="dxa"/>
            <w:vAlign w:val="center"/>
          </w:tcPr>
          <w:p w14:paraId="778A0E8A" w14:textId="2D959AB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8.44</w:t>
            </w:r>
          </w:p>
        </w:tc>
        <w:tc>
          <w:tcPr>
            <w:tcW w:w="922" w:type="dxa"/>
            <w:vAlign w:val="center"/>
          </w:tcPr>
          <w:p w14:paraId="065CAF36" w14:textId="5F5D811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-9.20</w:t>
            </w:r>
          </w:p>
        </w:tc>
      </w:tr>
      <w:tr w:rsidR="00877CB7" w:rsidRPr="009F214D" w14:paraId="23CE0D8E" w14:textId="77777777" w:rsidTr="00B933C9">
        <w:trPr>
          <w:trHeight w:val="20"/>
          <w:jc w:val="center"/>
        </w:trPr>
        <w:tc>
          <w:tcPr>
            <w:tcW w:w="581" w:type="dxa"/>
            <w:vAlign w:val="center"/>
          </w:tcPr>
          <w:p w14:paraId="2FDF7376" w14:textId="32EACF3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w:t>
            </w:r>
          </w:p>
        </w:tc>
        <w:tc>
          <w:tcPr>
            <w:tcW w:w="1339" w:type="dxa"/>
            <w:vAlign w:val="center"/>
          </w:tcPr>
          <w:p w14:paraId="2A5D3E8D" w14:textId="751B2CAA"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Orissa</w:t>
            </w:r>
          </w:p>
        </w:tc>
        <w:tc>
          <w:tcPr>
            <w:tcW w:w="896" w:type="dxa"/>
            <w:vAlign w:val="center"/>
          </w:tcPr>
          <w:p w14:paraId="5635620A" w14:textId="2E8D79D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2411.00</w:t>
            </w:r>
          </w:p>
        </w:tc>
        <w:tc>
          <w:tcPr>
            <w:tcW w:w="963" w:type="dxa"/>
            <w:vAlign w:val="center"/>
          </w:tcPr>
          <w:p w14:paraId="58FF0A06" w14:textId="0488A96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2427.42</w:t>
            </w:r>
          </w:p>
        </w:tc>
        <w:tc>
          <w:tcPr>
            <w:tcW w:w="1440" w:type="dxa"/>
            <w:vAlign w:val="center"/>
          </w:tcPr>
          <w:p w14:paraId="4B3073B4" w14:textId="09D72B3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16.42</w:t>
            </w:r>
          </w:p>
        </w:tc>
        <w:tc>
          <w:tcPr>
            <w:tcW w:w="982" w:type="dxa"/>
            <w:vAlign w:val="center"/>
          </w:tcPr>
          <w:p w14:paraId="1CD38CF8" w14:textId="1EA16DD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0.68</w:t>
            </w:r>
          </w:p>
        </w:tc>
        <w:tc>
          <w:tcPr>
            <w:tcW w:w="984" w:type="dxa"/>
            <w:vAlign w:val="center"/>
          </w:tcPr>
          <w:p w14:paraId="7AD3D1FE" w14:textId="31FFA5E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8.27</w:t>
            </w:r>
          </w:p>
        </w:tc>
        <w:tc>
          <w:tcPr>
            <w:tcW w:w="965" w:type="dxa"/>
            <w:vAlign w:val="center"/>
          </w:tcPr>
          <w:p w14:paraId="2B2BFD8D" w14:textId="378D404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8.32</w:t>
            </w:r>
          </w:p>
        </w:tc>
        <w:tc>
          <w:tcPr>
            <w:tcW w:w="922" w:type="dxa"/>
            <w:vAlign w:val="center"/>
          </w:tcPr>
          <w:p w14:paraId="51AAE2DD" w14:textId="40E6B83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0.06</w:t>
            </w:r>
          </w:p>
        </w:tc>
      </w:tr>
      <w:tr w:rsidR="00877CB7" w:rsidRPr="009F214D" w14:paraId="6D42938D" w14:textId="77777777" w:rsidTr="00B933C9">
        <w:trPr>
          <w:trHeight w:val="20"/>
          <w:jc w:val="center"/>
        </w:trPr>
        <w:tc>
          <w:tcPr>
            <w:tcW w:w="581" w:type="dxa"/>
            <w:vAlign w:val="center"/>
          </w:tcPr>
          <w:p w14:paraId="065A139E" w14:textId="2E23811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w:t>
            </w:r>
          </w:p>
        </w:tc>
        <w:tc>
          <w:tcPr>
            <w:tcW w:w="1339" w:type="dxa"/>
            <w:vAlign w:val="center"/>
          </w:tcPr>
          <w:p w14:paraId="48AF57E9" w14:textId="231BDC05"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Punjab</w:t>
            </w:r>
          </w:p>
        </w:tc>
        <w:tc>
          <w:tcPr>
            <w:tcW w:w="896" w:type="dxa"/>
            <w:vAlign w:val="center"/>
          </w:tcPr>
          <w:p w14:paraId="09CC5260" w14:textId="7ED47A0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1791.00</w:t>
            </w:r>
          </w:p>
        </w:tc>
        <w:tc>
          <w:tcPr>
            <w:tcW w:w="963" w:type="dxa"/>
            <w:vAlign w:val="center"/>
          </w:tcPr>
          <w:p w14:paraId="7E80E059" w14:textId="385AC3C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1495.23</w:t>
            </w:r>
          </w:p>
        </w:tc>
        <w:tc>
          <w:tcPr>
            <w:tcW w:w="1440" w:type="dxa"/>
            <w:vAlign w:val="center"/>
          </w:tcPr>
          <w:p w14:paraId="312BAE5E" w14:textId="0D1468C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-295.77</w:t>
            </w:r>
          </w:p>
        </w:tc>
        <w:tc>
          <w:tcPr>
            <w:tcW w:w="982" w:type="dxa"/>
            <w:vAlign w:val="center"/>
          </w:tcPr>
          <w:p w14:paraId="73CD25AF" w14:textId="6305685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-16.51</w:t>
            </w:r>
          </w:p>
        </w:tc>
        <w:tc>
          <w:tcPr>
            <w:tcW w:w="984" w:type="dxa"/>
            <w:vAlign w:val="center"/>
          </w:tcPr>
          <w:p w14:paraId="202BAD1A" w14:textId="6180088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9.58</w:t>
            </w:r>
          </w:p>
        </w:tc>
        <w:tc>
          <w:tcPr>
            <w:tcW w:w="965" w:type="dxa"/>
            <w:vAlign w:val="center"/>
          </w:tcPr>
          <w:p w14:paraId="469C821B" w14:textId="07D4DF3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8.00</w:t>
            </w:r>
          </w:p>
        </w:tc>
        <w:tc>
          <w:tcPr>
            <w:tcW w:w="922" w:type="dxa"/>
            <w:vAlign w:val="center"/>
          </w:tcPr>
          <w:p w14:paraId="7D382078" w14:textId="0C85151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-1.58</w:t>
            </w:r>
          </w:p>
        </w:tc>
      </w:tr>
      <w:tr w:rsidR="00877CB7" w:rsidRPr="009F214D" w14:paraId="645C3D7E" w14:textId="77777777" w:rsidTr="00B933C9">
        <w:trPr>
          <w:trHeight w:val="20"/>
          <w:jc w:val="center"/>
        </w:trPr>
        <w:tc>
          <w:tcPr>
            <w:tcW w:w="581" w:type="dxa"/>
            <w:vAlign w:val="center"/>
          </w:tcPr>
          <w:p w14:paraId="6E269BAF" w14:textId="41AFE51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w:t>
            </w:r>
          </w:p>
        </w:tc>
        <w:tc>
          <w:tcPr>
            <w:tcW w:w="1339" w:type="dxa"/>
            <w:vAlign w:val="center"/>
          </w:tcPr>
          <w:p w14:paraId="5A2F6B67" w14:textId="13F36BEF"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Rajasthan</w:t>
            </w:r>
          </w:p>
        </w:tc>
        <w:tc>
          <w:tcPr>
            <w:tcW w:w="896" w:type="dxa"/>
            <w:vAlign w:val="center"/>
          </w:tcPr>
          <w:p w14:paraId="68383EBC" w14:textId="7C80707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2951.00</w:t>
            </w:r>
          </w:p>
        </w:tc>
        <w:tc>
          <w:tcPr>
            <w:tcW w:w="963" w:type="dxa"/>
            <w:vAlign w:val="center"/>
          </w:tcPr>
          <w:p w14:paraId="50CB96DA" w14:textId="66683BE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3386.92</w:t>
            </w:r>
          </w:p>
        </w:tc>
        <w:tc>
          <w:tcPr>
            <w:tcW w:w="1440" w:type="dxa"/>
            <w:vAlign w:val="center"/>
          </w:tcPr>
          <w:p w14:paraId="2D66F9E5" w14:textId="47CE2A3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435.92</w:t>
            </w:r>
          </w:p>
        </w:tc>
        <w:tc>
          <w:tcPr>
            <w:tcW w:w="982" w:type="dxa"/>
            <w:vAlign w:val="center"/>
          </w:tcPr>
          <w:p w14:paraId="628D91B8" w14:textId="4B37378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14.77</w:t>
            </w:r>
          </w:p>
        </w:tc>
        <w:tc>
          <w:tcPr>
            <w:tcW w:w="984" w:type="dxa"/>
            <w:vAlign w:val="center"/>
          </w:tcPr>
          <w:p w14:paraId="6C1C1D47" w14:textId="205A404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7.41</w:t>
            </w:r>
          </w:p>
        </w:tc>
        <w:tc>
          <w:tcPr>
            <w:tcW w:w="965" w:type="dxa"/>
            <w:vAlign w:val="center"/>
          </w:tcPr>
          <w:p w14:paraId="0D9C1A0B" w14:textId="41610F3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8.51</w:t>
            </w:r>
          </w:p>
        </w:tc>
        <w:tc>
          <w:tcPr>
            <w:tcW w:w="922" w:type="dxa"/>
            <w:vAlign w:val="center"/>
          </w:tcPr>
          <w:p w14:paraId="389FC52E" w14:textId="439214B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1.10</w:t>
            </w:r>
          </w:p>
        </w:tc>
      </w:tr>
      <w:tr w:rsidR="00877CB7" w:rsidRPr="009F214D" w14:paraId="2C4D91F8" w14:textId="77777777" w:rsidTr="00B933C9">
        <w:trPr>
          <w:trHeight w:val="20"/>
          <w:jc w:val="center"/>
        </w:trPr>
        <w:tc>
          <w:tcPr>
            <w:tcW w:w="581" w:type="dxa"/>
            <w:vAlign w:val="center"/>
          </w:tcPr>
          <w:p w14:paraId="131BFB03" w14:textId="36E5936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w:t>
            </w:r>
          </w:p>
        </w:tc>
        <w:tc>
          <w:tcPr>
            <w:tcW w:w="1339" w:type="dxa"/>
            <w:vAlign w:val="center"/>
          </w:tcPr>
          <w:p w14:paraId="3379574A" w14:textId="20550574"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Tamil Nadu</w:t>
            </w:r>
          </w:p>
        </w:tc>
        <w:tc>
          <w:tcPr>
            <w:tcW w:w="896" w:type="dxa"/>
            <w:vAlign w:val="center"/>
          </w:tcPr>
          <w:p w14:paraId="51168A5F" w14:textId="78BEF29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7449.00</w:t>
            </w:r>
          </w:p>
        </w:tc>
        <w:tc>
          <w:tcPr>
            <w:tcW w:w="963" w:type="dxa"/>
            <w:vAlign w:val="center"/>
          </w:tcPr>
          <w:p w14:paraId="68C74C34" w14:textId="506DF86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4686.41</w:t>
            </w:r>
          </w:p>
        </w:tc>
        <w:tc>
          <w:tcPr>
            <w:tcW w:w="1440" w:type="dxa"/>
            <w:vAlign w:val="center"/>
          </w:tcPr>
          <w:p w14:paraId="40C36419" w14:textId="25DE739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-2762.59</w:t>
            </w:r>
          </w:p>
        </w:tc>
        <w:tc>
          <w:tcPr>
            <w:tcW w:w="982" w:type="dxa"/>
            <w:vAlign w:val="center"/>
          </w:tcPr>
          <w:p w14:paraId="22E3DA91" w14:textId="62050CD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-37.09</w:t>
            </w:r>
          </w:p>
        </w:tc>
        <w:tc>
          <w:tcPr>
            <w:tcW w:w="984" w:type="dxa"/>
            <w:vAlign w:val="center"/>
          </w:tcPr>
          <w:p w14:paraId="1A44AB18" w14:textId="76CB968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14.04</w:t>
            </w:r>
          </w:p>
        </w:tc>
        <w:tc>
          <w:tcPr>
            <w:tcW w:w="965" w:type="dxa"/>
            <w:vAlign w:val="center"/>
          </w:tcPr>
          <w:p w14:paraId="576476F5" w14:textId="7B59EEB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8.83</w:t>
            </w:r>
          </w:p>
        </w:tc>
        <w:tc>
          <w:tcPr>
            <w:tcW w:w="922" w:type="dxa"/>
            <w:vAlign w:val="center"/>
          </w:tcPr>
          <w:p w14:paraId="44347A88" w14:textId="4427B52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-5.21</w:t>
            </w:r>
          </w:p>
        </w:tc>
      </w:tr>
      <w:tr w:rsidR="00877CB7" w:rsidRPr="009F214D" w14:paraId="7DA266CB" w14:textId="77777777" w:rsidTr="00B933C9">
        <w:trPr>
          <w:trHeight w:val="20"/>
          <w:jc w:val="center"/>
        </w:trPr>
        <w:tc>
          <w:tcPr>
            <w:tcW w:w="581" w:type="dxa"/>
            <w:vAlign w:val="center"/>
          </w:tcPr>
          <w:p w14:paraId="2B76CD6B" w14:textId="5A4E763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w:t>
            </w:r>
          </w:p>
        </w:tc>
        <w:tc>
          <w:tcPr>
            <w:tcW w:w="1339" w:type="dxa"/>
            <w:vAlign w:val="center"/>
          </w:tcPr>
          <w:p w14:paraId="07B348D5" w14:textId="0F19777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Uttar Pradesh</w:t>
            </w:r>
          </w:p>
        </w:tc>
        <w:tc>
          <w:tcPr>
            <w:tcW w:w="896" w:type="dxa"/>
            <w:vAlign w:val="center"/>
          </w:tcPr>
          <w:p w14:paraId="03FDC762" w14:textId="5F09E50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5368.00</w:t>
            </w:r>
          </w:p>
        </w:tc>
        <w:tc>
          <w:tcPr>
            <w:tcW w:w="963" w:type="dxa"/>
            <w:vAlign w:val="center"/>
          </w:tcPr>
          <w:p w14:paraId="39D6B053" w14:textId="19A3351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10462.21</w:t>
            </w:r>
          </w:p>
        </w:tc>
        <w:tc>
          <w:tcPr>
            <w:tcW w:w="1440" w:type="dxa"/>
            <w:vAlign w:val="center"/>
          </w:tcPr>
          <w:p w14:paraId="7C37430E" w14:textId="2538E2D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5094.21</w:t>
            </w:r>
          </w:p>
        </w:tc>
        <w:tc>
          <w:tcPr>
            <w:tcW w:w="982" w:type="dxa"/>
            <w:vAlign w:val="center"/>
          </w:tcPr>
          <w:p w14:paraId="6F14674B" w14:textId="1263150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94.90</w:t>
            </w:r>
          </w:p>
        </w:tc>
        <w:tc>
          <w:tcPr>
            <w:tcW w:w="984" w:type="dxa"/>
            <w:vAlign w:val="center"/>
          </w:tcPr>
          <w:p w14:paraId="7CCBA825" w14:textId="7E2A1C2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4.31</w:t>
            </w:r>
          </w:p>
        </w:tc>
        <w:tc>
          <w:tcPr>
            <w:tcW w:w="965" w:type="dxa"/>
            <w:vAlign w:val="center"/>
          </w:tcPr>
          <w:p w14:paraId="2BFE960B" w14:textId="3087255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8.40</w:t>
            </w:r>
          </w:p>
        </w:tc>
        <w:tc>
          <w:tcPr>
            <w:tcW w:w="922" w:type="dxa"/>
            <w:vAlign w:val="center"/>
          </w:tcPr>
          <w:p w14:paraId="60CEEE8C" w14:textId="4BB0495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4.09</w:t>
            </w:r>
          </w:p>
        </w:tc>
      </w:tr>
      <w:tr w:rsidR="00877CB7" w:rsidRPr="009F214D" w14:paraId="1366D72F" w14:textId="77777777" w:rsidTr="00B933C9">
        <w:trPr>
          <w:trHeight w:val="20"/>
          <w:jc w:val="center"/>
        </w:trPr>
        <w:tc>
          <w:tcPr>
            <w:tcW w:w="581" w:type="dxa"/>
            <w:vAlign w:val="center"/>
          </w:tcPr>
          <w:p w14:paraId="4D605D6C" w14:textId="6B59EB6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w:t>
            </w:r>
          </w:p>
        </w:tc>
        <w:tc>
          <w:tcPr>
            <w:tcW w:w="1339" w:type="dxa"/>
            <w:vAlign w:val="center"/>
          </w:tcPr>
          <w:p w14:paraId="04ECE0C3" w14:textId="73A7E91D"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West Bengal</w:t>
            </w:r>
          </w:p>
        </w:tc>
        <w:tc>
          <w:tcPr>
            <w:tcW w:w="896" w:type="dxa"/>
            <w:vAlign w:val="center"/>
          </w:tcPr>
          <w:p w14:paraId="0E775B3B" w14:textId="0BA6E79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2525.00</w:t>
            </w:r>
          </w:p>
        </w:tc>
        <w:tc>
          <w:tcPr>
            <w:tcW w:w="963" w:type="dxa"/>
            <w:vAlign w:val="center"/>
          </w:tcPr>
          <w:p w14:paraId="13F3975D" w14:textId="1D0E33B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4917.23</w:t>
            </w:r>
          </w:p>
        </w:tc>
        <w:tc>
          <w:tcPr>
            <w:tcW w:w="1440" w:type="dxa"/>
            <w:vAlign w:val="center"/>
          </w:tcPr>
          <w:p w14:paraId="030295B8" w14:textId="44E1BF8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2392.23</w:t>
            </w:r>
          </w:p>
        </w:tc>
        <w:tc>
          <w:tcPr>
            <w:tcW w:w="982" w:type="dxa"/>
            <w:vAlign w:val="center"/>
          </w:tcPr>
          <w:p w14:paraId="15365989" w14:textId="237C862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94.74</w:t>
            </w:r>
          </w:p>
        </w:tc>
        <w:tc>
          <w:tcPr>
            <w:tcW w:w="984" w:type="dxa"/>
            <w:vAlign w:val="center"/>
          </w:tcPr>
          <w:p w14:paraId="61159E42" w14:textId="7B33CBF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4.15</w:t>
            </w:r>
          </w:p>
        </w:tc>
        <w:tc>
          <w:tcPr>
            <w:tcW w:w="965" w:type="dxa"/>
            <w:vAlign w:val="center"/>
          </w:tcPr>
          <w:p w14:paraId="15653161" w14:textId="0D25240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8.07</w:t>
            </w:r>
          </w:p>
        </w:tc>
        <w:tc>
          <w:tcPr>
            <w:tcW w:w="922" w:type="dxa"/>
            <w:vAlign w:val="center"/>
          </w:tcPr>
          <w:p w14:paraId="66242330" w14:textId="64E474F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3.93</w:t>
            </w:r>
          </w:p>
        </w:tc>
      </w:tr>
      <w:tr w:rsidR="00877CB7" w:rsidRPr="009F214D" w14:paraId="6292DAB8" w14:textId="77777777" w:rsidTr="00B933C9">
        <w:trPr>
          <w:trHeight w:val="20"/>
          <w:jc w:val="center"/>
        </w:trPr>
        <w:tc>
          <w:tcPr>
            <w:tcW w:w="581" w:type="dxa"/>
            <w:vAlign w:val="center"/>
          </w:tcPr>
          <w:p w14:paraId="1E6CFE28" w14:textId="36DDB8D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14</w:t>
            </w:r>
          </w:p>
        </w:tc>
        <w:tc>
          <w:tcPr>
            <w:tcW w:w="1339" w:type="dxa"/>
            <w:vAlign w:val="center"/>
          </w:tcPr>
          <w:p w14:paraId="565EFD8D" w14:textId="7308A41C"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b/>
                <w:bCs/>
                <w:sz w:val="16"/>
                <w:szCs w:val="16"/>
              </w:rPr>
              <w:t>Major States</w:t>
            </w:r>
          </w:p>
        </w:tc>
        <w:tc>
          <w:tcPr>
            <w:tcW w:w="896" w:type="dxa"/>
            <w:vAlign w:val="center"/>
          </w:tcPr>
          <w:p w14:paraId="1531ECD5" w14:textId="2D8CB31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59215.00</w:t>
            </w:r>
          </w:p>
        </w:tc>
        <w:tc>
          <w:tcPr>
            <w:tcW w:w="963" w:type="dxa"/>
            <w:vAlign w:val="center"/>
          </w:tcPr>
          <w:p w14:paraId="37575C5B" w14:textId="09C063F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59325.59</w:t>
            </w:r>
          </w:p>
        </w:tc>
        <w:tc>
          <w:tcPr>
            <w:tcW w:w="1440" w:type="dxa"/>
            <w:vAlign w:val="center"/>
          </w:tcPr>
          <w:p w14:paraId="2D7ED2A5" w14:textId="34C6A01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110.59</w:t>
            </w:r>
          </w:p>
        </w:tc>
        <w:tc>
          <w:tcPr>
            <w:tcW w:w="982" w:type="dxa"/>
            <w:vAlign w:val="center"/>
          </w:tcPr>
          <w:p w14:paraId="7563D7A2" w14:textId="42F86B2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0.19</w:t>
            </w:r>
          </w:p>
        </w:tc>
        <w:tc>
          <w:tcPr>
            <w:tcW w:w="984" w:type="dxa"/>
            <w:vAlign w:val="center"/>
          </w:tcPr>
          <w:p w14:paraId="12545DF0" w14:textId="4F334DA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8.26</w:t>
            </w:r>
          </w:p>
        </w:tc>
        <w:tc>
          <w:tcPr>
            <w:tcW w:w="965" w:type="dxa"/>
            <w:vAlign w:val="center"/>
          </w:tcPr>
          <w:p w14:paraId="49A46BDF" w14:textId="7E369FA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8.28</w:t>
            </w:r>
          </w:p>
        </w:tc>
        <w:tc>
          <w:tcPr>
            <w:tcW w:w="922" w:type="dxa"/>
            <w:vAlign w:val="center"/>
          </w:tcPr>
          <w:p w14:paraId="43CB1FE1" w14:textId="109805B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0.02</w:t>
            </w:r>
          </w:p>
        </w:tc>
      </w:tr>
      <w:tr w:rsidR="00877CB7" w:rsidRPr="009F214D" w14:paraId="1E3F3C09" w14:textId="77777777" w:rsidTr="00FD4106">
        <w:trPr>
          <w:trHeight w:val="20"/>
          <w:jc w:val="center"/>
        </w:trPr>
        <w:tc>
          <w:tcPr>
            <w:tcW w:w="9072" w:type="dxa"/>
            <w:gridSpan w:val="9"/>
            <w:vAlign w:val="center"/>
          </w:tcPr>
          <w:p w14:paraId="01651765" w14:textId="48160816" w:rsidR="00877CB7" w:rsidRPr="009F214D" w:rsidRDefault="00877CB7" w:rsidP="00877CB7">
            <w:pPr>
              <w:tabs>
                <w:tab w:val="left" w:pos="2805"/>
              </w:tabs>
              <w:jc w:val="center"/>
              <w:rPr>
                <w:rFonts w:ascii="Times New Roman" w:hAnsi="Times New Roman" w:cs="Times New Roman"/>
                <w:b/>
                <w:bCs/>
                <w:sz w:val="16"/>
                <w:szCs w:val="16"/>
              </w:rPr>
            </w:pPr>
            <w:r w:rsidRPr="00877CB7">
              <w:rPr>
                <w:rFonts w:ascii="Times New Roman" w:hAnsi="Times New Roman" w:cs="Times New Roman"/>
                <w:b/>
                <w:bCs/>
                <w:sz w:val="20"/>
                <w:szCs w:val="20"/>
              </w:rPr>
              <w:t>Expenditure Category: Administration of Justice</w:t>
            </w:r>
          </w:p>
        </w:tc>
      </w:tr>
      <w:tr w:rsidR="00877CB7" w:rsidRPr="009F214D" w14:paraId="0E12F4A2" w14:textId="77777777" w:rsidTr="00B933C9">
        <w:trPr>
          <w:trHeight w:val="20"/>
          <w:jc w:val="center"/>
        </w:trPr>
        <w:tc>
          <w:tcPr>
            <w:tcW w:w="581" w:type="dxa"/>
            <w:vAlign w:val="center"/>
          </w:tcPr>
          <w:p w14:paraId="641350CA" w14:textId="645019FA"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w:t>
            </w:r>
          </w:p>
        </w:tc>
        <w:tc>
          <w:tcPr>
            <w:tcW w:w="1339" w:type="dxa"/>
            <w:vAlign w:val="center"/>
          </w:tcPr>
          <w:p w14:paraId="540F4C71" w14:textId="700169C5" w:rsidR="00877CB7" w:rsidRPr="009F214D" w:rsidRDefault="00877CB7" w:rsidP="00877CB7">
            <w:pPr>
              <w:tabs>
                <w:tab w:val="left" w:pos="2805"/>
              </w:tabs>
              <w:rPr>
                <w:rFonts w:ascii="Times New Roman" w:hAnsi="Times New Roman" w:cs="Times New Roman"/>
                <w:b/>
                <w:bCs/>
                <w:sz w:val="16"/>
                <w:szCs w:val="16"/>
              </w:rPr>
            </w:pPr>
            <w:r w:rsidRPr="009F214D">
              <w:rPr>
                <w:rFonts w:ascii="Times New Roman" w:hAnsi="Times New Roman" w:cs="Times New Roman"/>
                <w:sz w:val="16"/>
                <w:szCs w:val="16"/>
              </w:rPr>
              <w:t>Andhra Pradesh</w:t>
            </w:r>
          </w:p>
        </w:tc>
        <w:tc>
          <w:tcPr>
            <w:tcW w:w="896" w:type="dxa"/>
            <w:vAlign w:val="center"/>
          </w:tcPr>
          <w:p w14:paraId="69F47CF1" w14:textId="014392F2"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1983.00</w:t>
            </w:r>
          </w:p>
        </w:tc>
        <w:tc>
          <w:tcPr>
            <w:tcW w:w="963" w:type="dxa"/>
            <w:vAlign w:val="center"/>
          </w:tcPr>
          <w:p w14:paraId="636A06FC" w14:textId="18690271"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1577.80</w:t>
            </w:r>
          </w:p>
        </w:tc>
        <w:tc>
          <w:tcPr>
            <w:tcW w:w="1440" w:type="dxa"/>
            <w:vAlign w:val="center"/>
          </w:tcPr>
          <w:p w14:paraId="759ADECA" w14:textId="0F8F6932"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-405.20</w:t>
            </w:r>
          </w:p>
        </w:tc>
        <w:tc>
          <w:tcPr>
            <w:tcW w:w="982" w:type="dxa"/>
            <w:vAlign w:val="center"/>
          </w:tcPr>
          <w:p w14:paraId="5161E524" w14:textId="0BC34E5D"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-20.43</w:t>
            </w:r>
          </w:p>
        </w:tc>
        <w:tc>
          <w:tcPr>
            <w:tcW w:w="984" w:type="dxa"/>
            <w:vAlign w:val="center"/>
          </w:tcPr>
          <w:p w14:paraId="33A0765D" w14:textId="5EA2018A"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3.33</w:t>
            </w:r>
          </w:p>
        </w:tc>
        <w:tc>
          <w:tcPr>
            <w:tcW w:w="965" w:type="dxa"/>
            <w:vAlign w:val="center"/>
          </w:tcPr>
          <w:p w14:paraId="2DE990EC" w14:textId="0821F2BA"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2.65</w:t>
            </w:r>
          </w:p>
        </w:tc>
        <w:tc>
          <w:tcPr>
            <w:tcW w:w="922" w:type="dxa"/>
            <w:vAlign w:val="center"/>
          </w:tcPr>
          <w:p w14:paraId="74697DFB" w14:textId="19696E70"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-0.68</w:t>
            </w:r>
          </w:p>
        </w:tc>
      </w:tr>
      <w:tr w:rsidR="00877CB7" w:rsidRPr="009F214D" w14:paraId="25863E75" w14:textId="77777777" w:rsidTr="00B933C9">
        <w:trPr>
          <w:trHeight w:val="20"/>
          <w:jc w:val="center"/>
        </w:trPr>
        <w:tc>
          <w:tcPr>
            <w:tcW w:w="581" w:type="dxa"/>
            <w:vAlign w:val="center"/>
          </w:tcPr>
          <w:p w14:paraId="77BC8667" w14:textId="2A16C96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w:t>
            </w:r>
          </w:p>
        </w:tc>
        <w:tc>
          <w:tcPr>
            <w:tcW w:w="1339" w:type="dxa"/>
            <w:vAlign w:val="center"/>
          </w:tcPr>
          <w:p w14:paraId="167D24D1" w14:textId="47391F0D"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Bihar</w:t>
            </w:r>
          </w:p>
        </w:tc>
        <w:tc>
          <w:tcPr>
            <w:tcW w:w="896" w:type="dxa"/>
            <w:vAlign w:val="center"/>
          </w:tcPr>
          <w:p w14:paraId="59FA2218" w14:textId="75691D1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2033.00</w:t>
            </w:r>
          </w:p>
        </w:tc>
        <w:tc>
          <w:tcPr>
            <w:tcW w:w="963" w:type="dxa"/>
            <w:vAlign w:val="center"/>
          </w:tcPr>
          <w:p w14:paraId="6BFAC716" w14:textId="5C8F219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1683.07</w:t>
            </w:r>
          </w:p>
        </w:tc>
        <w:tc>
          <w:tcPr>
            <w:tcW w:w="1440" w:type="dxa"/>
            <w:vAlign w:val="center"/>
          </w:tcPr>
          <w:p w14:paraId="0EB48511" w14:textId="7A07F33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-349.93</w:t>
            </w:r>
          </w:p>
        </w:tc>
        <w:tc>
          <w:tcPr>
            <w:tcW w:w="982" w:type="dxa"/>
            <w:vAlign w:val="center"/>
          </w:tcPr>
          <w:p w14:paraId="3E618A35" w14:textId="1E0A9DF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-17.21</w:t>
            </w:r>
          </w:p>
        </w:tc>
        <w:tc>
          <w:tcPr>
            <w:tcW w:w="984" w:type="dxa"/>
            <w:vAlign w:val="center"/>
          </w:tcPr>
          <w:p w14:paraId="3EFFF376" w14:textId="185BA31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2.58</w:t>
            </w:r>
          </w:p>
        </w:tc>
        <w:tc>
          <w:tcPr>
            <w:tcW w:w="965" w:type="dxa"/>
            <w:vAlign w:val="center"/>
          </w:tcPr>
          <w:p w14:paraId="7C2BD865" w14:textId="0E8C7B5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2.14</w:t>
            </w:r>
          </w:p>
        </w:tc>
        <w:tc>
          <w:tcPr>
            <w:tcW w:w="922" w:type="dxa"/>
            <w:vAlign w:val="center"/>
          </w:tcPr>
          <w:p w14:paraId="3919956D" w14:textId="3E64146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-0.44</w:t>
            </w:r>
          </w:p>
        </w:tc>
      </w:tr>
      <w:tr w:rsidR="00877CB7" w:rsidRPr="009F214D" w14:paraId="5DBCFED3" w14:textId="77777777" w:rsidTr="00B933C9">
        <w:trPr>
          <w:trHeight w:val="20"/>
          <w:jc w:val="center"/>
        </w:trPr>
        <w:tc>
          <w:tcPr>
            <w:tcW w:w="581" w:type="dxa"/>
            <w:vAlign w:val="center"/>
          </w:tcPr>
          <w:p w14:paraId="084E1083" w14:textId="3688DA4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w:t>
            </w:r>
          </w:p>
        </w:tc>
        <w:tc>
          <w:tcPr>
            <w:tcW w:w="1339" w:type="dxa"/>
            <w:vAlign w:val="center"/>
          </w:tcPr>
          <w:p w14:paraId="35DC1602" w14:textId="3B2B2977"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Gujarat</w:t>
            </w:r>
          </w:p>
        </w:tc>
        <w:tc>
          <w:tcPr>
            <w:tcW w:w="896" w:type="dxa"/>
            <w:vAlign w:val="center"/>
          </w:tcPr>
          <w:p w14:paraId="574508D7" w14:textId="01E2993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1435.00</w:t>
            </w:r>
          </w:p>
        </w:tc>
        <w:tc>
          <w:tcPr>
            <w:tcW w:w="963" w:type="dxa"/>
            <w:vAlign w:val="center"/>
          </w:tcPr>
          <w:p w14:paraId="0E711034" w14:textId="6D1D9F4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1578.07</w:t>
            </w:r>
          </w:p>
        </w:tc>
        <w:tc>
          <w:tcPr>
            <w:tcW w:w="1440" w:type="dxa"/>
            <w:vAlign w:val="center"/>
          </w:tcPr>
          <w:p w14:paraId="2287442E" w14:textId="2474A37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143.07</w:t>
            </w:r>
          </w:p>
        </w:tc>
        <w:tc>
          <w:tcPr>
            <w:tcW w:w="982" w:type="dxa"/>
            <w:vAlign w:val="center"/>
          </w:tcPr>
          <w:p w14:paraId="3A4F4F69" w14:textId="29AFE50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9.97</w:t>
            </w:r>
          </w:p>
        </w:tc>
        <w:tc>
          <w:tcPr>
            <w:tcW w:w="984" w:type="dxa"/>
            <w:vAlign w:val="center"/>
          </w:tcPr>
          <w:p w14:paraId="0FA6398D" w14:textId="5BF1D40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3.77</w:t>
            </w:r>
          </w:p>
        </w:tc>
        <w:tc>
          <w:tcPr>
            <w:tcW w:w="965" w:type="dxa"/>
            <w:vAlign w:val="center"/>
          </w:tcPr>
          <w:p w14:paraId="76FA97DB" w14:textId="675FB08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4.14</w:t>
            </w:r>
          </w:p>
        </w:tc>
        <w:tc>
          <w:tcPr>
            <w:tcW w:w="922" w:type="dxa"/>
            <w:vAlign w:val="center"/>
          </w:tcPr>
          <w:p w14:paraId="06A0B143" w14:textId="5D04671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0.38</w:t>
            </w:r>
          </w:p>
        </w:tc>
      </w:tr>
      <w:tr w:rsidR="00877CB7" w:rsidRPr="009F214D" w14:paraId="45BB2647" w14:textId="77777777" w:rsidTr="00B933C9">
        <w:trPr>
          <w:trHeight w:val="20"/>
          <w:jc w:val="center"/>
        </w:trPr>
        <w:tc>
          <w:tcPr>
            <w:tcW w:w="581" w:type="dxa"/>
            <w:vAlign w:val="center"/>
          </w:tcPr>
          <w:p w14:paraId="76570A79" w14:textId="37B84D2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w:t>
            </w:r>
          </w:p>
        </w:tc>
        <w:tc>
          <w:tcPr>
            <w:tcW w:w="1339" w:type="dxa"/>
            <w:vAlign w:val="center"/>
          </w:tcPr>
          <w:p w14:paraId="0439AD29" w14:textId="3473D4F0"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Haryana</w:t>
            </w:r>
          </w:p>
        </w:tc>
        <w:tc>
          <w:tcPr>
            <w:tcW w:w="896" w:type="dxa"/>
            <w:vAlign w:val="center"/>
          </w:tcPr>
          <w:p w14:paraId="33B4B245" w14:textId="5ABCCEE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487.00</w:t>
            </w:r>
          </w:p>
        </w:tc>
        <w:tc>
          <w:tcPr>
            <w:tcW w:w="963" w:type="dxa"/>
            <w:vAlign w:val="center"/>
          </w:tcPr>
          <w:p w14:paraId="3627D9A2" w14:textId="185989D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476.65</w:t>
            </w:r>
          </w:p>
        </w:tc>
        <w:tc>
          <w:tcPr>
            <w:tcW w:w="1440" w:type="dxa"/>
            <w:vAlign w:val="center"/>
          </w:tcPr>
          <w:p w14:paraId="31D4EA27" w14:textId="3E090F5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-10.35</w:t>
            </w:r>
          </w:p>
        </w:tc>
        <w:tc>
          <w:tcPr>
            <w:tcW w:w="982" w:type="dxa"/>
            <w:vAlign w:val="center"/>
          </w:tcPr>
          <w:p w14:paraId="5027ACE3" w14:textId="7C9E2C1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-2.12</w:t>
            </w:r>
          </w:p>
        </w:tc>
        <w:tc>
          <w:tcPr>
            <w:tcW w:w="984" w:type="dxa"/>
            <w:vAlign w:val="center"/>
          </w:tcPr>
          <w:p w14:paraId="1D206EB0" w14:textId="5B0F0E2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3.24</w:t>
            </w:r>
          </w:p>
        </w:tc>
        <w:tc>
          <w:tcPr>
            <w:tcW w:w="965" w:type="dxa"/>
            <w:vAlign w:val="center"/>
          </w:tcPr>
          <w:p w14:paraId="004310D6" w14:textId="6B9EE23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3.17</w:t>
            </w:r>
          </w:p>
        </w:tc>
        <w:tc>
          <w:tcPr>
            <w:tcW w:w="922" w:type="dxa"/>
            <w:vAlign w:val="center"/>
          </w:tcPr>
          <w:p w14:paraId="27E98C61" w14:textId="4959D92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-0.07</w:t>
            </w:r>
          </w:p>
        </w:tc>
      </w:tr>
      <w:tr w:rsidR="00877CB7" w:rsidRPr="009F214D" w14:paraId="55789400" w14:textId="77777777" w:rsidTr="00B933C9">
        <w:trPr>
          <w:trHeight w:val="20"/>
          <w:jc w:val="center"/>
        </w:trPr>
        <w:tc>
          <w:tcPr>
            <w:tcW w:w="581" w:type="dxa"/>
            <w:vAlign w:val="center"/>
          </w:tcPr>
          <w:p w14:paraId="3C777F0B" w14:textId="0DD2A5E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w:t>
            </w:r>
          </w:p>
        </w:tc>
        <w:tc>
          <w:tcPr>
            <w:tcW w:w="1339" w:type="dxa"/>
            <w:vAlign w:val="center"/>
          </w:tcPr>
          <w:p w14:paraId="4F518E74" w14:textId="653484CF"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Karnataka</w:t>
            </w:r>
          </w:p>
        </w:tc>
        <w:tc>
          <w:tcPr>
            <w:tcW w:w="896" w:type="dxa"/>
            <w:vAlign w:val="center"/>
          </w:tcPr>
          <w:p w14:paraId="06D2E098" w14:textId="2AD7E1E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1897.00</w:t>
            </w:r>
          </w:p>
        </w:tc>
        <w:tc>
          <w:tcPr>
            <w:tcW w:w="963" w:type="dxa"/>
            <w:vAlign w:val="center"/>
          </w:tcPr>
          <w:p w14:paraId="62FEE2A3" w14:textId="37011EB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1821.85</w:t>
            </w:r>
          </w:p>
        </w:tc>
        <w:tc>
          <w:tcPr>
            <w:tcW w:w="1440" w:type="dxa"/>
            <w:vAlign w:val="center"/>
          </w:tcPr>
          <w:p w14:paraId="674962A0" w14:textId="4103881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-75.15</w:t>
            </w:r>
          </w:p>
        </w:tc>
        <w:tc>
          <w:tcPr>
            <w:tcW w:w="982" w:type="dxa"/>
            <w:vAlign w:val="center"/>
          </w:tcPr>
          <w:p w14:paraId="0559850C" w14:textId="3F8832F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-3.96</w:t>
            </w:r>
          </w:p>
        </w:tc>
        <w:tc>
          <w:tcPr>
            <w:tcW w:w="984" w:type="dxa"/>
            <w:vAlign w:val="center"/>
          </w:tcPr>
          <w:p w14:paraId="5651C692" w14:textId="671732E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4.54</w:t>
            </w:r>
          </w:p>
        </w:tc>
        <w:tc>
          <w:tcPr>
            <w:tcW w:w="965" w:type="dxa"/>
            <w:vAlign w:val="center"/>
          </w:tcPr>
          <w:p w14:paraId="1A3BA522" w14:textId="00096CB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4.36</w:t>
            </w:r>
          </w:p>
        </w:tc>
        <w:tc>
          <w:tcPr>
            <w:tcW w:w="922" w:type="dxa"/>
            <w:vAlign w:val="center"/>
          </w:tcPr>
          <w:p w14:paraId="7D3AD7DF" w14:textId="049D62C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-0.18</w:t>
            </w:r>
          </w:p>
        </w:tc>
      </w:tr>
      <w:tr w:rsidR="00877CB7" w:rsidRPr="009F214D" w14:paraId="11C13DBB" w14:textId="77777777" w:rsidTr="00B933C9">
        <w:trPr>
          <w:trHeight w:val="20"/>
          <w:jc w:val="center"/>
        </w:trPr>
        <w:tc>
          <w:tcPr>
            <w:tcW w:w="581" w:type="dxa"/>
            <w:vAlign w:val="center"/>
          </w:tcPr>
          <w:p w14:paraId="3984E84B" w14:textId="3D69EC3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w:t>
            </w:r>
          </w:p>
        </w:tc>
        <w:tc>
          <w:tcPr>
            <w:tcW w:w="1339" w:type="dxa"/>
            <w:vAlign w:val="center"/>
          </w:tcPr>
          <w:p w14:paraId="3AD061EF" w14:textId="239836E0"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Kerala</w:t>
            </w:r>
          </w:p>
        </w:tc>
        <w:tc>
          <w:tcPr>
            <w:tcW w:w="896" w:type="dxa"/>
            <w:vAlign w:val="center"/>
          </w:tcPr>
          <w:p w14:paraId="6749DBBF" w14:textId="217E05F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1384.00</w:t>
            </w:r>
          </w:p>
        </w:tc>
        <w:tc>
          <w:tcPr>
            <w:tcW w:w="963" w:type="dxa"/>
            <w:vAlign w:val="center"/>
          </w:tcPr>
          <w:p w14:paraId="17802AFF" w14:textId="7AB8BA3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935.31</w:t>
            </w:r>
          </w:p>
        </w:tc>
        <w:tc>
          <w:tcPr>
            <w:tcW w:w="1440" w:type="dxa"/>
            <w:vAlign w:val="center"/>
          </w:tcPr>
          <w:p w14:paraId="2AFE2EBD" w14:textId="1BCC9AC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-448.69</w:t>
            </w:r>
          </w:p>
        </w:tc>
        <w:tc>
          <w:tcPr>
            <w:tcW w:w="982" w:type="dxa"/>
            <w:vAlign w:val="center"/>
          </w:tcPr>
          <w:p w14:paraId="7453C1AD" w14:textId="1359E91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-32.42</w:t>
            </w:r>
          </w:p>
        </w:tc>
        <w:tc>
          <w:tcPr>
            <w:tcW w:w="984" w:type="dxa"/>
            <w:vAlign w:val="center"/>
          </w:tcPr>
          <w:p w14:paraId="4C3A12D1" w14:textId="7B50887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4.92</w:t>
            </w:r>
          </w:p>
        </w:tc>
        <w:tc>
          <w:tcPr>
            <w:tcW w:w="965" w:type="dxa"/>
            <w:vAlign w:val="center"/>
          </w:tcPr>
          <w:p w14:paraId="6AF0B743" w14:textId="5B9077B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3.33</w:t>
            </w:r>
          </w:p>
        </w:tc>
        <w:tc>
          <w:tcPr>
            <w:tcW w:w="922" w:type="dxa"/>
            <w:vAlign w:val="center"/>
          </w:tcPr>
          <w:p w14:paraId="2FB36F4A" w14:textId="504DF87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-1.60</w:t>
            </w:r>
          </w:p>
        </w:tc>
      </w:tr>
      <w:tr w:rsidR="00877CB7" w:rsidRPr="009F214D" w14:paraId="0E09397F" w14:textId="77777777" w:rsidTr="00B933C9">
        <w:trPr>
          <w:trHeight w:val="20"/>
          <w:jc w:val="center"/>
        </w:trPr>
        <w:tc>
          <w:tcPr>
            <w:tcW w:w="581" w:type="dxa"/>
            <w:vAlign w:val="center"/>
          </w:tcPr>
          <w:p w14:paraId="6A80618E" w14:textId="12EF7E5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w:t>
            </w:r>
          </w:p>
        </w:tc>
        <w:tc>
          <w:tcPr>
            <w:tcW w:w="1339" w:type="dxa"/>
            <w:vAlign w:val="center"/>
          </w:tcPr>
          <w:p w14:paraId="5A2B872F" w14:textId="08CE110B"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Madhya Pradesh</w:t>
            </w:r>
          </w:p>
        </w:tc>
        <w:tc>
          <w:tcPr>
            <w:tcW w:w="896" w:type="dxa"/>
            <w:vAlign w:val="center"/>
          </w:tcPr>
          <w:p w14:paraId="52EE06EA" w14:textId="6470932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1382.00</w:t>
            </w:r>
          </w:p>
        </w:tc>
        <w:tc>
          <w:tcPr>
            <w:tcW w:w="963" w:type="dxa"/>
            <w:vAlign w:val="center"/>
          </w:tcPr>
          <w:p w14:paraId="108C2DFB" w14:textId="4DC96BC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1600.36</w:t>
            </w:r>
          </w:p>
        </w:tc>
        <w:tc>
          <w:tcPr>
            <w:tcW w:w="1440" w:type="dxa"/>
            <w:vAlign w:val="center"/>
          </w:tcPr>
          <w:p w14:paraId="6CCCAA08" w14:textId="43385E6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218.36</w:t>
            </w:r>
          </w:p>
        </w:tc>
        <w:tc>
          <w:tcPr>
            <w:tcW w:w="982" w:type="dxa"/>
            <w:vAlign w:val="center"/>
          </w:tcPr>
          <w:p w14:paraId="02A3E96C" w14:textId="648A563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15.80</w:t>
            </w:r>
          </w:p>
        </w:tc>
        <w:tc>
          <w:tcPr>
            <w:tcW w:w="984" w:type="dxa"/>
            <w:vAlign w:val="center"/>
          </w:tcPr>
          <w:p w14:paraId="653E9917" w14:textId="2A1AF3D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2.35</w:t>
            </w:r>
          </w:p>
        </w:tc>
        <w:tc>
          <w:tcPr>
            <w:tcW w:w="965" w:type="dxa"/>
            <w:vAlign w:val="center"/>
          </w:tcPr>
          <w:p w14:paraId="2D8404CA" w14:textId="67097A3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2.72</w:t>
            </w:r>
          </w:p>
        </w:tc>
        <w:tc>
          <w:tcPr>
            <w:tcW w:w="922" w:type="dxa"/>
            <w:vAlign w:val="center"/>
          </w:tcPr>
          <w:p w14:paraId="3CB88669" w14:textId="71A2542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0.37</w:t>
            </w:r>
          </w:p>
        </w:tc>
      </w:tr>
      <w:tr w:rsidR="00877CB7" w:rsidRPr="009F214D" w14:paraId="51E7FEDF" w14:textId="77777777" w:rsidTr="00B933C9">
        <w:trPr>
          <w:trHeight w:val="20"/>
          <w:jc w:val="center"/>
        </w:trPr>
        <w:tc>
          <w:tcPr>
            <w:tcW w:w="581" w:type="dxa"/>
            <w:vAlign w:val="center"/>
          </w:tcPr>
          <w:p w14:paraId="37D81FEB" w14:textId="4C29881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w:t>
            </w:r>
          </w:p>
        </w:tc>
        <w:tc>
          <w:tcPr>
            <w:tcW w:w="1339" w:type="dxa"/>
            <w:vAlign w:val="center"/>
          </w:tcPr>
          <w:p w14:paraId="794D3A48" w14:textId="705643A6"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Maharashtra</w:t>
            </w:r>
          </w:p>
        </w:tc>
        <w:tc>
          <w:tcPr>
            <w:tcW w:w="896" w:type="dxa"/>
            <w:vAlign w:val="center"/>
          </w:tcPr>
          <w:p w14:paraId="22C1DA0A" w14:textId="386E361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2897.00</w:t>
            </w:r>
          </w:p>
        </w:tc>
        <w:tc>
          <w:tcPr>
            <w:tcW w:w="963" w:type="dxa"/>
            <w:vAlign w:val="center"/>
          </w:tcPr>
          <w:p w14:paraId="01D66B1B" w14:textId="771DAA5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3227.12</w:t>
            </w:r>
          </w:p>
        </w:tc>
        <w:tc>
          <w:tcPr>
            <w:tcW w:w="1440" w:type="dxa"/>
            <w:vAlign w:val="center"/>
          </w:tcPr>
          <w:p w14:paraId="19D7AA80" w14:textId="481D400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330.12</w:t>
            </w:r>
          </w:p>
        </w:tc>
        <w:tc>
          <w:tcPr>
            <w:tcW w:w="982" w:type="dxa"/>
            <w:vAlign w:val="center"/>
          </w:tcPr>
          <w:p w14:paraId="01B4B31E" w14:textId="252DED7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11.40</w:t>
            </w:r>
          </w:p>
        </w:tc>
        <w:tc>
          <w:tcPr>
            <w:tcW w:w="984" w:type="dxa"/>
            <w:vAlign w:val="center"/>
          </w:tcPr>
          <w:p w14:paraId="0C483C60" w14:textId="6DFAB18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4.11</w:t>
            </w:r>
          </w:p>
        </w:tc>
        <w:tc>
          <w:tcPr>
            <w:tcW w:w="965" w:type="dxa"/>
            <w:vAlign w:val="center"/>
          </w:tcPr>
          <w:p w14:paraId="4A40E460" w14:textId="457AACE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4.58</w:t>
            </w:r>
          </w:p>
        </w:tc>
        <w:tc>
          <w:tcPr>
            <w:tcW w:w="922" w:type="dxa"/>
            <w:vAlign w:val="center"/>
          </w:tcPr>
          <w:p w14:paraId="36861BDF" w14:textId="0E48717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0.47</w:t>
            </w:r>
          </w:p>
        </w:tc>
      </w:tr>
      <w:tr w:rsidR="00877CB7" w:rsidRPr="009F214D" w14:paraId="7385E013" w14:textId="77777777" w:rsidTr="00B933C9">
        <w:trPr>
          <w:trHeight w:val="20"/>
          <w:jc w:val="center"/>
        </w:trPr>
        <w:tc>
          <w:tcPr>
            <w:tcW w:w="581" w:type="dxa"/>
            <w:vAlign w:val="center"/>
          </w:tcPr>
          <w:p w14:paraId="28AF169F" w14:textId="71F21BA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w:t>
            </w:r>
          </w:p>
        </w:tc>
        <w:tc>
          <w:tcPr>
            <w:tcW w:w="1339" w:type="dxa"/>
            <w:vAlign w:val="center"/>
          </w:tcPr>
          <w:p w14:paraId="600396EB" w14:textId="701BE574"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Orissa</w:t>
            </w:r>
          </w:p>
        </w:tc>
        <w:tc>
          <w:tcPr>
            <w:tcW w:w="896" w:type="dxa"/>
            <w:vAlign w:val="center"/>
          </w:tcPr>
          <w:p w14:paraId="04C1A851" w14:textId="793E82D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808.00</w:t>
            </w:r>
          </w:p>
        </w:tc>
        <w:tc>
          <w:tcPr>
            <w:tcW w:w="963" w:type="dxa"/>
            <w:vAlign w:val="center"/>
          </w:tcPr>
          <w:p w14:paraId="1462D0F8" w14:textId="6E2F052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650.79</w:t>
            </w:r>
          </w:p>
        </w:tc>
        <w:tc>
          <w:tcPr>
            <w:tcW w:w="1440" w:type="dxa"/>
            <w:vAlign w:val="center"/>
          </w:tcPr>
          <w:p w14:paraId="2DF76DA5" w14:textId="1CE614F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-157.21</w:t>
            </w:r>
          </w:p>
        </w:tc>
        <w:tc>
          <w:tcPr>
            <w:tcW w:w="982" w:type="dxa"/>
            <w:vAlign w:val="center"/>
          </w:tcPr>
          <w:p w14:paraId="08362B96" w14:textId="41BF398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-19.46</w:t>
            </w:r>
          </w:p>
        </w:tc>
        <w:tc>
          <w:tcPr>
            <w:tcW w:w="984" w:type="dxa"/>
            <w:vAlign w:val="center"/>
          </w:tcPr>
          <w:p w14:paraId="2132C866" w14:textId="600F865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2.77</w:t>
            </w:r>
          </w:p>
        </w:tc>
        <w:tc>
          <w:tcPr>
            <w:tcW w:w="965" w:type="dxa"/>
            <w:vAlign w:val="center"/>
          </w:tcPr>
          <w:p w14:paraId="343EBFA8" w14:textId="4EA10F8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2.23</w:t>
            </w:r>
          </w:p>
        </w:tc>
        <w:tc>
          <w:tcPr>
            <w:tcW w:w="922" w:type="dxa"/>
            <w:vAlign w:val="center"/>
          </w:tcPr>
          <w:p w14:paraId="664B5843" w14:textId="13DD345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-0.54</w:t>
            </w:r>
          </w:p>
        </w:tc>
      </w:tr>
      <w:tr w:rsidR="00877CB7" w:rsidRPr="009F214D" w14:paraId="7B7321D9" w14:textId="77777777" w:rsidTr="00B933C9">
        <w:trPr>
          <w:trHeight w:val="20"/>
          <w:jc w:val="center"/>
        </w:trPr>
        <w:tc>
          <w:tcPr>
            <w:tcW w:w="581" w:type="dxa"/>
            <w:vAlign w:val="center"/>
          </w:tcPr>
          <w:p w14:paraId="451BA2D7" w14:textId="0AE68EE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w:t>
            </w:r>
          </w:p>
        </w:tc>
        <w:tc>
          <w:tcPr>
            <w:tcW w:w="1339" w:type="dxa"/>
            <w:vAlign w:val="center"/>
          </w:tcPr>
          <w:p w14:paraId="5042DD2F" w14:textId="4A05CEC6"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Punjab</w:t>
            </w:r>
          </w:p>
        </w:tc>
        <w:tc>
          <w:tcPr>
            <w:tcW w:w="896" w:type="dxa"/>
            <w:vAlign w:val="center"/>
          </w:tcPr>
          <w:p w14:paraId="302C2E10" w14:textId="5BDA500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749.00</w:t>
            </w:r>
          </w:p>
        </w:tc>
        <w:tc>
          <w:tcPr>
            <w:tcW w:w="963" w:type="dxa"/>
            <w:vAlign w:val="center"/>
          </w:tcPr>
          <w:p w14:paraId="29EFFB6C" w14:textId="613C1A8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669.34</w:t>
            </w:r>
          </w:p>
        </w:tc>
        <w:tc>
          <w:tcPr>
            <w:tcW w:w="1440" w:type="dxa"/>
            <w:vAlign w:val="center"/>
          </w:tcPr>
          <w:p w14:paraId="768D2F61" w14:textId="59D31AB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-79.66</w:t>
            </w:r>
          </w:p>
        </w:tc>
        <w:tc>
          <w:tcPr>
            <w:tcW w:w="982" w:type="dxa"/>
            <w:vAlign w:val="center"/>
          </w:tcPr>
          <w:p w14:paraId="215F9194" w14:textId="12B4BE9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-10.64</w:t>
            </w:r>
          </w:p>
        </w:tc>
        <w:tc>
          <w:tcPr>
            <w:tcW w:w="984" w:type="dxa"/>
            <w:vAlign w:val="center"/>
          </w:tcPr>
          <w:p w14:paraId="6A609F9F" w14:textId="3B01689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4.01</w:t>
            </w:r>
          </w:p>
        </w:tc>
        <w:tc>
          <w:tcPr>
            <w:tcW w:w="965" w:type="dxa"/>
            <w:vAlign w:val="center"/>
          </w:tcPr>
          <w:p w14:paraId="17D89432" w14:textId="40168E1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3.58</w:t>
            </w:r>
          </w:p>
        </w:tc>
        <w:tc>
          <w:tcPr>
            <w:tcW w:w="922" w:type="dxa"/>
            <w:vAlign w:val="center"/>
          </w:tcPr>
          <w:p w14:paraId="6AB9F82F" w14:textId="3C55363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-0.43</w:t>
            </w:r>
          </w:p>
        </w:tc>
      </w:tr>
      <w:tr w:rsidR="00877CB7" w:rsidRPr="009F214D" w14:paraId="723E9D3F" w14:textId="77777777" w:rsidTr="00B933C9">
        <w:trPr>
          <w:trHeight w:val="20"/>
          <w:jc w:val="center"/>
        </w:trPr>
        <w:tc>
          <w:tcPr>
            <w:tcW w:w="581" w:type="dxa"/>
            <w:vAlign w:val="center"/>
          </w:tcPr>
          <w:p w14:paraId="3FEF9A40" w14:textId="67236C3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w:t>
            </w:r>
          </w:p>
        </w:tc>
        <w:tc>
          <w:tcPr>
            <w:tcW w:w="1339" w:type="dxa"/>
            <w:vAlign w:val="center"/>
          </w:tcPr>
          <w:p w14:paraId="65FD5B72" w14:textId="54FBCE1A"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Rajasthan</w:t>
            </w:r>
          </w:p>
        </w:tc>
        <w:tc>
          <w:tcPr>
            <w:tcW w:w="896" w:type="dxa"/>
            <w:vAlign w:val="center"/>
          </w:tcPr>
          <w:p w14:paraId="43AA0838" w14:textId="5B1E9DE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1199.00</w:t>
            </w:r>
          </w:p>
        </w:tc>
        <w:tc>
          <w:tcPr>
            <w:tcW w:w="963" w:type="dxa"/>
            <w:vAlign w:val="center"/>
          </w:tcPr>
          <w:p w14:paraId="6D0A2415" w14:textId="409C745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831.39</w:t>
            </w:r>
          </w:p>
        </w:tc>
        <w:tc>
          <w:tcPr>
            <w:tcW w:w="1440" w:type="dxa"/>
            <w:vAlign w:val="center"/>
          </w:tcPr>
          <w:p w14:paraId="39172E5E" w14:textId="4D27399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-367.61</w:t>
            </w:r>
          </w:p>
        </w:tc>
        <w:tc>
          <w:tcPr>
            <w:tcW w:w="982" w:type="dxa"/>
            <w:vAlign w:val="center"/>
          </w:tcPr>
          <w:p w14:paraId="495AA5FD" w14:textId="74DA355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-30.66</w:t>
            </w:r>
          </w:p>
        </w:tc>
        <w:tc>
          <w:tcPr>
            <w:tcW w:w="984" w:type="dxa"/>
            <w:vAlign w:val="center"/>
          </w:tcPr>
          <w:p w14:paraId="359EAC95" w14:textId="723D4DB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3.01</w:t>
            </w:r>
          </w:p>
        </w:tc>
        <w:tc>
          <w:tcPr>
            <w:tcW w:w="965" w:type="dxa"/>
            <w:vAlign w:val="center"/>
          </w:tcPr>
          <w:p w14:paraId="234FA985" w14:textId="34DBD3F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2.09</w:t>
            </w:r>
          </w:p>
        </w:tc>
        <w:tc>
          <w:tcPr>
            <w:tcW w:w="922" w:type="dxa"/>
            <w:vAlign w:val="center"/>
          </w:tcPr>
          <w:p w14:paraId="4227218B" w14:textId="705FFDF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-0.92</w:t>
            </w:r>
          </w:p>
        </w:tc>
      </w:tr>
      <w:tr w:rsidR="00877CB7" w:rsidRPr="009F214D" w14:paraId="4AE269D0" w14:textId="77777777" w:rsidTr="00B933C9">
        <w:trPr>
          <w:trHeight w:val="20"/>
          <w:jc w:val="center"/>
        </w:trPr>
        <w:tc>
          <w:tcPr>
            <w:tcW w:w="581" w:type="dxa"/>
            <w:vAlign w:val="center"/>
          </w:tcPr>
          <w:p w14:paraId="75004A43" w14:textId="6B02254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w:t>
            </w:r>
          </w:p>
        </w:tc>
        <w:tc>
          <w:tcPr>
            <w:tcW w:w="1339" w:type="dxa"/>
            <w:vAlign w:val="center"/>
          </w:tcPr>
          <w:p w14:paraId="272DE161" w14:textId="4C5E0BE2"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Tamil Nadu</w:t>
            </w:r>
          </w:p>
        </w:tc>
        <w:tc>
          <w:tcPr>
            <w:tcW w:w="896" w:type="dxa"/>
            <w:vAlign w:val="center"/>
          </w:tcPr>
          <w:p w14:paraId="262C1597" w14:textId="4EFAC25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1940.09</w:t>
            </w:r>
          </w:p>
        </w:tc>
        <w:tc>
          <w:tcPr>
            <w:tcW w:w="963" w:type="dxa"/>
            <w:vAlign w:val="center"/>
          </w:tcPr>
          <w:p w14:paraId="0445030C" w14:textId="04FDF99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2108.57</w:t>
            </w:r>
          </w:p>
        </w:tc>
        <w:tc>
          <w:tcPr>
            <w:tcW w:w="1440" w:type="dxa"/>
            <w:vAlign w:val="center"/>
          </w:tcPr>
          <w:p w14:paraId="669297E2" w14:textId="1E5BFC7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168.57</w:t>
            </w:r>
          </w:p>
        </w:tc>
        <w:tc>
          <w:tcPr>
            <w:tcW w:w="982" w:type="dxa"/>
            <w:vAlign w:val="center"/>
          </w:tcPr>
          <w:p w14:paraId="20D99F9B" w14:textId="49F1B52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8.69</w:t>
            </w:r>
          </w:p>
        </w:tc>
        <w:tc>
          <w:tcPr>
            <w:tcW w:w="984" w:type="dxa"/>
            <w:vAlign w:val="center"/>
          </w:tcPr>
          <w:p w14:paraId="57CCC35E" w14:textId="58BE808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3.66</w:t>
            </w:r>
          </w:p>
        </w:tc>
        <w:tc>
          <w:tcPr>
            <w:tcW w:w="965" w:type="dxa"/>
            <w:vAlign w:val="center"/>
          </w:tcPr>
          <w:p w14:paraId="656FC09E" w14:textId="1F5607E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3.97</w:t>
            </w:r>
          </w:p>
        </w:tc>
        <w:tc>
          <w:tcPr>
            <w:tcW w:w="922" w:type="dxa"/>
            <w:vAlign w:val="center"/>
          </w:tcPr>
          <w:p w14:paraId="0B3D5494" w14:textId="4279CD4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0.32</w:t>
            </w:r>
          </w:p>
        </w:tc>
      </w:tr>
      <w:tr w:rsidR="00877CB7" w:rsidRPr="009F214D" w14:paraId="39FBC696" w14:textId="77777777" w:rsidTr="00B933C9">
        <w:trPr>
          <w:trHeight w:val="20"/>
          <w:jc w:val="center"/>
        </w:trPr>
        <w:tc>
          <w:tcPr>
            <w:tcW w:w="581" w:type="dxa"/>
            <w:vAlign w:val="center"/>
          </w:tcPr>
          <w:p w14:paraId="6D465405" w14:textId="0AFE4C8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w:t>
            </w:r>
          </w:p>
        </w:tc>
        <w:tc>
          <w:tcPr>
            <w:tcW w:w="1339" w:type="dxa"/>
            <w:vAlign w:val="center"/>
          </w:tcPr>
          <w:p w14:paraId="3E1232EF" w14:textId="58CA76F6"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Uttar Pradesh</w:t>
            </w:r>
          </w:p>
        </w:tc>
        <w:tc>
          <w:tcPr>
            <w:tcW w:w="896" w:type="dxa"/>
            <w:vAlign w:val="center"/>
          </w:tcPr>
          <w:p w14:paraId="5B38E30C" w14:textId="6A42A3B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3357.00</w:t>
            </w:r>
          </w:p>
        </w:tc>
        <w:tc>
          <w:tcPr>
            <w:tcW w:w="963" w:type="dxa"/>
            <w:vAlign w:val="center"/>
          </w:tcPr>
          <w:p w14:paraId="306B369A" w14:textId="19908AD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3739.42</w:t>
            </w:r>
          </w:p>
        </w:tc>
        <w:tc>
          <w:tcPr>
            <w:tcW w:w="1440" w:type="dxa"/>
            <w:vAlign w:val="center"/>
          </w:tcPr>
          <w:p w14:paraId="1C1A735C" w14:textId="592B134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382.42</w:t>
            </w:r>
          </w:p>
        </w:tc>
        <w:tc>
          <w:tcPr>
            <w:tcW w:w="982" w:type="dxa"/>
            <w:vAlign w:val="center"/>
          </w:tcPr>
          <w:p w14:paraId="3DC859DA" w14:textId="648F54F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11.39</w:t>
            </w:r>
          </w:p>
        </w:tc>
        <w:tc>
          <w:tcPr>
            <w:tcW w:w="984" w:type="dxa"/>
            <w:vAlign w:val="center"/>
          </w:tcPr>
          <w:p w14:paraId="4A2BDA55" w14:textId="69BBA78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2.70</w:t>
            </w:r>
          </w:p>
        </w:tc>
        <w:tc>
          <w:tcPr>
            <w:tcW w:w="965" w:type="dxa"/>
            <w:vAlign w:val="center"/>
          </w:tcPr>
          <w:p w14:paraId="0F63DC6D" w14:textId="5F17B6E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3.00</w:t>
            </w:r>
          </w:p>
        </w:tc>
        <w:tc>
          <w:tcPr>
            <w:tcW w:w="922" w:type="dxa"/>
            <w:vAlign w:val="center"/>
          </w:tcPr>
          <w:p w14:paraId="050C0A82" w14:textId="2BD1486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0.31</w:t>
            </w:r>
          </w:p>
        </w:tc>
      </w:tr>
      <w:tr w:rsidR="00877CB7" w:rsidRPr="009F214D" w14:paraId="6F380C4C" w14:textId="77777777" w:rsidTr="00B933C9">
        <w:trPr>
          <w:trHeight w:val="20"/>
          <w:jc w:val="center"/>
        </w:trPr>
        <w:tc>
          <w:tcPr>
            <w:tcW w:w="581" w:type="dxa"/>
            <w:vAlign w:val="center"/>
          </w:tcPr>
          <w:p w14:paraId="7AB4BC0C" w14:textId="543CAB6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w:t>
            </w:r>
          </w:p>
        </w:tc>
        <w:tc>
          <w:tcPr>
            <w:tcW w:w="1339" w:type="dxa"/>
            <w:vAlign w:val="center"/>
          </w:tcPr>
          <w:p w14:paraId="029F02C3" w14:textId="3689837D"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West Bengal</w:t>
            </w:r>
          </w:p>
        </w:tc>
        <w:tc>
          <w:tcPr>
            <w:tcW w:w="896" w:type="dxa"/>
            <w:vAlign w:val="center"/>
          </w:tcPr>
          <w:p w14:paraId="2939A39F" w14:textId="548614C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1597.00</w:t>
            </w:r>
          </w:p>
        </w:tc>
        <w:tc>
          <w:tcPr>
            <w:tcW w:w="963" w:type="dxa"/>
            <w:vAlign w:val="center"/>
          </w:tcPr>
          <w:p w14:paraId="2346C7C2" w14:textId="36D8AD6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2267.13</w:t>
            </w:r>
          </w:p>
        </w:tc>
        <w:tc>
          <w:tcPr>
            <w:tcW w:w="1440" w:type="dxa"/>
            <w:vAlign w:val="center"/>
          </w:tcPr>
          <w:p w14:paraId="6D6A2268" w14:textId="3181135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670.13</w:t>
            </w:r>
          </w:p>
        </w:tc>
        <w:tc>
          <w:tcPr>
            <w:tcW w:w="982" w:type="dxa"/>
            <w:vAlign w:val="center"/>
          </w:tcPr>
          <w:p w14:paraId="1BB6F42F" w14:textId="3FD0096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41.96</w:t>
            </w:r>
          </w:p>
        </w:tc>
        <w:tc>
          <w:tcPr>
            <w:tcW w:w="984" w:type="dxa"/>
            <w:vAlign w:val="center"/>
          </w:tcPr>
          <w:p w14:paraId="54C2610D" w14:textId="2B04DC7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2.62</w:t>
            </w:r>
          </w:p>
        </w:tc>
        <w:tc>
          <w:tcPr>
            <w:tcW w:w="965" w:type="dxa"/>
            <w:vAlign w:val="center"/>
          </w:tcPr>
          <w:p w14:paraId="40120F7B" w14:textId="748A1E8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3.72</w:t>
            </w:r>
          </w:p>
        </w:tc>
        <w:tc>
          <w:tcPr>
            <w:tcW w:w="922" w:type="dxa"/>
            <w:vAlign w:val="center"/>
          </w:tcPr>
          <w:p w14:paraId="0FE8C0C5" w14:textId="71C26A2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1.10</w:t>
            </w:r>
          </w:p>
        </w:tc>
      </w:tr>
      <w:tr w:rsidR="00877CB7" w:rsidRPr="009F214D" w14:paraId="5D1D31BD" w14:textId="77777777" w:rsidTr="00B933C9">
        <w:trPr>
          <w:trHeight w:val="20"/>
          <w:jc w:val="center"/>
        </w:trPr>
        <w:tc>
          <w:tcPr>
            <w:tcW w:w="581" w:type="dxa"/>
            <w:vAlign w:val="center"/>
          </w:tcPr>
          <w:p w14:paraId="27BFEB74" w14:textId="4409F99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14</w:t>
            </w:r>
          </w:p>
        </w:tc>
        <w:tc>
          <w:tcPr>
            <w:tcW w:w="1339" w:type="dxa"/>
            <w:vAlign w:val="center"/>
          </w:tcPr>
          <w:p w14:paraId="08B87CB6" w14:textId="4DB8550B"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b/>
                <w:bCs/>
                <w:sz w:val="16"/>
                <w:szCs w:val="16"/>
              </w:rPr>
              <w:t>Major States</w:t>
            </w:r>
          </w:p>
        </w:tc>
        <w:tc>
          <w:tcPr>
            <w:tcW w:w="896" w:type="dxa"/>
            <w:vAlign w:val="center"/>
          </w:tcPr>
          <w:p w14:paraId="2895151B" w14:textId="33A35C4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23148.00</w:t>
            </w:r>
          </w:p>
        </w:tc>
        <w:tc>
          <w:tcPr>
            <w:tcW w:w="963" w:type="dxa"/>
            <w:vAlign w:val="center"/>
          </w:tcPr>
          <w:p w14:paraId="7A576F1E" w14:textId="1D176B4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23166.88</w:t>
            </w:r>
          </w:p>
        </w:tc>
        <w:tc>
          <w:tcPr>
            <w:tcW w:w="1440" w:type="dxa"/>
            <w:vAlign w:val="center"/>
          </w:tcPr>
          <w:p w14:paraId="074EC897" w14:textId="267C579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18.88</w:t>
            </w:r>
          </w:p>
        </w:tc>
        <w:tc>
          <w:tcPr>
            <w:tcW w:w="982" w:type="dxa"/>
            <w:vAlign w:val="center"/>
          </w:tcPr>
          <w:p w14:paraId="7471F18A" w14:textId="0B38336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0.08</w:t>
            </w:r>
          </w:p>
        </w:tc>
        <w:tc>
          <w:tcPr>
            <w:tcW w:w="984" w:type="dxa"/>
            <w:vAlign w:val="center"/>
          </w:tcPr>
          <w:p w14:paraId="524C2D2C" w14:textId="061925E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3.23</w:t>
            </w:r>
          </w:p>
        </w:tc>
        <w:tc>
          <w:tcPr>
            <w:tcW w:w="965" w:type="dxa"/>
            <w:vAlign w:val="center"/>
          </w:tcPr>
          <w:p w14:paraId="4F6DDC81" w14:textId="0DCFD1D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3.23</w:t>
            </w:r>
          </w:p>
        </w:tc>
        <w:tc>
          <w:tcPr>
            <w:tcW w:w="922" w:type="dxa"/>
            <w:vAlign w:val="center"/>
          </w:tcPr>
          <w:p w14:paraId="44B133CE" w14:textId="78B193B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0.00</w:t>
            </w:r>
          </w:p>
        </w:tc>
      </w:tr>
      <w:tr w:rsidR="00877CB7" w:rsidRPr="009F214D" w14:paraId="2794DF32" w14:textId="77777777" w:rsidTr="000D40D4">
        <w:trPr>
          <w:trHeight w:val="20"/>
          <w:jc w:val="center"/>
        </w:trPr>
        <w:tc>
          <w:tcPr>
            <w:tcW w:w="9072" w:type="dxa"/>
            <w:gridSpan w:val="9"/>
            <w:vAlign w:val="center"/>
          </w:tcPr>
          <w:p w14:paraId="727FB021" w14:textId="0B7461A2"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b/>
                <w:bCs/>
                <w:sz w:val="20"/>
                <w:szCs w:val="20"/>
              </w:rPr>
              <w:t>Expenditure Category: Fiscal Services</w:t>
            </w:r>
          </w:p>
        </w:tc>
      </w:tr>
      <w:tr w:rsidR="008A0CEF" w:rsidRPr="009F214D" w14:paraId="78B2D9E9" w14:textId="77777777" w:rsidTr="00B933C9">
        <w:trPr>
          <w:trHeight w:val="20"/>
          <w:jc w:val="center"/>
        </w:trPr>
        <w:tc>
          <w:tcPr>
            <w:tcW w:w="581" w:type="dxa"/>
            <w:vAlign w:val="center"/>
          </w:tcPr>
          <w:p w14:paraId="4356782A" w14:textId="01579A74"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w:t>
            </w:r>
          </w:p>
        </w:tc>
        <w:tc>
          <w:tcPr>
            <w:tcW w:w="1339" w:type="dxa"/>
            <w:vAlign w:val="center"/>
          </w:tcPr>
          <w:p w14:paraId="674CCA22" w14:textId="18CCFB55" w:rsidR="00877CB7" w:rsidRPr="009F214D" w:rsidRDefault="00877CB7" w:rsidP="00877CB7">
            <w:pPr>
              <w:tabs>
                <w:tab w:val="left" w:pos="2805"/>
              </w:tabs>
              <w:rPr>
                <w:rFonts w:ascii="Times New Roman" w:hAnsi="Times New Roman" w:cs="Times New Roman"/>
                <w:b/>
                <w:bCs/>
                <w:sz w:val="16"/>
                <w:szCs w:val="16"/>
              </w:rPr>
            </w:pPr>
            <w:r w:rsidRPr="009F214D">
              <w:rPr>
                <w:rFonts w:ascii="Times New Roman" w:hAnsi="Times New Roman" w:cs="Times New Roman"/>
                <w:sz w:val="16"/>
                <w:szCs w:val="16"/>
              </w:rPr>
              <w:t>Andhra Pradesh</w:t>
            </w:r>
          </w:p>
        </w:tc>
        <w:tc>
          <w:tcPr>
            <w:tcW w:w="896" w:type="dxa"/>
            <w:vAlign w:val="center"/>
          </w:tcPr>
          <w:p w14:paraId="07F36341" w14:textId="0AD29F49"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7618.00</w:t>
            </w:r>
          </w:p>
        </w:tc>
        <w:tc>
          <w:tcPr>
            <w:tcW w:w="963" w:type="dxa"/>
            <w:vAlign w:val="center"/>
          </w:tcPr>
          <w:p w14:paraId="1F33737B" w14:textId="4D35635C"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6802.09</w:t>
            </w:r>
          </w:p>
        </w:tc>
        <w:tc>
          <w:tcPr>
            <w:tcW w:w="1440" w:type="dxa"/>
            <w:vAlign w:val="center"/>
          </w:tcPr>
          <w:p w14:paraId="13E1F85F" w14:textId="1431AC95"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-815.91</w:t>
            </w:r>
          </w:p>
        </w:tc>
        <w:tc>
          <w:tcPr>
            <w:tcW w:w="982" w:type="dxa"/>
            <w:vAlign w:val="center"/>
          </w:tcPr>
          <w:p w14:paraId="5F022150" w14:textId="50B69E5A"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-10.71</w:t>
            </w:r>
          </w:p>
        </w:tc>
        <w:tc>
          <w:tcPr>
            <w:tcW w:w="984" w:type="dxa"/>
            <w:vAlign w:val="center"/>
          </w:tcPr>
          <w:p w14:paraId="6FC4DADE" w14:textId="08E5D4D1"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12.81</w:t>
            </w:r>
          </w:p>
        </w:tc>
        <w:tc>
          <w:tcPr>
            <w:tcW w:w="965" w:type="dxa"/>
            <w:vAlign w:val="center"/>
          </w:tcPr>
          <w:p w14:paraId="6E0D6A8F" w14:textId="7421FB89"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11.44</w:t>
            </w:r>
          </w:p>
        </w:tc>
        <w:tc>
          <w:tcPr>
            <w:tcW w:w="922" w:type="dxa"/>
            <w:vAlign w:val="center"/>
          </w:tcPr>
          <w:p w14:paraId="13BDF028" w14:textId="56BBBE04"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-1.37</w:t>
            </w:r>
          </w:p>
        </w:tc>
      </w:tr>
      <w:tr w:rsidR="008A0CEF" w:rsidRPr="009F214D" w14:paraId="2EB20CC8" w14:textId="77777777" w:rsidTr="00B933C9">
        <w:trPr>
          <w:trHeight w:val="20"/>
          <w:jc w:val="center"/>
        </w:trPr>
        <w:tc>
          <w:tcPr>
            <w:tcW w:w="581" w:type="dxa"/>
            <w:vAlign w:val="center"/>
          </w:tcPr>
          <w:p w14:paraId="49DE2D05" w14:textId="7FA124F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w:t>
            </w:r>
          </w:p>
        </w:tc>
        <w:tc>
          <w:tcPr>
            <w:tcW w:w="1339" w:type="dxa"/>
            <w:vAlign w:val="center"/>
          </w:tcPr>
          <w:p w14:paraId="6B71E52A" w14:textId="6414803B"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Bihar</w:t>
            </w:r>
          </w:p>
        </w:tc>
        <w:tc>
          <w:tcPr>
            <w:tcW w:w="896" w:type="dxa"/>
            <w:vAlign w:val="center"/>
          </w:tcPr>
          <w:p w14:paraId="0B717FFC" w14:textId="0188498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4350.00</w:t>
            </w:r>
          </w:p>
        </w:tc>
        <w:tc>
          <w:tcPr>
            <w:tcW w:w="963" w:type="dxa"/>
            <w:vAlign w:val="center"/>
          </w:tcPr>
          <w:p w14:paraId="1C47A69D" w14:textId="647A723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5424.96</w:t>
            </w:r>
          </w:p>
        </w:tc>
        <w:tc>
          <w:tcPr>
            <w:tcW w:w="1440" w:type="dxa"/>
            <w:vAlign w:val="center"/>
          </w:tcPr>
          <w:p w14:paraId="03CF9421" w14:textId="487BEF6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1074.96</w:t>
            </w:r>
          </w:p>
        </w:tc>
        <w:tc>
          <w:tcPr>
            <w:tcW w:w="982" w:type="dxa"/>
            <w:vAlign w:val="center"/>
          </w:tcPr>
          <w:p w14:paraId="4D726737" w14:textId="559C6F2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24.71</w:t>
            </w:r>
          </w:p>
        </w:tc>
        <w:tc>
          <w:tcPr>
            <w:tcW w:w="984" w:type="dxa"/>
            <w:vAlign w:val="center"/>
          </w:tcPr>
          <w:p w14:paraId="38EE8FC8" w14:textId="6D60129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5.53</w:t>
            </w:r>
          </w:p>
        </w:tc>
        <w:tc>
          <w:tcPr>
            <w:tcW w:w="965" w:type="dxa"/>
            <w:vAlign w:val="center"/>
          </w:tcPr>
          <w:p w14:paraId="330ECD97" w14:textId="19B6F1C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6.89</w:t>
            </w:r>
          </w:p>
        </w:tc>
        <w:tc>
          <w:tcPr>
            <w:tcW w:w="922" w:type="dxa"/>
            <w:vAlign w:val="center"/>
          </w:tcPr>
          <w:p w14:paraId="59F1DCD7" w14:textId="1A65D93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1.37</w:t>
            </w:r>
          </w:p>
        </w:tc>
      </w:tr>
      <w:tr w:rsidR="008A0CEF" w:rsidRPr="009F214D" w14:paraId="7620A2FE" w14:textId="77777777" w:rsidTr="00B933C9">
        <w:trPr>
          <w:trHeight w:val="20"/>
          <w:jc w:val="center"/>
        </w:trPr>
        <w:tc>
          <w:tcPr>
            <w:tcW w:w="581" w:type="dxa"/>
            <w:vAlign w:val="center"/>
          </w:tcPr>
          <w:p w14:paraId="723EF811" w14:textId="5D19DFE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w:t>
            </w:r>
          </w:p>
        </w:tc>
        <w:tc>
          <w:tcPr>
            <w:tcW w:w="1339" w:type="dxa"/>
            <w:vAlign w:val="center"/>
          </w:tcPr>
          <w:p w14:paraId="74BFA4E6" w14:textId="44AFCE61"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Gujarat</w:t>
            </w:r>
          </w:p>
        </w:tc>
        <w:tc>
          <w:tcPr>
            <w:tcW w:w="896" w:type="dxa"/>
            <w:vAlign w:val="center"/>
          </w:tcPr>
          <w:p w14:paraId="77260E27" w14:textId="278D25D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2547.00</w:t>
            </w:r>
          </w:p>
        </w:tc>
        <w:tc>
          <w:tcPr>
            <w:tcW w:w="963" w:type="dxa"/>
            <w:vAlign w:val="center"/>
          </w:tcPr>
          <w:p w14:paraId="09F9DF17" w14:textId="6CF0C72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5031.94</w:t>
            </w:r>
          </w:p>
        </w:tc>
        <w:tc>
          <w:tcPr>
            <w:tcW w:w="1440" w:type="dxa"/>
            <w:vAlign w:val="center"/>
          </w:tcPr>
          <w:p w14:paraId="51F01EA4" w14:textId="6C15D3A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2484.94</w:t>
            </w:r>
          </w:p>
        </w:tc>
        <w:tc>
          <w:tcPr>
            <w:tcW w:w="982" w:type="dxa"/>
            <w:vAlign w:val="center"/>
          </w:tcPr>
          <w:p w14:paraId="03D456A5" w14:textId="1C6674E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97.56</w:t>
            </w:r>
          </w:p>
        </w:tc>
        <w:tc>
          <w:tcPr>
            <w:tcW w:w="984" w:type="dxa"/>
            <w:vAlign w:val="center"/>
          </w:tcPr>
          <w:p w14:paraId="040C9BFC" w14:textId="219EBE4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6.68</w:t>
            </w:r>
          </w:p>
        </w:tc>
        <w:tc>
          <w:tcPr>
            <w:tcW w:w="965" w:type="dxa"/>
            <w:vAlign w:val="center"/>
          </w:tcPr>
          <w:p w14:paraId="72C8D42E" w14:textId="61F6316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13.21</w:t>
            </w:r>
          </w:p>
        </w:tc>
        <w:tc>
          <w:tcPr>
            <w:tcW w:w="922" w:type="dxa"/>
            <w:vAlign w:val="center"/>
          </w:tcPr>
          <w:p w14:paraId="1D80ED69" w14:textId="3CD35D6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6.52</w:t>
            </w:r>
          </w:p>
        </w:tc>
      </w:tr>
      <w:tr w:rsidR="008A0CEF" w:rsidRPr="009F214D" w14:paraId="628E965A" w14:textId="77777777" w:rsidTr="00B933C9">
        <w:trPr>
          <w:trHeight w:val="20"/>
          <w:jc w:val="center"/>
        </w:trPr>
        <w:tc>
          <w:tcPr>
            <w:tcW w:w="581" w:type="dxa"/>
            <w:vAlign w:val="center"/>
          </w:tcPr>
          <w:p w14:paraId="2CD70AB9" w14:textId="132ADC0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w:t>
            </w:r>
          </w:p>
        </w:tc>
        <w:tc>
          <w:tcPr>
            <w:tcW w:w="1339" w:type="dxa"/>
            <w:vAlign w:val="center"/>
          </w:tcPr>
          <w:p w14:paraId="50C32815" w14:textId="6E47D082"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Haryana</w:t>
            </w:r>
          </w:p>
        </w:tc>
        <w:tc>
          <w:tcPr>
            <w:tcW w:w="896" w:type="dxa"/>
            <w:vAlign w:val="center"/>
          </w:tcPr>
          <w:p w14:paraId="69E59567" w14:textId="5416EE8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1327.00</w:t>
            </w:r>
          </w:p>
        </w:tc>
        <w:tc>
          <w:tcPr>
            <w:tcW w:w="963" w:type="dxa"/>
            <w:vAlign w:val="center"/>
          </w:tcPr>
          <w:p w14:paraId="27A18036" w14:textId="0EC8BEA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2667.99</w:t>
            </w:r>
          </w:p>
        </w:tc>
        <w:tc>
          <w:tcPr>
            <w:tcW w:w="1440" w:type="dxa"/>
            <w:vAlign w:val="center"/>
          </w:tcPr>
          <w:p w14:paraId="79C071C1" w14:textId="4645F25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1340.99</w:t>
            </w:r>
          </w:p>
        </w:tc>
        <w:tc>
          <w:tcPr>
            <w:tcW w:w="982" w:type="dxa"/>
            <w:vAlign w:val="center"/>
          </w:tcPr>
          <w:p w14:paraId="66D8E6A8" w14:textId="046DE06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101.05</w:t>
            </w:r>
          </w:p>
        </w:tc>
        <w:tc>
          <w:tcPr>
            <w:tcW w:w="984" w:type="dxa"/>
            <w:vAlign w:val="center"/>
          </w:tcPr>
          <w:p w14:paraId="2A15AA74" w14:textId="0645794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8.83</w:t>
            </w:r>
          </w:p>
        </w:tc>
        <w:tc>
          <w:tcPr>
            <w:tcW w:w="965" w:type="dxa"/>
            <w:vAlign w:val="center"/>
          </w:tcPr>
          <w:p w14:paraId="1C38DB71" w14:textId="324A475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17.76</w:t>
            </w:r>
          </w:p>
        </w:tc>
        <w:tc>
          <w:tcPr>
            <w:tcW w:w="922" w:type="dxa"/>
            <w:vAlign w:val="center"/>
          </w:tcPr>
          <w:p w14:paraId="4C473379" w14:textId="669F0D4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8.92</w:t>
            </w:r>
          </w:p>
        </w:tc>
      </w:tr>
      <w:tr w:rsidR="008A0CEF" w:rsidRPr="009F214D" w14:paraId="4ADC372F" w14:textId="77777777" w:rsidTr="00B933C9">
        <w:trPr>
          <w:trHeight w:val="20"/>
          <w:jc w:val="center"/>
        </w:trPr>
        <w:tc>
          <w:tcPr>
            <w:tcW w:w="581" w:type="dxa"/>
            <w:vAlign w:val="center"/>
          </w:tcPr>
          <w:p w14:paraId="7EAAE350" w14:textId="7D3DEAE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w:t>
            </w:r>
          </w:p>
        </w:tc>
        <w:tc>
          <w:tcPr>
            <w:tcW w:w="1339" w:type="dxa"/>
            <w:vAlign w:val="center"/>
          </w:tcPr>
          <w:p w14:paraId="7CDF7037" w14:textId="4B6A7E22"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Karnataka</w:t>
            </w:r>
          </w:p>
        </w:tc>
        <w:tc>
          <w:tcPr>
            <w:tcW w:w="896" w:type="dxa"/>
            <w:vAlign w:val="center"/>
          </w:tcPr>
          <w:p w14:paraId="22E0ED70" w14:textId="4F75B7E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5111.00</w:t>
            </w:r>
          </w:p>
        </w:tc>
        <w:tc>
          <w:tcPr>
            <w:tcW w:w="963" w:type="dxa"/>
            <w:vAlign w:val="center"/>
          </w:tcPr>
          <w:p w14:paraId="2A01941E" w14:textId="721C81F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4690.70</w:t>
            </w:r>
          </w:p>
        </w:tc>
        <w:tc>
          <w:tcPr>
            <w:tcW w:w="1440" w:type="dxa"/>
            <w:vAlign w:val="center"/>
          </w:tcPr>
          <w:p w14:paraId="199BFFBE" w14:textId="4AB3B0C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-420.30</w:t>
            </w:r>
          </w:p>
        </w:tc>
        <w:tc>
          <w:tcPr>
            <w:tcW w:w="982" w:type="dxa"/>
            <w:vAlign w:val="center"/>
          </w:tcPr>
          <w:p w14:paraId="10AEE262" w14:textId="6A91DBD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-8.22</w:t>
            </w:r>
          </w:p>
        </w:tc>
        <w:tc>
          <w:tcPr>
            <w:tcW w:w="984" w:type="dxa"/>
            <w:vAlign w:val="center"/>
          </w:tcPr>
          <w:p w14:paraId="202F9296" w14:textId="78AAE81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12.22</w:t>
            </w:r>
          </w:p>
        </w:tc>
        <w:tc>
          <w:tcPr>
            <w:tcW w:w="965" w:type="dxa"/>
            <w:vAlign w:val="center"/>
          </w:tcPr>
          <w:p w14:paraId="5C1734D2" w14:textId="4F96D4A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11.22</w:t>
            </w:r>
          </w:p>
        </w:tc>
        <w:tc>
          <w:tcPr>
            <w:tcW w:w="922" w:type="dxa"/>
            <w:vAlign w:val="center"/>
          </w:tcPr>
          <w:p w14:paraId="01523C34" w14:textId="686824B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-1.01</w:t>
            </w:r>
          </w:p>
        </w:tc>
      </w:tr>
      <w:tr w:rsidR="008A0CEF" w:rsidRPr="009F214D" w14:paraId="4DF78269" w14:textId="77777777" w:rsidTr="00B933C9">
        <w:trPr>
          <w:trHeight w:val="20"/>
          <w:jc w:val="center"/>
        </w:trPr>
        <w:tc>
          <w:tcPr>
            <w:tcW w:w="581" w:type="dxa"/>
            <w:vAlign w:val="center"/>
          </w:tcPr>
          <w:p w14:paraId="2556076F" w14:textId="2B52C25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w:t>
            </w:r>
          </w:p>
        </w:tc>
        <w:tc>
          <w:tcPr>
            <w:tcW w:w="1339" w:type="dxa"/>
            <w:vAlign w:val="center"/>
          </w:tcPr>
          <w:p w14:paraId="7067F9AC" w14:textId="20F69FC2"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Kerala</w:t>
            </w:r>
          </w:p>
        </w:tc>
        <w:tc>
          <w:tcPr>
            <w:tcW w:w="896" w:type="dxa"/>
            <w:vAlign w:val="center"/>
          </w:tcPr>
          <w:p w14:paraId="5FE23F35" w14:textId="305B9DA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4748.00</w:t>
            </w:r>
          </w:p>
        </w:tc>
        <w:tc>
          <w:tcPr>
            <w:tcW w:w="963" w:type="dxa"/>
            <w:vAlign w:val="center"/>
          </w:tcPr>
          <w:p w14:paraId="059FBAAF" w14:textId="45BB269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5053.47</w:t>
            </w:r>
          </w:p>
        </w:tc>
        <w:tc>
          <w:tcPr>
            <w:tcW w:w="1440" w:type="dxa"/>
            <w:vAlign w:val="center"/>
          </w:tcPr>
          <w:p w14:paraId="5BC98AAA" w14:textId="37C5624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305.47</w:t>
            </w:r>
          </w:p>
        </w:tc>
        <w:tc>
          <w:tcPr>
            <w:tcW w:w="982" w:type="dxa"/>
            <w:vAlign w:val="center"/>
          </w:tcPr>
          <w:p w14:paraId="5DD97359" w14:textId="2A58005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6.43</w:t>
            </w:r>
          </w:p>
        </w:tc>
        <w:tc>
          <w:tcPr>
            <w:tcW w:w="984" w:type="dxa"/>
            <w:vAlign w:val="center"/>
          </w:tcPr>
          <w:p w14:paraId="7A2B0421" w14:textId="0D117BB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16.88</w:t>
            </w:r>
          </w:p>
        </w:tc>
        <w:tc>
          <w:tcPr>
            <w:tcW w:w="965" w:type="dxa"/>
            <w:vAlign w:val="center"/>
          </w:tcPr>
          <w:p w14:paraId="5F4A6E48" w14:textId="72C5111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17.97</w:t>
            </w:r>
          </w:p>
        </w:tc>
        <w:tc>
          <w:tcPr>
            <w:tcW w:w="922" w:type="dxa"/>
            <w:vAlign w:val="center"/>
          </w:tcPr>
          <w:p w14:paraId="4575A995" w14:textId="0D2CD2B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1.09</w:t>
            </w:r>
          </w:p>
        </w:tc>
      </w:tr>
      <w:tr w:rsidR="008A0CEF" w:rsidRPr="009F214D" w14:paraId="624B7BCA" w14:textId="77777777" w:rsidTr="00B933C9">
        <w:trPr>
          <w:trHeight w:val="20"/>
          <w:jc w:val="center"/>
        </w:trPr>
        <w:tc>
          <w:tcPr>
            <w:tcW w:w="581" w:type="dxa"/>
            <w:vAlign w:val="center"/>
          </w:tcPr>
          <w:p w14:paraId="52E3E535" w14:textId="04D8E38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w:t>
            </w:r>
          </w:p>
        </w:tc>
        <w:tc>
          <w:tcPr>
            <w:tcW w:w="1339" w:type="dxa"/>
            <w:vAlign w:val="center"/>
          </w:tcPr>
          <w:p w14:paraId="0BDD1546" w14:textId="0F9C8DA7"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Madhya Pradesh</w:t>
            </w:r>
          </w:p>
        </w:tc>
        <w:tc>
          <w:tcPr>
            <w:tcW w:w="896" w:type="dxa"/>
            <w:vAlign w:val="center"/>
          </w:tcPr>
          <w:p w14:paraId="3B85CAF0" w14:textId="03F3059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7498.00</w:t>
            </w:r>
          </w:p>
        </w:tc>
        <w:tc>
          <w:tcPr>
            <w:tcW w:w="963" w:type="dxa"/>
            <w:vAlign w:val="center"/>
          </w:tcPr>
          <w:p w14:paraId="16C72EFC" w14:textId="1D29C44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5856.25</w:t>
            </w:r>
          </w:p>
        </w:tc>
        <w:tc>
          <w:tcPr>
            <w:tcW w:w="1440" w:type="dxa"/>
            <w:vAlign w:val="center"/>
          </w:tcPr>
          <w:p w14:paraId="72622C32" w14:textId="665C870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-1641.75</w:t>
            </w:r>
          </w:p>
        </w:tc>
        <w:tc>
          <w:tcPr>
            <w:tcW w:w="982" w:type="dxa"/>
            <w:vAlign w:val="center"/>
          </w:tcPr>
          <w:p w14:paraId="3B467246" w14:textId="06B4F53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-21.90</w:t>
            </w:r>
          </w:p>
        </w:tc>
        <w:tc>
          <w:tcPr>
            <w:tcW w:w="984" w:type="dxa"/>
            <w:vAlign w:val="center"/>
          </w:tcPr>
          <w:p w14:paraId="189AC7DD" w14:textId="672FA7A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12.73</w:t>
            </w:r>
          </w:p>
        </w:tc>
        <w:tc>
          <w:tcPr>
            <w:tcW w:w="965" w:type="dxa"/>
            <w:vAlign w:val="center"/>
          </w:tcPr>
          <w:p w14:paraId="04F23A5D" w14:textId="2A40853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9.94</w:t>
            </w:r>
          </w:p>
        </w:tc>
        <w:tc>
          <w:tcPr>
            <w:tcW w:w="922" w:type="dxa"/>
            <w:vAlign w:val="center"/>
          </w:tcPr>
          <w:p w14:paraId="5BB5A36D" w14:textId="08447CD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-2.79</w:t>
            </w:r>
          </w:p>
        </w:tc>
      </w:tr>
      <w:tr w:rsidR="008A0CEF" w:rsidRPr="009F214D" w14:paraId="3DFC705D" w14:textId="77777777" w:rsidTr="00B933C9">
        <w:trPr>
          <w:trHeight w:val="20"/>
          <w:jc w:val="center"/>
        </w:trPr>
        <w:tc>
          <w:tcPr>
            <w:tcW w:w="581" w:type="dxa"/>
            <w:vAlign w:val="center"/>
          </w:tcPr>
          <w:p w14:paraId="39B1C9E0" w14:textId="186F66A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w:t>
            </w:r>
          </w:p>
        </w:tc>
        <w:tc>
          <w:tcPr>
            <w:tcW w:w="1339" w:type="dxa"/>
            <w:vAlign w:val="center"/>
          </w:tcPr>
          <w:p w14:paraId="749A5BC1" w14:textId="04C28185"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Maharashtra</w:t>
            </w:r>
          </w:p>
        </w:tc>
        <w:tc>
          <w:tcPr>
            <w:tcW w:w="896" w:type="dxa"/>
            <w:vAlign w:val="center"/>
          </w:tcPr>
          <w:p w14:paraId="60BF02F5" w14:textId="34EF852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9607.00</w:t>
            </w:r>
          </w:p>
        </w:tc>
        <w:tc>
          <w:tcPr>
            <w:tcW w:w="963" w:type="dxa"/>
            <w:vAlign w:val="center"/>
          </w:tcPr>
          <w:p w14:paraId="1AE156FC" w14:textId="63D4586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7138.49</w:t>
            </w:r>
          </w:p>
        </w:tc>
        <w:tc>
          <w:tcPr>
            <w:tcW w:w="1440" w:type="dxa"/>
            <w:vAlign w:val="center"/>
          </w:tcPr>
          <w:p w14:paraId="51D2BD30" w14:textId="645121F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-2468.51</w:t>
            </w:r>
          </w:p>
        </w:tc>
        <w:tc>
          <w:tcPr>
            <w:tcW w:w="982" w:type="dxa"/>
            <w:vAlign w:val="center"/>
          </w:tcPr>
          <w:p w14:paraId="1CB0CAC2" w14:textId="1790EEC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-25.69</w:t>
            </w:r>
          </w:p>
        </w:tc>
        <w:tc>
          <w:tcPr>
            <w:tcW w:w="984" w:type="dxa"/>
            <w:vAlign w:val="center"/>
          </w:tcPr>
          <w:p w14:paraId="455F32AB" w14:textId="2E2601C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13.64</w:t>
            </w:r>
          </w:p>
        </w:tc>
        <w:tc>
          <w:tcPr>
            <w:tcW w:w="965" w:type="dxa"/>
            <w:vAlign w:val="center"/>
          </w:tcPr>
          <w:p w14:paraId="70279AD1" w14:textId="031FA1F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10.13</w:t>
            </w:r>
          </w:p>
        </w:tc>
        <w:tc>
          <w:tcPr>
            <w:tcW w:w="922" w:type="dxa"/>
            <w:vAlign w:val="center"/>
          </w:tcPr>
          <w:p w14:paraId="3A6B35D1" w14:textId="6F96273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-3.50</w:t>
            </w:r>
          </w:p>
        </w:tc>
      </w:tr>
      <w:tr w:rsidR="008A0CEF" w:rsidRPr="009F214D" w14:paraId="7AD8CEB8" w14:textId="77777777" w:rsidTr="00B933C9">
        <w:trPr>
          <w:trHeight w:val="20"/>
          <w:jc w:val="center"/>
        </w:trPr>
        <w:tc>
          <w:tcPr>
            <w:tcW w:w="581" w:type="dxa"/>
            <w:vAlign w:val="center"/>
          </w:tcPr>
          <w:p w14:paraId="3DCBCB59" w14:textId="6A7F6FD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w:t>
            </w:r>
          </w:p>
        </w:tc>
        <w:tc>
          <w:tcPr>
            <w:tcW w:w="1339" w:type="dxa"/>
            <w:vAlign w:val="center"/>
          </w:tcPr>
          <w:p w14:paraId="4E44F9A9" w14:textId="35F3576A"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Orissa</w:t>
            </w:r>
          </w:p>
        </w:tc>
        <w:tc>
          <w:tcPr>
            <w:tcW w:w="896" w:type="dxa"/>
            <w:vAlign w:val="center"/>
          </w:tcPr>
          <w:p w14:paraId="472AAA8D" w14:textId="536D471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3758.00</w:t>
            </w:r>
          </w:p>
        </w:tc>
        <w:tc>
          <w:tcPr>
            <w:tcW w:w="963" w:type="dxa"/>
            <w:vAlign w:val="center"/>
          </w:tcPr>
          <w:p w14:paraId="4ADDBB1D" w14:textId="224CFF1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3481.33</w:t>
            </w:r>
          </w:p>
        </w:tc>
        <w:tc>
          <w:tcPr>
            <w:tcW w:w="1440" w:type="dxa"/>
            <w:vAlign w:val="center"/>
          </w:tcPr>
          <w:p w14:paraId="376023D9" w14:textId="7EE2147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-276.67</w:t>
            </w:r>
          </w:p>
        </w:tc>
        <w:tc>
          <w:tcPr>
            <w:tcW w:w="982" w:type="dxa"/>
            <w:vAlign w:val="center"/>
          </w:tcPr>
          <w:p w14:paraId="7E4C0D47" w14:textId="42387C5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-7.36</w:t>
            </w:r>
          </w:p>
        </w:tc>
        <w:tc>
          <w:tcPr>
            <w:tcW w:w="984" w:type="dxa"/>
            <w:vAlign w:val="center"/>
          </w:tcPr>
          <w:p w14:paraId="46A647A4" w14:textId="0C06DE5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12.89</w:t>
            </w:r>
          </w:p>
        </w:tc>
        <w:tc>
          <w:tcPr>
            <w:tcW w:w="965" w:type="dxa"/>
            <w:vAlign w:val="center"/>
          </w:tcPr>
          <w:p w14:paraId="74173950" w14:textId="7E8D579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11.94</w:t>
            </w:r>
          </w:p>
        </w:tc>
        <w:tc>
          <w:tcPr>
            <w:tcW w:w="922" w:type="dxa"/>
            <w:vAlign w:val="center"/>
          </w:tcPr>
          <w:p w14:paraId="39FEB0FE" w14:textId="0F65685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-0.95</w:t>
            </w:r>
          </w:p>
        </w:tc>
      </w:tr>
      <w:tr w:rsidR="008A0CEF" w:rsidRPr="009F214D" w14:paraId="7236D516" w14:textId="77777777" w:rsidTr="00B933C9">
        <w:trPr>
          <w:trHeight w:val="20"/>
          <w:jc w:val="center"/>
        </w:trPr>
        <w:tc>
          <w:tcPr>
            <w:tcW w:w="581" w:type="dxa"/>
            <w:vAlign w:val="center"/>
          </w:tcPr>
          <w:p w14:paraId="6FCCB4F1" w14:textId="3C99B0F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w:t>
            </w:r>
          </w:p>
        </w:tc>
        <w:tc>
          <w:tcPr>
            <w:tcW w:w="1339" w:type="dxa"/>
            <w:vAlign w:val="center"/>
          </w:tcPr>
          <w:p w14:paraId="1B4676E4" w14:textId="6F25E271"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Punjab</w:t>
            </w:r>
          </w:p>
        </w:tc>
        <w:tc>
          <w:tcPr>
            <w:tcW w:w="896" w:type="dxa"/>
            <w:vAlign w:val="center"/>
          </w:tcPr>
          <w:p w14:paraId="794BCDAF" w14:textId="1B6D018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1727.00</w:t>
            </w:r>
          </w:p>
        </w:tc>
        <w:tc>
          <w:tcPr>
            <w:tcW w:w="963" w:type="dxa"/>
            <w:vAlign w:val="center"/>
          </w:tcPr>
          <w:p w14:paraId="6C1EB000" w14:textId="3FE0C19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3145.51</w:t>
            </w:r>
          </w:p>
        </w:tc>
        <w:tc>
          <w:tcPr>
            <w:tcW w:w="1440" w:type="dxa"/>
            <w:vAlign w:val="center"/>
          </w:tcPr>
          <w:p w14:paraId="7052F2E6" w14:textId="2C70332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1418.51</w:t>
            </w:r>
          </w:p>
        </w:tc>
        <w:tc>
          <w:tcPr>
            <w:tcW w:w="982" w:type="dxa"/>
            <w:vAlign w:val="center"/>
          </w:tcPr>
          <w:p w14:paraId="393D47FB" w14:textId="6767ECF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82.14</w:t>
            </w:r>
          </w:p>
        </w:tc>
        <w:tc>
          <w:tcPr>
            <w:tcW w:w="984" w:type="dxa"/>
            <w:vAlign w:val="center"/>
          </w:tcPr>
          <w:p w14:paraId="7EFF4DB5" w14:textId="18FB5CC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9.24</w:t>
            </w:r>
          </w:p>
        </w:tc>
        <w:tc>
          <w:tcPr>
            <w:tcW w:w="965" w:type="dxa"/>
            <w:vAlign w:val="center"/>
          </w:tcPr>
          <w:p w14:paraId="23551DAE" w14:textId="7E2256D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16.83</w:t>
            </w:r>
          </w:p>
        </w:tc>
        <w:tc>
          <w:tcPr>
            <w:tcW w:w="922" w:type="dxa"/>
            <w:vAlign w:val="center"/>
          </w:tcPr>
          <w:p w14:paraId="136058AE" w14:textId="06696FB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7.59</w:t>
            </w:r>
          </w:p>
        </w:tc>
      </w:tr>
      <w:tr w:rsidR="008A0CEF" w:rsidRPr="009F214D" w14:paraId="289AB258" w14:textId="77777777" w:rsidTr="00B933C9">
        <w:trPr>
          <w:trHeight w:val="20"/>
          <w:jc w:val="center"/>
        </w:trPr>
        <w:tc>
          <w:tcPr>
            <w:tcW w:w="581" w:type="dxa"/>
            <w:vAlign w:val="center"/>
          </w:tcPr>
          <w:p w14:paraId="514988D1" w14:textId="51B8A77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w:t>
            </w:r>
          </w:p>
        </w:tc>
        <w:tc>
          <w:tcPr>
            <w:tcW w:w="1339" w:type="dxa"/>
            <w:vAlign w:val="center"/>
          </w:tcPr>
          <w:p w14:paraId="0D129FC2" w14:textId="33FC9336"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Rajasthan</w:t>
            </w:r>
          </w:p>
        </w:tc>
        <w:tc>
          <w:tcPr>
            <w:tcW w:w="896" w:type="dxa"/>
            <w:vAlign w:val="center"/>
          </w:tcPr>
          <w:p w14:paraId="1E87832F" w14:textId="7BA84D7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5298.00</w:t>
            </w:r>
          </w:p>
        </w:tc>
        <w:tc>
          <w:tcPr>
            <w:tcW w:w="963" w:type="dxa"/>
            <w:vAlign w:val="center"/>
          </w:tcPr>
          <w:p w14:paraId="4FC07445" w14:textId="02AFC53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7797.93</w:t>
            </w:r>
          </w:p>
        </w:tc>
        <w:tc>
          <w:tcPr>
            <w:tcW w:w="1440" w:type="dxa"/>
            <w:vAlign w:val="center"/>
          </w:tcPr>
          <w:p w14:paraId="25395EDF" w14:textId="2C2C93E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2499.93</w:t>
            </w:r>
          </w:p>
        </w:tc>
        <w:tc>
          <w:tcPr>
            <w:tcW w:w="982" w:type="dxa"/>
            <w:vAlign w:val="center"/>
          </w:tcPr>
          <w:p w14:paraId="24F968C1" w14:textId="45322FF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47.19</w:t>
            </w:r>
          </w:p>
        </w:tc>
        <w:tc>
          <w:tcPr>
            <w:tcW w:w="984" w:type="dxa"/>
            <w:vAlign w:val="center"/>
          </w:tcPr>
          <w:p w14:paraId="0F34827E" w14:textId="31666ED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13.31</w:t>
            </w:r>
          </w:p>
        </w:tc>
        <w:tc>
          <w:tcPr>
            <w:tcW w:w="965" w:type="dxa"/>
            <w:vAlign w:val="center"/>
          </w:tcPr>
          <w:p w14:paraId="6C7ECF19" w14:textId="41B8229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19.59</w:t>
            </w:r>
          </w:p>
        </w:tc>
        <w:tc>
          <w:tcPr>
            <w:tcW w:w="922" w:type="dxa"/>
            <w:vAlign w:val="center"/>
          </w:tcPr>
          <w:p w14:paraId="57DBDC2E" w14:textId="501338C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6.28</w:t>
            </w:r>
          </w:p>
        </w:tc>
      </w:tr>
      <w:tr w:rsidR="008A0CEF" w:rsidRPr="009F214D" w14:paraId="7CB29872" w14:textId="77777777" w:rsidTr="00B933C9">
        <w:trPr>
          <w:trHeight w:val="20"/>
          <w:jc w:val="center"/>
        </w:trPr>
        <w:tc>
          <w:tcPr>
            <w:tcW w:w="581" w:type="dxa"/>
            <w:vAlign w:val="center"/>
          </w:tcPr>
          <w:p w14:paraId="553A621A" w14:textId="6A8F43B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w:t>
            </w:r>
          </w:p>
        </w:tc>
        <w:tc>
          <w:tcPr>
            <w:tcW w:w="1339" w:type="dxa"/>
            <w:vAlign w:val="center"/>
          </w:tcPr>
          <w:p w14:paraId="3BD271C9" w14:textId="15260938"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Tamil Nadu</w:t>
            </w:r>
          </w:p>
        </w:tc>
        <w:tc>
          <w:tcPr>
            <w:tcW w:w="896" w:type="dxa"/>
            <w:vAlign w:val="center"/>
          </w:tcPr>
          <w:p w14:paraId="13640CE8" w14:textId="6F3C6A3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4926.00</w:t>
            </w:r>
          </w:p>
        </w:tc>
        <w:tc>
          <w:tcPr>
            <w:tcW w:w="963" w:type="dxa"/>
            <w:vAlign w:val="center"/>
          </w:tcPr>
          <w:p w14:paraId="004FCE71" w14:textId="7BC43EC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6627.58</w:t>
            </w:r>
          </w:p>
        </w:tc>
        <w:tc>
          <w:tcPr>
            <w:tcW w:w="1440" w:type="dxa"/>
            <w:vAlign w:val="center"/>
          </w:tcPr>
          <w:p w14:paraId="10AF7455" w14:textId="32AA824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1701.58</w:t>
            </w:r>
          </w:p>
        </w:tc>
        <w:tc>
          <w:tcPr>
            <w:tcW w:w="982" w:type="dxa"/>
            <w:vAlign w:val="center"/>
          </w:tcPr>
          <w:p w14:paraId="360EABF6" w14:textId="52540FF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34.54</w:t>
            </w:r>
          </w:p>
        </w:tc>
        <w:tc>
          <w:tcPr>
            <w:tcW w:w="984" w:type="dxa"/>
            <w:vAlign w:val="center"/>
          </w:tcPr>
          <w:p w14:paraId="6BE7BE5C" w14:textId="7DF474F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9.29</w:t>
            </w:r>
          </w:p>
        </w:tc>
        <w:tc>
          <w:tcPr>
            <w:tcW w:w="965" w:type="dxa"/>
            <w:vAlign w:val="center"/>
          </w:tcPr>
          <w:p w14:paraId="347EB21A" w14:textId="26379DC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12.49</w:t>
            </w:r>
          </w:p>
        </w:tc>
        <w:tc>
          <w:tcPr>
            <w:tcW w:w="922" w:type="dxa"/>
            <w:vAlign w:val="center"/>
          </w:tcPr>
          <w:p w14:paraId="7B8371D3" w14:textId="3EAC3C0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3.21</w:t>
            </w:r>
          </w:p>
        </w:tc>
      </w:tr>
      <w:tr w:rsidR="008A0CEF" w:rsidRPr="009F214D" w14:paraId="64DA5419" w14:textId="77777777" w:rsidTr="00B933C9">
        <w:trPr>
          <w:trHeight w:val="20"/>
          <w:jc w:val="center"/>
        </w:trPr>
        <w:tc>
          <w:tcPr>
            <w:tcW w:w="581" w:type="dxa"/>
            <w:vAlign w:val="center"/>
          </w:tcPr>
          <w:p w14:paraId="3286BA48" w14:textId="26D9329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w:t>
            </w:r>
          </w:p>
        </w:tc>
        <w:tc>
          <w:tcPr>
            <w:tcW w:w="1339" w:type="dxa"/>
            <w:vAlign w:val="center"/>
          </w:tcPr>
          <w:p w14:paraId="75A53881" w14:textId="75761607"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Uttar Pradesh</w:t>
            </w:r>
          </w:p>
        </w:tc>
        <w:tc>
          <w:tcPr>
            <w:tcW w:w="896" w:type="dxa"/>
            <w:vAlign w:val="center"/>
          </w:tcPr>
          <w:p w14:paraId="5E7594FA" w14:textId="4E38089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10437.00</w:t>
            </w:r>
          </w:p>
        </w:tc>
        <w:tc>
          <w:tcPr>
            <w:tcW w:w="963" w:type="dxa"/>
            <w:vAlign w:val="center"/>
          </w:tcPr>
          <w:p w14:paraId="5FE11076" w14:textId="56ADB6F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7304.38</w:t>
            </w:r>
          </w:p>
        </w:tc>
        <w:tc>
          <w:tcPr>
            <w:tcW w:w="1440" w:type="dxa"/>
            <w:vAlign w:val="center"/>
          </w:tcPr>
          <w:p w14:paraId="5841704F" w14:textId="6150C0C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-3132.62</w:t>
            </w:r>
          </w:p>
        </w:tc>
        <w:tc>
          <w:tcPr>
            <w:tcW w:w="982" w:type="dxa"/>
            <w:vAlign w:val="center"/>
          </w:tcPr>
          <w:p w14:paraId="617E60B0" w14:textId="71FF673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-30.01</w:t>
            </w:r>
          </w:p>
        </w:tc>
        <w:tc>
          <w:tcPr>
            <w:tcW w:w="984" w:type="dxa"/>
            <w:vAlign w:val="center"/>
          </w:tcPr>
          <w:p w14:paraId="48501F8C" w14:textId="6E28285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8.38</w:t>
            </w:r>
          </w:p>
        </w:tc>
        <w:tc>
          <w:tcPr>
            <w:tcW w:w="965" w:type="dxa"/>
            <w:vAlign w:val="center"/>
          </w:tcPr>
          <w:p w14:paraId="44D70F02" w14:textId="15A0464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5.87</w:t>
            </w:r>
          </w:p>
        </w:tc>
        <w:tc>
          <w:tcPr>
            <w:tcW w:w="922" w:type="dxa"/>
            <w:vAlign w:val="center"/>
          </w:tcPr>
          <w:p w14:paraId="09678EB4" w14:textId="40B5064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-2.52</w:t>
            </w:r>
          </w:p>
        </w:tc>
      </w:tr>
      <w:tr w:rsidR="008A0CEF" w:rsidRPr="009F214D" w14:paraId="3805374F" w14:textId="77777777" w:rsidTr="00B933C9">
        <w:trPr>
          <w:trHeight w:val="20"/>
          <w:jc w:val="center"/>
        </w:trPr>
        <w:tc>
          <w:tcPr>
            <w:tcW w:w="581" w:type="dxa"/>
            <w:vAlign w:val="center"/>
          </w:tcPr>
          <w:p w14:paraId="2DCB00C3" w14:textId="3B2799D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lastRenderedPageBreak/>
              <w:t>14</w:t>
            </w:r>
          </w:p>
        </w:tc>
        <w:tc>
          <w:tcPr>
            <w:tcW w:w="1339" w:type="dxa"/>
            <w:vAlign w:val="center"/>
          </w:tcPr>
          <w:p w14:paraId="5FE9057D" w14:textId="79463D53"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West Bengal</w:t>
            </w:r>
          </w:p>
        </w:tc>
        <w:tc>
          <w:tcPr>
            <w:tcW w:w="896" w:type="dxa"/>
            <w:vAlign w:val="center"/>
          </w:tcPr>
          <w:p w14:paraId="098485A6" w14:textId="16AB800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5482.00</w:t>
            </w:r>
          </w:p>
        </w:tc>
        <w:tc>
          <w:tcPr>
            <w:tcW w:w="963" w:type="dxa"/>
            <w:vAlign w:val="center"/>
          </w:tcPr>
          <w:p w14:paraId="3C07E0BC" w14:textId="4C5B758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3642.23</w:t>
            </w:r>
          </w:p>
        </w:tc>
        <w:tc>
          <w:tcPr>
            <w:tcW w:w="1440" w:type="dxa"/>
            <w:vAlign w:val="center"/>
          </w:tcPr>
          <w:p w14:paraId="15456551" w14:textId="6BB8352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-1839.77</w:t>
            </w:r>
          </w:p>
        </w:tc>
        <w:tc>
          <w:tcPr>
            <w:tcW w:w="982" w:type="dxa"/>
            <w:vAlign w:val="center"/>
          </w:tcPr>
          <w:p w14:paraId="224C7FD0" w14:textId="14DBD7B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-33.56</w:t>
            </w:r>
          </w:p>
        </w:tc>
        <w:tc>
          <w:tcPr>
            <w:tcW w:w="984" w:type="dxa"/>
            <w:vAlign w:val="center"/>
          </w:tcPr>
          <w:p w14:paraId="6BD0088E" w14:textId="50F0148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9.00</w:t>
            </w:r>
          </w:p>
        </w:tc>
        <w:tc>
          <w:tcPr>
            <w:tcW w:w="965" w:type="dxa"/>
            <w:vAlign w:val="center"/>
          </w:tcPr>
          <w:p w14:paraId="26E5200E" w14:textId="2551231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5.98</w:t>
            </w:r>
          </w:p>
        </w:tc>
        <w:tc>
          <w:tcPr>
            <w:tcW w:w="922" w:type="dxa"/>
            <w:vAlign w:val="center"/>
          </w:tcPr>
          <w:p w14:paraId="3F0B854A" w14:textId="34BCEAB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-3.02</w:t>
            </w:r>
          </w:p>
        </w:tc>
      </w:tr>
      <w:tr w:rsidR="008A0CEF" w:rsidRPr="009F214D" w14:paraId="6931E771" w14:textId="77777777" w:rsidTr="00B933C9">
        <w:trPr>
          <w:trHeight w:val="20"/>
          <w:jc w:val="center"/>
        </w:trPr>
        <w:tc>
          <w:tcPr>
            <w:tcW w:w="581" w:type="dxa"/>
            <w:vAlign w:val="center"/>
          </w:tcPr>
          <w:p w14:paraId="76DBE210" w14:textId="3A88D76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14</w:t>
            </w:r>
          </w:p>
        </w:tc>
        <w:tc>
          <w:tcPr>
            <w:tcW w:w="1339" w:type="dxa"/>
            <w:vAlign w:val="center"/>
          </w:tcPr>
          <w:p w14:paraId="6C7C6E08" w14:textId="2EBC8633"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b/>
                <w:bCs/>
                <w:sz w:val="16"/>
                <w:szCs w:val="16"/>
              </w:rPr>
              <w:t>Major States</w:t>
            </w:r>
          </w:p>
        </w:tc>
        <w:tc>
          <w:tcPr>
            <w:tcW w:w="896" w:type="dxa"/>
            <w:vAlign w:val="center"/>
          </w:tcPr>
          <w:p w14:paraId="7C960A3C" w14:textId="11752F1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74434.00</w:t>
            </w:r>
          </w:p>
        </w:tc>
        <w:tc>
          <w:tcPr>
            <w:tcW w:w="963" w:type="dxa"/>
            <w:vAlign w:val="center"/>
          </w:tcPr>
          <w:p w14:paraId="23139E34" w14:textId="579B5F2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74664.85</w:t>
            </w:r>
          </w:p>
        </w:tc>
        <w:tc>
          <w:tcPr>
            <w:tcW w:w="1440" w:type="dxa"/>
            <w:vAlign w:val="center"/>
          </w:tcPr>
          <w:p w14:paraId="42A8F4DA" w14:textId="7E9EACB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230.85</w:t>
            </w:r>
          </w:p>
        </w:tc>
        <w:tc>
          <w:tcPr>
            <w:tcW w:w="982" w:type="dxa"/>
            <w:vAlign w:val="center"/>
          </w:tcPr>
          <w:p w14:paraId="66C61F5E" w14:textId="2855D0B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0.31</w:t>
            </w:r>
          </w:p>
        </w:tc>
        <w:tc>
          <w:tcPr>
            <w:tcW w:w="984" w:type="dxa"/>
            <w:vAlign w:val="center"/>
          </w:tcPr>
          <w:p w14:paraId="59AE40A0" w14:textId="7F35A2B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10.38</w:t>
            </w:r>
          </w:p>
        </w:tc>
        <w:tc>
          <w:tcPr>
            <w:tcW w:w="965" w:type="dxa"/>
            <w:vAlign w:val="center"/>
          </w:tcPr>
          <w:p w14:paraId="0CF20E0C" w14:textId="47B078A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10.42</w:t>
            </w:r>
          </w:p>
        </w:tc>
        <w:tc>
          <w:tcPr>
            <w:tcW w:w="922" w:type="dxa"/>
            <w:vAlign w:val="center"/>
          </w:tcPr>
          <w:p w14:paraId="3D11A69F" w14:textId="5811C32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0.03</w:t>
            </w:r>
          </w:p>
        </w:tc>
      </w:tr>
      <w:tr w:rsidR="00877CB7" w:rsidRPr="009F214D" w14:paraId="753511ED" w14:textId="77777777" w:rsidTr="00F45F11">
        <w:trPr>
          <w:trHeight w:val="20"/>
          <w:jc w:val="center"/>
        </w:trPr>
        <w:tc>
          <w:tcPr>
            <w:tcW w:w="9072" w:type="dxa"/>
            <w:gridSpan w:val="9"/>
            <w:vAlign w:val="center"/>
          </w:tcPr>
          <w:p w14:paraId="4D273BFC" w14:textId="16C14A7B" w:rsidR="00877CB7" w:rsidRPr="009F214D" w:rsidRDefault="00877CB7" w:rsidP="00877CB7">
            <w:pPr>
              <w:tabs>
                <w:tab w:val="left" w:pos="2805"/>
              </w:tabs>
              <w:rPr>
                <w:rFonts w:ascii="Times New Roman" w:hAnsi="Times New Roman" w:cs="Times New Roman"/>
                <w:b/>
                <w:bCs/>
                <w:sz w:val="16"/>
                <w:szCs w:val="16"/>
              </w:rPr>
            </w:pPr>
            <w:r w:rsidRPr="009F214D">
              <w:rPr>
                <w:rFonts w:ascii="Times New Roman" w:hAnsi="Times New Roman" w:cs="Times New Roman"/>
                <w:b/>
                <w:bCs/>
                <w:sz w:val="20"/>
                <w:szCs w:val="20"/>
              </w:rPr>
              <w:t>Expenditure Category: Police</w:t>
            </w:r>
          </w:p>
        </w:tc>
      </w:tr>
      <w:tr w:rsidR="008A0CEF" w:rsidRPr="009F214D" w14:paraId="23995543" w14:textId="77777777" w:rsidTr="00B933C9">
        <w:trPr>
          <w:trHeight w:val="20"/>
          <w:jc w:val="center"/>
        </w:trPr>
        <w:tc>
          <w:tcPr>
            <w:tcW w:w="581" w:type="dxa"/>
            <w:vAlign w:val="center"/>
          </w:tcPr>
          <w:p w14:paraId="3EC712E6" w14:textId="6EA50C50"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w:t>
            </w:r>
          </w:p>
        </w:tc>
        <w:tc>
          <w:tcPr>
            <w:tcW w:w="1339" w:type="dxa"/>
            <w:vAlign w:val="center"/>
          </w:tcPr>
          <w:p w14:paraId="762CC822" w14:textId="4CD656B7" w:rsidR="00877CB7" w:rsidRPr="009F214D" w:rsidRDefault="00877CB7" w:rsidP="00877CB7">
            <w:pPr>
              <w:tabs>
                <w:tab w:val="left" w:pos="2805"/>
              </w:tabs>
              <w:rPr>
                <w:rFonts w:ascii="Times New Roman" w:hAnsi="Times New Roman" w:cs="Times New Roman"/>
                <w:b/>
                <w:bCs/>
                <w:sz w:val="16"/>
                <w:szCs w:val="16"/>
              </w:rPr>
            </w:pPr>
            <w:r w:rsidRPr="009F214D">
              <w:rPr>
                <w:rFonts w:ascii="Times New Roman" w:hAnsi="Times New Roman" w:cs="Times New Roman"/>
                <w:sz w:val="16"/>
                <w:szCs w:val="16"/>
              </w:rPr>
              <w:t>Andhra Pradesh</w:t>
            </w:r>
          </w:p>
        </w:tc>
        <w:tc>
          <w:tcPr>
            <w:tcW w:w="896" w:type="dxa"/>
            <w:vAlign w:val="center"/>
          </w:tcPr>
          <w:p w14:paraId="2F06C49A" w14:textId="55C99BD9"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11030.00</w:t>
            </w:r>
          </w:p>
        </w:tc>
        <w:tc>
          <w:tcPr>
            <w:tcW w:w="963" w:type="dxa"/>
            <w:vAlign w:val="center"/>
          </w:tcPr>
          <w:p w14:paraId="31B1125A" w14:textId="326CA6DB"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15376.83</w:t>
            </w:r>
          </w:p>
        </w:tc>
        <w:tc>
          <w:tcPr>
            <w:tcW w:w="1440" w:type="dxa"/>
            <w:vAlign w:val="center"/>
          </w:tcPr>
          <w:p w14:paraId="7119C854" w14:textId="0D49DCEE"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4346.83</w:t>
            </w:r>
          </w:p>
        </w:tc>
        <w:tc>
          <w:tcPr>
            <w:tcW w:w="982" w:type="dxa"/>
            <w:vAlign w:val="center"/>
          </w:tcPr>
          <w:p w14:paraId="05274338" w14:textId="65AD40DE"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39.41</w:t>
            </w:r>
          </w:p>
        </w:tc>
        <w:tc>
          <w:tcPr>
            <w:tcW w:w="984" w:type="dxa"/>
            <w:vAlign w:val="center"/>
          </w:tcPr>
          <w:p w14:paraId="4E4A62D5" w14:textId="429E7D82"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18.54</w:t>
            </w:r>
          </w:p>
        </w:tc>
        <w:tc>
          <w:tcPr>
            <w:tcW w:w="965" w:type="dxa"/>
            <w:vAlign w:val="center"/>
          </w:tcPr>
          <w:p w14:paraId="16BE54A8" w14:textId="5541BD8A"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25.85</w:t>
            </w:r>
          </w:p>
        </w:tc>
        <w:tc>
          <w:tcPr>
            <w:tcW w:w="922" w:type="dxa"/>
            <w:vAlign w:val="center"/>
          </w:tcPr>
          <w:p w14:paraId="1EC26B41" w14:textId="561144C0" w:rsidR="00877CB7" w:rsidRPr="009F214D" w:rsidRDefault="00877CB7" w:rsidP="00877CB7">
            <w:pPr>
              <w:tabs>
                <w:tab w:val="left" w:pos="2805"/>
              </w:tabs>
              <w:jc w:val="center"/>
              <w:rPr>
                <w:rFonts w:ascii="Times New Roman" w:hAnsi="Times New Roman" w:cs="Times New Roman"/>
                <w:b/>
                <w:bCs/>
                <w:sz w:val="16"/>
                <w:szCs w:val="16"/>
              </w:rPr>
            </w:pPr>
            <w:r w:rsidRPr="009F214D">
              <w:rPr>
                <w:rFonts w:ascii="Times New Roman" w:hAnsi="Times New Roman" w:cs="Times New Roman"/>
                <w:sz w:val="16"/>
                <w:szCs w:val="16"/>
              </w:rPr>
              <w:t>7.31</w:t>
            </w:r>
          </w:p>
        </w:tc>
      </w:tr>
      <w:tr w:rsidR="008A0CEF" w:rsidRPr="009F214D" w14:paraId="11A471C9" w14:textId="77777777" w:rsidTr="00B933C9">
        <w:trPr>
          <w:trHeight w:val="20"/>
          <w:jc w:val="center"/>
        </w:trPr>
        <w:tc>
          <w:tcPr>
            <w:tcW w:w="581" w:type="dxa"/>
            <w:vAlign w:val="center"/>
          </w:tcPr>
          <w:p w14:paraId="46083283" w14:textId="6CADEE0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w:t>
            </w:r>
          </w:p>
        </w:tc>
        <w:tc>
          <w:tcPr>
            <w:tcW w:w="1339" w:type="dxa"/>
            <w:vAlign w:val="center"/>
          </w:tcPr>
          <w:p w14:paraId="438693E5" w14:textId="679183B8"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Bihar</w:t>
            </w:r>
          </w:p>
        </w:tc>
        <w:tc>
          <w:tcPr>
            <w:tcW w:w="896" w:type="dxa"/>
            <w:vAlign w:val="center"/>
          </w:tcPr>
          <w:p w14:paraId="1CE49CE6" w14:textId="5477096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13851.00</w:t>
            </w:r>
          </w:p>
        </w:tc>
        <w:tc>
          <w:tcPr>
            <w:tcW w:w="963" w:type="dxa"/>
            <w:vAlign w:val="center"/>
          </w:tcPr>
          <w:p w14:paraId="0963DBD4" w14:textId="75AF986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17866.42</w:t>
            </w:r>
          </w:p>
        </w:tc>
        <w:tc>
          <w:tcPr>
            <w:tcW w:w="1440" w:type="dxa"/>
            <w:vAlign w:val="center"/>
          </w:tcPr>
          <w:p w14:paraId="56F5174D" w14:textId="6C7713F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4015.42</w:t>
            </w:r>
          </w:p>
        </w:tc>
        <w:tc>
          <w:tcPr>
            <w:tcW w:w="982" w:type="dxa"/>
            <w:vAlign w:val="center"/>
          </w:tcPr>
          <w:p w14:paraId="138BC329" w14:textId="2F45D58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28.99</w:t>
            </w:r>
          </w:p>
        </w:tc>
        <w:tc>
          <w:tcPr>
            <w:tcW w:w="984" w:type="dxa"/>
            <w:vAlign w:val="center"/>
          </w:tcPr>
          <w:p w14:paraId="73CABBBB" w14:textId="251C898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17.59</w:t>
            </w:r>
          </w:p>
        </w:tc>
        <w:tc>
          <w:tcPr>
            <w:tcW w:w="965" w:type="dxa"/>
            <w:vAlign w:val="center"/>
          </w:tcPr>
          <w:p w14:paraId="4390EBD8" w14:textId="52D608A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22.69</w:t>
            </w:r>
          </w:p>
        </w:tc>
        <w:tc>
          <w:tcPr>
            <w:tcW w:w="922" w:type="dxa"/>
            <w:vAlign w:val="center"/>
          </w:tcPr>
          <w:p w14:paraId="29B4A180" w14:textId="78175A2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5.10</w:t>
            </w:r>
          </w:p>
        </w:tc>
      </w:tr>
      <w:tr w:rsidR="008A0CEF" w:rsidRPr="009F214D" w14:paraId="33BB136A" w14:textId="77777777" w:rsidTr="00B933C9">
        <w:trPr>
          <w:trHeight w:val="20"/>
          <w:jc w:val="center"/>
        </w:trPr>
        <w:tc>
          <w:tcPr>
            <w:tcW w:w="581" w:type="dxa"/>
            <w:vAlign w:val="center"/>
          </w:tcPr>
          <w:p w14:paraId="0E4E1E01" w14:textId="2AE4869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w:t>
            </w:r>
          </w:p>
        </w:tc>
        <w:tc>
          <w:tcPr>
            <w:tcW w:w="1339" w:type="dxa"/>
            <w:vAlign w:val="center"/>
          </w:tcPr>
          <w:p w14:paraId="65E1C7B4" w14:textId="1C0B90AB"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Gujarat</w:t>
            </w:r>
          </w:p>
        </w:tc>
        <w:tc>
          <w:tcPr>
            <w:tcW w:w="896" w:type="dxa"/>
            <w:vAlign w:val="center"/>
          </w:tcPr>
          <w:p w14:paraId="21B73F33" w14:textId="02B9ACB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13717.00</w:t>
            </w:r>
          </w:p>
        </w:tc>
        <w:tc>
          <w:tcPr>
            <w:tcW w:w="963" w:type="dxa"/>
            <w:vAlign w:val="center"/>
          </w:tcPr>
          <w:p w14:paraId="0E005635" w14:textId="2824A67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9500.59</w:t>
            </w:r>
          </w:p>
        </w:tc>
        <w:tc>
          <w:tcPr>
            <w:tcW w:w="1440" w:type="dxa"/>
            <w:vAlign w:val="center"/>
          </w:tcPr>
          <w:p w14:paraId="3DF7D817" w14:textId="21136BA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-4216.41</w:t>
            </w:r>
          </w:p>
        </w:tc>
        <w:tc>
          <w:tcPr>
            <w:tcW w:w="982" w:type="dxa"/>
            <w:vAlign w:val="center"/>
          </w:tcPr>
          <w:p w14:paraId="6829C3F8" w14:textId="0116455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-30.74</w:t>
            </w:r>
          </w:p>
        </w:tc>
        <w:tc>
          <w:tcPr>
            <w:tcW w:w="984" w:type="dxa"/>
            <w:vAlign w:val="center"/>
          </w:tcPr>
          <w:p w14:paraId="254FE43A" w14:textId="4E6E88E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36.00</w:t>
            </w:r>
          </w:p>
        </w:tc>
        <w:tc>
          <w:tcPr>
            <w:tcW w:w="965" w:type="dxa"/>
            <w:vAlign w:val="center"/>
          </w:tcPr>
          <w:p w14:paraId="04F34477" w14:textId="0187A4A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24.93</w:t>
            </w:r>
          </w:p>
        </w:tc>
        <w:tc>
          <w:tcPr>
            <w:tcW w:w="922" w:type="dxa"/>
            <w:vAlign w:val="center"/>
          </w:tcPr>
          <w:p w14:paraId="03962FF9" w14:textId="4BC51EB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-11.07</w:t>
            </w:r>
          </w:p>
        </w:tc>
      </w:tr>
      <w:tr w:rsidR="008A0CEF" w:rsidRPr="009F214D" w14:paraId="0AA5B3D5" w14:textId="77777777" w:rsidTr="00B933C9">
        <w:trPr>
          <w:trHeight w:val="20"/>
          <w:jc w:val="center"/>
        </w:trPr>
        <w:tc>
          <w:tcPr>
            <w:tcW w:w="581" w:type="dxa"/>
            <w:vAlign w:val="center"/>
          </w:tcPr>
          <w:p w14:paraId="03D25F97" w14:textId="11F0A96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w:t>
            </w:r>
          </w:p>
        </w:tc>
        <w:tc>
          <w:tcPr>
            <w:tcW w:w="1339" w:type="dxa"/>
            <w:vAlign w:val="center"/>
          </w:tcPr>
          <w:p w14:paraId="38A9C473" w14:textId="589EAE27"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Haryana</w:t>
            </w:r>
          </w:p>
        </w:tc>
        <w:tc>
          <w:tcPr>
            <w:tcW w:w="896" w:type="dxa"/>
            <w:vAlign w:val="center"/>
          </w:tcPr>
          <w:p w14:paraId="63E24A24" w14:textId="5A8BE5A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4691.00</w:t>
            </w:r>
          </w:p>
        </w:tc>
        <w:tc>
          <w:tcPr>
            <w:tcW w:w="963" w:type="dxa"/>
            <w:vAlign w:val="center"/>
          </w:tcPr>
          <w:p w14:paraId="7B432329" w14:textId="43F74A6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3781.26</w:t>
            </w:r>
          </w:p>
        </w:tc>
        <w:tc>
          <w:tcPr>
            <w:tcW w:w="1440" w:type="dxa"/>
            <w:vAlign w:val="center"/>
          </w:tcPr>
          <w:p w14:paraId="59A8E529" w14:textId="00EE5DD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-909.74</w:t>
            </w:r>
          </w:p>
        </w:tc>
        <w:tc>
          <w:tcPr>
            <w:tcW w:w="982" w:type="dxa"/>
            <w:vAlign w:val="center"/>
          </w:tcPr>
          <w:p w14:paraId="3F6C4D1B" w14:textId="53929D5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-19.39</w:t>
            </w:r>
          </w:p>
        </w:tc>
        <w:tc>
          <w:tcPr>
            <w:tcW w:w="984" w:type="dxa"/>
            <w:vAlign w:val="center"/>
          </w:tcPr>
          <w:p w14:paraId="38D6DE46" w14:textId="3AAB71E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31.22</w:t>
            </w:r>
          </w:p>
        </w:tc>
        <w:tc>
          <w:tcPr>
            <w:tcW w:w="965" w:type="dxa"/>
            <w:vAlign w:val="center"/>
          </w:tcPr>
          <w:p w14:paraId="2619F8A0" w14:textId="5E3D283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25.17</w:t>
            </w:r>
          </w:p>
        </w:tc>
        <w:tc>
          <w:tcPr>
            <w:tcW w:w="922" w:type="dxa"/>
            <w:vAlign w:val="center"/>
          </w:tcPr>
          <w:p w14:paraId="4D63D9C2" w14:textId="6B3CD7D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-6.05</w:t>
            </w:r>
          </w:p>
        </w:tc>
      </w:tr>
      <w:tr w:rsidR="008A0CEF" w:rsidRPr="009F214D" w14:paraId="21A95AD3" w14:textId="77777777" w:rsidTr="00B933C9">
        <w:trPr>
          <w:trHeight w:val="20"/>
          <w:jc w:val="center"/>
        </w:trPr>
        <w:tc>
          <w:tcPr>
            <w:tcW w:w="581" w:type="dxa"/>
            <w:vAlign w:val="center"/>
          </w:tcPr>
          <w:p w14:paraId="76D564C9" w14:textId="790E19E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w:t>
            </w:r>
          </w:p>
        </w:tc>
        <w:tc>
          <w:tcPr>
            <w:tcW w:w="1339" w:type="dxa"/>
            <w:vAlign w:val="center"/>
          </w:tcPr>
          <w:p w14:paraId="73886369" w14:textId="2D05B207"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Karnataka</w:t>
            </w:r>
          </w:p>
        </w:tc>
        <w:tc>
          <w:tcPr>
            <w:tcW w:w="896" w:type="dxa"/>
            <w:vAlign w:val="center"/>
          </w:tcPr>
          <w:p w14:paraId="525A9EAA" w14:textId="4E8B860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8716.00</w:t>
            </w:r>
          </w:p>
        </w:tc>
        <w:tc>
          <w:tcPr>
            <w:tcW w:w="963" w:type="dxa"/>
            <w:vAlign w:val="center"/>
          </w:tcPr>
          <w:p w14:paraId="7985D2C5" w14:textId="59A2231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10521.38</w:t>
            </w:r>
          </w:p>
        </w:tc>
        <w:tc>
          <w:tcPr>
            <w:tcW w:w="1440" w:type="dxa"/>
            <w:vAlign w:val="center"/>
          </w:tcPr>
          <w:p w14:paraId="1DF3C8CE" w14:textId="3C2A2EE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1805.38</w:t>
            </w:r>
          </w:p>
        </w:tc>
        <w:tc>
          <w:tcPr>
            <w:tcW w:w="982" w:type="dxa"/>
            <w:vAlign w:val="center"/>
          </w:tcPr>
          <w:p w14:paraId="2C6B366B" w14:textId="3956618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20.71</w:t>
            </w:r>
          </w:p>
        </w:tc>
        <w:tc>
          <w:tcPr>
            <w:tcW w:w="984" w:type="dxa"/>
            <w:vAlign w:val="center"/>
          </w:tcPr>
          <w:p w14:paraId="28136776" w14:textId="41E883C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20.85</w:t>
            </w:r>
          </w:p>
        </w:tc>
        <w:tc>
          <w:tcPr>
            <w:tcW w:w="965" w:type="dxa"/>
            <w:vAlign w:val="center"/>
          </w:tcPr>
          <w:p w14:paraId="0B74E360" w14:textId="101486A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25.17</w:t>
            </w:r>
          </w:p>
        </w:tc>
        <w:tc>
          <w:tcPr>
            <w:tcW w:w="922" w:type="dxa"/>
            <w:vAlign w:val="center"/>
          </w:tcPr>
          <w:p w14:paraId="1E43949F" w14:textId="7E7E2C7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4.32</w:t>
            </w:r>
          </w:p>
        </w:tc>
      </w:tr>
      <w:tr w:rsidR="008A0CEF" w:rsidRPr="009F214D" w14:paraId="6762BE9D" w14:textId="77777777" w:rsidTr="00B933C9">
        <w:trPr>
          <w:trHeight w:val="20"/>
          <w:jc w:val="center"/>
        </w:trPr>
        <w:tc>
          <w:tcPr>
            <w:tcW w:w="581" w:type="dxa"/>
            <w:vAlign w:val="center"/>
          </w:tcPr>
          <w:p w14:paraId="51602BB8" w14:textId="52377E4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w:t>
            </w:r>
          </w:p>
        </w:tc>
        <w:tc>
          <w:tcPr>
            <w:tcW w:w="1339" w:type="dxa"/>
            <w:vAlign w:val="center"/>
          </w:tcPr>
          <w:p w14:paraId="717A101A" w14:textId="35F348B3"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Kerala</w:t>
            </w:r>
          </w:p>
        </w:tc>
        <w:tc>
          <w:tcPr>
            <w:tcW w:w="896" w:type="dxa"/>
            <w:vAlign w:val="center"/>
          </w:tcPr>
          <w:p w14:paraId="72C8A29D" w14:textId="5138C0A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6565.00</w:t>
            </w:r>
          </w:p>
        </w:tc>
        <w:tc>
          <w:tcPr>
            <w:tcW w:w="963" w:type="dxa"/>
            <w:vAlign w:val="center"/>
          </w:tcPr>
          <w:p w14:paraId="161353E7" w14:textId="0942FD3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6596.61</w:t>
            </w:r>
          </w:p>
        </w:tc>
        <w:tc>
          <w:tcPr>
            <w:tcW w:w="1440" w:type="dxa"/>
            <w:vAlign w:val="center"/>
          </w:tcPr>
          <w:p w14:paraId="7E8689EC" w14:textId="69F9E6B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31.61</w:t>
            </w:r>
          </w:p>
        </w:tc>
        <w:tc>
          <w:tcPr>
            <w:tcW w:w="982" w:type="dxa"/>
            <w:vAlign w:val="center"/>
          </w:tcPr>
          <w:p w14:paraId="0A662E1B" w14:textId="33143D3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0.48</w:t>
            </w:r>
          </w:p>
        </w:tc>
        <w:tc>
          <w:tcPr>
            <w:tcW w:w="984" w:type="dxa"/>
            <w:vAlign w:val="center"/>
          </w:tcPr>
          <w:p w14:paraId="0D036F98" w14:textId="2A7C445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23.34</w:t>
            </w:r>
          </w:p>
        </w:tc>
        <w:tc>
          <w:tcPr>
            <w:tcW w:w="965" w:type="dxa"/>
            <w:vAlign w:val="center"/>
          </w:tcPr>
          <w:p w14:paraId="57DCCD05" w14:textId="7C557DC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23.45</w:t>
            </w:r>
          </w:p>
        </w:tc>
        <w:tc>
          <w:tcPr>
            <w:tcW w:w="922" w:type="dxa"/>
            <w:vAlign w:val="center"/>
          </w:tcPr>
          <w:p w14:paraId="4CB21880" w14:textId="76C7883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0.11</w:t>
            </w:r>
          </w:p>
        </w:tc>
      </w:tr>
      <w:tr w:rsidR="008A0CEF" w:rsidRPr="009F214D" w14:paraId="5DE2E097" w14:textId="77777777" w:rsidTr="00B933C9">
        <w:trPr>
          <w:trHeight w:val="20"/>
          <w:jc w:val="center"/>
        </w:trPr>
        <w:tc>
          <w:tcPr>
            <w:tcW w:w="581" w:type="dxa"/>
            <w:vAlign w:val="center"/>
          </w:tcPr>
          <w:p w14:paraId="203F3A66" w14:textId="63CEE13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w:t>
            </w:r>
          </w:p>
        </w:tc>
        <w:tc>
          <w:tcPr>
            <w:tcW w:w="1339" w:type="dxa"/>
            <w:vAlign w:val="center"/>
          </w:tcPr>
          <w:p w14:paraId="34B0143A" w14:textId="12A2C516"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Madhya Pradesh</w:t>
            </w:r>
          </w:p>
        </w:tc>
        <w:tc>
          <w:tcPr>
            <w:tcW w:w="896" w:type="dxa"/>
            <w:vAlign w:val="center"/>
          </w:tcPr>
          <w:p w14:paraId="6204BF3F" w14:textId="096FA91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14109.00</w:t>
            </w:r>
          </w:p>
        </w:tc>
        <w:tc>
          <w:tcPr>
            <w:tcW w:w="963" w:type="dxa"/>
            <w:vAlign w:val="center"/>
          </w:tcPr>
          <w:p w14:paraId="6B29CD58" w14:textId="1BB7D2B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13348.07</w:t>
            </w:r>
          </w:p>
        </w:tc>
        <w:tc>
          <w:tcPr>
            <w:tcW w:w="1440" w:type="dxa"/>
            <w:vAlign w:val="center"/>
          </w:tcPr>
          <w:p w14:paraId="3DB793AB" w14:textId="761BA91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-760.93</w:t>
            </w:r>
          </w:p>
        </w:tc>
        <w:tc>
          <w:tcPr>
            <w:tcW w:w="982" w:type="dxa"/>
            <w:vAlign w:val="center"/>
          </w:tcPr>
          <w:p w14:paraId="46A8D3C6" w14:textId="1E33E0A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-5.39</w:t>
            </w:r>
          </w:p>
        </w:tc>
        <w:tc>
          <w:tcPr>
            <w:tcW w:w="984" w:type="dxa"/>
            <w:vAlign w:val="center"/>
          </w:tcPr>
          <w:p w14:paraId="55D125CD" w14:textId="473E512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23.96</w:t>
            </w:r>
          </w:p>
        </w:tc>
        <w:tc>
          <w:tcPr>
            <w:tcW w:w="965" w:type="dxa"/>
            <w:vAlign w:val="center"/>
          </w:tcPr>
          <w:p w14:paraId="53A3FF44" w14:textId="3CBBB03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22.66</w:t>
            </w:r>
          </w:p>
        </w:tc>
        <w:tc>
          <w:tcPr>
            <w:tcW w:w="922" w:type="dxa"/>
            <w:vAlign w:val="center"/>
          </w:tcPr>
          <w:p w14:paraId="5584ACB8" w14:textId="076300A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-1.29</w:t>
            </w:r>
          </w:p>
        </w:tc>
      </w:tr>
      <w:tr w:rsidR="008A0CEF" w:rsidRPr="009F214D" w14:paraId="32569D33" w14:textId="77777777" w:rsidTr="00B933C9">
        <w:trPr>
          <w:trHeight w:val="20"/>
          <w:jc w:val="center"/>
        </w:trPr>
        <w:tc>
          <w:tcPr>
            <w:tcW w:w="581" w:type="dxa"/>
            <w:vAlign w:val="center"/>
          </w:tcPr>
          <w:p w14:paraId="3CA1F38A" w14:textId="3FD979C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w:t>
            </w:r>
          </w:p>
        </w:tc>
        <w:tc>
          <w:tcPr>
            <w:tcW w:w="1339" w:type="dxa"/>
            <w:vAlign w:val="center"/>
          </w:tcPr>
          <w:p w14:paraId="2C08D561" w14:textId="1522AA3B"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Maharashtra</w:t>
            </w:r>
          </w:p>
        </w:tc>
        <w:tc>
          <w:tcPr>
            <w:tcW w:w="896" w:type="dxa"/>
            <w:vAlign w:val="center"/>
          </w:tcPr>
          <w:p w14:paraId="69EEBD1B" w14:textId="6DE95D7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23968.00</w:t>
            </w:r>
          </w:p>
        </w:tc>
        <w:tc>
          <w:tcPr>
            <w:tcW w:w="963" w:type="dxa"/>
            <w:vAlign w:val="center"/>
          </w:tcPr>
          <w:p w14:paraId="06D9B0F8" w14:textId="2CB39BB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17657.76</w:t>
            </w:r>
          </w:p>
        </w:tc>
        <w:tc>
          <w:tcPr>
            <w:tcW w:w="1440" w:type="dxa"/>
            <w:vAlign w:val="center"/>
          </w:tcPr>
          <w:p w14:paraId="6866CCBE" w14:textId="016A5EB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-6330.24</w:t>
            </w:r>
          </w:p>
        </w:tc>
        <w:tc>
          <w:tcPr>
            <w:tcW w:w="982" w:type="dxa"/>
            <w:vAlign w:val="center"/>
          </w:tcPr>
          <w:p w14:paraId="4AC98D22" w14:textId="68C0E0D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-26.39</w:t>
            </w:r>
          </w:p>
        </w:tc>
        <w:tc>
          <w:tcPr>
            <w:tcW w:w="984" w:type="dxa"/>
            <w:vAlign w:val="center"/>
          </w:tcPr>
          <w:p w14:paraId="313831B6" w14:textId="4A7E2E5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34.05</w:t>
            </w:r>
          </w:p>
        </w:tc>
        <w:tc>
          <w:tcPr>
            <w:tcW w:w="965" w:type="dxa"/>
            <w:vAlign w:val="center"/>
          </w:tcPr>
          <w:p w14:paraId="53D7DD38" w14:textId="65C562B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25.07</w:t>
            </w:r>
          </w:p>
        </w:tc>
        <w:tc>
          <w:tcPr>
            <w:tcW w:w="922" w:type="dxa"/>
            <w:vAlign w:val="center"/>
          </w:tcPr>
          <w:p w14:paraId="1B4E9FD6" w14:textId="606860B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-8.99</w:t>
            </w:r>
          </w:p>
        </w:tc>
      </w:tr>
      <w:tr w:rsidR="008A0CEF" w:rsidRPr="009F214D" w14:paraId="32C2EF4B" w14:textId="77777777" w:rsidTr="00B933C9">
        <w:trPr>
          <w:trHeight w:val="20"/>
          <w:jc w:val="center"/>
        </w:trPr>
        <w:tc>
          <w:tcPr>
            <w:tcW w:w="581" w:type="dxa"/>
            <w:vAlign w:val="center"/>
          </w:tcPr>
          <w:p w14:paraId="7CB00902" w14:textId="7B62DDF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w:t>
            </w:r>
          </w:p>
        </w:tc>
        <w:tc>
          <w:tcPr>
            <w:tcW w:w="1339" w:type="dxa"/>
            <w:vAlign w:val="center"/>
          </w:tcPr>
          <w:p w14:paraId="085681E6" w14:textId="1AE9749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Orissa</w:t>
            </w:r>
          </w:p>
        </w:tc>
        <w:tc>
          <w:tcPr>
            <w:tcW w:w="896" w:type="dxa"/>
            <w:vAlign w:val="center"/>
          </w:tcPr>
          <w:p w14:paraId="79C204E1" w14:textId="092B93D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6610.00</w:t>
            </w:r>
          </w:p>
        </w:tc>
        <w:tc>
          <w:tcPr>
            <w:tcW w:w="963" w:type="dxa"/>
            <w:vAlign w:val="center"/>
          </w:tcPr>
          <w:p w14:paraId="23423203" w14:textId="67D43D2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6588.77</w:t>
            </w:r>
          </w:p>
        </w:tc>
        <w:tc>
          <w:tcPr>
            <w:tcW w:w="1440" w:type="dxa"/>
            <w:vAlign w:val="center"/>
          </w:tcPr>
          <w:p w14:paraId="3D8563BF" w14:textId="543BFAE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-21.23</w:t>
            </w:r>
          </w:p>
        </w:tc>
        <w:tc>
          <w:tcPr>
            <w:tcW w:w="982" w:type="dxa"/>
            <w:vAlign w:val="center"/>
          </w:tcPr>
          <w:p w14:paraId="41507B3E" w14:textId="1C147C8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-0.32</w:t>
            </w:r>
          </w:p>
        </w:tc>
        <w:tc>
          <w:tcPr>
            <w:tcW w:w="984" w:type="dxa"/>
            <w:vAlign w:val="center"/>
          </w:tcPr>
          <w:p w14:paraId="4794BFBB" w14:textId="58FA2B5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22.67</w:t>
            </w:r>
          </w:p>
        </w:tc>
        <w:tc>
          <w:tcPr>
            <w:tcW w:w="965" w:type="dxa"/>
            <w:vAlign w:val="center"/>
          </w:tcPr>
          <w:p w14:paraId="308C4A57" w14:textId="105EBDA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22.59</w:t>
            </w:r>
          </w:p>
        </w:tc>
        <w:tc>
          <w:tcPr>
            <w:tcW w:w="922" w:type="dxa"/>
            <w:vAlign w:val="center"/>
          </w:tcPr>
          <w:p w14:paraId="110CCA8B" w14:textId="1D9F210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-0.07</w:t>
            </w:r>
          </w:p>
        </w:tc>
      </w:tr>
      <w:tr w:rsidR="008A0CEF" w:rsidRPr="009F214D" w14:paraId="00D0E2D1" w14:textId="77777777" w:rsidTr="00B933C9">
        <w:trPr>
          <w:trHeight w:val="20"/>
          <w:jc w:val="center"/>
        </w:trPr>
        <w:tc>
          <w:tcPr>
            <w:tcW w:w="581" w:type="dxa"/>
            <w:vAlign w:val="center"/>
          </w:tcPr>
          <w:p w14:paraId="7D00C67F" w14:textId="689A267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w:t>
            </w:r>
          </w:p>
        </w:tc>
        <w:tc>
          <w:tcPr>
            <w:tcW w:w="1339" w:type="dxa"/>
            <w:vAlign w:val="center"/>
          </w:tcPr>
          <w:p w14:paraId="21CBE675" w14:textId="7CC1B7E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Punjab</w:t>
            </w:r>
          </w:p>
        </w:tc>
        <w:tc>
          <w:tcPr>
            <w:tcW w:w="896" w:type="dxa"/>
            <w:vAlign w:val="center"/>
          </w:tcPr>
          <w:p w14:paraId="2654D4C5" w14:textId="2EBA2CE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8293.00</w:t>
            </w:r>
          </w:p>
        </w:tc>
        <w:tc>
          <w:tcPr>
            <w:tcW w:w="963" w:type="dxa"/>
            <w:vAlign w:val="center"/>
          </w:tcPr>
          <w:p w14:paraId="1F73613C" w14:textId="375A8FE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5289.97</w:t>
            </w:r>
          </w:p>
        </w:tc>
        <w:tc>
          <w:tcPr>
            <w:tcW w:w="1440" w:type="dxa"/>
            <w:vAlign w:val="center"/>
          </w:tcPr>
          <w:p w14:paraId="28660235" w14:textId="284EC0B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-3003.03</w:t>
            </w:r>
          </w:p>
        </w:tc>
        <w:tc>
          <w:tcPr>
            <w:tcW w:w="982" w:type="dxa"/>
            <w:vAlign w:val="center"/>
          </w:tcPr>
          <w:p w14:paraId="6C6F62B3" w14:textId="70452B9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-36.21</w:t>
            </w:r>
          </w:p>
        </w:tc>
        <w:tc>
          <w:tcPr>
            <w:tcW w:w="984" w:type="dxa"/>
            <w:vAlign w:val="center"/>
          </w:tcPr>
          <w:p w14:paraId="082A56C1" w14:textId="28A60F4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44.36</w:t>
            </w:r>
          </w:p>
        </w:tc>
        <w:tc>
          <w:tcPr>
            <w:tcW w:w="965" w:type="dxa"/>
            <w:vAlign w:val="center"/>
          </w:tcPr>
          <w:p w14:paraId="5B4EE8FA" w14:textId="05A5055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28.30</w:t>
            </w:r>
          </w:p>
        </w:tc>
        <w:tc>
          <w:tcPr>
            <w:tcW w:w="922" w:type="dxa"/>
            <w:vAlign w:val="center"/>
          </w:tcPr>
          <w:p w14:paraId="7D4CA7DE" w14:textId="26C9A4D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-16.06</w:t>
            </w:r>
          </w:p>
        </w:tc>
      </w:tr>
      <w:tr w:rsidR="008A0CEF" w:rsidRPr="009F214D" w14:paraId="66676179" w14:textId="77777777" w:rsidTr="00B933C9">
        <w:trPr>
          <w:trHeight w:val="20"/>
          <w:jc w:val="center"/>
        </w:trPr>
        <w:tc>
          <w:tcPr>
            <w:tcW w:w="581" w:type="dxa"/>
            <w:vAlign w:val="center"/>
          </w:tcPr>
          <w:p w14:paraId="414903B3" w14:textId="271348A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w:t>
            </w:r>
          </w:p>
        </w:tc>
        <w:tc>
          <w:tcPr>
            <w:tcW w:w="1339" w:type="dxa"/>
            <w:vAlign w:val="center"/>
          </w:tcPr>
          <w:p w14:paraId="291FC9A3" w14:textId="29D8205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Rajasthan</w:t>
            </w:r>
          </w:p>
        </w:tc>
        <w:tc>
          <w:tcPr>
            <w:tcW w:w="896" w:type="dxa"/>
            <w:vAlign w:val="center"/>
          </w:tcPr>
          <w:p w14:paraId="4387435D" w14:textId="635E71D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8545.00</w:t>
            </w:r>
          </w:p>
        </w:tc>
        <w:tc>
          <w:tcPr>
            <w:tcW w:w="963" w:type="dxa"/>
            <w:vAlign w:val="center"/>
          </w:tcPr>
          <w:p w14:paraId="373015C3" w14:textId="3943229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8451.67</w:t>
            </w:r>
          </w:p>
        </w:tc>
        <w:tc>
          <w:tcPr>
            <w:tcW w:w="1440" w:type="dxa"/>
            <w:vAlign w:val="center"/>
          </w:tcPr>
          <w:p w14:paraId="4ABF9E8C" w14:textId="5F921B7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-93.33</w:t>
            </w:r>
          </w:p>
        </w:tc>
        <w:tc>
          <w:tcPr>
            <w:tcW w:w="982" w:type="dxa"/>
            <w:vAlign w:val="center"/>
          </w:tcPr>
          <w:p w14:paraId="3432505B" w14:textId="0334C20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-1.09</w:t>
            </w:r>
          </w:p>
        </w:tc>
        <w:tc>
          <w:tcPr>
            <w:tcW w:w="984" w:type="dxa"/>
            <w:vAlign w:val="center"/>
          </w:tcPr>
          <w:p w14:paraId="09417154" w14:textId="1A0474E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21.47</w:t>
            </w:r>
          </w:p>
        </w:tc>
        <w:tc>
          <w:tcPr>
            <w:tcW w:w="965" w:type="dxa"/>
            <w:vAlign w:val="center"/>
          </w:tcPr>
          <w:p w14:paraId="2EA554D2" w14:textId="3805FDD7"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21.24</w:t>
            </w:r>
          </w:p>
        </w:tc>
        <w:tc>
          <w:tcPr>
            <w:tcW w:w="922" w:type="dxa"/>
            <w:vAlign w:val="center"/>
          </w:tcPr>
          <w:p w14:paraId="17B3C3B3" w14:textId="58E800D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-0.23</w:t>
            </w:r>
          </w:p>
        </w:tc>
      </w:tr>
      <w:tr w:rsidR="008A0CEF" w:rsidRPr="009F214D" w14:paraId="17DA1C48" w14:textId="77777777" w:rsidTr="00B933C9">
        <w:trPr>
          <w:trHeight w:val="20"/>
          <w:jc w:val="center"/>
        </w:trPr>
        <w:tc>
          <w:tcPr>
            <w:tcW w:w="581" w:type="dxa"/>
            <w:vAlign w:val="center"/>
          </w:tcPr>
          <w:p w14:paraId="5550609E" w14:textId="257BA95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12</w:t>
            </w:r>
          </w:p>
        </w:tc>
        <w:tc>
          <w:tcPr>
            <w:tcW w:w="1339" w:type="dxa"/>
            <w:vAlign w:val="center"/>
          </w:tcPr>
          <w:p w14:paraId="079778D9" w14:textId="141BFE0B"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Tamil Nadu</w:t>
            </w:r>
          </w:p>
        </w:tc>
        <w:tc>
          <w:tcPr>
            <w:tcW w:w="896" w:type="dxa"/>
            <w:vAlign w:val="center"/>
          </w:tcPr>
          <w:p w14:paraId="5903E270" w14:textId="10EDAF8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11230.00</w:t>
            </w:r>
          </w:p>
        </w:tc>
        <w:tc>
          <w:tcPr>
            <w:tcW w:w="963" w:type="dxa"/>
            <w:vAlign w:val="center"/>
          </w:tcPr>
          <w:p w14:paraId="0512D914" w14:textId="0972DAF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13509.24</w:t>
            </w:r>
          </w:p>
        </w:tc>
        <w:tc>
          <w:tcPr>
            <w:tcW w:w="1440" w:type="dxa"/>
            <w:vAlign w:val="center"/>
          </w:tcPr>
          <w:p w14:paraId="3F1E8771" w14:textId="16469C7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2279.24</w:t>
            </w:r>
          </w:p>
        </w:tc>
        <w:tc>
          <w:tcPr>
            <w:tcW w:w="982" w:type="dxa"/>
            <w:vAlign w:val="center"/>
          </w:tcPr>
          <w:p w14:paraId="113ED637" w14:textId="2DEDEC5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20.30</w:t>
            </w:r>
          </w:p>
        </w:tc>
        <w:tc>
          <w:tcPr>
            <w:tcW w:w="984" w:type="dxa"/>
            <w:vAlign w:val="center"/>
          </w:tcPr>
          <w:p w14:paraId="32ACBF7E" w14:textId="1B91387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21.17</w:t>
            </w:r>
          </w:p>
        </w:tc>
        <w:tc>
          <w:tcPr>
            <w:tcW w:w="965" w:type="dxa"/>
            <w:vAlign w:val="center"/>
          </w:tcPr>
          <w:p w14:paraId="283B1180" w14:textId="2D2F620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25.46</w:t>
            </w:r>
          </w:p>
        </w:tc>
        <w:tc>
          <w:tcPr>
            <w:tcW w:w="922" w:type="dxa"/>
            <w:vAlign w:val="center"/>
          </w:tcPr>
          <w:p w14:paraId="7D1B3556" w14:textId="0DCF8C1F"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4.30</w:t>
            </w:r>
          </w:p>
        </w:tc>
      </w:tr>
      <w:tr w:rsidR="008A0CEF" w:rsidRPr="009F214D" w14:paraId="4528C2DF" w14:textId="77777777" w:rsidTr="00B933C9">
        <w:trPr>
          <w:trHeight w:val="20"/>
          <w:jc w:val="center"/>
        </w:trPr>
        <w:tc>
          <w:tcPr>
            <w:tcW w:w="581" w:type="dxa"/>
            <w:vAlign w:val="center"/>
          </w:tcPr>
          <w:p w14:paraId="526335EF" w14:textId="47C8D14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13</w:t>
            </w:r>
          </w:p>
        </w:tc>
        <w:tc>
          <w:tcPr>
            <w:tcW w:w="1339" w:type="dxa"/>
            <w:vAlign w:val="center"/>
          </w:tcPr>
          <w:p w14:paraId="4318E705" w14:textId="7E11A30D"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Uttar Pradesh</w:t>
            </w:r>
          </w:p>
        </w:tc>
        <w:tc>
          <w:tcPr>
            <w:tcW w:w="896" w:type="dxa"/>
            <w:vAlign w:val="center"/>
          </w:tcPr>
          <w:p w14:paraId="2D637273" w14:textId="05A9192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27462.00</w:t>
            </w:r>
          </w:p>
        </w:tc>
        <w:tc>
          <w:tcPr>
            <w:tcW w:w="963" w:type="dxa"/>
            <w:vAlign w:val="center"/>
          </w:tcPr>
          <w:p w14:paraId="5B2A7221" w14:textId="433657D0"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31647.72</w:t>
            </w:r>
          </w:p>
        </w:tc>
        <w:tc>
          <w:tcPr>
            <w:tcW w:w="1440" w:type="dxa"/>
            <w:vAlign w:val="center"/>
          </w:tcPr>
          <w:p w14:paraId="0669395A" w14:textId="16D3A95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4185.72</w:t>
            </w:r>
          </w:p>
        </w:tc>
        <w:tc>
          <w:tcPr>
            <w:tcW w:w="982" w:type="dxa"/>
            <w:vAlign w:val="center"/>
          </w:tcPr>
          <w:p w14:paraId="0DC9F19D" w14:textId="511371B3"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15.24</w:t>
            </w:r>
          </w:p>
        </w:tc>
        <w:tc>
          <w:tcPr>
            <w:tcW w:w="984" w:type="dxa"/>
            <w:vAlign w:val="center"/>
          </w:tcPr>
          <w:p w14:paraId="1746C531" w14:textId="71FDC1B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22.05</w:t>
            </w:r>
          </w:p>
        </w:tc>
        <w:tc>
          <w:tcPr>
            <w:tcW w:w="965" w:type="dxa"/>
            <w:vAlign w:val="center"/>
          </w:tcPr>
          <w:p w14:paraId="1107A246" w14:textId="2EFE1DBE"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25.41</w:t>
            </w:r>
          </w:p>
        </w:tc>
        <w:tc>
          <w:tcPr>
            <w:tcW w:w="922" w:type="dxa"/>
            <w:vAlign w:val="center"/>
          </w:tcPr>
          <w:p w14:paraId="6CE9171E" w14:textId="65C7D0C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3.36</w:t>
            </w:r>
          </w:p>
        </w:tc>
      </w:tr>
      <w:tr w:rsidR="008A0CEF" w:rsidRPr="009F214D" w14:paraId="608B5ACA" w14:textId="77777777" w:rsidTr="00B933C9">
        <w:trPr>
          <w:trHeight w:val="20"/>
          <w:jc w:val="center"/>
        </w:trPr>
        <w:tc>
          <w:tcPr>
            <w:tcW w:w="581" w:type="dxa"/>
            <w:vAlign w:val="center"/>
          </w:tcPr>
          <w:p w14:paraId="3B197950" w14:textId="5D26D9E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14</w:t>
            </w:r>
          </w:p>
        </w:tc>
        <w:tc>
          <w:tcPr>
            <w:tcW w:w="1339" w:type="dxa"/>
            <w:vAlign w:val="center"/>
          </w:tcPr>
          <w:p w14:paraId="5B4FB426" w14:textId="3682BA61"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sz w:val="16"/>
                <w:szCs w:val="16"/>
              </w:rPr>
              <w:t>West Bengal</w:t>
            </w:r>
          </w:p>
        </w:tc>
        <w:tc>
          <w:tcPr>
            <w:tcW w:w="896" w:type="dxa"/>
            <w:vAlign w:val="center"/>
          </w:tcPr>
          <w:p w14:paraId="1BBEF797" w14:textId="5034E2F2"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16071.00</w:t>
            </w:r>
          </w:p>
        </w:tc>
        <w:tc>
          <w:tcPr>
            <w:tcW w:w="963" w:type="dxa"/>
            <w:vAlign w:val="center"/>
          </w:tcPr>
          <w:p w14:paraId="082D10E9" w14:textId="17F3313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16129.54</w:t>
            </w:r>
          </w:p>
        </w:tc>
        <w:tc>
          <w:tcPr>
            <w:tcW w:w="1440" w:type="dxa"/>
            <w:vAlign w:val="center"/>
          </w:tcPr>
          <w:p w14:paraId="43EE5ED6" w14:textId="67B4A409"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58.54</w:t>
            </w:r>
          </w:p>
        </w:tc>
        <w:tc>
          <w:tcPr>
            <w:tcW w:w="982" w:type="dxa"/>
            <w:vAlign w:val="center"/>
          </w:tcPr>
          <w:p w14:paraId="2AB90751" w14:textId="1805D3ED"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0.36</w:t>
            </w:r>
          </w:p>
        </w:tc>
        <w:tc>
          <w:tcPr>
            <w:tcW w:w="984" w:type="dxa"/>
            <w:vAlign w:val="center"/>
          </w:tcPr>
          <w:p w14:paraId="175A8485" w14:textId="329FD8BB"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26.38</w:t>
            </w:r>
          </w:p>
        </w:tc>
        <w:tc>
          <w:tcPr>
            <w:tcW w:w="965" w:type="dxa"/>
            <w:vAlign w:val="center"/>
          </w:tcPr>
          <w:p w14:paraId="069AB0D8" w14:textId="394A492A"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26.48</w:t>
            </w:r>
          </w:p>
        </w:tc>
        <w:tc>
          <w:tcPr>
            <w:tcW w:w="922" w:type="dxa"/>
            <w:vAlign w:val="center"/>
          </w:tcPr>
          <w:p w14:paraId="777F0FBA" w14:textId="71E591D1"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sz w:val="16"/>
                <w:szCs w:val="16"/>
              </w:rPr>
              <w:t>0.10</w:t>
            </w:r>
          </w:p>
        </w:tc>
      </w:tr>
      <w:tr w:rsidR="008A0CEF" w:rsidRPr="009F214D" w14:paraId="48B88DB3" w14:textId="77777777" w:rsidTr="00B933C9">
        <w:trPr>
          <w:trHeight w:val="20"/>
          <w:jc w:val="center"/>
        </w:trPr>
        <w:tc>
          <w:tcPr>
            <w:tcW w:w="581" w:type="dxa"/>
            <w:vAlign w:val="center"/>
          </w:tcPr>
          <w:p w14:paraId="626DC37A" w14:textId="6B20E73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14</w:t>
            </w:r>
          </w:p>
        </w:tc>
        <w:tc>
          <w:tcPr>
            <w:tcW w:w="1339" w:type="dxa"/>
            <w:vAlign w:val="center"/>
          </w:tcPr>
          <w:p w14:paraId="27F10287" w14:textId="685304FE" w:rsidR="00877CB7" w:rsidRPr="009F214D" w:rsidRDefault="00877CB7" w:rsidP="00877CB7">
            <w:pPr>
              <w:tabs>
                <w:tab w:val="left" w:pos="2805"/>
              </w:tabs>
              <w:rPr>
                <w:rFonts w:ascii="Times New Roman" w:hAnsi="Times New Roman" w:cs="Times New Roman"/>
                <w:sz w:val="16"/>
                <w:szCs w:val="16"/>
              </w:rPr>
            </w:pPr>
            <w:r w:rsidRPr="009F214D">
              <w:rPr>
                <w:rFonts w:ascii="Times New Roman" w:hAnsi="Times New Roman" w:cs="Times New Roman"/>
                <w:b/>
                <w:bCs/>
                <w:sz w:val="16"/>
                <w:szCs w:val="16"/>
              </w:rPr>
              <w:t>Major States</w:t>
            </w:r>
          </w:p>
        </w:tc>
        <w:tc>
          <w:tcPr>
            <w:tcW w:w="896" w:type="dxa"/>
            <w:vAlign w:val="center"/>
          </w:tcPr>
          <w:p w14:paraId="63FABB66" w14:textId="53F3603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174878.00</w:t>
            </w:r>
          </w:p>
        </w:tc>
        <w:tc>
          <w:tcPr>
            <w:tcW w:w="963" w:type="dxa"/>
            <w:vAlign w:val="center"/>
          </w:tcPr>
          <w:p w14:paraId="24F42766" w14:textId="3ABECC96"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176265.83</w:t>
            </w:r>
          </w:p>
        </w:tc>
        <w:tc>
          <w:tcPr>
            <w:tcW w:w="1440" w:type="dxa"/>
            <w:vAlign w:val="center"/>
          </w:tcPr>
          <w:p w14:paraId="45984ABF" w14:textId="44BB6F95"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1387.83</w:t>
            </w:r>
          </w:p>
        </w:tc>
        <w:tc>
          <w:tcPr>
            <w:tcW w:w="982" w:type="dxa"/>
            <w:vAlign w:val="center"/>
          </w:tcPr>
          <w:p w14:paraId="7E78614B" w14:textId="65B47FD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0.79</w:t>
            </w:r>
          </w:p>
        </w:tc>
        <w:tc>
          <w:tcPr>
            <w:tcW w:w="984" w:type="dxa"/>
            <w:vAlign w:val="center"/>
          </w:tcPr>
          <w:p w14:paraId="6B396744" w14:textId="58995DB4"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24.40</w:t>
            </w:r>
          </w:p>
        </w:tc>
        <w:tc>
          <w:tcPr>
            <w:tcW w:w="965" w:type="dxa"/>
            <w:vAlign w:val="center"/>
          </w:tcPr>
          <w:p w14:paraId="143B80A2" w14:textId="0EACB33C"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24.59</w:t>
            </w:r>
          </w:p>
        </w:tc>
        <w:tc>
          <w:tcPr>
            <w:tcW w:w="922" w:type="dxa"/>
            <w:vAlign w:val="center"/>
          </w:tcPr>
          <w:p w14:paraId="49C2941A" w14:textId="1264CD68" w:rsidR="00877CB7" w:rsidRPr="009F214D" w:rsidRDefault="00877CB7" w:rsidP="00877CB7">
            <w:pPr>
              <w:tabs>
                <w:tab w:val="left" w:pos="2805"/>
              </w:tabs>
              <w:jc w:val="center"/>
              <w:rPr>
                <w:rFonts w:ascii="Times New Roman" w:hAnsi="Times New Roman" w:cs="Times New Roman"/>
                <w:sz w:val="16"/>
                <w:szCs w:val="16"/>
              </w:rPr>
            </w:pPr>
            <w:r w:rsidRPr="009F214D">
              <w:rPr>
                <w:rFonts w:ascii="Times New Roman" w:hAnsi="Times New Roman" w:cs="Times New Roman"/>
                <w:b/>
                <w:bCs/>
                <w:sz w:val="16"/>
                <w:szCs w:val="16"/>
              </w:rPr>
              <w:t>0.19</w:t>
            </w:r>
          </w:p>
        </w:tc>
      </w:tr>
      <w:tr w:rsidR="00877CB7" w:rsidRPr="009F214D" w14:paraId="4C50F091" w14:textId="77777777" w:rsidTr="002D6038">
        <w:trPr>
          <w:trHeight w:val="20"/>
          <w:jc w:val="center"/>
        </w:trPr>
        <w:tc>
          <w:tcPr>
            <w:tcW w:w="9072" w:type="dxa"/>
            <w:gridSpan w:val="9"/>
            <w:vAlign w:val="center"/>
          </w:tcPr>
          <w:p w14:paraId="289A8E47" w14:textId="3A81D15B"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b/>
                <w:bCs/>
                <w:sz w:val="20"/>
                <w:szCs w:val="20"/>
              </w:rPr>
              <w:t>Expenditure Category: Jails</w:t>
            </w:r>
          </w:p>
        </w:tc>
      </w:tr>
      <w:tr w:rsidR="00877CB7" w:rsidRPr="009F214D" w14:paraId="0154A412" w14:textId="77777777" w:rsidTr="00B933C9">
        <w:trPr>
          <w:trHeight w:val="20"/>
          <w:jc w:val="center"/>
        </w:trPr>
        <w:tc>
          <w:tcPr>
            <w:tcW w:w="581" w:type="dxa"/>
            <w:vAlign w:val="center"/>
          </w:tcPr>
          <w:p w14:paraId="6BD86768" w14:textId="423875EA"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w:t>
            </w:r>
          </w:p>
        </w:tc>
        <w:tc>
          <w:tcPr>
            <w:tcW w:w="1339" w:type="dxa"/>
            <w:vAlign w:val="center"/>
          </w:tcPr>
          <w:p w14:paraId="6803E748" w14:textId="0B1066C1" w:rsidR="00877CB7" w:rsidRPr="009F214D" w:rsidRDefault="00877CB7" w:rsidP="00877CB7">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Andhra Pradesh</w:t>
            </w:r>
          </w:p>
        </w:tc>
        <w:tc>
          <w:tcPr>
            <w:tcW w:w="896" w:type="dxa"/>
            <w:vAlign w:val="center"/>
          </w:tcPr>
          <w:p w14:paraId="78CCA193" w14:textId="0F42BE4D"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609.00</w:t>
            </w:r>
          </w:p>
        </w:tc>
        <w:tc>
          <w:tcPr>
            <w:tcW w:w="963" w:type="dxa"/>
            <w:vAlign w:val="center"/>
          </w:tcPr>
          <w:p w14:paraId="5D5F7E3C" w14:textId="0E8B4EB1"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1051.49</w:t>
            </w:r>
          </w:p>
        </w:tc>
        <w:tc>
          <w:tcPr>
            <w:tcW w:w="1440" w:type="dxa"/>
            <w:vAlign w:val="center"/>
          </w:tcPr>
          <w:p w14:paraId="337AAB20" w14:textId="1156910E"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442.49</w:t>
            </w:r>
          </w:p>
        </w:tc>
        <w:tc>
          <w:tcPr>
            <w:tcW w:w="982" w:type="dxa"/>
            <w:vAlign w:val="center"/>
          </w:tcPr>
          <w:p w14:paraId="0403B09D" w14:textId="410774C4"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72.66</w:t>
            </w:r>
          </w:p>
        </w:tc>
        <w:tc>
          <w:tcPr>
            <w:tcW w:w="984" w:type="dxa"/>
            <w:vAlign w:val="center"/>
          </w:tcPr>
          <w:p w14:paraId="1C9B1D2D" w14:textId="56176343"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1.02</w:t>
            </w:r>
          </w:p>
        </w:tc>
        <w:tc>
          <w:tcPr>
            <w:tcW w:w="965" w:type="dxa"/>
            <w:vAlign w:val="center"/>
          </w:tcPr>
          <w:p w14:paraId="05BB0C49" w14:textId="5A47D5EF"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1.77</w:t>
            </w:r>
          </w:p>
        </w:tc>
        <w:tc>
          <w:tcPr>
            <w:tcW w:w="922" w:type="dxa"/>
            <w:vAlign w:val="center"/>
          </w:tcPr>
          <w:p w14:paraId="73D30430" w14:textId="10E70E70" w:rsidR="00877CB7" w:rsidRPr="009F214D" w:rsidRDefault="00877CB7"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0.74</w:t>
            </w:r>
          </w:p>
        </w:tc>
      </w:tr>
      <w:tr w:rsidR="00877CB7" w:rsidRPr="009F214D" w14:paraId="42484673" w14:textId="77777777" w:rsidTr="00B933C9">
        <w:trPr>
          <w:trHeight w:val="20"/>
          <w:jc w:val="center"/>
        </w:trPr>
        <w:tc>
          <w:tcPr>
            <w:tcW w:w="581" w:type="dxa"/>
            <w:vAlign w:val="center"/>
          </w:tcPr>
          <w:p w14:paraId="38D54ECB" w14:textId="69C3863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6A3C81A8" w14:textId="0D01B18C"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2E4707EA" w14:textId="1505041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1564.00</w:t>
            </w:r>
          </w:p>
        </w:tc>
        <w:tc>
          <w:tcPr>
            <w:tcW w:w="963" w:type="dxa"/>
            <w:vAlign w:val="center"/>
          </w:tcPr>
          <w:p w14:paraId="7607557A" w14:textId="7C7B34C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1327.00</w:t>
            </w:r>
          </w:p>
        </w:tc>
        <w:tc>
          <w:tcPr>
            <w:tcW w:w="1440" w:type="dxa"/>
            <w:vAlign w:val="center"/>
          </w:tcPr>
          <w:p w14:paraId="12670F60" w14:textId="1DA4C69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-237.00</w:t>
            </w:r>
          </w:p>
        </w:tc>
        <w:tc>
          <w:tcPr>
            <w:tcW w:w="982" w:type="dxa"/>
            <w:vAlign w:val="center"/>
          </w:tcPr>
          <w:p w14:paraId="16C598A4" w14:textId="5563FC2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-15.15</w:t>
            </w:r>
          </w:p>
        </w:tc>
        <w:tc>
          <w:tcPr>
            <w:tcW w:w="984" w:type="dxa"/>
            <w:vAlign w:val="center"/>
          </w:tcPr>
          <w:p w14:paraId="357D78FC" w14:textId="77CD47D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1.99</w:t>
            </w:r>
          </w:p>
        </w:tc>
        <w:tc>
          <w:tcPr>
            <w:tcW w:w="965" w:type="dxa"/>
            <w:vAlign w:val="center"/>
          </w:tcPr>
          <w:p w14:paraId="2997383C" w14:textId="1949337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1.69</w:t>
            </w:r>
          </w:p>
        </w:tc>
        <w:tc>
          <w:tcPr>
            <w:tcW w:w="922" w:type="dxa"/>
            <w:vAlign w:val="center"/>
          </w:tcPr>
          <w:p w14:paraId="295523B9" w14:textId="2847E63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-0.30</w:t>
            </w:r>
          </w:p>
        </w:tc>
      </w:tr>
      <w:tr w:rsidR="00877CB7" w:rsidRPr="009F214D" w14:paraId="7E324FB1" w14:textId="77777777" w:rsidTr="00B933C9">
        <w:trPr>
          <w:trHeight w:val="20"/>
          <w:jc w:val="center"/>
        </w:trPr>
        <w:tc>
          <w:tcPr>
            <w:tcW w:w="581" w:type="dxa"/>
            <w:vAlign w:val="center"/>
          </w:tcPr>
          <w:p w14:paraId="2A73EDAD" w14:textId="6B283A4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3C71BDBF" w14:textId="014F9A52"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72890F31" w14:textId="65DFF30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335.00</w:t>
            </w:r>
          </w:p>
        </w:tc>
        <w:tc>
          <w:tcPr>
            <w:tcW w:w="963" w:type="dxa"/>
            <w:vAlign w:val="center"/>
          </w:tcPr>
          <w:p w14:paraId="0F18BD98" w14:textId="5B7A8EE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701.67</w:t>
            </w:r>
          </w:p>
        </w:tc>
        <w:tc>
          <w:tcPr>
            <w:tcW w:w="1440" w:type="dxa"/>
            <w:vAlign w:val="center"/>
          </w:tcPr>
          <w:p w14:paraId="432E2E2F" w14:textId="07C9574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366.67</w:t>
            </w:r>
          </w:p>
        </w:tc>
        <w:tc>
          <w:tcPr>
            <w:tcW w:w="982" w:type="dxa"/>
            <w:vAlign w:val="center"/>
          </w:tcPr>
          <w:p w14:paraId="5DAEA33B" w14:textId="52257E4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109.45</w:t>
            </w:r>
          </w:p>
        </w:tc>
        <w:tc>
          <w:tcPr>
            <w:tcW w:w="984" w:type="dxa"/>
            <w:vAlign w:val="center"/>
          </w:tcPr>
          <w:p w14:paraId="0FB8E654" w14:textId="036A5AF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0.88</w:t>
            </w:r>
          </w:p>
        </w:tc>
        <w:tc>
          <w:tcPr>
            <w:tcW w:w="965" w:type="dxa"/>
            <w:vAlign w:val="center"/>
          </w:tcPr>
          <w:p w14:paraId="4368DA77" w14:textId="222F674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1.84</w:t>
            </w:r>
          </w:p>
        </w:tc>
        <w:tc>
          <w:tcPr>
            <w:tcW w:w="922" w:type="dxa"/>
            <w:vAlign w:val="center"/>
          </w:tcPr>
          <w:p w14:paraId="2891D8AE" w14:textId="0F9AE51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0.96</w:t>
            </w:r>
          </w:p>
        </w:tc>
      </w:tr>
      <w:tr w:rsidR="00877CB7" w:rsidRPr="009F214D" w14:paraId="148E6FF8" w14:textId="77777777" w:rsidTr="00B933C9">
        <w:trPr>
          <w:trHeight w:val="20"/>
          <w:jc w:val="center"/>
        </w:trPr>
        <w:tc>
          <w:tcPr>
            <w:tcW w:w="581" w:type="dxa"/>
            <w:vAlign w:val="center"/>
          </w:tcPr>
          <w:p w14:paraId="19CA3ADE" w14:textId="376A452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7E410ED7" w14:textId="02EC9F26"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20E35727" w14:textId="4AA2397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327.00</w:t>
            </w:r>
          </w:p>
        </w:tc>
        <w:tc>
          <w:tcPr>
            <w:tcW w:w="963" w:type="dxa"/>
            <w:vAlign w:val="center"/>
          </w:tcPr>
          <w:p w14:paraId="4C932F2F" w14:textId="4C82663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361.23</w:t>
            </w:r>
          </w:p>
        </w:tc>
        <w:tc>
          <w:tcPr>
            <w:tcW w:w="1440" w:type="dxa"/>
            <w:vAlign w:val="center"/>
          </w:tcPr>
          <w:p w14:paraId="45860ADF" w14:textId="4198255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34.23</w:t>
            </w:r>
          </w:p>
        </w:tc>
        <w:tc>
          <w:tcPr>
            <w:tcW w:w="982" w:type="dxa"/>
            <w:vAlign w:val="center"/>
          </w:tcPr>
          <w:p w14:paraId="425BDCF6" w14:textId="04DE7BB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10.47</w:t>
            </w:r>
          </w:p>
        </w:tc>
        <w:tc>
          <w:tcPr>
            <w:tcW w:w="984" w:type="dxa"/>
            <w:vAlign w:val="center"/>
          </w:tcPr>
          <w:p w14:paraId="59389BF0" w14:textId="663DCD6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2.18</w:t>
            </w:r>
          </w:p>
        </w:tc>
        <w:tc>
          <w:tcPr>
            <w:tcW w:w="965" w:type="dxa"/>
            <w:vAlign w:val="center"/>
          </w:tcPr>
          <w:p w14:paraId="6BC32678" w14:textId="6BFE277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2.40</w:t>
            </w:r>
          </w:p>
        </w:tc>
        <w:tc>
          <w:tcPr>
            <w:tcW w:w="922" w:type="dxa"/>
            <w:vAlign w:val="center"/>
          </w:tcPr>
          <w:p w14:paraId="38A7B318" w14:textId="103DA0E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0.22</w:t>
            </w:r>
          </w:p>
        </w:tc>
      </w:tr>
      <w:tr w:rsidR="00877CB7" w:rsidRPr="009F214D" w14:paraId="228C698B" w14:textId="77777777" w:rsidTr="00B933C9">
        <w:trPr>
          <w:trHeight w:val="20"/>
          <w:jc w:val="center"/>
        </w:trPr>
        <w:tc>
          <w:tcPr>
            <w:tcW w:w="581" w:type="dxa"/>
            <w:vAlign w:val="center"/>
          </w:tcPr>
          <w:p w14:paraId="2B785CFF" w14:textId="7FB9C6A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43946EFD" w14:textId="150791C6"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3072BD46" w14:textId="5E7011F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325.00</w:t>
            </w:r>
          </w:p>
        </w:tc>
        <w:tc>
          <w:tcPr>
            <w:tcW w:w="963" w:type="dxa"/>
            <w:vAlign w:val="center"/>
          </w:tcPr>
          <w:p w14:paraId="3CD3E658" w14:textId="0C6D79E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564.56</w:t>
            </w:r>
          </w:p>
        </w:tc>
        <w:tc>
          <w:tcPr>
            <w:tcW w:w="1440" w:type="dxa"/>
            <w:vAlign w:val="center"/>
          </w:tcPr>
          <w:p w14:paraId="2838957D" w14:textId="5EE9AE7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239.56</w:t>
            </w:r>
          </w:p>
        </w:tc>
        <w:tc>
          <w:tcPr>
            <w:tcW w:w="982" w:type="dxa"/>
            <w:vAlign w:val="center"/>
          </w:tcPr>
          <w:p w14:paraId="1DCB95E2" w14:textId="45D5E8A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73.71</w:t>
            </w:r>
          </w:p>
        </w:tc>
        <w:tc>
          <w:tcPr>
            <w:tcW w:w="984" w:type="dxa"/>
            <w:vAlign w:val="center"/>
          </w:tcPr>
          <w:p w14:paraId="2641BECB" w14:textId="3A4A88E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0.78</w:t>
            </w:r>
          </w:p>
        </w:tc>
        <w:tc>
          <w:tcPr>
            <w:tcW w:w="965" w:type="dxa"/>
            <w:vAlign w:val="center"/>
          </w:tcPr>
          <w:p w14:paraId="4341345C" w14:textId="5873285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1.35</w:t>
            </w:r>
          </w:p>
        </w:tc>
        <w:tc>
          <w:tcPr>
            <w:tcW w:w="922" w:type="dxa"/>
            <w:vAlign w:val="center"/>
          </w:tcPr>
          <w:p w14:paraId="37827342" w14:textId="54E049D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0.57</w:t>
            </w:r>
          </w:p>
        </w:tc>
      </w:tr>
      <w:tr w:rsidR="00877CB7" w:rsidRPr="009F214D" w14:paraId="06503252" w14:textId="77777777" w:rsidTr="00B933C9">
        <w:trPr>
          <w:trHeight w:val="20"/>
          <w:jc w:val="center"/>
        </w:trPr>
        <w:tc>
          <w:tcPr>
            <w:tcW w:w="581" w:type="dxa"/>
            <w:vAlign w:val="center"/>
          </w:tcPr>
          <w:p w14:paraId="11880B6F" w14:textId="4DA72CF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2B2B662F" w14:textId="2174A38C"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3AFBF024" w14:textId="12B304F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334.00</w:t>
            </w:r>
          </w:p>
        </w:tc>
        <w:tc>
          <w:tcPr>
            <w:tcW w:w="963" w:type="dxa"/>
            <w:vAlign w:val="center"/>
          </w:tcPr>
          <w:p w14:paraId="6E387176" w14:textId="78D1EF5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413.76</w:t>
            </w:r>
          </w:p>
        </w:tc>
        <w:tc>
          <w:tcPr>
            <w:tcW w:w="1440" w:type="dxa"/>
            <w:vAlign w:val="center"/>
          </w:tcPr>
          <w:p w14:paraId="0665BAA6" w14:textId="28D7A94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79.76</w:t>
            </w:r>
          </w:p>
        </w:tc>
        <w:tc>
          <w:tcPr>
            <w:tcW w:w="982" w:type="dxa"/>
            <w:vAlign w:val="center"/>
          </w:tcPr>
          <w:p w14:paraId="07B632AC" w14:textId="74851BE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23.88</w:t>
            </w:r>
          </w:p>
        </w:tc>
        <w:tc>
          <w:tcPr>
            <w:tcW w:w="984" w:type="dxa"/>
            <w:vAlign w:val="center"/>
          </w:tcPr>
          <w:p w14:paraId="73C2A515" w14:textId="318D097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1.19</w:t>
            </w:r>
          </w:p>
        </w:tc>
        <w:tc>
          <w:tcPr>
            <w:tcW w:w="965" w:type="dxa"/>
            <w:vAlign w:val="center"/>
          </w:tcPr>
          <w:p w14:paraId="0D44041A" w14:textId="0AB2222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1.47</w:t>
            </w:r>
          </w:p>
        </w:tc>
        <w:tc>
          <w:tcPr>
            <w:tcW w:w="922" w:type="dxa"/>
            <w:vAlign w:val="center"/>
          </w:tcPr>
          <w:p w14:paraId="055E1B76" w14:textId="6ED61EC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0.28</w:t>
            </w:r>
          </w:p>
        </w:tc>
      </w:tr>
      <w:tr w:rsidR="00877CB7" w:rsidRPr="009F214D" w14:paraId="132614B5" w14:textId="77777777" w:rsidTr="00B933C9">
        <w:trPr>
          <w:trHeight w:val="20"/>
          <w:jc w:val="center"/>
        </w:trPr>
        <w:tc>
          <w:tcPr>
            <w:tcW w:w="581" w:type="dxa"/>
            <w:vAlign w:val="center"/>
          </w:tcPr>
          <w:p w14:paraId="387ED4D9" w14:textId="36F5306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74B85A6D" w14:textId="774ED8A6"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5F720061" w14:textId="26DA547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914.00</w:t>
            </w:r>
          </w:p>
        </w:tc>
        <w:tc>
          <w:tcPr>
            <w:tcW w:w="963" w:type="dxa"/>
            <w:vAlign w:val="center"/>
          </w:tcPr>
          <w:p w14:paraId="338581F3" w14:textId="20E70BF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1196.55</w:t>
            </w:r>
          </w:p>
        </w:tc>
        <w:tc>
          <w:tcPr>
            <w:tcW w:w="1440" w:type="dxa"/>
            <w:vAlign w:val="center"/>
          </w:tcPr>
          <w:p w14:paraId="23D712A8" w14:textId="5AC28EB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282.55</w:t>
            </w:r>
          </w:p>
        </w:tc>
        <w:tc>
          <w:tcPr>
            <w:tcW w:w="982" w:type="dxa"/>
            <w:vAlign w:val="center"/>
          </w:tcPr>
          <w:p w14:paraId="0CF38689" w14:textId="74EA051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30.91</w:t>
            </w:r>
          </w:p>
        </w:tc>
        <w:tc>
          <w:tcPr>
            <w:tcW w:w="984" w:type="dxa"/>
            <w:vAlign w:val="center"/>
          </w:tcPr>
          <w:p w14:paraId="757CDE87" w14:textId="50D1C11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1.55</w:t>
            </w:r>
          </w:p>
        </w:tc>
        <w:tc>
          <w:tcPr>
            <w:tcW w:w="965" w:type="dxa"/>
            <w:vAlign w:val="center"/>
          </w:tcPr>
          <w:p w14:paraId="5271DA0D" w14:textId="19EA17E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2.03</w:t>
            </w:r>
          </w:p>
        </w:tc>
        <w:tc>
          <w:tcPr>
            <w:tcW w:w="922" w:type="dxa"/>
            <w:vAlign w:val="center"/>
          </w:tcPr>
          <w:p w14:paraId="74C70C0C" w14:textId="44A4C73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0.48</w:t>
            </w:r>
          </w:p>
        </w:tc>
      </w:tr>
      <w:tr w:rsidR="00877CB7" w:rsidRPr="009F214D" w14:paraId="28E329F7" w14:textId="77777777" w:rsidTr="00B933C9">
        <w:trPr>
          <w:trHeight w:val="20"/>
          <w:jc w:val="center"/>
        </w:trPr>
        <w:tc>
          <w:tcPr>
            <w:tcW w:w="581" w:type="dxa"/>
            <w:vAlign w:val="center"/>
          </w:tcPr>
          <w:p w14:paraId="09B6C3E8" w14:textId="2DCDB59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43866277" w14:textId="47BCE316"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157C3823" w14:textId="34608C6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915.00</w:t>
            </w:r>
          </w:p>
        </w:tc>
        <w:tc>
          <w:tcPr>
            <w:tcW w:w="963" w:type="dxa"/>
            <w:vAlign w:val="center"/>
          </w:tcPr>
          <w:p w14:paraId="59826670" w14:textId="76F7E55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888.83</w:t>
            </w:r>
          </w:p>
        </w:tc>
        <w:tc>
          <w:tcPr>
            <w:tcW w:w="1440" w:type="dxa"/>
            <w:vAlign w:val="center"/>
          </w:tcPr>
          <w:p w14:paraId="7AA0BAB7" w14:textId="1F275B0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-26.17</w:t>
            </w:r>
          </w:p>
        </w:tc>
        <w:tc>
          <w:tcPr>
            <w:tcW w:w="982" w:type="dxa"/>
            <w:vAlign w:val="center"/>
          </w:tcPr>
          <w:p w14:paraId="0327EB21" w14:textId="43DD178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-2.86</w:t>
            </w:r>
          </w:p>
        </w:tc>
        <w:tc>
          <w:tcPr>
            <w:tcW w:w="984" w:type="dxa"/>
            <w:vAlign w:val="center"/>
          </w:tcPr>
          <w:p w14:paraId="2D741327" w14:textId="13DB8D8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1.30</w:t>
            </w:r>
          </w:p>
        </w:tc>
        <w:tc>
          <w:tcPr>
            <w:tcW w:w="965" w:type="dxa"/>
            <w:vAlign w:val="center"/>
          </w:tcPr>
          <w:p w14:paraId="590F818E" w14:textId="68D1297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1.26</w:t>
            </w:r>
          </w:p>
        </w:tc>
        <w:tc>
          <w:tcPr>
            <w:tcW w:w="922" w:type="dxa"/>
            <w:vAlign w:val="center"/>
          </w:tcPr>
          <w:p w14:paraId="42EA12E1" w14:textId="3B30A7A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-0.04</w:t>
            </w:r>
          </w:p>
        </w:tc>
      </w:tr>
      <w:tr w:rsidR="00877CB7" w:rsidRPr="009F214D" w14:paraId="53F4DF19" w14:textId="77777777" w:rsidTr="00B933C9">
        <w:trPr>
          <w:trHeight w:val="20"/>
          <w:jc w:val="center"/>
        </w:trPr>
        <w:tc>
          <w:tcPr>
            <w:tcW w:w="581" w:type="dxa"/>
            <w:vAlign w:val="center"/>
          </w:tcPr>
          <w:p w14:paraId="7B3B9AF9" w14:textId="741F95A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38B544AF" w14:textId="7ABC0944"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1D18BBBA" w14:textId="1ABC768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465.00</w:t>
            </w:r>
          </w:p>
        </w:tc>
        <w:tc>
          <w:tcPr>
            <w:tcW w:w="963" w:type="dxa"/>
            <w:vAlign w:val="center"/>
          </w:tcPr>
          <w:p w14:paraId="58E6935A" w14:textId="4B1B15F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613.72</w:t>
            </w:r>
          </w:p>
        </w:tc>
        <w:tc>
          <w:tcPr>
            <w:tcW w:w="1440" w:type="dxa"/>
            <w:vAlign w:val="center"/>
          </w:tcPr>
          <w:p w14:paraId="20AFDA29" w14:textId="6927970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148.72</w:t>
            </w:r>
          </w:p>
        </w:tc>
        <w:tc>
          <w:tcPr>
            <w:tcW w:w="982" w:type="dxa"/>
            <w:vAlign w:val="center"/>
          </w:tcPr>
          <w:p w14:paraId="1551110B" w14:textId="2ED9B4A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31.98</w:t>
            </w:r>
          </w:p>
        </w:tc>
        <w:tc>
          <w:tcPr>
            <w:tcW w:w="984" w:type="dxa"/>
            <w:vAlign w:val="center"/>
          </w:tcPr>
          <w:p w14:paraId="620784AC" w14:textId="70F3F44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1.59</w:t>
            </w:r>
          </w:p>
        </w:tc>
        <w:tc>
          <w:tcPr>
            <w:tcW w:w="965" w:type="dxa"/>
            <w:vAlign w:val="center"/>
          </w:tcPr>
          <w:p w14:paraId="5579A4BB" w14:textId="59EE6B6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2.10</w:t>
            </w:r>
          </w:p>
        </w:tc>
        <w:tc>
          <w:tcPr>
            <w:tcW w:w="922" w:type="dxa"/>
            <w:vAlign w:val="center"/>
          </w:tcPr>
          <w:p w14:paraId="36B18981" w14:textId="2A9B501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0.51</w:t>
            </w:r>
          </w:p>
        </w:tc>
      </w:tr>
      <w:tr w:rsidR="00877CB7" w:rsidRPr="009F214D" w14:paraId="6F1C4151" w14:textId="77777777" w:rsidTr="00B933C9">
        <w:trPr>
          <w:trHeight w:val="20"/>
          <w:jc w:val="center"/>
        </w:trPr>
        <w:tc>
          <w:tcPr>
            <w:tcW w:w="581" w:type="dxa"/>
            <w:vAlign w:val="center"/>
          </w:tcPr>
          <w:p w14:paraId="36A419EA" w14:textId="2A02B95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5082ED7D" w14:textId="458DDEDB"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49DDB930" w14:textId="6EAB48A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620.00</w:t>
            </w:r>
          </w:p>
        </w:tc>
        <w:tc>
          <w:tcPr>
            <w:tcW w:w="963" w:type="dxa"/>
            <w:vAlign w:val="center"/>
          </w:tcPr>
          <w:p w14:paraId="5A164C0A" w14:textId="3C0E36D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407.34</w:t>
            </w:r>
          </w:p>
        </w:tc>
        <w:tc>
          <w:tcPr>
            <w:tcW w:w="1440" w:type="dxa"/>
            <w:vAlign w:val="center"/>
          </w:tcPr>
          <w:p w14:paraId="2470012A" w14:textId="085B5ED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-212.66</w:t>
            </w:r>
          </w:p>
        </w:tc>
        <w:tc>
          <w:tcPr>
            <w:tcW w:w="982" w:type="dxa"/>
            <w:vAlign w:val="center"/>
          </w:tcPr>
          <w:p w14:paraId="77E96073" w14:textId="3451BAB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-34.30</w:t>
            </w:r>
          </w:p>
        </w:tc>
        <w:tc>
          <w:tcPr>
            <w:tcW w:w="984" w:type="dxa"/>
            <w:vAlign w:val="center"/>
          </w:tcPr>
          <w:p w14:paraId="4F2624D2" w14:textId="3E75C8B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3.32</w:t>
            </w:r>
          </w:p>
        </w:tc>
        <w:tc>
          <w:tcPr>
            <w:tcW w:w="965" w:type="dxa"/>
            <w:vAlign w:val="center"/>
          </w:tcPr>
          <w:p w14:paraId="055F6EAC" w14:textId="47A0F49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2.18</w:t>
            </w:r>
          </w:p>
        </w:tc>
        <w:tc>
          <w:tcPr>
            <w:tcW w:w="922" w:type="dxa"/>
            <w:vAlign w:val="center"/>
          </w:tcPr>
          <w:p w14:paraId="392582EB" w14:textId="04D3E08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-1.14</w:t>
            </w:r>
          </w:p>
        </w:tc>
      </w:tr>
      <w:tr w:rsidR="00877CB7" w:rsidRPr="009F214D" w14:paraId="5F285A1C" w14:textId="77777777" w:rsidTr="00B933C9">
        <w:trPr>
          <w:trHeight w:val="20"/>
          <w:jc w:val="center"/>
        </w:trPr>
        <w:tc>
          <w:tcPr>
            <w:tcW w:w="581" w:type="dxa"/>
            <w:vAlign w:val="center"/>
          </w:tcPr>
          <w:p w14:paraId="134894F4" w14:textId="2A15CE7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62870B1D" w14:textId="219FAE50"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71C23365" w14:textId="05EEF42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555.00</w:t>
            </w:r>
          </w:p>
        </w:tc>
        <w:tc>
          <w:tcPr>
            <w:tcW w:w="963" w:type="dxa"/>
            <w:vAlign w:val="center"/>
          </w:tcPr>
          <w:p w14:paraId="423A9E0E" w14:textId="3B1A364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668.49</w:t>
            </w:r>
          </w:p>
        </w:tc>
        <w:tc>
          <w:tcPr>
            <w:tcW w:w="1440" w:type="dxa"/>
            <w:vAlign w:val="center"/>
          </w:tcPr>
          <w:p w14:paraId="5DCE5C5F" w14:textId="77A0B95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113.49</w:t>
            </w:r>
          </w:p>
        </w:tc>
        <w:tc>
          <w:tcPr>
            <w:tcW w:w="982" w:type="dxa"/>
            <w:vAlign w:val="center"/>
          </w:tcPr>
          <w:p w14:paraId="50BA87D2" w14:textId="6BF2913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20.45</w:t>
            </w:r>
          </w:p>
        </w:tc>
        <w:tc>
          <w:tcPr>
            <w:tcW w:w="984" w:type="dxa"/>
            <w:vAlign w:val="center"/>
          </w:tcPr>
          <w:p w14:paraId="1EF95EEE" w14:textId="53B928A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1.39</w:t>
            </w:r>
          </w:p>
        </w:tc>
        <w:tc>
          <w:tcPr>
            <w:tcW w:w="965" w:type="dxa"/>
            <w:vAlign w:val="center"/>
          </w:tcPr>
          <w:p w14:paraId="5FBB898E" w14:textId="015A0B8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1.68</w:t>
            </w:r>
          </w:p>
        </w:tc>
        <w:tc>
          <w:tcPr>
            <w:tcW w:w="922" w:type="dxa"/>
            <w:vAlign w:val="center"/>
          </w:tcPr>
          <w:p w14:paraId="3898F629" w14:textId="7679FB7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0.29</w:t>
            </w:r>
          </w:p>
        </w:tc>
      </w:tr>
      <w:tr w:rsidR="00877CB7" w:rsidRPr="009F214D" w14:paraId="553BB75D" w14:textId="77777777" w:rsidTr="00B933C9">
        <w:trPr>
          <w:trHeight w:val="20"/>
          <w:jc w:val="center"/>
        </w:trPr>
        <w:tc>
          <w:tcPr>
            <w:tcW w:w="581" w:type="dxa"/>
            <w:vAlign w:val="center"/>
          </w:tcPr>
          <w:p w14:paraId="5301F83A" w14:textId="6EF64B5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0D9C9E0B" w14:textId="79B63428"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4C67D5BA" w14:textId="5DFBC8A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1266.00</w:t>
            </w:r>
          </w:p>
        </w:tc>
        <w:tc>
          <w:tcPr>
            <w:tcW w:w="963" w:type="dxa"/>
            <w:vAlign w:val="center"/>
          </w:tcPr>
          <w:p w14:paraId="467F1038" w14:textId="1F4DC50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772.49</w:t>
            </w:r>
          </w:p>
        </w:tc>
        <w:tc>
          <w:tcPr>
            <w:tcW w:w="1440" w:type="dxa"/>
            <w:vAlign w:val="center"/>
          </w:tcPr>
          <w:p w14:paraId="139E1168" w14:textId="058D4C6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-493.51</w:t>
            </w:r>
          </w:p>
        </w:tc>
        <w:tc>
          <w:tcPr>
            <w:tcW w:w="982" w:type="dxa"/>
            <w:vAlign w:val="center"/>
          </w:tcPr>
          <w:p w14:paraId="320E8D30" w14:textId="18B8EC9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-38.98</w:t>
            </w:r>
          </w:p>
        </w:tc>
        <w:tc>
          <w:tcPr>
            <w:tcW w:w="984" w:type="dxa"/>
            <w:vAlign w:val="center"/>
          </w:tcPr>
          <w:p w14:paraId="734B2C12" w14:textId="095999F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2.39</w:t>
            </w:r>
          </w:p>
        </w:tc>
        <w:tc>
          <w:tcPr>
            <w:tcW w:w="965" w:type="dxa"/>
            <w:vAlign w:val="center"/>
          </w:tcPr>
          <w:p w14:paraId="25E6B33D" w14:textId="4D74D0F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1.46</w:t>
            </w:r>
          </w:p>
        </w:tc>
        <w:tc>
          <w:tcPr>
            <w:tcW w:w="922" w:type="dxa"/>
            <w:vAlign w:val="center"/>
          </w:tcPr>
          <w:p w14:paraId="1E76F903" w14:textId="1581F9C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-0.93</w:t>
            </w:r>
          </w:p>
        </w:tc>
      </w:tr>
      <w:tr w:rsidR="00877CB7" w:rsidRPr="009F214D" w14:paraId="7F3ED591" w14:textId="77777777" w:rsidTr="00B933C9">
        <w:trPr>
          <w:trHeight w:val="20"/>
          <w:jc w:val="center"/>
        </w:trPr>
        <w:tc>
          <w:tcPr>
            <w:tcW w:w="581" w:type="dxa"/>
            <w:vAlign w:val="center"/>
          </w:tcPr>
          <w:p w14:paraId="5EC79DA1" w14:textId="2894057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13</w:t>
            </w:r>
          </w:p>
        </w:tc>
        <w:tc>
          <w:tcPr>
            <w:tcW w:w="1339" w:type="dxa"/>
            <w:vAlign w:val="center"/>
          </w:tcPr>
          <w:p w14:paraId="2AF71ED4" w14:textId="51A2DF14"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color w:val="1A1C1E"/>
                <w:sz w:val="16"/>
                <w:szCs w:val="16"/>
              </w:rPr>
              <w:t>Uttar Pradesh</w:t>
            </w:r>
          </w:p>
        </w:tc>
        <w:tc>
          <w:tcPr>
            <w:tcW w:w="896" w:type="dxa"/>
            <w:vAlign w:val="center"/>
          </w:tcPr>
          <w:p w14:paraId="65667B30" w14:textId="7054E03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1979.00</w:t>
            </w:r>
          </w:p>
        </w:tc>
        <w:tc>
          <w:tcPr>
            <w:tcW w:w="963" w:type="dxa"/>
            <w:vAlign w:val="center"/>
          </w:tcPr>
          <w:p w14:paraId="2790C7EA" w14:textId="032AE25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1590.08</w:t>
            </w:r>
          </w:p>
        </w:tc>
        <w:tc>
          <w:tcPr>
            <w:tcW w:w="1440" w:type="dxa"/>
            <w:vAlign w:val="center"/>
          </w:tcPr>
          <w:p w14:paraId="78522FED" w14:textId="1F3B0D2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-388.92</w:t>
            </w:r>
          </w:p>
        </w:tc>
        <w:tc>
          <w:tcPr>
            <w:tcW w:w="982" w:type="dxa"/>
            <w:vAlign w:val="center"/>
          </w:tcPr>
          <w:p w14:paraId="040581B9" w14:textId="3773BB2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-19.65</w:t>
            </w:r>
          </w:p>
        </w:tc>
        <w:tc>
          <w:tcPr>
            <w:tcW w:w="984" w:type="dxa"/>
            <w:vAlign w:val="center"/>
          </w:tcPr>
          <w:p w14:paraId="624E5BF7" w14:textId="6DDFA3E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1.59</w:t>
            </w:r>
          </w:p>
        </w:tc>
        <w:tc>
          <w:tcPr>
            <w:tcW w:w="965" w:type="dxa"/>
            <w:vAlign w:val="center"/>
          </w:tcPr>
          <w:p w14:paraId="732AF0B0" w14:textId="37A0B65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1.28</w:t>
            </w:r>
          </w:p>
        </w:tc>
        <w:tc>
          <w:tcPr>
            <w:tcW w:w="922" w:type="dxa"/>
            <w:vAlign w:val="center"/>
          </w:tcPr>
          <w:p w14:paraId="51608799" w14:textId="2B80934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-0.31</w:t>
            </w:r>
          </w:p>
        </w:tc>
      </w:tr>
      <w:tr w:rsidR="00877CB7" w:rsidRPr="009F214D" w14:paraId="5512628E" w14:textId="77777777" w:rsidTr="00B933C9">
        <w:trPr>
          <w:trHeight w:val="20"/>
          <w:jc w:val="center"/>
        </w:trPr>
        <w:tc>
          <w:tcPr>
            <w:tcW w:w="581" w:type="dxa"/>
            <w:vAlign w:val="center"/>
          </w:tcPr>
          <w:p w14:paraId="56957279" w14:textId="3D5BBA87"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14</w:t>
            </w:r>
          </w:p>
        </w:tc>
        <w:tc>
          <w:tcPr>
            <w:tcW w:w="1339" w:type="dxa"/>
            <w:vAlign w:val="center"/>
          </w:tcPr>
          <w:p w14:paraId="3E556054" w14:textId="030F97D3" w:rsidR="00877CB7" w:rsidRPr="001B4ADF" w:rsidRDefault="00877CB7" w:rsidP="00877CB7">
            <w:pPr>
              <w:tabs>
                <w:tab w:val="left" w:pos="2805"/>
              </w:tabs>
              <w:rPr>
                <w:rFonts w:ascii="Times New Roman" w:hAnsi="Times New Roman" w:cs="Times New Roman"/>
                <w:color w:val="1A1C1E"/>
                <w:sz w:val="16"/>
                <w:szCs w:val="16"/>
              </w:rPr>
            </w:pPr>
            <w:r w:rsidRPr="001B4ADF">
              <w:rPr>
                <w:rFonts w:ascii="Times New Roman" w:hAnsi="Times New Roman" w:cs="Times New Roman"/>
                <w:color w:val="1A1C1E"/>
                <w:sz w:val="16"/>
                <w:szCs w:val="16"/>
              </w:rPr>
              <w:t>West Bengal</w:t>
            </w:r>
          </w:p>
        </w:tc>
        <w:tc>
          <w:tcPr>
            <w:tcW w:w="896" w:type="dxa"/>
            <w:vAlign w:val="center"/>
          </w:tcPr>
          <w:p w14:paraId="6C5D3E38" w14:textId="084037C6"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1034.00</w:t>
            </w:r>
          </w:p>
        </w:tc>
        <w:tc>
          <w:tcPr>
            <w:tcW w:w="963" w:type="dxa"/>
            <w:vAlign w:val="center"/>
          </w:tcPr>
          <w:p w14:paraId="5028E407" w14:textId="22A84A4D"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700.23</w:t>
            </w:r>
          </w:p>
        </w:tc>
        <w:tc>
          <w:tcPr>
            <w:tcW w:w="1440" w:type="dxa"/>
            <w:vAlign w:val="center"/>
          </w:tcPr>
          <w:p w14:paraId="4BC0B9C8" w14:textId="2D372C41"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-333.77</w:t>
            </w:r>
          </w:p>
        </w:tc>
        <w:tc>
          <w:tcPr>
            <w:tcW w:w="982" w:type="dxa"/>
            <w:vAlign w:val="center"/>
          </w:tcPr>
          <w:p w14:paraId="3BA4144F" w14:textId="38A97E5C"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-32.28</w:t>
            </w:r>
          </w:p>
        </w:tc>
        <w:tc>
          <w:tcPr>
            <w:tcW w:w="984" w:type="dxa"/>
            <w:vAlign w:val="center"/>
          </w:tcPr>
          <w:p w14:paraId="20ABEEB2" w14:textId="59616F37"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1.70</w:t>
            </w:r>
          </w:p>
        </w:tc>
        <w:tc>
          <w:tcPr>
            <w:tcW w:w="965" w:type="dxa"/>
            <w:vAlign w:val="center"/>
          </w:tcPr>
          <w:p w14:paraId="7EF0EDE3" w14:textId="09F486C5"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1.15</w:t>
            </w:r>
          </w:p>
        </w:tc>
        <w:tc>
          <w:tcPr>
            <w:tcW w:w="922" w:type="dxa"/>
            <w:vAlign w:val="center"/>
          </w:tcPr>
          <w:p w14:paraId="7BE32BC0" w14:textId="04E2FBBA"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-0.55</w:t>
            </w:r>
          </w:p>
        </w:tc>
      </w:tr>
      <w:tr w:rsidR="00877CB7" w:rsidRPr="009F214D" w14:paraId="6DAE2905" w14:textId="77777777" w:rsidTr="00B933C9">
        <w:trPr>
          <w:trHeight w:val="20"/>
          <w:jc w:val="center"/>
        </w:trPr>
        <w:tc>
          <w:tcPr>
            <w:tcW w:w="581" w:type="dxa"/>
            <w:vAlign w:val="center"/>
          </w:tcPr>
          <w:p w14:paraId="1CE6AFBD" w14:textId="4D68A518"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14</w:t>
            </w:r>
          </w:p>
        </w:tc>
        <w:tc>
          <w:tcPr>
            <w:tcW w:w="1339" w:type="dxa"/>
            <w:vAlign w:val="center"/>
          </w:tcPr>
          <w:p w14:paraId="58F0A75F" w14:textId="4292625C" w:rsidR="00877CB7" w:rsidRPr="001B4ADF" w:rsidRDefault="00877CB7" w:rsidP="00877CB7">
            <w:pPr>
              <w:tabs>
                <w:tab w:val="left" w:pos="2805"/>
              </w:tabs>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Major States</w:t>
            </w:r>
          </w:p>
        </w:tc>
        <w:tc>
          <w:tcPr>
            <w:tcW w:w="896" w:type="dxa"/>
            <w:vAlign w:val="center"/>
          </w:tcPr>
          <w:p w14:paraId="2351CCD1" w14:textId="04D438B2"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11242.00</w:t>
            </w:r>
          </w:p>
        </w:tc>
        <w:tc>
          <w:tcPr>
            <w:tcW w:w="963" w:type="dxa"/>
            <w:vAlign w:val="center"/>
          </w:tcPr>
          <w:p w14:paraId="142B3795" w14:textId="5C8FACE6"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11257.47</w:t>
            </w:r>
          </w:p>
        </w:tc>
        <w:tc>
          <w:tcPr>
            <w:tcW w:w="1440" w:type="dxa"/>
            <w:vAlign w:val="center"/>
          </w:tcPr>
          <w:p w14:paraId="590017CF" w14:textId="0EE8E227"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15.47</w:t>
            </w:r>
          </w:p>
        </w:tc>
        <w:tc>
          <w:tcPr>
            <w:tcW w:w="982" w:type="dxa"/>
            <w:vAlign w:val="center"/>
          </w:tcPr>
          <w:p w14:paraId="739E4161" w14:textId="1738A98B"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0.14</w:t>
            </w:r>
          </w:p>
        </w:tc>
        <w:tc>
          <w:tcPr>
            <w:tcW w:w="984" w:type="dxa"/>
            <w:vAlign w:val="center"/>
          </w:tcPr>
          <w:p w14:paraId="193F16A2" w14:textId="73CCF5E3"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1.57</w:t>
            </w:r>
          </w:p>
        </w:tc>
        <w:tc>
          <w:tcPr>
            <w:tcW w:w="965" w:type="dxa"/>
            <w:vAlign w:val="center"/>
          </w:tcPr>
          <w:p w14:paraId="24540A03" w14:textId="1901EEBE"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1.57</w:t>
            </w:r>
          </w:p>
        </w:tc>
        <w:tc>
          <w:tcPr>
            <w:tcW w:w="922" w:type="dxa"/>
            <w:vAlign w:val="center"/>
          </w:tcPr>
          <w:p w14:paraId="4710E1AB" w14:textId="7A30AA70" w:rsidR="00877CB7" w:rsidRPr="001B4ADF" w:rsidRDefault="00877CB7" w:rsidP="00877CB7">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0.00</w:t>
            </w:r>
          </w:p>
        </w:tc>
      </w:tr>
      <w:tr w:rsidR="00877CB7" w:rsidRPr="009F214D" w14:paraId="0163D524" w14:textId="77777777" w:rsidTr="00E239A8">
        <w:trPr>
          <w:trHeight w:val="20"/>
          <w:jc w:val="center"/>
        </w:trPr>
        <w:tc>
          <w:tcPr>
            <w:tcW w:w="9072" w:type="dxa"/>
            <w:gridSpan w:val="9"/>
            <w:vAlign w:val="center"/>
          </w:tcPr>
          <w:p w14:paraId="02D6B17E" w14:textId="4698E397" w:rsidR="00877CB7" w:rsidRPr="001B4ADF" w:rsidRDefault="00877CB7" w:rsidP="00877CB7">
            <w:pPr>
              <w:tabs>
                <w:tab w:val="left" w:pos="2805"/>
              </w:tabs>
              <w:jc w:val="center"/>
              <w:rPr>
                <w:rFonts w:ascii="Times New Roman" w:hAnsi="Times New Roman" w:cs="Times New Roman"/>
                <w:b/>
                <w:bCs/>
                <w:color w:val="1A1C1E"/>
                <w:sz w:val="16"/>
                <w:szCs w:val="16"/>
              </w:rPr>
            </w:pPr>
            <w:r w:rsidRPr="00877CB7">
              <w:rPr>
                <w:rFonts w:ascii="Times New Roman" w:hAnsi="Times New Roman" w:cs="Times New Roman"/>
                <w:b/>
                <w:bCs/>
                <w:sz w:val="20"/>
                <w:szCs w:val="20"/>
              </w:rPr>
              <w:t xml:space="preserve">Expenditure Category: Fire Protection </w:t>
            </w:r>
            <w:proofErr w:type="gramStart"/>
            <w:r w:rsidRPr="00877CB7">
              <w:rPr>
                <w:rFonts w:ascii="Times New Roman" w:hAnsi="Times New Roman" w:cs="Times New Roman"/>
                <w:b/>
                <w:bCs/>
                <w:sz w:val="20"/>
                <w:szCs w:val="20"/>
              </w:rPr>
              <w:t>And</w:t>
            </w:r>
            <w:proofErr w:type="gramEnd"/>
            <w:r w:rsidRPr="00877CB7">
              <w:rPr>
                <w:rFonts w:ascii="Times New Roman" w:hAnsi="Times New Roman" w:cs="Times New Roman"/>
                <w:b/>
                <w:bCs/>
                <w:sz w:val="20"/>
                <w:szCs w:val="20"/>
              </w:rPr>
              <w:t xml:space="preserve"> Control</w:t>
            </w:r>
          </w:p>
        </w:tc>
      </w:tr>
      <w:tr w:rsidR="00877CB7" w:rsidRPr="009F214D" w14:paraId="656466E7" w14:textId="77777777" w:rsidTr="00B933C9">
        <w:trPr>
          <w:trHeight w:val="20"/>
          <w:jc w:val="center"/>
        </w:trPr>
        <w:tc>
          <w:tcPr>
            <w:tcW w:w="581" w:type="dxa"/>
            <w:vAlign w:val="center"/>
          </w:tcPr>
          <w:p w14:paraId="49FAE4D1" w14:textId="5923A12C"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1</w:t>
            </w:r>
          </w:p>
        </w:tc>
        <w:tc>
          <w:tcPr>
            <w:tcW w:w="1339" w:type="dxa"/>
            <w:vAlign w:val="center"/>
          </w:tcPr>
          <w:p w14:paraId="3928F74C" w14:textId="46EAF378" w:rsidR="00877CB7" w:rsidRPr="001B4ADF" w:rsidRDefault="00877CB7" w:rsidP="00877CB7">
            <w:pPr>
              <w:tabs>
                <w:tab w:val="left" w:pos="2805"/>
              </w:tabs>
              <w:rPr>
                <w:rFonts w:ascii="Times New Roman" w:hAnsi="Times New Roman" w:cs="Times New Roman"/>
                <w:b/>
                <w:bCs/>
                <w:color w:val="1A1C1E"/>
                <w:sz w:val="16"/>
                <w:szCs w:val="16"/>
              </w:rPr>
            </w:pPr>
            <w:r w:rsidRPr="001B4ADF">
              <w:rPr>
                <w:rFonts w:ascii="Times New Roman" w:hAnsi="Times New Roman" w:cs="Times New Roman"/>
                <w:sz w:val="16"/>
                <w:szCs w:val="16"/>
              </w:rPr>
              <w:t>Andhra Pradesh</w:t>
            </w:r>
          </w:p>
        </w:tc>
        <w:tc>
          <w:tcPr>
            <w:tcW w:w="896" w:type="dxa"/>
            <w:vAlign w:val="center"/>
          </w:tcPr>
          <w:p w14:paraId="73A4027C" w14:textId="3E8B1E4E"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577.00</w:t>
            </w:r>
          </w:p>
        </w:tc>
        <w:tc>
          <w:tcPr>
            <w:tcW w:w="963" w:type="dxa"/>
            <w:vAlign w:val="center"/>
          </w:tcPr>
          <w:p w14:paraId="7600541E" w14:textId="7A167CC2"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254.94</w:t>
            </w:r>
          </w:p>
        </w:tc>
        <w:tc>
          <w:tcPr>
            <w:tcW w:w="1440" w:type="dxa"/>
            <w:vAlign w:val="center"/>
          </w:tcPr>
          <w:p w14:paraId="05A7F385" w14:textId="4BBD2A4B"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-322.06</w:t>
            </w:r>
          </w:p>
        </w:tc>
        <w:tc>
          <w:tcPr>
            <w:tcW w:w="982" w:type="dxa"/>
            <w:vAlign w:val="center"/>
          </w:tcPr>
          <w:p w14:paraId="1735E918" w14:textId="330C56FD"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-55.82</w:t>
            </w:r>
          </w:p>
        </w:tc>
        <w:tc>
          <w:tcPr>
            <w:tcW w:w="984" w:type="dxa"/>
            <w:vAlign w:val="center"/>
          </w:tcPr>
          <w:p w14:paraId="0A3C04E7" w14:textId="7B71F648"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0.97</w:t>
            </w:r>
          </w:p>
        </w:tc>
        <w:tc>
          <w:tcPr>
            <w:tcW w:w="965" w:type="dxa"/>
            <w:vAlign w:val="center"/>
          </w:tcPr>
          <w:p w14:paraId="3B94DAD3" w14:textId="5E022835"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0.43</w:t>
            </w:r>
          </w:p>
        </w:tc>
        <w:tc>
          <w:tcPr>
            <w:tcW w:w="922" w:type="dxa"/>
            <w:vAlign w:val="center"/>
          </w:tcPr>
          <w:p w14:paraId="589BA060" w14:textId="13CD636E" w:rsidR="00877CB7" w:rsidRPr="001B4ADF" w:rsidRDefault="00877CB7" w:rsidP="00877CB7">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-0.54</w:t>
            </w:r>
          </w:p>
        </w:tc>
      </w:tr>
      <w:tr w:rsidR="00877CB7" w:rsidRPr="009F214D" w14:paraId="2303DD9A" w14:textId="77777777" w:rsidTr="00B933C9">
        <w:trPr>
          <w:trHeight w:val="20"/>
          <w:jc w:val="center"/>
        </w:trPr>
        <w:tc>
          <w:tcPr>
            <w:tcW w:w="581" w:type="dxa"/>
            <w:vAlign w:val="center"/>
          </w:tcPr>
          <w:p w14:paraId="41B3F305" w14:textId="66592F5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2F7EDCFC" w14:textId="067AFB80"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30F0850B" w14:textId="370F028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44.00</w:t>
            </w:r>
          </w:p>
        </w:tc>
        <w:tc>
          <w:tcPr>
            <w:tcW w:w="963" w:type="dxa"/>
            <w:vAlign w:val="center"/>
          </w:tcPr>
          <w:p w14:paraId="162CB424" w14:textId="55E0517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363.08</w:t>
            </w:r>
          </w:p>
        </w:tc>
        <w:tc>
          <w:tcPr>
            <w:tcW w:w="1440" w:type="dxa"/>
            <w:vAlign w:val="center"/>
          </w:tcPr>
          <w:p w14:paraId="4C0784F2" w14:textId="19A19E4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319.08</w:t>
            </w:r>
          </w:p>
        </w:tc>
        <w:tc>
          <w:tcPr>
            <w:tcW w:w="982" w:type="dxa"/>
            <w:vAlign w:val="center"/>
          </w:tcPr>
          <w:p w14:paraId="578416C6" w14:textId="6841695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725.19</w:t>
            </w:r>
          </w:p>
        </w:tc>
        <w:tc>
          <w:tcPr>
            <w:tcW w:w="984" w:type="dxa"/>
            <w:vAlign w:val="center"/>
          </w:tcPr>
          <w:p w14:paraId="016A8220" w14:textId="3073629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0.06</w:t>
            </w:r>
          </w:p>
        </w:tc>
        <w:tc>
          <w:tcPr>
            <w:tcW w:w="965" w:type="dxa"/>
            <w:vAlign w:val="center"/>
          </w:tcPr>
          <w:p w14:paraId="6E0EB115" w14:textId="5599D38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0.46</w:t>
            </w:r>
          </w:p>
        </w:tc>
        <w:tc>
          <w:tcPr>
            <w:tcW w:w="922" w:type="dxa"/>
            <w:vAlign w:val="center"/>
          </w:tcPr>
          <w:p w14:paraId="44AC59F5" w14:textId="0953F2D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0.41</w:t>
            </w:r>
          </w:p>
        </w:tc>
      </w:tr>
      <w:tr w:rsidR="00877CB7" w:rsidRPr="009F214D" w14:paraId="65F2B9C9" w14:textId="77777777" w:rsidTr="00B933C9">
        <w:trPr>
          <w:trHeight w:val="20"/>
          <w:jc w:val="center"/>
        </w:trPr>
        <w:tc>
          <w:tcPr>
            <w:tcW w:w="581" w:type="dxa"/>
            <w:vAlign w:val="center"/>
          </w:tcPr>
          <w:p w14:paraId="00863E46" w14:textId="2BCE3B1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390FB14A" w14:textId="21BEEBB5"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2A1134A7" w14:textId="3465314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0.00</w:t>
            </w:r>
          </w:p>
        </w:tc>
        <w:tc>
          <w:tcPr>
            <w:tcW w:w="963" w:type="dxa"/>
            <w:vAlign w:val="center"/>
          </w:tcPr>
          <w:p w14:paraId="711DAA0E" w14:textId="291F74C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270.86</w:t>
            </w:r>
          </w:p>
        </w:tc>
        <w:tc>
          <w:tcPr>
            <w:tcW w:w="1440" w:type="dxa"/>
            <w:vAlign w:val="center"/>
          </w:tcPr>
          <w:p w14:paraId="1A11CE8E" w14:textId="36D02B9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270.85</w:t>
            </w:r>
          </w:p>
        </w:tc>
        <w:tc>
          <w:tcPr>
            <w:tcW w:w="982" w:type="dxa"/>
            <w:vAlign w:val="center"/>
          </w:tcPr>
          <w:p w14:paraId="382DCD9E" w14:textId="6B263C1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w:t>
            </w:r>
          </w:p>
        </w:tc>
        <w:tc>
          <w:tcPr>
            <w:tcW w:w="984" w:type="dxa"/>
            <w:vAlign w:val="center"/>
          </w:tcPr>
          <w:p w14:paraId="5035EA6F" w14:textId="34DD1E1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0.00</w:t>
            </w:r>
          </w:p>
        </w:tc>
        <w:tc>
          <w:tcPr>
            <w:tcW w:w="965" w:type="dxa"/>
            <w:vAlign w:val="center"/>
          </w:tcPr>
          <w:p w14:paraId="3F6F7B77" w14:textId="21D763F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0.71</w:t>
            </w:r>
          </w:p>
        </w:tc>
        <w:tc>
          <w:tcPr>
            <w:tcW w:w="922" w:type="dxa"/>
            <w:vAlign w:val="center"/>
          </w:tcPr>
          <w:p w14:paraId="32E06796" w14:textId="5F23DDB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0.71</w:t>
            </w:r>
          </w:p>
        </w:tc>
      </w:tr>
      <w:tr w:rsidR="00877CB7" w:rsidRPr="009F214D" w14:paraId="554DE91E" w14:textId="77777777" w:rsidTr="00B933C9">
        <w:trPr>
          <w:trHeight w:val="20"/>
          <w:jc w:val="center"/>
        </w:trPr>
        <w:tc>
          <w:tcPr>
            <w:tcW w:w="581" w:type="dxa"/>
            <w:vAlign w:val="center"/>
          </w:tcPr>
          <w:p w14:paraId="7B27A919" w14:textId="28F5039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3B8F2269" w14:textId="5A97433E"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7D27F992" w14:textId="77FB92B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6.00</w:t>
            </w:r>
          </w:p>
        </w:tc>
        <w:tc>
          <w:tcPr>
            <w:tcW w:w="963" w:type="dxa"/>
            <w:vAlign w:val="center"/>
          </w:tcPr>
          <w:p w14:paraId="019E57AB" w14:textId="0939481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56.58</w:t>
            </w:r>
          </w:p>
        </w:tc>
        <w:tc>
          <w:tcPr>
            <w:tcW w:w="1440" w:type="dxa"/>
            <w:vAlign w:val="center"/>
          </w:tcPr>
          <w:p w14:paraId="3295F7E4" w14:textId="75901FE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50.58</w:t>
            </w:r>
          </w:p>
        </w:tc>
        <w:tc>
          <w:tcPr>
            <w:tcW w:w="982" w:type="dxa"/>
            <w:vAlign w:val="center"/>
          </w:tcPr>
          <w:p w14:paraId="3E53A538" w14:textId="3525CB6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843.06</w:t>
            </w:r>
          </w:p>
        </w:tc>
        <w:tc>
          <w:tcPr>
            <w:tcW w:w="984" w:type="dxa"/>
            <w:vAlign w:val="center"/>
          </w:tcPr>
          <w:p w14:paraId="29F62DF3" w14:textId="05F9BFA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0.04</w:t>
            </w:r>
          </w:p>
        </w:tc>
        <w:tc>
          <w:tcPr>
            <w:tcW w:w="965" w:type="dxa"/>
            <w:vAlign w:val="center"/>
          </w:tcPr>
          <w:p w14:paraId="644D81EA" w14:textId="593B610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0.38</w:t>
            </w:r>
          </w:p>
        </w:tc>
        <w:tc>
          <w:tcPr>
            <w:tcW w:w="922" w:type="dxa"/>
            <w:vAlign w:val="center"/>
          </w:tcPr>
          <w:p w14:paraId="0C7DE885" w14:textId="5607570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0.34</w:t>
            </w:r>
          </w:p>
        </w:tc>
      </w:tr>
      <w:tr w:rsidR="00877CB7" w:rsidRPr="009F214D" w14:paraId="072F5E57" w14:textId="77777777" w:rsidTr="00B933C9">
        <w:trPr>
          <w:trHeight w:val="20"/>
          <w:jc w:val="center"/>
        </w:trPr>
        <w:tc>
          <w:tcPr>
            <w:tcW w:w="581" w:type="dxa"/>
            <w:vAlign w:val="center"/>
          </w:tcPr>
          <w:p w14:paraId="5BAAEE9A" w14:textId="3F42E74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47906D00" w14:textId="04AF6710"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0AB277CA" w14:textId="5811833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272.00</w:t>
            </w:r>
          </w:p>
        </w:tc>
        <w:tc>
          <w:tcPr>
            <w:tcW w:w="963" w:type="dxa"/>
            <w:vAlign w:val="center"/>
          </w:tcPr>
          <w:p w14:paraId="7BAA2B3D" w14:textId="32E49E5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268.63</w:t>
            </w:r>
          </w:p>
        </w:tc>
        <w:tc>
          <w:tcPr>
            <w:tcW w:w="1440" w:type="dxa"/>
            <w:vAlign w:val="center"/>
          </w:tcPr>
          <w:p w14:paraId="4A49BF77" w14:textId="079C428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-3.37</w:t>
            </w:r>
          </w:p>
        </w:tc>
        <w:tc>
          <w:tcPr>
            <w:tcW w:w="982" w:type="dxa"/>
            <w:vAlign w:val="center"/>
          </w:tcPr>
          <w:p w14:paraId="0A431F43" w14:textId="10B03E3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-1.24</w:t>
            </w:r>
          </w:p>
        </w:tc>
        <w:tc>
          <w:tcPr>
            <w:tcW w:w="984" w:type="dxa"/>
            <w:vAlign w:val="center"/>
          </w:tcPr>
          <w:p w14:paraId="4C12F773" w14:textId="544F4DF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0.65</w:t>
            </w:r>
          </w:p>
        </w:tc>
        <w:tc>
          <w:tcPr>
            <w:tcW w:w="965" w:type="dxa"/>
            <w:vAlign w:val="center"/>
          </w:tcPr>
          <w:p w14:paraId="0EABD3C4" w14:textId="016E1CD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0.64</w:t>
            </w:r>
          </w:p>
        </w:tc>
        <w:tc>
          <w:tcPr>
            <w:tcW w:w="922" w:type="dxa"/>
            <w:vAlign w:val="center"/>
          </w:tcPr>
          <w:p w14:paraId="70E7C9A3" w14:textId="7854914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-0.01</w:t>
            </w:r>
          </w:p>
        </w:tc>
      </w:tr>
      <w:tr w:rsidR="00877CB7" w:rsidRPr="009F214D" w14:paraId="353208AE" w14:textId="77777777" w:rsidTr="00B933C9">
        <w:trPr>
          <w:trHeight w:val="20"/>
          <w:jc w:val="center"/>
        </w:trPr>
        <w:tc>
          <w:tcPr>
            <w:tcW w:w="581" w:type="dxa"/>
            <w:vAlign w:val="center"/>
          </w:tcPr>
          <w:p w14:paraId="253EB929" w14:textId="5B83D00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72521084" w14:textId="6AD08E0F"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515081C0" w14:textId="5DE6B66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424.00</w:t>
            </w:r>
          </w:p>
        </w:tc>
        <w:tc>
          <w:tcPr>
            <w:tcW w:w="963" w:type="dxa"/>
            <w:vAlign w:val="center"/>
          </w:tcPr>
          <w:p w14:paraId="188E8EE0" w14:textId="76F08F6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209.20</w:t>
            </w:r>
          </w:p>
        </w:tc>
        <w:tc>
          <w:tcPr>
            <w:tcW w:w="1440" w:type="dxa"/>
            <w:vAlign w:val="center"/>
          </w:tcPr>
          <w:p w14:paraId="300BDEF9" w14:textId="05BADB5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-214.80</w:t>
            </w:r>
          </w:p>
        </w:tc>
        <w:tc>
          <w:tcPr>
            <w:tcW w:w="982" w:type="dxa"/>
            <w:vAlign w:val="center"/>
          </w:tcPr>
          <w:p w14:paraId="5275C7C1" w14:textId="6C7D0F3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-50.66</w:t>
            </w:r>
          </w:p>
        </w:tc>
        <w:tc>
          <w:tcPr>
            <w:tcW w:w="984" w:type="dxa"/>
            <w:vAlign w:val="center"/>
          </w:tcPr>
          <w:p w14:paraId="0B7D1407" w14:textId="14BE7C5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1.51</w:t>
            </w:r>
          </w:p>
        </w:tc>
        <w:tc>
          <w:tcPr>
            <w:tcW w:w="965" w:type="dxa"/>
            <w:vAlign w:val="center"/>
          </w:tcPr>
          <w:p w14:paraId="58760D02" w14:textId="6AB3EB4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0.74</w:t>
            </w:r>
          </w:p>
        </w:tc>
        <w:tc>
          <w:tcPr>
            <w:tcW w:w="922" w:type="dxa"/>
            <w:vAlign w:val="center"/>
          </w:tcPr>
          <w:p w14:paraId="43DDF5F8" w14:textId="13567B1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-0.76</w:t>
            </w:r>
          </w:p>
        </w:tc>
      </w:tr>
      <w:tr w:rsidR="00877CB7" w:rsidRPr="009F214D" w14:paraId="3FD04ABE" w14:textId="77777777" w:rsidTr="00B933C9">
        <w:trPr>
          <w:trHeight w:val="20"/>
          <w:jc w:val="center"/>
        </w:trPr>
        <w:tc>
          <w:tcPr>
            <w:tcW w:w="581" w:type="dxa"/>
            <w:vAlign w:val="center"/>
          </w:tcPr>
          <w:p w14:paraId="077D6D17" w14:textId="34D031A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71CEAF3E" w14:textId="320D3985"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2125DDF4" w14:textId="40646E1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31.00</w:t>
            </w:r>
          </w:p>
        </w:tc>
        <w:tc>
          <w:tcPr>
            <w:tcW w:w="963" w:type="dxa"/>
            <w:vAlign w:val="center"/>
          </w:tcPr>
          <w:p w14:paraId="44C09A01" w14:textId="67E0733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377.05</w:t>
            </w:r>
          </w:p>
        </w:tc>
        <w:tc>
          <w:tcPr>
            <w:tcW w:w="1440" w:type="dxa"/>
            <w:vAlign w:val="center"/>
          </w:tcPr>
          <w:p w14:paraId="2BE0F354" w14:textId="28B0354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346.05</w:t>
            </w:r>
          </w:p>
        </w:tc>
        <w:tc>
          <w:tcPr>
            <w:tcW w:w="982" w:type="dxa"/>
            <w:vAlign w:val="center"/>
          </w:tcPr>
          <w:p w14:paraId="6FE3A49F" w14:textId="0AF7F4A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1116.30</w:t>
            </w:r>
          </w:p>
        </w:tc>
        <w:tc>
          <w:tcPr>
            <w:tcW w:w="984" w:type="dxa"/>
            <w:vAlign w:val="center"/>
          </w:tcPr>
          <w:p w14:paraId="0B2F5011" w14:textId="65707B2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0.05</w:t>
            </w:r>
          </w:p>
        </w:tc>
        <w:tc>
          <w:tcPr>
            <w:tcW w:w="965" w:type="dxa"/>
            <w:vAlign w:val="center"/>
          </w:tcPr>
          <w:p w14:paraId="311F49A9" w14:textId="2732AAD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0.64</w:t>
            </w:r>
          </w:p>
        </w:tc>
        <w:tc>
          <w:tcPr>
            <w:tcW w:w="922" w:type="dxa"/>
            <w:vAlign w:val="center"/>
          </w:tcPr>
          <w:p w14:paraId="185995B0" w14:textId="5DD0E21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0.59</w:t>
            </w:r>
          </w:p>
        </w:tc>
      </w:tr>
      <w:tr w:rsidR="00877CB7" w:rsidRPr="009F214D" w14:paraId="6DF3EA79" w14:textId="77777777" w:rsidTr="00B933C9">
        <w:trPr>
          <w:trHeight w:val="20"/>
          <w:jc w:val="center"/>
        </w:trPr>
        <w:tc>
          <w:tcPr>
            <w:tcW w:w="581" w:type="dxa"/>
            <w:vAlign w:val="center"/>
          </w:tcPr>
          <w:p w14:paraId="52266569" w14:textId="41771D1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260D4137" w14:textId="11A4D6CD"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658BAD2D" w14:textId="7BD1343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12.00</w:t>
            </w:r>
          </w:p>
        </w:tc>
        <w:tc>
          <w:tcPr>
            <w:tcW w:w="963" w:type="dxa"/>
            <w:vAlign w:val="center"/>
          </w:tcPr>
          <w:p w14:paraId="3A7F7B27" w14:textId="23CCEF3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283.35</w:t>
            </w:r>
          </w:p>
        </w:tc>
        <w:tc>
          <w:tcPr>
            <w:tcW w:w="1440" w:type="dxa"/>
            <w:vAlign w:val="center"/>
          </w:tcPr>
          <w:p w14:paraId="47A45EE9" w14:textId="08028EC4"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271.35</w:t>
            </w:r>
          </w:p>
        </w:tc>
        <w:tc>
          <w:tcPr>
            <w:tcW w:w="982" w:type="dxa"/>
            <w:vAlign w:val="center"/>
          </w:tcPr>
          <w:p w14:paraId="07D9DF06" w14:textId="652BB0F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2261.24</w:t>
            </w:r>
          </w:p>
        </w:tc>
        <w:tc>
          <w:tcPr>
            <w:tcW w:w="984" w:type="dxa"/>
            <w:vAlign w:val="center"/>
          </w:tcPr>
          <w:p w14:paraId="4C4D9C81" w14:textId="5831FE8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0.02</w:t>
            </w:r>
          </w:p>
        </w:tc>
        <w:tc>
          <w:tcPr>
            <w:tcW w:w="965" w:type="dxa"/>
            <w:vAlign w:val="center"/>
          </w:tcPr>
          <w:p w14:paraId="5879EAF6" w14:textId="10FE5D5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0.40</w:t>
            </w:r>
          </w:p>
        </w:tc>
        <w:tc>
          <w:tcPr>
            <w:tcW w:w="922" w:type="dxa"/>
            <w:vAlign w:val="center"/>
          </w:tcPr>
          <w:p w14:paraId="5837C0FF" w14:textId="09503D8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0.39</w:t>
            </w:r>
          </w:p>
        </w:tc>
      </w:tr>
      <w:tr w:rsidR="00877CB7" w:rsidRPr="009F214D" w14:paraId="79042041" w14:textId="77777777" w:rsidTr="00B933C9">
        <w:trPr>
          <w:trHeight w:val="20"/>
          <w:jc w:val="center"/>
        </w:trPr>
        <w:tc>
          <w:tcPr>
            <w:tcW w:w="581" w:type="dxa"/>
            <w:vAlign w:val="center"/>
          </w:tcPr>
          <w:p w14:paraId="2502577D" w14:textId="2E56504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65E3230F" w14:textId="4051A428"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55C4EFAF" w14:textId="1713648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445.00</w:t>
            </w:r>
          </w:p>
        </w:tc>
        <w:tc>
          <w:tcPr>
            <w:tcW w:w="963" w:type="dxa"/>
            <w:vAlign w:val="center"/>
          </w:tcPr>
          <w:p w14:paraId="7F2BE25D" w14:textId="5E0377C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239.06</w:t>
            </w:r>
          </w:p>
        </w:tc>
        <w:tc>
          <w:tcPr>
            <w:tcW w:w="1440" w:type="dxa"/>
            <w:vAlign w:val="center"/>
          </w:tcPr>
          <w:p w14:paraId="5198092A" w14:textId="461657F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-205.94</w:t>
            </w:r>
          </w:p>
        </w:tc>
        <w:tc>
          <w:tcPr>
            <w:tcW w:w="982" w:type="dxa"/>
            <w:vAlign w:val="center"/>
          </w:tcPr>
          <w:p w14:paraId="50A46201" w14:textId="6238AC2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-46.28</w:t>
            </w:r>
          </w:p>
        </w:tc>
        <w:tc>
          <w:tcPr>
            <w:tcW w:w="984" w:type="dxa"/>
            <w:vAlign w:val="center"/>
          </w:tcPr>
          <w:p w14:paraId="4D50A0B8" w14:textId="3331AB8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1.53</w:t>
            </w:r>
          </w:p>
        </w:tc>
        <w:tc>
          <w:tcPr>
            <w:tcW w:w="965" w:type="dxa"/>
            <w:vAlign w:val="center"/>
          </w:tcPr>
          <w:p w14:paraId="2932A350" w14:textId="138D9BC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0.82</w:t>
            </w:r>
          </w:p>
        </w:tc>
        <w:tc>
          <w:tcPr>
            <w:tcW w:w="922" w:type="dxa"/>
            <w:vAlign w:val="center"/>
          </w:tcPr>
          <w:p w14:paraId="16B00031" w14:textId="3A9DFD4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-0.71</w:t>
            </w:r>
          </w:p>
        </w:tc>
      </w:tr>
      <w:tr w:rsidR="00877CB7" w:rsidRPr="009F214D" w14:paraId="3D392107" w14:textId="77777777" w:rsidTr="00B933C9">
        <w:trPr>
          <w:trHeight w:val="20"/>
          <w:jc w:val="center"/>
        </w:trPr>
        <w:tc>
          <w:tcPr>
            <w:tcW w:w="581" w:type="dxa"/>
            <w:vAlign w:val="center"/>
          </w:tcPr>
          <w:p w14:paraId="3E755E33" w14:textId="53B4EF4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37ABA843" w14:textId="5F4D03B6"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4F62F518" w14:textId="2894337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0.00</w:t>
            </w:r>
          </w:p>
        </w:tc>
        <w:tc>
          <w:tcPr>
            <w:tcW w:w="963" w:type="dxa"/>
            <w:vAlign w:val="center"/>
          </w:tcPr>
          <w:p w14:paraId="226182FF" w14:textId="58860CC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83.48</w:t>
            </w:r>
          </w:p>
        </w:tc>
        <w:tc>
          <w:tcPr>
            <w:tcW w:w="1440" w:type="dxa"/>
            <w:vAlign w:val="center"/>
          </w:tcPr>
          <w:p w14:paraId="11EB2BFC" w14:textId="29A42361"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83.48</w:t>
            </w:r>
          </w:p>
        </w:tc>
        <w:tc>
          <w:tcPr>
            <w:tcW w:w="982" w:type="dxa"/>
            <w:vAlign w:val="center"/>
          </w:tcPr>
          <w:p w14:paraId="060310A2" w14:textId="18EDFCD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w:t>
            </w:r>
          </w:p>
        </w:tc>
        <w:tc>
          <w:tcPr>
            <w:tcW w:w="984" w:type="dxa"/>
            <w:vAlign w:val="center"/>
          </w:tcPr>
          <w:p w14:paraId="3EA1BF2A" w14:textId="7D0A355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0.00</w:t>
            </w:r>
          </w:p>
        </w:tc>
        <w:tc>
          <w:tcPr>
            <w:tcW w:w="965" w:type="dxa"/>
            <w:vAlign w:val="center"/>
          </w:tcPr>
          <w:p w14:paraId="5E2F7D75" w14:textId="0BAE793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0.45</w:t>
            </w:r>
          </w:p>
        </w:tc>
        <w:tc>
          <w:tcPr>
            <w:tcW w:w="922" w:type="dxa"/>
            <w:vAlign w:val="center"/>
          </w:tcPr>
          <w:p w14:paraId="5EECCB1E" w14:textId="3F6D2EF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0.45</w:t>
            </w:r>
          </w:p>
        </w:tc>
      </w:tr>
      <w:tr w:rsidR="00877CB7" w:rsidRPr="009F214D" w14:paraId="1F37570C" w14:textId="77777777" w:rsidTr="00B933C9">
        <w:trPr>
          <w:trHeight w:val="20"/>
          <w:jc w:val="center"/>
        </w:trPr>
        <w:tc>
          <w:tcPr>
            <w:tcW w:w="581" w:type="dxa"/>
            <w:vAlign w:val="center"/>
          </w:tcPr>
          <w:p w14:paraId="71B24DA3" w14:textId="29132BC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60596644" w14:textId="5F82F82F"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60B528E0" w14:textId="3E78183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0.00</w:t>
            </w:r>
          </w:p>
        </w:tc>
        <w:tc>
          <w:tcPr>
            <w:tcW w:w="963" w:type="dxa"/>
            <w:vAlign w:val="center"/>
          </w:tcPr>
          <w:p w14:paraId="20EE01FA" w14:textId="2044BF9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327.66</w:t>
            </w:r>
          </w:p>
        </w:tc>
        <w:tc>
          <w:tcPr>
            <w:tcW w:w="1440" w:type="dxa"/>
            <w:vAlign w:val="center"/>
          </w:tcPr>
          <w:p w14:paraId="65CE9D2C" w14:textId="087772CE"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327.66</w:t>
            </w:r>
          </w:p>
        </w:tc>
        <w:tc>
          <w:tcPr>
            <w:tcW w:w="982" w:type="dxa"/>
            <w:vAlign w:val="center"/>
          </w:tcPr>
          <w:p w14:paraId="42709A85" w14:textId="697C05F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w:t>
            </w:r>
          </w:p>
        </w:tc>
        <w:tc>
          <w:tcPr>
            <w:tcW w:w="984" w:type="dxa"/>
            <w:vAlign w:val="center"/>
          </w:tcPr>
          <w:p w14:paraId="74E4AB9E" w14:textId="55FE2A0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0.00</w:t>
            </w:r>
          </w:p>
        </w:tc>
        <w:tc>
          <w:tcPr>
            <w:tcW w:w="965" w:type="dxa"/>
            <w:vAlign w:val="center"/>
          </w:tcPr>
          <w:p w14:paraId="0398BB4C" w14:textId="12A0139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0.82</w:t>
            </w:r>
          </w:p>
        </w:tc>
        <w:tc>
          <w:tcPr>
            <w:tcW w:w="922" w:type="dxa"/>
            <w:vAlign w:val="center"/>
          </w:tcPr>
          <w:p w14:paraId="1555FF7F" w14:textId="221C1352"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0.82</w:t>
            </w:r>
          </w:p>
        </w:tc>
      </w:tr>
      <w:tr w:rsidR="00877CB7" w:rsidRPr="009F214D" w14:paraId="589C96DC" w14:textId="77777777" w:rsidTr="00B933C9">
        <w:trPr>
          <w:trHeight w:val="20"/>
          <w:jc w:val="center"/>
        </w:trPr>
        <w:tc>
          <w:tcPr>
            <w:tcW w:w="581" w:type="dxa"/>
            <w:vAlign w:val="center"/>
          </w:tcPr>
          <w:p w14:paraId="5EE5A66B" w14:textId="0A5469F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2B2E4637" w14:textId="6372D03F"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294882AD" w14:textId="46ABE9B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756.00</w:t>
            </w:r>
          </w:p>
        </w:tc>
        <w:tc>
          <w:tcPr>
            <w:tcW w:w="963" w:type="dxa"/>
            <w:vAlign w:val="center"/>
          </w:tcPr>
          <w:p w14:paraId="5DC9E064" w14:textId="4C31C96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394.11</w:t>
            </w:r>
          </w:p>
        </w:tc>
        <w:tc>
          <w:tcPr>
            <w:tcW w:w="1440" w:type="dxa"/>
            <w:vAlign w:val="center"/>
          </w:tcPr>
          <w:p w14:paraId="24B2495A" w14:textId="2D07550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-361.89</w:t>
            </w:r>
          </w:p>
        </w:tc>
        <w:tc>
          <w:tcPr>
            <w:tcW w:w="982" w:type="dxa"/>
            <w:vAlign w:val="center"/>
          </w:tcPr>
          <w:p w14:paraId="66B4C02F" w14:textId="0D5679C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-47.87</w:t>
            </w:r>
          </w:p>
        </w:tc>
        <w:tc>
          <w:tcPr>
            <w:tcW w:w="984" w:type="dxa"/>
            <w:vAlign w:val="center"/>
          </w:tcPr>
          <w:p w14:paraId="3F3DB7A5" w14:textId="498AF859"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1.42</w:t>
            </w:r>
          </w:p>
        </w:tc>
        <w:tc>
          <w:tcPr>
            <w:tcW w:w="965" w:type="dxa"/>
            <w:vAlign w:val="center"/>
          </w:tcPr>
          <w:p w14:paraId="3DBB1659" w14:textId="7366507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0.74</w:t>
            </w:r>
          </w:p>
        </w:tc>
        <w:tc>
          <w:tcPr>
            <w:tcW w:w="922" w:type="dxa"/>
            <w:vAlign w:val="center"/>
          </w:tcPr>
          <w:p w14:paraId="4D553344" w14:textId="372AA34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-0.68</w:t>
            </w:r>
          </w:p>
        </w:tc>
      </w:tr>
      <w:tr w:rsidR="00877CB7" w:rsidRPr="009F214D" w14:paraId="36CC6D92" w14:textId="77777777" w:rsidTr="00B933C9">
        <w:trPr>
          <w:trHeight w:val="20"/>
          <w:jc w:val="center"/>
        </w:trPr>
        <w:tc>
          <w:tcPr>
            <w:tcW w:w="581" w:type="dxa"/>
            <w:vAlign w:val="center"/>
          </w:tcPr>
          <w:p w14:paraId="0A445380" w14:textId="5B94462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7A441676" w14:textId="6254A813"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211E9937" w14:textId="64C0D38A"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542.00</w:t>
            </w:r>
          </w:p>
        </w:tc>
        <w:tc>
          <w:tcPr>
            <w:tcW w:w="963" w:type="dxa"/>
            <w:vAlign w:val="center"/>
          </w:tcPr>
          <w:p w14:paraId="2DE89FA2" w14:textId="548051E3"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562.82</w:t>
            </w:r>
          </w:p>
        </w:tc>
        <w:tc>
          <w:tcPr>
            <w:tcW w:w="1440" w:type="dxa"/>
            <w:vAlign w:val="center"/>
          </w:tcPr>
          <w:p w14:paraId="5040DCB9" w14:textId="59D25BD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20.82</w:t>
            </w:r>
          </w:p>
        </w:tc>
        <w:tc>
          <w:tcPr>
            <w:tcW w:w="982" w:type="dxa"/>
            <w:vAlign w:val="center"/>
          </w:tcPr>
          <w:p w14:paraId="63607B00" w14:textId="761B046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3.84</w:t>
            </w:r>
          </w:p>
        </w:tc>
        <w:tc>
          <w:tcPr>
            <w:tcW w:w="984" w:type="dxa"/>
            <w:vAlign w:val="center"/>
          </w:tcPr>
          <w:p w14:paraId="075B8805" w14:textId="0585ACF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0.44</w:t>
            </w:r>
          </w:p>
        </w:tc>
        <w:tc>
          <w:tcPr>
            <w:tcW w:w="965" w:type="dxa"/>
            <w:vAlign w:val="center"/>
          </w:tcPr>
          <w:p w14:paraId="5D7DD333" w14:textId="7448E11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0.45</w:t>
            </w:r>
          </w:p>
        </w:tc>
        <w:tc>
          <w:tcPr>
            <w:tcW w:w="922" w:type="dxa"/>
            <w:vAlign w:val="center"/>
          </w:tcPr>
          <w:p w14:paraId="3F1C2BE3" w14:textId="2AEFD7A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0.02</w:t>
            </w:r>
          </w:p>
        </w:tc>
      </w:tr>
      <w:tr w:rsidR="00877CB7" w:rsidRPr="009F214D" w14:paraId="197C5766" w14:textId="77777777" w:rsidTr="00B933C9">
        <w:trPr>
          <w:trHeight w:val="20"/>
          <w:jc w:val="center"/>
        </w:trPr>
        <w:tc>
          <w:tcPr>
            <w:tcW w:w="581" w:type="dxa"/>
            <w:vAlign w:val="center"/>
          </w:tcPr>
          <w:p w14:paraId="1C3CEEA5" w14:textId="5231A28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689BE79C" w14:textId="55359B11"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40114A4D" w14:textId="048ABC9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664.00</w:t>
            </w:r>
          </w:p>
        </w:tc>
        <w:tc>
          <w:tcPr>
            <w:tcW w:w="963" w:type="dxa"/>
            <w:vAlign w:val="center"/>
          </w:tcPr>
          <w:p w14:paraId="725C44C3" w14:textId="59717F1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129.10</w:t>
            </w:r>
          </w:p>
        </w:tc>
        <w:tc>
          <w:tcPr>
            <w:tcW w:w="1440" w:type="dxa"/>
            <w:vAlign w:val="center"/>
          </w:tcPr>
          <w:p w14:paraId="58C6D00B" w14:textId="722467F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-534.90</w:t>
            </w:r>
          </w:p>
        </w:tc>
        <w:tc>
          <w:tcPr>
            <w:tcW w:w="982" w:type="dxa"/>
            <w:vAlign w:val="center"/>
          </w:tcPr>
          <w:p w14:paraId="5E2822B7" w14:textId="79B58928"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-80.56</w:t>
            </w:r>
          </w:p>
        </w:tc>
        <w:tc>
          <w:tcPr>
            <w:tcW w:w="984" w:type="dxa"/>
            <w:vAlign w:val="center"/>
          </w:tcPr>
          <w:p w14:paraId="44C8B5D3" w14:textId="445BAB4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1.09</w:t>
            </w:r>
          </w:p>
        </w:tc>
        <w:tc>
          <w:tcPr>
            <w:tcW w:w="965" w:type="dxa"/>
            <w:vAlign w:val="center"/>
          </w:tcPr>
          <w:p w14:paraId="62F43658" w14:textId="0BC7BF35"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0.21</w:t>
            </w:r>
          </w:p>
        </w:tc>
        <w:tc>
          <w:tcPr>
            <w:tcW w:w="922" w:type="dxa"/>
            <w:vAlign w:val="center"/>
          </w:tcPr>
          <w:p w14:paraId="4DD5ADE0" w14:textId="08FF0F0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-0.88</w:t>
            </w:r>
          </w:p>
        </w:tc>
      </w:tr>
      <w:tr w:rsidR="00877CB7" w:rsidRPr="009F214D" w14:paraId="7338BF2F" w14:textId="77777777" w:rsidTr="00B933C9">
        <w:trPr>
          <w:trHeight w:val="20"/>
          <w:jc w:val="center"/>
        </w:trPr>
        <w:tc>
          <w:tcPr>
            <w:tcW w:w="581" w:type="dxa"/>
            <w:vAlign w:val="center"/>
          </w:tcPr>
          <w:p w14:paraId="233E5C49" w14:textId="5541FA83" w:rsidR="00877CB7" w:rsidRPr="001B4ADF" w:rsidRDefault="00B933C9"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2A671577" w14:textId="6F34BCF5" w:rsidR="00877CB7" w:rsidRPr="001B4ADF" w:rsidRDefault="00877CB7" w:rsidP="00877CB7">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4FAF51DE" w14:textId="4C5A7E90"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3773.00</w:t>
            </w:r>
          </w:p>
        </w:tc>
        <w:tc>
          <w:tcPr>
            <w:tcW w:w="963" w:type="dxa"/>
            <w:vAlign w:val="center"/>
          </w:tcPr>
          <w:p w14:paraId="13E4911C" w14:textId="46B6319B"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3819.93</w:t>
            </w:r>
          </w:p>
        </w:tc>
        <w:tc>
          <w:tcPr>
            <w:tcW w:w="1440" w:type="dxa"/>
            <w:vAlign w:val="center"/>
          </w:tcPr>
          <w:p w14:paraId="429FA262" w14:textId="5699D23C"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46.93</w:t>
            </w:r>
          </w:p>
        </w:tc>
        <w:tc>
          <w:tcPr>
            <w:tcW w:w="982" w:type="dxa"/>
            <w:vAlign w:val="center"/>
          </w:tcPr>
          <w:p w14:paraId="012560D2" w14:textId="66233A36"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1.24</w:t>
            </w:r>
          </w:p>
        </w:tc>
        <w:tc>
          <w:tcPr>
            <w:tcW w:w="984" w:type="dxa"/>
            <w:vAlign w:val="center"/>
          </w:tcPr>
          <w:p w14:paraId="12001C41" w14:textId="707D1177"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0.53</w:t>
            </w:r>
          </w:p>
        </w:tc>
        <w:tc>
          <w:tcPr>
            <w:tcW w:w="965" w:type="dxa"/>
            <w:vAlign w:val="center"/>
          </w:tcPr>
          <w:p w14:paraId="2948936D" w14:textId="0913F8FF"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0.53</w:t>
            </w:r>
          </w:p>
        </w:tc>
        <w:tc>
          <w:tcPr>
            <w:tcW w:w="922" w:type="dxa"/>
            <w:vAlign w:val="center"/>
          </w:tcPr>
          <w:p w14:paraId="604C8936" w14:textId="5E43FE5D" w:rsidR="00877CB7" w:rsidRPr="001B4ADF" w:rsidRDefault="00877CB7" w:rsidP="00877CB7">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0.01</w:t>
            </w:r>
          </w:p>
        </w:tc>
      </w:tr>
      <w:tr w:rsidR="00B933C9" w:rsidRPr="009F214D" w14:paraId="2D78FCD0" w14:textId="77777777" w:rsidTr="006538D9">
        <w:trPr>
          <w:trHeight w:val="20"/>
          <w:jc w:val="center"/>
        </w:trPr>
        <w:tc>
          <w:tcPr>
            <w:tcW w:w="9072" w:type="dxa"/>
            <w:gridSpan w:val="9"/>
            <w:vAlign w:val="center"/>
          </w:tcPr>
          <w:p w14:paraId="505D7C5E" w14:textId="2774FAFD" w:rsidR="00B933C9" w:rsidRPr="001B4ADF" w:rsidRDefault="00B933C9" w:rsidP="00877CB7">
            <w:pPr>
              <w:tabs>
                <w:tab w:val="left" w:pos="2805"/>
              </w:tabs>
              <w:jc w:val="center"/>
              <w:rPr>
                <w:rFonts w:ascii="Times New Roman" w:hAnsi="Times New Roman" w:cs="Times New Roman"/>
                <w:b/>
                <w:bCs/>
                <w:sz w:val="16"/>
                <w:szCs w:val="16"/>
              </w:rPr>
            </w:pPr>
            <w:r w:rsidRPr="001B4ADF">
              <w:rPr>
                <w:rFonts w:ascii="Times New Roman" w:hAnsi="Times New Roman" w:cs="Times New Roman"/>
                <w:b/>
                <w:bCs/>
                <w:sz w:val="20"/>
                <w:szCs w:val="20"/>
              </w:rPr>
              <w:t>Expenditure Category: Other Administrative Service</w:t>
            </w:r>
          </w:p>
        </w:tc>
      </w:tr>
      <w:tr w:rsidR="00B933C9" w:rsidRPr="009F214D" w14:paraId="3E3F09A4" w14:textId="77777777" w:rsidTr="00B933C9">
        <w:trPr>
          <w:trHeight w:val="20"/>
          <w:jc w:val="center"/>
        </w:trPr>
        <w:tc>
          <w:tcPr>
            <w:tcW w:w="581" w:type="dxa"/>
            <w:vAlign w:val="center"/>
          </w:tcPr>
          <w:p w14:paraId="1D9A4D10" w14:textId="193AF543"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w:t>
            </w:r>
          </w:p>
        </w:tc>
        <w:tc>
          <w:tcPr>
            <w:tcW w:w="1339" w:type="dxa"/>
            <w:vAlign w:val="center"/>
          </w:tcPr>
          <w:p w14:paraId="438B0EFE" w14:textId="05DFCCFB" w:rsidR="00B933C9" w:rsidRPr="001B4ADF" w:rsidRDefault="00B933C9" w:rsidP="00B933C9">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Andhra Pradesh</w:t>
            </w:r>
          </w:p>
        </w:tc>
        <w:tc>
          <w:tcPr>
            <w:tcW w:w="896" w:type="dxa"/>
            <w:vAlign w:val="center"/>
          </w:tcPr>
          <w:p w14:paraId="48CAF83F" w14:textId="75C77127"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2714.00</w:t>
            </w:r>
          </w:p>
        </w:tc>
        <w:tc>
          <w:tcPr>
            <w:tcW w:w="963" w:type="dxa"/>
            <w:vAlign w:val="center"/>
          </w:tcPr>
          <w:p w14:paraId="2DA257CA" w14:textId="7F4CD94E"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2471.53</w:t>
            </w:r>
          </w:p>
        </w:tc>
        <w:tc>
          <w:tcPr>
            <w:tcW w:w="1440" w:type="dxa"/>
            <w:vAlign w:val="center"/>
          </w:tcPr>
          <w:p w14:paraId="480E9E20" w14:textId="42397428"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-242.47</w:t>
            </w:r>
          </w:p>
        </w:tc>
        <w:tc>
          <w:tcPr>
            <w:tcW w:w="982" w:type="dxa"/>
            <w:vAlign w:val="center"/>
          </w:tcPr>
          <w:p w14:paraId="73D4FEE0" w14:textId="3129EEE2"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-8.93</w:t>
            </w:r>
          </w:p>
        </w:tc>
        <w:tc>
          <w:tcPr>
            <w:tcW w:w="984" w:type="dxa"/>
            <w:vAlign w:val="center"/>
          </w:tcPr>
          <w:p w14:paraId="4D42BBA1" w14:textId="30BE3177"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4.56</w:t>
            </w:r>
          </w:p>
        </w:tc>
        <w:tc>
          <w:tcPr>
            <w:tcW w:w="965" w:type="dxa"/>
            <w:vAlign w:val="center"/>
          </w:tcPr>
          <w:p w14:paraId="1424EAD4" w14:textId="0B7C6226"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4.15</w:t>
            </w:r>
          </w:p>
        </w:tc>
        <w:tc>
          <w:tcPr>
            <w:tcW w:w="922" w:type="dxa"/>
            <w:vAlign w:val="center"/>
          </w:tcPr>
          <w:p w14:paraId="67518A99" w14:textId="3DCDFCF5"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-0.41</w:t>
            </w:r>
          </w:p>
        </w:tc>
      </w:tr>
      <w:tr w:rsidR="00B933C9" w:rsidRPr="009F214D" w14:paraId="60CBCD58" w14:textId="77777777" w:rsidTr="00B933C9">
        <w:trPr>
          <w:trHeight w:val="20"/>
          <w:jc w:val="center"/>
        </w:trPr>
        <w:tc>
          <w:tcPr>
            <w:tcW w:w="581" w:type="dxa"/>
            <w:vAlign w:val="center"/>
          </w:tcPr>
          <w:p w14:paraId="060F5056" w14:textId="0591872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1489A4D9" w14:textId="3AFAC95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7F85D5BF" w14:textId="420C120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2230.00</w:t>
            </w:r>
          </w:p>
        </w:tc>
        <w:tc>
          <w:tcPr>
            <w:tcW w:w="963" w:type="dxa"/>
            <w:vAlign w:val="center"/>
          </w:tcPr>
          <w:p w14:paraId="4C65F413" w14:textId="641DAD6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3242.56</w:t>
            </w:r>
          </w:p>
        </w:tc>
        <w:tc>
          <w:tcPr>
            <w:tcW w:w="1440" w:type="dxa"/>
            <w:vAlign w:val="center"/>
          </w:tcPr>
          <w:p w14:paraId="7E51681F" w14:textId="61922E1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1012.56</w:t>
            </w:r>
          </w:p>
        </w:tc>
        <w:tc>
          <w:tcPr>
            <w:tcW w:w="982" w:type="dxa"/>
            <w:vAlign w:val="center"/>
          </w:tcPr>
          <w:p w14:paraId="14146AB2" w14:textId="3FFF3B3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45.41</w:t>
            </w:r>
          </w:p>
        </w:tc>
        <w:tc>
          <w:tcPr>
            <w:tcW w:w="984" w:type="dxa"/>
            <w:vAlign w:val="center"/>
          </w:tcPr>
          <w:p w14:paraId="6E4DE4D6" w14:textId="3D8F876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2.83</w:t>
            </w:r>
          </w:p>
        </w:tc>
        <w:tc>
          <w:tcPr>
            <w:tcW w:w="965" w:type="dxa"/>
            <w:vAlign w:val="center"/>
          </w:tcPr>
          <w:p w14:paraId="3D50CC18" w14:textId="464AF6E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4.12</w:t>
            </w:r>
          </w:p>
        </w:tc>
        <w:tc>
          <w:tcPr>
            <w:tcW w:w="922" w:type="dxa"/>
            <w:vAlign w:val="center"/>
          </w:tcPr>
          <w:p w14:paraId="5FB2935A" w14:textId="44EFC0E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1.29</w:t>
            </w:r>
          </w:p>
        </w:tc>
      </w:tr>
      <w:tr w:rsidR="00B933C9" w:rsidRPr="009F214D" w14:paraId="207EFA6D" w14:textId="77777777" w:rsidTr="00B933C9">
        <w:trPr>
          <w:trHeight w:val="20"/>
          <w:jc w:val="center"/>
        </w:trPr>
        <w:tc>
          <w:tcPr>
            <w:tcW w:w="581" w:type="dxa"/>
            <w:vAlign w:val="center"/>
          </w:tcPr>
          <w:p w14:paraId="3C7F6596" w14:textId="4259F96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7E690421" w14:textId="10C2653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1DD0619F" w14:textId="0CB11B8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2680.00</w:t>
            </w:r>
          </w:p>
        </w:tc>
        <w:tc>
          <w:tcPr>
            <w:tcW w:w="963" w:type="dxa"/>
            <w:vAlign w:val="center"/>
          </w:tcPr>
          <w:p w14:paraId="5E3DDF83" w14:textId="01793D1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1900.95</w:t>
            </w:r>
          </w:p>
        </w:tc>
        <w:tc>
          <w:tcPr>
            <w:tcW w:w="1440" w:type="dxa"/>
            <w:vAlign w:val="center"/>
          </w:tcPr>
          <w:p w14:paraId="06B47AC3" w14:textId="232986A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-779.05</w:t>
            </w:r>
          </w:p>
        </w:tc>
        <w:tc>
          <w:tcPr>
            <w:tcW w:w="982" w:type="dxa"/>
            <w:vAlign w:val="center"/>
          </w:tcPr>
          <w:p w14:paraId="54D639F8" w14:textId="0B1F92B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-29.07</w:t>
            </w:r>
          </w:p>
        </w:tc>
        <w:tc>
          <w:tcPr>
            <w:tcW w:w="984" w:type="dxa"/>
            <w:vAlign w:val="center"/>
          </w:tcPr>
          <w:p w14:paraId="397AC299" w14:textId="554BE72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7.03</w:t>
            </w:r>
          </w:p>
        </w:tc>
        <w:tc>
          <w:tcPr>
            <w:tcW w:w="965" w:type="dxa"/>
            <w:vAlign w:val="center"/>
          </w:tcPr>
          <w:p w14:paraId="358849D0" w14:textId="5BEFD0F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4.99</w:t>
            </w:r>
          </w:p>
        </w:tc>
        <w:tc>
          <w:tcPr>
            <w:tcW w:w="922" w:type="dxa"/>
            <w:vAlign w:val="center"/>
          </w:tcPr>
          <w:p w14:paraId="48848F6C" w14:textId="1A309DC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-2.04</w:t>
            </w:r>
          </w:p>
        </w:tc>
      </w:tr>
      <w:tr w:rsidR="00B933C9" w:rsidRPr="009F214D" w14:paraId="344E64A6" w14:textId="77777777" w:rsidTr="00B933C9">
        <w:trPr>
          <w:trHeight w:val="20"/>
          <w:jc w:val="center"/>
        </w:trPr>
        <w:tc>
          <w:tcPr>
            <w:tcW w:w="581" w:type="dxa"/>
            <w:vAlign w:val="center"/>
          </w:tcPr>
          <w:p w14:paraId="6370CA8F" w14:textId="3E77FE4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7917AEA8" w14:textId="1C620E88"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1C9453A7" w14:textId="78D4481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788.00</w:t>
            </w:r>
          </w:p>
        </w:tc>
        <w:tc>
          <w:tcPr>
            <w:tcW w:w="963" w:type="dxa"/>
            <w:vAlign w:val="center"/>
          </w:tcPr>
          <w:p w14:paraId="0159E173" w14:textId="02DEFF5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700.16</w:t>
            </w:r>
          </w:p>
        </w:tc>
        <w:tc>
          <w:tcPr>
            <w:tcW w:w="1440" w:type="dxa"/>
            <w:vAlign w:val="center"/>
          </w:tcPr>
          <w:p w14:paraId="702A9998" w14:textId="3FF663A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-87.84</w:t>
            </w:r>
          </w:p>
        </w:tc>
        <w:tc>
          <w:tcPr>
            <w:tcW w:w="982" w:type="dxa"/>
            <w:vAlign w:val="center"/>
          </w:tcPr>
          <w:p w14:paraId="2D534B7D" w14:textId="6A5AD11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-11.15</w:t>
            </w:r>
          </w:p>
        </w:tc>
        <w:tc>
          <w:tcPr>
            <w:tcW w:w="984" w:type="dxa"/>
            <w:vAlign w:val="center"/>
          </w:tcPr>
          <w:p w14:paraId="6F83D5BF" w14:textId="3914701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5.24</w:t>
            </w:r>
          </w:p>
        </w:tc>
        <w:tc>
          <w:tcPr>
            <w:tcW w:w="965" w:type="dxa"/>
            <w:vAlign w:val="center"/>
          </w:tcPr>
          <w:p w14:paraId="2FABEA56" w14:textId="601E060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4.66</w:t>
            </w:r>
          </w:p>
        </w:tc>
        <w:tc>
          <w:tcPr>
            <w:tcW w:w="922" w:type="dxa"/>
            <w:vAlign w:val="center"/>
          </w:tcPr>
          <w:p w14:paraId="7149B916" w14:textId="7ADA90F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-0.58</w:t>
            </w:r>
          </w:p>
        </w:tc>
      </w:tr>
      <w:tr w:rsidR="00B933C9" w:rsidRPr="009F214D" w14:paraId="1EBD2DAF" w14:textId="77777777" w:rsidTr="00B933C9">
        <w:trPr>
          <w:trHeight w:val="20"/>
          <w:jc w:val="center"/>
        </w:trPr>
        <w:tc>
          <w:tcPr>
            <w:tcW w:w="581" w:type="dxa"/>
            <w:vAlign w:val="center"/>
          </w:tcPr>
          <w:p w14:paraId="70F106F2" w14:textId="5A8E489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69A476C2" w14:textId="1F83EE00"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656CF2A0" w14:textId="234E365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2536.00</w:t>
            </w:r>
          </w:p>
        </w:tc>
        <w:tc>
          <w:tcPr>
            <w:tcW w:w="963" w:type="dxa"/>
            <w:vAlign w:val="center"/>
          </w:tcPr>
          <w:p w14:paraId="1FA4D186" w14:textId="0A8868C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2127.65</w:t>
            </w:r>
          </w:p>
        </w:tc>
        <w:tc>
          <w:tcPr>
            <w:tcW w:w="1440" w:type="dxa"/>
            <w:vAlign w:val="center"/>
          </w:tcPr>
          <w:p w14:paraId="1106BCA7" w14:textId="2E2754D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-408.35</w:t>
            </w:r>
          </w:p>
        </w:tc>
        <w:tc>
          <w:tcPr>
            <w:tcW w:w="982" w:type="dxa"/>
            <w:vAlign w:val="center"/>
          </w:tcPr>
          <w:p w14:paraId="4A800445" w14:textId="35EF3DD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-16.10</w:t>
            </w:r>
          </w:p>
        </w:tc>
        <w:tc>
          <w:tcPr>
            <w:tcW w:w="984" w:type="dxa"/>
            <w:vAlign w:val="center"/>
          </w:tcPr>
          <w:p w14:paraId="2C30AE59" w14:textId="3624F4C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6.07</w:t>
            </w:r>
          </w:p>
        </w:tc>
        <w:tc>
          <w:tcPr>
            <w:tcW w:w="965" w:type="dxa"/>
            <w:vAlign w:val="center"/>
          </w:tcPr>
          <w:p w14:paraId="629D59A8" w14:textId="42CEE6D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5.09</w:t>
            </w:r>
          </w:p>
        </w:tc>
        <w:tc>
          <w:tcPr>
            <w:tcW w:w="922" w:type="dxa"/>
            <w:vAlign w:val="center"/>
          </w:tcPr>
          <w:p w14:paraId="49856D41" w14:textId="167B4FB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-0.98</w:t>
            </w:r>
          </w:p>
        </w:tc>
      </w:tr>
      <w:tr w:rsidR="00B933C9" w:rsidRPr="009F214D" w14:paraId="664C2837" w14:textId="77777777" w:rsidTr="00B933C9">
        <w:trPr>
          <w:trHeight w:val="20"/>
          <w:jc w:val="center"/>
        </w:trPr>
        <w:tc>
          <w:tcPr>
            <w:tcW w:w="581" w:type="dxa"/>
            <w:vAlign w:val="center"/>
          </w:tcPr>
          <w:p w14:paraId="75658668" w14:textId="12AFBC2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52E239CB" w14:textId="7AD19C1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4BCFFDE2" w14:textId="565D6D6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1048.00</w:t>
            </w:r>
          </w:p>
        </w:tc>
        <w:tc>
          <w:tcPr>
            <w:tcW w:w="963" w:type="dxa"/>
            <w:vAlign w:val="center"/>
          </w:tcPr>
          <w:p w14:paraId="054B987A" w14:textId="593BD76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1452.02</w:t>
            </w:r>
          </w:p>
        </w:tc>
        <w:tc>
          <w:tcPr>
            <w:tcW w:w="1440" w:type="dxa"/>
            <w:vAlign w:val="center"/>
          </w:tcPr>
          <w:p w14:paraId="40253DD6" w14:textId="67C4287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404.02</w:t>
            </w:r>
          </w:p>
        </w:tc>
        <w:tc>
          <w:tcPr>
            <w:tcW w:w="982" w:type="dxa"/>
            <w:vAlign w:val="center"/>
          </w:tcPr>
          <w:p w14:paraId="6FC21973" w14:textId="6B5256F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38.55</w:t>
            </w:r>
          </w:p>
        </w:tc>
        <w:tc>
          <w:tcPr>
            <w:tcW w:w="984" w:type="dxa"/>
            <w:vAlign w:val="center"/>
          </w:tcPr>
          <w:p w14:paraId="04574166" w14:textId="50DE4E5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3.73</w:t>
            </w:r>
          </w:p>
        </w:tc>
        <w:tc>
          <w:tcPr>
            <w:tcW w:w="965" w:type="dxa"/>
            <w:vAlign w:val="center"/>
          </w:tcPr>
          <w:p w14:paraId="227499D5" w14:textId="7B7043E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5.16</w:t>
            </w:r>
          </w:p>
        </w:tc>
        <w:tc>
          <w:tcPr>
            <w:tcW w:w="922" w:type="dxa"/>
            <w:vAlign w:val="center"/>
          </w:tcPr>
          <w:p w14:paraId="6E3E478F" w14:textId="1CEB09F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1.44</w:t>
            </w:r>
          </w:p>
        </w:tc>
      </w:tr>
      <w:tr w:rsidR="00B933C9" w:rsidRPr="009F214D" w14:paraId="693A10F9" w14:textId="77777777" w:rsidTr="00B933C9">
        <w:trPr>
          <w:trHeight w:val="20"/>
          <w:jc w:val="center"/>
        </w:trPr>
        <w:tc>
          <w:tcPr>
            <w:tcW w:w="581" w:type="dxa"/>
            <w:vAlign w:val="center"/>
          </w:tcPr>
          <w:p w14:paraId="26BAA233" w14:textId="73AA045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60ED3BBE" w14:textId="5C7535F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0819D13A" w14:textId="17A39BE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2019.00</w:t>
            </w:r>
          </w:p>
        </w:tc>
        <w:tc>
          <w:tcPr>
            <w:tcW w:w="963" w:type="dxa"/>
            <w:vAlign w:val="center"/>
          </w:tcPr>
          <w:p w14:paraId="617C5272" w14:textId="7AA07A4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2455.23</w:t>
            </w:r>
          </w:p>
        </w:tc>
        <w:tc>
          <w:tcPr>
            <w:tcW w:w="1440" w:type="dxa"/>
            <w:vAlign w:val="center"/>
          </w:tcPr>
          <w:p w14:paraId="7973B7FA" w14:textId="797EF63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436.23</w:t>
            </w:r>
          </w:p>
        </w:tc>
        <w:tc>
          <w:tcPr>
            <w:tcW w:w="982" w:type="dxa"/>
            <w:vAlign w:val="center"/>
          </w:tcPr>
          <w:p w14:paraId="6765E67B" w14:textId="16B782E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21.61</w:t>
            </w:r>
          </w:p>
        </w:tc>
        <w:tc>
          <w:tcPr>
            <w:tcW w:w="984" w:type="dxa"/>
            <w:vAlign w:val="center"/>
          </w:tcPr>
          <w:p w14:paraId="4B47F5D8" w14:textId="1925AE5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3.43</w:t>
            </w:r>
          </w:p>
        </w:tc>
        <w:tc>
          <w:tcPr>
            <w:tcW w:w="965" w:type="dxa"/>
            <w:vAlign w:val="center"/>
          </w:tcPr>
          <w:p w14:paraId="22AF2E4C" w14:textId="559CF71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4.17</w:t>
            </w:r>
          </w:p>
        </w:tc>
        <w:tc>
          <w:tcPr>
            <w:tcW w:w="922" w:type="dxa"/>
            <w:vAlign w:val="center"/>
          </w:tcPr>
          <w:p w14:paraId="358FD062" w14:textId="01C0513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0.74</w:t>
            </w:r>
          </w:p>
        </w:tc>
      </w:tr>
      <w:tr w:rsidR="00B933C9" w:rsidRPr="009F214D" w14:paraId="6B1AAAC1" w14:textId="77777777" w:rsidTr="00B933C9">
        <w:trPr>
          <w:trHeight w:val="20"/>
          <w:jc w:val="center"/>
        </w:trPr>
        <w:tc>
          <w:tcPr>
            <w:tcW w:w="581" w:type="dxa"/>
            <w:vAlign w:val="center"/>
          </w:tcPr>
          <w:p w14:paraId="27F76D0A" w14:textId="7915A87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5A1EE210" w14:textId="4EECF54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6DD359F3" w14:textId="7389D3F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4107.00</w:t>
            </w:r>
          </w:p>
        </w:tc>
        <w:tc>
          <w:tcPr>
            <w:tcW w:w="963" w:type="dxa"/>
            <w:vAlign w:val="center"/>
          </w:tcPr>
          <w:p w14:paraId="602EACD2" w14:textId="0994C52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3524.30</w:t>
            </w:r>
          </w:p>
        </w:tc>
        <w:tc>
          <w:tcPr>
            <w:tcW w:w="1440" w:type="dxa"/>
            <w:vAlign w:val="center"/>
          </w:tcPr>
          <w:p w14:paraId="79A8E3B4" w14:textId="2B5B512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-582.70</w:t>
            </w:r>
          </w:p>
        </w:tc>
        <w:tc>
          <w:tcPr>
            <w:tcW w:w="982" w:type="dxa"/>
            <w:vAlign w:val="center"/>
          </w:tcPr>
          <w:p w14:paraId="5F34746A" w14:textId="694496D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-14.19</w:t>
            </w:r>
          </w:p>
        </w:tc>
        <w:tc>
          <w:tcPr>
            <w:tcW w:w="984" w:type="dxa"/>
            <w:vAlign w:val="center"/>
          </w:tcPr>
          <w:p w14:paraId="7A62E271" w14:textId="075C6C6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5.83</w:t>
            </w:r>
          </w:p>
        </w:tc>
        <w:tc>
          <w:tcPr>
            <w:tcW w:w="965" w:type="dxa"/>
            <w:vAlign w:val="center"/>
          </w:tcPr>
          <w:p w14:paraId="3E960462" w14:textId="7FB6CC1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5.00</w:t>
            </w:r>
          </w:p>
        </w:tc>
        <w:tc>
          <w:tcPr>
            <w:tcW w:w="922" w:type="dxa"/>
            <w:vAlign w:val="center"/>
          </w:tcPr>
          <w:p w14:paraId="1C32FCD8" w14:textId="22C1263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-0.83</w:t>
            </w:r>
          </w:p>
        </w:tc>
      </w:tr>
      <w:tr w:rsidR="00B933C9" w:rsidRPr="009F214D" w14:paraId="61D0F189" w14:textId="77777777" w:rsidTr="00B933C9">
        <w:trPr>
          <w:trHeight w:val="20"/>
          <w:jc w:val="center"/>
        </w:trPr>
        <w:tc>
          <w:tcPr>
            <w:tcW w:w="581" w:type="dxa"/>
            <w:vAlign w:val="center"/>
          </w:tcPr>
          <w:p w14:paraId="42F16B49" w14:textId="27CEF6E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42ADAE74" w14:textId="49E3B9FD"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1C0A774D" w14:textId="4062FB3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1406.00</w:t>
            </w:r>
          </w:p>
        </w:tc>
        <w:tc>
          <w:tcPr>
            <w:tcW w:w="963" w:type="dxa"/>
            <w:vAlign w:val="center"/>
          </w:tcPr>
          <w:p w14:paraId="588F92AC" w14:textId="304C8B2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1268.53</w:t>
            </w:r>
          </w:p>
        </w:tc>
        <w:tc>
          <w:tcPr>
            <w:tcW w:w="1440" w:type="dxa"/>
            <w:vAlign w:val="center"/>
          </w:tcPr>
          <w:p w14:paraId="16FAB830" w14:textId="0383420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-137.47</w:t>
            </w:r>
          </w:p>
        </w:tc>
        <w:tc>
          <w:tcPr>
            <w:tcW w:w="982" w:type="dxa"/>
            <w:vAlign w:val="center"/>
          </w:tcPr>
          <w:p w14:paraId="2B78CBE7" w14:textId="5D886E0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-9.78</w:t>
            </w:r>
          </w:p>
        </w:tc>
        <w:tc>
          <w:tcPr>
            <w:tcW w:w="984" w:type="dxa"/>
            <w:vAlign w:val="center"/>
          </w:tcPr>
          <w:p w14:paraId="543314D0" w14:textId="55F266A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4.82</w:t>
            </w:r>
          </w:p>
        </w:tc>
        <w:tc>
          <w:tcPr>
            <w:tcW w:w="965" w:type="dxa"/>
            <w:vAlign w:val="center"/>
          </w:tcPr>
          <w:p w14:paraId="46B25CBC" w14:textId="4F57DEA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4.35</w:t>
            </w:r>
          </w:p>
        </w:tc>
        <w:tc>
          <w:tcPr>
            <w:tcW w:w="922" w:type="dxa"/>
            <w:vAlign w:val="center"/>
          </w:tcPr>
          <w:p w14:paraId="439C64B9" w14:textId="7906181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-0.47</w:t>
            </w:r>
          </w:p>
        </w:tc>
      </w:tr>
      <w:tr w:rsidR="00B933C9" w:rsidRPr="009F214D" w14:paraId="7CADC9D3" w14:textId="77777777" w:rsidTr="00B933C9">
        <w:trPr>
          <w:trHeight w:val="20"/>
          <w:jc w:val="center"/>
        </w:trPr>
        <w:tc>
          <w:tcPr>
            <w:tcW w:w="581" w:type="dxa"/>
            <w:vAlign w:val="center"/>
          </w:tcPr>
          <w:p w14:paraId="66CC4017" w14:textId="3224A95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44C3A825" w14:textId="4380B0C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21165B99" w14:textId="3B0B14D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1652.00</w:t>
            </w:r>
          </w:p>
        </w:tc>
        <w:tc>
          <w:tcPr>
            <w:tcW w:w="963" w:type="dxa"/>
            <w:vAlign w:val="center"/>
          </w:tcPr>
          <w:p w14:paraId="71C4D359" w14:textId="332B65A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783.33</w:t>
            </w:r>
          </w:p>
        </w:tc>
        <w:tc>
          <w:tcPr>
            <w:tcW w:w="1440" w:type="dxa"/>
            <w:vAlign w:val="center"/>
          </w:tcPr>
          <w:p w14:paraId="26ECE436" w14:textId="22E89B6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-868.67</w:t>
            </w:r>
          </w:p>
        </w:tc>
        <w:tc>
          <w:tcPr>
            <w:tcW w:w="982" w:type="dxa"/>
            <w:vAlign w:val="center"/>
          </w:tcPr>
          <w:p w14:paraId="68FBAE3A" w14:textId="509F8EE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-52.58</w:t>
            </w:r>
          </w:p>
        </w:tc>
        <w:tc>
          <w:tcPr>
            <w:tcW w:w="984" w:type="dxa"/>
            <w:vAlign w:val="center"/>
          </w:tcPr>
          <w:p w14:paraId="1A57D345" w14:textId="143AC3E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8.84</w:t>
            </w:r>
          </w:p>
        </w:tc>
        <w:tc>
          <w:tcPr>
            <w:tcW w:w="965" w:type="dxa"/>
            <w:vAlign w:val="center"/>
          </w:tcPr>
          <w:p w14:paraId="3650BCA2" w14:textId="2D7A82C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4.19</w:t>
            </w:r>
          </w:p>
        </w:tc>
        <w:tc>
          <w:tcPr>
            <w:tcW w:w="922" w:type="dxa"/>
            <w:vAlign w:val="center"/>
          </w:tcPr>
          <w:p w14:paraId="52616007" w14:textId="4FF7206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-4.65</w:t>
            </w:r>
          </w:p>
        </w:tc>
      </w:tr>
      <w:tr w:rsidR="00B933C9" w:rsidRPr="009F214D" w14:paraId="7E00B637" w14:textId="77777777" w:rsidTr="00B933C9">
        <w:trPr>
          <w:trHeight w:val="20"/>
          <w:jc w:val="center"/>
        </w:trPr>
        <w:tc>
          <w:tcPr>
            <w:tcW w:w="581" w:type="dxa"/>
            <w:vAlign w:val="center"/>
          </w:tcPr>
          <w:p w14:paraId="50A06D93" w14:textId="7C5B647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359877FF" w14:textId="592B5A8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35403213" w14:textId="6F3D4A7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1979.00</w:t>
            </w:r>
          </w:p>
        </w:tc>
        <w:tc>
          <w:tcPr>
            <w:tcW w:w="963" w:type="dxa"/>
            <w:vAlign w:val="center"/>
          </w:tcPr>
          <w:p w14:paraId="7ACDE4D5" w14:textId="1D5E3AA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2024.92</w:t>
            </w:r>
          </w:p>
        </w:tc>
        <w:tc>
          <w:tcPr>
            <w:tcW w:w="1440" w:type="dxa"/>
            <w:vAlign w:val="center"/>
          </w:tcPr>
          <w:p w14:paraId="47D0A8BA" w14:textId="42FDE67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45.92</w:t>
            </w:r>
          </w:p>
        </w:tc>
        <w:tc>
          <w:tcPr>
            <w:tcW w:w="982" w:type="dxa"/>
            <w:vAlign w:val="center"/>
          </w:tcPr>
          <w:p w14:paraId="2AE5D066" w14:textId="217F91D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2.32</w:t>
            </w:r>
          </w:p>
        </w:tc>
        <w:tc>
          <w:tcPr>
            <w:tcW w:w="984" w:type="dxa"/>
            <w:vAlign w:val="center"/>
          </w:tcPr>
          <w:p w14:paraId="4D7890F3" w14:textId="3609BAF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4.97</w:t>
            </w:r>
          </w:p>
        </w:tc>
        <w:tc>
          <w:tcPr>
            <w:tcW w:w="965" w:type="dxa"/>
            <w:vAlign w:val="center"/>
          </w:tcPr>
          <w:p w14:paraId="255DA773" w14:textId="2E559C5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5.09</w:t>
            </w:r>
          </w:p>
        </w:tc>
        <w:tc>
          <w:tcPr>
            <w:tcW w:w="922" w:type="dxa"/>
            <w:vAlign w:val="center"/>
          </w:tcPr>
          <w:p w14:paraId="14EDB335" w14:textId="255BD24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0.12</w:t>
            </w:r>
          </w:p>
        </w:tc>
      </w:tr>
      <w:tr w:rsidR="00B933C9" w:rsidRPr="009F214D" w14:paraId="26307427" w14:textId="77777777" w:rsidTr="00B933C9">
        <w:trPr>
          <w:trHeight w:val="20"/>
          <w:jc w:val="center"/>
        </w:trPr>
        <w:tc>
          <w:tcPr>
            <w:tcW w:w="581" w:type="dxa"/>
            <w:vAlign w:val="center"/>
          </w:tcPr>
          <w:p w14:paraId="58F47812" w14:textId="2BE4B0D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35AF3BD5" w14:textId="7F611C8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1E97266F" w14:textId="4B90E4A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2510.00</w:t>
            </w:r>
          </w:p>
        </w:tc>
        <w:tc>
          <w:tcPr>
            <w:tcW w:w="963" w:type="dxa"/>
            <w:vAlign w:val="center"/>
          </w:tcPr>
          <w:p w14:paraId="27AA31D0" w14:textId="10A1952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2774.97</w:t>
            </w:r>
          </w:p>
        </w:tc>
        <w:tc>
          <w:tcPr>
            <w:tcW w:w="1440" w:type="dxa"/>
            <w:vAlign w:val="center"/>
          </w:tcPr>
          <w:p w14:paraId="4745C8F6" w14:textId="21E36D2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264.97</w:t>
            </w:r>
          </w:p>
        </w:tc>
        <w:tc>
          <w:tcPr>
            <w:tcW w:w="982" w:type="dxa"/>
            <w:vAlign w:val="center"/>
          </w:tcPr>
          <w:p w14:paraId="5B3B5B62" w14:textId="2CE0552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10.56</w:t>
            </w:r>
          </w:p>
        </w:tc>
        <w:tc>
          <w:tcPr>
            <w:tcW w:w="984" w:type="dxa"/>
            <w:vAlign w:val="center"/>
          </w:tcPr>
          <w:p w14:paraId="0F2DAC86" w14:textId="352F920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4.73</w:t>
            </w:r>
          </w:p>
        </w:tc>
        <w:tc>
          <w:tcPr>
            <w:tcW w:w="965" w:type="dxa"/>
            <w:vAlign w:val="center"/>
          </w:tcPr>
          <w:p w14:paraId="66405610" w14:textId="7D02271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5.23</w:t>
            </w:r>
          </w:p>
        </w:tc>
        <w:tc>
          <w:tcPr>
            <w:tcW w:w="922" w:type="dxa"/>
            <w:vAlign w:val="center"/>
          </w:tcPr>
          <w:p w14:paraId="4D32854B" w14:textId="56A212D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0.50</w:t>
            </w:r>
          </w:p>
        </w:tc>
      </w:tr>
      <w:tr w:rsidR="00B933C9" w:rsidRPr="009F214D" w14:paraId="003E698C" w14:textId="77777777" w:rsidTr="00B933C9">
        <w:trPr>
          <w:trHeight w:val="20"/>
          <w:jc w:val="center"/>
        </w:trPr>
        <w:tc>
          <w:tcPr>
            <w:tcW w:w="581" w:type="dxa"/>
            <w:vAlign w:val="center"/>
          </w:tcPr>
          <w:p w14:paraId="119CD947" w14:textId="7563D67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49483CAE" w14:textId="1228167D"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734CA86A" w14:textId="26F3673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4319.00</w:t>
            </w:r>
          </w:p>
        </w:tc>
        <w:tc>
          <w:tcPr>
            <w:tcW w:w="963" w:type="dxa"/>
            <w:vAlign w:val="center"/>
          </w:tcPr>
          <w:p w14:paraId="5EE5D61A" w14:textId="62CA9BF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6328.72</w:t>
            </w:r>
          </w:p>
        </w:tc>
        <w:tc>
          <w:tcPr>
            <w:tcW w:w="1440" w:type="dxa"/>
            <w:vAlign w:val="center"/>
          </w:tcPr>
          <w:p w14:paraId="32539D5B" w14:textId="11CE326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2009.72</w:t>
            </w:r>
          </w:p>
        </w:tc>
        <w:tc>
          <w:tcPr>
            <w:tcW w:w="982" w:type="dxa"/>
            <w:vAlign w:val="center"/>
          </w:tcPr>
          <w:p w14:paraId="4CC873D7" w14:textId="2E70E4A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46.53</w:t>
            </w:r>
          </w:p>
        </w:tc>
        <w:tc>
          <w:tcPr>
            <w:tcW w:w="984" w:type="dxa"/>
            <w:vAlign w:val="center"/>
          </w:tcPr>
          <w:p w14:paraId="4110D965" w14:textId="3BFF98F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3.47</w:t>
            </w:r>
          </w:p>
        </w:tc>
        <w:tc>
          <w:tcPr>
            <w:tcW w:w="965" w:type="dxa"/>
            <w:vAlign w:val="center"/>
          </w:tcPr>
          <w:p w14:paraId="3E70CCCF" w14:textId="579C9A4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5.08</w:t>
            </w:r>
          </w:p>
        </w:tc>
        <w:tc>
          <w:tcPr>
            <w:tcW w:w="922" w:type="dxa"/>
            <w:vAlign w:val="center"/>
          </w:tcPr>
          <w:p w14:paraId="086E083B" w14:textId="2DD70EA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1.61</w:t>
            </w:r>
          </w:p>
        </w:tc>
      </w:tr>
      <w:tr w:rsidR="00B933C9" w:rsidRPr="009F214D" w14:paraId="1C30CA49" w14:textId="77777777" w:rsidTr="00B933C9">
        <w:trPr>
          <w:trHeight w:val="20"/>
          <w:jc w:val="center"/>
        </w:trPr>
        <w:tc>
          <w:tcPr>
            <w:tcW w:w="581" w:type="dxa"/>
            <w:vAlign w:val="center"/>
          </w:tcPr>
          <w:p w14:paraId="59E283C3" w14:textId="16CD13E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61E5B67D" w14:textId="54828141"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4496D3C5" w14:textId="2DA574C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3696.00</w:t>
            </w:r>
          </w:p>
        </w:tc>
        <w:tc>
          <w:tcPr>
            <w:tcW w:w="963" w:type="dxa"/>
            <w:vAlign w:val="center"/>
          </w:tcPr>
          <w:p w14:paraId="6946F7CB" w14:textId="3F7CD74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2887.97</w:t>
            </w:r>
          </w:p>
        </w:tc>
        <w:tc>
          <w:tcPr>
            <w:tcW w:w="1440" w:type="dxa"/>
            <w:vAlign w:val="center"/>
          </w:tcPr>
          <w:p w14:paraId="629D0EAB" w14:textId="335C478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-808.03</w:t>
            </w:r>
          </w:p>
        </w:tc>
        <w:tc>
          <w:tcPr>
            <w:tcW w:w="982" w:type="dxa"/>
            <w:vAlign w:val="center"/>
          </w:tcPr>
          <w:p w14:paraId="3E48B3DA" w14:textId="763062A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-21.86</w:t>
            </w:r>
          </w:p>
        </w:tc>
        <w:tc>
          <w:tcPr>
            <w:tcW w:w="984" w:type="dxa"/>
            <w:vAlign w:val="center"/>
          </w:tcPr>
          <w:p w14:paraId="06288419" w14:textId="39466AE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6.07</w:t>
            </w:r>
          </w:p>
        </w:tc>
        <w:tc>
          <w:tcPr>
            <w:tcW w:w="965" w:type="dxa"/>
            <w:vAlign w:val="center"/>
          </w:tcPr>
          <w:p w14:paraId="5B6054A6" w14:textId="5D7F001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4.74</w:t>
            </w:r>
          </w:p>
        </w:tc>
        <w:tc>
          <w:tcPr>
            <w:tcW w:w="922" w:type="dxa"/>
            <w:vAlign w:val="center"/>
          </w:tcPr>
          <w:p w14:paraId="199C4C88" w14:textId="6C33880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-1.33</w:t>
            </w:r>
          </w:p>
        </w:tc>
      </w:tr>
      <w:tr w:rsidR="00B933C9" w:rsidRPr="009F214D" w14:paraId="488C31E4" w14:textId="77777777" w:rsidTr="00B933C9">
        <w:trPr>
          <w:trHeight w:val="20"/>
          <w:jc w:val="center"/>
        </w:trPr>
        <w:tc>
          <w:tcPr>
            <w:tcW w:w="581" w:type="dxa"/>
            <w:vAlign w:val="center"/>
          </w:tcPr>
          <w:p w14:paraId="24B6F5F5" w14:textId="21D4555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1A0685B5" w14:textId="613DFB08"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07443218" w14:textId="10BE518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33684.00</w:t>
            </w:r>
          </w:p>
        </w:tc>
        <w:tc>
          <w:tcPr>
            <w:tcW w:w="963" w:type="dxa"/>
            <w:vAlign w:val="center"/>
          </w:tcPr>
          <w:p w14:paraId="5E42852E" w14:textId="704B078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33942.84</w:t>
            </w:r>
          </w:p>
        </w:tc>
        <w:tc>
          <w:tcPr>
            <w:tcW w:w="1440" w:type="dxa"/>
            <w:vAlign w:val="center"/>
          </w:tcPr>
          <w:p w14:paraId="38FC13F9" w14:textId="096DA60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258.84</w:t>
            </w:r>
          </w:p>
        </w:tc>
        <w:tc>
          <w:tcPr>
            <w:tcW w:w="982" w:type="dxa"/>
            <w:vAlign w:val="center"/>
          </w:tcPr>
          <w:p w14:paraId="3996FE44" w14:textId="4E884E6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0.77</w:t>
            </w:r>
          </w:p>
        </w:tc>
        <w:tc>
          <w:tcPr>
            <w:tcW w:w="984" w:type="dxa"/>
            <w:vAlign w:val="center"/>
          </w:tcPr>
          <w:p w14:paraId="70A54321" w14:textId="5E34FE7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4.70</w:t>
            </w:r>
          </w:p>
        </w:tc>
        <w:tc>
          <w:tcPr>
            <w:tcW w:w="965" w:type="dxa"/>
            <w:vAlign w:val="center"/>
          </w:tcPr>
          <w:p w14:paraId="0F0D2D52" w14:textId="3213F44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4.74</w:t>
            </w:r>
          </w:p>
        </w:tc>
        <w:tc>
          <w:tcPr>
            <w:tcW w:w="922" w:type="dxa"/>
            <w:vAlign w:val="center"/>
          </w:tcPr>
          <w:p w14:paraId="07905EA9" w14:textId="428F0CB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0.04</w:t>
            </w:r>
          </w:p>
        </w:tc>
      </w:tr>
      <w:tr w:rsidR="00B933C9" w:rsidRPr="009F214D" w14:paraId="2464AA8D" w14:textId="77777777" w:rsidTr="005E7BED">
        <w:trPr>
          <w:trHeight w:val="20"/>
          <w:jc w:val="center"/>
        </w:trPr>
        <w:tc>
          <w:tcPr>
            <w:tcW w:w="9072" w:type="dxa"/>
            <w:gridSpan w:val="9"/>
            <w:vAlign w:val="center"/>
          </w:tcPr>
          <w:p w14:paraId="096936B6" w14:textId="33F2BA84"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b/>
                <w:bCs/>
                <w:sz w:val="20"/>
                <w:szCs w:val="20"/>
              </w:rPr>
              <w:t>Expenditure Category: General Administrative Services</w:t>
            </w:r>
          </w:p>
        </w:tc>
      </w:tr>
      <w:tr w:rsidR="00B933C9" w:rsidRPr="009F214D" w14:paraId="17DDB309" w14:textId="77777777" w:rsidTr="00B933C9">
        <w:trPr>
          <w:trHeight w:val="20"/>
          <w:jc w:val="center"/>
        </w:trPr>
        <w:tc>
          <w:tcPr>
            <w:tcW w:w="581" w:type="dxa"/>
            <w:vAlign w:val="center"/>
          </w:tcPr>
          <w:p w14:paraId="1C1020A1" w14:textId="5839A210" w:rsidR="00B933C9" w:rsidRPr="001B4ADF" w:rsidRDefault="00B933C9" w:rsidP="00B933C9">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1</w:t>
            </w:r>
          </w:p>
        </w:tc>
        <w:tc>
          <w:tcPr>
            <w:tcW w:w="1339" w:type="dxa"/>
            <w:vAlign w:val="center"/>
          </w:tcPr>
          <w:p w14:paraId="31C071CB" w14:textId="360B2AF6" w:rsidR="00B933C9" w:rsidRPr="001B4ADF" w:rsidRDefault="00B933C9" w:rsidP="00B933C9">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Andhra Pradesh</w:t>
            </w:r>
          </w:p>
        </w:tc>
        <w:tc>
          <w:tcPr>
            <w:tcW w:w="896" w:type="dxa"/>
            <w:vAlign w:val="center"/>
          </w:tcPr>
          <w:p w14:paraId="3EDA4027" w14:textId="657BEF77"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32341.00</w:t>
            </w:r>
          </w:p>
        </w:tc>
        <w:tc>
          <w:tcPr>
            <w:tcW w:w="963" w:type="dxa"/>
            <w:vAlign w:val="center"/>
          </w:tcPr>
          <w:p w14:paraId="55DBF5FA" w14:textId="5E9E88BD"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32710.06</w:t>
            </w:r>
          </w:p>
        </w:tc>
        <w:tc>
          <w:tcPr>
            <w:tcW w:w="1440" w:type="dxa"/>
            <w:vAlign w:val="center"/>
          </w:tcPr>
          <w:p w14:paraId="7278618B" w14:textId="02F092B4"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369.06</w:t>
            </w:r>
          </w:p>
        </w:tc>
        <w:tc>
          <w:tcPr>
            <w:tcW w:w="982" w:type="dxa"/>
            <w:vAlign w:val="center"/>
          </w:tcPr>
          <w:p w14:paraId="0F42F6A7" w14:textId="6238C746"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1.14</w:t>
            </w:r>
          </w:p>
        </w:tc>
        <w:tc>
          <w:tcPr>
            <w:tcW w:w="984" w:type="dxa"/>
            <w:vAlign w:val="center"/>
          </w:tcPr>
          <w:p w14:paraId="16FD208A" w14:textId="3741B800"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54.37</w:t>
            </w:r>
          </w:p>
        </w:tc>
        <w:tc>
          <w:tcPr>
            <w:tcW w:w="965" w:type="dxa"/>
            <w:vAlign w:val="center"/>
          </w:tcPr>
          <w:p w14:paraId="07D606A2" w14:textId="6F3CB43C"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54.99</w:t>
            </w:r>
          </w:p>
        </w:tc>
        <w:tc>
          <w:tcPr>
            <w:tcW w:w="922" w:type="dxa"/>
            <w:vAlign w:val="center"/>
          </w:tcPr>
          <w:p w14:paraId="38C926AE" w14:textId="06DB52A5"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0.62</w:t>
            </w:r>
          </w:p>
        </w:tc>
      </w:tr>
      <w:tr w:rsidR="00B933C9" w:rsidRPr="009F214D" w14:paraId="3C95E40E" w14:textId="77777777" w:rsidTr="00B933C9">
        <w:trPr>
          <w:trHeight w:val="20"/>
          <w:jc w:val="center"/>
        </w:trPr>
        <w:tc>
          <w:tcPr>
            <w:tcW w:w="581" w:type="dxa"/>
            <w:vAlign w:val="center"/>
          </w:tcPr>
          <w:p w14:paraId="260CD5E1" w14:textId="5D5AB23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5575E696" w14:textId="7B74E776"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271BFE22" w14:textId="4EE08C2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28960.00</w:t>
            </w:r>
          </w:p>
        </w:tc>
        <w:tc>
          <w:tcPr>
            <w:tcW w:w="963" w:type="dxa"/>
            <w:vAlign w:val="center"/>
          </w:tcPr>
          <w:p w14:paraId="77F11891" w14:textId="176CCE5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36785.46</w:t>
            </w:r>
          </w:p>
        </w:tc>
        <w:tc>
          <w:tcPr>
            <w:tcW w:w="1440" w:type="dxa"/>
            <w:vAlign w:val="center"/>
          </w:tcPr>
          <w:p w14:paraId="7748780C" w14:textId="4434BF3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7825.46</w:t>
            </w:r>
          </w:p>
        </w:tc>
        <w:tc>
          <w:tcPr>
            <w:tcW w:w="982" w:type="dxa"/>
            <w:vAlign w:val="center"/>
          </w:tcPr>
          <w:p w14:paraId="32324A7D" w14:textId="3698722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27.02</w:t>
            </w:r>
          </w:p>
        </w:tc>
        <w:tc>
          <w:tcPr>
            <w:tcW w:w="984" w:type="dxa"/>
            <w:vAlign w:val="center"/>
          </w:tcPr>
          <w:p w14:paraId="4E606710" w14:textId="115F2AF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36.78</w:t>
            </w:r>
          </w:p>
        </w:tc>
        <w:tc>
          <w:tcPr>
            <w:tcW w:w="965" w:type="dxa"/>
            <w:vAlign w:val="center"/>
          </w:tcPr>
          <w:p w14:paraId="635EBFDB" w14:textId="0B000A7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46.72</w:t>
            </w:r>
          </w:p>
        </w:tc>
        <w:tc>
          <w:tcPr>
            <w:tcW w:w="922" w:type="dxa"/>
            <w:vAlign w:val="center"/>
          </w:tcPr>
          <w:p w14:paraId="44F315BE" w14:textId="1B9D5A2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9.94</w:t>
            </w:r>
          </w:p>
        </w:tc>
      </w:tr>
      <w:tr w:rsidR="00B933C9" w:rsidRPr="009F214D" w14:paraId="123B5F92" w14:textId="77777777" w:rsidTr="00B933C9">
        <w:trPr>
          <w:trHeight w:val="20"/>
          <w:jc w:val="center"/>
        </w:trPr>
        <w:tc>
          <w:tcPr>
            <w:tcW w:w="581" w:type="dxa"/>
            <w:vAlign w:val="center"/>
          </w:tcPr>
          <w:p w14:paraId="006F5FD5" w14:textId="0ACE0FE0"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4BBC2826" w14:textId="1E43C1D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0C5D155F" w14:textId="286F46A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23367.00</w:t>
            </w:r>
          </w:p>
        </w:tc>
        <w:tc>
          <w:tcPr>
            <w:tcW w:w="963" w:type="dxa"/>
            <w:vAlign w:val="center"/>
          </w:tcPr>
          <w:p w14:paraId="6A099B1A" w14:textId="4FF6DC7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22513.92</w:t>
            </w:r>
          </w:p>
        </w:tc>
        <w:tc>
          <w:tcPr>
            <w:tcW w:w="1440" w:type="dxa"/>
            <w:vAlign w:val="center"/>
          </w:tcPr>
          <w:p w14:paraId="0D901A20" w14:textId="4C75CDD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-853.08</w:t>
            </w:r>
          </w:p>
        </w:tc>
        <w:tc>
          <w:tcPr>
            <w:tcW w:w="982" w:type="dxa"/>
            <w:vAlign w:val="center"/>
          </w:tcPr>
          <w:p w14:paraId="6C4703C1" w14:textId="5E6601C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-3.65</w:t>
            </w:r>
          </w:p>
        </w:tc>
        <w:tc>
          <w:tcPr>
            <w:tcW w:w="984" w:type="dxa"/>
            <w:vAlign w:val="center"/>
          </w:tcPr>
          <w:p w14:paraId="7B6803E9" w14:textId="0A5E046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61.32</w:t>
            </w:r>
          </w:p>
        </w:tc>
        <w:tc>
          <w:tcPr>
            <w:tcW w:w="965" w:type="dxa"/>
            <w:vAlign w:val="center"/>
          </w:tcPr>
          <w:p w14:paraId="606B0B23" w14:textId="53DAF11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59.08</w:t>
            </w:r>
          </w:p>
        </w:tc>
        <w:tc>
          <w:tcPr>
            <w:tcW w:w="922" w:type="dxa"/>
            <w:vAlign w:val="center"/>
          </w:tcPr>
          <w:p w14:paraId="0597238C" w14:textId="115F5F1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-2.24</w:t>
            </w:r>
          </w:p>
        </w:tc>
      </w:tr>
      <w:tr w:rsidR="00B933C9" w:rsidRPr="009F214D" w14:paraId="698F4762" w14:textId="77777777" w:rsidTr="00B933C9">
        <w:trPr>
          <w:trHeight w:val="20"/>
          <w:jc w:val="center"/>
        </w:trPr>
        <w:tc>
          <w:tcPr>
            <w:tcW w:w="581" w:type="dxa"/>
            <w:vAlign w:val="center"/>
          </w:tcPr>
          <w:p w14:paraId="5B4920FB" w14:textId="38B2693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1F831E5E" w14:textId="2F7A80E7"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0430C62E" w14:textId="09AFDA5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9118.00</w:t>
            </w:r>
          </w:p>
        </w:tc>
        <w:tc>
          <w:tcPr>
            <w:tcW w:w="963" w:type="dxa"/>
            <w:vAlign w:val="center"/>
          </w:tcPr>
          <w:p w14:paraId="5E2F97DE" w14:textId="3A56F1F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9325.47</w:t>
            </w:r>
          </w:p>
        </w:tc>
        <w:tc>
          <w:tcPr>
            <w:tcW w:w="1440" w:type="dxa"/>
            <w:vAlign w:val="center"/>
          </w:tcPr>
          <w:p w14:paraId="62E21296" w14:textId="348DBF2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207.47</w:t>
            </w:r>
          </w:p>
        </w:tc>
        <w:tc>
          <w:tcPr>
            <w:tcW w:w="982" w:type="dxa"/>
            <w:vAlign w:val="center"/>
          </w:tcPr>
          <w:p w14:paraId="15EFF6C3" w14:textId="3CEB82B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2.28</w:t>
            </w:r>
          </w:p>
        </w:tc>
        <w:tc>
          <w:tcPr>
            <w:tcW w:w="984" w:type="dxa"/>
            <w:vAlign w:val="center"/>
          </w:tcPr>
          <w:p w14:paraId="31DA4A64" w14:textId="3202021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60.68</w:t>
            </w:r>
          </w:p>
        </w:tc>
        <w:tc>
          <w:tcPr>
            <w:tcW w:w="965" w:type="dxa"/>
            <w:vAlign w:val="center"/>
          </w:tcPr>
          <w:p w14:paraId="1E64B6F8" w14:textId="1216156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62.06</w:t>
            </w:r>
          </w:p>
        </w:tc>
        <w:tc>
          <w:tcPr>
            <w:tcW w:w="922" w:type="dxa"/>
            <w:vAlign w:val="center"/>
          </w:tcPr>
          <w:p w14:paraId="18CC1D5D" w14:textId="743EDD7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1.38</w:t>
            </w:r>
          </w:p>
        </w:tc>
      </w:tr>
      <w:tr w:rsidR="00B933C9" w:rsidRPr="009F214D" w14:paraId="5A70D5E0" w14:textId="77777777" w:rsidTr="00B933C9">
        <w:trPr>
          <w:trHeight w:val="20"/>
          <w:jc w:val="center"/>
        </w:trPr>
        <w:tc>
          <w:tcPr>
            <w:tcW w:w="581" w:type="dxa"/>
            <w:vAlign w:val="center"/>
          </w:tcPr>
          <w:p w14:paraId="456C8235" w14:textId="35C9D31C"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6ECBF8E1" w14:textId="1AB49FC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2217B079" w14:textId="1E618D0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22067.00</w:t>
            </w:r>
          </w:p>
        </w:tc>
        <w:tc>
          <w:tcPr>
            <w:tcW w:w="963" w:type="dxa"/>
            <w:vAlign w:val="center"/>
          </w:tcPr>
          <w:p w14:paraId="01D9D89E" w14:textId="1F6B035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23917.40</w:t>
            </w:r>
          </w:p>
        </w:tc>
        <w:tc>
          <w:tcPr>
            <w:tcW w:w="1440" w:type="dxa"/>
            <w:vAlign w:val="center"/>
          </w:tcPr>
          <w:p w14:paraId="1D57E3E4" w14:textId="676B8E8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1850.40</w:t>
            </w:r>
          </w:p>
        </w:tc>
        <w:tc>
          <w:tcPr>
            <w:tcW w:w="982" w:type="dxa"/>
            <w:vAlign w:val="center"/>
          </w:tcPr>
          <w:p w14:paraId="4FCE680A" w14:textId="2448735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8.39</w:t>
            </w:r>
          </w:p>
        </w:tc>
        <w:tc>
          <w:tcPr>
            <w:tcW w:w="984" w:type="dxa"/>
            <w:vAlign w:val="center"/>
          </w:tcPr>
          <w:p w14:paraId="3C7A19AE" w14:textId="0A7CB7D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52.78</w:t>
            </w:r>
          </w:p>
        </w:tc>
        <w:tc>
          <w:tcPr>
            <w:tcW w:w="965" w:type="dxa"/>
            <w:vAlign w:val="center"/>
          </w:tcPr>
          <w:p w14:paraId="3337FE14" w14:textId="6DA50BD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57.21</w:t>
            </w:r>
          </w:p>
        </w:tc>
        <w:tc>
          <w:tcPr>
            <w:tcW w:w="922" w:type="dxa"/>
            <w:vAlign w:val="center"/>
          </w:tcPr>
          <w:p w14:paraId="061B2541" w14:textId="6FC4306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4.43</w:t>
            </w:r>
          </w:p>
        </w:tc>
      </w:tr>
      <w:tr w:rsidR="00B933C9" w:rsidRPr="009F214D" w14:paraId="4C8BAA1A" w14:textId="77777777" w:rsidTr="00B933C9">
        <w:trPr>
          <w:trHeight w:val="20"/>
          <w:jc w:val="center"/>
        </w:trPr>
        <w:tc>
          <w:tcPr>
            <w:tcW w:w="581" w:type="dxa"/>
            <w:vAlign w:val="center"/>
          </w:tcPr>
          <w:p w14:paraId="6A4AACF2" w14:textId="250981BC"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4DD9AB10" w14:textId="78C2DE6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328454E9" w14:textId="66DB6F8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17395.00</w:t>
            </w:r>
          </w:p>
        </w:tc>
        <w:tc>
          <w:tcPr>
            <w:tcW w:w="963" w:type="dxa"/>
            <w:vAlign w:val="center"/>
          </w:tcPr>
          <w:p w14:paraId="19BA4F28" w14:textId="0B52AB5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17344.44</w:t>
            </w:r>
          </w:p>
        </w:tc>
        <w:tc>
          <w:tcPr>
            <w:tcW w:w="1440" w:type="dxa"/>
            <w:vAlign w:val="center"/>
          </w:tcPr>
          <w:p w14:paraId="1B7B6336" w14:textId="7D83266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-50.56</w:t>
            </w:r>
          </w:p>
        </w:tc>
        <w:tc>
          <w:tcPr>
            <w:tcW w:w="982" w:type="dxa"/>
            <w:vAlign w:val="center"/>
          </w:tcPr>
          <w:p w14:paraId="6799D280" w14:textId="2B643CE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-0.29</w:t>
            </w:r>
          </w:p>
        </w:tc>
        <w:tc>
          <w:tcPr>
            <w:tcW w:w="984" w:type="dxa"/>
            <w:vAlign w:val="center"/>
          </w:tcPr>
          <w:p w14:paraId="132D6812" w14:textId="3F81C99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61.85</w:t>
            </w:r>
          </w:p>
        </w:tc>
        <w:tc>
          <w:tcPr>
            <w:tcW w:w="965" w:type="dxa"/>
            <w:vAlign w:val="center"/>
          </w:tcPr>
          <w:p w14:paraId="4FFE3FC6" w14:textId="711F142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61.67</w:t>
            </w:r>
          </w:p>
        </w:tc>
        <w:tc>
          <w:tcPr>
            <w:tcW w:w="922" w:type="dxa"/>
            <w:vAlign w:val="center"/>
          </w:tcPr>
          <w:p w14:paraId="67E16279" w14:textId="5055BAE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-0.18</w:t>
            </w:r>
          </w:p>
        </w:tc>
      </w:tr>
      <w:tr w:rsidR="00B933C9" w:rsidRPr="009F214D" w14:paraId="712D11B4" w14:textId="77777777" w:rsidTr="00B933C9">
        <w:trPr>
          <w:trHeight w:val="20"/>
          <w:jc w:val="center"/>
        </w:trPr>
        <w:tc>
          <w:tcPr>
            <w:tcW w:w="581" w:type="dxa"/>
            <w:vAlign w:val="center"/>
          </w:tcPr>
          <w:p w14:paraId="03299847" w14:textId="690D0A45"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6DC3866D" w14:textId="344FD7D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0108EB01" w14:textId="7618976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30353.00</w:t>
            </w:r>
          </w:p>
        </w:tc>
        <w:tc>
          <w:tcPr>
            <w:tcW w:w="963" w:type="dxa"/>
            <w:vAlign w:val="center"/>
          </w:tcPr>
          <w:p w14:paraId="4E2C4307" w14:textId="2875B9D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29988.81</w:t>
            </w:r>
          </w:p>
        </w:tc>
        <w:tc>
          <w:tcPr>
            <w:tcW w:w="1440" w:type="dxa"/>
            <w:vAlign w:val="center"/>
          </w:tcPr>
          <w:p w14:paraId="13145031" w14:textId="4766479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-364.19</w:t>
            </w:r>
          </w:p>
        </w:tc>
        <w:tc>
          <w:tcPr>
            <w:tcW w:w="982" w:type="dxa"/>
            <w:vAlign w:val="center"/>
          </w:tcPr>
          <w:p w14:paraId="0D553548" w14:textId="39D53C5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-1.20</w:t>
            </w:r>
          </w:p>
        </w:tc>
        <w:tc>
          <w:tcPr>
            <w:tcW w:w="984" w:type="dxa"/>
            <w:vAlign w:val="center"/>
          </w:tcPr>
          <w:p w14:paraId="18E9B797" w14:textId="44783F8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51.54</w:t>
            </w:r>
          </w:p>
        </w:tc>
        <w:tc>
          <w:tcPr>
            <w:tcW w:w="965" w:type="dxa"/>
            <w:vAlign w:val="center"/>
          </w:tcPr>
          <w:p w14:paraId="5934EAAE" w14:textId="5428FB4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50.92</w:t>
            </w:r>
          </w:p>
        </w:tc>
        <w:tc>
          <w:tcPr>
            <w:tcW w:w="922" w:type="dxa"/>
            <w:vAlign w:val="center"/>
          </w:tcPr>
          <w:p w14:paraId="5E1BF258" w14:textId="433D7EB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-0.62</w:t>
            </w:r>
          </w:p>
        </w:tc>
      </w:tr>
      <w:tr w:rsidR="00B933C9" w:rsidRPr="009F214D" w14:paraId="22DC7845" w14:textId="77777777" w:rsidTr="00B933C9">
        <w:trPr>
          <w:trHeight w:val="20"/>
          <w:jc w:val="center"/>
        </w:trPr>
        <w:tc>
          <w:tcPr>
            <w:tcW w:w="581" w:type="dxa"/>
            <w:vAlign w:val="center"/>
          </w:tcPr>
          <w:p w14:paraId="34FEDB82" w14:textId="7EFEC0F6"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lastRenderedPageBreak/>
              <w:t>8</w:t>
            </w:r>
          </w:p>
        </w:tc>
        <w:tc>
          <w:tcPr>
            <w:tcW w:w="1339" w:type="dxa"/>
            <w:vAlign w:val="center"/>
          </w:tcPr>
          <w:p w14:paraId="3037D2AF" w14:textId="0E3D8BA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689A4FD9" w14:textId="6A23BA9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54557.00</w:t>
            </w:r>
          </w:p>
        </w:tc>
        <w:tc>
          <w:tcPr>
            <w:tcW w:w="963" w:type="dxa"/>
            <w:vAlign w:val="center"/>
          </w:tcPr>
          <w:p w14:paraId="02F63497" w14:textId="77BB32A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39194.54</w:t>
            </w:r>
          </w:p>
        </w:tc>
        <w:tc>
          <w:tcPr>
            <w:tcW w:w="1440" w:type="dxa"/>
            <w:vAlign w:val="center"/>
          </w:tcPr>
          <w:p w14:paraId="3A4C48E4" w14:textId="63927EF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-15362.46</w:t>
            </w:r>
          </w:p>
        </w:tc>
        <w:tc>
          <w:tcPr>
            <w:tcW w:w="982" w:type="dxa"/>
            <w:vAlign w:val="center"/>
          </w:tcPr>
          <w:p w14:paraId="1B9529FA" w14:textId="061E9FC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-28.16</w:t>
            </w:r>
          </w:p>
        </w:tc>
        <w:tc>
          <w:tcPr>
            <w:tcW w:w="984" w:type="dxa"/>
            <w:vAlign w:val="center"/>
          </w:tcPr>
          <w:p w14:paraId="44780974" w14:textId="5FE4766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77.45</w:t>
            </w:r>
          </w:p>
        </w:tc>
        <w:tc>
          <w:tcPr>
            <w:tcW w:w="965" w:type="dxa"/>
            <w:vAlign w:val="center"/>
          </w:tcPr>
          <w:p w14:paraId="4C0F725E" w14:textId="5A9F107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55.64</w:t>
            </w:r>
          </w:p>
        </w:tc>
        <w:tc>
          <w:tcPr>
            <w:tcW w:w="922" w:type="dxa"/>
            <w:vAlign w:val="center"/>
          </w:tcPr>
          <w:p w14:paraId="07A36814" w14:textId="234807F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-21.81</w:t>
            </w:r>
          </w:p>
        </w:tc>
      </w:tr>
      <w:tr w:rsidR="00B933C9" w:rsidRPr="009F214D" w14:paraId="2E0D233E" w14:textId="77777777" w:rsidTr="00B933C9">
        <w:trPr>
          <w:trHeight w:val="20"/>
          <w:jc w:val="center"/>
        </w:trPr>
        <w:tc>
          <w:tcPr>
            <w:tcW w:w="581" w:type="dxa"/>
            <w:vAlign w:val="center"/>
          </w:tcPr>
          <w:p w14:paraId="0A33B881" w14:textId="490DC0C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7D39EAAD" w14:textId="2FA8DE5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31ECE96E" w14:textId="7C679AB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16135.00</w:t>
            </w:r>
          </w:p>
        </w:tc>
        <w:tc>
          <w:tcPr>
            <w:tcW w:w="963" w:type="dxa"/>
            <w:vAlign w:val="center"/>
          </w:tcPr>
          <w:p w14:paraId="68C40117" w14:textId="2DA6F47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15541.70</w:t>
            </w:r>
          </w:p>
        </w:tc>
        <w:tc>
          <w:tcPr>
            <w:tcW w:w="1440" w:type="dxa"/>
            <w:vAlign w:val="center"/>
          </w:tcPr>
          <w:p w14:paraId="426AD148" w14:textId="78FC28B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-593.30</w:t>
            </w:r>
          </w:p>
        </w:tc>
        <w:tc>
          <w:tcPr>
            <w:tcW w:w="982" w:type="dxa"/>
            <w:vAlign w:val="center"/>
          </w:tcPr>
          <w:p w14:paraId="16EB8FA6" w14:textId="7CB26E2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-3.68</w:t>
            </w:r>
          </w:p>
        </w:tc>
        <w:tc>
          <w:tcPr>
            <w:tcW w:w="984" w:type="dxa"/>
            <w:vAlign w:val="center"/>
          </w:tcPr>
          <w:p w14:paraId="65F29AA2" w14:textId="6439F76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55.33</w:t>
            </w:r>
          </w:p>
        </w:tc>
        <w:tc>
          <w:tcPr>
            <w:tcW w:w="965" w:type="dxa"/>
            <w:vAlign w:val="center"/>
          </w:tcPr>
          <w:p w14:paraId="2723360F" w14:textId="1ED4639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53.30</w:t>
            </w:r>
          </w:p>
        </w:tc>
        <w:tc>
          <w:tcPr>
            <w:tcW w:w="922" w:type="dxa"/>
            <w:vAlign w:val="center"/>
          </w:tcPr>
          <w:p w14:paraId="0CDDA4EF" w14:textId="54FE3EE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-2.03</w:t>
            </w:r>
          </w:p>
        </w:tc>
      </w:tr>
      <w:tr w:rsidR="00B933C9" w:rsidRPr="009F214D" w14:paraId="62C90967" w14:textId="77777777" w:rsidTr="00B933C9">
        <w:trPr>
          <w:trHeight w:val="20"/>
          <w:jc w:val="center"/>
        </w:trPr>
        <w:tc>
          <w:tcPr>
            <w:tcW w:w="581" w:type="dxa"/>
            <w:vAlign w:val="center"/>
          </w:tcPr>
          <w:p w14:paraId="7599EE7B" w14:textId="557AA230"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2D5ED3BB" w14:textId="5CACE93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29ED67E7" w14:textId="707CFF9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15249.00</w:t>
            </w:r>
          </w:p>
        </w:tc>
        <w:tc>
          <w:tcPr>
            <w:tcW w:w="963" w:type="dxa"/>
            <w:vAlign w:val="center"/>
          </w:tcPr>
          <w:p w14:paraId="13B7E0E3" w14:textId="0666E8D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12014.68</w:t>
            </w:r>
          </w:p>
        </w:tc>
        <w:tc>
          <w:tcPr>
            <w:tcW w:w="1440" w:type="dxa"/>
            <w:vAlign w:val="center"/>
          </w:tcPr>
          <w:p w14:paraId="103B2163" w14:textId="34FEC8E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-3234.32</w:t>
            </w:r>
          </w:p>
        </w:tc>
        <w:tc>
          <w:tcPr>
            <w:tcW w:w="982" w:type="dxa"/>
            <w:vAlign w:val="center"/>
          </w:tcPr>
          <w:p w14:paraId="477C79ED" w14:textId="2D6D64F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-21.21</w:t>
            </w:r>
          </w:p>
        </w:tc>
        <w:tc>
          <w:tcPr>
            <w:tcW w:w="984" w:type="dxa"/>
            <w:vAlign w:val="center"/>
          </w:tcPr>
          <w:p w14:paraId="0D5E6453" w14:textId="58C7098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81.57</w:t>
            </w:r>
          </w:p>
        </w:tc>
        <w:tc>
          <w:tcPr>
            <w:tcW w:w="965" w:type="dxa"/>
            <w:vAlign w:val="center"/>
          </w:tcPr>
          <w:p w14:paraId="793B74DA" w14:textId="66C684C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64.27</w:t>
            </w:r>
          </w:p>
        </w:tc>
        <w:tc>
          <w:tcPr>
            <w:tcW w:w="922" w:type="dxa"/>
            <w:vAlign w:val="center"/>
          </w:tcPr>
          <w:p w14:paraId="78FED1F1" w14:textId="68E060E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-17.30</w:t>
            </w:r>
          </w:p>
        </w:tc>
      </w:tr>
      <w:tr w:rsidR="00B933C9" w:rsidRPr="009F214D" w14:paraId="38B279DD" w14:textId="77777777" w:rsidTr="00B933C9">
        <w:trPr>
          <w:trHeight w:val="20"/>
          <w:jc w:val="center"/>
        </w:trPr>
        <w:tc>
          <w:tcPr>
            <w:tcW w:w="581" w:type="dxa"/>
            <w:vAlign w:val="center"/>
          </w:tcPr>
          <w:p w14:paraId="578E3D04" w14:textId="31F9E85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06C7A5E3" w14:textId="5B542E78"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3433AA5E" w14:textId="4787A70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20828.00</w:t>
            </w:r>
          </w:p>
        </w:tc>
        <w:tc>
          <w:tcPr>
            <w:tcW w:w="963" w:type="dxa"/>
            <w:vAlign w:val="center"/>
          </w:tcPr>
          <w:p w14:paraId="3D1B94C4" w14:textId="3A1EC36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23881.84</w:t>
            </w:r>
          </w:p>
        </w:tc>
        <w:tc>
          <w:tcPr>
            <w:tcW w:w="1440" w:type="dxa"/>
            <w:vAlign w:val="center"/>
          </w:tcPr>
          <w:p w14:paraId="6626FB04" w14:textId="493B31C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3053.84</w:t>
            </w:r>
          </w:p>
        </w:tc>
        <w:tc>
          <w:tcPr>
            <w:tcW w:w="982" w:type="dxa"/>
            <w:vAlign w:val="center"/>
          </w:tcPr>
          <w:p w14:paraId="0078C42A" w14:textId="7EF1F76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14.66</w:t>
            </w:r>
          </w:p>
        </w:tc>
        <w:tc>
          <w:tcPr>
            <w:tcW w:w="984" w:type="dxa"/>
            <w:vAlign w:val="center"/>
          </w:tcPr>
          <w:p w14:paraId="340A2E77" w14:textId="23AC651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52.33</w:t>
            </w:r>
          </w:p>
        </w:tc>
        <w:tc>
          <w:tcPr>
            <w:tcW w:w="965" w:type="dxa"/>
            <w:vAlign w:val="center"/>
          </w:tcPr>
          <w:p w14:paraId="05A54F58" w14:textId="27AFBC6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60.01</w:t>
            </w:r>
          </w:p>
        </w:tc>
        <w:tc>
          <w:tcPr>
            <w:tcW w:w="922" w:type="dxa"/>
            <w:vAlign w:val="center"/>
          </w:tcPr>
          <w:p w14:paraId="31E1A638" w14:textId="1BDBEEC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7.67</w:t>
            </w:r>
          </w:p>
        </w:tc>
      </w:tr>
      <w:tr w:rsidR="00B933C9" w:rsidRPr="009F214D" w14:paraId="531041C5" w14:textId="77777777" w:rsidTr="00B933C9">
        <w:trPr>
          <w:trHeight w:val="20"/>
          <w:jc w:val="center"/>
        </w:trPr>
        <w:tc>
          <w:tcPr>
            <w:tcW w:w="581" w:type="dxa"/>
            <w:vAlign w:val="center"/>
          </w:tcPr>
          <w:p w14:paraId="015492F4" w14:textId="31B7F8BC"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2496528A" w14:textId="79CE19C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35E93EF1" w14:textId="72C03DE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30411.00</w:t>
            </w:r>
          </w:p>
        </w:tc>
        <w:tc>
          <w:tcPr>
            <w:tcW w:w="963" w:type="dxa"/>
            <w:vAlign w:val="center"/>
          </w:tcPr>
          <w:p w14:paraId="50207B7A" w14:textId="54130FB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31298.43</w:t>
            </w:r>
          </w:p>
        </w:tc>
        <w:tc>
          <w:tcPr>
            <w:tcW w:w="1440" w:type="dxa"/>
            <w:vAlign w:val="center"/>
          </w:tcPr>
          <w:p w14:paraId="092DEA44" w14:textId="7A4DFE9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887.43</w:t>
            </w:r>
          </w:p>
        </w:tc>
        <w:tc>
          <w:tcPr>
            <w:tcW w:w="982" w:type="dxa"/>
            <w:vAlign w:val="center"/>
          </w:tcPr>
          <w:p w14:paraId="4180D83E" w14:textId="1D2D12B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2.92</w:t>
            </w:r>
          </w:p>
        </w:tc>
        <w:tc>
          <w:tcPr>
            <w:tcW w:w="984" w:type="dxa"/>
            <w:vAlign w:val="center"/>
          </w:tcPr>
          <w:p w14:paraId="06F49C71" w14:textId="6534D0D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57.32</w:t>
            </w:r>
          </w:p>
        </w:tc>
        <w:tc>
          <w:tcPr>
            <w:tcW w:w="965" w:type="dxa"/>
            <w:vAlign w:val="center"/>
          </w:tcPr>
          <w:p w14:paraId="71224D53" w14:textId="363DF0A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58.99</w:t>
            </w:r>
          </w:p>
        </w:tc>
        <w:tc>
          <w:tcPr>
            <w:tcW w:w="922" w:type="dxa"/>
            <w:vAlign w:val="center"/>
          </w:tcPr>
          <w:p w14:paraId="4BFD64C9" w14:textId="0145F0E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1.67</w:t>
            </w:r>
          </w:p>
        </w:tc>
      </w:tr>
      <w:tr w:rsidR="00B933C9" w:rsidRPr="009F214D" w14:paraId="360C4ED6" w14:textId="77777777" w:rsidTr="00B933C9">
        <w:trPr>
          <w:trHeight w:val="20"/>
          <w:jc w:val="center"/>
        </w:trPr>
        <w:tc>
          <w:tcPr>
            <w:tcW w:w="581" w:type="dxa"/>
            <w:vAlign w:val="center"/>
          </w:tcPr>
          <w:p w14:paraId="5644FBBE" w14:textId="1139409C"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color w:val="1A1C1E"/>
                <w:sz w:val="16"/>
                <w:szCs w:val="16"/>
              </w:rPr>
              <w:t>13</w:t>
            </w:r>
          </w:p>
        </w:tc>
        <w:tc>
          <w:tcPr>
            <w:tcW w:w="1339" w:type="dxa"/>
            <w:vAlign w:val="center"/>
          </w:tcPr>
          <w:p w14:paraId="2F7A7FFE" w14:textId="5C70647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color w:val="1A1C1E"/>
                <w:sz w:val="16"/>
                <w:szCs w:val="16"/>
              </w:rPr>
              <w:t>Uttar Pradesh</w:t>
            </w:r>
          </w:p>
        </w:tc>
        <w:tc>
          <w:tcPr>
            <w:tcW w:w="896" w:type="dxa"/>
            <w:vAlign w:val="center"/>
          </w:tcPr>
          <w:p w14:paraId="098CF032" w14:textId="5ECBAB4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54167.00</w:t>
            </w:r>
          </w:p>
        </w:tc>
        <w:tc>
          <w:tcPr>
            <w:tcW w:w="963" w:type="dxa"/>
            <w:vAlign w:val="center"/>
          </w:tcPr>
          <w:p w14:paraId="7EE75520" w14:textId="4676D8E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62748.15</w:t>
            </w:r>
          </w:p>
        </w:tc>
        <w:tc>
          <w:tcPr>
            <w:tcW w:w="1440" w:type="dxa"/>
            <w:vAlign w:val="center"/>
          </w:tcPr>
          <w:p w14:paraId="0BB997DA" w14:textId="586ADC8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8581.15</w:t>
            </w:r>
          </w:p>
        </w:tc>
        <w:tc>
          <w:tcPr>
            <w:tcW w:w="982" w:type="dxa"/>
            <w:vAlign w:val="center"/>
          </w:tcPr>
          <w:p w14:paraId="6A0336F9" w14:textId="169BB22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15.84</w:t>
            </w:r>
          </w:p>
        </w:tc>
        <w:tc>
          <w:tcPr>
            <w:tcW w:w="984" w:type="dxa"/>
            <w:vAlign w:val="center"/>
          </w:tcPr>
          <w:p w14:paraId="1860D1D1" w14:textId="6E0EBDC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43.50</w:t>
            </w:r>
          </w:p>
        </w:tc>
        <w:tc>
          <w:tcPr>
            <w:tcW w:w="965" w:type="dxa"/>
            <w:vAlign w:val="center"/>
          </w:tcPr>
          <w:p w14:paraId="555DECDB" w14:textId="4693C1A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50.39</w:t>
            </w:r>
          </w:p>
        </w:tc>
        <w:tc>
          <w:tcPr>
            <w:tcW w:w="922" w:type="dxa"/>
            <w:vAlign w:val="center"/>
          </w:tcPr>
          <w:p w14:paraId="0F5474AA" w14:textId="2D780FD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color w:val="1A1C1E"/>
                <w:sz w:val="16"/>
                <w:szCs w:val="16"/>
              </w:rPr>
              <w:t>6.89</w:t>
            </w:r>
          </w:p>
        </w:tc>
      </w:tr>
      <w:tr w:rsidR="00B933C9" w:rsidRPr="009F214D" w14:paraId="03876912" w14:textId="77777777" w:rsidTr="00B933C9">
        <w:trPr>
          <w:trHeight w:val="20"/>
          <w:jc w:val="center"/>
        </w:trPr>
        <w:tc>
          <w:tcPr>
            <w:tcW w:w="581" w:type="dxa"/>
            <w:vAlign w:val="center"/>
          </w:tcPr>
          <w:p w14:paraId="6BDD67E9" w14:textId="7CD67C53" w:rsidR="00B933C9" w:rsidRPr="001B4ADF" w:rsidRDefault="00B933C9" w:rsidP="00B933C9">
            <w:pPr>
              <w:tabs>
                <w:tab w:val="left" w:pos="2805"/>
              </w:tabs>
              <w:rPr>
                <w:rFonts w:ascii="Times New Roman" w:hAnsi="Times New Roman" w:cs="Times New Roman"/>
                <w:color w:val="1A1C1E"/>
                <w:sz w:val="16"/>
                <w:szCs w:val="16"/>
              </w:rPr>
            </w:pPr>
            <w:r w:rsidRPr="001B4ADF">
              <w:rPr>
                <w:rFonts w:ascii="Times New Roman" w:hAnsi="Times New Roman" w:cs="Times New Roman"/>
                <w:color w:val="1A1C1E"/>
                <w:sz w:val="16"/>
                <w:szCs w:val="16"/>
              </w:rPr>
              <w:t>14</w:t>
            </w:r>
          </w:p>
        </w:tc>
        <w:tc>
          <w:tcPr>
            <w:tcW w:w="1339" w:type="dxa"/>
            <w:vAlign w:val="center"/>
          </w:tcPr>
          <w:p w14:paraId="27E83E9F" w14:textId="4B6C8379" w:rsidR="00B933C9" w:rsidRPr="001B4ADF" w:rsidRDefault="00B933C9" w:rsidP="00B933C9">
            <w:pPr>
              <w:tabs>
                <w:tab w:val="left" w:pos="2805"/>
              </w:tabs>
              <w:rPr>
                <w:rFonts w:ascii="Times New Roman" w:hAnsi="Times New Roman" w:cs="Times New Roman"/>
                <w:color w:val="1A1C1E"/>
                <w:sz w:val="16"/>
                <w:szCs w:val="16"/>
              </w:rPr>
            </w:pPr>
            <w:r w:rsidRPr="001B4ADF">
              <w:rPr>
                <w:rFonts w:ascii="Times New Roman" w:hAnsi="Times New Roman" w:cs="Times New Roman"/>
                <w:color w:val="1A1C1E"/>
                <w:sz w:val="16"/>
                <w:szCs w:val="16"/>
              </w:rPr>
              <w:t>West Bengal</w:t>
            </w:r>
          </w:p>
        </w:tc>
        <w:tc>
          <w:tcPr>
            <w:tcW w:w="896" w:type="dxa"/>
            <w:vAlign w:val="center"/>
          </w:tcPr>
          <w:p w14:paraId="13B71FAC" w14:textId="1CFC9499"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31343.00</w:t>
            </w:r>
          </w:p>
        </w:tc>
        <w:tc>
          <w:tcPr>
            <w:tcW w:w="963" w:type="dxa"/>
            <w:vAlign w:val="center"/>
          </w:tcPr>
          <w:p w14:paraId="7346CF04" w14:textId="20DD6AAE"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31150.18</w:t>
            </w:r>
          </w:p>
        </w:tc>
        <w:tc>
          <w:tcPr>
            <w:tcW w:w="1440" w:type="dxa"/>
            <w:vAlign w:val="center"/>
          </w:tcPr>
          <w:p w14:paraId="7E80BBDE" w14:textId="6952586B"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-192.82</w:t>
            </w:r>
          </w:p>
        </w:tc>
        <w:tc>
          <w:tcPr>
            <w:tcW w:w="982" w:type="dxa"/>
            <w:vAlign w:val="center"/>
          </w:tcPr>
          <w:p w14:paraId="2BB437C0" w14:textId="1716FE74"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-0.62</w:t>
            </w:r>
          </w:p>
        </w:tc>
        <w:tc>
          <w:tcPr>
            <w:tcW w:w="984" w:type="dxa"/>
            <w:vAlign w:val="center"/>
          </w:tcPr>
          <w:p w14:paraId="3BCB7D38" w14:textId="682C6C19"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51.46</w:t>
            </w:r>
          </w:p>
        </w:tc>
        <w:tc>
          <w:tcPr>
            <w:tcW w:w="965" w:type="dxa"/>
            <w:vAlign w:val="center"/>
          </w:tcPr>
          <w:p w14:paraId="088F973A" w14:textId="0B3BF19F"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51.14</w:t>
            </w:r>
          </w:p>
        </w:tc>
        <w:tc>
          <w:tcPr>
            <w:tcW w:w="922" w:type="dxa"/>
            <w:vAlign w:val="center"/>
          </w:tcPr>
          <w:p w14:paraId="07A9434C" w14:textId="15B121E1"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color w:val="1A1C1E"/>
                <w:sz w:val="16"/>
                <w:szCs w:val="16"/>
              </w:rPr>
              <w:t>-0.32</w:t>
            </w:r>
          </w:p>
        </w:tc>
      </w:tr>
      <w:tr w:rsidR="00B933C9" w:rsidRPr="009F214D" w14:paraId="074B6021" w14:textId="77777777" w:rsidTr="00B933C9">
        <w:trPr>
          <w:trHeight w:val="20"/>
          <w:jc w:val="center"/>
        </w:trPr>
        <w:tc>
          <w:tcPr>
            <w:tcW w:w="581" w:type="dxa"/>
            <w:vAlign w:val="center"/>
          </w:tcPr>
          <w:p w14:paraId="1E9FC8A0" w14:textId="4060106F" w:rsidR="00B933C9" w:rsidRPr="001B4ADF" w:rsidRDefault="00B933C9" w:rsidP="00B933C9">
            <w:pPr>
              <w:tabs>
                <w:tab w:val="left" w:pos="2805"/>
              </w:tabs>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14</w:t>
            </w:r>
          </w:p>
        </w:tc>
        <w:tc>
          <w:tcPr>
            <w:tcW w:w="1339" w:type="dxa"/>
            <w:vAlign w:val="center"/>
          </w:tcPr>
          <w:p w14:paraId="72E05AD8" w14:textId="1B7DB39B" w:rsidR="00B933C9" w:rsidRPr="001B4ADF" w:rsidRDefault="00B933C9" w:rsidP="00B933C9">
            <w:pPr>
              <w:tabs>
                <w:tab w:val="left" w:pos="2805"/>
              </w:tabs>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Major States</w:t>
            </w:r>
          </w:p>
        </w:tc>
        <w:tc>
          <w:tcPr>
            <w:tcW w:w="896" w:type="dxa"/>
            <w:vAlign w:val="center"/>
          </w:tcPr>
          <w:p w14:paraId="2409FD91" w14:textId="3F02B967"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386291.00</w:t>
            </w:r>
          </w:p>
        </w:tc>
        <w:tc>
          <w:tcPr>
            <w:tcW w:w="963" w:type="dxa"/>
            <w:vAlign w:val="center"/>
          </w:tcPr>
          <w:p w14:paraId="2E516923" w14:textId="668F6E4C"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388415.07</w:t>
            </w:r>
          </w:p>
        </w:tc>
        <w:tc>
          <w:tcPr>
            <w:tcW w:w="1440" w:type="dxa"/>
            <w:vAlign w:val="center"/>
          </w:tcPr>
          <w:p w14:paraId="043B25CE" w14:textId="27873732"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2124.07</w:t>
            </w:r>
          </w:p>
        </w:tc>
        <w:tc>
          <w:tcPr>
            <w:tcW w:w="982" w:type="dxa"/>
            <w:vAlign w:val="center"/>
          </w:tcPr>
          <w:p w14:paraId="6C260B40" w14:textId="095D4DFD"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0.55</w:t>
            </w:r>
          </w:p>
        </w:tc>
        <w:tc>
          <w:tcPr>
            <w:tcW w:w="984" w:type="dxa"/>
            <w:vAlign w:val="center"/>
          </w:tcPr>
          <w:p w14:paraId="0A8A9808" w14:textId="5B8587B3"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53.89</w:t>
            </w:r>
          </w:p>
        </w:tc>
        <w:tc>
          <w:tcPr>
            <w:tcW w:w="965" w:type="dxa"/>
            <w:vAlign w:val="center"/>
          </w:tcPr>
          <w:p w14:paraId="01F70F1A" w14:textId="2CB3BEFC"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b/>
                <w:bCs/>
                <w:color w:val="1A1C1E"/>
                <w:sz w:val="16"/>
                <w:szCs w:val="16"/>
              </w:rPr>
              <w:t>54.19</w:t>
            </w:r>
          </w:p>
        </w:tc>
        <w:tc>
          <w:tcPr>
            <w:tcW w:w="922" w:type="dxa"/>
            <w:vAlign w:val="center"/>
          </w:tcPr>
          <w:p w14:paraId="7E0B01A7" w14:textId="06B2A50A" w:rsidR="00B933C9" w:rsidRPr="001B4ADF" w:rsidRDefault="00B933C9" w:rsidP="00B933C9">
            <w:pPr>
              <w:tabs>
                <w:tab w:val="left" w:pos="2805"/>
              </w:tabs>
              <w:jc w:val="center"/>
              <w:rPr>
                <w:rFonts w:ascii="Times New Roman" w:hAnsi="Times New Roman" w:cs="Times New Roman"/>
                <w:color w:val="1A1C1E"/>
                <w:sz w:val="16"/>
                <w:szCs w:val="16"/>
              </w:rPr>
            </w:pPr>
            <w:r w:rsidRPr="001B4ADF">
              <w:rPr>
                <w:rFonts w:ascii="Times New Roman" w:hAnsi="Times New Roman" w:cs="Times New Roman"/>
                <w:sz w:val="16"/>
                <w:szCs w:val="16"/>
              </w:rPr>
              <w:t>0.30</w:t>
            </w:r>
          </w:p>
        </w:tc>
      </w:tr>
      <w:tr w:rsidR="00B933C9" w:rsidRPr="009F214D" w14:paraId="594A5B3C" w14:textId="77777777" w:rsidTr="00BB40D6">
        <w:trPr>
          <w:trHeight w:val="20"/>
          <w:jc w:val="center"/>
        </w:trPr>
        <w:tc>
          <w:tcPr>
            <w:tcW w:w="9072" w:type="dxa"/>
            <w:gridSpan w:val="9"/>
            <w:vAlign w:val="center"/>
          </w:tcPr>
          <w:p w14:paraId="0A617ECE" w14:textId="3A80B25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20"/>
                <w:szCs w:val="20"/>
              </w:rPr>
              <w:t>Expenditure Category: Primary Education</w:t>
            </w:r>
          </w:p>
        </w:tc>
      </w:tr>
      <w:tr w:rsidR="00B933C9" w:rsidRPr="009F214D" w14:paraId="2FF1342A" w14:textId="77777777" w:rsidTr="00B933C9">
        <w:trPr>
          <w:trHeight w:val="20"/>
          <w:jc w:val="center"/>
        </w:trPr>
        <w:tc>
          <w:tcPr>
            <w:tcW w:w="581" w:type="dxa"/>
            <w:vAlign w:val="center"/>
          </w:tcPr>
          <w:p w14:paraId="264802E4" w14:textId="3570DD26" w:rsidR="00B933C9" w:rsidRPr="001B4ADF" w:rsidRDefault="00B933C9" w:rsidP="00B933C9">
            <w:pPr>
              <w:tabs>
                <w:tab w:val="left" w:pos="2805"/>
              </w:tabs>
              <w:rPr>
                <w:rFonts w:ascii="Times New Roman" w:hAnsi="Times New Roman" w:cs="Times New Roman"/>
                <w:b/>
                <w:bCs/>
                <w:color w:val="1A1C1E"/>
                <w:sz w:val="16"/>
                <w:szCs w:val="16"/>
              </w:rPr>
            </w:pPr>
            <w:r w:rsidRPr="001B4ADF">
              <w:rPr>
                <w:rFonts w:ascii="Times New Roman" w:hAnsi="Times New Roman" w:cs="Times New Roman"/>
                <w:sz w:val="16"/>
                <w:szCs w:val="16"/>
              </w:rPr>
              <w:t>1</w:t>
            </w:r>
          </w:p>
        </w:tc>
        <w:tc>
          <w:tcPr>
            <w:tcW w:w="1339" w:type="dxa"/>
            <w:vAlign w:val="center"/>
          </w:tcPr>
          <w:p w14:paraId="33A3AA4A" w14:textId="45E0D5FE" w:rsidR="00B933C9" w:rsidRPr="001B4ADF" w:rsidRDefault="00B933C9" w:rsidP="00B933C9">
            <w:pPr>
              <w:tabs>
                <w:tab w:val="left" w:pos="2805"/>
              </w:tabs>
              <w:rPr>
                <w:rFonts w:ascii="Times New Roman" w:hAnsi="Times New Roman" w:cs="Times New Roman"/>
                <w:b/>
                <w:bCs/>
                <w:color w:val="1A1C1E"/>
                <w:sz w:val="16"/>
                <w:szCs w:val="16"/>
              </w:rPr>
            </w:pPr>
            <w:r w:rsidRPr="001B4ADF">
              <w:rPr>
                <w:rFonts w:ascii="Times New Roman" w:hAnsi="Times New Roman" w:cs="Times New Roman"/>
                <w:sz w:val="16"/>
                <w:szCs w:val="16"/>
              </w:rPr>
              <w:t>Andhra Pradesh</w:t>
            </w:r>
          </w:p>
        </w:tc>
        <w:tc>
          <w:tcPr>
            <w:tcW w:w="896" w:type="dxa"/>
            <w:vAlign w:val="center"/>
          </w:tcPr>
          <w:p w14:paraId="28C89AF9" w14:textId="5D7E4D49" w:rsidR="00B933C9" w:rsidRPr="001B4ADF" w:rsidRDefault="00B933C9"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23323.00</w:t>
            </w:r>
          </w:p>
        </w:tc>
        <w:tc>
          <w:tcPr>
            <w:tcW w:w="963" w:type="dxa"/>
            <w:vAlign w:val="center"/>
          </w:tcPr>
          <w:p w14:paraId="32EDFDE0" w14:textId="5167C575" w:rsidR="00B933C9" w:rsidRPr="001B4ADF" w:rsidRDefault="00B933C9"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23991.76</w:t>
            </w:r>
          </w:p>
        </w:tc>
        <w:tc>
          <w:tcPr>
            <w:tcW w:w="1440" w:type="dxa"/>
            <w:vAlign w:val="center"/>
          </w:tcPr>
          <w:p w14:paraId="6F3155C9" w14:textId="150EEE7A" w:rsidR="00B933C9" w:rsidRPr="001B4ADF" w:rsidRDefault="00B933C9"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668.72</w:t>
            </w:r>
          </w:p>
        </w:tc>
        <w:tc>
          <w:tcPr>
            <w:tcW w:w="982" w:type="dxa"/>
            <w:vAlign w:val="center"/>
          </w:tcPr>
          <w:p w14:paraId="52B4F0F0" w14:textId="78DF710B" w:rsidR="00B933C9" w:rsidRPr="001B4ADF" w:rsidRDefault="00B933C9"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2.87</w:t>
            </w:r>
          </w:p>
        </w:tc>
        <w:tc>
          <w:tcPr>
            <w:tcW w:w="984" w:type="dxa"/>
            <w:vAlign w:val="center"/>
          </w:tcPr>
          <w:p w14:paraId="028BF6D7" w14:textId="2F00B213" w:rsidR="00B933C9" w:rsidRPr="001B4ADF" w:rsidRDefault="00B933C9"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39.21</w:t>
            </w:r>
          </w:p>
        </w:tc>
        <w:tc>
          <w:tcPr>
            <w:tcW w:w="965" w:type="dxa"/>
            <w:vAlign w:val="center"/>
          </w:tcPr>
          <w:p w14:paraId="4E894CCD" w14:textId="48BC5F24" w:rsidR="00B933C9" w:rsidRPr="001B4ADF" w:rsidRDefault="00B933C9"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40.33</w:t>
            </w:r>
          </w:p>
        </w:tc>
        <w:tc>
          <w:tcPr>
            <w:tcW w:w="922" w:type="dxa"/>
            <w:vAlign w:val="center"/>
          </w:tcPr>
          <w:p w14:paraId="0454453F" w14:textId="7D9AB28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1.12</w:t>
            </w:r>
          </w:p>
        </w:tc>
      </w:tr>
      <w:tr w:rsidR="00B933C9" w:rsidRPr="009F214D" w14:paraId="2B48BBC9" w14:textId="77777777" w:rsidTr="00B933C9">
        <w:trPr>
          <w:trHeight w:val="20"/>
          <w:jc w:val="center"/>
        </w:trPr>
        <w:tc>
          <w:tcPr>
            <w:tcW w:w="581" w:type="dxa"/>
            <w:vAlign w:val="center"/>
          </w:tcPr>
          <w:p w14:paraId="1BF584C4" w14:textId="2058D62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34F309C0" w14:textId="0B1D531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6AC9ED94" w14:textId="7F0A666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33652.00</w:t>
            </w:r>
          </w:p>
        </w:tc>
        <w:tc>
          <w:tcPr>
            <w:tcW w:w="963" w:type="dxa"/>
            <w:vAlign w:val="center"/>
          </w:tcPr>
          <w:p w14:paraId="5FAC3702" w14:textId="4D07B30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27547.40</w:t>
            </w:r>
          </w:p>
        </w:tc>
        <w:tc>
          <w:tcPr>
            <w:tcW w:w="1440" w:type="dxa"/>
            <w:vAlign w:val="center"/>
          </w:tcPr>
          <w:p w14:paraId="6CC72576" w14:textId="3B6C923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-6104.60</w:t>
            </w:r>
          </w:p>
        </w:tc>
        <w:tc>
          <w:tcPr>
            <w:tcW w:w="982" w:type="dxa"/>
            <w:vAlign w:val="center"/>
          </w:tcPr>
          <w:p w14:paraId="2EF502A0" w14:textId="4F327DC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-18.14</w:t>
            </w:r>
          </w:p>
        </w:tc>
        <w:tc>
          <w:tcPr>
            <w:tcW w:w="984" w:type="dxa"/>
            <w:vAlign w:val="center"/>
          </w:tcPr>
          <w:p w14:paraId="08727731" w14:textId="5F0F484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42.74</w:t>
            </w:r>
          </w:p>
        </w:tc>
        <w:tc>
          <w:tcPr>
            <w:tcW w:w="965" w:type="dxa"/>
            <w:vAlign w:val="center"/>
          </w:tcPr>
          <w:p w14:paraId="2A5335B8" w14:textId="6854AC9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34.99</w:t>
            </w:r>
          </w:p>
        </w:tc>
        <w:tc>
          <w:tcPr>
            <w:tcW w:w="922" w:type="dxa"/>
            <w:vAlign w:val="center"/>
          </w:tcPr>
          <w:p w14:paraId="5540A00B" w14:textId="136E5D8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-7.75</w:t>
            </w:r>
          </w:p>
        </w:tc>
      </w:tr>
      <w:tr w:rsidR="00B933C9" w:rsidRPr="009F214D" w14:paraId="5788816C" w14:textId="77777777" w:rsidTr="00B933C9">
        <w:trPr>
          <w:trHeight w:val="20"/>
          <w:jc w:val="center"/>
        </w:trPr>
        <w:tc>
          <w:tcPr>
            <w:tcW w:w="581" w:type="dxa"/>
            <w:vAlign w:val="center"/>
          </w:tcPr>
          <w:p w14:paraId="53CE1753" w14:textId="2AD9F057"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2461A30C" w14:textId="05E606DC"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50B8B94F" w14:textId="64A1E3D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23336.00</w:t>
            </w:r>
          </w:p>
        </w:tc>
        <w:tc>
          <w:tcPr>
            <w:tcW w:w="963" w:type="dxa"/>
            <w:vAlign w:val="center"/>
          </w:tcPr>
          <w:p w14:paraId="59A9DD25" w14:textId="31AD7DC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20495.85</w:t>
            </w:r>
          </w:p>
        </w:tc>
        <w:tc>
          <w:tcPr>
            <w:tcW w:w="1440" w:type="dxa"/>
            <w:vAlign w:val="center"/>
          </w:tcPr>
          <w:p w14:paraId="6495BF4A" w14:textId="67BE0AC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-2839.84</w:t>
            </w:r>
          </w:p>
        </w:tc>
        <w:tc>
          <w:tcPr>
            <w:tcW w:w="982" w:type="dxa"/>
            <w:vAlign w:val="center"/>
          </w:tcPr>
          <w:p w14:paraId="5FD85478" w14:textId="00AFB6C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-12.17</w:t>
            </w:r>
          </w:p>
        </w:tc>
        <w:tc>
          <w:tcPr>
            <w:tcW w:w="984" w:type="dxa"/>
            <w:vAlign w:val="center"/>
          </w:tcPr>
          <w:p w14:paraId="092D7097" w14:textId="7003C54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61.24</w:t>
            </w:r>
          </w:p>
        </w:tc>
        <w:tc>
          <w:tcPr>
            <w:tcW w:w="965" w:type="dxa"/>
            <w:vAlign w:val="center"/>
          </w:tcPr>
          <w:p w14:paraId="2F450109" w14:textId="5BB3746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53.79</w:t>
            </w:r>
          </w:p>
        </w:tc>
        <w:tc>
          <w:tcPr>
            <w:tcW w:w="922" w:type="dxa"/>
            <w:vAlign w:val="center"/>
          </w:tcPr>
          <w:p w14:paraId="0545883F" w14:textId="0E86844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-7.45</w:t>
            </w:r>
          </w:p>
        </w:tc>
      </w:tr>
      <w:tr w:rsidR="00B933C9" w:rsidRPr="009F214D" w14:paraId="316C2F45" w14:textId="77777777" w:rsidTr="00B933C9">
        <w:trPr>
          <w:trHeight w:val="20"/>
          <w:jc w:val="center"/>
        </w:trPr>
        <w:tc>
          <w:tcPr>
            <w:tcW w:w="581" w:type="dxa"/>
            <w:vAlign w:val="center"/>
          </w:tcPr>
          <w:p w14:paraId="13346718" w14:textId="1E5E355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5C63BC4A" w14:textId="1F32460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793B420A" w14:textId="66B5E73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5674.00</w:t>
            </w:r>
          </w:p>
        </w:tc>
        <w:tc>
          <w:tcPr>
            <w:tcW w:w="963" w:type="dxa"/>
            <w:vAlign w:val="center"/>
          </w:tcPr>
          <w:p w14:paraId="71616DB2" w14:textId="6B7507C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5272.89</w:t>
            </w:r>
          </w:p>
        </w:tc>
        <w:tc>
          <w:tcPr>
            <w:tcW w:w="1440" w:type="dxa"/>
            <w:vAlign w:val="center"/>
          </w:tcPr>
          <w:p w14:paraId="41BA2D71" w14:textId="03B8E18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-400.92</w:t>
            </w:r>
          </w:p>
        </w:tc>
        <w:tc>
          <w:tcPr>
            <w:tcW w:w="982" w:type="dxa"/>
            <w:vAlign w:val="center"/>
          </w:tcPr>
          <w:p w14:paraId="1E6E118F" w14:textId="66B07F0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-7.07</w:t>
            </w:r>
          </w:p>
        </w:tc>
        <w:tc>
          <w:tcPr>
            <w:tcW w:w="984" w:type="dxa"/>
            <w:vAlign w:val="center"/>
          </w:tcPr>
          <w:p w14:paraId="7FA455B0" w14:textId="1C056BC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37.76</w:t>
            </w:r>
          </w:p>
        </w:tc>
        <w:tc>
          <w:tcPr>
            <w:tcW w:w="965" w:type="dxa"/>
            <w:vAlign w:val="center"/>
          </w:tcPr>
          <w:p w14:paraId="5E7850B9" w14:textId="1705B64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35.09</w:t>
            </w:r>
          </w:p>
        </w:tc>
        <w:tc>
          <w:tcPr>
            <w:tcW w:w="922" w:type="dxa"/>
            <w:vAlign w:val="center"/>
          </w:tcPr>
          <w:p w14:paraId="48BDB8ED" w14:textId="512D64C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-2.67</w:t>
            </w:r>
          </w:p>
        </w:tc>
      </w:tr>
      <w:tr w:rsidR="00B933C9" w:rsidRPr="009F214D" w14:paraId="68A496A5" w14:textId="77777777" w:rsidTr="00B933C9">
        <w:trPr>
          <w:trHeight w:val="20"/>
          <w:jc w:val="center"/>
        </w:trPr>
        <w:tc>
          <w:tcPr>
            <w:tcW w:w="581" w:type="dxa"/>
            <w:vAlign w:val="center"/>
          </w:tcPr>
          <w:p w14:paraId="497A5FCD" w14:textId="0D341AD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76BA0E6A" w14:textId="22F6C7A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5AC7FBA2" w14:textId="705737A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22415.00</w:t>
            </w:r>
          </w:p>
        </w:tc>
        <w:tc>
          <w:tcPr>
            <w:tcW w:w="963" w:type="dxa"/>
            <w:vAlign w:val="center"/>
          </w:tcPr>
          <w:p w14:paraId="450D4AE5" w14:textId="5CFFBD0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20419.60</w:t>
            </w:r>
          </w:p>
        </w:tc>
        <w:tc>
          <w:tcPr>
            <w:tcW w:w="1440" w:type="dxa"/>
            <w:vAlign w:val="center"/>
          </w:tcPr>
          <w:p w14:paraId="29FF1340" w14:textId="5A0416B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-1995.45</w:t>
            </w:r>
          </w:p>
        </w:tc>
        <w:tc>
          <w:tcPr>
            <w:tcW w:w="982" w:type="dxa"/>
            <w:vAlign w:val="center"/>
          </w:tcPr>
          <w:p w14:paraId="399252D8" w14:textId="69E7CAB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-8.90</w:t>
            </w:r>
          </w:p>
        </w:tc>
        <w:tc>
          <w:tcPr>
            <w:tcW w:w="984" w:type="dxa"/>
            <w:vAlign w:val="center"/>
          </w:tcPr>
          <w:p w14:paraId="3D810515" w14:textId="7C58815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53.61</w:t>
            </w:r>
          </w:p>
        </w:tc>
        <w:tc>
          <w:tcPr>
            <w:tcW w:w="965" w:type="dxa"/>
            <w:vAlign w:val="center"/>
          </w:tcPr>
          <w:p w14:paraId="19ACBD97" w14:textId="6A6766B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48.84</w:t>
            </w:r>
          </w:p>
        </w:tc>
        <w:tc>
          <w:tcPr>
            <w:tcW w:w="922" w:type="dxa"/>
            <w:vAlign w:val="center"/>
          </w:tcPr>
          <w:p w14:paraId="12F1FDDC" w14:textId="1BDC284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-4.77</w:t>
            </w:r>
          </w:p>
        </w:tc>
      </w:tr>
      <w:tr w:rsidR="00B933C9" w:rsidRPr="009F214D" w14:paraId="71F34F70" w14:textId="77777777" w:rsidTr="00B933C9">
        <w:trPr>
          <w:trHeight w:val="20"/>
          <w:jc w:val="center"/>
        </w:trPr>
        <w:tc>
          <w:tcPr>
            <w:tcW w:w="581" w:type="dxa"/>
            <w:vAlign w:val="center"/>
          </w:tcPr>
          <w:p w14:paraId="12CB46DC" w14:textId="1E3B77B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1B6A32A7" w14:textId="6A6BB2D1"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5425E425" w14:textId="40B7DCE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23262.00</w:t>
            </w:r>
          </w:p>
        </w:tc>
        <w:tc>
          <w:tcPr>
            <w:tcW w:w="963" w:type="dxa"/>
            <w:vAlign w:val="center"/>
          </w:tcPr>
          <w:p w14:paraId="4CAE311D" w14:textId="68A1A59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13561.10</w:t>
            </w:r>
          </w:p>
        </w:tc>
        <w:tc>
          <w:tcPr>
            <w:tcW w:w="1440" w:type="dxa"/>
            <w:vAlign w:val="center"/>
          </w:tcPr>
          <w:p w14:paraId="519EFEED" w14:textId="1C5A636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-9700.65</w:t>
            </w:r>
          </w:p>
        </w:tc>
        <w:tc>
          <w:tcPr>
            <w:tcW w:w="982" w:type="dxa"/>
            <w:vAlign w:val="center"/>
          </w:tcPr>
          <w:p w14:paraId="5BA69852" w14:textId="52A34BB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-41.70</w:t>
            </w:r>
          </w:p>
        </w:tc>
        <w:tc>
          <w:tcPr>
            <w:tcW w:w="984" w:type="dxa"/>
            <w:vAlign w:val="center"/>
          </w:tcPr>
          <w:p w14:paraId="212E73E8" w14:textId="5D9B9BC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82.71</w:t>
            </w:r>
          </w:p>
        </w:tc>
        <w:tc>
          <w:tcPr>
            <w:tcW w:w="965" w:type="dxa"/>
            <w:vAlign w:val="center"/>
          </w:tcPr>
          <w:p w14:paraId="0E215743" w14:textId="35B39F9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48.22</w:t>
            </w:r>
          </w:p>
        </w:tc>
        <w:tc>
          <w:tcPr>
            <w:tcW w:w="922" w:type="dxa"/>
            <w:vAlign w:val="center"/>
          </w:tcPr>
          <w:p w14:paraId="301D5FDC" w14:textId="46FD770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-34.49</w:t>
            </w:r>
          </w:p>
        </w:tc>
      </w:tr>
      <w:tr w:rsidR="00B933C9" w:rsidRPr="009F214D" w14:paraId="330BB86C" w14:textId="77777777" w:rsidTr="00B933C9">
        <w:trPr>
          <w:trHeight w:val="20"/>
          <w:jc w:val="center"/>
        </w:trPr>
        <w:tc>
          <w:tcPr>
            <w:tcW w:w="581" w:type="dxa"/>
            <w:vAlign w:val="center"/>
          </w:tcPr>
          <w:p w14:paraId="48832B3B" w14:textId="63AECFB0"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6B1E3F56" w14:textId="44628594"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0270BC55" w14:textId="12AB552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25510.00</w:t>
            </w:r>
          </w:p>
        </w:tc>
        <w:tc>
          <w:tcPr>
            <w:tcW w:w="963" w:type="dxa"/>
            <w:vAlign w:val="center"/>
          </w:tcPr>
          <w:p w14:paraId="39F5C68C" w14:textId="51EEC9E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24723.73</w:t>
            </w:r>
          </w:p>
        </w:tc>
        <w:tc>
          <w:tcPr>
            <w:tcW w:w="1440" w:type="dxa"/>
            <w:vAlign w:val="center"/>
          </w:tcPr>
          <w:p w14:paraId="24CEAF25" w14:textId="50C5869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-786.31</w:t>
            </w:r>
          </w:p>
        </w:tc>
        <w:tc>
          <w:tcPr>
            <w:tcW w:w="982" w:type="dxa"/>
            <w:vAlign w:val="center"/>
          </w:tcPr>
          <w:p w14:paraId="2821F775" w14:textId="44C9A54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-3.08</w:t>
            </w:r>
          </w:p>
        </w:tc>
        <w:tc>
          <w:tcPr>
            <w:tcW w:w="984" w:type="dxa"/>
            <w:vAlign w:val="center"/>
          </w:tcPr>
          <w:p w14:paraId="3A1F1540" w14:textId="06D74F4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43.31</w:t>
            </w:r>
          </w:p>
        </w:tc>
        <w:tc>
          <w:tcPr>
            <w:tcW w:w="965" w:type="dxa"/>
            <w:vAlign w:val="center"/>
          </w:tcPr>
          <w:p w14:paraId="557F189B" w14:textId="0D08CAC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41.98</w:t>
            </w:r>
          </w:p>
        </w:tc>
        <w:tc>
          <w:tcPr>
            <w:tcW w:w="922" w:type="dxa"/>
            <w:vAlign w:val="center"/>
          </w:tcPr>
          <w:p w14:paraId="07DFE2C8" w14:textId="2559184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-1.34</w:t>
            </w:r>
          </w:p>
        </w:tc>
      </w:tr>
      <w:tr w:rsidR="00B933C9" w:rsidRPr="009F214D" w14:paraId="52DC7A6D" w14:textId="77777777" w:rsidTr="00B933C9">
        <w:trPr>
          <w:trHeight w:val="20"/>
          <w:jc w:val="center"/>
        </w:trPr>
        <w:tc>
          <w:tcPr>
            <w:tcW w:w="581" w:type="dxa"/>
            <w:vAlign w:val="center"/>
          </w:tcPr>
          <w:p w14:paraId="5DCE5298" w14:textId="6F517F0A"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4F438B34" w14:textId="248386F7"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6D402FA4" w14:textId="64DD6D9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40900.00</w:t>
            </w:r>
          </w:p>
        </w:tc>
        <w:tc>
          <w:tcPr>
            <w:tcW w:w="963" w:type="dxa"/>
            <w:vAlign w:val="center"/>
          </w:tcPr>
          <w:p w14:paraId="52709A0B" w14:textId="1DC2657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37754.51</w:t>
            </w:r>
          </w:p>
        </w:tc>
        <w:tc>
          <w:tcPr>
            <w:tcW w:w="1440" w:type="dxa"/>
            <w:vAlign w:val="center"/>
          </w:tcPr>
          <w:p w14:paraId="44D26E63" w14:textId="45BA783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-3145.20</w:t>
            </w:r>
          </w:p>
        </w:tc>
        <w:tc>
          <w:tcPr>
            <w:tcW w:w="982" w:type="dxa"/>
            <w:vAlign w:val="center"/>
          </w:tcPr>
          <w:p w14:paraId="57E1B65D" w14:textId="1DA3B45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-7.69</w:t>
            </w:r>
          </w:p>
        </w:tc>
        <w:tc>
          <w:tcPr>
            <w:tcW w:w="984" w:type="dxa"/>
            <w:vAlign w:val="center"/>
          </w:tcPr>
          <w:p w14:paraId="091DE4EE" w14:textId="2C4A7B4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58.06</w:t>
            </w:r>
          </w:p>
        </w:tc>
        <w:tc>
          <w:tcPr>
            <w:tcW w:w="965" w:type="dxa"/>
            <w:vAlign w:val="center"/>
          </w:tcPr>
          <w:p w14:paraId="5AE43B74" w14:textId="4068D89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53.60</w:t>
            </w:r>
          </w:p>
        </w:tc>
        <w:tc>
          <w:tcPr>
            <w:tcW w:w="922" w:type="dxa"/>
            <w:vAlign w:val="center"/>
          </w:tcPr>
          <w:p w14:paraId="00C9A570" w14:textId="114A0BB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-4.46</w:t>
            </w:r>
          </w:p>
        </w:tc>
      </w:tr>
      <w:tr w:rsidR="00B933C9" w:rsidRPr="009F214D" w14:paraId="2DCE1897" w14:textId="77777777" w:rsidTr="00B933C9">
        <w:trPr>
          <w:trHeight w:val="20"/>
          <w:jc w:val="center"/>
        </w:trPr>
        <w:tc>
          <w:tcPr>
            <w:tcW w:w="581" w:type="dxa"/>
            <w:vAlign w:val="center"/>
          </w:tcPr>
          <w:p w14:paraId="182E6C5B" w14:textId="5692175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47FFAEB5" w14:textId="3D968E8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36DE32D1" w14:textId="53E742D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9614.00</w:t>
            </w:r>
          </w:p>
        </w:tc>
        <w:tc>
          <w:tcPr>
            <w:tcW w:w="963" w:type="dxa"/>
            <w:vAlign w:val="center"/>
          </w:tcPr>
          <w:p w14:paraId="05504655" w14:textId="69FBEB8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13010.71</w:t>
            </w:r>
          </w:p>
        </w:tc>
        <w:tc>
          <w:tcPr>
            <w:tcW w:w="1440" w:type="dxa"/>
            <w:vAlign w:val="center"/>
          </w:tcPr>
          <w:p w14:paraId="73A6EC83" w14:textId="00866C9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3396.58</w:t>
            </w:r>
          </w:p>
        </w:tc>
        <w:tc>
          <w:tcPr>
            <w:tcW w:w="982" w:type="dxa"/>
            <w:vAlign w:val="center"/>
          </w:tcPr>
          <w:p w14:paraId="65CC6249" w14:textId="40007D3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35.33</w:t>
            </w:r>
          </w:p>
        </w:tc>
        <w:tc>
          <w:tcPr>
            <w:tcW w:w="984" w:type="dxa"/>
            <w:vAlign w:val="center"/>
          </w:tcPr>
          <w:p w14:paraId="6CE37EBB" w14:textId="6DD0DF8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32.97</w:t>
            </w:r>
          </w:p>
        </w:tc>
        <w:tc>
          <w:tcPr>
            <w:tcW w:w="965" w:type="dxa"/>
            <w:vAlign w:val="center"/>
          </w:tcPr>
          <w:p w14:paraId="6E81C192" w14:textId="011C31F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44.62</w:t>
            </w:r>
          </w:p>
        </w:tc>
        <w:tc>
          <w:tcPr>
            <w:tcW w:w="922" w:type="dxa"/>
            <w:vAlign w:val="center"/>
          </w:tcPr>
          <w:p w14:paraId="02EBDEC7" w14:textId="31B55DD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11.65</w:t>
            </w:r>
          </w:p>
        </w:tc>
      </w:tr>
      <w:tr w:rsidR="00B933C9" w:rsidRPr="009F214D" w14:paraId="70DA2E2C" w14:textId="77777777" w:rsidTr="00B933C9">
        <w:trPr>
          <w:trHeight w:val="20"/>
          <w:jc w:val="center"/>
        </w:trPr>
        <w:tc>
          <w:tcPr>
            <w:tcW w:w="581" w:type="dxa"/>
            <w:vAlign w:val="center"/>
          </w:tcPr>
          <w:p w14:paraId="1845BE47" w14:textId="7D2A4CA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46A165A9" w14:textId="5ACCDBC5"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38C5E341" w14:textId="0017FAB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8184.00</w:t>
            </w:r>
          </w:p>
        </w:tc>
        <w:tc>
          <w:tcPr>
            <w:tcW w:w="963" w:type="dxa"/>
            <w:vAlign w:val="center"/>
          </w:tcPr>
          <w:p w14:paraId="1AAC0CCE" w14:textId="32F9483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7008.90</w:t>
            </w:r>
          </w:p>
        </w:tc>
        <w:tc>
          <w:tcPr>
            <w:tcW w:w="1440" w:type="dxa"/>
            <w:vAlign w:val="center"/>
          </w:tcPr>
          <w:p w14:paraId="55740CA8" w14:textId="20555A9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-1175.10</w:t>
            </w:r>
          </w:p>
        </w:tc>
        <w:tc>
          <w:tcPr>
            <w:tcW w:w="982" w:type="dxa"/>
            <w:vAlign w:val="center"/>
          </w:tcPr>
          <w:p w14:paraId="6016705B" w14:textId="0581928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-14.36</w:t>
            </w:r>
          </w:p>
        </w:tc>
        <w:tc>
          <w:tcPr>
            <w:tcW w:w="984" w:type="dxa"/>
            <w:vAlign w:val="center"/>
          </w:tcPr>
          <w:p w14:paraId="57E13F67" w14:textId="56DEEA9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43.78</w:t>
            </w:r>
          </w:p>
        </w:tc>
        <w:tc>
          <w:tcPr>
            <w:tcW w:w="965" w:type="dxa"/>
            <w:vAlign w:val="center"/>
          </w:tcPr>
          <w:p w14:paraId="774A4548" w14:textId="40DA300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37.49</w:t>
            </w:r>
          </w:p>
        </w:tc>
        <w:tc>
          <w:tcPr>
            <w:tcW w:w="922" w:type="dxa"/>
            <w:vAlign w:val="center"/>
          </w:tcPr>
          <w:p w14:paraId="7750C673" w14:textId="0D71EEA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-6.29</w:t>
            </w:r>
          </w:p>
        </w:tc>
      </w:tr>
      <w:tr w:rsidR="00B933C9" w:rsidRPr="009F214D" w14:paraId="2B354235" w14:textId="77777777" w:rsidTr="00B933C9">
        <w:trPr>
          <w:trHeight w:val="20"/>
          <w:jc w:val="center"/>
        </w:trPr>
        <w:tc>
          <w:tcPr>
            <w:tcW w:w="581" w:type="dxa"/>
            <w:vAlign w:val="center"/>
          </w:tcPr>
          <w:p w14:paraId="5EAFBE08" w14:textId="3539B52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171A106D" w14:textId="01E6B6F1"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5DF4F612" w14:textId="0B04EA0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16845.00</w:t>
            </w:r>
          </w:p>
        </w:tc>
        <w:tc>
          <w:tcPr>
            <w:tcW w:w="963" w:type="dxa"/>
            <w:vAlign w:val="center"/>
          </w:tcPr>
          <w:p w14:paraId="1990ED87" w14:textId="569219E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17349.53</w:t>
            </w:r>
          </w:p>
        </w:tc>
        <w:tc>
          <w:tcPr>
            <w:tcW w:w="1440" w:type="dxa"/>
            <w:vAlign w:val="center"/>
          </w:tcPr>
          <w:p w14:paraId="67F5177A" w14:textId="3DF7C4B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504.61</w:t>
            </w:r>
          </w:p>
        </w:tc>
        <w:tc>
          <w:tcPr>
            <w:tcW w:w="982" w:type="dxa"/>
            <w:vAlign w:val="center"/>
          </w:tcPr>
          <w:p w14:paraId="40928F71" w14:textId="65417D6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3.00</w:t>
            </w:r>
          </w:p>
        </w:tc>
        <w:tc>
          <w:tcPr>
            <w:tcW w:w="984" w:type="dxa"/>
            <w:vAlign w:val="center"/>
          </w:tcPr>
          <w:p w14:paraId="5195C003" w14:textId="1C7601F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42.33</w:t>
            </w:r>
          </w:p>
        </w:tc>
        <w:tc>
          <w:tcPr>
            <w:tcW w:w="965" w:type="dxa"/>
            <w:vAlign w:val="center"/>
          </w:tcPr>
          <w:p w14:paraId="78F40462" w14:textId="76351C4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43.59</w:t>
            </w:r>
          </w:p>
        </w:tc>
        <w:tc>
          <w:tcPr>
            <w:tcW w:w="922" w:type="dxa"/>
            <w:vAlign w:val="center"/>
          </w:tcPr>
          <w:p w14:paraId="445926E0" w14:textId="6E8A52D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1.27</w:t>
            </w:r>
          </w:p>
        </w:tc>
      </w:tr>
      <w:tr w:rsidR="00B933C9" w:rsidRPr="009F214D" w14:paraId="11107CF9" w14:textId="77777777" w:rsidTr="00B933C9">
        <w:trPr>
          <w:trHeight w:val="20"/>
          <w:jc w:val="center"/>
        </w:trPr>
        <w:tc>
          <w:tcPr>
            <w:tcW w:w="581" w:type="dxa"/>
            <w:vAlign w:val="center"/>
          </w:tcPr>
          <w:p w14:paraId="011CB5E1" w14:textId="409704C5"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457A3C19" w14:textId="7C9EC8C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7D60703C" w14:textId="7288E0D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26962.00</w:t>
            </w:r>
          </w:p>
        </w:tc>
        <w:tc>
          <w:tcPr>
            <w:tcW w:w="963" w:type="dxa"/>
            <w:vAlign w:val="center"/>
          </w:tcPr>
          <w:p w14:paraId="77BE9B57" w14:textId="0825950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32403.28</w:t>
            </w:r>
          </w:p>
        </w:tc>
        <w:tc>
          <w:tcPr>
            <w:tcW w:w="1440" w:type="dxa"/>
            <w:vAlign w:val="center"/>
          </w:tcPr>
          <w:p w14:paraId="665A4806" w14:textId="24D41FE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5441.33</w:t>
            </w:r>
          </w:p>
        </w:tc>
        <w:tc>
          <w:tcPr>
            <w:tcW w:w="982" w:type="dxa"/>
            <w:vAlign w:val="center"/>
          </w:tcPr>
          <w:p w14:paraId="3089EBEB" w14:textId="78D9281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20.18</w:t>
            </w:r>
          </w:p>
        </w:tc>
        <w:tc>
          <w:tcPr>
            <w:tcW w:w="984" w:type="dxa"/>
            <w:vAlign w:val="center"/>
          </w:tcPr>
          <w:p w14:paraId="362C52C4" w14:textId="3DE3597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50.82</w:t>
            </w:r>
          </w:p>
        </w:tc>
        <w:tc>
          <w:tcPr>
            <w:tcW w:w="965" w:type="dxa"/>
            <w:vAlign w:val="center"/>
          </w:tcPr>
          <w:p w14:paraId="5D6FEC1D" w14:textId="55EBE7B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61.08</w:t>
            </w:r>
          </w:p>
        </w:tc>
        <w:tc>
          <w:tcPr>
            <w:tcW w:w="922" w:type="dxa"/>
            <w:vAlign w:val="center"/>
          </w:tcPr>
          <w:p w14:paraId="29C1F63E" w14:textId="5626691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10.26</w:t>
            </w:r>
          </w:p>
        </w:tc>
      </w:tr>
      <w:tr w:rsidR="00B933C9" w:rsidRPr="009F214D" w14:paraId="32E35D95" w14:textId="77777777" w:rsidTr="00B933C9">
        <w:trPr>
          <w:trHeight w:val="20"/>
          <w:jc w:val="center"/>
        </w:trPr>
        <w:tc>
          <w:tcPr>
            <w:tcW w:w="581" w:type="dxa"/>
            <w:vAlign w:val="center"/>
          </w:tcPr>
          <w:p w14:paraId="0FFF0E07" w14:textId="5789F9D0"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46C9E35B" w14:textId="634194D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4A23F878" w14:textId="65F8457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41281.00</w:t>
            </w:r>
          </w:p>
        </w:tc>
        <w:tc>
          <w:tcPr>
            <w:tcW w:w="963" w:type="dxa"/>
            <w:vAlign w:val="center"/>
          </w:tcPr>
          <w:p w14:paraId="60FFE856" w14:textId="008CB62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49181.08</w:t>
            </w:r>
          </w:p>
        </w:tc>
        <w:tc>
          <w:tcPr>
            <w:tcW w:w="1440" w:type="dxa"/>
            <w:vAlign w:val="center"/>
          </w:tcPr>
          <w:p w14:paraId="548115CA" w14:textId="3134AF3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7899.98</w:t>
            </w:r>
          </w:p>
        </w:tc>
        <w:tc>
          <w:tcPr>
            <w:tcW w:w="982" w:type="dxa"/>
            <w:vAlign w:val="center"/>
          </w:tcPr>
          <w:p w14:paraId="772DCB75" w14:textId="4D31A70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19.14</w:t>
            </w:r>
          </w:p>
        </w:tc>
        <w:tc>
          <w:tcPr>
            <w:tcW w:w="984" w:type="dxa"/>
            <w:vAlign w:val="center"/>
          </w:tcPr>
          <w:p w14:paraId="32E348FB" w14:textId="04E237D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33.15</w:t>
            </w:r>
          </w:p>
        </w:tc>
        <w:tc>
          <w:tcPr>
            <w:tcW w:w="965" w:type="dxa"/>
            <w:vAlign w:val="center"/>
          </w:tcPr>
          <w:p w14:paraId="54739A3A" w14:textId="7584DF0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39.49</w:t>
            </w:r>
          </w:p>
        </w:tc>
        <w:tc>
          <w:tcPr>
            <w:tcW w:w="922" w:type="dxa"/>
            <w:vAlign w:val="center"/>
          </w:tcPr>
          <w:p w14:paraId="71F08320" w14:textId="056C60D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6.34</w:t>
            </w:r>
          </w:p>
        </w:tc>
      </w:tr>
      <w:tr w:rsidR="00B933C9" w:rsidRPr="009F214D" w14:paraId="2BEBBA3D" w14:textId="77777777" w:rsidTr="00B933C9">
        <w:trPr>
          <w:trHeight w:val="20"/>
          <w:jc w:val="center"/>
        </w:trPr>
        <w:tc>
          <w:tcPr>
            <w:tcW w:w="581" w:type="dxa"/>
            <w:vAlign w:val="center"/>
          </w:tcPr>
          <w:p w14:paraId="4D3BE321" w14:textId="0D54739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0D854DC5" w14:textId="7BE3B2A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4E053DCE" w14:textId="694AD84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20794.00</w:t>
            </w:r>
          </w:p>
        </w:tc>
        <w:tc>
          <w:tcPr>
            <w:tcW w:w="963" w:type="dxa"/>
            <w:vAlign w:val="center"/>
          </w:tcPr>
          <w:p w14:paraId="3A20ED5D" w14:textId="77594EE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29165.29</w:t>
            </w:r>
          </w:p>
        </w:tc>
        <w:tc>
          <w:tcPr>
            <w:tcW w:w="1440" w:type="dxa"/>
            <w:vAlign w:val="center"/>
          </w:tcPr>
          <w:p w14:paraId="1C3EE759" w14:textId="3834C59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8371.22</w:t>
            </w:r>
          </w:p>
        </w:tc>
        <w:tc>
          <w:tcPr>
            <w:tcW w:w="982" w:type="dxa"/>
            <w:vAlign w:val="center"/>
          </w:tcPr>
          <w:p w14:paraId="343DFDA6" w14:textId="5B8D0B6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40.26</w:t>
            </w:r>
          </w:p>
        </w:tc>
        <w:tc>
          <w:tcPr>
            <w:tcW w:w="984" w:type="dxa"/>
            <w:vAlign w:val="center"/>
          </w:tcPr>
          <w:p w14:paraId="4938AB9C" w14:textId="4CFAFDD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34.14</w:t>
            </w:r>
          </w:p>
        </w:tc>
        <w:tc>
          <w:tcPr>
            <w:tcW w:w="965" w:type="dxa"/>
            <w:vAlign w:val="center"/>
          </w:tcPr>
          <w:p w14:paraId="1E1C6580" w14:textId="53E97E1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47.88</w:t>
            </w:r>
          </w:p>
        </w:tc>
        <w:tc>
          <w:tcPr>
            <w:tcW w:w="922" w:type="dxa"/>
            <w:vAlign w:val="center"/>
          </w:tcPr>
          <w:p w14:paraId="426EB392" w14:textId="3F96454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13.74</w:t>
            </w:r>
          </w:p>
        </w:tc>
      </w:tr>
      <w:tr w:rsidR="00B933C9" w:rsidRPr="009F214D" w14:paraId="74B1A849" w14:textId="77777777" w:rsidTr="00B933C9">
        <w:trPr>
          <w:trHeight w:val="20"/>
          <w:jc w:val="center"/>
        </w:trPr>
        <w:tc>
          <w:tcPr>
            <w:tcW w:w="581" w:type="dxa"/>
            <w:vAlign w:val="center"/>
          </w:tcPr>
          <w:p w14:paraId="2FDDBF1E" w14:textId="5E91F86C"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68F9A6FB" w14:textId="20F4237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4C87D728" w14:textId="5101A36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321751.27</w:t>
            </w:r>
          </w:p>
        </w:tc>
        <w:tc>
          <w:tcPr>
            <w:tcW w:w="963" w:type="dxa"/>
            <w:vAlign w:val="center"/>
          </w:tcPr>
          <w:p w14:paraId="1255E98F" w14:textId="46E7C84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321885.65</w:t>
            </w:r>
          </w:p>
        </w:tc>
        <w:tc>
          <w:tcPr>
            <w:tcW w:w="1440" w:type="dxa"/>
            <w:vAlign w:val="center"/>
          </w:tcPr>
          <w:p w14:paraId="04EDC621" w14:textId="44FBBF7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134.38</w:t>
            </w:r>
          </w:p>
        </w:tc>
        <w:tc>
          <w:tcPr>
            <w:tcW w:w="982" w:type="dxa"/>
            <w:vAlign w:val="center"/>
          </w:tcPr>
          <w:p w14:paraId="30D695CA" w14:textId="08ECE00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0.04</w:t>
            </w:r>
          </w:p>
        </w:tc>
        <w:tc>
          <w:tcPr>
            <w:tcW w:w="984" w:type="dxa"/>
            <w:vAlign w:val="center"/>
          </w:tcPr>
          <w:p w14:paraId="333D29E5" w14:textId="025AE49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44.89</w:t>
            </w:r>
          </w:p>
        </w:tc>
        <w:tc>
          <w:tcPr>
            <w:tcW w:w="965" w:type="dxa"/>
            <w:vAlign w:val="center"/>
          </w:tcPr>
          <w:p w14:paraId="4C7D02EB" w14:textId="7400B80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44.91</w:t>
            </w:r>
          </w:p>
        </w:tc>
        <w:tc>
          <w:tcPr>
            <w:tcW w:w="922" w:type="dxa"/>
            <w:vAlign w:val="center"/>
          </w:tcPr>
          <w:p w14:paraId="72E5CB35" w14:textId="5AA15E8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0.02</w:t>
            </w:r>
          </w:p>
        </w:tc>
      </w:tr>
      <w:tr w:rsidR="00B933C9" w:rsidRPr="009F214D" w14:paraId="2976DB1A" w14:textId="77777777" w:rsidTr="00802B26">
        <w:trPr>
          <w:trHeight w:val="20"/>
          <w:jc w:val="center"/>
        </w:trPr>
        <w:tc>
          <w:tcPr>
            <w:tcW w:w="9072" w:type="dxa"/>
            <w:gridSpan w:val="9"/>
            <w:vAlign w:val="center"/>
          </w:tcPr>
          <w:p w14:paraId="619EF055" w14:textId="1419E13C"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b/>
                <w:bCs/>
                <w:sz w:val="20"/>
                <w:szCs w:val="20"/>
              </w:rPr>
              <w:t>Expenditure Category: Secondary Education</w:t>
            </w:r>
          </w:p>
        </w:tc>
      </w:tr>
      <w:tr w:rsidR="00B933C9" w:rsidRPr="009F214D" w14:paraId="15B8D258" w14:textId="77777777" w:rsidTr="00B933C9">
        <w:trPr>
          <w:trHeight w:val="20"/>
          <w:jc w:val="center"/>
        </w:trPr>
        <w:tc>
          <w:tcPr>
            <w:tcW w:w="581" w:type="dxa"/>
            <w:vAlign w:val="center"/>
          </w:tcPr>
          <w:p w14:paraId="48CCE5EC" w14:textId="1374F708" w:rsidR="00B933C9" w:rsidRPr="001B4ADF" w:rsidRDefault="00B933C9" w:rsidP="00B933C9">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1</w:t>
            </w:r>
          </w:p>
        </w:tc>
        <w:tc>
          <w:tcPr>
            <w:tcW w:w="1339" w:type="dxa"/>
            <w:vAlign w:val="center"/>
          </w:tcPr>
          <w:p w14:paraId="779D6400" w14:textId="09359DCA" w:rsidR="00B933C9" w:rsidRPr="001B4ADF" w:rsidRDefault="00B933C9" w:rsidP="00B933C9">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Andhra Pradesh</w:t>
            </w:r>
          </w:p>
        </w:tc>
        <w:tc>
          <w:tcPr>
            <w:tcW w:w="896" w:type="dxa"/>
            <w:vAlign w:val="center"/>
          </w:tcPr>
          <w:p w14:paraId="6C1248F6" w14:textId="68F3047B"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15218.03</w:t>
            </w:r>
          </w:p>
        </w:tc>
        <w:tc>
          <w:tcPr>
            <w:tcW w:w="963" w:type="dxa"/>
            <w:vAlign w:val="center"/>
          </w:tcPr>
          <w:p w14:paraId="1485F40A" w14:textId="4DFFC211"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16017.55</w:t>
            </w:r>
          </w:p>
        </w:tc>
        <w:tc>
          <w:tcPr>
            <w:tcW w:w="1440" w:type="dxa"/>
            <w:vAlign w:val="center"/>
          </w:tcPr>
          <w:p w14:paraId="71EFE20C" w14:textId="67C4E8C8"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799.52</w:t>
            </w:r>
          </w:p>
        </w:tc>
        <w:tc>
          <w:tcPr>
            <w:tcW w:w="982" w:type="dxa"/>
            <w:vAlign w:val="center"/>
          </w:tcPr>
          <w:p w14:paraId="1ABFCBF7" w14:textId="08231BFF"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5.25</w:t>
            </w:r>
          </w:p>
        </w:tc>
        <w:tc>
          <w:tcPr>
            <w:tcW w:w="984" w:type="dxa"/>
            <w:vAlign w:val="center"/>
          </w:tcPr>
          <w:p w14:paraId="4B0081E5" w14:textId="45F5C939"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25.58</w:t>
            </w:r>
          </w:p>
        </w:tc>
        <w:tc>
          <w:tcPr>
            <w:tcW w:w="965" w:type="dxa"/>
            <w:vAlign w:val="center"/>
          </w:tcPr>
          <w:p w14:paraId="6D840CC0" w14:textId="01356368"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26.93</w:t>
            </w:r>
          </w:p>
        </w:tc>
        <w:tc>
          <w:tcPr>
            <w:tcW w:w="922" w:type="dxa"/>
            <w:vAlign w:val="center"/>
          </w:tcPr>
          <w:p w14:paraId="7DEA046D" w14:textId="78333C22" w:rsidR="00B933C9" w:rsidRPr="001B4ADF" w:rsidRDefault="00B933C9" w:rsidP="00B933C9">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1.34</w:t>
            </w:r>
          </w:p>
        </w:tc>
      </w:tr>
      <w:tr w:rsidR="00B933C9" w:rsidRPr="009F214D" w14:paraId="383034B1" w14:textId="77777777" w:rsidTr="00B933C9">
        <w:trPr>
          <w:trHeight w:val="20"/>
          <w:jc w:val="center"/>
        </w:trPr>
        <w:tc>
          <w:tcPr>
            <w:tcW w:w="581" w:type="dxa"/>
            <w:vAlign w:val="center"/>
          </w:tcPr>
          <w:p w14:paraId="79112F1A" w14:textId="2C624C2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2348E205" w14:textId="52107CE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3E13B11C" w14:textId="5D94E37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9888.00</w:t>
            </w:r>
          </w:p>
        </w:tc>
        <w:tc>
          <w:tcPr>
            <w:tcW w:w="963" w:type="dxa"/>
            <w:vAlign w:val="center"/>
          </w:tcPr>
          <w:p w14:paraId="147E4A1A" w14:textId="33E6360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13796.55</w:t>
            </w:r>
          </w:p>
        </w:tc>
        <w:tc>
          <w:tcPr>
            <w:tcW w:w="1440" w:type="dxa"/>
            <w:vAlign w:val="center"/>
          </w:tcPr>
          <w:p w14:paraId="4BED937F" w14:textId="21B2709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3908.55</w:t>
            </w:r>
          </w:p>
        </w:tc>
        <w:tc>
          <w:tcPr>
            <w:tcW w:w="982" w:type="dxa"/>
            <w:vAlign w:val="center"/>
          </w:tcPr>
          <w:p w14:paraId="744056FC" w14:textId="5595715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39.53</w:t>
            </w:r>
          </w:p>
        </w:tc>
        <w:tc>
          <w:tcPr>
            <w:tcW w:w="984" w:type="dxa"/>
            <w:vAlign w:val="center"/>
          </w:tcPr>
          <w:p w14:paraId="6355F84E" w14:textId="6129404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12.56</w:t>
            </w:r>
          </w:p>
        </w:tc>
        <w:tc>
          <w:tcPr>
            <w:tcW w:w="965" w:type="dxa"/>
            <w:vAlign w:val="center"/>
          </w:tcPr>
          <w:p w14:paraId="7423C4CA" w14:textId="0694272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17.52</w:t>
            </w:r>
          </w:p>
        </w:tc>
        <w:tc>
          <w:tcPr>
            <w:tcW w:w="922" w:type="dxa"/>
            <w:vAlign w:val="center"/>
          </w:tcPr>
          <w:p w14:paraId="1B416E46" w14:textId="7CAE0B6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4.96</w:t>
            </w:r>
          </w:p>
        </w:tc>
      </w:tr>
      <w:tr w:rsidR="00B933C9" w:rsidRPr="009F214D" w14:paraId="30BC5942" w14:textId="77777777" w:rsidTr="00B933C9">
        <w:trPr>
          <w:trHeight w:val="20"/>
          <w:jc w:val="center"/>
        </w:trPr>
        <w:tc>
          <w:tcPr>
            <w:tcW w:w="581" w:type="dxa"/>
            <w:vAlign w:val="center"/>
          </w:tcPr>
          <w:p w14:paraId="72FA967A" w14:textId="44B902D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126BBA16" w14:textId="08AF6926"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49CEA9E5" w14:textId="4C61854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14582.81</w:t>
            </w:r>
          </w:p>
        </w:tc>
        <w:tc>
          <w:tcPr>
            <w:tcW w:w="963" w:type="dxa"/>
            <w:vAlign w:val="center"/>
          </w:tcPr>
          <w:p w14:paraId="1858901C" w14:textId="5442267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14623.31</w:t>
            </w:r>
          </w:p>
        </w:tc>
        <w:tc>
          <w:tcPr>
            <w:tcW w:w="1440" w:type="dxa"/>
            <w:vAlign w:val="center"/>
          </w:tcPr>
          <w:p w14:paraId="189D3474" w14:textId="08CB90B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40.50</w:t>
            </w:r>
          </w:p>
        </w:tc>
        <w:tc>
          <w:tcPr>
            <w:tcW w:w="982" w:type="dxa"/>
            <w:vAlign w:val="center"/>
          </w:tcPr>
          <w:p w14:paraId="61F1F50B" w14:textId="047C316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0.28</w:t>
            </w:r>
          </w:p>
        </w:tc>
        <w:tc>
          <w:tcPr>
            <w:tcW w:w="984" w:type="dxa"/>
            <w:vAlign w:val="center"/>
          </w:tcPr>
          <w:p w14:paraId="1A529BF6" w14:textId="2B80CDC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38.27</w:t>
            </w:r>
          </w:p>
        </w:tc>
        <w:tc>
          <w:tcPr>
            <w:tcW w:w="965" w:type="dxa"/>
            <w:vAlign w:val="center"/>
          </w:tcPr>
          <w:p w14:paraId="6E35F498" w14:textId="076256E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38.38</w:t>
            </w:r>
          </w:p>
        </w:tc>
        <w:tc>
          <w:tcPr>
            <w:tcW w:w="922" w:type="dxa"/>
            <w:vAlign w:val="center"/>
          </w:tcPr>
          <w:p w14:paraId="26F56F52" w14:textId="62ADBEE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0.11</w:t>
            </w:r>
          </w:p>
        </w:tc>
      </w:tr>
      <w:tr w:rsidR="00B933C9" w:rsidRPr="009F214D" w14:paraId="79C272F9" w14:textId="77777777" w:rsidTr="00B933C9">
        <w:trPr>
          <w:trHeight w:val="20"/>
          <w:jc w:val="center"/>
        </w:trPr>
        <w:tc>
          <w:tcPr>
            <w:tcW w:w="581" w:type="dxa"/>
            <w:vAlign w:val="center"/>
          </w:tcPr>
          <w:p w14:paraId="4A086E24" w14:textId="33C1A468"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40764434" w14:textId="26CCFDA1"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142352AA" w14:textId="212AC6C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6318.79</w:t>
            </w:r>
          </w:p>
        </w:tc>
        <w:tc>
          <w:tcPr>
            <w:tcW w:w="963" w:type="dxa"/>
            <w:vAlign w:val="center"/>
          </w:tcPr>
          <w:p w14:paraId="2A26FA15" w14:textId="0118B07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7930.01</w:t>
            </w:r>
          </w:p>
        </w:tc>
        <w:tc>
          <w:tcPr>
            <w:tcW w:w="1440" w:type="dxa"/>
            <w:vAlign w:val="center"/>
          </w:tcPr>
          <w:p w14:paraId="3454C58E" w14:textId="2B36757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1611.22</w:t>
            </w:r>
          </w:p>
        </w:tc>
        <w:tc>
          <w:tcPr>
            <w:tcW w:w="982" w:type="dxa"/>
            <w:vAlign w:val="center"/>
          </w:tcPr>
          <w:p w14:paraId="332BAED4" w14:textId="6345EEF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25.50</w:t>
            </w:r>
          </w:p>
        </w:tc>
        <w:tc>
          <w:tcPr>
            <w:tcW w:w="984" w:type="dxa"/>
            <w:vAlign w:val="center"/>
          </w:tcPr>
          <w:p w14:paraId="2DDED77B" w14:textId="0CEE363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42.05</w:t>
            </w:r>
          </w:p>
        </w:tc>
        <w:tc>
          <w:tcPr>
            <w:tcW w:w="965" w:type="dxa"/>
            <w:vAlign w:val="center"/>
          </w:tcPr>
          <w:p w14:paraId="58FD42B4" w14:textId="29A1C28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52.78</w:t>
            </w:r>
          </w:p>
        </w:tc>
        <w:tc>
          <w:tcPr>
            <w:tcW w:w="922" w:type="dxa"/>
            <w:vAlign w:val="center"/>
          </w:tcPr>
          <w:p w14:paraId="06F4D600" w14:textId="3DB08EE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10.72</w:t>
            </w:r>
          </w:p>
        </w:tc>
      </w:tr>
      <w:tr w:rsidR="00B933C9" w:rsidRPr="009F214D" w14:paraId="028C43CC" w14:textId="77777777" w:rsidTr="00B933C9">
        <w:trPr>
          <w:trHeight w:val="20"/>
          <w:jc w:val="center"/>
        </w:trPr>
        <w:tc>
          <w:tcPr>
            <w:tcW w:w="581" w:type="dxa"/>
            <w:vAlign w:val="center"/>
          </w:tcPr>
          <w:p w14:paraId="25DE6B89" w14:textId="5A119AB6"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60D02003" w14:textId="70691B66"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2B690A9A" w14:textId="0B4CFC6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9720.02</w:t>
            </w:r>
          </w:p>
        </w:tc>
        <w:tc>
          <w:tcPr>
            <w:tcW w:w="963" w:type="dxa"/>
            <w:vAlign w:val="center"/>
          </w:tcPr>
          <w:p w14:paraId="77C884EB" w14:textId="237B1DD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13246.55</w:t>
            </w:r>
          </w:p>
        </w:tc>
        <w:tc>
          <w:tcPr>
            <w:tcW w:w="1440" w:type="dxa"/>
            <w:vAlign w:val="center"/>
          </w:tcPr>
          <w:p w14:paraId="62A01671" w14:textId="4534533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3526.52</w:t>
            </w:r>
          </w:p>
        </w:tc>
        <w:tc>
          <w:tcPr>
            <w:tcW w:w="982" w:type="dxa"/>
            <w:vAlign w:val="center"/>
          </w:tcPr>
          <w:p w14:paraId="3289DC9F" w14:textId="036A235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36.28</w:t>
            </w:r>
          </w:p>
        </w:tc>
        <w:tc>
          <w:tcPr>
            <w:tcW w:w="984" w:type="dxa"/>
            <w:vAlign w:val="center"/>
          </w:tcPr>
          <w:p w14:paraId="6DE184FE" w14:textId="19DB058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23.25</w:t>
            </w:r>
          </w:p>
        </w:tc>
        <w:tc>
          <w:tcPr>
            <w:tcW w:w="965" w:type="dxa"/>
            <w:vAlign w:val="center"/>
          </w:tcPr>
          <w:p w14:paraId="7FB7FE2E" w14:textId="026F804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31.68</w:t>
            </w:r>
          </w:p>
        </w:tc>
        <w:tc>
          <w:tcPr>
            <w:tcW w:w="922" w:type="dxa"/>
            <w:vAlign w:val="center"/>
          </w:tcPr>
          <w:p w14:paraId="509F18EE" w14:textId="0A99102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8.43</w:t>
            </w:r>
          </w:p>
        </w:tc>
      </w:tr>
      <w:tr w:rsidR="00B933C9" w:rsidRPr="009F214D" w14:paraId="7E46C861" w14:textId="77777777" w:rsidTr="00B933C9">
        <w:trPr>
          <w:trHeight w:val="20"/>
          <w:jc w:val="center"/>
        </w:trPr>
        <w:tc>
          <w:tcPr>
            <w:tcW w:w="581" w:type="dxa"/>
            <w:vAlign w:val="center"/>
          </w:tcPr>
          <w:p w14:paraId="722745C6" w14:textId="7C82257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67ACA6A7" w14:textId="27E3A27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658239E5" w14:textId="62DD7D0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13473.86</w:t>
            </w:r>
          </w:p>
        </w:tc>
        <w:tc>
          <w:tcPr>
            <w:tcW w:w="963" w:type="dxa"/>
            <w:vAlign w:val="center"/>
          </w:tcPr>
          <w:p w14:paraId="4FF3EF3D" w14:textId="6612A42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17778.35</w:t>
            </w:r>
          </w:p>
        </w:tc>
        <w:tc>
          <w:tcPr>
            <w:tcW w:w="1440" w:type="dxa"/>
            <w:vAlign w:val="center"/>
          </w:tcPr>
          <w:p w14:paraId="5C2DEA53" w14:textId="742F420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4304.50</w:t>
            </w:r>
          </w:p>
        </w:tc>
        <w:tc>
          <w:tcPr>
            <w:tcW w:w="982" w:type="dxa"/>
            <w:vAlign w:val="center"/>
          </w:tcPr>
          <w:p w14:paraId="688352F5" w14:textId="54040D29"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31.95</w:t>
            </w:r>
          </w:p>
        </w:tc>
        <w:tc>
          <w:tcPr>
            <w:tcW w:w="984" w:type="dxa"/>
            <w:vAlign w:val="center"/>
          </w:tcPr>
          <w:p w14:paraId="111274EC" w14:textId="3A79ADD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47.91</w:t>
            </w:r>
          </w:p>
        </w:tc>
        <w:tc>
          <w:tcPr>
            <w:tcW w:w="965" w:type="dxa"/>
            <w:vAlign w:val="center"/>
          </w:tcPr>
          <w:p w14:paraId="0C1C3524" w14:textId="690F0A0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63.21</w:t>
            </w:r>
          </w:p>
        </w:tc>
        <w:tc>
          <w:tcPr>
            <w:tcW w:w="922" w:type="dxa"/>
            <w:vAlign w:val="center"/>
          </w:tcPr>
          <w:p w14:paraId="312F4A6B" w14:textId="010101E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15.30</w:t>
            </w:r>
          </w:p>
        </w:tc>
      </w:tr>
      <w:tr w:rsidR="00B933C9" w:rsidRPr="009F214D" w14:paraId="62696CC4" w14:textId="77777777" w:rsidTr="00B933C9">
        <w:trPr>
          <w:trHeight w:val="20"/>
          <w:jc w:val="center"/>
        </w:trPr>
        <w:tc>
          <w:tcPr>
            <w:tcW w:w="581" w:type="dxa"/>
            <w:vAlign w:val="center"/>
          </w:tcPr>
          <w:p w14:paraId="21786A81" w14:textId="017E91A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239AABD6" w14:textId="6FA70743"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7FBEE377" w14:textId="75CE93B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16050.03</w:t>
            </w:r>
          </w:p>
        </w:tc>
        <w:tc>
          <w:tcPr>
            <w:tcW w:w="963" w:type="dxa"/>
            <w:vAlign w:val="center"/>
          </w:tcPr>
          <w:p w14:paraId="59294B4F" w14:textId="1106D5E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16613.76</w:t>
            </w:r>
          </w:p>
        </w:tc>
        <w:tc>
          <w:tcPr>
            <w:tcW w:w="1440" w:type="dxa"/>
            <w:vAlign w:val="center"/>
          </w:tcPr>
          <w:p w14:paraId="203AF1F0" w14:textId="4E4834A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563.73</w:t>
            </w:r>
          </w:p>
        </w:tc>
        <w:tc>
          <w:tcPr>
            <w:tcW w:w="982" w:type="dxa"/>
            <w:vAlign w:val="center"/>
          </w:tcPr>
          <w:p w14:paraId="10604EAB" w14:textId="4319375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3.51</w:t>
            </w:r>
          </w:p>
        </w:tc>
        <w:tc>
          <w:tcPr>
            <w:tcW w:w="984" w:type="dxa"/>
            <w:vAlign w:val="center"/>
          </w:tcPr>
          <w:p w14:paraId="59B6BEBA" w14:textId="396E1AA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27.25</w:t>
            </w:r>
          </w:p>
        </w:tc>
        <w:tc>
          <w:tcPr>
            <w:tcW w:w="965" w:type="dxa"/>
            <w:vAlign w:val="center"/>
          </w:tcPr>
          <w:p w14:paraId="52BFBFC8" w14:textId="5000EB5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28.21</w:t>
            </w:r>
          </w:p>
        </w:tc>
        <w:tc>
          <w:tcPr>
            <w:tcW w:w="922" w:type="dxa"/>
            <w:vAlign w:val="center"/>
          </w:tcPr>
          <w:p w14:paraId="212D502C" w14:textId="4E50E8F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0.96</w:t>
            </w:r>
          </w:p>
        </w:tc>
      </w:tr>
      <w:tr w:rsidR="00B933C9" w:rsidRPr="009F214D" w14:paraId="53FB611A" w14:textId="77777777" w:rsidTr="00B933C9">
        <w:trPr>
          <w:trHeight w:val="20"/>
          <w:jc w:val="center"/>
        </w:trPr>
        <w:tc>
          <w:tcPr>
            <w:tcW w:w="581" w:type="dxa"/>
            <w:vAlign w:val="center"/>
          </w:tcPr>
          <w:p w14:paraId="3D88F077" w14:textId="6DC90978"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497DD661" w14:textId="547D376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7B961636" w14:textId="62C4541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34740.75</w:t>
            </w:r>
          </w:p>
        </w:tc>
        <w:tc>
          <w:tcPr>
            <w:tcW w:w="963" w:type="dxa"/>
            <w:vAlign w:val="center"/>
          </w:tcPr>
          <w:p w14:paraId="47DF00B1" w14:textId="20DB147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28145.43</w:t>
            </w:r>
          </w:p>
        </w:tc>
        <w:tc>
          <w:tcPr>
            <w:tcW w:w="1440" w:type="dxa"/>
            <w:vAlign w:val="center"/>
          </w:tcPr>
          <w:p w14:paraId="512A4F81" w14:textId="0FAC8A0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-6595.32</w:t>
            </w:r>
          </w:p>
        </w:tc>
        <w:tc>
          <w:tcPr>
            <w:tcW w:w="982" w:type="dxa"/>
            <w:vAlign w:val="center"/>
          </w:tcPr>
          <w:p w14:paraId="5F38F375" w14:textId="6937C08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-18.98</w:t>
            </w:r>
          </w:p>
        </w:tc>
        <w:tc>
          <w:tcPr>
            <w:tcW w:w="984" w:type="dxa"/>
            <w:vAlign w:val="center"/>
          </w:tcPr>
          <w:p w14:paraId="26E0C96A" w14:textId="1AE1C54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49.32</w:t>
            </w:r>
          </w:p>
        </w:tc>
        <w:tc>
          <w:tcPr>
            <w:tcW w:w="965" w:type="dxa"/>
            <w:vAlign w:val="center"/>
          </w:tcPr>
          <w:p w14:paraId="189BAF4B" w14:textId="625ACEA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39.95</w:t>
            </w:r>
          </w:p>
        </w:tc>
        <w:tc>
          <w:tcPr>
            <w:tcW w:w="922" w:type="dxa"/>
            <w:vAlign w:val="center"/>
          </w:tcPr>
          <w:p w14:paraId="27A0842C" w14:textId="50B7830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-9.36</w:t>
            </w:r>
          </w:p>
        </w:tc>
      </w:tr>
      <w:tr w:rsidR="00B933C9" w:rsidRPr="009F214D" w14:paraId="7DB6AD29" w14:textId="77777777" w:rsidTr="00B933C9">
        <w:trPr>
          <w:trHeight w:val="20"/>
          <w:jc w:val="center"/>
        </w:trPr>
        <w:tc>
          <w:tcPr>
            <w:tcW w:w="581" w:type="dxa"/>
            <w:vAlign w:val="center"/>
          </w:tcPr>
          <w:p w14:paraId="18218AB5" w14:textId="641E090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59D306B0" w14:textId="6F4D83F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0FB46BFA" w14:textId="0BCBC76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8540.12</w:t>
            </w:r>
          </w:p>
        </w:tc>
        <w:tc>
          <w:tcPr>
            <w:tcW w:w="963" w:type="dxa"/>
            <w:vAlign w:val="center"/>
          </w:tcPr>
          <w:p w14:paraId="179F07BA" w14:textId="23ADE19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10127.35</w:t>
            </w:r>
          </w:p>
        </w:tc>
        <w:tc>
          <w:tcPr>
            <w:tcW w:w="1440" w:type="dxa"/>
            <w:vAlign w:val="center"/>
          </w:tcPr>
          <w:p w14:paraId="4AF81CFF" w14:textId="60B3F42F"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1587.24</w:t>
            </w:r>
          </w:p>
        </w:tc>
        <w:tc>
          <w:tcPr>
            <w:tcW w:w="982" w:type="dxa"/>
            <w:vAlign w:val="center"/>
          </w:tcPr>
          <w:p w14:paraId="2B7D45D8" w14:textId="72AB8DD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18.59</w:t>
            </w:r>
          </w:p>
        </w:tc>
        <w:tc>
          <w:tcPr>
            <w:tcW w:w="984" w:type="dxa"/>
            <w:vAlign w:val="center"/>
          </w:tcPr>
          <w:p w14:paraId="7FED35D3" w14:textId="3A6E022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29.29</w:t>
            </w:r>
          </w:p>
        </w:tc>
        <w:tc>
          <w:tcPr>
            <w:tcW w:w="965" w:type="dxa"/>
            <w:vAlign w:val="center"/>
          </w:tcPr>
          <w:p w14:paraId="4A36CEFF" w14:textId="29551B6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34.73</w:t>
            </w:r>
          </w:p>
        </w:tc>
        <w:tc>
          <w:tcPr>
            <w:tcW w:w="922" w:type="dxa"/>
            <w:vAlign w:val="center"/>
          </w:tcPr>
          <w:p w14:paraId="33AFE37B" w14:textId="4108658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5.44</w:t>
            </w:r>
          </w:p>
        </w:tc>
      </w:tr>
      <w:tr w:rsidR="00B933C9" w:rsidRPr="009F214D" w14:paraId="0B0B0B55" w14:textId="77777777" w:rsidTr="00B933C9">
        <w:trPr>
          <w:trHeight w:val="20"/>
          <w:jc w:val="center"/>
        </w:trPr>
        <w:tc>
          <w:tcPr>
            <w:tcW w:w="581" w:type="dxa"/>
            <w:vAlign w:val="center"/>
          </w:tcPr>
          <w:p w14:paraId="03683DBA" w14:textId="41BE7C3E"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5114AFAF" w14:textId="43B1317D"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21A49F5F" w14:textId="7FC44F8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11578.00</w:t>
            </w:r>
          </w:p>
        </w:tc>
        <w:tc>
          <w:tcPr>
            <w:tcW w:w="963" w:type="dxa"/>
            <w:vAlign w:val="center"/>
          </w:tcPr>
          <w:p w14:paraId="4382CE56" w14:textId="292B634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9068.20</w:t>
            </w:r>
          </w:p>
        </w:tc>
        <w:tc>
          <w:tcPr>
            <w:tcW w:w="1440" w:type="dxa"/>
            <w:vAlign w:val="center"/>
          </w:tcPr>
          <w:p w14:paraId="0C329662" w14:textId="008B887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-2509.80</w:t>
            </w:r>
          </w:p>
        </w:tc>
        <w:tc>
          <w:tcPr>
            <w:tcW w:w="982" w:type="dxa"/>
            <w:vAlign w:val="center"/>
          </w:tcPr>
          <w:p w14:paraId="0BBFD89D" w14:textId="03FED42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-21.68</w:t>
            </w:r>
          </w:p>
        </w:tc>
        <w:tc>
          <w:tcPr>
            <w:tcW w:w="984" w:type="dxa"/>
            <w:vAlign w:val="center"/>
          </w:tcPr>
          <w:p w14:paraId="59E5BC8D" w14:textId="621DF2B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61.93</w:t>
            </w:r>
          </w:p>
        </w:tc>
        <w:tc>
          <w:tcPr>
            <w:tcW w:w="965" w:type="dxa"/>
            <w:vAlign w:val="center"/>
          </w:tcPr>
          <w:p w14:paraId="5D7F4BEE" w14:textId="31F49F2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48.51</w:t>
            </w:r>
          </w:p>
        </w:tc>
        <w:tc>
          <w:tcPr>
            <w:tcW w:w="922" w:type="dxa"/>
            <w:vAlign w:val="center"/>
          </w:tcPr>
          <w:p w14:paraId="7790DA13" w14:textId="108A081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-13.42</w:t>
            </w:r>
          </w:p>
        </w:tc>
      </w:tr>
      <w:tr w:rsidR="00B933C9" w:rsidRPr="009F214D" w14:paraId="7E1C9EA0" w14:textId="77777777" w:rsidTr="00B933C9">
        <w:trPr>
          <w:trHeight w:val="20"/>
          <w:jc w:val="center"/>
        </w:trPr>
        <w:tc>
          <w:tcPr>
            <w:tcW w:w="581" w:type="dxa"/>
            <w:vAlign w:val="center"/>
          </w:tcPr>
          <w:p w14:paraId="488ED5FA" w14:textId="2AFE4A86"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2AB3AD9D" w14:textId="787DCDD1"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4A18390D" w14:textId="0D4DD4A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11164.94</w:t>
            </w:r>
          </w:p>
        </w:tc>
        <w:tc>
          <w:tcPr>
            <w:tcW w:w="963" w:type="dxa"/>
            <w:vAlign w:val="center"/>
          </w:tcPr>
          <w:p w14:paraId="1E517979" w14:textId="7DE3926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12426.59</w:t>
            </w:r>
          </w:p>
        </w:tc>
        <w:tc>
          <w:tcPr>
            <w:tcW w:w="1440" w:type="dxa"/>
            <w:vAlign w:val="center"/>
          </w:tcPr>
          <w:p w14:paraId="36ADD0F4" w14:textId="1E73AEA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1261.64</w:t>
            </w:r>
          </w:p>
        </w:tc>
        <w:tc>
          <w:tcPr>
            <w:tcW w:w="982" w:type="dxa"/>
            <w:vAlign w:val="center"/>
          </w:tcPr>
          <w:p w14:paraId="4535EABF" w14:textId="56FF98E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11.30</w:t>
            </w:r>
          </w:p>
        </w:tc>
        <w:tc>
          <w:tcPr>
            <w:tcW w:w="984" w:type="dxa"/>
            <w:vAlign w:val="center"/>
          </w:tcPr>
          <w:p w14:paraId="407B6D84" w14:textId="269AA3A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28.05</w:t>
            </w:r>
          </w:p>
        </w:tc>
        <w:tc>
          <w:tcPr>
            <w:tcW w:w="965" w:type="dxa"/>
            <w:vAlign w:val="center"/>
          </w:tcPr>
          <w:p w14:paraId="5A252968" w14:textId="1584F23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31.22</w:t>
            </w:r>
          </w:p>
        </w:tc>
        <w:tc>
          <w:tcPr>
            <w:tcW w:w="922" w:type="dxa"/>
            <w:vAlign w:val="center"/>
          </w:tcPr>
          <w:p w14:paraId="5EB26D6C" w14:textId="284C284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3.17</w:t>
            </w:r>
          </w:p>
        </w:tc>
      </w:tr>
      <w:tr w:rsidR="00B933C9" w:rsidRPr="009F214D" w14:paraId="603F1B84" w14:textId="77777777" w:rsidTr="00B933C9">
        <w:trPr>
          <w:trHeight w:val="20"/>
          <w:jc w:val="center"/>
        </w:trPr>
        <w:tc>
          <w:tcPr>
            <w:tcW w:w="581" w:type="dxa"/>
            <w:vAlign w:val="center"/>
          </w:tcPr>
          <w:p w14:paraId="285D0F24" w14:textId="700F92E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151AACAD" w14:textId="2082D294"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3B5F1F19" w14:textId="55D52F9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15613.97</w:t>
            </w:r>
          </w:p>
        </w:tc>
        <w:tc>
          <w:tcPr>
            <w:tcW w:w="963" w:type="dxa"/>
            <w:vAlign w:val="center"/>
          </w:tcPr>
          <w:p w14:paraId="4B38C90A" w14:textId="6E8F73B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21323.62</w:t>
            </w:r>
          </w:p>
        </w:tc>
        <w:tc>
          <w:tcPr>
            <w:tcW w:w="1440" w:type="dxa"/>
            <w:vAlign w:val="center"/>
          </w:tcPr>
          <w:p w14:paraId="5C855EFF" w14:textId="1056443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5709.65</w:t>
            </w:r>
          </w:p>
        </w:tc>
        <w:tc>
          <w:tcPr>
            <w:tcW w:w="982" w:type="dxa"/>
            <w:vAlign w:val="center"/>
          </w:tcPr>
          <w:p w14:paraId="039A38BA" w14:textId="5883AFA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36.57</w:t>
            </w:r>
          </w:p>
        </w:tc>
        <w:tc>
          <w:tcPr>
            <w:tcW w:w="984" w:type="dxa"/>
            <w:vAlign w:val="center"/>
          </w:tcPr>
          <w:p w14:paraId="4E7EF41D" w14:textId="4EF63996"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29.43</w:t>
            </w:r>
          </w:p>
        </w:tc>
        <w:tc>
          <w:tcPr>
            <w:tcW w:w="965" w:type="dxa"/>
            <w:vAlign w:val="center"/>
          </w:tcPr>
          <w:p w14:paraId="7767CD61" w14:textId="570C17D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40.19</w:t>
            </w:r>
          </w:p>
        </w:tc>
        <w:tc>
          <w:tcPr>
            <w:tcW w:w="922" w:type="dxa"/>
            <w:vAlign w:val="center"/>
          </w:tcPr>
          <w:p w14:paraId="643F0210" w14:textId="05FC7A7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10.75</w:t>
            </w:r>
          </w:p>
        </w:tc>
      </w:tr>
      <w:tr w:rsidR="00B933C9" w:rsidRPr="009F214D" w14:paraId="6A185A0D" w14:textId="77777777" w:rsidTr="00B933C9">
        <w:trPr>
          <w:trHeight w:val="20"/>
          <w:jc w:val="center"/>
        </w:trPr>
        <w:tc>
          <w:tcPr>
            <w:tcW w:w="581" w:type="dxa"/>
            <w:vAlign w:val="center"/>
          </w:tcPr>
          <w:p w14:paraId="73564B2F" w14:textId="43438442"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508F3AB1" w14:textId="1035A229"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21CB7271" w14:textId="749AABA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28962.07</w:t>
            </w:r>
          </w:p>
        </w:tc>
        <w:tc>
          <w:tcPr>
            <w:tcW w:w="963" w:type="dxa"/>
            <w:vAlign w:val="center"/>
          </w:tcPr>
          <w:p w14:paraId="14F2203C" w14:textId="6CB703D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25436.13</w:t>
            </w:r>
          </w:p>
        </w:tc>
        <w:tc>
          <w:tcPr>
            <w:tcW w:w="1440" w:type="dxa"/>
            <w:vAlign w:val="center"/>
          </w:tcPr>
          <w:p w14:paraId="27CB66B4" w14:textId="441A824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-3525.94</w:t>
            </w:r>
          </w:p>
        </w:tc>
        <w:tc>
          <w:tcPr>
            <w:tcW w:w="982" w:type="dxa"/>
            <w:vAlign w:val="center"/>
          </w:tcPr>
          <w:p w14:paraId="412FD71D" w14:textId="4805BD4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-12.17</w:t>
            </w:r>
          </w:p>
        </w:tc>
        <w:tc>
          <w:tcPr>
            <w:tcW w:w="984" w:type="dxa"/>
            <w:vAlign w:val="center"/>
          </w:tcPr>
          <w:p w14:paraId="635C5790" w14:textId="1F3B4FEB"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23.26</w:t>
            </w:r>
          </w:p>
        </w:tc>
        <w:tc>
          <w:tcPr>
            <w:tcW w:w="965" w:type="dxa"/>
            <w:vAlign w:val="center"/>
          </w:tcPr>
          <w:p w14:paraId="68981BF5" w14:textId="4175BF44"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20.43</w:t>
            </w:r>
          </w:p>
        </w:tc>
        <w:tc>
          <w:tcPr>
            <w:tcW w:w="922" w:type="dxa"/>
            <w:vAlign w:val="center"/>
          </w:tcPr>
          <w:p w14:paraId="2E756E61" w14:textId="5D3765D3"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-2.83</w:t>
            </w:r>
          </w:p>
        </w:tc>
      </w:tr>
      <w:tr w:rsidR="00B933C9" w:rsidRPr="009F214D" w14:paraId="795E70A5" w14:textId="77777777" w:rsidTr="00B933C9">
        <w:trPr>
          <w:trHeight w:val="20"/>
          <w:jc w:val="center"/>
        </w:trPr>
        <w:tc>
          <w:tcPr>
            <w:tcW w:w="581" w:type="dxa"/>
            <w:vAlign w:val="center"/>
          </w:tcPr>
          <w:p w14:paraId="4C1B4475" w14:textId="37146BCB"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4D1E1A77" w14:textId="25781C58"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16EA1888" w14:textId="0BE42E65"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26224.09</w:t>
            </w:r>
          </w:p>
        </w:tc>
        <w:tc>
          <w:tcPr>
            <w:tcW w:w="963" w:type="dxa"/>
            <w:vAlign w:val="center"/>
          </w:tcPr>
          <w:p w14:paraId="2DBBCFF5" w14:textId="4BD484A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15893.31</w:t>
            </w:r>
          </w:p>
        </w:tc>
        <w:tc>
          <w:tcPr>
            <w:tcW w:w="1440" w:type="dxa"/>
            <w:vAlign w:val="center"/>
          </w:tcPr>
          <w:p w14:paraId="1925A679" w14:textId="32F2AC3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-10330.77</w:t>
            </w:r>
          </w:p>
        </w:tc>
        <w:tc>
          <w:tcPr>
            <w:tcW w:w="982" w:type="dxa"/>
            <w:vAlign w:val="center"/>
          </w:tcPr>
          <w:p w14:paraId="547039D6" w14:textId="22C5FC92"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-39.39</w:t>
            </w:r>
          </w:p>
        </w:tc>
        <w:tc>
          <w:tcPr>
            <w:tcW w:w="984" w:type="dxa"/>
            <w:vAlign w:val="center"/>
          </w:tcPr>
          <w:p w14:paraId="7067A453" w14:textId="20773C2A"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43.05</w:t>
            </w:r>
          </w:p>
        </w:tc>
        <w:tc>
          <w:tcPr>
            <w:tcW w:w="965" w:type="dxa"/>
            <w:vAlign w:val="center"/>
          </w:tcPr>
          <w:p w14:paraId="5317FF55" w14:textId="194BE9E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26.09</w:t>
            </w:r>
          </w:p>
        </w:tc>
        <w:tc>
          <w:tcPr>
            <w:tcW w:w="922" w:type="dxa"/>
            <w:vAlign w:val="center"/>
          </w:tcPr>
          <w:p w14:paraId="5AAB5165" w14:textId="10592A2C"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-16.96</w:t>
            </w:r>
          </w:p>
        </w:tc>
      </w:tr>
      <w:tr w:rsidR="00B933C9" w:rsidRPr="009F214D" w14:paraId="6A3ECA74" w14:textId="77777777" w:rsidTr="00B933C9">
        <w:trPr>
          <w:trHeight w:val="20"/>
          <w:jc w:val="center"/>
        </w:trPr>
        <w:tc>
          <w:tcPr>
            <w:tcW w:w="581" w:type="dxa"/>
            <w:vAlign w:val="center"/>
          </w:tcPr>
          <w:p w14:paraId="51937895" w14:textId="05E9AA7F"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2185BD0E" w14:textId="703E8241" w:rsidR="00B933C9" w:rsidRPr="001B4ADF" w:rsidRDefault="00B933C9" w:rsidP="00B933C9">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22B27C28" w14:textId="2917F9B1"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222075.47</w:t>
            </w:r>
          </w:p>
        </w:tc>
        <w:tc>
          <w:tcPr>
            <w:tcW w:w="963" w:type="dxa"/>
            <w:vAlign w:val="center"/>
          </w:tcPr>
          <w:p w14:paraId="3451DB9B" w14:textId="17D2BB5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222426.71</w:t>
            </w:r>
          </w:p>
        </w:tc>
        <w:tc>
          <w:tcPr>
            <w:tcW w:w="1440" w:type="dxa"/>
            <w:vAlign w:val="center"/>
          </w:tcPr>
          <w:p w14:paraId="43629151" w14:textId="0A6AC43E"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351.24</w:t>
            </w:r>
          </w:p>
        </w:tc>
        <w:tc>
          <w:tcPr>
            <w:tcW w:w="982" w:type="dxa"/>
            <w:vAlign w:val="center"/>
          </w:tcPr>
          <w:p w14:paraId="376D9942" w14:textId="3CF72FC0"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0.16</w:t>
            </w:r>
          </w:p>
        </w:tc>
        <w:tc>
          <w:tcPr>
            <w:tcW w:w="984" w:type="dxa"/>
            <w:vAlign w:val="center"/>
          </w:tcPr>
          <w:p w14:paraId="029D41BC" w14:textId="71EFBF8D"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30.98</w:t>
            </w:r>
          </w:p>
        </w:tc>
        <w:tc>
          <w:tcPr>
            <w:tcW w:w="965" w:type="dxa"/>
            <w:vAlign w:val="center"/>
          </w:tcPr>
          <w:p w14:paraId="65EF8B15" w14:textId="15946628"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31.03</w:t>
            </w:r>
          </w:p>
        </w:tc>
        <w:tc>
          <w:tcPr>
            <w:tcW w:w="922" w:type="dxa"/>
            <w:vAlign w:val="center"/>
          </w:tcPr>
          <w:p w14:paraId="31B790E7" w14:textId="791FCF97" w:rsidR="00B933C9" w:rsidRPr="001B4ADF" w:rsidRDefault="00B933C9" w:rsidP="00B933C9">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0.05</w:t>
            </w:r>
          </w:p>
        </w:tc>
      </w:tr>
      <w:tr w:rsidR="00B933C9" w:rsidRPr="009F214D" w14:paraId="3C55A6BA" w14:textId="77777777" w:rsidTr="00F12194">
        <w:trPr>
          <w:trHeight w:val="20"/>
          <w:jc w:val="center"/>
        </w:trPr>
        <w:tc>
          <w:tcPr>
            <w:tcW w:w="9072" w:type="dxa"/>
            <w:gridSpan w:val="9"/>
            <w:vAlign w:val="center"/>
          </w:tcPr>
          <w:p w14:paraId="66ED6557" w14:textId="2C6966F9" w:rsidR="00B933C9" w:rsidRPr="00B933C9" w:rsidRDefault="00B933C9" w:rsidP="00B933C9">
            <w:pPr>
              <w:tabs>
                <w:tab w:val="left" w:pos="2805"/>
              </w:tabs>
              <w:jc w:val="center"/>
              <w:rPr>
                <w:rFonts w:ascii="Times New Roman" w:hAnsi="Times New Roman" w:cs="Times New Roman"/>
                <w:b/>
                <w:bCs/>
                <w:sz w:val="20"/>
                <w:szCs w:val="20"/>
              </w:rPr>
            </w:pPr>
            <w:r w:rsidRPr="001B4ADF">
              <w:rPr>
                <w:rFonts w:ascii="Times New Roman" w:hAnsi="Times New Roman" w:cs="Times New Roman"/>
                <w:b/>
                <w:bCs/>
                <w:sz w:val="20"/>
                <w:szCs w:val="20"/>
              </w:rPr>
              <w:t>Expenditure Category: Higher Education</w:t>
            </w:r>
          </w:p>
        </w:tc>
      </w:tr>
      <w:tr w:rsidR="00B933C9" w:rsidRPr="009F214D" w14:paraId="7E692F9C" w14:textId="77777777" w:rsidTr="00B933C9">
        <w:trPr>
          <w:trHeight w:val="20"/>
          <w:jc w:val="center"/>
        </w:trPr>
        <w:tc>
          <w:tcPr>
            <w:tcW w:w="581" w:type="dxa"/>
            <w:vAlign w:val="center"/>
          </w:tcPr>
          <w:p w14:paraId="56463918" w14:textId="39212153" w:rsidR="00B933C9" w:rsidRPr="00B933C9" w:rsidRDefault="00B933C9" w:rsidP="00B933C9">
            <w:pPr>
              <w:tabs>
                <w:tab w:val="left" w:pos="2805"/>
              </w:tabs>
              <w:rPr>
                <w:rFonts w:ascii="Times New Roman" w:hAnsi="Times New Roman" w:cs="Times New Roman"/>
                <w:b/>
                <w:bCs/>
                <w:sz w:val="16"/>
                <w:szCs w:val="16"/>
              </w:rPr>
            </w:pPr>
            <w:r w:rsidRPr="00B933C9">
              <w:rPr>
                <w:rFonts w:ascii="Times New Roman" w:hAnsi="Times New Roman" w:cs="Times New Roman"/>
                <w:sz w:val="16"/>
                <w:szCs w:val="16"/>
              </w:rPr>
              <w:t>1</w:t>
            </w:r>
          </w:p>
        </w:tc>
        <w:tc>
          <w:tcPr>
            <w:tcW w:w="1339" w:type="dxa"/>
            <w:vAlign w:val="center"/>
          </w:tcPr>
          <w:p w14:paraId="5F091F3D" w14:textId="47084365" w:rsidR="00B933C9" w:rsidRPr="00B933C9" w:rsidRDefault="00B933C9" w:rsidP="00B933C9">
            <w:pPr>
              <w:tabs>
                <w:tab w:val="left" w:pos="2805"/>
              </w:tabs>
              <w:rPr>
                <w:rFonts w:ascii="Times New Roman" w:hAnsi="Times New Roman" w:cs="Times New Roman"/>
                <w:b/>
                <w:bCs/>
                <w:sz w:val="16"/>
                <w:szCs w:val="16"/>
              </w:rPr>
            </w:pPr>
            <w:r w:rsidRPr="00B933C9">
              <w:rPr>
                <w:rFonts w:ascii="Times New Roman" w:hAnsi="Times New Roman" w:cs="Times New Roman"/>
                <w:sz w:val="16"/>
                <w:szCs w:val="16"/>
              </w:rPr>
              <w:t>Andhra Pradesh</w:t>
            </w:r>
          </w:p>
        </w:tc>
        <w:tc>
          <w:tcPr>
            <w:tcW w:w="896" w:type="dxa"/>
            <w:vAlign w:val="center"/>
          </w:tcPr>
          <w:p w14:paraId="7C0058F9" w14:textId="230E5628"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12585.02</w:t>
            </w:r>
          </w:p>
        </w:tc>
        <w:tc>
          <w:tcPr>
            <w:tcW w:w="963" w:type="dxa"/>
            <w:vAlign w:val="center"/>
          </w:tcPr>
          <w:p w14:paraId="3462454A" w14:textId="780BF58C"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11627.49</w:t>
            </w:r>
          </w:p>
        </w:tc>
        <w:tc>
          <w:tcPr>
            <w:tcW w:w="1440" w:type="dxa"/>
            <w:vAlign w:val="center"/>
          </w:tcPr>
          <w:p w14:paraId="3908F309" w14:textId="7DD804D3"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-957.53</w:t>
            </w:r>
          </w:p>
        </w:tc>
        <w:tc>
          <w:tcPr>
            <w:tcW w:w="982" w:type="dxa"/>
            <w:vAlign w:val="center"/>
          </w:tcPr>
          <w:p w14:paraId="2760813B" w14:textId="633E145A"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-7.61</w:t>
            </w:r>
          </w:p>
        </w:tc>
        <w:tc>
          <w:tcPr>
            <w:tcW w:w="984" w:type="dxa"/>
            <w:vAlign w:val="center"/>
          </w:tcPr>
          <w:p w14:paraId="3C4A698F" w14:textId="5F9FAAB8"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21.16</w:t>
            </w:r>
          </w:p>
        </w:tc>
        <w:tc>
          <w:tcPr>
            <w:tcW w:w="965" w:type="dxa"/>
            <w:vAlign w:val="center"/>
          </w:tcPr>
          <w:p w14:paraId="0DC06479" w14:textId="0B652F83"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19.55</w:t>
            </w:r>
          </w:p>
        </w:tc>
        <w:tc>
          <w:tcPr>
            <w:tcW w:w="922" w:type="dxa"/>
            <w:vAlign w:val="center"/>
          </w:tcPr>
          <w:p w14:paraId="28DB4169" w14:textId="43DC5FD3" w:rsidR="00B933C9" w:rsidRPr="00B933C9" w:rsidRDefault="00B933C9" w:rsidP="00B933C9">
            <w:pPr>
              <w:tabs>
                <w:tab w:val="left" w:pos="2805"/>
              </w:tabs>
              <w:jc w:val="center"/>
              <w:rPr>
                <w:rFonts w:ascii="Times New Roman" w:hAnsi="Times New Roman" w:cs="Times New Roman"/>
                <w:b/>
                <w:bCs/>
                <w:sz w:val="16"/>
                <w:szCs w:val="16"/>
              </w:rPr>
            </w:pPr>
            <w:r w:rsidRPr="00B933C9">
              <w:rPr>
                <w:rFonts w:ascii="Times New Roman" w:hAnsi="Times New Roman" w:cs="Times New Roman"/>
                <w:sz w:val="16"/>
                <w:szCs w:val="16"/>
              </w:rPr>
              <w:t>-1.61</w:t>
            </w:r>
          </w:p>
        </w:tc>
      </w:tr>
      <w:tr w:rsidR="00B933C9" w:rsidRPr="009F214D" w14:paraId="2F1EFE0F" w14:textId="77777777" w:rsidTr="00B933C9">
        <w:trPr>
          <w:trHeight w:val="20"/>
          <w:jc w:val="center"/>
        </w:trPr>
        <w:tc>
          <w:tcPr>
            <w:tcW w:w="581" w:type="dxa"/>
            <w:vAlign w:val="center"/>
          </w:tcPr>
          <w:p w14:paraId="44CDB911" w14:textId="53054C7B"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2</w:t>
            </w:r>
          </w:p>
        </w:tc>
        <w:tc>
          <w:tcPr>
            <w:tcW w:w="1339" w:type="dxa"/>
            <w:vAlign w:val="center"/>
          </w:tcPr>
          <w:p w14:paraId="2341892F" w14:textId="0D53EC05"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Bihar</w:t>
            </w:r>
          </w:p>
        </w:tc>
        <w:tc>
          <w:tcPr>
            <w:tcW w:w="896" w:type="dxa"/>
            <w:vAlign w:val="center"/>
          </w:tcPr>
          <w:p w14:paraId="243898E8" w14:textId="67922D6B"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9189.00</w:t>
            </w:r>
          </w:p>
        </w:tc>
        <w:tc>
          <w:tcPr>
            <w:tcW w:w="963" w:type="dxa"/>
            <w:vAlign w:val="center"/>
          </w:tcPr>
          <w:p w14:paraId="2A4EC50A" w14:textId="6DE54526"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15359.18</w:t>
            </w:r>
          </w:p>
        </w:tc>
        <w:tc>
          <w:tcPr>
            <w:tcW w:w="1440" w:type="dxa"/>
            <w:vAlign w:val="center"/>
          </w:tcPr>
          <w:p w14:paraId="2AE9D26C" w14:textId="0F9AB67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6170.18</w:t>
            </w:r>
          </w:p>
        </w:tc>
        <w:tc>
          <w:tcPr>
            <w:tcW w:w="982" w:type="dxa"/>
            <w:vAlign w:val="center"/>
          </w:tcPr>
          <w:p w14:paraId="673A3F24" w14:textId="3D57EAF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67.15</w:t>
            </w:r>
          </w:p>
        </w:tc>
        <w:tc>
          <w:tcPr>
            <w:tcW w:w="984" w:type="dxa"/>
            <w:vAlign w:val="center"/>
          </w:tcPr>
          <w:p w14:paraId="409533FA" w14:textId="70DF0FB3"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11.67</w:t>
            </w:r>
          </w:p>
        </w:tc>
        <w:tc>
          <w:tcPr>
            <w:tcW w:w="965" w:type="dxa"/>
            <w:vAlign w:val="center"/>
          </w:tcPr>
          <w:p w14:paraId="36F7C6E0" w14:textId="386A48C7"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19.51</w:t>
            </w:r>
          </w:p>
        </w:tc>
        <w:tc>
          <w:tcPr>
            <w:tcW w:w="922" w:type="dxa"/>
            <w:vAlign w:val="center"/>
          </w:tcPr>
          <w:p w14:paraId="5A955D09" w14:textId="6076D2C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7.84</w:t>
            </w:r>
          </w:p>
        </w:tc>
      </w:tr>
      <w:tr w:rsidR="00B933C9" w:rsidRPr="009F214D" w14:paraId="222B7048" w14:textId="77777777" w:rsidTr="00B933C9">
        <w:trPr>
          <w:trHeight w:val="20"/>
          <w:jc w:val="center"/>
        </w:trPr>
        <w:tc>
          <w:tcPr>
            <w:tcW w:w="581" w:type="dxa"/>
            <w:vAlign w:val="center"/>
          </w:tcPr>
          <w:p w14:paraId="3CBB7FB8" w14:textId="777F3413"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3</w:t>
            </w:r>
          </w:p>
        </w:tc>
        <w:tc>
          <w:tcPr>
            <w:tcW w:w="1339" w:type="dxa"/>
            <w:vAlign w:val="center"/>
          </w:tcPr>
          <w:p w14:paraId="001F8A38" w14:textId="65FDA666"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Gujarat</w:t>
            </w:r>
          </w:p>
        </w:tc>
        <w:tc>
          <w:tcPr>
            <w:tcW w:w="896" w:type="dxa"/>
            <w:vAlign w:val="center"/>
          </w:tcPr>
          <w:p w14:paraId="550627B0" w14:textId="4EE58DAA"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5779.92</w:t>
            </w:r>
          </w:p>
        </w:tc>
        <w:tc>
          <w:tcPr>
            <w:tcW w:w="963" w:type="dxa"/>
            <w:vAlign w:val="center"/>
          </w:tcPr>
          <w:p w14:paraId="682D5E42" w14:textId="5778A133"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5698.43</w:t>
            </w:r>
          </w:p>
        </w:tc>
        <w:tc>
          <w:tcPr>
            <w:tcW w:w="1440" w:type="dxa"/>
            <w:vAlign w:val="center"/>
          </w:tcPr>
          <w:p w14:paraId="2F85F19B" w14:textId="49CD17B0"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-81.49</w:t>
            </w:r>
          </w:p>
        </w:tc>
        <w:tc>
          <w:tcPr>
            <w:tcW w:w="982" w:type="dxa"/>
            <w:vAlign w:val="center"/>
          </w:tcPr>
          <w:p w14:paraId="409282CD" w14:textId="5C12A5E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-1.41</w:t>
            </w:r>
          </w:p>
        </w:tc>
        <w:tc>
          <w:tcPr>
            <w:tcW w:w="984" w:type="dxa"/>
            <w:vAlign w:val="center"/>
          </w:tcPr>
          <w:p w14:paraId="4FB0D4DA" w14:textId="5274AA59"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15.17</w:t>
            </w:r>
          </w:p>
        </w:tc>
        <w:tc>
          <w:tcPr>
            <w:tcW w:w="965" w:type="dxa"/>
            <w:vAlign w:val="center"/>
          </w:tcPr>
          <w:p w14:paraId="4DE29BFE" w14:textId="60B80115"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14.95</w:t>
            </w:r>
          </w:p>
        </w:tc>
        <w:tc>
          <w:tcPr>
            <w:tcW w:w="922" w:type="dxa"/>
            <w:vAlign w:val="center"/>
          </w:tcPr>
          <w:p w14:paraId="09872F3A" w14:textId="0E0E59EC"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-0.21</w:t>
            </w:r>
          </w:p>
        </w:tc>
      </w:tr>
      <w:tr w:rsidR="00B933C9" w:rsidRPr="009F214D" w14:paraId="2DA77258" w14:textId="77777777" w:rsidTr="00B933C9">
        <w:trPr>
          <w:trHeight w:val="20"/>
          <w:jc w:val="center"/>
        </w:trPr>
        <w:tc>
          <w:tcPr>
            <w:tcW w:w="581" w:type="dxa"/>
            <w:vAlign w:val="center"/>
          </w:tcPr>
          <w:p w14:paraId="3CBE2DB8" w14:textId="0BDA6E57"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4</w:t>
            </w:r>
          </w:p>
        </w:tc>
        <w:tc>
          <w:tcPr>
            <w:tcW w:w="1339" w:type="dxa"/>
            <w:vAlign w:val="center"/>
          </w:tcPr>
          <w:p w14:paraId="66ECB5CC" w14:textId="55C7C750"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Haryana</w:t>
            </w:r>
          </w:p>
        </w:tc>
        <w:tc>
          <w:tcPr>
            <w:tcW w:w="896" w:type="dxa"/>
            <w:vAlign w:val="center"/>
          </w:tcPr>
          <w:p w14:paraId="220737AA" w14:textId="6C361B6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2547.92</w:t>
            </w:r>
          </w:p>
        </w:tc>
        <w:tc>
          <w:tcPr>
            <w:tcW w:w="963" w:type="dxa"/>
            <w:vAlign w:val="center"/>
          </w:tcPr>
          <w:p w14:paraId="09EF4576" w14:textId="72C557D7"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2071.05</w:t>
            </w:r>
          </w:p>
        </w:tc>
        <w:tc>
          <w:tcPr>
            <w:tcW w:w="1440" w:type="dxa"/>
            <w:vAlign w:val="center"/>
          </w:tcPr>
          <w:p w14:paraId="3B486508" w14:textId="17C7B9D6"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-476.87</w:t>
            </w:r>
          </w:p>
        </w:tc>
        <w:tc>
          <w:tcPr>
            <w:tcW w:w="982" w:type="dxa"/>
            <w:vAlign w:val="center"/>
          </w:tcPr>
          <w:p w14:paraId="6358C157" w14:textId="6430FB6A"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-18.72</w:t>
            </w:r>
          </w:p>
        </w:tc>
        <w:tc>
          <w:tcPr>
            <w:tcW w:w="984" w:type="dxa"/>
            <w:vAlign w:val="center"/>
          </w:tcPr>
          <w:p w14:paraId="5EFE13D9" w14:textId="462A05F2"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16.96</w:t>
            </w:r>
          </w:p>
        </w:tc>
        <w:tc>
          <w:tcPr>
            <w:tcW w:w="965" w:type="dxa"/>
            <w:vAlign w:val="center"/>
          </w:tcPr>
          <w:p w14:paraId="544C6597" w14:textId="5532F91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13.78</w:t>
            </w:r>
          </w:p>
        </w:tc>
        <w:tc>
          <w:tcPr>
            <w:tcW w:w="922" w:type="dxa"/>
            <w:vAlign w:val="center"/>
          </w:tcPr>
          <w:p w14:paraId="11E23211" w14:textId="1F8AE1F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-3.17</w:t>
            </w:r>
          </w:p>
        </w:tc>
      </w:tr>
      <w:tr w:rsidR="00B933C9" w:rsidRPr="009F214D" w14:paraId="45AB8A31" w14:textId="77777777" w:rsidTr="00B933C9">
        <w:trPr>
          <w:trHeight w:val="20"/>
          <w:jc w:val="center"/>
        </w:trPr>
        <w:tc>
          <w:tcPr>
            <w:tcW w:w="581" w:type="dxa"/>
            <w:vAlign w:val="center"/>
          </w:tcPr>
          <w:p w14:paraId="66E9A544" w14:textId="60E14E2B"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5</w:t>
            </w:r>
          </w:p>
        </w:tc>
        <w:tc>
          <w:tcPr>
            <w:tcW w:w="1339" w:type="dxa"/>
            <w:vAlign w:val="center"/>
          </w:tcPr>
          <w:p w14:paraId="2C761206" w14:textId="3E80B5B1"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Karnataka</w:t>
            </w:r>
          </w:p>
        </w:tc>
        <w:tc>
          <w:tcPr>
            <w:tcW w:w="896" w:type="dxa"/>
            <w:vAlign w:val="center"/>
          </w:tcPr>
          <w:p w14:paraId="489E2E5F" w14:textId="6AC71A9E"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8415.02</w:t>
            </w:r>
          </w:p>
        </w:tc>
        <w:tc>
          <w:tcPr>
            <w:tcW w:w="963" w:type="dxa"/>
            <w:vAlign w:val="center"/>
          </w:tcPr>
          <w:p w14:paraId="7765C335" w14:textId="73551F00"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7280.51</w:t>
            </w:r>
          </w:p>
        </w:tc>
        <w:tc>
          <w:tcPr>
            <w:tcW w:w="1440" w:type="dxa"/>
            <w:vAlign w:val="center"/>
          </w:tcPr>
          <w:p w14:paraId="15FEBA26" w14:textId="239329BB"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-1134.51</w:t>
            </w:r>
          </w:p>
        </w:tc>
        <w:tc>
          <w:tcPr>
            <w:tcW w:w="982" w:type="dxa"/>
            <w:vAlign w:val="center"/>
          </w:tcPr>
          <w:p w14:paraId="6837FAE0" w14:textId="5FB49F9B"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-13.48</w:t>
            </w:r>
          </w:p>
        </w:tc>
        <w:tc>
          <w:tcPr>
            <w:tcW w:w="984" w:type="dxa"/>
            <w:vAlign w:val="center"/>
          </w:tcPr>
          <w:p w14:paraId="46A0509F" w14:textId="2F5BF1C0"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20.13</w:t>
            </w:r>
          </w:p>
        </w:tc>
        <w:tc>
          <w:tcPr>
            <w:tcW w:w="965" w:type="dxa"/>
            <w:vAlign w:val="center"/>
          </w:tcPr>
          <w:p w14:paraId="0F41B729" w14:textId="75561090"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17.41</w:t>
            </w:r>
          </w:p>
        </w:tc>
        <w:tc>
          <w:tcPr>
            <w:tcW w:w="922" w:type="dxa"/>
            <w:vAlign w:val="center"/>
          </w:tcPr>
          <w:p w14:paraId="671C59BD" w14:textId="01C65EE6"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-2.71</w:t>
            </w:r>
          </w:p>
        </w:tc>
      </w:tr>
      <w:tr w:rsidR="00B933C9" w:rsidRPr="009F214D" w14:paraId="583BBA2A" w14:textId="77777777" w:rsidTr="00B933C9">
        <w:trPr>
          <w:trHeight w:val="20"/>
          <w:jc w:val="center"/>
        </w:trPr>
        <w:tc>
          <w:tcPr>
            <w:tcW w:w="581" w:type="dxa"/>
            <w:vAlign w:val="center"/>
          </w:tcPr>
          <w:p w14:paraId="42F376D2" w14:textId="0661B53A"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6</w:t>
            </w:r>
          </w:p>
        </w:tc>
        <w:tc>
          <w:tcPr>
            <w:tcW w:w="1339" w:type="dxa"/>
            <w:vAlign w:val="center"/>
          </w:tcPr>
          <w:p w14:paraId="11222006" w14:textId="6D722EFC"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Kerala</w:t>
            </w:r>
          </w:p>
        </w:tc>
        <w:tc>
          <w:tcPr>
            <w:tcW w:w="896" w:type="dxa"/>
            <w:vAlign w:val="center"/>
          </w:tcPr>
          <w:p w14:paraId="65332F77" w14:textId="50816D3C"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7501.92</w:t>
            </w:r>
          </w:p>
        </w:tc>
        <w:tc>
          <w:tcPr>
            <w:tcW w:w="963" w:type="dxa"/>
            <w:vAlign w:val="center"/>
          </w:tcPr>
          <w:p w14:paraId="77B0C54A" w14:textId="10488206"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5835.67</w:t>
            </w:r>
          </w:p>
        </w:tc>
        <w:tc>
          <w:tcPr>
            <w:tcW w:w="1440" w:type="dxa"/>
            <w:vAlign w:val="center"/>
          </w:tcPr>
          <w:p w14:paraId="538D98A6" w14:textId="48B0D0E2"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-1666.25</w:t>
            </w:r>
          </w:p>
        </w:tc>
        <w:tc>
          <w:tcPr>
            <w:tcW w:w="982" w:type="dxa"/>
            <w:vAlign w:val="center"/>
          </w:tcPr>
          <w:p w14:paraId="7A260060" w14:textId="424A4A7D"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-22.21</w:t>
            </w:r>
          </w:p>
        </w:tc>
        <w:tc>
          <w:tcPr>
            <w:tcW w:w="984" w:type="dxa"/>
            <w:vAlign w:val="center"/>
          </w:tcPr>
          <w:p w14:paraId="1EE96E8B" w14:textId="371875D4"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26.67</w:t>
            </w:r>
          </w:p>
        </w:tc>
        <w:tc>
          <w:tcPr>
            <w:tcW w:w="965" w:type="dxa"/>
            <w:vAlign w:val="center"/>
          </w:tcPr>
          <w:p w14:paraId="7C429426" w14:textId="406D066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20.75</w:t>
            </w:r>
          </w:p>
        </w:tc>
        <w:tc>
          <w:tcPr>
            <w:tcW w:w="922" w:type="dxa"/>
            <w:vAlign w:val="center"/>
          </w:tcPr>
          <w:p w14:paraId="213A64DA" w14:textId="319A9234"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-5.92</w:t>
            </w:r>
          </w:p>
        </w:tc>
      </w:tr>
      <w:tr w:rsidR="00B933C9" w:rsidRPr="009F214D" w14:paraId="3051E6AB" w14:textId="77777777" w:rsidTr="00B933C9">
        <w:trPr>
          <w:trHeight w:val="20"/>
          <w:jc w:val="center"/>
        </w:trPr>
        <w:tc>
          <w:tcPr>
            <w:tcW w:w="581" w:type="dxa"/>
            <w:vAlign w:val="center"/>
          </w:tcPr>
          <w:p w14:paraId="23B5BF4A" w14:textId="510B09D5"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7</w:t>
            </w:r>
          </w:p>
        </w:tc>
        <w:tc>
          <w:tcPr>
            <w:tcW w:w="1339" w:type="dxa"/>
            <w:vAlign w:val="center"/>
          </w:tcPr>
          <w:p w14:paraId="0E7837ED" w14:textId="2F8516CF"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Madhya Pradesh</w:t>
            </w:r>
          </w:p>
        </w:tc>
        <w:tc>
          <w:tcPr>
            <w:tcW w:w="896" w:type="dxa"/>
            <w:vAlign w:val="center"/>
          </w:tcPr>
          <w:p w14:paraId="350641DC" w14:textId="1FC8C24B"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6111.01</w:t>
            </w:r>
          </w:p>
        </w:tc>
        <w:tc>
          <w:tcPr>
            <w:tcW w:w="963" w:type="dxa"/>
            <w:vAlign w:val="center"/>
          </w:tcPr>
          <w:p w14:paraId="4C1968B1" w14:textId="73D26879"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4865.87</w:t>
            </w:r>
          </w:p>
        </w:tc>
        <w:tc>
          <w:tcPr>
            <w:tcW w:w="1440" w:type="dxa"/>
            <w:vAlign w:val="center"/>
          </w:tcPr>
          <w:p w14:paraId="05D22AFE" w14:textId="69FED0C2"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-1245.14</w:t>
            </w:r>
          </w:p>
        </w:tc>
        <w:tc>
          <w:tcPr>
            <w:tcW w:w="982" w:type="dxa"/>
            <w:vAlign w:val="center"/>
          </w:tcPr>
          <w:p w14:paraId="6AC7F9D5" w14:textId="6F9B846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-20.38</w:t>
            </w:r>
          </w:p>
        </w:tc>
        <w:tc>
          <w:tcPr>
            <w:tcW w:w="984" w:type="dxa"/>
            <w:vAlign w:val="center"/>
          </w:tcPr>
          <w:p w14:paraId="14C85CFD" w14:textId="3C337322"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10.38</w:t>
            </w:r>
          </w:p>
        </w:tc>
        <w:tc>
          <w:tcPr>
            <w:tcW w:w="965" w:type="dxa"/>
            <w:vAlign w:val="center"/>
          </w:tcPr>
          <w:p w14:paraId="65A40C15" w14:textId="1CD4A1D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8.26</w:t>
            </w:r>
          </w:p>
        </w:tc>
        <w:tc>
          <w:tcPr>
            <w:tcW w:w="922" w:type="dxa"/>
            <w:vAlign w:val="center"/>
          </w:tcPr>
          <w:p w14:paraId="617067FB" w14:textId="245086D3"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-2.11</w:t>
            </w:r>
          </w:p>
        </w:tc>
      </w:tr>
      <w:tr w:rsidR="00B933C9" w:rsidRPr="009F214D" w14:paraId="69BCAD63" w14:textId="77777777" w:rsidTr="00B933C9">
        <w:trPr>
          <w:trHeight w:val="20"/>
          <w:jc w:val="center"/>
        </w:trPr>
        <w:tc>
          <w:tcPr>
            <w:tcW w:w="581" w:type="dxa"/>
            <w:vAlign w:val="center"/>
          </w:tcPr>
          <w:p w14:paraId="3E2D52FD" w14:textId="0654ACEC"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8</w:t>
            </w:r>
          </w:p>
        </w:tc>
        <w:tc>
          <w:tcPr>
            <w:tcW w:w="1339" w:type="dxa"/>
            <w:vAlign w:val="center"/>
          </w:tcPr>
          <w:p w14:paraId="6BD57BD7" w14:textId="797A9A2B"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Maharashtra</w:t>
            </w:r>
          </w:p>
        </w:tc>
        <w:tc>
          <w:tcPr>
            <w:tcW w:w="896" w:type="dxa"/>
            <w:vAlign w:val="center"/>
          </w:tcPr>
          <w:p w14:paraId="77FCCF54" w14:textId="6F796BEA"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12338.91</w:t>
            </w:r>
          </w:p>
        </w:tc>
        <w:tc>
          <w:tcPr>
            <w:tcW w:w="963" w:type="dxa"/>
            <w:vAlign w:val="center"/>
          </w:tcPr>
          <w:p w14:paraId="38AABCD5" w14:textId="202DD96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11954.00</w:t>
            </w:r>
          </w:p>
        </w:tc>
        <w:tc>
          <w:tcPr>
            <w:tcW w:w="1440" w:type="dxa"/>
            <w:vAlign w:val="center"/>
          </w:tcPr>
          <w:p w14:paraId="091AFFD7" w14:textId="19FB40A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-384.91</w:t>
            </w:r>
          </w:p>
        </w:tc>
        <w:tc>
          <w:tcPr>
            <w:tcW w:w="982" w:type="dxa"/>
            <w:vAlign w:val="center"/>
          </w:tcPr>
          <w:p w14:paraId="6BD58104" w14:textId="56ED266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-3.12</w:t>
            </w:r>
          </w:p>
        </w:tc>
        <w:tc>
          <w:tcPr>
            <w:tcW w:w="984" w:type="dxa"/>
            <w:vAlign w:val="center"/>
          </w:tcPr>
          <w:p w14:paraId="78C37335" w14:textId="62E648E7"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17.52</w:t>
            </w:r>
          </w:p>
        </w:tc>
        <w:tc>
          <w:tcPr>
            <w:tcW w:w="965" w:type="dxa"/>
            <w:vAlign w:val="center"/>
          </w:tcPr>
          <w:p w14:paraId="7D27A2B9" w14:textId="3787B4D0"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16.97</w:t>
            </w:r>
          </w:p>
        </w:tc>
        <w:tc>
          <w:tcPr>
            <w:tcW w:w="922" w:type="dxa"/>
            <w:vAlign w:val="center"/>
          </w:tcPr>
          <w:p w14:paraId="749A97C1" w14:textId="6C3062CE"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-0.55</w:t>
            </w:r>
          </w:p>
        </w:tc>
      </w:tr>
      <w:tr w:rsidR="00B933C9" w:rsidRPr="009F214D" w14:paraId="365A4ADF" w14:textId="77777777" w:rsidTr="00B933C9">
        <w:trPr>
          <w:trHeight w:val="20"/>
          <w:jc w:val="center"/>
        </w:trPr>
        <w:tc>
          <w:tcPr>
            <w:tcW w:w="581" w:type="dxa"/>
            <w:vAlign w:val="center"/>
          </w:tcPr>
          <w:p w14:paraId="5C377A92" w14:textId="40F7213B"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9</w:t>
            </w:r>
          </w:p>
        </w:tc>
        <w:tc>
          <w:tcPr>
            <w:tcW w:w="1339" w:type="dxa"/>
            <w:vAlign w:val="center"/>
          </w:tcPr>
          <w:p w14:paraId="57661784" w14:textId="63C2B491"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Orissa</w:t>
            </w:r>
          </w:p>
        </w:tc>
        <w:tc>
          <w:tcPr>
            <w:tcW w:w="896" w:type="dxa"/>
            <w:vAlign w:val="center"/>
          </w:tcPr>
          <w:p w14:paraId="02A1130D" w14:textId="3F95FA3D"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3211.04</w:t>
            </w:r>
          </w:p>
        </w:tc>
        <w:tc>
          <w:tcPr>
            <w:tcW w:w="963" w:type="dxa"/>
            <w:vAlign w:val="center"/>
          </w:tcPr>
          <w:p w14:paraId="78648301" w14:textId="77ADCEA6"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4983.93</w:t>
            </w:r>
          </w:p>
        </w:tc>
        <w:tc>
          <w:tcPr>
            <w:tcW w:w="1440" w:type="dxa"/>
            <w:vAlign w:val="center"/>
          </w:tcPr>
          <w:p w14:paraId="4302C0CA" w14:textId="61DDA3F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1772.89</w:t>
            </w:r>
          </w:p>
        </w:tc>
        <w:tc>
          <w:tcPr>
            <w:tcW w:w="982" w:type="dxa"/>
            <w:vAlign w:val="center"/>
          </w:tcPr>
          <w:p w14:paraId="5BAAE6DD" w14:textId="0EE96AD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55.21</w:t>
            </w:r>
          </w:p>
        </w:tc>
        <w:tc>
          <w:tcPr>
            <w:tcW w:w="984" w:type="dxa"/>
            <w:vAlign w:val="center"/>
          </w:tcPr>
          <w:p w14:paraId="46679230" w14:textId="2BB4A7F4"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11.01</w:t>
            </w:r>
          </w:p>
        </w:tc>
        <w:tc>
          <w:tcPr>
            <w:tcW w:w="965" w:type="dxa"/>
            <w:vAlign w:val="center"/>
          </w:tcPr>
          <w:p w14:paraId="0E60167B" w14:textId="4C9BFA0E"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17.09</w:t>
            </w:r>
          </w:p>
        </w:tc>
        <w:tc>
          <w:tcPr>
            <w:tcW w:w="922" w:type="dxa"/>
            <w:vAlign w:val="center"/>
          </w:tcPr>
          <w:p w14:paraId="174B1466" w14:textId="16D4D0B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6.08</w:t>
            </w:r>
          </w:p>
        </w:tc>
      </w:tr>
      <w:tr w:rsidR="00B933C9" w:rsidRPr="009F214D" w14:paraId="34634218" w14:textId="77777777" w:rsidTr="00B933C9">
        <w:trPr>
          <w:trHeight w:val="20"/>
          <w:jc w:val="center"/>
        </w:trPr>
        <w:tc>
          <w:tcPr>
            <w:tcW w:w="581" w:type="dxa"/>
            <w:vAlign w:val="center"/>
          </w:tcPr>
          <w:p w14:paraId="283CE690" w14:textId="5EEB7120"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10</w:t>
            </w:r>
          </w:p>
        </w:tc>
        <w:tc>
          <w:tcPr>
            <w:tcW w:w="1339" w:type="dxa"/>
            <w:vAlign w:val="center"/>
          </w:tcPr>
          <w:p w14:paraId="4365E287" w14:textId="095FD3BC"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sz w:val="16"/>
                <w:szCs w:val="16"/>
              </w:rPr>
              <w:t>Punjab</w:t>
            </w:r>
          </w:p>
        </w:tc>
        <w:tc>
          <w:tcPr>
            <w:tcW w:w="896" w:type="dxa"/>
            <w:vAlign w:val="center"/>
          </w:tcPr>
          <w:p w14:paraId="36B02212" w14:textId="3C4A977B"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3972.00</w:t>
            </w:r>
          </w:p>
        </w:tc>
        <w:tc>
          <w:tcPr>
            <w:tcW w:w="963" w:type="dxa"/>
            <w:vAlign w:val="center"/>
          </w:tcPr>
          <w:p w14:paraId="1E17DBE4" w14:textId="14A22EC4"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3113.33</w:t>
            </w:r>
          </w:p>
        </w:tc>
        <w:tc>
          <w:tcPr>
            <w:tcW w:w="1440" w:type="dxa"/>
            <w:vAlign w:val="center"/>
          </w:tcPr>
          <w:p w14:paraId="145B7B05" w14:textId="2CE8C9F4"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-858.67</w:t>
            </w:r>
          </w:p>
        </w:tc>
        <w:tc>
          <w:tcPr>
            <w:tcW w:w="982" w:type="dxa"/>
            <w:vAlign w:val="center"/>
          </w:tcPr>
          <w:p w14:paraId="148B2358" w14:textId="79986AAE"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-21.62</w:t>
            </w:r>
          </w:p>
        </w:tc>
        <w:tc>
          <w:tcPr>
            <w:tcW w:w="984" w:type="dxa"/>
            <w:vAlign w:val="center"/>
          </w:tcPr>
          <w:p w14:paraId="38D7A71C" w14:textId="67419BA1"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21.25</w:t>
            </w:r>
          </w:p>
        </w:tc>
        <w:tc>
          <w:tcPr>
            <w:tcW w:w="965" w:type="dxa"/>
            <w:vAlign w:val="center"/>
          </w:tcPr>
          <w:p w14:paraId="4432A33B" w14:textId="5AFC6A9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16.65</w:t>
            </w:r>
          </w:p>
        </w:tc>
        <w:tc>
          <w:tcPr>
            <w:tcW w:w="922" w:type="dxa"/>
            <w:vAlign w:val="center"/>
          </w:tcPr>
          <w:p w14:paraId="65ACE1E7" w14:textId="209233C5"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sz w:val="16"/>
                <w:szCs w:val="16"/>
              </w:rPr>
              <w:t>-4.59</w:t>
            </w:r>
          </w:p>
        </w:tc>
      </w:tr>
      <w:tr w:rsidR="00B933C9" w:rsidRPr="009F214D" w14:paraId="0C28C608" w14:textId="77777777" w:rsidTr="00B933C9">
        <w:trPr>
          <w:trHeight w:val="20"/>
          <w:jc w:val="center"/>
        </w:trPr>
        <w:tc>
          <w:tcPr>
            <w:tcW w:w="581" w:type="dxa"/>
            <w:vAlign w:val="center"/>
          </w:tcPr>
          <w:p w14:paraId="0DC6BB33" w14:textId="1341C64C"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color w:val="1A1C1E"/>
                <w:sz w:val="16"/>
                <w:szCs w:val="16"/>
              </w:rPr>
              <w:t>11</w:t>
            </w:r>
          </w:p>
        </w:tc>
        <w:tc>
          <w:tcPr>
            <w:tcW w:w="1339" w:type="dxa"/>
            <w:vAlign w:val="center"/>
          </w:tcPr>
          <w:p w14:paraId="1C08413C" w14:textId="5D611D96" w:rsidR="00B933C9" w:rsidRPr="00B933C9" w:rsidRDefault="00B933C9" w:rsidP="00B933C9">
            <w:pPr>
              <w:tabs>
                <w:tab w:val="left" w:pos="2805"/>
              </w:tabs>
              <w:rPr>
                <w:rFonts w:ascii="Times New Roman" w:hAnsi="Times New Roman" w:cs="Times New Roman"/>
                <w:sz w:val="16"/>
                <w:szCs w:val="16"/>
              </w:rPr>
            </w:pPr>
            <w:r w:rsidRPr="00B933C9">
              <w:rPr>
                <w:rFonts w:ascii="Times New Roman" w:hAnsi="Times New Roman" w:cs="Times New Roman"/>
                <w:color w:val="1A1C1E"/>
                <w:sz w:val="16"/>
                <w:szCs w:val="16"/>
              </w:rPr>
              <w:t>Rajasthan</w:t>
            </w:r>
          </w:p>
        </w:tc>
        <w:tc>
          <w:tcPr>
            <w:tcW w:w="896" w:type="dxa"/>
            <w:vAlign w:val="center"/>
          </w:tcPr>
          <w:p w14:paraId="03BB6CFF" w14:textId="71B8E45F"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4253.98</w:t>
            </w:r>
          </w:p>
        </w:tc>
        <w:tc>
          <w:tcPr>
            <w:tcW w:w="963" w:type="dxa"/>
            <w:vAlign w:val="center"/>
          </w:tcPr>
          <w:p w14:paraId="48513014" w14:textId="5D1E0B65"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4534.73</w:t>
            </w:r>
          </w:p>
        </w:tc>
        <w:tc>
          <w:tcPr>
            <w:tcW w:w="1440" w:type="dxa"/>
            <w:vAlign w:val="center"/>
          </w:tcPr>
          <w:p w14:paraId="6DAE4701" w14:textId="64A7F755"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280.75</w:t>
            </w:r>
          </w:p>
        </w:tc>
        <w:tc>
          <w:tcPr>
            <w:tcW w:w="982" w:type="dxa"/>
            <w:vAlign w:val="center"/>
          </w:tcPr>
          <w:p w14:paraId="51E6E61A" w14:textId="1AC86953"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6.60</w:t>
            </w:r>
          </w:p>
        </w:tc>
        <w:tc>
          <w:tcPr>
            <w:tcW w:w="984" w:type="dxa"/>
            <w:vAlign w:val="center"/>
          </w:tcPr>
          <w:p w14:paraId="22164D49" w14:textId="157D48C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10.69</w:t>
            </w:r>
          </w:p>
        </w:tc>
        <w:tc>
          <w:tcPr>
            <w:tcW w:w="965" w:type="dxa"/>
            <w:vAlign w:val="center"/>
          </w:tcPr>
          <w:p w14:paraId="4C9FBB31" w14:textId="025DD9E8"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11.39</w:t>
            </w:r>
          </w:p>
        </w:tc>
        <w:tc>
          <w:tcPr>
            <w:tcW w:w="922" w:type="dxa"/>
            <w:vAlign w:val="center"/>
          </w:tcPr>
          <w:p w14:paraId="26DD2031" w14:textId="657D4410" w:rsidR="00B933C9" w:rsidRPr="00B933C9" w:rsidRDefault="00B933C9" w:rsidP="00B933C9">
            <w:pPr>
              <w:tabs>
                <w:tab w:val="left" w:pos="2805"/>
              </w:tabs>
              <w:jc w:val="center"/>
              <w:rPr>
                <w:rFonts w:ascii="Times New Roman" w:hAnsi="Times New Roman" w:cs="Times New Roman"/>
                <w:sz w:val="16"/>
                <w:szCs w:val="16"/>
              </w:rPr>
            </w:pPr>
            <w:r w:rsidRPr="00B933C9">
              <w:rPr>
                <w:rFonts w:ascii="Times New Roman" w:hAnsi="Times New Roman" w:cs="Times New Roman"/>
                <w:color w:val="1A1C1E"/>
                <w:sz w:val="16"/>
                <w:szCs w:val="16"/>
              </w:rPr>
              <w:t>0.71</w:t>
            </w:r>
          </w:p>
        </w:tc>
      </w:tr>
      <w:tr w:rsidR="00B933C9" w:rsidRPr="009F214D" w14:paraId="41EDCF5E" w14:textId="77777777" w:rsidTr="00B933C9">
        <w:trPr>
          <w:trHeight w:val="20"/>
          <w:jc w:val="center"/>
        </w:trPr>
        <w:tc>
          <w:tcPr>
            <w:tcW w:w="581" w:type="dxa"/>
            <w:vAlign w:val="center"/>
          </w:tcPr>
          <w:p w14:paraId="22372BA1" w14:textId="5B390E3B"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color w:val="1A1C1E"/>
                <w:sz w:val="16"/>
                <w:szCs w:val="16"/>
              </w:rPr>
              <w:t>12</w:t>
            </w:r>
          </w:p>
        </w:tc>
        <w:tc>
          <w:tcPr>
            <w:tcW w:w="1339" w:type="dxa"/>
            <w:vAlign w:val="center"/>
          </w:tcPr>
          <w:p w14:paraId="39918E8A" w14:textId="36E3D968"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color w:val="1A1C1E"/>
                <w:sz w:val="16"/>
                <w:szCs w:val="16"/>
              </w:rPr>
              <w:t>Tamil Nadu</w:t>
            </w:r>
          </w:p>
        </w:tc>
        <w:tc>
          <w:tcPr>
            <w:tcW w:w="896" w:type="dxa"/>
            <w:vAlign w:val="center"/>
          </w:tcPr>
          <w:p w14:paraId="20160FD0" w14:textId="5E183ACE"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11037.98</w:t>
            </w:r>
          </w:p>
        </w:tc>
        <w:tc>
          <w:tcPr>
            <w:tcW w:w="963" w:type="dxa"/>
            <w:vAlign w:val="center"/>
          </w:tcPr>
          <w:p w14:paraId="09696393" w14:textId="6294CA60"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6649.69</w:t>
            </w:r>
          </w:p>
        </w:tc>
        <w:tc>
          <w:tcPr>
            <w:tcW w:w="1440" w:type="dxa"/>
            <w:vAlign w:val="center"/>
          </w:tcPr>
          <w:p w14:paraId="2B1DBD0B" w14:textId="0124A10A"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-4388.29</w:t>
            </w:r>
          </w:p>
        </w:tc>
        <w:tc>
          <w:tcPr>
            <w:tcW w:w="982" w:type="dxa"/>
            <w:vAlign w:val="center"/>
          </w:tcPr>
          <w:p w14:paraId="2EEA2324" w14:textId="7542C024"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-39.76</w:t>
            </w:r>
          </w:p>
        </w:tc>
        <w:tc>
          <w:tcPr>
            <w:tcW w:w="984" w:type="dxa"/>
            <w:vAlign w:val="center"/>
          </w:tcPr>
          <w:p w14:paraId="6752F53E" w14:textId="1CD2182C"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20.81</w:t>
            </w:r>
          </w:p>
        </w:tc>
        <w:tc>
          <w:tcPr>
            <w:tcW w:w="965" w:type="dxa"/>
            <w:vAlign w:val="center"/>
          </w:tcPr>
          <w:p w14:paraId="74972B34" w14:textId="42F60F00"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12.53</w:t>
            </w:r>
          </w:p>
        </w:tc>
        <w:tc>
          <w:tcPr>
            <w:tcW w:w="922" w:type="dxa"/>
            <w:vAlign w:val="center"/>
          </w:tcPr>
          <w:p w14:paraId="6661685E" w14:textId="74AA439F"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-8.27</w:t>
            </w:r>
          </w:p>
        </w:tc>
      </w:tr>
      <w:tr w:rsidR="00B933C9" w:rsidRPr="009F214D" w14:paraId="50D6E23C" w14:textId="77777777" w:rsidTr="00B933C9">
        <w:trPr>
          <w:trHeight w:val="20"/>
          <w:jc w:val="center"/>
        </w:trPr>
        <w:tc>
          <w:tcPr>
            <w:tcW w:w="581" w:type="dxa"/>
            <w:vAlign w:val="center"/>
          </w:tcPr>
          <w:p w14:paraId="393208B6" w14:textId="5EB1F010"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color w:val="1A1C1E"/>
                <w:sz w:val="16"/>
                <w:szCs w:val="16"/>
              </w:rPr>
              <w:t>13</w:t>
            </w:r>
          </w:p>
        </w:tc>
        <w:tc>
          <w:tcPr>
            <w:tcW w:w="1339" w:type="dxa"/>
            <w:vAlign w:val="center"/>
          </w:tcPr>
          <w:p w14:paraId="4F8501D0" w14:textId="6B536E9A"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color w:val="1A1C1E"/>
                <w:sz w:val="16"/>
                <w:szCs w:val="16"/>
              </w:rPr>
              <w:t>Uttar Pradesh</w:t>
            </w:r>
          </w:p>
        </w:tc>
        <w:tc>
          <w:tcPr>
            <w:tcW w:w="896" w:type="dxa"/>
            <w:vAlign w:val="center"/>
          </w:tcPr>
          <w:p w14:paraId="3CA35E48" w14:textId="7AC6ED26"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9248.02</w:t>
            </w:r>
          </w:p>
        </w:tc>
        <w:tc>
          <w:tcPr>
            <w:tcW w:w="963" w:type="dxa"/>
            <w:vAlign w:val="center"/>
          </w:tcPr>
          <w:p w14:paraId="6264C233" w14:textId="3C84B787"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10439.36</w:t>
            </w:r>
          </w:p>
        </w:tc>
        <w:tc>
          <w:tcPr>
            <w:tcW w:w="1440" w:type="dxa"/>
            <w:vAlign w:val="center"/>
          </w:tcPr>
          <w:p w14:paraId="4E7B1AC2" w14:textId="4A817F19"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1191.33</w:t>
            </w:r>
          </w:p>
        </w:tc>
        <w:tc>
          <w:tcPr>
            <w:tcW w:w="982" w:type="dxa"/>
            <w:vAlign w:val="center"/>
          </w:tcPr>
          <w:p w14:paraId="63BE6475" w14:textId="64F5BFBE"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12.88</w:t>
            </w:r>
          </w:p>
        </w:tc>
        <w:tc>
          <w:tcPr>
            <w:tcW w:w="984" w:type="dxa"/>
            <w:vAlign w:val="center"/>
          </w:tcPr>
          <w:p w14:paraId="1A20D07F" w14:textId="42C9B7D0"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7.43</w:t>
            </w:r>
          </w:p>
        </w:tc>
        <w:tc>
          <w:tcPr>
            <w:tcW w:w="965" w:type="dxa"/>
            <w:vAlign w:val="center"/>
          </w:tcPr>
          <w:p w14:paraId="77EB5281" w14:textId="4F9D6D98"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8.38</w:t>
            </w:r>
          </w:p>
        </w:tc>
        <w:tc>
          <w:tcPr>
            <w:tcW w:w="922" w:type="dxa"/>
            <w:vAlign w:val="center"/>
          </w:tcPr>
          <w:p w14:paraId="19C90BD0" w14:textId="6582418C"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0.96</w:t>
            </w:r>
          </w:p>
        </w:tc>
      </w:tr>
      <w:tr w:rsidR="00B933C9" w:rsidRPr="009F214D" w14:paraId="42DC987C" w14:textId="77777777" w:rsidTr="00B933C9">
        <w:trPr>
          <w:trHeight w:val="20"/>
          <w:jc w:val="center"/>
        </w:trPr>
        <w:tc>
          <w:tcPr>
            <w:tcW w:w="581" w:type="dxa"/>
            <w:vAlign w:val="center"/>
          </w:tcPr>
          <w:p w14:paraId="1E201C9B" w14:textId="23D2A1F1"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color w:val="1A1C1E"/>
                <w:sz w:val="16"/>
                <w:szCs w:val="16"/>
              </w:rPr>
              <w:t>14</w:t>
            </w:r>
          </w:p>
        </w:tc>
        <w:tc>
          <w:tcPr>
            <w:tcW w:w="1339" w:type="dxa"/>
            <w:vAlign w:val="center"/>
          </w:tcPr>
          <w:p w14:paraId="50F62852" w14:textId="629B6CAC"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color w:val="1A1C1E"/>
                <w:sz w:val="16"/>
                <w:szCs w:val="16"/>
              </w:rPr>
              <w:t>West Bengal</w:t>
            </w:r>
          </w:p>
        </w:tc>
        <w:tc>
          <w:tcPr>
            <w:tcW w:w="896" w:type="dxa"/>
            <w:vAlign w:val="center"/>
          </w:tcPr>
          <w:p w14:paraId="0E75AC9B" w14:textId="7FA4DF51"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8759.03</w:t>
            </w:r>
          </w:p>
        </w:tc>
        <w:tc>
          <w:tcPr>
            <w:tcW w:w="963" w:type="dxa"/>
            <w:vAlign w:val="center"/>
          </w:tcPr>
          <w:p w14:paraId="536B6F7A" w14:textId="731828A6"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10543.04</w:t>
            </w:r>
          </w:p>
        </w:tc>
        <w:tc>
          <w:tcPr>
            <w:tcW w:w="1440" w:type="dxa"/>
            <w:vAlign w:val="center"/>
          </w:tcPr>
          <w:p w14:paraId="5BA08BDC" w14:textId="00DC5CD3"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1784.01</w:t>
            </w:r>
          </w:p>
        </w:tc>
        <w:tc>
          <w:tcPr>
            <w:tcW w:w="982" w:type="dxa"/>
            <w:vAlign w:val="center"/>
          </w:tcPr>
          <w:p w14:paraId="39227062" w14:textId="20E1A926"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20.37</w:t>
            </w:r>
          </w:p>
        </w:tc>
        <w:tc>
          <w:tcPr>
            <w:tcW w:w="984" w:type="dxa"/>
            <w:vAlign w:val="center"/>
          </w:tcPr>
          <w:p w14:paraId="793E23EF" w14:textId="0C22EDE0"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14.38</w:t>
            </w:r>
          </w:p>
        </w:tc>
        <w:tc>
          <w:tcPr>
            <w:tcW w:w="965" w:type="dxa"/>
            <w:vAlign w:val="center"/>
          </w:tcPr>
          <w:p w14:paraId="5FF57AD6" w14:textId="330C6BE7"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17.31</w:t>
            </w:r>
          </w:p>
        </w:tc>
        <w:tc>
          <w:tcPr>
            <w:tcW w:w="922" w:type="dxa"/>
            <w:vAlign w:val="center"/>
          </w:tcPr>
          <w:p w14:paraId="67765D0D" w14:textId="7E943D9D"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color w:val="1A1C1E"/>
                <w:sz w:val="16"/>
                <w:szCs w:val="16"/>
              </w:rPr>
              <w:t>2.93</w:t>
            </w:r>
          </w:p>
        </w:tc>
      </w:tr>
      <w:tr w:rsidR="00B933C9" w:rsidRPr="009F214D" w14:paraId="5972B5B8" w14:textId="77777777" w:rsidTr="00B933C9">
        <w:trPr>
          <w:trHeight w:val="20"/>
          <w:jc w:val="center"/>
        </w:trPr>
        <w:tc>
          <w:tcPr>
            <w:tcW w:w="581" w:type="dxa"/>
            <w:vAlign w:val="center"/>
          </w:tcPr>
          <w:p w14:paraId="68520D52" w14:textId="20B22D29"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14.</w:t>
            </w:r>
          </w:p>
        </w:tc>
        <w:tc>
          <w:tcPr>
            <w:tcW w:w="1339" w:type="dxa"/>
            <w:vAlign w:val="center"/>
          </w:tcPr>
          <w:p w14:paraId="2ED604A4" w14:textId="6E7B4526" w:rsidR="00B933C9" w:rsidRPr="00B933C9" w:rsidRDefault="00B933C9" w:rsidP="00B933C9">
            <w:pPr>
              <w:tabs>
                <w:tab w:val="left" w:pos="2805"/>
              </w:tabs>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Major States</w:t>
            </w:r>
          </w:p>
        </w:tc>
        <w:tc>
          <w:tcPr>
            <w:tcW w:w="896" w:type="dxa"/>
            <w:vAlign w:val="center"/>
          </w:tcPr>
          <w:p w14:paraId="637CD919" w14:textId="0A18B90C"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104950.78</w:t>
            </w:r>
          </w:p>
        </w:tc>
        <w:tc>
          <w:tcPr>
            <w:tcW w:w="963" w:type="dxa"/>
            <w:vAlign w:val="center"/>
          </w:tcPr>
          <w:p w14:paraId="47A185E6" w14:textId="717FA6BF"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104956.28</w:t>
            </w:r>
          </w:p>
        </w:tc>
        <w:tc>
          <w:tcPr>
            <w:tcW w:w="1440" w:type="dxa"/>
            <w:vAlign w:val="center"/>
          </w:tcPr>
          <w:p w14:paraId="1A9A9F06" w14:textId="492CDFBA"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5.50</w:t>
            </w:r>
          </w:p>
        </w:tc>
        <w:tc>
          <w:tcPr>
            <w:tcW w:w="982" w:type="dxa"/>
            <w:vAlign w:val="center"/>
          </w:tcPr>
          <w:p w14:paraId="38D3742F" w14:textId="598FC39A"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0.01</w:t>
            </w:r>
          </w:p>
        </w:tc>
        <w:tc>
          <w:tcPr>
            <w:tcW w:w="984" w:type="dxa"/>
            <w:vAlign w:val="center"/>
          </w:tcPr>
          <w:p w14:paraId="231D0219" w14:textId="7B4FCD66"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14.64</w:t>
            </w:r>
          </w:p>
        </w:tc>
        <w:tc>
          <w:tcPr>
            <w:tcW w:w="965" w:type="dxa"/>
            <w:vAlign w:val="center"/>
          </w:tcPr>
          <w:p w14:paraId="2AE63673" w14:textId="3F87B5D2"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14.64</w:t>
            </w:r>
          </w:p>
        </w:tc>
        <w:tc>
          <w:tcPr>
            <w:tcW w:w="922" w:type="dxa"/>
            <w:vAlign w:val="center"/>
          </w:tcPr>
          <w:p w14:paraId="5CC3AA8C" w14:textId="54570531" w:rsidR="00B933C9" w:rsidRPr="00B933C9" w:rsidRDefault="00B933C9" w:rsidP="00B933C9">
            <w:pPr>
              <w:tabs>
                <w:tab w:val="left" w:pos="2805"/>
              </w:tabs>
              <w:jc w:val="center"/>
              <w:rPr>
                <w:rFonts w:ascii="Times New Roman" w:hAnsi="Times New Roman" w:cs="Times New Roman"/>
                <w:color w:val="1A1C1E"/>
                <w:sz w:val="16"/>
                <w:szCs w:val="16"/>
              </w:rPr>
            </w:pPr>
            <w:r w:rsidRPr="00B933C9">
              <w:rPr>
                <w:rFonts w:ascii="Times New Roman" w:hAnsi="Times New Roman" w:cs="Times New Roman"/>
                <w:b/>
                <w:bCs/>
                <w:color w:val="1A1C1E"/>
                <w:sz w:val="16"/>
                <w:szCs w:val="16"/>
              </w:rPr>
              <w:t>0.00</w:t>
            </w:r>
          </w:p>
        </w:tc>
      </w:tr>
      <w:tr w:rsidR="00BA22F5" w:rsidRPr="009F214D" w14:paraId="4B6300FE" w14:textId="77777777" w:rsidTr="008E09A1">
        <w:trPr>
          <w:trHeight w:val="20"/>
          <w:jc w:val="center"/>
        </w:trPr>
        <w:tc>
          <w:tcPr>
            <w:tcW w:w="9072" w:type="dxa"/>
            <w:gridSpan w:val="9"/>
            <w:vAlign w:val="center"/>
          </w:tcPr>
          <w:p w14:paraId="2AEC6ECA" w14:textId="529E2ED0" w:rsidR="00BA22F5" w:rsidRPr="00B933C9" w:rsidRDefault="00BA22F5" w:rsidP="00B933C9">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b/>
                <w:bCs/>
                <w:sz w:val="20"/>
                <w:szCs w:val="20"/>
              </w:rPr>
              <w:t xml:space="preserve">Expenditure Category: Other Expenditure </w:t>
            </w:r>
            <w:proofErr w:type="gramStart"/>
            <w:r w:rsidRPr="001B4ADF">
              <w:rPr>
                <w:rFonts w:ascii="Times New Roman" w:hAnsi="Times New Roman" w:cs="Times New Roman"/>
                <w:b/>
                <w:bCs/>
                <w:sz w:val="20"/>
                <w:szCs w:val="20"/>
              </w:rPr>
              <w:t>On</w:t>
            </w:r>
            <w:proofErr w:type="gramEnd"/>
            <w:r w:rsidRPr="001B4ADF">
              <w:rPr>
                <w:rFonts w:ascii="Times New Roman" w:hAnsi="Times New Roman" w:cs="Times New Roman"/>
                <w:b/>
                <w:bCs/>
                <w:sz w:val="20"/>
                <w:szCs w:val="20"/>
              </w:rPr>
              <w:t xml:space="preserve"> Education</w:t>
            </w:r>
          </w:p>
        </w:tc>
      </w:tr>
      <w:tr w:rsidR="00BA22F5" w:rsidRPr="009F214D" w14:paraId="357AF277" w14:textId="77777777" w:rsidTr="00B933C9">
        <w:trPr>
          <w:trHeight w:val="20"/>
          <w:jc w:val="center"/>
        </w:trPr>
        <w:tc>
          <w:tcPr>
            <w:tcW w:w="581" w:type="dxa"/>
            <w:vAlign w:val="center"/>
          </w:tcPr>
          <w:p w14:paraId="0ED3A721" w14:textId="2DE55534" w:rsidR="00BA22F5" w:rsidRPr="00B933C9" w:rsidRDefault="00BA22F5" w:rsidP="00BA22F5">
            <w:pPr>
              <w:tabs>
                <w:tab w:val="left" w:pos="2805"/>
              </w:tabs>
              <w:rPr>
                <w:rFonts w:ascii="Times New Roman" w:hAnsi="Times New Roman" w:cs="Times New Roman"/>
                <w:b/>
                <w:bCs/>
                <w:color w:val="1A1C1E"/>
                <w:sz w:val="16"/>
                <w:szCs w:val="16"/>
              </w:rPr>
            </w:pPr>
            <w:r w:rsidRPr="001B4ADF">
              <w:rPr>
                <w:rFonts w:ascii="Times New Roman" w:hAnsi="Times New Roman" w:cs="Times New Roman"/>
                <w:sz w:val="16"/>
                <w:szCs w:val="16"/>
              </w:rPr>
              <w:t>1</w:t>
            </w:r>
          </w:p>
        </w:tc>
        <w:tc>
          <w:tcPr>
            <w:tcW w:w="1339" w:type="dxa"/>
            <w:vAlign w:val="center"/>
          </w:tcPr>
          <w:p w14:paraId="68BF67C4" w14:textId="5202879A" w:rsidR="00BA22F5" w:rsidRPr="00B933C9" w:rsidRDefault="00BA22F5" w:rsidP="00BA22F5">
            <w:pPr>
              <w:tabs>
                <w:tab w:val="left" w:pos="2805"/>
              </w:tabs>
              <w:rPr>
                <w:rFonts w:ascii="Times New Roman" w:hAnsi="Times New Roman" w:cs="Times New Roman"/>
                <w:b/>
                <w:bCs/>
                <w:color w:val="1A1C1E"/>
                <w:sz w:val="16"/>
                <w:szCs w:val="16"/>
              </w:rPr>
            </w:pPr>
            <w:r w:rsidRPr="001B4ADF">
              <w:rPr>
                <w:rFonts w:ascii="Times New Roman" w:hAnsi="Times New Roman" w:cs="Times New Roman"/>
                <w:sz w:val="16"/>
                <w:szCs w:val="16"/>
              </w:rPr>
              <w:t>Andhra Pradesh</w:t>
            </w:r>
          </w:p>
        </w:tc>
        <w:tc>
          <w:tcPr>
            <w:tcW w:w="896" w:type="dxa"/>
            <w:vAlign w:val="center"/>
          </w:tcPr>
          <w:p w14:paraId="11FCAEAF" w14:textId="4619055F"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820.00</w:t>
            </w:r>
          </w:p>
        </w:tc>
        <w:tc>
          <w:tcPr>
            <w:tcW w:w="963" w:type="dxa"/>
            <w:vAlign w:val="center"/>
          </w:tcPr>
          <w:p w14:paraId="25C6394E" w14:textId="48EFF2F7"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1228.87</w:t>
            </w:r>
          </w:p>
        </w:tc>
        <w:tc>
          <w:tcPr>
            <w:tcW w:w="1440" w:type="dxa"/>
            <w:vAlign w:val="center"/>
          </w:tcPr>
          <w:p w14:paraId="409134FC" w14:textId="3848C553"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408.87</w:t>
            </w:r>
          </w:p>
        </w:tc>
        <w:tc>
          <w:tcPr>
            <w:tcW w:w="982" w:type="dxa"/>
            <w:vAlign w:val="center"/>
          </w:tcPr>
          <w:p w14:paraId="1DAA849C" w14:textId="5AC6C197"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49.86</w:t>
            </w:r>
          </w:p>
        </w:tc>
        <w:tc>
          <w:tcPr>
            <w:tcW w:w="984" w:type="dxa"/>
            <w:vAlign w:val="center"/>
          </w:tcPr>
          <w:p w14:paraId="31AE1F14" w14:textId="15FD9FCA"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1.38</w:t>
            </w:r>
          </w:p>
        </w:tc>
        <w:tc>
          <w:tcPr>
            <w:tcW w:w="965" w:type="dxa"/>
            <w:vAlign w:val="center"/>
          </w:tcPr>
          <w:p w14:paraId="7FEB03E6" w14:textId="3DE7CB5F"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2.07</w:t>
            </w:r>
          </w:p>
        </w:tc>
        <w:tc>
          <w:tcPr>
            <w:tcW w:w="922" w:type="dxa"/>
            <w:vAlign w:val="center"/>
          </w:tcPr>
          <w:p w14:paraId="76019340" w14:textId="0071BDD4" w:rsidR="00BA22F5" w:rsidRPr="00B933C9" w:rsidRDefault="00BA22F5" w:rsidP="00BA22F5">
            <w:pPr>
              <w:tabs>
                <w:tab w:val="left" w:pos="2805"/>
              </w:tabs>
              <w:jc w:val="center"/>
              <w:rPr>
                <w:rFonts w:ascii="Times New Roman" w:hAnsi="Times New Roman" w:cs="Times New Roman"/>
                <w:b/>
                <w:bCs/>
                <w:color w:val="1A1C1E"/>
                <w:sz w:val="16"/>
                <w:szCs w:val="16"/>
              </w:rPr>
            </w:pPr>
            <w:r w:rsidRPr="001B4ADF">
              <w:rPr>
                <w:rFonts w:ascii="Times New Roman" w:hAnsi="Times New Roman" w:cs="Times New Roman"/>
                <w:sz w:val="16"/>
                <w:szCs w:val="16"/>
              </w:rPr>
              <w:t>0.69</w:t>
            </w:r>
          </w:p>
        </w:tc>
      </w:tr>
      <w:tr w:rsidR="00BA22F5" w:rsidRPr="009F214D" w14:paraId="6CA5E3B1" w14:textId="77777777" w:rsidTr="00B933C9">
        <w:trPr>
          <w:trHeight w:val="20"/>
          <w:jc w:val="center"/>
        </w:trPr>
        <w:tc>
          <w:tcPr>
            <w:tcW w:w="581" w:type="dxa"/>
            <w:vAlign w:val="center"/>
          </w:tcPr>
          <w:p w14:paraId="1249B5D0" w14:textId="331CE27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30D0B026" w14:textId="76285E5E"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51027580" w14:textId="05B9416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929.00</w:t>
            </w:r>
          </w:p>
        </w:tc>
        <w:tc>
          <w:tcPr>
            <w:tcW w:w="963" w:type="dxa"/>
            <w:vAlign w:val="center"/>
          </w:tcPr>
          <w:p w14:paraId="66628537" w14:textId="2F0DB1D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1269.37</w:t>
            </w:r>
          </w:p>
        </w:tc>
        <w:tc>
          <w:tcPr>
            <w:tcW w:w="1440" w:type="dxa"/>
            <w:vAlign w:val="center"/>
          </w:tcPr>
          <w:p w14:paraId="6C9D8763" w14:textId="3B6CD7F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340.37</w:t>
            </w:r>
          </w:p>
        </w:tc>
        <w:tc>
          <w:tcPr>
            <w:tcW w:w="982" w:type="dxa"/>
            <w:vAlign w:val="center"/>
          </w:tcPr>
          <w:p w14:paraId="725FDD31" w14:textId="59A58AB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36.64</w:t>
            </w:r>
          </w:p>
        </w:tc>
        <w:tc>
          <w:tcPr>
            <w:tcW w:w="984" w:type="dxa"/>
            <w:vAlign w:val="center"/>
          </w:tcPr>
          <w:p w14:paraId="62B5A74C" w14:textId="3EC7C84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1.18</w:t>
            </w:r>
          </w:p>
        </w:tc>
        <w:tc>
          <w:tcPr>
            <w:tcW w:w="965" w:type="dxa"/>
            <w:vAlign w:val="center"/>
          </w:tcPr>
          <w:p w14:paraId="6DDFEA3F" w14:textId="115C1DC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1.61</w:t>
            </w:r>
          </w:p>
        </w:tc>
        <w:tc>
          <w:tcPr>
            <w:tcW w:w="922" w:type="dxa"/>
            <w:vAlign w:val="center"/>
          </w:tcPr>
          <w:p w14:paraId="422A5258" w14:textId="15EFDD3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0.43</w:t>
            </w:r>
          </w:p>
        </w:tc>
      </w:tr>
      <w:tr w:rsidR="00BA22F5" w:rsidRPr="009F214D" w14:paraId="0280AD8F" w14:textId="77777777" w:rsidTr="00B933C9">
        <w:trPr>
          <w:trHeight w:val="20"/>
          <w:jc w:val="center"/>
        </w:trPr>
        <w:tc>
          <w:tcPr>
            <w:tcW w:w="581" w:type="dxa"/>
            <w:vAlign w:val="center"/>
          </w:tcPr>
          <w:p w14:paraId="53A971C7" w14:textId="1D8EEDC4"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267EC93E" w14:textId="0F442F2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68FB2337" w14:textId="45D0D4F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1260.00</w:t>
            </w:r>
          </w:p>
        </w:tc>
        <w:tc>
          <w:tcPr>
            <w:tcW w:w="963" w:type="dxa"/>
            <w:vAlign w:val="center"/>
          </w:tcPr>
          <w:p w14:paraId="0582F111" w14:textId="7785CDC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1099.75</w:t>
            </w:r>
          </w:p>
        </w:tc>
        <w:tc>
          <w:tcPr>
            <w:tcW w:w="1440" w:type="dxa"/>
            <w:vAlign w:val="center"/>
          </w:tcPr>
          <w:p w14:paraId="0B66C4DD" w14:textId="63336BC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-160.25</w:t>
            </w:r>
          </w:p>
        </w:tc>
        <w:tc>
          <w:tcPr>
            <w:tcW w:w="982" w:type="dxa"/>
            <w:vAlign w:val="center"/>
          </w:tcPr>
          <w:p w14:paraId="009B01CB" w14:textId="46B9DB0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-12.72</w:t>
            </w:r>
          </w:p>
        </w:tc>
        <w:tc>
          <w:tcPr>
            <w:tcW w:w="984" w:type="dxa"/>
            <w:vAlign w:val="center"/>
          </w:tcPr>
          <w:p w14:paraId="55A0825D" w14:textId="631558F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3.31</w:t>
            </w:r>
          </w:p>
        </w:tc>
        <w:tc>
          <w:tcPr>
            <w:tcW w:w="965" w:type="dxa"/>
            <w:vAlign w:val="center"/>
          </w:tcPr>
          <w:p w14:paraId="09B61DC7" w14:textId="4501D98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2.89</w:t>
            </w:r>
          </w:p>
        </w:tc>
        <w:tc>
          <w:tcPr>
            <w:tcW w:w="922" w:type="dxa"/>
            <w:vAlign w:val="center"/>
          </w:tcPr>
          <w:p w14:paraId="2AA12121" w14:textId="730246C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-0.42</w:t>
            </w:r>
          </w:p>
        </w:tc>
      </w:tr>
      <w:tr w:rsidR="00BA22F5" w:rsidRPr="009F214D" w14:paraId="0201D214" w14:textId="77777777" w:rsidTr="00B933C9">
        <w:trPr>
          <w:trHeight w:val="20"/>
          <w:jc w:val="center"/>
        </w:trPr>
        <w:tc>
          <w:tcPr>
            <w:tcW w:w="581" w:type="dxa"/>
            <w:vAlign w:val="center"/>
          </w:tcPr>
          <w:p w14:paraId="75BBBDF5" w14:textId="1AE4EA76"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3E734FCC" w14:textId="5B037640"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68C91F3F" w14:textId="2EDC6DB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431.00</w:t>
            </w:r>
          </w:p>
        </w:tc>
        <w:tc>
          <w:tcPr>
            <w:tcW w:w="963" w:type="dxa"/>
            <w:vAlign w:val="center"/>
          </w:tcPr>
          <w:p w14:paraId="06C0A170" w14:textId="596AA22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354.19</w:t>
            </w:r>
          </w:p>
        </w:tc>
        <w:tc>
          <w:tcPr>
            <w:tcW w:w="1440" w:type="dxa"/>
            <w:vAlign w:val="center"/>
          </w:tcPr>
          <w:p w14:paraId="26FDE83B" w14:textId="6ADACE3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-76.81</w:t>
            </w:r>
          </w:p>
        </w:tc>
        <w:tc>
          <w:tcPr>
            <w:tcW w:w="982" w:type="dxa"/>
            <w:vAlign w:val="center"/>
          </w:tcPr>
          <w:p w14:paraId="75C2EF28" w14:textId="6725E1F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-17.82</w:t>
            </w:r>
          </w:p>
        </w:tc>
        <w:tc>
          <w:tcPr>
            <w:tcW w:w="984" w:type="dxa"/>
            <w:vAlign w:val="center"/>
          </w:tcPr>
          <w:p w14:paraId="525DB58F" w14:textId="335B377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2.87</w:t>
            </w:r>
          </w:p>
        </w:tc>
        <w:tc>
          <w:tcPr>
            <w:tcW w:w="965" w:type="dxa"/>
            <w:vAlign w:val="center"/>
          </w:tcPr>
          <w:p w14:paraId="700B1BAB" w14:textId="4D6BD5E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2.36</w:t>
            </w:r>
          </w:p>
        </w:tc>
        <w:tc>
          <w:tcPr>
            <w:tcW w:w="922" w:type="dxa"/>
            <w:vAlign w:val="center"/>
          </w:tcPr>
          <w:p w14:paraId="75315E76" w14:textId="3CF9DA8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-0.51</w:t>
            </w:r>
          </w:p>
        </w:tc>
      </w:tr>
      <w:tr w:rsidR="00BA22F5" w:rsidRPr="009F214D" w14:paraId="042414EA" w14:textId="77777777" w:rsidTr="00B933C9">
        <w:trPr>
          <w:trHeight w:val="20"/>
          <w:jc w:val="center"/>
        </w:trPr>
        <w:tc>
          <w:tcPr>
            <w:tcW w:w="581" w:type="dxa"/>
            <w:vAlign w:val="center"/>
          </w:tcPr>
          <w:p w14:paraId="15E0906E" w14:textId="7743002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631176E5" w14:textId="606A3D1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300B0C1B" w14:textId="66B5D87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709.00</w:t>
            </w:r>
          </w:p>
        </w:tc>
        <w:tc>
          <w:tcPr>
            <w:tcW w:w="963" w:type="dxa"/>
            <w:vAlign w:val="center"/>
          </w:tcPr>
          <w:p w14:paraId="32DC2447" w14:textId="693D5F6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976.24</w:t>
            </w:r>
          </w:p>
        </w:tc>
        <w:tc>
          <w:tcPr>
            <w:tcW w:w="1440" w:type="dxa"/>
            <w:vAlign w:val="center"/>
          </w:tcPr>
          <w:p w14:paraId="426881AC" w14:textId="728127D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267.24</w:t>
            </w:r>
          </w:p>
        </w:tc>
        <w:tc>
          <w:tcPr>
            <w:tcW w:w="982" w:type="dxa"/>
            <w:vAlign w:val="center"/>
          </w:tcPr>
          <w:p w14:paraId="3E438112" w14:textId="5FE32D6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37.69</w:t>
            </w:r>
          </w:p>
        </w:tc>
        <w:tc>
          <w:tcPr>
            <w:tcW w:w="984" w:type="dxa"/>
            <w:vAlign w:val="center"/>
          </w:tcPr>
          <w:p w14:paraId="3EBB645C" w14:textId="2951229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1.70</w:t>
            </w:r>
          </w:p>
        </w:tc>
        <w:tc>
          <w:tcPr>
            <w:tcW w:w="965" w:type="dxa"/>
            <w:vAlign w:val="center"/>
          </w:tcPr>
          <w:p w14:paraId="3605E893" w14:textId="28A86C0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2.33</w:t>
            </w:r>
          </w:p>
        </w:tc>
        <w:tc>
          <w:tcPr>
            <w:tcW w:w="922" w:type="dxa"/>
            <w:vAlign w:val="center"/>
          </w:tcPr>
          <w:p w14:paraId="1BB8305D" w14:textId="6044D70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0.64</w:t>
            </w:r>
          </w:p>
        </w:tc>
      </w:tr>
      <w:tr w:rsidR="00BA22F5" w:rsidRPr="009F214D" w14:paraId="224B2DB6" w14:textId="77777777" w:rsidTr="00B933C9">
        <w:trPr>
          <w:trHeight w:val="20"/>
          <w:jc w:val="center"/>
        </w:trPr>
        <w:tc>
          <w:tcPr>
            <w:tcW w:w="581" w:type="dxa"/>
            <w:vAlign w:val="center"/>
          </w:tcPr>
          <w:p w14:paraId="04423093" w14:textId="3925651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7A4E379D" w14:textId="6AA462F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25B8756D" w14:textId="3F74C93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589.00</w:t>
            </w:r>
          </w:p>
        </w:tc>
        <w:tc>
          <w:tcPr>
            <w:tcW w:w="963" w:type="dxa"/>
            <w:vAlign w:val="center"/>
          </w:tcPr>
          <w:p w14:paraId="307DA5F3" w14:textId="7E57FAA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1060.46</w:t>
            </w:r>
          </w:p>
        </w:tc>
        <w:tc>
          <w:tcPr>
            <w:tcW w:w="1440" w:type="dxa"/>
            <w:vAlign w:val="center"/>
          </w:tcPr>
          <w:p w14:paraId="5F541C77" w14:textId="1037B0F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471.46</w:t>
            </w:r>
          </w:p>
        </w:tc>
        <w:tc>
          <w:tcPr>
            <w:tcW w:w="982" w:type="dxa"/>
            <w:vAlign w:val="center"/>
          </w:tcPr>
          <w:p w14:paraId="38D4DC1F" w14:textId="438B99C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80.04</w:t>
            </w:r>
          </w:p>
        </w:tc>
        <w:tc>
          <w:tcPr>
            <w:tcW w:w="984" w:type="dxa"/>
            <w:vAlign w:val="center"/>
          </w:tcPr>
          <w:p w14:paraId="590D5166" w14:textId="5D96BEF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2.09</w:t>
            </w:r>
          </w:p>
        </w:tc>
        <w:tc>
          <w:tcPr>
            <w:tcW w:w="965" w:type="dxa"/>
            <w:vAlign w:val="center"/>
          </w:tcPr>
          <w:p w14:paraId="6EF8A279" w14:textId="7B2987A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3.77</w:t>
            </w:r>
          </w:p>
        </w:tc>
        <w:tc>
          <w:tcPr>
            <w:tcW w:w="922" w:type="dxa"/>
            <w:vAlign w:val="center"/>
          </w:tcPr>
          <w:p w14:paraId="537DF5CA" w14:textId="03464E7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1.68</w:t>
            </w:r>
          </w:p>
        </w:tc>
      </w:tr>
      <w:tr w:rsidR="00BA22F5" w:rsidRPr="009F214D" w14:paraId="72BF004C" w14:textId="77777777" w:rsidTr="00B933C9">
        <w:trPr>
          <w:trHeight w:val="20"/>
          <w:jc w:val="center"/>
        </w:trPr>
        <w:tc>
          <w:tcPr>
            <w:tcW w:w="581" w:type="dxa"/>
            <w:vAlign w:val="center"/>
          </w:tcPr>
          <w:p w14:paraId="21CFF1AA" w14:textId="247B48C4"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4176D32F" w14:textId="28A34313"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06909668" w14:textId="1A50E86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590.00</w:t>
            </w:r>
          </w:p>
        </w:tc>
        <w:tc>
          <w:tcPr>
            <w:tcW w:w="963" w:type="dxa"/>
            <w:vAlign w:val="center"/>
          </w:tcPr>
          <w:p w14:paraId="73E6CF92" w14:textId="2CF0693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891.90</w:t>
            </w:r>
          </w:p>
        </w:tc>
        <w:tc>
          <w:tcPr>
            <w:tcW w:w="1440" w:type="dxa"/>
            <w:vAlign w:val="center"/>
          </w:tcPr>
          <w:p w14:paraId="78B6124A" w14:textId="1E0267B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301.90</w:t>
            </w:r>
          </w:p>
        </w:tc>
        <w:tc>
          <w:tcPr>
            <w:tcW w:w="982" w:type="dxa"/>
            <w:vAlign w:val="center"/>
          </w:tcPr>
          <w:p w14:paraId="7BE8A3A1" w14:textId="5D51721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51.17</w:t>
            </w:r>
          </w:p>
        </w:tc>
        <w:tc>
          <w:tcPr>
            <w:tcW w:w="984" w:type="dxa"/>
            <w:vAlign w:val="center"/>
          </w:tcPr>
          <w:p w14:paraId="26DA5658" w14:textId="1892559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1.00</w:t>
            </w:r>
          </w:p>
        </w:tc>
        <w:tc>
          <w:tcPr>
            <w:tcW w:w="965" w:type="dxa"/>
            <w:vAlign w:val="center"/>
          </w:tcPr>
          <w:p w14:paraId="212F3561" w14:textId="40EB348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1.51</w:t>
            </w:r>
          </w:p>
        </w:tc>
        <w:tc>
          <w:tcPr>
            <w:tcW w:w="922" w:type="dxa"/>
            <w:vAlign w:val="center"/>
          </w:tcPr>
          <w:p w14:paraId="2B1F81B0" w14:textId="1A4B571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0.51</w:t>
            </w:r>
          </w:p>
        </w:tc>
      </w:tr>
      <w:tr w:rsidR="00BA22F5" w:rsidRPr="009F214D" w14:paraId="53FD9A15" w14:textId="77777777" w:rsidTr="00B933C9">
        <w:trPr>
          <w:trHeight w:val="20"/>
          <w:jc w:val="center"/>
        </w:trPr>
        <w:tc>
          <w:tcPr>
            <w:tcW w:w="581" w:type="dxa"/>
            <w:vAlign w:val="center"/>
          </w:tcPr>
          <w:p w14:paraId="1EF1EE41" w14:textId="430D079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424DF9D2" w14:textId="65E8541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4475CEB2" w14:textId="1CEFC1D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2336.00</w:t>
            </w:r>
          </w:p>
        </w:tc>
        <w:tc>
          <w:tcPr>
            <w:tcW w:w="963" w:type="dxa"/>
            <w:vAlign w:val="center"/>
          </w:tcPr>
          <w:p w14:paraId="76876198" w14:textId="34EC1EC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2136.48</w:t>
            </w:r>
          </w:p>
        </w:tc>
        <w:tc>
          <w:tcPr>
            <w:tcW w:w="1440" w:type="dxa"/>
            <w:vAlign w:val="center"/>
          </w:tcPr>
          <w:p w14:paraId="42B809BE" w14:textId="6164E78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-199.52</w:t>
            </w:r>
          </w:p>
        </w:tc>
        <w:tc>
          <w:tcPr>
            <w:tcW w:w="982" w:type="dxa"/>
            <w:vAlign w:val="center"/>
          </w:tcPr>
          <w:p w14:paraId="295A8BE0" w14:textId="7712BA7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-8.54</w:t>
            </w:r>
          </w:p>
        </w:tc>
        <w:tc>
          <w:tcPr>
            <w:tcW w:w="984" w:type="dxa"/>
            <w:vAlign w:val="center"/>
          </w:tcPr>
          <w:p w14:paraId="11B4DFA7" w14:textId="24898A8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3.32</w:t>
            </w:r>
          </w:p>
        </w:tc>
        <w:tc>
          <w:tcPr>
            <w:tcW w:w="965" w:type="dxa"/>
            <w:vAlign w:val="center"/>
          </w:tcPr>
          <w:p w14:paraId="62F4C3E3" w14:textId="4B94489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3.03</w:t>
            </w:r>
          </w:p>
        </w:tc>
        <w:tc>
          <w:tcPr>
            <w:tcW w:w="922" w:type="dxa"/>
            <w:vAlign w:val="center"/>
          </w:tcPr>
          <w:p w14:paraId="630BBA79" w14:textId="12B0AF4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-0.28</w:t>
            </w:r>
          </w:p>
        </w:tc>
      </w:tr>
      <w:tr w:rsidR="00BA22F5" w:rsidRPr="009F214D" w14:paraId="40E48EA9" w14:textId="77777777" w:rsidTr="00B933C9">
        <w:trPr>
          <w:trHeight w:val="20"/>
          <w:jc w:val="center"/>
        </w:trPr>
        <w:tc>
          <w:tcPr>
            <w:tcW w:w="581" w:type="dxa"/>
            <w:vAlign w:val="center"/>
          </w:tcPr>
          <w:p w14:paraId="7508FEEA" w14:textId="1B41B8D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75285316" w14:textId="435C187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27086B67" w14:textId="3F22A42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700.00</w:t>
            </w:r>
          </w:p>
        </w:tc>
        <w:tc>
          <w:tcPr>
            <w:tcW w:w="963" w:type="dxa"/>
            <w:vAlign w:val="center"/>
          </w:tcPr>
          <w:p w14:paraId="090D245D" w14:textId="2F015F9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522.01</w:t>
            </w:r>
          </w:p>
        </w:tc>
        <w:tc>
          <w:tcPr>
            <w:tcW w:w="1440" w:type="dxa"/>
            <w:vAlign w:val="center"/>
          </w:tcPr>
          <w:p w14:paraId="5838C45F" w14:textId="62BCE66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-177.99</w:t>
            </w:r>
          </w:p>
        </w:tc>
        <w:tc>
          <w:tcPr>
            <w:tcW w:w="982" w:type="dxa"/>
            <w:vAlign w:val="center"/>
          </w:tcPr>
          <w:p w14:paraId="14D26062" w14:textId="03DF6F8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-25.43</w:t>
            </w:r>
          </w:p>
        </w:tc>
        <w:tc>
          <w:tcPr>
            <w:tcW w:w="984" w:type="dxa"/>
            <w:vAlign w:val="center"/>
          </w:tcPr>
          <w:p w14:paraId="65C84A58" w14:textId="2DC783A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2.40</w:t>
            </w:r>
          </w:p>
        </w:tc>
        <w:tc>
          <w:tcPr>
            <w:tcW w:w="965" w:type="dxa"/>
            <w:vAlign w:val="center"/>
          </w:tcPr>
          <w:p w14:paraId="4FD8FB64" w14:textId="5A11D10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1.79</w:t>
            </w:r>
          </w:p>
        </w:tc>
        <w:tc>
          <w:tcPr>
            <w:tcW w:w="922" w:type="dxa"/>
            <w:vAlign w:val="center"/>
          </w:tcPr>
          <w:p w14:paraId="52311AF8" w14:textId="788C674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-0.61</w:t>
            </w:r>
          </w:p>
        </w:tc>
      </w:tr>
      <w:tr w:rsidR="00BA22F5" w:rsidRPr="009F214D" w14:paraId="7CDD25AE" w14:textId="77777777" w:rsidTr="00B933C9">
        <w:trPr>
          <w:trHeight w:val="20"/>
          <w:jc w:val="center"/>
        </w:trPr>
        <w:tc>
          <w:tcPr>
            <w:tcW w:w="581" w:type="dxa"/>
            <w:vAlign w:val="center"/>
          </w:tcPr>
          <w:p w14:paraId="6BB9F92E" w14:textId="4AFB8C21"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5899502C" w14:textId="2F3BBB03"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0CA58892" w14:textId="2182209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479.00</w:t>
            </w:r>
          </w:p>
        </w:tc>
        <w:tc>
          <w:tcPr>
            <w:tcW w:w="963" w:type="dxa"/>
            <w:vAlign w:val="center"/>
          </w:tcPr>
          <w:p w14:paraId="457501AF" w14:textId="1828BA5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572.87</w:t>
            </w:r>
          </w:p>
        </w:tc>
        <w:tc>
          <w:tcPr>
            <w:tcW w:w="1440" w:type="dxa"/>
            <w:vAlign w:val="center"/>
          </w:tcPr>
          <w:p w14:paraId="34CE7CB4" w14:textId="6D8156A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93.87</w:t>
            </w:r>
          </w:p>
        </w:tc>
        <w:tc>
          <w:tcPr>
            <w:tcW w:w="982" w:type="dxa"/>
            <w:vAlign w:val="center"/>
          </w:tcPr>
          <w:p w14:paraId="7092CEF8" w14:textId="15E5FD3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19.60</w:t>
            </w:r>
          </w:p>
        </w:tc>
        <w:tc>
          <w:tcPr>
            <w:tcW w:w="984" w:type="dxa"/>
            <w:vAlign w:val="center"/>
          </w:tcPr>
          <w:p w14:paraId="4B1AE82B" w14:textId="3330EC6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2.56</w:t>
            </w:r>
          </w:p>
        </w:tc>
        <w:tc>
          <w:tcPr>
            <w:tcW w:w="965" w:type="dxa"/>
            <w:vAlign w:val="center"/>
          </w:tcPr>
          <w:p w14:paraId="62499EFF" w14:textId="76E9B35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3.06</w:t>
            </w:r>
          </w:p>
        </w:tc>
        <w:tc>
          <w:tcPr>
            <w:tcW w:w="922" w:type="dxa"/>
            <w:vAlign w:val="center"/>
          </w:tcPr>
          <w:p w14:paraId="3D6593A0" w14:textId="7E92B40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0.50</w:t>
            </w:r>
          </w:p>
        </w:tc>
      </w:tr>
      <w:tr w:rsidR="00BA22F5" w:rsidRPr="009F214D" w14:paraId="0AC7D643" w14:textId="77777777" w:rsidTr="00B933C9">
        <w:trPr>
          <w:trHeight w:val="20"/>
          <w:jc w:val="center"/>
        </w:trPr>
        <w:tc>
          <w:tcPr>
            <w:tcW w:w="581" w:type="dxa"/>
            <w:vAlign w:val="center"/>
          </w:tcPr>
          <w:p w14:paraId="6E83B8A9" w14:textId="2F737AEB"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4E502BD2" w14:textId="7C3F542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74ADFE03" w14:textId="248C1A4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496.00</w:t>
            </w:r>
          </w:p>
        </w:tc>
        <w:tc>
          <w:tcPr>
            <w:tcW w:w="963" w:type="dxa"/>
            <w:vAlign w:val="center"/>
          </w:tcPr>
          <w:p w14:paraId="51F6BA6A" w14:textId="2DD92C5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774.66</w:t>
            </w:r>
          </w:p>
        </w:tc>
        <w:tc>
          <w:tcPr>
            <w:tcW w:w="1440" w:type="dxa"/>
            <w:vAlign w:val="center"/>
          </w:tcPr>
          <w:p w14:paraId="015A6222" w14:textId="7F8642C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278.66</w:t>
            </w:r>
          </w:p>
        </w:tc>
        <w:tc>
          <w:tcPr>
            <w:tcW w:w="982" w:type="dxa"/>
            <w:vAlign w:val="center"/>
          </w:tcPr>
          <w:p w14:paraId="03735BDE" w14:textId="5CBC588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56.18</w:t>
            </w:r>
          </w:p>
        </w:tc>
        <w:tc>
          <w:tcPr>
            <w:tcW w:w="984" w:type="dxa"/>
            <w:vAlign w:val="center"/>
          </w:tcPr>
          <w:p w14:paraId="7B97F8E3" w14:textId="409C3E1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1.25</w:t>
            </w:r>
          </w:p>
        </w:tc>
        <w:tc>
          <w:tcPr>
            <w:tcW w:w="965" w:type="dxa"/>
            <w:vAlign w:val="center"/>
          </w:tcPr>
          <w:p w14:paraId="10340C5E" w14:textId="450670B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1.95</w:t>
            </w:r>
          </w:p>
        </w:tc>
        <w:tc>
          <w:tcPr>
            <w:tcW w:w="922" w:type="dxa"/>
            <w:vAlign w:val="center"/>
          </w:tcPr>
          <w:p w14:paraId="37CB3BF4" w14:textId="231EE21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0.70</w:t>
            </w:r>
          </w:p>
        </w:tc>
      </w:tr>
      <w:tr w:rsidR="00BA22F5" w:rsidRPr="009F214D" w14:paraId="65095E54" w14:textId="77777777" w:rsidTr="00B933C9">
        <w:trPr>
          <w:trHeight w:val="20"/>
          <w:jc w:val="center"/>
        </w:trPr>
        <w:tc>
          <w:tcPr>
            <w:tcW w:w="581" w:type="dxa"/>
            <w:vAlign w:val="center"/>
          </w:tcPr>
          <w:p w14:paraId="79C3B579" w14:textId="3374B214"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6415D944" w14:textId="1EE082E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353CFEB7" w14:textId="2609D4D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448.00</w:t>
            </w:r>
          </w:p>
        </w:tc>
        <w:tc>
          <w:tcPr>
            <w:tcW w:w="963" w:type="dxa"/>
            <w:vAlign w:val="center"/>
          </w:tcPr>
          <w:p w14:paraId="0004735F" w14:textId="62382E6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1277.39</w:t>
            </w:r>
          </w:p>
        </w:tc>
        <w:tc>
          <w:tcPr>
            <w:tcW w:w="1440" w:type="dxa"/>
            <w:vAlign w:val="center"/>
          </w:tcPr>
          <w:p w14:paraId="45CAC287" w14:textId="2058F28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829.39</w:t>
            </w:r>
          </w:p>
        </w:tc>
        <w:tc>
          <w:tcPr>
            <w:tcW w:w="982" w:type="dxa"/>
            <w:vAlign w:val="center"/>
          </w:tcPr>
          <w:p w14:paraId="0E9585AC" w14:textId="0F5CAEA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185.13</w:t>
            </w:r>
          </w:p>
        </w:tc>
        <w:tc>
          <w:tcPr>
            <w:tcW w:w="984" w:type="dxa"/>
            <w:vAlign w:val="center"/>
          </w:tcPr>
          <w:p w14:paraId="1935C38B" w14:textId="71A4604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0.84</w:t>
            </w:r>
          </w:p>
        </w:tc>
        <w:tc>
          <w:tcPr>
            <w:tcW w:w="965" w:type="dxa"/>
            <w:vAlign w:val="center"/>
          </w:tcPr>
          <w:p w14:paraId="3E9B7DD8" w14:textId="4A0E856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2.41</w:t>
            </w:r>
          </w:p>
        </w:tc>
        <w:tc>
          <w:tcPr>
            <w:tcW w:w="922" w:type="dxa"/>
            <w:vAlign w:val="center"/>
          </w:tcPr>
          <w:p w14:paraId="6E3792D8" w14:textId="2A213D0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1.56</w:t>
            </w:r>
          </w:p>
        </w:tc>
      </w:tr>
      <w:tr w:rsidR="00BA22F5" w:rsidRPr="009F214D" w14:paraId="1FB206CA" w14:textId="77777777" w:rsidTr="00B933C9">
        <w:trPr>
          <w:trHeight w:val="20"/>
          <w:jc w:val="center"/>
        </w:trPr>
        <w:tc>
          <w:tcPr>
            <w:tcW w:w="581" w:type="dxa"/>
            <w:vAlign w:val="center"/>
          </w:tcPr>
          <w:p w14:paraId="00880DFD" w14:textId="0BBB2B2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7E8D57CE" w14:textId="26727039"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0F6E832F" w14:textId="0F480F6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906.00</w:t>
            </w:r>
          </w:p>
        </w:tc>
        <w:tc>
          <w:tcPr>
            <w:tcW w:w="963" w:type="dxa"/>
            <w:vAlign w:val="center"/>
          </w:tcPr>
          <w:p w14:paraId="1DAB5F25" w14:textId="5A82B97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1906.11</w:t>
            </w:r>
          </w:p>
        </w:tc>
        <w:tc>
          <w:tcPr>
            <w:tcW w:w="1440" w:type="dxa"/>
            <w:vAlign w:val="center"/>
          </w:tcPr>
          <w:p w14:paraId="526DC357" w14:textId="6411805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1000.11</w:t>
            </w:r>
          </w:p>
        </w:tc>
        <w:tc>
          <w:tcPr>
            <w:tcW w:w="982" w:type="dxa"/>
            <w:vAlign w:val="center"/>
          </w:tcPr>
          <w:p w14:paraId="57EBC396" w14:textId="0E75645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110.39</w:t>
            </w:r>
          </w:p>
        </w:tc>
        <w:tc>
          <w:tcPr>
            <w:tcW w:w="984" w:type="dxa"/>
            <w:vAlign w:val="center"/>
          </w:tcPr>
          <w:p w14:paraId="0ABB2950" w14:textId="48975C8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0.73</w:t>
            </w:r>
          </w:p>
        </w:tc>
        <w:tc>
          <w:tcPr>
            <w:tcW w:w="965" w:type="dxa"/>
            <w:vAlign w:val="center"/>
          </w:tcPr>
          <w:p w14:paraId="492C910B" w14:textId="71C5C21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1.53</w:t>
            </w:r>
          </w:p>
        </w:tc>
        <w:tc>
          <w:tcPr>
            <w:tcW w:w="922" w:type="dxa"/>
            <w:vAlign w:val="center"/>
          </w:tcPr>
          <w:p w14:paraId="4DC52890" w14:textId="4AB2FF4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0.80</w:t>
            </w:r>
          </w:p>
        </w:tc>
      </w:tr>
      <w:tr w:rsidR="00BA22F5" w:rsidRPr="009F214D" w14:paraId="6E1487E8" w14:textId="77777777" w:rsidTr="00B933C9">
        <w:trPr>
          <w:trHeight w:val="20"/>
          <w:jc w:val="center"/>
        </w:trPr>
        <w:tc>
          <w:tcPr>
            <w:tcW w:w="581" w:type="dxa"/>
            <w:vAlign w:val="center"/>
          </w:tcPr>
          <w:p w14:paraId="03A8F40B" w14:textId="24AED43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03A6F53C" w14:textId="620FB1B8"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371AAADB" w14:textId="0F21D01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4855.00</w:t>
            </w:r>
          </w:p>
        </w:tc>
        <w:tc>
          <w:tcPr>
            <w:tcW w:w="963" w:type="dxa"/>
            <w:vAlign w:val="center"/>
          </w:tcPr>
          <w:p w14:paraId="151965E8" w14:textId="1F38B99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1477.69</w:t>
            </w:r>
          </w:p>
        </w:tc>
        <w:tc>
          <w:tcPr>
            <w:tcW w:w="1440" w:type="dxa"/>
            <w:vAlign w:val="center"/>
          </w:tcPr>
          <w:p w14:paraId="0A6740AA" w14:textId="5E34379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-3377.31</w:t>
            </w:r>
          </w:p>
        </w:tc>
        <w:tc>
          <w:tcPr>
            <w:tcW w:w="982" w:type="dxa"/>
            <w:vAlign w:val="center"/>
          </w:tcPr>
          <w:p w14:paraId="362862E5" w14:textId="144540A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-69.56</w:t>
            </w:r>
          </w:p>
        </w:tc>
        <w:tc>
          <w:tcPr>
            <w:tcW w:w="984" w:type="dxa"/>
            <w:vAlign w:val="center"/>
          </w:tcPr>
          <w:p w14:paraId="4666BA51" w14:textId="3FCDDAE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7.97</w:t>
            </w:r>
          </w:p>
        </w:tc>
        <w:tc>
          <w:tcPr>
            <w:tcW w:w="965" w:type="dxa"/>
            <w:vAlign w:val="center"/>
          </w:tcPr>
          <w:p w14:paraId="6E068812" w14:textId="5753850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2.43</w:t>
            </w:r>
          </w:p>
        </w:tc>
        <w:tc>
          <w:tcPr>
            <w:tcW w:w="922" w:type="dxa"/>
            <w:vAlign w:val="center"/>
          </w:tcPr>
          <w:p w14:paraId="0B9F01CB" w14:textId="3A23C88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-5.54</w:t>
            </w:r>
          </w:p>
        </w:tc>
      </w:tr>
      <w:tr w:rsidR="00BA22F5" w:rsidRPr="009F214D" w14:paraId="098E9E01" w14:textId="77777777" w:rsidTr="00B933C9">
        <w:trPr>
          <w:trHeight w:val="20"/>
          <w:jc w:val="center"/>
        </w:trPr>
        <w:tc>
          <w:tcPr>
            <w:tcW w:w="581" w:type="dxa"/>
            <w:vAlign w:val="center"/>
          </w:tcPr>
          <w:p w14:paraId="2E5B7CEE" w14:textId="3F5045C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06D48211" w14:textId="05910291"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218E8438" w14:textId="271C150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15548.00</w:t>
            </w:r>
          </w:p>
        </w:tc>
        <w:tc>
          <w:tcPr>
            <w:tcW w:w="963" w:type="dxa"/>
            <w:vAlign w:val="center"/>
          </w:tcPr>
          <w:p w14:paraId="73731B1A" w14:textId="7B6032D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15548.00</w:t>
            </w:r>
          </w:p>
        </w:tc>
        <w:tc>
          <w:tcPr>
            <w:tcW w:w="1440" w:type="dxa"/>
            <w:vAlign w:val="center"/>
          </w:tcPr>
          <w:p w14:paraId="21E3AE95" w14:textId="348A646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0.00</w:t>
            </w:r>
          </w:p>
        </w:tc>
        <w:tc>
          <w:tcPr>
            <w:tcW w:w="982" w:type="dxa"/>
            <w:vAlign w:val="center"/>
          </w:tcPr>
          <w:p w14:paraId="36AD409A" w14:textId="3C3998C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0.00</w:t>
            </w:r>
          </w:p>
        </w:tc>
        <w:tc>
          <w:tcPr>
            <w:tcW w:w="984" w:type="dxa"/>
            <w:vAlign w:val="center"/>
          </w:tcPr>
          <w:p w14:paraId="2F942FCF" w14:textId="08A8003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2.17</w:t>
            </w:r>
          </w:p>
        </w:tc>
        <w:tc>
          <w:tcPr>
            <w:tcW w:w="965" w:type="dxa"/>
            <w:vAlign w:val="center"/>
          </w:tcPr>
          <w:p w14:paraId="62FAE633" w14:textId="301BF3C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2.17</w:t>
            </w:r>
          </w:p>
        </w:tc>
        <w:tc>
          <w:tcPr>
            <w:tcW w:w="922" w:type="dxa"/>
            <w:vAlign w:val="center"/>
          </w:tcPr>
          <w:p w14:paraId="4E5E0FBD" w14:textId="3B62DD1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0.00</w:t>
            </w:r>
          </w:p>
        </w:tc>
      </w:tr>
      <w:tr w:rsidR="00BA22F5" w:rsidRPr="009F214D" w14:paraId="319FEDB0" w14:textId="77777777" w:rsidTr="00585C94">
        <w:trPr>
          <w:trHeight w:val="20"/>
          <w:jc w:val="center"/>
        </w:trPr>
        <w:tc>
          <w:tcPr>
            <w:tcW w:w="9072" w:type="dxa"/>
            <w:gridSpan w:val="9"/>
            <w:vAlign w:val="center"/>
          </w:tcPr>
          <w:p w14:paraId="52F58FF1" w14:textId="2BD7B70D"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b/>
                <w:bCs/>
                <w:sz w:val="20"/>
                <w:szCs w:val="20"/>
              </w:rPr>
              <w:t xml:space="preserve">Expenditure Category: Medical, Family Welfare </w:t>
            </w:r>
            <w:proofErr w:type="gramStart"/>
            <w:r w:rsidRPr="001B4ADF">
              <w:rPr>
                <w:rFonts w:ascii="Times New Roman" w:hAnsi="Times New Roman" w:cs="Times New Roman"/>
                <w:b/>
                <w:bCs/>
                <w:sz w:val="20"/>
                <w:szCs w:val="20"/>
              </w:rPr>
              <w:t>And</w:t>
            </w:r>
            <w:proofErr w:type="gramEnd"/>
            <w:r w:rsidRPr="001B4ADF">
              <w:rPr>
                <w:rFonts w:ascii="Times New Roman" w:hAnsi="Times New Roman" w:cs="Times New Roman"/>
                <w:b/>
                <w:bCs/>
                <w:sz w:val="20"/>
                <w:szCs w:val="20"/>
              </w:rPr>
              <w:t xml:space="preserve"> Public Health (excluding Water Supply)</w:t>
            </w:r>
          </w:p>
        </w:tc>
      </w:tr>
      <w:tr w:rsidR="00BA22F5" w:rsidRPr="009F214D" w14:paraId="6DD12D6C" w14:textId="77777777" w:rsidTr="00B933C9">
        <w:trPr>
          <w:trHeight w:val="20"/>
          <w:jc w:val="center"/>
        </w:trPr>
        <w:tc>
          <w:tcPr>
            <w:tcW w:w="581" w:type="dxa"/>
            <w:vAlign w:val="center"/>
          </w:tcPr>
          <w:p w14:paraId="742C54DC" w14:textId="0AF5C70C" w:rsidR="00BA22F5" w:rsidRPr="001B4ADF" w:rsidRDefault="00BA22F5" w:rsidP="00BA22F5">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1</w:t>
            </w:r>
          </w:p>
        </w:tc>
        <w:tc>
          <w:tcPr>
            <w:tcW w:w="1339" w:type="dxa"/>
            <w:vAlign w:val="center"/>
          </w:tcPr>
          <w:p w14:paraId="63C05F93" w14:textId="11E1CB4A" w:rsidR="00BA22F5" w:rsidRPr="001B4ADF" w:rsidRDefault="00BA22F5" w:rsidP="00BA22F5">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Andhra Pradesh</w:t>
            </w:r>
          </w:p>
        </w:tc>
        <w:tc>
          <w:tcPr>
            <w:tcW w:w="896" w:type="dxa"/>
            <w:vAlign w:val="center"/>
          </w:tcPr>
          <w:p w14:paraId="661F7AB8" w14:textId="1E4084A4"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12368.00</w:t>
            </w:r>
          </w:p>
        </w:tc>
        <w:tc>
          <w:tcPr>
            <w:tcW w:w="963" w:type="dxa"/>
            <w:vAlign w:val="center"/>
          </w:tcPr>
          <w:p w14:paraId="60B3C965" w14:textId="2C2D483E"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12243.10</w:t>
            </w:r>
          </w:p>
        </w:tc>
        <w:tc>
          <w:tcPr>
            <w:tcW w:w="1440" w:type="dxa"/>
            <w:vAlign w:val="center"/>
          </w:tcPr>
          <w:p w14:paraId="6C421EC0" w14:textId="603942FF"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-124.90</w:t>
            </w:r>
          </w:p>
        </w:tc>
        <w:tc>
          <w:tcPr>
            <w:tcW w:w="982" w:type="dxa"/>
            <w:vAlign w:val="center"/>
          </w:tcPr>
          <w:p w14:paraId="3FA29DA4" w14:textId="0FCC0DA0"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-1.01</w:t>
            </w:r>
          </w:p>
        </w:tc>
        <w:tc>
          <w:tcPr>
            <w:tcW w:w="984" w:type="dxa"/>
            <w:vAlign w:val="center"/>
          </w:tcPr>
          <w:p w14:paraId="5C867A03" w14:textId="22337690"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20.79</w:t>
            </w:r>
          </w:p>
        </w:tc>
        <w:tc>
          <w:tcPr>
            <w:tcW w:w="965" w:type="dxa"/>
            <w:vAlign w:val="center"/>
          </w:tcPr>
          <w:p w14:paraId="2E03B256" w14:textId="2B583813"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20.58</w:t>
            </w:r>
          </w:p>
        </w:tc>
        <w:tc>
          <w:tcPr>
            <w:tcW w:w="922" w:type="dxa"/>
            <w:vAlign w:val="center"/>
          </w:tcPr>
          <w:p w14:paraId="5EDD60A3" w14:textId="726BE87F"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-0.21</w:t>
            </w:r>
          </w:p>
        </w:tc>
      </w:tr>
      <w:tr w:rsidR="00BA22F5" w:rsidRPr="009F214D" w14:paraId="486ED71F" w14:textId="77777777" w:rsidTr="00B933C9">
        <w:trPr>
          <w:trHeight w:val="20"/>
          <w:jc w:val="center"/>
        </w:trPr>
        <w:tc>
          <w:tcPr>
            <w:tcW w:w="581" w:type="dxa"/>
            <w:vAlign w:val="center"/>
          </w:tcPr>
          <w:p w14:paraId="1B3BC8DA" w14:textId="5F3F9A40"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lastRenderedPageBreak/>
              <w:t>2</w:t>
            </w:r>
          </w:p>
        </w:tc>
        <w:tc>
          <w:tcPr>
            <w:tcW w:w="1339" w:type="dxa"/>
            <w:vAlign w:val="center"/>
          </w:tcPr>
          <w:p w14:paraId="5F9524DE" w14:textId="260D68DC"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77B43209" w14:textId="6B7C911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9070.00</w:t>
            </w:r>
          </w:p>
        </w:tc>
        <w:tc>
          <w:tcPr>
            <w:tcW w:w="963" w:type="dxa"/>
            <w:vAlign w:val="center"/>
          </w:tcPr>
          <w:p w14:paraId="56F077DB" w14:textId="24D62E8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8593.72</w:t>
            </w:r>
          </w:p>
        </w:tc>
        <w:tc>
          <w:tcPr>
            <w:tcW w:w="1440" w:type="dxa"/>
            <w:vAlign w:val="center"/>
          </w:tcPr>
          <w:p w14:paraId="6232FEAC" w14:textId="47C342D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-476.28</w:t>
            </w:r>
          </w:p>
        </w:tc>
        <w:tc>
          <w:tcPr>
            <w:tcW w:w="982" w:type="dxa"/>
            <w:vAlign w:val="center"/>
          </w:tcPr>
          <w:p w14:paraId="5960FED3" w14:textId="28E6FCA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-5.25</w:t>
            </w:r>
          </w:p>
        </w:tc>
        <w:tc>
          <w:tcPr>
            <w:tcW w:w="984" w:type="dxa"/>
            <w:vAlign w:val="center"/>
          </w:tcPr>
          <w:p w14:paraId="791CC588" w14:textId="407688E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11.52</w:t>
            </w:r>
          </w:p>
        </w:tc>
        <w:tc>
          <w:tcPr>
            <w:tcW w:w="965" w:type="dxa"/>
            <w:vAlign w:val="center"/>
          </w:tcPr>
          <w:p w14:paraId="5FD2ED49" w14:textId="1E6DD1C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10.92</w:t>
            </w:r>
          </w:p>
        </w:tc>
        <w:tc>
          <w:tcPr>
            <w:tcW w:w="922" w:type="dxa"/>
            <w:vAlign w:val="center"/>
          </w:tcPr>
          <w:p w14:paraId="39E60587" w14:textId="7616191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-0.60</w:t>
            </w:r>
          </w:p>
        </w:tc>
      </w:tr>
      <w:tr w:rsidR="00BA22F5" w:rsidRPr="009F214D" w14:paraId="3DD536C3" w14:textId="77777777" w:rsidTr="00B933C9">
        <w:trPr>
          <w:trHeight w:val="20"/>
          <w:jc w:val="center"/>
        </w:trPr>
        <w:tc>
          <w:tcPr>
            <w:tcW w:w="581" w:type="dxa"/>
            <w:vAlign w:val="center"/>
          </w:tcPr>
          <w:p w14:paraId="415A01DE" w14:textId="37A299D4"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35067E30" w14:textId="73F41C53"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5523B76D" w14:textId="76EF92D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14696.00</w:t>
            </w:r>
          </w:p>
        </w:tc>
        <w:tc>
          <w:tcPr>
            <w:tcW w:w="963" w:type="dxa"/>
            <w:vAlign w:val="center"/>
          </w:tcPr>
          <w:p w14:paraId="5640AF15" w14:textId="5FE1112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16030.50</w:t>
            </w:r>
          </w:p>
        </w:tc>
        <w:tc>
          <w:tcPr>
            <w:tcW w:w="1440" w:type="dxa"/>
            <w:vAlign w:val="center"/>
          </w:tcPr>
          <w:p w14:paraId="0A899458" w14:textId="585BF74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1334.50</w:t>
            </w:r>
          </w:p>
        </w:tc>
        <w:tc>
          <w:tcPr>
            <w:tcW w:w="982" w:type="dxa"/>
            <w:vAlign w:val="center"/>
          </w:tcPr>
          <w:p w14:paraId="5B0CB408" w14:textId="5B2A777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9.08</w:t>
            </w:r>
          </w:p>
        </w:tc>
        <w:tc>
          <w:tcPr>
            <w:tcW w:w="984" w:type="dxa"/>
            <w:vAlign w:val="center"/>
          </w:tcPr>
          <w:p w14:paraId="11637C5D" w14:textId="0737240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38.57</w:t>
            </w:r>
          </w:p>
        </w:tc>
        <w:tc>
          <w:tcPr>
            <w:tcW w:w="965" w:type="dxa"/>
            <w:vAlign w:val="center"/>
          </w:tcPr>
          <w:p w14:paraId="30A6AD04" w14:textId="696DA85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42.07</w:t>
            </w:r>
          </w:p>
        </w:tc>
        <w:tc>
          <w:tcPr>
            <w:tcW w:w="922" w:type="dxa"/>
            <w:vAlign w:val="center"/>
          </w:tcPr>
          <w:p w14:paraId="054832E5" w14:textId="2EDFC0E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3.50</w:t>
            </w:r>
          </w:p>
        </w:tc>
      </w:tr>
      <w:tr w:rsidR="00BA22F5" w:rsidRPr="009F214D" w14:paraId="2351F1CD" w14:textId="77777777" w:rsidTr="00B933C9">
        <w:trPr>
          <w:trHeight w:val="20"/>
          <w:jc w:val="center"/>
        </w:trPr>
        <w:tc>
          <w:tcPr>
            <w:tcW w:w="581" w:type="dxa"/>
            <w:vAlign w:val="center"/>
          </w:tcPr>
          <w:p w14:paraId="72BA9741" w14:textId="19B5FB46"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7B49845B" w14:textId="75756FF0"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4E679F0E" w14:textId="35543D4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3822.00</w:t>
            </w:r>
          </w:p>
        </w:tc>
        <w:tc>
          <w:tcPr>
            <w:tcW w:w="963" w:type="dxa"/>
            <w:vAlign w:val="center"/>
          </w:tcPr>
          <w:p w14:paraId="784DA9A2" w14:textId="7BBFA6A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3495.77</w:t>
            </w:r>
          </w:p>
        </w:tc>
        <w:tc>
          <w:tcPr>
            <w:tcW w:w="1440" w:type="dxa"/>
            <w:vAlign w:val="center"/>
          </w:tcPr>
          <w:p w14:paraId="5671ABFA" w14:textId="0268668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-326.23</w:t>
            </w:r>
          </w:p>
        </w:tc>
        <w:tc>
          <w:tcPr>
            <w:tcW w:w="982" w:type="dxa"/>
            <w:vAlign w:val="center"/>
          </w:tcPr>
          <w:p w14:paraId="61DF8709" w14:textId="7A31FC3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-8.54</w:t>
            </w:r>
          </w:p>
        </w:tc>
        <w:tc>
          <w:tcPr>
            <w:tcW w:w="984" w:type="dxa"/>
            <w:vAlign w:val="center"/>
          </w:tcPr>
          <w:p w14:paraId="574C4FB7" w14:textId="6AA5CC8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25.44</w:t>
            </w:r>
          </w:p>
        </w:tc>
        <w:tc>
          <w:tcPr>
            <w:tcW w:w="965" w:type="dxa"/>
            <w:vAlign w:val="center"/>
          </w:tcPr>
          <w:p w14:paraId="259B0B74" w14:textId="75A371D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23.27</w:t>
            </w:r>
          </w:p>
        </w:tc>
        <w:tc>
          <w:tcPr>
            <w:tcW w:w="922" w:type="dxa"/>
            <w:vAlign w:val="center"/>
          </w:tcPr>
          <w:p w14:paraId="4813312A" w14:textId="1A52298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-2.17</w:t>
            </w:r>
          </w:p>
        </w:tc>
      </w:tr>
      <w:tr w:rsidR="00BA22F5" w:rsidRPr="009F214D" w14:paraId="4456D7B4" w14:textId="77777777" w:rsidTr="00B933C9">
        <w:trPr>
          <w:trHeight w:val="20"/>
          <w:jc w:val="center"/>
        </w:trPr>
        <w:tc>
          <w:tcPr>
            <w:tcW w:w="581" w:type="dxa"/>
            <w:vAlign w:val="center"/>
          </w:tcPr>
          <w:p w14:paraId="32620E0B" w14:textId="529DEF94"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76C18559" w14:textId="0FFCDCC8"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7925A0DD" w14:textId="72AE9A3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11724.00</w:t>
            </w:r>
          </w:p>
        </w:tc>
        <w:tc>
          <w:tcPr>
            <w:tcW w:w="963" w:type="dxa"/>
            <w:vAlign w:val="center"/>
          </w:tcPr>
          <w:p w14:paraId="3399301A" w14:textId="2F5F9E6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13665.11</w:t>
            </w:r>
          </w:p>
        </w:tc>
        <w:tc>
          <w:tcPr>
            <w:tcW w:w="1440" w:type="dxa"/>
            <w:vAlign w:val="center"/>
          </w:tcPr>
          <w:p w14:paraId="16D72BFE" w14:textId="024CAEA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1941.11</w:t>
            </w:r>
          </w:p>
        </w:tc>
        <w:tc>
          <w:tcPr>
            <w:tcW w:w="982" w:type="dxa"/>
            <w:vAlign w:val="center"/>
          </w:tcPr>
          <w:p w14:paraId="57BF5AE1" w14:textId="52D549A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16.56</w:t>
            </w:r>
          </w:p>
        </w:tc>
        <w:tc>
          <w:tcPr>
            <w:tcW w:w="984" w:type="dxa"/>
            <w:vAlign w:val="center"/>
          </w:tcPr>
          <w:p w14:paraId="630E5F00" w14:textId="5B78929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28.04</w:t>
            </w:r>
          </w:p>
        </w:tc>
        <w:tc>
          <w:tcPr>
            <w:tcW w:w="965" w:type="dxa"/>
            <w:vAlign w:val="center"/>
          </w:tcPr>
          <w:p w14:paraId="395F671B" w14:textId="3B9BCD4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32.68</w:t>
            </w:r>
          </w:p>
        </w:tc>
        <w:tc>
          <w:tcPr>
            <w:tcW w:w="922" w:type="dxa"/>
            <w:vAlign w:val="center"/>
          </w:tcPr>
          <w:p w14:paraId="1C034410" w14:textId="631EAEE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4.64</w:t>
            </w:r>
          </w:p>
        </w:tc>
      </w:tr>
      <w:tr w:rsidR="00BA22F5" w:rsidRPr="009F214D" w14:paraId="3DD71F8A" w14:textId="77777777" w:rsidTr="00B933C9">
        <w:trPr>
          <w:trHeight w:val="20"/>
          <w:jc w:val="center"/>
        </w:trPr>
        <w:tc>
          <w:tcPr>
            <w:tcW w:w="581" w:type="dxa"/>
            <w:vAlign w:val="center"/>
          </w:tcPr>
          <w:p w14:paraId="09A584EB" w14:textId="00E1C714"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2DE8EB36" w14:textId="709F0AD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5B94472A" w14:textId="20703D1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10731.00</w:t>
            </w:r>
          </w:p>
        </w:tc>
        <w:tc>
          <w:tcPr>
            <w:tcW w:w="963" w:type="dxa"/>
            <w:vAlign w:val="center"/>
          </w:tcPr>
          <w:p w14:paraId="627AFA36" w14:textId="0CE37B8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10894.02</w:t>
            </w:r>
          </w:p>
        </w:tc>
        <w:tc>
          <w:tcPr>
            <w:tcW w:w="1440" w:type="dxa"/>
            <w:vAlign w:val="center"/>
          </w:tcPr>
          <w:p w14:paraId="22DDCF4C" w14:textId="0E06FFC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163.02</w:t>
            </w:r>
          </w:p>
        </w:tc>
        <w:tc>
          <w:tcPr>
            <w:tcW w:w="982" w:type="dxa"/>
            <w:vAlign w:val="center"/>
          </w:tcPr>
          <w:p w14:paraId="32665CBE" w14:textId="3D8E3F7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1.52</w:t>
            </w:r>
          </w:p>
        </w:tc>
        <w:tc>
          <w:tcPr>
            <w:tcW w:w="984" w:type="dxa"/>
            <w:vAlign w:val="center"/>
          </w:tcPr>
          <w:p w14:paraId="1C00BF77" w14:textId="1524B1F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38.15</w:t>
            </w:r>
          </w:p>
        </w:tc>
        <w:tc>
          <w:tcPr>
            <w:tcW w:w="965" w:type="dxa"/>
            <w:vAlign w:val="center"/>
          </w:tcPr>
          <w:p w14:paraId="63BDF4EC" w14:textId="3BCBF10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38.73</w:t>
            </w:r>
          </w:p>
        </w:tc>
        <w:tc>
          <w:tcPr>
            <w:tcW w:w="922" w:type="dxa"/>
            <w:vAlign w:val="center"/>
          </w:tcPr>
          <w:p w14:paraId="0969E086" w14:textId="19EA580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0.58</w:t>
            </w:r>
          </w:p>
        </w:tc>
      </w:tr>
      <w:tr w:rsidR="00BA22F5" w:rsidRPr="009F214D" w14:paraId="7691667A" w14:textId="77777777" w:rsidTr="00B933C9">
        <w:trPr>
          <w:trHeight w:val="20"/>
          <w:jc w:val="center"/>
        </w:trPr>
        <w:tc>
          <w:tcPr>
            <w:tcW w:w="581" w:type="dxa"/>
            <w:vAlign w:val="center"/>
          </w:tcPr>
          <w:p w14:paraId="4CBA19F9" w14:textId="4315585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1A8338EE" w14:textId="24EA2153"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372BC346" w14:textId="450D375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11507.00</w:t>
            </w:r>
          </w:p>
        </w:tc>
        <w:tc>
          <w:tcPr>
            <w:tcW w:w="963" w:type="dxa"/>
            <w:vAlign w:val="center"/>
          </w:tcPr>
          <w:p w14:paraId="24EF32D7" w14:textId="27108AF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10181.75</w:t>
            </w:r>
          </w:p>
        </w:tc>
        <w:tc>
          <w:tcPr>
            <w:tcW w:w="1440" w:type="dxa"/>
            <w:vAlign w:val="center"/>
          </w:tcPr>
          <w:p w14:paraId="077E36DA" w14:textId="40B05D2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-1325.25</w:t>
            </w:r>
          </w:p>
        </w:tc>
        <w:tc>
          <w:tcPr>
            <w:tcW w:w="982" w:type="dxa"/>
            <w:vAlign w:val="center"/>
          </w:tcPr>
          <w:p w14:paraId="100B0D62" w14:textId="48F2942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-11.52</w:t>
            </w:r>
          </w:p>
        </w:tc>
        <w:tc>
          <w:tcPr>
            <w:tcW w:w="984" w:type="dxa"/>
            <w:vAlign w:val="center"/>
          </w:tcPr>
          <w:p w14:paraId="130D2752" w14:textId="1D2BA1F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19.54</w:t>
            </w:r>
          </w:p>
        </w:tc>
        <w:tc>
          <w:tcPr>
            <w:tcW w:w="965" w:type="dxa"/>
            <w:vAlign w:val="center"/>
          </w:tcPr>
          <w:p w14:paraId="7AAA2989" w14:textId="2DF096B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17.29</w:t>
            </w:r>
          </w:p>
        </w:tc>
        <w:tc>
          <w:tcPr>
            <w:tcW w:w="922" w:type="dxa"/>
            <w:vAlign w:val="center"/>
          </w:tcPr>
          <w:p w14:paraId="6D08682D" w14:textId="01D276C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-2.25</w:t>
            </w:r>
          </w:p>
        </w:tc>
      </w:tr>
      <w:tr w:rsidR="00BA22F5" w:rsidRPr="009F214D" w14:paraId="265384E0" w14:textId="77777777" w:rsidTr="00B933C9">
        <w:trPr>
          <w:trHeight w:val="20"/>
          <w:jc w:val="center"/>
        </w:trPr>
        <w:tc>
          <w:tcPr>
            <w:tcW w:w="581" w:type="dxa"/>
            <w:vAlign w:val="center"/>
          </w:tcPr>
          <w:p w14:paraId="2E8E4DAC" w14:textId="6D1D4091"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24467AFB" w14:textId="1642E78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3EE8AB34" w14:textId="1FB9BCD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20266.00</w:t>
            </w:r>
          </w:p>
        </w:tc>
        <w:tc>
          <w:tcPr>
            <w:tcW w:w="963" w:type="dxa"/>
            <w:vAlign w:val="center"/>
          </w:tcPr>
          <w:p w14:paraId="7EFCB052" w14:textId="338ECC9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20684.05</w:t>
            </w:r>
          </w:p>
        </w:tc>
        <w:tc>
          <w:tcPr>
            <w:tcW w:w="1440" w:type="dxa"/>
            <w:vAlign w:val="center"/>
          </w:tcPr>
          <w:p w14:paraId="3F05301A" w14:textId="084C7F9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418.05</w:t>
            </w:r>
          </w:p>
        </w:tc>
        <w:tc>
          <w:tcPr>
            <w:tcW w:w="982" w:type="dxa"/>
            <w:vAlign w:val="center"/>
          </w:tcPr>
          <w:p w14:paraId="45132817" w14:textId="79C6EA6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2.06</w:t>
            </w:r>
          </w:p>
        </w:tc>
        <w:tc>
          <w:tcPr>
            <w:tcW w:w="984" w:type="dxa"/>
            <w:vAlign w:val="center"/>
          </w:tcPr>
          <w:p w14:paraId="0AF5E19C" w14:textId="5F1ADCD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28.77</w:t>
            </w:r>
          </w:p>
        </w:tc>
        <w:tc>
          <w:tcPr>
            <w:tcW w:w="965" w:type="dxa"/>
            <w:vAlign w:val="center"/>
          </w:tcPr>
          <w:p w14:paraId="15DCDCB1" w14:textId="2495F35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29.36</w:t>
            </w:r>
          </w:p>
        </w:tc>
        <w:tc>
          <w:tcPr>
            <w:tcW w:w="922" w:type="dxa"/>
            <w:vAlign w:val="center"/>
          </w:tcPr>
          <w:p w14:paraId="550B1C8F" w14:textId="27A58AB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0.59</w:t>
            </w:r>
          </w:p>
        </w:tc>
      </w:tr>
      <w:tr w:rsidR="00BA22F5" w:rsidRPr="009F214D" w14:paraId="1D5E4B8C" w14:textId="77777777" w:rsidTr="00B933C9">
        <w:trPr>
          <w:trHeight w:val="20"/>
          <w:jc w:val="center"/>
        </w:trPr>
        <w:tc>
          <w:tcPr>
            <w:tcW w:w="581" w:type="dxa"/>
            <w:vAlign w:val="center"/>
          </w:tcPr>
          <w:p w14:paraId="404759A3" w14:textId="4584F188"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0C46A756" w14:textId="1832C6A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0D8E3343" w14:textId="6EFC8D4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5668.00</w:t>
            </w:r>
          </w:p>
        </w:tc>
        <w:tc>
          <w:tcPr>
            <w:tcW w:w="963" w:type="dxa"/>
            <w:vAlign w:val="center"/>
          </w:tcPr>
          <w:p w14:paraId="23513A7A" w14:textId="69C499A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6499.20</w:t>
            </w:r>
          </w:p>
        </w:tc>
        <w:tc>
          <w:tcPr>
            <w:tcW w:w="1440" w:type="dxa"/>
            <w:vAlign w:val="center"/>
          </w:tcPr>
          <w:p w14:paraId="7E3D2971" w14:textId="3646C89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831.20</w:t>
            </w:r>
          </w:p>
        </w:tc>
        <w:tc>
          <w:tcPr>
            <w:tcW w:w="982" w:type="dxa"/>
            <w:vAlign w:val="center"/>
          </w:tcPr>
          <w:p w14:paraId="0B6BCD10" w14:textId="5489786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14.66</w:t>
            </w:r>
          </w:p>
        </w:tc>
        <w:tc>
          <w:tcPr>
            <w:tcW w:w="984" w:type="dxa"/>
            <w:vAlign w:val="center"/>
          </w:tcPr>
          <w:p w14:paraId="41A69FC7" w14:textId="38DC1E4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19.44</w:t>
            </w:r>
          </w:p>
        </w:tc>
        <w:tc>
          <w:tcPr>
            <w:tcW w:w="965" w:type="dxa"/>
            <w:vAlign w:val="center"/>
          </w:tcPr>
          <w:p w14:paraId="304C5B47" w14:textId="6F83032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22.29</w:t>
            </w:r>
          </w:p>
        </w:tc>
        <w:tc>
          <w:tcPr>
            <w:tcW w:w="922" w:type="dxa"/>
            <w:vAlign w:val="center"/>
          </w:tcPr>
          <w:p w14:paraId="7C567F4B" w14:textId="101CDC3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2.85</w:t>
            </w:r>
          </w:p>
        </w:tc>
      </w:tr>
      <w:tr w:rsidR="00BA22F5" w:rsidRPr="009F214D" w14:paraId="4BC28474" w14:textId="77777777" w:rsidTr="00B933C9">
        <w:trPr>
          <w:trHeight w:val="20"/>
          <w:jc w:val="center"/>
        </w:trPr>
        <w:tc>
          <w:tcPr>
            <w:tcW w:w="581" w:type="dxa"/>
            <w:vAlign w:val="center"/>
          </w:tcPr>
          <w:p w14:paraId="7041D0D9" w14:textId="0060456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27F61363" w14:textId="08539CDF"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26528EDD" w14:textId="0AB5D4A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7760.00</w:t>
            </w:r>
          </w:p>
        </w:tc>
        <w:tc>
          <w:tcPr>
            <w:tcW w:w="963" w:type="dxa"/>
            <w:vAlign w:val="center"/>
          </w:tcPr>
          <w:p w14:paraId="483F7C37" w14:textId="7CACEBD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7482.17</w:t>
            </w:r>
          </w:p>
        </w:tc>
        <w:tc>
          <w:tcPr>
            <w:tcW w:w="1440" w:type="dxa"/>
            <w:vAlign w:val="center"/>
          </w:tcPr>
          <w:p w14:paraId="468D3235" w14:textId="10E19E5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-277.83</w:t>
            </w:r>
          </w:p>
        </w:tc>
        <w:tc>
          <w:tcPr>
            <w:tcW w:w="982" w:type="dxa"/>
            <w:vAlign w:val="center"/>
          </w:tcPr>
          <w:p w14:paraId="31CBE822" w14:textId="3A84116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-3.58</w:t>
            </w:r>
          </w:p>
        </w:tc>
        <w:tc>
          <w:tcPr>
            <w:tcW w:w="984" w:type="dxa"/>
            <w:vAlign w:val="center"/>
          </w:tcPr>
          <w:p w14:paraId="769521C3" w14:textId="779C4CD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41.51</w:t>
            </w:r>
          </w:p>
        </w:tc>
        <w:tc>
          <w:tcPr>
            <w:tcW w:w="965" w:type="dxa"/>
            <w:vAlign w:val="center"/>
          </w:tcPr>
          <w:p w14:paraId="523D25A2" w14:textId="423BFB2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40.02</w:t>
            </w:r>
          </w:p>
        </w:tc>
        <w:tc>
          <w:tcPr>
            <w:tcW w:w="922" w:type="dxa"/>
            <w:vAlign w:val="center"/>
          </w:tcPr>
          <w:p w14:paraId="0ED991FE" w14:textId="121F633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-1.49</w:t>
            </w:r>
          </w:p>
        </w:tc>
      </w:tr>
      <w:tr w:rsidR="00BA22F5" w:rsidRPr="009F214D" w14:paraId="38303E8C" w14:textId="77777777" w:rsidTr="00B933C9">
        <w:trPr>
          <w:trHeight w:val="20"/>
          <w:jc w:val="center"/>
        </w:trPr>
        <w:tc>
          <w:tcPr>
            <w:tcW w:w="581" w:type="dxa"/>
            <w:vAlign w:val="center"/>
          </w:tcPr>
          <w:p w14:paraId="3AD63FA4" w14:textId="2DDC505C"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485449E6" w14:textId="7803A88B"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64A3D5CB" w14:textId="3F65D58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9885.00</w:t>
            </w:r>
          </w:p>
        </w:tc>
        <w:tc>
          <w:tcPr>
            <w:tcW w:w="963" w:type="dxa"/>
            <w:vAlign w:val="center"/>
          </w:tcPr>
          <w:p w14:paraId="7C4DB365" w14:textId="40BC9D3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10003.78</w:t>
            </w:r>
          </w:p>
        </w:tc>
        <w:tc>
          <w:tcPr>
            <w:tcW w:w="1440" w:type="dxa"/>
            <w:vAlign w:val="center"/>
          </w:tcPr>
          <w:p w14:paraId="4BE8240D" w14:textId="1EE726C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118.78</w:t>
            </w:r>
          </w:p>
        </w:tc>
        <w:tc>
          <w:tcPr>
            <w:tcW w:w="982" w:type="dxa"/>
            <w:vAlign w:val="center"/>
          </w:tcPr>
          <w:p w14:paraId="23BBD207" w14:textId="24C7B98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1.20</w:t>
            </w:r>
          </w:p>
        </w:tc>
        <w:tc>
          <w:tcPr>
            <w:tcW w:w="984" w:type="dxa"/>
            <w:vAlign w:val="center"/>
          </w:tcPr>
          <w:p w14:paraId="77751F12" w14:textId="1D250E9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24.84</w:t>
            </w:r>
          </w:p>
        </w:tc>
        <w:tc>
          <w:tcPr>
            <w:tcW w:w="965" w:type="dxa"/>
            <w:vAlign w:val="center"/>
          </w:tcPr>
          <w:p w14:paraId="6335EF25" w14:textId="31AE7B1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25.14</w:t>
            </w:r>
          </w:p>
        </w:tc>
        <w:tc>
          <w:tcPr>
            <w:tcW w:w="922" w:type="dxa"/>
            <w:vAlign w:val="center"/>
          </w:tcPr>
          <w:p w14:paraId="27245727" w14:textId="0DB439C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0.30</w:t>
            </w:r>
          </w:p>
        </w:tc>
      </w:tr>
      <w:tr w:rsidR="00BA22F5" w:rsidRPr="009F214D" w14:paraId="3141A49C" w14:textId="77777777" w:rsidTr="00B933C9">
        <w:trPr>
          <w:trHeight w:val="20"/>
          <w:jc w:val="center"/>
        </w:trPr>
        <w:tc>
          <w:tcPr>
            <w:tcW w:w="581" w:type="dxa"/>
            <w:vAlign w:val="center"/>
          </w:tcPr>
          <w:p w14:paraId="6981FCF4" w14:textId="3E54C7C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3AD20A30" w14:textId="558094E6"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26DD9C58" w14:textId="40DD2E9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16037.00</w:t>
            </w:r>
          </w:p>
        </w:tc>
        <w:tc>
          <w:tcPr>
            <w:tcW w:w="963" w:type="dxa"/>
            <w:vAlign w:val="center"/>
          </w:tcPr>
          <w:p w14:paraId="1EC3ABB2" w14:textId="005069E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17973.93</w:t>
            </w:r>
          </w:p>
        </w:tc>
        <w:tc>
          <w:tcPr>
            <w:tcW w:w="1440" w:type="dxa"/>
            <w:vAlign w:val="center"/>
          </w:tcPr>
          <w:p w14:paraId="539E8954" w14:textId="27FBE57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1936.93</w:t>
            </w:r>
          </w:p>
        </w:tc>
        <w:tc>
          <w:tcPr>
            <w:tcW w:w="982" w:type="dxa"/>
            <w:vAlign w:val="center"/>
          </w:tcPr>
          <w:p w14:paraId="0407482A" w14:textId="059DD2B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12.08</w:t>
            </w:r>
          </w:p>
        </w:tc>
        <w:tc>
          <w:tcPr>
            <w:tcW w:w="984" w:type="dxa"/>
            <w:vAlign w:val="center"/>
          </w:tcPr>
          <w:p w14:paraId="26683546" w14:textId="12A9238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30.23</w:t>
            </w:r>
          </w:p>
        </w:tc>
        <w:tc>
          <w:tcPr>
            <w:tcW w:w="965" w:type="dxa"/>
            <w:vAlign w:val="center"/>
          </w:tcPr>
          <w:p w14:paraId="06D072E2" w14:textId="7DC4A73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33.88</w:t>
            </w:r>
          </w:p>
        </w:tc>
        <w:tc>
          <w:tcPr>
            <w:tcW w:w="922" w:type="dxa"/>
            <w:vAlign w:val="center"/>
          </w:tcPr>
          <w:p w14:paraId="05D40147" w14:textId="7C50CE0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3.65</w:t>
            </w:r>
          </w:p>
        </w:tc>
      </w:tr>
      <w:tr w:rsidR="00BA22F5" w:rsidRPr="009F214D" w14:paraId="0612A1D2" w14:textId="77777777" w:rsidTr="00B933C9">
        <w:trPr>
          <w:trHeight w:val="20"/>
          <w:jc w:val="center"/>
        </w:trPr>
        <w:tc>
          <w:tcPr>
            <w:tcW w:w="581" w:type="dxa"/>
            <w:vAlign w:val="center"/>
          </w:tcPr>
          <w:p w14:paraId="0D4091AB" w14:textId="13D6ACD0"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0120F6C9" w14:textId="2DB071E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68A83032" w14:textId="650E18D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19175.00</w:t>
            </w:r>
          </w:p>
        </w:tc>
        <w:tc>
          <w:tcPr>
            <w:tcW w:w="963" w:type="dxa"/>
            <w:vAlign w:val="center"/>
          </w:tcPr>
          <w:p w14:paraId="174DCA54" w14:textId="68DC926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19193.48</w:t>
            </w:r>
          </w:p>
        </w:tc>
        <w:tc>
          <w:tcPr>
            <w:tcW w:w="1440" w:type="dxa"/>
            <w:vAlign w:val="center"/>
          </w:tcPr>
          <w:p w14:paraId="1E57C77E" w14:textId="70E860A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18.48</w:t>
            </w:r>
          </w:p>
        </w:tc>
        <w:tc>
          <w:tcPr>
            <w:tcW w:w="982" w:type="dxa"/>
            <w:vAlign w:val="center"/>
          </w:tcPr>
          <w:p w14:paraId="288CF17C" w14:textId="1DD03F6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0.10</w:t>
            </w:r>
          </w:p>
        </w:tc>
        <w:tc>
          <w:tcPr>
            <w:tcW w:w="984" w:type="dxa"/>
            <w:vAlign w:val="center"/>
          </w:tcPr>
          <w:p w14:paraId="4218EB2D" w14:textId="591D4BB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15.40</w:t>
            </w:r>
          </w:p>
        </w:tc>
        <w:tc>
          <w:tcPr>
            <w:tcW w:w="965" w:type="dxa"/>
            <w:vAlign w:val="center"/>
          </w:tcPr>
          <w:p w14:paraId="510301FA" w14:textId="53EEFB5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15.41</w:t>
            </w:r>
          </w:p>
        </w:tc>
        <w:tc>
          <w:tcPr>
            <w:tcW w:w="922" w:type="dxa"/>
            <w:vAlign w:val="center"/>
          </w:tcPr>
          <w:p w14:paraId="7B6FAB7C" w14:textId="122CC0C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0.01</w:t>
            </w:r>
          </w:p>
        </w:tc>
      </w:tr>
      <w:tr w:rsidR="00BA22F5" w:rsidRPr="009F214D" w14:paraId="3A4A391F" w14:textId="77777777" w:rsidTr="00B933C9">
        <w:trPr>
          <w:trHeight w:val="20"/>
          <w:jc w:val="center"/>
        </w:trPr>
        <w:tc>
          <w:tcPr>
            <w:tcW w:w="581" w:type="dxa"/>
            <w:vAlign w:val="center"/>
          </w:tcPr>
          <w:p w14:paraId="4F687F39" w14:textId="4C7E2DBB"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76E59674" w14:textId="1FAD461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60C9DDCB" w14:textId="55677E9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21370.00</w:t>
            </w:r>
          </w:p>
        </w:tc>
        <w:tc>
          <w:tcPr>
            <w:tcW w:w="963" w:type="dxa"/>
            <w:vAlign w:val="center"/>
          </w:tcPr>
          <w:p w14:paraId="3B4EA61D" w14:textId="7E6FEED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17915.45</w:t>
            </w:r>
          </w:p>
        </w:tc>
        <w:tc>
          <w:tcPr>
            <w:tcW w:w="1440" w:type="dxa"/>
            <w:vAlign w:val="center"/>
          </w:tcPr>
          <w:p w14:paraId="5347798E" w14:textId="272BCB9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-3454.55</w:t>
            </w:r>
          </w:p>
        </w:tc>
        <w:tc>
          <w:tcPr>
            <w:tcW w:w="982" w:type="dxa"/>
            <w:vAlign w:val="center"/>
          </w:tcPr>
          <w:p w14:paraId="780F2050" w14:textId="562D122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-16.17</w:t>
            </w:r>
          </w:p>
        </w:tc>
        <w:tc>
          <w:tcPr>
            <w:tcW w:w="984" w:type="dxa"/>
            <w:vAlign w:val="center"/>
          </w:tcPr>
          <w:p w14:paraId="77579432" w14:textId="1A1F316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35.08</w:t>
            </w:r>
          </w:p>
        </w:tc>
        <w:tc>
          <w:tcPr>
            <w:tcW w:w="965" w:type="dxa"/>
            <w:vAlign w:val="center"/>
          </w:tcPr>
          <w:p w14:paraId="75DD3B2C" w14:textId="39B6E2D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29.41</w:t>
            </w:r>
          </w:p>
        </w:tc>
        <w:tc>
          <w:tcPr>
            <w:tcW w:w="922" w:type="dxa"/>
            <w:vAlign w:val="center"/>
          </w:tcPr>
          <w:p w14:paraId="4333EE50" w14:textId="3829CC5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-5.67</w:t>
            </w:r>
          </w:p>
        </w:tc>
      </w:tr>
      <w:tr w:rsidR="00BA22F5" w:rsidRPr="009F214D" w14:paraId="3BB13DB4" w14:textId="77777777" w:rsidTr="00B933C9">
        <w:trPr>
          <w:trHeight w:val="20"/>
          <w:jc w:val="center"/>
        </w:trPr>
        <w:tc>
          <w:tcPr>
            <w:tcW w:w="581" w:type="dxa"/>
            <w:vAlign w:val="center"/>
          </w:tcPr>
          <w:p w14:paraId="685C693E" w14:textId="1998F8C9"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3C3E5799" w14:textId="1C8CFB0F"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3EB36DE3" w14:textId="67881F3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174079.00</w:t>
            </w:r>
          </w:p>
        </w:tc>
        <w:tc>
          <w:tcPr>
            <w:tcW w:w="963" w:type="dxa"/>
            <w:vAlign w:val="center"/>
          </w:tcPr>
          <w:p w14:paraId="048B6720" w14:textId="6C22D76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174856.04</w:t>
            </w:r>
          </w:p>
        </w:tc>
        <w:tc>
          <w:tcPr>
            <w:tcW w:w="1440" w:type="dxa"/>
            <w:vAlign w:val="center"/>
          </w:tcPr>
          <w:p w14:paraId="72FFD8F0" w14:textId="0FAF44E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777.04</w:t>
            </w:r>
          </w:p>
        </w:tc>
        <w:tc>
          <w:tcPr>
            <w:tcW w:w="982" w:type="dxa"/>
            <w:vAlign w:val="center"/>
          </w:tcPr>
          <w:p w14:paraId="5C3276BB" w14:textId="51F2C60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0.45</w:t>
            </w:r>
          </w:p>
        </w:tc>
        <w:tc>
          <w:tcPr>
            <w:tcW w:w="984" w:type="dxa"/>
            <w:vAlign w:val="center"/>
          </w:tcPr>
          <w:p w14:paraId="1701D467" w14:textId="69A2F2C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24.29</w:t>
            </w:r>
          </w:p>
        </w:tc>
        <w:tc>
          <w:tcPr>
            <w:tcW w:w="965" w:type="dxa"/>
            <w:vAlign w:val="center"/>
          </w:tcPr>
          <w:p w14:paraId="3C3E3F8C" w14:textId="2B486AA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24.40</w:t>
            </w:r>
          </w:p>
        </w:tc>
        <w:tc>
          <w:tcPr>
            <w:tcW w:w="922" w:type="dxa"/>
            <w:vAlign w:val="center"/>
          </w:tcPr>
          <w:p w14:paraId="3B18A651" w14:textId="1431330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0.11</w:t>
            </w:r>
          </w:p>
        </w:tc>
      </w:tr>
      <w:tr w:rsidR="00BA22F5" w:rsidRPr="009F214D" w14:paraId="69CFBA19" w14:textId="77777777" w:rsidTr="008A0FA1">
        <w:trPr>
          <w:trHeight w:val="20"/>
          <w:jc w:val="center"/>
        </w:trPr>
        <w:tc>
          <w:tcPr>
            <w:tcW w:w="9072" w:type="dxa"/>
            <w:gridSpan w:val="9"/>
            <w:vAlign w:val="center"/>
          </w:tcPr>
          <w:p w14:paraId="402BC274" w14:textId="54275A14"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b/>
                <w:bCs/>
                <w:sz w:val="20"/>
                <w:szCs w:val="20"/>
              </w:rPr>
              <w:t>Expenditure Category: Other Social Services</w:t>
            </w:r>
          </w:p>
        </w:tc>
      </w:tr>
      <w:tr w:rsidR="00BA22F5" w:rsidRPr="009F214D" w14:paraId="2D022818" w14:textId="77777777" w:rsidTr="00B933C9">
        <w:trPr>
          <w:trHeight w:val="20"/>
          <w:jc w:val="center"/>
        </w:trPr>
        <w:tc>
          <w:tcPr>
            <w:tcW w:w="581" w:type="dxa"/>
            <w:vAlign w:val="center"/>
          </w:tcPr>
          <w:p w14:paraId="52A80EDD" w14:textId="1DE5AAEB" w:rsidR="00BA22F5" w:rsidRPr="001B4ADF" w:rsidRDefault="00BA22F5" w:rsidP="00BA22F5">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1</w:t>
            </w:r>
          </w:p>
        </w:tc>
        <w:tc>
          <w:tcPr>
            <w:tcW w:w="1339" w:type="dxa"/>
            <w:vAlign w:val="center"/>
          </w:tcPr>
          <w:p w14:paraId="144F1DDD" w14:textId="0EDACCC5" w:rsidR="00BA22F5" w:rsidRPr="001B4ADF" w:rsidRDefault="00BA22F5" w:rsidP="00BA22F5">
            <w:pPr>
              <w:tabs>
                <w:tab w:val="left" w:pos="2805"/>
              </w:tabs>
              <w:rPr>
                <w:rFonts w:ascii="Times New Roman" w:hAnsi="Times New Roman" w:cs="Times New Roman"/>
                <w:b/>
                <w:bCs/>
                <w:sz w:val="16"/>
                <w:szCs w:val="16"/>
              </w:rPr>
            </w:pPr>
            <w:r w:rsidRPr="001B4ADF">
              <w:rPr>
                <w:rFonts w:ascii="Times New Roman" w:hAnsi="Times New Roman" w:cs="Times New Roman"/>
                <w:sz w:val="16"/>
                <w:szCs w:val="16"/>
              </w:rPr>
              <w:t>Andhra Pradesh</w:t>
            </w:r>
          </w:p>
        </w:tc>
        <w:tc>
          <w:tcPr>
            <w:tcW w:w="896" w:type="dxa"/>
            <w:vAlign w:val="center"/>
          </w:tcPr>
          <w:p w14:paraId="3A395824" w14:textId="7AEE5B68"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502.00</w:t>
            </w:r>
          </w:p>
        </w:tc>
        <w:tc>
          <w:tcPr>
            <w:tcW w:w="963" w:type="dxa"/>
            <w:vAlign w:val="center"/>
          </w:tcPr>
          <w:p w14:paraId="44F7210A" w14:textId="2535ADAD"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555.68</w:t>
            </w:r>
          </w:p>
        </w:tc>
        <w:tc>
          <w:tcPr>
            <w:tcW w:w="1440" w:type="dxa"/>
            <w:vAlign w:val="center"/>
          </w:tcPr>
          <w:p w14:paraId="57BB4CCE" w14:textId="17549A4B"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53.68</w:t>
            </w:r>
          </w:p>
        </w:tc>
        <w:tc>
          <w:tcPr>
            <w:tcW w:w="982" w:type="dxa"/>
            <w:vAlign w:val="center"/>
          </w:tcPr>
          <w:p w14:paraId="477E6250" w14:textId="23AFFDEC"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10.69</w:t>
            </w:r>
          </w:p>
        </w:tc>
        <w:tc>
          <w:tcPr>
            <w:tcW w:w="984" w:type="dxa"/>
            <w:vAlign w:val="center"/>
          </w:tcPr>
          <w:p w14:paraId="568E6AFB" w14:textId="31AD15EF"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0.84</w:t>
            </w:r>
          </w:p>
        </w:tc>
        <w:tc>
          <w:tcPr>
            <w:tcW w:w="965" w:type="dxa"/>
            <w:vAlign w:val="center"/>
          </w:tcPr>
          <w:p w14:paraId="30AB09CF" w14:textId="582F4B70"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0.93</w:t>
            </w:r>
          </w:p>
        </w:tc>
        <w:tc>
          <w:tcPr>
            <w:tcW w:w="922" w:type="dxa"/>
            <w:vAlign w:val="center"/>
          </w:tcPr>
          <w:p w14:paraId="2CA40FE2" w14:textId="296DEAD2" w:rsidR="00BA22F5" w:rsidRPr="001B4ADF" w:rsidRDefault="00BA22F5" w:rsidP="00BA22F5">
            <w:pPr>
              <w:tabs>
                <w:tab w:val="left" w:pos="2805"/>
              </w:tabs>
              <w:jc w:val="center"/>
              <w:rPr>
                <w:rFonts w:ascii="Times New Roman" w:hAnsi="Times New Roman" w:cs="Times New Roman"/>
                <w:b/>
                <w:bCs/>
                <w:sz w:val="16"/>
                <w:szCs w:val="16"/>
              </w:rPr>
            </w:pPr>
            <w:r w:rsidRPr="001B4ADF">
              <w:rPr>
                <w:rFonts w:ascii="Times New Roman" w:hAnsi="Times New Roman" w:cs="Times New Roman"/>
                <w:sz w:val="16"/>
                <w:szCs w:val="16"/>
              </w:rPr>
              <w:t>0.09</w:t>
            </w:r>
          </w:p>
        </w:tc>
      </w:tr>
      <w:tr w:rsidR="00BA22F5" w:rsidRPr="009F214D" w14:paraId="2DFA0F42" w14:textId="77777777" w:rsidTr="00B933C9">
        <w:trPr>
          <w:trHeight w:val="20"/>
          <w:jc w:val="center"/>
        </w:trPr>
        <w:tc>
          <w:tcPr>
            <w:tcW w:w="581" w:type="dxa"/>
            <w:vAlign w:val="center"/>
          </w:tcPr>
          <w:p w14:paraId="62D1A147" w14:textId="6D2833A9"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2</w:t>
            </w:r>
          </w:p>
        </w:tc>
        <w:tc>
          <w:tcPr>
            <w:tcW w:w="1339" w:type="dxa"/>
            <w:vAlign w:val="center"/>
          </w:tcPr>
          <w:p w14:paraId="1F2517EE" w14:textId="3A52CEAF"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Bihar</w:t>
            </w:r>
          </w:p>
        </w:tc>
        <w:tc>
          <w:tcPr>
            <w:tcW w:w="896" w:type="dxa"/>
            <w:vAlign w:val="center"/>
          </w:tcPr>
          <w:p w14:paraId="6D13D7F4" w14:textId="15CFE5D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164.00</w:t>
            </w:r>
          </w:p>
        </w:tc>
        <w:tc>
          <w:tcPr>
            <w:tcW w:w="963" w:type="dxa"/>
            <w:vAlign w:val="center"/>
          </w:tcPr>
          <w:p w14:paraId="2D50AB52" w14:textId="63B05F6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406.26</w:t>
            </w:r>
          </w:p>
        </w:tc>
        <w:tc>
          <w:tcPr>
            <w:tcW w:w="1440" w:type="dxa"/>
            <w:vAlign w:val="center"/>
          </w:tcPr>
          <w:p w14:paraId="0AC9300D" w14:textId="0048385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242.26</w:t>
            </w:r>
          </w:p>
        </w:tc>
        <w:tc>
          <w:tcPr>
            <w:tcW w:w="982" w:type="dxa"/>
            <w:vAlign w:val="center"/>
          </w:tcPr>
          <w:p w14:paraId="63450C3B" w14:textId="6DA690E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147.72</w:t>
            </w:r>
          </w:p>
        </w:tc>
        <w:tc>
          <w:tcPr>
            <w:tcW w:w="984" w:type="dxa"/>
            <w:vAlign w:val="center"/>
          </w:tcPr>
          <w:p w14:paraId="6AF32566" w14:textId="2A13228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0.21</w:t>
            </w:r>
          </w:p>
        </w:tc>
        <w:tc>
          <w:tcPr>
            <w:tcW w:w="965" w:type="dxa"/>
            <w:vAlign w:val="center"/>
          </w:tcPr>
          <w:p w14:paraId="0CEE9E76" w14:textId="3B20671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0.52</w:t>
            </w:r>
          </w:p>
        </w:tc>
        <w:tc>
          <w:tcPr>
            <w:tcW w:w="922" w:type="dxa"/>
            <w:vAlign w:val="center"/>
          </w:tcPr>
          <w:p w14:paraId="3941D7A1" w14:textId="651FB33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0.31</w:t>
            </w:r>
          </w:p>
        </w:tc>
      </w:tr>
      <w:tr w:rsidR="00BA22F5" w:rsidRPr="009F214D" w14:paraId="20C93611" w14:textId="77777777" w:rsidTr="00B933C9">
        <w:trPr>
          <w:trHeight w:val="20"/>
          <w:jc w:val="center"/>
        </w:trPr>
        <w:tc>
          <w:tcPr>
            <w:tcW w:w="581" w:type="dxa"/>
            <w:vAlign w:val="center"/>
          </w:tcPr>
          <w:p w14:paraId="55F99E5E" w14:textId="622BE2BF"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3</w:t>
            </w:r>
          </w:p>
        </w:tc>
        <w:tc>
          <w:tcPr>
            <w:tcW w:w="1339" w:type="dxa"/>
            <w:vAlign w:val="center"/>
          </w:tcPr>
          <w:p w14:paraId="643D6E60" w14:textId="48A6988C"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Gujarat</w:t>
            </w:r>
          </w:p>
        </w:tc>
        <w:tc>
          <w:tcPr>
            <w:tcW w:w="896" w:type="dxa"/>
            <w:vAlign w:val="center"/>
          </w:tcPr>
          <w:p w14:paraId="23C04287" w14:textId="3A37009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398.00</w:t>
            </w:r>
          </w:p>
        </w:tc>
        <w:tc>
          <w:tcPr>
            <w:tcW w:w="963" w:type="dxa"/>
            <w:vAlign w:val="center"/>
          </w:tcPr>
          <w:p w14:paraId="21C4ECDE" w14:textId="6B1D55A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384.07</w:t>
            </w:r>
          </w:p>
        </w:tc>
        <w:tc>
          <w:tcPr>
            <w:tcW w:w="1440" w:type="dxa"/>
            <w:vAlign w:val="center"/>
          </w:tcPr>
          <w:p w14:paraId="1ABFC07D" w14:textId="5F6BAA2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-13.93</w:t>
            </w:r>
          </w:p>
        </w:tc>
        <w:tc>
          <w:tcPr>
            <w:tcW w:w="982" w:type="dxa"/>
            <w:vAlign w:val="center"/>
          </w:tcPr>
          <w:p w14:paraId="49484BF5" w14:textId="406A925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-3.50</w:t>
            </w:r>
          </w:p>
        </w:tc>
        <w:tc>
          <w:tcPr>
            <w:tcW w:w="984" w:type="dxa"/>
            <w:vAlign w:val="center"/>
          </w:tcPr>
          <w:p w14:paraId="7596D9F5" w14:textId="537C47E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1.04</w:t>
            </w:r>
          </w:p>
        </w:tc>
        <w:tc>
          <w:tcPr>
            <w:tcW w:w="965" w:type="dxa"/>
            <w:vAlign w:val="center"/>
          </w:tcPr>
          <w:p w14:paraId="373471AF" w14:textId="61E03DC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1.01</w:t>
            </w:r>
          </w:p>
        </w:tc>
        <w:tc>
          <w:tcPr>
            <w:tcW w:w="922" w:type="dxa"/>
            <w:vAlign w:val="center"/>
          </w:tcPr>
          <w:p w14:paraId="71FA0CC8" w14:textId="72AE6CE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-0.04</w:t>
            </w:r>
          </w:p>
        </w:tc>
      </w:tr>
      <w:tr w:rsidR="00BA22F5" w:rsidRPr="009F214D" w14:paraId="76D5D507" w14:textId="77777777" w:rsidTr="00B933C9">
        <w:trPr>
          <w:trHeight w:val="20"/>
          <w:jc w:val="center"/>
        </w:trPr>
        <w:tc>
          <w:tcPr>
            <w:tcW w:w="581" w:type="dxa"/>
            <w:vAlign w:val="center"/>
          </w:tcPr>
          <w:p w14:paraId="397E79CD" w14:textId="045A6941"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4</w:t>
            </w:r>
          </w:p>
        </w:tc>
        <w:tc>
          <w:tcPr>
            <w:tcW w:w="1339" w:type="dxa"/>
            <w:vAlign w:val="center"/>
          </w:tcPr>
          <w:p w14:paraId="441391F4" w14:textId="1B8491E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Haryana</w:t>
            </w:r>
          </w:p>
        </w:tc>
        <w:tc>
          <w:tcPr>
            <w:tcW w:w="896" w:type="dxa"/>
            <w:vAlign w:val="center"/>
          </w:tcPr>
          <w:p w14:paraId="3DD3075F" w14:textId="47DDC94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85.00</w:t>
            </w:r>
          </w:p>
        </w:tc>
        <w:tc>
          <w:tcPr>
            <w:tcW w:w="963" w:type="dxa"/>
            <w:vAlign w:val="center"/>
          </w:tcPr>
          <w:p w14:paraId="63CE9729" w14:textId="227F360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105.69</w:t>
            </w:r>
          </w:p>
        </w:tc>
        <w:tc>
          <w:tcPr>
            <w:tcW w:w="1440" w:type="dxa"/>
            <w:vAlign w:val="center"/>
          </w:tcPr>
          <w:p w14:paraId="0789DCF6" w14:textId="054996B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20.69</w:t>
            </w:r>
          </w:p>
        </w:tc>
        <w:tc>
          <w:tcPr>
            <w:tcW w:w="982" w:type="dxa"/>
            <w:vAlign w:val="center"/>
          </w:tcPr>
          <w:p w14:paraId="4EEE6D68" w14:textId="7326FBC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24.34</w:t>
            </w:r>
          </w:p>
        </w:tc>
        <w:tc>
          <w:tcPr>
            <w:tcW w:w="984" w:type="dxa"/>
            <w:vAlign w:val="center"/>
          </w:tcPr>
          <w:p w14:paraId="2BE816C9" w14:textId="3997298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0.57</w:t>
            </w:r>
          </w:p>
        </w:tc>
        <w:tc>
          <w:tcPr>
            <w:tcW w:w="965" w:type="dxa"/>
            <w:vAlign w:val="center"/>
          </w:tcPr>
          <w:p w14:paraId="01BED4FF" w14:textId="772157F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0.70</w:t>
            </w:r>
          </w:p>
        </w:tc>
        <w:tc>
          <w:tcPr>
            <w:tcW w:w="922" w:type="dxa"/>
            <w:vAlign w:val="center"/>
          </w:tcPr>
          <w:p w14:paraId="10FDE20D" w14:textId="5539825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0.14</w:t>
            </w:r>
          </w:p>
        </w:tc>
      </w:tr>
      <w:tr w:rsidR="00BA22F5" w:rsidRPr="009F214D" w14:paraId="0EBE410A" w14:textId="77777777" w:rsidTr="00B933C9">
        <w:trPr>
          <w:trHeight w:val="20"/>
          <w:jc w:val="center"/>
        </w:trPr>
        <w:tc>
          <w:tcPr>
            <w:tcW w:w="581" w:type="dxa"/>
            <w:vAlign w:val="center"/>
          </w:tcPr>
          <w:p w14:paraId="52B1C6DC" w14:textId="33D1D056"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5</w:t>
            </w:r>
          </w:p>
        </w:tc>
        <w:tc>
          <w:tcPr>
            <w:tcW w:w="1339" w:type="dxa"/>
            <w:vAlign w:val="center"/>
          </w:tcPr>
          <w:p w14:paraId="0926C78F" w14:textId="1332337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Karnataka</w:t>
            </w:r>
          </w:p>
        </w:tc>
        <w:tc>
          <w:tcPr>
            <w:tcW w:w="896" w:type="dxa"/>
            <w:vAlign w:val="center"/>
          </w:tcPr>
          <w:p w14:paraId="2FC26010" w14:textId="07ECDC8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696.00</w:t>
            </w:r>
          </w:p>
        </w:tc>
        <w:tc>
          <w:tcPr>
            <w:tcW w:w="963" w:type="dxa"/>
            <w:vAlign w:val="center"/>
          </w:tcPr>
          <w:p w14:paraId="4EEC189C" w14:textId="24D51CC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325.90</w:t>
            </w:r>
          </w:p>
        </w:tc>
        <w:tc>
          <w:tcPr>
            <w:tcW w:w="1440" w:type="dxa"/>
            <w:vAlign w:val="center"/>
          </w:tcPr>
          <w:p w14:paraId="5278E77F" w14:textId="1EBCFFA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-370.10</w:t>
            </w:r>
          </w:p>
        </w:tc>
        <w:tc>
          <w:tcPr>
            <w:tcW w:w="982" w:type="dxa"/>
            <w:vAlign w:val="center"/>
          </w:tcPr>
          <w:p w14:paraId="0355D047" w14:textId="53A8F7A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-53.17</w:t>
            </w:r>
          </w:p>
        </w:tc>
        <w:tc>
          <w:tcPr>
            <w:tcW w:w="984" w:type="dxa"/>
            <w:vAlign w:val="center"/>
          </w:tcPr>
          <w:p w14:paraId="0E23DECE" w14:textId="14315B7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1.66</w:t>
            </w:r>
          </w:p>
        </w:tc>
        <w:tc>
          <w:tcPr>
            <w:tcW w:w="965" w:type="dxa"/>
            <w:vAlign w:val="center"/>
          </w:tcPr>
          <w:p w14:paraId="1127425B" w14:textId="448DEA7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0.78</w:t>
            </w:r>
          </w:p>
        </w:tc>
        <w:tc>
          <w:tcPr>
            <w:tcW w:w="922" w:type="dxa"/>
            <w:vAlign w:val="center"/>
          </w:tcPr>
          <w:p w14:paraId="2A295568" w14:textId="1368F76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-0.89</w:t>
            </w:r>
          </w:p>
        </w:tc>
      </w:tr>
      <w:tr w:rsidR="00BA22F5" w:rsidRPr="009F214D" w14:paraId="0AB72EBE" w14:textId="77777777" w:rsidTr="00B933C9">
        <w:trPr>
          <w:trHeight w:val="20"/>
          <w:jc w:val="center"/>
        </w:trPr>
        <w:tc>
          <w:tcPr>
            <w:tcW w:w="581" w:type="dxa"/>
            <w:vAlign w:val="center"/>
          </w:tcPr>
          <w:p w14:paraId="6AF8C3BF" w14:textId="3088D58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6</w:t>
            </w:r>
          </w:p>
        </w:tc>
        <w:tc>
          <w:tcPr>
            <w:tcW w:w="1339" w:type="dxa"/>
            <w:vAlign w:val="center"/>
          </w:tcPr>
          <w:p w14:paraId="647A5FF5" w14:textId="0C74D08C"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Kerala</w:t>
            </w:r>
          </w:p>
        </w:tc>
        <w:tc>
          <w:tcPr>
            <w:tcW w:w="896" w:type="dxa"/>
            <w:vAlign w:val="center"/>
          </w:tcPr>
          <w:p w14:paraId="45C037A9" w14:textId="7871544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224.00</w:t>
            </w:r>
          </w:p>
        </w:tc>
        <w:tc>
          <w:tcPr>
            <w:tcW w:w="963" w:type="dxa"/>
            <w:vAlign w:val="center"/>
          </w:tcPr>
          <w:p w14:paraId="7A241952" w14:textId="2EBB750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322.42</w:t>
            </w:r>
          </w:p>
        </w:tc>
        <w:tc>
          <w:tcPr>
            <w:tcW w:w="1440" w:type="dxa"/>
            <w:vAlign w:val="center"/>
          </w:tcPr>
          <w:p w14:paraId="55EC5134" w14:textId="68852E6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98.42</w:t>
            </w:r>
          </w:p>
        </w:tc>
        <w:tc>
          <w:tcPr>
            <w:tcW w:w="982" w:type="dxa"/>
            <w:vAlign w:val="center"/>
          </w:tcPr>
          <w:p w14:paraId="65F41FD0" w14:textId="58534E8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43.94</w:t>
            </w:r>
          </w:p>
        </w:tc>
        <w:tc>
          <w:tcPr>
            <w:tcW w:w="984" w:type="dxa"/>
            <w:vAlign w:val="center"/>
          </w:tcPr>
          <w:p w14:paraId="61756C4A" w14:textId="0EF9B5E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0.80</w:t>
            </w:r>
          </w:p>
        </w:tc>
        <w:tc>
          <w:tcPr>
            <w:tcW w:w="965" w:type="dxa"/>
            <w:vAlign w:val="center"/>
          </w:tcPr>
          <w:p w14:paraId="70C84B24" w14:textId="1CC4B66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1.15</w:t>
            </w:r>
          </w:p>
        </w:tc>
        <w:tc>
          <w:tcPr>
            <w:tcW w:w="922" w:type="dxa"/>
            <w:vAlign w:val="center"/>
          </w:tcPr>
          <w:p w14:paraId="4EF7925F" w14:textId="4196C34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0.35</w:t>
            </w:r>
          </w:p>
        </w:tc>
      </w:tr>
      <w:tr w:rsidR="00BA22F5" w:rsidRPr="009F214D" w14:paraId="6B442405" w14:textId="77777777" w:rsidTr="00B933C9">
        <w:trPr>
          <w:trHeight w:val="20"/>
          <w:jc w:val="center"/>
        </w:trPr>
        <w:tc>
          <w:tcPr>
            <w:tcW w:w="581" w:type="dxa"/>
            <w:vAlign w:val="center"/>
          </w:tcPr>
          <w:p w14:paraId="0ED63E74" w14:textId="3026B1E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7</w:t>
            </w:r>
          </w:p>
        </w:tc>
        <w:tc>
          <w:tcPr>
            <w:tcW w:w="1339" w:type="dxa"/>
            <w:vAlign w:val="center"/>
          </w:tcPr>
          <w:p w14:paraId="4C26977F" w14:textId="5784B05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Madhya Pradesh</w:t>
            </w:r>
          </w:p>
        </w:tc>
        <w:tc>
          <w:tcPr>
            <w:tcW w:w="896" w:type="dxa"/>
            <w:vAlign w:val="center"/>
          </w:tcPr>
          <w:p w14:paraId="7F8EB52E" w14:textId="186D818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141.00</w:t>
            </w:r>
          </w:p>
        </w:tc>
        <w:tc>
          <w:tcPr>
            <w:tcW w:w="963" w:type="dxa"/>
            <w:vAlign w:val="center"/>
          </w:tcPr>
          <w:p w14:paraId="20C9A1F2" w14:textId="3C0FBB7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333.48</w:t>
            </w:r>
          </w:p>
        </w:tc>
        <w:tc>
          <w:tcPr>
            <w:tcW w:w="1440" w:type="dxa"/>
            <w:vAlign w:val="center"/>
          </w:tcPr>
          <w:p w14:paraId="72567AAE" w14:textId="4296A0E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192.48</w:t>
            </w:r>
          </w:p>
        </w:tc>
        <w:tc>
          <w:tcPr>
            <w:tcW w:w="982" w:type="dxa"/>
            <w:vAlign w:val="center"/>
          </w:tcPr>
          <w:p w14:paraId="7AAD6722" w14:textId="27A6FF3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136.51</w:t>
            </w:r>
          </w:p>
        </w:tc>
        <w:tc>
          <w:tcPr>
            <w:tcW w:w="984" w:type="dxa"/>
            <w:vAlign w:val="center"/>
          </w:tcPr>
          <w:p w14:paraId="695A825A" w14:textId="4C99467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0.24</w:t>
            </w:r>
          </w:p>
        </w:tc>
        <w:tc>
          <w:tcPr>
            <w:tcW w:w="965" w:type="dxa"/>
            <w:vAlign w:val="center"/>
          </w:tcPr>
          <w:p w14:paraId="5047B267" w14:textId="2F30C4C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0.57</w:t>
            </w:r>
          </w:p>
        </w:tc>
        <w:tc>
          <w:tcPr>
            <w:tcW w:w="922" w:type="dxa"/>
            <w:vAlign w:val="center"/>
          </w:tcPr>
          <w:p w14:paraId="6993EEFC" w14:textId="7CFAE58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0.33</w:t>
            </w:r>
          </w:p>
        </w:tc>
      </w:tr>
      <w:tr w:rsidR="00BA22F5" w:rsidRPr="009F214D" w14:paraId="7430E062" w14:textId="77777777" w:rsidTr="00B933C9">
        <w:trPr>
          <w:trHeight w:val="20"/>
          <w:jc w:val="center"/>
        </w:trPr>
        <w:tc>
          <w:tcPr>
            <w:tcW w:w="581" w:type="dxa"/>
            <w:vAlign w:val="center"/>
          </w:tcPr>
          <w:p w14:paraId="68CA5DDD" w14:textId="121D0312"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8</w:t>
            </w:r>
          </w:p>
        </w:tc>
        <w:tc>
          <w:tcPr>
            <w:tcW w:w="1339" w:type="dxa"/>
            <w:vAlign w:val="center"/>
          </w:tcPr>
          <w:p w14:paraId="367FE743" w14:textId="7E0B7991"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Maharashtra</w:t>
            </w:r>
          </w:p>
        </w:tc>
        <w:tc>
          <w:tcPr>
            <w:tcW w:w="896" w:type="dxa"/>
            <w:vAlign w:val="center"/>
          </w:tcPr>
          <w:p w14:paraId="63D7D878" w14:textId="19439A1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383.00</w:t>
            </w:r>
          </w:p>
        </w:tc>
        <w:tc>
          <w:tcPr>
            <w:tcW w:w="963" w:type="dxa"/>
            <w:vAlign w:val="center"/>
          </w:tcPr>
          <w:p w14:paraId="6A985958" w14:textId="517AA20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658.65</w:t>
            </w:r>
          </w:p>
        </w:tc>
        <w:tc>
          <w:tcPr>
            <w:tcW w:w="1440" w:type="dxa"/>
            <w:vAlign w:val="center"/>
          </w:tcPr>
          <w:p w14:paraId="71A8786E" w14:textId="68A76359"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275.65</w:t>
            </w:r>
          </w:p>
        </w:tc>
        <w:tc>
          <w:tcPr>
            <w:tcW w:w="982" w:type="dxa"/>
            <w:vAlign w:val="center"/>
          </w:tcPr>
          <w:p w14:paraId="672110A4" w14:textId="789B47F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71.97</w:t>
            </w:r>
          </w:p>
        </w:tc>
        <w:tc>
          <w:tcPr>
            <w:tcW w:w="984" w:type="dxa"/>
            <w:vAlign w:val="center"/>
          </w:tcPr>
          <w:p w14:paraId="7A884701" w14:textId="78259C0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0.54</w:t>
            </w:r>
          </w:p>
        </w:tc>
        <w:tc>
          <w:tcPr>
            <w:tcW w:w="965" w:type="dxa"/>
            <w:vAlign w:val="center"/>
          </w:tcPr>
          <w:p w14:paraId="5918F2FD" w14:textId="55DEF68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0.94</w:t>
            </w:r>
          </w:p>
        </w:tc>
        <w:tc>
          <w:tcPr>
            <w:tcW w:w="922" w:type="dxa"/>
            <w:vAlign w:val="center"/>
          </w:tcPr>
          <w:p w14:paraId="2D2EB70B" w14:textId="65A4985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0.39</w:t>
            </w:r>
          </w:p>
        </w:tc>
      </w:tr>
      <w:tr w:rsidR="00BA22F5" w:rsidRPr="009F214D" w14:paraId="6FDA1C79" w14:textId="77777777" w:rsidTr="00B933C9">
        <w:trPr>
          <w:trHeight w:val="20"/>
          <w:jc w:val="center"/>
        </w:trPr>
        <w:tc>
          <w:tcPr>
            <w:tcW w:w="581" w:type="dxa"/>
            <w:vAlign w:val="center"/>
          </w:tcPr>
          <w:p w14:paraId="45AC7387" w14:textId="1D83471E"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9</w:t>
            </w:r>
          </w:p>
        </w:tc>
        <w:tc>
          <w:tcPr>
            <w:tcW w:w="1339" w:type="dxa"/>
            <w:vAlign w:val="center"/>
          </w:tcPr>
          <w:p w14:paraId="03D8CC73" w14:textId="504C18CC"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Orissa</w:t>
            </w:r>
          </w:p>
        </w:tc>
        <w:tc>
          <w:tcPr>
            <w:tcW w:w="896" w:type="dxa"/>
            <w:vAlign w:val="center"/>
          </w:tcPr>
          <w:p w14:paraId="2F28196A" w14:textId="12602E3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390.00</w:t>
            </w:r>
          </w:p>
        </w:tc>
        <w:tc>
          <w:tcPr>
            <w:tcW w:w="963" w:type="dxa"/>
            <w:vAlign w:val="center"/>
          </w:tcPr>
          <w:p w14:paraId="3063D5D8" w14:textId="0ED9C13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170.89</w:t>
            </w:r>
          </w:p>
        </w:tc>
        <w:tc>
          <w:tcPr>
            <w:tcW w:w="1440" w:type="dxa"/>
            <w:vAlign w:val="center"/>
          </w:tcPr>
          <w:p w14:paraId="010F8D40" w14:textId="52D6D8B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-219.31</w:t>
            </w:r>
          </w:p>
        </w:tc>
        <w:tc>
          <w:tcPr>
            <w:tcW w:w="982" w:type="dxa"/>
            <w:vAlign w:val="center"/>
          </w:tcPr>
          <w:p w14:paraId="4CAA7231" w14:textId="1743B32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-56.23</w:t>
            </w:r>
          </w:p>
        </w:tc>
        <w:tc>
          <w:tcPr>
            <w:tcW w:w="984" w:type="dxa"/>
            <w:vAlign w:val="center"/>
          </w:tcPr>
          <w:p w14:paraId="41EBA681" w14:textId="1B3BAEA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1.34</w:t>
            </w:r>
          </w:p>
        </w:tc>
        <w:tc>
          <w:tcPr>
            <w:tcW w:w="965" w:type="dxa"/>
            <w:vAlign w:val="center"/>
          </w:tcPr>
          <w:p w14:paraId="085F8CF7" w14:textId="5BA77F2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0.59</w:t>
            </w:r>
          </w:p>
        </w:tc>
        <w:tc>
          <w:tcPr>
            <w:tcW w:w="922" w:type="dxa"/>
            <w:vAlign w:val="center"/>
          </w:tcPr>
          <w:p w14:paraId="54AF9AFF" w14:textId="43C5D023"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-0.75</w:t>
            </w:r>
          </w:p>
        </w:tc>
      </w:tr>
      <w:tr w:rsidR="00BA22F5" w:rsidRPr="009F214D" w14:paraId="2A331307" w14:textId="77777777" w:rsidTr="00B933C9">
        <w:trPr>
          <w:trHeight w:val="20"/>
          <w:jc w:val="center"/>
        </w:trPr>
        <w:tc>
          <w:tcPr>
            <w:tcW w:w="581" w:type="dxa"/>
            <w:vAlign w:val="center"/>
          </w:tcPr>
          <w:p w14:paraId="651EF541" w14:textId="046DC72B"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10</w:t>
            </w:r>
          </w:p>
        </w:tc>
        <w:tc>
          <w:tcPr>
            <w:tcW w:w="1339" w:type="dxa"/>
            <w:vAlign w:val="center"/>
          </w:tcPr>
          <w:p w14:paraId="6FB3BD04" w14:textId="027E6503"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Punjab</w:t>
            </w:r>
          </w:p>
        </w:tc>
        <w:tc>
          <w:tcPr>
            <w:tcW w:w="896" w:type="dxa"/>
            <w:vAlign w:val="center"/>
          </w:tcPr>
          <w:p w14:paraId="5D672CB3" w14:textId="45F5D3E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138.00</w:t>
            </w:r>
          </w:p>
        </w:tc>
        <w:tc>
          <w:tcPr>
            <w:tcW w:w="963" w:type="dxa"/>
            <w:vAlign w:val="center"/>
          </w:tcPr>
          <w:p w14:paraId="5A2ABEBF" w14:textId="02CECDB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185.06</w:t>
            </w:r>
          </w:p>
        </w:tc>
        <w:tc>
          <w:tcPr>
            <w:tcW w:w="1440" w:type="dxa"/>
            <w:vAlign w:val="center"/>
          </w:tcPr>
          <w:p w14:paraId="34E4788F" w14:textId="52B5AD1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47.06</w:t>
            </w:r>
          </w:p>
        </w:tc>
        <w:tc>
          <w:tcPr>
            <w:tcW w:w="982" w:type="dxa"/>
            <w:vAlign w:val="center"/>
          </w:tcPr>
          <w:p w14:paraId="3BF1D141" w14:textId="1EBDD7C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34.10</w:t>
            </w:r>
          </w:p>
        </w:tc>
        <w:tc>
          <w:tcPr>
            <w:tcW w:w="984" w:type="dxa"/>
            <w:vAlign w:val="center"/>
          </w:tcPr>
          <w:p w14:paraId="46F57325" w14:textId="740C7D6E"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0.74</w:t>
            </w:r>
          </w:p>
        </w:tc>
        <w:tc>
          <w:tcPr>
            <w:tcW w:w="965" w:type="dxa"/>
            <w:vAlign w:val="center"/>
          </w:tcPr>
          <w:p w14:paraId="514F25B0" w14:textId="1E34DA6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0.99</w:t>
            </w:r>
          </w:p>
        </w:tc>
        <w:tc>
          <w:tcPr>
            <w:tcW w:w="922" w:type="dxa"/>
            <w:vAlign w:val="center"/>
          </w:tcPr>
          <w:p w14:paraId="6465A335" w14:textId="6CAA60A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0.25</w:t>
            </w:r>
          </w:p>
        </w:tc>
      </w:tr>
      <w:tr w:rsidR="00BA22F5" w:rsidRPr="009F214D" w14:paraId="2637F72E" w14:textId="77777777" w:rsidTr="00B933C9">
        <w:trPr>
          <w:trHeight w:val="20"/>
          <w:jc w:val="center"/>
        </w:trPr>
        <w:tc>
          <w:tcPr>
            <w:tcW w:w="581" w:type="dxa"/>
            <w:vAlign w:val="center"/>
          </w:tcPr>
          <w:p w14:paraId="2A51B735" w14:textId="4C127115"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11</w:t>
            </w:r>
          </w:p>
        </w:tc>
        <w:tc>
          <w:tcPr>
            <w:tcW w:w="1339" w:type="dxa"/>
            <w:vAlign w:val="center"/>
          </w:tcPr>
          <w:p w14:paraId="1BEE43FF" w14:textId="7A891681"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Rajasthan</w:t>
            </w:r>
          </w:p>
        </w:tc>
        <w:tc>
          <w:tcPr>
            <w:tcW w:w="896" w:type="dxa"/>
            <w:vAlign w:val="center"/>
          </w:tcPr>
          <w:p w14:paraId="1EB35C04" w14:textId="783157EF"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362.00</w:t>
            </w:r>
          </w:p>
        </w:tc>
        <w:tc>
          <w:tcPr>
            <w:tcW w:w="963" w:type="dxa"/>
            <w:vAlign w:val="center"/>
          </w:tcPr>
          <w:p w14:paraId="61DDB8C7" w14:textId="18075C7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265.94</w:t>
            </w:r>
          </w:p>
        </w:tc>
        <w:tc>
          <w:tcPr>
            <w:tcW w:w="1440" w:type="dxa"/>
            <w:vAlign w:val="center"/>
          </w:tcPr>
          <w:p w14:paraId="12069465" w14:textId="6D72353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-96.06</w:t>
            </w:r>
          </w:p>
        </w:tc>
        <w:tc>
          <w:tcPr>
            <w:tcW w:w="982" w:type="dxa"/>
            <w:vAlign w:val="center"/>
          </w:tcPr>
          <w:p w14:paraId="2177A1F6" w14:textId="516F5FF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-26.54</w:t>
            </w:r>
          </w:p>
        </w:tc>
        <w:tc>
          <w:tcPr>
            <w:tcW w:w="984" w:type="dxa"/>
            <w:vAlign w:val="center"/>
          </w:tcPr>
          <w:p w14:paraId="058D27D9" w14:textId="38C20F9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0.91</w:t>
            </w:r>
          </w:p>
        </w:tc>
        <w:tc>
          <w:tcPr>
            <w:tcW w:w="965" w:type="dxa"/>
            <w:vAlign w:val="center"/>
          </w:tcPr>
          <w:p w14:paraId="133E5C44" w14:textId="07DD649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0.67</w:t>
            </w:r>
          </w:p>
        </w:tc>
        <w:tc>
          <w:tcPr>
            <w:tcW w:w="922" w:type="dxa"/>
            <w:vAlign w:val="center"/>
          </w:tcPr>
          <w:p w14:paraId="5A666B87" w14:textId="53696A1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-0.24</w:t>
            </w:r>
          </w:p>
        </w:tc>
      </w:tr>
      <w:tr w:rsidR="00BA22F5" w:rsidRPr="009F214D" w14:paraId="13CB856B" w14:textId="77777777" w:rsidTr="00B933C9">
        <w:trPr>
          <w:trHeight w:val="20"/>
          <w:jc w:val="center"/>
        </w:trPr>
        <w:tc>
          <w:tcPr>
            <w:tcW w:w="581" w:type="dxa"/>
            <w:vAlign w:val="center"/>
          </w:tcPr>
          <w:p w14:paraId="1C822A16" w14:textId="01CA04F6"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12</w:t>
            </w:r>
          </w:p>
        </w:tc>
        <w:tc>
          <w:tcPr>
            <w:tcW w:w="1339" w:type="dxa"/>
            <w:vAlign w:val="center"/>
          </w:tcPr>
          <w:p w14:paraId="4895513D" w14:textId="3E2CEF7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Tamil Nadu</w:t>
            </w:r>
          </w:p>
        </w:tc>
        <w:tc>
          <w:tcPr>
            <w:tcW w:w="896" w:type="dxa"/>
            <w:vAlign w:val="center"/>
          </w:tcPr>
          <w:p w14:paraId="235A7F0B" w14:textId="5CEC690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725.00</w:t>
            </w:r>
          </w:p>
        </w:tc>
        <w:tc>
          <w:tcPr>
            <w:tcW w:w="963" w:type="dxa"/>
            <w:vAlign w:val="center"/>
          </w:tcPr>
          <w:p w14:paraId="61C89E1D" w14:textId="748506A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400.43</w:t>
            </w:r>
          </w:p>
        </w:tc>
        <w:tc>
          <w:tcPr>
            <w:tcW w:w="1440" w:type="dxa"/>
            <w:vAlign w:val="center"/>
          </w:tcPr>
          <w:p w14:paraId="6866A58F" w14:textId="2E5C425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-324.57</w:t>
            </w:r>
          </w:p>
        </w:tc>
        <w:tc>
          <w:tcPr>
            <w:tcW w:w="982" w:type="dxa"/>
            <w:vAlign w:val="center"/>
          </w:tcPr>
          <w:p w14:paraId="44EA55C9" w14:textId="2469637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-44.77</w:t>
            </w:r>
          </w:p>
        </w:tc>
        <w:tc>
          <w:tcPr>
            <w:tcW w:w="984" w:type="dxa"/>
            <w:vAlign w:val="center"/>
          </w:tcPr>
          <w:p w14:paraId="6CE9DD01" w14:textId="7A1982A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1.37</w:t>
            </w:r>
          </w:p>
        </w:tc>
        <w:tc>
          <w:tcPr>
            <w:tcW w:w="965" w:type="dxa"/>
            <w:vAlign w:val="center"/>
          </w:tcPr>
          <w:p w14:paraId="62D05929" w14:textId="3FB52F6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0.75</w:t>
            </w:r>
          </w:p>
        </w:tc>
        <w:tc>
          <w:tcPr>
            <w:tcW w:w="922" w:type="dxa"/>
            <w:vAlign w:val="center"/>
          </w:tcPr>
          <w:p w14:paraId="6DF96603" w14:textId="24E794C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-0.61</w:t>
            </w:r>
          </w:p>
        </w:tc>
      </w:tr>
      <w:tr w:rsidR="00BA22F5" w:rsidRPr="009F214D" w14:paraId="15A5BAE8" w14:textId="77777777" w:rsidTr="00B933C9">
        <w:trPr>
          <w:trHeight w:val="20"/>
          <w:jc w:val="center"/>
        </w:trPr>
        <w:tc>
          <w:tcPr>
            <w:tcW w:w="581" w:type="dxa"/>
            <w:vAlign w:val="center"/>
          </w:tcPr>
          <w:p w14:paraId="2D2A848A" w14:textId="120003E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13</w:t>
            </w:r>
          </w:p>
        </w:tc>
        <w:tc>
          <w:tcPr>
            <w:tcW w:w="1339" w:type="dxa"/>
            <w:vAlign w:val="center"/>
          </w:tcPr>
          <w:p w14:paraId="532B7C58" w14:textId="25A2F33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Uttar Pradesh</w:t>
            </w:r>
          </w:p>
        </w:tc>
        <w:tc>
          <w:tcPr>
            <w:tcW w:w="896" w:type="dxa"/>
            <w:vAlign w:val="center"/>
          </w:tcPr>
          <w:p w14:paraId="464E307B" w14:textId="775A2CB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286.00</w:t>
            </w:r>
          </w:p>
        </w:tc>
        <w:tc>
          <w:tcPr>
            <w:tcW w:w="963" w:type="dxa"/>
            <w:vAlign w:val="center"/>
          </w:tcPr>
          <w:p w14:paraId="40A6C9D5" w14:textId="59728C9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545.76</w:t>
            </w:r>
          </w:p>
        </w:tc>
        <w:tc>
          <w:tcPr>
            <w:tcW w:w="1440" w:type="dxa"/>
            <w:vAlign w:val="center"/>
          </w:tcPr>
          <w:p w14:paraId="5999C07A" w14:textId="1A87B57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259.76</w:t>
            </w:r>
          </w:p>
        </w:tc>
        <w:tc>
          <w:tcPr>
            <w:tcW w:w="982" w:type="dxa"/>
            <w:vAlign w:val="center"/>
          </w:tcPr>
          <w:p w14:paraId="7A79E8D3" w14:textId="6348D2A5"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90.82</w:t>
            </w:r>
          </w:p>
        </w:tc>
        <w:tc>
          <w:tcPr>
            <w:tcW w:w="984" w:type="dxa"/>
            <w:vAlign w:val="center"/>
          </w:tcPr>
          <w:p w14:paraId="31E5E50F" w14:textId="7BC5E3E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0.23</w:t>
            </w:r>
          </w:p>
        </w:tc>
        <w:tc>
          <w:tcPr>
            <w:tcW w:w="965" w:type="dxa"/>
            <w:vAlign w:val="center"/>
          </w:tcPr>
          <w:p w14:paraId="5B913468" w14:textId="71C5C8B8"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0.44</w:t>
            </w:r>
          </w:p>
        </w:tc>
        <w:tc>
          <w:tcPr>
            <w:tcW w:w="922" w:type="dxa"/>
            <w:vAlign w:val="center"/>
          </w:tcPr>
          <w:p w14:paraId="6C947051" w14:textId="4BB241F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0.21</w:t>
            </w:r>
          </w:p>
        </w:tc>
      </w:tr>
      <w:tr w:rsidR="00BA22F5" w:rsidRPr="009F214D" w14:paraId="642A842C" w14:textId="77777777" w:rsidTr="00B933C9">
        <w:trPr>
          <w:trHeight w:val="20"/>
          <w:jc w:val="center"/>
        </w:trPr>
        <w:tc>
          <w:tcPr>
            <w:tcW w:w="581" w:type="dxa"/>
            <w:vAlign w:val="center"/>
          </w:tcPr>
          <w:p w14:paraId="7439AFDF" w14:textId="4E1D878A"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14</w:t>
            </w:r>
          </w:p>
        </w:tc>
        <w:tc>
          <w:tcPr>
            <w:tcW w:w="1339" w:type="dxa"/>
            <w:vAlign w:val="center"/>
          </w:tcPr>
          <w:p w14:paraId="641CF239" w14:textId="5DE5A720"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sz w:val="16"/>
                <w:szCs w:val="16"/>
              </w:rPr>
              <w:t>West Bengal</w:t>
            </w:r>
          </w:p>
        </w:tc>
        <w:tc>
          <w:tcPr>
            <w:tcW w:w="896" w:type="dxa"/>
            <w:vAlign w:val="center"/>
          </w:tcPr>
          <w:p w14:paraId="45856A6B" w14:textId="4E49695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658.00</w:t>
            </w:r>
          </w:p>
        </w:tc>
        <w:tc>
          <w:tcPr>
            <w:tcW w:w="963" w:type="dxa"/>
            <w:vAlign w:val="center"/>
          </w:tcPr>
          <w:p w14:paraId="2A50726C" w14:textId="715B0BF7"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491.97</w:t>
            </w:r>
          </w:p>
        </w:tc>
        <w:tc>
          <w:tcPr>
            <w:tcW w:w="1440" w:type="dxa"/>
            <w:vAlign w:val="center"/>
          </w:tcPr>
          <w:p w14:paraId="6B42741F" w14:textId="4CE6E90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-166.03</w:t>
            </w:r>
          </w:p>
        </w:tc>
        <w:tc>
          <w:tcPr>
            <w:tcW w:w="982" w:type="dxa"/>
            <w:vAlign w:val="center"/>
          </w:tcPr>
          <w:p w14:paraId="6F6DAFC3" w14:textId="5185C951"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-25.23</w:t>
            </w:r>
          </w:p>
        </w:tc>
        <w:tc>
          <w:tcPr>
            <w:tcW w:w="984" w:type="dxa"/>
            <w:vAlign w:val="center"/>
          </w:tcPr>
          <w:p w14:paraId="5DFCB842" w14:textId="14890F3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1.08</w:t>
            </w:r>
          </w:p>
        </w:tc>
        <w:tc>
          <w:tcPr>
            <w:tcW w:w="965" w:type="dxa"/>
            <w:vAlign w:val="center"/>
          </w:tcPr>
          <w:p w14:paraId="4335B5E3" w14:textId="691A0600"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0.81</w:t>
            </w:r>
          </w:p>
        </w:tc>
        <w:tc>
          <w:tcPr>
            <w:tcW w:w="922" w:type="dxa"/>
            <w:vAlign w:val="center"/>
          </w:tcPr>
          <w:p w14:paraId="7E8F8D3E" w14:textId="2665175A"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sz w:val="16"/>
                <w:szCs w:val="16"/>
              </w:rPr>
              <w:t>-0.27</w:t>
            </w:r>
          </w:p>
        </w:tc>
      </w:tr>
      <w:tr w:rsidR="00BA22F5" w:rsidRPr="009F214D" w14:paraId="30B808E3" w14:textId="77777777" w:rsidTr="00B933C9">
        <w:trPr>
          <w:trHeight w:val="20"/>
          <w:jc w:val="center"/>
        </w:trPr>
        <w:tc>
          <w:tcPr>
            <w:tcW w:w="581" w:type="dxa"/>
            <w:vAlign w:val="center"/>
          </w:tcPr>
          <w:p w14:paraId="7BF7F92E" w14:textId="1F39CA6D"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14</w:t>
            </w:r>
          </w:p>
        </w:tc>
        <w:tc>
          <w:tcPr>
            <w:tcW w:w="1339" w:type="dxa"/>
            <w:vAlign w:val="center"/>
          </w:tcPr>
          <w:p w14:paraId="731F4B60" w14:textId="071788E6" w:rsidR="00BA22F5" w:rsidRPr="001B4ADF" w:rsidRDefault="00BA22F5" w:rsidP="00BA22F5">
            <w:pPr>
              <w:tabs>
                <w:tab w:val="left" w:pos="2805"/>
              </w:tabs>
              <w:rPr>
                <w:rFonts w:ascii="Times New Roman" w:hAnsi="Times New Roman" w:cs="Times New Roman"/>
                <w:sz w:val="16"/>
                <w:szCs w:val="16"/>
              </w:rPr>
            </w:pPr>
            <w:r w:rsidRPr="001B4ADF">
              <w:rPr>
                <w:rFonts w:ascii="Times New Roman" w:hAnsi="Times New Roman" w:cs="Times New Roman"/>
                <w:b/>
                <w:bCs/>
                <w:sz w:val="16"/>
                <w:szCs w:val="16"/>
              </w:rPr>
              <w:t>Major States</w:t>
            </w:r>
          </w:p>
        </w:tc>
        <w:tc>
          <w:tcPr>
            <w:tcW w:w="896" w:type="dxa"/>
            <w:vAlign w:val="center"/>
          </w:tcPr>
          <w:p w14:paraId="129B90D9" w14:textId="2CEB961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5152.00</w:t>
            </w:r>
          </w:p>
        </w:tc>
        <w:tc>
          <w:tcPr>
            <w:tcW w:w="963" w:type="dxa"/>
            <w:vAlign w:val="center"/>
          </w:tcPr>
          <w:p w14:paraId="751088C1" w14:textId="64EA4646"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5152.00</w:t>
            </w:r>
          </w:p>
        </w:tc>
        <w:tc>
          <w:tcPr>
            <w:tcW w:w="1440" w:type="dxa"/>
            <w:vAlign w:val="center"/>
          </w:tcPr>
          <w:p w14:paraId="165B4F99" w14:textId="0A96DBAD"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0.00</w:t>
            </w:r>
          </w:p>
        </w:tc>
        <w:tc>
          <w:tcPr>
            <w:tcW w:w="982" w:type="dxa"/>
            <w:vAlign w:val="center"/>
          </w:tcPr>
          <w:p w14:paraId="4809613F" w14:textId="58763312"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0.00</w:t>
            </w:r>
          </w:p>
        </w:tc>
        <w:tc>
          <w:tcPr>
            <w:tcW w:w="984" w:type="dxa"/>
            <w:vAlign w:val="center"/>
          </w:tcPr>
          <w:p w14:paraId="2AE47E5C" w14:textId="49920E5C"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0.72</w:t>
            </w:r>
          </w:p>
        </w:tc>
        <w:tc>
          <w:tcPr>
            <w:tcW w:w="965" w:type="dxa"/>
            <w:vAlign w:val="center"/>
          </w:tcPr>
          <w:p w14:paraId="1AD06C69" w14:textId="033DAA94"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0.72</w:t>
            </w:r>
          </w:p>
        </w:tc>
        <w:tc>
          <w:tcPr>
            <w:tcW w:w="922" w:type="dxa"/>
            <w:vAlign w:val="center"/>
          </w:tcPr>
          <w:p w14:paraId="48DBBB94" w14:textId="6FC5AA5B" w:rsidR="00BA22F5" w:rsidRPr="001B4ADF" w:rsidRDefault="00BA22F5" w:rsidP="00BA22F5">
            <w:pPr>
              <w:tabs>
                <w:tab w:val="left" w:pos="2805"/>
              </w:tabs>
              <w:jc w:val="center"/>
              <w:rPr>
                <w:rFonts w:ascii="Times New Roman" w:hAnsi="Times New Roman" w:cs="Times New Roman"/>
                <w:sz w:val="16"/>
                <w:szCs w:val="16"/>
              </w:rPr>
            </w:pPr>
            <w:r w:rsidRPr="001B4ADF">
              <w:rPr>
                <w:rFonts w:ascii="Times New Roman" w:hAnsi="Times New Roman" w:cs="Times New Roman"/>
                <w:b/>
                <w:bCs/>
                <w:sz w:val="16"/>
                <w:szCs w:val="16"/>
              </w:rPr>
              <w:t>0.00</w:t>
            </w:r>
          </w:p>
        </w:tc>
      </w:tr>
      <w:tr w:rsidR="00BA22F5" w:rsidRPr="009F214D" w14:paraId="0C829520" w14:textId="77777777" w:rsidTr="0023783A">
        <w:trPr>
          <w:trHeight w:val="20"/>
          <w:jc w:val="center"/>
        </w:trPr>
        <w:tc>
          <w:tcPr>
            <w:tcW w:w="9072" w:type="dxa"/>
            <w:gridSpan w:val="9"/>
            <w:vAlign w:val="center"/>
          </w:tcPr>
          <w:p w14:paraId="02F1ACE6" w14:textId="587C6543" w:rsidR="00BA22F5" w:rsidRPr="001B4ADF"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b/>
                <w:bCs/>
                <w:sz w:val="20"/>
                <w:szCs w:val="20"/>
              </w:rPr>
              <w:t>Expenditure Category: Social Services</w:t>
            </w:r>
          </w:p>
        </w:tc>
      </w:tr>
      <w:tr w:rsidR="00BA22F5" w:rsidRPr="009F214D" w14:paraId="22AB401F" w14:textId="77777777" w:rsidTr="00B933C9">
        <w:trPr>
          <w:trHeight w:val="20"/>
          <w:jc w:val="center"/>
        </w:trPr>
        <w:tc>
          <w:tcPr>
            <w:tcW w:w="581" w:type="dxa"/>
            <w:vAlign w:val="center"/>
          </w:tcPr>
          <w:p w14:paraId="157EE54F" w14:textId="521FFC30" w:rsidR="00BA22F5" w:rsidRPr="00BA22F5" w:rsidRDefault="00BA22F5" w:rsidP="00BA22F5">
            <w:pPr>
              <w:tabs>
                <w:tab w:val="left" w:pos="2805"/>
              </w:tabs>
              <w:rPr>
                <w:rFonts w:ascii="Times New Roman" w:hAnsi="Times New Roman" w:cs="Times New Roman"/>
                <w:b/>
                <w:bCs/>
                <w:sz w:val="16"/>
                <w:szCs w:val="16"/>
              </w:rPr>
            </w:pPr>
            <w:r w:rsidRPr="00BA22F5">
              <w:rPr>
                <w:rFonts w:ascii="Times New Roman" w:hAnsi="Times New Roman" w:cs="Times New Roman"/>
                <w:sz w:val="16"/>
                <w:szCs w:val="16"/>
              </w:rPr>
              <w:t>1</w:t>
            </w:r>
          </w:p>
        </w:tc>
        <w:tc>
          <w:tcPr>
            <w:tcW w:w="1339" w:type="dxa"/>
            <w:vAlign w:val="center"/>
          </w:tcPr>
          <w:p w14:paraId="402FB2A2" w14:textId="301A94BB" w:rsidR="00BA22F5" w:rsidRPr="00BA22F5" w:rsidRDefault="00BA22F5" w:rsidP="00BA22F5">
            <w:pPr>
              <w:tabs>
                <w:tab w:val="left" w:pos="2805"/>
              </w:tabs>
              <w:rPr>
                <w:rFonts w:ascii="Times New Roman" w:hAnsi="Times New Roman" w:cs="Times New Roman"/>
                <w:b/>
                <w:bCs/>
                <w:sz w:val="16"/>
                <w:szCs w:val="16"/>
              </w:rPr>
            </w:pPr>
            <w:r w:rsidRPr="00BA22F5">
              <w:rPr>
                <w:rFonts w:ascii="Times New Roman" w:hAnsi="Times New Roman" w:cs="Times New Roman"/>
                <w:sz w:val="16"/>
                <w:szCs w:val="16"/>
              </w:rPr>
              <w:t>Andhra Pradesh</w:t>
            </w:r>
          </w:p>
        </w:tc>
        <w:tc>
          <w:tcPr>
            <w:tcW w:w="896" w:type="dxa"/>
            <w:vAlign w:val="center"/>
          </w:tcPr>
          <w:p w14:paraId="00E4CDC4" w14:textId="06C894DE"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68105.09</w:t>
            </w:r>
          </w:p>
        </w:tc>
        <w:tc>
          <w:tcPr>
            <w:tcW w:w="963" w:type="dxa"/>
            <w:vAlign w:val="center"/>
          </w:tcPr>
          <w:p w14:paraId="64B694AB" w14:textId="5803AE56"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68953.45</w:t>
            </w:r>
          </w:p>
        </w:tc>
        <w:tc>
          <w:tcPr>
            <w:tcW w:w="1440" w:type="dxa"/>
            <w:vAlign w:val="center"/>
          </w:tcPr>
          <w:p w14:paraId="4B72545D" w14:textId="20440118"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848.36</w:t>
            </w:r>
          </w:p>
        </w:tc>
        <w:tc>
          <w:tcPr>
            <w:tcW w:w="982" w:type="dxa"/>
            <w:vAlign w:val="center"/>
          </w:tcPr>
          <w:p w14:paraId="7C1B5CD5" w14:textId="6BEAC61D"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1.25</w:t>
            </w:r>
          </w:p>
        </w:tc>
        <w:tc>
          <w:tcPr>
            <w:tcW w:w="984" w:type="dxa"/>
            <w:vAlign w:val="center"/>
          </w:tcPr>
          <w:p w14:paraId="40C54A8B" w14:textId="28BF42EB"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114.49</w:t>
            </w:r>
          </w:p>
        </w:tc>
        <w:tc>
          <w:tcPr>
            <w:tcW w:w="965" w:type="dxa"/>
            <w:vAlign w:val="center"/>
          </w:tcPr>
          <w:p w14:paraId="6BC99760" w14:textId="4C76F8ED"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115.92</w:t>
            </w:r>
          </w:p>
        </w:tc>
        <w:tc>
          <w:tcPr>
            <w:tcW w:w="922" w:type="dxa"/>
            <w:vAlign w:val="center"/>
          </w:tcPr>
          <w:p w14:paraId="2FC138C2" w14:textId="0B3887D9" w:rsidR="00BA22F5" w:rsidRPr="00BA22F5" w:rsidRDefault="00BA22F5" w:rsidP="00BA22F5">
            <w:pPr>
              <w:tabs>
                <w:tab w:val="left" w:pos="2805"/>
              </w:tabs>
              <w:jc w:val="center"/>
              <w:rPr>
                <w:rFonts w:ascii="Times New Roman" w:hAnsi="Times New Roman" w:cs="Times New Roman"/>
                <w:b/>
                <w:bCs/>
                <w:sz w:val="16"/>
                <w:szCs w:val="16"/>
              </w:rPr>
            </w:pPr>
            <w:r w:rsidRPr="00BA22F5">
              <w:rPr>
                <w:rFonts w:ascii="Times New Roman" w:hAnsi="Times New Roman" w:cs="Times New Roman"/>
                <w:sz w:val="16"/>
                <w:szCs w:val="16"/>
              </w:rPr>
              <w:t>1.43</w:t>
            </w:r>
          </w:p>
        </w:tc>
      </w:tr>
      <w:tr w:rsidR="00BA22F5" w:rsidRPr="009F214D" w14:paraId="16932139" w14:textId="77777777" w:rsidTr="00B933C9">
        <w:trPr>
          <w:trHeight w:val="20"/>
          <w:jc w:val="center"/>
        </w:trPr>
        <w:tc>
          <w:tcPr>
            <w:tcW w:w="581" w:type="dxa"/>
            <w:vAlign w:val="center"/>
          </w:tcPr>
          <w:p w14:paraId="3AFC8F15" w14:textId="256E54F6"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2</w:t>
            </w:r>
          </w:p>
        </w:tc>
        <w:tc>
          <w:tcPr>
            <w:tcW w:w="1339" w:type="dxa"/>
            <w:vAlign w:val="center"/>
          </w:tcPr>
          <w:p w14:paraId="0609F4F2" w14:textId="14BE1F43"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Bihar</w:t>
            </w:r>
          </w:p>
        </w:tc>
        <w:tc>
          <w:tcPr>
            <w:tcW w:w="896" w:type="dxa"/>
            <w:vAlign w:val="center"/>
          </w:tcPr>
          <w:p w14:paraId="470692FF" w14:textId="5CC2022A"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65780.00</w:t>
            </w:r>
          </w:p>
        </w:tc>
        <w:tc>
          <w:tcPr>
            <w:tcW w:w="963" w:type="dxa"/>
            <w:vAlign w:val="center"/>
          </w:tcPr>
          <w:p w14:paraId="62422B7C" w14:textId="19D9E14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69860.48</w:t>
            </w:r>
          </w:p>
        </w:tc>
        <w:tc>
          <w:tcPr>
            <w:tcW w:w="1440" w:type="dxa"/>
            <w:vAlign w:val="center"/>
          </w:tcPr>
          <w:p w14:paraId="1F8B0EA3" w14:textId="56A3F001"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4080.48</w:t>
            </w:r>
          </w:p>
        </w:tc>
        <w:tc>
          <w:tcPr>
            <w:tcW w:w="982" w:type="dxa"/>
            <w:vAlign w:val="center"/>
          </w:tcPr>
          <w:p w14:paraId="34BD4DD8" w14:textId="6A3B2B54"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6.20</w:t>
            </w:r>
          </w:p>
        </w:tc>
        <w:tc>
          <w:tcPr>
            <w:tcW w:w="984" w:type="dxa"/>
            <w:vAlign w:val="center"/>
          </w:tcPr>
          <w:p w14:paraId="5D602E02" w14:textId="7AFA34F7"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83.55</w:t>
            </w:r>
          </w:p>
        </w:tc>
        <w:tc>
          <w:tcPr>
            <w:tcW w:w="965" w:type="dxa"/>
            <w:vAlign w:val="center"/>
          </w:tcPr>
          <w:p w14:paraId="4DD1FB10" w14:textId="6BCEE6C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88.74</w:t>
            </w:r>
          </w:p>
        </w:tc>
        <w:tc>
          <w:tcPr>
            <w:tcW w:w="922" w:type="dxa"/>
            <w:vAlign w:val="center"/>
          </w:tcPr>
          <w:p w14:paraId="0B9963B7" w14:textId="7B796F6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5.18</w:t>
            </w:r>
          </w:p>
        </w:tc>
      </w:tr>
      <w:tr w:rsidR="00BA22F5" w:rsidRPr="009F214D" w14:paraId="6F812C30" w14:textId="77777777" w:rsidTr="00B933C9">
        <w:trPr>
          <w:trHeight w:val="20"/>
          <w:jc w:val="center"/>
        </w:trPr>
        <w:tc>
          <w:tcPr>
            <w:tcW w:w="581" w:type="dxa"/>
            <w:vAlign w:val="center"/>
          </w:tcPr>
          <w:p w14:paraId="15950155" w14:textId="49891D28"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3</w:t>
            </w:r>
          </w:p>
        </w:tc>
        <w:tc>
          <w:tcPr>
            <w:tcW w:w="1339" w:type="dxa"/>
            <w:vAlign w:val="center"/>
          </w:tcPr>
          <w:p w14:paraId="1060E93B" w14:textId="2C305AC7"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Gujarat</w:t>
            </w:r>
          </w:p>
        </w:tc>
        <w:tc>
          <w:tcPr>
            <w:tcW w:w="896" w:type="dxa"/>
            <w:vAlign w:val="center"/>
          </w:tcPr>
          <w:p w14:paraId="70E03D9E" w14:textId="5617569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66432.37</w:t>
            </w:r>
          </w:p>
        </w:tc>
        <w:tc>
          <w:tcPr>
            <w:tcW w:w="963" w:type="dxa"/>
            <w:vAlign w:val="center"/>
          </w:tcPr>
          <w:p w14:paraId="65A8D7A6" w14:textId="5860BD1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64711.86</w:t>
            </w:r>
          </w:p>
        </w:tc>
        <w:tc>
          <w:tcPr>
            <w:tcW w:w="1440" w:type="dxa"/>
            <w:vAlign w:val="center"/>
          </w:tcPr>
          <w:p w14:paraId="1965E1E2" w14:textId="1242C89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-1720.51</w:t>
            </w:r>
          </w:p>
        </w:tc>
        <w:tc>
          <w:tcPr>
            <w:tcW w:w="982" w:type="dxa"/>
            <w:vAlign w:val="center"/>
          </w:tcPr>
          <w:p w14:paraId="74976820" w14:textId="2716FDC9"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-2.59</w:t>
            </w:r>
          </w:p>
        </w:tc>
        <w:tc>
          <w:tcPr>
            <w:tcW w:w="984" w:type="dxa"/>
            <w:vAlign w:val="center"/>
          </w:tcPr>
          <w:p w14:paraId="6F828956" w14:textId="3812DE3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174.34</w:t>
            </w:r>
          </w:p>
        </w:tc>
        <w:tc>
          <w:tcPr>
            <w:tcW w:w="965" w:type="dxa"/>
            <w:vAlign w:val="center"/>
          </w:tcPr>
          <w:p w14:paraId="7DDB8FDD" w14:textId="46E2ACE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169.83</w:t>
            </w:r>
          </w:p>
        </w:tc>
        <w:tc>
          <w:tcPr>
            <w:tcW w:w="922" w:type="dxa"/>
            <w:vAlign w:val="center"/>
          </w:tcPr>
          <w:p w14:paraId="6B2B1994" w14:textId="011109F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-4.52</w:t>
            </w:r>
          </w:p>
        </w:tc>
      </w:tr>
      <w:tr w:rsidR="00BA22F5" w:rsidRPr="009F214D" w14:paraId="30BFA7BF" w14:textId="77777777" w:rsidTr="00B933C9">
        <w:trPr>
          <w:trHeight w:val="20"/>
          <w:jc w:val="center"/>
        </w:trPr>
        <w:tc>
          <w:tcPr>
            <w:tcW w:w="581" w:type="dxa"/>
            <w:vAlign w:val="center"/>
          </w:tcPr>
          <w:p w14:paraId="1FC5C811" w14:textId="43930B6D"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4</w:t>
            </w:r>
          </w:p>
        </w:tc>
        <w:tc>
          <w:tcPr>
            <w:tcW w:w="1339" w:type="dxa"/>
            <w:vAlign w:val="center"/>
          </w:tcPr>
          <w:p w14:paraId="0198E76E" w14:textId="7B2A218C"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Haryana</w:t>
            </w:r>
          </w:p>
        </w:tc>
        <w:tc>
          <w:tcPr>
            <w:tcW w:w="896" w:type="dxa"/>
            <w:vAlign w:val="center"/>
          </w:tcPr>
          <w:p w14:paraId="61F323BA" w14:textId="1A55E69B"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20019.50</w:t>
            </w:r>
          </w:p>
        </w:tc>
        <w:tc>
          <w:tcPr>
            <w:tcW w:w="963" w:type="dxa"/>
            <w:vAlign w:val="center"/>
          </w:tcPr>
          <w:p w14:paraId="47AE7C53" w14:textId="6C7C8DC4"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20370.58</w:t>
            </w:r>
          </w:p>
        </w:tc>
        <w:tc>
          <w:tcPr>
            <w:tcW w:w="1440" w:type="dxa"/>
            <w:vAlign w:val="center"/>
          </w:tcPr>
          <w:p w14:paraId="0BE454B9" w14:textId="015780A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351.08</w:t>
            </w:r>
          </w:p>
        </w:tc>
        <w:tc>
          <w:tcPr>
            <w:tcW w:w="982" w:type="dxa"/>
            <w:vAlign w:val="center"/>
          </w:tcPr>
          <w:p w14:paraId="5192E525" w14:textId="14EF689A"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1.75</w:t>
            </w:r>
          </w:p>
        </w:tc>
        <w:tc>
          <w:tcPr>
            <w:tcW w:w="984" w:type="dxa"/>
            <w:vAlign w:val="center"/>
          </w:tcPr>
          <w:p w14:paraId="0B6D8F2A" w14:textId="3F8C9EE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133.24</w:t>
            </w:r>
          </w:p>
        </w:tc>
        <w:tc>
          <w:tcPr>
            <w:tcW w:w="965" w:type="dxa"/>
            <w:vAlign w:val="center"/>
          </w:tcPr>
          <w:p w14:paraId="051A061E" w14:textId="10BA04A4"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135.57</w:t>
            </w:r>
          </w:p>
        </w:tc>
        <w:tc>
          <w:tcPr>
            <w:tcW w:w="922" w:type="dxa"/>
            <w:vAlign w:val="center"/>
          </w:tcPr>
          <w:p w14:paraId="526967CB" w14:textId="4B50C039"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2.34</w:t>
            </w:r>
          </w:p>
        </w:tc>
      </w:tr>
      <w:tr w:rsidR="00BA22F5" w:rsidRPr="009F214D" w14:paraId="0FB62EFD" w14:textId="77777777" w:rsidTr="00B933C9">
        <w:trPr>
          <w:trHeight w:val="20"/>
          <w:jc w:val="center"/>
        </w:trPr>
        <w:tc>
          <w:tcPr>
            <w:tcW w:w="581" w:type="dxa"/>
            <w:vAlign w:val="center"/>
          </w:tcPr>
          <w:p w14:paraId="1B9A6498" w14:textId="5B3551F6"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5</w:t>
            </w:r>
          </w:p>
        </w:tc>
        <w:tc>
          <w:tcPr>
            <w:tcW w:w="1339" w:type="dxa"/>
            <w:vAlign w:val="center"/>
          </w:tcPr>
          <w:p w14:paraId="0D11D0CC" w14:textId="27963118"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Karnataka</w:t>
            </w:r>
          </w:p>
        </w:tc>
        <w:tc>
          <w:tcPr>
            <w:tcW w:w="896" w:type="dxa"/>
            <w:vAlign w:val="center"/>
          </w:tcPr>
          <w:p w14:paraId="7F83D0B6" w14:textId="47E640A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55834.10</w:t>
            </w:r>
          </w:p>
        </w:tc>
        <w:tc>
          <w:tcPr>
            <w:tcW w:w="963" w:type="dxa"/>
            <w:vAlign w:val="center"/>
          </w:tcPr>
          <w:p w14:paraId="7EEAD591" w14:textId="674C40A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58068.91</w:t>
            </w:r>
          </w:p>
        </w:tc>
        <w:tc>
          <w:tcPr>
            <w:tcW w:w="1440" w:type="dxa"/>
            <w:vAlign w:val="center"/>
          </w:tcPr>
          <w:p w14:paraId="12101AD5" w14:textId="735A3B82"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2234.81</w:t>
            </w:r>
          </w:p>
        </w:tc>
        <w:tc>
          <w:tcPr>
            <w:tcW w:w="982" w:type="dxa"/>
            <w:vAlign w:val="center"/>
          </w:tcPr>
          <w:p w14:paraId="0EE21A4D" w14:textId="67A9E46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4.00</w:t>
            </w:r>
          </w:p>
        </w:tc>
        <w:tc>
          <w:tcPr>
            <w:tcW w:w="984" w:type="dxa"/>
            <w:vAlign w:val="center"/>
          </w:tcPr>
          <w:p w14:paraId="1317A2F0" w14:textId="7BAD5A0D"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133.55</w:t>
            </w:r>
          </w:p>
        </w:tc>
        <w:tc>
          <w:tcPr>
            <w:tcW w:w="965" w:type="dxa"/>
            <w:vAlign w:val="center"/>
          </w:tcPr>
          <w:p w14:paraId="0CD2960D" w14:textId="44649BDC"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138.89</w:t>
            </w:r>
          </w:p>
        </w:tc>
        <w:tc>
          <w:tcPr>
            <w:tcW w:w="922" w:type="dxa"/>
            <w:vAlign w:val="center"/>
          </w:tcPr>
          <w:p w14:paraId="05D3216E" w14:textId="62BC1991"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5.35</w:t>
            </w:r>
          </w:p>
        </w:tc>
      </w:tr>
      <w:tr w:rsidR="00BA22F5" w:rsidRPr="009F214D" w14:paraId="3E166122" w14:textId="77777777" w:rsidTr="00B933C9">
        <w:trPr>
          <w:trHeight w:val="20"/>
          <w:jc w:val="center"/>
        </w:trPr>
        <w:tc>
          <w:tcPr>
            <w:tcW w:w="581" w:type="dxa"/>
            <w:vAlign w:val="center"/>
          </w:tcPr>
          <w:p w14:paraId="146F531A" w14:textId="7B9923F3"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6</w:t>
            </w:r>
          </w:p>
        </w:tc>
        <w:tc>
          <w:tcPr>
            <w:tcW w:w="1339" w:type="dxa"/>
            <w:vAlign w:val="center"/>
          </w:tcPr>
          <w:p w14:paraId="0DD3C3F8" w14:textId="3D050FDF"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Kerala</w:t>
            </w:r>
          </w:p>
        </w:tc>
        <w:tc>
          <w:tcPr>
            <w:tcW w:w="896" w:type="dxa"/>
            <w:vAlign w:val="center"/>
          </w:tcPr>
          <w:p w14:paraId="1011CB6D" w14:textId="063EBBC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58379.51</w:t>
            </w:r>
          </w:p>
        </w:tc>
        <w:tc>
          <w:tcPr>
            <w:tcW w:w="963" w:type="dxa"/>
            <w:vAlign w:val="center"/>
          </w:tcPr>
          <w:p w14:paraId="15B5CF45" w14:textId="2FB57125"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52050.01</w:t>
            </w:r>
          </w:p>
        </w:tc>
        <w:tc>
          <w:tcPr>
            <w:tcW w:w="1440" w:type="dxa"/>
            <w:vAlign w:val="center"/>
          </w:tcPr>
          <w:p w14:paraId="7ADD4628" w14:textId="5EC25B5A"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-6329.50</w:t>
            </w:r>
          </w:p>
        </w:tc>
        <w:tc>
          <w:tcPr>
            <w:tcW w:w="982" w:type="dxa"/>
            <w:vAlign w:val="center"/>
          </w:tcPr>
          <w:p w14:paraId="15D9604C" w14:textId="61376D6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-10.84</w:t>
            </w:r>
          </w:p>
        </w:tc>
        <w:tc>
          <w:tcPr>
            <w:tcW w:w="984" w:type="dxa"/>
            <w:vAlign w:val="center"/>
          </w:tcPr>
          <w:p w14:paraId="4F500F83" w14:textId="266CDCDD"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207.57</w:t>
            </w:r>
          </w:p>
        </w:tc>
        <w:tc>
          <w:tcPr>
            <w:tcW w:w="965" w:type="dxa"/>
            <w:vAlign w:val="center"/>
          </w:tcPr>
          <w:p w14:paraId="4D6FEE81" w14:textId="3961D8F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185.06</w:t>
            </w:r>
          </w:p>
        </w:tc>
        <w:tc>
          <w:tcPr>
            <w:tcW w:w="922" w:type="dxa"/>
            <w:vAlign w:val="center"/>
          </w:tcPr>
          <w:p w14:paraId="5A1DA381" w14:textId="79CD249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-22.50</w:t>
            </w:r>
          </w:p>
        </w:tc>
      </w:tr>
      <w:tr w:rsidR="00BA22F5" w:rsidRPr="009F214D" w14:paraId="55A60BA2" w14:textId="77777777" w:rsidTr="00B933C9">
        <w:trPr>
          <w:trHeight w:val="20"/>
          <w:jc w:val="center"/>
        </w:trPr>
        <w:tc>
          <w:tcPr>
            <w:tcW w:w="581" w:type="dxa"/>
            <w:vAlign w:val="center"/>
          </w:tcPr>
          <w:p w14:paraId="419797B4" w14:textId="5E191696"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7</w:t>
            </w:r>
          </w:p>
        </w:tc>
        <w:tc>
          <w:tcPr>
            <w:tcW w:w="1339" w:type="dxa"/>
            <w:vAlign w:val="center"/>
          </w:tcPr>
          <w:p w14:paraId="6FA3A9F5" w14:textId="03845AA7"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Madhya Pradesh</w:t>
            </w:r>
          </w:p>
        </w:tc>
        <w:tc>
          <w:tcPr>
            <w:tcW w:w="896" w:type="dxa"/>
            <w:vAlign w:val="center"/>
          </w:tcPr>
          <w:p w14:paraId="74BC0679" w14:textId="07966A33"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62531.08</w:t>
            </w:r>
          </w:p>
        </w:tc>
        <w:tc>
          <w:tcPr>
            <w:tcW w:w="963" w:type="dxa"/>
            <w:vAlign w:val="center"/>
          </w:tcPr>
          <w:p w14:paraId="6C515481" w14:textId="3074DC7A"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60232.50</w:t>
            </w:r>
          </w:p>
        </w:tc>
        <w:tc>
          <w:tcPr>
            <w:tcW w:w="1440" w:type="dxa"/>
            <w:vAlign w:val="center"/>
          </w:tcPr>
          <w:p w14:paraId="0723BF25" w14:textId="0E3B05C5"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-2298.58</w:t>
            </w:r>
          </w:p>
        </w:tc>
        <w:tc>
          <w:tcPr>
            <w:tcW w:w="982" w:type="dxa"/>
            <w:vAlign w:val="center"/>
          </w:tcPr>
          <w:p w14:paraId="01689FAC" w14:textId="09591B0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-3.68</w:t>
            </w:r>
          </w:p>
        </w:tc>
        <w:tc>
          <w:tcPr>
            <w:tcW w:w="984" w:type="dxa"/>
            <w:vAlign w:val="center"/>
          </w:tcPr>
          <w:p w14:paraId="25C249ED" w14:textId="3A6F9C5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106.17</w:t>
            </w:r>
          </w:p>
        </w:tc>
        <w:tc>
          <w:tcPr>
            <w:tcW w:w="965" w:type="dxa"/>
            <w:vAlign w:val="center"/>
          </w:tcPr>
          <w:p w14:paraId="299AC4AB" w14:textId="66CC73B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102.27</w:t>
            </w:r>
          </w:p>
        </w:tc>
        <w:tc>
          <w:tcPr>
            <w:tcW w:w="922" w:type="dxa"/>
            <w:vAlign w:val="center"/>
          </w:tcPr>
          <w:p w14:paraId="3177A29C" w14:textId="4C7F23D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-3.90</w:t>
            </w:r>
          </w:p>
        </w:tc>
      </w:tr>
      <w:tr w:rsidR="00BA22F5" w:rsidRPr="009F214D" w14:paraId="2BB16944" w14:textId="77777777" w:rsidTr="00B933C9">
        <w:trPr>
          <w:trHeight w:val="20"/>
          <w:jc w:val="center"/>
        </w:trPr>
        <w:tc>
          <w:tcPr>
            <w:tcW w:w="581" w:type="dxa"/>
            <w:vAlign w:val="center"/>
          </w:tcPr>
          <w:p w14:paraId="38BFE712" w14:textId="50202CC5"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8</w:t>
            </w:r>
          </w:p>
        </w:tc>
        <w:tc>
          <w:tcPr>
            <w:tcW w:w="1339" w:type="dxa"/>
            <w:vAlign w:val="center"/>
          </w:tcPr>
          <w:p w14:paraId="3510737C" w14:textId="7D625DF3"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Maharashtra</w:t>
            </w:r>
          </w:p>
        </w:tc>
        <w:tc>
          <w:tcPr>
            <w:tcW w:w="896" w:type="dxa"/>
            <w:vAlign w:val="center"/>
          </w:tcPr>
          <w:p w14:paraId="532B1CA2" w14:textId="41BB320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118729.36</w:t>
            </w:r>
          </w:p>
        </w:tc>
        <w:tc>
          <w:tcPr>
            <w:tcW w:w="963" w:type="dxa"/>
            <w:vAlign w:val="center"/>
          </w:tcPr>
          <w:p w14:paraId="37F662B8" w14:textId="457C29D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109098.11</w:t>
            </w:r>
          </w:p>
        </w:tc>
        <w:tc>
          <w:tcPr>
            <w:tcW w:w="1440" w:type="dxa"/>
            <w:vAlign w:val="center"/>
          </w:tcPr>
          <w:p w14:paraId="02360DF4" w14:textId="475CEB8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-9631.24</w:t>
            </w:r>
          </w:p>
        </w:tc>
        <w:tc>
          <w:tcPr>
            <w:tcW w:w="982" w:type="dxa"/>
            <w:vAlign w:val="center"/>
          </w:tcPr>
          <w:p w14:paraId="6EC20CB3" w14:textId="52C4612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-8.11</w:t>
            </w:r>
          </w:p>
        </w:tc>
        <w:tc>
          <w:tcPr>
            <w:tcW w:w="984" w:type="dxa"/>
            <w:vAlign w:val="center"/>
          </w:tcPr>
          <w:p w14:paraId="256E1EAD" w14:textId="52CFD71B"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168.55</w:t>
            </w:r>
          </w:p>
        </w:tc>
        <w:tc>
          <w:tcPr>
            <w:tcW w:w="965" w:type="dxa"/>
            <w:vAlign w:val="center"/>
          </w:tcPr>
          <w:p w14:paraId="0C9B8FC5" w14:textId="0A7BFAA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154.87</w:t>
            </w:r>
          </w:p>
        </w:tc>
        <w:tc>
          <w:tcPr>
            <w:tcW w:w="922" w:type="dxa"/>
            <w:vAlign w:val="center"/>
          </w:tcPr>
          <w:p w14:paraId="46E71F87" w14:textId="514BBC52"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-13.67</w:t>
            </w:r>
          </w:p>
        </w:tc>
      </w:tr>
      <w:tr w:rsidR="00BA22F5" w:rsidRPr="009F214D" w14:paraId="47950166" w14:textId="77777777" w:rsidTr="00B933C9">
        <w:trPr>
          <w:trHeight w:val="20"/>
          <w:jc w:val="center"/>
        </w:trPr>
        <w:tc>
          <w:tcPr>
            <w:tcW w:w="581" w:type="dxa"/>
            <w:vAlign w:val="center"/>
          </w:tcPr>
          <w:p w14:paraId="08AA63AB" w14:textId="3A63740E"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9</w:t>
            </w:r>
          </w:p>
        </w:tc>
        <w:tc>
          <w:tcPr>
            <w:tcW w:w="1339" w:type="dxa"/>
            <w:vAlign w:val="center"/>
          </w:tcPr>
          <w:p w14:paraId="0BBE5338" w14:textId="14681A4D"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Orissa</w:t>
            </w:r>
          </w:p>
        </w:tc>
        <w:tc>
          <w:tcPr>
            <w:tcW w:w="896" w:type="dxa"/>
            <w:vAlign w:val="center"/>
          </w:tcPr>
          <w:p w14:paraId="1F8B3262" w14:textId="78C5ADF2"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29528.30</w:t>
            </w:r>
          </w:p>
        </w:tc>
        <w:tc>
          <w:tcPr>
            <w:tcW w:w="963" w:type="dxa"/>
            <w:vAlign w:val="center"/>
          </w:tcPr>
          <w:p w14:paraId="3A18A56E" w14:textId="52AF2309"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36718.91</w:t>
            </w:r>
          </w:p>
        </w:tc>
        <w:tc>
          <w:tcPr>
            <w:tcW w:w="1440" w:type="dxa"/>
            <w:vAlign w:val="center"/>
          </w:tcPr>
          <w:p w14:paraId="5E8F3FE8" w14:textId="23DFEF81"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7190.61</w:t>
            </w:r>
          </w:p>
        </w:tc>
        <w:tc>
          <w:tcPr>
            <w:tcW w:w="982" w:type="dxa"/>
            <w:vAlign w:val="center"/>
          </w:tcPr>
          <w:p w14:paraId="3893840B" w14:textId="60F3FC8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24.35</w:t>
            </w:r>
          </w:p>
        </w:tc>
        <w:tc>
          <w:tcPr>
            <w:tcW w:w="984" w:type="dxa"/>
            <w:vAlign w:val="center"/>
          </w:tcPr>
          <w:p w14:paraId="0E3D6EE5" w14:textId="0B2BD0FD"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101.26</w:t>
            </w:r>
          </w:p>
        </w:tc>
        <w:tc>
          <w:tcPr>
            <w:tcW w:w="965" w:type="dxa"/>
            <w:vAlign w:val="center"/>
          </w:tcPr>
          <w:p w14:paraId="65D3F2F3" w14:textId="2AFD3CB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125.92</w:t>
            </w:r>
          </w:p>
        </w:tc>
        <w:tc>
          <w:tcPr>
            <w:tcW w:w="922" w:type="dxa"/>
            <w:vAlign w:val="center"/>
          </w:tcPr>
          <w:p w14:paraId="0F1C311E" w14:textId="5010462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24.66</w:t>
            </w:r>
          </w:p>
        </w:tc>
      </w:tr>
      <w:tr w:rsidR="00BA22F5" w:rsidRPr="009F214D" w14:paraId="3EA7DB39" w14:textId="77777777" w:rsidTr="00B933C9">
        <w:trPr>
          <w:trHeight w:val="20"/>
          <w:jc w:val="center"/>
        </w:trPr>
        <w:tc>
          <w:tcPr>
            <w:tcW w:w="581" w:type="dxa"/>
            <w:vAlign w:val="center"/>
          </w:tcPr>
          <w:p w14:paraId="0BDDE9B4" w14:textId="4891F232"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10</w:t>
            </w:r>
          </w:p>
        </w:tc>
        <w:tc>
          <w:tcPr>
            <w:tcW w:w="1339" w:type="dxa"/>
            <w:vAlign w:val="center"/>
          </w:tcPr>
          <w:p w14:paraId="5B5B529D" w14:textId="220555DC"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Punjab</w:t>
            </w:r>
          </w:p>
        </w:tc>
        <w:tc>
          <w:tcPr>
            <w:tcW w:w="896" w:type="dxa"/>
            <w:vAlign w:val="center"/>
          </w:tcPr>
          <w:p w14:paraId="597D4207" w14:textId="41BBAFC4"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33578.00</w:t>
            </w:r>
          </w:p>
        </w:tc>
        <w:tc>
          <w:tcPr>
            <w:tcW w:w="963" w:type="dxa"/>
            <w:vAlign w:val="center"/>
          </w:tcPr>
          <w:p w14:paraId="355ADD16" w14:textId="5852B9A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28897.54</w:t>
            </w:r>
          </w:p>
        </w:tc>
        <w:tc>
          <w:tcPr>
            <w:tcW w:w="1440" w:type="dxa"/>
            <w:vAlign w:val="center"/>
          </w:tcPr>
          <w:p w14:paraId="79E066F6" w14:textId="78AA535A"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-4680.46</w:t>
            </w:r>
          </w:p>
        </w:tc>
        <w:tc>
          <w:tcPr>
            <w:tcW w:w="982" w:type="dxa"/>
            <w:vAlign w:val="center"/>
          </w:tcPr>
          <w:p w14:paraId="30DAE0A2" w14:textId="394C894C"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-13.94</w:t>
            </w:r>
          </w:p>
        </w:tc>
        <w:tc>
          <w:tcPr>
            <w:tcW w:w="984" w:type="dxa"/>
            <w:vAlign w:val="center"/>
          </w:tcPr>
          <w:p w14:paraId="57E864AB" w14:textId="483C0E23"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179.61</w:t>
            </w:r>
          </w:p>
        </w:tc>
        <w:tc>
          <w:tcPr>
            <w:tcW w:w="965" w:type="dxa"/>
            <w:vAlign w:val="center"/>
          </w:tcPr>
          <w:p w14:paraId="096AC858" w14:textId="42F7334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154.57</w:t>
            </w:r>
          </w:p>
        </w:tc>
        <w:tc>
          <w:tcPr>
            <w:tcW w:w="922" w:type="dxa"/>
            <w:vAlign w:val="center"/>
          </w:tcPr>
          <w:p w14:paraId="609491BD" w14:textId="2076E71D"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-25.04</w:t>
            </w:r>
          </w:p>
        </w:tc>
      </w:tr>
      <w:tr w:rsidR="00BA22F5" w:rsidRPr="009F214D" w14:paraId="57B8BB14" w14:textId="77777777" w:rsidTr="00B933C9">
        <w:trPr>
          <w:trHeight w:val="20"/>
          <w:jc w:val="center"/>
        </w:trPr>
        <w:tc>
          <w:tcPr>
            <w:tcW w:w="581" w:type="dxa"/>
            <w:vAlign w:val="center"/>
          </w:tcPr>
          <w:p w14:paraId="6005DABC" w14:textId="64EDC87A"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11</w:t>
            </w:r>
          </w:p>
        </w:tc>
        <w:tc>
          <w:tcPr>
            <w:tcW w:w="1339" w:type="dxa"/>
            <w:vAlign w:val="center"/>
          </w:tcPr>
          <w:p w14:paraId="5BA53609" w14:textId="1130E4D6"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Rajasthan</w:t>
            </w:r>
          </w:p>
        </w:tc>
        <w:tc>
          <w:tcPr>
            <w:tcW w:w="896" w:type="dxa"/>
            <w:vAlign w:val="center"/>
          </w:tcPr>
          <w:p w14:paraId="6C16EC01" w14:textId="1BC7AA87"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44506.84</w:t>
            </w:r>
          </w:p>
        </w:tc>
        <w:tc>
          <w:tcPr>
            <w:tcW w:w="963" w:type="dxa"/>
            <w:vAlign w:val="center"/>
          </w:tcPr>
          <w:p w14:paraId="4668E26A" w14:textId="55E5CD24"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46855.22</w:t>
            </w:r>
          </w:p>
        </w:tc>
        <w:tc>
          <w:tcPr>
            <w:tcW w:w="1440" w:type="dxa"/>
            <w:vAlign w:val="center"/>
          </w:tcPr>
          <w:p w14:paraId="40C2E6AE" w14:textId="6BFBBE95"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2348.38</w:t>
            </w:r>
          </w:p>
        </w:tc>
        <w:tc>
          <w:tcPr>
            <w:tcW w:w="982" w:type="dxa"/>
            <w:vAlign w:val="center"/>
          </w:tcPr>
          <w:p w14:paraId="101889D0" w14:textId="33CB5889"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5.28</w:t>
            </w:r>
          </w:p>
        </w:tc>
        <w:tc>
          <w:tcPr>
            <w:tcW w:w="984" w:type="dxa"/>
            <w:vAlign w:val="center"/>
          </w:tcPr>
          <w:p w14:paraId="186BB9EC" w14:textId="1B1043BB"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111.83</w:t>
            </w:r>
          </w:p>
        </w:tc>
        <w:tc>
          <w:tcPr>
            <w:tcW w:w="965" w:type="dxa"/>
            <w:vAlign w:val="center"/>
          </w:tcPr>
          <w:p w14:paraId="77C83F8A" w14:textId="5A032D1B"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117.73</w:t>
            </w:r>
          </w:p>
        </w:tc>
        <w:tc>
          <w:tcPr>
            <w:tcW w:w="922" w:type="dxa"/>
            <w:vAlign w:val="center"/>
          </w:tcPr>
          <w:p w14:paraId="583A82CC" w14:textId="46E64C49"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5.90</w:t>
            </w:r>
          </w:p>
        </w:tc>
      </w:tr>
      <w:tr w:rsidR="00BA22F5" w:rsidRPr="009F214D" w14:paraId="2C652EA9" w14:textId="77777777" w:rsidTr="00B933C9">
        <w:trPr>
          <w:trHeight w:val="20"/>
          <w:jc w:val="center"/>
        </w:trPr>
        <w:tc>
          <w:tcPr>
            <w:tcW w:w="581" w:type="dxa"/>
            <w:vAlign w:val="center"/>
          </w:tcPr>
          <w:p w14:paraId="3BC69D28" w14:textId="40BBD7FF"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12</w:t>
            </w:r>
          </w:p>
        </w:tc>
        <w:tc>
          <w:tcPr>
            <w:tcW w:w="1339" w:type="dxa"/>
            <w:vAlign w:val="center"/>
          </w:tcPr>
          <w:p w14:paraId="4D87D7DB" w14:textId="015A19DF"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Tamil Nadu</w:t>
            </w:r>
          </w:p>
        </w:tc>
        <w:tc>
          <w:tcPr>
            <w:tcW w:w="896" w:type="dxa"/>
            <w:vAlign w:val="center"/>
          </w:tcPr>
          <w:p w14:paraId="6F70BB9B" w14:textId="789F3761"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73516.90</w:t>
            </w:r>
          </w:p>
        </w:tc>
        <w:tc>
          <w:tcPr>
            <w:tcW w:w="963" w:type="dxa"/>
            <w:vAlign w:val="center"/>
          </w:tcPr>
          <w:p w14:paraId="52DA1B59" w14:textId="0F1C8D5D"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82721.33</w:t>
            </w:r>
          </w:p>
        </w:tc>
        <w:tc>
          <w:tcPr>
            <w:tcW w:w="1440" w:type="dxa"/>
            <w:vAlign w:val="center"/>
          </w:tcPr>
          <w:p w14:paraId="145810DB" w14:textId="5567D0D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9204.43</w:t>
            </w:r>
          </w:p>
        </w:tc>
        <w:tc>
          <w:tcPr>
            <w:tcW w:w="982" w:type="dxa"/>
            <w:vAlign w:val="center"/>
          </w:tcPr>
          <w:p w14:paraId="118B6E23" w14:textId="0AC4DBAC"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12.52</w:t>
            </w:r>
          </w:p>
        </w:tc>
        <w:tc>
          <w:tcPr>
            <w:tcW w:w="984" w:type="dxa"/>
            <w:vAlign w:val="center"/>
          </w:tcPr>
          <w:p w14:paraId="2D0D009E" w14:textId="3D2C1519"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138.57</w:t>
            </w:r>
          </w:p>
        </w:tc>
        <w:tc>
          <w:tcPr>
            <w:tcW w:w="965" w:type="dxa"/>
            <w:vAlign w:val="center"/>
          </w:tcPr>
          <w:p w14:paraId="66DD874F" w14:textId="5F32421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155.92</w:t>
            </w:r>
          </w:p>
        </w:tc>
        <w:tc>
          <w:tcPr>
            <w:tcW w:w="922" w:type="dxa"/>
            <w:vAlign w:val="center"/>
          </w:tcPr>
          <w:p w14:paraId="5B9CE0B4" w14:textId="261E3650"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17.35</w:t>
            </w:r>
          </w:p>
        </w:tc>
      </w:tr>
      <w:tr w:rsidR="00BA22F5" w:rsidRPr="009F214D" w14:paraId="32015AB0" w14:textId="77777777" w:rsidTr="00B933C9">
        <w:trPr>
          <w:trHeight w:val="20"/>
          <w:jc w:val="center"/>
        </w:trPr>
        <w:tc>
          <w:tcPr>
            <w:tcW w:w="581" w:type="dxa"/>
            <w:vAlign w:val="center"/>
          </w:tcPr>
          <w:p w14:paraId="028A5A57" w14:textId="7900DDD6"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13</w:t>
            </w:r>
          </w:p>
        </w:tc>
        <w:tc>
          <w:tcPr>
            <w:tcW w:w="1339" w:type="dxa"/>
            <w:vAlign w:val="center"/>
          </w:tcPr>
          <w:p w14:paraId="10B86006" w14:textId="314B5B05"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Uttar Pradesh</w:t>
            </w:r>
          </w:p>
        </w:tc>
        <w:tc>
          <w:tcPr>
            <w:tcW w:w="896" w:type="dxa"/>
            <w:vAlign w:val="center"/>
          </w:tcPr>
          <w:p w14:paraId="0C48844D" w14:textId="32EFA775"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102920.20</w:t>
            </w:r>
          </w:p>
        </w:tc>
        <w:tc>
          <w:tcPr>
            <w:tcW w:w="963" w:type="dxa"/>
            <w:vAlign w:val="center"/>
          </w:tcPr>
          <w:p w14:paraId="55083857" w14:textId="2EF808C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109763.92</w:t>
            </w:r>
          </w:p>
        </w:tc>
        <w:tc>
          <w:tcPr>
            <w:tcW w:w="1440" w:type="dxa"/>
            <w:vAlign w:val="center"/>
          </w:tcPr>
          <w:p w14:paraId="37664E8D" w14:textId="7C756287"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6843.73</w:t>
            </w:r>
          </w:p>
        </w:tc>
        <w:tc>
          <w:tcPr>
            <w:tcW w:w="982" w:type="dxa"/>
            <w:vAlign w:val="center"/>
          </w:tcPr>
          <w:p w14:paraId="6AE0551B" w14:textId="3E51C3A3"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6.65</w:t>
            </w:r>
          </w:p>
        </w:tc>
        <w:tc>
          <w:tcPr>
            <w:tcW w:w="984" w:type="dxa"/>
            <w:vAlign w:val="center"/>
          </w:tcPr>
          <w:p w14:paraId="3B2DDD80" w14:textId="61CB21F3"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82.65</w:t>
            </w:r>
          </w:p>
        </w:tc>
        <w:tc>
          <w:tcPr>
            <w:tcW w:w="965" w:type="dxa"/>
            <w:vAlign w:val="center"/>
          </w:tcPr>
          <w:p w14:paraId="69975888" w14:textId="48E24A0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88.14</w:t>
            </w:r>
          </w:p>
        </w:tc>
        <w:tc>
          <w:tcPr>
            <w:tcW w:w="922" w:type="dxa"/>
            <w:vAlign w:val="center"/>
          </w:tcPr>
          <w:p w14:paraId="6E2C3BDC" w14:textId="2C3EFE2F"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5.50</w:t>
            </w:r>
          </w:p>
        </w:tc>
      </w:tr>
      <w:tr w:rsidR="00BA22F5" w:rsidRPr="009F214D" w14:paraId="77F96120" w14:textId="77777777" w:rsidTr="00B933C9">
        <w:trPr>
          <w:trHeight w:val="20"/>
          <w:jc w:val="center"/>
        </w:trPr>
        <w:tc>
          <w:tcPr>
            <w:tcW w:w="581" w:type="dxa"/>
            <w:vAlign w:val="center"/>
          </w:tcPr>
          <w:p w14:paraId="14CC2372" w14:textId="351000F6"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14</w:t>
            </w:r>
          </w:p>
        </w:tc>
        <w:tc>
          <w:tcPr>
            <w:tcW w:w="1339" w:type="dxa"/>
            <w:vAlign w:val="center"/>
          </w:tcPr>
          <w:p w14:paraId="7678814F" w14:textId="4201AC6B"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sz w:val="16"/>
                <w:szCs w:val="16"/>
              </w:rPr>
              <w:t>West Bengal</w:t>
            </w:r>
          </w:p>
        </w:tc>
        <w:tc>
          <w:tcPr>
            <w:tcW w:w="896" w:type="dxa"/>
            <w:vAlign w:val="center"/>
          </w:tcPr>
          <w:p w14:paraId="0805BD0C" w14:textId="5540508C"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91916.19</w:t>
            </w:r>
          </w:p>
        </w:tc>
        <w:tc>
          <w:tcPr>
            <w:tcW w:w="963" w:type="dxa"/>
            <w:vAlign w:val="center"/>
          </w:tcPr>
          <w:p w14:paraId="5F3226E3" w14:textId="1F5EF63C"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84742.75</w:t>
            </w:r>
          </w:p>
        </w:tc>
        <w:tc>
          <w:tcPr>
            <w:tcW w:w="1440" w:type="dxa"/>
            <w:vAlign w:val="center"/>
          </w:tcPr>
          <w:p w14:paraId="220AAEC7" w14:textId="19191A71"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-7173.44</w:t>
            </w:r>
          </w:p>
        </w:tc>
        <w:tc>
          <w:tcPr>
            <w:tcW w:w="982" w:type="dxa"/>
            <w:vAlign w:val="center"/>
          </w:tcPr>
          <w:p w14:paraId="0EDFD9BE" w14:textId="73180ED4"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-7.80</w:t>
            </w:r>
          </w:p>
        </w:tc>
        <w:tc>
          <w:tcPr>
            <w:tcW w:w="984" w:type="dxa"/>
            <w:vAlign w:val="center"/>
          </w:tcPr>
          <w:p w14:paraId="3CB11282" w14:textId="7CFDDA8A"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150.90</w:t>
            </w:r>
          </w:p>
        </w:tc>
        <w:tc>
          <w:tcPr>
            <w:tcW w:w="965" w:type="dxa"/>
            <w:vAlign w:val="center"/>
          </w:tcPr>
          <w:p w14:paraId="701FDFD0" w14:textId="31B5E655"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139.12</w:t>
            </w:r>
          </w:p>
        </w:tc>
        <w:tc>
          <w:tcPr>
            <w:tcW w:w="922" w:type="dxa"/>
            <w:vAlign w:val="center"/>
          </w:tcPr>
          <w:p w14:paraId="11DA1F8F" w14:textId="2A520AA5"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sz w:val="16"/>
                <w:szCs w:val="16"/>
              </w:rPr>
              <w:t>-11.78</w:t>
            </w:r>
          </w:p>
        </w:tc>
      </w:tr>
      <w:tr w:rsidR="00BA22F5" w:rsidRPr="009F214D" w14:paraId="2CA4C809" w14:textId="77777777" w:rsidTr="00B933C9">
        <w:trPr>
          <w:trHeight w:val="20"/>
          <w:jc w:val="center"/>
        </w:trPr>
        <w:tc>
          <w:tcPr>
            <w:tcW w:w="581" w:type="dxa"/>
            <w:vAlign w:val="center"/>
          </w:tcPr>
          <w:p w14:paraId="3CA4E40A" w14:textId="489AD809"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b/>
                <w:bCs/>
                <w:sz w:val="16"/>
                <w:szCs w:val="16"/>
              </w:rPr>
              <w:t>14</w:t>
            </w:r>
          </w:p>
        </w:tc>
        <w:tc>
          <w:tcPr>
            <w:tcW w:w="1339" w:type="dxa"/>
            <w:vAlign w:val="center"/>
          </w:tcPr>
          <w:p w14:paraId="1CCD2994" w14:textId="775EB825" w:rsidR="00BA22F5" w:rsidRPr="00BA22F5" w:rsidRDefault="00BA22F5" w:rsidP="00BA22F5">
            <w:pPr>
              <w:tabs>
                <w:tab w:val="left" w:pos="2805"/>
              </w:tabs>
              <w:rPr>
                <w:rFonts w:ascii="Times New Roman" w:hAnsi="Times New Roman" w:cs="Times New Roman"/>
                <w:sz w:val="16"/>
                <w:szCs w:val="16"/>
              </w:rPr>
            </w:pPr>
            <w:r w:rsidRPr="00BA22F5">
              <w:rPr>
                <w:rFonts w:ascii="Times New Roman" w:hAnsi="Times New Roman" w:cs="Times New Roman"/>
                <w:b/>
                <w:bCs/>
                <w:sz w:val="16"/>
                <w:szCs w:val="16"/>
              </w:rPr>
              <w:t>Major States</w:t>
            </w:r>
          </w:p>
        </w:tc>
        <w:tc>
          <w:tcPr>
            <w:tcW w:w="896" w:type="dxa"/>
            <w:vAlign w:val="center"/>
          </w:tcPr>
          <w:p w14:paraId="05C0D35C" w14:textId="07CB4C58"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891777.41</w:t>
            </w:r>
          </w:p>
        </w:tc>
        <w:tc>
          <w:tcPr>
            <w:tcW w:w="963" w:type="dxa"/>
            <w:vAlign w:val="center"/>
          </w:tcPr>
          <w:p w14:paraId="51791390" w14:textId="1D3C8AD6"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893045.57</w:t>
            </w:r>
          </w:p>
        </w:tc>
        <w:tc>
          <w:tcPr>
            <w:tcW w:w="1440" w:type="dxa"/>
            <w:vAlign w:val="center"/>
          </w:tcPr>
          <w:p w14:paraId="2CF05C6C" w14:textId="36A6F66E"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1268.16</w:t>
            </w:r>
          </w:p>
        </w:tc>
        <w:tc>
          <w:tcPr>
            <w:tcW w:w="982" w:type="dxa"/>
            <w:vAlign w:val="center"/>
          </w:tcPr>
          <w:p w14:paraId="1C165E4C" w14:textId="3E48A6C3"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0.14</w:t>
            </w:r>
          </w:p>
        </w:tc>
        <w:tc>
          <w:tcPr>
            <w:tcW w:w="984" w:type="dxa"/>
            <w:vAlign w:val="center"/>
          </w:tcPr>
          <w:p w14:paraId="212C52E4" w14:textId="043267A7"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124.42</w:t>
            </w:r>
          </w:p>
        </w:tc>
        <w:tc>
          <w:tcPr>
            <w:tcW w:w="965" w:type="dxa"/>
            <w:vAlign w:val="center"/>
          </w:tcPr>
          <w:p w14:paraId="3C74C108" w14:textId="1CBF18DC"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124.59</w:t>
            </w:r>
          </w:p>
        </w:tc>
        <w:tc>
          <w:tcPr>
            <w:tcW w:w="922" w:type="dxa"/>
            <w:vAlign w:val="center"/>
          </w:tcPr>
          <w:p w14:paraId="661E1F54" w14:textId="6A296352" w:rsidR="00BA22F5" w:rsidRPr="00BA22F5" w:rsidRDefault="00BA22F5" w:rsidP="00BA22F5">
            <w:pPr>
              <w:tabs>
                <w:tab w:val="left" w:pos="2805"/>
              </w:tabs>
              <w:jc w:val="center"/>
              <w:rPr>
                <w:rFonts w:ascii="Times New Roman" w:hAnsi="Times New Roman" w:cs="Times New Roman"/>
                <w:sz w:val="16"/>
                <w:szCs w:val="16"/>
              </w:rPr>
            </w:pPr>
            <w:r w:rsidRPr="00BA22F5">
              <w:rPr>
                <w:rFonts w:ascii="Times New Roman" w:hAnsi="Times New Roman" w:cs="Times New Roman"/>
                <w:b/>
                <w:bCs/>
                <w:sz w:val="16"/>
                <w:szCs w:val="16"/>
              </w:rPr>
              <w:t>0.18</w:t>
            </w:r>
          </w:p>
        </w:tc>
      </w:tr>
      <w:tr w:rsidR="00BA22F5" w:rsidRPr="009F214D" w14:paraId="692095B3" w14:textId="77777777" w:rsidTr="003A147D">
        <w:trPr>
          <w:trHeight w:val="20"/>
          <w:jc w:val="center"/>
        </w:trPr>
        <w:tc>
          <w:tcPr>
            <w:tcW w:w="9072" w:type="dxa"/>
            <w:gridSpan w:val="9"/>
            <w:vAlign w:val="center"/>
          </w:tcPr>
          <w:p w14:paraId="7833751B" w14:textId="2DCCC79E" w:rsidR="00BA22F5" w:rsidRPr="00BA22F5" w:rsidRDefault="00BA22F5" w:rsidP="00BA22F5">
            <w:pPr>
              <w:tabs>
                <w:tab w:val="left" w:pos="2805"/>
              </w:tabs>
              <w:rPr>
                <w:rFonts w:ascii="Times New Roman" w:hAnsi="Times New Roman" w:cs="Times New Roman"/>
                <w:sz w:val="14"/>
                <w:szCs w:val="14"/>
              </w:rPr>
            </w:pPr>
            <w:r w:rsidRPr="00BA22F5">
              <w:rPr>
                <w:rFonts w:ascii="Times New Roman" w:hAnsi="Times New Roman" w:cs="Times New Roman"/>
                <w:sz w:val="14"/>
                <w:szCs w:val="14"/>
              </w:rPr>
              <w:t xml:space="preserve">Note: Inclusive of expenditure on "Art, Scientific Services, </w:t>
            </w:r>
            <w:proofErr w:type="spellStart"/>
            <w:r w:rsidRPr="00BA22F5">
              <w:rPr>
                <w:rFonts w:ascii="Times New Roman" w:hAnsi="Times New Roman" w:cs="Times New Roman"/>
                <w:sz w:val="14"/>
                <w:szCs w:val="14"/>
              </w:rPr>
              <w:t>e.t.c</w:t>
            </w:r>
            <w:proofErr w:type="spellEnd"/>
            <w:r w:rsidRPr="00BA22F5">
              <w:rPr>
                <w:rFonts w:ascii="Times New Roman" w:hAnsi="Times New Roman" w:cs="Times New Roman"/>
                <w:sz w:val="14"/>
                <w:szCs w:val="14"/>
              </w:rPr>
              <w:t xml:space="preserve">.", "Urban Development" and "Labour </w:t>
            </w:r>
            <w:proofErr w:type="gramStart"/>
            <w:r w:rsidRPr="00BA22F5">
              <w:rPr>
                <w:rFonts w:ascii="Times New Roman" w:hAnsi="Times New Roman" w:cs="Times New Roman"/>
                <w:sz w:val="14"/>
                <w:szCs w:val="14"/>
              </w:rPr>
              <w:t>And</w:t>
            </w:r>
            <w:proofErr w:type="gramEnd"/>
            <w:r w:rsidRPr="00BA22F5">
              <w:rPr>
                <w:rFonts w:ascii="Times New Roman" w:hAnsi="Times New Roman" w:cs="Times New Roman"/>
                <w:sz w:val="14"/>
                <w:szCs w:val="14"/>
              </w:rPr>
              <w:t xml:space="preserve"> Employment" reckoned at actuals.”</w:t>
            </w:r>
          </w:p>
        </w:tc>
      </w:tr>
      <w:tr w:rsidR="00BA22F5" w:rsidRPr="009F214D" w14:paraId="1288E99D" w14:textId="77777777" w:rsidTr="00F477B0">
        <w:trPr>
          <w:trHeight w:val="20"/>
          <w:jc w:val="center"/>
        </w:trPr>
        <w:tc>
          <w:tcPr>
            <w:tcW w:w="9072" w:type="dxa"/>
            <w:gridSpan w:val="9"/>
            <w:vAlign w:val="center"/>
          </w:tcPr>
          <w:p w14:paraId="69844646" w14:textId="760E3CE7" w:rsidR="00BA22F5" w:rsidRPr="00BA22F5" w:rsidRDefault="003C314C" w:rsidP="00BA22F5">
            <w:pPr>
              <w:tabs>
                <w:tab w:val="left" w:pos="2805"/>
              </w:tabs>
              <w:jc w:val="center"/>
              <w:rPr>
                <w:rFonts w:ascii="Times New Roman" w:hAnsi="Times New Roman" w:cs="Times New Roman"/>
                <w:b/>
                <w:bCs/>
                <w:sz w:val="16"/>
                <w:szCs w:val="16"/>
              </w:rPr>
            </w:pPr>
            <w:r w:rsidRPr="0078036E">
              <w:rPr>
                <w:rFonts w:ascii="Times New Roman" w:hAnsi="Times New Roman" w:cs="Times New Roman"/>
                <w:b/>
                <w:bCs/>
                <w:sz w:val="20"/>
                <w:szCs w:val="20"/>
              </w:rPr>
              <w:t>Expenditure Category: Agriculture, Food, Cooperation, Community Development, etc.”</w:t>
            </w:r>
          </w:p>
        </w:tc>
      </w:tr>
      <w:tr w:rsidR="003C314C" w:rsidRPr="009F214D" w14:paraId="707677FF" w14:textId="77777777" w:rsidTr="00B933C9">
        <w:trPr>
          <w:trHeight w:val="20"/>
          <w:jc w:val="center"/>
        </w:trPr>
        <w:tc>
          <w:tcPr>
            <w:tcW w:w="581" w:type="dxa"/>
            <w:vAlign w:val="center"/>
          </w:tcPr>
          <w:p w14:paraId="7239ACCF" w14:textId="7DDAAE39" w:rsidR="003C314C" w:rsidRPr="008A0CEF" w:rsidRDefault="003C314C" w:rsidP="003C314C">
            <w:pPr>
              <w:tabs>
                <w:tab w:val="left" w:pos="2805"/>
              </w:tabs>
              <w:rPr>
                <w:rFonts w:ascii="Times New Roman" w:hAnsi="Times New Roman" w:cs="Times New Roman"/>
                <w:b/>
                <w:bCs/>
                <w:sz w:val="16"/>
                <w:szCs w:val="16"/>
              </w:rPr>
            </w:pPr>
            <w:r w:rsidRPr="008A0CEF">
              <w:rPr>
                <w:rFonts w:ascii="Times New Roman" w:hAnsi="Times New Roman" w:cs="Times New Roman"/>
                <w:sz w:val="16"/>
                <w:szCs w:val="16"/>
              </w:rPr>
              <w:t>1</w:t>
            </w:r>
          </w:p>
        </w:tc>
        <w:tc>
          <w:tcPr>
            <w:tcW w:w="1339" w:type="dxa"/>
            <w:vAlign w:val="center"/>
          </w:tcPr>
          <w:p w14:paraId="29A77C3C" w14:textId="495ABA64" w:rsidR="003C314C" w:rsidRPr="008A0CEF" w:rsidRDefault="003C314C" w:rsidP="003C314C">
            <w:pPr>
              <w:tabs>
                <w:tab w:val="left" w:pos="2805"/>
              </w:tabs>
              <w:rPr>
                <w:rFonts w:ascii="Times New Roman" w:hAnsi="Times New Roman" w:cs="Times New Roman"/>
                <w:b/>
                <w:bCs/>
                <w:sz w:val="16"/>
                <w:szCs w:val="16"/>
              </w:rPr>
            </w:pPr>
            <w:r w:rsidRPr="008A0CEF">
              <w:rPr>
                <w:rFonts w:ascii="Times New Roman" w:hAnsi="Times New Roman" w:cs="Times New Roman"/>
                <w:sz w:val="16"/>
                <w:szCs w:val="16"/>
              </w:rPr>
              <w:t>Andhra Pradesh</w:t>
            </w:r>
          </w:p>
        </w:tc>
        <w:tc>
          <w:tcPr>
            <w:tcW w:w="896" w:type="dxa"/>
            <w:vAlign w:val="center"/>
          </w:tcPr>
          <w:p w14:paraId="1955C72A" w14:textId="38AD6792"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13252.01</w:t>
            </w:r>
          </w:p>
        </w:tc>
        <w:tc>
          <w:tcPr>
            <w:tcW w:w="963" w:type="dxa"/>
            <w:vAlign w:val="center"/>
          </w:tcPr>
          <w:p w14:paraId="0AC66709" w14:textId="6F6B0C53"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12515.74</w:t>
            </w:r>
          </w:p>
        </w:tc>
        <w:tc>
          <w:tcPr>
            <w:tcW w:w="1440" w:type="dxa"/>
            <w:vAlign w:val="center"/>
          </w:tcPr>
          <w:p w14:paraId="786B7066" w14:textId="78C4C682"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-736.27</w:t>
            </w:r>
          </w:p>
        </w:tc>
        <w:tc>
          <w:tcPr>
            <w:tcW w:w="982" w:type="dxa"/>
            <w:vAlign w:val="center"/>
          </w:tcPr>
          <w:p w14:paraId="4CC3F8BB" w14:textId="30005AE5"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-5.56</w:t>
            </w:r>
          </w:p>
        </w:tc>
        <w:tc>
          <w:tcPr>
            <w:tcW w:w="984" w:type="dxa"/>
            <w:vAlign w:val="center"/>
          </w:tcPr>
          <w:p w14:paraId="152A0B8E" w14:textId="18ABCBCD"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22.28</w:t>
            </w:r>
          </w:p>
        </w:tc>
        <w:tc>
          <w:tcPr>
            <w:tcW w:w="965" w:type="dxa"/>
            <w:vAlign w:val="center"/>
          </w:tcPr>
          <w:p w14:paraId="090A1677" w14:textId="11B62B54"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21.04</w:t>
            </w:r>
          </w:p>
        </w:tc>
        <w:tc>
          <w:tcPr>
            <w:tcW w:w="922" w:type="dxa"/>
            <w:vAlign w:val="center"/>
          </w:tcPr>
          <w:p w14:paraId="630C7878" w14:textId="14A8DD4E" w:rsidR="003C314C" w:rsidRPr="008A0CEF" w:rsidRDefault="003C314C" w:rsidP="003C314C">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-1.24</w:t>
            </w:r>
          </w:p>
        </w:tc>
      </w:tr>
      <w:tr w:rsidR="003C314C" w:rsidRPr="009F214D" w14:paraId="5A0C66B3" w14:textId="77777777" w:rsidTr="00B933C9">
        <w:trPr>
          <w:trHeight w:val="20"/>
          <w:jc w:val="center"/>
        </w:trPr>
        <w:tc>
          <w:tcPr>
            <w:tcW w:w="581" w:type="dxa"/>
            <w:vAlign w:val="center"/>
          </w:tcPr>
          <w:p w14:paraId="3099B80F" w14:textId="28CCC3DC"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2</w:t>
            </w:r>
          </w:p>
        </w:tc>
        <w:tc>
          <w:tcPr>
            <w:tcW w:w="1339" w:type="dxa"/>
            <w:vAlign w:val="center"/>
          </w:tcPr>
          <w:p w14:paraId="1436EC92" w14:textId="528298CD"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Bihar</w:t>
            </w:r>
          </w:p>
        </w:tc>
        <w:tc>
          <w:tcPr>
            <w:tcW w:w="896" w:type="dxa"/>
            <w:vAlign w:val="center"/>
          </w:tcPr>
          <w:p w14:paraId="1A1E5DB4" w14:textId="772CCE0E"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12990.00</w:t>
            </w:r>
          </w:p>
        </w:tc>
        <w:tc>
          <w:tcPr>
            <w:tcW w:w="963" w:type="dxa"/>
            <w:vAlign w:val="center"/>
          </w:tcPr>
          <w:p w14:paraId="19FD92DE" w14:textId="0CE9EA46"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9171.95</w:t>
            </w:r>
          </w:p>
        </w:tc>
        <w:tc>
          <w:tcPr>
            <w:tcW w:w="1440" w:type="dxa"/>
            <w:vAlign w:val="center"/>
          </w:tcPr>
          <w:p w14:paraId="2FF80546" w14:textId="04CD243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-3818.05</w:t>
            </w:r>
          </w:p>
        </w:tc>
        <w:tc>
          <w:tcPr>
            <w:tcW w:w="982" w:type="dxa"/>
            <w:vAlign w:val="center"/>
          </w:tcPr>
          <w:p w14:paraId="58EF11DD" w14:textId="4CF3594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-29.39</w:t>
            </w:r>
          </w:p>
        </w:tc>
        <w:tc>
          <w:tcPr>
            <w:tcW w:w="984" w:type="dxa"/>
            <w:vAlign w:val="center"/>
          </w:tcPr>
          <w:p w14:paraId="668D3768" w14:textId="2EB5BA76"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16.50</w:t>
            </w:r>
          </w:p>
        </w:tc>
        <w:tc>
          <w:tcPr>
            <w:tcW w:w="965" w:type="dxa"/>
            <w:vAlign w:val="center"/>
          </w:tcPr>
          <w:p w14:paraId="52936EBE" w14:textId="0CBF1265"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11.65</w:t>
            </w:r>
          </w:p>
        </w:tc>
        <w:tc>
          <w:tcPr>
            <w:tcW w:w="922" w:type="dxa"/>
            <w:vAlign w:val="center"/>
          </w:tcPr>
          <w:p w14:paraId="7D0C4051" w14:textId="193151C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-4.85</w:t>
            </w:r>
          </w:p>
        </w:tc>
      </w:tr>
      <w:tr w:rsidR="003C314C" w:rsidRPr="009F214D" w14:paraId="3D63228E" w14:textId="77777777" w:rsidTr="00B933C9">
        <w:trPr>
          <w:trHeight w:val="20"/>
          <w:jc w:val="center"/>
        </w:trPr>
        <w:tc>
          <w:tcPr>
            <w:tcW w:w="581" w:type="dxa"/>
            <w:vAlign w:val="center"/>
          </w:tcPr>
          <w:p w14:paraId="037E1C80" w14:textId="1F316C97"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3</w:t>
            </w:r>
          </w:p>
        </w:tc>
        <w:tc>
          <w:tcPr>
            <w:tcW w:w="1339" w:type="dxa"/>
            <w:vAlign w:val="center"/>
          </w:tcPr>
          <w:p w14:paraId="18181506" w14:textId="461FAFE0"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Gujarat</w:t>
            </w:r>
          </w:p>
        </w:tc>
        <w:tc>
          <w:tcPr>
            <w:tcW w:w="896" w:type="dxa"/>
            <w:vAlign w:val="center"/>
          </w:tcPr>
          <w:p w14:paraId="6EEB3555" w14:textId="48AB081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12312.93</w:t>
            </w:r>
          </w:p>
        </w:tc>
        <w:tc>
          <w:tcPr>
            <w:tcW w:w="963" w:type="dxa"/>
            <w:vAlign w:val="center"/>
          </w:tcPr>
          <w:p w14:paraId="5069F9E2" w14:textId="6462C494"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8880.26</w:t>
            </w:r>
          </w:p>
        </w:tc>
        <w:tc>
          <w:tcPr>
            <w:tcW w:w="1440" w:type="dxa"/>
            <w:vAlign w:val="center"/>
          </w:tcPr>
          <w:p w14:paraId="0CA4449F" w14:textId="3C1C5AA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-3432.67</w:t>
            </w:r>
          </w:p>
        </w:tc>
        <w:tc>
          <w:tcPr>
            <w:tcW w:w="982" w:type="dxa"/>
            <w:vAlign w:val="center"/>
          </w:tcPr>
          <w:p w14:paraId="14E9425C" w14:textId="26CD8571"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-27.88</w:t>
            </w:r>
          </w:p>
        </w:tc>
        <w:tc>
          <w:tcPr>
            <w:tcW w:w="984" w:type="dxa"/>
            <w:vAlign w:val="center"/>
          </w:tcPr>
          <w:p w14:paraId="53A3788C" w14:textId="3585074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32.31</w:t>
            </w:r>
          </w:p>
        </w:tc>
        <w:tc>
          <w:tcPr>
            <w:tcW w:w="965" w:type="dxa"/>
            <w:vAlign w:val="center"/>
          </w:tcPr>
          <w:p w14:paraId="41546462" w14:textId="4B76319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23.31</w:t>
            </w:r>
          </w:p>
        </w:tc>
        <w:tc>
          <w:tcPr>
            <w:tcW w:w="922" w:type="dxa"/>
            <w:vAlign w:val="center"/>
          </w:tcPr>
          <w:p w14:paraId="5D9BCF0E" w14:textId="1058A002"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-9.01</w:t>
            </w:r>
          </w:p>
        </w:tc>
      </w:tr>
      <w:tr w:rsidR="003C314C" w:rsidRPr="009F214D" w14:paraId="3BA5DBCF" w14:textId="77777777" w:rsidTr="00B933C9">
        <w:trPr>
          <w:trHeight w:val="20"/>
          <w:jc w:val="center"/>
        </w:trPr>
        <w:tc>
          <w:tcPr>
            <w:tcW w:w="581" w:type="dxa"/>
            <w:vAlign w:val="center"/>
          </w:tcPr>
          <w:p w14:paraId="609A1455" w14:textId="64EE79F3"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4</w:t>
            </w:r>
          </w:p>
        </w:tc>
        <w:tc>
          <w:tcPr>
            <w:tcW w:w="1339" w:type="dxa"/>
            <w:vAlign w:val="center"/>
          </w:tcPr>
          <w:p w14:paraId="120ADB8C" w14:textId="2BC952BE"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Haryana</w:t>
            </w:r>
          </w:p>
        </w:tc>
        <w:tc>
          <w:tcPr>
            <w:tcW w:w="896" w:type="dxa"/>
            <w:vAlign w:val="center"/>
          </w:tcPr>
          <w:p w14:paraId="45953518" w14:textId="65781957"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3318.94</w:t>
            </w:r>
          </w:p>
        </w:tc>
        <w:tc>
          <w:tcPr>
            <w:tcW w:w="963" w:type="dxa"/>
            <w:vAlign w:val="center"/>
          </w:tcPr>
          <w:p w14:paraId="0822AC25" w14:textId="4B71020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3101.60</w:t>
            </w:r>
          </w:p>
        </w:tc>
        <w:tc>
          <w:tcPr>
            <w:tcW w:w="1440" w:type="dxa"/>
            <w:vAlign w:val="center"/>
          </w:tcPr>
          <w:p w14:paraId="3532B36D" w14:textId="4967EE8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-217.35</w:t>
            </w:r>
          </w:p>
        </w:tc>
        <w:tc>
          <w:tcPr>
            <w:tcW w:w="982" w:type="dxa"/>
            <w:vAlign w:val="center"/>
          </w:tcPr>
          <w:p w14:paraId="751A27F9" w14:textId="3336BA6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-6.55</w:t>
            </w:r>
          </w:p>
        </w:tc>
        <w:tc>
          <w:tcPr>
            <w:tcW w:w="984" w:type="dxa"/>
            <w:vAlign w:val="center"/>
          </w:tcPr>
          <w:p w14:paraId="077C7153" w14:textId="55993FC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22.09</w:t>
            </w:r>
          </w:p>
        </w:tc>
        <w:tc>
          <w:tcPr>
            <w:tcW w:w="965" w:type="dxa"/>
            <w:vAlign w:val="center"/>
          </w:tcPr>
          <w:p w14:paraId="4C1425FD" w14:textId="7330B0F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20.64</w:t>
            </w:r>
          </w:p>
        </w:tc>
        <w:tc>
          <w:tcPr>
            <w:tcW w:w="922" w:type="dxa"/>
            <w:vAlign w:val="center"/>
          </w:tcPr>
          <w:p w14:paraId="3C023486" w14:textId="2E032292"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-1.45</w:t>
            </w:r>
          </w:p>
        </w:tc>
      </w:tr>
      <w:tr w:rsidR="003C314C" w:rsidRPr="009F214D" w14:paraId="4AFBEC66" w14:textId="77777777" w:rsidTr="00B933C9">
        <w:trPr>
          <w:trHeight w:val="20"/>
          <w:jc w:val="center"/>
        </w:trPr>
        <w:tc>
          <w:tcPr>
            <w:tcW w:w="581" w:type="dxa"/>
            <w:vAlign w:val="center"/>
          </w:tcPr>
          <w:p w14:paraId="0E5DECFE" w14:textId="3DA8EBB5"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5</w:t>
            </w:r>
          </w:p>
        </w:tc>
        <w:tc>
          <w:tcPr>
            <w:tcW w:w="1339" w:type="dxa"/>
            <w:vAlign w:val="center"/>
          </w:tcPr>
          <w:p w14:paraId="44598F42" w14:textId="146752C0"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Karnataka</w:t>
            </w:r>
          </w:p>
        </w:tc>
        <w:tc>
          <w:tcPr>
            <w:tcW w:w="896" w:type="dxa"/>
            <w:vAlign w:val="center"/>
          </w:tcPr>
          <w:p w14:paraId="3AD9BFA7" w14:textId="5ADE5AFA"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9064.01</w:t>
            </w:r>
          </w:p>
        </w:tc>
        <w:tc>
          <w:tcPr>
            <w:tcW w:w="963" w:type="dxa"/>
            <w:vAlign w:val="center"/>
          </w:tcPr>
          <w:p w14:paraId="4E9A39FE" w14:textId="1F5510C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9445.36</w:t>
            </w:r>
          </w:p>
        </w:tc>
        <w:tc>
          <w:tcPr>
            <w:tcW w:w="1440" w:type="dxa"/>
            <w:vAlign w:val="center"/>
          </w:tcPr>
          <w:p w14:paraId="0DAF9454" w14:textId="1D7046C1"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381.34</w:t>
            </w:r>
          </w:p>
        </w:tc>
        <w:tc>
          <w:tcPr>
            <w:tcW w:w="982" w:type="dxa"/>
            <w:vAlign w:val="center"/>
          </w:tcPr>
          <w:p w14:paraId="23D9FFD5" w14:textId="77572C02"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4.21</w:t>
            </w:r>
          </w:p>
        </w:tc>
        <w:tc>
          <w:tcPr>
            <w:tcW w:w="984" w:type="dxa"/>
            <w:vAlign w:val="center"/>
          </w:tcPr>
          <w:p w14:paraId="7D385362" w14:textId="66403705"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21.68</w:t>
            </w:r>
          </w:p>
        </w:tc>
        <w:tc>
          <w:tcPr>
            <w:tcW w:w="965" w:type="dxa"/>
            <w:vAlign w:val="center"/>
          </w:tcPr>
          <w:p w14:paraId="74E3E1F7" w14:textId="488BA30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22.59</w:t>
            </w:r>
          </w:p>
        </w:tc>
        <w:tc>
          <w:tcPr>
            <w:tcW w:w="922" w:type="dxa"/>
            <w:vAlign w:val="center"/>
          </w:tcPr>
          <w:p w14:paraId="6560BB3C" w14:textId="2FFAA9E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0.91</w:t>
            </w:r>
          </w:p>
        </w:tc>
      </w:tr>
      <w:tr w:rsidR="003C314C" w:rsidRPr="009F214D" w14:paraId="789539E8" w14:textId="77777777" w:rsidTr="00B933C9">
        <w:trPr>
          <w:trHeight w:val="20"/>
          <w:jc w:val="center"/>
        </w:trPr>
        <w:tc>
          <w:tcPr>
            <w:tcW w:w="581" w:type="dxa"/>
            <w:vAlign w:val="center"/>
          </w:tcPr>
          <w:p w14:paraId="1162448D" w14:textId="0FDB7FA2"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6</w:t>
            </w:r>
          </w:p>
        </w:tc>
        <w:tc>
          <w:tcPr>
            <w:tcW w:w="1339" w:type="dxa"/>
            <w:vAlign w:val="center"/>
          </w:tcPr>
          <w:p w14:paraId="01EC8E66" w14:textId="72BC1130"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Kerala</w:t>
            </w:r>
          </w:p>
        </w:tc>
        <w:tc>
          <w:tcPr>
            <w:tcW w:w="896" w:type="dxa"/>
            <w:vAlign w:val="center"/>
          </w:tcPr>
          <w:p w14:paraId="6B1F82DE" w14:textId="33EC4624"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6080.97</w:t>
            </w:r>
          </w:p>
        </w:tc>
        <w:tc>
          <w:tcPr>
            <w:tcW w:w="963" w:type="dxa"/>
            <w:vAlign w:val="center"/>
          </w:tcPr>
          <w:p w14:paraId="32EC781C" w14:textId="0A4B958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5295.29</w:t>
            </w:r>
          </w:p>
        </w:tc>
        <w:tc>
          <w:tcPr>
            <w:tcW w:w="1440" w:type="dxa"/>
            <w:vAlign w:val="center"/>
          </w:tcPr>
          <w:p w14:paraId="34C8A583" w14:textId="10B4AD65"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-785.68</w:t>
            </w:r>
          </w:p>
        </w:tc>
        <w:tc>
          <w:tcPr>
            <w:tcW w:w="982" w:type="dxa"/>
            <w:vAlign w:val="center"/>
          </w:tcPr>
          <w:p w14:paraId="1082562E" w14:textId="7E6CC27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-12.92</w:t>
            </w:r>
          </w:p>
        </w:tc>
        <w:tc>
          <w:tcPr>
            <w:tcW w:w="984" w:type="dxa"/>
            <w:vAlign w:val="center"/>
          </w:tcPr>
          <w:p w14:paraId="7330D00A" w14:textId="2D6E74EE"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21.62</w:t>
            </w:r>
          </w:p>
        </w:tc>
        <w:tc>
          <w:tcPr>
            <w:tcW w:w="965" w:type="dxa"/>
            <w:vAlign w:val="center"/>
          </w:tcPr>
          <w:p w14:paraId="32AA0BB7" w14:textId="01888C6E"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18.83</w:t>
            </w:r>
          </w:p>
        </w:tc>
        <w:tc>
          <w:tcPr>
            <w:tcW w:w="922" w:type="dxa"/>
            <w:vAlign w:val="center"/>
          </w:tcPr>
          <w:p w14:paraId="40903D87" w14:textId="6E8013C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-2.79</w:t>
            </w:r>
          </w:p>
        </w:tc>
      </w:tr>
      <w:tr w:rsidR="003C314C" w:rsidRPr="009F214D" w14:paraId="1D3C2A6A" w14:textId="77777777" w:rsidTr="00B933C9">
        <w:trPr>
          <w:trHeight w:val="20"/>
          <w:jc w:val="center"/>
        </w:trPr>
        <w:tc>
          <w:tcPr>
            <w:tcW w:w="581" w:type="dxa"/>
            <w:vAlign w:val="center"/>
          </w:tcPr>
          <w:p w14:paraId="5408E5FD" w14:textId="2833F342"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7</w:t>
            </w:r>
          </w:p>
        </w:tc>
        <w:tc>
          <w:tcPr>
            <w:tcW w:w="1339" w:type="dxa"/>
            <w:vAlign w:val="center"/>
          </w:tcPr>
          <w:p w14:paraId="746C0455" w14:textId="6C080124"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Madhya Pradesh</w:t>
            </w:r>
          </w:p>
        </w:tc>
        <w:tc>
          <w:tcPr>
            <w:tcW w:w="896" w:type="dxa"/>
            <w:vAlign w:val="center"/>
          </w:tcPr>
          <w:p w14:paraId="6EEF2085" w14:textId="0A20BDF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6697.01</w:t>
            </w:r>
          </w:p>
        </w:tc>
        <w:tc>
          <w:tcPr>
            <w:tcW w:w="963" w:type="dxa"/>
            <w:vAlign w:val="center"/>
          </w:tcPr>
          <w:p w14:paraId="66BF8108" w14:textId="25235D6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9782.63</w:t>
            </w:r>
          </w:p>
        </w:tc>
        <w:tc>
          <w:tcPr>
            <w:tcW w:w="1440" w:type="dxa"/>
            <w:vAlign w:val="center"/>
          </w:tcPr>
          <w:p w14:paraId="5BC5ED57" w14:textId="58C3219E"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3085.62</w:t>
            </w:r>
          </w:p>
        </w:tc>
        <w:tc>
          <w:tcPr>
            <w:tcW w:w="982" w:type="dxa"/>
            <w:vAlign w:val="center"/>
          </w:tcPr>
          <w:p w14:paraId="532F0FDA" w14:textId="50ED852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46.07</w:t>
            </w:r>
          </w:p>
        </w:tc>
        <w:tc>
          <w:tcPr>
            <w:tcW w:w="984" w:type="dxa"/>
            <w:vAlign w:val="center"/>
          </w:tcPr>
          <w:p w14:paraId="4F7FF197" w14:textId="4319684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11.37</w:t>
            </w:r>
          </w:p>
        </w:tc>
        <w:tc>
          <w:tcPr>
            <w:tcW w:w="965" w:type="dxa"/>
            <w:vAlign w:val="center"/>
          </w:tcPr>
          <w:p w14:paraId="7A640E0F" w14:textId="40C26075"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16.61</w:t>
            </w:r>
          </w:p>
        </w:tc>
        <w:tc>
          <w:tcPr>
            <w:tcW w:w="922" w:type="dxa"/>
            <w:vAlign w:val="center"/>
          </w:tcPr>
          <w:p w14:paraId="6B7C5E57" w14:textId="7BFB3B3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5.24</w:t>
            </w:r>
          </w:p>
        </w:tc>
      </w:tr>
      <w:tr w:rsidR="003C314C" w:rsidRPr="009F214D" w14:paraId="2C53B437" w14:textId="77777777" w:rsidTr="00B933C9">
        <w:trPr>
          <w:trHeight w:val="20"/>
          <w:jc w:val="center"/>
        </w:trPr>
        <w:tc>
          <w:tcPr>
            <w:tcW w:w="581" w:type="dxa"/>
            <w:vAlign w:val="center"/>
          </w:tcPr>
          <w:p w14:paraId="555E5439" w14:textId="2235614C"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8</w:t>
            </w:r>
          </w:p>
        </w:tc>
        <w:tc>
          <w:tcPr>
            <w:tcW w:w="1339" w:type="dxa"/>
            <w:vAlign w:val="center"/>
          </w:tcPr>
          <w:p w14:paraId="1ED1E421" w14:textId="74E266BD"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Maharashtra</w:t>
            </w:r>
          </w:p>
        </w:tc>
        <w:tc>
          <w:tcPr>
            <w:tcW w:w="896" w:type="dxa"/>
            <w:vAlign w:val="center"/>
          </w:tcPr>
          <w:p w14:paraId="75297C29" w14:textId="2C8C6177"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11553.94</w:t>
            </w:r>
          </w:p>
        </w:tc>
        <w:tc>
          <w:tcPr>
            <w:tcW w:w="963" w:type="dxa"/>
            <w:vAlign w:val="center"/>
          </w:tcPr>
          <w:p w14:paraId="538D173F" w14:textId="2083CF0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15796.15</w:t>
            </w:r>
          </w:p>
        </w:tc>
        <w:tc>
          <w:tcPr>
            <w:tcW w:w="1440" w:type="dxa"/>
            <w:vAlign w:val="center"/>
          </w:tcPr>
          <w:p w14:paraId="66C1AA85" w14:textId="7BA8F26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4242.21</w:t>
            </w:r>
          </w:p>
        </w:tc>
        <w:tc>
          <w:tcPr>
            <w:tcW w:w="982" w:type="dxa"/>
            <w:vAlign w:val="center"/>
          </w:tcPr>
          <w:p w14:paraId="2EB799F7" w14:textId="1B67B36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36.72</w:t>
            </w:r>
          </w:p>
        </w:tc>
        <w:tc>
          <w:tcPr>
            <w:tcW w:w="984" w:type="dxa"/>
            <w:vAlign w:val="center"/>
          </w:tcPr>
          <w:p w14:paraId="549A76EA" w14:textId="745B595A"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16.40</w:t>
            </w:r>
          </w:p>
        </w:tc>
        <w:tc>
          <w:tcPr>
            <w:tcW w:w="965" w:type="dxa"/>
            <w:vAlign w:val="center"/>
          </w:tcPr>
          <w:p w14:paraId="44D0D536" w14:textId="6F7FBC17"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22.42</w:t>
            </w:r>
          </w:p>
        </w:tc>
        <w:tc>
          <w:tcPr>
            <w:tcW w:w="922" w:type="dxa"/>
            <w:vAlign w:val="center"/>
          </w:tcPr>
          <w:p w14:paraId="1A90492B" w14:textId="125FBBD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6.02</w:t>
            </w:r>
          </w:p>
        </w:tc>
      </w:tr>
      <w:tr w:rsidR="003C314C" w:rsidRPr="009F214D" w14:paraId="5344A048" w14:textId="77777777" w:rsidTr="00B933C9">
        <w:trPr>
          <w:trHeight w:val="20"/>
          <w:jc w:val="center"/>
        </w:trPr>
        <w:tc>
          <w:tcPr>
            <w:tcW w:w="581" w:type="dxa"/>
            <w:vAlign w:val="center"/>
          </w:tcPr>
          <w:p w14:paraId="5C74D297" w14:textId="0AC5C37A"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9</w:t>
            </w:r>
          </w:p>
        </w:tc>
        <w:tc>
          <w:tcPr>
            <w:tcW w:w="1339" w:type="dxa"/>
            <w:vAlign w:val="center"/>
          </w:tcPr>
          <w:p w14:paraId="08BFC034" w14:textId="5FE8D737"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Orissa</w:t>
            </w:r>
          </w:p>
        </w:tc>
        <w:tc>
          <w:tcPr>
            <w:tcW w:w="896" w:type="dxa"/>
            <w:vAlign w:val="center"/>
          </w:tcPr>
          <w:p w14:paraId="3F3D3A19" w14:textId="0295462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6973.05</w:t>
            </w:r>
          </w:p>
        </w:tc>
        <w:tc>
          <w:tcPr>
            <w:tcW w:w="963" w:type="dxa"/>
            <w:vAlign w:val="center"/>
          </w:tcPr>
          <w:p w14:paraId="2AEA9532" w14:textId="33B1129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5830.55</w:t>
            </w:r>
          </w:p>
        </w:tc>
        <w:tc>
          <w:tcPr>
            <w:tcW w:w="1440" w:type="dxa"/>
            <w:vAlign w:val="center"/>
          </w:tcPr>
          <w:p w14:paraId="046A56EA" w14:textId="2B23358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-1142.50</w:t>
            </w:r>
          </w:p>
        </w:tc>
        <w:tc>
          <w:tcPr>
            <w:tcW w:w="982" w:type="dxa"/>
            <w:vAlign w:val="center"/>
          </w:tcPr>
          <w:p w14:paraId="7E9507E0" w14:textId="00CA3506"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-16.38</w:t>
            </w:r>
          </w:p>
        </w:tc>
        <w:tc>
          <w:tcPr>
            <w:tcW w:w="984" w:type="dxa"/>
            <w:vAlign w:val="center"/>
          </w:tcPr>
          <w:p w14:paraId="365C1768" w14:textId="6860CFA4"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23.91</w:t>
            </w:r>
          </w:p>
        </w:tc>
        <w:tc>
          <w:tcPr>
            <w:tcW w:w="965" w:type="dxa"/>
            <w:vAlign w:val="center"/>
          </w:tcPr>
          <w:p w14:paraId="05FAD484" w14:textId="650AA3B7"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19.99</w:t>
            </w:r>
          </w:p>
        </w:tc>
        <w:tc>
          <w:tcPr>
            <w:tcW w:w="922" w:type="dxa"/>
            <w:vAlign w:val="center"/>
          </w:tcPr>
          <w:p w14:paraId="02B7765E" w14:textId="64378051"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-3.92</w:t>
            </w:r>
          </w:p>
        </w:tc>
      </w:tr>
      <w:tr w:rsidR="003C314C" w:rsidRPr="009F214D" w14:paraId="49D7FAE7" w14:textId="77777777" w:rsidTr="00B933C9">
        <w:trPr>
          <w:trHeight w:val="20"/>
          <w:jc w:val="center"/>
        </w:trPr>
        <w:tc>
          <w:tcPr>
            <w:tcW w:w="581" w:type="dxa"/>
            <w:vAlign w:val="center"/>
          </w:tcPr>
          <w:p w14:paraId="4A106FB7" w14:textId="7DC1549E"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10</w:t>
            </w:r>
          </w:p>
        </w:tc>
        <w:tc>
          <w:tcPr>
            <w:tcW w:w="1339" w:type="dxa"/>
            <w:vAlign w:val="center"/>
          </w:tcPr>
          <w:p w14:paraId="739A9AE4" w14:textId="7CD83665"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Punjab</w:t>
            </w:r>
          </w:p>
        </w:tc>
        <w:tc>
          <w:tcPr>
            <w:tcW w:w="896" w:type="dxa"/>
            <w:vAlign w:val="center"/>
          </w:tcPr>
          <w:p w14:paraId="0D350DC0" w14:textId="0DABAA6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3237.00</w:t>
            </w:r>
          </w:p>
        </w:tc>
        <w:tc>
          <w:tcPr>
            <w:tcW w:w="963" w:type="dxa"/>
            <w:vAlign w:val="center"/>
          </w:tcPr>
          <w:p w14:paraId="475D2809" w14:textId="0DB589B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4007.01</w:t>
            </w:r>
          </w:p>
        </w:tc>
        <w:tc>
          <w:tcPr>
            <w:tcW w:w="1440" w:type="dxa"/>
            <w:vAlign w:val="center"/>
          </w:tcPr>
          <w:p w14:paraId="5BD5BE54" w14:textId="0871DA5A"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770.01</w:t>
            </w:r>
          </w:p>
        </w:tc>
        <w:tc>
          <w:tcPr>
            <w:tcW w:w="982" w:type="dxa"/>
            <w:vAlign w:val="center"/>
          </w:tcPr>
          <w:p w14:paraId="31F38D49" w14:textId="12D2552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23.79</w:t>
            </w:r>
          </w:p>
        </w:tc>
        <w:tc>
          <w:tcPr>
            <w:tcW w:w="984" w:type="dxa"/>
            <w:vAlign w:val="center"/>
          </w:tcPr>
          <w:p w14:paraId="677FEB28" w14:textId="2A18DA2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17.31</w:t>
            </w:r>
          </w:p>
        </w:tc>
        <w:tc>
          <w:tcPr>
            <w:tcW w:w="965" w:type="dxa"/>
            <w:vAlign w:val="center"/>
          </w:tcPr>
          <w:p w14:paraId="316D3BDE" w14:textId="1676247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21.43</w:t>
            </w:r>
          </w:p>
        </w:tc>
        <w:tc>
          <w:tcPr>
            <w:tcW w:w="922" w:type="dxa"/>
            <w:vAlign w:val="center"/>
          </w:tcPr>
          <w:p w14:paraId="469E816D" w14:textId="4D61032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4.12</w:t>
            </w:r>
          </w:p>
        </w:tc>
      </w:tr>
      <w:tr w:rsidR="003C314C" w:rsidRPr="009F214D" w14:paraId="47B0B4BA" w14:textId="77777777" w:rsidTr="00B933C9">
        <w:trPr>
          <w:trHeight w:val="20"/>
          <w:jc w:val="center"/>
        </w:trPr>
        <w:tc>
          <w:tcPr>
            <w:tcW w:w="581" w:type="dxa"/>
            <w:vAlign w:val="center"/>
          </w:tcPr>
          <w:p w14:paraId="52CC3D2A" w14:textId="61121E3B"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11</w:t>
            </w:r>
          </w:p>
        </w:tc>
        <w:tc>
          <w:tcPr>
            <w:tcW w:w="1339" w:type="dxa"/>
            <w:vAlign w:val="center"/>
          </w:tcPr>
          <w:p w14:paraId="00535093" w14:textId="0F1EB566"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Rajasthan</w:t>
            </w:r>
          </w:p>
        </w:tc>
        <w:tc>
          <w:tcPr>
            <w:tcW w:w="896" w:type="dxa"/>
            <w:vAlign w:val="center"/>
          </w:tcPr>
          <w:p w14:paraId="1746C27D" w14:textId="2821B61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4645.99</w:t>
            </w:r>
          </w:p>
        </w:tc>
        <w:tc>
          <w:tcPr>
            <w:tcW w:w="963" w:type="dxa"/>
            <w:vAlign w:val="center"/>
          </w:tcPr>
          <w:p w14:paraId="109FF9E6" w14:textId="305448E2"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7409.09</w:t>
            </w:r>
          </w:p>
        </w:tc>
        <w:tc>
          <w:tcPr>
            <w:tcW w:w="1440" w:type="dxa"/>
            <w:vAlign w:val="center"/>
          </w:tcPr>
          <w:p w14:paraId="6442AF25" w14:textId="2C7CD17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2763.10</w:t>
            </w:r>
          </w:p>
        </w:tc>
        <w:tc>
          <w:tcPr>
            <w:tcW w:w="982" w:type="dxa"/>
            <w:vAlign w:val="center"/>
          </w:tcPr>
          <w:p w14:paraId="6D46127C" w14:textId="4B7D2B2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59.47</w:t>
            </w:r>
          </w:p>
        </w:tc>
        <w:tc>
          <w:tcPr>
            <w:tcW w:w="984" w:type="dxa"/>
            <w:vAlign w:val="center"/>
          </w:tcPr>
          <w:p w14:paraId="34400E9E" w14:textId="1BEE793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11.67</w:t>
            </w:r>
          </w:p>
        </w:tc>
        <w:tc>
          <w:tcPr>
            <w:tcW w:w="965" w:type="dxa"/>
            <w:vAlign w:val="center"/>
          </w:tcPr>
          <w:p w14:paraId="187D88B6" w14:textId="26AC6C2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18.62</w:t>
            </w:r>
          </w:p>
        </w:tc>
        <w:tc>
          <w:tcPr>
            <w:tcW w:w="922" w:type="dxa"/>
            <w:vAlign w:val="center"/>
          </w:tcPr>
          <w:p w14:paraId="22F26245" w14:textId="3FBEBB3C"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6.94</w:t>
            </w:r>
          </w:p>
        </w:tc>
      </w:tr>
      <w:tr w:rsidR="003C314C" w:rsidRPr="009F214D" w14:paraId="349E476A" w14:textId="77777777" w:rsidTr="00B933C9">
        <w:trPr>
          <w:trHeight w:val="20"/>
          <w:jc w:val="center"/>
        </w:trPr>
        <w:tc>
          <w:tcPr>
            <w:tcW w:w="581" w:type="dxa"/>
            <w:vAlign w:val="center"/>
          </w:tcPr>
          <w:p w14:paraId="7AA7F2D8" w14:textId="37267E22"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12</w:t>
            </w:r>
          </w:p>
        </w:tc>
        <w:tc>
          <w:tcPr>
            <w:tcW w:w="1339" w:type="dxa"/>
            <w:vAlign w:val="center"/>
          </w:tcPr>
          <w:p w14:paraId="181C4A9F" w14:textId="5AC1A2E9"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Tamil Nadu</w:t>
            </w:r>
          </w:p>
        </w:tc>
        <w:tc>
          <w:tcPr>
            <w:tcW w:w="896" w:type="dxa"/>
            <w:vAlign w:val="center"/>
          </w:tcPr>
          <w:p w14:paraId="10677CDF" w14:textId="5193A63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13148.99</w:t>
            </w:r>
          </w:p>
        </w:tc>
        <w:tc>
          <w:tcPr>
            <w:tcW w:w="963" w:type="dxa"/>
            <w:vAlign w:val="center"/>
          </w:tcPr>
          <w:p w14:paraId="6D2E38F2" w14:textId="285BDF66"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11250.59</w:t>
            </w:r>
          </w:p>
        </w:tc>
        <w:tc>
          <w:tcPr>
            <w:tcW w:w="1440" w:type="dxa"/>
            <w:vAlign w:val="center"/>
          </w:tcPr>
          <w:p w14:paraId="214B9620" w14:textId="679622F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-1898.40</w:t>
            </w:r>
          </w:p>
        </w:tc>
        <w:tc>
          <w:tcPr>
            <w:tcW w:w="982" w:type="dxa"/>
            <w:vAlign w:val="center"/>
          </w:tcPr>
          <w:p w14:paraId="6BCB06FD" w14:textId="05C878E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-14.44</w:t>
            </w:r>
          </w:p>
        </w:tc>
        <w:tc>
          <w:tcPr>
            <w:tcW w:w="984" w:type="dxa"/>
            <w:vAlign w:val="center"/>
          </w:tcPr>
          <w:p w14:paraId="66D80F0B" w14:textId="76D33CF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24.78</w:t>
            </w:r>
          </w:p>
        </w:tc>
        <w:tc>
          <w:tcPr>
            <w:tcW w:w="965" w:type="dxa"/>
            <w:vAlign w:val="center"/>
          </w:tcPr>
          <w:p w14:paraId="09C61202" w14:textId="20D5A92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21.21</w:t>
            </w:r>
          </w:p>
        </w:tc>
        <w:tc>
          <w:tcPr>
            <w:tcW w:w="922" w:type="dxa"/>
            <w:vAlign w:val="center"/>
          </w:tcPr>
          <w:p w14:paraId="0EAD979E" w14:textId="3FC79257"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-3.58</w:t>
            </w:r>
          </w:p>
        </w:tc>
      </w:tr>
      <w:tr w:rsidR="003C314C" w:rsidRPr="009F214D" w14:paraId="355EBF84" w14:textId="77777777" w:rsidTr="00B933C9">
        <w:trPr>
          <w:trHeight w:val="20"/>
          <w:jc w:val="center"/>
        </w:trPr>
        <w:tc>
          <w:tcPr>
            <w:tcW w:w="581" w:type="dxa"/>
            <w:vAlign w:val="center"/>
          </w:tcPr>
          <w:p w14:paraId="237BC8A4" w14:textId="0EE60731"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13</w:t>
            </w:r>
          </w:p>
        </w:tc>
        <w:tc>
          <w:tcPr>
            <w:tcW w:w="1339" w:type="dxa"/>
            <w:vAlign w:val="center"/>
          </w:tcPr>
          <w:p w14:paraId="5ECCEEC1" w14:textId="29AEAD48"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Uttar Pradesh</w:t>
            </w:r>
          </w:p>
        </w:tc>
        <w:tc>
          <w:tcPr>
            <w:tcW w:w="896" w:type="dxa"/>
            <w:vAlign w:val="center"/>
          </w:tcPr>
          <w:p w14:paraId="76F03E46" w14:textId="2D3A6BC3"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18059.02</w:t>
            </w:r>
          </w:p>
        </w:tc>
        <w:tc>
          <w:tcPr>
            <w:tcW w:w="963" w:type="dxa"/>
            <w:vAlign w:val="center"/>
          </w:tcPr>
          <w:p w14:paraId="7991ED4D" w14:textId="3544F20E"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20983.01</w:t>
            </w:r>
          </w:p>
        </w:tc>
        <w:tc>
          <w:tcPr>
            <w:tcW w:w="1440" w:type="dxa"/>
            <w:vAlign w:val="center"/>
          </w:tcPr>
          <w:p w14:paraId="6E499623" w14:textId="3106D13D"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2923.99</w:t>
            </w:r>
          </w:p>
        </w:tc>
        <w:tc>
          <w:tcPr>
            <w:tcW w:w="982" w:type="dxa"/>
            <w:vAlign w:val="center"/>
          </w:tcPr>
          <w:p w14:paraId="18119D9A" w14:textId="6D95D5F1"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16.19</w:t>
            </w:r>
          </w:p>
        </w:tc>
        <w:tc>
          <w:tcPr>
            <w:tcW w:w="984" w:type="dxa"/>
            <w:vAlign w:val="center"/>
          </w:tcPr>
          <w:p w14:paraId="76D7CB2C" w14:textId="283D7504"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14.50</w:t>
            </w:r>
          </w:p>
        </w:tc>
        <w:tc>
          <w:tcPr>
            <w:tcW w:w="965" w:type="dxa"/>
            <w:vAlign w:val="center"/>
          </w:tcPr>
          <w:p w14:paraId="4F9A59F5" w14:textId="58BED4AC"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16.85</w:t>
            </w:r>
          </w:p>
        </w:tc>
        <w:tc>
          <w:tcPr>
            <w:tcW w:w="922" w:type="dxa"/>
            <w:vAlign w:val="center"/>
          </w:tcPr>
          <w:p w14:paraId="6F79F952" w14:textId="2BF1A97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2.35</w:t>
            </w:r>
          </w:p>
        </w:tc>
      </w:tr>
      <w:tr w:rsidR="003C314C" w:rsidRPr="009F214D" w14:paraId="1C5F4471" w14:textId="77777777" w:rsidTr="00B933C9">
        <w:trPr>
          <w:trHeight w:val="20"/>
          <w:jc w:val="center"/>
        </w:trPr>
        <w:tc>
          <w:tcPr>
            <w:tcW w:w="581" w:type="dxa"/>
            <w:vAlign w:val="center"/>
          </w:tcPr>
          <w:p w14:paraId="590C20D0" w14:textId="0DD1606C"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14</w:t>
            </w:r>
          </w:p>
        </w:tc>
        <w:tc>
          <w:tcPr>
            <w:tcW w:w="1339" w:type="dxa"/>
            <w:vAlign w:val="center"/>
          </w:tcPr>
          <w:p w14:paraId="4153C22D" w14:textId="346CB9A5"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sz w:val="16"/>
                <w:szCs w:val="16"/>
              </w:rPr>
              <w:t>West Bengal</w:t>
            </w:r>
          </w:p>
        </w:tc>
        <w:tc>
          <w:tcPr>
            <w:tcW w:w="896" w:type="dxa"/>
            <w:vAlign w:val="center"/>
          </w:tcPr>
          <w:p w14:paraId="454D006E" w14:textId="4A1AC17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10483.01</w:t>
            </w:r>
          </w:p>
        </w:tc>
        <w:tc>
          <w:tcPr>
            <w:tcW w:w="963" w:type="dxa"/>
            <w:vAlign w:val="center"/>
          </w:tcPr>
          <w:p w14:paraId="36164BC3" w14:textId="7F7BBF0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8675.66</w:t>
            </w:r>
          </w:p>
        </w:tc>
        <w:tc>
          <w:tcPr>
            <w:tcW w:w="1440" w:type="dxa"/>
            <w:vAlign w:val="center"/>
          </w:tcPr>
          <w:p w14:paraId="10653C7A" w14:textId="495B509F"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-1807.35</w:t>
            </w:r>
          </w:p>
        </w:tc>
        <w:tc>
          <w:tcPr>
            <w:tcW w:w="982" w:type="dxa"/>
            <w:vAlign w:val="center"/>
          </w:tcPr>
          <w:p w14:paraId="16CDD67C" w14:textId="4F30B3B6"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-17.24</w:t>
            </w:r>
          </w:p>
        </w:tc>
        <w:tc>
          <w:tcPr>
            <w:tcW w:w="984" w:type="dxa"/>
            <w:vAlign w:val="center"/>
          </w:tcPr>
          <w:p w14:paraId="71AA156E" w14:textId="1A6B1FB1"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17.21</w:t>
            </w:r>
          </w:p>
        </w:tc>
        <w:tc>
          <w:tcPr>
            <w:tcW w:w="965" w:type="dxa"/>
            <w:vAlign w:val="center"/>
          </w:tcPr>
          <w:p w14:paraId="25051A9E" w14:textId="1AAB8339"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14.24</w:t>
            </w:r>
          </w:p>
        </w:tc>
        <w:tc>
          <w:tcPr>
            <w:tcW w:w="922" w:type="dxa"/>
            <w:vAlign w:val="center"/>
          </w:tcPr>
          <w:p w14:paraId="4FDAEA67" w14:textId="40D5E4D8"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-2.97</w:t>
            </w:r>
          </w:p>
        </w:tc>
      </w:tr>
      <w:tr w:rsidR="003C314C" w:rsidRPr="009F214D" w14:paraId="240B5F3D" w14:textId="77777777" w:rsidTr="00B933C9">
        <w:trPr>
          <w:trHeight w:val="20"/>
          <w:jc w:val="center"/>
        </w:trPr>
        <w:tc>
          <w:tcPr>
            <w:tcW w:w="581" w:type="dxa"/>
            <w:vAlign w:val="center"/>
          </w:tcPr>
          <w:p w14:paraId="09CD6C4B" w14:textId="63515D7C"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b/>
                <w:bCs/>
                <w:sz w:val="16"/>
                <w:szCs w:val="16"/>
              </w:rPr>
              <w:t>14</w:t>
            </w:r>
          </w:p>
        </w:tc>
        <w:tc>
          <w:tcPr>
            <w:tcW w:w="1339" w:type="dxa"/>
            <w:vAlign w:val="center"/>
          </w:tcPr>
          <w:p w14:paraId="28C023A8" w14:textId="437C42FA" w:rsidR="003C314C" w:rsidRPr="008A0CEF" w:rsidRDefault="003C314C" w:rsidP="003C314C">
            <w:pPr>
              <w:tabs>
                <w:tab w:val="left" w:pos="2805"/>
              </w:tabs>
              <w:rPr>
                <w:rFonts w:ascii="Times New Roman" w:hAnsi="Times New Roman" w:cs="Times New Roman"/>
                <w:sz w:val="16"/>
                <w:szCs w:val="16"/>
              </w:rPr>
            </w:pPr>
            <w:r w:rsidRPr="008A0CEF">
              <w:rPr>
                <w:rFonts w:ascii="Times New Roman" w:hAnsi="Times New Roman" w:cs="Times New Roman"/>
                <w:b/>
                <w:bCs/>
                <w:sz w:val="16"/>
                <w:szCs w:val="16"/>
              </w:rPr>
              <w:t>Major States</w:t>
            </w:r>
          </w:p>
        </w:tc>
        <w:tc>
          <w:tcPr>
            <w:tcW w:w="896" w:type="dxa"/>
            <w:vAlign w:val="center"/>
          </w:tcPr>
          <w:p w14:paraId="6E24B686" w14:textId="11223E0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131816.87</w:t>
            </w:r>
          </w:p>
        </w:tc>
        <w:tc>
          <w:tcPr>
            <w:tcW w:w="963" w:type="dxa"/>
            <w:vAlign w:val="center"/>
          </w:tcPr>
          <w:p w14:paraId="117B325C" w14:textId="69B13CEC"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132144.88</w:t>
            </w:r>
          </w:p>
        </w:tc>
        <w:tc>
          <w:tcPr>
            <w:tcW w:w="1440" w:type="dxa"/>
            <w:vAlign w:val="center"/>
          </w:tcPr>
          <w:p w14:paraId="3E47BAAE" w14:textId="4F7B090B"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328.01</w:t>
            </w:r>
          </w:p>
        </w:tc>
        <w:tc>
          <w:tcPr>
            <w:tcW w:w="982" w:type="dxa"/>
            <w:vAlign w:val="center"/>
          </w:tcPr>
          <w:p w14:paraId="60D17515" w14:textId="3E16C6A2"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0.25</w:t>
            </w:r>
          </w:p>
        </w:tc>
        <w:tc>
          <w:tcPr>
            <w:tcW w:w="984" w:type="dxa"/>
            <w:vAlign w:val="center"/>
          </w:tcPr>
          <w:p w14:paraId="5E859898" w14:textId="0ACF1450"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18.39</w:t>
            </w:r>
          </w:p>
        </w:tc>
        <w:tc>
          <w:tcPr>
            <w:tcW w:w="965" w:type="dxa"/>
            <w:vAlign w:val="center"/>
          </w:tcPr>
          <w:p w14:paraId="463BE39F" w14:textId="454B0446"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18.44</w:t>
            </w:r>
          </w:p>
        </w:tc>
        <w:tc>
          <w:tcPr>
            <w:tcW w:w="922" w:type="dxa"/>
            <w:vAlign w:val="center"/>
          </w:tcPr>
          <w:p w14:paraId="029833E4" w14:textId="69EFC8A5" w:rsidR="003C314C" w:rsidRPr="008A0CEF" w:rsidRDefault="003C314C" w:rsidP="003C314C">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0.05</w:t>
            </w:r>
          </w:p>
        </w:tc>
      </w:tr>
      <w:tr w:rsidR="008A0CEF" w:rsidRPr="009F214D" w14:paraId="510F9863" w14:textId="77777777" w:rsidTr="00CB56DE">
        <w:trPr>
          <w:trHeight w:val="20"/>
          <w:jc w:val="center"/>
        </w:trPr>
        <w:tc>
          <w:tcPr>
            <w:tcW w:w="9072" w:type="dxa"/>
            <w:gridSpan w:val="9"/>
            <w:vAlign w:val="center"/>
          </w:tcPr>
          <w:p w14:paraId="75EE4665" w14:textId="3F1A6C68" w:rsidR="008A0CEF" w:rsidRPr="008A0CEF" w:rsidRDefault="008A0CEF" w:rsidP="003C314C">
            <w:pPr>
              <w:tabs>
                <w:tab w:val="left" w:pos="2805"/>
              </w:tabs>
              <w:jc w:val="center"/>
              <w:rPr>
                <w:rFonts w:ascii="Times New Roman" w:hAnsi="Times New Roman" w:cs="Times New Roman"/>
                <w:b/>
                <w:bCs/>
                <w:sz w:val="16"/>
                <w:szCs w:val="16"/>
              </w:rPr>
            </w:pPr>
            <w:r w:rsidRPr="0078036E">
              <w:rPr>
                <w:rFonts w:ascii="Times New Roman" w:hAnsi="Times New Roman" w:cs="Times New Roman"/>
                <w:b/>
                <w:bCs/>
                <w:sz w:val="20"/>
                <w:szCs w:val="20"/>
              </w:rPr>
              <w:t>Expenditure Category: Animal Husbandry</w:t>
            </w:r>
          </w:p>
        </w:tc>
      </w:tr>
      <w:tr w:rsidR="008A0CEF" w:rsidRPr="009F214D" w14:paraId="38C174DE" w14:textId="77777777" w:rsidTr="00B933C9">
        <w:trPr>
          <w:trHeight w:val="20"/>
          <w:jc w:val="center"/>
        </w:trPr>
        <w:tc>
          <w:tcPr>
            <w:tcW w:w="581" w:type="dxa"/>
            <w:vAlign w:val="center"/>
          </w:tcPr>
          <w:p w14:paraId="1171A8EE" w14:textId="1DD1E57B" w:rsidR="008A0CEF" w:rsidRPr="008A0CEF" w:rsidRDefault="008A0CEF" w:rsidP="008A0CEF">
            <w:pPr>
              <w:tabs>
                <w:tab w:val="left" w:pos="2805"/>
              </w:tabs>
              <w:rPr>
                <w:rFonts w:ascii="Times New Roman" w:hAnsi="Times New Roman" w:cs="Times New Roman"/>
                <w:b/>
                <w:bCs/>
                <w:sz w:val="16"/>
                <w:szCs w:val="16"/>
              </w:rPr>
            </w:pPr>
            <w:r w:rsidRPr="0078036E">
              <w:rPr>
                <w:rFonts w:ascii="Times New Roman" w:hAnsi="Times New Roman" w:cs="Times New Roman"/>
                <w:sz w:val="16"/>
                <w:szCs w:val="16"/>
              </w:rPr>
              <w:t>1</w:t>
            </w:r>
          </w:p>
        </w:tc>
        <w:tc>
          <w:tcPr>
            <w:tcW w:w="1339" w:type="dxa"/>
            <w:vAlign w:val="center"/>
          </w:tcPr>
          <w:p w14:paraId="506A7020" w14:textId="185D5303" w:rsidR="008A0CEF" w:rsidRPr="008A0CEF" w:rsidRDefault="008A0CEF" w:rsidP="008A0CEF">
            <w:pPr>
              <w:tabs>
                <w:tab w:val="left" w:pos="2805"/>
              </w:tabs>
              <w:rPr>
                <w:rFonts w:ascii="Times New Roman" w:hAnsi="Times New Roman" w:cs="Times New Roman"/>
                <w:b/>
                <w:bCs/>
                <w:sz w:val="16"/>
                <w:szCs w:val="16"/>
              </w:rPr>
            </w:pPr>
            <w:r w:rsidRPr="0078036E">
              <w:rPr>
                <w:rFonts w:ascii="Times New Roman" w:hAnsi="Times New Roman" w:cs="Times New Roman"/>
                <w:sz w:val="16"/>
                <w:szCs w:val="16"/>
              </w:rPr>
              <w:t>Andhra Pradesh</w:t>
            </w:r>
          </w:p>
        </w:tc>
        <w:tc>
          <w:tcPr>
            <w:tcW w:w="896" w:type="dxa"/>
            <w:vAlign w:val="center"/>
          </w:tcPr>
          <w:p w14:paraId="1E5C6846" w14:textId="4F465DD3"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2360.00</w:t>
            </w:r>
          </w:p>
        </w:tc>
        <w:tc>
          <w:tcPr>
            <w:tcW w:w="963" w:type="dxa"/>
            <w:vAlign w:val="center"/>
          </w:tcPr>
          <w:p w14:paraId="5A190771" w14:textId="598A4948"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2265.30</w:t>
            </w:r>
          </w:p>
        </w:tc>
        <w:tc>
          <w:tcPr>
            <w:tcW w:w="1440" w:type="dxa"/>
            <w:vAlign w:val="center"/>
          </w:tcPr>
          <w:p w14:paraId="0D3F54DE" w14:textId="292A42FF"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-94.70</w:t>
            </w:r>
          </w:p>
        </w:tc>
        <w:tc>
          <w:tcPr>
            <w:tcW w:w="982" w:type="dxa"/>
            <w:vAlign w:val="center"/>
          </w:tcPr>
          <w:p w14:paraId="51A781D1" w14:textId="5559036E"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-4.01</w:t>
            </w:r>
          </w:p>
        </w:tc>
        <w:tc>
          <w:tcPr>
            <w:tcW w:w="984" w:type="dxa"/>
            <w:vAlign w:val="center"/>
          </w:tcPr>
          <w:p w14:paraId="222C1F78" w14:textId="52E58826"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3.97</w:t>
            </w:r>
          </w:p>
        </w:tc>
        <w:tc>
          <w:tcPr>
            <w:tcW w:w="965" w:type="dxa"/>
            <w:vAlign w:val="center"/>
          </w:tcPr>
          <w:p w14:paraId="11C011B1" w14:textId="4AA4F6F1"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3.81</w:t>
            </w:r>
          </w:p>
        </w:tc>
        <w:tc>
          <w:tcPr>
            <w:tcW w:w="922" w:type="dxa"/>
            <w:vAlign w:val="center"/>
          </w:tcPr>
          <w:p w14:paraId="107377A3" w14:textId="35A24CED"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-0.16</w:t>
            </w:r>
          </w:p>
        </w:tc>
      </w:tr>
      <w:tr w:rsidR="008A0CEF" w:rsidRPr="009F214D" w14:paraId="537385A7" w14:textId="77777777" w:rsidTr="00B933C9">
        <w:trPr>
          <w:trHeight w:val="20"/>
          <w:jc w:val="center"/>
        </w:trPr>
        <w:tc>
          <w:tcPr>
            <w:tcW w:w="581" w:type="dxa"/>
            <w:vAlign w:val="center"/>
          </w:tcPr>
          <w:p w14:paraId="5501B2E6" w14:textId="11DB364E"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2</w:t>
            </w:r>
          </w:p>
        </w:tc>
        <w:tc>
          <w:tcPr>
            <w:tcW w:w="1339" w:type="dxa"/>
            <w:vAlign w:val="center"/>
          </w:tcPr>
          <w:p w14:paraId="3D3905BC" w14:textId="21BF11A0"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Bihar</w:t>
            </w:r>
          </w:p>
        </w:tc>
        <w:tc>
          <w:tcPr>
            <w:tcW w:w="896" w:type="dxa"/>
            <w:vAlign w:val="center"/>
          </w:tcPr>
          <w:p w14:paraId="4F9DD184" w14:textId="3A13DEF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2516.00</w:t>
            </w:r>
          </w:p>
        </w:tc>
        <w:tc>
          <w:tcPr>
            <w:tcW w:w="963" w:type="dxa"/>
            <w:vAlign w:val="center"/>
          </w:tcPr>
          <w:p w14:paraId="747B9515" w14:textId="275CD01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1959.33</w:t>
            </w:r>
          </w:p>
        </w:tc>
        <w:tc>
          <w:tcPr>
            <w:tcW w:w="1440" w:type="dxa"/>
            <w:vAlign w:val="center"/>
          </w:tcPr>
          <w:p w14:paraId="4413488E" w14:textId="2EA8DF7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-556.67</w:t>
            </w:r>
          </w:p>
        </w:tc>
        <w:tc>
          <w:tcPr>
            <w:tcW w:w="982" w:type="dxa"/>
            <w:vAlign w:val="center"/>
          </w:tcPr>
          <w:p w14:paraId="32D3483A" w14:textId="1F90FC5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-22.13</w:t>
            </w:r>
          </w:p>
        </w:tc>
        <w:tc>
          <w:tcPr>
            <w:tcW w:w="984" w:type="dxa"/>
            <w:vAlign w:val="center"/>
          </w:tcPr>
          <w:p w14:paraId="6E86AE56" w14:textId="182E87D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3.20</w:t>
            </w:r>
          </w:p>
        </w:tc>
        <w:tc>
          <w:tcPr>
            <w:tcW w:w="965" w:type="dxa"/>
            <w:vAlign w:val="center"/>
          </w:tcPr>
          <w:p w14:paraId="3FDB0E35" w14:textId="4C1D962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2.49</w:t>
            </w:r>
          </w:p>
        </w:tc>
        <w:tc>
          <w:tcPr>
            <w:tcW w:w="922" w:type="dxa"/>
            <w:vAlign w:val="center"/>
          </w:tcPr>
          <w:p w14:paraId="51BCCF8F" w14:textId="26160A3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-0.71</w:t>
            </w:r>
          </w:p>
        </w:tc>
      </w:tr>
      <w:tr w:rsidR="008A0CEF" w:rsidRPr="009F214D" w14:paraId="548E126C" w14:textId="77777777" w:rsidTr="00B933C9">
        <w:trPr>
          <w:trHeight w:val="20"/>
          <w:jc w:val="center"/>
        </w:trPr>
        <w:tc>
          <w:tcPr>
            <w:tcW w:w="581" w:type="dxa"/>
            <w:vAlign w:val="center"/>
          </w:tcPr>
          <w:p w14:paraId="4D67A690" w14:textId="6965988A"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3</w:t>
            </w:r>
          </w:p>
        </w:tc>
        <w:tc>
          <w:tcPr>
            <w:tcW w:w="1339" w:type="dxa"/>
            <w:vAlign w:val="center"/>
          </w:tcPr>
          <w:p w14:paraId="1C6DB1BD" w14:textId="7999E821"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Gujarat</w:t>
            </w:r>
          </w:p>
        </w:tc>
        <w:tc>
          <w:tcPr>
            <w:tcW w:w="896" w:type="dxa"/>
            <w:vAlign w:val="center"/>
          </w:tcPr>
          <w:p w14:paraId="374867D1" w14:textId="206B3FD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1227.98</w:t>
            </w:r>
          </w:p>
        </w:tc>
        <w:tc>
          <w:tcPr>
            <w:tcW w:w="963" w:type="dxa"/>
            <w:vAlign w:val="center"/>
          </w:tcPr>
          <w:p w14:paraId="6FC393B1" w14:textId="4D7BD1E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1346.05</w:t>
            </w:r>
          </w:p>
        </w:tc>
        <w:tc>
          <w:tcPr>
            <w:tcW w:w="1440" w:type="dxa"/>
            <w:vAlign w:val="center"/>
          </w:tcPr>
          <w:p w14:paraId="3D05D42E" w14:textId="22312FE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118.07</w:t>
            </w:r>
          </w:p>
        </w:tc>
        <w:tc>
          <w:tcPr>
            <w:tcW w:w="982" w:type="dxa"/>
            <w:vAlign w:val="center"/>
          </w:tcPr>
          <w:p w14:paraId="23A9AB53" w14:textId="5406F98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9.61</w:t>
            </w:r>
          </w:p>
        </w:tc>
        <w:tc>
          <w:tcPr>
            <w:tcW w:w="984" w:type="dxa"/>
            <w:vAlign w:val="center"/>
          </w:tcPr>
          <w:p w14:paraId="3F1E54FC" w14:textId="2AA040C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3.22</w:t>
            </w:r>
          </w:p>
        </w:tc>
        <w:tc>
          <w:tcPr>
            <w:tcW w:w="965" w:type="dxa"/>
            <w:vAlign w:val="center"/>
          </w:tcPr>
          <w:p w14:paraId="09AF2C7B" w14:textId="60E2191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3.53</w:t>
            </w:r>
          </w:p>
        </w:tc>
        <w:tc>
          <w:tcPr>
            <w:tcW w:w="922" w:type="dxa"/>
            <w:vAlign w:val="center"/>
          </w:tcPr>
          <w:p w14:paraId="204A1180" w14:textId="5CE9586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0.31</w:t>
            </w:r>
          </w:p>
        </w:tc>
      </w:tr>
      <w:tr w:rsidR="008A0CEF" w:rsidRPr="009F214D" w14:paraId="5F0B6A1A" w14:textId="77777777" w:rsidTr="00B933C9">
        <w:trPr>
          <w:trHeight w:val="20"/>
          <w:jc w:val="center"/>
        </w:trPr>
        <w:tc>
          <w:tcPr>
            <w:tcW w:w="581" w:type="dxa"/>
            <w:vAlign w:val="center"/>
          </w:tcPr>
          <w:p w14:paraId="0E8280BD" w14:textId="53F254C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4</w:t>
            </w:r>
          </w:p>
        </w:tc>
        <w:tc>
          <w:tcPr>
            <w:tcW w:w="1339" w:type="dxa"/>
            <w:vAlign w:val="center"/>
          </w:tcPr>
          <w:p w14:paraId="3F918AB5" w14:textId="12AABD92"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Haryana</w:t>
            </w:r>
          </w:p>
        </w:tc>
        <w:tc>
          <w:tcPr>
            <w:tcW w:w="896" w:type="dxa"/>
            <w:vAlign w:val="center"/>
          </w:tcPr>
          <w:p w14:paraId="4D83167F" w14:textId="3B373FC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892.97</w:t>
            </w:r>
          </w:p>
        </w:tc>
        <w:tc>
          <w:tcPr>
            <w:tcW w:w="963" w:type="dxa"/>
            <w:vAlign w:val="center"/>
          </w:tcPr>
          <w:p w14:paraId="3902F0AF" w14:textId="5195FEB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962.87</w:t>
            </w:r>
          </w:p>
        </w:tc>
        <w:tc>
          <w:tcPr>
            <w:tcW w:w="1440" w:type="dxa"/>
            <w:vAlign w:val="center"/>
          </w:tcPr>
          <w:p w14:paraId="40D84EA7" w14:textId="025AB63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69.90</w:t>
            </w:r>
          </w:p>
        </w:tc>
        <w:tc>
          <w:tcPr>
            <w:tcW w:w="982" w:type="dxa"/>
            <w:vAlign w:val="center"/>
          </w:tcPr>
          <w:p w14:paraId="454E37C8" w14:textId="6D0DF54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7.83</w:t>
            </w:r>
          </w:p>
        </w:tc>
        <w:tc>
          <w:tcPr>
            <w:tcW w:w="984" w:type="dxa"/>
            <w:vAlign w:val="center"/>
          </w:tcPr>
          <w:p w14:paraId="64BEC8B3" w14:textId="4B86E08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5.94</w:t>
            </w:r>
          </w:p>
        </w:tc>
        <w:tc>
          <w:tcPr>
            <w:tcW w:w="965" w:type="dxa"/>
            <w:vAlign w:val="center"/>
          </w:tcPr>
          <w:p w14:paraId="06265B17" w14:textId="1060C66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6.41</w:t>
            </w:r>
          </w:p>
        </w:tc>
        <w:tc>
          <w:tcPr>
            <w:tcW w:w="922" w:type="dxa"/>
            <w:vAlign w:val="center"/>
          </w:tcPr>
          <w:p w14:paraId="08812F97" w14:textId="6BA8471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0.47</w:t>
            </w:r>
          </w:p>
        </w:tc>
      </w:tr>
      <w:tr w:rsidR="008A0CEF" w:rsidRPr="009F214D" w14:paraId="19C11A66" w14:textId="77777777" w:rsidTr="00B933C9">
        <w:trPr>
          <w:trHeight w:val="20"/>
          <w:jc w:val="center"/>
        </w:trPr>
        <w:tc>
          <w:tcPr>
            <w:tcW w:w="581" w:type="dxa"/>
            <w:vAlign w:val="center"/>
          </w:tcPr>
          <w:p w14:paraId="15F7BCE0" w14:textId="201E804A"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5</w:t>
            </w:r>
          </w:p>
        </w:tc>
        <w:tc>
          <w:tcPr>
            <w:tcW w:w="1339" w:type="dxa"/>
            <w:vAlign w:val="center"/>
          </w:tcPr>
          <w:p w14:paraId="5C159259" w14:textId="4D2C6A6D"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Karnataka</w:t>
            </w:r>
          </w:p>
        </w:tc>
        <w:tc>
          <w:tcPr>
            <w:tcW w:w="896" w:type="dxa"/>
            <w:vAlign w:val="center"/>
          </w:tcPr>
          <w:p w14:paraId="429C4A48" w14:textId="3BFBC5B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1548.00</w:t>
            </w:r>
          </w:p>
        </w:tc>
        <w:tc>
          <w:tcPr>
            <w:tcW w:w="963" w:type="dxa"/>
            <w:vAlign w:val="center"/>
          </w:tcPr>
          <w:p w14:paraId="00DA7FDB" w14:textId="44DDE45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1793.88</w:t>
            </w:r>
          </w:p>
        </w:tc>
        <w:tc>
          <w:tcPr>
            <w:tcW w:w="1440" w:type="dxa"/>
            <w:vAlign w:val="center"/>
          </w:tcPr>
          <w:p w14:paraId="5967A3E9" w14:textId="0F8CA62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245.88</w:t>
            </w:r>
          </w:p>
        </w:tc>
        <w:tc>
          <w:tcPr>
            <w:tcW w:w="982" w:type="dxa"/>
            <w:vAlign w:val="center"/>
          </w:tcPr>
          <w:p w14:paraId="78081A0D" w14:textId="21D019B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15.88</w:t>
            </w:r>
          </w:p>
        </w:tc>
        <w:tc>
          <w:tcPr>
            <w:tcW w:w="984" w:type="dxa"/>
            <w:vAlign w:val="center"/>
          </w:tcPr>
          <w:p w14:paraId="69DC6C6A" w14:textId="4778382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3.70</w:t>
            </w:r>
          </w:p>
        </w:tc>
        <w:tc>
          <w:tcPr>
            <w:tcW w:w="965" w:type="dxa"/>
            <w:vAlign w:val="center"/>
          </w:tcPr>
          <w:p w14:paraId="48381CE9" w14:textId="6A0E4D5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4.29</w:t>
            </w:r>
          </w:p>
        </w:tc>
        <w:tc>
          <w:tcPr>
            <w:tcW w:w="922" w:type="dxa"/>
            <w:vAlign w:val="center"/>
          </w:tcPr>
          <w:p w14:paraId="2BBA00E5" w14:textId="41B9C60B"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0.59</w:t>
            </w:r>
          </w:p>
        </w:tc>
      </w:tr>
      <w:tr w:rsidR="008A0CEF" w:rsidRPr="009F214D" w14:paraId="05D1C1CC" w14:textId="77777777" w:rsidTr="00B933C9">
        <w:trPr>
          <w:trHeight w:val="20"/>
          <w:jc w:val="center"/>
        </w:trPr>
        <w:tc>
          <w:tcPr>
            <w:tcW w:w="581" w:type="dxa"/>
            <w:vAlign w:val="center"/>
          </w:tcPr>
          <w:p w14:paraId="4D048D3E" w14:textId="5B04631C"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6</w:t>
            </w:r>
          </w:p>
        </w:tc>
        <w:tc>
          <w:tcPr>
            <w:tcW w:w="1339" w:type="dxa"/>
            <w:vAlign w:val="center"/>
          </w:tcPr>
          <w:p w14:paraId="42AB5F9C" w14:textId="525B0542"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Kerala</w:t>
            </w:r>
          </w:p>
        </w:tc>
        <w:tc>
          <w:tcPr>
            <w:tcW w:w="896" w:type="dxa"/>
            <w:vAlign w:val="center"/>
          </w:tcPr>
          <w:p w14:paraId="437FC694" w14:textId="08E597E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1059.99</w:t>
            </w:r>
          </w:p>
        </w:tc>
        <w:tc>
          <w:tcPr>
            <w:tcW w:w="963" w:type="dxa"/>
            <w:vAlign w:val="center"/>
          </w:tcPr>
          <w:p w14:paraId="17F1EC9E" w14:textId="6B0089F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969.38</w:t>
            </w:r>
          </w:p>
        </w:tc>
        <w:tc>
          <w:tcPr>
            <w:tcW w:w="1440" w:type="dxa"/>
            <w:vAlign w:val="center"/>
          </w:tcPr>
          <w:p w14:paraId="370F1C80" w14:textId="0EB908B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-90.61</w:t>
            </w:r>
          </w:p>
        </w:tc>
        <w:tc>
          <w:tcPr>
            <w:tcW w:w="982" w:type="dxa"/>
            <w:vAlign w:val="center"/>
          </w:tcPr>
          <w:p w14:paraId="59C52FB1" w14:textId="6B91365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-8.55</w:t>
            </w:r>
          </w:p>
        </w:tc>
        <w:tc>
          <w:tcPr>
            <w:tcW w:w="984" w:type="dxa"/>
            <w:vAlign w:val="center"/>
          </w:tcPr>
          <w:p w14:paraId="7CC3874B" w14:textId="3CDF89B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3.77</w:t>
            </w:r>
          </w:p>
        </w:tc>
        <w:tc>
          <w:tcPr>
            <w:tcW w:w="965" w:type="dxa"/>
            <w:vAlign w:val="center"/>
          </w:tcPr>
          <w:p w14:paraId="742A3AF5" w14:textId="66B31C1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3.45</w:t>
            </w:r>
          </w:p>
        </w:tc>
        <w:tc>
          <w:tcPr>
            <w:tcW w:w="922" w:type="dxa"/>
            <w:vAlign w:val="center"/>
          </w:tcPr>
          <w:p w14:paraId="1324CCCE" w14:textId="0049FD7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-0.32</w:t>
            </w:r>
          </w:p>
        </w:tc>
      </w:tr>
      <w:tr w:rsidR="008A0CEF" w:rsidRPr="009F214D" w14:paraId="61E69A1B" w14:textId="77777777" w:rsidTr="00B933C9">
        <w:trPr>
          <w:trHeight w:val="20"/>
          <w:jc w:val="center"/>
        </w:trPr>
        <w:tc>
          <w:tcPr>
            <w:tcW w:w="581" w:type="dxa"/>
            <w:vAlign w:val="center"/>
          </w:tcPr>
          <w:p w14:paraId="7768AE65" w14:textId="66B2DE6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7</w:t>
            </w:r>
          </w:p>
        </w:tc>
        <w:tc>
          <w:tcPr>
            <w:tcW w:w="1339" w:type="dxa"/>
            <w:vAlign w:val="center"/>
          </w:tcPr>
          <w:p w14:paraId="05F74963" w14:textId="770A8156"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Madhya Pradesh</w:t>
            </w:r>
          </w:p>
        </w:tc>
        <w:tc>
          <w:tcPr>
            <w:tcW w:w="896" w:type="dxa"/>
            <w:vAlign w:val="center"/>
          </w:tcPr>
          <w:p w14:paraId="7AC715A1" w14:textId="6910A65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2464.00</w:t>
            </w:r>
          </w:p>
        </w:tc>
        <w:tc>
          <w:tcPr>
            <w:tcW w:w="963" w:type="dxa"/>
            <w:vAlign w:val="center"/>
          </w:tcPr>
          <w:p w14:paraId="4295CA4F" w14:textId="3ECB542B"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2985.81</w:t>
            </w:r>
          </w:p>
        </w:tc>
        <w:tc>
          <w:tcPr>
            <w:tcW w:w="1440" w:type="dxa"/>
            <w:vAlign w:val="center"/>
          </w:tcPr>
          <w:p w14:paraId="077F0641" w14:textId="1968BE4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521.80</w:t>
            </w:r>
          </w:p>
        </w:tc>
        <w:tc>
          <w:tcPr>
            <w:tcW w:w="982" w:type="dxa"/>
            <w:vAlign w:val="center"/>
          </w:tcPr>
          <w:p w14:paraId="2F1F9F04" w14:textId="62597127"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21.18</w:t>
            </w:r>
          </w:p>
        </w:tc>
        <w:tc>
          <w:tcPr>
            <w:tcW w:w="984" w:type="dxa"/>
            <w:vAlign w:val="center"/>
          </w:tcPr>
          <w:p w14:paraId="6B242728" w14:textId="1C56D59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4.18</w:t>
            </w:r>
          </w:p>
        </w:tc>
        <w:tc>
          <w:tcPr>
            <w:tcW w:w="965" w:type="dxa"/>
            <w:vAlign w:val="center"/>
          </w:tcPr>
          <w:p w14:paraId="64FF070A" w14:textId="4A4BBA7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5.07</w:t>
            </w:r>
          </w:p>
        </w:tc>
        <w:tc>
          <w:tcPr>
            <w:tcW w:w="922" w:type="dxa"/>
            <w:vAlign w:val="center"/>
          </w:tcPr>
          <w:p w14:paraId="26BDFED9" w14:textId="563D808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0.89</w:t>
            </w:r>
          </w:p>
        </w:tc>
      </w:tr>
      <w:tr w:rsidR="008A0CEF" w:rsidRPr="009F214D" w14:paraId="116F55B7" w14:textId="77777777" w:rsidTr="00B933C9">
        <w:trPr>
          <w:trHeight w:val="20"/>
          <w:jc w:val="center"/>
        </w:trPr>
        <w:tc>
          <w:tcPr>
            <w:tcW w:w="581" w:type="dxa"/>
            <w:vAlign w:val="center"/>
          </w:tcPr>
          <w:p w14:paraId="1ABB64CB" w14:textId="7738067F"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8</w:t>
            </w:r>
          </w:p>
        </w:tc>
        <w:tc>
          <w:tcPr>
            <w:tcW w:w="1339" w:type="dxa"/>
            <w:vAlign w:val="center"/>
          </w:tcPr>
          <w:p w14:paraId="22167FA9" w14:textId="3B5E3F1B"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Maharashtra</w:t>
            </w:r>
          </w:p>
        </w:tc>
        <w:tc>
          <w:tcPr>
            <w:tcW w:w="896" w:type="dxa"/>
            <w:vAlign w:val="center"/>
          </w:tcPr>
          <w:p w14:paraId="542C4DE9" w14:textId="29A7CA2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3051.98</w:t>
            </w:r>
          </w:p>
        </w:tc>
        <w:tc>
          <w:tcPr>
            <w:tcW w:w="963" w:type="dxa"/>
            <w:vAlign w:val="center"/>
          </w:tcPr>
          <w:p w14:paraId="42B5C37A" w14:textId="2502D76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2398.48</w:t>
            </w:r>
          </w:p>
        </w:tc>
        <w:tc>
          <w:tcPr>
            <w:tcW w:w="1440" w:type="dxa"/>
            <w:vAlign w:val="center"/>
          </w:tcPr>
          <w:p w14:paraId="5219055F" w14:textId="790DEB0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-653.50</w:t>
            </w:r>
          </w:p>
        </w:tc>
        <w:tc>
          <w:tcPr>
            <w:tcW w:w="982" w:type="dxa"/>
            <w:vAlign w:val="center"/>
          </w:tcPr>
          <w:p w14:paraId="24EFF67D" w14:textId="25FE1AE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-21.41</w:t>
            </w:r>
          </w:p>
        </w:tc>
        <w:tc>
          <w:tcPr>
            <w:tcW w:w="984" w:type="dxa"/>
            <w:vAlign w:val="center"/>
          </w:tcPr>
          <w:p w14:paraId="24CFDF3F" w14:textId="205ABB9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4.33</w:t>
            </w:r>
          </w:p>
        </w:tc>
        <w:tc>
          <w:tcPr>
            <w:tcW w:w="965" w:type="dxa"/>
            <w:vAlign w:val="center"/>
          </w:tcPr>
          <w:p w14:paraId="55B43273" w14:textId="53DBD8D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3.40</w:t>
            </w:r>
          </w:p>
        </w:tc>
        <w:tc>
          <w:tcPr>
            <w:tcW w:w="922" w:type="dxa"/>
            <w:vAlign w:val="center"/>
          </w:tcPr>
          <w:p w14:paraId="7D005950" w14:textId="3419838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-0.93</w:t>
            </w:r>
          </w:p>
        </w:tc>
      </w:tr>
      <w:tr w:rsidR="008A0CEF" w:rsidRPr="009F214D" w14:paraId="1D1E1FF4" w14:textId="77777777" w:rsidTr="00B933C9">
        <w:trPr>
          <w:trHeight w:val="20"/>
          <w:jc w:val="center"/>
        </w:trPr>
        <w:tc>
          <w:tcPr>
            <w:tcW w:w="581" w:type="dxa"/>
            <w:vAlign w:val="center"/>
          </w:tcPr>
          <w:p w14:paraId="690D3211" w14:textId="27BCA850"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9</w:t>
            </w:r>
          </w:p>
        </w:tc>
        <w:tc>
          <w:tcPr>
            <w:tcW w:w="1339" w:type="dxa"/>
            <w:vAlign w:val="center"/>
          </w:tcPr>
          <w:p w14:paraId="3A469A95" w14:textId="0B91C248"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Orissa</w:t>
            </w:r>
          </w:p>
        </w:tc>
        <w:tc>
          <w:tcPr>
            <w:tcW w:w="896" w:type="dxa"/>
            <w:vAlign w:val="center"/>
          </w:tcPr>
          <w:p w14:paraId="41A508E4" w14:textId="71D706F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1440.02</w:t>
            </w:r>
          </w:p>
        </w:tc>
        <w:tc>
          <w:tcPr>
            <w:tcW w:w="963" w:type="dxa"/>
            <w:vAlign w:val="center"/>
          </w:tcPr>
          <w:p w14:paraId="7352E698" w14:textId="6134190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1532.29</w:t>
            </w:r>
          </w:p>
        </w:tc>
        <w:tc>
          <w:tcPr>
            <w:tcW w:w="1440" w:type="dxa"/>
            <w:vAlign w:val="center"/>
          </w:tcPr>
          <w:p w14:paraId="4E655845" w14:textId="26B060BB"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92.27</w:t>
            </w:r>
          </w:p>
        </w:tc>
        <w:tc>
          <w:tcPr>
            <w:tcW w:w="982" w:type="dxa"/>
            <w:vAlign w:val="center"/>
          </w:tcPr>
          <w:p w14:paraId="20F81D12" w14:textId="577BBB3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6.41</w:t>
            </w:r>
          </w:p>
        </w:tc>
        <w:tc>
          <w:tcPr>
            <w:tcW w:w="984" w:type="dxa"/>
            <w:vAlign w:val="center"/>
          </w:tcPr>
          <w:p w14:paraId="697FF262" w14:textId="40C9887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4.94</w:t>
            </w:r>
          </w:p>
        </w:tc>
        <w:tc>
          <w:tcPr>
            <w:tcW w:w="965" w:type="dxa"/>
            <w:vAlign w:val="center"/>
          </w:tcPr>
          <w:p w14:paraId="6C82984E" w14:textId="0E86120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5.25</w:t>
            </w:r>
          </w:p>
        </w:tc>
        <w:tc>
          <w:tcPr>
            <w:tcW w:w="922" w:type="dxa"/>
            <w:vAlign w:val="center"/>
          </w:tcPr>
          <w:p w14:paraId="6919C818" w14:textId="486D8E1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0.32</w:t>
            </w:r>
          </w:p>
        </w:tc>
      </w:tr>
      <w:tr w:rsidR="008A0CEF" w:rsidRPr="009F214D" w14:paraId="39D8424B" w14:textId="77777777" w:rsidTr="00B933C9">
        <w:trPr>
          <w:trHeight w:val="20"/>
          <w:jc w:val="center"/>
        </w:trPr>
        <w:tc>
          <w:tcPr>
            <w:tcW w:w="581" w:type="dxa"/>
            <w:vAlign w:val="center"/>
          </w:tcPr>
          <w:p w14:paraId="26DCED01" w14:textId="387413B5"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10</w:t>
            </w:r>
          </w:p>
        </w:tc>
        <w:tc>
          <w:tcPr>
            <w:tcW w:w="1339" w:type="dxa"/>
            <w:vAlign w:val="center"/>
          </w:tcPr>
          <w:p w14:paraId="047D1396" w14:textId="5824E623"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Punjab</w:t>
            </w:r>
          </w:p>
        </w:tc>
        <w:tc>
          <w:tcPr>
            <w:tcW w:w="896" w:type="dxa"/>
            <w:vAlign w:val="center"/>
          </w:tcPr>
          <w:p w14:paraId="4D651B43" w14:textId="1A9DAF5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1118.00</w:t>
            </w:r>
          </w:p>
        </w:tc>
        <w:tc>
          <w:tcPr>
            <w:tcW w:w="963" w:type="dxa"/>
            <w:vAlign w:val="center"/>
          </w:tcPr>
          <w:p w14:paraId="3AD3B4E7" w14:textId="2E5BB82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1262.16</w:t>
            </w:r>
          </w:p>
        </w:tc>
        <w:tc>
          <w:tcPr>
            <w:tcW w:w="1440" w:type="dxa"/>
            <w:vAlign w:val="center"/>
          </w:tcPr>
          <w:p w14:paraId="66CFDA68" w14:textId="0FB38D9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144.16</w:t>
            </w:r>
          </w:p>
        </w:tc>
        <w:tc>
          <w:tcPr>
            <w:tcW w:w="982" w:type="dxa"/>
            <w:vAlign w:val="center"/>
          </w:tcPr>
          <w:p w14:paraId="4EFAB57A" w14:textId="764B141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12.89</w:t>
            </w:r>
          </w:p>
        </w:tc>
        <w:tc>
          <w:tcPr>
            <w:tcW w:w="984" w:type="dxa"/>
            <w:vAlign w:val="center"/>
          </w:tcPr>
          <w:p w14:paraId="0310E02B" w14:textId="394ED8C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5.98</w:t>
            </w:r>
          </w:p>
        </w:tc>
        <w:tc>
          <w:tcPr>
            <w:tcW w:w="965" w:type="dxa"/>
            <w:vAlign w:val="center"/>
          </w:tcPr>
          <w:p w14:paraId="397472BD" w14:textId="20E0028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6.75</w:t>
            </w:r>
          </w:p>
        </w:tc>
        <w:tc>
          <w:tcPr>
            <w:tcW w:w="922" w:type="dxa"/>
            <w:vAlign w:val="center"/>
          </w:tcPr>
          <w:p w14:paraId="4362A171" w14:textId="4CCD7E2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0.77</w:t>
            </w:r>
          </w:p>
        </w:tc>
      </w:tr>
      <w:tr w:rsidR="008A0CEF" w:rsidRPr="009F214D" w14:paraId="71FBE5BC" w14:textId="77777777" w:rsidTr="00B933C9">
        <w:trPr>
          <w:trHeight w:val="20"/>
          <w:jc w:val="center"/>
        </w:trPr>
        <w:tc>
          <w:tcPr>
            <w:tcW w:w="581" w:type="dxa"/>
            <w:vAlign w:val="center"/>
          </w:tcPr>
          <w:p w14:paraId="4B7D8735" w14:textId="67A93EDA"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lastRenderedPageBreak/>
              <w:t>11</w:t>
            </w:r>
          </w:p>
        </w:tc>
        <w:tc>
          <w:tcPr>
            <w:tcW w:w="1339" w:type="dxa"/>
            <w:vAlign w:val="center"/>
          </w:tcPr>
          <w:p w14:paraId="29B8CE9A" w14:textId="62DD1E37"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Rajasthan</w:t>
            </w:r>
          </w:p>
        </w:tc>
        <w:tc>
          <w:tcPr>
            <w:tcW w:w="896" w:type="dxa"/>
            <w:vAlign w:val="center"/>
          </w:tcPr>
          <w:p w14:paraId="31DAB553" w14:textId="57DD08D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1567.99</w:t>
            </w:r>
          </w:p>
        </w:tc>
        <w:tc>
          <w:tcPr>
            <w:tcW w:w="963" w:type="dxa"/>
            <w:vAlign w:val="center"/>
          </w:tcPr>
          <w:p w14:paraId="2E6B00A7" w14:textId="55A8BFF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1726.34</w:t>
            </w:r>
          </w:p>
        </w:tc>
        <w:tc>
          <w:tcPr>
            <w:tcW w:w="1440" w:type="dxa"/>
            <w:vAlign w:val="center"/>
          </w:tcPr>
          <w:p w14:paraId="5A04D5CA" w14:textId="45D8AEA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158.36</w:t>
            </w:r>
          </w:p>
        </w:tc>
        <w:tc>
          <w:tcPr>
            <w:tcW w:w="982" w:type="dxa"/>
            <w:vAlign w:val="center"/>
          </w:tcPr>
          <w:p w14:paraId="068A9F65" w14:textId="24B24E8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10.10</w:t>
            </w:r>
          </w:p>
        </w:tc>
        <w:tc>
          <w:tcPr>
            <w:tcW w:w="984" w:type="dxa"/>
            <w:vAlign w:val="center"/>
          </w:tcPr>
          <w:p w14:paraId="0F11A695" w14:textId="677AB06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3.94</w:t>
            </w:r>
          </w:p>
        </w:tc>
        <w:tc>
          <w:tcPr>
            <w:tcW w:w="965" w:type="dxa"/>
            <w:vAlign w:val="center"/>
          </w:tcPr>
          <w:p w14:paraId="33306125" w14:textId="68CD93A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4.34</w:t>
            </w:r>
          </w:p>
        </w:tc>
        <w:tc>
          <w:tcPr>
            <w:tcW w:w="922" w:type="dxa"/>
            <w:vAlign w:val="center"/>
          </w:tcPr>
          <w:p w14:paraId="620B9910" w14:textId="31A6C87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0.40</w:t>
            </w:r>
          </w:p>
        </w:tc>
      </w:tr>
      <w:tr w:rsidR="008A0CEF" w:rsidRPr="009F214D" w14:paraId="0A1329C2" w14:textId="77777777" w:rsidTr="00B933C9">
        <w:trPr>
          <w:trHeight w:val="20"/>
          <w:jc w:val="center"/>
        </w:trPr>
        <w:tc>
          <w:tcPr>
            <w:tcW w:w="581" w:type="dxa"/>
            <w:vAlign w:val="center"/>
          </w:tcPr>
          <w:p w14:paraId="745487A8" w14:textId="1C35B465"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12</w:t>
            </w:r>
          </w:p>
        </w:tc>
        <w:tc>
          <w:tcPr>
            <w:tcW w:w="1339" w:type="dxa"/>
            <w:vAlign w:val="center"/>
          </w:tcPr>
          <w:p w14:paraId="69E52101" w14:textId="5356540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Tamil Nadu</w:t>
            </w:r>
          </w:p>
        </w:tc>
        <w:tc>
          <w:tcPr>
            <w:tcW w:w="896" w:type="dxa"/>
            <w:vAlign w:val="center"/>
          </w:tcPr>
          <w:p w14:paraId="16300FA3" w14:textId="31E208A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2932.00</w:t>
            </w:r>
          </w:p>
        </w:tc>
        <w:tc>
          <w:tcPr>
            <w:tcW w:w="963" w:type="dxa"/>
            <w:vAlign w:val="center"/>
          </w:tcPr>
          <w:p w14:paraId="4CD4A5BF" w14:textId="4773ABE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1832.65</w:t>
            </w:r>
          </w:p>
        </w:tc>
        <w:tc>
          <w:tcPr>
            <w:tcW w:w="1440" w:type="dxa"/>
            <w:vAlign w:val="center"/>
          </w:tcPr>
          <w:p w14:paraId="14E77FCF" w14:textId="3B970C6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-499.35</w:t>
            </w:r>
          </w:p>
        </w:tc>
        <w:tc>
          <w:tcPr>
            <w:tcW w:w="982" w:type="dxa"/>
            <w:vAlign w:val="center"/>
          </w:tcPr>
          <w:p w14:paraId="101EDF80" w14:textId="2CC3571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-21.41</w:t>
            </w:r>
          </w:p>
        </w:tc>
        <w:tc>
          <w:tcPr>
            <w:tcW w:w="984" w:type="dxa"/>
            <w:vAlign w:val="center"/>
          </w:tcPr>
          <w:p w14:paraId="0B70E6ED" w14:textId="5CF18D8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4.40</w:t>
            </w:r>
          </w:p>
        </w:tc>
        <w:tc>
          <w:tcPr>
            <w:tcW w:w="965" w:type="dxa"/>
            <w:vAlign w:val="center"/>
          </w:tcPr>
          <w:p w14:paraId="0557D922" w14:textId="39CF9BB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3.45</w:t>
            </w:r>
          </w:p>
        </w:tc>
        <w:tc>
          <w:tcPr>
            <w:tcW w:w="922" w:type="dxa"/>
            <w:vAlign w:val="center"/>
          </w:tcPr>
          <w:p w14:paraId="1631A853" w14:textId="6C964267"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-0.94</w:t>
            </w:r>
          </w:p>
        </w:tc>
      </w:tr>
      <w:tr w:rsidR="008A0CEF" w:rsidRPr="009F214D" w14:paraId="5B93AD6B" w14:textId="77777777" w:rsidTr="00B933C9">
        <w:trPr>
          <w:trHeight w:val="20"/>
          <w:jc w:val="center"/>
        </w:trPr>
        <w:tc>
          <w:tcPr>
            <w:tcW w:w="581" w:type="dxa"/>
            <w:vAlign w:val="center"/>
          </w:tcPr>
          <w:p w14:paraId="2B2B864E" w14:textId="4B70C60D"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color w:val="1A1C1E"/>
                <w:sz w:val="16"/>
                <w:szCs w:val="16"/>
              </w:rPr>
              <w:t>13</w:t>
            </w:r>
          </w:p>
        </w:tc>
        <w:tc>
          <w:tcPr>
            <w:tcW w:w="1339" w:type="dxa"/>
            <w:vAlign w:val="center"/>
          </w:tcPr>
          <w:p w14:paraId="3FCC3507" w14:textId="406AB4F1"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color w:val="1A1C1E"/>
                <w:sz w:val="16"/>
                <w:szCs w:val="16"/>
              </w:rPr>
              <w:t>Uttar Pradesh</w:t>
            </w:r>
          </w:p>
        </w:tc>
        <w:tc>
          <w:tcPr>
            <w:tcW w:w="896" w:type="dxa"/>
            <w:vAlign w:val="center"/>
          </w:tcPr>
          <w:p w14:paraId="181B2D74" w14:textId="58AC61A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2567.01</w:t>
            </w:r>
          </w:p>
        </w:tc>
        <w:tc>
          <w:tcPr>
            <w:tcW w:w="963" w:type="dxa"/>
            <w:vAlign w:val="center"/>
          </w:tcPr>
          <w:p w14:paraId="65AB81CC" w14:textId="682C522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2841.84</w:t>
            </w:r>
          </w:p>
        </w:tc>
        <w:tc>
          <w:tcPr>
            <w:tcW w:w="1440" w:type="dxa"/>
            <w:vAlign w:val="center"/>
          </w:tcPr>
          <w:p w14:paraId="7F9F53F6" w14:textId="0757E13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274.83</w:t>
            </w:r>
          </w:p>
        </w:tc>
        <w:tc>
          <w:tcPr>
            <w:tcW w:w="982" w:type="dxa"/>
            <w:vAlign w:val="center"/>
          </w:tcPr>
          <w:p w14:paraId="1E64F0F1" w14:textId="5167759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10.71</w:t>
            </w:r>
          </w:p>
        </w:tc>
        <w:tc>
          <w:tcPr>
            <w:tcW w:w="984" w:type="dxa"/>
            <w:vAlign w:val="center"/>
          </w:tcPr>
          <w:p w14:paraId="217C08AC" w14:textId="0916D25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2.06</w:t>
            </w:r>
          </w:p>
        </w:tc>
        <w:tc>
          <w:tcPr>
            <w:tcW w:w="965" w:type="dxa"/>
            <w:vAlign w:val="center"/>
          </w:tcPr>
          <w:p w14:paraId="2E656E06" w14:textId="4B8FF4B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2.28</w:t>
            </w:r>
          </w:p>
        </w:tc>
        <w:tc>
          <w:tcPr>
            <w:tcW w:w="922" w:type="dxa"/>
            <w:vAlign w:val="center"/>
          </w:tcPr>
          <w:p w14:paraId="043AB739" w14:textId="6CAC41F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color w:val="1A1C1E"/>
                <w:sz w:val="16"/>
                <w:szCs w:val="16"/>
              </w:rPr>
              <w:t>0.22</w:t>
            </w:r>
          </w:p>
        </w:tc>
      </w:tr>
      <w:tr w:rsidR="008A0CEF" w:rsidRPr="009F214D" w14:paraId="5B348464" w14:textId="77777777" w:rsidTr="00B933C9">
        <w:trPr>
          <w:trHeight w:val="20"/>
          <w:jc w:val="center"/>
        </w:trPr>
        <w:tc>
          <w:tcPr>
            <w:tcW w:w="581" w:type="dxa"/>
            <w:vAlign w:val="center"/>
          </w:tcPr>
          <w:p w14:paraId="65E708A2" w14:textId="08C7E25F" w:rsidR="008A0CEF" w:rsidRPr="0078036E" w:rsidRDefault="008A0CEF" w:rsidP="008A0CEF">
            <w:pPr>
              <w:tabs>
                <w:tab w:val="left" w:pos="2805"/>
              </w:tabs>
              <w:rPr>
                <w:rFonts w:ascii="Times New Roman" w:hAnsi="Times New Roman" w:cs="Times New Roman"/>
                <w:color w:val="1A1C1E"/>
                <w:sz w:val="16"/>
                <w:szCs w:val="16"/>
              </w:rPr>
            </w:pPr>
            <w:r w:rsidRPr="0078036E">
              <w:rPr>
                <w:rFonts w:ascii="Times New Roman" w:hAnsi="Times New Roman" w:cs="Times New Roman"/>
                <w:color w:val="1A1C1E"/>
                <w:sz w:val="16"/>
                <w:szCs w:val="16"/>
              </w:rPr>
              <w:t>14</w:t>
            </w:r>
          </w:p>
        </w:tc>
        <w:tc>
          <w:tcPr>
            <w:tcW w:w="1339" w:type="dxa"/>
            <w:vAlign w:val="center"/>
          </w:tcPr>
          <w:p w14:paraId="6B430C36" w14:textId="77441B85" w:rsidR="008A0CEF" w:rsidRPr="0078036E" w:rsidRDefault="008A0CEF" w:rsidP="008A0CEF">
            <w:pPr>
              <w:tabs>
                <w:tab w:val="left" w:pos="2805"/>
              </w:tabs>
              <w:rPr>
                <w:rFonts w:ascii="Times New Roman" w:hAnsi="Times New Roman" w:cs="Times New Roman"/>
                <w:color w:val="1A1C1E"/>
                <w:sz w:val="16"/>
                <w:szCs w:val="16"/>
              </w:rPr>
            </w:pPr>
            <w:r w:rsidRPr="0078036E">
              <w:rPr>
                <w:rFonts w:ascii="Times New Roman" w:hAnsi="Times New Roman" w:cs="Times New Roman"/>
                <w:color w:val="1A1C1E"/>
                <w:sz w:val="16"/>
                <w:szCs w:val="16"/>
              </w:rPr>
              <w:t>West Bengal</w:t>
            </w:r>
          </w:p>
        </w:tc>
        <w:tc>
          <w:tcPr>
            <w:tcW w:w="896" w:type="dxa"/>
            <w:vAlign w:val="center"/>
          </w:tcPr>
          <w:p w14:paraId="063859E6" w14:textId="0AE0A253"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1795.01</w:t>
            </w:r>
          </w:p>
        </w:tc>
        <w:tc>
          <w:tcPr>
            <w:tcW w:w="963" w:type="dxa"/>
            <w:vAlign w:val="center"/>
          </w:tcPr>
          <w:p w14:paraId="3ADD7DC9" w14:textId="66BFF7EE"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2184.63</w:t>
            </w:r>
          </w:p>
        </w:tc>
        <w:tc>
          <w:tcPr>
            <w:tcW w:w="1440" w:type="dxa"/>
            <w:vAlign w:val="center"/>
          </w:tcPr>
          <w:p w14:paraId="5E2F4875" w14:textId="6D9764FD"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389.62</w:t>
            </w:r>
          </w:p>
        </w:tc>
        <w:tc>
          <w:tcPr>
            <w:tcW w:w="982" w:type="dxa"/>
            <w:vAlign w:val="center"/>
          </w:tcPr>
          <w:p w14:paraId="56FB926F" w14:textId="640A1D97"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21.71</w:t>
            </w:r>
          </w:p>
        </w:tc>
        <w:tc>
          <w:tcPr>
            <w:tcW w:w="984" w:type="dxa"/>
            <w:vAlign w:val="center"/>
          </w:tcPr>
          <w:p w14:paraId="0C2D95AD" w14:textId="731E2868"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2.95</w:t>
            </w:r>
          </w:p>
        </w:tc>
        <w:tc>
          <w:tcPr>
            <w:tcW w:w="965" w:type="dxa"/>
            <w:vAlign w:val="center"/>
          </w:tcPr>
          <w:p w14:paraId="4BD3D029" w14:textId="670115F7"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3.59</w:t>
            </w:r>
          </w:p>
        </w:tc>
        <w:tc>
          <w:tcPr>
            <w:tcW w:w="922" w:type="dxa"/>
            <w:vAlign w:val="center"/>
          </w:tcPr>
          <w:p w14:paraId="17E58538" w14:textId="2FB48C0F"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color w:val="1A1C1E"/>
                <w:sz w:val="16"/>
                <w:szCs w:val="16"/>
              </w:rPr>
              <w:t>0.64</w:t>
            </w:r>
          </w:p>
        </w:tc>
      </w:tr>
      <w:tr w:rsidR="008A0CEF" w:rsidRPr="009F214D" w14:paraId="5E69613E" w14:textId="77777777" w:rsidTr="00B933C9">
        <w:trPr>
          <w:trHeight w:val="20"/>
          <w:jc w:val="center"/>
        </w:trPr>
        <w:tc>
          <w:tcPr>
            <w:tcW w:w="581" w:type="dxa"/>
            <w:vAlign w:val="center"/>
          </w:tcPr>
          <w:p w14:paraId="569A5FD3" w14:textId="0BC460FE" w:rsidR="008A0CEF" w:rsidRPr="0078036E" w:rsidRDefault="008A0CEF" w:rsidP="008A0CEF">
            <w:pPr>
              <w:tabs>
                <w:tab w:val="left" w:pos="2805"/>
              </w:tabs>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14</w:t>
            </w:r>
          </w:p>
        </w:tc>
        <w:tc>
          <w:tcPr>
            <w:tcW w:w="1339" w:type="dxa"/>
            <w:vAlign w:val="center"/>
          </w:tcPr>
          <w:p w14:paraId="7B5B018F" w14:textId="07C99F1B" w:rsidR="008A0CEF" w:rsidRPr="0078036E" w:rsidRDefault="008A0CEF" w:rsidP="008A0CEF">
            <w:pPr>
              <w:tabs>
                <w:tab w:val="left" w:pos="2805"/>
              </w:tabs>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Major States</w:t>
            </w:r>
          </w:p>
        </w:tc>
        <w:tc>
          <w:tcPr>
            <w:tcW w:w="896" w:type="dxa"/>
            <w:vAlign w:val="center"/>
          </w:tcPr>
          <w:p w14:paraId="6D57B7F8" w14:textId="5CE99670"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25940.95</w:t>
            </w:r>
          </w:p>
        </w:tc>
        <w:tc>
          <w:tcPr>
            <w:tcW w:w="963" w:type="dxa"/>
            <w:vAlign w:val="center"/>
          </w:tcPr>
          <w:p w14:paraId="59398A05" w14:textId="083D3968"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26060.99</w:t>
            </w:r>
          </w:p>
        </w:tc>
        <w:tc>
          <w:tcPr>
            <w:tcW w:w="1440" w:type="dxa"/>
            <w:vAlign w:val="center"/>
          </w:tcPr>
          <w:p w14:paraId="0F70D56F" w14:textId="2FD001C8"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120.04</w:t>
            </w:r>
          </w:p>
        </w:tc>
        <w:tc>
          <w:tcPr>
            <w:tcW w:w="982" w:type="dxa"/>
            <w:vAlign w:val="center"/>
          </w:tcPr>
          <w:p w14:paraId="76B8C136" w14:textId="59E11592"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0.46</w:t>
            </w:r>
          </w:p>
        </w:tc>
        <w:tc>
          <w:tcPr>
            <w:tcW w:w="984" w:type="dxa"/>
            <w:vAlign w:val="center"/>
          </w:tcPr>
          <w:p w14:paraId="28D9362C" w14:textId="2B05598F"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3.62</w:t>
            </w:r>
          </w:p>
        </w:tc>
        <w:tc>
          <w:tcPr>
            <w:tcW w:w="965" w:type="dxa"/>
            <w:vAlign w:val="center"/>
          </w:tcPr>
          <w:p w14:paraId="2FFFEBB6" w14:textId="07497C6C"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3.64</w:t>
            </w:r>
          </w:p>
        </w:tc>
        <w:tc>
          <w:tcPr>
            <w:tcW w:w="922" w:type="dxa"/>
            <w:vAlign w:val="center"/>
          </w:tcPr>
          <w:p w14:paraId="080261AA" w14:textId="2936FAED" w:rsidR="008A0CEF" w:rsidRPr="0078036E" w:rsidRDefault="008A0CEF" w:rsidP="008A0CEF">
            <w:pPr>
              <w:tabs>
                <w:tab w:val="left" w:pos="2805"/>
              </w:tabs>
              <w:jc w:val="center"/>
              <w:rPr>
                <w:rFonts w:ascii="Times New Roman" w:hAnsi="Times New Roman" w:cs="Times New Roman"/>
                <w:color w:val="1A1C1E"/>
                <w:sz w:val="16"/>
                <w:szCs w:val="16"/>
              </w:rPr>
            </w:pPr>
            <w:r w:rsidRPr="0078036E">
              <w:rPr>
                <w:rFonts w:ascii="Times New Roman" w:hAnsi="Times New Roman" w:cs="Times New Roman"/>
                <w:b/>
                <w:bCs/>
                <w:color w:val="1A1C1E"/>
                <w:sz w:val="16"/>
                <w:szCs w:val="16"/>
              </w:rPr>
              <w:t>0.02</w:t>
            </w:r>
          </w:p>
        </w:tc>
      </w:tr>
      <w:tr w:rsidR="008A0CEF" w:rsidRPr="009F214D" w14:paraId="0482A2F4" w14:textId="77777777" w:rsidTr="003F5CF5">
        <w:trPr>
          <w:trHeight w:val="20"/>
          <w:jc w:val="center"/>
        </w:trPr>
        <w:tc>
          <w:tcPr>
            <w:tcW w:w="9072" w:type="dxa"/>
            <w:gridSpan w:val="9"/>
            <w:vAlign w:val="center"/>
          </w:tcPr>
          <w:p w14:paraId="5DF7BFB6" w14:textId="7C14EBE2" w:rsidR="008A0CEF" w:rsidRPr="0078036E" w:rsidRDefault="008A0CEF" w:rsidP="008A0CEF">
            <w:pPr>
              <w:tabs>
                <w:tab w:val="left" w:pos="2805"/>
              </w:tabs>
              <w:jc w:val="center"/>
              <w:rPr>
                <w:rFonts w:ascii="Times New Roman" w:hAnsi="Times New Roman" w:cs="Times New Roman"/>
                <w:b/>
                <w:bCs/>
                <w:color w:val="1A1C1E"/>
                <w:sz w:val="16"/>
                <w:szCs w:val="16"/>
              </w:rPr>
            </w:pPr>
            <w:r w:rsidRPr="0078036E">
              <w:rPr>
                <w:rFonts w:ascii="Times New Roman" w:hAnsi="Times New Roman" w:cs="Times New Roman"/>
                <w:b/>
                <w:bCs/>
                <w:sz w:val="20"/>
                <w:szCs w:val="20"/>
              </w:rPr>
              <w:t>Expenditure Category: Industry and Minerals</w:t>
            </w:r>
          </w:p>
        </w:tc>
      </w:tr>
      <w:tr w:rsidR="008A0CEF" w:rsidRPr="009F214D" w14:paraId="3D3132C7" w14:textId="77777777" w:rsidTr="00B933C9">
        <w:trPr>
          <w:trHeight w:val="20"/>
          <w:jc w:val="center"/>
        </w:trPr>
        <w:tc>
          <w:tcPr>
            <w:tcW w:w="581" w:type="dxa"/>
            <w:vAlign w:val="center"/>
          </w:tcPr>
          <w:p w14:paraId="5F9705F2" w14:textId="73C62815" w:rsidR="008A0CEF" w:rsidRPr="008A0CEF" w:rsidRDefault="008A0CEF" w:rsidP="008A0CEF">
            <w:pPr>
              <w:tabs>
                <w:tab w:val="left" w:pos="2805"/>
              </w:tabs>
              <w:rPr>
                <w:rFonts w:ascii="Times New Roman" w:hAnsi="Times New Roman" w:cs="Times New Roman"/>
                <w:b/>
                <w:bCs/>
                <w:color w:val="1A1C1E"/>
                <w:sz w:val="16"/>
                <w:szCs w:val="16"/>
              </w:rPr>
            </w:pPr>
            <w:r w:rsidRPr="008A0CEF">
              <w:rPr>
                <w:rFonts w:ascii="Times New Roman" w:hAnsi="Times New Roman" w:cs="Times New Roman"/>
                <w:sz w:val="16"/>
                <w:szCs w:val="16"/>
              </w:rPr>
              <w:t>1</w:t>
            </w:r>
          </w:p>
        </w:tc>
        <w:tc>
          <w:tcPr>
            <w:tcW w:w="1339" w:type="dxa"/>
            <w:vAlign w:val="center"/>
          </w:tcPr>
          <w:p w14:paraId="3FCC023C" w14:textId="13FCB2C8" w:rsidR="008A0CEF" w:rsidRPr="008A0CEF" w:rsidRDefault="008A0CEF" w:rsidP="008A0CEF">
            <w:pPr>
              <w:tabs>
                <w:tab w:val="left" w:pos="2805"/>
              </w:tabs>
              <w:rPr>
                <w:rFonts w:ascii="Times New Roman" w:hAnsi="Times New Roman" w:cs="Times New Roman"/>
                <w:b/>
                <w:bCs/>
                <w:color w:val="1A1C1E"/>
                <w:sz w:val="16"/>
                <w:szCs w:val="16"/>
              </w:rPr>
            </w:pPr>
            <w:r w:rsidRPr="008A0CEF">
              <w:rPr>
                <w:rFonts w:ascii="Times New Roman" w:hAnsi="Times New Roman" w:cs="Times New Roman"/>
                <w:sz w:val="16"/>
                <w:szCs w:val="16"/>
              </w:rPr>
              <w:t>Andhra Pradesh</w:t>
            </w:r>
          </w:p>
        </w:tc>
        <w:tc>
          <w:tcPr>
            <w:tcW w:w="896" w:type="dxa"/>
            <w:vAlign w:val="center"/>
          </w:tcPr>
          <w:p w14:paraId="107E922A" w14:textId="60634D97"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503.00</w:t>
            </w:r>
          </w:p>
        </w:tc>
        <w:tc>
          <w:tcPr>
            <w:tcW w:w="963" w:type="dxa"/>
            <w:vAlign w:val="center"/>
          </w:tcPr>
          <w:p w14:paraId="62BA0AFB" w14:textId="5CA476C4"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502.11</w:t>
            </w:r>
          </w:p>
        </w:tc>
        <w:tc>
          <w:tcPr>
            <w:tcW w:w="1440" w:type="dxa"/>
            <w:vAlign w:val="center"/>
          </w:tcPr>
          <w:p w14:paraId="16442218" w14:textId="2C6D2009"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-0.89</w:t>
            </w:r>
          </w:p>
        </w:tc>
        <w:tc>
          <w:tcPr>
            <w:tcW w:w="982" w:type="dxa"/>
            <w:vAlign w:val="center"/>
          </w:tcPr>
          <w:p w14:paraId="4EDC9D34" w14:textId="7172C325"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-0.18</w:t>
            </w:r>
          </w:p>
        </w:tc>
        <w:tc>
          <w:tcPr>
            <w:tcW w:w="984" w:type="dxa"/>
            <w:vAlign w:val="center"/>
          </w:tcPr>
          <w:p w14:paraId="0087AD5C" w14:textId="5AB56664"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0.85</w:t>
            </w:r>
          </w:p>
        </w:tc>
        <w:tc>
          <w:tcPr>
            <w:tcW w:w="965" w:type="dxa"/>
            <w:vAlign w:val="center"/>
          </w:tcPr>
          <w:p w14:paraId="70125140" w14:textId="7C25DF38"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0.84</w:t>
            </w:r>
          </w:p>
        </w:tc>
        <w:tc>
          <w:tcPr>
            <w:tcW w:w="922" w:type="dxa"/>
            <w:vAlign w:val="center"/>
          </w:tcPr>
          <w:p w14:paraId="09C3F240" w14:textId="53F15FD4" w:rsidR="008A0CEF" w:rsidRPr="008A0CEF" w:rsidRDefault="008A0CEF" w:rsidP="008A0CEF">
            <w:pPr>
              <w:tabs>
                <w:tab w:val="left" w:pos="2805"/>
              </w:tabs>
              <w:jc w:val="center"/>
              <w:rPr>
                <w:rFonts w:ascii="Times New Roman" w:hAnsi="Times New Roman" w:cs="Times New Roman"/>
                <w:b/>
                <w:bCs/>
                <w:color w:val="1A1C1E"/>
                <w:sz w:val="16"/>
                <w:szCs w:val="16"/>
              </w:rPr>
            </w:pPr>
            <w:r w:rsidRPr="008A0CEF">
              <w:rPr>
                <w:rFonts w:ascii="Times New Roman" w:hAnsi="Times New Roman" w:cs="Times New Roman"/>
                <w:sz w:val="16"/>
                <w:szCs w:val="16"/>
              </w:rPr>
              <w:t>0.00</w:t>
            </w:r>
          </w:p>
        </w:tc>
      </w:tr>
      <w:tr w:rsidR="008A0CEF" w:rsidRPr="009F214D" w14:paraId="557A7CB0" w14:textId="77777777" w:rsidTr="00B933C9">
        <w:trPr>
          <w:trHeight w:val="20"/>
          <w:jc w:val="center"/>
        </w:trPr>
        <w:tc>
          <w:tcPr>
            <w:tcW w:w="581" w:type="dxa"/>
            <w:vAlign w:val="center"/>
          </w:tcPr>
          <w:p w14:paraId="562808D7" w14:textId="570E4494"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2</w:t>
            </w:r>
          </w:p>
        </w:tc>
        <w:tc>
          <w:tcPr>
            <w:tcW w:w="1339" w:type="dxa"/>
            <w:vAlign w:val="center"/>
          </w:tcPr>
          <w:p w14:paraId="58E80568" w14:textId="5969B70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Bihar</w:t>
            </w:r>
          </w:p>
        </w:tc>
        <w:tc>
          <w:tcPr>
            <w:tcW w:w="896" w:type="dxa"/>
            <w:vAlign w:val="center"/>
          </w:tcPr>
          <w:p w14:paraId="582456CC" w14:textId="479FA2D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1106.00</w:t>
            </w:r>
          </w:p>
        </w:tc>
        <w:tc>
          <w:tcPr>
            <w:tcW w:w="963" w:type="dxa"/>
            <w:vAlign w:val="center"/>
          </w:tcPr>
          <w:p w14:paraId="0522BF28" w14:textId="52380D3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566.47</w:t>
            </w:r>
          </w:p>
        </w:tc>
        <w:tc>
          <w:tcPr>
            <w:tcW w:w="1440" w:type="dxa"/>
            <w:vAlign w:val="center"/>
          </w:tcPr>
          <w:p w14:paraId="210C1C5A" w14:textId="4B60E14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-539.53</w:t>
            </w:r>
          </w:p>
        </w:tc>
        <w:tc>
          <w:tcPr>
            <w:tcW w:w="982" w:type="dxa"/>
            <w:vAlign w:val="center"/>
          </w:tcPr>
          <w:p w14:paraId="68A872B9" w14:textId="5EAE83B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-48.78</w:t>
            </w:r>
          </w:p>
        </w:tc>
        <w:tc>
          <w:tcPr>
            <w:tcW w:w="984" w:type="dxa"/>
            <w:vAlign w:val="center"/>
          </w:tcPr>
          <w:p w14:paraId="21460EBB" w14:textId="6800863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1.40</w:t>
            </w:r>
          </w:p>
        </w:tc>
        <w:tc>
          <w:tcPr>
            <w:tcW w:w="965" w:type="dxa"/>
            <w:vAlign w:val="center"/>
          </w:tcPr>
          <w:p w14:paraId="17AFE883" w14:textId="772980F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0.72</w:t>
            </w:r>
          </w:p>
        </w:tc>
        <w:tc>
          <w:tcPr>
            <w:tcW w:w="922" w:type="dxa"/>
            <w:vAlign w:val="center"/>
          </w:tcPr>
          <w:p w14:paraId="5277B57E" w14:textId="0E4531D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-0.69</w:t>
            </w:r>
          </w:p>
        </w:tc>
      </w:tr>
      <w:tr w:rsidR="008A0CEF" w:rsidRPr="009F214D" w14:paraId="15E34ACD" w14:textId="77777777" w:rsidTr="00B933C9">
        <w:trPr>
          <w:trHeight w:val="20"/>
          <w:jc w:val="center"/>
        </w:trPr>
        <w:tc>
          <w:tcPr>
            <w:tcW w:w="581" w:type="dxa"/>
            <w:vAlign w:val="center"/>
          </w:tcPr>
          <w:p w14:paraId="3251029C" w14:textId="4BB9541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3</w:t>
            </w:r>
          </w:p>
        </w:tc>
        <w:tc>
          <w:tcPr>
            <w:tcW w:w="1339" w:type="dxa"/>
            <w:vAlign w:val="center"/>
          </w:tcPr>
          <w:p w14:paraId="68DDE72C" w14:textId="1FDBEA59"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Gujarat</w:t>
            </w:r>
          </w:p>
        </w:tc>
        <w:tc>
          <w:tcPr>
            <w:tcW w:w="896" w:type="dxa"/>
            <w:vAlign w:val="center"/>
          </w:tcPr>
          <w:p w14:paraId="23FA6E49" w14:textId="52BA12B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1354.98</w:t>
            </w:r>
          </w:p>
        </w:tc>
        <w:tc>
          <w:tcPr>
            <w:tcW w:w="963" w:type="dxa"/>
            <w:vAlign w:val="center"/>
          </w:tcPr>
          <w:p w14:paraId="59659E31" w14:textId="476C49F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2333.36</w:t>
            </w:r>
          </w:p>
        </w:tc>
        <w:tc>
          <w:tcPr>
            <w:tcW w:w="1440" w:type="dxa"/>
            <w:vAlign w:val="center"/>
          </w:tcPr>
          <w:p w14:paraId="2A729611" w14:textId="205EB35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978.37</w:t>
            </w:r>
          </w:p>
        </w:tc>
        <w:tc>
          <w:tcPr>
            <w:tcW w:w="982" w:type="dxa"/>
            <w:vAlign w:val="center"/>
          </w:tcPr>
          <w:p w14:paraId="08F3E2F8" w14:textId="6C13014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72.21</w:t>
            </w:r>
          </w:p>
        </w:tc>
        <w:tc>
          <w:tcPr>
            <w:tcW w:w="984" w:type="dxa"/>
            <w:vAlign w:val="center"/>
          </w:tcPr>
          <w:p w14:paraId="0F5700F0" w14:textId="3025A1A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3.56</w:t>
            </w:r>
          </w:p>
        </w:tc>
        <w:tc>
          <w:tcPr>
            <w:tcW w:w="965" w:type="dxa"/>
            <w:vAlign w:val="center"/>
          </w:tcPr>
          <w:p w14:paraId="17CBBD8C" w14:textId="2EB6F31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6.12</w:t>
            </w:r>
          </w:p>
        </w:tc>
        <w:tc>
          <w:tcPr>
            <w:tcW w:w="922" w:type="dxa"/>
            <w:vAlign w:val="center"/>
          </w:tcPr>
          <w:p w14:paraId="7E336CD6" w14:textId="3B994D8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2.57</w:t>
            </w:r>
          </w:p>
        </w:tc>
      </w:tr>
      <w:tr w:rsidR="008A0CEF" w:rsidRPr="009F214D" w14:paraId="04FD8FA8" w14:textId="77777777" w:rsidTr="00B933C9">
        <w:trPr>
          <w:trHeight w:val="20"/>
          <w:jc w:val="center"/>
        </w:trPr>
        <w:tc>
          <w:tcPr>
            <w:tcW w:w="581" w:type="dxa"/>
            <w:vAlign w:val="center"/>
          </w:tcPr>
          <w:p w14:paraId="33583E0A" w14:textId="0E7CDB9A"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4</w:t>
            </w:r>
          </w:p>
        </w:tc>
        <w:tc>
          <w:tcPr>
            <w:tcW w:w="1339" w:type="dxa"/>
            <w:vAlign w:val="center"/>
          </w:tcPr>
          <w:p w14:paraId="5B50D67B" w14:textId="670165EE"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Haryana</w:t>
            </w:r>
          </w:p>
        </w:tc>
        <w:tc>
          <w:tcPr>
            <w:tcW w:w="896" w:type="dxa"/>
            <w:vAlign w:val="center"/>
          </w:tcPr>
          <w:p w14:paraId="47410626" w14:textId="3BB0442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188.99</w:t>
            </w:r>
          </w:p>
        </w:tc>
        <w:tc>
          <w:tcPr>
            <w:tcW w:w="963" w:type="dxa"/>
            <w:vAlign w:val="center"/>
          </w:tcPr>
          <w:p w14:paraId="2495B500" w14:textId="7432C30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308.68</w:t>
            </w:r>
          </w:p>
        </w:tc>
        <w:tc>
          <w:tcPr>
            <w:tcW w:w="1440" w:type="dxa"/>
            <w:vAlign w:val="center"/>
          </w:tcPr>
          <w:p w14:paraId="1E4D88A2" w14:textId="5A7125A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119.68</w:t>
            </w:r>
          </w:p>
        </w:tc>
        <w:tc>
          <w:tcPr>
            <w:tcW w:w="982" w:type="dxa"/>
            <w:vAlign w:val="center"/>
          </w:tcPr>
          <w:p w14:paraId="1F7F7B35" w14:textId="41BF765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63.33</w:t>
            </w:r>
          </w:p>
        </w:tc>
        <w:tc>
          <w:tcPr>
            <w:tcW w:w="984" w:type="dxa"/>
            <w:vAlign w:val="center"/>
          </w:tcPr>
          <w:p w14:paraId="78A65740" w14:textId="692B407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1.26</w:t>
            </w:r>
          </w:p>
        </w:tc>
        <w:tc>
          <w:tcPr>
            <w:tcW w:w="965" w:type="dxa"/>
            <w:vAlign w:val="center"/>
          </w:tcPr>
          <w:p w14:paraId="206E1888" w14:textId="3B5602A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2.05</w:t>
            </w:r>
          </w:p>
        </w:tc>
        <w:tc>
          <w:tcPr>
            <w:tcW w:w="922" w:type="dxa"/>
            <w:vAlign w:val="center"/>
          </w:tcPr>
          <w:p w14:paraId="3AAFCAA3" w14:textId="6DB0BB8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0.80</w:t>
            </w:r>
          </w:p>
        </w:tc>
      </w:tr>
      <w:tr w:rsidR="008A0CEF" w:rsidRPr="009F214D" w14:paraId="01B7F00C" w14:textId="77777777" w:rsidTr="00B933C9">
        <w:trPr>
          <w:trHeight w:val="20"/>
          <w:jc w:val="center"/>
        </w:trPr>
        <w:tc>
          <w:tcPr>
            <w:tcW w:w="581" w:type="dxa"/>
            <w:vAlign w:val="center"/>
          </w:tcPr>
          <w:p w14:paraId="47BD60AA" w14:textId="0880A6C6"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5</w:t>
            </w:r>
          </w:p>
        </w:tc>
        <w:tc>
          <w:tcPr>
            <w:tcW w:w="1339" w:type="dxa"/>
            <w:vAlign w:val="center"/>
          </w:tcPr>
          <w:p w14:paraId="473247D4" w14:textId="4A8AA611"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Karnataka</w:t>
            </w:r>
          </w:p>
        </w:tc>
        <w:tc>
          <w:tcPr>
            <w:tcW w:w="896" w:type="dxa"/>
            <w:vAlign w:val="center"/>
          </w:tcPr>
          <w:p w14:paraId="6EFA6355" w14:textId="4411A41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1800.00</w:t>
            </w:r>
          </w:p>
        </w:tc>
        <w:tc>
          <w:tcPr>
            <w:tcW w:w="963" w:type="dxa"/>
            <w:vAlign w:val="center"/>
          </w:tcPr>
          <w:p w14:paraId="16C1B37C" w14:textId="73D20E8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1588.18</w:t>
            </w:r>
          </w:p>
        </w:tc>
        <w:tc>
          <w:tcPr>
            <w:tcW w:w="1440" w:type="dxa"/>
            <w:vAlign w:val="center"/>
          </w:tcPr>
          <w:p w14:paraId="200F5C6A" w14:textId="5C84460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-211.82</w:t>
            </w:r>
          </w:p>
        </w:tc>
        <w:tc>
          <w:tcPr>
            <w:tcW w:w="982" w:type="dxa"/>
            <w:vAlign w:val="center"/>
          </w:tcPr>
          <w:p w14:paraId="0859031C" w14:textId="597E830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-11.77</w:t>
            </w:r>
          </w:p>
        </w:tc>
        <w:tc>
          <w:tcPr>
            <w:tcW w:w="984" w:type="dxa"/>
            <w:vAlign w:val="center"/>
          </w:tcPr>
          <w:p w14:paraId="59D91047" w14:textId="6575AE9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4.31</w:t>
            </w:r>
          </w:p>
        </w:tc>
        <w:tc>
          <w:tcPr>
            <w:tcW w:w="965" w:type="dxa"/>
            <w:vAlign w:val="center"/>
          </w:tcPr>
          <w:p w14:paraId="77525C17" w14:textId="6EB8754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3.80</w:t>
            </w:r>
          </w:p>
        </w:tc>
        <w:tc>
          <w:tcPr>
            <w:tcW w:w="922" w:type="dxa"/>
            <w:vAlign w:val="center"/>
          </w:tcPr>
          <w:p w14:paraId="2DA3D891" w14:textId="35791AF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-0.51</w:t>
            </w:r>
          </w:p>
        </w:tc>
      </w:tr>
      <w:tr w:rsidR="008A0CEF" w:rsidRPr="009F214D" w14:paraId="73D3AFD2" w14:textId="77777777" w:rsidTr="00B933C9">
        <w:trPr>
          <w:trHeight w:val="20"/>
          <w:jc w:val="center"/>
        </w:trPr>
        <w:tc>
          <w:tcPr>
            <w:tcW w:w="581" w:type="dxa"/>
            <w:vAlign w:val="center"/>
          </w:tcPr>
          <w:p w14:paraId="2F88FBF6" w14:textId="1B0CFE9B"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6</w:t>
            </w:r>
          </w:p>
        </w:tc>
        <w:tc>
          <w:tcPr>
            <w:tcW w:w="1339" w:type="dxa"/>
            <w:vAlign w:val="center"/>
          </w:tcPr>
          <w:p w14:paraId="3536CF34" w14:textId="5C9048C3"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Kerala</w:t>
            </w:r>
          </w:p>
        </w:tc>
        <w:tc>
          <w:tcPr>
            <w:tcW w:w="896" w:type="dxa"/>
            <w:vAlign w:val="center"/>
          </w:tcPr>
          <w:p w14:paraId="12B7D8A2" w14:textId="2644537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1299.99</w:t>
            </w:r>
          </w:p>
        </w:tc>
        <w:tc>
          <w:tcPr>
            <w:tcW w:w="963" w:type="dxa"/>
            <w:vAlign w:val="center"/>
          </w:tcPr>
          <w:p w14:paraId="31FE710E" w14:textId="26436C1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475.57</w:t>
            </w:r>
          </w:p>
        </w:tc>
        <w:tc>
          <w:tcPr>
            <w:tcW w:w="1440" w:type="dxa"/>
            <w:vAlign w:val="center"/>
          </w:tcPr>
          <w:p w14:paraId="0943F464" w14:textId="0395FF4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-824.42</w:t>
            </w:r>
          </w:p>
        </w:tc>
        <w:tc>
          <w:tcPr>
            <w:tcW w:w="982" w:type="dxa"/>
            <w:vAlign w:val="center"/>
          </w:tcPr>
          <w:p w14:paraId="0F034CB0" w14:textId="2C70041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-63.42</w:t>
            </w:r>
          </w:p>
        </w:tc>
        <w:tc>
          <w:tcPr>
            <w:tcW w:w="984" w:type="dxa"/>
            <w:vAlign w:val="center"/>
          </w:tcPr>
          <w:p w14:paraId="0CA1C3CC" w14:textId="605AAFE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4.62</w:t>
            </w:r>
          </w:p>
        </w:tc>
        <w:tc>
          <w:tcPr>
            <w:tcW w:w="965" w:type="dxa"/>
            <w:vAlign w:val="center"/>
          </w:tcPr>
          <w:p w14:paraId="34E12401" w14:textId="121A922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1.69</w:t>
            </w:r>
          </w:p>
        </w:tc>
        <w:tc>
          <w:tcPr>
            <w:tcW w:w="922" w:type="dxa"/>
            <w:vAlign w:val="center"/>
          </w:tcPr>
          <w:p w14:paraId="3C2F0B5C" w14:textId="2064965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-2.93</w:t>
            </w:r>
          </w:p>
        </w:tc>
      </w:tr>
      <w:tr w:rsidR="008A0CEF" w:rsidRPr="009F214D" w14:paraId="3EEE38B1" w14:textId="77777777" w:rsidTr="00B933C9">
        <w:trPr>
          <w:trHeight w:val="20"/>
          <w:jc w:val="center"/>
        </w:trPr>
        <w:tc>
          <w:tcPr>
            <w:tcW w:w="581" w:type="dxa"/>
            <w:vAlign w:val="center"/>
          </w:tcPr>
          <w:p w14:paraId="2BF3BE97" w14:textId="5401C4BA"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7</w:t>
            </w:r>
          </w:p>
        </w:tc>
        <w:tc>
          <w:tcPr>
            <w:tcW w:w="1339" w:type="dxa"/>
            <w:vAlign w:val="center"/>
          </w:tcPr>
          <w:p w14:paraId="40E36B6A" w14:textId="62E4F90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Madhya Pradesh</w:t>
            </w:r>
          </w:p>
        </w:tc>
        <w:tc>
          <w:tcPr>
            <w:tcW w:w="896" w:type="dxa"/>
            <w:vAlign w:val="center"/>
          </w:tcPr>
          <w:p w14:paraId="6F9CA310" w14:textId="053232C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1319.00</w:t>
            </w:r>
          </w:p>
        </w:tc>
        <w:tc>
          <w:tcPr>
            <w:tcW w:w="963" w:type="dxa"/>
            <w:vAlign w:val="center"/>
          </w:tcPr>
          <w:p w14:paraId="672889AE" w14:textId="71D2965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814.68</w:t>
            </w:r>
          </w:p>
        </w:tc>
        <w:tc>
          <w:tcPr>
            <w:tcW w:w="1440" w:type="dxa"/>
            <w:vAlign w:val="center"/>
          </w:tcPr>
          <w:p w14:paraId="1936D592" w14:textId="36DF761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-504.32</w:t>
            </w:r>
          </w:p>
        </w:tc>
        <w:tc>
          <w:tcPr>
            <w:tcW w:w="982" w:type="dxa"/>
            <w:vAlign w:val="center"/>
          </w:tcPr>
          <w:p w14:paraId="67ABF118" w14:textId="35C1C6B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-38.24</w:t>
            </w:r>
          </w:p>
        </w:tc>
        <w:tc>
          <w:tcPr>
            <w:tcW w:w="984" w:type="dxa"/>
            <w:vAlign w:val="center"/>
          </w:tcPr>
          <w:p w14:paraId="4A4D0241" w14:textId="65F03D9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2.24</w:t>
            </w:r>
          </w:p>
        </w:tc>
        <w:tc>
          <w:tcPr>
            <w:tcW w:w="965" w:type="dxa"/>
            <w:vAlign w:val="center"/>
          </w:tcPr>
          <w:p w14:paraId="075C5DF8" w14:textId="4C77495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1.38</w:t>
            </w:r>
          </w:p>
        </w:tc>
        <w:tc>
          <w:tcPr>
            <w:tcW w:w="922" w:type="dxa"/>
            <w:vAlign w:val="center"/>
          </w:tcPr>
          <w:p w14:paraId="7D8DAB36" w14:textId="1745114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-0.86</w:t>
            </w:r>
          </w:p>
        </w:tc>
      </w:tr>
      <w:tr w:rsidR="008A0CEF" w:rsidRPr="009F214D" w14:paraId="56667A0F" w14:textId="77777777" w:rsidTr="00B933C9">
        <w:trPr>
          <w:trHeight w:val="20"/>
          <w:jc w:val="center"/>
        </w:trPr>
        <w:tc>
          <w:tcPr>
            <w:tcW w:w="581" w:type="dxa"/>
            <w:vAlign w:val="center"/>
          </w:tcPr>
          <w:p w14:paraId="35A9FD74" w14:textId="34657062"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8</w:t>
            </w:r>
          </w:p>
        </w:tc>
        <w:tc>
          <w:tcPr>
            <w:tcW w:w="1339" w:type="dxa"/>
            <w:vAlign w:val="center"/>
          </w:tcPr>
          <w:p w14:paraId="556D15D8" w14:textId="32953EC3"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Maharashtra</w:t>
            </w:r>
          </w:p>
        </w:tc>
        <w:tc>
          <w:tcPr>
            <w:tcW w:w="896" w:type="dxa"/>
            <w:vAlign w:val="center"/>
          </w:tcPr>
          <w:p w14:paraId="54EBDCFA" w14:textId="22958C8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593.00</w:t>
            </w:r>
          </w:p>
        </w:tc>
        <w:tc>
          <w:tcPr>
            <w:tcW w:w="963" w:type="dxa"/>
            <w:vAlign w:val="center"/>
          </w:tcPr>
          <w:p w14:paraId="77895708" w14:textId="5E3D71D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5702.82</w:t>
            </w:r>
          </w:p>
        </w:tc>
        <w:tc>
          <w:tcPr>
            <w:tcW w:w="1440" w:type="dxa"/>
            <w:vAlign w:val="center"/>
          </w:tcPr>
          <w:p w14:paraId="6ADCC38B" w14:textId="7644E13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5109.82</w:t>
            </w:r>
          </w:p>
        </w:tc>
        <w:tc>
          <w:tcPr>
            <w:tcW w:w="982" w:type="dxa"/>
            <w:vAlign w:val="center"/>
          </w:tcPr>
          <w:p w14:paraId="32468C3B" w14:textId="4B80662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861.70</w:t>
            </w:r>
          </w:p>
        </w:tc>
        <w:tc>
          <w:tcPr>
            <w:tcW w:w="984" w:type="dxa"/>
            <w:vAlign w:val="center"/>
          </w:tcPr>
          <w:p w14:paraId="577E7A17" w14:textId="17DBAD2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0.84</w:t>
            </w:r>
          </w:p>
        </w:tc>
        <w:tc>
          <w:tcPr>
            <w:tcW w:w="965" w:type="dxa"/>
            <w:vAlign w:val="center"/>
          </w:tcPr>
          <w:p w14:paraId="2A1EA936" w14:textId="618D7EFD"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8.10</w:t>
            </w:r>
          </w:p>
        </w:tc>
        <w:tc>
          <w:tcPr>
            <w:tcW w:w="922" w:type="dxa"/>
            <w:vAlign w:val="center"/>
          </w:tcPr>
          <w:p w14:paraId="754E42D2" w14:textId="0C4D8C0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7.25</w:t>
            </w:r>
          </w:p>
        </w:tc>
      </w:tr>
      <w:tr w:rsidR="008A0CEF" w:rsidRPr="009F214D" w14:paraId="38576DE1" w14:textId="77777777" w:rsidTr="00B933C9">
        <w:trPr>
          <w:trHeight w:val="20"/>
          <w:jc w:val="center"/>
        </w:trPr>
        <w:tc>
          <w:tcPr>
            <w:tcW w:w="581" w:type="dxa"/>
            <w:vAlign w:val="center"/>
          </w:tcPr>
          <w:p w14:paraId="243678C6" w14:textId="0D1F13F4"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9</w:t>
            </w:r>
          </w:p>
        </w:tc>
        <w:tc>
          <w:tcPr>
            <w:tcW w:w="1339" w:type="dxa"/>
            <w:vAlign w:val="center"/>
          </w:tcPr>
          <w:p w14:paraId="58C4039E" w14:textId="7C4D287E"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Orissa</w:t>
            </w:r>
          </w:p>
        </w:tc>
        <w:tc>
          <w:tcPr>
            <w:tcW w:w="896" w:type="dxa"/>
            <w:vAlign w:val="center"/>
          </w:tcPr>
          <w:p w14:paraId="72CBAD5F" w14:textId="3717541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664.01</w:t>
            </w:r>
          </w:p>
        </w:tc>
        <w:tc>
          <w:tcPr>
            <w:tcW w:w="963" w:type="dxa"/>
            <w:vAlign w:val="center"/>
          </w:tcPr>
          <w:p w14:paraId="0AC701B6" w14:textId="1502135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162.48</w:t>
            </w:r>
          </w:p>
        </w:tc>
        <w:tc>
          <w:tcPr>
            <w:tcW w:w="1440" w:type="dxa"/>
            <w:vAlign w:val="center"/>
          </w:tcPr>
          <w:p w14:paraId="0F9961B0" w14:textId="0BAC6BF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-501.52</w:t>
            </w:r>
          </w:p>
        </w:tc>
        <w:tc>
          <w:tcPr>
            <w:tcW w:w="982" w:type="dxa"/>
            <w:vAlign w:val="center"/>
          </w:tcPr>
          <w:p w14:paraId="0A4543C1" w14:textId="70B68C2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-75.53</w:t>
            </w:r>
          </w:p>
        </w:tc>
        <w:tc>
          <w:tcPr>
            <w:tcW w:w="984" w:type="dxa"/>
            <w:vAlign w:val="center"/>
          </w:tcPr>
          <w:p w14:paraId="1E44FA0A" w14:textId="262C124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2.28</w:t>
            </w:r>
          </w:p>
        </w:tc>
        <w:tc>
          <w:tcPr>
            <w:tcW w:w="965" w:type="dxa"/>
            <w:vAlign w:val="center"/>
          </w:tcPr>
          <w:p w14:paraId="57390A94" w14:textId="03C5302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0.56</w:t>
            </w:r>
          </w:p>
        </w:tc>
        <w:tc>
          <w:tcPr>
            <w:tcW w:w="922" w:type="dxa"/>
            <w:vAlign w:val="center"/>
          </w:tcPr>
          <w:p w14:paraId="4257AB67" w14:textId="3ED4977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-1.72</w:t>
            </w:r>
          </w:p>
        </w:tc>
      </w:tr>
      <w:tr w:rsidR="008A0CEF" w:rsidRPr="009F214D" w14:paraId="27A01D60" w14:textId="77777777" w:rsidTr="00B933C9">
        <w:trPr>
          <w:trHeight w:val="20"/>
          <w:jc w:val="center"/>
        </w:trPr>
        <w:tc>
          <w:tcPr>
            <w:tcW w:w="581" w:type="dxa"/>
            <w:vAlign w:val="center"/>
          </w:tcPr>
          <w:p w14:paraId="69BFE753" w14:textId="4493C424"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10</w:t>
            </w:r>
          </w:p>
        </w:tc>
        <w:tc>
          <w:tcPr>
            <w:tcW w:w="1339" w:type="dxa"/>
            <w:vAlign w:val="center"/>
          </w:tcPr>
          <w:p w14:paraId="021A46D4" w14:textId="73D871DE"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Punjab</w:t>
            </w:r>
          </w:p>
        </w:tc>
        <w:tc>
          <w:tcPr>
            <w:tcW w:w="896" w:type="dxa"/>
            <w:vAlign w:val="center"/>
          </w:tcPr>
          <w:p w14:paraId="451BE72A" w14:textId="519534D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390.00</w:t>
            </w:r>
          </w:p>
        </w:tc>
        <w:tc>
          <w:tcPr>
            <w:tcW w:w="963" w:type="dxa"/>
            <w:vAlign w:val="center"/>
          </w:tcPr>
          <w:p w14:paraId="5A802048" w14:textId="64197BE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236.99</w:t>
            </w:r>
          </w:p>
        </w:tc>
        <w:tc>
          <w:tcPr>
            <w:tcW w:w="1440" w:type="dxa"/>
            <w:vAlign w:val="center"/>
          </w:tcPr>
          <w:p w14:paraId="00635BD4" w14:textId="40B3AF5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-153.01</w:t>
            </w:r>
          </w:p>
        </w:tc>
        <w:tc>
          <w:tcPr>
            <w:tcW w:w="982" w:type="dxa"/>
            <w:vAlign w:val="center"/>
          </w:tcPr>
          <w:p w14:paraId="7EC6762E" w14:textId="485AE66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-39.23</w:t>
            </w:r>
          </w:p>
        </w:tc>
        <w:tc>
          <w:tcPr>
            <w:tcW w:w="984" w:type="dxa"/>
            <w:vAlign w:val="center"/>
          </w:tcPr>
          <w:p w14:paraId="1EB0BC53" w14:textId="624543D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2.09</w:t>
            </w:r>
          </w:p>
        </w:tc>
        <w:tc>
          <w:tcPr>
            <w:tcW w:w="965" w:type="dxa"/>
            <w:vAlign w:val="center"/>
          </w:tcPr>
          <w:p w14:paraId="7D357685" w14:textId="1649AF0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1.27</w:t>
            </w:r>
          </w:p>
        </w:tc>
        <w:tc>
          <w:tcPr>
            <w:tcW w:w="922" w:type="dxa"/>
            <w:vAlign w:val="center"/>
          </w:tcPr>
          <w:p w14:paraId="0710B944" w14:textId="23CCAAC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-0.82</w:t>
            </w:r>
          </w:p>
        </w:tc>
      </w:tr>
      <w:tr w:rsidR="008A0CEF" w:rsidRPr="009F214D" w14:paraId="47A91789" w14:textId="77777777" w:rsidTr="00B933C9">
        <w:trPr>
          <w:trHeight w:val="20"/>
          <w:jc w:val="center"/>
        </w:trPr>
        <w:tc>
          <w:tcPr>
            <w:tcW w:w="581" w:type="dxa"/>
            <w:vAlign w:val="center"/>
          </w:tcPr>
          <w:p w14:paraId="2C1CF8D2" w14:textId="3CF8CE24"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11</w:t>
            </w:r>
          </w:p>
        </w:tc>
        <w:tc>
          <w:tcPr>
            <w:tcW w:w="1339" w:type="dxa"/>
            <w:vAlign w:val="center"/>
          </w:tcPr>
          <w:p w14:paraId="6E826C86" w14:textId="3009201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Rajasthan</w:t>
            </w:r>
          </w:p>
        </w:tc>
        <w:tc>
          <w:tcPr>
            <w:tcW w:w="896" w:type="dxa"/>
            <w:vAlign w:val="center"/>
          </w:tcPr>
          <w:p w14:paraId="1C8A4186" w14:textId="692099C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2079.99</w:t>
            </w:r>
          </w:p>
        </w:tc>
        <w:tc>
          <w:tcPr>
            <w:tcW w:w="963" w:type="dxa"/>
            <w:vAlign w:val="center"/>
          </w:tcPr>
          <w:p w14:paraId="7F007A6E" w14:textId="22B81A1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919.22</w:t>
            </w:r>
          </w:p>
        </w:tc>
        <w:tc>
          <w:tcPr>
            <w:tcW w:w="1440" w:type="dxa"/>
            <w:vAlign w:val="center"/>
          </w:tcPr>
          <w:p w14:paraId="5065DC79" w14:textId="0BCDEA6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-1160.77</w:t>
            </w:r>
          </w:p>
        </w:tc>
        <w:tc>
          <w:tcPr>
            <w:tcW w:w="982" w:type="dxa"/>
            <w:vAlign w:val="center"/>
          </w:tcPr>
          <w:p w14:paraId="6EC7FA60" w14:textId="75A6498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-55.81</w:t>
            </w:r>
          </w:p>
        </w:tc>
        <w:tc>
          <w:tcPr>
            <w:tcW w:w="984" w:type="dxa"/>
            <w:vAlign w:val="center"/>
          </w:tcPr>
          <w:p w14:paraId="08DD2EB6" w14:textId="075FD7A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5.23</w:t>
            </w:r>
          </w:p>
        </w:tc>
        <w:tc>
          <w:tcPr>
            <w:tcW w:w="965" w:type="dxa"/>
            <w:vAlign w:val="center"/>
          </w:tcPr>
          <w:p w14:paraId="2855BD15" w14:textId="02DFDA4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2.31</w:t>
            </w:r>
          </w:p>
        </w:tc>
        <w:tc>
          <w:tcPr>
            <w:tcW w:w="922" w:type="dxa"/>
            <w:vAlign w:val="center"/>
          </w:tcPr>
          <w:p w14:paraId="7C43949C" w14:textId="60C5EF1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-2.92</w:t>
            </w:r>
          </w:p>
        </w:tc>
      </w:tr>
      <w:tr w:rsidR="008A0CEF" w:rsidRPr="009F214D" w14:paraId="08338717" w14:textId="77777777" w:rsidTr="00B933C9">
        <w:trPr>
          <w:trHeight w:val="20"/>
          <w:jc w:val="center"/>
        </w:trPr>
        <w:tc>
          <w:tcPr>
            <w:tcW w:w="581" w:type="dxa"/>
            <w:vAlign w:val="center"/>
          </w:tcPr>
          <w:p w14:paraId="7C506D65" w14:textId="3BD231A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12</w:t>
            </w:r>
          </w:p>
        </w:tc>
        <w:tc>
          <w:tcPr>
            <w:tcW w:w="1339" w:type="dxa"/>
            <w:vAlign w:val="center"/>
          </w:tcPr>
          <w:p w14:paraId="3481BD78" w14:textId="09C7CBA2"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Tamil Nadu</w:t>
            </w:r>
          </w:p>
        </w:tc>
        <w:tc>
          <w:tcPr>
            <w:tcW w:w="896" w:type="dxa"/>
            <w:vAlign w:val="center"/>
          </w:tcPr>
          <w:p w14:paraId="704E6F25" w14:textId="50DBB1E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1721.00</w:t>
            </w:r>
          </w:p>
        </w:tc>
        <w:tc>
          <w:tcPr>
            <w:tcW w:w="963" w:type="dxa"/>
            <w:vAlign w:val="center"/>
          </w:tcPr>
          <w:p w14:paraId="0C0AD462" w14:textId="174509F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2543.95</w:t>
            </w:r>
          </w:p>
        </w:tc>
        <w:tc>
          <w:tcPr>
            <w:tcW w:w="1440" w:type="dxa"/>
            <w:vAlign w:val="center"/>
          </w:tcPr>
          <w:p w14:paraId="1682637C" w14:textId="4E9D20A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822.95</w:t>
            </w:r>
          </w:p>
        </w:tc>
        <w:tc>
          <w:tcPr>
            <w:tcW w:w="982" w:type="dxa"/>
            <w:vAlign w:val="center"/>
          </w:tcPr>
          <w:p w14:paraId="232F4226" w14:textId="7CFA762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47.82</w:t>
            </w:r>
          </w:p>
        </w:tc>
        <w:tc>
          <w:tcPr>
            <w:tcW w:w="984" w:type="dxa"/>
            <w:vAlign w:val="center"/>
          </w:tcPr>
          <w:p w14:paraId="670964D3" w14:textId="2F941EB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3.24</w:t>
            </w:r>
          </w:p>
        </w:tc>
        <w:tc>
          <w:tcPr>
            <w:tcW w:w="965" w:type="dxa"/>
            <w:vAlign w:val="center"/>
          </w:tcPr>
          <w:p w14:paraId="6E6DD541" w14:textId="606C580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4.80</w:t>
            </w:r>
          </w:p>
        </w:tc>
        <w:tc>
          <w:tcPr>
            <w:tcW w:w="922" w:type="dxa"/>
            <w:vAlign w:val="center"/>
          </w:tcPr>
          <w:p w14:paraId="069B2051" w14:textId="377A122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1.55</w:t>
            </w:r>
          </w:p>
        </w:tc>
      </w:tr>
      <w:tr w:rsidR="008A0CEF" w:rsidRPr="009F214D" w14:paraId="1B6C21F1" w14:textId="77777777" w:rsidTr="00B933C9">
        <w:trPr>
          <w:trHeight w:val="20"/>
          <w:jc w:val="center"/>
        </w:trPr>
        <w:tc>
          <w:tcPr>
            <w:tcW w:w="581" w:type="dxa"/>
            <w:vAlign w:val="center"/>
          </w:tcPr>
          <w:p w14:paraId="3292B5FB" w14:textId="1E5ED8F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13</w:t>
            </w:r>
          </w:p>
        </w:tc>
        <w:tc>
          <w:tcPr>
            <w:tcW w:w="1339" w:type="dxa"/>
            <w:vAlign w:val="center"/>
          </w:tcPr>
          <w:p w14:paraId="415C2C42" w14:textId="37B66156"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Uttar Pradesh</w:t>
            </w:r>
          </w:p>
        </w:tc>
        <w:tc>
          <w:tcPr>
            <w:tcW w:w="896" w:type="dxa"/>
            <w:vAlign w:val="center"/>
          </w:tcPr>
          <w:p w14:paraId="081AC429" w14:textId="6AC0DF6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3404.01</w:t>
            </w:r>
          </w:p>
        </w:tc>
        <w:tc>
          <w:tcPr>
            <w:tcW w:w="963" w:type="dxa"/>
            <w:vAlign w:val="center"/>
          </w:tcPr>
          <w:p w14:paraId="05E406C1" w14:textId="0447775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1345.31</w:t>
            </w:r>
          </w:p>
        </w:tc>
        <w:tc>
          <w:tcPr>
            <w:tcW w:w="1440" w:type="dxa"/>
            <w:vAlign w:val="center"/>
          </w:tcPr>
          <w:p w14:paraId="17E3D3E3" w14:textId="44BA274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-2058.69</w:t>
            </w:r>
          </w:p>
        </w:tc>
        <w:tc>
          <w:tcPr>
            <w:tcW w:w="982" w:type="dxa"/>
            <w:vAlign w:val="center"/>
          </w:tcPr>
          <w:p w14:paraId="1A4460AB" w14:textId="3481FDD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-60.48</w:t>
            </w:r>
          </w:p>
        </w:tc>
        <w:tc>
          <w:tcPr>
            <w:tcW w:w="984" w:type="dxa"/>
            <w:vAlign w:val="center"/>
          </w:tcPr>
          <w:p w14:paraId="4C3D323F" w14:textId="79F36D7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2.73</w:t>
            </w:r>
          </w:p>
        </w:tc>
        <w:tc>
          <w:tcPr>
            <w:tcW w:w="965" w:type="dxa"/>
            <w:vAlign w:val="center"/>
          </w:tcPr>
          <w:p w14:paraId="62BD8894" w14:textId="0ABBDBC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1.08</w:t>
            </w:r>
          </w:p>
        </w:tc>
        <w:tc>
          <w:tcPr>
            <w:tcW w:w="922" w:type="dxa"/>
            <w:vAlign w:val="center"/>
          </w:tcPr>
          <w:p w14:paraId="1C2D92F9" w14:textId="63EA4D7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-1.65</w:t>
            </w:r>
          </w:p>
        </w:tc>
      </w:tr>
      <w:tr w:rsidR="008A0CEF" w:rsidRPr="009F214D" w14:paraId="0D101A20" w14:textId="77777777" w:rsidTr="00B933C9">
        <w:trPr>
          <w:trHeight w:val="20"/>
          <w:jc w:val="center"/>
        </w:trPr>
        <w:tc>
          <w:tcPr>
            <w:tcW w:w="581" w:type="dxa"/>
            <w:vAlign w:val="center"/>
          </w:tcPr>
          <w:p w14:paraId="5334FA4D" w14:textId="3DC6F4B3"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14</w:t>
            </w:r>
          </w:p>
        </w:tc>
        <w:tc>
          <w:tcPr>
            <w:tcW w:w="1339" w:type="dxa"/>
            <w:vAlign w:val="center"/>
          </w:tcPr>
          <w:p w14:paraId="327332E4" w14:textId="14A63DEA"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West Bengal</w:t>
            </w:r>
          </w:p>
        </w:tc>
        <w:tc>
          <w:tcPr>
            <w:tcW w:w="896" w:type="dxa"/>
            <w:vAlign w:val="center"/>
          </w:tcPr>
          <w:p w14:paraId="08742348" w14:textId="48A1E70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2225.01</w:t>
            </w:r>
          </w:p>
        </w:tc>
        <w:tc>
          <w:tcPr>
            <w:tcW w:w="963" w:type="dxa"/>
            <w:vAlign w:val="center"/>
          </w:tcPr>
          <w:p w14:paraId="6A7A3B73" w14:textId="06294AD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1149.16</w:t>
            </w:r>
          </w:p>
        </w:tc>
        <w:tc>
          <w:tcPr>
            <w:tcW w:w="1440" w:type="dxa"/>
            <w:vAlign w:val="center"/>
          </w:tcPr>
          <w:p w14:paraId="6E4790C1" w14:textId="7928FCA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-1075.85</w:t>
            </w:r>
          </w:p>
        </w:tc>
        <w:tc>
          <w:tcPr>
            <w:tcW w:w="982" w:type="dxa"/>
            <w:vAlign w:val="center"/>
          </w:tcPr>
          <w:p w14:paraId="4A891E1F" w14:textId="3470CD9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-48.35</w:t>
            </w:r>
          </w:p>
        </w:tc>
        <w:tc>
          <w:tcPr>
            <w:tcW w:w="984" w:type="dxa"/>
            <w:vAlign w:val="center"/>
          </w:tcPr>
          <w:p w14:paraId="09555538" w14:textId="668BBB5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3.65</w:t>
            </w:r>
          </w:p>
        </w:tc>
        <w:tc>
          <w:tcPr>
            <w:tcW w:w="965" w:type="dxa"/>
            <w:vAlign w:val="center"/>
          </w:tcPr>
          <w:p w14:paraId="29B30389" w14:textId="199F269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1.89</w:t>
            </w:r>
          </w:p>
        </w:tc>
        <w:tc>
          <w:tcPr>
            <w:tcW w:w="922" w:type="dxa"/>
            <w:vAlign w:val="center"/>
          </w:tcPr>
          <w:p w14:paraId="539B6F77" w14:textId="09983FD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-1.77</w:t>
            </w:r>
          </w:p>
        </w:tc>
      </w:tr>
      <w:tr w:rsidR="008A0CEF" w:rsidRPr="009F214D" w14:paraId="5F9B9B2A" w14:textId="77777777" w:rsidTr="00B933C9">
        <w:trPr>
          <w:trHeight w:val="20"/>
          <w:jc w:val="center"/>
        </w:trPr>
        <w:tc>
          <w:tcPr>
            <w:tcW w:w="581" w:type="dxa"/>
            <w:vAlign w:val="center"/>
          </w:tcPr>
          <w:p w14:paraId="2F1F0B1F" w14:textId="6F9C728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b/>
                <w:bCs/>
                <w:sz w:val="16"/>
                <w:szCs w:val="16"/>
              </w:rPr>
              <w:t>14</w:t>
            </w:r>
          </w:p>
        </w:tc>
        <w:tc>
          <w:tcPr>
            <w:tcW w:w="1339" w:type="dxa"/>
            <w:vAlign w:val="center"/>
          </w:tcPr>
          <w:p w14:paraId="54FA6FA3" w14:textId="5FE2577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b/>
                <w:bCs/>
                <w:sz w:val="16"/>
                <w:szCs w:val="16"/>
              </w:rPr>
              <w:t>Major States</w:t>
            </w:r>
          </w:p>
        </w:tc>
        <w:tc>
          <w:tcPr>
            <w:tcW w:w="896" w:type="dxa"/>
            <w:vAlign w:val="center"/>
          </w:tcPr>
          <w:p w14:paraId="2699B614" w14:textId="094279E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18648.98</w:t>
            </w:r>
          </w:p>
        </w:tc>
        <w:tc>
          <w:tcPr>
            <w:tcW w:w="963" w:type="dxa"/>
            <w:vAlign w:val="center"/>
          </w:tcPr>
          <w:p w14:paraId="71EAEC63" w14:textId="564A53B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18648.98</w:t>
            </w:r>
          </w:p>
        </w:tc>
        <w:tc>
          <w:tcPr>
            <w:tcW w:w="1440" w:type="dxa"/>
            <w:vAlign w:val="center"/>
          </w:tcPr>
          <w:p w14:paraId="5C7B8AF9" w14:textId="7C79E53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0.00</w:t>
            </w:r>
          </w:p>
        </w:tc>
        <w:tc>
          <w:tcPr>
            <w:tcW w:w="982" w:type="dxa"/>
            <w:vAlign w:val="center"/>
          </w:tcPr>
          <w:p w14:paraId="0A8F59C9" w14:textId="6B5C9F5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0.00</w:t>
            </w:r>
          </w:p>
        </w:tc>
        <w:tc>
          <w:tcPr>
            <w:tcW w:w="984" w:type="dxa"/>
            <w:vAlign w:val="center"/>
          </w:tcPr>
          <w:p w14:paraId="38743A01" w14:textId="5B58C2F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2.60</w:t>
            </w:r>
          </w:p>
        </w:tc>
        <w:tc>
          <w:tcPr>
            <w:tcW w:w="965" w:type="dxa"/>
            <w:vAlign w:val="center"/>
          </w:tcPr>
          <w:p w14:paraId="5DE204DD" w14:textId="773C3DC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2.60</w:t>
            </w:r>
          </w:p>
        </w:tc>
        <w:tc>
          <w:tcPr>
            <w:tcW w:w="922" w:type="dxa"/>
            <w:vAlign w:val="center"/>
          </w:tcPr>
          <w:p w14:paraId="42E17D95" w14:textId="5D1B7A3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0.00</w:t>
            </w:r>
          </w:p>
        </w:tc>
      </w:tr>
      <w:tr w:rsidR="008A0CEF" w:rsidRPr="009F214D" w14:paraId="3F542F29" w14:textId="77777777" w:rsidTr="003D0E28">
        <w:trPr>
          <w:trHeight w:val="20"/>
          <w:jc w:val="center"/>
        </w:trPr>
        <w:tc>
          <w:tcPr>
            <w:tcW w:w="9072" w:type="dxa"/>
            <w:gridSpan w:val="9"/>
            <w:vAlign w:val="center"/>
          </w:tcPr>
          <w:p w14:paraId="28D99C76" w14:textId="1893B8D9"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b/>
                <w:bCs/>
                <w:sz w:val="20"/>
                <w:szCs w:val="20"/>
              </w:rPr>
              <w:t>Expenditure Category: Economic Services</w:t>
            </w:r>
          </w:p>
        </w:tc>
      </w:tr>
      <w:tr w:rsidR="008A0CEF" w:rsidRPr="009F214D" w14:paraId="0C3618C4" w14:textId="77777777" w:rsidTr="00B933C9">
        <w:trPr>
          <w:trHeight w:val="20"/>
          <w:jc w:val="center"/>
        </w:trPr>
        <w:tc>
          <w:tcPr>
            <w:tcW w:w="581" w:type="dxa"/>
            <w:vAlign w:val="center"/>
          </w:tcPr>
          <w:p w14:paraId="1DD4FDA0" w14:textId="586B8A14" w:rsidR="008A0CEF" w:rsidRPr="008A0CEF" w:rsidRDefault="008A0CEF" w:rsidP="008A0CEF">
            <w:pPr>
              <w:tabs>
                <w:tab w:val="left" w:pos="2805"/>
              </w:tabs>
              <w:rPr>
                <w:rFonts w:ascii="Times New Roman" w:hAnsi="Times New Roman" w:cs="Times New Roman"/>
                <w:b/>
                <w:bCs/>
                <w:sz w:val="16"/>
                <w:szCs w:val="16"/>
              </w:rPr>
            </w:pPr>
            <w:r w:rsidRPr="0078036E">
              <w:rPr>
                <w:rFonts w:ascii="Times New Roman" w:hAnsi="Times New Roman" w:cs="Times New Roman"/>
                <w:sz w:val="16"/>
                <w:szCs w:val="16"/>
              </w:rPr>
              <w:t>1</w:t>
            </w:r>
          </w:p>
        </w:tc>
        <w:tc>
          <w:tcPr>
            <w:tcW w:w="1339" w:type="dxa"/>
            <w:vAlign w:val="center"/>
          </w:tcPr>
          <w:p w14:paraId="0F129A80" w14:textId="309D0D9D" w:rsidR="008A0CEF" w:rsidRPr="008A0CEF" w:rsidRDefault="008A0CEF" w:rsidP="008A0CEF">
            <w:pPr>
              <w:tabs>
                <w:tab w:val="left" w:pos="2805"/>
              </w:tabs>
              <w:rPr>
                <w:rFonts w:ascii="Times New Roman" w:hAnsi="Times New Roman" w:cs="Times New Roman"/>
                <w:b/>
                <w:bCs/>
                <w:sz w:val="16"/>
                <w:szCs w:val="16"/>
              </w:rPr>
            </w:pPr>
            <w:r w:rsidRPr="0078036E">
              <w:rPr>
                <w:rFonts w:ascii="Times New Roman" w:hAnsi="Times New Roman" w:cs="Times New Roman"/>
                <w:sz w:val="16"/>
                <w:szCs w:val="16"/>
              </w:rPr>
              <w:t>Andhra Pradesh</w:t>
            </w:r>
          </w:p>
        </w:tc>
        <w:tc>
          <w:tcPr>
            <w:tcW w:w="896" w:type="dxa"/>
            <w:vAlign w:val="center"/>
          </w:tcPr>
          <w:p w14:paraId="57BDDCE4" w14:textId="14200C8A"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20996.03</w:t>
            </w:r>
          </w:p>
        </w:tc>
        <w:tc>
          <w:tcPr>
            <w:tcW w:w="963" w:type="dxa"/>
            <w:vAlign w:val="center"/>
          </w:tcPr>
          <w:p w14:paraId="29D0001B" w14:textId="2C8DCF11"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20164.17</w:t>
            </w:r>
          </w:p>
        </w:tc>
        <w:tc>
          <w:tcPr>
            <w:tcW w:w="1440" w:type="dxa"/>
            <w:vAlign w:val="center"/>
          </w:tcPr>
          <w:p w14:paraId="2BA0C727" w14:textId="574D9D36"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-831.86</w:t>
            </w:r>
          </w:p>
        </w:tc>
        <w:tc>
          <w:tcPr>
            <w:tcW w:w="982" w:type="dxa"/>
            <w:vAlign w:val="center"/>
          </w:tcPr>
          <w:p w14:paraId="5204F79D" w14:textId="5794F8E2"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-3.96</w:t>
            </w:r>
          </w:p>
        </w:tc>
        <w:tc>
          <w:tcPr>
            <w:tcW w:w="984" w:type="dxa"/>
            <w:vAlign w:val="center"/>
          </w:tcPr>
          <w:p w14:paraId="239C10B6" w14:textId="091CCEE5"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35.30</w:t>
            </w:r>
          </w:p>
        </w:tc>
        <w:tc>
          <w:tcPr>
            <w:tcW w:w="965" w:type="dxa"/>
            <w:vAlign w:val="center"/>
          </w:tcPr>
          <w:p w14:paraId="3539E551" w14:textId="3139E409"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33.90</w:t>
            </w:r>
          </w:p>
        </w:tc>
        <w:tc>
          <w:tcPr>
            <w:tcW w:w="922" w:type="dxa"/>
            <w:vAlign w:val="center"/>
          </w:tcPr>
          <w:p w14:paraId="091F2E0B" w14:textId="14EDF3A1" w:rsidR="008A0CEF" w:rsidRPr="008A0CEF"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sz w:val="16"/>
                <w:szCs w:val="16"/>
              </w:rPr>
              <w:t>-1.40</w:t>
            </w:r>
          </w:p>
        </w:tc>
      </w:tr>
      <w:tr w:rsidR="008A0CEF" w:rsidRPr="009F214D" w14:paraId="51009F76" w14:textId="77777777" w:rsidTr="00B933C9">
        <w:trPr>
          <w:trHeight w:val="20"/>
          <w:jc w:val="center"/>
        </w:trPr>
        <w:tc>
          <w:tcPr>
            <w:tcW w:w="581" w:type="dxa"/>
            <w:vAlign w:val="center"/>
          </w:tcPr>
          <w:p w14:paraId="52C9B3ED" w14:textId="1FF25779"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2</w:t>
            </w:r>
          </w:p>
        </w:tc>
        <w:tc>
          <w:tcPr>
            <w:tcW w:w="1339" w:type="dxa"/>
            <w:vAlign w:val="center"/>
          </w:tcPr>
          <w:p w14:paraId="1F086F47" w14:textId="2F127C1F"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Bihar</w:t>
            </w:r>
          </w:p>
        </w:tc>
        <w:tc>
          <w:tcPr>
            <w:tcW w:w="896" w:type="dxa"/>
            <w:vAlign w:val="center"/>
          </w:tcPr>
          <w:p w14:paraId="21A1CB04" w14:textId="73308FD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18275.00</w:t>
            </w:r>
          </w:p>
        </w:tc>
        <w:tc>
          <w:tcPr>
            <w:tcW w:w="963" w:type="dxa"/>
            <w:vAlign w:val="center"/>
          </w:tcPr>
          <w:p w14:paraId="56F61239" w14:textId="290A4DF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13360.74</w:t>
            </w:r>
          </w:p>
        </w:tc>
        <w:tc>
          <w:tcPr>
            <w:tcW w:w="1440" w:type="dxa"/>
            <w:vAlign w:val="center"/>
          </w:tcPr>
          <w:p w14:paraId="3925F045" w14:textId="0B5E057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-4914.26</w:t>
            </w:r>
          </w:p>
        </w:tc>
        <w:tc>
          <w:tcPr>
            <w:tcW w:w="982" w:type="dxa"/>
            <w:vAlign w:val="center"/>
          </w:tcPr>
          <w:p w14:paraId="7F7F5F8E" w14:textId="3104DFC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-26.89</w:t>
            </w:r>
          </w:p>
        </w:tc>
        <w:tc>
          <w:tcPr>
            <w:tcW w:w="984" w:type="dxa"/>
            <w:vAlign w:val="center"/>
          </w:tcPr>
          <w:p w14:paraId="5481B848" w14:textId="2308BF1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23.21</w:t>
            </w:r>
          </w:p>
        </w:tc>
        <w:tc>
          <w:tcPr>
            <w:tcW w:w="965" w:type="dxa"/>
            <w:vAlign w:val="center"/>
          </w:tcPr>
          <w:p w14:paraId="0F877900" w14:textId="21969B6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16.97</w:t>
            </w:r>
          </w:p>
        </w:tc>
        <w:tc>
          <w:tcPr>
            <w:tcW w:w="922" w:type="dxa"/>
            <w:vAlign w:val="center"/>
          </w:tcPr>
          <w:p w14:paraId="5B39BC7B" w14:textId="29D3DEE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-6.24</w:t>
            </w:r>
          </w:p>
        </w:tc>
      </w:tr>
      <w:tr w:rsidR="008A0CEF" w:rsidRPr="009F214D" w14:paraId="618F9FEE" w14:textId="77777777" w:rsidTr="00B933C9">
        <w:trPr>
          <w:trHeight w:val="20"/>
          <w:jc w:val="center"/>
        </w:trPr>
        <w:tc>
          <w:tcPr>
            <w:tcW w:w="581" w:type="dxa"/>
            <w:vAlign w:val="center"/>
          </w:tcPr>
          <w:p w14:paraId="58B87D9E" w14:textId="5DF74640"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3</w:t>
            </w:r>
          </w:p>
        </w:tc>
        <w:tc>
          <w:tcPr>
            <w:tcW w:w="1339" w:type="dxa"/>
            <w:vAlign w:val="center"/>
          </w:tcPr>
          <w:p w14:paraId="38B8001F" w14:textId="724EE87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Gujarat</w:t>
            </w:r>
          </w:p>
        </w:tc>
        <w:tc>
          <w:tcPr>
            <w:tcW w:w="896" w:type="dxa"/>
            <w:vAlign w:val="center"/>
          </w:tcPr>
          <w:p w14:paraId="05E98A6B" w14:textId="583896D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26346.76</w:t>
            </w:r>
          </w:p>
        </w:tc>
        <w:tc>
          <w:tcPr>
            <w:tcW w:w="963" w:type="dxa"/>
            <w:vAlign w:val="center"/>
          </w:tcPr>
          <w:p w14:paraId="6B6FE696" w14:textId="0E00655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24010.55</w:t>
            </w:r>
          </w:p>
        </w:tc>
        <w:tc>
          <w:tcPr>
            <w:tcW w:w="1440" w:type="dxa"/>
            <w:vAlign w:val="center"/>
          </w:tcPr>
          <w:p w14:paraId="3EEDFFC7" w14:textId="403C984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-2336.21</w:t>
            </w:r>
          </w:p>
        </w:tc>
        <w:tc>
          <w:tcPr>
            <w:tcW w:w="982" w:type="dxa"/>
            <w:vAlign w:val="center"/>
          </w:tcPr>
          <w:p w14:paraId="4B7A55BA" w14:textId="6FAA447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-8.87</w:t>
            </w:r>
          </w:p>
        </w:tc>
        <w:tc>
          <w:tcPr>
            <w:tcW w:w="984" w:type="dxa"/>
            <w:vAlign w:val="center"/>
          </w:tcPr>
          <w:p w14:paraId="2F3791A5" w14:textId="72125CC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69.14</w:t>
            </w:r>
          </w:p>
        </w:tc>
        <w:tc>
          <w:tcPr>
            <w:tcW w:w="965" w:type="dxa"/>
            <w:vAlign w:val="center"/>
          </w:tcPr>
          <w:p w14:paraId="01DB2EF4" w14:textId="457F2C2B"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63.01</w:t>
            </w:r>
          </w:p>
        </w:tc>
        <w:tc>
          <w:tcPr>
            <w:tcW w:w="922" w:type="dxa"/>
            <w:vAlign w:val="center"/>
          </w:tcPr>
          <w:p w14:paraId="50A4E91B" w14:textId="3ACE45A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-6.13</w:t>
            </w:r>
          </w:p>
        </w:tc>
      </w:tr>
      <w:tr w:rsidR="008A0CEF" w:rsidRPr="009F214D" w14:paraId="7B6EB2CA" w14:textId="77777777" w:rsidTr="00B933C9">
        <w:trPr>
          <w:trHeight w:val="20"/>
          <w:jc w:val="center"/>
        </w:trPr>
        <w:tc>
          <w:tcPr>
            <w:tcW w:w="581" w:type="dxa"/>
            <w:vAlign w:val="center"/>
          </w:tcPr>
          <w:p w14:paraId="645623F5" w14:textId="60CDDF19"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4</w:t>
            </w:r>
          </w:p>
        </w:tc>
        <w:tc>
          <w:tcPr>
            <w:tcW w:w="1339" w:type="dxa"/>
            <w:vAlign w:val="center"/>
          </w:tcPr>
          <w:p w14:paraId="57AE53D5" w14:textId="54F4BBB1"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Haryana</w:t>
            </w:r>
          </w:p>
        </w:tc>
        <w:tc>
          <w:tcPr>
            <w:tcW w:w="896" w:type="dxa"/>
            <w:vAlign w:val="center"/>
          </w:tcPr>
          <w:p w14:paraId="55D2E673" w14:textId="4BD1479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4738.84</w:t>
            </w:r>
          </w:p>
        </w:tc>
        <w:tc>
          <w:tcPr>
            <w:tcW w:w="963" w:type="dxa"/>
            <w:vAlign w:val="center"/>
          </w:tcPr>
          <w:p w14:paraId="16DF9BFA" w14:textId="36B396D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4711.08</w:t>
            </w:r>
          </w:p>
        </w:tc>
        <w:tc>
          <w:tcPr>
            <w:tcW w:w="1440" w:type="dxa"/>
            <w:vAlign w:val="center"/>
          </w:tcPr>
          <w:p w14:paraId="1B6F8344" w14:textId="22AD7D2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-27.77</w:t>
            </w:r>
          </w:p>
        </w:tc>
        <w:tc>
          <w:tcPr>
            <w:tcW w:w="982" w:type="dxa"/>
            <w:vAlign w:val="center"/>
          </w:tcPr>
          <w:p w14:paraId="200B7915" w14:textId="74A842D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-0.59</w:t>
            </w:r>
          </w:p>
        </w:tc>
        <w:tc>
          <w:tcPr>
            <w:tcW w:w="984" w:type="dxa"/>
            <w:vAlign w:val="center"/>
          </w:tcPr>
          <w:p w14:paraId="7330E900" w14:textId="76186ED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31.54</w:t>
            </w:r>
          </w:p>
        </w:tc>
        <w:tc>
          <w:tcPr>
            <w:tcW w:w="965" w:type="dxa"/>
            <w:vAlign w:val="center"/>
          </w:tcPr>
          <w:p w14:paraId="3667A50E" w14:textId="226043E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31.35</w:t>
            </w:r>
          </w:p>
        </w:tc>
        <w:tc>
          <w:tcPr>
            <w:tcW w:w="922" w:type="dxa"/>
            <w:vAlign w:val="center"/>
          </w:tcPr>
          <w:p w14:paraId="4133CDE5" w14:textId="621AF2F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-0.18</w:t>
            </w:r>
          </w:p>
        </w:tc>
      </w:tr>
      <w:tr w:rsidR="008A0CEF" w:rsidRPr="009F214D" w14:paraId="35BB88F2" w14:textId="77777777" w:rsidTr="00B933C9">
        <w:trPr>
          <w:trHeight w:val="20"/>
          <w:jc w:val="center"/>
        </w:trPr>
        <w:tc>
          <w:tcPr>
            <w:tcW w:w="581" w:type="dxa"/>
            <w:vAlign w:val="center"/>
          </w:tcPr>
          <w:p w14:paraId="492CE119" w14:textId="7681778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5</w:t>
            </w:r>
          </w:p>
        </w:tc>
        <w:tc>
          <w:tcPr>
            <w:tcW w:w="1339" w:type="dxa"/>
            <w:vAlign w:val="center"/>
          </w:tcPr>
          <w:p w14:paraId="59C4528C" w14:textId="5FD2E75B"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Karnataka</w:t>
            </w:r>
          </w:p>
        </w:tc>
        <w:tc>
          <w:tcPr>
            <w:tcW w:w="896" w:type="dxa"/>
            <w:vAlign w:val="center"/>
          </w:tcPr>
          <w:p w14:paraId="5B9FB639" w14:textId="3902772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20026.03</w:t>
            </w:r>
          </w:p>
        </w:tc>
        <w:tc>
          <w:tcPr>
            <w:tcW w:w="963" w:type="dxa"/>
            <w:vAlign w:val="center"/>
          </w:tcPr>
          <w:p w14:paraId="191EA218" w14:textId="2EA319D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20441.43</w:t>
            </w:r>
          </w:p>
        </w:tc>
        <w:tc>
          <w:tcPr>
            <w:tcW w:w="1440" w:type="dxa"/>
            <w:vAlign w:val="center"/>
          </w:tcPr>
          <w:p w14:paraId="473D3016" w14:textId="4223502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415.40</w:t>
            </w:r>
          </w:p>
        </w:tc>
        <w:tc>
          <w:tcPr>
            <w:tcW w:w="982" w:type="dxa"/>
            <w:vAlign w:val="center"/>
          </w:tcPr>
          <w:p w14:paraId="116A8CC5" w14:textId="5FC6DC7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2.07</w:t>
            </w:r>
          </w:p>
        </w:tc>
        <w:tc>
          <w:tcPr>
            <w:tcW w:w="984" w:type="dxa"/>
            <w:vAlign w:val="center"/>
          </w:tcPr>
          <w:p w14:paraId="3FA70DB3" w14:textId="6B044AB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47.90</w:t>
            </w:r>
          </w:p>
        </w:tc>
        <w:tc>
          <w:tcPr>
            <w:tcW w:w="965" w:type="dxa"/>
            <w:vAlign w:val="center"/>
          </w:tcPr>
          <w:p w14:paraId="06C56558" w14:textId="1EB45DD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48.89</w:t>
            </w:r>
          </w:p>
        </w:tc>
        <w:tc>
          <w:tcPr>
            <w:tcW w:w="922" w:type="dxa"/>
            <w:vAlign w:val="center"/>
          </w:tcPr>
          <w:p w14:paraId="5DCDA839" w14:textId="08812D5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0.99</w:t>
            </w:r>
          </w:p>
        </w:tc>
      </w:tr>
      <w:tr w:rsidR="008A0CEF" w:rsidRPr="009F214D" w14:paraId="21C7D629" w14:textId="77777777" w:rsidTr="00B933C9">
        <w:trPr>
          <w:trHeight w:val="20"/>
          <w:jc w:val="center"/>
        </w:trPr>
        <w:tc>
          <w:tcPr>
            <w:tcW w:w="581" w:type="dxa"/>
            <w:vAlign w:val="center"/>
          </w:tcPr>
          <w:p w14:paraId="24E4EF97" w14:textId="0A6F95D9"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6</w:t>
            </w:r>
          </w:p>
        </w:tc>
        <w:tc>
          <w:tcPr>
            <w:tcW w:w="1339" w:type="dxa"/>
            <w:vAlign w:val="center"/>
          </w:tcPr>
          <w:p w14:paraId="7DC83D35" w14:textId="75D46D16"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Kerala</w:t>
            </w:r>
          </w:p>
        </w:tc>
        <w:tc>
          <w:tcPr>
            <w:tcW w:w="896" w:type="dxa"/>
            <w:vAlign w:val="center"/>
          </w:tcPr>
          <w:p w14:paraId="05E113CB" w14:textId="7169DB3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9993.90</w:t>
            </w:r>
          </w:p>
        </w:tc>
        <w:tc>
          <w:tcPr>
            <w:tcW w:w="963" w:type="dxa"/>
            <w:vAlign w:val="center"/>
          </w:tcPr>
          <w:p w14:paraId="26C0F7D6" w14:textId="050C323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8293.19</w:t>
            </w:r>
          </w:p>
        </w:tc>
        <w:tc>
          <w:tcPr>
            <w:tcW w:w="1440" w:type="dxa"/>
            <w:vAlign w:val="center"/>
          </w:tcPr>
          <w:p w14:paraId="53F0A335" w14:textId="3FEE277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-1700.70</w:t>
            </w:r>
          </w:p>
        </w:tc>
        <w:tc>
          <w:tcPr>
            <w:tcW w:w="982" w:type="dxa"/>
            <w:vAlign w:val="center"/>
          </w:tcPr>
          <w:p w14:paraId="51B2199F" w14:textId="2E6DCE4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-17.02</w:t>
            </w:r>
          </w:p>
        </w:tc>
        <w:tc>
          <w:tcPr>
            <w:tcW w:w="984" w:type="dxa"/>
            <w:vAlign w:val="center"/>
          </w:tcPr>
          <w:p w14:paraId="388DBBC8" w14:textId="458EB0B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35.53</w:t>
            </w:r>
          </w:p>
        </w:tc>
        <w:tc>
          <w:tcPr>
            <w:tcW w:w="965" w:type="dxa"/>
            <w:vAlign w:val="center"/>
          </w:tcPr>
          <w:p w14:paraId="3069CB63" w14:textId="0E1F18A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29.49</w:t>
            </w:r>
          </w:p>
        </w:tc>
        <w:tc>
          <w:tcPr>
            <w:tcW w:w="922" w:type="dxa"/>
            <w:vAlign w:val="center"/>
          </w:tcPr>
          <w:p w14:paraId="65AC65BC" w14:textId="5A0292C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-6.05</w:t>
            </w:r>
          </w:p>
        </w:tc>
      </w:tr>
      <w:tr w:rsidR="008A0CEF" w:rsidRPr="009F214D" w14:paraId="57AC12FB" w14:textId="77777777" w:rsidTr="00B933C9">
        <w:trPr>
          <w:trHeight w:val="20"/>
          <w:jc w:val="center"/>
        </w:trPr>
        <w:tc>
          <w:tcPr>
            <w:tcW w:w="581" w:type="dxa"/>
            <w:vAlign w:val="center"/>
          </w:tcPr>
          <w:p w14:paraId="382B7EAC" w14:textId="7F60FD59"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7</w:t>
            </w:r>
          </w:p>
        </w:tc>
        <w:tc>
          <w:tcPr>
            <w:tcW w:w="1339" w:type="dxa"/>
            <w:vAlign w:val="center"/>
          </w:tcPr>
          <w:p w14:paraId="77A75F47" w14:textId="46E43B30"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Madhya Pradesh</w:t>
            </w:r>
          </w:p>
        </w:tc>
        <w:tc>
          <w:tcPr>
            <w:tcW w:w="896" w:type="dxa"/>
            <w:vAlign w:val="center"/>
          </w:tcPr>
          <w:p w14:paraId="6AFF1BFB" w14:textId="3CBF840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16154.02</w:t>
            </w:r>
          </w:p>
        </w:tc>
        <w:tc>
          <w:tcPr>
            <w:tcW w:w="963" w:type="dxa"/>
            <w:vAlign w:val="center"/>
          </w:tcPr>
          <w:p w14:paraId="57E14951" w14:textId="1A3876A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19257.12</w:t>
            </w:r>
          </w:p>
        </w:tc>
        <w:tc>
          <w:tcPr>
            <w:tcW w:w="1440" w:type="dxa"/>
            <w:vAlign w:val="center"/>
          </w:tcPr>
          <w:p w14:paraId="78C6A03C" w14:textId="032CBF6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3103.10</w:t>
            </w:r>
          </w:p>
        </w:tc>
        <w:tc>
          <w:tcPr>
            <w:tcW w:w="982" w:type="dxa"/>
            <w:vAlign w:val="center"/>
          </w:tcPr>
          <w:p w14:paraId="76FE08A4" w14:textId="66B7D15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19.21</w:t>
            </w:r>
          </w:p>
        </w:tc>
        <w:tc>
          <w:tcPr>
            <w:tcW w:w="984" w:type="dxa"/>
            <w:vAlign w:val="center"/>
          </w:tcPr>
          <w:p w14:paraId="0A9E7CAF" w14:textId="34E711A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27.43</w:t>
            </w:r>
          </w:p>
        </w:tc>
        <w:tc>
          <w:tcPr>
            <w:tcW w:w="965" w:type="dxa"/>
            <w:vAlign w:val="center"/>
          </w:tcPr>
          <w:p w14:paraId="7D21F7D9" w14:textId="1F9C5D9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32.70</w:t>
            </w:r>
          </w:p>
        </w:tc>
        <w:tc>
          <w:tcPr>
            <w:tcW w:w="922" w:type="dxa"/>
            <w:vAlign w:val="center"/>
          </w:tcPr>
          <w:p w14:paraId="1B2E3B77" w14:textId="4CBEB58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5.27</w:t>
            </w:r>
          </w:p>
        </w:tc>
      </w:tr>
      <w:tr w:rsidR="008A0CEF" w:rsidRPr="009F214D" w14:paraId="5BA557F0" w14:textId="77777777" w:rsidTr="00B933C9">
        <w:trPr>
          <w:trHeight w:val="20"/>
          <w:jc w:val="center"/>
        </w:trPr>
        <w:tc>
          <w:tcPr>
            <w:tcW w:w="581" w:type="dxa"/>
            <w:vAlign w:val="center"/>
          </w:tcPr>
          <w:p w14:paraId="6955FE01" w14:textId="712B7AA3"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8</w:t>
            </w:r>
          </w:p>
        </w:tc>
        <w:tc>
          <w:tcPr>
            <w:tcW w:w="1339" w:type="dxa"/>
            <w:vAlign w:val="center"/>
          </w:tcPr>
          <w:p w14:paraId="22FE5F88" w14:textId="2C0CA0FF"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Maharashtra</w:t>
            </w:r>
          </w:p>
        </w:tc>
        <w:tc>
          <w:tcPr>
            <w:tcW w:w="896" w:type="dxa"/>
            <w:vAlign w:val="center"/>
          </w:tcPr>
          <w:p w14:paraId="13A39EDA" w14:textId="7B89321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20702.88</w:t>
            </w:r>
          </w:p>
        </w:tc>
        <w:tc>
          <w:tcPr>
            <w:tcW w:w="963" w:type="dxa"/>
            <w:vAlign w:val="center"/>
          </w:tcPr>
          <w:p w14:paraId="0711DEC0" w14:textId="5954C72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29401.42</w:t>
            </w:r>
          </w:p>
        </w:tc>
        <w:tc>
          <w:tcPr>
            <w:tcW w:w="1440" w:type="dxa"/>
            <w:vAlign w:val="center"/>
          </w:tcPr>
          <w:p w14:paraId="539B1F26" w14:textId="2468C84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8698.53</w:t>
            </w:r>
          </w:p>
        </w:tc>
        <w:tc>
          <w:tcPr>
            <w:tcW w:w="982" w:type="dxa"/>
            <w:vAlign w:val="center"/>
          </w:tcPr>
          <w:p w14:paraId="0106E5E0" w14:textId="62D7627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42.02</w:t>
            </w:r>
          </w:p>
        </w:tc>
        <w:tc>
          <w:tcPr>
            <w:tcW w:w="984" w:type="dxa"/>
            <w:vAlign w:val="center"/>
          </w:tcPr>
          <w:p w14:paraId="00AD7987" w14:textId="7BE87A6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29.39</w:t>
            </w:r>
          </w:p>
        </w:tc>
        <w:tc>
          <w:tcPr>
            <w:tcW w:w="965" w:type="dxa"/>
            <w:vAlign w:val="center"/>
          </w:tcPr>
          <w:p w14:paraId="1A1BD789" w14:textId="20AD2DE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41.74</w:t>
            </w:r>
          </w:p>
        </w:tc>
        <w:tc>
          <w:tcPr>
            <w:tcW w:w="922" w:type="dxa"/>
            <w:vAlign w:val="center"/>
          </w:tcPr>
          <w:p w14:paraId="3928572E" w14:textId="2EC6678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12.35</w:t>
            </w:r>
          </w:p>
        </w:tc>
      </w:tr>
      <w:tr w:rsidR="008A0CEF" w:rsidRPr="009F214D" w14:paraId="5F10EBED" w14:textId="77777777" w:rsidTr="00B933C9">
        <w:trPr>
          <w:trHeight w:val="20"/>
          <w:jc w:val="center"/>
        </w:trPr>
        <w:tc>
          <w:tcPr>
            <w:tcW w:w="581" w:type="dxa"/>
            <w:vAlign w:val="center"/>
          </w:tcPr>
          <w:p w14:paraId="67EAEBC8" w14:textId="2737DB82"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9</w:t>
            </w:r>
          </w:p>
        </w:tc>
        <w:tc>
          <w:tcPr>
            <w:tcW w:w="1339" w:type="dxa"/>
            <w:vAlign w:val="center"/>
          </w:tcPr>
          <w:p w14:paraId="3A644BF2" w14:textId="24ECE019"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Orissa</w:t>
            </w:r>
          </w:p>
        </w:tc>
        <w:tc>
          <w:tcPr>
            <w:tcW w:w="896" w:type="dxa"/>
            <w:vAlign w:val="center"/>
          </w:tcPr>
          <w:p w14:paraId="34C25928" w14:textId="2E5DD8B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10409.13</w:t>
            </w:r>
          </w:p>
        </w:tc>
        <w:tc>
          <w:tcPr>
            <w:tcW w:w="963" w:type="dxa"/>
            <w:vAlign w:val="center"/>
          </w:tcPr>
          <w:p w14:paraId="1EE32FFF" w14:textId="614F3F0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8857.38</w:t>
            </w:r>
          </w:p>
        </w:tc>
        <w:tc>
          <w:tcPr>
            <w:tcW w:w="1440" w:type="dxa"/>
            <w:vAlign w:val="center"/>
          </w:tcPr>
          <w:p w14:paraId="0CB502A9" w14:textId="38315D3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-1551.75</w:t>
            </w:r>
          </w:p>
        </w:tc>
        <w:tc>
          <w:tcPr>
            <w:tcW w:w="982" w:type="dxa"/>
            <w:vAlign w:val="center"/>
          </w:tcPr>
          <w:p w14:paraId="1733C9A4" w14:textId="58D0C10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-14.91</w:t>
            </w:r>
          </w:p>
        </w:tc>
        <w:tc>
          <w:tcPr>
            <w:tcW w:w="984" w:type="dxa"/>
            <w:vAlign w:val="center"/>
          </w:tcPr>
          <w:p w14:paraId="38CB4D8E" w14:textId="5B89BAB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35.70</w:t>
            </w:r>
          </w:p>
        </w:tc>
        <w:tc>
          <w:tcPr>
            <w:tcW w:w="965" w:type="dxa"/>
            <w:vAlign w:val="center"/>
          </w:tcPr>
          <w:p w14:paraId="6A6B042B" w14:textId="4DCC55B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30.37</w:t>
            </w:r>
          </w:p>
        </w:tc>
        <w:tc>
          <w:tcPr>
            <w:tcW w:w="922" w:type="dxa"/>
            <w:vAlign w:val="center"/>
          </w:tcPr>
          <w:p w14:paraId="268BDFAE" w14:textId="330154E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-5.32</w:t>
            </w:r>
          </w:p>
        </w:tc>
      </w:tr>
      <w:tr w:rsidR="008A0CEF" w:rsidRPr="009F214D" w14:paraId="078DDB4E" w14:textId="77777777" w:rsidTr="00B933C9">
        <w:trPr>
          <w:trHeight w:val="20"/>
          <w:jc w:val="center"/>
        </w:trPr>
        <w:tc>
          <w:tcPr>
            <w:tcW w:w="581" w:type="dxa"/>
            <w:vAlign w:val="center"/>
          </w:tcPr>
          <w:p w14:paraId="745EF57A" w14:textId="6822F2E2"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10</w:t>
            </w:r>
          </w:p>
        </w:tc>
        <w:tc>
          <w:tcPr>
            <w:tcW w:w="1339" w:type="dxa"/>
            <w:vAlign w:val="center"/>
          </w:tcPr>
          <w:p w14:paraId="79FC5057" w14:textId="1FCCC71B"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Punjab</w:t>
            </w:r>
          </w:p>
        </w:tc>
        <w:tc>
          <w:tcPr>
            <w:tcW w:w="896" w:type="dxa"/>
            <w:vAlign w:val="center"/>
          </w:tcPr>
          <w:p w14:paraId="5FA2FFBB" w14:textId="0DFF2C1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6202.00</w:t>
            </w:r>
          </w:p>
        </w:tc>
        <w:tc>
          <w:tcPr>
            <w:tcW w:w="963" w:type="dxa"/>
            <w:vAlign w:val="center"/>
          </w:tcPr>
          <w:p w14:paraId="0B3998F4" w14:textId="114AC9D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6963.16</w:t>
            </w:r>
          </w:p>
        </w:tc>
        <w:tc>
          <w:tcPr>
            <w:tcW w:w="1440" w:type="dxa"/>
            <w:vAlign w:val="center"/>
          </w:tcPr>
          <w:p w14:paraId="3BAD9152" w14:textId="7D2F11E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761.16</w:t>
            </w:r>
          </w:p>
        </w:tc>
        <w:tc>
          <w:tcPr>
            <w:tcW w:w="982" w:type="dxa"/>
            <w:vAlign w:val="center"/>
          </w:tcPr>
          <w:p w14:paraId="0CACD7F9" w14:textId="11CDC27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12.27</w:t>
            </w:r>
          </w:p>
        </w:tc>
        <w:tc>
          <w:tcPr>
            <w:tcW w:w="984" w:type="dxa"/>
            <w:vAlign w:val="center"/>
          </w:tcPr>
          <w:p w14:paraId="5DE6357C" w14:textId="1DAA7EC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33.17</w:t>
            </w:r>
          </w:p>
        </w:tc>
        <w:tc>
          <w:tcPr>
            <w:tcW w:w="965" w:type="dxa"/>
            <w:vAlign w:val="center"/>
          </w:tcPr>
          <w:p w14:paraId="639EC191" w14:textId="30CED54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37.25</w:t>
            </w:r>
          </w:p>
        </w:tc>
        <w:tc>
          <w:tcPr>
            <w:tcW w:w="922" w:type="dxa"/>
            <w:vAlign w:val="center"/>
          </w:tcPr>
          <w:p w14:paraId="5C74CA9D" w14:textId="09D848E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4.07</w:t>
            </w:r>
          </w:p>
        </w:tc>
      </w:tr>
      <w:tr w:rsidR="008A0CEF" w:rsidRPr="009F214D" w14:paraId="2AD12064" w14:textId="77777777" w:rsidTr="00B933C9">
        <w:trPr>
          <w:trHeight w:val="20"/>
          <w:jc w:val="center"/>
        </w:trPr>
        <w:tc>
          <w:tcPr>
            <w:tcW w:w="581" w:type="dxa"/>
            <w:vAlign w:val="center"/>
          </w:tcPr>
          <w:p w14:paraId="29E68AF2" w14:textId="33D45B58"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11</w:t>
            </w:r>
          </w:p>
        </w:tc>
        <w:tc>
          <w:tcPr>
            <w:tcW w:w="1339" w:type="dxa"/>
            <w:vAlign w:val="center"/>
          </w:tcPr>
          <w:p w14:paraId="0C6D1F04" w14:textId="74C10F97"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Rajasthan</w:t>
            </w:r>
          </w:p>
        </w:tc>
        <w:tc>
          <w:tcPr>
            <w:tcW w:w="896" w:type="dxa"/>
            <w:vAlign w:val="center"/>
          </w:tcPr>
          <w:p w14:paraId="514B87B0" w14:textId="2D7FFEC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9360.96</w:t>
            </w:r>
          </w:p>
        </w:tc>
        <w:tc>
          <w:tcPr>
            <w:tcW w:w="963" w:type="dxa"/>
            <w:vAlign w:val="center"/>
          </w:tcPr>
          <w:p w14:paraId="59A13D5B" w14:textId="225DF9E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11121.64</w:t>
            </w:r>
          </w:p>
        </w:tc>
        <w:tc>
          <w:tcPr>
            <w:tcW w:w="1440" w:type="dxa"/>
            <w:vAlign w:val="center"/>
          </w:tcPr>
          <w:p w14:paraId="19BBC4C5" w14:textId="0A49C69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1760.68</w:t>
            </w:r>
          </w:p>
        </w:tc>
        <w:tc>
          <w:tcPr>
            <w:tcW w:w="982" w:type="dxa"/>
            <w:vAlign w:val="center"/>
          </w:tcPr>
          <w:p w14:paraId="537884F2" w14:textId="4B53C83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18.81</w:t>
            </w:r>
          </w:p>
        </w:tc>
        <w:tc>
          <w:tcPr>
            <w:tcW w:w="984" w:type="dxa"/>
            <w:vAlign w:val="center"/>
          </w:tcPr>
          <w:p w14:paraId="5191076A" w14:textId="68341B5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23.52</w:t>
            </w:r>
          </w:p>
        </w:tc>
        <w:tc>
          <w:tcPr>
            <w:tcW w:w="965" w:type="dxa"/>
            <w:vAlign w:val="center"/>
          </w:tcPr>
          <w:p w14:paraId="43D63CA2" w14:textId="320A28D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27.94</w:t>
            </w:r>
          </w:p>
        </w:tc>
        <w:tc>
          <w:tcPr>
            <w:tcW w:w="922" w:type="dxa"/>
            <w:vAlign w:val="center"/>
          </w:tcPr>
          <w:p w14:paraId="0CE0E580" w14:textId="4ACD44C0"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4.42</w:t>
            </w:r>
          </w:p>
        </w:tc>
      </w:tr>
      <w:tr w:rsidR="008A0CEF" w:rsidRPr="009F214D" w14:paraId="3705C187" w14:textId="77777777" w:rsidTr="00B933C9">
        <w:trPr>
          <w:trHeight w:val="20"/>
          <w:jc w:val="center"/>
        </w:trPr>
        <w:tc>
          <w:tcPr>
            <w:tcW w:w="581" w:type="dxa"/>
            <w:vAlign w:val="center"/>
          </w:tcPr>
          <w:p w14:paraId="74DA8CB7" w14:textId="72DE1D0D"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12</w:t>
            </w:r>
          </w:p>
        </w:tc>
        <w:tc>
          <w:tcPr>
            <w:tcW w:w="1339" w:type="dxa"/>
            <w:vAlign w:val="center"/>
          </w:tcPr>
          <w:p w14:paraId="7F553C17" w14:textId="4E0D60BA"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Tamil Nadu</w:t>
            </w:r>
          </w:p>
        </w:tc>
        <w:tc>
          <w:tcPr>
            <w:tcW w:w="896" w:type="dxa"/>
            <w:vAlign w:val="center"/>
          </w:tcPr>
          <w:p w14:paraId="03EF490D" w14:textId="724493B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21999.97</w:t>
            </w:r>
          </w:p>
        </w:tc>
        <w:tc>
          <w:tcPr>
            <w:tcW w:w="963" w:type="dxa"/>
            <w:vAlign w:val="center"/>
          </w:tcPr>
          <w:p w14:paraId="0DD23398" w14:textId="4BE3ACA5"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20425.17</w:t>
            </w:r>
          </w:p>
        </w:tc>
        <w:tc>
          <w:tcPr>
            <w:tcW w:w="1440" w:type="dxa"/>
            <w:vAlign w:val="center"/>
          </w:tcPr>
          <w:p w14:paraId="541206B7" w14:textId="786315C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-1574.79</w:t>
            </w:r>
          </w:p>
        </w:tc>
        <w:tc>
          <w:tcPr>
            <w:tcW w:w="982" w:type="dxa"/>
            <w:vAlign w:val="center"/>
          </w:tcPr>
          <w:p w14:paraId="529872AC" w14:textId="0C4732F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-7.16</w:t>
            </w:r>
          </w:p>
        </w:tc>
        <w:tc>
          <w:tcPr>
            <w:tcW w:w="984" w:type="dxa"/>
            <w:vAlign w:val="center"/>
          </w:tcPr>
          <w:p w14:paraId="3D74024E" w14:textId="227BB04F"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41.47</w:t>
            </w:r>
          </w:p>
        </w:tc>
        <w:tc>
          <w:tcPr>
            <w:tcW w:w="965" w:type="dxa"/>
            <w:vAlign w:val="center"/>
          </w:tcPr>
          <w:p w14:paraId="268951AA" w14:textId="7E279A77"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38.50</w:t>
            </w:r>
          </w:p>
        </w:tc>
        <w:tc>
          <w:tcPr>
            <w:tcW w:w="922" w:type="dxa"/>
            <w:vAlign w:val="center"/>
          </w:tcPr>
          <w:p w14:paraId="7D0EACBD" w14:textId="505DCA4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-2.97</w:t>
            </w:r>
          </w:p>
        </w:tc>
      </w:tr>
      <w:tr w:rsidR="008A0CEF" w:rsidRPr="009F214D" w14:paraId="5CD7E3AA" w14:textId="77777777" w:rsidTr="00B933C9">
        <w:trPr>
          <w:trHeight w:val="20"/>
          <w:jc w:val="center"/>
        </w:trPr>
        <w:tc>
          <w:tcPr>
            <w:tcW w:w="581" w:type="dxa"/>
            <w:vAlign w:val="center"/>
          </w:tcPr>
          <w:p w14:paraId="303FCA29" w14:textId="6145DBAE"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13</w:t>
            </w:r>
          </w:p>
        </w:tc>
        <w:tc>
          <w:tcPr>
            <w:tcW w:w="1339" w:type="dxa"/>
            <w:vAlign w:val="center"/>
          </w:tcPr>
          <w:p w14:paraId="1A3B5546" w14:textId="500983C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Uttar Pradesh</w:t>
            </w:r>
          </w:p>
        </w:tc>
        <w:tc>
          <w:tcPr>
            <w:tcW w:w="896" w:type="dxa"/>
            <w:vAlign w:val="center"/>
          </w:tcPr>
          <w:p w14:paraId="714311C1" w14:textId="1810E31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27724.06</w:t>
            </w:r>
          </w:p>
        </w:tc>
        <w:tc>
          <w:tcPr>
            <w:tcW w:w="963" w:type="dxa"/>
            <w:vAlign w:val="center"/>
          </w:tcPr>
          <w:p w14:paraId="350D0336" w14:textId="5AE426D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28864.19</w:t>
            </w:r>
          </w:p>
        </w:tc>
        <w:tc>
          <w:tcPr>
            <w:tcW w:w="1440" w:type="dxa"/>
            <w:vAlign w:val="center"/>
          </w:tcPr>
          <w:p w14:paraId="4F411040" w14:textId="7DB214B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1140.13</w:t>
            </w:r>
          </w:p>
        </w:tc>
        <w:tc>
          <w:tcPr>
            <w:tcW w:w="982" w:type="dxa"/>
            <w:vAlign w:val="center"/>
          </w:tcPr>
          <w:p w14:paraId="0E1934BB" w14:textId="33D27752"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4.11</w:t>
            </w:r>
          </w:p>
        </w:tc>
        <w:tc>
          <w:tcPr>
            <w:tcW w:w="984" w:type="dxa"/>
            <w:vAlign w:val="center"/>
          </w:tcPr>
          <w:p w14:paraId="7808965D" w14:textId="2C38448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22.26</w:t>
            </w:r>
          </w:p>
        </w:tc>
        <w:tc>
          <w:tcPr>
            <w:tcW w:w="965" w:type="dxa"/>
            <w:vAlign w:val="center"/>
          </w:tcPr>
          <w:p w14:paraId="7C7D62F8" w14:textId="05AAC52B"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23.18</w:t>
            </w:r>
          </w:p>
        </w:tc>
        <w:tc>
          <w:tcPr>
            <w:tcW w:w="922" w:type="dxa"/>
            <w:vAlign w:val="center"/>
          </w:tcPr>
          <w:p w14:paraId="714AC797" w14:textId="035AC456"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0.92</w:t>
            </w:r>
          </w:p>
        </w:tc>
      </w:tr>
      <w:tr w:rsidR="008A0CEF" w:rsidRPr="009F214D" w14:paraId="471AC52F" w14:textId="77777777" w:rsidTr="00B933C9">
        <w:trPr>
          <w:trHeight w:val="20"/>
          <w:jc w:val="center"/>
        </w:trPr>
        <w:tc>
          <w:tcPr>
            <w:tcW w:w="581" w:type="dxa"/>
            <w:vAlign w:val="center"/>
          </w:tcPr>
          <w:p w14:paraId="3FF92FD0" w14:textId="690B6BB9"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14</w:t>
            </w:r>
          </w:p>
        </w:tc>
        <w:tc>
          <w:tcPr>
            <w:tcW w:w="1339" w:type="dxa"/>
            <w:vAlign w:val="center"/>
          </w:tcPr>
          <w:p w14:paraId="55AC048B" w14:textId="76307544"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sz w:val="16"/>
                <w:szCs w:val="16"/>
              </w:rPr>
              <w:t>West Bengal</w:t>
            </w:r>
          </w:p>
        </w:tc>
        <w:tc>
          <w:tcPr>
            <w:tcW w:w="896" w:type="dxa"/>
            <w:vAlign w:val="center"/>
          </w:tcPr>
          <w:p w14:paraId="43373B5C" w14:textId="3C0FA27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24099.05</w:t>
            </w:r>
          </w:p>
        </w:tc>
        <w:tc>
          <w:tcPr>
            <w:tcW w:w="963" w:type="dxa"/>
            <w:vAlign w:val="center"/>
          </w:tcPr>
          <w:p w14:paraId="38ED23B8" w14:textId="3ED8BDAB"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21605.47</w:t>
            </w:r>
          </w:p>
        </w:tc>
        <w:tc>
          <w:tcPr>
            <w:tcW w:w="1440" w:type="dxa"/>
            <w:vAlign w:val="center"/>
          </w:tcPr>
          <w:p w14:paraId="7C8027E0" w14:textId="1BF12E6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-2493.58</w:t>
            </w:r>
          </w:p>
        </w:tc>
        <w:tc>
          <w:tcPr>
            <w:tcW w:w="982" w:type="dxa"/>
            <w:vAlign w:val="center"/>
          </w:tcPr>
          <w:p w14:paraId="5B86BB01" w14:textId="0E8ED541"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-10.35</w:t>
            </w:r>
          </w:p>
        </w:tc>
        <w:tc>
          <w:tcPr>
            <w:tcW w:w="984" w:type="dxa"/>
            <w:vAlign w:val="center"/>
          </w:tcPr>
          <w:p w14:paraId="5AC0EE4D" w14:textId="1897E74C"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39.56</w:t>
            </w:r>
          </w:p>
        </w:tc>
        <w:tc>
          <w:tcPr>
            <w:tcW w:w="965" w:type="dxa"/>
            <w:vAlign w:val="center"/>
          </w:tcPr>
          <w:p w14:paraId="3682F11E" w14:textId="1691096E"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35.47</w:t>
            </w:r>
          </w:p>
        </w:tc>
        <w:tc>
          <w:tcPr>
            <w:tcW w:w="922" w:type="dxa"/>
            <w:vAlign w:val="center"/>
          </w:tcPr>
          <w:p w14:paraId="5868CA03" w14:textId="55238AFD"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sz w:val="16"/>
                <w:szCs w:val="16"/>
              </w:rPr>
              <w:t>-4.09</w:t>
            </w:r>
          </w:p>
        </w:tc>
      </w:tr>
      <w:tr w:rsidR="008A0CEF" w:rsidRPr="009F214D" w14:paraId="45596770" w14:textId="77777777" w:rsidTr="00B933C9">
        <w:trPr>
          <w:trHeight w:val="20"/>
          <w:jc w:val="center"/>
        </w:trPr>
        <w:tc>
          <w:tcPr>
            <w:tcW w:w="581" w:type="dxa"/>
            <w:vAlign w:val="center"/>
          </w:tcPr>
          <w:p w14:paraId="43812B32" w14:textId="11E216F8"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b/>
                <w:bCs/>
                <w:sz w:val="16"/>
                <w:szCs w:val="16"/>
              </w:rPr>
              <w:t>14</w:t>
            </w:r>
          </w:p>
        </w:tc>
        <w:tc>
          <w:tcPr>
            <w:tcW w:w="1339" w:type="dxa"/>
            <w:vAlign w:val="center"/>
          </w:tcPr>
          <w:p w14:paraId="4D630550" w14:textId="2997F56C" w:rsidR="008A0CEF" w:rsidRPr="0078036E" w:rsidRDefault="008A0CEF" w:rsidP="008A0CEF">
            <w:pPr>
              <w:tabs>
                <w:tab w:val="left" w:pos="2805"/>
              </w:tabs>
              <w:rPr>
                <w:rFonts w:ascii="Times New Roman" w:hAnsi="Times New Roman" w:cs="Times New Roman"/>
                <w:sz w:val="16"/>
                <w:szCs w:val="16"/>
              </w:rPr>
            </w:pPr>
            <w:r w:rsidRPr="0078036E">
              <w:rPr>
                <w:rFonts w:ascii="Times New Roman" w:hAnsi="Times New Roman" w:cs="Times New Roman"/>
                <w:b/>
                <w:bCs/>
                <w:sz w:val="16"/>
                <w:szCs w:val="16"/>
              </w:rPr>
              <w:t>Major States</w:t>
            </w:r>
          </w:p>
        </w:tc>
        <w:tc>
          <w:tcPr>
            <w:tcW w:w="896" w:type="dxa"/>
            <w:vAlign w:val="center"/>
          </w:tcPr>
          <w:p w14:paraId="6ACFBA55" w14:textId="45AEF518"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237028.66</w:t>
            </w:r>
          </w:p>
        </w:tc>
        <w:tc>
          <w:tcPr>
            <w:tcW w:w="963" w:type="dxa"/>
            <w:vAlign w:val="center"/>
          </w:tcPr>
          <w:p w14:paraId="3E2C3AC7" w14:textId="63FD70C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237476.71</w:t>
            </w:r>
          </w:p>
        </w:tc>
        <w:tc>
          <w:tcPr>
            <w:tcW w:w="1440" w:type="dxa"/>
            <w:vAlign w:val="center"/>
          </w:tcPr>
          <w:p w14:paraId="41D7AD59" w14:textId="0CDCAB69"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448.05</w:t>
            </w:r>
          </w:p>
        </w:tc>
        <w:tc>
          <w:tcPr>
            <w:tcW w:w="982" w:type="dxa"/>
            <w:vAlign w:val="center"/>
          </w:tcPr>
          <w:p w14:paraId="0A220CFF" w14:textId="08A88D33"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0.19</w:t>
            </w:r>
          </w:p>
        </w:tc>
        <w:tc>
          <w:tcPr>
            <w:tcW w:w="984" w:type="dxa"/>
            <w:vAlign w:val="center"/>
          </w:tcPr>
          <w:p w14:paraId="5759480F" w14:textId="453D9DE4"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33.07</w:t>
            </w:r>
          </w:p>
        </w:tc>
        <w:tc>
          <w:tcPr>
            <w:tcW w:w="965" w:type="dxa"/>
            <w:vAlign w:val="center"/>
          </w:tcPr>
          <w:p w14:paraId="172E54D9" w14:textId="67DF0EC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33.13</w:t>
            </w:r>
          </w:p>
        </w:tc>
        <w:tc>
          <w:tcPr>
            <w:tcW w:w="922" w:type="dxa"/>
            <w:vAlign w:val="center"/>
          </w:tcPr>
          <w:p w14:paraId="6779C3CC" w14:textId="734748DA" w:rsidR="008A0CEF" w:rsidRPr="0078036E" w:rsidRDefault="008A0CEF" w:rsidP="008A0CEF">
            <w:pPr>
              <w:tabs>
                <w:tab w:val="left" w:pos="2805"/>
              </w:tabs>
              <w:jc w:val="center"/>
              <w:rPr>
                <w:rFonts w:ascii="Times New Roman" w:hAnsi="Times New Roman" w:cs="Times New Roman"/>
                <w:sz w:val="16"/>
                <w:szCs w:val="16"/>
              </w:rPr>
            </w:pPr>
            <w:r w:rsidRPr="0078036E">
              <w:rPr>
                <w:rFonts w:ascii="Times New Roman" w:hAnsi="Times New Roman" w:cs="Times New Roman"/>
                <w:b/>
                <w:bCs/>
                <w:sz w:val="16"/>
                <w:szCs w:val="16"/>
              </w:rPr>
              <w:t>0.06</w:t>
            </w:r>
          </w:p>
        </w:tc>
      </w:tr>
      <w:tr w:rsidR="008A0CEF" w:rsidRPr="009F214D" w14:paraId="32FC298C" w14:textId="77777777" w:rsidTr="009D2641">
        <w:trPr>
          <w:trHeight w:val="20"/>
          <w:jc w:val="center"/>
        </w:trPr>
        <w:tc>
          <w:tcPr>
            <w:tcW w:w="9072" w:type="dxa"/>
            <w:gridSpan w:val="9"/>
            <w:vAlign w:val="center"/>
          </w:tcPr>
          <w:p w14:paraId="7286A887" w14:textId="4F6D6366" w:rsidR="008A0CEF" w:rsidRPr="008A0CEF" w:rsidRDefault="008A0CEF" w:rsidP="008A0CEF">
            <w:pPr>
              <w:rPr>
                <w:rFonts w:ascii="Times New Roman" w:hAnsi="Times New Roman" w:cs="Times New Roman"/>
                <w:sz w:val="14"/>
                <w:szCs w:val="14"/>
              </w:rPr>
            </w:pPr>
            <w:r w:rsidRPr="008A0CEF">
              <w:rPr>
                <w:rFonts w:ascii="Times New Roman" w:hAnsi="Times New Roman" w:cs="Times New Roman"/>
                <w:sz w:val="16"/>
                <w:szCs w:val="16"/>
              </w:rPr>
              <w:t>Note: Inclusive of expenditure on "Other Economic Services", "Water and Power Development Services" and "Compensation to Local Bodies" reckoned at actuals.</w:t>
            </w:r>
          </w:p>
        </w:tc>
      </w:tr>
      <w:tr w:rsidR="008A0CEF" w:rsidRPr="009F214D" w14:paraId="455669F6" w14:textId="77777777" w:rsidTr="00B13779">
        <w:trPr>
          <w:trHeight w:val="20"/>
          <w:jc w:val="center"/>
        </w:trPr>
        <w:tc>
          <w:tcPr>
            <w:tcW w:w="9072" w:type="dxa"/>
            <w:gridSpan w:val="9"/>
            <w:vAlign w:val="center"/>
          </w:tcPr>
          <w:p w14:paraId="49EDDD7A" w14:textId="628AD1DC" w:rsidR="008A0CEF" w:rsidRPr="0078036E" w:rsidRDefault="008A0CEF" w:rsidP="008A0CEF">
            <w:pPr>
              <w:tabs>
                <w:tab w:val="left" w:pos="2805"/>
              </w:tabs>
              <w:jc w:val="center"/>
              <w:rPr>
                <w:rFonts w:ascii="Times New Roman" w:hAnsi="Times New Roman" w:cs="Times New Roman"/>
                <w:b/>
                <w:bCs/>
                <w:sz w:val="16"/>
                <w:szCs w:val="16"/>
              </w:rPr>
            </w:pPr>
            <w:r w:rsidRPr="0078036E">
              <w:rPr>
                <w:rFonts w:ascii="Times New Roman" w:hAnsi="Times New Roman" w:cs="Times New Roman"/>
                <w:b/>
                <w:bCs/>
                <w:sz w:val="20"/>
                <w:szCs w:val="20"/>
              </w:rPr>
              <w:t>Expenditure Category: Expenditure on Selected Services</w:t>
            </w:r>
          </w:p>
        </w:tc>
      </w:tr>
      <w:tr w:rsidR="008A0CEF" w:rsidRPr="009F214D" w14:paraId="40FD8D15" w14:textId="77777777" w:rsidTr="00B933C9">
        <w:trPr>
          <w:trHeight w:val="20"/>
          <w:jc w:val="center"/>
        </w:trPr>
        <w:tc>
          <w:tcPr>
            <w:tcW w:w="581" w:type="dxa"/>
            <w:vAlign w:val="center"/>
          </w:tcPr>
          <w:p w14:paraId="2A8B6B92" w14:textId="2443FA64" w:rsidR="008A0CEF" w:rsidRPr="008A0CEF" w:rsidRDefault="008A0CEF" w:rsidP="008A0CEF">
            <w:pPr>
              <w:tabs>
                <w:tab w:val="left" w:pos="2805"/>
              </w:tabs>
              <w:rPr>
                <w:rFonts w:ascii="Times New Roman" w:hAnsi="Times New Roman" w:cs="Times New Roman"/>
                <w:b/>
                <w:bCs/>
                <w:sz w:val="16"/>
                <w:szCs w:val="16"/>
              </w:rPr>
            </w:pPr>
            <w:r w:rsidRPr="008A0CEF">
              <w:rPr>
                <w:rFonts w:ascii="Times New Roman" w:hAnsi="Times New Roman" w:cs="Times New Roman"/>
                <w:sz w:val="16"/>
                <w:szCs w:val="16"/>
              </w:rPr>
              <w:t>1</w:t>
            </w:r>
          </w:p>
        </w:tc>
        <w:tc>
          <w:tcPr>
            <w:tcW w:w="1339" w:type="dxa"/>
            <w:vAlign w:val="center"/>
          </w:tcPr>
          <w:p w14:paraId="41AA94A2" w14:textId="5EE98B18" w:rsidR="008A0CEF" w:rsidRPr="008A0CEF" w:rsidRDefault="008A0CEF" w:rsidP="008A0CEF">
            <w:pPr>
              <w:tabs>
                <w:tab w:val="left" w:pos="2805"/>
              </w:tabs>
              <w:rPr>
                <w:rFonts w:ascii="Times New Roman" w:hAnsi="Times New Roman" w:cs="Times New Roman"/>
                <w:b/>
                <w:bCs/>
                <w:sz w:val="16"/>
                <w:szCs w:val="16"/>
              </w:rPr>
            </w:pPr>
            <w:r w:rsidRPr="008A0CEF">
              <w:rPr>
                <w:rFonts w:ascii="Times New Roman" w:hAnsi="Times New Roman" w:cs="Times New Roman"/>
                <w:sz w:val="16"/>
                <w:szCs w:val="16"/>
              </w:rPr>
              <w:t>Andhra Pradesh</w:t>
            </w:r>
          </w:p>
        </w:tc>
        <w:tc>
          <w:tcPr>
            <w:tcW w:w="896" w:type="dxa"/>
            <w:vAlign w:val="center"/>
          </w:tcPr>
          <w:p w14:paraId="4814E776" w14:textId="4089FD79"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121442.12</w:t>
            </w:r>
          </w:p>
        </w:tc>
        <w:tc>
          <w:tcPr>
            <w:tcW w:w="963" w:type="dxa"/>
            <w:vAlign w:val="center"/>
          </w:tcPr>
          <w:p w14:paraId="65008730" w14:textId="08CDD810"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121827.67</w:t>
            </w:r>
          </w:p>
        </w:tc>
        <w:tc>
          <w:tcPr>
            <w:tcW w:w="1440" w:type="dxa"/>
            <w:vAlign w:val="center"/>
          </w:tcPr>
          <w:p w14:paraId="604F16CD" w14:textId="5BE68DC4"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385.56</w:t>
            </w:r>
          </w:p>
        </w:tc>
        <w:tc>
          <w:tcPr>
            <w:tcW w:w="982" w:type="dxa"/>
            <w:vAlign w:val="center"/>
          </w:tcPr>
          <w:p w14:paraId="552A928F" w14:textId="36D97BA2"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0.32</w:t>
            </w:r>
          </w:p>
        </w:tc>
        <w:tc>
          <w:tcPr>
            <w:tcW w:w="984" w:type="dxa"/>
            <w:vAlign w:val="center"/>
          </w:tcPr>
          <w:p w14:paraId="5D455ADA" w14:textId="5068D11D"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204.16</w:t>
            </w:r>
          </w:p>
        </w:tc>
        <w:tc>
          <w:tcPr>
            <w:tcW w:w="965" w:type="dxa"/>
            <w:vAlign w:val="center"/>
          </w:tcPr>
          <w:p w14:paraId="48BB5468" w14:textId="602B2884"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204.81</w:t>
            </w:r>
          </w:p>
        </w:tc>
        <w:tc>
          <w:tcPr>
            <w:tcW w:w="922" w:type="dxa"/>
            <w:vAlign w:val="center"/>
          </w:tcPr>
          <w:p w14:paraId="55A1F33F" w14:textId="72BE27C4" w:rsidR="008A0CEF" w:rsidRPr="008A0CEF" w:rsidRDefault="008A0CEF" w:rsidP="008A0CEF">
            <w:pPr>
              <w:tabs>
                <w:tab w:val="left" w:pos="2805"/>
              </w:tabs>
              <w:jc w:val="center"/>
              <w:rPr>
                <w:rFonts w:ascii="Times New Roman" w:hAnsi="Times New Roman" w:cs="Times New Roman"/>
                <w:b/>
                <w:bCs/>
                <w:sz w:val="16"/>
                <w:szCs w:val="16"/>
              </w:rPr>
            </w:pPr>
            <w:r w:rsidRPr="008A0CEF">
              <w:rPr>
                <w:rFonts w:ascii="Times New Roman" w:hAnsi="Times New Roman" w:cs="Times New Roman"/>
                <w:sz w:val="16"/>
                <w:szCs w:val="16"/>
              </w:rPr>
              <w:t>0.65</w:t>
            </w:r>
          </w:p>
        </w:tc>
      </w:tr>
      <w:tr w:rsidR="008A0CEF" w:rsidRPr="009F214D" w14:paraId="2062879C" w14:textId="77777777" w:rsidTr="00B933C9">
        <w:trPr>
          <w:trHeight w:val="20"/>
          <w:jc w:val="center"/>
        </w:trPr>
        <w:tc>
          <w:tcPr>
            <w:tcW w:w="581" w:type="dxa"/>
            <w:vAlign w:val="center"/>
          </w:tcPr>
          <w:p w14:paraId="51C8A2BB" w14:textId="7EF93D0A"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2</w:t>
            </w:r>
          </w:p>
        </w:tc>
        <w:tc>
          <w:tcPr>
            <w:tcW w:w="1339" w:type="dxa"/>
            <w:vAlign w:val="center"/>
          </w:tcPr>
          <w:p w14:paraId="1917B7AD" w14:textId="3AA7B2E0"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Bihar</w:t>
            </w:r>
          </w:p>
        </w:tc>
        <w:tc>
          <w:tcPr>
            <w:tcW w:w="896" w:type="dxa"/>
            <w:vAlign w:val="center"/>
          </w:tcPr>
          <w:p w14:paraId="3DEE3639" w14:textId="4E861A2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113015.00</w:t>
            </w:r>
          </w:p>
        </w:tc>
        <w:tc>
          <w:tcPr>
            <w:tcW w:w="963" w:type="dxa"/>
            <w:vAlign w:val="center"/>
          </w:tcPr>
          <w:p w14:paraId="76A30265" w14:textId="09A6681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120006.68</w:t>
            </w:r>
          </w:p>
        </w:tc>
        <w:tc>
          <w:tcPr>
            <w:tcW w:w="1440" w:type="dxa"/>
            <w:vAlign w:val="center"/>
          </w:tcPr>
          <w:p w14:paraId="669FC6CA" w14:textId="4FF51CD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6991.68</w:t>
            </w:r>
          </w:p>
        </w:tc>
        <w:tc>
          <w:tcPr>
            <w:tcW w:w="982" w:type="dxa"/>
            <w:vAlign w:val="center"/>
          </w:tcPr>
          <w:p w14:paraId="1A9A1504" w14:textId="09604B1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6.19</w:t>
            </w:r>
          </w:p>
        </w:tc>
        <w:tc>
          <w:tcPr>
            <w:tcW w:w="984" w:type="dxa"/>
            <w:vAlign w:val="center"/>
          </w:tcPr>
          <w:p w14:paraId="242507EE" w14:textId="4E2C47F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143.55</w:t>
            </w:r>
          </w:p>
        </w:tc>
        <w:tc>
          <w:tcPr>
            <w:tcW w:w="965" w:type="dxa"/>
            <w:vAlign w:val="center"/>
          </w:tcPr>
          <w:p w14:paraId="3BAE0842" w14:textId="13D13CC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152.43</w:t>
            </w:r>
          </w:p>
        </w:tc>
        <w:tc>
          <w:tcPr>
            <w:tcW w:w="922" w:type="dxa"/>
            <w:vAlign w:val="center"/>
          </w:tcPr>
          <w:p w14:paraId="1E7F9ACE" w14:textId="5D1454C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8.88</w:t>
            </w:r>
          </w:p>
        </w:tc>
      </w:tr>
      <w:tr w:rsidR="008A0CEF" w:rsidRPr="009F214D" w14:paraId="27510124" w14:textId="77777777" w:rsidTr="00B933C9">
        <w:trPr>
          <w:trHeight w:val="20"/>
          <w:jc w:val="center"/>
        </w:trPr>
        <w:tc>
          <w:tcPr>
            <w:tcW w:w="581" w:type="dxa"/>
            <w:vAlign w:val="center"/>
          </w:tcPr>
          <w:p w14:paraId="71C0C61F" w14:textId="69A58716"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3</w:t>
            </w:r>
          </w:p>
        </w:tc>
        <w:tc>
          <w:tcPr>
            <w:tcW w:w="1339" w:type="dxa"/>
            <w:vAlign w:val="center"/>
          </w:tcPr>
          <w:p w14:paraId="0B7D798B" w14:textId="0E3C3C00"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Gujarat</w:t>
            </w:r>
          </w:p>
        </w:tc>
        <w:tc>
          <w:tcPr>
            <w:tcW w:w="896" w:type="dxa"/>
            <w:vAlign w:val="center"/>
          </w:tcPr>
          <w:p w14:paraId="67AC7AB9" w14:textId="37D679C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116146.15</w:t>
            </w:r>
          </w:p>
        </w:tc>
        <w:tc>
          <w:tcPr>
            <w:tcW w:w="963" w:type="dxa"/>
            <w:vAlign w:val="center"/>
          </w:tcPr>
          <w:p w14:paraId="5EECF202" w14:textId="3A0AC6D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111236.33</w:t>
            </w:r>
          </w:p>
        </w:tc>
        <w:tc>
          <w:tcPr>
            <w:tcW w:w="1440" w:type="dxa"/>
            <w:vAlign w:val="center"/>
          </w:tcPr>
          <w:p w14:paraId="430D18A8" w14:textId="4A7A45F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-4909.82</w:t>
            </w:r>
          </w:p>
        </w:tc>
        <w:tc>
          <w:tcPr>
            <w:tcW w:w="982" w:type="dxa"/>
            <w:vAlign w:val="center"/>
          </w:tcPr>
          <w:p w14:paraId="6877CE61" w14:textId="4FDB399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-4.23</w:t>
            </w:r>
          </w:p>
        </w:tc>
        <w:tc>
          <w:tcPr>
            <w:tcW w:w="984" w:type="dxa"/>
            <w:vAlign w:val="center"/>
          </w:tcPr>
          <w:p w14:paraId="573547E9" w14:textId="283C874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304.81</w:t>
            </w:r>
          </w:p>
        </w:tc>
        <w:tc>
          <w:tcPr>
            <w:tcW w:w="965" w:type="dxa"/>
            <w:vAlign w:val="center"/>
          </w:tcPr>
          <w:p w14:paraId="3214AC55" w14:textId="351DB41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291.92</w:t>
            </w:r>
          </w:p>
        </w:tc>
        <w:tc>
          <w:tcPr>
            <w:tcW w:w="922" w:type="dxa"/>
            <w:vAlign w:val="center"/>
          </w:tcPr>
          <w:p w14:paraId="5E2407ED" w14:textId="4F918F6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-12.89</w:t>
            </w:r>
          </w:p>
        </w:tc>
      </w:tr>
      <w:tr w:rsidR="008A0CEF" w:rsidRPr="009F214D" w14:paraId="3389D55C" w14:textId="77777777" w:rsidTr="00B933C9">
        <w:trPr>
          <w:trHeight w:val="20"/>
          <w:jc w:val="center"/>
        </w:trPr>
        <w:tc>
          <w:tcPr>
            <w:tcW w:w="581" w:type="dxa"/>
            <w:vAlign w:val="center"/>
          </w:tcPr>
          <w:p w14:paraId="71B70FAC" w14:textId="49CB0742"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4</w:t>
            </w:r>
          </w:p>
        </w:tc>
        <w:tc>
          <w:tcPr>
            <w:tcW w:w="1339" w:type="dxa"/>
            <w:vAlign w:val="center"/>
          </w:tcPr>
          <w:p w14:paraId="16E12BD4" w14:textId="0CE24AD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Haryana</w:t>
            </w:r>
          </w:p>
        </w:tc>
        <w:tc>
          <w:tcPr>
            <w:tcW w:w="896" w:type="dxa"/>
            <w:vAlign w:val="center"/>
          </w:tcPr>
          <w:p w14:paraId="575B1EAF" w14:textId="605DE81B"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33876.34</w:t>
            </w:r>
          </w:p>
        </w:tc>
        <w:tc>
          <w:tcPr>
            <w:tcW w:w="963" w:type="dxa"/>
            <w:vAlign w:val="center"/>
          </w:tcPr>
          <w:p w14:paraId="5DB50207" w14:textId="0D9E310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34407.13</w:t>
            </w:r>
          </w:p>
        </w:tc>
        <w:tc>
          <w:tcPr>
            <w:tcW w:w="1440" w:type="dxa"/>
            <w:vAlign w:val="center"/>
          </w:tcPr>
          <w:p w14:paraId="041BBA50" w14:textId="08CB652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530.79</w:t>
            </w:r>
          </w:p>
        </w:tc>
        <w:tc>
          <w:tcPr>
            <w:tcW w:w="982" w:type="dxa"/>
            <w:vAlign w:val="center"/>
          </w:tcPr>
          <w:p w14:paraId="36C73487" w14:textId="7DF48F4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1.57</w:t>
            </w:r>
          </w:p>
        </w:tc>
        <w:tc>
          <w:tcPr>
            <w:tcW w:w="984" w:type="dxa"/>
            <w:vAlign w:val="center"/>
          </w:tcPr>
          <w:p w14:paraId="1336F1FE" w14:textId="2A29E8F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225.46</w:t>
            </w:r>
          </w:p>
        </w:tc>
        <w:tc>
          <w:tcPr>
            <w:tcW w:w="965" w:type="dxa"/>
            <w:vAlign w:val="center"/>
          </w:tcPr>
          <w:p w14:paraId="3DEE53AC" w14:textId="24DB38E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228.99</w:t>
            </w:r>
          </w:p>
        </w:tc>
        <w:tc>
          <w:tcPr>
            <w:tcW w:w="922" w:type="dxa"/>
            <w:vAlign w:val="center"/>
          </w:tcPr>
          <w:p w14:paraId="7B0CC260" w14:textId="0922C25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3.53</w:t>
            </w:r>
          </w:p>
        </w:tc>
      </w:tr>
      <w:tr w:rsidR="008A0CEF" w:rsidRPr="009F214D" w14:paraId="34FD22B7" w14:textId="77777777" w:rsidTr="00B933C9">
        <w:trPr>
          <w:trHeight w:val="20"/>
          <w:jc w:val="center"/>
        </w:trPr>
        <w:tc>
          <w:tcPr>
            <w:tcW w:w="581" w:type="dxa"/>
            <w:vAlign w:val="center"/>
          </w:tcPr>
          <w:p w14:paraId="4E0942AD" w14:textId="6E2999E0"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5</w:t>
            </w:r>
          </w:p>
        </w:tc>
        <w:tc>
          <w:tcPr>
            <w:tcW w:w="1339" w:type="dxa"/>
            <w:vAlign w:val="center"/>
          </w:tcPr>
          <w:p w14:paraId="544FC781" w14:textId="4D01069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Karnataka</w:t>
            </w:r>
          </w:p>
        </w:tc>
        <w:tc>
          <w:tcPr>
            <w:tcW w:w="896" w:type="dxa"/>
            <w:vAlign w:val="center"/>
          </w:tcPr>
          <w:p w14:paraId="13A585D8" w14:textId="3B6664A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97927.13</w:t>
            </w:r>
          </w:p>
        </w:tc>
        <w:tc>
          <w:tcPr>
            <w:tcW w:w="963" w:type="dxa"/>
            <w:vAlign w:val="center"/>
          </w:tcPr>
          <w:p w14:paraId="500C6B1C" w14:textId="62307BC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102427.74</w:t>
            </w:r>
          </w:p>
        </w:tc>
        <w:tc>
          <w:tcPr>
            <w:tcW w:w="1440" w:type="dxa"/>
            <w:vAlign w:val="center"/>
          </w:tcPr>
          <w:p w14:paraId="0776017E" w14:textId="7908D5E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4500.61</w:t>
            </w:r>
          </w:p>
        </w:tc>
        <w:tc>
          <w:tcPr>
            <w:tcW w:w="982" w:type="dxa"/>
            <w:vAlign w:val="center"/>
          </w:tcPr>
          <w:p w14:paraId="5523FCF7" w14:textId="63031EF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4.60</w:t>
            </w:r>
          </w:p>
        </w:tc>
        <w:tc>
          <w:tcPr>
            <w:tcW w:w="984" w:type="dxa"/>
            <w:vAlign w:val="center"/>
          </w:tcPr>
          <w:p w14:paraId="60AC606D" w14:textId="09C7C2F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234.22</w:t>
            </w:r>
          </w:p>
        </w:tc>
        <w:tc>
          <w:tcPr>
            <w:tcW w:w="965" w:type="dxa"/>
            <w:vAlign w:val="center"/>
          </w:tcPr>
          <w:p w14:paraId="4FFC277D" w14:textId="4F8F8AB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244.99</w:t>
            </w:r>
          </w:p>
        </w:tc>
        <w:tc>
          <w:tcPr>
            <w:tcW w:w="922" w:type="dxa"/>
            <w:vAlign w:val="center"/>
          </w:tcPr>
          <w:p w14:paraId="1783C3D9" w14:textId="50CA956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10.76</w:t>
            </w:r>
          </w:p>
        </w:tc>
      </w:tr>
      <w:tr w:rsidR="008A0CEF" w:rsidRPr="009F214D" w14:paraId="7C888C94" w14:textId="77777777" w:rsidTr="00B933C9">
        <w:trPr>
          <w:trHeight w:val="20"/>
          <w:jc w:val="center"/>
        </w:trPr>
        <w:tc>
          <w:tcPr>
            <w:tcW w:w="581" w:type="dxa"/>
            <w:vAlign w:val="center"/>
          </w:tcPr>
          <w:p w14:paraId="7FDFE525" w14:textId="1D8613F0"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6</w:t>
            </w:r>
          </w:p>
        </w:tc>
        <w:tc>
          <w:tcPr>
            <w:tcW w:w="1339" w:type="dxa"/>
            <w:vAlign w:val="center"/>
          </w:tcPr>
          <w:p w14:paraId="4B66A9FD" w14:textId="3BB78F91"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Kerala</w:t>
            </w:r>
          </w:p>
        </w:tc>
        <w:tc>
          <w:tcPr>
            <w:tcW w:w="896" w:type="dxa"/>
            <w:vAlign w:val="center"/>
          </w:tcPr>
          <w:p w14:paraId="3C94235B" w14:textId="0C0B7C0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85768.41</w:t>
            </w:r>
          </w:p>
        </w:tc>
        <w:tc>
          <w:tcPr>
            <w:tcW w:w="963" w:type="dxa"/>
            <w:vAlign w:val="center"/>
          </w:tcPr>
          <w:p w14:paraId="1A1D28BC" w14:textId="2FA2D86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77687.64</w:t>
            </w:r>
          </w:p>
        </w:tc>
        <w:tc>
          <w:tcPr>
            <w:tcW w:w="1440" w:type="dxa"/>
            <w:vAlign w:val="center"/>
          </w:tcPr>
          <w:p w14:paraId="6BB0837E" w14:textId="15551E3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-8080.77</w:t>
            </w:r>
          </w:p>
        </w:tc>
        <w:tc>
          <w:tcPr>
            <w:tcW w:w="982" w:type="dxa"/>
            <w:vAlign w:val="center"/>
          </w:tcPr>
          <w:p w14:paraId="6DB178C0" w14:textId="7D76122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-9.42</w:t>
            </w:r>
          </w:p>
        </w:tc>
        <w:tc>
          <w:tcPr>
            <w:tcW w:w="984" w:type="dxa"/>
            <w:vAlign w:val="center"/>
          </w:tcPr>
          <w:p w14:paraId="4C7240E1" w14:textId="35A3560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304.95</w:t>
            </w:r>
          </w:p>
        </w:tc>
        <w:tc>
          <w:tcPr>
            <w:tcW w:w="965" w:type="dxa"/>
            <w:vAlign w:val="center"/>
          </w:tcPr>
          <w:p w14:paraId="562FDD91" w14:textId="56275DA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276.22</w:t>
            </w:r>
          </w:p>
        </w:tc>
        <w:tc>
          <w:tcPr>
            <w:tcW w:w="922" w:type="dxa"/>
            <w:vAlign w:val="center"/>
          </w:tcPr>
          <w:p w14:paraId="0553D7C0" w14:textId="3F416C3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-28.73</w:t>
            </w:r>
          </w:p>
        </w:tc>
      </w:tr>
      <w:tr w:rsidR="008A0CEF" w:rsidRPr="009F214D" w14:paraId="464A633F" w14:textId="77777777" w:rsidTr="00B933C9">
        <w:trPr>
          <w:trHeight w:val="20"/>
          <w:jc w:val="center"/>
        </w:trPr>
        <w:tc>
          <w:tcPr>
            <w:tcW w:w="581" w:type="dxa"/>
            <w:vAlign w:val="center"/>
          </w:tcPr>
          <w:p w14:paraId="3C8BD61F" w14:textId="2ECE337E"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7</w:t>
            </w:r>
          </w:p>
        </w:tc>
        <w:tc>
          <w:tcPr>
            <w:tcW w:w="1339" w:type="dxa"/>
            <w:vAlign w:val="center"/>
          </w:tcPr>
          <w:p w14:paraId="5BA228B8" w14:textId="379A26D1"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Madhya Pradesh</w:t>
            </w:r>
          </w:p>
        </w:tc>
        <w:tc>
          <w:tcPr>
            <w:tcW w:w="896" w:type="dxa"/>
            <w:vAlign w:val="center"/>
          </w:tcPr>
          <w:p w14:paraId="7701034A" w14:textId="2FCFE2B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109038.10</w:t>
            </w:r>
          </w:p>
        </w:tc>
        <w:tc>
          <w:tcPr>
            <w:tcW w:w="963" w:type="dxa"/>
            <w:vAlign w:val="center"/>
          </w:tcPr>
          <w:p w14:paraId="7CE83606" w14:textId="55384DB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109478.43</w:t>
            </w:r>
          </w:p>
        </w:tc>
        <w:tc>
          <w:tcPr>
            <w:tcW w:w="1440" w:type="dxa"/>
            <w:vAlign w:val="center"/>
          </w:tcPr>
          <w:p w14:paraId="736D8607" w14:textId="6C09F57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440.33</w:t>
            </w:r>
          </w:p>
        </w:tc>
        <w:tc>
          <w:tcPr>
            <w:tcW w:w="982" w:type="dxa"/>
            <w:vAlign w:val="center"/>
          </w:tcPr>
          <w:p w14:paraId="4BBBB281" w14:textId="5519BDF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0.40</w:t>
            </w:r>
          </w:p>
        </w:tc>
        <w:tc>
          <w:tcPr>
            <w:tcW w:w="984" w:type="dxa"/>
            <w:vAlign w:val="center"/>
          </w:tcPr>
          <w:p w14:paraId="7ABBD15B" w14:textId="5799F61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185.13</w:t>
            </w:r>
          </w:p>
        </w:tc>
        <w:tc>
          <w:tcPr>
            <w:tcW w:w="965" w:type="dxa"/>
            <w:vAlign w:val="center"/>
          </w:tcPr>
          <w:p w14:paraId="125B8FBD" w14:textId="4881A04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185.88</w:t>
            </w:r>
          </w:p>
        </w:tc>
        <w:tc>
          <w:tcPr>
            <w:tcW w:w="922" w:type="dxa"/>
            <w:vAlign w:val="center"/>
          </w:tcPr>
          <w:p w14:paraId="5DA60CEA" w14:textId="2FEE7CD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0.75</w:t>
            </w:r>
          </w:p>
        </w:tc>
      </w:tr>
      <w:tr w:rsidR="008A0CEF" w:rsidRPr="009F214D" w14:paraId="4F1EFEC6" w14:textId="77777777" w:rsidTr="00B933C9">
        <w:trPr>
          <w:trHeight w:val="20"/>
          <w:jc w:val="center"/>
        </w:trPr>
        <w:tc>
          <w:tcPr>
            <w:tcW w:w="581" w:type="dxa"/>
            <w:vAlign w:val="center"/>
          </w:tcPr>
          <w:p w14:paraId="24881C98" w14:textId="7320D0A3"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8</w:t>
            </w:r>
          </w:p>
        </w:tc>
        <w:tc>
          <w:tcPr>
            <w:tcW w:w="1339" w:type="dxa"/>
            <w:vAlign w:val="center"/>
          </w:tcPr>
          <w:p w14:paraId="14BDA68C" w14:textId="4CF0EDD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Maharashtra</w:t>
            </w:r>
          </w:p>
        </w:tc>
        <w:tc>
          <w:tcPr>
            <w:tcW w:w="896" w:type="dxa"/>
            <w:vAlign w:val="center"/>
          </w:tcPr>
          <w:p w14:paraId="4AAB0C98" w14:textId="51E0DE8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193989.24</w:t>
            </w:r>
          </w:p>
        </w:tc>
        <w:tc>
          <w:tcPr>
            <w:tcW w:w="963" w:type="dxa"/>
            <w:vAlign w:val="center"/>
          </w:tcPr>
          <w:p w14:paraId="1F0F04DA" w14:textId="3AC55B8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177694.07</w:t>
            </w:r>
          </w:p>
        </w:tc>
        <w:tc>
          <w:tcPr>
            <w:tcW w:w="1440" w:type="dxa"/>
            <w:vAlign w:val="center"/>
          </w:tcPr>
          <w:p w14:paraId="1E39ECAC" w14:textId="4054066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-16295.17</w:t>
            </w:r>
          </w:p>
        </w:tc>
        <w:tc>
          <w:tcPr>
            <w:tcW w:w="982" w:type="dxa"/>
            <w:vAlign w:val="center"/>
          </w:tcPr>
          <w:p w14:paraId="2F395548" w14:textId="7286938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-8.40</w:t>
            </w:r>
          </w:p>
        </w:tc>
        <w:tc>
          <w:tcPr>
            <w:tcW w:w="984" w:type="dxa"/>
            <w:vAlign w:val="center"/>
          </w:tcPr>
          <w:p w14:paraId="458979FB" w14:textId="2FD59FE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275.38</w:t>
            </w:r>
          </w:p>
        </w:tc>
        <w:tc>
          <w:tcPr>
            <w:tcW w:w="965" w:type="dxa"/>
            <w:vAlign w:val="center"/>
          </w:tcPr>
          <w:p w14:paraId="46196F52" w14:textId="3163DA8D"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252.25</w:t>
            </w:r>
          </w:p>
        </w:tc>
        <w:tc>
          <w:tcPr>
            <w:tcW w:w="922" w:type="dxa"/>
            <w:vAlign w:val="center"/>
          </w:tcPr>
          <w:p w14:paraId="58D06E29" w14:textId="5EC41C3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-23.13</w:t>
            </w:r>
          </w:p>
        </w:tc>
      </w:tr>
      <w:tr w:rsidR="008A0CEF" w:rsidRPr="009F214D" w14:paraId="34159A9D" w14:textId="77777777" w:rsidTr="00B933C9">
        <w:trPr>
          <w:trHeight w:val="20"/>
          <w:jc w:val="center"/>
        </w:trPr>
        <w:tc>
          <w:tcPr>
            <w:tcW w:w="581" w:type="dxa"/>
            <w:vAlign w:val="center"/>
          </w:tcPr>
          <w:p w14:paraId="400B41D5" w14:textId="3BD94576"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9</w:t>
            </w:r>
          </w:p>
        </w:tc>
        <w:tc>
          <w:tcPr>
            <w:tcW w:w="1339" w:type="dxa"/>
            <w:vAlign w:val="center"/>
          </w:tcPr>
          <w:p w14:paraId="0AE94E97" w14:textId="194AA433"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Orissa</w:t>
            </w:r>
          </w:p>
        </w:tc>
        <w:tc>
          <w:tcPr>
            <w:tcW w:w="896" w:type="dxa"/>
            <w:vAlign w:val="center"/>
          </w:tcPr>
          <w:p w14:paraId="3378B1E6" w14:textId="5F89F45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56072.43</w:t>
            </w:r>
          </w:p>
        </w:tc>
        <w:tc>
          <w:tcPr>
            <w:tcW w:w="963" w:type="dxa"/>
            <w:vAlign w:val="center"/>
          </w:tcPr>
          <w:p w14:paraId="384DA37D" w14:textId="4A6EC5A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61117.99</w:t>
            </w:r>
          </w:p>
        </w:tc>
        <w:tc>
          <w:tcPr>
            <w:tcW w:w="1440" w:type="dxa"/>
            <w:vAlign w:val="center"/>
          </w:tcPr>
          <w:p w14:paraId="1585D192" w14:textId="16A2808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5045.56</w:t>
            </w:r>
          </w:p>
        </w:tc>
        <w:tc>
          <w:tcPr>
            <w:tcW w:w="982" w:type="dxa"/>
            <w:vAlign w:val="center"/>
          </w:tcPr>
          <w:p w14:paraId="49C59BBD" w14:textId="7329662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9.00</w:t>
            </w:r>
          </w:p>
        </w:tc>
        <w:tc>
          <w:tcPr>
            <w:tcW w:w="984" w:type="dxa"/>
            <w:vAlign w:val="center"/>
          </w:tcPr>
          <w:p w14:paraId="3CF4895D" w14:textId="163FC47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192.29</w:t>
            </w:r>
          </w:p>
        </w:tc>
        <w:tc>
          <w:tcPr>
            <w:tcW w:w="965" w:type="dxa"/>
            <w:vAlign w:val="center"/>
          </w:tcPr>
          <w:p w14:paraId="0C467740" w14:textId="276130B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209.59</w:t>
            </w:r>
          </w:p>
        </w:tc>
        <w:tc>
          <w:tcPr>
            <w:tcW w:w="922" w:type="dxa"/>
            <w:vAlign w:val="center"/>
          </w:tcPr>
          <w:p w14:paraId="06598A26" w14:textId="5695F53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17.30</w:t>
            </w:r>
          </w:p>
        </w:tc>
      </w:tr>
      <w:tr w:rsidR="008A0CEF" w:rsidRPr="009F214D" w14:paraId="46EB53EB" w14:textId="77777777" w:rsidTr="00B933C9">
        <w:trPr>
          <w:trHeight w:val="20"/>
          <w:jc w:val="center"/>
        </w:trPr>
        <w:tc>
          <w:tcPr>
            <w:tcW w:w="581" w:type="dxa"/>
            <w:vAlign w:val="center"/>
          </w:tcPr>
          <w:p w14:paraId="3250EFA5" w14:textId="4CFF4180"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10</w:t>
            </w:r>
          </w:p>
        </w:tc>
        <w:tc>
          <w:tcPr>
            <w:tcW w:w="1339" w:type="dxa"/>
            <w:vAlign w:val="center"/>
          </w:tcPr>
          <w:p w14:paraId="6606509A" w14:textId="7780B140"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Punjab</w:t>
            </w:r>
          </w:p>
        </w:tc>
        <w:tc>
          <w:tcPr>
            <w:tcW w:w="896" w:type="dxa"/>
            <w:vAlign w:val="center"/>
          </w:tcPr>
          <w:p w14:paraId="1B4EFE9C" w14:textId="1F1CD7B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55029.00</w:t>
            </w:r>
          </w:p>
        </w:tc>
        <w:tc>
          <w:tcPr>
            <w:tcW w:w="963" w:type="dxa"/>
            <w:vAlign w:val="center"/>
          </w:tcPr>
          <w:p w14:paraId="408A7845" w14:textId="308C5DE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47875.38</w:t>
            </w:r>
          </w:p>
        </w:tc>
        <w:tc>
          <w:tcPr>
            <w:tcW w:w="1440" w:type="dxa"/>
            <w:vAlign w:val="center"/>
          </w:tcPr>
          <w:p w14:paraId="1B34C17D" w14:textId="13FA1E6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-7153.62</w:t>
            </w:r>
          </w:p>
        </w:tc>
        <w:tc>
          <w:tcPr>
            <w:tcW w:w="982" w:type="dxa"/>
            <w:vAlign w:val="center"/>
          </w:tcPr>
          <w:p w14:paraId="51EFAAC1" w14:textId="7D6D794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-13.00</w:t>
            </w:r>
          </w:p>
        </w:tc>
        <w:tc>
          <w:tcPr>
            <w:tcW w:w="984" w:type="dxa"/>
            <w:vAlign w:val="center"/>
          </w:tcPr>
          <w:p w14:paraId="72769FDA" w14:textId="6BD2C8D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294.35</w:t>
            </w:r>
          </w:p>
        </w:tc>
        <w:tc>
          <w:tcPr>
            <w:tcW w:w="965" w:type="dxa"/>
            <w:vAlign w:val="center"/>
          </w:tcPr>
          <w:p w14:paraId="4BDF640F" w14:textId="10710DD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256.09</w:t>
            </w:r>
          </w:p>
        </w:tc>
        <w:tc>
          <w:tcPr>
            <w:tcW w:w="922" w:type="dxa"/>
            <w:vAlign w:val="center"/>
          </w:tcPr>
          <w:p w14:paraId="540E62A6" w14:textId="5C2C000A"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-38.26</w:t>
            </w:r>
          </w:p>
        </w:tc>
      </w:tr>
      <w:tr w:rsidR="008A0CEF" w:rsidRPr="009F214D" w14:paraId="6AEA7AE0" w14:textId="77777777" w:rsidTr="00B933C9">
        <w:trPr>
          <w:trHeight w:val="20"/>
          <w:jc w:val="center"/>
        </w:trPr>
        <w:tc>
          <w:tcPr>
            <w:tcW w:w="581" w:type="dxa"/>
            <w:vAlign w:val="center"/>
          </w:tcPr>
          <w:p w14:paraId="022F9956" w14:textId="4078E633"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11</w:t>
            </w:r>
          </w:p>
        </w:tc>
        <w:tc>
          <w:tcPr>
            <w:tcW w:w="1339" w:type="dxa"/>
            <w:vAlign w:val="center"/>
          </w:tcPr>
          <w:p w14:paraId="771A390D" w14:textId="7924120F"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Rajasthan</w:t>
            </w:r>
          </w:p>
        </w:tc>
        <w:tc>
          <w:tcPr>
            <w:tcW w:w="896" w:type="dxa"/>
            <w:vAlign w:val="center"/>
          </w:tcPr>
          <w:p w14:paraId="440BAC7F" w14:textId="77D5B9FD"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74695.79</w:t>
            </w:r>
          </w:p>
        </w:tc>
        <w:tc>
          <w:tcPr>
            <w:tcW w:w="963" w:type="dxa"/>
            <w:vAlign w:val="center"/>
          </w:tcPr>
          <w:p w14:paraId="0EE56FF6" w14:textId="5D4D188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81858.70</w:t>
            </w:r>
          </w:p>
        </w:tc>
        <w:tc>
          <w:tcPr>
            <w:tcW w:w="1440" w:type="dxa"/>
            <w:vAlign w:val="center"/>
          </w:tcPr>
          <w:p w14:paraId="1304F275" w14:textId="71B278A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7162.91</w:t>
            </w:r>
          </w:p>
        </w:tc>
        <w:tc>
          <w:tcPr>
            <w:tcW w:w="982" w:type="dxa"/>
            <w:vAlign w:val="center"/>
          </w:tcPr>
          <w:p w14:paraId="3FD62DEC" w14:textId="66CBDD2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9.59</w:t>
            </w:r>
          </w:p>
        </w:tc>
        <w:tc>
          <w:tcPr>
            <w:tcW w:w="984" w:type="dxa"/>
            <w:vAlign w:val="center"/>
          </w:tcPr>
          <w:p w14:paraId="16AC9226" w14:textId="35EF575D"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187.68</w:t>
            </w:r>
          </w:p>
        </w:tc>
        <w:tc>
          <w:tcPr>
            <w:tcW w:w="965" w:type="dxa"/>
            <w:vAlign w:val="center"/>
          </w:tcPr>
          <w:p w14:paraId="756F865B" w14:textId="39F767D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205.68</w:t>
            </w:r>
          </w:p>
        </w:tc>
        <w:tc>
          <w:tcPr>
            <w:tcW w:w="922" w:type="dxa"/>
            <w:vAlign w:val="center"/>
          </w:tcPr>
          <w:p w14:paraId="528246FF" w14:textId="6357BA3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18.00</w:t>
            </w:r>
          </w:p>
        </w:tc>
      </w:tr>
      <w:tr w:rsidR="008A0CEF" w:rsidRPr="009F214D" w14:paraId="36D544D7" w14:textId="77777777" w:rsidTr="00B933C9">
        <w:trPr>
          <w:trHeight w:val="20"/>
          <w:jc w:val="center"/>
        </w:trPr>
        <w:tc>
          <w:tcPr>
            <w:tcW w:w="581" w:type="dxa"/>
            <w:vAlign w:val="center"/>
          </w:tcPr>
          <w:p w14:paraId="4D8E5F61" w14:textId="2EBECF89"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12</w:t>
            </w:r>
          </w:p>
        </w:tc>
        <w:tc>
          <w:tcPr>
            <w:tcW w:w="1339" w:type="dxa"/>
            <w:vAlign w:val="center"/>
          </w:tcPr>
          <w:p w14:paraId="69EDEA6C" w14:textId="692C960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Tamil Nadu</w:t>
            </w:r>
          </w:p>
        </w:tc>
        <w:tc>
          <w:tcPr>
            <w:tcW w:w="896" w:type="dxa"/>
            <w:vAlign w:val="center"/>
          </w:tcPr>
          <w:p w14:paraId="6747176F" w14:textId="6E8493E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125927.86</w:t>
            </w:r>
          </w:p>
        </w:tc>
        <w:tc>
          <w:tcPr>
            <w:tcW w:w="963" w:type="dxa"/>
            <w:vAlign w:val="center"/>
          </w:tcPr>
          <w:p w14:paraId="2D5AF43D" w14:textId="6F2A4347"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134444.93</w:t>
            </w:r>
          </w:p>
        </w:tc>
        <w:tc>
          <w:tcPr>
            <w:tcW w:w="1440" w:type="dxa"/>
            <w:vAlign w:val="center"/>
          </w:tcPr>
          <w:p w14:paraId="155885C1" w14:textId="4363F68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8517.07</w:t>
            </w:r>
          </w:p>
        </w:tc>
        <w:tc>
          <w:tcPr>
            <w:tcW w:w="982" w:type="dxa"/>
            <w:vAlign w:val="center"/>
          </w:tcPr>
          <w:p w14:paraId="000FFC6F" w14:textId="6CF4622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6.76</w:t>
            </w:r>
          </w:p>
        </w:tc>
        <w:tc>
          <w:tcPr>
            <w:tcW w:w="984" w:type="dxa"/>
            <w:vAlign w:val="center"/>
          </w:tcPr>
          <w:p w14:paraId="0053CE19" w14:textId="7665F08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237.36</w:t>
            </w:r>
          </w:p>
        </w:tc>
        <w:tc>
          <w:tcPr>
            <w:tcW w:w="965" w:type="dxa"/>
            <w:vAlign w:val="center"/>
          </w:tcPr>
          <w:p w14:paraId="2A164929" w14:textId="3FC8F875"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253.42</w:t>
            </w:r>
          </w:p>
        </w:tc>
        <w:tc>
          <w:tcPr>
            <w:tcW w:w="922" w:type="dxa"/>
            <w:vAlign w:val="center"/>
          </w:tcPr>
          <w:p w14:paraId="3401743E" w14:textId="1BF067C3"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16.05</w:t>
            </w:r>
          </w:p>
        </w:tc>
      </w:tr>
      <w:tr w:rsidR="008A0CEF" w:rsidRPr="009F214D" w14:paraId="50C07650" w14:textId="77777777" w:rsidTr="00B933C9">
        <w:trPr>
          <w:trHeight w:val="20"/>
          <w:jc w:val="center"/>
        </w:trPr>
        <w:tc>
          <w:tcPr>
            <w:tcW w:w="581" w:type="dxa"/>
            <w:vAlign w:val="center"/>
          </w:tcPr>
          <w:p w14:paraId="6F10145A" w14:textId="0287B548"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13</w:t>
            </w:r>
          </w:p>
        </w:tc>
        <w:tc>
          <w:tcPr>
            <w:tcW w:w="1339" w:type="dxa"/>
            <w:vAlign w:val="center"/>
          </w:tcPr>
          <w:p w14:paraId="56E9BFFF" w14:textId="2B4232F2"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Uttar Pradesh</w:t>
            </w:r>
          </w:p>
        </w:tc>
        <w:tc>
          <w:tcPr>
            <w:tcW w:w="896" w:type="dxa"/>
            <w:vAlign w:val="center"/>
          </w:tcPr>
          <w:p w14:paraId="60778ADA" w14:textId="25A932B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184811.26</w:t>
            </w:r>
          </w:p>
        </w:tc>
        <w:tc>
          <w:tcPr>
            <w:tcW w:w="963" w:type="dxa"/>
            <w:vAlign w:val="center"/>
          </w:tcPr>
          <w:p w14:paraId="6516B8A4" w14:textId="670AE42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201376.26</w:t>
            </w:r>
          </w:p>
        </w:tc>
        <w:tc>
          <w:tcPr>
            <w:tcW w:w="1440" w:type="dxa"/>
            <w:vAlign w:val="center"/>
          </w:tcPr>
          <w:p w14:paraId="33B6578D" w14:textId="27DE9D6E"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16565.01</w:t>
            </w:r>
          </w:p>
        </w:tc>
        <w:tc>
          <w:tcPr>
            <w:tcW w:w="982" w:type="dxa"/>
            <w:vAlign w:val="center"/>
          </w:tcPr>
          <w:p w14:paraId="75498C3E" w14:textId="224A5DD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8.96</w:t>
            </w:r>
          </w:p>
        </w:tc>
        <w:tc>
          <w:tcPr>
            <w:tcW w:w="984" w:type="dxa"/>
            <w:vAlign w:val="center"/>
          </w:tcPr>
          <w:p w14:paraId="2196266E" w14:textId="19FE51D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148.41</w:t>
            </w:r>
          </w:p>
        </w:tc>
        <w:tc>
          <w:tcPr>
            <w:tcW w:w="965" w:type="dxa"/>
            <w:vAlign w:val="center"/>
          </w:tcPr>
          <w:p w14:paraId="184CFFD6" w14:textId="4C95F440"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161.71</w:t>
            </w:r>
          </w:p>
        </w:tc>
        <w:tc>
          <w:tcPr>
            <w:tcW w:w="922" w:type="dxa"/>
            <w:vAlign w:val="center"/>
          </w:tcPr>
          <w:p w14:paraId="5CFF7F38" w14:textId="2FC82AF8"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13.30</w:t>
            </w:r>
          </w:p>
        </w:tc>
      </w:tr>
      <w:tr w:rsidR="008A0CEF" w:rsidRPr="009F214D" w14:paraId="5FCDB148" w14:textId="77777777" w:rsidTr="00B933C9">
        <w:trPr>
          <w:trHeight w:val="20"/>
          <w:jc w:val="center"/>
        </w:trPr>
        <w:tc>
          <w:tcPr>
            <w:tcW w:w="581" w:type="dxa"/>
            <w:vAlign w:val="center"/>
          </w:tcPr>
          <w:p w14:paraId="0EF24C11" w14:textId="7116F317"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14</w:t>
            </w:r>
          </w:p>
        </w:tc>
        <w:tc>
          <w:tcPr>
            <w:tcW w:w="1339" w:type="dxa"/>
            <w:vAlign w:val="center"/>
          </w:tcPr>
          <w:p w14:paraId="005CE552" w14:textId="1878B4B1"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sz w:val="16"/>
                <w:szCs w:val="16"/>
              </w:rPr>
              <w:t>West Bengal</w:t>
            </w:r>
          </w:p>
        </w:tc>
        <w:tc>
          <w:tcPr>
            <w:tcW w:w="896" w:type="dxa"/>
            <w:vAlign w:val="center"/>
          </w:tcPr>
          <w:p w14:paraId="06D636A9" w14:textId="69B89D2D"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147358.24</w:t>
            </w:r>
          </w:p>
        </w:tc>
        <w:tc>
          <w:tcPr>
            <w:tcW w:w="963" w:type="dxa"/>
            <w:vAlign w:val="center"/>
          </w:tcPr>
          <w:p w14:paraId="62FBA9E4" w14:textId="6A72ADF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137498.40</w:t>
            </w:r>
          </w:p>
        </w:tc>
        <w:tc>
          <w:tcPr>
            <w:tcW w:w="1440" w:type="dxa"/>
            <w:vAlign w:val="center"/>
          </w:tcPr>
          <w:p w14:paraId="6BB17665" w14:textId="4C8A09F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-9859.84</w:t>
            </w:r>
          </w:p>
        </w:tc>
        <w:tc>
          <w:tcPr>
            <w:tcW w:w="982" w:type="dxa"/>
            <w:vAlign w:val="center"/>
          </w:tcPr>
          <w:p w14:paraId="1217E4CC" w14:textId="66AE46DD"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-6.69</w:t>
            </w:r>
          </w:p>
        </w:tc>
        <w:tc>
          <w:tcPr>
            <w:tcW w:w="984" w:type="dxa"/>
            <w:vAlign w:val="center"/>
          </w:tcPr>
          <w:p w14:paraId="39B1335C" w14:textId="46E1743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241.92</w:t>
            </w:r>
          </w:p>
        </w:tc>
        <w:tc>
          <w:tcPr>
            <w:tcW w:w="965" w:type="dxa"/>
            <w:vAlign w:val="center"/>
          </w:tcPr>
          <w:p w14:paraId="5E0C34AD" w14:textId="523412FC"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225.73</w:t>
            </w:r>
          </w:p>
        </w:tc>
        <w:tc>
          <w:tcPr>
            <w:tcW w:w="922" w:type="dxa"/>
            <w:vAlign w:val="center"/>
          </w:tcPr>
          <w:p w14:paraId="154DAC0A" w14:textId="32C91F7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sz w:val="16"/>
                <w:szCs w:val="16"/>
              </w:rPr>
              <w:t>-16.19</w:t>
            </w:r>
          </w:p>
        </w:tc>
      </w:tr>
      <w:tr w:rsidR="008A0CEF" w:rsidRPr="009F214D" w14:paraId="46CB00FA" w14:textId="77777777" w:rsidTr="00B933C9">
        <w:trPr>
          <w:trHeight w:val="20"/>
          <w:jc w:val="center"/>
        </w:trPr>
        <w:tc>
          <w:tcPr>
            <w:tcW w:w="581" w:type="dxa"/>
            <w:vAlign w:val="center"/>
          </w:tcPr>
          <w:p w14:paraId="6A996492" w14:textId="74F15C4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b/>
                <w:bCs/>
                <w:sz w:val="16"/>
                <w:szCs w:val="16"/>
              </w:rPr>
              <w:t>14</w:t>
            </w:r>
          </w:p>
        </w:tc>
        <w:tc>
          <w:tcPr>
            <w:tcW w:w="1339" w:type="dxa"/>
            <w:vAlign w:val="center"/>
          </w:tcPr>
          <w:p w14:paraId="19B42270" w14:textId="6A6DC105" w:rsidR="008A0CEF" w:rsidRPr="008A0CEF" w:rsidRDefault="008A0CEF" w:rsidP="008A0CEF">
            <w:pPr>
              <w:tabs>
                <w:tab w:val="left" w:pos="2805"/>
              </w:tabs>
              <w:rPr>
                <w:rFonts w:ascii="Times New Roman" w:hAnsi="Times New Roman" w:cs="Times New Roman"/>
                <w:sz w:val="16"/>
                <w:szCs w:val="16"/>
              </w:rPr>
            </w:pPr>
            <w:r w:rsidRPr="008A0CEF">
              <w:rPr>
                <w:rFonts w:ascii="Times New Roman" w:hAnsi="Times New Roman" w:cs="Times New Roman"/>
                <w:b/>
                <w:bCs/>
                <w:sz w:val="16"/>
                <w:szCs w:val="16"/>
              </w:rPr>
              <w:t>Major States</w:t>
            </w:r>
          </w:p>
        </w:tc>
        <w:tc>
          <w:tcPr>
            <w:tcW w:w="896" w:type="dxa"/>
            <w:vAlign w:val="center"/>
          </w:tcPr>
          <w:p w14:paraId="2E99DDA8" w14:textId="0F92C3B2"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1515097.07</w:t>
            </w:r>
          </w:p>
        </w:tc>
        <w:tc>
          <w:tcPr>
            <w:tcW w:w="963" w:type="dxa"/>
            <w:vAlign w:val="center"/>
          </w:tcPr>
          <w:p w14:paraId="5FD94DFF" w14:textId="0C6A4634"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1518937.35</w:t>
            </w:r>
          </w:p>
        </w:tc>
        <w:tc>
          <w:tcPr>
            <w:tcW w:w="1440" w:type="dxa"/>
            <w:vAlign w:val="center"/>
          </w:tcPr>
          <w:p w14:paraId="2E9212EB" w14:textId="6413F7C1"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3840.28</w:t>
            </w:r>
          </w:p>
        </w:tc>
        <w:tc>
          <w:tcPr>
            <w:tcW w:w="982" w:type="dxa"/>
            <w:vAlign w:val="center"/>
          </w:tcPr>
          <w:p w14:paraId="34EC8EB3" w14:textId="6D149029"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0.25</w:t>
            </w:r>
          </w:p>
        </w:tc>
        <w:tc>
          <w:tcPr>
            <w:tcW w:w="984" w:type="dxa"/>
            <w:vAlign w:val="center"/>
          </w:tcPr>
          <w:p w14:paraId="722B2DE2" w14:textId="48EB680F"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211.38</w:t>
            </w:r>
          </w:p>
        </w:tc>
        <w:tc>
          <w:tcPr>
            <w:tcW w:w="965" w:type="dxa"/>
            <w:vAlign w:val="center"/>
          </w:tcPr>
          <w:p w14:paraId="7D8C3487" w14:textId="0A03E85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211.91</w:t>
            </w:r>
          </w:p>
        </w:tc>
        <w:tc>
          <w:tcPr>
            <w:tcW w:w="922" w:type="dxa"/>
            <w:vAlign w:val="center"/>
          </w:tcPr>
          <w:p w14:paraId="06C821F2" w14:textId="52F4D966" w:rsidR="008A0CEF" w:rsidRPr="008A0CEF" w:rsidRDefault="008A0CEF" w:rsidP="008A0CEF">
            <w:pPr>
              <w:tabs>
                <w:tab w:val="left" w:pos="2805"/>
              </w:tabs>
              <w:jc w:val="center"/>
              <w:rPr>
                <w:rFonts w:ascii="Times New Roman" w:hAnsi="Times New Roman" w:cs="Times New Roman"/>
                <w:sz w:val="16"/>
                <w:szCs w:val="16"/>
              </w:rPr>
            </w:pPr>
            <w:r w:rsidRPr="008A0CEF">
              <w:rPr>
                <w:rFonts w:ascii="Times New Roman" w:hAnsi="Times New Roman" w:cs="Times New Roman"/>
                <w:b/>
                <w:bCs/>
                <w:sz w:val="16"/>
                <w:szCs w:val="16"/>
              </w:rPr>
              <w:t>0.54</w:t>
            </w:r>
          </w:p>
        </w:tc>
      </w:tr>
    </w:tbl>
    <w:p w14:paraId="51CA97F9" w14:textId="34618D35" w:rsidR="00294D85" w:rsidRPr="00BA22F5" w:rsidRDefault="00294D85" w:rsidP="00DF6987">
      <w:pPr>
        <w:tabs>
          <w:tab w:val="left" w:pos="2805"/>
        </w:tabs>
        <w:rPr>
          <w:rFonts w:ascii="Times New Roman" w:hAnsi="Times New Roman" w:cs="Times New Roman"/>
          <w:b/>
          <w:bCs/>
          <w:szCs w:val="24"/>
        </w:rPr>
      </w:pPr>
    </w:p>
    <w:p w14:paraId="142816B6" w14:textId="745B5829" w:rsidR="00294D85" w:rsidRPr="00AA6AF4" w:rsidRDefault="00294D85" w:rsidP="00DF6987">
      <w:pPr>
        <w:spacing w:after="0"/>
        <w:rPr>
          <w:rFonts w:ascii="Times New Roman" w:hAnsi="Times New Roman" w:cs="Times New Roman"/>
          <w:szCs w:val="24"/>
        </w:rPr>
      </w:pPr>
    </w:p>
    <w:p w14:paraId="15352558" w14:textId="680CEAF2" w:rsidR="00294D85" w:rsidRPr="001B4ADF" w:rsidRDefault="00294D85" w:rsidP="00DF6987">
      <w:pPr>
        <w:tabs>
          <w:tab w:val="left" w:pos="2805"/>
        </w:tabs>
        <w:rPr>
          <w:rFonts w:ascii="Times New Roman" w:hAnsi="Times New Roman" w:cs="Times New Roman"/>
          <w:b/>
          <w:bCs/>
          <w:sz w:val="20"/>
          <w:szCs w:val="20"/>
        </w:rPr>
      </w:pPr>
    </w:p>
    <w:p w14:paraId="501080BB" w14:textId="61203680" w:rsidR="00294D85" w:rsidRPr="001B4ADF" w:rsidRDefault="00294D85" w:rsidP="00DF6987">
      <w:pPr>
        <w:tabs>
          <w:tab w:val="left" w:pos="2805"/>
        </w:tabs>
        <w:rPr>
          <w:rFonts w:ascii="Times New Roman" w:hAnsi="Times New Roman" w:cs="Times New Roman"/>
          <w:b/>
          <w:bCs/>
          <w:sz w:val="20"/>
          <w:szCs w:val="20"/>
        </w:rPr>
      </w:pPr>
    </w:p>
    <w:p w14:paraId="7D5D8EC4" w14:textId="671CBA63" w:rsidR="00294D85" w:rsidRPr="001B4ADF" w:rsidRDefault="00294D85" w:rsidP="00DF6987">
      <w:pPr>
        <w:tabs>
          <w:tab w:val="left" w:pos="2805"/>
        </w:tabs>
        <w:spacing w:after="0"/>
        <w:rPr>
          <w:rFonts w:ascii="Times New Roman" w:hAnsi="Times New Roman" w:cs="Times New Roman"/>
          <w:b/>
          <w:bCs/>
          <w:sz w:val="20"/>
          <w:szCs w:val="20"/>
        </w:rPr>
      </w:pPr>
    </w:p>
    <w:p w14:paraId="095DE166" w14:textId="1DE4401D" w:rsidR="00294D85" w:rsidRPr="00BA22F5" w:rsidRDefault="00294D85" w:rsidP="00DF6987">
      <w:pPr>
        <w:tabs>
          <w:tab w:val="left" w:pos="2805"/>
        </w:tabs>
        <w:rPr>
          <w:rFonts w:ascii="Times New Roman" w:hAnsi="Times New Roman" w:cs="Times New Roman"/>
          <w:b/>
          <w:bCs/>
          <w:sz w:val="20"/>
          <w:szCs w:val="20"/>
        </w:rPr>
      </w:pPr>
    </w:p>
    <w:p w14:paraId="5328DCDE" w14:textId="346732A2" w:rsidR="00294D85" w:rsidRPr="0078036E" w:rsidRDefault="00294D85" w:rsidP="00DF6987">
      <w:pPr>
        <w:tabs>
          <w:tab w:val="left" w:pos="2805"/>
        </w:tabs>
        <w:rPr>
          <w:rFonts w:ascii="Times New Roman" w:hAnsi="Times New Roman" w:cs="Times New Roman"/>
          <w:b/>
          <w:bCs/>
          <w:sz w:val="20"/>
          <w:szCs w:val="20"/>
        </w:rPr>
      </w:pPr>
    </w:p>
    <w:p w14:paraId="6C71957D" w14:textId="0179F78C" w:rsidR="00294D85" w:rsidRPr="0078036E" w:rsidRDefault="00294D85" w:rsidP="00DF6987">
      <w:pPr>
        <w:tabs>
          <w:tab w:val="left" w:pos="2805"/>
        </w:tabs>
        <w:rPr>
          <w:rFonts w:ascii="Times New Roman" w:hAnsi="Times New Roman" w:cs="Times New Roman"/>
          <w:b/>
          <w:bCs/>
          <w:sz w:val="20"/>
          <w:szCs w:val="20"/>
        </w:rPr>
      </w:pPr>
    </w:p>
    <w:p w14:paraId="58B2AA26" w14:textId="77777777" w:rsidR="008D4C75" w:rsidRPr="00AA6AF4" w:rsidRDefault="008D4C75" w:rsidP="00DF6987">
      <w:pPr>
        <w:rPr>
          <w:rFonts w:ascii="Times New Roman" w:hAnsi="Times New Roman" w:cs="Times New Roman"/>
          <w:b/>
          <w:bCs/>
          <w:szCs w:val="24"/>
        </w:rPr>
      </w:pPr>
    </w:p>
    <w:p w14:paraId="27900C40" w14:textId="7C44BCB4" w:rsidR="00294D85" w:rsidRPr="008A0CEF" w:rsidRDefault="00294D85" w:rsidP="008A0CEF">
      <w:pPr>
        <w:spacing w:after="0"/>
        <w:jc w:val="center"/>
        <w:rPr>
          <w:rFonts w:ascii="Times New Roman" w:hAnsi="Times New Roman" w:cs="Times New Roman"/>
          <w:b/>
          <w:bCs/>
          <w:sz w:val="20"/>
          <w:szCs w:val="20"/>
        </w:rPr>
      </w:pPr>
      <w:r w:rsidRPr="008A0CEF">
        <w:rPr>
          <w:rFonts w:ascii="Times New Roman" w:hAnsi="Times New Roman" w:cs="Times New Roman"/>
          <w:b/>
          <w:bCs/>
          <w:sz w:val="20"/>
          <w:szCs w:val="20"/>
        </w:rPr>
        <w:lastRenderedPageBreak/>
        <w:t>TABLE B.5.3</w:t>
      </w:r>
      <w:r w:rsidR="0078036E" w:rsidRPr="008A0CEF">
        <w:rPr>
          <w:rFonts w:ascii="Times New Roman" w:hAnsi="Times New Roman" w:cs="Times New Roman"/>
          <w:b/>
          <w:bCs/>
          <w:sz w:val="20"/>
          <w:szCs w:val="20"/>
        </w:rPr>
        <w:br/>
      </w:r>
      <w:r w:rsidRPr="008A0CEF">
        <w:rPr>
          <w:rFonts w:ascii="Times New Roman" w:hAnsi="Times New Roman" w:cs="Times New Roman"/>
          <w:b/>
          <w:bCs/>
          <w:sz w:val="20"/>
          <w:szCs w:val="20"/>
        </w:rPr>
        <w:t xml:space="preserve"> Inter-State Variations </w:t>
      </w:r>
      <w:r w:rsidR="008A0CEF" w:rsidRPr="008A0CEF">
        <w:rPr>
          <w:rFonts w:ascii="Times New Roman" w:hAnsi="Times New Roman" w:cs="Times New Roman"/>
          <w:b/>
          <w:bCs/>
          <w:sz w:val="20"/>
          <w:szCs w:val="20"/>
        </w:rPr>
        <w:t>in</w:t>
      </w:r>
      <w:r w:rsidRPr="008A0CEF">
        <w:rPr>
          <w:rFonts w:ascii="Times New Roman" w:hAnsi="Times New Roman" w:cs="Times New Roman"/>
          <w:b/>
          <w:bCs/>
          <w:sz w:val="20"/>
          <w:szCs w:val="20"/>
        </w:rPr>
        <w:t xml:space="preserve"> Per Capita Normative </w:t>
      </w:r>
      <w:r w:rsidR="008A0CEF" w:rsidRPr="008A0CEF">
        <w:rPr>
          <w:rFonts w:ascii="Times New Roman" w:hAnsi="Times New Roman" w:cs="Times New Roman"/>
          <w:b/>
          <w:bCs/>
          <w:sz w:val="20"/>
          <w:szCs w:val="20"/>
        </w:rPr>
        <w:t>Expenditure:</w:t>
      </w:r>
      <w:r w:rsidRPr="008A0CEF">
        <w:rPr>
          <w:rFonts w:ascii="Times New Roman" w:hAnsi="Times New Roman" w:cs="Times New Roman"/>
          <w:b/>
          <w:bCs/>
          <w:sz w:val="20"/>
          <w:szCs w:val="20"/>
        </w:rPr>
        <w:t xml:space="preserve"> 1986-87</w:t>
      </w:r>
    </w:p>
    <w:tbl>
      <w:tblPr>
        <w:tblStyle w:val="TableGrid"/>
        <w:tblW w:w="8642" w:type="dxa"/>
        <w:jc w:val="center"/>
        <w:tblLook w:val="04A0" w:firstRow="1" w:lastRow="0" w:firstColumn="1" w:lastColumn="0" w:noHBand="0" w:noVBand="1"/>
      </w:tblPr>
      <w:tblGrid>
        <w:gridCol w:w="377"/>
        <w:gridCol w:w="2312"/>
        <w:gridCol w:w="891"/>
        <w:gridCol w:w="951"/>
        <w:gridCol w:w="993"/>
        <w:gridCol w:w="1275"/>
        <w:gridCol w:w="851"/>
        <w:gridCol w:w="992"/>
      </w:tblGrid>
      <w:tr w:rsidR="008A0CEF" w:rsidRPr="002C6B2E" w14:paraId="449225C6" w14:textId="77777777" w:rsidTr="002C6B2E">
        <w:trPr>
          <w:trHeight w:val="20"/>
          <w:jc w:val="center"/>
        </w:trPr>
        <w:tc>
          <w:tcPr>
            <w:tcW w:w="377" w:type="dxa"/>
            <w:vMerge w:val="restart"/>
            <w:vAlign w:val="center"/>
          </w:tcPr>
          <w:p w14:paraId="76AF5968" w14:textId="77777777" w:rsidR="008A0CEF" w:rsidRPr="002C6B2E" w:rsidRDefault="008A0CEF" w:rsidP="00DF6987">
            <w:pPr>
              <w:jc w:val="center"/>
              <w:rPr>
                <w:rFonts w:ascii="Times New Roman" w:hAnsi="Times New Roman" w:cs="Times New Roman"/>
                <w:sz w:val="16"/>
                <w:szCs w:val="16"/>
              </w:rPr>
            </w:pPr>
          </w:p>
        </w:tc>
        <w:tc>
          <w:tcPr>
            <w:tcW w:w="2312" w:type="dxa"/>
            <w:vMerge w:val="restart"/>
            <w:vAlign w:val="center"/>
          </w:tcPr>
          <w:p w14:paraId="4005EF54" w14:textId="4E3D4EEA" w:rsidR="008A0CEF" w:rsidRPr="002C6B2E" w:rsidRDefault="008A0CEF" w:rsidP="00DF6987">
            <w:pPr>
              <w:rPr>
                <w:rFonts w:ascii="Times New Roman" w:hAnsi="Times New Roman" w:cs="Times New Roman"/>
                <w:sz w:val="16"/>
                <w:szCs w:val="16"/>
              </w:rPr>
            </w:pPr>
            <w:r w:rsidRPr="002C6B2E">
              <w:rPr>
                <w:rFonts w:ascii="Times New Roman" w:hAnsi="Times New Roman" w:cs="Times New Roman"/>
                <w:b/>
                <w:bCs/>
                <w:sz w:val="16"/>
                <w:szCs w:val="16"/>
              </w:rPr>
              <w:t>Expenditure Category</w:t>
            </w:r>
          </w:p>
        </w:tc>
        <w:tc>
          <w:tcPr>
            <w:tcW w:w="1842" w:type="dxa"/>
            <w:gridSpan w:val="2"/>
            <w:vAlign w:val="center"/>
          </w:tcPr>
          <w:p w14:paraId="32F0F643" w14:textId="3C7A5A9D" w:rsidR="008A0CEF" w:rsidRPr="002C6B2E" w:rsidRDefault="008A0CEF" w:rsidP="00DF6987">
            <w:pPr>
              <w:jc w:val="center"/>
              <w:rPr>
                <w:rFonts w:ascii="Times New Roman" w:hAnsi="Times New Roman" w:cs="Times New Roman"/>
                <w:sz w:val="16"/>
                <w:szCs w:val="16"/>
              </w:rPr>
            </w:pPr>
            <w:r w:rsidRPr="002C6B2E">
              <w:rPr>
                <w:rFonts w:ascii="Times New Roman" w:hAnsi="Times New Roman" w:cs="Times New Roman"/>
                <w:b/>
                <w:bCs/>
                <w:sz w:val="16"/>
                <w:szCs w:val="16"/>
              </w:rPr>
              <w:t>Mean (Rs.)</w:t>
            </w:r>
          </w:p>
        </w:tc>
        <w:tc>
          <w:tcPr>
            <w:tcW w:w="2268" w:type="dxa"/>
            <w:gridSpan w:val="2"/>
            <w:vAlign w:val="center"/>
          </w:tcPr>
          <w:p w14:paraId="47F1A609" w14:textId="45191E8D" w:rsidR="008A0CEF" w:rsidRPr="002C6B2E" w:rsidRDefault="008A0CEF" w:rsidP="00DF6987">
            <w:pPr>
              <w:jc w:val="center"/>
              <w:rPr>
                <w:rFonts w:ascii="Times New Roman" w:hAnsi="Times New Roman" w:cs="Times New Roman"/>
                <w:sz w:val="16"/>
                <w:szCs w:val="16"/>
              </w:rPr>
            </w:pPr>
            <w:r w:rsidRPr="002C6B2E">
              <w:rPr>
                <w:rFonts w:ascii="Times New Roman" w:hAnsi="Times New Roman" w:cs="Times New Roman"/>
                <w:b/>
                <w:bCs/>
                <w:sz w:val="16"/>
                <w:szCs w:val="16"/>
              </w:rPr>
              <w:t>Standard Deviation (Rs.)</w:t>
            </w:r>
          </w:p>
        </w:tc>
        <w:tc>
          <w:tcPr>
            <w:tcW w:w="1843" w:type="dxa"/>
            <w:gridSpan w:val="2"/>
            <w:vAlign w:val="center"/>
          </w:tcPr>
          <w:p w14:paraId="4B5986B8" w14:textId="0071C0BB" w:rsidR="008A0CEF" w:rsidRPr="002C6B2E" w:rsidRDefault="008A0CEF" w:rsidP="00DF6987">
            <w:pPr>
              <w:jc w:val="center"/>
              <w:rPr>
                <w:rFonts w:ascii="Times New Roman" w:hAnsi="Times New Roman" w:cs="Times New Roman"/>
                <w:sz w:val="16"/>
                <w:szCs w:val="16"/>
              </w:rPr>
            </w:pPr>
            <w:r w:rsidRPr="002C6B2E">
              <w:rPr>
                <w:rFonts w:ascii="Times New Roman" w:hAnsi="Times New Roman" w:cs="Times New Roman"/>
                <w:b/>
                <w:bCs/>
                <w:sz w:val="16"/>
                <w:szCs w:val="16"/>
              </w:rPr>
              <w:t>Coeff. of Variation</w:t>
            </w:r>
          </w:p>
        </w:tc>
      </w:tr>
      <w:tr w:rsidR="008A0CEF" w:rsidRPr="002C6B2E" w14:paraId="0A2B6EED" w14:textId="77777777" w:rsidTr="002C6B2E">
        <w:trPr>
          <w:trHeight w:val="20"/>
          <w:jc w:val="center"/>
        </w:trPr>
        <w:tc>
          <w:tcPr>
            <w:tcW w:w="377" w:type="dxa"/>
            <w:vMerge/>
            <w:vAlign w:val="center"/>
          </w:tcPr>
          <w:p w14:paraId="29F7D5BE" w14:textId="77777777" w:rsidR="008A0CEF" w:rsidRPr="002C6B2E" w:rsidRDefault="008A0CEF" w:rsidP="008A0CEF">
            <w:pPr>
              <w:jc w:val="center"/>
              <w:rPr>
                <w:rFonts w:ascii="Times New Roman" w:hAnsi="Times New Roman" w:cs="Times New Roman"/>
                <w:sz w:val="16"/>
                <w:szCs w:val="16"/>
              </w:rPr>
            </w:pPr>
          </w:p>
        </w:tc>
        <w:tc>
          <w:tcPr>
            <w:tcW w:w="2312" w:type="dxa"/>
            <w:vMerge/>
            <w:vAlign w:val="center"/>
          </w:tcPr>
          <w:p w14:paraId="23CFA22E" w14:textId="77777777" w:rsidR="008A0CEF" w:rsidRPr="002C6B2E" w:rsidRDefault="008A0CEF" w:rsidP="008A0CEF">
            <w:pPr>
              <w:rPr>
                <w:rFonts w:ascii="Times New Roman" w:hAnsi="Times New Roman" w:cs="Times New Roman"/>
                <w:b/>
                <w:bCs/>
                <w:sz w:val="16"/>
                <w:szCs w:val="16"/>
              </w:rPr>
            </w:pPr>
          </w:p>
        </w:tc>
        <w:tc>
          <w:tcPr>
            <w:tcW w:w="891" w:type="dxa"/>
            <w:vAlign w:val="center"/>
          </w:tcPr>
          <w:p w14:paraId="6F8D957A" w14:textId="3CF30F81" w:rsidR="008A0CEF" w:rsidRPr="002C6B2E" w:rsidRDefault="008A0CEF" w:rsidP="008A0CEF">
            <w:pPr>
              <w:jc w:val="center"/>
              <w:rPr>
                <w:rFonts w:ascii="Times New Roman" w:hAnsi="Times New Roman" w:cs="Times New Roman"/>
                <w:b/>
                <w:bCs/>
                <w:sz w:val="16"/>
                <w:szCs w:val="16"/>
              </w:rPr>
            </w:pPr>
            <w:r w:rsidRPr="002C6B2E">
              <w:rPr>
                <w:rFonts w:ascii="Times New Roman" w:hAnsi="Times New Roman" w:cs="Times New Roman"/>
                <w:b/>
                <w:bCs/>
                <w:sz w:val="16"/>
                <w:szCs w:val="16"/>
              </w:rPr>
              <w:t xml:space="preserve">Actual </w:t>
            </w:r>
          </w:p>
        </w:tc>
        <w:tc>
          <w:tcPr>
            <w:tcW w:w="951" w:type="dxa"/>
            <w:vAlign w:val="center"/>
          </w:tcPr>
          <w:p w14:paraId="25AC5033" w14:textId="46872B97" w:rsidR="008A0CEF" w:rsidRPr="002C6B2E" w:rsidRDefault="008A0CEF" w:rsidP="008A0CEF">
            <w:pPr>
              <w:jc w:val="center"/>
              <w:rPr>
                <w:rFonts w:ascii="Times New Roman" w:hAnsi="Times New Roman" w:cs="Times New Roman"/>
                <w:b/>
                <w:bCs/>
                <w:sz w:val="16"/>
                <w:szCs w:val="16"/>
              </w:rPr>
            </w:pPr>
            <w:r w:rsidRPr="002C6B2E">
              <w:rPr>
                <w:rFonts w:ascii="Times New Roman" w:hAnsi="Times New Roman" w:cs="Times New Roman"/>
                <w:b/>
                <w:bCs/>
                <w:sz w:val="16"/>
                <w:szCs w:val="16"/>
              </w:rPr>
              <w:t xml:space="preserve">Normative </w:t>
            </w:r>
          </w:p>
        </w:tc>
        <w:tc>
          <w:tcPr>
            <w:tcW w:w="993" w:type="dxa"/>
            <w:vAlign w:val="center"/>
          </w:tcPr>
          <w:p w14:paraId="5E8D7723" w14:textId="29878EE7" w:rsidR="008A0CEF" w:rsidRPr="002C6B2E" w:rsidRDefault="008A0CEF" w:rsidP="008A0CEF">
            <w:pPr>
              <w:jc w:val="center"/>
              <w:rPr>
                <w:rFonts w:ascii="Times New Roman" w:hAnsi="Times New Roman" w:cs="Times New Roman"/>
                <w:b/>
                <w:bCs/>
                <w:sz w:val="16"/>
                <w:szCs w:val="16"/>
              </w:rPr>
            </w:pPr>
            <w:r w:rsidRPr="002C6B2E">
              <w:rPr>
                <w:rFonts w:ascii="Times New Roman" w:hAnsi="Times New Roman" w:cs="Times New Roman"/>
                <w:b/>
                <w:bCs/>
                <w:sz w:val="16"/>
                <w:szCs w:val="16"/>
              </w:rPr>
              <w:t xml:space="preserve">Actual </w:t>
            </w:r>
          </w:p>
        </w:tc>
        <w:tc>
          <w:tcPr>
            <w:tcW w:w="1275" w:type="dxa"/>
            <w:vAlign w:val="center"/>
          </w:tcPr>
          <w:p w14:paraId="742065E9" w14:textId="508203F1" w:rsidR="008A0CEF" w:rsidRPr="002C6B2E" w:rsidRDefault="008A0CEF" w:rsidP="008A0CEF">
            <w:pPr>
              <w:jc w:val="center"/>
              <w:rPr>
                <w:rFonts w:ascii="Times New Roman" w:hAnsi="Times New Roman" w:cs="Times New Roman"/>
                <w:sz w:val="16"/>
                <w:szCs w:val="16"/>
              </w:rPr>
            </w:pPr>
            <w:r w:rsidRPr="002C6B2E">
              <w:rPr>
                <w:rFonts w:ascii="Times New Roman" w:hAnsi="Times New Roman" w:cs="Times New Roman"/>
                <w:b/>
                <w:bCs/>
                <w:sz w:val="16"/>
                <w:szCs w:val="16"/>
              </w:rPr>
              <w:t xml:space="preserve">Normative </w:t>
            </w:r>
          </w:p>
        </w:tc>
        <w:tc>
          <w:tcPr>
            <w:tcW w:w="851" w:type="dxa"/>
            <w:vAlign w:val="center"/>
          </w:tcPr>
          <w:p w14:paraId="19F28093" w14:textId="53B64DC6" w:rsidR="008A0CEF" w:rsidRPr="002C6B2E" w:rsidRDefault="008A0CEF" w:rsidP="008A0CEF">
            <w:pPr>
              <w:jc w:val="center"/>
              <w:rPr>
                <w:rFonts w:ascii="Times New Roman" w:hAnsi="Times New Roman" w:cs="Times New Roman"/>
                <w:sz w:val="16"/>
                <w:szCs w:val="16"/>
              </w:rPr>
            </w:pPr>
            <w:r w:rsidRPr="002C6B2E">
              <w:rPr>
                <w:rFonts w:ascii="Times New Roman" w:hAnsi="Times New Roman" w:cs="Times New Roman"/>
                <w:b/>
                <w:bCs/>
                <w:sz w:val="16"/>
                <w:szCs w:val="16"/>
              </w:rPr>
              <w:t xml:space="preserve">Actual </w:t>
            </w:r>
          </w:p>
        </w:tc>
        <w:tc>
          <w:tcPr>
            <w:tcW w:w="992" w:type="dxa"/>
            <w:vAlign w:val="center"/>
          </w:tcPr>
          <w:p w14:paraId="073B54A8" w14:textId="13D293E7" w:rsidR="008A0CEF" w:rsidRPr="002C6B2E" w:rsidRDefault="008A0CEF" w:rsidP="008A0CEF">
            <w:pPr>
              <w:jc w:val="center"/>
              <w:rPr>
                <w:rFonts w:ascii="Times New Roman" w:hAnsi="Times New Roman" w:cs="Times New Roman"/>
                <w:sz w:val="16"/>
                <w:szCs w:val="16"/>
              </w:rPr>
            </w:pPr>
            <w:r w:rsidRPr="002C6B2E">
              <w:rPr>
                <w:rFonts w:ascii="Times New Roman" w:hAnsi="Times New Roman" w:cs="Times New Roman"/>
                <w:b/>
                <w:bCs/>
                <w:sz w:val="16"/>
                <w:szCs w:val="16"/>
              </w:rPr>
              <w:t xml:space="preserve">Normative </w:t>
            </w:r>
          </w:p>
        </w:tc>
      </w:tr>
      <w:tr w:rsidR="00294D85" w:rsidRPr="002C6B2E" w14:paraId="396105E5" w14:textId="77777777" w:rsidTr="002C6B2E">
        <w:trPr>
          <w:trHeight w:val="20"/>
          <w:jc w:val="center"/>
        </w:trPr>
        <w:tc>
          <w:tcPr>
            <w:tcW w:w="377" w:type="dxa"/>
            <w:vAlign w:val="center"/>
            <w:hideMark/>
          </w:tcPr>
          <w:p w14:paraId="2D331AB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w:t>
            </w:r>
          </w:p>
        </w:tc>
        <w:tc>
          <w:tcPr>
            <w:tcW w:w="2312" w:type="dxa"/>
            <w:vAlign w:val="center"/>
            <w:hideMark/>
          </w:tcPr>
          <w:p w14:paraId="1C9484B2"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Organs of State</w:t>
            </w:r>
          </w:p>
        </w:tc>
        <w:tc>
          <w:tcPr>
            <w:tcW w:w="891" w:type="dxa"/>
            <w:vAlign w:val="center"/>
            <w:hideMark/>
          </w:tcPr>
          <w:p w14:paraId="08B36C9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0.8255</w:t>
            </w:r>
          </w:p>
        </w:tc>
        <w:tc>
          <w:tcPr>
            <w:tcW w:w="951" w:type="dxa"/>
            <w:vAlign w:val="center"/>
            <w:hideMark/>
          </w:tcPr>
          <w:p w14:paraId="6658D09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0.8331</w:t>
            </w:r>
          </w:p>
        </w:tc>
        <w:tc>
          <w:tcPr>
            <w:tcW w:w="993" w:type="dxa"/>
            <w:vAlign w:val="center"/>
            <w:hideMark/>
          </w:tcPr>
          <w:p w14:paraId="7847097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0.3740</w:t>
            </w:r>
          </w:p>
        </w:tc>
        <w:tc>
          <w:tcPr>
            <w:tcW w:w="1275" w:type="dxa"/>
            <w:vAlign w:val="center"/>
            <w:hideMark/>
          </w:tcPr>
          <w:p w14:paraId="5844226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0.0677</w:t>
            </w:r>
          </w:p>
        </w:tc>
        <w:tc>
          <w:tcPr>
            <w:tcW w:w="851" w:type="dxa"/>
            <w:vAlign w:val="center"/>
            <w:hideMark/>
          </w:tcPr>
          <w:p w14:paraId="48E8BE8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0.4530</w:t>
            </w:r>
          </w:p>
        </w:tc>
        <w:tc>
          <w:tcPr>
            <w:tcW w:w="992" w:type="dxa"/>
            <w:vAlign w:val="center"/>
            <w:hideMark/>
          </w:tcPr>
          <w:p w14:paraId="23E23D9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0.0813</w:t>
            </w:r>
          </w:p>
        </w:tc>
      </w:tr>
      <w:tr w:rsidR="00294D85" w:rsidRPr="002C6B2E" w14:paraId="1DF8911F" w14:textId="77777777" w:rsidTr="002C6B2E">
        <w:trPr>
          <w:trHeight w:val="20"/>
          <w:jc w:val="center"/>
        </w:trPr>
        <w:tc>
          <w:tcPr>
            <w:tcW w:w="377" w:type="dxa"/>
            <w:vAlign w:val="center"/>
            <w:hideMark/>
          </w:tcPr>
          <w:p w14:paraId="5A2C05B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w:t>
            </w:r>
          </w:p>
        </w:tc>
        <w:tc>
          <w:tcPr>
            <w:tcW w:w="2312" w:type="dxa"/>
            <w:vAlign w:val="center"/>
            <w:hideMark/>
          </w:tcPr>
          <w:p w14:paraId="65E35FE5"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Administrative Services</w:t>
            </w:r>
          </w:p>
        </w:tc>
        <w:tc>
          <w:tcPr>
            <w:tcW w:w="891" w:type="dxa"/>
            <w:vAlign w:val="center"/>
            <w:hideMark/>
          </w:tcPr>
          <w:p w14:paraId="5EE2B30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8.2614</w:t>
            </w:r>
          </w:p>
        </w:tc>
        <w:tc>
          <w:tcPr>
            <w:tcW w:w="951" w:type="dxa"/>
            <w:vAlign w:val="center"/>
            <w:hideMark/>
          </w:tcPr>
          <w:p w14:paraId="39FBD1EA"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8.2768</w:t>
            </w:r>
          </w:p>
        </w:tc>
        <w:tc>
          <w:tcPr>
            <w:tcW w:w="993" w:type="dxa"/>
            <w:vAlign w:val="center"/>
            <w:hideMark/>
          </w:tcPr>
          <w:p w14:paraId="0CB0CFD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4.3141</w:t>
            </w:r>
          </w:p>
        </w:tc>
        <w:tc>
          <w:tcPr>
            <w:tcW w:w="1275" w:type="dxa"/>
            <w:vAlign w:val="center"/>
            <w:hideMark/>
          </w:tcPr>
          <w:p w14:paraId="7621DF5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0.3071</w:t>
            </w:r>
          </w:p>
        </w:tc>
        <w:tc>
          <w:tcPr>
            <w:tcW w:w="851" w:type="dxa"/>
            <w:vAlign w:val="center"/>
            <w:hideMark/>
          </w:tcPr>
          <w:p w14:paraId="0C81F8F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0.5222</w:t>
            </w:r>
          </w:p>
        </w:tc>
        <w:tc>
          <w:tcPr>
            <w:tcW w:w="992" w:type="dxa"/>
            <w:vAlign w:val="center"/>
            <w:hideMark/>
          </w:tcPr>
          <w:p w14:paraId="7138754A"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0.0371</w:t>
            </w:r>
          </w:p>
        </w:tc>
      </w:tr>
      <w:tr w:rsidR="00294D85" w:rsidRPr="002C6B2E" w14:paraId="14230AAD" w14:textId="77777777" w:rsidTr="002C6B2E">
        <w:trPr>
          <w:trHeight w:val="20"/>
          <w:jc w:val="center"/>
        </w:trPr>
        <w:tc>
          <w:tcPr>
            <w:tcW w:w="377" w:type="dxa"/>
            <w:vAlign w:val="center"/>
            <w:hideMark/>
          </w:tcPr>
          <w:p w14:paraId="63E401D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w:t>
            </w:r>
          </w:p>
        </w:tc>
        <w:tc>
          <w:tcPr>
            <w:tcW w:w="2312" w:type="dxa"/>
            <w:vAlign w:val="center"/>
            <w:hideMark/>
          </w:tcPr>
          <w:p w14:paraId="3D277C0F"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Administration of Justice</w:t>
            </w:r>
          </w:p>
        </w:tc>
        <w:tc>
          <w:tcPr>
            <w:tcW w:w="891" w:type="dxa"/>
            <w:vAlign w:val="center"/>
            <w:hideMark/>
          </w:tcPr>
          <w:p w14:paraId="2ECF14F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3.2295</w:t>
            </w:r>
          </w:p>
        </w:tc>
        <w:tc>
          <w:tcPr>
            <w:tcW w:w="951" w:type="dxa"/>
            <w:vAlign w:val="center"/>
            <w:hideMark/>
          </w:tcPr>
          <w:p w14:paraId="5963B5B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3.2321</w:t>
            </w:r>
          </w:p>
        </w:tc>
        <w:tc>
          <w:tcPr>
            <w:tcW w:w="993" w:type="dxa"/>
            <w:vAlign w:val="center"/>
            <w:hideMark/>
          </w:tcPr>
          <w:p w14:paraId="614049C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0.7323</w:t>
            </w:r>
          </w:p>
        </w:tc>
        <w:tc>
          <w:tcPr>
            <w:tcW w:w="1275" w:type="dxa"/>
            <w:vAlign w:val="center"/>
            <w:hideMark/>
          </w:tcPr>
          <w:p w14:paraId="7A5C79D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0.8155</w:t>
            </w:r>
          </w:p>
        </w:tc>
        <w:tc>
          <w:tcPr>
            <w:tcW w:w="851" w:type="dxa"/>
            <w:vAlign w:val="center"/>
            <w:hideMark/>
          </w:tcPr>
          <w:p w14:paraId="48BB1FA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0.2267</w:t>
            </w:r>
          </w:p>
        </w:tc>
        <w:tc>
          <w:tcPr>
            <w:tcW w:w="992" w:type="dxa"/>
            <w:vAlign w:val="center"/>
            <w:hideMark/>
          </w:tcPr>
          <w:p w14:paraId="4DBAD8F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0.2523</w:t>
            </w:r>
          </w:p>
        </w:tc>
      </w:tr>
      <w:tr w:rsidR="00294D85" w:rsidRPr="002C6B2E" w14:paraId="52642252" w14:textId="77777777" w:rsidTr="002C6B2E">
        <w:trPr>
          <w:trHeight w:val="20"/>
          <w:jc w:val="center"/>
        </w:trPr>
        <w:tc>
          <w:tcPr>
            <w:tcW w:w="377" w:type="dxa"/>
            <w:vAlign w:val="center"/>
            <w:hideMark/>
          </w:tcPr>
          <w:p w14:paraId="1F5D3B2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w:t>
            </w:r>
          </w:p>
        </w:tc>
        <w:tc>
          <w:tcPr>
            <w:tcW w:w="2312" w:type="dxa"/>
            <w:vAlign w:val="center"/>
            <w:hideMark/>
          </w:tcPr>
          <w:p w14:paraId="56B2483D"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Fiscal Services</w:t>
            </w:r>
          </w:p>
        </w:tc>
        <w:tc>
          <w:tcPr>
            <w:tcW w:w="891" w:type="dxa"/>
            <w:vAlign w:val="center"/>
            <w:hideMark/>
          </w:tcPr>
          <w:p w14:paraId="108A318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10.3847</w:t>
            </w:r>
          </w:p>
        </w:tc>
        <w:tc>
          <w:tcPr>
            <w:tcW w:w="951" w:type="dxa"/>
            <w:vAlign w:val="center"/>
            <w:hideMark/>
          </w:tcPr>
          <w:p w14:paraId="209B4BC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10.4169</w:t>
            </w:r>
          </w:p>
        </w:tc>
        <w:tc>
          <w:tcPr>
            <w:tcW w:w="993" w:type="dxa"/>
            <w:vAlign w:val="center"/>
            <w:hideMark/>
          </w:tcPr>
          <w:p w14:paraId="00B6160A"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2.9866</w:t>
            </w:r>
          </w:p>
        </w:tc>
        <w:tc>
          <w:tcPr>
            <w:tcW w:w="1275" w:type="dxa"/>
            <w:vAlign w:val="center"/>
            <w:hideMark/>
          </w:tcPr>
          <w:p w14:paraId="647838D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4.0899</w:t>
            </w:r>
          </w:p>
        </w:tc>
        <w:tc>
          <w:tcPr>
            <w:tcW w:w="851" w:type="dxa"/>
            <w:vAlign w:val="center"/>
            <w:hideMark/>
          </w:tcPr>
          <w:p w14:paraId="7328E38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0.2876</w:t>
            </w:r>
          </w:p>
        </w:tc>
        <w:tc>
          <w:tcPr>
            <w:tcW w:w="992" w:type="dxa"/>
            <w:vAlign w:val="center"/>
            <w:hideMark/>
          </w:tcPr>
          <w:p w14:paraId="02AD6E1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0.3926</w:t>
            </w:r>
          </w:p>
        </w:tc>
      </w:tr>
      <w:tr w:rsidR="00294D85" w:rsidRPr="002C6B2E" w14:paraId="06EF0BE7" w14:textId="77777777" w:rsidTr="002C6B2E">
        <w:trPr>
          <w:trHeight w:val="20"/>
          <w:jc w:val="center"/>
        </w:trPr>
        <w:tc>
          <w:tcPr>
            <w:tcW w:w="377" w:type="dxa"/>
            <w:vAlign w:val="center"/>
            <w:hideMark/>
          </w:tcPr>
          <w:p w14:paraId="66857AB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5</w:t>
            </w:r>
          </w:p>
        </w:tc>
        <w:tc>
          <w:tcPr>
            <w:tcW w:w="2312" w:type="dxa"/>
            <w:vAlign w:val="center"/>
            <w:hideMark/>
          </w:tcPr>
          <w:p w14:paraId="29C15735"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Police</w:t>
            </w:r>
          </w:p>
        </w:tc>
        <w:tc>
          <w:tcPr>
            <w:tcW w:w="891" w:type="dxa"/>
            <w:vAlign w:val="center"/>
            <w:hideMark/>
          </w:tcPr>
          <w:p w14:paraId="793B63D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24.3981</w:t>
            </w:r>
          </w:p>
        </w:tc>
        <w:tc>
          <w:tcPr>
            <w:tcW w:w="951" w:type="dxa"/>
            <w:vAlign w:val="center"/>
            <w:hideMark/>
          </w:tcPr>
          <w:p w14:paraId="76723C4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24.5918</w:t>
            </w:r>
          </w:p>
        </w:tc>
        <w:tc>
          <w:tcPr>
            <w:tcW w:w="993" w:type="dxa"/>
            <w:vAlign w:val="center"/>
            <w:hideMark/>
          </w:tcPr>
          <w:p w14:paraId="177F050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6.2507</w:t>
            </w:r>
          </w:p>
        </w:tc>
        <w:tc>
          <w:tcPr>
            <w:tcW w:w="1275" w:type="dxa"/>
            <w:vAlign w:val="center"/>
            <w:hideMark/>
          </w:tcPr>
          <w:p w14:paraId="7EEF940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1.6000</w:t>
            </w:r>
          </w:p>
        </w:tc>
        <w:tc>
          <w:tcPr>
            <w:tcW w:w="851" w:type="dxa"/>
            <w:vAlign w:val="center"/>
            <w:hideMark/>
          </w:tcPr>
          <w:p w14:paraId="480FF31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0.2562</w:t>
            </w:r>
          </w:p>
        </w:tc>
        <w:tc>
          <w:tcPr>
            <w:tcW w:w="992" w:type="dxa"/>
            <w:vAlign w:val="center"/>
            <w:hideMark/>
          </w:tcPr>
          <w:p w14:paraId="26EDAC1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0.0651</w:t>
            </w:r>
          </w:p>
        </w:tc>
      </w:tr>
      <w:tr w:rsidR="00294D85" w:rsidRPr="002C6B2E" w14:paraId="7DCBF4B4" w14:textId="77777777" w:rsidTr="002C6B2E">
        <w:trPr>
          <w:trHeight w:val="20"/>
          <w:jc w:val="center"/>
        </w:trPr>
        <w:tc>
          <w:tcPr>
            <w:tcW w:w="377" w:type="dxa"/>
            <w:vAlign w:val="center"/>
            <w:hideMark/>
          </w:tcPr>
          <w:p w14:paraId="1BA85CD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6</w:t>
            </w:r>
          </w:p>
        </w:tc>
        <w:tc>
          <w:tcPr>
            <w:tcW w:w="2312" w:type="dxa"/>
            <w:vAlign w:val="center"/>
            <w:hideMark/>
          </w:tcPr>
          <w:p w14:paraId="24FE2EE6"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Jails</w:t>
            </w:r>
          </w:p>
        </w:tc>
        <w:tc>
          <w:tcPr>
            <w:tcW w:w="891" w:type="dxa"/>
            <w:vAlign w:val="center"/>
            <w:hideMark/>
          </w:tcPr>
          <w:p w14:paraId="4659E70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1.5684</w:t>
            </w:r>
          </w:p>
        </w:tc>
        <w:tc>
          <w:tcPr>
            <w:tcW w:w="951" w:type="dxa"/>
            <w:vAlign w:val="center"/>
            <w:hideMark/>
          </w:tcPr>
          <w:p w14:paraId="0200B73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1.5706</w:t>
            </w:r>
          </w:p>
        </w:tc>
        <w:tc>
          <w:tcPr>
            <w:tcW w:w="993" w:type="dxa"/>
            <w:vAlign w:val="center"/>
            <w:hideMark/>
          </w:tcPr>
          <w:p w14:paraId="70823B6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0.5085</w:t>
            </w:r>
          </w:p>
        </w:tc>
        <w:tc>
          <w:tcPr>
            <w:tcW w:w="1275" w:type="dxa"/>
            <w:vAlign w:val="center"/>
            <w:hideMark/>
          </w:tcPr>
          <w:p w14:paraId="4F2DF0F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0.3258</w:t>
            </w:r>
          </w:p>
        </w:tc>
        <w:tc>
          <w:tcPr>
            <w:tcW w:w="851" w:type="dxa"/>
            <w:vAlign w:val="center"/>
            <w:hideMark/>
          </w:tcPr>
          <w:p w14:paraId="3082A2D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0.3242</w:t>
            </w:r>
          </w:p>
        </w:tc>
        <w:tc>
          <w:tcPr>
            <w:tcW w:w="992" w:type="dxa"/>
            <w:vAlign w:val="center"/>
            <w:hideMark/>
          </w:tcPr>
          <w:p w14:paraId="1EAD6A1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0.2074</w:t>
            </w:r>
          </w:p>
        </w:tc>
      </w:tr>
      <w:tr w:rsidR="00294D85" w:rsidRPr="002C6B2E" w14:paraId="46A716D2" w14:textId="77777777" w:rsidTr="002C6B2E">
        <w:trPr>
          <w:trHeight w:val="20"/>
          <w:jc w:val="center"/>
        </w:trPr>
        <w:tc>
          <w:tcPr>
            <w:tcW w:w="377" w:type="dxa"/>
            <w:vAlign w:val="center"/>
            <w:hideMark/>
          </w:tcPr>
          <w:p w14:paraId="1477A35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7</w:t>
            </w:r>
          </w:p>
        </w:tc>
        <w:tc>
          <w:tcPr>
            <w:tcW w:w="2312" w:type="dxa"/>
            <w:vAlign w:val="center"/>
            <w:hideMark/>
          </w:tcPr>
          <w:p w14:paraId="4CC2F7EF"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Other Administrative Services</w:t>
            </w:r>
          </w:p>
        </w:tc>
        <w:tc>
          <w:tcPr>
            <w:tcW w:w="891" w:type="dxa"/>
            <w:vAlign w:val="center"/>
            <w:hideMark/>
          </w:tcPr>
          <w:p w14:paraId="6EAE5AC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4.6994</w:t>
            </w:r>
          </w:p>
        </w:tc>
        <w:tc>
          <w:tcPr>
            <w:tcW w:w="951" w:type="dxa"/>
            <w:vAlign w:val="center"/>
            <w:hideMark/>
          </w:tcPr>
          <w:p w14:paraId="31DE2F2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4.7355</w:t>
            </w:r>
          </w:p>
        </w:tc>
        <w:tc>
          <w:tcPr>
            <w:tcW w:w="993" w:type="dxa"/>
            <w:vAlign w:val="center"/>
            <w:hideMark/>
          </w:tcPr>
          <w:p w14:paraId="33C4E74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1.3994</w:t>
            </w:r>
          </w:p>
        </w:tc>
        <w:tc>
          <w:tcPr>
            <w:tcW w:w="1275" w:type="dxa"/>
            <w:vAlign w:val="center"/>
            <w:hideMark/>
          </w:tcPr>
          <w:p w14:paraId="23E97A6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0.4253</w:t>
            </w:r>
          </w:p>
        </w:tc>
        <w:tc>
          <w:tcPr>
            <w:tcW w:w="851" w:type="dxa"/>
            <w:vAlign w:val="center"/>
            <w:hideMark/>
          </w:tcPr>
          <w:p w14:paraId="4F0921D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0.2978</w:t>
            </w:r>
          </w:p>
        </w:tc>
        <w:tc>
          <w:tcPr>
            <w:tcW w:w="992" w:type="dxa"/>
            <w:vAlign w:val="center"/>
            <w:hideMark/>
          </w:tcPr>
          <w:p w14:paraId="2C65562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0.0898</w:t>
            </w:r>
          </w:p>
        </w:tc>
      </w:tr>
      <w:tr w:rsidR="00294D85" w:rsidRPr="002C6B2E" w14:paraId="2031B01A" w14:textId="77777777" w:rsidTr="002C6B2E">
        <w:trPr>
          <w:trHeight w:val="20"/>
          <w:jc w:val="center"/>
        </w:trPr>
        <w:tc>
          <w:tcPr>
            <w:tcW w:w="377" w:type="dxa"/>
            <w:vAlign w:val="center"/>
            <w:hideMark/>
          </w:tcPr>
          <w:p w14:paraId="13234B6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8</w:t>
            </w:r>
          </w:p>
        </w:tc>
        <w:tc>
          <w:tcPr>
            <w:tcW w:w="2312" w:type="dxa"/>
            <w:vAlign w:val="center"/>
            <w:hideMark/>
          </w:tcPr>
          <w:p w14:paraId="4C10BBCF"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Fire Protection</w:t>
            </w:r>
          </w:p>
        </w:tc>
        <w:tc>
          <w:tcPr>
            <w:tcW w:w="891" w:type="dxa"/>
            <w:vAlign w:val="center"/>
            <w:hideMark/>
          </w:tcPr>
          <w:p w14:paraId="3901C4A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0.5264</w:t>
            </w:r>
          </w:p>
        </w:tc>
        <w:tc>
          <w:tcPr>
            <w:tcW w:w="951" w:type="dxa"/>
            <w:vAlign w:val="center"/>
            <w:hideMark/>
          </w:tcPr>
          <w:p w14:paraId="13E2D77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0.5329</w:t>
            </w:r>
          </w:p>
        </w:tc>
        <w:tc>
          <w:tcPr>
            <w:tcW w:w="993" w:type="dxa"/>
            <w:vAlign w:val="center"/>
            <w:hideMark/>
          </w:tcPr>
          <w:p w14:paraId="0071006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0.5426</w:t>
            </w:r>
          </w:p>
        </w:tc>
        <w:tc>
          <w:tcPr>
            <w:tcW w:w="1275" w:type="dxa"/>
            <w:vAlign w:val="center"/>
            <w:hideMark/>
          </w:tcPr>
          <w:p w14:paraId="0A28E87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0.1735</w:t>
            </w:r>
          </w:p>
        </w:tc>
        <w:tc>
          <w:tcPr>
            <w:tcW w:w="851" w:type="dxa"/>
            <w:vAlign w:val="center"/>
            <w:hideMark/>
          </w:tcPr>
          <w:p w14:paraId="5E6A61B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1.0308</w:t>
            </w:r>
          </w:p>
        </w:tc>
        <w:tc>
          <w:tcPr>
            <w:tcW w:w="992" w:type="dxa"/>
            <w:vAlign w:val="center"/>
            <w:hideMark/>
          </w:tcPr>
          <w:p w14:paraId="32346C7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0.3256</w:t>
            </w:r>
          </w:p>
        </w:tc>
      </w:tr>
      <w:tr w:rsidR="00294D85" w:rsidRPr="002C6B2E" w14:paraId="36A41230" w14:textId="77777777" w:rsidTr="002C6B2E">
        <w:trPr>
          <w:trHeight w:val="20"/>
          <w:jc w:val="center"/>
        </w:trPr>
        <w:tc>
          <w:tcPr>
            <w:tcW w:w="377" w:type="dxa"/>
            <w:vAlign w:val="center"/>
            <w:hideMark/>
          </w:tcPr>
          <w:p w14:paraId="2D3DA8FE" w14:textId="77777777" w:rsidR="00294D85" w:rsidRPr="002C6B2E" w:rsidRDefault="00294D85" w:rsidP="00DF6987">
            <w:pPr>
              <w:spacing w:line="278" w:lineRule="auto"/>
              <w:jc w:val="center"/>
              <w:rPr>
                <w:rFonts w:ascii="Times New Roman" w:hAnsi="Times New Roman" w:cs="Times New Roman"/>
                <w:sz w:val="16"/>
                <w:szCs w:val="16"/>
              </w:rPr>
            </w:pPr>
          </w:p>
        </w:tc>
        <w:tc>
          <w:tcPr>
            <w:tcW w:w="2312" w:type="dxa"/>
            <w:vAlign w:val="center"/>
            <w:hideMark/>
          </w:tcPr>
          <w:p w14:paraId="3188E00E"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b/>
                <w:bCs/>
                <w:sz w:val="16"/>
                <w:szCs w:val="16"/>
              </w:rPr>
              <w:t>General Administrative Services</w:t>
            </w:r>
          </w:p>
        </w:tc>
        <w:tc>
          <w:tcPr>
            <w:tcW w:w="891" w:type="dxa"/>
            <w:vAlign w:val="center"/>
            <w:hideMark/>
          </w:tcPr>
          <w:p w14:paraId="6B08535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53.8934</w:t>
            </w:r>
          </w:p>
        </w:tc>
        <w:tc>
          <w:tcPr>
            <w:tcW w:w="951" w:type="dxa"/>
            <w:vAlign w:val="center"/>
            <w:hideMark/>
          </w:tcPr>
          <w:p w14:paraId="39735EF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54.1898</w:t>
            </w:r>
          </w:p>
        </w:tc>
        <w:tc>
          <w:tcPr>
            <w:tcW w:w="993" w:type="dxa"/>
            <w:vAlign w:val="center"/>
            <w:hideMark/>
          </w:tcPr>
          <w:p w14:paraId="1A101D4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11.5740</w:t>
            </w:r>
          </w:p>
        </w:tc>
        <w:tc>
          <w:tcPr>
            <w:tcW w:w="1275" w:type="dxa"/>
            <w:vAlign w:val="center"/>
            <w:hideMark/>
          </w:tcPr>
          <w:p w14:paraId="7740E37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4.7043</w:t>
            </w:r>
          </w:p>
        </w:tc>
        <w:tc>
          <w:tcPr>
            <w:tcW w:w="851" w:type="dxa"/>
            <w:vAlign w:val="center"/>
            <w:hideMark/>
          </w:tcPr>
          <w:p w14:paraId="0F62696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0.2148</w:t>
            </w:r>
          </w:p>
        </w:tc>
        <w:tc>
          <w:tcPr>
            <w:tcW w:w="992" w:type="dxa"/>
            <w:vAlign w:val="center"/>
            <w:hideMark/>
          </w:tcPr>
          <w:p w14:paraId="4D7257E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0.0868</w:t>
            </w:r>
          </w:p>
        </w:tc>
      </w:tr>
      <w:tr w:rsidR="00294D85" w:rsidRPr="002C6B2E" w14:paraId="42A58E14" w14:textId="77777777" w:rsidTr="002C6B2E">
        <w:trPr>
          <w:trHeight w:val="20"/>
          <w:jc w:val="center"/>
        </w:trPr>
        <w:tc>
          <w:tcPr>
            <w:tcW w:w="377" w:type="dxa"/>
            <w:vAlign w:val="center"/>
            <w:hideMark/>
          </w:tcPr>
          <w:p w14:paraId="4F5A954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9</w:t>
            </w:r>
          </w:p>
        </w:tc>
        <w:tc>
          <w:tcPr>
            <w:tcW w:w="2312" w:type="dxa"/>
            <w:vAlign w:val="center"/>
            <w:hideMark/>
          </w:tcPr>
          <w:p w14:paraId="611D9677"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Primary Education</w:t>
            </w:r>
          </w:p>
        </w:tc>
        <w:tc>
          <w:tcPr>
            <w:tcW w:w="891" w:type="dxa"/>
            <w:vAlign w:val="center"/>
            <w:hideMark/>
          </w:tcPr>
          <w:p w14:paraId="47222C9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44.8892</w:t>
            </w:r>
          </w:p>
        </w:tc>
        <w:tc>
          <w:tcPr>
            <w:tcW w:w="951" w:type="dxa"/>
            <w:vAlign w:val="center"/>
            <w:hideMark/>
          </w:tcPr>
          <w:p w14:paraId="05169DF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44.9079</w:t>
            </w:r>
          </w:p>
        </w:tc>
        <w:tc>
          <w:tcPr>
            <w:tcW w:w="993" w:type="dxa"/>
            <w:vAlign w:val="center"/>
            <w:hideMark/>
          </w:tcPr>
          <w:p w14:paraId="4FB7BEA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11.7824</w:t>
            </w:r>
          </w:p>
        </w:tc>
        <w:tc>
          <w:tcPr>
            <w:tcW w:w="1275" w:type="dxa"/>
            <w:vAlign w:val="center"/>
            <w:hideMark/>
          </w:tcPr>
          <w:p w14:paraId="571A4BB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7.4120</w:t>
            </w:r>
          </w:p>
        </w:tc>
        <w:tc>
          <w:tcPr>
            <w:tcW w:w="851" w:type="dxa"/>
            <w:vAlign w:val="center"/>
            <w:hideMark/>
          </w:tcPr>
          <w:p w14:paraId="26D84C2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0.2625</w:t>
            </w:r>
          </w:p>
        </w:tc>
        <w:tc>
          <w:tcPr>
            <w:tcW w:w="992" w:type="dxa"/>
            <w:vAlign w:val="center"/>
            <w:hideMark/>
          </w:tcPr>
          <w:p w14:paraId="52EF553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0.1650</w:t>
            </w:r>
          </w:p>
        </w:tc>
      </w:tr>
      <w:tr w:rsidR="00294D85" w:rsidRPr="002C6B2E" w14:paraId="46B00E88" w14:textId="77777777" w:rsidTr="002C6B2E">
        <w:trPr>
          <w:trHeight w:val="20"/>
          <w:jc w:val="center"/>
        </w:trPr>
        <w:tc>
          <w:tcPr>
            <w:tcW w:w="377" w:type="dxa"/>
            <w:vAlign w:val="center"/>
            <w:hideMark/>
          </w:tcPr>
          <w:p w14:paraId="6448605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w:t>
            </w:r>
          </w:p>
        </w:tc>
        <w:tc>
          <w:tcPr>
            <w:tcW w:w="2312" w:type="dxa"/>
            <w:vAlign w:val="center"/>
            <w:hideMark/>
          </w:tcPr>
          <w:p w14:paraId="47A4E9F5"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Secondary Education</w:t>
            </w:r>
          </w:p>
        </w:tc>
        <w:tc>
          <w:tcPr>
            <w:tcW w:w="891" w:type="dxa"/>
            <w:vAlign w:val="center"/>
            <w:hideMark/>
          </w:tcPr>
          <w:p w14:paraId="1CB03B9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30.9829</w:t>
            </w:r>
          </w:p>
        </w:tc>
        <w:tc>
          <w:tcPr>
            <w:tcW w:w="951" w:type="dxa"/>
            <w:vAlign w:val="center"/>
            <w:hideMark/>
          </w:tcPr>
          <w:p w14:paraId="2FEBC72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31.0319</w:t>
            </w:r>
          </w:p>
        </w:tc>
        <w:tc>
          <w:tcPr>
            <w:tcW w:w="993" w:type="dxa"/>
            <w:vAlign w:val="center"/>
            <w:hideMark/>
          </w:tcPr>
          <w:p w14:paraId="0345250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11.9375</w:t>
            </w:r>
          </w:p>
        </w:tc>
        <w:tc>
          <w:tcPr>
            <w:tcW w:w="1275" w:type="dxa"/>
            <w:vAlign w:val="center"/>
            <w:hideMark/>
          </w:tcPr>
          <w:p w14:paraId="0EAB286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10.9411</w:t>
            </w:r>
          </w:p>
        </w:tc>
        <w:tc>
          <w:tcPr>
            <w:tcW w:w="851" w:type="dxa"/>
            <w:vAlign w:val="center"/>
            <w:hideMark/>
          </w:tcPr>
          <w:p w14:paraId="573AF37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0.3853</w:t>
            </w:r>
          </w:p>
        </w:tc>
        <w:tc>
          <w:tcPr>
            <w:tcW w:w="992" w:type="dxa"/>
            <w:vAlign w:val="center"/>
            <w:hideMark/>
          </w:tcPr>
          <w:p w14:paraId="0B9AA4C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0.3526</w:t>
            </w:r>
          </w:p>
        </w:tc>
      </w:tr>
      <w:tr w:rsidR="00294D85" w:rsidRPr="002C6B2E" w14:paraId="05ECB2A9" w14:textId="77777777" w:rsidTr="002C6B2E">
        <w:trPr>
          <w:trHeight w:val="20"/>
          <w:jc w:val="center"/>
        </w:trPr>
        <w:tc>
          <w:tcPr>
            <w:tcW w:w="377" w:type="dxa"/>
            <w:vAlign w:val="center"/>
            <w:hideMark/>
          </w:tcPr>
          <w:p w14:paraId="6B2A3FA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11</w:t>
            </w:r>
          </w:p>
        </w:tc>
        <w:tc>
          <w:tcPr>
            <w:tcW w:w="2312" w:type="dxa"/>
            <w:vAlign w:val="center"/>
            <w:hideMark/>
          </w:tcPr>
          <w:p w14:paraId="4ED82DF3"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Higher Education</w:t>
            </w:r>
          </w:p>
        </w:tc>
        <w:tc>
          <w:tcPr>
            <w:tcW w:w="891" w:type="dxa"/>
            <w:vAlign w:val="center"/>
            <w:hideMark/>
          </w:tcPr>
          <w:p w14:paraId="5667A61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14.6422</w:t>
            </w:r>
          </w:p>
        </w:tc>
        <w:tc>
          <w:tcPr>
            <w:tcW w:w="951" w:type="dxa"/>
            <w:vAlign w:val="center"/>
            <w:hideMark/>
          </w:tcPr>
          <w:p w14:paraId="615C4A0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14.6430</w:t>
            </w:r>
          </w:p>
        </w:tc>
        <w:tc>
          <w:tcPr>
            <w:tcW w:w="993" w:type="dxa"/>
            <w:vAlign w:val="center"/>
            <w:hideMark/>
          </w:tcPr>
          <w:p w14:paraId="2C91B24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5.3634</w:t>
            </w:r>
          </w:p>
        </w:tc>
        <w:tc>
          <w:tcPr>
            <w:tcW w:w="1275" w:type="dxa"/>
            <w:vAlign w:val="center"/>
            <w:hideMark/>
          </w:tcPr>
          <w:p w14:paraId="6C72558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4.3684</w:t>
            </w:r>
          </w:p>
        </w:tc>
        <w:tc>
          <w:tcPr>
            <w:tcW w:w="851" w:type="dxa"/>
            <w:vAlign w:val="center"/>
            <w:hideMark/>
          </w:tcPr>
          <w:p w14:paraId="79479A7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0.3663</w:t>
            </w:r>
          </w:p>
        </w:tc>
        <w:tc>
          <w:tcPr>
            <w:tcW w:w="992" w:type="dxa"/>
            <w:vAlign w:val="center"/>
            <w:hideMark/>
          </w:tcPr>
          <w:p w14:paraId="4AFDCEA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0.2983</w:t>
            </w:r>
          </w:p>
        </w:tc>
      </w:tr>
      <w:tr w:rsidR="00294D85" w:rsidRPr="002C6B2E" w14:paraId="1194AFA0" w14:textId="77777777" w:rsidTr="002C6B2E">
        <w:trPr>
          <w:trHeight w:val="20"/>
          <w:jc w:val="center"/>
        </w:trPr>
        <w:tc>
          <w:tcPr>
            <w:tcW w:w="377" w:type="dxa"/>
            <w:vAlign w:val="center"/>
            <w:hideMark/>
          </w:tcPr>
          <w:p w14:paraId="648EAB6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12</w:t>
            </w:r>
          </w:p>
        </w:tc>
        <w:tc>
          <w:tcPr>
            <w:tcW w:w="2312" w:type="dxa"/>
            <w:vAlign w:val="center"/>
            <w:hideMark/>
          </w:tcPr>
          <w:p w14:paraId="50525620"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Other Education</w:t>
            </w:r>
          </w:p>
        </w:tc>
        <w:tc>
          <w:tcPr>
            <w:tcW w:w="891" w:type="dxa"/>
            <w:vAlign w:val="center"/>
            <w:hideMark/>
          </w:tcPr>
          <w:p w14:paraId="01BEDCF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24.2867</w:t>
            </w:r>
          </w:p>
        </w:tc>
        <w:tc>
          <w:tcPr>
            <w:tcW w:w="951" w:type="dxa"/>
            <w:vAlign w:val="center"/>
            <w:hideMark/>
          </w:tcPr>
          <w:p w14:paraId="122F092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24.3951</w:t>
            </w:r>
          </w:p>
        </w:tc>
        <w:tc>
          <w:tcPr>
            <w:tcW w:w="993" w:type="dxa"/>
            <w:vAlign w:val="center"/>
            <w:hideMark/>
          </w:tcPr>
          <w:p w14:paraId="317F03D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8.7713</w:t>
            </w:r>
          </w:p>
        </w:tc>
        <w:tc>
          <w:tcPr>
            <w:tcW w:w="1275" w:type="dxa"/>
            <w:vAlign w:val="center"/>
            <w:hideMark/>
          </w:tcPr>
          <w:p w14:paraId="70C27A4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9.2653</w:t>
            </w:r>
          </w:p>
        </w:tc>
        <w:tc>
          <w:tcPr>
            <w:tcW w:w="851" w:type="dxa"/>
            <w:vAlign w:val="center"/>
            <w:hideMark/>
          </w:tcPr>
          <w:p w14:paraId="6FDA2B0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0.3612</w:t>
            </w:r>
          </w:p>
        </w:tc>
        <w:tc>
          <w:tcPr>
            <w:tcW w:w="992" w:type="dxa"/>
            <w:vAlign w:val="center"/>
            <w:hideMark/>
          </w:tcPr>
          <w:p w14:paraId="1FB22DD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0.3798</w:t>
            </w:r>
          </w:p>
        </w:tc>
      </w:tr>
      <w:tr w:rsidR="00294D85" w:rsidRPr="002C6B2E" w14:paraId="6B46D234" w14:textId="77777777" w:rsidTr="002C6B2E">
        <w:trPr>
          <w:trHeight w:val="20"/>
          <w:jc w:val="center"/>
        </w:trPr>
        <w:tc>
          <w:tcPr>
            <w:tcW w:w="377" w:type="dxa"/>
            <w:vAlign w:val="center"/>
            <w:hideMark/>
          </w:tcPr>
          <w:p w14:paraId="10225AE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13</w:t>
            </w:r>
          </w:p>
        </w:tc>
        <w:tc>
          <w:tcPr>
            <w:tcW w:w="2312" w:type="dxa"/>
            <w:vAlign w:val="center"/>
            <w:hideMark/>
          </w:tcPr>
          <w:p w14:paraId="1106183A"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 xml:space="preserve">"Art, Scientific Services, </w:t>
            </w:r>
            <w:proofErr w:type="spellStart"/>
            <w:r w:rsidRPr="002C6B2E">
              <w:rPr>
                <w:rFonts w:ascii="Times New Roman" w:hAnsi="Times New Roman" w:cs="Times New Roman"/>
                <w:sz w:val="16"/>
                <w:szCs w:val="16"/>
              </w:rPr>
              <w:t>e.t.c</w:t>
            </w:r>
            <w:proofErr w:type="spellEnd"/>
            <w:r w:rsidRPr="002C6B2E">
              <w:rPr>
                <w:rFonts w:ascii="Times New Roman" w:hAnsi="Times New Roman" w:cs="Times New Roman"/>
                <w:sz w:val="16"/>
                <w:szCs w:val="16"/>
              </w:rPr>
              <w:t>."</w:t>
            </w:r>
          </w:p>
        </w:tc>
        <w:tc>
          <w:tcPr>
            <w:tcW w:w="891" w:type="dxa"/>
            <w:vAlign w:val="center"/>
            <w:hideMark/>
          </w:tcPr>
          <w:p w14:paraId="31DC276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2.5817</w:t>
            </w:r>
          </w:p>
        </w:tc>
        <w:tc>
          <w:tcPr>
            <w:tcW w:w="951" w:type="dxa"/>
            <w:vAlign w:val="center"/>
            <w:hideMark/>
          </w:tcPr>
          <w:p w14:paraId="65E0C5C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2.5817</w:t>
            </w:r>
          </w:p>
        </w:tc>
        <w:tc>
          <w:tcPr>
            <w:tcW w:w="993" w:type="dxa"/>
            <w:vAlign w:val="center"/>
            <w:hideMark/>
          </w:tcPr>
          <w:p w14:paraId="7B104CF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3.2430</w:t>
            </w:r>
          </w:p>
        </w:tc>
        <w:tc>
          <w:tcPr>
            <w:tcW w:w="1275" w:type="dxa"/>
            <w:vAlign w:val="center"/>
            <w:hideMark/>
          </w:tcPr>
          <w:p w14:paraId="3B6497B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3.2430</w:t>
            </w:r>
          </w:p>
        </w:tc>
        <w:tc>
          <w:tcPr>
            <w:tcW w:w="851" w:type="dxa"/>
            <w:vAlign w:val="center"/>
            <w:hideMark/>
          </w:tcPr>
          <w:p w14:paraId="1D1DED9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1.2561</w:t>
            </w:r>
          </w:p>
        </w:tc>
        <w:tc>
          <w:tcPr>
            <w:tcW w:w="992" w:type="dxa"/>
            <w:vAlign w:val="center"/>
            <w:hideMark/>
          </w:tcPr>
          <w:p w14:paraId="202FF7E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1.2561</w:t>
            </w:r>
          </w:p>
        </w:tc>
      </w:tr>
      <w:tr w:rsidR="00294D85" w:rsidRPr="002C6B2E" w14:paraId="58915AEC" w14:textId="77777777" w:rsidTr="002C6B2E">
        <w:trPr>
          <w:trHeight w:val="20"/>
          <w:jc w:val="center"/>
        </w:trPr>
        <w:tc>
          <w:tcPr>
            <w:tcW w:w="377" w:type="dxa"/>
            <w:vAlign w:val="center"/>
            <w:hideMark/>
          </w:tcPr>
          <w:p w14:paraId="16FAFAF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14</w:t>
            </w:r>
          </w:p>
        </w:tc>
        <w:tc>
          <w:tcPr>
            <w:tcW w:w="2312" w:type="dxa"/>
            <w:vAlign w:val="center"/>
            <w:hideMark/>
          </w:tcPr>
          <w:p w14:paraId="3579D8AD" w14:textId="0A113F1E"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 xml:space="preserve">"Medical, Family </w:t>
            </w:r>
            <w:proofErr w:type="spellStart"/>
            <w:proofErr w:type="gramStart"/>
            <w:r w:rsidRPr="002C6B2E">
              <w:rPr>
                <w:rFonts w:ascii="Times New Roman" w:hAnsi="Times New Roman" w:cs="Times New Roman"/>
                <w:sz w:val="16"/>
                <w:szCs w:val="16"/>
              </w:rPr>
              <w:t>Welfare,e.t.c</w:t>
            </w:r>
            <w:proofErr w:type="spellEnd"/>
            <w:r w:rsidRPr="002C6B2E">
              <w:rPr>
                <w:rFonts w:ascii="Times New Roman" w:hAnsi="Times New Roman" w:cs="Times New Roman"/>
                <w:sz w:val="16"/>
                <w:szCs w:val="16"/>
              </w:rPr>
              <w:t>.</w:t>
            </w:r>
            <w:proofErr w:type="gramEnd"/>
            <w:r w:rsidRPr="002C6B2E">
              <w:rPr>
                <w:rFonts w:ascii="Times New Roman" w:hAnsi="Times New Roman" w:cs="Times New Roman"/>
                <w:sz w:val="16"/>
                <w:szCs w:val="16"/>
              </w:rPr>
              <w:t>"</w:t>
            </w:r>
          </w:p>
        </w:tc>
        <w:tc>
          <w:tcPr>
            <w:tcW w:w="891" w:type="dxa"/>
            <w:vAlign w:val="center"/>
            <w:hideMark/>
          </w:tcPr>
          <w:p w14:paraId="1E7A389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2.8711</w:t>
            </w:r>
          </w:p>
        </w:tc>
        <w:tc>
          <w:tcPr>
            <w:tcW w:w="951" w:type="dxa"/>
            <w:vAlign w:val="center"/>
            <w:hideMark/>
          </w:tcPr>
          <w:p w14:paraId="51DAE21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2.8711</w:t>
            </w:r>
          </w:p>
        </w:tc>
        <w:tc>
          <w:tcPr>
            <w:tcW w:w="993" w:type="dxa"/>
            <w:vAlign w:val="center"/>
            <w:hideMark/>
          </w:tcPr>
          <w:p w14:paraId="552033E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2.3913</w:t>
            </w:r>
          </w:p>
        </w:tc>
        <w:tc>
          <w:tcPr>
            <w:tcW w:w="1275" w:type="dxa"/>
            <w:vAlign w:val="center"/>
            <w:hideMark/>
          </w:tcPr>
          <w:p w14:paraId="4F74949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2.3913</w:t>
            </w:r>
          </w:p>
        </w:tc>
        <w:tc>
          <w:tcPr>
            <w:tcW w:w="851" w:type="dxa"/>
            <w:vAlign w:val="center"/>
            <w:hideMark/>
          </w:tcPr>
          <w:p w14:paraId="4676277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0.8329</w:t>
            </w:r>
          </w:p>
        </w:tc>
        <w:tc>
          <w:tcPr>
            <w:tcW w:w="992" w:type="dxa"/>
            <w:vAlign w:val="center"/>
            <w:hideMark/>
          </w:tcPr>
          <w:p w14:paraId="3DD6128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0.8329</w:t>
            </w:r>
          </w:p>
        </w:tc>
      </w:tr>
      <w:tr w:rsidR="00294D85" w:rsidRPr="002C6B2E" w14:paraId="2707A5D5" w14:textId="77777777" w:rsidTr="002C6B2E">
        <w:trPr>
          <w:trHeight w:val="20"/>
          <w:jc w:val="center"/>
        </w:trPr>
        <w:tc>
          <w:tcPr>
            <w:tcW w:w="377" w:type="dxa"/>
            <w:vAlign w:val="center"/>
            <w:hideMark/>
          </w:tcPr>
          <w:p w14:paraId="5B59EB1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15</w:t>
            </w:r>
          </w:p>
        </w:tc>
        <w:tc>
          <w:tcPr>
            <w:tcW w:w="2312" w:type="dxa"/>
            <w:vAlign w:val="center"/>
            <w:hideMark/>
          </w:tcPr>
          <w:p w14:paraId="239BFB7D"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Urban Development</w:t>
            </w:r>
          </w:p>
        </w:tc>
        <w:tc>
          <w:tcPr>
            <w:tcW w:w="891" w:type="dxa"/>
            <w:vAlign w:val="center"/>
            <w:hideMark/>
          </w:tcPr>
          <w:p w14:paraId="320BBE1B"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2.1692</w:t>
            </w:r>
          </w:p>
        </w:tc>
        <w:tc>
          <w:tcPr>
            <w:tcW w:w="951" w:type="dxa"/>
            <w:vAlign w:val="center"/>
            <w:hideMark/>
          </w:tcPr>
          <w:p w14:paraId="0788E78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2.1692</w:t>
            </w:r>
          </w:p>
        </w:tc>
        <w:tc>
          <w:tcPr>
            <w:tcW w:w="993" w:type="dxa"/>
            <w:vAlign w:val="center"/>
            <w:hideMark/>
          </w:tcPr>
          <w:p w14:paraId="2A26F81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1.9742</w:t>
            </w:r>
          </w:p>
        </w:tc>
        <w:tc>
          <w:tcPr>
            <w:tcW w:w="1275" w:type="dxa"/>
            <w:vAlign w:val="center"/>
            <w:hideMark/>
          </w:tcPr>
          <w:p w14:paraId="3408603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0.6196</w:t>
            </w:r>
          </w:p>
        </w:tc>
        <w:tc>
          <w:tcPr>
            <w:tcW w:w="851" w:type="dxa"/>
            <w:vAlign w:val="center"/>
            <w:hideMark/>
          </w:tcPr>
          <w:p w14:paraId="40604AB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0.9101</w:t>
            </w:r>
          </w:p>
        </w:tc>
        <w:tc>
          <w:tcPr>
            <w:tcW w:w="992" w:type="dxa"/>
            <w:vAlign w:val="center"/>
            <w:hideMark/>
          </w:tcPr>
          <w:p w14:paraId="491E35E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0.2856</w:t>
            </w:r>
          </w:p>
        </w:tc>
      </w:tr>
      <w:tr w:rsidR="00294D85" w:rsidRPr="002C6B2E" w14:paraId="19CBB2E1" w14:textId="77777777" w:rsidTr="002C6B2E">
        <w:trPr>
          <w:trHeight w:val="20"/>
          <w:jc w:val="center"/>
        </w:trPr>
        <w:tc>
          <w:tcPr>
            <w:tcW w:w="377" w:type="dxa"/>
            <w:vAlign w:val="center"/>
            <w:hideMark/>
          </w:tcPr>
          <w:p w14:paraId="6B71A2F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16</w:t>
            </w:r>
          </w:p>
        </w:tc>
        <w:tc>
          <w:tcPr>
            <w:tcW w:w="2312" w:type="dxa"/>
            <w:vAlign w:val="center"/>
            <w:hideMark/>
          </w:tcPr>
          <w:p w14:paraId="01859542"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Labour Employment</w:t>
            </w:r>
          </w:p>
        </w:tc>
        <w:tc>
          <w:tcPr>
            <w:tcW w:w="891" w:type="dxa"/>
            <w:vAlign w:val="center"/>
            <w:hideMark/>
          </w:tcPr>
          <w:p w14:paraId="7CBBA90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1.2747</w:t>
            </w:r>
          </w:p>
        </w:tc>
        <w:tc>
          <w:tcPr>
            <w:tcW w:w="951" w:type="dxa"/>
            <w:vAlign w:val="center"/>
            <w:hideMark/>
          </w:tcPr>
          <w:p w14:paraId="464FE67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1.2747</w:t>
            </w:r>
          </w:p>
        </w:tc>
        <w:tc>
          <w:tcPr>
            <w:tcW w:w="993" w:type="dxa"/>
            <w:vAlign w:val="center"/>
            <w:hideMark/>
          </w:tcPr>
          <w:p w14:paraId="0248DA0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0.5381</w:t>
            </w:r>
          </w:p>
        </w:tc>
        <w:tc>
          <w:tcPr>
            <w:tcW w:w="1275" w:type="dxa"/>
            <w:vAlign w:val="center"/>
            <w:hideMark/>
          </w:tcPr>
          <w:p w14:paraId="3FE0982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0.5381</w:t>
            </w:r>
          </w:p>
        </w:tc>
        <w:tc>
          <w:tcPr>
            <w:tcW w:w="851" w:type="dxa"/>
            <w:vAlign w:val="center"/>
            <w:hideMark/>
          </w:tcPr>
          <w:p w14:paraId="263AF68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0.4221</w:t>
            </w:r>
          </w:p>
        </w:tc>
        <w:tc>
          <w:tcPr>
            <w:tcW w:w="992" w:type="dxa"/>
            <w:vAlign w:val="center"/>
            <w:hideMark/>
          </w:tcPr>
          <w:p w14:paraId="3F1167E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0.4221</w:t>
            </w:r>
          </w:p>
        </w:tc>
      </w:tr>
      <w:tr w:rsidR="00294D85" w:rsidRPr="002C6B2E" w14:paraId="5581D99D" w14:textId="77777777" w:rsidTr="002C6B2E">
        <w:trPr>
          <w:trHeight w:val="20"/>
          <w:jc w:val="center"/>
        </w:trPr>
        <w:tc>
          <w:tcPr>
            <w:tcW w:w="377" w:type="dxa"/>
            <w:vAlign w:val="center"/>
            <w:hideMark/>
          </w:tcPr>
          <w:p w14:paraId="369A30CA"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17</w:t>
            </w:r>
          </w:p>
        </w:tc>
        <w:tc>
          <w:tcPr>
            <w:tcW w:w="2312" w:type="dxa"/>
            <w:vAlign w:val="center"/>
            <w:hideMark/>
          </w:tcPr>
          <w:p w14:paraId="544E810F"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Other Social Services</w:t>
            </w:r>
          </w:p>
        </w:tc>
        <w:tc>
          <w:tcPr>
            <w:tcW w:w="891" w:type="dxa"/>
            <w:vAlign w:val="center"/>
            <w:hideMark/>
          </w:tcPr>
          <w:p w14:paraId="62BA07D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0.7188</w:t>
            </w:r>
          </w:p>
        </w:tc>
        <w:tc>
          <w:tcPr>
            <w:tcW w:w="951" w:type="dxa"/>
            <w:vAlign w:val="center"/>
            <w:hideMark/>
          </w:tcPr>
          <w:p w14:paraId="15CAE84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0.7188</w:t>
            </w:r>
          </w:p>
        </w:tc>
        <w:tc>
          <w:tcPr>
            <w:tcW w:w="993" w:type="dxa"/>
            <w:vAlign w:val="center"/>
            <w:hideMark/>
          </w:tcPr>
          <w:p w14:paraId="243E5965"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0.4601</w:t>
            </w:r>
          </w:p>
        </w:tc>
        <w:tc>
          <w:tcPr>
            <w:tcW w:w="1275" w:type="dxa"/>
            <w:vAlign w:val="center"/>
            <w:hideMark/>
          </w:tcPr>
          <w:p w14:paraId="06F82A7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0.2096</w:t>
            </w:r>
          </w:p>
        </w:tc>
        <w:tc>
          <w:tcPr>
            <w:tcW w:w="851" w:type="dxa"/>
            <w:vAlign w:val="center"/>
            <w:hideMark/>
          </w:tcPr>
          <w:p w14:paraId="7983037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0.6401</w:t>
            </w:r>
          </w:p>
        </w:tc>
        <w:tc>
          <w:tcPr>
            <w:tcW w:w="992" w:type="dxa"/>
            <w:vAlign w:val="center"/>
            <w:hideMark/>
          </w:tcPr>
          <w:p w14:paraId="3228779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0.2916</w:t>
            </w:r>
          </w:p>
        </w:tc>
      </w:tr>
      <w:tr w:rsidR="00294D85" w:rsidRPr="002C6B2E" w14:paraId="20B30C99" w14:textId="77777777" w:rsidTr="002C6B2E">
        <w:trPr>
          <w:trHeight w:val="20"/>
          <w:jc w:val="center"/>
        </w:trPr>
        <w:tc>
          <w:tcPr>
            <w:tcW w:w="377" w:type="dxa"/>
            <w:vAlign w:val="center"/>
            <w:hideMark/>
          </w:tcPr>
          <w:p w14:paraId="7186477B" w14:textId="77777777" w:rsidR="00294D85" w:rsidRPr="002C6B2E" w:rsidRDefault="00294D85" w:rsidP="00DF6987">
            <w:pPr>
              <w:spacing w:line="278" w:lineRule="auto"/>
              <w:jc w:val="center"/>
              <w:rPr>
                <w:rFonts w:ascii="Times New Roman" w:hAnsi="Times New Roman" w:cs="Times New Roman"/>
                <w:sz w:val="16"/>
                <w:szCs w:val="16"/>
              </w:rPr>
            </w:pPr>
          </w:p>
        </w:tc>
        <w:tc>
          <w:tcPr>
            <w:tcW w:w="2312" w:type="dxa"/>
            <w:vAlign w:val="center"/>
            <w:hideMark/>
          </w:tcPr>
          <w:p w14:paraId="477125A8"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b/>
                <w:bCs/>
                <w:sz w:val="16"/>
                <w:szCs w:val="16"/>
              </w:rPr>
              <w:t>Social Services</w:t>
            </w:r>
          </w:p>
        </w:tc>
        <w:tc>
          <w:tcPr>
            <w:tcW w:w="891" w:type="dxa"/>
            <w:vAlign w:val="center"/>
            <w:hideMark/>
          </w:tcPr>
          <w:p w14:paraId="5ABE6E2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124.4164</w:t>
            </w:r>
          </w:p>
        </w:tc>
        <w:tc>
          <w:tcPr>
            <w:tcW w:w="951" w:type="dxa"/>
            <w:vAlign w:val="center"/>
            <w:hideMark/>
          </w:tcPr>
          <w:p w14:paraId="5693C87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124.5934</w:t>
            </w:r>
          </w:p>
        </w:tc>
        <w:tc>
          <w:tcPr>
            <w:tcW w:w="993" w:type="dxa"/>
            <w:vAlign w:val="center"/>
            <w:hideMark/>
          </w:tcPr>
          <w:p w14:paraId="7E7F882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36.1698</w:t>
            </w:r>
          </w:p>
        </w:tc>
        <w:tc>
          <w:tcPr>
            <w:tcW w:w="1275" w:type="dxa"/>
            <w:vAlign w:val="center"/>
            <w:hideMark/>
          </w:tcPr>
          <w:p w14:paraId="7D98109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29.8799</w:t>
            </w:r>
          </w:p>
        </w:tc>
        <w:tc>
          <w:tcPr>
            <w:tcW w:w="851" w:type="dxa"/>
            <w:vAlign w:val="center"/>
            <w:hideMark/>
          </w:tcPr>
          <w:p w14:paraId="4DC186F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0.2907</w:t>
            </w:r>
          </w:p>
        </w:tc>
        <w:tc>
          <w:tcPr>
            <w:tcW w:w="992" w:type="dxa"/>
            <w:vAlign w:val="center"/>
            <w:hideMark/>
          </w:tcPr>
          <w:p w14:paraId="1462787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0.2398</w:t>
            </w:r>
          </w:p>
        </w:tc>
      </w:tr>
      <w:tr w:rsidR="00294D85" w:rsidRPr="002C6B2E" w14:paraId="2B1E7152" w14:textId="77777777" w:rsidTr="002C6B2E">
        <w:trPr>
          <w:trHeight w:val="20"/>
          <w:jc w:val="center"/>
        </w:trPr>
        <w:tc>
          <w:tcPr>
            <w:tcW w:w="377" w:type="dxa"/>
            <w:vAlign w:val="center"/>
            <w:hideMark/>
          </w:tcPr>
          <w:p w14:paraId="0FF70DF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18</w:t>
            </w:r>
          </w:p>
        </w:tc>
        <w:tc>
          <w:tcPr>
            <w:tcW w:w="2312" w:type="dxa"/>
            <w:vAlign w:val="center"/>
            <w:hideMark/>
          </w:tcPr>
          <w:p w14:paraId="13E09CE5"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 xml:space="preserve">"Agriculture, Food, </w:t>
            </w:r>
            <w:proofErr w:type="spellStart"/>
            <w:r w:rsidRPr="002C6B2E">
              <w:rPr>
                <w:rFonts w:ascii="Times New Roman" w:hAnsi="Times New Roman" w:cs="Times New Roman"/>
                <w:sz w:val="16"/>
                <w:szCs w:val="16"/>
              </w:rPr>
              <w:t>e.t.c</w:t>
            </w:r>
            <w:proofErr w:type="spellEnd"/>
            <w:r w:rsidRPr="002C6B2E">
              <w:rPr>
                <w:rFonts w:ascii="Times New Roman" w:hAnsi="Times New Roman" w:cs="Times New Roman"/>
                <w:sz w:val="16"/>
                <w:szCs w:val="16"/>
              </w:rPr>
              <w:t>."</w:t>
            </w:r>
          </w:p>
        </w:tc>
        <w:tc>
          <w:tcPr>
            <w:tcW w:w="891" w:type="dxa"/>
            <w:vAlign w:val="center"/>
            <w:hideMark/>
          </w:tcPr>
          <w:p w14:paraId="2AEFCBF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18.3904</w:t>
            </w:r>
          </w:p>
        </w:tc>
        <w:tc>
          <w:tcPr>
            <w:tcW w:w="951" w:type="dxa"/>
            <w:vAlign w:val="center"/>
            <w:hideMark/>
          </w:tcPr>
          <w:p w14:paraId="4C6FB2B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18.4362</w:t>
            </w:r>
          </w:p>
        </w:tc>
        <w:tc>
          <w:tcPr>
            <w:tcW w:w="993" w:type="dxa"/>
            <w:vAlign w:val="center"/>
            <w:hideMark/>
          </w:tcPr>
          <w:p w14:paraId="7428125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5.2216</w:t>
            </w:r>
          </w:p>
        </w:tc>
        <w:tc>
          <w:tcPr>
            <w:tcW w:w="1275" w:type="dxa"/>
            <w:vAlign w:val="center"/>
            <w:hideMark/>
          </w:tcPr>
          <w:p w14:paraId="405450B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3.5592</w:t>
            </w:r>
          </w:p>
        </w:tc>
        <w:tc>
          <w:tcPr>
            <w:tcW w:w="851" w:type="dxa"/>
            <w:vAlign w:val="center"/>
            <w:hideMark/>
          </w:tcPr>
          <w:p w14:paraId="7DAA919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0.2839</w:t>
            </w:r>
          </w:p>
        </w:tc>
        <w:tc>
          <w:tcPr>
            <w:tcW w:w="992" w:type="dxa"/>
            <w:vAlign w:val="center"/>
            <w:hideMark/>
          </w:tcPr>
          <w:p w14:paraId="13A13943"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0.1931</w:t>
            </w:r>
          </w:p>
        </w:tc>
      </w:tr>
      <w:tr w:rsidR="00294D85" w:rsidRPr="002C6B2E" w14:paraId="17B78339" w14:textId="77777777" w:rsidTr="002C6B2E">
        <w:trPr>
          <w:trHeight w:val="20"/>
          <w:jc w:val="center"/>
        </w:trPr>
        <w:tc>
          <w:tcPr>
            <w:tcW w:w="377" w:type="dxa"/>
            <w:vAlign w:val="center"/>
            <w:hideMark/>
          </w:tcPr>
          <w:p w14:paraId="49EE102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19</w:t>
            </w:r>
          </w:p>
        </w:tc>
        <w:tc>
          <w:tcPr>
            <w:tcW w:w="2312" w:type="dxa"/>
            <w:vAlign w:val="center"/>
            <w:hideMark/>
          </w:tcPr>
          <w:p w14:paraId="4CEFBA28"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Animal Husbandry</w:t>
            </w:r>
          </w:p>
        </w:tc>
        <w:tc>
          <w:tcPr>
            <w:tcW w:w="891" w:type="dxa"/>
            <w:vAlign w:val="center"/>
            <w:hideMark/>
          </w:tcPr>
          <w:p w14:paraId="23C57DA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3.6192</w:t>
            </w:r>
          </w:p>
        </w:tc>
        <w:tc>
          <w:tcPr>
            <w:tcW w:w="951" w:type="dxa"/>
            <w:vAlign w:val="center"/>
            <w:hideMark/>
          </w:tcPr>
          <w:p w14:paraId="6A714EF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3.6359</w:t>
            </w:r>
          </w:p>
        </w:tc>
        <w:tc>
          <w:tcPr>
            <w:tcW w:w="993" w:type="dxa"/>
            <w:vAlign w:val="center"/>
            <w:hideMark/>
          </w:tcPr>
          <w:p w14:paraId="17EE825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0.9774</w:t>
            </w:r>
          </w:p>
        </w:tc>
        <w:tc>
          <w:tcPr>
            <w:tcW w:w="1275" w:type="dxa"/>
            <w:vAlign w:val="center"/>
            <w:hideMark/>
          </w:tcPr>
          <w:p w14:paraId="340C0B9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1.1034</w:t>
            </w:r>
          </w:p>
        </w:tc>
        <w:tc>
          <w:tcPr>
            <w:tcW w:w="851" w:type="dxa"/>
            <w:vAlign w:val="center"/>
            <w:hideMark/>
          </w:tcPr>
          <w:p w14:paraId="4D24951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0.2701</w:t>
            </w:r>
          </w:p>
        </w:tc>
        <w:tc>
          <w:tcPr>
            <w:tcW w:w="992" w:type="dxa"/>
            <w:vAlign w:val="center"/>
            <w:hideMark/>
          </w:tcPr>
          <w:p w14:paraId="0F785DEA"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0.3035</w:t>
            </w:r>
          </w:p>
        </w:tc>
      </w:tr>
      <w:tr w:rsidR="00294D85" w:rsidRPr="002C6B2E" w14:paraId="23D9EB77" w14:textId="77777777" w:rsidTr="002C6B2E">
        <w:trPr>
          <w:trHeight w:val="20"/>
          <w:jc w:val="center"/>
        </w:trPr>
        <w:tc>
          <w:tcPr>
            <w:tcW w:w="377" w:type="dxa"/>
            <w:vAlign w:val="center"/>
            <w:hideMark/>
          </w:tcPr>
          <w:p w14:paraId="7631D16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20</w:t>
            </w:r>
          </w:p>
        </w:tc>
        <w:tc>
          <w:tcPr>
            <w:tcW w:w="2312" w:type="dxa"/>
            <w:vAlign w:val="center"/>
            <w:hideMark/>
          </w:tcPr>
          <w:p w14:paraId="703C8436"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Industry and Minerals</w:t>
            </w:r>
          </w:p>
        </w:tc>
        <w:tc>
          <w:tcPr>
            <w:tcW w:w="891" w:type="dxa"/>
            <w:vAlign w:val="center"/>
            <w:hideMark/>
          </w:tcPr>
          <w:p w14:paraId="5CA8F33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2.6018</w:t>
            </w:r>
          </w:p>
        </w:tc>
        <w:tc>
          <w:tcPr>
            <w:tcW w:w="951" w:type="dxa"/>
            <w:vAlign w:val="center"/>
            <w:hideMark/>
          </w:tcPr>
          <w:p w14:paraId="5888737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2.6018</w:t>
            </w:r>
          </w:p>
        </w:tc>
        <w:tc>
          <w:tcPr>
            <w:tcW w:w="993" w:type="dxa"/>
            <w:vAlign w:val="center"/>
            <w:hideMark/>
          </w:tcPr>
          <w:p w14:paraId="05C2127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1.2905</w:t>
            </w:r>
          </w:p>
        </w:tc>
        <w:tc>
          <w:tcPr>
            <w:tcW w:w="1275" w:type="dxa"/>
            <w:vAlign w:val="center"/>
            <w:hideMark/>
          </w:tcPr>
          <w:p w14:paraId="014C2E1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2.3534</w:t>
            </w:r>
          </w:p>
        </w:tc>
        <w:tc>
          <w:tcPr>
            <w:tcW w:w="851" w:type="dxa"/>
            <w:vAlign w:val="center"/>
            <w:hideMark/>
          </w:tcPr>
          <w:p w14:paraId="6290D25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0.4960</w:t>
            </w:r>
          </w:p>
        </w:tc>
        <w:tc>
          <w:tcPr>
            <w:tcW w:w="992" w:type="dxa"/>
            <w:vAlign w:val="center"/>
            <w:hideMark/>
          </w:tcPr>
          <w:p w14:paraId="68E13C7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0.9045</w:t>
            </w:r>
          </w:p>
        </w:tc>
      </w:tr>
      <w:tr w:rsidR="00294D85" w:rsidRPr="002C6B2E" w14:paraId="009EF5BD" w14:textId="77777777" w:rsidTr="002C6B2E">
        <w:trPr>
          <w:trHeight w:val="20"/>
          <w:jc w:val="center"/>
        </w:trPr>
        <w:tc>
          <w:tcPr>
            <w:tcW w:w="377" w:type="dxa"/>
            <w:vAlign w:val="center"/>
            <w:hideMark/>
          </w:tcPr>
          <w:p w14:paraId="7A2AF13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21</w:t>
            </w:r>
          </w:p>
        </w:tc>
        <w:tc>
          <w:tcPr>
            <w:tcW w:w="2312" w:type="dxa"/>
            <w:vAlign w:val="center"/>
            <w:hideMark/>
          </w:tcPr>
          <w:p w14:paraId="5C74EC00"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Other Economic Services</w:t>
            </w:r>
          </w:p>
        </w:tc>
        <w:tc>
          <w:tcPr>
            <w:tcW w:w="891" w:type="dxa"/>
            <w:vAlign w:val="center"/>
            <w:hideMark/>
          </w:tcPr>
          <w:p w14:paraId="0C8EA32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1.5831</w:t>
            </w:r>
          </w:p>
        </w:tc>
        <w:tc>
          <w:tcPr>
            <w:tcW w:w="951" w:type="dxa"/>
            <w:vAlign w:val="center"/>
            <w:hideMark/>
          </w:tcPr>
          <w:p w14:paraId="5716D3C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1.5831</w:t>
            </w:r>
          </w:p>
        </w:tc>
        <w:tc>
          <w:tcPr>
            <w:tcW w:w="993" w:type="dxa"/>
            <w:vAlign w:val="center"/>
            <w:hideMark/>
          </w:tcPr>
          <w:p w14:paraId="21C68E3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1.0033</w:t>
            </w:r>
          </w:p>
        </w:tc>
        <w:tc>
          <w:tcPr>
            <w:tcW w:w="1275" w:type="dxa"/>
            <w:vAlign w:val="center"/>
            <w:hideMark/>
          </w:tcPr>
          <w:p w14:paraId="594AE4E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1.0033</w:t>
            </w:r>
          </w:p>
        </w:tc>
        <w:tc>
          <w:tcPr>
            <w:tcW w:w="851" w:type="dxa"/>
            <w:vAlign w:val="center"/>
            <w:hideMark/>
          </w:tcPr>
          <w:p w14:paraId="293BE3E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0.6338</w:t>
            </w:r>
          </w:p>
        </w:tc>
        <w:tc>
          <w:tcPr>
            <w:tcW w:w="992" w:type="dxa"/>
            <w:vAlign w:val="center"/>
            <w:hideMark/>
          </w:tcPr>
          <w:p w14:paraId="79A31664"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0.6338</w:t>
            </w:r>
          </w:p>
        </w:tc>
      </w:tr>
      <w:tr w:rsidR="00294D85" w:rsidRPr="002C6B2E" w14:paraId="7E3FA81B" w14:textId="77777777" w:rsidTr="002C6B2E">
        <w:trPr>
          <w:trHeight w:val="20"/>
          <w:jc w:val="center"/>
        </w:trPr>
        <w:tc>
          <w:tcPr>
            <w:tcW w:w="377" w:type="dxa"/>
            <w:vAlign w:val="center"/>
            <w:hideMark/>
          </w:tcPr>
          <w:p w14:paraId="6D460D6D"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22</w:t>
            </w:r>
          </w:p>
        </w:tc>
        <w:tc>
          <w:tcPr>
            <w:tcW w:w="2312" w:type="dxa"/>
            <w:vAlign w:val="center"/>
            <w:hideMark/>
          </w:tcPr>
          <w:p w14:paraId="337E1087"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"Water, Power Development Services"</w:t>
            </w:r>
          </w:p>
        </w:tc>
        <w:tc>
          <w:tcPr>
            <w:tcW w:w="891" w:type="dxa"/>
            <w:vAlign w:val="center"/>
            <w:hideMark/>
          </w:tcPr>
          <w:p w14:paraId="064CC8B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1.6633</w:t>
            </w:r>
          </w:p>
        </w:tc>
        <w:tc>
          <w:tcPr>
            <w:tcW w:w="951" w:type="dxa"/>
            <w:vAlign w:val="center"/>
            <w:hideMark/>
          </w:tcPr>
          <w:p w14:paraId="4ABCB46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1.6633</w:t>
            </w:r>
          </w:p>
        </w:tc>
        <w:tc>
          <w:tcPr>
            <w:tcW w:w="993" w:type="dxa"/>
            <w:vAlign w:val="center"/>
            <w:hideMark/>
          </w:tcPr>
          <w:p w14:paraId="4461956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4.9599</w:t>
            </w:r>
          </w:p>
        </w:tc>
        <w:tc>
          <w:tcPr>
            <w:tcW w:w="1275" w:type="dxa"/>
            <w:vAlign w:val="center"/>
            <w:hideMark/>
          </w:tcPr>
          <w:p w14:paraId="6EAE77C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4.9599</w:t>
            </w:r>
          </w:p>
        </w:tc>
        <w:tc>
          <w:tcPr>
            <w:tcW w:w="851" w:type="dxa"/>
            <w:vAlign w:val="center"/>
            <w:hideMark/>
          </w:tcPr>
          <w:p w14:paraId="3635C67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2.9820</w:t>
            </w:r>
          </w:p>
        </w:tc>
        <w:tc>
          <w:tcPr>
            <w:tcW w:w="992" w:type="dxa"/>
            <w:vAlign w:val="center"/>
            <w:hideMark/>
          </w:tcPr>
          <w:p w14:paraId="480B8D7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2.9820</w:t>
            </w:r>
          </w:p>
        </w:tc>
      </w:tr>
      <w:tr w:rsidR="00294D85" w:rsidRPr="002C6B2E" w14:paraId="45012BED" w14:textId="77777777" w:rsidTr="002C6B2E">
        <w:trPr>
          <w:trHeight w:val="20"/>
          <w:jc w:val="center"/>
        </w:trPr>
        <w:tc>
          <w:tcPr>
            <w:tcW w:w="377" w:type="dxa"/>
            <w:vAlign w:val="center"/>
            <w:hideMark/>
          </w:tcPr>
          <w:p w14:paraId="6B2120BF"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23</w:t>
            </w:r>
          </w:p>
        </w:tc>
        <w:tc>
          <w:tcPr>
            <w:tcW w:w="2312" w:type="dxa"/>
            <w:vAlign w:val="center"/>
            <w:hideMark/>
          </w:tcPr>
          <w:p w14:paraId="70F232D9"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sz w:val="16"/>
                <w:szCs w:val="16"/>
              </w:rPr>
              <w:t>Compensation to Local Bodies</w:t>
            </w:r>
          </w:p>
        </w:tc>
        <w:tc>
          <w:tcPr>
            <w:tcW w:w="891" w:type="dxa"/>
            <w:vAlign w:val="center"/>
            <w:hideMark/>
          </w:tcPr>
          <w:p w14:paraId="1695AB9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5.2113</w:t>
            </w:r>
          </w:p>
        </w:tc>
        <w:tc>
          <w:tcPr>
            <w:tcW w:w="951" w:type="dxa"/>
            <w:vAlign w:val="center"/>
            <w:hideMark/>
          </w:tcPr>
          <w:p w14:paraId="06E483F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5.2113</w:t>
            </w:r>
          </w:p>
        </w:tc>
        <w:tc>
          <w:tcPr>
            <w:tcW w:w="993" w:type="dxa"/>
            <w:vAlign w:val="center"/>
            <w:hideMark/>
          </w:tcPr>
          <w:p w14:paraId="07A778D8"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4.4095</w:t>
            </w:r>
          </w:p>
        </w:tc>
        <w:tc>
          <w:tcPr>
            <w:tcW w:w="1275" w:type="dxa"/>
            <w:vAlign w:val="center"/>
            <w:hideMark/>
          </w:tcPr>
          <w:p w14:paraId="3ED3AF57"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4.4095</w:t>
            </w:r>
          </w:p>
        </w:tc>
        <w:tc>
          <w:tcPr>
            <w:tcW w:w="851" w:type="dxa"/>
            <w:vAlign w:val="center"/>
            <w:hideMark/>
          </w:tcPr>
          <w:p w14:paraId="59FA714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0.8461</w:t>
            </w:r>
          </w:p>
        </w:tc>
        <w:tc>
          <w:tcPr>
            <w:tcW w:w="992" w:type="dxa"/>
            <w:vAlign w:val="center"/>
            <w:hideMark/>
          </w:tcPr>
          <w:p w14:paraId="77D86E0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sz w:val="16"/>
                <w:szCs w:val="16"/>
              </w:rPr>
              <w:t>0.8461</w:t>
            </w:r>
          </w:p>
        </w:tc>
      </w:tr>
      <w:tr w:rsidR="00294D85" w:rsidRPr="002C6B2E" w14:paraId="2F9D1CF0" w14:textId="77777777" w:rsidTr="002C6B2E">
        <w:trPr>
          <w:trHeight w:val="20"/>
          <w:jc w:val="center"/>
        </w:trPr>
        <w:tc>
          <w:tcPr>
            <w:tcW w:w="377" w:type="dxa"/>
            <w:vAlign w:val="center"/>
            <w:hideMark/>
          </w:tcPr>
          <w:p w14:paraId="58FEFDD6" w14:textId="77777777" w:rsidR="00294D85" w:rsidRPr="002C6B2E" w:rsidRDefault="00294D85" w:rsidP="00DF6987">
            <w:pPr>
              <w:spacing w:line="278" w:lineRule="auto"/>
              <w:jc w:val="center"/>
              <w:rPr>
                <w:rFonts w:ascii="Times New Roman" w:hAnsi="Times New Roman" w:cs="Times New Roman"/>
                <w:sz w:val="16"/>
                <w:szCs w:val="16"/>
              </w:rPr>
            </w:pPr>
          </w:p>
        </w:tc>
        <w:tc>
          <w:tcPr>
            <w:tcW w:w="2312" w:type="dxa"/>
            <w:vAlign w:val="center"/>
            <w:hideMark/>
          </w:tcPr>
          <w:p w14:paraId="495CD34F"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b/>
                <w:bCs/>
                <w:sz w:val="16"/>
                <w:szCs w:val="16"/>
              </w:rPr>
              <w:t>Economic Services</w:t>
            </w:r>
          </w:p>
        </w:tc>
        <w:tc>
          <w:tcPr>
            <w:tcW w:w="891" w:type="dxa"/>
            <w:vAlign w:val="center"/>
            <w:hideMark/>
          </w:tcPr>
          <w:p w14:paraId="09234C01"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33.0691</w:t>
            </w:r>
          </w:p>
        </w:tc>
        <w:tc>
          <w:tcPr>
            <w:tcW w:w="951" w:type="dxa"/>
            <w:vAlign w:val="center"/>
            <w:hideMark/>
          </w:tcPr>
          <w:p w14:paraId="2A276EB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33.1316</w:t>
            </w:r>
          </w:p>
        </w:tc>
        <w:tc>
          <w:tcPr>
            <w:tcW w:w="993" w:type="dxa"/>
            <w:vAlign w:val="center"/>
            <w:hideMark/>
          </w:tcPr>
          <w:p w14:paraId="45CF771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11.4788</w:t>
            </w:r>
          </w:p>
        </w:tc>
        <w:tc>
          <w:tcPr>
            <w:tcW w:w="1275" w:type="dxa"/>
            <w:vAlign w:val="center"/>
            <w:hideMark/>
          </w:tcPr>
          <w:p w14:paraId="4317821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10.9830</w:t>
            </w:r>
          </w:p>
        </w:tc>
        <w:tc>
          <w:tcPr>
            <w:tcW w:w="851" w:type="dxa"/>
            <w:vAlign w:val="center"/>
            <w:hideMark/>
          </w:tcPr>
          <w:p w14:paraId="77E5BD8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0.3471</w:t>
            </w:r>
          </w:p>
        </w:tc>
        <w:tc>
          <w:tcPr>
            <w:tcW w:w="992" w:type="dxa"/>
            <w:vAlign w:val="center"/>
            <w:hideMark/>
          </w:tcPr>
          <w:p w14:paraId="43A5182C"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0.3315</w:t>
            </w:r>
          </w:p>
        </w:tc>
      </w:tr>
      <w:tr w:rsidR="00294D85" w:rsidRPr="002C6B2E" w14:paraId="4C54A6EF" w14:textId="77777777" w:rsidTr="002C6B2E">
        <w:trPr>
          <w:trHeight w:val="20"/>
          <w:jc w:val="center"/>
        </w:trPr>
        <w:tc>
          <w:tcPr>
            <w:tcW w:w="377" w:type="dxa"/>
            <w:vAlign w:val="center"/>
            <w:hideMark/>
          </w:tcPr>
          <w:p w14:paraId="396BEB92" w14:textId="77777777" w:rsidR="00294D85" w:rsidRPr="002C6B2E" w:rsidRDefault="00294D85" w:rsidP="00DF6987">
            <w:pPr>
              <w:spacing w:line="278" w:lineRule="auto"/>
              <w:jc w:val="center"/>
              <w:rPr>
                <w:rFonts w:ascii="Times New Roman" w:hAnsi="Times New Roman" w:cs="Times New Roman"/>
                <w:sz w:val="16"/>
                <w:szCs w:val="16"/>
              </w:rPr>
            </w:pPr>
          </w:p>
        </w:tc>
        <w:tc>
          <w:tcPr>
            <w:tcW w:w="2312" w:type="dxa"/>
            <w:vAlign w:val="center"/>
            <w:hideMark/>
          </w:tcPr>
          <w:p w14:paraId="7C390558" w14:textId="77777777" w:rsidR="00294D85" w:rsidRPr="002C6B2E" w:rsidRDefault="00294D85" w:rsidP="00DF6987">
            <w:pPr>
              <w:spacing w:line="278" w:lineRule="auto"/>
              <w:rPr>
                <w:rFonts w:ascii="Times New Roman" w:hAnsi="Times New Roman" w:cs="Times New Roman"/>
                <w:sz w:val="16"/>
                <w:szCs w:val="16"/>
              </w:rPr>
            </w:pPr>
            <w:r w:rsidRPr="002C6B2E">
              <w:rPr>
                <w:rFonts w:ascii="Times New Roman" w:hAnsi="Times New Roman" w:cs="Times New Roman"/>
                <w:b/>
                <w:bCs/>
                <w:sz w:val="16"/>
                <w:szCs w:val="16"/>
              </w:rPr>
              <w:t>All Services</w:t>
            </w:r>
          </w:p>
        </w:tc>
        <w:tc>
          <w:tcPr>
            <w:tcW w:w="891" w:type="dxa"/>
            <w:vAlign w:val="center"/>
            <w:hideMark/>
          </w:tcPr>
          <w:p w14:paraId="328F01D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211.3790</w:t>
            </w:r>
          </w:p>
        </w:tc>
        <w:tc>
          <w:tcPr>
            <w:tcW w:w="951" w:type="dxa"/>
            <w:vAlign w:val="center"/>
            <w:hideMark/>
          </w:tcPr>
          <w:p w14:paraId="3346A57E"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211.9148</w:t>
            </w:r>
          </w:p>
        </w:tc>
        <w:tc>
          <w:tcPr>
            <w:tcW w:w="993" w:type="dxa"/>
            <w:vAlign w:val="center"/>
            <w:hideMark/>
          </w:tcPr>
          <w:p w14:paraId="3847AD70"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53.4307</w:t>
            </w:r>
          </w:p>
        </w:tc>
        <w:tc>
          <w:tcPr>
            <w:tcW w:w="1275" w:type="dxa"/>
            <w:vAlign w:val="center"/>
            <w:hideMark/>
          </w:tcPr>
          <w:p w14:paraId="30D57349"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42.6125</w:t>
            </w:r>
          </w:p>
        </w:tc>
        <w:tc>
          <w:tcPr>
            <w:tcW w:w="851" w:type="dxa"/>
            <w:vAlign w:val="center"/>
            <w:hideMark/>
          </w:tcPr>
          <w:p w14:paraId="07B489F2"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0.2528</w:t>
            </w:r>
          </w:p>
        </w:tc>
        <w:tc>
          <w:tcPr>
            <w:tcW w:w="992" w:type="dxa"/>
            <w:vAlign w:val="center"/>
            <w:hideMark/>
          </w:tcPr>
          <w:p w14:paraId="341CB4E6" w14:textId="77777777" w:rsidR="00294D85" w:rsidRPr="002C6B2E" w:rsidRDefault="00294D85" w:rsidP="00DF6987">
            <w:pPr>
              <w:spacing w:line="278" w:lineRule="auto"/>
              <w:jc w:val="center"/>
              <w:rPr>
                <w:rFonts w:ascii="Times New Roman" w:hAnsi="Times New Roman" w:cs="Times New Roman"/>
                <w:sz w:val="16"/>
                <w:szCs w:val="16"/>
              </w:rPr>
            </w:pPr>
            <w:r w:rsidRPr="002C6B2E">
              <w:rPr>
                <w:rFonts w:ascii="Times New Roman" w:hAnsi="Times New Roman" w:cs="Times New Roman"/>
                <w:b/>
                <w:bCs/>
                <w:sz w:val="16"/>
                <w:szCs w:val="16"/>
              </w:rPr>
              <w:t>0.2011</w:t>
            </w:r>
          </w:p>
        </w:tc>
      </w:tr>
    </w:tbl>
    <w:p w14:paraId="06AC6709" w14:textId="77777777" w:rsidR="00CE2BD3" w:rsidRPr="00AA6AF4" w:rsidRDefault="00CE2BD3" w:rsidP="00DF6987">
      <w:pPr>
        <w:jc w:val="right"/>
        <w:rPr>
          <w:rFonts w:ascii="Times New Roman" w:hAnsi="Times New Roman" w:cs="Times New Roman"/>
          <w:szCs w:val="24"/>
        </w:rPr>
      </w:pPr>
    </w:p>
    <w:p w14:paraId="4A15641B" w14:textId="0DE509E9" w:rsidR="00CE2BD3" w:rsidRPr="002C6B2E" w:rsidRDefault="00294D85" w:rsidP="002C6B2E">
      <w:pPr>
        <w:spacing w:after="0"/>
        <w:jc w:val="center"/>
        <w:rPr>
          <w:rFonts w:ascii="Times New Roman" w:hAnsi="Times New Roman" w:cs="Times New Roman"/>
          <w:b/>
          <w:bCs/>
          <w:sz w:val="20"/>
          <w:szCs w:val="20"/>
        </w:rPr>
      </w:pPr>
      <w:r w:rsidRPr="002C6B2E">
        <w:rPr>
          <w:rFonts w:ascii="Times New Roman" w:hAnsi="Times New Roman" w:cs="Times New Roman"/>
          <w:b/>
          <w:bCs/>
          <w:sz w:val="20"/>
          <w:szCs w:val="20"/>
        </w:rPr>
        <w:t>TABLE B.5.4</w:t>
      </w:r>
      <w:r w:rsidR="0078036E" w:rsidRPr="002C6B2E">
        <w:rPr>
          <w:rFonts w:ascii="Times New Roman" w:hAnsi="Times New Roman" w:cs="Times New Roman"/>
          <w:b/>
          <w:bCs/>
          <w:sz w:val="20"/>
          <w:szCs w:val="20"/>
        </w:rPr>
        <w:br/>
      </w:r>
      <w:r w:rsidRPr="002C6B2E">
        <w:rPr>
          <w:rFonts w:ascii="Times New Roman" w:hAnsi="Times New Roman" w:cs="Times New Roman"/>
          <w:b/>
          <w:bCs/>
          <w:sz w:val="20"/>
          <w:szCs w:val="20"/>
        </w:rPr>
        <w:t xml:space="preserve">Projection </w:t>
      </w:r>
      <w:proofErr w:type="gramStart"/>
      <w:r w:rsidRPr="002C6B2E">
        <w:rPr>
          <w:rFonts w:ascii="Times New Roman" w:hAnsi="Times New Roman" w:cs="Times New Roman"/>
          <w:b/>
          <w:bCs/>
          <w:sz w:val="20"/>
          <w:szCs w:val="20"/>
        </w:rPr>
        <w:t>Of</w:t>
      </w:r>
      <w:proofErr w:type="gramEnd"/>
      <w:r w:rsidRPr="002C6B2E">
        <w:rPr>
          <w:rFonts w:ascii="Times New Roman" w:hAnsi="Times New Roman" w:cs="Times New Roman"/>
          <w:b/>
          <w:bCs/>
          <w:sz w:val="20"/>
          <w:szCs w:val="20"/>
        </w:rPr>
        <w:t xml:space="preserve"> Normative Expenditure </w:t>
      </w:r>
      <w:proofErr w:type="gramStart"/>
      <w:r w:rsidRPr="002C6B2E">
        <w:rPr>
          <w:rFonts w:ascii="Times New Roman" w:hAnsi="Times New Roman" w:cs="Times New Roman"/>
          <w:b/>
          <w:bCs/>
          <w:sz w:val="20"/>
          <w:szCs w:val="20"/>
        </w:rPr>
        <w:t>On</w:t>
      </w:r>
      <w:proofErr w:type="gramEnd"/>
      <w:r w:rsidRPr="002C6B2E">
        <w:rPr>
          <w:rFonts w:ascii="Times New Roman" w:hAnsi="Times New Roman" w:cs="Times New Roman"/>
          <w:b/>
          <w:bCs/>
          <w:sz w:val="20"/>
          <w:szCs w:val="20"/>
        </w:rPr>
        <w:t xml:space="preserve"> Selected Categories</w:t>
      </w:r>
    </w:p>
    <w:p w14:paraId="43423770" w14:textId="5AA01368" w:rsidR="00294D85" w:rsidRPr="002C6B2E" w:rsidRDefault="00294D85" w:rsidP="002C6B2E">
      <w:pPr>
        <w:spacing w:after="0"/>
        <w:jc w:val="center"/>
        <w:rPr>
          <w:rFonts w:ascii="Times New Roman" w:hAnsi="Times New Roman" w:cs="Times New Roman"/>
          <w:b/>
          <w:bCs/>
          <w:sz w:val="20"/>
          <w:szCs w:val="20"/>
        </w:rPr>
      </w:pPr>
      <w:r w:rsidRPr="002C6B2E">
        <w:rPr>
          <w:rFonts w:ascii="Times New Roman" w:hAnsi="Times New Roman" w:cs="Times New Roman"/>
          <w:b/>
          <w:bCs/>
          <w:sz w:val="20"/>
          <w:szCs w:val="20"/>
        </w:rPr>
        <w:t>Expenditure Category: Organs Of State</w:t>
      </w:r>
    </w:p>
    <w:tbl>
      <w:tblPr>
        <w:tblStyle w:val="TableGrid"/>
        <w:tblW w:w="8926" w:type="dxa"/>
        <w:jc w:val="center"/>
        <w:tblLook w:val="04A0" w:firstRow="1" w:lastRow="0" w:firstColumn="1" w:lastColumn="0" w:noHBand="0" w:noVBand="1"/>
      </w:tblPr>
      <w:tblGrid>
        <w:gridCol w:w="452"/>
        <w:gridCol w:w="1370"/>
        <w:gridCol w:w="978"/>
        <w:gridCol w:w="976"/>
        <w:gridCol w:w="1068"/>
        <w:gridCol w:w="1068"/>
        <w:gridCol w:w="979"/>
        <w:gridCol w:w="979"/>
        <w:gridCol w:w="1056"/>
      </w:tblGrid>
      <w:tr w:rsidR="009775CB" w:rsidRPr="0078036E" w14:paraId="430D2D2B" w14:textId="77777777" w:rsidTr="0049031D">
        <w:trPr>
          <w:trHeight w:val="20"/>
          <w:jc w:val="center"/>
        </w:trPr>
        <w:tc>
          <w:tcPr>
            <w:tcW w:w="421" w:type="dxa"/>
            <w:vAlign w:val="center"/>
            <w:hideMark/>
          </w:tcPr>
          <w:p w14:paraId="5E55AB03"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No.</w:t>
            </w:r>
          </w:p>
        </w:tc>
        <w:tc>
          <w:tcPr>
            <w:tcW w:w="1391" w:type="dxa"/>
            <w:vAlign w:val="center"/>
            <w:hideMark/>
          </w:tcPr>
          <w:p w14:paraId="178E7E70"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State</w:t>
            </w:r>
          </w:p>
        </w:tc>
        <w:tc>
          <w:tcPr>
            <w:tcW w:w="978" w:type="dxa"/>
            <w:vAlign w:val="center"/>
            <w:hideMark/>
          </w:tcPr>
          <w:p w14:paraId="50955B30"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1989-90</w:t>
            </w:r>
          </w:p>
        </w:tc>
        <w:tc>
          <w:tcPr>
            <w:tcW w:w="976" w:type="dxa"/>
            <w:vAlign w:val="center"/>
            <w:hideMark/>
          </w:tcPr>
          <w:p w14:paraId="0CD82BBD"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1990-91</w:t>
            </w:r>
          </w:p>
        </w:tc>
        <w:tc>
          <w:tcPr>
            <w:tcW w:w="1073" w:type="dxa"/>
            <w:vAlign w:val="center"/>
            <w:hideMark/>
          </w:tcPr>
          <w:p w14:paraId="5C12A955"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1991-92</w:t>
            </w:r>
          </w:p>
        </w:tc>
        <w:tc>
          <w:tcPr>
            <w:tcW w:w="1073" w:type="dxa"/>
            <w:vAlign w:val="center"/>
            <w:hideMark/>
          </w:tcPr>
          <w:p w14:paraId="52F6FA25"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1992-93</w:t>
            </w:r>
          </w:p>
        </w:tc>
        <w:tc>
          <w:tcPr>
            <w:tcW w:w="979" w:type="dxa"/>
            <w:vAlign w:val="center"/>
            <w:hideMark/>
          </w:tcPr>
          <w:p w14:paraId="67E7363B"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1993-94</w:t>
            </w:r>
          </w:p>
        </w:tc>
        <w:tc>
          <w:tcPr>
            <w:tcW w:w="979" w:type="dxa"/>
            <w:vAlign w:val="center"/>
            <w:hideMark/>
          </w:tcPr>
          <w:p w14:paraId="2C1858A4"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1994-95</w:t>
            </w:r>
          </w:p>
        </w:tc>
        <w:tc>
          <w:tcPr>
            <w:tcW w:w="1056" w:type="dxa"/>
            <w:vAlign w:val="center"/>
            <w:hideMark/>
          </w:tcPr>
          <w:p w14:paraId="3D0D51F0" w14:textId="77777777" w:rsidR="00294D85" w:rsidRPr="0078036E" w:rsidRDefault="00294D85" w:rsidP="00DF6987">
            <w:pPr>
              <w:spacing w:line="278" w:lineRule="auto"/>
              <w:jc w:val="center"/>
              <w:rPr>
                <w:rFonts w:ascii="Times New Roman" w:hAnsi="Times New Roman" w:cs="Times New Roman"/>
                <w:b/>
                <w:bCs/>
                <w:sz w:val="16"/>
                <w:szCs w:val="16"/>
              </w:rPr>
            </w:pPr>
            <w:r w:rsidRPr="0078036E">
              <w:rPr>
                <w:rFonts w:ascii="Times New Roman" w:hAnsi="Times New Roman" w:cs="Times New Roman"/>
                <w:b/>
                <w:bCs/>
                <w:sz w:val="16"/>
                <w:szCs w:val="16"/>
              </w:rPr>
              <w:t>1990-91 to 1994-95</w:t>
            </w:r>
          </w:p>
        </w:tc>
      </w:tr>
      <w:tr w:rsidR="009775CB" w:rsidRPr="0078036E" w14:paraId="4FF92653" w14:textId="77777777" w:rsidTr="0049031D">
        <w:trPr>
          <w:trHeight w:val="20"/>
          <w:jc w:val="center"/>
        </w:trPr>
        <w:tc>
          <w:tcPr>
            <w:tcW w:w="421" w:type="dxa"/>
            <w:vAlign w:val="center"/>
            <w:hideMark/>
          </w:tcPr>
          <w:p w14:paraId="6B8AA15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w:t>
            </w:r>
          </w:p>
        </w:tc>
        <w:tc>
          <w:tcPr>
            <w:tcW w:w="1391" w:type="dxa"/>
            <w:vAlign w:val="center"/>
            <w:hideMark/>
          </w:tcPr>
          <w:p w14:paraId="405B59F9"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Andhra Pradesh</w:t>
            </w:r>
          </w:p>
        </w:tc>
        <w:tc>
          <w:tcPr>
            <w:tcW w:w="978" w:type="dxa"/>
            <w:vAlign w:val="center"/>
            <w:hideMark/>
          </w:tcPr>
          <w:p w14:paraId="0B976C1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595.43</w:t>
            </w:r>
          </w:p>
        </w:tc>
        <w:tc>
          <w:tcPr>
            <w:tcW w:w="976" w:type="dxa"/>
            <w:vAlign w:val="center"/>
            <w:hideMark/>
          </w:tcPr>
          <w:p w14:paraId="4B1B796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651.19</w:t>
            </w:r>
          </w:p>
        </w:tc>
        <w:tc>
          <w:tcPr>
            <w:tcW w:w="1073" w:type="dxa"/>
            <w:vAlign w:val="center"/>
            <w:hideMark/>
          </w:tcPr>
          <w:p w14:paraId="780CB78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712.17</w:t>
            </w:r>
          </w:p>
        </w:tc>
        <w:tc>
          <w:tcPr>
            <w:tcW w:w="1073" w:type="dxa"/>
            <w:vAlign w:val="center"/>
            <w:hideMark/>
          </w:tcPr>
          <w:p w14:paraId="1AE9E42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778.87</w:t>
            </w:r>
          </w:p>
        </w:tc>
        <w:tc>
          <w:tcPr>
            <w:tcW w:w="979" w:type="dxa"/>
            <w:vAlign w:val="center"/>
            <w:hideMark/>
          </w:tcPr>
          <w:p w14:paraId="19E37149"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851.81</w:t>
            </w:r>
          </w:p>
        </w:tc>
        <w:tc>
          <w:tcPr>
            <w:tcW w:w="979" w:type="dxa"/>
            <w:vAlign w:val="center"/>
            <w:hideMark/>
          </w:tcPr>
          <w:p w14:paraId="457DB651"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931.58</w:t>
            </w:r>
          </w:p>
        </w:tc>
        <w:tc>
          <w:tcPr>
            <w:tcW w:w="1056" w:type="dxa"/>
            <w:vAlign w:val="center"/>
            <w:hideMark/>
          </w:tcPr>
          <w:p w14:paraId="02C80F21"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3925.61</w:t>
            </w:r>
          </w:p>
        </w:tc>
      </w:tr>
      <w:tr w:rsidR="009775CB" w:rsidRPr="0078036E" w14:paraId="427E7EEB" w14:textId="77777777" w:rsidTr="0049031D">
        <w:trPr>
          <w:trHeight w:val="20"/>
          <w:jc w:val="center"/>
        </w:trPr>
        <w:tc>
          <w:tcPr>
            <w:tcW w:w="421" w:type="dxa"/>
            <w:vAlign w:val="center"/>
            <w:hideMark/>
          </w:tcPr>
          <w:p w14:paraId="244026F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w:t>
            </w:r>
          </w:p>
        </w:tc>
        <w:tc>
          <w:tcPr>
            <w:tcW w:w="1391" w:type="dxa"/>
            <w:vAlign w:val="center"/>
            <w:hideMark/>
          </w:tcPr>
          <w:p w14:paraId="4C243A15"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Bihar</w:t>
            </w:r>
          </w:p>
        </w:tc>
        <w:tc>
          <w:tcPr>
            <w:tcW w:w="978" w:type="dxa"/>
            <w:vAlign w:val="center"/>
            <w:hideMark/>
          </w:tcPr>
          <w:p w14:paraId="24D51BB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1206.25</w:t>
            </w:r>
          </w:p>
        </w:tc>
        <w:tc>
          <w:tcPr>
            <w:tcW w:w="976" w:type="dxa"/>
            <w:vAlign w:val="center"/>
            <w:hideMark/>
          </w:tcPr>
          <w:p w14:paraId="1E95C88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1244.23</w:t>
            </w:r>
          </w:p>
        </w:tc>
        <w:tc>
          <w:tcPr>
            <w:tcW w:w="1073" w:type="dxa"/>
            <w:vAlign w:val="center"/>
            <w:hideMark/>
          </w:tcPr>
          <w:p w14:paraId="733B871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1283.40</w:t>
            </w:r>
          </w:p>
        </w:tc>
        <w:tc>
          <w:tcPr>
            <w:tcW w:w="1073" w:type="dxa"/>
            <w:vAlign w:val="center"/>
            <w:hideMark/>
          </w:tcPr>
          <w:p w14:paraId="4DBB3EB9"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1323.81</w:t>
            </w:r>
          </w:p>
        </w:tc>
        <w:tc>
          <w:tcPr>
            <w:tcW w:w="979" w:type="dxa"/>
            <w:vAlign w:val="center"/>
            <w:hideMark/>
          </w:tcPr>
          <w:p w14:paraId="23621B4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1365.49</w:t>
            </w:r>
          </w:p>
        </w:tc>
        <w:tc>
          <w:tcPr>
            <w:tcW w:w="979" w:type="dxa"/>
            <w:vAlign w:val="center"/>
            <w:hideMark/>
          </w:tcPr>
          <w:p w14:paraId="05BDEF2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1408.48</w:t>
            </w:r>
          </w:p>
        </w:tc>
        <w:tc>
          <w:tcPr>
            <w:tcW w:w="1056" w:type="dxa"/>
            <w:vAlign w:val="center"/>
            <w:hideMark/>
          </w:tcPr>
          <w:p w14:paraId="628C7C04"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6625.42</w:t>
            </w:r>
          </w:p>
        </w:tc>
      </w:tr>
      <w:tr w:rsidR="009775CB" w:rsidRPr="0078036E" w14:paraId="11275E76" w14:textId="77777777" w:rsidTr="0049031D">
        <w:trPr>
          <w:trHeight w:val="20"/>
          <w:jc w:val="center"/>
        </w:trPr>
        <w:tc>
          <w:tcPr>
            <w:tcW w:w="421" w:type="dxa"/>
            <w:vAlign w:val="center"/>
            <w:hideMark/>
          </w:tcPr>
          <w:p w14:paraId="09D7D291"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w:t>
            </w:r>
          </w:p>
        </w:tc>
        <w:tc>
          <w:tcPr>
            <w:tcW w:w="1391" w:type="dxa"/>
            <w:vAlign w:val="center"/>
            <w:hideMark/>
          </w:tcPr>
          <w:p w14:paraId="37B5CC4F"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Gujarat</w:t>
            </w:r>
          </w:p>
        </w:tc>
        <w:tc>
          <w:tcPr>
            <w:tcW w:w="978" w:type="dxa"/>
            <w:vAlign w:val="center"/>
            <w:hideMark/>
          </w:tcPr>
          <w:p w14:paraId="546BBF0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352.11</w:t>
            </w:r>
          </w:p>
        </w:tc>
        <w:tc>
          <w:tcPr>
            <w:tcW w:w="976" w:type="dxa"/>
            <w:vAlign w:val="center"/>
            <w:hideMark/>
          </w:tcPr>
          <w:p w14:paraId="448D3315"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391.87</w:t>
            </w:r>
          </w:p>
        </w:tc>
        <w:tc>
          <w:tcPr>
            <w:tcW w:w="1073" w:type="dxa"/>
            <w:vAlign w:val="center"/>
            <w:hideMark/>
          </w:tcPr>
          <w:p w14:paraId="77ED92E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436.12</w:t>
            </w:r>
          </w:p>
        </w:tc>
        <w:tc>
          <w:tcPr>
            <w:tcW w:w="1073" w:type="dxa"/>
            <w:vAlign w:val="center"/>
            <w:hideMark/>
          </w:tcPr>
          <w:p w14:paraId="7029A5C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485.37</w:t>
            </w:r>
          </w:p>
        </w:tc>
        <w:tc>
          <w:tcPr>
            <w:tcW w:w="979" w:type="dxa"/>
            <w:vAlign w:val="center"/>
            <w:hideMark/>
          </w:tcPr>
          <w:p w14:paraId="08CA62F2"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540.18</w:t>
            </w:r>
          </w:p>
        </w:tc>
        <w:tc>
          <w:tcPr>
            <w:tcW w:w="979" w:type="dxa"/>
            <w:vAlign w:val="center"/>
            <w:hideMark/>
          </w:tcPr>
          <w:p w14:paraId="57429DA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601.17</w:t>
            </w:r>
          </w:p>
        </w:tc>
        <w:tc>
          <w:tcPr>
            <w:tcW w:w="1056" w:type="dxa"/>
            <w:vAlign w:val="center"/>
            <w:hideMark/>
          </w:tcPr>
          <w:p w14:paraId="31A7E5C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2454.71</w:t>
            </w:r>
          </w:p>
        </w:tc>
      </w:tr>
      <w:tr w:rsidR="009775CB" w:rsidRPr="0078036E" w14:paraId="2FDD5C62" w14:textId="77777777" w:rsidTr="0049031D">
        <w:trPr>
          <w:trHeight w:val="20"/>
          <w:jc w:val="center"/>
        </w:trPr>
        <w:tc>
          <w:tcPr>
            <w:tcW w:w="421" w:type="dxa"/>
            <w:vAlign w:val="center"/>
            <w:hideMark/>
          </w:tcPr>
          <w:p w14:paraId="2E5F93C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w:t>
            </w:r>
          </w:p>
        </w:tc>
        <w:tc>
          <w:tcPr>
            <w:tcW w:w="1391" w:type="dxa"/>
            <w:vAlign w:val="center"/>
            <w:hideMark/>
          </w:tcPr>
          <w:p w14:paraId="23B635DB"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Haryana</w:t>
            </w:r>
          </w:p>
        </w:tc>
        <w:tc>
          <w:tcPr>
            <w:tcW w:w="978" w:type="dxa"/>
            <w:vAlign w:val="center"/>
            <w:hideMark/>
          </w:tcPr>
          <w:p w14:paraId="203CDB3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298.73</w:t>
            </w:r>
          </w:p>
        </w:tc>
        <w:tc>
          <w:tcPr>
            <w:tcW w:w="976" w:type="dxa"/>
            <w:vAlign w:val="center"/>
            <w:hideMark/>
          </w:tcPr>
          <w:p w14:paraId="59B3945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284.21</w:t>
            </w:r>
          </w:p>
        </w:tc>
        <w:tc>
          <w:tcPr>
            <w:tcW w:w="1073" w:type="dxa"/>
            <w:vAlign w:val="center"/>
            <w:hideMark/>
          </w:tcPr>
          <w:p w14:paraId="594EBDF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270.40</w:t>
            </w:r>
          </w:p>
        </w:tc>
        <w:tc>
          <w:tcPr>
            <w:tcW w:w="1073" w:type="dxa"/>
            <w:vAlign w:val="center"/>
            <w:hideMark/>
          </w:tcPr>
          <w:p w14:paraId="3CDBCB29"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257.26</w:t>
            </w:r>
          </w:p>
        </w:tc>
        <w:tc>
          <w:tcPr>
            <w:tcW w:w="979" w:type="dxa"/>
            <w:vAlign w:val="center"/>
            <w:hideMark/>
          </w:tcPr>
          <w:p w14:paraId="570DB07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244.76</w:t>
            </w:r>
          </w:p>
        </w:tc>
        <w:tc>
          <w:tcPr>
            <w:tcW w:w="979" w:type="dxa"/>
            <w:vAlign w:val="center"/>
            <w:hideMark/>
          </w:tcPr>
          <w:p w14:paraId="4337DDD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232.87</w:t>
            </w:r>
          </w:p>
        </w:tc>
        <w:tc>
          <w:tcPr>
            <w:tcW w:w="1056" w:type="dxa"/>
            <w:vAlign w:val="center"/>
            <w:hideMark/>
          </w:tcPr>
          <w:p w14:paraId="51471AD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1289.50</w:t>
            </w:r>
          </w:p>
        </w:tc>
      </w:tr>
      <w:tr w:rsidR="009775CB" w:rsidRPr="0078036E" w14:paraId="3E858BDA" w14:textId="77777777" w:rsidTr="0049031D">
        <w:trPr>
          <w:trHeight w:val="20"/>
          <w:jc w:val="center"/>
        </w:trPr>
        <w:tc>
          <w:tcPr>
            <w:tcW w:w="421" w:type="dxa"/>
            <w:vAlign w:val="center"/>
            <w:hideMark/>
          </w:tcPr>
          <w:p w14:paraId="5A2DF0D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w:t>
            </w:r>
          </w:p>
        </w:tc>
        <w:tc>
          <w:tcPr>
            <w:tcW w:w="1391" w:type="dxa"/>
            <w:vAlign w:val="center"/>
            <w:hideMark/>
          </w:tcPr>
          <w:p w14:paraId="2F7E699D"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Karnataka</w:t>
            </w:r>
          </w:p>
        </w:tc>
        <w:tc>
          <w:tcPr>
            <w:tcW w:w="978" w:type="dxa"/>
            <w:vAlign w:val="center"/>
            <w:hideMark/>
          </w:tcPr>
          <w:p w14:paraId="1FA67445"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536.33</w:t>
            </w:r>
          </w:p>
        </w:tc>
        <w:tc>
          <w:tcPr>
            <w:tcW w:w="976" w:type="dxa"/>
            <w:vAlign w:val="center"/>
            <w:hideMark/>
          </w:tcPr>
          <w:p w14:paraId="4FC7327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561.19</w:t>
            </w:r>
          </w:p>
        </w:tc>
        <w:tc>
          <w:tcPr>
            <w:tcW w:w="1073" w:type="dxa"/>
            <w:vAlign w:val="center"/>
            <w:hideMark/>
          </w:tcPr>
          <w:p w14:paraId="27E6D572"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587.20</w:t>
            </w:r>
          </w:p>
        </w:tc>
        <w:tc>
          <w:tcPr>
            <w:tcW w:w="1073" w:type="dxa"/>
            <w:vAlign w:val="center"/>
            <w:hideMark/>
          </w:tcPr>
          <w:p w14:paraId="5D97395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614.42</w:t>
            </w:r>
          </w:p>
        </w:tc>
        <w:tc>
          <w:tcPr>
            <w:tcW w:w="979" w:type="dxa"/>
            <w:vAlign w:val="center"/>
            <w:hideMark/>
          </w:tcPr>
          <w:p w14:paraId="0D7F06D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642.90</w:t>
            </w:r>
          </w:p>
        </w:tc>
        <w:tc>
          <w:tcPr>
            <w:tcW w:w="979" w:type="dxa"/>
            <w:vAlign w:val="center"/>
            <w:hideMark/>
          </w:tcPr>
          <w:p w14:paraId="5D36FA5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672.70</w:t>
            </w:r>
          </w:p>
        </w:tc>
        <w:tc>
          <w:tcPr>
            <w:tcW w:w="1056" w:type="dxa"/>
            <w:vAlign w:val="center"/>
            <w:hideMark/>
          </w:tcPr>
          <w:p w14:paraId="212FB6D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3078.41</w:t>
            </w:r>
          </w:p>
        </w:tc>
      </w:tr>
      <w:tr w:rsidR="009775CB" w:rsidRPr="0078036E" w14:paraId="00EE4F98" w14:textId="77777777" w:rsidTr="0049031D">
        <w:trPr>
          <w:trHeight w:val="20"/>
          <w:jc w:val="center"/>
        </w:trPr>
        <w:tc>
          <w:tcPr>
            <w:tcW w:w="421" w:type="dxa"/>
            <w:vAlign w:val="center"/>
            <w:hideMark/>
          </w:tcPr>
          <w:p w14:paraId="245303D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w:t>
            </w:r>
          </w:p>
        </w:tc>
        <w:tc>
          <w:tcPr>
            <w:tcW w:w="1391" w:type="dxa"/>
            <w:vAlign w:val="center"/>
            <w:hideMark/>
          </w:tcPr>
          <w:p w14:paraId="1FC5FF55"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Kerala</w:t>
            </w:r>
          </w:p>
        </w:tc>
        <w:tc>
          <w:tcPr>
            <w:tcW w:w="978" w:type="dxa"/>
            <w:vAlign w:val="center"/>
            <w:hideMark/>
          </w:tcPr>
          <w:p w14:paraId="09E11F4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406.30</w:t>
            </w:r>
          </w:p>
        </w:tc>
        <w:tc>
          <w:tcPr>
            <w:tcW w:w="976" w:type="dxa"/>
            <w:vAlign w:val="center"/>
            <w:hideMark/>
          </w:tcPr>
          <w:p w14:paraId="1C79672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424.58</w:t>
            </w:r>
          </w:p>
        </w:tc>
        <w:tc>
          <w:tcPr>
            <w:tcW w:w="1073" w:type="dxa"/>
            <w:vAlign w:val="center"/>
            <w:hideMark/>
          </w:tcPr>
          <w:p w14:paraId="7877B2E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443.68</w:t>
            </w:r>
          </w:p>
        </w:tc>
        <w:tc>
          <w:tcPr>
            <w:tcW w:w="1073" w:type="dxa"/>
            <w:vAlign w:val="center"/>
            <w:hideMark/>
          </w:tcPr>
          <w:p w14:paraId="2318849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463.63</w:t>
            </w:r>
          </w:p>
        </w:tc>
        <w:tc>
          <w:tcPr>
            <w:tcW w:w="979" w:type="dxa"/>
            <w:vAlign w:val="center"/>
            <w:hideMark/>
          </w:tcPr>
          <w:p w14:paraId="7EA47CB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484.49</w:t>
            </w:r>
          </w:p>
        </w:tc>
        <w:tc>
          <w:tcPr>
            <w:tcW w:w="979" w:type="dxa"/>
            <w:vAlign w:val="center"/>
            <w:hideMark/>
          </w:tcPr>
          <w:p w14:paraId="0752224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506.28</w:t>
            </w:r>
          </w:p>
        </w:tc>
        <w:tc>
          <w:tcPr>
            <w:tcW w:w="1056" w:type="dxa"/>
            <w:vAlign w:val="center"/>
            <w:hideMark/>
          </w:tcPr>
          <w:p w14:paraId="74F89EB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2322.66</w:t>
            </w:r>
          </w:p>
        </w:tc>
      </w:tr>
      <w:tr w:rsidR="009775CB" w:rsidRPr="0078036E" w14:paraId="1585590A" w14:textId="77777777" w:rsidTr="0049031D">
        <w:trPr>
          <w:trHeight w:val="20"/>
          <w:jc w:val="center"/>
        </w:trPr>
        <w:tc>
          <w:tcPr>
            <w:tcW w:w="421" w:type="dxa"/>
            <w:vAlign w:val="center"/>
            <w:hideMark/>
          </w:tcPr>
          <w:p w14:paraId="51701DC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w:t>
            </w:r>
          </w:p>
        </w:tc>
        <w:tc>
          <w:tcPr>
            <w:tcW w:w="1391" w:type="dxa"/>
            <w:vAlign w:val="center"/>
            <w:hideMark/>
          </w:tcPr>
          <w:p w14:paraId="553472C1"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Madhya Pradesh</w:t>
            </w:r>
          </w:p>
        </w:tc>
        <w:tc>
          <w:tcPr>
            <w:tcW w:w="978" w:type="dxa"/>
            <w:vAlign w:val="center"/>
            <w:hideMark/>
          </w:tcPr>
          <w:p w14:paraId="5823324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696.42</w:t>
            </w:r>
          </w:p>
        </w:tc>
        <w:tc>
          <w:tcPr>
            <w:tcW w:w="976" w:type="dxa"/>
            <w:vAlign w:val="center"/>
            <w:hideMark/>
          </w:tcPr>
          <w:p w14:paraId="594C914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741.32</w:t>
            </w:r>
          </w:p>
        </w:tc>
        <w:tc>
          <w:tcPr>
            <w:tcW w:w="1073" w:type="dxa"/>
            <w:vAlign w:val="center"/>
            <w:hideMark/>
          </w:tcPr>
          <w:p w14:paraId="696F2A0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789.12</w:t>
            </w:r>
          </w:p>
        </w:tc>
        <w:tc>
          <w:tcPr>
            <w:tcW w:w="1073" w:type="dxa"/>
            <w:vAlign w:val="center"/>
            <w:hideMark/>
          </w:tcPr>
          <w:p w14:paraId="68AD81A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839.99</w:t>
            </w:r>
          </w:p>
        </w:tc>
        <w:tc>
          <w:tcPr>
            <w:tcW w:w="979" w:type="dxa"/>
            <w:vAlign w:val="center"/>
            <w:hideMark/>
          </w:tcPr>
          <w:p w14:paraId="6353B55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894.15</w:t>
            </w:r>
          </w:p>
        </w:tc>
        <w:tc>
          <w:tcPr>
            <w:tcW w:w="979" w:type="dxa"/>
            <w:vAlign w:val="center"/>
            <w:hideMark/>
          </w:tcPr>
          <w:p w14:paraId="1D60A3F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951.79</w:t>
            </w:r>
          </w:p>
        </w:tc>
        <w:tc>
          <w:tcPr>
            <w:tcW w:w="1056" w:type="dxa"/>
            <w:vAlign w:val="center"/>
            <w:hideMark/>
          </w:tcPr>
          <w:p w14:paraId="1F803BD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4216.37</w:t>
            </w:r>
          </w:p>
        </w:tc>
      </w:tr>
      <w:tr w:rsidR="009775CB" w:rsidRPr="0078036E" w14:paraId="2FCA488C" w14:textId="77777777" w:rsidTr="0049031D">
        <w:trPr>
          <w:trHeight w:val="20"/>
          <w:jc w:val="center"/>
        </w:trPr>
        <w:tc>
          <w:tcPr>
            <w:tcW w:w="421" w:type="dxa"/>
            <w:vAlign w:val="center"/>
            <w:hideMark/>
          </w:tcPr>
          <w:p w14:paraId="37B5A09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w:t>
            </w:r>
          </w:p>
        </w:tc>
        <w:tc>
          <w:tcPr>
            <w:tcW w:w="1391" w:type="dxa"/>
            <w:vAlign w:val="center"/>
            <w:hideMark/>
          </w:tcPr>
          <w:p w14:paraId="4DDF618E"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Maharashtra</w:t>
            </w:r>
          </w:p>
        </w:tc>
        <w:tc>
          <w:tcPr>
            <w:tcW w:w="978" w:type="dxa"/>
            <w:vAlign w:val="center"/>
            <w:hideMark/>
          </w:tcPr>
          <w:p w14:paraId="0DAE591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819.80</w:t>
            </w:r>
          </w:p>
        </w:tc>
        <w:tc>
          <w:tcPr>
            <w:tcW w:w="976" w:type="dxa"/>
            <w:vAlign w:val="center"/>
            <w:hideMark/>
          </w:tcPr>
          <w:p w14:paraId="749D367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865.18</w:t>
            </w:r>
          </w:p>
        </w:tc>
        <w:tc>
          <w:tcPr>
            <w:tcW w:w="1073" w:type="dxa"/>
            <w:vAlign w:val="center"/>
            <w:hideMark/>
          </w:tcPr>
          <w:p w14:paraId="4E3ECB3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913.07</w:t>
            </w:r>
          </w:p>
        </w:tc>
        <w:tc>
          <w:tcPr>
            <w:tcW w:w="1073" w:type="dxa"/>
            <w:vAlign w:val="center"/>
            <w:hideMark/>
          </w:tcPr>
          <w:p w14:paraId="5A06FD7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963.61</w:t>
            </w:r>
          </w:p>
        </w:tc>
        <w:tc>
          <w:tcPr>
            <w:tcW w:w="979" w:type="dxa"/>
            <w:vAlign w:val="center"/>
            <w:hideMark/>
          </w:tcPr>
          <w:p w14:paraId="5937453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1016.95</w:t>
            </w:r>
          </w:p>
        </w:tc>
        <w:tc>
          <w:tcPr>
            <w:tcW w:w="979" w:type="dxa"/>
            <w:vAlign w:val="center"/>
            <w:hideMark/>
          </w:tcPr>
          <w:p w14:paraId="3867B15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1073.24</w:t>
            </w:r>
          </w:p>
        </w:tc>
        <w:tc>
          <w:tcPr>
            <w:tcW w:w="1056" w:type="dxa"/>
            <w:vAlign w:val="center"/>
            <w:hideMark/>
          </w:tcPr>
          <w:p w14:paraId="7D0B265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4832.04</w:t>
            </w:r>
          </w:p>
        </w:tc>
      </w:tr>
      <w:tr w:rsidR="009775CB" w:rsidRPr="0078036E" w14:paraId="1011AE52" w14:textId="77777777" w:rsidTr="0049031D">
        <w:trPr>
          <w:trHeight w:val="20"/>
          <w:jc w:val="center"/>
        </w:trPr>
        <w:tc>
          <w:tcPr>
            <w:tcW w:w="421" w:type="dxa"/>
            <w:vAlign w:val="center"/>
            <w:hideMark/>
          </w:tcPr>
          <w:p w14:paraId="7E4DE93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w:t>
            </w:r>
          </w:p>
        </w:tc>
        <w:tc>
          <w:tcPr>
            <w:tcW w:w="1391" w:type="dxa"/>
            <w:vAlign w:val="center"/>
            <w:hideMark/>
          </w:tcPr>
          <w:p w14:paraId="0DF8D254"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Orissa</w:t>
            </w:r>
          </w:p>
        </w:tc>
        <w:tc>
          <w:tcPr>
            <w:tcW w:w="978" w:type="dxa"/>
            <w:vAlign w:val="center"/>
            <w:hideMark/>
          </w:tcPr>
          <w:p w14:paraId="1DA990F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363.67</w:t>
            </w:r>
          </w:p>
        </w:tc>
        <w:tc>
          <w:tcPr>
            <w:tcW w:w="976" w:type="dxa"/>
            <w:vAlign w:val="center"/>
            <w:hideMark/>
          </w:tcPr>
          <w:p w14:paraId="0D2C4E1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395.13</w:t>
            </w:r>
          </w:p>
        </w:tc>
        <w:tc>
          <w:tcPr>
            <w:tcW w:w="1073" w:type="dxa"/>
            <w:vAlign w:val="center"/>
            <w:hideMark/>
          </w:tcPr>
          <w:p w14:paraId="77BDB9A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429.31</w:t>
            </w:r>
          </w:p>
        </w:tc>
        <w:tc>
          <w:tcPr>
            <w:tcW w:w="1073" w:type="dxa"/>
            <w:vAlign w:val="center"/>
            <w:hideMark/>
          </w:tcPr>
          <w:p w14:paraId="4489077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466.44</w:t>
            </w:r>
          </w:p>
        </w:tc>
        <w:tc>
          <w:tcPr>
            <w:tcW w:w="979" w:type="dxa"/>
            <w:vAlign w:val="center"/>
            <w:hideMark/>
          </w:tcPr>
          <w:p w14:paraId="57EFAC4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506.79</w:t>
            </w:r>
          </w:p>
        </w:tc>
        <w:tc>
          <w:tcPr>
            <w:tcW w:w="979" w:type="dxa"/>
            <w:vAlign w:val="center"/>
            <w:hideMark/>
          </w:tcPr>
          <w:p w14:paraId="20B20AE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550.63</w:t>
            </w:r>
          </w:p>
        </w:tc>
        <w:tc>
          <w:tcPr>
            <w:tcW w:w="1056" w:type="dxa"/>
            <w:vAlign w:val="center"/>
            <w:hideMark/>
          </w:tcPr>
          <w:p w14:paraId="6958D5D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2348.30</w:t>
            </w:r>
          </w:p>
        </w:tc>
      </w:tr>
      <w:tr w:rsidR="009775CB" w:rsidRPr="0078036E" w14:paraId="516888F2" w14:textId="77777777" w:rsidTr="0049031D">
        <w:trPr>
          <w:trHeight w:val="20"/>
          <w:jc w:val="center"/>
        </w:trPr>
        <w:tc>
          <w:tcPr>
            <w:tcW w:w="421" w:type="dxa"/>
            <w:vAlign w:val="center"/>
            <w:hideMark/>
          </w:tcPr>
          <w:p w14:paraId="11593F42"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10</w:t>
            </w:r>
          </w:p>
        </w:tc>
        <w:tc>
          <w:tcPr>
            <w:tcW w:w="1391" w:type="dxa"/>
            <w:vAlign w:val="center"/>
            <w:hideMark/>
          </w:tcPr>
          <w:p w14:paraId="27DC74AF"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Punjab</w:t>
            </w:r>
          </w:p>
        </w:tc>
        <w:tc>
          <w:tcPr>
            <w:tcW w:w="978" w:type="dxa"/>
            <w:vAlign w:val="center"/>
            <w:hideMark/>
          </w:tcPr>
          <w:p w14:paraId="4F752FC5"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402.20</w:t>
            </w:r>
          </w:p>
        </w:tc>
        <w:tc>
          <w:tcPr>
            <w:tcW w:w="976" w:type="dxa"/>
            <w:vAlign w:val="center"/>
            <w:hideMark/>
          </w:tcPr>
          <w:p w14:paraId="5DB67C5F"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375.24</w:t>
            </w:r>
          </w:p>
        </w:tc>
        <w:tc>
          <w:tcPr>
            <w:tcW w:w="1073" w:type="dxa"/>
            <w:vAlign w:val="center"/>
            <w:hideMark/>
          </w:tcPr>
          <w:p w14:paraId="3CCE2041"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350.09</w:t>
            </w:r>
          </w:p>
        </w:tc>
        <w:tc>
          <w:tcPr>
            <w:tcW w:w="1073" w:type="dxa"/>
            <w:vAlign w:val="center"/>
            <w:hideMark/>
          </w:tcPr>
          <w:p w14:paraId="4AB82BFD"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326.63</w:t>
            </w:r>
          </w:p>
        </w:tc>
        <w:tc>
          <w:tcPr>
            <w:tcW w:w="979" w:type="dxa"/>
            <w:vAlign w:val="center"/>
            <w:hideMark/>
          </w:tcPr>
          <w:p w14:paraId="167C629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304.74</w:t>
            </w:r>
          </w:p>
        </w:tc>
        <w:tc>
          <w:tcPr>
            <w:tcW w:w="979" w:type="dxa"/>
            <w:vAlign w:val="center"/>
            <w:hideMark/>
          </w:tcPr>
          <w:p w14:paraId="3CDF71A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284.31</w:t>
            </w:r>
          </w:p>
        </w:tc>
        <w:tc>
          <w:tcPr>
            <w:tcW w:w="1056" w:type="dxa"/>
            <w:vAlign w:val="center"/>
            <w:hideMark/>
          </w:tcPr>
          <w:p w14:paraId="631901D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1641.01</w:t>
            </w:r>
          </w:p>
        </w:tc>
      </w:tr>
      <w:tr w:rsidR="009775CB" w:rsidRPr="0078036E" w14:paraId="62122739" w14:textId="77777777" w:rsidTr="0049031D">
        <w:trPr>
          <w:trHeight w:val="20"/>
          <w:jc w:val="center"/>
        </w:trPr>
        <w:tc>
          <w:tcPr>
            <w:tcW w:w="421" w:type="dxa"/>
            <w:vAlign w:val="center"/>
            <w:hideMark/>
          </w:tcPr>
          <w:p w14:paraId="325A7EB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11</w:t>
            </w:r>
          </w:p>
        </w:tc>
        <w:tc>
          <w:tcPr>
            <w:tcW w:w="1391" w:type="dxa"/>
            <w:vAlign w:val="center"/>
            <w:hideMark/>
          </w:tcPr>
          <w:p w14:paraId="54BBDAF1"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Rajasthan</w:t>
            </w:r>
          </w:p>
        </w:tc>
        <w:tc>
          <w:tcPr>
            <w:tcW w:w="978" w:type="dxa"/>
            <w:vAlign w:val="center"/>
            <w:hideMark/>
          </w:tcPr>
          <w:p w14:paraId="45CB2CB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500.58</w:t>
            </w:r>
          </w:p>
        </w:tc>
        <w:tc>
          <w:tcPr>
            <w:tcW w:w="976" w:type="dxa"/>
            <w:vAlign w:val="center"/>
            <w:hideMark/>
          </w:tcPr>
          <w:p w14:paraId="1E7E2D5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549.10</w:t>
            </w:r>
          </w:p>
        </w:tc>
        <w:tc>
          <w:tcPr>
            <w:tcW w:w="1073" w:type="dxa"/>
            <w:vAlign w:val="center"/>
            <w:hideMark/>
          </w:tcPr>
          <w:p w14:paraId="699D1394"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602.33</w:t>
            </w:r>
          </w:p>
        </w:tc>
        <w:tc>
          <w:tcPr>
            <w:tcW w:w="1073" w:type="dxa"/>
            <w:vAlign w:val="center"/>
            <w:hideMark/>
          </w:tcPr>
          <w:p w14:paraId="4A04F37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660.72</w:t>
            </w:r>
          </w:p>
        </w:tc>
        <w:tc>
          <w:tcPr>
            <w:tcW w:w="979" w:type="dxa"/>
            <w:vAlign w:val="center"/>
            <w:hideMark/>
          </w:tcPr>
          <w:p w14:paraId="3AFD599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724.77</w:t>
            </w:r>
          </w:p>
        </w:tc>
        <w:tc>
          <w:tcPr>
            <w:tcW w:w="979" w:type="dxa"/>
            <w:vAlign w:val="center"/>
            <w:hideMark/>
          </w:tcPr>
          <w:p w14:paraId="2462367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795.03</w:t>
            </w:r>
          </w:p>
        </w:tc>
        <w:tc>
          <w:tcPr>
            <w:tcW w:w="1056" w:type="dxa"/>
            <w:vAlign w:val="center"/>
            <w:hideMark/>
          </w:tcPr>
          <w:p w14:paraId="66D059C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3331.95</w:t>
            </w:r>
          </w:p>
        </w:tc>
      </w:tr>
      <w:tr w:rsidR="009775CB" w:rsidRPr="0078036E" w14:paraId="504306BC" w14:textId="77777777" w:rsidTr="0049031D">
        <w:trPr>
          <w:trHeight w:val="20"/>
          <w:jc w:val="center"/>
        </w:trPr>
        <w:tc>
          <w:tcPr>
            <w:tcW w:w="421" w:type="dxa"/>
            <w:vAlign w:val="center"/>
            <w:hideMark/>
          </w:tcPr>
          <w:p w14:paraId="6D77AB6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12</w:t>
            </w:r>
          </w:p>
        </w:tc>
        <w:tc>
          <w:tcPr>
            <w:tcW w:w="1391" w:type="dxa"/>
            <w:vAlign w:val="center"/>
            <w:hideMark/>
          </w:tcPr>
          <w:p w14:paraId="22F80F6D"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Tamil Nadu</w:t>
            </w:r>
          </w:p>
        </w:tc>
        <w:tc>
          <w:tcPr>
            <w:tcW w:w="978" w:type="dxa"/>
            <w:vAlign w:val="center"/>
            <w:hideMark/>
          </w:tcPr>
          <w:p w14:paraId="21747D4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547.63</w:t>
            </w:r>
          </w:p>
        </w:tc>
        <w:tc>
          <w:tcPr>
            <w:tcW w:w="976" w:type="dxa"/>
            <w:vAlign w:val="center"/>
            <w:hideMark/>
          </w:tcPr>
          <w:p w14:paraId="0CF6B482"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599.39</w:t>
            </w:r>
          </w:p>
        </w:tc>
        <w:tc>
          <w:tcPr>
            <w:tcW w:w="1073" w:type="dxa"/>
            <w:vAlign w:val="center"/>
            <w:hideMark/>
          </w:tcPr>
          <w:p w14:paraId="6F779D0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656.04</w:t>
            </w:r>
          </w:p>
        </w:tc>
        <w:tc>
          <w:tcPr>
            <w:tcW w:w="1073" w:type="dxa"/>
            <w:vAlign w:val="center"/>
            <w:hideMark/>
          </w:tcPr>
          <w:p w14:paraId="5AD0833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718.06</w:t>
            </w:r>
          </w:p>
        </w:tc>
        <w:tc>
          <w:tcPr>
            <w:tcW w:w="979" w:type="dxa"/>
            <w:vAlign w:val="center"/>
            <w:hideMark/>
          </w:tcPr>
          <w:p w14:paraId="0C46B51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785.93</w:t>
            </w:r>
          </w:p>
        </w:tc>
        <w:tc>
          <w:tcPr>
            <w:tcW w:w="979" w:type="dxa"/>
            <w:vAlign w:val="center"/>
            <w:hideMark/>
          </w:tcPr>
          <w:p w14:paraId="0F9EF51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860.22</w:t>
            </w:r>
          </w:p>
        </w:tc>
        <w:tc>
          <w:tcPr>
            <w:tcW w:w="1056" w:type="dxa"/>
            <w:vAlign w:val="center"/>
            <w:hideMark/>
          </w:tcPr>
          <w:p w14:paraId="602D9892"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3619.63</w:t>
            </w:r>
          </w:p>
        </w:tc>
      </w:tr>
      <w:tr w:rsidR="009775CB" w:rsidRPr="0078036E" w14:paraId="7BFC3F27" w14:textId="77777777" w:rsidTr="0049031D">
        <w:trPr>
          <w:trHeight w:val="20"/>
          <w:jc w:val="center"/>
        </w:trPr>
        <w:tc>
          <w:tcPr>
            <w:tcW w:w="421" w:type="dxa"/>
            <w:vAlign w:val="center"/>
            <w:hideMark/>
          </w:tcPr>
          <w:p w14:paraId="36663124"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13</w:t>
            </w:r>
          </w:p>
        </w:tc>
        <w:tc>
          <w:tcPr>
            <w:tcW w:w="1391" w:type="dxa"/>
            <w:vAlign w:val="center"/>
            <w:hideMark/>
          </w:tcPr>
          <w:p w14:paraId="0977F990"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Uttar Pradesh</w:t>
            </w:r>
          </w:p>
        </w:tc>
        <w:tc>
          <w:tcPr>
            <w:tcW w:w="978" w:type="dxa"/>
            <w:vAlign w:val="center"/>
            <w:hideMark/>
          </w:tcPr>
          <w:p w14:paraId="5AADC7B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1310.01</w:t>
            </w:r>
          </w:p>
        </w:tc>
        <w:tc>
          <w:tcPr>
            <w:tcW w:w="976" w:type="dxa"/>
            <w:vAlign w:val="center"/>
            <w:hideMark/>
          </w:tcPr>
          <w:p w14:paraId="57D4102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1459.94</w:t>
            </w:r>
          </w:p>
        </w:tc>
        <w:tc>
          <w:tcPr>
            <w:tcW w:w="1073" w:type="dxa"/>
            <w:vAlign w:val="center"/>
            <w:hideMark/>
          </w:tcPr>
          <w:p w14:paraId="7D7D4D82"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1627.02</w:t>
            </w:r>
          </w:p>
        </w:tc>
        <w:tc>
          <w:tcPr>
            <w:tcW w:w="1073" w:type="dxa"/>
            <w:vAlign w:val="center"/>
            <w:hideMark/>
          </w:tcPr>
          <w:p w14:paraId="4B137926"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1813.23</w:t>
            </w:r>
          </w:p>
        </w:tc>
        <w:tc>
          <w:tcPr>
            <w:tcW w:w="979" w:type="dxa"/>
            <w:vAlign w:val="center"/>
            <w:hideMark/>
          </w:tcPr>
          <w:p w14:paraId="451B89A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2020.76</w:t>
            </w:r>
          </w:p>
        </w:tc>
        <w:tc>
          <w:tcPr>
            <w:tcW w:w="979" w:type="dxa"/>
            <w:vAlign w:val="center"/>
            <w:hideMark/>
          </w:tcPr>
          <w:p w14:paraId="4C7BFC1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2252.03</w:t>
            </w:r>
          </w:p>
        </w:tc>
        <w:tc>
          <w:tcPr>
            <w:tcW w:w="1056" w:type="dxa"/>
            <w:vAlign w:val="center"/>
            <w:hideMark/>
          </w:tcPr>
          <w:p w14:paraId="4B83024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9172.98</w:t>
            </w:r>
          </w:p>
        </w:tc>
      </w:tr>
      <w:tr w:rsidR="009775CB" w:rsidRPr="0078036E" w14:paraId="277692AF" w14:textId="77777777" w:rsidTr="0049031D">
        <w:trPr>
          <w:trHeight w:val="20"/>
          <w:jc w:val="center"/>
        </w:trPr>
        <w:tc>
          <w:tcPr>
            <w:tcW w:w="421" w:type="dxa"/>
            <w:vAlign w:val="center"/>
            <w:hideMark/>
          </w:tcPr>
          <w:p w14:paraId="170FACB0"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14</w:t>
            </w:r>
          </w:p>
        </w:tc>
        <w:tc>
          <w:tcPr>
            <w:tcW w:w="1391" w:type="dxa"/>
            <w:vAlign w:val="center"/>
            <w:hideMark/>
          </w:tcPr>
          <w:p w14:paraId="4F60969B"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sz w:val="16"/>
                <w:szCs w:val="16"/>
              </w:rPr>
              <w:t>West Bengal</w:t>
            </w:r>
          </w:p>
        </w:tc>
        <w:tc>
          <w:tcPr>
            <w:tcW w:w="978" w:type="dxa"/>
            <w:vAlign w:val="center"/>
            <w:hideMark/>
          </w:tcPr>
          <w:p w14:paraId="477E9AC4"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541.62</w:t>
            </w:r>
          </w:p>
        </w:tc>
        <w:tc>
          <w:tcPr>
            <w:tcW w:w="976" w:type="dxa"/>
            <w:vAlign w:val="center"/>
            <w:hideMark/>
          </w:tcPr>
          <w:p w14:paraId="5F041E9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607.91</w:t>
            </w:r>
          </w:p>
        </w:tc>
        <w:tc>
          <w:tcPr>
            <w:tcW w:w="1073" w:type="dxa"/>
            <w:vAlign w:val="center"/>
            <w:hideMark/>
          </w:tcPr>
          <w:p w14:paraId="3C16EC23"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682.32</w:t>
            </w:r>
          </w:p>
        </w:tc>
        <w:tc>
          <w:tcPr>
            <w:tcW w:w="1073" w:type="dxa"/>
            <w:vAlign w:val="center"/>
            <w:hideMark/>
          </w:tcPr>
          <w:p w14:paraId="566DCDA9"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765.84</w:t>
            </w:r>
          </w:p>
        </w:tc>
        <w:tc>
          <w:tcPr>
            <w:tcW w:w="979" w:type="dxa"/>
            <w:vAlign w:val="center"/>
            <w:hideMark/>
          </w:tcPr>
          <w:p w14:paraId="4D77A928"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859.58</w:t>
            </w:r>
          </w:p>
        </w:tc>
        <w:tc>
          <w:tcPr>
            <w:tcW w:w="979" w:type="dxa"/>
            <w:vAlign w:val="center"/>
            <w:hideMark/>
          </w:tcPr>
          <w:p w14:paraId="02A1386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964.79</w:t>
            </w:r>
          </w:p>
        </w:tc>
        <w:tc>
          <w:tcPr>
            <w:tcW w:w="1056" w:type="dxa"/>
            <w:vAlign w:val="center"/>
            <w:hideMark/>
          </w:tcPr>
          <w:p w14:paraId="7DFE7FB7"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sz w:val="16"/>
                <w:szCs w:val="16"/>
              </w:rPr>
              <w:t>3880.44</w:t>
            </w:r>
          </w:p>
        </w:tc>
      </w:tr>
      <w:tr w:rsidR="009775CB" w:rsidRPr="0078036E" w14:paraId="239DED1C" w14:textId="77777777" w:rsidTr="0049031D">
        <w:trPr>
          <w:trHeight w:val="20"/>
          <w:jc w:val="center"/>
        </w:trPr>
        <w:tc>
          <w:tcPr>
            <w:tcW w:w="421" w:type="dxa"/>
            <w:vAlign w:val="center"/>
            <w:hideMark/>
          </w:tcPr>
          <w:p w14:paraId="0AE61014"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14</w:t>
            </w:r>
          </w:p>
        </w:tc>
        <w:tc>
          <w:tcPr>
            <w:tcW w:w="1391" w:type="dxa"/>
            <w:vAlign w:val="center"/>
            <w:hideMark/>
          </w:tcPr>
          <w:p w14:paraId="37039433" w14:textId="77777777" w:rsidR="00294D85" w:rsidRPr="0078036E" w:rsidRDefault="00294D85" w:rsidP="00DF6987">
            <w:pPr>
              <w:spacing w:line="278" w:lineRule="auto"/>
              <w:rPr>
                <w:rFonts w:ascii="Times New Roman" w:hAnsi="Times New Roman" w:cs="Times New Roman"/>
                <w:sz w:val="16"/>
                <w:szCs w:val="16"/>
              </w:rPr>
            </w:pPr>
            <w:r w:rsidRPr="0078036E">
              <w:rPr>
                <w:rFonts w:ascii="Times New Roman" w:hAnsi="Times New Roman" w:cs="Times New Roman"/>
                <w:b/>
                <w:bCs/>
                <w:sz w:val="16"/>
                <w:szCs w:val="16"/>
              </w:rPr>
              <w:t>Major States</w:t>
            </w:r>
          </w:p>
        </w:tc>
        <w:tc>
          <w:tcPr>
            <w:tcW w:w="978" w:type="dxa"/>
            <w:vAlign w:val="center"/>
            <w:hideMark/>
          </w:tcPr>
          <w:p w14:paraId="1F594691"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8577.07</w:t>
            </w:r>
          </w:p>
        </w:tc>
        <w:tc>
          <w:tcPr>
            <w:tcW w:w="976" w:type="dxa"/>
            <w:vAlign w:val="center"/>
            <w:hideMark/>
          </w:tcPr>
          <w:p w14:paraId="3EF4DA94"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9150.48</w:t>
            </w:r>
          </w:p>
        </w:tc>
        <w:tc>
          <w:tcPr>
            <w:tcW w:w="1073" w:type="dxa"/>
            <w:vAlign w:val="center"/>
            <w:hideMark/>
          </w:tcPr>
          <w:p w14:paraId="5272388E"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9782.28</w:t>
            </w:r>
          </w:p>
        </w:tc>
        <w:tc>
          <w:tcPr>
            <w:tcW w:w="1073" w:type="dxa"/>
            <w:vAlign w:val="center"/>
            <w:hideMark/>
          </w:tcPr>
          <w:p w14:paraId="02F082CC"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10477.88</w:t>
            </w:r>
          </w:p>
        </w:tc>
        <w:tc>
          <w:tcPr>
            <w:tcW w:w="979" w:type="dxa"/>
            <w:vAlign w:val="center"/>
            <w:hideMark/>
          </w:tcPr>
          <w:p w14:paraId="5FD66C1A"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11243.27</w:t>
            </w:r>
          </w:p>
        </w:tc>
        <w:tc>
          <w:tcPr>
            <w:tcW w:w="979" w:type="dxa"/>
            <w:vAlign w:val="center"/>
            <w:hideMark/>
          </w:tcPr>
          <w:p w14:paraId="3FFE10CB"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12085.11</w:t>
            </w:r>
          </w:p>
        </w:tc>
        <w:tc>
          <w:tcPr>
            <w:tcW w:w="1056" w:type="dxa"/>
            <w:vAlign w:val="center"/>
            <w:hideMark/>
          </w:tcPr>
          <w:p w14:paraId="10D70315" w14:textId="77777777" w:rsidR="00294D85" w:rsidRPr="0078036E" w:rsidRDefault="00294D85" w:rsidP="00DF6987">
            <w:pPr>
              <w:spacing w:line="278" w:lineRule="auto"/>
              <w:jc w:val="center"/>
              <w:rPr>
                <w:rFonts w:ascii="Times New Roman" w:hAnsi="Times New Roman" w:cs="Times New Roman"/>
                <w:sz w:val="16"/>
                <w:szCs w:val="16"/>
              </w:rPr>
            </w:pPr>
            <w:r w:rsidRPr="0078036E">
              <w:rPr>
                <w:rFonts w:ascii="Times New Roman" w:hAnsi="Times New Roman" w:cs="Times New Roman"/>
                <w:b/>
                <w:bCs/>
                <w:sz w:val="16"/>
                <w:szCs w:val="16"/>
              </w:rPr>
              <w:t>52739.03</w:t>
            </w:r>
          </w:p>
        </w:tc>
      </w:tr>
      <w:tr w:rsidR="00E0484A" w:rsidRPr="0078036E" w14:paraId="52FC43EE" w14:textId="77777777" w:rsidTr="005F37E7">
        <w:trPr>
          <w:trHeight w:val="20"/>
          <w:jc w:val="center"/>
        </w:trPr>
        <w:tc>
          <w:tcPr>
            <w:tcW w:w="8926" w:type="dxa"/>
            <w:gridSpan w:val="9"/>
            <w:vAlign w:val="center"/>
          </w:tcPr>
          <w:p w14:paraId="4255070D" w14:textId="1B0EE0A7" w:rsidR="00E0484A" w:rsidRPr="0078036E" w:rsidRDefault="00E0484A" w:rsidP="00DF6987">
            <w:pPr>
              <w:jc w:val="center"/>
              <w:rPr>
                <w:rFonts w:ascii="Times New Roman" w:hAnsi="Times New Roman" w:cs="Times New Roman"/>
                <w:b/>
                <w:bCs/>
                <w:sz w:val="16"/>
                <w:szCs w:val="16"/>
              </w:rPr>
            </w:pPr>
            <w:r w:rsidRPr="0078036E">
              <w:rPr>
                <w:rFonts w:ascii="Times New Roman" w:hAnsi="Times New Roman" w:cs="Times New Roman"/>
                <w:b/>
                <w:bCs/>
                <w:sz w:val="20"/>
                <w:szCs w:val="20"/>
              </w:rPr>
              <w:t>Expenditure Category: Administrative Services</w:t>
            </w:r>
          </w:p>
        </w:tc>
      </w:tr>
      <w:tr w:rsidR="007A7DCE" w:rsidRPr="0078036E" w14:paraId="4CBCA2C6" w14:textId="77777777" w:rsidTr="0049031D">
        <w:trPr>
          <w:trHeight w:val="20"/>
          <w:jc w:val="center"/>
        </w:trPr>
        <w:tc>
          <w:tcPr>
            <w:tcW w:w="421" w:type="dxa"/>
            <w:vAlign w:val="center"/>
          </w:tcPr>
          <w:p w14:paraId="3F801D91" w14:textId="755EDCDD"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No.</w:t>
            </w:r>
          </w:p>
        </w:tc>
        <w:tc>
          <w:tcPr>
            <w:tcW w:w="1391" w:type="dxa"/>
            <w:vAlign w:val="center"/>
          </w:tcPr>
          <w:p w14:paraId="30FB2948" w14:textId="534BEEB0" w:rsidR="00E0484A" w:rsidRPr="0078036E" w:rsidRDefault="00E0484A" w:rsidP="00E0484A">
            <w:pPr>
              <w:rPr>
                <w:rFonts w:ascii="Times New Roman" w:hAnsi="Times New Roman" w:cs="Times New Roman"/>
                <w:b/>
                <w:bCs/>
                <w:sz w:val="16"/>
                <w:szCs w:val="16"/>
              </w:rPr>
            </w:pPr>
            <w:r w:rsidRPr="0078036E">
              <w:rPr>
                <w:rFonts w:ascii="Times New Roman" w:hAnsi="Times New Roman" w:cs="Times New Roman"/>
                <w:b/>
                <w:bCs/>
                <w:sz w:val="16"/>
                <w:szCs w:val="16"/>
              </w:rPr>
              <w:t>State</w:t>
            </w:r>
          </w:p>
        </w:tc>
        <w:tc>
          <w:tcPr>
            <w:tcW w:w="978" w:type="dxa"/>
            <w:vAlign w:val="center"/>
          </w:tcPr>
          <w:p w14:paraId="2E6B6E52" w14:textId="2310BF10"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1989-90</w:t>
            </w:r>
          </w:p>
        </w:tc>
        <w:tc>
          <w:tcPr>
            <w:tcW w:w="976" w:type="dxa"/>
            <w:vAlign w:val="center"/>
          </w:tcPr>
          <w:p w14:paraId="6A741E59" w14:textId="547E9C95"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1990-91</w:t>
            </w:r>
          </w:p>
        </w:tc>
        <w:tc>
          <w:tcPr>
            <w:tcW w:w="1073" w:type="dxa"/>
            <w:vAlign w:val="center"/>
          </w:tcPr>
          <w:p w14:paraId="03BD1F04" w14:textId="1849DCD1"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1991-92</w:t>
            </w:r>
          </w:p>
        </w:tc>
        <w:tc>
          <w:tcPr>
            <w:tcW w:w="1073" w:type="dxa"/>
            <w:vAlign w:val="center"/>
          </w:tcPr>
          <w:p w14:paraId="095B9866" w14:textId="64A90BD9"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1992-93</w:t>
            </w:r>
          </w:p>
        </w:tc>
        <w:tc>
          <w:tcPr>
            <w:tcW w:w="979" w:type="dxa"/>
            <w:vAlign w:val="center"/>
          </w:tcPr>
          <w:p w14:paraId="19F24086" w14:textId="44388070"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1993-94</w:t>
            </w:r>
          </w:p>
        </w:tc>
        <w:tc>
          <w:tcPr>
            <w:tcW w:w="979" w:type="dxa"/>
            <w:vAlign w:val="center"/>
          </w:tcPr>
          <w:p w14:paraId="7DA20262" w14:textId="46A42526"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1994-95</w:t>
            </w:r>
          </w:p>
        </w:tc>
        <w:tc>
          <w:tcPr>
            <w:tcW w:w="1056" w:type="dxa"/>
            <w:vAlign w:val="center"/>
          </w:tcPr>
          <w:p w14:paraId="4B426229" w14:textId="22320231"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b/>
                <w:bCs/>
                <w:sz w:val="16"/>
                <w:szCs w:val="16"/>
              </w:rPr>
              <w:t>1990-91 to 1994-95</w:t>
            </w:r>
          </w:p>
        </w:tc>
      </w:tr>
      <w:tr w:rsidR="007A7DCE" w:rsidRPr="0078036E" w14:paraId="50071743" w14:textId="77777777" w:rsidTr="0049031D">
        <w:trPr>
          <w:trHeight w:val="20"/>
          <w:jc w:val="center"/>
        </w:trPr>
        <w:tc>
          <w:tcPr>
            <w:tcW w:w="421" w:type="dxa"/>
            <w:vAlign w:val="center"/>
          </w:tcPr>
          <w:p w14:paraId="5ECE21DA" w14:textId="3B1436F0"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1</w:t>
            </w:r>
          </w:p>
        </w:tc>
        <w:tc>
          <w:tcPr>
            <w:tcW w:w="1391" w:type="dxa"/>
            <w:vAlign w:val="center"/>
          </w:tcPr>
          <w:p w14:paraId="24F59119" w14:textId="118C679D" w:rsidR="00E0484A" w:rsidRPr="0078036E" w:rsidRDefault="00E0484A" w:rsidP="00E0484A">
            <w:pPr>
              <w:rPr>
                <w:rFonts w:ascii="Times New Roman" w:hAnsi="Times New Roman" w:cs="Times New Roman"/>
                <w:b/>
                <w:bCs/>
                <w:sz w:val="16"/>
                <w:szCs w:val="16"/>
              </w:rPr>
            </w:pPr>
            <w:r w:rsidRPr="0078036E">
              <w:rPr>
                <w:rFonts w:ascii="Times New Roman" w:hAnsi="Times New Roman" w:cs="Times New Roman"/>
                <w:sz w:val="16"/>
                <w:szCs w:val="16"/>
              </w:rPr>
              <w:t>Andhra Pradesh</w:t>
            </w:r>
          </w:p>
        </w:tc>
        <w:tc>
          <w:tcPr>
            <w:tcW w:w="978" w:type="dxa"/>
            <w:vAlign w:val="center"/>
          </w:tcPr>
          <w:p w14:paraId="7BCC2AF2" w14:textId="526F9E04"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8772.85</w:t>
            </w:r>
          </w:p>
        </w:tc>
        <w:tc>
          <w:tcPr>
            <w:tcW w:w="976" w:type="dxa"/>
            <w:vAlign w:val="center"/>
          </w:tcPr>
          <w:p w14:paraId="62986EF6" w14:textId="1F0DF132"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8921.55</w:t>
            </w:r>
          </w:p>
        </w:tc>
        <w:tc>
          <w:tcPr>
            <w:tcW w:w="1073" w:type="dxa"/>
            <w:vAlign w:val="center"/>
          </w:tcPr>
          <w:p w14:paraId="0CE5C6AF" w14:textId="74EADAA9"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9072.78</w:t>
            </w:r>
          </w:p>
        </w:tc>
        <w:tc>
          <w:tcPr>
            <w:tcW w:w="1073" w:type="dxa"/>
            <w:vAlign w:val="center"/>
          </w:tcPr>
          <w:p w14:paraId="6603EFF4" w14:textId="70D37AE1"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9226.57</w:t>
            </w:r>
          </w:p>
        </w:tc>
        <w:tc>
          <w:tcPr>
            <w:tcW w:w="979" w:type="dxa"/>
            <w:vAlign w:val="center"/>
          </w:tcPr>
          <w:p w14:paraId="40194F50" w14:textId="7C1E02BE"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9382.96</w:t>
            </w:r>
          </w:p>
        </w:tc>
        <w:tc>
          <w:tcPr>
            <w:tcW w:w="979" w:type="dxa"/>
            <w:vAlign w:val="center"/>
          </w:tcPr>
          <w:p w14:paraId="26048A94" w14:textId="265C40B7"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9542.01</w:t>
            </w:r>
          </w:p>
        </w:tc>
        <w:tc>
          <w:tcPr>
            <w:tcW w:w="1056" w:type="dxa"/>
            <w:vAlign w:val="center"/>
          </w:tcPr>
          <w:p w14:paraId="1745136E" w14:textId="3C2B728A" w:rsidR="00E0484A" w:rsidRPr="0078036E" w:rsidRDefault="00E0484A" w:rsidP="00E0484A">
            <w:pPr>
              <w:jc w:val="center"/>
              <w:rPr>
                <w:rFonts w:ascii="Times New Roman" w:hAnsi="Times New Roman" w:cs="Times New Roman"/>
                <w:b/>
                <w:bCs/>
                <w:sz w:val="16"/>
                <w:szCs w:val="16"/>
              </w:rPr>
            </w:pPr>
            <w:r w:rsidRPr="0078036E">
              <w:rPr>
                <w:rFonts w:ascii="Times New Roman" w:hAnsi="Times New Roman" w:cs="Times New Roman"/>
                <w:sz w:val="16"/>
                <w:szCs w:val="16"/>
              </w:rPr>
              <w:t>46145.87</w:t>
            </w:r>
          </w:p>
        </w:tc>
      </w:tr>
      <w:tr w:rsidR="007A7DCE" w:rsidRPr="0078036E" w14:paraId="1E74007C" w14:textId="77777777" w:rsidTr="0049031D">
        <w:trPr>
          <w:trHeight w:val="20"/>
          <w:jc w:val="center"/>
        </w:trPr>
        <w:tc>
          <w:tcPr>
            <w:tcW w:w="421" w:type="dxa"/>
            <w:vAlign w:val="center"/>
          </w:tcPr>
          <w:p w14:paraId="5005BF20" w14:textId="63436A3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w:t>
            </w:r>
          </w:p>
        </w:tc>
        <w:tc>
          <w:tcPr>
            <w:tcW w:w="1391" w:type="dxa"/>
            <w:vAlign w:val="center"/>
          </w:tcPr>
          <w:p w14:paraId="07820EB0" w14:textId="2C4F9428"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Bihar</w:t>
            </w:r>
          </w:p>
        </w:tc>
        <w:tc>
          <w:tcPr>
            <w:tcW w:w="978" w:type="dxa"/>
            <w:vAlign w:val="center"/>
          </w:tcPr>
          <w:p w14:paraId="237A242C" w14:textId="03F38EE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7282.57</w:t>
            </w:r>
          </w:p>
        </w:tc>
        <w:tc>
          <w:tcPr>
            <w:tcW w:w="976" w:type="dxa"/>
            <w:vAlign w:val="center"/>
          </w:tcPr>
          <w:p w14:paraId="1FCA623C" w14:textId="31BD517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8115.03</w:t>
            </w:r>
          </w:p>
        </w:tc>
        <w:tc>
          <w:tcPr>
            <w:tcW w:w="1073" w:type="dxa"/>
            <w:vAlign w:val="center"/>
          </w:tcPr>
          <w:p w14:paraId="32275EC1" w14:textId="46EB022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9042.63</w:t>
            </w:r>
          </w:p>
        </w:tc>
        <w:tc>
          <w:tcPr>
            <w:tcW w:w="1073" w:type="dxa"/>
            <w:vAlign w:val="center"/>
          </w:tcPr>
          <w:p w14:paraId="2B6AEC7A" w14:textId="40BE1CF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10076.27</w:t>
            </w:r>
          </w:p>
        </w:tc>
        <w:tc>
          <w:tcPr>
            <w:tcW w:w="979" w:type="dxa"/>
            <w:vAlign w:val="center"/>
          </w:tcPr>
          <w:p w14:paraId="3FFEE068" w14:textId="5869C2D6"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11228.06</w:t>
            </w:r>
          </w:p>
        </w:tc>
        <w:tc>
          <w:tcPr>
            <w:tcW w:w="979" w:type="dxa"/>
            <w:vAlign w:val="center"/>
          </w:tcPr>
          <w:p w14:paraId="2FF3D8B0" w14:textId="6C6471C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12511.51</w:t>
            </w:r>
          </w:p>
        </w:tc>
        <w:tc>
          <w:tcPr>
            <w:tcW w:w="1056" w:type="dxa"/>
            <w:vAlign w:val="center"/>
          </w:tcPr>
          <w:p w14:paraId="38CCA8C9" w14:textId="646E61B8"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50973.51</w:t>
            </w:r>
          </w:p>
        </w:tc>
      </w:tr>
      <w:tr w:rsidR="007A7DCE" w:rsidRPr="0078036E" w14:paraId="29356114" w14:textId="77777777" w:rsidTr="0049031D">
        <w:trPr>
          <w:trHeight w:val="20"/>
          <w:jc w:val="center"/>
        </w:trPr>
        <w:tc>
          <w:tcPr>
            <w:tcW w:w="421" w:type="dxa"/>
            <w:vAlign w:val="center"/>
          </w:tcPr>
          <w:p w14:paraId="22586B99" w14:textId="7FDA15C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w:t>
            </w:r>
          </w:p>
        </w:tc>
        <w:tc>
          <w:tcPr>
            <w:tcW w:w="1391" w:type="dxa"/>
            <w:vAlign w:val="center"/>
          </w:tcPr>
          <w:p w14:paraId="35248AC7" w14:textId="6C835BFF"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Gujarat</w:t>
            </w:r>
          </w:p>
        </w:tc>
        <w:tc>
          <w:tcPr>
            <w:tcW w:w="978" w:type="dxa"/>
            <w:vAlign w:val="center"/>
          </w:tcPr>
          <w:p w14:paraId="55ECB5A1" w14:textId="066D2FAA"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4108.49</w:t>
            </w:r>
          </w:p>
        </w:tc>
        <w:tc>
          <w:tcPr>
            <w:tcW w:w="976" w:type="dxa"/>
            <w:vAlign w:val="center"/>
          </w:tcPr>
          <w:p w14:paraId="7500CA4F" w14:textId="25CA412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4509.12</w:t>
            </w:r>
          </w:p>
        </w:tc>
        <w:tc>
          <w:tcPr>
            <w:tcW w:w="1073" w:type="dxa"/>
            <w:vAlign w:val="center"/>
          </w:tcPr>
          <w:p w14:paraId="3A5E3D53" w14:textId="5B318DEA"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4948.81</w:t>
            </w:r>
          </w:p>
        </w:tc>
        <w:tc>
          <w:tcPr>
            <w:tcW w:w="1073" w:type="dxa"/>
            <w:vAlign w:val="center"/>
          </w:tcPr>
          <w:p w14:paraId="4C63601C" w14:textId="171E3EA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5431.39</w:t>
            </w:r>
          </w:p>
        </w:tc>
        <w:tc>
          <w:tcPr>
            <w:tcW w:w="979" w:type="dxa"/>
            <w:vAlign w:val="center"/>
          </w:tcPr>
          <w:p w14:paraId="1B6AEC8A" w14:textId="7E571F3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5961.01</w:t>
            </w:r>
          </w:p>
        </w:tc>
        <w:tc>
          <w:tcPr>
            <w:tcW w:w="979" w:type="dxa"/>
            <w:vAlign w:val="center"/>
          </w:tcPr>
          <w:p w14:paraId="70011FDB" w14:textId="6F54FC1C"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6542.29</w:t>
            </w:r>
          </w:p>
        </w:tc>
        <w:tc>
          <w:tcPr>
            <w:tcW w:w="1056" w:type="dxa"/>
            <w:vAlign w:val="center"/>
          </w:tcPr>
          <w:p w14:paraId="762FF776" w14:textId="2A589F8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27392.62</w:t>
            </w:r>
          </w:p>
        </w:tc>
      </w:tr>
      <w:tr w:rsidR="007A7DCE" w:rsidRPr="0078036E" w14:paraId="50AB89D4" w14:textId="77777777" w:rsidTr="0049031D">
        <w:trPr>
          <w:trHeight w:val="20"/>
          <w:jc w:val="center"/>
        </w:trPr>
        <w:tc>
          <w:tcPr>
            <w:tcW w:w="421" w:type="dxa"/>
            <w:vAlign w:val="center"/>
          </w:tcPr>
          <w:p w14:paraId="2DF70E28" w14:textId="5FD36CC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w:t>
            </w:r>
          </w:p>
        </w:tc>
        <w:tc>
          <w:tcPr>
            <w:tcW w:w="1391" w:type="dxa"/>
            <w:vAlign w:val="center"/>
          </w:tcPr>
          <w:p w14:paraId="79E6F184" w14:textId="4D00AAD7"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Haryana</w:t>
            </w:r>
          </w:p>
        </w:tc>
        <w:tc>
          <w:tcPr>
            <w:tcW w:w="978" w:type="dxa"/>
            <w:vAlign w:val="center"/>
          </w:tcPr>
          <w:p w14:paraId="2BCC3EC1" w14:textId="2DA6DBD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1702.27</w:t>
            </w:r>
          </w:p>
        </w:tc>
        <w:tc>
          <w:tcPr>
            <w:tcW w:w="976" w:type="dxa"/>
            <w:vAlign w:val="center"/>
          </w:tcPr>
          <w:p w14:paraId="559037DF" w14:textId="754B8F0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1817.33</w:t>
            </w:r>
          </w:p>
        </w:tc>
        <w:tc>
          <w:tcPr>
            <w:tcW w:w="1073" w:type="dxa"/>
            <w:vAlign w:val="center"/>
          </w:tcPr>
          <w:p w14:paraId="18BC43F9" w14:textId="6EBA0E66"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1940.16</w:t>
            </w:r>
          </w:p>
        </w:tc>
        <w:tc>
          <w:tcPr>
            <w:tcW w:w="1073" w:type="dxa"/>
            <w:vAlign w:val="center"/>
          </w:tcPr>
          <w:p w14:paraId="098878C2" w14:textId="72C754C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2071.29</w:t>
            </w:r>
          </w:p>
        </w:tc>
        <w:tc>
          <w:tcPr>
            <w:tcW w:w="979" w:type="dxa"/>
            <w:vAlign w:val="center"/>
          </w:tcPr>
          <w:p w14:paraId="538D6106" w14:textId="640BCAD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2211.28</w:t>
            </w:r>
          </w:p>
        </w:tc>
        <w:tc>
          <w:tcPr>
            <w:tcW w:w="979" w:type="dxa"/>
            <w:vAlign w:val="center"/>
          </w:tcPr>
          <w:p w14:paraId="71D00602" w14:textId="337108F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2360.74</w:t>
            </w:r>
          </w:p>
        </w:tc>
        <w:tc>
          <w:tcPr>
            <w:tcW w:w="1056" w:type="dxa"/>
            <w:vAlign w:val="center"/>
          </w:tcPr>
          <w:p w14:paraId="54836AF8" w14:textId="1271154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10400.79</w:t>
            </w:r>
          </w:p>
        </w:tc>
      </w:tr>
      <w:tr w:rsidR="007A7DCE" w:rsidRPr="0078036E" w14:paraId="7127CDF4" w14:textId="77777777" w:rsidTr="0049031D">
        <w:trPr>
          <w:trHeight w:val="20"/>
          <w:jc w:val="center"/>
        </w:trPr>
        <w:tc>
          <w:tcPr>
            <w:tcW w:w="421" w:type="dxa"/>
            <w:vAlign w:val="center"/>
          </w:tcPr>
          <w:p w14:paraId="0D0CD555" w14:textId="1F14EFC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w:t>
            </w:r>
          </w:p>
        </w:tc>
        <w:tc>
          <w:tcPr>
            <w:tcW w:w="1391" w:type="dxa"/>
            <w:vAlign w:val="center"/>
          </w:tcPr>
          <w:p w14:paraId="4060E762" w14:textId="013F223A"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Karnataka</w:t>
            </w:r>
          </w:p>
        </w:tc>
        <w:tc>
          <w:tcPr>
            <w:tcW w:w="978" w:type="dxa"/>
            <w:vAlign w:val="center"/>
          </w:tcPr>
          <w:p w14:paraId="60997BB5" w14:textId="6E10AD6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4609.50</w:t>
            </w:r>
          </w:p>
        </w:tc>
        <w:tc>
          <w:tcPr>
            <w:tcW w:w="976" w:type="dxa"/>
            <w:vAlign w:val="center"/>
          </w:tcPr>
          <w:p w14:paraId="7B2BB82D" w14:textId="10D8902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5048.68</w:t>
            </w:r>
          </w:p>
        </w:tc>
        <w:tc>
          <w:tcPr>
            <w:tcW w:w="1073" w:type="dxa"/>
            <w:vAlign w:val="center"/>
          </w:tcPr>
          <w:p w14:paraId="574585FD" w14:textId="5F1ED77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5529.71</w:t>
            </w:r>
          </w:p>
        </w:tc>
        <w:tc>
          <w:tcPr>
            <w:tcW w:w="1073" w:type="dxa"/>
            <w:vAlign w:val="center"/>
          </w:tcPr>
          <w:p w14:paraId="21322DA1" w14:textId="3D3C21D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6056.57</w:t>
            </w:r>
          </w:p>
        </w:tc>
        <w:tc>
          <w:tcPr>
            <w:tcW w:w="979" w:type="dxa"/>
            <w:vAlign w:val="center"/>
          </w:tcPr>
          <w:p w14:paraId="1D0D307D" w14:textId="46EBA88C"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6633.63</w:t>
            </w:r>
          </w:p>
        </w:tc>
        <w:tc>
          <w:tcPr>
            <w:tcW w:w="979" w:type="dxa"/>
            <w:vAlign w:val="center"/>
          </w:tcPr>
          <w:p w14:paraId="1E09EB54" w14:textId="59ADE27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7265.67</w:t>
            </w:r>
          </w:p>
        </w:tc>
        <w:tc>
          <w:tcPr>
            <w:tcW w:w="1056" w:type="dxa"/>
            <w:vAlign w:val="center"/>
          </w:tcPr>
          <w:p w14:paraId="7D95A6AA" w14:textId="7ED5E6B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30534.28</w:t>
            </w:r>
          </w:p>
        </w:tc>
      </w:tr>
      <w:tr w:rsidR="007A7DCE" w:rsidRPr="0078036E" w14:paraId="6B4CB7FD" w14:textId="77777777" w:rsidTr="0049031D">
        <w:trPr>
          <w:trHeight w:val="20"/>
          <w:jc w:val="center"/>
        </w:trPr>
        <w:tc>
          <w:tcPr>
            <w:tcW w:w="421" w:type="dxa"/>
            <w:vAlign w:val="center"/>
          </w:tcPr>
          <w:p w14:paraId="6B2D4B69" w14:textId="793B463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w:t>
            </w:r>
          </w:p>
        </w:tc>
        <w:tc>
          <w:tcPr>
            <w:tcW w:w="1391" w:type="dxa"/>
            <w:vAlign w:val="center"/>
          </w:tcPr>
          <w:p w14:paraId="43B2EB2A" w14:textId="72029090"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Kerala</w:t>
            </w:r>
          </w:p>
        </w:tc>
        <w:tc>
          <w:tcPr>
            <w:tcW w:w="978" w:type="dxa"/>
            <w:vAlign w:val="center"/>
          </w:tcPr>
          <w:p w14:paraId="41F47303" w14:textId="6770CEA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3616.54</w:t>
            </w:r>
          </w:p>
        </w:tc>
        <w:tc>
          <w:tcPr>
            <w:tcW w:w="976" w:type="dxa"/>
            <w:vAlign w:val="center"/>
          </w:tcPr>
          <w:p w14:paraId="59ED223D" w14:textId="6DB41376"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3847.03</w:t>
            </w:r>
          </w:p>
        </w:tc>
        <w:tc>
          <w:tcPr>
            <w:tcW w:w="1073" w:type="dxa"/>
            <w:vAlign w:val="center"/>
          </w:tcPr>
          <w:p w14:paraId="79476A6E" w14:textId="305B845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4092.21</w:t>
            </w:r>
          </w:p>
        </w:tc>
        <w:tc>
          <w:tcPr>
            <w:tcW w:w="1073" w:type="dxa"/>
            <w:vAlign w:val="center"/>
          </w:tcPr>
          <w:p w14:paraId="43CAE9DC" w14:textId="41EFC10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4353.01</w:t>
            </w:r>
          </w:p>
        </w:tc>
        <w:tc>
          <w:tcPr>
            <w:tcW w:w="979" w:type="dxa"/>
            <w:vAlign w:val="center"/>
          </w:tcPr>
          <w:p w14:paraId="5A7A65FA" w14:textId="25CC62AA"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4630.44</w:t>
            </w:r>
          </w:p>
        </w:tc>
        <w:tc>
          <w:tcPr>
            <w:tcW w:w="979" w:type="dxa"/>
            <w:vAlign w:val="center"/>
          </w:tcPr>
          <w:p w14:paraId="24A7057C" w14:textId="2CF1CDAE"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4925.55</w:t>
            </w:r>
          </w:p>
        </w:tc>
        <w:tc>
          <w:tcPr>
            <w:tcW w:w="1056" w:type="dxa"/>
            <w:vAlign w:val="center"/>
          </w:tcPr>
          <w:p w14:paraId="368A1B79" w14:textId="536C4F59"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21848.24</w:t>
            </w:r>
          </w:p>
        </w:tc>
      </w:tr>
      <w:tr w:rsidR="007A7DCE" w:rsidRPr="0078036E" w14:paraId="4A273730" w14:textId="77777777" w:rsidTr="0049031D">
        <w:trPr>
          <w:trHeight w:val="20"/>
          <w:jc w:val="center"/>
        </w:trPr>
        <w:tc>
          <w:tcPr>
            <w:tcW w:w="421" w:type="dxa"/>
            <w:vAlign w:val="center"/>
          </w:tcPr>
          <w:p w14:paraId="5715AB28" w14:textId="5D7D093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7</w:t>
            </w:r>
          </w:p>
        </w:tc>
        <w:tc>
          <w:tcPr>
            <w:tcW w:w="1391" w:type="dxa"/>
            <w:vAlign w:val="center"/>
          </w:tcPr>
          <w:p w14:paraId="7553F532" w14:textId="20D6BE6C"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Madhya Pradesh</w:t>
            </w:r>
          </w:p>
        </w:tc>
        <w:tc>
          <w:tcPr>
            <w:tcW w:w="978" w:type="dxa"/>
            <w:vAlign w:val="center"/>
          </w:tcPr>
          <w:p w14:paraId="30F26CEF" w14:textId="6954075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6197.22</w:t>
            </w:r>
          </w:p>
        </w:tc>
        <w:tc>
          <w:tcPr>
            <w:tcW w:w="976" w:type="dxa"/>
            <w:vAlign w:val="center"/>
          </w:tcPr>
          <w:p w14:paraId="5F49EAB5" w14:textId="57AB0AE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6747.30</w:t>
            </w:r>
          </w:p>
        </w:tc>
        <w:tc>
          <w:tcPr>
            <w:tcW w:w="1073" w:type="dxa"/>
            <w:vAlign w:val="center"/>
          </w:tcPr>
          <w:p w14:paraId="31BE1272" w14:textId="57CDCF0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7346.20</w:t>
            </w:r>
          </w:p>
        </w:tc>
        <w:tc>
          <w:tcPr>
            <w:tcW w:w="1073" w:type="dxa"/>
            <w:vAlign w:val="center"/>
          </w:tcPr>
          <w:p w14:paraId="63D68072" w14:textId="0D8D1A1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7998.26</w:t>
            </w:r>
          </w:p>
        </w:tc>
        <w:tc>
          <w:tcPr>
            <w:tcW w:w="979" w:type="dxa"/>
            <w:vAlign w:val="center"/>
          </w:tcPr>
          <w:p w14:paraId="370A77DF" w14:textId="792E9B3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8708.20</w:t>
            </w:r>
          </w:p>
        </w:tc>
        <w:tc>
          <w:tcPr>
            <w:tcW w:w="979" w:type="dxa"/>
            <w:vAlign w:val="center"/>
          </w:tcPr>
          <w:p w14:paraId="27A5736A" w14:textId="0C04F23C"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9481.16</w:t>
            </w:r>
          </w:p>
        </w:tc>
        <w:tc>
          <w:tcPr>
            <w:tcW w:w="1056" w:type="dxa"/>
            <w:vAlign w:val="center"/>
          </w:tcPr>
          <w:p w14:paraId="11497557" w14:textId="34CDA14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40281.12</w:t>
            </w:r>
          </w:p>
        </w:tc>
      </w:tr>
      <w:tr w:rsidR="007A7DCE" w:rsidRPr="0078036E" w14:paraId="78CAA432" w14:textId="77777777" w:rsidTr="0049031D">
        <w:trPr>
          <w:trHeight w:val="20"/>
          <w:jc w:val="center"/>
        </w:trPr>
        <w:tc>
          <w:tcPr>
            <w:tcW w:w="421" w:type="dxa"/>
            <w:vAlign w:val="center"/>
          </w:tcPr>
          <w:p w14:paraId="2AFA1CE9" w14:textId="110A176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w:t>
            </w:r>
          </w:p>
        </w:tc>
        <w:tc>
          <w:tcPr>
            <w:tcW w:w="1391" w:type="dxa"/>
            <w:vAlign w:val="center"/>
          </w:tcPr>
          <w:p w14:paraId="5833E9E4" w14:textId="4B30094E"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Maharashtra</w:t>
            </w:r>
          </w:p>
        </w:tc>
        <w:tc>
          <w:tcPr>
            <w:tcW w:w="978" w:type="dxa"/>
            <w:vAlign w:val="center"/>
          </w:tcPr>
          <w:p w14:paraId="5AA0A219" w14:textId="0CE1D519"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13252.55</w:t>
            </w:r>
          </w:p>
        </w:tc>
        <w:tc>
          <w:tcPr>
            <w:tcW w:w="976" w:type="dxa"/>
            <w:vAlign w:val="center"/>
          </w:tcPr>
          <w:p w14:paraId="5F7783DA" w14:textId="4EB8D8C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12998.44</w:t>
            </w:r>
          </w:p>
        </w:tc>
        <w:tc>
          <w:tcPr>
            <w:tcW w:w="1073" w:type="dxa"/>
            <w:vAlign w:val="center"/>
          </w:tcPr>
          <w:p w14:paraId="070A3C2F" w14:textId="24621D9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12749.21</w:t>
            </w:r>
          </w:p>
        </w:tc>
        <w:tc>
          <w:tcPr>
            <w:tcW w:w="1073" w:type="dxa"/>
            <w:vAlign w:val="center"/>
          </w:tcPr>
          <w:p w14:paraId="2EB37F76" w14:textId="63152F7F"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12504.76</w:t>
            </w:r>
          </w:p>
        </w:tc>
        <w:tc>
          <w:tcPr>
            <w:tcW w:w="979" w:type="dxa"/>
            <w:vAlign w:val="center"/>
          </w:tcPr>
          <w:p w14:paraId="372DA809" w14:textId="3ECC0396"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12264.99</w:t>
            </w:r>
          </w:p>
        </w:tc>
        <w:tc>
          <w:tcPr>
            <w:tcW w:w="979" w:type="dxa"/>
            <w:vAlign w:val="center"/>
          </w:tcPr>
          <w:p w14:paraId="6D9436C3" w14:textId="33B27346"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12029.63</w:t>
            </w:r>
          </w:p>
        </w:tc>
        <w:tc>
          <w:tcPr>
            <w:tcW w:w="1056" w:type="dxa"/>
            <w:vAlign w:val="center"/>
          </w:tcPr>
          <w:p w14:paraId="6A05BA58" w14:textId="5FFD1FD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62547.23</w:t>
            </w:r>
          </w:p>
        </w:tc>
      </w:tr>
      <w:tr w:rsidR="007A7DCE" w:rsidRPr="0078036E" w14:paraId="29469A58" w14:textId="77777777" w:rsidTr="0049031D">
        <w:trPr>
          <w:trHeight w:val="20"/>
          <w:jc w:val="center"/>
        </w:trPr>
        <w:tc>
          <w:tcPr>
            <w:tcW w:w="421" w:type="dxa"/>
            <w:vAlign w:val="center"/>
          </w:tcPr>
          <w:p w14:paraId="05D0F991" w14:textId="149BE0D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lastRenderedPageBreak/>
              <w:t>9</w:t>
            </w:r>
          </w:p>
        </w:tc>
        <w:tc>
          <w:tcPr>
            <w:tcW w:w="1391" w:type="dxa"/>
            <w:vAlign w:val="center"/>
          </w:tcPr>
          <w:p w14:paraId="3D02EA6C" w14:textId="3B0D4B6F"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Orissa</w:t>
            </w:r>
          </w:p>
        </w:tc>
        <w:tc>
          <w:tcPr>
            <w:tcW w:w="978" w:type="dxa"/>
            <w:vAlign w:val="center"/>
          </w:tcPr>
          <w:p w14:paraId="33E7F44C" w14:textId="0813A51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3490.67</w:t>
            </w:r>
          </w:p>
        </w:tc>
        <w:tc>
          <w:tcPr>
            <w:tcW w:w="976" w:type="dxa"/>
            <w:vAlign w:val="center"/>
          </w:tcPr>
          <w:p w14:paraId="6493D0E3" w14:textId="74B0121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3737.55</w:t>
            </w:r>
          </w:p>
        </w:tc>
        <w:tc>
          <w:tcPr>
            <w:tcW w:w="1073" w:type="dxa"/>
            <w:vAlign w:val="center"/>
          </w:tcPr>
          <w:p w14:paraId="15C18708" w14:textId="21B27D1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4001.89</w:t>
            </w:r>
          </w:p>
        </w:tc>
        <w:tc>
          <w:tcPr>
            <w:tcW w:w="1073" w:type="dxa"/>
            <w:vAlign w:val="center"/>
          </w:tcPr>
          <w:p w14:paraId="3C660D55" w14:textId="577647C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4284.93</w:t>
            </w:r>
          </w:p>
        </w:tc>
        <w:tc>
          <w:tcPr>
            <w:tcW w:w="979" w:type="dxa"/>
            <w:vAlign w:val="center"/>
          </w:tcPr>
          <w:p w14:paraId="321A3E09" w14:textId="6FAB93DF"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4587.98</w:t>
            </w:r>
          </w:p>
        </w:tc>
        <w:tc>
          <w:tcPr>
            <w:tcW w:w="979" w:type="dxa"/>
            <w:vAlign w:val="center"/>
          </w:tcPr>
          <w:p w14:paraId="33CAB60A" w14:textId="2454CD4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4912.47</w:t>
            </w:r>
          </w:p>
        </w:tc>
        <w:tc>
          <w:tcPr>
            <w:tcW w:w="1056" w:type="dxa"/>
            <w:vAlign w:val="center"/>
          </w:tcPr>
          <w:p w14:paraId="02B65E26" w14:textId="6453A24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21524.83</w:t>
            </w:r>
          </w:p>
        </w:tc>
      </w:tr>
      <w:tr w:rsidR="007A7DCE" w:rsidRPr="0078036E" w14:paraId="358E38DA" w14:textId="77777777" w:rsidTr="0049031D">
        <w:trPr>
          <w:trHeight w:val="20"/>
          <w:jc w:val="center"/>
        </w:trPr>
        <w:tc>
          <w:tcPr>
            <w:tcW w:w="421" w:type="dxa"/>
            <w:vAlign w:val="center"/>
          </w:tcPr>
          <w:p w14:paraId="5A3640A8" w14:textId="2C27C788"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10</w:t>
            </w:r>
          </w:p>
        </w:tc>
        <w:tc>
          <w:tcPr>
            <w:tcW w:w="1391" w:type="dxa"/>
            <w:vAlign w:val="center"/>
          </w:tcPr>
          <w:p w14:paraId="6E5B5C4C" w14:textId="0D1E7910"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Punjab</w:t>
            </w:r>
          </w:p>
        </w:tc>
        <w:tc>
          <w:tcPr>
            <w:tcW w:w="978" w:type="dxa"/>
            <w:vAlign w:val="center"/>
          </w:tcPr>
          <w:p w14:paraId="41F0C5B2" w14:textId="6517075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2370.84</w:t>
            </w:r>
          </w:p>
        </w:tc>
        <w:tc>
          <w:tcPr>
            <w:tcW w:w="976" w:type="dxa"/>
            <w:vAlign w:val="center"/>
          </w:tcPr>
          <w:p w14:paraId="4CDD21B1" w14:textId="3F80AA9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2489.40</w:t>
            </w:r>
          </w:p>
        </w:tc>
        <w:tc>
          <w:tcPr>
            <w:tcW w:w="1073" w:type="dxa"/>
            <w:vAlign w:val="center"/>
          </w:tcPr>
          <w:p w14:paraId="5A626FF2" w14:textId="461CEF25"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2613.89</w:t>
            </w:r>
          </w:p>
        </w:tc>
        <w:tc>
          <w:tcPr>
            <w:tcW w:w="1073" w:type="dxa"/>
            <w:vAlign w:val="center"/>
          </w:tcPr>
          <w:p w14:paraId="0D6D7F4B" w14:textId="5F0F303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2744.59</w:t>
            </w:r>
          </w:p>
        </w:tc>
        <w:tc>
          <w:tcPr>
            <w:tcW w:w="979" w:type="dxa"/>
            <w:vAlign w:val="center"/>
          </w:tcPr>
          <w:p w14:paraId="3CB914B2" w14:textId="64B881C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2881.84</w:t>
            </w:r>
          </w:p>
        </w:tc>
        <w:tc>
          <w:tcPr>
            <w:tcW w:w="979" w:type="dxa"/>
            <w:vAlign w:val="center"/>
          </w:tcPr>
          <w:p w14:paraId="235BD033" w14:textId="1558393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3025.95</w:t>
            </w:r>
          </w:p>
        </w:tc>
        <w:tc>
          <w:tcPr>
            <w:tcW w:w="1056" w:type="dxa"/>
            <w:vAlign w:val="center"/>
          </w:tcPr>
          <w:p w14:paraId="144EFEB6" w14:textId="7497BF1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13755.67</w:t>
            </w:r>
          </w:p>
        </w:tc>
      </w:tr>
      <w:tr w:rsidR="007A7DCE" w:rsidRPr="0078036E" w14:paraId="043AD26F" w14:textId="77777777" w:rsidTr="0049031D">
        <w:trPr>
          <w:trHeight w:val="20"/>
          <w:jc w:val="center"/>
        </w:trPr>
        <w:tc>
          <w:tcPr>
            <w:tcW w:w="421" w:type="dxa"/>
            <w:vAlign w:val="center"/>
          </w:tcPr>
          <w:p w14:paraId="70D8A9DE" w14:textId="5FA7A95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11</w:t>
            </w:r>
          </w:p>
        </w:tc>
        <w:tc>
          <w:tcPr>
            <w:tcW w:w="1391" w:type="dxa"/>
            <w:vAlign w:val="center"/>
          </w:tcPr>
          <w:p w14:paraId="42F9A727" w14:textId="3E175CB8"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Rajasthan</w:t>
            </w:r>
          </w:p>
        </w:tc>
        <w:tc>
          <w:tcPr>
            <w:tcW w:w="978" w:type="dxa"/>
            <w:vAlign w:val="center"/>
          </w:tcPr>
          <w:p w14:paraId="7E8E6698" w14:textId="214CE5F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4572.49</w:t>
            </w:r>
          </w:p>
        </w:tc>
        <w:tc>
          <w:tcPr>
            <w:tcW w:w="976" w:type="dxa"/>
            <w:vAlign w:val="center"/>
          </w:tcPr>
          <w:p w14:paraId="3802D6D8" w14:textId="1E1E4C5C"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4958.08</w:t>
            </w:r>
          </w:p>
        </w:tc>
        <w:tc>
          <w:tcPr>
            <w:tcW w:w="1073" w:type="dxa"/>
            <w:vAlign w:val="center"/>
          </w:tcPr>
          <w:p w14:paraId="5FF8FF99" w14:textId="0B6417E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5376.20</w:t>
            </w:r>
          </w:p>
        </w:tc>
        <w:tc>
          <w:tcPr>
            <w:tcW w:w="1073" w:type="dxa"/>
            <w:vAlign w:val="center"/>
          </w:tcPr>
          <w:p w14:paraId="6E727655" w14:textId="19F6A2E9"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5829.57</w:t>
            </w:r>
          </w:p>
        </w:tc>
        <w:tc>
          <w:tcPr>
            <w:tcW w:w="979" w:type="dxa"/>
            <w:vAlign w:val="center"/>
          </w:tcPr>
          <w:p w14:paraId="38328E58" w14:textId="25D486E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6321.16</w:t>
            </w:r>
          </w:p>
        </w:tc>
        <w:tc>
          <w:tcPr>
            <w:tcW w:w="979" w:type="dxa"/>
            <w:vAlign w:val="center"/>
          </w:tcPr>
          <w:p w14:paraId="068B9C5D" w14:textId="6547557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6854.25</w:t>
            </w:r>
          </w:p>
        </w:tc>
        <w:tc>
          <w:tcPr>
            <w:tcW w:w="1056" w:type="dxa"/>
            <w:vAlign w:val="center"/>
          </w:tcPr>
          <w:p w14:paraId="34FA5FD2" w14:textId="7CA63CAC"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29339.28</w:t>
            </w:r>
          </w:p>
        </w:tc>
      </w:tr>
      <w:tr w:rsidR="007A7DCE" w:rsidRPr="0078036E" w14:paraId="3F7DDEEE" w14:textId="77777777" w:rsidTr="0049031D">
        <w:trPr>
          <w:trHeight w:val="20"/>
          <w:jc w:val="center"/>
        </w:trPr>
        <w:tc>
          <w:tcPr>
            <w:tcW w:w="421" w:type="dxa"/>
            <w:vAlign w:val="center"/>
          </w:tcPr>
          <w:p w14:paraId="2A84662F" w14:textId="5ADE198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w:t>
            </w:r>
          </w:p>
        </w:tc>
        <w:tc>
          <w:tcPr>
            <w:tcW w:w="1391" w:type="dxa"/>
            <w:vAlign w:val="center"/>
          </w:tcPr>
          <w:p w14:paraId="3450DE4F" w14:textId="1585BA9E"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Tamil Nadu</w:t>
            </w:r>
          </w:p>
        </w:tc>
        <w:tc>
          <w:tcPr>
            <w:tcW w:w="978" w:type="dxa"/>
            <w:vAlign w:val="center"/>
          </w:tcPr>
          <w:p w14:paraId="1D6D503F" w14:textId="4654F4D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8755.07</w:t>
            </w:r>
          </w:p>
        </w:tc>
        <w:tc>
          <w:tcPr>
            <w:tcW w:w="976" w:type="dxa"/>
            <w:vAlign w:val="center"/>
          </w:tcPr>
          <w:p w14:paraId="05AC48AC" w14:textId="444109AF"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8896.25</w:t>
            </w:r>
          </w:p>
        </w:tc>
        <w:tc>
          <w:tcPr>
            <w:tcW w:w="1073" w:type="dxa"/>
            <w:vAlign w:val="center"/>
          </w:tcPr>
          <w:p w14:paraId="3D6CA269" w14:textId="0E1D5FE9"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9039.69</w:t>
            </w:r>
          </w:p>
        </w:tc>
        <w:tc>
          <w:tcPr>
            <w:tcW w:w="1073" w:type="dxa"/>
            <w:vAlign w:val="center"/>
          </w:tcPr>
          <w:p w14:paraId="0B9F6B44" w14:textId="17F51F4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9185.46</w:t>
            </w:r>
          </w:p>
        </w:tc>
        <w:tc>
          <w:tcPr>
            <w:tcW w:w="979" w:type="dxa"/>
            <w:vAlign w:val="center"/>
          </w:tcPr>
          <w:p w14:paraId="7DE2D05D" w14:textId="31BC972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9333.57</w:t>
            </w:r>
          </w:p>
        </w:tc>
        <w:tc>
          <w:tcPr>
            <w:tcW w:w="979" w:type="dxa"/>
            <w:vAlign w:val="center"/>
          </w:tcPr>
          <w:p w14:paraId="016076A0" w14:textId="2B0019F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9484.07</w:t>
            </w:r>
          </w:p>
        </w:tc>
        <w:tc>
          <w:tcPr>
            <w:tcW w:w="1056" w:type="dxa"/>
            <w:vAlign w:val="center"/>
          </w:tcPr>
          <w:p w14:paraId="6CB38EE5" w14:textId="3DF0442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45939.03</w:t>
            </w:r>
          </w:p>
        </w:tc>
      </w:tr>
      <w:tr w:rsidR="007A7DCE" w:rsidRPr="0078036E" w14:paraId="071669F6" w14:textId="77777777" w:rsidTr="0049031D">
        <w:trPr>
          <w:trHeight w:val="20"/>
          <w:jc w:val="center"/>
        </w:trPr>
        <w:tc>
          <w:tcPr>
            <w:tcW w:w="421" w:type="dxa"/>
            <w:vAlign w:val="center"/>
          </w:tcPr>
          <w:p w14:paraId="6475F86B" w14:textId="01EBBACB"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13</w:t>
            </w:r>
          </w:p>
        </w:tc>
        <w:tc>
          <w:tcPr>
            <w:tcW w:w="1391" w:type="dxa"/>
            <w:vAlign w:val="center"/>
          </w:tcPr>
          <w:p w14:paraId="1CC81DDB" w14:textId="4B69A89B"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Uttar Pradesh</w:t>
            </w:r>
          </w:p>
        </w:tc>
        <w:tc>
          <w:tcPr>
            <w:tcW w:w="978" w:type="dxa"/>
            <w:vAlign w:val="center"/>
          </w:tcPr>
          <w:p w14:paraId="442E0D23" w14:textId="2F76184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11420.68</w:t>
            </w:r>
          </w:p>
        </w:tc>
        <w:tc>
          <w:tcPr>
            <w:tcW w:w="976" w:type="dxa"/>
            <w:vAlign w:val="center"/>
          </w:tcPr>
          <w:p w14:paraId="35BAC27F" w14:textId="608D4D3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12921.38</w:t>
            </w:r>
          </w:p>
        </w:tc>
        <w:tc>
          <w:tcPr>
            <w:tcW w:w="1073" w:type="dxa"/>
            <w:vAlign w:val="center"/>
          </w:tcPr>
          <w:p w14:paraId="58C44040" w14:textId="27D7AAB2"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14619.28</w:t>
            </w:r>
          </w:p>
        </w:tc>
        <w:tc>
          <w:tcPr>
            <w:tcW w:w="1073" w:type="dxa"/>
            <w:vAlign w:val="center"/>
          </w:tcPr>
          <w:p w14:paraId="7BE1C757" w14:textId="17BC2A3C"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16540.29</w:t>
            </w:r>
          </w:p>
        </w:tc>
        <w:tc>
          <w:tcPr>
            <w:tcW w:w="979" w:type="dxa"/>
            <w:vAlign w:val="center"/>
          </w:tcPr>
          <w:p w14:paraId="1FA94A9F" w14:textId="28AD02C9"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18713.73</w:t>
            </w:r>
          </w:p>
        </w:tc>
        <w:tc>
          <w:tcPr>
            <w:tcW w:w="979" w:type="dxa"/>
            <w:vAlign w:val="center"/>
          </w:tcPr>
          <w:p w14:paraId="3CA06C89" w14:textId="10509B56"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21172.76</w:t>
            </w:r>
          </w:p>
        </w:tc>
        <w:tc>
          <w:tcPr>
            <w:tcW w:w="1056" w:type="dxa"/>
            <w:vAlign w:val="center"/>
          </w:tcPr>
          <w:p w14:paraId="71709524" w14:textId="7F63DC3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83967.45</w:t>
            </w:r>
          </w:p>
        </w:tc>
      </w:tr>
      <w:tr w:rsidR="007A7DCE" w:rsidRPr="0078036E" w14:paraId="4D6368A9" w14:textId="77777777" w:rsidTr="0049031D">
        <w:trPr>
          <w:trHeight w:val="20"/>
          <w:jc w:val="center"/>
        </w:trPr>
        <w:tc>
          <w:tcPr>
            <w:tcW w:w="421" w:type="dxa"/>
            <w:vAlign w:val="center"/>
          </w:tcPr>
          <w:p w14:paraId="02CDF4CB" w14:textId="79B2FB6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14</w:t>
            </w:r>
          </w:p>
        </w:tc>
        <w:tc>
          <w:tcPr>
            <w:tcW w:w="1391" w:type="dxa"/>
            <w:vAlign w:val="center"/>
          </w:tcPr>
          <w:p w14:paraId="3234B057" w14:textId="626285DD"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sz w:val="16"/>
                <w:szCs w:val="16"/>
              </w:rPr>
              <w:t>West Bengal</w:t>
            </w:r>
          </w:p>
        </w:tc>
        <w:tc>
          <w:tcPr>
            <w:tcW w:w="978" w:type="dxa"/>
            <w:vAlign w:val="center"/>
          </w:tcPr>
          <w:p w14:paraId="2A5DD3F9" w14:textId="78B65004"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5369.18</w:t>
            </w:r>
          </w:p>
        </w:tc>
        <w:tc>
          <w:tcPr>
            <w:tcW w:w="976" w:type="dxa"/>
            <w:vAlign w:val="center"/>
          </w:tcPr>
          <w:p w14:paraId="6C99C42E" w14:textId="05289667"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6074.38</w:t>
            </w:r>
          </w:p>
        </w:tc>
        <w:tc>
          <w:tcPr>
            <w:tcW w:w="1073" w:type="dxa"/>
            <w:vAlign w:val="center"/>
          </w:tcPr>
          <w:p w14:paraId="620818E9" w14:textId="011EA518"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6872.19</w:t>
            </w:r>
          </w:p>
        </w:tc>
        <w:tc>
          <w:tcPr>
            <w:tcW w:w="1073" w:type="dxa"/>
            <w:vAlign w:val="center"/>
          </w:tcPr>
          <w:p w14:paraId="6BB09AC1" w14:textId="0FB03BA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7774.78</w:t>
            </w:r>
          </w:p>
        </w:tc>
        <w:tc>
          <w:tcPr>
            <w:tcW w:w="979" w:type="dxa"/>
            <w:vAlign w:val="center"/>
          </w:tcPr>
          <w:p w14:paraId="712DBE78" w14:textId="76EC1B8D"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8795.92</w:t>
            </w:r>
          </w:p>
        </w:tc>
        <w:tc>
          <w:tcPr>
            <w:tcW w:w="979" w:type="dxa"/>
            <w:vAlign w:val="center"/>
          </w:tcPr>
          <w:p w14:paraId="02F0F237" w14:textId="5AE9DEEE"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9951.18</w:t>
            </w:r>
          </w:p>
        </w:tc>
        <w:tc>
          <w:tcPr>
            <w:tcW w:w="1056" w:type="dxa"/>
            <w:vAlign w:val="center"/>
          </w:tcPr>
          <w:p w14:paraId="7088DBC1" w14:textId="591A258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sz w:val="16"/>
                <w:szCs w:val="16"/>
              </w:rPr>
              <w:t>39468.44</w:t>
            </w:r>
          </w:p>
        </w:tc>
      </w:tr>
      <w:tr w:rsidR="007A7DCE" w:rsidRPr="0078036E" w14:paraId="3D8038FB" w14:textId="77777777" w:rsidTr="0049031D">
        <w:trPr>
          <w:trHeight w:val="20"/>
          <w:jc w:val="center"/>
        </w:trPr>
        <w:tc>
          <w:tcPr>
            <w:tcW w:w="421" w:type="dxa"/>
            <w:vAlign w:val="center"/>
          </w:tcPr>
          <w:p w14:paraId="1A6A5AF9" w14:textId="7B16BE4F"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14</w:t>
            </w:r>
          </w:p>
        </w:tc>
        <w:tc>
          <w:tcPr>
            <w:tcW w:w="1391" w:type="dxa"/>
            <w:vAlign w:val="center"/>
          </w:tcPr>
          <w:p w14:paraId="7D30CD02" w14:textId="328FE7B1" w:rsidR="00E0484A" w:rsidRPr="0078036E" w:rsidRDefault="00E0484A" w:rsidP="00E0484A">
            <w:pPr>
              <w:rPr>
                <w:rFonts w:ascii="Times New Roman" w:hAnsi="Times New Roman" w:cs="Times New Roman"/>
                <w:sz w:val="16"/>
                <w:szCs w:val="16"/>
              </w:rPr>
            </w:pPr>
            <w:r w:rsidRPr="0078036E">
              <w:rPr>
                <w:rFonts w:ascii="Times New Roman" w:hAnsi="Times New Roman" w:cs="Times New Roman"/>
                <w:b/>
                <w:bCs/>
                <w:sz w:val="16"/>
                <w:szCs w:val="16"/>
              </w:rPr>
              <w:t>Major States</w:t>
            </w:r>
          </w:p>
        </w:tc>
        <w:tc>
          <w:tcPr>
            <w:tcW w:w="978" w:type="dxa"/>
            <w:vAlign w:val="center"/>
          </w:tcPr>
          <w:p w14:paraId="5435BBAA" w14:textId="55B8490A"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85520.93</w:t>
            </w:r>
          </w:p>
        </w:tc>
        <w:tc>
          <w:tcPr>
            <w:tcW w:w="976" w:type="dxa"/>
            <w:vAlign w:val="center"/>
          </w:tcPr>
          <w:p w14:paraId="2C6D3F00" w14:textId="19D6F96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91081.52</w:t>
            </w:r>
          </w:p>
        </w:tc>
        <w:tc>
          <w:tcPr>
            <w:tcW w:w="1073" w:type="dxa"/>
            <w:vAlign w:val="center"/>
          </w:tcPr>
          <w:p w14:paraId="7616BF75" w14:textId="67298B3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97244.86</w:t>
            </w:r>
          </w:p>
        </w:tc>
        <w:tc>
          <w:tcPr>
            <w:tcW w:w="1073" w:type="dxa"/>
            <w:vAlign w:val="center"/>
          </w:tcPr>
          <w:p w14:paraId="61BBF140" w14:textId="3FCE0DA0"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104077.75</w:t>
            </w:r>
          </w:p>
        </w:tc>
        <w:tc>
          <w:tcPr>
            <w:tcW w:w="979" w:type="dxa"/>
            <w:vAlign w:val="center"/>
          </w:tcPr>
          <w:p w14:paraId="022306EF" w14:textId="5EED94C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111654.82</w:t>
            </w:r>
          </w:p>
        </w:tc>
        <w:tc>
          <w:tcPr>
            <w:tcW w:w="979" w:type="dxa"/>
            <w:vAlign w:val="center"/>
          </w:tcPr>
          <w:p w14:paraId="14CDBAC5" w14:textId="5B70A3F3"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120059.43</w:t>
            </w:r>
          </w:p>
        </w:tc>
        <w:tc>
          <w:tcPr>
            <w:tcW w:w="1056" w:type="dxa"/>
            <w:vAlign w:val="center"/>
          </w:tcPr>
          <w:p w14:paraId="3382D709" w14:textId="0B4E9A71" w:rsidR="00E0484A" w:rsidRPr="0078036E" w:rsidRDefault="00E0484A" w:rsidP="00E0484A">
            <w:pPr>
              <w:jc w:val="center"/>
              <w:rPr>
                <w:rFonts w:ascii="Times New Roman" w:hAnsi="Times New Roman" w:cs="Times New Roman"/>
                <w:sz w:val="16"/>
                <w:szCs w:val="16"/>
              </w:rPr>
            </w:pPr>
            <w:r w:rsidRPr="0078036E">
              <w:rPr>
                <w:rFonts w:ascii="Times New Roman" w:hAnsi="Times New Roman" w:cs="Times New Roman"/>
                <w:b/>
                <w:bCs/>
                <w:sz w:val="16"/>
                <w:szCs w:val="16"/>
              </w:rPr>
              <w:t>524118.38</w:t>
            </w:r>
          </w:p>
        </w:tc>
      </w:tr>
      <w:tr w:rsidR="00E0484A" w:rsidRPr="0078036E" w14:paraId="1AEF2112" w14:textId="77777777" w:rsidTr="00316976">
        <w:trPr>
          <w:trHeight w:val="20"/>
          <w:jc w:val="center"/>
        </w:trPr>
        <w:tc>
          <w:tcPr>
            <w:tcW w:w="8926" w:type="dxa"/>
            <w:gridSpan w:val="9"/>
            <w:vAlign w:val="center"/>
          </w:tcPr>
          <w:p w14:paraId="52A83B13" w14:textId="29CFD904"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20"/>
                <w:szCs w:val="20"/>
              </w:rPr>
              <w:t>Expenditure Category: Administration Of Justice</w:t>
            </w:r>
          </w:p>
        </w:tc>
      </w:tr>
      <w:tr w:rsidR="007A7DCE" w:rsidRPr="0078036E" w14:paraId="16F55B78" w14:textId="77777777" w:rsidTr="0049031D">
        <w:trPr>
          <w:trHeight w:val="20"/>
          <w:jc w:val="center"/>
        </w:trPr>
        <w:tc>
          <w:tcPr>
            <w:tcW w:w="421" w:type="dxa"/>
            <w:vAlign w:val="center"/>
          </w:tcPr>
          <w:p w14:paraId="31BBF15A" w14:textId="163E495A"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1226C8F0" w14:textId="6E90CBDF" w:rsidR="00E0484A" w:rsidRPr="0078036E" w:rsidRDefault="00E0484A" w:rsidP="00E0484A">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74F75E59" w14:textId="43EA2378"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50EB8141" w14:textId="085F9D5F"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75CA7D71" w14:textId="5724F2C4"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743B484A" w14:textId="3F823E51"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215142FC" w14:textId="029D7F99"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45837A04" w14:textId="6F34BFB6"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5FECB555" w14:textId="55AB8CA0" w:rsidR="00E0484A" w:rsidRPr="0078036E"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7A7DCE" w:rsidRPr="0078036E" w14:paraId="21B78A5C" w14:textId="77777777" w:rsidTr="0049031D">
        <w:trPr>
          <w:trHeight w:val="20"/>
          <w:jc w:val="center"/>
        </w:trPr>
        <w:tc>
          <w:tcPr>
            <w:tcW w:w="421" w:type="dxa"/>
            <w:vAlign w:val="center"/>
          </w:tcPr>
          <w:p w14:paraId="17146C8C" w14:textId="1943B9F3"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0594EF96" w14:textId="5641608A" w:rsidR="00E0484A" w:rsidRPr="00D01DF5" w:rsidRDefault="00E0484A" w:rsidP="00E0484A">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3DB7EDDD" w14:textId="25216FFE"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2568.94</w:t>
            </w:r>
          </w:p>
        </w:tc>
        <w:tc>
          <w:tcPr>
            <w:tcW w:w="976" w:type="dxa"/>
            <w:vAlign w:val="center"/>
          </w:tcPr>
          <w:p w14:paraId="542CFCBE" w14:textId="0ED21F4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2683.14</w:t>
            </w:r>
          </w:p>
        </w:tc>
        <w:tc>
          <w:tcPr>
            <w:tcW w:w="1073" w:type="dxa"/>
            <w:vAlign w:val="center"/>
          </w:tcPr>
          <w:p w14:paraId="5CE8ED79" w14:textId="2E0746AE"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2802.43</w:t>
            </w:r>
          </w:p>
        </w:tc>
        <w:tc>
          <w:tcPr>
            <w:tcW w:w="1073" w:type="dxa"/>
            <w:vAlign w:val="center"/>
          </w:tcPr>
          <w:p w14:paraId="6EEB1CBC" w14:textId="682F5128"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2927.02</w:t>
            </w:r>
          </w:p>
        </w:tc>
        <w:tc>
          <w:tcPr>
            <w:tcW w:w="979" w:type="dxa"/>
            <w:vAlign w:val="center"/>
          </w:tcPr>
          <w:p w14:paraId="4CBA5A12" w14:textId="7A496476"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3057.15</w:t>
            </w:r>
          </w:p>
        </w:tc>
        <w:tc>
          <w:tcPr>
            <w:tcW w:w="979" w:type="dxa"/>
            <w:vAlign w:val="center"/>
          </w:tcPr>
          <w:p w14:paraId="241E5575" w14:textId="6CA00983"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3193.06</w:t>
            </w:r>
          </w:p>
        </w:tc>
        <w:tc>
          <w:tcPr>
            <w:tcW w:w="1056" w:type="dxa"/>
            <w:vAlign w:val="center"/>
          </w:tcPr>
          <w:p w14:paraId="3AC13914" w14:textId="5299D02A"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14662.80</w:t>
            </w:r>
          </w:p>
        </w:tc>
      </w:tr>
      <w:tr w:rsidR="007A7DCE" w:rsidRPr="0078036E" w14:paraId="7308128F" w14:textId="77777777" w:rsidTr="0049031D">
        <w:trPr>
          <w:trHeight w:val="20"/>
          <w:jc w:val="center"/>
        </w:trPr>
        <w:tc>
          <w:tcPr>
            <w:tcW w:w="421" w:type="dxa"/>
            <w:vAlign w:val="center"/>
          </w:tcPr>
          <w:p w14:paraId="7613CEE6" w14:textId="17BCEC3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70F53E2B" w14:textId="45BFB667"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0B5EF820" w14:textId="66C569E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2680.96</w:t>
            </w:r>
          </w:p>
        </w:tc>
        <w:tc>
          <w:tcPr>
            <w:tcW w:w="976" w:type="dxa"/>
            <w:vAlign w:val="center"/>
          </w:tcPr>
          <w:p w14:paraId="5561AAE1" w14:textId="3E7BBC1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2812.44</w:t>
            </w:r>
          </w:p>
        </w:tc>
        <w:tc>
          <w:tcPr>
            <w:tcW w:w="1073" w:type="dxa"/>
            <w:vAlign w:val="center"/>
          </w:tcPr>
          <w:p w14:paraId="1EE56FFA" w14:textId="2BECD3D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2950.37</w:t>
            </w:r>
          </w:p>
        </w:tc>
        <w:tc>
          <w:tcPr>
            <w:tcW w:w="1073" w:type="dxa"/>
            <w:vAlign w:val="center"/>
          </w:tcPr>
          <w:p w14:paraId="6305956C" w14:textId="3788C6F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3095.07</w:t>
            </w:r>
          </w:p>
        </w:tc>
        <w:tc>
          <w:tcPr>
            <w:tcW w:w="979" w:type="dxa"/>
            <w:vAlign w:val="center"/>
          </w:tcPr>
          <w:p w14:paraId="684234A3" w14:textId="15469B8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3246.86</w:t>
            </w:r>
          </w:p>
        </w:tc>
        <w:tc>
          <w:tcPr>
            <w:tcW w:w="979" w:type="dxa"/>
            <w:vAlign w:val="center"/>
          </w:tcPr>
          <w:p w14:paraId="4EEA3A57" w14:textId="50C82AD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3406.10</w:t>
            </w:r>
          </w:p>
        </w:tc>
        <w:tc>
          <w:tcPr>
            <w:tcW w:w="1056" w:type="dxa"/>
            <w:vAlign w:val="center"/>
          </w:tcPr>
          <w:p w14:paraId="0ACCEF61" w14:textId="2A20031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15510.84</w:t>
            </w:r>
          </w:p>
        </w:tc>
      </w:tr>
      <w:tr w:rsidR="007A7DCE" w:rsidRPr="0078036E" w14:paraId="503D48EE" w14:textId="77777777" w:rsidTr="0049031D">
        <w:trPr>
          <w:trHeight w:val="20"/>
          <w:jc w:val="center"/>
        </w:trPr>
        <w:tc>
          <w:tcPr>
            <w:tcW w:w="421" w:type="dxa"/>
            <w:vAlign w:val="center"/>
          </w:tcPr>
          <w:p w14:paraId="7670E9DF" w14:textId="5A23AF9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64C9083B" w14:textId="261451F5"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0F4DBD8B" w14:textId="7498E18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2173.77</w:t>
            </w:r>
          </w:p>
        </w:tc>
        <w:tc>
          <w:tcPr>
            <w:tcW w:w="976" w:type="dxa"/>
            <w:vAlign w:val="center"/>
          </w:tcPr>
          <w:p w14:paraId="346D2582" w14:textId="28108A0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2347.62</w:t>
            </w:r>
          </w:p>
        </w:tc>
        <w:tc>
          <w:tcPr>
            <w:tcW w:w="1073" w:type="dxa"/>
            <w:vAlign w:val="center"/>
          </w:tcPr>
          <w:p w14:paraId="5A44C5EA" w14:textId="1D8BF8C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2535.36</w:t>
            </w:r>
          </w:p>
        </w:tc>
        <w:tc>
          <w:tcPr>
            <w:tcW w:w="1073" w:type="dxa"/>
            <w:vAlign w:val="center"/>
          </w:tcPr>
          <w:p w14:paraId="1B698C1C" w14:textId="1DD4842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2738.13</w:t>
            </w:r>
          </w:p>
        </w:tc>
        <w:tc>
          <w:tcPr>
            <w:tcW w:w="979" w:type="dxa"/>
            <w:vAlign w:val="center"/>
          </w:tcPr>
          <w:p w14:paraId="3B30C971" w14:textId="7CDF728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2957.10</w:t>
            </w:r>
          </w:p>
        </w:tc>
        <w:tc>
          <w:tcPr>
            <w:tcW w:w="979" w:type="dxa"/>
            <w:vAlign w:val="center"/>
          </w:tcPr>
          <w:p w14:paraId="59ACC187" w14:textId="233ACB5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3193.59</w:t>
            </w:r>
          </w:p>
        </w:tc>
        <w:tc>
          <w:tcPr>
            <w:tcW w:w="1056" w:type="dxa"/>
            <w:vAlign w:val="center"/>
          </w:tcPr>
          <w:p w14:paraId="53892AD6" w14:textId="219797F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13771.81</w:t>
            </w:r>
          </w:p>
        </w:tc>
      </w:tr>
      <w:tr w:rsidR="007A7DCE" w:rsidRPr="0078036E" w14:paraId="6FE67F51" w14:textId="77777777" w:rsidTr="0049031D">
        <w:trPr>
          <w:trHeight w:val="20"/>
          <w:jc w:val="center"/>
        </w:trPr>
        <w:tc>
          <w:tcPr>
            <w:tcW w:w="421" w:type="dxa"/>
            <w:vAlign w:val="center"/>
          </w:tcPr>
          <w:p w14:paraId="14A274E3" w14:textId="78AF38D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376AEB27" w14:textId="75247807"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1BCC03F9" w14:textId="131DA25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695.23</w:t>
            </w:r>
          </w:p>
        </w:tc>
        <w:tc>
          <w:tcPr>
            <w:tcW w:w="976" w:type="dxa"/>
            <w:vAlign w:val="center"/>
          </w:tcPr>
          <w:p w14:paraId="7CC121E6" w14:textId="72EA094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742.29</w:t>
            </w:r>
          </w:p>
        </w:tc>
        <w:tc>
          <w:tcPr>
            <w:tcW w:w="1073" w:type="dxa"/>
            <w:vAlign w:val="center"/>
          </w:tcPr>
          <w:p w14:paraId="183E6879" w14:textId="17728D3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792.53</w:t>
            </w:r>
          </w:p>
        </w:tc>
        <w:tc>
          <w:tcPr>
            <w:tcW w:w="1073" w:type="dxa"/>
            <w:vAlign w:val="center"/>
          </w:tcPr>
          <w:p w14:paraId="2D3A9D6F" w14:textId="20A00EE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846.18</w:t>
            </w:r>
          </w:p>
        </w:tc>
        <w:tc>
          <w:tcPr>
            <w:tcW w:w="979" w:type="dxa"/>
            <w:vAlign w:val="center"/>
          </w:tcPr>
          <w:p w14:paraId="3CB67CFF" w14:textId="3767CBC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903.46</w:t>
            </w:r>
          </w:p>
        </w:tc>
        <w:tc>
          <w:tcPr>
            <w:tcW w:w="979" w:type="dxa"/>
            <w:vAlign w:val="center"/>
          </w:tcPr>
          <w:p w14:paraId="3FE61C07" w14:textId="24010BF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964.62</w:t>
            </w:r>
          </w:p>
        </w:tc>
        <w:tc>
          <w:tcPr>
            <w:tcW w:w="1056" w:type="dxa"/>
            <w:vAlign w:val="center"/>
          </w:tcPr>
          <w:p w14:paraId="79CE06C4" w14:textId="57352D4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4249.09</w:t>
            </w:r>
          </w:p>
        </w:tc>
      </w:tr>
      <w:tr w:rsidR="007A7DCE" w:rsidRPr="0078036E" w14:paraId="69AF88C7" w14:textId="77777777" w:rsidTr="0049031D">
        <w:trPr>
          <w:trHeight w:val="20"/>
          <w:jc w:val="center"/>
        </w:trPr>
        <w:tc>
          <w:tcPr>
            <w:tcW w:w="421" w:type="dxa"/>
            <w:vAlign w:val="center"/>
          </w:tcPr>
          <w:p w14:paraId="14FE6CBE" w14:textId="0E1F205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7F9E73E2" w14:textId="5B28B8F1"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7CD0B483" w14:textId="444BE1B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2682.96</w:t>
            </w:r>
          </w:p>
        </w:tc>
        <w:tc>
          <w:tcPr>
            <w:tcW w:w="976" w:type="dxa"/>
            <w:vAlign w:val="center"/>
          </w:tcPr>
          <w:p w14:paraId="6DA9F8E7" w14:textId="2E20415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2859.07</w:t>
            </w:r>
          </w:p>
        </w:tc>
        <w:tc>
          <w:tcPr>
            <w:tcW w:w="1073" w:type="dxa"/>
            <w:vAlign w:val="center"/>
          </w:tcPr>
          <w:p w14:paraId="2CBEA4BD" w14:textId="26768D9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3046.74</w:t>
            </w:r>
          </w:p>
        </w:tc>
        <w:tc>
          <w:tcPr>
            <w:tcW w:w="1073" w:type="dxa"/>
            <w:vAlign w:val="center"/>
          </w:tcPr>
          <w:p w14:paraId="28C2B304" w14:textId="2D232A3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3246.73</w:t>
            </w:r>
          </w:p>
        </w:tc>
        <w:tc>
          <w:tcPr>
            <w:tcW w:w="979" w:type="dxa"/>
            <w:vAlign w:val="center"/>
          </w:tcPr>
          <w:p w14:paraId="505A5773" w14:textId="3917F8B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3459.85</w:t>
            </w:r>
          </w:p>
        </w:tc>
        <w:tc>
          <w:tcPr>
            <w:tcW w:w="979" w:type="dxa"/>
            <w:vAlign w:val="center"/>
          </w:tcPr>
          <w:p w14:paraId="34D9BD0E" w14:textId="67AE6CA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3686.95</w:t>
            </w:r>
          </w:p>
        </w:tc>
        <w:tc>
          <w:tcPr>
            <w:tcW w:w="1056" w:type="dxa"/>
            <w:vAlign w:val="center"/>
          </w:tcPr>
          <w:p w14:paraId="2036999B" w14:textId="298B6ED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16299.35</w:t>
            </w:r>
          </w:p>
        </w:tc>
      </w:tr>
      <w:tr w:rsidR="007A7DCE" w:rsidRPr="0078036E" w14:paraId="4F17CC93" w14:textId="77777777" w:rsidTr="0049031D">
        <w:trPr>
          <w:trHeight w:val="20"/>
          <w:jc w:val="center"/>
        </w:trPr>
        <w:tc>
          <w:tcPr>
            <w:tcW w:w="421" w:type="dxa"/>
            <w:vAlign w:val="center"/>
          </w:tcPr>
          <w:p w14:paraId="1E043326" w14:textId="5F0FF0A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222AFC9E" w14:textId="01901AED"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6629FBA2" w14:textId="1065AAE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1673.26</w:t>
            </w:r>
          </w:p>
        </w:tc>
        <w:tc>
          <w:tcPr>
            <w:tcW w:w="976" w:type="dxa"/>
            <w:vAlign w:val="center"/>
          </w:tcPr>
          <w:p w14:paraId="73A76591" w14:textId="275AFBC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1715.04</w:t>
            </w:r>
          </w:p>
        </w:tc>
        <w:tc>
          <w:tcPr>
            <w:tcW w:w="1073" w:type="dxa"/>
            <w:vAlign w:val="center"/>
          </w:tcPr>
          <w:p w14:paraId="77F06535" w14:textId="6878B5D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1757.85</w:t>
            </w:r>
          </w:p>
        </w:tc>
        <w:tc>
          <w:tcPr>
            <w:tcW w:w="1073" w:type="dxa"/>
            <w:vAlign w:val="center"/>
          </w:tcPr>
          <w:p w14:paraId="5C679412" w14:textId="79E4434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1801.74</w:t>
            </w:r>
          </w:p>
        </w:tc>
        <w:tc>
          <w:tcPr>
            <w:tcW w:w="979" w:type="dxa"/>
            <w:vAlign w:val="center"/>
          </w:tcPr>
          <w:p w14:paraId="0CA84D16" w14:textId="44F5878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1846.72</w:t>
            </w:r>
          </w:p>
        </w:tc>
        <w:tc>
          <w:tcPr>
            <w:tcW w:w="979" w:type="dxa"/>
            <w:vAlign w:val="center"/>
          </w:tcPr>
          <w:p w14:paraId="2FA1F09A" w14:textId="1A5D41C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1892.82</w:t>
            </w:r>
          </w:p>
        </w:tc>
        <w:tc>
          <w:tcPr>
            <w:tcW w:w="1056" w:type="dxa"/>
            <w:vAlign w:val="center"/>
          </w:tcPr>
          <w:p w14:paraId="729812D8" w14:textId="06B0385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9014.16</w:t>
            </w:r>
          </w:p>
        </w:tc>
      </w:tr>
      <w:tr w:rsidR="007A7DCE" w:rsidRPr="0078036E" w14:paraId="1C040EF8" w14:textId="77777777" w:rsidTr="0049031D">
        <w:trPr>
          <w:trHeight w:val="20"/>
          <w:jc w:val="center"/>
        </w:trPr>
        <w:tc>
          <w:tcPr>
            <w:tcW w:w="421" w:type="dxa"/>
            <w:vAlign w:val="center"/>
          </w:tcPr>
          <w:p w14:paraId="13BB9820" w14:textId="62BEFEE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w:t>
            </w:r>
          </w:p>
        </w:tc>
        <w:tc>
          <w:tcPr>
            <w:tcW w:w="1391" w:type="dxa"/>
            <w:vAlign w:val="center"/>
          </w:tcPr>
          <w:p w14:paraId="1EC7CF9B" w14:textId="5445062F"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Madhya Pradesh</w:t>
            </w:r>
          </w:p>
        </w:tc>
        <w:tc>
          <w:tcPr>
            <w:tcW w:w="978" w:type="dxa"/>
            <w:vAlign w:val="center"/>
          </w:tcPr>
          <w:p w14:paraId="727427D3" w14:textId="770B09F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2151.62</w:t>
            </w:r>
          </w:p>
        </w:tc>
        <w:tc>
          <w:tcPr>
            <w:tcW w:w="976" w:type="dxa"/>
            <w:vAlign w:val="center"/>
          </w:tcPr>
          <w:p w14:paraId="6D28C488" w14:textId="7D8B5C1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2335.00</w:t>
            </w:r>
          </w:p>
        </w:tc>
        <w:tc>
          <w:tcPr>
            <w:tcW w:w="1073" w:type="dxa"/>
            <w:vAlign w:val="center"/>
          </w:tcPr>
          <w:p w14:paraId="50089169" w14:textId="6657EFA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2534.01</w:t>
            </w:r>
          </w:p>
        </w:tc>
        <w:tc>
          <w:tcPr>
            <w:tcW w:w="1073" w:type="dxa"/>
            <w:vAlign w:val="center"/>
          </w:tcPr>
          <w:p w14:paraId="73BF5AA8" w14:textId="569301F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2749.98</w:t>
            </w:r>
          </w:p>
        </w:tc>
        <w:tc>
          <w:tcPr>
            <w:tcW w:w="979" w:type="dxa"/>
            <w:vAlign w:val="center"/>
          </w:tcPr>
          <w:p w14:paraId="0F05E65B" w14:textId="60C0129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2984.36</w:t>
            </w:r>
          </w:p>
        </w:tc>
        <w:tc>
          <w:tcPr>
            <w:tcW w:w="979" w:type="dxa"/>
            <w:vAlign w:val="center"/>
          </w:tcPr>
          <w:p w14:paraId="7062E654" w14:textId="4395EFD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3238.71</w:t>
            </w:r>
          </w:p>
        </w:tc>
        <w:tc>
          <w:tcPr>
            <w:tcW w:w="1056" w:type="dxa"/>
            <w:vAlign w:val="center"/>
          </w:tcPr>
          <w:p w14:paraId="1D2B2A57" w14:textId="6A1FD64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13842.07</w:t>
            </w:r>
          </w:p>
        </w:tc>
      </w:tr>
      <w:tr w:rsidR="007A7DCE" w:rsidRPr="0078036E" w14:paraId="1B641E81" w14:textId="77777777" w:rsidTr="0049031D">
        <w:trPr>
          <w:trHeight w:val="20"/>
          <w:jc w:val="center"/>
        </w:trPr>
        <w:tc>
          <w:tcPr>
            <w:tcW w:w="421" w:type="dxa"/>
            <w:vAlign w:val="center"/>
          </w:tcPr>
          <w:p w14:paraId="35015CD0" w14:textId="6AF2F29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w:t>
            </w:r>
          </w:p>
        </w:tc>
        <w:tc>
          <w:tcPr>
            <w:tcW w:w="1391" w:type="dxa"/>
            <w:vAlign w:val="center"/>
          </w:tcPr>
          <w:p w14:paraId="10527095" w14:textId="055229E9"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Maharashtra</w:t>
            </w:r>
          </w:p>
        </w:tc>
        <w:tc>
          <w:tcPr>
            <w:tcW w:w="978" w:type="dxa"/>
            <w:vAlign w:val="center"/>
          </w:tcPr>
          <w:p w14:paraId="45B5AF83" w14:textId="3C1E7E0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4418.24</w:t>
            </w:r>
          </w:p>
        </w:tc>
        <w:tc>
          <w:tcPr>
            <w:tcW w:w="976" w:type="dxa"/>
            <w:vAlign w:val="center"/>
          </w:tcPr>
          <w:p w14:paraId="661B14F2" w14:textId="78D596B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4777.42</w:t>
            </w:r>
          </w:p>
        </w:tc>
        <w:tc>
          <w:tcPr>
            <w:tcW w:w="1073" w:type="dxa"/>
            <w:vAlign w:val="center"/>
          </w:tcPr>
          <w:p w14:paraId="37FF7862" w14:textId="350442A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5165.80</w:t>
            </w:r>
          </w:p>
        </w:tc>
        <w:tc>
          <w:tcPr>
            <w:tcW w:w="1073" w:type="dxa"/>
            <w:vAlign w:val="center"/>
          </w:tcPr>
          <w:p w14:paraId="5EBA13BA" w14:textId="7F7DB57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5585.75</w:t>
            </w:r>
          </w:p>
        </w:tc>
        <w:tc>
          <w:tcPr>
            <w:tcW w:w="979" w:type="dxa"/>
            <w:vAlign w:val="center"/>
          </w:tcPr>
          <w:p w14:paraId="2393B564" w14:textId="14A87EC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6039.84</w:t>
            </w:r>
          </w:p>
        </w:tc>
        <w:tc>
          <w:tcPr>
            <w:tcW w:w="979" w:type="dxa"/>
            <w:vAlign w:val="center"/>
          </w:tcPr>
          <w:p w14:paraId="74A2899A" w14:textId="1F14C0F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6530.85</w:t>
            </w:r>
          </w:p>
        </w:tc>
        <w:tc>
          <w:tcPr>
            <w:tcW w:w="1056" w:type="dxa"/>
            <w:vAlign w:val="center"/>
          </w:tcPr>
          <w:p w14:paraId="1A85D5B4" w14:textId="7A3B4BF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28099.66</w:t>
            </w:r>
          </w:p>
        </w:tc>
      </w:tr>
      <w:tr w:rsidR="007A7DCE" w:rsidRPr="0078036E" w14:paraId="5F7FDA01" w14:textId="77777777" w:rsidTr="0049031D">
        <w:trPr>
          <w:trHeight w:val="20"/>
          <w:jc w:val="center"/>
        </w:trPr>
        <w:tc>
          <w:tcPr>
            <w:tcW w:w="421" w:type="dxa"/>
            <w:vAlign w:val="center"/>
          </w:tcPr>
          <w:p w14:paraId="601F0751" w14:textId="46DB361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w:t>
            </w:r>
          </w:p>
        </w:tc>
        <w:tc>
          <w:tcPr>
            <w:tcW w:w="1391" w:type="dxa"/>
            <w:vAlign w:val="center"/>
          </w:tcPr>
          <w:p w14:paraId="21689F92" w14:textId="62B73FD6"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Orissa</w:t>
            </w:r>
          </w:p>
        </w:tc>
        <w:tc>
          <w:tcPr>
            <w:tcW w:w="978" w:type="dxa"/>
            <w:vAlign w:val="center"/>
          </w:tcPr>
          <w:p w14:paraId="45BE7928" w14:textId="2B18DE0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1052.44</w:t>
            </w:r>
          </w:p>
        </w:tc>
        <w:tc>
          <w:tcPr>
            <w:tcW w:w="976" w:type="dxa"/>
            <w:vAlign w:val="center"/>
          </w:tcPr>
          <w:p w14:paraId="373ADA8F" w14:textId="740A212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1100.72</w:t>
            </w:r>
          </w:p>
        </w:tc>
        <w:tc>
          <w:tcPr>
            <w:tcW w:w="1073" w:type="dxa"/>
            <w:vAlign w:val="center"/>
          </w:tcPr>
          <w:p w14:paraId="67DF706C" w14:textId="43A6F65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1151.21</w:t>
            </w:r>
          </w:p>
        </w:tc>
        <w:tc>
          <w:tcPr>
            <w:tcW w:w="1073" w:type="dxa"/>
            <w:vAlign w:val="center"/>
          </w:tcPr>
          <w:p w14:paraId="01E8BC39" w14:textId="7745365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1204.02</w:t>
            </w:r>
          </w:p>
        </w:tc>
        <w:tc>
          <w:tcPr>
            <w:tcW w:w="979" w:type="dxa"/>
            <w:vAlign w:val="center"/>
          </w:tcPr>
          <w:p w14:paraId="58899A24" w14:textId="3543173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1259.25</w:t>
            </w:r>
          </w:p>
        </w:tc>
        <w:tc>
          <w:tcPr>
            <w:tcW w:w="979" w:type="dxa"/>
            <w:vAlign w:val="center"/>
          </w:tcPr>
          <w:p w14:paraId="31EB4334" w14:textId="69DEE1B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1317.02</w:t>
            </w:r>
          </w:p>
        </w:tc>
        <w:tc>
          <w:tcPr>
            <w:tcW w:w="1056" w:type="dxa"/>
            <w:vAlign w:val="center"/>
          </w:tcPr>
          <w:p w14:paraId="297DF07E" w14:textId="2685F48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6032.22</w:t>
            </w:r>
          </w:p>
        </w:tc>
      </w:tr>
      <w:tr w:rsidR="007A7DCE" w:rsidRPr="0078036E" w14:paraId="3BB54D02" w14:textId="77777777" w:rsidTr="0049031D">
        <w:trPr>
          <w:trHeight w:val="20"/>
          <w:jc w:val="center"/>
        </w:trPr>
        <w:tc>
          <w:tcPr>
            <w:tcW w:w="421" w:type="dxa"/>
            <w:vAlign w:val="center"/>
          </w:tcPr>
          <w:p w14:paraId="4AEDFF42" w14:textId="3558078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w:t>
            </w:r>
          </w:p>
        </w:tc>
        <w:tc>
          <w:tcPr>
            <w:tcW w:w="1391" w:type="dxa"/>
            <w:vAlign w:val="center"/>
          </w:tcPr>
          <w:p w14:paraId="276670B4" w14:textId="0D2518DD"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Punjab</w:t>
            </w:r>
          </w:p>
        </w:tc>
        <w:tc>
          <w:tcPr>
            <w:tcW w:w="978" w:type="dxa"/>
            <w:vAlign w:val="center"/>
          </w:tcPr>
          <w:p w14:paraId="1FFE682F" w14:textId="63379BD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1023.26</w:t>
            </w:r>
          </w:p>
        </w:tc>
        <w:tc>
          <w:tcPr>
            <w:tcW w:w="976" w:type="dxa"/>
            <w:vAlign w:val="center"/>
          </w:tcPr>
          <w:p w14:paraId="7DEF8ECA" w14:textId="6761905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1082.30</w:t>
            </w:r>
          </w:p>
        </w:tc>
        <w:tc>
          <w:tcPr>
            <w:tcW w:w="1073" w:type="dxa"/>
            <w:vAlign w:val="center"/>
          </w:tcPr>
          <w:p w14:paraId="6A45D2AB" w14:textId="24EB5DA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1144.75</w:t>
            </w:r>
          </w:p>
        </w:tc>
        <w:tc>
          <w:tcPr>
            <w:tcW w:w="1073" w:type="dxa"/>
            <w:vAlign w:val="center"/>
          </w:tcPr>
          <w:p w14:paraId="13AFCA8F" w14:textId="7473C54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1210.81</w:t>
            </w:r>
          </w:p>
        </w:tc>
        <w:tc>
          <w:tcPr>
            <w:tcW w:w="979" w:type="dxa"/>
            <w:vAlign w:val="center"/>
          </w:tcPr>
          <w:p w14:paraId="59FA7AA8" w14:textId="1863FBD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1280.67</w:t>
            </w:r>
          </w:p>
        </w:tc>
        <w:tc>
          <w:tcPr>
            <w:tcW w:w="979" w:type="dxa"/>
            <w:vAlign w:val="center"/>
          </w:tcPr>
          <w:p w14:paraId="79406D66" w14:textId="4EC0AEF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1354.57</w:t>
            </w:r>
          </w:p>
        </w:tc>
        <w:tc>
          <w:tcPr>
            <w:tcW w:w="1056" w:type="dxa"/>
            <w:vAlign w:val="center"/>
          </w:tcPr>
          <w:p w14:paraId="37B1D140" w14:textId="5105D18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6073.11</w:t>
            </w:r>
          </w:p>
        </w:tc>
      </w:tr>
      <w:tr w:rsidR="007A7DCE" w:rsidRPr="0078036E" w14:paraId="00158408" w14:textId="77777777" w:rsidTr="0049031D">
        <w:trPr>
          <w:trHeight w:val="20"/>
          <w:jc w:val="center"/>
        </w:trPr>
        <w:tc>
          <w:tcPr>
            <w:tcW w:w="421" w:type="dxa"/>
            <w:vAlign w:val="center"/>
          </w:tcPr>
          <w:p w14:paraId="16E46294" w14:textId="5476D7D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w:t>
            </w:r>
          </w:p>
        </w:tc>
        <w:tc>
          <w:tcPr>
            <w:tcW w:w="1391" w:type="dxa"/>
            <w:vAlign w:val="center"/>
          </w:tcPr>
          <w:p w14:paraId="52A673F9" w14:textId="6E42F7AB"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Rajasthan</w:t>
            </w:r>
          </w:p>
        </w:tc>
        <w:tc>
          <w:tcPr>
            <w:tcW w:w="978" w:type="dxa"/>
            <w:vAlign w:val="center"/>
          </w:tcPr>
          <w:p w14:paraId="56BBF7BD" w14:textId="1A245B2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1464.82</w:t>
            </w:r>
          </w:p>
        </w:tc>
        <w:tc>
          <w:tcPr>
            <w:tcW w:w="976" w:type="dxa"/>
            <w:vAlign w:val="center"/>
          </w:tcPr>
          <w:p w14:paraId="041BF72A" w14:textId="7FCA912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1505.98</w:t>
            </w:r>
          </w:p>
        </w:tc>
        <w:tc>
          <w:tcPr>
            <w:tcW w:w="1073" w:type="dxa"/>
            <w:vAlign w:val="center"/>
          </w:tcPr>
          <w:p w14:paraId="3FE5B025" w14:textId="192F942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1548.30</w:t>
            </w:r>
          </w:p>
        </w:tc>
        <w:tc>
          <w:tcPr>
            <w:tcW w:w="1073" w:type="dxa"/>
            <w:vAlign w:val="center"/>
          </w:tcPr>
          <w:p w14:paraId="69A34385" w14:textId="5152A5B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1591.81</w:t>
            </w:r>
          </w:p>
        </w:tc>
        <w:tc>
          <w:tcPr>
            <w:tcW w:w="979" w:type="dxa"/>
            <w:vAlign w:val="center"/>
          </w:tcPr>
          <w:p w14:paraId="37623B7B" w14:textId="6AABE3E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1636.53</w:t>
            </w:r>
          </w:p>
        </w:tc>
        <w:tc>
          <w:tcPr>
            <w:tcW w:w="979" w:type="dxa"/>
            <w:vAlign w:val="center"/>
          </w:tcPr>
          <w:p w14:paraId="4E90A251" w14:textId="5F53C66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1682.52</w:t>
            </w:r>
          </w:p>
        </w:tc>
        <w:tc>
          <w:tcPr>
            <w:tcW w:w="1056" w:type="dxa"/>
            <w:vAlign w:val="center"/>
          </w:tcPr>
          <w:p w14:paraId="1DAFE5F4" w14:textId="2BEF25F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7965.14</w:t>
            </w:r>
          </w:p>
        </w:tc>
      </w:tr>
      <w:tr w:rsidR="007A7DCE" w:rsidRPr="0078036E" w14:paraId="4230118F" w14:textId="77777777" w:rsidTr="0049031D">
        <w:trPr>
          <w:trHeight w:val="20"/>
          <w:jc w:val="center"/>
        </w:trPr>
        <w:tc>
          <w:tcPr>
            <w:tcW w:w="421" w:type="dxa"/>
            <w:vAlign w:val="center"/>
          </w:tcPr>
          <w:p w14:paraId="68B0DE6C" w14:textId="491E7D0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w:t>
            </w:r>
          </w:p>
        </w:tc>
        <w:tc>
          <w:tcPr>
            <w:tcW w:w="1391" w:type="dxa"/>
            <w:vAlign w:val="center"/>
          </w:tcPr>
          <w:p w14:paraId="6451C2ED" w14:textId="31AF6CD4"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Tamil Nadu</w:t>
            </w:r>
          </w:p>
        </w:tc>
        <w:tc>
          <w:tcPr>
            <w:tcW w:w="978" w:type="dxa"/>
            <w:vAlign w:val="center"/>
          </w:tcPr>
          <w:p w14:paraId="2FAFFB4E" w14:textId="31EEE17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2920.83</w:t>
            </w:r>
          </w:p>
        </w:tc>
        <w:tc>
          <w:tcPr>
            <w:tcW w:w="976" w:type="dxa"/>
            <w:vAlign w:val="center"/>
          </w:tcPr>
          <w:p w14:paraId="0D48A6D2" w14:textId="344BC9D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3150.89</w:t>
            </w:r>
          </w:p>
        </w:tc>
        <w:tc>
          <w:tcPr>
            <w:tcW w:w="1073" w:type="dxa"/>
            <w:vAlign w:val="center"/>
          </w:tcPr>
          <w:p w14:paraId="373484B5" w14:textId="5A8B783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3399.08</w:t>
            </w:r>
          </w:p>
        </w:tc>
        <w:tc>
          <w:tcPr>
            <w:tcW w:w="1073" w:type="dxa"/>
            <w:vAlign w:val="center"/>
          </w:tcPr>
          <w:p w14:paraId="74D3D2FE" w14:textId="338F2BB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3666.80</w:t>
            </w:r>
          </w:p>
        </w:tc>
        <w:tc>
          <w:tcPr>
            <w:tcW w:w="979" w:type="dxa"/>
            <w:vAlign w:val="center"/>
          </w:tcPr>
          <w:p w14:paraId="7D523FCC" w14:textId="168D20F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3955.62</w:t>
            </w:r>
          </w:p>
        </w:tc>
        <w:tc>
          <w:tcPr>
            <w:tcW w:w="979" w:type="dxa"/>
            <w:vAlign w:val="center"/>
          </w:tcPr>
          <w:p w14:paraId="57667A1B" w14:textId="3F36658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4267.19</w:t>
            </w:r>
          </w:p>
        </w:tc>
        <w:tc>
          <w:tcPr>
            <w:tcW w:w="1056" w:type="dxa"/>
            <w:vAlign w:val="center"/>
          </w:tcPr>
          <w:p w14:paraId="11674789" w14:textId="24E1653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18439.58</w:t>
            </w:r>
          </w:p>
        </w:tc>
      </w:tr>
      <w:tr w:rsidR="007A7DCE" w:rsidRPr="0078036E" w14:paraId="248C20DD" w14:textId="77777777" w:rsidTr="0049031D">
        <w:trPr>
          <w:trHeight w:val="20"/>
          <w:jc w:val="center"/>
        </w:trPr>
        <w:tc>
          <w:tcPr>
            <w:tcW w:w="421" w:type="dxa"/>
            <w:vAlign w:val="center"/>
          </w:tcPr>
          <w:p w14:paraId="1A99E547" w14:textId="2ED585E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w:t>
            </w:r>
          </w:p>
        </w:tc>
        <w:tc>
          <w:tcPr>
            <w:tcW w:w="1391" w:type="dxa"/>
            <w:vAlign w:val="center"/>
          </w:tcPr>
          <w:p w14:paraId="1CFD8952" w14:textId="507F54B9"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Uttar Pradesh</w:t>
            </w:r>
          </w:p>
        </w:tc>
        <w:tc>
          <w:tcPr>
            <w:tcW w:w="978" w:type="dxa"/>
            <w:vAlign w:val="center"/>
          </w:tcPr>
          <w:p w14:paraId="4589CEED" w14:textId="3FE21A9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5119.70</w:t>
            </w:r>
          </w:p>
        </w:tc>
        <w:tc>
          <w:tcPr>
            <w:tcW w:w="976" w:type="dxa"/>
            <w:vAlign w:val="center"/>
          </w:tcPr>
          <w:p w14:paraId="52D44685" w14:textId="602212F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5535.89</w:t>
            </w:r>
          </w:p>
        </w:tc>
        <w:tc>
          <w:tcPr>
            <w:tcW w:w="1073" w:type="dxa"/>
            <w:vAlign w:val="center"/>
          </w:tcPr>
          <w:p w14:paraId="34A22FCA" w14:textId="163DF22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5985.91</w:t>
            </w:r>
          </w:p>
        </w:tc>
        <w:tc>
          <w:tcPr>
            <w:tcW w:w="1073" w:type="dxa"/>
            <w:vAlign w:val="center"/>
          </w:tcPr>
          <w:p w14:paraId="4D101932" w14:textId="617FC85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6472.51</w:t>
            </w:r>
          </w:p>
        </w:tc>
        <w:tc>
          <w:tcPr>
            <w:tcW w:w="979" w:type="dxa"/>
            <w:vAlign w:val="center"/>
          </w:tcPr>
          <w:p w14:paraId="7DA37192" w14:textId="7E367DD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6998.67</w:t>
            </w:r>
          </w:p>
        </w:tc>
        <w:tc>
          <w:tcPr>
            <w:tcW w:w="979" w:type="dxa"/>
            <w:vAlign w:val="center"/>
          </w:tcPr>
          <w:p w14:paraId="0248E926" w14:textId="0B8663B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7567.60</w:t>
            </w:r>
          </w:p>
        </w:tc>
        <w:tc>
          <w:tcPr>
            <w:tcW w:w="1056" w:type="dxa"/>
            <w:vAlign w:val="center"/>
          </w:tcPr>
          <w:p w14:paraId="42251B11" w14:textId="3DAC4FC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32560.57</w:t>
            </w:r>
          </w:p>
        </w:tc>
      </w:tr>
      <w:tr w:rsidR="007A7DCE" w:rsidRPr="0078036E" w14:paraId="4A8B77B4" w14:textId="77777777" w:rsidTr="0049031D">
        <w:trPr>
          <w:trHeight w:val="20"/>
          <w:jc w:val="center"/>
        </w:trPr>
        <w:tc>
          <w:tcPr>
            <w:tcW w:w="421" w:type="dxa"/>
            <w:vAlign w:val="center"/>
          </w:tcPr>
          <w:p w14:paraId="5887AEDA" w14:textId="637C0F5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w:t>
            </w:r>
          </w:p>
        </w:tc>
        <w:tc>
          <w:tcPr>
            <w:tcW w:w="1391" w:type="dxa"/>
            <w:vAlign w:val="center"/>
          </w:tcPr>
          <w:p w14:paraId="684BB424" w14:textId="2965DD2B"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West Bengal</w:t>
            </w:r>
          </w:p>
        </w:tc>
        <w:tc>
          <w:tcPr>
            <w:tcW w:w="978" w:type="dxa"/>
            <w:vAlign w:val="center"/>
          </w:tcPr>
          <w:p w14:paraId="3B4AA5D7" w14:textId="43E27C8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2787.77</w:t>
            </w:r>
          </w:p>
        </w:tc>
        <w:tc>
          <w:tcPr>
            <w:tcW w:w="976" w:type="dxa"/>
            <w:vAlign w:val="center"/>
          </w:tcPr>
          <w:p w14:paraId="39C8FE00" w14:textId="62D14DC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3079.87</w:t>
            </w:r>
          </w:p>
        </w:tc>
        <w:tc>
          <w:tcPr>
            <w:tcW w:w="1073" w:type="dxa"/>
            <w:vAlign w:val="center"/>
          </w:tcPr>
          <w:p w14:paraId="6EC5181E" w14:textId="12A2486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3402.57</w:t>
            </w:r>
          </w:p>
        </w:tc>
        <w:tc>
          <w:tcPr>
            <w:tcW w:w="1073" w:type="dxa"/>
            <w:vAlign w:val="center"/>
          </w:tcPr>
          <w:p w14:paraId="1A3B3A1A" w14:textId="76C0613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3759.08</w:t>
            </w:r>
          </w:p>
        </w:tc>
        <w:tc>
          <w:tcPr>
            <w:tcW w:w="979" w:type="dxa"/>
            <w:vAlign w:val="center"/>
          </w:tcPr>
          <w:p w14:paraId="6D30AD04" w14:textId="4D5E9E5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4152.94</w:t>
            </w:r>
          </w:p>
        </w:tc>
        <w:tc>
          <w:tcPr>
            <w:tcW w:w="979" w:type="dxa"/>
            <w:vAlign w:val="center"/>
          </w:tcPr>
          <w:p w14:paraId="7F6A6DC8" w14:textId="41ECAF1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4588.08</w:t>
            </w:r>
          </w:p>
        </w:tc>
        <w:tc>
          <w:tcPr>
            <w:tcW w:w="1056" w:type="dxa"/>
            <w:vAlign w:val="center"/>
          </w:tcPr>
          <w:p w14:paraId="31029143" w14:textId="3005F68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18982.53</w:t>
            </w:r>
          </w:p>
        </w:tc>
      </w:tr>
      <w:tr w:rsidR="007A7DCE" w:rsidRPr="0078036E" w14:paraId="4E143C71" w14:textId="77777777" w:rsidTr="0049031D">
        <w:trPr>
          <w:trHeight w:val="20"/>
          <w:jc w:val="center"/>
        </w:trPr>
        <w:tc>
          <w:tcPr>
            <w:tcW w:w="421" w:type="dxa"/>
            <w:vAlign w:val="center"/>
          </w:tcPr>
          <w:p w14:paraId="7D2CFEB7" w14:textId="795F970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14</w:t>
            </w:r>
          </w:p>
        </w:tc>
        <w:tc>
          <w:tcPr>
            <w:tcW w:w="1391" w:type="dxa"/>
            <w:vAlign w:val="center"/>
          </w:tcPr>
          <w:p w14:paraId="42349FBA" w14:textId="63331CBF"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b/>
                <w:bCs/>
                <w:sz w:val="16"/>
                <w:szCs w:val="16"/>
              </w:rPr>
              <w:t>Major States</w:t>
            </w:r>
          </w:p>
        </w:tc>
        <w:tc>
          <w:tcPr>
            <w:tcW w:w="978" w:type="dxa"/>
            <w:vAlign w:val="center"/>
          </w:tcPr>
          <w:p w14:paraId="77E0761D" w14:textId="3AE2C6C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33413.80</w:t>
            </w:r>
          </w:p>
        </w:tc>
        <w:tc>
          <w:tcPr>
            <w:tcW w:w="976" w:type="dxa"/>
            <w:vAlign w:val="center"/>
          </w:tcPr>
          <w:p w14:paraId="792024AD" w14:textId="28F139C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35727.67</w:t>
            </w:r>
          </w:p>
        </w:tc>
        <w:tc>
          <w:tcPr>
            <w:tcW w:w="1073" w:type="dxa"/>
            <w:vAlign w:val="center"/>
          </w:tcPr>
          <w:p w14:paraId="612C01A6" w14:textId="4943686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38216.92</w:t>
            </w:r>
          </w:p>
        </w:tc>
        <w:tc>
          <w:tcPr>
            <w:tcW w:w="1073" w:type="dxa"/>
            <w:vAlign w:val="center"/>
          </w:tcPr>
          <w:p w14:paraId="7048206F" w14:textId="3A0A209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40895.62</w:t>
            </w:r>
          </w:p>
        </w:tc>
        <w:tc>
          <w:tcPr>
            <w:tcW w:w="979" w:type="dxa"/>
            <w:vAlign w:val="center"/>
          </w:tcPr>
          <w:p w14:paraId="1A112814" w14:textId="31906E5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43779.04</w:t>
            </w:r>
          </w:p>
        </w:tc>
        <w:tc>
          <w:tcPr>
            <w:tcW w:w="979" w:type="dxa"/>
            <w:vAlign w:val="center"/>
          </w:tcPr>
          <w:p w14:paraId="1F3B5485" w14:textId="0CE699C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46883.69</w:t>
            </w:r>
          </w:p>
        </w:tc>
        <w:tc>
          <w:tcPr>
            <w:tcW w:w="1056" w:type="dxa"/>
            <w:vAlign w:val="center"/>
          </w:tcPr>
          <w:p w14:paraId="42263035" w14:textId="05A6901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205502.94</w:t>
            </w:r>
          </w:p>
        </w:tc>
      </w:tr>
      <w:tr w:rsidR="00E0484A" w:rsidRPr="0078036E" w14:paraId="64F403C2" w14:textId="77777777" w:rsidTr="009F514A">
        <w:trPr>
          <w:trHeight w:val="20"/>
          <w:jc w:val="center"/>
        </w:trPr>
        <w:tc>
          <w:tcPr>
            <w:tcW w:w="8926" w:type="dxa"/>
            <w:gridSpan w:val="9"/>
            <w:vAlign w:val="center"/>
          </w:tcPr>
          <w:p w14:paraId="654D63A1" w14:textId="2C2172C1"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20"/>
                <w:szCs w:val="20"/>
              </w:rPr>
              <w:t>Expenditure Category: Fiscal Services</w:t>
            </w:r>
          </w:p>
        </w:tc>
      </w:tr>
      <w:tr w:rsidR="007A7DCE" w:rsidRPr="0078036E" w14:paraId="0E6ABF31" w14:textId="77777777" w:rsidTr="0049031D">
        <w:trPr>
          <w:trHeight w:val="20"/>
          <w:jc w:val="center"/>
        </w:trPr>
        <w:tc>
          <w:tcPr>
            <w:tcW w:w="421" w:type="dxa"/>
            <w:vAlign w:val="center"/>
          </w:tcPr>
          <w:p w14:paraId="238BA775" w14:textId="26B3F12A"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3FA405C7" w14:textId="60379147" w:rsidR="00E0484A" w:rsidRPr="00D01DF5" w:rsidRDefault="00E0484A" w:rsidP="00E0484A">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127E67B5" w14:textId="4ECD3366"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165D3803" w14:textId="3139AB65"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113A99D8" w14:textId="0C710548"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102CA347" w14:textId="66E4487C"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1B8089ED" w14:textId="5EBDB920"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2D38063E" w14:textId="2F73F909"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59543464" w14:textId="0F25A424"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7A7DCE" w:rsidRPr="0078036E" w14:paraId="601FEC87" w14:textId="77777777" w:rsidTr="0049031D">
        <w:trPr>
          <w:trHeight w:val="20"/>
          <w:jc w:val="center"/>
        </w:trPr>
        <w:tc>
          <w:tcPr>
            <w:tcW w:w="421" w:type="dxa"/>
            <w:vAlign w:val="center"/>
          </w:tcPr>
          <w:p w14:paraId="12938CA5" w14:textId="43C1DFA5"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418757CE" w14:textId="7FAD864B" w:rsidR="00E0484A" w:rsidRPr="00D01DF5" w:rsidRDefault="00E0484A" w:rsidP="00E0484A">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004046B7" w14:textId="3F05E4C8"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10403.35</w:t>
            </w:r>
          </w:p>
        </w:tc>
        <w:tc>
          <w:tcPr>
            <w:tcW w:w="976" w:type="dxa"/>
            <w:vAlign w:val="center"/>
          </w:tcPr>
          <w:p w14:paraId="3CE59BE5" w14:textId="6026981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11002.66</w:t>
            </w:r>
          </w:p>
        </w:tc>
        <w:tc>
          <w:tcPr>
            <w:tcW w:w="1073" w:type="dxa"/>
            <w:vAlign w:val="center"/>
          </w:tcPr>
          <w:p w14:paraId="4F9A699F" w14:textId="43A640A4"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11636.50</w:t>
            </w:r>
          </w:p>
        </w:tc>
        <w:tc>
          <w:tcPr>
            <w:tcW w:w="1073" w:type="dxa"/>
            <w:vAlign w:val="center"/>
          </w:tcPr>
          <w:p w14:paraId="71D2E149" w14:textId="5C0A9E94"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12306.85</w:t>
            </w:r>
          </w:p>
        </w:tc>
        <w:tc>
          <w:tcPr>
            <w:tcW w:w="979" w:type="dxa"/>
            <w:vAlign w:val="center"/>
          </w:tcPr>
          <w:p w14:paraId="42199645" w14:textId="1E728D27"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13015.82</w:t>
            </w:r>
          </w:p>
        </w:tc>
        <w:tc>
          <w:tcPr>
            <w:tcW w:w="979" w:type="dxa"/>
            <w:vAlign w:val="center"/>
          </w:tcPr>
          <w:p w14:paraId="6AA6AC81" w14:textId="2B9DCE89"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13765.64</w:t>
            </w:r>
          </w:p>
        </w:tc>
        <w:tc>
          <w:tcPr>
            <w:tcW w:w="1056" w:type="dxa"/>
            <w:vAlign w:val="center"/>
          </w:tcPr>
          <w:p w14:paraId="1734D018" w14:textId="60092E8A"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61727.48</w:t>
            </w:r>
          </w:p>
        </w:tc>
      </w:tr>
      <w:tr w:rsidR="007A7DCE" w:rsidRPr="0078036E" w14:paraId="5DC6E099" w14:textId="77777777" w:rsidTr="0049031D">
        <w:trPr>
          <w:trHeight w:val="20"/>
          <w:jc w:val="center"/>
        </w:trPr>
        <w:tc>
          <w:tcPr>
            <w:tcW w:w="421" w:type="dxa"/>
            <w:vAlign w:val="center"/>
          </w:tcPr>
          <w:p w14:paraId="75456314" w14:textId="31A336D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01F6DC79" w14:textId="5D7C5143"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7674B823" w14:textId="0546722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7052.13</w:t>
            </w:r>
          </w:p>
        </w:tc>
        <w:tc>
          <w:tcPr>
            <w:tcW w:w="976" w:type="dxa"/>
            <w:vAlign w:val="center"/>
          </w:tcPr>
          <w:p w14:paraId="76C92108" w14:textId="7A95EA7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7704.89</w:t>
            </w:r>
          </w:p>
        </w:tc>
        <w:tc>
          <w:tcPr>
            <w:tcW w:w="1073" w:type="dxa"/>
            <w:vAlign w:val="center"/>
          </w:tcPr>
          <w:p w14:paraId="1D052CAA" w14:textId="64513FE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8418.06</w:t>
            </w:r>
          </w:p>
        </w:tc>
        <w:tc>
          <w:tcPr>
            <w:tcW w:w="1073" w:type="dxa"/>
            <w:vAlign w:val="center"/>
          </w:tcPr>
          <w:p w14:paraId="6A8F39DE" w14:textId="1C0C9AC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9197.26</w:t>
            </w:r>
          </w:p>
        </w:tc>
        <w:tc>
          <w:tcPr>
            <w:tcW w:w="979" w:type="dxa"/>
            <w:vAlign w:val="center"/>
          </w:tcPr>
          <w:p w14:paraId="13ABD7C3" w14:textId="2A9B217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10048.57</w:t>
            </w:r>
          </w:p>
        </w:tc>
        <w:tc>
          <w:tcPr>
            <w:tcW w:w="979" w:type="dxa"/>
            <w:vAlign w:val="center"/>
          </w:tcPr>
          <w:p w14:paraId="42810CB6" w14:textId="1C604D5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10978.69</w:t>
            </w:r>
          </w:p>
        </w:tc>
        <w:tc>
          <w:tcPr>
            <w:tcW w:w="1056" w:type="dxa"/>
            <w:vAlign w:val="center"/>
          </w:tcPr>
          <w:p w14:paraId="6BD176C9" w14:textId="3582E9E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46347.47</w:t>
            </w:r>
          </w:p>
        </w:tc>
      </w:tr>
      <w:tr w:rsidR="007A7DCE" w:rsidRPr="0078036E" w14:paraId="15E8144E" w14:textId="77777777" w:rsidTr="0049031D">
        <w:trPr>
          <w:trHeight w:val="20"/>
          <w:jc w:val="center"/>
        </w:trPr>
        <w:tc>
          <w:tcPr>
            <w:tcW w:w="421" w:type="dxa"/>
            <w:vAlign w:val="center"/>
          </w:tcPr>
          <w:p w14:paraId="2F647AB7" w14:textId="035FA92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3CC48DD4" w14:textId="07E965E9"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5B81E591" w14:textId="1FF7513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5467.82</w:t>
            </w:r>
          </w:p>
        </w:tc>
        <w:tc>
          <w:tcPr>
            <w:tcW w:w="976" w:type="dxa"/>
            <w:vAlign w:val="center"/>
          </w:tcPr>
          <w:p w14:paraId="2150C691" w14:textId="6DF3A64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6191.97</w:t>
            </w:r>
          </w:p>
        </w:tc>
        <w:tc>
          <w:tcPr>
            <w:tcW w:w="1073" w:type="dxa"/>
            <w:vAlign w:val="center"/>
          </w:tcPr>
          <w:p w14:paraId="32DE68D1" w14:textId="3740242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7012.04</w:t>
            </w:r>
          </w:p>
        </w:tc>
        <w:tc>
          <w:tcPr>
            <w:tcW w:w="1073" w:type="dxa"/>
            <w:vAlign w:val="center"/>
          </w:tcPr>
          <w:p w14:paraId="1967DFFD" w14:textId="32B7C4F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7940.71</w:t>
            </w:r>
          </w:p>
        </w:tc>
        <w:tc>
          <w:tcPr>
            <w:tcW w:w="979" w:type="dxa"/>
            <w:vAlign w:val="center"/>
          </w:tcPr>
          <w:p w14:paraId="41089A04" w14:textId="4F0BCE3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8992.38</w:t>
            </w:r>
          </w:p>
        </w:tc>
        <w:tc>
          <w:tcPr>
            <w:tcW w:w="979" w:type="dxa"/>
            <w:vAlign w:val="center"/>
          </w:tcPr>
          <w:p w14:paraId="020972A2" w14:textId="12F2B3F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10183.33</w:t>
            </w:r>
          </w:p>
        </w:tc>
        <w:tc>
          <w:tcPr>
            <w:tcW w:w="1056" w:type="dxa"/>
            <w:vAlign w:val="center"/>
          </w:tcPr>
          <w:p w14:paraId="3F7F68E6" w14:textId="03EF46C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40320.44</w:t>
            </w:r>
          </w:p>
        </w:tc>
      </w:tr>
      <w:tr w:rsidR="007A7DCE" w:rsidRPr="0078036E" w14:paraId="57834F63" w14:textId="77777777" w:rsidTr="0049031D">
        <w:trPr>
          <w:trHeight w:val="20"/>
          <w:jc w:val="center"/>
        </w:trPr>
        <w:tc>
          <w:tcPr>
            <w:tcW w:w="421" w:type="dxa"/>
            <w:vAlign w:val="center"/>
          </w:tcPr>
          <w:p w14:paraId="17DE2703" w14:textId="63895E1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408B6E30" w14:textId="27EB32A8"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400F07F2" w14:textId="0503278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2882.18</w:t>
            </w:r>
          </w:p>
        </w:tc>
        <w:tc>
          <w:tcPr>
            <w:tcW w:w="976" w:type="dxa"/>
            <w:vAlign w:val="center"/>
          </w:tcPr>
          <w:p w14:paraId="1BB0A6F5" w14:textId="650F5CD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3267.72</w:t>
            </w:r>
          </w:p>
        </w:tc>
        <w:tc>
          <w:tcPr>
            <w:tcW w:w="1073" w:type="dxa"/>
            <w:vAlign w:val="center"/>
          </w:tcPr>
          <w:p w14:paraId="6301C8E3" w14:textId="1969DAA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3704.82</w:t>
            </w:r>
          </w:p>
        </w:tc>
        <w:tc>
          <w:tcPr>
            <w:tcW w:w="1073" w:type="dxa"/>
            <w:vAlign w:val="center"/>
          </w:tcPr>
          <w:p w14:paraId="56849C08" w14:textId="0CF53E9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4200.40</w:t>
            </w:r>
          </w:p>
        </w:tc>
        <w:tc>
          <w:tcPr>
            <w:tcW w:w="979" w:type="dxa"/>
            <w:vAlign w:val="center"/>
          </w:tcPr>
          <w:p w14:paraId="3862CA81" w14:textId="376FC4A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4762.28</w:t>
            </w:r>
          </w:p>
        </w:tc>
        <w:tc>
          <w:tcPr>
            <w:tcW w:w="979" w:type="dxa"/>
            <w:vAlign w:val="center"/>
          </w:tcPr>
          <w:p w14:paraId="40FF8A69" w14:textId="55D74C2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5399.31</w:t>
            </w:r>
          </w:p>
        </w:tc>
        <w:tc>
          <w:tcPr>
            <w:tcW w:w="1056" w:type="dxa"/>
            <w:vAlign w:val="center"/>
          </w:tcPr>
          <w:p w14:paraId="266DA5ED" w14:textId="3F912AB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21334.53</w:t>
            </w:r>
          </w:p>
        </w:tc>
      </w:tr>
      <w:tr w:rsidR="007A7DCE" w:rsidRPr="0078036E" w14:paraId="6433164B" w14:textId="77777777" w:rsidTr="0049031D">
        <w:trPr>
          <w:trHeight w:val="20"/>
          <w:jc w:val="center"/>
        </w:trPr>
        <w:tc>
          <w:tcPr>
            <w:tcW w:w="421" w:type="dxa"/>
            <w:vAlign w:val="center"/>
          </w:tcPr>
          <w:p w14:paraId="7BFF6DC3" w14:textId="16EB2BB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1122C336" w14:textId="56F8D79B"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7DA79B59" w14:textId="2374442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7071.42</w:t>
            </w:r>
          </w:p>
        </w:tc>
        <w:tc>
          <w:tcPr>
            <w:tcW w:w="976" w:type="dxa"/>
            <w:vAlign w:val="center"/>
          </w:tcPr>
          <w:p w14:paraId="21FF9008" w14:textId="3E66724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7500.38</w:t>
            </w:r>
          </w:p>
        </w:tc>
        <w:tc>
          <w:tcPr>
            <w:tcW w:w="1073" w:type="dxa"/>
            <w:vAlign w:val="center"/>
          </w:tcPr>
          <w:p w14:paraId="64454F8E" w14:textId="7B3A711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7955.37</w:t>
            </w:r>
          </w:p>
        </w:tc>
        <w:tc>
          <w:tcPr>
            <w:tcW w:w="1073" w:type="dxa"/>
            <w:vAlign w:val="center"/>
          </w:tcPr>
          <w:p w14:paraId="5209F3D2" w14:textId="0C11901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8437.96</w:t>
            </w:r>
          </w:p>
        </w:tc>
        <w:tc>
          <w:tcPr>
            <w:tcW w:w="979" w:type="dxa"/>
            <w:vAlign w:val="center"/>
          </w:tcPr>
          <w:p w14:paraId="62DB9515" w14:textId="18D2A60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8949.82</w:t>
            </w:r>
          </w:p>
        </w:tc>
        <w:tc>
          <w:tcPr>
            <w:tcW w:w="979" w:type="dxa"/>
            <w:vAlign w:val="center"/>
          </w:tcPr>
          <w:p w14:paraId="1CF31FA5" w14:textId="6438B0F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9492.74</w:t>
            </w:r>
          </w:p>
        </w:tc>
        <w:tc>
          <w:tcPr>
            <w:tcW w:w="1056" w:type="dxa"/>
            <w:vAlign w:val="center"/>
          </w:tcPr>
          <w:p w14:paraId="3611CEB0" w14:textId="6DEAAE3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42336.28</w:t>
            </w:r>
          </w:p>
        </w:tc>
      </w:tr>
      <w:tr w:rsidR="007A7DCE" w:rsidRPr="0078036E" w14:paraId="62D5D255" w14:textId="77777777" w:rsidTr="0049031D">
        <w:trPr>
          <w:trHeight w:val="20"/>
          <w:jc w:val="center"/>
        </w:trPr>
        <w:tc>
          <w:tcPr>
            <w:tcW w:w="421" w:type="dxa"/>
            <w:vAlign w:val="center"/>
          </w:tcPr>
          <w:p w14:paraId="62FADA55" w14:textId="3FF2F3F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4C96E3FE" w14:textId="66868347"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53B55D71" w14:textId="5167233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7071.26</w:t>
            </w:r>
          </w:p>
        </w:tc>
        <w:tc>
          <w:tcPr>
            <w:tcW w:w="976" w:type="dxa"/>
            <w:vAlign w:val="center"/>
          </w:tcPr>
          <w:p w14:paraId="6FCE8D8B" w14:textId="7CBFE34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7612.83</w:t>
            </w:r>
          </w:p>
        </w:tc>
        <w:tc>
          <w:tcPr>
            <w:tcW w:w="1073" w:type="dxa"/>
            <w:vAlign w:val="center"/>
          </w:tcPr>
          <w:p w14:paraId="6218F100" w14:textId="688002B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8195.88</w:t>
            </w:r>
          </w:p>
        </w:tc>
        <w:tc>
          <w:tcPr>
            <w:tcW w:w="1073" w:type="dxa"/>
            <w:vAlign w:val="center"/>
          </w:tcPr>
          <w:p w14:paraId="71E26F3A" w14:textId="11F64A4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8823.59</w:t>
            </w:r>
          </w:p>
        </w:tc>
        <w:tc>
          <w:tcPr>
            <w:tcW w:w="979" w:type="dxa"/>
            <w:vAlign w:val="center"/>
          </w:tcPr>
          <w:p w14:paraId="16D2094C" w14:textId="308D61E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9499.37</w:t>
            </w:r>
          </w:p>
        </w:tc>
        <w:tc>
          <w:tcPr>
            <w:tcW w:w="979" w:type="dxa"/>
            <w:vAlign w:val="center"/>
          </w:tcPr>
          <w:p w14:paraId="12BB5A97" w14:textId="3AF1FDB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10226.91</w:t>
            </w:r>
          </w:p>
        </w:tc>
        <w:tc>
          <w:tcPr>
            <w:tcW w:w="1056" w:type="dxa"/>
            <w:vAlign w:val="center"/>
          </w:tcPr>
          <w:p w14:paraId="388F0C40" w14:textId="70A00A2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44358.58</w:t>
            </w:r>
          </w:p>
        </w:tc>
      </w:tr>
      <w:tr w:rsidR="007A7DCE" w:rsidRPr="0078036E" w14:paraId="2D02ADA0" w14:textId="77777777" w:rsidTr="0049031D">
        <w:trPr>
          <w:trHeight w:val="20"/>
          <w:jc w:val="center"/>
        </w:trPr>
        <w:tc>
          <w:tcPr>
            <w:tcW w:w="421" w:type="dxa"/>
            <w:vAlign w:val="center"/>
          </w:tcPr>
          <w:p w14:paraId="43333141" w14:textId="5ACB9A1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w:t>
            </w:r>
          </w:p>
        </w:tc>
        <w:tc>
          <w:tcPr>
            <w:tcW w:w="1391" w:type="dxa"/>
            <w:vAlign w:val="center"/>
          </w:tcPr>
          <w:p w14:paraId="1DF56415" w14:textId="4FE2F1FE"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Madhya Pradesh</w:t>
            </w:r>
          </w:p>
        </w:tc>
        <w:tc>
          <w:tcPr>
            <w:tcW w:w="978" w:type="dxa"/>
            <w:vAlign w:val="center"/>
          </w:tcPr>
          <w:p w14:paraId="6A0D33EC" w14:textId="506A795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9634.41</w:t>
            </w:r>
          </w:p>
        </w:tc>
        <w:tc>
          <w:tcPr>
            <w:tcW w:w="976" w:type="dxa"/>
            <w:vAlign w:val="center"/>
          </w:tcPr>
          <w:p w14:paraId="178DCAB7" w14:textId="1FBEA15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10041.87</w:t>
            </w:r>
          </w:p>
        </w:tc>
        <w:tc>
          <w:tcPr>
            <w:tcW w:w="1073" w:type="dxa"/>
            <w:vAlign w:val="center"/>
          </w:tcPr>
          <w:p w14:paraId="35A68A20" w14:textId="6F3FE45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10466.58</w:t>
            </w:r>
          </w:p>
        </w:tc>
        <w:tc>
          <w:tcPr>
            <w:tcW w:w="1073" w:type="dxa"/>
            <w:vAlign w:val="center"/>
          </w:tcPr>
          <w:p w14:paraId="510DB794" w14:textId="01289D4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10909.24</w:t>
            </w:r>
          </w:p>
        </w:tc>
        <w:tc>
          <w:tcPr>
            <w:tcW w:w="979" w:type="dxa"/>
            <w:vAlign w:val="center"/>
          </w:tcPr>
          <w:p w14:paraId="16488D52" w14:textId="0E25759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11370.62</w:t>
            </w:r>
          </w:p>
        </w:tc>
        <w:tc>
          <w:tcPr>
            <w:tcW w:w="979" w:type="dxa"/>
            <w:vAlign w:val="center"/>
          </w:tcPr>
          <w:p w14:paraId="7862537C" w14:textId="4E1D1DC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11851.52</w:t>
            </w:r>
          </w:p>
        </w:tc>
        <w:tc>
          <w:tcPr>
            <w:tcW w:w="1056" w:type="dxa"/>
            <w:vAlign w:val="center"/>
          </w:tcPr>
          <w:p w14:paraId="6F29ADEF" w14:textId="4E0C9DF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54639.84</w:t>
            </w:r>
          </w:p>
        </w:tc>
      </w:tr>
      <w:tr w:rsidR="007A7DCE" w:rsidRPr="0078036E" w14:paraId="2363F23A" w14:textId="77777777" w:rsidTr="0049031D">
        <w:trPr>
          <w:trHeight w:val="20"/>
          <w:jc w:val="center"/>
        </w:trPr>
        <w:tc>
          <w:tcPr>
            <w:tcW w:w="421" w:type="dxa"/>
            <w:vAlign w:val="center"/>
          </w:tcPr>
          <w:p w14:paraId="6F67561D" w14:textId="4C50723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w:t>
            </w:r>
          </w:p>
        </w:tc>
        <w:tc>
          <w:tcPr>
            <w:tcW w:w="1391" w:type="dxa"/>
            <w:vAlign w:val="center"/>
          </w:tcPr>
          <w:p w14:paraId="6A5F7F48" w14:textId="453A64F9"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Maharashtra</w:t>
            </w:r>
          </w:p>
        </w:tc>
        <w:tc>
          <w:tcPr>
            <w:tcW w:w="978" w:type="dxa"/>
            <w:vAlign w:val="center"/>
          </w:tcPr>
          <w:p w14:paraId="6CA2EAF5" w14:textId="6C4078C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12081.01</w:t>
            </w:r>
          </w:p>
        </w:tc>
        <w:tc>
          <w:tcPr>
            <w:tcW w:w="976" w:type="dxa"/>
            <w:vAlign w:val="center"/>
          </w:tcPr>
          <w:p w14:paraId="411CB83B" w14:textId="006544D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12520.88</w:t>
            </w:r>
          </w:p>
        </w:tc>
        <w:tc>
          <w:tcPr>
            <w:tcW w:w="1073" w:type="dxa"/>
            <w:vAlign w:val="center"/>
          </w:tcPr>
          <w:p w14:paraId="05D499C3" w14:textId="480F36A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12976.76</w:t>
            </w:r>
          </w:p>
        </w:tc>
        <w:tc>
          <w:tcPr>
            <w:tcW w:w="1073" w:type="dxa"/>
            <w:vAlign w:val="center"/>
          </w:tcPr>
          <w:p w14:paraId="481B77A6" w14:textId="0AAFE41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13449.24</w:t>
            </w:r>
          </w:p>
        </w:tc>
        <w:tc>
          <w:tcPr>
            <w:tcW w:w="979" w:type="dxa"/>
            <w:vAlign w:val="center"/>
          </w:tcPr>
          <w:p w14:paraId="60CA02C7" w14:textId="18CDCBD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13938.93</w:t>
            </w:r>
          </w:p>
        </w:tc>
        <w:tc>
          <w:tcPr>
            <w:tcW w:w="979" w:type="dxa"/>
            <w:vAlign w:val="center"/>
          </w:tcPr>
          <w:p w14:paraId="40D98694" w14:textId="2A11417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14446.44</w:t>
            </w:r>
          </w:p>
        </w:tc>
        <w:tc>
          <w:tcPr>
            <w:tcW w:w="1056" w:type="dxa"/>
            <w:vAlign w:val="center"/>
          </w:tcPr>
          <w:p w14:paraId="740CA006" w14:textId="7308FD3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67332.25</w:t>
            </w:r>
          </w:p>
        </w:tc>
      </w:tr>
      <w:tr w:rsidR="007A7DCE" w:rsidRPr="0078036E" w14:paraId="581279A4" w14:textId="77777777" w:rsidTr="0049031D">
        <w:trPr>
          <w:trHeight w:val="20"/>
          <w:jc w:val="center"/>
        </w:trPr>
        <w:tc>
          <w:tcPr>
            <w:tcW w:w="421" w:type="dxa"/>
            <w:vAlign w:val="center"/>
          </w:tcPr>
          <w:p w14:paraId="68CCD7C1" w14:textId="57D17C5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w:t>
            </w:r>
          </w:p>
        </w:tc>
        <w:tc>
          <w:tcPr>
            <w:tcW w:w="1391" w:type="dxa"/>
            <w:vAlign w:val="center"/>
          </w:tcPr>
          <w:p w14:paraId="157DF8A2" w14:textId="1A9C07CC"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Orissa</w:t>
            </w:r>
          </w:p>
        </w:tc>
        <w:tc>
          <w:tcPr>
            <w:tcW w:w="978" w:type="dxa"/>
            <w:vAlign w:val="center"/>
          </w:tcPr>
          <w:p w14:paraId="1CB81973" w14:textId="6EE3F00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5222.80</w:t>
            </w:r>
          </w:p>
        </w:tc>
        <w:tc>
          <w:tcPr>
            <w:tcW w:w="976" w:type="dxa"/>
            <w:vAlign w:val="center"/>
          </w:tcPr>
          <w:p w14:paraId="5DB505E6" w14:textId="397D25D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5545.01</w:t>
            </w:r>
          </w:p>
        </w:tc>
        <w:tc>
          <w:tcPr>
            <w:tcW w:w="1073" w:type="dxa"/>
            <w:vAlign w:val="center"/>
          </w:tcPr>
          <w:p w14:paraId="04B04072" w14:textId="1121CAE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5887.10</w:t>
            </w:r>
          </w:p>
        </w:tc>
        <w:tc>
          <w:tcPr>
            <w:tcW w:w="1073" w:type="dxa"/>
            <w:vAlign w:val="center"/>
          </w:tcPr>
          <w:p w14:paraId="78A4FA80" w14:textId="5870D36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6250.30</w:t>
            </w:r>
          </w:p>
        </w:tc>
        <w:tc>
          <w:tcPr>
            <w:tcW w:w="979" w:type="dxa"/>
            <w:vAlign w:val="center"/>
          </w:tcPr>
          <w:p w14:paraId="6C2AFD54" w14:textId="7B6C1DE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6635.90</w:t>
            </w:r>
          </w:p>
        </w:tc>
        <w:tc>
          <w:tcPr>
            <w:tcW w:w="979" w:type="dxa"/>
            <w:vAlign w:val="center"/>
          </w:tcPr>
          <w:p w14:paraId="48457108" w14:textId="7DC49CF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7045.29</w:t>
            </w:r>
          </w:p>
        </w:tc>
        <w:tc>
          <w:tcPr>
            <w:tcW w:w="1056" w:type="dxa"/>
            <w:vAlign w:val="center"/>
          </w:tcPr>
          <w:p w14:paraId="2B0E20F1" w14:textId="7AC7368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31363.61</w:t>
            </w:r>
          </w:p>
        </w:tc>
      </w:tr>
      <w:tr w:rsidR="007A7DCE" w:rsidRPr="0078036E" w14:paraId="3303D987" w14:textId="77777777" w:rsidTr="0049031D">
        <w:trPr>
          <w:trHeight w:val="20"/>
          <w:jc w:val="center"/>
        </w:trPr>
        <w:tc>
          <w:tcPr>
            <w:tcW w:w="421" w:type="dxa"/>
            <w:vAlign w:val="center"/>
          </w:tcPr>
          <w:p w14:paraId="5932034A" w14:textId="35BCCE2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w:t>
            </w:r>
          </w:p>
        </w:tc>
        <w:tc>
          <w:tcPr>
            <w:tcW w:w="1391" w:type="dxa"/>
            <w:vAlign w:val="center"/>
          </w:tcPr>
          <w:p w14:paraId="6EB50D1D" w14:textId="273DC4A0"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Punjab</w:t>
            </w:r>
          </w:p>
        </w:tc>
        <w:tc>
          <w:tcPr>
            <w:tcW w:w="978" w:type="dxa"/>
            <w:vAlign w:val="center"/>
          </w:tcPr>
          <w:p w14:paraId="32C50C92" w14:textId="07ACFDC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3515.26</w:t>
            </w:r>
          </w:p>
        </w:tc>
        <w:tc>
          <w:tcPr>
            <w:tcW w:w="976" w:type="dxa"/>
            <w:vAlign w:val="center"/>
          </w:tcPr>
          <w:p w14:paraId="4C7FFA68" w14:textId="129071F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3958.54</w:t>
            </w:r>
          </w:p>
        </w:tc>
        <w:tc>
          <w:tcPr>
            <w:tcW w:w="1073" w:type="dxa"/>
            <w:vAlign w:val="center"/>
          </w:tcPr>
          <w:p w14:paraId="64B6388D" w14:textId="4A71E7A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4457.72</w:t>
            </w:r>
          </w:p>
        </w:tc>
        <w:tc>
          <w:tcPr>
            <w:tcW w:w="1073" w:type="dxa"/>
            <w:vAlign w:val="center"/>
          </w:tcPr>
          <w:p w14:paraId="3DA47215" w14:textId="0ED1BFD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5019.84</w:t>
            </w:r>
          </w:p>
        </w:tc>
        <w:tc>
          <w:tcPr>
            <w:tcW w:w="979" w:type="dxa"/>
            <w:vAlign w:val="center"/>
          </w:tcPr>
          <w:p w14:paraId="68B968F1" w14:textId="1FB9C62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5652.85</w:t>
            </w:r>
          </w:p>
        </w:tc>
        <w:tc>
          <w:tcPr>
            <w:tcW w:w="979" w:type="dxa"/>
            <w:vAlign w:val="center"/>
          </w:tcPr>
          <w:p w14:paraId="2BFBD32C" w14:textId="34F42D6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6365.68</w:t>
            </w:r>
          </w:p>
        </w:tc>
        <w:tc>
          <w:tcPr>
            <w:tcW w:w="1056" w:type="dxa"/>
            <w:vAlign w:val="center"/>
          </w:tcPr>
          <w:p w14:paraId="76E10EDB" w14:textId="167E6A5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25454.62</w:t>
            </w:r>
          </w:p>
        </w:tc>
      </w:tr>
      <w:tr w:rsidR="007A7DCE" w:rsidRPr="0078036E" w14:paraId="7B9483C1" w14:textId="77777777" w:rsidTr="0049031D">
        <w:trPr>
          <w:trHeight w:val="20"/>
          <w:jc w:val="center"/>
        </w:trPr>
        <w:tc>
          <w:tcPr>
            <w:tcW w:w="421" w:type="dxa"/>
            <w:vAlign w:val="center"/>
          </w:tcPr>
          <w:p w14:paraId="52B6E28A" w14:textId="0B8F83D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w:t>
            </w:r>
          </w:p>
        </w:tc>
        <w:tc>
          <w:tcPr>
            <w:tcW w:w="1391" w:type="dxa"/>
            <w:vAlign w:val="center"/>
          </w:tcPr>
          <w:p w14:paraId="4D1DB035" w14:textId="1BC1AB58"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Rajasthan</w:t>
            </w:r>
          </w:p>
        </w:tc>
        <w:tc>
          <w:tcPr>
            <w:tcW w:w="978" w:type="dxa"/>
            <w:vAlign w:val="center"/>
          </w:tcPr>
          <w:p w14:paraId="06FDC690" w14:textId="6FD7197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9448.04</w:t>
            </w:r>
          </w:p>
        </w:tc>
        <w:tc>
          <w:tcPr>
            <w:tcW w:w="976" w:type="dxa"/>
            <w:vAlign w:val="center"/>
          </w:tcPr>
          <w:p w14:paraId="50B7259A" w14:textId="29F8196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10468.88</w:t>
            </w:r>
          </w:p>
        </w:tc>
        <w:tc>
          <w:tcPr>
            <w:tcW w:w="1073" w:type="dxa"/>
            <w:vAlign w:val="center"/>
          </w:tcPr>
          <w:p w14:paraId="1D2A73FE" w14:textId="2DF29EE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11600.02</w:t>
            </w:r>
          </w:p>
        </w:tc>
        <w:tc>
          <w:tcPr>
            <w:tcW w:w="1073" w:type="dxa"/>
            <w:vAlign w:val="center"/>
          </w:tcPr>
          <w:p w14:paraId="00B09219" w14:textId="4FC665F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12853.37</w:t>
            </w:r>
          </w:p>
        </w:tc>
        <w:tc>
          <w:tcPr>
            <w:tcW w:w="979" w:type="dxa"/>
            <w:vAlign w:val="center"/>
          </w:tcPr>
          <w:p w14:paraId="10E16CC0" w14:textId="0941DBF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14242.15</w:t>
            </w:r>
          </w:p>
        </w:tc>
        <w:tc>
          <w:tcPr>
            <w:tcW w:w="979" w:type="dxa"/>
            <w:vAlign w:val="center"/>
          </w:tcPr>
          <w:p w14:paraId="3315C6E9" w14:textId="3E9F7D0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15780.97</w:t>
            </w:r>
          </w:p>
        </w:tc>
        <w:tc>
          <w:tcPr>
            <w:tcW w:w="1056" w:type="dxa"/>
            <w:vAlign w:val="center"/>
          </w:tcPr>
          <w:p w14:paraId="657CB0B9" w14:textId="078C2C2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64945.39</w:t>
            </w:r>
          </w:p>
        </w:tc>
      </w:tr>
      <w:tr w:rsidR="007A7DCE" w:rsidRPr="0078036E" w14:paraId="1630389A" w14:textId="77777777" w:rsidTr="0049031D">
        <w:trPr>
          <w:trHeight w:val="20"/>
          <w:jc w:val="center"/>
        </w:trPr>
        <w:tc>
          <w:tcPr>
            <w:tcW w:w="421" w:type="dxa"/>
            <w:vAlign w:val="center"/>
          </w:tcPr>
          <w:p w14:paraId="5C747725" w14:textId="52F82FA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w:t>
            </w:r>
          </w:p>
        </w:tc>
        <w:tc>
          <w:tcPr>
            <w:tcW w:w="1391" w:type="dxa"/>
            <w:vAlign w:val="center"/>
          </w:tcPr>
          <w:p w14:paraId="7B0BA765" w14:textId="164A07D8"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Tamil Nadu</w:t>
            </w:r>
          </w:p>
        </w:tc>
        <w:tc>
          <w:tcPr>
            <w:tcW w:w="978" w:type="dxa"/>
            <w:vAlign w:val="center"/>
          </w:tcPr>
          <w:p w14:paraId="0921CF8C" w14:textId="311BB6F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8335.31</w:t>
            </w:r>
          </w:p>
        </w:tc>
        <w:tc>
          <w:tcPr>
            <w:tcW w:w="976" w:type="dxa"/>
            <w:vAlign w:val="center"/>
          </w:tcPr>
          <w:p w14:paraId="7123D917" w14:textId="0F4634B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9167.26</w:t>
            </w:r>
          </w:p>
        </w:tc>
        <w:tc>
          <w:tcPr>
            <w:tcW w:w="1073" w:type="dxa"/>
            <w:vAlign w:val="center"/>
          </w:tcPr>
          <w:p w14:paraId="074C4025" w14:textId="1360F8F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10082.24</w:t>
            </w:r>
          </w:p>
        </w:tc>
        <w:tc>
          <w:tcPr>
            <w:tcW w:w="1073" w:type="dxa"/>
            <w:vAlign w:val="center"/>
          </w:tcPr>
          <w:p w14:paraId="1345776D" w14:textId="0A3B12B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11088.54</w:t>
            </w:r>
          </w:p>
        </w:tc>
        <w:tc>
          <w:tcPr>
            <w:tcW w:w="979" w:type="dxa"/>
            <w:vAlign w:val="center"/>
          </w:tcPr>
          <w:p w14:paraId="6B035BF9" w14:textId="1748BB5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12195.28</w:t>
            </w:r>
          </w:p>
        </w:tc>
        <w:tc>
          <w:tcPr>
            <w:tcW w:w="979" w:type="dxa"/>
            <w:vAlign w:val="center"/>
          </w:tcPr>
          <w:p w14:paraId="7AEC5551" w14:textId="5C46A99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13412.48</w:t>
            </w:r>
          </w:p>
        </w:tc>
        <w:tc>
          <w:tcPr>
            <w:tcW w:w="1056" w:type="dxa"/>
            <w:vAlign w:val="center"/>
          </w:tcPr>
          <w:p w14:paraId="5791F9FD" w14:textId="1DE4717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55945.79</w:t>
            </w:r>
          </w:p>
        </w:tc>
      </w:tr>
      <w:tr w:rsidR="007A7DCE" w:rsidRPr="0078036E" w14:paraId="0ACF0CAF" w14:textId="77777777" w:rsidTr="0049031D">
        <w:trPr>
          <w:trHeight w:val="20"/>
          <w:jc w:val="center"/>
        </w:trPr>
        <w:tc>
          <w:tcPr>
            <w:tcW w:w="421" w:type="dxa"/>
            <w:vAlign w:val="center"/>
          </w:tcPr>
          <w:p w14:paraId="3D00D067" w14:textId="442649A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w:t>
            </w:r>
          </w:p>
        </w:tc>
        <w:tc>
          <w:tcPr>
            <w:tcW w:w="1391" w:type="dxa"/>
            <w:vAlign w:val="center"/>
          </w:tcPr>
          <w:p w14:paraId="6347D429" w14:textId="0BE4485D"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Uttar Pradesh</w:t>
            </w:r>
          </w:p>
        </w:tc>
        <w:tc>
          <w:tcPr>
            <w:tcW w:w="978" w:type="dxa"/>
            <w:vAlign w:val="center"/>
          </w:tcPr>
          <w:p w14:paraId="55A31371" w14:textId="4FB8D03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12799.49</w:t>
            </w:r>
          </w:p>
        </w:tc>
        <w:tc>
          <w:tcPr>
            <w:tcW w:w="976" w:type="dxa"/>
            <w:vAlign w:val="center"/>
          </w:tcPr>
          <w:p w14:paraId="6C2DBB20" w14:textId="0018527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13173.52</w:t>
            </w:r>
          </w:p>
        </w:tc>
        <w:tc>
          <w:tcPr>
            <w:tcW w:w="1073" w:type="dxa"/>
            <w:vAlign w:val="center"/>
          </w:tcPr>
          <w:p w14:paraId="3170BC1A" w14:textId="4020E84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13558.47</w:t>
            </w:r>
          </w:p>
        </w:tc>
        <w:tc>
          <w:tcPr>
            <w:tcW w:w="1073" w:type="dxa"/>
            <w:vAlign w:val="center"/>
          </w:tcPr>
          <w:p w14:paraId="4CED067D" w14:textId="497B394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13954.67</w:t>
            </w:r>
          </w:p>
        </w:tc>
        <w:tc>
          <w:tcPr>
            <w:tcW w:w="979" w:type="dxa"/>
            <w:vAlign w:val="center"/>
          </w:tcPr>
          <w:p w14:paraId="3C1EC978" w14:textId="1751C96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14352.45</w:t>
            </w:r>
          </w:p>
        </w:tc>
        <w:tc>
          <w:tcPr>
            <w:tcW w:w="979" w:type="dxa"/>
            <w:vAlign w:val="center"/>
          </w:tcPr>
          <w:p w14:paraId="0423D531" w14:textId="37A7BE5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14782.15</w:t>
            </w:r>
          </w:p>
        </w:tc>
        <w:tc>
          <w:tcPr>
            <w:tcW w:w="1056" w:type="dxa"/>
            <w:vAlign w:val="center"/>
          </w:tcPr>
          <w:p w14:paraId="6DB66F0C" w14:textId="393D241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69831.26</w:t>
            </w:r>
          </w:p>
        </w:tc>
      </w:tr>
      <w:tr w:rsidR="007A7DCE" w:rsidRPr="0078036E" w14:paraId="5A64A5A4" w14:textId="77777777" w:rsidTr="0049031D">
        <w:trPr>
          <w:trHeight w:val="20"/>
          <w:jc w:val="center"/>
        </w:trPr>
        <w:tc>
          <w:tcPr>
            <w:tcW w:w="421" w:type="dxa"/>
            <w:vAlign w:val="center"/>
          </w:tcPr>
          <w:p w14:paraId="2A0D2358" w14:textId="6233652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w:t>
            </w:r>
          </w:p>
        </w:tc>
        <w:tc>
          <w:tcPr>
            <w:tcW w:w="1391" w:type="dxa"/>
            <w:vAlign w:val="center"/>
          </w:tcPr>
          <w:p w14:paraId="55119EF0" w14:textId="68BCB4E7"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West Bengal</w:t>
            </w:r>
          </w:p>
        </w:tc>
        <w:tc>
          <w:tcPr>
            <w:tcW w:w="978" w:type="dxa"/>
            <w:vAlign w:val="center"/>
          </w:tcPr>
          <w:p w14:paraId="200B5154" w14:textId="2A74E80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6582.67</w:t>
            </w:r>
          </w:p>
        </w:tc>
        <w:tc>
          <w:tcPr>
            <w:tcW w:w="976" w:type="dxa"/>
            <w:vAlign w:val="center"/>
          </w:tcPr>
          <w:p w14:paraId="6D3BCBD2" w14:textId="61F6DDF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6733.27</w:t>
            </w:r>
          </w:p>
        </w:tc>
        <w:tc>
          <w:tcPr>
            <w:tcW w:w="1073" w:type="dxa"/>
            <w:vAlign w:val="center"/>
          </w:tcPr>
          <w:p w14:paraId="2A071BFF" w14:textId="56AD284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6887.31</w:t>
            </w:r>
          </w:p>
        </w:tc>
        <w:tc>
          <w:tcPr>
            <w:tcW w:w="1073" w:type="dxa"/>
            <w:vAlign w:val="center"/>
          </w:tcPr>
          <w:p w14:paraId="6DC9BDE8" w14:textId="4BEE77A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7044.89</w:t>
            </w:r>
          </w:p>
        </w:tc>
        <w:tc>
          <w:tcPr>
            <w:tcW w:w="979" w:type="dxa"/>
            <w:vAlign w:val="center"/>
          </w:tcPr>
          <w:p w14:paraId="6F8756ED" w14:textId="1670BE9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7206.06</w:t>
            </w:r>
          </w:p>
        </w:tc>
        <w:tc>
          <w:tcPr>
            <w:tcW w:w="979" w:type="dxa"/>
            <w:vAlign w:val="center"/>
          </w:tcPr>
          <w:p w14:paraId="361EC6CC" w14:textId="7E4CBC4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7370.93</w:t>
            </w:r>
          </w:p>
        </w:tc>
        <w:tc>
          <w:tcPr>
            <w:tcW w:w="1056" w:type="dxa"/>
            <w:vAlign w:val="center"/>
          </w:tcPr>
          <w:p w14:paraId="55BD4DF5" w14:textId="60DF378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35242.46</w:t>
            </w:r>
          </w:p>
        </w:tc>
      </w:tr>
      <w:tr w:rsidR="007A7DCE" w:rsidRPr="0078036E" w14:paraId="520DD883" w14:textId="77777777" w:rsidTr="0049031D">
        <w:trPr>
          <w:trHeight w:val="20"/>
          <w:jc w:val="center"/>
        </w:trPr>
        <w:tc>
          <w:tcPr>
            <w:tcW w:w="421" w:type="dxa"/>
            <w:vAlign w:val="center"/>
          </w:tcPr>
          <w:p w14:paraId="1C5E6E27" w14:textId="7837F45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14</w:t>
            </w:r>
          </w:p>
        </w:tc>
        <w:tc>
          <w:tcPr>
            <w:tcW w:w="1391" w:type="dxa"/>
            <w:vAlign w:val="center"/>
          </w:tcPr>
          <w:p w14:paraId="6DB49100" w14:textId="15A51315"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b/>
                <w:bCs/>
                <w:sz w:val="16"/>
                <w:szCs w:val="16"/>
              </w:rPr>
              <w:t>Major States</w:t>
            </w:r>
          </w:p>
        </w:tc>
        <w:tc>
          <w:tcPr>
            <w:tcW w:w="978" w:type="dxa"/>
            <w:vAlign w:val="center"/>
          </w:tcPr>
          <w:p w14:paraId="432BAE1A" w14:textId="78D9DB1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107567.14</w:t>
            </w:r>
          </w:p>
        </w:tc>
        <w:tc>
          <w:tcPr>
            <w:tcW w:w="976" w:type="dxa"/>
            <w:vAlign w:val="center"/>
          </w:tcPr>
          <w:p w14:paraId="7DC2F415" w14:textId="58B66EE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114889.68</w:t>
            </w:r>
          </w:p>
        </w:tc>
        <w:tc>
          <w:tcPr>
            <w:tcW w:w="1073" w:type="dxa"/>
            <w:vAlign w:val="center"/>
          </w:tcPr>
          <w:p w14:paraId="3B1AC543" w14:textId="69CA39D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122838.88</w:t>
            </w:r>
          </w:p>
        </w:tc>
        <w:tc>
          <w:tcPr>
            <w:tcW w:w="1073" w:type="dxa"/>
            <w:vAlign w:val="center"/>
          </w:tcPr>
          <w:p w14:paraId="0D0E6A18" w14:textId="0E1A9CD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131476.86</w:t>
            </w:r>
          </w:p>
        </w:tc>
        <w:tc>
          <w:tcPr>
            <w:tcW w:w="979" w:type="dxa"/>
            <w:vAlign w:val="center"/>
          </w:tcPr>
          <w:p w14:paraId="7D08CA85" w14:textId="2E00B25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140872.48</w:t>
            </w:r>
          </w:p>
        </w:tc>
        <w:tc>
          <w:tcPr>
            <w:tcW w:w="979" w:type="dxa"/>
            <w:vAlign w:val="center"/>
          </w:tcPr>
          <w:p w14:paraId="554E4C2C" w14:textId="6BC758B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151102.07</w:t>
            </w:r>
          </w:p>
        </w:tc>
        <w:tc>
          <w:tcPr>
            <w:tcW w:w="1056" w:type="dxa"/>
            <w:vAlign w:val="center"/>
          </w:tcPr>
          <w:p w14:paraId="37CD1791" w14:textId="59A3A13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661179.98</w:t>
            </w:r>
          </w:p>
        </w:tc>
      </w:tr>
      <w:tr w:rsidR="00E0484A" w:rsidRPr="0078036E" w14:paraId="3A96755E" w14:textId="77777777" w:rsidTr="007D350E">
        <w:trPr>
          <w:trHeight w:val="20"/>
          <w:jc w:val="center"/>
        </w:trPr>
        <w:tc>
          <w:tcPr>
            <w:tcW w:w="8926" w:type="dxa"/>
            <w:gridSpan w:val="9"/>
            <w:vAlign w:val="center"/>
          </w:tcPr>
          <w:p w14:paraId="7A5F719C" w14:textId="3772EB9F"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20"/>
                <w:szCs w:val="20"/>
              </w:rPr>
              <w:t>Expenditure Category: Police</w:t>
            </w:r>
          </w:p>
        </w:tc>
      </w:tr>
      <w:tr w:rsidR="00E0484A" w:rsidRPr="0078036E" w14:paraId="53D30A08" w14:textId="77777777" w:rsidTr="0049031D">
        <w:trPr>
          <w:trHeight w:val="20"/>
          <w:jc w:val="center"/>
        </w:trPr>
        <w:tc>
          <w:tcPr>
            <w:tcW w:w="421" w:type="dxa"/>
            <w:vAlign w:val="center"/>
          </w:tcPr>
          <w:p w14:paraId="06252D36" w14:textId="336324F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5B442032" w14:textId="7D8E70DF" w:rsidR="00E0484A" w:rsidRPr="00D01DF5" w:rsidRDefault="00E0484A" w:rsidP="00E0484A">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5F94051D" w14:textId="5C8D03FC"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4C951967" w14:textId="28DEC6D2"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0EFC6587" w14:textId="057E2BD4"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03CFAF1C" w14:textId="546406B5"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517D6816" w14:textId="1C622B6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530F068F" w14:textId="7D285D4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027B6B61" w14:textId="108FF3A5"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E0484A" w:rsidRPr="0078036E" w14:paraId="7EA7A2DB" w14:textId="77777777" w:rsidTr="0049031D">
        <w:trPr>
          <w:trHeight w:val="20"/>
          <w:jc w:val="center"/>
        </w:trPr>
        <w:tc>
          <w:tcPr>
            <w:tcW w:w="421" w:type="dxa"/>
            <w:vAlign w:val="center"/>
          </w:tcPr>
          <w:p w14:paraId="0DE42E50" w14:textId="001FAFA9"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05D16BF0" w14:textId="5AA2A2DC" w:rsidR="00E0484A" w:rsidRPr="00D01DF5" w:rsidRDefault="00E0484A" w:rsidP="00E0484A">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4E26847E" w14:textId="2C4EC22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19051.17</w:t>
            </w:r>
          </w:p>
        </w:tc>
        <w:tc>
          <w:tcPr>
            <w:tcW w:w="976" w:type="dxa"/>
            <w:vAlign w:val="center"/>
          </w:tcPr>
          <w:p w14:paraId="36B5B95B" w14:textId="647BB13A"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21015.59</w:t>
            </w:r>
          </w:p>
        </w:tc>
        <w:tc>
          <w:tcPr>
            <w:tcW w:w="1073" w:type="dxa"/>
            <w:vAlign w:val="center"/>
          </w:tcPr>
          <w:p w14:paraId="74949AE4" w14:textId="784AF474"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23182.56</w:t>
            </w:r>
          </w:p>
        </w:tc>
        <w:tc>
          <w:tcPr>
            <w:tcW w:w="1073" w:type="dxa"/>
            <w:vAlign w:val="center"/>
          </w:tcPr>
          <w:p w14:paraId="04071DEF" w14:textId="6E91060A"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25572.98</w:t>
            </w:r>
          </w:p>
        </w:tc>
        <w:tc>
          <w:tcPr>
            <w:tcW w:w="979" w:type="dxa"/>
            <w:vAlign w:val="center"/>
          </w:tcPr>
          <w:p w14:paraId="20140C1A" w14:textId="4CA1B03B"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28209.88</w:t>
            </w:r>
          </w:p>
        </w:tc>
        <w:tc>
          <w:tcPr>
            <w:tcW w:w="979" w:type="dxa"/>
            <w:vAlign w:val="center"/>
          </w:tcPr>
          <w:p w14:paraId="3C2116B7" w14:textId="71F2B859"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31118.68</w:t>
            </w:r>
          </w:p>
        </w:tc>
        <w:tc>
          <w:tcPr>
            <w:tcW w:w="1056" w:type="dxa"/>
            <w:vAlign w:val="center"/>
          </w:tcPr>
          <w:p w14:paraId="5C713914" w14:textId="07972446" w:rsidR="00E0484A" w:rsidRPr="00D01DF5" w:rsidRDefault="00E0484A" w:rsidP="00E0484A">
            <w:pPr>
              <w:jc w:val="center"/>
              <w:rPr>
                <w:rFonts w:ascii="Times New Roman" w:hAnsi="Times New Roman" w:cs="Times New Roman"/>
                <w:b/>
                <w:bCs/>
                <w:sz w:val="16"/>
                <w:szCs w:val="16"/>
              </w:rPr>
            </w:pPr>
            <w:r w:rsidRPr="00D01DF5">
              <w:rPr>
                <w:rFonts w:ascii="Times New Roman" w:hAnsi="Times New Roman" w:cs="Times New Roman"/>
                <w:sz w:val="16"/>
                <w:szCs w:val="16"/>
              </w:rPr>
              <w:t>129099.69</w:t>
            </w:r>
          </w:p>
        </w:tc>
      </w:tr>
      <w:tr w:rsidR="00E0484A" w:rsidRPr="0078036E" w14:paraId="00703B10" w14:textId="77777777" w:rsidTr="0049031D">
        <w:trPr>
          <w:trHeight w:val="20"/>
          <w:jc w:val="center"/>
        </w:trPr>
        <w:tc>
          <w:tcPr>
            <w:tcW w:w="421" w:type="dxa"/>
            <w:vAlign w:val="center"/>
          </w:tcPr>
          <w:p w14:paraId="58666323" w14:textId="6C967C2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6AF615B2" w14:textId="6425A581"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7DAB41A6" w14:textId="134B3A3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22882.48</w:t>
            </w:r>
          </w:p>
        </w:tc>
        <w:tc>
          <w:tcPr>
            <w:tcW w:w="976" w:type="dxa"/>
            <w:vAlign w:val="center"/>
          </w:tcPr>
          <w:p w14:paraId="2E028467" w14:textId="4805A04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25074.99</w:t>
            </w:r>
          </w:p>
        </w:tc>
        <w:tc>
          <w:tcPr>
            <w:tcW w:w="1073" w:type="dxa"/>
            <w:vAlign w:val="center"/>
          </w:tcPr>
          <w:p w14:paraId="319E2A14" w14:textId="1AE2C28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27477.58</w:t>
            </w:r>
          </w:p>
        </w:tc>
        <w:tc>
          <w:tcPr>
            <w:tcW w:w="1073" w:type="dxa"/>
            <w:vAlign w:val="center"/>
          </w:tcPr>
          <w:p w14:paraId="1BC0FFC2" w14:textId="084C61E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30110.38</w:t>
            </w:r>
          </w:p>
        </w:tc>
        <w:tc>
          <w:tcPr>
            <w:tcW w:w="979" w:type="dxa"/>
            <w:vAlign w:val="center"/>
          </w:tcPr>
          <w:p w14:paraId="56207BAF" w14:textId="75546D4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32995.44</w:t>
            </w:r>
          </w:p>
        </w:tc>
        <w:tc>
          <w:tcPr>
            <w:tcW w:w="979" w:type="dxa"/>
            <w:vAlign w:val="center"/>
          </w:tcPr>
          <w:p w14:paraId="3735C9FB" w14:textId="42F1038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36156.94</w:t>
            </w:r>
          </w:p>
        </w:tc>
        <w:tc>
          <w:tcPr>
            <w:tcW w:w="1056" w:type="dxa"/>
            <w:vAlign w:val="center"/>
          </w:tcPr>
          <w:p w14:paraId="2592811F" w14:textId="3321178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151815.34</w:t>
            </w:r>
          </w:p>
        </w:tc>
      </w:tr>
      <w:tr w:rsidR="00E0484A" w:rsidRPr="0078036E" w14:paraId="24FE17F1" w14:textId="77777777" w:rsidTr="0049031D">
        <w:trPr>
          <w:trHeight w:val="20"/>
          <w:jc w:val="center"/>
        </w:trPr>
        <w:tc>
          <w:tcPr>
            <w:tcW w:w="421" w:type="dxa"/>
            <w:vAlign w:val="center"/>
          </w:tcPr>
          <w:p w14:paraId="3A698525" w14:textId="42E94E4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7D25A6FE" w14:textId="0B6C7F1E"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28845436" w14:textId="5C55516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16750.30</w:t>
            </w:r>
          </w:p>
        </w:tc>
        <w:tc>
          <w:tcPr>
            <w:tcW w:w="976" w:type="dxa"/>
            <w:vAlign w:val="center"/>
          </w:tcPr>
          <w:p w14:paraId="779F71DB" w14:textId="5020BC6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17218.64</w:t>
            </w:r>
          </w:p>
        </w:tc>
        <w:tc>
          <w:tcPr>
            <w:tcW w:w="1073" w:type="dxa"/>
            <w:vAlign w:val="center"/>
          </w:tcPr>
          <w:p w14:paraId="3ADFE162" w14:textId="12E8890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17700.09</w:t>
            </w:r>
          </w:p>
        </w:tc>
        <w:tc>
          <w:tcPr>
            <w:tcW w:w="1073" w:type="dxa"/>
            <w:vAlign w:val="center"/>
          </w:tcPr>
          <w:p w14:paraId="39D64C23" w14:textId="7DDE4BB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18194.99</w:t>
            </w:r>
          </w:p>
        </w:tc>
        <w:tc>
          <w:tcPr>
            <w:tcW w:w="979" w:type="dxa"/>
            <w:vAlign w:val="center"/>
          </w:tcPr>
          <w:p w14:paraId="6D33A4E4" w14:textId="540C0B8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18703.73</w:t>
            </w:r>
          </w:p>
        </w:tc>
        <w:tc>
          <w:tcPr>
            <w:tcW w:w="979" w:type="dxa"/>
            <w:vAlign w:val="center"/>
          </w:tcPr>
          <w:p w14:paraId="7149B849" w14:textId="6D22A4F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19226.70</w:t>
            </w:r>
          </w:p>
        </w:tc>
        <w:tc>
          <w:tcPr>
            <w:tcW w:w="1056" w:type="dxa"/>
            <w:vAlign w:val="center"/>
          </w:tcPr>
          <w:p w14:paraId="342FB34B" w14:textId="6520562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91044.16</w:t>
            </w:r>
          </w:p>
        </w:tc>
      </w:tr>
      <w:tr w:rsidR="00E0484A" w:rsidRPr="0078036E" w14:paraId="2601DC24" w14:textId="77777777" w:rsidTr="0049031D">
        <w:trPr>
          <w:trHeight w:val="20"/>
          <w:jc w:val="center"/>
        </w:trPr>
        <w:tc>
          <w:tcPr>
            <w:tcW w:w="421" w:type="dxa"/>
            <w:vAlign w:val="center"/>
          </w:tcPr>
          <w:p w14:paraId="74B3D468" w14:textId="3067236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31E88874" w14:textId="7FC6D7F9"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40C7888E" w14:textId="0A58615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6112.30</w:t>
            </w:r>
          </w:p>
        </w:tc>
        <w:tc>
          <w:tcPr>
            <w:tcW w:w="976" w:type="dxa"/>
            <w:vAlign w:val="center"/>
          </w:tcPr>
          <w:p w14:paraId="41CE9530" w14:textId="7B9A55F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6393.25</w:t>
            </w:r>
          </w:p>
        </w:tc>
        <w:tc>
          <w:tcPr>
            <w:tcW w:w="1073" w:type="dxa"/>
            <w:vAlign w:val="center"/>
          </w:tcPr>
          <w:p w14:paraId="2D3E37F8" w14:textId="6AE1A48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6687.12</w:t>
            </w:r>
          </w:p>
        </w:tc>
        <w:tc>
          <w:tcPr>
            <w:tcW w:w="1073" w:type="dxa"/>
            <w:vAlign w:val="center"/>
          </w:tcPr>
          <w:p w14:paraId="46F5DD4A" w14:textId="6D718BC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6994.50</w:t>
            </w:r>
          </w:p>
        </w:tc>
        <w:tc>
          <w:tcPr>
            <w:tcW w:w="979" w:type="dxa"/>
            <w:vAlign w:val="center"/>
          </w:tcPr>
          <w:p w14:paraId="61374290" w14:textId="380D6A0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7316.00</w:t>
            </w:r>
          </w:p>
        </w:tc>
        <w:tc>
          <w:tcPr>
            <w:tcW w:w="979" w:type="dxa"/>
            <w:vAlign w:val="center"/>
          </w:tcPr>
          <w:p w14:paraId="2001709F" w14:textId="75A962A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7652.28</w:t>
            </w:r>
          </w:p>
        </w:tc>
        <w:tc>
          <w:tcPr>
            <w:tcW w:w="1056" w:type="dxa"/>
            <w:vAlign w:val="center"/>
          </w:tcPr>
          <w:p w14:paraId="724A4339" w14:textId="7E3BD31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35043.16</w:t>
            </w:r>
          </w:p>
        </w:tc>
      </w:tr>
      <w:tr w:rsidR="00E0484A" w:rsidRPr="0078036E" w14:paraId="1E37D3FE" w14:textId="77777777" w:rsidTr="0049031D">
        <w:trPr>
          <w:trHeight w:val="20"/>
          <w:jc w:val="center"/>
        </w:trPr>
        <w:tc>
          <w:tcPr>
            <w:tcW w:w="421" w:type="dxa"/>
            <w:vAlign w:val="center"/>
          </w:tcPr>
          <w:p w14:paraId="482E3DEF" w14:textId="5ECC8B7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310AC727" w14:textId="681040E8"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0586E808" w14:textId="5296DFD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13878.78</w:t>
            </w:r>
          </w:p>
        </w:tc>
        <w:tc>
          <w:tcPr>
            <w:tcW w:w="976" w:type="dxa"/>
            <w:vAlign w:val="center"/>
          </w:tcPr>
          <w:p w14:paraId="23802B9D" w14:textId="011639F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15119.12</w:t>
            </w:r>
          </w:p>
        </w:tc>
        <w:tc>
          <w:tcPr>
            <w:tcW w:w="1073" w:type="dxa"/>
            <w:vAlign w:val="center"/>
          </w:tcPr>
          <w:p w14:paraId="0715DC10" w14:textId="4CBA59B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16470.30</w:t>
            </w:r>
          </w:p>
        </w:tc>
        <w:tc>
          <w:tcPr>
            <w:tcW w:w="1073" w:type="dxa"/>
            <w:vAlign w:val="center"/>
          </w:tcPr>
          <w:p w14:paraId="6CA803DD" w14:textId="240FFED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17942.24</w:t>
            </w:r>
          </w:p>
        </w:tc>
        <w:tc>
          <w:tcPr>
            <w:tcW w:w="979" w:type="dxa"/>
            <w:vAlign w:val="center"/>
          </w:tcPr>
          <w:p w14:paraId="04A91C04" w14:textId="14B183F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19545.72</w:t>
            </w:r>
          </w:p>
        </w:tc>
        <w:tc>
          <w:tcPr>
            <w:tcW w:w="979" w:type="dxa"/>
            <w:vAlign w:val="center"/>
          </w:tcPr>
          <w:p w14:paraId="66A47A20" w14:textId="79202AC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21292.51</w:t>
            </w:r>
          </w:p>
        </w:tc>
        <w:tc>
          <w:tcPr>
            <w:tcW w:w="1056" w:type="dxa"/>
            <w:vAlign w:val="center"/>
          </w:tcPr>
          <w:p w14:paraId="4EEE1210" w14:textId="6215761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90369.89</w:t>
            </w:r>
          </w:p>
        </w:tc>
      </w:tr>
      <w:tr w:rsidR="00E0484A" w:rsidRPr="0078036E" w14:paraId="1CDCAB51" w14:textId="77777777" w:rsidTr="0049031D">
        <w:trPr>
          <w:trHeight w:val="20"/>
          <w:jc w:val="center"/>
        </w:trPr>
        <w:tc>
          <w:tcPr>
            <w:tcW w:w="421" w:type="dxa"/>
            <w:vAlign w:val="center"/>
          </w:tcPr>
          <w:p w14:paraId="5DAE572E" w14:textId="58A4FBA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0453591B" w14:textId="4C57C6A2"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0C8E08AD" w14:textId="5E6C03D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9495.42</w:t>
            </w:r>
          </w:p>
        </w:tc>
        <w:tc>
          <w:tcPr>
            <w:tcW w:w="976" w:type="dxa"/>
            <w:vAlign w:val="center"/>
          </w:tcPr>
          <w:p w14:paraId="3FEF7A3D" w14:textId="70DBA0B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10164.98</w:t>
            </w:r>
          </w:p>
        </w:tc>
        <w:tc>
          <w:tcPr>
            <w:tcW w:w="1073" w:type="dxa"/>
            <w:vAlign w:val="center"/>
          </w:tcPr>
          <w:p w14:paraId="61314223" w14:textId="34B1C8B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10881.75</w:t>
            </w:r>
          </w:p>
        </w:tc>
        <w:tc>
          <w:tcPr>
            <w:tcW w:w="1073" w:type="dxa"/>
            <w:vAlign w:val="center"/>
          </w:tcPr>
          <w:p w14:paraId="39C31999" w14:textId="236D5FA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11649.06</w:t>
            </w:r>
          </w:p>
        </w:tc>
        <w:tc>
          <w:tcPr>
            <w:tcW w:w="979" w:type="dxa"/>
            <w:vAlign w:val="center"/>
          </w:tcPr>
          <w:p w14:paraId="0CB9D71B" w14:textId="35FB87B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12470.47</w:t>
            </w:r>
          </w:p>
        </w:tc>
        <w:tc>
          <w:tcPr>
            <w:tcW w:w="979" w:type="dxa"/>
            <w:vAlign w:val="center"/>
          </w:tcPr>
          <w:p w14:paraId="507DD616" w14:textId="0D91A57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13349.81</w:t>
            </w:r>
          </w:p>
        </w:tc>
        <w:tc>
          <w:tcPr>
            <w:tcW w:w="1056" w:type="dxa"/>
            <w:vAlign w:val="center"/>
          </w:tcPr>
          <w:p w14:paraId="068AFB70" w14:textId="2784712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58516.07</w:t>
            </w:r>
          </w:p>
        </w:tc>
      </w:tr>
      <w:tr w:rsidR="00E0484A" w:rsidRPr="0078036E" w14:paraId="6FC7AED7" w14:textId="77777777" w:rsidTr="0049031D">
        <w:trPr>
          <w:trHeight w:val="20"/>
          <w:jc w:val="center"/>
        </w:trPr>
        <w:tc>
          <w:tcPr>
            <w:tcW w:w="421" w:type="dxa"/>
            <w:vAlign w:val="center"/>
          </w:tcPr>
          <w:p w14:paraId="3A245C64" w14:textId="5A8B4E3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w:t>
            </w:r>
          </w:p>
        </w:tc>
        <w:tc>
          <w:tcPr>
            <w:tcW w:w="1391" w:type="dxa"/>
            <w:vAlign w:val="center"/>
          </w:tcPr>
          <w:p w14:paraId="1FF92E63" w14:textId="2D4555CD"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Madhya Pradesh</w:t>
            </w:r>
          </w:p>
        </w:tc>
        <w:tc>
          <w:tcPr>
            <w:tcW w:w="978" w:type="dxa"/>
            <w:vAlign w:val="center"/>
          </w:tcPr>
          <w:p w14:paraId="35755F70" w14:textId="57F9529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19808.86</w:t>
            </w:r>
          </w:p>
        </w:tc>
        <w:tc>
          <w:tcPr>
            <w:tcW w:w="976" w:type="dxa"/>
            <w:vAlign w:val="center"/>
          </w:tcPr>
          <w:p w14:paraId="72DB0C7F" w14:textId="12E16E4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21076.68</w:t>
            </w:r>
          </w:p>
        </w:tc>
        <w:tc>
          <w:tcPr>
            <w:tcW w:w="1073" w:type="dxa"/>
            <w:vAlign w:val="center"/>
          </w:tcPr>
          <w:p w14:paraId="587B68E9" w14:textId="6D4F647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22425.64</w:t>
            </w:r>
          </w:p>
        </w:tc>
        <w:tc>
          <w:tcPr>
            <w:tcW w:w="1073" w:type="dxa"/>
            <w:vAlign w:val="center"/>
          </w:tcPr>
          <w:p w14:paraId="11748764" w14:textId="19CE138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23860.94</w:t>
            </w:r>
          </w:p>
        </w:tc>
        <w:tc>
          <w:tcPr>
            <w:tcW w:w="979" w:type="dxa"/>
            <w:vAlign w:val="center"/>
          </w:tcPr>
          <w:p w14:paraId="3E7ACB83" w14:textId="11D0FED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25388.10</w:t>
            </w:r>
          </w:p>
        </w:tc>
        <w:tc>
          <w:tcPr>
            <w:tcW w:w="979" w:type="dxa"/>
            <w:vAlign w:val="center"/>
          </w:tcPr>
          <w:p w14:paraId="07DE45AC" w14:textId="19CD1FD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27013.00</w:t>
            </w:r>
          </w:p>
        </w:tc>
        <w:tc>
          <w:tcPr>
            <w:tcW w:w="1056" w:type="dxa"/>
            <w:vAlign w:val="center"/>
          </w:tcPr>
          <w:p w14:paraId="75238C3B" w14:textId="6D4AB17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119764.36</w:t>
            </w:r>
          </w:p>
        </w:tc>
      </w:tr>
      <w:tr w:rsidR="00E0484A" w:rsidRPr="0078036E" w14:paraId="30DB11B1" w14:textId="77777777" w:rsidTr="0049031D">
        <w:trPr>
          <w:trHeight w:val="20"/>
          <w:jc w:val="center"/>
        </w:trPr>
        <w:tc>
          <w:tcPr>
            <w:tcW w:w="421" w:type="dxa"/>
            <w:vAlign w:val="center"/>
          </w:tcPr>
          <w:p w14:paraId="06E9B3F2" w14:textId="5F4278A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8</w:t>
            </w:r>
          </w:p>
        </w:tc>
        <w:tc>
          <w:tcPr>
            <w:tcW w:w="1391" w:type="dxa"/>
            <w:vAlign w:val="center"/>
          </w:tcPr>
          <w:p w14:paraId="4EA90D13" w14:textId="141CB30F"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Maharashtra</w:t>
            </w:r>
          </w:p>
        </w:tc>
        <w:tc>
          <w:tcPr>
            <w:tcW w:w="978" w:type="dxa"/>
            <w:vAlign w:val="center"/>
          </w:tcPr>
          <w:p w14:paraId="46677AA7" w14:textId="2C0E05F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30045.27</w:t>
            </w:r>
          </w:p>
        </w:tc>
        <w:tc>
          <w:tcPr>
            <w:tcW w:w="976" w:type="dxa"/>
            <w:vAlign w:val="center"/>
          </w:tcPr>
          <w:p w14:paraId="0AD92FF7" w14:textId="310895F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31105.62</w:t>
            </w:r>
          </w:p>
        </w:tc>
        <w:tc>
          <w:tcPr>
            <w:tcW w:w="1073" w:type="dxa"/>
            <w:vAlign w:val="center"/>
          </w:tcPr>
          <w:p w14:paraId="4911BB4C" w14:textId="316D595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32203.39</w:t>
            </w:r>
          </w:p>
        </w:tc>
        <w:tc>
          <w:tcPr>
            <w:tcW w:w="1073" w:type="dxa"/>
            <w:vAlign w:val="center"/>
          </w:tcPr>
          <w:p w14:paraId="484B1EA9" w14:textId="4B09B5E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33339.90</w:t>
            </w:r>
          </w:p>
        </w:tc>
        <w:tc>
          <w:tcPr>
            <w:tcW w:w="979" w:type="dxa"/>
            <w:vAlign w:val="center"/>
          </w:tcPr>
          <w:p w14:paraId="04E42140" w14:textId="4E93269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34516.52</w:t>
            </w:r>
          </w:p>
        </w:tc>
        <w:tc>
          <w:tcPr>
            <w:tcW w:w="979" w:type="dxa"/>
            <w:vAlign w:val="center"/>
          </w:tcPr>
          <w:p w14:paraId="3EDC3E49" w14:textId="7E3C755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35734.67</w:t>
            </w:r>
          </w:p>
        </w:tc>
        <w:tc>
          <w:tcPr>
            <w:tcW w:w="1056" w:type="dxa"/>
            <w:vAlign w:val="center"/>
          </w:tcPr>
          <w:p w14:paraId="224E4C8A" w14:textId="706ED94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166900.09</w:t>
            </w:r>
          </w:p>
        </w:tc>
      </w:tr>
      <w:tr w:rsidR="00E0484A" w:rsidRPr="0078036E" w14:paraId="751B3D6E" w14:textId="77777777" w:rsidTr="0049031D">
        <w:trPr>
          <w:trHeight w:val="20"/>
          <w:jc w:val="center"/>
        </w:trPr>
        <w:tc>
          <w:tcPr>
            <w:tcW w:w="421" w:type="dxa"/>
            <w:vAlign w:val="center"/>
          </w:tcPr>
          <w:p w14:paraId="022CB34B" w14:textId="31109E4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w:t>
            </w:r>
          </w:p>
        </w:tc>
        <w:tc>
          <w:tcPr>
            <w:tcW w:w="1391" w:type="dxa"/>
            <w:vAlign w:val="center"/>
          </w:tcPr>
          <w:p w14:paraId="07E6FE3F" w14:textId="659499E7"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Orissa</w:t>
            </w:r>
          </w:p>
        </w:tc>
        <w:tc>
          <w:tcPr>
            <w:tcW w:w="978" w:type="dxa"/>
            <w:vAlign w:val="center"/>
          </w:tcPr>
          <w:p w14:paraId="43B45AA1" w14:textId="10E10EC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9522.23</w:t>
            </w:r>
          </w:p>
        </w:tc>
        <w:tc>
          <w:tcPr>
            <w:tcW w:w="976" w:type="dxa"/>
            <w:vAlign w:val="center"/>
          </w:tcPr>
          <w:p w14:paraId="7905B59B" w14:textId="2500DCA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10185.51</w:t>
            </w:r>
          </w:p>
        </w:tc>
        <w:tc>
          <w:tcPr>
            <w:tcW w:w="1073" w:type="dxa"/>
            <w:vAlign w:val="center"/>
          </w:tcPr>
          <w:p w14:paraId="6B14F823" w14:textId="2D1DF63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10894.98</w:t>
            </w:r>
          </w:p>
        </w:tc>
        <w:tc>
          <w:tcPr>
            <w:tcW w:w="1073" w:type="dxa"/>
            <w:vAlign w:val="center"/>
          </w:tcPr>
          <w:p w14:paraId="1E80483C" w14:textId="717C80D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11653.88</w:t>
            </w:r>
          </w:p>
        </w:tc>
        <w:tc>
          <w:tcPr>
            <w:tcW w:w="979" w:type="dxa"/>
            <w:vAlign w:val="center"/>
          </w:tcPr>
          <w:p w14:paraId="3A5FE077" w14:textId="50687E0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12465.64</w:t>
            </w:r>
          </w:p>
        </w:tc>
        <w:tc>
          <w:tcPr>
            <w:tcW w:w="979" w:type="dxa"/>
            <w:vAlign w:val="center"/>
          </w:tcPr>
          <w:p w14:paraId="0B3317B1" w14:textId="53B84B3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13333.94</w:t>
            </w:r>
          </w:p>
        </w:tc>
        <w:tc>
          <w:tcPr>
            <w:tcW w:w="1056" w:type="dxa"/>
            <w:vAlign w:val="center"/>
          </w:tcPr>
          <w:p w14:paraId="42208857" w14:textId="602AEB1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58533.94</w:t>
            </w:r>
          </w:p>
        </w:tc>
      </w:tr>
      <w:tr w:rsidR="00E0484A" w:rsidRPr="0078036E" w14:paraId="44136CF9" w14:textId="77777777" w:rsidTr="0049031D">
        <w:trPr>
          <w:trHeight w:val="20"/>
          <w:jc w:val="center"/>
        </w:trPr>
        <w:tc>
          <w:tcPr>
            <w:tcW w:w="421" w:type="dxa"/>
            <w:vAlign w:val="center"/>
          </w:tcPr>
          <w:p w14:paraId="316C5C7B" w14:textId="38485DC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w:t>
            </w:r>
          </w:p>
        </w:tc>
        <w:tc>
          <w:tcPr>
            <w:tcW w:w="1391" w:type="dxa"/>
            <w:vAlign w:val="center"/>
          </w:tcPr>
          <w:p w14:paraId="2524B8DF" w14:textId="4B419206"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Punjab</w:t>
            </w:r>
          </w:p>
        </w:tc>
        <w:tc>
          <w:tcPr>
            <w:tcW w:w="978" w:type="dxa"/>
            <w:vAlign w:val="center"/>
          </w:tcPr>
          <w:p w14:paraId="0CD502DB" w14:textId="2D8BD30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9799.41</w:t>
            </w:r>
          </w:p>
        </w:tc>
        <w:tc>
          <w:tcPr>
            <w:tcW w:w="976" w:type="dxa"/>
            <w:vAlign w:val="center"/>
          </w:tcPr>
          <w:p w14:paraId="62DB35BE" w14:textId="682AE3F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9974.28</w:t>
            </w:r>
          </w:p>
        </w:tc>
        <w:tc>
          <w:tcPr>
            <w:tcW w:w="1073" w:type="dxa"/>
            <w:vAlign w:val="center"/>
          </w:tcPr>
          <w:p w14:paraId="0EA99DFB" w14:textId="50787EA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10152.27</w:t>
            </w:r>
          </w:p>
        </w:tc>
        <w:tc>
          <w:tcPr>
            <w:tcW w:w="1073" w:type="dxa"/>
            <w:vAlign w:val="center"/>
          </w:tcPr>
          <w:p w14:paraId="1C1E6580" w14:textId="39A0AE0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10333.43</w:t>
            </w:r>
          </w:p>
        </w:tc>
        <w:tc>
          <w:tcPr>
            <w:tcW w:w="979" w:type="dxa"/>
            <w:vAlign w:val="center"/>
          </w:tcPr>
          <w:p w14:paraId="5528A5A2" w14:textId="6441340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10517.83</w:t>
            </w:r>
          </w:p>
        </w:tc>
        <w:tc>
          <w:tcPr>
            <w:tcW w:w="979" w:type="dxa"/>
            <w:vAlign w:val="center"/>
          </w:tcPr>
          <w:p w14:paraId="1367124B" w14:textId="3477046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10705.51</w:t>
            </w:r>
          </w:p>
        </w:tc>
        <w:tc>
          <w:tcPr>
            <w:tcW w:w="1056" w:type="dxa"/>
            <w:vAlign w:val="center"/>
          </w:tcPr>
          <w:p w14:paraId="743583EF" w14:textId="54F0E545"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51683.32</w:t>
            </w:r>
          </w:p>
        </w:tc>
      </w:tr>
      <w:tr w:rsidR="00E0484A" w:rsidRPr="0078036E" w14:paraId="07721CDC" w14:textId="77777777" w:rsidTr="0049031D">
        <w:trPr>
          <w:trHeight w:val="20"/>
          <w:jc w:val="center"/>
        </w:trPr>
        <w:tc>
          <w:tcPr>
            <w:tcW w:w="421" w:type="dxa"/>
            <w:vAlign w:val="center"/>
          </w:tcPr>
          <w:p w14:paraId="09523A31" w14:textId="3FC9DD5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w:t>
            </w:r>
          </w:p>
        </w:tc>
        <w:tc>
          <w:tcPr>
            <w:tcW w:w="1391" w:type="dxa"/>
            <w:vAlign w:val="center"/>
          </w:tcPr>
          <w:p w14:paraId="328F1350" w14:textId="3E3C4B83"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Rajasthan</w:t>
            </w:r>
          </w:p>
        </w:tc>
        <w:tc>
          <w:tcPr>
            <w:tcW w:w="978" w:type="dxa"/>
            <w:vAlign w:val="center"/>
          </w:tcPr>
          <w:p w14:paraId="35E4AFAB" w14:textId="2A29A753"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12262.22</w:t>
            </w:r>
          </w:p>
        </w:tc>
        <w:tc>
          <w:tcPr>
            <w:tcW w:w="976" w:type="dxa"/>
            <w:vAlign w:val="center"/>
          </w:tcPr>
          <w:p w14:paraId="2133F12A" w14:textId="1B04E09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13106.14</w:t>
            </w:r>
          </w:p>
        </w:tc>
        <w:tc>
          <w:tcPr>
            <w:tcW w:w="1073" w:type="dxa"/>
            <w:vAlign w:val="center"/>
          </w:tcPr>
          <w:p w14:paraId="60B79B04" w14:textId="2529A920"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14008.13</w:t>
            </w:r>
          </w:p>
        </w:tc>
        <w:tc>
          <w:tcPr>
            <w:tcW w:w="1073" w:type="dxa"/>
            <w:vAlign w:val="center"/>
          </w:tcPr>
          <w:p w14:paraId="7EC2E295" w14:textId="4A49EC0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14972.21</w:t>
            </w:r>
          </w:p>
        </w:tc>
        <w:tc>
          <w:tcPr>
            <w:tcW w:w="979" w:type="dxa"/>
            <w:vAlign w:val="center"/>
          </w:tcPr>
          <w:p w14:paraId="157B712E" w14:textId="10F13D6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16002.63</w:t>
            </w:r>
          </w:p>
        </w:tc>
        <w:tc>
          <w:tcPr>
            <w:tcW w:w="979" w:type="dxa"/>
            <w:vAlign w:val="center"/>
          </w:tcPr>
          <w:p w14:paraId="3BB1BFB6" w14:textId="11CDAFB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17103.97</w:t>
            </w:r>
          </w:p>
        </w:tc>
        <w:tc>
          <w:tcPr>
            <w:tcW w:w="1056" w:type="dxa"/>
            <w:vAlign w:val="center"/>
          </w:tcPr>
          <w:p w14:paraId="2D148654" w14:textId="1ADA359B"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75193.07</w:t>
            </w:r>
          </w:p>
        </w:tc>
      </w:tr>
      <w:tr w:rsidR="00E0484A" w:rsidRPr="0078036E" w14:paraId="71FCC5DD" w14:textId="77777777" w:rsidTr="0049031D">
        <w:trPr>
          <w:trHeight w:val="20"/>
          <w:jc w:val="center"/>
        </w:trPr>
        <w:tc>
          <w:tcPr>
            <w:tcW w:w="421" w:type="dxa"/>
            <w:vAlign w:val="center"/>
          </w:tcPr>
          <w:p w14:paraId="2E1C950D" w14:textId="093F972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12</w:t>
            </w:r>
          </w:p>
        </w:tc>
        <w:tc>
          <w:tcPr>
            <w:tcW w:w="1391" w:type="dxa"/>
            <w:vAlign w:val="center"/>
          </w:tcPr>
          <w:p w14:paraId="198EE3F9" w14:textId="6795EA43"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Tamil Nadu</w:t>
            </w:r>
          </w:p>
        </w:tc>
        <w:tc>
          <w:tcPr>
            <w:tcW w:w="978" w:type="dxa"/>
            <w:vAlign w:val="center"/>
          </w:tcPr>
          <w:p w14:paraId="19CC8F8A" w14:textId="7D48F04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17848.08</w:t>
            </w:r>
          </w:p>
        </w:tc>
        <w:tc>
          <w:tcPr>
            <w:tcW w:w="976" w:type="dxa"/>
            <w:vAlign w:val="center"/>
          </w:tcPr>
          <w:p w14:paraId="57AB70EE" w14:textId="723752E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19437.05</w:t>
            </w:r>
          </w:p>
        </w:tc>
        <w:tc>
          <w:tcPr>
            <w:tcW w:w="1073" w:type="dxa"/>
            <w:vAlign w:val="center"/>
          </w:tcPr>
          <w:p w14:paraId="67184575" w14:textId="4F75144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21167.47</w:t>
            </w:r>
          </w:p>
        </w:tc>
        <w:tc>
          <w:tcPr>
            <w:tcW w:w="1073" w:type="dxa"/>
            <w:vAlign w:val="center"/>
          </w:tcPr>
          <w:p w14:paraId="292D8208" w14:textId="5998D5D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23051.95</w:t>
            </w:r>
          </w:p>
        </w:tc>
        <w:tc>
          <w:tcPr>
            <w:tcW w:w="979" w:type="dxa"/>
            <w:vAlign w:val="center"/>
          </w:tcPr>
          <w:p w14:paraId="51E22F4B" w14:textId="574F98D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25104.20</w:t>
            </w:r>
          </w:p>
        </w:tc>
        <w:tc>
          <w:tcPr>
            <w:tcW w:w="979" w:type="dxa"/>
            <w:vAlign w:val="center"/>
          </w:tcPr>
          <w:p w14:paraId="6D3D2789" w14:textId="23A6D80E"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27339.15</w:t>
            </w:r>
          </w:p>
        </w:tc>
        <w:tc>
          <w:tcPr>
            <w:tcW w:w="1056" w:type="dxa"/>
            <w:vAlign w:val="center"/>
          </w:tcPr>
          <w:p w14:paraId="5E22A40F" w14:textId="52BB5F2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116099.81</w:t>
            </w:r>
          </w:p>
        </w:tc>
      </w:tr>
      <w:tr w:rsidR="00E0484A" w:rsidRPr="0078036E" w14:paraId="1513AAE9" w14:textId="77777777" w:rsidTr="0049031D">
        <w:trPr>
          <w:trHeight w:val="20"/>
          <w:jc w:val="center"/>
        </w:trPr>
        <w:tc>
          <w:tcPr>
            <w:tcW w:w="421" w:type="dxa"/>
            <w:vAlign w:val="center"/>
          </w:tcPr>
          <w:p w14:paraId="0A50473D" w14:textId="2E906CB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13</w:t>
            </w:r>
          </w:p>
        </w:tc>
        <w:tc>
          <w:tcPr>
            <w:tcW w:w="1391" w:type="dxa"/>
            <w:vAlign w:val="center"/>
          </w:tcPr>
          <w:p w14:paraId="44C99CB7" w14:textId="75A74134"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Uttar Pradesh</w:t>
            </w:r>
          </w:p>
        </w:tc>
        <w:tc>
          <w:tcPr>
            <w:tcW w:w="978" w:type="dxa"/>
            <w:vAlign w:val="center"/>
          </w:tcPr>
          <w:p w14:paraId="058E031B" w14:textId="2C7D65D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42644.62</w:t>
            </w:r>
          </w:p>
        </w:tc>
        <w:tc>
          <w:tcPr>
            <w:tcW w:w="976" w:type="dxa"/>
            <w:vAlign w:val="center"/>
          </w:tcPr>
          <w:p w14:paraId="3419E87E" w14:textId="61B8F658"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46258.41</w:t>
            </w:r>
          </w:p>
        </w:tc>
        <w:tc>
          <w:tcPr>
            <w:tcW w:w="1073" w:type="dxa"/>
            <w:vAlign w:val="center"/>
          </w:tcPr>
          <w:p w14:paraId="60F900C3" w14:textId="0FCF76D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50178.45</w:t>
            </w:r>
          </w:p>
        </w:tc>
        <w:tc>
          <w:tcPr>
            <w:tcW w:w="1073" w:type="dxa"/>
            <w:vAlign w:val="center"/>
          </w:tcPr>
          <w:p w14:paraId="4B9F349F" w14:textId="251007E1"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54430.67</w:t>
            </w:r>
          </w:p>
        </w:tc>
        <w:tc>
          <w:tcPr>
            <w:tcW w:w="979" w:type="dxa"/>
            <w:vAlign w:val="center"/>
          </w:tcPr>
          <w:p w14:paraId="35B2944D" w14:textId="730B056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59043.24</w:t>
            </w:r>
          </w:p>
        </w:tc>
        <w:tc>
          <w:tcPr>
            <w:tcW w:w="979" w:type="dxa"/>
            <w:vAlign w:val="center"/>
          </w:tcPr>
          <w:p w14:paraId="1EF00DF7" w14:textId="08DBF36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64046.69</w:t>
            </w:r>
          </w:p>
        </w:tc>
        <w:tc>
          <w:tcPr>
            <w:tcW w:w="1056" w:type="dxa"/>
            <w:vAlign w:val="center"/>
          </w:tcPr>
          <w:p w14:paraId="7A5474D9" w14:textId="791570EF"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273957.46</w:t>
            </w:r>
          </w:p>
        </w:tc>
      </w:tr>
      <w:tr w:rsidR="00E0484A" w:rsidRPr="0078036E" w14:paraId="553DD939" w14:textId="77777777" w:rsidTr="0049031D">
        <w:trPr>
          <w:trHeight w:val="20"/>
          <w:jc w:val="center"/>
        </w:trPr>
        <w:tc>
          <w:tcPr>
            <w:tcW w:w="421" w:type="dxa"/>
            <w:vAlign w:val="center"/>
          </w:tcPr>
          <w:p w14:paraId="51C2C757" w14:textId="40C3355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w:t>
            </w:r>
          </w:p>
        </w:tc>
        <w:tc>
          <w:tcPr>
            <w:tcW w:w="1391" w:type="dxa"/>
            <w:vAlign w:val="center"/>
          </w:tcPr>
          <w:p w14:paraId="38662C46" w14:textId="1BE2972A"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sz w:val="16"/>
                <w:szCs w:val="16"/>
              </w:rPr>
              <w:t>West Bengal</w:t>
            </w:r>
          </w:p>
        </w:tc>
        <w:tc>
          <w:tcPr>
            <w:tcW w:w="978" w:type="dxa"/>
            <w:vAlign w:val="center"/>
          </w:tcPr>
          <w:p w14:paraId="42BD40D6" w14:textId="5ECDD51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23231.03</w:t>
            </w:r>
          </w:p>
        </w:tc>
        <w:tc>
          <w:tcPr>
            <w:tcW w:w="976" w:type="dxa"/>
            <w:vAlign w:val="center"/>
          </w:tcPr>
          <w:p w14:paraId="716D2F8D" w14:textId="19749AF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24866.23</w:t>
            </w:r>
          </w:p>
        </w:tc>
        <w:tc>
          <w:tcPr>
            <w:tcW w:w="1073" w:type="dxa"/>
            <w:vAlign w:val="center"/>
          </w:tcPr>
          <w:p w14:paraId="04C61DF3" w14:textId="296AA84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26616.54</w:t>
            </w:r>
          </w:p>
        </w:tc>
        <w:tc>
          <w:tcPr>
            <w:tcW w:w="1073" w:type="dxa"/>
            <w:vAlign w:val="center"/>
          </w:tcPr>
          <w:p w14:paraId="3F77B224" w14:textId="7BC5EFB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28490.04</w:t>
            </w:r>
          </w:p>
        </w:tc>
        <w:tc>
          <w:tcPr>
            <w:tcW w:w="979" w:type="dxa"/>
            <w:vAlign w:val="center"/>
          </w:tcPr>
          <w:p w14:paraId="6DF9F820" w14:textId="73898C4D"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30495.42</w:t>
            </w:r>
          </w:p>
        </w:tc>
        <w:tc>
          <w:tcPr>
            <w:tcW w:w="979" w:type="dxa"/>
            <w:vAlign w:val="center"/>
          </w:tcPr>
          <w:p w14:paraId="29B0D6CB" w14:textId="7ED863EC"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32641.96</w:t>
            </w:r>
          </w:p>
        </w:tc>
        <w:tc>
          <w:tcPr>
            <w:tcW w:w="1056" w:type="dxa"/>
            <w:vAlign w:val="center"/>
          </w:tcPr>
          <w:p w14:paraId="002CE445" w14:textId="4E7E61F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sz w:val="16"/>
                <w:szCs w:val="16"/>
              </w:rPr>
              <w:t>143110.19</w:t>
            </w:r>
          </w:p>
        </w:tc>
      </w:tr>
      <w:tr w:rsidR="00E0484A" w:rsidRPr="0078036E" w14:paraId="216FC4A2" w14:textId="77777777" w:rsidTr="0049031D">
        <w:trPr>
          <w:trHeight w:val="20"/>
          <w:jc w:val="center"/>
        </w:trPr>
        <w:tc>
          <w:tcPr>
            <w:tcW w:w="421" w:type="dxa"/>
            <w:vAlign w:val="center"/>
          </w:tcPr>
          <w:p w14:paraId="5122C2A1" w14:textId="57D73B8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14</w:t>
            </w:r>
          </w:p>
        </w:tc>
        <w:tc>
          <w:tcPr>
            <w:tcW w:w="1391" w:type="dxa"/>
            <w:vAlign w:val="center"/>
          </w:tcPr>
          <w:p w14:paraId="3D91888F" w14:textId="771312ED" w:rsidR="00E0484A" w:rsidRPr="00D01DF5" w:rsidRDefault="00E0484A" w:rsidP="00E0484A">
            <w:pPr>
              <w:rPr>
                <w:rFonts w:ascii="Times New Roman" w:hAnsi="Times New Roman" w:cs="Times New Roman"/>
                <w:sz w:val="16"/>
                <w:szCs w:val="16"/>
              </w:rPr>
            </w:pPr>
            <w:r w:rsidRPr="00D01DF5">
              <w:rPr>
                <w:rFonts w:ascii="Times New Roman" w:hAnsi="Times New Roman" w:cs="Times New Roman"/>
                <w:b/>
                <w:bCs/>
                <w:sz w:val="16"/>
                <w:szCs w:val="16"/>
              </w:rPr>
              <w:t>Major States</w:t>
            </w:r>
          </w:p>
        </w:tc>
        <w:tc>
          <w:tcPr>
            <w:tcW w:w="978" w:type="dxa"/>
            <w:vAlign w:val="center"/>
          </w:tcPr>
          <w:p w14:paraId="1330A946" w14:textId="31C9F9B2"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253332.19</w:t>
            </w:r>
          </w:p>
        </w:tc>
        <w:tc>
          <w:tcPr>
            <w:tcW w:w="976" w:type="dxa"/>
            <w:vAlign w:val="center"/>
          </w:tcPr>
          <w:p w14:paraId="4CDA954E" w14:textId="2C7CF53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270996.50</w:t>
            </w:r>
          </w:p>
        </w:tc>
        <w:tc>
          <w:tcPr>
            <w:tcW w:w="1073" w:type="dxa"/>
            <w:vAlign w:val="center"/>
          </w:tcPr>
          <w:p w14:paraId="789EB7FC" w14:textId="50D7E066"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290046.27</w:t>
            </w:r>
          </w:p>
        </w:tc>
        <w:tc>
          <w:tcPr>
            <w:tcW w:w="1073" w:type="dxa"/>
            <w:vAlign w:val="center"/>
          </w:tcPr>
          <w:p w14:paraId="7C0538E7" w14:textId="04C88359"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310597.17</w:t>
            </w:r>
          </w:p>
        </w:tc>
        <w:tc>
          <w:tcPr>
            <w:tcW w:w="979" w:type="dxa"/>
            <w:vAlign w:val="center"/>
          </w:tcPr>
          <w:p w14:paraId="6F64E795" w14:textId="1B639C17"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332774.83</w:t>
            </w:r>
          </w:p>
        </w:tc>
        <w:tc>
          <w:tcPr>
            <w:tcW w:w="979" w:type="dxa"/>
            <w:vAlign w:val="center"/>
          </w:tcPr>
          <w:p w14:paraId="0D152E1A" w14:textId="5767DF04"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356715.80</w:t>
            </w:r>
          </w:p>
        </w:tc>
        <w:tc>
          <w:tcPr>
            <w:tcW w:w="1056" w:type="dxa"/>
            <w:vAlign w:val="center"/>
          </w:tcPr>
          <w:p w14:paraId="00964F60" w14:textId="46E3934A" w:rsidR="00E0484A" w:rsidRPr="00D01DF5" w:rsidRDefault="00E0484A" w:rsidP="00E0484A">
            <w:pPr>
              <w:jc w:val="center"/>
              <w:rPr>
                <w:rFonts w:ascii="Times New Roman" w:hAnsi="Times New Roman" w:cs="Times New Roman"/>
                <w:sz w:val="16"/>
                <w:szCs w:val="16"/>
              </w:rPr>
            </w:pPr>
            <w:r w:rsidRPr="00D01DF5">
              <w:rPr>
                <w:rFonts w:ascii="Times New Roman" w:hAnsi="Times New Roman" w:cs="Times New Roman"/>
                <w:b/>
                <w:bCs/>
                <w:sz w:val="16"/>
                <w:szCs w:val="16"/>
              </w:rPr>
              <w:t>1561130.57</w:t>
            </w:r>
          </w:p>
        </w:tc>
      </w:tr>
      <w:tr w:rsidR="00E0484A" w:rsidRPr="0078036E" w14:paraId="1F3E635C" w14:textId="77777777" w:rsidTr="00737F96">
        <w:trPr>
          <w:trHeight w:val="20"/>
          <w:jc w:val="center"/>
        </w:trPr>
        <w:tc>
          <w:tcPr>
            <w:tcW w:w="8926" w:type="dxa"/>
            <w:gridSpan w:val="9"/>
            <w:vAlign w:val="center"/>
          </w:tcPr>
          <w:p w14:paraId="63070457" w14:textId="33D0C456" w:rsidR="00E0484A" w:rsidRPr="00D01DF5" w:rsidRDefault="009775CB" w:rsidP="00E0484A">
            <w:pPr>
              <w:jc w:val="center"/>
              <w:rPr>
                <w:rFonts w:ascii="Times New Roman" w:hAnsi="Times New Roman" w:cs="Times New Roman"/>
                <w:b/>
                <w:bCs/>
                <w:sz w:val="16"/>
                <w:szCs w:val="16"/>
              </w:rPr>
            </w:pPr>
            <w:r w:rsidRPr="00D01DF5">
              <w:rPr>
                <w:rFonts w:ascii="Times New Roman" w:hAnsi="Times New Roman" w:cs="Times New Roman"/>
                <w:b/>
                <w:bCs/>
                <w:sz w:val="20"/>
                <w:szCs w:val="20"/>
              </w:rPr>
              <w:t xml:space="preserve">Expenditure Category: </w:t>
            </w:r>
            <w:r>
              <w:rPr>
                <w:rFonts w:ascii="Times New Roman" w:hAnsi="Times New Roman" w:cs="Times New Roman"/>
                <w:b/>
                <w:bCs/>
                <w:sz w:val="20"/>
                <w:szCs w:val="20"/>
              </w:rPr>
              <w:t>Jails</w:t>
            </w:r>
          </w:p>
        </w:tc>
      </w:tr>
      <w:tr w:rsidR="009775CB" w:rsidRPr="0078036E" w14:paraId="616CD35F" w14:textId="77777777" w:rsidTr="0049031D">
        <w:trPr>
          <w:trHeight w:val="20"/>
          <w:jc w:val="center"/>
        </w:trPr>
        <w:tc>
          <w:tcPr>
            <w:tcW w:w="421" w:type="dxa"/>
            <w:vAlign w:val="center"/>
          </w:tcPr>
          <w:p w14:paraId="1CCAA693" w14:textId="12DEC526"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25650E46" w14:textId="073E0E0A"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30E1681A" w14:textId="72AD3C55"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52636AA9" w14:textId="7AF06EE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4AFFBE98" w14:textId="74DB1989"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503FA7F5" w14:textId="146F8E97"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351B3A92" w14:textId="16BDE70A"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70A2C156" w14:textId="0E55163F"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2EDFF954" w14:textId="7143176C"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9775CB" w:rsidRPr="0078036E" w14:paraId="26FB77B8" w14:textId="77777777" w:rsidTr="0049031D">
        <w:trPr>
          <w:trHeight w:val="20"/>
          <w:jc w:val="center"/>
        </w:trPr>
        <w:tc>
          <w:tcPr>
            <w:tcW w:w="421" w:type="dxa"/>
            <w:vAlign w:val="center"/>
          </w:tcPr>
          <w:p w14:paraId="11B9E716" w14:textId="182C976D"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23E30179" w14:textId="01B9F250"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56BC4790" w14:textId="5591A600"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1197.96</w:t>
            </w:r>
          </w:p>
        </w:tc>
        <w:tc>
          <w:tcPr>
            <w:tcW w:w="976" w:type="dxa"/>
            <w:vAlign w:val="center"/>
          </w:tcPr>
          <w:p w14:paraId="10123988" w14:textId="4F9A3E05"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1343.83</w:t>
            </w:r>
          </w:p>
        </w:tc>
        <w:tc>
          <w:tcPr>
            <w:tcW w:w="1073" w:type="dxa"/>
            <w:vAlign w:val="center"/>
          </w:tcPr>
          <w:p w14:paraId="2635BE32" w14:textId="6B4A257F"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1507.47</w:t>
            </w:r>
          </w:p>
        </w:tc>
        <w:tc>
          <w:tcPr>
            <w:tcW w:w="1073" w:type="dxa"/>
            <w:vAlign w:val="center"/>
          </w:tcPr>
          <w:p w14:paraId="76CE48F2" w14:textId="168D779E"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1691.04</w:t>
            </w:r>
          </w:p>
        </w:tc>
        <w:tc>
          <w:tcPr>
            <w:tcW w:w="979" w:type="dxa"/>
            <w:vAlign w:val="center"/>
          </w:tcPr>
          <w:p w14:paraId="62D16260" w14:textId="4C32B340"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1896.95</w:t>
            </w:r>
          </w:p>
        </w:tc>
        <w:tc>
          <w:tcPr>
            <w:tcW w:w="979" w:type="dxa"/>
            <w:vAlign w:val="center"/>
          </w:tcPr>
          <w:p w14:paraId="15B7DD76" w14:textId="501389B2"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2127.94</w:t>
            </w:r>
          </w:p>
        </w:tc>
        <w:tc>
          <w:tcPr>
            <w:tcW w:w="1056" w:type="dxa"/>
            <w:vAlign w:val="center"/>
          </w:tcPr>
          <w:p w14:paraId="49B7B083" w14:textId="18965DA3"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8567.24</w:t>
            </w:r>
          </w:p>
        </w:tc>
      </w:tr>
      <w:tr w:rsidR="009775CB" w:rsidRPr="0078036E" w14:paraId="47584B90" w14:textId="77777777" w:rsidTr="0049031D">
        <w:trPr>
          <w:trHeight w:val="20"/>
          <w:jc w:val="center"/>
        </w:trPr>
        <w:tc>
          <w:tcPr>
            <w:tcW w:w="421" w:type="dxa"/>
            <w:vAlign w:val="center"/>
          </w:tcPr>
          <w:p w14:paraId="7486D5AA" w14:textId="2157A9C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73BFCD2C" w14:textId="3B1928A9"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202EF8EA" w14:textId="4F39AE6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2085.71</w:t>
            </w:r>
          </w:p>
        </w:tc>
        <w:tc>
          <w:tcPr>
            <w:tcW w:w="976" w:type="dxa"/>
            <w:vAlign w:val="center"/>
          </w:tcPr>
          <w:p w14:paraId="450FDA16" w14:textId="72E4FC3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2193.86</w:t>
            </w:r>
          </w:p>
        </w:tc>
        <w:tc>
          <w:tcPr>
            <w:tcW w:w="1073" w:type="dxa"/>
            <w:vAlign w:val="center"/>
          </w:tcPr>
          <w:p w14:paraId="0C2E56DC" w14:textId="55AD80E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2307.61</w:t>
            </w:r>
          </w:p>
        </w:tc>
        <w:tc>
          <w:tcPr>
            <w:tcW w:w="1073" w:type="dxa"/>
            <w:vAlign w:val="center"/>
          </w:tcPr>
          <w:p w14:paraId="68C6F9BB" w14:textId="7C38237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2427.27</w:t>
            </w:r>
          </w:p>
        </w:tc>
        <w:tc>
          <w:tcPr>
            <w:tcW w:w="979" w:type="dxa"/>
            <w:vAlign w:val="center"/>
          </w:tcPr>
          <w:p w14:paraId="34676389" w14:textId="10B599D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2553.12</w:t>
            </w:r>
          </w:p>
        </w:tc>
        <w:tc>
          <w:tcPr>
            <w:tcW w:w="979" w:type="dxa"/>
            <w:vAlign w:val="center"/>
          </w:tcPr>
          <w:p w14:paraId="7D62481F" w14:textId="21DBD90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2685.51</w:t>
            </w:r>
          </w:p>
        </w:tc>
        <w:tc>
          <w:tcPr>
            <w:tcW w:w="1056" w:type="dxa"/>
            <w:vAlign w:val="center"/>
          </w:tcPr>
          <w:p w14:paraId="3E75C6CC" w14:textId="0A208D3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12167.36</w:t>
            </w:r>
          </w:p>
        </w:tc>
      </w:tr>
      <w:tr w:rsidR="009775CB" w:rsidRPr="0078036E" w14:paraId="6D676CCB" w14:textId="77777777" w:rsidTr="0049031D">
        <w:trPr>
          <w:trHeight w:val="20"/>
          <w:jc w:val="center"/>
        </w:trPr>
        <w:tc>
          <w:tcPr>
            <w:tcW w:w="421" w:type="dxa"/>
            <w:vAlign w:val="center"/>
          </w:tcPr>
          <w:p w14:paraId="5C1E4C4A" w14:textId="33C5A61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1161878E" w14:textId="40810A55"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659A0FCD" w14:textId="31763A2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747.91</w:t>
            </w:r>
          </w:p>
        </w:tc>
        <w:tc>
          <w:tcPr>
            <w:tcW w:w="976" w:type="dxa"/>
            <w:vAlign w:val="center"/>
          </w:tcPr>
          <w:p w14:paraId="625D14AC" w14:textId="1FA15A1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850.23</w:t>
            </w:r>
          </w:p>
        </w:tc>
        <w:tc>
          <w:tcPr>
            <w:tcW w:w="1073" w:type="dxa"/>
            <w:vAlign w:val="center"/>
          </w:tcPr>
          <w:p w14:paraId="27EEE539" w14:textId="0C08C94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966.55</w:t>
            </w:r>
          </w:p>
        </w:tc>
        <w:tc>
          <w:tcPr>
            <w:tcW w:w="1073" w:type="dxa"/>
            <w:vAlign w:val="center"/>
          </w:tcPr>
          <w:p w14:paraId="12DC9446" w14:textId="481E0B0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1098.78</w:t>
            </w:r>
          </w:p>
        </w:tc>
        <w:tc>
          <w:tcPr>
            <w:tcW w:w="979" w:type="dxa"/>
            <w:vAlign w:val="center"/>
          </w:tcPr>
          <w:p w14:paraId="33310FBB" w14:textId="439AA0E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1249.11</w:t>
            </w:r>
          </w:p>
        </w:tc>
        <w:tc>
          <w:tcPr>
            <w:tcW w:w="979" w:type="dxa"/>
            <w:vAlign w:val="center"/>
          </w:tcPr>
          <w:p w14:paraId="7C354BA7" w14:textId="1E1C8E9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1420.00</w:t>
            </w:r>
          </w:p>
        </w:tc>
        <w:tc>
          <w:tcPr>
            <w:tcW w:w="1056" w:type="dxa"/>
            <w:vAlign w:val="center"/>
          </w:tcPr>
          <w:p w14:paraId="23A433E4" w14:textId="4896552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5584.67</w:t>
            </w:r>
          </w:p>
        </w:tc>
      </w:tr>
      <w:tr w:rsidR="009775CB" w:rsidRPr="0078036E" w14:paraId="48596A69" w14:textId="77777777" w:rsidTr="0049031D">
        <w:trPr>
          <w:trHeight w:val="20"/>
          <w:jc w:val="center"/>
        </w:trPr>
        <w:tc>
          <w:tcPr>
            <w:tcW w:w="421" w:type="dxa"/>
            <w:vAlign w:val="center"/>
          </w:tcPr>
          <w:p w14:paraId="6EB7B2D7" w14:textId="29541A4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1854C4DD" w14:textId="1A820C36"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0711155A" w14:textId="0A1B405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496.52</w:t>
            </w:r>
          </w:p>
        </w:tc>
        <w:tc>
          <w:tcPr>
            <w:tcW w:w="976" w:type="dxa"/>
            <w:vAlign w:val="center"/>
          </w:tcPr>
          <w:p w14:paraId="356CC09D" w14:textId="528049C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536.46</w:t>
            </w:r>
          </w:p>
        </w:tc>
        <w:tc>
          <w:tcPr>
            <w:tcW w:w="1073" w:type="dxa"/>
            <w:vAlign w:val="center"/>
          </w:tcPr>
          <w:p w14:paraId="2826133D" w14:textId="1E9C5BE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579.62</w:t>
            </w:r>
          </w:p>
        </w:tc>
        <w:tc>
          <w:tcPr>
            <w:tcW w:w="1073" w:type="dxa"/>
            <w:vAlign w:val="center"/>
          </w:tcPr>
          <w:p w14:paraId="57BCDA95" w14:textId="6F7D536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626.24</w:t>
            </w:r>
          </w:p>
        </w:tc>
        <w:tc>
          <w:tcPr>
            <w:tcW w:w="979" w:type="dxa"/>
            <w:vAlign w:val="center"/>
          </w:tcPr>
          <w:p w14:paraId="031A74A7" w14:textId="35F564A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676.61</w:t>
            </w:r>
          </w:p>
        </w:tc>
        <w:tc>
          <w:tcPr>
            <w:tcW w:w="979" w:type="dxa"/>
            <w:vAlign w:val="center"/>
          </w:tcPr>
          <w:p w14:paraId="28F9DB13" w14:textId="2222D9B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731.04</w:t>
            </w:r>
          </w:p>
        </w:tc>
        <w:tc>
          <w:tcPr>
            <w:tcW w:w="1056" w:type="dxa"/>
            <w:vAlign w:val="center"/>
          </w:tcPr>
          <w:p w14:paraId="1456286C" w14:textId="2E064DA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3149.98</w:t>
            </w:r>
          </w:p>
        </w:tc>
      </w:tr>
      <w:tr w:rsidR="009775CB" w:rsidRPr="0078036E" w14:paraId="690AAFB2" w14:textId="77777777" w:rsidTr="0049031D">
        <w:trPr>
          <w:trHeight w:val="20"/>
          <w:jc w:val="center"/>
        </w:trPr>
        <w:tc>
          <w:tcPr>
            <w:tcW w:w="421" w:type="dxa"/>
            <w:vAlign w:val="center"/>
          </w:tcPr>
          <w:p w14:paraId="7D96F39B" w14:textId="5A0323C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230C8C4D" w14:textId="458009D1"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336F3DB7" w14:textId="5C057B2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641.77</w:t>
            </w:r>
          </w:p>
        </w:tc>
        <w:tc>
          <w:tcPr>
            <w:tcW w:w="976" w:type="dxa"/>
            <w:vAlign w:val="center"/>
          </w:tcPr>
          <w:p w14:paraId="4D9F63DB" w14:textId="59536EE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720.24</w:t>
            </w:r>
          </w:p>
        </w:tc>
        <w:tc>
          <w:tcPr>
            <w:tcW w:w="1073" w:type="dxa"/>
            <w:vAlign w:val="center"/>
          </w:tcPr>
          <w:p w14:paraId="76C6A23F" w14:textId="70D2499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808.30</w:t>
            </w:r>
          </w:p>
        </w:tc>
        <w:tc>
          <w:tcPr>
            <w:tcW w:w="1073" w:type="dxa"/>
            <w:vAlign w:val="center"/>
          </w:tcPr>
          <w:p w14:paraId="3D4B34FC" w14:textId="4E5D1B9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907.13</w:t>
            </w:r>
          </w:p>
        </w:tc>
        <w:tc>
          <w:tcPr>
            <w:tcW w:w="979" w:type="dxa"/>
            <w:vAlign w:val="center"/>
          </w:tcPr>
          <w:p w14:paraId="093C892F" w14:textId="64F92B1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1018.04</w:t>
            </w:r>
          </w:p>
        </w:tc>
        <w:tc>
          <w:tcPr>
            <w:tcW w:w="979" w:type="dxa"/>
            <w:vAlign w:val="center"/>
          </w:tcPr>
          <w:p w14:paraId="7267772F" w14:textId="45F67E5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1142.52</w:t>
            </w:r>
          </w:p>
        </w:tc>
        <w:tc>
          <w:tcPr>
            <w:tcW w:w="1056" w:type="dxa"/>
            <w:vAlign w:val="center"/>
          </w:tcPr>
          <w:p w14:paraId="06543F3D" w14:textId="1C590AC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4596.23</w:t>
            </w:r>
          </w:p>
        </w:tc>
      </w:tr>
      <w:tr w:rsidR="009775CB" w:rsidRPr="0078036E" w14:paraId="05CEBF88" w14:textId="77777777" w:rsidTr="0049031D">
        <w:trPr>
          <w:trHeight w:val="20"/>
          <w:jc w:val="center"/>
        </w:trPr>
        <w:tc>
          <w:tcPr>
            <w:tcW w:w="421" w:type="dxa"/>
            <w:vAlign w:val="center"/>
          </w:tcPr>
          <w:p w14:paraId="601E9D96" w14:textId="6796778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119060DB" w14:textId="12738B6C"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6AE07178" w14:textId="75B875D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539.47</w:t>
            </w:r>
          </w:p>
        </w:tc>
        <w:tc>
          <w:tcPr>
            <w:tcW w:w="976" w:type="dxa"/>
            <w:vAlign w:val="center"/>
          </w:tcPr>
          <w:p w14:paraId="3F6E0679" w14:textId="408E920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589.05</w:t>
            </w:r>
          </w:p>
        </w:tc>
        <w:tc>
          <w:tcPr>
            <w:tcW w:w="1073" w:type="dxa"/>
            <w:vAlign w:val="center"/>
          </w:tcPr>
          <w:p w14:paraId="7AFB2FC9" w14:textId="3883E77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643.19</w:t>
            </w:r>
          </w:p>
        </w:tc>
        <w:tc>
          <w:tcPr>
            <w:tcW w:w="1073" w:type="dxa"/>
            <w:vAlign w:val="center"/>
          </w:tcPr>
          <w:p w14:paraId="11653E70" w14:textId="37527A9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702.31</w:t>
            </w:r>
          </w:p>
        </w:tc>
        <w:tc>
          <w:tcPr>
            <w:tcW w:w="979" w:type="dxa"/>
            <w:vAlign w:val="center"/>
          </w:tcPr>
          <w:p w14:paraId="74191172" w14:textId="7235066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766.86</w:t>
            </w:r>
          </w:p>
        </w:tc>
        <w:tc>
          <w:tcPr>
            <w:tcW w:w="979" w:type="dxa"/>
            <w:vAlign w:val="center"/>
          </w:tcPr>
          <w:p w14:paraId="00BF3C8D" w14:textId="7744B08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837.34</w:t>
            </w:r>
          </w:p>
        </w:tc>
        <w:tc>
          <w:tcPr>
            <w:tcW w:w="1056" w:type="dxa"/>
            <w:vAlign w:val="center"/>
          </w:tcPr>
          <w:p w14:paraId="4382A3B2" w14:textId="213533F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3536.75</w:t>
            </w:r>
          </w:p>
        </w:tc>
      </w:tr>
      <w:tr w:rsidR="009775CB" w:rsidRPr="0078036E" w14:paraId="4791F4E2" w14:textId="77777777" w:rsidTr="0049031D">
        <w:trPr>
          <w:trHeight w:val="20"/>
          <w:jc w:val="center"/>
        </w:trPr>
        <w:tc>
          <w:tcPr>
            <w:tcW w:w="421" w:type="dxa"/>
            <w:vAlign w:val="center"/>
          </w:tcPr>
          <w:p w14:paraId="1106F5DE" w14:textId="456C6B6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w:t>
            </w:r>
          </w:p>
        </w:tc>
        <w:tc>
          <w:tcPr>
            <w:tcW w:w="1391" w:type="dxa"/>
            <w:vAlign w:val="center"/>
          </w:tcPr>
          <w:p w14:paraId="53130244" w14:textId="6B602394"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Madhya Pradesh</w:t>
            </w:r>
          </w:p>
        </w:tc>
        <w:tc>
          <w:tcPr>
            <w:tcW w:w="978" w:type="dxa"/>
            <w:vAlign w:val="center"/>
          </w:tcPr>
          <w:p w14:paraId="1B4AC286" w14:textId="6241DF9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1522.66</w:t>
            </w:r>
          </w:p>
        </w:tc>
        <w:tc>
          <w:tcPr>
            <w:tcW w:w="976" w:type="dxa"/>
            <w:vAlign w:val="center"/>
          </w:tcPr>
          <w:p w14:paraId="1E153DAA" w14:textId="142AD92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1670.70</w:t>
            </w:r>
          </w:p>
        </w:tc>
        <w:tc>
          <w:tcPr>
            <w:tcW w:w="1073" w:type="dxa"/>
            <w:vAlign w:val="center"/>
          </w:tcPr>
          <w:p w14:paraId="2FEB51F7" w14:textId="4AD9835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1833.14</w:t>
            </w:r>
          </w:p>
        </w:tc>
        <w:tc>
          <w:tcPr>
            <w:tcW w:w="1073" w:type="dxa"/>
            <w:vAlign w:val="center"/>
          </w:tcPr>
          <w:p w14:paraId="71B434D6" w14:textId="15904FB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2011.37</w:t>
            </w:r>
          </w:p>
        </w:tc>
        <w:tc>
          <w:tcPr>
            <w:tcW w:w="979" w:type="dxa"/>
            <w:vAlign w:val="center"/>
          </w:tcPr>
          <w:p w14:paraId="295BFA38" w14:textId="5C4FC2C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2206.93</w:t>
            </w:r>
          </w:p>
        </w:tc>
        <w:tc>
          <w:tcPr>
            <w:tcW w:w="979" w:type="dxa"/>
            <w:vAlign w:val="center"/>
          </w:tcPr>
          <w:p w14:paraId="489AEF37" w14:textId="7AF114B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2421.51</w:t>
            </w:r>
          </w:p>
        </w:tc>
        <w:tc>
          <w:tcPr>
            <w:tcW w:w="1056" w:type="dxa"/>
            <w:vAlign w:val="center"/>
          </w:tcPr>
          <w:p w14:paraId="7AD7E5A5" w14:textId="0DB41C4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10143.66</w:t>
            </w:r>
          </w:p>
        </w:tc>
      </w:tr>
      <w:tr w:rsidR="009775CB" w:rsidRPr="0078036E" w14:paraId="372A1D20" w14:textId="77777777" w:rsidTr="0049031D">
        <w:trPr>
          <w:trHeight w:val="20"/>
          <w:jc w:val="center"/>
        </w:trPr>
        <w:tc>
          <w:tcPr>
            <w:tcW w:w="421" w:type="dxa"/>
            <w:vAlign w:val="center"/>
          </w:tcPr>
          <w:p w14:paraId="6FBDB765" w14:textId="65AC219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w:t>
            </w:r>
          </w:p>
        </w:tc>
        <w:tc>
          <w:tcPr>
            <w:tcW w:w="1391" w:type="dxa"/>
            <w:vAlign w:val="center"/>
          </w:tcPr>
          <w:p w14:paraId="5C319A4C" w14:textId="1790F326"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Maharashtra</w:t>
            </w:r>
          </w:p>
        </w:tc>
        <w:tc>
          <w:tcPr>
            <w:tcW w:w="978" w:type="dxa"/>
            <w:vAlign w:val="center"/>
          </w:tcPr>
          <w:p w14:paraId="75F93225" w14:textId="2ECCBE1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1301.37</w:t>
            </w:r>
          </w:p>
        </w:tc>
        <w:tc>
          <w:tcPr>
            <w:tcW w:w="976" w:type="dxa"/>
            <w:vAlign w:val="center"/>
          </w:tcPr>
          <w:p w14:paraId="74059BCA" w14:textId="7FA6390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1388.41</w:t>
            </w:r>
          </w:p>
        </w:tc>
        <w:tc>
          <w:tcPr>
            <w:tcW w:w="1073" w:type="dxa"/>
            <w:vAlign w:val="center"/>
          </w:tcPr>
          <w:p w14:paraId="16369962" w14:textId="26E76B6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1481.26</w:t>
            </w:r>
          </w:p>
        </w:tc>
        <w:tc>
          <w:tcPr>
            <w:tcW w:w="1073" w:type="dxa"/>
            <w:vAlign w:val="center"/>
          </w:tcPr>
          <w:p w14:paraId="47A707F6" w14:textId="170F695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1580.32</w:t>
            </w:r>
          </w:p>
        </w:tc>
        <w:tc>
          <w:tcPr>
            <w:tcW w:w="979" w:type="dxa"/>
            <w:vAlign w:val="center"/>
          </w:tcPr>
          <w:p w14:paraId="6DE94D85" w14:textId="4549072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1686.01</w:t>
            </w:r>
          </w:p>
        </w:tc>
        <w:tc>
          <w:tcPr>
            <w:tcW w:w="979" w:type="dxa"/>
            <w:vAlign w:val="center"/>
          </w:tcPr>
          <w:p w14:paraId="2A4FC966" w14:textId="1DA4F14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1798.76</w:t>
            </w:r>
          </w:p>
        </w:tc>
        <w:tc>
          <w:tcPr>
            <w:tcW w:w="1056" w:type="dxa"/>
            <w:vAlign w:val="center"/>
          </w:tcPr>
          <w:p w14:paraId="51EE1F0D" w14:textId="5BC9503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7934.76</w:t>
            </w:r>
          </w:p>
        </w:tc>
      </w:tr>
      <w:tr w:rsidR="009775CB" w:rsidRPr="0078036E" w14:paraId="2BBC1E0D" w14:textId="77777777" w:rsidTr="0049031D">
        <w:trPr>
          <w:trHeight w:val="20"/>
          <w:jc w:val="center"/>
        </w:trPr>
        <w:tc>
          <w:tcPr>
            <w:tcW w:w="421" w:type="dxa"/>
            <w:vAlign w:val="center"/>
          </w:tcPr>
          <w:p w14:paraId="36B66BFE" w14:textId="6AD9B2D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w:t>
            </w:r>
          </w:p>
        </w:tc>
        <w:tc>
          <w:tcPr>
            <w:tcW w:w="1391" w:type="dxa"/>
            <w:vAlign w:val="center"/>
          </w:tcPr>
          <w:p w14:paraId="0F59B197" w14:textId="3CAF8F78"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Orissa</w:t>
            </w:r>
          </w:p>
        </w:tc>
        <w:tc>
          <w:tcPr>
            <w:tcW w:w="978" w:type="dxa"/>
            <w:vAlign w:val="center"/>
          </w:tcPr>
          <w:p w14:paraId="7EFE97D0" w14:textId="361FB7A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778.24</w:t>
            </w:r>
          </w:p>
        </w:tc>
        <w:tc>
          <w:tcPr>
            <w:tcW w:w="976" w:type="dxa"/>
            <w:vAlign w:val="center"/>
          </w:tcPr>
          <w:p w14:paraId="0812FBFB" w14:textId="79D538F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854.51</w:t>
            </w:r>
          </w:p>
        </w:tc>
        <w:tc>
          <w:tcPr>
            <w:tcW w:w="1073" w:type="dxa"/>
            <w:vAlign w:val="center"/>
          </w:tcPr>
          <w:p w14:paraId="5B597192" w14:textId="03F7378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938.25</w:t>
            </w:r>
          </w:p>
        </w:tc>
        <w:tc>
          <w:tcPr>
            <w:tcW w:w="1073" w:type="dxa"/>
            <w:vAlign w:val="center"/>
          </w:tcPr>
          <w:p w14:paraId="1166E062" w14:textId="3E19B06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1030.20</w:t>
            </w:r>
          </w:p>
        </w:tc>
        <w:tc>
          <w:tcPr>
            <w:tcW w:w="979" w:type="dxa"/>
            <w:vAlign w:val="center"/>
          </w:tcPr>
          <w:p w14:paraId="32BACA1F" w14:textId="7A92078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1131.16</w:t>
            </w:r>
          </w:p>
        </w:tc>
        <w:tc>
          <w:tcPr>
            <w:tcW w:w="979" w:type="dxa"/>
            <w:vAlign w:val="center"/>
          </w:tcPr>
          <w:p w14:paraId="42E8DBC8" w14:textId="4F37E69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1242.01</w:t>
            </w:r>
          </w:p>
        </w:tc>
        <w:tc>
          <w:tcPr>
            <w:tcW w:w="1056" w:type="dxa"/>
            <w:vAlign w:val="center"/>
          </w:tcPr>
          <w:p w14:paraId="7A445D4C" w14:textId="2E96F8C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5196.14</w:t>
            </w:r>
          </w:p>
        </w:tc>
      </w:tr>
      <w:tr w:rsidR="009775CB" w:rsidRPr="0078036E" w14:paraId="463E0F37" w14:textId="77777777" w:rsidTr="0049031D">
        <w:trPr>
          <w:trHeight w:val="20"/>
          <w:jc w:val="center"/>
        </w:trPr>
        <w:tc>
          <w:tcPr>
            <w:tcW w:w="421" w:type="dxa"/>
            <w:vAlign w:val="center"/>
          </w:tcPr>
          <w:p w14:paraId="2219E057" w14:textId="55DA974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w:t>
            </w:r>
          </w:p>
        </w:tc>
        <w:tc>
          <w:tcPr>
            <w:tcW w:w="1391" w:type="dxa"/>
            <w:vAlign w:val="center"/>
          </w:tcPr>
          <w:p w14:paraId="55C01D9B" w14:textId="3DE9967E"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Punjab</w:t>
            </w:r>
          </w:p>
        </w:tc>
        <w:tc>
          <w:tcPr>
            <w:tcW w:w="978" w:type="dxa"/>
            <w:vAlign w:val="center"/>
          </w:tcPr>
          <w:p w14:paraId="463C9F65" w14:textId="453F3F9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741.18</w:t>
            </w:r>
          </w:p>
        </w:tc>
        <w:tc>
          <w:tcPr>
            <w:tcW w:w="976" w:type="dxa"/>
            <w:vAlign w:val="center"/>
          </w:tcPr>
          <w:p w14:paraId="1EBBC899" w14:textId="2678035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757.11</w:t>
            </w:r>
          </w:p>
        </w:tc>
        <w:tc>
          <w:tcPr>
            <w:tcW w:w="1073" w:type="dxa"/>
            <w:vAlign w:val="center"/>
          </w:tcPr>
          <w:p w14:paraId="250B666E" w14:textId="6525C96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773.39</w:t>
            </w:r>
          </w:p>
        </w:tc>
        <w:tc>
          <w:tcPr>
            <w:tcW w:w="1073" w:type="dxa"/>
            <w:vAlign w:val="center"/>
          </w:tcPr>
          <w:p w14:paraId="4165636D" w14:textId="75AC13E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790.02</w:t>
            </w:r>
          </w:p>
        </w:tc>
        <w:tc>
          <w:tcPr>
            <w:tcW w:w="979" w:type="dxa"/>
            <w:vAlign w:val="center"/>
          </w:tcPr>
          <w:p w14:paraId="69A421CA" w14:textId="6583D06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807.00</w:t>
            </w:r>
          </w:p>
        </w:tc>
        <w:tc>
          <w:tcPr>
            <w:tcW w:w="979" w:type="dxa"/>
            <w:vAlign w:val="center"/>
          </w:tcPr>
          <w:p w14:paraId="58B13060" w14:textId="0CDE7FF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824.36</w:t>
            </w:r>
          </w:p>
        </w:tc>
        <w:tc>
          <w:tcPr>
            <w:tcW w:w="1056" w:type="dxa"/>
            <w:vAlign w:val="center"/>
          </w:tcPr>
          <w:p w14:paraId="2099C598" w14:textId="4EDF24C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3951.88</w:t>
            </w:r>
          </w:p>
        </w:tc>
      </w:tr>
      <w:tr w:rsidR="009775CB" w:rsidRPr="0078036E" w14:paraId="154EBEC1" w14:textId="77777777" w:rsidTr="0049031D">
        <w:trPr>
          <w:trHeight w:val="20"/>
          <w:jc w:val="center"/>
        </w:trPr>
        <w:tc>
          <w:tcPr>
            <w:tcW w:w="421" w:type="dxa"/>
            <w:vAlign w:val="center"/>
          </w:tcPr>
          <w:p w14:paraId="67881DDC" w14:textId="08F8C05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lastRenderedPageBreak/>
              <w:t>11</w:t>
            </w:r>
          </w:p>
        </w:tc>
        <w:tc>
          <w:tcPr>
            <w:tcW w:w="1391" w:type="dxa"/>
            <w:vAlign w:val="center"/>
          </w:tcPr>
          <w:p w14:paraId="6BEE63D3" w14:textId="49F7955C"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Rajasthan</w:t>
            </w:r>
          </w:p>
        </w:tc>
        <w:tc>
          <w:tcPr>
            <w:tcW w:w="978" w:type="dxa"/>
            <w:vAlign w:val="center"/>
          </w:tcPr>
          <w:p w14:paraId="33788CDD" w14:textId="3A29B66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882.69</w:t>
            </w:r>
          </w:p>
        </w:tc>
        <w:tc>
          <w:tcPr>
            <w:tcW w:w="976" w:type="dxa"/>
            <w:vAlign w:val="center"/>
          </w:tcPr>
          <w:p w14:paraId="32C0D3D3" w14:textId="6D4747E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961.38</w:t>
            </w:r>
          </w:p>
        </w:tc>
        <w:tc>
          <w:tcPr>
            <w:tcW w:w="1073" w:type="dxa"/>
            <w:vAlign w:val="center"/>
          </w:tcPr>
          <w:p w14:paraId="2A8B21D1" w14:textId="629F96B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1047.09</w:t>
            </w:r>
          </w:p>
        </w:tc>
        <w:tc>
          <w:tcPr>
            <w:tcW w:w="1073" w:type="dxa"/>
            <w:vAlign w:val="center"/>
          </w:tcPr>
          <w:p w14:paraId="369D1270" w14:textId="1F65736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1140.44</w:t>
            </w:r>
          </w:p>
        </w:tc>
        <w:tc>
          <w:tcPr>
            <w:tcW w:w="979" w:type="dxa"/>
            <w:vAlign w:val="center"/>
          </w:tcPr>
          <w:p w14:paraId="42D91F6A" w14:textId="1208DB2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1242.11</w:t>
            </w:r>
          </w:p>
        </w:tc>
        <w:tc>
          <w:tcPr>
            <w:tcW w:w="979" w:type="dxa"/>
            <w:vAlign w:val="center"/>
          </w:tcPr>
          <w:p w14:paraId="1E96FF59" w14:textId="78CB815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1352.85</w:t>
            </w:r>
          </w:p>
        </w:tc>
        <w:tc>
          <w:tcPr>
            <w:tcW w:w="1056" w:type="dxa"/>
            <w:vAlign w:val="center"/>
          </w:tcPr>
          <w:p w14:paraId="21CECB02" w14:textId="322DC63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5743.88</w:t>
            </w:r>
          </w:p>
        </w:tc>
      </w:tr>
      <w:tr w:rsidR="009775CB" w:rsidRPr="0078036E" w14:paraId="3A818CA8" w14:textId="77777777" w:rsidTr="0049031D">
        <w:trPr>
          <w:trHeight w:val="20"/>
          <w:jc w:val="center"/>
        </w:trPr>
        <w:tc>
          <w:tcPr>
            <w:tcW w:w="421" w:type="dxa"/>
            <w:vAlign w:val="center"/>
          </w:tcPr>
          <w:p w14:paraId="63196313" w14:textId="16FDDF8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w:t>
            </w:r>
          </w:p>
        </w:tc>
        <w:tc>
          <w:tcPr>
            <w:tcW w:w="1391" w:type="dxa"/>
            <w:vAlign w:val="center"/>
          </w:tcPr>
          <w:p w14:paraId="5FFAB2BB" w14:textId="2473FC81"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Tamil Nadu</w:t>
            </w:r>
          </w:p>
        </w:tc>
        <w:tc>
          <w:tcPr>
            <w:tcW w:w="978" w:type="dxa"/>
            <w:vAlign w:val="center"/>
          </w:tcPr>
          <w:p w14:paraId="2FA7A02D" w14:textId="10AAB3E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1470.67</w:t>
            </w:r>
          </w:p>
        </w:tc>
        <w:tc>
          <w:tcPr>
            <w:tcW w:w="976" w:type="dxa"/>
            <w:vAlign w:val="center"/>
          </w:tcPr>
          <w:p w14:paraId="4CB8BBEF" w14:textId="7FC3C8D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1488.75</w:t>
            </w:r>
          </w:p>
        </w:tc>
        <w:tc>
          <w:tcPr>
            <w:tcW w:w="1073" w:type="dxa"/>
            <w:vAlign w:val="center"/>
          </w:tcPr>
          <w:p w14:paraId="660E94A4" w14:textId="14FC642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1507.05</w:t>
            </w:r>
          </w:p>
        </w:tc>
        <w:tc>
          <w:tcPr>
            <w:tcW w:w="1073" w:type="dxa"/>
            <w:vAlign w:val="center"/>
          </w:tcPr>
          <w:p w14:paraId="58694918" w14:textId="319AFED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1525.58</w:t>
            </w:r>
          </w:p>
        </w:tc>
        <w:tc>
          <w:tcPr>
            <w:tcW w:w="979" w:type="dxa"/>
            <w:vAlign w:val="center"/>
          </w:tcPr>
          <w:p w14:paraId="5A25FEAD" w14:textId="222E58D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1544.33</w:t>
            </w:r>
          </w:p>
        </w:tc>
        <w:tc>
          <w:tcPr>
            <w:tcW w:w="979" w:type="dxa"/>
            <w:vAlign w:val="center"/>
          </w:tcPr>
          <w:p w14:paraId="7EA80E55" w14:textId="671208F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1563.32</w:t>
            </w:r>
          </w:p>
        </w:tc>
        <w:tc>
          <w:tcPr>
            <w:tcW w:w="1056" w:type="dxa"/>
            <w:vAlign w:val="center"/>
          </w:tcPr>
          <w:p w14:paraId="103ACAC4" w14:textId="39EDD62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7629.03</w:t>
            </w:r>
          </w:p>
        </w:tc>
      </w:tr>
      <w:tr w:rsidR="009775CB" w:rsidRPr="0078036E" w14:paraId="07178CC7" w14:textId="77777777" w:rsidTr="0049031D">
        <w:trPr>
          <w:trHeight w:val="20"/>
          <w:jc w:val="center"/>
        </w:trPr>
        <w:tc>
          <w:tcPr>
            <w:tcW w:w="421" w:type="dxa"/>
            <w:vAlign w:val="center"/>
          </w:tcPr>
          <w:p w14:paraId="54009484" w14:textId="2D805BD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w:t>
            </w:r>
          </w:p>
        </w:tc>
        <w:tc>
          <w:tcPr>
            <w:tcW w:w="1391" w:type="dxa"/>
            <w:vAlign w:val="center"/>
          </w:tcPr>
          <w:p w14:paraId="354E5CA7" w14:textId="30509573"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Uttar Pradesh</w:t>
            </w:r>
          </w:p>
        </w:tc>
        <w:tc>
          <w:tcPr>
            <w:tcW w:w="978" w:type="dxa"/>
            <w:vAlign w:val="center"/>
          </w:tcPr>
          <w:p w14:paraId="1A453E33" w14:textId="1E82308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2574.91</w:t>
            </w:r>
          </w:p>
        </w:tc>
        <w:tc>
          <w:tcPr>
            <w:tcW w:w="976" w:type="dxa"/>
            <w:vAlign w:val="center"/>
          </w:tcPr>
          <w:p w14:paraId="6D6FE199" w14:textId="038BD79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2692.31</w:t>
            </w:r>
          </w:p>
        </w:tc>
        <w:tc>
          <w:tcPr>
            <w:tcW w:w="1073" w:type="dxa"/>
            <w:vAlign w:val="center"/>
          </w:tcPr>
          <w:p w14:paraId="782E97D3" w14:textId="26DB5ED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2815.06</w:t>
            </w:r>
          </w:p>
        </w:tc>
        <w:tc>
          <w:tcPr>
            <w:tcW w:w="1073" w:type="dxa"/>
            <w:vAlign w:val="center"/>
          </w:tcPr>
          <w:p w14:paraId="2E837390" w14:textId="48D2342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2943.40</w:t>
            </w:r>
          </w:p>
        </w:tc>
        <w:tc>
          <w:tcPr>
            <w:tcW w:w="979" w:type="dxa"/>
            <w:vAlign w:val="center"/>
          </w:tcPr>
          <w:p w14:paraId="03F5232C" w14:textId="4327E71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3077.60</w:t>
            </w:r>
          </w:p>
        </w:tc>
        <w:tc>
          <w:tcPr>
            <w:tcW w:w="979" w:type="dxa"/>
            <w:vAlign w:val="center"/>
          </w:tcPr>
          <w:p w14:paraId="6E5309E0" w14:textId="6CDA405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3217.91</w:t>
            </w:r>
          </w:p>
        </w:tc>
        <w:tc>
          <w:tcPr>
            <w:tcW w:w="1056" w:type="dxa"/>
            <w:vAlign w:val="center"/>
          </w:tcPr>
          <w:p w14:paraId="02AECDBD" w14:textId="0BE4212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14746.28</w:t>
            </w:r>
          </w:p>
        </w:tc>
      </w:tr>
      <w:tr w:rsidR="009775CB" w:rsidRPr="0078036E" w14:paraId="697FD85C" w14:textId="77777777" w:rsidTr="0049031D">
        <w:trPr>
          <w:trHeight w:val="20"/>
          <w:jc w:val="center"/>
        </w:trPr>
        <w:tc>
          <w:tcPr>
            <w:tcW w:w="421" w:type="dxa"/>
            <w:vAlign w:val="center"/>
          </w:tcPr>
          <w:p w14:paraId="022515DF" w14:textId="689C1DC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w:t>
            </w:r>
          </w:p>
        </w:tc>
        <w:tc>
          <w:tcPr>
            <w:tcW w:w="1391" w:type="dxa"/>
            <w:vAlign w:val="center"/>
          </w:tcPr>
          <w:p w14:paraId="63C4AE1A" w14:textId="4830669D"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West Bengal</w:t>
            </w:r>
          </w:p>
        </w:tc>
        <w:tc>
          <w:tcPr>
            <w:tcW w:w="978" w:type="dxa"/>
            <w:vAlign w:val="center"/>
          </w:tcPr>
          <w:p w14:paraId="0B580E17" w14:textId="03DD7BC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1251.16</w:t>
            </w:r>
          </w:p>
        </w:tc>
        <w:tc>
          <w:tcPr>
            <w:tcW w:w="976" w:type="dxa"/>
            <w:vAlign w:val="center"/>
          </w:tcPr>
          <w:p w14:paraId="4C214F63" w14:textId="62E1C2C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1282.71</w:t>
            </w:r>
          </w:p>
        </w:tc>
        <w:tc>
          <w:tcPr>
            <w:tcW w:w="1073" w:type="dxa"/>
            <w:vAlign w:val="center"/>
          </w:tcPr>
          <w:p w14:paraId="34EF6A4C" w14:textId="09FB1FF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1315.06</w:t>
            </w:r>
          </w:p>
        </w:tc>
        <w:tc>
          <w:tcPr>
            <w:tcW w:w="1073" w:type="dxa"/>
            <w:vAlign w:val="center"/>
          </w:tcPr>
          <w:p w14:paraId="5FCDBD93" w14:textId="020548D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1348.23</w:t>
            </w:r>
          </w:p>
        </w:tc>
        <w:tc>
          <w:tcPr>
            <w:tcW w:w="979" w:type="dxa"/>
            <w:vAlign w:val="center"/>
          </w:tcPr>
          <w:p w14:paraId="72EE93AE" w14:textId="1FC8A70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1382.23</w:t>
            </w:r>
          </w:p>
        </w:tc>
        <w:tc>
          <w:tcPr>
            <w:tcW w:w="979" w:type="dxa"/>
            <w:vAlign w:val="center"/>
          </w:tcPr>
          <w:p w14:paraId="45A46DE6" w14:textId="6FBD0E4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1417.09</w:t>
            </w:r>
          </w:p>
        </w:tc>
        <w:tc>
          <w:tcPr>
            <w:tcW w:w="1056" w:type="dxa"/>
            <w:vAlign w:val="center"/>
          </w:tcPr>
          <w:p w14:paraId="5018FBC7" w14:textId="42DA0DB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6745.32</w:t>
            </w:r>
          </w:p>
        </w:tc>
      </w:tr>
      <w:tr w:rsidR="009775CB" w:rsidRPr="0078036E" w14:paraId="6A81C9CD" w14:textId="77777777" w:rsidTr="0049031D">
        <w:trPr>
          <w:trHeight w:val="20"/>
          <w:jc w:val="center"/>
        </w:trPr>
        <w:tc>
          <w:tcPr>
            <w:tcW w:w="421" w:type="dxa"/>
            <w:vAlign w:val="center"/>
          </w:tcPr>
          <w:p w14:paraId="3205BD71" w14:textId="0FE5572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w:t>
            </w:r>
            <w:r>
              <w:rPr>
                <w:rFonts w:ascii="Times New Roman" w:hAnsi="Times New Roman" w:cs="Times New Roman"/>
                <w:b/>
                <w:bCs/>
                <w:sz w:val="16"/>
                <w:szCs w:val="16"/>
              </w:rPr>
              <w:t>4</w:t>
            </w:r>
          </w:p>
        </w:tc>
        <w:tc>
          <w:tcPr>
            <w:tcW w:w="1391" w:type="dxa"/>
            <w:vAlign w:val="center"/>
          </w:tcPr>
          <w:p w14:paraId="21416E85" w14:textId="7252B50D"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b/>
                <w:bCs/>
                <w:sz w:val="16"/>
                <w:szCs w:val="16"/>
              </w:rPr>
              <w:t>Major States</w:t>
            </w:r>
          </w:p>
        </w:tc>
        <w:tc>
          <w:tcPr>
            <w:tcW w:w="978" w:type="dxa"/>
            <w:vAlign w:val="center"/>
          </w:tcPr>
          <w:p w14:paraId="6639AF51" w14:textId="1041ACF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16232.21</w:t>
            </w:r>
          </w:p>
        </w:tc>
        <w:tc>
          <w:tcPr>
            <w:tcW w:w="976" w:type="dxa"/>
            <w:vAlign w:val="center"/>
          </w:tcPr>
          <w:p w14:paraId="4E07AFCF" w14:textId="4294227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17329.55</w:t>
            </w:r>
          </w:p>
        </w:tc>
        <w:tc>
          <w:tcPr>
            <w:tcW w:w="1073" w:type="dxa"/>
            <w:vAlign w:val="center"/>
          </w:tcPr>
          <w:p w14:paraId="17F07BEE" w14:textId="47FB20A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18523.04</w:t>
            </w:r>
          </w:p>
        </w:tc>
        <w:tc>
          <w:tcPr>
            <w:tcW w:w="1073" w:type="dxa"/>
            <w:vAlign w:val="center"/>
          </w:tcPr>
          <w:p w14:paraId="7FCF2A3B" w14:textId="0821407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19822.32</w:t>
            </w:r>
          </w:p>
        </w:tc>
        <w:tc>
          <w:tcPr>
            <w:tcW w:w="979" w:type="dxa"/>
            <w:vAlign w:val="center"/>
          </w:tcPr>
          <w:p w14:paraId="4994124B" w14:textId="7EB3419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21238.08</w:t>
            </w:r>
          </w:p>
        </w:tc>
        <w:tc>
          <w:tcPr>
            <w:tcW w:w="979" w:type="dxa"/>
            <w:vAlign w:val="center"/>
          </w:tcPr>
          <w:p w14:paraId="508EA0A3" w14:textId="3DE728D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22782.17</w:t>
            </w:r>
          </w:p>
        </w:tc>
        <w:tc>
          <w:tcPr>
            <w:tcW w:w="1056" w:type="dxa"/>
            <w:vAlign w:val="center"/>
          </w:tcPr>
          <w:p w14:paraId="0AB55B72" w14:textId="6815F5B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99695.16</w:t>
            </w:r>
          </w:p>
        </w:tc>
      </w:tr>
      <w:tr w:rsidR="009775CB" w:rsidRPr="0078036E" w14:paraId="227898E5" w14:textId="77777777" w:rsidTr="00492DC9">
        <w:trPr>
          <w:trHeight w:val="20"/>
          <w:jc w:val="center"/>
        </w:trPr>
        <w:tc>
          <w:tcPr>
            <w:tcW w:w="8926" w:type="dxa"/>
            <w:gridSpan w:val="9"/>
            <w:vAlign w:val="center"/>
          </w:tcPr>
          <w:p w14:paraId="71D20E39" w14:textId="30E94084" w:rsidR="009775CB" w:rsidRPr="009775CB" w:rsidRDefault="009775CB" w:rsidP="009775CB">
            <w:pPr>
              <w:jc w:val="center"/>
              <w:rPr>
                <w:rFonts w:ascii="Times New Roman" w:hAnsi="Times New Roman" w:cs="Times New Roman"/>
                <w:b/>
                <w:bCs/>
                <w:sz w:val="20"/>
                <w:szCs w:val="20"/>
              </w:rPr>
            </w:pPr>
            <w:r w:rsidRPr="00D01DF5">
              <w:rPr>
                <w:rFonts w:ascii="Times New Roman" w:hAnsi="Times New Roman" w:cs="Times New Roman"/>
                <w:b/>
                <w:bCs/>
                <w:sz w:val="20"/>
                <w:szCs w:val="20"/>
              </w:rPr>
              <w:t xml:space="preserve">Expenditure Category: Fire Protection </w:t>
            </w:r>
            <w:proofErr w:type="gramStart"/>
            <w:r w:rsidRPr="00D01DF5">
              <w:rPr>
                <w:rFonts w:ascii="Times New Roman" w:hAnsi="Times New Roman" w:cs="Times New Roman"/>
                <w:b/>
                <w:bCs/>
                <w:sz w:val="20"/>
                <w:szCs w:val="20"/>
              </w:rPr>
              <w:t>And</w:t>
            </w:r>
            <w:proofErr w:type="gramEnd"/>
            <w:r w:rsidRPr="00D01DF5">
              <w:rPr>
                <w:rFonts w:ascii="Times New Roman" w:hAnsi="Times New Roman" w:cs="Times New Roman"/>
                <w:b/>
                <w:bCs/>
                <w:sz w:val="20"/>
                <w:szCs w:val="20"/>
              </w:rPr>
              <w:t xml:space="preserve"> Control</w:t>
            </w:r>
          </w:p>
        </w:tc>
      </w:tr>
      <w:tr w:rsidR="009775CB" w:rsidRPr="0078036E" w14:paraId="6D0A5C3A" w14:textId="77777777" w:rsidTr="0049031D">
        <w:trPr>
          <w:trHeight w:val="20"/>
          <w:jc w:val="center"/>
        </w:trPr>
        <w:tc>
          <w:tcPr>
            <w:tcW w:w="421" w:type="dxa"/>
            <w:vAlign w:val="center"/>
          </w:tcPr>
          <w:p w14:paraId="01D81C2E" w14:textId="0B982C06"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5ABDC323" w14:textId="67DDA1A4"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3CF3F8EC" w14:textId="3C8F0B03"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76A15318" w14:textId="56A64449"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25FDA5FF" w14:textId="43968853"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0ED5FF3B" w14:textId="00F8AFE6"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42AD3ADF" w14:textId="5F80B291"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0AB85EF2" w14:textId="674F3E5D"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5E1F2CE6" w14:textId="66186B58"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9775CB" w:rsidRPr="0078036E" w14:paraId="33AE18F6" w14:textId="77777777" w:rsidTr="0049031D">
        <w:trPr>
          <w:trHeight w:val="20"/>
          <w:jc w:val="center"/>
        </w:trPr>
        <w:tc>
          <w:tcPr>
            <w:tcW w:w="421" w:type="dxa"/>
            <w:vAlign w:val="center"/>
          </w:tcPr>
          <w:p w14:paraId="1F6777BC" w14:textId="390063AB"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5F693CDD" w14:textId="5EFC69D7"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6350D4C2" w14:textId="14754B5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600.20</w:t>
            </w:r>
          </w:p>
        </w:tc>
        <w:tc>
          <w:tcPr>
            <w:tcW w:w="976" w:type="dxa"/>
            <w:vAlign w:val="center"/>
          </w:tcPr>
          <w:p w14:paraId="2EFEF496" w14:textId="72D79068"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582.31</w:t>
            </w:r>
          </w:p>
        </w:tc>
        <w:tc>
          <w:tcPr>
            <w:tcW w:w="1073" w:type="dxa"/>
            <w:vAlign w:val="center"/>
          </w:tcPr>
          <w:p w14:paraId="05F9FDBB" w14:textId="52CBDD2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564.96</w:t>
            </w:r>
          </w:p>
        </w:tc>
        <w:tc>
          <w:tcPr>
            <w:tcW w:w="1073" w:type="dxa"/>
            <w:vAlign w:val="center"/>
          </w:tcPr>
          <w:p w14:paraId="62879D3D" w14:textId="71EF958D"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548.12</w:t>
            </w:r>
          </w:p>
        </w:tc>
        <w:tc>
          <w:tcPr>
            <w:tcW w:w="979" w:type="dxa"/>
            <w:vAlign w:val="center"/>
          </w:tcPr>
          <w:p w14:paraId="07A810BE" w14:textId="0F493C82"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531.79</w:t>
            </w:r>
          </w:p>
        </w:tc>
        <w:tc>
          <w:tcPr>
            <w:tcW w:w="979" w:type="dxa"/>
            <w:vAlign w:val="center"/>
          </w:tcPr>
          <w:p w14:paraId="55970BDC" w14:textId="07A30B7D"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515.94</w:t>
            </w:r>
          </w:p>
        </w:tc>
        <w:tc>
          <w:tcPr>
            <w:tcW w:w="1056" w:type="dxa"/>
            <w:vAlign w:val="center"/>
          </w:tcPr>
          <w:p w14:paraId="1EAED1AA" w14:textId="14FC8019"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2743.12</w:t>
            </w:r>
          </w:p>
        </w:tc>
      </w:tr>
      <w:tr w:rsidR="009775CB" w:rsidRPr="0078036E" w14:paraId="1853168B" w14:textId="77777777" w:rsidTr="0049031D">
        <w:trPr>
          <w:trHeight w:val="20"/>
          <w:jc w:val="center"/>
        </w:trPr>
        <w:tc>
          <w:tcPr>
            <w:tcW w:w="421" w:type="dxa"/>
            <w:vAlign w:val="center"/>
          </w:tcPr>
          <w:p w14:paraId="4E005282" w14:textId="46949C1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7D6A2E1F" w14:textId="4E346CFA"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6D7866DA" w14:textId="4C45981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293.69</w:t>
            </w:r>
          </w:p>
        </w:tc>
        <w:tc>
          <w:tcPr>
            <w:tcW w:w="976" w:type="dxa"/>
            <w:vAlign w:val="center"/>
          </w:tcPr>
          <w:p w14:paraId="3F0EA252" w14:textId="24E9CD4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352.81</w:t>
            </w:r>
          </w:p>
        </w:tc>
        <w:tc>
          <w:tcPr>
            <w:tcW w:w="1073" w:type="dxa"/>
            <w:vAlign w:val="center"/>
          </w:tcPr>
          <w:p w14:paraId="2F75F7A3" w14:textId="38750BD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423.84</w:t>
            </w:r>
          </w:p>
        </w:tc>
        <w:tc>
          <w:tcPr>
            <w:tcW w:w="1073" w:type="dxa"/>
            <w:vAlign w:val="center"/>
          </w:tcPr>
          <w:p w14:paraId="5BA9E581" w14:textId="7D53F1E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509.16</w:t>
            </w:r>
          </w:p>
        </w:tc>
        <w:tc>
          <w:tcPr>
            <w:tcW w:w="979" w:type="dxa"/>
            <w:vAlign w:val="center"/>
          </w:tcPr>
          <w:p w14:paraId="1FD67609" w14:textId="1874DB2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611.65</w:t>
            </w:r>
          </w:p>
        </w:tc>
        <w:tc>
          <w:tcPr>
            <w:tcW w:w="979" w:type="dxa"/>
            <w:vAlign w:val="center"/>
          </w:tcPr>
          <w:p w14:paraId="017AE787" w14:textId="5607462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734.78</w:t>
            </w:r>
          </w:p>
        </w:tc>
        <w:tc>
          <w:tcPr>
            <w:tcW w:w="1056" w:type="dxa"/>
            <w:vAlign w:val="center"/>
          </w:tcPr>
          <w:p w14:paraId="6310D89E" w14:textId="701AEC6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2632.24</w:t>
            </w:r>
          </w:p>
        </w:tc>
      </w:tr>
      <w:tr w:rsidR="009775CB" w:rsidRPr="0078036E" w14:paraId="13107C5C" w14:textId="77777777" w:rsidTr="0049031D">
        <w:trPr>
          <w:trHeight w:val="20"/>
          <w:jc w:val="center"/>
        </w:trPr>
        <w:tc>
          <w:tcPr>
            <w:tcW w:w="421" w:type="dxa"/>
            <w:vAlign w:val="center"/>
          </w:tcPr>
          <w:p w14:paraId="7021E67F" w14:textId="7A7FA1C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5F9499EF" w14:textId="0D6E064B"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62E25325" w14:textId="50F42B4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195.41</w:t>
            </w:r>
          </w:p>
        </w:tc>
        <w:tc>
          <w:tcPr>
            <w:tcW w:w="976" w:type="dxa"/>
            <w:vAlign w:val="center"/>
          </w:tcPr>
          <w:p w14:paraId="1F9C8CCF" w14:textId="422E5B2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240.18</w:t>
            </w:r>
          </w:p>
        </w:tc>
        <w:tc>
          <w:tcPr>
            <w:tcW w:w="1073" w:type="dxa"/>
            <w:vAlign w:val="center"/>
          </w:tcPr>
          <w:p w14:paraId="53D296EC" w14:textId="076BBEC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295.20</w:t>
            </w:r>
          </w:p>
        </w:tc>
        <w:tc>
          <w:tcPr>
            <w:tcW w:w="1073" w:type="dxa"/>
            <w:vAlign w:val="center"/>
          </w:tcPr>
          <w:p w14:paraId="50F4BEA4" w14:textId="4B81FF4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362.84</w:t>
            </w:r>
          </w:p>
        </w:tc>
        <w:tc>
          <w:tcPr>
            <w:tcW w:w="979" w:type="dxa"/>
            <w:vAlign w:val="center"/>
          </w:tcPr>
          <w:p w14:paraId="58426A6D" w14:textId="552B28B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445.97</w:t>
            </w:r>
          </w:p>
        </w:tc>
        <w:tc>
          <w:tcPr>
            <w:tcW w:w="979" w:type="dxa"/>
            <w:vAlign w:val="center"/>
          </w:tcPr>
          <w:p w14:paraId="06F9B111" w14:textId="73C62A8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548.14</w:t>
            </w:r>
          </w:p>
        </w:tc>
        <w:tc>
          <w:tcPr>
            <w:tcW w:w="1056" w:type="dxa"/>
            <w:vAlign w:val="center"/>
          </w:tcPr>
          <w:p w14:paraId="340A8802" w14:textId="145B724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1892.33</w:t>
            </w:r>
          </w:p>
        </w:tc>
      </w:tr>
      <w:tr w:rsidR="009775CB" w:rsidRPr="0078036E" w14:paraId="37BD163E" w14:textId="77777777" w:rsidTr="0049031D">
        <w:trPr>
          <w:trHeight w:val="20"/>
          <w:jc w:val="center"/>
        </w:trPr>
        <w:tc>
          <w:tcPr>
            <w:tcW w:w="421" w:type="dxa"/>
            <w:vAlign w:val="center"/>
          </w:tcPr>
          <w:p w14:paraId="5ECFECFA" w14:textId="6C0B19E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69C30AB5" w14:textId="00ED4A13"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7A7EC46D" w14:textId="2A3F735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45.15</w:t>
            </w:r>
          </w:p>
        </w:tc>
        <w:tc>
          <w:tcPr>
            <w:tcW w:w="976" w:type="dxa"/>
            <w:vAlign w:val="center"/>
          </w:tcPr>
          <w:p w14:paraId="6C428168" w14:textId="5F38086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54.39</w:t>
            </w:r>
          </w:p>
        </w:tc>
        <w:tc>
          <w:tcPr>
            <w:tcW w:w="1073" w:type="dxa"/>
            <w:vAlign w:val="center"/>
          </w:tcPr>
          <w:p w14:paraId="4E6B5DB4" w14:textId="03A62C5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65.51</w:t>
            </w:r>
          </w:p>
        </w:tc>
        <w:tc>
          <w:tcPr>
            <w:tcW w:w="1073" w:type="dxa"/>
            <w:vAlign w:val="center"/>
          </w:tcPr>
          <w:p w14:paraId="07F6A407" w14:textId="18FF151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78.92</w:t>
            </w:r>
          </w:p>
        </w:tc>
        <w:tc>
          <w:tcPr>
            <w:tcW w:w="979" w:type="dxa"/>
            <w:vAlign w:val="center"/>
          </w:tcPr>
          <w:p w14:paraId="1BFF47A8" w14:textId="0CD7E76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95.06</w:t>
            </w:r>
          </w:p>
        </w:tc>
        <w:tc>
          <w:tcPr>
            <w:tcW w:w="979" w:type="dxa"/>
            <w:vAlign w:val="center"/>
          </w:tcPr>
          <w:p w14:paraId="2B6CCAD4" w14:textId="51D4ECB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114.51</w:t>
            </w:r>
          </w:p>
        </w:tc>
        <w:tc>
          <w:tcPr>
            <w:tcW w:w="1056" w:type="dxa"/>
            <w:vAlign w:val="center"/>
          </w:tcPr>
          <w:p w14:paraId="07ADF5D8" w14:textId="7089752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408.39</w:t>
            </w:r>
          </w:p>
        </w:tc>
      </w:tr>
      <w:tr w:rsidR="009775CB" w:rsidRPr="0078036E" w14:paraId="58246D23" w14:textId="77777777" w:rsidTr="0049031D">
        <w:trPr>
          <w:trHeight w:val="20"/>
          <w:jc w:val="center"/>
        </w:trPr>
        <w:tc>
          <w:tcPr>
            <w:tcW w:w="421" w:type="dxa"/>
            <w:vAlign w:val="center"/>
          </w:tcPr>
          <w:p w14:paraId="7569D4ED" w14:textId="087BCFC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781A74AA" w14:textId="10DDD225"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29FAA59B" w14:textId="28D37D4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390.04</w:t>
            </w:r>
          </w:p>
        </w:tc>
        <w:tc>
          <w:tcPr>
            <w:tcW w:w="976" w:type="dxa"/>
            <w:vAlign w:val="center"/>
          </w:tcPr>
          <w:p w14:paraId="0FAFEAED" w14:textId="547AE51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416.82</w:t>
            </w:r>
          </w:p>
        </w:tc>
        <w:tc>
          <w:tcPr>
            <w:tcW w:w="1073" w:type="dxa"/>
            <w:vAlign w:val="center"/>
          </w:tcPr>
          <w:p w14:paraId="6AD441BD" w14:textId="09B36F5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445.44</w:t>
            </w:r>
          </w:p>
        </w:tc>
        <w:tc>
          <w:tcPr>
            <w:tcW w:w="1073" w:type="dxa"/>
            <w:vAlign w:val="center"/>
          </w:tcPr>
          <w:p w14:paraId="6BEADFFA" w14:textId="43C2F0C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476.03</w:t>
            </w:r>
          </w:p>
        </w:tc>
        <w:tc>
          <w:tcPr>
            <w:tcW w:w="979" w:type="dxa"/>
            <w:vAlign w:val="center"/>
          </w:tcPr>
          <w:p w14:paraId="2C9F5E73" w14:textId="289B3D5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508.72</w:t>
            </w:r>
          </w:p>
        </w:tc>
        <w:tc>
          <w:tcPr>
            <w:tcW w:w="979" w:type="dxa"/>
            <w:vAlign w:val="center"/>
          </w:tcPr>
          <w:p w14:paraId="78F73984" w14:textId="668DC81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543.65</w:t>
            </w:r>
          </w:p>
        </w:tc>
        <w:tc>
          <w:tcPr>
            <w:tcW w:w="1056" w:type="dxa"/>
            <w:vAlign w:val="center"/>
          </w:tcPr>
          <w:p w14:paraId="3F6671B1" w14:textId="6840FF4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2390.66</w:t>
            </w:r>
          </w:p>
        </w:tc>
      </w:tr>
      <w:tr w:rsidR="009775CB" w:rsidRPr="0078036E" w14:paraId="481FB495" w14:textId="77777777" w:rsidTr="0049031D">
        <w:trPr>
          <w:trHeight w:val="20"/>
          <w:jc w:val="center"/>
        </w:trPr>
        <w:tc>
          <w:tcPr>
            <w:tcW w:w="421" w:type="dxa"/>
            <w:vAlign w:val="center"/>
          </w:tcPr>
          <w:p w14:paraId="5BAFE9BA" w14:textId="035F8A2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06A67CE9" w14:textId="0344B638"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3C129F2E" w14:textId="7E0F3BF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456.82</w:t>
            </w:r>
          </w:p>
        </w:tc>
        <w:tc>
          <w:tcPr>
            <w:tcW w:w="976" w:type="dxa"/>
            <w:vAlign w:val="center"/>
          </w:tcPr>
          <w:p w14:paraId="31718BD1" w14:textId="297C405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449.92</w:t>
            </w:r>
          </w:p>
        </w:tc>
        <w:tc>
          <w:tcPr>
            <w:tcW w:w="1073" w:type="dxa"/>
            <w:vAlign w:val="center"/>
          </w:tcPr>
          <w:p w14:paraId="6C0D9E2D" w14:textId="1EBDDAD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443.13</w:t>
            </w:r>
          </w:p>
        </w:tc>
        <w:tc>
          <w:tcPr>
            <w:tcW w:w="1073" w:type="dxa"/>
            <w:vAlign w:val="center"/>
          </w:tcPr>
          <w:p w14:paraId="617A089A" w14:textId="7482617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436.44</w:t>
            </w:r>
          </w:p>
        </w:tc>
        <w:tc>
          <w:tcPr>
            <w:tcW w:w="979" w:type="dxa"/>
            <w:vAlign w:val="center"/>
          </w:tcPr>
          <w:p w14:paraId="21A8D749" w14:textId="48E31FB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429.85</w:t>
            </w:r>
          </w:p>
        </w:tc>
        <w:tc>
          <w:tcPr>
            <w:tcW w:w="979" w:type="dxa"/>
            <w:vAlign w:val="center"/>
          </w:tcPr>
          <w:p w14:paraId="6557CF1A" w14:textId="4C44ED4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423.36</w:t>
            </w:r>
          </w:p>
        </w:tc>
        <w:tc>
          <w:tcPr>
            <w:tcW w:w="1056" w:type="dxa"/>
            <w:vAlign w:val="center"/>
          </w:tcPr>
          <w:p w14:paraId="74B11280" w14:textId="0B4F73F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2182.71</w:t>
            </w:r>
          </w:p>
        </w:tc>
      </w:tr>
      <w:tr w:rsidR="009775CB" w:rsidRPr="0078036E" w14:paraId="37F070FB" w14:textId="77777777" w:rsidTr="0049031D">
        <w:trPr>
          <w:trHeight w:val="20"/>
          <w:jc w:val="center"/>
        </w:trPr>
        <w:tc>
          <w:tcPr>
            <w:tcW w:w="421" w:type="dxa"/>
            <w:vAlign w:val="center"/>
          </w:tcPr>
          <w:p w14:paraId="7E784EDA" w14:textId="1E2B16B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w:t>
            </w:r>
          </w:p>
        </w:tc>
        <w:tc>
          <w:tcPr>
            <w:tcW w:w="1391" w:type="dxa"/>
            <w:vAlign w:val="center"/>
          </w:tcPr>
          <w:p w14:paraId="68760C56" w14:textId="76123F0B"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Madhya Pradesh</w:t>
            </w:r>
          </w:p>
        </w:tc>
        <w:tc>
          <w:tcPr>
            <w:tcW w:w="978" w:type="dxa"/>
            <w:vAlign w:val="center"/>
          </w:tcPr>
          <w:p w14:paraId="13C424EC" w14:textId="3509726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294.39</w:t>
            </w:r>
          </w:p>
        </w:tc>
        <w:tc>
          <w:tcPr>
            <w:tcW w:w="976" w:type="dxa"/>
            <w:vAlign w:val="center"/>
          </w:tcPr>
          <w:p w14:paraId="66C937DD" w14:textId="4677629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356.16</w:t>
            </w:r>
          </w:p>
        </w:tc>
        <w:tc>
          <w:tcPr>
            <w:tcW w:w="1073" w:type="dxa"/>
            <w:vAlign w:val="center"/>
          </w:tcPr>
          <w:p w14:paraId="50711A16" w14:textId="6D0E0E0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430.90</w:t>
            </w:r>
          </w:p>
        </w:tc>
        <w:tc>
          <w:tcPr>
            <w:tcW w:w="1073" w:type="dxa"/>
            <w:vAlign w:val="center"/>
          </w:tcPr>
          <w:p w14:paraId="1E02A10D" w14:textId="4F3CEDD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521.32</w:t>
            </w:r>
          </w:p>
        </w:tc>
        <w:tc>
          <w:tcPr>
            <w:tcW w:w="979" w:type="dxa"/>
            <w:vAlign w:val="center"/>
          </w:tcPr>
          <w:p w14:paraId="65E92824" w14:textId="6F7D666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630.71</w:t>
            </w:r>
          </w:p>
        </w:tc>
        <w:tc>
          <w:tcPr>
            <w:tcW w:w="979" w:type="dxa"/>
            <w:vAlign w:val="center"/>
          </w:tcPr>
          <w:p w14:paraId="3CB5E4AA" w14:textId="38CFB0E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763.06</w:t>
            </w:r>
          </w:p>
        </w:tc>
        <w:tc>
          <w:tcPr>
            <w:tcW w:w="1056" w:type="dxa"/>
            <w:vAlign w:val="center"/>
          </w:tcPr>
          <w:p w14:paraId="291223B4" w14:textId="12C25C1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2702.15</w:t>
            </w:r>
          </w:p>
        </w:tc>
      </w:tr>
      <w:tr w:rsidR="009775CB" w:rsidRPr="0078036E" w14:paraId="4E05A3B2" w14:textId="77777777" w:rsidTr="0049031D">
        <w:trPr>
          <w:trHeight w:val="20"/>
          <w:jc w:val="center"/>
        </w:trPr>
        <w:tc>
          <w:tcPr>
            <w:tcW w:w="421" w:type="dxa"/>
            <w:vAlign w:val="center"/>
          </w:tcPr>
          <w:p w14:paraId="7CC2C298" w14:textId="4965B36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w:t>
            </w:r>
          </w:p>
        </w:tc>
        <w:tc>
          <w:tcPr>
            <w:tcW w:w="1391" w:type="dxa"/>
            <w:vAlign w:val="center"/>
          </w:tcPr>
          <w:p w14:paraId="56B04AA3" w14:textId="5D9FC0FE"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Maharashtra</w:t>
            </w:r>
          </w:p>
        </w:tc>
        <w:tc>
          <w:tcPr>
            <w:tcW w:w="978" w:type="dxa"/>
            <w:vAlign w:val="center"/>
          </w:tcPr>
          <w:p w14:paraId="442C2E26" w14:textId="54BBBCE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213.08</w:t>
            </w:r>
          </w:p>
        </w:tc>
        <w:tc>
          <w:tcPr>
            <w:tcW w:w="976" w:type="dxa"/>
            <w:vAlign w:val="center"/>
          </w:tcPr>
          <w:p w14:paraId="6DF346F6" w14:textId="414B6BB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259.73</w:t>
            </w:r>
          </w:p>
        </w:tc>
        <w:tc>
          <w:tcPr>
            <w:tcW w:w="1073" w:type="dxa"/>
            <w:vAlign w:val="center"/>
          </w:tcPr>
          <w:p w14:paraId="28F63F6F" w14:textId="0571593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316.60</w:t>
            </w:r>
          </w:p>
        </w:tc>
        <w:tc>
          <w:tcPr>
            <w:tcW w:w="1073" w:type="dxa"/>
            <w:vAlign w:val="center"/>
          </w:tcPr>
          <w:p w14:paraId="09EC46BE" w14:textId="6877D90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385.92</w:t>
            </w:r>
          </w:p>
        </w:tc>
        <w:tc>
          <w:tcPr>
            <w:tcW w:w="979" w:type="dxa"/>
            <w:vAlign w:val="center"/>
          </w:tcPr>
          <w:p w14:paraId="48628A17" w14:textId="58CF04F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470.42</w:t>
            </w:r>
          </w:p>
        </w:tc>
        <w:tc>
          <w:tcPr>
            <w:tcW w:w="979" w:type="dxa"/>
            <w:vAlign w:val="center"/>
          </w:tcPr>
          <w:p w14:paraId="07586E7F" w14:textId="18FF575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573.42</w:t>
            </w:r>
          </w:p>
        </w:tc>
        <w:tc>
          <w:tcPr>
            <w:tcW w:w="1056" w:type="dxa"/>
            <w:vAlign w:val="center"/>
          </w:tcPr>
          <w:p w14:paraId="6693C551" w14:textId="16C79BD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2006.11</w:t>
            </w:r>
          </w:p>
        </w:tc>
      </w:tr>
      <w:tr w:rsidR="009775CB" w:rsidRPr="0078036E" w14:paraId="79518195" w14:textId="77777777" w:rsidTr="0049031D">
        <w:trPr>
          <w:trHeight w:val="20"/>
          <w:jc w:val="center"/>
        </w:trPr>
        <w:tc>
          <w:tcPr>
            <w:tcW w:w="421" w:type="dxa"/>
            <w:vAlign w:val="center"/>
          </w:tcPr>
          <w:p w14:paraId="5BAC37AE" w14:textId="46E518F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w:t>
            </w:r>
          </w:p>
        </w:tc>
        <w:tc>
          <w:tcPr>
            <w:tcW w:w="1391" w:type="dxa"/>
            <w:vAlign w:val="center"/>
          </w:tcPr>
          <w:p w14:paraId="78E0FBC1" w14:textId="5DFC25BB"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Orissa</w:t>
            </w:r>
          </w:p>
        </w:tc>
        <w:tc>
          <w:tcPr>
            <w:tcW w:w="978" w:type="dxa"/>
            <w:vAlign w:val="center"/>
          </w:tcPr>
          <w:p w14:paraId="6A270A61" w14:textId="2D405AE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493.51</w:t>
            </w:r>
          </w:p>
        </w:tc>
        <w:tc>
          <w:tcPr>
            <w:tcW w:w="976" w:type="dxa"/>
            <w:vAlign w:val="center"/>
          </w:tcPr>
          <w:p w14:paraId="76C62166" w14:textId="18EB9C2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491.56</w:t>
            </w:r>
          </w:p>
        </w:tc>
        <w:tc>
          <w:tcPr>
            <w:tcW w:w="1073" w:type="dxa"/>
            <w:vAlign w:val="center"/>
          </w:tcPr>
          <w:p w14:paraId="29FC310E" w14:textId="21D1FD9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489.60</w:t>
            </w:r>
          </w:p>
        </w:tc>
        <w:tc>
          <w:tcPr>
            <w:tcW w:w="1073" w:type="dxa"/>
            <w:vAlign w:val="center"/>
          </w:tcPr>
          <w:p w14:paraId="4AF2A83F" w14:textId="0FF9CAD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487.66</w:t>
            </w:r>
          </w:p>
        </w:tc>
        <w:tc>
          <w:tcPr>
            <w:tcW w:w="979" w:type="dxa"/>
            <w:vAlign w:val="center"/>
          </w:tcPr>
          <w:p w14:paraId="5A2D61A3" w14:textId="7CE77D2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485.73</w:t>
            </w:r>
          </w:p>
        </w:tc>
        <w:tc>
          <w:tcPr>
            <w:tcW w:w="979" w:type="dxa"/>
            <w:vAlign w:val="center"/>
          </w:tcPr>
          <w:p w14:paraId="1A078182" w14:textId="57B96CA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483.80</w:t>
            </w:r>
          </w:p>
        </w:tc>
        <w:tc>
          <w:tcPr>
            <w:tcW w:w="1056" w:type="dxa"/>
            <w:vAlign w:val="center"/>
          </w:tcPr>
          <w:p w14:paraId="2D002328" w14:textId="7F8B208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2438.34</w:t>
            </w:r>
          </w:p>
        </w:tc>
      </w:tr>
      <w:tr w:rsidR="009775CB" w:rsidRPr="0078036E" w14:paraId="6FBC4B7F" w14:textId="77777777" w:rsidTr="0049031D">
        <w:trPr>
          <w:trHeight w:val="20"/>
          <w:jc w:val="center"/>
        </w:trPr>
        <w:tc>
          <w:tcPr>
            <w:tcW w:w="421" w:type="dxa"/>
            <w:vAlign w:val="center"/>
          </w:tcPr>
          <w:p w14:paraId="70B535A5" w14:textId="25A92CE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w:t>
            </w:r>
          </w:p>
        </w:tc>
        <w:tc>
          <w:tcPr>
            <w:tcW w:w="1391" w:type="dxa"/>
            <w:vAlign w:val="center"/>
          </w:tcPr>
          <w:p w14:paraId="72D7F6CC" w14:textId="662BF414"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Punjab</w:t>
            </w:r>
          </w:p>
        </w:tc>
        <w:tc>
          <w:tcPr>
            <w:tcW w:w="978" w:type="dxa"/>
            <w:vAlign w:val="center"/>
          </w:tcPr>
          <w:p w14:paraId="6223D3B0" w14:textId="3F3F878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60.22</w:t>
            </w:r>
          </w:p>
        </w:tc>
        <w:tc>
          <w:tcPr>
            <w:tcW w:w="976" w:type="dxa"/>
            <w:vAlign w:val="center"/>
          </w:tcPr>
          <w:p w14:paraId="137CF037" w14:textId="033ED48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74.02</w:t>
            </w:r>
          </w:p>
        </w:tc>
        <w:tc>
          <w:tcPr>
            <w:tcW w:w="1073" w:type="dxa"/>
            <w:vAlign w:val="center"/>
          </w:tcPr>
          <w:p w14:paraId="3B182953" w14:textId="1C6B34E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90.98</w:t>
            </w:r>
          </w:p>
        </w:tc>
        <w:tc>
          <w:tcPr>
            <w:tcW w:w="1073" w:type="dxa"/>
            <w:vAlign w:val="center"/>
          </w:tcPr>
          <w:p w14:paraId="28F62999" w14:textId="57D8515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111.83</w:t>
            </w:r>
          </w:p>
        </w:tc>
        <w:tc>
          <w:tcPr>
            <w:tcW w:w="979" w:type="dxa"/>
            <w:vAlign w:val="center"/>
          </w:tcPr>
          <w:p w14:paraId="06A6A143" w14:textId="20B4560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137.45</w:t>
            </w:r>
          </w:p>
        </w:tc>
        <w:tc>
          <w:tcPr>
            <w:tcW w:w="979" w:type="dxa"/>
            <w:vAlign w:val="center"/>
          </w:tcPr>
          <w:p w14:paraId="4185302D" w14:textId="4155674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168.94</w:t>
            </w:r>
          </w:p>
        </w:tc>
        <w:tc>
          <w:tcPr>
            <w:tcW w:w="1056" w:type="dxa"/>
            <w:vAlign w:val="center"/>
          </w:tcPr>
          <w:p w14:paraId="2D9607F7" w14:textId="046881C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583.21</w:t>
            </w:r>
          </w:p>
        </w:tc>
      </w:tr>
      <w:tr w:rsidR="009775CB" w:rsidRPr="0078036E" w14:paraId="3BD9D7DB" w14:textId="77777777" w:rsidTr="0049031D">
        <w:trPr>
          <w:trHeight w:val="20"/>
          <w:jc w:val="center"/>
        </w:trPr>
        <w:tc>
          <w:tcPr>
            <w:tcW w:w="421" w:type="dxa"/>
            <w:vAlign w:val="center"/>
          </w:tcPr>
          <w:p w14:paraId="393E23D6" w14:textId="2F3ABC9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w:t>
            </w:r>
          </w:p>
        </w:tc>
        <w:tc>
          <w:tcPr>
            <w:tcW w:w="1391" w:type="dxa"/>
            <w:vAlign w:val="center"/>
          </w:tcPr>
          <w:p w14:paraId="1FF19D43" w14:textId="7B6179AA"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Rajasthan</w:t>
            </w:r>
          </w:p>
        </w:tc>
        <w:tc>
          <w:tcPr>
            <w:tcW w:w="978" w:type="dxa"/>
            <w:vAlign w:val="center"/>
          </w:tcPr>
          <w:p w14:paraId="132AE8FC" w14:textId="6585714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236.39</w:t>
            </w:r>
          </w:p>
        </w:tc>
        <w:tc>
          <w:tcPr>
            <w:tcW w:w="976" w:type="dxa"/>
            <w:vAlign w:val="center"/>
          </w:tcPr>
          <w:p w14:paraId="7038D69F" w14:textId="4B57C12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290.55</w:t>
            </w:r>
          </w:p>
        </w:tc>
        <w:tc>
          <w:tcPr>
            <w:tcW w:w="1073" w:type="dxa"/>
            <w:vAlign w:val="center"/>
          </w:tcPr>
          <w:p w14:paraId="4F8E921D" w14:textId="009ADC6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357.11</w:t>
            </w:r>
          </w:p>
        </w:tc>
        <w:tc>
          <w:tcPr>
            <w:tcW w:w="1073" w:type="dxa"/>
            <w:vAlign w:val="center"/>
          </w:tcPr>
          <w:p w14:paraId="2B884238" w14:textId="5005207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438.93</w:t>
            </w:r>
          </w:p>
        </w:tc>
        <w:tc>
          <w:tcPr>
            <w:tcW w:w="979" w:type="dxa"/>
            <w:vAlign w:val="center"/>
          </w:tcPr>
          <w:p w14:paraId="25613676" w14:textId="6FBB946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539.49</w:t>
            </w:r>
          </w:p>
        </w:tc>
        <w:tc>
          <w:tcPr>
            <w:tcW w:w="979" w:type="dxa"/>
            <w:vAlign w:val="center"/>
          </w:tcPr>
          <w:p w14:paraId="1D7317B9" w14:textId="0A382B0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663.10</w:t>
            </w:r>
          </w:p>
        </w:tc>
        <w:tc>
          <w:tcPr>
            <w:tcW w:w="1056" w:type="dxa"/>
            <w:vAlign w:val="center"/>
          </w:tcPr>
          <w:p w14:paraId="6361D94A" w14:textId="27D8551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2289.19</w:t>
            </w:r>
          </w:p>
        </w:tc>
      </w:tr>
      <w:tr w:rsidR="009775CB" w:rsidRPr="0078036E" w14:paraId="461E8A79" w14:textId="77777777" w:rsidTr="0049031D">
        <w:trPr>
          <w:trHeight w:val="20"/>
          <w:jc w:val="center"/>
        </w:trPr>
        <w:tc>
          <w:tcPr>
            <w:tcW w:w="421" w:type="dxa"/>
            <w:vAlign w:val="center"/>
          </w:tcPr>
          <w:p w14:paraId="7FD4CB0E" w14:textId="1CB31E4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w:t>
            </w:r>
          </w:p>
        </w:tc>
        <w:tc>
          <w:tcPr>
            <w:tcW w:w="1391" w:type="dxa"/>
            <w:vAlign w:val="center"/>
          </w:tcPr>
          <w:p w14:paraId="217EC40F" w14:textId="1E9C2C02"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Tamil Nadu</w:t>
            </w:r>
          </w:p>
        </w:tc>
        <w:tc>
          <w:tcPr>
            <w:tcW w:w="978" w:type="dxa"/>
            <w:vAlign w:val="center"/>
          </w:tcPr>
          <w:p w14:paraId="1734438D" w14:textId="6851096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829.75</w:t>
            </w:r>
          </w:p>
        </w:tc>
        <w:tc>
          <w:tcPr>
            <w:tcW w:w="976" w:type="dxa"/>
            <w:vAlign w:val="center"/>
          </w:tcPr>
          <w:p w14:paraId="4B10325E" w14:textId="07E211C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823.21</w:t>
            </w:r>
          </w:p>
        </w:tc>
        <w:tc>
          <w:tcPr>
            <w:tcW w:w="1073" w:type="dxa"/>
            <w:vAlign w:val="center"/>
          </w:tcPr>
          <w:p w14:paraId="47691830" w14:textId="06D1C27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816.73</w:t>
            </w:r>
          </w:p>
        </w:tc>
        <w:tc>
          <w:tcPr>
            <w:tcW w:w="1073" w:type="dxa"/>
            <w:vAlign w:val="center"/>
          </w:tcPr>
          <w:p w14:paraId="25D1D3B0" w14:textId="381DEC4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810.30</w:t>
            </w:r>
          </w:p>
        </w:tc>
        <w:tc>
          <w:tcPr>
            <w:tcW w:w="979" w:type="dxa"/>
            <w:vAlign w:val="center"/>
          </w:tcPr>
          <w:p w14:paraId="7DB2D024" w14:textId="6EFF321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803.91</w:t>
            </w:r>
          </w:p>
        </w:tc>
        <w:tc>
          <w:tcPr>
            <w:tcW w:w="979" w:type="dxa"/>
            <w:vAlign w:val="center"/>
          </w:tcPr>
          <w:p w14:paraId="4FE7E0AD" w14:textId="4F31A0A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797.58</w:t>
            </w:r>
          </w:p>
        </w:tc>
        <w:tc>
          <w:tcPr>
            <w:tcW w:w="1056" w:type="dxa"/>
            <w:vAlign w:val="center"/>
          </w:tcPr>
          <w:p w14:paraId="0DA32065" w14:textId="3DEE04A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4051.73</w:t>
            </w:r>
          </w:p>
        </w:tc>
      </w:tr>
      <w:tr w:rsidR="009775CB" w:rsidRPr="0078036E" w14:paraId="1BB83008" w14:textId="77777777" w:rsidTr="0049031D">
        <w:trPr>
          <w:trHeight w:val="20"/>
          <w:jc w:val="center"/>
        </w:trPr>
        <w:tc>
          <w:tcPr>
            <w:tcW w:w="421" w:type="dxa"/>
            <w:vAlign w:val="center"/>
          </w:tcPr>
          <w:p w14:paraId="3662E31D" w14:textId="0417767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w:t>
            </w:r>
          </w:p>
        </w:tc>
        <w:tc>
          <w:tcPr>
            <w:tcW w:w="1391" w:type="dxa"/>
            <w:vAlign w:val="center"/>
          </w:tcPr>
          <w:p w14:paraId="0AAF96B8" w14:textId="132807ED"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Uttar Pradesh</w:t>
            </w:r>
          </w:p>
        </w:tc>
        <w:tc>
          <w:tcPr>
            <w:tcW w:w="978" w:type="dxa"/>
            <w:vAlign w:val="center"/>
          </w:tcPr>
          <w:p w14:paraId="0D35D9C1" w14:textId="01C4C30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797.07</w:t>
            </w:r>
          </w:p>
        </w:tc>
        <w:tc>
          <w:tcPr>
            <w:tcW w:w="976" w:type="dxa"/>
            <w:vAlign w:val="center"/>
          </w:tcPr>
          <w:p w14:paraId="65EF6A79" w14:textId="747A924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856.06</w:t>
            </w:r>
          </w:p>
        </w:tc>
        <w:tc>
          <w:tcPr>
            <w:tcW w:w="1073" w:type="dxa"/>
            <w:vAlign w:val="center"/>
          </w:tcPr>
          <w:p w14:paraId="2CD487FD" w14:textId="1D4B54A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919.41</w:t>
            </w:r>
          </w:p>
        </w:tc>
        <w:tc>
          <w:tcPr>
            <w:tcW w:w="1073" w:type="dxa"/>
            <w:vAlign w:val="center"/>
          </w:tcPr>
          <w:p w14:paraId="7071BB31" w14:textId="6DFAD8B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987.44</w:t>
            </w:r>
          </w:p>
        </w:tc>
        <w:tc>
          <w:tcPr>
            <w:tcW w:w="979" w:type="dxa"/>
            <w:vAlign w:val="center"/>
          </w:tcPr>
          <w:p w14:paraId="56272F2D" w14:textId="4B57D23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1060.52</w:t>
            </w:r>
          </w:p>
        </w:tc>
        <w:tc>
          <w:tcPr>
            <w:tcW w:w="979" w:type="dxa"/>
            <w:vAlign w:val="center"/>
          </w:tcPr>
          <w:p w14:paraId="3849AC3D" w14:textId="032898F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1139.00</w:t>
            </w:r>
          </w:p>
        </w:tc>
        <w:tc>
          <w:tcPr>
            <w:tcW w:w="1056" w:type="dxa"/>
            <w:vAlign w:val="center"/>
          </w:tcPr>
          <w:p w14:paraId="7D61604C" w14:textId="478127C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4962.42</w:t>
            </w:r>
          </w:p>
        </w:tc>
      </w:tr>
      <w:tr w:rsidR="009775CB" w:rsidRPr="0078036E" w14:paraId="3F02314B" w14:textId="77777777" w:rsidTr="0049031D">
        <w:trPr>
          <w:trHeight w:val="20"/>
          <w:jc w:val="center"/>
        </w:trPr>
        <w:tc>
          <w:tcPr>
            <w:tcW w:w="421" w:type="dxa"/>
            <w:vAlign w:val="center"/>
          </w:tcPr>
          <w:p w14:paraId="51E3CA25" w14:textId="5229F13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w:t>
            </w:r>
          </w:p>
        </w:tc>
        <w:tc>
          <w:tcPr>
            <w:tcW w:w="1391" w:type="dxa"/>
            <w:vAlign w:val="center"/>
          </w:tcPr>
          <w:p w14:paraId="2ACECD80" w14:textId="2E16FB09"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West Bengal</w:t>
            </w:r>
          </w:p>
        </w:tc>
        <w:tc>
          <w:tcPr>
            <w:tcW w:w="978" w:type="dxa"/>
            <w:vAlign w:val="center"/>
          </w:tcPr>
          <w:p w14:paraId="5AAE7C18" w14:textId="42A9430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572.18</w:t>
            </w:r>
          </w:p>
        </w:tc>
        <w:tc>
          <w:tcPr>
            <w:tcW w:w="976" w:type="dxa"/>
            <w:vAlign w:val="center"/>
          </w:tcPr>
          <w:p w14:paraId="72DB8154" w14:textId="727CB38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489.15</w:t>
            </w:r>
          </w:p>
        </w:tc>
        <w:tc>
          <w:tcPr>
            <w:tcW w:w="1073" w:type="dxa"/>
            <w:vAlign w:val="center"/>
          </w:tcPr>
          <w:p w14:paraId="69FD60D5" w14:textId="34FF983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418.17</w:t>
            </w:r>
          </w:p>
        </w:tc>
        <w:tc>
          <w:tcPr>
            <w:tcW w:w="1073" w:type="dxa"/>
            <w:vAlign w:val="center"/>
          </w:tcPr>
          <w:p w14:paraId="3878CC2E" w14:textId="4C80022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357.49</w:t>
            </w:r>
          </w:p>
        </w:tc>
        <w:tc>
          <w:tcPr>
            <w:tcW w:w="979" w:type="dxa"/>
            <w:vAlign w:val="center"/>
          </w:tcPr>
          <w:p w14:paraId="0D3DE3C5" w14:textId="65DF492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305.62</w:t>
            </w:r>
          </w:p>
        </w:tc>
        <w:tc>
          <w:tcPr>
            <w:tcW w:w="979" w:type="dxa"/>
            <w:vAlign w:val="center"/>
          </w:tcPr>
          <w:p w14:paraId="1A57B4FD" w14:textId="4206B68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261.27</w:t>
            </w:r>
          </w:p>
        </w:tc>
        <w:tc>
          <w:tcPr>
            <w:tcW w:w="1056" w:type="dxa"/>
            <w:vAlign w:val="center"/>
          </w:tcPr>
          <w:p w14:paraId="31C71F22" w14:textId="16957D4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1831.70</w:t>
            </w:r>
          </w:p>
        </w:tc>
      </w:tr>
      <w:tr w:rsidR="009775CB" w:rsidRPr="0078036E" w14:paraId="4705227D" w14:textId="77777777" w:rsidTr="0049031D">
        <w:trPr>
          <w:trHeight w:val="20"/>
          <w:jc w:val="center"/>
        </w:trPr>
        <w:tc>
          <w:tcPr>
            <w:tcW w:w="421" w:type="dxa"/>
            <w:vAlign w:val="center"/>
          </w:tcPr>
          <w:p w14:paraId="279D487B" w14:textId="2B09025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14</w:t>
            </w:r>
          </w:p>
        </w:tc>
        <w:tc>
          <w:tcPr>
            <w:tcW w:w="1391" w:type="dxa"/>
            <w:vAlign w:val="center"/>
          </w:tcPr>
          <w:p w14:paraId="57F24BA8" w14:textId="13AC3AF2"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b/>
                <w:bCs/>
                <w:sz w:val="16"/>
                <w:szCs w:val="16"/>
              </w:rPr>
              <w:t>Major States</w:t>
            </w:r>
          </w:p>
        </w:tc>
        <w:tc>
          <w:tcPr>
            <w:tcW w:w="978" w:type="dxa"/>
            <w:vAlign w:val="center"/>
          </w:tcPr>
          <w:p w14:paraId="054D55FC" w14:textId="515E203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5477.91</w:t>
            </w:r>
          </w:p>
        </w:tc>
        <w:tc>
          <w:tcPr>
            <w:tcW w:w="976" w:type="dxa"/>
            <w:vAlign w:val="center"/>
          </w:tcPr>
          <w:p w14:paraId="02E851E2" w14:textId="2307CB8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5736.88</w:t>
            </w:r>
          </w:p>
        </w:tc>
        <w:tc>
          <w:tcPr>
            <w:tcW w:w="1073" w:type="dxa"/>
            <w:vAlign w:val="center"/>
          </w:tcPr>
          <w:p w14:paraId="2599FA75" w14:textId="7D18E90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6077.60</w:t>
            </w:r>
          </w:p>
        </w:tc>
        <w:tc>
          <w:tcPr>
            <w:tcW w:w="1073" w:type="dxa"/>
            <w:vAlign w:val="center"/>
          </w:tcPr>
          <w:p w14:paraId="1F2A2C8E" w14:textId="3FB1186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6512.40</w:t>
            </w:r>
          </w:p>
        </w:tc>
        <w:tc>
          <w:tcPr>
            <w:tcW w:w="979" w:type="dxa"/>
            <w:vAlign w:val="center"/>
          </w:tcPr>
          <w:p w14:paraId="2FFC0A18" w14:textId="0801CCF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7056.88</w:t>
            </w:r>
          </w:p>
        </w:tc>
        <w:tc>
          <w:tcPr>
            <w:tcW w:w="979" w:type="dxa"/>
            <w:vAlign w:val="center"/>
          </w:tcPr>
          <w:p w14:paraId="731C11A2" w14:textId="4820ACE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7730.54</w:t>
            </w:r>
          </w:p>
        </w:tc>
        <w:tc>
          <w:tcPr>
            <w:tcW w:w="1056" w:type="dxa"/>
            <w:vAlign w:val="center"/>
          </w:tcPr>
          <w:p w14:paraId="16DD68AB" w14:textId="28968C0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33114.29</w:t>
            </w:r>
          </w:p>
        </w:tc>
      </w:tr>
      <w:tr w:rsidR="009775CB" w:rsidRPr="0078036E" w14:paraId="45B69597" w14:textId="77777777" w:rsidTr="004A0574">
        <w:trPr>
          <w:trHeight w:val="20"/>
          <w:jc w:val="center"/>
        </w:trPr>
        <w:tc>
          <w:tcPr>
            <w:tcW w:w="8926" w:type="dxa"/>
            <w:gridSpan w:val="9"/>
            <w:vAlign w:val="center"/>
          </w:tcPr>
          <w:p w14:paraId="7229B94C" w14:textId="5DD052EB"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20"/>
                <w:szCs w:val="20"/>
              </w:rPr>
              <w:t>Expenditure Category: Other Administrative Services</w:t>
            </w:r>
          </w:p>
        </w:tc>
      </w:tr>
      <w:tr w:rsidR="009775CB" w:rsidRPr="0078036E" w14:paraId="70482A11" w14:textId="77777777" w:rsidTr="0049031D">
        <w:trPr>
          <w:trHeight w:val="20"/>
          <w:jc w:val="center"/>
        </w:trPr>
        <w:tc>
          <w:tcPr>
            <w:tcW w:w="421" w:type="dxa"/>
            <w:vAlign w:val="center"/>
          </w:tcPr>
          <w:p w14:paraId="60F637AF" w14:textId="019A01F0"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60C331A1" w14:textId="0C48F5C2"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3B53CD66" w14:textId="6608D556"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18FB88B7" w14:textId="7BED42FB"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04B892FA" w14:textId="582F8D92"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37EB20AA" w14:textId="3356F39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5250FB2A" w14:textId="29CB50EE"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07C05932" w14:textId="77EC7DF8"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792A8BF5" w14:textId="46A9862F"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9775CB" w:rsidRPr="0078036E" w14:paraId="60047DC7" w14:textId="77777777" w:rsidTr="0049031D">
        <w:trPr>
          <w:trHeight w:val="20"/>
          <w:jc w:val="center"/>
        </w:trPr>
        <w:tc>
          <w:tcPr>
            <w:tcW w:w="421" w:type="dxa"/>
            <w:vAlign w:val="center"/>
          </w:tcPr>
          <w:p w14:paraId="34C9970F" w14:textId="275A3188"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34B4E5E7" w14:textId="4A2AFA02"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1AE4A563" w14:textId="6DC60321"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3741.09</w:t>
            </w:r>
          </w:p>
        </w:tc>
        <w:tc>
          <w:tcPr>
            <w:tcW w:w="976" w:type="dxa"/>
            <w:vAlign w:val="center"/>
          </w:tcPr>
          <w:p w14:paraId="50A991F8" w14:textId="6072F21C"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3964.81</w:t>
            </w:r>
          </w:p>
        </w:tc>
        <w:tc>
          <w:tcPr>
            <w:tcW w:w="1073" w:type="dxa"/>
            <w:vAlign w:val="center"/>
          </w:tcPr>
          <w:p w14:paraId="1451AA1E" w14:textId="34BF1662"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4201.91</w:t>
            </w:r>
          </w:p>
        </w:tc>
        <w:tc>
          <w:tcPr>
            <w:tcW w:w="1073" w:type="dxa"/>
            <w:vAlign w:val="center"/>
          </w:tcPr>
          <w:p w14:paraId="1BF7FE44" w14:textId="21CA6AE5"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4453.19</w:t>
            </w:r>
          </w:p>
        </w:tc>
        <w:tc>
          <w:tcPr>
            <w:tcW w:w="979" w:type="dxa"/>
            <w:vAlign w:val="center"/>
          </w:tcPr>
          <w:p w14:paraId="13E2477B" w14:textId="6D739CFE"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4719.50</w:t>
            </w:r>
          </w:p>
        </w:tc>
        <w:tc>
          <w:tcPr>
            <w:tcW w:w="979" w:type="dxa"/>
            <w:vAlign w:val="center"/>
          </w:tcPr>
          <w:p w14:paraId="6ADCE5D0" w14:textId="075AB942"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5001.73</w:t>
            </w:r>
          </w:p>
        </w:tc>
        <w:tc>
          <w:tcPr>
            <w:tcW w:w="1056" w:type="dxa"/>
            <w:vAlign w:val="center"/>
          </w:tcPr>
          <w:p w14:paraId="37695C3E" w14:textId="3E81CB8E"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22341.14</w:t>
            </w:r>
          </w:p>
        </w:tc>
      </w:tr>
      <w:tr w:rsidR="009775CB" w:rsidRPr="0078036E" w14:paraId="1457E5CF" w14:textId="77777777" w:rsidTr="0049031D">
        <w:trPr>
          <w:trHeight w:val="20"/>
          <w:jc w:val="center"/>
        </w:trPr>
        <w:tc>
          <w:tcPr>
            <w:tcW w:w="421" w:type="dxa"/>
            <w:vAlign w:val="center"/>
          </w:tcPr>
          <w:p w14:paraId="2F6A1658" w14:textId="0B17EA4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13E7EC50" w14:textId="2F83627C"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43617155" w14:textId="5E660DD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3948.17</w:t>
            </w:r>
          </w:p>
        </w:tc>
        <w:tc>
          <w:tcPr>
            <w:tcW w:w="976" w:type="dxa"/>
            <w:vAlign w:val="center"/>
          </w:tcPr>
          <w:p w14:paraId="0C45B388" w14:textId="0C2D759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4370.44</w:t>
            </w:r>
          </w:p>
        </w:tc>
        <w:tc>
          <w:tcPr>
            <w:tcW w:w="1073" w:type="dxa"/>
            <w:vAlign w:val="center"/>
          </w:tcPr>
          <w:p w14:paraId="6905203A" w14:textId="47056AE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4837.88</w:t>
            </w:r>
          </w:p>
        </w:tc>
        <w:tc>
          <w:tcPr>
            <w:tcW w:w="1073" w:type="dxa"/>
            <w:vAlign w:val="center"/>
          </w:tcPr>
          <w:p w14:paraId="04B23747" w14:textId="35E26D6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5355.30</w:t>
            </w:r>
          </w:p>
        </w:tc>
        <w:tc>
          <w:tcPr>
            <w:tcW w:w="979" w:type="dxa"/>
            <w:vAlign w:val="center"/>
          </w:tcPr>
          <w:p w14:paraId="43FF48FA" w14:textId="4A8C6B6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5928.07</w:t>
            </w:r>
          </w:p>
        </w:tc>
        <w:tc>
          <w:tcPr>
            <w:tcW w:w="979" w:type="dxa"/>
            <w:vAlign w:val="center"/>
          </w:tcPr>
          <w:p w14:paraId="339F82C7" w14:textId="080022F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6562.10</w:t>
            </w:r>
          </w:p>
        </w:tc>
        <w:tc>
          <w:tcPr>
            <w:tcW w:w="1056" w:type="dxa"/>
            <w:vAlign w:val="center"/>
          </w:tcPr>
          <w:p w14:paraId="0968CB9C" w14:textId="084AE09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27053.79</w:t>
            </w:r>
          </w:p>
        </w:tc>
      </w:tr>
      <w:tr w:rsidR="009775CB" w:rsidRPr="0078036E" w14:paraId="3789E0B7" w14:textId="77777777" w:rsidTr="0049031D">
        <w:trPr>
          <w:trHeight w:val="20"/>
          <w:jc w:val="center"/>
        </w:trPr>
        <w:tc>
          <w:tcPr>
            <w:tcW w:w="421" w:type="dxa"/>
            <w:vAlign w:val="center"/>
          </w:tcPr>
          <w:p w14:paraId="070409BB" w14:textId="3F7EAE7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40F5ECF4" w14:textId="79F8BB5C"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359011F3" w14:textId="5638C35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3304.92</w:t>
            </w:r>
          </w:p>
        </w:tc>
        <w:tc>
          <w:tcPr>
            <w:tcW w:w="976" w:type="dxa"/>
            <w:vAlign w:val="center"/>
          </w:tcPr>
          <w:p w14:paraId="730D71CA" w14:textId="5AAAB17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3406.86</w:t>
            </w:r>
          </w:p>
        </w:tc>
        <w:tc>
          <w:tcPr>
            <w:tcW w:w="1073" w:type="dxa"/>
            <w:vAlign w:val="center"/>
          </w:tcPr>
          <w:p w14:paraId="65D33C68" w14:textId="6166889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3511.94</w:t>
            </w:r>
          </w:p>
        </w:tc>
        <w:tc>
          <w:tcPr>
            <w:tcW w:w="1073" w:type="dxa"/>
            <w:vAlign w:val="center"/>
          </w:tcPr>
          <w:p w14:paraId="73C13C84" w14:textId="3593778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3620.26</w:t>
            </w:r>
          </w:p>
        </w:tc>
        <w:tc>
          <w:tcPr>
            <w:tcW w:w="979" w:type="dxa"/>
            <w:vAlign w:val="center"/>
          </w:tcPr>
          <w:p w14:paraId="573B92E1" w14:textId="755C577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3731.93</w:t>
            </w:r>
          </w:p>
        </w:tc>
        <w:tc>
          <w:tcPr>
            <w:tcW w:w="979" w:type="dxa"/>
            <w:vAlign w:val="center"/>
          </w:tcPr>
          <w:p w14:paraId="237EB68E" w14:textId="72956F7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3847.03</w:t>
            </w:r>
          </w:p>
        </w:tc>
        <w:tc>
          <w:tcPr>
            <w:tcW w:w="1056" w:type="dxa"/>
            <w:vAlign w:val="center"/>
          </w:tcPr>
          <w:p w14:paraId="4F2E1FE1" w14:textId="69E2EBD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18118.02</w:t>
            </w:r>
          </w:p>
        </w:tc>
      </w:tr>
      <w:tr w:rsidR="009775CB" w:rsidRPr="0078036E" w14:paraId="5102034A" w14:textId="77777777" w:rsidTr="0049031D">
        <w:trPr>
          <w:trHeight w:val="20"/>
          <w:jc w:val="center"/>
        </w:trPr>
        <w:tc>
          <w:tcPr>
            <w:tcW w:w="421" w:type="dxa"/>
            <w:vAlign w:val="center"/>
          </w:tcPr>
          <w:p w14:paraId="50A5C9DB" w14:textId="55450CD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033DBCD7" w14:textId="55098D15"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72823541" w14:textId="6A7652B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1073.63</w:t>
            </w:r>
          </w:p>
        </w:tc>
        <w:tc>
          <w:tcPr>
            <w:tcW w:w="976" w:type="dxa"/>
            <w:vAlign w:val="center"/>
          </w:tcPr>
          <w:p w14:paraId="084204D1" w14:textId="584F380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1134.89</w:t>
            </w:r>
          </w:p>
        </w:tc>
        <w:tc>
          <w:tcPr>
            <w:tcW w:w="1073" w:type="dxa"/>
            <w:vAlign w:val="center"/>
          </w:tcPr>
          <w:p w14:paraId="67BF7641" w14:textId="722440D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1199.65</w:t>
            </w:r>
          </w:p>
        </w:tc>
        <w:tc>
          <w:tcPr>
            <w:tcW w:w="1073" w:type="dxa"/>
            <w:vAlign w:val="center"/>
          </w:tcPr>
          <w:p w14:paraId="37287B86" w14:textId="73D7BCE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1268.10</w:t>
            </w:r>
          </w:p>
        </w:tc>
        <w:tc>
          <w:tcPr>
            <w:tcW w:w="979" w:type="dxa"/>
            <w:vAlign w:val="center"/>
          </w:tcPr>
          <w:p w14:paraId="27178A57" w14:textId="367723F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1340.46</w:t>
            </w:r>
          </w:p>
        </w:tc>
        <w:tc>
          <w:tcPr>
            <w:tcW w:w="979" w:type="dxa"/>
            <w:vAlign w:val="center"/>
          </w:tcPr>
          <w:p w14:paraId="4D22EA18" w14:textId="13AB952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1416.94</w:t>
            </w:r>
          </w:p>
        </w:tc>
        <w:tc>
          <w:tcPr>
            <w:tcW w:w="1056" w:type="dxa"/>
            <w:vAlign w:val="center"/>
          </w:tcPr>
          <w:p w14:paraId="4F7B874A" w14:textId="388675A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6360.04</w:t>
            </w:r>
          </w:p>
        </w:tc>
      </w:tr>
      <w:tr w:rsidR="009775CB" w:rsidRPr="0078036E" w14:paraId="671B8FFB" w14:textId="77777777" w:rsidTr="0049031D">
        <w:trPr>
          <w:trHeight w:val="20"/>
          <w:jc w:val="center"/>
        </w:trPr>
        <w:tc>
          <w:tcPr>
            <w:tcW w:w="421" w:type="dxa"/>
            <w:vAlign w:val="center"/>
          </w:tcPr>
          <w:p w14:paraId="39887CB2" w14:textId="276F7D9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442484F1" w14:textId="7B317818"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480CE7F1" w14:textId="33D92F0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3364.58</w:t>
            </w:r>
          </w:p>
        </w:tc>
        <w:tc>
          <w:tcPr>
            <w:tcW w:w="976" w:type="dxa"/>
            <w:vAlign w:val="center"/>
          </w:tcPr>
          <w:p w14:paraId="322AF2F3" w14:textId="2DEEC2C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3534.73</w:t>
            </w:r>
          </w:p>
        </w:tc>
        <w:tc>
          <w:tcPr>
            <w:tcW w:w="1073" w:type="dxa"/>
            <w:vAlign w:val="center"/>
          </w:tcPr>
          <w:p w14:paraId="34B72B6C" w14:textId="3BB39AA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3713.48</w:t>
            </w:r>
          </w:p>
        </w:tc>
        <w:tc>
          <w:tcPr>
            <w:tcW w:w="1073" w:type="dxa"/>
            <w:vAlign w:val="center"/>
          </w:tcPr>
          <w:p w14:paraId="72098B39" w14:textId="74408EE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3901.26</w:t>
            </w:r>
          </w:p>
        </w:tc>
        <w:tc>
          <w:tcPr>
            <w:tcW w:w="979" w:type="dxa"/>
            <w:vAlign w:val="center"/>
          </w:tcPr>
          <w:p w14:paraId="732F045D" w14:textId="6BB7CB8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4098.55</w:t>
            </w:r>
          </w:p>
        </w:tc>
        <w:tc>
          <w:tcPr>
            <w:tcW w:w="979" w:type="dxa"/>
            <w:vAlign w:val="center"/>
          </w:tcPr>
          <w:p w14:paraId="6DC74AF5" w14:textId="0508B59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4305.81</w:t>
            </w:r>
          </w:p>
        </w:tc>
        <w:tc>
          <w:tcPr>
            <w:tcW w:w="1056" w:type="dxa"/>
            <w:vAlign w:val="center"/>
          </w:tcPr>
          <w:p w14:paraId="11939DDB" w14:textId="3A2A515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19553.81</w:t>
            </w:r>
          </w:p>
        </w:tc>
      </w:tr>
      <w:tr w:rsidR="009775CB" w:rsidRPr="0078036E" w14:paraId="070B9993" w14:textId="77777777" w:rsidTr="0049031D">
        <w:trPr>
          <w:trHeight w:val="20"/>
          <w:jc w:val="center"/>
        </w:trPr>
        <w:tc>
          <w:tcPr>
            <w:tcW w:w="421" w:type="dxa"/>
            <w:vAlign w:val="center"/>
          </w:tcPr>
          <w:p w14:paraId="2CFDDE6F" w14:textId="630F4B3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224B0205" w14:textId="5CC6046D"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32994E69" w14:textId="33A4BC5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1803.64</w:t>
            </w:r>
          </w:p>
        </w:tc>
        <w:tc>
          <w:tcPr>
            <w:tcW w:w="976" w:type="dxa"/>
            <w:vAlign w:val="center"/>
          </w:tcPr>
          <w:p w14:paraId="3E61EEC2" w14:textId="51D9266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1988.59</w:t>
            </w:r>
          </w:p>
        </w:tc>
        <w:tc>
          <w:tcPr>
            <w:tcW w:w="1073" w:type="dxa"/>
            <w:vAlign w:val="center"/>
          </w:tcPr>
          <w:p w14:paraId="4E114F6F" w14:textId="12A3E38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2192.51</w:t>
            </w:r>
          </w:p>
        </w:tc>
        <w:tc>
          <w:tcPr>
            <w:tcW w:w="1073" w:type="dxa"/>
            <w:vAlign w:val="center"/>
          </w:tcPr>
          <w:p w14:paraId="09212FB1" w14:textId="345BF01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2417.33</w:t>
            </w:r>
          </w:p>
        </w:tc>
        <w:tc>
          <w:tcPr>
            <w:tcW w:w="979" w:type="dxa"/>
            <w:vAlign w:val="center"/>
          </w:tcPr>
          <w:p w14:paraId="592F4F06" w14:textId="46171BA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2665.22</w:t>
            </w:r>
          </w:p>
        </w:tc>
        <w:tc>
          <w:tcPr>
            <w:tcW w:w="979" w:type="dxa"/>
            <w:vAlign w:val="center"/>
          </w:tcPr>
          <w:p w14:paraId="06F77C17" w14:textId="7F8C48A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2938.52</w:t>
            </w:r>
          </w:p>
        </w:tc>
        <w:tc>
          <w:tcPr>
            <w:tcW w:w="1056" w:type="dxa"/>
            <w:vAlign w:val="center"/>
          </w:tcPr>
          <w:p w14:paraId="5F6028D7" w14:textId="43CB317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12202.16</w:t>
            </w:r>
          </w:p>
        </w:tc>
      </w:tr>
      <w:tr w:rsidR="009775CB" w:rsidRPr="0078036E" w14:paraId="6607248D" w14:textId="77777777" w:rsidTr="0049031D">
        <w:trPr>
          <w:trHeight w:val="20"/>
          <w:jc w:val="center"/>
        </w:trPr>
        <w:tc>
          <w:tcPr>
            <w:tcW w:w="421" w:type="dxa"/>
            <w:vAlign w:val="center"/>
          </w:tcPr>
          <w:p w14:paraId="003F7B2D" w14:textId="3B121EB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w:t>
            </w:r>
          </w:p>
        </w:tc>
        <w:tc>
          <w:tcPr>
            <w:tcW w:w="1391" w:type="dxa"/>
            <w:vAlign w:val="center"/>
          </w:tcPr>
          <w:p w14:paraId="1E652EEA" w14:textId="41316F75"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Madhya Pradesh</w:t>
            </w:r>
          </w:p>
        </w:tc>
        <w:tc>
          <w:tcPr>
            <w:tcW w:w="978" w:type="dxa"/>
            <w:vAlign w:val="center"/>
          </w:tcPr>
          <w:p w14:paraId="2AC57804" w14:textId="208DA39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3227.92</w:t>
            </w:r>
          </w:p>
        </w:tc>
        <w:tc>
          <w:tcPr>
            <w:tcW w:w="976" w:type="dxa"/>
            <w:vAlign w:val="center"/>
          </w:tcPr>
          <w:p w14:paraId="7499EB5F" w14:textId="74C9814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3518.75</w:t>
            </w:r>
          </w:p>
        </w:tc>
        <w:tc>
          <w:tcPr>
            <w:tcW w:w="1073" w:type="dxa"/>
            <w:vAlign w:val="center"/>
          </w:tcPr>
          <w:p w14:paraId="4FE78503" w14:textId="7171DEE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3835.77</w:t>
            </w:r>
          </w:p>
        </w:tc>
        <w:tc>
          <w:tcPr>
            <w:tcW w:w="1073" w:type="dxa"/>
            <w:vAlign w:val="center"/>
          </w:tcPr>
          <w:p w14:paraId="7FE69456" w14:textId="3880464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4181.35</w:t>
            </w:r>
          </w:p>
        </w:tc>
        <w:tc>
          <w:tcPr>
            <w:tcW w:w="979" w:type="dxa"/>
            <w:vAlign w:val="center"/>
          </w:tcPr>
          <w:p w14:paraId="4BD595B0" w14:textId="2C14612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4558.07</w:t>
            </w:r>
          </w:p>
        </w:tc>
        <w:tc>
          <w:tcPr>
            <w:tcW w:w="979" w:type="dxa"/>
            <w:vAlign w:val="center"/>
          </w:tcPr>
          <w:p w14:paraId="5BDC50E2" w14:textId="24E0668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4968.74</w:t>
            </w:r>
          </w:p>
        </w:tc>
        <w:tc>
          <w:tcPr>
            <w:tcW w:w="1056" w:type="dxa"/>
            <w:vAlign w:val="center"/>
          </w:tcPr>
          <w:p w14:paraId="2E17E70A" w14:textId="4FC9C31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21062.68</w:t>
            </w:r>
          </w:p>
        </w:tc>
      </w:tr>
      <w:tr w:rsidR="009775CB" w:rsidRPr="0078036E" w14:paraId="7F96972A" w14:textId="77777777" w:rsidTr="0049031D">
        <w:trPr>
          <w:trHeight w:val="20"/>
          <w:jc w:val="center"/>
        </w:trPr>
        <w:tc>
          <w:tcPr>
            <w:tcW w:w="421" w:type="dxa"/>
            <w:vAlign w:val="center"/>
          </w:tcPr>
          <w:p w14:paraId="640E9D76" w14:textId="4F32335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w:t>
            </w:r>
          </w:p>
        </w:tc>
        <w:tc>
          <w:tcPr>
            <w:tcW w:w="1391" w:type="dxa"/>
            <w:vAlign w:val="center"/>
          </w:tcPr>
          <w:p w14:paraId="1FBBB0F4" w14:textId="53E8B85E"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Maharashtra</w:t>
            </w:r>
          </w:p>
        </w:tc>
        <w:tc>
          <w:tcPr>
            <w:tcW w:w="978" w:type="dxa"/>
            <w:vAlign w:val="center"/>
          </w:tcPr>
          <w:p w14:paraId="7E80487E" w14:textId="21F5E29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5505.59</w:t>
            </w:r>
          </w:p>
        </w:tc>
        <w:tc>
          <w:tcPr>
            <w:tcW w:w="976" w:type="dxa"/>
            <w:vAlign w:val="center"/>
          </w:tcPr>
          <w:p w14:paraId="1A6A1165" w14:textId="710278A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5798.14</w:t>
            </w:r>
          </w:p>
        </w:tc>
        <w:tc>
          <w:tcPr>
            <w:tcW w:w="1073" w:type="dxa"/>
            <w:vAlign w:val="center"/>
          </w:tcPr>
          <w:p w14:paraId="722A20D6" w14:textId="06DC32B5"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6106.23</w:t>
            </w:r>
          </w:p>
        </w:tc>
        <w:tc>
          <w:tcPr>
            <w:tcW w:w="1073" w:type="dxa"/>
            <w:vAlign w:val="center"/>
          </w:tcPr>
          <w:p w14:paraId="553AA714" w14:textId="4892038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6430.69</w:t>
            </w:r>
          </w:p>
        </w:tc>
        <w:tc>
          <w:tcPr>
            <w:tcW w:w="979" w:type="dxa"/>
            <w:vAlign w:val="center"/>
          </w:tcPr>
          <w:p w14:paraId="4628957D" w14:textId="249E073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6772.39</w:t>
            </w:r>
          </w:p>
        </w:tc>
        <w:tc>
          <w:tcPr>
            <w:tcW w:w="979" w:type="dxa"/>
            <w:vAlign w:val="center"/>
          </w:tcPr>
          <w:p w14:paraId="1DFBB37B" w14:textId="5D88AE0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7132.25</w:t>
            </w:r>
          </w:p>
        </w:tc>
        <w:tc>
          <w:tcPr>
            <w:tcW w:w="1056" w:type="dxa"/>
            <w:vAlign w:val="center"/>
          </w:tcPr>
          <w:p w14:paraId="5C212BB5" w14:textId="5F8896C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32239.70</w:t>
            </w:r>
          </w:p>
        </w:tc>
      </w:tr>
      <w:tr w:rsidR="009775CB" w:rsidRPr="0078036E" w14:paraId="62936D47" w14:textId="77777777" w:rsidTr="0049031D">
        <w:trPr>
          <w:trHeight w:val="20"/>
          <w:jc w:val="center"/>
        </w:trPr>
        <w:tc>
          <w:tcPr>
            <w:tcW w:w="421" w:type="dxa"/>
            <w:vAlign w:val="center"/>
          </w:tcPr>
          <w:p w14:paraId="1BB1E7AD" w14:textId="4CD415E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w:t>
            </w:r>
          </w:p>
        </w:tc>
        <w:tc>
          <w:tcPr>
            <w:tcW w:w="1391" w:type="dxa"/>
            <w:vAlign w:val="center"/>
          </w:tcPr>
          <w:p w14:paraId="131193B8" w14:textId="7F5857D0"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Orissa</w:t>
            </w:r>
          </w:p>
        </w:tc>
        <w:tc>
          <w:tcPr>
            <w:tcW w:w="978" w:type="dxa"/>
            <w:vAlign w:val="center"/>
          </w:tcPr>
          <w:p w14:paraId="245CB257" w14:textId="7B2DC92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1929.53</w:t>
            </w:r>
          </w:p>
        </w:tc>
        <w:tc>
          <w:tcPr>
            <w:tcW w:w="976" w:type="dxa"/>
            <w:vAlign w:val="center"/>
          </w:tcPr>
          <w:p w14:paraId="13328BCD" w14:textId="268B1AD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2042.93</w:t>
            </w:r>
          </w:p>
        </w:tc>
        <w:tc>
          <w:tcPr>
            <w:tcW w:w="1073" w:type="dxa"/>
            <w:vAlign w:val="center"/>
          </w:tcPr>
          <w:p w14:paraId="1529E2EF" w14:textId="41906D3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2162.98</w:t>
            </w:r>
          </w:p>
        </w:tc>
        <w:tc>
          <w:tcPr>
            <w:tcW w:w="1073" w:type="dxa"/>
            <w:vAlign w:val="center"/>
          </w:tcPr>
          <w:p w14:paraId="02F3ABCB" w14:textId="5CBA8DA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2290.09</w:t>
            </w:r>
          </w:p>
        </w:tc>
        <w:tc>
          <w:tcPr>
            <w:tcW w:w="979" w:type="dxa"/>
            <w:vAlign w:val="center"/>
          </w:tcPr>
          <w:p w14:paraId="59122A5D" w14:textId="7BDA169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2424.68</w:t>
            </w:r>
          </w:p>
        </w:tc>
        <w:tc>
          <w:tcPr>
            <w:tcW w:w="979" w:type="dxa"/>
            <w:vAlign w:val="center"/>
          </w:tcPr>
          <w:p w14:paraId="28F024A8" w14:textId="78A26D0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2567.17</w:t>
            </w:r>
          </w:p>
        </w:tc>
        <w:tc>
          <w:tcPr>
            <w:tcW w:w="1056" w:type="dxa"/>
            <w:vAlign w:val="center"/>
          </w:tcPr>
          <w:p w14:paraId="1FBAF69B" w14:textId="0A3DD09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11487.84</w:t>
            </w:r>
          </w:p>
        </w:tc>
      </w:tr>
      <w:tr w:rsidR="009775CB" w:rsidRPr="0078036E" w14:paraId="6408D641" w14:textId="77777777" w:rsidTr="0049031D">
        <w:trPr>
          <w:trHeight w:val="20"/>
          <w:jc w:val="center"/>
        </w:trPr>
        <w:tc>
          <w:tcPr>
            <w:tcW w:w="421" w:type="dxa"/>
            <w:vAlign w:val="center"/>
          </w:tcPr>
          <w:p w14:paraId="339A15B6" w14:textId="421073C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w:t>
            </w:r>
          </w:p>
        </w:tc>
        <w:tc>
          <w:tcPr>
            <w:tcW w:w="1391" w:type="dxa"/>
            <w:vAlign w:val="center"/>
          </w:tcPr>
          <w:p w14:paraId="393FB771" w14:textId="0C374070"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Punjab</w:t>
            </w:r>
          </w:p>
        </w:tc>
        <w:tc>
          <w:tcPr>
            <w:tcW w:w="978" w:type="dxa"/>
            <w:vAlign w:val="center"/>
          </w:tcPr>
          <w:p w14:paraId="5C6D3919" w14:textId="3EAFCEA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1756.96</w:t>
            </w:r>
          </w:p>
        </w:tc>
        <w:tc>
          <w:tcPr>
            <w:tcW w:w="976" w:type="dxa"/>
            <w:vAlign w:val="center"/>
          </w:tcPr>
          <w:p w14:paraId="6534661F" w14:textId="799868F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1721.20</w:t>
            </w:r>
          </w:p>
        </w:tc>
        <w:tc>
          <w:tcPr>
            <w:tcW w:w="1073" w:type="dxa"/>
            <w:vAlign w:val="center"/>
          </w:tcPr>
          <w:p w14:paraId="263E9EA3" w14:textId="670076D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1686.15</w:t>
            </w:r>
          </w:p>
        </w:tc>
        <w:tc>
          <w:tcPr>
            <w:tcW w:w="1073" w:type="dxa"/>
            <w:vAlign w:val="center"/>
          </w:tcPr>
          <w:p w14:paraId="4B5891DB" w14:textId="17DC1A8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1651.83</w:t>
            </w:r>
          </w:p>
        </w:tc>
        <w:tc>
          <w:tcPr>
            <w:tcW w:w="979" w:type="dxa"/>
            <w:vAlign w:val="center"/>
          </w:tcPr>
          <w:p w14:paraId="1FE052B5" w14:textId="71F19F2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1618.20</w:t>
            </w:r>
          </w:p>
        </w:tc>
        <w:tc>
          <w:tcPr>
            <w:tcW w:w="979" w:type="dxa"/>
            <w:vAlign w:val="center"/>
          </w:tcPr>
          <w:p w14:paraId="7BD19C8D" w14:textId="5D728DC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1585.25</w:t>
            </w:r>
          </w:p>
        </w:tc>
        <w:tc>
          <w:tcPr>
            <w:tcW w:w="1056" w:type="dxa"/>
            <w:vAlign w:val="center"/>
          </w:tcPr>
          <w:p w14:paraId="336FD345" w14:textId="0EB5EE9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8262.63</w:t>
            </w:r>
          </w:p>
        </w:tc>
      </w:tr>
      <w:tr w:rsidR="009775CB" w:rsidRPr="0078036E" w14:paraId="028EF035" w14:textId="77777777" w:rsidTr="0049031D">
        <w:trPr>
          <w:trHeight w:val="20"/>
          <w:jc w:val="center"/>
        </w:trPr>
        <w:tc>
          <w:tcPr>
            <w:tcW w:w="421" w:type="dxa"/>
            <w:vAlign w:val="center"/>
          </w:tcPr>
          <w:p w14:paraId="08302F0E" w14:textId="40A1C77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w:t>
            </w:r>
          </w:p>
        </w:tc>
        <w:tc>
          <w:tcPr>
            <w:tcW w:w="1391" w:type="dxa"/>
            <w:vAlign w:val="center"/>
          </w:tcPr>
          <w:p w14:paraId="3B89DD50" w14:textId="196E1280"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Rajasthan</w:t>
            </w:r>
          </w:p>
        </w:tc>
        <w:tc>
          <w:tcPr>
            <w:tcW w:w="978" w:type="dxa"/>
            <w:vAlign w:val="center"/>
          </w:tcPr>
          <w:p w14:paraId="32FC2CDE" w14:textId="2EC8830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2888.62</w:t>
            </w:r>
          </w:p>
        </w:tc>
        <w:tc>
          <w:tcPr>
            <w:tcW w:w="976" w:type="dxa"/>
            <w:vAlign w:val="center"/>
          </w:tcPr>
          <w:p w14:paraId="0F51FC38" w14:textId="5D587FA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3097.88</w:t>
            </w:r>
          </w:p>
        </w:tc>
        <w:tc>
          <w:tcPr>
            <w:tcW w:w="1073" w:type="dxa"/>
            <w:vAlign w:val="center"/>
          </w:tcPr>
          <w:p w14:paraId="5745B354" w14:textId="27264C7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3322.30</w:t>
            </w:r>
          </w:p>
        </w:tc>
        <w:tc>
          <w:tcPr>
            <w:tcW w:w="1073" w:type="dxa"/>
            <w:vAlign w:val="center"/>
          </w:tcPr>
          <w:p w14:paraId="27FD8631" w14:textId="035125F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3562.98</w:t>
            </w:r>
          </w:p>
        </w:tc>
        <w:tc>
          <w:tcPr>
            <w:tcW w:w="979" w:type="dxa"/>
            <w:vAlign w:val="center"/>
          </w:tcPr>
          <w:p w14:paraId="4411D620" w14:textId="5B29297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3821.09</w:t>
            </w:r>
          </w:p>
        </w:tc>
        <w:tc>
          <w:tcPr>
            <w:tcW w:w="979" w:type="dxa"/>
            <w:vAlign w:val="center"/>
          </w:tcPr>
          <w:p w14:paraId="7B5058AC" w14:textId="552802A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4097.90</w:t>
            </w:r>
          </w:p>
        </w:tc>
        <w:tc>
          <w:tcPr>
            <w:tcW w:w="1056" w:type="dxa"/>
            <w:vAlign w:val="center"/>
          </w:tcPr>
          <w:p w14:paraId="5466B086" w14:textId="7AF9FA3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17902.15</w:t>
            </w:r>
          </w:p>
        </w:tc>
      </w:tr>
      <w:tr w:rsidR="009775CB" w:rsidRPr="0078036E" w14:paraId="4D8905BE" w14:textId="77777777" w:rsidTr="0049031D">
        <w:trPr>
          <w:trHeight w:val="20"/>
          <w:jc w:val="center"/>
        </w:trPr>
        <w:tc>
          <w:tcPr>
            <w:tcW w:w="421" w:type="dxa"/>
            <w:vAlign w:val="center"/>
          </w:tcPr>
          <w:p w14:paraId="679D25B0" w14:textId="1CAE233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w:t>
            </w:r>
          </w:p>
        </w:tc>
        <w:tc>
          <w:tcPr>
            <w:tcW w:w="1391" w:type="dxa"/>
            <w:vAlign w:val="center"/>
          </w:tcPr>
          <w:p w14:paraId="12BBB2DF" w14:textId="5F88C81F"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Tamil Nadu</w:t>
            </w:r>
          </w:p>
        </w:tc>
        <w:tc>
          <w:tcPr>
            <w:tcW w:w="978" w:type="dxa"/>
            <w:vAlign w:val="center"/>
          </w:tcPr>
          <w:p w14:paraId="45C9D7FF" w14:textId="1D72256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3812.83</w:t>
            </w:r>
          </w:p>
        </w:tc>
        <w:tc>
          <w:tcPr>
            <w:tcW w:w="976" w:type="dxa"/>
            <w:vAlign w:val="center"/>
          </w:tcPr>
          <w:p w14:paraId="6B703A4F" w14:textId="3F10C51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4119.84</w:t>
            </w:r>
          </w:p>
        </w:tc>
        <w:tc>
          <w:tcPr>
            <w:tcW w:w="1073" w:type="dxa"/>
            <w:vAlign w:val="center"/>
          </w:tcPr>
          <w:p w14:paraId="4B79DF63" w14:textId="0165EEC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4451.58</w:t>
            </w:r>
          </w:p>
        </w:tc>
        <w:tc>
          <w:tcPr>
            <w:tcW w:w="1073" w:type="dxa"/>
            <w:vAlign w:val="center"/>
          </w:tcPr>
          <w:p w14:paraId="1D7BA804" w14:textId="3E871A7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4810.02</w:t>
            </w:r>
          </w:p>
        </w:tc>
        <w:tc>
          <w:tcPr>
            <w:tcW w:w="979" w:type="dxa"/>
            <w:vAlign w:val="center"/>
          </w:tcPr>
          <w:p w14:paraId="2BE96D22" w14:textId="600E577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5197.32</w:t>
            </w:r>
          </w:p>
        </w:tc>
        <w:tc>
          <w:tcPr>
            <w:tcW w:w="979" w:type="dxa"/>
            <w:vAlign w:val="center"/>
          </w:tcPr>
          <w:p w14:paraId="350C765D" w14:textId="213D48B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5615.81</w:t>
            </w:r>
          </w:p>
        </w:tc>
        <w:tc>
          <w:tcPr>
            <w:tcW w:w="1056" w:type="dxa"/>
            <w:vAlign w:val="center"/>
          </w:tcPr>
          <w:p w14:paraId="3A258C6D" w14:textId="471A827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24194.57</w:t>
            </w:r>
          </w:p>
        </w:tc>
      </w:tr>
      <w:tr w:rsidR="009775CB" w:rsidRPr="0078036E" w14:paraId="293E0670" w14:textId="77777777" w:rsidTr="0049031D">
        <w:trPr>
          <w:trHeight w:val="20"/>
          <w:jc w:val="center"/>
        </w:trPr>
        <w:tc>
          <w:tcPr>
            <w:tcW w:w="421" w:type="dxa"/>
            <w:vAlign w:val="center"/>
          </w:tcPr>
          <w:p w14:paraId="23E3C115" w14:textId="4B89BA4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w:t>
            </w:r>
          </w:p>
        </w:tc>
        <w:tc>
          <w:tcPr>
            <w:tcW w:w="1391" w:type="dxa"/>
            <w:vAlign w:val="center"/>
          </w:tcPr>
          <w:p w14:paraId="73731246" w14:textId="7DBBFA20"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Uttar Pradesh</w:t>
            </w:r>
          </w:p>
        </w:tc>
        <w:tc>
          <w:tcPr>
            <w:tcW w:w="978" w:type="dxa"/>
            <w:vAlign w:val="center"/>
          </w:tcPr>
          <w:p w14:paraId="20910ADB" w14:textId="2F7790A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7681.78</w:t>
            </w:r>
          </w:p>
        </w:tc>
        <w:tc>
          <w:tcPr>
            <w:tcW w:w="976" w:type="dxa"/>
            <w:vAlign w:val="center"/>
          </w:tcPr>
          <w:p w14:paraId="775A3E1C" w14:textId="18F4B68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8508.70</w:t>
            </w:r>
          </w:p>
        </w:tc>
        <w:tc>
          <w:tcPr>
            <w:tcW w:w="1073" w:type="dxa"/>
            <w:vAlign w:val="center"/>
          </w:tcPr>
          <w:p w14:paraId="5C0DAE1C" w14:textId="7F0B0F7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9424.65</w:t>
            </w:r>
          </w:p>
        </w:tc>
        <w:tc>
          <w:tcPr>
            <w:tcW w:w="1073" w:type="dxa"/>
            <w:vAlign w:val="center"/>
          </w:tcPr>
          <w:p w14:paraId="13DD3E6B" w14:textId="665C36F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10439.19</w:t>
            </w:r>
          </w:p>
        </w:tc>
        <w:tc>
          <w:tcPr>
            <w:tcW w:w="979" w:type="dxa"/>
            <w:vAlign w:val="center"/>
          </w:tcPr>
          <w:p w14:paraId="29B044F9" w14:textId="7AB4B41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11562.94</w:t>
            </w:r>
          </w:p>
        </w:tc>
        <w:tc>
          <w:tcPr>
            <w:tcW w:w="979" w:type="dxa"/>
            <w:vAlign w:val="center"/>
          </w:tcPr>
          <w:p w14:paraId="6A52BD7A" w14:textId="016E79F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12807.66</w:t>
            </w:r>
          </w:p>
        </w:tc>
        <w:tc>
          <w:tcPr>
            <w:tcW w:w="1056" w:type="dxa"/>
            <w:vAlign w:val="center"/>
          </w:tcPr>
          <w:p w14:paraId="033BD3EE" w14:textId="064A4391"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52743.14</w:t>
            </w:r>
          </w:p>
        </w:tc>
      </w:tr>
      <w:tr w:rsidR="009775CB" w:rsidRPr="0078036E" w14:paraId="04056B4C" w14:textId="77777777" w:rsidTr="0049031D">
        <w:trPr>
          <w:trHeight w:val="20"/>
          <w:jc w:val="center"/>
        </w:trPr>
        <w:tc>
          <w:tcPr>
            <w:tcW w:w="421" w:type="dxa"/>
            <w:vAlign w:val="center"/>
          </w:tcPr>
          <w:p w14:paraId="15027046" w14:textId="5EF1E23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w:t>
            </w:r>
          </w:p>
        </w:tc>
        <w:tc>
          <w:tcPr>
            <w:tcW w:w="1391" w:type="dxa"/>
            <w:vAlign w:val="center"/>
          </w:tcPr>
          <w:p w14:paraId="1999F4D7" w14:textId="0080BDF1"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West Bengal</w:t>
            </w:r>
          </w:p>
        </w:tc>
        <w:tc>
          <w:tcPr>
            <w:tcW w:w="978" w:type="dxa"/>
            <w:vAlign w:val="center"/>
          </w:tcPr>
          <w:p w14:paraId="4252938D" w14:textId="6603651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4750.00</w:t>
            </w:r>
          </w:p>
        </w:tc>
        <w:tc>
          <w:tcPr>
            <w:tcW w:w="976" w:type="dxa"/>
            <w:vAlign w:val="center"/>
          </w:tcPr>
          <w:p w14:paraId="74F371F2" w14:textId="2B4B344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4951.13</w:t>
            </w:r>
          </w:p>
        </w:tc>
        <w:tc>
          <w:tcPr>
            <w:tcW w:w="1073" w:type="dxa"/>
            <w:vAlign w:val="center"/>
          </w:tcPr>
          <w:p w14:paraId="3A673611" w14:textId="7F222B5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5160.77</w:t>
            </w:r>
          </w:p>
        </w:tc>
        <w:tc>
          <w:tcPr>
            <w:tcW w:w="1073" w:type="dxa"/>
            <w:vAlign w:val="center"/>
          </w:tcPr>
          <w:p w14:paraId="24920C69" w14:textId="5CE5796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5379.30</w:t>
            </w:r>
          </w:p>
        </w:tc>
        <w:tc>
          <w:tcPr>
            <w:tcW w:w="979" w:type="dxa"/>
            <w:vAlign w:val="center"/>
          </w:tcPr>
          <w:p w14:paraId="11F2D0A5" w14:textId="6A6E50E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5607.07</w:t>
            </w:r>
          </w:p>
        </w:tc>
        <w:tc>
          <w:tcPr>
            <w:tcW w:w="979" w:type="dxa"/>
            <w:vAlign w:val="center"/>
          </w:tcPr>
          <w:p w14:paraId="2B3AFBC5" w14:textId="2521D55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5844.50</w:t>
            </w:r>
          </w:p>
        </w:tc>
        <w:tc>
          <w:tcPr>
            <w:tcW w:w="1056" w:type="dxa"/>
            <w:vAlign w:val="center"/>
          </w:tcPr>
          <w:p w14:paraId="10D98664" w14:textId="1E02C31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26942.77</w:t>
            </w:r>
          </w:p>
        </w:tc>
      </w:tr>
      <w:tr w:rsidR="009775CB" w:rsidRPr="0078036E" w14:paraId="3646644A" w14:textId="77777777" w:rsidTr="0049031D">
        <w:trPr>
          <w:trHeight w:val="20"/>
          <w:jc w:val="center"/>
        </w:trPr>
        <w:tc>
          <w:tcPr>
            <w:tcW w:w="421" w:type="dxa"/>
            <w:vAlign w:val="center"/>
          </w:tcPr>
          <w:p w14:paraId="0842D4FA" w14:textId="45822DB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14</w:t>
            </w:r>
          </w:p>
        </w:tc>
        <w:tc>
          <w:tcPr>
            <w:tcW w:w="1391" w:type="dxa"/>
            <w:vAlign w:val="center"/>
          </w:tcPr>
          <w:p w14:paraId="06F125AF" w14:textId="2E20D4F8"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b/>
                <w:bCs/>
                <w:sz w:val="16"/>
                <w:szCs w:val="16"/>
              </w:rPr>
              <w:t>Major States</w:t>
            </w:r>
          </w:p>
        </w:tc>
        <w:tc>
          <w:tcPr>
            <w:tcW w:w="978" w:type="dxa"/>
            <w:vAlign w:val="center"/>
          </w:tcPr>
          <w:p w14:paraId="6C3F5A27" w14:textId="3C9701D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48789.28</w:t>
            </w:r>
          </w:p>
        </w:tc>
        <w:tc>
          <w:tcPr>
            <w:tcW w:w="976" w:type="dxa"/>
            <w:vAlign w:val="center"/>
          </w:tcPr>
          <w:p w14:paraId="5572711E" w14:textId="082F57F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52158.88</w:t>
            </w:r>
          </w:p>
        </w:tc>
        <w:tc>
          <w:tcPr>
            <w:tcW w:w="1073" w:type="dxa"/>
            <w:vAlign w:val="center"/>
          </w:tcPr>
          <w:p w14:paraId="226A7BEB" w14:textId="1B4EB96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55807.79</w:t>
            </w:r>
          </w:p>
        </w:tc>
        <w:tc>
          <w:tcPr>
            <w:tcW w:w="1073" w:type="dxa"/>
            <w:vAlign w:val="center"/>
          </w:tcPr>
          <w:p w14:paraId="6A20AF0D" w14:textId="362ABAD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59780.90</w:t>
            </w:r>
          </w:p>
        </w:tc>
        <w:tc>
          <w:tcPr>
            <w:tcW w:w="979" w:type="dxa"/>
            <w:vAlign w:val="center"/>
          </w:tcPr>
          <w:p w14:paraId="02E866E9" w14:textId="204ECCE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64045.48</w:t>
            </w:r>
          </w:p>
        </w:tc>
        <w:tc>
          <w:tcPr>
            <w:tcW w:w="979" w:type="dxa"/>
            <w:vAlign w:val="center"/>
          </w:tcPr>
          <w:p w14:paraId="28C09C50" w14:textId="0A18A5D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68691.40</w:t>
            </w:r>
          </w:p>
        </w:tc>
        <w:tc>
          <w:tcPr>
            <w:tcW w:w="1056" w:type="dxa"/>
            <w:vAlign w:val="center"/>
          </w:tcPr>
          <w:p w14:paraId="00396E3A" w14:textId="6E9F321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b/>
                <w:bCs/>
                <w:sz w:val="16"/>
                <w:szCs w:val="16"/>
              </w:rPr>
              <w:t>300464.45</w:t>
            </w:r>
          </w:p>
        </w:tc>
      </w:tr>
      <w:tr w:rsidR="009775CB" w:rsidRPr="0078036E" w14:paraId="61DD741F" w14:textId="77777777" w:rsidTr="009046EB">
        <w:trPr>
          <w:trHeight w:val="20"/>
          <w:jc w:val="center"/>
        </w:trPr>
        <w:tc>
          <w:tcPr>
            <w:tcW w:w="8926" w:type="dxa"/>
            <w:gridSpan w:val="9"/>
            <w:vAlign w:val="center"/>
          </w:tcPr>
          <w:p w14:paraId="7FCFCC4C" w14:textId="71B23365"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20"/>
                <w:szCs w:val="20"/>
              </w:rPr>
              <w:t>Expenditure Category: General Administrative Services</w:t>
            </w:r>
          </w:p>
        </w:tc>
      </w:tr>
      <w:tr w:rsidR="009775CB" w:rsidRPr="0078036E" w14:paraId="7EBCD854" w14:textId="77777777" w:rsidTr="0049031D">
        <w:trPr>
          <w:trHeight w:val="20"/>
          <w:jc w:val="center"/>
        </w:trPr>
        <w:tc>
          <w:tcPr>
            <w:tcW w:w="421" w:type="dxa"/>
            <w:vAlign w:val="center"/>
          </w:tcPr>
          <w:p w14:paraId="0FF576D3" w14:textId="2085A48C"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No.</w:t>
            </w:r>
          </w:p>
        </w:tc>
        <w:tc>
          <w:tcPr>
            <w:tcW w:w="1391" w:type="dxa"/>
            <w:vAlign w:val="center"/>
          </w:tcPr>
          <w:p w14:paraId="56DC34D9" w14:textId="42064F39"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b/>
                <w:bCs/>
                <w:sz w:val="16"/>
                <w:szCs w:val="16"/>
              </w:rPr>
              <w:t>State</w:t>
            </w:r>
          </w:p>
        </w:tc>
        <w:tc>
          <w:tcPr>
            <w:tcW w:w="978" w:type="dxa"/>
            <w:vAlign w:val="center"/>
          </w:tcPr>
          <w:p w14:paraId="58E44B83" w14:textId="071A18AC"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1989-90</w:t>
            </w:r>
          </w:p>
        </w:tc>
        <w:tc>
          <w:tcPr>
            <w:tcW w:w="976" w:type="dxa"/>
            <w:vAlign w:val="center"/>
          </w:tcPr>
          <w:p w14:paraId="4931C2E5" w14:textId="0F314598"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w:t>
            </w:r>
          </w:p>
        </w:tc>
        <w:tc>
          <w:tcPr>
            <w:tcW w:w="1073" w:type="dxa"/>
            <w:vAlign w:val="center"/>
          </w:tcPr>
          <w:p w14:paraId="150EB106" w14:textId="70479A27"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1991-92</w:t>
            </w:r>
          </w:p>
        </w:tc>
        <w:tc>
          <w:tcPr>
            <w:tcW w:w="1073" w:type="dxa"/>
            <w:vAlign w:val="center"/>
          </w:tcPr>
          <w:p w14:paraId="6FA9E0E2" w14:textId="05F1C461"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1992-93</w:t>
            </w:r>
          </w:p>
        </w:tc>
        <w:tc>
          <w:tcPr>
            <w:tcW w:w="979" w:type="dxa"/>
            <w:vAlign w:val="center"/>
          </w:tcPr>
          <w:p w14:paraId="632536A9" w14:textId="27077A9B"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1993-94</w:t>
            </w:r>
          </w:p>
        </w:tc>
        <w:tc>
          <w:tcPr>
            <w:tcW w:w="979" w:type="dxa"/>
            <w:vAlign w:val="center"/>
          </w:tcPr>
          <w:p w14:paraId="25AED547" w14:textId="64F75D1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1994-95</w:t>
            </w:r>
          </w:p>
        </w:tc>
        <w:tc>
          <w:tcPr>
            <w:tcW w:w="1056" w:type="dxa"/>
            <w:vAlign w:val="center"/>
          </w:tcPr>
          <w:p w14:paraId="3F38BD24" w14:textId="00BAC121"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b/>
                <w:bCs/>
                <w:sz w:val="16"/>
                <w:szCs w:val="16"/>
              </w:rPr>
              <w:t>1990-91 to 1994-95</w:t>
            </w:r>
          </w:p>
        </w:tc>
      </w:tr>
      <w:tr w:rsidR="009775CB" w:rsidRPr="0078036E" w14:paraId="44567455" w14:textId="77777777" w:rsidTr="0049031D">
        <w:trPr>
          <w:trHeight w:val="20"/>
          <w:jc w:val="center"/>
        </w:trPr>
        <w:tc>
          <w:tcPr>
            <w:tcW w:w="421" w:type="dxa"/>
            <w:vAlign w:val="center"/>
          </w:tcPr>
          <w:p w14:paraId="6E58A749" w14:textId="43B9B13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1</w:t>
            </w:r>
          </w:p>
        </w:tc>
        <w:tc>
          <w:tcPr>
            <w:tcW w:w="1391" w:type="dxa"/>
            <w:vAlign w:val="center"/>
          </w:tcPr>
          <w:p w14:paraId="5A169547" w14:textId="45CFE6F1" w:rsidR="009775CB" w:rsidRPr="00D01DF5" w:rsidRDefault="009775CB" w:rsidP="009775CB">
            <w:pPr>
              <w:rPr>
                <w:rFonts w:ascii="Times New Roman" w:hAnsi="Times New Roman" w:cs="Times New Roman"/>
                <w:b/>
                <w:bCs/>
                <w:sz w:val="16"/>
                <w:szCs w:val="16"/>
              </w:rPr>
            </w:pPr>
            <w:r w:rsidRPr="00D01DF5">
              <w:rPr>
                <w:rFonts w:ascii="Times New Roman" w:hAnsi="Times New Roman" w:cs="Times New Roman"/>
                <w:sz w:val="16"/>
                <w:szCs w:val="16"/>
              </w:rPr>
              <w:t>Andhra Pradesh</w:t>
            </w:r>
          </w:p>
        </w:tc>
        <w:tc>
          <w:tcPr>
            <w:tcW w:w="978" w:type="dxa"/>
            <w:vAlign w:val="center"/>
          </w:tcPr>
          <w:p w14:paraId="2F69A514" w14:textId="53DB773A"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46930.99</w:t>
            </w:r>
          </w:p>
        </w:tc>
        <w:tc>
          <w:tcPr>
            <w:tcW w:w="976" w:type="dxa"/>
            <w:vAlign w:val="center"/>
          </w:tcPr>
          <w:p w14:paraId="02EEB368" w14:textId="2579D772"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50165.10</w:t>
            </w:r>
          </w:p>
        </w:tc>
        <w:tc>
          <w:tcPr>
            <w:tcW w:w="1073" w:type="dxa"/>
            <w:vAlign w:val="center"/>
          </w:tcPr>
          <w:p w14:paraId="1A6546AB" w14:textId="4E4AEF0E"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53680.79</w:t>
            </w:r>
          </w:p>
        </w:tc>
        <w:tc>
          <w:tcPr>
            <w:tcW w:w="1073" w:type="dxa"/>
            <w:vAlign w:val="center"/>
          </w:tcPr>
          <w:p w14:paraId="3A54D635" w14:textId="2BC1C03B"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57504.64</w:t>
            </w:r>
          </w:p>
        </w:tc>
        <w:tc>
          <w:tcPr>
            <w:tcW w:w="979" w:type="dxa"/>
            <w:vAlign w:val="center"/>
          </w:tcPr>
          <w:p w14:paraId="63AA6FB1" w14:textId="42F87099"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61665.86</w:t>
            </w:r>
          </w:p>
        </w:tc>
        <w:tc>
          <w:tcPr>
            <w:tcW w:w="979" w:type="dxa"/>
            <w:vAlign w:val="center"/>
          </w:tcPr>
          <w:p w14:paraId="1C8BBB3C" w14:textId="50047D44"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66196.57</w:t>
            </w:r>
          </w:p>
        </w:tc>
        <w:tc>
          <w:tcPr>
            <w:tcW w:w="1056" w:type="dxa"/>
            <w:vAlign w:val="center"/>
          </w:tcPr>
          <w:p w14:paraId="379AAFC9" w14:textId="574671D1" w:rsidR="009775CB" w:rsidRPr="00D01DF5" w:rsidRDefault="009775CB" w:rsidP="009775CB">
            <w:pPr>
              <w:jc w:val="center"/>
              <w:rPr>
                <w:rFonts w:ascii="Times New Roman" w:hAnsi="Times New Roman" w:cs="Times New Roman"/>
                <w:b/>
                <w:bCs/>
                <w:sz w:val="16"/>
                <w:szCs w:val="16"/>
              </w:rPr>
            </w:pPr>
            <w:r w:rsidRPr="00D01DF5">
              <w:rPr>
                <w:rFonts w:ascii="Times New Roman" w:hAnsi="Times New Roman" w:cs="Times New Roman"/>
                <w:sz w:val="16"/>
                <w:szCs w:val="16"/>
              </w:rPr>
              <w:t>289212.96</w:t>
            </w:r>
          </w:p>
        </w:tc>
      </w:tr>
      <w:tr w:rsidR="009775CB" w:rsidRPr="0078036E" w14:paraId="352932C0" w14:textId="77777777" w:rsidTr="0049031D">
        <w:trPr>
          <w:trHeight w:val="20"/>
          <w:jc w:val="center"/>
        </w:trPr>
        <w:tc>
          <w:tcPr>
            <w:tcW w:w="421" w:type="dxa"/>
            <w:vAlign w:val="center"/>
          </w:tcPr>
          <w:p w14:paraId="7A20A0B4" w14:textId="088CC7C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w:t>
            </w:r>
          </w:p>
        </w:tc>
        <w:tc>
          <w:tcPr>
            <w:tcW w:w="1391" w:type="dxa"/>
            <w:vAlign w:val="center"/>
          </w:tcPr>
          <w:p w14:paraId="50C2194B" w14:textId="1BD97AA2"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Bihar</w:t>
            </w:r>
          </w:p>
        </w:tc>
        <w:tc>
          <w:tcPr>
            <w:tcW w:w="978" w:type="dxa"/>
            <w:vAlign w:val="center"/>
          </w:tcPr>
          <w:p w14:paraId="41512E7C" w14:textId="0142621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47431.96</w:t>
            </w:r>
          </w:p>
        </w:tc>
        <w:tc>
          <w:tcPr>
            <w:tcW w:w="976" w:type="dxa"/>
            <w:vAlign w:val="center"/>
          </w:tcPr>
          <w:p w14:paraId="62711586" w14:textId="6AB89EA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51868.69</w:t>
            </w:r>
          </w:p>
        </w:tc>
        <w:tc>
          <w:tcPr>
            <w:tcW w:w="1073" w:type="dxa"/>
            <w:vAlign w:val="center"/>
          </w:tcPr>
          <w:p w14:paraId="2753A4A6" w14:textId="47AC731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56741.38</w:t>
            </w:r>
          </w:p>
        </w:tc>
        <w:tc>
          <w:tcPr>
            <w:tcW w:w="1073" w:type="dxa"/>
            <w:vAlign w:val="center"/>
          </w:tcPr>
          <w:p w14:paraId="4EE04E85" w14:textId="3DC93F8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62094.52</w:t>
            </w:r>
          </w:p>
        </w:tc>
        <w:tc>
          <w:tcPr>
            <w:tcW w:w="979" w:type="dxa"/>
            <w:vAlign w:val="center"/>
          </w:tcPr>
          <w:p w14:paraId="0E311278" w14:textId="6C96307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67977.28</w:t>
            </w:r>
          </w:p>
        </w:tc>
        <w:tc>
          <w:tcPr>
            <w:tcW w:w="979" w:type="dxa"/>
            <w:vAlign w:val="center"/>
          </w:tcPr>
          <w:p w14:paraId="0B9E4A62" w14:textId="58CF62E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74444.12</w:t>
            </w:r>
          </w:p>
        </w:tc>
        <w:tc>
          <w:tcPr>
            <w:tcW w:w="1056" w:type="dxa"/>
            <w:vAlign w:val="center"/>
          </w:tcPr>
          <w:p w14:paraId="52983B56" w14:textId="2712585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313125.98</w:t>
            </w:r>
          </w:p>
        </w:tc>
      </w:tr>
      <w:tr w:rsidR="009775CB" w:rsidRPr="0078036E" w14:paraId="02FCCFE3" w14:textId="77777777" w:rsidTr="0049031D">
        <w:trPr>
          <w:trHeight w:val="20"/>
          <w:jc w:val="center"/>
        </w:trPr>
        <w:tc>
          <w:tcPr>
            <w:tcW w:w="421" w:type="dxa"/>
            <w:vAlign w:val="center"/>
          </w:tcPr>
          <w:p w14:paraId="02093D32" w14:textId="37BFF09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w:t>
            </w:r>
          </w:p>
        </w:tc>
        <w:tc>
          <w:tcPr>
            <w:tcW w:w="1391" w:type="dxa"/>
            <w:vAlign w:val="center"/>
          </w:tcPr>
          <w:p w14:paraId="377D6342" w14:textId="597C8786"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Gujarat</w:t>
            </w:r>
          </w:p>
        </w:tc>
        <w:tc>
          <w:tcPr>
            <w:tcW w:w="978" w:type="dxa"/>
            <w:vAlign w:val="center"/>
          </w:tcPr>
          <w:p w14:paraId="6055A861" w14:textId="19680DE7"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33100.72</w:t>
            </w:r>
          </w:p>
        </w:tc>
        <w:tc>
          <w:tcPr>
            <w:tcW w:w="976" w:type="dxa"/>
            <w:vAlign w:val="center"/>
          </w:tcPr>
          <w:p w14:paraId="51297411" w14:textId="47EA11D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35156.49</w:t>
            </w:r>
          </w:p>
        </w:tc>
        <w:tc>
          <w:tcPr>
            <w:tcW w:w="1073" w:type="dxa"/>
            <w:vAlign w:val="center"/>
          </w:tcPr>
          <w:p w14:paraId="3E56A06B" w14:textId="79BA298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37406.12</w:t>
            </w:r>
          </w:p>
        </w:tc>
        <w:tc>
          <w:tcPr>
            <w:tcW w:w="1073" w:type="dxa"/>
            <w:vAlign w:val="center"/>
          </w:tcPr>
          <w:p w14:paraId="1C550676" w14:textId="75D93A5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39872.47</w:t>
            </w:r>
          </w:p>
        </w:tc>
        <w:tc>
          <w:tcPr>
            <w:tcW w:w="979" w:type="dxa"/>
            <w:vAlign w:val="center"/>
          </w:tcPr>
          <w:p w14:paraId="04E58B54" w14:textId="29A05BA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42581.41</w:t>
            </w:r>
          </w:p>
        </w:tc>
        <w:tc>
          <w:tcPr>
            <w:tcW w:w="979" w:type="dxa"/>
            <w:vAlign w:val="center"/>
          </w:tcPr>
          <w:p w14:paraId="751EBA4D" w14:textId="07E8B7C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45562.26</w:t>
            </w:r>
          </w:p>
        </w:tc>
        <w:tc>
          <w:tcPr>
            <w:tcW w:w="1056" w:type="dxa"/>
            <w:vAlign w:val="center"/>
          </w:tcPr>
          <w:p w14:paraId="36DE234B" w14:textId="05DE801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200578.75</w:t>
            </w:r>
          </w:p>
        </w:tc>
      </w:tr>
      <w:tr w:rsidR="009775CB" w:rsidRPr="0078036E" w14:paraId="5604184E" w14:textId="77777777" w:rsidTr="0049031D">
        <w:trPr>
          <w:trHeight w:val="20"/>
          <w:jc w:val="center"/>
        </w:trPr>
        <w:tc>
          <w:tcPr>
            <w:tcW w:w="421" w:type="dxa"/>
            <w:vAlign w:val="center"/>
          </w:tcPr>
          <w:p w14:paraId="60363FE6" w14:textId="7625428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w:t>
            </w:r>
          </w:p>
        </w:tc>
        <w:tc>
          <w:tcPr>
            <w:tcW w:w="1391" w:type="dxa"/>
            <w:vAlign w:val="center"/>
          </w:tcPr>
          <w:p w14:paraId="1C3E35BF" w14:textId="0E76E960"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Haryana</w:t>
            </w:r>
          </w:p>
        </w:tc>
        <w:tc>
          <w:tcPr>
            <w:tcW w:w="978" w:type="dxa"/>
            <w:vAlign w:val="center"/>
          </w:tcPr>
          <w:p w14:paraId="19A0960A" w14:textId="02E3CCB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13306.02</w:t>
            </w:r>
          </w:p>
        </w:tc>
        <w:tc>
          <w:tcPr>
            <w:tcW w:w="976" w:type="dxa"/>
            <w:vAlign w:val="center"/>
          </w:tcPr>
          <w:p w14:paraId="40A8B335" w14:textId="78321F5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14230.54</w:t>
            </w:r>
          </w:p>
        </w:tc>
        <w:tc>
          <w:tcPr>
            <w:tcW w:w="1073" w:type="dxa"/>
            <w:vAlign w:val="center"/>
          </w:tcPr>
          <w:p w14:paraId="22EFCD3A" w14:textId="35EA0F2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15239.82</w:t>
            </w:r>
          </w:p>
        </w:tc>
        <w:tc>
          <w:tcPr>
            <w:tcW w:w="1073" w:type="dxa"/>
            <w:vAlign w:val="center"/>
          </w:tcPr>
          <w:p w14:paraId="64A0DCCB" w14:textId="6F54FA6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16342.89</w:t>
            </w:r>
          </w:p>
        </w:tc>
        <w:tc>
          <w:tcPr>
            <w:tcW w:w="979" w:type="dxa"/>
            <w:vAlign w:val="center"/>
          </w:tcPr>
          <w:p w14:paraId="0A4356D4" w14:textId="2A171F1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17549.92</w:t>
            </w:r>
          </w:p>
        </w:tc>
        <w:tc>
          <w:tcPr>
            <w:tcW w:w="979" w:type="dxa"/>
            <w:vAlign w:val="center"/>
          </w:tcPr>
          <w:p w14:paraId="5466B8E3" w14:textId="54101E3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18872.31</w:t>
            </w:r>
          </w:p>
        </w:tc>
        <w:tc>
          <w:tcPr>
            <w:tcW w:w="1056" w:type="dxa"/>
            <w:vAlign w:val="center"/>
          </w:tcPr>
          <w:p w14:paraId="03CFCD50" w14:textId="096385DD"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82235.48</w:t>
            </w:r>
          </w:p>
        </w:tc>
      </w:tr>
      <w:tr w:rsidR="009775CB" w:rsidRPr="0078036E" w14:paraId="6A17427B" w14:textId="77777777" w:rsidTr="0049031D">
        <w:trPr>
          <w:trHeight w:val="20"/>
          <w:jc w:val="center"/>
        </w:trPr>
        <w:tc>
          <w:tcPr>
            <w:tcW w:w="421" w:type="dxa"/>
            <w:vAlign w:val="center"/>
          </w:tcPr>
          <w:p w14:paraId="4B251923" w14:textId="195E502A"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5</w:t>
            </w:r>
          </w:p>
        </w:tc>
        <w:tc>
          <w:tcPr>
            <w:tcW w:w="1391" w:type="dxa"/>
            <w:vAlign w:val="center"/>
          </w:tcPr>
          <w:p w14:paraId="694242C2" w14:textId="523608D0"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Karnataka</w:t>
            </w:r>
          </w:p>
        </w:tc>
        <w:tc>
          <w:tcPr>
            <w:tcW w:w="978" w:type="dxa"/>
            <w:vAlign w:val="center"/>
          </w:tcPr>
          <w:p w14:paraId="2E07EDA9" w14:textId="7DFCFE2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33175.38</w:t>
            </w:r>
          </w:p>
        </w:tc>
        <w:tc>
          <w:tcPr>
            <w:tcW w:w="976" w:type="dxa"/>
            <w:vAlign w:val="center"/>
          </w:tcPr>
          <w:p w14:paraId="0135366E" w14:textId="6DB03D1E"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35760.23</w:t>
            </w:r>
          </w:p>
        </w:tc>
        <w:tc>
          <w:tcPr>
            <w:tcW w:w="1073" w:type="dxa"/>
            <w:vAlign w:val="center"/>
          </w:tcPr>
          <w:p w14:paraId="7175B8C1" w14:textId="1D25A56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38556.55</w:t>
            </w:r>
          </w:p>
        </w:tc>
        <w:tc>
          <w:tcPr>
            <w:tcW w:w="1073" w:type="dxa"/>
            <w:vAlign w:val="center"/>
          </w:tcPr>
          <w:p w14:paraId="4C3DB70E" w14:textId="484743D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41582.35</w:t>
            </w:r>
          </w:p>
        </w:tc>
        <w:tc>
          <w:tcPr>
            <w:tcW w:w="979" w:type="dxa"/>
            <w:vAlign w:val="center"/>
          </w:tcPr>
          <w:p w14:paraId="76A46B86" w14:textId="7102B71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44857.23</w:t>
            </w:r>
          </w:p>
        </w:tc>
        <w:tc>
          <w:tcPr>
            <w:tcW w:w="979" w:type="dxa"/>
            <w:vAlign w:val="center"/>
          </w:tcPr>
          <w:p w14:paraId="1CBDF2E9" w14:textId="1036F6B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48402.55</w:t>
            </w:r>
          </w:p>
        </w:tc>
        <w:tc>
          <w:tcPr>
            <w:tcW w:w="1056" w:type="dxa"/>
            <w:vAlign w:val="center"/>
          </w:tcPr>
          <w:p w14:paraId="3E1C989B" w14:textId="27A308E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209158.91</w:t>
            </w:r>
          </w:p>
        </w:tc>
      </w:tr>
      <w:tr w:rsidR="009775CB" w:rsidRPr="0078036E" w14:paraId="019CB06C" w14:textId="77777777" w:rsidTr="0049031D">
        <w:trPr>
          <w:trHeight w:val="20"/>
          <w:jc w:val="center"/>
        </w:trPr>
        <w:tc>
          <w:tcPr>
            <w:tcW w:w="421" w:type="dxa"/>
            <w:vAlign w:val="center"/>
          </w:tcPr>
          <w:p w14:paraId="0C6C6FBC" w14:textId="7328CFB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6</w:t>
            </w:r>
          </w:p>
        </w:tc>
        <w:tc>
          <w:tcPr>
            <w:tcW w:w="1391" w:type="dxa"/>
            <w:vAlign w:val="center"/>
          </w:tcPr>
          <w:p w14:paraId="37073D30" w14:textId="7FB566F6"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sz w:val="16"/>
                <w:szCs w:val="16"/>
              </w:rPr>
              <w:t>Kerala</w:t>
            </w:r>
          </w:p>
        </w:tc>
        <w:tc>
          <w:tcPr>
            <w:tcW w:w="978" w:type="dxa"/>
            <w:vAlign w:val="center"/>
          </w:tcPr>
          <w:p w14:paraId="2BC335A0" w14:textId="6D3BDBAF"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25062.71</w:t>
            </w:r>
          </w:p>
        </w:tc>
        <w:tc>
          <w:tcPr>
            <w:tcW w:w="976" w:type="dxa"/>
            <w:vAlign w:val="center"/>
          </w:tcPr>
          <w:p w14:paraId="7AED1722" w14:textId="2C67AD34"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26792.02</w:t>
            </w:r>
          </w:p>
        </w:tc>
        <w:tc>
          <w:tcPr>
            <w:tcW w:w="1073" w:type="dxa"/>
            <w:vAlign w:val="center"/>
          </w:tcPr>
          <w:p w14:paraId="749D75A6" w14:textId="206C7BA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28650.20</w:t>
            </w:r>
          </w:p>
        </w:tc>
        <w:tc>
          <w:tcPr>
            <w:tcW w:w="1073" w:type="dxa"/>
            <w:vAlign w:val="center"/>
          </w:tcPr>
          <w:p w14:paraId="57B75CB6" w14:textId="7CCFC43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30647.11</w:t>
            </w:r>
          </w:p>
        </w:tc>
        <w:tc>
          <w:tcPr>
            <w:tcW w:w="979" w:type="dxa"/>
            <w:vAlign w:val="center"/>
          </w:tcPr>
          <w:p w14:paraId="306C9240" w14:textId="49A7BEC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32793.42</w:t>
            </w:r>
          </w:p>
        </w:tc>
        <w:tc>
          <w:tcPr>
            <w:tcW w:w="979" w:type="dxa"/>
            <w:vAlign w:val="center"/>
          </w:tcPr>
          <w:p w14:paraId="50337CD0" w14:textId="434E02A6"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35100.59</w:t>
            </w:r>
          </w:p>
        </w:tc>
        <w:tc>
          <w:tcPr>
            <w:tcW w:w="1056" w:type="dxa"/>
            <w:vAlign w:val="center"/>
          </w:tcPr>
          <w:p w14:paraId="6248100D" w14:textId="22C882E8"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sz w:val="16"/>
                <w:szCs w:val="16"/>
              </w:rPr>
              <w:t>153983.33</w:t>
            </w:r>
          </w:p>
        </w:tc>
      </w:tr>
      <w:tr w:rsidR="009775CB" w:rsidRPr="0078036E" w14:paraId="0801859F" w14:textId="77777777" w:rsidTr="0049031D">
        <w:trPr>
          <w:trHeight w:val="20"/>
          <w:jc w:val="center"/>
        </w:trPr>
        <w:tc>
          <w:tcPr>
            <w:tcW w:w="421" w:type="dxa"/>
            <w:vAlign w:val="center"/>
          </w:tcPr>
          <w:p w14:paraId="09FC62DC" w14:textId="3D6FCDF9"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7</w:t>
            </w:r>
          </w:p>
        </w:tc>
        <w:tc>
          <w:tcPr>
            <w:tcW w:w="1391" w:type="dxa"/>
            <w:vAlign w:val="center"/>
          </w:tcPr>
          <w:p w14:paraId="326943E6" w14:textId="053D9F8E" w:rsidR="009775CB" w:rsidRPr="00D01DF5" w:rsidRDefault="009775CB" w:rsidP="009775CB">
            <w:pPr>
              <w:rPr>
                <w:rFonts w:ascii="Times New Roman" w:hAnsi="Times New Roman" w:cs="Times New Roman"/>
                <w:sz w:val="16"/>
                <w:szCs w:val="16"/>
              </w:rPr>
            </w:pPr>
            <w:r w:rsidRPr="00D01DF5">
              <w:rPr>
                <w:rFonts w:ascii="Times New Roman" w:hAnsi="Times New Roman" w:cs="Times New Roman"/>
                <w:color w:val="1A1C1E"/>
                <w:sz w:val="16"/>
                <w:szCs w:val="16"/>
              </w:rPr>
              <w:t>Madhya Pradesh</w:t>
            </w:r>
          </w:p>
        </w:tc>
        <w:tc>
          <w:tcPr>
            <w:tcW w:w="978" w:type="dxa"/>
            <w:vAlign w:val="center"/>
          </w:tcPr>
          <w:p w14:paraId="0B5EAE51" w14:textId="281EB2C0"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43533.51</w:t>
            </w:r>
          </w:p>
        </w:tc>
        <w:tc>
          <w:tcPr>
            <w:tcW w:w="976" w:type="dxa"/>
            <w:vAlign w:val="center"/>
          </w:tcPr>
          <w:p w14:paraId="4A521225" w14:textId="3CBC310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46487.79</w:t>
            </w:r>
          </w:p>
        </w:tc>
        <w:tc>
          <w:tcPr>
            <w:tcW w:w="1073" w:type="dxa"/>
            <w:vAlign w:val="center"/>
          </w:tcPr>
          <w:p w14:paraId="498F0289" w14:textId="1AB121F3"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49661.35</w:t>
            </w:r>
          </w:p>
        </w:tc>
        <w:tc>
          <w:tcPr>
            <w:tcW w:w="1073" w:type="dxa"/>
            <w:vAlign w:val="center"/>
          </w:tcPr>
          <w:p w14:paraId="0E612D98" w14:textId="1870234C"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53072.46</w:t>
            </w:r>
          </w:p>
        </w:tc>
        <w:tc>
          <w:tcPr>
            <w:tcW w:w="979" w:type="dxa"/>
            <w:vAlign w:val="center"/>
          </w:tcPr>
          <w:p w14:paraId="411EE24E" w14:textId="2106E10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56741.15</w:t>
            </w:r>
          </w:p>
        </w:tc>
        <w:tc>
          <w:tcPr>
            <w:tcW w:w="979" w:type="dxa"/>
            <w:vAlign w:val="center"/>
          </w:tcPr>
          <w:p w14:paraId="58DCAC1E" w14:textId="1FF432F2"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60689.49</w:t>
            </w:r>
          </w:p>
        </w:tc>
        <w:tc>
          <w:tcPr>
            <w:tcW w:w="1056" w:type="dxa"/>
            <w:vAlign w:val="center"/>
          </w:tcPr>
          <w:p w14:paraId="24C3D650" w14:textId="7653407B" w:rsidR="009775CB" w:rsidRPr="00D01DF5" w:rsidRDefault="009775CB" w:rsidP="009775CB">
            <w:pPr>
              <w:jc w:val="center"/>
              <w:rPr>
                <w:rFonts w:ascii="Times New Roman" w:hAnsi="Times New Roman" w:cs="Times New Roman"/>
                <w:sz w:val="16"/>
                <w:szCs w:val="16"/>
              </w:rPr>
            </w:pPr>
            <w:r w:rsidRPr="00D01DF5">
              <w:rPr>
                <w:rFonts w:ascii="Times New Roman" w:hAnsi="Times New Roman" w:cs="Times New Roman"/>
                <w:color w:val="1A1C1E"/>
                <w:sz w:val="16"/>
                <w:szCs w:val="16"/>
              </w:rPr>
              <w:t>266652.24</w:t>
            </w:r>
          </w:p>
        </w:tc>
      </w:tr>
      <w:tr w:rsidR="009775CB" w:rsidRPr="0078036E" w14:paraId="458FEA35" w14:textId="77777777" w:rsidTr="0049031D">
        <w:trPr>
          <w:trHeight w:val="20"/>
          <w:jc w:val="center"/>
        </w:trPr>
        <w:tc>
          <w:tcPr>
            <w:tcW w:w="421" w:type="dxa"/>
            <w:vAlign w:val="center"/>
          </w:tcPr>
          <w:p w14:paraId="0C77C533" w14:textId="3D18DFC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8</w:t>
            </w:r>
          </w:p>
        </w:tc>
        <w:tc>
          <w:tcPr>
            <w:tcW w:w="1391" w:type="dxa"/>
            <w:vAlign w:val="center"/>
          </w:tcPr>
          <w:p w14:paraId="69D4F7B0" w14:textId="7E4CA32F"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Maharashtra</w:t>
            </w:r>
          </w:p>
        </w:tc>
        <w:tc>
          <w:tcPr>
            <w:tcW w:w="978" w:type="dxa"/>
            <w:vAlign w:val="center"/>
          </w:tcPr>
          <w:p w14:paraId="2A2F03B0" w14:textId="5D1D4B7E"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67636.91</w:t>
            </w:r>
          </w:p>
        </w:tc>
        <w:tc>
          <w:tcPr>
            <w:tcW w:w="976" w:type="dxa"/>
            <w:vAlign w:val="center"/>
          </w:tcPr>
          <w:p w14:paraId="68AD4E3A" w14:textId="47E5FFB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69713.81</w:t>
            </w:r>
          </w:p>
        </w:tc>
        <w:tc>
          <w:tcPr>
            <w:tcW w:w="1073" w:type="dxa"/>
            <w:vAlign w:val="center"/>
          </w:tcPr>
          <w:p w14:paraId="5B9EF85C" w14:textId="5D8FA1E9"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71912.31</w:t>
            </w:r>
          </w:p>
        </w:tc>
        <w:tc>
          <w:tcPr>
            <w:tcW w:w="1073" w:type="dxa"/>
            <w:vAlign w:val="center"/>
          </w:tcPr>
          <w:p w14:paraId="7CAAD3D6" w14:textId="6A435BB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74240.20</w:t>
            </w:r>
          </w:p>
        </w:tc>
        <w:tc>
          <w:tcPr>
            <w:tcW w:w="979" w:type="dxa"/>
            <w:vAlign w:val="center"/>
          </w:tcPr>
          <w:p w14:paraId="408DA098" w14:textId="3522167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76706.06</w:t>
            </w:r>
          </w:p>
        </w:tc>
        <w:tc>
          <w:tcPr>
            <w:tcW w:w="979" w:type="dxa"/>
            <w:vAlign w:val="center"/>
          </w:tcPr>
          <w:p w14:paraId="1456B7C5" w14:textId="77C448F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79319.46</w:t>
            </w:r>
          </w:p>
        </w:tc>
        <w:tc>
          <w:tcPr>
            <w:tcW w:w="1056" w:type="dxa"/>
            <w:vAlign w:val="center"/>
          </w:tcPr>
          <w:p w14:paraId="5DD4BE28" w14:textId="403009FE"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371891.84</w:t>
            </w:r>
          </w:p>
        </w:tc>
      </w:tr>
      <w:tr w:rsidR="009775CB" w:rsidRPr="0078036E" w14:paraId="196420FD" w14:textId="77777777" w:rsidTr="0049031D">
        <w:trPr>
          <w:trHeight w:val="20"/>
          <w:jc w:val="center"/>
        </w:trPr>
        <w:tc>
          <w:tcPr>
            <w:tcW w:w="421" w:type="dxa"/>
            <w:vAlign w:val="center"/>
          </w:tcPr>
          <w:p w14:paraId="42DC4608" w14:textId="315242DB"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9</w:t>
            </w:r>
          </w:p>
        </w:tc>
        <w:tc>
          <w:tcPr>
            <w:tcW w:w="1391" w:type="dxa"/>
            <w:vAlign w:val="center"/>
          </w:tcPr>
          <w:p w14:paraId="17778730" w14:textId="3BDBA732"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Orissa</w:t>
            </w:r>
          </w:p>
        </w:tc>
        <w:tc>
          <w:tcPr>
            <w:tcW w:w="978" w:type="dxa"/>
            <w:vAlign w:val="center"/>
          </w:tcPr>
          <w:p w14:paraId="5F89ED97" w14:textId="74AA089F"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22853.11</w:t>
            </w:r>
          </w:p>
        </w:tc>
        <w:tc>
          <w:tcPr>
            <w:tcW w:w="976" w:type="dxa"/>
            <w:vAlign w:val="center"/>
          </w:tcPr>
          <w:p w14:paraId="496C99B0" w14:textId="3A19A55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24352.91</w:t>
            </w:r>
          </w:p>
        </w:tc>
        <w:tc>
          <w:tcPr>
            <w:tcW w:w="1073" w:type="dxa"/>
            <w:vAlign w:val="center"/>
          </w:tcPr>
          <w:p w14:paraId="6650DAFD" w14:textId="04E8AB8A"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25955.34</w:t>
            </w:r>
          </w:p>
        </w:tc>
        <w:tc>
          <w:tcPr>
            <w:tcW w:w="1073" w:type="dxa"/>
            <w:vAlign w:val="center"/>
          </w:tcPr>
          <w:p w14:paraId="46EE04E2" w14:textId="6D0971B2"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27667.53</w:t>
            </w:r>
          </w:p>
        </w:tc>
        <w:tc>
          <w:tcPr>
            <w:tcW w:w="979" w:type="dxa"/>
            <w:vAlign w:val="center"/>
          </w:tcPr>
          <w:p w14:paraId="343E3E4D" w14:textId="1E5BAC1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29497.13</w:t>
            </w:r>
          </w:p>
        </w:tc>
        <w:tc>
          <w:tcPr>
            <w:tcW w:w="979" w:type="dxa"/>
            <w:vAlign w:val="center"/>
          </w:tcPr>
          <w:p w14:paraId="52E8CE89" w14:textId="3DE56331"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31452.33</w:t>
            </w:r>
          </w:p>
        </w:tc>
        <w:tc>
          <w:tcPr>
            <w:tcW w:w="1056" w:type="dxa"/>
            <w:vAlign w:val="center"/>
          </w:tcPr>
          <w:p w14:paraId="4848514F" w14:textId="241B262B"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138925.23</w:t>
            </w:r>
          </w:p>
        </w:tc>
      </w:tr>
      <w:tr w:rsidR="009775CB" w:rsidRPr="0078036E" w14:paraId="28BAEF54" w14:textId="77777777" w:rsidTr="0049031D">
        <w:trPr>
          <w:trHeight w:val="20"/>
          <w:jc w:val="center"/>
        </w:trPr>
        <w:tc>
          <w:tcPr>
            <w:tcW w:w="421" w:type="dxa"/>
            <w:vAlign w:val="center"/>
          </w:tcPr>
          <w:p w14:paraId="49BD0045" w14:textId="267C229D"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10</w:t>
            </w:r>
          </w:p>
        </w:tc>
        <w:tc>
          <w:tcPr>
            <w:tcW w:w="1391" w:type="dxa"/>
            <w:vAlign w:val="center"/>
          </w:tcPr>
          <w:p w14:paraId="72C0267D" w14:textId="0348A440"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Punjab</w:t>
            </w:r>
          </w:p>
        </w:tc>
        <w:tc>
          <w:tcPr>
            <w:tcW w:w="978" w:type="dxa"/>
            <w:vAlign w:val="center"/>
          </w:tcPr>
          <w:p w14:paraId="509177EE" w14:textId="14D1DC1B"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19669.34</w:t>
            </w:r>
          </w:p>
        </w:tc>
        <w:tc>
          <w:tcPr>
            <w:tcW w:w="976" w:type="dxa"/>
            <w:vAlign w:val="center"/>
          </w:tcPr>
          <w:p w14:paraId="77B2BC4D" w14:textId="51F5BBC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20432.10</w:t>
            </w:r>
          </w:p>
        </w:tc>
        <w:tc>
          <w:tcPr>
            <w:tcW w:w="1073" w:type="dxa"/>
            <w:vAlign w:val="center"/>
          </w:tcPr>
          <w:p w14:paraId="1EEEC3D2" w14:textId="5B315BBE"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21269.24</w:t>
            </w:r>
          </w:p>
        </w:tc>
        <w:tc>
          <w:tcPr>
            <w:tcW w:w="1073" w:type="dxa"/>
            <w:vAlign w:val="center"/>
          </w:tcPr>
          <w:p w14:paraId="48DB0DDB" w14:textId="0F99667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22188.97</w:t>
            </w:r>
          </w:p>
        </w:tc>
        <w:tc>
          <w:tcPr>
            <w:tcW w:w="979" w:type="dxa"/>
            <w:vAlign w:val="center"/>
          </w:tcPr>
          <w:p w14:paraId="16AF57BD" w14:textId="0AFB8512"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23200.57</w:t>
            </w:r>
          </w:p>
        </w:tc>
        <w:tc>
          <w:tcPr>
            <w:tcW w:w="979" w:type="dxa"/>
            <w:vAlign w:val="center"/>
          </w:tcPr>
          <w:p w14:paraId="5FC5A495" w14:textId="6E2CC7B9"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24314.57</w:t>
            </w:r>
          </w:p>
        </w:tc>
        <w:tc>
          <w:tcPr>
            <w:tcW w:w="1056" w:type="dxa"/>
            <w:vAlign w:val="center"/>
          </w:tcPr>
          <w:p w14:paraId="3C47C770" w14:textId="46F6E949"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111405.45</w:t>
            </w:r>
          </w:p>
        </w:tc>
      </w:tr>
      <w:tr w:rsidR="009775CB" w:rsidRPr="0078036E" w14:paraId="07B54A65" w14:textId="77777777" w:rsidTr="0049031D">
        <w:trPr>
          <w:trHeight w:val="20"/>
          <w:jc w:val="center"/>
        </w:trPr>
        <w:tc>
          <w:tcPr>
            <w:tcW w:w="421" w:type="dxa"/>
            <w:vAlign w:val="center"/>
          </w:tcPr>
          <w:p w14:paraId="5573815E" w14:textId="50F3B35F"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11</w:t>
            </w:r>
          </w:p>
        </w:tc>
        <w:tc>
          <w:tcPr>
            <w:tcW w:w="1391" w:type="dxa"/>
            <w:vAlign w:val="center"/>
          </w:tcPr>
          <w:p w14:paraId="4B36D6F4" w14:textId="30352392"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Rajasthan</w:t>
            </w:r>
          </w:p>
        </w:tc>
        <w:tc>
          <w:tcPr>
            <w:tcW w:w="978" w:type="dxa"/>
            <w:vAlign w:val="center"/>
          </w:tcPr>
          <w:p w14:paraId="11E12663" w14:textId="01A26CA3"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32255.85</w:t>
            </w:r>
          </w:p>
        </w:tc>
        <w:tc>
          <w:tcPr>
            <w:tcW w:w="976" w:type="dxa"/>
            <w:vAlign w:val="center"/>
          </w:tcPr>
          <w:p w14:paraId="058A4BFB" w14:textId="4F2E5F7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34938.00</w:t>
            </w:r>
          </w:p>
        </w:tc>
        <w:tc>
          <w:tcPr>
            <w:tcW w:w="1073" w:type="dxa"/>
            <w:vAlign w:val="center"/>
          </w:tcPr>
          <w:p w14:paraId="25918F83" w14:textId="41111F3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37861.49</w:t>
            </w:r>
          </w:p>
        </w:tc>
        <w:tc>
          <w:tcPr>
            <w:tcW w:w="1073" w:type="dxa"/>
            <w:vAlign w:val="center"/>
          </w:tcPr>
          <w:p w14:paraId="5C3B5853" w14:textId="48E65A44"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41050.03</w:t>
            </w:r>
          </w:p>
        </w:tc>
        <w:tc>
          <w:tcPr>
            <w:tcW w:w="979" w:type="dxa"/>
            <w:vAlign w:val="center"/>
          </w:tcPr>
          <w:p w14:paraId="6BB849C8" w14:textId="4821B6C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44529.96</w:t>
            </w:r>
          </w:p>
        </w:tc>
        <w:tc>
          <w:tcPr>
            <w:tcW w:w="979" w:type="dxa"/>
            <w:vAlign w:val="center"/>
          </w:tcPr>
          <w:p w14:paraId="17F37180" w14:textId="506D9C2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48330.58</w:t>
            </w:r>
          </w:p>
        </w:tc>
        <w:tc>
          <w:tcPr>
            <w:tcW w:w="1056" w:type="dxa"/>
            <w:vAlign w:val="center"/>
          </w:tcPr>
          <w:p w14:paraId="7155E814" w14:textId="180B5B6F"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206710.05</w:t>
            </w:r>
          </w:p>
        </w:tc>
      </w:tr>
      <w:tr w:rsidR="009775CB" w:rsidRPr="0078036E" w14:paraId="1C1C5975" w14:textId="77777777" w:rsidTr="0049031D">
        <w:trPr>
          <w:trHeight w:val="20"/>
          <w:jc w:val="center"/>
        </w:trPr>
        <w:tc>
          <w:tcPr>
            <w:tcW w:w="421" w:type="dxa"/>
            <w:vAlign w:val="center"/>
          </w:tcPr>
          <w:p w14:paraId="4005A79E" w14:textId="06A0AECE"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12</w:t>
            </w:r>
          </w:p>
        </w:tc>
        <w:tc>
          <w:tcPr>
            <w:tcW w:w="1391" w:type="dxa"/>
            <w:vAlign w:val="center"/>
          </w:tcPr>
          <w:p w14:paraId="33FC2AAC" w14:textId="5D5ECB62"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Tamil Nadu</w:t>
            </w:r>
          </w:p>
        </w:tc>
        <w:tc>
          <w:tcPr>
            <w:tcW w:w="978" w:type="dxa"/>
            <w:vAlign w:val="center"/>
          </w:tcPr>
          <w:p w14:paraId="6BFDCCE4" w14:textId="18AD516F"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44520.18</w:t>
            </w:r>
          </w:p>
        </w:tc>
        <w:tc>
          <w:tcPr>
            <w:tcW w:w="976" w:type="dxa"/>
            <w:vAlign w:val="center"/>
          </w:tcPr>
          <w:p w14:paraId="02AA40D1" w14:textId="4C19D934"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47682.63</w:t>
            </w:r>
          </w:p>
        </w:tc>
        <w:tc>
          <w:tcPr>
            <w:tcW w:w="1073" w:type="dxa"/>
            <w:vAlign w:val="center"/>
          </w:tcPr>
          <w:p w14:paraId="58853A50" w14:textId="16AE7D7B"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51119.87</w:t>
            </w:r>
          </w:p>
        </w:tc>
        <w:tc>
          <w:tcPr>
            <w:tcW w:w="1073" w:type="dxa"/>
            <w:vAlign w:val="center"/>
          </w:tcPr>
          <w:p w14:paraId="0A1AE53C" w14:textId="3F108624"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54856.69</w:t>
            </w:r>
          </w:p>
        </w:tc>
        <w:tc>
          <w:tcPr>
            <w:tcW w:w="979" w:type="dxa"/>
            <w:vAlign w:val="center"/>
          </w:tcPr>
          <w:p w14:paraId="44D8F4EE" w14:textId="77F6DE3A"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58920.16</w:t>
            </w:r>
          </w:p>
        </w:tc>
        <w:tc>
          <w:tcPr>
            <w:tcW w:w="979" w:type="dxa"/>
            <w:vAlign w:val="center"/>
          </w:tcPr>
          <w:p w14:paraId="523928E6" w14:textId="54B85E64"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63339.81</w:t>
            </w:r>
          </w:p>
        </w:tc>
        <w:tc>
          <w:tcPr>
            <w:tcW w:w="1056" w:type="dxa"/>
            <w:vAlign w:val="center"/>
          </w:tcPr>
          <w:p w14:paraId="75E2E29B" w14:textId="4009FDF7"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275919.17</w:t>
            </w:r>
          </w:p>
        </w:tc>
      </w:tr>
      <w:tr w:rsidR="009775CB" w:rsidRPr="0078036E" w14:paraId="436CC934" w14:textId="77777777" w:rsidTr="0049031D">
        <w:trPr>
          <w:trHeight w:val="20"/>
          <w:jc w:val="center"/>
        </w:trPr>
        <w:tc>
          <w:tcPr>
            <w:tcW w:w="421" w:type="dxa"/>
            <w:vAlign w:val="center"/>
          </w:tcPr>
          <w:p w14:paraId="3E70E19F" w14:textId="3F6FB1D2"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13</w:t>
            </w:r>
          </w:p>
        </w:tc>
        <w:tc>
          <w:tcPr>
            <w:tcW w:w="1391" w:type="dxa"/>
            <w:vAlign w:val="center"/>
          </w:tcPr>
          <w:p w14:paraId="0B8C662F" w14:textId="3B05AEA4"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Uttar Pradesh</w:t>
            </w:r>
          </w:p>
        </w:tc>
        <w:tc>
          <w:tcPr>
            <w:tcW w:w="978" w:type="dxa"/>
            <w:vAlign w:val="center"/>
          </w:tcPr>
          <w:p w14:paraId="2438CF40" w14:textId="64098BE3"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84348.26</w:t>
            </w:r>
          </w:p>
        </w:tc>
        <w:tc>
          <w:tcPr>
            <w:tcW w:w="976" w:type="dxa"/>
            <w:vAlign w:val="center"/>
          </w:tcPr>
          <w:p w14:paraId="32738A3D" w14:textId="5D487A2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91406.20</w:t>
            </w:r>
          </w:p>
        </w:tc>
        <w:tc>
          <w:tcPr>
            <w:tcW w:w="1073" w:type="dxa"/>
            <w:vAlign w:val="center"/>
          </w:tcPr>
          <w:p w14:paraId="158B24A6" w14:textId="4082F938"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99128.24</w:t>
            </w:r>
          </w:p>
        </w:tc>
        <w:tc>
          <w:tcPr>
            <w:tcW w:w="1073" w:type="dxa"/>
            <w:vAlign w:val="center"/>
          </w:tcPr>
          <w:p w14:paraId="1609A9A8" w14:textId="7B9FA50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107581.41</w:t>
            </w:r>
          </w:p>
        </w:tc>
        <w:tc>
          <w:tcPr>
            <w:tcW w:w="979" w:type="dxa"/>
            <w:vAlign w:val="center"/>
          </w:tcPr>
          <w:p w14:paraId="0BBE5219" w14:textId="368A9C31"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116839.90</w:t>
            </w:r>
          </w:p>
        </w:tc>
        <w:tc>
          <w:tcPr>
            <w:tcW w:w="979" w:type="dxa"/>
            <w:vAlign w:val="center"/>
          </w:tcPr>
          <w:p w14:paraId="1F60482D" w14:textId="7E96C283"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126985.79</w:t>
            </w:r>
          </w:p>
        </w:tc>
        <w:tc>
          <w:tcPr>
            <w:tcW w:w="1056" w:type="dxa"/>
            <w:vAlign w:val="center"/>
          </w:tcPr>
          <w:p w14:paraId="4BBD9793" w14:textId="78B11D1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541941.55</w:t>
            </w:r>
          </w:p>
        </w:tc>
      </w:tr>
      <w:tr w:rsidR="009775CB" w:rsidRPr="0078036E" w14:paraId="6AAFCFFF" w14:textId="77777777" w:rsidTr="0049031D">
        <w:trPr>
          <w:trHeight w:val="20"/>
          <w:jc w:val="center"/>
        </w:trPr>
        <w:tc>
          <w:tcPr>
            <w:tcW w:w="421" w:type="dxa"/>
            <w:vAlign w:val="center"/>
          </w:tcPr>
          <w:p w14:paraId="4E438134" w14:textId="75CB53F5"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14</w:t>
            </w:r>
          </w:p>
        </w:tc>
        <w:tc>
          <w:tcPr>
            <w:tcW w:w="1391" w:type="dxa"/>
            <w:vAlign w:val="center"/>
          </w:tcPr>
          <w:p w14:paraId="0EC082EF" w14:textId="1460D48B"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color w:val="1A1C1E"/>
                <w:sz w:val="16"/>
                <w:szCs w:val="16"/>
              </w:rPr>
              <w:t>West Bengal</w:t>
            </w:r>
          </w:p>
        </w:tc>
        <w:tc>
          <w:tcPr>
            <w:tcW w:w="978" w:type="dxa"/>
            <w:vAlign w:val="center"/>
          </w:tcPr>
          <w:p w14:paraId="0A6BB28A" w14:textId="61C699C2"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45085.61</w:t>
            </w:r>
          </w:p>
        </w:tc>
        <w:tc>
          <w:tcPr>
            <w:tcW w:w="976" w:type="dxa"/>
            <w:vAlign w:val="center"/>
          </w:tcPr>
          <w:p w14:paraId="60AD15F2" w14:textId="1B05895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48084.65</w:t>
            </w:r>
          </w:p>
        </w:tc>
        <w:tc>
          <w:tcPr>
            <w:tcW w:w="1073" w:type="dxa"/>
            <w:vAlign w:val="center"/>
          </w:tcPr>
          <w:p w14:paraId="6B2FDF7F" w14:textId="3E726443"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51354.93</w:t>
            </w:r>
          </w:p>
        </w:tc>
        <w:tc>
          <w:tcPr>
            <w:tcW w:w="1073" w:type="dxa"/>
            <w:vAlign w:val="center"/>
          </w:tcPr>
          <w:p w14:paraId="269DEB46" w14:textId="457D24C6"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54919.64</w:t>
            </w:r>
          </w:p>
        </w:tc>
        <w:tc>
          <w:tcPr>
            <w:tcW w:w="979" w:type="dxa"/>
            <w:vAlign w:val="center"/>
          </w:tcPr>
          <w:p w14:paraId="135791B5" w14:textId="6CF88FE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58804.85</w:t>
            </w:r>
          </w:p>
        </w:tc>
        <w:tc>
          <w:tcPr>
            <w:tcW w:w="979" w:type="dxa"/>
            <w:vAlign w:val="center"/>
          </w:tcPr>
          <w:p w14:paraId="217D85DA" w14:textId="16B47D50"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63039.79</w:t>
            </w:r>
          </w:p>
        </w:tc>
        <w:tc>
          <w:tcPr>
            <w:tcW w:w="1056" w:type="dxa"/>
            <w:vAlign w:val="center"/>
          </w:tcPr>
          <w:p w14:paraId="6784BF67" w14:textId="25382022"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color w:val="1A1C1E"/>
                <w:sz w:val="16"/>
                <w:szCs w:val="16"/>
              </w:rPr>
              <w:t>276203.86</w:t>
            </w:r>
          </w:p>
        </w:tc>
      </w:tr>
      <w:tr w:rsidR="009775CB" w:rsidRPr="0078036E" w14:paraId="46E820A6" w14:textId="77777777" w:rsidTr="0049031D">
        <w:trPr>
          <w:trHeight w:val="20"/>
          <w:jc w:val="center"/>
        </w:trPr>
        <w:tc>
          <w:tcPr>
            <w:tcW w:w="421" w:type="dxa"/>
            <w:vAlign w:val="center"/>
          </w:tcPr>
          <w:p w14:paraId="63D071CA" w14:textId="5BF22B0B"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14</w:t>
            </w:r>
          </w:p>
        </w:tc>
        <w:tc>
          <w:tcPr>
            <w:tcW w:w="1391" w:type="dxa"/>
            <w:vAlign w:val="center"/>
          </w:tcPr>
          <w:p w14:paraId="4EAA4C4A" w14:textId="419A6A70" w:rsidR="009775CB" w:rsidRPr="00D01DF5" w:rsidRDefault="009775CB" w:rsidP="009775CB">
            <w:pP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Major States</w:t>
            </w:r>
          </w:p>
        </w:tc>
        <w:tc>
          <w:tcPr>
            <w:tcW w:w="978" w:type="dxa"/>
            <w:vAlign w:val="center"/>
          </w:tcPr>
          <w:p w14:paraId="763DA106" w14:textId="2D05BC2E"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558910.53</w:t>
            </w:r>
          </w:p>
        </w:tc>
        <w:tc>
          <w:tcPr>
            <w:tcW w:w="976" w:type="dxa"/>
            <w:vAlign w:val="center"/>
          </w:tcPr>
          <w:p w14:paraId="355763D5" w14:textId="5010F69E"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597071.16</w:t>
            </w:r>
          </w:p>
        </w:tc>
        <w:tc>
          <w:tcPr>
            <w:tcW w:w="1073" w:type="dxa"/>
            <w:vAlign w:val="center"/>
          </w:tcPr>
          <w:p w14:paraId="749DB792" w14:textId="35D1F74C"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638537.63</w:t>
            </w:r>
          </w:p>
        </w:tc>
        <w:tc>
          <w:tcPr>
            <w:tcW w:w="1073" w:type="dxa"/>
            <w:vAlign w:val="center"/>
          </w:tcPr>
          <w:p w14:paraId="61984A08" w14:textId="5308E7AA"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683620.90</w:t>
            </w:r>
          </w:p>
        </w:tc>
        <w:tc>
          <w:tcPr>
            <w:tcW w:w="979" w:type="dxa"/>
            <w:vAlign w:val="center"/>
          </w:tcPr>
          <w:p w14:paraId="2A5D07A0" w14:textId="17AC426C"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732664.89</w:t>
            </w:r>
          </w:p>
        </w:tc>
        <w:tc>
          <w:tcPr>
            <w:tcW w:w="979" w:type="dxa"/>
            <w:vAlign w:val="center"/>
          </w:tcPr>
          <w:p w14:paraId="4DFA3C1F" w14:textId="467CDEA8"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786050.22</w:t>
            </w:r>
          </w:p>
        </w:tc>
        <w:tc>
          <w:tcPr>
            <w:tcW w:w="1056" w:type="dxa"/>
            <w:vAlign w:val="center"/>
          </w:tcPr>
          <w:p w14:paraId="13E1578B" w14:textId="3F76C06D" w:rsidR="009775CB" w:rsidRPr="00D01DF5" w:rsidRDefault="009775CB" w:rsidP="009775CB">
            <w:pPr>
              <w:jc w:val="center"/>
              <w:rPr>
                <w:rFonts w:ascii="Times New Roman" w:hAnsi="Times New Roman" w:cs="Times New Roman"/>
                <w:color w:val="1A1C1E"/>
                <w:sz w:val="16"/>
                <w:szCs w:val="16"/>
              </w:rPr>
            </w:pPr>
            <w:r w:rsidRPr="00D01DF5">
              <w:rPr>
                <w:rFonts w:ascii="Times New Roman" w:hAnsi="Times New Roman" w:cs="Times New Roman"/>
                <w:b/>
                <w:bCs/>
                <w:color w:val="1A1C1E"/>
                <w:sz w:val="16"/>
                <w:szCs w:val="16"/>
              </w:rPr>
              <w:t>3437944.80</w:t>
            </w:r>
          </w:p>
        </w:tc>
      </w:tr>
      <w:tr w:rsidR="009775CB" w:rsidRPr="0078036E" w14:paraId="7B384FBC" w14:textId="77777777" w:rsidTr="00C55FBB">
        <w:trPr>
          <w:trHeight w:val="20"/>
          <w:jc w:val="center"/>
        </w:trPr>
        <w:tc>
          <w:tcPr>
            <w:tcW w:w="8926" w:type="dxa"/>
            <w:gridSpan w:val="9"/>
            <w:vAlign w:val="center"/>
          </w:tcPr>
          <w:p w14:paraId="1DE527E5" w14:textId="2917DEC7" w:rsidR="009775CB" w:rsidRPr="009775CB" w:rsidRDefault="009775CB" w:rsidP="009775CB">
            <w:pPr>
              <w:rPr>
                <w:rFonts w:ascii="Times New Roman" w:hAnsi="Times New Roman" w:cs="Times New Roman"/>
                <w:b/>
                <w:bCs/>
                <w:sz w:val="20"/>
                <w:szCs w:val="20"/>
              </w:rPr>
            </w:pPr>
            <w:r w:rsidRPr="00D01DF5">
              <w:rPr>
                <w:rFonts w:ascii="Times New Roman" w:hAnsi="Times New Roman" w:cs="Times New Roman"/>
                <w:b/>
                <w:bCs/>
                <w:sz w:val="20"/>
                <w:szCs w:val="20"/>
              </w:rPr>
              <w:t>Expenditure Category: Primary Education</w:t>
            </w:r>
          </w:p>
        </w:tc>
      </w:tr>
      <w:tr w:rsidR="009775CB" w:rsidRPr="0078036E" w14:paraId="7D407FB1" w14:textId="77777777" w:rsidTr="0049031D">
        <w:trPr>
          <w:trHeight w:val="20"/>
          <w:jc w:val="center"/>
        </w:trPr>
        <w:tc>
          <w:tcPr>
            <w:tcW w:w="421" w:type="dxa"/>
            <w:vAlign w:val="center"/>
          </w:tcPr>
          <w:p w14:paraId="496F1D1B" w14:textId="3D16661F"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No.</w:t>
            </w:r>
          </w:p>
        </w:tc>
        <w:tc>
          <w:tcPr>
            <w:tcW w:w="1391" w:type="dxa"/>
            <w:vAlign w:val="center"/>
          </w:tcPr>
          <w:p w14:paraId="46BC7D42" w14:textId="1F5875BA" w:rsidR="009775CB" w:rsidRPr="00D01DF5" w:rsidRDefault="009775CB" w:rsidP="009775CB">
            <w:pPr>
              <w:rPr>
                <w:rFonts w:ascii="Times New Roman" w:hAnsi="Times New Roman" w:cs="Times New Roman"/>
                <w:b/>
                <w:bCs/>
                <w:color w:val="1A1C1E"/>
                <w:sz w:val="16"/>
                <w:szCs w:val="16"/>
              </w:rPr>
            </w:pPr>
            <w:r w:rsidRPr="00BB6DC9">
              <w:rPr>
                <w:rFonts w:ascii="Times New Roman" w:hAnsi="Times New Roman" w:cs="Times New Roman"/>
                <w:b/>
                <w:bCs/>
                <w:sz w:val="16"/>
                <w:szCs w:val="16"/>
              </w:rPr>
              <w:t>State</w:t>
            </w:r>
          </w:p>
        </w:tc>
        <w:tc>
          <w:tcPr>
            <w:tcW w:w="978" w:type="dxa"/>
            <w:vAlign w:val="center"/>
          </w:tcPr>
          <w:p w14:paraId="481E2EC2" w14:textId="1FA91878"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1989-90</w:t>
            </w:r>
          </w:p>
        </w:tc>
        <w:tc>
          <w:tcPr>
            <w:tcW w:w="976" w:type="dxa"/>
            <w:vAlign w:val="center"/>
          </w:tcPr>
          <w:p w14:paraId="48F4A3E4" w14:textId="351C7A67"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1990-91</w:t>
            </w:r>
          </w:p>
        </w:tc>
        <w:tc>
          <w:tcPr>
            <w:tcW w:w="1073" w:type="dxa"/>
            <w:vAlign w:val="center"/>
          </w:tcPr>
          <w:p w14:paraId="6C402C61" w14:textId="20908DD9"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1991-92</w:t>
            </w:r>
          </w:p>
        </w:tc>
        <w:tc>
          <w:tcPr>
            <w:tcW w:w="1073" w:type="dxa"/>
            <w:vAlign w:val="center"/>
          </w:tcPr>
          <w:p w14:paraId="74F37B2C" w14:textId="649E7BCC"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1992-93</w:t>
            </w:r>
          </w:p>
        </w:tc>
        <w:tc>
          <w:tcPr>
            <w:tcW w:w="979" w:type="dxa"/>
            <w:vAlign w:val="center"/>
          </w:tcPr>
          <w:p w14:paraId="3BC94397" w14:textId="2F002344"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1993-94</w:t>
            </w:r>
          </w:p>
        </w:tc>
        <w:tc>
          <w:tcPr>
            <w:tcW w:w="979" w:type="dxa"/>
            <w:vAlign w:val="center"/>
          </w:tcPr>
          <w:p w14:paraId="3332D465" w14:textId="3355BF98"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1994-95</w:t>
            </w:r>
          </w:p>
        </w:tc>
        <w:tc>
          <w:tcPr>
            <w:tcW w:w="1056" w:type="dxa"/>
            <w:vAlign w:val="center"/>
          </w:tcPr>
          <w:p w14:paraId="400AE6AE" w14:textId="7BA40687" w:rsidR="009775CB" w:rsidRPr="00D01DF5"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16"/>
                <w:szCs w:val="16"/>
              </w:rPr>
              <w:t>1990-91 to 1994-95</w:t>
            </w:r>
          </w:p>
        </w:tc>
      </w:tr>
      <w:tr w:rsidR="009775CB" w:rsidRPr="0078036E" w14:paraId="1564D575" w14:textId="77777777" w:rsidTr="0049031D">
        <w:trPr>
          <w:trHeight w:val="20"/>
          <w:jc w:val="center"/>
        </w:trPr>
        <w:tc>
          <w:tcPr>
            <w:tcW w:w="421" w:type="dxa"/>
            <w:vAlign w:val="center"/>
          </w:tcPr>
          <w:p w14:paraId="673644B7" w14:textId="585DAD63"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w:t>
            </w:r>
          </w:p>
        </w:tc>
        <w:tc>
          <w:tcPr>
            <w:tcW w:w="1391" w:type="dxa"/>
            <w:vAlign w:val="center"/>
          </w:tcPr>
          <w:p w14:paraId="27F708A2" w14:textId="1CD19E89"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sz w:val="16"/>
                <w:szCs w:val="16"/>
              </w:rPr>
              <w:t>Andhra Pradesh</w:t>
            </w:r>
          </w:p>
        </w:tc>
        <w:tc>
          <w:tcPr>
            <w:tcW w:w="978" w:type="dxa"/>
            <w:vAlign w:val="center"/>
          </w:tcPr>
          <w:p w14:paraId="4B12F4C2" w14:textId="30BBB30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34135.19</w:t>
            </w:r>
          </w:p>
        </w:tc>
        <w:tc>
          <w:tcPr>
            <w:tcW w:w="976" w:type="dxa"/>
            <w:vAlign w:val="center"/>
          </w:tcPr>
          <w:p w14:paraId="3144A260" w14:textId="2BCF00E9"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36627.32</w:t>
            </w:r>
          </w:p>
        </w:tc>
        <w:tc>
          <w:tcPr>
            <w:tcW w:w="1073" w:type="dxa"/>
            <w:vAlign w:val="center"/>
          </w:tcPr>
          <w:p w14:paraId="311605EE" w14:textId="3F62B26D"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39301.40</w:t>
            </w:r>
          </w:p>
        </w:tc>
        <w:tc>
          <w:tcPr>
            <w:tcW w:w="1073" w:type="dxa"/>
            <w:vAlign w:val="center"/>
          </w:tcPr>
          <w:p w14:paraId="34EE591F" w14:textId="4863D9E3"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42170.70</w:t>
            </w:r>
          </w:p>
        </w:tc>
        <w:tc>
          <w:tcPr>
            <w:tcW w:w="979" w:type="dxa"/>
            <w:vAlign w:val="center"/>
          </w:tcPr>
          <w:p w14:paraId="36DDD60D" w14:textId="39AAAE96"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45249.48</w:t>
            </w:r>
          </w:p>
        </w:tc>
        <w:tc>
          <w:tcPr>
            <w:tcW w:w="979" w:type="dxa"/>
            <w:vAlign w:val="center"/>
          </w:tcPr>
          <w:p w14:paraId="776977C0" w14:textId="63F87127"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48553.03</w:t>
            </w:r>
          </w:p>
        </w:tc>
        <w:tc>
          <w:tcPr>
            <w:tcW w:w="1056" w:type="dxa"/>
            <w:vAlign w:val="center"/>
          </w:tcPr>
          <w:p w14:paraId="24240872" w14:textId="4D19DC0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211901.93</w:t>
            </w:r>
          </w:p>
        </w:tc>
      </w:tr>
      <w:tr w:rsidR="009775CB" w:rsidRPr="0078036E" w14:paraId="2F757DC9" w14:textId="77777777" w:rsidTr="0049031D">
        <w:trPr>
          <w:trHeight w:val="20"/>
          <w:jc w:val="center"/>
        </w:trPr>
        <w:tc>
          <w:tcPr>
            <w:tcW w:w="421" w:type="dxa"/>
            <w:vAlign w:val="center"/>
          </w:tcPr>
          <w:p w14:paraId="2128B48D" w14:textId="4967569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w:t>
            </w:r>
          </w:p>
        </w:tc>
        <w:tc>
          <w:tcPr>
            <w:tcW w:w="1391" w:type="dxa"/>
            <w:vAlign w:val="center"/>
          </w:tcPr>
          <w:p w14:paraId="31A34DE8" w14:textId="1C72D9F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Bihar</w:t>
            </w:r>
          </w:p>
        </w:tc>
        <w:tc>
          <w:tcPr>
            <w:tcW w:w="978" w:type="dxa"/>
            <w:vAlign w:val="center"/>
          </w:tcPr>
          <w:p w14:paraId="60F07819" w14:textId="7D21C30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44152.22</w:t>
            </w:r>
          </w:p>
        </w:tc>
        <w:tc>
          <w:tcPr>
            <w:tcW w:w="976" w:type="dxa"/>
            <w:vAlign w:val="center"/>
          </w:tcPr>
          <w:p w14:paraId="043C477A" w14:textId="1343067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46260.36</w:t>
            </w:r>
          </w:p>
        </w:tc>
        <w:tc>
          <w:tcPr>
            <w:tcW w:w="1073" w:type="dxa"/>
            <w:vAlign w:val="center"/>
          </w:tcPr>
          <w:p w14:paraId="178ED87B" w14:textId="0D5C861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48469.15</w:t>
            </w:r>
          </w:p>
        </w:tc>
        <w:tc>
          <w:tcPr>
            <w:tcW w:w="1073" w:type="dxa"/>
            <w:vAlign w:val="center"/>
          </w:tcPr>
          <w:p w14:paraId="5E13B342" w14:textId="3191A97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50763.42</w:t>
            </w:r>
          </w:p>
        </w:tc>
        <w:tc>
          <w:tcPr>
            <w:tcW w:w="979" w:type="dxa"/>
            <w:vAlign w:val="center"/>
          </w:tcPr>
          <w:p w14:paraId="34D0DD3E" w14:textId="3C1E935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53208.18</w:t>
            </w:r>
          </w:p>
        </w:tc>
        <w:tc>
          <w:tcPr>
            <w:tcW w:w="979" w:type="dxa"/>
            <w:vAlign w:val="center"/>
          </w:tcPr>
          <w:p w14:paraId="4BC46D70" w14:textId="7C07666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55748.71</w:t>
            </w:r>
          </w:p>
        </w:tc>
        <w:tc>
          <w:tcPr>
            <w:tcW w:w="1056" w:type="dxa"/>
            <w:vAlign w:val="center"/>
          </w:tcPr>
          <w:p w14:paraId="49A73A54" w14:textId="42EFF8D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254469.82</w:t>
            </w:r>
          </w:p>
        </w:tc>
      </w:tr>
      <w:tr w:rsidR="009775CB" w:rsidRPr="0078036E" w14:paraId="3D2C5656" w14:textId="77777777" w:rsidTr="0049031D">
        <w:trPr>
          <w:trHeight w:val="20"/>
          <w:jc w:val="center"/>
        </w:trPr>
        <w:tc>
          <w:tcPr>
            <w:tcW w:w="421" w:type="dxa"/>
            <w:vAlign w:val="center"/>
          </w:tcPr>
          <w:p w14:paraId="1F7133CD" w14:textId="68F8E74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w:t>
            </w:r>
          </w:p>
        </w:tc>
        <w:tc>
          <w:tcPr>
            <w:tcW w:w="1391" w:type="dxa"/>
            <w:vAlign w:val="center"/>
          </w:tcPr>
          <w:p w14:paraId="54DD000F" w14:textId="2FCE4872"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Gujarat</w:t>
            </w:r>
          </w:p>
        </w:tc>
        <w:tc>
          <w:tcPr>
            <w:tcW w:w="978" w:type="dxa"/>
            <w:vAlign w:val="center"/>
          </w:tcPr>
          <w:p w14:paraId="3D582F51" w14:textId="17BDFE3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31622.20</w:t>
            </w:r>
          </w:p>
        </w:tc>
        <w:tc>
          <w:tcPr>
            <w:tcW w:w="976" w:type="dxa"/>
            <w:vAlign w:val="center"/>
          </w:tcPr>
          <w:p w14:paraId="7B1C1788" w14:textId="6ECED57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33385.49</w:t>
            </w:r>
          </w:p>
        </w:tc>
        <w:tc>
          <w:tcPr>
            <w:tcW w:w="1073" w:type="dxa"/>
            <w:vAlign w:val="center"/>
          </w:tcPr>
          <w:p w14:paraId="7FBFA5D4" w14:textId="0FE0A46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35247.10</w:t>
            </w:r>
          </w:p>
        </w:tc>
        <w:tc>
          <w:tcPr>
            <w:tcW w:w="1073" w:type="dxa"/>
            <w:vAlign w:val="center"/>
          </w:tcPr>
          <w:p w14:paraId="7649A5BB" w14:textId="3810D43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37212.51</w:t>
            </w:r>
          </w:p>
        </w:tc>
        <w:tc>
          <w:tcPr>
            <w:tcW w:w="979" w:type="dxa"/>
            <w:vAlign w:val="center"/>
          </w:tcPr>
          <w:p w14:paraId="0267F08C" w14:textId="78AA546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39287.52</w:t>
            </w:r>
          </w:p>
        </w:tc>
        <w:tc>
          <w:tcPr>
            <w:tcW w:w="979" w:type="dxa"/>
            <w:vAlign w:val="center"/>
          </w:tcPr>
          <w:p w14:paraId="6883D6D7" w14:textId="397457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41478.23</w:t>
            </w:r>
          </w:p>
        </w:tc>
        <w:tc>
          <w:tcPr>
            <w:tcW w:w="1056" w:type="dxa"/>
            <w:vAlign w:val="center"/>
          </w:tcPr>
          <w:p w14:paraId="24D5E7DA" w14:textId="3F46BA4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186610.85</w:t>
            </w:r>
          </w:p>
        </w:tc>
      </w:tr>
      <w:tr w:rsidR="009775CB" w:rsidRPr="0078036E" w14:paraId="51A79564" w14:textId="77777777" w:rsidTr="0049031D">
        <w:trPr>
          <w:trHeight w:val="20"/>
          <w:jc w:val="center"/>
        </w:trPr>
        <w:tc>
          <w:tcPr>
            <w:tcW w:w="421" w:type="dxa"/>
            <w:vAlign w:val="center"/>
          </w:tcPr>
          <w:p w14:paraId="5FE23375" w14:textId="251B0B2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w:t>
            </w:r>
          </w:p>
        </w:tc>
        <w:tc>
          <w:tcPr>
            <w:tcW w:w="1391" w:type="dxa"/>
            <w:vAlign w:val="center"/>
          </w:tcPr>
          <w:p w14:paraId="03DD025F" w14:textId="19887BC4"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Haryana</w:t>
            </w:r>
          </w:p>
        </w:tc>
        <w:tc>
          <w:tcPr>
            <w:tcW w:w="978" w:type="dxa"/>
            <w:vAlign w:val="center"/>
          </w:tcPr>
          <w:p w14:paraId="50B0BB72" w14:textId="2400CD7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7897.48</w:t>
            </w:r>
          </w:p>
        </w:tc>
        <w:tc>
          <w:tcPr>
            <w:tcW w:w="976" w:type="dxa"/>
            <w:vAlign w:val="center"/>
          </w:tcPr>
          <w:p w14:paraId="2713E273" w14:textId="4DD64D9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8387.48</w:t>
            </w:r>
          </w:p>
        </w:tc>
        <w:tc>
          <w:tcPr>
            <w:tcW w:w="1073" w:type="dxa"/>
            <w:vAlign w:val="center"/>
          </w:tcPr>
          <w:p w14:paraId="40E32E0B" w14:textId="316B055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8907.88</w:t>
            </w:r>
          </w:p>
        </w:tc>
        <w:tc>
          <w:tcPr>
            <w:tcW w:w="1073" w:type="dxa"/>
            <w:vAlign w:val="center"/>
          </w:tcPr>
          <w:p w14:paraId="666A34C9" w14:textId="71B823D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9460.57</w:t>
            </w:r>
          </w:p>
        </w:tc>
        <w:tc>
          <w:tcPr>
            <w:tcW w:w="979" w:type="dxa"/>
            <w:vAlign w:val="center"/>
          </w:tcPr>
          <w:p w14:paraId="1377E63A" w14:textId="404384A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10047.56</w:t>
            </w:r>
          </w:p>
        </w:tc>
        <w:tc>
          <w:tcPr>
            <w:tcW w:w="979" w:type="dxa"/>
            <w:vAlign w:val="center"/>
          </w:tcPr>
          <w:p w14:paraId="79C8056D" w14:textId="7946136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10670.96</w:t>
            </w:r>
          </w:p>
        </w:tc>
        <w:tc>
          <w:tcPr>
            <w:tcW w:w="1056" w:type="dxa"/>
            <w:vAlign w:val="center"/>
          </w:tcPr>
          <w:p w14:paraId="098515F2" w14:textId="10632A7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47474.45</w:t>
            </w:r>
          </w:p>
        </w:tc>
      </w:tr>
      <w:tr w:rsidR="009775CB" w:rsidRPr="0078036E" w14:paraId="5BFCC610" w14:textId="77777777" w:rsidTr="0049031D">
        <w:trPr>
          <w:trHeight w:val="20"/>
          <w:jc w:val="center"/>
        </w:trPr>
        <w:tc>
          <w:tcPr>
            <w:tcW w:w="421" w:type="dxa"/>
            <w:vAlign w:val="center"/>
          </w:tcPr>
          <w:p w14:paraId="0E968F77" w14:textId="0B47406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w:t>
            </w:r>
          </w:p>
        </w:tc>
        <w:tc>
          <w:tcPr>
            <w:tcW w:w="1391" w:type="dxa"/>
            <w:vAlign w:val="center"/>
          </w:tcPr>
          <w:p w14:paraId="410A6F6B" w14:textId="477DD102"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Karnataka</w:t>
            </w:r>
          </w:p>
        </w:tc>
        <w:tc>
          <w:tcPr>
            <w:tcW w:w="978" w:type="dxa"/>
            <w:vAlign w:val="center"/>
          </w:tcPr>
          <w:p w14:paraId="486135A3" w14:textId="40C818A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30903.00</w:t>
            </w:r>
          </w:p>
        </w:tc>
        <w:tc>
          <w:tcPr>
            <w:tcW w:w="976" w:type="dxa"/>
            <w:vAlign w:val="center"/>
          </w:tcPr>
          <w:p w14:paraId="545378EB" w14:textId="5766EA8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32752.22</w:t>
            </w:r>
          </w:p>
        </w:tc>
        <w:tc>
          <w:tcPr>
            <w:tcW w:w="1073" w:type="dxa"/>
            <w:vAlign w:val="center"/>
          </w:tcPr>
          <w:p w14:paraId="2152ACE2" w14:textId="2241174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34712.11</w:t>
            </w:r>
          </w:p>
        </w:tc>
        <w:tc>
          <w:tcPr>
            <w:tcW w:w="1073" w:type="dxa"/>
            <w:vAlign w:val="center"/>
          </w:tcPr>
          <w:p w14:paraId="7BBF27F3" w14:textId="3627333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36789.27</w:t>
            </w:r>
          </w:p>
        </w:tc>
        <w:tc>
          <w:tcPr>
            <w:tcW w:w="979" w:type="dxa"/>
            <w:vAlign w:val="center"/>
          </w:tcPr>
          <w:p w14:paraId="6F6C8AEA" w14:textId="18E4D42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38990.73</w:t>
            </w:r>
          </w:p>
        </w:tc>
        <w:tc>
          <w:tcPr>
            <w:tcW w:w="979" w:type="dxa"/>
            <w:vAlign w:val="center"/>
          </w:tcPr>
          <w:p w14:paraId="321A13BE" w14:textId="1DAC53E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41323.92</w:t>
            </w:r>
          </w:p>
        </w:tc>
        <w:tc>
          <w:tcPr>
            <w:tcW w:w="1056" w:type="dxa"/>
            <w:vAlign w:val="center"/>
          </w:tcPr>
          <w:p w14:paraId="2D7426AF" w14:textId="771ACBE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184568.24</w:t>
            </w:r>
          </w:p>
        </w:tc>
      </w:tr>
      <w:tr w:rsidR="009775CB" w:rsidRPr="0078036E" w14:paraId="23567CE2" w14:textId="77777777" w:rsidTr="0049031D">
        <w:trPr>
          <w:trHeight w:val="20"/>
          <w:jc w:val="center"/>
        </w:trPr>
        <w:tc>
          <w:tcPr>
            <w:tcW w:w="421" w:type="dxa"/>
            <w:vAlign w:val="center"/>
          </w:tcPr>
          <w:p w14:paraId="41D931C6" w14:textId="4801B44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w:t>
            </w:r>
          </w:p>
        </w:tc>
        <w:tc>
          <w:tcPr>
            <w:tcW w:w="1391" w:type="dxa"/>
            <w:vAlign w:val="center"/>
          </w:tcPr>
          <w:p w14:paraId="44574488" w14:textId="046E0141"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Kerala</w:t>
            </w:r>
          </w:p>
        </w:tc>
        <w:tc>
          <w:tcPr>
            <w:tcW w:w="978" w:type="dxa"/>
            <w:vAlign w:val="center"/>
          </w:tcPr>
          <w:p w14:paraId="62ECF9CF" w14:textId="0B32DEF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26565.79</w:t>
            </w:r>
          </w:p>
        </w:tc>
        <w:tc>
          <w:tcPr>
            <w:tcW w:w="976" w:type="dxa"/>
            <w:vAlign w:val="center"/>
          </w:tcPr>
          <w:p w14:paraId="38386353" w14:textId="399FDCE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26739.17</w:t>
            </w:r>
          </w:p>
        </w:tc>
        <w:tc>
          <w:tcPr>
            <w:tcW w:w="1073" w:type="dxa"/>
            <w:vAlign w:val="center"/>
          </w:tcPr>
          <w:p w14:paraId="66473AEC" w14:textId="44EB695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26913.69</w:t>
            </w:r>
          </w:p>
        </w:tc>
        <w:tc>
          <w:tcPr>
            <w:tcW w:w="1073" w:type="dxa"/>
            <w:vAlign w:val="center"/>
          </w:tcPr>
          <w:p w14:paraId="55AC4C6B" w14:textId="1634B7A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27089.35</w:t>
            </w:r>
          </w:p>
        </w:tc>
        <w:tc>
          <w:tcPr>
            <w:tcW w:w="979" w:type="dxa"/>
            <w:vAlign w:val="center"/>
          </w:tcPr>
          <w:p w14:paraId="4DFC9929" w14:textId="7F771A7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27266.15</w:t>
            </w:r>
          </w:p>
        </w:tc>
        <w:tc>
          <w:tcPr>
            <w:tcW w:w="979" w:type="dxa"/>
            <w:vAlign w:val="center"/>
          </w:tcPr>
          <w:p w14:paraId="6E8C9022" w14:textId="1740724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27444.10</w:t>
            </w:r>
          </w:p>
        </w:tc>
        <w:tc>
          <w:tcPr>
            <w:tcW w:w="1056" w:type="dxa"/>
            <w:vAlign w:val="center"/>
          </w:tcPr>
          <w:p w14:paraId="21826B2E" w14:textId="1E6BBB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135452.46</w:t>
            </w:r>
          </w:p>
        </w:tc>
      </w:tr>
      <w:tr w:rsidR="009775CB" w:rsidRPr="0078036E" w14:paraId="2402F3DA" w14:textId="77777777" w:rsidTr="0049031D">
        <w:trPr>
          <w:trHeight w:val="20"/>
          <w:jc w:val="center"/>
        </w:trPr>
        <w:tc>
          <w:tcPr>
            <w:tcW w:w="421" w:type="dxa"/>
            <w:vAlign w:val="center"/>
          </w:tcPr>
          <w:p w14:paraId="5EB54067" w14:textId="2051A7E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w:t>
            </w:r>
          </w:p>
        </w:tc>
        <w:tc>
          <w:tcPr>
            <w:tcW w:w="1391" w:type="dxa"/>
            <w:vAlign w:val="center"/>
          </w:tcPr>
          <w:p w14:paraId="6A7499F7" w14:textId="77A3C546"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Madhya Pradesh</w:t>
            </w:r>
          </w:p>
        </w:tc>
        <w:tc>
          <w:tcPr>
            <w:tcW w:w="978" w:type="dxa"/>
            <w:vAlign w:val="center"/>
          </w:tcPr>
          <w:p w14:paraId="16437DD0" w14:textId="60D405A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36241.08</w:t>
            </w:r>
          </w:p>
        </w:tc>
        <w:tc>
          <w:tcPr>
            <w:tcW w:w="976" w:type="dxa"/>
            <w:vAlign w:val="center"/>
          </w:tcPr>
          <w:p w14:paraId="363E4950" w14:textId="40E93E1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38655.79</w:t>
            </w:r>
          </w:p>
        </w:tc>
        <w:tc>
          <w:tcPr>
            <w:tcW w:w="1073" w:type="dxa"/>
            <w:vAlign w:val="center"/>
          </w:tcPr>
          <w:p w14:paraId="0E8F571C" w14:textId="4F00E10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41231.39</w:t>
            </w:r>
          </w:p>
        </w:tc>
        <w:tc>
          <w:tcPr>
            <w:tcW w:w="1073" w:type="dxa"/>
            <w:vAlign w:val="center"/>
          </w:tcPr>
          <w:p w14:paraId="2C0D86DE" w14:textId="6FC6E6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43978.60</w:t>
            </w:r>
          </w:p>
        </w:tc>
        <w:tc>
          <w:tcPr>
            <w:tcW w:w="979" w:type="dxa"/>
            <w:vAlign w:val="center"/>
          </w:tcPr>
          <w:p w14:paraId="1DFBC73F" w14:textId="3C7ECAE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46908.85</w:t>
            </w:r>
          </w:p>
        </w:tc>
        <w:tc>
          <w:tcPr>
            <w:tcW w:w="979" w:type="dxa"/>
            <w:vAlign w:val="center"/>
          </w:tcPr>
          <w:p w14:paraId="5F177222" w14:textId="6739F39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50034.34</w:t>
            </w:r>
          </w:p>
        </w:tc>
        <w:tc>
          <w:tcPr>
            <w:tcW w:w="1056" w:type="dxa"/>
            <w:vAlign w:val="center"/>
          </w:tcPr>
          <w:p w14:paraId="21826FAD" w14:textId="3542467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220808.97</w:t>
            </w:r>
          </w:p>
        </w:tc>
      </w:tr>
      <w:tr w:rsidR="009775CB" w:rsidRPr="0078036E" w14:paraId="0D2FF429" w14:textId="77777777" w:rsidTr="0049031D">
        <w:trPr>
          <w:trHeight w:val="20"/>
          <w:jc w:val="center"/>
        </w:trPr>
        <w:tc>
          <w:tcPr>
            <w:tcW w:w="421" w:type="dxa"/>
            <w:vAlign w:val="center"/>
          </w:tcPr>
          <w:p w14:paraId="6D9DC3BD" w14:textId="03B67F3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w:t>
            </w:r>
          </w:p>
        </w:tc>
        <w:tc>
          <w:tcPr>
            <w:tcW w:w="1391" w:type="dxa"/>
            <w:vAlign w:val="center"/>
          </w:tcPr>
          <w:p w14:paraId="586B212B" w14:textId="0B3B5546"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Maharashtra</w:t>
            </w:r>
          </w:p>
        </w:tc>
        <w:tc>
          <w:tcPr>
            <w:tcW w:w="978" w:type="dxa"/>
            <w:vAlign w:val="center"/>
          </w:tcPr>
          <w:p w14:paraId="20E46409" w14:textId="7E430E4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56744.97</w:t>
            </w:r>
          </w:p>
        </w:tc>
        <w:tc>
          <w:tcPr>
            <w:tcW w:w="976" w:type="dxa"/>
            <w:vAlign w:val="center"/>
          </w:tcPr>
          <w:p w14:paraId="74DE78F2" w14:textId="6D88C92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60223.57</w:t>
            </w:r>
          </w:p>
        </w:tc>
        <w:tc>
          <w:tcPr>
            <w:tcW w:w="1073" w:type="dxa"/>
            <w:vAlign w:val="center"/>
          </w:tcPr>
          <w:p w14:paraId="15D2C74A" w14:textId="339A096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63915.42</w:t>
            </w:r>
          </w:p>
        </w:tc>
        <w:tc>
          <w:tcPr>
            <w:tcW w:w="1073" w:type="dxa"/>
            <w:vAlign w:val="center"/>
          </w:tcPr>
          <w:p w14:paraId="52342099" w14:textId="37688B3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67833.59</w:t>
            </w:r>
          </w:p>
        </w:tc>
        <w:tc>
          <w:tcPr>
            <w:tcW w:w="979" w:type="dxa"/>
            <w:vAlign w:val="center"/>
          </w:tcPr>
          <w:p w14:paraId="34D368B2" w14:textId="40B1970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71991.95</w:t>
            </w:r>
          </w:p>
        </w:tc>
        <w:tc>
          <w:tcPr>
            <w:tcW w:w="979" w:type="dxa"/>
            <w:vAlign w:val="center"/>
          </w:tcPr>
          <w:p w14:paraId="2D6449B6" w14:textId="77FC679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76405.23</w:t>
            </w:r>
          </w:p>
        </w:tc>
        <w:tc>
          <w:tcPr>
            <w:tcW w:w="1056" w:type="dxa"/>
            <w:vAlign w:val="center"/>
          </w:tcPr>
          <w:p w14:paraId="7B6C84CF" w14:textId="291E3F6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340369.77</w:t>
            </w:r>
          </w:p>
        </w:tc>
      </w:tr>
      <w:tr w:rsidR="009775CB" w:rsidRPr="0078036E" w14:paraId="5D68AD37" w14:textId="77777777" w:rsidTr="0049031D">
        <w:trPr>
          <w:trHeight w:val="20"/>
          <w:jc w:val="center"/>
        </w:trPr>
        <w:tc>
          <w:tcPr>
            <w:tcW w:w="421" w:type="dxa"/>
            <w:vAlign w:val="center"/>
          </w:tcPr>
          <w:p w14:paraId="5F0A963D" w14:textId="13CA018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w:t>
            </w:r>
          </w:p>
        </w:tc>
        <w:tc>
          <w:tcPr>
            <w:tcW w:w="1391" w:type="dxa"/>
            <w:vAlign w:val="center"/>
          </w:tcPr>
          <w:p w14:paraId="343297E0" w14:textId="47A97D1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Orissa</w:t>
            </w:r>
          </w:p>
        </w:tc>
        <w:tc>
          <w:tcPr>
            <w:tcW w:w="978" w:type="dxa"/>
            <w:vAlign w:val="center"/>
          </w:tcPr>
          <w:p w14:paraId="13F92D91" w14:textId="4C31E96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16322.66</w:t>
            </w:r>
          </w:p>
        </w:tc>
        <w:tc>
          <w:tcPr>
            <w:tcW w:w="976" w:type="dxa"/>
            <w:vAlign w:val="center"/>
          </w:tcPr>
          <w:p w14:paraId="5955C833" w14:textId="31D2DCE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17960.72</w:t>
            </w:r>
          </w:p>
        </w:tc>
        <w:tc>
          <w:tcPr>
            <w:tcW w:w="1073" w:type="dxa"/>
            <w:vAlign w:val="center"/>
          </w:tcPr>
          <w:p w14:paraId="4AEE3307" w14:textId="0172036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19763.17</w:t>
            </w:r>
          </w:p>
        </w:tc>
        <w:tc>
          <w:tcPr>
            <w:tcW w:w="1073" w:type="dxa"/>
            <w:vAlign w:val="center"/>
          </w:tcPr>
          <w:p w14:paraId="2F287FF7" w14:textId="0DFA678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21746.50</w:t>
            </w:r>
          </w:p>
        </w:tc>
        <w:tc>
          <w:tcPr>
            <w:tcW w:w="979" w:type="dxa"/>
            <w:vAlign w:val="center"/>
          </w:tcPr>
          <w:p w14:paraId="3FC1FA33" w14:textId="5A638F3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23928.88</w:t>
            </w:r>
          </w:p>
        </w:tc>
        <w:tc>
          <w:tcPr>
            <w:tcW w:w="979" w:type="dxa"/>
            <w:vAlign w:val="center"/>
          </w:tcPr>
          <w:p w14:paraId="0FA85DB5" w14:textId="387969F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26330.26</w:t>
            </w:r>
          </w:p>
        </w:tc>
        <w:tc>
          <w:tcPr>
            <w:tcW w:w="1056" w:type="dxa"/>
            <w:vAlign w:val="center"/>
          </w:tcPr>
          <w:p w14:paraId="491FA0CD" w14:textId="24E3D19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109729.54</w:t>
            </w:r>
          </w:p>
        </w:tc>
      </w:tr>
      <w:tr w:rsidR="009775CB" w:rsidRPr="0078036E" w14:paraId="54F1EDA9" w14:textId="77777777" w:rsidTr="0049031D">
        <w:trPr>
          <w:trHeight w:val="20"/>
          <w:jc w:val="center"/>
        </w:trPr>
        <w:tc>
          <w:tcPr>
            <w:tcW w:w="421" w:type="dxa"/>
            <w:vAlign w:val="center"/>
          </w:tcPr>
          <w:p w14:paraId="0C76B8E9" w14:textId="603742E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w:t>
            </w:r>
          </w:p>
        </w:tc>
        <w:tc>
          <w:tcPr>
            <w:tcW w:w="1391" w:type="dxa"/>
            <w:vAlign w:val="center"/>
          </w:tcPr>
          <w:p w14:paraId="41A07F1D" w14:textId="430FC329"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Punjab</w:t>
            </w:r>
          </w:p>
        </w:tc>
        <w:tc>
          <w:tcPr>
            <w:tcW w:w="978" w:type="dxa"/>
            <w:vAlign w:val="center"/>
          </w:tcPr>
          <w:p w14:paraId="4539456A" w14:textId="4EBECAC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10960.90</w:t>
            </w:r>
          </w:p>
        </w:tc>
        <w:tc>
          <w:tcPr>
            <w:tcW w:w="976" w:type="dxa"/>
            <w:vAlign w:val="center"/>
          </w:tcPr>
          <w:p w14:paraId="4128D118" w14:textId="0876B1D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11540.85</w:t>
            </w:r>
          </w:p>
        </w:tc>
        <w:tc>
          <w:tcPr>
            <w:tcW w:w="1073" w:type="dxa"/>
            <w:vAlign w:val="center"/>
          </w:tcPr>
          <w:p w14:paraId="55EA5A89" w14:textId="4C91C57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12151.48</w:t>
            </w:r>
          </w:p>
        </w:tc>
        <w:tc>
          <w:tcPr>
            <w:tcW w:w="1073" w:type="dxa"/>
            <w:vAlign w:val="center"/>
          </w:tcPr>
          <w:p w14:paraId="1AA02B4A" w14:textId="0F508AA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12794.43</w:t>
            </w:r>
          </w:p>
        </w:tc>
        <w:tc>
          <w:tcPr>
            <w:tcW w:w="979" w:type="dxa"/>
            <w:vAlign w:val="center"/>
          </w:tcPr>
          <w:p w14:paraId="0DA9707B" w14:textId="1FE49D5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13471.40</w:t>
            </w:r>
          </w:p>
        </w:tc>
        <w:tc>
          <w:tcPr>
            <w:tcW w:w="979" w:type="dxa"/>
            <w:vAlign w:val="center"/>
          </w:tcPr>
          <w:p w14:paraId="384CD3CF" w14:textId="2073BBB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14184.18</w:t>
            </w:r>
          </w:p>
        </w:tc>
        <w:tc>
          <w:tcPr>
            <w:tcW w:w="1056" w:type="dxa"/>
            <w:vAlign w:val="center"/>
          </w:tcPr>
          <w:p w14:paraId="76667DB8" w14:textId="12F5110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64142.34</w:t>
            </w:r>
          </w:p>
        </w:tc>
      </w:tr>
      <w:tr w:rsidR="009775CB" w:rsidRPr="0078036E" w14:paraId="562E92E9" w14:textId="77777777" w:rsidTr="0049031D">
        <w:trPr>
          <w:trHeight w:val="20"/>
          <w:jc w:val="center"/>
        </w:trPr>
        <w:tc>
          <w:tcPr>
            <w:tcW w:w="421" w:type="dxa"/>
            <w:vAlign w:val="center"/>
          </w:tcPr>
          <w:p w14:paraId="0E71985F" w14:textId="53C6CF4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w:t>
            </w:r>
          </w:p>
        </w:tc>
        <w:tc>
          <w:tcPr>
            <w:tcW w:w="1391" w:type="dxa"/>
            <w:vAlign w:val="center"/>
          </w:tcPr>
          <w:p w14:paraId="36EF2A89" w14:textId="0D0BDB4D"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Rajasthan</w:t>
            </w:r>
          </w:p>
        </w:tc>
        <w:tc>
          <w:tcPr>
            <w:tcW w:w="978" w:type="dxa"/>
            <w:vAlign w:val="center"/>
          </w:tcPr>
          <w:p w14:paraId="103FA230" w14:textId="1AE8C50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24669.53</w:t>
            </w:r>
          </w:p>
        </w:tc>
        <w:tc>
          <w:tcPr>
            <w:tcW w:w="976" w:type="dxa"/>
            <w:vAlign w:val="center"/>
          </w:tcPr>
          <w:p w14:paraId="743DCBCC" w14:textId="6EDB964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26473.85</w:t>
            </w:r>
          </w:p>
        </w:tc>
        <w:tc>
          <w:tcPr>
            <w:tcW w:w="1073" w:type="dxa"/>
            <w:vAlign w:val="center"/>
          </w:tcPr>
          <w:p w14:paraId="01C05271" w14:textId="792006F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28410.13</w:t>
            </w:r>
          </w:p>
        </w:tc>
        <w:tc>
          <w:tcPr>
            <w:tcW w:w="1073" w:type="dxa"/>
            <w:vAlign w:val="center"/>
          </w:tcPr>
          <w:p w14:paraId="4A2759F2" w14:textId="5CB90DE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30488.04</w:t>
            </w:r>
          </w:p>
        </w:tc>
        <w:tc>
          <w:tcPr>
            <w:tcW w:w="979" w:type="dxa"/>
            <w:vAlign w:val="center"/>
          </w:tcPr>
          <w:p w14:paraId="62B268CA" w14:textId="4257F3D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32717.92</w:t>
            </w:r>
          </w:p>
        </w:tc>
        <w:tc>
          <w:tcPr>
            <w:tcW w:w="979" w:type="dxa"/>
            <w:vAlign w:val="center"/>
          </w:tcPr>
          <w:p w14:paraId="716AEFFC" w14:textId="4333836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35110.90</w:t>
            </w:r>
          </w:p>
        </w:tc>
        <w:tc>
          <w:tcPr>
            <w:tcW w:w="1056" w:type="dxa"/>
            <w:vAlign w:val="center"/>
          </w:tcPr>
          <w:p w14:paraId="2E859840" w14:textId="2A442A7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153200.84</w:t>
            </w:r>
          </w:p>
        </w:tc>
      </w:tr>
      <w:tr w:rsidR="009775CB" w:rsidRPr="0078036E" w14:paraId="0A259E7D" w14:textId="77777777" w:rsidTr="0049031D">
        <w:trPr>
          <w:trHeight w:val="20"/>
          <w:jc w:val="center"/>
        </w:trPr>
        <w:tc>
          <w:tcPr>
            <w:tcW w:w="421" w:type="dxa"/>
            <w:vAlign w:val="center"/>
          </w:tcPr>
          <w:p w14:paraId="6284D32F" w14:textId="603DDBB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w:t>
            </w:r>
          </w:p>
        </w:tc>
        <w:tc>
          <w:tcPr>
            <w:tcW w:w="1391" w:type="dxa"/>
            <w:vAlign w:val="center"/>
          </w:tcPr>
          <w:p w14:paraId="1CA6AB16" w14:textId="402279D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Tamil Nadu</w:t>
            </w:r>
          </w:p>
        </w:tc>
        <w:tc>
          <w:tcPr>
            <w:tcW w:w="978" w:type="dxa"/>
            <w:vAlign w:val="center"/>
          </w:tcPr>
          <w:p w14:paraId="40FE2BE1" w14:textId="05AA2A5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42828.95</w:t>
            </w:r>
          </w:p>
        </w:tc>
        <w:tc>
          <w:tcPr>
            <w:tcW w:w="976" w:type="dxa"/>
            <w:vAlign w:val="center"/>
          </w:tcPr>
          <w:p w14:paraId="71E63C1D" w14:textId="6C272CA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46637.86</w:t>
            </w:r>
          </w:p>
        </w:tc>
        <w:tc>
          <w:tcPr>
            <w:tcW w:w="1073" w:type="dxa"/>
            <w:vAlign w:val="center"/>
          </w:tcPr>
          <w:p w14:paraId="289D1B86" w14:textId="35E84BA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50785.50</w:t>
            </w:r>
          </w:p>
        </w:tc>
        <w:tc>
          <w:tcPr>
            <w:tcW w:w="1073" w:type="dxa"/>
            <w:vAlign w:val="center"/>
          </w:tcPr>
          <w:p w14:paraId="2E35A83E" w14:textId="2BABD30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55302.01</w:t>
            </w:r>
          </w:p>
        </w:tc>
        <w:tc>
          <w:tcPr>
            <w:tcW w:w="979" w:type="dxa"/>
            <w:vAlign w:val="center"/>
          </w:tcPr>
          <w:p w14:paraId="5B840DB7" w14:textId="79CBDA0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60220.18</w:t>
            </w:r>
          </w:p>
        </w:tc>
        <w:tc>
          <w:tcPr>
            <w:tcW w:w="979" w:type="dxa"/>
            <w:vAlign w:val="center"/>
          </w:tcPr>
          <w:p w14:paraId="740F1259" w14:textId="1C7855F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65575.73</w:t>
            </w:r>
          </w:p>
        </w:tc>
        <w:tc>
          <w:tcPr>
            <w:tcW w:w="1056" w:type="dxa"/>
            <w:vAlign w:val="center"/>
          </w:tcPr>
          <w:p w14:paraId="013FDD9E" w14:textId="4F870F0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278521.27</w:t>
            </w:r>
          </w:p>
        </w:tc>
      </w:tr>
      <w:tr w:rsidR="009775CB" w:rsidRPr="0078036E" w14:paraId="76E3F7E3" w14:textId="77777777" w:rsidTr="0049031D">
        <w:trPr>
          <w:trHeight w:val="20"/>
          <w:jc w:val="center"/>
        </w:trPr>
        <w:tc>
          <w:tcPr>
            <w:tcW w:w="421" w:type="dxa"/>
            <w:vAlign w:val="center"/>
          </w:tcPr>
          <w:p w14:paraId="5210F3A0" w14:textId="22A9BAB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lastRenderedPageBreak/>
              <w:t>13</w:t>
            </w:r>
          </w:p>
        </w:tc>
        <w:tc>
          <w:tcPr>
            <w:tcW w:w="1391" w:type="dxa"/>
            <w:vAlign w:val="center"/>
          </w:tcPr>
          <w:p w14:paraId="6F5F150B" w14:textId="646D1D67"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Uttar Pradesh</w:t>
            </w:r>
          </w:p>
        </w:tc>
        <w:tc>
          <w:tcPr>
            <w:tcW w:w="978" w:type="dxa"/>
            <w:vAlign w:val="center"/>
          </w:tcPr>
          <w:p w14:paraId="2DB7319F" w14:textId="490DDC3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65263.81</w:t>
            </w:r>
          </w:p>
        </w:tc>
        <w:tc>
          <w:tcPr>
            <w:tcW w:w="976" w:type="dxa"/>
            <w:vAlign w:val="center"/>
          </w:tcPr>
          <w:p w14:paraId="67F76685" w14:textId="33C64E7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71011.45</w:t>
            </w:r>
          </w:p>
        </w:tc>
        <w:tc>
          <w:tcPr>
            <w:tcW w:w="1073" w:type="dxa"/>
            <w:vAlign w:val="center"/>
          </w:tcPr>
          <w:p w14:paraId="1924DA47" w14:textId="59BC602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77265.28</w:t>
            </w:r>
          </w:p>
        </w:tc>
        <w:tc>
          <w:tcPr>
            <w:tcW w:w="1073" w:type="dxa"/>
            <w:vAlign w:val="center"/>
          </w:tcPr>
          <w:p w14:paraId="35D6A717" w14:textId="2AC191D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84069.87</w:t>
            </w:r>
          </w:p>
        </w:tc>
        <w:tc>
          <w:tcPr>
            <w:tcW w:w="979" w:type="dxa"/>
            <w:vAlign w:val="center"/>
          </w:tcPr>
          <w:p w14:paraId="06D4FA45" w14:textId="5F0568A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91473.72</w:t>
            </w:r>
          </w:p>
        </w:tc>
        <w:tc>
          <w:tcPr>
            <w:tcW w:w="979" w:type="dxa"/>
            <w:vAlign w:val="center"/>
          </w:tcPr>
          <w:p w14:paraId="3391E589" w14:textId="6D8CD6A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99529.61</w:t>
            </w:r>
          </w:p>
        </w:tc>
        <w:tc>
          <w:tcPr>
            <w:tcW w:w="1056" w:type="dxa"/>
            <w:vAlign w:val="center"/>
          </w:tcPr>
          <w:p w14:paraId="7F1F82A5" w14:textId="4F14053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423349.93</w:t>
            </w:r>
          </w:p>
        </w:tc>
      </w:tr>
      <w:tr w:rsidR="009775CB" w:rsidRPr="0078036E" w14:paraId="1D43C8CF" w14:textId="77777777" w:rsidTr="0049031D">
        <w:trPr>
          <w:trHeight w:val="20"/>
          <w:jc w:val="center"/>
        </w:trPr>
        <w:tc>
          <w:tcPr>
            <w:tcW w:w="421" w:type="dxa"/>
            <w:vAlign w:val="center"/>
          </w:tcPr>
          <w:p w14:paraId="6C7AF4F6" w14:textId="4C7B725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w:t>
            </w:r>
          </w:p>
        </w:tc>
        <w:tc>
          <w:tcPr>
            <w:tcW w:w="1391" w:type="dxa"/>
            <w:vAlign w:val="center"/>
          </w:tcPr>
          <w:p w14:paraId="44146060" w14:textId="36DF0000"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West Bengal</w:t>
            </w:r>
          </w:p>
        </w:tc>
        <w:tc>
          <w:tcPr>
            <w:tcW w:w="978" w:type="dxa"/>
            <w:vAlign w:val="center"/>
          </w:tcPr>
          <w:p w14:paraId="5CC22900" w14:textId="240FCBE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36043.11</w:t>
            </w:r>
          </w:p>
        </w:tc>
        <w:tc>
          <w:tcPr>
            <w:tcW w:w="976" w:type="dxa"/>
            <w:vAlign w:val="center"/>
          </w:tcPr>
          <w:p w14:paraId="1FABD4F2" w14:textId="0D0E36D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39779.73</w:t>
            </w:r>
          </w:p>
        </w:tc>
        <w:tc>
          <w:tcPr>
            <w:tcW w:w="1073" w:type="dxa"/>
            <w:vAlign w:val="center"/>
          </w:tcPr>
          <w:p w14:paraId="1E1509A1" w14:textId="755A620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43903.74</w:t>
            </w:r>
          </w:p>
        </w:tc>
        <w:tc>
          <w:tcPr>
            <w:tcW w:w="1073" w:type="dxa"/>
            <w:vAlign w:val="center"/>
          </w:tcPr>
          <w:p w14:paraId="281F246E" w14:textId="276F2F1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48455.29</w:t>
            </w:r>
          </w:p>
        </w:tc>
        <w:tc>
          <w:tcPr>
            <w:tcW w:w="979" w:type="dxa"/>
            <w:vAlign w:val="center"/>
          </w:tcPr>
          <w:p w14:paraId="4DC5599D" w14:textId="6F6E2DB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53478.70</w:t>
            </w:r>
          </w:p>
        </w:tc>
        <w:tc>
          <w:tcPr>
            <w:tcW w:w="979" w:type="dxa"/>
            <w:vAlign w:val="center"/>
          </w:tcPr>
          <w:p w14:paraId="270BCB15" w14:textId="70DDA83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59022.90</w:t>
            </w:r>
          </w:p>
        </w:tc>
        <w:tc>
          <w:tcPr>
            <w:tcW w:w="1056" w:type="dxa"/>
            <w:vAlign w:val="center"/>
          </w:tcPr>
          <w:p w14:paraId="0A7A9F74" w14:textId="028A357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244640.37</w:t>
            </w:r>
          </w:p>
        </w:tc>
      </w:tr>
      <w:tr w:rsidR="009775CB" w:rsidRPr="0078036E" w14:paraId="284F1EED" w14:textId="77777777" w:rsidTr="0049031D">
        <w:trPr>
          <w:trHeight w:val="20"/>
          <w:jc w:val="center"/>
        </w:trPr>
        <w:tc>
          <w:tcPr>
            <w:tcW w:w="421" w:type="dxa"/>
            <w:vAlign w:val="center"/>
          </w:tcPr>
          <w:p w14:paraId="37C46177" w14:textId="7E622D0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14</w:t>
            </w:r>
          </w:p>
        </w:tc>
        <w:tc>
          <w:tcPr>
            <w:tcW w:w="1391" w:type="dxa"/>
            <w:vAlign w:val="center"/>
          </w:tcPr>
          <w:p w14:paraId="03DBEAE0" w14:textId="17658770"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b/>
                <w:bCs/>
                <w:sz w:val="16"/>
                <w:szCs w:val="16"/>
              </w:rPr>
              <w:t>Major States</w:t>
            </w:r>
          </w:p>
        </w:tc>
        <w:tc>
          <w:tcPr>
            <w:tcW w:w="978" w:type="dxa"/>
            <w:vAlign w:val="center"/>
          </w:tcPr>
          <w:p w14:paraId="26CE4248" w14:textId="2D0981C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464350.89</w:t>
            </w:r>
          </w:p>
        </w:tc>
        <w:tc>
          <w:tcPr>
            <w:tcW w:w="976" w:type="dxa"/>
            <w:vAlign w:val="center"/>
          </w:tcPr>
          <w:p w14:paraId="51D192C1" w14:textId="60C4313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496435.87</w:t>
            </w:r>
          </w:p>
        </w:tc>
        <w:tc>
          <w:tcPr>
            <w:tcW w:w="1073" w:type="dxa"/>
            <w:vAlign w:val="center"/>
          </w:tcPr>
          <w:p w14:paraId="6FF7E4B4" w14:textId="61A1E6B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530977.45</w:t>
            </w:r>
          </w:p>
        </w:tc>
        <w:tc>
          <w:tcPr>
            <w:tcW w:w="1073" w:type="dxa"/>
            <w:vAlign w:val="center"/>
          </w:tcPr>
          <w:p w14:paraId="140DD17E" w14:textId="1B1D20D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568174.14</w:t>
            </w:r>
          </w:p>
        </w:tc>
        <w:tc>
          <w:tcPr>
            <w:tcW w:w="979" w:type="dxa"/>
            <w:vAlign w:val="center"/>
          </w:tcPr>
          <w:p w14:paraId="712A8B3D" w14:textId="4780FB6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608241.20</w:t>
            </w:r>
          </w:p>
        </w:tc>
        <w:tc>
          <w:tcPr>
            <w:tcW w:w="979" w:type="dxa"/>
            <w:vAlign w:val="center"/>
          </w:tcPr>
          <w:p w14:paraId="082C9368" w14:textId="3A3A1DA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651412.11</w:t>
            </w:r>
          </w:p>
        </w:tc>
        <w:tc>
          <w:tcPr>
            <w:tcW w:w="1056" w:type="dxa"/>
            <w:vAlign w:val="center"/>
          </w:tcPr>
          <w:p w14:paraId="311FB428" w14:textId="628F503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2855240.77</w:t>
            </w:r>
          </w:p>
        </w:tc>
      </w:tr>
      <w:tr w:rsidR="009775CB" w:rsidRPr="0078036E" w14:paraId="5B096748" w14:textId="77777777" w:rsidTr="00FC5692">
        <w:trPr>
          <w:trHeight w:val="20"/>
          <w:jc w:val="center"/>
        </w:trPr>
        <w:tc>
          <w:tcPr>
            <w:tcW w:w="8926" w:type="dxa"/>
            <w:gridSpan w:val="9"/>
            <w:vAlign w:val="center"/>
          </w:tcPr>
          <w:p w14:paraId="4D874FB3" w14:textId="72713F7E"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20"/>
                <w:szCs w:val="20"/>
              </w:rPr>
              <w:t>Expenditure Category: Secondary Education</w:t>
            </w:r>
          </w:p>
        </w:tc>
      </w:tr>
      <w:tr w:rsidR="009775CB" w:rsidRPr="0078036E" w14:paraId="1EC9CA0B" w14:textId="77777777" w:rsidTr="0049031D">
        <w:trPr>
          <w:trHeight w:val="20"/>
          <w:jc w:val="center"/>
        </w:trPr>
        <w:tc>
          <w:tcPr>
            <w:tcW w:w="421" w:type="dxa"/>
            <w:vAlign w:val="center"/>
          </w:tcPr>
          <w:p w14:paraId="4E6D2C64" w14:textId="6E57B44E"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No.</w:t>
            </w:r>
          </w:p>
        </w:tc>
        <w:tc>
          <w:tcPr>
            <w:tcW w:w="1391" w:type="dxa"/>
            <w:vAlign w:val="center"/>
          </w:tcPr>
          <w:p w14:paraId="4D4CCB0C" w14:textId="35AD01A8"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b/>
                <w:bCs/>
                <w:sz w:val="16"/>
                <w:szCs w:val="16"/>
              </w:rPr>
              <w:t>State</w:t>
            </w:r>
          </w:p>
        </w:tc>
        <w:tc>
          <w:tcPr>
            <w:tcW w:w="978" w:type="dxa"/>
            <w:vAlign w:val="center"/>
          </w:tcPr>
          <w:p w14:paraId="16167995" w14:textId="49256478"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1989-90</w:t>
            </w:r>
          </w:p>
        </w:tc>
        <w:tc>
          <w:tcPr>
            <w:tcW w:w="976" w:type="dxa"/>
            <w:vAlign w:val="center"/>
          </w:tcPr>
          <w:p w14:paraId="77430405" w14:textId="3A8C32A6"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w:t>
            </w:r>
          </w:p>
        </w:tc>
        <w:tc>
          <w:tcPr>
            <w:tcW w:w="1073" w:type="dxa"/>
            <w:vAlign w:val="center"/>
          </w:tcPr>
          <w:p w14:paraId="60FE2B2D" w14:textId="2F7FE917"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1991-92</w:t>
            </w:r>
          </w:p>
        </w:tc>
        <w:tc>
          <w:tcPr>
            <w:tcW w:w="1073" w:type="dxa"/>
            <w:vAlign w:val="center"/>
          </w:tcPr>
          <w:p w14:paraId="11CB44D4" w14:textId="591DE894"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1992-93</w:t>
            </w:r>
          </w:p>
        </w:tc>
        <w:tc>
          <w:tcPr>
            <w:tcW w:w="979" w:type="dxa"/>
            <w:vAlign w:val="center"/>
          </w:tcPr>
          <w:p w14:paraId="3E1C2693" w14:textId="6B704BB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1993-94</w:t>
            </w:r>
          </w:p>
        </w:tc>
        <w:tc>
          <w:tcPr>
            <w:tcW w:w="979" w:type="dxa"/>
            <w:vAlign w:val="center"/>
          </w:tcPr>
          <w:p w14:paraId="590099A9" w14:textId="4E1545B4"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1994-95</w:t>
            </w:r>
          </w:p>
        </w:tc>
        <w:tc>
          <w:tcPr>
            <w:tcW w:w="1056" w:type="dxa"/>
            <w:vAlign w:val="center"/>
          </w:tcPr>
          <w:p w14:paraId="0713D472" w14:textId="211FFA69"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 to 1994-95</w:t>
            </w:r>
          </w:p>
        </w:tc>
      </w:tr>
      <w:tr w:rsidR="009775CB" w:rsidRPr="0078036E" w14:paraId="47953FE5" w14:textId="77777777" w:rsidTr="0049031D">
        <w:trPr>
          <w:trHeight w:val="20"/>
          <w:jc w:val="center"/>
        </w:trPr>
        <w:tc>
          <w:tcPr>
            <w:tcW w:w="421" w:type="dxa"/>
            <w:vAlign w:val="center"/>
          </w:tcPr>
          <w:p w14:paraId="3BC2D1DB" w14:textId="43C11B38"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w:t>
            </w:r>
          </w:p>
        </w:tc>
        <w:tc>
          <w:tcPr>
            <w:tcW w:w="1391" w:type="dxa"/>
            <w:vAlign w:val="center"/>
          </w:tcPr>
          <w:p w14:paraId="3BF986CA" w14:textId="623E03D1"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sz w:val="16"/>
                <w:szCs w:val="16"/>
              </w:rPr>
              <w:t>Andhra Pradesh</w:t>
            </w:r>
          </w:p>
        </w:tc>
        <w:tc>
          <w:tcPr>
            <w:tcW w:w="978" w:type="dxa"/>
            <w:vAlign w:val="center"/>
          </w:tcPr>
          <w:p w14:paraId="6EB4D11E" w14:textId="002545EA"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22534.86</w:t>
            </w:r>
          </w:p>
        </w:tc>
        <w:tc>
          <w:tcPr>
            <w:tcW w:w="976" w:type="dxa"/>
            <w:vAlign w:val="center"/>
          </w:tcPr>
          <w:p w14:paraId="29C74EA8" w14:textId="30F7E57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24234.49</w:t>
            </w:r>
          </w:p>
        </w:tc>
        <w:tc>
          <w:tcPr>
            <w:tcW w:w="1073" w:type="dxa"/>
            <w:vAlign w:val="center"/>
          </w:tcPr>
          <w:p w14:paraId="5E214617" w14:textId="312A0C2D"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26062.32</w:t>
            </w:r>
          </w:p>
        </w:tc>
        <w:tc>
          <w:tcPr>
            <w:tcW w:w="1073" w:type="dxa"/>
            <w:vAlign w:val="center"/>
          </w:tcPr>
          <w:p w14:paraId="3D8AD000" w14:textId="3521E05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28028.00</w:t>
            </w:r>
          </w:p>
        </w:tc>
        <w:tc>
          <w:tcPr>
            <w:tcW w:w="979" w:type="dxa"/>
            <w:vAlign w:val="center"/>
          </w:tcPr>
          <w:p w14:paraId="115A5C35" w14:textId="6FA7E96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30141.94</w:t>
            </w:r>
          </w:p>
        </w:tc>
        <w:tc>
          <w:tcPr>
            <w:tcW w:w="979" w:type="dxa"/>
            <w:vAlign w:val="center"/>
          </w:tcPr>
          <w:p w14:paraId="52900650" w14:textId="17B1198A"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32415.32</w:t>
            </w:r>
          </w:p>
        </w:tc>
        <w:tc>
          <w:tcPr>
            <w:tcW w:w="1056" w:type="dxa"/>
            <w:vAlign w:val="center"/>
          </w:tcPr>
          <w:p w14:paraId="7A4F1994" w14:textId="002D7ACF"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140882.07</w:t>
            </w:r>
          </w:p>
        </w:tc>
      </w:tr>
      <w:tr w:rsidR="009775CB" w:rsidRPr="0078036E" w14:paraId="0D72E495" w14:textId="77777777" w:rsidTr="0049031D">
        <w:trPr>
          <w:trHeight w:val="20"/>
          <w:jc w:val="center"/>
        </w:trPr>
        <w:tc>
          <w:tcPr>
            <w:tcW w:w="421" w:type="dxa"/>
            <w:vAlign w:val="center"/>
          </w:tcPr>
          <w:p w14:paraId="1FD24537" w14:textId="0BB7E0E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w:t>
            </w:r>
          </w:p>
        </w:tc>
        <w:tc>
          <w:tcPr>
            <w:tcW w:w="1391" w:type="dxa"/>
            <w:vAlign w:val="center"/>
          </w:tcPr>
          <w:p w14:paraId="60B624D9" w14:textId="283CB1CD"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Bihar</w:t>
            </w:r>
          </w:p>
        </w:tc>
        <w:tc>
          <w:tcPr>
            <w:tcW w:w="978" w:type="dxa"/>
            <w:vAlign w:val="center"/>
          </w:tcPr>
          <w:p w14:paraId="46B078D1" w14:textId="3B7DC6D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17087.18</w:t>
            </w:r>
          </w:p>
        </w:tc>
        <w:tc>
          <w:tcPr>
            <w:tcW w:w="976" w:type="dxa"/>
            <w:vAlign w:val="center"/>
          </w:tcPr>
          <w:p w14:paraId="7B17B78C" w14:textId="6340DC0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18850.43</w:t>
            </w:r>
          </w:p>
        </w:tc>
        <w:tc>
          <w:tcPr>
            <w:tcW w:w="1073" w:type="dxa"/>
            <w:vAlign w:val="center"/>
          </w:tcPr>
          <w:p w14:paraId="57E97CF4" w14:textId="4A45B07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20795.64</w:t>
            </w:r>
          </w:p>
        </w:tc>
        <w:tc>
          <w:tcPr>
            <w:tcW w:w="1073" w:type="dxa"/>
            <w:vAlign w:val="center"/>
          </w:tcPr>
          <w:p w14:paraId="336B89AA" w14:textId="6E8EA5D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22941.57</w:t>
            </w:r>
          </w:p>
        </w:tc>
        <w:tc>
          <w:tcPr>
            <w:tcW w:w="979" w:type="dxa"/>
            <w:vAlign w:val="center"/>
          </w:tcPr>
          <w:p w14:paraId="3F8CFD40" w14:textId="717DB55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25308.94</w:t>
            </w:r>
          </w:p>
        </w:tc>
        <w:tc>
          <w:tcPr>
            <w:tcW w:w="979" w:type="dxa"/>
            <w:vAlign w:val="center"/>
          </w:tcPr>
          <w:p w14:paraId="1EDC4676" w14:textId="7EA2FBA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27920.60</w:t>
            </w:r>
          </w:p>
        </w:tc>
        <w:tc>
          <w:tcPr>
            <w:tcW w:w="1056" w:type="dxa"/>
            <w:vAlign w:val="center"/>
          </w:tcPr>
          <w:p w14:paraId="0387D7EA" w14:textId="4D9D64A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115817.17</w:t>
            </w:r>
          </w:p>
        </w:tc>
      </w:tr>
      <w:tr w:rsidR="009775CB" w:rsidRPr="0078036E" w14:paraId="0927B181" w14:textId="77777777" w:rsidTr="0049031D">
        <w:trPr>
          <w:trHeight w:val="20"/>
          <w:jc w:val="center"/>
        </w:trPr>
        <w:tc>
          <w:tcPr>
            <w:tcW w:w="421" w:type="dxa"/>
            <w:vAlign w:val="center"/>
          </w:tcPr>
          <w:p w14:paraId="65DB7BC2" w14:textId="52D1489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w:t>
            </w:r>
          </w:p>
        </w:tc>
        <w:tc>
          <w:tcPr>
            <w:tcW w:w="1391" w:type="dxa"/>
            <w:vAlign w:val="center"/>
          </w:tcPr>
          <w:p w14:paraId="3027ABE0" w14:textId="41DB1DC4"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Gujarat</w:t>
            </w:r>
          </w:p>
        </w:tc>
        <w:tc>
          <w:tcPr>
            <w:tcW w:w="978" w:type="dxa"/>
            <w:vAlign w:val="center"/>
          </w:tcPr>
          <w:p w14:paraId="7CF98783" w14:textId="0E11B3E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21070.71</w:t>
            </w:r>
          </w:p>
        </w:tc>
        <w:tc>
          <w:tcPr>
            <w:tcW w:w="976" w:type="dxa"/>
            <w:vAlign w:val="center"/>
          </w:tcPr>
          <w:p w14:paraId="0BD0B650" w14:textId="582EAA1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22551.91</w:t>
            </w:r>
          </w:p>
        </w:tc>
        <w:tc>
          <w:tcPr>
            <w:tcW w:w="1073" w:type="dxa"/>
            <w:vAlign w:val="center"/>
          </w:tcPr>
          <w:p w14:paraId="60EEC924" w14:textId="1140D92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24137.23</w:t>
            </w:r>
          </w:p>
        </w:tc>
        <w:tc>
          <w:tcPr>
            <w:tcW w:w="1073" w:type="dxa"/>
            <w:vAlign w:val="center"/>
          </w:tcPr>
          <w:p w14:paraId="43A75F1E" w14:textId="7FD8677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25833.99</w:t>
            </w:r>
          </w:p>
        </w:tc>
        <w:tc>
          <w:tcPr>
            <w:tcW w:w="979" w:type="dxa"/>
            <w:vAlign w:val="center"/>
          </w:tcPr>
          <w:p w14:paraId="06F8D11A" w14:textId="2C0725F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27650.04</w:t>
            </w:r>
          </w:p>
        </w:tc>
        <w:tc>
          <w:tcPr>
            <w:tcW w:w="979" w:type="dxa"/>
            <w:vAlign w:val="center"/>
          </w:tcPr>
          <w:p w14:paraId="127A85B3" w14:textId="2947480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29593.74</w:t>
            </w:r>
          </w:p>
        </w:tc>
        <w:tc>
          <w:tcPr>
            <w:tcW w:w="1056" w:type="dxa"/>
            <w:vAlign w:val="center"/>
          </w:tcPr>
          <w:p w14:paraId="0167E0CC" w14:textId="2EA2CDD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129766.91</w:t>
            </w:r>
          </w:p>
        </w:tc>
      </w:tr>
      <w:tr w:rsidR="009775CB" w:rsidRPr="0078036E" w14:paraId="4DC55ED3" w14:textId="77777777" w:rsidTr="0049031D">
        <w:trPr>
          <w:trHeight w:val="20"/>
          <w:jc w:val="center"/>
        </w:trPr>
        <w:tc>
          <w:tcPr>
            <w:tcW w:w="421" w:type="dxa"/>
            <w:vAlign w:val="center"/>
          </w:tcPr>
          <w:p w14:paraId="1C0E02F7" w14:textId="27D3B18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w:t>
            </w:r>
          </w:p>
        </w:tc>
        <w:tc>
          <w:tcPr>
            <w:tcW w:w="1391" w:type="dxa"/>
            <w:vAlign w:val="center"/>
          </w:tcPr>
          <w:p w14:paraId="60947E64" w14:textId="7F4E389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Haryana</w:t>
            </w:r>
          </w:p>
        </w:tc>
        <w:tc>
          <w:tcPr>
            <w:tcW w:w="978" w:type="dxa"/>
            <w:vAlign w:val="center"/>
          </w:tcPr>
          <w:p w14:paraId="3BC1B92A" w14:textId="76DE140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10279.78</w:t>
            </w:r>
          </w:p>
        </w:tc>
        <w:tc>
          <w:tcPr>
            <w:tcW w:w="976" w:type="dxa"/>
            <w:vAlign w:val="center"/>
          </w:tcPr>
          <w:p w14:paraId="11E95D3F" w14:textId="40B357A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11237.57</w:t>
            </w:r>
          </w:p>
        </w:tc>
        <w:tc>
          <w:tcPr>
            <w:tcW w:w="1073" w:type="dxa"/>
            <w:vAlign w:val="center"/>
          </w:tcPr>
          <w:p w14:paraId="40AAFD53" w14:textId="3B35F53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12284.61</w:t>
            </w:r>
          </w:p>
        </w:tc>
        <w:tc>
          <w:tcPr>
            <w:tcW w:w="1073" w:type="dxa"/>
            <w:vAlign w:val="center"/>
          </w:tcPr>
          <w:p w14:paraId="7AC51EE8" w14:textId="200DE3A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13429.20</w:t>
            </w:r>
          </w:p>
        </w:tc>
        <w:tc>
          <w:tcPr>
            <w:tcW w:w="979" w:type="dxa"/>
            <w:vAlign w:val="center"/>
          </w:tcPr>
          <w:p w14:paraId="773FAE9A" w14:textId="4FE343E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14680.44</w:t>
            </w:r>
          </w:p>
        </w:tc>
        <w:tc>
          <w:tcPr>
            <w:tcW w:w="979" w:type="dxa"/>
            <w:vAlign w:val="center"/>
          </w:tcPr>
          <w:p w14:paraId="611A41C1" w14:textId="5CAFC9C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16048.26</w:t>
            </w:r>
          </w:p>
        </w:tc>
        <w:tc>
          <w:tcPr>
            <w:tcW w:w="1056" w:type="dxa"/>
            <w:vAlign w:val="center"/>
          </w:tcPr>
          <w:p w14:paraId="47597409" w14:textId="5EDCDC9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67680.09</w:t>
            </w:r>
          </w:p>
        </w:tc>
      </w:tr>
      <w:tr w:rsidR="009775CB" w:rsidRPr="0078036E" w14:paraId="2E0719F0" w14:textId="77777777" w:rsidTr="0049031D">
        <w:trPr>
          <w:trHeight w:val="20"/>
          <w:jc w:val="center"/>
        </w:trPr>
        <w:tc>
          <w:tcPr>
            <w:tcW w:w="421" w:type="dxa"/>
            <w:vAlign w:val="center"/>
          </w:tcPr>
          <w:p w14:paraId="0BD0DF59" w14:textId="617AD97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w:t>
            </w:r>
          </w:p>
        </w:tc>
        <w:tc>
          <w:tcPr>
            <w:tcW w:w="1391" w:type="dxa"/>
            <w:vAlign w:val="center"/>
          </w:tcPr>
          <w:p w14:paraId="67150F47" w14:textId="40F481F1"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Karnataka</w:t>
            </w:r>
          </w:p>
        </w:tc>
        <w:tc>
          <w:tcPr>
            <w:tcW w:w="978" w:type="dxa"/>
            <w:vAlign w:val="center"/>
          </w:tcPr>
          <w:p w14:paraId="2DF80E9B" w14:textId="7F29D5B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16569.20</w:t>
            </w:r>
          </w:p>
        </w:tc>
        <w:tc>
          <w:tcPr>
            <w:tcW w:w="976" w:type="dxa"/>
            <w:vAlign w:val="center"/>
          </w:tcPr>
          <w:p w14:paraId="205514CC" w14:textId="02F98FA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18242.84</w:t>
            </w:r>
          </w:p>
        </w:tc>
        <w:tc>
          <w:tcPr>
            <w:tcW w:w="1073" w:type="dxa"/>
            <w:vAlign w:val="center"/>
          </w:tcPr>
          <w:p w14:paraId="7B0B8A55" w14:textId="3B09956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20085.54</w:t>
            </w:r>
          </w:p>
        </w:tc>
        <w:tc>
          <w:tcPr>
            <w:tcW w:w="1073" w:type="dxa"/>
            <w:vAlign w:val="center"/>
          </w:tcPr>
          <w:p w14:paraId="04C6CFE0" w14:textId="79B6253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22114.38</w:t>
            </w:r>
          </w:p>
        </w:tc>
        <w:tc>
          <w:tcPr>
            <w:tcW w:w="979" w:type="dxa"/>
            <w:vAlign w:val="center"/>
          </w:tcPr>
          <w:p w14:paraId="5A21748D" w14:textId="5BBE2BF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24348.14</w:t>
            </w:r>
          </w:p>
        </w:tc>
        <w:tc>
          <w:tcPr>
            <w:tcW w:w="979" w:type="dxa"/>
            <w:vAlign w:val="center"/>
          </w:tcPr>
          <w:p w14:paraId="50813D8F" w14:textId="29AA323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26807.53</w:t>
            </w:r>
          </w:p>
        </w:tc>
        <w:tc>
          <w:tcPr>
            <w:tcW w:w="1056" w:type="dxa"/>
            <w:vAlign w:val="center"/>
          </w:tcPr>
          <w:p w14:paraId="092365DA" w14:textId="0154853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111598.44</w:t>
            </w:r>
          </w:p>
        </w:tc>
      </w:tr>
      <w:tr w:rsidR="009775CB" w:rsidRPr="0078036E" w14:paraId="25E4AB84" w14:textId="77777777" w:rsidTr="0049031D">
        <w:trPr>
          <w:trHeight w:val="20"/>
          <w:jc w:val="center"/>
        </w:trPr>
        <w:tc>
          <w:tcPr>
            <w:tcW w:w="421" w:type="dxa"/>
            <w:vAlign w:val="center"/>
          </w:tcPr>
          <w:p w14:paraId="0AA27D2E" w14:textId="5094B63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w:t>
            </w:r>
          </w:p>
        </w:tc>
        <w:tc>
          <w:tcPr>
            <w:tcW w:w="1391" w:type="dxa"/>
            <w:vAlign w:val="center"/>
          </w:tcPr>
          <w:p w14:paraId="16A8F9C6" w14:textId="741FAFA6"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Kerala</w:t>
            </w:r>
          </w:p>
        </w:tc>
        <w:tc>
          <w:tcPr>
            <w:tcW w:w="978" w:type="dxa"/>
            <w:vAlign w:val="center"/>
          </w:tcPr>
          <w:p w14:paraId="6B82CCE9" w14:textId="7EA278A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22546.86</w:t>
            </w:r>
          </w:p>
        </w:tc>
        <w:tc>
          <w:tcPr>
            <w:tcW w:w="976" w:type="dxa"/>
            <w:vAlign w:val="center"/>
          </w:tcPr>
          <w:p w14:paraId="13FBF864" w14:textId="39FC6AF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24755.86</w:t>
            </w:r>
          </w:p>
        </w:tc>
        <w:tc>
          <w:tcPr>
            <w:tcW w:w="1073" w:type="dxa"/>
            <w:vAlign w:val="center"/>
          </w:tcPr>
          <w:p w14:paraId="4474BD9D" w14:textId="23A0C27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27181.28</w:t>
            </w:r>
          </w:p>
        </w:tc>
        <w:tc>
          <w:tcPr>
            <w:tcW w:w="1073" w:type="dxa"/>
            <w:vAlign w:val="center"/>
          </w:tcPr>
          <w:p w14:paraId="4D9B0D18" w14:textId="69518B0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29844.33</w:t>
            </w:r>
          </w:p>
        </w:tc>
        <w:tc>
          <w:tcPr>
            <w:tcW w:w="979" w:type="dxa"/>
            <w:vAlign w:val="center"/>
          </w:tcPr>
          <w:p w14:paraId="5052427C" w14:textId="784E602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32768.29</w:t>
            </w:r>
          </w:p>
        </w:tc>
        <w:tc>
          <w:tcPr>
            <w:tcW w:w="979" w:type="dxa"/>
            <w:vAlign w:val="center"/>
          </w:tcPr>
          <w:p w14:paraId="7ECD770B" w14:textId="71CCB51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35978.72</w:t>
            </w:r>
          </w:p>
        </w:tc>
        <w:tc>
          <w:tcPr>
            <w:tcW w:w="1056" w:type="dxa"/>
            <w:vAlign w:val="center"/>
          </w:tcPr>
          <w:p w14:paraId="2B5CE5B2" w14:textId="554C91F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150528.49</w:t>
            </w:r>
          </w:p>
        </w:tc>
      </w:tr>
      <w:tr w:rsidR="009775CB" w:rsidRPr="0078036E" w14:paraId="2B5BFC61" w14:textId="77777777" w:rsidTr="0049031D">
        <w:trPr>
          <w:trHeight w:val="20"/>
          <w:jc w:val="center"/>
        </w:trPr>
        <w:tc>
          <w:tcPr>
            <w:tcW w:w="421" w:type="dxa"/>
            <w:vAlign w:val="center"/>
          </w:tcPr>
          <w:p w14:paraId="2E72678D" w14:textId="02EDEE0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w:t>
            </w:r>
          </w:p>
        </w:tc>
        <w:tc>
          <w:tcPr>
            <w:tcW w:w="1391" w:type="dxa"/>
            <w:vAlign w:val="center"/>
          </w:tcPr>
          <w:p w14:paraId="75FB5460" w14:textId="7CD165B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Madhya Pradesh</w:t>
            </w:r>
          </w:p>
        </w:tc>
        <w:tc>
          <w:tcPr>
            <w:tcW w:w="978" w:type="dxa"/>
            <w:vAlign w:val="center"/>
          </w:tcPr>
          <w:p w14:paraId="45E0E401" w14:textId="08393D1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23565.24</w:t>
            </w:r>
          </w:p>
        </w:tc>
        <w:tc>
          <w:tcPr>
            <w:tcW w:w="976" w:type="dxa"/>
            <w:vAlign w:val="center"/>
          </w:tcPr>
          <w:p w14:paraId="5F97E163" w14:textId="16EA3B2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25301.25</w:t>
            </w:r>
          </w:p>
        </w:tc>
        <w:tc>
          <w:tcPr>
            <w:tcW w:w="1073" w:type="dxa"/>
            <w:vAlign w:val="center"/>
          </w:tcPr>
          <w:p w14:paraId="60AE89CD" w14:textId="32EC3B2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27165.14</w:t>
            </w:r>
          </w:p>
        </w:tc>
        <w:tc>
          <w:tcPr>
            <w:tcW w:w="1073" w:type="dxa"/>
            <w:vAlign w:val="center"/>
          </w:tcPr>
          <w:p w14:paraId="22E95A76" w14:textId="2BA64E4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29166.35</w:t>
            </w:r>
          </w:p>
        </w:tc>
        <w:tc>
          <w:tcPr>
            <w:tcW w:w="979" w:type="dxa"/>
            <w:vAlign w:val="center"/>
          </w:tcPr>
          <w:p w14:paraId="6D40244D" w14:textId="26154D4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31314.98</w:t>
            </w:r>
          </w:p>
        </w:tc>
        <w:tc>
          <w:tcPr>
            <w:tcW w:w="979" w:type="dxa"/>
            <w:vAlign w:val="center"/>
          </w:tcPr>
          <w:p w14:paraId="50BD8A18" w14:textId="1A42C76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33621.90</w:t>
            </w:r>
          </w:p>
        </w:tc>
        <w:tc>
          <w:tcPr>
            <w:tcW w:w="1056" w:type="dxa"/>
            <w:vAlign w:val="center"/>
          </w:tcPr>
          <w:p w14:paraId="126798C2" w14:textId="0EE8AB1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146569.62</w:t>
            </w:r>
          </w:p>
        </w:tc>
      </w:tr>
      <w:tr w:rsidR="009775CB" w:rsidRPr="0078036E" w14:paraId="43BD6285" w14:textId="77777777" w:rsidTr="0049031D">
        <w:trPr>
          <w:trHeight w:val="20"/>
          <w:jc w:val="center"/>
        </w:trPr>
        <w:tc>
          <w:tcPr>
            <w:tcW w:w="421" w:type="dxa"/>
            <w:vAlign w:val="center"/>
          </w:tcPr>
          <w:p w14:paraId="281FCAC8" w14:textId="537967D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w:t>
            </w:r>
          </w:p>
        </w:tc>
        <w:tc>
          <w:tcPr>
            <w:tcW w:w="1391" w:type="dxa"/>
            <w:vAlign w:val="center"/>
          </w:tcPr>
          <w:p w14:paraId="66B328A8" w14:textId="7391E05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Maharashtra</w:t>
            </w:r>
          </w:p>
        </w:tc>
        <w:tc>
          <w:tcPr>
            <w:tcW w:w="978" w:type="dxa"/>
            <w:vAlign w:val="center"/>
          </w:tcPr>
          <w:p w14:paraId="022B923F" w14:textId="3E5995F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45369.14</w:t>
            </w:r>
          </w:p>
        </w:tc>
        <w:tc>
          <w:tcPr>
            <w:tcW w:w="976" w:type="dxa"/>
            <w:vAlign w:val="center"/>
          </w:tcPr>
          <w:p w14:paraId="5C962CDD" w14:textId="0DDB35D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47481.11</w:t>
            </w:r>
          </w:p>
        </w:tc>
        <w:tc>
          <w:tcPr>
            <w:tcW w:w="1073" w:type="dxa"/>
            <w:vAlign w:val="center"/>
          </w:tcPr>
          <w:p w14:paraId="0843FA0D" w14:textId="2DAE594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49691.39</w:t>
            </w:r>
          </w:p>
        </w:tc>
        <w:tc>
          <w:tcPr>
            <w:tcW w:w="1073" w:type="dxa"/>
            <w:vAlign w:val="center"/>
          </w:tcPr>
          <w:p w14:paraId="32DC6E16" w14:textId="14A37AD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52004.57</w:t>
            </w:r>
          </w:p>
        </w:tc>
        <w:tc>
          <w:tcPr>
            <w:tcW w:w="979" w:type="dxa"/>
            <w:vAlign w:val="center"/>
          </w:tcPr>
          <w:p w14:paraId="4D77FFA8" w14:textId="5EAB7A1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54425.42</w:t>
            </w:r>
          </w:p>
        </w:tc>
        <w:tc>
          <w:tcPr>
            <w:tcW w:w="979" w:type="dxa"/>
            <w:vAlign w:val="center"/>
          </w:tcPr>
          <w:p w14:paraId="0F97BCAE" w14:textId="7377C03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56958.97</w:t>
            </w:r>
          </w:p>
        </w:tc>
        <w:tc>
          <w:tcPr>
            <w:tcW w:w="1056" w:type="dxa"/>
            <w:vAlign w:val="center"/>
          </w:tcPr>
          <w:p w14:paraId="4B2E2139" w14:textId="5415BB1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260561.45</w:t>
            </w:r>
          </w:p>
        </w:tc>
      </w:tr>
      <w:tr w:rsidR="009775CB" w:rsidRPr="0078036E" w14:paraId="3402DF17" w14:textId="77777777" w:rsidTr="0049031D">
        <w:trPr>
          <w:trHeight w:val="20"/>
          <w:jc w:val="center"/>
        </w:trPr>
        <w:tc>
          <w:tcPr>
            <w:tcW w:w="421" w:type="dxa"/>
            <w:vAlign w:val="center"/>
          </w:tcPr>
          <w:p w14:paraId="273206EA" w14:textId="6D354C9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w:t>
            </w:r>
          </w:p>
        </w:tc>
        <w:tc>
          <w:tcPr>
            <w:tcW w:w="1391" w:type="dxa"/>
            <w:vAlign w:val="center"/>
          </w:tcPr>
          <w:p w14:paraId="45401121" w14:textId="30C7675D"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Orissa</w:t>
            </w:r>
          </w:p>
        </w:tc>
        <w:tc>
          <w:tcPr>
            <w:tcW w:w="978" w:type="dxa"/>
            <w:vAlign w:val="center"/>
          </w:tcPr>
          <w:p w14:paraId="45DDFBD3" w14:textId="6CD52B0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13467.62</w:t>
            </w:r>
          </w:p>
        </w:tc>
        <w:tc>
          <w:tcPr>
            <w:tcW w:w="976" w:type="dxa"/>
            <w:vAlign w:val="center"/>
          </w:tcPr>
          <w:p w14:paraId="7012A983" w14:textId="48E0C05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14647.47</w:t>
            </w:r>
          </w:p>
        </w:tc>
        <w:tc>
          <w:tcPr>
            <w:tcW w:w="1073" w:type="dxa"/>
            <w:vAlign w:val="center"/>
          </w:tcPr>
          <w:p w14:paraId="16FDFAF5" w14:textId="71400CA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15930.69</w:t>
            </w:r>
          </w:p>
        </w:tc>
        <w:tc>
          <w:tcPr>
            <w:tcW w:w="1073" w:type="dxa"/>
            <w:vAlign w:val="center"/>
          </w:tcPr>
          <w:p w14:paraId="28913FEE" w14:textId="4131E88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17326.32</w:t>
            </w:r>
          </w:p>
        </w:tc>
        <w:tc>
          <w:tcPr>
            <w:tcW w:w="979" w:type="dxa"/>
            <w:vAlign w:val="center"/>
          </w:tcPr>
          <w:p w14:paraId="674E4668" w14:textId="32B1CA0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18844.23</w:t>
            </w:r>
          </w:p>
        </w:tc>
        <w:tc>
          <w:tcPr>
            <w:tcW w:w="979" w:type="dxa"/>
            <w:vAlign w:val="center"/>
          </w:tcPr>
          <w:p w14:paraId="40EFDF6B" w14:textId="69A0194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20495.11</w:t>
            </w:r>
          </w:p>
        </w:tc>
        <w:tc>
          <w:tcPr>
            <w:tcW w:w="1056" w:type="dxa"/>
            <w:vAlign w:val="center"/>
          </w:tcPr>
          <w:p w14:paraId="4D5AEB54" w14:textId="3DF59A9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87243.82</w:t>
            </w:r>
          </w:p>
        </w:tc>
      </w:tr>
      <w:tr w:rsidR="009775CB" w:rsidRPr="0078036E" w14:paraId="1410574C" w14:textId="77777777" w:rsidTr="0049031D">
        <w:trPr>
          <w:trHeight w:val="20"/>
          <w:jc w:val="center"/>
        </w:trPr>
        <w:tc>
          <w:tcPr>
            <w:tcW w:w="421" w:type="dxa"/>
            <w:vAlign w:val="center"/>
          </w:tcPr>
          <w:p w14:paraId="43B87AC2" w14:textId="51F1BA2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w:t>
            </w:r>
          </w:p>
        </w:tc>
        <w:tc>
          <w:tcPr>
            <w:tcW w:w="1391" w:type="dxa"/>
            <w:vAlign w:val="center"/>
          </w:tcPr>
          <w:p w14:paraId="174A39E6" w14:textId="41804533"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Punjab</w:t>
            </w:r>
          </w:p>
        </w:tc>
        <w:tc>
          <w:tcPr>
            <w:tcW w:w="978" w:type="dxa"/>
            <w:vAlign w:val="center"/>
          </w:tcPr>
          <w:p w14:paraId="159BE2BB" w14:textId="70EB867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14895.17</w:t>
            </w:r>
          </w:p>
        </w:tc>
        <w:tc>
          <w:tcPr>
            <w:tcW w:w="976" w:type="dxa"/>
            <w:vAlign w:val="center"/>
          </w:tcPr>
          <w:p w14:paraId="1855DFED" w14:textId="1691CA3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15530.00</w:t>
            </w:r>
          </w:p>
        </w:tc>
        <w:tc>
          <w:tcPr>
            <w:tcW w:w="1073" w:type="dxa"/>
            <w:vAlign w:val="center"/>
          </w:tcPr>
          <w:p w14:paraId="317C3F38" w14:textId="72074AC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16191.88</w:t>
            </w:r>
          </w:p>
        </w:tc>
        <w:tc>
          <w:tcPr>
            <w:tcW w:w="1073" w:type="dxa"/>
            <w:vAlign w:val="center"/>
          </w:tcPr>
          <w:p w14:paraId="0692230F" w14:textId="1CCC102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16881.98</w:t>
            </w:r>
          </w:p>
        </w:tc>
        <w:tc>
          <w:tcPr>
            <w:tcW w:w="979" w:type="dxa"/>
            <w:vAlign w:val="center"/>
          </w:tcPr>
          <w:p w14:paraId="2F57B684" w14:textId="5B95799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17601.48</w:t>
            </w:r>
          </w:p>
        </w:tc>
        <w:tc>
          <w:tcPr>
            <w:tcW w:w="979" w:type="dxa"/>
            <w:vAlign w:val="center"/>
          </w:tcPr>
          <w:p w14:paraId="5301A50B" w14:textId="1065AD1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18351.65</w:t>
            </w:r>
          </w:p>
        </w:tc>
        <w:tc>
          <w:tcPr>
            <w:tcW w:w="1056" w:type="dxa"/>
            <w:vAlign w:val="center"/>
          </w:tcPr>
          <w:p w14:paraId="01256E97" w14:textId="27AEC13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84557.00</w:t>
            </w:r>
          </w:p>
        </w:tc>
      </w:tr>
      <w:tr w:rsidR="009775CB" w:rsidRPr="0078036E" w14:paraId="2C7724BD" w14:textId="77777777" w:rsidTr="0049031D">
        <w:trPr>
          <w:trHeight w:val="20"/>
          <w:jc w:val="center"/>
        </w:trPr>
        <w:tc>
          <w:tcPr>
            <w:tcW w:w="421" w:type="dxa"/>
            <w:vAlign w:val="center"/>
          </w:tcPr>
          <w:p w14:paraId="7625EB3C" w14:textId="71C92F7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w:t>
            </w:r>
          </w:p>
        </w:tc>
        <w:tc>
          <w:tcPr>
            <w:tcW w:w="1391" w:type="dxa"/>
            <w:vAlign w:val="center"/>
          </w:tcPr>
          <w:p w14:paraId="27BE4925" w14:textId="4E2FBD87"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Rajasthan</w:t>
            </w:r>
          </w:p>
        </w:tc>
        <w:tc>
          <w:tcPr>
            <w:tcW w:w="978" w:type="dxa"/>
            <w:vAlign w:val="center"/>
          </w:tcPr>
          <w:p w14:paraId="4A08DD18" w14:textId="1886CC4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17020.08</w:t>
            </w:r>
          </w:p>
        </w:tc>
        <w:tc>
          <w:tcPr>
            <w:tcW w:w="976" w:type="dxa"/>
            <w:vAlign w:val="center"/>
          </w:tcPr>
          <w:p w14:paraId="5116B497" w14:textId="06573FF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18402.23</w:t>
            </w:r>
          </w:p>
        </w:tc>
        <w:tc>
          <w:tcPr>
            <w:tcW w:w="1073" w:type="dxa"/>
            <w:vAlign w:val="center"/>
          </w:tcPr>
          <w:p w14:paraId="6F1ADAA5" w14:textId="5C3CE85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19896.62</w:t>
            </w:r>
          </w:p>
        </w:tc>
        <w:tc>
          <w:tcPr>
            <w:tcW w:w="1073" w:type="dxa"/>
            <w:vAlign w:val="center"/>
          </w:tcPr>
          <w:p w14:paraId="7442EB51" w14:textId="27A9A7F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21512.37</w:t>
            </w:r>
          </w:p>
        </w:tc>
        <w:tc>
          <w:tcPr>
            <w:tcW w:w="979" w:type="dxa"/>
            <w:vAlign w:val="center"/>
          </w:tcPr>
          <w:p w14:paraId="464A7A89" w14:textId="329CC90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23259.33</w:t>
            </w:r>
          </w:p>
        </w:tc>
        <w:tc>
          <w:tcPr>
            <w:tcW w:w="979" w:type="dxa"/>
            <w:vAlign w:val="center"/>
          </w:tcPr>
          <w:p w14:paraId="324BBA34" w14:textId="43D9E54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25148.16</w:t>
            </w:r>
          </w:p>
        </w:tc>
        <w:tc>
          <w:tcPr>
            <w:tcW w:w="1056" w:type="dxa"/>
            <w:vAlign w:val="center"/>
          </w:tcPr>
          <w:p w14:paraId="1E332DF7" w14:textId="193D50F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108218.71</w:t>
            </w:r>
          </w:p>
        </w:tc>
      </w:tr>
      <w:tr w:rsidR="009775CB" w:rsidRPr="0078036E" w14:paraId="37971C5A" w14:textId="77777777" w:rsidTr="0049031D">
        <w:trPr>
          <w:trHeight w:val="20"/>
          <w:jc w:val="center"/>
        </w:trPr>
        <w:tc>
          <w:tcPr>
            <w:tcW w:w="421" w:type="dxa"/>
            <w:vAlign w:val="center"/>
          </w:tcPr>
          <w:p w14:paraId="21915A83" w14:textId="3B27830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w:t>
            </w:r>
          </w:p>
        </w:tc>
        <w:tc>
          <w:tcPr>
            <w:tcW w:w="1391" w:type="dxa"/>
            <w:vAlign w:val="center"/>
          </w:tcPr>
          <w:p w14:paraId="604A2855" w14:textId="75DBB28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Tamil Nadu</w:t>
            </w:r>
          </w:p>
        </w:tc>
        <w:tc>
          <w:tcPr>
            <w:tcW w:w="978" w:type="dxa"/>
            <w:vAlign w:val="center"/>
          </w:tcPr>
          <w:p w14:paraId="17FA2F6E" w14:textId="085D14A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26648.57</w:t>
            </w:r>
          </w:p>
        </w:tc>
        <w:tc>
          <w:tcPr>
            <w:tcW w:w="976" w:type="dxa"/>
            <w:vAlign w:val="center"/>
          </w:tcPr>
          <w:p w14:paraId="73FA4DAC" w14:textId="75EF01B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29345.54</w:t>
            </w:r>
          </w:p>
        </w:tc>
        <w:tc>
          <w:tcPr>
            <w:tcW w:w="1073" w:type="dxa"/>
            <w:vAlign w:val="center"/>
          </w:tcPr>
          <w:p w14:paraId="6482C0F5" w14:textId="6D20E32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32315.46</w:t>
            </w:r>
          </w:p>
        </w:tc>
        <w:tc>
          <w:tcPr>
            <w:tcW w:w="1073" w:type="dxa"/>
            <w:vAlign w:val="center"/>
          </w:tcPr>
          <w:p w14:paraId="0731726A" w14:textId="21B63E5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35585.96</w:t>
            </w:r>
          </w:p>
        </w:tc>
        <w:tc>
          <w:tcPr>
            <w:tcW w:w="979" w:type="dxa"/>
            <w:vAlign w:val="center"/>
          </w:tcPr>
          <w:p w14:paraId="0EFF0635" w14:textId="6782188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39187.44</w:t>
            </w:r>
          </w:p>
        </w:tc>
        <w:tc>
          <w:tcPr>
            <w:tcW w:w="979" w:type="dxa"/>
            <w:vAlign w:val="center"/>
          </w:tcPr>
          <w:p w14:paraId="689DCD7C" w14:textId="04F397C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43153.41</w:t>
            </w:r>
          </w:p>
        </w:tc>
        <w:tc>
          <w:tcPr>
            <w:tcW w:w="1056" w:type="dxa"/>
            <w:vAlign w:val="center"/>
          </w:tcPr>
          <w:p w14:paraId="08E0EAA9" w14:textId="1011C77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179587.81</w:t>
            </w:r>
          </w:p>
        </w:tc>
      </w:tr>
      <w:tr w:rsidR="009775CB" w:rsidRPr="0078036E" w14:paraId="4E9976B3" w14:textId="77777777" w:rsidTr="0049031D">
        <w:trPr>
          <w:trHeight w:val="20"/>
          <w:jc w:val="center"/>
        </w:trPr>
        <w:tc>
          <w:tcPr>
            <w:tcW w:w="421" w:type="dxa"/>
            <w:vAlign w:val="center"/>
          </w:tcPr>
          <w:p w14:paraId="619EA012" w14:textId="706B804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w:t>
            </w:r>
          </w:p>
        </w:tc>
        <w:tc>
          <w:tcPr>
            <w:tcW w:w="1391" w:type="dxa"/>
            <w:vAlign w:val="center"/>
          </w:tcPr>
          <w:p w14:paraId="1D6FB7C5" w14:textId="6725EA8E"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Uttar Pradesh</w:t>
            </w:r>
          </w:p>
        </w:tc>
        <w:tc>
          <w:tcPr>
            <w:tcW w:w="978" w:type="dxa"/>
            <w:vAlign w:val="center"/>
          </w:tcPr>
          <w:p w14:paraId="61E9C340" w14:textId="34A428A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39245.50</w:t>
            </w:r>
          </w:p>
        </w:tc>
        <w:tc>
          <w:tcPr>
            <w:tcW w:w="976" w:type="dxa"/>
            <w:vAlign w:val="center"/>
          </w:tcPr>
          <w:p w14:paraId="5FF4616A" w14:textId="18B9153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41433.63</w:t>
            </w:r>
          </w:p>
        </w:tc>
        <w:tc>
          <w:tcPr>
            <w:tcW w:w="1073" w:type="dxa"/>
            <w:vAlign w:val="center"/>
          </w:tcPr>
          <w:p w14:paraId="3D4A0051" w14:textId="0F6FCAC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43743.75</w:t>
            </w:r>
          </w:p>
        </w:tc>
        <w:tc>
          <w:tcPr>
            <w:tcW w:w="1073" w:type="dxa"/>
            <w:vAlign w:val="center"/>
          </w:tcPr>
          <w:p w14:paraId="5AFAF0FA" w14:textId="4EC402E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46182.68</w:t>
            </w:r>
          </w:p>
        </w:tc>
        <w:tc>
          <w:tcPr>
            <w:tcW w:w="979" w:type="dxa"/>
            <w:vAlign w:val="center"/>
          </w:tcPr>
          <w:p w14:paraId="67FB8095" w14:textId="50B0F98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48757.58</w:t>
            </w:r>
          </w:p>
        </w:tc>
        <w:tc>
          <w:tcPr>
            <w:tcW w:w="979" w:type="dxa"/>
            <w:vAlign w:val="center"/>
          </w:tcPr>
          <w:p w14:paraId="3680C532" w14:textId="3061185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51476.05</w:t>
            </w:r>
          </w:p>
        </w:tc>
        <w:tc>
          <w:tcPr>
            <w:tcW w:w="1056" w:type="dxa"/>
            <w:vAlign w:val="center"/>
          </w:tcPr>
          <w:p w14:paraId="0519ECAE" w14:textId="17F098B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231593.69</w:t>
            </w:r>
          </w:p>
        </w:tc>
      </w:tr>
      <w:tr w:rsidR="009775CB" w:rsidRPr="0078036E" w14:paraId="46DD502B" w14:textId="77777777" w:rsidTr="0049031D">
        <w:trPr>
          <w:trHeight w:val="20"/>
          <w:jc w:val="center"/>
        </w:trPr>
        <w:tc>
          <w:tcPr>
            <w:tcW w:w="421" w:type="dxa"/>
            <w:vAlign w:val="center"/>
          </w:tcPr>
          <w:p w14:paraId="76E9D934" w14:textId="3359529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w:t>
            </w:r>
          </w:p>
        </w:tc>
        <w:tc>
          <w:tcPr>
            <w:tcW w:w="1391" w:type="dxa"/>
            <w:vAlign w:val="center"/>
          </w:tcPr>
          <w:p w14:paraId="043E9BC0" w14:textId="04C35ECE"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West Bengal</w:t>
            </w:r>
          </w:p>
        </w:tc>
        <w:tc>
          <w:tcPr>
            <w:tcW w:w="978" w:type="dxa"/>
            <w:vAlign w:val="center"/>
          </w:tcPr>
          <w:p w14:paraId="70E9D1F7" w14:textId="5618AB6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30385.53</w:t>
            </w:r>
          </w:p>
        </w:tc>
        <w:tc>
          <w:tcPr>
            <w:tcW w:w="976" w:type="dxa"/>
            <w:vAlign w:val="center"/>
          </w:tcPr>
          <w:p w14:paraId="5528D9EE" w14:textId="0B753CF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30733.16</w:t>
            </w:r>
          </w:p>
        </w:tc>
        <w:tc>
          <w:tcPr>
            <w:tcW w:w="1073" w:type="dxa"/>
            <w:vAlign w:val="center"/>
          </w:tcPr>
          <w:p w14:paraId="1B3D5A34" w14:textId="2BB12E7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31084.76</w:t>
            </w:r>
          </w:p>
        </w:tc>
        <w:tc>
          <w:tcPr>
            <w:tcW w:w="1073" w:type="dxa"/>
            <w:vAlign w:val="center"/>
          </w:tcPr>
          <w:p w14:paraId="1BBA2F18" w14:textId="4751724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31440.39</w:t>
            </w:r>
          </w:p>
        </w:tc>
        <w:tc>
          <w:tcPr>
            <w:tcW w:w="979" w:type="dxa"/>
            <w:vAlign w:val="center"/>
          </w:tcPr>
          <w:p w14:paraId="50AD7A05" w14:textId="1A9A448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31800.09</w:t>
            </w:r>
          </w:p>
        </w:tc>
        <w:tc>
          <w:tcPr>
            <w:tcW w:w="979" w:type="dxa"/>
            <w:vAlign w:val="center"/>
          </w:tcPr>
          <w:p w14:paraId="2A2EE48A" w14:textId="2B44632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32163.90</w:t>
            </w:r>
          </w:p>
        </w:tc>
        <w:tc>
          <w:tcPr>
            <w:tcW w:w="1056" w:type="dxa"/>
            <w:vAlign w:val="center"/>
          </w:tcPr>
          <w:p w14:paraId="640249FD" w14:textId="799CED7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157222.30</w:t>
            </w:r>
          </w:p>
        </w:tc>
      </w:tr>
      <w:tr w:rsidR="009775CB" w:rsidRPr="0078036E" w14:paraId="46353683" w14:textId="77777777" w:rsidTr="0049031D">
        <w:trPr>
          <w:trHeight w:val="20"/>
          <w:jc w:val="center"/>
        </w:trPr>
        <w:tc>
          <w:tcPr>
            <w:tcW w:w="421" w:type="dxa"/>
            <w:vAlign w:val="center"/>
          </w:tcPr>
          <w:p w14:paraId="2ED82A24" w14:textId="0279263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14</w:t>
            </w:r>
          </w:p>
        </w:tc>
        <w:tc>
          <w:tcPr>
            <w:tcW w:w="1391" w:type="dxa"/>
            <w:vAlign w:val="center"/>
          </w:tcPr>
          <w:p w14:paraId="35D58484" w14:textId="7CBCEC84"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b/>
                <w:bCs/>
                <w:sz w:val="16"/>
                <w:szCs w:val="16"/>
              </w:rPr>
              <w:t>Major States</w:t>
            </w:r>
          </w:p>
        </w:tc>
        <w:tc>
          <w:tcPr>
            <w:tcW w:w="978" w:type="dxa"/>
            <w:vAlign w:val="center"/>
          </w:tcPr>
          <w:p w14:paraId="5B4982D5" w14:textId="76CA758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320685.43</w:t>
            </w:r>
          </w:p>
        </w:tc>
        <w:tc>
          <w:tcPr>
            <w:tcW w:w="976" w:type="dxa"/>
            <w:vAlign w:val="center"/>
          </w:tcPr>
          <w:p w14:paraId="2E2D1F24" w14:textId="500C548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342747.50</w:t>
            </w:r>
          </w:p>
        </w:tc>
        <w:tc>
          <w:tcPr>
            <w:tcW w:w="1073" w:type="dxa"/>
            <w:vAlign w:val="center"/>
          </w:tcPr>
          <w:p w14:paraId="141061ED" w14:textId="041287D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366566.33</w:t>
            </w:r>
          </w:p>
        </w:tc>
        <w:tc>
          <w:tcPr>
            <w:tcW w:w="1073" w:type="dxa"/>
            <w:vAlign w:val="center"/>
          </w:tcPr>
          <w:p w14:paraId="53897D44" w14:textId="55F23F0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392292.09</w:t>
            </w:r>
          </w:p>
        </w:tc>
        <w:tc>
          <w:tcPr>
            <w:tcW w:w="979" w:type="dxa"/>
            <w:vAlign w:val="center"/>
          </w:tcPr>
          <w:p w14:paraId="5C976E12" w14:textId="496926B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420088.34</w:t>
            </w:r>
          </w:p>
        </w:tc>
        <w:tc>
          <w:tcPr>
            <w:tcW w:w="979" w:type="dxa"/>
            <w:vAlign w:val="center"/>
          </w:tcPr>
          <w:p w14:paraId="3866969C" w14:textId="6200252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450133.32</w:t>
            </w:r>
          </w:p>
        </w:tc>
        <w:tc>
          <w:tcPr>
            <w:tcW w:w="1056" w:type="dxa"/>
            <w:vAlign w:val="center"/>
          </w:tcPr>
          <w:p w14:paraId="52ACB1FE" w14:textId="3A9D689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1971827.57</w:t>
            </w:r>
          </w:p>
        </w:tc>
      </w:tr>
      <w:tr w:rsidR="009775CB" w:rsidRPr="0078036E" w14:paraId="7DAB08F3" w14:textId="77777777" w:rsidTr="00070550">
        <w:trPr>
          <w:trHeight w:val="20"/>
          <w:jc w:val="center"/>
        </w:trPr>
        <w:tc>
          <w:tcPr>
            <w:tcW w:w="8926" w:type="dxa"/>
            <w:gridSpan w:val="9"/>
            <w:vAlign w:val="center"/>
          </w:tcPr>
          <w:p w14:paraId="7D77F2D0" w14:textId="3C22F17F" w:rsidR="009775CB" w:rsidRPr="00BB6DC9"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20"/>
                <w:szCs w:val="20"/>
              </w:rPr>
              <w:t>Expenditure Category: Higher Education</w:t>
            </w:r>
          </w:p>
        </w:tc>
      </w:tr>
      <w:tr w:rsidR="009775CB" w:rsidRPr="0078036E" w14:paraId="4DD91AD1" w14:textId="77777777" w:rsidTr="0049031D">
        <w:trPr>
          <w:trHeight w:val="20"/>
          <w:jc w:val="center"/>
        </w:trPr>
        <w:tc>
          <w:tcPr>
            <w:tcW w:w="421" w:type="dxa"/>
            <w:vAlign w:val="center"/>
          </w:tcPr>
          <w:p w14:paraId="3EE8B5FA" w14:textId="71FBB44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No.</w:t>
            </w:r>
          </w:p>
        </w:tc>
        <w:tc>
          <w:tcPr>
            <w:tcW w:w="1391" w:type="dxa"/>
            <w:vAlign w:val="center"/>
          </w:tcPr>
          <w:p w14:paraId="0099FFE8" w14:textId="603F475A"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b/>
                <w:bCs/>
                <w:sz w:val="16"/>
                <w:szCs w:val="16"/>
              </w:rPr>
              <w:t>State</w:t>
            </w:r>
          </w:p>
        </w:tc>
        <w:tc>
          <w:tcPr>
            <w:tcW w:w="978" w:type="dxa"/>
            <w:vAlign w:val="center"/>
          </w:tcPr>
          <w:p w14:paraId="2EFB10B8" w14:textId="76A13FCD"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1989-90</w:t>
            </w:r>
          </w:p>
        </w:tc>
        <w:tc>
          <w:tcPr>
            <w:tcW w:w="976" w:type="dxa"/>
            <w:vAlign w:val="center"/>
          </w:tcPr>
          <w:p w14:paraId="70BD277A" w14:textId="2319A23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w:t>
            </w:r>
          </w:p>
        </w:tc>
        <w:tc>
          <w:tcPr>
            <w:tcW w:w="1073" w:type="dxa"/>
            <w:vAlign w:val="center"/>
          </w:tcPr>
          <w:p w14:paraId="23A06759" w14:textId="2970226B"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1991-92</w:t>
            </w:r>
          </w:p>
        </w:tc>
        <w:tc>
          <w:tcPr>
            <w:tcW w:w="1073" w:type="dxa"/>
            <w:vAlign w:val="center"/>
          </w:tcPr>
          <w:p w14:paraId="5BA9927A" w14:textId="4DE53CEF"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1992-93</w:t>
            </w:r>
          </w:p>
        </w:tc>
        <w:tc>
          <w:tcPr>
            <w:tcW w:w="979" w:type="dxa"/>
            <w:vAlign w:val="center"/>
          </w:tcPr>
          <w:p w14:paraId="136547A9" w14:textId="6E5F8366"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1993-94</w:t>
            </w:r>
          </w:p>
        </w:tc>
        <w:tc>
          <w:tcPr>
            <w:tcW w:w="979" w:type="dxa"/>
            <w:vAlign w:val="center"/>
          </w:tcPr>
          <w:p w14:paraId="2F7AE31B" w14:textId="6140D37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1994-95</w:t>
            </w:r>
          </w:p>
        </w:tc>
        <w:tc>
          <w:tcPr>
            <w:tcW w:w="1056" w:type="dxa"/>
            <w:vAlign w:val="center"/>
          </w:tcPr>
          <w:p w14:paraId="18674BF1" w14:textId="0EFC8BC4"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 to 1994-95</w:t>
            </w:r>
          </w:p>
        </w:tc>
      </w:tr>
      <w:tr w:rsidR="009775CB" w:rsidRPr="0078036E" w14:paraId="5BCA409D" w14:textId="77777777" w:rsidTr="0049031D">
        <w:trPr>
          <w:trHeight w:val="20"/>
          <w:jc w:val="center"/>
        </w:trPr>
        <w:tc>
          <w:tcPr>
            <w:tcW w:w="421" w:type="dxa"/>
            <w:vAlign w:val="center"/>
          </w:tcPr>
          <w:p w14:paraId="025FF1A4" w14:textId="791DABE3"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w:t>
            </w:r>
          </w:p>
        </w:tc>
        <w:tc>
          <w:tcPr>
            <w:tcW w:w="1391" w:type="dxa"/>
            <w:vAlign w:val="center"/>
          </w:tcPr>
          <w:p w14:paraId="35C5D567" w14:textId="0258100A"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sz w:val="16"/>
                <w:szCs w:val="16"/>
              </w:rPr>
              <w:t>Andhra Pradesh</w:t>
            </w:r>
          </w:p>
        </w:tc>
        <w:tc>
          <w:tcPr>
            <w:tcW w:w="978" w:type="dxa"/>
            <w:vAlign w:val="center"/>
          </w:tcPr>
          <w:p w14:paraId="0198AC70" w14:textId="076C0AC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17468.08</w:t>
            </w:r>
          </w:p>
        </w:tc>
        <w:tc>
          <w:tcPr>
            <w:tcW w:w="976" w:type="dxa"/>
            <w:vAlign w:val="center"/>
          </w:tcPr>
          <w:p w14:paraId="591BEAE6" w14:textId="56E54DA7"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18540.61</w:t>
            </w:r>
          </w:p>
        </w:tc>
        <w:tc>
          <w:tcPr>
            <w:tcW w:w="1073" w:type="dxa"/>
            <w:vAlign w:val="center"/>
          </w:tcPr>
          <w:p w14:paraId="1F0F6BD3" w14:textId="35E0F1B3"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19679.00</w:t>
            </w:r>
          </w:p>
        </w:tc>
        <w:tc>
          <w:tcPr>
            <w:tcW w:w="1073" w:type="dxa"/>
            <w:vAlign w:val="center"/>
          </w:tcPr>
          <w:p w14:paraId="2DA83CAB" w14:textId="11A53C1E"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20887.29</w:t>
            </w:r>
          </w:p>
        </w:tc>
        <w:tc>
          <w:tcPr>
            <w:tcW w:w="979" w:type="dxa"/>
            <w:vAlign w:val="center"/>
          </w:tcPr>
          <w:p w14:paraId="2A2C3CBF" w14:textId="0B00077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22169.77</w:t>
            </w:r>
          </w:p>
        </w:tc>
        <w:tc>
          <w:tcPr>
            <w:tcW w:w="979" w:type="dxa"/>
            <w:vAlign w:val="center"/>
          </w:tcPr>
          <w:p w14:paraId="7E232FF1" w14:textId="1B2A4AE7"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23530.98</w:t>
            </w:r>
          </w:p>
        </w:tc>
        <w:tc>
          <w:tcPr>
            <w:tcW w:w="1056" w:type="dxa"/>
            <w:vAlign w:val="center"/>
          </w:tcPr>
          <w:p w14:paraId="26F33879" w14:textId="4088330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104807.66</w:t>
            </w:r>
          </w:p>
        </w:tc>
      </w:tr>
      <w:tr w:rsidR="009775CB" w:rsidRPr="0078036E" w14:paraId="5941B9D8" w14:textId="77777777" w:rsidTr="0049031D">
        <w:trPr>
          <w:trHeight w:val="20"/>
          <w:jc w:val="center"/>
        </w:trPr>
        <w:tc>
          <w:tcPr>
            <w:tcW w:w="421" w:type="dxa"/>
            <w:vAlign w:val="center"/>
          </w:tcPr>
          <w:p w14:paraId="7E86EB1E" w14:textId="49836C1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w:t>
            </w:r>
          </w:p>
        </w:tc>
        <w:tc>
          <w:tcPr>
            <w:tcW w:w="1391" w:type="dxa"/>
            <w:vAlign w:val="center"/>
          </w:tcPr>
          <w:p w14:paraId="18F6E991" w14:textId="51D74371"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Bihar</w:t>
            </w:r>
          </w:p>
        </w:tc>
        <w:tc>
          <w:tcPr>
            <w:tcW w:w="978" w:type="dxa"/>
            <w:vAlign w:val="center"/>
          </w:tcPr>
          <w:p w14:paraId="536B2954" w14:textId="4A4314A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17710.25</w:t>
            </w:r>
          </w:p>
        </w:tc>
        <w:tc>
          <w:tcPr>
            <w:tcW w:w="976" w:type="dxa"/>
            <w:vAlign w:val="center"/>
          </w:tcPr>
          <w:p w14:paraId="511D6A8F" w14:textId="0A7C12E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19819.11</w:t>
            </w:r>
          </w:p>
        </w:tc>
        <w:tc>
          <w:tcPr>
            <w:tcW w:w="1073" w:type="dxa"/>
            <w:vAlign w:val="center"/>
          </w:tcPr>
          <w:p w14:paraId="708DD121" w14:textId="54EDDF4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22179.09</w:t>
            </w:r>
          </w:p>
        </w:tc>
        <w:tc>
          <w:tcPr>
            <w:tcW w:w="1073" w:type="dxa"/>
            <w:vAlign w:val="center"/>
          </w:tcPr>
          <w:p w14:paraId="0B9CCF62" w14:textId="449BFCA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24820.08</w:t>
            </w:r>
          </w:p>
        </w:tc>
        <w:tc>
          <w:tcPr>
            <w:tcW w:w="979" w:type="dxa"/>
            <w:vAlign w:val="center"/>
          </w:tcPr>
          <w:p w14:paraId="19CCA7C3" w14:textId="2F37E27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27775.56</w:t>
            </w:r>
          </w:p>
        </w:tc>
        <w:tc>
          <w:tcPr>
            <w:tcW w:w="979" w:type="dxa"/>
            <w:vAlign w:val="center"/>
          </w:tcPr>
          <w:p w14:paraId="5B4CB06A" w14:textId="0DF8B71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31082.95</w:t>
            </w:r>
          </w:p>
        </w:tc>
        <w:tc>
          <w:tcPr>
            <w:tcW w:w="1056" w:type="dxa"/>
            <w:vAlign w:val="center"/>
          </w:tcPr>
          <w:p w14:paraId="2818C4C6" w14:textId="1995CE5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125676.79</w:t>
            </w:r>
          </w:p>
        </w:tc>
      </w:tr>
      <w:tr w:rsidR="009775CB" w:rsidRPr="0078036E" w14:paraId="365DD753" w14:textId="77777777" w:rsidTr="0049031D">
        <w:trPr>
          <w:trHeight w:val="20"/>
          <w:jc w:val="center"/>
        </w:trPr>
        <w:tc>
          <w:tcPr>
            <w:tcW w:w="421" w:type="dxa"/>
            <w:vAlign w:val="center"/>
          </w:tcPr>
          <w:p w14:paraId="6D1C30A6" w14:textId="491A61C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w:t>
            </w:r>
          </w:p>
        </w:tc>
        <w:tc>
          <w:tcPr>
            <w:tcW w:w="1391" w:type="dxa"/>
            <w:vAlign w:val="center"/>
          </w:tcPr>
          <w:p w14:paraId="6D834BA2" w14:textId="14259B82"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Gujarat</w:t>
            </w:r>
          </w:p>
        </w:tc>
        <w:tc>
          <w:tcPr>
            <w:tcW w:w="978" w:type="dxa"/>
            <w:vAlign w:val="center"/>
          </w:tcPr>
          <w:p w14:paraId="60F98574" w14:textId="01CB950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8281.04</w:t>
            </w:r>
          </w:p>
        </w:tc>
        <w:tc>
          <w:tcPr>
            <w:tcW w:w="976" w:type="dxa"/>
            <w:vAlign w:val="center"/>
          </w:tcPr>
          <w:p w14:paraId="5F8199DE" w14:textId="7A202BD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8848.10</w:t>
            </w:r>
          </w:p>
        </w:tc>
        <w:tc>
          <w:tcPr>
            <w:tcW w:w="1073" w:type="dxa"/>
            <w:vAlign w:val="center"/>
          </w:tcPr>
          <w:p w14:paraId="09F8B49D" w14:textId="3F3EC73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9453.98</w:t>
            </w:r>
          </w:p>
        </w:tc>
        <w:tc>
          <w:tcPr>
            <w:tcW w:w="1073" w:type="dxa"/>
            <w:vAlign w:val="center"/>
          </w:tcPr>
          <w:p w14:paraId="2535B225" w14:textId="666CD64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10101.36</w:t>
            </w:r>
          </w:p>
        </w:tc>
        <w:tc>
          <w:tcPr>
            <w:tcW w:w="979" w:type="dxa"/>
            <w:vAlign w:val="center"/>
          </w:tcPr>
          <w:p w14:paraId="17FFF762" w14:textId="7864569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10793.06</w:t>
            </w:r>
          </w:p>
        </w:tc>
        <w:tc>
          <w:tcPr>
            <w:tcW w:w="979" w:type="dxa"/>
            <w:vAlign w:val="center"/>
          </w:tcPr>
          <w:p w14:paraId="51C21815" w14:textId="3C5A32E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11532.13</w:t>
            </w:r>
          </w:p>
        </w:tc>
        <w:tc>
          <w:tcPr>
            <w:tcW w:w="1056" w:type="dxa"/>
            <w:vAlign w:val="center"/>
          </w:tcPr>
          <w:p w14:paraId="1E22C149" w14:textId="6B5E7D6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50728.63</w:t>
            </w:r>
          </w:p>
        </w:tc>
      </w:tr>
      <w:tr w:rsidR="009775CB" w:rsidRPr="0078036E" w14:paraId="41728E2A" w14:textId="77777777" w:rsidTr="0049031D">
        <w:trPr>
          <w:trHeight w:val="20"/>
          <w:jc w:val="center"/>
        </w:trPr>
        <w:tc>
          <w:tcPr>
            <w:tcW w:w="421" w:type="dxa"/>
            <w:vAlign w:val="center"/>
          </w:tcPr>
          <w:p w14:paraId="427DF739" w14:textId="62C4C2D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w:t>
            </w:r>
          </w:p>
        </w:tc>
        <w:tc>
          <w:tcPr>
            <w:tcW w:w="1391" w:type="dxa"/>
            <w:vAlign w:val="center"/>
          </w:tcPr>
          <w:p w14:paraId="758226D0" w14:textId="3172926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Haryana</w:t>
            </w:r>
          </w:p>
        </w:tc>
        <w:tc>
          <w:tcPr>
            <w:tcW w:w="978" w:type="dxa"/>
            <w:vAlign w:val="center"/>
          </w:tcPr>
          <w:p w14:paraId="1D17E2FD" w14:textId="1368833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3332.35</w:t>
            </w:r>
          </w:p>
        </w:tc>
        <w:tc>
          <w:tcPr>
            <w:tcW w:w="976" w:type="dxa"/>
            <w:vAlign w:val="center"/>
          </w:tcPr>
          <w:p w14:paraId="386BCD44" w14:textId="2B7FAFF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3488.74</w:t>
            </w:r>
          </w:p>
        </w:tc>
        <w:tc>
          <w:tcPr>
            <w:tcW w:w="1073" w:type="dxa"/>
            <w:vAlign w:val="center"/>
          </w:tcPr>
          <w:p w14:paraId="1AAE7CE0" w14:textId="5C8EC41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3652.48</w:t>
            </w:r>
          </w:p>
        </w:tc>
        <w:tc>
          <w:tcPr>
            <w:tcW w:w="1073" w:type="dxa"/>
            <w:vAlign w:val="center"/>
          </w:tcPr>
          <w:p w14:paraId="32F968AE" w14:textId="6C06728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3823.90</w:t>
            </w:r>
          </w:p>
        </w:tc>
        <w:tc>
          <w:tcPr>
            <w:tcW w:w="979" w:type="dxa"/>
            <w:vAlign w:val="center"/>
          </w:tcPr>
          <w:p w14:paraId="2531A3BE" w14:textId="4E63ED9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4003.37</w:t>
            </w:r>
          </w:p>
        </w:tc>
        <w:tc>
          <w:tcPr>
            <w:tcW w:w="979" w:type="dxa"/>
            <w:vAlign w:val="center"/>
          </w:tcPr>
          <w:p w14:paraId="7C638344" w14:textId="6A9ED08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4191.26</w:t>
            </w:r>
          </w:p>
        </w:tc>
        <w:tc>
          <w:tcPr>
            <w:tcW w:w="1056" w:type="dxa"/>
            <w:vAlign w:val="center"/>
          </w:tcPr>
          <w:p w14:paraId="10AFC057" w14:textId="69B2FC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19159.76</w:t>
            </w:r>
          </w:p>
        </w:tc>
      </w:tr>
      <w:tr w:rsidR="009775CB" w:rsidRPr="0078036E" w14:paraId="7BC56D26" w14:textId="77777777" w:rsidTr="0049031D">
        <w:trPr>
          <w:trHeight w:val="20"/>
          <w:jc w:val="center"/>
        </w:trPr>
        <w:tc>
          <w:tcPr>
            <w:tcW w:w="421" w:type="dxa"/>
            <w:vAlign w:val="center"/>
          </w:tcPr>
          <w:p w14:paraId="6FC11F66" w14:textId="5FF93D8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w:t>
            </w:r>
          </w:p>
        </w:tc>
        <w:tc>
          <w:tcPr>
            <w:tcW w:w="1391" w:type="dxa"/>
            <w:vAlign w:val="center"/>
          </w:tcPr>
          <w:p w14:paraId="5EDE8FDA" w14:textId="77B9F4C0"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Karnataka</w:t>
            </w:r>
          </w:p>
        </w:tc>
        <w:tc>
          <w:tcPr>
            <w:tcW w:w="978" w:type="dxa"/>
            <w:vAlign w:val="center"/>
          </w:tcPr>
          <w:p w14:paraId="1B418B85" w14:textId="33EF56F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11323.51</w:t>
            </w:r>
          </w:p>
        </w:tc>
        <w:tc>
          <w:tcPr>
            <w:tcW w:w="976" w:type="dxa"/>
            <w:vAlign w:val="center"/>
          </w:tcPr>
          <w:p w14:paraId="3C922151" w14:textId="7FE9482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11935.71</w:t>
            </w:r>
          </w:p>
        </w:tc>
        <w:tc>
          <w:tcPr>
            <w:tcW w:w="1073" w:type="dxa"/>
            <w:vAlign w:val="center"/>
          </w:tcPr>
          <w:p w14:paraId="4D14FC83" w14:textId="3382FAD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12581.00</w:t>
            </w:r>
          </w:p>
        </w:tc>
        <w:tc>
          <w:tcPr>
            <w:tcW w:w="1073" w:type="dxa"/>
            <w:vAlign w:val="center"/>
          </w:tcPr>
          <w:p w14:paraId="3928107F" w14:textId="42DE7DF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13261.17</w:t>
            </w:r>
          </w:p>
        </w:tc>
        <w:tc>
          <w:tcPr>
            <w:tcW w:w="979" w:type="dxa"/>
            <w:vAlign w:val="center"/>
          </w:tcPr>
          <w:p w14:paraId="510DA8FC" w14:textId="6C9482B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13978.12</w:t>
            </w:r>
          </w:p>
        </w:tc>
        <w:tc>
          <w:tcPr>
            <w:tcW w:w="979" w:type="dxa"/>
            <w:vAlign w:val="center"/>
          </w:tcPr>
          <w:p w14:paraId="1418A504" w14:textId="18669F1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14733.83</w:t>
            </w:r>
          </w:p>
        </w:tc>
        <w:tc>
          <w:tcPr>
            <w:tcW w:w="1056" w:type="dxa"/>
            <w:vAlign w:val="center"/>
          </w:tcPr>
          <w:p w14:paraId="107F3949" w14:textId="33F1E04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66489.84</w:t>
            </w:r>
          </w:p>
        </w:tc>
      </w:tr>
      <w:tr w:rsidR="009775CB" w:rsidRPr="0078036E" w14:paraId="314B4652" w14:textId="77777777" w:rsidTr="0049031D">
        <w:trPr>
          <w:trHeight w:val="20"/>
          <w:jc w:val="center"/>
        </w:trPr>
        <w:tc>
          <w:tcPr>
            <w:tcW w:w="421" w:type="dxa"/>
            <w:vAlign w:val="center"/>
          </w:tcPr>
          <w:p w14:paraId="4DA1D6CF" w14:textId="2FD58D2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w:t>
            </w:r>
          </w:p>
        </w:tc>
        <w:tc>
          <w:tcPr>
            <w:tcW w:w="1391" w:type="dxa"/>
            <w:vAlign w:val="center"/>
          </w:tcPr>
          <w:p w14:paraId="54BA9CD0" w14:textId="2E9426E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Kerala</w:t>
            </w:r>
          </w:p>
        </w:tc>
        <w:tc>
          <w:tcPr>
            <w:tcW w:w="978" w:type="dxa"/>
            <w:vAlign w:val="center"/>
          </w:tcPr>
          <w:p w14:paraId="161EBAB2" w14:textId="04A5EFD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9622.39</w:t>
            </w:r>
          </w:p>
        </w:tc>
        <w:tc>
          <w:tcPr>
            <w:tcW w:w="976" w:type="dxa"/>
            <w:vAlign w:val="center"/>
          </w:tcPr>
          <w:p w14:paraId="33ECFE0E" w14:textId="6CEF0F9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10024.79</w:t>
            </w:r>
          </w:p>
        </w:tc>
        <w:tc>
          <w:tcPr>
            <w:tcW w:w="1073" w:type="dxa"/>
            <w:vAlign w:val="center"/>
          </w:tcPr>
          <w:p w14:paraId="25DB2C30" w14:textId="2A35800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10444.02</w:t>
            </w:r>
          </w:p>
        </w:tc>
        <w:tc>
          <w:tcPr>
            <w:tcW w:w="1073" w:type="dxa"/>
            <w:vAlign w:val="center"/>
          </w:tcPr>
          <w:p w14:paraId="643B03C1" w14:textId="617C54B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10880.78</w:t>
            </w:r>
          </w:p>
        </w:tc>
        <w:tc>
          <w:tcPr>
            <w:tcW w:w="979" w:type="dxa"/>
            <w:vAlign w:val="center"/>
          </w:tcPr>
          <w:p w14:paraId="470BE68B" w14:textId="79CBE79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11335.81</w:t>
            </w:r>
          </w:p>
        </w:tc>
        <w:tc>
          <w:tcPr>
            <w:tcW w:w="979" w:type="dxa"/>
            <w:vAlign w:val="center"/>
          </w:tcPr>
          <w:p w14:paraId="2E983DC3" w14:textId="1E7FB11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11809.87</w:t>
            </w:r>
          </w:p>
        </w:tc>
        <w:tc>
          <w:tcPr>
            <w:tcW w:w="1056" w:type="dxa"/>
            <w:vAlign w:val="center"/>
          </w:tcPr>
          <w:p w14:paraId="21861E76" w14:textId="23BAA71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54495.27</w:t>
            </w:r>
          </w:p>
        </w:tc>
      </w:tr>
      <w:tr w:rsidR="009775CB" w:rsidRPr="0078036E" w14:paraId="4254EF5A" w14:textId="77777777" w:rsidTr="0049031D">
        <w:trPr>
          <w:trHeight w:val="20"/>
          <w:jc w:val="center"/>
        </w:trPr>
        <w:tc>
          <w:tcPr>
            <w:tcW w:w="421" w:type="dxa"/>
            <w:vAlign w:val="center"/>
          </w:tcPr>
          <w:p w14:paraId="7457EE77" w14:textId="4F6F2DB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w:t>
            </w:r>
          </w:p>
        </w:tc>
        <w:tc>
          <w:tcPr>
            <w:tcW w:w="1391" w:type="dxa"/>
            <w:vAlign w:val="center"/>
          </w:tcPr>
          <w:p w14:paraId="6C643673" w14:textId="773A3732"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Madhya Pradesh</w:t>
            </w:r>
          </w:p>
        </w:tc>
        <w:tc>
          <w:tcPr>
            <w:tcW w:w="978" w:type="dxa"/>
            <w:vAlign w:val="center"/>
          </w:tcPr>
          <w:p w14:paraId="5B89D748" w14:textId="0F6478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7919.26</w:t>
            </w:r>
          </w:p>
        </w:tc>
        <w:tc>
          <w:tcPr>
            <w:tcW w:w="976" w:type="dxa"/>
            <w:vAlign w:val="center"/>
          </w:tcPr>
          <w:p w14:paraId="5214C896" w14:textId="1C689EB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8272.00</w:t>
            </w:r>
          </w:p>
        </w:tc>
        <w:tc>
          <w:tcPr>
            <w:tcW w:w="1073" w:type="dxa"/>
            <w:vAlign w:val="center"/>
          </w:tcPr>
          <w:p w14:paraId="025FFDC2" w14:textId="749D531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8640.46</w:t>
            </w:r>
          </w:p>
        </w:tc>
        <w:tc>
          <w:tcPr>
            <w:tcW w:w="1073" w:type="dxa"/>
            <w:vAlign w:val="center"/>
          </w:tcPr>
          <w:p w14:paraId="3796B818" w14:textId="5289117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9025.33</w:t>
            </w:r>
          </w:p>
        </w:tc>
        <w:tc>
          <w:tcPr>
            <w:tcW w:w="979" w:type="dxa"/>
            <w:vAlign w:val="center"/>
          </w:tcPr>
          <w:p w14:paraId="2C21488A" w14:textId="6F70BF8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9427.34</w:t>
            </w:r>
          </w:p>
        </w:tc>
        <w:tc>
          <w:tcPr>
            <w:tcW w:w="979" w:type="dxa"/>
            <w:vAlign w:val="center"/>
          </w:tcPr>
          <w:p w14:paraId="13E89C1E" w14:textId="5371679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9847.25</w:t>
            </w:r>
          </w:p>
        </w:tc>
        <w:tc>
          <w:tcPr>
            <w:tcW w:w="1056" w:type="dxa"/>
            <w:vAlign w:val="center"/>
          </w:tcPr>
          <w:p w14:paraId="5DB9F766" w14:textId="409F6D3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45212.38</w:t>
            </w:r>
          </w:p>
        </w:tc>
      </w:tr>
      <w:tr w:rsidR="009775CB" w:rsidRPr="0078036E" w14:paraId="7A22C21A" w14:textId="77777777" w:rsidTr="0049031D">
        <w:trPr>
          <w:trHeight w:val="20"/>
          <w:jc w:val="center"/>
        </w:trPr>
        <w:tc>
          <w:tcPr>
            <w:tcW w:w="421" w:type="dxa"/>
            <w:vAlign w:val="center"/>
          </w:tcPr>
          <w:p w14:paraId="411611C4" w14:textId="227D586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w:t>
            </w:r>
          </w:p>
        </w:tc>
        <w:tc>
          <w:tcPr>
            <w:tcW w:w="1391" w:type="dxa"/>
            <w:vAlign w:val="center"/>
          </w:tcPr>
          <w:p w14:paraId="06B46645" w14:textId="3DB461A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Maharashtra</w:t>
            </w:r>
          </w:p>
        </w:tc>
        <w:tc>
          <w:tcPr>
            <w:tcW w:w="978" w:type="dxa"/>
            <w:vAlign w:val="center"/>
          </w:tcPr>
          <w:p w14:paraId="51C42547" w14:textId="4C13D48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17526.09</w:t>
            </w:r>
          </w:p>
        </w:tc>
        <w:tc>
          <w:tcPr>
            <w:tcW w:w="976" w:type="dxa"/>
            <w:vAlign w:val="center"/>
          </w:tcPr>
          <w:p w14:paraId="6CD7082E" w14:textId="2FCE39F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18693.10</w:t>
            </w:r>
          </w:p>
        </w:tc>
        <w:tc>
          <w:tcPr>
            <w:tcW w:w="1073" w:type="dxa"/>
            <w:vAlign w:val="center"/>
          </w:tcPr>
          <w:p w14:paraId="1061C26D" w14:textId="159234D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19937.83</w:t>
            </w:r>
          </w:p>
        </w:tc>
        <w:tc>
          <w:tcPr>
            <w:tcW w:w="1073" w:type="dxa"/>
            <w:vAlign w:val="center"/>
          </w:tcPr>
          <w:p w14:paraId="116C90DD" w14:textId="2501BE8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21265.44</w:t>
            </w:r>
          </w:p>
        </w:tc>
        <w:tc>
          <w:tcPr>
            <w:tcW w:w="979" w:type="dxa"/>
            <w:vAlign w:val="center"/>
          </w:tcPr>
          <w:p w14:paraId="0CFE29C8" w14:textId="4EF5F64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22681.46</w:t>
            </w:r>
          </w:p>
        </w:tc>
        <w:tc>
          <w:tcPr>
            <w:tcW w:w="979" w:type="dxa"/>
            <w:vAlign w:val="center"/>
          </w:tcPr>
          <w:p w14:paraId="0D9599AD" w14:textId="4CF63AC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24191.76</w:t>
            </w:r>
          </w:p>
        </w:tc>
        <w:tc>
          <w:tcPr>
            <w:tcW w:w="1056" w:type="dxa"/>
            <w:vAlign w:val="center"/>
          </w:tcPr>
          <w:p w14:paraId="3F354848" w14:textId="1D3A434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106769.60</w:t>
            </w:r>
          </w:p>
        </w:tc>
      </w:tr>
      <w:tr w:rsidR="009775CB" w:rsidRPr="0078036E" w14:paraId="7E73C86F" w14:textId="77777777" w:rsidTr="0049031D">
        <w:trPr>
          <w:trHeight w:val="20"/>
          <w:jc w:val="center"/>
        </w:trPr>
        <w:tc>
          <w:tcPr>
            <w:tcW w:w="421" w:type="dxa"/>
            <w:vAlign w:val="center"/>
          </w:tcPr>
          <w:p w14:paraId="766960B1" w14:textId="3ADD4D8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w:t>
            </w:r>
          </w:p>
        </w:tc>
        <w:tc>
          <w:tcPr>
            <w:tcW w:w="1391" w:type="dxa"/>
            <w:vAlign w:val="center"/>
          </w:tcPr>
          <w:p w14:paraId="43AF6933" w14:textId="56F3E99E"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Orissa</w:t>
            </w:r>
          </w:p>
        </w:tc>
        <w:tc>
          <w:tcPr>
            <w:tcW w:w="978" w:type="dxa"/>
            <w:vAlign w:val="center"/>
          </w:tcPr>
          <w:p w14:paraId="3B63AFF4" w14:textId="6656275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5912.25</w:t>
            </w:r>
          </w:p>
        </w:tc>
        <w:tc>
          <w:tcPr>
            <w:tcW w:w="976" w:type="dxa"/>
            <w:vAlign w:val="center"/>
          </w:tcPr>
          <w:p w14:paraId="7A620917" w14:textId="12311A3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6578.81</w:t>
            </w:r>
          </w:p>
        </w:tc>
        <w:tc>
          <w:tcPr>
            <w:tcW w:w="1073" w:type="dxa"/>
            <w:vAlign w:val="center"/>
          </w:tcPr>
          <w:p w14:paraId="1E03B550" w14:textId="00C86EE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7320.53</w:t>
            </w:r>
          </w:p>
        </w:tc>
        <w:tc>
          <w:tcPr>
            <w:tcW w:w="1073" w:type="dxa"/>
            <w:vAlign w:val="center"/>
          </w:tcPr>
          <w:p w14:paraId="0F4F7E94" w14:textId="2452639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8145.86</w:t>
            </w:r>
          </w:p>
        </w:tc>
        <w:tc>
          <w:tcPr>
            <w:tcW w:w="979" w:type="dxa"/>
            <w:vAlign w:val="center"/>
          </w:tcPr>
          <w:p w14:paraId="77B7B64D" w14:textId="07C4488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9064.24</w:t>
            </w:r>
          </w:p>
        </w:tc>
        <w:tc>
          <w:tcPr>
            <w:tcW w:w="979" w:type="dxa"/>
            <w:vAlign w:val="center"/>
          </w:tcPr>
          <w:p w14:paraId="5DD98D33" w14:textId="101EC41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10086.17</w:t>
            </w:r>
          </w:p>
        </w:tc>
        <w:tc>
          <w:tcPr>
            <w:tcW w:w="1056" w:type="dxa"/>
            <w:vAlign w:val="center"/>
          </w:tcPr>
          <w:p w14:paraId="7E0AC6A6" w14:textId="07545C5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41195.62</w:t>
            </w:r>
          </w:p>
        </w:tc>
      </w:tr>
      <w:tr w:rsidR="009775CB" w:rsidRPr="0078036E" w14:paraId="10553B6F" w14:textId="77777777" w:rsidTr="0049031D">
        <w:trPr>
          <w:trHeight w:val="20"/>
          <w:jc w:val="center"/>
        </w:trPr>
        <w:tc>
          <w:tcPr>
            <w:tcW w:w="421" w:type="dxa"/>
            <w:vAlign w:val="center"/>
          </w:tcPr>
          <w:p w14:paraId="7BB67B66" w14:textId="30D5D05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w:t>
            </w:r>
          </w:p>
        </w:tc>
        <w:tc>
          <w:tcPr>
            <w:tcW w:w="1391" w:type="dxa"/>
            <w:vAlign w:val="center"/>
          </w:tcPr>
          <w:p w14:paraId="22A90406" w14:textId="15A66A3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Punjab</w:t>
            </w:r>
          </w:p>
        </w:tc>
        <w:tc>
          <w:tcPr>
            <w:tcW w:w="978" w:type="dxa"/>
            <w:vAlign w:val="center"/>
          </w:tcPr>
          <w:p w14:paraId="490C1958" w14:textId="2C461DF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5111.70</w:t>
            </w:r>
          </w:p>
        </w:tc>
        <w:tc>
          <w:tcPr>
            <w:tcW w:w="976" w:type="dxa"/>
            <w:vAlign w:val="center"/>
          </w:tcPr>
          <w:p w14:paraId="70352387" w14:textId="18F97AD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5330.02</w:t>
            </w:r>
          </w:p>
        </w:tc>
        <w:tc>
          <w:tcPr>
            <w:tcW w:w="1073" w:type="dxa"/>
            <w:vAlign w:val="center"/>
          </w:tcPr>
          <w:p w14:paraId="41A0D4B9" w14:textId="35EA03E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5557.65</w:t>
            </w:r>
          </w:p>
        </w:tc>
        <w:tc>
          <w:tcPr>
            <w:tcW w:w="1073" w:type="dxa"/>
            <w:vAlign w:val="center"/>
          </w:tcPr>
          <w:p w14:paraId="520D9F96" w14:textId="6DA3F26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5795.01</w:t>
            </w:r>
          </w:p>
        </w:tc>
        <w:tc>
          <w:tcPr>
            <w:tcW w:w="979" w:type="dxa"/>
            <w:vAlign w:val="center"/>
          </w:tcPr>
          <w:p w14:paraId="6FB02A49" w14:textId="4596680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6042.51</w:t>
            </w:r>
          </w:p>
        </w:tc>
        <w:tc>
          <w:tcPr>
            <w:tcW w:w="979" w:type="dxa"/>
            <w:vAlign w:val="center"/>
          </w:tcPr>
          <w:p w14:paraId="545328D5" w14:textId="36229B7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6300.57</w:t>
            </w:r>
          </w:p>
        </w:tc>
        <w:tc>
          <w:tcPr>
            <w:tcW w:w="1056" w:type="dxa"/>
            <w:vAlign w:val="center"/>
          </w:tcPr>
          <w:p w14:paraId="15524607" w14:textId="68B29E1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29025.76</w:t>
            </w:r>
          </w:p>
        </w:tc>
      </w:tr>
      <w:tr w:rsidR="009775CB" w:rsidRPr="0078036E" w14:paraId="1667D84F" w14:textId="77777777" w:rsidTr="0049031D">
        <w:trPr>
          <w:trHeight w:val="20"/>
          <w:jc w:val="center"/>
        </w:trPr>
        <w:tc>
          <w:tcPr>
            <w:tcW w:w="421" w:type="dxa"/>
            <w:vAlign w:val="center"/>
          </w:tcPr>
          <w:p w14:paraId="5D659288" w14:textId="28E1FEC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w:t>
            </w:r>
          </w:p>
        </w:tc>
        <w:tc>
          <w:tcPr>
            <w:tcW w:w="1391" w:type="dxa"/>
            <w:vAlign w:val="center"/>
          </w:tcPr>
          <w:p w14:paraId="1CB35DC0" w14:textId="00F8EFD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Rajasthan</w:t>
            </w:r>
          </w:p>
        </w:tc>
        <w:tc>
          <w:tcPr>
            <w:tcW w:w="978" w:type="dxa"/>
            <w:vAlign w:val="center"/>
          </w:tcPr>
          <w:p w14:paraId="28204945" w14:textId="6915DE2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6340.60</w:t>
            </w:r>
          </w:p>
        </w:tc>
        <w:tc>
          <w:tcPr>
            <w:tcW w:w="976" w:type="dxa"/>
            <w:vAlign w:val="center"/>
          </w:tcPr>
          <w:p w14:paraId="79A7B095" w14:textId="06F7555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6827.24</w:t>
            </w:r>
          </w:p>
        </w:tc>
        <w:tc>
          <w:tcPr>
            <w:tcW w:w="1073" w:type="dxa"/>
            <w:vAlign w:val="center"/>
          </w:tcPr>
          <w:p w14:paraId="312E4023" w14:textId="5992604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7351.23</w:t>
            </w:r>
          </w:p>
        </w:tc>
        <w:tc>
          <w:tcPr>
            <w:tcW w:w="1073" w:type="dxa"/>
            <w:vAlign w:val="center"/>
          </w:tcPr>
          <w:p w14:paraId="565F49DE" w14:textId="5F850E1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7915.44</w:t>
            </w:r>
          </w:p>
        </w:tc>
        <w:tc>
          <w:tcPr>
            <w:tcW w:w="979" w:type="dxa"/>
            <w:vAlign w:val="center"/>
          </w:tcPr>
          <w:p w14:paraId="20A1AA9C" w14:textId="0E7A50F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8522.96</w:t>
            </w:r>
          </w:p>
        </w:tc>
        <w:tc>
          <w:tcPr>
            <w:tcW w:w="979" w:type="dxa"/>
            <w:vAlign w:val="center"/>
          </w:tcPr>
          <w:p w14:paraId="751AD7CB" w14:textId="0580C79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9177.10</w:t>
            </w:r>
          </w:p>
        </w:tc>
        <w:tc>
          <w:tcPr>
            <w:tcW w:w="1056" w:type="dxa"/>
            <w:vAlign w:val="center"/>
          </w:tcPr>
          <w:p w14:paraId="21D57EA2" w14:textId="38756D4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39793.97</w:t>
            </w:r>
          </w:p>
        </w:tc>
      </w:tr>
      <w:tr w:rsidR="009775CB" w:rsidRPr="0078036E" w14:paraId="6F8DE1F9" w14:textId="77777777" w:rsidTr="0049031D">
        <w:trPr>
          <w:trHeight w:val="20"/>
          <w:jc w:val="center"/>
        </w:trPr>
        <w:tc>
          <w:tcPr>
            <w:tcW w:w="421" w:type="dxa"/>
            <w:vAlign w:val="center"/>
          </w:tcPr>
          <w:p w14:paraId="41E763CD" w14:textId="3123047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w:t>
            </w:r>
          </w:p>
        </w:tc>
        <w:tc>
          <w:tcPr>
            <w:tcW w:w="1391" w:type="dxa"/>
            <w:vAlign w:val="center"/>
          </w:tcPr>
          <w:p w14:paraId="64EC8111" w14:textId="276E4DF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Tamil Nadu</w:t>
            </w:r>
          </w:p>
        </w:tc>
        <w:tc>
          <w:tcPr>
            <w:tcW w:w="978" w:type="dxa"/>
            <w:vAlign w:val="center"/>
          </w:tcPr>
          <w:p w14:paraId="602061F5" w14:textId="4DB22B0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12760.74</w:t>
            </w:r>
          </w:p>
        </w:tc>
        <w:tc>
          <w:tcPr>
            <w:tcW w:w="976" w:type="dxa"/>
            <w:vAlign w:val="center"/>
          </w:tcPr>
          <w:p w14:paraId="555AECB6" w14:textId="4728FEF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12897.10</w:t>
            </w:r>
          </w:p>
        </w:tc>
        <w:tc>
          <w:tcPr>
            <w:tcW w:w="1073" w:type="dxa"/>
            <w:vAlign w:val="center"/>
          </w:tcPr>
          <w:p w14:paraId="1C37F3DC" w14:textId="0AC9FA4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13034.91</w:t>
            </w:r>
          </w:p>
        </w:tc>
        <w:tc>
          <w:tcPr>
            <w:tcW w:w="1073" w:type="dxa"/>
            <w:vAlign w:val="center"/>
          </w:tcPr>
          <w:p w14:paraId="29930E6C" w14:textId="019390F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13174.19</w:t>
            </w:r>
          </w:p>
        </w:tc>
        <w:tc>
          <w:tcPr>
            <w:tcW w:w="979" w:type="dxa"/>
            <w:vAlign w:val="center"/>
          </w:tcPr>
          <w:p w14:paraId="099D145D" w14:textId="152D5AC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13314.96</w:t>
            </w:r>
          </w:p>
        </w:tc>
        <w:tc>
          <w:tcPr>
            <w:tcW w:w="979" w:type="dxa"/>
            <w:vAlign w:val="center"/>
          </w:tcPr>
          <w:p w14:paraId="6A22E011" w14:textId="07FF5DB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13457.23</w:t>
            </w:r>
          </w:p>
        </w:tc>
        <w:tc>
          <w:tcPr>
            <w:tcW w:w="1056" w:type="dxa"/>
            <w:vAlign w:val="center"/>
          </w:tcPr>
          <w:p w14:paraId="56FAD36D" w14:textId="6ABB961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65878.38</w:t>
            </w:r>
          </w:p>
        </w:tc>
      </w:tr>
      <w:tr w:rsidR="009775CB" w:rsidRPr="0078036E" w14:paraId="0353F9FA" w14:textId="77777777" w:rsidTr="0049031D">
        <w:trPr>
          <w:trHeight w:val="20"/>
          <w:jc w:val="center"/>
        </w:trPr>
        <w:tc>
          <w:tcPr>
            <w:tcW w:w="421" w:type="dxa"/>
            <w:vAlign w:val="center"/>
          </w:tcPr>
          <w:p w14:paraId="1F7DACFA" w14:textId="47A9AD7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w:t>
            </w:r>
          </w:p>
        </w:tc>
        <w:tc>
          <w:tcPr>
            <w:tcW w:w="1391" w:type="dxa"/>
            <w:vAlign w:val="center"/>
          </w:tcPr>
          <w:p w14:paraId="3361BCA0" w14:textId="53703FD7"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Uttar Pradesh</w:t>
            </w:r>
          </w:p>
        </w:tc>
        <w:tc>
          <w:tcPr>
            <w:tcW w:w="978" w:type="dxa"/>
            <w:vAlign w:val="center"/>
          </w:tcPr>
          <w:p w14:paraId="478E1CBE" w14:textId="144DFFE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14203.43</w:t>
            </w:r>
          </w:p>
        </w:tc>
        <w:tc>
          <w:tcPr>
            <w:tcW w:w="976" w:type="dxa"/>
            <w:vAlign w:val="center"/>
          </w:tcPr>
          <w:p w14:paraId="31F17DF7" w14:textId="0F5E66B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15377.30</w:t>
            </w:r>
          </w:p>
        </w:tc>
        <w:tc>
          <w:tcPr>
            <w:tcW w:w="1073" w:type="dxa"/>
            <w:vAlign w:val="center"/>
          </w:tcPr>
          <w:p w14:paraId="187A3783" w14:textId="3396ECE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16648.19</w:t>
            </w:r>
          </w:p>
        </w:tc>
        <w:tc>
          <w:tcPr>
            <w:tcW w:w="1073" w:type="dxa"/>
            <w:vAlign w:val="center"/>
          </w:tcPr>
          <w:p w14:paraId="23B05AB5" w14:textId="400BD1E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18024.12</w:t>
            </w:r>
          </w:p>
        </w:tc>
        <w:tc>
          <w:tcPr>
            <w:tcW w:w="979" w:type="dxa"/>
            <w:vAlign w:val="center"/>
          </w:tcPr>
          <w:p w14:paraId="3F949B7C" w14:textId="20817A2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19513.76</w:t>
            </w:r>
          </w:p>
        </w:tc>
        <w:tc>
          <w:tcPr>
            <w:tcW w:w="979" w:type="dxa"/>
            <w:vAlign w:val="center"/>
          </w:tcPr>
          <w:p w14:paraId="431DB3B2" w14:textId="2237996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21126.52</w:t>
            </w:r>
          </w:p>
        </w:tc>
        <w:tc>
          <w:tcPr>
            <w:tcW w:w="1056" w:type="dxa"/>
            <w:vAlign w:val="center"/>
          </w:tcPr>
          <w:p w14:paraId="658390B9" w14:textId="4A042A6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90689.90</w:t>
            </w:r>
          </w:p>
        </w:tc>
      </w:tr>
      <w:tr w:rsidR="009775CB" w:rsidRPr="0078036E" w14:paraId="6ED0E7A3" w14:textId="77777777" w:rsidTr="0049031D">
        <w:trPr>
          <w:trHeight w:val="20"/>
          <w:jc w:val="center"/>
        </w:trPr>
        <w:tc>
          <w:tcPr>
            <w:tcW w:w="421" w:type="dxa"/>
            <w:vAlign w:val="center"/>
          </w:tcPr>
          <w:p w14:paraId="4A6FC571" w14:textId="5F53538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w:t>
            </w:r>
          </w:p>
        </w:tc>
        <w:tc>
          <w:tcPr>
            <w:tcW w:w="1391" w:type="dxa"/>
            <w:vAlign w:val="center"/>
          </w:tcPr>
          <w:p w14:paraId="3CF66282" w14:textId="1AB8FB1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West Bengal</w:t>
            </w:r>
          </w:p>
        </w:tc>
        <w:tc>
          <w:tcPr>
            <w:tcW w:w="978" w:type="dxa"/>
            <w:vAlign w:val="center"/>
          </w:tcPr>
          <w:p w14:paraId="532DE2A0" w14:textId="4585D4B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13925.45</w:t>
            </w:r>
          </w:p>
        </w:tc>
        <w:tc>
          <w:tcPr>
            <w:tcW w:w="976" w:type="dxa"/>
            <w:vAlign w:val="center"/>
          </w:tcPr>
          <w:p w14:paraId="225C0651" w14:textId="3A3F044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15166.01</w:t>
            </w:r>
          </w:p>
        </w:tc>
        <w:tc>
          <w:tcPr>
            <w:tcW w:w="1073" w:type="dxa"/>
            <w:vAlign w:val="center"/>
          </w:tcPr>
          <w:p w14:paraId="3F6B245F" w14:textId="1E947C7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16517.09</w:t>
            </w:r>
          </w:p>
        </w:tc>
        <w:tc>
          <w:tcPr>
            <w:tcW w:w="1073" w:type="dxa"/>
            <w:vAlign w:val="center"/>
          </w:tcPr>
          <w:p w14:paraId="0C5F2D47" w14:textId="417815E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17988.53</w:t>
            </w:r>
          </w:p>
        </w:tc>
        <w:tc>
          <w:tcPr>
            <w:tcW w:w="979" w:type="dxa"/>
            <w:vAlign w:val="center"/>
          </w:tcPr>
          <w:p w14:paraId="3A58AB53" w14:textId="36EC567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19591.05</w:t>
            </w:r>
          </w:p>
        </w:tc>
        <w:tc>
          <w:tcPr>
            <w:tcW w:w="979" w:type="dxa"/>
            <w:vAlign w:val="center"/>
          </w:tcPr>
          <w:p w14:paraId="76B16145" w14:textId="23BE0B7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21336.34</w:t>
            </w:r>
          </w:p>
        </w:tc>
        <w:tc>
          <w:tcPr>
            <w:tcW w:w="1056" w:type="dxa"/>
            <w:vAlign w:val="center"/>
          </w:tcPr>
          <w:p w14:paraId="0DED9745" w14:textId="4CCBA8B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90599.01</w:t>
            </w:r>
          </w:p>
        </w:tc>
      </w:tr>
      <w:tr w:rsidR="009775CB" w:rsidRPr="0078036E" w14:paraId="26F67F52" w14:textId="77777777" w:rsidTr="0049031D">
        <w:trPr>
          <w:trHeight w:val="20"/>
          <w:jc w:val="center"/>
        </w:trPr>
        <w:tc>
          <w:tcPr>
            <w:tcW w:w="421" w:type="dxa"/>
            <w:vAlign w:val="center"/>
          </w:tcPr>
          <w:p w14:paraId="343E9B22" w14:textId="597F3A4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14</w:t>
            </w:r>
          </w:p>
        </w:tc>
        <w:tc>
          <w:tcPr>
            <w:tcW w:w="1391" w:type="dxa"/>
            <w:vAlign w:val="center"/>
          </w:tcPr>
          <w:p w14:paraId="60D23B1F" w14:textId="00EB1581"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b/>
                <w:bCs/>
                <w:sz w:val="16"/>
                <w:szCs w:val="16"/>
              </w:rPr>
              <w:t>Major States</w:t>
            </w:r>
          </w:p>
        </w:tc>
        <w:tc>
          <w:tcPr>
            <w:tcW w:w="978" w:type="dxa"/>
            <w:vAlign w:val="center"/>
          </w:tcPr>
          <w:p w14:paraId="7C32F0F2" w14:textId="55A49E5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151437.13</w:t>
            </w:r>
          </w:p>
        </w:tc>
        <w:tc>
          <w:tcPr>
            <w:tcW w:w="976" w:type="dxa"/>
            <w:vAlign w:val="center"/>
          </w:tcPr>
          <w:p w14:paraId="49526834" w14:textId="275AB34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161798.64</w:t>
            </w:r>
          </w:p>
        </w:tc>
        <w:tc>
          <w:tcPr>
            <w:tcW w:w="1073" w:type="dxa"/>
            <w:vAlign w:val="center"/>
          </w:tcPr>
          <w:p w14:paraId="79746921" w14:textId="5D9CFAB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172997.46</w:t>
            </w:r>
          </w:p>
        </w:tc>
        <w:tc>
          <w:tcPr>
            <w:tcW w:w="1073" w:type="dxa"/>
            <w:vAlign w:val="center"/>
          </w:tcPr>
          <w:p w14:paraId="01F219D1" w14:textId="6A4B40B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185108.50</w:t>
            </w:r>
          </w:p>
        </w:tc>
        <w:tc>
          <w:tcPr>
            <w:tcW w:w="979" w:type="dxa"/>
            <w:vAlign w:val="center"/>
          </w:tcPr>
          <w:p w14:paraId="3FD52019" w14:textId="63FE2DC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198213.96</w:t>
            </w:r>
          </w:p>
        </w:tc>
        <w:tc>
          <w:tcPr>
            <w:tcW w:w="979" w:type="dxa"/>
            <w:vAlign w:val="center"/>
          </w:tcPr>
          <w:p w14:paraId="6E3D2943" w14:textId="292E225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212403.97</w:t>
            </w:r>
          </w:p>
        </w:tc>
        <w:tc>
          <w:tcPr>
            <w:tcW w:w="1056" w:type="dxa"/>
            <w:vAlign w:val="center"/>
          </w:tcPr>
          <w:p w14:paraId="3B64D970" w14:textId="69E7A27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930522.53</w:t>
            </w:r>
          </w:p>
        </w:tc>
      </w:tr>
      <w:tr w:rsidR="009775CB" w:rsidRPr="0078036E" w14:paraId="7174D205" w14:textId="77777777" w:rsidTr="0052058A">
        <w:trPr>
          <w:trHeight w:val="20"/>
          <w:jc w:val="center"/>
        </w:trPr>
        <w:tc>
          <w:tcPr>
            <w:tcW w:w="8926" w:type="dxa"/>
            <w:gridSpan w:val="9"/>
            <w:vAlign w:val="center"/>
          </w:tcPr>
          <w:p w14:paraId="33C6ECBD" w14:textId="3BAA134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20"/>
                <w:szCs w:val="20"/>
              </w:rPr>
              <w:t xml:space="preserve">Expenditure Category: Other Expenditure </w:t>
            </w:r>
            <w:proofErr w:type="gramStart"/>
            <w:r w:rsidRPr="00BB6DC9">
              <w:rPr>
                <w:rFonts w:ascii="Times New Roman" w:hAnsi="Times New Roman" w:cs="Times New Roman"/>
                <w:b/>
                <w:bCs/>
                <w:sz w:val="20"/>
                <w:szCs w:val="20"/>
              </w:rPr>
              <w:t>On</w:t>
            </w:r>
            <w:proofErr w:type="gramEnd"/>
            <w:r w:rsidRPr="00BB6DC9">
              <w:rPr>
                <w:rFonts w:ascii="Times New Roman" w:hAnsi="Times New Roman" w:cs="Times New Roman"/>
                <w:b/>
                <w:bCs/>
                <w:sz w:val="20"/>
                <w:szCs w:val="20"/>
              </w:rPr>
              <w:t xml:space="preserve"> Education</w:t>
            </w:r>
          </w:p>
        </w:tc>
      </w:tr>
      <w:tr w:rsidR="009775CB" w:rsidRPr="0078036E" w14:paraId="4CE9FE25" w14:textId="77777777" w:rsidTr="0049031D">
        <w:trPr>
          <w:trHeight w:val="20"/>
          <w:jc w:val="center"/>
        </w:trPr>
        <w:tc>
          <w:tcPr>
            <w:tcW w:w="421" w:type="dxa"/>
            <w:vAlign w:val="center"/>
          </w:tcPr>
          <w:p w14:paraId="244B759A" w14:textId="0E78E1E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No.</w:t>
            </w:r>
          </w:p>
        </w:tc>
        <w:tc>
          <w:tcPr>
            <w:tcW w:w="1391" w:type="dxa"/>
            <w:vAlign w:val="center"/>
          </w:tcPr>
          <w:p w14:paraId="7DEB6CFC" w14:textId="4E7E27FD"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b/>
                <w:bCs/>
                <w:sz w:val="16"/>
                <w:szCs w:val="16"/>
              </w:rPr>
              <w:t>State</w:t>
            </w:r>
          </w:p>
        </w:tc>
        <w:tc>
          <w:tcPr>
            <w:tcW w:w="978" w:type="dxa"/>
            <w:vAlign w:val="center"/>
          </w:tcPr>
          <w:p w14:paraId="4BC0E9CB" w14:textId="58D0F80A"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1989-90</w:t>
            </w:r>
          </w:p>
        </w:tc>
        <w:tc>
          <w:tcPr>
            <w:tcW w:w="976" w:type="dxa"/>
            <w:vAlign w:val="center"/>
          </w:tcPr>
          <w:p w14:paraId="42D60077" w14:textId="63C87D6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w:t>
            </w:r>
          </w:p>
        </w:tc>
        <w:tc>
          <w:tcPr>
            <w:tcW w:w="1073" w:type="dxa"/>
            <w:vAlign w:val="center"/>
          </w:tcPr>
          <w:p w14:paraId="26DCA867" w14:textId="1D7F0C1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1991-92</w:t>
            </w:r>
          </w:p>
        </w:tc>
        <w:tc>
          <w:tcPr>
            <w:tcW w:w="1073" w:type="dxa"/>
            <w:vAlign w:val="center"/>
          </w:tcPr>
          <w:p w14:paraId="7A3542B8" w14:textId="2DFEBE7F"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1992-93</w:t>
            </w:r>
          </w:p>
        </w:tc>
        <w:tc>
          <w:tcPr>
            <w:tcW w:w="979" w:type="dxa"/>
            <w:vAlign w:val="center"/>
          </w:tcPr>
          <w:p w14:paraId="684D7BBC" w14:textId="20DECB3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1993-94</w:t>
            </w:r>
          </w:p>
        </w:tc>
        <w:tc>
          <w:tcPr>
            <w:tcW w:w="979" w:type="dxa"/>
            <w:vAlign w:val="center"/>
          </w:tcPr>
          <w:p w14:paraId="7F90D4E7" w14:textId="1E266528"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1994-95</w:t>
            </w:r>
          </w:p>
        </w:tc>
        <w:tc>
          <w:tcPr>
            <w:tcW w:w="1056" w:type="dxa"/>
            <w:vAlign w:val="center"/>
          </w:tcPr>
          <w:p w14:paraId="72449A8D" w14:textId="42036C26"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 to 1994-95</w:t>
            </w:r>
          </w:p>
        </w:tc>
      </w:tr>
      <w:tr w:rsidR="009775CB" w:rsidRPr="0078036E" w14:paraId="55821DF7" w14:textId="77777777" w:rsidTr="0049031D">
        <w:trPr>
          <w:trHeight w:val="20"/>
          <w:jc w:val="center"/>
        </w:trPr>
        <w:tc>
          <w:tcPr>
            <w:tcW w:w="421" w:type="dxa"/>
            <w:vAlign w:val="center"/>
          </w:tcPr>
          <w:p w14:paraId="0CAA3769" w14:textId="7BC45E8D"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w:t>
            </w:r>
          </w:p>
        </w:tc>
        <w:tc>
          <w:tcPr>
            <w:tcW w:w="1391" w:type="dxa"/>
            <w:vAlign w:val="center"/>
          </w:tcPr>
          <w:p w14:paraId="791C696B" w14:textId="376C2E8D"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sz w:val="16"/>
                <w:szCs w:val="16"/>
              </w:rPr>
              <w:t>Andhra Pradesh</w:t>
            </w:r>
          </w:p>
        </w:tc>
        <w:tc>
          <w:tcPr>
            <w:tcW w:w="978" w:type="dxa"/>
            <w:vAlign w:val="center"/>
          </w:tcPr>
          <w:p w14:paraId="52052981" w14:textId="4C429D48"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1478.15</w:t>
            </w:r>
          </w:p>
        </w:tc>
        <w:tc>
          <w:tcPr>
            <w:tcW w:w="976" w:type="dxa"/>
            <w:vAlign w:val="center"/>
          </w:tcPr>
          <w:p w14:paraId="2B16089D" w14:textId="3298A6A1"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1640.24</w:t>
            </w:r>
          </w:p>
        </w:tc>
        <w:tc>
          <w:tcPr>
            <w:tcW w:w="1073" w:type="dxa"/>
            <w:vAlign w:val="center"/>
          </w:tcPr>
          <w:p w14:paraId="07554535" w14:textId="253D2F4E"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1820.10</w:t>
            </w:r>
          </w:p>
        </w:tc>
        <w:tc>
          <w:tcPr>
            <w:tcW w:w="1073" w:type="dxa"/>
            <w:vAlign w:val="center"/>
          </w:tcPr>
          <w:p w14:paraId="6D4CB162" w14:textId="374C7B62"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2019.69</w:t>
            </w:r>
          </w:p>
        </w:tc>
        <w:tc>
          <w:tcPr>
            <w:tcW w:w="979" w:type="dxa"/>
            <w:vAlign w:val="center"/>
          </w:tcPr>
          <w:p w14:paraId="323DE01C" w14:textId="0C263359"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2241.16</w:t>
            </w:r>
          </w:p>
        </w:tc>
        <w:tc>
          <w:tcPr>
            <w:tcW w:w="979" w:type="dxa"/>
            <w:vAlign w:val="center"/>
          </w:tcPr>
          <w:p w14:paraId="0ACB4E0B" w14:textId="308CA18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2486.91</w:t>
            </w:r>
          </w:p>
        </w:tc>
        <w:tc>
          <w:tcPr>
            <w:tcW w:w="1056" w:type="dxa"/>
            <w:vAlign w:val="center"/>
          </w:tcPr>
          <w:p w14:paraId="347DB47E" w14:textId="1E1D2A09"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10208.10</w:t>
            </w:r>
          </w:p>
        </w:tc>
      </w:tr>
      <w:tr w:rsidR="009775CB" w:rsidRPr="0078036E" w14:paraId="10FAF631" w14:textId="77777777" w:rsidTr="0049031D">
        <w:trPr>
          <w:trHeight w:val="20"/>
          <w:jc w:val="center"/>
        </w:trPr>
        <w:tc>
          <w:tcPr>
            <w:tcW w:w="421" w:type="dxa"/>
            <w:vAlign w:val="center"/>
          </w:tcPr>
          <w:p w14:paraId="31DEE729" w14:textId="06C364A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w:t>
            </w:r>
          </w:p>
        </w:tc>
        <w:tc>
          <w:tcPr>
            <w:tcW w:w="1391" w:type="dxa"/>
            <w:vAlign w:val="center"/>
          </w:tcPr>
          <w:p w14:paraId="4F56EB6B" w14:textId="10F8627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Bihar</w:t>
            </w:r>
          </w:p>
        </w:tc>
        <w:tc>
          <w:tcPr>
            <w:tcW w:w="978" w:type="dxa"/>
            <w:vAlign w:val="center"/>
          </w:tcPr>
          <w:p w14:paraId="5492500F" w14:textId="23E6FB6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1586.01</w:t>
            </w:r>
          </w:p>
        </w:tc>
        <w:tc>
          <w:tcPr>
            <w:tcW w:w="976" w:type="dxa"/>
            <w:vAlign w:val="center"/>
          </w:tcPr>
          <w:p w14:paraId="0C162C10" w14:textId="6F47556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1746.60</w:t>
            </w:r>
          </w:p>
        </w:tc>
        <w:tc>
          <w:tcPr>
            <w:tcW w:w="1073" w:type="dxa"/>
            <w:vAlign w:val="center"/>
          </w:tcPr>
          <w:p w14:paraId="49A528C5" w14:textId="1EA4A9C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1923.45</w:t>
            </w:r>
          </w:p>
        </w:tc>
        <w:tc>
          <w:tcPr>
            <w:tcW w:w="1073" w:type="dxa"/>
            <w:vAlign w:val="center"/>
          </w:tcPr>
          <w:p w14:paraId="6019E7EE" w14:textId="2E125B9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2118.21</w:t>
            </w:r>
          </w:p>
        </w:tc>
        <w:tc>
          <w:tcPr>
            <w:tcW w:w="979" w:type="dxa"/>
            <w:vAlign w:val="center"/>
          </w:tcPr>
          <w:p w14:paraId="5CE3718C" w14:textId="1151567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2332.68</w:t>
            </w:r>
          </w:p>
        </w:tc>
        <w:tc>
          <w:tcPr>
            <w:tcW w:w="979" w:type="dxa"/>
            <w:vAlign w:val="center"/>
          </w:tcPr>
          <w:p w14:paraId="1C87EAC4" w14:textId="786F41E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2568.87</w:t>
            </w:r>
          </w:p>
        </w:tc>
        <w:tc>
          <w:tcPr>
            <w:tcW w:w="1056" w:type="dxa"/>
            <w:vAlign w:val="center"/>
          </w:tcPr>
          <w:p w14:paraId="2546320D" w14:textId="5F3F8AD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10689.81</w:t>
            </w:r>
          </w:p>
        </w:tc>
      </w:tr>
      <w:tr w:rsidR="009775CB" w:rsidRPr="0078036E" w14:paraId="6AC6C670" w14:textId="77777777" w:rsidTr="0049031D">
        <w:trPr>
          <w:trHeight w:val="20"/>
          <w:jc w:val="center"/>
        </w:trPr>
        <w:tc>
          <w:tcPr>
            <w:tcW w:w="421" w:type="dxa"/>
            <w:vAlign w:val="center"/>
          </w:tcPr>
          <w:p w14:paraId="22447921" w14:textId="66B7ADB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w:t>
            </w:r>
          </w:p>
        </w:tc>
        <w:tc>
          <w:tcPr>
            <w:tcW w:w="1391" w:type="dxa"/>
            <w:vAlign w:val="center"/>
          </w:tcPr>
          <w:p w14:paraId="37E7A22F" w14:textId="2F916A5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Gujarat</w:t>
            </w:r>
          </w:p>
        </w:tc>
        <w:tc>
          <w:tcPr>
            <w:tcW w:w="978" w:type="dxa"/>
            <w:vAlign w:val="center"/>
          </w:tcPr>
          <w:p w14:paraId="4C45AB95" w14:textId="78A9E31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1702.44</w:t>
            </w:r>
          </w:p>
        </w:tc>
        <w:tc>
          <w:tcPr>
            <w:tcW w:w="976" w:type="dxa"/>
            <w:vAlign w:val="center"/>
          </w:tcPr>
          <w:p w14:paraId="27D44A0C" w14:textId="287A1F3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1796.17</w:t>
            </w:r>
          </w:p>
        </w:tc>
        <w:tc>
          <w:tcPr>
            <w:tcW w:w="1073" w:type="dxa"/>
            <w:vAlign w:val="center"/>
          </w:tcPr>
          <w:p w14:paraId="16297CD0" w14:textId="700C081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1895.06</w:t>
            </w:r>
          </w:p>
        </w:tc>
        <w:tc>
          <w:tcPr>
            <w:tcW w:w="1073" w:type="dxa"/>
            <w:vAlign w:val="center"/>
          </w:tcPr>
          <w:p w14:paraId="50A5F1DB" w14:textId="189F8AB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1999.39</w:t>
            </w:r>
          </w:p>
        </w:tc>
        <w:tc>
          <w:tcPr>
            <w:tcW w:w="979" w:type="dxa"/>
            <w:vAlign w:val="center"/>
          </w:tcPr>
          <w:p w14:paraId="093C448A" w14:textId="3B9A3E9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2109.47</w:t>
            </w:r>
          </w:p>
        </w:tc>
        <w:tc>
          <w:tcPr>
            <w:tcW w:w="979" w:type="dxa"/>
            <w:vAlign w:val="center"/>
          </w:tcPr>
          <w:p w14:paraId="681E1DC6" w14:textId="2760F19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2225.61</w:t>
            </w:r>
          </w:p>
        </w:tc>
        <w:tc>
          <w:tcPr>
            <w:tcW w:w="1056" w:type="dxa"/>
            <w:vAlign w:val="center"/>
          </w:tcPr>
          <w:p w14:paraId="6669253F" w14:textId="4D20FE8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10025.70</w:t>
            </w:r>
          </w:p>
        </w:tc>
      </w:tr>
      <w:tr w:rsidR="009775CB" w:rsidRPr="0078036E" w14:paraId="0F65FED4" w14:textId="77777777" w:rsidTr="0049031D">
        <w:trPr>
          <w:trHeight w:val="20"/>
          <w:jc w:val="center"/>
        </w:trPr>
        <w:tc>
          <w:tcPr>
            <w:tcW w:w="421" w:type="dxa"/>
            <w:vAlign w:val="center"/>
          </w:tcPr>
          <w:p w14:paraId="742ACEAE" w14:textId="56EDC88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w:t>
            </w:r>
          </w:p>
        </w:tc>
        <w:tc>
          <w:tcPr>
            <w:tcW w:w="1391" w:type="dxa"/>
            <w:vAlign w:val="center"/>
          </w:tcPr>
          <w:p w14:paraId="2947D675" w14:textId="7B32E81D"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Haryana</w:t>
            </w:r>
          </w:p>
        </w:tc>
        <w:tc>
          <w:tcPr>
            <w:tcW w:w="978" w:type="dxa"/>
            <w:vAlign w:val="center"/>
          </w:tcPr>
          <w:p w14:paraId="43FB1A0D" w14:textId="6AFF912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566.47</w:t>
            </w:r>
          </w:p>
        </w:tc>
        <w:tc>
          <w:tcPr>
            <w:tcW w:w="976" w:type="dxa"/>
            <w:vAlign w:val="center"/>
          </w:tcPr>
          <w:p w14:paraId="13232C82" w14:textId="69705F4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593.77</w:t>
            </w:r>
          </w:p>
        </w:tc>
        <w:tc>
          <w:tcPr>
            <w:tcW w:w="1073" w:type="dxa"/>
            <w:vAlign w:val="center"/>
          </w:tcPr>
          <w:p w14:paraId="476F2B27" w14:textId="170520F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622.39</w:t>
            </w:r>
          </w:p>
        </w:tc>
        <w:tc>
          <w:tcPr>
            <w:tcW w:w="1073" w:type="dxa"/>
            <w:vAlign w:val="center"/>
          </w:tcPr>
          <w:p w14:paraId="0ED74C4A" w14:textId="3ACE26E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652.39</w:t>
            </w:r>
          </w:p>
        </w:tc>
        <w:tc>
          <w:tcPr>
            <w:tcW w:w="979" w:type="dxa"/>
            <w:vAlign w:val="center"/>
          </w:tcPr>
          <w:p w14:paraId="7496738B" w14:textId="11B6515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683.83</w:t>
            </w:r>
          </w:p>
        </w:tc>
        <w:tc>
          <w:tcPr>
            <w:tcW w:w="979" w:type="dxa"/>
            <w:vAlign w:val="center"/>
          </w:tcPr>
          <w:p w14:paraId="4ADB9255" w14:textId="1A5B5B0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716.78</w:t>
            </w:r>
          </w:p>
        </w:tc>
        <w:tc>
          <w:tcPr>
            <w:tcW w:w="1056" w:type="dxa"/>
            <w:vAlign w:val="center"/>
          </w:tcPr>
          <w:p w14:paraId="6489A403" w14:textId="3DBF44D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3269.16</w:t>
            </w:r>
          </w:p>
        </w:tc>
      </w:tr>
      <w:tr w:rsidR="009775CB" w:rsidRPr="0078036E" w14:paraId="64D2C6D0" w14:textId="77777777" w:rsidTr="0049031D">
        <w:trPr>
          <w:trHeight w:val="20"/>
          <w:jc w:val="center"/>
        </w:trPr>
        <w:tc>
          <w:tcPr>
            <w:tcW w:w="421" w:type="dxa"/>
            <w:vAlign w:val="center"/>
          </w:tcPr>
          <w:p w14:paraId="63549DA4" w14:textId="0521FD4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w:t>
            </w:r>
          </w:p>
        </w:tc>
        <w:tc>
          <w:tcPr>
            <w:tcW w:w="1391" w:type="dxa"/>
            <w:vAlign w:val="center"/>
          </w:tcPr>
          <w:p w14:paraId="403087CD" w14:textId="03FEF706"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Karnataka</w:t>
            </w:r>
          </w:p>
        </w:tc>
        <w:tc>
          <w:tcPr>
            <w:tcW w:w="978" w:type="dxa"/>
            <w:vAlign w:val="center"/>
          </w:tcPr>
          <w:p w14:paraId="20D69A8B" w14:textId="67574D4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1215.81</w:t>
            </w:r>
          </w:p>
        </w:tc>
        <w:tc>
          <w:tcPr>
            <w:tcW w:w="976" w:type="dxa"/>
            <w:vAlign w:val="center"/>
          </w:tcPr>
          <w:p w14:paraId="63F37C84" w14:textId="1B3DCF6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1339.79</w:t>
            </w:r>
          </w:p>
        </w:tc>
        <w:tc>
          <w:tcPr>
            <w:tcW w:w="1073" w:type="dxa"/>
            <w:vAlign w:val="center"/>
          </w:tcPr>
          <w:p w14:paraId="0EFCD2BC" w14:textId="2D49837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1476.40</w:t>
            </w:r>
          </w:p>
        </w:tc>
        <w:tc>
          <w:tcPr>
            <w:tcW w:w="1073" w:type="dxa"/>
            <w:vAlign w:val="center"/>
          </w:tcPr>
          <w:p w14:paraId="142D36AA" w14:textId="78466F0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1626.95</w:t>
            </w:r>
          </w:p>
        </w:tc>
        <w:tc>
          <w:tcPr>
            <w:tcW w:w="979" w:type="dxa"/>
            <w:vAlign w:val="center"/>
          </w:tcPr>
          <w:p w14:paraId="2596CC5C" w14:textId="411D91B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1792.84</w:t>
            </w:r>
          </w:p>
        </w:tc>
        <w:tc>
          <w:tcPr>
            <w:tcW w:w="979" w:type="dxa"/>
            <w:vAlign w:val="center"/>
          </w:tcPr>
          <w:p w14:paraId="252AAC88" w14:textId="266B17C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1975.65</w:t>
            </w:r>
          </w:p>
        </w:tc>
        <w:tc>
          <w:tcPr>
            <w:tcW w:w="1056" w:type="dxa"/>
            <w:vAlign w:val="center"/>
          </w:tcPr>
          <w:p w14:paraId="71299F57" w14:textId="757C1D6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8211.63</w:t>
            </w:r>
          </w:p>
        </w:tc>
      </w:tr>
      <w:tr w:rsidR="009775CB" w:rsidRPr="0078036E" w14:paraId="5723321A" w14:textId="77777777" w:rsidTr="0049031D">
        <w:trPr>
          <w:trHeight w:val="20"/>
          <w:jc w:val="center"/>
        </w:trPr>
        <w:tc>
          <w:tcPr>
            <w:tcW w:w="421" w:type="dxa"/>
            <w:vAlign w:val="center"/>
          </w:tcPr>
          <w:p w14:paraId="6466A667" w14:textId="7C45F13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w:t>
            </w:r>
          </w:p>
        </w:tc>
        <w:tc>
          <w:tcPr>
            <w:tcW w:w="1391" w:type="dxa"/>
            <w:vAlign w:val="center"/>
          </w:tcPr>
          <w:p w14:paraId="510AA4F8" w14:textId="2244197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Kerala</w:t>
            </w:r>
          </w:p>
        </w:tc>
        <w:tc>
          <w:tcPr>
            <w:tcW w:w="978" w:type="dxa"/>
            <w:vAlign w:val="center"/>
          </w:tcPr>
          <w:p w14:paraId="206798FC" w14:textId="2992749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1190.00</w:t>
            </w:r>
          </w:p>
        </w:tc>
        <w:tc>
          <w:tcPr>
            <w:tcW w:w="976" w:type="dxa"/>
            <w:vAlign w:val="center"/>
          </w:tcPr>
          <w:p w14:paraId="4164BBB0" w14:textId="7290078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1338.96</w:t>
            </w:r>
          </w:p>
        </w:tc>
        <w:tc>
          <w:tcPr>
            <w:tcW w:w="1073" w:type="dxa"/>
            <w:vAlign w:val="center"/>
          </w:tcPr>
          <w:p w14:paraId="508114FF" w14:textId="1A7D4F6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1506.56</w:t>
            </w:r>
          </w:p>
        </w:tc>
        <w:tc>
          <w:tcPr>
            <w:tcW w:w="1073" w:type="dxa"/>
            <w:vAlign w:val="center"/>
          </w:tcPr>
          <w:p w14:paraId="030F4E1C" w14:textId="545C3DB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1695.15</w:t>
            </w:r>
          </w:p>
        </w:tc>
        <w:tc>
          <w:tcPr>
            <w:tcW w:w="979" w:type="dxa"/>
            <w:vAlign w:val="center"/>
          </w:tcPr>
          <w:p w14:paraId="7D3448FB" w14:textId="71B9909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1907.34</w:t>
            </w:r>
          </w:p>
        </w:tc>
        <w:tc>
          <w:tcPr>
            <w:tcW w:w="979" w:type="dxa"/>
            <w:vAlign w:val="center"/>
          </w:tcPr>
          <w:p w14:paraId="59E0C9F5" w14:textId="76EDDB2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2146.09</w:t>
            </w:r>
          </w:p>
        </w:tc>
        <w:tc>
          <w:tcPr>
            <w:tcW w:w="1056" w:type="dxa"/>
            <w:vAlign w:val="center"/>
          </w:tcPr>
          <w:p w14:paraId="1FB0A7D4" w14:textId="1DFC8A2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8594.09</w:t>
            </w:r>
          </w:p>
        </w:tc>
      </w:tr>
      <w:tr w:rsidR="009775CB" w:rsidRPr="0078036E" w14:paraId="5356AB58" w14:textId="77777777" w:rsidTr="0049031D">
        <w:trPr>
          <w:trHeight w:val="20"/>
          <w:jc w:val="center"/>
        </w:trPr>
        <w:tc>
          <w:tcPr>
            <w:tcW w:w="421" w:type="dxa"/>
            <w:vAlign w:val="center"/>
          </w:tcPr>
          <w:p w14:paraId="2D0D99B3" w14:textId="3EF83BE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w:t>
            </w:r>
          </w:p>
        </w:tc>
        <w:tc>
          <w:tcPr>
            <w:tcW w:w="1391" w:type="dxa"/>
            <w:vAlign w:val="center"/>
          </w:tcPr>
          <w:p w14:paraId="7DCE259D" w14:textId="541F5DE4"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Madhya Pradesh</w:t>
            </w:r>
          </w:p>
        </w:tc>
        <w:tc>
          <w:tcPr>
            <w:tcW w:w="978" w:type="dxa"/>
            <w:vAlign w:val="center"/>
          </w:tcPr>
          <w:p w14:paraId="68860413" w14:textId="5261E48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1069.12</w:t>
            </w:r>
          </w:p>
        </w:tc>
        <w:tc>
          <w:tcPr>
            <w:tcW w:w="976" w:type="dxa"/>
            <w:vAlign w:val="center"/>
          </w:tcPr>
          <w:p w14:paraId="78573978" w14:textId="1088A35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1187.18</w:t>
            </w:r>
          </w:p>
        </w:tc>
        <w:tc>
          <w:tcPr>
            <w:tcW w:w="1073" w:type="dxa"/>
            <w:vAlign w:val="center"/>
          </w:tcPr>
          <w:p w14:paraId="4544B85D" w14:textId="64EF6FC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1318.27</w:t>
            </w:r>
          </w:p>
        </w:tc>
        <w:tc>
          <w:tcPr>
            <w:tcW w:w="1073" w:type="dxa"/>
            <w:vAlign w:val="center"/>
          </w:tcPr>
          <w:p w14:paraId="7861A6B7" w14:textId="50A065C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1463.84</w:t>
            </w:r>
          </w:p>
        </w:tc>
        <w:tc>
          <w:tcPr>
            <w:tcW w:w="979" w:type="dxa"/>
            <w:vAlign w:val="center"/>
          </w:tcPr>
          <w:p w14:paraId="5545C000" w14:textId="346D9BD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1625.49</w:t>
            </w:r>
          </w:p>
        </w:tc>
        <w:tc>
          <w:tcPr>
            <w:tcW w:w="979" w:type="dxa"/>
            <w:vAlign w:val="center"/>
          </w:tcPr>
          <w:p w14:paraId="6FE3B436" w14:textId="6C00A6C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1804.98</w:t>
            </w:r>
          </w:p>
        </w:tc>
        <w:tc>
          <w:tcPr>
            <w:tcW w:w="1056" w:type="dxa"/>
            <w:vAlign w:val="center"/>
          </w:tcPr>
          <w:p w14:paraId="0D857142" w14:textId="700AFD0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7399.75</w:t>
            </w:r>
          </w:p>
        </w:tc>
      </w:tr>
      <w:tr w:rsidR="009775CB" w:rsidRPr="0078036E" w14:paraId="10A871DF" w14:textId="77777777" w:rsidTr="0049031D">
        <w:trPr>
          <w:trHeight w:val="20"/>
          <w:jc w:val="center"/>
        </w:trPr>
        <w:tc>
          <w:tcPr>
            <w:tcW w:w="421" w:type="dxa"/>
            <w:vAlign w:val="center"/>
          </w:tcPr>
          <w:p w14:paraId="266992DF" w14:textId="29251FC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w:t>
            </w:r>
          </w:p>
        </w:tc>
        <w:tc>
          <w:tcPr>
            <w:tcW w:w="1391" w:type="dxa"/>
            <w:vAlign w:val="center"/>
          </w:tcPr>
          <w:p w14:paraId="3B344C74" w14:textId="1041C043"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Maharashtra</w:t>
            </w:r>
          </w:p>
        </w:tc>
        <w:tc>
          <w:tcPr>
            <w:tcW w:w="978" w:type="dxa"/>
            <w:vAlign w:val="center"/>
          </w:tcPr>
          <w:p w14:paraId="6065D701" w14:textId="4579741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3226.67</w:t>
            </w:r>
          </w:p>
        </w:tc>
        <w:tc>
          <w:tcPr>
            <w:tcW w:w="976" w:type="dxa"/>
            <w:vAlign w:val="center"/>
          </w:tcPr>
          <w:p w14:paraId="3DF62B8A" w14:textId="5F66DD6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3421.16</w:t>
            </w:r>
          </w:p>
        </w:tc>
        <w:tc>
          <w:tcPr>
            <w:tcW w:w="1073" w:type="dxa"/>
            <w:vAlign w:val="center"/>
          </w:tcPr>
          <w:p w14:paraId="27F10F5F" w14:textId="0848DD3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3627.39</w:t>
            </w:r>
          </w:p>
        </w:tc>
        <w:tc>
          <w:tcPr>
            <w:tcW w:w="1073" w:type="dxa"/>
            <w:vAlign w:val="center"/>
          </w:tcPr>
          <w:p w14:paraId="65E778DD" w14:textId="6E5A3E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3846.04</w:t>
            </w:r>
          </w:p>
        </w:tc>
        <w:tc>
          <w:tcPr>
            <w:tcW w:w="979" w:type="dxa"/>
            <w:vAlign w:val="center"/>
          </w:tcPr>
          <w:p w14:paraId="7C14AFD1" w14:textId="1715BF5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4077.87</w:t>
            </w:r>
          </w:p>
        </w:tc>
        <w:tc>
          <w:tcPr>
            <w:tcW w:w="979" w:type="dxa"/>
            <w:vAlign w:val="center"/>
          </w:tcPr>
          <w:p w14:paraId="40A9D698" w14:textId="385AF1B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4323.68</w:t>
            </w:r>
          </w:p>
        </w:tc>
        <w:tc>
          <w:tcPr>
            <w:tcW w:w="1056" w:type="dxa"/>
            <w:vAlign w:val="center"/>
          </w:tcPr>
          <w:p w14:paraId="4E9A4DD3" w14:textId="13F86D7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19296.14</w:t>
            </w:r>
          </w:p>
        </w:tc>
      </w:tr>
      <w:tr w:rsidR="009775CB" w:rsidRPr="0078036E" w14:paraId="25CF7534" w14:textId="77777777" w:rsidTr="0049031D">
        <w:trPr>
          <w:trHeight w:val="20"/>
          <w:jc w:val="center"/>
        </w:trPr>
        <w:tc>
          <w:tcPr>
            <w:tcW w:w="421" w:type="dxa"/>
            <w:vAlign w:val="center"/>
          </w:tcPr>
          <w:p w14:paraId="5D25FB1A" w14:textId="22D0078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w:t>
            </w:r>
          </w:p>
        </w:tc>
        <w:tc>
          <w:tcPr>
            <w:tcW w:w="1391" w:type="dxa"/>
            <w:vAlign w:val="center"/>
          </w:tcPr>
          <w:p w14:paraId="151EF9D4" w14:textId="21BDDCB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Orissa</w:t>
            </w:r>
          </w:p>
        </w:tc>
        <w:tc>
          <w:tcPr>
            <w:tcW w:w="978" w:type="dxa"/>
            <w:vAlign w:val="center"/>
          </w:tcPr>
          <w:p w14:paraId="6062E446" w14:textId="0BC989C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881.62</w:t>
            </w:r>
          </w:p>
        </w:tc>
        <w:tc>
          <w:tcPr>
            <w:tcW w:w="976" w:type="dxa"/>
            <w:vAlign w:val="center"/>
          </w:tcPr>
          <w:p w14:paraId="4CDC3C5A" w14:textId="4DB6CE8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914.09</w:t>
            </w:r>
          </w:p>
        </w:tc>
        <w:tc>
          <w:tcPr>
            <w:tcW w:w="1073" w:type="dxa"/>
            <w:vAlign w:val="center"/>
          </w:tcPr>
          <w:p w14:paraId="38042A41" w14:textId="791E4FA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947.76</w:t>
            </w:r>
          </w:p>
        </w:tc>
        <w:tc>
          <w:tcPr>
            <w:tcW w:w="1073" w:type="dxa"/>
            <w:vAlign w:val="center"/>
          </w:tcPr>
          <w:p w14:paraId="12D5C620" w14:textId="1AE2E3D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982.68</w:t>
            </w:r>
          </w:p>
        </w:tc>
        <w:tc>
          <w:tcPr>
            <w:tcW w:w="979" w:type="dxa"/>
            <w:vAlign w:val="center"/>
          </w:tcPr>
          <w:p w14:paraId="2E1E6A2E" w14:textId="0D4B295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1018.88</w:t>
            </w:r>
          </w:p>
        </w:tc>
        <w:tc>
          <w:tcPr>
            <w:tcW w:w="979" w:type="dxa"/>
            <w:vAlign w:val="center"/>
          </w:tcPr>
          <w:p w14:paraId="5FDC3529" w14:textId="177DA29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1056.41</w:t>
            </w:r>
          </w:p>
        </w:tc>
        <w:tc>
          <w:tcPr>
            <w:tcW w:w="1056" w:type="dxa"/>
            <w:vAlign w:val="center"/>
          </w:tcPr>
          <w:p w14:paraId="1DF0468E" w14:textId="49D3F06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4919.82</w:t>
            </w:r>
          </w:p>
        </w:tc>
      </w:tr>
      <w:tr w:rsidR="009775CB" w:rsidRPr="0078036E" w14:paraId="77293F4D" w14:textId="77777777" w:rsidTr="0049031D">
        <w:trPr>
          <w:trHeight w:val="20"/>
          <w:jc w:val="center"/>
        </w:trPr>
        <w:tc>
          <w:tcPr>
            <w:tcW w:w="421" w:type="dxa"/>
            <w:vAlign w:val="center"/>
          </w:tcPr>
          <w:p w14:paraId="79EA44E4" w14:textId="046E59E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w:t>
            </w:r>
          </w:p>
        </w:tc>
        <w:tc>
          <w:tcPr>
            <w:tcW w:w="1391" w:type="dxa"/>
            <w:vAlign w:val="center"/>
          </w:tcPr>
          <w:p w14:paraId="2B61E181" w14:textId="187C6A69"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Punjab</w:t>
            </w:r>
          </w:p>
        </w:tc>
        <w:tc>
          <w:tcPr>
            <w:tcW w:w="978" w:type="dxa"/>
            <w:vAlign w:val="center"/>
          </w:tcPr>
          <w:p w14:paraId="6514E34F" w14:textId="780AF00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758.87</w:t>
            </w:r>
          </w:p>
        </w:tc>
        <w:tc>
          <w:tcPr>
            <w:tcW w:w="976" w:type="dxa"/>
            <w:vAlign w:val="center"/>
          </w:tcPr>
          <w:p w14:paraId="6D61388B" w14:textId="56A7D52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825.99</w:t>
            </w:r>
          </w:p>
        </w:tc>
        <w:tc>
          <w:tcPr>
            <w:tcW w:w="1073" w:type="dxa"/>
            <w:vAlign w:val="center"/>
          </w:tcPr>
          <w:p w14:paraId="45C32D73" w14:textId="7FA8F61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899.05</w:t>
            </w:r>
          </w:p>
        </w:tc>
        <w:tc>
          <w:tcPr>
            <w:tcW w:w="1073" w:type="dxa"/>
            <w:vAlign w:val="center"/>
          </w:tcPr>
          <w:p w14:paraId="6BB35F7A" w14:textId="0FF5775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978.57</w:t>
            </w:r>
          </w:p>
        </w:tc>
        <w:tc>
          <w:tcPr>
            <w:tcW w:w="979" w:type="dxa"/>
            <w:vAlign w:val="center"/>
          </w:tcPr>
          <w:p w14:paraId="5B62CF31" w14:textId="56EF49A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1065.13</w:t>
            </w:r>
          </w:p>
        </w:tc>
        <w:tc>
          <w:tcPr>
            <w:tcW w:w="979" w:type="dxa"/>
            <w:vAlign w:val="center"/>
          </w:tcPr>
          <w:p w14:paraId="78B37F03" w14:textId="34E93C5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1159.34</w:t>
            </w:r>
          </w:p>
        </w:tc>
        <w:tc>
          <w:tcPr>
            <w:tcW w:w="1056" w:type="dxa"/>
            <w:vAlign w:val="center"/>
          </w:tcPr>
          <w:p w14:paraId="191C8BBB" w14:textId="72BDE4E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4928.08</w:t>
            </w:r>
          </w:p>
        </w:tc>
      </w:tr>
      <w:tr w:rsidR="009775CB" w:rsidRPr="0078036E" w14:paraId="37F51666" w14:textId="77777777" w:rsidTr="0049031D">
        <w:trPr>
          <w:trHeight w:val="20"/>
          <w:jc w:val="center"/>
        </w:trPr>
        <w:tc>
          <w:tcPr>
            <w:tcW w:w="421" w:type="dxa"/>
            <w:vAlign w:val="center"/>
          </w:tcPr>
          <w:p w14:paraId="6C55C61F" w14:textId="50690A6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w:t>
            </w:r>
          </w:p>
        </w:tc>
        <w:tc>
          <w:tcPr>
            <w:tcW w:w="1391" w:type="dxa"/>
            <w:vAlign w:val="center"/>
          </w:tcPr>
          <w:p w14:paraId="319E77BE" w14:textId="68C1751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Rajasthan</w:t>
            </w:r>
          </w:p>
        </w:tc>
        <w:tc>
          <w:tcPr>
            <w:tcW w:w="978" w:type="dxa"/>
            <w:vAlign w:val="center"/>
          </w:tcPr>
          <w:p w14:paraId="27647DD4" w14:textId="60B726B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916.72</w:t>
            </w:r>
          </w:p>
        </w:tc>
        <w:tc>
          <w:tcPr>
            <w:tcW w:w="976" w:type="dxa"/>
            <w:vAlign w:val="center"/>
          </w:tcPr>
          <w:p w14:paraId="553C04A2" w14:textId="6D54148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1020.57</w:t>
            </w:r>
          </w:p>
        </w:tc>
        <w:tc>
          <w:tcPr>
            <w:tcW w:w="1073" w:type="dxa"/>
            <w:vAlign w:val="center"/>
          </w:tcPr>
          <w:p w14:paraId="7A8A93CA" w14:textId="4DA3D8F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1136.18</w:t>
            </w:r>
          </w:p>
        </w:tc>
        <w:tc>
          <w:tcPr>
            <w:tcW w:w="1073" w:type="dxa"/>
            <w:vAlign w:val="center"/>
          </w:tcPr>
          <w:p w14:paraId="31549D87" w14:textId="21C7E48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1264.89</w:t>
            </w:r>
          </w:p>
        </w:tc>
        <w:tc>
          <w:tcPr>
            <w:tcW w:w="979" w:type="dxa"/>
            <w:vAlign w:val="center"/>
          </w:tcPr>
          <w:p w14:paraId="162C0250" w14:textId="0C971CF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1408.19</w:t>
            </w:r>
          </w:p>
        </w:tc>
        <w:tc>
          <w:tcPr>
            <w:tcW w:w="979" w:type="dxa"/>
            <w:vAlign w:val="center"/>
          </w:tcPr>
          <w:p w14:paraId="3161685E" w14:textId="1C3EBDE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1567.71</w:t>
            </w:r>
          </w:p>
        </w:tc>
        <w:tc>
          <w:tcPr>
            <w:tcW w:w="1056" w:type="dxa"/>
            <w:vAlign w:val="center"/>
          </w:tcPr>
          <w:p w14:paraId="00EDA58F" w14:textId="2E07BA5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6397.54</w:t>
            </w:r>
          </w:p>
        </w:tc>
      </w:tr>
      <w:tr w:rsidR="009775CB" w:rsidRPr="0078036E" w14:paraId="6462FEA0" w14:textId="77777777" w:rsidTr="0049031D">
        <w:trPr>
          <w:trHeight w:val="20"/>
          <w:jc w:val="center"/>
        </w:trPr>
        <w:tc>
          <w:tcPr>
            <w:tcW w:w="421" w:type="dxa"/>
            <w:vAlign w:val="center"/>
          </w:tcPr>
          <w:p w14:paraId="592FF2DB" w14:textId="44CF1F4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w:t>
            </w:r>
          </w:p>
        </w:tc>
        <w:tc>
          <w:tcPr>
            <w:tcW w:w="1391" w:type="dxa"/>
            <w:vAlign w:val="center"/>
          </w:tcPr>
          <w:p w14:paraId="1F84A848" w14:textId="58F0013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Tamil Nadu</w:t>
            </w:r>
          </w:p>
        </w:tc>
        <w:tc>
          <w:tcPr>
            <w:tcW w:w="978" w:type="dxa"/>
            <w:vAlign w:val="center"/>
          </w:tcPr>
          <w:p w14:paraId="3F389B23" w14:textId="0A6BA90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1244.78</w:t>
            </w:r>
          </w:p>
        </w:tc>
        <w:tc>
          <w:tcPr>
            <w:tcW w:w="976" w:type="dxa"/>
            <w:vAlign w:val="center"/>
          </w:tcPr>
          <w:p w14:paraId="79A46467" w14:textId="5F40F3D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1440.69</w:t>
            </w:r>
          </w:p>
        </w:tc>
        <w:tc>
          <w:tcPr>
            <w:tcW w:w="1073" w:type="dxa"/>
            <w:vAlign w:val="center"/>
          </w:tcPr>
          <w:p w14:paraId="32ACC9B1" w14:textId="59D69D8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1667.43</w:t>
            </w:r>
          </w:p>
        </w:tc>
        <w:tc>
          <w:tcPr>
            <w:tcW w:w="1073" w:type="dxa"/>
            <w:vAlign w:val="center"/>
          </w:tcPr>
          <w:p w14:paraId="29C251F6" w14:textId="1966F10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1929.85</w:t>
            </w:r>
          </w:p>
        </w:tc>
        <w:tc>
          <w:tcPr>
            <w:tcW w:w="979" w:type="dxa"/>
            <w:vAlign w:val="center"/>
          </w:tcPr>
          <w:p w14:paraId="1ECF08DC" w14:textId="1D398C5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2233.58</w:t>
            </w:r>
          </w:p>
        </w:tc>
        <w:tc>
          <w:tcPr>
            <w:tcW w:w="979" w:type="dxa"/>
            <w:vAlign w:val="center"/>
          </w:tcPr>
          <w:p w14:paraId="0793A622" w14:textId="43C97D3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2585.10</w:t>
            </w:r>
          </w:p>
        </w:tc>
        <w:tc>
          <w:tcPr>
            <w:tcW w:w="1056" w:type="dxa"/>
            <w:vAlign w:val="center"/>
          </w:tcPr>
          <w:p w14:paraId="46592165" w14:textId="23D53C6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9856.64</w:t>
            </w:r>
          </w:p>
        </w:tc>
      </w:tr>
      <w:tr w:rsidR="009775CB" w:rsidRPr="0078036E" w14:paraId="55CF8DFD" w14:textId="77777777" w:rsidTr="0049031D">
        <w:trPr>
          <w:trHeight w:val="20"/>
          <w:jc w:val="center"/>
        </w:trPr>
        <w:tc>
          <w:tcPr>
            <w:tcW w:w="421" w:type="dxa"/>
            <w:vAlign w:val="center"/>
          </w:tcPr>
          <w:p w14:paraId="49AE256A" w14:textId="1686FEC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w:t>
            </w:r>
          </w:p>
        </w:tc>
        <w:tc>
          <w:tcPr>
            <w:tcW w:w="1391" w:type="dxa"/>
            <w:vAlign w:val="center"/>
          </w:tcPr>
          <w:p w14:paraId="38DE348A" w14:textId="53E8BFEE"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Uttar Pradesh</w:t>
            </w:r>
          </w:p>
        </w:tc>
        <w:tc>
          <w:tcPr>
            <w:tcW w:w="978" w:type="dxa"/>
            <w:vAlign w:val="center"/>
          </w:tcPr>
          <w:p w14:paraId="3F927497" w14:textId="2317EAA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2028.80</w:t>
            </w:r>
          </w:p>
        </w:tc>
        <w:tc>
          <w:tcPr>
            <w:tcW w:w="976" w:type="dxa"/>
            <w:vAlign w:val="center"/>
          </w:tcPr>
          <w:p w14:paraId="708F9241" w14:textId="6792A0D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2307.02</w:t>
            </w:r>
          </w:p>
        </w:tc>
        <w:tc>
          <w:tcPr>
            <w:tcW w:w="1073" w:type="dxa"/>
            <w:vAlign w:val="center"/>
          </w:tcPr>
          <w:p w14:paraId="4EEAB9CE" w14:textId="7F309E6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2623.40</w:t>
            </w:r>
          </w:p>
        </w:tc>
        <w:tc>
          <w:tcPr>
            <w:tcW w:w="1073" w:type="dxa"/>
            <w:vAlign w:val="center"/>
          </w:tcPr>
          <w:p w14:paraId="1DE6E6C9" w14:textId="073A013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2983.16</w:t>
            </w:r>
          </w:p>
        </w:tc>
        <w:tc>
          <w:tcPr>
            <w:tcW w:w="979" w:type="dxa"/>
            <w:vAlign w:val="center"/>
          </w:tcPr>
          <w:p w14:paraId="3E30636B" w14:textId="574DFB3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3392.27</w:t>
            </w:r>
          </w:p>
        </w:tc>
        <w:tc>
          <w:tcPr>
            <w:tcW w:w="979" w:type="dxa"/>
            <w:vAlign w:val="center"/>
          </w:tcPr>
          <w:p w14:paraId="6162D4C3" w14:textId="65AC45F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3857.47</w:t>
            </w:r>
          </w:p>
        </w:tc>
        <w:tc>
          <w:tcPr>
            <w:tcW w:w="1056" w:type="dxa"/>
            <w:vAlign w:val="center"/>
          </w:tcPr>
          <w:p w14:paraId="27893554" w14:textId="1D045F9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15163.32</w:t>
            </w:r>
          </w:p>
        </w:tc>
      </w:tr>
      <w:tr w:rsidR="009775CB" w:rsidRPr="0078036E" w14:paraId="36B6A95D" w14:textId="77777777" w:rsidTr="0049031D">
        <w:trPr>
          <w:trHeight w:val="20"/>
          <w:jc w:val="center"/>
        </w:trPr>
        <w:tc>
          <w:tcPr>
            <w:tcW w:w="421" w:type="dxa"/>
            <w:vAlign w:val="center"/>
          </w:tcPr>
          <w:p w14:paraId="3DAFF4F7" w14:textId="188C135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14</w:t>
            </w:r>
          </w:p>
        </w:tc>
        <w:tc>
          <w:tcPr>
            <w:tcW w:w="1391" w:type="dxa"/>
            <w:vAlign w:val="center"/>
          </w:tcPr>
          <w:p w14:paraId="22558492" w14:textId="50CF30DF"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color w:val="1A1C1E"/>
                <w:sz w:val="16"/>
                <w:szCs w:val="16"/>
              </w:rPr>
              <w:t>West Bengal</w:t>
            </w:r>
          </w:p>
        </w:tc>
        <w:tc>
          <w:tcPr>
            <w:tcW w:w="978" w:type="dxa"/>
            <w:vAlign w:val="center"/>
          </w:tcPr>
          <w:p w14:paraId="45CB8A8A" w14:textId="3792B84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4568.71</w:t>
            </w:r>
          </w:p>
        </w:tc>
        <w:tc>
          <w:tcPr>
            <w:tcW w:w="976" w:type="dxa"/>
            <w:vAlign w:val="center"/>
          </w:tcPr>
          <w:p w14:paraId="2C8E9E22" w14:textId="12B51AE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4197.42</w:t>
            </w:r>
          </w:p>
        </w:tc>
        <w:tc>
          <w:tcPr>
            <w:tcW w:w="1073" w:type="dxa"/>
            <w:vAlign w:val="center"/>
          </w:tcPr>
          <w:p w14:paraId="76555B8F" w14:textId="48D6850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3856.30</w:t>
            </w:r>
          </w:p>
        </w:tc>
        <w:tc>
          <w:tcPr>
            <w:tcW w:w="1073" w:type="dxa"/>
            <w:vAlign w:val="center"/>
          </w:tcPr>
          <w:p w14:paraId="43A67BA7" w14:textId="68B97D2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3542.91</w:t>
            </w:r>
          </w:p>
        </w:tc>
        <w:tc>
          <w:tcPr>
            <w:tcW w:w="979" w:type="dxa"/>
            <w:vAlign w:val="center"/>
          </w:tcPr>
          <w:p w14:paraId="64E29580" w14:textId="2F045DA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3254.99</w:t>
            </w:r>
          </w:p>
        </w:tc>
        <w:tc>
          <w:tcPr>
            <w:tcW w:w="979" w:type="dxa"/>
            <w:vAlign w:val="center"/>
          </w:tcPr>
          <w:p w14:paraId="638E358D" w14:textId="5589808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2990.46</w:t>
            </w:r>
          </w:p>
        </w:tc>
        <w:tc>
          <w:tcPr>
            <w:tcW w:w="1056" w:type="dxa"/>
            <w:vAlign w:val="center"/>
          </w:tcPr>
          <w:p w14:paraId="61A94B32" w14:textId="171458A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color w:val="1A1C1E"/>
                <w:sz w:val="16"/>
                <w:szCs w:val="16"/>
              </w:rPr>
              <w:t>17842.08</w:t>
            </w:r>
          </w:p>
        </w:tc>
      </w:tr>
      <w:tr w:rsidR="009775CB" w:rsidRPr="0078036E" w14:paraId="1A98F190" w14:textId="77777777" w:rsidTr="0049031D">
        <w:trPr>
          <w:trHeight w:val="20"/>
          <w:jc w:val="center"/>
        </w:trPr>
        <w:tc>
          <w:tcPr>
            <w:tcW w:w="421" w:type="dxa"/>
            <w:vAlign w:val="center"/>
          </w:tcPr>
          <w:p w14:paraId="4E3B87C1" w14:textId="7877E1BF"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14</w:t>
            </w:r>
          </w:p>
        </w:tc>
        <w:tc>
          <w:tcPr>
            <w:tcW w:w="1391" w:type="dxa"/>
            <w:vAlign w:val="center"/>
          </w:tcPr>
          <w:p w14:paraId="5CD3CE1B" w14:textId="2A1C64AF" w:rsidR="009775CB" w:rsidRPr="00BB6DC9" w:rsidRDefault="009775CB" w:rsidP="009775CB">
            <w:pP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Major States</w:t>
            </w:r>
          </w:p>
        </w:tc>
        <w:tc>
          <w:tcPr>
            <w:tcW w:w="978" w:type="dxa"/>
            <w:vAlign w:val="center"/>
          </w:tcPr>
          <w:p w14:paraId="4496B73A" w14:textId="1E4F50A3"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22434.16</w:t>
            </w:r>
          </w:p>
        </w:tc>
        <w:tc>
          <w:tcPr>
            <w:tcW w:w="976" w:type="dxa"/>
            <w:vAlign w:val="center"/>
          </w:tcPr>
          <w:p w14:paraId="6500089B" w14:textId="63D5467E"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23769.65</w:t>
            </w:r>
          </w:p>
        </w:tc>
        <w:tc>
          <w:tcPr>
            <w:tcW w:w="1073" w:type="dxa"/>
            <w:vAlign w:val="center"/>
          </w:tcPr>
          <w:p w14:paraId="4D5708A9" w14:textId="07FE4258"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25319.75</w:t>
            </w:r>
          </w:p>
        </w:tc>
        <w:tc>
          <w:tcPr>
            <w:tcW w:w="1073" w:type="dxa"/>
            <w:vAlign w:val="center"/>
          </w:tcPr>
          <w:p w14:paraId="1EF419E2" w14:textId="4043D308"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27103.71</w:t>
            </w:r>
          </w:p>
        </w:tc>
        <w:tc>
          <w:tcPr>
            <w:tcW w:w="979" w:type="dxa"/>
            <w:vAlign w:val="center"/>
          </w:tcPr>
          <w:p w14:paraId="1591A874" w14:textId="0503A211"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29143.69</w:t>
            </w:r>
          </w:p>
        </w:tc>
        <w:tc>
          <w:tcPr>
            <w:tcW w:w="979" w:type="dxa"/>
            <w:vAlign w:val="center"/>
          </w:tcPr>
          <w:p w14:paraId="0FF82A35" w14:textId="776D1694"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31465.07</w:t>
            </w:r>
          </w:p>
        </w:tc>
        <w:tc>
          <w:tcPr>
            <w:tcW w:w="1056" w:type="dxa"/>
            <w:vAlign w:val="center"/>
          </w:tcPr>
          <w:p w14:paraId="3E77F258" w14:textId="2F0812A5" w:rsidR="009775CB" w:rsidRPr="00BB6DC9" w:rsidRDefault="009775CB" w:rsidP="009775CB">
            <w:pPr>
              <w:jc w:val="center"/>
              <w:rPr>
                <w:rFonts w:ascii="Times New Roman" w:hAnsi="Times New Roman" w:cs="Times New Roman"/>
                <w:color w:val="1A1C1E"/>
                <w:sz w:val="16"/>
                <w:szCs w:val="16"/>
              </w:rPr>
            </w:pPr>
            <w:r w:rsidRPr="00BB6DC9">
              <w:rPr>
                <w:rFonts w:ascii="Times New Roman" w:hAnsi="Times New Roman" w:cs="Times New Roman"/>
                <w:b/>
                <w:bCs/>
                <w:color w:val="1A1C1E"/>
                <w:sz w:val="16"/>
                <w:szCs w:val="16"/>
              </w:rPr>
              <w:t>136801.87</w:t>
            </w:r>
          </w:p>
        </w:tc>
      </w:tr>
      <w:tr w:rsidR="009775CB" w:rsidRPr="0078036E" w14:paraId="63459EEA" w14:textId="77777777" w:rsidTr="00BB3F03">
        <w:trPr>
          <w:trHeight w:val="20"/>
          <w:jc w:val="center"/>
        </w:trPr>
        <w:tc>
          <w:tcPr>
            <w:tcW w:w="8926" w:type="dxa"/>
            <w:gridSpan w:val="9"/>
            <w:vAlign w:val="center"/>
          </w:tcPr>
          <w:p w14:paraId="38A66A37" w14:textId="4F93FBC0" w:rsidR="009775CB" w:rsidRPr="00BB6DC9" w:rsidRDefault="009775CB" w:rsidP="009775CB">
            <w:pPr>
              <w:jc w:val="center"/>
              <w:rPr>
                <w:rFonts w:ascii="Times New Roman" w:hAnsi="Times New Roman" w:cs="Times New Roman"/>
                <w:b/>
                <w:bCs/>
                <w:color w:val="1A1C1E"/>
                <w:sz w:val="16"/>
                <w:szCs w:val="16"/>
              </w:rPr>
            </w:pPr>
            <w:r w:rsidRPr="00BB6DC9">
              <w:rPr>
                <w:rFonts w:ascii="Times New Roman" w:hAnsi="Times New Roman" w:cs="Times New Roman"/>
                <w:b/>
                <w:bCs/>
                <w:sz w:val="20"/>
                <w:szCs w:val="20"/>
              </w:rPr>
              <w:t xml:space="preserve">Expenditure Category: Medical, Family Welfare </w:t>
            </w:r>
            <w:proofErr w:type="gramStart"/>
            <w:r w:rsidRPr="00BB6DC9">
              <w:rPr>
                <w:rFonts w:ascii="Times New Roman" w:hAnsi="Times New Roman" w:cs="Times New Roman"/>
                <w:b/>
                <w:bCs/>
                <w:sz w:val="20"/>
                <w:szCs w:val="20"/>
              </w:rPr>
              <w:t>And</w:t>
            </w:r>
            <w:proofErr w:type="gramEnd"/>
            <w:r w:rsidRPr="00BB6DC9">
              <w:rPr>
                <w:rFonts w:ascii="Times New Roman" w:hAnsi="Times New Roman" w:cs="Times New Roman"/>
                <w:b/>
                <w:bCs/>
                <w:sz w:val="20"/>
                <w:szCs w:val="20"/>
              </w:rPr>
              <w:t xml:space="preserve"> Public Health (excluding Water Supply)</w:t>
            </w:r>
          </w:p>
        </w:tc>
      </w:tr>
      <w:tr w:rsidR="009775CB" w:rsidRPr="0078036E" w14:paraId="5B694781" w14:textId="77777777" w:rsidTr="0049031D">
        <w:trPr>
          <w:trHeight w:val="20"/>
          <w:jc w:val="center"/>
        </w:trPr>
        <w:tc>
          <w:tcPr>
            <w:tcW w:w="421" w:type="dxa"/>
            <w:vAlign w:val="center"/>
          </w:tcPr>
          <w:p w14:paraId="178A943E" w14:textId="11979757"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No.</w:t>
            </w:r>
          </w:p>
        </w:tc>
        <w:tc>
          <w:tcPr>
            <w:tcW w:w="1391" w:type="dxa"/>
            <w:vAlign w:val="center"/>
          </w:tcPr>
          <w:p w14:paraId="3A65D9E7" w14:textId="7F95A27F" w:rsidR="009775CB" w:rsidRPr="009775CB" w:rsidRDefault="009775CB" w:rsidP="009775CB">
            <w:pPr>
              <w:rPr>
                <w:rFonts w:ascii="Times New Roman" w:hAnsi="Times New Roman" w:cs="Times New Roman"/>
                <w:b/>
                <w:bCs/>
                <w:color w:val="1A1C1E"/>
                <w:sz w:val="16"/>
                <w:szCs w:val="16"/>
              </w:rPr>
            </w:pPr>
            <w:r w:rsidRPr="009775CB">
              <w:rPr>
                <w:rFonts w:ascii="Times New Roman" w:hAnsi="Times New Roman" w:cs="Times New Roman"/>
                <w:b/>
                <w:bCs/>
                <w:sz w:val="16"/>
                <w:szCs w:val="16"/>
              </w:rPr>
              <w:t>State</w:t>
            </w:r>
          </w:p>
        </w:tc>
        <w:tc>
          <w:tcPr>
            <w:tcW w:w="978" w:type="dxa"/>
            <w:vAlign w:val="center"/>
          </w:tcPr>
          <w:p w14:paraId="7065426A" w14:textId="2A87D454"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1989-90</w:t>
            </w:r>
          </w:p>
        </w:tc>
        <w:tc>
          <w:tcPr>
            <w:tcW w:w="976" w:type="dxa"/>
            <w:vAlign w:val="center"/>
          </w:tcPr>
          <w:p w14:paraId="77B1D1FE" w14:textId="37E96D76"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1990-91</w:t>
            </w:r>
          </w:p>
        </w:tc>
        <w:tc>
          <w:tcPr>
            <w:tcW w:w="1073" w:type="dxa"/>
            <w:vAlign w:val="center"/>
          </w:tcPr>
          <w:p w14:paraId="7BD1F648" w14:textId="111924A2"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1991-92</w:t>
            </w:r>
          </w:p>
        </w:tc>
        <w:tc>
          <w:tcPr>
            <w:tcW w:w="1073" w:type="dxa"/>
            <w:vAlign w:val="center"/>
          </w:tcPr>
          <w:p w14:paraId="40E20F7C" w14:textId="0C9F0963"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1992-93</w:t>
            </w:r>
          </w:p>
        </w:tc>
        <w:tc>
          <w:tcPr>
            <w:tcW w:w="979" w:type="dxa"/>
            <w:vAlign w:val="center"/>
          </w:tcPr>
          <w:p w14:paraId="3B78CE1B" w14:textId="4C37C6B9"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1993-94</w:t>
            </w:r>
          </w:p>
        </w:tc>
        <w:tc>
          <w:tcPr>
            <w:tcW w:w="979" w:type="dxa"/>
            <w:vAlign w:val="center"/>
          </w:tcPr>
          <w:p w14:paraId="2487B548" w14:textId="12CF840C"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1994-95</w:t>
            </w:r>
          </w:p>
        </w:tc>
        <w:tc>
          <w:tcPr>
            <w:tcW w:w="1056" w:type="dxa"/>
            <w:vAlign w:val="center"/>
          </w:tcPr>
          <w:p w14:paraId="05424BF9" w14:textId="3E0975DC" w:rsidR="009775CB" w:rsidRPr="009775CB" w:rsidRDefault="009775CB" w:rsidP="009775CB">
            <w:pPr>
              <w:jc w:val="center"/>
              <w:rPr>
                <w:rFonts w:ascii="Times New Roman" w:hAnsi="Times New Roman" w:cs="Times New Roman"/>
                <w:b/>
                <w:bCs/>
                <w:color w:val="1A1C1E"/>
                <w:sz w:val="16"/>
                <w:szCs w:val="16"/>
              </w:rPr>
            </w:pPr>
            <w:r w:rsidRPr="009775CB">
              <w:rPr>
                <w:rFonts w:ascii="Times New Roman" w:hAnsi="Times New Roman" w:cs="Times New Roman"/>
                <w:b/>
                <w:bCs/>
                <w:sz w:val="16"/>
                <w:szCs w:val="16"/>
              </w:rPr>
              <w:t>1990-91 to 1994-95</w:t>
            </w:r>
          </w:p>
        </w:tc>
      </w:tr>
      <w:tr w:rsidR="009775CB" w:rsidRPr="0078036E" w14:paraId="419DA357" w14:textId="77777777" w:rsidTr="0049031D">
        <w:trPr>
          <w:trHeight w:val="20"/>
          <w:jc w:val="center"/>
        </w:trPr>
        <w:tc>
          <w:tcPr>
            <w:tcW w:w="421" w:type="dxa"/>
            <w:vAlign w:val="center"/>
          </w:tcPr>
          <w:p w14:paraId="2AF81285" w14:textId="57901C2B"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w:t>
            </w:r>
          </w:p>
        </w:tc>
        <w:tc>
          <w:tcPr>
            <w:tcW w:w="1391" w:type="dxa"/>
            <w:vAlign w:val="center"/>
          </w:tcPr>
          <w:p w14:paraId="09EB3AA2" w14:textId="4E95761C"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sz w:val="16"/>
                <w:szCs w:val="16"/>
              </w:rPr>
              <w:t>Andhra Pradesh</w:t>
            </w:r>
          </w:p>
        </w:tc>
        <w:tc>
          <w:tcPr>
            <w:tcW w:w="978" w:type="dxa"/>
            <w:vAlign w:val="center"/>
          </w:tcPr>
          <w:p w14:paraId="203502D0" w14:textId="56E0FDDE"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17755.64</w:t>
            </w:r>
          </w:p>
        </w:tc>
        <w:tc>
          <w:tcPr>
            <w:tcW w:w="976" w:type="dxa"/>
            <w:vAlign w:val="center"/>
          </w:tcPr>
          <w:p w14:paraId="2CB9B49D" w14:textId="1078047E"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18979.22</w:t>
            </w:r>
          </w:p>
        </w:tc>
        <w:tc>
          <w:tcPr>
            <w:tcW w:w="1073" w:type="dxa"/>
            <w:vAlign w:val="center"/>
          </w:tcPr>
          <w:p w14:paraId="6B52B6B6" w14:textId="67511D4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20287.11</w:t>
            </w:r>
          </w:p>
        </w:tc>
        <w:tc>
          <w:tcPr>
            <w:tcW w:w="1073" w:type="dxa"/>
            <w:vAlign w:val="center"/>
          </w:tcPr>
          <w:p w14:paraId="5F384F7D" w14:textId="2DDC2B65"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21685.13</w:t>
            </w:r>
          </w:p>
        </w:tc>
        <w:tc>
          <w:tcPr>
            <w:tcW w:w="979" w:type="dxa"/>
            <w:vAlign w:val="center"/>
          </w:tcPr>
          <w:p w14:paraId="0E4E537E" w14:textId="727980EE"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23179.49</w:t>
            </w:r>
          </w:p>
        </w:tc>
        <w:tc>
          <w:tcPr>
            <w:tcW w:w="979" w:type="dxa"/>
            <w:vAlign w:val="center"/>
          </w:tcPr>
          <w:p w14:paraId="6DE5BD85" w14:textId="3A540FFD"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24776.83</w:t>
            </w:r>
          </w:p>
        </w:tc>
        <w:tc>
          <w:tcPr>
            <w:tcW w:w="1056" w:type="dxa"/>
            <w:vAlign w:val="center"/>
          </w:tcPr>
          <w:p w14:paraId="21A492BA" w14:textId="45F63B8B"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108907.78</w:t>
            </w:r>
          </w:p>
        </w:tc>
      </w:tr>
      <w:tr w:rsidR="009775CB" w:rsidRPr="0078036E" w14:paraId="10D251DF" w14:textId="77777777" w:rsidTr="0049031D">
        <w:trPr>
          <w:trHeight w:val="20"/>
          <w:jc w:val="center"/>
        </w:trPr>
        <w:tc>
          <w:tcPr>
            <w:tcW w:w="421" w:type="dxa"/>
            <w:vAlign w:val="center"/>
          </w:tcPr>
          <w:p w14:paraId="04C46292" w14:textId="6F9B981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w:t>
            </w:r>
          </w:p>
        </w:tc>
        <w:tc>
          <w:tcPr>
            <w:tcW w:w="1391" w:type="dxa"/>
            <w:vAlign w:val="center"/>
          </w:tcPr>
          <w:p w14:paraId="7D0625D2" w14:textId="3F25F65B"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Bihar</w:t>
            </w:r>
          </w:p>
        </w:tc>
        <w:tc>
          <w:tcPr>
            <w:tcW w:w="978" w:type="dxa"/>
            <w:vAlign w:val="center"/>
          </w:tcPr>
          <w:p w14:paraId="6FE5DEA0" w14:textId="2E68D8C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12743.47</w:t>
            </w:r>
          </w:p>
        </w:tc>
        <w:tc>
          <w:tcPr>
            <w:tcW w:w="976" w:type="dxa"/>
            <w:vAlign w:val="center"/>
          </w:tcPr>
          <w:p w14:paraId="609A8B59" w14:textId="0751FED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13561.17</w:t>
            </w:r>
          </w:p>
        </w:tc>
        <w:tc>
          <w:tcPr>
            <w:tcW w:w="1073" w:type="dxa"/>
            <w:vAlign w:val="center"/>
          </w:tcPr>
          <w:p w14:paraId="23E0AC7A" w14:textId="6FAAA48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14431.34</w:t>
            </w:r>
          </w:p>
        </w:tc>
        <w:tc>
          <w:tcPr>
            <w:tcW w:w="1073" w:type="dxa"/>
            <w:vAlign w:val="center"/>
          </w:tcPr>
          <w:p w14:paraId="7D45814F" w14:textId="00766C6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15357.35</w:t>
            </w:r>
          </w:p>
        </w:tc>
        <w:tc>
          <w:tcPr>
            <w:tcW w:w="979" w:type="dxa"/>
            <w:vAlign w:val="center"/>
          </w:tcPr>
          <w:p w14:paraId="6E7EAE5B" w14:textId="5A2A002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16342.78</w:t>
            </w:r>
          </w:p>
        </w:tc>
        <w:tc>
          <w:tcPr>
            <w:tcW w:w="979" w:type="dxa"/>
            <w:vAlign w:val="center"/>
          </w:tcPr>
          <w:p w14:paraId="0CF3C03D" w14:textId="1854328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17391.44</w:t>
            </w:r>
          </w:p>
        </w:tc>
        <w:tc>
          <w:tcPr>
            <w:tcW w:w="1056" w:type="dxa"/>
            <w:vAlign w:val="center"/>
          </w:tcPr>
          <w:p w14:paraId="7E229C47" w14:textId="71244FD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77084.08</w:t>
            </w:r>
          </w:p>
        </w:tc>
      </w:tr>
      <w:tr w:rsidR="009775CB" w:rsidRPr="0078036E" w14:paraId="5FB765CD" w14:textId="77777777" w:rsidTr="0049031D">
        <w:trPr>
          <w:trHeight w:val="20"/>
          <w:jc w:val="center"/>
        </w:trPr>
        <w:tc>
          <w:tcPr>
            <w:tcW w:w="421" w:type="dxa"/>
            <w:vAlign w:val="center"/>
          </w:tcPr>
          <w:p w14:paraId="5C1034FA" w14:textId="19C9439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w:t>
            </w:r>
          </w:p>
        </w:tc>
        <w:tc>
          <w:tcPr>
            <w:tcW w:w="1391" w:type="dxa"/>
            <w:vAlign w:val="center"/>
          </w:tcPr>
          <w:p w14:paraId="74CD4E5B" w14:textId="5933A537"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Gujarat</w:t>
            </w:r>
          </w:p>
        </w:tc>
        <w:tc>
          <w:tcPr>
            <w:tcW w:w="978" w:type="dxa"/>
            <w:vAlign w:val="center"/>
          </w:tcPr>
          <w:p w14:paraId="0343FCB6" w14:textId="2D561E4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22167.59</w:t>
            </w:r>
          </w:p>
        </w:tc>
        <w:tc>
          <w:tcPr>
            <w:tcW w:w="976" w:type="dxa"/>
            <w:vAlign w:val="center"/>
          </w:tcPr>
          <w:p w14:paraId="62428B23" w14:textId="5BD34CF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23921.87</w:t>
            </w:r>
          </w:p>
        </w:tc>
        <w:tc>
          <w:tcPr>
            <w:tcW w:w="1073" w:type="dxa"/>
            <w:vAlign w:val="center"/>
          </w:tcPr>
          <w:p w14:paraId="2DE0A053" w14:textId="543CD07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25814.97</w:t>
            </w:r>
          </w:p>
        </w:tc>
        <w:tc>
          <w:tcPr>
            <w:tcW w:w="1073" w:type="dxa"/>
            <w:vAlign w:val="center"/>
          </w:tcPr>
          <w:p w14:paraId="1D735C22" w14:textId="3C1711B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27857.89</w:t>
            </w:r>
          </w:p>
        </w:tc>
        <w:tc>
          <w:tcPr>
            <w:tcW w:w="979" w:type="dxa"/>
            <w:vAlign w:val="center"/>
          </w:tcPr>
          <w:p w14:paraId="6DA23EDE" w14:textId="5C0E9BA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30062.48</w:t>
            </w:r>
          </w:p>
        </w:tc>
        <w:tc>
          <w:tcPr>
            <w:tcW w:w="979" w:type="dxa"/>
            <w:vAlign w:val="center"/>
          </w:tcPr>
          <w:p w14:paraId="0452C589" w14:textId="377716A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32441.54</w:t>
            </w:r>
          </w:p>
        </w:tc>
        <w:tc>
          <w:tcPr>
            <w:tcW w:w="1056" w:type="dxa"/>
            <w:vAlign w:val="center"/>
          </w:tcPr>
          <w:p w14:paraId="7670C80C" w14:textId="6EAD30E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140098.75</w:t>
            </w:r>
          </w:p>
        </w:tc>
      </w:tr>
      <w:tr w:rsidR="009775CB" w:rsidRPr="0078036E" w14:paraId="30E3863A" w14:textId="77777777" w:rsidTr="0049031D">
        <w:trPr>
          <w:trHeight w:val="20"/>
          <w:jc w:val="center"/>
        </w:trPr>
        <w:tc>
          <w:tcPr>
            <w:tcW w:w="421" w:type="dxa"/>
            <w:vAlign w:val="center"/>
          </w:tcPr>
          <w:p w14:paraId="054F1262" w14:textId="23A1211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w:t>
            </w:r>
          </w:p>
        </w:tc>
        <w:tc>
          <w:tcPr>
            <w:tcW w:w="1391" w:type="dxa"/>
            <w:vAlign w:val="center"/>
          </w:tcPr>
          <w:p w14:paraId="4580EDFA" w14:textId="777EFD70"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Haryana</w:t>
            </w:r>
          </w:p>
        </w:tc>
        <w:tc>
          <w:tcPr>
            <w:tcW w:w="978" w:type="dxa"/>
            <w:vAlign w:val="center"/>
          </w:tcPr>
          <w:p w14:paraId="7E366862" w14:textId="5DCDB79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5279.39</w:t>
            </w:r>
          </w:p>
        </w:tc>
        <w:tc>
          <w:tcPr>
            <w:tcW w:w="976" w:type="dxa"/>
            <w:vAlign w:val="center"/>
          </w:tcPr>
          <w:p w14:paraId="084F6C45" w14:textId="3808BFB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5597.66</w:t>
            </w:r>
          </w:p>
        </w:tc>
        <w:tc>
          <w:tcPr>
            <w:tcW w:w="1073" w:type="dxa"/>
            <w:vAlign w:val="center"/>
          </w:tcPr>
          <w:p w14:paraId="69F93F7F" w14:textId="42B0DC7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5935.11</w:t>
            </w:r>
          </w:p>
        </w:tc>
        <w:tc>
          <w:tcPr>
            <w:tcW w:w="1073" w:type="dxa"/>
            <w:vAlign w:val="center"/>
          </w:tcPr>
          <w:p w14:paraId="1A05E054" w14:textId="16060E5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6292.91</w:t>
            </w:r>
          </w:p>
        </w:tc>
        <w:tc>
          <w:tcPr>
            <w:tcW w:w="979" w:type="dxa"/>
            <w:vAlign w:val="center"/>
          </w:tcPr>
          <w:p w14:paraId="6E7BAD49" w14:textId="0161861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6672.28</w:t>
            </w:r>
          </w:p>
        </w:tc>
        <w:tc>
          <w:tcPr>
            <w:tcW w:w="979" w:type="dxa"/>
            <w:vAlign w:val="center"/>
          </w:tcPr>
          <w:p w14:paraId="19B3C142" w14:textId="1561C95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7074.52</w:t>
            </w:r>
          </w:p>
        </w:tc>
        <w:tc>
          <w:tcPr>
            <w:tcW w:w="1056" w:type="dxa"/>
            <w:vAlign w:val="center"/>
          </w:tcPr>
          <w:p w14:paraId="2009BEA5" w14:textId="6375F62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31572.48</w:t>
            </w:r>
          </w:p>
        </w:tc>
      </w:tr>
      <w:tr w:rsidR="009775CB" w:rsidRPr="0078036E" w14:paraId="433484B4" w14:textId="77777777" w:rsidTr="0049031D">
        <w:trPr>
          <w:trHeight w:val="20"/>
          <w:jc w:val="center"/>
        </w:trPr>
        <w:tc>
          <w:tcPr>
            <w:tcW w:w="421" w:type="dxa"/>
            <w:vAlign w:val="center"/>
          </w:tcPr>
          <w:p w14:paraId="65E315F3" w14:textId="50D3D6D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w:t>
            </w:r>
          </w:p>
        </w:tc>
        <w:tc>
          <w:tcPr>
            <w:tcW w:w="1391" w:type="dxa"/>
            <w:vAlign w:val="center"/>
          </w:tcPr>
          <w:p w14:paraId="53CDEBDC" w14:textId="69E4D934"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Karnataka</w:t>
            </w:r>
          </w:p>
        </w:tc>
        <w:tc>
          <w:tcPr>
            <w:tcW w:w="978" w:type="dxa"/>
            <w:vAlign w:val="center"/>
          </w:tcPr>
          <w:p w14:paraId="1DDE35EF" w14:textId="0B6D927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18316.94</w:t>
            </w:r>
          </w:p>
        </w:tc>
        <w:tc>
          <w:tcPr>
            <w:tcW w:w="976" w:type="dxa"/>
            <w:vAlign w:val="center"/>
          </w:tcPr>
          <w:p w14:paraId="70C7D196" w14:textId="059861E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19890.05</w:t>
            </w:r>
          </w:p>
        </w:tc>
        <w:tc>
          <w:tcPr>
            <w:tcW w:w="1073" w:type="dxa"/>
            <w:vAlign w:val="center"/>
          </w:tcPr>
          <w:p w14:paraId="3CC05770" w14:textId="41F1AF9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21598.26</w:t>
            </w:r>
          </w:p>
        </w:tc>
        <w:tc>
          <w:tcPr>
            <w:tcW w:w="1073" w:type="dxa"/>
            <w:vAlign w:val="center"/>
          </w:tcPr>
          <w:p w14:paraId="39E7258D" w14:textId="6FEB172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23453.17</w:t>
            </w:r>
          </w:p>
        </w:tc>
        <w:tc>
          <w:tcPr>
            <w:tcW w:w="979" w:type="dxa"/>
            <w:vAlign w:val="center"/>
          </w:tcPr>
          <w:p w14:paraId="73985F19" w14:textId="28E48D2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25467.40</w:t>
            </w:r>
          </w:p>
        </w:tc>
        <w:tc>
          <w:tcPr>
            <w:tcW w:w="979" w:type="dxa"/>
            <w:vAlign w:val="center"/>
          </w:tcPr>
          <w:p w14:paraId="378529DC" w14:textId="63073A5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27654.61</w:t>
            </w:r>
          </w:p>
        </w:tc>
        <w:tc>
          <w:tcPr>
            <w:tcW w:w="1056" w:type="dxa"/>
            <w:vAlign w:val="center"/>
          </w:tcPr>
          <w:p w14:paraId="0AA3A66E" w14:textId="27556E5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118063.48</w:t>
            </w:r>
          </w:p>
        </w:tc>
      </w:tr>
      <w:tr w:rsidR="009775CB" w:rsidRPr="0078036E" w14:paraId="1F961DB2" w14:textId="77777777" w:rsidTr="0049031D">
        <w:trPr>
          <w:trHeight w:val="20"/>
          <w:jc w:val="center"/>
        </w:trPr>
        <w:tc>
          <w:tcPr>
            <w:tcW w:w="421" w:type="dxa"/>
            <w:vAlign w:val="center"/>
          </w:tcPr>
          <w:p w14:paraId="39EC4E86" w14:textId="5CFE03F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w:t>
            </w:r>
          </w:p>
        </w:tc>
        <w:tc>
          <w:tcPr>
            <w:tcW w:w="1391" w:type="dxa"/>
            <w:vAlign w:val="center"/>
          </w:tcPr>
          <w:p w14:paraId="398D2BCB" w14:textId="17EAED74"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Kerala</w:t>
            </w:r>
          </w:p>
        </w:tc>
        <w:tc>
          <w:tcPr>
            <w:tcW w:w="978" w:type="dxa"/>
            <w:vAlign w:val="center"/>
          </w:tcPr>
          <w:p w14:paraId="77D5DEAA" w14:textId="2AA4430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15601.34</w:t>
            </w:r>
          </w:p>
        </w:tc>
        <w:tc>
          <w:tcPr>
            <w:tcW w:w="976" w:type="dxa"/>
            <w:vAlign w:val="center"/>
          </w:tcPr>
          <w:p w14:paraId="62CC0A61" w14:textId="7AAB11E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16718.53</w:t>
            </w:r>
          </w:p>
        </w:tc>
        <w:tc>
          <w:tcPr>
            <w:tcW w:w="1073" w:type="dxa"/>
            <w:vAlign w:val="center"/>
          </w:tcPr>
          <w:p w14:paraId="48B7175C" w14:textId="0FDA4F3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17915.72</w:t>
            </w:r>
          </w:p>
        </w:tc>
        <w:tc>
          <w:tcPr>
            <w:tcW w:w="1073" w:type="dxa"/>
            <w:vAlign w:val="center"/>
          </w:tcPr>
          <w:p w14:paraId="33080262" w14:textId="451CCBE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19198.63</w:t>
            </w:r>
          </w:p>
        </w:tc>
        <w:tc>
          <w:tcPr>
            <w:tcW w:w="979" w:type="dxa"/>
            <w:vAlign w:val="center"/>
          </w:tcPr>
          <w:p w14:paraId="55503AE6" w14:textId="7CC7A3E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20573.42</w:t>
            </w:r>
          </w:p>
        </w:tc>
        <w:tc>
          <w:tcPr>
            <w:tcW w:w="979" w:type="dxa"/>
            <w:vAlign w:val="center"/>
          </w:tcPr>
          <w:p w14:paraId="01F06678" w14:textId="11E8A5B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22046.65</w:t>
            </w:r>
          </w:p>
        </w:tc>
        <w:tc>
          <w:tcPr>
            <w:tcW w:w="1056" w:type="dxa"/>
            <w:vAlign w:val="center"/>
          </w:tcPr>
          <w:p w14:paraId="7E97C60F" w14:textId="252A6FF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96452.94</w:t>
            </w:r>
          </w:p>
        </w:tc>
      </w:tr>
      <w:tr w:rsidR="009775CB" w:rsidRPr="0078036E" w14:paraId="2CFC570F" w14:textId="77777777" w:rsidTr="0049031D">
        <w:trPr>
          <w:trHeight w:val="20"/>
          <w:jc w:val="center"/>
        </w:trPr>
        <w:tc>
          <w:tcPr>
            <w:tcW w:w="421" w:type="dxa"/>
            <w:vAlign w:val="center"/>
          </w:tcPr>
          <w:p w14:paraId="6B15FA50" w14:textId="67A49B8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w:t>
            </w:r>
          </w:p>
        </w:tc>
        <w:tc>
          <w:tcPr>
            <w:tcW w:w="1391" w:type="dxa"/>
            <w:vAlign w:val="center"/>
          </w:tcPr>
          <w:p w14:paraId="4530C36D" w14:textId="30F0B73C"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Madhya Pradesh</w:t>
            </w:r>
          </w:p>
        </w:tc>
        <w:tc>
          <w:tcPr>
            <w:tcW w:w="978" w:type="dxa"/>
            <w:vAlign w:val="center"/>
          </w:tcPr>
          <w:p w14:paraId="7AC609E1" w14:textId="1DB23D0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15647.32</w:t>
            </w:r>
          </w:p>
        </w:tc>
        <w:tc>
          <w:tcPr>
            <w:tcW w:w="976" w:type="dxa"/>
            <w:vAlign w:val="center"/>
          </w:tcPr>
          <w:p w14:paraId="1A76026A" w14:textId="59DD2E2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16532.83</w:t>
            </w:r>
          </w:p>
        </w:tc>
        <w:tc>
          <w:tcPr>
            <w:tcW w:w="1073" w:type="dxa"/>
            <w:vAlign w:val="center"/>
          </w:tcPr>
          <w:p w14:paraId="3C4751C8" w14:textId="153FA55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17468.46</w:t>
            </w:r>
          </w:p>
        </w:tc>
        <w:tc>
          <w:tcPr>
            <w:tcW w:w="1073" w:type="dxa"/>
            <w:vAlign w:val="center"/>
          </w:tcPr>
          <w:p w14:paraId="1719451E" w14:textId="45B6F66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18457.03</w:t>
            </w:r>
          </w:p>
        </w:tc>
        <w:tc>
          <w:tcPr>
            <w:tcW w:w="979" w:type="dxa"/>
            <w:vAlign w:val="center"/>
          </w:tcPr>
          <w:p w14:paraId="3F7D531C" w14:textId="1717108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19501.56</w:t>
            </w:r>
          </w:p>
        </w:tc>
        <w:tc>
          <w:tcPr>
            <w:tcW w:w="979" w:type="dxa"/>
            <w:vAlign w:val="center"/>
          </w:tcPr>
          <w:p w14:paraId="45EA3063" w14:textId="6AE0E4D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20605.19</w:t>
            </w:r>
          </w:p>
        </w:tc>
        <w:tc>
          <w:tcPr>
            <w:tcW w:w="1056" w:type="dxa"/>
            <w:vAlign w:val="center"/>
          </w:tcPr>
          <w:p w14:paraId="444F304A" w14:textId="50B85DA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92565.07</w:t>
            </w:r>
          </w:p>
        </w:tc>
      </w:tr>
      <w:tr w:rsidR="009775CB" w:rsidRPr="0078036E" w14:paraId="666E8B86" w14:textId="77777777" w:rsidTr="0049031D">
        <w:trPr>
          <w:trHeight w:val="20"/>
          <w:jc w:val="center"/>
        </w:trPr>
        <w:tc>
          <w:tcPr>
            <w:tcW w:w="421" w:type="dxa"/>
            <w:vAlign w:val="center"/>
          </w:tcPr>
          <w:p w14:paraId="74333B32" w14:textId="39EB7F4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w:t>
            </w:r>
          </w:p>
        </w:tc>
        <w:tc>
          <w:tcPr>
            <w:tcW w:w="1391" w:type="dxa"/>
            <w:vAlign w:val="center"/>
          </w:tcPr>
          <w:p w14:paraId="6C72E605" w14:textId="1A7E9A57"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Maharashtra</w:t>
            </w:r>
          </w:p>
        </w:tc>
        <w:tc>
          <w:tcPr>
            <w:tcW w:w="978" w:type="dxa"/>
            <w:vAlign w:val="center"/>
          </w:tcPr>
          <w:p w14:paraId="0EEF4D93" w14:textId="05F3C36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29543.35</w:t>
            </w:r>
          </w:p>
        </w:tc>
        <w:tc>
          <w:tcPr>
            <w:tcW w:w="976" w:type="dxa"/>
            <w:vAlign w:val="center"/>
          </w:tcPr>
          <w:p w14:paraId="0D7FA858" w14:textId="739B874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31675.67</w:t>
            </w:r>
          </w:p>
        </w:tc>
        <w:tc>
          <w:tcPr>
            <w:tcW w:w="1073" w:type="dxa"/>
            <w:vAlign w:val="center"/>
          </w:tcPr>
          <w:p w14:paraId="7569E453" w14:textId="30A09DB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33961.89</w:t>
            </w:r>
          </w:p>
        </w:tc>
        <w:tc>
          <w:tcPr>
            <w:tcW w:w="1073" w:type="dxa"/>
            <w:vAlign w:val="center"/>
          </w:tcPr>
          <w:p w14:paraId="7A69325E" w14:textId="1CCFF5F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36413.12</w:t>
            </w:r>
          </w:p>
        </w:tc>
        <w:tc>
          <w:tcPr>
            <w:tcW w:w="979" w:type="dxa"/>
            <w:vAlign w:val="center"/>
          </w:tcPr>
          <w:p w14:paraId="30BE47D8" w14:textId="711BAED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39041.26</w:t>
            </w:r>
          </w:p>
        </w:tc>
        <w:tc>
          <w:tcPr>
            <w:tcW w:w="979" w:type="dxa"/>
            <w:vAlign w:val="center"/>
          </w:tcPr>
          <w:p w14:paraId="0ED70183" w14:textId="4E0F4B1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41859.10</w:t>
            </w:r>
          </w:p>
        </w:tc>
        <w:tc>
          <w:tcPr>
            <w:tcW w:w="1056" w:type="dxa"/>
            <w:vAlign w:val="center"/>
          </w:tcPr>
          <w:p w14:paraId="6961C279" w14:textId="3BC09B3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182951.04</w:t>
            </w:r>
          </w:p>
        </w:tc>
      </w:tr>
      <w:tr w:rsidR="009775CB" w:rsidRPr="0078036E" w14:paraId="2ABEE30E" w14:textId="77777777" w:rsidTr="0049031D">
        <w:trPr>
          <w:trHeight w:val="20"/>
          <w:jc w:val="center"/>
        </w:trPr>
        <w:tc>
          <w:tcPr>
            <w:tcW w:w="421" w:type="dxa"/>
            <w:vAlign w:val="center"/>
          </w:tcPr>
          <w:p w14:paraId="27E61371" w14:textId="7819685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w:t>
            </w:r>
          </w:p>
        </w:tc>
        <w:tc>
          <w:tcPr>
            <w:tcW w:w="1391" w:type="dxa"/>
            <w:vAlign w:val="center"/>
          </w:tcPr>
          <w:p w14:paraId="4084A1E1" w14:textId="01C51D7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Orissa</w:t>
            </w:r>
          </w:p>
        </w:tc>
        <w:tc>
          <w:tcPr>
            <w:tcW w:w="978" w:type="dxa"/>
            <w:vAlign w:val="center"/>
          </w:tcPr>
          <w:p w14:paraId="3B4307AF" w14:textId="0209015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8778.01</w:t>
            </w:r>
          </w:p>
        </w:tc>
        <w:tc>
          <w:tcPr>
            <w:tcW w:w="976" w:type="dxa"/>
            <w:vAlign w:val="center"/>
          </w:tcPr>
          <w:p w14:paraId="158AA157" w14:textId="2E84C0D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9517.43</w:t>
            </w:r>
          </w:p>
        </w:tc>
        <w:tc>
          <w:tcPr>
            <w:tcW w:w="1073" w:type="dxa"/>
            <w:vAlign w:val="center"/>
          </w:tcPr>
          <w:p w14:paraId="025C3524" w14:textId="35E6FA5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10319.14</w:t>
            </w:r>
          </w:p>
        </w:tc>
        <w:tc>
          <w:tcPr>
            <w:tcW w:w="1073" w:type="dxa"/>
            <w:vAlign w:val="center"/>
          </w:tcPr>
          <w:p w14:paraId="266F51D7" w14:textId="791E2ED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11188.38</w:t>
            </w:r>
          </w:p>
        </w:tc>
        <w:tc>
          <w:tcPr>
            <w:tcW w:w="979" w:type="dxa"/>
            <w:vAlign w:val="center"/>
          </w:tcPr>
          <w:p w14:paraId="17A35B95" w14:textId="15F9105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12130.84</w:t>
            </w:r>
          </w:p>
        </w:tc>
        <w:tc>
          <w:tcPr>
            <w:tcW w:w="979" w:type="dxa"/>
            <w:vAlign w:val="center"/>
          </w:tcPr>
          <w:p w14:paraId="70FD2FA1" w14:textId="0EF549E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13152.68</w:t>
            </w:r>
          </w:p>
        </w:tc>
        <w:tc>
          <w:tcPr>
            <w:tcW w:w="1056" w:type="dxa"/>
            <w:vAlign w:val="center"/>
          </w:tcPr>
          <w:p w14:paraId="3C191EC9" w14:textId="7320EA6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56308.47</w:t>
            </w:r>
          </w:p>
        </w:tc>
      </w:tr>
      <w:tr w:rsidR="009775CB" w:rsidRPr="0078036E" w14:paraId="2369F516" w14:textId="77777777" w:rsidTr="0049031D">
        <w:trPr>
          <w:trHeight w:val="20"/>
          <w:jc w:val="center"/>
        </w:trPr>
        <w:tc>
          <w:tcPr>
            <w:tcW w:w="421" w:type="dxa"/>
            <w:vAlign w:val="center"/>
          </w:tcPr>
          <w:p w14:paraId="3DCC23E7" w14:textId="32EC200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w:t>
            </w:r>
          </w:p>
        </w:tc>
        <w:tc>
          <w:tcPr>
            <w:tcW w:w="1391" w:type="dxa"/>
            <w:vAlign w:val="center"/>
          </w:tcPr>
          <w:p w14:paraId="5B8A3281" w14:textId="2794F6D2"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Punjab</w:t>
            </w:r>
          </w:p>
        </w:tc>
        <w:tc>
          <w:tcPr>
            <w:tcW w:w="978" w:type="dxa"/>
            <w:vAlign w:val="center"/>
          </w:tcPr>
          <w:p w14:paraId="5FC06AAF" w14:textId="18CDA71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10996.44</w:t>
            </w:r>
          </w:p>
        </w:tc>
        <w:tc>
          <w:tcPr>
            <w:tcW w:w="976" w:type="dxa"/>
            <w:vAlign w:val="center"/>
          </w:tcPr>
          <w:p w14:paraId="73C9A405" w14:textId="248EE35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11722.98</w:t>
            </w:r>
          </w:p>
        </w:tc>
        <w:tc>
          <w:tcPr>
            <w:tcW w:w="1073" w:type="dxa"/>
            <w:vAlign w:val="center"/>
          </w:tcPr>
          <w:p w14:paraId="19A65BF7" w14:textId="18B3270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12497.52</w:t>
            </w:r>
          </w:p>
        </w:tc>
        <w:tc>
          <w:tcPr>
            <w:tcW w:w="1073" w:type="dxa"/>
            <w:vAlign w:val="center"/>
          </w:tcPr>
          <w:p w14:paraId="1E22C7DB" w14:textId="2BEC8BB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13323.24</w:t>
            </w:r>
          </w:p>
        </w:tc>
        <w:tc>
          <w:tcPr>
            <w:tcW w:w="979" w:type="dxa"/>
            <w:vAlign w:val="center"/>
          </w:tcPr>
          <w:p w14:paraId="3759EE15" w14:textId="2CB894F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14203.51</w:t>
            </w:r>
          </w:p>
        </w:tc>
        <w:tc>
          <w:tcPr>
            <w:tcW w:w="979" w:type="dxa"/>
            <w:vAlign w:val="center"/>
          </w:tcPr>
          <w:p w14:paraId="100F6716" w14:textId="40389FE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15141.94</w:t>
            </w:r>
          </w:p>
        </w:tc>
        <w:tc>
          <w:tcPr>
            <w:tcW w:w="1056" w:type="dxa"/>
            <w:vAlign w:val="center"/>
          </w:tcPr>
          <w:p w14:paraId="39F26719" w14:textId="575A38C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66889.19</w:t>
            </w:r>
          </w:p>
        </w:tc>
      </w:tr>
      <w:tr w:rsidR="009775CB" w:rsidRPr="0078036E" w14:paraId="0397EBCF" w14:textId="77777777" w:rsidTr="0049031D">
        <w:trPr>
          <w:trHeight w:val="20"/>
          <w:jc w:val="center"/>
        </w:trPr>
        <w:tc>
          <w:tcPr>
            <w:tcW w:w="421" w:type="dxa"/>
            <w:vAlign w:val="center"/>
          </w:tcPr>
          <w:p w14:paraId="236E7A43" w14:textId="763E043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w:t>
            </w:r>
          </w:p>
        </w:tc>
        <w:tc>
          <w:tcPr>
            <w:tcW w:w="1391" w:type="dxa"/>
            <w:vAlign w:val="center"/>
          </w:tcPr>
          <w:p w14:paraId="60553008" w14:textId="4433BB2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Rajasthan</w:t>
            </w:r>
          </w:p>
        </w:tc>
        <w:tc>
          <w:tcPr>
            <w:tcW w:w="978" w:type="dxa"/>
            <w:vAlign w:val="center"/>
          </w:tcPr>
          <w:p w14:paraId="3F209EFD" w14:textId="0F9F514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14348.73</w:t>
            </w:r>
          </w:p>
        </w:tc>
        <w:tc>
          <w:tcPr>
            <w:tcW w:w="976" w:type="dxa"/>
            <w:vAlign w:val="center"/>
          </w:tcPr>
          <w:p w14:paraId="618021F4" w14:textId="6DFE250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15371.43</w:t>
            </w:r>
          </w:p>
        </w:tc>
        <w:tc>
          <w:tcPr>
            <w:tcW w:w="1073" w:type="dxa"/>
            <w:vAlign w:val="center"/>
          </w:tcPr>
          <w:p w14:paraId="0BA389E0" w14:textId="49DE55C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16467.03</w:t>
            </w:r>
          </w:p>
        </w:tc>
        <w:tc>
          <w:tcPr>
            <w:tcW w:w="1073" w:type="dxa"/>
            <w:vAlign w:val="center"/>
          </w:tcPr>
          <w:p w14:paraId="1BED0FFF" w14:textId="718D98F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17640.72</w:t>
            </w:r>
          </w:p>
        </w:tc>
        <w:tc>
          <w:tcPr>
            <w:tcW w:w="979" w:type="dxa"/>
            <w:vAlign w:val="center"/>
          </w:tcPr>
          <w:p w14:paraId="708B7743" w14:textId="60324E9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18898.06</w:t>
            </w:r>
          </w:p>
        </w:tc>
        <w:tc>
          <w:tcPr>
            <w:tcW w:w="979" w:type="dxa"/>
            <w:vAlign w:val="center"/>
          </w:tcPr>
          <w:p w14:paraId="316B2613" w14:textId="04FDD14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20245.02</w:t>
            </w:r>
          </w:p>
        </w:tc>
        <w:tc>
          <w:tcPr>
            <w:tcW w:w="1056" w:type="dxa"/>
            <w:vAlign w:val="center"/>
          </w:tcPr>
          <w:p w14:paraId="76A06D8F" w14:textId="18530D4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88622.28</w:t>
            </w:r>
          </w:p>
        </w:tc>
      </w:tr>
      <w:tr w:rsidR="009775CB" w:rsidRPr="0078036E" w14:paraId="010F9B1B" w14:textId="77777777" w:rsidTr="0049031D">
        <w:trPr>
          <w:trHeight w:val="20"/>
          <w:jc w:val="center"/>
        </w:trPr>
        <w:tc>
          <w:tcPr>
            <w:tcW w:w="421" w:type="dxa"/>
            <w:vAlign w:val="center"/>
          </w:tcPr>
          <w:p w14:paraId="204C9D9E" w14:textId="4EBDFBC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w:t>
            </w:r>
          </w:p>
        </w:tc>
        <w:tc>
          <w:tcPr>
            <w:tcW w:w="1391" w:type="dxa"/>
            <w:vAlign w:val="center"/>
          </w:tcPr>
          <w:p w14:paraId="36477E8E" w14:textId="6970D822"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Tamil Nadu</w:t>
            </w:r>
          </w:p>
        </w:tc>
        <w:tc>
          <w:tcPr>
            <w:tcW w:w="978" w:type="dxa"/>
            <w:vAlign w:val="center"/>
          </w:tcPr>
          <w:p w14:paraId="6FCEE45A" w14:textId="292089A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24537.13</w:t>
            </w:r>
          </w:p>
        </w:tc>
        <w:tc>
          <w:tcPr>
            <w:tcW w:w="976" w:type="dxa"/>
            <w:vAlign w:val="center"/>
          </w:tcPr>
          <w:p w14:paraId="6F1B3792" w14:textId="604DF52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26547.18</w:t>
            </w:r>
          </w:p>
        </w:tc>
        <w:tc>
          <w:tcPr>
            <w:tcW w:w="1073" w:type="dxa"/>
            <w:vAlign w:val="center"/>
          </w:tcPr>
          <w:p w14:paraId="022FC505" w14:textId="29C2D46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28721.90</w:t>
            </w:r>
          </w:p>
        </w:tc>
        <w:tc>
          <w:tcPr>
            <w:tcW w:w="1073" w:type="dxa"/>
            <w:vAlign w:val="center"/>
          </w:tcPr>
          <w:p w14:paraId="7DA5F05C" w14:textId="325C2BB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31074.76</w:t>
            </w:r>
          </w:p>
        </w:tc>
        <w:tc>
          <w:tcPr>
            <w:tcW w:w="979" w:type="dxa"/>
            <w:vAlign w:val="center"/>
          </w:tcPr>
          <w:p w14:paraId="6202E552" w14:textId="15060EA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33620.37</w:t>
            </w:r>
          </w:p>
        </w:tc>
        <w:tc>
          <w:tcPr>
            <w:tcW w:w="979" w:type="dxa"/>
            <w:vAlign w:val="center"/>
          </w:tcPr>
          <w:p w14:paraId="24245AED" w14:textId="246E051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36374.51</w:t>
            </w:r>
          </w:p>
        </w:tc>
        <w:tc>
          <w:tcPr>
            <w:tcW w:w="1056" w:type="dxa"/>
            <w:vAlign w:val="center"/>
          </w:tcPr>
          <w:p w14:paraId="21C0EB4D" w14:textId="2BC577E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156338.72</w:t>
            </w:r>
          </w:p>
        </w:tc>
      </w:tr>
      <w:tr w:rsidR="009775CB" w:rsidRPr="0078036E" w14:paraId="4CCD66BB" w14:textId="77777777" w:rsidTr="0049031D">
        <w:trPr>
          <w:trHeight w:val="20"/>
          <w:jc w:val="center"/>
        </w:trPr>
        <w:tc>
          <w:tcPr>
            <w:tcW w:w="421" w:type="dxa"/>
            <w:vAlign w:val="center"/>
          </w:tcPr>
          <w:p w14:paraId="64628216" w14:textId="7EEAF69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w:t>
            </w:r>
          </w:p>
        </w:tc>
        <w:tc>
          <w:tcPr>
            <w:tcW w:w="1391" w:type="dxa"/>
            <w:vAlign w:val="center"/>
          </w:tcPr>
          <w:p w14:paraId="3225618E" w14:textId="1703C758"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Uttar Pradesh</w:t>
            </w:r>
          </w:p>
        </w:tc>
        <w:tc>
          <w:tcPr>
            <w:tcW w:w="978" w:type="dxa"/>
            <w:vAlign w:val="center"/>
          </w:tcPr>
          <w:p w14:paraId="5F1C5D13" w14:textId="07033A7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27680.88</w:t>
            </w:r>
          </w:p>
        </w:tc>
        <w:tc>
          <w:tcPr>
            <w:tcW w:w="976" w:type="dxa"/>
            <w:vAlign w:val="center"/>
          </w:tcPr>
          <w:p w14:paraId="5E2B8F99" w14:textId="21E5886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29621.40</w:t>
            </w:r>
          </w:p>
        </w:tc>
        <w:tc>
          <w:tcPr>
            <w:tcW w:w="1073" w:type="dxa"/>
            <w:vAlign w:val="center"/>
          </w:tcPr>
          <w:p w14:paraId="4830B76C" w14:textId="7DAE5CE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31697.95</w:t>
            </w:r>
          </w:p>
        </w:tc>
        <w:tc>
          <w:tcPr>
            <w:tcW w:w="1073" w:type="dxa"/>
            <w:vAlign w:val="center"/>
          </w:tcPr>
          <w:p w14:paraId="0FF99815" w14:textId="252E544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33920.07</w:t>
            </w:r>
          </w:p>
        </w:tc>
        <w:tc>
          <w:tcPr>
            <w:tcW w:w="979" w:type="dxa"/>
            <w:vAlign w:val="center"/>
          </w:tcPr>
          <w:p w14:paraId="754C1C0B" w14:textId="7D63B2C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36297.97</w:t>
            </w:r>
          </w:p>
        </w:tc>
        <w:tc>
          <w:tcPr>
            <w:tcW w:w="979" w:type="dxa"/>
            <w:vAlign w:val="center"/>
          </w:tcPr>
          <w:p w14:paraId="03DCB79A" w14:textId="74CF7D9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38842.57</w:t>
            </w:r>
          </w:p>
        </w:tc>
        <w:tc>
          <w:tcPr>
            <w:tcW w:w="1056" w:type="dxa"/>
            <w:vAlign w:val="center"/>
          </w:tcPr>
          <w:p w14:paraId="457C4E1C" w14:textId="57114A3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170379.95</w:t>
            </w:r>
          </w:p>
        </w:tc>
      </w:tr>
      <w:tr w:rsidR="009775CB" w:rsidRPr="0078036E" w14:paraId="255DAB8A" w14:textId="77777777" w:rsidTr="0049031D">
        <w:trPr>
          <w:trHeight w:val="20"/>
          <w:jc w:val="center"/>
        </w:trPr>
        <w:tc>
          <w:tcPr>
            <w:tcW w:w="421" w:type="dxa"/>
            <w:vAlign w:val="center"/>
          </w:tcPr>
          <w:p w14:paraId="7525CEA1" w14:textId="158A8FE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w:t>
            </w:r>
          </w:p>
        </w:tc>
        <w:tc>
          <w:tcPr>
            <w:tcW w:w="1391" w:type="dxa"/>
            <w:vAlign w:val="center"/>
          </w:tcPr>
          <w:p w14:paraId="4674F185" w14:textId="7FBF17F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West Bengal</w:t>
            </w:r>
          </w:p>
        </w:tc>
        <w:tc>
          <w:tcPr>
            <w:tcW w:w="978" w:type="dxa"/>
            <w:vAlign w:val="center"/>
          </w:tcPr>
          <w:p w14:paraId="0F625F0D" w14:textId="6107150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28342.43</w:t>
            </w:r>
          </w:p>
        </w:tc>
        <w:tc>
          <w:tcPr>
            <w:tcW w:w="976" w:type="dxa"/>
            <w:vAlign w:val="center"/>
          </w:tcPr>
          <w:p w14:paraId="4BE52022" w14:textId="67BF881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29773.23</w:t>
            </w:r>
          </w:p>
        </w:tc>
        <w:tc>
          <w:tcPr>
            <w:tcW w:w="1073" w:type="dxa"/>
            <w:vAlign w:val="center"/>
          </w:tcPr>
          <w:p w14:paraId="300E8AD9" w14:textId="39D4913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31276.27</w:t>
            </w:r>
          </w:p>
        </w:tc>
        <w:tc>
          <w:tcPr>
            <w:tcW w:w="1073" w:type="dxa"/>
            <w:vAlign w:val="center"/>
          </w:tcPr>
          <w:p w14:paraId="38F18026" w14:textId="2AD3503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32855.19</w:t>
            </w:r>
          </w:p>
        </w:tc>
        <w:tc>
          <w:tcPr>
            <w:tcW w:w="979" w:type="dxa"/>
            <w:vAlign w:val="center"/>
          </w:tcPr>
          <w:p w14:paraId="23CDF910" w14:textId="07B9C73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34513.81</w:t>
            </w:r>
          </w:p>
        </w:tc>
        <w:tc>
          <w:tcPr>
            <w:tcW w:w="979" w:type="dxa"/>
            <w:vAlign w:val="center"/>
          </w:tcPr>
          <w:p w14:paraId="2FD8AAB0" w14:textId="7D1B81E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36256.17</w:t>
            </w:r>
          </w:p>
        </w:tc>
        <w:tc>
          <w:tcPr>
            <w:tcW w:w="1056" w:type="dxa"/>
            <w:vAlign w:val="center"/>
          </w:tcPr>
          <w:p w14:paraId="2618ED8B" w14:textId="2352A83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164674.67</w:t>
            </w:r>
          </w:p>
        </w:tc>
      </w:tr>
      <w:tr w:rsidR="009775CB" w:rsidRPr="0078036E" w14:paraId="6C0FFD59" w14:textId="77777777" w:rsidTr="0049031D">
        <w:trPr>
          <w:trHeight w:val="20"/>
          <w:jc w:val="center"/>
        </w:trPr>
        <w:tc>
          <w:tcPr>
            <w:tcW w:w="421" w:type="dxa"/>
            <w:vAlign w:val="center"/>
          </w:tcPr>
          <w:p w14:paraId="4D877F43" w14:textId="13A8D3B3" w:rsidR="009775CB" w:rsidRPr="009775CB" w:rsidRDefault="009775CB" w:rsidP="009775CB">
            <w:pPr>
              <w:rPr>
                <w:rFonts w:ascii="Times New Roman" w:hAnsi="Times New Roman" w:cs="Times New Roman"/>
                <w:sz w:val="16"/>
                <w:szCs w:val="16"/>
              </w:rPr>
            </w:pPr>
            <w:r>
              <w:rPr>
                <w:rFonts w:ascii="Times New Roman" w:hAnsi="Times New Roman" w:cs="Times New Roman"/>
                <w:b/>
                <w:bCs/>
                <w:sz w:val="16"/>
                <w:szCs w:val="16"/>
              </w:rPr>
              <w:lastRenderedPageBreak/>
              <w:t xml:space="preserve"> </w:t>
            </w:r>
            <w:r w:rsidRPr="009775CB">
              <w:rPr>
                <w:rFonts w:ascii="Times New Roman" w:hAnsi="Times New Roman" w:cs="Times New Roman"/>
                <w:b/>
                <w:bCs/>
                <w:sz w:val="16"/>
                <w:szCs w:val="16"/>
              </w:rPr>
              <w:t>14</w:t>
            </w:r>
          </w:p>
        </w:tc>
        <w:tc>
          <w:tcPr>
            <w:tcW w:w="1391" w:type="dxa"/>
            <w:vAlign w:val="center"/>
          </w:tcPr>
          <w:p w14:paraId="622A0FB8" w14:textId="690E6B38"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b/>
                <w:bCs/>
                <w:sz w:val="16"/>
                <w:szCs w:val="16"/>
              </w:rPr>
              <w:t>Major States</w:t>
            </w:r>
          </w:p>
        </w:tc>
        <w:tc>
          <w:tcPr>
            <w:tcW w:w="978" w:type="dxa"/>
            <w:vAlign w:val="center"/>
          </w:tcPr>
          <w:p w14:paraId="02A9F2A5" w14:textId="2D2076B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251738.66</w:t>
            </w:r>
          </w:p>
        </w:tc>
        <w:tc>
          <w:tcPr>
            <w:tcW w:w="976" w:type="dxa"/>
            <w:vAlign w:val="center"/>
          </w:tcPr>
          <w:p w14:paraId="4CCE4D87" w14:textId="5176D2C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269430.65</w:t>
            </w:r>
          </w:p>
        </w:tc>
        <w:tc>
          <w:tcPr>
            <w:tcW w:w="1073" w:type="dxa"/>
            <w:vAlign w:val="center"/>
          </w:tcPr>
          <w:p w14:paraId="2181069E" w14:textId="5681BC2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288392.67</w:t>
            </w:r>
          </w:p>
        </w:tc>
        <w:tc>
          <w:tcPr>
            <w:tcW w:w="1073" w:type="dxa"/>
            <w:vAlign w:val="center"/>
          </w:tcPr>
          <w:p w14:paraId="6DE7AC52" w14:textId="4A1C923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308717.60</w:t>
            </w:r>
          </w:p>
        </w:tc>
        <w:tc>
          <w:tcPr>
            <w:tcW w:w="979" w:type="dxa"/>
            <w:vAlign w:val="center"/>
          </w:tcPr>
          <w:p w14:paraId="6BCAA638" w14:textId="4522249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330505.22</w:t>
            </w:r>
          </w:p>
        </w:tc>
        <w:tc>
          <w:tcPr>
            <w:tcW w:w="979" w:type="dxa"/>
            <w:vAlign w:val="center"/>
          </w:tcPr>
          <w:p w14:paraId="5857A9DA" w14:textId="49E2A22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353862.76</w:t>
            </w:r>
          </w:p>
        </w:tc>
        <w:tc>
          <w:tcPr>
            <w:tcW w:w="1056" w:type="dxa"/>
            <w:vAlign w:val="center"/>
          </w:tcPr>
          <w:p w14:paraId="361C059C" w14:textId="167472B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1550908.89</w:t>
            </w:r>
          </w:p>
        </w:tc>
      </w:tr>
      <w:tr w:rsidR="009775CB" w:rsidRPr="0078036E" w14:paraId="775A290C" w14:textId="77777777" w:rsidTr="002D3C8E">
        <w:trPr>
          <w:trHeight w:val="20"/>
          <w:jc w:val="center"/>
        </w:trPr>
        <w:tc>
          <w:tcPr>
            <w:tcW w:w="8926" w:type="dxa"/>
            <w:gridSpan w:val="9"/>
            <w:vAlign w:val="center"/>
          </w:tcPr>
          <w:p w14:paraId="55D2141B" w14:textId="169FA2F8"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20"/>
                <w:szCs w:val="20"/>
              </w:rPr>
              <w:t>Expenditure Category: Other Social Services</w:t>
            </w:r>
          </w:p>
        </w:tc>
      </w:tr>
      <w:tr w:rsidR="009775CB" w:rsidRPr="0078036E" w14:paraId="40BA0DA5" w14:textId="77777777" w:rsidTr="0049031D">
        <w:trPr>
          <w:trHeight w:val="20"/>
          <w:jc w:val="center"/>
        </w:trPr>
        <w:tc>
          <w:tcPr>
            <w:tcW w:w="421" w:type="dxa"/>
            <w:vAlign w:val="center"/>
          </w:tcPr>
          <w:p w14:paraId="37FF75C7" w14:textId="31DDEC2B" w:rsidR="009775CB" w:rsidRDefault="009775CB" w:rsidP="009775CB">
            <w:pPr>
              <w:rPr>
                <w:rFonts w:ascii="Times New Roman" w:hAnsi="Times New Roman" w:cs="Times New Roman"/>
                <w:b/>
                <w:bCs/>
                <w:sz w:val="16"/>
                <w:szCs w:val="16"/>
              </w:rPr>
            </w:pPr>
            <w:r w:rsidRPr="00BB6DC9">
              <w:rPr>
                <w:rFonts w:ascii="Times New Roman" w:hAnsi="Times New Roman" w:cs="Times New Roman"/>
                <w:b/>
                <w:bCs/>
                <w:sz w:val="16"/>
                <w:szCs w:val="16"/>
              </w:rPr>
              <w:t>No.</w:t>
            </w:r>
          </w:p>
        </w:tc>
        <w:tc>
          <w:tcPr>
            <w:tcW w:w="1391" w:type="dxa"/>
            <w:vAlign w:val="center"/>
          </w:tcPr>
          <w:p w14:paraId="5E56329A" w14:textId="29BA0E48" w:rsidR="009775CB" w:rsidRPr="009775CB" w:rsidRDefault="009775CB" w:rsidP="009775CB">
            <w:pPr>
              <w:rPr>
                <w:rFonts w:ascii="Times New Roman" w:hAnsi="Times New Roman" w:cs="Times New Roman"/>
                <w:b/>
                <w:bCs/>
                <w:sz w:val="16"/>
                <w:szCs w:val="16"/>
              </w:rPr>
            </w:pPr>
            <w:r w:rsidRPr="00BB6DC9">
              <w:rPr>
                <w:rFonts w:ascii="Times New Roman" w:hAnsi="Times New Roman" w:cs="Times New Roman"/>
                <w:b/>
                <w:bCs/>
                <w:sz w:val="16"/>
                <w:szCs w:val="16"/>
              </w:rPr>
              <w:t>State</w:t>
            </w:r>
          </w:p>
        </w:tc>
        <w:tc>
          <w:tcPr>
            <w:tcW w:w="978" w:type="dxa"/>
            <w:vAlign w:val="center"/>
          </w:tcPr>
          <w:p w14:paraId="2BE03096" w14:textId="61C29FC5"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1989-90</w:t>
            </w:r>
          </w:p>
        </w:tc>
        <w:tc>
          <w:tcPr>
            <w:tcW w:w="976" w:type="dxa"/>
            <w:vAlign w:val="center"/>
          </w:tcPr>
          <w:p w14:paraId="52B4C0E2" w14:textId="02782A94"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w:t>
            </w:r>
          </w:p>
        </w:tc>
        <w:tc>
          <w:tcPr>
            <w:tcW w:w="1073" w:type="dxa"/>
            <w:vAlign w:val="center"/>
          </w:tcPr>
          <w:p w14:paraId="7B58887F" w14:textId="5706135B"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1991-92</w:t>
            </w:r>
          </w:p>
        </w:tc>
        <w:tc>
          <w:tcPr>
            <w:tcW w:w="1073" w:type="dxa"/>
            <w:vAlign w:val="center"/>
          </w:tcPr>
          <w:p w14:paraId="0E796DA5" w14:textId="1F216E9E"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1992-93</w:t>
            </w:r>
          </w:p>
        </w:tc>
        <w:tc>
          <w:tcPr>
            <w:tcW w:w="979" w:type="dxa"/>
            <w:vAlign w:val="center"/>
          </w:tcPr>
          <w:p w14:paraId="63701002" w14:textId="609D64BC"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1993-94</w:t>
            </w:r>
          </w:p>
        </w:tc>
        <w:tc>
          <w:tcPr>
            <w:tcW w:w="979" w:type="dxa"/>
            <w:vAlign w:val="center"/>
          </w:tcPr>
          <w:p w14:paraId="5D22F7FD" w14:textId="112E6920"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1994-95</w:t>
            </w:r>
          </w:p>
        </w:tc>
        <w:tc>
          <w:tcPr>
            <w:tcW w:w="1056" w:type="dxa"/>
            <w:vAlign w:val="center"/>
          </w:tcPr>
          <w:p w14:paraId="219087E5" w14:textId="3C83A886"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16"/>
                <w:szCs w:val="16"/>
              </w:rPr>
              <w:t>1990-91 to 1994-95</w:t>
            </w:r>
          </w:p>
        </w:tc>
      </w:tr>
      <w:tr w:rsidR="009775CB" w:rsidRPr="0078036E" w14:paraId="5251E1BC" w14:textId="77777777" w:rsidTr="0049031D">
        <w:trPr>
          <w:trHeight w:val="20"/>
          <w:jc w:val="center"/>
        </w:trPr>
        <w:tc>
          <w:tcPr>
            <w:tcW w:w="421" w:type="dxa"/>
            <w:vAlign w:val="center"/>
          </w:tcPr>
          <w:p w14:paraId="31B18A9B" w14:textId="2A4DC370"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sz w:val="16"/>
                <w:szCs w:val="16"/>
              </w:rPr>
              <w:t>1</w:t>
            </w:r>
          </w:p>
        </w:tc>
        <w:tc>
          <w:tcPr>
            <w:tcW w:w="1391" w:type="dxa"/>
            <w:vAlign w:val="center"/>
          </w:tcPr>
          <w:p w14:paraId="031F2A9D" w14:textId="044F66E0" w:rsidR="009775CB" w:rsidRPr="00BB6DC9" w:rsidRDefault="009775CB" w:rsidP="009775CB">
            <w:pPr>
              <w:rPr>
                <w:rFonts w:ascii="Times New Roman" w:hAnsi="Times New Roman" w:cs="Times New Roman"/>
                <w:b/>
                <w:bCs/>
                <w:sz w:val="16"/>
                <w:szCs w:val="16"/>
              </w:rPr>
            </w:pPr>
            <w:r w:rsidRPr="00BB6DC9">
              <w:rPr>
                <w:rFonts w:ascii="Times New Roman" w:hAnsi="Times New Roman" w:cs="Times New Roman"/>
                <w:sz w:val="16"/>
                <w:szCs w:val="16"/>
              </w:rPr>
              <w:t>Andhra Pradesh</w:t>
            </w:r>
          </w:p>
        </w:tc>
        <w:tc>
          <w:tcPr>
            <w:tcW w:w="978" w:type="dxa"/>
            <w:vAlign w:val="center"/>
          </w:tcPr>
          <w:p w14:paraId="5DB27564" w14:textId="752A41EA"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763.06</w:t>
            </w:r>
          </w:p>
        </w:tc>
        <w:tc>
          <w:tcPr>
            <w:tcW w:w="976" w:type="dxa"/>
            <w:vAlign w:val="center"/>
          </w:tcPr>
          <w:p w14:paraId="224E6B8D" w14:textId="712FA418"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824.60</w:t>
            </w:r>
          </w:p>
        </w:tc>
        <w:tc>
          <w:tcPr>
            <w:tcW w:w="1073" w:type="dxa"/>
            <w:vAlign w:val="center"/>
          </w:tcPr>
          <w:p w14:paraId="3580D21F" w14:textId="4BB710BF"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891.10</w:t>
            </w:r>
          </w:p>
        </w:tc>
        <w:tc>
          <w:tcPr>
            <w:tcW w:w="1073" w:type="dxa"/>
            <w:vAlign w:val="center"/>
          </w:tcPr>
          <w:p w14:paraId="2A09B732" w14:textId="490A5C1C"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962.96</w:t>
            </w:r>
          </w:p>
        </w:tc>
        <w:tc>
          <w:tcPr>
            <w:tcW w:w="979" w:type="dxa"/>
            <w:vAlign w:val="center"/>
          </w:tcPr>
          <w:p w14:paraId="51C5BB06" w14:textId="2D7C6727"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1040.62</w:t>
            </w:r>
          </w:p>
        </w:tc>
        <w:tc>
          <w:tcPr>
            <w:tcW w:w="979" w:type="dxa"/>
            <w:vAlign w:val="center"/>
          </w:tcPr>
          <w:p w14:paraId="29A4C86C" w14:textId="188E19DD"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1124.54</w:t>
            </w:r>
          </w:p>
        </w:tc>
        <w:tc>
          <w:tcPr>
            <w:tcW w:w="1056" w:type="dxa"/>
            <w:vAlign w:val="center"/>
          </w:tcPr>
          <w:p w14:paraId="31A998A6" w14:textId="1E82ECD5" w:rsidR="009775CB" w:rsidRPr="00BB6DC9" w:rsidRDefault="009775CB" w:rsidP="009775CB">
            <w:pPr>
              <w:jc w:val="center"/>
              <w:rPr>
                <w:rFonts w:ascii="Times New Roman" w:hAnsi="Times New Roman" w:cs="Times New Roman"/>
                <w:b/>
                <w:bCs/>
                <w:sz w:val="16"/>
                <w:szCs w:val="16"/>
              </w:rPr>
            </w:pPr>
            <w:r w:rsidRPr="00BB6DC9">
              <w:rPr>
                <w:rFonts w:ascii="Times New Roman" w:hAnsi="Times New Roman" w:cs="Times New Roman"/>
                <w:sz w:val="16"/>
                <w:szCs w:val="16"/>
              </w:rPr>
              <w:t>4843.81</w:t>
            </w:r>
          </w:p>
        </w:tc>
      </w:tr>
      <w:tr w:rsidR="009775CB" w:rsidRPr="0078036E" w14:paraId="01E4571A" w14:textId="77777777" w:rsidTr="0049031D">
        <w:trPr>
          <w:trHeight w:val="20"/>
          <w:jc w:val="center"/>
        </w:trPr>
        <w:tc>
          <w:tcPr>
            <w:tcW w:w="421" w:type="dxa"/>
            <w:vAlign w:val="center"/>
          </w:tcPr>
          <w:p w14:paraId="2FD72FC0" w14:textId="2FEE301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2</w:t>
            </w:r>
          </w:p>
        </w:tc>
        <w:tc>
          <w:tcPr>
            <w:tcW w:w="1391" w:type="dxa"/>
            <w:vAlign w:val="center"/>
          </w:tcPr>
          <w:p w14:paraId="6D4F9F7B" w14:textId="5FB81D01"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Bihar</w:t>
            </w:r>
          </w:p>
        </w:tc>
        <w:tc>
          <w:tcPr>
            <w:tcW w:w="978" w:type="dxa"/>
            <w:vAlign w:val="center"/>
          </w:tcPr>
          <w:p w14:paraId="22A61D82" w14:textId="353D8BC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411.41</w:t>
            </w:r>
          </w:p>
        </w:tc>
        <w:tc>
          <w:tcPr>
            <w:tcW w:w="976" w:type="dxa"/>
            <w:vAlign w:val="center"/>
          </w:tcPr>
          <w:p w14:paraId="59C6C663" w14:textId="15271D2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472.51</w:t>
            </w:r>
          </w:p>
        </w:tc>
        <w:tc>
          <w:tcPr>
            <w:tcW w:w="1073" w:type="dxa"/>
            <w:vAlign w:val="center"/>
          </w:tcPr>
          <w:p w14:paraId="39B5ACB7" w14:textId="1896BAF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542.68</w:t>
            </w:r>
          </w:p>
        </w:tc>
        <w:tc>
          <w:tcPr>
            <w:tcW w:w="1073" w:type="dxa"/>
            <w:vAlign w:val="center"/>
          </w:tcPr>
          <w:p w14:paraId="09AFBFC7" w14:textId="6990308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623.28</w:t>
            </w:r>
          </w:p>
        </w:tc>
        <w:tc>
          <w:tcPr>
            <w:tcW w:w="979" w:type="dxa"/>
            <w:vAlign w:val="center"/>
          </w:tcPr>
          <w:p w14:paraId="365CD9DC" w14:textId="5BA1D8B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715.84</w:t>
            </w:r>
          </w:p>
        </w:tc>
        <w:tc>
          <w:tcPr>
            <w:tcW w:w="979" w:type="dxa"/>
            <w:vAlign w:val="center"/>
          </w:tcPr>
          <w:p w14:paraId="231E98FA" w14:textId="6B030CF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822.16</w:t>
            </w:r>
          </w:p>
        </w:tc>
        <w:tc>
          <w:tcPr>
            <w:tcW w:w="1056" w:type="dxa"/>
            <w:vAlign w:val="center"/>
          </w:tcPr>
          <w:p w14:paraId="67DF704E" w14:textId="6F15339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3176.47</w:t>
            </w:r>
          </w:p>
        </w:tc>
      </w:tr>
      <w:tr w:rsidR="009775CB" w:rsidRPr="0078036E" w14:paraId="37DA7831" w14:textId="77777777" w:rsidTr="0049031D">
        <w:trPr>
          <w:trHeight w:val="20"/>
          <w:jc w:val="center"/>
        </w:trPr>
        <w:tc>
          <w:tcPr>
            <w:tcW w:w="421" w:type="dxa"/>
            <w:vAlign w:val="center"/>
          </w:tcPr>
          <w:p w14:paraId="1ADD3F60" w14:textId="5341C8F7"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3</w:t>
            </w:r>
          </w:p>
        </w:tc>
        <w:tc>
          <w:tcPr>
            <w:tcW w:w="1391" w:type="dxa"/>
            <w:vAlign w:val="center"/>
          </w:tcPr>
          <w:p w14:paraId="34D50172" w14:textId="1DC78B6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Gujarat</w:t>
            </w:r>
          </w:p>
        </w:tc>
        <w:tc>
          <w:tcPr>
            <w:tcW w:w="978" w:type="dxa"/>
            <w:vAlign w:val="center"/>
          </w:tcPr>
          <w:p w14:paraId="6AA53566" w14:textId="0B3C39A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564.22</w:t>
            </w:r>
          </w:p>
        </w:tc>
        <w:tc>
          <w:tcPr>
            <w:tcW w:w="976" w:type="dxa"/>
            <w:vAlign w:val="center"/>
          </w:tcPr>
          <w:p w14:paraId="5EFE72BA" w14:textId="207B79F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601.55</w:t>
            </w:r>
          </w:p>
        </w:tc>
        <w:tc>
          <w:tcPr>
            <w:tcW w:w="1073" w:type="dxa"/>
            <w:vAlign w:val="center"/>
          </w:tcPr>
          <w:p w14:paraId="62844041" w14:textId="3C03574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641.35</w:t>
            </w:r>
          </w:p>
        </w:tc>
        <w:tc>
          <w:tcPr>
            <w:tcW w:w="1073" w:type="dxa"/>
            <w:vAlign w:val="center"/>
          </w:tcPr>
          <w:p w14:paraId="06A1F308" w14:textId="6737B7A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683.79</w:t>
            </w:r>
          </w:p>
        </w:tc>
        <w:tc>
          <w:tcPr>
            <w:tcW w:w="979" w:type="dxa"/>
            <w:vAlign w:val="center"/>
          </w:tcPr>
          <w:p w14:paraId="0DF51F39" w14:textId="5F8E37D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729.03</w:t>
            </w:r>
          </w:p>
        </w:tc>
        <w:tc>
          <w:tcPr>
            <w:tcW w:w="979" w:type="dxa"/>
            <w:vAlign w:val="center"/>
          </w:tcPr>
          <w:p w14:paraId="0FBB92B8" w14:textId="6E023F8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777.26</w:t>
            </w:r>
          </w:p>
        </w:tc>
        <w:tc>
          <w:tcPr>
            <w:tcW w:w="1056" w:type="dxa"/>
            <w:vAlign w:val="center"/>
          </w:tcPr>
          <w:p w14:paraId="29F85B7C" w14:textId="674CE06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3432.99</w:t>
            </w:r>
          </w:p>
        </w:tc>
      </w:tr>
      <w:tr w:rsidR="009775CB" w:rsidRPr="0078036E" w14:paraId="7E1A5B25" w14:textId="77777777" w:rsidTr="0049031D">
        <w:trPr>
          <w:trHeight w:val="20"/>
          <w:jc w:val="center"/>
        </w:trPr>
        <w:tc>
          <w:tcPr>
            <w:tcW w:w="421" w:type="dxa"/>
            <w:vAlign w:val="center"/>
          </w:tcPr>
          <w:p w14:paraId="7AFEDE8F" w14:textId="54278F1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4</w:t>
            </w:r>
          </w:p>
        </w:tc>
        <w:tc>
          <w:tcPr>
            <w:tcW w:w="1391" w:type="dxa"/>
            <w:vAlign w:val="center"/>
          </w:tcPr>
          <w:p w14:paraId="1EAD1DF8" w14:textId="0CA9D19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Haryana</w:t>
            </w:r>
          </w:p>
        </w:tc>
        <w:tc>
          <w:tcPr>
            <w:tcW w:w="978" w:type="dxa"/>
            <w:vAlign w:val="center"/>
          </w:tcPr>
          <w:p w14:paraId="72637D0C" w14:textId="69DAF62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137.57</w:t>
            </w:r>
          </w:p>
        </w:tc>
        <w:tc>
          <w:tcPr>
            <w:tcW w:w="976" w:type="dxa"/>
            <w:vAlign w:val="center"/>
          </w:tcPr>
          <w:p w14:paraId="6DC119E9" w14:textId="1021537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150.27</w:t>
            </w:r>
          </w:p>
        </w:tc>
        <w:tc>
          <w:tcPr>
            <w:tcW w:w="1073" w:type="dxa"/>
            <w:vAlign w:val="center"/>
          </w:tcPr>
          <w:p w14:paraId="240BF6DC" w14:textId="698CB3C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164.13</w:t>
            </w:r>
          </w:p>
        </w:tc>
        <w:tc>
          <w:tcPr>
            <w:tcW w:w="1073" w:type="dxa"/>
            <w:vAlign w:val="center"/>
          </w:tcPr>
          <w:p w14:paraId="7A0A0918" w14:textId="55D9E38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179.28</w:t>
            </w:r>
          </w:p>
        </w:tc>
        <w:tc>
          <w:tcPr>
            <w:tcW w:w="979" w:type="dxa"/>
            <w:vAlign w:val="center"/>
          </w:tcPr>
          <w:p w14:paraId="6E0BE03E" w14:textId="22FADD7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195.82</w:t>
            </w:r>
          </w:p>
        </w:tc>
        <w:tc>
          <w:tcPr>
            <w:tcW w:w="979" w:type="dxa"/>
            <w:vAlign w:val="center"/>
          </w:tcPr>
          <w:p w14:paraId="58A6948C" w14:textId="0D0F81F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213.89</w:t>
            </w:r>
          </w:p>
        </w:tc>
        <w:tc>
          <w:tcPr>
            <w:tcW w:w="1056" w:type="dxa"/>
            <w:vAlign w:val="center"/>
          </w:tcPr>
          <w:p w14:paraId="099D999A" w14:textId="26F8AE4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903.39</w:t>
            </w:r>
          </w:p>
        </w:tc>
      </w:tr>
      <w:tr w:rsidR="009775CB" w:rsidRPr="0078036E" w14:paraId="51A5EEF9" w14:textId="77777777" w:rsidTr="0049031D">
        <w:trPr>
          <w:trHeight w:val="20"/>
          <w:jc w:val="center"/>
        </w:trPr>
        <w:tc>
          <w:tcPr>
            <w:tcW w:w="421" w:type="dxa"/>
            <w:vAlign w:val="center"/>
          </w:tcPr>
          <w:p w14:paraId="28C8ED31" w14:textId="65CDA8E9"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5</w:t>
            </w:r>
          </w:p>
        </w:tc>
        <w:tc>
          <w:tcPr>
            <w:tcW w:w="1391" w:type="dxa"/>
            <w:vAlign w:val="center"/>
          </w:tcPr>
          <w:p w14:paraId="3F402DCB" w14:textId="1DD5E669"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Karnataka</w:t>
            </w:r>
          </w:p>
        </w:tc>
        <w:tc>
          <w:tcPr>
            <w:tcW w:w="978" w:type="dxa"/>
            <w:vAlign w:val="center"/>
          </w:tcPr>
          <w:p w14:paraId="1C29990B" w14:textId="31F515F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737.25</w:t>
            </w:r>
          </w:p>
        </w:tc>
        <w:tc>
          <w:tcPr>
            <w:tcW w:w="976" w:type="dxa"/>
            <w:vAlign w:val="center"/>
          </w:tcPr>
          <w:p w14:paraId="02E0FBBD" w14:textId="2258C46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721.01</w:t>
            </w:r>
          </w:p>
        </w:tc>
        <w:tc>
          <w:tcPr>
            <w:tcW w:w="1073" w:type="dxa"/>
            <w:vAlign w:val="center"/>
          </w:tcPr>
          <w:p w14:paraId="0C2632BE" w14:textId="4273802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705.12</w:t>
            </w:r>
          </w:p>
        </w:tc>
        <w:tc>
          <w:tcPr>
            <w:tcW w:w="1073" w:type="dxa"/>
            <w:vAlign w:val="center"/>
          </w:tcPr>
          <w:p w14:paraId="30755587" w14:textId="6409399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689.59</w:t>
            </w:r>
          </w:p>
        </w:tc>
        <w:tc>
          <w:tcPr>
            <w:tcW w:w="979" w:type="dxa"/>
            <w:vAlign w:val="center"/>
          </w:tcPr>
          <w:p w14:paraId="205EF6D9" w14:textId="50F3C16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674.40</w:t>
            </w:r>
          </w:p>
        </w:tc>
        <w:tc>
          <w:tcPr>
            <w:tcW w:w="979" w:type="dxa"/>
            <w:vAlign w:val="center"/>
          </w:tcPr>
          <w:p w14:paraId="7630B31D" w14:textId="325075C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659.54</w:t>
            </w:r>
          </w:p>
        </w:tc>
        <w:tc>
          <w:tcPr>
            <w:tcW w:w="1056" w:type="dxa"/>
            <w:vAlign w:val="center"/>
          </w:tcPr>
          <w:p w14:paraId="455464A5" w14:textId="53C3EEF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3449.66</w:t>
            </w:r>
          </w:p>
        </w:tc>
      </w:tr>
      <w:tr w:rsidR="009775CB" w:rsidRPr="0078036E" w14:paraId="68DABC27" w14:textId="77777777" w:rsidTr="0049031D">
        <w:trPr>
          <w:trHeight w:val="20"/>
          <w:jc w:val="center"/>
        </w:trPr>
        <w:tc>
          <w:tcPr>
            <w:tcW w:w="421" w:type="dxa"/>
            <w:vAlign w:val="center"/>
          </w:tcPr>
          <w:p w14:paraId="39A2466A" w14:textId="2A710FE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6</w:t>
            </w:r>
          </w:p>
        </w:tc>
        <w:tc>
          <w:tcPr>
            <w:tcW w:w="1391" w:type="dxa"/>
            <w:vAlign w:val="center"/>
          </w:tcPr>
          <w:p w14:paraId="217412D2" w14:textId="4E7C657D"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Kerala</w:t>
            </w:r>
          </w:p>
        </w:tc>
        <w:tc>
          <w:tcPr>
            <w:tcW w:w="978" w:type="dxa"/>
            <w:vAlign w:val="center"/>
          </w:tcPr>
          <w:p w14:paraId="7D02D29C" w14:textId="154E525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394.22</w:t>
            </w:r>
          </w:p>
        </w:tc>
        <w:tc>
          <w:tcPr>
            <w:tcW w:w="976" w:type="dxa"/>
            <w:vAlign w:val="center"/>
          </w:tcPr>
          <w:p w14:paraId="7056A015" w14:textId="78B8A21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436.02</w:t>
            </w:r>
          </w:p>
        </w:tc>
        <w:tc>
          <w:tcPr>
            <w:tcW w:w="1073" w:type="dxa"/>
            <w:vAlign w:val="center"/>
          </w:tcPr>
          <w:p w14:paraId="464837BF" w14:textId="5E2F8D8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482.25</w:t>
            </w:r>
          </w:p>
        </w:tc>
        <w:tc>
          <w:tcPr>
            <w:tcW w:w="1073" w:type="dxa"/>
            <w:vAlign w:val="center"/>
          </w:tcPr>
          <w:p w14:paraId="5B8F6670" w14:textId="61550BA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533.39</w:t>
            </w:r>
          </w:p>
        </w:tc>
        <w:tc>
          <w:tcPr>
            <w:tcW w:w="979" w:type="dxa"/>
            <w:vAlign w:val="center"/>
          </w:tcPr>
          <w:p w14:paraId="2759BE8A" w14:textId="16AC9B1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589.95</w:t>
            </w:r>
          </w:p>
        </w:tc>
        <w:tc>
          <w:tcPr>
            <w:tcW w:w="979" w:type="dxa"/>
            <w:vAlign w:val="center"/>
          </w:tcPr>
          <w:p w14:paraId="38EF8488" w14:textId="76C6E5F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652.50</w:t>
            </w:r>
          </w:p>
        </w:tc>
        <w:tc>
          <w:tcPr>
            <w:tcW w:w="1056" w:type="dxa"/>
            <w:vAlign w:val="center"/>
          </w:tcPr>
          <w:p w14:paraId="57BC2B6C" w14:textId="47715DC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2694.10</w:t>
            </w:r>
          </w:p>
        </w:tc>
      </w:tr>
      <w:tr w:rsidR="009775CB" w:rsidRPr="0078036E" w14:paraId="0B61EB4E" w14:textId="77777777" w:rsidTr="0049031D">
        <w:trPr>
          <w:trHeight w:val="20"/>
          <w:jc w:val="center"/>
        </w:trPr>
        <w:tc>
          <w:tcPr>
            <w:tcW w:w="421" w:type="dxa"/>
            <w:vAlign w:val="center"/>
          </w:tcPr>
          <w:p w14:paraId="58EA6A91" w14:textId="468CC91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7</w:t>
            </w:r>
          </w:p>
        </w:tc>
        <w:tc>
          <w:tcPr>
            <w:tcW w:w="1391" w:type="dxa"/>
            <w:vAlign w:val="center"/>
          </w:tcPr>
          <w:p w14:paraId="34072919" w14:textId="220BEC60"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Madhya Pradesh</w:t>
            </w:r>
          </w:p>
        </w:tc>
        <w:tc>
          <w:tcPr>
            <w:tcW w:w="978" w:type="dxa"/>
            <w:vAlign w:val="center"/>
          </w:tcPr>
          <w:p w14:paraId="11C0778E" w14:textId="3E77D10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342.31</w:t>
            </w:r>
          </w:p>
        </w:tc>
        <w:tc>
          <w:tcPr>
            <w:tcW w:w="976" w:type="dxa"/>
            <w:vAlign w:val="center"/>
          </w:tcPr>
          <w:p w14:paraId="1FB74367" w14:textId="1599DAB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392.09</w:t>
            </w:r>
          </w:p>
        </w:tc>
        <w:tc>
          <w:tcPr>
            <w:tcW w:w="1073" w:type="dxa"/>
            <w:vAlign w:val="center"/>
          </w:tcPr>
          <w:p w14:paraId="54A17E77" w14:textId="4A67B58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449.10</w:t>
            </w:r>
          </w:p>
        </w:tc>
        <w:tc>
          <w:tcPr>
            <w:tcW w:w="1073" w:type="dxa"/>
            <w:vAlign w:val="center"/>
          </w:tcPr>
          <w:p w14:paraId="527D6FF9" w14:textId="07AB03B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514.40</w:t>
            </w:r>
          </w:p>
        </w:tc>
        <w:tc>
          <w:tcPr>
            <w:tcW w:w="979" w:type="dxa"/>
            <w:vAlign w:val="center"/>
          </w:tcPr>
          <w:p w14:paraId="313D8E02" w14:textId="46BA1B8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589.20</w:t>
            </w:r>
          </w:p>
        </w:tc>
        <w:tc>
          <w:tcPr>
            <w:tcW w:w="979" w:type="dxa"/>
            <w:vAlign w:val="center"/>
          </w:tcPr>
          <w:p w14:paraId="217DA172" w14:textId="6CBF1602"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674.88</w:t>
            </w:r>
          </w:p>
        </w:tc>
        <w:tc>
          <w:tcPr>
            <w:tcW w:w="1056" w:type="dxa"/>
            <w:vAlign w:val="center"/>
          </w:tcPr>
          <w:p w14:paraId="6BA74729" w14:textId="79BC304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2619.67</w:t>
            </w:r>
          </w:p>
        </w:tc>
      </w:tr>
      <w:tr w:rsidR="009775CB" w:rsidRPr="0078036E" w14:paraId="1E6D3F69" w14:textId="77777777" w:rsidTr="0049031D">
        <w:trPr>
          <w:trHeight w:val="20"/>
          <w:jc w:val="center"/>
        </w:trPr>
        <w:tc>
          <w:tcPr>
            <w:tcW w:w="421" w:type="dxa"/>
            <w:vAlign w:val="center"/>
          </w:tcPr>
          <w:p w14:paraId="5E1EDC8A" w14:textId="60265C10"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8</w:t>
            </w:r>
          </w:p>
        </w:tc>
        <w:tc>
          <w:tcPr>
            <w:tcW w:w="1391" w:type="dxa"/>
            <w:vAlign w:val="center"/>
          </w:tcPr>
          <w:p w14:paraId="60FF8248" w14:textId="3AA6B624"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Maharashtra</w:t>
            </w:r>
          </w:p>
        </w:tc>
        <w:tc>
          <w:tcPr>
            <w:tcW w:w="978" w:type="dxa"/>
            <w:vAlign w:val="center"/>
          </w:tcPr>
          <w:p w14:paraId="4535F06D" w14:textId="28A6653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751.50</w:t>
            </w:r>
          </w:p>
        </w:tc>
        <w:tc>
          <w:tcPr>
            <w:tcW w:w="976" w:type="dxa"/>
            <w:vAlign w:val="center"/>
          </w:tcPr>
          <w:p w14:paraId="4155717F" w14:textId="128686B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842.76</w:t>
            </w:r>
          </w:p>
        </w:tc>
        <w:tc>
          <w:tcPr>
            <w:tcW w:w="1073" w:type="dxa"/>
            <w:vAlign w:val="center"/>
          </w:tcPr>
          <w:p w14:paraId="05EFDE32" w14:textId="4DE9EA4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945.11</w:t>
            </w:r>
          </w:p>
        </w:tc>
        <w:tc>
          <w:tcPr>
            <w:tcW w:w="1073" w:type="dxa"/>
            <w:vAlign w:val="center"/>
          </w:tcPr>
          <w:p w14:paraId="5E2BDB76" w14:textId="21CC6AB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1059.88</w:t>
            </w:r>
          </w:p>
        </w:tc>
        <w:tc>
          <w:tcPr>
            <w:tcW w:w="979" w:type="dxa"/>
            <w:vAlign w:val="center"/>
          </w:tcPr>
          <w:p w14:paraId="538F19A7" w14:textId="3A26198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1188.60</w:t>
            </w:r>
          </w:p>
        </w:tc>
        <w:tc>
          <w:tcPr>
            <w:tcW w:w="979" w:type="dxa"/>
            <w:vAlign w:val="center"/>
          </w:tcPr>
          <w:p w14:paraId="33D80910" w14:textId="62AD912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1332.94</w:t>
            </w:r>
          </w:p>
        </w:tc>
        <w:tc>
          <w:tcPr>
            <w:tcW w:w="1056" w:type="dxa"/>
            <w:vAlign w:val="center"/>
          </w:tcPr>
          <w:p w14:paraId="01E08C26" w14:textId="37A75C57"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5369.29</w:t>
            </w:r>
          </w:p>
        </w:tc>
      </w:tr>
      <w:tr w:rsidR="009775CB" w:rsidRPr="0078036E" w14:paraId="4728A2C7" w14:textId="77777777" w:rsidTr="0049031D">
        <w:trPr>
          <w:trHeight w:val="20"/>
          <w:jc w:val="center"/>
        </w:trPr>
        <w:tc>
          <w:tcPr>
            <w:tcW w:w="421" w:type="dxa"/>
            <w:vAlign w:val="center"/>
          </w:tcPr>
          <w:p w14:paraId="2C65AA6C" w14:textId="7CF975C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9</w:t>
            </w:r>
          </w:p>
        </w:tc>
        <w:tc>
          <w:tcPr>
            <w:tcW w:w="1391" w:type="dxa"/>
            <w:vAlign w:val="center"/>
          </w:tcPr>
          <w:p w14:paraId="5347CA53" w14:textId="0928F43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Orissa</w:t>
            </w:r>
          </w:p>
        </w:tc>
        <w:tc>
          <w:tcPr>
            <w:tcW w:w="978" w:type="dxa"/>
            <w:vAlign w:val="center"/>
          </w:tcPr>
          <w:p w14:paraId="0429B65F" w14:textId="032DCB69"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404.51</w:t>
            </w:r>
          </w:p>
        </w:tc>
        <w:tc>
          <w:tcPr>
            <w:tcW w:w="976" w:type="dxa"/>
            <w:vAlign w:val="center"/>
          </w:tcPr>
          <w:p w14:paraId="4F461EFF" w14:textId="0EE11E1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391.94</w:t>
            </w:r>
          </w:p>
        </w:tc>
        <w:tc>
          <w:tcPr>
            <w:tcW w:w="1073" w:type="dxa"/>
            <w:vAlign w:val="center"/>
          </w:tcPr>
          <w:p w14:paraId="501FF739" w14:textId="6D4B180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379.76</w:t>
            </w:r>
          </w:p>
        </w:tc>
        <w:tc>
          <w:tcPr>
            <w:tcW w:w="1073" w:type="dxa"/>
            <w:vAlign w:val="center"/>
          </w:tcPr>
          <w:p w14:paraId="755C36B2" w14:textId="74E537E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367.96</w:t>
            </w:r>
          </w:p>
        </w:tc>
        <w:tc>
          <w:tcPr>
            <w:tcW w:w="979" w:type="dxa"/>
            <w:vAlign w:val="center"/>
          </w:tcPr>
          <w:p w14:paraId="6DAB4791" w14:textId="189D984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356.52</w:t>
            </w:r>
          </w:p>
        </w:tc>
        <w:tc>
          <w:tcPr>
            <w:tcW w:w="979" w:type="dxa"/>
            <w:vAlign w:val="center"/>
          </w:tcPr>
          <w:p w14:paraId="5EE57E16" w14:textId="70E7475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345.44</w:t>
            </w:r>
          </w:p>
        </w:tc>
        <w:tc>
          <w:tcPr>
            <w:tcW w:w="1056" w:type="dxa"/>
            <w:vAlign w:val="center"/>
          </w:tcPr>
          <w:p w14:paraId="2522E7F0" w14:textId="73A897E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1841.62</w:t>
            </w:r>
          </w:p>
        </w:tc>
      </w:tr>
      <w:tr w:rsidR="009775CB" w:rsidRPr="0078036E" w14:paraId="06C6F02E" w14:textId="77777777" w:rsidTr="0049031D">
        <w:trPr>
          <w:trHeight w:val="20"/>
          <w:jc w:val="center"/>
        </w:trPr>
        <w:tc>
          <w:tcPr>
            <w:tcW w:w="421" w:type="dxa"/>
            <w:vAlign w:val="center"/>
          </w:tcPr>
          <w:p w14:paraId="0D342867" w14:textId="18F8C0E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10</w:t>
            </w:r>
          </w:p>
        </w:tc>
        <w:tc>
          <w:tcPr>
            <w:tcW w:w="1391" w:type="dxa"/>
            <w:vAlign w:val="center"/>
          </w:tcPr>
          <w:p w14:paraId="24FEC1F9" w14:textId="1A0DD7A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Punjab</w:t>
            </w:r>
          </w:p>
        </w:tc>
        <w:tc>
          <w:tcPr>
            <w:tcW w:w="978" w:type="dxa"/>
            <w:vAlign w:val="center"/>
          </w:tcPr>
          <w:p w14:paraId="5C643D08" w14:textId="20170B2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233.07</w:t>
            </w:r>
          </w:p>
        </w:tc>
        <w:tc>
          <w:tcPr>
            <w:tcW w:w="976" w:type="dxa"/>
            <w:vAlign w:val="center"/>
          </w:tcPr>
          <w:p w14:paraId="0C863201" w14:textId="2F1440D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256.27</w:t>
            </w:r>
          </w:p>
        </w:tc>
        <w:tc>
          <w:tcPr>
            <w:tcW w:w="1073" w:type="dxa"/>
            <w:vAlign w:val="center"/>
          </w:tcPr>
          <w:p w14:paraId="1338F887" w14:textId="3709731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281.77</w:t>
            </w:r>
          </w:p>
        </w:tc>
        <w:tc>
          <w:tcPr>
            <w:tcW w:w="1073" w:type="dxa"/>
            <w:vAlign w:val="center"/>
          </w:tcPr>
          <w:p w14:paraId="0BA3144F" w14:textId="00912F8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309.80</w:t>
            </w:r>
          </w:p>
        </w:tc>
        <w:tc>
          <w:tcPr>
            <w:tcW w:w="979" w:type="dxa"/>
            <w:vAlign w:val="center"/>
          </w:tcPr>
          <w:p w14:paraId="0A4ED632" w14:textId="5CD8C5F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340.63</w:t>
            </w:r>
          </w:p>
        </w:tc>
        <w:tc>
          <w:tcPr>
            <w:tcW w:w="979" w:type="dxa"/>
            <w:vAlign w:val="center"/>
          </w:tcPr>
          <w:p w14:paraId="0D7BF82F" w14:textId="032EE3C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374.52</w:t>
            </w:r>
          </w:p>
        </w:tc>
        <w:tc>
          <w:tcPr>
            <w:tcW w:w="1056" w:type="dxa"/>
            <w:vAlign w:val="center"/>
          </w:tcPr>
          <w:p w14:paraId="67ECE981" w14:textId="38E623B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1562.98</w:t>
            </w:r>
          </w:p>
        </w:tc>
      </w:tr>
      <w:tr w:rsidR="009775CB" w:rsidRPr="0078036E" w14:paraId="230F1EB3" w14:textId="77777777" w:rsidTr="0049031D">
        <w:trPr>
          <w:trHeight w:val="20"/>
          <w:jc w:val="center"/>
        </w:trPr>
        <w:tc>
          <w:tcPr>
            <w:tcW w:w="421" w:type="dxa"/>
            <w:vAlign w:val="center"/>
          </w:tcPr>
          <w:p w14:paraId="5E6AC2E6" w14:textId="16196C82"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11</w:t>
            </w:r>
          </w:p>
        </w:tc>
        <w:tc>
          <w:tcPr>
            <w:tcW w:w="1391" w:type="dxa"/>
            <w:vAlign w:val="center"/>
          </w:tcPr>
          <w:p w14:paraId="40C3CE77" w14:textId="68646288"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Rajasthan</w:t>
            </w:r>
          </w:p>
        </w:tc>
        <w:tc>
          <w:tcPr>
            <w:tcW w:w="978" w:type="dxa"/>
            <w:vAlign w:val="center"/>
          </w:tcPr>
          <w:p w14:paraId="32D48E10" w14:textId="6E24FB2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453.03</w:t>
            </w:r>
          </w:p>
        </w:tc>
        <w:tc>
          <w:tcPr>
            <w:tcW w:w="976" w:type="dxa"/>
            <w:vAlign w:val="center"/>
          </w:tcPr>
          <w:p w14:paraId="1F5AC5B2" w14:textId="1BC4221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468.91</w:t>
            </w:r>
          </w:p>
        </w:tc>
        <w:tc>
          <w:tcPr>
            <w:tcW w:w="1073" w:type="dxa"/>
            <w:vAlign w:val="center"/>
          </w:tcPr>
          <w:p w14:paraId="785EF4E2" w14:textId="4E5DCB0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485.34</w:t>
            </w:r>
          </w:p>
        </w:tc>
        <w:tc>
          <w:tcPr>
            <w:tcW w:w="1073" w:type="dxa"/>
            <w:vAlign w:val="center"/>
          </w:tcPr>
          <w:p w14:paraId="6DE57D48" w14:textId="7F42246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502.35</w:t>
            </w:r>
          </w:p>
        </w:tc>
        <w:tc>
          <w:tcPr>
            <w:tcW w:w="979" w:type="dxa"/>
            <w:vAlign w:val="center"/>
          </w:tcPr>
          <w:p w14:paraId="180424AD" w14:textId="277C70D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519.96</w:t>
            </w:r>
          </w:p>
        </w:tc>
        <w:tc>
          <w:tcPr>
            <w:tcW w:w="979" w:type="dxa"/>
            <w:vAlign w:val="center"/>
          </w:tcPr>
          <w:p w14:paraId="71FFBB84" w14:textId="6C01E30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538.19</w:t>
            </w:r>
          </w:p>
        </w:tc>
        <w:tc>
          <w:tcPr>
            <w:tcW w:w="1056" w:type="dxa"/>
            <w:vAlign w:val="center"/>
          </w:tcPr>
          <w:p w14:paraId="7AC99968" w14:textId="1F70B96D"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2514.76</w:t>
            </w:r>
          </w:p>
        </w:tc>
      </w:tr>
      <w:tr w:rsidR="009775CB" w:rsidRPr="0078036E" w14:paraId="3859060E" w14:textId="77777777" w:rsidTr="0049031D">
        <w:trPr>
          <w:trHeight w:val="20"/>
          <w:jc w:val="center"/>
        </w:trPr>
        <w:tc>
          <w:tcPr>
            <w:tcW w:w="421" w:type="dxa"/>
            <w:vAlign w:val="center"/>
          </w:tcPr>
          <w:p w14:paraId="3DD2978F" w14:textId="4A4A244C"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12</w:t>
            </w:r>
          </w:p>
        </w:tc>
        <w:tc>
          <w:tcPr>
            <w:tcW w:w="1391" w:type="dxa"/>
            <w:vAlign w:val="center"/>
          </w:tcPr>
          <w:p w14:paraId="530D2F3A" w14:textId="195F4FF4"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Tamil Nadu</w:t>
            </w:r>
          </w:p>
        </w:tc>
        <w:tc>
          <w:tcPr>
            <w:tcW w:w="978" w:type="dxa"/>
            <w:vAlign w:val="center"/>
          </w:tcPr>
          <w:p w14:paraId="3BD99B96" w14:textId="788AFD0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811.94</w:t>
            </w:r>
          </w:p>
        </w:tc>
        <w:tc>
          <w:tcPr>
            <w:tcW w:w="976" w:type="dxa"/>
            <w:vAlign w:val="center"/>
          </w:tcPr>
          <w:p w14:paraId="2632A954" w14:textId="071A215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811.62</w:t>
            </w:r>
          </w:p>
        </w:tc>
        <w:tc>
          <w:tcPr>
            <w:tcW w:w="1073" w:type="dxa"/>
            <w:vAlign w:val="center"/>
          </w:tcPr>
          <w:p w14:paraId="0096BB35" w14:textId="107E66D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811.30</w:t>
            </w:r>
          </w:p>
        </w:tc>
        <w:tc>
          <w:tcPr>
            <w:tcW w:w="1073" w:type="dxa"/>
            <w:vAlign w:val="center"/>
          </w:tcPr>
          <w:p w14:paraId="3198A2DE" w14:textId="5C3D1F1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810.99</w:t>
            </w:r>
          </w:p>
        </w:tc>
        <w:tc>
          <w:tcPr>
            <w:tcW w:w="979" w:type="dxa"/>
            <w:vAlign w:val="center"/>
          </w:tcPr>
          <w:p w14:paraId="47ACE47C" w14:textId="2FDE003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810.67</w:t>
            </w:r>
          </w:p>
        </w:tc>
        <w:tc>
          <w:tcPr>
            <w:tcW w:w="979" w:type="dxa"/>
            <w:vAlign w:val="center"/>
          </w:tcPr>
          <w:p w14:paraId="4EC6331D" w14:textId="72BBB996"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810.36</w:t>
            </w:r>
          </w:p>
        </w:tc>
        <w:tc>
          <w:tcPr>
            <w:tcW w:w="1056" w:type="dxa"/>
            <w:vAlign w:val="center"/>
          </w:tcPr>
          <w:p w14:paraId="24A3BB66" w14:textId="26CBADC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4054.94</w:t>
            </w:r>
          </w:p>
        </w:tc>
      </w:tr>
      <w:tr w:rsidR="009775CB" w:rsidRPr="0078036E" w14:paraId="1248D28B" w14:textId="77777777" w:rsidTr="0049031D">
        <w:trPr>
          <w:trHeight w:val="20"/>
          <w:jc w:val="center"/>
        </w:trPr>
        <w:tc>
          <w:tcPr>
            <w:tcW w:w="421" w:type="dxa"/>
            <w:vAlign w:val="center"/>
          </w:tcPr>
          <w:p w14:paraId="671598F9" w14:textId="0EC1E4D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13</w:t>
            </w:r>
          </w:p>
        </w:tc>
        <w:tc>
          <w:tcPr>
            <w:tcW w:w="1391" w:type="dxa"/>
            <w:vAlign w:val="center"/>
          </w:tcPr>
          <w:p w14:paraId="429A6525" w14:textId="3F756E8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Uttar Pradesh</w:t>
            </w:r>
          </w:p>
        </w:tc>
        <w:tc>
          <w:tcPr>
            <w:tcW w:w="978" w:type="dxa"/>
            <w:vAlign w:val="center"/>
          </w:tcPr>
          <w:p w14:paraId="38270A5E" w14:textId="171E7AD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600.07</w:t>
            </w:r>
          </w:p>
        </w:tc>
        <w:tc>
          <w:tcPr>
            <w:tcW w:w="976" w:type="dxa"/>
            <w:vAlign w:val="center"/>
          </w:tcPr>
          <w:p w14:paraId="4CC58E64" w14:textId="075AD09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677.94</w:t>
            </w:r>
          </w:p>
        </w:tc>
        <w:tc>
          <w:tcPr>
            <w:tcW w:w="1073" w:type="dxa"/>
            <w:vAlign w:val="center"/>
          </w:tcPr>
          <w:p w14:paraId="51F46ECA" w14:textId="41FFEAF8"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765.92</w:t>
            </w:r>
          </w:p>
        </w:tc>
        <w:tc>
          <w:tcPr>
            <w:tcW w:w="1073" w:type="dxa"/>
            <w:vAlign w:val="center"/>
          </w:tcPr>
          <w:p w14:paraId="294B1AC5" w14:textId="11E610F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865.31</w:t>
            </w:r>
          </w:p>
        </w:tc>
        <w:tc>
          <w:tcPr>
            <w:tcW w:w="979" w:type="dxa"/>
            <w:vAlign w:val="center"/>
          </w:tcPr>
          <w:p w14:paraId="414EB3CF" w14:textId="4225007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977.60</w:t>
            </w:r>
          </w:p>
        </w:tc>
        <w:tc>
          <w:tcPr>
            <w:tcW w:w="979" w:type="dxa"/>
            <w:vAlign w:val="center"/>
          </w:tcPr>
          <w:p w14:paraId="0354E78A" w14:textId="2090767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1104.46</w:t>
            </w:r>
          </w:p>
        </w:tc>
        <w:tc>
          <w:tcPr>
            <w:tcW w:w="1056" w:type="dxa"/>
            <w:vAlign w:val="center"/>
          </w:tcPr>
          <w:p w14:paraId="6B435CB7" w14:textId="611D1F13"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4391.23</w:t>
            </w:r>
          </w:p>
        </w:tc>
      </w:tr>
      <w:tr w:rsidR="009775CB" w:rsidRPr="0078036E" w14:paraId="3AE4D22F" w14:textId="77777777" w:rsidTr="0049031D">
        <w:trPr>
          <w:trHeight w:val="20"/>
          <w:jc w:val="center"/>
        </w:trPr>
        <w:tc>
          <w:tcPr>
            <w:tcW w:w="421" w:type="dxa"/>
            <w:vAlign w:val="center"/>
          </w:tcPr>
          <w:p w14:paraId="185A5094" w14:textId="7760294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14</w:t>
            </w:r>
          </w:p>
        </w:tc>
        <w:tc>
          <w:tcPr>
            <w:tcW w:w="1391" w:type="dxa"/>
            <w:vAlign w:val="center"/>
          </w:tcPr>
          <w:p w14:paraId="5BD1FB81" w14:textId="3F1D0261"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sz w:val="16"/>
                <w:szCs w:val="16"/>
              </w:rPr>
              <w:t>West Bengal</w:t>
            </w:r>
          </w:p>
        </w:tc>
        <w:tc>
          <w:tcPr>
            <w:tcW w:w="978" w:type="dxa"/>
            <w:vAlign w:val="center"/>
          </w:tcPr>
          <w:p w14:paraId="21AA777B" w14:textId="56F11EE0"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829.64</w:t>
            </w:r>
          </w:p>
        </w:tc>
        <w:tc>
          <w:tcPr>
            <w:tcW w:w="976" w:type="dxa"/>
            <w:vAlign w:val="center"/>
          </w:tcPr>
          <w:p w14:paraId="23B66794" w14:textId="7B3A56D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860.46</w:t>
            </w:r>
          </w:p>
        </w:tc>
        <w:tc>
          <w:tcPr>
            <w:tcW w:w="1073" w:type="dxa"/>
            <w:vAlign w:val="center"/>
          </w:tcPr>
          <w:p w14:paraId="27B04D98" w14:textId="082212F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892.42</w:t>
            </w:r>
          </w:p>
        </w:tc>
        <w:tc>
          <w:tcPr>
            <w:tcW w:w="1073" w:type="dxa"/>
            <w:vAlign w:val="center"/>
          </w:tcPr>
          <w:p w14:paraId="319D75DE" w14:textId="1E3DF1E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925.57</w:t>
            </w:r>
          </w:p>
        </w:tc>
        <w:tc>
          <w:tcPr>
            <w:tcW w:w="979" w:type="dxa"/>
            <w:vAlign w:val="center"/>
          </w:tcPr>
          <w:p w14:paraId="00BFA197" w14:textId="497728C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959.96</w:t>
            </w:r>
          </w:p>
        </w:tc>
        <w:tc>
          <w:tcPr>
            <w:tcW w:w="979" w:type="dxa"/>
            <w:vAlign w:val="center"/>
          </w:tcPr>
          <w:p w14:paraId="52A6CC76" w14:textId="7B63402A"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995.61</w:t>
            </w:r>
          </w:p>
        </w:tc>
        <w:tc>
          <w:tcPr>
            <w:tcW w:w="1056" w:type="dxa"/>
            <w:vAlign w:val="center"/>
          </w:tcPr>
          <w:p w14:paraId="63FEA3F5" w14:textId="29A1731C"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sz w:val="16"/>
                <w:szCs w:val="16"/>
              </w:rPr>
              <w:t>4634.03</w:t>
            </w:r>
          </w:p>
        </w:tc>
      </w:tr>
      <w:tr w:rsidR="009775CB" w:rsidRPr="0078036E" w14:paraId="03BFA792" w14:textId="77777777" w:rsidTr="0049031D">
        <w:trPr>
          <w:trHeight w:val="20"/>
          <w:jc w:val="center"/>
        </w:trPr>
        <w:tc>
          <w:tcPr>
            <w:tcW w:w="421" w:type="dxa"/>
            <w:vAlign w:val="center"/>
          </w:tcPr>
          <w:p w14:paraId="690CB0AC" w14:textId="6A8C4CDA"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b/>
                <w:bCs/>
                <w:sz w:val="16"/>
                <w:szCs w:val="16"/>
              </w:rPr>
              <w:t>14</w:t>
            </w:r>
          </w:p>
        </w:tc>
        <w:tc>
          <w:tcPr>
            <w:tcW w:w="1391" w:type="dxa"/>
            <w:vAlign w:val="center"/>
          </w:tcPr>
          <w:p w14:paraId="26E2A6F4" w14:textId="236D259B" w:rsidR="009775CB" w:rsidRPr="00BB6DC9" w:rsidRDefault="009775CB" w:rsidP="009775CB">
            <w:pPr>
              <w:rPr>
                <w:rFonts w:ascii="Times New Roman" w:hAnsi="Times New Roman" w:cs="Times New Roman"/>
                <w:sz w:val="16"/>
                <w:szCs w:val="16"/>
              </w:rPr>
            </w:pPr>
            <w:r w:rsidRPr="00BB6DC9">
              <w:rPr>
                <w:rFonts w:ascii="Times New Roman" w:hAnsi="Times New Roman" w:cs="Times New Roman"/>
                <w:b/>
                <w:bCs/>
                <w:sz w:val="16"/>
                <w:szCs w:val="16"/>
              </w:rPr>
              <w:t>Major States</w:t>
            </w:r>
          </w:p>
        </w:tc>
        <w:tc>
          <w:tcPr>
            <w:tcW w:w="978" w:type="dxa"/>
            <w:vAlign w:val="center"/>
          </w:tcPr>
          <w:p w14:paraId="602BAAC4" w14:textId="2D48800E"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7433.81</w:t>
            </w:r>
          </w:p>
        </w:tc>
        <w:tc>
          <w:tcPr>
            <w:tcW w:w="976" w:type="dxa"/>
            <w:vAlign w:val="center"/>
          </w:tcPr>
          <w:p w14:paraId="06431007" w14:textId="51655D4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7907.94</w:t>
            </w:r>
          </w:p>
        </w:tc>
        <w:tc>
          <w:tcPr>
            <w:tcW w:w="1073" w:type="dxa"/>
            <w:vAlign w:val="center"/>
          </w:tcPr>
          <w:p w14:paraId="55CA8275" w14:textId="38B80525"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8437.36</w:t>
            </w:r>
          </w:p>
        </w:tc>
        <w:tc>
          <w:tcPr>
            <w:tcW w:w="1073" w:type="dxa"/>
            <w:vAlign w:val="center"/>
          </w:tcPr>
          <w:p w14:paraId="54FB98E5" w14:textId="06AA378F"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9028.55</w:t>
            </w:r>
          </w:p>
        </w:tc>
        <w:tc>
          <w:tcPr>
            <w:tcW w:w="979" w:type="dxa"/>
            <w:vAlign w:val="center"/>
          </w:tcPr>
          <w:p w14:paraId="53257397" w14:textId="4B2217A1"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9688.80</w:t>
            </w:r>
          </w:p>
        </w:tc>
        <w:tc>
          <w:tcPr>
            <w:tcW w:w="979" w:type="dxa"/>
            <w:vAlign w:val="center"/>
          </w:tcPr>
          <w:p w14:paraId="5ED03EFF" w14:textId="75F15B8B"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10426.30</w:t>
            </w:r>
          </w:p>
        </w:tc>
        <w:tc>
          <w:tcPr>
            <w:tcW w:w="1056" w:type="dxa"/>
            <w:vAlign w:val="center"/>
          </w:tcPr>
          <w:p w14:paraId="760D9FFD" w14:textId="4751DE74" w:rsidR="009775CB" w:rsidRPr="00BB6DC9" w:rsidRDefault="009775CB" w:rsidP="009775CB">
            <w:pPr>
              <w:jc w:val="center"/>
              <w:rPr>
                <w:rFonts w:ascii="Times New Roman" w:hAnsi="Times New Roman" w:cs="Times New Roman"/>
                <w:sz w:val="16"/>
                <w:szCs w:val="16"/>
              </w:rPr>
            </w:pPr>
            <w:r w:rsidRPr="00BB6DC9">
              <w:rPr>
                <w:rFonts w:ascii="Times New Roman" w:hAnsi="Times New Roman" w:cs="Times New Roman"/>
                <w:b/>
                <w:bCs/>
                <w:sz w:val="16"/>
                <w:szCs w:val="16"/>
              </w:rPr>
              <w:t>45488.95</w:t>
            </w:r>
          </w:p>
        </w:tc>
      </w:tr>
      <w:tr w:rsidR="009775CB" w:rsidRPr="0078036E" w14:paraId="3CDD4E17" w14:textId="77777777" w:rsidTr="003A3500">
        <w:trPr>
          <w:trHeight w:val="20"/>
          <w:jc w:val="center"/>
        </w:trPr>
        <w:tc>
          <w:tcPr>
            <w:tcW w:w="8926" w:type="dxa"/>
            <w:gridSpan w:val="9"/>
            <w:vAlign w:val="center"/>
          </w:tcPr>
          <w:p w14:paraId="253D5472" w14:textId="0EB1CC7B" w:rsidR="009775CB" w:rsidRPr="00BB6DC9"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20"/>
                <w:szCs w:val="20"/>
              </w:rPr>
              <w:t>Expenditure Category: Social Services</w:t>
            </w:r>
          </w:p>
        </w:tc>
      </w:tr>
      <w:tr w:rsidR="009775CB" w:rsidRPr="0078036E" w14:paraId="42A9EB35" w14:textId="77777777" w:rsidTr="0049031D">
        <w:trPr>
          <w:trHeight w:val="20"/>
          <w:jc w:val="center"/>
        </w:trPr>
        <w:tc>
          <w:tcPr>
            <w:tcW w:w="421" w:type="dxa"/>
            <w:vAlign w:val="center"/>
          </w:tcPr>
          <w:p w14:paraId="79F9D072" w14:textId="3741A306"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b/>
                <w:bCs/>
                <w:sz w:val="16"/>
                <w:szCs w:val="16"/>
              </w:rPr>
              <w:t>No.</w:t>
            </w:r>
          </w:p>
        </w:tc>
        <w:tc>
          <w:tcPr>
            <w:tcW w:w="1391" w:type="dxa"/>
            <w:vAlign w:val="center"/>
          </w:tcPr>
          <w:p w14:paraId="7FBEB160" w14:textId="6C17EFE6"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b/>
                <w:bCs/>
                <w:sz w:val="16"/>
                <w:szCs w:val="16"/>
              </w:rPr>
              <w:t>State</w:t>
            </w:r>
          </w:p>
        </w:tc>
        <w:tc>
          <w:tcPr>
            <w:tcW w:w="978" w:type="dxa"/>
            <w:vAlign w:val="center"/>
          </w:tcPr>
          <w:p w14:paraId="51A7BBC4" w14:textId="6D5B38C6"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1989-90</w:t>
            </w:r>
          </w:p>
        </w:tc>
        <w:tc>
          <w:tcPr>
            <w:tcW w:w="976" w:type="dxa"/>
            <w:vAlign w:val="center"/>
          </w:tcPr>
          <w:p w14:paraId="2ADB2CD7" w14:textId="5F9DE543"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1990-91</w:t>
            </w:r>
          </w:p>
        </w:tc>
        <w:tc>
          <w:tcPr>
            <w:tcW w:w="1073" w:type="dxa"/>
            <w:vAlign w:val="center"/>
          </w:tcPr>
          <w:p w14:paraId="3553F764" w14:textId="4771136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1991-92</w:t>
            </w:r>
          </w:p>
        </w:tc>
        <w:tc>
          <w:tcPr>
            <w:tcW w:w="1073" w:type="dxa"/>
            <w:vAlign w:val="center"/>
          </w:tcPr>
          <w:p w14:paraId="71469583" w14:textId="58015A7C"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1992-93</w:t>
            </w:r>
          </w:p>
        </w:tc>
        <w:tc>
          <w:tcPr>
            <w:tcW w:w="979" w:type="dxa"/>
            <w:vAlign w:val="center"/>
          </w:tcPr>
          <w:p w14:paraId="3BE2A8CB" w14:textId="46F9369D"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1993-94</w:t>
            </w:r>
          </w:p>
        </w:tc>
        <w:tc>
          <w:tcPr>
            <w:tcW w:w="979" w:type="dxa"/>
            <w:vAlign w:val="center"/>
          </w:tcPr>
          <w:p w14:paraId="0172444C" w14:textId="61B110A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1994-95</w:t>
            </w:r>
          </w:p>
        </w:tc>
        <w:tc>
          <w:tcPr>
            <w:tcW w:w="1056" w:type="dxa"/>
            <w:vAlign w:val="center"/>
          </w:tcPr>
          <w:p w14:paraId="17B2D534" w14:textId="60D7EA65"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1990-91 to 1994-95</w:t>
            </w:r>
          </w:p>
        </w:tc>
      </w:tr>
      <w:tr w:rsidR="009775CB" w:rsidRPr="0078036E" w14:paraId="7C37D7FC" w14:textId="77777777" w:rsidTr="0049031D">
        <w:trPr>
          <w:trHeight w:val="20"/>
          <w:jc w:val="center"/>
        </w:trPr>
        <w:tc>
          <w:tcPr>
            <w:tcW w:w="421" w:type="dxa"/>
            <w:vAlign w:val="center"/>
          </w:tcPr>
          <w:p w14:paraId="2F306087" w14:textId="0565D7DC"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sz w:val="16"/>
                <w:szCs w:val="16"/>
              </w:rPr>
              <w:t>1</w:t>
            </w:r>
          </w:p>
        </w:tc>
        <w:tc>
          <w:tcPr>
            <w:tcW w:w="1391" w:type="dxa"/>
            <w:vAlign w:val="center"/>
          </w:tcPr>
          <w:p w14:paraId="6DF3F0FC" w14:textId="2F16C965"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sz w:val="16"/>
                <w:szCs w:val="16"/>
              </w:rPr>
              <w:t>Andhra Pradesh</w:t>
            </w:r>
          </w:p>
        </w:tc>
        <w:tc>
          <w:tcPr>
            <w:tcW w:w="978" w:type="dxa"/>
            <w:vAlign w:val="center"/>
          </w:tcPr>
          <w:p w14:paraId="4270DA80" w14:textId="1839038E"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98880.68</w:t>
            </w:r>
          </w:p>
        </w:tc>
        <w:tc>
          <w:tcPr>
            <w:tcW w:w="976" w:type="dxa"/>
            <w:vAlign w:val="center"/>
          </w:tcPr>
          <w:p w14:paraId="7E7B2A27" w14:textId="5E4A2C96"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105924.37</w:t>
            </w:r>
          </w:p>
        </w:tc>
        <w:tc>
          <w:tcPr>
            <w:tcW w:w="1073" w:type="dxa"/>
            <w:vAlign w:val="center"/>
          </w:tcPr>
          <w:p w14:paraId="560D0936" w14:textId="5E9D53B4"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113474.37</w:t>
            </w:r>
          </w:p>
        </w:tc>
        <w:tc>
          <w:tcPr>
            <w:tcW w:w="1073" w:type="dxa"/>
            <w:vAlign w:val="center"/>
          </w:tcPr>
          <w:p w14:paraId="4D273DF3" w14:textId="54A0F8BB"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121567.44</w:t>
            </w:r>
          </w:p>
        </w:tc>
        <w:tc>
          <w:tcPr>
            <w:tcW w:w="979" w:type="dxa"/>
            <w:vAlign w:val="center"/>
          </w:tcPr>
          <w:p w14:paraId="75806B3D" w14:textId="3E72FDB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130243.08</w:t>
            </w:r>
          </w:p>
        </w:tc>
        <w:tc>
          <w:tcPr>
            <w:tcW w:w="979" w:type="dxa"/>
            <w:vAlign w:val="center"/>
          </w:tcPr>
          <w:p w14:paraId="5A9F0CCD" w14:textId="5C7B4E62"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139543.70</w:t>
            </w:r>
          </w:p>
        </w:tc>
        <w:tc>
          <w:tcPr>
            <w:tcW w:w="1056" w:type="dxa"/>
            <w:vAlign w:val="center"/>
          </w:tcPr>
          <w:p w14:paraId="22BB083D" w14:textId="017AF2B4"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610752.95</w:t>
            </w:r>
          </w:p>
        </w:tc>
      </w:tr>
      <w:tr w:rsidR="009775CB" w:rsidRPr="0078036E" w14:paraId="609DDE94" w14:textId="77777777" w:rsidTr="0049031D">
        <w:trPr>
          <w:trHeight w:val="20"/>
          <w:jc w:val="center"/>
        </w:trPr>
        <w:tc>
          <w:tcPr>
            <w:tcW w:w="421" w:type="dxa"/>
            <w:vAlign w:val="center"/>
          </w:tcPr>
          <w:p w14:paraId="4323E6FF" w14:textId="2370BB8B"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2</w:t>
            </w:r>
          </w:p>
        </w:tc>
        <w:tc>
          <w:tcPr>
            <w:tcW w:w="1391" w:type="dxa"/>
            <w:vAlign w:val="center"/>
          </w:tcPr>
          <w:p w14:paraId="5361AB4A" w14:textId="36D78CE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Bihar</w:t>
            </w:r>
          </w:p>
        </w:tc>
        <w:tc>
          <w:tcPr>
            <w:tcW w:w="978" w:type="dxa"/>
            <w:vAlign w:val="center"/>
          </w:tcPr>
          <w:p w14:paraId="64F509E0" w14:textId="06463A3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97857.62</w:t>
            </w:r>
          </w:p>
        </w:tc>
        <w:tc>
          <w:tcPr>
            <w:tcW w:w="976" w:type="dxa"/>
            <w:vAlign w:val="center"/>
          </w:tcPr>
          <w:p w14:paraId="2788C7F8" w14:textId="4F34FD5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105168.96</w:t>
            </w:r>
          </w:p>
        </w:tc>
        <w:tc>
          <w:tcPr>
            <w:tcW w:w="1073" w:type="dxa"/>
            <w:vAlign w:val="center"/>
          </w:tcPr>
          <w:p w14:paraId="456C36A8" w14:textId="3EE7E1E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113112.25</w:t>
            </w:r>
          </w:p>
        </w:tc>
        <w:tc>
          <w:tcPr>
            <w:tcW w:w="1073" w:type="dxa"/>
            <w:vAlign w:val="center"/>
          </w:tcPr>
          <w:p w14:paraId="6379A265" w14:textId="60D11E1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121748.76</w:t>
            </w:r>
          </w:p>
        </w:tc>
        <w:tc>
          <w:tcPr>
            <w:tcW w:w="979" w:type="dxa"/>
            <w:vAlign w:val="center"/>
          </w:tcPr>
          <w:p w14:paraId="4C57F4F3" w14:textId="517C891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131146.17</w:t>
            </w:r>
          </w:p>
        </w:tc>
        <w:tc>
          <w:tcPr>
            <w:tcW w:w="979" w:type="dxa"/>
            <w:vAlign w:val="center"/>
          </w:tcPr>
          <w:p w14:paraId="655CFC92" w14:textId="31A4E3D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141379.29</w:t>
            </w:r>
          </w:p>
        </w:tc>
        <w:tc>
          <w:tcPr>
            <w:tcW w:w="1056" w:type="dxa"/>
            <w:vAlign w:val="center"/>
          </w:tcPr>
          <w:p w14:paraId="3B525544" w14:textId="1DC4B14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612555.44</w:t>
            </w:r>
          </w:p>
        </w:tc>
      </w:tr>
      <w:tr w:rsidR="009775CB" w:rsidRPr="0078036E" w14:paraId="229AFDB4" w14:textId="77777777" w:rsidTr="0049031D">
        <w:trPr>
          <w:trHeight w:val="20"/>
          <w:jc w:val="center"/>
        </w:trPr>
        <w:tc>
          <w:tcPr>
            <w:tcW w:w="421" w:type="dxa"/>
            <w:vAlign w:val="center"/>
          </w:tcPr>
          <w:p w14:paraId="2E138C6C" w14:textId="2F03AFA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3</w:t>
            </w:r>
          </w:p>
        </w:tc>
        <w:tc>
          <w:tcPr>
            <w:tcW w:w="1391" w:type="dxa"/>
            <w:vAlign w:val="center"/>
          </w:tcPr>
          <w:p w14:paraId="3EFEC53B" w14:textId="3B761656"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Gujarat</w:t>
            </w:r>
          </w:p>
        </w:tc>
        <w:tc>
          <w:tcPr>
            <w:tcW w:w="978" w:type="dxa"/>
            <w:vAlign w:val="center"/>
          </w:tcPr>
          <w:p w14:paraId="4EE13289" w14:textId="3C43A4B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94613.81</w:t>
            </w:r>
          </w:p>
        </w:tc>
        <w:tc>
          <w:tcPr>
            <w:tcW w:w="976" w:type="dxa"/>
            <w:vAlign w:val="center"/>
          </w:tcPr>
          <w:p w14:paraId="305CA443" w14:textId="0A12DCF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100955.08</w:t>
            </w:r>
          </w:p>
        </w:tc>
        <w:tc>
          <w:tcPr>
            <w:tcW w:w="1073" w:type="dxa"/>
            <w:vAlign w:val="center"/>
          </w:tcPr>
          <w:p w14:paraId="6D1666CB" w14:textId="10B2E8F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107729.19</w:t>
            </w:r>
          </w:p>
        </w:tc>
        <w:tc>
          <w:tcPr>
            <w:tcW w:w="1073" w:type="dxa"/>
            <w:vAlign w:val="center"/>
          </w:tcPr>
          <w:p w14:paraId="0F726C64" w14:textId="3A9EFB6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114966.19</w:t>
            </w:r>
          </w:p>
        </w:tc>
        <w:tc>
          <w:tcPr>
            <w:tcW w:w="979" w:type="dxa"/>
            <w:vAlign w:val="center"/>
          </w:tcPr>
          <w:p w14:paraId="33B4E882" w14:textId="0020864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122698.26</w:t>
            </w:r>
          </w:p>
        </w:tc>
        <w:tc>
          <w:tcPr>
            <w:tcW w:w="979" w:type="dxa"/>
            <w:vAlign w:val="center"/>
          </w:tcPr>
          <w:p w14:paraId="3E489533" w14:textId="7ACCFB8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130959.84</w:t>
            </w:r>
          </w:p>
        </w:tc>
        <w:tc>
          <w:tcPr>
            <w:tcW w:w="1056" w:type="dxa"/>
            <w:vAlign w:val="center"/>
          </w:tcPr>
          <w:p w14:paraId="0190946E" w14:textId="24DB70A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577308.55</w:t>
            </w:r>
          </w:p>
        </w:tc>
      </w:tr>
      <w:tr w:rsidR="009775CB" w:rsidRPr="0078036E" w14:paraId="19FD61B8" w14:textId="77777777" w:rsidTr="0049031D">
        <w:trPr>
          <w:trHeight w:val="20"/>
          <w:jc w:val="center"/>
        </w:trPr>
        <w:tc>
          <w:tcPr>
            <w:tcW w:w="421" w:type="dxa"/>
            <w:vAlign w:val="center"/>
          </w:tcPr>
          <w:p w14:paraId="3A49D6EB" w14:textId="289A9F7F"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4</w:t>
            </w:r>
          </w:p>
        </w:tc>
        <w:tc>
          <w:tcPr>
            <w:tcW w:w="1391" w:type="dxa"/>
            <w:vAlign w:val="center"/>
          </w:tcPr>
          <w:p w14:paraId="3DC6D402" w14:textId="4EE581D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Haryana</w:t>
            </w:r>
          </w:p>
        </w:tc>
        <w:tc>
          <w:tcPr>
            <w:tcW w:w="978" w:type="dxa"/>
            <w:vAlign w:val="center"/>
          </w:tcPr>
          <w:p w14:paraId="0FC01404" w14:textId="55B2B92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29139.36</w:t>
            </w:r>
          </w:p>
        </w:tc>
        <w:tc>
          <w:tcPr>
            <w:tcW w:w="976" w:type="dxa"/>
            <w:vAlign w:val="center"/>
          </w:tcPr>
          <w:p w14:paraId="56CC9546" w14:textId="4475A87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31217.06</w:t>
            </w:r>
          </w:p>
        </w:tc>
        <w:tc>
          <w:tcPr>
            <w:tcW w:w="1073" w:type="dxa"/>
            <w:vAlign w:val="center"/>
          </w:tcPr>
          <w:p w14:paraId="018784A3" w14:textId="70CBD56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33451.48</w:t>
            </w:r>
          </w:p>
        </w:tc>
        <w:tc>
          <w:tcPr>
            <w:tcW w:w="1073" w:type="dxa"/>
            <w:vAlign w:val="center"/>
          </w:tcPr>
          <w:p w14:paraId="46F80B66" w14:textId="56C604B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35855.06</w:t>
            </w:r>
          </w:p>
        </w:tc>
        <w:tc>
          <w:tcPr>
            <w:tcW w:w="979" w:type="dxa"/>
            <w:vAlign w:val="center"/>
          </w:tcPr>
          <w:p w14:paraId="34DA2C03" w14:textId="05B0B57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38441.28</w:t>
            </w:r>
          </w:p>
        </w:tc>
        <w:tc>
          <w:tcPr>
            <w:tcW w:w="979" w:type="dxa"/>
            <w:vAlign w:val="center"/>
          </w:tcPr>
          <w:p w14:paraId="30D739DF" w14:textId="672EFBF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41224.71</w:t>
            </w:r>
          </w:p>
        </w:tc>
        <w:tc>
          <w:tcPr>
            <w:tcW w:w="1056" w:type="dxa"/>
            <w:vAlign w:val="center"/>
          </w:tcPr>
          <w:p w14:paraId="4BD3DE20" w14:textId="1084E2C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180189.59</w:t>
            </w:r>
          </w:p>
        </w:tc>
      </w:tr>
      <w:tr w:rsidR="009775CB" w:rsidRPr="0078036E" w14:paraId="0B495A0D" w14:textId="77777777" w:rsidTr="0049031D">
        <w:trPr>
          <w:trHeight w:val="20"/>
          <w:jc w:val="center"/>
        </w:trPr>
        <w:tc>
          <w:tcPr>
            <w:tcW w:w="421" w:type="dxa"/>
            <w:vAlign w:val="center"/>
          </w:tcPr>
          <w:p w14:paraId="2D74DB13" w14:textId="18104A1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5</w:t>
            </w:r>
          </w:p>
        </w:tc>
        <w:tc>
          <w:tcPr>
            <w:tcW w:w="1391" w:type="dxa"/>
            <w:vAlign w:val="center"/>
          </w:tcPr>
          <w:p w14:paraId="77053BD2" w14:textId="43F8068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Karnataka</w:t>
            </w:r>
          </w:p>
        </w:tc>
        <w:tc>
          <w:tcPr>
            <w:tcW w:w="978" w:type="dxa"/>
            <w:vAlign w:val="center"/>
          </w:tcPr>
          <w:p w14:paraId="1ED4D1EA" w14:textId="1D1EB07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82175.16</w:t>
            </w:r>
          </w:p>
        </w:tc>
        <w:tc>
          <w:tcPr>
            <w:tcW w:w="976" w:type="dxa"/>
            <w:vAlign w:val="center"/>
          </w:tcPr>
          <w:p w14:paraId="6585C3C4" w14:textId="3D64E67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88208.72</w:t>
            </w:r>
          </w:p>
        </w:tc>
        <w:tc>
          <w:tcPr>
            <w:tcW w:w="1073" w:type="dxa"/>
            <w:vAlign w:val="center"/>
          </w:tcPr>
          <w:p w14:paraId="57B41429" w14:textId="62EAABF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94718.44</w:t>
            </w:r>
          </w:p>
        </w:tc>
        <w:tc>
          <w:tcPr>
            <w:tcW w:w="1073" w:type="dxa"/>
            <w:vAlign w:val="center"/>
          </w:tcPr>
          <w:p w14:paraId="3276608E" w14:textId="5FD3EDC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101743.73</w:t>
            </w:r>
          </w:p>
        </w:tc>
        <w:tc>
          <w:tcPr>
            <w:tcW w:w="979" w:type="dxa"/>
            <w:vAlign w:val="center"/>
          </w:tcPr>
          <w:p w14:paraId="02630480" w14:textId="6056F83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109327.47</w:t>
            </w:r>
          </w:p>
        </w:tc>
        <w:tc>
          <w:tcPr>
            <w:tcW w:w="979" w:type="dxa"/>
            <w:vAlign w:val="center"/>
          </w:tcPr>
          <w:p w14:paraId="2BB05EF8" w14:textId="037C290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117516.25</w:t>
            </w:r>
          </w:p>
        </w:tc>
        <w:tc>
          <w:tcPr>
            <w:tcW w:w="1056" w:type="dxa"/>
            <w:vAlign w:val="center"/>
          </w:tcPr>
          <w:p w14:paraId="283819FA" w14:textId="4D3F828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511514.61</w:t>
            </w:r>
          </w:p>
        </w:tc>
      </w:tr>
      <w:tr w:rsidR="009775CB" w:rsidRPr="0078036E" w14:paraId="62ABDA4D" w14:textId="77777777" w:rsidTr="0049031D">
        <w:trPr>
          <w:trHeight w:val="20"/>
          <w:jc w:val="center"/>
        </w:trPr>
        <w:tc>
          <w:tcPr>
            <w:tcW w:w="421" w:type="dxa"/>
            <w:vAlign w:val="center"/>
          </w:tcPr>
          <w:p w14:paraId="34D8770B" w14:textId="75E297AF"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6</w:t>
            </w:r>
          </w:p>
        </w:tc>
        <w:tc>
          <w:tcPr>
            <w:tcW w:w="1391" w:type="dxa"/>
            <w:vAlign w:val="center"/>
          </w:tcPr>
          <w:p w14:paraId="6F5BB1EB" w14:textId="10E1FB01"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Kerala</w:t>
            </w:r>
          </w:p>
        </w:tc>
        <w:tc>
          <w:tcPr>
            <w:tcW w:w="978" w:type="dxa"/>
            <w:vAlign w:val="center"/>
          </w:tcPr>
          <w:p w14:paraId="2BC564CE" w14:textId="4867148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79669.21</w:t>
            </w:r>
          </w:p>
        </w:tc>
        <w:tc>
          <w:tcPr>
            <w:tcW w:w="976" w:type="dxa"/>
            <w:vAlign w:val="center"/>
          </w:tcPr>
          <w:p w14:paraId="4EB903FC" w14:textId="358B5D9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84024.35</w:t>
            </w:r>
          </w:p>
        </w:tc>
        <w:tc>
          <w:tcPr>
            <w:tcW w:w="1073" w:type="dxa"/>
            <w:vAlign w:val="center"/>
          </w:tcPr>
          <w:p w14:paraId="2ADAA986" w14:textId="3E92BFA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88735.31</w:t>
            </w:r>
          </w:p>
        </w:tc>
        <w:tc>
          <w:tcPr>
            <w:tcW w:w="1073" w:type="dxa"/>
            <w:vAlign w:val="center"/>
          </w:tcPr>
          <w:p w14:paraId="21A63E64" w14:textId="1ECE3F6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93833.84</w:t>
            </w:r>
          </w:p>
        </w:tc>
        <w:tc>
          <w:tcPr>
            <w:tcW w:w="979" w:type="dxa"/>
            <w:vAlign w:val="center"/>
          </w:tcPr>
          <w:p w14:paraId="01B44B76" w14:textId="696444C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99354.62</w:t>
            </w:r>
          </w:p>
        </w:tc>
        <w:tc>
          <w:tcPr>
            <w:tcW w:w="979" w:type="dxa"/>
            <w:vAlign w:val="center"/>
          </w:tcPr>
          <w:p w14:paraId="7CBFAC21" w14:textId="46AFCD7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105335.56</w:t>
            </w:r>
          </w:p>
        </w:tc>
        <w:tc>
          <w:tcPr>
            <w:tcW w:w="1056" w:type="dxa"/>
            <w:vAlign w:val="center"/>
          </w:tcPr>
          <w:p w14:paraId="603B6C05" w14:textId="6169AD5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471283.68</w:t>
            </w:r>
          </w:p>
        </w:tc>
      </w:tr>
      <w:tr w:rsidR="009775CB" w:rsidRPr="0078036E" w14:paraId="526203CC" w14:textId="77777777" w:rsidTr="0049031D">
        <w:trPr>
          <w:trHeight w:val="20"/>
          <w:jc w:val="center"/>
        </w:trPr>
        <w:tc>
          <w:tcPr>
            <w:tcW w:w="421" w:type="dxa"/>
            <w:vAlign w:val="center"/>
          </w:tcPr>
          <w:p w14:paraId="33C19311" w14:textId="153894EF"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7</w:t>
            </w:r>
          </w:p>
        </w:tc>
        <w:tc>
          <w:tcPr>
            <w:tcW w:w="1391" w:type="dxa"/>
            <w:vAlign w:val="center"/>
          </w:tcPr>
          <w:p w14:paraId="2433D1ED" w14:textId="36B656E9"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Madhya Pradesh</w:t>
            </w:r>
          </w:p>
        </w:tc>
        <w:tc>
          <w:tcPr>
            <w:tcW w:w="978" w:type="dxa"/>
            <w:vAlign w:val="center"/>
          </w:tcPr>
          <w:p w14:paraId="73092BA7" w14:textId="0C310A6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88567.60</w:t>
            </w:r>
          </w:p>
        </w:tc>
        <w:tc>
          <w:tcPr>
            <w:tcW w:w="976" w:type="dxa"/>
            <w:vAlign w:val="center"/>
          </w:tcPr>
          <w:p w14:paraId="41DC90DA" w14:textId="5069D30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94389.24</w:t>
            </w:r>
          </w:p>
        </w:tc>
        <w:tc>
          <w:tcPr>
            <w:tcW w:w="1073" w:type="dxa"/>
            <w:vAlign w:val="center"/>
          </w:tcPr>
          <w:p w14:paraId="45ADE212" w14:textId="06D0E4A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100604.29</w:t>
            </w:r>
          </w:p>
        </w:tc>
        <w:tc>
          <w:tcPr>
            <w:tcW w:w="1073" w:type="dxa"/>
            <w:vAlign w:val="center"/>
          </w:tcPr>
          <w:p w14:paraId="3AC6B570" w14:textId="16E05D8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107240.23</w:t>
            </w:r>
          </w:p>
        </w:tc>
        <w:tc>
          <w:tcPr>
            <w:tcW w:w="979" w:type="dxa"/>
            <w:vAlign w:val="center"/>
          </w:tcPr>
          <w:p w14:paraId="742B6EEA" w14:textId="3870670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114326.52</w:t>
            </w:r>
          </w:p>
        </w:tc>
        <w:tc>
          <w:tcPr>
            <w:tcW w:w="979" w:type="dxa"/>
            <w:vAlign w:val="center"/>
          </w:tcPr>
          <w:p w14:paraId="414AF00F" w14:textId="4B2E05E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121894.78</w:t>
            </w:r>
          </w:p>
        </w:tc>
        <w:tc>
          <w:tcPr>
            <w:tcW w:w="1056" w:type="dxa"/>
            <w:vAlign w:val="center"/>
          </w:tcPr>
          <w:p w14:paraId="72E83C66" w14:textId="3FA496B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538455.06</w:t>
            </w:r>
          </w:p>
        </w:tc>
      </w:tr>
      <w:tr w:rsidR="009775CB" w:rsidRPr="0078036E" w14:paraId="15737E9D" w14:textId="77777777" w:rsidTr="0049031D">
        <w:trPr>
          <w:trHeight w:val="20"/>
          <w:jc w:val="center"/>
        </w:trPr>
        <w:tc>
          <w:tcPr>
            <w:tcW w:w="421" w:type="dxa"/>
            <w:vAlign w:val="center"/>
          </w:tcPr>
          <w:p w14:paraId="6B688204" w14:textId="0ACD0ED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8</w:t>
            </w:r>
          </w:p>
        </w:tc>
        <w:tc>
          <w:tcPr>
            <w:tcW w:w="1391" w:type="dxa"/>
            <w:vAlign w:val="center"/>
          </w:tcPr>
          <w:p w14:paraId="2350BAEE" w14:textId="77BE7A8F"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Maharashtra</w:t>
            </w:r>
          </w:p>
        </w:tc>
        <w:tc>
          <w:tcPr>
            <w:tcW w:w="978" w:type="dxa"/>
            <w:vAlign w:val="center"/>
          </w:tcPr>
          <w:p w14:paraId="6B201074" w14:textId="6170ABD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164365.78</w:t>
            </w:r>
          </w:p>
        </w:tc>
        <w:tc>
          <w:tcPr>
            <w:tcW w:w="976" w:type="dxa"/>
            <w:vAlign w:val="center"/>
          </w:tcPr>
          <w:p w14:paraId="482423BB" w14:textId="3A7D6CE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174325.74</w:t>
            </w:r>
          </w:p>
        </w:tc>
        <w:tc>
          <w:tcPr>
            <w:tcW w:w="1073" w:type="dxa"/>
            <w:vAlign w:val="center"/>
          </w:tcPr>
          <w:p w14:paraId="2D7BA4DC" w14:textId="78C71E1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184906.57</w:t>
            </w:r>
          </w:p>
        </w:tc>
        <w:tc>
          <w:tcPr>
            <w:tcW w:w="1073" w:type="dxa"/>
            <w:vAlign w:val="center"/>
          </w:tcPr>
          <w:p w14:paraId="7B706349" w14:textId="09DB8D6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196148.10</w:t>
            </w:r>
          </w:p>
        </w:tc>
        <w:tc>
          <w:tcPr>
            <w:tcW w:w="979" w:type="dxa"/>
            <w:vAlign w:val="center"/>
          </w:tcPr>
          <w:p w14:paraId="219DDFC8" w14:textId="46CCE29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208092.81</w:t>
            </w:r>
          </w:p>
        </w:tc>
        <w:tc>
          <w:tcPr>
            <w:tcW w:w="979" w:type="dxa"/>
            <w:vAlign w:val="center"/>
          </w:tcPr>
          <w:p w14:paraId="409EC3AA" w14:textId="3D1E895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220785.96</w:t>
            </w:r>
          </w:p>
        </w:tc>
        <w:tc>
          <w:tcPr>
            <w:tcW w:w="1056" w:type="dxa"/>
            <w:vAlign w:val="center"/>
          </w:tcPr>
          <w:p w14:paraId="25C51997" w14:textId="57877C1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984259.18</w:t>
            </w:r>
          </w:p>
        </w:tc>
      </w:tr>
      <w:tr w:rsidR="009775CB" w:rsidRPr="0078036E" w14:paraId="34E5BCB7" w14:textId="77777777" w:rsidTr="0049031D">
        <w:trPr>
          <w:trHeight w:val="20"/>
          <w:jc w:val="center"/>
        </w:trPr>
        <w:tc>
          <w:tcPr>
            <w:tcW w:w="421" w:type="dxa"/>
            <w:vAlign w:val="center"/>
          </w:tcPr>
          <w:p w14:paraId="631DC41B" w14:textId="6C857DA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9</w:t>
            </w:r>
          </w:p>
        </w:tc>
        <w:tc>
          <w:tcPr>
            <w:tcW w:w="1391" w:type="dxa"/>
            <w:vAlign w:val="center"/>
          </w:tcPr>
          <w:p w14:paraId="07F935D3" w14:textId="5831C927"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Orissa</w:t>
            </w:r>
          </w:p>
        </w:tc>
        <w:tc>
          <w:tcPr>
            <w:tcW w:w="978" w:type="dxa"/>
            <w:vAlign w:val="center"/>
          </w:tcPr>
          <w:p w14:paraId="7E929659" w14:textId="08FECF9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47793.95</w:t>
            </w:r>
          </w:p>
        </w:tc>
        <w:tc>
          <w:tcPr>
            <w:tcW w:w="976" w:type="dxa"/>
            <w:vAlign w:val="center"/>
          </w:tcPr>
          <w:p w14:paraId="589EC519" w14:textId="326E6EF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52179.66</w:t>
            </w:r>
          </w:p>
        </w:tc>
        <w:tc>
          <w:tcPr>
            <w:tcW w:w="1073" w:type="dxa"/>
            <w:vAlign w:val="center"/>
          </w:tcPr>
          <w:p w14:paraId="5DFC3828" w14:textId="51A4639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56982.08</w:t>
            </w:r>
          </w:p>
        </w:tc>
        <w:tc>
          <w:tcPr>
            <w:tcW w:w="1073" w:type="dxa"/>
            <w:vAlign w:val="center"/>
          </w:tcPr>
          <w:p w14:paraId="30033BD6" w14:textId="2A8D212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62241.20</w:t>
            </w:r>
          </w:p>
        </w:tc>
        <w:tc>
          <w:tcPr>
            <w:tcW w:w="979" w:type="dxa"/>
            <w:vAlign w:val="center"/>
          </w:tcPr>
          <w:p w14:paraId="071B4A67" w14:textId="033D765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68000.93</w:t>
            </w:r>
          </w:p>
        </w:tc>
        <w:tc>
          <w:tcPr>
            <w:tcW w:w="979" w:type="dxa"/>
            <w:vAlign w:val="center"/>
          </w:tcPr>
          <w:p w14:paraId="3D01F3BC" w14:textId="67F2932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74309.44</w:t>
            </w:r>
          </w:p>
        </w:tc>
        <w:tc>
          <w:tcPr>
            <w:tcW w:w="1056" w:type="dxa"/>
            <w:vAlign w:val="center"/>
          </w:tcPr>
          <w:p w14:paraId="0EF0547B" w14:textId="6004BA1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313713.31</w:t>
            </w:r>
          </w:p>
        </w:tc>
      </w:tr>
      <w:tr w:rsidR="009775CB" w:rsidRPr="0078036E" w14:paraId="6342B6A9" w14:textId="77777777" w:rsidTr="0049031D">
        <w:trPr>
          <w:trHeight w:val="20"/>
          <w:jc w:val="center"/>
        </w:trPr>
        <w:tc>
          <w:tcPr>
            <w:tcW w:w="421" w:type="dxa"/>
            <w:vAlign w:val="center"/>
          </w:tcPr>
          <w:p w14:paraId="115895B5" w14:textId="11664F48"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10</w:t>
            </w:r>
          </w:p>
        </w:tc>
        <w:tc>
          <w:tcPr>
            <w:tcW w:w="1391" w:type="dxa"/>
            <w:vAlign w:val="center"/>
          </w:tcPr>
          <w:p w14:paraId="0E73F3DC" w14:textId="1CFC477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Punjab</w:t>
            </w:r>
          </w:p>
        </w:tc>
        <w:tc>
          <w:tcPr>
            <w:tcW w:w="978" w:type="dxa"/>
            <w:vAlign w:val="center"/>
          </w:tcPr>
          <w:p w14:paraId="115EEDC1" w14:textId="154F411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45072.88</w:t>
            </w:r>
          </w:p>
        </w:tc>
        <w:tc>
          <w:tcPr>
            <w:tcW w:w="976" w:type="dxa"/>
            <w:vAlign w:val="center"/>
          </w:tcPr>
          <w:p w14:paraId="01D3CCC0" w14:textId="1C807EB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47471.00</w:t>
            </w:r>
          </w:p>
        </w:tc>
        <w:tc>
          <w:tcPr>
            <w:tcW w:w="1073" w:type="dxa"/>
            <w:vAlign w:val="center"/>
          </w:tcPr>
          <w:p w14:paraId="356287BD" w14:textId="088A4C9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50002.80</w:t>
            </w:r>
          </w:p>
        </w:tc>
        <w:tc>
          <w:tcPr>
            <w:tcW w:w="1073" w:type="dxa"/>
            <w:vAlign w:val="center"/>
          </w:tcPr>
          <w:p w14:paraId="1FFE3B07" w14:textId="3CA9C88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52676.12</w:t>
            </w:r>
          </w:p>
        </w:tc>
        <w:tc>
          <w:tcPr>
            <w:tcW w:w="979" w:type="dxa"/>
            <w:vAlign w:val="center"/>
          </w:tcPr>
          <w:p w14:paraId="772B2C18" w14:textId="587DA97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55499.25</w:t>
            </w:r>
          </w:p>
        </w:tc>
        <w:tc>
          <w:tcPr>
            <w:tcW w:w="979" w:type="dxa"/>
            <w:vAlign w:val="center"/>
          </w:tcPr>
          <w:p w14:paraId="4E478988" w14:textId="67DA572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58481.03</w:t>
            </w:r>
          </w:p>
        </w:tc>
        <w:tc>
          <w:tcPr>
            <w:tcW w:w="1056" w:type="dxa"/>
            <w:vAlign w:val="center"/>
          </w:tcPr>
          <w:p w14:paraId="29740724" w14:textId="3E4F2E3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264130.21</w:t>
            </w:r>
          </w:p>
        </w:tc>
      </w:tr>
      <w:tr w:rsidR="009775CB" w:rsidRPr="0078036E" w14:paraId="7942BCCF" w14:textId="77777777" w:rsidTr="0049031D">
        <w:trPr>
          <w:trHeight w:val="20"/>
          <w:jc w:val="center"/>
        </w:trPr>
        <w:tc>
          <w:tcPr>
            <w:tcW w:w="421" w:type="dxa"/>
            <w:vAlign w:val="center"/>
          </w:tcPr>
          <w:p w14:paraId="7B69A465" w14:textId="10524A36"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11</w:t>
            </w:r>
          </w:p>
        </w:tc>
        <w:tc>
          <w:tcPr>
            <w:tcW w:w="1391" w:type="dxa"/>
            <w:vAlign w:val="center"/>
          </w:tcPr>
          <w:p w14:paraId="1ED4BC71" w14:textId="3FF5BA9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Rajasthan</w:t>
            </w:r>
          </w:p>
        </w:tc>
        <w:tc>
          <w:tcPr>
            <w:tcW w:w="978" w:type="dxa"/>
            <w:vAlign w:val="center"/>
          </w:tcPr>
          <w:p w14:paraId="624DF75E" w14:textId="5103AC1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65913.02</w:t>
            </w:r>
          </w:p>
        </w:tc>
        <w:tc>
          <w:tcPr>
            <w:tcW w:w="976" w:type="dxa"/>
            <w:vAlign w:val="center"/>
          </w:tcPr>
          <w:p w14:paraId="6417B374" w14:textId="14EEA10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70880.07</w:t>
            </w:r>
          </w:p>
        </w:tc>
        <w:tc>
          <w:tcPr>
            <w:tcW w:w="1073" w:type="dxa"/>
            <w:vAlign w:val="center"/>
          </w:tcPr>
          <w:p w14:paraId="7C4C4EF7" w14:textId="21A4C19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76224.50</w:t>
            </w:r>
          </w:p>
        </w:tc>
        <w:tc>
          <w:tcPr>
            <w:tcW w:w="1073" w:type="dxa"/>
            <w:vAlign w:val="center"/>
          </w:tcPr>
          <w:p w14:paraId="167E542B" w14:textId="48A2B5B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81975.23</w:t>
            </w:r>
          </w:p>
        </w:tc>
        <w:tc>
          <w:tcPr>
            <w:tcW w:w="979" w:type="dxa"/>
            <w:vAlign w:val="center"/>
          </w:tcPr>
          <w:p w14:paraId="076FA19C" w14:textId="2521DF6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88163.43</w:t>
            </w:r>
          </w:p>
        </w:tc>
        <w:tc>
          <w:tcPr>
            <w:tcW w:w="979" w:type="dxa"/>
            <w:vAlign w:val="center"/>
          </w:tcPr>
          <w:p w14:paraId="609782AF" w14:textId="1F838B6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94822.67</w:t>
            </w:r>
          </w:p>
        </w:tc>
        <w:tc>
          <w:tcPr>
            <w:tcW w:w="1056" w:type="dxa"/>
            <w:vAlign w:val="center"/>
          </w:tcPr>
          <w:p w14:paraId="2F7D6970" w14:textId="14875E8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412065.91</w:t>
            </w:r>
          </w:p>
        </w:tc>
      </w:tr>
      <w:tr w:rsidR="009775CB" w:rsidRPr="0078036E" w14:paraId="5D6CDE67" w14:textId="77777777" w:rsidTr="0049031D">
        <w:trPr>
          <w:trHeight w:val="20"/>
          <w:jc w:val="center"/>
        </w:trPr>
        <w:tc>
          <w:tcPr>
            <w:tcW w:w="421" w:type="dxa"/>
            <w:vAlign w:val="center"/>
          </w:tcPr>
          <w:p w14:paraId="3097803E" w14:textId="349CEEE2"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12</w:t>
            </w:r>
          </w:p>
        </w:tc>
        <w:tc>
          <w:tcPr>
            <w:tcW w:w="1391" w:type="dxa"/>
            <w:vAlign w:val="center"/>
          </w:tcPr>
          <w:p w14:paraId="3F1F9839" w14:textId="0385294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Tamil Nadu</w:t>
            </w:r>
          </w:p>
        </w:tc>
        <w:tc>
          <w:tcPr>
            <w:tcW w:w="978" w:type="dxa"/>
            <w:vAlign w:val="center"/>
          </w:tcPr>
          <w:p w14:paraId="3A1FAA69" w14:textId="268E103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112717.83</w:t>
            </w:r>
          </w:p>
        </w:tc>
        <w:tc>
          <w:tcPr>
            <w:tcW w:w="976" w:type="dxa"/>
            <w:vAlign w:val="center"/>
          </w:tcPr>
          <w:p w14:paraId="6BD9409B" w14:textId="3311E6E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121837.71</w:t>
            </w:r>
          </w:p>
        </w:tc>
        <w:tc>
          <w:tcPr>
            <w:tcW w:w="1073" w:type="dxa"/>
            <w:vAlign w:val="center"/>
          </w:tcPr>
          <w:p w14:paraId="08905892" w14:textId="50D2FCB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131785.26</w:t>
            </w:r>
          </w:p>
        </w:tc>
        <w:tc>
          <w:tcPr>
            <w:tcW w:w="1073" w:type="dxa"/>
            <w:vAlign w:val="center"/>
          </w:tcPr>
          <w:p w14:paraId="24A2A000" w14:textId="49369E9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142637.92</w:t>
            </w:r>
          </w:p>
        </w:tc>
        <w:tc>
          <w:tcPr>
            <w:tcW w:w="979" w:type="dxa"/>
            <w:vAlign w:val="center"/>
          </w:tcPr>
          <w:p w14:paraId="0DE0D401" w14:textId="4F6E44E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154480.57</w:t>
            </w:r>
          </w:p>
        </w:tc>
        <w:tc>
          <w:tcPr>
            <w:tcW w:w="979" w:type="dxa"/>
            <w:vAlign w:val="center"/>
          </w:tcPr>
          <w:p w14:paraId="0531E017" w14:textId="5456CB3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167406.26</w:t>
            </w:r>
          </w:p>
        </w:tc>
        <w:tc>
          <w:tcPr>
            <w:tcW w:w="1056" w:type="dxa"/>
            <w:vAlign w:val="center"/>
          </w:tcPr>
          <w:p w14:paraId="656E8EE5" w14:textId="20BE6FF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718147.72</w:t>
            </w:r>
          </w:p>
        </w:tc>
      </w:tr>
      <w:tr w:rsidR="009775CB" w:rsidRPr="0078036E" w14:paraId="5FA332AF" w14:textId="77777777" w:rsidTr="0049031D">
        <w:trPr>
          <w:trHeight w:val="20"/>
          <w:jc w:val="center"/>
        </w:trPr>
        <w:tc>
          <w:tcPr>
            <w:tcW w:w="421" w:type="dxa"/>
            <w:vAlign w:val="center"/>
          </w:tcPr>
          <w:p w14:paraId="5D1E5F9C" w14:textId="12DC535F"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13</w:t>
            </w:r>
          </w:p>
        </w:tc>
        <w:tc>
          <w:tcPr>
            <w:tcW w:w="1391" w:type="dxa"/>
            <w:vAlign w:val="center"/>
          </w:tcPr>
          <w:p w14:paraId="7146D4F6" w14:textId="2977174A"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Uttar Pradesh</w:t>
            </w:r>
          </w:p>
        </w:tc>
        <w:tc>
          <w:tcPr>
            <w:tcW w:w="978" w:type="dxa"/>
            <w:vAlign w:val="center"/>
          </w:tcPr>
          <w:p w14:paraId="4564D3C8" w14:textId="58C5391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153440.64</w:t>
            </w:r>
          </w:p>
        </w:tc>
        <w:tc>
          <w:tcPr>
            <w:tcW w:w="976" w:type="dxa"/>
            <w:vAlign w:val="center"/>
          </w:tcPr>
          <w:p w14:paraId="481D8795" w14:textId="212B0A1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165156.16</w:t>
            </w:r>
          </w:p>
        </w:tc>
        <w:tc>
          <w:tcPr>
            <w:tcW w:w="1073" w:type="dxa"/>
            <w:vAlign w:val="center"/>
          </w:tcPr>
          <w:p w14:paraId="2FE7367F" w14:textId="0B2E975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177802.83</w:t>
            </w:r>
          </w:p>
        </w:tc>
        <w:tc>
          <w:tcPr>
            <w:tcW w:w="1073" w:type="dxa"/>
            <w:vAlign w:val="center"/>
          </w:tcPr>
          <w:p w14:paraId="54227808" w14:textId="15713BB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191457.64</w:t>
            </w:r>
          </w:p>
        </w:tc>
        <w:tc>
          <w:tcPr>
            <w:tcW w:w="979" w:type="dxa"/>
            <w:vAlign w:val="center"/>
          </w:tcPr>
          <w:p w14:paraId="4963B933" w14:textId="340D14D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206204.21</w:t>
            </w:r>
          </w:p>
        </w:tc>
        <w:tc>
          <w:tcPr>
            <w:tcW w:w="979" w:type="dxa"/>
            <w:vAlign w:val="center"/>
          </w:tcPr>
          <w:p w14:paraId="11C4C1C1" w14:textId="74E5D79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222133.39</w:t>
            </w:r>
          </w:p>
        </w:tc>
        <w:tc>
          <w:tcPr>
            <w:tcW w:w="1056" w:type="dxa"/>
            <w:vAlign w:val="center"/>
          </w:tcPr>
          <w:p w14:paraId="4449D5FD" w14:textId="308BD6D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962754.23</w:t>
            </w:r>
          </w:p>
        </w:tc>
      </w:tr>
      <w:tr w:rsidR="009775CB" w:rsidRPr="0078036E" w14:paraId="1DCFFA2B" w14:textId="77777777" w:rsidTr="0049031D">
        <w:trPr>
          <w:trHeight w:val="20"/>
          <w:jc w:val="center"/>
        </w:trPr>
        <w:tc>
          <w:tcPr>
            <w:tcW w:w="421" w:type="dxa"/>
            <w:vAlign w:val="center"/>
          </w:tcPr>
          <w:p w14:paraId="6A55760C" w14:textId="4EBCF8AB"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14</w:t>
            </w:r>
          </w:p>
        </w:tc>
        <w:tc>
          <w:tcPr>
            <w:tcW w:w="1391" w:type="dxa"/>
            <w:vAlign w:val="center"/>
          </w:tcPr>
          <w:p w14:paraId="6B9E8C97" w14:textId="429CA90A"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West Bengal</w:t>
            </w:r>
          </w:p>
        </w:tc>
        <w:tc>
          <w:tcPr>
            <w:tcW w:w="978" w:type="dxa"/>
            <w:vAlign w:val="center"/>
          </w:tcPr>
          <w:p w14:paraId="3C845BB7" w14:textId="0F0DB43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127450.33</w:t>
            </w:r>
          </w:p>
        </w:tc>
        <w:tc>
          <w:tcPr>
            <w:tcW w:w="976" w:type="dxa"/>
            <w:vAlign w:val="center"/>
          </w:tcPr>
          <w:p w14:paraId="3CBF53D2" w14:textId="1BC72B5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134800.36</w:t>
            </w:r>
          </w:p>
        </w:tc>
        <w:tc>
          <w:tcPr>
            <w:tcW w:w="1073" w:type="dxa"/>
            <w:vAlign w:val="center"/>
          </w:tcPr>
          <w:p w14:paraId="12FF7F0D" w14:textId="42D6C3D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142821.26</w:t>
            </w:r>
          </w:p>
        </w:tc>
        <w:tc>
          <w:tcPr>
            <w:tcW w:w="1073" w:type="dxa"/>
            <w:vAlign w:val="center"/>
          </w:tcPr>
          <w:p w14:paraId="6EB9CE71" w14:textId="4424902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151568.89</w:t>
            </w:r>
          </w:p>
        </w:tc>
        <w:tc>
          <w:tcPr>
            <w:tcW w:w="979" w:type="dxa"/>
            <w:vAlign w:val="center"/>
          </w:tcPr>
          <w:p w14:paraId="6931B225" w14:textId="49BC3CE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161104.88</w:t>
            </w:r>
          </w:p>
        </w:tc>
        <w:tc>
          <w:tcPr>
            <w:tcW w:w="979" w:type="dxa"/>
            <w:vAlign w:val="center"/>
          </w:tcPr>
          <w:p w14:paraId="328C2144" w14:textId="557A58D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171497.10</w:t>
            </w:r>
          </w:p>
        </w:tc>
        <w:tc>
          <w:tcPr>
            <w:tcW w:w="1056" w:type="dxa"/>
            <w:vAlign w:val="center"/>
          </w:tcPr>
          <w:p w14:paraId="44E4EFCA" w14:textId="51AF1CE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761792.48</w:t>
            </w:r>
          </w:p>
        </w:tc>
      </w:tr>
      <w:tr w:rsidR="009775CB" w:rsidRPr="0078036E" w14:paraId="0F4A37C6" w14:textId="77777777" w:rsidTr="0049031D">
        <w:trPr>
          <w:trHeight w:val="20"/>
          <w:jc w:val="center"/>
        </w:trPr>
        <w:tc>
          <w:tcPr>
            <w:tcW w:w="421" w:type="dxa"/>
            <w:vAlign w:val="center"/>
          </w:tcPr>
          <w:p w14:paraId="274E0BA6" w14:textId="2D4A62F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b/>
                <w:bCs/>
                <w:sz w:val="16"/>
                <w:szCs w:val="16"/>
              </w:rPr>
              <w:t>14</w:t>
            </w:r>
          </w:p>
        </w:tc>
        <w:tc>
          <w:tcPr>
            <w:tcW w:w="1391" w:type="dxa"/>
            <w:vAlign w:val="center"/>
          </w:tcPr>
          <w:p w14:paraId="7821B698" w14:textId="19C2CAB6"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b/>
                <w:bCs/>
                <w:sz w:val="16"/>
                <w:szCs w:val="16"/>
              </w:rPr>
              <w:t>Major States</w:t>
            </w:r>
          </w:p>
        </w:tc>
        <w:tc>
          <w:tcPr>
            <w:tcW w:w="978" w:type="dxa"/>
            <w:vAlign w:val="center"/>
          </w:tcPr>
          <w:p w14:paraId="4066D683" w14:textId="60E7781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1287657.86</w:t>
            </w:r>
          </w:p>
        </w:tc>
        <w:tc>
          <w:tcPr>
            <w:tcW w:w="976" w:type="dxa"/>
            <w:vAlign w:val="center"/>
          </w:tcPr>
          <w:p w14:paraId="44402BA4" w14:textId="2AF5F6C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1376538.48</w:t>
            </w:r>
          </w:p>
        </w:tc>
        <w:tc>
          <w:tcPr>
            <w:tcW w:w="1073" w:type="dxa"/>
            <w:vAlign w:val="center"/>
          </w:tcPr>
          <w:p w14:paraId="6CD71A6D" w14:textId="3907DDA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1472350.62</w:t>
            </w:r>
          </w:p>
        </w:tc>
        <w:tc>
          <w:tcPr>
            <w:tcW w:w="1073" w:type="dxa"/>
            <w:vAlign w:val="center"/>
          </w:tcPr>
          <w:p w14:paraId="131DBE5D" w14:textId="7DCFD29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1575660.37</w:t>
            </w:r>
          </w:p>
        </w:tc>
        <w:tc>
          <w:tcPr>
            <w:tcW w:w="979" w:type="dxa"/>
            <w:vAlign w:val="center"/>
          </w:tcPr>
          <w:p w14:paraId="771CA583" w14:textId="28CFEE0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1687083.49</w:t>
            </w:r>
          </w:p>
        </w:tc>
        <w:tc>
          <w:tcPr>
            <w:tcW w:w="979" w:type="dxa"/>
            <w:vAlign w:val="center"/>
          </w:tcPr>
          <w:p w14:paraId="2106877B" w14:textId="4BEAB13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1807289.98</w:t>
            </w:r>
          </w:p>
        </w:tc>
        <w:tc>
          <w:tcPr>
            <w:tcW w:w="1056" w:type="dxa"/>
            <w:vAlign w:val="center"/>
          </w:tcPr>
          <w:p w14:paraId="12883AF3" w14:textId="059E94A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7918922.93</w:t>
            </w:r>
          </w:p>
        </w:tc>
      </w:tr>
      <w:tr w:rsidR="009775CB" w:rsidRPr="0078036E" w14:paraId="119D467E" w14:textId="77777777" w:rsidTr="00A7449E">
        <w:trPr>
          <w:trHeight w:val="20"/>
          <w:jc w:val="center"/>
        </w:trPr>
        <w:tc>
          <w:tcPr>
            <w:tcW w:w="8926" w:type="dxa"/>
            <w:gridSpan w:val="9"/>
            <w:vAlign w:val="center"/>
          </w:tcPr>
          <w:p w14:paraId="5DF4C102" w14:textId="643376EC"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 xml:space="preserve">Note: Inclusive of expenditure on "Art, Scientific Services, </w:t>
            </w:r>
            <w:proofErr w:type="spellStart"/>
            <w:r w:rsidRPr="009775CB">
              <w:rPr>
                <w:rFonts w:ascii="Times New Roman" w:hAnsi="Times New Roman" w:cs="Times New Roman"/>
                <w:sz w:val="16"/>
                <w:szCs w:val="16"/>
              </w:rPr>
              <w:t>e.t.c</w:t>
            </w:r>
            <w:proofErr w:type="spellEnd"/>
            <w:r w:rsidRPr="009775CB">
              <w:rPr>
                <w:rFonts w:ascii="Times New Roman" w:hAnsi="Times New Roman" w:cs="Times New Roman"/>
                <w:sz w:val="16"/>
                <w:szCs w:val="16"/>
              </w:rPr>
              <w:t xml:space="preserve">.", "Urban Development" and "Labour </w:t>
            </w:r>
            <w:proofErr w:type="gramStart"/>
            <w:r w:rsidRPr="009775CB">
              <w:rPr>
                <w:rFonts w:ascii="Times New Roman" w:hAnsi="Times New Roman" w:cs="Times New Roman"/>
                <w:sz w:val="16"/>
                <w:szCs w:val="16"/>
              </w:rPr>
              <w:t>And</w:t>
            </w:r>
            <w:proofErr w:type="gramEnd"/>
            <w:r w:rsidRPr="009775CB">
              <w:rPr>
                <w:rFonts w:ascii="Times New Roman" w:hAnsi="Times New Roman" w:cs="Times New Roman"/>
                <w:sz w:val="16"/>
                <w:szCs w:val="16"/>
              </w:rPr>
              <w:t xml:space="preserve"> Employment" reckoned at actuals.</w:t>
            </w:r>
          </w:p>
        </w:tc>
      </w:tr>
      <w:tr w:rsidR="009775CB" w:rsidRPr="0078036E" w14:paraId="2DEDE9F4" w14:textId="77777777" w:rsidTr="00A37C05">
        <w:trPr>
          <w:trHeight w:val="20"/>
          <w:jc w:val="center"/>
        </w:trPr>
        <w:tc>
          <w:tcPr>
            <w:tcW w:w="8926" w:type="dxa"/>
            <w:gridSpan w:val="9"/>
            <w:vAlign w:val="center"/>
          </w:tcPr>
          <w:p w14:paraId="11380A40" w14:textId="47BACC11"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20"/>
                <w:szCs w:val="20"/>
              </w:rPr>
              <w:t>Expenditure Category: "Agriculture, Food, Cooperation, Community Development, etc."</w:t>
            </w:r>
          </w:p>
        </w:tc>
      </w:tr>
      <w:tr w:rsidR="009775CB" w:rsidRPr="0078036E" w14:paraId="092D13C0" w14:textId="77777777" w:rsidTr="0049031D">
        <w:trPr>
          <w:trHeight w:val="20"/>
          <w:jc w:val="center"/>
        </w:trPr>
        <w:tc>
          <w:tcPr>
            <w:tcW w:w="421" w:type="dxa"/>
            <w:vAlign w:val="center"/>
          </w:tcPr>
          <w:p w14:paraId="75BE99B5" w14:textId="67D530F1"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b/>
                <w:bCs/>
                <w:sz w:val="16"/>
                <w:szCs w:val="16"/>
              </w:rPr>
              <w:t>No.</w:t>
            </w:r>
          </w:p>
        </w:tc>
        <w:tc>
          <w:tcPr>
            <w:tcW w:w="1391" w:type="dxa"/>
            <w:vAlign w:val="center"/>
          </w:tcPr>
          <w:p w14:paraId="2C1BB7CE" w14:textId="78C36AC2"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b/>
                <w:bCs/>
                <w:sz w:val="16"/>
                <w:szCs w:val="16"/>
              </w:rPr>
              <w:t>State</w:t>
            </w:r>
          </w:p>
        </w:tc>
        <w:tc>
          <w:tcPr>
            <w:tcW w:w="978" w:type="dxa"/>
            <w:vAlign w:val="center"/>
          </w:tcPr>
          <w:p w14:paraId="3E6727D6" w14:textId="7BE3932D"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1989-90</w:t>
            </w:r>
          </w:p>
        </w:tc>
        <w:tc>
          <w:tcPr>
            <w:tcW w:w="976" w:type="dxa"/>
            <w:vAlign w:val="center"/>
          </w:tcPr>
          <w:p w14:paraId="167019F5" w14:textId="64922B8B"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1990-91</w:t>
            </w:r>
          </w:p>
        </w:tc>
        <w:tc>
          <w:tcPr>
            <w:tcW w:w="1073" w:type="dxa"/>
            <w:vAlign w:val="center"/>
          </w:tcPr>
          <w:p w14:paraId="65A07DFB" w14:textId="569D599F"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1991-92</w:t>
            </w:r>
          </w:p>
        </w:tc>
        <w:tc>
          <w:tcPr>
            <w:tcW w:w="1073" w:type="dxa"/>
            <w:vAlign w:val="center"/>
          </w:tcPr>
          <w:p w14:paraId="590DE5F1" w14:textId="6D8418B4"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1992-93</w:t>
            </w:r>
          </w:p>
        </w:tc>
        <w:tc>
          <w:tcPr>
            <w:tcW w:w="979" w:type="dxa"/>
            <w:vAlign w:val="center"/>
          </w:tcPr>
          <w:p w14:paraId="053B2DA4" w14:textId="7FB49976"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1993-94</w:t>
            </w:r>
          </w:p>
        </w:tc>
        <w:tc>
          <w:tcPr>
            <w:tcW w:w="979" w:type="dxa"/>
            <w:vAlign w:val="center"/>
          </w:tcPr>
          <w:p w14:paraId="4A528CF2" w14:textId="4E704F9C"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1994-95</w:t>
            </w:r>
          </w:p>
        </w:tc>
        <w:tc>
          <w:tcPr>
            <w:tcW w:w="1056" w:type="dxa"/>
            <w:vAlign w:val="center"/>
          </w:tcPr>
          <w:p w14:paraId="5BF60BBC" w14:textId="45AAE45F"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b/>
                <w:bCs/>
                <w:sz w:val="16"/>
                <w:szCs w:val="16"/>
              </w:rPr>
              <w:t>1990-91 to 1994-95</w:t>
            </w:r>
          </w:p>
        </w:tc>
      </w:tr>
      <w:tr w:rsidR="009775CB" w:rsidRPr="0078036E" w14:paraId="265B0347" w14:textId="77777777" w:rsidTr="0049031D">
        <w:trPr>
          <w:trHeight w:val="20"/>
          <w:jc w:val="center"/>
        </w:trPr>
        <w:tc>
          <w:tcPr>
            <w:tcW w:w="421" w:type="dxa"/>
            <w:vAlign w:val="center"/>
          </w:tcPr>
          <w:p w14:paraId="21AB2421" w14:textId="0C998CEB"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sz w:val="16"/>
                <w:szCs w:val="16"/>
              </w:rPr>
              <w:t>1</w:t>
            </w:r>
          </w:p>
        </w:tc>
        <w:tc>
          <w:tcPr>
            <w:tcW w:w="1391" w:type="dxa"/>
            <w:vAlign w:val="center"/>
          </w:tcPr>
          <w:p w14:paraId="3D95C96D" w14:textId="79BFC9D7" w:rsidR="009775CB" w:rsidRPr="009775CB" w:rsidRDefault="009775CB" w:rsidP="009775CB">
            <w:pPr>
              <w:rPr>
                <w:rFonts w:ascii="Times New Roman" w:hAnsi="Times New Roman" w:cs="Times New Roman"/>
                <w:b/>
                <w:bCs/>
                <w:sz w:val="16"/>
                <w:szCs w:val="16"/>
              </w:rPr>
            </w:pPr>
            <w:r w:rsidRPr="009775CB">
              <w:rPr>
                <w:rFonts w:ascii="Times New Roman" w:hAnsi="Times New Roman" w:cs="Times New Roman"/>
                <w:sz w:val="16"/>
                <w:szCs w:val="16"/>
              </w:rPr>
              <w:t>Andhra Pradesh</w:t>
            </w:r>
          </w:p>
        </w:tc>
        <w:tc>
          <w:tcPr>
            <w:tcW w:w="978" w:type="dxa"/>
            <w:vAlign w:val="center"/>
          </w:tcPr>
          <w:p w14:paraId="365D205B" w14:textId="4DAF3F55"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18590.10</w:t>
            </w:r>
          </w:p>
        </w:tc>
        <w:tc>
          <w:tcPr>
            <w:tcW w:w="976" w:type="dxa"/>
            <w:vAlign w:val="center"/>
          </w:tcPr>
          <w:p w14:paraId="2DAF2105" w14:textId="571D6E07"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19776.41</w:t>
            </w:r>
          </w:p>
        </w:tc>
        <w:tc>
          <w:tcPr>
            <w:tcW w:w="1073" w:type="dxa"/>
            <w:vAlign w:val="center"/>
          </w:tcPr>
          <w:p w14:paraId="32928E1D" w14:textId="1F12EDB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21038.43</w:t>
            </w:r>
          </w:p>
        </w:tc>
        <w:tc>
          <w:tcPr>
            <w:tcW w:w="1073" w:type="dxa"/>
            <w:vAlign w:val="center"/>
          </w:tcPr>
          <w:p w14:paraId="3B62CB72" w14:textId="34356F66"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22380.98</w:t>
            </w:r>
          </w:p>
        </w:tc>
        <w:tc>
          <w:tcPr>
            <w:tcW w:w="979" w:type="dxa"/>
            <w:vAlign w:val="center"/>
          </w:tcPr>
          <w:p w14:paraId="5823B73E" w14:textId="00FF7C9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23809.20</w:t>
            </w:r>
          </w:p>
        </w:tc>
        <w:tc>
          <w:tcPr>
            <w:tcW w:w="979" w:type="dxa"/>
            <w:vAlign w:val="center"/>
          </w:tcPr>
          <w:p w14:paraId="6D39B5C3" w14:textId="645A785A"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25328.57</w:t>
            </w:r>
          </w:p>
        </w:tc>
        <w:tc>
          <w:tcPr>
            <w:tcW w:w="1056" w:type="dxa"/>
            <w:vAlign w:val="center"/>
          </w:tcPr>
          <w:p w14:paraId="59FEFDCA" w14:textId="7DC7FEF1" w:rsidR="009775CB" w:rsidRPr="009775CB" w:rsidRDefault="009775CB" w:rsidP="009775CB">
            <w:pPr>
              <w:jc w:val="center"/>
              <w:rPr>
                <w:rFonts w:ascii="Times New Roman" w:hAnsi="Times New Roman" w:cs="Times New Roman"/>
                <w:b/>
                <w:bCs/>
                <w:sz w:val="16"/>
                <w:szCs w:val="16"/>
              </w:rPr>
            </w:pPr>
            <w:r w:rsidRPr="009775CB">
              <w:rPr>
                <w:rFonts w:ascii="Times New Roman" w:hAnsi="Times New Roman" w:cs="Times New Roman"/>
                <w:sz w:val="16"/>
                <w:szCs w:val="16"/>
              </w:rPr>
              <w:t>112333.59</w:t>
            </w:r>
          </w:p>
        </w:tc>
      </w:tr>
      <w:tr w:rsidR="009775CB" w:rsidRPr="0078036E" w14:paraId="1F29CCD5" w14:textId="77777777" w:rsidTr="0049031D">
        <w:trPr>
          <w:trHeight w:val="20"/>
          <w:jc w:val="center"/>
        </w:trPr>
        <w:tc>
          <w:tcPr>
            <w:tcW w:w="421" w:type="dxa"/>
            <w:vAlign w:val="center"/>
          </w:tcPr>
          <w:p w14:paraId="3E81BD5F" w14:textId="21A3C32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2</w:t>
            </w:r>
          </w:p>
        </w:tc>
        <w:tc>
          <w:tcPr>
            <w:tcW w:w="1391" w:type="dxa"/>
            <w:vAlign w:val="center"/>
          </w:tcPr>
          <w:p w14:paraId="124ABD1B" w14:textId="228346E1"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Bihar</w:t>
            </w:r>
          </w:p>
        </w:tc>
        <w:tc>
          <w:tcPr>
            <w:tcW w:w="978" w:type="dxa"/>
            <w:vAlign w:val="center"/>
          </w:tcPr>
          <w:p w14:paraId="5845753F" w14:textId="2142DBB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15988.70</w:t>
            </w:r>
          </w:p>
        </w:tc>
        <w:tc>
          <w:tcPr>
            <w:tcW w:w="976" w:type="dxa"/>
            <w:vAlign w:val="center"/>
          </w:tcPr>
          <w:p w14:paraId="7BAFD3D1" w14:textId="1CF2C06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16473.04</w:t>
            </w:r>
          </w:p>
        </w:tc>
        <w:tc>
          <w:tcPr>
            <w:tcW w:w="1073" w:type="dxa"/>
            <w:vAlign w:val="center"/>
          </w:tcPr>
          <w:p w14:paraId="235DE247" w14:textId="27CB5A7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16972.05</w:t>
            </w:r>
          </w:p>
        </w:tc>
        <w:tc>
          <w:tcPr>
            <w:tcW w:w="1073" w:type="dxa"/>
            <w:vAlign w:val="center"/>
          </w:tcPr>
          <w:p w14:paraId="63BE8041" w14:textId="3F59C85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17486.17</w:t>
            </w:r>
          </w:p>
        </w:tc>
        <w:tc>
          <w:tcPr>
            <w:tcW w:w="979" w:type="dxa"/>
            <w:vAlign w:val="center"/>
          </w:tcPr>
          <w:p w14:paraId="1E4B1BE0" w14:textId="726888C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18015.87</w:t>
            </w:r>
          </w:p>
        </w:tc>
        <w:tc>
          <w:tcPr>
            <w:tcW w:w="979" w:type="dxa"/>
            <w:vAlign w:val="center"/>
          </w:tcPr>
          <w:p w14:paraId="4279272F" w14:textId="2F5410D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18561.62</w:t>
            </w:r>
          </w:p>
        </w:tc>
        <w:tc>
          <w:tcPr>
            <w:tcW w:w="1056" w:type="dxa"/>
            <w:vAlign w:val="center"/>
          </w:tcPr>
          <w:p w14:paraId="3CE10280" w14:textId="4716B3C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87508.76</w:t>
            </w:r>
          </w:p>
        </w:tc>
      </w:tr>
      <w:tr w:rsidR="009775CB" w:rsidRPr="0078036E" w14:paraId="0A6CB441" w14:textId="77777777" w:rsidTr="0049031D">
        <w:trPr>
          <w:trHeight w:val="20"/>
          <w:jc w:val="center"/>
        </w:trPr>
        <w:tc>
          <w:tcPr>
            <w:tcW w:w="421" w:type="dxa"/>
            <w:vAlign w:val="center"/>
          </w:tcPr>
          <w:p w14:paraId="0FA08150" w14:textId="074BCB81"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3</w:t>
            </w:r>
          </w:p>
        </w:tc>
        <w:tc>
          <w:tcPr>
            <w:tcW w:w="1391" w:type="dxa"/>
            <w:vAlign w:val="center"/>
          </w:tcPr>
          <w:p w14:paraId="1B8DA5E4" w14:textId="01CAB596"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Gujarat</w:t>
            </w:r>
          </w:p>
        </w:tc>
        <w:tc>
          <w:tcPr>
            <w:tcW w:w="978" w:type="dxa"/>
            <w:vAlign w:val="center"/>
          </w:tcPr>
          <w:p w14:paraId="2421EEC7" w14:textId="58A4E4E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15289.80</w:t>
            </w:r>
          </w:p>
        </w:tc>
        <w:tc>
          <w:tcPr>
            <w:tcW w:w="976" w:type="dxa"/>
            <w:vAlign w:val="center"/>
          </w:tcPr>
          <w:p w14:paraId="44D1FEB1" w14:textId="48EF431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15792.01</w:t>
            </w:r>
          </w:p>
        </w:tc>
        <w:tc>
          <w:tcPr>
            <w:tcW w:w="1073" w:type="dxa"/>
            <w:vAlign w:val="center"/>
          </w:tcPr>
          <w:p w14:paraId="4724A132" w14:textId="1DEDEF4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16310.72</w:t>
            </w:r>
          </w:p>
        </w:tc>
        <w:tc>
          <w:tcPr>
            <w:tcW w:w="1073" w:type="dxa"/>
            <w:vAlign w:val="center"/>
          </w:tcPr>
          <w:p w14:paraId="6348CD49" w14:textId="4C00239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16846.46</w:t>
            </w:r>
          </w:p>
        </w:tc>
        <w:tc>
          <w:tcPr>
            <w:tcW w:w="979" w:type="dxa"/>
            <w:vAlign w:val="center"/>
          </w:tcPr>
          <w:p w14:paraId="7AF8465A" w14:textId="3C61702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17399.80</w:t>
            </w:r>
          </w:p>
        </w:tc>
        <w:tc>
          <w:tcPr>
            <w:tcW w:w="979" w:type="dxa"/>
            <w:vAlign w:val="center"/>
          </w:tcPr>
          <w:p w14:paraId="21AFECEC" w14:textId="0118796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17971.32</w:t>
            </w:r>
          </w:p>
        </w:tc>
        <w:tc>
          <w:tcPr>
            <w:tcW w:w="1056" w:type="dxa"/>
            <w:vAlign w:val="center"/>
          </w:tcPr>
          <w:p w14:paraId="7520E7E2" w14:textId="22F5900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84320.30</w:t>
            </w:r>
          </w:p>
        </w:tc>
      </w:tr>
      <w:tr w:rsidR="009775CB" w:rsidRPr="0078036E" w14:paraId="00A46EBF" w14:textId="77777777" w:rsidTr="0049031D">
        <w:trPr>
          <w:trHeight w:val="20"/>
          <w:jc w:val="center"/>
        </w:trPr>
        <w:tc>
          <w:tcPr>
            <w:tcW w:w="421" w:type="dxa"/>
            <w:vAlign w:val="center"/>
          </w:tcPr>
          <w:p w14:paraId="234CE5EB" w14:textId="3F394AD0"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4</w:t>
            </w:r>
          </w:p>
        </w:tc>
        <w:tc>
          <w:tcPr>
            <w:tcW w:w="1391" w:type="dxa"/>
            <w:vAlign w:val="center"/>
          </w:tcPr>
          <w:p w14:paraId="581D1AB9" w14:textId="13F7D499"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Haryana</w:t>
            </w:r>
          </w:p>
        </w:tc>
        <w:tc>
          <w:tcPr>
            <w:tcW w:w="978" w:type="dxa"/>
            <w:vAlign w:val="center"/>
          </w:tcPr>
          <w:p w14:paraId="6F970771" w14:textId="25A3B80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4632.09</w:t>
            </w:r>
          </w:p>
        </w:tc>
        <w:tc>
          <w:tcPr>
            <w:tcW w:w="976" w:type="dxa"/>
            <w:vAlign w:val="center"/>
          </w:tcPr>
          <w:p w14:paraId="10056AE5" w14:textId="14D7416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4922.32</w:t>
            </w:r>
          </w:p>
        </w:tc>
        <w:tc>
          <w:tcPr>
            <w:tcW w:w="1073" w:type="dxa"/>
            <w:vAlign w:val="center"/>
          </w:tcPr>
          <w:p w14:paraId="3AE29BF3" w14:textId="20F4DEF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5230.73</w:t>
            </w:r>
          </w:p>
        </w:tc>
        <w:tc>
          <w:tcPr>
            <w:tcW w:w="1073" w:type="dxa"/>
            <w:vAlign w:val="center"/>
          </w:tcPr>
          <w:p w14:paraId="22857B11" w14:textId="6D1B703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5558.46</w:t>
            </w:r>
          </w:p>
        </w:tc>
        <w:tc>
          <w:tcPr>
            <w:tcW w:w="979" w:type="dxa"/>
            <w:vAlign w:val="center"/>
          </w:tcPr>
          <w:p w14:paraId="75CF0115" w14:textId="50ABF14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5906.73</w:t>
            </w:r>
          </w:p>
        </w:tc>
        <w:tc>
          <w:tcPr>
            <w:tcW w:w="979" w:type="dxa"/>
            <w:vAlign w:val="center"/>
          </w:tcPr>
          <w:p w14:paraId="21696E87" w14:textId="6F54E73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6276.82</w:t>
            </w:r>
          </w:p>
        </w:tc>
        <w:tc>
          <w:tcPr>
            <w:tcW w:w="1056" w:type="dxa"/>
            <w:vAlign w:val="center"/>
          </w:tcPr>
          <w:p w14:paraId="64C1FA19" w14:textId="27373DC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27895.06</w:t>
            </w:r>
          </w:p>
        </w:tc>
      </w:tr>
      <w:tr w:rsidR="009775CB" w:rsidRPr="0078036E" w14:paraId="651F20E6" w14:textId="77777777" w:rsidTr="0049031D">
        <w:trPr>
          <w:trHeight w:val="20"/>
          <w:jc w:val="center"/>
        </w:trPr>
        <w:tc>
          <w:tcPr>
            <w:tcW w:w="421" w:type="dxa"/>
            <w:vAlign w:val="center"/>
          </w:tcPr>
          <w:p w14:paraId="3D841230" w14:textId="763E161B"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5</w:t>
            </w:r>
          </w:p>
        </w:tc>
        <w:tc>
          <w:tcPr>
            <w:tcW w:w="1391" w:type="dxa"/>
            <w:vAlign w:val="center"/>
          </w:tcPr>
          <w:p w14:paraId="0EBA8492" w14:textId="46E301FE"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Karnataka</w:t>
            </w:r>
          </w:p>
        </w:tc>
        <w:tc>
          <w:tcPr>
            <w:tcW w:w="978" w:type="dxa"/>
            <w:vAlign w:val="center"/>
          </w:tcPr>
          <w:p w14:paraId="247C934E" w14:textId="0DD0549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13353.55</w:t>
            </w:r>
          </w:p>
        </w:tc>
        <w:tc>
          <w:tcPr>
            <w:tcW w:w="976" w:type="dxa"/>
            <w:vAlign w:val="center"/>
          </w:tcPr>
          <w:p w14:paraId="5A2BEF00" w14:textId="0C4A5DE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14346.70</w:t>
            </w:r>
          </w:p>
        </w:tc>
        <w:tc>
          <w:tcPr>
            <w:tcW w:w="1073" w:type="dxa"/>
            <w:vAlign w:val="center"/>
          </w:tcPr>
          <w:p w14:paraId="627CC0C5" w14:textId="1C023FF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15413.71</w:t>
            </w:r>
          </w:p>
        </w:tc>
        <w:tc>
          <w:tcPr>
            <w:tcW w:w="1073" w:type="dxa"/>
            <w:vAlign w:val="center"/>
          </w:tcPr>
          <w:p w14:paraId="66FC2360" w14:textId="1D5CABA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16560.07</w:t>
            </w:r>
          </w:p>
        </w:tc>
        <w:tc>
          <w:tcPr>
            <w:tcW w:w="979" w:type="dxa"/>
            <w:vAlign w:val="center"/>
          </w:tcPr>
          <w:p w14:paraId="71E60399" w14:textId="073276C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17791.70</w:t>
            </w:r>
          </w:p>
        </w:tc>
        <w:tc>
          <w:tcPr>
            <w:tcW w:w="979" w:type="dxa"/>
            <w:vAlign w:val="center"/>
          </w:tcPr>
          <w:p w14:paraId="2024E9BD" w14:textId="3604220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19114.92</w:t>
            </w:r>
          </w:p>
        </w:tc>
        <w:tc>
          <w:tcPr>
            <w:tcW w:w="1056" w:type="dxa"/>
            <w:vAlign w:val="center"/>
          </w:tcPr>
          <w:p w14:paraId="4327B387" w14:textId="5799A5E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83227.10</w:t>
            </w:r>
          </w:p>
        </w:tc>
      </w:tr>
      <w:tr w:rsidR="009775CB" w:rsidRPr="0078036E" w14:paraId="2B4FA8F9" w14:textId="77777777" w:rsidTr="0049031D">
        <w:trPr>
          <w:trHeight w:val="20"/>
          <w:jc w:val="center"/>
        </w:trPr>
        <w:tc>
          <w:tcPr>
            <w:tcW w:w="421" w:type="dxa"/>
            <w:vAlign w:val="center"/>
          </w:tcPr>
          <w:p w14:paraId="3EA0AE3D" w14:textId="2A1220B1"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6</w:t>
            </w:r>
          </w:p>
        </w:tc>
        <w:tc>
          <w:tcPr>
            <w:tcW w:w="1391" w:type="dxa"/>
            <w:vAlign w:val="center"/>
          </w:tcPr>
          <w:p w14:paraId="35493533" w14:textId="147CE92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Kerala</w:t>
            </w:r>
          </w:p>
        </w:tc>
        <w:tc>
          <w:tcPr>
            <w:tcW w:w="978" w:type="dxa"/>
            <w:vAlign w:val="center"/>
          </w:tcPr>
          <w:p w14:paraId="548AB39A" w14:textId="170A2E6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8207.38</w:t>
            </w:r>
          </w:p>
        </w:tc>
        <w:tc>
          <w:tcPr>
            <w:tcW w:w="976" w:type="dxa"/>
            <w:vAlign w:val="center"/>
          </w:tcPr>
          <w:p w14:paraId="6818FF1F" w14:textId="7CA275A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8657.10</w:t>
            </w:r>
          </w:p>
        </w:tc>
        <w:tc>
          <w:tcPr>
            <w:tcW w:w="1073" w:type="dxa"/>
            <w:vAlign w:val="center"/>
          </w:tcPr>
          <w:p w14:paraId="220042D9" w14:textId="7F88562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9131.46</w:t>
            </w:r>
          </w:p>
        </w:tc>
        <w:tc>
          <w:tcPr>
            <w:tcW w:w="1073" w:type="dxa"/>
            <w:vAlign w:val="center"/>
          </w:tcPr>
          <w:p w14:paraId="7F113899" w14:textId="2C5E0D88"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9631.82</w:t>
            </w:r>
          </w:p>
        </w:tc>
        <w:tc>
          <w:tcPr>
            <w:tcW w:w="979" w:type="dxa"/>
            <w:vAlign w:val="center"/>
          </w:tcPr>
          <w:p w14:paraId="52B54782" w14:textId="2F39DB8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10159.58</w:t>
            </w:r>
          </w:p>
        </w:tc>
        <w:tc>
          <w:tcPr>
            <w:tcW w:w="979" w:type="dxa"/>
            <w:vAlign w:val="center"/>
          </w:tcPr>
          <w:p w14:paraId="0F851EDF" w14:textId="59A7513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10716.27</w:t>
            </w:r>
          </w:p>
        </w:tc>
        <w:tc>
          <w:tcPr>
            <w:tcW w:w="1056" w:type="dxa"/>
            <w:vAlign w:val="center"/>
          </w:tcPr>
          <w:p w14:paraId="00FDFFEC" w14:textId="02E4556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48296.24</w:t>
            </w:r>
          </w:p>
        </w:tc>
      </w:tr>
      <w:tr w:rsidR="009775CB" w:rsidRPr="0078036E" w14:paraId="4490514A" w14:textId="77777777" w:rsidTr="0049031D">
        <w:trPr>
          <w:trHeight w:val="20"/>
          <w:jc w:val="center"/>
        </w:trPr>
        <w:tc>
          <w:tcPr>
            <w:tcW w:w="421" w:type="dxa"/>
            <w:vAlign w:val="center"/>
          </w:tcPr>
          <w:p w14:paraId="7F973E34" w14:textId="6F8B585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7</w:t>
            </w:r>
          </w:p>
        </w:tc>
        <w:tc>
          <w:tcPr>
            <w:tcW w:w="1391" w:type="dxa"/>
            <w:vAlign w:val="center"/>
          </w:tcPr>
          <w:p w14:paraId="683A5E34" w14:textId="4FC85D31"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Madhya Pradesh</w:t>
            </w:r>
          </w:p>
        </w:tc>
        <w:tc>
          <w:tcPr>
            <w:tcW w:w="978" w:type="dxa"/>
            <w:vAlign w:val="center"/>
          </w:tcPr>
          <w:p w14:paraId="223CE0E9" w14:textId="54ABF02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11889.21</w:t>
            </w:r>
          </w:p>
        </w:tc>
        <w:tc>
          <w:tcPr>
            <w:tcW w:w="976" w:type="dxa"/>
            <w:vAlign w:val="center"/>
          </w:tcPr>
          <w:p w14:paraId="148D1354" w14:textId="6328C95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13165.71</w:t>
            </w:r>
          </w:p>
        </w:tc>
        <w:tc>
          <w:tcPr>
            <w:tcW w:w="1073" w:type="dxa"/>
            <w:vAlign w:val="center"/>
          </w:tcPr>
          <w:p w14:paraId="032B3857" w14:textId="2EC182F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14579.27</w:t>
            </w:r>
          </w:p>
        </w:tc>
        <w:tc>
          <w:tcPr>
            <w:tcW w:w="1073" w:type="dxa"/>
            <w:vAlign w:val="center"/>
          </w:tcPr>
          <w:p w14:paraId="2C1D0546" w14:textId="50C9646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16144.59</w:t>
            </w:r>
          </w:p>
        </w:tc>
        <w:tc>
          <w:tcPr>
            <w:tcW w:w="979" w:type="dxa"/>
            <w:vAlign w:val="center"/>
          </w:tcPr>
          <w:p w14:paraId="70601397" w14:textId="591E22E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17877.98</w:t>
            </w:r>
          </w:p>
        </w:tc>
        <w:tc>
          <w:tcPr>
            <w:tcW w:w="979" w:type="dxa"/>
            <w:vAlign w:val="center"/>
          </w:tcPr>
          <w:p w14:paraId="30DC6B70" w14:textId="742ED7E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19797.48</w:t>
            </w:r>
          </w:p>
        </w:tc>
        <w:tc>
          <w:tcPr>
            <w:tcW w:w="1056" w:type="dxa"/>
            <w:vAlign w:val="center"/>
          </w:tcPr>
          <w:p w14:paraId="13126A9A" w14:textId="441EACA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81565.02</w:t>
            </w:r>
          </w:p>
        </w:tc>
      </w:tr>
      <w:tr w:rsidR="009775CB" w:rsidRPr="0078036E" w14:paraId="44E98A04" w14:textId="77777777" w:rsidTr="0049031D">
        <w:trPr>
          <w:trHeight w:val="20"/>
          <w:jc w:val="center"/>
        </w:trPr>
        <w:tc>
          <w:tcPr>
            <w:tcW w:w="421" w:type="dxa"/>
            <w:vAlign w:val="center"/>
          </w:tcPr>
          <w:p w14:paraId="6D06D6E1" w14:textId="4E60A361"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8</w:t>
            </w:r>
          </w:p>
        </w:tc>
        <w:tc>
          <w:tcPr>
            <w:tcW w:w="1391" w:type="dxa"/>
            <w:vAlign w:val="center"/>
          </w:tcPr>
          <w:p w14:paraId="3A6E56C5" w14:textId="6C68979A"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Maharashtra</w:t>
            </w:r>
          </w:p>
        </w:tc>
        <w:tc>
          <w:tcPr>
            <w:tcW w:w="978" w:type="dxa"/>
            <w:vAlign w:val="center"/>
          </w:tcPr>
          <w:p w14:paraId="3603A619" w14:textId="038CE73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19731.68</w:t>
            </w:r>
          </w:p>
        </w:tc>
        <w:tc>
          <w:tcPr>
            <w:tcW w:w="976" w:type="dxa"/>
            <w:vAlign w:val="center"/>
          </w:tcPr>
          <w:p w14:paraId="4507E174" w14:textId="4F8EA44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21730.63</w:t>
            </w:r>
          </w:p>
        </w:tc>
        <w:tc>
          <w:tcPr>
            <w:tcW w:w="1073" w:type="dxa"/>
            <w:vAlign w:val="center"/>
          </w:tcPr>
          <w:p w14:paraId="5A60E6D9" w14:textId="2E40672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23932.09</w:t>
            </w:r>
          </w:p>
        </w:tc>
        <w:tc>
          <w:tcPr>
            <w:tcW w:w="1073" w:type="dxa"/>
            <w:vAlign w:val="center"/>
          </w:tcPr>
          <w:p w14:paraId="5284E627" w14:textId="77C2CBB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26356.57</w:t>
            </w:r>
          </w:p>
        </w:tc>
        <w:tc>
          <w:tcPr>
            <w:tcW w:w="979" w:type="dxa"/>
            <w:vAlign w:val="center"/>
          </w:tcPr>
          <w:p w14:paraId="4F7E3F68" w14:textId="070EF9D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29026.67</w:t>
            </w:r>
          </w:p>
        </w:tc>
        <w:tc>
          <w:tcPr>
            <w:tcW w:w="979" w:type="dxa"/>
            <w:vAlign w:val="center"/>
          </w:tcPr>
          <w:p w14:paraId="39535F6F" w14:textId="6492669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31967.26</w:t>
            </w:r>
          </w:p>
        </w:tc>
        <w:tc>
          <w:tcPr>
            <w:tcW w:w="1056" w:type="dxa"/>
            <w:vAlign w:val="center"/>
          </w:tcPr>
          <w:p w14:paraId="4E80F951" w14:textId="5F77B53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133013.21</w:t>
            </w:r>
          </w:p>
        </w:tc>
      </w:tr>
      <w:tr w:rsidR="009775CB" w:rsidRPr="0078036E" w14:paraId="27388BD7" w14:textId="77777777" w:rsidTr="0049031D">
        <w:trPr>
          <w:trHeight w:val="20"/>
          <w:jc w:val="center"/>
        </w:trPr>
        <w:tc>
          <w:tcPr>
            <w:tcW w:w="421" w:type="dxa"/>
            <w:vAlign w:val="center"/>
          </w:tcPr>
          <w:p w14:paraId="3202634B" w14:textId="3F59733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9</w:t>
            </w:r>
          </w:p>
        </w:tc>
        <w:tc>
          <w:tcPr>
            <w:tcW w:w="1391" w:type="dxa"/>
            <w:vAlign w:val="center"/>
          </w:tcPr>
          <w:p w14:paraId="20A7FEF4" w14:textId="65A538ED"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Orissa</w:t>
            </w:r>
          </w:p>
        </w:tc>
        <w:tc>
          <w:tcPr>
            <w:tcW w:w="978" w:type="dxa"/>
            <w:vAlign w:val="center"/>
          </w:tcPr>
          <w:p w14:paraId="67EC8DC9" w14:textId="0E85CE4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9237.14</w:t>
            </w:r>
          </w:p>
        </w:tc>
        <w:tc>
          <w:tcPr>
            <w:tcW w:w="976" w:type="dxa"/>
            <w:vAlign w:val="center"/>
          </w:tcPr>
          <w:p w14:paraId="79084C3B" w14:textId="3E47BFD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9700.70</w:t>
            </w:r>
          </w:p>
        </w:tc>
        <w:tc>
          <w:tcPr>
            <w:tcW w:w="1073" w:type="dxa"/>
            <w:vAlign w:val="center"/>
          </w:tcPr>
          <w:p w14:paraId="4E616912" w14:textId="619704C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10187.51</w:t>
            </w:r>
          </w:p>
        </w:tc>
        <w:tc>
          <w:tcPr>
            <w:tcW w:w="1073" w:type="dxa"/>
            <w:vAlign w:val="center"/>
          </w:tcPr>
          <w:p w14:paraId="0A08B846" w14:textId="799F1B2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10698.76</w:t>
            </w:r>
          </w:p>
        </w:tc>
        <w:tc>
          <w:tcPr>
            <w:tcW w:w="979" w:type="dxa"/>
            <w:vAlign w:val="center"/>
          </w:tcPr>
          <w:p w14:paraId="0B921C04" w14:textId="67E2D28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11235.67</w:t>
            </w:r>
          </w:p>
        </w:tc>
        <w:tc>
          <w:tcPr>
            <w:tcW w:w="979" w:type="dxa"/>
            <w:vAlign w:val="center"/>
          </w:tcPr>
          <w:p w14:paraId="7F497CF9" w14:textId="03B494C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11799.51</w:t>
            </w:r>
          </w:p>
        </w:tc>
        <w:tc>
          <w:tcPr>
            <w:tcW w:w="1056" w:type="dxa"/>
            <w:vAlign w:val="center"/>
          </w:tcPr>
          <w:p w14:paraId="414C4D26" w14:textId="41BCBEE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53622.15</w:t>
            </w:r>
          </w:p>
        </w:tc>
      </w:tr>
      <w:tr w:rsidR="009775CB" w:rsidRPr="0078036E" w14:paraId="53877FCD" w14:textId="77777777" w:rsidTr="0049031D">
        <w:trPr>
          <w:trHeight w:val="20"/>
          <w:jc w:val="center"/>
        </w:trPr>
        <w:tc>
          <w:tcPr>
            <w:tcW w:w="421" w:type="dxa"/>
            <w:vAlign w:val="center"/>
          </w:tcPr>
          <w:p w14:paraId="08A6E247" w14:textId="103EBDDB"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10</w:t>
            </w:r>
          </w:p>
        </w:tc>
        <w:tc>
          <w:tcPr>
            <w:tcW w:w="1391" w:type="dxa"/>
            <w:vAlign w:val="center"/>
          </w:tcPr>
          <w:p w14:paraId="054376BE" w14:textId="520640FE"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Punjab</w:t>
            </w:r>
          </w:p>
        </w:tc>
        <w:tc>
          <w:tcPr>
            <w:tcW w:w="978" w:type="dxa"/>
            <w:vAlign w:val="center"/>
          </w:tcPr>
          <w:p w14:paraId="082F0C4D" w14:textId="54F8203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5226.18</w:t>
            </w:r>
          </w:p>
        </w:tc>
        <w:tc>
          <w:tcPr>
            <w:tcW w:w="976" w:type="dxa"/>
            <w:vAlign w:val="center"/>
          </w:tcPr>
          <w:p w14:paraId="0FF79F12" w14:textId="4DF8FD4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5706.14</w:t>
            </w:r>
          </w:p>
        </w:tc>
        <w:tc>
          <w:tcPr>
            <w:tcW w:w="1073" w:type="dxa"/>
            <w:vAlign w:val="center"/>
          </w:tcPr>
          <w:p w14:paraId="299E38C0" w14:textId="64196D1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6230.18</w:t>
            </w:r>
          </w:p>
        </w:tc>
        <w:tc>
          <w:tcPr>
            <w:tcW w:w="1073" w:type="dxa"/>
            <w:vAlign w:val="center"/>
          </w:tcPr>
          <w:p w14:paraId="35F3F4F8" w14:textId="3E7A5B6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6802.34</w:t>
            </w:r>
          </w:p>
        </w:tc>
        <w:tc>
          <w:tcPr>
            <w:tcW w:w="979" w:type="dxa"/>
            <w:vAlign w:val="center"/>
          </w:tcPr>
          <w:p w14:paraId="6B09920D" w14:textId="77114EA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7427.05</w:t>
            </w:r>
          </w:p>
        </w:tc>
        <w:tc>
          <w:tcPr>
            <w:tcW w:w="979" w:type="dxa"/>
            <w:vAlign w:val="center"/>
          </w:tcPr>
          <w:p w14:paraId="6934F342" w14:textId="6E03BE3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8109.13</w:t>
            </w:r>
          </w:p>
        </w:tc>
        <w:tc>
          <w:tcPr>
            <w:tcW w:w="1056" w:type="dxa"/>
            <w:vAlign w:val="center"/>
          </w:tcPr>
          <w:p w14:paraId="2F65129B" w14:textId="20A4A0D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34274.84</w:t>
            </w:r>
          </w:p>
        </w:tc>
      </w:tr>
      <w:tr w:rsidR="009775CB" w:rsidRPr="0078036E" w14:paraId="34DDCAF1" w14:textId="77777777" w:rsidTr="0049031D">
        <w:trPr>
          <w:trHeight w:val="20"/>
          <w:jc w:val="center"/>
        </w:trPr>
        <w:tc>
          <w:tcPr>
            <w:tcW w:w="421" w:type="dxa"/>
            <w:vAlign w:val="center"/>
          </w:tcPr>
          <w:p w14:paraId="07A6BA34" w14:textId="3BBF475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11</w:t>
            </w:r>
          </w:p>
        </w:tc>
        <w:tc>
          <w:tcPr>
            <w:tcW w:w="1391" w:type="dxa"/>
            <w:vAlign w:val="center"/>
          </w:tcPr>
          <w:p w14:paraId="22421C82" w14:textId="3420622B"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Rajasthan</w:t>
            </w:r>
          </w:p>
        </w:tc>
        <w:tc>
          <w:tcPr>
            <w:tcW w:w="978" w:type="dxa"/>
            <w:vAlign w:val="center"/>
          </w:tcPr>
          <w:p w14:paraId="5D4C62DE" w14:textId="5962E0B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8697.12</w:t>
            </w:r>
          </w:p>
        </w:tc>
        <w:tc>
          <w:tcPr>
            <w:tcW w:w="976" w:type="dxa"/>
            <w:vAlign w:val="center"/>
          </w:tcPr>
          <w:p w14:paraId="5679CEF7" w14:textId="415499B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9698.04</w:t>
            </w:r>
          </w:p>
        </w:tc>
        <w:tc>
          <w:tcPr>
            <w:tcW w:w="1073" w:type="dxa"/>
            <w:vAlign w:val="center"/>
          </w:tcPr>
          <w:p w14:paraId="1A05BE49" w14:textId="6598C56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10814.16</w:t>
            </w:r>
          </w:p>
        </w:tc>
        <w:tc>
          <w:tcPr>
            <w:tcW w:w="1073" w:type="dxa"/>
            <w:vAlign w:val="center"/>
          </w:tcPr>
          <w:p w14:paraId="6961C737" w14:textId="30DA2A22"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12058.73</w:t>
            </w:r>
          </w:p>
        </w:tc>
        <w:tc>
          <w:tcPr>
            <w:tcW w:w="979" w:type="dxa"/>
            <w:vAlign w:val="center"/>
          </w:tcPr>
          <w:p w14:paraId="67247ADF" w14:textId="3C8F1DC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13446.53</w:t>
            </w:r>
          </w:p>
        </w:tc>
        <w:tc>
          <w:tcPr>
            <w:tcW w:w="979" w:type="dxa"/>
            <w:vAlign w:val="center"/>
          </w:tcPr>
          <w:p w14:paraId="7D8A9A72" w14:textId="5976942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14994.05</w:t>
            </w:r>
          </w:p>
        </w:tc>
        <w:tc>
          <w:tcPr>
            <w:tcW w:w="1056" w:type="dxa"/>
            <w:vAlign w:val="center"/>
          </w:tcPr>
          <w:p w14:paraId="4953F4A9" w14:textId="351E070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61011.52</w:t>
            </w:r>
          </w:p>
        </w:tc>
      </w:tr>
      <w:tr w:rsidR="009775CB" w:rsidRPr="0078036E" w14:paraId="72C6C66D" w14:textId="77777777" w:rsidTr="0049031D">
        <w:trPr>
          <w:trHeight w:val="20"/>
          <w:jc w:val="center"/>
        </w:trPr>
        <w:tc>
          <w:tcPr>
            <w:tcW w:w="421" w:type="dxa"/>
            <w:vAlign w:val="center"/>
          </w:tcPr>
          <w:p w14:paraId="465A9D44" w14:textId="4EB74A9E"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12</w:t>
            </w:r>
          </w:p>
        </w:tc>
        <w:tc>
          <w:tcPr>
            <w:tcW w:w="1391" w:type="dxa"/>
            <w:vAlign w:val="center"/>
          </w:tcPr>
          <w:p w14:paraId="1D500948" w14:textId="68B67586"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Tamil Nadu</w:t>
            </w:r>
          </w:p>
        </w:tc>
        <w:tc>
          <w:tcPr>
            <w:tcW w:w="978" w:type="dxa"/>
            <w:vAlign w:val="center"/>
          </w:tcPr>
          <w:p w14:paraId="2280BEE3" w14:textId="3AC785A0"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17603.04</w:t>
            </w:r>
          </w:p>
        </w:tc>
        <w:tc>
          <w:tcPr>
            <w:tcW w:w="976" w:type="dxa"/>
            <w:vAlign w:val="center"/>
          </w:tcPr>
          <w:p w14:paraId="4027D8FD" w14:textId="135E0CD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18532.59</w:t>
            </w:r>
          </w:p>
        </w:tc>
        <w:tc>
          <w:tcPr>
            <w:tcW w:w="1073" w:type="dxa"/>
            <w:vAlign w:val="center"/>
          </w:tcPr>
          <w:p w14:paraId="53BC4989" w14:textId="1A1F530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19511.22</w:t>
            </w:r>
          </w:p>
        </w:tc>
        <w:tc>
          <w:tcPr>
            <w:tcW w:w="1073" w:type="dxa"/>
            <w:vAlign w:val="center"/>
          </w:tcPr>
          <w:p w14:paraId="795DEE9F" w14:textId="3EC1BD0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20541.53</w:t>
            </w:r>
          </w:p>
        </w:tc>
        <w:tc>
          <w:tcPr>
            <w:tcW w:w="979" w:type="dxa"/>
            <w:vAlign w:val="center"/>
          </w:tcPr>
          <w:p w14:paraId="23985282" w14:textId="297D0B2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21626.25</w:t>
            </w:r>
          </w:p>
        </w:tc>
        <w:tc>
          <w:tcPr>
            <w:tcW w:w="979" w:type="dxa"/>
            <w:vAlign w:val="center"/>
          </w:tcPr>
          <w:p w14:paraId="25A20BBC" w14:textId="3D20F88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22768.25</w:t>
            </w:r>
          </w:p>
        </w:tc>
        <w:tc>
          <w:tcPr>
            <w:tcW w:w="1056" w:type="dxa"/>
            <w:vAlign w:val="center"/>
          </w:tcPr>
          <w:p w14:paraId="54A90236" w14:textId="34EB69C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102979.83</w:t>
            </w:r>
          </w:p>
        </w:tc>
      </w:tr>
      <w:tr w:rsidR="009775CB" w:rsidRPr="0078036E" w14:paraId="55A21E9E" w14:textId="77777777" w:rsidTr="0049031D">
        <w:trPr>
          <w:trHeight w:val="20"/>
          <w:jc w:val="center"/>
        </w:trPr>
        <w:tc>
          <w:tcPr>
            <w:tcW w:w="421" w:type="dxa"/>
            <w:vAlign w:val="center"/>
          </w:tcPr>
          <w:p w14:paraId="7EF4E399" w14:textId="477D73D5"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13</w:t>
            </w:r>
          </w:p>
        </w:tc>
        <w:tc>
          <w:tcPr>
            <w:tcW w:w="1391" w:type="dxa"/>
            <w:vAlign w:val="center"/>
          </w:tcPr>
          <w:p w14:paraId="13CC54E7" w14:textId="32D18374"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Uttar Pradesh</w:t>
            </w:r>
          </w:p>
        </w:tc>
        <w:tc>
          <w:tcPr>
            <w:tcW w:w="978" w:type="dxa"/>
            <w:vAlign w:val="center"/>
          </w:tcPr>
          <w:p w14:paraId="20E1E030" w14:textId="2AACC12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28166.81</w:t>
            </w:r>
          </w:p>
        </w:tc>
        <w:tc>
          <w:tcPr>
            <w:tcW w:w="976" w:type="dxa"/>
            <w:vAlign w:val="center"/>
          </w:tcPr>
          <w:p w14:paraId="146242BE" w14:textId="407A97A3"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30576.98</w:t>
            </w:r>
          </w:p>
        </w:tc>
        <w:tc>
          <w:tcPr>
            <w:tcW w:w="1073" w:type="dxa"/>
            <w:vAlign w:val="center"/>
          </w:tcPr>
          <w:p w14:paraId="18A73A6F" w14:textId="3A1810F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33193.37</w:t>
            </w:r>
          </w:p>
        </w:tc>
        <w:tc>
          <w:tcPr>
            <w:tcW w:w="1073" w:type="dxa"/>
            <w:vAlign w:val="center"/>
          </w:tcPr>
          <w:p w14:paraId="62796BC5" w14:textId="484FE23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36033.65</w:t>
            </w:r>
          </w:p>
        </w:tc>
        <w:tc>
          <w:tcPr>
            <w:tcW w:w="979" w:type="dxa"/>
            <w:vAlign w:val="center"/>
          </w:tcPr>
          <w:p w14:paraId="67284E4A" w14:textId="3BA750CC"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39116.96</w:t>
            </w:r>
          </w:p>
        </w:tc>
        <w:tc>
          <w:tcPr>
            <w:tcW w:w="979" w:type="dxa"/>
            <w:vAlign w:val="center"/>
          </w:tcPr>
          <w:p w14:paraId="1050520A" w14:textId="1CD367A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42464.10</w:t>
            </w:r>
          </w:p>
        </w:tc>
        <w:tc>
          <w:tcPr>
            <w:tcW w:w="1056" w:type="dxa"/>
            <w:vAlign w:val="center"/>
          </w:tcPr>
          <w:p w14:paraId="74680559" w14:textId="753BEDFE"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181385.07</w:t>
            </w:r>
          </w:p>
        </w:tc>
      </w:tr>
      <w:tr w:rsidR="009775CB" w:rsidRPr="0078036E" w14:paraId="77FDD40F" w14:textId="77777777" w:rsidTr="0049031D">
        <w:trPr>
          <w:trHeight w:val="20"/>
          <w:jc w:val="center"/>
        </w:trPr>
        <w:tc>
          <w:tcPr>
            <w:tcW w:w="421" w:type="dxa"/>
            <w:vAlign w:val="center"/>
          </w:tcPr>
          <w:p w14:paraId="3E4F39E3" w14:textId="5FBD3A22"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14</w:t>
            </w:r>
          </w:p>
        </w:tc>
        <w:tc>
          <w:tcPr>
            <w:tcW w:w="1391" w:type="dxa"/>
            <w:vAlign w:val="center"/>
          </w:tcPr>
          <w:p w14:paraId="006C8080" w14:textId="796C1FC3"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sz w:val="16"/>
                <w:szCs w:val="16"/>
              </w:rPr>
              <w:t>West Bengal</w:t>
            </w:r>
          </w:p>
        </w:tc>
        <w:tc>
          <w:tcPr>
            <w:tcW w:w="978" w:type="dxa"/>
            <w:vAlign w:val="center"/>
          </w:tcPr>
          <w:p w14:paraId="5D8A6978" w14:textId="440B6DE1"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13822.00</w:t>
            </w:r>
          </w:p>
        </w:tc>
        <w:tc>
          <w:tcPr>
            <w:tcW w:w="976" w:type="dxa"/>
            <w:vAlign w:val="center"/>
          </w:tcPr>
          <w:p w14:paraId="21FCF890" w14:textId="05833C44"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14499.33</w:t>
            </w:r>
          </w:p>
        </w:tc>
        <w:tc>
          <w:tcPr>
            <w:tcW w:w="1073" w:type="dxa"/>
            <w:vAlign w:val="center"/>
          </w:tcPr>
          <w:p w14:paraId="00D874B3" w14:textId="16ABA2E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15209.86</w:t>
            </w:r>
          </w:p>
        </w:tc>
        <w:tc>
          <w:tcPr>
            <w:tcW w:w="1073" w:type="dxa"/>
            <w:vAlign w:val="center"/>
          </w:tcPr>
          <w:p w14:paraId="0B0195FA" w14:textId="5195DD46"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15955.21</w:t>
            </w:r>
          </w:p>
        </w:tc>
        <w:tc>
          <w:tcPr>
            <w:tcW w:w="979" w:type="dxa"/>
            <w:vAlign w:val="center"/>
          </w:tcPr>
          <w:p w14:paraId="56E34BF8" w14:textId="7D56A05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16737.08</w:t>
            </w:r>
          </w:p>
        </w:tc>
        <w:tc>
          <w:tcPr>
            <w:tcW w:w="979" w:type="dxa"/>
            <w:vAlign w:val="center"/>
          </w:tcPr>
          <w:p w14:paraId="68E65E9E" w14:textId="7F52289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17557.27</w:t>
            </w:r>
          </w:p>
        </w:tc>
        <w:tc>
          <w:tcPr>
            <w:tcW w:w="1056" w:type="dxa"/>
            <w:vAlign w:val="center"/>
          </w:tcPr>
          <w:p w14:paraId="68C8BCBF" w14:textId="0DECBE0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sz w:val="16"/>
                <w:szCs w:val="16"/>
              </w:rPr>
              <w:t>79958.75</w:t>
            </w:r>
          </w:p>
        </w:tc>
      </w:tr>
      <w:tr w:rsidR="009775CB" w:rsidRPr="0078036E" w14:paraId="46A418C1" w14:textId="77777777" w:rsidTr="0049031D">
        <w:trPr>
          <w:trHeight w:val="20"/>
          <w:jc w:val="center"/>
        </w:trPr>
        <w:tc>
          <w:tcPr>
            <w:tcW w:w="421" w:type="dxa"/>
            <w:vAlign w:val="center"/>
          </w:tcPr>
          <w:p w14:paraId="65FC5BAC" w14:textId="7AE7B248"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b/>
                <w:bCs/>
                <w:sz w:val="16"/>
                <w:szCs w:val="16"/>
              </w:rPr>
              <w:t>14</w:t>
            </w:r>
          </w:p>
        </w:tc>
        <w:tc>
          <w:tcPr>
            <w:tcW w:w="1391" w:type="dxa"/>
            <w:vAlign w:val="center"/>
          </w:tcPr>
          <w:p w14:paraId="1D55C342" w14:textId="3E05ADC2" w:rsidR="009775CB" w:rsidRPr="009775CB" w:rsidRDefault="009775CB" w:rsidP="009775CB">
            <w:pPr>
              <w:rPr>
                <w:rFonts w:ascii="Times New Roman" w:hAnsi="Times New Roman" w:cs="Times New Roman"/>
                <w:sz w:val="16"/>
                <w:szCs w:val="16"/>
              </w:rPr>
            </w:pPr>
            <w:r w:rsidRPr="009775CB">
              <w:rPr>
                <w:rFonts w:ascii="Times New Roman" w:hAnsi="Times New Roman" w:cs="Times New Roman"/>
                <w:b/>
                <w:bCs/>
                <w:sz w:val="16"/>
                <w:szCs w:val="16"/>
              </w:rPr>
              <w:t>Major States</w:t>
            </w:r>
          </w:p>
        </w:tc>
        <w:tc>
          <w:tcPr>
            <w:tcW w:w="978" w:type="dxa"/>
            <w:vAlign w:val="center"/>
          </w:tcPr>
          <w:p w14:paraId="7E30726C" w14:textId="4E37078A"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190434.81</w:t>
            </w:r>
          </w:p>
        </w:tc>
        <w:tc>
          <w:tcPr>
            <w:tcW w:w="976" w:type="dxa"/>
            <w:vAlign w:val="center"/>
          </w:tcPr>
          <w:p w14:paraId="23A282F6" w14:textId="30290869"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203577.70</w:t>
            </w:r>
          </w:p>
        </w:tc>
        <w:tc>
          <w:tcPr>
            <w:tcW w:w="1073" w:type="dxa"/>
            <w:vAlign w:val="center"/>
          </w:tcPr>
          <w:p w14:paraId="2C86D63C" w14:textId="31345E5D"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217754.75</w:t>
            </w:r>
          </w:p>
        </w:tc>
        <w:tc>
          <w:tcPr>
            <w:tcW w:w="1073" w:type="dxa"/>
            <w:vAlign w:val="center"/>
          </w:tcPr>
          <w:p w14:paraId="4BD57E7C" w14:textId="4114F4CB"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233055.34</w:t>
            </w:r>
          </w:p>
        </w:tc>
        <w:tc>
          <w:tcPr>
            <w:tcW w:w="979" w:type="dxa"/>
            <w:vAlign w:val="center"/>
          </w:tcPr>
          <w:p w14:paraId="586227D9" w14:textId="5BFFF5DF"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249577.07</w:t>
            </w:r>
          </w:p>
        </w:tc>
        <w:tc>
          <w:tcPr>
            <w:tcW w:w="979" w:type="dxa"/>
            <w:vAlign w:val="center"/>
          </w:tcPr>
          <w:p w14:paraId="489F90A4" w14:textId="05885BF5"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267426.57</w:t>
            </w:r>
          </w:p>
        </w:tc>
        <w:tc>
          <w:tcPr>
            <w:tcW w:w="1056" w:type="dxa"/>
            <w:vAlign w:val="center"/>
          </w:tcPr>
          <w:p w14:paraId="2C7CB121" w14:textId="5B3C87B7" w:rsidR="009775CB" w:rsidRPr="009775CB" w:rsidRDefault="009775CB" w:rsidP="009775CB">
            <w:pPr>
              <w:jc w:val="center"/>
              <w:rPr>
                <w:rFonts w:ascii="Times New Roman" w:hAnsi="Times New Roman" w:cs="Times New Roman"/>
                <w:sz w:val="16"/>
                <w:szCs w:val="16"/>
              </w:rPr>
            </w:pPr>
            <w:r w:rsidRPr="009775CB">
              <w:rPr>
                <w:rFonts w:ascii="Times New Roman" w:hAnsi="Times New Roman" w:cs="Times New Roman"/>
                <w:b/>
                <w:bCs/>
                <w:sz w:val="16"/>
                <w:szCs w:val="16"/>
              </w:rPr>
              <w:t>1171391.44</w:t>
            </w:r>
          </w:p>
        </w:tc>
      </w:tr>
      <w:tr w:rsidR="009775CB" w:rsidRPr="0078036E" w14:paraId="74BFE14B" w14:textId="77777777" w:rsidTr="002145BB">
        <w:trPr>
          <w:trHeight w:val="20"/>
          <w:jc w:val="center"/>
        </w:trPr>
        <w:tc>
          <w:tcPr>
            <w:tcW w:w="8926" w:type="dxa"/>
            <w:gridSpan w:val="9"/>
            <w:vAlign w:val="center"/>
          </w:tcPr>
          <w:p w14:paraId="6C758D70" w14:textId="4EE34BF1" w:rsidR="009775CB" w:rsidRPr="009775CB" w:rsidRDefault="009775CB" w:rsidP="009775CB">
            <w:pPr>
              <w:jc w:val="center"/>
              <w:rPr>
                <w:rFonts w:ascii="Times New Roman" w:hAnsi="Times New Roman" w:cs="Times New Roman"/>
                <w:b/>
                <w:bCs/>
                <w:sz w:val="16"/>
                <w:szCs w:val="16"/>
              </w:rPr>
            </w:pPr>
            <w:r w:rsidRPr="00BB6DC9">
              <w:rPr>
                <w:rFonts w:ascii="Times New Roman" w:hAnsi="Times New Roman" w:cs="Times New Roman"/>
                <w:b/>
                <w:bCs/>
                <w:sz w:val="20"/>
                <w:szCs w:val="20"/>
              </w:rPr>
              <w:t>Expenditure Category: Animal Husbandry</w:t>
            </w:r>
          </w:p>
        </w:tc>
      </w:tr>
      <w:tr w:rsidR="007A7DCE" w:rsidRPr="0078036E" w14:paraId="19147E1A" w14:textId="77777777" w:rsidTr="0049031D">
        <w:trPr>
          <w:trHeight w:val="20"/>
          <w:jc w:val="center"/>
        </w:trPr>
        <w:tc>
          <w:tcPr>
            <w:tcW w:w="421" w:type="dxa"/>
            <w:vAlign w:val="center"/>
          </w:tcPr>
          <w:p w14:paraId="683C4322" w14:textId="76203799" w:rsidR="007A7DCE" w:rsidRPr="009775CB" w:rsidRDefault="007A7DCE" w:rsidP="007A7DCE">
            <w:pP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No.</w:t>
            </w:r>
          </w:p>
        </w:tc>
        <w:tc>
          <w:tcPr>
            <w:tcW w:w="1391" w:type="dxa"/>
            <w:vAlign w:val="center"/>
          </w:tcPr>
          <w:p w14:paraId="6AE85600" w14:textId="4D01E70F" w:rsidR="007A7DCE" w:rsidRPr="009775CB" w:rsidRDefault="007A7DCE" w:rsidP="007A7DCE">
            <w:pP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State</w:t>
            </w:r>
          </w:p>
        </w:tc>
        <w:tc>
          <w:tcPr>
            <w:tcW w:w="978" w:type="dxa"/>
            <w:vAlign w:val="center"/>
          </w:tcPr>
          <w:p w14:paraId="6E38385B" w14:textId="5D0A1BAA"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1989-90</w:t>
            </w:r>
          </w:p>
        </w:tc>
        <w:tc>
          <w:tcPr>
            <w:tcW w:w="976" w:type="dxa"/>
            <w:vAlign w:val="center"/>
          </w:tcPr>
          <w:p w14:paraId="7DD6ECB9" w14:textId="67D43434"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1990-91</w:t>
            </w:r>
          </w:p>
        </w:tc>
        <w:tc>
          <w:tcPr>
            <w:tcW w:w="1073" w:type="dxa"/>
            <w:vAlign w:val="center"/>
          </w:tcPr>
          <w:p w14:paraId="3944642D" w14:textId="52E39ADD"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1991-92</w:t>
            </w:r>
          </w:p>
        </w:tc>
        <w:tc>
          <w:tcPr>
            <w:tcW w:w="1073" w:type="dxa"/>
            <w:vAlign w:val="center"/>
          </w:tcPr>
          <w:p w14:paraId="0FC3ECA4" w14:textId="00B8E050"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1992-93</w:t>
            </w:r>
          </w:p>
        </w:tc>
        <w:tc>
          <w:tcPr>
            <w:tcW w:w="979" w:type="dxa"/>
            <w:vAlign w:val="center"/>
          </w:tcPr>
          <w:p w14:paraId="6A59FE55" w14:textId="4F82103D"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1993-94</w:t>
            </w:r>
          </w:p>
        </w:tc>
        <w:tc>
          <w:tcPr>
            <w:tcW w:w="979" w:type="dxa"/>
            <w:vAlign w:val="center"/>
          </w:tcPr>
          <w:p w14:paraId="197EE9E8" w14:textId="4BB5D053"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1994-95</w:t>
            </w:r>
          </w:p>
        </w:tc>
        <w:tc>
          <w:tcPr>
            <w:tcW w:w="1056" w:type="dxa"/>
            <w:vAlign w:val="center"/>
          </w:tcPr>
          <w:p w14:paraId="34E039C1" w14:textId="1905CF21" w:rsidR="007A7DCE" w:rsidRPr="009775CB" w:rsidRDefault="007A7DCE" w:rsidP="007A7DCE">
            <w:pPr>
              <w:jc w:val="center"/>
              <w:rPr>
                <w:rFonts w:ascii="Times New Roman" w:hAnsi="Times New Roman" w:cs="Times New Roman"/>
                <w:b/>
                <w:bCs/>
                <w:sz w:val="16"/>
                <w:szCs w:val="16"/>
              </w:rPr>
            </w:pPr>
            <w:r w:rsidRPr="007A7DCE">
              <w:rPr>
                <w:rFonts w:ascii="Times New Roman" w:eastAsia="Times New Roman" w:hAnsi="Times New Roman" w:cs="Times New Roman"/>
                <w:b/>
                <w:bCs/>
                <w:color w:val="000000"/>
                <w:kern w:val="0"/>
                <w:sz w:val="16"/>
                <w:szCs w:val="16"/>
                <w:lang w:eastAsia="en-IN" w:bidi="ar-SA"/>
                <w14:ligatures w14:val="none"/>
              </w:rPr>
              <w:t>1990-91 to 1994-95</w:t>
            </w:r>
          </w:p>
        </w:tc>
      </w:tr>
      <w:tr w:rsidR="007A7DCE" w:rsidRPr="0078036E" w14:paraId="57593554" w14:textId="77777777" w:rsidTr="0049031D">
        <w:trPr>
          <w:trHeight w:val="20"/>
          <w:jc w:val="center"/>
        </w:trPr>
        <w:tc>
          <w:tcPr>
            <w:tcW w:w="421" w:type="dxa"/>
            <w:vAlign w:val="center"/>
          </w:tcPr>
          <w:p w14:paraId="7911747B" w14:textId="145FC716"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w:t>
            </w:r>
          </w:p>
        </w:tc>
        <w:tc>
          <w:tcPr>
            <w:tcW w:w="1391" w:type="dxa"/>
            <w:vAlign w:val="center"/>
          </w:tcPr>
          <w:p w14:paraId="2DAE845A" w14:textId="39655C3A"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Andhra Pradesh</w:t>
            </w:r>
          </w:p>
        </w:tc>
        <w:tc>
          <w:tcPr>
            <w:tcW w:w="978" w:type="dxa"/>
            <w:vAlign w:val="center"/>
          </w:tcPr>
          <w:p w14:paraId="1B18394E" w14:textId="34D47142"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3336.9</w:t>
            </w:r>
            <w:r w:rsidR="009502F3">
              <w:rPr>
                <w:rFonts w:ascii="Times New Roman" w:eastAsia="Times New Roman" w:hAnsi="Times New Roman" w:cs="Times New Roman"/>
                <w:color w:val="000000"/>
                <w:kern w:val="0"/>
                <w:sz w:val="16"/>
                <w:szCs w:val="16"/>
                <w:lang w:eastAsia="en-IN" w:bidi="ar-SA"/>
                <w14:ligatures w14:val="none"/>
              </w:rPr>
              <w:t>2</w:t>
            </w:r>
          </w:p>
        </w:tc>
        <w:tc>
          <w:tcPr>
            <w:tcW w:w="976" w:type="dxa"/>
            <w:vAlign w:val="center"/>
          </w:tcPr>
          <w:p w14:paraId="0B5B1931" w14:textId="6C7D220F"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3555.</w:t>
            </w:r>
            <w:r w:rsidR="000501AC">
              <w:rPr>
                <w:rFonts w:ascii="Times New Roman" w:eastAsia="Times New Roman" w:hAnsi="Times New Roman" w:cs="Times New Roman"/>
                <w:color w:val="000000"/>
                <w:kern w:val="0"/>
                <w:sz w:val="16"/>
                <w:szCs w:val="16"/>
                <w:lang w:eastAsia="en-IN" w:bidi="ar-SA"/>
                <w14:ligatures w14:val="none"/>
              </w:rPr>
              <w:t>76</w:t>
            </w:r>
          </w:p>
        </w:tc>
        <w:tc>
          <w:tcPr>
            <w:tcW w:w="1073" w:type="dxa"/>
            <w:vAlign w:val="center"/>
          </w:tcPr>
          <w:p w14:paraId="40E21497" w14:textId="786D9F3E"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378</w:t>
            </w:r>
            <w:r w:rsidR="00FB1322">
              <w:rPr>
                <w:rFonts w:ascii="Times New Roman" w:eastAsia="Times New Roman" w:hAnsi="Times New Roman" w:cs="Times New Roman"/>
                <w:color w:val="000000"/>
                <w:kern w:val="0"/>
                <w:sz w:val="16"/>
                <w:szCs w:val="16"/>
                <w:lang w:eastAsia="en-IN" w:bidi="ar-SA"/>
                <w14:ligatures w14:val="none"/>
              </w:rPr>
              <w:t>8.95</w:t>
            </w:r>
          </w:p>
        </w:tc>
        <w:tc>
          <w:tcPr>
            <w:tcW w:w="1073" w:type="dxa"/>
            <w:vAlign w:val="center"/>
          </w:tcPr>
          <w:p w14:paraId="3C3CA9A4" w14:textId="6AC1D9DE"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4037.4</w:t>
            </w:r>
            <w:r w:rsidR="00FB1322">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7E44C8AC" w14:textId="47B4BAC7"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4302.2</w:t>
            </w:r>
            <w:r w:rsidR="00F54A7C">
              <w:rPr>
                <w:rFonts w:ascii="Times New Roman" w:eastAsia="Times New Roman" w:hAnsi="Times New Roman" w:cs="Times New Roman"/>
                <w:color w:val="000000"/>
                <w:kern w:val="0"/>
                <w:sz w:val="16"/>
                <w:szCs w:val="16"/>
                <w:lang w:eastAsia="en-IN" w:bidi="ar-SA"/>
                <w14:ligatures w14:val="none"/>
              </w:rPr>
              <w:t>2</w:t>
            </w:r>
          </w:p>
        </w:tc>
        <w:tc>
          <w:tcPr>
            <w:tcW w:w="979" w:type="dxa"/>
            <w:vAlign w:val="center"/>
          </w:tcPr>
          <w:p w14:paraId="2FD3755B" w14:textId="2773CA2F"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4584.</w:t>
            </w:r>
            <w:r w:rsidR="00C76C82">
              <w:rPr>
                <w:rFonts w:ascii="Times New Roman" w:eastAsia="Times New Roman" w:hAnsi="Times New Roman" w:cs="Times New Roman"/>
                <w:color w:val="000000"/>
                <w:kern w:val="0"/>
                <w:sz w:val="16"/>
                <w:szCs w:val="16"/>
                <w:lang w:eastAsia="en-IN" w:bidi="ar-SA"/>
                <w14:ligatures w14:val="none"/>
              </w:rPr>
              <w:t>37</w:t>
            </w:r>
          </w:p>
        </w:tc>
        <w:tc>
          <w:tcPr>
            <w:tcW w:w="1056" w:type="dxa"/>
            <w:vAlign w:val="center"/>
          </w:tcPr>
          <w:p w14:paraId="5E49FC19" w14:textId="1FA669A3"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2026</w:t>
            </w:r>
            <w:r w:rsidR="00E04F66">
              <w:rPr>
                <w:rFonts w:ascii="Times New Roman" w:eastAsia="Times New Roman" w:hAnsi="Times New Roman" w:cs="Times New Roman"/>
                <w:color w:val="000000"/>
                <w:kern w:val="0"/>
                <w:sz w:val="16"/>
                <w:szCs w:val="16"/>
                <w:lang w:eastAsia="en-IN" w:bidi="ar-SA"/>
                <w14:ligatures w14:val="none"/>
              </w:rPr>
              <w:t>8.75</w:t>
            </w:r>
          </w:p>
        </w:tc>
      </w:tr>
      <w:tr w:rsidR="007A7DCE" w:rsidRPr="0078036E" w14:paraId="27E621EF" w14:textId="77777777" w:rsidTr="0049031D">
        <w:trPr>
          <w:trHeight w:val="20"/>
          <w:jc w:val="center"/>
        </w:trPr>
        <w:tc>
          <w:tcPr>
            <w:tcW w:w="421" w:type="dxa"/>
            <w:vAlign w:val="center"/>
          </w:tcPr>
          <w:p w14:paraId="51129576" w14:textId="42B0A45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w:t>
            </w:r>
          </w:p>
        </w:tc>
        <w:tc>
          <w:tcPr>
            <w:tcW w:w="1391" w:type="dxa"/>
            <w:vAlign w:val="center"/>
          </w:tcPr>
          <w:p w14:paraId="50FCC2A8" w14:textId="0D9E7C20"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Bihar</w:t>
            </w:r>
          </w:p>
        </w:tc>
        <w:tc>
          <w:tcPr>
            <w:tcW w:w="978" w:type="dxa"/>
            <w:vAlign w:val="center"/>
          </w:tcPr>
          <w:p w14:paraId="0BC48B5D" w14:textId="5509C73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3228.7</w:t>
            </w:r>
            <w:r w:rsidR="009502F3">
              <w:rPr>
                <w:rFonts w:ascii="Times New Roman" w:eastAsia="Times New Roman" w:hAnsi="Times New Roman" w:cs="Times New Roman"/>
                <w:color w:val="000000"/>
                <w:kern w:val="0"/>
                <w:sz w:val="16"/>
                <w:szCs w:val="16"/>
                <w:lang w:eastAsia="en-IN" w:bidi="ar-SA"/>
                <w14:ligatures w14:val="none"/>
              </w:rPr>
              <w:t>2</w:t>
            </w:r>
          </w:p>
        </w:tc>
        <w:tc>
          <w:tcPr>
            <w:tcW w:w="976" w:type="dxa"/>
            <w:vAlign w:val="center"/>
          </w:tcPr>
          <w:p w14:paraId="0E232A95" w14:textId="0E5B2B0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3364.</w:t>
            </w:r>
            <w:r w:rsidR="000501AC">
              <w:rPr>
                <w:rFonts w:ascii="Times New Roman" w:eastAsia="Times New Roman" w:hAnsi="Times New Roman" w:cs="Times New Roman"/>
                <w:color w:val="000000"/>
                <w:kern w:val="0"/>
                <w:sz w:val="16"/>
                <w:szCs w:val="16"/>
                <w:lang w:eastAsia="en-IN" w:bidi="ar-SA"/>
                <w14:ligatures w14:val="none"/>
              </w:rPr>
              <w:t>16</w:t>
            </w:r>
          </w:p>
        </w:tc>
        <w:tc>
          <w:tcPr>
            <w:tcW w:w="1073" w:type="dxa"/>
            <w:vAlign w:val="center"/>
          </w:tcPr>
          <w:p w14:paraId="762547A7" w14:textId="01954AE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3505.</w:t>
            </w:r>
            <w:r w:rsidR="00FB1322">
              <w:rPr>
                <w:rFonts w:ascii="Times New Roman" w:eastAsia="Times New Roman" w:hAnsi="Times New Roman" w:cs="Times New Roman"/>
                <w:color w:val="000000"/>
                <w:kern w:val="0"/>
                <w:sz w:val="16"/>
                <w:szCs w:val="16"/>
                <w:lang w:eastAsia="en-IN" w:bidi="ar-SA"/>
                <w14:ligatures w14:val="none"/>
              </w:rPr>
              <w:t>28</w:t>
            </w:r>
          </w:p>
        </w:tc>
        <w:tc>
          <w:tcPr>
            <w:tcW w:w="1073" w:type="dxa"/>
            <w:vAlign w:val="center"/>
          </w:tcPr>
          <w:p w14:paraId="0F3AD459" w14:textId="29D00CD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3652.3</w:t>
            </w:r>
            <w:r w:rsidR="00FB1322">
              <w:rPr>
                <w:rFonts w:ascii="Times New Roman" w:eastAsia="Times New Roman" w:hAnsi="Times New Roman" w:cs="Times New Roman"/>
                <w:color w:val="000000"/>
                <w:kern w:val="0"/>
                <w:sz w:val="16"/>
                <w:szCs w:val="16"/>
                <w:lang w:eastAsia="en-IN" w:bidi="ar-SA"/>
                <w14:ligatures w14:val="none"/>
              </w:rPr>
              <w:t>2</w:t>
            </w:r>
          </w:p>
        </w:tc>
        <w:tc>
          <w:tcPr>
            <w:tcW w:w="979" w:type="dxa"/>
            <w:vAlign w:val="center"/>
          </w:tcPr>
          <w:p w14:paraId="5EF1056A" w14:textId="7B6E45B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3805.5</w:t>
            </w:r>
            <w:r w:rsidR="00F54A7C">
              <w:rPr>
                <w:rFonts w:ascii="Times New Roman" w:eastAsia="Times New Roman" w:hAnsi="Times New Roman" w:cs="Times New Roman"/>
                <w:color w:val="000000"/>
                <w:kern w:val="0"/>
                <w:sz w:val="16"/>
                <w:szCs w:val="16"/>
                <w:lang w:eastAsia="en-IN" w:bidi="ar-SA"/>
                <w14:ligatures w14:val="none"/>
              </w:rPr>
              <w:t>3</w:t>
            </w:r>
          </w:p>
        </w:tc>
        <w:tc>
          <w:tcPr>
            <w:tcW w:w="979" w:type="dxa"/>
            <w:vAlign w:val="center"/>
          </w:tcPr>
          <w:p w14:paraId="5F699E5B" w14:textId="5310FB8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3965.</w:t>
            </w:r>
            <w:r w:rsidR="00C76C82">
              <w:rPr>
                <w:rFonts w:ascii="Times New Roman" w:eastAsia="Times New Roman" w:hAnsi="Times New Roman" w:cs="Times New Roman"/>
                <w:color w:val="000000"/>
                <w:kern w:val="0"/>
                <w:sz w:val="16"/>
                <w:szCs w:val="16"/>
                <w:lang w:eastAsia="en-IN" w:bidi="ar-SA"/>
                <w14:ligatures w14:val="none"/>
              </w:rPr>
              <w:t>16</w:t>
            </w:r>
          </w:p>
        </w:tc>
        <w:tc>
          <w:tcPr>
            <w:tcW w:w="1056" w:type="dxa"/>
            <w:vAlign w:val="center"/>
          </w:tcPr>
          <w:p w14:paraId="71ECE3A5" w14:textId="4DBACED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18292</w:t>
            </w:r>
            <w:r w:rsidR="00E04F66">
              <w:rPr>
                <w:rFonts w:ascii="Times New Roman" w:eastAsia="Times New Roman" w:hAnsi="Times New Roman" w:cs="Times New Roman"/>
                <w:color w:val="000000"/>
                <w:kern w:val="0"/>
                <w:sz w:val="16"/>
                <w:szCs w:val="16"/>
                <w:lang w:eastAsia="en-IN" w:bidi="ar-SA"/>
                <w14:ligatures w14:val="none"/>
              </w:rPr>
              <w:t>.45</w:t>
            </w:r>
          </w:p>
        </w:tc>
      </w:tr>
      <w:tr w:rsidR="007A7DCE" w:rsidRPr="0078036E" w14:paraId="000E4129" w14:textId="77777777" w:rsidTr="0049031D">
        <w:trPr>
          <w:trHeight w:val="20"/>
          <w:jc w:val="center"/>
        </w:trPr>
        <w:tc>
          <w:tcPr>
            <w:tcW w:w="421" w:type="dxa"/>
            <w:vAlign w:val="center"/>
          </w:tcPr>
          <w:p w14:paraId="232247D7" w14:textId="3DE6615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w:t>
            </w:r>
          </w:p>
        </w:tc>
        <w:tc>
          <w:tcPr>
            <w:tcW w:w="1391" w:type="dxa"/>
            <w:vAlign w:val="center"/>
          </w:tcPr>
          <w:p w14:paraId="752AD84C" w14:textId="4A3211B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Gujarat</w:t>
            </w:r>
          </w:p>
        </w:tc>
        <w:tc>
          <w:tcPr>
            <w:tcW w:w="978" w:type="dxa"/>
            <w:vAlign w:val="center"/>
          </w:tcPr>
          <w:p w14:paraId="07B8C99C" w14:textId="7DC5700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1857</w:t>
            </w:r>
            <w:r w:rsidR="009502F3">
              <w:rPr>
                <w:rFonts w:ascii="Times New Roman" w:eastAsia="Times New Roman" w:hAnsi="Times New Roman" w:cs="Times New Roman"/>
                <w:color w:val="000000"/>
                <w:kern w:val="0"/>
                <w:sz w:val="16"/>
                <w:szCs w:val="16"/>
                <w:lang w:eastAsia="en-IN" w:bidi="ar-SA"/>
                <w14:ligatures w14:val="none"/>
              </w:rPr>
              <w:t>0.3</w:t>
            </w:r>
          </w:p>
        </w:tc>
        <w:tc>
          <w:tcPr>
            <w:tcW w:w="976" w:type="dxa"/>
            <w:vAlign w:val="center"/>
          </w:tcPr>
          <w:p w14:paraId="571B0BA9" w14:textId="5A8E291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2004.9</w:t>
            </w:r>
            <w:r w:rsidR="000501AC">
              <w:rPr>
                <w:rFonts w:ascii="Times New Roman" w:eastAsia="Times New Roman" w:hAnsi="Times New Roman" w:cs="Times New Roman"/>
                <w:color w:val="000000"/>
                <w:kern w:val="0"/>
                <w:sz w:val="16"/>
                <w:szCs w:val="16"/>
                <w:lang w:eastAsia="en-IN" w:bidi="ar-SA"/>
                <w14:ligatures w14:val="none"/>
              </w:rPr>
              <w:t>3</w:t>
            </w:r>
          </w:p>
        </w:tc>
        <w:tc>
          <w:tcPr>
            <w:tcW w:w="1073" w:type="dxa"/>
            <w:vAlign w:val="center"/>
          </w:tcPr>
          <w:p w14:paraId="439B2FC1" w14:textId="5766D56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2164.6</w:t>
            </w:r>
            <w:r w:rsidR="00FB1322">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3383E564" w14:textId="1CAA821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233</w:t>
            </w:r>
            <w:r w:rsidR="00FB1322">
              <w:rPr>
                <w:rFonts w:ascii="Times New Roman" w:eastAsia="Times New Roman" w:hAnsi="Times New Roman" w:cs="Times New Roman"/>
                <w:color w:val="000000"/>
                <w:kern w:val="0"/>
                <w:sz w:val="16"/>
                <w:szCs w:val="16"/>
                <w:lang w:eastAsia="en-IN" w:bidi="ar-SA"/>
                <w14:ligatures w14:val="none"/>
              </w:rPr>
              <w:t>6.99</w:t>
            </w:r>
          </w:p>
        </w:tc>
        <w:tc>
          <w:tcPr>
            <w:tcW w:w="979" w:type="dxa"/>
            <w:vAlign w:val="center"/>
          </w:tcPr>
          <w:p w14:paraId="660404D8" w14:textId="7B03869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2523.1</w:t>
            </w:r>
            <w:r w:rsidR="00F54A7C">
              <w:rPr>
                <w:rFonts w:ascii="Times New Roman" w:eastAsia="Times New Roman" w:hAnsi="Times New Roman" w:cs="Times New Roman"/>
                <w:color w:val="000000"/>
                <w:kern w:val="0"/>
                <w:sz w:val="16"/>
                <w:szCs w:val="16"/>
                <w:lang w:eastAsia="en-IN" w:bidi="ar-SA"/>
                <w14:ligatures w14:val="none"/>
              </w:rPr>
              <w:t>1</w:t>
            </w:r>
          </w:p>
        </w:tc>
        <w:tc>
          <w:tcPr>
            <w:tcW w:w="979" w:type="dxa"/>
            <w:vAlign w:val="center"/>
          </w:tcPr>
          <w:p w14:paraId="433AB24D" w14:textId="3030091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2724.</w:t>
            </w:r>
            <w:r w:rsidR="00C76C82">
              <w:rPr>
                <w:rFonts w:ascii="Times New Roman" w:eastAsia="Times New Roman" w:hAnsi="Times New Roman" w:cs="Times New Roman"/>
                <w:color w:val="000000"/>
                <w:kern w:val="0"/>
                <w:sz w:val="16"/>
                <w:szCs w:val="16"/>
                <w:lang w:eastAsia="en-IN" w:bidi="ar-SA"/>
                <w14:ligatures w14:val="none"/>
              </w:rPr>
              <w:t>05</w:t>
            </w:r>
          </w:p>
        </w:tc>
        <w:tc>
          <w:tcPr>
            <w:tcW w:w="1056" w:type="dxa"/>
            <w:vAlign w:val="center"/>
          </w:tcPr>
          <w:p w14:paraId="3DD71A07" w14:textId="5420E88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1175</w:t>
            </w:r>
            <w:r w:rsidR="00E04F66">
              <w:rPr>
                <w:rFonts w:ascii="Times New Roman" w:eastAsia="Times New Roman" w:hAnsi="Times New Roman" w:cs="Times New Roman"/>
                <w:color w:val="000000"/>
                <w:kern w:val="0"/>
                <w:sz w:val="16"/>
                <w:szCs w:val="16"/>
                <w:lang w:eastAsia="en-IN" w:bidi="ar-SA"/>
                <w14:ligatures w14:val="none"/>
              </w:rPr>
              <w:t>3.68</w:t>
            </w:r>
          </w:p>
        </w:tc>
      </w:tr>
      <w:tr w:rsidR="007A7DCE" w:rsidRPr="0078036E" w14:paraId="6B1D7958" w14:textId="77777777" w:rsidTr="0049031D">
        <w:trPr>
          <w:trHeight w:val="20"/>
          <w:jc w:val="center"/>
        </w:trPr>
        <w:tc>
          <w:tcPr>
            <w:tcW w:w="421" w:type="dxa"/>
            <w:vAlign w:val="center"/>
          </w:tcPr>
          <w:p w14:paraId="3D222504" w14:textId="64C51B4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w:t>
            </w:r>
          </w:p>
        </w:tc>
        <w:tc>
          <w:tcPr>
            <w:tcW w:w="1391" w:type="dxa"/>
            <w:vAlign w:val="center"/>
          </w:tcPr>
          <w:p w14:paraId="61F2E5DD" w14:textId="78B46BC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Haryana</w:t>
            </w:r>
          </w:p>
        </w:tc>
        <w:tc>
          <w:tcPr>
            <w:tcW w:w="978" w:type="dxa"/>
            <w:vAlign w:val="center"/>
          </w:tcPr>
          <w:p w14:paraId="3E694034" w14:textId="488EEF7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1338.</w:t>
            </w:r>
            <w:r w:rsidR="009502F3">
              <w:rPr>
                <w:rFonts w:ascii="Times New Roman" w:eastAsia="Times New Roman" w:hAnsi="Times New Roman" w:cs="Times New Roman"/>
                <w:color w:val="000000"/>
                <w:kern w:val="0"/>
                <w:sz w:val="16"/>
                <w:szCs w:val="16"/>
                <w:lang w:eastAsia="en-IN" w:bidi="ar-SA"/>
                <w14:ligatures w14:val="none"/>
              </w:rPr>
              <w:t>89</w:t>
            </w:r>
          </w:p>
        </w:tc>
        <w:tc>
          <w:tcPr>
            <w:tcW w:w="976" w:type="dxa"/>
            <w:vAlign w:val="center"/>
          </w:tcPr>
          <w:p w14:paraId="66D0DA76" w14:textId="7BBB6BF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1443</w:t>
            </w:r>
            <w:r w:rsidR="000501AC">
              <w:rPr>
                <w:rFonts w:ascii="Times New Roman" w:eastAsia="Times New Roman" w:hAnsi="Times New Roman" w:cs="Times New Roman"/>
                <w:color w:val="000000"/>
                <w:kern w:val="0"/>
                <w:sz w:val="16"/>
                <w:szCs w:val="16"/>
                <w:lang w:eastAsia="en-IN" w:bidi="ar-SA"/>
                <w14:ligatures w14:val="none"/>
              </w:rPr>
              <w:t>.24</w:t>
            </w:r>
          </w:p>
        </w:tc>
        <w:tc>
          <w:tcPr>
            <w:tcW w:w="1073" w:type="dxa"/>
            <w:vAlign w:val="center"/>
          </w:tcPr>
          <w:p w14:paraId="7559DD52" w14:textId="1F16DD8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1555.7</w:t>
            </w:r>
            <w:r w:rsidR="00FB1322">
              <w:rPr>
                <w:rFonts w:ascii="Times New Roman" w:eastAsia="Times New Roman" w:hAnsi="Times New Roman" w:cs="Times New Roman"/>
                <w:color w:val="000000"/>
                <w:kern w:val="0"/>
                <w:sz w:val="16"/>
                <w:szCs w:val="16"/>
                <w:lang w:eastAsia="en-IN" w:bidi="ar-SA"/>
                <w14:ligatures w14:val="none"/>
              </w:rPr>
              <w:t>3</w:t>
            </w:r>
          </w:p>
        </w:tc>
        <w:tc>
          <w:tcPr>
            <w:tcW w:w="1073" w:type="dxa"/>
            <w:vAlign w:val="center"/>
          </w:tcPr>
          <w:p w14:paraId="138C87AE" w14:textId="1611542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167</w:t>
            </w:r>
            <w:r w:rsidR="00FB1322">
              <w:rPr>
                <w:rFonts w:ascii="Times New Roman" w:eastAsia="Times New Roman" w:hAnsi="Times New Roman" w:cs="Times New Roman"/>
                <w:color w:val="000000"/>
                <w:kern w:val="0"/>
                <w:sz w:val="16"/>
                <w:szCs w:val="16"/>
                <w:lang w:eastAsia="en-IN" w:bidi="ar-SA"/>
                <w14:ligatures w14:val="none"/>
              </w:rPr>
              <w:t>6.99</w:t>
            </w:r>
          </w:p>
        </w:tc>
        <w:tc>
          <w:tcPr>
            <w:tcW w:w="979" w:type="dxa"/>
            <w:vAlign w:val="center"/>
          </w:tcPr>
          <w:p w14:paraId="113DDF7A" w14:textId="4190406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1807.</w:t>
            </w:r>
            <w:r w:rsidR="00F54A7C">
              <w:rPr>
                <w:rFonts w:ascii="Times New Roman" w:eastAsia="Times New Roman" w:hAnsi="Times New Roman" w:cs="Times New Roman"/>
                <w:color w:val="000000"/>
                <w:kern w:val="0"/>
                <w:sz w:val="16"/>
                <w:szCs w:val="16"/>
                <w:lang w:eastAsia="en-IN" w:bidi="ar-SA"/>
                <w14:ligatures w14:val="none"/>
              </w:rPr>
              <w:t>69</w:t>
            </w:r>
          </w:p>
        </w:tc>
        <w:tc>
          <w:tcPr>
            <w:tcW w:w="979" w:type="dxa"/>
            <w:vAlign w:val="center"/>
          </w:tcPr>
          <w:p w14:paraId="0DB306D1" w14:textId="2CA8489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1948.</w:t>
            </w:r>
            <w:r w:rsidR="00C76C82">
              <w:rPr>
                <w:rFonts w:ascii="Times New Roman" w:eastAsia="Times New Roman" w:hAnsi="Times New Roman" w:cs="Times New Roman"/>
                <w:color w:val="000000"/>
                <w:kern w:val="0"/>
                <w:sz w:val="16"/>
                <w:szCs w:val="16"/>
                <w:lang w:eastAsia="en-IN" w:bidi="ar-SA"/>
                <w14:ligatures w14:val="none"/>
              </w:rPr>
              <w:t>59</w:t>
            </w:r>
          </w:p>
        </w:tc>
        <w:tc>
          <w:tcPr>
            <w:tcW w:w="1056" w:type="dxa"/>
            <w:vAlign w:val="center"/>
          </w:tcPr>
          <w:p w14:paraId="28193BF2" w14:textId="7A2309D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8432.</w:t>
            </w:r>
            <w:r w:rsidR="00E04F66">
              <w:rPr>
                <w:rFonts w:ascii="Times New Roman" w:eastAsia="Times New Roman" w:hAnsi="Times New Roman" w:cs="Times New Roman"/>
                <w:color w:val="000000"/>
                <w:kern w:val="0"/>
                <w:sz w:val="16"/>
                <w:szCs w:val="16"/>
                <w:lang w:eastAsia="en-IN" w:bidi="ar-SA"/>
                <w14:ligatures w14:val="none"/>
              </w:rPr>
              <w:t>25</w:t>
            </w:r>
          </w:p>
        </w:tc>
      </w:tr>
      <w:tr w:rsidR="007A7DCE" w:rsidRPr="0078036E" w14:paraId="66040448" w14:textId="77777777" w:rsidTr="0049031D">
        <w:trPr>
          <w:trHeight w:val="20"/>
          <w:jc w:val="center"/>
        </w:trPr>
        <w:tc>
          <w:tcPr>
            <w:tcW w:w="421" w:type="dxa"/>
            <w:vAlign w:val="center"/>
          </w:tcPr>
          <w:p w14:paraId="61CE1B12" w14:textId="43252E79"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w:t>
            </w:r>
          </w:p>
        </w:tc>
        <w:tc>
          <w:tcPr>
            <w:tcW w:w="1391" w:type="dxa"/>
            <w:vAlign w:val="center"/>
          </w:tcPr>
          <w:p w14:paraId="3AF1675E" w14:textId="0474BC8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Karnataka</w:t>
            </w:r>
          </w:p>
        </w:tc>
        <w:tc>
          <w:tcPr>
            <w:tcW w:w="978" w:type="dxa"/>
            <w:vAlign w:val="center"/>
          </w:tcPr>
          <w:p w14:paraId="5A175537" w14:textId="22EBDE1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2411</w:t>
            </w:r>
            <w:r w:rsidR="009502F3">
              <w:rPr>
                <w:rFonts w:ascii="Times New Roman" w:eastAsia="Times New Roman" w:hAnsi="Times New Roman" w:cs="Times New Roman"/>
                <w:color w:val="000000"/>
                <w:kern w:val="0"/>
                <w:sz w:val="16"/>
                <w:szCs w:val="16"/>
                <w:lang w:eastAsia="en-IN" w:bidi="ar-SA"/>
                <w14:ligatures w14:val="none"/>
              </w:rPr>
              <w:t>.00</w:t>
            </w:r>
          </w:p>
        </w:tc>
        <w:tc>
          <w:tcPr>
            <w:tcW w:w="976" w:type="dxa"/>
            <w:vAlign w:val="center"/>
          </w:tcPr>
          <w:p w14:paraId="4C2D178A" w14:textId="203A500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2616.</w:t>
            </w:r>
            <w:r w:rsidR="000501AC">
              <w:rPr>
                <w:rFonts w:ascii="Times New Roman" w:eastAsia="Times New Roman" w:hAnsi="Times New Roman" w:cs="Times New Roman"/>
                <w:color w:val="000000"/>
                <w:kern w:val="0"/>
                <w:sz w:val="16"/>
                <w:szCs w:val="16"/>
                <w:lang w:eastAsia="en-IN" w:bidi="ar-SA"/>
                <w14:ligatures w14:val="none"/>
              </w:rPr>
              <w:t>66</w:t>
            </w:r>
          </w:p>
        </w:tc>
        <w:tc>
          <w:tcPr>
            <w:tcW w:w="1073" w:type="dxa"/>
            <w:vAlign w:val="center"/>
          </w:tcPr>
          <w:p w14:paraId="78ECECEF" w14:textId="089937B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2839.</w:t>
            </w:r>
            <w:r w:rsidR="00FB1322">
              <w:rPr>
                <w:rFonts w:ascii="Times New Roman" w:eastAsia="Times New Roman" w:hAnsi="Times New Roman" w:cs="Times New Roman"/>
                <w:color w:val="000000"/>
                <w:kern w:val="0"/>
                <w:sz w:val="16"/>
                <w:szCs w:val="16"/>
                <w:lang w:eastAsia="en-IN" w:bidi="ar-SA"/>
                <w14:ligatures w14:val="none"/>
              </w:rPr>
              <w:t>86</w:t>
            </w:r>
          </w:p>
        </w:tc>
        <w:tc>
          <w:tcPr>
            <w:tcW w:w="1073" w:type="dxa"/>
            <w:vAlign w:val="center"/>
          </w:tcPr>
          <w:p w14:paraId="344A8AEE" w14:textId="31D758A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3082.1</w:t>
            </w:r>
            <w:r w:rsidR="00FB1322">
              <w:rPr>
                <w:rFonts w:ascii="Times New Roman" w:eastAsia="Times New Roman" w:hAnsi="Times New Roman" w:cs="Times New Roman"/>
                <w:color w:val="000000"/>
                <w:kern w:val="0"/>
                <w:sz w:val="16"/>
                <w:szCs w:val="16"/>
                <w:lang w:eastAsia="en-IN" w:bidi="ar-SA"/>
                <w14:ligatures w14:val="none"/>
              </w:rPr>
              <w:t>0</w:t>
            </w:r>
          </w:p>
        </w:tc>
        <w:tc>
          <w:tcPr>
            <w:tcW w:w="979" w:type="dxa"/>
            <w:vAlign w:val="center"/>
          </w:tcPr>
          <w:p w14:paraId="2AC09AEA" w14:textId="783385A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3345</w:t>
            </w:r>
            <w:r w:rsidR="00D77E9E">
              <w:rPr>
                <w:rFonts w:ascii="Times New Roman" w:eastAsia="Times New Roman" w:hAnsi="Times New Roman" w:cs="Times New Roman"/>
                <w:color w:val="000000"/>
                <w:kern w:val="0"/>
                <w:sz w:val="16"/>
                <w:szCs w:val="16"/>
                <w:lang w:eastAsia="en-IN" w:bidi="ar-SA"/>
                <w14:ligatures w14:val="none"/>
              </w:rPr>
              <w:t>0.01</w:t>
            </w:r>
          </w:p>
        </w:tc>
        <w:tc>
          <w:tcPr>
            <w:tcW w:w="979" w:type="dxa"/>
            <w:vAlign w:val="center"/>
          </w:tcPr>
          <w:p w14:paraId="3A03BD4D" w14:textId="405BC6A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3630.</w:t>
            </w:r>
            <w:r w:rsidR="00C76C82">
              <w:rPr>
                <w:rFonts w:ascii="Times New Roman" w:eastAsia="Times New Roman" w:hAnsi="Times New Roman" w:cs="Times New Roman"/>
                <w:color w:val="000000"/>
                <w:kern w:val="0"/>
                <w:sz w:val="16"/>
                <w:szCs w:val="16"/>
                <w:lang w:eastAsia="en-IN" w:bidi="ar-SA"/>
                <w14:ligatures w14:val="none"/>
              </w:rPr>
              <w:t>34</w:t>
            </w:r>
          </w:p>
        </w:tc>
        <w:tc>
          <w:tcPr>
            <w:tcW w:w="1056" w:type="dxa"/>
            <w:vAlign w:val="center"/>
          </w:tcPr>
          <w:p w14:paraId="3C8218F3" w14:textId="666B62A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1551</w:t>
            </w:r>
            <w:r w:rsidR="00E04F66">
              <w:rPr>
                <w:rFonts w:ascii="Times New Roman" w:eastAsia="Times New Roman" w:hAnsi="Times New Roman" w:cs="Times New Roman"/>
                <w:color w:val="000000"/>
                <w:kern w:val="0"/>
                <w:sz w:val="16"/>
                <w:szCs w:val="16"/>
                <w:lang w:eastAsia="en-IN" w:bidi="ar-SA"/>
                <w14:ligatures w14:val="none"/>
              </w:rPr>
              <w:t>3.98</w:t>
            </w:r>
          </w:p>
        </w:tc>
      </w:tr>
      <w:tr w:rsidR="007A7DCE" w:rsidRPr="0078036E" w14:paraId="3DC8F382" w14:textId="77777777" w:rsidTr="0049031D">
        <w:trPr>
          <w:trHeight w:val="20"/>
          <w:jc w:val="center"/>
        </w:trPr>
        <w:tc>
          <w:tcPr>
            <w:tcW w:w="421" w:type="dxa"/>
            <w:vAlign w:val="center"/>
          </w:tcPr>
          <w:p w14:paraId="4CB0DB94" w14:textId="6132959F"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w:t>
            </w:r>
          </w:p>
        </w:tc>
        <w:tc>
          <w:tcPr>
            <w:tcW w:w="1391" w:type="dxa"/>
            <w:vAlign w:val="center"/>
          </w:tcPr>
          <w:p w14:paraId="37E49D6D" w14:textId="6CA2D4F8"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Kerala</w:t>
            </w:r>
          </w:p>
        </w:tc>
        <w:tc>
          <w:tcPr>
            <w:tcW w:w="978" w:type="dxa"/>
            <w:vAlign w:val="center"/>
          </w:tcPr>
          <w:p w14:paraId="58781E36" w14:textId="1D5ADEB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1464.</w:t>
            </w:r>
            <w:r w:rsidR="009502F3">
              <w:rPr>
                <w:rFonts w:ascii="Times New Roman" w:eastAsia="Times New Roman" w:hAnsi="Times New Roman" w:cs="Times New Roman"/>
                <w:color w:val="000000"/>
                <w:kern w:val="0"/>
                <w:sz w:val="16"/>
                <w:szCs w:val="16"/>
                <w:lang w:eastAsia="en-IN" w:bidi="ar-SA"/>
                <w14:ligatures w14:val="none"/>
              </w:rPr>
              <w:t>09</w:t>
            </w:r>
          </w:p>
        </w:tc>
        <w:tc>
          <w:tcPr>
            <w:tcW w:w="976" w:type="dxa"/>
            <w:vAlign w:val="center"/>
          </w:tcPr>
          <w:p w14:paraId="132BDFA0" w14:textId="781C05B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1552.3</w:t>
            </w:r>
            <w:r w:rsidR="000501AC">
              <w:rPr>
                <w:rFonts w:ascii="Times New Roman" w:eastAsia="Times New Roman" w:hAnsi="Times New Roman" w:cs="Times New Roman"/>
                <w:color w:val="000000"/>
                <w:kern w:val="0"/>
                <w:sz w:val="16"/>
                <w:szCs w:val="16"/>
                <w:lang w:eastAsia="en-IN" w:bidi="ar-SA"/>
                <w14:ligatures w14:val="none"/>
              </w:rPr>
              <w:t>3</w:t>
            </w:r>
          </w:p>
        </w:tc>
        <w:tc>
          <w:tcPr>
            <w:tcW w:w="1073" w:type="dxa"/>
            <w:vAlign w:val="center"/>
          </w:tcPr>
          <w:p w14:paraId="152EC715" w14:textId="54187EC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1645.</w:t>
            </w:r>
            <w:r w:rsidR="00FB1322">
              <w:rPr>
                <w:rFonts w:ascii="Times New Roman" w:eastAsia="Times New Roman" w:hAnsi="Times New Roman" w:cs="Times New Roman"/>
                <w:color w:val="000000"/>
                <w:kern w:val="0"/>
                <w:sz w:val="16"/>
                <w:szCs w:val="16"/>
                <w:lang w:eastAsia="en-IN" w:bidi="ar-SA"/>
                <w14:ligatures w14:val="none"/>
              </w:rPr>
              <w:t>89</w:t>
            </w:r>
          </w:p>
        </w:tc>
        <w:tc>
          <w:tcPr>
            <w:tcW w:w="1073" w:type="dxa"/>
            <w:vAlign w:val="center"/>
          </w:tcPr>
          <w:p w14:paraId="3E982ED2" w14:textId="3E871C2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1745.</w:t>
            </w:r>
            <w:r w:rsidR="00FB1322">
              <w:rPr>
                <w:rFonts w:ascii="Times New Roman" w:eastAsia="Times New Roman" w:hAnsi="Times New Roman" w:cs="Times New Roman"/>
                <w:color w:val="000000"/>
                <w:kern w:val="0"/>
                <w:sz w:val="16"/>
                <w:szCs w:val="16"/>
                <w:lang w:eastAsia="en-IN" w:bidi="ar-SA"/>
                <w14:ligatures w14:val="none"/>
              </w:rPr>
              <w:t>08</w:t>
            </w:r>
          </w:p>
        </w:tc>
        <w:tc>
          <w:tcPr>
            <w:tcW w:w="979" w:type="dxa"/>
            <w:vAlign w:val="center"/>
          </w:tcPr>
          <w:p w14:paraId="6F48FEFC" w14:textId="1F85DA0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1850.</w:t>
            </w:r>
            <w:r w:rsidR="00D77E9E">
              <w:rPr>
                <w:rFonts w:ascii="Times New Roman" w:eastAsia="Times New Roman" w:hAnsi="Times New Roman" w:cs="Times New Roman"/>
                <w:color w:val="000000"/>
                <w:kern w:val="0"/>
                <w:sz w:val="16"/>
                <w:szCs w:val="16"/>
                <w:lang w:eastAsia="en-IN" w:bidi="ar-SA"/>
                <w14:ligatures w14:val="none"/>
              </w:rPr>
              <w:t>26</w:t>
            </w:r>
          </w:p>
        </w:tc>
        <w:tc>
          <w:tcPr>
            <w:tcW w:w="979" w:type="dxa"/>
            <w:vAlign w:val="center"/>
          </w:tcPr>
          <w:p w14:paraId="5E6AFB70" w14:textId="248920B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1961.</w:t>
            </w:r>
            <w:r w:rsidR="00C76C82">
              <w:rPr>
                <w:rFonts w:ascii="Times New Roman" w:eastAsia="Times New Roman" w:hAnsi="Times New Roman" w:cs="Times New Roman"/>
                <w:color w:val="000000"/>
                <w:kern w:val="0"/>
                <w:sz w:val="16"/>
                <w:szCs w:val="16"/>
                <w:lang w:eastAsia="en-IN" w:bidi="ar-SA"/>
                <w14:ligatures w14:val="none"/>
              </w:rPr>
              <w:t>78</w:t>
            </w:r>
          </w:p>
        </w:tc>
        <w:tc>
          <w:tcPr>
            <w:tcW w:w="1056" w:type="dxa"/>
            <w:vAlign w:val="center"/>
          </w:tcPr>
          <w:p w14:paraId="493CD51F" w14:textId="40B3EB0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8755.3</w:t>
            </w:r>
            <w:r w:rsidR="00E04F66">
              <w:rPr>
                <w:rFonts w:ascii="Times New Roman" w:eastAsia="Times New Roman" w:hAnsi="Times New Roman" w:cs="Times New Roman"/>
                <w:color w:val="000000"/>
                <w:kern w:val="0"/>
                <w:sz w:val="16"/>
                <w:szCs w:val="16"/>
                <w:lang w:eastAsia="en-IN" w:bidi="ar-SA"/>
                <w14:ligatures w14:val="none"/>
              </w:rPr>
              <w:t>3</w:t>
            </w:r>
          </w:p>
        </w:tc>
      </w:tr>
      <w:tr w:rsidR="007A7DCE" w:rsidRPr="0078036E" w14:paraId="548BC3A1" w14:textId="77777777" w:rsidTr="0049031D">
        <w:trPr>
          <w:trHeight w:val="20"/>
          <w:jc w:val="center"/>
        </w:trPr>
        <w:tc>
          <w:tcPr>
            <w:tcW w:w="421" w:type="dxa"/>
            <w:vAlign w:val="center"/>
          </w:tcPr>
          <w:p w14:paraId="42D106D6" w14:textId="10DCD4C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w:t>
            </w:r>
          </w:p>
        </w:tc>
        <w:tc>
          <w:tcPr>
            <w:tcW w:w="1391" w:type="dxa"/>
            <w:vAlign w:val="center"/>
          </w:tcPr>
          <w:p w14:paraId="68001D1A" w14:textId="02DB8F3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Madhya Pradesh</w:t>
            </w:r>
          </w:p>
        </w:tc>
        <w:tc>
          <w:tcPr>
            <w:tcW w:w="978" w:type="dxa"/>
            <w:vAlign w:val="center"/>
          </w:tcPr>
          <w:p w14:paraId="676954B8" w14:textId="41049BE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3931.</w:t>
            </w:r>
            <w:r w:rsidR="000501AC">
              <w:rPr>
                <w:rFonts w:ascii="Times New Roman" w:eastAsia="Times New Roman" w:hAnsi="Times New Roman" w:cs="Times New Roman"/>
                <w:color w:val="000000"/>
                <w:kern w:val="0"/>
                <w:sz w:val="16"/>
                <w:szCs w:val="16"/>
                <w:lang w:eastAsia="en-IN" w:bidi="ar-SA"/>
                <w14:ligatures w14:val="none"/>
              </w:rPr>
              <w:t>76</w:t>
            </w:r>
          </w:p>
        </w:tc>
        <w:tc>
          <w:tcPr>
            <w:tcW w:w="976" w:type="dxa"/>
            <w:vAlign w:val="center"/>
          </w:tcPr>
          <w:p w14:paraId="4EE414B9" w14:textId="6613FEA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4284.6</w:t>
            </w:r>
            <w:r w:rsidR="000501AC">
              <w:rPr>
                <w:rFonts w:ascii="Times New Roman" w:eastAsia="Times New Roman" w:hAnsi="Times New Roman" w:cs="Times New Roman"/>
                <w:color w:val="000000"/>
                <w:kern w:val="0"/>
                <w:sz w:val="16"/>
                <w:szCs w:val="16"/>
                <w:lang w:eastAsia="en-IN" w:bidi="ar-SA"/>
                <w14:ligatures w14:val="none"/>
              </w:rPr>
              <w:t>2</w:t>
            </w:r>
          </w:p>
        </w:tc>
        <w:tc>
          <w:tcPr>
            <w:tcW w:w="1073" w:type="dxa"/>
            <w:vAlign w:val="center"/>
          </w:tcPr>
          <w:p w14:paraId="1EFBDD0B" w14:textId="6CB797A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4669.</w:t>
            </w:r>
            <w:r w:rsidR="00FB1322">
              <w:rPr>
                <w:rFonts w:ascii="Times New Roman" w:eastAsia="Times New Roman" w:hAnsi="Times New Roman" w:cs="Times New Roman"/>
                <w:color w:val="000000"/>
                <w:kern w:val="0"/>
                <w:sz w:val="16"/>
                <w:szCs w:val="16"/>
                <w:lang w:eastAsia="en-IN" w:bidi="ar-SA"/>
                <w14:ligatures w14:val="none"/>
              </w:rPr>
              <w:t>16</w:t>
            </w:r>
          </w:p>
        </w:tc>
        <w:tc>
          <w:tcPr>
            <w:tcW w:w="1073" w:type="dxa"/>
            <w:vAlign w:val="center"/>
          </w:tcPr>
          <w:p w14:paraId="3F5BAEAF" w14:textId="60508CA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5088.2</w:t>
            </w:r>
            <w:r w:rsidR="00FB1322">
              <w:rPr>
                <w:rFonts w:ascii="Times New Roman" w:eastAsia="Times New Roman" w:hAnsi="Times New Roman" w:cs="Times New Roman"/>
                <w:color w:val="000000"/>
                <w:kern w:val="0"/>
                <w:sz w:val="16"/>
                <w:szCs w:val="16"/>
                <w:lang w:eastAsia="en-IN" w:bidi="ar-SA"/>
                <w14:ligatures w14:val="none"/>
              </w:rPr>
              <w:t>0</w:t>
            </w:r>
          </w:p>
        </w:tc>
        <w:tc>
          <w:tcPr>
            <w:tcW w:w="979" w:type="dxa"/>
            <w:vAlign w:val="center"/>
          </w:tcPr>
          <w:p w14:paraId="3B49588D" w14:textId="2E36F18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5544.</w:t>
            </w:r>
            <w:r w:rsidR="00B904B9">
              <w:rPr>
                <w:rFonts w:ascii="Times New Roman" w:eastAsia="Times New Roman" w:hAnsi="Times New Roman" w:cs="Times New Roman"/>
                <w:color w:val="000000"/>
                <w:kern w:val="0"/>
                <w:sz w:val="16"/>
                <w:szCs w:val="16"/>
                <w:lang w:eastAsia="en-IN" w:bidi="ar-SA"/>
                <w14:ligatures w14:val="none"/>
              </w:rPr>
              <w:t>85</w:t>
            </w:r>
          </w:p>
        </w:tc>
        <w:tc>
          <w:tcPr>
            <w:tcW w:w="979" w:type="dxa"/>
            <w:vAlign w:val="center"/>
          </w:tcPr>
          <w:p w14:paraId="07D6DF0F" w14:textId="2152749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6042.</w:t>
            </w:r>
            <w:r w:rsidR="00C76C82">
              <w:rPr>
                <w:rFonts w:ascii="Times New Roman" w:eastAsia="Times New Roman" w:hAnsi="Times New Roman" w:cs="Times New Roman"/>
                <w:color w:val="000000"/>
                <w:kern w:val="0"/>
                <w:sz w:val="16"/>
                <w:szCs w:val="16"/>
                <w:lang w:eastAsia="en-IN" w:bidi="ar-SA"/>
                <w14:ligatures w14:val="none"/>
              </w:rPr>
              <w:t>49</w:t>
            </w:r>
          </w:p>
        </w:tc>
        <w:tc>
          <w:tcPr>
            <w:tcW w:w="1056" w:type="dxa"/>
            <w:vAlign w:val="center"/>
          </w:tcPr>
          <w:p w14:paraId="59380103" w14:textId="7EB33BD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25629</w:t>
            </w:r>
            <w:r w:rsidR="00E04F66">
              <w:rPr>
                <w:rFonts w:ascii="Times New Roman" w:eastAsia="Times New Roman" w:hAnsi="Times New Roman" w:cs="Times New Roman"/>
                <w:color w:val="000000"/>
                <w:kern w:val="0"/>
                <w:sz w:val="16"/>
                <w:szCs w:val="16"/>
                <w:lang w:eastAsia="en-IN" w:bidi="ar-SA"/>
                <w14:ligatures w14:val="none"/>
              </w:rPr>
              <w:t>.32</w:t>
            </w:r>
          </w:p>
        </w:tc>
      </w:tr>
      <w:tr w:rsidR="007A7DCE" w:rsidRPr="0078036E" w14:paraId="31A20970" w14:textId="77777777" w:rsidTr="0049031D">
        <w:trPr>
          <w:trHeight w:val="20"/>
          <w:jc w:val="center"/>
        </w:trPr>
        <w:tc>
          <w:tcPr>
            <w:tcW w:w="421" w:type="dxa"/>
            <w:vAlign w:val="center"/>
          </w:tcPr>
          <w:p w14:paraId="09424013" w14:textId="3050CE5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w:t>
            </w:r>
          </w:p>
        </w:tc>
        <w:tc>
          <w:tcPr>
            <w:tcW w:w="1391" w:type="dxa"/>
            <w:vAlign w:val="center"/>
          </w:tcPr>
          <w:p w14:paraId="4DA0D30C" w14:textId="2709232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Maharashtra</w:t>
            </w:r>
          </w:p>
        </w:tc>
        <w:tc>
          <w:tcPr>
            <w:tcW w:w="978" w:type="dxa"/>
            <w:vAlign w:val="center"/>
          </w:tcPr>
          <w:p w14:paraId="2DCD4B67" w14:textId="68DDD77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3932.2</w:t>
            </w:r>
            <w:r w:rsidR="000501AC">
              <w:rPr>
                <w:rFonts w:ascii="Times New Roman" w:eastAsia="Times New Roman" w:hAnsi="Times New Roman" w:cs="Times New Roman"/>
                <w:color w:val="000000"/>
                <w:kern w:val="0"/>
                <w:sz w:val="16"/>
                <w:szCs w:val="16"/>
                <w:lang w:eastAsia="en-IN" w:bidi="ar-SA"/>
                <w14:ligatures w14:val="none"/>
              </w:rPr>
              <w:t>2</w:t>
            </w:r>
          </w:p>
        </w:tc>
        <w:tc>
          <w:tcPr>
            <w:tcW w:w="976" w:type="dxa"/>
            <w:vAlign w:val="center"/>
          </w:tcPr>
          <w:p w14:paraId="37D2724E" w14:textId="36D9814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4101.</w:t>
            </w:r>
            <w:r w:rsidR="000501AC">
              <w:rPr>
                <w:rFonts w:ascii="Times New Roman" w:eastAsia="Times New Roman" w:hAnsi="Times New Roman" w:cs="Times New Roman"/>
                <w:color w:val="000000"/>
                <w:kern w:val="0"/>
                <w:sz w:val="16"/>
                <w:szCs w:val="16"/>
                <w:lang w:eastAsia="en-IN" w:bidi="ar-SA"/>
                <w14:ligatures w14:val="none"/>
              </w:rPr>
              <w:t>37</w:t>
            </w:r>
          </w:p>
        </w:tc>
        <w:tc>
          <w:tcPr>
            <w:tcW w:w="1073" w:type="dxa"/>
            <w:vAlign w:val="center"/>
          </w:tcPr>
          <w:p w14:paraId="1F77E38B" w14:textId="05691E4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4277.</w:t>
            </w:r>
            <w:r w:rsidR="00FB1322">
              <w:rPr>
                <w:rFonts w:ascii="Times New Roman" w:eastAsia="Times New Roman" w:hAnsi="Times New Roman" w:cs="Times New Roman"/>
                <w:color w:val="000000"/>
                <w:kern w:val="0"/>
                <w:sz w:val="16"/>
                <w:szCs w:val="16"/>
                <w:lang w:eastAsia="en-IN" w:bidi="ar-SA"/>
                <w14:ligatures w14:val="none"/>
              </w:rPr>
              <w:t>71</w:t>
            </w:r>
          </w:p>
        </w:tc>
        <w:tc>
          <w:tcPr>
            <w:tcW w:w="1073" w:type="dxa"/>
            <w:vAlign w:val="center"/>
          </w:tcPr>
          <w:p w14:paraId="556110BB" w14:textId="38B26A4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4461.</w:t>
            </w:r>
            <w:r w:rsidR="00FB1322">
              <w:rPr>
                <w:rFonts w:ascii="Times New Roman" w:eastAsia="Times New Roman" w:hAnsi="Times New Roman" w:cs="Times New Roman"/>
                <w:color w:val="000000"/>
                <w:kern w:val="0"/>
                <w:sz w:val="16"/>
                <w:szCs w:val="16"/>
                <w:lang w:eastAsia="en-IN" w:bidi="ar-SA"/>
                <w14:ligatures w14:val="none"/>
              </w:rPr>
              <w:t>79</w:t>
            </w:r>
          </w:p>
        </w:tc>
        <w:tc>
          <w:tcPr>
            <w:tcW w:w="979" w:type="dxa"/>
            <w:vAlign w:val="center"/>
          </w:tcPr>
          <w:p w14:paraId="07CBA97B" w14:textId="0CDD389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4653.7</w:t>
            </w:r>
            <w:r w:rsidR="00B904B9">
              <w:rPr>
                <w:rFonts w:ascii="Times New Roman" w:eastAsia="Times New Roman" w:hAnsi="Times New Roman" w:cs="Times New Roman"/>
                <w:color w:val="000000"/>
                <w:kern w:val="0"/>
                <w:sz w:val="16"/>
                <w:szCs w:val="16"/>
                <w:lang w:eastAsia="en-IN" w:bidi="ar-SA"/>
                <w14:ligatures w14:val="none"/>
              </w:rPr>
              <w:t>1</w:t>
            </w:r>
          </w:p>
        </w:tc>
        <w:tc>
          <w:tcPr>
            <w:tcW w:w="979" w:type="dxa"/>
            <w:vAlign w:val="center"/>
          </w:tcPr>
          <w:p w14:paraId="2B319B77" w14:textId="481D582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4853.</w:t>
            </w:r>
            <w:r w:rsidR="00C76C82">
              <w:rPr>
                <w:rFonts w:ascii="Times New Roman" w:eastAsia="Times New Roman" w:hAnsi="Times New Roman" w:cs="Times New Roman"/>
                <w:color w:val="000000"/>
                <w:kern w:val="0"/>
                <w:sz w:val="16"/>
                <w:szCs w:val="16"/>
                <w:lang w:eastAsia="en-IN" w:bidi="ar-SA"/>
                <w14:ligatures w14:val="none"/>
              </w:rPr>
              <w:t>89</w:t>
            </w:r>
          </w:p>
        </w:tc>
        <w:tc>
          <w:tcPr>
            <w:tcW w:w="1056" w:type="dxa"/>
            <w:vAlign w:val="center"/>
          </w:tcPr>
          <w:p w14:paraId="2925FE85" w14:textId="7D36411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2234</w:t>
            </w:r>
            <w:r w:rsidR="00E04F66">
              <w:rPr>
                <w:rFonts w:ascii="Times New Roman" w:eastAsia="Times New Roman" w:hAnsi="Times New Roman" w:cs="Times New Roman"/>
                <w:color w:val="000000"/>
                <w:kern w:val="0"/>
                <w:sz w:val="16"/>
                <w:szCs w:val="16"/>
                <w:lang w:eastAsia="en-IN" w:bidi="ar-SA"/>
                <w14:ligatures w14:val="none"/>
              </w:rPr>
              <w:t>8.54</w:t>
            </w:r>
          </w:p>
        </w:tc>
      </w:tr>
      <w:tr w:rsidR="007A7DCE" w:rsidRPr="0078036E" w14:paraId="28FC21E7" w14:textId="77777777" w:rsidTr="0049031D">
        <w:trPr>
          <w:trHeight w:val="20"/>
          <w:jc w:val="center"/>
        </w:trPr>
        <w:tc>
          <w:tcPr>
            <w:tcW w:w="421" w:type="dxa"/>
            <w:vAlign w:val="center"/>
          </w:tcPr>
          <w:p w14:paraId="6653D25E" w14:textId="6BAD68C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w:t>
            </w:r>
          </w:p>
        </w:tc>
        <w:tc>
          <w:tcPr>
            <w:tcW w:w="1391" w:type="dxa"/>
            <w:vAlign w:val="center"/>
          </w:tcPr>
          <w:p w14:paraId="38BA490C" w14:textId="76991CD6"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Orissa</w:t>
            </w:r>
          </w:p>
        </w:tc>
        <w:tc>
          <w:tcPr>
            <w:tcW w:w="978" w:type="dxa"/>
            <w:vAlign w:val="center"/>
          </w:tcPr>
          <w:p w14:paraId="5D913696" w14:textId="6F298A9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2144.</w:t>
            </w:r>
            <w:r w:rsidR="000501AC">
              <w:rPr>
                <w:rFonts w:ascii="Times New Roman" w:eastAsia="Times New Roman" w:hAnsi="Times New Roman" w:cs="Times New Roman"/>
                <w:color w:val="000000"/>
                <w:kern w:val="0"/>
                <w:sz w:val="16"/>
                <w:szCs w:val="16"/>
                <w:lang w:eastAsia="en-IN" w:bidi="ar-SA"/>
                <w14:ligatures w14:val="none"/>
              </w:rPr>
              <w:t>37</w:t>
            </w:r>
          </w:p>
        </w:tc>
        <w:tc>
          <w:tcPr>
            <w:tcW w:w="976" w:type="dxa"/>
            <w:vAlign w:val="center"/>
          </w:tcPr>
          <w:p w14:paraId="26E8018B" w14:textId="4F77824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2308.</w:t>
            </w:r>
            <w:r w:rsidR="000501AC">
              <w:rPr>
                <w:rFonts w:ascii="Times New Roman" w:eastAsia="Times New Roman" w:hAnsi="Times New Roman" w:cs="Times New Roman"/>
                <w:color w:val="000000"/>
                <w:kern w:val="0"/>
                <w:sz w:val="16"/>
                <w:szCs w:val="16"/>
                <w:lang w:eastAsia="en-IN" w:bidi="ar-SA"/>
                <w14:ligatures w14:val="none"/>
              </w:rPr>
              <w:t>54</w:t>
            </w:r>
          </w:p>
        </w:tc>
        <w:tc>
          <w:tcPr>
            <w:tcW w:w="1073" w:type="dxa"/>
            <w:vAlign w:val="center"/>
          </w:tcPr>
          <w:p w14:paraId="2D8FFE4D" w14:textId="69CC4CC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2485.</w:t>
            </w:r>
            <w:r w:rsidR="00FB1322">
              <w:rPr>
                <w:rFonts w:ascii="Times New Roman" w:eastAsia="Times New Roman" w:hAnsi="Times New Roman" w:cs="Times New Roman"/>
                <w:color w:val="000000"/>
                <w:kern w:val="0"/>
                <w:sz w:val="16"/>
                <w:szCs w:val="16"/>
                <w:lang w:eastAsia="en-IN" w:bidi="ar-SA"/>
                <w14:ligatures w14:val="none"/>
              </w:rPr>
              <w:t>29</w:t>
            </w:r>
          </w:p>
        </w:tc>
        <w:tc>
          <w:tcPr>
            <w:tcW w:w="1073" w:type="dxa"/>
            <w:vAlign w:val="center"/>
          </w:tcPr>
          <w:p w14:paraId="081B8A6C" w14:textId="1CFCFE7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2675.</w:t>
            </w:r>
            <w:r w:rsidR="00FB1322">
              <w:rPr>
                <w:rFonts w:ascii="Times New Roman" w:eastAsia="Times New Roman" w:hAnsi="Times New Roman" w:cs="Times New Roman"/>
                <w:color w:val="000000"/>
                <w:kern w:val="0"/>
                <w:sz w:val="16"/>
                <w:szCs w:val="16"/>
                <w:lang w:eastAsia="en-IN" w:bidi="ar-SA"/>
                <w14:ligatures w14:val="none"/>
              </w:rPr>
              <w:t>57</w:t>
            </w:r>
          </w:p>
        </w:tc>
        <w:tc>
          <w:tcPr>
            <w:tcW w:w="979" w:type="dxa"/>
            <w:vAlign w:val="center"/>
          </w:tcPr>
          <w:p w14:paraId="2399F86D" w14:textId="1DCFC8B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2880.4</w:t>
            </w:r>
            <w:r w:rsidR="00B904B9">
              <w:rPr>
                <w:rFonts w:ascii="Times New Roman" w:eastAsia="Times New Roman" w:hAnsi="Times New Roman" w:cs="Times New Roman"/>
                <w:color w:val="000000"/>
                <w:kern w:val="0"/>
                <w:sz w:val="16"/>
                <w:szCs w:val="16"/>
                <w:lang w:eastAsia="en-IN" w:bidi="ar-SA"/>
                <w14:ligatures w14:val="none"/>
              </w:rPr>
              <w:t>2</w:t>
            </w:r>
          </w:p>
        </w:tc>
        <w:tc>
          <w:tcPr>
            <w:tcW w:w="979" w:type="dxa"/>
            <w:vAlign w:val="center"/>
          </w:tcPr>
          <w:p w14:paraId="64DC20FF" w14:textId="3906B3D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310</w:t>
            </w:r>
            <w:r w:rsidR="00C76C82">
              <w:rPr>
                <w:rFonts w:ascii="Times New Roman" w:eastAsia="Times New Roman" w:hAnsi="Times New Roman" w:cs="Times New Roman"/>
                <w:color w:val="000000"/>
                <w:kern w:val="0"/>
                <w:sz w:val="16"/>
                <w:szCs w:val="16"/>
                <w:lang w:eastAsia="en-IN" w:bidi="ar-SA"/>
                <w14:ligatures w14:val="none"/>
              </w:rPr>
              <w:t>0.95</w:t>
            </w:r>
          </w:p>
        </w:tc>
        <w:tc>
          <w:tcPr>
            <w:tcW w:w="1056" w:type="dxa"/>
            <w:vAlign w:val="center"/>
          </w:tcPr>
          <w:p w14:paraId="6BEAC7B3" w14:textId="5F39CD4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1345</w:t>
            </w:r>
            <w:r w:rsidR="00E04F66">
              <w:rPr>
                <w:rFonts w:ascii="Times New Roman" w:eastAsia="Times New Roman" w:hAnsi="Times New Roman" w:cs="Times New Roman"/>
                <w:color w:val="000000"/>
                <w:kern w:val="0"/>
                <w:sz w:val="16"/>
                <w:szCs w:val="16"/>
                <w:lang w:eastAsia="en-IN" w:bidi="ar-SA"/>
                <w14:ligatures w14:val="none"/>
              </w:rPr>
              <w:t>0.77</w:t>
            </w:r>
          </w:p>
        </w:tc>
      </w:tr>
      <w:tr w:rsidR="007A7DCE" w:rsidRPr="0078036E" w14:paraId="4A1CEB8B" w14:textId="77777777" w:rsidTr="0049031D">
        <w:trPr>
          <w:trHeight w:val="20"/>
          <w:jc w:val="center"/>
        </w:trPr>
        <w:tc>
          <w:tcPr>
            <w:tcW w:w="421" w:type="dxa"/>
            <w:vAlign w:val="center"/>
          </w:tcPr>
          <w:p w14:paraId="6D356B45" w14:textId="52851B6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w:t>
            </w:r>
          </w:p>
        </w:tc>
        <w:tc>
          <w:tcPr>
            <w:tcW w:w="1391" w:type="dxa"/>
            <w:vAlign w:val="center"/>
          </w:tcPr>
          <w:p w14:paraId="356117EC" w14:textId="5779D59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Punjab</w:t>
            </w:r>
          </w:p>
        </w:tc>
        <w:tc>
          <w:tcPr>
            <w:tcW w:w="978" w:type="dxa"/>
            <w:vAlign w:val="center"/>
          </w:tcPr>
          <w:p w14:paraId="68DF9B43" w14:textId="2CDC336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1717.</w:t>
            </w:r>
            <w:r w:rsidR="000501AC">
              <w:rPr>
                <w:rFonts w:ascii="Times New Roman" w:eastAsia="Times New Roman" w:hAnsi="Times New Roman" w:cs="Times New Roman"/>
                <w:color w:val="000000"/>
                <w:kern w:val="0"/>
                <w:sz w:val="16"/>
                <w:szCs w:val="16"/>
                <w:lang w:eastAsia="en-IN" w:bidi="ar-SA"/>
                <w14:ligatures w14:val="none"/>
              </w:rPr>
              <w:t>16</w:t>
            </w:r>
          </w:p>
        </w:tc>
        <w:tc>
          <w:tcPr>
            <w:tcW w:w="976" w:type="dxa"/>
            <w:vAlign w:val="center"/>
          </w:tcPr>
          <w:p w14:paraId="65545412" w14:textId="36CCA9B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1859.1</w:t>
            </w:r>
            <w:r w:rsidR="000501AC">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6F2A249B" w14:textId="7D06EE7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2012.</w:t>
            </w:r>
            <w:r w:rsidR="00FB1322">
              <w:rPr>
                <w:rFonts w:ascii="Times New Roman" w:eastAsia="Times New Roman" w:hAnsi="Times New Roman" w:cs="Times New Roman"/>
                <w:color w:val="000000"/>
                <w:kern w:val="0"/>
                <w:sz w:val="16"/>
                <w:szCs w:val="16"/>
                <w:lang w:eastAsia="en-IN" w:bidi="ar-SA"/>
                <w14:ligatures w14:val="none"/>
              </w:rPr>
              <w:t>77</w:t>
            </w:r>
          </w:p>
        </w:tc>
        <w:tc>
          <w:tcPr>
            <w:tcW w:w="1073" w:type="dxa"/>
            <w:vAlign w:val="center"/>
          </w:tcPr>
          <w:p w14:paraId="3ECB47FE" w14:textId="20E3C3D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2179.</w:t>
            </w:r>
            <w:r w:rsidR="00FB1322">
              <w:rPr>
                <w:rFonts w:ascii="Times New Roman" w:eastAsia="Times New Roman" w:hAnsi="Times New Roman" w:cs="Times New Roman"/>
                <w:color w:val="000000"/>
                <w:kern w:val="0"/>
                <w:sz w:val="16"/>
                <w:szCs w:val="16"/>
                <w:lang w:eastAsia="en-IN" w:bidi="ar-SA"/>
                <w14:ligatures w14:val="none"/>
              </w:rPr>
              <w:t>15</w:t>
            </w:r>
          </w:p>
        </w:tc>
        <w:tc>
          <w:tcPr>
            <w:tcW w:w="979" w:type="dxa"/>
            <w:vAlign w:val="center"/>
          </w:tcPr>
          <w:p w14:paraId="1795B484" w14:textId="5452394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2359.</w:t>
            </w:r>
            <w:r w:rsidR="00B904B9">
              <w:rPr>
                <w:rFonts w:ascii="Times New Roman" w:eastAsia="Times New Roman" w:hAnsi="Times New Roman" w:cs="Times New Roman"/>
                <w:color w:val="000000"/>
                <w:kern w:val="0"/>
                <w:sz w:val="16"/>
                <w:szCs w:val="16"/>
                <w:lang w:eastAsia="en-IN" w:bidi="ar-SA"/>
                <w14:ligatures w14:val="none"/>
              </w:rPr>
              <w:t>27</w:t>
            </w:r>
          </w:p>
        </w:tc>
        <w:tc>
          <w:tcPr>
            <w:tcW w:w="979" w:type="dxa"/>
            <w:vAlign w:val="center"/>
          </w:tcPr>
          <w:p w14:paraId="653AEC3D" w14:textId="392CA15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2554.</w:t>
            </w:r>
            <w:r w:rsidR="00C76C82">
              <w:rPr>
                <w:rFonts w:ascii="Times New Roman" w:eastAsia="Times New Roman" w:hAnsi="Times New Roman" w:cs="Times New Roman"/>
                <w:color w:val="000000"/>
                <w:kern w:val="0"/>
                <w:sz w:val="16"/>
                <w:szCs w:val="16"/>
                <w:lang w:eastAsia="en-IN" w:bidi="ar-SA"/>
                <w14:ligatures w14:val="none"/>
              </w:rPr>
              <w:t>29</w:t>
            </w:r>
          </w:p>
        </w:tc>
        <w:tc>
          <w:tcPr>
            <w:tcW w:w="1056" w:type="dxa"/>
            <w:vAlign w:val="center"/>
          </w:tcPr>
          <w:p w14:paraId="2085DA85" w14:textId="4BCB157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1096</w:t>
            </w:r>
            <w:r w:rsidR="00E04F66">
              <w:rPr>
                <w:rFonts w:ascii="Times New Roman" w:eastAsia="Times New Roman" w:hAnsi="Times New Roman" w:cs="Times New Roman"/>
                <w:color w:val="000000"/>
                <w:kern w:val="0"/>
                <w:sz w:val="16"/>
                <w:szCs w:val="16"/>
                <w:lang w:eastAsia="en-IN" w:bidi="ar-SA"/>
                <w14:ligatures w14:val="none"/>
              </w:rPr>
              <w:t>4.58</w:t>
            </w:r>
          </w:p>
        </w:tc>
      </w:tr>
      <w:tr w:rsidR="007A7DCE" w:rsidRPr="0078036E" w14:paraId="669ED0F4" w14:textId="77777777" w:rsidTr="0049031D">
        <w:trPr>
          <w:trHeight w:val="20"/>
          <w:jc w:val="center"/>
        </w:trPr>
        <w:tc>
          <w:tcPr>
            <w:tcW w:w="421" w:type="dxa"/>
            <w:vAlign w:val="center"/>
          </w:tcPr>
          <w:p w14:paraId="35FDC131" w14:textId="75C3213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w:t>
            </w:r>
          </w:p>
        </w:tc>
        <w:tc>
          <w:tcPr>
            <w:tcW w:w="1391" w:type="dxa"/>
            <w:vAlign w:val="center"/>
          </w:tcPr>
          <w:p w14:paraId="62E93922" w14:textId="59DE2F7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Rajasthan</w:t>
            </w:r>
          </w:p>
        </w:tc>
        <w:tc>
          <w:tcPr>
            <w:tcW w:w="978" w:type="dxa"/>
            <w:vAlign w:val="center"/>
          </w:tcPr>
          <w:p w14:paraId="2841C05E" w14:textId="27FA5E2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2376.</w:t>
            </w:r>
            <w:r w:rsidR="000501AC">
              <w:rPr>
                <w:rFonts w:ascii="Times New Roman" w:eastAsia="Times New Roman" w:hAnsi="Times New Roman" w:cs="Times New Roman"/>
                <w:color w:val="000000"/>
                <w:kern w:val="0"/>
                <w:sz w:val="16"/>
                <w:szCs w:val="16"/>
                <w:lang w:eastAsia="en-IN" w:bidi="ar-SA"/>
                <w14:ligatures w14:val="none"/>
              </w:rPr>
              <w:t>69</w:t>
            </w:r>
          </w:p>
        </w:tc>
        <w:tc>
          <w:tcPr>
            <w:tcW w:w="976" w:type="dxa"/>
            <w:vAlign w:val="center"/>
          </w:tcPr>
          <w:p w14:paraId="7D7DA904" w14:textId="2A6DE76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2567.</w:t>
            </w:r>
            <w:r w:rsidR="000501AC">
              <w:rPr>
                <w:rFonts w:ascii="Times New Roman" w:eastAsia="Times New Roman" w:hAnsi="Times New Roman" w:cs="Times New Roman"/>
                <w:color w:val="000000"/>
                <w:kern w:val="0"/>
                <w:sz w:val="16"/>
                <w:szCs w:val="16"/>
                <w:lang w:eastAsia="en-IN" w:bidi="ar-SA"/>
                <w14:ligatures w14:val="none"/>
              </w:rPr>
              <w:t>05</w:t>
            </w:r>
          </w:p>
        </w:tc>
        <w:tc>
          <w:tcPr>
            <w:tcW w:w="1073" w:type="dxa"/>
            <w:vAlign w:val="center"/>
          </w:tcPr>
          <w:p w14:paraId="58C9FA9C" w14:textId="2CF937E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2772.</w:t>
            </w:r>
            <w:r w:rsidR="00FB1322">
              <w:rPr>
                <w:rFonts w:ascii="Times New Roman" w:eastAsia="Times New Roman" w:hAnsi="Times New Roman" w:cs="Times New Roman"/>
                <w:color w:val="000000"/>
                <w:kern w:val="0"/>
                <w:sz w:val="16"/>
                <w:szCs w:val="16"/>
                <w:lang w:eastAsia="en-IN" w:bidi="ar-SA"/>
                <w14:ligatures w14:val="none"/>
              </w:rPr>
              <w:t>66</w:t>
            </w:r>
          </w:p>
        </w:tc>
        <w:tc>
          <w:tcPr>
            <w:tcW w:w="1073" w:type="dxa"/>
            <w:vAlign w:val="center"/>
          </w:tcPr>
          <w:p w14:paraId="57A00BC3" w14:textId="5CDCB0F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2994.7</w:t>
            </w:r>
            <w:r w:rsidR="00FB1322">
              <w:rPr>
                <w:rFonts w:ascii="Times New Roman" w:eastAsia="Times New Roman" w:hAnsi="Times New Roman" w:cs="Times New Roman"/>
                <w:color w:val="000000"/>
                <w:kern w:val="0"/>
                <w:sz w:val="16"/>
                <w:szCs w:val="16"/>
                <w:lang w:eastAsia="en-IN" w:bidi="ar-SA"/>
                <w14:ligatures w14:val="none"/>
              </w:rPr>
              <w:t>3</w:t>
            </w:r>
          </w:p>
        </w:tc>
        <w:tc>
          <w:tcPr>
            <w:tcW w:w="979" w:type="dxa"/>
            <w:vAlign w:val="center"/>
          </w:tcPr>
          <w:p w14:paraId="31F0108E" w14:textId="4521974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3234.</w:t>
            </w:r>
            <w:r w:rsidR="00B904B9">
              <w:rPr>
                <w:rFonts w:ascii="Times New Roman" w:eastAsia="Times New Roman" w:hAnsi="Times New Roman" w:cs="Times New Roman"/>
                <w:color w:val="000000"/>
                <w:kern w:val="0"/>
                <w:sz w:val="16"/>
                <w:szCs w:val="16"/>
                <w:lang w:eastAsia="en-IN" w:bidi="ar-SA"/>
                <w14:ligatures w14:val="none"/>
              </w:rPr>
              <w:t>59</w:t>
            </w:r>
          </w:p>
        </w:tc>
        <w:tc>
          <w:tcPr>
            <w:tcW w:w="979" w:type="dxa"/>
            <w:vAlign w:val="center"/>
          </w:tcPr>
          <w:p w14:paraId="61B7F3D2" w14:textId="1C29054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3493</w:t>
            </w:r>
            <w:r w:rsidR="00C76C82">
              <w:rPr>
                <w:rFonts w:ascii="Times New Roman" w:eastAsia="Times New Roman" w:hAnsi="Times New Roman" w:cs="Times New Roman"/>
                <w:color w:val="000000"/>
                <w:kern w:val="0"/>
                <w:sz w:val="16"/>
                <w:szCs w:val="16"/>
                <w:lang w:eastAsia="en-IN" w:bidi="ar-SA"/>
                <w14:ligatures w14:val="none"/>
              </w:rPr>
              <w:t>.66</w:t>
            </w:r>
          </w:p>
        </w:tc>
        <w:tc>
          <w:tcPr>
            <w:tcW w:w="1056" w:type="dxa"/>
            <w:vAlign w:val="center"/>
          </w:tcPr>
          <w:p w14:paraId="6911B021" w14:textId="4E1F23F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1506</w:t>
            </w:r>
            <w:r w:rsidR="00E04F66">
              <w:rPr>
                <w:rFonts w:ascii="Times New Roman" w:eastAsia="Times New Roman" w:hAnsi="Times New Roman" w:cs="Times New Roman"/>
                <w:color w:val="000000"/>
                <w:kern w:val="0"/>
                <w:sz w:val="16"/>
                <w:szCs w:val="16"/>
                <w:lang w:eastAsia="en-IN" w:bidi="ar-SA"/>
                <w14:ligatures w14:val="none"/>
              </w:rPr>
              <w:t>2.69</w:t>
            </w:r>
          </w:p>
        </w:tc>
      </w:tr>
      <w:tr w:rsidR="007A7DCE" w:rsidRPr="0078036E" w14:paraId="5C44ACB5" w14:textId="77777777" w:rsidTr="0049031D">
        <w:trPr>
          <w:trHeight w:val="20"/>
          <w:jc w:val="center"/>
        </w:trPr>
        <w:tc>
          <w:tcPr>
            <w:tcW w:w="421" w:type="dxa"/>
            <w:vAlign w:val="center"/>
          </w:tcPr>
          <w:p w14:paraId="610DB5F3" w14:textId="51A27BF6"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w:t>
            </w:r>
          </w:p>
        </w:tc>
        <w:tc>
          <w:tcPr>
            <w:tcW w:w="1391" w:type="dxa"/>
            <w:vAlign w:val="center"/>
          </w:tcPr>
          <w:p w14:paraId="660A2363" w14:textId="617A6EE5"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Tamil Nadu</w:t>
            </w:r>
          </w:p>
        </w:tc>
        <w:tc>
          <w:tcPr>
            <w:tcW w:w="978" w:type="dxa"/>
            <w:vAlign w:val="center"/>
          </w:tcPr>
          <w:p w14:paraId="2DFC6D53" w14:textId="6767BD6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3004.</w:t>
            </w:r>
            <w:r w:rsidR="000501AC">
              <w:rPr>
                <w:rFonts w:ascii="Times New Roman" w:eastAsia="Times New Roman" w:hAnsi="Times New Roman" w:cs="Times New Roman"/>
                <w:color w:val="000000"/>
                <w:kern w:val="0"/>
                <w:sz w:val="16"/>
                <w:szCs w:val="16"/>
                <w:lang w:eastAsia="en-IN" w:bidi="ar-SA"/>
                <w14:ligatures w14:val="none"/>
              </w:rPr>
              <w:t>57</w:t>
            </w:r>
          </w:p>
        </w:tc>
        <w:tc>
          <w:tcPr>
            <w:tcW w:w="976" w:type="dxa"/>
            <w:vAlign w:val="center"/>
          </w:tcPr>
          <w:p w14:paraId="47FAD342" w14:textId="555318D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3133.8</w:t>
            </w:r>
            <w:r w:rsidR="000501AC">
              <w:rPr>
                <w:rFonts w:ascii="Times New Roman" w:eastAsia="Times New Roman" w:hAnsi="Times New Roman" w:cs="Times New Roman"/>
                <w:color w:val="000000"/>
                <w:kern w:val="0"/>
                <w:sz w:val="16"/>
                <w:szCs w:val="16"/>
                <w:lang w:eastAsia="en-IN" w:bidi="ar-SA"/>
                <w14:ligatures w14:val="none"/>
              </w:rPr>
              <w:t>1</w:t>
            </w:r>
          </w:p>
        </w:tc>
        <w:tc>
          <w:tcPr>
            <w:tcW w:w="1073" w:type="dxa"/>
            <w:vAlign w:val="center"/>
          </w:tcPr>
          <w:p w14:paraId="7C87571A" w14:textId="6FE1AA0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3268.6</w:t>
            </w:r>
            <w:r w:rsidR="00FB1322">
              <w:rPr>
                <w:rFonts w:ascii="Times New Roman" w:eastAsia="Times New Roman" w:hAnsi="Times New Roman" w:cs="Times New Roman"/>
                <w:color w:val="000000"/>
                <w:kern w:val="0"/>
                <w:sz w:val="16"/>
                <w:szCs w:val="16"/>
                <w:lang w:eastAsia="en-IN" w:bidi="ar-SA"/>
                <w14:ligatures w14:val="none"/>
              </w:rPr>
              <w:t>1</w:t>
            </w:r>
          </w:p>
        </w:tc>
        <w:tc>
          <w:tcPr>
            <w:tcW w:w="1073" w:type="dxa"/>
            <w:vAlign w:val="center"/>
          </w:tcPr>
          <w:p w14:paraId="6F256F43" w14:textId="197E1E3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3409.2</w:t>
            </w:r>
            <w:r w:rsidR="00FB1322">
              <w:rPr>
                <w:rFonts w:ascii="Times New Roman" w:eastAsia="Times New Roman" w:hAnsi="Times New Roman" w:cs="Times New Roman"/>
                <w:color w:val="000000"/>
                <w:kern w:val="0"/>
                <w:sz w:val="16"/>
                <w:szCs w:val="16"/>
                <w:lang w:eastAsia="en-IN" w:bidi="ar-SA"/>
                <w14:ligatures w14:val="none"/>
              </w:rPr>
              <w:t>0</w:t>
            </w:r>
          </w:p>
        </w:tc>
        <w:tc>
          <w:tcPr>
            <w:tcW w:w="979" w:type="dxa"/>
            <w:vAlign w:val="center"/>
          </w:tcPr>
          <w:p w14:paraId="0A2A500F" w14:textId="34B66EF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3555.8</w:t>
            </w:r>
            <w:r w:rsidR="00B904B9">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144E0686" w14:textId="3F44C80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3708.</w:t>
            </w:r>
            <w:r w:rsidR="00C76C82">
              <w:rPr>
                <w:rFonts w:ascii="Times New Roman" w:eastAsia="Times New Roman" w:hAnsi="Times New Roman" w:cs="Times New Roman"/>
                <w:color w:val="000000"/>
                <w:kern w:val="0"/>
                <w:sz w:val="16"/>
                <w:szCs w:val="16"/>
                <w:lang w:eastAsia="en-IN" w:bidi="ar-SA"/>
                <w14:ligatures w14:val="none"/>
              </w:rPr>
              <w:t>79</w:t>
            </w:r>
          </w:p>
        </w:tc>
        <w:tc>
          <w:tcPr>
            <w:tcW w:w="1056" w:type="dxa"/>
            <w:vAlign w:val="center"/>
          </w:tcPr>
          <w:p w14:paraId="105D0991" w14:textId="03709CD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1707</w:t>
            </w:r>
            <w:r w:rsidR="00E04F66">
              <w:rPr>
                <w:rFonts w:ascii="Times New Roman" w:eastAsia="Times New Roman" w:hAnsi="Times New Roman" w:cs="Times New Roman"/>
                <w:color w:val="000000"/>
                <w:kern w:val="0"/>
                <w:sz w:val="16"/>
                <w:szCs w:val="16"/>
                <w:lang w:eastAsia="en-IN" w:bidi="ar-SA"/>
                <w14:ligatures w14:val="none"/>
              </w:rPr>
              <w:t>2.26</w:t>
            </w:r>
          </w:p>
        </w:tc>
      </w:tr>
      <w:tr w:rsidR="007A7DCE" w:rsidRPr="0078036E" w14:paraId="526306DE" w14:textId="77777777" w:rsidTr="0049031D">
        <w:trPr>
          <w:trHeight w:val="20"/>
          <w:jc w:val="center"/>
        </w:trPr>
        <w:tc>
          <w:tcPr>
            <w:tcW w:w="421" w:type="dxa"/>
            <w:vAlign w:val="center"/>
          </w:tcPr>
          <w:p w14:paraId="6357B151" w14:textId="3C0B4DE9"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w:t>
            </w:r>
          </w:p>
        </w:tc>
        <w:tc>
          <w:tcPr>
            <w:tcW w:w="1391" w:type="dxa"/>
            <w:vAlign w:val="center"/>
          </w:tcPr>
          <w:p w14:paraId="363A586D" w14:textId="18B8C6A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Uttar Pradesh</w:t>
            </w:r>
          </w:p>
        </w:tc>
        <w:tc>
          <w:tcPr>
            <w:tcW w:w="978" w:type="dxa"/>
            <w:vAlign w:val="center"/>
          </w:tcPr>
          <w:p w14:paraId="775F2BEE" w14:textId="11D96C4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3902.2</w:t>
            </w:r>
            <w:r w:rsidR="000501AC">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19253D9A" w14:textId="28B2906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421</w:t>
            </w:r>
            <w:r w:rsidR="000501AC">
              <w:rPr>
                <w:rFonts w:ascii="Times New Roman" w:eastAsia="Times New Roman" w:hAnsi="Times New Roman" w:cs="Times New Roman"/>
                <w:color w:val="000000"/>
                <w:kern w:val="0"/>
                <w:sz w:val="16"/>
                <w:szCs w:val="16"/>
                <w:lang w:eastAsia="en-IN" w:bidi="ar-SA"/>
                <w14:ligatures w14:val="none"/>
              </w:rPr>
              <w:t>6.95</w:t>
            </w:r>
          </w:p>
        </w:tc>
        <w:tc>
          <w:tcPr>
            <w:tcW w:w="1073" w:type="dxa"/>
            <w:vAlign w:val="center"/>
          </w:tcPr>
          <w:p w14:paraId="44B90567" w14:textId="198E9A0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4557.</w:t>
            </w:r>
            <w:r w:rsidR="00FB1322">
              <w:rPr>
                <w:rFonts w:ascii="Times New Roman" w:eastAsia="Times New Roman" w:hAnsi="Times New Roman" w:cs="Times New Roman"/>
                <w:color w:val="000000"/>
                <w:kern w:val="0"/>
                <w:sz w:val="16"/>
                <w:szCs w:val="16"/>
                <w:lang w:eastAsia="en-IN" w:bidi="ar-SA"/>
                <w14:ligatures w14:val="none"/>
              </w:rPr>
              <w:t>09</w:t>
            </w:r>
          </w:p>
        </w:tc>
        <w:tc>
          <w:tcPr>
            <w:tcW w:w="1073" w:type="dxa"/>
            <w:vAlign w:val="center"/>
          </w:tcPr>
          <w:p w14:paraId="09110CB3" w14:textId="425369A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4924.</w:t>
            </w:r>
            <w:r w:rsidR="00FB1322">
              <w:rPr>
                <w:rFonts w:ascii="Times New Roman" w:eastAsia="Times New Roman" w:hAnsi="Times New Roman" w:cs="Times New Roman"/>
                <w:color w:val="000000"/>
                <w:kern w:val="0"/>
                <w:sz w:val="16"/>
                <w:szCs w:val="16"/>
                <w:lang w:eastAsia="en-IN" w:bidi="ar-SA"/>
                <w14:ligatures w14:val="none"/>
              </w:rPr>
              <w:t>66</w:t>
            </w:r>
          </w:p>
        </w:tc>
        <w:tc>
          <w:tcPr>
            <w:tcW w:w="979" w:type="dxa"/>
            <w:vAlign w:val="center"/>
          </w:tcPr>
          <w:p w14:paraId="6E20DF0E" w14:textId="0CEC680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5321.</w:t>
            </w:r>
            <w:r w:rsidR="00B904B9">
              <w:rPr>
                <w:rFonts w:ascii="Times New Roman" w:eastAsia="Times New Roman" w:hAnsi="Times New Roman" w:cs="Times New Roman"/>
                <w:color w:val="000000"/>
                <w:kern w:val="0"/>
                <w:sz w:val="16"/>
                <w:szCs w:val="16"/>
                <w:lang w:eastAsia="en-IN" w:bidi="ar-SA"/>
                <w14:ligatures w14:val="none"/>
              </w:rPr>
              <w:t>88</w:t>
            </w:r>
          </w:p>
        </w:tc>
        <w:tc>
          <w:tcPr>
            <w:tcW w:w="979" w:type="dxa"/>
            <w:vAlign w:val="center"/>
          </w:tcPr>
          <w:p w14:paraId="7E1A067B" w14:textId="4CB9EED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5751.1</w:t>
            </w:r>
            <w:r w:rsidR="00C76C82">
              <w:rPr>
                <w:rFonts w:ascii="Times New Roman" w:eastAsia="Times New Roman" w:hAnsi="Times New Roman" w:cs="Times New Roman"/>
                <w:color w:val="000000"/>
                <w:kern w:val="0"/>
                <w:sz w:val="16"/>
                <w:szCs w:val="16"/>
                <w:lang w:eastAsia="en-IN" w:bidi="ar-SA"/>
                <w14:ligatures w14:val="none"/>
              </w:rPr>
              <w:t>4</w:t>
            </w:r>
          </w:p>
        </w:tc>
        <w:tc>
          <w:tcPr>
            <w:tcW w:w="1056" w:type="dxa"/>
            <w:vAlign w:val="center"/>
          </w:tcPr>
          <w:p w14:paraId="47779A30" w14:textId="3D76D02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2477</w:t>
            </w:r>
            <w:r w:rsidR="00E04F66">
              <w:rPr>
                <w:rFonts w:ascii="Times New Roman" w:eastAsia="Times New Roman" w:hAnsi="Times New Roman" w:cs="Times New Roman"/>
                <w:color w:val="000000"/>
                <w:kern w:val="0"/>
                <w:sz w:val="16"/>
                <w:szCs w:val="16"/>
                <w:lang w:eastAsia="en-IN" w:bidi="ar-SA"/>
                <w14:ligatures w14:val="none"/>
              </w:rPr>
              <w:t>1.73</w:t>
            </w:r>
          </w:p>
        </w:tc>
      </w:tr>
      <w:tr w:rsidR="007A7DCE" w:rsidRPr="0078036E" w14:paraId="34C6113E" w14:textId="77777777" w:rsidTr="0049031D">
        <w:trPr>
          <w:trHeight w:val="20"/>
          <w:jc w:val="center"/>
        </w:trPr>
        <w:tc>
          <w:tcPr>
            <w:tcW w:w="421" w:type="dxa"/>
            <w:vAlign w:val="center"/>
          </w:tcPr>
          <w:p w14:paraId="0F6C5618" w14:textId="2D9041B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w:t>
            </w:r>
          </w:p>
        </w:tc>
        <w:tc>
          <w:tcPr>
            <w:tcW w:w="1391" w:type="dxa"/>
            <w:vAlign w:val="center"/>
          </w:tcPr>
          <w:p w14:paraId="4A2F876C" w14:textId="1235697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West Bengal</w:t>
            </w:r>
          </w:p>
        </w:tc>
        <w:tc>
          <w:tcPr>
            <w:tcW w:w="978" w:type="dxa"/>
            <w:vAlign w:val="center"/>
          </w:tcPr>
          <w:p w14:paraId="1C6B16A0" w14:textId="762B92A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287</w:t>
            </w:r>
            <w:r w:rsidR="000501AC">
              <w:rPr>
                <w:rFonts w:ascii="Times New Roman" w:eastAsia="Times New Roman" w:hAnsi="Times New Roman" w:cs="Times New Roman"/>
                <w:color w:val="000000"/>
                <w:kern w:val="0"/>
                <w:sz w:val="16"/>
                <w:szCs w:val="16"/>
                <w:lang w:eastAsia="en-IN" w:bidi="ar-SA"/>
                <w14:ligatures w14:val="none"/>
              </w:rPr>
              <w:t>1.10</w:t>
            </w:r>
          </w:p>
        </w:tc>
        <w:tc>
          <w:tcPr>
            <w:tcW w:w="976" w:type="dxa"/>
            <w:vAlign w:val="center"/>
          </w:tcPr>
          <w:p w14:paraId="534FAA2D" w14:textId="6E96AB3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3130</w:t>
            </w:r>
            <w:r w:rsidR="000501AC">
              <w:rPr>
                <w:rFonts w:ascii="Times New Roman" w:eastAsia="Times New Roman" w:hAnsi="Times New Roman" w:cs="Times New Roman"/>
                <w:color w:val="000000"/>
                <w:kern w:val="0"/>
                <w:sz w:val="16"/>
                <w:szCs w:val="16"/>
                <w:lang w:eastAsia="en-IN" w:bidi="ar-SA"/>
                <w14:ligatures w14:val="none"/>
              </w:rPr>
              <w:t>.01</w:t>
            </w:r>
          </w:p>
        </w:tc>
        <w:tc>
          <w:tcPr>
            <w:tcW w:w="1073" w:type="dxa"/>
            <w:vAlign w:val="center"/>
          </w:tcPr>
          <w:p w14:paraId="32406713" w14:textId="4D71D6C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3412.</w:t>
            </w:r>
            <w:r w:rsidR="00FB1322">
              <w:rPr>
                <w:rFonts w:ascii="Times New Roman" w:eastAsia="Times New Roman" w:hAnsi="Times New Roman" w:cs="Times New Roman"/>
                <w:color w:val="000000"/>
                <w:kern w:val="0"/>
                <w:sz w:val="16"/>
                <w:szCs w:val="16"/>
                <w:lang w:eastAsia="en-IN" w:bidi="ar-SA"/>
                <w14:ligatures w14:val="none"/>
              </w:rPr>
              <w:t>26</w:t>
            </w:r>
          </w:p>
        </w:tc>
        <w:tc>
          <w:tcPr>
            <w:tcW w:w="1073" w:type="dxa"/>
            <w:vAlign w:val="center"/>
          </w:tcPr>
          <w:p w14:paraId="6BBF1EDD" w14:textId="27D6FB9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372</w:t>
            </w:r>
            <w:r w:rsidR="00FB1322">
              <w:rPr>
                <w:rFonts w:ascii="Times New Roman" w:eastAsia="Times New Roman" w:hAnsi="Times New Roman" w:cs="Times New Roman"/>
                <w:color w:val="000000"/>
                <w:kern w:val="0"/>
                <w:sz w:val="16"/>
                <w:szCs w:val="16"/>
                <w:lang w:eastAsia="en-IN" w:bidi="ar-SA"/>
                <w14:ligatures w14:val="none"/>
              </w:rPr>
              <w:t>9.96</w:t>
            </w:r>
          </w:p>
        </w:tc>
        <w:tc>
          <w:tcPr>
            <w:tcW w:w="979" w:type="dxa"/>
            <w:vAlign w:val="center"/>
          </w:tcPr>
          <w:p w14:paraId="1E0FF1C2" w14:textId="646038C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4055.4</w:t>
            </w:r>
            <w:r w:rsidR="00B904B9">
              <w:rPr>
                <w:rFonts w:ascii="Times New Roman" w:eastAsia="Times New Roman" w:hAnsi="Times New Roman" w:cs="Times New Roman"/>
                <w:color w:val="000000"/>
                <w:kern w:val="0"/>
                <w:sz w:val="16"/>
                <w:szCs w:val="16"/>
                <w:lang w:eastAsia="en-IN" w:bidi="ar-SA"/>
                <w14:ligatures w14:val="none"/>
              </w:rPr>
              <w:t>1</w:t>
            </w:r>
          </w:p>
        </w:tc>
        <w:tc>
          <w:tcPr>
            <w:tcW w:w="979" w:type="dxa"/>
            <w:vAlign w:val="center"/>
          </w:tcPr>
          <w:p w14:paraId="64BA617D" w14:textId="140D4A9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4421.1</w:t>
            </w:r>
            <w:r w:rsidR="00C76C82">
              <w:rPr>
                <w:rFonts w:ascii="Times New Roman" w:eastAsia="Times New Roman" w:hAnsi="Times New Roman" w:cs="Times New Roman"/>
                <w:color w:val="000000"/>
                <w:kern w:val="0"/>
                <w:sz w:val="16"/>
                <w:szCs w:val="16"/>
                <w:lang w:eastAsia="en-IN" w:bidi="ar-SA"/>
                <w14:ligatures w14:val="none"/>
              </w:rPr>
              <w:t>2</w:t>
            </w:r>
          </w:p>
        </w:tc>
        <w:tc>
          <w:tcPr>
            <w:tcW w:w="1056" w:type="dxa"/>
            <w:vAlign w:val="center"/>
          </w:tcPr>
          <w:p w14:paraId="5D3AD339" w14:textId="24B8CD7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1873</w:t>
            </w:r>
            <w:r w:rsidR="00E04F66">
              <w:rPr>
                <w:rFonts w:ascii="Times New Roman" w:eastAsia="Times New Roman" w:hAnsi="Times New Roman" w:cs="Times New Roman"/>
                <w:color w:val="000000"/>
                <w:kern w:val="0"/>
                <w:sz w:val="16"/>
                <w:szCs w:val="16"/>
                <w:lang w:eastAsia="en-IN" w:bidi="ar-SA"/>
                <w14:ligatures w14:val="none"/>
              </w:rPr>
              <w:t>8.76</w:t>
            </w:r>
          </w:p>
        </w:tc>
      </w:tr>
      <w:tr w:rsidR="007A7DCE" w:rsidRPr="0078036E" w14:paraId="10C5ECD1" w14:textId="77777777" w:rsidTr="0049031D">
        <w:trPr>
          <w:trHeight w:val="20"/>
          <w:jc w:val="center"/>
        </w:trPr>
        <w:tc>
          <w:tcPr>
            <w:tcW w:w="421" w:type="dxa"/>
            <w:vAlign w:val="center"/>
          </w:tcPr>
          <w:p w14:paraId="7B5768B4" w14:textId="4A054DD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lastRenderedPageBreak/>
              <w:t>14</w:t>
            </w:r>
          </w:p>
        </w:tc>
        <w:tc>
          <w:tcPr>
            <w:tcW w:w="1391" w:type="dxa"/>
            <w:vAlign w:val="center"/>
          </w:tcPr>
          <w:p w14:paraId="6358BF0B" w14:textId="0F7D03B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Major States</w:t>
            </w:r>
          </w:p>
        </w:tc>
        <w:tc>
          <w:tcPr>
            <w:tcW w:w="978" w:type="dxa"/>
            <w:vAlign w:val="center"/>
          </w:tcPr>
          <w:p w14:paraId="5EA5FA5C" w14:textId="4462F08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3751</w:t>
            </w:r>
            <w:r w:rsidR="000501AC">
              <w:rPr>
                <w:rFonts w:ascii="Times New Roman" w:eastAsia="Times New Roman" w:hAnsi="Times New Roman" w:cs="Times New Roman"/>
                <w:b/>
                <w:bCs/>
                <w:color w:val="000000"/>
                <w:kern w:val="0"/>
                <w:sz w:val="16"/>
                <w:szCs w:val="16"/>
                <w:lang w:eastAsia="en-IN" w:bidi="ar-SA"/>
                <w14:ligatures w14:val="none"/>
              </w:rPr>
              <w:t>6.73</w:t>
            </w:r>
          </w:p>
        </w:tc>
        <w:tc>
          <w:tcPr>
            <w:tcW w:w="976" w:type="dxa"/>
            <w:vAlign w:val="center"/>
          </w:tcPr>
          <w:p w14:paraId="208294CF" w14:textId="430D238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4013</w:t>
            </w:r>
            <w:r w:rsidR="000501AC">
              <w:rPr>
                <w:rFonts w:ascii="Times New Roman" w:eastAsia="Times New Roman" w:hAnsi="Times New Roman" w:cs="Times New Roman"/>
                <w:b/>
                <w:bCs/>
                <w:color w:val="000000"/>
                <w:kern w:val="0"/>
                <w:sz w:val="16"/>
                <w:szCs w:val="16"/>
                <w:lang w:eastAsia="en-IN" w:bidi="ar-SA"/>
                <w14:ligatures w14:val="none"/>
              </w:rPr>
              <w:t>8.53</w:t>
            </w:r>
          </w:p>
        </w:tc>
        <w:tc>
          <w:tcPr>
            <w:tcW w:w="1073" w:type="dxa"/>
            <w:vAlign w:val="center"/>
          </w:tcPr>
          <w:p w14:paraId="4C938691" w14:textId="3AA1C2F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4295</w:t>
            </w:r>
            <w:r w:rsidR="00FB1322">
              <w:rPr>
                <w:rFonts w:ascii="Times New Roman" w:eastAsia="Times New Roman" w:hAnsi="Times New Roman" w:cs="Times New Roman"/>
                <w:b/>
                <w:bCs/>
                <w:color w:val="000000"/>
                <w:kern w:val="0"/>
                <w:sz w:val="16"/>
                <w:szCs w:val="16"/>
                <w:lang w:eastAsia="en-IN" w:bidi="ar-SA"/>
                <w14:ligatures w14:val="none"/>
              </w:rPr>
              <w:t>5.93</w:t>
            </w:r>
          </w:p>
        </w:tc>
        <w:tc>
          <w:tcPr>
            <w:tcW w:w="1073" w:type="dxa"/>
            <w:vAlign w:val="center"/>
          </w:tcPr>
          <w:p w14:paraId="529E3973" w14:textId="1D7DE05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45984</w:t>
            </w:r>
            <w:r w:rsidR="00FB1322">
              <w:rPr>
                <w:rFonts w:ascii="Times New Roman" w:eastAsia="Times New Roman" w:hAnsi="Times New Roman" w:cs="Times New Roman"/>
                <w:b/>
                <w:bCs/>
                <w:color w:val="000000"/>
                <w:kern w:val="0"/>
                <w:sz w:val="16"/>
                <w:szCs w:val="16"/>
                <w:lang w:eastAsia="en-IN" w:bidi="ar-SA"/>
                <w14:ligatures w14:val="none"/>
              </w:rPr>
              <w:t>.19</w:t>
            </w:r>
          </w:p>
        </w:tc>
        <w:tc>
          <w:tcPr>
            <w:tcW w:w="979" w:type="dxa"/>
            <w:vAlign w:val="center"/>
          </w:tcPr>
          <w:p w14:paraId="1B0EC347" w14:textId="29F712C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4924</w:t>
            </w:r>
            <w:r w:rsidR="00A54409">
              <w:rPr>
                <w:rFonts w:ascii="Times New Roman" w:eastAsia="Times New Roman" w:hAnsi="Times New Roman" w:cs="Times New Roman"/>
                <w:b/>
                <w:bCs/>
                <w:color w:val="000000"/>
                <w:kern w:val="0"/>
                <w:sz w:val="16"/>
                <w:szCs w:val="16"/>
                <w:lang w:eastAsia="en-IN" w:bidi="ar-SA"/>
                <w14:ligatures w14:val="none"/>
              </w:rPr>
              <w:t>9.81</w:t>
            </w:r>
          </w:p>
        </w:tc>
        <w:tc>
          <w:tcPr>
            <w:tcW w:w="979" w:type="dxa"/>
            <w:vAlign w:val="center"/>
          </w:tcPr>
          <w:p w14:paraId="20662DBF" w14:textId="371286F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5274</w:t>
            </w:r>
            <w:r w:rsidR="00C76C82">
              <w:rPr>
                <w:rFonts w:ascii="Times New Roman" w:eastAsia="Times New Roman" w:hAnsi="Times New Roman" w:cs="Times New Roman"/>
                <w:b/>
                <w:bCs/>
                <w:color w:val="000000"/>
                <w:kern w:val="0"/>
                <w:sz w:val="16"/>
                <w:szCs w:val="16"/>
                <w:lang w:eastAsia="en-IN" w:bidi="ar-SA"/>
                <w14:ligatures w14:val="none"/>
              </w:rPr>
              <w:t>0.61</w:t>
            </w:r>
          </w:p>
        </w:tc>
        <w:tc>
          <w:tcPr>
            <w:tcW w:w="1056" w:type="dxa"/>
            <w:vAlign w:val="center"/>
          </w:tcPr>
          <w:p w14:paraId="0AF5BFA6" w14:textId="7C2150E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231059</w:t>
            </w:r>
            <w:r w:rsidR="00E04F66">
              <w:rPr>
                <w:rFonts w:ascii="Times New Roman" w:eastAsia="Times New Roman" w:hAnsi="Times New Roman" w:cs="Times New Roman"/>
                <w:b/>
                <w:bCs/>
                <w:color w:val="000000"/>
                <w:kern w:val="0"/>
                <w:sz w:val="16"/>
                <w:szCs w:val="16"/>
                <w:lang w:eastAsia="en-IN" w:bidi="ar-SA"/>
                <w14:ligatures w14:val="none"/>
              </w:rPr>
              <w:t>.06</w:t>
            </w:r>
          </w:p>
        </w:tc>
      </w:tr>
      <w:tr w:rsidR="007A7DCE" w:rsidRPr="0078036E" w14:paraId="575C9D96" w14:textId="77777777" w:rsidTr="00AB17C7">
        <w:trPr>
          <w:trHeight w:val="20"/>
          <w:jc w:val="center"/>
        </w:trPr>
        <w:tc>
          <w:tcPr>
            <w:tcW w:w="8926" w:type="dxa"/>
            <w:gridSpan w:val="9"/>
            <w:vAlign w:val="center"/>
          </w:tcPr>
          <w:p w14:paraId="294BADF0" w14:textId="7942DCD8"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BB6DC9">
              <w:rPr>
                <w:rFonts w:ascii="Times New Roman" w:hAnsi="Times New Roman" w:cs="Times New Roman"/>
                <w:b/>
                <w:bCs/>
                <w:sz w:val="20"/>
                <w:szCs w:val="20"/>
              </w:rPr>
              <w:t>Expenditure Category: Industry And Minerals</w:t>
            </w:r>
          </w:p>
        </w:tc>
      </w:tr>
      <w:tr w:rsidR="007A7DCE" w:rsidRPr="0078036E" w14:paraId="5C8B7016" w14:textId="77777777" w:rsidTr="0049031D">
        <w:trPr>
          <w:trHeight w:val="20"/>
          <w:jc w:val="center"/>
        </w:trPr>
        <w:tc>
          <w:tcPr>
            <w:tcW w:w="421" w:type="dxa"/>
            <w:vAlign w:val="center"/>
          </w:tcPr>
          <w:p w14:paraId="30E5F5B0" w14:textId="1F0AE3D1"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No.</w:t>
            </w:r>
          </w:p>
        </w:tc>
        <w:tc>
          <w:tcPr>
            <w:tcW w:w="1391" w:type="dxa"/>
            <w:vAlign w:val="center"/>
          </w:tcPr>
          <w:p w14:paraId="010F40C6" w14:textId="7FD279ED"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State</w:t>
            </w:r>
          </w:p>
        </w:tc>
        <w:tc>
          <w:tcPr>
            <w:tcW w:w="978" w:type="dxa"/>
            <w:vAlign w:val="center"/>
          </w:tcPr>
          <w:p w14:paraId="4134AB9E" w14:textId="489C715B"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1989-90</w:t>
            </w:r>
          </w:p>
        </w:tc>
        <w:tc>
          <w:tcPr>
            <w:tcW w:w="976" w:type="dxa"/>
            <w:vAlign w:val="center"/>
          </w:tcPr>
          <w:p w14:paraId="1CA8B560" w14:textId="34B59E6E"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1990-91</w:t>
            </w:r>
          </w:p>
        </w:tc>
        <w:tc>
          <w:tcPr>
            <w:tcW w:w="1073" w:type="dxa"/>
            <w:vAlign w:val="center"/>
          </w:tcPr>
          <w:p w14:paraId="0F42F52D" w14:textId="368BAACB"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1991-92</w:t>
            </w:r>
          </w:p>
        </w:tc>
        <w:tc>
          <w:tcPr>
            <w:tcW w:w="1073" w:type="dxa"/>
            <w:vAlign w:val="center"/>
          </w:tcPr>
          <w:p w14:paraId="16C475E6" w14:textId="2723F681"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1992-93</w:t>
            </w:r>
          </w:p>
        </w:tc>
        <w:tc>
          <w:tcPr>
            <w:tcW w:w="979" w:type="dxa"/>
            <w:vAlign w:val="center"/>
          </w:tcPr>
          <w:p w14:paraId="09EBB507" w14:textId="29B474A7"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1993-94</w:t>
            </w:r>
          </w:p>
        </w:tc>
        <w:tc>
          <w:tcPr>
            <w:tcW w:w="979" w:type="dxa"/>
            <w:vAlign w:val="center"/>
          </w:tcPr>
          <w:p w14:paraId="328C710F" w14:textId="0AEBF094"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1994-95</w:t>
            </w:r>
          </w:p>
        </w:tc>
        <w:tc>
          <w:tcPr>
            <w:tcW w:w="1056" w:type="dxa"/>
            <w:vAlign w:val="center"/>
          </w:tcPr>
          <w:p w14:paraId="50DA2A09" w14:textId="1879234D"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1990-91 to 1994-95</w:t>
            </w:r>
          </w:p>
        </w:tc>
      </w:tr>
      <w:tr w:rsidR="007A7DCE" w:rsidRPr="0078036E" w14:paraId="0B6305C7" w14:textId="77777777" w:rsidTr="0049031D">
        <w:trPr>
          <w:trHeight w:val="20"/>
          <w:jc w:val="center"/>
        </w:trPr>
        <w:tc>
          <w:tcPr>
            <w:tcW w:w="421" w:type="dxa"/>
            <w:vAlign w:val="center"/>
          </w:tcPr>
          <w:p w14:paraId="5DF51B68" w14:textId="70E165AD"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w:t>
            </w:r>
          </w:p>
        </w:tc>
        <w:tc>
          <w:tcPr>
            <w:tcW w:w="1391" w:type="dxa"/>
            <w:vAlign w:val="center"/>
          </w:tcPr>
          <w:p w14:paraId="1F295806" w14:textId="12069B81"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Andhra Pradesh</w:t>
            </w:r>
          </w:p>
        </w:tc>
        <w:tc>
          <w:tcPr>
            <w:tcW w:w="978" w:type="dxa"/>
            <w:vAlign w:val="center"/>
          </w:tcPr>
          <w:p w14:paraId="10229F98" w14:textId="22886EDE"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725.14</w:t>
            </w:r>
          </w:p>
        </w:tc>
        <w:tc>
          <w:tcPr>
            <w:tcW w:w="976" w:type="dxa"/>
            <w:vAlign w:val="center"/>
          </w:tcPr>
          <w:p w14:paraId="1B5153A7" w14:textId="67120DAB"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775.76</w:t>
            </w:r>
          </w:p>
        </w:tc>
        <w:tc>
          <w:tcPr>
            <w:tcW w:w="1073" w:type="dxa"/>
            <w:vAlign w:val="center"/>
          </w:tcPr>
          <w:p w14:paraId="1A02E172" w14:textId="3AA33CDA"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829.92</w:t>
            </w:r>
          </w:p>
        </w:tc>
        <w:tc>
          <w:tcPr>
            <w:tcW w:w="1073" w:type="dxa"/>
            <w:vAlign w:val="center"/>
          </w:tcPr>
          <w:p w14:paraId="7B8F9998" w14:textId="236247F8"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887.86</w:t>
            </w:r>
          </w:p>
        </w:tc>
        <w:tc>
          <w:tcPr>
            <w:tcW w:w="979" w:type="dxa"/>
            <w:vAlign w:val="center"/>
          </w:tcPr>
          <w:p w14:paraId="4F044B7D" w14:textId="0C6FC798"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949.84</w:t>
            </w:r>
          </w:p>
        </w:tc>
        <w:tc>
          <w:tcPr>
            <w:tcW w:w="979" w:type="dxa"/>
            <w:vAlign w:val="center"/>
          </w:tcPr>
          <w:p w14:paraId="72D0CA35" w14:textId="3CA2D067"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1016.</w:t>
            </w:r>
            <w:r w:rsidR="00B61E2D">
              <w:rPr>
                <w:rFonts w:ascii="Times New Roman" w:eastAsia="Times New Roman" w:hAnsi="Times New Roman" w:cs="Times New Roman"/>
                <w:color w:val="000000"/>
                <w:kern w:val="0"/>
                <w:sz w:val="16"/>
                <w:szCs w:val="16"/>
                <w:lang w:eastAsia="en-IN" w:bidi="ar-SA"/>
                <w14:ligatures w14:val="none"/>
              </w:rPr>
              <w:t>15</w:t>
            </w:r>
          </w:p>
        </w:tc>
        <w:tc>
          <w:tcPr>
            <w:tcW w:w="1056" w:type="dxa"/>
            <w:vAlign w:val="center"/>
          </w:tcPr>
          <w:p w14:paraId="4EEA3E40" w14:textId="1076B949"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4459.5</w:t>
            </w:r>
            <w:r w:rsidR="004F4D6A">
              <w:rPr>
                <w:rFonts w:ascii="Times New Roman" w:eastAsia="Times New Roman" w:hAnsi="Times New Roman" w:cs="Times New Roman"/>
                <w:color w:val="000000"/>
                <w:kern w:val="0"/>
                <w:sz w:val="16"/>
                <w:szCs w:val="16"/>
                <w:lang w:eastAsia="en-IN" w:bidi="ar-SA"/>
                <w14:ligatures w14:val="none"/>
              </w:rPr>
              <w:t>3</w:t>
            </w:r>
          </w:p>
        </w:tc>
      </w:tr>
      <w:tr w:rsidR="007A7DCE" w:rsidRPr="0078036E" w14:paraId="6A7E5649" w14:textId="77777777" w:rsidTr="0049031D">
        <w:trPr>
          <w:trHeight w:val="20"/>
          <w:jc w:val="center"/>
        </w:trPr>
        <w:tc>
          <w:tcPr>
            <w:tcW w:w="421" w:type="dxa"/>
            <w:vAlign w:val="center"/>
          </w:tcPr>
          <w:p w14:paraId="33256A45" w14:textId="0BC129C8"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w:t>
            </w:r>
          </w:p>
        </w:tc>
        <w:tc>
          <w:tcPr>
            <w:tcW w:w="1391" w:type="dxa"/>
            <w:vAlign w:val="center"/>
          </w:tcPr>
          <w:p w14:paraId="3D6A9FA6" w14:textId="0C6C896B"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Bihar</w:t>
            </w:r>
          </w:p>
        </w:tc>
        <w:tc>
          <w:tcPr>
            <w:tcW w:w="978" w:type="dxa"/>
            <w:vAlign w:val="center"/>
          </w:tcPr>
          <w:p w14:paraId="3E7B8131" w14:textId="661287E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1206.6</w:t>
            </w:r>
            <w:r w:rsidR="00CA00B2">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2317FF22" w14:textId="38A4A6F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1194.3</w:t>
            </w:r>
            <w:r w:rsidR="00CA00B2">
              <w:rPr>
                <w:rFonts w:ascii="Times New Roman" w:eastAsia="Times New Roman" w:hAnsi="Times New Roman" w:cs="Times New Roman"/>
                <w:color w:val="000000"/>
                <w:kern w:val="0"/>
                <w:sz w:val="16"/>
                <w:szCs w:val="16"/>
                <w:lang w:eastAsia="en-IN" w:bidi="ar-SA"/>
                <w14:ligatures w14:val="none"/>
              </w:rPr>
              <w:t>1</w:t>
            </w:r>
          </w:p>
        </w:tc>
        <w:tc>
          <w:tcPr>
            <w:tcW w:w="1073" w:type="dxa"/>
            <w:vAlign w:val="center"/>
          </w:tcPr>
          <w:p w14:paraId="6AA37605" w14:textId="28ED8CA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1182.1</w:t>
            </w:r>
            <w:r w:rsidR="008102F3">
              <w:rPr>
                <w:rFonts w:ascii="Times New Roman" w:eastAsia="Times New Roman" w:hAnsi="Times New Roman" w:cs="Times New Roman"/>
                <w:color w:val="000000"/>
                <w:kern w:val="0"/>
                <w:sz w:val="16"/>
                <w:szCs w:val="16"/>
                <w:lang w:eastAsia="en-IN" w:bidi="ar-SA"/>
                <w14:ligatures w14:val="none"/>
              </w:rPr>
              <w:t>4</w:t>
            </w:r>
          </w:p>
        </w:tc>
        <w:tc>
          <w:tcPr>
            <w:tcW w:w="1073" w:type="dxa"/>
            <w:vAlign w:val="center"/>
          </w:tcPr>
          <w:p w14:paraId="1BF38046" w14:textId="3C39459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1170.1</w:t>
            </w:r>
            <w:r w:rsidR="008102F3">
              <w:rPr>
                <w:rFonts w:ascii="Times New Roman" w:eastAsia="Times New Roman" w:hAnsi="Times New Roman" w:cs="Times New Roman"/>
                <w:color w:val="000000"/>
                <w:kern w:val="0"/>
                <w:sz w:val="16"/>
                <w:szCs w:val="16"/>
                <w:lang w:eastAsia="en-IN" w:bidi="ar-SA"/>
                <w14:ligatures w14:val="none"/>
              </w:rPr>
              <w:t>0</w:t>
            </w:r>
          </w:p>
        </w:tc>
        <w:tc>
          <w:tcPr>
            <w:tcW w:w="979" w:type="dxa"/>
            <w:vAlign w:val="center"/>
          </w:tcPr>
          <w:p w14:paraId="678CCAD4" w14:textId="223075D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1158.</w:t>
            </w:r>
            <w:r w:rsidR="00B61E2D">
              <w:rPr>
                <w:rFonts w:ascii="Times New Roman" w:eastAsia="Times New Roman" w:hAnsi="Times New Roman" w:cs="Times New Roman"/>
                <w:color w:val="000000"/>
                <w:kern w:val="0"/>
                <w:sz w:val="16"/>
                <w:szCs w:val="16"/>
                <w:lang w:eastAsia="en-IN" w:bidi="ar-SA"/>
                <w14:ligatures w14:val="none"/>
              </w:rPr>
              <w:t>18</w:t>
            </w:r>
          </w:p>
        </w:tc>
        <w:tc>
          <w:tcPr>
            <w:tcW w:w="979" w:type="dxa"/>
            <w:vAlign w:val="center"/>
          </w:tcPr>
          <w:p w14:paraId="1F4E1935" w14:textId="02C5BDB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1146.</w:t>
            </w:r>
            <w:r w:rsidR="00B61E2D">
              <w:rPr>
                <w:rFonts w:ascii="Times New Roman" w:eastAsia="Times New Roman" w:hAnsi="Times New Roman" w:cs="Times New Roman"/>
                <w:color w:val="000000"/>
                <w:kern w:val="0"/>
                <w:sz w:val="16"/>
                <w:szCs w:val="16"/>
                <w:lang w:eastAsia="en-IN" w:bidi="ar-SA"/>
                <w14:ligatures w14:val="none"/>
              </w:rPr>
              <w:t>38</w:t>
            </w:r>
          </w:p>
        </w:tc>
        <w:tc>
          <w:tcPr>
            <w:tcW w:w="1056" w:type="dxa"/>
            <w:vAlign w:val="center"/>
          </w:tcPr>
          <w:p w14:paraId="1229D934" w14:textId="35AEE9E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5851.1</w:t>
            </w:r>
            <w:r w:rsidR="004F4D6A">
              <w:rPr>
                <w:rFonts w:ascii="Times New Roman" w:eastAsia="Times New Roman" w:hAnsi="Times New Roman" w:cs="Times New Roman"/>
                <w:color w:val="000000"/>
                <w:kern w:val="0"/>
                <w:sz w:val="16"/>
                <w:szCs w:val="16"/>
                <w:lang w:eastAsia="en-IN" w:bidi="ar-SA"/>
                <w14:ligatures w14:val="none"/>
              </w:rPr>
              <w:t>0</w:t>
            </w:r>
          </w:p>
        </w:tc>
      </w:tr>
      <w:tr w:rsidR="007A7DCE" w:rsidRPr="0078036E" w14:paraId="74FB24CA" w14:textId="77777777" w:rsidTr="0049031D">
        <w:trPr>
          <w:trHeight w:val="20"/>
          <w:jc w:val="center"/>
        </w:trPr>
        <w:tc>
          <w:tcPr>
            <w:tcW w:w="421" w:type="dxa"/>
            <w:vAlign w:val="center"/>
          </w:tcPr>
          <w:p w14:paraId="1569B40B" w14:textId="61BF478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w:t>
            </w:r>
          </w:p>
        </w:tc>
        <w:tc>
          <w:tcPr>
            <w:tcW w:w="1391" w:type="dxa"/>
            <w:vAlign w:val="center"/>
          </w:tcPr>
          <w:p w14:paraId="132CC8A4" w14:textId="0227E07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Gujarat</w:t>
            </w:r>
          </w:p>
        </w:tc>
        <w:tc>
          <w:tcPr>
            <w:tcW w:w="978" w:type="dxa"/>
            <w:vAlign w:val="center"/>
          </w:tcPr>
          <w:p w14:paraId="381A005D" w14:textId="1ADCC66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266</w:t>
            </w:r>
            <w:r w:rsidR="00CA00B2">
              <w:rPr>
                <w:rFonts w:ascii="Times New Roman" w:eastAsia="Times New Roman" w:hAnsi="Times New Roman" w:cs="Times New Roman"/>
                <w:color w:val="000000"/>
                <w:kern w:val="0"/>
                <w:sz w:val="16"/>
                <w:szCs w:val="16"/>
                <w:lang w:eastAsia="en-IN" w:bidi="ar-SA"/>
                <w14:ligatures w14:val="none"/>
              </w:rPr>
              <w:t>0.95</w:t>
            </w:r>
          </w:p>
        </w:tc>
        <w:tc>
          <w:tcPr>
            <w:tcW w:w="976" w:type="dxa"/>
            <w:vAlign w:val="center"/>
          </w:tcPr>
          <w:p w14:paraId="588CBFE2" w14:textId="4841018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2984.</w:t>
            </w:r>
            <w:r w:rsidR="00CA00B2">
              <w:rPr>
                <w:rFonts w:ascii="Times New Roman" w:eastAsia="Times New Roman" w:hAnsi="Times New Roman" w:cs="Times New Roman"/>
                <w:color w:val="000000"/>
                <w:kern w:val="0"/>
                <w:sz w:val="16"/>
                <w:szCs w:val="16"/>
                <w:lang w:eastAsia="en-IN" w:bidi="ar-SA"/>
                <w14:ligatures w14:val="none"/>
              </w:rPr>
              <w:t>39</w:t>
            </w:r>
          </w:p>
        </w:tc>
        <w:tc>
          <w:tcPr>
            <w:tcW w:w="1073" w:type="dxa"/>
            <w:vAlign w:val="center"/>
          </w:tcPr>
          <w:p w14:paraId="2AAA219C" w14:textId="5713AD5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3347.</w:t>
            </w:r>
            <w:r w:rsidR="008102F3">
              <w:rPr>
                <w:rFonts w:ascii="Times New Roman" w:eastAsia="Times New Roman" w:hAnsi="Times New Roman" w:cs="Times New Roman"/>
                <w:color w:val="000000"/>
                <w:kern w:val="0"/>
                <w:sz w:val="16"/>
                <w:szCs w:val="16"/>
                <w:lang w:eastAsia="en-IN" w:bidi="ar-SA"/>
                <w14:ligatures w14:val="none"/>
              </w:rPr>
              <w:t>16</w:t>
            </w:r>
          </w:p>
        </w:tc>
        <w:tc>
          <w:tcPr>
            <w:tcW w:w="1073" w:type="dxa"/>
            <w:vAlign w:val="center"/>
          </w:tcPr>
          <w:p w14:paraId="5BD835B6" w14:textId="23A4488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3754</w:t>
            </w:r>
            <w:r w:rsidR="008102F3">
              <w:rPr>
                <w:rFonts w:ascii="Times New Roman" w:eastAsia="Times New Roman" w:hAnsi="Times New Roman" w:cs="Times New Roman"/>
                <w:color w:val="000000"/>
                <w:kern w:val="0"/>
                <w:sz w:val="16"/>
                <w:szCs w:val="16"/>
                <w:lang w:eastAsia="en-IN" w:bidi="ar-SA"/>
                <w14:ligatures w14:val="none"/>
              </w:rPr>
              <w:t>.01</w:t>
            </w:r>
          </w:p>
        </w:tc>
        <w:tc>
          <w:tcPr>
            <w:tcW w:w="979" w:type="dxa"/>
            <w:vAlign w:val="center"/>
          </w:tcPr>
          <w:p w14:paraId="1091715E" w14:textId="3825CE5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4210.3</w:t>
            </w:r>
            <w:r w:rsidR="00B61E2D">
              <w:rPr>
                <w:rFonts w:ascii="Times New Roman" w:eastAsia="Times New Roman" w:hAnsi="Times New Roman" w:cs="Times New Roman"/>
                <w:color w:val="000000"/>
                <w:kern w:val="0"/>
                <w:sz w:val="16"/>
                <w:szCs w:val="16"/>
                <w:lang w:eastAsia="en-IN" w:bidi="ar-SA"/>
                <w14:ligatures w14:val="none"/>
              </w:rPr>
              <w:t>2</w:t>
            </w:r>
          </w:p>
        </w:tc>
        <w:tc>
          <w:tcPr>
            <w:tcW w:w="979" w:type="dxa"/>
            <w:vAlign w:val="center"/>
          </w:tcPr>
          <w:p w14:paraId="36B6EC5B" w14:textId="766ACC0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4722.1</w:t>
            </w:r>
            <w:r w:rsidR="00B61E2D">
              <w:rPr>
                <w:rFonts w:ascii="Times New Roman" w:eastAsia="Times New Roman" w:hAnsi="Times New Roman" w:cs="Times New Roman"/>
                <w:color w:val="000000"/>
                <w:kern w:val="0"/>
                <w:sz w:val="16"/>
                <w:szCs w:val="16"/>
                <w:lang w:eastAsia="en-IN" w:bidi="ar-SA"/>
                <w14:ligatures w14:val="none"/>
              </w:rPr>
              <w:t>0</w:t>
            </w:r>
          </w:p>
        </w:tc>
        <w:tc>
          <w:tcPr>
            <w:tcW w:w="1056" w:type="dxa"/>
            <w:vAlign w:val="center"/>
          </w:tcPr>
          <w:p w14:paraId="2296244B" w14:textId="1E2F2DF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1901</w:t>
            </w:r>
            <w:r w:rsidR="004F4D6A">
              <w:rPr>
                <w:rFonts w:ascii="Times New Roman" w:eastAsia="Times New Roman" w:hAnsi="Times New Roman" w:cs="Times New Roman"/>
                <w:color w:val="000000"/>
                <w:kern w:val="0"/>
                <w:sz w:val="16"/>
                <w:szCs w:val="16"/>
                <w:lang w:eastAsia="en-IN" w:bidi="ar-SA"/>
                <w14:ligatures w14:val="none"/>
              </w:rPr>
              <w:t>7.99</w:t>
            </w:r>
          </w:p>
        </w:tc>
      </w:tr>
      <w:tr w:rsidR="007A7DCE" w:rsidRPr="0078036E" w14:paraId="4031F12A" w14:textId="77777777" w:rsidTr="0049031D">
        <w:trPr>
          <w:trHeight w:val="20"/>
          <w:jc w:val="center"/>
        </w:trPr>
        <w:tc>
          <w:tcPr>
            <w:tcW w:w="421" w:type="dxa"/>
            <w:vAlign w:val="center"/>
          </w:tcPr>
          <w:p w14:paraId="0437324F" w14:textId="56FDBE4F"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w:t>
            </w:r>
          </w:p>
        </w:tc>
        <w:tc>
          <w:tcPr>
            <w:tcW w:w="1391" w:type="dxa"/>
            <w:vAlign w:val="center"/>
          </w:tcPr>
          <w:p w14:paraId="5491A81C" w14:textId="5F7AC5A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Haryana</w:t>
            </w:r>
          </w:p>
        </w:tc>
        <w:tc>
          <w:tcPr>
            <w:tcW w:w="978" w:type="dxa"/>
            <w:vAlign w:val="center"/>
          </w:tcPr>
          <w:p w14:paraId="72EB28D7" w14:textId="03FE43A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359.04</w:t>
            </w:r>
          </w:p>
        </w:tc>
        <w:tc>
          <w:tcPr>
            <w:tcW w:w="976" w:type="dxa"/>
            <w:vAlign w:val="center"/>
          </w:tcPr>
          <w:p w14:paraId="428AA4CF" w14:textId="00E4860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401.1</w:t>
            </w:r>
            <w:r w:rsidR="00CA00B2">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5BE177D5" w14:textId="1823E54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448.07</w:t>
            </w:r>
          </w:p>
        </w:tc>
        <w:tc>
          <w:tcPr>
            <w:tcW w:w="1073" w:type="dxa"/>
            <w:vAlign w:val="center"/>
          </w:tcPr>
          <w:p w14:paraId="73BF1006" w14:textId="341ECBE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500.56</w:t>
            </w:r>
          </w:p>
        </w:tc>
        <w:tc>
          <w:tcPr>
            <w:tcW w:w="979" w:type="dxa"/>
            <w:vAlign w:val="center"/>
          </w:tcPr>
          <w:p w14:paraId="03D6BABB" w14:textId="1C8115D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559.18</w:t>
            </w:r>
          </w:p>
        </w:tc>
        <w:tc>
          <w:tcPr>
            <w:tcW w:w="979" w:type="dxa"/>
            <w:vAlign w:val="center"/>
          </w:tcPr>
          <w:p w14:paraId="5FC657D9" w14:textId="1F309AE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624.68</w:t>
            </w:r>
          </w:p>
        </w:tc>
        <w:tc>
          <w:tcPr>
            <w:tcW w:w="1056" w:type="dxa"/>
            <w:vAlign w:val="center"/>
          </w:tcPr>
          <w:p w14:paraId="5724F759" w14:textId="0BC2431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2533.</w:t>
            </w:r>
            <w:r w:rsidR="004F4D6A">
              <w:rPr>
                <w:rFonts w:ascii="Times New Roman" w:eastAsia="Times New Roman" w:hAnsi="Times New Roman" w:cs="Times New Roman"/>
                <w:color w:val="000000"/>
                <w:kern w:val="0"/>
                <w:sz w:val="16"/>
                <w:szCs w:val="16"/>
                <w:lang w:eastAsia="en-IN" w:bidi="ar-SA"/>
                <w14:ligatures w14:val="none"/>
              </w:rPr>
              <w:t>59</w:t>
            </w:r>
          </w:p>
        </w:tc>
      </w:tr>
      <w:tr w:rsidR="007A7DCE" w:rsidRPr="0078036E" w14:paraId="581D877F" w14:textId="77777777" w:rsidTr="0049031D">
        <w:trPr>
          <w:trHeight w:val="20"/>
          <w:jc w:val="center"/>
        </w:trPr>
        <w:tc>
          <w:tcPr>
            <w:tcW w:w="421" w:type="dxa"/>
            <w:vAlign w:val="center"/>
          </w:tcPr>
          <w:p w14:paraId="4A6DCF05" w14:textId="7FE4019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w:t>
            </w:r>
          </w:p>
        </w:tc>
        <w:tc>
          <w:tcPr>
            <w:tcW w:w="1391" w:type="dxa"/>
            <w:vAlign w:val="center"/>
          </w:tcPr>
          <w:p w14:paraId="71ABD160" w14:textId="691D80E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Karnataka</w:t>
            </w:r>
          </w:p>
        </w:tc>
        <w:tc>
          <w:tcPr>
            <w:tcW w:w="978" w:type="dxa"/>
            <w:vAlign w:val="center"/>
          </w:tcPr>
          <w:p w14:paraId="678C328E" w14:textId="22B3488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2444.4</w:t>
            </w:r>
            <w:r w:rsidR="00CA00B2">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087C53F8" w14:textId="39A6B21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258</w:t>
            </w:r>
            <w:r w:rsidR="00CA00B2">
              <w:rPr>
                <w:rFonts w:ascii="Times New Roman" w:eastAsia="Times New Roman" w:hAnsi="Times New Roman" w:cs="Times New Roman"/>
                <w:color w:val="000000"/>
                <w:kern w:val="0"/>
                <w:sz w:val="16"/>
                <w:szCs w:val="16"/>
                <w:lang w:eastAsia="en-IN" w:bidi="ar-SA"/>
                <w14:ligatures w14:val="none"/>
              </w:rPr>
              <w:t>1.95</w:t>
            </w:r>
          </w:p>
        </w:tc>
        <w:tc>
          <w:tcPr>
            <w:tcW w:w="1073" w:type="dxa"/>
            <w:vAlign w:val="center"/>
          </w:tcPr>
          <w:p w14:paraId="24AE1787" w14:textId="1804FA6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2727.</w:t>
            </w:r>
            <w:r w:rsidR="008102F3">
              <w:rPr>
                <w:rFonts w:ascii="Times New Roman" w:eastAsia="Times New Roman" w:hAnsi="Times New Roman" w:cs="Times New Roman"/>
                <w:color w:val="000000"/>
                <w:kern w:val="0"/>
                <w:sz w:val="16"/>
                <w:szCs w:val="16"/>
                <w:lang w:eastAsia="en-IN" w:bidi="ar-SA"/>
                <w14:ligatures w14:val="none"/>
              </w:rPr>
              <w:t>25</w:t>
            </w:r>
          </w:p>
        </w:tc>
        <w:tc>
          <w:tcPr>
            <w:tcW w:w="1073" w:type="dxa"/>
            <w:vAlign w:val="center"/>
          </w:tcPr>
          <w:p w14:paraId="45C965FE" w14:textId="707E23F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2880.7</w:t>
            </w:r>
            <w:r w:rsidR="008102F3">
              <w:rPr>
                <w:rFonts w:ascii="Times New Roman" w:eastAsia="Times New Roman" w:hAnsi="Times New Roman" w:cs="Times New Roman"/>
                <w:color w:val="000000"/>
                <w:kern w:val="0"/>
                <w:sz w:val="16"/>
                <w:szCs w:val="16"/>
                <w:lang w:eastAsia="en-IN" w:bidi="ar-SA"/>
                <w14:ligatures w14:val="none"/>
              </w:rPr>
              <w:t>2</w:t>
            </w:r>
          </w:p>
        </w:tc>
        <w:tc>
          <w:tcPr>
            <w:tcW w:w="979" w:type="dxa"/>
            <w:vAlign w:val="center"/>
          </w:tcPr>
          <w:p w14:paraId="5A5A93D8" w14:textId="1D6A990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3042.8</w:t>
            </w:r>
            <w:r w:rsidR="00B61E2D">
              <w:rPr>
                <w:rFonts w:ascii="Times New Roman" w:eastAsia="Times New Roman" w:hAnsi="Times New Roman" w:cs="Times New Roman"/>
                <w:color w:val="000000"/>
                <w:kern w:val="0"/>
                <w:sz w:val="16"/>
                <w:szCs w:val="16"/>
                <w:lang w:eastAsia="en-IN" w:bidi="ar-SA"/>
                <w14:ligatures w14:val="none"/>
              </w:rPr>
              <w:t>3</w:t>
            </w:r>
          </w:p>
        </w:tc>
        <w:tc>
          <w:tcPr>
            <w:tcW w:w="979" w:type="dxa"/>
            <w:vAlign w:val="center"/>
          </w:tcPr>
          <w:p w14:paraId="5FE6A5C0" w14:textId="7169799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3214.</w:t>
            </w:r>
            <w:r w:rsidR="00B61E2D">
              <w:rPr>
                <w:rFonts w:ascii="Times New Roman" w:eastAsia="Times New Roman" w:hAnsi="Times New Roman" w:cs="Times New Roman"/>
                <w:color w:val="000000"/>
                <w:kern w:val="0"/>
                <w:sz w:val="16"/>
                <w:szCs w:val="16"/>
                <w:lang w:eastAsia="en-IN" w:bidi="ar-SA"/>
                <w14:ligatures w14:val="none"/>
              </w:rPr>
              <w:t>06</w:t>
            </w:r>
          </w:p>
        </w:tc>
        <w:tc>
          <w:tcPr>
            <w:tcW w:w="1056" w:type="dxa"/>
            <w:vAlign w:val="center"/>
          </w:tcPr>
          <w:p w14:paraId="2E71A040" w14:textId="6E1797B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1444</w:t>
            </w:r>
            <w:r w:rsidR="004F4D6A">
              <w:rPr>
                <w:rFonts w:ascii="Times New Roman" w:eastAsia="Times New Roman" w:hAnsi="Times New Roman" w:cs="Times New Roman"/>
                <w:color w:val="000000"/>
                <w:kern w:val="0"/>
                <w:sz w:val="16"/>
                <w:szCs w:val="16"/>
                <w:lang w:eastAsia="en-IN" w:bidi="ar-SA"/>
                <w14:ligatures w14:val="none"/>
              </w:rPr>
              <w:t>6.81</w:t>
            </w:r>
          </w:p>
        </w:tc>
      </w:tr>
      <w:tr w:rsidR="007A7DCE" w:rsidRPr="0078036E" w14:paraId="5F7F81FC" w14:textId="77777777" w:rsidTr="0049031D">
        <w:trPr>
          <w:trHeight w:val="20"/>
          <w:jc w:val="center"/>
        </w:trPr>
        <w:tc>
          <w:tcPr>
            <w:tcW w:w="421" w:type="dxa"/>
            <w:vAlign w:val="center"/>
          </w:tcPr>
          <w:p w14:paraId="0DF47421" w14:textId="39AA8819"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w:t>
            </w:r>
          </w:p>
        </w:tc>
        <w:tc>
          <w:tcPr>
            <w:tcW w:w="1391" w:type="dxa"/>
            <w:vAlign w:val="center"/>
          </w:tcPr>
          <w:p w14:paraId="7617C3B1" w14:textId="5E3401F8"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Kerala</w:t>
            </w:r>
          </w:p>
        </w:tc>
        <w:tc>
          <w:tcPr>
            <w:tcW w:w="978" w:type="dxa"/>
            <w:vAlign w:val="center"/>
          </w:tcPr>
          <w:p w14:paraId="08BB55DD" w14:textId="1EF6E93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128</w:t>
            </w:r>
            <w:r w:rsidR="00CA00B2">
              <w:rPr>
                <w:rFonts w:ascii="Times New Roman" w:eastAsia="Times New Roman" w:hAnsi="Times New Roman" w:cs="Times New Roman"/>
                <w:color w:val="000000"/>
                <w:kern w:val="0"/>
                <w:sz w:val="16"/>
                <w:szCs w:val="16"/>
                <w:lang w:eastAsia="en-IN" w:bidi="ar-SA"/>
                <w14:ligatures w14:val="none"/>
              </w:rPr>
              <w:t>0.97</w:t>
            </w:r>
          </w:p>
        </w:tc>
        <w:tc>
          <w:tcPr>
            <w:tcW w:w="976" w:type="dxa"/>
            <w:vAlign w:val="center"/>
          </w:tcPr>
          <w:p w14:paraId="15D9BCCE" w14:textId="1F5C369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1209.</w:t>
            </w:r>
            <w:r w:rsidR="00CA00B2">
              <w:rPr>
                <w:rFonts w:ascii="Times New Roman" w:eastAsia="Times New Roman" w:hAnsi="Times New Roman" w:cs="Times New Roman"/>
                <w:color w:val="000000"/>
                <w:kern w:val="0"/>
                <w:sz w:val="16"/>
                <w:szCs w:val="16"/>
                <w:lang w:eastAsia="en-IN" w:bidi="ar-SA"/>
                <w14:ligatures w14:val="none"/>
              </w:rPr>
              <w:t>78</w:t>
            </w:r>
          </w:p>
        </w:tc>
        <w:tc>
          <w:tcPr>
            <w:tcW w:w="1073" w:type="dxa"/>
            <w:vAlign w:val="center"/>
          </w:tcPr>
          <w:p w14:paraId="5D2CE32E" w14:textId="5ABC2A2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1142.5</w:t>
            </w:r>
            <w:r w:rsidR="008102F3">
              <w:rPr>
                <w:rFonts w:ascii="Times New Roman" w:eastAsia="Times New Roman" w:hAnsi="Times New Roman" w:cs="Times New Roman"/>
                <w:color w:val="000000"/>
                <w:kern w:val="0"/>
                <w:sz w:val="16"/>
                <w:szCs w:val="16"/>
                <w:lang w:eastAsia="en-IN" w:bidi="ar-SA"/>
                <w14:ligatures w14:val="none"/>
              </w:rPr>
              <w:t>4</w:t>
            </w:r>
          </w:p>
        </w:tc>
        <w:tc>
          <w:tcPr>
            <w:tcW w:w="1073" w:type="dxa"/>
            <w:vAlign w:val="center"/>
          </w:tcPr>
          <w:p w14:paraId="1E144C55" w14:textId="69F053B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1079</w:t>
            </w:r>
            <w:r w:rsidR="008102F3">
              <w:rPr>
                <w:rFonts w:ascii="Times New Roman" w:eastAsia="Times New Roman" w:hAnsi="Times New Roman" w:cs="Times New Roman"/>
                <w:color w:val="000000"/>
                <w:kern w:val="0"/>
                <w:sz w:val="16"/>
                <w:szCs w:val="16"/>
                <w:lang w:eastAsia="en-IN" w:bidi="ar-SA"/>
                <w14:ligatures w14:val="none"/>
              </w:rPr>
              <w:t>.04</w:t>
            </w:r>
          </w:p>
        </w:tc>
        <w:tc>
          <w:tcPr>
            <w:tcW w:w="979" w:type="dxa"/>
            <w:vAlign w:val="center"/>
          </w:tcPr>
          <w:p w14:paraId="0BC10C95" w14:textId="249BC7E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1019.</w:t>
            </w:r>
            <w:r w:rsidR="00B61E2D">
              <w:rPr>
                <w:rFonts w:ascii="Times New Roman" w:eastAsia="Times New Roman" w:hAnsi="Times New Roman" w:cs="Times New Roman"/>
                <w:color w:val="000000"/>
                <w:kern w:val="0"/>
                <w:sz w:val="16"/>
                <w:szCs w:val="16"/>
                <w:lang w:eastAsia="en-IN" w:bidi="ar-SA"/>
                <w14:ligatures w14:val="none"/>
              </w:rPr>
              <w:t>07</w:t>
            </w:r>
          </w:p>
        </w:tc>
        <w:tc>
          <w:tcPr>
            <w:tcW w:w="979" w:type="dxa"/>
            <w:vAlign w:val="center"/>
          </w:tcPr>
          <w:p w14:paraId="080C7059" w14:textId="6565617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962.43</w:t>
            </w:r>
          </w:p>
        </w:tc>
        <w:tc>
          <w:tcPr>
            <w:tcW w:w="1056" w:type="dxa"/>
            <w:vAlign w:val="center"/>
          </w:tcPr>
          <w:p w14:paraId="603EACFE" w14:textId="6B5AFA1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5412.</w:t>
            </w:r>
            <w:r w:rsidR="004F4D6A">
              <w:rPr>
                <w:rFonts w:ascii="Times New Roman" w:eastAsia="Times New Roman" w:hAnsi="Times New Roman" w:cs="Times New Roman"/>
                <w:color w:val="000000"/>
                <w:kern w:val="0"/>
                <w:sz w:val="16"/>
                <w:szCs w:val="16"/>
                <w:lang w:eastAsia="en-IN" w:bidi="ar-SA"/>
                <w14:ligatures w14:val="none"/>
              </w:rPr>
              <w:t>85</w:t>
            </w:r>
          </w:p>
        </w:tc>
      </w:tr>
      <w:tr w:rsidR="007A7DCE" w:rsidRPr="0078036E" w14:paraId="334D7CAC" w14:textId="77777777" w:rsidTr="0049031D">
        <w:trPr>
          <w:trHeight w:val="20"/>
          <w:jc w:val="center"/>
        </w:trPr>
        <w:tc>
          <w:tcPr>
            <w:tcW w:w="421" w:type="dxa"/>
            <w:vAlign w:val="center"/>
          </w:tcPr>
          <w:p w14:paraId="442EE928" w14:textId="3EB48F1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w:t>
            </w:r>
          </w:p>
        </w:tc>
        <w:tc>
          <w:tcPr>
            <w:tcW w:w="1391" w:type="dxa"/>
            <w:vAlign w:val="center"/>
          </w:tcPr>
          <w:p w14:paraId="56B37A39" w14:textId="2FE2B04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Madhya Pradesh</w:t>
            </w:r>
          </w:p>
        </w:tc>
        <w:tc>
          <w:tcPr>
            <w:tcW w:w="978" w:type="dxa"/>
            <w:vAlign w:val="center"/>
          </w:tcPr>
          <w:p w14:paraId="3E64BC9E" w14:textId="015CA19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1539.3</w:t>
            </w:r>
            <w:r w:rsidR="00CA00B2">
              <w:rPr>
                <w:rFonts w:ascii="Times New Roman" w:eastAsia="Times New Roman" w:hAnsi="Times New Roman" w:cs="Times New Roman"/>
                <w:color w:val="000000"/>
                <w:kern w:val="0"/>
                <w:sz w:val="16"/>
                <w:szCs w:val="16"/>
                <w:lang w:eastAsia="en-IN" w:bidi="ar-SA"/>
                <w14:ligatures w14:val="none"/>
              </w:rPr>
              <w:t>4</w:t>
            </w:r>
          </w:p>
        </w:tc>
        <w:tc>
          <w:tcPr>
            <w:tcW w:w="976" w:type="dxa"/>
            <w:vAlign w:val="center"/>
          </w:tcPr>
          <w:p w14:paraId="39A4C00E" w14:textId="2FA7596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1560.6</w:t>
            </w:r>
            <w:r w:rsidR="00CA00B2">
              <w:rPr>
                <w:rFonts w:ascii="Times New Roman" w:eastAsia="Times New Roman" w:hAnsi="Times New Roman" w:cs="Times New Roman"/>
                <w:color w:val="000000"/>
                <w:kern w:val="0"/>
                <w:sz w:val="16"/>
                <w:szCs w:val="16"/>
                <w:lang w:eastAsia="en-IN" w:bidi="ar-SA"/>
                <w14:ligatures w14:val="none"/>
              </w:rPr>
              <w:t>2</w:t>
            </w:r>
          </w:p>
        </w:tc>
        <w:tc>
          <w:tcPr>
            <w:tcW w:w="1073" w:type="dxa"/>
            <w:vAlign w:val="center"/>
          </w:tcPr>
          <w:p w14:paraId="0068BDF2" w14:textId="1337B23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1582.</w:t>
            </w:r>
            <w:r w:rsidR="008102F3">
              <w:rPr>
                <w:rFonts w:ascii="Times New Roman" w:eastAsia="Times New Roman" w:hAnsi="Times New Roman" w:cs="Times New Roman"/>
                <w:color w:val="000000"/>
                <w:kern w:val="0"/>
                <w:sz w:val="16"/>
                <w:szCs w:val="16"/>
                <w:lang w:eastAsia="en-IN" w:bidi="ar-SA"/>
                <w14:ligatures w14:val="none"/>
              </w:rPr>
              <w:t>19</w:t>
            </w:r>
          </w:p>
        </w:tc>
        <w:tc>
          <w:tcPr>
            <w:tcW w:w="1073" w:type="dxa"/>
            <w:vAlign w:val="center"/>
          </w:tcPr>
          <w:p w14:paraId="4D4B8CC2" w14:textId="5652E6E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1604.</w:t>
            </w:r>
            <w:r w:rsidR="008102F3">
              <w:rPr>
                <w:rFonts w:ascii="Times New Roman" w:eastAsia="Times New Roman" w:hAnsi="Times New Roman" w:cs="Times New Roman"/>
                <w:color w:val="000000"/>
                <w:kern w:val="0"/>
                <w:sz w:val="16"/>
                <w:szCs w:val="16"/>
                <w:lang w:eastAsia="en-IN" w:bidi="ar-SA"/>
                <w14:ligatures w14:val="none"/>
              </w:rPr>
              <w:t>05</w:t>
            </w:r>
          </w:p>
        </w:tc>
        <w:tc>
          <w:tcPr>
            <w:tcW w:w="979" w:type="dxa"/>
            <w:vAlign w:val="center"/>
          </w:tcPr>
          <w:p w14:paraId="6663CFE2" w14:textId="074FF7D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1626.2</w:t>
            </w:r>
            <w:r w:rsidR="00B61E2D">
              <w:rPr>
                <w:rFonts w:ascii="Times New Roman" w:eastAsia="Times New Roman" w:hAnsi="Times New Roman" w:cs="Times New Roman"/>
                <w:color w:val="000000"/>
                <w:kern w:val="0"/>
                <w:sz w:val="16"/>
                <w:szCs w:val="16"/>
                <w:lang w:eastAsia="en-IN" w:bidi="ar-SA"/>
                <w14:ligatures w14:val="none"/>
              </w:rPr>
              <w:t>2</w:t>
            </w:r>
          </w:p>
        </w:tc>
        <w:tc>
          <w:tcPr>
            <w:tcW w:w="979" w:type="dxa"/>
            <w:vAlign w:val="center"/>
          </w:tcPr>
          <w:p w14:paraId="1E2AFE6D" w14:textId="1CCEBF6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1648.7</w:t>
            </w:r>
            <w:r w:rsidR="00B61E2D">
              <w:rPr>
                <w:rFonts w:ascii="Times New Roman" w:eastAsia="Times New Roman" w:hAnsi="Times New Roman" w:cs="Times New Roman"/>
                <w:color w:val="000000"/>
                <w:kern w:val="0"/>
                <w:sz w:val="16"/>
                <w:szCs w:val="16"/>
                <w:lang w:eastAsia="en-IN" w:bidi="ar-SA"/>
                <w14:ligatures w14:val="none"/>
              </w:rPr>
              <w:t>0</w:t>
            </w:r>
          </w:p>
        </w:tc>
        <w:tc>
          <w:tcPr>
            <w:tcW w:w="1056" w:type="dxa"/>
            <w:vAlign w:val="center"/>
          </w:tcPr>
          <w:p w14:paraId="726F4F98" w14:textId="3928408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8021.</w:t>
            </w:r>
            <w:r w:rsidR="004F4D6A">
              <w:rPr>
                <w:rFonts w:ascii="Times New Roman" w:eastAsia="Times New Roman" w:hAnsi="Times New Roman" w:cs="Times New Roman"/>
                <w:color w:val="000000"/>
                <w:kern w:val="0"/>
                <w:sz w:val="16"/>
                <w:szCs w:val="16"/>
                <w:lang w:eastAsia="en-IN" w:bidi="ar-SA"/>
                <w14:ligatures w14:val="none"/>
              </w:rPr>
              <w:t>78</w:t>
            </w:r>
          </w:p>
        </w:tc>
      </w:tr>
      <w:tr w:rsidR="007A7DCE" w:rsidRPr="0078036E" w14:paraId="47BD5936" w14:textId="77777777" w:rsidTr="0049031D">
        <w:trPr>
          <w:trHeight w:val="20"/>
          <w:jc w:val="center"/>
        </w:trPr>
        <w:tc>
          <w:tcPr>
            <w:tcW w:w="421" w:type="dxa"/>
            <w:vAlign w:val="center"/>
          </w:tcPr>
          <w:p w14:paraId="0E52D247" w14:textId="4614543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w:t>
            </w:r>
          </w:p>
        </w:tc>
        <w:tc>
          <w:tcPr>
            <w:tcW w:w="1391" w:type="dxa"/>
            <w:vAlign w:val="center"/>
          </w:tcPr>
          <w:p w14:paraId="1A59A52B" w14:textId="14F0B062"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Maharashtra</w:t>
            </w:r>
          </w:p>
        </w:tc>
        <w:tc>
          <w:tcPr>
            <w:tcW w:w="978" w:type="dxa"/>
            <w:vAlign w:val="center"/>
          </w:tcPr>
          <w:p w14:paraId="7C221F03" w14:textId="59AFFED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4542.1</w:t>
            </w:r>
            <w:r w:rsidR="00CA00B2">
              <w:rPr>
                <w:rFonts w:ascii="Times New Roman" w:eastAsia="Times New Roman" w:hAnsi="Times New Roman" w:cs="Times New Roman"/>
                <w:color w:val="000000"/>
                <w:kern w:val="0"/>
                <w:sz w:val="16"/>
                <w:szCs w:val="16"/>
                <w:lang w:eastAsia="en-IN" w:bidi="ar-SA"/>
                <w14:ligatures w14:val="none"/>
              </w:rPr>
              <w:t>1</w:t>
            </w:r>
          </w:p>
        </w:tc>
        <w:tc>
          <w:tcPr>
            <w:tcW w:w="976" w:type="dxa"/>
            <w:vAlign w:val="center"/>
          </w:tcPr>
          <w:p w14:paraId="440C9F5D" w14:textId="2400764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5473.</w:t>
            </w:r>
            <w:r w:rsidR="00CA00B2">
              <w:rPr>
                <w:rFonts w:ascii="Times New Roman" w:eastAsia="Times New Roman" w:hAnsi="Times New Roman" w:cs="Times New Roman"/>
                <w:color w:val="000000"/>
                <w:kern w:val="0"/>
                <w:sz w:val="16"/>
                <w:szCs w:val="16"/>
                <w:lang w:eastAsia="en-IN" w:bidi="ar-SA"/>
                <w14:ligatures w14:val="none"/>
              </w:rPr>
              <w:t>37</w:t>
            </w:r>
          </w:p>
        </w:tc>
        <w:tc>
          <w:tcPr>
            <w:tcW w:w="1073" w:type="dxa"/>
            <w:vAlign w:val="center"/>
          </w:tcPr>
          <w:p w14:paraId="334A9491" w14:textId="463A580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6595.</w:t>
            </w:r>
            <w:r w:rsidR="008102F3">
              <w:rPr>
                <w:rFonts w:ascii="Times New Roman" w:eastAsia="Times New Roman" w:hAnsi="Times New Roman" w:cs="Times New Roman"/>
                <w:color w:val="000000"/>
                <w:kern w:val="0"/>
                <w:sz w:val="16"/>
                <w:szCs w:val="16"/>
                <w:lang w:eastAsia="en-IN" w:bidi="ar-SA"/>
                <w14:ligatures w14:val="none"/>
              </w:rPr>
              <w:t>56</w:t>
            </w:r>
          </w:p>
        </w:tc>
        <w:tc>
          <w:tcPr>
            <w:tcW w:w="1073" w:type="dxa"/>
            <w:vAlign w:val="center"/>
          </w:tcPr>
          <w:p w14:paraId="4F325A16" w14:textId="4571C89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7947.8</w:t>
            </w:r>
            <w:r w:rsidR="008102F3">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59B6EEE8" w14:textId="4D8E344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9577.</w:t>
            </w:r>
            <w:r w:rsidR="00B61E2D">
              <w:rPr>
                <w:rFonts w:ascii="Times New Roman" w:eastAsia="Times New Roman" w:hAnsi="Times New Roman" w:cs="Times New Roman"/>
                <w:color w:val="000000"/>
                <w:kern w:val="0"/>
                <w:sz w:val="16"/>
                <w:szCs w:val="16"/>
                <w:lang w:eastAsia="en-IN" w:bidi="ar-SA"/>
                <w14:ligatures w14:val="none"/>
              </w:rPr>
              <w:t>38</w:t>
            </w:r>
          </w:p>
        </w:tc>
        <w:tc>
          <w:tcPr>
            <w:tcW w:w="979" w:type="dxa"/>
            <w:vAlign w:val="center"/>
          </w:tcPr>
          <w:p w14:paraId="59F83038" w14:textId="2F9907D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11541</w:t>
            </w:r>
            <w:r w:rsidR="00B61E2D">
              <w:rPr>
                <w:rFonts w:ascii="Times New Roman" w:eastAsia="Times New Roman" w:hAnsi="Times New Roman" w:cs="Times New Roman"/>
                <w:color w:val="000000"/>
                <w:kern w:val="0"/>
                <w:sz w:val="16"/>
                <w:szCs w:val="16"/>
                <w:lang w:eastAsia="en-IN" w:bidi="ar-SA"/>
                <w14:ligatures w14:val="none"/>
              </w:rPr>
              <w:t>.01</w:t>
            </w:r>
          </w:p>
        </w:tc>
        <w:tc>
          <w:tcPr>
            <w:tcW w:w="1056" w:type="dxa"/>
            <w:vAlign w:val="center"/>
          </w:tcPr>
          <w:p w14:paraId="215EAA70" w14:textId="5F2B44E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41135</w:t>
            </w:r>
            <w:r w:rsidR="004F4D6A">
              <w:rPr>
                <w:rFonts w:ascii="Times New Roman" w:eastAsia="Times New Roman" w:hAnsi="Times New Roman" w:cs="Times New Roman"/>
                <w:color w:val="000000"/>
                <w:kern w:val="0"/>
                <w:sz w:val="16"/>
                <w:szCs w:val="16"/>
                <w:lang w:eastAsia="en-IN" w:bidi="ar-SA"/>
                <w14:ligatures w14:val="none"/>
              </w:rPr>
              <w:t>.16</w:t>
            </w:r>
          </w:p>
        </w:tc>
      </w:tr>
      <w:tr w:rsidR="007A7DCE" w:rsidRPr="0078036E" w14:paraId="571E9BD8" w14:textId="77777777" w:rsidTr="0049031D">
        <w:trPr>
          <w:trHeight w:val="20"/>
          <w:jc w:val="center"/>
        </w:trPr>
        <w:tc>
          <w:tcPr>
            <w:tcW w:w="421" w:type="dxa"/>
            <w:vAlign w:val="center"/>
          </w:tcPr>
          <w:p w14:paraId="50A41D46" w14:textId="4C4DA4FB"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w:t>
            </w:r>
          </w:p>
        </w:tc>
        <w:tc>
          <w:tcPr>
            <w:tcW w:w="1391" w:type="dxa"/>
            <w:vAlign w:val="center"/>
          </w:tcPr>
          <w:p w14:paraId="4303F673" w14:textId="59BF0028"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Orissa</w:t>
            </w:r>
          </w:p>
        </w:tc>
        <w:tc>
          <w:tcPr>
            <w:tcW w:w="978" w:type="dxa"/>
            <w:vAlign w:val="center"/>
          </w:tcPr>
          <w:p w14:paraId="0A126276" w14:textId="0F75E99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596.27</w:t>
            </w:r>
          </w:p>
        </w:tc>
        <w:tc>
          <w:tcPr>
            <w:tcW w:w="976" w:type="dxa"/>
            <w:vAlign w:val="center"/>
          </w:tcPr>
          <w:p w14:paraId="7E5803AF" w14:textId="398FA87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529.36</w:t>
            </w:r>
          </w:p>
        </w:tc>
        <w:tc>
          <w:tcPr>
            <w:tcW w:w="1073" w:type="dxa"/>
            <w:vAlign w:val="center"/>
          </w:tcPr>
          <w:p w14:paraId="119240F8" w14:textId="573DB55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469.95</w:t>
            </w:r>
          </w:p>
        </w:tc>
        <w:tc>
          <w:tcPr>
            <w:tcW w:w="1073" w:type="dxa"/>
            <w:vAlign w:val="center"/>
          </w:tcPr>
          <w:p w14:paraId="32D32F41" w14:textId="7561BC1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417.21</w:t>
            </w:r>
          </w:p>
        </w:tc>
        <w:tc>
          <w:tcPr>
            <w:tcW w:w="979" w:type="dxa"/>
            <w:vAlign w:val="center"/>
          </w:tcPr>
          <w:p w14:paraId="6AC89D30" w14:textId="4179AC2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370.39</w:t>
            </w:r>
          </w:p>
        </w:tc>
        <w:tc>
          <w:tcPr>
            <w:tcW w:w="979" w:type="dxa"/>
            <w:vAlign w:val="center"/>
          </w:tcPr>
          <w:p w14:paraId="2D432CB4" w14:textId="73CD258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328.83</w:t>
            </w:r>
          </w:p>
        </w:tc>
        <w:tc>
          <w:tcPr>
            <w:tcW w:w="1056" w:type="dxa"/>
            <w:vAlign w:val="center"/>
          </w:tcPr>
          <w:p w14:paraId="0516CF62" w14:textId="19FEE18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2115.7</w:t>
            </w:r>
            <w:r w:rsidR="004F4D6A">
              <w:rPr>
                <w:rFonts w:ascii="Times New Roman" w:eastAsia="Times New Roman" w:hAnsi="Times New Roman" w:cs="Times New Roman"/>
                <w:color w:val="000000"/>
                <w:kern w:val="0"/>
                <w:sz w:val="16"/>
                <w:szCs w:val="16"/>
                <w:lang w:eastAsia="en-IN" w:bidi="ar-SA"/>
                <w14:ligatures w14:val="none"/>
              </w:rPr>
              <w:t>4</w:t>
            </w:r>
          </w:p>
        </w:tc>
      </w:tr>
      <w:tr w:rsidR="007A7DCE" w:rsidRPr="0078036E" w14:paraId="29E10E4D" w14:textId="77777777" w:rsidTr="0049031D">
        <w:trPr>
          <w:trHeight w:val="20"/>
          <w:jc w:val="center"/>
        </w:trPr>
        <w:tc>
          <w:tcPr>
            <w:tcW w:w="421" w:type="dxa"/>
            <w:vAlign w:val="center"/>
          </w:tcPr>
          <w:p w14:paraId="6FA08D0C" w14:textId="39EE5A58"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w:t>
            </w:r>
          </w:p>
        </w:tc>
        <w:tc>
          <w:tcPr>
            <w:tcW w:w="1391" w:type="dxa"/>
            <w:vAlign w:val="center"/>
          </w:tcPr>
          <w:p w14:paraId="7D500B7A" w14:textId="080CA88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Punjab</w:t>
            </w:r>
          </w:p>
        </w:tc>
        <w:tc>
          <w:tcPr>
            <w:tcW w:w="978" w:type="dxa"/>
            <w:vAlign w:val="center"/>
          </w:tcPr>
          <w:p w14:paraId="02D54CEC" w14:textId="68AB071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452.34</w:t>
            </w:r>
          </w:p>
        </w:tc>
        <w:tc>
          <w:tcPr>
            <w:tcW w:w="976" w:type="dxa"/>
            <w:vAlign w:val="center"/>
          </w:tcPr>
          <w:p w14:paraId="4BF4A81D" w14:textId="043C878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457.67</w:t>
            </w:r>
          </w:p>
        </w:tc>
        <w:tc>
          <w:tcPr>
            <w:tcW w:w="1073" w:type="dxa"/>
            <w:vAlign w:val="center"/>
          </w:tcPr>
          <w:p w14:paraId="03E24B17" w14:textId="21271A8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463.06</w:t>
            </w:r>
          </w:p>
        </w:tc>
        <w:tc>
          <w:tcPr>
            <w:tcW w:w="1073" w:type="dxa"/>
            <w:vAlign w:val="center"/>
          </w:tcPr>
          <w:p w14:paraId="1B6760B6" w14:textId="7431B5D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468.51</w:t>
            </w:r>
          </w:p>
        </w:tc>
        <w:tc>
          <w:tcPr>
            <w:tcW w:w="979" w:type="dxa"/>
            <w:vAlign w:val="center"/>
          </w:tcPr>
          <w:p w14:paraId="67F5F829" w14:textId="321AACB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474.02</w:t>
            </w:r>
          </w:p>
        </w:tc>
        <w:tc>
          <w:tcPr>
            <w:tcW w:w="979" w:type="dxa"/>
            <w:vAlign w:val="center"/>
          </w:tcPr>
          <w:p w14:paraId="623E3920" w14:textId="445FA7D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479.61</w:t>
            </w:r>
          </w:p>
        </w:tc>
        <w:tc>
          <w:tcPr>
            <w:tcW w:w="1056" w:type="dxa"/>
            <w:vAlign w:val="center"/>
          </w:tcPr>
          <w:p w14:paraId="0822609D" w14:textId="16D42D7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2342.</w:t>
            </w:r>
            <w:r w:rsidR="004F4D6A">
              <w:rPr>
                <w:rFonts w:ascii="Times New Roman" w:eastAsia="Times New Roman" w:hAnsi="Times New Roman" w:cs="Times New Roman"/>
                <w:color w:val="000000"/>
                <w:kern w:val="0"/>
                <w:sz w:val="16"/>
                <w:szCs w:val="16"/>
                <w:lang w:eastAsia="en-IN" w:bidi="ar-SA"/>
                <w14:ligatures w14:val="none"/>
              </w:rPr>
              <w:t>86</w:t>
            </w:r>
          </w:p>
        </w:tc>
      </w:tr>
      <w:tr w:rsidR="007A7DCE" w:rsidRPr="0078036E" w14:paraId="6DD206BA" w14:textId="77777777" w:rsidTr="0049031D">
        <w:trPr>
          <w:trHeight w:val="20"/>
          <w:jc w:val="center"/>
        </w:trPr>
        <w:tc>
          <w:tcPr>
            <w:tcW w:w="421" w:type="dxa"/>
            <w:vAlign w:val="center"/>
          </w:tcPr>
          <w:p w14:paraId="3C74B078" w14:textId="2D5911A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w:t>
            </w:r>
          </w:p>
        </w:tc>
        <w:tc>
          <w:tcPr>
            <w:tcW w:w="1391" w:type="dxa"/>
            <w:vAlign w:val="center"/>
          </w:tcPr>
          <w:p w14:paraId="63A2CCA0" w14:textId="4D07AFF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Rajasthan</w:t>
            </w:r>
          </w:p>
        </w:tc>
        <w:tc>
          <w:tcPr>
            <w:tcW w:w="978" w:type="dxa"/>
            <w:vAlign w:val="center"/>
          </w:tcPr>
          <w:p w14:paraId="7790F894" w14:textId="4ADFB18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2163.</w:t>
            </w:r>
            <w:r w:rsidR="00CA00B2">
              <w:rPr>
                <w:rFonts w:ascii="Times New Roman" w:eastAsia="Times New Roman" w:hAnsi="Times New Roman" w:cs="Times New Roman"/>
                <w:color w:val="000000"/>
                <w:kern w:val="0"/>
                <w:sz w:val="16"/>
                <w:szCs w:val="16"/>
                <w:lang w:eastAsia="en-IN" w:bidi="ar-SA"/>
                <w14:ligatures w14:val="none"/>
              </w:rPr>
              <w:t>77</w:t>
            </w:r>
          </w:p>
        </w:tc>
        <w:tc>
          <w:tcPr>
            <w:tcW w:w="976" w:type="dxa"/>
            <w:vAlign w:val="center"/>
          </w:tcPr>
          <w:p w14:paraId="0F9D3988" w14:textId="29B7971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2099.</w:t>
            </w:r>
            <w:r w:rsidR="00CA00B2">
              <w:rPr>
                <w:rFonts w:ascii="Times New Roman" w:eastAsia="Times New Roman" w:hAnsi="Times New Roman" w:cs="Times New Roman"/>
                <w:color w:val="000000"/>
                <w:kern w:val="0"/>
                <w:sz w:val="16"/>
                <w:szCs w:val="16"/>
                <w:lang w:eastAsia="en-IN" w:bidi="ar-SA"/>
                <w14:ligatures w14:val="none"/>
              </w:rPr>
              <w:t>35</w:t>
            </w:r>
          </w:p>
        </w:tc>
        <w:tc>
          <w:tcPr>
            <w:tcW w:w="1073" w:type="dxa"/>
            <w:vAlign w:val="center"/>
          </w:tcPr>
          <w:p w14:paraId="1DB4E250" w14:textId="3353D01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2036.8</w:t>
            </w:r>
            <w:r w:rsidR="008102F3">
              <w:rPr>
                <w:rFonts w:ascii="Times New Roman" w:eastAsia="Times New Roman" w:hAnsi="Times New Roman" w:cs="Times New Roman"/>
                <w:color w:val="000000"/>
                <w:kern w:val="0"/>
                <w:sz w:val="16"/>
                <w:szCs w:val="16"/>
                <w:lang w:eastAsia="en-IN" w:bidi="ar-SA"/>
                <w14:ligatures w14:val="none"/>
              </w:rPr>
              <w:t>4</w:t>
            </w:r>
          </w:p>
        </w:tc>
        <w:tc>
          <w:tcPr>
            <w:tcW w:w="1073" w:type="dxa"/>
            <w:vAlign w:val="center"/>
          </w:tcPr>
          <w:p w14:paraId="3F5ACA9D" w14:textId="53D6779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1976.</w:t>
            </w:r>
            <w:r w:rsidR="008102F3">
              <w:rPr>
                <w:rFonts w:ascii="Times New Roman" w:eastAsia="Times New Roman" w:hAnsi="Times New Roman" w:cs="Times New Roman"/>
                <w:color w:val="000000"/>
                <w:kern w:val="0"/>
                <w:sz w:val="16"/>
                <w:szCs w:val="16"/>
                <w:lang w:eastAsia="en-IN" w:bidi="ar-SA"/>
                <w14:ligatures w14:val="none"/>
              </w:rPr>
              <w:t>19</w:t>
            </w:r>
          </w:p>
        </w:tc>
        <w:tc>
          <w:tcPr>
            <w:tcW w:w="979" w:type="dxa"/>
            <w:vAlign w:val="center"/>
          </w:tcPr>
          <w:p w14:paraId="191BC1AE" w14:textId="637929D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1917.3</w:t>
            </w:r>
            <w:r w:rsidR="00B61E2D">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58E1DF1D" w14:textId="45984A9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1860.</w:t>
            </w:r>
            <w:r w:rsidR="00B61E2D">
              <w:rPr>
                <w:rFonts w:ascii="Times New Roman" w:eastAsia="Times New Roman" w:hAnsi="Times New Roman" w:cs="Times New Roman"/>
                <w:color w:val="000000"/>
                <w:kern w:val="0"/>
                <w:sz w:val="16"/>
                <w:szCs w:val="16"/>
                <w:lang w:eastAsia="en-IN" w:bidi="ar-SA"/>
                <w14:ligatures w14:val="none"/>
              </w:rPr>
              <w:t>25</w:t>
            </w:r>
          </w:p>
        </w:tc>
        <w:tc>
          <w:tcPr>
            <w:tcW w:w="1056" w:type="dxa"/>
            <w:vAlign w:val="center"/>
          </w:tcPr>
          <w:p w14:paraId="6C39507F" w14:textId="794567C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989</w:t>
            </w:r>
            <w:r w:rsidR="004F4D6A">
              <w:rPr>
                <w:rFonts w:ascii="Times New Roman" w:eastAsia="Times New Roman" w:hAnsi="Times New Roman" w:cs="Times New Roman"/>
                <w:color w:val="000000"/>
                <w:kern w:val="0"/>
                <w:sz w:val="16"/>
                <w:szCs w:val="16"/>
                <w:lang w:eastAsia="en-IN" w:bidi="ar-SA"/>
                <w14:ligatures w14:val="none"/>
              </w:rPr>
              <w:t>9.97</w:t>
            </w:r>
          </w:p>
        </w:tc>
      </w:tr>
      <w:tr w:rsidR="007A7DCE" w:rsidRPr="0078036E" w14:paraId="6879B4DF" w14:textId="77777777" w:rsidTr="0049031D">
        <w:trPr>
          <w:trHeight w:val="20"/>
          <w:jc w:val="center"/>
        </w:trPr>
        <w:tc>
          <w:tcPr>
            <w:tcW w:w="421" w:type="dxa"/>
            <w:vAlign w:val="center"/>
          </w:tcPr>
          <w:p w14:paraId="0840A5B8" w14:textId="201CAE66"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w:t>
            </w:r>
          </w:p>
        </w:tc>
        <w:tc>
          <w:tcPr>
            <w:tcW w:w="1391" w:type="dxa"/>
            <w:vAlign w:val="center"/>
          </w:tcPr>
          <w:p w14:paraId="3322428F" w14:textId="075B3B4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Tamil Nadu</w:t>
            </w:r>
          </w:p>
        </w:tc>
        <w:tc>
          <w:tcPr>
            <w:tcW w:w="978" w:type="dxa"/>
            <w:vAlign w:val="center"/>
          </w:tcPr>
          <w:p w14:paraId="44604310" w14:textId="02AB5A5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3076.9</w:t>
            </w:r>
            <w:r w:rsidR="00CA00B2">
              <w:rPr>
                <w:rFonts w:ascii="Times New Roman" w:eastAsia="Times New Roman" w:hAnsi="Times New Roman" w:cs="Times New Roman"/>
                <w:color w:val="000000"/>
                <w:kern w:val="0"/>
                <w:sz w:val="16"/>
                <w:szCs w:val="16"/>
                <w:lang w:eastAsia="en-IN" w:bidi="ar-SA"/>
                <w14:ligatures w14:val="none"/>
              </w:rPr>
              <w:t>4</w:t>
            </w:r>
          </w:p>
        </w:tc>
        <w:tc>
          <w:tcPr>
            <w:tcW w:w="976" w:type="dxa"/>
            <w:vAlign w:val="center"/>
          </w:tcPr>
          <w:p w14:paraId="3BF991DB" w14:textId="66572E5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3410.</w:t>
            </w:r>
            <w:r w:rsidR="00CA00B2">
              <w:rPr>
                <w:rFonts w:ascii="Times New Roman" w:eastAsia="Times New Roman" w:hAnsi="Times New Roman" w:cs="Times New Roman"/>
                <w:color w:val="000000"/>
                <w:kern w:val="0"/>
                <w:sz w:val="16"/>
                <w:szCs w:val="16"/>
                <w:lang w:eastAsia="en-IN" w:bidi="ar-SA"/>
                <w14:ligatures w14:val="none"/>
              </w:rPr>
              <w:t>58</w:t>
            </w:r>
          </w:p>
        </w:tc>
        <w:tc>
          <w:tcPr>
            <w:tcW w:w="1073" w:type="dxa"/>
            <w:vAlign w:val="center"/>
          </w:tcPr>
          <w:p w14:paraId="705D5E9D" w14:textId="3CEEE1A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3780.</w:t>
            </w:r>
            <w:r w:rsidR="008102F3">
              <w:rPr>
                <w:rFonts w:ascii="Times New Roman" w:eastAsia="Times New Roman" w:hAnsi="Times New Roman" w:cs="Times New Roman"/>
                <w:color w:val="000000"/>
                <w:kern w:val="0"/>
                <w:sz w:val="16"/>
                <w:szCs w:val="16"/>
                <w:lang w:eastAsia="en-IN" w:bidi="ar-SA"/>
                <w14:ligatures w14:val="none"/>
              </w:rPr>
              <w:t>39</w:t>
            </w:r>
          </w:p>
        </w:tc>
        <w:tc>
          <w:tcPr>
            <w:tcW w:w="1073" w:type="dxa"/>
            <w:vAlign w:val="center"/>
          </w:tcPr>
          <w:p w14:paraId="4903A7FE" w14:textId="6913C9C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4190.</w:t>
            </w:r>
            <w:r w:rsidR="008102F3">
              <w:rPr>
                <w:rFonts w:ascii="Times New Roman" w:eastAsia="Times New Roman" w:hAnsi="Times New Roman" w:cs="Times New Roman"/>
                <w:color w:val="000000"/>
                <w:kern w:val="0"/>
                <w:sz w:val="16"/>
                <w:szCs w:val="16"/>
                <w:lang w:eastAsia="en-IN" w:bidi="ar-SA"/>
                <w14:ligatures w14:val="none"/>
              </w:rPr>
              <w:t>30</w:t>
            </w:r>
          </w:p>
        </w:tc>
        <w:tc>
          <w:tcPr>
            <w:tcW w:w="979" w:type="dxa"/>
            <w:vAlign w:val="center"/>
          </w:tcPr>
          <w:p w14:paraId="2C5097F6" w14:textId="50D8D18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4644.</w:t>
            </w:r>
            <w:r w:rsidR="00B61E2D">
              <w:rPr>
                <w:rFonts w:ascii="Times New Roman" w:eastAsia="Times New Roman" w:hAnsi="Times New Roman" w:cs="Times New Roman"/>
                <w:color w:val="000000"/>
                <w:kern w:val="0"/>
                <w:sz w:val="16"/>
                <w:szCs w:val="16"/>
                <w:lang w:eastAsia="en-IN" w:bidi="ar-SA"/>
                <w14:ligatures w14:val="none"/>
              </w:rPr>
              <w:t>66</w:t>
            </w:r>
          </w:p>
        </w:tc>
        <w:tc>
          <w:tcPr>
            <w:tcW w:w="979" w:type="dxa"/>
            <w:vAlign w:val="center"/>
          </w:tcPr>
          <w:p w14:paraId="2AE2864B" w14:textId="165DC42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5148.</w:t>
            </w:r>
            <w:r w:rsidR="00B61E2D">
              <w:rPr>
                <w:rFonts w:ascii="Times New Roman" w:eastAsia="Times New Roman" w:hAnsi="Times New Roman" w:cs="Times New Roman"/>
                <w:color w:val="000000"/>
                <w:kern w:val="0"/>
                <w:sz w:val="16"/>
                <w:szCs w:val="16"/>
                <w:lang w:eastAsia="en-IN" w:bidi="ar-SA"/>
                <w14:ligatures w14:val="none"/>
              </w:rPr>
              <w:t>29</w:t>
            </w:r>
          </w:p>
        </w:tc>
        <w:tc>
          <w:tcPr>
            <w:tcW w:w="1056" w:type="dxa"/>
            <w:vAlign w:val="center"/>
          </w:tcPr>
          <w:p w14:paraId="4F46C17D" w14:textId="7A10C2E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21174</w:t>
            </w:r>
            <w:r w:rsidR="004F4D6A">
              <w:rPr>
                <w:rFonts w:ascii="Times New Roman" w:eastAsia="Times New Roman" w:hAnsi="Times New Roman" w:cs="Times New Roman"/>
                <w:color w:val="000000"/>
                <w:kern w:val="0"/>
                <w:sz w:val="16"/>
                <w:szCs w:val="16"/>
                <w:lang w:eastAsia="en-IN" w:bidi="ar-SA"/>
                <w14:ligatures w14:val="none"/>
              </w:rPr>
              <w:t>.22</w:t>
            </w:r>
          </w:p>
        </w:tc>
      </w:tr>
      <w:tr w:rsidR="007A7DCE" w:rsidRPr="0078036E" w14:paraId="1C303DD0" w14:textId="77777777" w:rsidTr="0049031D">
        <w:trPr>
          <w:trHeight w:val="20"/>
          <w:jc w:val="center"/>
        </w:trPr>
        <w:tc>
          <w:tcPr>
            <w:tcW w:w="421" w:type="dxa"/>
            <w:vAlign w:val="center"/>
          </w:tcPr>
          <w:p w14:paraId="3C54A9A3" w14:textId="01C0232B"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w:t>
            </w:r>
          </w:p>
        </w:tc>
        <w:tc>
          <w:tcPr>
            <w:tcW w:w="1391" w:type="dxa"/>
            <w:vAlign w:val="center"/>
          </w:tcPr>
          <w:p w14:paraId="16FCAF0E" w14:textId="4311CA7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Uttar Pradesh</w:t>
            </w:r>
          </w:p>
        </w:tc>
        <w:tc>
          <w:tcPr>
            <w:tcW w:w="978" w:type="dxa"/>
            <w:vAlign w:val="center"/>
          </w:tcPr>
          <w:p w14:paraId="76D46195" w14:textId="7DBEAC6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3426.</w:t>
            </w:r>
            <w:r w:rsidR="00CA00B2">
              <w:rPr>
                <w:rFonts w:ascii="Times New Roman" w:eastAsia="Times New Roman" w:hAnsi="Times New Roman" w:cs="Times New Roman"/>
                <w:color w:val="000000"/>
                <w:kern w:val="0"/>
                <w:sz w:val="16"/>
                <w:szCs w:val="16"/>
                <w:lang w:eastAsia="en-IN" w:bidi="ar-SA"/>
                <w14:ligatures w14:val="none"/>
              </w:rPr>
              <w:t>39</w:t>
            </w:r>
          </w:p>
        </w:tc>
        <w:tc>
          <w:tcPr>
            <w:tcW w:w="976" w:type="dxa"/>
            <w:vAlign w:val="center"/>
          </w:tcPr>
          <w:p w14:paraId="4CB0857E" w14:textId="45D9D5C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3272.</w:t>
            </w:r>
            <w:r w:rsidR="008102F3">
              <w:rPr>
                <w:rFonts w:ascii="Times New Roman" w:eastAsia="Times New Roman" w:hAnsi="Times New Roman" w:cs="Times New Roman"/>
                <w:color w:val="000000"/>
                <w:kern w:val="0"/>
                <w:sz w:val="16"/>
                <w:szCs w:val="16"/>
                <w:lang w:eastAsia="en-IN" w:bidi="ar-SA"/>
                <w14:ligatures w14:val="none"/>
              </w:rPr>
              <w:t>39</w:t>
            </w:r>
          </w:p>
        </w:tc>
        <w:tc>
          <w:tcPr>
            <w:tcW w:w="1073" w:type="dxa"/>
            <w:vAlign w:val="center"/>
          </w:tcPr>
          <w:p w14:paraId="2AFE1010" w14:textId="6741C7A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3125.3</w:t>
            </w:r>
            <w:r w:rsidR="008102F3">
              <w:rPr>
                <w:rFonts w:ascii="Times New Roman" w:eastAsia="Times New Roman" w:hAnsi="Times New Roman" w:cs="Times New Roman"/>
                <w:color w:val="000000"/>
                <w:kern w:val="0"/>
                <w:sz w:val="16"/>
                <w:szCs w:val="16"/>
                <w:lang w:eastAsia="en-IN" w:bidi="ar-SA"/>
                <w14:ligatures w14:val="none"/>
              </w:rPr>
              <w:t>1</w:t>
            </w:r>
          </w:p>
        </w:tc>
        <w:tc>
          <w:tcPr>
            <w:tcW w:w="1073" w:type="dxa"/>
            <w:vAlign w:val="center"/>
          </w:tcPr>
          <w:p w14:paraId="6FBAEEC1" w14:textId="3730C46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2984.8</w:t>
            </w:r>
            <w:r w:rsidR="008102F3">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7166641C" w14:textId="2BA7CDC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2850.</w:t>
            </w:r>
            <w:r w:rsidR="00B61E2D">
              <w:rPr>
                <w:rFonts w:ascii="Times New Roman" w:eastAsia="Times New Roman" w:hAnsi="Times New Roman" w:cs="Times New Roman"/>
                <w:color w:val="000000"/>
                <w:kern w:val="0"/>
                <w:sz w:val="16"/>
                <w:szCs w:val="16"/>
                <w:lang w:eastAsia="en-IN" w:bidi="ar-SA"/>
                <w14:ligatures w14:val="none"/>
              </w:rPr>
              <w:t>69</w:t>
            </w:r>
          </w:p>
        </w:tc>
        <w:tc>
          <w:tcPr>
            <w:tcW w:w="979" w:type="dxa"/>
            <w:vAlign w:val="center"/>
          </w:tcPr>
          <w:p w14:paraId="001B8C13" w14:textId="7900719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2722.</w:t>
            </w:r>
            <w:r w:rsidR="00B61E2D">
              <w:rPr>
                <w:rFonts w:ascii="Times New Roman" w:eastAsia="Times New Roman" w:hAnsi="Times New Roman" w:cs="Times New Roman"/>
                <w:color w:val="000000"/>
                <w:kern w:val="0"/>
                <w:sz w:val="16"/>
                <w:szCs w:val="16"/>
                <w:lang w:eastAsia="en-IN" w:bidi="ar-SA"/>
                <w14:ligatures w14:val="none"/>
              </w:rPr>
              <w:t>56</w:t>
            </w:r>
          </w:p>
        </w:tc>
        <w:tc>
          <w:tcPr>
            <w:tcW w:w="1056" w:type="dxa"/>
            <w:vAlign w:val="center"/>
          </w:tcPr>
          <w:p w14:paraId="3BD958CB" w14:textId="19E0D4B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1495</w:t>
            </w:r>
            <w:r w:rsidR="004F4D6A">
              <w:rPr>
                <w:rFonts w:ascii="Times New Roman" w:eastAsia="Times New Roman" w:hAnsi="Times New Roman" w:cs="Times New Roman"/>
                <w:color w:val="000000"/>
                <w:kern w:val="0"/>
                <w:sz w:val="16"/>
                <w:szCs w:val="16"/>
                <w:lang w:eastAsia="en-IN" w:bidi="ar-SA"/>
                <w14:ligatures w14:val="none"/>
              </w:rPr>
              <w:t>5.80</w:t>
            </w:r>
          </w:p>
        </w:tc>
      </w:tr>
      <w:tr w:rsidR="007A7DCE" w:rsidRPr="0078036E" w14:paraId="4F2DAE6D" w14:textId="77777777" w:rsidTr="0049031D">
        <w:trPr>
          <w:trHeight w:val="20"/>
          <w:jc w:val="center"/>
        </w:trPr>
        <w:tc>
          <w:tcPr>
            <w:tcW w:w="421" w:type="dxa"/>
            <w:vAlign w:val="center"/>
          </w:tcPr>
          <w:p w14:paraId="6D6A8A9E" w14:textId="26895B79"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w:t>
            </w:r>
          </w:p>
        </w:tc>
        <w:tc>
          <w:tcPr>
            <w:tcW w:w="1391" w:type="dxa"/>
            <w:vAlign w:val="center"/>
          </w:tcPr>
          <w:p w14:paraId="2B54AF3C" w14:textId="7E86FC8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West Bengal</w:t>
            </w:r>
          </w:p>
        </w:tc>
        <w:tc>
          <w:tcPr>
            <w:tcW w:w="978" w:type="dxa"/>
            <w:vAlign w:val="center"/>
          </w:tcPr>
          <w:p w14:paraId="6AD3508F" w14:textId="2C672F4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2434.</w:t>
            </w:r>
            <w:r w:rsidR="00CA00B2">
              <w:rPr>
                <w:rFonts w:ascii="Times New Roman" w:eastAsia="Times New Roman" w:hAnsi="Times New Roman" w:cs="Times New Roman"/>
                <w:color w:val="000000"/>
                <w:kern w:val="0"/>
                <w:sz w:val="16"/>
                <w:szCs w:val="16"/>
                <w:lang w:eastAsia="en-IN" w:bidi="ar-SA"/>
                <w14:ligatures w14:val="none"/>
              </w:rPr>
              <w:t>29</w:t>
            </w:r>
          </w:p>
        </w:tc>
        <w:tc>
          <w:tcPr>
            <w:tcW w:w="976" w:type="dxa"/>
            <w:vAlign w:val="center"/>
          </w:tcPr>
          <w:p w14:paraId="47C66DE4" w14:textId="2AC955A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2412.</w:t>
            </w:r>
            <w:r w:rsidR="008102F3">
              <w:rPr>
                <w:rFonts w:ascii="Times New Roman" w:eastAsia="Times New Roman" w:hAnsi="Times New Roman" w:cs="Times New Roman"/>
                <w:color w:val="000000"/>
                <w:kern w:val="0"/>
                <w:sz w:val="16"/>
                <w:szCs w:val="16"/>
                <w:lang w:eastAsia="en-IN" w:bidi="ar-SA"/>
                <w14:ligatures w14:val="none"/>
              </w:rPr>
              <w:t>15</w:t>
            </w:r>
          </w:p>
        </w:tc>
        <w:tc>
          <w:tcPr>
            <w:tcW w:w="1073" w:type="dxa"/>
            <w:vAlign w:val="center"/>
          </w:tcPr>
          <w:p w14:paraId="2272AC0E" w14:textId="0EA4E71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2390.2</w:t>
            </w:r>
            <w:r w:rsidR="008102F3">
              <w:rPr>
                <w:rFonts w:ascii="Times New Roman" w:eastAsia="Times New Roman" w:hAnsi="Times New Roman" w:cs="Times New Roman"/>
                <w:color w:val="000000"/>
                <w:kern w:val="0"/>
                <w:sz w:val="16"/>
                <w:szCs w:val="16"/>
                <w:lang w:eastAsia="en-IN" w:bidi="ar-SA"/>
                <w14:ligatures w14:val="none"/>
              </w:rPr>
              <w:t>1</w:t>
            </w:r>
          </w:p>
        </w:tc>
        <w:tc>
          <w:tcPr>
            <w:tcW w:w="1073" w:type="dxa"/>
            <w:vAlign w:val="center"/>
          </w:tcPr>
          <w:p w14:paraId="243F61F7" w14:textId="5B25C56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2368.</w:t>
            </w:r>
            <w:r w:rsidR="008102F3">
              <w:rPr>
                <w:rFonts w:ascii="Times New Roman" w:eastAsia="Times New Roman" w:hAnsi="Times New Roman" w:cs="Times New Roman"/>
                <w:color w:val="000000"/>
                <w:kern w:val="0"/>
                <w:sz w:val="16"/>
                <w:szCs w:val="16"/>
                <w:lang w:eastAsia="en-IN" w:bidi="ar-SA"/>
                <w14:ligatures w14:val="none"/>
              </w:rPr>
              <w:t>48</w:t>
            </w:r>
          </w:p>
        </w:tc>
        <w:tc>
          <w:tcPr>
            <w:tcW w:w="979" w:type="dxa"/>
            <w:vAlign w:val="center"/>
          </w:tcPr>
          <w:p w14:paraId="2E9E0225" w14:textId="5F8E103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2346.9</w:t>
            </w:r>
            <w:r w:rsidR="00B61E2D">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7EC50EDE" w14:textId="65516B8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2325.</w:t>
            </w:r>
            <w:r w:rsidR="00B61E2D">
              <w:rPr>
                <w:rFonts w:ascii="Times New Roman" w:eastAsia="Times New Roman" w:hAnsi="Times New Roman" w:cs="Times New Roman"/>
                <w:color w:val="000000"/>
                <w:kern w:val="0"/>
                <w:sz w:val="16"/>
                <w:szCs w:val="16"/>
                <w:lang w:eastAsia="en-IN" w:bidi="ar-SA"/>
                <w14:ligatures w14:val="none"/>
              </w:rPr>
              <w:t>59</w:t>
            </w:r>
          </w:p>
        </w:tc>
        <w:tc>
          <w:tcPr>
            <w:tcW w:w="1056" w:type="dxa"/>
            <w:vAlign w:val="center"/>
          </w:tcPr>
          <w:p w14:paraId="68D85B26" w14:textId="086F208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11843</w:t>
            </w:r>
            <w:r w:rsidR="004F4D6A">
              <w:rPr>
                <w:rFonts w:ascii="Times New Roman" w:eastAsia="Times New Roman" w:hAnsi="Times New Roman" w:cs="Times New Roman"/>
                <w:color w:val="000000"/>
                <w:kern w:val="0"/>
                <w:sz w:val="16"/>
                <w:szCs w:val="16"/>
                <w:lang w:eastAsia="en-IN" w:bidi="ar-SA"/>
                <w14:ligatures w14:val="none"/>
              </w:rPr>
              <w:t>.37</w:t>
            </w:r>
          </w:p>
        </w:tc>
      </w:tr>
      <w:tr w:rsidR="007A7DCE" w:rsidRPr="0078036E" w14:paraId="372384F6" w14:textId="77777777" w:rsidTr="0049031D">
        <w:trPr>
          <w:trHeight w:val="20"/>
          <w:jc w:val="center"/>
        </w:trPr>
        <w:tc>
          <w:tcPr>
            <w:tcW w:w="421" w:type="dxa"/>
            <w:vAlign w:val="center"/>
          </w:tcPr>
          <w:p w14:paraId="4F4BCCDD" w14:textId="6431111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14</w:t>
            </w:r>
          </w:p>
        </w:tc>
        <w:tc>
          <w:tcPr>
            <w:tcW w:w="1391" w:type="dxa"/>
            <w:vAlign w:val="center"/>
          </w:tcPr>
          <w:p w14:paraId="29FF1AA5" w14:textId="3C8F656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Major States</w:t>
            </w:r>
          </w:p>
        </w:tc>
        <w:tc>
          <w:tcPr>
            <w:tcW w:w="978" w:type="dxa"/>
            <w:vAlign w:val="center"/>
          </w:tcPr>
          <w:p w14:paraId="3AADF60C" w14:textId="61453F9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2690</w:t>
            </w:r>
            <w:r w:rsidR="00CA00B2">
              <w:rPr>
                <w:rFonts w:ascii="Times New Roman" w:eastAsia="Times New Roman" w:hAnsi="Times New Roman" w:cs="Times New Roman"/>
                <w:b/>
                <w:bCs/>
                <w:color w:val="000000"/>
                <w:kern w:val="0"/>
                <w:sz w:val="16"/>
                <w:szCs w:val="16"/>
                <w:lang w:eastAsia="en-IN" w:bidi="ar-SA"/>
                <w14:ligatures w14:val="none"/>
              </w:rPr>
              <w:t>8.55</w:t>
            </w:r>
          </w:p>
        </w:tc>
        <w:tc>
          <w:tcPr>
            <w:tcW w:w="976" w:type="dxa"/>
            <w:vAlign w:val="center"/>
          </w:tcPr>
          <w:p w14:paraId="3EC4F67D" w14:textId="4315036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2836</w:t>
            </w:r>
            <w:r w:rsidR="008102F3">
              <w:rPr>
                <w:rFonts w:ascii="Times New Roman" w:eastAsia="Times New Roman" w:hAnsi="Times New Roman" w:cs="Times New Roman"/>
                <w:b/>
                <w:bCs/>
                <w:color w:val="000000"/>
                <w:kern w:val="0"/>
                <w:sz w:val="16"/>
                <w:szCs w:val="16"/>
                <w:lang w:eastAsia="en-IN" w:bidi="ar-SA"/>
                <w14:ligatures w14:val="none"/>
              </w:rPr>
              <w:t>2.76</w:t>
            </w:r>
          </w:p>
        </w:tc>
        <w:tc>
          <w:tcPr>
            <w:tcW w:w="1073" w:type="dxa"/>
            <w:vAlign w:val="center"/>
          </w:tcPr>
          <w:p w14:paraId="2530E1DE" w14:textId="3B1E260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3012</w:t>
            </w:r>
            <w:r w:rsidR="008102F3">
              <w:rPr>
                <w:rFonts w:ascii="Times New Roman" w:eastAsia="Times New Roman" w:hAnsi="Times New Roman" w:cs="Times New Roman"/>
                <w:b/>
                <w:bCs/>
                <w:color w:val="000000"/>
                <w:kern w:val="0"/>
                <w:sz w:val="16"/>
                <w:szCs w:val="16"/>
                <w:lang w:eastAsia="en-IN" w:bidi="ar-SA"/>
                <w14:ligatures w14:val="none"/>
              </w:rPr>
              <w:t>0.58</w:t>
            </w:r>
          </w:p>
        </w:tc>
        <w:tc>
          <w:tcPr>
            <w:tcW w:w="1073" w:type="dxa"/>
            <w:vAlign w:val="center"/>
          </w:tcPr>
          <w:p w14:paraId="5F55CDED" w14:textId="6E3C1C3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322</w:t>
            </w:r>
            <w:r w:rsidR="008102F3">
              <w:rPr>
                <w:rFonts w:ascii="Times New Roman" w:eastAsia="Times New Roman" w:hAnsi="Times New Roman" w:cs="Times New Roman"/>
                <w:b/>
                <w:bCs/>
                <w:color w:val="000000"/>
                <w:kern w:val="0"/>
                <w:sz w:val="16"/>
                <w:szCs w:val="16"/>
                <w:lang w:eastAsia="en-IN" w:bidi="ar-SA"/>
                <w14:ligatures w14:val="none"/>
              </w:rPr>
              <w:t>9.71</w:t>
            </w:r>
          </w:p>
        </w:tc>
        <w:tc>
          <w:tcPr>
            <w:tcW w:w="979" w:type="dxa"/>
            <w:vAlign w:val="center"/>
          </w:tcPr>
          <w:p w14:paraId="79C9D37D" w14:textId="5BD11CB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34747</w:t>
            </w:r>
            <w:r w:rsidR="00B61E2D">
              <w:rPr>
                <w:rFonts w:ascii="Times New Roman" w:eastAsia="Times New Roman" w:hAnsi="Times New Roman" w:cs="Times New Roman"/>
                <w:b/>
                <w:bCs/>
                <w:color w:val="000000"/>
                <w:kern w:val="0"/>
                <w:sz w:val="16"/>
                <w:szCs w:val="16"/>
                <w:lang w:eastAsia="en-IN" w:bidi="ar-SA"/>
                <w14:ligatures w14:val="none"/>
              </w:rPr>
              <w:t>0.7</w:t>
            </w:r>
          </w:p>
        </w:tc>
        <w:tc>
          <w:tcPr>
            <w:tcW w:w="979" w:type="dxa"/>
            <w:vAlign w:val="center"/>
          </w:tcPr>
          <w:p w14:paraId="4EC34CCF" w14:textId="78211BC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3774</w:t>
            </w:r>
            <w:r w:rsidR="00B61E2D">
              <w:rPr>
                <w:rFonts w:ascii="Times New Roman" w:eastAsia="Times New Roman" w:hAnsi="Times New Roman" w:cs="Times New Roman"/>
                <w:b/>
                <w:bCs/>
                <w:color w:val="000000"/>
                <w:kern w:val="0"/>
                <w:sz w:val="16"/>
                <w:szCs w:val="16"/>
                <w:lang w:eastAsia="en-IN" w:bidi="ar-SA"/>
                <w14:ligatures w14:val="none"/>
              </w:rPr>
              <w:t>0.64</w:t>
            </w:r>
          </w:p>
        </w:tc>
        <w:tc>
          <w:tcPr>
            <w:tcW w:w="1056" w:type="dxa"/>
            <w:vAlign w:val="center"/>
          </w:tcPr>
          <w:p w14:paraId="35667857" w14:textId="6888233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16320</w:t>
            </w:r>
            <w:r w:rsidR="004F4D6A">
              <w:rPr>
                <w:rFonts w:ascii="Times New Roman" w:eastAsia="Times New Roman" w:hAnsi="Times New Roman" w:cs="Times New Roman"/>
                <w:b/>
                <w:bCs/>
                <w:color w:val="000000"/>
                <w:kern w:val="0"/>
                <w:sz w:val="16"/>
                <w:szCs w:val="16"/>
                <w:lang w:eastAsia="en-IN" w:bidi="ar-SA"/>
                <w14:ligatures w14:val="none"/>
              </w:rPr>
              <w:t>0.75</w:t>
            </w:r>
          </w:p>
        </w:tc>
      </w:tr>
      <w:tr w:rsidR="007A7DCE" w:rsidRPr="0078036E" w14:paraId="502C9E1E" w14:textId="77777777" w:rsidTr="00CB228F">
        <w:trPr>
          <w:trHeight w:val="20"/>
          <w:jc w:val="center"/>
        </w:trPr>
        <w:tc>
          <w:tcPr>
            <w:tcW w:w="8926" w:type="dxa"/>
            <w:gridSpan w:val="9"/>
            <w:vAlign w:val="center"/>
          </w:tcPr>
          <w:p w14:paraId="49CCC84A" w14:textId="74A67F39"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DF6987">
              <w:rPr>
                <w:rFonts w:ascii="Times New Roman" w:hAnsi="Times New Roman" w:cs="Times New Roman"/>
                <w:b/>
                <w:bCs/>
                <w:sz w:val="20"/>
                <w:szCs w:val="20"/>
              </w:rPr>
              <w:t>Expenditure Category: Economic Services</w:t>
            </w:r>
          </w:p>
        </w:tc>
      </w:tr>
      <w:tr w:rsidR="007A7DCE" w:rsidRPr="0078036E" w14:paraId="260DDF61" w14:textId="77777777" w:rsidTr="0049031D">
        <w:trPr>
          <w:trHeight w:val="20"/>
          <w:jc w:val="center"/>
        </w:trPr>
        <w:tc>
          <w:tcPr>
            <w:tcW w:w="421" w:type="dxa"/>
            <w:vAlign w:val="center"/>
          </w:tcPr>
          <w:p w14:paraId="0A7AE25D" w14:textId="2D94B1EB"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No.</w:t>
            </w:r>
          </w:p>
        </w:tc>
        <w:tc>
          <w:tcPr>
            <w:tcW w:w="1391" w:type="dxa"/>
            <w:vAlign w:val="center"/>
          </w:tcPr>
          <w:p w14:paraId="274AC74E" w14:textId="3C7A5C1D"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State</w:t>
            </w:r>
          </w:p>
        </w:tc>
        <w:tc>
          <w:tcPr>
            <w:tcW w:w="978" w:type="dxa"/>
            <w:vAlign w:val="center"/>
          </w:tcPr>
          <w:p w14:paraId="7ACCB3AE" w14:textId="3D2C92E9"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1989-90</w:t>
            </w:r>
          </w:p>
        </w:tc>
        <w:tc>
          <w:tcPr>
            <w:tcW w:w="976" w:type="dxa"/>
            <w:vAlign w:val="center"/>
          </w:tcPr>
          <w:p w14:paraId="1A160AD5" w14:textId="720CCE55"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1990-91</w:t>
            </w:r>
          </w:p>
        </w:tc>
        <w:tc>
          <w:tcPr>
            <w:tcW w:w="1073" w:type="dxa"/>
            <w:vAlign w:val="center"/>
          </w:tcPr>
          <w:p w14:paraId="5AAA4127" w14:textId="70547CFA"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1991-92</w:t>
            </w:r>
          </w:p>
        </w:tc>
        <w:tc>
          <w:tcPr>
            <w:tcW w:w="1073" w:type="dxa"/>
            <w:vAlign w:val="center"/>
          </w:tcPr>
          <w:p w14:paraId="509262B6" w14:textId="744B6473"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1992-93</w:t>
            </w:r>
          </w:p>
        </w:tc>
        <w:tc>
          <w:tcPr>
            <w:tcW w:w="979" w:type="dxa"/>
            <w:vAlign w:val="center"/>
          </w:tcPr>
          <w:p w14:paraId="1AE1CF63" w14:textId="0B5983B2"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1993-94</w:t>
            </w:r>
          </w:p>
        </w:tc>
        <w:tc>
          <w:tcPr>
            <w:tcW w:w="979" w:type="dxa"/>
            <w:vAlign w:val="center"/>
          </w:tcPr>
          <w:p w14:paraId="63DDD8B0" w14:textId="041DF725"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1994-95</w:t>
            </w:r>
          </w:p>
        </w:tc>
        <w:tc>
          <w:tcPr>
            <w:tcW w:w="1056" w:type="dxa"/>
            <w:vAlign w:val="center"/>
          </w:tcPr>
          <w:p w14:paraId="50CEBBF7" w14:textId="0C9EF1C1"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1990-91 to 1994-95</w:t>
            </w:r>
          </w:p>
        </w:tc>
      </w:tr>
      <w:tr w:rsidR="007A7DCE" w:rsidRPr="0078036E" w14:paraId="0241A4AB" w14:textId="77777777" w:rsidTr="0049031D">
        <w:trPr>
          <w:trHeight w:val="20"/>
          <w:jc w:val="center"/>
        </w:trPr>
        <w:tc>
          <w:tcPr>
            <w:tcW w:w="421" w:type="dxa"/>
            <w:vAlign w:val="center"/>
          </w:tcPr>
          <w:p w14:paraId="08D240FB" w14:textId="2B56DC78"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w:t>
            </w:r>
          </w:p>
        </w:tc>
        <w:tc>
          <w:tcPr>
            <w:tcW w:w="1391" w:type="dxa"/>
            <w:vAlign w:val="center"/>
          </w:tcPr>
          <w:p w14:paraId="05138294" w14:textId="3E54B677"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Andhra Pradesh</w:t>
            </w:r>
          </w:p>
        </w:tc>
        <w:tc>
          <w:tcPr>
            <w:tcW w:w="978" w:type="dxa"/>
            <w:vAlign w:val="center"/>
          </w:tcPr>
          <w:p w14:paraId="58850D61" w14:textId="30F9CB1F"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332</w:t>
            </w:r>
            <w:r w:rsidR="0067208C">
              <w:rPr>
                <w:rFonts w:ascii="Times New Roman" w:eastAsia="Times New Roman" w:hAnsi="Times New Roman" w:cs="Times New Roman"/>
                <w:color w:val="000000"/>
                <w:kern w:val="0"/>
                <w:sz w:val="16"/>
                <w:szCs w:val="16"/>
                <w:lang w:eastAsia="en-IN" w:bidi="ar-SA"/>
                <w14:ligatures w14:val="none"/>
              </w:rPr>
              <w:t>97.96</w:t>
            </w:r>
          </w:p>
        </w:tc>
        <w:tc>
          <w:tcPr>
            <w:tcW w:w="976" w:type="dxa"/>
            <w:vAlign w:val="center"/>
          </w:tcPr>
          <w:p w14:paraId="035F2320" w14:textId="66FF4A51"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3549</w:t>
            </w:r>
            <w:r w:rsidR="00EE723D">
              <w:rPr>
                <w:rFonts w:ascii="Times New Roman" w:eastAsia="Times New Roman" w:hAnsi="Times New Roman" w:cs="Times New Roman"/>
                <w:color w:val="000000"/>
                <w:kern w:val="0"/>
                <w:sz w:val="16"/>
                <w:szCs w:val="16"/>
                <w:lang w:eastAsia="en-IN" w:bidi="ar-SA"/>
                <w14:ligatures w14:val="none"/>
              </w:rPr>
              <w:t>8.95</w:t>
            </w:r>
          </w:p>
        </w:tc>
        <w:tc>
          <w:tcPr>
            <w:tcW w:w="1073" w:type="dxa"/>
            <w:vAlign w:val="center"/>
          </w:tcPr>
          <w:p w14:paraId="73D330C7" w14:textId="671FE811"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3784</w:t>
            </w:r>
            <w:r w:rsidR="00315906">
              <w:rPr>
                <w:rFonts w:ascii="Times New Roman" w:eastAsia="Times New Roman" w:hAnsi="Times New Roman" w:cs="Times New Roman"/>
                <w:color w:val="000000"/>
                <w:kern w:val="0"/>
                <w:sz w:val="16"/>
                <w:szCs w:val="16"/>
                <w:lang w:eastAsia="en-IN" w:bidi="ar-SA"/>
                <w14:ligatures w14:val="none"/>
              </w:rPr>
              <w:t>5.68</w:t>
            </w:r>
          </w:p>
        </w:tc>
        <w:tc>
          <w:tcPr>
            <w:tcW w:w="1073" w:type="dxa"/>
            <w:vAlign w:val="center"/>
          </w:tcPr>
          <w:p w14:paraId="08033E4E" w14:textId="74B9E1E0"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4034</w:t>
            </w:r>
            <w:r w:rsidR="0053226F">
              <w:rPr>
                <w:rFonts w:ascii="Times New Roman" w:eastAsia="Times New Roman" w:hAnsi="Times New Roman" w:cs="Times New Roman"/>
                <w:color w:val="000000"/>
                <w:kern w:val="0"/>
                <w:sz w:val="16"/>
                <w:szCs w:val="16"/>
                <w:lang w:eastAsia="en-IN" w:bidi="ar-SA"/>
                <w14:ligatures w14:val="none"/>
              </w:rPr>
              <w:t>7.84</w:t>
            </w:r>
          </w:p>
        </w:tc>
        <w:tc>
          <w:tcPr>
            <w:tcW w:w="979" w:type="dxa"/>
            <w:vAlign w:val="center"/>
          </w:tcPr>
          <w:p w14:paraId="7F79DB1F" w14:textId="0A453417"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4301</w:t>
            </w:r>
            <w:r w:rsidR="00BA2A6E">
              <w:rPr>
                <w:rFonts w:ascii="Times New Roman" w:eastAsia="Times New Roman" w:hAnsi="Times New Roman" w:cs="Times New Roman"/>
                <w:color w:val="000000"/>
                <w:kern w:val="0"/>
                <w:sz w:val="16"/>
                <w:szCs w:val="16"/>
                <w:lang w:eastAsia="en-IN" w:bidi="ar-SA"/>
                <w14:ligatures w14:val="none"/>
              </w:rPr>
              <w:t>5.</w:t>
            </w:r>
            <w:r w:rsidR="009502F3">
              <w:rPr>
                <w:rFonts w:ascii="Times New Roman" w:eastAsia="Times New Roman" w:hAnsi="Times New Roman" w:cs="Times New Roman"/>
                <w:color w:val="000000"/>
                <w:kern w:val="0"/>
                <w:sz w:val="16"/>
                <w:szCs w:val="16"/>
                <w:lang w:eastAsia="en-IN" w:bidi="ar-SA"/>
                <w14:ligatures w14:val="none"/>
              </w:rPr>
              <w:t>74</w:t>
            </w:r>
          </w:p>
        </w:tc>
        <w:tc>
          <w:tcPr>
            <w:tcW w:w="979" w:type="dxa"/>
            <w:vAlign w:val="center"/>
          </w:tcPr>
          <w:p w14:paraId="00D83B96" w14:textId="17690CEA"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45860</w:t>
            </w:r>
            <w:r w:rsidR="009502F3">
              <w:rPr>
                <w:rFonts w:ascii="Times New Roman" w:eastAsia="Times New Roman" w:hAnsi="Times New Roman" w:cs="Times New Roman"/>
                <w:color w:val="000000"/>
                <w:kern w:val="0"/>
                <w:sz w:val="16"/>
                <w:szCs w:val="16"/>
                <w:lang w:eastAsia="en-IN" w:bidi="ar-SA"/>
                <w14:ligatures w14:val="none"/>
              </w:rPr>
              <w:t>.38</w:t>
            </w:r>
          </w:p>
        </w:tc>
        <w:tc>
          <w:tcPr>
            <w:tcW w:w="1056" w:type="dxa"/>
            <w:vAlign w:val="center"/>
          </w:tcPr>
          <w:p w14:paraId="02729EC5" w14:textId="5D392D9E"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20256</w:t>
            </w:r>
            <w:r w:rsidR="009502F3">
              <w:rPr>
                <w:rFonts w:ascii="Times New Roman" w:eastAsia="Times New Roman" w:hAnsi="Times New Roman" w:cs="Times New Roman"/>
                <w:color w:val="000000"/>
                <w:kern w:val="0"/>
                <w:sz w:val="16"/>
                <w:szCs w:val="16"/>
                <w:lang w:eastAsia="en-IN" w:bidi="ar-SA"/>
                <w14:ligatures w14:val="none"/>
              </w:rPr>
              <w:t>8.</w:t>
            </w:r>
            <w:r w:rsidR="00A524CC">
              <w:rPr>
                <w:rFonts w:ascii="Times New Roman" w:eastAsia="Times New Roman" w:hAnsi="Times New Roman" w:cs="Times New Roman"/>
                <w:color w:val="000000"/>
                <w:kern w:val="0"/>
                <w:sz w:val="16"/>
                <w:szCs w:val="16"/>
                <w:lang w:eastAsia="en-IN" w:bidi="ar-SA"/>
                <w14:ligatures w14:val="none"/>
              </w:rPr>
              <w:t>60</w:t>
            </w:r>
          </w:p>
        </w:tc>
      </w:tr>
      <w:tr w:rsidR="007A7DCE" w:rsidRPr="0078036E" w14:paraId="56F7A65B" w14:textId="77777777" w:rsidTr="0049031D">
        <w:trPr>
          <w:trHeight w:val="20"/>
          <w:jc w:val="center"/>
        </w:trPr>
        <w:tc>
          <w:tcPr>
            <w:tcW w:w="421" w:type="dxa"/>
            <w:vAlign w:val="center"/>
          </w:tcPr>
          <w:p w14:paraId="747B8856" w14:textId="75B5C53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w:t>
            </w:r>
          </w:p>
        </w:tc>
        <w:tc>
          <w:tcPr>
            <w:tcW w:w="1391" w:type="dxa"/>
            <w:vAlign w:val="center"/>
          </w:tcPr>
          <w:p w14:paraId="422A32DE" w14:textId="595B350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Bihar</w:t>
            </w:r>
          </w:p>
        </w:tc>
        <w:tc>
          <w:tcPr>
            <w:tcW w:w="978" w:type="dxa"/>
            <w:vAlign w:val="center"/>
          </w:tcPr>
          <w:p w14:paraId="67EE5094" w14:textId="4F764E0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2282</w:t>
            </w:r>
            <w:r w:rsidR="0067208C">
              <w:rPr>
                <w:rFonts w:ascii="Times New Roman" w:eastAsia="Times New Roman" w:hAnsi="Times New Roman" w:cs="Times New Roman"/>
                <w:color w:val="000000"/>
                <w:kern w:val="0"/>
                <w:sz w:val="16"/>
                <w:szCs w:val="16"/>
                <w:lang w:eastAsia="en-IN" w:bidi="ar-SA"/>
                <w14:ligatures w14:val="none"/>
              </w:rPr>
              <w:t>3.56</w:t>
            </w:r>
          </w:p>
        </w:tc>
        <w:tc>
          <w:tcPr>
            <w:tcW w:w="976" w:type="dxa"/>
            <w:vAlign w:val="center"/>
          </w:tcPr>
          <w:p w14:paraId="3C96271E" w14:textId="305DABA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23599</w:t>
            </w:r>
            <w:r w:rsidR="00EE723D">
              <w:rPr>
                <w:rFonts w:ascii="Times New Roman" w:eastAsia="Times New Roman" w:hAnsi="Times New Roman" w:cs="Times New Roman"/>
                <w:color w:val="000000"/>
                <w:kern w:val="0"/>
                <w:sz w:val="16"/>
                <w:szCs w:val="16"/>
                <w:lang w:eastAsia="en-IN" w:bidi="ar-SA"/>
                <w14:ligatures w14:val="none"/>
              </w:rPr>
              <w:t>.01</w:t>
            </w:r>
          </w:p>
        </w:tc>
        <w:tc>
          <w:tcPr>
            <w:tcW w:w="1073" w:type="dxa"/>
            <w:vAlign w:val="center"/>
          </w:tcPr>
          <w:p w14:paraId="67676C35" w14:textId="5A0CDF5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2440</w:t>
            </w:r>
            <w:r w:rsidR="00315906">
              <w:rPr>
                <w:rFonts w:ascii="Times New Roman" w:eastAsia="Times New Roman" w:hAnsi="Times New Roman" w:cs="Times New Roman"/>
                <w:color w:val="000000"/>
                <w:kern w:val="0"/>
                <w:sz w:val="16"/>
                <w:szCs w:val="16"/>
                <w:lang w:eastAsia="en-IN" w:bidi="ar-SA"/>
                <w14:ligatures w14:val="none"/>
              </w:rPr>
              <w:t>6.70</w:t>
            </w:r>
          </w:p>
        </w:tc>
        <w:tc>
          <w:tcPr>
            <w:tcW w:w="1073" w:type="dxa"/>
            <w:vAlign w:val="center"/>
          </w:tcPr>
          <w:p w14:paraId="05AF23F2" w14:textId="3FF94A1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25248</w:t>
            </w:r>
            <w:r w:rsidR="0053226F">
              <w:rPr>
                <w:rFonts w:ascii="Times New Roman" w:eastAsia="Times New Roman" w:hAnsi="Times New Roman" w:cs="Times New Roman"/>
                <w:color w:val="000000"/>
                <w:kern w:val="0"/>
                <w:sz w:val="16"/>
                <w:szCs w:val="16"/>
                <w:lang w:eastAsia="en-IN" w:bidi="ar-SA"/>
                <w14:ligatures w14:val="none"/>
              </w:rPr>
              <w:t>.13</w:t>
            </w:r>
          </w:p>
        </w:tc>
        <w:tc>
          <w:tcPr>
            <w:tcW w:w="979" w:type="dxa"/>
            <w:vAlign w:val="center"/>
          </w:tcPr>
          <w:p w14:paraId="2B02A39A" w14:textId="4A8F730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2612</w:t>
            </w:r>
            <w:r w:rsidR="00BA2A6E">
              <w:rPr>
                <w:rFonts w:ascii="Times New Roman" w:eastAsia="Times New Roman" w:hAnsi="Times New Roman" w:cs="Times New Roman"/>
                <w:color w:val="000000"/>
                <w:kern w:val="0"/>
                <w:sz w:val="16"/>
                <w:szCs w:val="16"/>
                <w:lang w:eastAsia="en-IN" w:bidi="ar-SA"/>
                <w14:ligatures w14:val="none"/>
              </w:rPr>
              <w:t>4</w:t>
            </w:r>
            <w:r w:rsidR="009502F3">
              <w:rPr>
                <w:rFonts w:ascii="Times New Roman" w:eastAsia="Times New Roman" w:hAnsi="Times New Roman" w:cs="Times New Roman"/>
                <w:color w:val="000000"/>
                <w:kern w:val="0"/>
                <w:sz w:val="16"/>
                <w:szCs w:val="16"/>
                <w:lang w:eastAsia="en-IN" w:bidi="ar-SA"/>
                <w14:ligatures w14:val="none"/>
              </w:rPr>
              <w:t>.88</w:t>
            </w:r>
          </w:p>
        </w:tc>
        <w:tc>
          <w:tcPr>
            <w:tcW w:w="979" w:type="dxa"/>
            <w:vAlign w:val="center"/>
          </w:tcPr>
          <w:p w14:paraId="1F4B16A0" w14:textId="6114983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2703</w:t>
            </w:r>
            <w:r w:rsidR="00A524CC">
              <w:rPr>
                <w:rFonts w:ascii="Times New Roman" w:eastAsia="Times New Roman" w:hAnsi="Times New Roman" w:cs="Times New Roman"/>
                <w:color w:val="000000"/>
                <w:kern w:val="0"/>
                <w:sz w:val="16"/>
                <w:szCs w:val="16"/>
                <w:lang w:eastAsia="en-IN" w:bidi="ar-SA"/>
                <w14:ligatures w14:val="none"/>
              </w:rPr>
              <w:t>8</w:t>
            </w:r>
            <w:r w:rsidR="009502F3">
              <w:rPr>
                <w:rFonts w:ascii="Times New Roman" w:eastAsia="Times New Roman" w:hAnsi="Times New Roman" w:cs="Times New Roman"/>
                <w:color w:val="000000"/>
                <w:kern w:val="0"/>
                <w:sz w:val="16"/>
                <w:szCs w:val="16"/>
                <w:lang w:eastAsia="en-IN" w:bidi="ar-SA"/>
                <w14:ligatures w14:val="none"/>
              </w:rPr>
              <w:t>.64</w:t>
            </w:r>
          </w:p>
        </w:tc>
        <w:tc>
          <w:tcPr>
            <w:tcW w:w="1056" w:type="dxa"/>
            <w:vAlign w:val="center"/>
          </w:tcPr>
          <w:p w14:paraId="1EAFBD23" w14:textId="7F64B05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126417</w:t>
            </w:r>
            <w:r w:rsidR="009502F3">
              <w:rPr>
                <w:rFonts w:ascii="Times New Roman" w:eastAsia="Times New Roman" w:hAnsi="Times New Roman" w:cs="Times New Roman"/>
                <w:color w:val="000000"/>
                <w:kern w:val="0"/>
                <w:sz w:val="16"/>
                <w:szCs w:val="16"/>
                <w:lang w:eastAsia="en-IN" w:bidi="ar-SA"/>
                <w14:ligatures w14:val="none"/>
              </w:rPr>
              <w:t>.36</w:t>
            </w:r>
          </w:p>
        </w:tc>
      </w:tr>
      <w:tr w:rsidR="007A7DCE" w:rsidRPr="0078036E" w14:paraId="6ED5EB32" w14:textId="77777777" w:rsidTr="0049031D">
        <w:trPr>
          <w:trHeight w:val="20"/>
          <w:jc w:val="center"/>
        </w:trPr>
        <w:tc>
          <w:tcPr>
            <w:tcW w:w="421" w:type="dxa"/>
            <w:vAlign w:val="center"/>
          </w:tcPr>
          <w:p w14:paraId="018FCA93" w14:textId="1FACC6E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w:t>
            </w:r>
          </w:p>
        </w:tc>
        <w:tc>
          <w:tcPr>
            <w:tcW w:w="1391" w:type="dxa"/>
            <w:vAlign w:val="center"/>
          </w:tcPr>
          <w:p w14:paraId="045B2AF8" w14:textId="4256D7B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Gujarat</w:t>
            </w:r>
          </w:p>
        </w:tc>
        <w:tc>
          <w:tcPr>
            <w:tcW w:w="978" w:type="dxa"/>
            <w:vAlign w:val="center"/>
          </w:tcPr>
          <w:p w14:paraId="388C1D19" w14:textId="22AD253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36330</w:t>
            </w:r>
            <w:r w:rsidR="0067208C">
              <w:rPr>
                <w:rFonts w:ascii="Times New Roman" w:eastAsia="Times New Roman" w:hAnsi="Times New Roman" w:cs="Times New Roman"/>
                <w:color w:val="000000"/>
                <w:kern w:val="0"/>
                <w:sz w:val="16"/>
                <w:szCs w:val="16"/>
                <w:lang w:eastAsia="en-IN" w:bidi="ar-SA"/>
                <w14:ligatures w14:val="none"/>
              </w:rPr>
              <w:t>.22</w:t>
            </w:r>
          </w:p>
        </w:tc>
        <w:tc>
          <w:tcPr>
            <w:tcW w:w="976" w:type="dxa"/>
            <w:vAlign w:val="center"/>
          </w:tcPr>
          <w:p w14:paraId="72452579" w14:textId="2FBF65D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38460</w:t>
            </w:r>
            <w:r w:rsidR="00EE723D">
              <w:rPr>
                <w:rFonts w:ascii="Times New Roman" w:eastAsia="Times New Roman" w:hAnsi="Times New Roman" w:cs="Times New Roman"/>
                <w:color w:val="000000"/>
                <w:kern w:val="0"/>
                <w:sz w:val="16"/>
                <w:szCs w:val="16"/>
                <w:lang w:eastAsia="en-IN" w:bidi="ar-SA"/>
                <w14:ligatures w14:val="none"/>
              </w:rPr>
              <w:t>.35</w:t>
            </w:r>
          </w:p>
        </w:tc>
        <w:tc>
          <w:tcPr>
            <w:tcW w:w="1073" w:type="dxa"/>
            <w:vAlign w:val="center"/>
          </w:tcPr>
          <w:p w14:paraId="61BB884B" w14:textId="65578F4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40739</w:t>
            </w:r>
            <w:r w:rsidR="00315906">
              <w:rPr>
                <w:rFonts w:ascii="Times New Roman" w:eastAsia="Times New Roman" w:hAnsi="Times New Roman" w:cs="Times New Roman"/>
                <w:color w:val="000000"/>
                <w:kern w:val="0"/>
                <w:sz w:val="16"/>
                <w:szCs w:val="16"/>
                <w:lang w:eastAsia="en-IN" w:bidi="ar-SA"/>
                <w14:ligatures w14:val="none"/>
              </w:rPr>
              <w:t>.02</w:t>
            </w:r>
          </w:p>
        </w:tc>
        <w:tc>
          <w:tcPr>
            <w:tcW w:w="1073" w:type="dxa"/>
            <w:vAlign w:val="center"/>
          </w:tcPr>
          <w:p w14:paraId="72689077" w14:textId="6B674A2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43178</w:t>
            </w:r>
            <w:r w:rsidR="0053226F">
              <w:rPr>
                <w:rFonts w:ascii="Times New Roman" w:eastAsia="Times New Roman" w:hAnsi="Times New Roman" w:cs="Times New Roman"/>
                <w:color w:val="000000"/>
                <w:kern w:val="0"/>
                <w:sz w:val="16"/>
                <w:szCs w:val="16"/>
                <w:lang w:eastAsia="en-IN" w:bidi="ar-SA"/>
                <w14:ligatures w14:val="none"/>
              </w:rPr>
              <w:t>.17</w:t>
            </w:r>
          </w:p>
        </w:tc>
        <w:tc>
          <w:tcPr>
            <w:tcW w:w="979" w:type="dxa"/>
            <w:vAlign w:val="center"/>
          </w:tcPr>
          <w:p w14:paraId="307B22A9" w14:textId="7D9AC06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4579</w:t>
            </w:r>
            <w:r w:rsidR="009502F3">
              <w:rPr>
                <w:rFonts w:ascii="Times New Roman" w:eastAsia="Times New Roman" w:hAnsi="Times New Roman" w:cs="Times New Roman"/>
                <w:color w:val="000000"/>
                <w:kern w:val="0"/>
                <w:sz w:val="16"/>
                <w:szCs w:val="16"/>
                <w:lang w:eastAsia="en-IN" w:bidi="ar-SA"/>
                <w14:ligatures w14:val="none"/>
              </w:rPr>
              <w:t>0.79</w:t>
            </w:r>
          </w:p>
        </w:tc>
        <w:tc>
          <w:tcPr>
            <w:tcW w:w="979" w:type="dxa"/>
            <w:vAlign w:val="center"/>
          </w:tcPr>
          <w:p w14:paraId="7EED89ED" w14:textId="551EB78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48591</w:t>
            </w:r>
            <w:r w:rsidR="009502F3">
              <w:rPr>
                <w:rFonts w:ascii="Times New Roman" w:eastAsia="Times New Roman" w:hAnsi="Times New Roman" w:cs="Times New Roman"/>
                <w:color w:val="000000"/>
                <w:kern w:val="0"/>
                <w:sz w:val="16"/>
                <w:szCs w:val="16"/>
                <w:lang w:eastAsia="en-IN" w:bidi="ar-SA"/>
                <w14:ligatures w14:val="none"/>
              </w:rPr>
              <w:t>.05</w:t>
            </w:r>
          </w:p>
        </w:tc>
        <w:tc>
          <w:tcPr>
            <w:tcW w:w="1056" w:type="dxa"/>
            <w:vAlign w:val="center"/>
          </w:tcPr>
          <w:p w14:paraId="79D155CF" w14:textId="3D25429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216759</w:t>
            </w:r>
            <w:r w:rsidR="009502F3">
              <w:rPr>
                <w:rFonts w:ascii="Times New Roman" w:eastAsia="Times New Roman" w:hAnsi="Times New Roman" w:cs="Times New Roman"/>
                <w:color w:val="000000"/>
                <w:kern w:val="0"/>
                <w:sz w:val="16"/>
                <w:szCs w:val="16"/>
                <w:lang w:eastAsia="en-IN" w:bidi="ar-SA"/>
                <w14:ligatures w14:val="none"/>
              </w:rPr>
              <w:t>.38</w:t>
            </w:r>
          </w:p>
        </w:tc>
      </w:tr>
      <w:tr w:rsidR="007A7DCE" w:rsidRPr="0078036E" w14:paraId="27E3E2BE" w14:textId="77777777" w:rsidTr="0049031D">
        <w:trPr>
          <w:trHeight w:val="20"/>
          <w:jc w:val="center"/>
        </w:trPr>
        <w:tc>
          <w:tcPr>
            <w:tcW w:w="421" w:type="dxa"/>
            <w:vAlign w:val="center"/>
          </w:tcPr>
          <w:p w14:paraId="01584BCB" w14:textId="6C7E68D0"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w:t>
            </w:r>
          </w:p>
        </w:tc>
        <w:tc>
          <w:tcPr>
            <w:tcW w:w="1391" w:type="dxa"/>
            <w:vAlign w:val="center"/>
          </w:tcPr>
          <w:p w14:paraId="3360535C" w14:textId="4887F2F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Haryana</w:t>
            </w:r>
          </w:p>
        </w:tc>
        <w:tc>
          <w:tcPr>
            <w:tcW w:w="978" w:type="dxa"/>
            <w:vAlign w:val="center"/>
          </w:tcPr>
          <w:p w14:paraId="116AB523" w14:textId="67791F2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6817.6</w:t>
            </w:r>
            <w:r w:rsidR="0067208C">
              <w:rPr>
                <w:rFonts w:ascii="Times New Roman" w:eastAsia="Times New Roman" w:hAnsi="Times New Roman" w:cs="Times New Roman"/>
                <w:color w:val="000000"/>
                <w:kern w:val="0"/>
                <w:sz w:val="16"/>
                <w:szCs w:val="16"/>
                <w:lang w:eastAsia="en-IN" w:bidi="ar-SA"/>
                <w14:ligatures w14:val="none"/>
              </w:rPr>
              <w:t>3</w:t>
            </w:r>
          </w:p>
        </w:tc>
        <w:tc>
          <w:tcPr>
            <w:tcW w:w="976" w:type="dxa"/>
            <w:vAlign w:val="center"/>
          </w:tcPr>
          <w:p w14:paraId="45B3ADFC" w14:textId="5CB3C71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7288.4</w:t>
            </w:r>
            <w:r w:rsidR="00EE723D">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19266977" w14:textId="6B20354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7792.8</w:t>
            </w:r>
            <w:r w:rsidR="00315906">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71A8ABFB" w14:textId="2F89D72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8333.3</w:t>
            </w:r>
            <w:r w:rsidR="0053226F">
              <w:rPr>
                <w:rFonts w:ascii="Times New Roman" w:eastAsia="Times New Roman" w:hAnsi="Times New Roman" w:cs="Times New Roman"/>
                <w:color w:val="000000"/>
                <w:kern w:val="0"/>
                <w:sz w:val="16"/>
                <w:szCs w:val="16"/>
                <w:lang w:eastAsia="en-IN" w:bidi="ar-SA"/>
                <w14:ligatures w14:val="none"/>
              </w:rPr>
              <w:t>4</w:t>
            </w:r>
          </w:p>
        </w:tc>
        <w:tc>
          <w:tcPr>
            <w:tcW w:w="979" w:type="dxa"/>
            <w:vAlign w:val="center"/>
          </w:tcPr>
          <w:p w14:paraId="6EDAAD66" w14:textId="01FE9F6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8912.</w:t>
            </w:r>
            <w:r w:rsidR="00BA2A6E">
              <w:rPr>
                <w:rFonts w:ascii="Times New Roman" w:eastAsia="Times New Roman" w:hAnsi="Times New Roman" w:cs="Times New Roman"/>
                <w:color w:val="000000"/>
                <w:kern w:val="0"/>
                <w:sz w:val="16"/>
                <w:szCs w:val="16"/>
                <w:lang w:eastAsia="en-IN" w:bidi="ar-SA"/>
                <w14:ligatures w14:val="none"/>
              </w:rPr>
              <w:t>76</w:t>
            </w:r>
          </w:p>
        </w:tc>
        <w:tc>
          <w:tcPr>
            <w:tcW w:w="979" w:type="dxa"/>
            <w:vAlign w:val="center"/>
          </w:tcPr>
          <w:p w14:paraId="563B0D93" w14:textId="6AE1E31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953</w:t>
            </w:r>
            <w:r w:rsidR="00A524CC">
              <w:rPr>
                <w:rFonts w:ascii="Times New Roman" w:eastAsia="Times New Roman" w:hAnsi="Times New Roman" w:cs="Times New Roman"/>
                <w:color w:val="000000"/>
                <w:kern w:val="0"/>
                <w:sz w:val="16"/>
                <w:szCs w:val="16"/>
                <w:lang w:eastAsia="en-IN" w:bidi="ar-SA"/>
                <w14:ligatures w14:val="none"/>
              </w:rPr>
              <w:t>3</w:t>
            </w:r>
            <w:r w:rsidR="009502F3">
              <w:rPr>
                <w:rFonts w:ascii="Times New Roman" w:eastAsia="Times New Roman" w:hAnsi="Times New Roman" w:cs="Times New Roman"/>
                <w:color w:val="000000"/>
                <w:kern w:val="0"/>
                <w:sz w:val="16"/>
                <w:szCs w:val="16"/>
                <w:lang w:eastAsia="en-IN" w:bidi="ar-SA"/>
                <w14:ligatures w14:val="none"/>
              </w:rPr>
              <w:t>.98</w:t>
            </w:r>
          </w:p>
        </w:tc>
        <w:tc>
          <w:tcPr>
            <w:tcW w:w="1056" w:type="dxa"/>
            <w:vAlign w:val="center"/>
          </w:tcPr>
          <w:p w14:paraId="3284B36B" w14:textId="6842C13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41861</w:t>
            </w:r>
            <w:r w:rsidR="009502F3">
              <w:rPr>
                <w:rFonts w:ascii="Times New Roman" w:eastAsia="Times New Roman" w:hAnsi="Times New Roman" w:cs="Times New Roman"/>
                <w:color w:val="000000"/>
                <w:kern w:val="0"/>
                <w:sz w:val="16"/>
                <w:szCs w:val="16"/>
                <w:lang w:eastAsia="en-IN" w:bidi="ar-SA"/>
                <w14:ligatures w14:val="none"/>
              </w:rPr>
              <w:t>.28</w:t>
            </w:r>
          </w:p>
        </w:tc>
      </w:tr>
      <w:tr w:rsidR="007A7DCE" w:rsidRPr="0078036E" w14:paraId="4D1EB14B" w14:textId="77777777" w:rsidTr="0049031D">
        <w:trPr>
          <w:trHeight w:val="20"/>
          <w:jc w:val="center"/>
        </w:trPr>
        <w:tc>
          <w:tcPr>
            <w:tcW w:w="421" w:type="dxa"/>
            <w:vAlign w:val="center"/>
          </w:tcPr>
          <w:p w14:paraId="6310F0DC" w14:textId="2D8470F9"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w:t>
            </w:r>
          </w:p>
        </w:tc>
        <w:tc>
          <w:tcPr>
            <w:tcW w:w="1391" w:type="dxa"/>
            <w:vAlign w:val="center"/>
          </w:tcPr>
          <w:p w14:paraId="1BF51552" w14:textId="4CEEDB6B"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Karnataka</w:t>
            </w:r>
          </w:p>
        </w:tc>
        <w:tc>
          <w:tcPr>
            <w:tcW w:w="978" w:type="dxa"/>
            <w:vAlign w:val="center"/>
          </w:tcPr>
          <w:p w14:paraId="243FA5C2" w14:textId="413539C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30038</w:t>
            </w:r>
            <w:r w:rsidR="0067208C">
              <w:rPr>
                <w:rFonts w:ascii="Times New Roman" w:eastAsia="Times New Roman" w:hAnsi="Times New Roman" w:cs="Times New Roman"/>
                <w:color w:val="000000"/>
                <w:kern w:val="0"/>
                <w:sz w:val="16"/>
                <w:szCs w:val="16"/>
                <w:lang w:eastAsia="en-IN" w:bidi="ar-SA"/>
                <w14:ligatures w14:val="none"/>
              </w:rPr>
              <w:t>.19</w:t>
            </w:r>
          </w:p>
        </w:tc>
        <w:tc>
          <w:tcPr>
            <w:tcW w:w="976" w:type="dxa"/>
            <w:vAlign w:val="center"/>
          </w:tcPr>
          <w:p w14:paraId="38C6DB71" w14:textId="41B1FC1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3220</w:t>
            </w:r>
            <w:r w:rsidR="00EE723D">
              <w:rPr>
                <w:rFonts w:ascii="Times New Roman" w:eastAsia="Times New Roman" w:hAnsi="Times New Roman" w:cs="Times New Roman"/>
                <w:color w:val="000000"/>
                <w:kern w:val="0"/>
                <w:sz w:val="16"/>
                <w:szCs w:val="16"/>
                <w:lang w:eastAsia="en-IN" w:bidi="ar-SA"/>
                <w14:ligatures w14:val="none"/>
              </w:rPr>
              <w:t>2.60</w:t>
            </w:r>
          </w:p>
        </w:tc>
        <w:tc>
          <w:tcPr>
            <w:tcW w:w="1073" w:type="dxa"/>
            <w:vAlign w:val="center"/>
          </w:tcPr>
          <w:p w14:paraId="3FDD6155" w14:textId="7F419DE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34524</w:t>
            </w:r>
            <w:r w:rsidR="00315906">
              <w:rPr>
                <w:rFonts w:ascii="Times New Roman" w:eastAsia="Times New Roman" w:hAnsi="Times New Roman" w:cs="Times New Roman"/>
                <w:color w:val="000000"/>
                <w:kern w:val="0"/>
                <w:sz w:val="16"/>
                <w:szCs w:val="16"/>
                <w:lang w:eastAsia="en-IN" w:bidi="ar-SA"/>
                <w14:ligatures w14:val="none"/>
              </w:rPr>
              <w:t>.11</w:t>
            </w:r>
          </w:p>
        </w:tc>
        <w:tc>
          <w:tcPr>
            <w:tcW w:w="1073" w:type="dxa"/>
            <w:vAlign w:val="center"/>
          </w:tcPr>
          <w:p w14:paraId="2AEBC735" w14:textId="4855B08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37014</w:t>
            </w:r>
            <w:r w:rsidR="0053226F">
              <w:rPr>
                <w:rFonts w:ascii="Times New Roman" w:eastAsia="Times New Roman" w:hAnsi="Times New Roman" w:cs="Times New Roman"/>
                <w:color w:val="000000"/>
                <w:kern w:val="0"/>
                <w:sz w:val="16"/>
                <w:szCs w:val="16"/>
                <w:lang w:eastAsia="en-IN" w:bidi="ar-SA"/>
                <w14:ligatures w14:val="none"/>
              </w:rPr>
              <w:t>.22</w:t>
            </w:r>
          </w:p>
        </w:tc>
        <w:tc>
          <w:tcPr>
            <w:tcW w:w="979" w:type="dxa"/>
            <w:vAlign w:val="center"/>
          </w:tcPr>
          <w:p w14:paraId="3246011D" w14:textId="05F028F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39685</w:t>
            </w:r>
            <w:r w:rsidR="00BA2A6E">
              <w:rPr>
                <w:rFonts w:ascii="Times New Roman" w:eastAsia="Times New Roman" w:hAnsi="Times New Roman" w:cs="Times New Roman"/>
                <w:color w:val="000000"/>
                <w:kern w:val="0"/>
                <w:sz w:val="16"/>
                <w:szCs w:val="16"/>
                <w:lang w:eastAsia="en-IN" w:bidi="ar-SA"/>
                <w14:ligatures w14:val="none"/>
              </w:rPr>
              <w:t>.25</w:t>
            </w:r>
          </w:p>
        </w:tc>
        <w:tc>
          <w:tcPr>
            <w:tcW w:w="979" w:type="dxa"/>
            <w:vAlign w:val="center"/>
          </w:tcPr>
          <w:p w14:paraId="42A58C9A" w14:textId="4161DDD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42550</w:t>
            </w:r>
            <w:r w:rsidR="009502F3">
              <w:rPr>
                <w:rFonts w:ascii="Times New Roman" w:eastAsia="Times New Roman" w:hAnsi="Times New Roman" w:cs="Times New Roman"/>
                <w:color w:val="000000"/>
                <w:kern w:val="0"/>
                <w:sz w:val="16"/>
                <w:szCs w:val="16"/>
                <w:lang w:eastAsia="en-IN" w:bidi="ar-SA"/>
                <w14:ligatures w14:val="none"/>
              </w:rPr>
              <w:t>.44</w:t>
            </w:r>
          </w:p>
        </w:tc>
        <w:tc>
          <w:tcPr>
            <w:tcW w:w="1056" w:type="dxa"/>
            <w:vAlign w:val="center"/>
          </w:tcPr>
          <w:p w14:paraId="640FCC54" w14:textId="608CD31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18597</w:t>
            </w:r>
            <w:r w:rsidR="009502F3">
              <w:rPr>
                <w:rFonts w:ascii="Times New Roman" w:eastAsia="Times New Roman" w:hAnsi="Times New Roman" w:cs="Times New Roman"/>
                <w:color w:val="000000"/>
                <w:kern w:val="0"/>
                <w:sz w:val="16"/>
                <w:szCs w:val="16"/>
                <w:lang w:eastAsia="en-IN" w:bidi="ar-SA"/>
                <w14:ligatures w14:val="none"/>
              </w:rPr>
              <w:t>6.63</w:t>
            </w:r>
          </w:p>
        </w:tc>
      </w:tr>
      <w:tr w:rsidR="007A7DCE" w:rsidRPr="0078036E" w14:paraId="65B98EA6" w14:textId="77777777" w:rsidTr="0049031D">
        <w:trPr>
          <w:trHeight w:val="20"/>
          <w:jc w:val="center"/>
        </w:trPr>
        <w:tc>
          <w:tcPr>
            <w:tcW w:w="421" w:type="dxa"/>
            <w:vAlign w:val="center"/>
          </w:tcPr>
          <w:p w14:paraId="7CBAAFAF" w14:textId="1AA26786"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w:t>
            </w:r>
          </w:p>
        </w:tc>
        <w:tc>
          <w:tcPr>
            <w:tcW w:w="1391" w:type="dxa"/>
            <w:vAlign w:val="center"/>
          </w:tcPr>
          <w:p w14:paraId="20F2C4E9" w14:textId="636A44C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Kerala</w:t>
            </w:r>
          </w:p>
        </w:tc>
        <w:tc>
          <w:tcPr>
            <w:tcW w:w="978" w:type="dxa"/>
            <w:vAlign w:val="center"/>
          </w:tcPr>
          <w:p w14:paraId="1C78EDB2" w14:textId="0AABAAF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13193</w:t>
            </w:r>
            <w:r w:rsidR="0067208C">
              <w:rPr>
                <w:rFonts w:ascii="Times New Roman" w:eastAsia="Times New Roman" w:hAnsi="Times New Roman" w:cs="Times New Roman"/>
                <w:color w:val="000000"/>
                <w:kern w:val="0"/>
                <w:sz w:val="16"/>
                <w:szCs w:val="16"/>
                <w:lang w:eastAsia="en-IN" w:bidi="ar-SA"/>
                <w14:ligatures w14:val="none"/>
              </w:rPr>
              <w:t>.19</w:t>
            </w:r>
          </w:p>
        </w:tc>
        <w:tc>
          <w:tcPr>
            <w:tcW w:w="976" w:type="dxa"/>
            <w:vAlign w:val="center"/>
          </w:tcPr>
          <w:p w14:paraId="66439157" w14:textId="4227C85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1381</w:t>
            </w:r>
            <w:r w:rsidR="00EE723D">
              <w:rPr>
                <w:rFonts w:ascii="Times New Roman" w:eastAsia="Times New Roman" w:hAnsi="Times New Roman" w:cs="Times New Roman"/>
                <w:color w:val="000000"/>
                <w:kern w:val="0"/>
                <w:sz w:val="16"/>
                <w:szCs w:val="16"/>
                <w:lang w:eastAsia="en-IN" w:bidi="ar-SA"/>
                <w14:ligatures w14:val="none"/>
              </w:rPr>
              <w:t>6.81</w:t>
            </w:r>
          </w:p>
        </w:tc>
        <w:tc>
          <w:tcPr>
            <w:tcW w:w="1073" w:type="dxa"/>
            <w:vAlign w:val="center"/>
          </w:tcPr>
          <w:p w14:paraId="492BA1FA" w14:textId="3B4A902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14485</w:t>
            </w:r>
            <w:r w:rsidR="00315906">
              <w:rPr>
                <w:rFonts w:ascii="Times New Roman" w:eastAsia="Times New Roman" w:hAnsi="Times New Roman" w:cs="Times New Roman"/>
                <w:color w:val="000000"/>
                <w:kern w:val="0"/>
                <w:sz w:val="16"/>
                <w:szCs w:val="16"/>
                <w:lang w:eastAsia="en-IN" w:bidi="ar-SA"/>
                <w14:ligatures w14:val="none"/>
              </w:rPr>
              <w:t>.33</w:t>
            </w:r>
          </w:p>
        </w:tc>
        <w:tc>
          <w:tcPr>
            <w:tcW w:w="1073" w:type="dxa"/>
            <w:vAlign w:val="center"/>
          </w:tcPr>
          <w:p w14:paraId="29F1D8D3" w14:textId="006EF4C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1520</w:t>
            </w:r>
            <w:r w:rsidR="0053226F">
              <w:rPr>
                <w:rFonts w:ascii="Times New Roman" w:eastAsia="Times New Roman" w:hAnsi="Times New Roman" w:cs="Times New Roman"/>
                <w:color w:val="000000"/>
                <w:kern w:val="0"/>
                <w:sz w:val="16"/>
                <w:szCs w:val="16"/>
                <w:lang w:eastAsia="en-IN" w:bidi="ar-SA"/>
                <w14:ligatures w14:val="none"/>
              </w:rPr>
              <w:t>0.96</w:t>
            </w:r>
          </w:p>
        </w:tc>
        <w:tc>
          <w:tcPr>
            <w:tcW w:w="979" w:type="dxa"/>
            <w:vAlign w:val="center"/>
          </w:tcPr>
          <w:p w14:paraId="3E17EACC" w14:textId="2F09052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15966</w:t>
            </w:r>
            <w:r w:rsidR="00BA2A6E">
              <w:rPr>
                <w:rFonts w:ascii="Times New Roman" w:eastAsia="Times New Roman" w:hAnsi="Times New Roman" w:cs="Times New Roman"/>
                <w:color w:val="000000"/>
                <w:kern w:val="0"/>
                <w:sz w:val="16"/>
                <w:szCs w:val="16"/>
                <w:lang w:eastAsia="en-IN" w:bidi="ar-SA"/>
                <w14:ligatures w14:val="none"/>
              </w:rPr>
              <w:t>.08</w:t>
            </w:r>
          </w:p>
        </w:tc>
        <w:tc>
          <w:tcPr>
            <w:tcW w:w="979" w:type="dxa"/>
            <w:vAlign w:val="center"/>
          </w:tcPr>
          <w:p w14:paraId="36976D46" w14:textId="1BB24F0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16783</w:t>
            </w:r>
            <w:r w:rsidR="009502F3">
              <w:rPr>
                <w:rFonts w:ascii="Times New Roman" w:eastAsia="Times New Roman" w:hAnsi="Times New Roman" w:cs="Times New Roman"/>
                <w:color w:val="000000"/>
                <w:kern w:val="0"/>
                <w:sz w:val="16"/>
                <w:szCs w:val="16"/>
                <w:lang w:eastAsia="en-IN" w:bidi="ar-SA"/>
                <w14:ligatures w14:val="none"/>
              </w:rPr>
              <w:t>.25</w:t>
            </w:r>
          </w:p>
        </w:tc>
        <w:tc>
          <w:tcPr>
            <w:tcW w:w="1056" w:type="dxa"/>
            <w:vAlign w:val="center"/>
          </w:tcPr>
          <w:p w14:paraId="6A47F61C" w14:textId="5933BC3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76252</w:t>
            </w:r>
            <w:r w:rsidR="009502F3">
              <w:rPr>
                <w:rFonts w:ascii="Times New Roman" w:eastAsia="Times New Roman" w:hAnsi="Times New Roman" w:cs="Times New Roman"/>
                <w:color w:val="000000"/>
                <w:kern w:val="0"/>
                <w:sz w:val="16"/>
                <w:szCs w:val="16"/>
                <w:lang w:eastAsia="en-IN" w:bidi="ar-SA"/>
                <w14:ligatures w14:val="none"/>
              </w:rPr>
              <w:t>.42</w:t>
            </w:r>
          </w:p>
        </w:tc>
      </w:tr>
      <w:tr w:rsidR="007A7DCE" w:rsidRPr="0078036E" w14:paraId="33B00E98" w14:textId="77777777" w:rsidTr="0049031D">
        <w:trPr>
          <w:trHeight w:val="20"/>
          <w:jc w:val="center"/>
        </w:trPr>
        <w:tc>
          <w:tcPr>
            <w:tcW w:w="421" w:type="dxa"/>
            <w:vAlign w:val="center"/>
          </w:tcPr>
          <w:p w14:paraId="4FE890C7" w14:textId="042CABD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w:t>
            </w:r>
          </w:p>
        </w:tc>
        <w:tc>
          <w:tcPr>
            <w:tcW w:w="1391" w:type="dxa"/>
            <w:vAlign w:val="center"/>
          </w:tcPr>
          <w:p w14:paraId="28071157" w14:textId="40C85F85"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Madhya Pradesh</w:t>
            </w:r>
          </w:p>
        </w:tc>
        <w:tc>
          <w:tcPr>
            <w:tcW w:w="978" w:type="dxa"/>
            <w:vAlign w:val="center"/>
          </w:tcPr>
          <w:p w14:paraId="3230F16D" w14:textId="0BE306E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25547</w:t>
            </w:r>
            <w:r w:rsidR="0067208C">
              <w:rPr>
                <w:rFonts w:ascii="Times New Roman" w:eastAsia="Times New Roman" w:hAnsi="Times New Roman" w:cs="Times New Roman"/>
                <w:color w:val="000000"/>
                <w:kern w:val="0"/>
                <w:sz w:val="16"/>
                <w:szCs w:val="16"/>
                <w:lang w:eastAsia="en-IN" w:bidi="ar-SA"/>
                <w14:ligatures w14:val="none"/>
              </w:rPr>
              <w:t>.31</w:t>
            </w:r>
          </w:p>
        </w:tc>
        <w:tc>
          <w:tcPr>
            <w:tcW w:w="976" w:type="dxa"/>
            <w:vAlign w:val="center"/>
          </w:tcPr>
          <w:p w14:paraId="1AAAACA1" w14:textId="356ACA9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27771</w:t>
            </w:r>
            <w:r w:rsidR="00EE723D">
              <w:rPr>
                <w:rFonts w:ascii="Times New Roman" w:eastAsia="Times New Roman" w:hAnsi="Times New Roman" w:cs="Times New Roman"/>
                <w:color w:val="000000"/>
                <w:kern w:val="0"/>
                <w:sz w:val="16"/>
                <w:szCs w:val="16"/>
                <w:lang w:eastAsia="en-IN" w:bidi="ar-SA"/>
                <w14:ligatures w14:val="none"/>
              </w:rPr>
              <w:t>.05</w:t>
            </w:r>
          </w:p>
        </w:tc>
        <w:tc>
          <w:tcPr>
            <w:tcW w:w="1073" w:type="dxa"/>
            <w:vAlign w:val="center"/>
          </w:tcPr>
          <w:p w14:paraId="20AD61A6" w14:textId="344B21B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3020</w:t>
            </w:r>
            <w:r w:rsidR="00315906">
              <w:rPr>
                <w:rFonts w:ascii="Times New Roman" w:eastAsia="Times New Roman" w:hAnsi="Times New Roman" w:cs="Times New Roman"/>
                <w:color w:val="000000"/>
                <w:kern w:val="0"/>
                <w:sz w:val="16"/>
                <w:szCs w:val="16"/>
                <w:lang w:eastAsia="en-IN" w:bidi="ar-SA"/>
                <w14:ligatures w14:val="none"/>
              </w:rPr>
              <w:t>3.91</w:t>
            </w:r>
          </w:p>
        </w:tc>
        <w:tc>
          <w:tcPr>
            <w:tcW w:w="1073" w:type="dxa"/>
            <w:vAlign w:val="center"/>
          </w:tcPr>
          <w:p w14:paraId="3687E9E2" w14:textId="1745089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32866</w:t>
            </w:r>
            <w:r w:rsidR="0053226F">
              <w:rPr>
                <w:rFonts w:ascii="Times New Roman" w:eastAsia="Times New Roman" w:hAnsi="Times New Roman" w:cs="Times New Roman"/>
                <w:color w:val="000000"/>
                <w:kern w:val="0"/>
                <w:sz w:val="16"/>
                <w:szCs w:val="16"/>
                <w:lang w:eastAsia="en-IN" w:bidi="ar-SA"/>
                <w14:ligatures w14:val="none"/>
              </w:rPr>
              <w:t>.28</w:t>
            </w:r>
          </w:p>
        </w:tc>
        <w:tc>
          <w:tcPr>
            <w:tcW w:w="979" w:type="dxa"/>
            <w:vAlign w:val="center"/>
          </w:tcPr>
          <w:p w14:paraId="17244F02" w14:textId="6EF0F99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3578</w:t>
            </w:r>
            <w:r w:rsidR="00BA2A6E">
              <w:rPr>
                <w:rFonts w:ascii="Times New Roman" w:eastAsia="Times New Roman" w:hAnsi="Times New Roman" w:cs="Times New Roman"/>
                <w:color w:val="000000"/>
                <w:kern w:val="0"/>
                <w:sz w:val="16"/>
                <w:szCs w:val="16"/>
                <w:lang w:eastAsia="en-IN" w:bidi="ar-SA"/>
                <w14:ligatures w14:val="none"/>
              </w:rPr>
              <w:t>0.55</w:t>
            </w:r>
          </w:p>
        </w:tc>
        <w:tc>
          <w:tcPr>
            <w:tcW w:w="979" w:type="dxa"/>
            <w:vAlign w:val="center"/>
          </w:tcPr>
          <w:p w14:paraId="66F7B346" w14:textId="5A370D4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38971</w:t>
            </w:r>
            <w:r w:rsidR="009502F3">
              <w:rPr>
                <w:rFonts w:ascii="Times New Roman" w:eastAsia="Times New Roman" w:hAnsi="Times New Roman" w:cs="Times New Roman"/>
                <w:color w:val="000000"/>
                <w:kern w:val="0"/>
                <w:sz w:val="16"/>
                <w:szCs w:val="16"/>
                <w:lang w:eastAsia="en-IN" w:bidi="ar-SA"/>
                <w14:ligatures w14:val="none"/>
              </w:rPr>
              <w:t>.36</w:t>
            </w:r>
          </w:p>
        </w:tc>
        <w:tc>
          <w:tcPr>
            <w:tcW w:w="1056" w:type="dxa"/>
            <w:vAlign w:val="center"/>
          </w:tcPr>
          <w:p w14:paraId="47A5836F" w14:textId="47819BE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165593</w:t>
            </w:r>
            <w:r w:rsidR="009502F3">
              <w:rPr>
                <w:rFonts w:ascii="Times New Roman" w:eastAsia="Times New Roman" w:hAnsi="Times New Roman" w:cs="Times New Roman"/>
                <w:color w:val="000000"/>
                <w:kern w:val="0"/>
                <w:sz w:val="16"/>
                <w:szCs w:val="16"/>
                <w:lang w:eastAsia="en-IN" w:bidi="ar-SA"/>
                <w14:ligatures w14:val="none"/>
              </w:rPr>
              <w:t>.14</w:t>
            </w:r>
          </w:p>
        </w:tc>
      </w:tr>
      <w:tr w:rsidR="007A7DCE" w:rsidRPr="0078036E" w14:paraId="63CC0E66" w14:textId="77777777" w:rsidTr="0049031D">
        <w:trPr>
          <w:trHeight w:val="20"/>
          <w:jc w:val="center"/>
        </w:trPr>
        <w:tc>
          <w:tcPr>
            <w:tcW w:w="421" w:type="dxa"/>
            <w:vAlign w:val="center"/>
          </w:tcPr>
          <w:p w14:paraId="6A196D41" w14:textId="26514B4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w:t>
            </w:r>
          </w:p>
        </w:tc>
        <w:tc>
          <w:tcPr>
            <w:tcW w:w="1391" w:type="dxa"/>
            <w:vAlign w:val="center"/>
          </w:tcPr>
          <w:p w14:paraId="6C81522B" w14:textId="17C0BB2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Maharashtra</w:t>
            </w:r>
          </w:p>
        </w:tc>
        <w:tc>
          <w:tcPr>
            <w:tcW w:w="978" w:type="dxa"/>
            <w:vAlign w:val="center"/>
          </w:tcPr>
          <w:p w14:paraId="383A299E" w14:textId="2BEE7F9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3627</w:t>
            </w:r>
            <w:r w:rsidR="0067208C">
              <w:rPr>
                <w:rFonts w:ascii="Times New Roman" w:eastAsia="Times New Roman" w:hAnsi="Times New Roman" w:cs="Times New Roman"/>
                <w:color w:val="000000"/>
                <w:kern w:val="0"/>
                <w:sz w:val="16"/>
                <w:szCs w:val="16"/>
                <w:lang w:eastAsia="en-IN" w:bidi="ar-SA"/>
                <w14:ligatures w14:val="none"/>
              </w:rPr>
              <w:t>8.67</w:t>
            </w:r>
          </w:p>
        </w:tc>
        <w:tc>
          <w:tcPr>
            <w:tcW w:w="976" w:type="dxa"/>
            <w:vAlign w:val="center"/>
          </w:tcPr>
          <w:p w14:paraId="2A5B5EC1" w14:textId="6D1F6DC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39943</w:t>
            </w:r>
            <w:r w:rsidR="00EE723D">
              <w:rPr>
                <w:rFonts w:ascii="Times New Roman" w:eastAsia="Times New Roman" w:hAnsi="Times New Roman" w:cs="Times New Roman"/>
                <w:color w:val="000000"/>
                <w:kern w:val="0"/>
                <w:sz w:val="16"/>
                <w:szCs w:val="16"/>
                <w:lang w:eastAsia="en-IN" w:bidi="ar-SA"/>
                <w14:ligatures w14:val="none"/>
              </w:rPr>
              <w:t>.12</w:t>
            </w:r>
          </w:p>
        </w:tc>
        <w:tc>
          <w:tcPr>
            <w:tcW w:w="1073" w:type="dxa"/>
            <w:vAlign w:val="center"/>
          </w:tcPr>
          <w:p w14:paraId="0E4EC91D" w14:textId="7208E39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4404</w:t>
            </w:r>
            <w:r w:rsidR="00315906">
              <w:rPr>
                <w:rFonts w:ascii="Times New Roman" w:eastAsia="Times New Roman" w:hAnsi="Times New Roman" w:cs="Times New Roman"/>
                <w:color w:val="000000"/>
                <w:kern w:val="0"/>
                <w:sz w:val="16"/>
                <w:szCs w:val="16"/>
                <w:lang w:eastAsia="en-IN" w:bidi="ar-SA"/>
                <w14:ligatures w14:val="none"/>
              </w:rPr>
              <w:t>7.83</w:t>
            </w:r>
          </w:p>
        </w:tc>
        <w:tc>
          <w:tcPr>
            <w:tcW w:w="1073" w:type="dxa"/>
            <w:vAlign w:val="center"/>
          </w:tcPr>
          <w:p w14:paraId="7F861D72" w14:textId="7C5FDD4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4865</w:t>
            </w:r>
            <w:r w:rsidR="0053226F">
              <w:rPr>
                <w:rFonts w:ascii="Times New Roman" w:eastAsia="Times New Roman" w:hAnsi="Times New Roman" w:cs="Times New Roman"/>
                <w:color w:val="000000"/>
                <w:kern w:val="0"/>
                <w:sz w:val="16"/>
                <w:szCs w:val="16"/>
                <w:lang w:eastAsia="en-IN" w:bidi="ar-SA"/>
                <w14:ligatures w14:val="none"/>
              </w:rPr>
              <w:t>5.56</w:t>
            </w:r>
          </w:p>
        </w:tc>
        <w:tc>
          <w:tcPr>
            <w:tcW w:w="979" w:type="dxa"/>
            <w:vAlign w:val="center"/>
          </w:tcPr>
          <w:p w14:paraId="57249C4B" w14:textId="0C4E1BC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53839</w:t>
            </w:r>
            <w:r w:rsidR="00BA2A6E">
              <w:rPr>
                <w:rFonts w:ascii="Times New Roman" w:eastAsia="Times New Roman" w:hAnsi="Times New Roman" w:cs="Times New Roman"/>
                <w:color w:val="000000"/>
                <w:kern w:val="0"/>
                <w:sz w:val="16"/>
                <w:szCs w:val="16"/>
                <w:lang w:eastAsia="en-IN" w:bidi="ar-SA"/>
                <w14:ligatures w14:val="none"/>
              </w:rPr>
              <w:t>.37</w:t>
            </w:r>
          </w:p>
        </w:tc>
        <w:tc>
          <w:tcPr>
            <w:tcW w:w="979" w:type="dxa"/>
            <w:vAlign w:val="center"/>
          </w:tcPr>
          <w:p w14:paraId="328CC915" w14:textId="72D73E8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59684</w:t>
            </w:r>
            <w:r w:rsidR="009502F3">
              <w:rPr>
                <w:rFonts w:ascii="Times New Roman" w:eastAsia="Times New Roman" w:hAnsi="Times New Roman" w:cs="Times New Roman"/>
                <w:color w:val="000000"/>
                <w:kern w:val="0"/>
                <w:sz w:val="16"/>
                <w:szCs w:val="16"/>
                <w:lang w:eastAsia="en-IN" w:bidi="ar-SA"/>
                <w14:ligatures w14:val="none"/>
              </w:rPr>
              <w:t>.49</w:t>
            </w:r>
          </w:p>
        </w:tc>
        <w:tc>
          <w:tcPr>
            <w:tcW w:w="1056" w:type="dxa"/>
            <w:vAlign w:val="center"/>
          </w:tcPr>
          <w:p w14:paraId="5E0AEA51" w14:textId="3545676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246170</w:t>
            </w:r>
            <w:r w:rsidR="009502F3">
              <w:rPr>
                <w:rFonts w:ascii="Times New Roman" w:eastAsia="Times New Roman" w:hAnsi="Times New Roman" w:cs="Times New Roman"/>
                <w:color w:val="000000"/>
                <w:kern w:val="0"/>
                <w:sz w:val="16"/>
                <w:szCs w:val="16"/>
                <w:lang w:eastAsia="en-IN" w:bidi="ar-SA"/>
                <w14:ligatures w14:val="none"/>
              </w:rPr>
              <w:t>.38</w:t>
            </w:r>
          </w:p>
        </w:tc>
      </w:tr>
      <w:tr w:rsidR="007A7DCE" w:rsidRPr="0078036E" w14:paraId="00C324D3" w14:textId="77777777" w:rsidTr="0049031D">
        <w:trPr>
          <w:trHeight w:val="20"/>
          <w:jc w:val="center"/>
        </w:trPr>
        <w:tc>
          <w:tcPr>
            <w:tcW w:w="421" w:type="dxa"/>
            <w:vAlign w:val="center"/>
          </w:tcPr>
          <w:p w14:paraId="376EC0FB" w14:textId="5968751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w:t>
            </w:r>
          </w:p>
        </w:tc>
        <w:tc>
          <w:tcPr>
            <w:tcW w:w="1391" w:type="dxa"/>
            <w:vAlign w:val="center"/>
          </w:tcPr>
          <w:p w14:paraId="2EEE3D18" w14:textId="1761B7C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Orissa</w:t>
            </w:r>
          </w:p>
        </w:tc>
        <w:tc>
          <w:tcPr>
            <w:tcW w:w="978" w:type="dxa"/>
            <w:vAlign w:val="center"/>
          </w:tcPr>
          <w:p w14:paraId="04AA8861" w14:textId="14EFD1A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1390</w:t>
            </w:r>
            <w:r w:rsidR="0067208C">
              <w:rPr>
                <w:rFonts w:ascii="Times New Roman" w:eastAsia="Times New Roman" w:hAnsi="Times New Roman" w:cs="Times New Roman"/>
                <w:color w:val="000000"/>
                <w:kern w:val="0"/>
                <w:sz w:val="16"/>
                <w:szCs w:val="16"/>
                <w:lang w:eastAsia="en-IN" w:bidi="ar-SA"/>
                <w14:ligatures w14:val="none"/>
              </w:rPr>
              <w:t>9.80</w:t>
            </w:r>
          </w:p>
        </w:tc>
        <w:tc>
          <w:tcPr>
            <w:tcW w:w="976" w:type="dxa"/>
            <w:vAlign w:val="center"/>
          </w:tcPr>
          <w:p w14:paraId="1D3EAFBB" w14:textId="4AFF149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14595</w:t>
            </w:r>
            <w:r w:rsidR="00EE723D">
              <w:rPr>
                <w:rFonts w:ascii="Times New Roman" w:eastAsia="Times New Roman" w:hAnsi="Times New Roman" w:cs="Times New Roman"/>
                <w:color w:val="000000"/>
                <w:kern w:val="0"/>
                <w:sz w:val="16"/>
                <w:szCs w:val="16"/>
                <w:lang w:eastAsia="en-IN" w:bidi="ar-SA"/>
                <w14:ligatures w14:val="none"/>
              </w:rPr>
              <w:t>.16</w:t>
            </w:r>
          </w:p>
        </w:tc>
        <w:tc>
          <w:tcPr>
            <w:tcW w:w="1073" w:type="dxa"/>
            <w:vAlign w:val="center"/>
          </w:tcPr>
          <w:p w14:paraId="08E85F25" w14:textId="4B70284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15343</w:t>
            </w:r>
            <w:r w:rsidR="00315906">
              <w:rPr>
                <w:rFonts w:ascii="Times New Roman" w:eastAsia="Times New Roman" w:hAnsi="Times New Roman" w:cs="Times New Roman"/>
                <w:color w:val="000000"/>
                <w:kern w:val="0"/>
                <w:sz w:val="16"/>
                <w:szCs w:val="16"/>
                <w:lang w:eastAsia="en-IN" w:bidi="ar-SA"/>
                <w14:ligatures w14:val="none"/>
              </w:rPr>
              <w:t>.27</w:t>
            </w:r>
          </w:p>
        </w:tc>
        <w:tc>
          <w:tcPr>
            <w:tcW w:w="1073" w:type="dxa"/>
            <w:vAlign w:val="center"/>
          </w:tcPr>
          <w:p w14:paraId="5596C97C" w14:textId="1E60A18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16146</w:t>
            </w:r>
            <w:r w:rsidR="0053226F">
              <w:rPr>
                <w:rFonts w:ascii="Times New Roman" w:eastAsia="Times New Roman" w:hAnsi="Times New Roman" w:cs="Times New Roman"/>
                <w:color w:val="000000"/>
                <w:kern w:val="0"/>
                <w:sz w:val="16"/>
                <w:szCs w:val="16"/>
                <w:lang w:eastAsia="en-IN" w:bidi="ar-SA"/>
                <w14:ligatures w14:val="none"/>
              </w:rPr>
              <w:t>.10</w:t>
            </w:r>
          </w:p>
        </w:tc>
        <w:tc>
          <w:tcPr>
            <w:tcW w:w="979" w:type="dxa"/>
            <w:vAlign w:val="center"/>
          </w:tcPr>
          <w:p w14:paraId="14BC78FC" w14:textId="06438C9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1700</w:t>
            </w:r>
            <w:r w:rsidR="00BA2A6E">
              <w:rPr>
                <w:rFonts w:ascii="Times New Roman" w:eastAsia="Times New Roman" w:hAnsi="Times New Roman" w:cs="Times New Roman"/>
                <w:color w:val="000000"/>
                <w:kern w:val="0"/>
                <w:sz w:val="16"/>
                <w:szCs w:val="16"/>
                <w:lang w:eastAsia="en-IN" w:bidi="ar-SA"/>
                <w14:ligatures w14:val="none"/>
              </w:rPr>
              <w:t>5.85</w:t>
            </w:r>
          </w:p>
        </w:tc>
        <w:tc>
          <w:tcPr>
            <w:tcW w:w="979" w:type="dxa"/>
            <w:vAlign w:val="center"/>
          </w:tcPr>
          <w:p w14:paraId="1D7A1458" w14:textId="1355D2A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17925</w:t>
            </w:r>
            <w:r w:rsidR="00BA2A6E">
              <w:rPr>
                <w:rFonts w:ascii="Times New Roman" w:eastAsia="Times New Roman" w:hAnsi="Times New Roman" w:cs="Times New Roman"/>
                <w:color w:val="000000"/>
                <w:kern w:val="0"/>
                <w:sz w:val="16"/>
                <w:szCs w:val="16"/>
                <w:lang w:eastAsia="en-IN" w:bidi="ar-SA"/>
                <w14:ligatures w14:val="none"/>
              </w:rPr>
              <w:t>0.</w:t>
            </w:r>
            <w:r w:rsidR="009502F3">
              <w:rPr>
                <w:rFonts w:ascii="Times New Roman" w:eastAsia="Times New Roman" w:hAnsi="Times New Roman" w:cs="Times New Roman"/>
                <w:color w:val="000000"/>
                <w:kern w:val="0"/>
                <w:sz w:val="16"/>
                <w:szCs w:val="16"/>
                <w:lang w:eastAsia="en-IN" w:bidi="ar-SA"/>
                <w14:ligatures w14:val="none"/>
              </w:rPr>
              <w:t>1</w:t>
            </w:r>
          </w:p>
        </w:tc>
        <w:tc>
          <w:tcPr>
            <w:tcW w:w="1056" w:type="dxa"/>
            <w:vAlign w:val="center"/>
          </w:tcPr>
          <w:p w14:paraId="6F6B41AB" w14:textId="3C65B49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81015</w:t>
            </w:r>
            <w:r w:rsidR="009502F3">
              <w:rPr>
                <w:rFonts w:ascii="Times New Roman" w:eastAsia="Times New Roman" w:hAnsi="Times New Roman" w:cs="Times New Roman"/>
                <w:color w:val="000000"/>
                <w:kern w:val="0"/>
                <w:sz w:val="16"/>
                <w:szCs w:val="16"/>
                <w:lang w:eastAsia="en-IN" w:bidi="ar-SA"/>
                <w14:ligatures w14:val="none"/>
              </w:rPr>
              <w:t>.39</w:t>
            </w:r>
          </w:p>
        </w:tc>
      </w:tr>
      <w:tr w:rsidR="007A7DCE" w:rsidRPr="0078036E" w14:paraId="0B0B31CF" w14:textId="77777777" w:rsidTr="0049031D">
        <w:trPr>
          <w:trHeight w:val="20"/>
          <w:jc w:val="center"/>
        </w:trPr>
        <w:tc>
          <w:tcPr>
            <w:tcW w:w="421" w:type="dxa"/>
            <w:vAlign w:val="center"/>
          </w:tcPr>
          <w:p w14:paraId="14B83D48" w14:textId="47829915"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w:t>
            </w:r>
          </w:p>
        </w:tc>
        <w:tc>
          <w:tcPr>
            <w:tcW w:w="1391" w:type="dxa"/>
            <w:vAlign w:val="center"/>
          </w:tcPr>
          <w:p w14:paraId="7B13A594" w14:textId="78378E05"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Punjab</w:t>
            </w:r>
          </w:p>
        </w:tc>
        <w:tc>
          <w:tcPr>
            <w:tcW w:w="978" w:type="dxa"/>
            <w:vAlign w:val="center"/>
          </w:tcPr>
          <w:p w14:paraId="3BC42856" w14:textId="609FCC1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949</w:t>
            </w:r>
            <w:r w:rsidR="0067208C">
              <w:rPr>
                <w:rFonts w:ascii="Times New Roman" w:eastAsia="Times New Roman" w:hAnsi="Times New Roman" w:cs="Times New Roman"/>
                <w:color w:val="000000"/>
                <w:kern w:val="0"/>
                <w:sz w:val="16"/>
                <w:szCs w:val="16"/>
                <w:lang w:eastAsia="en-IN" w:bidi="ar-SA"/>
                <w14:ligatures w14:val="none"/>
              </w:rPr>
              <w:t>7.99</w:t>
            </w:r>
          </w:p>
        </w:tc>
        <w:tc>
          <w:tcPr>
            <w:tcW w:w="976" w:type="dxa"/>
            <w:vAlign w:val="center"/>
          </w:tcPr>
          <w:p w14:paraId="6F4C3199" w14:textId="08E5D64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10272</w:t>
            </w:r>
            <w:r w:rsidR="00EE723D">
              <w:rPr>
                <w:rFonts w:ascii="Times New Roman" w:eastAsia="Times New Roman" w:hAnsi="Times New Roman" w:cs="Times New Roman"/>
                <w:color w:val="000000"/>
                <w:kern w:val="0"/>
                <w:sz w:val="16"/>
                <w:szCs w:val="16"/>
                <w:lang w:eastAsia="en-IN" w:bidi="ar-SA"/>
                <w14:ligatures w14:val="none"/>
              </w:rPr>
              <w:t>.37</w:t>
            </w:r>
          </w:p>
        </w:tc>
        <w:tc>
          <w:tcPr>
            <w:tcW w:w="1073" w:type="dxa"/>
            <w:vAlign w:val="center"/>
          </w:tcPr>
          <w:p w14:paraId="5917A9ED" w14:textId="2F9C84C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1111</w:t>
            </w:r>
            <w:r w:rsidR="00315906">
              <w:rPr>
                <w:rFonts w:ascii="Times New Roman" w:eastAsia="Times New Roman" w:hAnsi="Times New Roman" w:cs="Times New Roman"/>
                <w:color w:val="000000"/>
                <w:kern w:val="0"/>
                <w:sz w:val="16"/>
                <w:szCs w:val="16"/>
                <w:lang w:eastAsia="en-IN" w:bidi="ar-SA"/>
                <w14:ligatures w14:val="none"/>
              </w:rPr>
              <w:t>2.93</w:t>
            </w:r>
          </w:p>
        </w:tc>
        <w:tc>
          <w:tcPr>
            <w:tcW w:w="1073" w:type="dxa"/>
            <w:vAlign w:val="center"/>
          </w:tcPr>
          <w:p w14:paraId="7BDEBFF0" w14:textId="4C8C0FF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1202</w:t>
            </w:r>
            <w:r w:rsidR="0053226F">
              <w:rPr>
                <w:rFonts w:ascii="Times New Roman" w:eastAsia="Times New Roman" w:hAnsi="Times New Roman" w:cs="Times New Roman"/>
                <w:color w:val="000000"/>
                <w:kern w:val="0"/>
                <w:sz w:val="16"/>
                <w:szCs w:val="16"/>
                <w:lang w:eastAsia="en-IN" w:bidi="ar-SA"/>
                <w14:ligatures w14:val="none"/>
              </w:rPr>
              <w:t>5.40</w:t>
            </w:r>
          </w:p>
        </w:tc>
        <w:tc>
          <w:tcPr>
            <w:tcW w:w="979" w:type="dxa"/>
            <w:vAlign w:val="center"/>
          </w:tcPr>
          <w:p w14:paraId="2B764809" w14:textId="090572A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13016</w:t>
            </w:r>
            <w:r w:rsidR="00BA2A6E">
              <w:rPr>
                <w:rFonts w:ascii="Times New Roman" w:eastAsia="Times New Roman" w:hAnsi="Times New Roman" w:cs="Times New Roman"/>
                <w:color w:val="000000"/>
                <w:kern w:val="0"/>
                <w:sz w:val="16"/>
                <w:szCs w:val="16"/>
                <w:lang w:eastAsia="en-IN" w:bidi="ar-SA"/>
                <w14:ligatures w14:val="none"/>
              </w:rPr>
              <w:t>.03</w:t>
            </w:r>
          </w:p>
        </w:tc>
        <w:tc>
          <w:tcPr>
            <w:tcW w:w="979" w:type="dxa"/>
            <w:vAlign w:val="center"/>
          </w:tcPr>
          <w:p w14:paraId="73B63FD5" w14:textId="20D6188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1409</w:t>
            </w:r>
            <w:r w:rsidR="009502F3">
              <w:rPr>
                <w:rFonts w:ascii="Times New Roman" w:eastAsia="Times New Roman" w:hAnsi="Times New Roman" w:cs="Times New Roman"/>
                <w:color w:val="000000"/>
                <w:kern w:val="0"/>
                <w:sz w:val="16"/>
                <w:szCs w:val="16"/>
                <w:lang w:eastAsia="en-IN" w:bidi="ar-SA"/>
                <w14:ligatures w14:val="none"/>
              </w:rPr>
              <w:t>1.61</w:t>
            </w:r>
          </w:p>
        </w:tc>
        <w:tc>
          <w:tcPr>
            <w:tcW w:w="1056" w:type="dxa"/>
            <w:vAlign w:val="center"/>
          </w:tcPr>
          <w:p w14:paraId="31BBC1EB" w14:textId="608F624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60518</w:t>
            </w:r>
            <w:r w:rsidR="009502F3">
              <w:rPr>
                <w:rFonts w:ascii="Times New Roman" w:eastAsia="Times New Roman" w:hAnsi="Times New Roman" w:cs="Times New Roman"/>
                <w:color w:val="000000"/>
                <w:kern w:val="0"/>
                <w:sz w:val="16"/>
                <w:szCs w:val="16"/>
                <w:lang w:eastAsia="en-IN" w:bidi="ar-SA"/>
                <w14:ligatures w14:val="none"/>
              </w:rPr>
              <w:t>.35</w:t>
            </w:r>
          </w:p>
        </w:tc>
      </w:tr>
      <w:tr w:rsidR="007A7DCE" w:rsidRPr="0078036E" w14:paraId="74A5732B" w14:textId="77777777" w:rsidTr="0049031D">
        <w:trPr>
          <w:trHeight w:val="20"/>
          <w:jc w:val="center"/>
        </w:trPr>
        <w:tc>
          <w:tcPr>
            <w:tcW w:w="421" w:type="dxa"/>
            <w:vAlign w:val="center"/>
          </w:tcPr>
          <w:p w14:paraId="0B15E348" w14:textId="0A40381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w:t>
            </w:r>
          </w:p>
        </w:tc>
        <w:tc>
          <w:tcPr>
            <w:tcW w:w="1391" w:type="dxa"/>
            <w:vAlign w:val="center"/>
          </w:tcPr>
          <w:p w14:paraId="61BCE665" w14:textId="5CB409B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Rajasthan</w:t>
            </w:r>
          </w:p>
        </w:tc>
        <w:tc>
          <w:tcPr>
            <w:tcW w:w="978" w:type="dxa"/>
            <w:vAlign w:val="center"/>
          </w:tcPr>
          <w:p w14:paraId="26DFA099" w14:textId="5D30236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14777</w:t>
            </w:r>
            <w:r w:rsidR="0067208C">
              <w:rPr>
                <w:rFonts w:ascii="Times New Roman" w:eastAsia="Times New Roman" w:hAnsi="Times New Roman" w:cs="Times New Roman"/>
                <w:color w:val="000000"/>
                <w:kern w:val="0"/>
                <w:sz w:val="16"/>
                <w:szCs w:val="16"/>
                <w:lang w:eastAsia="en-IN" w:bidi="ar-SA"/>
                <w14:ligatures w14:val="none"/>
              </w:rPr>
              <w:t>.14</w:t>
            </w:r>
          </w:p>
        </w:tc>
        <w:tc>
          <w:tcPr>
            <w:tcW w:w="976" w:type="dxa"/>
            <w:vAlign w:val="center"/>
          </w:tcPr>
          <w:p w14:paraId="6C20DEF4" w14:textId="38FF5C0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1601</w:t>
            </w:r>
            <w:r w:rsidR="00EE723D">
              <w:rPr>
                <w:rFonts w:ascii="Times New Roman" w:eastAsia="Times New Roman" w:hAnsi="Times New Roman" w:cs="Times New Roman"/>
                <w:color w:val="000000"/>
                <w:kern w:val="0"/>
                <w:sz w:val="16"/>
                <w:szCs w:val="16"/>
                <w:lang w:eastAsia="en-IN" w:bidi="ar-SA"/>
                <w14:ligatures w14:val="none"/>
              </w:rPr>
              <w:t>1.76</w:t>
            </w:r>
          </w:p>
        </w:tc>
        <w:tc>
          <w:tcPr>
            <w:tcW w:w="1073" w:type="dxa"/>
            <w:vAlign w:val="center"/>
          </w:tcPr>
          <w:p w14:paraId="44161A85" w14:textId="177E357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17386</w:t>
            </w:r>
            <w:r w:rsidR="00315906">
              <w:rPr>
                <w:rFonts w:ascii="Times New Roman" w:eastAsia="Times New Roman" w:hAnsi="Times New Roman" w:cs="Times New Roman"/>
                <w:color w:val="000000"/>
                <w:kern w:val="0"/>
                <w:sz w:val="16"/>
                <w:szCs w:val="16"/>
                <w:lang w:eastAsia="en-IN" w:bidi="ar-SA"/>
                <w14:ligatures w14:val="none"/>
              </w:rPr>
              <w:t>.29</w:t>
            </w:r>
          </w:p>
        </w:tc>
        <w:tc>
          <w:tcPr>
            <w:tcW w:w="1073" w:type="dxa"/>
            <w:vAlign w:val="center"/>
          </w:tcPr>
          <w:p w14:paraId="1F043F1A" w14:textId="5DFB3DD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1891</w:t>
            </w:r>
            <w:r w:rsidR="0053226F">
              <w:rPr>
                <w:rFonts w:ascii="Times New Roman" w:eastAsia="Times New Roman" w:hAnsi="Times New Roman" w:cs="Times New Roman"/>
                <w:color w:val="000000"/>
                <w:kern w:val="0"/>
                <w:sz w:val="16"/>
                <w:szCs w:val="16"/>
                <w:lang w:eastAsia="en-IN" w:bidi="ar-SA"/>
                <w14:ligatures w14:val="none"/>
              </w:rPr>
              <w:t>5.67</w:t>
            </w:r>
          </w:p>
        </w:tc>
        <w:tc>
          <w:tcPr>
            <w:tcW w:w="979" w:type="dxa"/>
            <w:vAlign w:val="center"/>
          </w:tcPr>
          <w:p w14:paraId="00F599AC" w14:textId="51B15D8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2061</w:t>
            </w:r>
            <w:r w:rsidR="00BA2A6E">
              <w:rPr>
                <w:rFonts w:ascii="Times New Roman" w:eastAsia="Times New Roman" w:hAnsi="Times New Roman" w:cs="Times New Roman"/>
                <w:color w:val="000000"/>
                <w:kern w:val="0"/>
                <w:sz w:val="16"/>
                <w:szCs w:val="16"/>
                <w:lang w:eastAsia="en-IN" w:bidi="ar-SA"/>
                <w14:ligatures w14:val="none"/>
              </w:rPr>
              <w:t>5.51</w:t>
            </w:r>
          </w:p>
        </w:tc>
        <w:tc>
          <w:tcPr>
            <w:tcW w:w="979" w:type="dxa"/>
            <w:vAlign w:val="center"/>
          </w:tcPr>
          <w:p w14:paraId="69150B10" w14:textId="767CD58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22507</w:t>
            </w:r>
            <w:r w:rsidR="009502F3">
              <w:rPr>
                <w:rFonts w:ascii="Times New Roman" w:eastAsia="Times New Roman" w:hAnsi="Times New Roman" w:cs="Times New Roman"/>
                <w:color w:val="000000"/>
                <w:kern w:val="0"/>
                <w:sz w:val="16"/>
                <w:szCs w:val="16"/>
                <w:lang w:eastAsia="en-IN" w:bidi="ar-SA"/>
                <w14:ligatures w14:val="none"/>
              </w:rPr>
              <w:t>.28</w:t>
            </w:r>
          </w:p>
        </w:tc>
        <w:tc>
          <w:tcPr>
            <w:tcW w:w="1056" w:type="dxa"/>
            <w:vAlign w:val="center"/>
          </w:tcPr>
          <w:p w14:paraId="67564BC3" w14:textId="738BC09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9543</w:t>
            </w:r>
            <w:r w:rsidR="009502F3">
              <w:rPr>
                <w:rFonts w:ascii="Times New Roman" w:eastAsia="Times New Roman" w:hAnsi="Times New Roman" w:cs="Times New Roman"/>
                <w:color w:val="000000"/>
                <w:kern w:val="0"/>
                <w:sz w:val="16"/>
                <w:szCs w:val="16"/>
                <w:lang w:eastAsia="en-IN" w:bidi="ar-SA"/>
                <w14:ligatures w14:val="none"/>
              </w:rPr>
              <w:t>7.51</w:t>
            </w:r>
          </w:p>
        </w:tc>
      </w:tr>
      <w:tr w:rsidR="007A7DCE" w:rsidRPr="0078036E" w14:paraId="253104DB" w14:textId="77777777" w:rsidTr="0049031D">
        <w:trPr>
          <w:trHeight w:val="20"/>
          <w:jc w:val="center"/>
        </w:trPr>
        <w:tc>
          <w:tcPr>
            <w:tcW w:w="421" w:type="dxa"/>
            <w:vAlign w:val="center"/>
          </w:tcPr>
          <w:p w14:paraId="2078D70F" w14:textId="6493FEB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w:t>
            </w:r>
          </w:p>
        </w:tc>
        <w:tc>
          <w:tcPr>
            <w:tcW w:w="1391" w:type="dxa"/>
            <w:vAlign w:val="center"/>
          </w:tcPr>
          <w:p w14:paraId="56DF0C93" w14:textId="1CA0161D"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Tamil Nadu</w:t>
            </w:r>
          </w:p>
        </w:tc>
        <w:tc>
          <w:tcPr>
            <w:tcW w:w="978" w:type="dxa"/>
            <w:vAlign w:val="center"/>
          </w:tcPr>
          <w:p w14:paraId="45F25119" w14:textId="2FD8302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3620</w:t>
            </w:r>
            <w:r w:rsidR="0067208C">
              <w:rPr>
                <w:rFonts w:ascii="Times New Roman" w:eastAsia="Times New Roman" w:hAnsi="Times New Roman" w:cs="Times New Roman"/>
                <w:color w:val="000000"/>
                <w:kern w:val="0"/>
                <w:sz w:val="16"/>
                <w:szCs w:val="16"/>
                <w:lang w:eastAsia="en-IN" w:bidi="ar-SA"/>
                <w14:ligatures w14:val="none"/>
              </w:rPr>
              <w:t>7.55</w:t>
            </w:r>
          </w:p>
        </w:tc>
        <w:tc>
          <w:tcPr>
            <w:tcW w:w="976" w:type="dxa"/>
            <w:vAlign w:val="center"/>
          </w:tcPr>
          <w:p w14:paraId="7C1E02EC" w14:textId="3DA573E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3847</w:t>
            </w:r>
            <w:r w:rsidR="00EE723D">
              <w:rPr>
                <w:rFonts w:ascii="Times New Roman" w:eastAsia="Times New Roman" w:hAnsi="Times New Roman" w:cs="Times New Roman"/>
                <w:color w:val="000000"/>
                <w:kern w:val="0"/>
                <w:sz w:val="16"/>
                <w:szCs w:val="16"/>
                <w:lang w:eastAsia="en-IN" w:bidi="ar-SA"/>
                <w14:ligatures w14:val="none"/>
              </w:rPr>
              <w:t>6.58</w:t>
            </w:r>
          </w:p>
        </w:tc>
        <w:tc>
          <w:tcPr>
            <w:tcW w:w="1073" w:type="dxa"/>
            <w:vAlign w:val="center"/>
          </w:tcPr>
          <w:p w14:paraId="26630595" w14:textId="3A8BF1E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4089</w:t>
            </w:r>
            <w:r w:rsidR="00315906">
              <w:rPr>
                <w:rFonts w:ascii="Times New Roman" w:eastAsia="Times New Roman" w:hAnsi="Times New Roman" w:cs="Times New Roman"/>
                <w:color w:val="000000"/>
                <w:kern w:val="0"/>
                <w:sz w:val="16"/>
                <w:szCs w:val="16"/>
                <w:lang w:eastAsia="en-IN" w:bidi="ar-SA"/>
                <w14:ligatures w14:val="none"/>
              </w:rPr>
              <w:t>7.80</w:t>
            </w:r>
          </w:p>
        </w:tc>
        <w:tc>
          <w:tcPr>
            <w:tcW w:w="1073" w:type="dxa"/>
            <w:vAlign w:val="center"/>
          </w:tcPr>
          <w:p w14:paraId="3FD9E3B2" w14:textId="129D26C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43482</w:t>
            </w:r>
            <w:r w:rsidR="0053226F">
              <w:rPr>
                <w:rFonts w:ascii="Times New Roman" w:eastAsia="Times New Roman" w:hAnsi="Times New Roman" w:cs="Times New Roman"/>
                <w:color w:val="000000"/>
                <w:kern w:val="0"/>
                <w:sz w:val="16"/>
                <w:szCs w:val="16"/>
                <w:lang w:eastAsia="en-IN" w:bidi="ar-SA"/>
                <w14:ligatures w14:val="none"/>
              </w:rPr>
              <w:t>.25</w:t>
            </w:r>
          </w:p>
        </w:tc>
        <w:tc>
          <w:tcPr>
            <w:tcW w:w="979" w:type="dxa"/>
            <w:vAlign w:val="center"/>
          </w:tcPr>
          <w:p w14:paraId="2500F0D8" w14:textId="58E1867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4624</w:t>
            </w:r>
            <w:r w:rsidR="00BA2A6E">
              <w:rPr>
                <w:rFonts w:ascii="Times New Roman" w:eastAsia="Times New Roman" w:hAnsi="Times New Roman" w:cs="Times New Roman"/>
                <w:color w:val="000000"/>
                <w:kern w:val="0"/>
                <w:sz w:val="16"/>
                <w:szCs w:val="16"/>
                <w:lang w:eastAsia="en-IN" w:bidi="ar-SA"/>
                <w14:ligatures w14:val="none"/>
              </w:rPr>
              <w:t>1.85</w:t>
            </w:r>
          </w:p>
        </w:tc>
        <w:tc>
          <w:tcPr>
            <w:tcW w:w="979" w:type="dxa"/>
            <w:vAlign w:val="center"/>
          </w:tcPr>
          <w:p w14:paraId="30244564" w14:textId="3E9E2F1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49189</w:t>
            </w:r>
            <w:r w:rsidR="009502F3">
              <w:rPr>
                <w:rFonts w:ascii="Times New Roman" w:eastAsia="Times New Roman" w:hAnsi="Times New Roman" w:cs="Times New Roman"/>
                <w:color w:val="000000"/>
                <w:kern w:val="0"/>
                <w:sz w:val="16"/>
                <w:szCs w:val="16"/>
                <w:lang w:eastAsia="en-IN" w:bidi="ar-SA"/>
                <w14:ligatures w14:val="none"/>
              </w:rPr>
              <w:t>.48</w:t>
            </w:r>
          </w:p>
        </w:tc>
        <w:tc>
          <w:tcPr>
            <w:tcW w:w="1056" w:type="dxa"/>
            <w:vAlign w:val="center"/>
          </w:tcPr>
          <w:p w14:paraId="7A86ECA2" w14:textId="4474296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21828</w:t>
            </w:r>
            <w:r w:rsidR="009502F3">
              <w:rPr>
                <w:rFonts w:ascii="Times New Roman" w:eastAsia="Times New Roman" w:hAnsi="Times New Roman" w:cs="Times New Roman"/>
                <w:color w:val="000000"/>
                <w:kern w:val="0"/>
                <w:sz w:val="16"/>
                <w:szCs w:val="16"/>
                <w:lang w:eastAsia="en-IN" w:bidi="ar-SA"/>
                <w14:ligatures w14:val="none"/>
              </w:rPr>
              <w:t>7.96</w:t>
            </w:r>
          </w:p>
        </w:tc>
      </w:tr>
      <w:tr w:rsidR="007A7DCE" w:rsidRPr="0078036E" w14:paraId="3C627821" w14:textId="77777777" w:rsidTr="0049031D">
        <w:trPr>
          <w:trHeight w:val="20"/>
          <w:jc w:val="center"/>
        </w:trPr>
        <w:tc>
          <w:tcPr>
            <w:tcW w:w="421" w:type="dxa"/>
            <w:vAlign w:val="center"/>
          </w:tcPr>
          <w:p w14:paraId="27C66C92" w14:textId="28A7557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w:t>
            </w:r>
          </w:p>
        </w:tc>
        <w:tc>
          <w:tcPr>
            <w:tcW w:w="1391" w:type="dxa"/>
            <w:vAlign w:val="center"/>
          </w:tcPr>
          <w:p w14:paraId="023FEBDE" w14:textId="3685A685"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Uttar Pradesh</w:t>
            </w:r>
          </w:p>
        </w:tc>
        <w:tc>
          <w:tcPr>
            <w:tcW w:w="978" w:type="dxa"/>
            <w:vAlign w:val="center"/>
          </w:tcPr>
          <w:p w14:paraId="69485A6B" w14:textId="1C91D72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4113</w:t>
            </w:r>
            <w:r w:rsidR="0067208C">
              <w:rPr>
                <w:rFonts w:ascii="Times New Roman" w:eastAsia="Times New Roman" w:hAnsi="Times New Roman" w:cs="Times New Roman"/>
                <w:color w:val="000000"/>
                <w:kern w:val="0"/>
                <w:sz w:val="16"/>
                <w:szCs w:val="16"/>
                <w:lang w:eastAsia="en-IN" w:bidi="ar-SA"/>
                <w14:ligatures w14:val="none"/>
              </w:rPr>
              <w:t>0.51</w:t>
            </w:r>
          </w:p>
        </w:tc>
        <w:tc>
          <w:tcPr>
            <w:tcW w:w="976" w:type="dxa"/>
            <w:vAlign w:val="center"/>
          </w:tcPr>
          <w:p w14:paraId="17C1B29D" w14:textId="752A440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4409</w:t>
            </w:r>
            <w:r w:rsidR="00EE723D">
              <w:rPr>
                <w:rFonts w:ascii="Times New Roman" w:eastAsia="Times New Roman" w:hAnsi="Times New Roman" w:cs="Times New Roman"/>
                <w:color w:val="000000"/>
                <w:kern w:val="0"/>
                <w:sz w:val="16"/>
                <w:szCs w:val="16"/>
                <w:lang w:eastAsia="en-IN" w:bidi="ar-SA"/>
                <w14:ligatures w14:val="none"/>
              </w:rPr>
              <w:t>5.88</w:t>
            </w:r>
          </w:p>
        </w:tc>
        <w:tc>
          <w:tcPr>
            <w:tcW w:w="1073" w:type="dxa"/>
            <w:vAlign w:val="center"/>
          </w:tcPr>
          <w:p w14:paraId="7CEDDF30" w14:textId="3079F28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47327</w:t>
            </w:r>
            <w:r w:rsidR="00315906">
              <w:rPr>
                <w:rFonts w:ascii="Times New Roman" w:eastAsia="Times New Roman" w:hAnsi="Times New Roman" w:cs="Times New Roman"/>
                <w:color w:val="000000"/>
                <w:kern w:val="0"/>
                <w:sz w:val="16"/>
                <w:szCs w:val="16"/>
                <w:lang w:eastAsia="en-IN" w:bidi="ar-SA"/>
                <w14:ligatures w14:val="none"/>
              </w:rPr>
              <w:t>.40</w:t>
            </w:r>
          </w:p>
        </w:tc>
        <w:tc>
          <w:tcPr>
            <w:tcW w:w="1073" w:type="dxa"/>
            <w:vAlign w:val="center"/>
          </w:tcPr>
          <w:p w14:paraId="4C983072" w14:textId="16284E2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50846</w:t>
            </w:r>
            <w:r w:rsidR="0053226F">
              <w:rPr>
                <w:rFonts w:ascii="Times New Roman" w:eastAsia="Times New Roman" w:hAnsi="Times New Roman" w:cs="Times New Roman"/>
                <w:color w:val="000000"/>
                <w:kern w:val="0"/>
                <w:sz w:val="16"/>
                <w:szCs w:val="16"/>
                <w:lang w:eastAsia="en-IN" w:bidi="ar-SA"/>
                <w14:ligatures w14:val="none"/>
              </w:rPr>
              <w:t>.39</w:t>
            </w:r>
          </w:p>
        </w:tc>
        <w:tc>
          <w:tcPr>
            <w:tcW w:w="979" w:type="dxa"/>
            <w:vAlign w:val="center"/>
          </w:tcPr>
          <w:p w14:paraId="05875092" w14:textId="3DD7032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54676</w:t>
            </w:r>
            <w:r w:rsidR="00BA2A6E">
              <w:rPr>
                <w:rFonts w:ascii="Times New Roman" w:eastAsia="Times New Roman" w:hAnsi="Times New Roman" w:cs="Times New Roman"/>
                <w:color w:val="000000"/>
                <w:kern w:val="0"/>
                <w:sz w:val="16"/>
                <w:szCs w:val="16"/>
                <w:lang w:eastAsia="en-IN" w:bidi="ar-SA"/>
                <w14:ligatures w14:val="none"/>
              </w:rPr>
              <w:t>.00</w:t>
            </w:r>
          </w:p>
        </w:tc>
        <w:tc>
          <w:tcPr>
            <w:tcW w:w="979" w:type="dxa"/>
            <w:vAlign w:val="center"/>
          </w:tcPr>
          <w:p w14:paraId="332AABA2" w14:textId="0FFB7A7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58841</w:t>
            </w:r>
            <w:r w:rsidR="009502F3">
              <w:rPr>
                <w:rFonts w:ascii="Times New Roman" w:eastAsia="Times New Roman" w:hAnsi="Times New Roman" w:cs="Times New Roman"/>
                <w:color w:val="000000"/>
                <w:kern w:val="0"/>
                <w:sz w:val="16"/>
                <w:szCs w:val="16"/>
                <w:lang w:eastAsia="en-IN" w:bidi="ar-SA"/>
                <w14:ligatures w14:val="none"/>
              </w:rPr>
              <w:t>.33</w:t>
            </w:r>
          </w:p>
        </w:tc>
        <w:tc>
          <w:tcPr>
            <w:tcW w:w="1056" w:type="dxa"/>
            <w:vAlign w:val="center"/>
          </w:tcPr>
          <w:p w14:paraId="07074158" w14:textId="2AE683E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255787</w:t>
            </w:r>
            <w:r w:rsidR="009502F3">
              <w:rPr>
                <w:rFonts w:ascii="Times New Roman" w:eastAsia="Times New Roman" w:hAnsi="Times New Roman" w:cs="Times New Roman"/>
                <w:color w:val="000000"/>
                <w:kern w:val="0"/>
                <w:sz w:val="16"/>
                <w:szCs w:val="16"/>
                <w:lang w:eastAsia="en-IN" w:bidi="ar-SA"/>
                <w14:ligatures w14:val="none"/>
              </w:rPr>
              <w:t>.00</w:t>
            </w:r>
          </w:p>
        </w:tc>
      </w:tr>
      <w:tr w:rsidR="007A7DCE" w:rsidRPr="0078036E" w14:paraId="2EF28B73" w14:textId="77777777" w:rsidTr="0049031D">
        <w:trPr>
          <w:trHeight w:val="20"/>
          <w:jc w:val="center"/>
        </w:trPr>
        <w:tc>
          <w:tcPr>
            <w:tcW w:w="421" w:type="dxa"/>
            <w:vAlign w:val="center"/>
          </w:tcPr>
          <w:p w14:paraId="5ABE6E18" w14:textId="29DC827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w:t>
            </w:r>
          </w:p>
        </w:tc>
        <w:tc>
          <w:tcPr>
            <w:tcW w:w="1391" w:type="dxa"/>
            <w:vAlign w:val="center"/>
          </w:tcPr>
          <w:p w14:paraId="56927345" w14:textId="0B86A25F"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West Bengal</w:t>
            </w:r>
          </w:p>
        </w:tc>
        <w:tc>
          <w:tcPr>
            <w:tcW w:w="978" w:type="dxa"/>
            <w:vAlign w:val="center"/>
          </w:tcPr>
          <w:p w14:paraId="4B5D1521" w14:textId="0204C1D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33073</w:t>
            </w:r>
            <w:r w:rsidR="0067208C">
              <w:rPr>
                <w:rFonts w:ascii="Times New Roman" w:eastAsia="Times New Roman" w:hAnsi="Times New Roman" w:cs="Times New Roman"/>
                <w:color w:val="000000"/>
                <w:kern w:val="0"/>
                <w:sz w:val="16"/>
                <w:szCs w:val="16"/>
                <w:lang w:eastAsia="en-IN" w:bidi="ar-SA"/>
                <w14:ligatures w14:val="none"/>
              </w:rPr>
              <w:t>.46</w:t>
            </w:r>
          </w:p>
        </w:tc>
        <w:tc>
          <w:tcPr>
            <w:tcW w:w="976" w:type="dxa"/>
            <w:vAlign w:val="center"/>
          </w:tcPr>
          <w:p w14:paraId="4D005E84" w14:textId="79BC278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3496</w:t>
            </w:r>
            <w:r w:rsidR="00EE723D">
              <w:rPr>
                <w:rFonts w:ascii="Times New Roman" w:eastAsia="Times New Roman" w:hAnsi="Times New Roman" w:cs="Times New Roman"/>
                <w:color w:val="000000"/>
                <w:kern w:val="0"/>
                <w:sz w:val="16"/>
                <w:szCs w:val="16"/>
                <w:lang w:eastAsia="en-IN" w:bidi="ar-SA"/>
                <w14:ligatures w14:val="none"/>
              </w:rPr>
              <w:t>3.89</w:t>
            </w:r>
          </w:p>
        </w:tc>
        <w:tc>
          <w:tcPr>
            <w:tcW w:w="1073" w:type="dxa"/>
            <w:vAlign w:val="center"/>
          </w:tcPr>
          <w:p w14:paraId="2236CB64" w14:textId="74DEA24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36979</w:t>
            </w:r>
            <w:r w:rsidR="00315906">
              <w:rPr>
                <w:rFonts w:ascii="Times New Roman" w:eastAsia="Times New Roman" w:hAnsi="Times New Roman" w:cs="Times New Roman"/>
                <w:color w:val="000000"/>
                <w:kern w:val="0"/>
                <w:sz w:val="16"/>
                <w:szCs w:val="16"/>
                <w:lang w:eastAsia="en-IN" w:bidi="ar-SA"/>
                <w14:ligatures w14:val="none"/>
              </w:rPr>
              <w:t>.19</w:t>
            </w:r>
          </w:p>
        </w:tc>
        <w:tc>
          <w:tcPr>
            <w:tcW w:w="1073" w:type="dxa"/>
            <w:vAlign w:val="center"/>
          </w:tcPr>
          <w:p w14:paraId="2B258236" w14:textId="4900B8A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39128</w:t>
            </w:r>
            <w:r w:rsidR="0053226F">
              <w:rPr>
                <w:rFonts w:ascii="Times New Roman" w:eastAsia="Times New Roman" w:hAnsi="Times New Roman" w:cs="Times New Roman"/>
                <w:color w:val="000000"/>
                <w:kern w:val="0"/>
                <w:sz w:val="16"/>
                <w:szCs w:val="16"/>
                <w:lang w:eastAsia="en-IN" w:bidi="ar-SA"/>
                <w14:ligatures w14:val="none"/>
              </w:rPr>
              <w:t>.19</w:t>
            </w:r>
          </w:p>
        </w:tc>
        <w:tc>
          <w:tcPr>
            <w:tcW w:w="979" w:type="dxa"/>
            <w:vAlign w:val="center"/>
          </w:tcPr>
          <w:p w14:paraId="59012503" w14:textId="28C47CB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4142</w:t>
            </w:r>
            <w:r w:rsidR="00BA2A6E">
              <w:rPr>
                <w:rFonts w:ascii="Times New Roman" w:eastAsia="Times New Roman" w:hAnsi="Times New Roman" w:cs="Times New Roman"/>
                <w:color w:val="000000"/>
                <w:kern w:val="0"/>
                <w:sz w:val="16"/>
                <w:szCs w:val="16"/>
                <w:lang w:eastAsia="en-IN" w:bidi="ar-SA"/>
                <w14:ligatures w14:val="none"/>
              </w:rPr>
              <w:t>9.89</w:t>
            </w:r>
          </w:p>
        </w:tc>
        <w:tc>
          <w:tcPr>
            <w:tcW w:w="979" w:type="dxa"/>
            <w:vAlign w:val="center"/>
          </w:tcPr>
          <w:p w14:paraId="1BF5C44D" w14:textId="20435B6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43864</w:t>
            </w:r>
            <w:r w:rsidR="009502F3">
              <w:rPr>
                <w:rFonts w:ascii="Times New Roman" w:eastAsia="Times New Roman" w:hAnsi="Times New Roman" w:cs="Times New Roman"/>
                <w:color w:val="000000"/>
                <w:kern w:val="0"/>
                <w:sz w:val="16"/>
                <w:szCs w:val="16"/>
                <w:lang w:eastAsia="en-IN" w:bidi="ar-SA"/>
                <w14:ligatures w14:val="none"/>
              </w:rPr>
              <w:t>.06</w:t>
            </w:r>
          </w:p>
        </w:tc>
        <w:tc>
          <w:tcPr>
            <w:tcW w:w="1056" w:type="dxa"/>
            <w:vAlign w:val="center"/>
          </w:tcPr>
          <w:p w14:paraId="3E787A24" w14:textId="5571E94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196355</w:t>
            </w:r>
            <w:r w:rsidR="009502F3">
              <w:rPr>
                <w:rFonts w:ascii="Times New Roman" w:eastAsia="Times New Roman" w:hAnsi="Times New Roman" w:cs="Times New Roman"/>
                <w:color w:val="000000"/>
                <w:kern w:val="0"/>
                <w:sz w:val="16"/>
                <w:szCs w:val="16"/>
                <w:lang w:eastAsia="en-IN" w:bidi="ar-SA"/>
                <w14:ligatures w14:val="none"/>
              </w:rPr>
              <w:t>.12</w:t>
            </w:r>
          </w:p>
        </w:tc>
      </w:tr>
      <w:tr w:rsidR="007A7DCE" w:rsidRPr="0078036E" w14:paraId="0F237213" w14:textId="77777777" w:rsidTr="0049031D">
        <w:trPr>
          <w:trHeight w:val="20"/>
          <w:jc w:val="center"/>
        </w:trPr>
        <w:tc>
          <w:tcPr>
            <w:tcW w:w="421" w:type="dxa"/>
            <w:vAlign w:val="center"/>
          </w:tcPr>
          <w:p w14:paraId="7322CC6F" w14:textId="496FDD5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14</w:t>
            </w:r>
          </w:p>
        </w:tc>
        <w:tc>
          <w:tcPr>
            <w:tcW w:w="1391" w:type="dxa"/>
            <w:vAlign w:val="center"/>
          </w:tcPr>
          <w:p w14:paraId="1909A91A" w14:textId="0FDDC23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Major States</w:t>
            </w:r>
          </w:p>
        </w:tc>
        <w:tc>
          <w:tcPr>
            <w:tcW w:w="978" w:type="dxa"/>
            <w:vAlign w:val="center"/>
          </w:tcPr>
          <w:p w14:paraId="22A8F7C7" w14:textId="7AB7DAA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352913</w:t>
            </w:r>
            <w:r w:rsidR="0067208C">
              <w:rPr>
                <w:rFonts w:ascii="Times New Roman" w:eastAsia="Times New Roman" w:hAnsi="Times New Roman" w:cs="Times New Roman"/>
                <w:b/>
                <w:bCs/>
                <w:color w:val="000000"/>
                <w:kern w:val="0"/>
                <w:sz w:val="16"/>
                <w:szCs w:val="16"/>
                <w:lang w:eastAsia="en-IN" w:bidi="ar-SA"/>
                <w14:ligatures w14:val="none"/>
              </w:rPr>
              <w:t>.18</w:t>
            </w:r>
          </w:p>
        </w:tc>
        <w:tc>
          <w:tcPr>
            <w:tcW w:w="976" w:type="dxa"/>
            <w:vAlign w:val="center"/>
          </w:tcPr>
          <w:p w14:paraId="47366303" w14:textId="12CAB28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37699</w:t>
            </w:r>
            <w:r w:rsidR="00EE723D">
              <w:rPr>
                <w:rFonts w:ascii="Times New Roman" w:eastAsia="Times New Roman" w:hAnsi="Times New Roman" w:cs="Times New Roman"/>
                <w:b/>
                <w:bCs/>
                <w:color w:val="000000"/>
                <w:kern w:val="0"/>
                <w:sz w:val="16"/>
                <w:szCs w:val="16"/>
                <w:lang w:eastAsia="en-IN" w:bidi="ar-SA"/>
                <w14:ligatures w14:val="none"/>
              </w:rPr>
              <w:t>5.80</w:t>
            </w:r>
          </w:p>
        </w:tc>
        <w:tc>
          <w:tcPr>
            <w:tcW w:w="1073" w:type="dxa"/>
            <w:vAlign w:val="center"/>
          </w:tcPr>
          <w:p w14:paraId="0C813C24" w14:textId="01A9545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403092</w:t>
            </w:r>
            <w:r w:rsidR="00315906">
              <w:rPr>
                <w:rFonts w:ascii="Times New Roman" w:eastAsia="Times New Roman" w:hAnsi="Times New Roman" w:cs="Times New Roman"/>
                <w:b/>
                <w:bCs/>
                <w:color w:val="000000"/>
                <w:kern w:val="0"/>
                <w:sz w:val="16"/>
                <w:szCs w:val="16"/>
                <w:lang w:eastAsia="en-IN" w:bidi="ar-SA"/>
                <w14:ligatures w14:val="none"/>
              </w:rPr>
              <w:t>.26</w:t>
            </w:r>
          </w:p>
        </w:tc>
        <w:tc>
          <w:tcPr>
            <w:tcW w:w="1073" w:type="dxa"/>
            <w:vAlign w:val="center"/>
          </w:tcPr>
          <w:p w14:paraId="54ECE095" w14:textId="12A42B0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43138</w:t>
            </w:r>
            <w:r w:rsidR="0053226F">
              <w:rPr>
                <w:rFonts w:ascii="Times New Roman" w:eastAsia="Times New Roman" w:hAnsi="Times New Roman" w:cs="Times New Roman"/>
                <w:b/>
                <w:bCs/>
                <w:color w:val="000000"/>
                <w:kern w:val="0"/>
                <w:sz w:val="16"/>
                <w:szCs w:val="16"/>
                <w:lang w:eastAsia="en-IN" w:bidi="ar-SA"/>
                <w14:ligatures w14:val="none"/>
              </w:rPr>
              <w:t>8.50</w:t>
            </w:r>
          </w:p>
        </w:tc>
        <w:tc>
          <w:tcPr>
            <w:tcW w:w="979" w:type="dxa"/>
            <w:vAlign w:val="center"/>
          </w:tcPr>
          <w:p w14:paraId="1E70941D" w14:textId="24CCE17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46209</w:t>
            </w:r>
            <w:r w:rsidR="00BA2A6E">
              <w:rPr>
                <w:rFonts w:ascii="Times New Roman" w:eastAsia="Times New Roman" w:hAnsi="Times New Roman" w:cs="Times New Roman"/>
                <w:b/>
                <w:bCs/>
                <w:color w:val="000000"/>
                <w:kern w:val="0"/>
                <w:sz w:val="16"/>
                <w:szCs w:val="16"/>
                <w:lang w:eastAsia="en-IN" w:bidi="ar-SA"/>
                <w14:ligatures w14:val="none"/>
              </w:rPr>
              <w:t>1.56</w:t>
            </w:r>
          </w:p>
        </w:tc>
        <w:tc>
          <w:tcPr>
            <w:tcW w:w="979" w:type="dxa"/>
            <w:vAlign w:val="center"/>
          </w:tcPr>
          <w:p w14:paraId="5FEEEA29" w14:textId="3F0EE51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495432</w:t>
            </w:r>
            <w:r w:rsidR="009502F3">
              <w:rPr>
                <w:rFonts w:ascii="Times New Roman" w:eastAsia="Times New Roman" w:hAnsi="Times New Roman" w:cs="Times New Roman"/>
                <w:b/>
                <w:bCs/>
                <w:color w:val="000000"/>
                <w:kern w:val="0"/>
                <w:sz w:val="16"/>
                <w:szCs w:val="16"/>
                <w:lang w:eastAsia="en-IN" w:bidi="ar-SA"/>
                <w14:ligatures w14:val="none"/>
              </w:rPr>
              <w:t>.36</w:t>
            </w:r>
          </w:p>
        </w:tc>
        <w:tc>
          <w:tcPr>
            <w:tcW w:w="1056" w:type="dxa"/>
            <w:vAlign w:val="center"/>
          </w:tcPr>
          <w:p w14:paraId="6B9A07A0" w14:textId="35423F3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w:t>
            </w:r>
            <w:r w:rsidR="009502F3">
              <w:rPr>
                <w:rFonts w:ascii="Times New Roman" w:eastAsia="Times New Roman" w:hAnsi="Times New Roman" w:cs="Times New Roman"/>
                <w:b/>
                <w:bCs/>
                <w:color w:val="000000"/>
                <w:kern w:val="0"/>
                <w:sz w:val="16"/>
                <w:szCs w:val="16"/>
                <w:lang w:eastAsia="en-IN" w:bidi="ar-SA"/>
                <w14:ligatures w14:val="none"/>
              </w:rPr>
              <w:t>169000.49</w:t>
            </w:r>
          </w:p>
        </w:tc>
      </w:tr>
      <w:tr w:rsidR="007A7DCE" w:rsidRPr="0078036E" w14:paraId="5653D41D" w14:textId="77777777" w:rsidTr="00D16996">
        <w:trPr>
          <w:trHeight w:val="20"/>
          <w:jc w:val="center"/>
        </w:trPr>
        <w:tc>
          <w:tcPr>
            <w:tcW w:w="8926" w:type="dxa"/>
            <w:gridSpan w:val="9"/>
            <w:vAlign w:val="center"/>
          </w:tcPr>
          <w:p w14:paraId="086CF085" w14:textId="15757466" w:rsidR="007A7DCE" w:rsidRPr="007A7DCE" w:rsidRDefault="007A7DCE" w:rsidP="007A7DCE">
            <w:pPr>
              <w:rPr>
                <w:rFonts w:ascii="Times New Roman" w:hAnsi="Times New Roman" w:cs="Times New Roman"/>
                <w:sz w:val="16"/>
                <w:szCs w:val="16"/>
              </w:rPr>
            </w:pPr>
            <w:r w:rsidRPr="007A7DCE">
              <w:rPr>
                <w:rFonts w:ascii="Times New Roman" w:hAnsi="Times New Roman" w:cs="Times New Roman"/>
                <w:sz w:val="16"/>
                <w:szCs w:val="16"/>
              </w:rPr>
              <w:t>Note: Inclusive of expenditure on "Other Economic Services", "Water and Power Development Services" and "Compensation to Local Bodies" reckoned at actuals.</w:t>
            </w:r>
          </w:p>
        </w:tc>
      </w:tr>
      <w:tr w:rsidR="007A7DCE" w:rsidRPr="0078036E" w14:paraId="27F07CCA" w14:textId="77777777" w:rsidTr="00927D8E">
        <w:trPr>
          <w:trHeight w:val="20"/>
          <w:jc w:val="center"/>
        </w:trPr>
        <w:tc>
          <w:tcPr>
            <w:tcW w:w="8926" w:type="dxa"/>
            <w:gridSpan w:val="9"/>
            <w:vAlign w:val="center"/>
          </w:tcPr>
          <w:p w14:paraId="69100DDB" w14:textId="0736BC94"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DF6987">
              <w:rPr>
                <w:rFonts w:ascii="Times New Roman" w:hAnsi="Times New Roman" w:cs="Times New Roman"/>
                <w:b/>
                <w:bCs/>
                <w:sz w:val="20"/>
                <w:szCs w:val="20"/>
              </w:rPr>
              <w:t>Expenditure Category: Expenditure On Selected Services</w:t>
            </w:r>
          </w:p>
        </w:tc>
      </w:tr>
      <w:tr w:rsidR="007A7DCE" w:rsidRPr="0078036E" w14:paraId="207CFFA7" w14:textId="77777777" w:rsidTr="0049031D">
        <w:trPr>
          <w:trHeight w:val="20"/>
          <w:jc w:val="center"/>
        </w:trPr>
        <w:tc>
          <w:tcPr>
            <w:tcW w:w="421" w:type="dxa"/>
            <w:vAlign w:val="center"/>
          </w:tcPr>
          <w:p w14:paraId="079F5EEF" w14:textId="5689E75E"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No.</w:t>
            </w:r>
          </w:p>
        </w:tc>
        <w:tc>
          <w:tcPr>
            <w:tcW w:w="1391" w:type="dxa"/>
            <w:vAlign w:val="center"/>
          </w:tcPr>
          <w:p w14:paraId="08099F97" w14:textId="037DD7FF"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State</w:t>
            </w:r>
          </w:p>
        </w:tc>
        <w:tc>
          <w:tcPr>
            <w:tcW w:w="978" w:type="dxa"/>
            <w:vAlign w:val="center"/>
          </w:tcPr>
          <w:p w14:paraId="743C1023" w14:textId="0DD3F2C2"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1989-90</w:t>
            </w:r>
          </w:p>
        </w:tc>
        <w:tc>
          <w:tcPr>
            <w:tcW w:w="976" w:type="dxa"/>
            <w:vAlign w:val="center"/>
          </w:tcPr>
          <w:p w14:paraId="3F43F5F7" w14:textId="1714BAE5"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1990-91</w:t>
            </w:r>
          </w:p>
        </w:tc>
        <w:tc>
          <w:tcPr>
            <w:tcW w:w="1073" w:type="dxa"/>
            <w:vAlign w:val="center"/>
          </w:tcPr>
          <w:p w14:paraId="2D3FEA43" w14:textId="1152A26F"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1991-92</w:t>
            </w:r>
          </w:p>
        </w:tc>
        <w:tc>
          <w:tcPr>
            <w:tcW w:w="1073" w:type="dxa"/>
            <w:vAlign w:val="center"/>
          </w:tcPr>
          <w:p w14:paraId="080AC48A" w14:textId="2A2E3B7E"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1992-93</w:t>
            </w:r>
          </w:p>
        </w:tc>
        <w:tc>
          <w:tcPr>
            <w:tcW w:w="979" w:type="dxa"/>
            <w:vAlign w:val="center"/>
          </w:tcPr>
          <w:p w14:paraId="20229E74" w14:textId="4AAD08F8"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1993-94</w:t>
            </w:r>
          </w:p>
        </w:tc>
        <w:tc>
          <w:tcPr>
            <w:tcW w:w="979" w:type="dxa"/>
            <w:vAlign w:val="center"/>
          </w:tcPr>
          <w:p w14:paraId="6B258415" w14:textId="6B3DF4C6"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1994-95</w:t>
            </w:r>
          </w:p>
        </w:tc>
        <w:tc>
          <w:tcPr>
            <w:tcW w:w="1056" w:type="dxa"/>
            <w:vAlign w:val="center"/>
          </w:tcPr>
          <w:p w14:paraId="1948FF76" w14:textId="42E4323C"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1990-91 to 1994-95</w:t>
            </w:r>
          </w:p>
        </w:tc>
      </w:tr>
      <w:tr w:rsidR="007A7DCE" w:rsidRPr="0078036E" w14:paraId="14B0C739" w14:textId="77777777" w:rsidTr="0049031D">
        <w:trPr>
          <w:trHeight w:val="20"/>
          <w:jc w:val="center"/>
        </w:trPr>
        <w:tc>
          <w:tcPr>
            <w:tcW w:w="421" w:type="dxa"/>
            <w:vAlign w:val="center"/>
          </w:tcPr>
          <w:p w14:paraId="696702C5" w14:textId="5CD79A6A"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w:t>
            </w:r>
          </w:p>
        </w:tc>
        <w:tc>
          <w:tcPr>
            <w:tcW w:w="1391" w:type="dxa"/>
            <w:vAlign w:val="center"/>
          </w:tcPr>
          <w:p w14:paraId="2FE220C0" w14:textId="564BC400" w:rsidR="007A7DCE" w:rsidRPr="007A7DCE" w:rsidRDefault="007A7DCE" w:rsidP="007A7DCE">
            <w:pP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Andhra Pradesh</w:t>
            </w:r>
          </w:p>
        </w:tc>
        <w:tc>
          <w:tcPr>
            <w:tcW w:w="978" w:type="dxa"/>
            <w:vAlign w:val="center"/>
          </w:tcPr>
          <w:p w14:paraId="110F2FC8" w14:textId="33AB18A1"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180193.77</w:t>
            </w:r>
          </w:p>
        </w:tc>
        <w:tc>
          <w:tcPr>
            <w:tcW w:w="976" w:type="dxa"/>
            <w:vAlign w:val="center"/>
          </w:tcPr>
          <w:p w14:paraId="0EA8D0D2" w14:textId="45DCB028"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192748.45</w:t>
            </w:r>
          </w:p>
        </w:tc>
        <w:tc>
          <w:tcPr>
            <w:tcW w:w="1073" w:type="dxa"/>
            <w:vAlign w:val="center"/>
          </w:tcPr>
          <w:p w14:paraId="7D5FAE80" w14:textId="3E5EB5F0"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206242.07</w:t>
            </w:r>
          </w:p>
        </w:tc>
        <w:tc>
          <w:tcPr>
            <w:tcW w:w="1073" w:type="dxa"/>
            <w:vAlign w:val="center"/>
          </w:tcPr>
          <w:p w14:paraId="5AB656C4" w14:textId="527695FF"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220748.04</w:t>
            </w:r>
          </w:p>
        </w:tc>
        <w:tc>
          <w:tcPr>
            <w:tcW w:w="979" w:type="dxa"/>
            <w:vAlign w:val="center"/>
          </w:tcPr>
          <w:p w14:paraId="202B7732" w14:textId="2A65415D"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236345.77</w:t>
            </w:r>
          </w:p>
        </w:tc>
        <w:tc>
          <w:tcPr>
            <w:tcW w:w="979" w:type="dxa"/>
            <w:vAlign w:val="center"/>
          </w:tcPr>
          <w:p w14:paraId="3E887269" w14:textId="09894B94"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253121.21</w:t>
            </w:r>
          </w:p>
        </w:tc>
        <w:tc>
          <w:tcPr>
            <w:tcW w:w="1056" w:type="dxa"/>
            <w:vAlign w:val="center"/>
          </w:tcPr>
          <w:p w14:paraId="1399F74B" w14:textId="08CF2E42" w:rsidR="007A7DCE" w:rsidRPr="007A7DCE" w:rsidRDefault="007A7DCE" w:rsidP="007A7DCE">
            <w:pPr>
              <w:jc w:val="center"/>
              <w:rPr>
                <w:rFonts w:ascii="Times New Roman" w:eastAsia="Times New Roman" w:hAnsi="Times New Roman" w:cs="Times New Roman"/>
                <w:b/>
                <w:bCs/>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1109205.5</w:t>
            </w:r>
            <w:r w:rsidR="009502F3">
              <w:rPr>
                <w:rFonts w:ascii="Times New Roman" w:eastAsia="Times New Roman" w:hAnsi="Times New Roman" w:cs="Times New Roman"/>
                <w:color w:val="000000"/>
                <w:kern w:val="0"/>
                <w:sz w:val="16"/>
                <w:szCs w:val="16"/>
                <w:lang w:eastAsia="en-IN" w:bidi="ar-SA"/>
                <w14:ligatures w14:val="none"/>
              </w:rPr>
              <w:t>0</w:t>
            </w:r>
          </w:p>
        </w:tc>
      </w:tr>
      <w:tr w:rsidR="007A7DCE" w:rsidRPr="0078036E" w14:paraId="368CDF17" w14:textId="77777777" w:rsidTr="0049031D">
        <w:trPr>
          <w:trHeight w:val="20"/>
          <w:jc w:val="center"/>
        </w:trPr>
        <w:tc>
          <w:tcPr>
            <w:tcW w:w="421" w:type="dxa"/>
            <w:vAlign w:val="center"/>
          </w:tcPr>
          <w:p w14:paraId="05D32FD4" w14:textId="5557549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w:t>
            </w:r>
          </w:p>
        </w:tc>
        <w:tc>
          <w:tcPr>
            <w:tcW w:w="1391" w:type="dxa"/>
            <w:vAlign w:val="center"/>
          </w:tcPr>
          <w:p w14:paraId="11DE8FD7" w14:textId="1254F98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Bihar</w:t>
            </w:r>
          </w:p>
        </w:tc>
        <w:tc>
          <w:tcPr>
            <w:tcW w:w="978" w:type="dxa"/>
            <w:vAlign w:val="center"/>
          </w:tcPr>
          <w:p w14:paraId="2240EAF2" w14:textId="5D7E890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178876.2</w:t>
            </w:r>
            <w:r w:rsidR="009502F3">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2F821677" w14:textId="426D662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192153.13</w:t>
            </w:r>
          </w:p>
        </w:tc>
        <w:tc>
          <w:tcPr>
            <w:tcW w:w="1073" w:type="dxa"/>
            <w:vAlign w:val="center"/>
          </w:tcPr>
          <w:p w14:paraId="2CA490D3" w14:textId="79F5A71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206582.96</w:t>
            </w:r>
          </w:p>
        </w:tc>
        <w:tc>
          <w:tcPr>
            <w:tcW w:w="1073" w:type="dxa"/>
            <w:vAlign w:val="center"/>
          </w:tcPr>
          <w:p w14:paraId="4054ADF8" w14:textId="6017CF8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222276.62</w:t>
            </w:r>
          </w:p>
        </w:tc>
        <w:tc>
          <w:tcPr>
            <w:tcW w:w="979" w:type="dxa"/>
            <w:vAlign w:val="center"/>
          </w:tcPr>
          <w:p w14:paraId="0BA2C93B" w14:textId="0C826F6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239356.51</w:t>
            </w:r>
          </w:p>
        </w:tc>
        <w:tc>
          <w:tcPr>
            <w:tcW w:w="979" w:type="dxa"/>
            <w:vAlign w:val="center"/>
          </w:tcPr>
          <w:p w14:paraId="7F0E9081" w14:textId="02F87CB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257957.79</w:t>
            </w:r>
          </w:p>
        </w:tc>
        <w:tc>
          <w:tcPr>
            <w:tcW w:w="1056" w:type="dxa"/>
            <w:vAlign w:val="center"/>
          </w:tcPr>
          <w:p w14:paraId="6CCAAE48" w14:textId="30D287E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1118327</w:t>
            </w:r>
            <w:r w:rsidR="009502F3">
              <w:rPr>
                <w:rFonts w:ascii="Times New Roman" w:eastAsia="Times New Roman" w:hAnsi="Times New Roman" w:cs="Times New Roman"/>
                <w:color w:val="000000"/>
                <w:kern w:val="0"/>
                <w:sz w:val="16"/>
                <w:szCs w:val="16"/>
                <w:lang w:eastAsia="en-IN" w:bidi="ar-SA"/>
                <w14:ligatures w14:val="none"/>
              </w:rPr>
              <w:t>.01</w:t>
            </w:r>
          </w:p>
        </w:tc>
      </w:tr>
      <w:tr w:rsidR="007A7DCE" w:rsidRPr="0078036E" w14:paraId="2DD060AB" w14:textId="77777777" w:rsidTr="0049031D">
        <w:trPr>
          <w:trHeight w:val="20"/>
          <w:jc w:val="center"/>
        </w:trPr>
        <w:tc>
          <w:tcPr>
            <w:tcW w:w="421" w:type="dxa"/>
            <w:vAlign w:val="center"/>
          </w:tcPr>
          <w:p w14:paraId="4829C854" w14:textId="2E1942B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w:t>
            </w:r>
          </w:p>
        </w:tc>
        <w:tc>
          <w:tcPr>
            <w:tcW w:w="1391" w:type="dxa"/>
            <w:vAlign w:val="center"/>
          </w:tcPr>
          <w:p w14:paraId="05F717FC" w14:textId="1A21EC22"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Gujarat</w:t>
            </w:r>
          </w:p>
        </w:tc>
        <w:tc>
          <w:tcPr>
            <w:tcW w:w="978" w:type="dxa"/>
            <w:vAlign w:val="center"/>
          </w:tcPr>
          <w:p w14:paraId="735FCD60" w14:textId="226C92E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164044.75</w:t>
            </w:r>
          </w:p>
        </w:tc>
        <w:tc>
          <w:tcPr>
            <w:tcW w:w="976" w:type="dxa"/>
            <w:vAlign w:val="center"/>
          </w:tcPr>
          <w:p w14:paraId="3D56C9DF" w14:textId="3A4D0E8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174571.91</w:t>
            </w:r>
          </w:p>
        </w:tc>
        <w:tc>
          <w:tcPr>
            <w:tcW w:w="1073" w:type="dxa"/>
            <w:vAlign w:val="center"/>
          </w:tcPr>
          <w:p w14:paraId="458B3C5D" w14:textId="3933EE2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185874.32</w:t>
            </w:r>
          </w:p>
        </w:tc>
        <w:tc>
          <w:tcPr>
            <w:tcW w:w="1073" w:type="dxa"/>
            <w:vAlign w:val="center"/>
          </w:tcPr>
          <w:p w14:paraId="09979926" w14:textId="1843E0C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198016.83</w:t>
            </w:r>
          </w:p>
        </w:tc>
        <w:tc>
          <w:tcPr>
            <w:tcW w:w="979" w:type="dxa"/>
            <w:vAlign w:val="center"/>
          </w:tcPr>
          <w:p w14:paraId="17DB06B9" w14:textId="7F12016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211070.46</w:t>
            </w:r>
          </w:p>
        </w:tc>
        <w:tc>
          <w:tcPr>
            <w:tcW w:w="979" w:type="dxa"/>
            <w:vAlign w:val="center"/>
          </w:tcPr>
          <w:p w14:paraId="489D985C" w14:textId="70CC126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225113.15</w:t>
            </w:r>
          </w:p>
        </w:tc>
        <w:tc>
          <w:tcPr>
            <w:tcW w:w="1056" w:type="dxa"/>
            <w:vAlign w:val="center"/>
          </w:tcPr>
          <w:p w14:paraId="60EAE141" w14:textId="5FEBA2F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994646.68</w:t>
            </w:r>
          </w:p>
        </w:tc>
      </w:tr>
      <w:tr w:rsidR="007A7DCE" w:rsidRPr="0078036E" w14:paraId="31E3DAF8" w14:textId="77777777" w:rsidTr="0049031D">
        <w:trPr>
          <w:trHeight w:val="20"/>
          <w:jc w:val="center"/>
        </w:trPr>
        <w:tc>
          <w:tcPr>
            <w:tcW w:w="421" w:type="dxa"/>
            <w:vAlign w:val="center"/>
          </w:tcPr>
          <w:p w14:paraId="71FCF125" w14:textId="0D543629"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w:t>
            </w:r>
          </w:p>
        </w:tc>
        <w:tc>
          <w:tcPr>
            <w:tcW w:w="1391" w:type="dxa"/>
            <w:vAlign w:val="center"/>
          </w:tcPr>
          <w:p w14:paraId="0FBBFCB3" w14:textId="72AE831B"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Haryana</w:t>
            </w:r>
          </w:p>
        </w:tc>
        <w:tc>
          <w:tcPr>
            <w:tcW w:w="978" w:type="dxa"/>
            <w:vAlign w:val="center"/>
          </w:tcPr>
          <w:p w14:paraId="39DA1401" w14:textId="1C98F72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49283</w:t>
            </w:r>
            <w:r w:rsidR="009502F3">
              <w:rPr>
                <w:rFonts w:ascii="Times New Roman" w:eastAsia="Times New Roman" w:hAnsi="Times New Roman" w:cs="Times New Roman"/>
                <w:color w:val="000000"/>
                <w:kern w:val="0"/>
                <w:sz w:val="16"/>
                <w:szCs w:val="16"/>
                <w:lang w:eastAsia="en-IN" w:bidi="ar-SA"/>
                <w14:ligatures w14:val="none"/>
              </w:rPr>
              <w:t>.00</w:t>
            </w:r>
          </w:p>
        </w:tc>
        <w:tc>
          <w:tcPr>
            <w:tcW w:w="976" w:type="dxa"/>
            <w:vAlign w:val="center"/>
          </w:tcPr>
          <w:p w14:paraId="7E3E2DF2" w14:textId="7DF9137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52736</w:t>
            </w:r>
            <w:r w:rsidR="009502F3">
              <w:rPr>
                <w:rFonts w:ascii="Times New Roman" w:eastAsia="Times New Roman" w:hAnsi="Times New Roman" w:cs="Times New Roman"/>
                <w:color w:val="000000"/>
                <w:kern w:val="0"/>
                <w:sz w:val="16"/>
                <w:szCs w:val="16"/>
                <w:lang w:eastAsia="en-IN" w:bidi="ar-SA"/>
                <w14:ligatures w14:val="none"/>
              </w:rPr>
              <w:t>.00</w:t>
            </w:r>
          </w:p>
        </w:tc>
        <w:tc>
          <w:tcPr>
            <w:tcW w:w="1073" w:type="dxa"/>
            <w:vAlign w:val="center"/>
          </w:tcPr>
          <w:p w14:paraId="327596F9" w14:textId="150A05E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56484.09</w:t>
            </w:r>
          </w:p>
        </w:tc>
        <w:tc>
          <w:tcPr>
            <w:tcW w:w="1073" w:type="dxa"/>
            <w:vAlign w:val="center"/>
          </w:tcPr>
          <w:p w14:paraId="642DA43F" w14:textId="6ECC3A4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60531.3</w:t>
            </w:r>
            <w:r w:rsidR="009502F3">
              <w:rPr>
                <w:rFonts w:ascii="Times New Roman" w:eastAsia="Times New Roman" w:hAnsi="Times New Roman" w:cs="Times New Roman"/>
                <w:color w:val="000000"/>
                <w:kern w:val="0"/>
                <w:sz w:val="16"/>
                <w:szCs w:val="16"/>
                <w:lang w:eastAsia="en-IN" w:bidi="ar-SA"/>
                <w14:ligatures w14:val="none"/>
              </w:rPr>
              <w:t>0</w:t>
            </w:r>
          </w:p>
        </w:tc>
        <w:tc>
          <w:tcPr>
            <w:tcW w:w="979" w:type="dxa"/>
            <w:vAlign w:val="center"/>
          </w:tcPr>
          <w:p w14:paraId="46030444" w14:textId="4F47BD0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64903.96</w:t>
            </w:r>
          </w:p>
        </w:tc>
        <w:tc>
          <w:tcPr>
            <w:tcW w:w="979" w:type="dxa"/>
            <w:vAlign w:val="center"/>
          </w:tcPr>
          <w:p w14:paraId="7CC77672" w14:textId="7D1AD0F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69631</w:t>
            </w:r>
            <w:r w:rsidR="009502F3">
              <w:rPr>
                <w:rFonts w:ascii="Times New Roman" w:eastAsia="Times New Roman" w:hAnsi="Times New Roman" w:cs="Times New Roman"/>
                <w:color w:val="000000"/>
                <w:kern w:val="0"/>
                <w:sz w:val="16"/>
                <w:szCs w:val="16"/>
                <w:lang w:eastAsia="en-IN" w:bidi="ar-SA"/>
                <w14:ligatures w14:val="none"/>
              </w:rPr>
              <w:t>.00</w:t>
            </w:r>
          </w:p>
        </w:tc>
        <w:tc>
          <w:tcPr>
            <w:tcW w:w="1056" w:type="dxa"/>
            <w:vAlign w:val="center"/>
          </w:tcPr>
          <w:p w14:paraId="0B17FA24" w14:textId="57B0092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304286.35</w:t>
            </w:r>
          </w:p>
        </w:tc>
      </w:tr>
      <w:tr w:rsidR="007A7DCE" w:rsidRPr="0078036E" w14:paraId="6981220D" w14:textId="77777777" w:rsidTr="0049031D">
        <w:trPr>
          <w:trHeight w:val="20"/>
          <w:jc w:val="center"/>
        </w:trPr>
        <w:tc>
          <w:tcPr>
            <w:tcW w:w="421" w:type="dxa"/>
            <w:vAlign w:val="center"/>
          </w:tcPr>
          <w:p w14:paraId="718B7CC5" w14:textId="1A044F53"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w:t>
            </w:r>
          </w:p>
        </w:tc>
        <w:tc>
          <w:tcPr>
            <w:tcW w:w="1391" w:type="dxa"/>
            <w:vAlign w:val="center"/>
          </w:tcPr>
          <w:p w14:paraId="0F3E90A6" w14:textId="3263EDA2"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Karnataka</w:t>
            </w:r>
          </w:p>
        </w:tc>
        <w:tc>
          <w:tcPr>
            <w:tcW w:w="978" w:type="dxa"/>
            <w:vAlign w:val="center"/>
          </w:tcPr>
          <w:p w14:paraId="6E3FE62D" w14:textId="3EA0287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145514.85</w:t>
            </w:r>
          </w:p>
        </w:tc>
        <w:tc>
          <w:tcPr>
            <w:tcW w:w="976" w:type="dxa"/>
            <w:vAlign w:val="center"/>
          </w:tcPr>
          <w:p w14:paraId="246E3D31" w14:textId="213CEAB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156306.51</w:t>
            </w:r>
          </w:p>
        </w:tc>
        <w:tc>
          <w:tcPr>
            <w:tcW w:w="1073" w:type="dxa"/>
            <w:vAlign w:val="center"/>
          </w:tcPr>
          <w:p w14:paraId="342E498F" w14:textId="576C391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167943.5</w:t>
            </w:r>
            <w:r w:rsidR="009502F3">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6EC8B4BC" w14:textId="1EB3956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180494.82</w:t>
            </w:r>
          </w:p>
        </w:tc>
        <w:tc>
          <w:tcPr>
            <w:tcW w:w="979" w:type="dxa"/>
            <w:vAlign w:val="center"/>
          </w:tcPr>
          <w:p w14:paraId="24CA7C92" w14:textId="6A78205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194035.29</w:t>
            </w:r>
          </w:p>
        </w:tc>
        <w:tc>
          <w:tcPr>
            <w:tcW w:w="979" w:type="dxa"/>
            <w:vAlign w:val="center"/>
          </w:tcPr>
          <w:p w14:paraId="0719B2A7" w14:textId="1D7D3D6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208646.14</w:t>
            </w:r>
          </w:p>
        </w:tc>
        <w:tc>
          <w:tcPr>
            <w:tcW w:w="1056" w:type="dxa"/>
            <w:vAlign w:val="center"/>
          </w:tcPr>
          <w:p w14:paraId="7FE75A53" w14:textId="68A8D70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907426.26</w:t>
            </w:r>
          </w:p>
        </w:tc>
      </w:tr>
      <w:tr w:rsidR="007A7DCE" w:rsidRPr="0078036E" w14:paraId="79CE33BD" w14:textId="77777777" w:rsidTr="0049031D">
        <w:trPr>
          <w:trHeight w:val="20"/>
          <w:jc w:val="center"/>
        </w:trPr>
        <w:tc>
          <w:tcPr>
            <w:tcW w:w="421" w:type="dxa"/>
            <w:vAlign w:val="center"/>
          </w:tcPr>
          <w:p w14:paraId="5F2F692E" w14:textId="76A3D66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6</w:t>
            </w:r>
          </w:p>
        </w:tc>
        <w:tc>
          <w:tcPr>
            <w:tcW w:w="1391" w:type="dxa"/>
            <w:vAlign w:val="center"/>
          </w:tcPr>
          <w:p w14:paraId="38E2F396" w14:textId="06658AF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Kerala</w:t>
            </w:r>
          </w:p>
        </w:tc>
        <w:tc>
          <w:tcPr>
            <w:tcW w:w="978" w:type="dxa"/>
            <w:vAlign w:val="center"/>
          </w:tcPr>
          <w:p w14:paraId="75A78E37" w14:textId="00919D5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126266.57</w:t>
            </w:r>
          </w:p>
        </w:tc>
        <w:tc>
          <w:tcPr>
            <w:tcW w:w="976" w:type="dxa"/>
            <w:vAlign w:val="center"/>
          </w:tcPr>
          <w:p w14:paraId="3807D42F" w14:textId="6D4F055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133558.53</w:t>
            </w:r>
          </w:p>
        </w:tc>
        <w:tc>
          <w:tcPr>
            <w:tcW w:w="1073" w:type="dxa"/>
            <w:vAlign w:val="center"/>
          </w:tcPr>
          <w:p w14:paraId="1F63E0D3" w14:textId="0B8D1E3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141420.96</w:t>
            </w:r>
          </w:p>
        </w:tc>
        <w:tc>
          <w:tcPr>
            <w:tcW w:w="1073" w:type="dxa"/>
            <w:vAlign w:val="center"/>
          </w:tcPr>
          <w:p w14:paraId="55B4B8A5" w14:textId="3FCE201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149900.55</w:t>
            </w:r>
          </w:p>
        </w:tc>
        <w:tc>
          <w:tcPr>
            <w:tcW w:w="979" w:type="dxa"/>
            <w:vAlign w:val="center"/>
          </w:tcPr>
          <w:p w14:paraId="111C8269" w14:textId="61B1FDF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159046.06</w:t>
            </w:r>
          </w:p>
        </w:tc>
        <w:tc>
          <w:tcPr>
            <w:tcW w:w="979" w:type="dxa"/>
            <w:vAlign w:val="center"/>
          </w:tcPr>
          <w:p w14:paraId="0DC3C246" w14:textId="04684D3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168918.71</w:t>
            </w:r>
          </w:p>
        </w:tc>
        <w:tc>
          <w:tcPr>
            <w:tcW w:w="1056" w:type="dxa"/>
            <w:vAlign w:val="center"/>
          </w:tcPr>
          <w:p w14:paraId="2A00BFE3" w14:textId="2E01CC9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752846.8</w:t>
            </w:r>
            <w:r w:rsidR="0049031D">
              <w:rPr>
                <w:rFonts w:ascii="Times New Roman" w:eastAsia="Times New Roman" w:hAnsi="Times New Roman" w:cs="Times New Roman"/>
                <w:color w:val="000000"/>
                <w:kern w:val="0"/>
                <w:sz w:val="16"/>
                <w:szCs w:val="16"/>
                <w:lang w:eastAsia="en-IN" w:bidi="ar-SA"/>
                <w14:ligatures w14:val="none"/>
              </w:rPr>
              <w:t>0</w:t>
            </w:r>
          </w:p>
        </w:tc>
      </w:tr>
      <w:tr w:rsidR="007A7DCE" w:rsidRPr="0078036E" w14:paraId="43393EFE" w14:textId="77777777" w:rsidTr="0049031D">
        <w:trPr>
          <w:trHeight w:val="20"/>
          <w:jc w:val="center"/>
        </w:trPr>
        <w:tc>
          <w:tcPr>
            <w:tcW w:w="421" w:type="dxa"/>
            <w:vAlign w:val="center"/>
          </w:tcPr>
          <w:p w14:paraId="6B7066A1" w14:textId="06325E6F"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w:t>
            </w:r>
          </w:p>
        </w:tc>
        <w:tc>
          <w:tcPr>
            <w:tcW w:w="1391" w:type="dxa"/>
            <w:vAlign w:val="center"/>
          </w:tcPr>
          <w:p w14:paraId="521E2613" w14:textId="555D78B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Madhya Pradesh</w:t>
            </w:r>
          </w:p>
        </w:tc>
        <w:tc>
          <w:tcPr>
            <w:tcW w:w="978" w:type="dxa"/>
            <w:vAlign w:val="center"/>
          </w:tcPr>
          <w:p w14:paraId="69A77CD8" w14:textId="334E4D9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158888.2</w:t>
            </w:r>
            <w:r w:rsidR="009502F3">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596D516B" w14:textId="164D245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169974.63</w:t>
            </w:r>
          </w:p>
        </w:tc>
        <w:tc>
          <w:tcPr>
            <w:tcW w:w="1073" w:type="dxa"/>
            <w:vAlign w:val="center"/>
          </w:tcPr>
          <w:p w14:paraId="51D965BD" w14:textId="2876F64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181888.97</w:t>
            </w:r>
          </w:p>
        </w:tc>
        <w:tc>
          <w:tcPr>
            <w:tcW w:w="1073" w:type="dxa"/>
            <w:vAlign w:val="center"/>
          </w:tcPr>
          <w:p w14:paraId="1C20E4C5" w14:textId="76D35DE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194697.74</w:t>
            </w:r>
          </w:p>
        </w:tc>
        <w:tc>
          <w:tcPr>
            <w:tcW w:w="979" w:type="dxa"/>
            <w:vAlign w:val="center"/>
          </w:tcPr>
          <w:p w14:paraId="34F51CA1" w14:textId="2BE55D6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208473.3</w:t>
            </w:r>
            <w:r w:rsidR="009502F3">
              <w:rPr>
                <w:rFonts w:ascii="Times New Roman" w:eastAsia="Times New Roman" w:hAnsi="Times New Roman" w:cs="Times New Roman"/>
                <w:color w:val="000000"/>
                <w:kern w:val="0"/>
                <w:sz w:val="16"/>
                <w:szCs w:val="16"/>
                <w:lang w:eastAsia="en-IN" w:bidi="ar-SA"/>
                <w14:ligatures w14:val="none"/>
              </w:rPr>
              <w:t>0</w:t>
            </w:r>
          </w:p>
        </w:tc>
        <w:tc>
          <w:tcPr>
            <w:tcW w:w="979" w:type="dxa"/>
            <w:vAlign w:val="center"/>
          </w:tcPr>
          <w:p w14:paraId="3A5815C5" w14:textId="6DB8E90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223294.47</w:t>
            </w:r>
          </w:p>
        </w:tc>
        <w:tc>
          <w:tcPr>
            <w:tcW w:w="1056" w:type="dxa"/>
            <w:vAlign w:val="center"/>
          </w:tcPr>
          <w:p w14:paraId="6047F2C4" w14:textId="69CFC63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978329.11</w:t>
            </w:r>
          </w:p>
        </w:tc>
      </w:tr>
      <w:tr w:rsidR="007A7DCE" w:rsidRPr="0078036E" w14:paraId="7E18576C" w14:textId="77777777" w:rsidTr="0049031D">
        <w:trPr>
          <w:trHeight w:val="20"/>
          <w:jc w:val="center"/>
        </w:trPr>
        <w:tc>
          <w:tcPr>
            <w:tcW w:w="421" w:type="dxa"/>
            <w:vAlign w:val="center"/>
          </w:tcPr>
          <w:p w14:paraId="7E9450CE" w14:textId="06DEBC0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w:t>
            </w:r>
          </w:p>
        </w:tc>
        <w:tc>
          <w:tcPr>
            <w:tcW w:w="1391" w:type="dxa"/>
            <w:vAlign w:val="center"/>
          </w:tcPr>
          <w:p w14:paraId="1AECF21D" w14:textId="29E1154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Maharashtra</w:t>
            </w:r>
          </w:p>
        </w:tc>
        <w:tc>
          <w:tcPr>
            <w:tcW w:w="978" w:type="dxa"/>
            <w:vAlign w:val="center"/>
          </w:tcPr>
          <w:p w14:paraId="0F10FF01" w14:textId="3AF9A3A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268281.37</w:t>
            </w:r>
          </w:p>
        </w:tc>
        <w:tc>
          <w:tcPr>
            <w:tcW w:w="976" w:type="dxa"/>
            <w:vAlign w:val="center"/>
          </w:tcPr>
          <w:p w14:paraId="1A13933F" w14:textId="1608F2C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283982.66</w:t>
            </w:r>
          </w:p>
        </w:tc>
        <w:tc>
          <w:tcPr>
            <w:tcW w:w="1073" w:type="dxa"/>
            <w:vAlign w:val="center"/>
          </w:tcPr>
          <w:p w14:paraId="7C048F1B" w14:textId="70556D7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300866.71</w:t>
            </w:r>
          </w:p>
        </w:tc>
        <w:tc>
          <w:tcPr>
            <w:tcW w:w="1073" w:type="dxa"/>
            <w:vAlign w:val="center"/>
          </w:tcPr>
          <w:p w14:paraId="55F2F9FD" w14:textId="1856480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319043.86</w:t>
            </w:r>
          </w:p>
        </w:tc>
        <w:tc>
          <w:tcPr>
            <w:tcW w:w="979" w:type="dxa"/>
            <w:vAlign w:val="center"/>
          </w:tcPr>
          <w:p w14:paraId="656D506D" w14:textId="4115F28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338638.24</w:t>
            </w:r>
          </w:p>
        </w:tc>
        <w:tc>
          <w:tcPr>
            <w:tcW w:w="979" w:type="dxa"/>
            <w:vAlign w:val="center"/>
          </w:tcPr>
          <w:p w14:paraId="2DB3468E" w14:textId="0205476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359789.92</w:t>
            </w:r>
          </w:p>
        </w:tc>
        <w:tc>
          <w:tcPr>
            <w:tcW w:w="1056" w:type="dxa"/>
            <w:vAlign w:val="center"/>
          </w:tcPr>
          <w:p w14:paraId="51A69113" w14:textId="4181DCD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1602321.</w:t>
            </w:r>
            <w:r w:rsidR="0049031D">
              <w:rPr>
                <w:rFonts w:ascii="Times New Roman" w:eastAsia="Times New Roman" w:hAnsi="Times New Roman" w:cs="Times New Roman"/>
                <w:color w:val="000000"/>
                <w:kern w:val="0"/>
                <w:sz w:val="16"/>
                <w:szCs w:val="16"/>
                <w:lang w:eastAsia="en-IN" w:bidi="ar-SA"/>
                <w14:ligatures w14:val="none"/>
              </w:rPr>
              <w:t>39</w:t>
            </w:r>
          </w:p>
        </w:tc>
      </w:tr>
      <w:tr w:rsidR="007A7DCE" w:rsidRPr="0078036E" w14:paraId="788EEF96" w14:textId="77777777" w:rsidTr="0049031D">
        <w:trPr>
          <w:trHeight w:val="20"/>
          <w:jc w:val="center"/>
        </w:trPr>
        <w:tc>
          <w:tcPr>
            <w:tcW w:w="421" w:type="dxa"/>
            <w:vAlign w:val="center"/>
          </w:tcPr>
          <w:p w14:paraId="0B6513CF" w14:textId="1E8A5005"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w:t>
            </w:r>
          </w:p>
        </w:tc>
        <w:tc>
          <w:tcPr>
            <w:tcW w:w="1391" w:type="dxa"/>
            <w:vAlign w:val="center"/>
          </w:tcPr>
          <w:p w14:paraId="3FB599FB" w14:textId="3B2C937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Orissa</w:t>
            </w:r>
          </w:p>
        </w:tc>
        <w:tc>
          <w:tcPr>
            <w:tcW w:w="978" w:type="dxa"/>
            <w:vAlign w:val="center"/>
          </w:tcPr>
          <w:p w14:paraId="34E10B59" w14:textId="382289F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91082.87</w:t>
            </w:r>
          </w:p>
        </w:tc>
        <w:tc>
          <w:tcPr>
            <w:tcW w:w="976" w:type="dxa"/>
            <w:vAlign w:val="center"/>
          </w:tcPr>
          <w:p w14:paraId="387D3504" w14:textId="20145A25"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98121.27</w:t>
            </w:r>
          </w:p>
        </w:tc>
        <w:tc>
          <w:tcPr>
            <w:tcW w:w="1073" w:type="dxa"/>
            <w:vAlign w:val="center"/>
          </w:tcPr>
          <w:p w14:paraId="3667B292" w14:textId="47D30FD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105763.78</w:t>
            </w:r>
          </w:p>
        </w:tc>
        <w:tc>
          <w:tcPr>
            <w:tcW w:w="1073" w:type="dxa"/>
            <w:vAlign w:val="center"/>
          </w:tcPr>
          <w:p w14:paraId="433A55E4" w14:textId="071463A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114061.74</w:t>
            </w:r>
          </w:p>
        </w:tc>
        <w:tc>
          <w:tcPr>
            <w:tcW w:w="979" w:type="dxa"/>
            <w:vAlign w:val="center"/>
          </w:tcPr>
          <w:p w14:paraId="2FFDF747" w14:textId="343F093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123071.29</w:t>
            </w:r>
          </w:p>
        </w:tc>
        <w:tc>
          <w:tcPr>
            <w:tcW w:w="979" w:type="dxa"/>
            <w:vAlign w:val="center"/>
          </w:tcPr>
          <w:p w14:paraId="3D042467" w14:textId="7151EBE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132853.88</w:t>
            </w:r>
          </w:p>
        </w:tc>
        <w:tc>
          <w:tcPr>
            <w:tcW w:w="1056" w:type="dxa"/>
            <w:vAlign w:val="center"/>
          </w:tcPr>
          <w:p w14:paraId="62F55371" w14:textId="6ED4FEF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573871.96</w:t>
            </w:r>
          </w:p>
        </w:tc>
      </w:tr>
      <w:tr w:rsidR="007A7DCE" w:rsidRPr="0078036E" w14:paraId="7A1BCAA6" w14:textId="77777777" w:rsidTr="0049031D">
        <w:trPr>
          <w:trHeight w:val="20"/>
          <w:jc w:val="center"/>
        </w:trPr>
        <w:tc>
          <w:tcPr>
            <w:tcW w:w="421" w:type="dxa"/>
            <w:vAlign w:val="center"/>
          </w:tcPr>
          <w:p w14:paraId="4ADE7A7B" w14:textId="173A358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10</w:t>
            </w:r>
          </w:p>
        </w:tc>
        <w:tc>
          <w:tcPr>
            <w:tcW w:w="1391" w:type="dxa"/>
            <w:vAlign w:val="center"/>
          </w:tcPr>
          <w:p w14:paraId="540D9CB2" w14:textId="2F24FD6C"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Punjab</w:t>
            </w:r>
          </w:p>
        </w:tc>
        <w:tc>
          <w:tcPr>
            <w:tcW w:w="978" w:type="dxa"/>
            <w:vAlign w:val="center"/>
          </w:tcPr>
          <w:p w14:paraId="2941349A" w14:textId="391AEF9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74240.21</w:t>
            </w:r>
          </w:p>
        </w:tc>
        <w:tc>
          <w:tcPr>
            <w:tcW w:w="976" w:type="dxa"/>
            <w:vAlign w:val="center"/>
          </w:tcPr>
          <w:p w14:paraId="458BCCEA" w14:textId="5966B8D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78175.47</w:t>
            </w:r>
          </w:p>
        </w:tc>
        <w:tc>
          <w:tcPr>
            <w:tcW w:w="1073" w:type="dxa"/>
            <w:vAlign w:val="center"/>
          </w:tcPr>
          <w:p w14:paraId="1F41061A" w14:textId="54CDFE6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82384.97</w:t>
            </w:r>
          </w:p>
        </w:tc>
        <w:tc>
          <w:tcPr>
            <w:tcW w:w="1073" w:type="dxa"/>
            <w:vAlign w:val="center"/>
          </w:tcPr>
          <w:p w14:paraId="1C93C5CD" w14:textId="7DA5774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86890.49</w:t>
            </w:r>
          </w:p>
        </w:tc>
        <w:tc>
          <w:tcPr>
            <w:tcW w:w="979" w:type="dxa"/>
            <w:vAlign w:val="center"/>
          </w:tcPr>
          <w:p w14:paraId="6C17FF58" w14:textId="4FDDD20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91715.86</w:t>
            </w:r>
          </w:p>
        </w:tc>
        <w:tc>
          <w:tcPr>
            <w:tcW w:w="979" w:type="dxa"/>
            <w:vAlign w:val="center"/>
          </w:tcPr>
          <w:p w14:paraId="6FABC3CF" w14:textId="3B166A7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96887.21</w:t>
            </w:r>
            <w:r w:rsidR="009502F3">
              <w:rPr>
                <w:rFonts w:ascii="Times New Roman" w:eastAsia="Times New Roman" w:hAnsi="Times New Roman" w:cs="Times New Roman"/>
                <w:color w:val="000000"/>
                <w:kern w:val="0"/>
                <w:sz w:val="16"/>
                <w:szCs w:val="16"/>
                <w:lang w:eastAsia="en-IN" w:bidi="ar-SA"/>
                <w14:ligatures w14:val="none"/>
              </w:rPr>
              <w:t>0</w:t>
            </w:r>
          </w:p>
        </w:tc>
        <w:tc>
          <w:tcPr>
            <w:tcW w:w="1056" w:type="dxa"/>
            <w:vAlign w:val="center"/>
          </w:tcPr>
          <w:p w14:paraId="2B83CB52" w14:textId="6996514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436054</w:t>
            </w:r>
            <w:r w:rsidR="0049031D">
              <w:rPr>
                <w:rFonts w:ascii="Times New Roman" w:eastAsia="Times New Roman" w:hAnsi="Times New Roman" w:cs="Times New Roman"/>
                <w:color w:val="000000"/>
                <w:kern w:val="0"/>
                <w:sz w:val="16"/>
                <w:szCs w:val="16"/>
                <w:lang w:eastAsia="en-IN" w:bidi="ar-SA"/>
                <w14:ligatures w14:val="none"/>
              </w:rPr>
              <w:t>.00</w:t>
            </w:r>
          </w:p>
        </w:tc>
      </w:tr>
      <w:tr w:rsidR="007A7DCE" w:rsidRPr="0078036E" w14:paraId="6A090345" w14:textId="77777777" w:rsidTr="0049031D">
        <w:trPr>
          <w:trHeight w:val="20"/>
          <w:jc w:val="center"/>
        </w:trPr>
        <w:tc>
          <w:tcPr>
            <w:tcW w:w="421" w:type="dxa"/>
            <w:vAlign w:val="center"/>
          </w:tcPr>
          <w:p w14:paraId="3E5C61F6" w14:textId="76CF6D24"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w:t>
            </w:r>
          </w:p>
        </w:tc>
        <w:tc>
          <w:tcPr>
            <w:tcW w:w="1391" w:type="dxa"/>
            <w:vAlign w:val="center"/>
          </w:tcPr>
          <w:p w14:paraId="7926E943" w14:textId="0E9B00AE"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Rajasthan</w:t>
            </w:r>
          </w:p>
        </w:tc>
        <w:tc>
          <w:tcPr>
            <w:tcW w:w="978" w:type="dxa"/>
            <w:vAlign w:val="center"/>
          </w:tcPr>
          <w:p w14:paraId="64CFB9CE" w14:textId="5E044D9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116944.3</w:t>
            </w:r>
            <w:r w:rsidR="009502F3">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10180774" w14:textId="23C977C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126108.01</w:t>
            </w:r>
          </w:p>
        </w:tc>
        <w:tc>
          <w:tcPr>
            <w:tcW w:w="1073" w:type="dxa"/>
            <w:vAlign w:val="center"/>
          </w:tcPr>
          <w:p w14:paraId="04E2AB09" w14:textId="0304E38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136049.93</w:t>
            </w:r>
          </w:p>
        </w:tc>
        <w:tc>
          <w:tcPr>
            <w:tcW w:w="1073" w:type="dxa"/>
            <w:vAlign w:val="center"/>
          </w:tcPr>
          <w:p w14:paraId="06C82D19" w14:textId="6D99DB3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146839.02</w:t>
            </w:r>
          </w:p>
        </w:tc>
        <w:tc>
          <w:tcPr>
            <w:tcW w:w="979" w:type="dxa"/>
            <w:vAlign w:val="center"/>
          </w:tcPr>
          <w:p w14:paraId="4876CDBB" w14:textId="427C45D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158550.86</w:t>
            </w:r>
          </w:p>
        </w:tc>
        <w:tc>
          <w:tcPr>
            <w:tcW w:w="979" w:type="dxa"/>
            <w:vAlign w:val="center"/>
          </w:tcPr>
          <w:p w14:paraId="10BF5AE0" w14:textId="348F5C8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171268.36</w:t>
            </w:r>
          </w:p>
        </w:tc>
        <w:tc>
          <w:tcPr>
            <w:tcW w:w="1056" w:type="dxa"/>
            <w:vAlign w:val="center"/>
          </w:tcPr>
          <w:p w14:paraId="180DF1FC" w14:textId="7ADDC60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738816.17</w:t>
            </w:r>
          </w:p>
        </w:tc>
      </w:tr>
      <w:tr w:rsidR="007A7DCE" w:rsidRPr="0078036E" w14:paraId="0BCDDA9F" w14:textId="77777777" w:rsidTr="0049031D">
        <w:trPr>
          <w:trHeight w:val="20"/>
          <w:jc w:val="center"/>
        </w:trPr>
        <w:tc>
          <w:tcPr>
            <w:tcW w:w="421" w:type="dxa"/>
            <w:vAlign w:val="center"/>
          </w:tcPr>
          <w:p w14:paraId="08E436B5" w14:textId="7348B377"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w:t>
            </w:r>
          </w:p>
        </w:tc>
        <w:tc>
          <w:tcPr>
            <w:tcW w:w="1391" w:type="dxa"/>
            <w:vAlign w:val="center"/>
          </w:tcPr>
          <w:p w14:paraId="36136E3C" w14:textId="4719D4CA"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Tamil Nadu</w:t>
            </w:r>
          </w:p>
        </w:tc>
        <w:tc>
          <w:tcPr>
            <w:tcW w:w="978" w:type="dxa"/>
            <w:vAlign w:val="center"/>
          </w:tcPr>
          <w:p w14:paraId="2278BB48" w14:textId="45052D43"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219825.92</w:t>
            </w:r>
          </w:p>
        </w:tc>
        <w:tc>
          <w:tcPr>
            <w:tcW w:w="976" w:type="dxa"/>
            <w:vAlign w:val="center"/>
          </w:tcPr>
          <w:p w14:paraId="0CB57793" w14:textId="72A6420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236223.91</w:t>
            </w:r>
          </w:p>
        </w:tc>
        <w:tc>
          <w:tcPr>
            <w:tcW w:w="1073" w:type="dxa"/>
            <w:vAlign w:val="center"/>
          </w:tcPr>
          <w:p w14:paraId="28B901A5" w14:textId="6DD6C2D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254005.8</w:t>
            </w:r>
            <w:r w:rsidR="009502F3">
              <w:rPr>
                <w:rFonts w:ascii="Times New Roman" w:eastAsia="Times New Roman" w:hAnsi="Times New Roman" w:cs="Times New Roman"/>
                <w:color w:val="000000"/>
                <w:kern w:val="0"/>
                <w:sz w:val="16"/>
                <w:szCs w:val="16"/>
                <w:lang w:eastAsia="en-IN" w:bidi="ar-SA"/>
                <w14:ligatures w14:val="none"/>
              </w:rPr>
              <w:t>0</w:t>
            </w:r>
          </w:p>
        </w:tc>
        <w:tc>
          <w:tcPr>
            <w:tcW w:w="1073" w:type="dxa"/>
            <w:vAlign w:val="center"/>
          </w:tcPr>
          <w:p w14:paraId="5C80D61B" w14:textId="20B86EF6"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273293.93</w:t>
            </w:r>
          </w:p>
        </w:tc>
        <w:tc>
          <w:tcPr>
            <w:tcW w:w="979" w:type="dxa"/>
            <w:vAlign w:val="center"/>
          </w:tcPr>
          <w:p w14:paraId="55A2A85E" w14:textId="5E859A9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294221.85</w:t>
            </w:r>
          </w:p>
        </w:tc>
        <w:tc>
          <w:tcPr>
            <w:tcW w:w="979" w:type="dxa"/>
            <w:vAlign w:val="center"/>
          </w:tcPr>
          <w:p w14:paraId="5C2200D4" w14:textId="4689BC0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316935.38</w:t>
            </w:r>
          </w:p>
        </w:tc>
        <w:tc>
          <w:tcPr>
            <w:tcW w:w="1056" w:type="dxa"/>
            <w:vAlign w:val="center"/>
          </w:tcPr>
          <w:p w14:paraId="1F86A753" w14:textId="5615B36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1374680.</w:t>
            </w:r>
            <w:r w:rsidR="0049031D">
              <w:rPr>
                <w:rFonts w:ascii="Times New Roman" w:eastAsia="Times New Roman" w:hAnsi="Times New Roman" w:cs="Times New Roman"/>
                <w:color w:val="000000"/>
                <w:kern w:val="0"/>
                <w:sz w:val="16"/>
                <w:szCs w:val="16"/>
                <w:lang w:eastAsia="en-IN" w:bidi="ar-SA"/>
                <w14:ligatures w14:val="none"/>
              </w:rPr>
              <w:t>87</w:t>
            </w:r>
          </w:p>
        </w:tc>
      </w:tr>
      <w:tr w:rsidR="007A7DCE" w:rsidRPr="0078036E" w14:paraId="61B03916" w14:textId="77777777" w:rsidTr="0049031D">
        <w:trPr>
          <w:trHeight w:val="20"/>
          <w:jc w:val="center"/>
        </w:trPr>
        <w:tc>
          <w:tcPr>
            <w:tcW w:w="421" w:type="dxa"/>
            <w:vAlign w:val="center"/>
          </w:tcPr>
          <w:p w14:paraId="7798DAC1" w14:textId="408AE756"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13</w:t>
            </w:r>
          </w:p>
        </w:tc>
        <w:tc>
          <w:tcPr>
            <w:tcW w:w="1391" w:type="dxa"/>
            <w:vAlign w:val="center"/>
          </w:tcPr>
          <w:p w14:paraId="3E0D134D" w14:textId="2BD99D7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Uttar Pradesh</w:t>
            </w:r>
          </w:p>
        </w:tc>
        <w:tc>
          <w:tcPr>
            <w:tcW w:w="978" w:type="dxa"/>
            <w:vAlign w:val="center"/>
          </w:tcPr>
          <w:p w14:paraId="16AA4E1D" w14:textId="66214D41"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335626.7</w:t>
            </w:r>
            <w:r w:rsidR="009502F3">
              <w:rPr>
                <w:rFonts w:ascii="Times New Roman" w:eastAsia="Times New Roman" w:hAnsi="Times New Roman" w:cs="Times New Roman"/>
                <w:color w:val="000000"/>
                <w:kern w:val="0"/>
                <w:sz w:val="16"/>
                <w:szCs w:val="16"/>
                <w:lang w:eastAsia="en-IN" w:bidi="ar-SA"/>
                <w14:ligatures w14:val="none"/>
              </w:rPr>
              <w:t>0</w:t>
            </w:r>
          </w:p>
        </w:tc>
        <w:tc>
          <w:tcPr>
            <w:tcW w:w="976" w:type="dxa"/>
            <w:vAlign w:val="center"/>
          </w:tcPr>
          <w:p w14:paraId="1E83598C" w14:textId="1A6D49E4"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361335.05</w:t>
            </w:r>
          </w:p>
        </w:tc>
        <w:tc>
          <w:tcPr>
            <w:tcW w:w="1073" w:type="dxa"/>
            <w:vAlign w:val="center"/>
          </w:tcPr>
          <w:p w14:paraId="300F0D60" w14:textId="6DB86F3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389182.65</w:t>
            </w:r>
          </w:p>
        </w:tc>
        <w:tc>
          <w:tcPr>
            <w:tcW w:w="1073" w:type="dxa"/>
            <w:vAlign w:val="center"/>
          </w:tcPr>
          <w:p w14:paraId="4C80FA95" w14:textId="578F847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419354.31</w:t>
            </w:r>
          </w:p>
        </w:tc>
        <w:tc>
          <w:tcPr>
            <w:tcW w:w="979" w:type="dxa"/>
            <w:vAlign w:val="center"/>
          </w:tcPr>
          <w:p w14:paraId="0B1A16C0" w14:textId="37D8DFC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452051.79</w:t>
            </w:r>
          </w:p>
        </w:tc>
        <w:tc>
          <w:tcPr>
            <w:tcW w:w="979" w:type="dxa"/>
            <w:vAlign w:val="center"/>
          </w:tcPr>
          <w:p w14:paraId="02E77774" w14:textId="160ECC3D"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487495.42</w:t>
            </w:r>
          </w:p>
        </w:tc>
        <w:tc>
          <w:tcPr>
            <w:tcW w:w="1056" w:type="dxa"/>
            <w:vAlign w:val="center"/>
          </w:tcPr>
          <w:p w14:paraId="04DE5D5C" w14:textId="758E37D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2109419.2</w:t>
            </w:r>
            <w:r w:rsidR="0049031D">
              <w:rPr>
                <w:rFonts w:ascii="Times New Roman" w:eastAsia="Times New Roman" w:hAnsi="Times New Roman" w:cs="Times New Roman"/>
                <w:color w:val="000000"/>
                <w:kern w:val="0"/>
                <w:sz w:val="16"/>
                <w:szCs w:val="16"/>
                <w:lang w:eastAsia="en-IN" w:bidi="ar-SA"/>
                <w14:ligatures w14:val="none"/>
              </w:rPr>
              <w:t>2</w:t>
            </w:r>
          </w:p>
        </w:tc>
      </w:tr>
      <w:tr w:rsidR="007A7DCE" w:rsidRPr="0078036E" w14:paraId="31929CC0" w14:textId="77777777" w:rsidTr="0049031D">
        <w:trPr>
          <w:trHeight w:val="20"/>
          <w:jc w:val="center"/>
        </w:trPr>
        <w:tc>
          <w:tcPr>
            <w:tcW w:w="421" w:type="dxa"/>
            <w:vAlign w:val="center"/>
          </w:tcPr>
          <w:p w14:paraId="73624D6A" w14:textId="60945062"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14</w:t>
            </w:r>
          </w:p>
        </w:tc>
        <w:tc>
          <w:tcPr>
            <w:tcW w:w="1391" w:type="dxa"/>
            <w:vAlign w:val="center"/>
          </w:tcPr>
          <w:p w14:paraId="1D40CD40" w14:textId="34DCA940"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West Bengal</w:t>
            </w:r>
          </w:p>
        </w:tc>
        <w:tc>
          <w:tcPr>
            <w:tcW w:w="978" w:type="dxa"/>
            <w:vAlign w:val="center"/>
          </w:tcPr>
          <w:p w14:paraId="5A0EDFE6" w14:textId="1055DA7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212484.36</w:t>
            </w:r>
          </w:p>
        </w:tc>
        <w:tc>
          <w:tcPr>
            <w:tcW w:w="976" w:type="dxa"/>
            <w:vAlign w:val="center"/>
          </w:tcPr>
          <w:p w14:paraId="07B0579F" w14:textId="48A9BA87"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225205.01</w:t>
            </w:r>
          </w:p>
        </w:tc>
        <w:tc>
          <w:tcPr>
            <w:tcW w:w="1073" w:type="dxa"/>
            <w:vAlign w:val="center"/>
          </w:tcPr>
          <w:p w14:paraId="131E12CE" w14:textId="32659D98"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239026.54</w:t>
            </w:r>
          </w:p>
        </w:tc>
        <w:tc>
          <w:tcPr>
            <w:tcW w:w="1073" w:type="dxa"/>
            <w:vAlign w:val="center"/>
          </w:tcPr>
          <w:p w14:paraId="03C42A7A" w14:textId="7F5B8DC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254038.85</w:t>
            </w:r>
          </w:p>
        </w:tc>
        <w:tc>
          <w:tcPr>
            <w:tcW w:w="979" w:type="dxa"/>
            <w:vAlign w:val="center"/>
          </w:tcPr>
          <w:p w14:paraId="179E424B" w14:textId="765C23E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270341.29</w:t>
            </w:r>
          </w:p>
        </w:tc>
        <w:tc>
          <w:tcPr>
            <w:tcW w:w="979" w:type="dxa"/>
            <w:vAlign w:val="center"/>
          </w:tcPr>
          <w:p w14:paraId="2D620506" w14:textId="47D934F2"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288043.45</w:t>
            </w:r>
          </w:p>
        </w:tc>
        <w:tc>
          <w:tcPr>
            <w:tcW w:w="1056" w:type="dxa"/>
            <w:vAlign w:val="center"/>
          </w:tcPr>
          <w:p w14:paraId="24677F7D" w14:textId="690B677E"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color w:val="000000"/>
                <w:kern w:val="0"/>
                <w:sz w:val="16"/>
                <w:szCs w:val="16"/>
                <w:lang w:eastAsia="en-IN" w:bidi="ar-SA"/>
                <w14:ligatures w14:val="none"/>
              </w:rPr>
              <w:t>1276655.</w:t>
            </w:r>
            <w:r w:rsidR="0049031D">
              <w:rPr>
                <w:rFonts w:ascii="Times New Roman" w:eastAsia="Times New Roman" w:hAnsi="Times New Roman" w:cs="Times New Roman"/>
                <w:color w:val="000000"/>
                <w:kern w:val="0"/>
                <w:sz w:val="16"/>
                <w:szCs w:val="16"/>
                <w:lang w:eastAsia="en-IN" w:bidi="ar-SA"/>
                <w14:ligatures w14:val="none"/>
              </w:rPr>
              <w:t>15</w:t>
            </w:r>
          </w:p>
        </w:tc>
      </w:tr>
      <w:tr w:rsidR="007A7DCE" w:rsidRPr="0078036E" w14:paraId="7125E8A8" w14:textId="77777777" w:rsidTr="0049031D">
        <w:trPr>
          <w:trHeight w:val="20"/>
          <w:jc w:val="center"/>
        </w:trPr>
        <w:tc>
          <w:tcPr>
            <w:tcW w:w="421" w:type="dxa"/>
            <w:vAlign w:val="center"/>
          </w:tcPr>
          <w:p w14:paraId="55A46046" w14:textId="565B5700"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14</w:t>
            </w:r>
          </w:p>
        </w:tc>
        <w:tc>
          <w:tcPr>
            <w:tcW w:w="1391" w:type="dxa"/>
            <w:vAlign w:val="center"/>
          </w:tcPr>
          <w:p w14:paraId="1E0E480E" w14:textId="092574B1" w:rsidR="007A7DCE" w:rsidRPr="007A7DCE" w:rsidRDefault="007A7DCE" w:rsidP="007A7DCE">
            <w:pP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Major States</w:t>
            </w:r>
          </w:p>
        </w:tc>
        <w:tc>
          <w:tcPr>
            <w:tcW w:w="978" w:type="dxa"/>
            <w:vAlign w:val="center"/>
          </w:tcPr>
          <w:p w14:paraId="24EF06C5" w14:textId="0F00D610"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2321533.</w:t>
            </w:r>
            <w:r w:rsidR="009502F3">
              <w:rPr>
                <w:rFonts w:ascii="Times New Roman" w:eastAsia="Times New Roman" w:hAnsi="Times New Roman" w:cs="Times New Roman"/>
                <w:b/>
                <w:bCs/>
                <w:color w:val="000000"/>
                <w:kern w:val="0"/>
                <w:sz w:val="16"/>
                <w:szCs w:val="16"/>
                <w:lang w:eastAsia="en-IN" w:bidi="ar-SA"/>
                <w14:ligatures w14:val="none"/>
              </w:rPr>
              <w:t>07</w:t>
            </w:r>
          </w:p>
        </w:tc>
        <w:tc>
          <w:tcPr>
            <w:tcW w:w="976" w:type="dxa"/>
            <w:vAlign w:val="center"/>
          </w:tcPr>
          <w:p w14:paraId="00E38A90" w14:textId="2E20CCBA"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2481200.5</w:t>
            </w:r>
            <w:r w:rsidR="009502F3">
              <w:rPr>
                <w:rFonts w:ascii="Times New Roman" w:eastAsia="Times New Roman" w:hAnsi="Times New Roman" w:cs="Times New Roman"/>
                <w:b/>
                <w:bCs/>
                <w:color w:val="000000"/>
                <w:kern w:val="0"/>
                <w:sz w:val="16"/>
                <w:szCs w:val="16"/>
                <w:lang w:eastAsia="en-IN" w:bidi="ar-SA"/>
                <w14:ligatures w14:val="none"/>
              </w:rPr>
              <w:t>3</w:t>
            </w:r>
          </w:p>
        </w:tc>
        <w:tc>
          <w:tcPr>
            <w:tcW w:w="1073" w:type="dxa"/>
            <w:vAlign w:val="center"/>
          </w:tcPr>
          <w:p w14:paraId="3447655E" w14:textId="2E83F68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2653717.</w:t>
            </w:r>
            <w:r w:rsidR="009502F3">
              <w:rPr>
                <w:rFonts w:ascii="Times New Roman" w:eastAsia="Times New Roman" w:hAnsi="Times New Roman" w:cs="Times New Roman"/>
                <w:b/>
                <w:bCs/>
                <w:color w:val="000000"/>
                <w:kern w:val="0"/>
                <w:sz w:val="16"/>
                <w:szCs w:val="16"/>
                <w:lang w:eastAsia="en-IN" w:bidi="ar-SA"/>
                <w14:ligatures w14:val="none"/>
              </w:rPr>
              <w:t>27</w:t>
            </w:r>
          </w:p>
        </w:tc>
        <w:tc>
          <w:tcPr>
            <w:tcW w:w="1073" w:type="dxa"/>
            <w:vAlign w:val="center"/>
          </w:tcPr>
          <w:p w14:paraId="3208A3B0" w14:textId="1795F45C"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2840188.1</w:t>
            </w:r>
            <w:r w:rsidR="009502F3">
              <w:rPr>
                <w:rFonts w:ascii="Times New Roman" w:eastAsia="Times New Roman" w:hAnsi="Times New Roman" w:cs="Times New Roman"/>
                <w:b/>
                <w:bCs/>
                <w:color w:val="000000"/>
                <w:kern w:val="0"/>
                <w:sz w:val="16"/>
                <w:szCs w:val="16"/>
                <w:lang w:eastAsia="en-IN" w:bidi="ar-SA"/>
                <w14:ligatures w14:val="none"/>
              </w:rPr>
              <w:t>0</w:t>
            </w:r>
          </w:p>
        </w:tc>
        <w:tc>
          <w:tcPr>
            <w:tcW w:w="979" w:type="dxa"/>
            <w:vAlign w:val="center"/>
          </w:tcPr>
          <w:p w14:paraId="107C626E" w14:textId="193C6879"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3041824.5</w:t>
            </w:r>
            <w:r w:rsidR="009502F3">
              <w:rPr>
                <w:rFonts w:ascii="Times New Roman" w:eastAsia="Times New Roman" w:hAnsi="Times New Roman" w:cs="Times New Roman"/>
                <w:b/>
                <w:bCs/>
                <w:color w:val="000000"/>
                <w:kern w:val="0"/>
                <w:sz w:val="16"/>
                <w:szCs w:val="16"/>
                <w:lang w:eastAsia="en-IN" w:bidi="ar-SA"/>
                <w14:ligatures w14:val="none"/>
              </w:rPr>
              <w:t>0</w:t>
            </w:r>
          </w:p>
        </w:tc>
        <w:tc>
          <w:tcPr>
            <w:tcW w:w="979" w:type="dxa"/>
            <w:vAlign w:val="center"/>
          </w:tcPr>
          <w:p w14:paraId="0ED8DCBC" w14:textId="7D8A3B6B"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3259956.</w:t>
            </w:r>
            <w:r w:rsidR="009502F3">
              <w:rPr>
                <w:rFonts w:ascii="Times New Roman" w:eastAsia="Times New Roman" w:hAnsi="Times New Roman" w:cs="Times New Roman"/>
                <w:b/>
                <w:bCs/>
                <w:color w:val="000000"/>
                <w:kern w:val="0"/>
                <w:sz w:val="16"/>
                <w:szCs w:val="16"/>
                <w:lang w:eastAsia="en-IN" w:bidi="ar-SA"/>
                <w14:ligatures w14:val="none"/>
              </w:rPr>
              <w:t>09</w:t>
            </w:r>
          </w:p>
        </w:tc>
        <w:tc>
          <w:tcPr>
            <w:tcW w:w="1056" w:type="dxa"/>
            <w:vAlign w:val="center"/>
          </w:tcPr>
          <w:p w14:paraId="3098CE0F" w14:textId="6939673F" w:rsidR="007A7DCE" w:rsidRPr="007A7DCE" w:rsidRDefault="007A7DCE" w:rsidP="007A7DCE">
            <w:pPr>
              <w:jc w:val="center"/>
              <w:rPr>
                <w:rFonts w:ascii="Times New Roman" w:eastAsia="Times New Roman" w:hAnsi="Times New Roman" w:cs="Times New Roman"/>
                <w:color w:val="000000"/>
                <w:kern w:val="0"/>
                <w:sz w:val="16"/>
                <w:szCs w:val="16"/>
                <w:lang w:eastAsia="en-IN" w:bidi="ar-SA"/>
                <w14:ligatures w14:val="none"/>
              </w:rPr>
            </w:pPr>
            <w:r w:rsidRPr="007A7DCE">
              <w:rPr>
                <w:rFonts w:ascii="Times New Roman" w:eastAsia="Times New Roman" w:hAnsi="Times New Roman" w:cs="Times New Roman"/>
                <w:b/>
                <w:bCs/>
                <w:color w:val="000000"/>
                <w:kern w:val="0"/>
                <w:sz w:val="16"/>
                <w:szCs w:val="16"/>
                <w:lang w:eastAsia="en-IN" w:bidi="ar-SA"/>
                <w14:ligatures w14:val="none"/>
              </w:rPr>
              <w:t>1427688</w:t>
            </w:r>
            <w:r w:rsidR="0049031D">
              <w:rPr>
                <w:rFonts w:ascii="Times New Roman" w:eastAsia="Times New Roman" w:hAnsi="Times New Roman" w:cs="Times New Roman"/>
                <w:b/>
                <w:bCs/>
                <w:color w:val="000000"/>
                <w:kern w:val="0"/>
                <w:sz w:val="16"/>
                <w:szCs w:val="16"/>
                <w:lang w:eastAsia="en-IN" w:bidi="ar-SA"/>
                <w14:ligatures w14:val="none"/>
              </w:rPr>
              <w:t>6.52</w:t>
            </w:r>
          </w:p>
        </w:tc>
      </w:tr>
      <w:tr w:rsidR="007A7DCE" w:rsidRPr="0078036E" w14:paraId="1E3D328E" w14:textId="77777777" w:rsidTr="002323BC">
        <w:trPr>
          <w:trHeight w:val="20"/>
          <w:jc w:val="center"/>
        </w:trPr>
        <w:tc>
          <w:tcPr>
            <w:tcW w:w="8926" w:type="dxa"/>
            <w:gridSpan w:val="9"/>
            <w:vAlign w:val="center"/>
          </w:tcPr>
          <w:p w14:paraId="63B7D397" w14:textId="26059D8B" w:rsidR="007A7DCE" w:rsidRPr="007A7DCE" w:rsidRDefault="007A7DCE" w:rsidP="007A7DCE">
            <w:pPr>
              <w:rPr>
                <w:rFonts w:ascii="Times New Roman" w:hAnsi="Times New Roman" w:cs="Times New Roman"/>
                <w:sz w:val="14"/>
                <w:szCs w:val="14"/>
              </w:rPr>
            </w:pPr>
            <w:r w:rsidRPr="007A7DCE">
              <w:rPr>
                <w:rFonts w:ascii="Times New Roman" w:hAnsi="Times New Roman" w:cs="Times New Roman"/>
                <w:sz w:val="16"/>
                <w:szCs w:val="16"/>
              </w:rPr>
              <w:t>Note: "Provision for Salary Revision made in "Expenditure on Selected Services" only.”</w:t>
            </w:r>
          </w:p>
        </w:tc>
      </w:tr>
    </w:tbl>
    <w:p w14:paraId="00C15483" w14:textId="6A9FFC51" w:rsidR="00294D85" w:rsidRPr="00BB6DC9" w:rsidRDefault="00294D85" w:rsidP="00DF6987">
      <w:pPr>
        <w:rPr>
          <w:rFonts w:ascii="Times New Roman" w:hAnsi="Times New Roman" w:cs="Times New Roman"/>
          <w:b/>
          <w:bCs/>
          <w:sz w:val="20"/>
          <w:szCs w:val="20"/>
        </w:rPr>
      </w:pPr>
    </w:p>
    <w:p w14:paraId="0144DAF1" w14:textId="34E6A0C1" w:rsidR="00294D85" w:rsidRPr="00AA6AF4" w:rsidRDefault="00294D85" w:rsidP="00DF6987">
      <w:pPr>
        <w:rPr>
          <w:rFonts w:ascii="Times New Roman" w:hAnsi="Times New Roman" w:cs="Times New Roman"/>
          <w:b/>
          <w:bCs/>
          <w:szCs w:val="24"/>
        </w:rPr>
      </w:pPr>
    </w:p>
    <w:p w14:paraId="407761D5" w14:textId="68E2399C" w:rsidR="00294D85" w:rsidRPr="00BB6DC9" w:rsidRDefault="00294D85" w:rsidP="00DF6987">
      <w:pPr>
        <w:rPr>
          <w:rFonts w:ascii="Times New Roman" w:hAnsi="Times New Roman" w:cs="Times New Roman"/>
          <w:b/>
          <w:bCs/>
          <w:sz w:val="20"/>
          <w:szCs w:val="20"/>
        </w:rPr>
      </w:pPr>
    </w:p>
    <w:p w14:paraId="3CF044A5" w14:textId="720BEF2B" w:rsidR="00294D85" w:rsidRPr="00BB6DC9" w:rsidRDefault="00294D85" w:rsidP="00DF6987">
      <w:pPr>
        <w:rPr>
          <w:rFonts w:ascii="Times New Roman" w:hAnsi="Times New Roman" w:cs="Times New Roman"/>
          <w:b/>
          <w:bCs/>
          <w:sz w:val="20"/>
          <w:szCs w:val="20"/>
        </w:rPr>
      </w:pPr>
    </w:p>
    <w:p w14:paraId="654E0568" w14:textId="04242241" w:rsidR="00294D85" w:rsidRPr="00BB6DC9" w:rsidRDefault="00294D85" w:rsidP="00DF6987">
      <w:pPr>
        <w:rPr>
          <w:rFonts w:ascii="Times New Roman" w:hAnsi="Times New Roman" w:cs="Times New Roman"/>
          <w:b/>
          <w:bCs/>
          <w:sz w:val="20"/>
          <w:szCs w:val="20"/>
        </w:rPr>
      </w:pPr>
    </w:p>
    <w:p w14:paraId="0003CFFD" w14:textId="184A4785" w:rsidR="00294D85" w:rsidRPr="00DF6987" w:rsidRDefault="00294D85" w:rsidP="00DF6987">
      <w:pPr>
        <w:spacing w:after="0"/>
        <w:rPr>
          <w:rFonts w:ascii="Times New Roman" w:hAnsi="Times New Roman" w:cs="Times New Roman"/>
          <w:b/>
          <w:bCs/>
          <w:sz w:val="20"/>
          <w:szCs w:val="20"/>
        </w:rPr>
      </w:pPr>
    </w:p>
    <w:p w14:paraId="619DC1CB" w14:textId="7E330AEA" w:rsidR="00294D85" w:rsidRPr="00DF6987" w:rsidRDefault="00294D85" w:rsidP="00DF6987">
      <w:pPr>
        <w:rPr>
          <w:rFonts w:ascii="Times New Roman" w:hAnsi="Times New Roman" w:cs="Times New Roman"/>
          <w:b/>
          <w:bCs/>
          <w:sz w:val="20"/>
          <w:szCs w:val="20"/>
        </w:rPr>
      </w:pPr>
    </w:p>
    <w:p w14:paraId="5C0DD082" w14:textId="126E76E4" w:rsidR="009C3698" w:rsidRPr="00AA6AF4" w:rsidRDefault="009C3698" w:rsidP="00DF6987">
      <w:pPr>
        <w:rPr>
          <w:rFonts w:ascii="Times New Roman" w:hAnsi="Times New Roman" w:cs="Times New Roman"/>
        </w:rPr>
      </w:pPr>
      <w:r w:rsidRPr="00AA6AF4">
        <w:rPr>
          <w:rFonts w:ascii="Times New Roman" w:hAnsi="Times New Roman" w:cs="Times New Roman"/>
        </w:rPr>
        <w:br w:type="page"/>
      </w:r>
    </w:p>
    <w:p w14:paraId="11CFE192" w14:textId="04A7C64F" w:rsidR="009C3698" w:rsidRPr="00AA6AF4" w:rsidRDefault="00064A1C" w:rsidP="007A7DCE">
      <w:pPr>
        <w:pStyle w:val="Heading5"/>
      </w:pPr>
      <w:r>
        <w:lastRenderedPageBreak/>
        <w:br/>
      </w:r>
      <w:bookmarkStart w:id="141" w:name="_Toc222399519"/>
      <w:r w:rsidR="00DE763A">
        <w:t xml:space="preserve">A </w:t>
      </w:r>
      <w:r w:rsidR="009C3698" w:rsidRPr="00AA6AF4">
        <w:t>NOTE ON SOURCES OF AND METHOD OF ADJUSTMENT IN THE DATA</w:t>
      </w:r>
      <w:bookmarkEnd w:id="141"/>
    </w:p>
    <w:p w14:paraId="6F0D599B" w14:textId="34545611" w:rsidR="009C3698" w:rsidRPr="00AA6AF4" w:rsidRDefault="009C3698" w:rsidP="00150BB7">
      <w:pPr>
        <w:pStyle w:val="Heading6"/>
        <w:keepNext w:val="0"/>
        <w:keepLines w:val="0"/>
        <w:ind w:left="0" w:firstLine="284"/>
      </w:pPr>
      <w:r w:rsidRPr="00AA6AF4">
        <w:t>An important pre-requisite for making normative assessment of expenditure and tax revenues of the State Governments is the availability of detailed data on various determinants. In the case of tax revenues, disaggregated data are required on the various tax base proxies in different States. Similarly, in the case of expenditures, information on various quantity and cost factors affecting the States' expenditures are needed.</w:t>
      </w:r>
    </w:p>
    <w:p w14:paraId="6E3378A8" w14:textId="76012378" w:rsidR="009C3698" w:rsidRPr="00AA6AF4" w:rsidRDefault="009C3698" w:rsidP="00150BB7">
      <w:pPr>
        <w:pStyle w:val="Heading6"/>
        <w:keepNext w:val="0"/>
        <w:keepLines w:val="0"/>
        <w:ind w:left="0" w:firstLine="284"/>
      </w:pPr>
      <w:r w:rsidRPr="00AA6AF4">
        <w:t xml:space="preserve">Unfortunately, for many of the </w:t>
      </w:r>
      <w:proofErr w:type="gramStart"/>
      <w:r w:rsidRPr="00AA6AF4">
        <w:t>determinants</w:t>
      </w:r>
      <w:proofErr w:type="gramEnd"/>
      <w:r w:rsidRPr="00AA6AF4">
        <w:t>, detailed data are not available on a comparable basis for all the State Governments. In such cases, we had to be satisfied with proxies. Within the time available to us, we assembled considerable information on various factors affecting the tax revenues and expenditures of the States. In this note, we broadly indicate the adjustments that have been made in the data in respect of some important variables used in our analysis.</w:t>
      </w:r>
    </w:p>
    <w:p w14:paraId="47A8ADDB" w14:textId="77777777" w:rsidR="009C3698" w:rsidRPr="00DF6987" w:rsidRDefault="009C3698" w:rsidP="007A7DCE">
      <w:pPr>
        <w:spacing w:after="0"/>
        <w:jc w:val="center"/>
        <w:rPr>
          <w:rFonts w:ascii="Times New Roman" w:hAnsi="Times New Roman" w:cs="Times New Roman"/>
          <w:sz w:val="20"/>
          <w:szCs w:val="20"/>
        </w:rPr>
      </w:pPr>
      <w:r w:rsidRPr="00DF6987">
        <w:rPr>
          <w:rFonts w:ascii="Times New Roman" w:hAnsi="Times New Roman" w:cs="Times New Roman"/>
          <w:b/>
          <w:bCs/>
          <w:sz w:val="20"/>
          <w:szCs w:val="20"/>
        </w:rPr>
        <w:t xml:space="preserve">Adjustment In </w:t>
      </w:r>
      <w:proofErr w:type="gramStart"/>
      <w:r w:rsidRPr="00DF6987">
        <w:rPr>
          <w:rFonts w:ascii="Times New Roman" w:hAnsi="Times New Roman" w:cs="Times New Roman"/>
          <w:b/>
          <w:bCs/>
          <w:sz w:val="20"/>
          <w:szCs w:val="20"/>
        </w:rPr>
        <w:t>The</w:t>
      </w:r>
      <w:proofErr w:type="gramEnd"/>
      <w:r w:rsidRPr="00DF6987">
        <w:rPr>
          <w:rFonts w:ascii="Times New Roman" w:hAnsi="Times New Roman" w:cs="Times New Roman"/>
          <w:b/>
          <w:bCs/>
          <w:sz w:val="20"/>
          <w:szCs w:val="20"/>
        </w:rPr>
        <w:t xml:space="preserve"> Data </w:t>
      </w:r>
      <w:proofErr w:type="gramStart"/>
      <w:r w:rsidRPr="00DF6987">
        <w:rPr>
          <w:rFonts w:ascii="Times New Roman" w:hAnsi="Times New Roman" w:cs="Times New Roman"/>
          <w:b/>
          <w:bCs/>
          <w:sz w:val="20"/>
          <w:szCs w:val="20"/>
        </w:rPr>
        <w:t>On</w:t>
      </w:r>
      <w:proofErr w:type="gramEnd"/>
      <w:r w:rsidRPr="00DF6987">
        <w:rPr>
          <w:rFonts w:ascii="Times New Roman" w:hAnsi="Times New Roman" w:cs="Times New Roman"/>
          <w:b/>
          <w:bCs/>
          <w:sz w:val="20"/>
          <w:szCs w:val="20"/>
        </w:rPr>
        <w:t xml:space="preserve"> Tax Revenues </w:t>
      </w:r>
      <w:proofErr w:type="gramStart"/>
      <w:r w:rsidRPr="00DF6987">
        <w:rPr>
          <w:rFonts w:ascii="Times New Roman" w:hAnsi="Times New Roman" w:cs="Times New Roman"/>
          <w:b/>
          <w:bCs/>
          <w:sz w:val="20"/>
          <w:szCs w:val="20"/>
        </w:rPr>
        <w:t>And</w:t>
      </w:r>
      <w:proofErr w:type="gramEnd"/>
      <w:r w:rsidRPr="00DF6987">
        <w:rPr>
          <w:rFonts w:ascii="Times New Roman" w:hAnsi="Times New Roman" w:cs="Times New Roman"/>
          <w:b/>
          <w:bCs/>
          <w:sz w:val="20"/>
          <w:szCs w:val="20"/>
        </w:rPr>
        <w:t xml:space="preserve"> Non-Plan Revenue </w:t>
      </w:r>
      <w:proofErr w:type="gramStart"/>
      <w:r w:rsidRPr="00DF6987">
        <w:rPr>
          <w:rFonts w:ascii="Times New Roman" w:hAnsi="Times New Roman" w:cs="Times New Roman"/>
          <w:b/>
          <w:bCs/>
          <w:sz w:val="20"/>
          <w:szCs w:val="20"/>
        </w:rPr>
        <w:t>Expenditures :</w:t>
      </w:r>
      <w:proofErr w:type="gramEnd"/>
    </w:p>
    <w:p w14:paraId="6CA7AD30" w14:textId="1B8F4C31" w:rsidR="00DF6987" w:rsidRDefault="009C3698" w:rsidP="00150BB7">
      <w:pPr>
        <w:pStyle w:val="Heading6"/>
        <w:keepNext w:val="0"/>
        <w:keepLines w:val="0"/>
        <w:ind w:left="0" w:firstLine="284"/>
        <w:rPr>
          <w:szCs w:val="24"/>
        </w:rPr>
      </w:pPr>
      <w:r w:rsidRPr="00DF6987">
        <w:rPr>
          <w:rStyle w:val="Heading6Char"/>
        </w:rPr>
        <w:t xml:space="preserve">The first step in the tax and expenditure analysis is to put the data on a comparable basis both overtime and across the States. The non-uniformity in the presentation of the budgets among the States necessitates a proper reclassification to render them comparable. While reclassifying, we have taken care to exclude expenditures on account of contributions to various funds, but included the expenditures met out of such funds. Further, "Appropriation for Reduction or </w:t>
      </w:r>
      <w:proofErr w:type="spellStart"/>
      <w:r w:rsidRPr="00DF6987">
        <w:rPr>
          <w:rStyle w:val="Heading6Char"/>
        </w:rPr>
        <w:t>Advoidance</w:t>
      </w:r>
      <w:proofErr w:type="spellEnd"/>
      <w:r w:rsidRPr="00DF6987">
        <w:rPr>
          <w:rStyle w:val="Heading6Char"/>
        </w:rPr>
        <w:t xml:space="preserve"> of Debt" which is essentially a contribution to the Sinking Fund has been excluded as this contribution is not made out of the surplus in the revenue account nor is it systematic and uniform across the States. On the side of tax revenues, Electricity Duty has been excluded as it is taken into account while estimating the normative returns from Electricity Boards. The cess on Mines included under Land Revenue in some States has been transferred to non-tax revenues for the sake of uniformity in presentation</w:t>
      </w:r>
      <w:r w:rsidRPr="00AA6AF4">
        <w:rPr>
          <w:szCs w:val="24"/>
        </w:rPr>
        <w:t>.</w:t>
      </w:r>
    </w:p>
    <w:p w14:paraId="20EA86F8" w14:textId="1E062434" w:rsidR="009C3698" w:rsidRPr="00DF6987" w:rsidRDefault="009C3698" w:rsidP="007A7DCE">
      <w:pPr>
        <w:spacing w:after="0"/>
        <w:ind w:firstLine="284"/>
        <w:jc w:val="center"/>
        <w:rPr>
          <w:rFonts w:ascii="Times New Roman" w:hAnsi="Times New Roman" w:cs="Times New Roman"/>
          <w:sz w:val="20"/>
          <w:szCs w:val="20"/>
        </w:rPr>
      </w:pPr>
      <w:r w:rsidRPr="00DF6987">
        <w:rPr>
          <w:rFonts w:ascii="Times New Roman" w:hAnsi="Times New Roman" w:cs="Times New Roman"/>
          <w:b/>
          <w:bCs/>
          <w:sz w:val="20"/>
          <w:szCs w:val="20"/>
        </w:rPr>
        <w:t xml:space="preserve">Adjustment In </w:t>
      </w:r>
      <w:proofErr w:type="gramStart"/>
      <w:r w:rsidRPr="00DF6987">
        <w:rPr>
          <w:rFonts w:ascii="Times New Roman" w:hAnsi="Times New Roman" w:cs="Times New Roman"/>
          <w:b/>
          <w:bCs/>
          <w:sz w:val="20"/>
          <w:szCs w:val="20"/>
        </w:rPr>
        <w:t>The</w:t>
      </w:r>
      <w:proofErr w:type="gramEnd"/>
      <w:r w:rsidRPr="00DF6987">
        <w:rPr>
          <w:rFonts w:ascii="Times New Roman" w:hAnsi="Times New Roman" w:cs="Times New Roman"/>
          <w:b/>
          <w:bCs/>
          <w:sz w:val="20"/>
          <w:szCs w:val="20"/>
        </w:rPr>
        <w:t xml:space="preserve"> Data </w:t>
      </w:r>
      <w:proofErr w:type="gramStart"/>
      <w:r w:rsidRPr="00DF6987">
        <w:rPr>
          <w:rFonts w:ascii="Times New Roman" w:hAnsi="Times New Roman" w:cs="Times New Roman"/>
          <w:b/>
          <w:bCs/>
          <w:sz w:val="20"/>
          <w:szCs w:val="20"/>
        </w:rPr>
        <w:t>On</w:t>
      </w:r>
      <w:proofErr w:type="gramEnd"/>
      <w:r w:rsidRPr="00DF6987">
        <w:rPr>
          <w:rFonts w:ascii="Times New Roman" w:hAnsi="Times New Roman" w:cs="Times New Roman"/>
          <w:b/>
          <w:bCs/>
          <w:sz w:val="20"/>
          <w:szCs w:val="20"/>
        </w:rPr>
        <w:t xml:space="preserve"> Explanatory Variables:</w:t>
      </w:r>
    </w:p>
    <w:p w14:paraId="6048A066" w14:textId="47BA1337" w:rsidR="009C3698" w:rsidRPr="007A7DCE" w:rsidRDefault="009C3698">
      <w:pPr>
        <w:pStyle w:val="ListParagraph"/>
        <w:numPr>
          <w:ilvl w:val="0"/>
          <w:numId w:val="52"/>
        </w:numPr>
        <w:spacing w:after="0"/>
        <w:jc w:val="both"/>
        <w:rPr>
          <w:rFonts w:ascii="Times New Roman" w:hAnsi="Times New Roman" w:cs="Times New Roman"/>
          <w:sz w:val="18"/>
          <w:szCs w:val="18"/>
        </w:rPr>
      </w:pPr>
      <w:r w:rsidRPr="007A7DCE">
        <w:rPr>
          <w:rFonts w:ascii="Times New Roman" w:hAnsi="Times New Roman" w:cs="Times New Roman"/>
          <w:b/>
          <w:bCs/>
          <w:sz w:val="18"/>
          <w:szCs w:val="18"/>
        </w:rPr>
        <w:t>Population And Its Various Components.</w:t>
      </w:r>
    </w:p>
    <w:p w14:paraId="5D3E4DC2" w14:textId="51027A41" w:rsidR="009C3698" w:rsidRPr="00AA6AF4" w:rsidRDefault="009C3698" w:rsidP="00150BB7">
      <w:pPr>
        <w:pStyle w:val="Heading6"/>
        <w:keepNext w:val="0"/>
        <w:keepLines w:val="0"/>
        <w:ind w:left="0" w:firstLine="284"/>
      </w:pPr>
      <w:r w:rsidRPr="00AA6AF4">
        <w:t>The latest detailed population data from the Census are available for 1981. For the subsequent years, we have taken the projections made in the "Report of the Expert Committee on Population Projections" published by the Office of the Registrar General, Ministry of Home Affairs, Government of India. These data pertain to 1st October of each year. The estimates of urban/rural population also are available in this source from 1981, but only quinquennially. For the intervening years, we have worked out the estimates on the basis of the compound growth rates and adjusted them appropriately to get the mid-year estimates. Age-wise distribution of population among the States, however, is not available in the above publication. We have, therefore, worked out the estimates for the relevant years on the basis of the data available from the Censuses of 1971 and 1981, using State-specific compound rates of growth.</w:t>
      </w:r>
    </w:p>
    <w:p w14:paraId="3A39EA1D" w14:textId="73F5F766" w:rsidR="009C3698" w:rsidRPr="00DF6987" w:rsidRDefault="009C3698" w:rsidP="00150BB7">
      <w:pPr>
        <w:pStyle w:val="Heading6"/>
        <w:keepNext w:val="0"/>
        <w:keepLines w:val="0"/>
        <w:ind w:left="0" w:firstLine="284"/>
      </w:pPr>
      <w:r w:rsidRPr="00DF6987">
        <w:t>Another important variable used in the analysis is the proportion of population in hill/desert areas in different States. Hill area population figures are available both in the Sixth Five Year Plan document (page 414) and the Seventh Five Year Plan document (Volume II, page 339). The list of hill areas identified by the Planning Commission as per 1981 Census is also given in the latter publication. Our analysis showed that the hill areas so identified are slightly larger than the areas identified according to the 1971 Census, particularly in the Western Ghats region. We have computed the compound rate of growth of population in hill areas commonly identified according to 1971 and 1981 Censuses and applied them to the hill area population figures in 1981 to arrive at the estimates of the variable for the period 1981 to 1987. Similarly, population in desert areas has been identified on the basis of the list of districts under the Desert Development Programme given in the Seventh Five Year Plan document (page 350). By applying the rate of growth of population in the State, estimate of desert population has been made for the years 1981 to 1987.</w:t>
      </w:r>
    </w:p>
    <w:p w14:paraId="5AD71DD2" w14:textId="3A244EF0" w:rsidR="009C3698" w:rsidRPr="00DF6987" w:rsidRDefault="009C3698">
      <w:pPr>
        <w:pStyle w:val="ListParagraph"/>
        <w:numPr>
          <w:ilvl w:val="0"/>
          <w:numId w:val="52"/>
        </w:numPr>
        <w:spacing w:after="0"/>
        <w:jc w:val="both"/>
        <w:rPr>
          <w:rFonts w:ascii="Times New Roman" w:hAnsi="Times New Roman" w:cs="Times New Roman"/>
          <w:sz w:val="18"/>
          <w:szCs w:val="18"/>
        </w:rPr>
      </w:pPr>
      <w:r w:rsidRPr="00DF6987">
        <w:rPr>
          <w:rFonts w:ascii="Times New Roman" w:hAnsi="Times New Roman" w:cs="Times New Roman"/>
          <w:b/>
          <w:bCs/>
          <w:sz w:val="18"/>
          <w:szCs w:val="18"/>
        </w:rPr>
        <w:t>Computation of Inter-State Price Index:</w:t>
      </w:r>
    </w:p>
    <w:p w14:paraId="099FDF7A" w14:textId="3ECA23C2" w:rsidR="009C3698" w:rsidRPr="00DF6987" w:rsidRDefault="009C3698" w:rsidP="00150BB7">
      <w:pPr>
        <w:pStyle w:val="Heading6"/>
        <w:keepNext w:val="0"/>
        <w:keepLines w:val="0"/>
        <w:ind w:left="0" w:firstLine="284"/>
      </w:pPr>
      <w:r w:rsidRPr="00DF6987">
        <w:t>Conceptually, to estimate the differences in the cost of providing public services on account of price differences, it is necessary to construct a suitable index of price differences across the States. This would, however, require detailed information on the commodity composition of government purchases and the prices of the commodities in different States. Unfortunately, such data are not available and the index of price differences across the States relevant to deflate government spending cannot be estimated with the existing data base.</w:t>
      </w:r>
    </w:p>
    <w:p w14:paraId="554D0B29" w14:textId="1E4457E6" w:rsidR="009C3698" w:rsidRPr="00DF6987" w:rsidRDefault="009C3698" w:rsidP="00150BB7">
      <w:pPr>
        <w:pStyle w:val="Heading6"/>
        <w:keepNext w:val="0"/>
        <w:keepLines w:val="0"/>
        <w:ind w:left="0" w:firstLine="284"/>
      </w:pPr>
      <w:r w:rsidRPr="00DF6987">
        <w:t>However, one can take a broad view that, although the weighting pattern is different, differences in the general price level relevant for the urban areas can be taken as a proxy for the differences in the government expenditure deflator. However, in respect of neither the wholesale prices nor the consumer prices, do we have an index showing the differences in the price levels across the States. The consumer price index for industrial workers computed for 70 centres only gives us the information on the differential growth of prices taking 1982 as the base year. But it does not indicate the differences in the price levels prevailing in these regions at any given time. In other words, the price indices that are available for different centres or those aggregated for the States only show the relative change in prices overtime, but do not indicate the absolute difference in prices across these regions.</w:t>
      </w:r>
    </w:p>
    <w:p w14:paraId="07B1F472" w14:textId="3F2D8C78" w:rsidR="009C3698" w:rsidRPr="00DF6987" w:rsidRDefault="009C3698" w:rsidP="00150BB7">
      <w:pPr>
        <w:pStyle w:val="Heading6"/>
        <w:keepNext w:val="0"/>
        <w:keepLines w:val="0"/>
        <w:ind w:left="0" w:firstLine="284"/>
      </w:pPr>
      <w:r w:rsidRPr="00DF6987">
        <w:t xml:space="preserve">In order to take account of the cost disabilities of providing public services arising from price differences, we have made an attempt at constructing an inter-State price index for a fixed consumption basket for a point in time. The inter-State price index computed by us is based on the data collected by the Labour Bureau for constructing the Consumer Price Index (CPI) for industrial workers (new series). The basic data drawn from a survey conducted by the Labour Bureau gives average annual prices for about 300 commodities in 70 centres for the year 1982. The Items cover the following </w:t>
      </w:r>
      <w:proofErr w:type="gramStart"/>
      <w:r w:rsidRPr="00DF6987">
        <w:t>groups :</w:t>
      </w:r>
      <w:proofErr w:type="gramEnd"/>
      <w:r w:rsidRPr="00DF6987">
        <w:t xml:space="preserve"> (</w:t>
      </w:r>
      <w:proofErr w:type="spellStart"/>
      <w:r w:rsidRPr="00DF6987">
        <w:t>i</w:t>
      </w:r>
      <w:proofErr w:type="spellEnd"/>
      <w:r w:rsidRPr="00DF6987">
        <w:t>) food, (ii) pan, supari, tobacco and intoxicants, (iii) fuel and light, (iv) clothing, bedding and footwear, and (v) miscellaneous, which covers medical care, education, recreation and amusement, transport and communication, personal care and effects and other items. The Labour Bureau also has all-India item-wise weights (provisional) which we have used to represent a fixed consumption basket for all the regions.</w:t>
      </w:r>
    </w:p>
    <w:p w14:paraId="50FB7701" w14:textId="334FD391" w:rsidR="009C3698" w:rsidRPr="00DF6987" w:rsidRDefault="009C3698" w:rsidP="00150BB7">
      <w:pPr>
        <w:pStyle w:val="Heading6"/>
        <w:keepNext w:val="0"/>
        <w:keepLines w:val="0"/>
        <w:ind w:left="0" w:firstLine="284"/>
      </w:pPr>
      <w:r w:rsidRPr="00DF6987">
        <w:t xml:space="preserve">The index number of consumer prices in various centres according to the new time series, however, are available to us only for 1983 and 1985. For 1984, the indices have not been compiled for the new series and the 1986 and 1987 indices were not provided to us as they were </w:t>
      </w:r>
      <w:r w:rsidRPr="00DF6987">
        <w:lastRenderedPageBreak/>
        <w:t>being used to derive the link factors with the old (1960) series and might undergo some revisions. The percentage changes in the old series are,</w:t>
      </w:r>
      <w:r w:rsidR="00A474DC" w:rsidRPr="00DF6987">
        <w:t xml:space="preserve"> </w:t>
      </w:r>
      <w:r w:rsidRPr="00DF6987">
        <w:t>therefore, used for those years for which the new series are not</w:t>
      </w:r>
      <w:r w:rsidR="00A474DC" w:rsidRPr="00DF6987">
        <w:t xml:space="preserve"> </w:t>
      </w:r>
      <w:r w:rsidRPr="00DF6987">
        <w:t>available.</w:t>
      </w:r>
    </w:p>
    <w:p w14:paraId="5A11470A" w14:textId="670E043B" w:rsidR="009C3698" w:rsidRPr="00DF6987" w:rsidRDefault="009C3698" w:rsidP="00150BB7">
      <w:pPr>
        <w:pStyle w:val="Heading6"/>
        <w:keepNext w:val="0"/>
        <w:keepLines w:val="0"/>
        <w:ind w:left="0" w:firstLine="284"/>
      </w:pPr>
      <w:r w:rsidRPr="00DF6987">
        <w:t>In attempting to compare prices across regions, some</w:t>
      </w:r>
      <w:r w:rsidR="00A474DC" w:rsidRPr="00DF6987">
        <w:t xml:space="preserve"> </w:t>
      </w:r>
      <w:r w:rsidRPr="00DF6987">
        <w:t>important qualifications should be borne in mind. First, there are</w:t>
      </w:r>
      <w:r w:rsidR="00A474DC" w:rsidRPr="00DF6987">
        <w:t xml:space="preserve"> </w:t>
      </w:r>
      <w:r w:rsidRPr="00DF6987">
        <w:t>differences in the variety and quality of commodities across</w:t>
      </w:r>
      <w:r w:rsidR="00A474DC" w:rsidRPr="00DF6987">
        <w:t xml:space="preserve"> </w:t>
      </w:r>
      <w:r w:rsidRPr="00DF6987">
        <w:t>different centres/States. In respect of some goods, this problem</w:t>
      </w:r>
      <w:r w:rsidR="00DF6987">
        <w:t xml:space="preserve"> </w:t>
      </w:r>
      <w:r w:rsidRPr="00DF6987">
        <w:t>prevails even across different markets in the same centre. In such</w:t>
      </w:r>
      <w:r w:rsidR="00A474DC" w:rsidRPr="00DF6987">
        <w:t xml:space="preserve"> </w:t>
      </w:r>
      <w:r w:rsidRPr="00DF6987">
        <w:t>cases, the Labour Bureau does not work out a base year average</w:t>
      </w:r>
      <w:r w:rsidR="00A474DC" w:rsidRPr="00DF6987">
        <w:t xml:space="preserve"> </w:t>
      </w:r>
      <w:r w:rsidRPr="00DF6987">
        <w:t>price, but rather constructs price relatives</w:t>
      </w:r>
      <w:r w:rsidR="00DF6987">
        <w:t xml:space="preserve"> </w:t>
      </w:r>
      <w:r w:rsidRPr="00DF6987">
        <w:t>for each market and</w:t>
      </w:r>
      <w:r w:rsidR="00A474DC" w:rsidRPr="00DF6987">
        <w:t xml:space="preserve"> </w:t>
      </w:r>
      <w:r w:rsidRPr="00DF6987">
        <w:t>then averages them. We cannot, however, overcome this</w:t>
      </w:r>
      <w:r w:rsidR="00DF6987">
        <w:t xml:space="preserve"> </w:t>
      </w:r>
      <w:r w:rsidRPr="00DF6987">
        <w:t>problem and should be aware that the index we have constructed</w:t>
      </w:r>
      <w:r w:rsidR="00A474DC" w:rsidRPr="00DF6987">
        <w:t xml:space="preserve"> </w:t>
      </w:r>
      <w:r w:rsidRPr="00DF6987">
        <w:t>may also reflect price differences due to quality differences.</w:t>
      </w:r>
      <w:r w:rsidR="00A474DC" w:rsidRPr="00DF6987">
        <w:t xml:space="preserve"> </w:t>
      </w:r>
      <w:r w:rsidRPr="00DF6987">
        <w:t>Second, the price indices may be affected by the extent of public</w:t>
      </w:r>
      <w:r w:rsidR="00A474DC" w:rsidRPr="00DF6987">
        <w:t xml:space="preserve"> </w:t>
      </w:r>
      <w:r w:rsidRPr="00DF6987">
        <w:t>distribution system prevalent in different centres.</w:t>
      </w:r>
    </w:p>
    <w:p w14:paraId="63DF3721" w14:textId="651AEA6F" w:rsidR="009C3698" w:rsidRPr="00DF6987" w:rsidRDefault="009C3698" w:rsidP="00150BB7">
      <w:pPr>
        <w:pStyle w:val="Heading6"/>
        <w:keepNext w:val="0"/>
        <w:keepLines w:val="0"/>
        <w:ind w:left="0" w:firstLine="284"/>
      </w:pPr>
      <w:r w:rsidRPr="00DF6987">
        <w:t>The following further adjustments in the data had to be</w:t>
      </w:r>
      <w:r w:rsidR="00A474DC" w:rsidRPr="00DF6987">
        <w:t xml:space="preserve"> </w:t>
      </w:r>
      <w:r w:rsidRPr="00DF6987">
        <w:t xml:space="preserve">resorted to before computing the index of price </w:t>
      </w:r>
      <w:proofErr w:type="gramStart"/>
      <w:r w:rsidRPr="00DF6987">
        <w:t>differences :</w:t>
      </w:r>
      <w:proofErr w:type="gramEnd"/>
    </w:p>
    <w:p w14:paraId="0552C76E" w14:textId="515DFC9A" w:rsidR="009C3698" w:rsidRPr="00447FEC" w:rsidRDefault="009C3698">
      <w:pPr>
        <w:pStyle w:val="ListParagraph"/>
        <w:numPr>
          <w:ilvl w:val="0"/>
          <w:numId w:val="53"/>
        </w:numPr>
        <w:spacing w:after="0"/>
        <w:jc w:val="both"/>
        <w:rPr>
          <w:rFonts w:ascii="Times New Roman" w:hAnsi="Times New Roman" w:cs="Times New Roman"/>
          <w:sz w:val="18"/>
          <w:szCs w:val="18"/>
        </w:rPr>
      </w:pPr>
      <w:r w:rsidRPr="00447FEC">
        <w:rPr>
          <w:rFonts w:ascii="Times New Roman" w:hAnsi="Times New Roman" w:cs="Times New Roman"/>
          <w:sz w:val="18"/>
          <w:szCs w:val="18"/>
        </w:rPr>
        <w:t>In respect of commodities for which prices were not</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available in some States, substitute prices were used by</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taking the prices prevailing in States similar in terms of</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climate, terrain, socio-economic characteristics and</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preferences.</w:t>
      </w:r>
    </w:p>
    <w:p w14:paraId="53B983A7" w14:textId="4BC5F322" w:rsidR="009C3698" w:rsidRPr="00447FEC" w:rsidRDefault="009C3698">
      <w:pPr>
        <w:pStyle w:val="ListParagraph"/>
        <w:numPr>
          <w:ilvl w:val="0"/>
          <w:numId w:val="53"/>
        </w:numPr>
        <w:spacing w:after="0"/>
        <w:jc w:val="both"/>
        <w:rPr>
          <w:rFonts w:ascii="Times New Roman" w:hAnsi="Times New Roman" w:cs="Times New Roman"/>
          <w:sz w:val="18"/>
          <w:szCs w:val="18"/>
        </w:rPr>
      </w:pPr>
      <w:r w:rsidRPr="00447FEC">
        <w:rPr>
          <w:rFonts w:ascii="Times New Roman" w:hAnsi="Times New Roman" w:cs="Times New Roman"/>
          <w:sz w:val="18"/>
          <w:szCs w:val="18"/>
        </w:rPr>
        <w:t>The prices were standardised for fixed units and</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quantities for each of the centres. State-wise averages</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and all-India prices were then calculated by assuming</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equal weight for each centre.</w:t>
      </w:r>
    </w:p>
    <w:p w14:paraId="073F3F5E" w14:textId="7CF420F4" w:rsidR="009C3698" w:rsidRPr="00447FEC" w:rsidRDefault="009C3698">
      <w:pPr>
        <w:pStyle w:val="ListParagraph"/>
        <w:numPr>
          <w:ilvl w:val="0"/>
          <w:numId w:val="53"/>
        </w:numPr>
        <w:spacing w:after="0" w:line="240" w:lineRule="auto"/>
        <w:jc w:val="both"/>
        <w:rPr>
          <w:rFonts w:ascii="Times New Roman" w:hAnsi="Times New Roman" w:cs="Times New Roman"/>
          <w:sz w:val="18"/>
          <w:szCs w:val="18"/>
        </w:rPr>
      </w:pPr>
      <w:r w:rsidRPr="00447FEC">
        <w:rPr>
          <w:rFonts w:ascii="Times New Roman" w:hAnsi="Times New Roman" w:cs="Times New Roman"/>
          <w:sz w:val="18"/>
          <w:szCs w:val="18"/>
        </w:rPr>
        <w:t>Some of the commodities or services appearing in the</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Labour Bureau's CPI were deleted from, or are not</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covered by, our inter-State price index. These include :(</w:t>
      </w:r>
      <w:proofErr w:type="spellStart"/>
      <w:r w:rsidRPr="00447FEC">
        <w:rPr>
          <w:rFonts w:ascii="Times New Roman" w:hAnsi="Times New Roman" w:cs="Times New Roman"/>
          <w:sz w:val="18"/>
          <w:szCs w:val="18"/>
        </w:rPr>
        <w:t>i</w:t>
      </w:r>
      <w:proofErr w:type="spellEnd"/>
      <w:r w:rsidRPr="00447FEC">
        <w:rPr>
          <w:rFonts w:ascii="Times New Roman" w:hAnsi="Times New Roman" w:cs="Times New Roman"/>
          <w:sz w:val="18"/>
          <w:szCs w:val="18"/>
        </w:rPr>
        <w:t>) Commodities for which very few centres reported prices;</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(ii) commodities which had large variations in</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quality or could not be standardised for unit prices; and</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(iii) commodities which had negligible weights.</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However, care was taken to ensure that the total (all-India) weight of the remaining commodities which were</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used in our inter-State price index added upto at least 75</w:t>
      </w:r>
      <w:r w:rsidR="00A474DC" w:rsidRPr="00447FEC">
        <w:rPr>
          <w:rFonts w:ascii="Times New Roman" w:hAnsi="Times New Roman" w:cs="Times New Roman"/>
          <w:sz w:val="18"/>
          <w:szCs w:val="18"/>
        </w:rPr>
        <w:t xml:space="preserve"> </w:t>
      </w:r>
      <w:r w:rsidRPr="00447FEC">
        <w:rPr>
          <w:rFonts w:ascii="Times New Roman" w:hAnsi="Times New Roman" w:cs="Times New Roman"/>
          <w:sz w:val="18"/>
          <w:szCs w:val="18"/>
        </w:rPr>
        <w:t>per cent of the Labour Bureau's price index.</w:t>
      </w:r>
    </w:p>
    <w:p w14:paraId="206EA8BB" w14:textId="014A7560" w:rsidR="009C3698" w:rsidRPr="00447FEC" w:rsidRDefault="009C3698">
      <w:pPr>
        <w:pStyle w:val="ListParagraph"/>
        <w:numPr>
          <w:ilvl w:val="0"/>
          <w:numId w:val="52"/>
        </w:numPr>
        <w:spacing w:after="0"/>
        <w:jc w:val="both"/>
        <w:rPr>
          <w:rFonts w:ascii="Times New Roman" w:hAnsi="Times New Roman" w:cs="Times New Roman"/>
          <w:b/>
          <w:bCs/>
          <w:sz w:val="18"/>
          <w:szCs w:val="18"/>
        </w:rPr>
      </w:pPr>
      <w:r w:rsidRPr="00DF6987">
        <w:rPr>
          <w:rFonts w:ascii="Times New Roman" w:hAnsi="Times New Roman" w:cs="Times New Roman"/>
          <w:b/>
          <w:bCs/>
          <w:i/>
          <w:iCs/>
          <w:sz w:val="18"/>
          <w:szCs w:val="18"/>
        </w:rPr>
        <w:t xml:space="preserve"> </w:t>
      </w:r>
      <w:r w:rsidRPr="00447FEC">
        <w:rPr>
          <w:rFonts w:ascii="Times New Roman" w:hAnsi="Times New Roman" w:cs="Times New Roman"/>
          <w:b/>
          <w:bCs/>
          <w:sz w:val="20"/>
          <w:szCs w:val="20"/>
        </w:rPr>
        <w:t>Computation of Standard Employees:</w:t>
      </w:r>
    </w:p>
    <w:p w14:paraId="504BCE85" w14:textId="5F893DF2" w:rsidR="009C3698" w:rsidRPr="00DF6987" w:rsidRDefault="009C3698" w:rsidP="00150BB7">
      <w:pPr>
        <w:pStyle w:val="Heading6"/>
        <w:keepNext w:val="0"/>
        <w:keepLines w:val="0"/>
        <w:ind w:left="0" w:firstLine="284"/>
      </w:pPr>
      <w:r w:rsidRPr="00DF6987">
        <w:t>One of the important components of government</w:t>
      </w:r>
      <w:r w:rsidR="00A474DC" w:rsidRPr="00DF6987">
        <w:t xml:space="preserve"> </w:t>
      </w:r>
      <w:r w:rsidRPr="00DF6987">
        <w:t>spending at the State level is the expenditure on wages and</w:t>
      </w:r>
      <w:r w:rsidR="00A474DC" w:rsidRPr="00DF6987">
        <w:t xml:space="preserve"> </w:t>
      </w:r>
      <w:r w:rsidRPr="00DF6987">
        <w:t>salaries. The expenditure on wages and salaries can differ across</w:t>
      </w:r>
      <w:r w:rsidR="00A474DC" w:rsidRPr="00DF6987">
        <w:t xml:space="preserve"> </w:t>
      </w:r>
      <w:r w:rsidRPr="00DF6987">
        <w:t>the States due to differences in either the number of employees or</w:t>
      </w:r>
      <w:r w:rsidR="00150BB7">
        <w:t xml:space="preserve"> </w:t>
      </w:r>
      <w:r w:rsidRPr="00DF6987">
        <w:t>their salary levels. Generally, public services are quantified on the</w:t>
      </w:r>
      <w:r w:rsidR="00A474DC" w:rsidRPr="00DF6987">
        <w:t xml:space="preserve"> </w:t>
      </w:r>
      <w:r w:rsidRPr="00DF6987">
        <w:t>basis of the inputs that have gone into their provision, and given</w:t>
      </w:r>
      <w:r w:rsidR="00A474DC" w:rsidRPr="00DF6987">
        <w:t xml:space="preserve"> </w:t>
      </w:r>
      <w:r w:rsidRPr="00DF6987">
        <w:t>the employment intensive nature of government activity,</w:t>
      </w:r>
      <w:r w:rsidR="00A474DC" w:rsidRPr="00DF6987">
        <w:t xml:space="preserve"> </w:t>
      </w:r>
      <w:r w:rsidRPr="00DF6987">
        <w:t>information on the number of employees becomes essential to</w:t>
      </w:r>
      <w:r w:rsidR="00150BB7">
        <w:t xml:space="preserve"> </w:t>
      </w:r>
      <w:r w:rsidRPr="00DF6987">
        <w:t>determine the normative levels of spending. Similarly, differences</w:t>
      </w:r>
      <w:r w:rsidR="00A474DC" w:rsidRPr="00DF6987">
        <w:t xml:space="preserve"> </w:t>
      </w:r>
      <w:r w:rsidRPr="00DF6987">
        <w:t>in the salary levels can be an important factor causing variations in</w:t>
      </w:r>
      <w:r w:rsidR="00A474DC" w:rsidRPr="00DF6987">
        <w:t xml:space="preserve"> </w:t>
      </w:r>
      <w:r w:rsidRPr="00DF6987">
        <w:t>the cost of providing public services across the States.</w:t>
      </w:r>
    </w:p>
    <w:p w14:paraId="073EB430" w14:textId="1021FA79" w:rsidR="009C3698" w:rsidRPr="00DF6987" w:rsidRDefault="009C3698" w:rsidP="00150BB7">
      <w:pPr>
        <w:pStyle w:val="Heading6"/>
        <w:keepNext w:val="0"/>
        <w:keepLines w:val="0"/>
        <w:ind w:left="0" w:firstLine="284"/>
      </w:pPr>
      <w:r w:rsidRPr="00DF6987">
        <w:t>However, employees belong to different classes or</w:t>
      </w:r>
      <w:r w:rsidR="00A474DC" w:rsidRPr="00DF6987">
        <w:t xml:space="preserve"> </w:t>
      </w:r>
      <w:r w:rsidRPr="00DF6987">
        <w:t>categories and a head count measure might lead to erroneous</w:t>
      </w:r>
      <w:r w:rsidR="00A474DC" w:rsidRPr="00DF6987">
        <w:t xml:space="preserve"> </w:t>
      </w:r>
      <w:r w:rsidRPr="00DF6987">
        <w:t>conclusions since the proportions of different categories of</w:t>
      </w:r>
      <w:r w:rsidR="00150BB7">
        <w:t xml:space="preserve"> </w:t>
      </w:r>
      <w:r w:rsidRPr="00DF6987">
        <w:t>employees might differ significantly across the States. Further,</w:t>
      </w:r>
      <w:r w:rsidR="00150BB7">
        <w:t xml:space="preserve"> </w:t>
      </w:r>
      <w:r w:rsidRPr="00DF6987">
        <w:t>our attempt to obtain data on the number of employees under</w:t>
      </w:r>
      <w:r w:rsidR="00150BB7">
        <w:t xml:space="preserve"> </w:t>
      </w:r>
      <w:r w:rsidRPr="00DF6987">
        <w:t>various major heads of expenditures in different States too did not</w:t>
      </w:r>
      <w:r w:rsidR="00150BB7">
        <w:t xml:space="preserve"> </w:t>
      </w:r>
      <w:r w:rsidRPr="00DF6987">
        <w:t>meet with success, as a number of States could not supply these</w:t>
      </w:r>
      <w:r w:rsidR="00150BB7">
        <w:t xml:space="preserve"> </w:t>
      </w:r>
      <w:r w:rsidRPr="00DF6987">
        <w:t>figures.</w:t>
      </w:r>
    </w:p>
    <w:p w14:paraId="0B93502F" w14:textId="00A03A60" w:rsidR="009C3698" w:rsidRPr="00DF6987" w:rsidRDefault="009C3698" w:rsidP="00150BB7">
      <w:pPr>
        <w:pStyle w:val="Heading6"/>
        <w:keepNext w:val="0"/>
        <w:keepLines w:val="0"/>
        <w:ind w:left="0" w:firstLine="284"/>
      </w:pPr>
      <w:r w:rsidRPr="00DF6987">
        <w:t>In the case of some items of expenditures, a</w:t>
      </w:r>
      <w:r w:rsidR="00150BB7">
        <w:t xml:space="preserve"> </w:t>
      </w:r>
      <w:r w:rsidRPr="00DF6987">
        <w:t>representative category of employees can be taken to quantify the</w:t>
      </w:r>
      <w:r w:rsidR="00150BB7">
        <w:t xml:space="preserve"> </w:t>
      </w:r>
      <w:r w:rsidRPr="00DF6987">
        <w:t>levels of services. The number of judges in subordinate courts</w:t>
      </w:r>
      <w:r w:rsidR="00150BB7">
        <w:t xml:space="preserve"> </w:t>
      </w:r>
      <w:r w:rsidRPr="00DF6987">
        <w:t>and high courts, the number of police constables, and the number</w:t>
      </w:r>
      <w:r w:rsidR="00150BB7">
        <w:t xml:space="preserve"> </w:t>
      </w:r>
      <w:r w:rsidRPr="00DF6987">
        <w:t>of teachers in primary schools and secondary schools are some</w:t>
      </w:r>
      <w:r w:rsidR="00150BB7">
        <w:t xml:space="preserve"> </w:t>
      </w:r>
      <w:r w:rsidRPr="00DF6987">
        <w:t>examples of taking the representative categories of employees in</w:t>
      </w:r>
      <w:r w:rsidR="00150BB7">
        <w:t xml:space="preserve"> </w:t>
      </w:r>
      <w:r w:rsidRPr="00DF6987">
        <w:t>the cost functions. In such cases, we had to take their salaries as</w:t>
      </w:r>
      <w:r w:rsidR="00150BB7">
        <w:t xml:space="preserve"> </w:t>
      </w:r>
      <w:r w:rsidRPr="00DF6987">
        <w:t>an additional explanatory variable. However, in the case of many</w:t>
      </w:r>
      <w:r w:rsidR="00150BB7">
        <w:t xml:space="preserve"> </w:t>
      </w:r>
      <w:r w:rsidRPr="00DF6987">
        <w:t xml:space="preserve">expenditure functions, we could not find a </w:t>
      </w:r>
      <w:proofErr w:type="gramStart"/>
      <w:r w:rsidRPr="00DF6987">
        <w:t xml:space="preserve">representative </w:t>
      </w:r>
      <w:r w:rsidR="00150BB7">
        <w:t xml:space="preserve"> </w:t>
      </w:r>
      <w:r w:rsidR="00150BB7" w:rsidRPr="00DF6987">
        <w:t>category</w:t>
      </w:r>
      <w:proofErr w:type="gramEnd"/>
      <w:r w:rsidR="00150BB7">
        <w:t xml:space="preserve"> </w:t>
      </w:r>
      <w:r w:rsidRPr="00DF6987">
        <w:t>and at the same time, could not take the head count measure of</w:t>
      </w:r>
      <w:r w:rsidR="00150BB7">
        <w:t xml:space="preserve"> </w:t>
      </w:r>
      <w:r w:rsidRPr="00DF6987">
        <w:t>total number of employees for the reasons mentioned earlier. In</w:t>
      </w:r>
      <w:r w:rsidR="00DE763A">
        <w:t xml:space="preserve"> </w:t>
      </w:r>
      <w:r w:rsidRPr="00DF6987">
        <w:t>such cases, therefore, we have standardised the number of</w:t>
      </w:r>
      <w:r w:rsidR="00150BB7">
        <w:t xml:space="preserve"> </w:t>
      </w:r>
      <w:r w:rsidRPr="00DF6987">
        <w:t>employees. For the purpose, we have obtained information on</w:t>
      </w:r>
      <w:r w:rsidR="00DE763A">
        <w:t xml:space="preserve"> </w:t>
      </w:r>
      <w:r w:rsidRPr="00DF6987">
        <w:t>total salary expenditures under various major heads. Dividing this</w:t>
      </w:r>
      <w:r w:rsidR="00150BB7">
        <w:t xml:space="preserve"> </w:t>
      </w:r>
      <w:r w:rsidRPr="00DF6987">
        <w:t>figure for a State by the average salary per employee in the 14</w:t>
      </w:r>
      <w:r w:rsidR="00DE763A">
        <w:t xml:space="preserve"> </w:t>
      </w:r>
      <w:r w:rsidRPr="00DF6987">
        <w:t>major States, we have obtained the number of standard</w:t>
      </w:r>
      <w:r w:rsidR="00150BB7">
        <w:t xml:space="preserve"> </w:t>
      </w:r>
      <w:r w:rsidRPr="00DF6987">
        <w:t>employees under each major head in different States for the</w:t>
      </w:r>
      <w:r w:rsidR="00DE763A">
        <w:t xml:space="preserve"> </w:t>
      </w:r>
      <w:r w:rsidRPr="00DF6987">
        <w:t>period, 1980-81 to 1986-87. The information on salary</w:t>
      </w:r>
      <w:r w:rsidR="00150BB7">
        <w:t xml:space="preserve"> </w:t>
      </w:r>
      <w:r w:rsidRPr="00DF6987">
        <w:t>expenditures under different major heads has been taken from</w:t>
      </w:r>
      <w:r w:rsidR="00DE763A">
        <w:t xml:space="preserve"> </w:t>
      </w:r>
      <w:r w:rsidRPr="00DF6987">
        <w:t>the Subsidiary Points submitted by the States to the present</w:t>
      </w:r>
      <w:r w:rsidR="00150BB7">
        <w:t xml:space="preserve"> </w:t>
      </w:r>
      <w:r w:rsidRPr="00DF6987">
        <w:t>Commission for the period 1984-85 to 1986-87. For the earlier</w:t>
      </w:r>
      <w:r w:rsidR="00150BB7">
        <w:t xml:space="preserve"> </w:t>
      </w:r>
      <w:r w:rsidRPr="00DF6987">
        <w:t>period, i.e., 1980-81 to 1983-84, the details submitted to the</w:t>
      </w:r>
      <w:r w:rsidR="00150BB7">
        <w:t xml:space="preserve"> </w:t>
      </w:r>
      <w:r w:rsidRPr="00DF6987">
        <w:t>Eighth Finance Commission have been used. In some cases,</w:t>
      </w:r>
      <w:r w:rsidR="00150BB7">
        <w:t xml:space="preserve"> </w:t>
      </w:r>
      <w:r w:rsidRPr="00DF6987">
        <w:t xml:space="preserve">where we could not obtain the data for </w:t>
      </w:r>
      <w:proofErr w:type="gramStart"/>
      <w:r w:rsidRPr="00DF6987">
        <w:t xml:space="preserve">some </w:t>
      </w:r>
      <w:r w:rsidR="00150BB7">
        <w:t xml:space="preserve"> </w:t>
      </w:r>
      <w:r w:rsidRPr="00DF6987">
        <w:t>ear</w:t>
      </w:r>
      <w:proofErr w:type="gramEnd"/>
      <w:r w:rsidRPr="00DF6987">
        <w:t>, the information</w:t>
      </w:r>
      <w:r w:rsidR="00150BB7">
        <w:t xml:space="preserve"> </w:t>
      </w:r>
      <w:r w:rsidRPr="00DF6987">
        <w:t>available in the subsequent year or the preceding year was used</w:t>
      </w:r>
      <w:r w:rsidR="00150BB7">
        <w:t xml:space="preserve"> </w:t>
      </w:r>
      <w:r w:rsidRPr="00DF6987">
        <w:t>to generate the proportion of salary expenditures under different</w:t>
      </w:r>
      <w:r w:rsidR="00150BB7">
        <w:t xml:space="preserve"> </w:t>
      </w:r>
      <w:r w:rsidRPr="00DF6987">
        <w:t>major heads and the total expenditure on salaries was distributed</w:t>
      </w:r>
      <w:r w:rsidR="00150BB7">
        <w:t xml:space="preserve"> </w:t>
      </w:r>
      <w:r w:rsidRPr="00DF6987">
        <w:t>accordingly.</w:t>
      </w:r>
    </w:p>
    <w:p w14:paraId="2D77DE23" w14:textId="559E12B5" w:rsidR="009C3698" w:rsidRPr="009D5E51" w:rsidRDefault="009C3698">
      <w:pPr>
        <w:pStyle w:val="ListParagraph"/>
        <w:numPr>
          <w:ilvl w:val="0"/>
          <w:numId w:val="52"/>
        </w:numPr>
        <w:spacing w:after="0"/>
        <w:jc w:val="both"/>
        <w:rPr>
          <w:rFonts w:ascii="Times New Roman" w:hAnsi="Times New Roman" w:cs="Times New Roman"/>
          <w:sz w:val="18"/>
          <w:szCs w:val="18"/>
        </w:rPr>
      </w:pPr>
      <w:r w:rsidRPr="009D5E51">
        <w:rPr>
          <w:rFonts w:ascii="Times New Roman" w:hAnsi="Times New Roman" w:cs="Times New Roman"/>
          <w:b/>
          <w:bCs/>
          <w:sz w:val="18"/>
          <w:szCs w:val="18"/>
        </w:rPr>
        <w:t>Computation of salary levels of employees in the States over the period, 1981 to 1987:</w:t>
      </w:r>
    </w:p>
    <w:p w14:paraId="32D3C8BE" w14:textId="40D3D013" w:rsidR="009C3698" w:rsidRPr="00150BB7" w:rsidRDefault="009C3698" w:rsidP="00150BB7">
      <w:pPr>
        <w:pStyle w:val="Heading6"/>
        <w:keepNext w:val="0"/>
        <w:keepLines w:val="0"/>
        <w:ind w:left="0" w:firstLine="284"/>
      </w:pPr>
      <w:r w:rsidRPr="00150BB7">
        <w:t>Wherever we have used the number of standard</w:t>
      </w:r>
      <w:r w:rsidR="00A474DC" w:rsidRPr="00150BB7">
        <w:t xml:space="preserve"> </w:t>
      </w:r>
      <w:r w:rsidRPr="00150BB7">
        <w:t>employees, the salary differences across the States are</w:t>
      </w:r>
      <w:r w:rsidR="00A474DC" w:rsidRPr="00150BB7">
        <w:t xml:space="preserve"> </w:t>
      </w:r>
      <w:r w:rsidRPr="00150BB7">
        <w:t>automatically taken account of. However, wherever a</w:t>
      </w:r>
      <w:r w:rsidR="00A474DC" w:rsidRPr="00150BB7">
        <w:t xml:space="preserve"> </w:t>
      </w:r>
      <w:r w:rsidRPr="00150BB7">
        <w:t>representative category of employees is taken as an explanatory</w:t>
      </w:r>
      <w:r w:rsidR="00150BB7">
        <w:t xml:space="preserve"> </w:t>
      </w:r>
      <w:r w:rsidRPr="00150BB7">
        <w:t>variable, we have had to use an additional variable indicating the</w:t>
      </w:r>
      <w:r w:rsidR="00A474DC" w:rsidRPr="00150BB7">
        <w:t xml:space="preserve"> </w:t>
      </w:r>
      <w:r w:rsidRPr="00150BB7">
        <w:t>salary levels of the representative category in the States. For the</w:t>
      </w:r>
      <w:r w:rsidR="00A474DC" w:rsidRPr="00150BB7">
        <w:t xml:space="preserve"> </w:t>
      </w:r>
      <w:r w:rsidRPr="00150BB7">
        <w:t>purpose, we have computed the salary levels on the minimum</w:t>
      </w:r>
      <w:r w:rsidR="00A474DC" w:rsidRPr="00150BB7">
        <w:t xml:space="preserve"> </w:t>
      </w:r>
      <w:r w:rsidRPr="00150BB7">
        <w:t>basic pay in the scale of the representative category in different</w:t>
      </w:r>
      <w:r w:rsidR="00A474DC" w:rsidRPr="00150BB7">
        <w:t xml:space="preserve"> </w:t>
      </w:r>
      <w:r w:rsidRPr="00150BB7">
        <w:t>States. Salary was taken to include basic pay and dearness</w:t>
      </w:r>
      <w:r w:rsidR="00A474DC" w:rsidRPr="00150BB7">
        <w:t xml:space="preserve"> </w:t>
      </w:r>
      <w:r w:rsidRPr="00150BB7">
        <w:t>allowances. The report of the Eighth Finance Commission gives</w:t>
      </w:r>
      <w:r w:rsidR="00A474DC" w:rsidRPr="00150BB7">
        <w:t xml:space="preserve"> </w:t>
      </w:r>
      <w:r w:rsidRPr="00150BB7">
        <w:t>the salary levels for the representative categories of employees</w:t>
      </w:r>
      <w:r w:rsidR="00A474DC" w:rsidRPr="00150BB7">
        <w:t xml:space="preserve"> </w:t>
      </w:r>
      <w:r w:rsidRPr="00150BB7">
        <w:t>as on 1.4.1982, corresponding to the Consumer Price Index, 408.</w:t>
      </w:r>
      <w:r w:rsidR="00A474DC" w:rsidRPr="00150BB7">
        <w:t xml:space="preserve"> </w:t>
      </w:r>
      <w:r w:rsidRPr="00150BB7">
        <w:t>We have worked out the time series of salary levels in the States</w:t>
      </w:r>
      <w:r w:rsidR="00A474DC" w:rsidRPr="00150BB7">
        <w:t xml:space="preserve"> </w:t>
      </w:r>
      <w:r w:rsidRPr="00150BB7">
        <w:t>from 1.1.1981 to 1.1.1987 for each of the representative</w:t>
      </w:r>
      <w:r w:rsidR="00A474DC" w:rsidRPr="00150BB7">
        <w:t xml:space="preserve"> </w:t>
      </w:r>
      <w:r w:rsidRPr="00150BB7">
        <w:t>categories taking into account the changes in the pay scales and</w:t>
      </w:r>
      <w:r w:rsidR="00A474DC" w:rsidRPr="00150BB7">
        <w:t xml:space="preserve"> </w:t>
      </w:r>
      <w:r w:rsidRPr="00150BB7">
        <w:t>dearness allowances subsequent to 1.4.1982. Information from</w:t>
      </w:r>
      <w:r w:rsidRPr="00150BB7">
        <w:br/>
        <w:t>different States on the changes in their pay scales was obtained</w:t>
      </w:r>
      <w:r w:rsidR="00A474DC" w:rsidRPr="00150BB7">
        <w:t xml:space="preserve"> </w:t>
      </w:r>
      <w:r w:rsidRPr="00150BB7">
        <w:t>and wherever such changes had taken place subsequent to 1982,</w:t>
      </w:r>
      <w:r w:rsidR="00A474DC" w:rsidRPr="00150BB7">
        <w:t xml:space="preserve"> </w:t>
      </w:r>
      <w:r w:rsidRPr="00150BB7">
        <w:t>we have incorporated them while computing the salary</w:t>
      </w:r>
      <w:r w:rsidR="00A474DC" w:rsidRPr="00150BB7">
        <w:t xml:space="preserve"> </w:t>
      </w:r>
      <w:r w:rsidRPr="00150BB7">
        <w:t>differences. The number of instalments of Dearness Allowance</w:t>
      </w:r>
      <w:r w:rsidR="00150BB7">
        <w:t xml:space="preserve"> </w:t>
      </w:r>
      <w:r w:rsidRPr="00150BB7">
        <w:t>(DA) paid subsequent to 1.4.1982 were computed on the basis of</w:t>
      </w:r>
      <w:r w:rsidR="00A474DC" w:rsidRPr="00150BB7">
        <w:t xml:space="preserve"> </w:t>
      </w:r>
      <w:r w:rsidRPr="00150BB7">
        <w:t>the increase in the Consumer Price Index over 408, with one</w:t>
      </w:r>
      <w:r w:rsidR="00A474DC" w:rsidRPr="00150BB7">
        <w:t xml:space="preserve"> </w:t>
      </w:r>
      <w:r w:rsidRPr="00150BB7">
        <w:t>instalment accruing for every 8-point increase in the Index. To</w:t>
      </w:r>
      <w:r w:rsidR="00A474DC" w:rsidRPr="00150BB7">
        <w:t xml:space="preserve"> </w:t>
      </w:r>
      <w:r w:rsidRPr="00150BB7">
        <w:t>obtain the value of each instalment of DA, we first estimated the</w:t>
      </w:r>
      <w:r w:rsidR="00A474DC" w:rsidRPr="00150BB7">
        <w:t xml:space="preserve"> </w:t>
      </w:r>
      <w:r w:rsidRPr="00150BB7">
        <w:t>difference between the actual DA paid and the DA payable on the</w:t>
      </w:r>
      <w:r w:rsidR="00A474DC" w:rsidRPr="00150BB7">
        <w:t xml:space="preserve"> </w:t>
      </w:r>
      <w:r w:rsidRPr="00150BB7">
        <w:t>salary scale in the base year (1982). By dividing the above for</w:t>
      </w:r>
      <w:r w:rsidR="00A474DC" w:rsidRPr="00150BB7">
        <w:t xml:space="preserve"> </w:t>
      </w:r>
      <w:r w:rsidRPr="00150BB7">
        <w:t>every 8 points in the price index corresponding to the DA</w:t>
      </w:r>
      <w:r w:rsidR="00A474DC" w:rsidRPr="00150BB7">
        <w:t xml:space="preserve"> </w:t>
      </w:r>
      <w:r w:rsidRPr="00150BB7">
        <w:t>payments subsequent to the base year CPI, 408, the value of each</w:t>
      </w:r>
      <w:r w:rsidR="00A474DC" w:rsidRPr="00150BB7">
        <w:t xml:space="preserve"> </w:t>
      </w:r>
      <w:r w:rsidRPr="00150BB7">
        <w:t>DA instalment has been obtained for the representative</w:t>
      </w:r>
      <w:r w:rsidR="00A474DC" w:rsidRPr="00150BB7">
        <w:t xml:space="preserve"> </w:t>
      </w:r>
      <w:r w:rsidRPr="00150BB7">
        <w:t>category.</w:t>
      </w:r>
      <w:r w:rsidRPr="00150BB7">
        <w:br w:type="page"/>
      </w:r>
    </w:p>
    <w:p w14:paraId="0E18E830" w14:textId="01B533A4" w:rsidR="009C3698" w:rsidRPr="00AA6AF4" w:rsidRDefault="00C0399E" w:rsidP="00447FEC">
      <w:pPr>
        <w:pStyle w:val="Heading5"/>
      </w:pPr>
      <w:r>
        <w:lastRenderedPageBreak/>
        <w:br/>
      </w:r>
      <w:bookmarkStart w:id="142" w:name="_Toc222399520"/>
      <w:r w:rsidR="009C3698" w:rsidRPr="00AA6AF4">
        <w:t>DETERMINATION OF MINIMUM LEVELS OF PLAN REVENUE</w:t>
      </w:r>
      <w:r>
        <w:br/>
      </w:r>
      <w:r w:rsidR="009C3698" w:rsidRPr="00AA6AF4">
        <w:t>EXPENDITURE OF THE STATES</w:t>
      </w:r>
      <w:bookmarkEnd w:id="142"/>
    </w:p>
    <w:p w14:paraId="6C902E7C" w14:textId="775DC9B6" w:rsidR="009C3698" w:rsidRPr="00AA6AF4" w:rsidRDefault="009C3698" w:rsidP="00713DAE">
      <w:pPr>
        <w:pStyle w:val="Heading6"/>
        <w:keepNext w:val="0"/>
        <w:keepLines w:val="0"/>
        <w:spacing w:line="220" w:lineRule="exact"/>
        <w:ind w:left="0" w:firstLine="284"/>
      </w:pPr>
      <w:r w:rsidRPr="00AA6AF4">
        <w:t xml:space="preserve">The terms of reference require the Commission to make a normative assessment of revenue receipts and revenue expenditure of the Centre and the States without distinguishing between the Plan and non-Plan components of expenditure. However, the assessment of the States' revenue component of Plan expenditures necessitates the determination of their Plan size. Plan size and its composition would have to be determined in an inter-sectoral consistency framework taking into account the </w:t>
      </w:r>
      <w:proofErr w:type="spellStart"/>
      <w:r w:rsidRPr="00AA6AF4">
        <w:t>targetted</w:t>
      </w:r>
      <w:proofErr w:type="spellEnd"/>
      <w:r w:rsidRPr="00AA6AF4">
        <w:t xml:space="preserve"> rates of growth, which can only be done by the Planning Commission. At the same time, given that the standards of social and economic services in the States are generally low and vary rather widely, it is essential that we should determine certain minimum levels of Plan revenue expenditure in the States to enable them to augment the standards of these services and reduce inter-State disparities.</w:t>
      </w:r>
    </w:p>
    <w:p w14:paraId="72544776" w14:textId="1195FF9E" w:rsidR="009C3698" w:rsidRPr="00AA6AF4" w:rsidRDefault="009C3698" w:rsidP="00713DAE">
      <w:pPr>
        <w:pStyle w:val="Heading6"/>
        <w:keepNext w:val="0"/>
        <w:keepLines w:val="0"/>
        <w:spacing w:line="220" w:lineRule="exact"/>
        <w:ind w:left="0" w:firstLine="284"/>
      </w:pPr>
      <w:r w:rsidRPr="00AA6AF4">
        <w:t>It may be noted that the normative projection has been made only in respect of the 14 major States while in respect of the Special Category States, we have largely gone by their actuals and have made projections on that basis. The Plan size and Plan assistance for the latter category are determined more liberally. Therefore, our exercise of determining the minimum levels of Plan revenue expenditure is confined to the 14 major States.</w:t>
      </w:r>
    </w:p>
    <w:p w14:paraId="26467E91" w14:textId="52D75D2F" w:rsidR="009C3698" w:rsidRPr="00AA6AF4" w:rsidRDefault="009C3698" w:rsidP="00713DAE">
      <w:pPr>
        <w:pStyle w:val="Heading6"/>
        <w:keepNext w:val="0"/>
        <w:keepLines w:val="0"/>
        <w:spacing w:line="220" w:lineRule="exact"/>
        <w:ind w:left="0" w:firstLine="284"/>
      </w:pPr>
      <w:r w:rsidRPr="00AA6AF4">
        <w:t> As stated in Appendix 5, for determining the normative expenditure on administrative services we have taken the cost of providing an average standard of services and, therefore, the provision for improvement in the standards of these services in the below-average States is implicit in the projection. However, in the case of social and economic services, the justifiable cost of providing only the existing standards of services is taken account of and no provision is made for improving the standards in the below-average States.</w:t>
      </w:r>
    </w:p>
    <w:p w14:paraId="79724E86" w14:textId="34EDBF44" w:rsidR="009C3698" w:rsidRPr="00AA6AF4" w:rsidRDefault="009C3698" w:rsidP="00713DAE">
      <w:pPr>
        <w:pStyle w:val="Heading6"/>
        <w:keepNext w:val="0"/>
        <w:keepLines w:val="0"/>
        <w:spacing w:line="220" w:lineRule="exact"/>
        <w:ind w:left="0" w:firstLine="284"/>
      </w:pPr>
      <w:r w:rsidRPr="00AA6AF4">
        <w:t>An analysis of the normative non-Plan expenditures on social and economic services brings out the existence of significant inter-State differences. The four poorest States of Bihar, Uttar Pradesh, Madhya Pradesh and Rajasthan have per capita normative expenditures much below the average for the major States. At the same time, even the per capita normative expenditures in the more developed States, although higher than the average, are inadequate to satisfactorily fulfil the Constitutional obligations and require to be augmented further. In fact, many States have not been able to achieve the levels as stated in the national policy pronouncements. Therefore, we have to bear two important issues in mind while determining the minimum levels of Plan revenue expenditure of the States, namely, (</w:t>
      </w:r>
      <w:proofErr w:type="spellStart"/>
      <w:r w:rsidRPr="00AA6AF4">
        <w:t>i</w:t>
      </w:r>
      <w:proofErr w:type="spellEnd"/>
      <w:r w:rsidRPr="00AA6AF4">
        <w:t>) improvements in the standards of services should be attempted in all the States so as to enable them to achieve the stated national objectives, and (ii) inter-State differences in the standards of these services should be reduced to the extent possible during the five-year report period.</w:t>
      </w:r>
    </w:p>
    <w:p w14:paraId="313B6051" w14:textId="5709EE8C" w:rsidR="009C3698" w:rsidRPr="00AA6AF4" w:rsidRDefault="009C3698" w:rsidP="00713DAE">
      <w:pPr>
        <w:pStyle w:val="Heading6"/>
        <w:keepNext w:val="0"/>
        <w:keepLines w:val="0"/>
        <w:spacing w:line="220" w:lineRule="exact"/>
        <w:ind w:left="0" w:firstLine="284"/>
      </w:pPr>
      <w:r w:rsidRPr="00AA6AF4">
        <w:t>The starting point for determining the minimum levels of revenue Plan expenditure, therefore, is the standard of social and economic services already achieved in the different States. The standards of the services can be broadly represented by per capita revenue expenditures on the existing services estimated at justifiable costs. As our normative analysis is done for 1986-87, standards of services attained upto the end of the Sixth Plan period are taken account of. The projected expenditures in 1994-95 on these services, therefore, can be taken to represent the cost of maintaining the services achieved upto the end of the Sixth Plan period, but not those generated during the Seventh Plan. Although, it would have been preferable to take into account the normative expenditure required to maintain the standards of services provided upto the Seventh Plan period, there is no objective or scientific method of normatively determining the committed expenditures on the Seventh Plan schemes. Improvement in the standards of services and the reduction in inter-State disparities in them envisaged by us are, therefore, attempted on the basis of the standards achieved upto the end of the Sixth Plan period as the starting point. The additional expenditure incurred to enhance these service levels and reduce disparities in them during the Seventh Plan is lumped together with the minimum Plan revenue expenditure determined by us during the Eighth Plan.</w:t>
      </w:r>
    </w:p>
    <w:p w14:paraId="4DEAE428" w14:textId="2C1D0251" w:rsidR="009C3698" w:rsidRPr="00AA6AF4" w:rsidRDefault="009C3698" w:rsidP="00713DAE">
      <w:pPr>
        <w:pStyle w:val="Heading6"/>
        <w:keepNext w:val="0"/>
        <w:keepLines w:val="0"/>
        <w:spacing w:line="220" w:lineRule="exact"/>
        <w:ind w:left="0" w:firstLine="284"/>
      </w:pPr>
      <w:r w:rsidRPr="00AA6AF4">
        <w:t>We have, therefore, taken per capita normative non-Plan expenditures on social and economic services in 1994-95, projected on the basis of the cost functions, to represent the standards of services achieved in the States. Minimum per capita Plan expenditures are then determined so that all the States are enabled to improve the standards of these services at rates inversely related to their existing levels. Thus, the State with the lowest per capita normative expenditure on social and economic services in 1994-95 would have the highest per capita Plan revenue expenditure and vice versa.</w:t>
      </w:r>
    </w:p>
    <w:p w14:paraId="473FBF7A" w14:textId="327199F0" w:rsidR="009C3698" w:rsidRPr="00AA6AF4" w:rsidRDefault="009C3698" w:rsidP="00713DAE">
      <w:pPr>
        <w:pStyle w:val="Heading6"/>
        <w:keepNext w:val="0"/>
        <w:keepLines w:val="0"/>
        <w:spacing w:line="220" w:lineRule="exact"/>
        <w:ind w:left="0" w:firstLine="284"/>
      </w:pPr>
      <w:r w:rsidRPr="00AA6AF4">
        <w:t>In order to determine the shares of the different States, their per capita Plan revenue expenditures are estimated to range from a minimum of Rs. 325, for the State with the highest per capita expenditure (Gujarat), to a maximum of Rs. 425, for the State with the lowest per capita expenditure (Bihar). The difference in per capita non-Plan expenditures on social and economic services in 1994-95 between each State and the State with the highest per capita expenditures was first worked out. These differences were expressed as a ratio of the maximum difference obtained and then multiplied by hundred. The values obtained represent the additional amount of per capita expenditure required to supplement the minimum amount specified, i.e., Rs. 325. Thus, in the case of Gujarat, given that the difference is zero, the Plan revenue expenditure is taken at Rs. 325, whereas in the case of Bihar as the difference is the maximum, we have taken the maximum (Rs. 425) Plan revenue expenditure1.</w:t>
      </w:r>
    </w:p>
    <w:p w14:paraId="73A18934" w14:textId="0A95B8FC" w:rsidR="009C3698" w:rsidRPr="00AA6AF4" w:rsidRDefault="009C3698" w:rsidP="00713DAE">
      <w:pPr>
        <w:pStyle w:val="Heading6"/>
        <w:keepNext w:val="0"/>
        <w:keepLines w:val="0"/>
        <w:spacing w:line="220" w:lineRule="exact"/>
        <w:ind w:left="0" w:firstLine="284"/>
      </w:pPr>
      <w:r w:rsidRPr="00AA6AF4">
        <w:t> Per capita Plan revenue expenditure thus determined is multiplied by the population of the concerned State to get total Plan revenue expenditure. The relative share of individual States is computed on the basis of their shares in total Plan revenue expenditure. These are presented in Table B.7.1.</w:t>
      </w:r>
    </w:p>
    <w:p w14:paraId="17198096" w14:textId="77777777" w:rsidR="009C3698" w:rsidRPr="00150BB7" w:rsidRDefault="009C3698" w:rsidP="00713DAE">
      <w:pPr>
        <w:spacing w:line="220" w:lineRule="exact"/>
        <w:jc w:val="both"/>
        <w:rPr>
          <w:rFonts w:ascii="Times New Roman" w:hAnsi="Times New Roman" w:cs="Times New Roman"/>
          <w:b/>
          <w:bCs/>
          <w:sz w:val="18"/>
          <w:szCs w:val="18"/>
        </w:rPr>
      </w:pPr>
      <w:r w:rsidRPr="00150BB7">
        <w:rPr>
          <w:rFonts w:ascii="Times New Roman" w:hAnsi="Times New Roman" w:cs="Times New Roman"/>
          <w:b/>
          <w:bCs/>
          <w:sz w:val="18"/>
          <w:szCs w:val="18"/>
        </w:rPr>
        <w:t>Notes</w:t>
      </w:r>
    </w:p>
    <w:p w14:paraId="4866B529" w14:textId="77777777" w:rsidR="009C3698" w:rsidRPr="00150BB7" w:rsidRDefault="009C3698" w:rsidP="00DE763A">
      <w:pPr>
        <w:numPr>
          <w:ilvl w:val="0"/>
          <w:numId w:val="20"/>
        </w:numPr>
        <w:spacing w:after="0" w:line="400" w:lineRule="exact"/>
        <w:jc w:val="both"/>
        <w:rPr>
          <w:rFonts w:ascii="Times New Roman" w:hAnsi="Times New Roman" w:cs="Times New Roman"/>
          <w:sz w:val="18"/>
          <w:szCs w:val="18"/>
        </w:rPr>
      </w:pPr>
      <w:r w:rsidRPr="00150BB7">
        <w:rPr>
          <w:rFonts w:ascii="Times New Roman" w:hAnsi="Times New Roman" w:cs="Times New Roman"/>
          <w:sz w:val="18"/>
          <w:szCs w:val="18"/>
        </w:rPr>
        <w:t xml:space="preserve">This can be explained by the </w:t>
      </w:r>
      <w:proofErr w:type="gramStart"/>
      <w:r w:rsidRPr="00150BB7">
        <w:rPr>
          <w:rFonts w:ascii="Times New Roman" w:hAnsi="Times New Roman" w:cs="Times New Roman"/>
          <w:sz w:val="18"/>
          <w:szCs w:val="18"/>
        </w:rPr>
        <w:t>formula :</w:t>
      </w:r>
      <w:proofErr w:type="gramEnd"/>
    </w:p>
    <w:p w14:paraId="2740C85A" w14:textId="77777777" w:rsidR="009C3698" w:rsidRPr="00150BB7" w:rsidRDefault="009C3698" w:rsidP="00DE763A">
      <w:pPr>
        <w:spacing w:before="240" w:after="240" w:line="720" w:lineRule="auto"/>
        <w:jc w:val="both"/>
        <w:rPr>
          <w:rFonts w:ascii="Times New Roman" w:hAnsi="Times New Roman" w:cs="Times New Roman"/>
          <w:sz w:val="18"/>
          <w:szCs w:val="18"/>
        </w:rPr>
      </w:pPr>
      <m:oMathPara>
        <m:oMath>
          <m:r>
            <w:rPr>
              <w:rFonts w:ascii="Cambria Math" w:hAnsi="Cambria Math" w:cs="Times New Roman"/>
              <w:sz w:val="18"/>
              <w:szCs w:val="18"/>
            </w:rPr>
            <m:t>Scale=325+</m:t>
          </m:r>
          <m:f>
            <m:fPr>
              <m:ctrlPr>
                <w:rPr>
                  <w:rFonts w:ascii="Cambria Math" w:hAnsi="Cambria Math" w:cs="Times New Roman"/>
                  <w:sz w:val="18"/>
                  <w:szCs w:val="18"/>
                </w:rPr>
              </m:ctrlPr>
            </m:fPr>
            <m:num>
              <m:d>
                <m:dPr>
                  <m:sepChr m:val="−"/>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X</m:t>
                      </m:r>
                    </m:e>
                    <m:sub>
                      <m:r>
                        <w:rPr>
                          <w:rFonts w:ascii="Cambria Math" w:hAnsi="Cambria Math" w:cs="Times New Roman"/>
                          <w:sz w:val="18"/>
                          <w:szCs w:val="18"/>
                        </w:rPr>
                        <m:t>h</m:t>
                      </m:r>
                    </m:sub>
                  </m:sSub>
                </m:e>
                <m:e>
                  <m:sSub>
                    <m:sSubPr>
                      <m:ctrlPr>
                        <w:rPr>
                          <w:rFonts w:ascii="Cambria Math" w:hAnsi="Cambria Math" w:cs="Times New Roman"/>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num>
            <m:den>
              <m:d>
                <m:dPr>
                  <m:sepChr m:val="−"/>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X</m:t>
                      </m:r>
                    </m:e>
                    <m:sub>
                      <m:r>
                        <w:rPr>
                          <w:rFonts w:ascii="Cambria Math" w:hAnsi="Cambria Math" w:cs="Times New Roman"/>
                          <w:sz w:val="18"/>
                          <w:szCs w:val="18"/>
                        </w:rPr>
                        <m:t>h</m:t>
                      </m:r>
                    </m:sub>
                  </m:sSub>
                </m:e>
                <m:e>
                  <m:sSub>
                    <m:sSubPr>
                      <m:ctrlPr>
                        <w:rPr>
                          <w:rFonts w:ascii="Cambria Math" w:hAnsi="Cambria Math" w:cs="Times New Roman"/>
                          <w:sz w:val="18"/>
                          <w:szCs w:val="18"/>
                        </w:rPr>
                      </m:ctrlPr>
                    </m:sSubPr>
                    <m:e>
                      <m:r>
                        <w:rPr>
                          <w:rFonts w:ascii="Cambria Math" w:hAnsi="Cambria Math" w:cs="Times New Roman"/>
                          <w:sz w:val="18"/>
                          <w:szCs w:val="18"/>
                        </w:rPr>
                        <m:t>X</m:t>
                      </m:r>
                    </m:e>
                    <m:sub>
                      <m:r>
                        <w:rPr>
                          <w:rFonts w:ascii="Cambria Math" w:hAnsi="Cambria Math" w:cs="Times New Roman"/>
                          <w:sz w:val="18"/>
                          <w:szCs w:val="18"/>
                        </w:rPr>
                        <m:t>l</m:t>
                      </m:r>
                    </m:sub>
                  </m:sSub>
                </m:e>
              </m:d>
            </m:den>
          </m:f>
          <m:r>
            <w:rPr>
              <w:rFonts w:ascii="Cambria Math" w:hAnsi="Cambria Math" w:cs="Times New Roman"/>
              <w:sz w:val="18"/>
              <w:szCs w:val="18"/>
            </w:rPr>
            <m:t>×100,where</m:t>
          </m:r>
          <m:r>
            <m:rPr>
              <m:sty m:val="p"/>
            </m:rPr>
            <w:rPr>
              <w:rFonts w:ascii="Cambria Math" w:hAnsi="Cambria Math" w:cs="Times New Roman"/>
              <w:sz w:val="18"/>
              <w:szCs w:val="18"/>
            </w:rPr>
            <w:br/>
          </m:r>
        </m:oMath>
      </m:oMathPara>
    </w:p>
    <w:p w14:paraId="7B52F218" w14:textId="65479FCF" w:rsidR="009C3698" w:rsidRPr="00150BB7" w:rsidRDefault="009C3698" w:rsidP="00DE763A">
      <w:pPr>
        <w:spacing w:line="220" w:lineRule="exact"/>
        <w:jc w:val="both"/>
        <w:rPr>
          <w:rFonts w:ascii="Times New Roman" w:hAnsi="Times New Roman" w:cs="Times New Roman"/>
          <w:sz w:val="18"/>
          <w:szCs w:val="18"/>
        </w:rPr>
      </w:pPr>
      <w:r w:rsidRPr="00150BB7">
        <w:rPr>
          <w:rFonts w:ascii="Times New Roman" w:hAnsi="Times New Roman" w:cs="Times New Roman"/>
          <w:sz w:val="18"/>
          <w:szCs w:val="18"/>
        </w:rPr>
        <w:lastRenderedPageBreak/>
        <w:t xml:space="preserve">Xi is the per capita normative non-Plan revenue expenditure on social and economic services in the </w:t>
      </w:r>
      <w:proofErr w:type="spellStart"/>
      <w:r w:rsidRPr="00150BB7">
        <w:rPr>
          <w:rFonts w:ascii="Times New Roman" w:hAnsi="Times New Roman" w:cs="Times New Roman"/>
          <w:sz w:val="18"/>
          <w:szCs w:val="18"/>
        </w:rPr>
        <w:t>ith</w:t>
      </w:r>
      <w:proofErr w:type="spellEnd"/>
      <w:r w:rsidRPr="00150BB7">
        <w:rPr>
          <w:rFonts w:ascii="Times New Roman" w:hAnsi="Times New Roman" w:cs="Times New Roman"/>
          <w:sz w:val="18"/>
          <w:szCs w:val="18"/>
        </w:rPr>
        <w:t xml:space="preserve"> State, </w:t>
      </w:r>
      <w:proofErr w:type="spellStart"/>
      <w:r w:rsidRPr="00150BB7">
        <w:rPr>
          <w:rFonts w:ascii="Times New Roman" w:hAnsi="Times New Roman" w:cs="Times New Roman"/>
          <w:sz w:val="18"/>
          <w:szCs w:val="18"/>
        </w:rPr>
        <w:t>X</w:t>
      </w:r>
      <w:r w:rsidR="001006D1" w:rsidRPr="00150BB7">
        <w:rPr>
          <w:rFonts w:ascii="Times New Roman" w:hAnsi="Times New Roman" w:cs="Times New Roman"/>
          <w:sz w:val="18"/>
          <w:szCs w:val="18"/>
          <w:vertAlign w:val="subscript"/>
        </w:rPr>
        <w:t>h</w:t>
      </w:r>
      <w:proofErr w:type="spellEnd"/>
      <w:r w:rsidRPr="00150BB7">
        <w:rPr>
          <w:rFonts w:ascii="Times New Roman" w:hAnsi="Times New Roman" w:cs="Times New Roman"/>
          <w:sz w:val="18"/>
          <w:szCs w:val="18"/>
        </w:rPr>
        <w:t xml:space="preserve"> is the highest per capita normative non-Plan expenditure on social and economic services in a State (Gujarat) and X</w:t>
      </w:r>
      <w:r w:rsidR="001006D1" w:rsidRPr="00150BB7">
        <w:rPr>
          <w:rFonts w:ascii="Times New Roman" w:hAnsi="Times New Roman" w:cs="Times New Roman"/>
          <w:sz w:val="18"/>
          <w:szCs w:val="18"/>
          <w:vertAlign w:val="subscript"/>
        </w:rPr>
        <w:t>I</w:t>
      </w:r>
      <w:r w:rsidRPr="00150BB7">
        <w:rPr>
          <w:rFonts w:ascii="Times New Roman" w:hAnsi="Times New Roman" w:cs="Times New Roman"/>
          <w:sz w:val="18"/>
          <w:szCs w:val="18"/>
        </w:rPr>
        <w:t xml:space="preserve"> is the lowest per capita normative non-Plan revenue expenditure in a State (Bihar).</w:t>
      </w:r>
    </w:p>
    <w:p w14:paraId="73AB85E1" w14:textId="7A7DC7D0" w:rsidR="009C3698" w:rsidRPr="00AB1F1C" w:rsidRDefault="009C3698" w:rsidP="00AB1F1C">
      <w:pPr>
        <w:spacing w:after="0"/>
        <w:jc w:val="center"/>
        <w:rPr>
          <w:rFonts w:ascii="Times New Roman" w:hAnsi="Times New Roman" w:cs="Times New Roman"/>
          <w:sz w:val="20"/>
          <w:szCs w:val="20"/>
        </w:rPr>
      </w:pPr>
      <w:r w:rsidRPr="00AB1F1C">
        <w:rPr>
          <w:rFonts w:ascii="Times New Roman" w:hAnsi="Times New Roman" w:cs="Times New Roman"/>
          <w:b/>
          <w:bCs/>
          <w:sz w:val="20"/>
          <w:szCs w:val="20"/>
        </w:rPr>
        <w:t>TABLE B.7.1</w:t>
      </w:r>
      <w:r w:rsidR="00150BB7" w:rsidRPr="00AB1F1C">
        <w:rPr>
          <w:rFonts w:ascii="Times New Roman" w:hAnsi="Times New Roman" w:cs="Times New Roman"/>
          <w:sz w:val="20"/>
          <w:szCs w:val="20"/>
        </w:rPr>
        <w:br/>
      </w:r>
      <w:r w:rsidRPr="00AB1F1C">
        <w:rPr>
          <w:rFonts w:ascii="Times New Roman" w:hAnsi="Times New Roman" w:cs="Times New Roman"/>
          <w:b/>
          <w:bCs/>
          <w:sz w:val="20"/>
          <w:szCs w:val="20"/>
        </w:rPr>
        <w:t xml:space="preserve">Determination </w:t>
      </w:r>
      <w:proofErr w:type="gramStart"/>
      <w:r w:rsidRPr="00AB1F1C">
        <w:rPr>
          <w:rFonts w:ascii="Times New Roman" w:hAnsi="Times New Roman" w:cs="Times New Roman"/>
          <w:b/>
          <w:bCs/>
          <w:sz w:val="20"/>
          <w:szCs w:val="20"/>
        </w:rPr>
        <w:t>Of</w:t>
      </w:r>
      <w:proofErr w:type="gramEnd"/>
      <w:r w:rsidRPr="00AB1F1C">
        <w:rPr>
          <w:rFonts w:ascii="Times New Roman" w:hAnsi="Times New Roman" w:cs="Times New Roman"/>
          <w:b/>
          <w:bCs/>
          <w:sz w:val="20"/>
          <w:szCs w:val="20"/>
        </w:rPr>
        <w:t xml:space="preserve"> Development Expenditure For 1994-95</w:t>
      </w:r>
    </w:p>
    <w:tbl>
      <w:tblPr>
        <w:tblW w:w="8359" w:type="dxa"/>
        <w:jc w:val="center"/>
        <w:tblLook w:val="04A0" w:firstRow="1" w:lastRow="0" w:firstColumn="1" w:lastColumn="0" w:noHBand="0" w:noVBand="1"/>
      </w:tblPr>
      <w:tblGrid>
        <w:gridCol w:w="704"/>
        <w:gridCol w:w="1843"/>
        <w:gridCol w:w="2551"/>
        <w:gridCol w:w="1843"/>
        <w:gridCol w:w="1418"/>
      </w:tblGrid>
      <w:tr w:rsidR="00150BB7" w:rsidRPr="00150BB7" w14:paraId="7A9ED05C" w14:textId="77777777" w:rsidTr="00AB1F1C">
        <w:trPr>
          <w:trHeight w:val="20"/>
          <w:jc w:val="center"/>
        </w:trPr>
        <w:tc>
          <w:tcPr>
            <w:tcW w:w="2547" w:type="dxa"/>
            <w:gridSpan w:val="2"/>
            <w:vMerge w:val="restart"/>
            <w:tcBorders>
              <w:top w:val="single" w:sz="4" w:space="0" w:color="auto"/>
              <w:left w:val="single" w:sz="4" w:space="0" w:color="auto"/>
              <w:right w:val="single" w:sz="4" w:space="0" w:color="auto"/>
            </w:tcBorders>
            <w:vAlign w:val="center"/>
            <w:hideMark/>
          </w:tcPr>
          <w:p w14:paraId="437657BF" w14:textId="77777777"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State</w:t>
            </w:r>
          </w:p>
        </w:tc>
        <w:tc>
          <w:tcPr>
            <w:tcW w:w="2551" w:type="dxa"/>
            <w:tcBorders>
              <w:top w:val="single" w:sz="4" w:space="0" w:color="auto"/>
              <w:left w:val="nil"/>
              <w:bottom w:val="single" w:sz="4" w:space="0" w:color="auto"/>
              <w:right w:val="single" w:sz="4" w:space="0" w:color="auto"/>
            </w:tcBorders>
            <w:vAlign w:val="center"/>
            <w:hideMark/>
          </w:tcPr>
          <w:p w14:paraId="2E111FEA" w14:textId="196B06EA"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 xml:space="preserve">Per Capita Normative Expenditure </w:t>
            </w:r>
            <w:proofErr w:type="gramStart"/>
            <w:r w:rsidRPr="00150BB7">
              <w:rPr>
                <w:rFonts w:ascii="Times New Roman" w:eastAsia="Times New Roman" w:hAnsi="Times New Roman" w:cs="Times New Roman"/>
                <w:b/>
                <w:bCs/>
                <w:color w:val="000000"/>
                <w:kern w:val="0"/>
                <w:sz w:val="20"/>
                <w:szCs w:val="20"/>
                <w:lang w:eastAsia="en-IN" w:bidi="ar-SA"/>
                <w14:ligatures w14:val="none"/>
              </w:rPr>
              <w:t>For</w:t>
            </w:r>
            <w:proofErr w:type="gramEnd"/>
            <w:r w:rsidRPr="00150BB7">
              <w:rPr>
                <w:rFonts w:ascii="Times New Roman" w:eastAsia="Times New Roman" w:hAnsi="Times New Roman" w:cs="Times New Roman"/>
                <w:b/>
                <w:bCs/>
                <w:color w:val="000000"/>
                <w:kern w:val="0"/>
                <w:sz w:val="20"/>
                <w:szCs w:val="20"/>
                <w:lang w:eastAsia="en-IN" w:bidi="ar-SA"/>
                <w14:ligatures w14:val="none"/>
              </w:rPr>
              <w:t xml:space="preserve"> Social </w:t>
            </w:r>
            <w:proofErr w:type="gramStart"/>
            <w:r w:rsidRPr="00150BB7">
              <w:rPr>
                <w:rFonts w:ascii="Times New Roman" w:eastAsia="Times New Roman" w:hAnsi="Times New Roman" w:cs="Times New Roman"/>
                <w:b/>
                <w:bCs/>
                <w:color w:val="000000"/>
                <w:kern w:val="0"/>
                <w:sz w:val="20"/>
                <w:szCs w:val="20"/>
                <w:lang w:eastAsia="en-IN" w:bidi="ar-SA"/>
                <w14:ligatures w14:val="none"/>
              </w:rPr>
              <w:t>And</w:t>
            </w:r>
            <w:proofErr w:type="gramEnd"/>
            <w:r w:rsidRPr="00150BB7">
              <w:rPr>
                <w:rFonts w:ascii="Times New Roman" w:eastAsia="Times New Roman" w:hAnsi="Times New Roman" w:cs="Times New Roman"/>
                <w:b/>
                <w:bCs/>
                <w:color w:val="000000"/>
                <w:kern w:val="0"/>
                <w:sz w:val="20"/>
                <w:szCs w:val="20"/>
                <w:lang w:eastAsia="en-IN" w:bidi="ar-SA"/>
                <w14:ligatures w14:val="none"/>
              </w:rPr>
              <w:t xml:space="preserve"> Economic Services In 1994-95</w:t>
            </w:r>
          </w:p>
        </w:tc>
        <w:tc>
          <w:tcPr>
            <w:tcW w:w="1843" w:type="dxa"/>
            <w:tcBorders>
              <w:top w:val="single" w:sz="4" w:space="0" w:color="auto"/>
              <w:left w:val="nil"/>
              <w:bottom w:val="single" w:sz="4" w:space="0" w:color="auto"/>
              <w:right w:val="single" w:sz="4" w:space="0" w:color="auto"/>
            </w:tcBorders>
            <w:vAlign w:val="center"/>
            <w:hideMark/>
          </w:tcPr>
          <w:p w14:paraId="62023291" w14:textId="39F50597"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 xml:space="preserve">Graduation Scale </w:t>
            </w:r>
            <w:proofErr w:type="gramStart"/>
            <w:r w:rsidRPr="00150BB7">
              <w:rPr>
                <w:rFonts w:ascii="Times New Roman" w:eastAsia="Times New Roman" w:hAnsi="Times New Roman" w:cs="Times New Roman"/>
                <w:b/>
                <w:bCs/>
                <w:color w:val="000000"/>
                <w:kern w:val="0"/>
                <w:sz w:val="20"/>
                <w:szCs w:val="20"/>
                <w:lang w:eastAsia="en-IN" w:bidi="ar-SA"/>
                <w14:ligatures w14:val="none"/>
              </w:rPr>
              <w:t>For</w:t>
            </w:r>
            <w:proofErr w:type="gramEnd"/>
            <w:r w:rsidRPr="00150BB7">
              <w:rPr>
                <w:rFonts w:ascii="Times New Roman" w:eastAsia="Times New Roman" w:hAnsi="Times New Roman" w:cs="Times New Roman"/>
                <w:b/>
                <w:bCs/>
                <w:color w:val="000000"/>
                <w:kern w:val="0"/>
                <w:sz w:val="20"/>
                <w:szCs w:val="20"/>
                <w:lang w:eastAsia="en-IN" w:bidi="ar-SA"/>
                <w14:ligatures w14:val="none"/>
              </w:rPr>
              <w:t xml:space="preserve"> </w:t>
            </w:r>
            <w:proofErr w:type="gramStart"/>
            <w:r w:rsidRPr="00150BB7">
              <w:rPr>
                <w:rFonts w:ascii="Times New Roman" w:eastAsia="Times New Roman" w:hAnsi="Times New Roman" w:cs="Times New Roman"/>
                <w:b/>
                <w:bCs/>
                <w:color w:val="000000"/>
                <w:kern w:val="0"/>
                <w:sz w:val="20"/>
                <w:szCs w:val="20"/>
                <w:lang w:eastAsia="en-IN" w:bidi="ar-SA"/>
                <w14:ligatures w14:val="none"/>
              </w:rPr>
              <w:t>The</w:t>
            </w:r>
            <w:proofErr w:type="gramEnd"/>
            <w:r w:rsidRPr="00150BB7">
              <w:rPr>
                <w:rFonts w:ascii="Times New Roman" w:eastAsia="Times New Roman" w:hAnsi="Times New Roman" w:cs="Times New Roman"/>
                <w:b/>
                <w:bCs/>
                <w:color w:val="000000"/>
                <w:kern w:val="0"/>
                <w:sz w:val="20"/>
                <w:szCs w:val="20"/>
                <w:lang w:eastAsia="en-IN" w:bidi="ar-SA"/>
                <w14:ligatures w14:val="none"/>
              </w:rPr>
              <w:t xml:space="preserve"> Range Rs. 325 to Rs. 425 *</w:t>
            </w:r>
          </w:p>
        </w:tc>
        <w:tc>
          <w:tcPr>
            <w:tcW w:w="1418" w:type="dxa"/>
            <w:tcBorders>
              <w:top w:val="single" w:sz="4" w:space="0" w:color="auto"/>
              <w:left w:val="nil"/>
              <w:bottom w:val="single" w:sz="4" w:space="0" w:color="auto"/>
              <w:right w:val="single" w:sz="4" w:space="0" w:color="auto"/>
            </w:tcBorders>
            <w:vAlign w:val="center"/>
            <w:hideMark/>
          </w:tcPr>
          <w:p w14:paraId="095AC75C" w14:textId="07E44FBF"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Per Cent Distribution **</w:t>
            </w:r>
          </w:p>
        </w:tc>
      </w:tr>
      <w:tr w:rsidR="00150BB7" w:rsidRPr="00150BB7" w14:paraId="25071688" w14:textId="77777777" w:rsidTr="00AB1F1C">
        <w:trPr>
          <w:trHeight w:val="20"/>
          <w:jc w:val="center"/>
        </w:trPr>
        <w:tc>
          <w:tcPr>
            <w:tcW w:w="2547" w:type="dxa"/>
            <w:gridSpan w:val="2"/>
            <w:vMerge/>
            <w:tcBorders>
              <w:left w:val="single" w:sz="4" w:space="0" w:color="auto"/>
              <w:bottom w:val="single" w:sz="4" w:space="0" w:color="auto"/>
              <w:right w:val="single" w:sz="4" w:space="0" w:color="auto"/>
            </w:tcBorders>
            <w:vAlign w:val="center"/>
            <w:hideMark/>
          </w:tcPr>
          <w:p w14:paraId="25C30C2E" w14:textId="77777777" w:rsidR="00150BB7" w:rsidRPr="00150BB7" w:rsidRDefault="00150BB7" w:rsidP="00150BB7">
            <w:pPr>
              <w:spacing w:after="0" w:line="240" w:lineRule="auto"/>
              <w:rPr>
                <w:rFonts w:ascii="Times New Roman" w:eastAsia="Times New Roman" w:hAnsi="Times New Roman" w:cs="Times New Roman"/>
                <w:b/>
                <w:bCs/>
                <w:color w:val="000000"/>
                <w:kern w:val="0"/>
                <w:sz w:val="20"/>
                <w:szCs w:val="20"/>
                <w:lang w:eastAsia="en-IN" w:bidi="ar-SA"/>
                <w14:ligatures w14:val="none"/>
              </w:rPr>
            </w:pPr>
          </w:p>
        </w:tc>
        <w:tc>
          <w:tcPr>
            <w:tcW w:w="2551" w:type="dxa"/>
            <w:tcBorders>
              <w:top w:val="nil"/>
              <w:left w:val="nil"/>
              <w:bottom w:val="single" w:sz="4" w:space="0" w:color="auto"/>
              <w:right w:val="single" w:sz="4" w:space="0" w:color="auto"/>
            </w:tcBorders>
            <w:vAlign w:val="center"/>
            <w:hideMark/>
          </w:tcPr>
          <w:p w14:paraId="46B719E0" w14:textId="77777777"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(Rupees)</w:t>
            </w:r>
          </w:p>
        </w:tc>
        <w:tc>
          <w:tcPr>
            <w:tcW w:w="1843" w:type="dxa"/>
            <w:tcBorders>
              <w:top w:val="nil"/>
              <w:left w:val="nil"/>
              <w:bottom w:val="single" w:sz="4" w:space="0" w:color="auto"/>
              <w:right w:val="single" w:sz="4" w:space="0" w:color="auto"/>
            </w:tcBorders>
            <w:vAlign w:val="center"/>
            <w:hideMark/>
          </w:tcPr>
          <w:p w14:paraId="7968860E" w14:textId="77777777"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(Rupees)</w:t>
            </w:r>
          </w:p>
        </w:tc>
        <w:tc>
          <w:tcPr>
            <w:tcW w:w="1418" w:type="dxa"/>
            <w:tcBorders>
              <w:top w:val="nil"/>
              <w:left w:val="nil"/>
              <w:bottom w:val="single" w:sz="4" w:space="0" w:color="auto"/>
              <w:right w:val="single" w:sz="4" w:space="0" w:color="auto"/>
            </w:tcBorders>
            <w:vAlign w:val="center"/>
            <w:hideMark/>
          </w:tcPr>
          <w:p w14:paraId="39EBC591" w14:textId="77777777" w:rsidR="00150BB7" w:rsidRPr="00150BB7" w:rsidRDefault="00150BB7"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w:t>
            </w:r>
          </w:p>
        </w:tc>
      </w:tr>
      <w:tr w:rsidR="0057542F" w:rsidRPr="00150BB7" w14:paraId="1D5ED33F"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1BF8247E"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w:t>
            </w:r>
          </w:p>
        </w:tc>
        <w:tc>
          <w:tcPr>
            <w:tcW w:w="1843" w:type="dxa"/>
            <w:tcBorders>
              <w:top w:val="nil"/>
              <w:left w:val="nil"/>
              <w:bottom w:val="single" w:sz="4" w:space="0" w:color="auto"/>
              <w:right w:val="single" w:sz="4" w:space="0" w:color="auto"/>
            </w:tcBorders>
            <w:vAlign w:val="center"/>
            <w:hideMark/>
          </w:tcPr>
          <w:p w14:paraId="199CBB62"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Andhra Pradesh</w:t>
            </w:r>
          </w:p>
        </w:tc>
        <w:tc>
          <w:tcPr>
            <w:tcW w:w="2551" w:type="dxa"/>
            <w:tcBorders>
              <w:top w:val="nil"/>
              <w:left w:val="nil"/>
              <w:bottom w:val="single" w:sz="4" w:space="0" w:color="auto"/>
              <w:right w:val="single" w:sz="4" w:space="0" w:color="auto"/>
            </w:tcBorders>
            <w:vAlign w:val="center"/>
            <w:hideMark/>
          </w:tcPr>
          <w:p w14:paraId="2CCD6EA0"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274.88</w:t>
            </w:r>
          </w:p>
        </w:tc>
        <w:tc>
          <w:tcPr>
            <w:tcW w:w="1843" w:type="dxa"/>
            <w:tcBorders>
              <w:top w:val="nil"/>
              <w:left w:val="nil"/>
              <w:bottom w:val="single" w:sz="4" w:space="0" w:color="auto"/>
              <w:right w:val="single" w:sz="4" w:space="0" w:color="auto"/>
            </w:tcBorders>
            <w:vAlign w:val="center"/>
            <w:hideMark/>
          </w:tcPr>
          <w:p w14:paraId="6019C9AA"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387.84</w:t>
            </w:r>
          </w:p>
        </w:tc>
        <w:tc>
          <w:tcPr>
            <w:tcW w:w="1418" w:type="dxa"/>
            <w:tcBorders>
              <w:top w:val="nil"/>
              <w:left w:val="nil"/>
              <w:bottom w:val="single" w:sz="4" w:space="0" w:color="auto"/>
              <w:right w:val="single" w:sz="4" w:space="0" w:color="auto"/>
            </w:tcBorders>
            <w:vAlign w:val="center"/>
            <w:hideMark/>
          </w:tcPr>
          <w:p w14:paraId="585A5AEB"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8.363</w:t>
            </w:r>
          </w:p>
        </w:tc>
      </w:tr>
      <w:tr w:rsidR="0057542F" w:rsidRPr="00150BB7" w14:paraId="5F169992"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59DAE49D"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w:t>
            </w:r>
          </w:p>
        </w:tc>
        <w:tc>
          <w:tcPr>
            <w:tcW w:w="1843" w:type="dxa"/>
            <w:tcBorders>
              <w:top w:val="nil"/>
              <w:left w:val="nil"/>
              <w:bottom w:val="single" w:sz="4" w:space="0" w:color="auto"/>
              <w:right w:val="single" w:sz="4" w:space="0" w:color="auto"/>
            </w:tcBorders>
            <w:vAlign w:val="center"/>
            <w:hideMark/>
          </w:tcPr>
          <w:p w14:paraId="3D8134E0"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Bihar</w:t>
            </w:r>
          </w:p>
        </w:tc>
        <w:tc>
          <w:tcPr>
            <w:tcW w:w="2551" w:type="dxa"/>
            <w:tcBorders>
              <w:top w:val="nil"/>
              <w:left w:val="nil"/>
              <w:bottom w:val="single" w:sz="4" w:space="0" w:color="auto"/>
              <w:right w:val="single" w:sz="4" w:space="0" w:color="auto"/>
            </w:tcBorders>
            <w:vAlign w:val="center"/>
            <w:hideMark/>
          </w:tcPr>
          <w:p w14:paraId="20D6470D"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190.89</w:t>
            </w:r>
          </w:p>
        </w:tc>
        <w:tc>
          <w:tcPr>
            <w:tcW w:w="1843" w:type="dxa"/>
            <w:tcBorders>
              <w:top w:val="nil"/>
              <w:left w:val="nil"/>
              <w:bottom w:val="single" w:sz="4" w:space="0" w:color="auto"/>
              <w:right w:val="single" w:sz="4" w:space="0" w:color="auto"/>
            </w:tcBorders>
            <w:vAlign w:val="center"/>
            <w:hideMark/>
          </w:tcPr>
          <w:p w14:paraId="577070BF" w14:textId="126F9E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425</w:t>
            </w:r>
            <w:r w:rsidR="009141DF">
              <w:rPr>
                <w:rFonts w:ascii="Times New Roman" w:eastAsia="Times New Roman" w:hAnsi="Times New Roman" w:cs="Times New Roman"/>
                <w:color w:val="000000"/>
                <w:kern w:val="0"/>
                <w:sz w:val="20"/>
                <w:szCs w:val="20"/>
                <w:lang w:eastAsia="en-IN" w:bidi="ar-SA"/>
                <w14:ligatures w14:val="none"/>
              </w:rPr>
              <w:t>.00</w:t>
            </w:r>
          </w:p>
        </w:tc>
        <w:tc>
          <w:tcPr>
            <w:tcW w:w="1418" w:type="dxa"/>
            <w:tcBorders>
              <w:top w:val="nil"/>
              <w:left w:val="nil"/>
              <w:bottom w:val="single" w:sz="4" w:space="0" w:color="auto"/>
              <w:right w:val="single" w:sz="4" w:space="0" w:color="auto"/>
            </w:tcBorders>
            <w:vAlign w:val="center"/>
            <w:hideMark/>
          </w:tcPr>
          <w:p w14:paraId="0FA243FA"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12.614</w:t>
            </w:r>
          </w:p>
        </w:tc>
      </w:tr>
      <w:tr w:rsidR="0057542F" w:rsidRPr="00150BB7" w14:paraId="600B18ED"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010E6862"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w:t>
            </w:r>
          </w:p>
        </w:tc>
        <w:tc>
          <w:tcPr>
            <w:tcW w:w="1843" w:type="dxa"/>
            <w:tcBorders>
              <w:top w:val="nil"/>
              <w:left w:val="nil"/>
              <w:bottom w:val="single" w:sz="4" w:space="0" w:color="auto"/>
              <w:right w:val="single" w:sz="4" w:space="0" w:color="auto"/>
            </w:tcBorders>
            <w:vAlign w:val="center"/>
            <w:hideMark/>
          </w:tcPr>
          <w:p w14:paraId="20C7321F"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Gujarat</w:t>
            </w:r>
          </w:p>
        </w:tc>
        <w:tc>
          <w:tcPr>
            <w:tcW w:w="2551" w:type="dxa"/>
            <w:tcBorders>
              <w:top w:val="nil"/>
              <w:left w:val="nil"/>
              <w:bottom w:val="single" w:sz="4" w:space="0" w:color="auto"/>
              <w:right w:val="single" w:sz="4" w:space="0" w:color="auto"/>
            </w:tcBorders>
            <w:vAlign w:val="center"/>
            <w:hideMark/>
          </w:tcPr>
          <w:p w14:paraId="14DAA3C9"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416.93</w:t>
            </w:r>
          </w:p>
        </w:tc>
        <w:tc>
          <w:tcPr>
            <w:tcW w:w="1843" w:type="dxa"/>
            <w:tcBorders>
              <w:top w:val="nil"/>
              <w:left w:val="nil"/>
              <w:bottom w:val="single" w:sz="4" w:space="0" w:color="auto"/>
              <w:right w:val="single" w:sz="4" w:space="0" w:color="auto"/>
            </w:tcBorders>
            <w:vAlign w:val="center"/>
            <w:hideMark/>
          </w:tcPr>
          <w:p w14:paraId="22CA10CE" w14:textId="3A5016E3"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325</w:t>
            </w:r>
            <w:r w:rsidR="009141DF">
              <w:rPr>
                <w:rFonts w:ascii="Times New Roman" w:eastAsia="Times New Roman" w:hAnsi="Times New Roman" w:cs="Times New Roman"/>
                <w:color w:val="000000"/>
                <w:kern w:val="0"/>
                <w:sz w:val="20"/>
                <w:szCs w:val="20"/>
                <w:lang w:eastAsia="en-IN" w:bidi="ar-SA"/>
                <w14:ligatures w14:val="none"/>
              </w:rPr>
              <w:t>.00</w:t>
            </w:r>
          </w:p>
        </w:tc>
        <w:tc>
          <w:tcPr>
            <w:tcW w:w="1418" w:type="dxa"/>
            <w:tcBorders>
              <w:top w:val="nil"/>
              <w:left w:val="nil"/>
              <w:bottom w:val="single" w:sz="4" w:space="0" w:color="auto"/>
              <w:right w:val="single" w:sz="4" w:space="0" w:color="auto"/>
            </w:tcBorders>
            <w:vAlign w:val="center"/>
            <w:hideMark/>
          </w:tcPr>
          <w:p w14:paraId="3CF36233"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4.448</w:t>
            </w:r>
          </w:p>
        </w:tc>
      </w:tr>
      <w:tr w:rsidR="0057542F" w:rsidRPr="00150BB7" w14:paraId="60DC6BFB"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24C82EE4"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w:t>
            </w:r>
          </w:p>
        </w:tc>
        <w:tc>
          <w:tcPr>
            <w:tcW w:w="1843" w:type="dxa"/>
            <w:tcBorders>
              <w:top w:val="nil"/>
              <w:left w:val="nil"/>
              <w:bottom w:val="single" w:sz="4" w:space="0" w:color="auto"/>
              <w:right w:val="single" w:sz="4" w:space="0" w:color="auto"/>
            </w:tcBorders>
            <w:vAlign w:val="center"/>
            <w:hideMark/>
          </w:tcPr>
          <w:p w14:paraId="2EBB9ECC"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Haryana</w:t>
            </w:r>
          </w:p>
        </w:tc>
        <w:tc>
          <w:tcPr>
            <w:tcW w:w="2551" w:type="dxa"/>
            <w:tcBorders>
              <w:top w:val="nil"/>
              <w:left w:val="nil"/>
              <w:bottom w:val="single" w:sz="4" w:space="0" w:color="auto"/>
              <w:right w:val="single" w:sz="4" w:space="0" w:color="auto"/>
            </w:tcBorders>
            <w:vAlign w:val="center"/>
            <w:hideMark/>
          </w:tcPr>
          <w:p w14:paraId="6EC7B3E6"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290.97</w:t>
            </w:r>
          </w:p>
        </w:tc>
        <w:tc>
          <w:tcPr>
            <w:tcW w:w="1843" w:type="dxa"/>
            <w:tcBorders>
              <w:top w:val="nil"/>
              <w:left w:val="nil"/>
              <w:bottom w:val="single" w:sz="4" w:space="0" w:color="auto"/>
              <w:right w:val="single" w:sz="4" w:space="0" w:color="auto"/>
            </w:tcBorders>
            <w:vAlign w:val="center"/>
            <w:hideMark/>
          </w:tcPr>
          <w:p w14:paraId="7E4D7CCE"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380.72</w:t>
            </w:r>
          </w:p>
        </w:tc>
        <w:tc>
          <w:tcPr>
            <w:tcW w:w="1418" w:type="dxa"/>
            <w:tcBorders>
              <w:top w:val="nil"/>
              <w:left w:val="nil"/>
              <w:bottom w:val="single" w:sz="4" w:space="0" w:color="auto"/>
              <w:right w:val="single" w:sz="4" w:space="0" w:color="auto"/>
            </w:tcBorders>
            <w:vAlign w:val="center"/>
            <w:hideMark/>
          </w:tcPr>
          <w:p w14:paraId="7DB9ED95"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2.111</w:t>
            </w:r>
          </w:p>
        </w:tc>
      </w:tr>
      <w:tr w:rsidR="0057542F" w:rsidRPr="00150BB7" w14:paraId="22B9821C"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032769F5"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5</w:t>
            </w:r>
          </w:p>
        </w:tc>
        <w:tc>
          <w:tcPr>
            <w:tcW w:w="1843" w:type="dxa"/>
            <w:tcBorders>
              <w:top w:val="nil"/>
              <w:left w:val="nil"/>
              <w:bottom w:val="single" w:sz="4" w:space="0" w:color="auto"/>
              <w:right w:val="single" w:sz="4" w:space="0" w:color="auto"/>
            </w:tcBorders>
            <w:vAlign w:val="center"/>
            <w:hideMark/>
          </w:tcPr>
          <w:p w14:paraId="1A189374"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Karnataka</w:t>
            </w:r>
          </w:p>
        </w:tc>
        <w:tc>
          <w:tcPr>
            <w:tcW w:w="2551" w:type="dxa"/>
            <w:tcBorders>
              <w:top w:val="nil"/>
              <w:left w:val="nil"/>
              <w:bottom w:val="single" w:sz="4" w:space="0" w:color="auto"/>
              <w:right w:val="single" w:sz="4" w:space="0" w:color="auto"/>
            </w:tcBorders>
            <w:vAlign w:val="center"/>
            <w:hideMark/>
          </w:tcPr>
          <w:p w14:paraId="3BDD8C81"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333.89</w:t>
            </w:r>
          </w:p>
        </w:tc>
        <w:tc>
          <w:tcPr>
            <w:tcW w:w="1843" w:type="dxa"/>
            <w:tcBorders>
              <w:top w:val="nil"/>
              <w:left w:val="nil"/>
              <w:bottom w:val="single" w:sz="4" w:space="0" w:color="auto"/>
              <w:right w:val="single" w:sz="4" w:space="0" w:color="auto"/>
            </w:tcBorders>
            <w:vAlign w:val="center"/>
            <w:hideMark/>
          </w:tcPr>
          <w:p w14:paraId="3D6406A8"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361.73</w:t>
            </w:r>
          </w:p>
        </w:tc>
        <w:tc>
          <w:tcPr>
            <w:tcW w:w="1418" w:type="dxa"/>
            <w:tcBorders>
              <w:top w:val="nil"/>
              <w:left w:val="nil"/>
              <w:bottom w:val="single" w:sz="4" w:space="0" w:color="auto"/>
              <w:right w:val="single" w:sz="4" w:space="0" w:color="auto"/>
            </w:tcBorders>
            <w:vAlign w:val="center"/>
            <w:hideMark/>
          </w:tcPr>
          <w:p w14:paraId="4160340C"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5.516</w:t>
            </w:r>
          </w:p>
        </w:tc>
      </w:tr>
      <w:tr w:rsidR="0057542F" w:rsidRPr="00150BB7" w14:paraId="53F8E6B2"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41C1262B"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6</w:t>
            </w:r>
          </w:p>
        </w:tc>
        <w:tc>
          <w:tcPr>
            <w:tcW w:w="1843" w:type="dxa"/>
            <w:tcBorders>
              <w:top w:val="nil"/>
              <w:left w:val="nil"/>
              <w:bottom w:val="single" w:sz="4" w:space="0" w:color="auto"/>
              <w:right w:val="single" w:sz="4" w:space="0" w:color="auto"/>
            </w:tcBorders>
            <w:vAlign w:val="center"/>
            <w:hideMark/>
          </w:tcPr>
          <w:p w14:paraId="29E209BA"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Kerala</w:t>
            </w:r>
          </w:p>
        </w:tc>
        <w:tc>
          <w:tcPr>
            <w:tcW w:w="2551" w:type="dxa"/>
            <w:tcBorders>
              <w:top w:val="nil"/>
              <w:left w:val="nil"/>
              <w:bottom w:val="single" w:sz="4" w:space="0" w:color="auto"/>
              <w:right w:val="single" w:sz="4" w:space="0" w:color="auto"/>
            </w:tcBorders>
            <w:vAlign w:val="center"/>
            <w:hideMark/>
          </w:tcPr>
          <w:p w14:paraId="5F9BF0B2"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413.21</w:t>
            </w:r>
          </w:p>
        </w:tc>
        <w:tc>
          <w:tcPr>
            <w:tcW w:w="1843" w:type="dxa"/>
            <w:tcBorders>
              <w:top w:val="nil"/>
              <w:left w:val="nil"/>
              <w:bottom w:val="single" w:sz="4" w:space="0" w:color="auto"/>
              <w:right w:val="single" w:sz="4" w:space="0" w:color="auto"/>
            </w:tcBorders>
            <w:vAlign w:val="center"/>
            <w:hideMark/>
          </w:tcPr>
          <w:p w14:paraId="7C6DCB7B"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326.65</w:t>
            </w:r>
          </w:p>
        </w:tc>
        <w:tc>
          <w:tcPr>
            <w:tcW w:w="1418" w:type="dxa"/>
            <w:tcBorders>
              <w:top w:val="nil"/>
              <w:left w:val="nil"/>
              <w:bottom w:val="single" w:sz="4" w:space="0" w:color="auto"/>
              <w:right w:val="single" w:sz="4" w:space="0" w:color="auto"/>
            </w:tcBorders>
            <w:vAlign w:val="center"/>
            <w:hideMark/>
          </w:tcPr>
          <w:p w14:paraId="1B242054"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3.28</w:t>
            </w:r>
          </w:p>
        </w:tc>
      </w:tr>
      <w:tr w:rsidR="0057542F" w:rsidRPr="00150BB7" w14:paraId="6EA53B40"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0EB70CA4"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7</w:t>
            </w:r>
          </w:p>
        </w:tc>
        <w:tc>
          <w:tcPr>
            <w:tcW w:w="1843" w:type="dxa"/>
            <w:tcBorders>
              <w:top w:val="nil"/>
              <w:left w:val="nil"/>
              <w:bottom w:val="single" w:sz="4" w:space="0" w:color="auto"/>
              <w:right w:val="single" w:sz="4" w:space="0" w:color="auto"/>
            </w:tcBorders>
            <w:vAlign w:val="center"/>
            <w:hideMark/>
          </w:tcPr>
          <w:p w14:paraId="1F6C981E"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Madhya Pradesh</w:t>
            </w:r>
          </w:p>
        </w:tc>
        <w:tc>
          <w:tcPr>
            <w:tcW w:w="2551" w:type="dxa"/>
            <w:tcBorders>
              <w:top w:val="nil"/>
              <w:left w:val="nil"/>
              <w:bottom w:val="single" w:sz="4" w:space="0" w:color="auto"/>
              <w:right w:val="single" w:sz="4" w:space="0" w:color="auto"/>
            </w:tcBorders>
            <w:vAlign w:val="center"/>
            <w:hideMark/>
          </w:tcPr>
          <w:p w14:paraId="241474A4"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236.44</w:t>
            </w:r>
          </w:p>
        </w:tc>
        <w:tc>
          <w:tcPr>
            <w:tcW w:w="1843" w:type="dxa"/>
            <w:tcBorders>
              <w:top w:val="nil"/>
              <w:left w:val="nil"/>
              <w:bottom w:val="single" w:sz="4" w:space="0" w:color="auto"/>
              <w:right w:val="single" w:sz="4" w:space="0" w:color="auto"/>
            </w:tcBorders>
            <w:vAlign w:val="center"/>
            <w:hideMark/>
          </w:tcPr>
          <w:p w14:paraId="3FCB84D4"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404.85</w:t>
            </w:r>
          </w:p>
        </w:tc>
        <w:tc>
          <w:tcPr>
            <w:tcW w:w="1418" w:type="dxa"/>
            <w:tcBorders>
              <w:top w:val="nil"/>
              <w:left w:val="nil"/>
              <w:bottom w:val="single" w:sz="4" w:space="0" w:color="auto"/>
              <w:right w:val="single" w:sz="4" w:space="0" w:color="auto"/>
            </w:tcBorders>
            <w:vAlign w:val="center"/>
            <w:hideMark/>
          </w:tcPr>
          <w:p w14:paraId="7DB39D44"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8.822</w:t>
            </w:r>
          </w:p>
        </w:tc>
      </w:tr>
      <w:tr w:rsidR="0057542F" w:rsidRPr="00150BB7" w14:paraId="2506CCF6"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53DF08B3"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8</w:t>
            </w:r>
          </w:p>
        </w:tc>
        <w:tc>
          <w:tcPr>
            <w:tcW w:w="1843" w:type="dxa"/>
            <w:tcBorders>
              <w:top w:val="nil"/>
              <w:left w:val="nil"/>
              <w:bottom w:val="single" w:sz="4" w:space="0" w:color="auto"/>
              <w:right w:val="single" w:sz="4" w:space="0" w:color="auto"/>
            </w:tcBorders>
            <w:vAlign w:val="center"/>
            <w:hideMark/>
          </w:tcPr>
          <w:p w14:paraId="2E5D9E02"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Maharashtra</w:t>
            </w:r>
          </w:p>
        </w:tc>
        <w:tc>
          <w:tcPr>
            <w:tcW w:w="2551" w:type="dxa"/>
            <w:tcBorders>
              <w:top w:val="nil"/>
              <w:left w:val="nil"/>
              <w:bottom w:val="single" w:sz="4" w:space="0" w:color="auto"/>
              <w:right w:val="single" w:sz="4" w:space="0" w:color="auto"/>
            </w:tcBorders>
            <w:vAlign w:val="center"/>
            <w:hideMark/>
          </w:tcPr>
          <w:p w14:paraId="58838A8B"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353.86</w:t>
            </w:r>
          </w:p>
        </w:tc>
        <w:tc>
          <w:tcPr>
            <w:tcW w:w="1843" w:type="dxa"/>
            <w:tcBorders>
              <w:top w:val="nil"/>
              <w:left w:val="nil"/>
              <w:bottom w:val="single" w:sz="4" w:space="0" w:color="auto"/>
              <w:right w:val="single" w:sz="4" w:space="0" w:color="auto"/>
            </w:tcBorders>
            <w:vAlign w:val="center"/>
            <w:hideMark/>
          </w:tcPr>
          <w:p w14:paraId="4966CBD7"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352.9</w:t>
            </w:r>
          </w:p>
        </w:tc>
        <w:tc>
          <w:tcPr>
            <w:tcW w:w="1418" w:type="dxa"/>
            <w:tcBorders>
              <w:top w:val="nil"/>
              <w:left w:val="nil"/>
              <w:bottom w:val="single" w:sz="4" w:space="0" w:color="auto"/>
              <w:right w:val="single" w:sz="4" w:space="0" w:color="auto"/>
            </w:tcBorders>
            <w:vAlign w:val="center"/>
            <w:hideMark/>
          </w:tcPr>
          <w:p w14:paraId="07A6CCAD"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8.889</w:t>
            </w:r>
          </w:p>
        </w:tc>
      </w:tr>
      <w:tr w:rsidR="0057542F" w:rsidRPr="00150BB7" w14:paraId="799C7EA3"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10F1B11E"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9</w:t>
            </w:r>
          </w:p>
        </w:tc>
        <w:tc>
          <w:tcPr>
            <w:tcW w:w="1843" w:type="dxa"/>
            <w:tcBorders>
              <w:top w:val="nil"/>
              <w:left w:val="nil"/>
              <w:bottom w:val="single" w:sz="4" w:space="0" w:color="auto"/>
              <w:right w:val="single" w:sz="4" w:space="0" w:color="auto"/>
            </w:tcBorders>
            <w:vAlign w:val="center"/>
            <w:hideMark/>
          </w:tcPr>
          <w:p w14:paraId="232484C5"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Orissa</w:t>
            </w:r>
          </w:p>
        </w:tc>
        <w:tc>
          <w:tcPr>
            <w:tcW w:w="2551" w:type="dxa"/>
            <w:tcBorders>
              <w:top w:val="nil"/>
              <w:left w:val="nil"/>
              <w:bottom w:val="single" w:sz="4" w:space="0" w:color="auto"/>
              <w:right w:val="single" w:sz="4" w:space="0" w:color="auto"/>
            </w:tcBorders>
            <w:vAlign w:val="center"/>
            <w:hideMark/>
          </w:tcPr>
          <w:p w14:paraId="4B064E3C"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296.09</w:t>
            </w:r>
          </w:p>
        </w:tc>
        <w:tc>
          <w:tcPr>
            <w:tcW w:w="1843" w:type="dxa"/>
            <w:tcBorders>
              <w:top w:val="nil"/>
              <w:left w:val="nil"/>
              <w:bottom w:val="single" w:sz="4" w:space="0" w:color="auto"/>
              <w:right w:val="single" w:sz="4" w:space="0" w:color="auto"/>
            </w:tcBorders>
            <w:vAlign w:val="center"/>
            <w:hideMark/>
          </w:tcPr>
          <w:p w14:paraId="4BF43760"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378.46</w:t>
            </w:r>
          </w:p>
        </w:tc>
        <w:tc>
          <w:tcPr>
            <w:tcW w:w="1418" w:type="dxa"/>
            <w:tcBorders>
              <w:top w:val="nil"/>
              <w:left w:val="nil"/>
              <w:bottom w:val="single" w:sz="4" w:space="0" w:color="auto"/>
              <w:right w:val="single" w:sz="4" w:space="0" w:color="auto"/>
            </w:tcBorders>
            <w:vAlign w:val="center"/>
            <w:hideMark/>
          </w:tcPr>
          <w:p w14:paraId="72FD4712"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4.005</w:t>
            </w:r>
          </w:p>
        </w:tc>
      </w:tr>
      <w:tr w:rsidR="0057542F" w:rsidRPr="00150BB7" w14:paraId="01FBCBEF"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03B33239"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10</w:t>
            </w:r>
          </w:p>
        </w:tc>
        <w:tc>
          <w:tcPr>
            <w:tcW w:w="1843" w:type="dxa"/>
            <w:tcBorders>
              <w:top w:val="nil"/>
              <w:left w:val="nil"/>
              <w:bottom w:val="single" w:sz="4" w:space="0" w:color="auto"/>
              <w:right w:val="single" w:sz="4" w:space="0" w:color="auto"/>
            </w:tcBorders>
            <w:vAlign w:val="center"/>
            <w:hideMark/>
          </w:tcPr>
          <w:p w14:paraId="0C9A63B1"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Punjab</w:t>
            </w:r>
          </w:p>
        </w:tc>
        <w:tc>
          <w:tcPr>
            <w:tcW w:w="2551" w:type="dxa"/>
            <w:tcBorders>
              <w:top w:val="nil"/>
              <w:left w:val="nil"/>
              <w:bottom w:val="single" w:sz="4" w:space="0" w:color="auto"/>
              <w:right w:val="single" w:sz="4" w:space="0" w:color="auto"/>
            </w:tcBorders>
            <w:vAlign w:val="center"/>
            <w:hideMark/>
          </w:tcPr>
          <w:p w14:paraId="19EF2C82"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352.32</w:t>
            </w:r>
          </w:p>
        </w:tc>
        <w:tc>
          <w:tcPr>
            <w:tcW w:w="1843" w:type="dxa"/>
            <w:tcBorders>
              <w:top w:val="nil"/>
              <w:left w:val="nil"/>
              <w:bottom w:val="single" w:sz="4" w:space="0" w:color="auto"/>
              <w:right w:val="single" w:sz="4" w:space="0" w:color="auto"/>
            </w:tcBorders>
            <w:vAlign w:val="center"/>
            <w:hideMark/>
          </w:tcPr>
          <w:p w14:paraId="078B3B57"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353.58</w:t>
            </w:r>
          </w:p>
        </w:tc>
        <w:tc>
          <w:tcPr>
            <w:tcW w:w="1418" w:type="dxa"/>
            <w:tcBorders>
              <w:top w:val="nil"/>
              <w:left w:val="nil"/>
              <w:bottom w:val="single" w:sz="4" w:space="0" w:color="auto"/>
              <w:right w:val="single" w:sz="4" w:space="0" w:color="auto"/>
            </w:tcBorders>
            <w:vAlign w:val="center"/>
            <w:hideMark/>
          </w:tcPr>
          <w:p w14:paraId="0370305B"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2.315</w:t>
            </w:r>
          </w:p>
        </w:tc>
      </w:tr>
      <w:tr w:rsidR="0057542F" w:rsidRPr="00150BB7" w14:paraId="523FF4FE"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33CB3E22"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11</w:t>
            </w:r>
          </w:p>
        </w:tc>
        <w:tc>
          <w:tcPr>
            <w:tcW w:w="1843" w:type="dxa"/>
            <w:tcBorders>
              <w:top w:val="nil"/>
              <w:left w:val="nil"/>
              <w:bottom w:val="single" w:sz="4" w:space="0" w:color="auto"/>
              <w:right w:val="single" w:sz="4" w:space="0" w:color="auto"/>
            </w:tcBorders>
            <w:vAlign w:val="center"/>
            <w:hideMark/>
          </w:tcPr>
          <w:p w14:paraId="171B5B93"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Rajasthan</w:t>
            </w:r>
          </w:p>
        </w:tc>
        <w:tc>
          <w:tcPr>
            <w:tcW w:w="2551" w:type="dxa"/>
            <w:tcBorders>
              <w:top w:val="nil"/>
              <w:left w:val="nil"/>
              <w:bottom w:val="single" w:sz="4" w:space="0" w:color="auto"/>
              <w:right w:val="single" w:sz="4" w:space="0" w:color="auto"/>
            </w:tcBorders>
            <w:vAlign w:val="center"/>
            <w:hideMark/>
          </w:tcPr>
          <w:p w14:paraId="0F94C9E2"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248.78</w:t>
            </w:r>
          </w:p>
        </w:tc>
        <w:tc>
          <w:tcPr>
            <w:tcW w:w="1843" w:type="dxa"/>
            <w:tcBorders>
              <w:top w:val="nil"/>
              <w:left w:val="nil"/>
              <w:bottom w:val="single" w:sz="4" w:space="0" w:color="auto"/>
              <w:right w:val="single" w:sz="4" w:space="0" w:color="auto"/>
            </w:tcBorders>
            <w:vAlign w:val="center"/>
            <w:hideMark/>
          </w:tcPr>
          <w:p w14:paraId="5A118E69"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399.39</w:t>
            </w:r>
          </w:p>
        </w:tc>
        <w:tc>
          <w:tcPr>
            <w:tcW w:w="1418" w:type="dxa"/>
            <w:tcBorders>
              <w:top w:val="nil"/>
              <w:left w:val="nil"/>
              <w:bottom w:val="single" w:sz="4" w:space="0" w:color="auto"/>
              <w:right w:val="single" w:sz="4" w:space="0" w:color="auto"/>
            </w:tcBorders>
            <w:vAlign w:val="center"/>
            <w:hideMark/>
          </w:tcPr>
          <w:p w14:paraId="6E912B88"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6.182</w:t>
            </w:r>
          </w:p>
        </w:tc>
      </w:tr>
      <w:tr w:rsidR="0057542F" w:rsidRPr="00150BB7" w14:paraId="56A61FF2"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7AA6A663"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12</w:t>
            </w:r>
          </w:p>
        </w:tc>
        <w:tc>
          <w:tcPr>
            <w:tcW w:w="1843" w:type="dxa"/>
            <w:tcBorders>
              <w:top w:val="nil"/>
              <w:left w:val="nil"/>
              <w:bottom w:val="single" w:sz="4" w:space="0" w:color="auto"/>
              <w:right w:val="single" w:sz="4" w:space="0" w:color="auto"/>
            </w:tcBorders>
            <w:vAlign w:val="center"/>
            <w:hideMark/>
          </w:tcPr>
          <w:p w14:paraId="664A164E"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Tamil Nadu</w:t>
            </w:r>
          </w:p>
        </w:tc>
        <w:tc>
          <w:tcPr>
            <w:tcW w:w="2551" w:type="dxa"/>
            <w:tcBorders>
              <w:top w:val="nil"/>
              <w:left w:val="nil"/>
              <w:bottom w:val="single" w:sz="4" w:space="0" w:color="auto"/>
              <w:right w:val="single" w:sz="4" w:space="0" w:color="auto"/>
            </w:tcBorders>
            <w:vAlign w:val="center"/>
            <w:hideMark/>
          </w:tcPr>
          <w:p w14:paraId="43468F5E"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410.67</w:t>
            </w:r>
          </w:p>
        </w:tc>
        <w:tc>
          <w:tcPr>
            <w:tcW w:w="1843" w:type="dxa"/>
            <w:tcBorders>
              <w:top w:val="nil"/>
              <w:left w:val="nil"/>
              <w:bottom w:val="single" w:sz="4" w:space="0" w:color="auto"/>
              <w:right w:val="single" w:sz="4" w:space="0" w:color="auto"/>
            </w:tcBorders>
            <w:vAlign w:val="center"/>
            <w:hideMark/>
          </w:tcPr>
          <w:p w14:paraId="04F6EB9C"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327.77</w:t>
            </w:r>
          </w:p>
        </w:tc>
        <w:tc>
          <w:tcPr>
            <w:tcW w:w="1418" w:type="dxa"/>
            <w:tcBorders>
              <w:top w:val="nil"/>
              <w:left w:val="nil"/>
              <w:bottom w:val="single" w:sz="4" w:space="0" w:color="auto"/>
              <w:right w:val="single" w:sz="4" w:space="0" w:color="auto"/>
            </w:tcBorders>
            <w:vAlign w:val="center"/>
            <w:hideMark/>
          </w:tcPr>
          <w:p w14:paraId="0FB966B6"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6.135</w:t>
            </w:r>
          </w:p>
        </w:tc>
      </w:tr>
      <w:tr w:rsidR="0057542F" w:rsidRPr="00150BB7" w14:paraId="5B853849"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3E2459DC"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13</w:t>
            </w:r>
          </w:p>
        </w:tc>
        <w:tc>
          <w:tcPr>
            <w:tcW w:w="1843" w:type="dxa"/>
            <w:tcBorders>
              <w:top w:val="nil"/>
              <w:left w:val="nil"/>
              <w:bottom w:val="single" w:sz="4" w:space="0" w:color="auto"/>
              <w:right w:val="single" w:sz="4" w:space="0" w:color="auto"/>
            </w:tcBorders>
            <w:vAlign w:val="center"/>
            <w:hideMark/>
          </w:tcPr>
          <w:p w14:paraId="139829B0"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Uttar Pradesh</w:t>
            </w:r>
          </w:p>
        </w:tc>
        <w:tc>
          <w:tcPr>
            <w:tcW w:w="2551" w:type="dxa"/>
            <w:tcBorders>
              <w:top w:val="nil"/>
              <w:left w:val="nil"/>
              <w:bottom w:val="single" w:sz="4" w:space="0" w:color="auto"/>
              <w:right w:val="single" w:sz="4" w:space="0" w:color="auto"/>
            </w:tcBorders>
            <w:vAlign w:val="center"/>
            <w:hideMark/>
          </w:tcPr>
          <w:p w14:paraId="4F83F378"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222.74</w:t>
            </w:r>
          </w:p>
        </w:tc>
        <w:tc>
          <w:tcPr>
            <w:tcW w:w="1843" w:type="dxa"/>
            <w:tcBorders>
              <w:top w:val="nil"/>
              <w:left w:val="nil"/>
              <w:bottom w:val="single" w:sz="4" w:space="0" w:color="auto"/>
              <w:right w:val="single" w:sz="4" w:space="0" w:color="auto"/>
            </w:tcBorders>
            <w:vAlign w:val="center"/>
            <w:hideMark/>
          </w:tcPr>
          <w:p w14:paraId="142014B8"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410.91</w:t>
            </w:r>
          </w:p>
        </w:tc>
        <w:tc>
          <w:tcPr>
            <w:tcW w:w="1418" w:type="dxa"/>
            <w:tcBorders>
              <w:top w:val="nil"/>
              <w:left w:val="nil"/>
              <w:bottom w:val="single" w:sz="4" w:space="0" w:color="auto"/>
              <w:right w:val="single" w:sz="4" w:space="0" w:color="auto"/>
            </w:tcBorders>
            <w:vAlign w:val="center"/>
            <w:hideMark/>
          </w:tcPr>
          <w:p w14:paraId="2DC78D51" w14:textId="2D8ADB55"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19.16</w:t>
            </w:r>
            <w:r w:rsidR="009141DF">
              <w:rPr>
                <w:rFonts w:ascii="Times New Roman" w:eastAsia="Times New Roman" w:hAnsi="Times New Roman" w:cs="Times New Roman"/>
                <w:color w:val="000000"/>
                <w:kern w:val="0"/>
                <w:sz w:val="20"/>
                <w:szCs w:val="20"/>
                <w:lang w:eastAsia="en-IN" w:bidi="ar-SA"/>
                <w14:ligatures w14:val="none"/>
              </w:rPr>
              <w:t>0</w:t>
            </w:r>
          </w:p>
        </w:tc>
      </w:tr>
      <w:tr w:rsidR="0057542F" w:rsidRPr="00150BB7" w14:paraId="22BA22E5"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20CD3CE3"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14</w:t>
            </w:r>
          </w:p>
        </w:tc>
        <w:tc>
          <w:tcPr>
            <w:tcW w:w="1843" w:type="dxa"/>
            <w:tcBorders>
              <w:top w:val="nil"/>
              <w:left w:val="nil"/>
              <w:bottom w:val="single" w:sz="4" w:space="0" w:color="auto"/>
              <w:right w:val="single" w:sz="4" w:space="0" w:color="auto"/>
            </w:tcBorders>
            <w:vAlign w:val="center"/>
            <w:hideMark/>
          </w:tcPr>
          <w:p w14:paraId="7CA5874F" w14:textId="77777777" w:rsidR="0057542F" w:rsidRPr="00150BB7" w:rsidRDefault="0057542F" w:rsidP="00150BB7">
            <w:pPr>
              <w:spacing w:after="0" w:line="240" w:lineRule="auto"/>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West Bengal</w:t>
            </w:r>
          </w:p>
        </w:tc>
        <w:tc>
          <w:tcPr>
            <w:tcW w:w="2551" w:type="dxa"/>
            <w:tcBorders>
              <w:top w:val="nil"/>
              <w:left w:val="nil"/>
              <w:bottom w:val="single" w:sz="4" w:space="0" w:color="auto"/>
              <w:right w:val="single" w:sz="4" w:space="0" w:color="auto"/>
            </w:tcBorders>
            <w:vAlign w:val="center"/>
            <w:hideMark/>
          </w:tcPr>
          <w:p w14:paraId="7544E066" w14:textId="5F1EF838"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319.2</w:t>
            </w:r>
            <w:r w:rsidR="009141DF">
              <w:rPr>
                <w:rFonts w:ascii="Times New Roman" w:eastAsia="Times New Roman" w:hAnsi="Times New Roman" w:cs="Times New Roman"/>
                <w:color w:val="000000"/>
                <w:kern w:val="0"/>
                <w:sz w:val="20"/>
                <w:szCs w:val="20"/>
                <w:lang w:eastAsia="en-IN" w:bidi="ar-SA"/>
                <w14:ligatures w14:val="none"/>
              </w:rPr>
              <w:t>0</w:t>
            </w:r>
          </w:p>
        </w:tc>
        <w:tc>
          <w:tcPr>
            <w:tcW w:w="1843" w:type="dxa"/>
            <w:tcBorders>
              <w:top w:val="nil"/>
              <w:left w:val="nil"/>
              <w:bottom w:val="single" w:sz="4" w:space="0" w:color="auto"/>
              <w:right w:val="single" w:sz="4" w:space="0" w:color="auto"/>
            </w:tcBorders>
            <w:vAlign w:val="center"/>
            <w:hideMark/>
          </w:tcPr>
          <w:p w14:paraId="6E61AF40" w14:textId="77777777"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368.23</w:t>
            </w:r>
          </w:p>
        </w:tc>
        <w:tc>
          <w:tcPr>
            <w:tcW w:w="1418" w:type="dxa"/>
            <w:tcBorders>
              <w:top w:val="nil"/>
              <w:left w:val="nil"/>
              <w:bottom w:val="single" w:sz="4" w:space="0" w:color="auto"/>
              <w:right w:val="single" w:sz="4" w:space="0" w:color="auto"/>
            </w:tcBorders>
            <w:vAlign w:val="center"/>
            <w:hideMark/>
          </w:tcPr>
          <w:p w14:paraId="348D1061" w14:textId="430D0FB0"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150BB7">
              <w:rPr>
                <w:rFonts w:ascii="Times New Roman" w:eastAsia="Times New Roman" w:hAnsi="Times New Roman" w:cs="Times New Roman"/>
                <w:color w:val="000000"/>
                <w:kern w:val="0"/>
                <w:sz w:val="20"/>
                <w:szCs w:val="20"/>
                <w:lang w:eastAsia="en-IN" w:bidi="ar-SA"/>
                <w14:ligatures w14:val="none"/>
              </w:rPr>
              <w:t>8.16</w:t>
            </w:r>
            <w:r w:rsidR="009141DF">
              <w:rPr>
                <w:rFonts w:ascii="Times New Roman" w:eastAsia="Times New Roman" w:hAnsi="Times New Roman" w:cs="Times New Roman"/>
                <w:color w:val="000000"/>
                <w:kern w:val="0"/>
                <w:sz w:val="20"/>
                <w:szCs w:val="20"/>
                <w:lang w:eastAsia="en-IN" w:bidi="ar-SA"/>
                <w14:ligatures w14:val="none"/>
              </w:rPr>
              <w:t>0</w:t>
            </w:r>
          </w:p>
        </w:tc>
      </w:tr>
      <w:tr w:rsidR="0057542F" w:rsidRPr="00150BB7" w14:paraId="796423D5" w14:textId="77777777" w:rsidTr="00AB1F1C">
        <w:trPr>
          <w:trHeight w:val="20"/>
          <w:jc w:val="center"/>
        </w:trPr>
        <w:tc>
          <w:tcPr>
            <w:tcW w:w="704" w:type="dxa"/>
            <w:tcBorders>
              <w:top w:val="nil"/>
              <w:left w:val="single" w:sz="4" w:space="0" w:color="auto"/>
              <w:bottom w:val="single" w:sz="4" w:space="0" w:color="auto"/>
              <w:right w:val="single" w:sz="4" w:space="0" w:color="auto"/>
            </w:tcBorders>
            <w:vAlign w:val="center"/>
            <w:hideMark/>
          </w:tcPr>
          <w:p w14:paraId="59D973DF" w14:textId="5CD3F65A" w:rsidR="0057542F" w:rsidRPr="00150BB7" w:rsidRDefault="0057542F" w:rsidP="00150BB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
        </w:tc>
        <w:tc>
          <w:tcPr>
            <w:tcW w:w="1843" w:type="dxa"/>
            <w:tcBorders>
              <w:top w:val="nil"/>
              <w:left w:val="nil"/>
              <w:bottom w:val="single" w:sz="4" w:space="0" w:color="auto"/>
              <w:right w:val="single" w:sz="4" w:space="0" w:color="auto"/>
            </w:tcBorders>
            <w:vAlign w:val="center"/>
            <w:hideMark/>
          </w:tcPr>
          <w:p w14:paraId="063F1333" w14:textId="77777777" w:rsidR="0057542F" w:rsidRPr="00150BB7" w:rsidRDefault="0057542F" w:rsidP="00150BB7">
            <w:pPr>
              <w:spacing w:after="0" w:line="240" w:lineRule="auto"/>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Major States</w:t>
            </w:r>
          </w:p>
        </w:tc>
        <w:tc>
          <w:tcPr>
            <w:tcW w:w="2551" w:type="dxa"/>
            <w:tcBorders>
              <w:top w:val="nil"/>
              <w:left w:val="nil"/>
              <w:bottom w:val="single" w:sz="4" w:space="0" w:color="auto"/>
              <w:right w:val="single" w:sz="4" w:space="0" w:color="auto"/>
            </w:tcBorders>
            <w:vAlign w:val="center"/>
            <w:hideMark/>
          </w:tcPr>
          <w:p w14:paraId="3CD02F32" w14:textId="77777777" w:rsidR="0057542F" w:rsidRPr="00150BB7" w:rsidRDefault="0057542F"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291.62</w:t>
            </w:r>
          </w:p>
        </w:tc>
        <w:tc>
          <w:tcPr>
            <w:tcW w:w="1843" w:type="dxa"/>
            <w:tcBorders>
              <w:top w:val="nil"/>
              <w:left w:val="nil"/>
              <w:bottom w:val="single" w:sz="4" w:space="0" w:color="auto"/>
              <w:right w:val="single" w:sz="4" w:space="0" w:color="auto"/>
            </w:tcBorders>
            <w:vAlign w:val="center"/>
            <w:hideMark/>
          </w:tcPr>
          <w:p w14:paraId="19AF5653" w14:textId="77777777" w:rsidR="0057542F" w:rsidRPr="00150BB7" w:rsidRDefault="0057542F"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380.43</w:t>
            </w:r>
          </w:p>
        </w:tc>
        <w:tc>
          <w:tcPr>
            <w:tcW w:w="1418" w:type="dxa"/>
            <w:tcBorders>
              <w:top w:val="nil"/>
              <w:left w:val="nil"/>
              <w:bottom w:val="single" w:sz="4" w:space="0" w:color="auto"/>
              <w:right w:val="single" w:sz="4" w:space="0" w:color="auto"/>
            </w:tcBorders>
            <w:vAlign w:val="center"/>
            <w:hideMark/>
          </w:tcPr>
          <w:p w14:paraId="768F7ABA" w14:textId="5E85CB6E" w:rsidR="0057542F" w:rsidRPr="00150BB7" w:rsidRDefault="0057542F" w:rsidP="00150BB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150BB7">
              <w:rPr>
                <w:rFonts w:ascii="Times New Roman" w:eastAsia="Times New Roman" w:hAnsi="Times New Roman" w:cs="Times New Roman"/>
                <w:b/>
                <w:bCs/>
                <w:color w:val="000000"/>
                <w:kern w:val="0"/>
                <w:sz w:val="20"/>
                <w:szCs w:val="20"/>
                <w:lang w:eastAsia="en-IN" w:bidi="ar-SA"/>
                <w14:ligatures w14:val="none"/>
              </w:rPr>
              <w:t>100</w:t>
            </w:r>
            <w:r w:rsidR="009141DF">
              <w:rPr>
                <w:rFonts w:ascii="Times New Roman" w:eastAsia="Times New Roman" w:hAnsi="Times New Roman" w:cs="Times New Roman"/>
                <w:b/>
                <w:bCs/>
                <w:color w:val="000000"/>
                <w:kern w:val="0"/>
                <w:sz w:val="20"/>
                <w:szCs w:val="20"/>
                <w:lang w:eastAsia="en-IN" w:bidi="ar-SA"/>
                <w14:ligatures w14:val="none"/>
              </w:rPr>
              <w:t>.000</w:t>
            </w:r>
          </w:p>
        </w:tc>
      </w:tr>
    </w:tbl>
    <w:p w14:paraId="0BE2C9D0" w14:textId="6B630974" w:rsidR="009C3698" w:rsidRPr="0036657A" w:rsidRDefault="009C3698" w:rsidP="00AB1F1C">
      <w:pPr>
        <w:ind w:left="720" w:firstLine="720"/>
        <w:jc w:val="both"/>
        <w:rPr>
          <w:rFonts w:ascii="Times New Roman" w:hAnsi="Times New Roman" w:cs="Times New Roman"/>
          <w:sz w:val="16"/>
          <w:szCs w:val="16"/>
        </w:rPr>
      </w:pPr>
      <w:proofErr w:type="gramStart"/>
      <w:r w:rsidRPr="0036657A">
        <w:rPr>
          <w:rFonts w:ascii="Times New Roman" w:hAnsi="Times New Roman" w:cs="Times New Roman"/>
          <w:b/>
          <w:bCs/>
          <w:sz w:val="16"/>
          <w:szCs w:val="16"/>
        </w:rPr>
        <w:t>Note :</w:t>
      </w:r>
      <w:proofErr w:type="gramEnd"/>
      <w:r w:rsidRPr="0036657A">
        <w:rPr>
          <w:rFonts w:ascii="Times New Roman" w:hAnsi="Times New Roman" w:cs="Times New Roman"/>
          <w:b/>
          <w:bCs/>
          <w:sz w:val="16"/>
          <w:szCs w:val="16"/>
        </w:rPr>
        <w:t xml:space="preserve"> -</w:t>
      </w:r>
    </w:p>
    <w:p w14:paraId="1664DC8C" w14:textId="45C9D3C8" w:rsidR="009C3698" w:rsidRPr="0036657A" w:rsidRDefault="0036657A" w:rsidP="0036657A">
      <w:pPr>
        <w:pStyle w:val="ListParagraph"/>
        <w:ind w:left="2160"/>
        <w:jc w:val="both"/>
        <w:rPr>
          <w:rFonts w:ascii="Times New Roman" w:hAnsi="Times New Roman" w:cs="Times New Roman"/>
          <w:sz w:val="16"/>
          <w:szCs w:val="16"/>
        </w:rPr>
      </w:pPr>
      <w:r w:rsidRPr="0036657A">
        <w:rPr>
          <w:rFonts w:ascii="Times New Roman" w:hAnsi="Times New Roman" w:cs="Times New Roman"/>
          <w:sz w:val="16"/>
          <w:szCs w:val="16"/>
        </w:rPr>
        <w:t>*</w:t>
      </w:r>
      <w:r w:rsidR="009C3698" w:rsidRPr="0036657A">
        <w:rPr>
          <w:rFonts w:ascii="Times New Roman" w:hAnsi="Times New Roman" w:cs="Times New Roman"/>
          <w:sz w:val="16"/>
          <w:szCs w:val="16"/>
        </w:rPr>
        <w:t>Computed on the basis of the formula:</w:t>
      </w:r>
    </w:p>
    <w:p w14:paraId="366DB23D" w14:textId="08D2861B" w:rsidR="009C3698" w:rsidRPr="0036657A" w:rsidRDefault="008129E1" w:rsidP="009C3698">
      <w:pPr>
        <w:jc w:val="both"/>
        <w:rPr>
          <w:rFonts w:ascii="Times New Roman" w:hAnsi="Times New Roman" w:cs="Times New Roman"/>
          <w:sz w:val="16"/>
          <w:szCs w:val="16"/>
        </w:rPr>
      </w:pPr>
      <m:oMathPara>
        <m:oMath>
          <m:r>
            <w:rPr>
              <w:rFonts w:ascii="Cambria Math" w:hAnsi="Cambria Math" w:cs="Times New Roman"/>
              <w:sz w:val="16"/>
              <w:szCs w:val="16"/>
            </w:rPr>
            <m:t>Scale=325+</m:t>
          </m:r>
          <m:f>
            <m:fPr>
              <m:ctrlPr>
                <w:rPr>
                  <w:rFonts w:ascii="Cambria Math" w:hAnsi="Cambria Math" w:cs="Times New Roman"/>
                  <w:sz w:val="16"/>
                  <w:szCs w:val="16"/>
                </w:rPr>
              </m:ctrlPr>
            </m:fPr>
            <m:num>
              <m:d>
                <m:dPr>
                  <m:sepChr m:val="−"/>
                  <m:ctrlPr>
                    <w:rPr>
                      <w:rFonts w:ascii="Cambria Math" w:hAnsi="Cambria Math" w:cs="Times New Roman"/>
                      <w:sz w:val="16"/>
                      <w:szCs w:val="16"/>
                    </w:rPr>
                  </m:ctrlPr>
                </m:dPr>
                <m:e>
                  <m:r>
                    <w:rPr>
                      <w:rFonts w:ascii="Cambria Math" w:hAnsi="Cambria Math" w:cs="Times New Roman"/>
                      <w:sz w:val="16"/>
                      <w:szCs w:val="16"/>
                    </w:rPr>
                    <m:t>Xh</m:t>
                  </m:r>
                </m:e>
                <m:e>
                  <m:r>
                    <w:rPr>
                      <w:rFonts w:ascii="Cambria Math" w:hAnsi="Cambria Math" w:cs="Times New Roman"/>
                      <w:sz w:val="16"/>
                      <w:szCs w:val="16"/>
                    </w:rPr>
                    <m:t>Xi</m:t>
                  </m:r>
                </m:e>
              </m:d>
            </m:num>
            <m:den>
              <m:d>
                <m:dPr>
                  <m:sepChr m:val="−"/>
                  <m:ctrlPr>
                    <w:rPr>
                      <w:rFonts w:ascii="Cambria Math" w:hAnsi="Cambria Math" w:cs="Times New Roman"/>
                      <w:sz w:val="16"/>
                      <w:szCs w:val="16"/>
                    </w:rPr>
                  </m:ctrlPr>
                </m:dPr>
                <m:e>
                  <m:r>
                    <w:rPr>
                      <w:rFonts w:ascii="Cambria Math" w:hAnsi="Cambria Math" w:cs="Times New Roman"/>
                      <w:sz w:val="16"/>
                      <w:szCs w:val="16"/>
                    </w:rPr>
                    <m:t>Xh</m:t>
                  </m:r>
                </m:e>
                <m:e>
                  <m:r>
                    <w:rPr>
                      <w:rFonts w:ascii="Cambria Math" w:hAnsi="Cambria Math" w:cs="Times New Roman"/>
                      <w:sz w:val="16"/>
                      <w:szCs w:val="16"/>
                    </w:rPr>
                    <m:t>Xl</m:t>
                  </m:r>
                </m:e>
              </m:d>
            </m:den>
          </m:f>
          <m:r>
            <w:rPr>
              <w:rFonts w:ascii="Cambria Math" w:hAnsi="Cambria Math" w:cs="Times New Roman"/>
              <w:sz w:val="16"/>
              <w:szCs w:val="16"/>
            </w:rPr>
            <m:t>×100</m:t>
          </m:r>
          <m:r>
            <m:rPr>
              <m:nor/>
            </m:rPr>
            <w:rPr>
              <w:rFonts w:ascii="Times New Roman" w:hAnsi="Times New Roman" w:cs="Times New Roman"/>
              <w:sz w:val="16"/>
              <w:szCs w:val="16"/>
            </w:rPr>
            <m:t xml:space="preserve"> where</m:t>
          </m:r>
        </m:oMath>
      </m:oMathPara>
    </w:p>
    <w:p w14:paraId="4E3A7960" w14:textId="77777777" w:rsidR="009D5E51" w:rsidRPr="0036657A" w:rsidRDefault="009C3698" w:rsidP="0036657A">
      <w:pPr>
        <w:spacing w:after="0"/>
        <w:ind w:left="1004" w:firstLine="436"/>
        <w:jc w:val="both"/>
        <w:rPr>
          <w:rFonts w:ascii="Times New Roman" w:hAnsi="Times New Roman" w:cs="Times New Roman"/>
          <w:sz w:val="16"/>
          <w:szCs w:val="16"/>
        </w:rPr>
      </w:pPr>
      <w:proofErr w:type="spellStart"/>
      <w:r w:rsidRPr="0036657A">
        <w:rPr>
          <w:rFonts w:ascii="Times New Roman" w:hAnsi="Times New Roman" w:cs="Times New Roman"/>
          <w:sz w:val="16"/>
          <w:szCs w:val="16"/>
        </w:rPr>
        <w:t>Xh</w:t>
      </w:r>
      <w:proofErr w:type="spellEnd"/>
      <w:r w:rsidRPr="0036657A">
        <w:rPr>
          <w:rFonts w:ascii="Times New Roman" w:hAnsi="Times New Roman" w:cs="Times New Roman"/>
          <w:sz w:val="16"/>
          <w:szCs w:val="16"/>
        </w:rPr>
        <w:t xml:space="preserve"> represents the highest per capita normative expenditure for social and economic services in a State (Gujarat: Rs. 416.93);</w:t>
      </w:r>
    </w:p>
    <w:p w14:paraId="0A7DEAC6" w14:textId="77777777" w:rsidR="009D5E51" w:rsidRPr="0036657A" w:rsidRDefault="009C3698" w:rsidP="0036657A">
      <w:pPr>
        <w:spacing w:after="0"/>
        <w:ind w:left="1004" w:firstLine="436"/>
        <w:jc w:val="both"/>
        <w:rPr>
          <w:rFonts w:ascii="Times New Roman" w:hAnsi="Times New Roman" w:cs="Times New Roman"/>
          <w:sz w:val="16"/>
          <w:szCs w:val="16"/>
        </w:rPr>
      </w:pPr>
      <w:proofErr w:type="spellStart"/>
      <w:r w:rsidRPr="0036657A">
        <w:rPr>
          <w:rFonts w:ascii="Times New Roman" w:hAnsi="Times New Roman" w:cs="Times New Roman"/>
          <w:sz w:val="16"/>
          <w:szCs w:val="16"/>
        </w:rPr>
        <w:t>Xl</w:t>
      </w:r>
      <w:proofErr w:type="spellEnd"/>
      <w:r w:rsidRPr="0036657A">
        <w:rPr>
          <w:rFonts w:ascii="Times New Roman" w:hAnsi="Times New Roman" w:cs="Times New Roman"/>
          <w:sz w:val="16"/>
          <w:szCs w:val="16"/>
        </w:rPr>
        <w:t xml:space="preserve"> represents the lowest per capita normative expenditure for social and economic services in a State (Bihar: Rs. 190.89); and</w:t>
      </w:r>
    </w:p>
    <w:p w14:paraId="1601BFA9" w14:textId="77777777" w:rsidR="0036657A" w:rsidRDefault="009C3698" w:rsidP="0036657A">
      <w:pPr>
        <w:spacing w:after="0"/>
        <w:ind w:left="1004" w:firstLine="436"/>
        <w:jc w:val="both"/>
        <w:rPr>
          <w:rFonts w:ascii="Times New Roman" w:hAnsi="Times New Roman" w:cs="Times New Roman"/>
          <w:sz w:val="16"/>
          <w:szCs w:val="16"/>
        </w:rPr>
      </w:pPr>
      <w:r w:rsidRPr="0036657A">
        <w:rPr>
          <w:rFonts w:ascii="Times New Roman" w:hAnsi="Times New Roman" w:cs="Times New Roman"/>
          <w:sz w:val="16"/>
          <w:szCs w:val="16"/>
        </w:rPr>
        <w:t xml:space="preserve">Xi represents the per capita normative expenditure for social and economic services in </w:t>
      </w:r>
      <w:r w:rsidR="0036657A">
        <w:rPr>
          <w:rFonts w:ascii="Times New Roman" w:hAnsi="Times New Roman" w:cs="Times New Roman"/>
          <w:sz w:val="16"/>
          <w:szCs w:val="16"/>
        </w:rPr>
        <w:t>the</w:t>
      </w:r>
      <w:r w:rsidRPr="0036657A">
        <w:rPr>
          <w:rFonts w:ascii="Times New Roman" w:hAnsi="Times New Roman" w:cs="Times New Roman"/>
          <w:sz w:val="16"/>
          <w:szCs w:val="16"/>
        </w:rPr>
        <w:t xml:space="preserve"> State</w:t>
      </w:r>
      <w:r w:rsidR="0036657A">
        <w:rPr>
          <w:rFonts w:ascii="Times New Roman" w:hAnsi="Times New Roman" w:cs="Times New Roman"/>
          <w:sz w:val="16"/>
          <w:szCs w:val="16"/>
        </w:rPr>
        <w:t>.</w:t>
      </w:r>
    </w:p>
    <w:p w14:paraId="3ABC2B85" w14:textId="3E81D629" w:rsidR="009C3698" w:rsidRPr="0036657A" w:rsidRDefault="009C3698" w:rsidP="0036657A">
      <w:pPr>
        <w:spacing w:after="0"/>
        <w:ind w:left="1004" w:firstLine="436"/>
        <w:jc w:val="both"/>
        <w:rPr>
          <w:rFonts w:ascii="Times New Roman" w:hAnsi="Times New Roman" w:cs="Times New Roman"/>
          <w:sz w:val="16"/>
          <w:szCs w:val="16"/>
        </w:rPr>
      </w:pPr>
      <w:r w:rsidRPr="0036657A">
        <w:rPr>
          <w:rFonts w:ascii="Times New Roman" w:hAnsi="Times New Roman" w:cs="Times New Roman"/>
          <w:sz w:val="16"/>
          <w:szCs w:val="16"/>
        </w:rPr>
        <w:t xml:space="preserve">Computed on the basis of the </w:t>
      </w:r>
      <w:proofErr w:type="gramStart"/>
      <w:r w:rsidRPr="0036657A">
        <w:rPr>
          <w:rFonts w:ascii="Times New Roman" w:hAnsi="Times New Roman" w:cs="Times New Roman"/>
          <w:sz w:val="16"/>
          <w:szCs w:val="16"/>
        </w:rPr>
        <w:t>formula :</w:t>
      </w:r>
      <w:proofErr w:type="gramEnd"/>
    </w:p>
    <w:p w14:paraId="6AD2A4C8" w14:textId="482A3743" w:rsidR="009D5E51" w:rsidRPr="0036657A" w:rsidRDefault="009C3698" w:rsidP="0036657A">
      <w:pPr>
        <w:spacing w:after="0"/>
        <w:jc w:val="both"/>
        <w:rPr>
          <w:rFonts w:ascii="Times New Roman" w:hAnsi="Times New Roman" w:cs="Times New Roman"/>
          <w:sz w:val="16"/>
          <w:szCs w:val="16"/>
        </w:rPr>
      </w:pPr>
      <m:oMathPara>
        <m:oMath>
          <m:r>
            <w:rPr>
              <w:rFonts w:ascii="Cambria Math" w:hAnsi="Cambria Math" w:cs="Times New Roman"/>
              <w:sz w:val="16"/>
              <w:szCs w:val="16"/>
            </w:rPr>
            <m:t>Share=</m:t>
          </m:r>
          <m:f>
            <m:fPr>
              <m:ctrlPr>
                <w:rPr>
                  <w:rFonts w:ascii="Cambria Math" w:hAnsi="Cambria Math" w:cs="Times New Roman"/>
                  <w:sz w:val="16"/>
                  <w:szCs w:val="16"/>
                </w:rPr>
              </m:ctrlPr>
            </m:fPr>
            <m:num>
              <m:d>
                <m:dPr>
                  <m:sepChr m:val="∗"/>
                  <m:ctrlPr>
                    <w:rPr>
                      <w:rFonts w:ascii="Cambria Math" w:hAnsi="Cambria Math" w:cs="Times New Roman"/>
                      <w:sz w:val="16"/>
                      <w:szCs w:val="16"/>
                    </w:rPr>
                  </m:ctrlPr>
                </m:dPr>
                <m:e>
                  <m:r>
                    <w:rPr>
                      <w:rFonts w:ascii="Cambria Math" w:hAnsi="Cambria Math" w:cs="Times New Roman"/>
                      <w:sz w:val="16"/>
                      <w:szCs w:val="16"/>
                    </w:rPr>
                    <m:t>Ei</m:t>
                  </m:r>
                </m:e>
                <m:e>
                  <m:r>
                    <w:rPr>
                      <w:rFonts w:ascii="Cambria Math" w:hAnsi="Cambria Math" w:cs="Times New Roman"/>
                      <w:sz w:val="16"/>
                      <w:szCs w:val="16"/>
                    </w:rPr>
                    <m:t>Pi</m:t>
                  </m:r>
                </m:e>
              </m:d>
            </m:num>
            <m:den>
              <m:r>
                <w:rPr>
                  <w:rFonts w:ascii="Cambria Math" w:hAnsi="Cambria Math" w:cs="Times New Roman"/>
                  <w:sz w:val="16"/>
                  <w:szCs w:val="16"/>
                </w:rPr>
                <m:t>Sum(Ei*Pi)</m:t>
              </m:r>
            </m:den>
          </m:f>
          <m:r>
            <w:rPr>
              <w:rFonts w:ascii="Cambria Math" w:hAnsi="Cambria Math" w:cs="Times New Roman"/>
              <w:sz w:val="16"/>
              <w:szCs w:val="16"/>
            </w:rPr>
            <m:t>×100,</m:t>
          </m:r>
          <m:r>
            <m:rPr>
              <m:nor/>
            </m:rPr>
            <w:rPr>
              <w:rFonts w:ascii="Times New Roman" w:hAnsi="Times New Roman" w:cs="Times New Roman"/>
              <w:sz w:val="16"/>
              <w:szCs w:val="16"/>
            </w:rPr>
            <m:t xml:space="preserve"> where</m:t>
          </m:r>
          <m:r>
            <m:rPr>
              <m:sty m:val="p"/>
            </m:rPr>
            <w:rPr>
              <w:rFonts w:ascii="Cambria Math" w:hAnsi="Cambria Math" w:cs="Times New Roman"/>
              <w:sz w:val="16"/>
              <w:szCs w:val="16"/>
            </w:rPr>
            <w:br/>
          </m:r>
        </m:oMath>
      </m:oMathPara>
      <w:r w:rsidR="0036657A">
        <w:rPr>
          <w:rFonts w:ascii="Times New Roman" w:hAnsi="Times New Roman" w:cs="Times New Roman"/>
          <w:sz w:val="16"/>
          <w:szCs w:val="16"/>
        </w:rPr>
        <w:t xml:space="preserve">                                    </w:t>
      </w:r>
      <w:r w:rsidRPr="0036657A">
        <w:rPr>
          <w:rFonts w:ascii="Times New Roman" w:hAnsi="Times New Roman" w:cs="Times New Roman"/>
          <w:sz w:val="16"/>
          <w:szCs w:val="16"/>
        </w:rPr>
        <w:t xml:space="preserve">Ei represents the per capita developmental expenditure in the </w:t>
      </w:r>
      <w:proofErr w:type="spellStart"/>
      <w:r w:rsidRPr="0036657A">
        <w:rPr>
          <w:rFonts w:ascii="Times New Roman" w:hAnsi="Times New Roman" w:cs="Times New Roman"/>
          <w:sz w:val="16"/>
          <w:szCs w:val="16"/>
        </w:rPr>
        <w:t>ith</w:t>
      </w:r>
      <w:proofErr w:type="spellEnd"/>
      <w:r w:rsidRPr="0036657A">
        <w:rPr>
          <w:rFonts w:ascii="Times New Roman" w:hAnsi="Times New Roman" w:cs="Times New Roman"/>
          <w:sz w:val="16"/>
          <w:szCs w:val="16"/>
        </w:rPr>
        <w:t xml:space="preserve"> State, and</w:t>
      </w:r>
      <w:r w:rsidR="00150BB7" w:rsidRPr="0036657A">
        <w:rPr>
          <w:rFonts w:ascii="Times New Roman" w:hAnsi="Times New Roman" w:cs="Times New Roman"/>
          <w:sz w:val="16"/>
          <w:szCs w:val="16"/>
        </w:rPr>
        <w:t xml:space="preserve"> </w:t>
      </w:r>
    </w:p>
    <w:p w14:paraId="7114479E" w14:textId="3A79B99E" w:rsidR="009C3698" w:rsidRPr="0036657A" w:rsidRDefault="009C3698" w:rsidP="0036657A">
      <w:pPr>
        <w:spacing w:after="0"/>
        <w:ind w:left="720" w:firstLine="720"/>
        <w:jc w:val="both"/>
        <w:rPr>
          <w:rFonts w:ascii="Times New Roman" w:hAnsi="Times New Roman" w:cs="Times New Roman"/>
          <w:sz w:val="16"/>
          <w:szCs w:val="16"/>
        </w:rPr>
      </w:pPr>
      <w:r w:rsidRPr="0036657A">
        <w:rPr>
          <w:rFonts w:ascii="Times New Roman" w:hAnsi="Times New Roman" w:cs="Times New Roman"/>
          <w:sz w:val="16"/>
          <w:szCs w:val="16"/>
        </w:rPr>
        <w:t xml:space="preserve">Pi represents the population in the </w:t>
      </w:r>
      <w:proofErr w:type="spellStart"/>
      <w:r w:rsidRPr="0036657A">
        <w:rPr>
          <w:rFonts w:ascii="Times New Roman" w:hAnsi="Times New Roman" w:cs="Times New Roman"/>
          <w:sz w:val="16"/>
          <w:szCs w:val="16"/>
        </w:rPr>
        <w:t>ith</w:t>
      </w:r>
      <w:proofErr w:type="spellEnd"/>
      <w:r w:rsidRPr="0036657A">
        <w:rPr>
          <w:rFonts w:ascii="Times New Roman" w:hAnsi="Times New Roman" w:cs="Times New Roman"/>
          <w:sz w:val="16"/>
          <w:szCs w:val="16"/>
        </w:rPr>
        <w:t xml:space="preserve"> State in 1994-95.</w:t>
      </w:r>
    </w:p>
    <w:p w14:paraId="2795C3C8" w14:textId="720EFC5D" w:rsidR="009C3698" w:rsidRPr="00AA6AF4" w:rsidRDefault="009C3698" w:rsidP="009C3698">
      <w:pPr>
        <w:tabs>
          <w:tab w:val="left" w:pos="964"/>
        </w:tabs>
        <w:rPr>
          <w:rFonts w:ascii="Times New Roman" w:hAnsi="Times New Roman" w:cs="Times New Roman"/>
          <w:szCs w:val="24"/>
        </w:rPr>
      </w:pPr>
    </w:p>
    <w:sectPr w:rsidR="009C3698" w:rsidRPr="00AA6AF4" w:rsidSect="00D70E11">
      <w:type w:val="continuous"/>
      <w:pgSz w:w="11906" w:h="16838"/>
      <w:pgMar w:top="567" w:right="566"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9AC0" w14:textId="77777777" w:rsidR="006C45BA" w:rsidRDefault="006C45BA" w:rsidP="00AF0EB2">
      <w:pPr>
        <w:spacing w:after="0" w:line="240" w:lineRule="auto"/>
      </w:pPr>
      <w:r>
        <w:separator/>
      </w:r>
    </w:p>
  </w:endnote>
  <w:endnote w:type="continuationSeparator" w:id="0">
    <w:p w14:paraId="03A50091" w14:textId="77777777" w:rsidR="006C45BA" w:rsidRDefault="006C45BA" w:rsidP="00AF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EC62" w14:textId="77777777" w:rsidR="006C45BA" w:rsidRDefault="006C45BA" w:rsidP="00AF0EB2">
      <w:pPr>
        <w:spacing w:after="0" w:line="240" w:lineRule="auto"/>
      </w:pPr>
      <w:r>
        <w:separator/>
      </w:r>
    </w:p>
  </w:footnote>
  <w:footnote w:type="continuationSeparator" w:id="0">
    <w:p w14:paraId="4024544F" w14:textId="77777777" w:rsidR="006C45BA" w:rsidRDefault="006C45BA" w:rsidP="00AF0EB2">
      <w:pPr>
        <w:spacing w:after="0" w:line="240" w:lineRule="auto"/>
      </w:pPr>
      <w:r>
        <w:continuationSeparator/>
      </w:r>
    </w:p>
  </w:footnote>
  <w:footnote w:id="1">
    <w:p w14:paraId="112194DA" w14:textId="4BA09BAE" w:rsidR="008F2E46" w:rsidRPr="00FE738E" w:rsidRDefault="008F2E46">
      <w:pPr>
        <w:pStyle w:val="FootnoteText"/>
        <w:rPr>
          <w:rFonts w:ascii="Times New Roman" w:hAnsi="Times New Roman" w:cs="Times New Roman"/>
          <w:sz w:val="16"/>
          <w:szCs w:val="16"/>
          <w:highlight w:val="yellow"/>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First Report of the Ninth Finance Commission (July 1988), Chapter II, paras 2.1-2.7</w:t>
      </w:r>
    </w:p>
  </w:footnote>
  <w:footnote w:id="2">
    <w:p w14:paraId="59877DC5" w14:textId="08B005CA" w:rsidR="008F2E46" w:rsidRPr="00FE738E" w:rsidRDefault="008F2E46">
      <w:pPr>
        <w:pStyle w:val="FootnoteText"/>
        <w:rPr>
          <w:rFonts w:ascii="Times New Roman" w:hAnsi="Times New Roman" w:cs="Times New Roman"/>
          <w:sz w:val="16"/>
          <w:szCs w:val="16"/>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w:t>
      </w:r>
      <w:r w:rsidR="006D4C85" w:rsidRPr="00FE738E">
        <w:rPr>
          <w:rFonts w:ascii="Times New Roman" w:hAnsi="Times New Roman" w:cs="Times New Roman"/>
          <w:sz w:val="16"/>
          <w:szCs w:val="16"/>
        </w:rPr>
        <w:t xml:space="preserve"> </w:t>
      </w:r>
      <w:r w:rsidR="002D46E8" w:rsidRPr="00FE738E">
        <w:rPr>
          <w:rFonts w:ascii="Times New Roman" w:hAnsi="Times New Roman" w:cs="Times New Roman"/>
          <w:sz w:val="16"/>
          <w:szCs w:val="16"/>
        </w:rPr>
        <w:t xml:space="preserve">We pointed in the first report of the Commission that the rate of return after tax on the capital of Rs. 51,931 crore invested in Central public enterprises (covered by the Public Enterprises Survey) by the end of 1986-87 amounted only to 3.4 per cent and if the petroleum sector were excluded, the rate of return was negative. The performance of public </w:t>
      </w:r>
      <w:r w:rsidR="00FE738E" w:rsidRPr="00FE738E">
        <w:rPr>
          <w:rFonts w:ascii="Times New Roman" w:hAnsi="Times New Roman" w:cs="Times New Roman"/>
          <w:sz w:val="16"/>
          <w:szCs w:val="16"/>
        </w:rPr>
        <w:t>enterprises</w:t>
      </w:r>
      <w:r w:rsidR="002D46E8" w:rsidRPr="00FE738E">
        <w:rPr>
          <w:rFonts w:ascii="Times New Roman" w:hAnsi="Times New Roman" w:cs="Times New Roman"/>
          <w:sz w:val="16"/>
          <w:szCs w:val="16"/>
        </w:rPr>
        <w:t xml:space="preserve"> at the State level was much worse.</w:t>
      </w:r>
    </w:p>
  </w:footnote>
  <w:footnote w:id="3">
    <w:p w14:paraId="646C43CB" w14:textId="49B715F6" w:rsidR="00244F24" w:rsidRPr="00FE738E" w:rsidRDefault="00244F24">
      <w:pPr>
        <w:pStyle w:val="FootnoteText"/>
        <w:rPr>
          <w:rFonts w:ascii="Times New Roman" w:hAnsi="Times New Roman" w:cs="Times New Roman"/>
          <w:sz w:val="16"/>
          <w:szCs w:val="16"/>
          <w:lang w:val="en-GB"/>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(Appendix 4)</w:t>
      </w:r>
    </w:p>
  </w:footnote>
  <w:footnote w:id="4">
    <w:p w14:paraId="5E54F135" w14:textId="32607343" w:rsidR="00244F24" w:rsidRPr="00FE738E" w:rsidRDefault="00244F24">
      <w:pPr>
        <w:pStyle w:val="FootnoteText"/>
        <w:rPr>
          <w:rFonts w:ascii="Times New Roman" w:hAnsi="Times New Roman" w:cs="Times New Roman"/>
          <w:sz w:val="16"/>
          <w:szCs w:val="16"/>
          <w:lang w:val="en-GB"/>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(Appendix 5)</w:t>
      </w:r>
      <w:r w:rsidRPr="00FE738E">
        <w:rPr>
          <w:rFonts w:ascii="Times New Roman" w:hAnsi="Times New Roman" w:cs="Times New Roman"/>
          <w:sz w:val="16"/>
          <w:szCs w:val="16"/>
        </w:rPr>
        <w:tab/>
      </w:r>
    </w:p>
  </w:footnote>
  <w:footnote w:id="5">
    <w:p w14:paraId="0E1A93F9" w14:textId="46F5C736" w:rsidR="00244F24" w:rsidRPr="00FE738E" w:rsidRDefault="00244F24" w:rsidP="00244F24">
      <w:pPr>
        <w:spacing w:line="240" w:lineRule="auto"/>
        <w:jc w:val="both"/>
        <w:rPr>
          <w:rFonts w:ascii="Times New Roman" w:hAnsi="Times New Roman" w:cs="Times New Roman"/>
          <w:sz w:val="16"/>
          <w:szCs w:val="16"/>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Except for stochastic errors.</w:t>
      </w:r>
      <w:r w:rsidRPr="00FE738E">
        <w:rPr>
          <w:rFonts w:ascii="Times New Roman" w:hAnsi="Times New Roman" w:cs="Times New Roman"/>
          <w:sz w:val="16"/>
          <w:szCs w:val="16"/>
        </w:rPr>
        <w:tab/>
      </w:r>
    </w:p>
    <w:p w14:paraId="19F35E51" w14:textId="2CAB695C" w:rsidR="00244F24" w:rsidRPr="00244F24" w:rsidRDefault="00244F24">
      <w:pPr>
        <w:pStyle w:val="FootnoteText"/>
        <w:rPr>
          <w:lang w:val="en-GB"/>
        </w:rPr>
      </w:pPr>
    </w:p>
  </w:footnote>
  <w:footnote w:id="6">
    <w:p w14:paraId="6E70EEA1" w14:textId="03B28169" w:rsidR="0004055B" w:rsidRPr="00072CF4" w:rsidRDefault="0004055B" w:rsidP="00072CF4">
      <w:pPr>
        <w:spacing w:line="240" w:lineRule="auto"/>
        <w:jc w:val="both"/>
        <w:rPr>
          <w:rFonts w:ascii="Times New Roman" w:hAnsi="Times New Roman" w:cs="Times New Roman"/>
          <w:sz w:val="16"/>
          <w:szCs w:val="16"/>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Although on the face of it, it would seem that the Eighth Finance Commission had accorded 75 per cent weight to per capita SDP, in fact, since population was used as a scale factor in relation to SDP, the total direct and indirect weight given to pop than 10 per cent of income tax distributed according to collection) works out on the average to 83 per cent. This figure has been derived on the basis of the average of differences between the share of a State on the basis of population criterion alone and its share on the basis of the combined criteria used by the Eighth Finance Commission, in relation to the non-Special Category States.</w:t>
      </w:r>
    </w:p>
  </w:footnote>
  <w:footnote w:id="7">
    <w:p w14:paraId="6E6AD4AF" w14:textId="77777777" w:rsidR="0004055B" w:rsidRPr="00FE738E" w:rsidRDefault="0004055B" w:rsidP="0004055B">
      <w:pPr>
        <w:spacing w:line="240" w:lineRule="auto"/>
        <w:jc w:val="both"/>
        <w:rPr>
          <w:rFonts w:ascii="Times New Roman" w:hAnsi="Times New Roman" w:cs="Times New Roman"/>
          <w:sz w:val="16"/>
          <w:szCs w:val="16"/>
        </w:rPr>
      </w:pPr>
      <w:r w:rsidRPr="00FE738E">
        <w:rPr>
          <w:rStyle w:val="FootnoteReference"/>
          <w:rFonts w:ascii="Times New Roman" w:hAnsi="Times New Roman" w:cs="Times New Roman"/>
          <w:sz w:val="16"/>
          <w:szCs w:val="16"/>
        </w:rPr>
        <w:footnoteRef/>
      </w:r>
      <w:r w:rsidRPr="00FE738E">
        <w:rPr>
          <w:rFonts w:ascii="Times New Roman" w:hAnsi="Times New Roman" w:cs="Times New Roman"/>
          <w:sz w:val="16"/>
          <w:szCs w:val="16"/>
        </w:rPr>
        <w:t xml:space="preserve"> ** (Chapter VII).</w:t>
      </w:r>
    </w:p>
    <w:p w14:paraId="78BE1F96" w14:textId="136E3F0E" w:rsidR="0004055B" w:rsidRPr="0004055B" w:rsidRDefault="0004055B">
      <w:pPr>
        <w:pStyle w:val="FootnoteText"/>
        <w:rPr>
          <w:lang w:val="en-GB"/>
        </w:rPr>
      </w:pPr>
    </w:p>
  </w:footnote>
  <w:footnote w:id="8">
    <w:p w14:paraId="778D3A33" w14:textId="1D0602F3" w:rsidR="00544161" w:rsidRPr="006E32B1" w:rsidRDefault="00544161" w:rsidP="00322126">
      <w:pPr>
        <w:spacing w:after="0" w:line="240" w:lineRule="auto"/>
        <w:jc w:val="both"/>
        <w:rPr>
          <w:rFonts w:ascii="Times New Roman" w:hAnsi="Times New Roman" w:cs="Times New Roman"/>
          <w:sz w:val="16"/>
          <w:szCs w:val="16"/>
        </w:rPr>
      </w:pPr>
      <w:r w:rsidRPr="006E32B1">
        <w:rPr>
          <w:rStyle w:val="FootnoteReference"/>
          <w:sz w:val="16"/>
          <w:szCs w:val="14"/>
        </w:rPr>
        <w:footnoteRef/>
      </w:r>
      <w:r w:rsidRPr="006E32B1">
        <w:rPr>
          <w:rFonts w:ascii="Times New Roman" w:hAnsi="Times New Roman" w:cs="Times New Roman"/>
          <w:sz w:val="16"/>
          <w:szCs w:val="16"/>
        </w:rPr>
        <w:t>There are also demands and suggestions relating to States' share in market borrowing and regulations on overdrafts, with which we are not directly concerned</w:t>
      </w:r>
    </w:p>
  </w:footnote>
  <w:footnote w:id="9">
    <w:p w14:paraId="7D30C4B5" w14:textId="6B8594DA" w:rsidR="00544161" w:rsidRPr="006E32B1" w:rsidRDefault="00544161" w:rsidP="005A2010">
      <w:pPr>
        <w:spacing w:after="0" w:line="240" w:lineRule="auto"/>
        <w:jc w:val="both"/>
        <w:rPr>
          <w:rFonts w:ascii="Times New Roman" w:hAnsi="Times New Roman" w:cs="Times New Roman"/>
          <w:sz w:val="12"/>
          <w:szCs w:val="12"/>
        </w:rPr>
      </w:pPr>
      <w:r w:rsidRPr="006E32B1">
        <w:rPr>
          <w:rStyle w:val="FootnoteReference"/>
          <w:sz w:val="12"/>
          <w:szCs w:val="12"/>
        </w:rPr>
        <w:footnoteRef/>
      </w:r>
      <w:r w:rsidRPr="006E32B1">
        <w:rPr>
          <w:rFonts w:ascii="Times New Roman" w:hAnsi="Times New Roman" w:cs="Times New Roman"/>
          <w:sz w:val="16"/>
          <w:szCs w:val="16"/>
        </w:rPr>
        <w:t xml:space="preserve"> In the long run, repayment has to be out of amortization so that capital stock is maintained and undue growth of debt is avoided.</w:t>
      </w:r>
    </w:p>
  </w:footnote>
  <w:footnote w:id="10">
    <w:p w14:paraId="2735D2CE" w14:textId="0E385D29" w:rsidR="00544161" w:rsidRPr="006E32B1" w:rsidRDefault="00544161" w:rsidP="00544161">
      <w:pPr>
        <w:spacing w:line="240" w:lineRule="auto"/>
        <w:jc w:val="both"/>
        <w:rPr>
          <w:rFonts w:ascii="Times New Roman" w:hAnsi="Times New Roman" w:cs="Times New Roman"/>
          <w:sz w:val="16"/>
          <w:szCs w:val="16"/>
        </w:rPr>
      </w:pPr>
      <w:r w:rsidRPr="006E32B1">
        <w:rPr>
          <w:rStyle w:val="FootnoteReference"/>
          <w:sz w:val="16"/>
          <w:szCs w:val="14"/>
        </w:rPr>
        <w:footnoteRef/>
      </w:r>
      <w:r w:rsidRPr="006E32B1">
        <w:rPr>
          <w:rFonts w:ascii="Times New Roman" w:hAnsi="Times New Roman" w:cs="Times New Roman"/>
          <w:sz w:val="16"/>
          <w:szCs w:val="16"/>
        </w:rPr>
        <w:t>Thus, if a non-Special Category State is entitled to Plan assistance of Rs. 1,000 crore under the modified Gadgil formula, it would get a Plan grant of Rs. 300 crore, Central Plan loan of Rs. 300 crore and additional market borrowing of Rs. 400 crore.</w:t>
      </w:r>
    </w:p>
    <w:p w14:paraId="1F313E66" w14:textId="56E4EC7F" w:rsidR="00544161" w:rsidRPr="00544161" w:rsidRDefault="00544161">
      <w:pPr>
        <w:pStyle w:val="FootnoteText"/>
        <w:rPr>
          <w:lang w:val="en-GB"/>
        </w:rPr>
      </w:pPr>
    </w:p>
  </w:footnote>
  <w:footnote w:id="11">
    <w:p w14:paraId="3D79DC08" w14:textId="113B29EC" w:rsidR="00B469EA" w:rsidRPr="00CE40A0" w:rsidRDefault="00B469EA" w:rsidP="00B469EA">
      <w:pPr>
        <w:spacing w:line="240" w:lineRule="auto"/>
        <w:jc w:val="both"/>
        <w:rPr>
          <w:rFonts w:ascii="Times New Roman" w:hAnsi="Times New Roman" w:cs="Times New Roman"/>
          <w:sz w:val="16"/>
          <w:szCs w:val="16"/>
        </w:rPr>
      </w:pPr>
      <w:r w:rsidRPr="00CE40A0">
        <w:rPr>
          <w:rStyle w:val="FootnoteReference"/>
          <w:rFonts w:ascii="Times New Roman" w:hAnsi="Times New Roman" w:cs="Times New Roman"/>
          <w:sz w:val="16"/>
          <w:szCs w:val="16"/>
        </w:rPr>
        <w:footnoteRef/>
      </w:r>
      <w:r w:rsidRPr="00CE40A0">
        <w:rPr>
          <w:rFonts w:ascii="Times New Roman" w:hAnsi="Times New Roman" w:cs="Times New Roman"/>
          <w:sz w:val="16"/>
          <w:szCs w:val="16"/>
        </w:rPr>
        <w:t>The core sector for this purpose may be defined to consist of coal, steel, power, petroleum, railways, telecommunications and some strategic non-ferrous metals. Loss making enterprises in this sector cannot be closed down, but should be brought back to health on the basis of a time bound programme.</w:t>
      </w:r>
    </w:p>
    <w:p w14:paraId="039AD5F4" w14:textId="06FAF095" w:rsidR="00B469EA" w:rsidRPr="00B469EA" w:rsidRDefault="00B469EA">
      <w:pPr>
        <w:pStyle w:val="FootnoteText"/>
        <w:rPr>
          <w:lang w:val="en-GB"/>
        </w:rPr>
      </w:pPr>
    </w:p>
  </w:footnote>
  <w:footnote w:id="12">
    <w:p w14:paraId="77618CD2" w14:textId="33B1A48E" w:rsidR="00F40027" w:rsidRPr="003E7D62" w:rsidRDefault="00F40027" w:rsidP="00F40027">
      <w:pPr>
        <w:pStyle w:val="NoSpacing"/>
        <w:rPr>
          <w:rFonts w:ascii="Times New Roman" w:hAnsi="Times New Roman" w:cs="Times New Roman"/>
          <w:sz w:val="16"/>
          <w:szCs w:val="14"/>
        </w:rPr>
      </w:pPr>
      <w:r w:rsidRPr="003E7D62">
        <w:rPr>
          <w:rStyle w:val="FootnoteReference"/>
          <w:rFonts w:ascii="Times New Roman" w:hAnsi="Times New Roman" w:cs="Times New Roman"/>
          <w:sz w:val="16"/>
          <w:szCs w:val="14"/>
        </w:rPr>
        <w:footnoteRef/>
      </w:r>
      <w:r w:rsidRPr="003E7D62">
        <w:rPr>
          <w:rFonts w:ascii="Times New Roman" w:hAnsi="Times New Roman" w:cs="Times New Roman"/>
          <w:sz w:val="20"/>
          <w:szCs w:val="18"/>
        </w:rPr>
        <w:t xml:space="preserve">  </w:t>
      </w:r>
      <w:r w:rsidRPr="003E7D62">
        <w:rPr>
          <w:rFonts w:ascii="Times New Roman" w:hAnsi="Times New Roman" w:cs="Times New Roman"/>
          <w:sz w:val="16"/>
          <w:szCs w:val="14"/>
        </w:rPr>
        <w:t>CPI = Consumer Price Index for Industrial Workers.</w:t>
      </w:r>
    </w:p>
    <w:p w14:paraId="2C92D60E" w14:textId="7464479A" w:rsidR="00F40027" w:rsidRPr="00F40027" w:rsidRDefault="00F40027">
      <w:pPr>
        <w:pStyle w:val="FootnoteText"/>
        <w:rPr>
          <w:lang w:val="en-GB"/>
        </w:rPr>
      </w:pPr>
    </w:p>
  </w:footnote>
  <w:footnote w:id="13">
    <w:p w14:paraId="066F2916" w14:textId="32D214F2" w:rsidR="00094742" w:rsidRPr="005069B2" w:rsidRDefault="00094742" w:rsidP="00094742">
      <w:pPr>
        <w:pStyle w:val="FootnoteText"/>
        <w:rPr>
          <w:rFonts w:ascii="Times New Roman" w:hAnsi="Times New Roman" w:cs="Times New Roman"/>
          <w:sz w:val="22"/>
          <w:szCs w:val="20"/>
        </w:rPr>
      </w:pPr>
      <w:r w:rsidRPr="005069B2">
        <w:rPr>
          <w:rStyle w:val="FootnoteReference"/>
          <w:rFonts w:ascii="Times New Roman" w:hAnsi="Times New Roman" w:cs="Times New Roman"/>
          <w:sz w:val="16"/>
          <w:szCs w:val="14"/>
        </w:rPr>
        <w:footnoteRef/>
      </w:r>
      <w:r w:rsidRPr="005069B2">
        <w:rPr>
          <w:rFonts w:ascii="Times New Roman" w:hAnsi="Times New Roman" w:cs="Times New Roman"/>
          <w:sz w:val="22"/>
          <w:szCs w:val="20"/>
        </w:rPr>
        <w:t xml:space="preserve"> </w:t>
      </w:r>
      <w:r w:rsidRPr="005069B2">
        <w:rPr>
          <w:rFonts w:ascii="Times New Roman" w:hAnsi="Times New Roman" w:cs="Times New Roman"/>
          <w:sz w:val="16"/>
          <w:szCs w:val="14"/>
        </w:rPr>
        <w:t>Except for expenditure where engineering norms have been applied, these norms are generally higher than the actuals.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94678"/>
      <w:docPartObj>
        <w:docPartGallery w:val="Page Numbers (Top of Page)"/>
        <w:docPartUnique/>
      </w:docPartObj>
    </w:sdtPr>
    <w:sdtEndPr>
      <w:rPr>
        <w:noProof/>
      </w:rPr>
    </w:sdtEndPr>
    <w:sdtContent>
      <w:p w14:paraId="6EE53680" w14:textId="77777777" w:rsidR="00CD6624" w:rsidRDefault="00CD66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68CEDF" w14:textId="77777777" w:rsidR="00CD6624" w:rsidRDefault="00CD6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DBD"/>
    <w:multiLevelType w:val="multilevel"/>
    <w:tmpl w:val="1C72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4592F"/>
    <w:multiLevelType w:val="hybridMultilevel"/>
    <w:tmpl w:val="5D62E2EA"/>
    <w:lvl w:ilvl="0" w:tplc="DA8CC75C">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6B1A7D"/>
    <w:multiLevelType w:val="hybridMultilevel"/>
    <w:tmpl w:val="E5DE3984"/>
    <w:lvl w:ilvl="0" w:tplc="37483F86">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113375"/>
    <w:multiLevelType w:val="multilevel"/>
    <w:tmpl w:val="4FFE1A36"/>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8F07F3"/>
    <w:multiLevelType w:val="multilevel"/>
    <w:tmpl w:val="823A811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43CF0"/>
    <w:multiLevelType w:val="hybridMultilevel"/>
    <w:tmpl w:val="EAA45A8C"/>
    <w:lvl w:ilvl="0" w:tplc="37483F86">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A837CFB"/>
    <w:multiLevelType w:val="hybridMultilevel"/>
    <w:tmpl w:val="109216BE"/>
    <w:lvl w:ilvl="0" w:tplc="6AE664F2">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10463B"/>
    <w:multiLevelType w:val="hybridMultilevel"/>
    <w:tmpl w:val="07B4E26A"/>
    <w:lvl w:ilvl="0" w:tplc="BF325234">
      <w:start w:val="1"/>
      <w:numFmt w:val="lowerLetter"/>
      <w:lvlText w:val="(%1)"/>
      <w:lvlJc w:val="left"/>
      <w:pPr>
        <w:ind w:left="1146" w:hanging="360"/>
      </w:pPr>
      <w:rPr>
        <w:rFonts w:hint="default"/>
      </w:rPr>
    </w:lvl>
    <w:lvl w:ilvl="1" w:tplc="40090019">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 w15:restartNumberingAfterBreak="0">
    <w:nsid w:val="10DC7AFA"/>
    <w:multiLevelType w:val="multilevel"/>
    <w:tmpl w:val="17F46E3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85EF9"/>
    <w:multiLevelType w:val="multilevel"/>
    <w:tmpl w:val="17F46E3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50C2B"/>
    <w:multiLevelType w:val="hybridMultilevel"/>
    <w:tmpl w:val="62B2CEF6"/>
    <w:lvl w:ilvl="0" w:tplc="61929E1E">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384BFC"/>
    <w:multiLevelType w:val="hybridMultilevel"/>
    <w:tmpl w:val="DEC84A9E"/>
    <w:lvl w:ilvl="0" w:tplc="FD3A1C70">
      <w:start w:val="2"/>
      <w:numFmt w:val="decimal"/>
      <w:lvlText w:val="(%1)"/>
      <w:lvlJc w:val="left"/>
      <w:pPr>
        <w:ind w:left="1287"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B891309"/>
    <w:multiLevelType w:val="multilevel"/>
    <w:tmpl w:val="E744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EB484C"/>
    <w:multiLevelType w:val="hybridMultilevel"/>
    <w:tmpl w:val="793E9D78"/>
    <w:lvl w:ilvl="0" w:tplc="5C8A86D8">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D9F1C38"/>
    <w:multiLevelType w:val="hybridMultilevel"/>
    <w:tmpl w:val="24C03582"/>
    <w:lvl w:ilvl="0" w:tplc="2894231A">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FDB487F"/>
    <w:multiLevelType w:val="hybridMultilevel"/>
    <w:tmpl w:val="C3644F2A"/>
    <w:lvl w:ilvl="0" w:tplc="04FCB288">
      <w:start w:val="1"/>
      <w:numFmt w:val="upperRoman"/>
      <w:lvlText w:val="(%1)"/>
      <w:lvlJc w:val="left"/>
      <w:pPr>
        <w:ind w:left="993" w:hanging="360"/>
      </w:pPr>
      <w:rPr>
        <w:rFonts w:hint="default"/>
      </w:rPr>
    </w:lvl>
    <w:lvl w:ilvl="1" w:tplc="40090019">
      <w:start w:val="1"/>
      <w:numFmt w:val="lowerLetter"/>
      <w:lvlText w:val="%2."/>
      <w:lvlJc w:val="left"/>
      <w:pPr>
        <w:ind w:left="1713" w:hanging="360"/>
      </w:pPr>
    </w:lvl>
    <w:lvl w:ilvl="2" w:tplc="4009001B" w:tentative="1">
      <w:start w:val="1"/>
      <w:numFmt w:val="lowerRoman"/>
      <w:lvlText w:val="%3."/>
      <w:lvlJc w:val="right"/>
      <w:pPr>
        <w:ind w:left="2433" w:hanging="180"/>
      </w:pPr>
    </w:lvl>
    <w:lvl w:ilvl="3" w:tplc="4009000F" w:tentative="1">
      <w:start w:val="1"/>
      <w:numFmt w:val="decimal"/>
      <w:lvlText w:val="%4."/>
      <w:lvlJc w:val="left"/>
      <w:pPr>
        <w:ind w:left="3153" w:hanging="360"/>
      </w:pPr>
    </w:lvl>
    <w:lvl w:ilvl="4" w:tplc="40090019" w:tentative="1">
      <w:start w:val="1"/>
      <w:numFmt w:val="lowerLetter"/>
      <w:lvlText w:val="%5."/>
      <w:lvlJc w:val="left"/>
      <w:pPr>
        <w:ind w:left="3873" w:hanging="360"/>
      </w:pPr>
    </w:lvl>
    <w:lvl w:ilvl="5" w:tplc="4009001B" w:tentative="1">
      <w:start w:val="1"/>
      <w:numFmt w:val="lowerRoman"/>
      <w:lvlText w:val="%6."/>
      <w:lvlJc w:val="right"/>
      <w:pPr>
        <w:ind w:left="4593" w:hanging="180"/>
      </w:pPr>
    </w:lvl>
    <w:lvl w:ilvl="6" w:tplc="4009000F" w:tentative="1">
      <w:start w:val="1"/>
      <w:numFmt w:val="decimal"/>
      <w:lvlText w:val="%7."/>
      <w:lvlJc w:val="left"/>
      <w:pPr>
        <w:ind w:left="5313" w:hanging="360"/>
      </w:pPr>
    </w:lvl>
    <w:lvl w:ilvl="7" w:tplc="40090019" w:tentative="1">
      <w:start w:val="1"/>
      <w:numFmt w:val="lowerLetter"/>
      <w:lvlText w:val="%8."/>
      <w:lvlJc w:val="left"/>
      <w:pPr>
        <w:ind w:left="6033" w:hanging="360"/>
      </w:pPr>
    </w:lvl>
    <w:lvl w:ilvl="8" w:tplc="4009001B" w:tentative="1">
      <w:start w:val="1"/>
      <w:numFmt w:val="lowerRoman"/>
      <w:lvlText w:val="%9."/>
      <w:lvlJc w:val="right"/>
      <w:pPr>
        <w:ind w:left="6753" w:hanging="180"/>
      </w:pPr>
    </w:lvl>
  </w:abstractNum>
  <w:abstractNum w:abstractNumId="16" w15:restartNumberingAfterBreak="0">
    <w:nsid w:val="212E0F71"/>
    <w:multiLevelType w:val="hybridMultilevel"/>
    <w:tmpl w:val="952C473E"/>
    <w:lvl w:ilvl="0" w:tplc="A6F0AF44">
      <w:start w:val="1"/>
      <w:numFmt w:val="decimal"/>
      <w:lvlText w:val="%1."/>
      <w:lvlJc w:val="left"/>
      <w:pPr>
        <w:ind w:left="1004" w:hanging="360"/>
      </w:pPr>
      <w:rPr>
        <w:b/>
        <w:bCs/>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7" w15:restartNumberingAfterBreak="0">
    <w:nsid w:val="26567CAC"/>
    <w:multiLevelType w:val="hybridMultilevel"/>
    <w:tmpl w:val="00B8F924"/>
    <w:lvl w:ilvl="0" w:tplc="6D1A04F6">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E407C95"/>
    <w:multiLevelType w:val="hybridMultilevel"/>
    <w:tmpl w:val="505A0D44"/>
    <w:lvl w:ilvl="0" w:tplc="37483F86">
      <w:start w:val="1"/>
      <w:numFmt w:val="lowerRoman"/>
      <w:lvlText w:val="(%1)"/>
      <w:lvlJc w:val="left"/>
      <w:pPr>
        <w:ind w:left="1004" w:hanging="360"/>
      </w:pPr>
      <w:rPr>
        <w:rFonts w:hint="default"/>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15:restartNumberingAfterBreak="0">
    <w:nsid w:val="2E5B108C"/>
    <w:multiLevelType w:val="multilevel"/>
    <w:tmpl w:val="71B24728"/>
    <w:lvl w:ilvl="0">
      <w:start w:val="1"/>
      <w:numFmt w:val="decimal"/>
      <w:lvlText w:val="%1."/>
      <w:lvlJc w:val="left"/>
      <w:pPr>
        <w:tabs>
          <w:tab w:val="num" w:pos="502"/>
        </w:tabs>
        <w:ind w:left="502"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5D3B11"/>
    <w:multiLevelType w:val="hybridMultilevel"/>
    <w:tmpl w:val="77E2A8CE"/>
    <w:lvl w:ilvl="0" w:tplc="04FCB288">
      <w:start w:val="1"/>
      <w:numFmt w:val="upperRoman"/>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4C7726E"/>
    <w:multiLevelType w:val="multilevel"/>
    <w:tmpl w:val="92EC0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7C1FB6"/>
    <w:multiLevelType w:val="hybridMultilevel"/>
    <w:tmpl w:val="7D580C42"/>
    <w:lvl w:ilvl="0" w:tplc="B7769B2A">
      <w:start w:val="1"/>
      <w:numFmt w:val="decimal"/>
      <w:lvlText w:val="%1."/>
      <w:lvlJc w:val="left"/>
      <w:pPr>
        <w:ind w:left="644" w:hanging="360"/>
      </w:pPr>
      <w:rPr>
        <w:b/>
        <w:bCs/>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3" w15:restartNumberingAfterBreak="0">
    <w:nsid w:val="3AF8023A"/>
    <w:multiLevelType w:val="multilevel"/>
    <w:tmpl w:val="44DC2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375A64"/>
    <w:multiLevelType w:val="hybridMultilevel"/>
    <w:tmpl w:val="FC5046BE"/>
    <w:lvl w:ilvl="0" w:tplc="B20E6F3E">
      <w:start w:val="2"/>
      <w:numFmt w:val="decimal"/>
      <w:lvlText w:val="(%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D0C2951"/>
    <w:multiLevelType w:val="multilevel"/>
    <w:tmpl w:val="94A4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C76516"/>
    <w:multiLevelType w:val="hybridMultilevel"/>
    <w:tmpl w:val="746A6614"/>
    <w:lvl w:ilvl="0" w:tplc="37483F86">
      <w:start w:val="1"/>
      <w:numFmt w:val="lowerRoman"/>
      <w:lvlText w:val="(%1)"/>
      <w:lvlJc w:val="left"/>
      <w:pPr>
        <w:ind w:left="1004" w:hanging="360"/>
      </w:pPr>
      <w:rPr>
        <w:rFonts w:hint="default"/>
      </w:r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7" w15:restartNumberingAfterBreak="0">
    <w:nsid w:val="40DD2E93"/>
    <w:multiLevelType w:val="hybridMultilevel"/>
    <w:tmpl w:val="F86876BA"/>
    <w:lvl w:ilvl="0" w:tplc="04FCB288">
      <w:start w:val="1"/>
      <w:numFmt w:val="upperRoman"/>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422A0446"/>
    <w:multiLevelType w:val="hybridMultilevel"/>
    <w:tmpl w:val="D384F748"/>
    <w:lvl w:ilvl="0" w:tplc="FFFFFFFF">
      <w:start w:val="1"/>
      <w:numFmt w:val="lowerRoman"/>
      <w:lvlText w:val="(%1)"/>
      <w:lvlJc w:val="left"/>
      <w:pPr>
        <w:ind w:left="633" w:hanging="360"/>
      </w:pPr>
      <w:rPr>
        <w:rFonts w:hint="default"/>
      </w:rPr>
    </w:lvl>
    <w:lvl w:ilvl="1" w:tplc="37483F86">
      <w:start w:val="1"/>
      <w:numFmt w:val="lowerRoman"/>
      <w:lvlText w:val="(%2)"/>
      <w:lvlJc w:val="left"/>
      <w:pPr>
        <w:ind w:left="1353" w:hanging="360"/>
      </w:pPr>
      <w:rPr>
        <w:rFonts w:hint="default"/>
      </w:rPr>
    </w:lvl>
    <w:lvl w:ilvl="2" w:tplc="FFFFFFFF" w:tentative="1">
      <w:start w:val="1"/>
      <w:numFmt w:val="lowerRoman"/>
      <w:lvlText w:val="%3."/>
      <w:lvlJc w:val="right"/>
      <w:pPr>
        <w:ind w:left="2073" w:hanging="180"/>
      </w:pPr>
    </w:lvl>
    <w:lvl w:ilvl="3" w:tplc="FFFFFFFF" w:tentative="1">
      <w:start w:val="1"/>
      <w:numFmt w:val="decimal"/>
      <w:lvlText w:val="%4."/>
      <w:lvlJc w:val="left"/>
      <w:pPr>
        <w:ind w:left="2793" w:hanging="360"/>
      </w:pPr>
    </w:lvl>
    <w:lvl w:ilvl="4" w:tplc="FFFFFFFF" w:tentative="1">
      <w:start w:val="1"/>
      <w:numFmt w:val="lowerLetter"/>
      <w:lvlText w:val="%5."/>
      <w:lvlJc w:val="left"/>
      <w:pPr>
        <w:ind w:left="3513" w:hanging="360"/>
      </w:pPr>
    </w:lvl>
    <w:lvl w:ilvl="5" w:tplc="FFFFFFFF" w:tentative="1">
      <w:start w:val="1"/>
      <w:numFmt w:val="lowerRoman"/>
      <w:lvlText w:val="%6."/>
      <w:lvlJc w:val="right"/>
      <w:pPr>
        <w:ind w:left="4233" w:hanging="180"/>
      </w:pPr>
    </w:lvl>
    <w:lvl w:ilvl="6" w:tplc="FFFFFFFF" w:tentative="1">
      <w:start w:val="1"/>
      <w:numFmt w:val="decimal"/>
      <w:lvlText w:val="%7."/>
      <w:lvlJc w:val="left"/>
      <w:pPr>
        <w:ind w:left="4953" w:hanging="360"/>
      </w:pPr>
    </w:lvl>
    <w:lvl w:ilvl="7" w:tplc="FFFFFFFF" w:tentative="1">
      <w:start w:val="1"/>
      <w:numFmt w:val="lowerLetter"/>
      <w:lvlText w:val="%8."/>
      <w:lvlJc w:val="left"/>
      <w:pPr>
        <w:ind w:left="5673" w:hanging="360"/>
      </w:pPr>
    </w:lvl>
    <w:lvl w:ilvl="8" w:tplc="FFFFFFFF" w:tentative="1">
      <w:start w:val="1"/>
      <w:numFmt w:val="lowerRoman"/>
      <w:lvlText w:val="%9."/>
      <w:lvlJc w:val="right"/>
      <w:pPr>
        <w:ind w:left="6393" w:hanging="180"/>
      </w:pPr>
    </w:lvl>
  </w:abstractNum>
  <w:abstractNum w:abstractNumId="29" w15:restartNumberingAfterBreak="0">
    <w:nsid w:val="432C3A29"/>
    <w:multiLevelType w:val="hybridMultilevel"/>
    <w:tmpl w:val="F4389816"/>
    <w:lvl w:ilvl="0" w:tplc="BF325234">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47FD0317"/>
    <w:multiLevelType w:val="hybridMultilevel"/>
    <w:tmpl w:val="7B366A24"/>
    <w:lvl w:ilvl="0" w:tplc="37483F86">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8286837"/>
    <w:multiLevelType w:val="hybridMultilevel"/>
    <w:tmpl w:val="9690B326"/>
    <w:lvl w:ilvl="0" w:tplc="FFFFFFFF">
      <w:start w:val="1"/>
      <w:numFmt w:val="upperRoman"/>
      <w:lvlText w:val="(%1)"/>
      <w:lvlJc w:val="left"/>
      <w:pPr>
        <w:ind w:left="993" w:hanging="360"/>
      </w:pPr>
      <w:rPr>
        <w:rFonts w:hint="default"/>
      </w:rPr>
    </w:lvl>
    <w:lvl w:ilvl="1" w:tplc="04FCB288">
      <w:start w:val="1"/>
      <w:numFmt w:val="upperRoman"/>
      <w:lvlText w:val="(%2)"/>
      <w:lvlJc w:val="left"/>
      <w:pPr>
        <w:ind w:left="1004" w:hanging="360"/>
      </w:pPr>
      <w:rPr>
        <w:rFonts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32" w15:restartNumberingAfterBreak="0">
    <w:nsid w:val="48BD400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981FF4"/>
    <w:multiLevelType w:val="multilevel"/>
    <w:tmpl w:val="850CBD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5C5208"/>
    <w:multiLevelType w:val="hybridMultilevel"/>
    <w:tmpl w:val="682CD79E"/>
    <w:lvl w:ilvl="0" w:tplc="BF325234">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6BB7BAF"/>
    <w:multiLevelType w:val="multilevel"/>
    <w:tmpl w:val="6522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7044E5"/>
    <w:multiLevelType w:val="hybridMultilevel"/>
    <w:tmpl w:val="9D6842BE"/>
    <w:lvl w:ilvl="0" w:tplc="BF325234">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5E773507"/>
    <w:multiLevelType w:val="multilevel"/>
    <w:tmpl w:val="1E1A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3D0399"/>
    <w:multiLevelType w:val="hybridMultilevel"/>
    <w:tmpl w:val="4EFEBEC6"/>
    <w:lvl w:ilvl="0" w:tplc="BF325234">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61A001E5"/>
    <w:multiLevelType w:val="multilevel"/>
    <w:tmpl w:val="D902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D14B68"/>
    <w:multiLevelType w:val="multilevel"/>
    <w:tmpl w:val="1BDE5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D60013"/>
    <w:multiLevelType w:val="multilevel"/>
    <w:tmpl w:val="152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945F8B"/>
    <w:multiLevelType w:val="multilevel"/>
    <w:tmpl w:val="7CEABE9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5B405EE"/>
    <w:multiLevelType w:val="multilevel"/>
    <w:tmpl w:val="BD9CA05E"/>
    <w:lvl w:ilvl="0">
      <w:start w:val="1"/>
      <w:numFmt w:val="decimal"/>
      <w:pStyle w:val="Heading1"/>
      <w:lvlText w:val="CHAPTER %1"/>
      <w:lvlJc w:val="left"/>
      <w:pPr>
        <w:ind w:left="7946" w:hanging="432"/>
      </w:pPr>
      <w:rPr>
        <w:sz w:val="24"/>
        <w:szCs w:val="24"/>
      </w:rPr>
    </w:lvl>
    <w:lvl w:ilvl="1">
      <w:start w:val="1"/>
      <w:numFmt w:val="none"/>
      <w:lvlText w:val=""/>
      <w:lvlJc w:val="left"/>
      <w:pPr>
        <w:ind w:left="576" w:hanging="576"/>
      </w:pPr>
      <w:rPr>
        <w:rFonts w:hint="default"/>
      </w:rPr>
    </w:lvl>
    <w:lvl w:ilvl="2">
      <w:start w:val="1"/>
      <w:numFmt w:val="decimal"/>
      <w:lvlRestart w:val="1"/>
      <w:pStyle w:val="Heading3"/>
      <w:lvlText w:val="%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7D3648A"/>
    <w:multiLevelType w:val="hybridMultilevel"/>
    <w:tmpl w:val="9234805A"/>
    <w:lvl w:ilvl="0" w:tplc="FFFFFFFF">
      <w:start w:val="1"/>
      <w:numFmt w:val="lowerLetter"/>
      <w:lvlText w:val="(%1)"/>
      <w:lvlJc w:val="left"/>
      <w:pPr>
        <w:ind w:left="1440" w:hanging="360"/>
      </w:pPr>
      <w:rPr>
        <w:rFonts w:hint="default"/>
      </w:rPr>
    </w:lvl>
    <w:lvl w:ilvl="1" w:tplc="BF32523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80B302B"/>
    <w:multiLevelType w:val="multilevel"/>
    <w:tmpl w:val="EF3C75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pStyle w:val="Heading5"/>
      <w:lvlText w:val="APPENDIX %5"/>
      <w:lvlJc w:val="left"/>
      <w:pPr>
        <w:ind w:left="5322" w:hanging="360"/>
      </w:pPr>
    </w:lvl>
    <w:lvl w:ilvl="5">
      <w:start w:val="1"/>
      <w:numFmt w:val="decimal"/>
      <w:pStyle w:val="Heading6"/>
      <w:lvlText w:val="B%5.%6"/>
      <w:lvlJc w:val="left"/>
      <w:pPr>
        <w:ind w:left="50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0D59DF"/>
    <w:multiLevelType w:val="multilevel"/>
    <w:tmpl w:val="DF660BD6"/>
    <w:lvl w:ilvl="0">
      <w:start w:val="1"/>
      <w:numFmt w:val="decimal"/>
      <w:lvlText w:val="%1"/>
      <w:lvlJc w:val="left"/>
      <w:pPr>
        <w:ind w:left="1283" w:hanging="432"/>
      </w:pPr>
      <w:rPr>
        <w:rFonts w:hint="default"/>
        <w:color w:val="auto"/>
        <w:sz w:val="28"/>
        <w:szCs w:val="28"/>
      </w:rPr>
    </w:lvl>
    <w:lvl w:ilvl="1">
      <w:start w:val="1"/>
      <w:numFmt w:val="none"/>
      <w:lvlText w:val=""/>
      <w:lvlJc w:val="left"/>
      <w:pPr>
        <w:ind w:left="576" w:hanging="576"/>
      </w:pPr>
      <w:rPr>
        <w:rFonts w:hint="default"/>
      </w:rPr>
    </w:lvl>
    <w:lvl w:ilvl="2">
      <w:start w:val="1"/>
      <w:numFmt w:val="decimal"/>
      <w:lvlRestart w:val="1"/>
      <w:lvlText w:val="%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6CFF3E02"/>
    <w:multiLevelType w:val="multilevel"/>
    <w:tmpl w:val="0D7C8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4944ED"/>
    <w:multiLevelType w:val="multilevel"/>
    <w:tmpl w:val="FCC83212"/>
    <w:lvl w:ilvl="0">
      <w:start w:val="6"/>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0855D7"/>
    <w:multiLevelType w:val="hybridMultilevel"/>
    <w:tmpl w:val="E2440E5A"/>
    <w:lvl w:ilvl="0" w:tplc="BF325234">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15:restartNumberingAfterBreak="0">
    <w:nsid w:val="70D44949"/>
    <w:multiLevelType w:val="multilevel"/>
    <w:tmpl w:val="6D920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D90026"/>
    <w:multiLevelType w:val="hybridMultilevel"/>
    <w:tmpl w:val="841A83AC"/>
    <w:lvl w:ilvl="0" w:tplc="CC488720">
      <w:start w:val="1"/>
      <w:numFmt w:val="lowerRoman"/>
      <w:lvlText w:val="(%1)"/>
      <w:lvlJc w:val="left"/>
      <w:pPr>
        <w:ind w:left="360" w:hanging="360"/>
      </w:pPr>
      <w:rPr>
        <w:rFonts w:hint="default"/>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15:restartNumberingAfterBreak="0">
    <w:nsid w:val="7DA27ECF"/>
    <w:multiLevelType w:val="hybridMultilevel"/>
    <w:tmpl w:val="5DEEF1C2"/>
    <w:lvl w:ilvl="0" w:tplc="BF325234">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7DC54E4A"/>
    <w:multiLevelType w:val="multilevel"/>
    <w:tmpl w:val="7584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1003753">
    <w:abstractNumId w:val="19"/>
  </w:num>
  <w:num w:numId="2" w16cid:durableId="1466393583">
    <w:abstractNumId w:val="40"/>
  </w:num>
  <w:num w:numId="3" w16cid:durableId="550267016">
    <w:abstractNumId w:val="23"/>
  </w:num>
  <w:num w:numId="4" w16cid:durableId="721440427">
    <w:abstractNumId w:val="21"/>
  </w:num>
  <w:num w:numId="5" w16cid:durableId="1428845461">
    <w:abstractNumId w:val="4"/>
  </w:num>
  <w:num w:numId="6" w16cid:durableId="1104959906">
    <w:abstractNumId w:val="47"/>
  </w:num>
  <w:num w:numId="7" w16cid:durableId="184832925">
    <w:abstractNumId w:val="48"/>
  </w:num>
  <w:num w:numId="8" w16cid:durableId="1886795921">
    <w:abstractNumId w:val="12"/>
  </w:num>
  <w:num w:numId="9" w16cid:durableId="1394354126">
    <w:abstractNumId w:val="41"/>
  </w:num>
  <w:num w:numId="10" w16cid:durableId="1284505604">
    <w:abstractNumId w:val="33"/>
  </w:num>
  <w:num w:numId="11" w16cid:durableId="1392846499">
    <w:abstractNumId w:val="8"/>
  </w:num>
  <w:num w:numId="12" w16cid:durableId="315691212">
    <w:abstractNumId w:val="53"/>
  </w:num>
  <w:num w:numId="13" w16cid:durableId="1832401228">
    <w:abstractNumId w:val="50"/>
  </w:num>
  <w:num w:numId="14" w16cid:durableId="261836205">
    <w:abstractNumId w:val="42"/>
  </w:num>
  <w:num w:numId="15" w16cid:durableId="1242719300">
    <w:abstractNumId w:val="0"/>
  </w:num>
  <w:num w:numId="16" w16cid:durableId="1138962740">
    <w:abstractNumId w:val="3"/>
  </w:num>
  <w:num w:numId="17" w16cid:durableId="564343062">
    <w:abstractNumId w:val="39"/>
  </w:num>
  <w:num w:numId="18" w16cid:durableId="297030918">
    <w:abstractNumId w:val="25"/>
  </w:num>
  <w:num w:numId="19" w16cid:durableId="2080784643">
    <w:abstractNumId w:val="37"/>
  </w:num>
  <w:num w:numId="20" w16cid:durableId="2112819954">
    <w:abstractNumId w:val="35"/>
  </w:num>
  <w:num w:numId="21" w16cid:durableId="2086998552">
    <w:abstractNumId w:val="43"/>
  </w:num>
  <w:num w:numId="22" w16cid:durableId="669721007">
    <w:abstractNumId w:val="46"/>
  </w:num>
  <w:num w:numId="23" w16cid:durableId="1789935165">
    <w:abstractNumId w:val="45"/>
  </w:num>
  <w:num w:numId="24" w16cid:durableId="469641216">
    <w:abstractNumId w:val="32"/>
  </w:num>
  <w:num w:numId="25" w16cid:durableId="1439526170">
    <w:abstractNumId w:val="44"/>
  </w:num>
  <w:num w:numId="26" w16cid:durableId="1192255812">
    <w:abstractNumId w:val="31"/>
  </w:num>
  <w:num w:numId="27" w16cid:durableId="2123768207">
    <w:abstractNumId w:val="20"/>
  </w:num>
  <w:num w:numId="28" w16cid:durableId="872965406">
    <w:abstractNumId w:val="49"/>
  </w:num>
  <w:num w:numId="29" w16cid:durableId="1579173937">
    <w:abstractNumId w:val="27"/>
  </w:num>
  <w:num w:numId="30" w16cid:durableId="282662313">
    <w:abstractNumId w:val="15"/>
  </w:num>
  <w:num w:numId="31" w16cid:durableId="662053226">
    <w:abstractNumId w:val="28"/>
  </w:num>
  <w:num w:numId="32" w16cid:durableId="2089226302">
    <w:abstractNumId w:val="38"/>
  </w:num>
  <w:num w:numId="33" w16cid:durableId="907884175">
    <w:abstractNumId w:val="30"/>
  </w:num>
  <w:num w:numId="34" w16cid:durableId="224726092">
    <w:abstractNumId w:val="2"/>
  </w:num>
  <w:num w:numId="35" w16cid:durableId="574583520">
    <w:abstractNumId w:val="34"/>
  </w:num>
  <w:num w:numId="36" w16cid:durableId="1586380026">
    <w:abstractNumId w:val="11"/>
  </w:num>
  <w:num w:numId="37" w16cid:durableId="1939023031">
    <w:abstractNumId w:val="29"/>
  </w:num>
  <w:num w:numId="38" w16cid:durableId="1554922646">
    <w:abstractNumId w:val="10"/>
  </w:num>
  <w:num w:numId="39" w16cid:durableId="523641067">
    <w:abstractNumId w:val="14"/>
  </w:num>
  <w:num w:numId="40" w16cid:durableId="202258910">
    <w:abstractNumId w:val="17"/>
  </w:num>
  <w:num w:numId="41" w16cid:durableId="2099518727">
    <w:abstractNumId w:val="24"/>
  </w:num>
  <w:num w:numId="42" w16cid:durableId="243951275">
    <w:abstractNumId w:val="6"/>
  </w:num>
  <w:num w:numId="43" w16cid:durableId="1553348004">
    <w:abstractNumId w:val="1"/>
  </w:num>
  <w:num w:numId="44" w16cid:durableId="1179348042">
    <w:abstractNumId w:val="13"/>
  </w:num>
  <w:num w:numId="45" w16cid:durableId="1901821287">
    <w:abstractNumId w:val="18"/>
  </w:num>
  <w:num w:numId="46" w16cid:durableId="232082498">
    <w:abstractNumId w:val="26"/>
  </w:num>
  <w:num w:numId="47" w16cid:durableId="2122992269">
    <w:abstractNumId w:val="36"/>
  </w:num>
  <w:num w:numId="48" w16cid:durableId="2005277307">
    <w:abstractNumId w:val="16"/>
  </w:num>
  <w:num w:numId="49" w16cid:durableId="1211695967">
    <w:abstractNumId w:val="5"/>
  </w:num>
  <w:num w:numId="50" w16cid:durableId="2049407327">
    <w:abstractNumId w:val="7"/>
  </w:num>
  <w:num w:numId="51" w16cid:durableId="1793665122">
    <w:abstractNumId w:val="51"/>
  </w:num>
  <w:num w:numId="52" w16cid:durableId="622272828">
    <w:abstractNumId w:val="22"/>
  </w:num>
  <w:num w:numId="53" w16cid:durableId="296380182">
    <w:abstractNumId w:val="52"/>
  </w:num>
  <w:num w:numId="54" w16cid:durableId="115896207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6"/>
    <w:rsid w:val="00003FC8"/>
    <w:rsid w:val="00006D53"/>
    <w:rsid w:val="00012442"/>
    <w:rsid w:val="000142D5"/>
    <w:rsid w:val="00037CA7"/>
    <w:rsid w:val="0004055B"/>
    <w:rsid w:val="00040A60"/>
    <w:rsid w:val="0004184B"/>
    <w:rsid w:val="000431AA"/>
    <w:rsid w:val="000501AC"/>
    <w:rsid w:val="000534EC"/>
    <w:rsid w:val="00053D0C"/>
    <w:rsid w:val="00064A1C"/>
    <w:rsid w:val="00067481"/>
    <w:rsid w:val="00072CF4"/>
    <w:rsid w:val="00081441"/>
    <w:rsid w:val="00083F5E"/>
    <w:rsid w:val="000905F1"/>
    <w:rsid w:val="00091867"/>
    <w:rsid w:val="00093449"/>
    <w:rsid w:val="00094742"/>
    <w:rsid w:val="00097608"/>
    <w:rsid w:val="000A1404"/>
    <w:rsid w:val="000B062F"/>
    <w:rsid w:val="000B1456"/>
    <w:rsid w:val="000B3F13"/>
    <w:rsid w:val="000C2DD3"/>
    <w:rsid w:val="000D178B"/>
    <w:rsid w:val="000D57BD"/>
    <w:rsid w:val="000E0394"/>
    <w:rsid w:val="000E600A"/>
    <w:rsid w:val="000F01E2"/>
    <w:rsid w:val="000F1069"/>
    <w:rsid w:val="000F5411"/>
    <w:rsid w:val="000F76DE"/>
    <w:rsid w:val="001006D1"/>
    <w:rsid w:val="001019C6"/>
    <w:rsid w:val="00104E50"/>
    <w:rsid w:val="0011091E"/>
    <w:rsid w:val="00111AB8"/>
    <w:rsid w:val="00115039"/>
    <w:rsid w:val="0011638E"/>
    <w:rsid w:val="00121AF5"/>
    <w:rsid w:val="001229DF"/>
    <w:rsid w:val="00123F5F"/>
    <w:rsid w:val="0013042A"/>
    <w:rsid w:val="001441EF"/>
    <w:rsid w:val="00150BB7"/>
    <w:rsid w:val="00153234"/>
    <w:rsid w:val="001540F9"/>
    <w:rsid w:val="00162397"/>
    <w:rsid w:val="00165D8B"/>
    <w:rsid w:val="001727B7"/>
    <w:rsid w:val="001764FB"/>
    <w:rsid w:val="00184D87"/>
    <w:rsid w:val="00186E55"/>
    <w:rsid w:val="001939EC"/>
    <w:rsid w:val="001A43EB"/>
    <w:rsid w:val="001B4474"/>
    <w:rsid w:val="001B4ADF"/>
    <w:rsid w:val="001B7DA6"/>
    <w:rsid w:val="001C13E6"/>
    <w:rsid w:val="001C1E03"/>
    <w:rsid w:val="001C66C1"/>
    <w:rsid w:val="001D3365"/>
    <w:rsid w:val="001D3584"/>
    <w:rsid w:val="001D7A94"/>
    <w:rsid w:val="001E0A99"/>
    <w:rsid w:val="001E1344"/>
    <w:rsid w:val="001E1E24"/>
    <w:rsid w:val="001E1F2B"/>
    <w:rsid w:val="001E5D54"/>
    <w:rsid w:val="001E6408"/>
    <w:rsid w:val="001E7973"/>
    <w:rsid w:val="001F723A"/>
    <w:rsid w:val="002025E4"/>
    <w:rsid w:val="00231FF5"/>
    <w:rsid w:val="00240392"/>
    <w:rsid w:val="00244F24"/>
    <w:rsid w:val="0024558D"/>
    <w:rsid w:val="00245ABB"/>
    <w:rsid w:val="00247339"/>
    <w:rsid w:val="0025087B"/>
    <w:rsid w:val="00260488"/>
    <w:rsid w:val="002612A5"/>
    <w:rsid w:val="00263C73"/>
    <w:rsid w:val="002656BD"/>
    <w:rsid w:val="0027660A"/>
    <w:rsid w:val="0028322C"/>
    <w:rsid w:val="00283366"/>
    <w:rsid w:val="00287E78"/>
    <w:rsid w:val="002920E8"/>
    <w:rsid w:val="00294D85"/>
    <w:rsid w:val="00294F49"/>
    <w:rsid w:val="00296721"/>
    <w:rsid w:val="002A02F4"/>
    <w:rsid w:val="002A28BA"/>
    <w:rsid w:val="002A2D6D"/>
    <w:rsid w:val="002B7DAB"/>
    <w:rsid w:val="002C06DC"/>
    <w:rsid w:val="002C15EA"/>
    <w:rsid w:val="002C6B2E"/>
    <w:rsid w:val="002C7695"/>
    <w:rsid w:val="002D46E8"/>
    <w:rsid w:val="002E1052"/>
    <w:rsid w:val="002E3EF8"/>
    <w:rsid w:val="002E6A5F"/>
    <w:rsid w:val="002F2047"/>
    <w:rsid w:val="0031037E"/>
    <w:rsid w:val="00310B11"/>
    <w:rsid w:val="0031399F"/>
    <w:rsid w:val="00315906"/>
    <w:rsid w:val="003164D3"/>
    <w:rsid w:val="00321583"/>
    <w:rsid w:val="00321F82"/>
    <w:rsid w:val="00322126"/>
    <w:rsid w:val="00324EE0"/>
    <w:rsid w:val="00325029"/>
    <w:rsid w:val="00340245"/>
    <w:rsid w:val="00340829"/>
    <w:rsid w:val="003412F4"/>
    <w:rsid w:val="003416F9"/>
    <w:rsid w:val="0034261E"/>
    <w:rsid w:val="00344B6A"/>
    <w:rsid w:val="00346C05"/>
    <w:rsid w:val="00346CD0"/>
    <w:rsid w:val="00354D46"/>
    <w:rsid w:val="00366323"/>
    <w:rsid w:val="0036657A"/>
    <w:rsid w:val="00366612"/>
    <w:rsid w:val="00367A6F"/>
    <w:rsid w:val="003719BA"/>
    <w:rsid w:val="003737D4"/>
    <w:rsid w:val="00380C74"/>
    <w:rsid w:val="0038163E"/>
    <w:rsid w:val="003A2CCD"/>
    <w:rsid w:val="003A728B"/>
    <w:rsid w:val="003B0AE1"/>
    <w:rsid w:val="003C14D7"/>
    <w:rsid w:val="003C314C"/>
    <w:rsid w:val="003C37F7"/>
    <w:rsid w:val="003C5A15"/>
    <w:rsid w:val="003E255A"/>
    <w:rsid w:val="003E2907"/>
    <w:rsid w:val="003E2EF6"/>
    <w:rsid w:val="003E33AC"/>
    <w:rsid w:val="003E6554"/>
    <w:rsid w:val="003E7D62"/>
    <w:rsid w:val="003F08EB"/>
    <w:rsid w:val="003F4F94"/>
    <w:rsid w:val="003F769C"/>
    <w:rsid w:val="00400359"/>
    <w:rsid w:val="00402BC5"/>
    <w:rsid w:val="00414E85"/>
    <w:rsid w:val="004172DF"/>
    <w:rsid w:val="0042025E"/>
    <w:rsid w:val="0042541C"/>
    <w:rsid w:val="00430B50"/>
    <w:rsid w:val="0043555B"/>
    <w:rsid w:val="00441B7E"/>
    <w:rsid w:val="00445823"/>
    <w:rsid w:val="00447FEC"/>
    <w:rsid w:val="004523CA"/>
    <w:rsid w:val="00457EFA"/>
    <w:rsid w:val="00463489"/>
    <w:rsid w:val="004705D2"/>
    <w:rsid w:val="00473BA7"/>
    <w:rsid w:val="00474F08"/>
    <w:rsid w:val="00477237"/>
    <w:rsid w:val="004850B0"/>
    <w:rsid w:val="004877FC"/>
    <w:rsid w:val="00487882"/>
    <w:rsid w:val="0049031D"/>
    <w:rsid w:val="0049520F"/>
    <w:rsid w:val="00496787"/>
    <w:rsid w:val="004A39EA"/>
    <w:rsid w:val="004A41E7"/>
    <w:rsid w:val="004A72F0"/>
    <w:rsid w:val="004B3E76"/>
    <w:rsid w:val="004B50C4"/>
    <w:rsid w:val="004B55E1"/>
    <w:rsid w:val="004D6890"/>
    <w:rsid w:val="004D6B2D"/>
    <w:rsid w:val="004D7E71"/>
    <w:rsid w:val="004E4144"/>
    <w:rsid w:val="004E4DB3"/>
    <w:rsid w:val="004E6421"/>
    <w:rsid w:val="004E6F59"/>
    <w:rsid w:val="004F48AC"/>
    <w:rsid w:val="004F4D6A"/>
    <w:rsid w:val="004F63B3"/>
    <w:rsid w:val="004F727E"/>
    <w:rsid w:val="005069B2"/>
    <w:rsid w:val="0051265E"/>
    <w:rsid w:val="00513AAB"/>
    <w:rsid w:val="005221A8"/>
    <w:rsid w:val="005242D4"/>
    <w:rsid w:val="00530CC2"/>
    <w:rsid w:val="0053226F"/>
    <w:rsid w:val="005322B5"/>
    <w:rsid w:val="005416DE"/>
    <w:rsid w:val="00544161"/>
    <w:rsid w:val="00546A5F"/>
    <w:rsid w:val="00551646"/>
    <w:rsid w:val="005575EA"/>
    <w:rsid w:val="00561752"/>
    <w:rsid w:val="00566D43"/>
    <w:rsid w:val="005702AC"/>
    <w:rsid w:val="005730D6"/>
    <w:rsid w:val="0057542F"/>
    <w:rsid w:val="00576894"/>
    <w:rsid w:val="0057733B"/>
    <w:rsid w:val="00580B4D"/>
    <w:rsid w:val="0058485C"/>
    <w:rsid w:val="005858A3"/>
    <w:rsid w:val="00595226"/>
    <w:rsid w:val="005A01B2"/>
    <w:rsid w:val="005A0588"/>
    <w:rsid w:val="005A0C10"/>
    <w:rsid w:val="005A2010"/>
    <w:rsid w:val="005A4C41"/>
    <w:rsid w:val="005B056F"/>
    <w:rsid w:val="005B5929"/>
    <w:rsid w:val="005C5927"/>
    <w:rsid w:val="005C7B8B"/>
    <w:rsid w:val="005D526C"/>
    <w:rsid w:val="005E0DD7"/>
    <w:rsid w:val="005E2873"/>
    <w:rsid w:val="005E3346"/>
    <w:rsid w:val="005E49FF"/>
    <w:rsid w:val="005F2F8B"/>
    <w:rsid w:val="005F599B"/>
    <w:rsid w:val="0060548C"/>
    <w:rsid w:val="006069E7"/>
    <w:rsid w:val="00612A5C"/>
    <w:rsid w:val="00613036"/>
    <w:rsid w:val="0062332D"/>
    <w:rsid w:val="00630C33"/>
    <w:rsid w:val="00632146"/>
    <w:rsid w:val="0063269F"/>
    <w:rsid w:val="00635A9C"/>
    <w:rsid w:val="00636DCD"/>
    <w:rsid w:val="00637D8C"/>
    <w:rsid w:val="006404D6"/>
    <w:rsid w:val="00641D39"/>
    <w:rsid w:val="00645A34"/>
    <w:rsid w:val="00655512"/>
    <w:rsid w:val="00661F12"/>
    <w:rsid w:val="00661FC6"/>
    <w:rsid w:val="00664558"/>
    <w:rsid w:val="0067208C"/>
    <w:rsid w:val="00673619"/>
    <w:rsid w:val="00673C11"/>
    <w:rsid w:val="00674843"/>
    <w:rsid w:val="00675F76"/>
    <w:rsid w:val="006836C5"/>
    <w:rsid w:val="00691D17"/>
    <w:rsid w:val="00691D1B"/>
    <w:rsid w:val="006A026C"/>
    <w:rsid w:val="006B0DBA"/>
    <w:rsid w:val="006B2360"/>
    <w:rsid w:val="006B4BE3"/>
    <w:rsid w:val="006C1DC7"/>
    <w:rsid w:val="006C45BA"/>
    <w:rsid w:val="006C481D"/>
    <w:rsid w:val="006D4516"/>
    <w:rsid w:val="006D4C85"/>
    <w:rsid w:val="006D75FD"/>
    <w:rsid w:val="006E203D"/>
    <w:rsid w:val="006E29EB"/>
    <w:rsid w:val="006E32B1"/>
    <w:rsid w:val="006F2ABC"/>
    <w:rsid w:val="00703C54"/>
    <w:rsid w:val="007046E3"/>
    <w:rsid w:val="007139E2"/>
    <w:rsid w:val="00713DAE"/>
    <w:rsid w:val="007164BE"/>
    <w:rsid w:val="00722845"/>
    <w:rsid w:val="007231D6"/>
    <w:rsid w:val="0073190B"/>
    <w:rsid w:val="00740E68"/>
    <w:rsid w:val="00750F03"/>
    <w:rsid w:val="007526EE"/>
    <w:rsid w:val="007545F6"/>
    <w:rsid w:val="00757F35"/>
    <w:rsid w:val="0076296D"/>
    <w:rsid w:val="00763821"/>
    <w:rsid w:val="00766A5D"/>
    <w:rsid w:val="00767C21"/>
    <w:rsid w:val="007751C2"/>
    <w:rsid w:val="00775B19"/>
    <w:rsid w:val="00777237"/>
    <w:rsid w:val="0078036E"/>
    <w:rsid w:val="0078246B"/>
    <w:rsid w:val="00782EA4"/>
    <w:rsid w:val="00785736"/>
    <w:rsid w:val="00786D5A"/>
    <w:rsid w:val="007879F9"/>
    <w:rsid w:val="0079032D"/>
    <w:rsid w:val="00790403"/>
    <w:rsid w:val="007947F8"/>
    <w:rsid w:val="00794BCE"/>
    <w:rsid w:val="007A0F93"/>
    <w:rsid w:val="007A2735"/>
    <w:rsid w:val="007A3389"/>
    <w:rsid w:val="007A7DCE"/>
    <w:rsid w:val="007C2970"/>
    <w:rsid w:val="007C6818"/>
    <w:rsid w:val="007D145D"/>
    <w:rsid w:val="007D2E0E"/>
    <w:rsid w:val="007D2FF1"/>
    <w:rsid w:val="007E0F89"/>
    <w:rsid w:val="007E37BE"/>
    <w:rsid w:val="007E45C6"/>
    <w:rsid w:val="007F1704"/>
    <w:rsid w:val="00802E46"/>
    <w:rsid w:val="00806D4E"/>
    <w:rsid w:val="008102F3"/>
    <w:rsid w:val="0081122E"/>
    <w:rsid w:val="008129E1"/>
    <w:rsid w:val="00813F18"/>
    <w:rsid w:val="008145B6"/>
    <w:rsid w:val="0081795D"/>
    <w:rsid w:val="0082019B"/>
    <w:rsid w:val="0083546B"/>
    <w:rsid w:val="00845CCA"/>
    <w:rsid w:val="0084657D"/>
    <w:rsid w:val="00850008"/>
    <w:rsid w:val="00861457"/>
    <w:rsid w:val="00871AA9"/>
    <w:rsid w:val="008772B7"/>
    <w:rsid w:val="00877CB7"/>
    <w:rsid w:val="00883ADD"/>
    <w:rsid w:val="00884E3F"/>
    <w:rsid w:val="008930D1"/>
    <w:rsid w:val="008941F9"/>
    <w:rsid w:val="00895995"/>
    <w:rsid w:val="008A0CEF"/>
    <w:rsid w:val="008A3C48"/>
    <w:rsid w:val="008A4A79"/>
    <w:rsid w:val="008A4F60"/>
    <w:rsid w:val="008B7766"/>
    <w:rsid w:val="008C23D5"/>
    <w:rsid w:val="008C2F5A"/>
    <w:rsid w:val="008C52E5"/>
    <w:rsid w:val="008D1685"/>
    <w:rsid w:val="008D3EA4"/>
    <w:rsid w:val="008D4C75"/>
    <w:rsid w:val="008E221C"/>
    <w:rsid w:val="008E281C"/>
    <w:rsid w:val="008E2A8F"/>
    <w:rsid w:val="008E2BD1"/>
    <w:rsid w:val="008E2CAA"/>
    <w:rsid w:val="008E4980"/>
    <w:rsid w:val="008E784A"/>
    <w:rsid w:val="008F0E1D"/>
    <w:rsid w:val="008F1CA8"/>
    <w:rsid w:val="008F2E46"/>
    <w:rsid w:val="00903C9D"/>
    <w:rsid w:val="00904ADF"/>
    <w:rsid w:val="009141DF"/>
    <w:rsid w:val="009210C4"/>
    <w:rsid w:val="009221CD"/>
    <w:rsid w:val="00924D4F"/>
    <w:rsid w:val="00925918"/>
    <w:rsid w:val="0092769C"/>
    <w:rsid w:val="00927AC4"/>
    <w:rsid w:val="00937755"/>
    <w:rsid w:val="009419F4"/>
    <w:rsid w:val="00941AFB"/>
    <w:rsid w:val="00944051"/>
    <w:rsid w:val="00947732"/>
    <w:rsid w:val="009502F3"/>
    <w:rsid w:val="00951606"/>
    <w:rsid w:val="009533DA"/>
    <w:rsid w:val="00954A67"/>
    <w:rsid w:val="00961F6A"/>
    <w:rsid w:val="00963DB2"/>
    <w:rsid w:val="00966423"/>
    <w:rsid w:val="0097338C"/>
    <w:rsid w:val="009775CB"/>
    <w:rsid w:val="00980308"/>
    <w:rsid w:val="009822B4"/>
    <w:rsid w:val="00982953"/>
    <w:rsid w:val="009871F6"/>
    <w:rsid w:val="00990109"/>
    <w:rsid w:val="00990E5C"/>
    <w:rsid w:val="00993A96"/>
    <w:rsid w:val="009A0972"/>
    <w:rsid w:val="009B1083"/>
    <w:rsid w:val="009C1022"/>
    <w:rsid w:val="009C3698"/>
    <w:rsid w:val="009C53FA"/>
    <w:rsid w:val="009C544B"/>
    <w:rsid w:val="009C5654"/>
    <w:rsid w:val="009C5E16"/>
    <w:rsid w:val="009D4265"/>
    <w:rsid w:val="009D5E51"/>
    <w:rsid w:val="009E5379"/>
    <w:rsid w:val="009E7F69"/>
    <w:rsid w:val="009F1E18"/>
    <w:rsid w:val="009F214D"/>
    <w:rsid w:val="009F33BD"/>
    <w:rsid w:val="009F77C8"/>
    <w:rsid w:val="00A075D7"/>
    <w:rsid w:val="00A10B88"/>
    <w:rsid w:val="00A12082"/>
    <w:rsid w:val="00A17567"/>
    <w:rsid w:val="00A178BD"/>
    <w:rsid w:val="00A31030"/>
    <w:rsid w:val="00A334F1"/>
    <w:rsid w:val="00A35E97"/>
    <w:rsid w:val="00A43779"/>
    <w:rsid w:val="00A459ED"/>
    <w:rsid w:val="00A47262"/>
    <w:rsid w:val="00A474DC"/>
    <w:rsid w:val="00A524CC"/>
    <w:rsid w:val="00A52F36"/>
    <w:rsid w:val="00A5380D"/>
    <w:rsid w:val="00A54409"/>
    <w:rsid w:val="00A55EFE"/>
    <w:rsid w:val="00A61726"/>
    <w:rsid w:val="00A6706C"/>
    <w:rsid w:val="00A71820"/>
    <w:rsid w:val="00A740F3"/>
    <w:rsid w:val="00A76384"/>
    <w:rsid w:val="00A76E67"/>
    <w:rsid w:val="00A83D6B"/>
    <w:rsid w:val="00A84590"/>
    <w:rsid w:val="00A85094"/>
    <w:rsid w:val="00A855A5"/>
    <w:rsid w:val="00A85A4C"/>
    <w:rsid w:val="00A87433"/>
    <w:rsid w:val="00A90653"/>
    <w:rsid w:val="00A91413"/>
    <w:rsid w:val="00AA02B8"/>
    <w:rsid w:val="00AA0ADC"/>
    <w:rsid w:val="00AA13AE"/>
    <w:rsid w:val="00AA4076"/>
    <w:rsid w:val="00AA6AF4"/>
    <w:rsid w:val="00AB1F1C"/>
    <w:rsid w:val="00AB335A"/>
    <w:rsid w:val="00AC15C8"/>
    <w:rsid w:val="00AC6710"/>
    <w:rsid w:val="00AC71C5"/>
    <w:rsid w:val="00AC789C"/>
    <w:rsid w:val="00AD1097"/>
    <w:rsid w:val="00AD63B6"/>
    <w:rsid w:val="00AD7FCC"/>
    <w:rsid w:val="00AE13D4"/>
    <w:rsid w:val="00AF0EB2"/>
    <w:rsid w:val="00AF2296"/>
    <w:rsid w:val="00AF34DD"/>
    <w:rsid w:val="00B018AC"/>
    <w:rsid w:val="00B11AAB"/>
    <w:rsid w:val="00B125D5"/>
    <w:rsid w:val="00B14CD9"/>
    <w:rsid w:val="00B16A23"/>
    <w:rsid w:val="00B17D98"/>
    <w:rsid w:val="00B2317A"/>
    <w:rsid w:val="00B244B1"/>
    <w:rsid w:val="00B257E2"/>
    <w:rsid w:val="00B302E0"/>
    <w:rsid w:val="00B34196"/>
    <w:rsid w:val="00B36A4C"/>
    <w:rsid w:val="00B36ACE"/>
    <w:rsid w:val="00B415E0"/>
    <w:rsid w:val="00B42586"/>
    <w:rsid w:val="00B469EA"/>
    <w:rsid w:val="00B530EB"/>
    <w:rsid w:val="00B578E7"/>
    <w:rsid w:val="00B61E2D"/>
    <w:rsid w:val="00B63F48"/>
    <w:rsid w:val="00B650CB"/>
    <w:rsid w:val="00B715DD"/>
    <w:rsid w:val="00B734E6"/>
    <w:rsid w:val="00B73D49"/>
    <w:rsid w:val="00B81A5E"/>
    <w:rsid w:val="00B836A9"/>
    <w:rsid w:val="00B83B55"/>
    <w:rsid w:val="00B84FA6"/>
    <w:rsid w:val="00B861DC"/>
    <w:rsid w:val="00B904B9"/>
    <w:rsid w:val="00B933C9"/>
    <w:rsid w:val="00B949B4"/>
    <w:rsid w:val="00B9660F"/>
    <w:rsid w:val="00BA14EA"/>
    <w:rsid w:val="00BA22F5"/>
    <w:rsid w:val="00BA2A6E"/>
    <w:rsid w:val="00BA5D99"/>
    <w:rsid w:val="00BA73B3"/>
    <w:rsid w:val="00BB0BF6"/>
    <w:rsid w:val="00BB6DC9"/>
    <w:rsid w:val="00BC252F"/>
    <w:rsid w:val="00BC47E8"/>
    <w:rsid w:val="00BC6497"/>
    <w:rsid w:val="00BF3448"/>
    <w:rsid w:val="00BF4B4D"/>
    <w:rsid w:val="00C0399E"/>
    <w:rsid w:val="00C03BA9"/>
    <w:rsid w:val="00C117BE"/>
    <w:rsid w:val="00C14A52"/>
    <w:rsid w:val="00C15586"/>
    <w:rsid w:val="00C25379"/>
    <w:rsid w:val="00C25441"/>
    <w:rsid w:val="00C25DBB"/>
    <w:rsid w:val="00C31384"/>
    <w:rsid w:val="00C3211B"/>
    <w:rsid w:val="00C37AC8"/>
    <w:rsid w:val="00C4048A"/>
    <w:rsid w:val="00C40F30"/>
    <w:rsid w:val="00C50EE9"/>
    <w:rsid w:val="00C51EC4"/>
    <w:rsid w:val="00C5201E"/>
    <w:rsid w:val="00C5256D"/>
    <w:rsid w:val="00C52EF1"/>
    <w:rsid w:val="00C53ED7"/>
    <w:rsid w:val="00C5721F"/>
    <w:rsid w:val="00C57E12"/>
    <w:rsid w:val="00C60607"/>
    <w:rsid w:val="00C6267F"/>
    <w:rsid w:val="00C62E45"/>
    <w:rsid w:val="00C65B6F"/>
    <w:rsid w:val="00C721FD"/>
    <w:rsid w:val="00C730D0"/>
    <w:rsid w:val="00C76C82"/>
    <w:rsid w:val="00C833DF"/>
    <w:rsid w:val="00C872F5"/>
    <w:rsid w:val="00C91716"/>
    <w:rsid w:val="00C92940"/>
    <w:rsid w:val="00C94203"/>
    <w:rsid w:val="00CA00B2"/>
    <w:rsid w:val="00CA3546"/>
    <w:rsid w:val="00CA35C0"/>
    <w:rsid w:val="00CA3608"/>
    <w:rsid w:val="00CB294D"/>
    <w:rsid w:val="00CB71B1"/>
    <w:rsid w:val="00CD6624"/>
    <w:rsid w:val="00CD69BE"/>
    <w:rsid w:val="00CD7892"/>
    <w:rsid w:val="00CE0E88"/>
    <w:rsid w:val="00CE1CE5"/>
    <w:rsid w:val="00CE2BD3"/>
    <w:rsid w:val="00CE40A0"/>
    <w:rsid w:val="00CE48A1"/>
    <w:rsid w:val="00CF6CCC"/>
    <w:rsid w:val="00D01A9E"/>
    <w:rsid w:val="00D01DF5"/>
    <w:rsid w:val="00D030F7"/>
    <w:rsid w:val="00D0639A"/>
    <w:rsid w:val="00D06C10"/>
    <w:rsid w:val="00D243B2"/>
    <w:rsid w:val="00D34840"/>
    <w:rsid w:val="00D36D40"/>
    <w:rsid w:val="00D4025A"/>
    <w:rsid w:val="00D41FDF"/>
    <w:rsid w:val="00D42ADC"/>
    <w:rsid w:val="00D43558"/>
    <w:rsid w:val="00D4360D"/>
    <w:rsid w:val="00D43D0B"/>
    <w:rsid w:val="00D53867"/>
    <w:rsid w:val="00D539B3"/>
    <w:rsid w:val="00D54BD1"/>
    <w:rsid w:val="00D55C02"/>
    <w:rsid w:val="00D56719"/>
    <w:rsid w:val="00D636BE"/>
    <w:rsid w:val="00D70E11"/>
    <w:rsid w:val="00D72B66"/>
    <w:rsid w:val="00D76E4F"/>
    <w:rsid w:val="00D77E9E"/>
    <w:rsid w:val="00D8496D"/>
    <w:rsid w:val="00D86437"/>
    <w:rsid w:val="00D87C83"/>
    <w:rsid w:val="00D915A2"/>
    <w:rsid w:val="00D953C2"/>
    <w:rsid w:val="00D953C3"/>
    <w:rsid w:val="00D97E2B"/>
    <w:rsid w:val="00DB373C"/>
    <w:rsid w:val="00DB43BD"/>
    <w:rsid w:val="00DB5229"/>
    <w:rsid w:val="00DB6AB9"/>
    <w:rsid w:val="00DB764E"/>
    <w:rsid w:val="00DC117C"/>
    <w:rsid w:val="00DC19D6"/>
    <w:rsid w:val="00DC5111"/>
    <w:rsid w:val="00DD0803"/>
    <w:rsid w:val="00DD51ED"/>
    <w:rsid w:val="00DD5250"/>
    <w:rsid w:val="00DD6239"/>
    <w:rsid w:val="00DD6F35"/>
    <w:rsid w:val="00DE00E0"/>
    <w:rsid w:val="00DE201C"/>
    <w:rsid w:val="00DE763A"/>
    <w:rsid w:val="00DF085E"/>
    <w:rsid w:val="00DF4A2E"/>
    <w:rsid w:val="00DF6987"/>
    <w:rsid w:val="00DF7EDA"/>
    <w:rsid w:val="00E0484A"/>
    <w:rsid w:val="00E04F66"/>
    <w:rsid w:val="00E06529"/>
    <w:rsid w:val="00E14F02"/>
    <w:rsid w:val="00E164BF"/>
    <w:rsid w:val="00E20CF3"/>
    <w:rsid w:val="00E25DA2"/>
    <w:rsid w:val="00E26F9D"/>
    <w:rsid w:val="00E37D6A"/>
    <w:rsid w:val="00E4145A"/>
    <w:rsid w:val="00E4373B"/>
    <w:rsid w:val="00E521AF"/>
    <w:rsid w:val="00E52378"/>
    <w:rsid w:val="00E60DD5"/>
    <w:rsid w:val="00E62211"/>
    <w:rsid w:val="00E6488D"/>
    <w:rsid w:val="00E65B33"/>
    <w:rsid w:val="00E71728"/>
    <w:rsid w:val="00E71EE1"/>
    <w:rsid w:val="00E74565"/>
    <w:rsid w:val="00E86F61"/>
    <w:rsid w:val="00EA1D19"/>
    <w:rsid w:val="00EB236F"/>
    <w:rsid w:val="00EB431E"/>
    <w:rsid w:val="00EB63C1"/>
    <w:rsid w:val="00EB76EE"/>
    <w:rsid w:val="00EB7DB1"/>
    <w:rsid w:val="00EC10FA"/>
    <w:rsid w:val="00EC4BEC"/>
    <w:rsid w:val="00EC6FBB"/>
    <w:rsid w:val="00ED3EA0"/>
    <w:rsid w:val="00ED4C87"/>
    <w:rsid w:val="00ED79C0"/>
    <w:rsid w:val="00EE248A"/>
    <w:rsid w:val="00EE5540"/>
    <w:rsid w:val="00EE723D"/>
    <w:rsid w:val="00EF35B4"/>
    <w:rsid w:val="00EF414B"/>
    <w:rsid w:val="00EF64EC"/>
    <w:rsid w:val="00EF789E"/>
    <w:rsid w:val="00F0002E"/>
    <w:rsid w:val="00F0262B"/>
    <w:rsid w:val="00F06277"/>
    <w:rsid w:val="00F237FD"/>
    <w:rsid w:val="00F262E6"/>
    <w:rsid w:val="00F2729A"/>
    <w:rsid w:val="00F30399"/>
    <w:rsid w:val="00F40027"/>
    <w:rsid w:val="00F41328"/>
    <w:rsid w:val="00F423D8"/>
    <w:rsid w:val="00F47469"/>
    <w:rsid w:val="00F47786"/>
    <w:rsid w:val="00F5004E"/>
    <w:rsid w:val="00F52ADD"/>
    <w:rsid w:val="00F54A7C"/>
    <w:rsid w:val="00F63018"/>
    <w:rsid w:val="00F63CD1"/>
    <w:rsid w:val="00F6454C"/>
    <w:rsid w:val="00F64FEC"/>
    <w:rsid w:val="00F76D77"/>
    <w:rsid w:val="00F82049"/>
    <w:rsid w:val="00F96641"/>
    <w:rsid w:val="00F97E09"/>
    <w:rsid w:val="00FA141A"/>
    <w:rsid w:val="00FA363E"/>
    <w:rsid w:val="00FA60CC"/>
    <w:rsid w:val="00FB1322"/>
    <w:rsid w:val="00FC0808"/>
    <w:rsid w:val="00FC0F1D"/>
    <w:rsid w:val="00FC3004"/>
    <w:rsid w:val="00FC559A"/>
    <w:rsid w:val="00FC61A1"/>
    <w:rsid w:val="00FC6987"/>
    <w:rsid w:val="00FC6A76"/>
    <w:rsid w:val="00FD1BBF"/>
    <w:rsid w:val="00FD45B8"/>
    <w:rsid w:val="00FE14A1"/>
    <w:rsid w:val="00FE2F53"/>
    <w:rsid w:val="00FE705A"/>
    <w:rsid w:val="00FE738E"/>
    <w:rsid w:val="00FE78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8C368"/>
  <w15:chartTrackingRefBased/>
  <w15:docId w15:val="{9056F8FF-7C5B-48A9-9901-53BEC72B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86E55"/>
    <w:pPr>
      <w:keepNext/>
      <w:keepLines/>
      <w:numPr>
        <w:numId w:val="21"/>
      </w:numPr>
      <w:spacing w:before="360" w:after="80"/>
      <w:jc w:val="center"/>
      <w:outlineLvl w:val="0"/>
    </w:pPr>
    <w:rPr>
      <w:rFonts w:ascii="Times New Roman" w:eastAsiaTheme="majorEastAsia" w:hAnsi="Times New Roman" w:cs="Times New Roman"/>
      <w:b/>
      <w:bCs/>
      <w:sz w:val="28"/>
      <w:szCs w:val="28"/>
    </w:rPr>
  </w:style>
  <w:style w:type="paragraph" w:styleId="Heading2">
    <w:name w:val="heading 2"/>
    <w:basedOn w:val="NoSpacing"/>
    <w:next w:val="Normal"/>
    <w:link w:val="Heading2Char"/>
    <w:uiPriority w:val="9"/>
    <w:unhideWhenUsed/>
    <w:qFormat/>
    <w:rsid w:val="00AA6AF4"/>
    <w:pPr>
      <w:jc w:val="center"/>
      <w:outlineLvl w:val="1"/>
    </w:pPr>
    <w:rPr>
      <w:rFonts w:ascii="Times New Roman" w:hAnsi="Times New Roman" w:cs="Times New Roman"/>
      <w:b/>
      <w:bCs/>
      <w:sz w:val="22"/>
      <w:szCs w:val="22"/>
    </w:rPr>
  </w:style>
  <w:style w:type="paragraph" w:styleId="Heading3">
    <w:name w:val="heading 3"/>
    <w:basedOn w:val="Normal"/>
    <w:next w:val="Normal"/>
    <w:link w:val="Heading3Char"/>
    <w:uiPriority w:val="9"/>
    <w:unhideWhenUsed/>
    <w:qFormat/>
    <w:rsid w:val="004D6B2D"/>
    <w:pPr>
      <w:numPr>
        <w:ilvl w:val="2"/>
        <w:numId w:val="21"/>
      </w:numPr>
      <w:spacing w:after="80" w:line="220" w:lineRule="exact"/>
      <w:ind w:left="0" w:firstLine="273"/>
      <w:jc w:val="both"/>
      <w:outlineLvl w:val="2"/>
    </w:pPr>
    <w:rPr>
      <w:rFonts w:ascii="Times New Roman" w:eastAsiaTheme="majorEastAsia" w:hAnsi="Times New Roman" w:cs="Times New Roman"/>
      <w:sz w:val="18"/>
      <w:szCs w:val="18"/>
    </w:rPr>
  </w:style>
  <w:style w:type="paragraph" w:styleId="Heading4">
    <w:name w:val="heading 4"/>
    <w:basedOn w:val="Normal"/>
    <w:next w:val="Normal"/>
    <w:link w:val="Heading4Char"/>
    <w:uiPriority w:val="9"/>
    <w:unhideWhenUsed/>
    <w:qFormat/>
    <w:rsid w:val="00C721FD"/>
    <w:pPr>
      <w:spacing w:line="240" w:lineRule="auto"/>
      <w:ind w:left="720"/>
      <w:jc w:val="center"/>
      <w:outlineLvl w:val="3"/>
    </w:pPr>
    <w:rPr>
      <w:rFonts w:ascii="Times New Roman" w:hAnsi="Times New Roman" w:cs="Times New Roman"/>
      <w:b/>
      <w:bCs/>
      <w:sz w:val="20"/>
      <w:szCs w:val="20"/>
    </w:rPr>
  </w:style>
  <w:style w:type="paragraph" w:styleId="Heading5">
    <w:name w:val="heading 5"/>
    <w:basedOn w:val="Normal"/>
    <w:next w:val="Normal"/>
    <w:link w:val="Heading5Char"/>
    <w:uiPriority w:val="9"/>
    <w:unhideWhenUsed/>
    <w:qFormat/>
    <w:rsid w:val="001229DF"/>
    <w:pPr>
      <w:keepNext/>
      <w:keepLines/>
      <w:numPr>
        <w:ilvl w:val="4"/>
        <w:numId w:val="23"/>
      </w:numPr>
      <w:spacing w:before="80" w:after="40"/>
      <w:ind w:left="0" w:firstLine="0"/>
      <w:jc w:val="center"/>
      <w:outlineLvl w:val="4"/>
    </w:pPr>
    <w:rPr>
      <w:rFonts w:ascii="Times New Roman" w:eastAsiaTheme="majorEastAsia" w:hAnsi="Times New Roman" w:cs="Times New Roman"/>
      <w:b/>
      <w:bCs/>
    </w:rPr>
  </w:style>
  <w:style w:type="paragraph" w:styleId="Heading6">
    <w:name w:val="heading 6"/>
    <w:basedOn w:val="Normal"/>
    <w:next w:val="Normal"/>
    <w:link w:val="Heading6Char"/>
    <w:uiPriority w:val="9"/>
    <w:unhideWhenUsed/>
    <w:qFormat/>
    <w:rsid w:val="002025E4"/>
    <w:pPr>
      <w:keepNext/>
      <w:keepLines/>
      <w:numPr>
        <w:ilvl w:val="5"/>
        <w:numId w:val="23"/>
      </w:numPr>
      <w:spacing w:before="40" w:after="0"/>
      <w:jc w:val="both"/>
      <w:outlineLvl w:val="5"/>
    </w:pPr>
    <w:rPr>
      <w:rFonts w:ascii="Times New Roman" w:eastAsiaTheme="majorEastAsia" w:hAnsi="Times New Roman" w:cs="Times New Roman"/>
      <w:sz w:val="18"/>
      <w:szCs w:val="18"/>
    </w:rPr>
  </w:style>
  <w:style w:type="paragraph" w:styleId="Heading7">
    <w:name w:val="heading 7"/>
    <w:basedOn w:val="Normal"/>
    <w:next w:val="Normal"/>
    <w:link w:val="Heading7Char"/>
    <w:uiPriority w:val="9"/>
    <w:semiHidden/>
    <w:unhideWhenUsed/>
    <w:qFormat/>
    <w:rsid w:val="005E3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55"/>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AA6AF4"/>
    <w:rPr>
      <w:rFonts w:ascii="Times New Roman" w:hAnsi="Times New Roman" w:cs="Times New Roman"/>
      <w:b/>
      <w:bCs/>
      <w:sz w:val="22"/>
      <w:szCs w:val="22"/>
    </w:rPr>
  </w:style>
  <w:style w:type="character" w:customStyle="1" w:styleId="Heading3Char">
    <w:name w:val="Heading 3 Char"/>
    <w:basedOn w:val="DefaultParagraphFont"/>
    <w:link w:val="Heading3"/>
    <w:uiPriority w:val="9"/>
    <w:rsid w:val="004D6B2D"/>
    <w:rPr>
      <w:rFonts w:ascii="Times New Roman" w:eastAsiaTheme="majorEastAsia" w:hAnsi="Times New Roman" w:cs="Times New Roman"/>
      <w:sz w:val="18"/>
      <w:szCs w:val="18"/>
    </w:rPr>
  </w:style>
  <w:style w:type="character" w:customStyle="1" w:styleId="Heading4Char">
    <w:name w:val="Heading 4 Char"/>
    <w:basedOn w:val="DefaultParagraphFont"/>
    <w:link w:val="Heading4"/>
    <w:uiPriority w:val="9"/>
    <w:rsid w:val="00C721FD"/>
    <w:rPr>
      <w:rFonts w:ascii="Times New Roman" w:hAnsi="Times New Roman" w:cs="Times New Roman"/>
      <w:b/>
      <w:bCs/>
      <w:sz w:val="20"/>
      <w:szCs w:val="20"/>
    </w:rPr>
  </w:style>
  <w:style w:type="character" w:customStyle="1" w:styleId="Heading5Char">
    <w:name w:val="Heading 5 Char"/>
    <w:basedOn w:val="DefaultParagraphFont"/>
    <w:link w:val="Heading5"/>
    <w:uiPriority w:val="9"/>
    <w:rsid w:val="001229DF"/>
    <w:rPr>
      <w:rFonts w:ascii="Times New Roman" w:eastAsiaTheme="majorEastAsia" w:hAnsi="Times New Roman" w:cs="Times New Roman"/>
      <w:b/>
      <w:bCs/>
    </w:rPr>
  </w:style>
  <w:style w:type="character" w:customStyle="1" w:styleId="Heading6Char">
    <w:name w:val="Heading 6 Char"/>
    <w:basedOn w:val="DefaultParagraphFont"/>
    <w:link w:val="Heading6"/>
    <w:uiPriority w:val="9"/>
    <w:rsid w:val="002025E4"/>
    <w:rPr>
      <w:rFonts w:ascii="Times New Roman" w:eastAsiaTheme="majorEastAsia" w:hAnsi="Times New Roman" w:cs="Times New Roman"/>
      <w:sz w:val="18"/>
      <w:szCs w:val="18"/>
    </w:rPr>
  </w:style>
  <w:style w:type="character" w:customStyle="1" w:styleId="Heading7Char">
    <w:name w:val="Heading 7 Char"/>
    <w:basedOn w:val="DefaultParagraphFont"/>
    <w:link w:val="Heading7"/>
    <w:uiPriority w:val="9"/>
    <w:semiHidden/>
    <w:rsid w:val="005E3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346"/>
    <w:rPr>
      <w:rFonts w:eastAsiaTheme="majorEastAsia" w:cstheme="majorBidi"/>
      <w:color w:val="272727" w:themeColor="text1" w:themeTint="D8"/>
    </w:rPr>
  </w:style>
  <w:style w:type="paragraph" w:styleId="Title">
    <w:name w:val="Title"/>
    <w:basedOn w:val="Normal"/>
    <w:next w:val="Normal"/>
    <w:link w:val="TitleChar"/>
    <w:uiPriority w:val="10"/>
    <w:qFormat/>
    <w:rsid w:val="005E334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334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334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334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3346"/>
    <w:pPr>
      <w:spacing w:before="160"/>
      <w:jc w:val="center"/>
    </w:pPr>
    <w:rPr>
      <w:i/>
      <w:iCs/>
      <w:color w:val="404040" w:themeColor="text1" w:themeTint="BF"/>
    </w:rPr>
  </w:style>
  <w:style w:type="character" w:customStyle="1" w:styleId="QuoteChar">
    <w:name w:val="Quote Char"/>
    <w:basedOn w:val="DefaultParagraphFont"/>
    <w:link w:val="Quote"/>
    <w:uiPriority w:val="29"/>
    <w:rsid w:val="005E3346"/>
    <w:rPr>
      <w:rFonts w:cs="Mangal"/>
      <w:i/>
      <w:iCs/>
      <w:color w:val="404040" w:themeColor="text1" w:themeTint="BF"/>
    </w:rPr>
  </w:style>
  <w:style w:type="paragraph" w:styleId="ListParagraph">
    <w:name w:val="List Paragraph"/>
    <w:basedOn w:val="Normal"/>
    <w:uiPriority w:val="34"/>
    <w:qFormat/>
    <w:rsid w:val="005E3346"/>
    <w:pPr>
      <w:ind w:left="720"/>
      <w:contextualSpacing/>
    </w:pPr>
  </w:style>
  <w:style w:type="character" w:styleId="IntenseEmphasis">
    <w:name w:val="Intense Emphasis"/>
    <w:basedOn w:val="DefaultParagraphFont"/>
    <w:uiPriority w:val="21"/>
    <w:qFormat/>
    <w:rsid w:val="005E3346"/>
    <w:rPr>
      <w:i/>
      <w:iCs/>
      <w:color w:val="0F4761" w:themeColor="accent1" w:themeShade="BF"/>
    </w:rPr>
  </w:style>
  <w:style w:type="paragraph" w:styleId="IntenseQuote">
    <w:name w:val="Intense Quote"/>
    <w:basedOn w:val="Normal"/>
    <w:next w:val="Normal"/>
    <w:link w:val="IntenseQuoteChar"/>
    <w:uiPriority w:val="30"/>
    <w:qFormat/>
    <w:rsid w:val="005E3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346"/>
    <w:rPr>
      <w:rFonts w:cs="Mangal"/>
      <w:i/>
      <w:iCs/>
      <w:color w:val="0F4761" w:themeColor="accent1" w:themeShade="BF"/>
    </w:rPr>
  </w:style>
  <w:style w:type="character" w:styleId="IntenseReference">
    <w:name w:val="Intense Reference"/>
    <w:basedOn w:val="DefaultParagraphFont"/>
    <w:uiPriority w:val="32"/>
    <w:qFormat/>
    <w:rsid w:val="005E3346"/>
    <w:rPr>
      <w:b/>
      <w:bCs/>
      <w:smallCaps/>
      <w:color w:val="0F4761" w:themeColor="accent1" w:themeShade="BF"/>
      <w:spacing w:val="5"/>
    </w:rPr>
  </w:style>
  <w:style w:type="paragraph" w:styleId="FootnoteText">
    <w:name w:val="footnote text"/>
    <w:basedOn w:val="Normal"/>
    <w:link w:val="FootnoteTextChar"/>
    <w:uiPriority w:val="99"/>
    <w:unhideWhenUsed/>
    <w:rsid w:val="00AF0EB2"/>
    <w:pPr>
      <w:spacing w:after="0" w:line="240" w:lineRule="auto"/>
    </w:pPr>
    <w:rPr>
      <w:sz w:val="20"/>
      <w:szCs w:val="18"/>
    </w:rPr>
  </w:style>
  <w:style w:type="character" w:customStyle="1" w:styleId="FootnoteTextChar">
    <w:name w:val="Footnote Text Char"/>
    <w:basedOn w:val="DefaultParagraphFont"/>
    <w:link w:val="FootnoteText"/>
    <w:uiPriority w:val="99"/>
    <w:rsid w:val="00AF0EB2"/>
    <w:rPr>
      <w:rFonts w:cs="Mangal"/>
      <w:sz w:val="20"/>
      <w:szCs w:val="18"/>
    </w:rPr>
  </w:style>
  <w:style w:type="character" w:styleId="FootnoteReference">
    <w:name w:val="footnote reference"/>
    <w:basedOn w:val="DefaultParagraphFont"/>
    <w:uiPriority w:val="99"/>
    <w:semiHidden/>
    <w:unhideWhenUsed/>
    <w:rsid w:val="00AF0EB2"/>
    <w:rPr>
      <w:vertAlign w:val="superscript"/>
    </w:rPr>
  </w:style>
  <w:style w:type="paragraph" w:styleId="NoSpacing">
    <w:name w:val="No Spacing"/>
    <w:uiPriority w:val="1"/>
    <w:qFormat/>
    <w:rsid w:val="000142D5"/>
    <w:pPr>
      <w:spacing w:after="0" w:line="240" w:lineRule="auto"/>
    </w:pPr>
    <w:rPr>
      <w:rFonts w:cs="Mangal"/>
    </w:rPr>
  </w:style>
  <w:style w:type="table" w:styleId="TableGrid">
    <w:name w:val="Table Grid"/>
    <w:basedOn w:val="TableNormal"/>
    <w:uiPriority w:val="39"/>
    <w:rsid w:val="0001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051"/>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customStyle="1" w:styleId="ng-star-inserted">
    <w:name w:val="ng-star-inserted"/>
    <w:basedOn w:val="Normal"/>
    <w:rsid w:val="00944051"/>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Strong">
    <w:name w:val="Strong"/>
    <w:basedOn w:val="DefaultParagraphFont"/>
    <w:uiPriority w:val="22"/>
    <w:qFormat/>
    <w:rsid w:val="00944051"/>
    <w:rPr>
      <w:b/>
      <w:bCs/>
    </w:rPr>
  </w:style>
  <w:style w:type="character" w:customStyle="1" w:styleId="ng-star-inserted1">
    <w:name w:val="ng-star-inserted1"/>
    <w:basedOn w:val="DefaultParagraphFont"/>
    <w:rsid w:val="00944051"/>
  </w:style>
  <w:style w:type="paragraph" w:styleId="Header">
    <w:name w:val="header"/>
    <w:basedOn w:val="Normal"/>
    <w:link w:val="HeaderChar"/>
    <w:uiPriority w:val="99"/>
    <w:unhideWhenUsed/>
    <w:rsid w:val="00260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488"/>
    <w:rPr>
      <w:rFonts w:cs="Mangal"/>
    </w:rPr>
  </w:style>
  <w:style w:type="paragraph" w:styleId="Footer">
    <w:name w:val="footer"/>
    <w:basedOn w:val="Normal"/>
    <w:link w:val="FooterChar"/>
    <w:uiPriority w:val="99"/>
    <w:unhideWhenUsed/>
    <w:rsid w:val="00260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488"/>
    <w:rPr>
      <w:rFonts w:cs="Mangal"/>
    </w:rPr>
  </w:style>
  <w:style w:type="paragraph" w:styleId="EndnoteText">
    <w:name w:val="endnote text"/>
    <w:basedOn w:val="Normal"/>
    <w:link w:val="EndnoteTextChar"/>
    <w:uiPriority w:val="99"/>
    <w:semiHidden/>
    <w:unhideWhenUsed/>
    <w:rsid w:val="0028322C"/>
    <w:pPr>
      <w:spacing w:after="0" w:line="240" w:lineRule="auto"/>
    </w:pPr>
    <w:rPr>
      <w:sz w:val="20"/>
      <w:szCs w:val="18"/>
    </w:rPr>
  </w:style>
  <w:style w:type="character" w:customStyle="1" w:styleId="EndnoteTextChar">
    <w:name w:val="Endnote Text Char"/>
    <w:basedOn w:val="DefaultParagraphFont"/>
    <w:link w:val="EndnoteText"/>
    <w:uiPriority w:val="99"/>
    <w:semiHidden/>
    <w:rsid w:val="0028322C"/>
    <w:rPr>
      <w:rFonts w:cs="Mangal"/>
      <w:sz w:val="20"/>
      <w:szCs w:val="18"/>
    </w:rPr>
  </w:style>
  <w:style w:type="character" w:styleId="EndnoteReference">
    <w:name w:val="endnote reference"/>
    <w:basedOn w:val="DefaultParagraphFont"/>
    <w:uiPriority w:val="99"/>
    <w:semiHidden/>
    <w:unhideWhenUsed/>
    <w:rsid w:val="0028322C"/>
    <w:rPr>
      <w:vertAlign w:val="superscript"/>
    </w:rPr>
  </w:style>
  <w:style w:type="paragraph" w:styleId="TOC1">
    <w:name w:val="toc 1"/>
    <w:basedOn w:val="Normal"/>
    <w:next w:val="Normal"/>
    <w:autoRedefine/>
    <w:uiPriority w:val="39"/>
    <w:unhideWhenUsed/>
    <w:rsid w:val="00CA35C0"/>
    <w:pPr>
      <w:tabs>
        <w:tab w:val="left" w:pos="1440"/>
        <w:tab w:val="right" w:leader="dot" w:pos="9016"/>
      </w:tabs>
      <w:spacing w:before="120" w:after="0"/>
    </w:pPr>
    <w:rPr>
      <w:rFonts w:ascii="Times New Roman" w:hAnsi="Times New Roman" w:cs="Times New Roman"/>
      <w:szCs w:val="24"/>
      <w:lang w:val="en-GB"/>
    </w:rPr>
  </w:style>
  <w:style w:type="paragraph" w:styleId="TOC2">
    <w:name w:val="toc 2"/>
    <w:basedOn w:val="Normal"/>
    <w:next w:val="Normal"/>
    <w:autoRedefine/>
    <w:uiPriority w:val="39"/>
    <w:unhideWhenUsed/>
    <w:rsid w:val="00EB431E"/>
    <w:pPr>
      <w:spacing w:before="120" w:after="0"/>
      <w:ind w:left="240"/>
    </w:pPr>
    <w:rPr>
      <w:b/>
      <w:bCs/>
      <w:sz w:val="22"/>
      <w:szCs w:val="22"/>
    </w:rPr>
  </w:style>
  <w:style w:type="paragraph" w:styleId="TOC3">
    <w:name w:val="toc 3"/>
    <w:basedOn w:val="Normal"/>
    <w:next w:val="Normal"/>
    <w:autoRedefine/>
    <w:uiPriority w:val="39"/>
    <w:unhideWhenUsed/>
    <w:rsid w:val="00EB431E"/>
    <w:pPr>
      <w:spacing w:after="0"/>
      <w:ind w:left="480"/>
    </w:pPr>
    <w:rPr>
      <w:sz w:val="20"/>
      <w:szCs w:val="20"/>
    </w:rPr>
  </w:style>
  <w:style w:type="paragraph" w:styleId="TOC4">
    <w:name w:val="toc 4"/>
    <w:basedOn w:val="Normal"/>
    <w:next w:val="Normal"/>
    <w:autoRedefine/>
    <w:uiPriority w:val="39"/>
    <w:unhideWhenUsed/>
    <w:rsid w:val="00EB431E"/>
    <w:pPr>
      <w:spacing w:after="0"/>
      <w:ind w:left="720"/>
    </w:pPr>
    <w:rPr>
      <w:sz w:val="20"/>
      <w:szCs w:val="20"/>
    </w:rPr>
  </w:style>
  <w:style w:type="paragraph" w:styleId="TOC5">
    <w:name w:val="toc 5"/>
    <w:basedOn w:val="Normal"/>
    <w:next w:val="Normal"/>
    <w:autoRedefine/>
    <w:uiPriority w:val="39"/>
    <w:unhideWhenUsed/>
    <w:rsid w:val="00EB431E"/>
    <w:pPr>
      <w:spacing w:after="0"/>
      <w:ind w:left="960"/>
    </w:pPr>
    <w:rPr>
      <w:sz w:val="20"/>
      <w:szCs w:val="20"/>
    </w:rPr>
  </w:style>
  <w:style w:type="paragraph" w:styleId="TOC6">
    <w:name w:val="toc 6"/>
    <w:basedOn w:val="Normal"/>
    <w:next w:val="Normal"/>
    <w:autoRedefine/>
    <w:uiPriority w:val="39"/>
    <w:unhideWhenUsed/>
    <w:rsid w:val="00EB431E"/>
    <w:pPr>
      <w:spacing w:after="0"/>
      <w:ind w:left="1200"/>
    </w:pPr>
    <w:rPr>
      <w:sz w:val="20"/>
      <w:szCs w:val="20"/>
    </w:rPr>
  </w:style>
  <w:style w:type="paragraph" w:styleId="TOC7">
    <w:name w:val="toc 7"/>
    <w:basedOn w:val="Normal"/>
    <w:next w:val="Normal"/>
    <w:autoRedefine/>
    <w:uiPriority w:val="39"/>
    <w:unhideWhenUsed/>
    <w:rsid w:val="00EB431E"/>
    <w:pPr>
      <w:spacing w:after="0"/>
      <w:ind w:left="1440"/>
    </w:pPr>
    <w:rPr>
      <w:sz w:val="20"/>
      <w:szCs w:val="20"/>
    </w:rPr>
  </w:style>
  <w:style w:type="paragraph" w:styleId="TOC8">
    <w:name w:val="toc 8"/>
    <w:basedOn w:val="Normal"/>
    <w:next w:val="Normal"/>
    <w:autoRedefine/>
    <w:uiPriority w:val="39"/>
    <w:unhideWhenUsed/>
    <w:rsid w:val="00EB431E"/>
    <w:pPr>
      <w:spacing w:after="0"/>
      <w:ind w:left="1680"/>
    </w:pPr>
    <w:rPr>
      <w:sz w:val="20"/>
      <w:szCs w:val="20"/>
    </w:rPr>
  </w:style>
  <w:style w:type="paragraph" w:styleId="TOC9">
    <w:name w:val="toc 9"/>
    <w:basedOn w:val="Normal"/>
    <w:next w:val="Normal"/>
    <w:autoRedefine/>
    <w:uiPriority w:val="39"/>
    <w:unhideWhenUsed/>
    <w:rsid w:val="00EB431E"/>
    <w:pPr>
      <w:spacing w:after="0"/>
      <w:ind w:left="1920"/>
    </w:pPr>
    <w:rPr>
      <w:sz w:val="20"/>
      <w:szCs w:val="20"/>
    </w:rPr>
  </w:style>
  <w:style w:type="character" w:styleId="Hyperlink">
    <w:name w:val="Hyperlink"/>
    <w:basedOn w:val="DefaultParagraphFont"/>
    <w:uiPriority w:val="99"/>
    <w:unhideWhenUsed/>
    <w:rsid w:val="00EB431E"/>
    <w:rPr>
      <w:color w:val="467886" w:themeColor="hyperlink"/>
      <w:u w:val="single"/>
    </w:rPr>
  </w:style>
  <w:style w:type="numbering" w:customStyle="1" w:styleId="NoList1">
    <w:name w:val="No List1"/>
    <w:next w:val="NoList"/>
    <w:uiPriority w:val="99"/>
    <w:semiHidden/>
    <w:unhideWhenUsed/>
    <w:rsid w:val="00EC4BEC"/>
  </w:style>
  <w:style w:type="character" w:styleId="FollowedHyperlink">
    <w:name w:val="FollowedHyperlink"/>
    <w:basedOn w:val="DefaultParagraphFont"/>
    <w:uiPriority w:val="99"/>
    <w:semiHidden/>
    <w:unhideWhenUsed/>
    <w:rsid w:val="00EC4BEC"/>
    <w:rPr>
      <w:color w:val="96607D"/>
      <w:u w:val="single"/>
    </w:rPr>
  </w:style>
  <w:style w:type="paragraph" w:customStyle="1" w:styleId="xl65">
    <w:name w:val="xl65"/>
    <w:basedOn w:val="Normal"/>
    <w:rsid w:val="00EC4B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0"/>
      <w:szCs w:val="10"/>
      <w:lang w:eastAsia="en-IN" w:bidi="ar-SA"/>
      <w14:ligatures w14:val="none"/>
    </w:rPr>
  </w:style>
  <w:style w:type="paragraph" w:customStyle="1" w:styleId="xl66">
    <w:name w:val="xl66"/>
    <w:basedOn w:val="Normal"/>
    <w:rsid w:val="00EC4B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en-IN" w:bidi="ar-SA"/>
      <w14:ligatures w14:val="none"/>
    </w:rPr>
  </w:style>
  <w:style w:type="paragraph" w:customStyle="1" w:styleId="xl67">
    <w:name w:val="xl67"/>
    <w:basedOn w:val="Normal"/>
    <w:rsid w:val="00EC4B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ptos" w:eastAsia="Times New Roman" w:hAnsi="Aptos" w:cs="Times New Roman"/>
      <w:kern w:val="0"/>
      <w:szCs w:val="24"/>
      <w:lang w:eastAsia="en-IN" w:bidi="ar-SA"/>
      <w14:ligatures w14:val="none"/>
    </w:rPr>
  </w:style>
  <w:style w:type="paragraph" w:customStyle="1" w:styleId="xl68">
    <w:name w:val="xl68"/>
    <w:basedOn w:val="Normal"/>
    <w:rsid w:val="00FC55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0"/>
      <w:szCs w:val="10"/>
      <w:lang w:eastAsia="en-IN" w:bidi="ar-SA"/>
      <w14:ligatures w14:val="none"/>
    </w:rPr>
  </w:style>
  <w:style w:type="character" w:styleId="UnresolvedMention">
    <w:name w:val="Unresolved Mention"/>
    <w:basedOn w:val="DefaultParagraphFont"/>
    <w:uiPriority w:val="99"/>
    <w:semiHidden/>
    <w:unhideWhenUsed/>
    <w:rsid w:val="00C14A52"/>
    <w:rPr>
      <w:color w:val="605E5C"/>
      <w:shd w:val="clear" w:color="auto" w:fill="E1DFDD"/>
    </w:rPr>
  </w:style>
  <w:style w:type="paragraph" w:customStyle="1" w:styleId="xl69">
    <w:name w:val="xl69"/>
    <w:basedOn w:val="Normal"/>
    <w:rsid w:val="0086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2B2D31"/>
      <w:kern w:val="0"/>
      <w:sz w:val="14"/>
      <w:szCs w:val="14"/>
      <w:lang w:eastAsia="en-IN"/>
      <w14:ligatures w14:val="none"/>
    </w:rPr>
  </w:style>
  <w:style w:type="paragraph" w:customStyle="1" w:styleId="xl70">
    <w:name w:val="xl70"/>
    <w:basedOn w:val="Normal"/>
    <w:rsid w:val="0086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4"/>
      <w:szCs w:val="14"/>
      <w:lang w:eastAsia="en-IN"/>
      <w14:ligatures w14:val="none"/>
    </w:rPr>
  </w:style>
  <w:style w:type="paragraph" w:customStyle="1" w:styleId="xl71">
    <w:name w:val="xl71"/>
    <w:basedOn w:val="Normal"/>
    <w:rsid w:val="0086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4"/>
      <w:szCs w:val="14"/>
      <w:lang w:eastAsia="en-IN"/>
      <w14:ligatures w14:val="none"/>
    </w:rPr>
  </w:style>
  <w:style w:type="paragraph" w:customStyle="1" w:styleId="xl72">
    <w:name w:val="xl72"/>
    <w:basedOn w:val="Normal"/>
    <w:rsid w:val="0086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6637">
      <w:bodyDiv w:val="1"/>
      <w:marLeft w:val="0"/>
      <w:marRight w:val="0"/>
      <w:marTop w:val="0"/>
      <w:marBottom w:val="0"/>
      <w:divBdr>
        <w:top w:val="none" w:sz="0" w:space="0" w:color="auto"/>
        <w:left w:val="none" w:sz="0" w:space="0" w:color="auto"/>
        <w:bottom w:val="none" w:sz="0" w:space="0" w:color="auto"/>
        <w:right w:val="none" w:sz="0" w:space="0" w:color="auto"/>
      </w:divBdr>
      <w:divsChild>
        <w:div w:id="1270771900">
          <w:marLeft w:val="0"/>
          <w:marRight w:val="0"/>
          <w:marTop w:val="0"/>
          <w:marBottom w:val="0"/>
          <w:divBdr>
            <w:top w:val="none" w:sz="0" w:space="0" w:color="auto"/>
            <w:left w:val="none" w:sz="0" w:space="0" w:color="auto"/>
            <w:bottom w:val="none" w:sz="0" w:space="0" w:color="auto"/>
            <w:right w:val="none" w:sz="0" w:space="0" w:color="auto"/>
          </w:divBdr>
        </w:div>
      </w:divsChild>
    </w:div>
    <w:div w:id="381255515">
      <w:bodyDiv w:val="1"/>
      <w:marLeft w:val="0"/>
      <w:marRight w:val="0"/>
      <w:marTop w:val="0"/>
      <w:marBottom w:val="0"/>
      <w:divBdr>
        <w:top w:val="none" w:sz="0" w:space="0" w:color="auto"/>
        <w:left w:val="none" w:sz="0" w:space="0" w:color="auto"/>
        <w:bottom w:val="none" w:sz="0" w:space="0" w:color="auto"/>
        <w:right w:val="none" w:sz="0" w:space="0" w:color="auto"/>
      </w:divBdr>
      <w:divsChild>
        <w:div w:id="713579720">
          <w:marLeft w:val="0"/>
          <w:marRight w:val="0"/>
          <w:marTop w:val="0"/>
          <w:marBottom w:val="0"/>
          <w:divBdr>
            <w:top w:val="none" w:sz="0" w:space="0" w:color="auto"/>
            <w:left w:val="none" w:sz="0" w:space="0" w:color="auto"/>
            <w:bottom w:val="none" w:sz="0" w:space="0" w:color="auto"/>
            <w:right w:val="none" w:sz="0" w:space="0" w:color="auto"/>
          </w:divBdr>
        </w:div>
      </w:divsChild>
    </w:div>
    <w:div w:id="939488551">
      <w:marLeft w:val="0"/>
      <w:marRight w:val="0"/>
      <w:marTop w:val="0"/>
      <w:marBottom w:val="0"/>
      <w:divBdr>
        <w:top w:val="none" w:sz="0" w:space="0" w:color="auto"/>
        <w:left w:val="none" w:sz="0" w:space="0" w:color="auto"/>
        <w:bottom w:val="none" w:sz="0" w:space="0" w:color="auto"/>
        <w:right w:val="none" w:sz="0" w:space="0" w:color="auto"/>
      </w:divBdr>
      <w:divsChild>
        <w:div w:id="1197815570">
          <w:marLeft w:val="0"/>
          <w:marRight w:val="0"/>
          <w:marTop w:val="0"/>
          <w:marBottom w:val="0"/>
          <w:divBdr>
            <w:top w:val="none" w:sz="0" w:space="0" w:color="auto"/>
            <w:left w:val="none" w:sz="0" w:space="0" w:color="auto"/>
            <w:bottom w:val="none" w:sz="0" w:space="0" w:color="auto"/>
            <w:right w:val="none" w:sz="0" w:space="0" w:color="auto"/>
          </w:divBdr>
          <w:divsChild>
            <w:div w:id="771391158">
              <w:marLeft w:val="0"/>
              <w:marRight w:val="0"/>
              <w:marTop w:val="0"/>
              <w:marBottom w:val="0"/>
              <w:divBdr>
                <w:top w:val="none" w:sz="0" w:space="0" w:color="auto"/>
                <w:left w:val="none" w:sz="0" w:space="0" w:color="auto"/>
                <w:bottom w:val="none" w:sz="0" w:space="0" w:color="auto"/>
                <w:right w:val="none" w:sz="0" w:space="0" w:color="auto"/>
              </w:divBdr>
              <w:divsChild>
                <w:div w:id="427580023">
                  <w:marLeft w:val="0"/>
                  <w:marRight w:val="0"/>
                  <w:marTop w:val="0"/>
                  <w:marBottom w:val="0"/>
                  <w:divBdr>
                    <w:top w:val="none" w:sz="0" w:space="0" w:color="auto"/>
                    <w:left w:val="none" w:sz="0" w:space="0" w:color="auto"/>
                    <w:bottom w:val="none" w:sz="0" w:space="0" w:color="auto"/>
                    <w:right w:val="none" w:sz="0" w:space="0" w:color="auto"/>
                  </w:divBdr>
                  <w:divsChild>
                    <w:div w:id="1898710204">
                      <w:marLeft w:val="0"/>
                      <w:marRight w:val="0"/>
                      <w:marTop w:val="0"/>
                      <w:marBottom w:val="0"/>
                      <w:divBdr>
                        <w:top w:val="none" w:sz="0" w:space="0" w:color="auto"/>
                        <w:left w:val="none" w:sz="0" w:space="0" w:color="auto"/>
                        <w:bottom w:val="none" w:sz="0" w:space="0" w:color="auto"/>
                        <w:right w:val="none" w:sz="0" w:space="0" w:color="auto"/>
                      </w:divBdr>
                      <w:divsChild>
                        <w:div w:id="447046556">
                          <w:marLeft w:val="0"/>
                          <w:marRight w:val="0"/>
                          <w:marTop w:val="0"/>
                          <w:marBottom w:val="0"/>
                          <w:divBdr>
                            <w:top w:val="none" w:sz="0" w:space="0" w:color="auto"/>
                            <w:left w:val="none" w:sz="0" w:space="0" w:color="auto"/>
                            <w:bottom w:val="none" w:sz="0" w:space="0" w:color="auto"/>
                            <w:right w:val="none" w:sz="0" w:space="0" w:color="auto"/>
                          </w:divBdr>
                          <w:divsChild>
                            <w:div w:id="717558466">
                              <w:marLeft w:val="0"/>
                              <w:marRight w:val="0"/>
                              <w:marTop w:val="0"/>
                              <w:marBottom w:val="0"/>
                              <w:divBdr>
                                <w:top w:val="none" w:sz="0" w:space="0" w:color="auto"/>
                                <w:left w:val="none" w:sz="0" w:space="0" w:color="auto"/>
                                <w:bottom w:val="none" w:sz="0" w:space="0" w:color="auto"/>
                                <w:right w:val="none" w:sz="0" w:space="0" w:color="auto"/>
                              </w:divBdr>
                              <w:divsChild>
                                <w:div w:id="10275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274749">
      <w:bodyDiv w:val="1"/>
      <w:marLeft w:val="0"/>
      <w:marRight w:val="0"/>
      <w:marTop w:val="0"/>
      <w:marBottom w:val="0"/>
      <w:divBdr>
        <w:top w:val="none" w:sz="0" w:space="0" w:color="auto"/>
        <w:left w:val="none" w:sz="0" w:space="0" w:color="auto"/>
        <w:bottom w:val="none" w:sz="0" w:space="0" w:color="auto"/>
        <w:right w:val="none" w:sz="0" w:space="0" w:color="auto"/>
      </w:divBdr>
      <w:divsChild>
        <w:div w:id="49349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AB42-6C94-4EC5-B4F6-3798BBEE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144</Pages>
  <Words>112567</Words>
  <Characters>641633</Characters>
  <Application>Microsoft Office Word</Application>
  <DocSecurity>0</DocSecurity>
  <Lines>5346</Lines>
  <Paragraphs>1505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sfc16000@outlook.com</cp:lastModifiedBy>
  <cp:revision>6</cp:revision>
  <cp:lastPrinted>2026-02-19T07:57:00Z</cp:lastPrinted>
  <dcterms:created xsi:type="dcterms:W3CDTF">2026-02-19T07:56:00Z</dcterms:created>
  <dcterms:modified xsi:type="dcterms:W3CDTF">2026-02-20T09:06:00Z</dcterms:modified>
</cp:coreProperties>
</file>